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3F68" w14:textId="5951B09A" w:rsidR="00522DFF" w:rsidRPr="00CB53FC" w:rsidRDefault="0061079E" w:rsidP="00B722DF">
      <w:pPr>
        <w:spacing w:line="240" w:lineRule="atLeast"/>
        <w:jc w:val="center"/>
        <w:rPr>
          <w:sz w:val="20"/>
          <w:szCs w:val="20"/>
        </w:rPr>
      </w:pPr>
      <w:bookmarkStart w:id="0" w:name="_Hlk16237219"/>
      <w:bookmarkStart w:id="1" w:name="_Hlk83737581"/>
      <w:r>
        <w:rPr>
          <w:sz w:val="20"/>
          <w:szCs w:val="20"/>
        </w:rPr>
        <w:t>Filed 4/18/22</w:t>
      </w:r>
      <w:bookmarkStart w:id="2" w:name="_Hlk91684443"/>
      <w:r w:rsidR="00B722DF" w:rsidRPr="00822666">
        <w:rPr>
          <w:sz w:val="20"/>
        </w:rPr>
        <w:t>; REVIEW GRANTED.  See Cal. Rules of Court, rules 8.1105 and 8.1115 (and corresponding Comment, par. 2, concerning rule 8.1115(e)(3)).</w:t>
      </w:r>
      <w:bookmarkEnd w:id="2"/>
    </w:p>
    <w:p w14:paraId="307D7168" w14:textId="609096D9" w:rsidR="00177ED7" w:rsidRDefault="0061079E" w:rsidP="00177ED7">
      <w:pPr>
        <w:spacing w:line="240" w:lineRule="atLeast"/>
        <w:jc w:val="center"/>
      </w:pPr>
      <w:r w:rsidRPr="00177ED7">
        <w:rPr>
          <w:u w:val="words"/>
        </w:rPr>
        <w:t>CERTIFIED FOR PARTIAL PUBLICATION</w:t>
      </w:r>
      <w:r>
        <w:rPr>
          <w:rStyle w:val="FootnoteReference"/>
        </w:rPr>
        <w:footnoteReference w:customMarkFollows="1" w:id="1"/>
        <w:t>*</w:t>
      </w:r>
    </w:p>
    <w:p w14:paraId="25F7FDA4" w14:textId="35CA4B41" w:rsidR="00177ED7" w:rsidRDefault="00177ED7" w:rsidP="00177ED7">
      <w:pPr>
        <w:spacing w:line="240" w:lineRule="atLeast"/>
        <w:jc w:val="center"/>
      </w:pPr>
    </w:p>
    <w:p w14:paraId="10250C17" w14:textId="502CFD8B" w:rsidR="00177ED7" w:rsidRDefault="0061079E" w:rsidP="00177ED7">
      <w:pPr>
        <w:jc w:val="center"/>
      </w:pPr>
      <w:r>
        <w:t>IN THE COURT OF APPEAL OF THE STATE OF CALIFORNIA</w:t>
      </w:r>
    </w:p>
    <w:p w14:paraId="69079323" w14:textId="5F47B385" w:rsidR="00177ED7" w:rsidRDefault="0061079E" w:rsidP="00177ED7">
      <w:pPr>
        <w:jc w:val="center"/>
      </w:pPr>
      <w:r>
        <w:t>THIRD APPELLATE DISTRICT</w:t>
      </w:r>
    </w:p>
    <w:p w14:paraId="5CBED4EC" w14:textId="089B94DD" w:rsidR="00177ED7" w:rsidRDefault="0061079E" w:rsidP="00177ED7">
      <w:pPr>
        <w:jc w:val="center"/>
      </w:pPr>
      <w:r>
        <w:t>(Placer)</w:t>
      </w:r>
    </w:p>
    <w:p w14:paraId="53AAA6FE" w14:textId="16153CD6" w:rsidR="00177ED7" w:rsidRDefault="0061079E" w:rsidP="00177ED7">
      <w:pPr>
        <w:jc w:val="center"/>
      </w:pPr>
      <w:r>
        <w:t>----</w:t>
      </w:r>
    </w:p>
    <w:p w14:paraId="67BAFFCA" w14:textId="45FD0106" w:rsidR="00177ED7" w:rsidRDefault="00177ED7" w:rsidP="00177ED7">
      <w:pPr>
        <w:spacing w:line="240" w:lineRule="atLeast"/>
      </w:pPr>
    </w:p>
    <w:p w14:paraId="161D257D" w14:textId="77777777" w:rsidR="0061080D" w:rsidRDefault="0061080D" w:rsidP="00177ED7">
      <w:pPr>
        <w:spacing w:line="240" w:lineRule="atLeast"/>
      </w:pPr>
    </w:p>
    <w:p w14:paraId="23B65C21" w14:textId="25F9186F" w:rsidR="00177ED7" w:rsidRDefault="00177ED7" w:rsidP="00177ED7">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5D6B64" w14:paraId="4AF9A51F" w14:textId="77777777" w:rsidTr="00177ED7">
        <w:tc>
          <w:tcPr>
            <w:tcW w:w="5904" w:type="dxa"/>
            <w:shd w:val="clear" w:color="auto" w:fill="auto"/>
          </w:tcPr>
          <w:p w14:paraId="42B70EE7" w14:textId="77777777" w:rsidR="00177ED7" w:rsidRDefault="0061079E" w:rsidP="00177ED7">
            <w:pPr>
              <w:spacing w:line="240" w:lineRule="atLeast"/>
            </w:pPr>
            <w:r>
              <w:t>THE PEOPLE,</w:t>
            </w:r>
          </w:p>
          <w:p w14:paraId="7DFA35FA" w14:textId="77777777" w:rsidR="00177ED7" w:rsidRDefault="00177ED7" w:rsidP="00177ED7">
            <w:pPr>
              <w:spacing w:line="240" w:lineRule="atLeast"/>
            </w:pPr>
          </w:p>
          <w:p w14:paraId="32F0FC77" w14:textId="77777777" w:rsidR="00177ED7" w:rsidRDefault="0061079E" w:rsidP="00177ED7">
            <w:pPr>
              <w:spacing w:line="240" w:lineRule="atLeast"/>
            </w:pPr>
            <w:r>
              <w:tab/>
            </w:r>
            <w:r>
              <w:tab/>
              <w:t>Plaintiff and Respondent,</w:t>
            </w:r>
          </w:p>
          <w:p w14:paraId="6E09CEE2" w14:textId="77777777" w:rsidR="00177ED7" w:rsidRDefault="00177ED7" w:rsidP="00177ED7">
            <w:pPr>
              <w:spacing w:line="240" w:lineRule="atLeast"/>
            </w:pPr>
          </w:p>
          <w:p w14:paraId="17C99D4D" w14:textId="77777777" w:rsidR="00177ED7" w:rsidRDefault="0061079E" w:rsidP="00177ED7">
            <w:pPr>
              <w:spacing w:line="240" w:lineRule="atLeast"/>
            </w:pPr>
            <w:r>
              <w:tab/>
              <w:t>v.</w:t>
            </w:r>
          </w:p>
          <w:p w14:paraId="37E71C27" w14:textId="77777777" w:rsidR="00177ED7" w:rsidRDefault="00177ED7" w:rsidP="00177ED7">
            <w:pPr>
              <w:spacing w:line="240" w:lineRule="atLeast"/>
            </w:pPr>
          </w:p>
          <w:p w14:paraId="3EB5AEE2" w14:textId="450B4606" w:rsidR="00177ED7" w:rsidRDefault="0061079E" w:rsidP="00177ED7">
            <w:pPr>
              <w:spacing w:line="240" w:lineRule="atLeast"/>
            </w:pPr>
            <w:r>
              <w:t>ROMAN ANDREYEVICH GLUKHOY et al.,</w:t>
            </w:r>
          </w:p>
          <w:p w14:paraId="1877FEDB" w14:textId="77777777" w:rsidR="00177ED7" w:rsidRDefault="00177ED7" w:rsidP="00177ED7">
            <w:pPr>
              <w:spacing w:line="240" w:lineRule="atLeast"/>
            </w:pPr>
          </w:p>
          <w:p w14:paraId="32B57C7E" w14:textId="77777777" w:rsidR="00177ED7" w:rsidRDefault="0061079E" w:rsidP="00177ED7">
            <w:pPr>
              <w:spacing w:line="240" w:lineRule="atLeast"/>
            </w:pPr>
            <w:r>
              <w:tab/>
            </w:r>
            <w:r>
              <w:tab/>
              <w:t xml:space="preserve">Defendants and </w:t>
            </w:r>
            <w:r>
              <w:t>Appellants.</w:t>
            </w:r>
          </w:p>
          <w:p w14:paraId="5180AF3E" w14:textId="62214DE0" w:rsidR="00177ED7" w:rsidRDefault="00177ED7" w:rsidP="00177ED7">
            <w:pPr>
              <w:spacing w:line="240" w:lineRule="atLeast"/>
            </w:pPr>
          </w:p>
        </w:tc>
        <w:tc>
          <w:tcPr>
            <w:tcW w:w="3456" w:type="dxa"/>
            <w:shd w:val="clear" w:color="auto" w:fill="auto"/>
          </w:tcPr>
          <w:p w14:paraId="63EDAA72" w14:textId="77777777" w:rsidR="00177ED7" w:rsidRDefault="0061079E" w:rsidP="00177ED7">
            <w:pPr>
              <w:spacing w:line="240" w:lineRule="atLeast"/>
              <w:jc w:val="center"/>
            </w:pPr>
            <w:r>
              <w:t>C084169</w:t>
            </w:r>
          </w:p>
          <w:p w14:paraId="28FA175F" w14:textId="77777777" w:rsidR="00177ED7" w:rsidRDefault="00177ED7" w:rsidP="00177ED7">
            <w:pPr>
              <w:spacing w:line="240" w:lineRule="atLeast"/>
              <w:jc w:val="center"/>
            </w:pPr>
          </w:p>
          <w:p w14:paraId="036623CA" w14:textId="29EC1E1B" w:rsidR="00177ED7" w:rsidRDefault="0061079E" w:rsidP="00177ED7">
            <w:pPr>
              <w:spacing w:line="240" w:lineRule="atLeast"/>
              <w:jc w:val="center"/>
            </w:pPr>
            <w:r>
              <w:t>(Super. Ct. No</w:t>
            </w:r>
            <w:r w:rsidR="00F92EDC">
              <w:t>s</w:t>
            </w:r>
            <w:r>
              <w:t>. 62129389B</w:t>
            </w:r>
            <w:r w:rsidR="00F92EDC">
              <w:t>, 62129389C</w:t>
            </w:r>
            <w:r>
              <w:t>)</w:t>
            </w:r>
          </w:p>
          <w:p w14:paraId="0BF58D56" w14:textId="77777777" w:rsidR="00177ED7" w:rsidRDefault="00177ED7" w:rsidP="00177ED7">
            <w:pPr>
              <w:spacing w:line="240" w:lineRule="atLeast"/>
              <w:jc w:val="center"/>
            </w:pPr>
          </w:p>
          <w:p w14:paraId="50CFB257" w14:textId="0077B8B4" w:rsidR="00177ED7" w:rsidRDefault="00177ED7" w:rsidP="00177ED7">
            <w:pPr>
              <w:spacing w:line="240" w:lineRule="atLeast"/>
              <w:jc w:val="center"/>
            </w:pPr>
          </w:p>
        </w:tc>
      </w:tr>
    </w:tbl>
    <w:p w14:paraId="602B27E0" w14:textId="624BCD25" w:rsidR="00177ED7" w:rsidRDefault="00177ED7" w:rsidP="00177ED7">
      <w:pPr>
        <w:spacing w:line="240" w:lineRule="atLeast"/>
      </w:pPr>
    </w:p>
    <w:p w14:paraId="1109EE65" w14:textId="7733EBDF" w:rsidR="00F92EDC" w:rsidRDefault="00F92EDC" w:rsidP="00177ED7">
      <w:pPr>
        <w:spacing w:line="240" w:lineRule="atLeast"/>
      </w:pPr>
    </w:p>
    <w:p w14:paraId="1DECC472" w14:textId="77777777" w:rsidR="0061080D" w:rsidRDefault="0061080D" w:rsidP="00177ED7">
      <w:pPr>
        <w:spacing w:line="240" w:lineRule="atLeast"/>
      </w:pPr>
    </w:p>
    <w:p w14:paraId="21688E54" w14:textId="2EDE4172" w:rsidR="00177ED7" w:rsidRDefault="0061079E" w:rsidP="00177ED7">
      <w:pPr>
        <w:spacing w:line="240" w:lineRule="atLeast"/>
      </w:pPr>
      <w:r>
        <w:tab/>
        <w:t>APPEAL from a judgment of the Superior Court of Placer County, Nichols, Judge.  Affirmed.</w:t>
      </w:r>
    </w:p>
    <w:p w14:paraId="62616922" w14:textId="4E0B2E6B" w:rsidR="00177ED7" w:rsidRDefault="00177ED7" w:rsidP="00177ED7">
      <w:pPr>
        <w:spacing w:line="240" w:lineRule="atLeast"/>
      </w:pPr>
    </w:p>
    <w:p w14:paraId="1E009C62" w14:textId="6A4EC410" w:rsidR="00177ED7" w:rsidRDefault="0061079E" w:rsidP="00177ED7">
      <w:pPr>
        <w:spacing w:line="240" w:lineRule="atLeast"/>
      </w:pPr>
      <w:r>
        <w:tab/>
        <w:t>Christine Vento, under appointment by the Court of Appeal, for Defendant and Appellant</w:t>
      </w:r>
      <w:r w:rsidR="00F92EDC">
        <w:t>, Roman Glukhoy</w:t>
      </w:r>
      <w:r w:rsidR="0061080D">
        <w:t>.</w:t>
      </w:r>
    </w:p>
    <w:p w14:paraId="6AC4954B" w14:textId="12A04547" w:rsidR="0061080D" w:rsidRDefault="0061080D" w:rsidP="00177ED7">
      <w:pPr>
        <w:spacing w:line="240" w:lineRule="atLeast"/>
      </w:pPr>
    </w:p>
    <w:p w14:paraId="298E5EFB" w14:textId="4D465324" w:rsidR="0061080D" w:rsidRDefault="0061079E" w:rsidP="00177ED7">
      <w:pPr>
        <w:spacing w:line="240" w:lineRule="atLeast"/>
      </w:pPr>
      <w:r>
        <w:tab/>
        <w:t>Patricia J. Ulibarri, under appointment by the Court of Appeal, for Defendant and Appellant, Ruslan Glukhoy.</w:t>
      </w:r>
    </w:p>
    <w:p w14:paraId="6B1BC117" w14:textId="22CB6E71" w:rsidR="00177ED7" w:rsidRDefault="00177ED7" w:rsidP="00177ED7">
      <w:pPr>
        <w:spacing w:line="240" w:lineRule="atLeast"/>
      </w:pPr>
    </w:p>
    <w:p w14:paraId="7158ABDB" w14:textId="15570239" w:rsidR="00177ED7" w:rsidRDefault="0061079E" w:rsidP="00177ED7">
      <w:pPr>
        <w:spacing w:line="240" w:lineRule="atLeast"/>
      </w:pPr>
      <w:r>
        <w:tab/>
      </w:r>
      <w:r w:rsidR="00F92EDC">
        <w:t xml:space="preserve">Xavier Becerra and </w:t>
      </w:r>
      <w:r>
        <w:t>Rob Bonta, Attorney</w:t>
      </w:r>
      <w:r w:rsidR="00F92EDC">
        <w:t>s</w:t>
      </w:r>
      <w:r>
        <w:t xml:space="preserve"> General, </w:t>
      </w:r>
      <w:r w:rsidR="00F92EDC">
        <w:t>Gerald A. Engl</w:t>
      </w:r>
      <w:r w:rsidR="0061080D">
        <w:t>e</w:t>
      </w:r>
      <w:r w:rsidR="00F92EDC">
        <w:t xml:space="preserve">r and </w:t>
      </w:r>
      <w:r>
        <w:t>Lance E. Winters, Chief Assistant Attorney</w:t>
      </w:r>
      <w:r w:rsidR="00F92EDC">
        <w:t>s</w:t>
      </w:r>
      <w:r>
        <w:t xml:space="preserve"> General, Micha</w:t>
      </w:r>
      <w:r>
        <w:t xml:space="preserve">el P. Farrell, Assistant Attorney General, </w:t>
      </w:r>
      <w:r w:rsidR="00F92EDC">
        <w:t xml:space="preserve">Carlos A. Martinez and </w:t>
      </w:r>
      <w:r>
        <w:t xml:space="preserve">Julie A. Hokans, </w:t>
      </w:r>
      <w:r w:rsidR="00F92EDC">
        <w:t xml:space="preserve">Supervising Deputy Attorneys </w:t>
      </w:r>
      <w:bookmarkStart w:id="3" w:name="ElPgBr2"/>
      <w:bookmarkEnd w:id="3"/>
      <w:r w:rsidR="00F92EDC">
        <w:lastRenderedPageBreak/>
        <w:t xml:space="preserve">General, Marcia A. Fay and </w:t>
      </w:r>
      <w:r>
        <w:t>Jamie A. Scheidegger, Deputy Attorney</w:t>
      </w:r>
      <w:r w:rsidR="00F92EDC">
        <w:t>s</w:t>
      </w:r>
      <w:r>
        <w:t xml:space="preserve"> General, for Plaintiff and Respondent.</w:t>
      </w:r>
    </w:p>
    <w:p w14:paraId="44E3199B" w14:textId="77777777" w:rsidR="00177ED7" w:rsidRDefault="00177ED7" w:rsidP="00177ED7"/>
    <w:p w14:paraId="6F701243" w14:textId="13AC8169" w:rsidR="00960D70" w:rsidRDefault="0061079E" w:rsidP="00960D70">
      <w:pPr>
        <w:pStyle w:val="bodytext"/>
      </w:pPr>
      <w:r>
        <w:t xml:space="preserve">Twin brothers, Roman and Ruslan </w:t>
      </w:r>
      <w:r>
        <w:t>Glukhoy</w:t>
      </w:r>
      <w:r w:rsidR="000A441F">
        <w:t>,</w:t>
      </w:r>
      <w:r>
        <w:t xml:space="preserve"> led police on two high speed chases</w:t>
      </w:r>
      <w:r w:rsidR="00155B23">
        <w:t>, the second of which was in a stolen truck and</w:t>
      </w:r>
      <w:r>
        <w:t xml:space="preserve"> </w:t>
      </w:r>
      <w:r w:rsidR="00155B23">
        <w:t>culminated</w:t>
      </w:r>
      <w:r w:rsidR="000571B2">
        <w:t xml:space="preserve"> in a fatal collision</w:t>
      </w:r>
      <w:r w:rsidR="00155B23">
        <w:t xml:space="preserve"> killing two people</w:t>
      </w:r>
      <w:r w:rsidR="000571B2">
        <w:t xml:space="preserve">.  </w:t>
      </w:r>
      <w:r w:rsidR="0089057A">
        <w:t>Separate juries found them guilty of multiple offenses and allegations.</w:t>
      </w:r>
      <w:r>
        <w:rPr>
          <w:rStyle w:val="FootnoteReference"/>
        </w:rPr>
        <w:footnoteReference w:id="2"/>
      </w:r>
      <w:r w:rsidR="0089057A">
        <w:t xml:space="preserve">  </w:t>
      </w:r>
      <w:r w:rsidR="000571B2">
        <w:t>Ruslan</w:t>
      </w:r>
      <w:r w:rsidR="00791261">
        <w:t>, who was convicted of first degree murder with felony-murder special</w:t>
      </w:r>
      <w:r w:rsidR="00220A18">
        <w:t>-</w:t>
      </w:r>
      <w:r w:rsidR="00791261">
        <w:t>circumstances,</w:t>
      </w:r>
      <w:r w:rsidR="000571B2">
        <w:t xml:space="preserve"> was sentenced to two terms of life</w:t>
      </w:r>
      <w:r w:rsidR="0064136A">
        <w:t xml:space="preserve"> </w:t>
      </w:r>
      <w:r w:rsidR="000571B2">
        <w:t>without</w:t>
      </w:r>
      <w:r w:rsidR="0064136A">
        <w:t xml:space="preserve"> </w:t>
      </w:r>
      <w:r w:rsidR="000571B2">
        <w:t>the</w:t>
      </w:r>
      <w:r w:rsidR="0064136A">
        <w:t xml:space="preserve"> </w:t>
      </w:r>
      <w:r w:rsidR="000571B2">
        <w:t>possibly</w:t>
      </w:r>
      <w:r w:rsidR="0064136A">
        <w:t xml:space="preserve"> </w:t>
      </w:r>
      <w:r w:rsidR="000571B2">
        <w:t>of</w:t>
      </w:r>
      <w:r w:rsidR="0064136A">
        <w:t xml:space="preserve"> </w:t>
      </w:r>
      <w:r w:rsidR="000571B2">
        <w:t>parole</w:t>
      </w:r>
      <w:r w:rsidR="00791261">
        <w:t xml:space="preserve">. </w:t>
      </w:r>
      <w:r w:rsidR="000571B2">
        <w:t xml:space="preserve"> Roman</w:t>
      </w:r>
      <w:r w:rsidR="00791261">
        <w:t>, who was convicted of two counts of second degree murder,</w:t>
      </w:r>
      <w:r w:rsidR="000571B2">
        <w:t xml:space="preserve"> </w:t>
      </w:r>
      <w:r w:rsidR="00791261">
        <w:t>was sentenced to</w:t>
      </w:r>
      <w:r w:rsidR="000571B2">
        <w:t xml:space="preserve"> </w:t>
      </w:r>
      <w:r w:rsidR="00F42362">
        <w:t>30</w:t>
      </w:r>
      <w:r w:rsidR="00237EEC">
        <w:t xml:space="preserve"> </w:t>
      </w:r>
      <w:r w:rsidR="00F42362">
        <w:t>year</w:t>
      </w:r>
      <w:r w:rsidR="00237EEC">
        <w:t xml:space="preserve">s </w:t>
      </w:r>
      <w:r w:rsidR="00F42362">
        <w:t>to</w:t>
      </w:r>
      <w:r w:rsidR="00237EEC">
        <w:t xml:space="preserve"> </w:t>
      </w:r>
      <w:r w:rsidR="00F42362">
        <w:t>life</w:t>
      </w:r>
      <w:r w:rsidR="000571B2">
        <w:t xml:space="preserve">.  </w:t>
      </w:r>
    </w:p>
    <w:p w14:paraId="39797513" w14:textId="1F7BFDD9" w:rsidR="00D259BB" w:rsidRDefault="0061079E" w:rsidP="00086620">
      <w:pPr>
        <w:pStyle w:val="bodytext"/>
      </w:pPr>
      <w:bookmarkStart w:id="4" w:name="Eloz1O"/>
      <w:bookmarkStart w:id="5" w:name="Eloz1rO"/>
      <w:r>
        <w:t xml:space="preserve">On </w:t>
      </w:r>
      <w:bookmarkEnd w:id="4"/>
      <w:bookmarkEnd w:id="5"/>
      <w:r>
        <w:t xml:space="preserve">appeal, Ruslan raises </w:t>
      </w:r>
      <w:r w:rsidR="000571B2">
        <w:t>four</w:t>
      </w:r>
      <w:r>
        <w:t xml:space="preserve"> contentions:</w:t>
      </w:r>
      <w:r w:rsidR="000C68EF">
        <w:t xml:space="preserve"> </w:t>
      </w:r>
      <w:r>
        <w:t xml:space="preserve"> (1)</w:t>
      </w:r>
      <w:r w:rsidR="000571B2">
        <w:t xml:space="preserve"> insufficient evidence supports his </w:t>
      </w:r>
      <w:r w:rsidR="00791261">
        <w:t xml:space="preserve">residential </w:t>
      </w:r>
      <w:r w:rsidR="000571B2">
        <w:t xml:space="preserve">burglary conviction; (2) </w:t>
      </w:r>
      <w:r w:rsidR="0082259F">
        <w:t>insufficient</w:t>
      </w:r>
      <w:r w:rsidR="000571B2">
        <w:t xml:space="preserve"> evidence supports his conviction for aiding and abetting Roman’s evasion</w:t>
      </w:r>
      <w:r w:rsidR="00791261">
        <w:t xml:space="preserve"> with wanton disregard</w:t>
      </w:r>
      <w:r w:rsidR="0082259F">
        <w:t>; (3)</w:t>
      </w:r>
      <w:r w:rsidR="002641D6">
        <w:t xml:space="preserve"> the trial court erred in excluding expert testimony regarding regressed brain development in youth; </w:t>
      </w:r>
      <w:r w:rsidR="0064136A">
        <w:t xml:space="preserve">and </w:t>
      </w:r>
      <w:r w:rsidR="002641D6">
        <w:t>(4) the court erred in denying his motion to continue in order to make a showing of jury misconduct</w:t>
      </w:r>
      <w:r>
        <w:t>.</w:t>
      </w:r>
      <w:r w:rsidR="00660AAB">
        <w:t xml:space="preserve">  </w:t>
      </w:r>
      <w:r w:rsidR="00660AAB" w:rsidRPr="00021613">
        <w:t>In the unpublished portion of this opinion, we reject Ruslan’s contentions and affirm the judgment as to him.</w:t>
      </w:r>
    </w:p>
    <w:p w14:paraId="693CAE5E" w14:textId="3967C405" w:rsidR="00807D7A" w:rsidRDefault="0061079E" w:rsidP="00755C3E">
      <w:pPr>
        <w:pStyle w:val="bodytext"/>
        <w:rPr>
          <w:bCs/>
        </w:rPr>
      </w:pPr>
      <w:r>
        <w:t>Roman</w:t>
      </w:r>
      <w:r w:rsidR="0057554C">
        <w:t xml:space="preserve"> </w:t>
      </w:r>
      <w:r>
        <w:t xml:space="preserve">raises </w:t>
      </w:r>
      <w:r w:rsidR="002641D6">
        <w:t>five</w:t>
      </w:r>
      <w:r w:rsidR="0064136A">
        <w:t xml:space="preserve"> </w:t>
      </w:r>
      <w:r>
        <w:t xml:space="preserve">contentions: </w:t>
      </w:r>
      <w:r w:rsidR="00525E8A">
        <w:t xml:space="preserve"> </w:t>
      </w:r>
      <w:r w:rsidR="002641D6">
        <w:t xml:space="preserve">(5) </w:t>
      </w:r>
      <w:r w:rsidR="000A4B94">
        <w:t xml:space="preserve">the convictions for evading a peace officer with wanton disregard and conspiracy to commit theft </w:t>
      </w:r>
      <w:r w:rsidR="002641D6">
        <w:t xml:space="preserve">must be reversed because his trial counsel </w:t>
      </w:r>
      <w:r w:rsidR="0057554C">
        <w:t xml:space="preserve">inappropriately </w:t>
      </w:r>
      <w:r w:rsidR="002641D6">
        <w:t xml:space="preserve">conceded </w:t>
      </w:r>
      <w:r w:rsidR="001A3CBB">
        <w:t xml:space="preserve">those counts </w:t>
      </w:r>
      <w:r w:rsidR="008E7195">
        <w:t xml:space="preserve">in </w:t>
      </w:r>
      <w:r w:rsidR="001A3CBB">
        <w:t>closing</w:t>
      </w:r>
      <w:r w:rsidR="008E7195">
        <w:t xml:space="preserve"> argument</w:t>
      </w:r>
      <w:r w:rsidR="002641D6">
        <w:t xml:space="preserve">; (6) </w:t>
      </w:r>
      <w:r w:rsidR="00CC043B">
        <w:t xml:space="preserve">the murder verdicts must be </w:t>
      </w:r>
      <w:r w:rsidR="005E0FB9">
        <w:t>reversed</w:t>
      </w:r>
      <w:r w:rsidR="00CC043B">
        <w:t xml:space="preserve"> </w:t>
      </w:r>
      <w:r w:rsidR="005E0FB9">
        <w:t xml:space="preserve">in light of </w:t>
      </w:r>
      <w:bookmarkStart w:id="6" w:name="Elnb2O"/>
      <w:bookmarkStart w:id="7" w:name="Elnb2rO"/>
      <w:r w:rsidR="002641D6">
        <w:t xml:space="preserve">Senate Bill </w:t>
      </w:r>
      <w:bookmarkEnd w:id="6"/>
      <w:bookmarkEnd w:id="7"/>
      <w:r w:rsidR="00B55EF6">
        <w:t xml:space="preserve">No. </w:t>
      </w:r>
      <w:r w:rsidR="002641D6">
        <w:t>1437</w:t>
      </w:r>
      <w:r w:rsidR="00B55EF6">
        <w:t xml:space="preserve"> (</w:t>
      </w:r>
      <w:r w:rsidR="000A4B94">
        <w:t xml:space="preserve">2017-2018 Reg. </w:t>
      </w:r>
      <w:r w:rsidR="00B55EF6">
        <w:t>Sess.)</w:t>
      </w:r>
      <w:r w:rsidR="0054031B">
        <w:t xml:space="preserve"> (</w:t>
      </w:r>
      <w:r w:rsidR="004F32A0">
        <w:t>Senate Bill</w:t>
      </w:r>
      <w:r w:rsidR="0054031B">
        <w:t xml:space="preserve"> 1437)</w:t>
      </w:r>
      <w:r w:rsidR="005E0FB9">
        <w:t>,</w:t>
      </w:r>
      <w:r w:rsidR="002641D6">
        <w:t xml:space="preserve"> which </w:t>
      </w:r>
      <w:r w:rsidR="005E0FB9">
        <w:t>abrogate</w:t>
      </w:r>
      <w:r w:rsidR="00793DF5">
        <w:t>d</w:t>
      </w:r>
      <w:r w:rsidR="001A3CBB">
        <w:t xml:space="preserve"> </w:t>
      </w:r>
      <w:r w:rsidR="00CC043B">
        <w:t xml:space="preserve">the natural and probable </w:t>
      </w:r>
      <w:r w:rsidR="005E0FB9">
        <w:t>consequences</w:t>
      </w:r>
      <w:r w:rsidR="00CC043B">
        <w:t xml:space="preserve"> doctrine</w:t>
      </w:r>
      <w:r w:rsidR="00793DF5">
        <w:t xml:space="preserve"> for murder</w:t>
      </w:r>
      <w:r w:rsidR="00CC043B">
        <w:t xml:space="preserve">; (7) </w:t>
      </w:r>
      <w:r w:rsidR="005E0FB9">
        <w:t>the trial court failed to instruct that an aider an</w:t>
      </w:r>
      <w:r w:rsidR="0064136A">
        <w:t>d</w:t>
      </w:r>
      <w:r w:rsidR="005E0FB9">
        <w:t xml:space="preserve"> abettor</w:t>
      </w:r>
      <w:r w:rsidR="00C87CD4">
        <w:t>,</w:t>
      </w:r>
      <w:r w:rsidR="005E0FB9">
        <w:t xml:space="preserve"> liable under the natural and probable consequences </w:t>
      </w:r>
      <w:r w:rsidR="00C87CD4">
        <w:t>doctrine,</w:t>
      </w:r>
      <w:r w:rsidR="005E0FB9">
        <w:t xml:space="preserve"> can be guilty of a lesser offense than the perpetrator; (8) </w:t>
      </w:r>
      <w:bookmarkStart w:id="8" w:name="ElPgBr3"/>
      <w:bookmarkEnd w:id="8"/>
      <w:r w:rsidR="005E0FB9">
        <w:lastRenderedPageBreak/>
        <w:t xml:space="preserve">the court abused its discretion in imposing consecutive terms for the two murders; and (9) remand is required for a </w:t>
      </w:r>
      <w:r w:rsidR="000A441F" w:rsidRPr="00755C3E">
        <w:rPr>
          <w:i/>
          <w:iCs/>
        </w:rPr>
        <w:t>Franklin</w:t>
      </w:r>
      <w:r>
        <w:rPr>
          <w:rStyle w:val="FootnoteReference"/>
        </w:rPr>
        <w:footnoteReference w:id="3"/>
      </w:r>
      <w:r w:rsidR="000A441F">
        <w:rPr>
          <w:i/>
          <w:iCs/>
        </w:rPr>
        <w:t xml:space="preserve"> </w:t>
      </w:r>
      <w:r w:rsidR="00B8288A">
        <w:t>hearing</w:t>
      </w:r>
      <w:r w:rsidR="000A441F">
        <w:t>.</w:t>
      </w:r>
      <w:r w:rsidR="000C68EF">
        <w:t xml:space="preserve"> </w:t>
      </w:r>
      <w:r w:rsidR="00B8288A">
        <w:t xml:space="preserve"> </w:t>
      </w:r>
      <w:r w:rsidR="00EF3DEC">
        <w:t xml:space="preserve">In a supplemental brief, Roman contends (10) remand is required in light of </w:t>
      </w:r>
      <w:r w:rsidR="00EF3DEC" w:rsidRPr="00167967">
        <w:rPr>
          <w:bCs/>
          <w:i/>
          <w:iCs/>
        </w:rPr>
        <w:t xml:space="preserve">People v. Dueñas </w:t>
      </w:r>
      <w:r w:rsidR="00EF3DEC" w:rsidRPr="00167967">
        <w:rPr>
          <w:bCs/>
        </w:rPr>
        <w:t>(2019) 30 Cal.App.5th 1157</w:t>
      </w:r>
      <w:r w:rsidR="00EF3DEC">
        <w:rPr>
          <w:bCs/>
        </w:rPr>
        <w:t xml:space="preserve"> (</w:t>
      </w:r>
      <w:r w:rsidR="00EF3DEC" w:rsidRPr="00167967">
        <w:rPr>
          <w:bCs/>
          <w:i/>
          <w:iCs/>
        </w:rPr>
        <w:t>Dueñas</w:t>
      </w:r>
      <w:r w:rsidR="00EF3DEC" w:rsidRPr="00DD4BFD">
        <w:rPr>
          <w:bCs/>
        </w:rPr>
        <w:t>)</w:t>
      </w:r>
      <w:r w:rsidR="00EF3DEC">
        <w:rPr>
          <w:bCs/>
        </w:rPr>
        <w:t xml:space="preserve">, and (11) the abstract of judgment must be corrected to accurately reflect an imposed fee. </w:t>
      </w:r>
      <w:r w:rsidR="004F32A0">
        <w:rPr>
          <w:bCs/>
        </w:rPr>
        <w:t xml:space="preserve"> In a second supplemental brief, Roman asserts that based on</w:t>
      </w:r>
      <w:r w:rsidR="004F32A0">
        <w:t xml:space="preserve"> Senate Bill No. 775 (2021-2022 Reg. Sess.) (Senate Bill 775), </w:t>
      </w:r>
      <w:r>
        <w:t>he need not file a Penal Code section 1170.95</w:t>
      </w:r>
      <w:r>
        <w:rPr>
          <w:rStyle w:val="FootnoteReference"/>
        </w:rPr>
        <w:footnoteReference w:id="4"/>
      </w:r>
      <w:r>
        <w:t xml:space="preserve"> petition to obtain Senate Bill 1437 relief and </w:t>
      </w:r>
      <w:r w:rsidR="004F32A0">
        <w:t>we must reverse his second degree murder conviction</w:t>
      </w:r>
      <w:r>
        <w:t>s</w:t>
      </w:r>
      <w:r w:rsidR="004F32A0">
        <w:t xml:space="preserve"> and vacate the </w:t>
      </w:r>
      <w:r w:rsidR="004F32A0">
        <w:rPr>
          <w:bCs/>
        </w:rPr>
        <w:t>sentence.</w:t>
      </w:r>
      <w:r w:rsidR="00CA1860">
        <w:rPr>
          <w:bCs/>
        </w:rPr>
        <w:t xml:space="preserve"> </w:t>
      </w:r>
    </w:p>
    <w:p w14:paraId="77EA5920" w14:textId="2A701A3C" w:rsidR="00660AAB" w:rsidRPr="00DF3307" w:rsidRDefault="0061079E" w:rsidP="00755C3E">
      <w:pPr>
        <w:pStyle w:val="bodytext"/>
      </w:pPr>
      <w:r w:rsidRPr="00021613">
        <w:t>In the published portion of this opinion</w:t>
      </w:r>
      <w:r w:rsidR="00990A98" w:rsidRPr="00021613">
        <w:t>,</w:t>
      </w:r>
      <w:r w:rsidRPr="00021613">
        <w:t xml:space="preserve"> we conclude that the alternative-theory </w:t>
      </w:r>
      <w:r w:rsidR="009131BC">
        <w:t xml:space="preserve">instructional </w:t>
      </w:r>
      <w:r w:rsidRPr="00021613">
        <w:t>error in Roman’s case brought about Senate Bill 1437 was harmless beyond a reasonable doubt because the evidence establishing the val</w:t>
      </w:r>
      <w:r w:rsidRPr="00021613">
        <w:t xml:space="preserve">id theory of direct aiding and abetting implied malice was overwhelming.  </w:t>
      </w:r>
      <w:r w:rsidR="00990A98" w:rsidRPr="00021613">
        <w:t>In addition</w:t>
      </w:r>
      <w:r w:rsidRPr="00021613">
        <w:t>, that evidence was the same evidence the jury had to have credited to find defendant guilty based on the now invalid natural and probable consequences theory.  In the unp</w:t>
      </w:r>
      <w:r w:rsidRPr="00021613">
        <w:t>ublished portion of this opinion, we reject Roman’s other contentions and affirm the judgment as to him.</w:t>
      </w:r>
    </w:p>
    <w:p w14:paraId="693D8F0B" w14:textId="42003810" w:rsidR="00D259BB" w:rsidRPr="00697A7A" w:rsidRDefault="0061079E" w:rsidP="00180DE4">
      <w:pPr>
        <w:keepNext/>
        <w:jc w:val="center"/>
        <w:rPr>
          <w:b/>
        </w:rPr>
      </w:pPr>
      <w:bookmarkStart w:id="9" w:name="Elor2O"/>
      <w:bookmarkStart w:id="10" w:name="Elor2rO"/>
      <w:r>
        <w:rPr>
          <w:b/>
        </w:rPr>
        <w:t xml:space="preserve">FACTUAL AND PROCEDURAL </w:t>
      </w:r>
      <w:r w:rsidRPr="00697A7A">
        <w:rPr>
          <w:b/>
        </w:rPr>
        <w:t>BACKGROUND</w:t>
      </w:r>
      <w:bookmarkEnd w:id="9"/>
      <w:bookmarkEnd w:id="10"/>
    </w:p>
    <w:p w14:paraId="73A02E21" w14:textId="77777777" w:rsidR="00025940" w:rsidRPr="00755C3E" w:rsidRDefault="0061079E" w:rsidP="00A777A3">
      <w:pPr>
        <w:pStyle w:val="bodytext"/>
        <w:keepNext/>
        <w:ind w:firstLine="0"/>
        <w:jc w:val="center"/>
        <w:rPr>
          <w:b/>
          <w:bCs/>
        </w:rPr>
      </w:pPr>
      <w:r w:rsidRPr="00755C3E">
        <w:rPr>
          <w:b/>
          <w:bCs/>
        </w:rPr>
        <w:t>Prosecution’s Case</w:t>
      </w:r>
    </w:p>
    <w:p w14:paraId="69E882CA" w14:textId="6D44ECD5" w:rsidR="00A90473" w:rsidRPr="00E4176F" w:rsidRDefault="0061079E" w:rsidP="00021613">
      <w:pPr>
        <w:pStyle w:val="bodytext"/>
        <w:keepNext/>
        <w:rPr>
          <w:b/>
          <w:bCs/>
        </w:rPr>
      </w:pPr>
      <w:r w:rsidRPr="00E4176F">
        <w:rPr>
          <w:b/>
          <w:bCs/>
        </w:rPr>
        <w:t>The Thefts from Vehicles</w:t>
      </w:r>
    </w:p>
    <w:p w14:paraId="63168B91" w14:textId="58D42E75" w:rsidR="003C1C9F" w:rsidRDefault="0061079E" w:rsidP="00B93B7F">
      <w:pPr>
        <w:pStyle w:val="bodytext"/>
      </w:pPr>
      <w:r>
        <w:t>In the</w:t>
      </w:r>
      <w:r w:rsidR="00166AB8">
        <w:t xml:space="preserve"> </w:t>
      </w:r>
      <w:r>
        <w:t>early morning hours, t</w:t>
      </w:r>
      <w:r w:rsidR="00B93B7F">
        <w:t>win brothers</w:t>
      </w:r>
      <w:r w:rsidR="007C6E8D">
        <w:t xml:space="preserve"> Roman and Ruslan</w:t>
      </w:r>
      <w:r>
        <w:t xml:space="preserve"> Glukhoy</w:t>
      </w:r>
      <w:r w:rsidR="007C6E8D">
        <w:t xml:space="preserve">, along with a friend, drove </w:t>
      </w:r>
      <w:r w:rsidR="00166AB8">
        <w:t xml:space="preserve">in the rain </w:t>
      </w:r>
      <w:r w:rsidR="007C6E8D">
        <w:t xml:space="preserve">to </w:t>
      </w:r>
      <w:r w:rsidR="009C1924">
        <w:t>Auburn</w:t>
      </w:r>
      <w:r w:rsidR="007C6E8D">
        <w:t xml:space="preserve"> to steal from unlocked cars parked on the street.</w:t>
      </w:r>
      <w:r w:rsidR="009C1924">
        <w:t xml:space="preserve">  </w:t>
      </w:r>
    </w:p>
    <w:p w14:paraId="72F522F2" w14:textId="576B64D4" w:rsidR="00915FDB" w:rsidRDefault="0061079E" w:rsidP="00E367C7">
      <w:pPr>
        <w:pStyle w:val="bodytext"/>
      </w:pPr>
      <w:bookmarkStart w:id="11" w:name="ElPgBr4"/>
      <w:bookmarkEnd w:id="11"/>
      <w:r>
        <w:lastRenderedPageBreak/>
        <w:t xml:space="preserve">Auburn residents soon grew suspicious and </w:t>
      </w:r>
      <w:r w:rsidR="00495532">
        <w:t xml:space="preserve">called the police.  </w:t>
      </w:r>
      <w:r w:rsidR="00E879A8">
        <w:t xml:space="preserve">Responding </w:t>
      </w:r>
      <w:r w:rsidR="00B1001B">
        <w:t xml:space="preserve">Auburn </w:t>
      </w:r>
      <w:r w:rsidR="005D79F9">
        <w:t>P</w:t>
      </w:r>
      <w:r w:rsidR="00B1001B">
        <w:t xml:space="preserve">olice </w:t>
      </w:r>
      <w:r w:rsidR="00E879A8">
        <w:t xml:space="preserve">officers </w:t>
      </w:r>
      <w:r w:rsidR="00145DF6">
        <w:t xml:space="preserve">saw </w:t>
      </w:r>
      <w:r w:rsidR="00E879A8">
        <w:t>several suspect</w:t>
      </w:r>
      <w:r w:rsidR="00166AB8">
        <w:t>s</w:t>
      </w:r>
      <w:r w:rsidR="00E879A8">
        <w:t xml:space="preserve"> </w:t>
      </w:r>
      <w:r w:rsidR="00C5423B">
        <w:t xml:space="preserve">return </w:t>
      </w:r>
      <w:r w:rsidR="00E879A8">
        <w:t xml:space="preserve">to a BMW </w:t>
      </w:r>
      <w:r w:rsidR="00B55EF6">
        <w:t xml:space="preserve">automobile </w:t>
      </w:r>
      <w:r w:rsidR="00166AB8">
        <w:t xml:space="preserve">parked </w:t>
      </w:r>
      <w:r w:rsidR="001C7AFE">
        <w:t>in a cul-de-sac</w:t>
      </w:r>
      <w:r w:rsidR="00E879A8">
        <w:t>.</w:t>
      </w:r>
      <w:r>
        <w:rPr>
          <w:rStyle w:val="FootnoteReference"/>
        </w:rPr>
        <w:footnoteReference w:id="5"/>
      </w:r>
      <w:r w:rsidR="00E879A8">
        <w:t xml:space="preserve">  </w:t>
      </w:r>
      <w:r w:rsidR="0057554C">
        <w:t>A</w:t>
      </w:r>
      <w:r w:rsidR="003C1C9F">
        <w:t>n o</w:t>
      </w:r>
      <w:r w:rsidR="00B71829">
        <w:t>fficer approached</w:t>
      </w:r>
      <w:r w:rsidR="005D79F9">
        <w:t xml:space="preserve"> the BMW</w:t>
      </w:r>
      <w:r w:rsidR="00B71829">
        <w:t xml:space="preserve"> with </w:t>
      </w:r>
      <w:r w:rsidR="003C1C9F">
        <w:t xml:space="preserve">his </w:t>
      </w:r>
      <w:r w:rsidR="00B71829">
        <w:t>gun drawn</w:t>
      </w:r>
      <w:r w:rsidR="001C7AFE">
        <w:t xml:space="preserve"> and held in </w:t>
      </w:r>
      <w:r w:rsidR="007B015A">
        <w:t>a low-ready position.  He</w:t>
      </w:r>
      <w:r w:rsidR="003C1C9F">
        <w:t xml:space="preserve"> ordered </w:t>
      </w:r>
      <w:r w:rsidR="0057554C">
        <w:t xml:space="preserve">the occupants </w:t>
      </w:r>
      <w:r w:rsidR="003C1C9F">
        <w:t>to show their hands.</w:t>
      </w:r>
      <w:r w:rsidR="00E367C7">
        <w:t xml:space="preserve">  One </w:t>
      </w:r>
      <w:r>
        <w:t>passenger, Ruslan, put his hands out the</w:t>
      </w:r>
      <w:r w:rsidR="005D79F9">
        <w:t xml:space="preserve"> front passenger-side</w:t>
      </w:r>
      <w:r>
        <w:t xml:space="preserve"> window and raised them</w:t>
      </w:r>
      <w:r w:rsidR="00145DF6">
        <w:t>.  The driver</w:t>
      </w:r>
      <w:r w:rsidR="009F53A1">
        <w:t>,</w:t>
      </w:r>
      <w:r w:rsidR="00145DF6">
        <w:t xml:space="preserve"> Roman, however, </w:t>
      </w:r>
      <w:r>
        <w:t xml:space="preserve">did not.  </w:t>
      </w:r>
      <w:r w:rsidR="008B1A15">
        <w:t xml:space="preserve">As the officer approached the </w:t>
      </w:r>
      <w:r w:rsidR="007964A7">
        <w:t>back of the driver’s door</w:t>
      </w:r>
      <w:r w:rsidR="008B1A15">
        <w:t xml:space="preserve">, </w:t>
      </w:r>
      <w:r w:rsidR="00A844AF">
        <w:t xml:space="preserve">the BMW </w:t>
      </w:r>
      <w:r w:rsidR="008B1A15">
        <w:t>sped off</w:t>
      </w:r>
      <w:r>
        <w:t xml:space="preserve">.  </w:t>
      </w:r>
      <w:r w:rsidR="008B1A15">
        <w:t xml:space="preserve">The BMW then made a U-turn </w:t>
      </w:r>
      <w:r w:rsidR="001C7AFE">
        <w:t xml:space="preserve">in the cul-de-sac, </w:t>
      </w:r>
      <w:r w:rsidR="00537DB1">
        <w:t>then accelerated “straight towards” the officers and their patrol units, causing one of them to think the BMW was going to run over him</w:t>
      </w:r>
      <w:r w:rsidR="00CA1860">
        <w:t>.  He took</w:t>
      </w:r>
      <w:r w:rsidR="00537DB1">
        <w:t xml:space="preserve"> cover behind a patrol unit.  Then, at the last second, the BMW veered away, jumping the curb onto residential lawns, </w:t>
      </w:r>
      <w:r w:rsidR="005D79F9">
        <w:t>crossing</w:t>
      </w:r>
      <w:r w:rsidR="00516B16">
        <w:t xml:space="preserve"> a driveway</w:t>
      </w:r>
      <w:r w:rsidR="005D79F9">
        <w:t xml:space="preserve">, </w:t>
      </w:r>
      <w:r w:rsidR="00A60A3E">
        <w:t xml:space="preserve">before </w:t>
      </w:r>
      <w:r w:rsidR="005D79F9">
        <w:t xml:space="preserve">reentering </w:t>
      </w:r>
      <w:r w:rsidR="00537DB1">
        <w:t xml:space="preserve">the roadway </w:t>
      </w:r>
      <w:r w:rsidR="00213177">
        <w:t>and sp</w:t>
      </w:r>
      <w:r w:rsidR="00537DB1">
        <w:t>e</w:t>
      </w:r>
      <w:r w:rsidR="00213177">
        <w:t>ed</w:t>
      </w:r>
      <w:r w:rsidR="00537DB1">
        <w:t>ing</w:t>
      </w:r>
      <w:r w:rsidR="00213177">
        <w:t xml:space="preserve"> away</w:t>
      </w:r>
      <w:r w:rsidR="008B1A15">
        <w:t>.</w:t>
      </w:r>
      <w:r>
        <w:rPr>
          <w:rStyle w:val="FootnoteReference"/>
        </w:rPr>
        <w:footnoteReference w:id="6"/>
      </w:r>
      <w:r w:rsidR="008B1A15">
        <w:t xml:space="preserve"> </w:t>
      </w:r>
    </w:p>
    <w:p w14:paraId="654B60E9" w14:textId="443228AE" w:rsidR="00A90473" w:rsidRPr="00E4176F" w:rsidRDefault="0061079E" w:rsidP="00C717F8">
      <w:pPr>
        <w:pStyle w:val="bodytext"/>
        <w:keepNext/>
        <w:rPr>
          <w:b/>
          <w:bCs/>
        </w:rPr>
      </w:pPr>
      <w:r w:rsidRPr="00E4176F">
        <w:rPr>
          <w:b/>
          <w:bCs/>
        </w:rPr>
        <w:t xml:space="preserve">The First </w:t>
      </w:r>
      <w:r w:rsidR="00457D58">
        <w:rPr>
          <w:b/>
          <w:bCs/>
        </w:rPr>
        <w:t>Evasion and Pursuit</w:t>
      </w:r>
      <w:r>
        <w:rPr>
          <w:b/>
          <w:bCs/>
        </w:rPr>
        <w:t xml:space="preserve"> &amp; The</w:t>
      </w:r>
      <w:r>
        <w:rPr>
          <w:b/>
          <w:bCs/>
        </w:rPr>
        <w:t>ft of the Truck</w:t>
      </w:r>
      <w:r w:rsidRPr="00E4176F">
        <w:rPr>
          <w:b/>
          <w:bCs/>
        </w:rPr>
        <w:t xml:space="preserve"> </w:t>
      </w:r>
    </w:p>
    <w:p w14:paraId="414AA5FC" w14:textId="3465A7D5" w:rsidR="00C674CF" w:rsidRDefault="0061079E" w:rsidP="00E367C7">
      <w:pPr>
        <w:pStyle w:val="bodytext"/>
      </w:pPr>
      <w:r>
        <w:t xml:space="preserve">Thereafter, </w:t>
      </w:r>
      <w:r w:rsidR="00A64D9B">
        <w:t>Roman led police on a high</w:t>
      </w:r>
      <w:r w:rsidR="00C0178C">
        <w:t>-</w:t>
      </w:r>
      <w:r w:rsidR="00A64D9B">
        <w:t>speed chase,</w:t>
      </w:r>
      <w:r w:rsidR="00E367C7">
        <w:t xml:space="preserve"> </w:t>
      </w:r>
      <w:r w:rsidR="00154CB8">
        <w:t xml:space="preserve">and </w:t>
      </w:r>
      <w:r w:rsidR="00633B02">
        <w:t>at various points</w:t>
      </w:r>
      <w:r w:rsidR="00655CAD">
        <w:t xml:space="preserve"> drove </w:t>
      </w:r>
      <w:r w:rsidR="00154CB8">
        <w:t xml:space="preserve">in the direction of </w:t>
      </w:r>
      <w:r w:rsidR="00655CAD">
        <w:t xml:space="preserve">officers, </w:t>
      </w:r>
      <w:r w:rsidR="00A64D9B">
        <w:t>r</w:t>
      </w:r>
      <w:r w:rsidR="00A76F9D">
        <w:t xml:space="preserve">an </w:t>
      </w:r>
      <w:r w:rsidR="00A64D9B">
        <w:t>a stop sign, sp</w:t>
      </w:r>
      <w:r w:rsidR="00A76F9D">
        <w:t xml:space="preserve">un </w:t>
      </w:r>
      <w:r w:rsidR="00A64D9B">
        <w:t xml:space="preserve">out, </w:t>
      </w:r>
      <w:r w:rsidR="00E367C7">
        <w:t>drove without lights</w:t>
      </w:r>
      <w:r>
        <w:t>, and</w:t>
      </w:r>
      <w:r w:rsidR="005D79F9">
        <w:t xml:space="preserve"> entered Interstate 80 where he</w:t>
      </w:r>
      <w:r>
        <w:t xml:space="preserve"> </w:t>
      </w:r>
      <w:r w:rsidR="00F46FD0">
        <w:t>reach</w:t>
      </w:r>
      <w:r w:rsidR="00A76F9D">
        <w:t>ed</w:t>
      </w:r>
      <w:r w:rsidR="00F46FD0">
        <w:t xml:space="preserve"> </w:t>
      </w:r>
      <w:r w:rsidR="005D79F9">
        <w:t xml:space="preserve">a speed of approximately </w:t>
      </w:r>
      <w:r w:rsidR="00F46FD0">
        <w:t>125 m</w:t>
      </w:r>
      <w:r w:rsidR="00C0178C">
        <w:t>iles per hour</w:t>
      </w:r>
      <w:r w:rsidR="00A64D9B">
        <w:t>.</w:t>
      </w:r>
      <w:r w:rsidR="00E367C7">
        <w:t xml:space="preserve">  </w:t>
      </w:r>
      <w:r w:rsidR="0057554C">
        <w:t xml:space="preserve">This initial chase </w:t>
      </w:r>
      <w:r w:rsidR="00C5423B">
        <w:t>ended when</w:t>
      </w:r>
      <w:r w:rsidR="00E367C7">
        <w:t xml:space="preserve"> </w:t>
      </w:r>
      <w:r>
        <w:t>Roman</w:t>
      </w:r>
      <w:r w:rsidR="00C5423B">
        <w:t>,</w:t>
      </w:r>
      <w:r w:rsidR="00E367C7">
        <w:t xml:space="preserve"> </w:t>
      </w:r>
      <w:r>
        <w:t>tr</w:t>
      </w:r>
      <w:r w:rsidR="00C5423B">
        <w:t>ying</w:t>
      </w:r>
      <w:r>
        <w:t xml:space="preserve"> to make an abrupt </w:t>
      </w:r>
      <w:r w:rsidR="0092090C">
        <w:t xml:space="preserve">freeway </w:t>
      </w:r>
      <w:r>
        <w:t>exit</w:t>
      </w:r>
      <w:r w:rsidR="004A631C">
        <w:t xml:space="preserve"> in Loomis</w:t>
      </w:r>
      <w:r w:rsidR="00C5423B">
        <w:t xml:space="preserve">, </w:t>
      </w:r>
      <w:r w:rsidR="0092090C">
        <w:t>missed the ramp</w:t>
      </w:r>
      <w:r w:rsidR="00B859EA">
        <w:t xml:space="preserve">, </w:t>
      </w:r>
      <w:r w:rsidR="003D5EA9">
        <w:t xml:space="preserve">spun out and collided into an embankment in a </w:t>
      </w:r>
      <w:r w:rsidR="007028C6">
        <w:t>landscape</w:t>
      </w:r>
      <w:r w:rsidR="00C0178C">
        <w:t>d</w:t>
      </w:r>
      <w:r w:rsidR="003D5EA9">
        <w:t xml:space="preserve"> area</w:t>
      </w:r>
      <w:r w:rsidR="00F54751">
        <w:t>.</w:t>
      </w:r>
      <w:r w:rsidR="00237726">
        <w:t xml:space="preserve">  </w:t>
      </w:r>
      <w:bookmarkStart w:id="12" w:name="_Hlk98930255"/>
      <w:r w:rsidR="001809B4">
        <w:t xml:space="preserve">One officer described the collision as “a violent crash.  The vehicle was tore up pretty good.” </w:t>
      </w:r>
      <w:r w:rsidR="00237726">
        <w:t xml:space="preserve"> Another described it as “</w:t>
      </w:r>
      <w:r w:rsidR="00C0178C">
        <w:t>e</w:t>
      </w:r>
      <w:r w:rsidR="00237726">
        <w:t>xtremely violent.”</w:t>
      </w:r>
      <w:r w:rsidR="002A7389">
        <w:t xml:space="preserve">  This collision took place at 5:12 a.m. </w:t>
      </w:r>
    </w:p>
    <w:p w14:paraId="6F7A0037" w14:textId="0AC39461" w:rsidR="00A90473" w:rsidRDefault="0061079E">
      <w:pPr>
        <w:pStyle w:val="bodytext"/>
      </w:pPr>
      <w:bookmarkStart w:id="13" w:name="ElPgBr5"/>
      <w:bookmarkEnd w:id="12"/>
      <w:bookmarkEnd w:id="13"/>
      <w:r>
        <w:lastRenderedPageBreak/>
        <w:t>B</w:t>
      </w:r>
      <w:r w:rsidR="00155B23">
        <w:t xml:space="preserve">y the time the </w:t>
      </w:r>
      <w:r w:rsidR="004A631C">
        <w:t>officers reached the BMW, Roman</w:t>
      </w:r>
      <w:r w:rsidR="003E353F">
        <w:t xml:space="preserve">, </w:t>
      </w:r>
      <w:r w:rsidR="004A631C">
        <w:t>Ruslan</w:t>
      </w:r>
      <w:r w:rsidR="003E353F">
        <w:t>, and their friend</w:t>
      </w:r>
      <w:r w:rsidR="004A631C">
        <w:t xml:space="preserve"> had escaped.</w:t>
      </w:r>
      <w:r>
        <w:rPr>
          <w:rStyle w:val="FootnoteReference"/>
        </w:rPr>
        <w:footnoteReference w:id="7"/>
      </w:r>
      <w:r w:rsidR="00D249CD">
        <w:t xml:space="preserve">  </w:t>
      </w:r>
      <w:r w:rsidR="008979B9">
        <w:t xml:space="preserve">Placer County Sheriff’s deputies were in foot pursuit.  </w:t>
      </w:r>
      <w:r w:rsidR="00F74A67">
        <w:t xml:space="preserve">Around an hour later, </w:t>
      </w:r>
      <w:r w:rsidR="005D79F9">
        <w:t>law enforcement was</w:t>
      </w:r>
      <w:r w:rsidR="00F74A67">
        <w:t xml:space="preserve"> alerted that a Ford F-150 </w:t>
      </w:r>
      <w:r w:rsidR="00686FCC">
        <w:t xml:space="preserve">pick-up </w:t>
      </w:r>
      <w:r w:rsidR="002A7389">
        <w:t xml:space="preserve">truck had been stolen </w:t>
      </w:r>
      <w:r w:rsidR="00914CC3">
        <w:t xml:space="preserve">from a neighborhood </w:t>
      </w:r>
      <w:r w:rsidR="00F74A67">
        <w:t xml:space="preserve">not far from the </w:t>
      </w:r>
      <w:r w:rsidR="00B25C7B">
        <w:t xml:space="preserve">BMW’s </w:t>
      </w:r>
      <w:r w:rsidR="00F74A67">
        <w:t>crash</w:t>
      </w:r>
      <w:r w:rsidR="001A3CBB">
        <w:t xml:space="preserve"> site</w:t>
      </w:r>
      <w:r w:rsidR="00F74A67">
        <w:t>.</w:t>
      </w:r>
      <w:r>
        <w:rPr>
          <w:rStyle w:val="FootnoteReference"/>
        </w:rPr>
        <w:footnoteReference w:id="8"/>
      </w:r>
      <w:r w:rsidR="00D249CD">
        <w:t xml:space="preserve">  </w:t>
      </w:r>
      <w:r w:rsidR="008B2939">
        <w:t>Ruslan was driving</w:t>
      </w:r>
      <w:r w:rsidR="009D4055">
        <w:t xml:space="preserve">, </w:t>
      </w:r>
      <w:r w:rsidR="00B25C7B">
        <w:t xml:space="preserve">with </w:t>
      </w:r>
      <w:r w:rsidR="009D4055">
        <w:t>Roman in the rear passenger seat</w:t>
      </w:r>
      <w:r w:rsidR="008B2939">
        <w:t>.</w:t>
      </w:r>
      <w:r w:rsidR="00D249CD">
        <w:t xml:space="preserve">  </w:t>
      </w:r>
      <w:r w:rsidR="0083781B">
        <w:t xml:space="preserve">A </w:t>
      </w:r>
      <w:r w:rsidR="00F74A67">
        <w:t xml:space="preserve">second high-speed </w:t>
      </w:r>
      <w:r w:rsidR="00B25C7B">
        <w:t>chase</w:t>
      </w:r>
      <w:r w:rsidR="0083781B">
        <w:t xml:space="preserve"> ensued</w:t>
      </w:r>
      <w:r w:rsidR="00F74A67">
        <w:t xml:space="preserve">. </w:t>
      </w:r>
    </w:p>
    <w:p w14:paraId="2E820896" w14:textId="16D7055B" w:rsidR="00A90473" w:rsidRPr="00E4176F" w:rsidRDefault="0061079E" w:rsidP="00C717F8">
      <w:pPr>
        <w:pStyle w:val="bodytext"/>
        <w:keepNext/>
        <w:rPr>
          <w:b/>
          <w:bCs/>
        </w:rPr>
      </w:pPr>
      <w:r w:rsidRPr="00E4176F">
        <w:rPr>
          <w:b/>
          <w:bCs/>
        </w:rPr>
        <w:t xml:space="preserve">The Second </w:t>
      </w:r>
      <w:r w:rsidR="00E66275">
        <w:rPr>
          <w:b/>
          <w:bCs/>
        </w:rPr>
        <w:t>Evasion</w:t>
      </w:r>
      <w:r w:rsidR="00457D58">
        <w:rPr>
          <w:b/>
          <w:bCs/>
        </w:rPr>
        <w:t xml:space="preserve"> and Pursuit</w:t>
      </w:r>
      <w:r w:rsidR="00E66275">
        <w:rPr>
          <w:b/>
          <w:bCs/>
        </w:rPr>
        <w:t xml:space="preserve"> &amp; the</w:t>
      </w:r>
      <w:r w:rsidRPr="00E4176F">
        <w:rPr>
          <w:b/>
          <w:bCs/>
        </w:rPr>
        <w:t xml:space="preserve"> Fatal Crash</w:t>
      </w:r>
    </w:p>
    <w:p w14:paraId="796A46F2" w14:textId="310F56C3" w:rsidR="00453A03" w:rsidRDefault="0061079E" w:rsidP="00D249CD">
      <w:pPr>
        <w:pStyle w:val="bodytext"/>
      </w:pPr>
      <w:r>
        <w:t xml:space="preserve">This pursuit included a </w:t>
      </w:r>
      <w:r w:rsidR="00B25C7B">
        <w:t>freeway sprint</w:t>
      </w:r>
      <w:r w:rsidR="00686FCC">
        <w:t xml:space="preserve"> on Interstate 80</w:t>
      </w:r>
      <w:r w:rsidR="00B25C7B">
        <w:t xml:space="preserve"> </w:t>
      </w:r>
      <w:r w:rsidR="00FA642F">
        <w:t xml:space="preserve">toward Sacramento </w:t>
      </w:r>
      <w:r w:rsidR="004562FC">
        <w:t xml:space="preserve">up to 120 </w:t>
      </w:r>
      <w:r w:rsidR="00B25C7B">
        <w:t>m</w:t>
      </w:r>
      <w:r w:rsidR="000E147F">
        <w:t>iles per hour</w:t>
      </w:r>
      <w:r w:rsidR="00B25C7B">
        <w:t xml:space="preserve"> </w:t>
      </w:r>
      <w:r w:rsidR="00505298">
        <w:t xml:space="preserve">through </w:t>
      </w:r>
      <w:r w:rsidR="00B25C7B">
        <w:t>early</w:t>
      </w:r>
      <w:r w:rsidR="00B513BD">
        <w:t xml:space="preserve"> morning</w:t>
      </w:r>
      <w:r w:rsidR="00B25C7B">
        <w:t xml:space="preserve"> </w:t>
      </w:r>
      <w:r>
        <w:t xml:space="preserve">rush hour traffic. </w:t>
      </w:r>
      <w:r w:rsidR="007B6A96">
        <w:t xml:space="preserve"> During the freeway pursuant, Ruslan made several unsafe lane changes to get around traffic.  When the traffic got heavier and began to slow</w:t>
      </w:r>
      <w:r w:rsidR="00FA642F">
        <w:t xml:space="preserve">, </w:t>
      </w:r>
      <w:r w:rsidR="008737DB">
        <w:t xml:space="preserve">Ruslan </w:t>
      </w:r>
      <w:r w:rsidR="00FA642F">
        <w:t>drove</w:t>
      </w:r>
      <w:r w:rsidR="007B6A96">
        <w:t xml:space="preserve"> </w:t>
      </w:r>
      <w:r w:rsidR="002A7389">
        <w:t xml:space="preserve">the truck </w:t>
      </w:r>
      <w:r w:rsidR="007B6A96">
        <w:t>from the number one lan</w:t>
      </w:r>
      <w:r w:rsidR="008B291D">
        <w:t>e</w:t>
      </w:r>
      <w:r w:rsidR="007B6A96">
        <w:t xml:space="preserve"> onto</w:t>
      </w:r>
      <w:r w:rsidR="00FA642F">
        <w:t xml:space="preserve"> the</w:t>
      </w:r>
      <w:r w:rsidR="008737DB">
        <w:t xml:space="preserve"> </w:t>
      </w:r>
      <w:r w:rsidR="009659B2">
        <w:t xml:space="preserve">emergency lane next to </w:t>
      </w:r>
      <w:r w:rsidR="008737DB">
        <w:t xml:space="preserve">the center divider. </w:t>
      </w:r>
      <w:r w:rsidR="009659B2">
        <w:t xml:space="preserve"> One of the pursuing deputies called this the “suicide lane.”</w:t>
      </w:r>
      <w:r w:rsidR="008737DB">
        <w:t xml:space="preserve">  </w:t>
      </w:r>
      <w:r w:rsidR="00B513BD">
        <w:t xml:space="preserve">He </w:t>
      </w:r>
      <w:r w:rsidR="00760C98">
        <w:t xml:space="preserve">described the traffic as “pretty heavy,” adding “we’re getting into rush hour traffic, a lot of vehicles headed to work.”  </w:t>
      </w:r>
      <w:r w:rsidR="00153A91" w:rsidRPr="006559E6">
        <w:t>Utilizing the suicide lane, Ruslan</w:t>
      </w:r>
      <w:r w:rsidR="00153A91">
        <w:t xml:space="preserve"> passed the traffic in the number one lane.  At one point, </w:t>
      </w:r>
      <w:r w:rsidR="00B513BD">
        <w:t>the pickup</w:t>
      </w:r>
      <w:r w:rsidR="00153A91">
        <w:t xml:space="preserve"> moved into the diamond lane, where there was no traffic.  </w:t>
      </w:r>
      <w:r w:rsidR="008B291D">
        <w:t xml:space="preserve">As </w:t>
      </w:r>
      <w:r w:rsidR="00B513BD">
        <w:t>the two brothers</w:t>
      </w:r>
      <w:r w:rsidR="008B291D">
        <w:t xml:space="preserve"> approached Antelope Road, the traffic began to spread out and</w:t>
      </w:r>
      <w:r w:rsidR="0065772F">
        <w:t xml:space="preserve"> Ruslan </w:t>
      </w:r>
      <w:r w:rsidR="008737DB">
        <w:t xml:space="preserve">abruptly </w:t>
      </w:r>
      <w:r w:rsidR="0065772F">
        <w:t xml:space="preserve">cut across </w:t>
      </w:r>
      <w:r w:rsidR="008B291D">
        <w:t>the</w:t>
      </w:r>
      <w:r w:rsidR="008737DB">
        <w:t xml:space="preserve"> </w:t>
      </w:r>
      <w:r w:rsidR="00D249CD">
        <w:t xml:space="preserve">freeway </w:t>
      </w:r>
      <w:r w:rsidR="0065772F">
        <w:t xml:space="preserve">lanes to </w:t>
      </w:r>
      <w:r w:rsidR="00FA642F">
        <w:t xml:space="preserve">the </w:t>
      </w:r>
      <w:r w:rsidR="0065772F">
        <w:t>exit</w:t>
      </w:r>
      <w:r w:rsidR="00FA642F">
        <w:t xml:space="preserve"> at Antelope Road</w:t>
      </w:r>
      <w:r w:rsidR="0065772F">
        <w:t>.</w:t>
      </w:r>
      <w:r w:rsidR="00D249CD">
        <w:t xml:space="preserve">  </w:t>
      </w:r>
      <w:r w:rsidR="0065772F">
        <w:t xml:space="preserve">He then ran a </w:t>
      </w:r>
      <w:r w:rsidR="00960A7D">
        <w:t xml:space="preserve">series of </w:t>
      </w:r>
      <w:r w:rsidR="0065772F">
        <w:t>red light</w:t>
      </w:r>
      <w:r w:rsidR="00960A7D">
        <w:t>s</w:t>
      </w:r>
      <w:r w:rsidR="00686FCC">
        <w:t xml:space="preserve"> on </w:t>
      </w:r>
      <w:r w:rsidR="00E22568">
        <w:t>Antelope Road</w:t>
      </w:r>
      <w:r w:rsidR="00960A7D">
        <w:t xml:space="preserve">, </w:t>
      </w:r>
      <w:r w:rsidR="00505298">
        <w:t xml:space="preserve">driving </w:t>
      </w:r>
      <w:r w:rsidR="00960A7D">
        <w:t>80 to 90 m</w:t>
      </w:r>
      <w:r w:rsidR="00584037">
        <w:t>iles per hour</w:t>
      </w:r>
      <w:r w:rsidR="00960A7D">
        <w:t>.</w:t>
      </w:r>
      <w:r w:rsidR="00D249CD">
        <w:t xml:space="preserve">  </w:t>
      </w:r>
      <w:r w:rsidR="00DF1FE5">
        <w:t>I</w:t>
      </w:r>
      <w:r w:rsidR="00557F0D">
        <w:t xml:space="preserve">t was </w:t>
      </w:r>
      <w:r w:rsidR="00DF1FE5">
        <w:t xml:space="preserve">then </w:t>
      </w:r>
      <w:r w:rsidR="00557F0D">
        <w:t xml:space="preserve">approximately 6:30 a.m.  </w:t>
      </w:r>
      <w:r w:rsidR="00B25C7B">
        <w:t xml:space="preserve">The chase ended when </w:t>
      </w:r>
      <w:r w:rsidR="00D249CD">
        <w:t>Ruslan ran a red light</w:t>
      </w:r>
      <w:r w:rsidR="00914CC3">
        <w:t xml:space="preserve"> at high speed</w:t>
      </w:r>
      <w:r w:rsidR="00D249CD">
        <w:t xml:space="preserve"> </w:t>
      </w:r>
      <w:r w:rsidR="00B25C7B">
        <w:t xml:space="preserve">and </w:t>
      </w:r>
      <w:r>
        <w:t>collid</w:t>
      </w:r>
      <w:r w:rsidR="00B25C7B">
        <w:t>ed</w:t>
      </w:r>
      <w:r>
        <w:t xml:space="preserve"> with </w:t>
      </w:r>
      <w:r w:rsidR="00324D49">
        <w:t>a small Kia</w:t>
      </w:r>
      <w:r w:rsidR="00B25C7B">
        <w:t>,</w:t>
      </w:r>
      <w:r w:rsidR="00D249CD">
        <w:t xml:space="preserve"> </w:t>
      </w:r>
      <w:r w:rsidR="004B5986">
        <w:t xml:space="preserve">killing </w:t>
      </w:r>
      <w:r w:rsidR="00D249CD">
        <w:t xml:space="preserve">its </w:t>
      </w:r>
      <w:r w:rsidR="006B4CBA">
        <w:t>two occupants</w:t>
      </w:r>
      <w:r w:rsidR="00D249CD">
        <w:t>.</w:t>
      </w:r>
      <w:r w:rsidR="00E22568">
        <w:t xml:space="preserve">  </w:t>
      </w:r>
      <w:r w:rsidR="007D1655" w:rsidRPr="00557F0D">
        <w:t xml:space="preserve">The pursuit of the </w:t>
      </w:r>
      <w:r w:rsidR="004227E5">
        <w:t>truck</w:t>
      </w:r>
      <w:r w:rsidR="007D1655" w:rsidRPr="00557F0D">
        <w:t xml:space="preserve"> lasted approximately eight or nine minutes.  </w:t>
      </w:r>
      <w:r w:rsidR="00E22568">
        <w:t xml:space="preserve">We discuss the portion of the pursuit </w:t>
      </w:r>
      <w:r w:rsidR="00FA642F">
        <w:t>from the Interstate 80 exit</w:t>
      </w:r>
      <w:r w:rsidR="004227E5">
        <w:t>, down</w:t>
      </w:r>
      <w:r w:rsidR="00E22568">
        <w:t xml:space="preserve"> Antelope Road </w:t>
      </w:r>
      <w:r w:rsidR="004227E5">
        <w:t xml:space="preserve">to </w:t>
      </w:r>
      <w:r w:rsidR="00FA642F">
        <w:t xml:space="preserve">the collision </w:t>
      </w:r>
      <w:r w:rsidR="004227E5">
        <w:t xml:space="preserve">site </w:t>
      </w:r>
      <w:r w:rsidR="00E22568">
        <w:t xml:space="preserve">in more detail </w:t>
      </w:r>
      <w:r w:rsidR="0083781B">
        <w:t>in Discussion part V</w:t>
      </w:r>
      <w:r w:rsidR="00CC7371">
        <w:t>,</w:t>
      </w:r>
      <w:r w:rsidR="0083781B" w:rsidRPr="00E22568">
        <w:rPr>
          <w:i/>
          <w:iCs/>
        </w:rPr>
        <w:t xml:space="preserve"> </w:t>
      </w:r>
      <w:r w:rsidR="00E22568" w:rsidRPr="00E4176F">
        <w:rPr>
          <w:i/>
          <w:iCs/>
        </w:rPr>
        <w:t>post</w:t>
      </w:r>
      <w:r w:rsidR="00E22568">
        <w:t>.</w:t>
      </w:r>
    </w:p>
    <w:p w14:paraId="688786F9" w14:textId="3D9FFFA6" w:rsidR="00E66275" w:rsidRPr="00E4176F" w:rsidRDefault="0061079E" w:rsidP="00C717F8">
      <w:pPr>
        <w:pStyle w:val="bodytext"/>
        <w:keepNext/>
        <w:rPr>
          <w:b/>
          <w:bCs/>
        </w:rPr>
      </w:pPr>
      <w:bookmarkStart w:id="14" w:name="ElPgBr6"/>
      <w:bookmarkEnd w:id="14"/>
      <w:r w:rsidRPr="00E4176F">
        <w:rPr>
          <w:b/>
          <w:bCs/>
        </w:rPr>
        <w:lastRenderedPageBreak/>
        <w:t xml:space="preserve">The Arrests and </w:t>
      </w:r>
      <w:r w:rsidRPr="00E4176F">
        <w:rPr>
          <w:b/>
          <w:bCs/>
        </w:rPr>
        <w:t>Statements to Law Enforcement</w:t>
      </w:r>
    </w:p>
    <w:p w14:paraId="3C2314E9" w14:textId="18F70BD5" w:rsidR="00BD04D3" w:rsidRDefault="0061079E" w:rsidP="00D249CD">
      <w:pPr>
        <w:pStyle w:val="bodytext"/>
      </w:pPr>
      <w:bookmarkStart w:id="15" w:name="_Hlk99383279"/>
      <w:r>
        <w:t xml:space="preserve">Ruslan and Roman </w:t>
      </w:r>
      <w:r w:rsidR="00505298">
        <w:t xml:space="preserve">then </w:t>
      </w:r>
      <w:r>
        <w:t>ran from the crash</w:t>
      </w:r>
      <w:r w:rsidR="009D4055">
        <w:t xml:space="preserve"> </w:t>
      </w:r>
      <w:r w:rsidR="00505298">
        <w:t>site</w:t>
      </w:r>
      <w:r w:rsidR="004227E5">
        <w:t xml:space="preserve"> without checking on the occupants of the Kia</w:t>
      </w:r>
      <w:r>
        <w:t xml:space="preserve">.  </w:t>
      </w:r>
      <w:bookmarkEnd w:id="15"/>
      <w:r w:rsidR="006B4CBA">
        <w:t>Roman</w:t>
      </w:r>
      <w:r w:rsidR="00505298">
        <w:t xml:space="preserve"> was</w:t>
      </w:r>
      <w:r w:rsidR="006B4CBA">
        <w:t xml:space="preserve"> </w:t>
      </w:r>
      <w:r w:rsidR="00505298">
        <w:t xml:space="preserve">arrested </w:t>
      </w:r>
      <w:r w:rsidR="004227E5">
        <w:t xml:space="preserve">in a nearby neighborhood </w:t>
      </w:r>
      <w:r w:rsidR="00505298">
        <w:t xml:space="preserve">shortly </w:t>
      </w:r>
      <w:r w:rsidR="00417CD6">
        <w:t>there</w:t>
      </w:r>
      <w:r w:rsidR="00505298">
        <w:t>after</w:t>
      </w:r>
      <w:r w:rsidR="004B536E">
        <w:t xml:space="preserve">.  </w:t>
      </w:r>
    </w:p>
    <w:p w14:paraId="7D30A779" w14:textId="20FBA88D" w:rsidR="00025940" w:rsidRDefault="0061079E" w:rsidP="00D249CD">
      <w:pPr>
        <w:pStyle w:val="bodytext"/>
      </w:pPr>
      <w:r>
        <w:t xml:space="preserve">Before </w:t>
      </w:r>
      <w:r w:rsidR="00505298">
        <w:t>Ruslan was arrested</w:t>
      </w:r>
      <w:r>
        <w:t xml:space="preserve">, startled </w:t>
      </w:r>
      <w:r w:rsidR="00F352DF">
        <w:t>residents</w:t>
      </w:r>
      <w:r>
        <w:t xml:space="preserve"> </w:t>
      </w:r>
      <w:r w:rsidR="008E7195">
        <w:t xml:space="preserve">in a nearby home </w:t>
      </w:r>
      <w:r>
        <w:t>dis</w:t>
      </w:r>
      <w:r>
        <w:t xml:space="preserve">covered </w:t>
      </w:r>
      <w:r w:rsidR="00505298">
        <w:t xml:space="preserve">him </w:t>
      </w:r>
      <w:r>
        <w:t>in their home</w:t>
      </w:r>
      <w:r w:rsidR="0060627E">
        <w:t>,</w:t>
      </w:r>
      <w:r>
        <w:t xml:space="preserve"> drinking a glass of water.</w:t>
      </w:r>
      <w:r w:rsidR="00D37449">
        <w:t xml:space="preserve">  </w:t>
      </w:r>
      <w:r w:rsidR="00505298">
        <w:t xml:space="preserve">Ruslan left the house after a </w:t>
      </w:r>
      <w:r w:rsidR="00F352DF">
        <w:t>resident threaten</w:t>
      </w:r>
      <w:r w:rsidR="0060627E">
        <w:t xml:space="preserve">ed </w:t>
      </w:r>
      <w:r w:rsidR="00D37449">
        <w:t xml:space="preserve">to get his gun.  </w:t>
      </w:r>
      <w:r w:rsidR="00F352DF">
        <w:t xml:space="preserve">At a different home, a resident </w:t>
      </w:r>
      <w:r w:rsidR="001A3CBB">
        <w:t xml:space="preserve">discovered </w:t>
      </w:r>
      <w:r w:rsidR="00F352DF">
        <w:t xml:space="preserve">Ruslan trying to pry open her sliding glass door.  </w:t>
      </w:r>
      <w:r w:rsidR="009E3602">
        <w:t xml:space="preserve">She yelled to her boyfriend to “grab the gun.”  </w:t>
      </w:r>
      <w:r w:rsidR="0060627E">
        <w:t>A</w:t>
      </w:r>
      <w:r w:rsidR="00944259">
        <w:t xml:space="preserve"> </w:t>
      </w:r>
      <w:r w:rsidR="00BD04D3">
        <w:t xml:space="preserve">Sheriff’s </w:t>
      </w:r>
      <w:r w:rsidR="00944259">
        <w:t xml:space="preserve">K9 unit soon found </w:t>
      </w:r>
      <w:r w:rsidR="0060627E">
        <w:t xml:space="preserve">Ruslan </w:t>
      </w:r>
      <w:r w:rsidR="00944259">
        <w:t xml:space="preserve">in </w:t>
      </w:r>
      <w:r w:rsidR="000D2F42">
        <w:t>the</w:t>
      </w:r>
      <w:r w:rsidR="001A3CBB">
        <w:t xml:space="preserve"> </w:t>
      </w:r>
      <w:r w:rsidR="009E3602">
        <w:t xml:space="preserve">backyard. </w:t>
      </w:r>
      <w:r w:rsidR="00DD45EB">
        <w:t xml:space="preserve"> </w:t>
      </w:r>
    </w:p>
    <w:p w14:paraId="61C9D7FC" w14:textId="4A3D227F" w:rsidR="007964A7" w:rsidRDefault="0061079E" w:rsidP="00D249CD">
      <w:pPr>
        <w:pStyle w:val="bodytext"/>
      </w:pPr>
      <w:r>
        <w:t xml:space="preserve">Both juries heard that </w:t>
      </w:r>
      <w:r w:rsidR="00CC7371">
        <w:t xml:space="preserve">when he briefly talked to the police after his arrest, </w:t>
      </w:r>
      <w:r w:rsidR="00025940" w:rsidRPr="00755C3E">
        <w:t xml:space="preserve">Ruslan </w:t>
      </w:r>
      <w:r w:rsidR="0040229A">
        <w:t>claimed</w:t>
      </w:r>
      <w:r w:rsidR="00025940" w:rsidRPr="00755C3E">
        <w:t xml:space="preserve"> he had been driving both vehicles.  </w:t>
      </w:r>
      <w:r>
        <w:t>Ruslan’s jury heard statements he made to medical staff which were overheard by an officer.  When asked</w:t>
      </w:r>
      <w:r w:rsidR="0040229A">
        <w:t xml:space="preserve"> by medical staff</w:t>
      </w:r>
      <w:r>
        <w:t xml:space="preserve"> if he had hit the steering wheel, Ruslan replied, “Yeah I think so.” </w:t>
      </w:r>
      <w:r w:rsidR="00D3638C">
        <w:t xml:space="preserve"> </w:t>
      </w:r>
      <w:r>
        <w:t>He also said he had been involved in</w:t>
      </w:r>
      <w:r>
        <w:t xml:space="preserve"> two accidents — one at 70 miles per hour and another one at 90 </w:t>
      </w:r>
      <w:r w:rsidR="00584037">
        <w:t>miles per hour</w:t>
      </w:r>
      <w:r w:rsidR="008E7110">
        <w:t>.</w:t>
      </w:r>
      <w:r>
        <w:rPr>
          <w:rStyle w:val="FootnoteReference"/>
        </w:rPr>
        <w:footnoteReference w:id="9"/>
      </w:r>
      <w:r>
        <w:t xml:space="preserve"> </w:t>
      </w:r>
      <w:bookmarkStart w:id="16" w:name="_Hlk98931893"/>
    </w:p>
    <w:bookmarkEnd w:id="16"/>
    <w:p w14:paraId="4E95CD02" w14:textId="6469B14C" w:rsidR="00F352DF" w:rsidRDefault="0061079E" w:rsidP="00D249CD">
      <w:pPr>
        <w:pStyle w:val="bodytext"/>
      </w:pPr>
      <w:r>
        <w:t xml:space="preserve">Roman also gave statements to the police after his arrest.  </w:t>
      </w:r>
      <w:r w:rsidR="0083781B">
        <w:t xml:space="preserve">He denied </w:t>
      </w:r>
      <w:r w:rsidR="00C16D65">
        <w:t xml:space="preserve">going </w:t>
      </w:r>
      <w:r w:rsidR="0083781B">
        <w:t>to Auburn to ste</w:t>
      </w:r>
      <w:r w:rsidR="00D3638C">
        <w:t>a</w:t>
      </w:r>
      <w:r w:rsidR="0083781B">
        <w:t>l from cars, claiming they went there</w:t>
      </w:r>
      <w:r w:rsidR="00A94AF1">
        <w:t xml:space="preserve"> </w:t>
      </w:r>
      <w:r w:rsidR="0078342A">
        <w:t xml:space="preserve">in the early </w:t>
      </w:r>
      <w:r w:rsidR="00D3638C">
        <w:t>morning</w:t>
      </w:r>
      <w:r w:rsidR="0078342A">
        <w:t xml:space="preserve"> hours</w:t>
      </w:r>
      <w:r w:rsidR="00A94AF1">
        <w:t xml:space="preserve"> </w:t>
      </w:r>
      <w:r w:rsidR="0083781B">
        <w:t xml:space="preserve">because they had </w:t>
      </w:r>
      <w:r w:rsidR="001E45BC">
        <w:t>“</w:t>
      </w:r>
      <w:r w:rsidR="0083781B">
        <w:t>nothing to do</w:t>
      </w:r>
      <w:r w:rsidR="001E45BC">
        <w:t>”</w:t>
      </w:r>
      <w:r w:rsidR="0083781B">
        <w:t xml:space="preserve"> and Auburn was a “</w:t>
      </w:r>
      <w:r w:rsidR="00A94AF1">
        <w:t xml:space="preserve">pretty </w:t>
      </w:r>
      <w:r w:rsidR="0083781B">
        <w:t xml:space="preserve">cool place.”  </w:t>
      </w:r>
      <w:r w:rsidR="005B7E25">
        <w:t xml:space="preserve">He said it was his idea to go to Auburn.  </w:t>
      </w:r>
      <w:r w:rsidR="0083781B">
        <w:t xml:space="preserve">Later, he </w:t>
      </w:r>
      <w:r w:rsidR="00335BD7">
        <w:t xml:space="preserve">said </w:t>
      </w:r>
      <w:r w:rsidR="00121778">
        <w:t>they had gone there to ste</w:t>
      </w:r>
      <w:r w:rsidR="00C16D65">
        <w:t>a</w:t>
      </w:r>
      <w:r w:rsidR="00121778">
        <w:t>l from cars</w:t>
      </w:r>
      <w:r w:rsidR="0078342A">
        <w:t>.  But he claimed they had only</w:t>
      </w:r>
      <w:r w:rsidR="0083781B">
        <w:t xml:space="preserve"> tried </w:t>
      </w:r>
      <w:r w:rsidR="005B7E25">
        <w:t xml:space="preserve">to get into a couple of cars </w:t>
      </w:r>
      <w:r w:rsidR="0078342A">
        <w:t xml:space="preserve">and </w:t>
      </w:r>
      <w:r w:rsidR="00121778">
        <w:t>did not get inside</w:t>
      </w:r>
      <w:r w:rsidR="005B7E25">
        <w:t xml:space="preserve">.  </w:t>
      </w:r>
      <w:r w:rsidR="00C16D65">
        <w:t xml:space="preserve">He also, </w:t>
      </w:r>
      <w:r w:rsidR="00F946B0">
        <w:t xml:space="preserve">claimed </w:t>
      </w:r>
      <w:r w:rsidR="00C16D65">
        <w:t xml:space="preserve">at first that </w:t>
      </w:r>
      <w:r w:rsidR="00F946B0">
        <w:t xml:space="preserve">Ruslan was driving the BMW when they crashed.  </w:t>
      </w:r>
      <w:r w:rsidR="00F455D2">
        <w:t>But l</w:t>
      </w:r>
      <w:r w:rsidR="0083781B">
        <w:t xml:space="preserve">ater, </w:t>
      </w:r>
      <w:r w:rsidR="00F455D2">
        <w:t xml:space="preserve">he </w:t>
      </w:r>
      <w:r w:rsidR="0083781B">
        <w:t xml:space="preserve">admitted he </w:t>
      </w:r>
      <w:r w:rsidR="00F455D2">
        <w:t xml:space="preserve">crashed </w:t>
      </w:r>
      <w:r w:rsidR="0083781B">
        <w:t xml:space="preserve">the BMW.  </w:t>
      </w:r>
      <w:r>
        <w:t>He denied going into houses to get keys and claimed the keys were in the truck when they took it.  But he said he could not remember w</w:t>
      </w:r>
      <w:r>
        <w:t xml:space="preserve">here </w:t>
      </w:r>
      <w:r w:rsidR="000625D2">
        <w:t xml:space="preserve">the </w:t>
      </w:r>
      <w:r>
        <w:t xml:space="preserve">keys were within the truck. </w:t>
      </w:r>
      <w:r w:rsidR="000D5BE8">
        <w:t xml:space="preserve"> </w:t>
      </w:r>
      <w:r>
        <w:t>He said Ruslan was driving the truck when it crashed</w:t>
      </w:r>
      <w:r w:rsidR="0083781B">
        <w:t xml:space="preserve"> and he was in the backseat</w:t>
      </w:r>
      <w:r>
        <w:t xml:space="preserve">. </w:t>
      </w:r>
      <w:r w:rsidR="00282BE2">
        <w:t xml:space="preserve"> </w:t>
      </w:r>
      <w:bookmarkStart w:id="17" w:name="_Hlk98754695"/>
      <w:r w:rsidR="00D61AFA">
        <w:t>Roman had said earlier that he had a warrant for failing to go to court</w:t>
      </w:r>
      <w:r w:rsidR="001E45BC">
        <w:t xml:space="preserve">.  </w:t>
      </w:r>
      <w:bookmarkStart w:id="18" w:name="_Hlk99385445"/>
      <w:bookmarkStart w:id="19" w:name="_Hlk83754232"/>
      <w:bookmarkEnd w:id="17"/>
      <w:r w:rsidR="00D61AFA">
        <w:t xml:space="preserve">When </w:t>
      </w:r>
      <w:bookmarkStart w:id="20" w:name="ElPgBr7"/>
      <w:bookmarkEnd w:id="20"/>
      <w:r w:rsidR="00D61AFA">
        <w:lastRenderedPageBreak/>
        <w:t xml:space="preserve">asked whether they were trying to get away from law enforcement during the evasion in the truck, Roman said, “Not from the cops.  I just wanted to, not from cops in general.  </w:t>
      </w:r>
      <w:r w:rsidR="00D61AFA" w:rsidRPr="00E4176F">
        <w:rPr>
          <w:i/>
          <w:iCs/>
        </w:rPr>
        <w:t>I just, I didn’t want to go to jail</w:t>
      </w:r>
      <w:r w:rsidR="00D61AFA">
        <w:t xml:space="preserve">.” </w:t>
      </w:r>
      <w:bookmarkEnd w:id="18"/>
      <w:r w:rsidR="00220A18">
        <w:t xml:space="preserve"> </w:t>
      </w:r>
      <w:r w:rsidR="00D61AFA">
        <w:t xml:space="preserve">(Italics added.) </w:t>
      </w:r>
      <w:r w:rsidR="00220A18">
        <w:t xml:space="preserve"> </w:t>
      </w:r>
      <w:r>
        <w:t xml:space="preserve">We discuss additional statements Roman made in Discussion part V, </w:t>
      </w:r>
      <w:r w:rsidRPr="00C5791F">
        <w:rPr>
          <w:i/>
          <w:iCs/>
        </w:rPr>
        <w:t>post</w:t>
      </w:r>
      <w:r>
        <w:t>.</w:t>
      </w:r>
    </w:p>
    <w:bookmarkEnd w:id="19"/>
    <w:p w14:paraId="23F6F328" w14:textId="001DBBF1" w:rsidR="00025940" w:rsidRDefault="0061079E" w:rsidP="00A777A3">
      <w:pPr>
        <w:pStyle w:val="bodytext"/>
        <w:keepNext/>
        <w:ind w:firstLine="0"/>
        <w:jc w:val="center"/>
      </w:pPr>
      <w:r>
        <w:rPr>
          <w:b/>
        </w:rPr>
        <w:t xml:space="preserve">Verdicts </w:t>
      </w:r>
      <w:r>
        <w:rPr>
          <w:b/>
        </w:rPr>
        <w:t>and Sentencing</w:t>
      </w:r>
    </w:p>
    <w:p w14:paraId="53DB0EE3" w14:textId="1995371A" w:rsidR="00905A21" w:rsidRDefault="0061079E" w:rsidP="00161E97">
      <w:pPr>
        <w:pStyle w:val="bodytext"/>
      </w:pPr>
      <w:r>
        <w:t>Ruslan</w:t>
      </w:r>
      <w:r w:rsidR="00791C71">
        <w:t xml:space="preserve">’s jury </w:t>
      </w:r>
      <w:r>
        <w:t>found</w:t>
      </w:r>
      <w:r w:rsidR="00791C71">
        <w:t xml:space="preserve"> him</w:t>
      </w:r>
      <w:r>
        <w:t xml:space="preserve"> guilty of </w:t>
      </w:r>
      <w:r w:rsidR="00B073E5">
        <w:t>conspiracy</w:t>
      </w:r>
      <w:r w:rsidR="0046570F">
        <w:t xml:space="preserve"> to commit theft (</w:t>
      </w:r>
      <w:r>
        <w:t>Pen. Code</w:t>
      </w:r>
      <w:r w:rsidR="0090135A">
        <w:t>,</w:t>
      </w:r>
      <w:r>
        <w:t xml:space="preserve"> </w:t>
      </w:r>
      <w:r w:rsidR="0046570F">
        <w:t xml:space="preserve">§ 182; </w:t>
      </w:r>
      <w:r w:rsidR="00F725BB">
        <w:t>c</w:t>
      </w:r>
      <w:r w:rsidR="0046570F">
        <w:t>ount 1)</w:t>
      </w:r>
      <w:r>
        <w:rPr>
          <w:rStyle w:val="FootnoteReference"/>
        </w:rPr>
        <w:footnoteReference w:id="10"/>
      </w:r>
      <w:r>
        <w:t xml:space="preserve">; </w:t>
      </w:r>
      <w:r w:rsidR="00484D1F">
        <w:t xml:space="preserve">evading a peace officer with wanton disregard </w:t>
      </w:r>
      <w:r w:rsidR="00C129BA">
        <w:t xml:space="preserve">for safety </w:t>
      </w:r>
      <w:r w:rsidR="00484D1F">
        <w:t>(V</w:t>
      </w:r>
      <w:r w:rsidR="0090135A">
        <w:t xml:space="preserve">eh. </w:t>
      </w:r>
      <w:r w:rsidR="00484D1F">
        <w:t>C</w:t>
      </w:r>
      <w:r w:rsidR="0090135A">
        <w:t>ode,</w:t>
      </w:r>
      <w:r w:rsidR="00484D1F">
        <w:t xml:space="preserve"> § 2800.2; </w:t>
      </w:r>
      <w:r w:rsidR="00F725BB">
        <w:t>c</w:t>
      </w:r>
      <w:r w:rsidR="00484D1F">
        <w:t>ount 4)</w:t>
      </w:r>
      <w:r>
        <w:t xml:space="preserve">; </w:t>
      </w:r>
      <w:r w:rsidR="00484D1F">
        <w:t xml:space="preserve">first degree burglary with a </w:t>
      </w:r>
      <w:r>
        <w:t xml:space="preserve">person present </w:t>
      </w:r>
      <w:r w:rsidR="00484D1F">
        <w:t>(</w:t>
      </w:r>
      <w:r w:rsidR="00C3172B">
        <w:t xml:space="preserve">§ 459; </w:t>
      </w:r>
      <w:r w:rsidR="00F725BB">
        <w:t>c</w:t>
      </w:r>
      <w:r w:rsidR="00484D1F">
        <w:t>ount 5)</w:t>
      </w:r>
      <w:r>
        <w:t xml:space="preserve">; two counts of </w:t>
      </w:r>
      <w:r w:rsidR="00484D1F">
        <w:t>first degree felony murder</w:t>
      </w:r>
      <w:r w:rsidR="000D2F42">
        <w:t xml:space="preserve">, with </w:t>
      </w:r>
      <w:r>
        <w:t>find</w:t>
      </w:r>
      <w:r w:rsidR="00C3172B">
        <w:t>ing</w:t>
      </w:r>
      <w:r>
        <w:t xml:space="preserve">s </w:t>
      </w:r>
      <w:r w:rsidR="000D2F42">
        <w:t xml:space="preserve">of </w:t>
      </w:r>
      <w:r>
        <w:t xml:space="preserve">more </w:t>
      </w:r>
      <w:r w:rsidR="00C3172B">
        <w:t>than</w:t>
      </w:r>
      <w:r>
        <w:t xml:space="preserve"> one murder </w:t>
      </w:r>
      <w:r w:rsidR="00C3172B">
        <w:t>in the first degree</w:t>
      </w:r>
      <w:r w:rsidR="000D2F42">
        <w:t>,</w:t>
      </w:r>
      <w:r>
        <w:t xml:space="preserve"> </w:t>
      </w:r>
      <w:r w:rsidR="00B2208C">
        <w:t xml:space="preserve">and that the murder was committed during the commission of </w:t>
      </w:r>
      <w:r w:rsidR="000D2F42">
        <w:t xml:space="preserve">a </w:t>
      </w:r>
      <w:r w:rsidR="00B073E5">
        <w:t>burglary</w:t>
      </w:r>
      <w:r w:rsidR="00B2208C">
        <w:t xml:space="preserve"> </w:t>
      </w:r>
      <w:r w:rsidR="000D2F42">
        <w:t xml:space="preserve">(§§ 187, 190.2, subd. </w:t>
      </w:r>
      <w:bookmarkStart w:id="21" w:name="Elow4O"/>
      <w:bookmarkStart w:id="22" w:name="Elow4rO"/>
      <w:r w:rsidR="000D2F42">
        <w:t>(a)</w:t>
      </w:r>
      <w:bookmarkStart w:id="23" w:name="Elox4O"/>
      <w:bookmarkStart w:id="24" w:name="Elox4rO"/>
      <w:bookmarkEnd w:id="21"/>
      <w:bookmarkEnd w:id="22"/>
      <w:r w:rsidR="000D2F42">
        <w:t xml:space="preserve">(3) </w:t>
      </w:r>
      <w:bookmarkEnd w:id="23"/>
      <w:bookmarkEnd w:id="24"/>
      <w:r w:rsidR="000D2F42">
        <w:t xml:space="preserve">&amp; (a)(17); </w:t>
      </w:r>
      <w:r w:rsidR="00F725BB">
        <w:t>c</w:t>
      </w:r>
      <w:r w:rsidR="000D2F42">
        <w:t xml:space="preserve">ounts 6 &amp; 7); </w:t>
      </w:r>
      <w:r w:rsidR="00C3172B">
        <w:t xml:space="preserve">and </w:t>
      </w:r>
      <w:r w:rsidR="00B2208C">
        <w:t>trespass (§ 602.5; count 8)</w:t>
      </w:r>
      <w:r w:rsidR="00C3172B">
        <w:t xml:space="preserve">.  Ruslan’s jury </w:t>
      </w:r>
      <w:r>
        <w:t xml:space="preserve">deadlocked on </w:t>
      </w:r>
      <w:r w:rsidR="00CF721F">
        <w:t xml:space="preserve">one count of </w:t>
      </w:r>
      <w:r>
        <w:t xml:space="preserve">assault on a peace officer </w:t>
      </w:r>
      <w:r w:rsidR="00C3172B">
        <w:t xml:space="preserve">and </w:t>
      </w:r>
      <w:r w:rsidR="001F5AC5">
        <w:t>acquitted</w:t>
      </w:r>
      <w:r w:rsidR="00C3172B">
        <w:t xml:space="preserve"> him of</w:t>
      </w:r>
      <w:r w:rsidR="007423F7">
        <w:t xml:space="preserve"> an</w:t>
      </w:r>
      <w:r w:rsidR="00CF721F">
        <w:t xml:space="preserve">other </w:t>
      </w:r>
      <w:r w:rsidR="007423F7">
        <w:t xml:space="preserve">count of the same </w:t>
      </w:r>
      <w:r w:rsidR="0089057A">
        <w:t xml:space="preserve">offense </w:t>
      </w:r>
      <w:r w:rsidR="00CF721F">
        <w:t>(</w:t>
      </w:r>
      <w:r w:rsidR="00F725BB">
        <w:t>c</w:t>
      </w:r>
      <w:r>
        <w:t>ount</w:t>
      </w:r>
      <w:r w:rsidR="000D2F42">
        <w:t>s</w:t>
      </w:r>
      <w:r>
        <w:t xml:space="preserve"> </w:t>
      </w:r>
      <w:r w:rsidR="000D2F42">
        <w:t xml:space="preserve">2 &amp; </w:t>
      </w:r>
      <w:r>
        <w:t>3)</w:t>
      </w:r>
      <w:r w:rsidR="00CF721F">
        <w:t>.</w:t>
      </w:r>
      <w:r w:rsidR="001F5AC5">
        <w:t xml:space="preserve"> </w:t>
      </w:r>
    </w:p>
    <w:p w14:paraId="15D6EDA3" w14:textId="2FF3AD76" w:rsidR="00B140BE" w:rsidRDefault="0061079E" w:rsidP="00333BCA">
      <w:pPr>
        <w:pStyle w:val="bodytext"/>
      </w:pPr>
      <w:r>
        <w:t xml:space="preserve">Roman’s jury found him guilty of </w:t>
      </w:r>
      <w:r w:rsidR="00540916">
        <w:t>conspiracy</w:t>
      </w:r>
      <w:r>
        <w:t xml:space="preserve"> to commit theft (count 1)</w:t>
      </w:r>
      <w:r w:rsidR="00F91FA9">
        <w:t>;</w:t>
      </w:r>
      <w:r w:rsidR="00F91FA9" w:rsidRPr="00F91FA9">
        <w:t xml:space="preserve"> </w:t>
      </w:r>
      <w:r w:rsidR="00F91FA9">
        <w:t xml:space="preserve">evading a peace officer with wanton disregard </w:t>
      </w:r>
      <w:r w:rsidR="00C129BA">
        <w:t>for safety</w:t>
      </w:r>
      <w:r w:rsidR="00F91FA9">
        <w:t xml:space="preserve"> (</w:t>
      </w:r>
      <w:r w:rsidR="00F725BB">
        <w:t>c</w:t>
      </w:r>
      <w:r w:rsidR="00F91FA9">
        <w:t>ount 4) and two counts of second degree murder</w:t>
      </w:r>
      <w:r w:rsidR="00DC429C">
        <w:t xml:space="preserve"> (</w:t>
      </w:r>
      <w:r w:rsidR="00F725BB">
        <w:t>c</w:t>
      </w:r>
      <w:r w:rsidR="00DC429C">
        <w:t>ounts 6 and 7)</w:t>
      </w:r>
      <w:r w:rsidR="00F91FA9">
        <w:t>.  It found him not guilty</w:t>
      </w:r>
      <w:r>
        <w:t xml:space="preserve"> of </w:t>
      </w:r>
      <w:r w:rsidR="00CF721F">
        <w:t xml:space="preserve">both counts of </w:t>
      </w:r>
      <w:r>
        <w:t>assault on a peace officer (</w:t>
      </w:r>
      <w:r w:rsidR="00F725BB">
        <w:t>c</w:t>
      </w:r>
      <w:r>
        <w:t>ount</w:t>
      </w:r>
      <w:r w:rsidR="00CF721F">
        <w:t>s</w:t>
      </w:r>
      <w:r>
        <w:t xml:space="preserve"> 2</w:t>
      </w:r>
      <w:r w:rsidR="00CF721F">
        <w:t xml:space="preserve"> &amp; 3</w:t>
      </w:r>
      <w:r>
        <w:t>)</w:t>
      </w:r>
      <w:r w:rsidR="00F91FA9">
        <w:t xml:space="preserve"> </w:t>
      </w:r>
      <w:r w:rsidR="00CF721F">
        <w:t xml:space="preserve">and deadlocked on </w:t>
      </w:r>
      <w:r w:rsidR="009D02B5">
        <w:t xml:space="preserve">the residential </w:t>
      </w:r>
      <w:r w:rsidR="00CF721F">
        <w:t>burglary</w:t>
      </w:r>
      <w:r w:rsidR="009D02B5">
        <w:t xml:space="preserve"> count</w:t>
      </w:r>
      <w:r w:rsidR="00CF721F">
        <w:t xml:space="preserve">.  </w:t>
      </w:r>
    </w:p>
    <w:p w14:paraId="71675184" w14:textId="77777777" w:rsidR="001473CB" w:rsidRDefault="0061079E" w:rsidP="001473CB">
      <w:pPr>
        <w:pStyle w:val="bodytext"/>
      </w:pPr>
      <w:r w:rsidRPr="005A13BC">
        <w:t xml:space="preserve">Ruslan </w:t>
      </w:r>
      <w:r w:rsidR="00C76ED6">
        <w:t>was sentenced to t</w:t>
      </w:r>
      <w:r w:rsidR="00786CED">
        <w:t xml:space="preserve">wo terms of </w:t>
      </w:r>
      <w:r w:rsidR="000D2F42">
        <w:t>l</w:t>
      </w:r>
      <w:r w:rsidR="00AE329B" w:rsidRPr="00AE329B">
        <w:t xml:space="preserve">ife without the possibility of parole </w:t>
      </w:r>
      <w:r w:rsidR="000D2F42">
        <w:t xml:space="preserve">for murder, </w:t>
      </w:r>
      <w:r>
        <w:t xml:space="preserve">along with </w:t>
      </w:r>
      <w:r w:rsidR="00786CED">
        <w:t>concurrent</w:t>
      </w:r>
      <w:r>
        <w:t xml:space="preserve"> terms of f</w:t>
      </w:r>
      <w:r w:rsidR="00786CED">
        <w:t xml:space="preserve">our years </w:t>
      </w:r>
      <w:r>
        <w:t xml:space="preserve">(the middle term) </w:t>
      </w:r>
      <w:r w:rsidR="00786CED">
        <w:t>for burglary, two year</w:t>
      </w:r>
      <w:r>
        <w:t>s</w:t>
      </w:r>
      <w:r w:rsidR="00786CED">
        <w:t xml:space="preserve"> </w:t>
      </w:r>
      <w:r>
        <w:t xml:space="preserve">(the </w:t>
      </w:r>
      <w:r w:rsidR="00786CED">
        <w:t>middle term</w:t>
      </w:r>
      <w:r>
        <w:t>)</w:t>
      </w:r>
      <w:r w:rsidR="00786CED">
        <w:t xml:space="preserve"> for conspiracy to commit theft</w:t>
      </w:r>
      <w:r>
        <w:t xml:space="preserve">, two years (the middle term) </w:t>
      </w:r>
    </w:p>
    <w:p w14:paraId="23AF23D9" w14:textId="0E66A9B7" w:rsidR="00786CED" w:rsidRDefault="0061079E">
      <w:r>
        <w:t>for evading a pe</w:t>
      </w:r>
      <w:r>
        <w:t>ace officer</w:t>
      </w:r>
      <w:r w:rsidR="00D77824">
        <w:t>,</w:t>
      </w:r>
      <w:r w:rsidR="001473CB">
        <w:t xml:space="preserve"> and </w:t>
      </w:r>
      <w:r>
        <w:t xml:space="preserve">180 days for trespass. </w:t>
      </w:r>
    </w:p>
    <w:p w14:paraId="10FF0F15" w14:textId="5A243CDC" w:rsidR="00786CED" w:rsidRPr="00AD622C" w:rsidRDefault="0061079E" w:rsidP="001473CB">
      <w:pPr>
        <w:pStyle w:val="bodytext"/>
      </w:pPr>
      <w:r>
        <w:t xml:space="preserve">Roman </w:t>
      </w:r>
      <w:r w:rsidR="00F53C43">
        <w:t xml:space="preserve">was </w:t>
      </w:r>
      <w:r>
        <w:t>sentenc</w:t>
      </w:r>
      <w:r w:rsidR="00F53C43">
        <w:t xml:space="preserve">ed to </w:t>
      </w:r>
      <w:r w:rsidR="00161E97">
        <w:t xml:space="preserve">two consecutive 15-year-to-life terms for second degree murder, along with concurrent terms of two years (the middle term) for conspiracy to commit theft, and two years (the middle term) for evading a peace officer. </w:t>
      </w:r>
    </w:p>
    <w:p w14:paraId="23F2448A" w14:textId="1640F499" w:rsidR="00D259BB" w:rsidRPr="008A32ED" w:rsidRDefault="0061079E" w:rsidP="00D259BB">
      <w:pPr>
        <w:pStyle w:val="bodytext"/>
        <w:keepNext/>
        <w:ind w:firstLine="0"/>
        <w:jc w:val="center"/>
        <w:rPr>
          <w:b/>
        </w:rPr>
      </w:pPr>
      <w:bookmarkStart w:id="25" w:name="ElPgBr8"/>
      <w:bookmarkEnd w:id="25"/>
      <w:r w:rsidRPr="00914CC3">
        <w:rPr>
          <w:b/>
        </w:rPr>
        <w:lastRenderedPageBreak/>
        <w:t>RUSLAN’S CONTENTIONS</w:t>
      </w:r>
    </w:p>
    <w:p w14:paraId="203C268B" w14:textId="3138E605" w:rsidR="00D259BB" w:rsidRPr="009A6910" w:rsidRDefault="0061079E" w:rsidP="00D259BB">
      <w:pPr>
        <w:keepNext/>
        <w:jc w:val="center"/>
        <w:rPr>
          <w:b/>
        </w:rPr>
      </w:pPr>
      <w:bookmarkStart w:id="26" w:name="Elof5O"/>
      <w:bookmarkStart w:id="27" w:name="Elof5rO"/>
      <w:r w:rsidRPr="009A6910">
        <w:rPr>
          <w:b/>
        </w:rPr>
        <w:t>I.</w:t>
      </w:r>
      <w:r>
        <w:rPr>
          <w:b/>
        </w:rPr>
        <w:t xml:space="preserve">  </w:t>
      </w:r>
      <w:bookmarkEnd w:id="26"/>
      <w:bookmarkEnd w:id="27"/>
      <w:r w:rsidR="00EB5CD4">
        <w:rPr>
          <w:b/>
        </w:rPr>
        <w:t xml:space="preserve">Substantial </w:t>
      </w:r>
      <w:r w:rsidR="004A50D0">
        <w:rPr>
          <w:b/>
        </w:rPr>
        <w:t>E</w:t>
      </w:r>
      <w:r w:rsidR="00EB5CD4">
        <w:rPr>
          <w:b/>
        </w:rPr>
        <w:t xml:space="preserve">vidence </w:t>
      </w:r>
      <w:r w:rsidR="00DF11B6">
        <w:rPr>
          <w:b/>
        </w:rPr>
        <w:t xml:space="preserve">— </w:t>
      </w:r>
      <w:r w:rsidR="004A50D0">
        <w:rPr>
          <w:b/>
        </w:rPr>
        <w:t>B</w:t>
      </w:r>
      <w:r w:rsidR="00EB5CD4">
        <w:rPr>
          <w:b/>
        </w:rPr>
        <w:t xml:space="preserve">urglary </w:t>
      </w:r>
    </w:p>
    <w:p w14:paraId="3E9F761E" w14:textId="4A7E4A39" w:rsidR="0065457E" w:rsidRDefault="0061079E" w:rsidP="00180DE4">
      <w:pPr>
        <w:pStyle w:val="bodytext"/>
        <w:keepNext/>
      </w:pPr>
      <w:r>
        <w:t xml:space="preserve">Ruslan contends his </w:t>
      </w:r>
      <w:r w:rsidR="00002920">
        <w:t xml:space="preserve">conviction </w:t>
      </w:r>
      <w:r w:rsidR="00DA1C2F">
        <w:t xml:space="preserve">for burglary, and </w:t>
      </w:r>
      <w:r w:rsidR="00C44144">
        <w:t xml:space="preserve">the </w:t>
      </w:r>
      <w:r w:rsidR="00670286">
        <w:t xml:space="preserve">resulting </w:t>
      </w:r>
      <w:r w:rsidR="00DA1C2F">
        <w:t>felony</w:t>
      </w:r>
      <w:r w:rsidR="001C0FAD">
        <w:t>-</w:t>
      </w:r>
      <w:r w:rsidR="00DA1C2F">
        <w:t xml:space="preserve">murder </w:t>
      </w:r>
      <w:r w:rsidR="00670286">
        <w:t>convictions</w:t>
      </w:r>
      <w:r w:rsidR="00173A5B">
        <w:t>,</w:t>
      </w:r>
      <w:r>
        <w:t xml:space="preserve"> must be </w:t>
      </w:r>
      <w:r w:rsidR="003C7B33">
        <w:t>reversed</w:t>
      </w:r>
      <w:r>
        <w:t xml:space="preserve"> because insufficient evidence established </w:t>
      </w:r>
      <w:r w:rsidR="0060627E">
        <w:t xml:space="preserve">either </w:t>
      </w:r>
      <w:r>
        <w:t xml:space="preserve">he or Roman entered </w:t>
      </w:r>
      <w:r w:rsidR="00DF6FD4">
        <w:t xml:space="preserve">the home </w:t>
      </w:r>
      <w:r w:rsidR="00184D53">
        <w:t xml:space="preserve">from which </w:t>
      </w:r>
      <w:r w:rsidR="00DF6FD4">
        <w:t xml:space="preserve">the </w:t>
      </w:r>
      <w:r w:rsidR="00002920">
        <w:t xml:space="preserve">keys to </w:t>
      </w:r>
      <w:r w:rsidR="00C44144">
        <w:t xml:space="preserve">the </w:t>
      </w:r>
      <w:r w:rsidR="001C0FAD">
        <w:t xml:space="preserve">Ford </w:t>
      </w:r>
      <w:r w:rsidR="00C44144">
        <w:t>F-150</w:t>
      </w:r>
      <w:r w:rsidR="00DF6FD4">
        <w:t xml:space="preserve"> were stolen</w:t>
      </w:r>
      <w:r>
        <w:t xml:space="preserve">. </w:t>
      </w:r>
      <w:r w:rsidR="00002920">
        <w:t xml:space="preserve"> </w:t>
      </w:r>
      <w:r w:rsidR="00B3161C">
        <w:t xml:space="preserve">We disagree.  </w:t>
      </w:r>
    </w:p>
    <w:p w14:paraId="06832BA7" w14:textId="77777777" w:rsidR="00091D1D" w:rsidRPr="00091D1D" w:rsidRDefault="0061079E" w:rsidP="00180DE4">
      <w:pPr>
        <w:keepNext/>
        <w:jc w:val="center"/>
        <w:rPr>
          <w:b/>
        </w:rPr>
      </w:pPr>
      <w:bookmarkStart w:id="28" w:name="Elop5O"/>
      <w:bookmarkStart w:id="29" w:name="Elop5rO"/>
      <w:r w:rsidRPr="00091D1D">
        <w:rPr>
          <w:b/>
        </w:rPr>
        <w:t xml:space="preserve">A. </w:t>
      </w:r>
      <w:bookmarkEnd w:id="28"/>
      <w:bookmarkEnd w:id="29"/>
      <w:r w:rsidR="00190178">
        <w:rPr>
          <w:b/>
        </w:rPr>
        <w:t xml:space="preserve"> </w:t>
      </w:r>
      <w:r w:rsidRPr="00091D1D">
        <w:rPr>
          <w:b/>
        </w:rPr>
        <w:t>Additional Background</w:t>
      </w:r>
    </w:p>
    <w:p w14:paraId="712E5578" w14:textId="6345B013" w:rsidR="00625824" w:rsidRDefault="0061079E" w:rsidP="008858B3">
      <w:pPr>
        <w:pStyle w:val="bodytext"/>
      </w:pPr>
      <w:r>
        <w:t xml:space="preserve">A </w:t>
      </w:r>
      <w:r w:rsidR="00122E20">
        <w:t xml:space="preserve">witness </w:t>
      </w:r>
      <w:r>
        <w:t xml:space="preserve">testified that the </w:t>
      </w:r>
      <w:r w:rsidR="00420D98">
        <w:t xml:space="preserve">morning of the crash, the </w:t>
      </w:r>
      <w:r w:rsidR="00002920">
        <w:t>Ford F-150</w:t>
      </w:r>
      <w:r w:rsidR="008858B3">
        <w:t xml:space="preserve"> </w:t>
      </w:r>
      <w:r w:rsidR="00420D98">
        <w:t xml:space="preserve">was </w:t>
      </w:r>
      <w:r w:rsidR="008858B3">
        <w:t xml:space="preserve">stolen from the front of his house.  </w:t>
      </w:r>
      <w:r w:rsidR="00F01C44">
        <w:t xml:space="preserve">It had been parked on the street.  </w:t>
      </w:r>
      <w:r w:rsidR="00FA72E0">
        <w:t>A</w:t>
      </w:r>
      <w:r w:rsidR="00F01C44">
        <w:t xml:space="preserve">t </w:t>
      </w:r>
      <w:r w:rsidR="008858B3">
        <w:t>t</w:t>
      </w:r>
      <w:r w:rsidR="005A438B">
        <w:t xml:space="preserve">he </w:t>
      </w:r>
      <w:r w:rsidR="00F01C44">
        <w:t xml:space="preserve">time, the truck was </w:t>
      </w:r>
      <w:r w:rsidR="008858B3">
        <w:t xml:space="preserve">new and had been provided by his employer as a company vehicle.  </w:t>
      </w:r>
    </w:p>
    <w:p w14:paraId="1991D874" w14:textId="08850ABC" w:rsidR="007701B4" w:rsidRDefault="0061079E" w:rsidP="00487696">
      <w:pPr>
        <w:pStyle w:val="bodytext"/>
      </w:pPr>
      <w:r>
        <w:t xml:space="preserve">He </w:t>
      </w:r>
      <w:r w:rsidR="00487696">
        <w:t>testified that he habitually lock</w:t>
      </w:r>
      <w:r w:rsidR="005A438B">
        <w:t>ed</w:t>
      </w:r>
      <w:r w:rsidR="00487696">
        <w:t xml:space="preserve"> the truck before going inside</w:t>
      </w:r>
      <w:r w:rsidR="00C44144">
        <w:t xml:space="preserve"> his house</w:t>
      </w:r>
      <w:r w:rsidR="00487696">
        <w:t xml:space="preserve">.  </w:t>
      </w:r>
      <w:r w:rsidR="00990411">
        <w:t>Asked on cross</w:t>
      </w:r>
      <w:r w:rsidR="00C44144">
        <w:t>-examination</w:t>
      </w:r>
      <w:r w:rsidR="00990411">
        <w:t xml:space="preserve"> if he ever left the truck unlocked, </w:t>
      </w:r>
      <w:r w:rsidR="00487696">
        <w:t xml:space="preserve">he </w:t>
      </w:r>
      <w:r w:rsidR="00990411">
        <w:t>explained</w:t>
      </w:r>
      <w:r w:rsidR="00487696">
        <w:t>,</w:t>
      </w:r>
      <w:r w:rsidR="00990411">
        <w:t xml:space="preserve"> </w:t>
      </w:r>
      <w:r w:rsidR="008D78F4">
        <w:t>“Never, unless I was going back into the hou</w:t>
      </w:r>
      <w:r w:rsidR="00990411">
        <w:t>s</w:t>
      </w:r>
      <w:r w:rsidR="008D78F4">
        <w:t>e for something and coming back out.  I locked my work truck.”</w:t>
      </w:r>
      <w:r>
        <w:rPr>
          <w:rStyle w:val="FootnoteReference"/>
        </w:rPr>
        <w:footnoteReference w:id="11"/>
      </w:r>
      <w:r w:rsidR="008D78F4">
        <w:t xml:space="preserve"> </w:t>
      </w:r>
    </w:p>
    <w:p w14:paraId="0B29975C" w14:textId="1D8782FB" w:rsidR="00487696" w:rsidRDefault="0061079E" w:rsidP="00487696">
      <w:pPr>
        <w:pStyle w:val="bodytext"/>
      </w:pPr>
      <w:r>
        <w:t xml:space="preserve">The night the truck was stolen, </w:t>
      </w:r>
      <w:r w:rsidR="00B56A4B">
        <w:t xml:space="preserve">he left </w:t>
      </w:r>
      <w:r>
        <w:t xml:space="preserve">the keys on the </w:t>
      </w:r>
      <w:r w:rsidR="00B56A4B">
        <w:t xml:space="preserve">kitchen </w:t>
      </w:r>
      <w:r>
        <w:t xml:space="preserve">island along with his cigarettes.  Before going to bed, he </w:t>
      </w:r>
      <w:r w:rsidR="00B56A4B">
        <w:t xml:space="preserve">took </w:t>
      </w:r>
      <w:r w:rsidR="00D5491C">
        <w:t>a cigarette from the pack</w:t>
      </w:r>
      <w:r w:rsidR="00B56A4B">
        <w:t xml:space="preserve"> </w:t>
      </w:r>
      <w:r w:rsidR="00BB7AE8">
        <w:t>(</w:t>
      </w:r>
      <w:r w:rsidR="00B56A4B">
        <w:t xml:space="preserve">leaving the pack </w:t>
      </w:r>
      <w:r w:rsidR="00D5491C">
        <w:t>on the counter</w:t>
      </w:r>
      <w:r w:rsidR="00BB7AE8">
        <w:t>)</w:t>
      </w:r>
      <w:r>
        <w:t xml:space="preserve"> </w:t>
      </w:r>
      <w:r w:rsidR="00BB7AE8">
        <w:t xml:space="preserve">and </w:t>
      </w:r>
      <w:r>
        <w:t>smoked on the patio</w:t>
      </w:r>
      <w:r w:rsidR="00D5491C">
        <w:t xml:space="preserve"> </w:t>
      </w:r>
      <w:r>
        <w:t>before going up</w:t>
      </w:r>
      <w:r w:rsidR="00D5491C">
        <w:t xml:space="preserve">stairs to </w:t>
      </w:r>
      <w:r>
        <w:t xml:space="preserve">bed. </w:t>
      </w:r>
    </w:p>
    <w:p w14:paraId="55A06742" w14:textId="738A0BD6" w:rsidR="00A907E9" w:rsidRDefault="0061079E" w:rsidP="0090053A">
      <w:pPr>
        <w:pStyle w:val="bodytext"/>
      </w:pPr>
      <w:r>
        <w:t xml:space="preserve">In </w:t>
      </w:r>
      <w:r w:rsidR="0060627E">
        <w:t xml:space="preserve">the </w:t>
      </w:r>
      <w:r w:rsidR="00B56A4B">
        <w:t>morning, he c</w:t>
      </w:r>
      <w:r>
        <w:t xml:space="preserve">ame </w:t>
      </w:r>
      <w:r w:rsidR="00B56A4B">
        <w:t xml:space="preserve">out of </w:t>
      </w:r>
      <w:r>
        <w:t xml:space="preserve">his </w:t>
      </w:r>
      <w:r w:rsidR="00B56A4B">
        <w:t>bathroom</w:t>
      </w:r>
      <w:r>
        <w:t xml:space="preserve"> to hear </w:t>
      </w:r>
      <w:r w:rsidR="00B56A4B">
        <w:t xml:space="preserve">the truck’s panic alarm.  He </w:t>
      </w:r>
      <w:r>
        <w:t xml:space="preserve">testified </w:t>
      </w:r>
      <w:r w:rsidR="00B56A4B">
        <w:t>that</w:t>
      </w:r>
      <w:r w:rsidR="00F06BDC">
        <w:t>, if pushed,</w:t>
      </w:r>
      <w:r w:rsidR="00B56A4B">
        <w:t xml:space="preserve"> the panic button on the key fob beeps the horn</w:t>
      </w:r>
      <w:r w:rsidR="004A50D0">
        <w:t xml:space="preserve"> repeatedly</w:t>
      </w:r>
      <w:r w:rsidR="00B56A4B">
        <w:t xml:space="preserve">.  </w:t>
      </w:r>
      <w:r w:rsidR="007E7D62">
        <w:t>L</w:t>
      </w:r>
      <w:r>
        <w:t>ook</w:t>
      </w:r>
      <w:r w:rsidR="007E7D62">
        <w:t>ing</w:t>
      </w:r>
      <w:r>
        <w:t xml:space="preserve"> out the window</w:t>
      </w:r>
      <w:r w:rsidR="007E7D62">
        <w:t xml:space="preserve">, he </w:t>
      </w:r>
      <w:r w:rsidR="00363BC9">
        <w:t xml:space="preserve">saw </w:t>
      </w:r>
      <w:r w:rsidR="004C394C">
        <w:t xml:space="preserve">the </w:t>
      </w:r>
      <w:r w:rsidR="00363BC9">
        <w:t xml:space="preserve">truck pull away from the curb.  </w:t>
      </w:r>
      <w:r>
        <w:t>He dialed 911 and ran outside</w:t>
      </w:r>
      <w:r w:rsidR="0090053A">
        <w:t xml:space="preserve"> to see </w:t>
      </w:r>
      <w:r w:rsidR="004C394C">
        <w:t xml:space="preserve">the </w:t>
      </w:r>
      <w:r>
        <w:t xml:space="preserve">truck </w:t>
      </w:r>
      <w:r w:rsidR="00812B2F">
        <w:t xml:space="preserve">turn </w:t>
      </w:r>
      <w:r>
        <w:t xml:space="preserve">into a dead end, </w:t>
      </w:r>
      <w:r w:rsidR="00812B2F">
        <w:t xml:space="preserve">only to </w:t>
      </w:r>
      <w:r>
        <w:t>come back, pursued by</w:t>
      </w:r>
      <w:r>
        <w:t xml:space="preserve"> numerous police cars.  </w:t>
      </w:r>
    </w:p>
    <w:p w14:paraId="05A629B8" w14:textId="757DE656" w:rsidR="007E7D62" w:rsidRDefault="0061079E" w:rsidP="00CF0545">
      <w:pPr>
        <w:pStyle w:val="bodytext"/>
      </w:pPr>
      <w:bookmarkStart w:id="30" w:name="ElPgBr9"/>
      <w:bookmarkEnd w:id="30"/>
      <w:r>
        <w:lastRenderedPageBreak/>
        <w:t xml:space="preserve">He </w:t>
      </w:r>
      <w:r w:rsidR="00555C71">
        <w:t xml:space="preserve">went back </w:t>
      </w:r>
      <w:r w:rsidR="0090053A">
        <w:t xml:space="preserve">inside his house and </w:t>
      </w:r>
      <w:r>
        <w:t xml:space="preserve">discovered </w:t>
      </w:r>
      <w:r w:rsidR="004C394C">
        <w:t xml:space="preserve">the </w:t>
      </w:r>
      <w:r w:rsidR="0090053A">
        <w:t xml:space="preserve">keys and </w:t>
      </w:r>
      <w:r w:rsidR="004C394C">
        <w:t xml:space="preserve">his </w:t>
      </w:r>
      <w:r w:rsidR="0090053A">
        <w:t xml:space="preserve">cigarettes were missing from the kitchen island.  He </w:t>
      </w:r>
      <w:r w:rsidR="00FD2383">
        <w:t>testified</w:t>
      </w:r>
      <w:r w:rsidR="0090053A">
        <w:t xml:space="preserve">:  </w:t>
      </w:r>
      <w:r w:rsidR="00555C71">
        <w:t>“And I know they were there the night before because I had a cigarette before I went to bed.”</w:t>
      </w:r>
      <w:r>
        <w:rPr>
          <w:rStyle w:val="FootnoteReference"/>
        </w:rPr>
        <w:footnoteReference w:id="12"/>
      </w:r>
      <w:r w:rsidR="00555C71">
        <w:t xml:space="preserve"> </w:t>
      </w:r>
    </w:p>
    <w:p w14:paraId="529B2A0B" w14:textId="5125605F" w:rsidR="00025DC7" w:rsidRDefault="0061079E" w:rsidP="00E108AB">
      <w:pPr>
        <w:pStyle w:val="bodytext"/>
      </w:pPr>
      <w:r>
        <w:t xml:space="preserve">In his </w:t>
      </w:r>
      <w:r>
        <w:t xml:space="preserve">backyard, he saw muddy footprints </w:t>
      </w:r>
      <w:r w:rsidR="00122E20">
        <w:t xml:space="preserve">he didn’t recognize </w:t>
      </w:r>
      <w:r>
        <w:t xml:space="preserve">around </w:t>
      </w:r>
      <w:r w:rsidR="00BB7AE8">
        <w:t xml:space="preserve">the </w:t>
      </w:r>
      <w:r>
        <w:t>sliding glass door</w:t>
      </w:r>
      <w:r w:rsidR="00CF0545">
        <w:t xml:space="preserve"> </w:t>
      </w:r>
      <w:r w:rsidR="007E7D62">
        <w:t xml:space="preserve">to </w:t>
      </w:r>
      <w:r w:rsidR="00CF0545">
        <w:t>the kitchen</w:t>
      </w:r>
      <w:r>
        <w:t xml:space="preserve">.  </w:t>
      </w:r>
      <w:r w:rsidR="00CF0545">
        <w:t>The sliding glass door</w:t>
      </w:r>
      <w:r w:rsidR="00BB7AE8">
        <w:t xml:space="preserve"> </w:t>
      </w:r>
      <w:r w:rsidR="00CF0545">
        <w:t xml:space="preserve">was locked.  </w:t>
      </w:r>
      <w:r>
        <w:t xml:space="preserve">He also noticed the gate to his backyard, which is usually kept closed and latched, was open.  </w:t>
      </w:r>
      <w:r w:rsidR="007D1B33">
        <w:t xml:space="preserve">The footprints </w:t>
      </w:r>
      <w:r w:rsidR="00F06BDC">
        <w:t xml:space="preserve">by the sliding glass door appeared to head in the direction of the side garage door.  </w:t>
      </w:r>
      <w:r w:rsidR="00E108AB">
        <w:t>And the side</w:t>
      </w:r>
      <w:r w:rsidR="00122E20">
        <w:t xml:space="preserve"> </w:t>
      </w:r>
      <w:r w:rsidR="00E108AB">
        <w:t>door to the garage</w:t>
      </w:r>
      <w:r w:rsidR="00295720">
        <w:t xml:space="preserve">, which is usually propped open only about four inches to let the cat in, </w:t>
      </w:r>
      <w:r>
        <w:t xml:space="preserve">was wide open.  </w:t>
      </w:r>
      <w:r w:rsidR="00B95ACB">
        <w:t xml:space="preserve">He could not recall if the door connecting the </w:t>
      </w:r>
      <w:r w:rsidR="00AA1397">
        <w:t xml:space="preserve">interior of the </w:t>
      </w:r>
      <w:r w:rsidR="00B95ACB">
        <w:t xml:space="preserve">garage to the house interior was left </w:t>
      </w:r>
      <w:r w:rsidR="00D70063">
        <w:t xml:space="preserve">unlocked </w:t>
      </w:r>
      <w:r w:rsidR="00B95ACB">
        <w:t xml:space="preserve">that night. </w:t>
      </w:r>
    </w:p>
    <w:p w14:paraId="5A26121D" w14:textId="419246AB" w:rsidR="00091D1D" w:rsidRPr="00BA5B4C" w:rsidRDefault="0061079E" w:rsidP="00180DE4">
      <w:pPr>
        <w:keepNext/>
        <w:jc w:val="center"/>
        <w:rPr>
          <w:b/>
        </w:rPr>
      </w:pPr>
      <w:bookmarkStart w:id="31" w:name="Elos6O"/>
      <w:bookmarkStart w:id="32" w:name="Elos6rO"/>
      <w:r w:rsidRPr="00BA5B4C">
        <w:rPr>
          <w:b/>
        </w:rPr>
        <w:t xml:space="preserve">B. </w:t>
      </w:r>
      <w:bookmarkEnd w:id="31"/>
      <w:bookmarkEnd w:id="32"/>
      <w:r w:rsidR="00652A09">
        <w:rPr>
          <w:b/>
        </w:rPr>
        <w:t xml:space="preserve"> </w:t>
      </w:r>
      <w:r w:rsidRPr="00BA5B4C">
        <w:rPr>
          <w:b/>
        </w:rPr>
        <w:t>Analysis</w:t>
      </w:r>
    </w:p>
    <w:p w14:paraId="0191D0C2" w14:textId="4BCD5DC2" w:rsidR="009F50AB" w:rsidRDefault="0061079E" w:rsidP="00755C3E">
      <w:r>
        <w:rPr>
          <w:color w:val="000000" w:themeColor="text1"/>
        </w:rPr>
        <w:tab/>
      </w:r>
      <w:r w:rsidRPr="00EB166D">
        <w:rPr>
          <w:color w:val="000000" w:themeColor="text1"/>
        </w:rPr>
        <w:t>Where the sufficiency of the evidence is</w:t>
      </w:r>
      <w:r w:rsidRPr="00EB166D">
        <w:t xml:space="preserve"> challenged on app</w:t>
      </w:r>
      <w:r w:rsidRPr="00EB166D">
        <w:t>eal, we review the record in the light most favorable to the judgment to determine whether it discloses substantial evidence.  (</w:t>
      </w:r>
      <w:bookmarkStart w:id="33" w:name="Ely77O"/>
      <w:bookmarkStart w:id="34" w:name="Ely77rO"/>
      <w:r w:rsidRPr="00EB166D">
        <w:rPr>
          <w:i/>
        </w:rPr>
        <w:t>P</w:t>
      </w:r>
      <w:bookmarkStart w:id="35" w:name="_BA_Cite_651C6D_000010"/>
      <w:bookmarkEnd w:id="35"/>
      <w:r w:rsidRPr="00EB166D">
        <w:rPr>
          <w:i/>
        </w:rPr>
        <w:t>eople v. Snow</w:t>
      </w:r>
      <w:r w:rsidRPr="00EB166D">
        <w:t xml:space="preserve"> (2003) 30 Cal.4th 43, 66</w:t>
      </w:r>
      <w:bookmarkEnd w:id="33"/>
      <w:bookmarkEnd w:id="34"/>
      <w:r w:rsidRPr="00EB166D">
        <w:t>.)  Substantial evidence is evidence that is “reasonable, credible and of solid value—fro</w:t>
      </w:r>
      <w:r w:rsidRPr="00EB166D">
        <w:t>m which a reasonable trier of fact could find the defendant guilty beyond a reasonable doubt.”  (</w:t>
      </w:r>
      <w:r w:rsidRPr="00EB166D">
        <w:rPr>
          <w:i/>
        </w:rPr>
        <w:t>I</w:t>
      </w:r>
      <w:bookmarkStart w:id="36" w:name="_BA_Cite_651C6D_000008"/>
      <w:bookmarkEnd w:id="36"/>
      <w:r w:rsidRPr="00EB166D">
        <w:rPr>
          <w:i/>
        </w:rPr>
        <w:t>bid</w:t>
      </w:r>
      <w:r w:rsidRPr="00EB166D">
        <w:t xml:space="preserve">.)  </w:t>
      </w:r>
      <w:r w:rsidR="006F5297">
        <w:t>“ ‘ “[I]f the circumstances reasonably justify the jury</w:t>
      </w:r>
      <w:r w:rsidR="00BB1191">
        <w:t>’</w:t>
      </w:r>
      <w:r w:rsidR="006F5297">
        <w:t>s findings, the judgment may not be reversed simply because the circumstances might also reasonably be reconciled with a contrary finding.” ’ ”  (</w:t>
      </w:r>
      <w:bookmarkStart w:id="37" w:name="Ely67O"/>
      <w:bookmarkStart w:id="38" w:name="Ely67rO"/>
      <w:r w:rsidR="006F5297" w:rsidRPr="006F5297">
        <w:rPr>
          <w:i/>
        </w:rPr>
        <w:t>People v. Nelson</w:t>
      </w:r>
      <w:r w:rsidR="006F5297">
        <w:t xml:space="preserve"> (2011) 51 Cal.4th 198, 210</w:t>
      </w:r>
      <w:bookmarkEnd w:id="37"/>
      <w:bookmarkEnd w:id="38"/>
      <w:r w:rsidR="006F5297">
        <w:t>.)</w:t>
      </w:r>
      <w:r>
        <w:t xml:space="preserve"> </w:t>
      </w:r>
      <w:r w:rsidR="00220A18">
        <w:t xml:space="preserve"> </w:t>
      </w:r>
      <w:r w:rsidRPr="00B3480E">
        <w:t xml:space="preserve">In other words, “ ‘[a] reversal for insufficient evidence “is unwarranted unless it appears ‘that upon no hypothesis whatever is there sufficient substantial </w:t>
      </w:r>
      <w:r w:rsidRPr="00B3480E">
        <w:t>evidence to support’ ” the jury</w:t>
      </w:r>
      <w:r w:rsidR="00AC6D51">
        <w:t>’</w:t>
      </w:r>
      <w:r w:rsidRPr="00B3480E">
        <w:t xml:space="preserve">s verdict.’ ” </w:t>
      </w:r>
      <w:r w:rsidR="00220A18">
        <w:t xml:space="preserve"> </w:t>
      </w:r>
      <w:r w:rsidRPr="00B3480E">
        <w:t>(</w:t>
      </w:r>
      <w:r w:rsidRPr="00755C3E">
        <w:rPr>
          <w:i/>
          <w:iCs/>
        </w:rPr>
        <w:t>People v. Penunuri</w:t>
      </w:r>
      <w:r w:rsidRPr="00B3480E">
        <w:t xml:space="preserve"> (2018) 5 Cal.5th 126, 142 (</w:t>
      </w:r>
      <w:r w:rsidRPr="00755C3E">
        <w:rPr>
          <w:i/>
          <w:iCs/>
        </w:rPr>
        <w:t>Penunuri</w:t>
      </w:r>
      <w:r w:rsidR="00DA0077">
        <w:t>)</w:t>
      </w:r>
      <w:r w:rsidRPr="00B3480E">
        <w:t>.)</w:t>
      </w:r>
      <w:r w:rsidR="00AC6D51">
        <w:t xml:space="preserve">  </w:t>
      </w:r>
      <w:r>
        <w:t>And in applying the substantial evidence test</w:t>
      </w:r>
      <w:r w:rsidR="00F273E2">
        <w:t>,</w:t>
      </w:r>
      <w:r>
        <w:t xml:space="preserve"> courts</w:t>
      </w:r>
      <w:r w:rsidR="006F5297">
        <w:t xml:space="preserve"> “ ‘do not reweigh evidence or reevaluate a witness</w:t>
      </w:r>
      <w:r w:rsidR="00BB7AE8">
        <w:t>’</w:t>
      </w:r>
      <w:r w:rsidR="006F5297">
        <w:t>s credibility.’</w:t>
      </w:r>
      <w:r w:rsidR="00525E8A">
        <w:t xml:space="preserve"> </w:t>
      </w:r>
      <w:r w:rsidR="006F5297">
        <w:t>”  (</w:t>
      </w:r>
      <w:r w:rsidR="00D65EAF">
        <w:rPr>
          <w:i/>
        </w:rPr>
        <w:t xml:space="preserve">Nelson, </w:t>
      </w:r>
      <w:r w:rsidR="00D65EAF" w:rsidRPr="00D65EAF">
        <w:rPr>
          <w:iCs/>
        </w:rPr>
        <w:t>at p. 210</w:t>
      </w:r>
      <w:r w:rsidR="006F5297">
        <w:t>.)</w:t>
      </w:r>
      <w:r w:rsidR="004C394C">
        <w:t xml:space="preserve">  </w:t>
      </w:r>
    </w:p>
    <w:p w14:paraId="52025D5F" w14:textId="362BE2A5" w:rsidR="00DD45EB" w:rsidRDefault="0061079E" w:rsidP="00DD45EB">
      <w:pPr>
        <w:pStyle w:val="bodytext"/>
      </w:pPr>
      <w:bookmarkStart w:id="39" w:name="ElPgBr10"/>
      <w:bookmarkEnd w:id="39"/>
      <w:r>
        <w:lastRenderedPageBreak/>
        <w:t xml:space="preserve">Ruslan </w:t>
      </w:r>
      <w:r w:rsidR="00BB1191">
        <w:t>maintains</w:t>
      </w:r>
      <w:r w:rsidR="00CE2C52">
        <w:t xml:space="preserve"> </w:t>
      </w:r>
      <w:r w:rsidR="00DF11B6">
        <w:t xml:space="preserve">that because defendants had only been stealing from unlocked vehicles that night, </w:t>
      </w:r>
      <w:r w:rsidR="00F5707E">
        <w:t>it was reasonable to infer</w:t>
      </w:r>
      <w:r w:rsidR="00BB1191">
        <w:t xml:space="preserve"> the </w:t>
      </w:r>
      <w:r>
        <w:t xml:space="preserve">truck was unlocked </w:t>
      </w:r>
      <w:r w:rsidR="00BB1191">
        <w:t xml:space="preserve">and </w:t>
      </w:r>
      <w:r>
        <w:t>the</w:t>
      </w:r>
      <w:r w:rsidR="00F5707E">
        <w:t>y found the</w:t>
      </w:r>
      <w:r>
        <w:t xml:space="preserve"> key</w:t>
      </w:r>
      <w:r w:rsidR="00BB1191">
        <w:t xml:space="preserve"> </w:t>
      </w:r>
      <w:r>
        <w:t>was inside</w:t>
      </w:r>
      <w:r w:rsidR="00DF11B6">
        <w:t>.</w:t>
      </w:r>
      <w:r w:rsidR="00BB1191">
        <w:t xml:space="preserve"> </w:t>
      </w:r>
      <w:r w:rsidR="00F42347">
        <w:t xml:space="preserve"> But </w:t>
      </w:r>
      <w:r w:rsidR="00BB1191">
        <w:t xml:space="preserve">there was ample evidence for the jury to conclude otherwise.  </w:t>
      </w:r>
      <w:r w:rsidR="00A569FC">
        <w:t>T</w:t>
      </w:r>
      <w:r>
        <w:t xml:space="preserve">he </w:t>
      </w:r>
      <w:r w:rsidR="007565F9">
        <w:t xml:space="preserve">witness </w:t>
      </w:r>
      <w:r>
        <w:t>testified the truck was locked and the key was in the kitchen</w:t>
      </w:r>
      <w:r w:rsidR="00A569FC">
        <w:t xml:space="preserve"> next to his cigarettes</w:t>
      </w:r>
      <w:r w:rsidR="00B7704B">
        <w:t xml:space="preserve">, which </w:t>
      </w:r>
      <w:r w:rsidR="007565F9">
        <w:t xml:space="preserve">he </w:t>
      </w:r>
      <w:r w:rsidR="00A569FC">
        <w:t xml:space="preserve">knew because he </w:t>
      </w:r>
      <w:r w:rsidR="007565F9">
        <w:t xml:space="preserve">had </w:t>
      </w:r>
      <w:r w:rsidR="00A569FC">
        <w:t>smoke</w:t>
      </w:r>
      <w:r>
        <w:t>d</w:t>
      </w:r>
      <w:r w:rsidR="00A569FC">
        <w:t xml:space="preserve"> before going to bed</w:t>
      </w:r>
      <w:r>
        <w:t xml:space="preserve">.  </w:t>
      </w:r>
      <w:r w:rsidR="009F453F">
        <w:t xml:space="preserve">Both the keys and the cigarettes were missing the following morning.  </w:t>
      </w:r>
      <w:r>
        <w:t>Also</w:t>
      </w:r>
      <w:r w:rsidR="007565F9">
        <w:t>,</w:t>
      </w:r>
      <w:r>
        <w:t xml:space="preserve"> the gate to the back yard</w:t>
      </w:r>
      <w:r w:rsidR="00B7704B">
        <w:t xml:space="preserve"> and the door to the garage were </w:t>
      </w:r>
      <w:r>
        <w:t xml:space="preserve">wide open.  </w:t>
      </w:r>
      <w:r w:rsidR="00DF11B6">
        <w:t xml:space="preserve">Later, </w:t>
      </w:r>
      <w:r w:rsidR="007565F9">
        <w:t xml:space="preserve">before </w:t>
      </w:r>
      <w:r w:rsidR="004A50D0">
        <w:t xml:space="preserve">his </w:t>
      </w:r>
      <w:r w:rsidR="007565F9">
        <w:t xml:space="preserve">arrest, </w:t>
      </w:r>
      <w:r w:rsidR="00DF11B6">
        <w:t xml:space="preserve">Ruslan </w:t>
      </w:r>
      <w:r w:rsidR="00134256">
        <w:t xml:space="preserve">entered </w:t>
      </w:r>
      <w:r w:rsidR="002D1855">
        <w:t xml:space="preserve">a different </w:t>
      </w:r>
      <w:r w:rsidR="007565F9">
        <w:t>home</w:t>
      </w:r>
      <w:r w:rsidR="002D1855">
        <w:t xml:space="preserve">, where he was found </w:t>
      </w:r>
      <w:r w:rsidR="007565F9">
        <w:t>drink</w:t>
      </w:r>
      <w:r w:rsidR="002D1855">
        <w:t>ing</w:t>
      </w:r>
      <w:r w:rsidR="007565F9">
        <w:t xml:space="preserve"> water</w:t>
      </w:r>
      <w:r w:rsidR="00DF11B6">
        <w:t>,</w:t>
      </w:r>
      <w:r w:rsidR="007565F9">
        <w:t xml:space="preserve"> and </w:t>
      </w:r>
      <w:r w:rsidR="00F42347">
        <w:t>after that</w:t>
      </w:r>
      <w:r w:rsidR="00DF11B6">
        <w:t xml:space="preserve">, he </w:t>
      </w:r>
      <w:r w:rsidR="007565F9">
        <w:t>tr</w:t>
      </w:r>
      <w:r w:rsidR="00134256">
        <w:t xml:space="preserve">ied </w:t>
      </w:r>
      <w:r w:rsidR="007565F9">
        <w:t xml:space="preserve">to pry open the sliding glass door of </w:t>
      </w:r>
      <w:r w:rsidR="004A50D0">
        <w:t>an</w:t>
      </w:r>
      <w:r w:rsidR="007565F9">
        <w:t>other</w:t>
      </w:r>
      <w:r w:rsidR="00DF11B6">
        <w:t xml:space="preserve"> —</w:t>
      </w:r>
      <w:r w:rsidR="00CE2C52">
        <w:t xml:space="preserve"> evincing a common plan or scheme of entering residential homes that night</w:t>
      </w:r>
      <w:r w:rsidR="004C101E">
        <w:t xml:space="preserve">. </w:t>
      </w:r>
    </w:p>
    <w:p w14:paraId="3FC4D683" w14:textId="7DE97126" w:rsidR="00A569FC" w:rsidRDefault="0061079E" w:rsidP="00070887">
      <w:pPr>
        <w:pStyle w:val="bodytext"/>
      </w:pPr>
      <w:r>
        <w:t>To that</w:t>
      </w:r>
      <w:r w:rsidR="002D1855">
        <w:t xml:space="preserve"> evidence</w:t>
      </w:r>
      <w:r>
        <w:t xml:space="preserve">, </w:t>
      </w:r>
      <w:r w:rsidR="00070887">
        <w:t xml:space="preserve">Ruslan </w:t>
      </w:r>
      <w:r>
        <w:t>picks nits</w:t>
      </w:r>
      <w:r w:rsidR="001A730F">
        <w:t xml:space="preserve">.  </w:t>
      </w:r>
      <w:r w:rsidR="00BB7AE8">
        <w:t>He argues the common indicia of burglary are missing</w:t>
      </w:r>
      <w:r w:rsidR="006D22B9">
        <w:t>, such as a sign of forced entry</w:t>
      </w:r>
      <w:r w:rsidR="00BB7AE8">
        <w:t>.</w:t>
      </w:r>
      <w:r w:rsidR="00B7704B">
        <w:t xml:space="preserve">  </w:t>
      </w:r>
      <w:r w:rsidR="001A730F">
        <w:t>He a</w:t>
      </w:r>
      <w:r w:rsidR="00134256">
        <w:t xml:space="preserve">vers </w:t>
      </w:r>
      <w:r>
        <w:t xml:space="preserve">the </w:t>
      </w:r>
      <w:r w:rsidR="00CE2C52">
        <w:t xml:space="preserve">witness </w:t>
      </w:r>
      <w:r>
        <w:t xml:space="preserve">testified it was </w:t>
      </w:r>
      <w:r w:rsidR="008C37E0">
        <w:t>merely</w:t>
      </w:r>
      <w:r>
        <w:t xml:space="preserve"> his custom to leave the keys on the counter, and that he </w:t>
      </w:r>
      <w:r w:rsidR="004A50D0">
        <w:t>only</w:t>
      </w:r>
      <w:r w:rsidR="00001E39">
        <w:t xml:space="preserve"> </w:t>
      </w:r>
      <w:r>
        <w:t>t</w:t>
      </w:r>
      <w:r w:rsidR="00001E39">
        <w:t>h</w:t>
      </w:r>
      <w:r>
        <w:t>ough</w:t>
      </w:r>
      <w:r w:rsidR="00001E39">
        <w:t>t</w:t>
      </w:r>
      <w:r>
        <w:t xml:space="preserve"> he locked the truck.  </w:t>
      </w:r>
      <w:r w:rsidR="00712670">
        <w:t xml:space="preserve">The witness </w:t>
      </w:r>
      <w:r w:rsidR="00CE2C52">
        <w:t xml:space="preserve">did not </w:t>
      </w:r>
      <w:r w:rsidR="00712670">
        <w:t xml:space="preserve">tell one officer that he heard the truck’s horn go off.  </w:t>
      </w:r>
      <w:r w:rsidR="00FA72E0">
        <w:t>T</w:t>
      </w:r>
      <w:r w:rsidR="00001E39">
        <w:t>he sliding glass door was locked</w:t>
      </w:r>
      <w:r w:rsidR="00382781">
        <w:t>,</w:t>
      </w:r>
      <w:r w:rsidR="00001E39">
        <w:t xml:space="preserve"> and there was no evidence of forced entry.</w:t>
      </w:r>
      <w:r w:rsidR="00065C0C">
        <w:t xml:space="preserve">  The</w:t>
      </w:r>
      <w:r w:rsidR="002D1855">
        <w:t>re were</w:t>
      </w:r>
      <w:r w:rsidR="00065C0C">
        <w:t xml:space="preserve"> shoeprints </w:t>
      </w:r>
      <w:r w:rsidR="002D1855">
        <w:t xml:space="preserve">that </w:t>
      </w:r>
      <w:r w:rsidR="00065C0C">
        <w:t xml:space="preserve">were not sufficiently distinguishable to permit a match.  </w:t>
      </w:r>
      <w:r w:rsidR="00382781">
        <w:t>And n</w:t>
      </w:r>
      <w:r w:rsidR="001A730F">
        <w:t xml:space="preserve">o </w:t>
      </w:r>
      <w:r w:rsidR="001366A3">
        <w:t>forensic</w:t>
      </w:r>
      <w:r w:rsidR="001A730F">
        <w:t xml:space="preserve"> evidence was found in the house. </w:t>
      </w:r>
    </w:p>
    <w:p w14:paraId="7D662C17" w14:textId="79E2694F" w:rsidR="005E3831" w:rsidRDefault="0061079E" w:rsidP="00755C3E">
      <w:r>
        <w:tab/>
      </w:r>
      <w:r w:rsidR="00134256">
        <w:t xml:space="preserve">At most, </w:t>
      </w:r>
      <w:r w:rsidR="002D1855">
        <w:t xml:space="preserve">these circumstances </w:t>
      </w:r>
      <w:r w:rsidR="00AB1E96">
        <w:t xml:space="preserve">merely </w:t>
      </w:r>
      <w:r w:rsidR="008C37E0">
        <w:t>reconcile with a contrary finding</w:t>
      </w:r>
      <w:r w:rsidR="00134256">
        <w:t xml:space="preserve">.  </w:t>
      </w:r>
      <w:r w:rsidR="00382781">
        <w:t>M</w:t>
      </w:r>
      <w:r w:rsidR="00134256">
        <w:t xml:space="preserve">ore fundamentally, </w:t>
      </w:r>
      <w:r w:rsidR="00AB1E96">
        <w:t xml:space="preserve">they amount to an </w:t>
      </w:r>
      <w:r>
        <w:t xml:space="preserve">attack on the witness’s credibility, which we do not </w:t>
      </w:r>
      <w:r w:rsidR="00AB1E96">
        <w:t xml:space="preserve">reevaluate </w:t>
      </w:r>
      <w:r>
        <w:t xml:space="preserve">on a substantial evidence challenge.  </w:t>
      </w:r>
      <w:r w:rsidR="00DF11B6">
        <w:t>We conclude t</w:t>
      </w:r>
      <w:r w:rsidR="004A50D0">
        <w:t>he witness’s testimony constitutes s</w:t>
      </w:r>
      <w:r>
        <w:t xml:space="preserve">ubstantial evidence </w:t>
      </w:r>
      <w:r w:rsidR="004A50D0">
        <w:t xml:space="preserve">in </w:t>
      </w:r>
      <w:r>
        <w:t>support</w:t>
      </w:r>
      <w:r w:rsidR="004A50D0">
        <w:t xml:space="preserve"> of</w:t>
      </w:r>
      <w:r>
        <w:t xml:space="preserve"> the burglary conviction.  </w:t>
      </w:r>
      <w:r w:rsidR="00DF11B6" w:rsidRPr="002C0752">
        <w:t xml:space="preserve">This </w:t>
      </w:r>
      <w:r w:rsidR="00DF11B6">
        <w:t xml:space="preserve">case </w:t>
      </w:r>
      <w:r w:rsidR="00DF11B6" w:rsidRPr="002C0752">
        <w:t xml:space="preserve">is certainly not </w:t>
      </w:r>
      <w:r w:rsidR="00DF11B6">
        <w:t>one</w:t>
      </w:r>
      <w:r w:rsidR="00DF11B6" w:rsidRPr="002C0752">
        <w:t xml:space="preserve"> where “ ‘ “ ‘upon no hypothesis whatever is there sufficient substantial evidence to support’ ” the jury</w:t>
      </w:r>
      <w:r w:rsidR="00382781">
        <w:t>’</w:t>
      </w:r>
      <w:r w:rsidR="00DF11B6" w:rsidRPr="002C0752">
        <w:t>s verdict</w:t>
      </w:r>
      <w:r w:rsidR="00382781">
        <w:t>.</w:t>
      </w:r>
      <w:r w:rsidR="00DF11B6" w:rsidRPr="002C0752">
        <w:t>’ ”</w:t>
      </w:r>
      <w:r w:rsidR="00382781">
        <w:t xml:space="preserve"> </w:t>
      </w:r>
      <w:r w:rsidR="00DF11B6" w:rsidRPr="002C0752">
        <w:t xml:space="preserve"> (</w:t>
      </w:r>
      <w:r w:rsidR="00DF11B6" w:rsidRPr="00CE0C1A">
        <w:rPr>
          <w:i/>
          <w:iCs/>
        </w:rPr>
        <w:t>Penunuri</w:t>
      </w:r>
      <w:r w:rsidR="00DF11B6" w:rsidRPr="002C0752">
        <w:t xml:space="preserve">, </w:t>
      </w:r>
      <w:r w:rsidR="00DF11B6" w:rsidRPr="00CE0C1A">
        <w:rPr>
          <w:i/>
          <w:iCs/>
        </w:rPr>
        <w:t>supra</w:t>
      </w:r>
      <w:r w:rsidR="00DF11B6" w:rsidRPr="002C0752">
        <w:t>, 5 Cal.5th at p. 142</w:t>
      </w:r>
      <w:r w:rsidR="00382781">
        <w:t>.</w:t>
      </w:r>
      <w:r w:rsidR="00DF11B6" w:rsidRPr="002C0752">
        <w:t>)</w:t>
      </w:r>
      <w:r w:rsidR="00DF11B6">
        <w:t xml:space="preserve">  </w:t>
      </w:r>
      <w:r w:rsidR="00A65FDD">
        <w:t>Accordingly, w</w:t>
      </w:r>
      <w:r w:rsidR="00DF11B6">
        <w:t>e thus reject Ruslan’s substantial evidence claim concerning the burglary.</w:t>
      </w:r>
    </w:p>
    <w:p w14:paraId="53B659A7" w14:textId="455A2AB9" w:rsidR="004116F4" w:rsidRPr="00AD4672" w:rsidRDefault="0061079E" w:rsidP="00180DE4">
      <w:pPr>
        <w:keepNext/>
        <w:jc w:val="center"/>
        <w:rPr>
          <w:b/>
        </w:rPr>
      </w:pPr>
      <w:bookmarkStart w:id="40" w:name="Elou7O"/>
      <w:bookmarkStart w:id="41" w:name="Elou7rO"/>
      <w:r w:rsidRPr="00355A3C">
        <w:rPr>
          <w:b/>
        </w:rPr>
        <w:t>II.</w:t>
      </w:r>
      <w:bookmarkEnd w:id="40"/>
      <w:bookmarkEnd w:id="41"/>
      <w:r w:rsidRPr="00355A3C">
        <w:rPr>
          <w:b/>
        </w:rPr>
        <w:t xml:space="preserve"> </w:t>
      </w:r>
      <w:r w:rsidR="00652A09" w:rsidRPr="00355A3C">
        <w:rPr>
          <w:b/>
        </w:rPr>
        <w:t xml:space="preserve"> </w:t>
      </w:r>
      <w:r w:rsidR="000368CE" w:rsidRPr="00355A3C">
        <w:rPr>
          <w:b/>
        </w:rPr>
        <w:t xml:space="preserve">Substantial </w:t>
      </w:r>
      <w:r w:rsidR="00937FBC" w:rsidRPr="00355A3C">
        <w:rPr>
          <w:b/>
        </w:rPr>
        <w:t xml:space="preserve">Evidence </w:t>
      </w:r>
      <w:r w:rsidR="00DF11B6">
        <w:rPr>
          <w:b/>
        </w:rPr>
        <w:t xml:space="preserve">— </w:t>
      </w:r>
      <w:r w:rsidR="006D22B9">
        <w:rPr>
          <w:b/>
        </w:rPr>
        <w:t xml:space="preserve">Aiding and Abetting </w:t>
      </w:r>
      <w:r w:rsidR="00937FBC" w:rsidRPr="00355A3C">
        <w:rPr>
          <w:b/>
        </w:rPr>
        <w:t>Reckless Evasion</w:t>
      </w:r>
      <w:r w:rsidR="00937FBC" w:rsidRPr="00AD4672">
        <w:rPr>
          <w:b/>
        </w:rPr>
        <w:t xml:space="preserve"> </w:t>
      </w:r>
    </w:p>
    <w:p w14:paraId="159A39B5" w14:textId="67CF4007" w:rsidR="00AD4672" w:rsidRPr="003E1830" w:rsidRDefault="0061079E" w:rsidP="0040790B">
      <w:pPr>
        <w:pStyle w:val="bodytext"/>
      </w:pPr>
      <w:r w:rsidRPr="003E1830">
        <w:t xml:space="preserve">Ruslan next contends insufficient evidence </w:t>
      </w:r>
      <w:r w:rsidR="00937FBC" w:rsidRPr="003E1830">
        <w:t>supported</w:t>
      </w:r>
      <w:r w:rsidRPr="003E1830">
        <w:t xml:space="preserve"> </w:t>
      </w:r>
      <w:r w:rsidR="008E6892" w:rsidRPr="003E1830">
        <w:t xml:space="preserve">his conviction on </w:t>
      </w:r>
      <w:r w:rsidRPr="003E1830">
        <w:t>cou</w:t>
      </w:r>
      <w:r w:rsidR="009F453F" w:rsidRPr="003E1830">
        <w:t>n</w:t>
      </w:r>
      <w:r w:rsidRPr="003E1830">
        <w:t>t 4</w:t>
      </w:r>
      <w:r w:rsidR="00E6736B" w:rsidRPr="003E1830">
        <w:t>,</w:t>
      </w:r>
      <w:r w:rsidRPr="003E1830">
        <w:t xml:space="preserve"> aid</w:t>
      </w:r>
      <w:r w:rsidR="00E6736B" w:rsidRPr="003E1830">
        <w:t>ing</w:t>
      </w:r>
      <w:r w:rsidRPr="003E1830">
        <w:t xml:space="preserve"> and abett</w:t>
      </w:r>
      <w:r w:rsidR="00E6736B" w:rsidRPr="003E1830">
        <w:t xml:space="preserve">ing </w:t>
      </w:r>
      <w:r w:rsidRPr="003E1830">
        <w:t xml:space="preserve">Roman’s reckless evasion from </w:t>
      </w:r>
      <w:r w:rsidRPr="003E1830">
        <w:t>pursuing officers</w:t>
      </w:r>
      <w:r w:rsidR="003E1830" w:rsidRPr="00755C3E">
        <w:t xml:space="preserve"> in the BMW</w:t>
      </w:r>
      <w:r w:rsidRPr="003E1830">
        <w:t xml:space="preserve">.  </w:t>
      </w:r>
      <w:r w:rsidR="00C129BC" w:rsidRPr="003E1830">
        <w:t xml:space="preserve">He </w:t>
      </w:r>
      <w:bookmarkStart w:id="42" w:name="ElPgBr11"/>
      <w:bookmarkEnd w:id="42"/>
      <w:r w:rsidR="00C129BC" w:rsidRPr="003E1830">
        <w:lastRenderedPageBreak/>
        <w:t xml:space="preserve">argues no evidence </w:t>
      </w:r>
      <w:r w:rsidR="00E6736B" w:rsidRPr="003E1830">
        <w:t xml:space="preserve">exists </w:t>
      </w:r>
      <w:r w:rsidR="00C129BC" w:rsidRPr="003E1830">
        <w:t xml:space="preserve">that </w:t>
      </w:r>
      <w:r w:rsidR="00F728E8" w:rsidRPr="003E1830">
        <w:t xml:space="preserve">he </w:t>
      </w:r>
      <w:r w:rsidR="0029314A">
        <w:t xml:space="preserve">did anything to aid and abet </w:t>
      </w:r>
      <w:r w:rsidR="00C129BC" w:rsidRPr="003E1830">
        <w:t>Roman’s high</w:t>
      </w:r>
      <w:r w:rsidR="00DF073A">
        <w:t>-</w:t>
      </w:r>
      <w:r w:rsidR="00C129BC" w:rsidRPr="003E1830">
        <w:t>speed evasion.</w:t>
      </w:r>
      <w:r>
        <w:rPr>
          <w:rStyle w:val="FootnoteReference"/>
        </w:rPr>
        <w:footnoteReference w:id="13"/>
      </w:r>
      <w:r w:rsidR="00C129BC" w:rsidRPr="003E1830">
        <w:t xml:space="preserve">  </w:t>
      </w:r>
    </w:p>
    <w:p w14:paraId="7EA51281" w14:textId="583AC686" w:rsidR="009A4541" w:rsidRDefault="0061079E" w:rsidP="00233345">
      <w:pPr>
        <w:pStyle w:val="bodytext"/>
      </w:pPr>
      <w:r w:rsidRPr="003E1830">
        <w:t xml:space="preserve">The People respond that Ruslan’s actions before, during, and after </w:t>
      </w:r>
      <w:r w:rsidR="00712670" w:rsidRPr="003E1830">
        <w:t>the BMW crash</w:t>
      </w:r>
      <w:r w:rsidR="00C4242A" w:rsidRPr="003E1830">
        <w:t xml:space="preserve"> </w:t>
      </w:r>
      <w:r w:rsidR="00E506BD" w:rsidRPr="003E1830">
        <w:t>establish that</w:t>
      </w:r>
      <w:r w:rsidR="00122BE4" w:rsidRPr="003E1830">
        <w:t xml:space="preserve"> Ruslan promoted and encouraged Roman</w:t>
      </w:r>
      <w:r w:rsidR="00E506BD" w:rsidRPr="003E1830">
        <w:t>’s</w:t>
      </w:r>
      <w:r w:rsidR="00A32A05">
        <w:t xml:space="preserve"> evasion</w:t>
      </w:r>
      <w:r w:rsidR="00122BE4" w:rsidRPr="003E1830">
        <w:t>.</w:t>
      </w:r>
      <w:r w:rsidR="00235C4F" w:rsidRPr="003E1830">
        <w:t xml:space="preserve"> </w:t>
      </w:r>
      <w:r w:rsidR="00233345" w:rsidRPr="003E1830">
        <w:t xml:space="preserve"> </w:t>
      </w:r>
      <w:r w:rsidR="00CD6773" w:rsidRPr="003E1830">
        <w:t xml:space="preserve">The People </w:t>
      </w:r>
      <w:r w:rsidR="00CD6773">
        <w:t>specifically</w:t>
      </w:r>
      <w:r w:rsidR="00CD6773" w:rsidRPr="003E1830">
        <w:t xml:space="preserve"> point to Ruslan putting his hands out the window when the police told him to show hands and </w:t>
      </w:r>
      <w:r w:rsidR="00CD6773">
        <w:t xml:space="preserve">argue </w:t>
      </w:r>
      <w:r w:rsidR="00CD6773" w:rsidRPr="003E1830">
        <w:t xml:space="preserve">that Ruslan may have been trying to distract the police.  </w:t>
      </w:r>
      <w:r w:rsidR="00122BE4" w:rsidRPr="003E1830">
        <w:t>The People</w:t>
      </w:r>
      <w:r w:rsidR="00CD6773">
        <w:t xml:space="preserve"> also</w:t>
      </w:r>
      <w:r w:rsidR="00122BE4" w:rsidRPr="003E1830">
        <w:t xml:space="preserve"> </w:t>
      </w:r>
      <w:r w:rsidR="00D0375C">
        <w:t xml:space="preserve">argue that his intent to aid and abet is shown by </w:t>
      </w:r>
      <w:r w:rsidR="00122BE4" w:rsidRPr="003E1830">
        <w:t>Ruslan</w:t>
      </w:r>
      <w:r w:rsidR="00E506BD" w:rsidRPr="003E1830">
        <w:t xml:space="preserve"> </w:t>
      </w:r>
      <w:r w:rsidR="00233345" w:rsidRPr="003E1830">
        <w:t xml:space="preserve">accompanying </w:t>
      </w:r>
      <w:r w:rsidR="00122BE4" w:rsidRPr="003E1830">
        <w:t>Ro</w:t>
      </w:r>
      <w:r w:rsidR="00951D28" w:rsidRPr="003E1830">
        <w:t xml:space="preserve">man to </w:t>
      </w:r>
      <w:r w:rsidR="00122BE4" w:rsidRPr="003E1830">
        <w:t xml:space="preserve">steal from unlocked </w:t>
      </w:r>
      <w:r w:rsidR="00951D28" w:rsidRPr="003E1830">
        <w:t>car</w:t>
      </w:r>
      <w:r w:rsidR="00712670" w:rsidRPr="003E1830">
        <w:t>s</w:t>
      </w:r>
      <w:r w:rsidR="00951D28" w:rsidRPr="003E1830">
        <w:t>; the</w:t>
      </w:r>
      <w:r w:rsidR="00C4242A" w:rsidRPr="003E1830">
        <w:t>ir</w:t>
      </w:r>
      <w:r w:rsidR="00951D28" w:rsidRPr="003E1830">
        <w:t xml:space="preserve"> fleeing </w:t>
      </w:r>
      <w:r w:rsidR="00122BE4" w:rsidRPr="003E1830">
        <w:t>police together</w:t>
      </w:r>
      <w:r w:rsidR="00951D28" w:rsidRPr="003E1830">
        <w:t>; Ruslan</w:t>
      </w:r>
      <w:r w:rsidR="00233345" w:rsidRPr="003E1830">
        <w:t>’s</w:t>
      </w:r>
      <w:r w:rsidR="00951D28" w:rsidRPr="003E1830">
        <w:t xml:space="preserve"> failure to leave the car during the chase; Ruslan continuing to flee the police</w:t>
      </w:r>
      <w:r w:rsidR="00A32A05">
        <w:t xml:space="preserve"> with his brother</w:t>
      </w:r>
      <w:r w:rsidR="00951D28" w:rsidRPr="003E1830">
        <w:t xml:space="preserve"> after the BMW </w:t>
      </w:r>
      <w:r w:rsidR="001F21D0" w:rsidRPr="003E1830">
        <w:t>crashed; and Ruslan</w:t>
      </w:r>
      <w:r w:rsidR="00233345" w:rsidRPr="003E1830">
        <w:t>’s</w:t>
      </w:r>
      <w:r w:rsidR="001F21D0" w:rsidRPr="003E1830">
        <w:t xml:space="preserve"> later false claim that he had been driving the BMW</w:t>
      </w:r>
      <w:r w:rsidR="00122BE4" w:rsidRPr="003E1830">
        <w:t xml:space="preserve">.  </w:t>
      </w:r>
      <w:r w:rsidR="00C855EF">
        <w:t>We agree</w:t>
      </w:r>
      <w:r w:rsidR="00A32A05">
        <w:t xml:space="preserve"> there was substantial evidence to support the evasion charge</w:t>
      </w:r>
      <w:r w:rsidR="00C855EF">
        <w:t xml:space="preserve">.  </w:t>
      </w:r>
    </w:p>
    <w:p w14:paraId="386A4052" w14:textId="61DEF458" w:rsidR="00C46890" w:rsidRDefault="0061079E" w:rsidP="0029314A">
      <w:pPr>
        <w:pStyle w:val="bodytext"/>
      </w:pPr>
      <w:r>
        <w:t>In addition t</w:t>
      </w:r>
      <w:r w:rsidR="00C855EF">
        <w:t xml:space="preserve">o the circumstances the People </w:t>
      </w:r>
      <w:r w:rsidR="009A4541">
        <w:t>highlight</w:t>
      </w:r>
      <w:r w:rsidR="00C855EF">
        <w:t xml:space="preserve">, we note an additional circumstance </w:t>
      </w:r>
      <w:r w:rsidR="0029314A">
        <w:t xml:space="preserve">of </w:t>
      </w:r>
      <w:r w:rsidR="00C855EF">
        <w:t>significa</w:t>
      </w:r>
      <w:r w:rsidR="0029314A">
        <w:t xml:space="preserve">nce: </w:t>
      </w:r>
      <w:r w:rsidR="004E19E3">
        <w:t xml:space="preserve"> A</w:t>
      </w:r>
      <w:r w:rsidR="009A4541">
        <w:t>fter Roman crashed the BMW, not only did the two brothers flee together, but together they</w:t>
      </w:r>
      <w:r w:rsidR="00C855EF">
        <w:t xml:space="preserve"> stole another vehicle and continued evading police</w:t>
      </w:r>
      <w:r w:rsidR="008B1E50">
        <w:t xml:space="preserve"> </w:t>
      </w:r>
      <w:r w:rsidR="00D412B8">
        <w:t xml:space="preserve">— </w:t>
      </w:r>
      <w:r w:rsidR="00C855EF" w:rsidRPr="00755C3E">
        <w:rPr>
          <w:i/>
          <w:iCs/>
        </w:rPr>
        <w:t xml:space="preserve">this time </w:t>
      </w:r>
      <w:r w:rsidR="00D412B8">
        <w:rPr>
          <w:i/>
          <w:iCs/>
        </w:rPr>
        <w:t xml:space="preserve">with </w:t>
      </w:r>
      <w:r w:rsidR="00C855EF" w:rsidRPr="00755C3E">
        <w:rPr>
          <w:i/>
          <w:iCs/>
        </w:rPr>
        <w:t>Ruslan driving</w:t>
      </w:r>
      <w:r w:rsidR="00C855EF">
        <w:t xml:space="preserve">.  </w:t>
      </w:r>
      <w:r w:rsidR="0029314A">
        <w:t xml:space="preserve">From these circumstances </w:t>
      </w:r>
      <w:r w:rsidR="00A65FDD">
        <w:t xml:space="preserve">showing </w:t>
      </w:r>
      <w:r w:rsidR="0029314A">
        <w:t xml:space="preserve">Ruslan’s intent to aid and abet his brother’s </w:t>
      </w:r>
      <w:r w:rsidR="009A4541">
        <w:t>evasion</w:t>
      </w:r>
      <w:r w:rsidR="0029314A">
        <w:t xml:space="preserve">, a jury could reasonably conclude that when Ruslan raised his hands outside the BMW window just before it sped off, he did so as a ruse, in order to aid and abet Roman’s flight from police.  </w:t>
      </w:r>
    </w:p>
    <w:p w14:paraId="7A473BE9" w14:textId="52506B88" w:rsidR="0029314A" w:rsidRDefault="0061079E" w:rsidP="0029314A">
      <w:pPr>
        <w:pStyle w:val="bodytext"/>
      </w:pPr>
      <w:r>
        <w:t xml:space="preserve">This therefore </w:t>
      </w:r>
      <w:r w:rsidR="00D412B8">
        <w:t>constitutes substantial evidence of a</w:t>
      </w:r>
      <w:r w:rsidR="004E19E3">
        <w:t>i</w:t>
      </w:r>
      <w:r w:rsidR="00D412B8">
        <w:t xml:space="preserve">ding </w:t>
      </w:r>
      <w:r w:rsidR="0045298B">
        <w:t xml:space="preserve">and </w:t>
      </w:r>
      <w:r w:rsidR="00D412B8">
        <w:t>abetting</w:t>
      </w:r>
      <w:r w:rsidR="006D22B9">
        <w:t xml:space="preserve">.  It certainly </w:t>
      </w:r>
      <w:r w:rsidR="00C46890">
        <w:t xml:space="preserve">cannot be said that </w:t>
      </w:r>
      <w:r w:rsidR="00D412B8" w:rsidRPr="002C0752">
        <w:t>“ ‘ “ ‘upon no hypothesis whatever is there sufficient substantial evidence to support’ ” the jury</w:t>
      </w:r>
      <w:r w:rsidR="00D412B8">
        <w:t>’</w:t>
      </w:r>
      <w:r w:rsidR="00D412B8" w:rsidRPr="002C0752">
        <w:t xml:space="preserve">s verdict’ ” </w:t>
      </w:r>
      <w:r w:rsidR="004E19E3">
        <w:t xml:space="preserve"> </w:t>
      </w:r>
      <w:r w:rsidR="00D412B8" w:rsidRPr="002C0752">
        <w:t>(</w:t>
      </w:r>
      <w:r w:rsidR="00D412B8" w:rsidRPr="003A6D0A">
        <w:rPr>
          <w:i/>
          <w:iCs/>
        </w:rPr>
        <w:t>Penunuri</w:t>
      </w:r>
      <w:r w:rsidR="00D412B8" w:rsidRPr="002C0752">
        <w:t xml:space="preserve">, </w:t>
      </w:r>
      <w:r w:rsidR="00D412B8" w:rsidRPr="003A6D0A">
        <w:rPr>
          <w:i/>
          <w:iCs/>
        </w:rPr>
        <w:t>supra</w:t>
      </w:r>
      <w:r w:rsidR="00D412B8" w:rsidRPr="002C0752">
        <w:t>, 5 Cal.5th at p. 142</w:t>
      </w:r>
      <w:r>
        <w:t>.</w:t>
      </w:r>
      <w:r w:rsidR="00D412B8">
        <w:t xml:space="preserve">)  </w:t>
      </w:r>
    </w:p>
    <w:p w14:paraId="5325991E" w14:textId="4E13F1D0" w:rsidR="00AD4672" w:rsidRDefault="0061079E" w:rsidP="00180DE4">
      <w:pPr>
        <w:keepNext/>
        <w:jc w:val="center"/>
        <w:rPr>
          <w:b/>
        </w:rPr>
      </w:pPr>
      <w:bookmarkStart w:id="45" w:name="ElPgBr12"/>
      <w:bookmarkStart w:id="46" w:name="Eloh9O"/>
      <w:bookmarkStart w:id="47" w:name="Eloh9rO"/>
      <w:bookmarkEnd w:id="45"/>
      <w:r w:rsidRPr="00062279">
        <w:rPr>
          <w:b/>
        </w:rPr>
        <w:lastRenderedPageBreak/>
        <w:t>III.</w:t>
      </w:r>
      <w:bookmarkEnd w:id="46"/>
      <w:bookmarkEnd w:id="47"/>
      <w:r w:rsidRPr="00062279">
        <w:rPr>
          <w:b/>
        </w:rPr>
        <w:t xml:space="preserve"> </w:t>
      </w:r>
      <w:r w:rsidR="00652A09">
        <w:rPr>
          <w:b/>
        </w:rPr>
        <w:t xml:space="preserve"> </w:t>
      </w:r>
      <w:r w:rsidRPr="00062279">
        <w:rPr>
          <w:b/>
        </w:rPr>
        <w:t xml:space="preserve">Expert </w:t>
      </w:r>
      <w:r w:rsidR="004D4304">
        <w:rPr>
          <w:b/>
        </w:rPr>
        <w:t>T</w:t>
      </w:r>
      <w:r w:rsidRPr="00062279">
        <w:rPr>
          <w:b/>
        </w:rPr>
        <w:t xml:space="preserve">estimony </w:t>
      </w:r>
      <w:r w:rsidR="004D4304">
        <w:rPr>
          <w:b/>
        </w:rPr>
        <w:t>R</w:t>
      </w:r>
      <w:r w:rsidRPr="00062279">
        <w:rPr>
          <w:b/>
        </w:rPr>
        <w:t xml:space="preserve">egarding </w:t>
      </w:r>
      <w:r w:rsidR="004D4304">
        <w:rPr>
          <w:b/>
        </w:rPr>
        <w:t>R</w:t>
      </w:r>
      <w:r w:rsidRPr="00062279">
        <w:rPr>
          <w:b/>
        </w:rPr>
        <w:t xml:space="preserve">egressed </w:t>
      </w:r>
      <w:r w:rsidR="004D4304">
        <w:rPr>
          <w:b/>
        </w:rPr>
        <w:t>B</w:t>
      </w:r>
      <w:r w:rsidRPr="00062279">
        <w:rPr>
          <w:b/>
        </w:rPr>
        <w:t xml:space="preserve">rain </w:t>
      </w:r>
      <w:r w:rsidR="004D4304">
        <w:rPr>
          <w:b/>
        </w:rPr>
        <w:t>D</w:t>
      </w:r>
      <w:r w:rsidRPr="00062279">
        <w:rPr>
          <w:b/>
        </w:rPr>
        <w:t xml:space="preserve">evelopment in </w:t>
      </w:r>
      <w:r w:rsidR="004D4304">
        <w:rPr>
          <w:b/>
        </w:rPr>
        <w:t>Y</w:t>
      </w:r>
      <w:r w:rsidRPr="00062279">
        <w:rPr>
          <w:b/>
        </w:rPr>
        <w:t>outh</w:t>
      </w:r>
    </w:p>
    <w:p w14:paraId="646FEA97" w14:textId="38EB619F" w:rsidR="004A68E8" w:rsidRPr="004A68E8" w:rsidRDefault="0061079E" w:rsidP="004A68E8">
      <w:pPr>
        <w:pStyle w:val="bodytext"/>
      </w:pPr>
      <w:r>
        <w:t>Ru</w:t>
      </w:r>
      <w:r w:rsidR="002312A3">
        <w:t>slan</w:t>
      </w:r>
      <w:r>
        <w:t xml:space="preserve"> next </w:t>
      </w:r>
      <w:r w:rsidR="00E7787A">
        <w:t xml:space="preserve">challenges the trial court’s exclusion of scientific studies regarding regressed brain development </w:t>
      </w:r>
      <w:r w:rsidR="00900C88">
        <w:t>i</w:t>
      </w:r>
      <w:r w:rsidR="00E7787A">
        <w:t xml:space="preserve">n youth.  </w:t>
      </w:r>
      <w:r w:rsidR="00900C88">
        <w:t>We find</w:t>
      </w:r>
      <w:r w:rsidR="00977FAE">
        <w:t xml:space="preserve"> any error to be harmless</w:t>
      </w:r>
      <w:r w:rsidR="00900C88">
        <w:t>.</w:t>
      </w:r>
    </w:p>
    <w:p w14:paraId="348782C4" w14:textId="77777777" w:rsidR="004A68E8" w:rsidRPr="00F751D1" w:rsidRDefault="0061079E" w:rsidP="00180DE4">
      <w:pPr>
        <w:pStyle w:val="bodytext"/>
        <w:keepNext/>
        <w:ind w:firstLine="0"/>
        <w:jc w:val="center"/>
        <w:rPr>
          <w:b/>
        </w:rPr>
      </w:pPr>
      <w:bookmarkStart w:id="48" w:name="Eloq9O"/>
      <w:bookmarkStart w:id="49" w:name="Eloq9rO"/>
      <w:r w:rsidRPr="00F751D1">
        <w:rPr>
          <w:b/>
        </w:rPr>
        <w:t xml:space="preserve">A. </w:t>
      </w:r>
      <w:bookmarkEnd w:id="48"/>
      <w:bookmarkEnd w:id="49"/>
      <w:r w:rsidR="00652A09">
        <w:rPr>
          <w:b/>
        </w:rPr>
        <w:t xml:space="preserve"> </w:t>
      </w:r>
      <w:r>
        <w:rPr>
          <w:b/>
        </w:rPr>
        <w:t>A</w:t>
      </w:r>
      <w:r w:rsidRPr="00F751D1">
        <w:rPr>
          <w:b/>
        </w:rPr>
        <w:t xml:space="preserve">dditional </w:t>
      </w:r>
      <w:r>
        <w:rPr>
          <w:b/>
        </w:rPr>
        <w:t>B</w:t>
      </w:r>
      <w:r w:rsidRPr="00F751D1">
        <w:rPr>
          <w:b/>
        </w:rPr>
        <w:t>ackground</w:t>
      </w:r>
    </w:p>
    <w:p w14:paraId="4DB05FDC" w14:textId="6A0F849E" w:rsidR="00046C0C" w:rsidRDefault="0061079E" w:rsidP="00A0017D">
      <w:pPr>
        <w:pStyle w:val="bodytext"/>
      </w:pPr>
      <w:r>
        <w:t xml:space="preserve">Ruslan moved in limine to </w:t>
      </w:r>
      <w:r w:rsidR="002960A4">
        <w:t xml:space="preserve">have a </w:t>
      </w:r>
      <w:r w:rsidR="002312A3">
        <w:t>psychiatrist</w:t>
      </w:r>
      <w:r w:rsidR="002960A4">
        <w:t xml:space="preserve"> </w:t>
      </w:r>
      <w:r w:rsidR="00E44104">
        <w:t>testify</w:t>
      </w:r>
      <w:r w:rsidR="00E330E1">
        <w:t xml:space="preserve">, arguing </w:t>
      </w:r>
      <w:r w:rsidR="00DB5498">
        <w:t>the testimony</w:t>
      </w:r>
      <w:r w:rsidR="00E330E1">
        <w:t xml:space="preserve"> was </w:t>
      </w:r>
      <w:r w:rsidR="00E44104">
        <w:t xml:space="preserve">relevant to whether </w:t>
      </w:r>
      <w:r w:rsidR="006D1006">
        <w:t xml:space="preserve">he </w:t>
      </w:r>
      <w:r w:rsidR="001D79EF">
        <w:t xml:space="preserve">had </w:t>
      </w:r>
      <w:r w:rsidR="00E44104">
        <w:t>acted with implied malice</w:t>
      </w:r>
      <w:r w:rsidR="00A65FDD">
        <w:t xml:space="preserve"> when he collided into the Kia</w:t>
      </w:r>
      <w:r w:rsidR="00E44104">
        <w:t xml:space="preserve">.  </w:t>
      </w:r>
      <w:r w:rsidR="00900C88">
        <w:t>A</w:t>
      </w:r>
      <w:r w:rsidR="00A27CD2">
        <w:t xml:space="preserve">n </w:t>
      </w:r>
      <w:r w:rsidR="00DB5498">
        <w:t>E</w:t>
      </w:r>
      <w:r w:rsidR="00A27CD2">
        <w:t xml:space="preserve">vidence </w:t>
      </w:r>
      <w:r w:rsidR="00DB5498">
        <w:t>C</w:t>
      </w:r>
      <w:r w:rsidR="00A27CD2">
        <w:t>ode section</w:t>
      </w:r>
      <w:r w:rsidR="00367458">
        <w:t xml:space="preserve"> 402 hearing</w:t>
      </w:r>
      <w:r w:rsidR="00900C88">
        <w:t xml:space="preserve"> was held</w:t>
      </w:r>
      <w:r w:rsidR="007B3014">
        <w:t xml:space="preserve">, at which the psychiatrist testified he had twice examined Ruslan.  He found Ruslan “really didn’t have a severe mental illness” and “he has been a </w:t>
      </w:r>
      <w:r w:rsidR="000135B9">
        <w:t>rather</w:t>
      </w:r>
      <w:r w:rsidR="007B3014">
        <w:t xml:space="preserve"> healthy kid.”</w:t>
      </w:r>
      <w:r>
        <w:t xml:space="preserve">  But </w:t>
      </w:r>
      <w:r w:rsidR="006D1006">
        <w:t xml:space="preserve">Ruslan </w:t>
      </w:r>
      <w:r>
        <w:t xml:space="preserve">became an addict when, following a car crash, </w:t>
      </w:r>
      <w:r w:rsidR="006D1006">
        <w:t xml:space="preserve">he </w:t>
      </w:r>
      <w:r>
        <w:t xml:space="preserve">was prescribed “a large batch of opiates.” </w:t>
      </w:r>
    </w:p>
    <w:p w14:paraId="025A5FC8" w14:textId="24E56464" w:rsidR="001554AA" w:rsidRDefault="0061079E" w:rsidP="001554AA">
      <w:pPr>
        <w:pStyle w:val="bodytext"/>
      </w:pPr>
      <w:r>
        <w:t xml:space="preserve">The psychiatrist </w:t>
      </w:r>
      <w:r w:rsidR="00046C0C">
        <w:t xml:space="preserve">also testified that adolescents are more likely to engage in risky and impulsive behavior. </w:t>
      </w:r>
      <w:r w:rsidR="0023390A">
        <w:t xml:space="preserve"> </w:t>
      </w:r>
      <w:r>
        <w:t>A</w:t>
      </w:r>
      <w:r w:rsidR="0023390A">
        <w:t>s to Ruslan</w:t>
      </w:r>
      <w:r w:rsidR="00900C88">
        <w:t xml:space="preserve">, </w:t>
      </w:r>
      <w:r w:rsidR="006D1006">
        <w:t xml:space="preserve">it was </w:t>
      </w:r>
      <w:r w:rsidR="0023390A">
        <w:t>“</w:t>
      </w:r>
      <w:r w:rsidR="007B477B">
        <w:t>definitely possible that Ruslan at 19, a</w:t>
      </w:r>
      <w:r w:rsidR="00900C88">
        <w:t>t</w:t>
      </w:r>
      <w:r w:rsidR="007B477B">
        <w:t xml:space="preserve"> the time of this offense, on a biological, on a social level was more immature than even perhaps we see him today.”</w:t>
      </w:r>
      <w:r w:rsidR="00CA4AD3">
        <w:t xml:space="preserve">  He also </w:t>
      </w:r>
      <w:r w:rsidR="000135B9">
        <w:t>agreed</w:t>
      </w:r>
      <w:r w:rsidR="00CA4AD3">
        <w:t xml:space="preserve"> that most young individuals who use drugs make bad decisions.</w:t>
      </w:r>
      <w:r w:rsidR="00ED5745">
        <w:t xml:space="preserve">  </w:t>
      </w:r>
      <w:r>
        <w:t>On cross</w:t>
      </w:r>
      <w:r w:rsidR="004E19E3">
        <w:t>-</w:t>
      </w:r>
      <w:r>
        <w:t xml:space="preserve">examination, the expert agreed that anyone, “not grossly mentally ill,” would know driving down a wet </w:t>
      </w:r>
      <w:r w:rsidR="006D1006">
        <w:t xml:space="preserve">road </w:t>
      </w:r>
      <w:r>
        <w:t xml:space="preserve">at 90 </w:t>
      </w:r>
      <w:r w:rsidR="00584037">
        <w:t>miles per hour</w:t>
      </w:r>
      <w:r>
        <w:t xml:space="preserve"> </w:t>
      </w:r>
      <w:r w:rsidR="008743E0">
        <w:t xml:space="preserve">in </w:t>
      </w:r>
      <w:r>
        <w:t xml:space="preserve">commute traffic is a </w:t>
      </w:r>
      <w:r>
        <w:t xml:space="preserve">bad decision. </w:t>
      </w:r>
    </w:p>
    <w:p w14:paraId="60191B80" w14:textId="5EDAFEE9" w:rsidR="000E05EA" w:rsidRDefault="0061079E" w:rsidP="00A0017D">
      <w:pPr>
        <w:pStyle w:val="bodytext"/>
      </w:pPr>
      <w:r>
        <w:t>Following</w:t>
      </w:r>
      <w:r w:rsidR="006D1006">
        <w:t xml:space="preserve"> the</w:t>
      </w:r>
      <w:r>
        <w:t xml:space="preserve"> </w:t>
      </w:r>
      <w:r w:rsidR="002F1132">
        <w:t>hearing</w:t>
      </w:r>
      <w:r>
        <w:t xml:space="preserve">, the </w:t>
      </w:r>
      <w:r w:rsidR="002F1132">
        <w:t>tri</w:t>
      </w:r>
      <w:r w:rsidR="00A75E42">
        <w:t>a</w:t>
      </w:r>
      <w:r w:rsidR="002F1132">
        <w:t xml:space="preserve">l </w:t>
      </w:r>
      <w:r>
        <w:t xml:space="preserve">court summarized: </w:t>
      </w:r>
      <w:r w:rsidR="00311E7C">
        <w:t xml:space="preserve"> </w:t>
      </w:r>
      <w:r>
        <w:t xml:space="preserve">“this is what I heard:  </w:t>
      </w:r>
      <w:r w:rsidR="002F1132">
        <w:t>[</w:t>
      </w:r>
      <w:r>
        <w:t>adolescent</w:t>
      </w:r>
      <w:r w:rsidR="002F1132">
        <w:t xml:space="preserve">s are] … </w:t>
      </w:r>
      <w:r>
        <w:t xml:space="preserve">likely to engage in risky and impulsive behavior… I didn’t hear anything that wasn’t common </w:t>
      </w:r>
      <w:r w:rsidR="002F1132">
        <w:t>knowledge</w:t>
      </w:r>
      <w:r>
        <w:t>.”</w:t>
      </w:r>
      <w:r w:rsidR="002F1132">
        <w:t xml:space="preserve">  </w:t>
      </w:r>
      <w:r w:rsidR="00DB5498">
        <w:t>The court</w:t>
      </w:r>
      <w:r w:rsidR="002F1132">
        <w:t xml:space="preserve"> added, the </w:t>
      </w:r>
      <w:r w:rsidR="003A3995">
        <w:t xml:space="preserve">psychiatrist </w:t>
      </w:r>
      <w:r w:rsidR="003701EC">
        <w:t xml:space="preserve">“clearly </w:t>
      </w:r>
      <w:r w:rsidR="002F1132">
        <w:t xml:space="preserve">[said] </w:t>
      </w:r>
      <w:r w:rsidR="003701EC">
        <w:t>that Ruslan does not have a mental health disorder, and that is the only defense.</w:t>
      </w:r>
      <w:r w:rsidR="00224538">
        <w:t xml:space="preserve">  This is not any information that applies to a defense.</w:t>
      </w:r>
      <w:r w:rsidR="003701EC">
        <w:t>”</w:t>
      </w:r>
      <w:r w:rsidR="00A45EA9">
        <w:t xml:space="preserve">  The court </w:t>
      </w:r>
      <w:r w:rsidR="00A75E42">
        <w:t>denied the request to have the psychologist testify, but noted,</w:t>
      </w:r>
      <w:r w:rsidR="00A45EA9">
        <w:t xml:space="preserve"> “</w:t>
      </w:r>
      <w:r w:rsidR="00224538">
        <w:t xml:space="preserve">this information is all relevant on the issue of sentencing.” </w:t>
      </w:r>
    </w:p>
    <w:p w14:paraId="3E40DEE9" w14:textId="77777777" w:rsidR="00621B6F" w:rsidRPr="00621B6F" w:rsidRDefault="0061079E" w:rsidP="00652A09">
      <w:pPr>
        <w:pStyle w:val="bodytext"/>
        <w:keepNext/>
        <w:ind w:firstLine="0"/>
        <w:jc w:val="center"/>
        <w:rPr>
          <w:b/>
        </w:rPr>
      </w:pPr>
      <w:bookmarkStart w:id="50" w:name="ElojaO"/>
      <w:bookmarkStart w:id="51" w:name="ElojarO"/>
      <w:r w:rsidRPr="00621B6F">
        <w:rPr>
          <w:b/>
        </w:rPr>
        <w:t>B.</w:t>
      </w:r>
      <w:r w:rsidR="00652A09">
        <w:rPr>
          <w:b/>
        </w:rPr>
        <w:t xml:space="preserve"> </w:t>
      </w:r>
      <w:r w:rsidRPr="00621B6F">
        <w:rPr>
          <w:b/>
        </w:rPr>
        <w:t xml:space="preserve"> </w:t>
      </w:r>
      <w:bookmarkEnd w:id="50"/>
      <w:bookmarkEnd w:id="51"/>
      <w:r w:rsidRPr="00621B6F">
        <w:rPr>
          <w:b/>
        </w:rPr>
        <w:t>Analysis</w:t>
      </w:r>
    </w:p>
    <w:p w14:paraId="59B46038" w14:textId="3BF4FF10" w:rsidR="00A40930" w:rsidRDefault="0061079E" w:rsidP="00A0017D">
      <w:pPr>
        <w:pStyle w:val="bodytext"/>
      </w:pPr>
      <w:r>
        <w:t xml:space="preserve">On appeal, </w:t>
      </w:r>
      <w:r w:rsidR="00990D1F">
        <w:t xml:space="preserve">Ruslan </w:t>
      </w:r>
      <w:r w:rsidR="00552C75">
        <w:t xml:space="preserve">challenges the exclusion of </w:t>
      </w:r>
      <w:r w:rsidR="003A3995">
        <w:t xml:space="preserve">the psychologist’s </w:t>
      </w:r>
      <w:r w:rsidR="00990D1F">
        <w:t xml:space="preserve">testimony </w:t>
      </w:r>
      <w:r w:rsidR="00552C75">
        <w:t xml:space="preserve">arguing the </w:t>
      </w:r>
      <w:r w:rsidR="00990D1F">
        <w:t>evidence was outside jurors</w:t>
      </w:r>
      <w:r w:rsidR="00552C75">
        <w:t>’</w:t>
      </w:r>
      <w:r w:rsidR="00990D1F">
        <w:t xml:space="preserve"> common </w:t>
      </w:r>
      <w:r w:rsidR="00E21738">
        <w:t>knowledge</w:t>
      </w:r>
      <w:r w:rsidR="003A3995">
        <w:t xml:space="preserve"> </w:t>
      </w:r>
      <w:r w:rsidR="00E21738">
        <w:t xml:space="preserve">and was relevant to </w:t>
      </w:r>
      <w:bookmarkStart w:id="52" w:name="ElPgBr13"/>
      <w:bookmarkEnd w:id="52"/>
      <w:r w:rsidR="00E21738">
        <w:lastRenderedPageBreak/>
        <w:t>Ruslan’s subjective awareness of the risk and whether he acted with conscious disregard for life</w:t>
      </w:r>
      <w:r w:rsidR="008743E0">
        <w:t xml:space="preserve"> at the time he collided into the Kia</w:t>
      </w:r>
      <w:r w:rsidR="00E21738">
        <w:t xml:space="preserve">. </w:t>
      </w:r>
      <w:r w:rsidR="00990D1F">
        <w:t xml:space="preserve"> </w:t>
      </w:r>
    </w:p>
    <w:p w14:paraId="77DC1A6F" w14:textId="40E9EF8A" w:rsidR="00AF0749" w:rsidRDefault="0061079E" w:rsidP="00AF0749">
      <w:pPr>
        <w:pStyle w:val="bodytext"/>
      </w:pPr>
      <w:r>
        <w:t xml:space="preserve">We </w:t>
      </w:r>
      <w:r w:rsidR="00B835EB">
        <w:t>agree the evidence was relevant</w:t>
      </w:r>
      <w:r w:rsidR="007E3873">
        <w:t xml:space="preserve"> and probative as</w:t>
      </w:r>
      <w:r w:rsidR="00B835EB">
        <w:t xml:space="preserve"> to</w:t>
      </w:r>
      <w:r w:rsidR="007E3873">
        <w:t xml:space="preserve"> the element of</w:t>
      </w:r>
      <w:r w:rsidR="00B835EB">
        <w:t xml:space="preserve"> implied malice, but </w:t>
      </w:r>
      <w:r>
        <w:t xml:space="preserve">conclude that any error was harmless </w:t>
      </w:r>
      <w:r w:rsidR="00552C75">
        <w:t xml:space="preserve">for the simple reason that </w:t>
      </w:r>
      <w:r>
        <w:t>Ruslan</w:t>
      </w:r>
      <w:r w:rsidR="003A2EBA">
        <w:t xml:space="preserve"> was convicted of first degree murder on a</w:t>
      </w:r>
      <w:r>
        <w:t xml:space="preserve"> felony</w:t>
      </w:r>
      <w:r w:rsidR="00311E7C">
        <w:t>-</w:t>
      </w:r>
      <w:r>
        <w:t xml:space="preserve">murder </w:t>
      </w:r>
      <w:r w:rsidR="003A2EBA">
        <w:t>theory.  There was no implied malice</w:t>
      </w:r>
      <w:r w:rsidR="00552C75">
        <w:t xml:space="preserve"> </w:t>
      </w:r>
      <w:r>
        <w:t>require</w:t>
      </w:r>
      <w:r w:rsidR="00552C75">
        <w:t>ment</w:t>
      </w:r>
      <w:r w:rsidR="003A2EBA">
        <w:t xml:space="preserve"> for that conviction</w:t>
      </w:r>
      <w:r>
        <w:t xml:space="preserve">.  </w:t>
      </w:r>
      <w:r w:rsidR="00E0044A">
        <w:t>(</w:t>
      </w:r>
      <w:bookmarkStart w:id="53" w:name="Ely0bO"/>
      <w:bookmarkStart w:id="54" w:name="Ely0brO"/>
      <w:r w:rsidRPr="00552C75">
        <w:rPr>
          <w:i/>
        </w:rPr>
        <w:t>People v. Howard</w:t>
      </w:r>
      <w:r>
        <w:t xml:space="preserve"> (2005) 34 Cal.4th 1129, 1135 </w:t>
      </w:r>
      <w:bookmarkEnd w:id="53"/>
      <w:bookmarkEnd w:id="54"/>
      <w:r>
        <w:t xml:space="preserve">[felony murder “ ‘eliminates the need for proof of malice in connection with a charge </w:t>
      </w:r>
      <w:r>
        <w:t xml:space="preserve">of murder’ ”]; </w:t>
      </w:r>
      <w:bookmarkStart w:id="55" w:name="Ely_aO"/>
      <w:bookmarkStart w:id="56" w:name="Ely_arO"/>
      <w:r w:rsidRPr="000135B9">
        <w:rPr>
          <w:i/>
        </w:rPr>
        <w:t>People v. Chun</w:t>
      </w:r>
      <w:r>
        <w:t xml:space="preserve"> (2009) 45 Cal.4th 1172, 1184 </w:t>
      </w:r>
      <w:bookmarkEnd w:id="55"/>
      <w:bookmarkEnd w:id="56"/>
      <w:r>
        <w:t>[“ ‘The felony-murder rule imputes the requisite malice for a murder conviction to those who commit a homicide during the perpetration of a felony inherently dangerous to life’ ”].)</w:t>
      </w:r>
      <w:r w:rsidR="00876B17">
        <w:t xml:space="preserve">  </w:t>
      </w:r>
      <w:r w:rsidR="000E05EA">
        <w:t>Thus, e</w:t>
      </w:r>
      <w:r w:rsidR="006D1006">
        <w:t xml:space="preserve">ven </w:t>
      </w:r>
      <w:r w:rsidR="007928D3">
        <w:t xml:space="preserve">assuming the </w:t>
      </w:r>
      <w:r w:rsidR="00876B17">
        <w:t xml:space="preserve">exclusion of </w:t>
      </w:r>
      <w:r w:rsidR="007928D3">
        <w:t xml:space="preserve">the </w:t>
      </w:r>
      <w:r w:rsidR="00876B17">
        <w:t xml:space="preserve">testimony </w:t>
      </w:r>
      <w:r w:rsidR="007928D3">
        <w:t>was error</w:t>
      </w:r>
      <w:r>
        <w:t>,</w:t>
      </w:r>
      <w:r w:rsidR="007928D3">
        <w:t xml:space="preserve"> </w:t>
      </w:r>
      <w:r w:rsidR="00552C75">
        <w:t xml:space="preserve">it </w:t>
      </w:r>
      <w:r>
        <w:t xml:space="preserve">had </w:t>
      </w:r>
      <w:r w:rsidR="00876B17">
        <w:t xml:space="preserve">no </w:t>
      </w:r>
      <w:r w:rsidR="007928D3">
        <w:t xml:space="preserve">conceivable </w:t>
      </w:r>
      <w:r w:rsidR="00552C75">
        <w:t>e</w:t>
      </w:r>
      <w:r w:rsidR="00876B17">
        <w:t>ffect on the verdict</w:t>
      </w:r>
      <w:r w:rsidR="003F4E72">
        <w:t xml:space="preserve"> and was harmless under any standard</w:t>
      </w:r>
      <w:r w:rsidR="00876B17">
        <w:t>.</w:t>
      </w:r>
      <w:r w:rsidR="00ED5745">
        <w:t xml:space="preserve">  </w:t>
      </w:r>
    </w:p>
    <w:p w14:paraId="51EF0936" w14:textId="41A7CD2C" w:rsidR="002C250C" w:rsidRDefault="0061079E" w:rsidP="00652A09">
      <w:pPr>
        <w:keepNext/>
        <w:jc w:val="center"/>
        <w:rPr>
          <w:b/>
        </w:rPr>
      </w:pPr>
      <w:bookmarkStart w:id="57" w:name="Elo3bO"/>
      <w:bookmarkStart w:id="58" w:name="Elo3brO"/>
      <w:bookmarkStart w:id="59" w:name="Elo2bO"/>
      <w:bookmarkStart w:id="60" w:name="Elo2brO"/>
      <w:r>
        <w:rPr>
          <w:b/>
        </w:rPr>
        <w:t>IV.</w:t>
      </w:r>
      <w:bookmarkEnd w:id="57"/>
      <w:bookmarkEnd w:id="58"/>
      <w:r>
        <w:rPr>
          <w:b/>
        </w:rPr>
        <w:t xml:space="preserve"> </w:t>
      </w:r>
      <w:r w:rsidR="00652A09">
        <w:rPr>
          <w:b/>
        </w:rPr>
        <w:t xml:space="preserve"> </w:t>
      </w:r>
      <w:r w:rsidR="006D1006">
        <w:rPr>
          <w:b/>
        </w:rPr>
        <w:t xml:space="preserve">Jury </w:t>
      </w:r>
      <w:r w:rsidR="00DB5498">
        <w:rPr>
          <w:b/>
        </w:rPr>
        <w:t>M</w:t>
      </w:r>
      <w:r w:rsidR="006D1006">
        <w:rPr>
          <w:b/>
        </w:rPr>
        <w:t>isconduct &amp;</w:t>
      </w:r>
      <w:r w:rsidR="00DB5498">
        <w:rPr>
          <w:b/>
        </w:rPr>
        <w:t xml:space="preserve"> Ruslan</w:t>
      </w:r>
      <w:r>
        <w:rPr>
          <w:b/>
        </w:rPr>
        <w:t xml:space="preserve">’s </w:t>
      </w:r>
      <w:bookmarkStart w:id="61" w:name="Elx8bO"/>
      <w:bookmarkStart w:id="62" w:name="Elx8brO"/>
      <w:r w:rsidR="006D1006">
        <w:rPr>
          <w:b/>
        </w:rPr>
        <w:t>M</w:t>
      </w:r>
      <w:r>
        <w:rPr>
          <w:b/>
        </w:rPr>
        <w:t xml:space="preserve">otion </w:t>
      </w:r>
      <w:bookmarkEnd w:id="61"/>
      <w:bookmarkEnd w:id="62"/>
      <w:r>
        <w:rPr>
          <w:b/>
        </w:rPr>
        <w:t xml:space="preserve">to </w:t>
      </w:r>
      <w:r w:rsidR="006D1006">
        <w:rPr>
          <w:b/>
        </w:rPr>
        <w:t>C</w:t>
      </w:r>
      <w:r>
        <w:rPr>
          <w:b/>
        </w:rPr>
        <w:t>ontinue</w:t>
      </w:r>
      <w:bookmarkEnd w:id="59"/>
      <w:bookmarkEnd w:id="60"/>
      <w:r>
        <w:rPr>
          <w:b/>
        </w:rPr>
        <w:t xml:space="preserve"> </w:t>
      </w:r>
    </w:p>
    <w:p w14:paraId="5A41443E" w14:textId="69975C18" w:rsidR="002C250C" w:rsidRDefault="0061079E" w:rsidP="008A3483">
      <w:pPr>
        <w:pStyle w:val="bodytext"/>
      </w:pPr>
      <w:r>
        <w:t xml:space="preserve">Ruslan contends the trial court abused its discretion in denying his </w:t>
      </w:r>
      <w:r>
        <w:t>trial counsel’s motion to continue</w:t>
      </w:r>
      <w:r w:rsidR="00DB5498">
        <w:t xml:space="preserve"> </w:t>
      </w:r>
      <w:r w:rsidR="00326B40">
        <w:t xml:space="preserve">the hearing on </w:t>
      </w:r>
      <w:r>
        <w:t xml:space="preserve">his </w:t>
      </w:r>
      <w:r w:rsidR="00AB4089">
        <w:t xml:space="preserve">new trial </w:t>
      </w:r>
      <w:r>
        <w:t>motion</w:t>
      </w:r>
      <w:r w:rsidR="00326B40">
        <w:t xml:space="preserve"> grounded </w:t>
      </w:r>
      <w:r>
        <w:t xml:space="preserve">on </w:t>
      </w:r>
      <w:r w:rsidR="00DB5498">
        <w:t xml:space="preserve">alleged </w:t>
      </w:r>
      <w:r>
        <w:t xml:space="preserve">jury misconduct.  </w:t>
      </w:r>
      <w:r w:rsidR="003A2EBA">
        <w:t xml:space="preserve">We </w:t>
      </w:r>
      <w:r w:rsidR="006F4E5B">
        <w:t>are unable to find an abuse of discretion.</w:t>
      </w:r>
    </w:p>
    <w:p w14:paraId="14E3E062" w14:textId="7A1F24D5" w:rsidR="009B7D41" w:rsidRDefault="0061079E" w:rsidP="00652A09">
      <w:pPr>
        <w:keepNext/>
        <w:jc w:val="center"/>
        <w:rPr>
          <w:b/>
        </w:rPr>
      </w:pPr>
      <w:bookmarkStart w:id="63" w:name="EloebO"/>
      <w:bookmarkStart w:id="64" w:name="EloebrO"/>
      <w:r>
        <w:rPr>
          <w:b/>
        </w:rPr>
        <w:t xml:space="preserve">A. </w:t>
      </w:r>
      <w:bookmarkEnd w:id="63"/>
      <w:bookmarkEnd w:id="64"/>
      <w:r w:rsidR="00652A09">
        <w:rPr>
          <w:b/>
        </w:rPr>
        <w:t xml:space="preserve"> </w:t>
      </w:r>
      <w:r>
        <w:rPr>
          <w:b/>
        </w:rPr>
        <w:t xml:space="preserve">Additional </w:t>
      </w:r>
      <w:r w:rsidR="003A2EBA">
        <w:rPr>
          <w:b/>
        </w:rPr>
        <w:t>B</w:t>
      </w:r>
      <w:r>
        <w:rPr>
          <w:b/>
        </w:rPr>
        <w:t>ackground</w:t>
      </w:r>
    </w:p>
    <w:p w14:paraId="0523CB9F" w14:textId="2636A72F" w:rsidR="00F409CE" w:rsidRPr="00F409CE" w:rsidRDefault="0061079E" w:rsidP="00652A09">
      <w:pPr>
        <w:pStyle w:val="bodytext"/>
        <w:keepNext/>
        <w:ind w:firstLine="0"/>
        <w:rPr>
          <w:b/>
        </w:rPr>
      </w:pPr>
      <w:bookmarkStart w:id="65" w:name="ElojbO"/>
      <w:bookmarkStart w:id="66" w:name="ElojbrO"/>
      <w:r>
        <w:rPr>
          <w:b/>
        </w:rPr>
        <w:tab/>
        <w:t>1.</w:t>
      </w:r>
      <w:bookmarkEnd w:id="65"/>
      <w:bookmarkEnd w:id="66"/>
      <w:r>
        <w:rPr>
          <w:b/>
        </w:rPr>
        <w:t xml:space="preserve"> </w:t>
      </w:r>
      <w:r w:rsidR="00652A09">
        <w:rPr>
          <w:b/>
        </w:rPr>
        <w:t xml:space="preserve"> </w:t>
      </w:r>
      <w:r w:rsidRPr="00F409CE">
        <w:rPr>
          <w:b/>
        </w:rPr>
        <w:t xml:space="preserve">Ruslan’s </w:t>
      </w:r>
      <w:r>
        <w:rPr>
          <w:b/>
        </w:rPr>
        <w:t>M</w:t>
      </w:r>
      <w:r w:rsidRPr="00F409CE">
        <w:rPr>
          <w:b/>
        </w:rPr>
        <w:t xml:space="preserve">otions for a </w:t>
      </w:r>
      <w:r>
        <w:rPr>
          <w:b/>
        </w:rPr>
        <w:t>N</w:t>
      </w:r>
      <w:r w:rsidRPr="00F409CE">
        <w:rPr>
          <w:b/>
        </w:rPr>
        <w:t xml:space="preserve">ew </w:t>
      </w:r>
      <w:r>
        <w:rPr>
          <w:b/>
        </w:rPr>
        <w:t>T</w:t>
      </w:r>
      <w:r w:rsidRPr="00F409CE">
        <w:rPr>
          <w:b/>
        </w:rPr>
        <w:t xml:space="preserve">rial </w:t>
      </w:r>
    </w:p>
    <w:p w14:paraId="30E56034" w14:textId="7DE83D80" w:rsidR="00742D4C" w:rsidRDefault="0061079E" w:rsidP="009B7D41">
      <w:pPr>
        <w:pStyle w:val="bodytext"/>
      </w:pPr>
      <w:r>
        <w:t>On December 6, 2016, Ruslan’s jury r</w:t>
      </w:r>
      <w:r>
        <w:t xml:space="preserve">eached verdicts.  </w:t>
      </w:r>
      <w:r w:rsidR="00A60C7E">
        <w:t xml:space="preserve">The verdicts were </w:t>
      </w:r>
      <w:r>
        <w:t xml:space="preserve">read and </w:t>
      </w:r>
      <w:r w:rsidR="00A60C7E">
        <w:t xml:space="preserve">recorded on December 8, 2016. </w:t>
      </w:r>
      <w:r w:rsidR="005C2D4F">
        <w:t xml:space="preserve"> </w:t>
      </w:r>
      <w:r w:rsidR="00A60C7E">
        <w:t>Sente</w:t>
      </w:r>
      <w:r>
        <w:t>n</w:t>
      </w:r>
      <w:r w:rsidR="00A60C7E">
        <w:t xml:space="preserve">cing was set for January 20, 2017.  </w:t>
      </w:r>
    </w:p>
    <w:p w14:paraId="183E5C12" w14:textId="58657075" w:rsidR="00742D4C" w:rsidRDefault="0061079E" w:rsidP="009B7D41">
      <w:pPr>
        <w:pStyle w:val="bodytext"/>
      </w:pPr>
      <w:r>
        <w:t>On December 12, 2016, counsel for Ruslan received an unsolicited phone call from the jury foreperson, who expressed concern about the del</w:t>
      </w:r>
      <w:r>
        <w:t xml:space="preserve">iberations.  On December 16, 2017, counsel </w:t>
      </w:r>
      <w:r w:rsidR="003D7F3A">
        <w:t xml:space="preserve">and his investigator </w:t>
      </w:r>
      <w:r>
        <w:t>met with the foreperson</w:t>
      </w:r>
      <w:r w:rsidR="007B615A">
        <w:t xml:space="preserve"> and obtained a declaration from her</w:t>
      </w:r>
      <w:r>
        <w:t xml:space="preserve">.  </w:t>
      </w:r>
    </w:p>
    <w:p w14:paraId="49475932" w14:textId="3C6482AF" w:rsidR="00195A1D" w:rsidRDefault="0061079E" w:rsidP="009B7D41">
      <w:pPr>
        <w:pStyle w:val="bodytext"/>
      </w:pPr>
      <w:r>
        <w:t xml:space="preserve">On </w:t>
      </w:r>
      <w:r w:rsidR="00C445D7">
        <w:t>January 13, 2017</w:t>
      </w:r>
      <w:r>
        <w:t>, Ruslan filed a motion for new trial</w:t>
      </w:r>
      <w:r w:rsidR="001E417B">
        <w:t>.</w:t>
      </w:r>
      <w:r w:rsidR="00CD1C25">
        <w:t xml:space="preserve"> </w:t>
      </w:r>
      <w:r w:rsidR="00176672">
        <w:t xml:space="preserve"> </w:t>
      </w:r>
      <w:r w:rsidR="001E417B">
        <w:t xml:space="preserve">The </w:t>
      </w:r>
      <w:r w:rsidR="00176672">
        <w:t xml:space="preserve">motion averred that </w:t>
      </w:r>
      <w:bookmarkStart w:id="67" w:name="_Hlk16422760"/>
      <w:r w:rsidR="00C445D7">
        <w:t>during the morning of December 8, 2016, after the jury had been reassembled in the deliberation room</w:t>
      </w:r>
      <w:r w:rsidR="00F45218">
        <w:t>,</w:t>
      </w:r>
      <w:r w:rsidR="00C445D7">
        <w:t xml:space="preserve"> prior to the reading of the verdicts, </w:t>
      </w:r>
      <w:r w:rsidR="00F87C3E">
        <w:t xml:space="preserve">some jurors read </w:t>
      </w:r>
      <w:r w:rsidR="00B46946">
        <w:t xml:space="preserve">about the case on </w:t>
      </w:r>
      <w:bookmarkStart w:id="68" w:name="ElPgBr14"/>
      <w:bookmarkEnd w:id="68"/>
      <w:r w:rsidR="00B46946">
        <w:lastRenderedPageBreak/>
        <w:t xml:space="preserve">the </w:t>
      </w:r>
      <w:r w:rsidR="0045298B">
        <w:t>I</w:t>
      </w:r>
      <w:r w:rsidR="00B46946">
        <w:t>nternet.</w:t>
      </w:r>
      <w:r>
        <w:rPr>
          <w:rStyle w:val="FootnoteReference"/>
        </w:rPr>
        <w:footnoteReference w:id="14"/>
      </w:r>
      <w:r w:rsidR="00B46946">
        <w:t xml:space="preserve"> </w:t>
      </w:r>
      <w:r w:rsidR="00176672">
        <w:t xml:space="preserve"> </w:t>
      </w:r>
      <w:r w:rsidR="00385084">
        <w:t xml:space="preserve">The subject </w:t>
      </w:r>
      <w:r w:rsidR="00B46946">
        <w:t xml:space="preserve">juror </w:t>
      </w:r>
      <w:r w:rsidR="00464820">
        <w:t xml:space="preserve">stated she did not look at the </w:t>
      </w:r>
      <w:r w:rsidR="0045298B">
        <w:t>I</w:t>
      </w:r>
      <w:r w:rsidR="00464820">
        <w:t>nternet, but stated</w:t>
      </w:r>
      <w:r w:rsidR="00CD1C25">
        <w:t xml:space="preserve">: </w:t>
      </w:r>
      <w:r w:rsidR="00464820">
        <w:t xml:space="preserve"> “I have an excellent memory and I remember all the facts from the time that it happened</w:t>
      </w:r>
      <w:r w:rsidR="00B46946">
        <w:t>.</w:t>
      </w:r>
      <w:r w:rsidR="00464820">
        <w:t>”</w:t>
      </w:r>
      <w:r w:rsidR="00B46946">
        <w:t xml:space="preserve">  </w:t>
      </w:r>
      <w:bookmarkEnd w:id="67"/>
    </w:p>
    <w:p w14:paraId="77927A8F" w14:textId="66DCD6AD" w:rsidR="00742D4C" w:rsidRDefault="0061079E" w:rsidP="009B7D41">
      <w:pPr>
        <w:pStyle w:val="bodytext"/>
      </w:pPr>
      <w:r>
        <w:t>In his declaration, counsel aver</w:t>
      </w:r>
      <w:r w:rsidR="00326B40">
        <w:t>r</w:t>
      </w:r>
      <w:r>
        <w:t>ed that</w:t>
      </w:r>
      <w:r w:rsidR="00431A6C">
        <w:t xml:space="preserve"> during jury selection</w:t>
      </w:r>
      <w:r w:rsidR="005C2D4F">
        <w:t>,</w:t>
      </w:r>
      <w:r>
        <w:t xml:space="preserve"> all prospective juror</w:t>
      </w:r>
      <w:r w:rsidR="00326B40">
        <w:t>s</w:t>
      </w:r>
      <w:r>
        <w:t xml:space="preserve"> were asked if they had any prior knowledge about the case</w:t>
      </w:r>
      <w:r w:rsidR="00385084">
        <w:t>,</w:t>
      </w:r>
      <w:r>
        <w:t xml:space="preserve"> and the subject juror “failed to disclose her deta</w:t>
      </w:r>
      <w:r>
        <w:t xml:space="preserve">iled knowledge of </w:t>
      </w:r>
      <w:r w:rsidR="007B615A">
        <w:t xml:space="preserve">the </w:t>
      </w:r>
      <w:r w:rsidR="00385084">
        <w:t>[d]</w:t>
      </w:r>
      <w:r w:rsidR="007B615A">
        <w:t xml:space="preserve">efendants.” </w:t>
      </w:r>
    </w:p>
    <w:p w14:paraId="5135A31D" w14:textId="3164E137" w:rsidR="000161C6" w:rsidRDefault="0061079E" w:rsidP="00A161F1">
      <w:pPr>
        <w:pStyle w:val="bodytext"/>
      </w:pPr>
      <w:r>
        <w:t xml:space="preserve">In support of </w:t>
      </w:r>
      <w:r w:rsidR="00A60C7E">
        <w:t xml:space="preserve">the motion was </w:t>
      </w:r>
      <w:r w:rsidR="004C1DC2">
        <w:t xml:space="preserve">the </w:t>
      </w:r>
      <w:r w:rsidR="00745FDD">
        <w:t>declaration</w:t>
      </w:r>
      <w:r w:rsidR="00797005">
        <w:t xml:space="preserve"> </w:t>
      </w:r>
      <w:r w:rsidR="00A161F1">
        <w:t xml:space="preserve">signed by </w:t>
      </w:r>
      <w:r w:rsidR="00797005">
        <w:t>the jury foreperson.</w:t>
      </w:r>
      <w:r w:rsidR="006F1F1C">
        <w:t xml:space="preserve">  </w:t>
      </w:r>
      <w:r w:rsidR="00797005">
        <w:t xml:space="preserve">In pertinent part </w:t>
      </w:r>
      <w:r w:rsidR="006F1F1C">
        <w:t>the declaration</w:t>
      </w:r>
      <w:r w:rsidR="00797005">
        <w:t xml:space="preserve"> stated:</w:t>
      </w:r>
    </w:p>
    <w:p w14:paraId="11BF621C" w14:textId="31ECE07F" w:rsidR="006F1F1C" w:rsidRDefault="0061079E" w:rsidP="00237EEC">
      <w:pPr>
        <w:pStyle w:val="bodytext"/>
        <w:ind w:right="720"/>
      </w:pPr>
      <w:r>
        <w:t>“</w:t>
      </w:r>
      <w:r w:rsidR="00F87C3E">
        <w:t>2</w:t>
      </w:r>
      <w:r w:rsidR="00A161F1">
        <w:t>.</w:t>
      </w:r>
      <w:r w:rsidR="00237EEC">
        <w:t xml:space="preserve"> </w:t>
      </w:r>
      <w:r w:rsidR="00A161F1">
        <w:t xml:space="preserve"> </w:t>
      </w:r>
      <w:r>
        <w:t xml:space="preserve">On </w:t>
      </w:r>
      <w:bookmarkStart w:id="69" w:name="Elx3cO"/>
      <w:bookmarkStart w:id="70" w:name="Elx3crO"/>
      <w:bookmarkStart w:id="71" w:name="El49O"/>
      <w:bookmarkStart w:id="72" w:name="El49rO"/>
      <w:r>
        <w:t>Tuesday</w:t>
      </w:r>
      <w:bookmarkEnd w:id="69"/>
      <w:bookmarkEnd w:id="70"/>
      <w:r>
        <w:t xml:space="preserve">, </w:t>
      </w:r>
      <w:bookmarkStart w:id="73" w:name="Elx4cO"/>
      <w:bookmarkStart w:id="74" w:name="Elx4crO"/>
      <w:r>
        <w:t xml:space="preserve">December </w:t>
      </w:r>
      <w:bookmarkEnd w:id="73"/>
      <w:bookmarkEnd w:id="74"/>
      <w:r>
        <w:t xml:space="preserve">6, 2016 </w:t>
      </w:r>
      <w:bookmarkEnd w:id="71"/>
      <w:bookmarkEnd w:id="72"/>
      <w:r>
        <w:t xml:space="preserve">at approximately 4:00 P.M., the jury reached verdicts on all but </w:t>
      </w:r>
      <w:r>
        <w:t>one of the eight counts alleged against Ruslan Glukhoy.</w:t>
      </w:r>
      <w:r w:rsidR="00A161F1">
        <w:t>[</w:t>
      </w:r>
      <w:r>
        <w:rPr>
          <w:rStyle w:val="FootnoteReference"/>
        </w:rPr>
        <w:footnoteReference w:id="15"/>
      </w:r>
      <w:r w:rsidR="00A161F1">
        <w:t xml:space="preserve">] </w:t>
      </w:r>
    </w:p>
    <w:p w14:paraId="76238617" w14:textId="77777777" w:rsidR="006F1F1C" w:rsidRDefault="0061079E" w:rsidP="00CD1C25">
      <w:pPr>
        <w:pStyle w:val="bodytext"/>
        <w:ind w:left="90" w:right="720"/>
      </w:pPr>
      <w:r>
        <w:t>“</w:t>
      </w:r>
      <w:r w:rsidR="00F87C3E">
        <w:t>3</w:t>
      </w:r>
      <w:r w:rsidR="00A161F1">
        <w:t xml:space="preserve">. </w:t>
      </w:r>
      <w:r w:rsidR="00652A09">
        <w:t xml:space="preserve"> </w:t>
      </w:r>
      <w:r w:rsidR="00797005">
        <w:t xml:space="preserve">The jury reassembled at 8:30 A.M. on </w:t>
      </w:r>
      <w:bookmarkStart w:id="75" w:name="ElxacO"/>
      <w:bookmarkStart w:id="76" w:name="ElxacrO"/>
      <w:bookmarkStart w:id="77" w:name="El4aO"/>
      <w:bookmarkStart w:id="78" w:name="El4arO"/>
      <w:r w:rsidR="00797005">
        <w:t>Thursday</w:t>
      </w:r>
      <w:bookmarkEnd w:id="75"/>
      <w:bookmarkEnd w:id="76"/>
      <w:r w:rsidR="00797005">
        <w:t>, December 8, 2016</w:t>
      </w:r>
      <w:bookmarkEnd w:id="77"/>
      <w:bookmarkEnd w:id="78"/>
      <w:r w:rsidR="00797005">
        <w:t>.  During that time, we discussed the case amongst ourselves.</w:t>
      </w:r>
      <w:r w:rsidR="00F87C3E">
        <w:t xml:space="preserve"> </w:t>
      </w:r>
    </w:p>
    <w:p w14:paraId="4BDC09DB" w14:textId="0F34A92E" w:rsidR="00797005" w:rsidRDefault="0061079E" w:rsidP="00CD1C25">
      <w:pPr>
        <w:pStyle w:val="bodytext"/>
        <w:ind w:left="90" w:right="720"/>
      </w:pPr>
      <w:r>
        <w:t>“</w:t>
      </w:r>
      <w:r w:rsidR="00F87C3E">
        <w:t xml:space="preserve">4. </w:t>
      </w:r>
      <w:r w:rsidR="00652A09">
        <w:t xml:space="preserve"> </w:t>
      </w:r>
      <w:r>
        <w:t xml:space="preserve">At least six (6) of my fellow jurors began </w:t>
      </w:r>
      <w:r>
        <w:t>discussing facts about the case that were not introduced as evidence at trial; e.g., that the brother</w:t>
      </w:r>
      <w:r w:rsidR="00A952C7">
        <w:t>s</w:t>
      </w:r>
      <w:r>
        <w:t xml:space="preserve"> were drug addicts, that they both had warrants out for their arrests, and that [</w:t>
      </w:r>
      <w:r w:rsidR="00A3690B">
        <w:t xml:space="preserve">the daughter of </w:t>
      </w:r>
      <w:r>
        <w:t>a deputy</w:t>
      </w:r>
      <w:r w:rsidR="00B66F08">
        <w:t xml:space="preserve"> who </w:t>
      </w:r>
      <w:r w:rsidR="00A3690B">
        <w:t>testified</w:t>
      </w:r>
      <w:r>
        <w:t>] was killed.”</w:t>
      </w:r>
    </w:p>
    <w:p w14:paraId="5372E6CE" w14:textId="1CCD7ABA" w:rsidR="00F87C3E" w:rsidRDefault="0061079E" w:rsidP="00CD1C25">
      <w:pPr>
        <w:pStyle w:val="bodytext"/>
        <w:ind w:left="90" w:right="720"/>
      </w:pPr>
      <w:r>
        <w:t>“5.  Through further</w:t>
      </w:r>
      <w:r>
        <w:t xml:space="preserve"> discussion, I was able to determine that these facts were </w:t>
      </w:r>
      <w:r w:rsidR="006F1F1C">
        <w:t>learned</w:t>
      </w:r>
      <w:r>
        <w:t xml:space="preserve"> by Internet searches after the verdicts were reached on Tuesday afternoon.</w:t>
      </w:r>
      <w:r w:rsidR="00CD1C25">
        <w:t xml:space="preserve"> </w:t>
      </w:r>
      <w:r>
        <w:t xml:space="preserve"> </w:t>
      </w:r>
      <w:r w:rsidR="00734B7A">
        <w:t xml:space="preserve">[¶] . . . [¶] </w:t>
      </w:r>
    </w:p>
    <w:p w14:paraId="6D73A8F4" w14:textId="029651B3" w:rsidR="008637C5" w:rsidRDefault="0061079E" w:rsidP="00CD1C25">
      <w:pPr>
        <w:pStyle w:val="bodytext"/>
        <w:ind w:left="90" w:right="720"/>
      </w:pPr>
      <w:r>
        <w:t xml:space="preserve">“7. </w:t>
      </w:r>
      <w:r w:rsidR="00652A09">
        <w:t xml:space="preserve"> </w:t>
      </w:r>
      <w:r>
        <w:t xml:space="preserve">On each occasion that a comment was made, [the </w:t>
      </w:r>
      <w:r w:rsidR="00137D56">
        <w:t xml:space="preserve">subject </w:t>
      </w:r>
      <w:r>
        <w:t>juror] would offer additional informat</w:t>
      </w:r>
      <w:r>
        <w:t>ion.</w:t>
      </w:r>
    </w:p>
    <w:p w14:paraId="092583B8" w14:textId="439A9831" w:rsidR="008637C5" w:rsidRDefault="0061079E" w:rsidP="00CD1C25">
      <w:pPr>
        <w:pStyle w:val="bodytext"/>
        <w:ind w:left="90" w:right="720"/>
      </w:pPr>
      <w:bookmarkStart w:id="79" w:name="ElPgBr15"/>
      <w:bookmarkEnd w:id="79"/>
      <w:r>
        <w:lastRenderedPageBreak/>
        <w:t xml:space="preserve">“8. </w:t>
      </w:r>
      <w:r w:rsidR="00652A09">
        <w:t xml:space="preserve"> </w:t>
      </w:r>
      <w:r>
        <w:t xml:space="preserve">When I asked [the </w:t>
      </w:r>
      <w:r w:rsidR="004C1DC2">
        <w:t xml:space="preserve">subject </w:t>
      </w:r>
      <w:r>
        <w:t>juror] if she had gone on the Internet, she denied going online.  She simply stated that, ‘I have an excellent memory and I remember all of the facts from the time that it happened.’</w:t>
      </w:r>
      <w:r w:rsidR="00CD1C25">
        <w:t xml:space="preserve"> </w:t>
      </w:r>
      <w:r>
        <w:t xml:space="preserve">” </w:t>
      </w:r>
    </w:p>
    <w:p w14:paraId="7F3ACCAF" w14:textId="251D3E79" w:rsidR="008637C5" w:rsidRDefault="0061079E" w:rsidP="006F1F1C">
      <w:pPr>
        <w:pStyle w:val="bodytext"/>
      </w:pPr>
      <w:r>
        <w:t xml:space="preserve">The </w:t>
      </w:r>
      <w:r w:rsidR="004C1DC2">
        <w:t xml:space="preserve">foreperson </w:t>
      </w:r>
      <w:r>
        <w:t>went on to describe</w:t>
      </w:r>
      <w:r>
        <w:t xml:space="preserve"> the </w:t>
      </w:r>
      <w:r w:rsidR="004C1DC2">
        <w:t xml:space="preserve">subject </w:t>
      </w:r>
      <w:r>
        <w:t xml:space="preserve">juror as “loud, boisterous and a bully,” and </w:t>
      </w:r>
      <w:r w:rsidR="006F1F1C">
        <w:t>opined</w:t>
      </w:r>
      <w:r>
        <w:t xml:space="preserve"> that “she would have voted guilty on all counts the moment we began deliberations.”  </w:t>
      </w:r>
      <w:r w:rsidR="006F1F1C">
        <w:t>The foreperson also declared</w:t>
      </w:r>
      <w:r>
        <w:t xml:space="preserve">, “I believe that [the </w:t>
      </w:r>
      <w:r w:rsidR="00385084">
        <w:t xml:space="preserve">subject </w:t>
      </w:r>
      <w:r>
        <w:t>juror] came into the deliberations with knowled</w:t>
      </w:r>
      <w:r>
        <w:t>ge that prevented her from deliberating fairly.”</w:t>
      </w:r>
      <w:r>
        <w:rPr>
          <w:rStyle w:val="FootnoteReference"/>
        </w:rPr>
        <w:footnoteReference w:id="16"/>
      </w:r>
      <w:r w:rsidR="00DD03FB">
        <w:t xml:space="preserve"> </w:t>
      </w:r>
    </w:p>
    <w:p w14:paraId="45A3073B" w14:textId="4CABCD12" w:rsidR="00A60C7E" w:rsidRPr="00755C3E" w:rsidRDefault="0061079E" w:rsidP="00A777A3">
      <w:pPr>
        <w:pStyle w:val="bodytext"/>
        <w:keepNext/>
        <w:rPr>
          <w:b/>
          <w:bCs/>
        </w:rPr>
      </w:pPr>
      <w:r w:rsidRPr="00755C3E">
        <w:rPr>
          <w:b/>
          <w:bCs/>
        </w:rPr>
        <w:t>2.  Continuance Motion</w:t>
      </w:r>
    </w:p>
    <w:p w14:paraId="0705EB1D" w14:textId="22C8C60B" w:rsidR="007B615A" w:rsidRDefault="0061079E" w:rsidP="006F1F1C">
      <w:pPr>
        <w:pStyle w:val="bodytext"/>
      </w:pPr>
      <w:r>
        <w:t xml:space="preserve">On January 18, </w:t>
      </w:r>
      <w:r w:rsidR="00137C79">
        <w:t xml:space="preserve">2017, </w:t>
      </w:r>
      <w:r>
        <w:t xml:space="preserve">counsel for </w:t>
      </w:r>
      <w:r w:rsidR="005E5798">
        <w:t xml:space="preserve">Ruslan </w:t>
      </w:r>
      <w:r>
        <w:t>filed a written motion</w:t>
      </w:r>
      <w:r w:rsidR="005E5798">
        <w:t xml:space="preserve"> to continue </w:t>
      </w:r>
      <w:r w:rsidR="00431A6C">
        <w:t xml:space="preserve">the </w:t>
      </w:r>
      <w:r w:rsidR="00734B7A">
        <w:t xml:space="preserve">January 20 </w:t>
      </w:r>
      <w:r w:rsidR="005E5798">
        <w:t xml:space="preserve">sentencing </w:t>
      </w:r>
      <w:r w:rsidR="002604CB">
        <w:t>on two grounds:</w:t>
      </w:r>
      <w:r w:rsidR="00DB1748">
        <w:t xml:space="preserve"> </w:t>
      </w:r>
      <w:r w:rsidR="002604CB">
        <w:t xml:space="preserve"> </w:t>
      </w:r>
      <w:r w:rsidR="005D3237">
        <w:t xml:space="preserve">(1) </w:t>
      </w:r>
      <w:r w:rsidR="00E95B41">
        <w:t>Code of Civil Procedure</w:t>
      </w:r>
      <w:r w:rsidR="00D601DA">
        <w:t xml:space="preserve"> </w:t>
      </w:r>
      <w:r w:rsidR="002604CB">
        <w:t xml:space="preserve">notice requirements for his new trial motion </w:t>
      </w:r>
      <w:r w:rsidR="005D3237">
        <w:t xml:space="preserve">were </w:t>
      </w:r>
      <w:r w:rsidR="007806F6">
        <w:t>in</w:t>
      </w:r>
      <w:r w:rsidR="00714B68">
        <w:t>compatible</w:t>
      </w:r>
      <w:r w:rsidR="005D3237">
        <w:t xml:space="preserve"> with the</w:t>
      </w:r>
      <w:r w:rsidR="00A27FB8">
        <w:t xml:space="preserve"> scheduled </w:t>
      </w:r>
      <w:r w:rsidR="005D3237">
        <w:t xml:space="preserve">sentencing date, and (2) </w:t>
      </w:r>
      <w:r w:rsidR="00A27FB8">
        <w:t xml:space="preserve">he </w:t>
      </w:r>
      <w:r w:rsidR="00714B68">
        <w:t xml:space="preserve">planned to call a </w:t>
      </w:r>
      <w:r w:rsidR="00DD03FB">
        <w:t xml:space="preserve">child forensic </w:t>
      </w:r>
      <w:r w:rsidR="00117D2C">
        <w:t>psychiatrist</w:t>
      </w:r>
      <w:r w:rsidR="00DD03FB">
        <w:t xml:space="preserve"> </w:t>
      </w:r>
      <w:r w:rsidR="00117D2C">
        <w:t xml:space="preserve">who </w:t>
      </w:r>
      <w:r w:rsidR="00714B68">
        <w:t xml:space="preserve">was not available on the </w:t>
      </w:r>
      <w:r w:rsidR="007806F6">
        <w:t xml:space="preserve">sentencing </w:t>
      </w:r>
      <w:r w:rsidR="00714B68">
        <w:t>date.</w:t>
      </w:r>
      <w:r w:rsidR="00DD03FB">
        <w:t xml:space="preserve">  </w:t>
      </w:r>
      <w:r w:rsidR="002D25CA">
        <w:t>Counsel</w:t>
      </w:r>
      <w:r w:rsidR="003F3770">
        <w:t xml:space="preserve"> did not assert in his written motion that he needed additional time to investigate the new trial motion.</w:t>
      </w:r>
      <w:r w:rsidR="00734B7A">
        <w:t xml:space="preserve"> </w:t>
      </w:r>
    </w:p>
    <w:p w14:paraId="0DCB412D" w14:textId="0B62503E" w:rsidR="005E5798" w:rsidRDefault="0061079E" w:rsidP="006F1F1C">
      <w:pPr>
        <w:pStyle w:val="bodytext"/>
      </w:pPr>
      <w:r>
        <w:t>The prosecut</w:t>
      </w:r>
      <w:r w:rsidR="007802B9">
        <w:t>or</w:t>
      </w:r>
      <w:r w:rsidR="002D25CA">
        <w:t>, who had received the continuance motion the day before, filed a</w:t>
      </w:r>
      <w:r w:rsidR="00844775">
        <w:t>n</w:t>
      </w:r>
      <w:r w:rsidR="002D25CA">
        <w:t xml:space="preserve"> opposition</w:t>
      </w:r>
      <w:r w:rsidR="00844775">
        <w:t>,</w:t>
      </w:r>
      <w:r>
        <w:t xml:space="preserve"> </w:t>
      </w:r>
      <w:r w:rsidR="00357059">
        <w:t>question</w:t>
      </w:r>
      <w:r w:rsidR="00844775">
        <w:t>ing</w:t>
      </w:r>
      <w:r w:rsidR="00357059">
        <w:t xml:space="preserve"> the relevance of the </w:t>
      </w:r>
      <w:r w:rsidR="00117D2C">
        <w:t xml:space="preserve">psychiatrist’s </w:t>
      </w:r>
      <w:r>
        <w:t>testimony</w:t>
      </w:r>
      <w:r w:rsidR="00137C79">
        <w:t xml:space="preserve"> </w:t>
      </w:r>
      <w:r w:rsidR="00D601DA">
        <w:t xml:space="preserve">given the </w:t>
      </w:r>
      <w:r w:rsidR="003F3770">
        <w:t xml:space="preserve">court’s </w:t>
      </w:r>
      <w:r w:rsidR="00D601DA">
        <w:t>lack of sentencing choices</w:t>
      </w:r>
      <w:r w:rsidR="00431A6C">
        <w:t>.  He also noted</w:t>
      </w:r>
      <w:r w:rsidR="00D601DA">
        <w:t xml:space="preserve"> </w:t>
      </w:r>
      <w:r w:rsidR="00431A6C">
        <w:t xml:space="preserve">the psychiatrist’s </w:t>
      </w:r>
      <w:r w:rsidR="00137C79">
        <w:t>pretrial evaluation of Ruslan was “covered in the probation report filed in this case.</w:t>
      </w:r>
      <w:r w:rsidR="00D601DA">
        <w:t>”</w:t>
      </w:r>
      <w:r w:rsidR="00137C79">
        <w:t xml:space="preserve">  The prosecutor </w:t>
      </w:r>
      <w:r w:rsidR="00844775">
        <w:t xml:space="preserve">added </w:t>
      </w:r>
      <w:r w:rsidR="003F3770">
        <w:t>he was unaware</w:t>
      </w:r>
      <w:r w:rsidR="00137C79">
        <w:t xml:space="preserve"> </w:t>
      </w:r>
      <w:r w:rsidR="003F3770">
        <w:t>of any Code of Civil Procedure provision governing the proceedings,</w:t>
      </w:r>
      <w:r>
        <w:rPr>
          <w:rStyle w:val="FootnoteReference"/>
        </w:rPr>
        <w:footnoteReference w:id="17"/>
      </w:r>
      <w:r w:rsidR="003F3770">
        <w:t xml:space="preserve"> but </w:t>
      </w:r>
      <w:r w:rsidR="00137C79">
        <w:t>offered</w:t>
      </w:r>
      <w:r w:rsidR="00357059">
        <w:t xml:space="preserve"> to waive any notice requirement</w:t>
      </w:r>
      <w:r w:rsidR="00137C79">
        <w:t xml:space="preserve"> and indicated the prosecution would be ready to proceed on the new trial motion</w:t>
      </w:r>
      <w:r>
        <w:t xml:space="preserve">. </w:t>
      </w:r>
    </w:p>
    <w:p w14:paraId="7A563D33" w14:textId="58FBDFF2" w:rsidR="00BE5FC5" w:rsidRDefault="0061079E" w:rsidP="00237EEC">
      <w:bookmarkStart w:id="80" w:name="ElPgBr16"/>
      <w:bookmarkEnd w:id="80"/>
      <w:r>
        <w:lastRenderedPageBreak/>
        <w:tab/>
      </w:r>
      <w:r w:rsidR="002D25CA">
        <w:t xml:space="preserve">Later </w:t>
      </w:r>
      <w:r w:rsidR="00844775">
        <w:t xml:space="preserve">that day, </w:t>
      </w:r>
      <w:r w:rsidR="004B109F">
        <w:t xml:space="preserve">the trial court held a hearing on defendant’s continuance motion.  Defense counsel led off </w:t>
      </w:r>
      <w:r w:rsidR="007E5DB1">
        <w:t xml:space="preserve">with the issue concerning </w:t>
      </w:r>
      <w:r w:rsidR="002D25CA">
        <w:t xml:space="preserve">the </w:t>
      </w:r>
      <w:r w:rsidR="007E5DB1">
        <w:t xml:space="preserve">psychiatrist.  He stated his </w:t>
      </w:r>
      <w:r w:rsidR="004B109F">
        <w:t xml:space="preserve">testimony </w:t>
      </w:r>
      <w:r w:rsidR="007E5DB1">
        <w:t>could be important</w:t>
      </w:r>
      <w:r w:rsidR="002D25CA">
        <w:t xml:space="preserve"> </w:t>
      </w:r>
      <w:r w:rsidR="00F86ACB">
        <w:t xml:space="preserve">if there were </w:t>
      </w:r>
      <w:r w:rsidR="002D25CA">
        <w:t>potential</w:t>
      </w:r>
      <w:r>
        <w:t xml:space="preserve"> future changes in</w:t>
      </w:r>
      <w:r w:rsidR="004B109F">
        <w:t xml:space="preserve"> </w:t>
      </w:r>
      <w:r w:rsidR="007E5DB1">
        <w:t xml:space="preserve">the </w:t>
      </w:r>
      <w:r w:rsidR="004B109F">
        <w:t xml:space="preserve">youthful </w:t>
      </w:r>
      <w:r w:rsidR="00F86ACB">
        <w:t xml:space="preserve">offender </w:t>
      </w:r>
      <w:r w:rsidR="004B109F">
        <w:t xml:space="preserve">parole </w:t>
      </w:r>
      <w:r w:rsidR="007E5DB1">
        <w:t>law,</w:t>
      </w:r>
      <w:r>
        <w:rPr>
          <w:rStyle w:val="FootnoteReference"/>
        </w:rPr>
        <w:footnoteReference w:id="18"/>
      </w:r>
      <w:r w:rsidR="002D25CA">
        <w:t xml:space="preserve"> </w:t>
      </w:r>
      <w:r w:rsidR="007E5DB1">
        <w:t>but</w:t>
      </w:r>
      <w:r w:rsidR="002D25CA">
        <w:t xml:space="preserve"> he </w:t>
      </w:r>
      <w:r w:rsidR="00E95B41">
        <w:t>could not secure</w:t>
      </w:r>
      <w:r w:rsidR="004B109F">
        <w:t xml:space="preserve"> </w:t>
      </w:r>
      <w:r w:rsidR="002D25CA">
        <w:t>the</w:t>
      </w:r>
      <w:r w:rsidR="00F86ACB">
        <w:t xml:space="preserve"> psychiatrist’s</w:t>
      </w:r>
      <w:r w:rsidR="002D25CA">
        <w:t xml:space="preserve"> </w:t>
      </w:r>
      <w:r w:rsidR="004B109F">
        <w:t xml:space="preserve">presence </w:t>
      </w:r>
      <w:r w:rsidR="002D25CA">
        <w:t>on</w:t>
      </w:r>
      <w:r w:rsidR="004B109F">
        <w:t xml:space="preserve"> January 20.  Regarding the new trial motion, counsel stated his investigator ha</w:t>
      </w:r>
      <w:r w:rsidR="007E5DB1">
        <w:t>d</w:t>
      </w:r>
      <w:r w:rsidR="004B109F">
        <w:t xml:space="preserve"> been </w:t>
      </w:r>
      <w:r w:rsidR="00385084">
        <w:t>“</w:t>
      </w:r>
      <w:r w:rsidR="004B109F">
        <w:t>working on it,</w:t>
      </w:r>
      <w:r w:rsidR="00385084">
        <w:t>”</w:t>
      </w:r>
      <w:r w:rsidR="004B109F">
        <w:t xml:space="preserve"> but that “he’s had some problems, personal problems and holidays and all that other stuff.  It hasn’t been a normal month since the verdict came in.  </w:t>
      </w:r>
      <w:bookmarkStart w:id="81" w:name="_Hlk83422317"/>
      <w:r w:rsidR="004B109F">
        <w:t xml:space="preserve">And </w:t>
      </w:r>
      <w:r w:rsidR="004B109F" w:rsidRPr="00C5791F">
        <w:rPr>
          <w:i/>
          <w:iCs/>
        </w:rPr>
        <w:t xml:space="preserve">we didn’t rush this thing to January </w:t>
      </w:r>
      <w:r w:rsidR="007E5DB1" w:rsidRPr="00C5791F">
        <w:rPr>
          <w:i/>
          <w:iCs/>
        </w:rPr>
        <w:t>20th</w:t>
      </w:r>
      <w:r w:rsidR="004B109F">
        <w:t xml:space="preserve">.”  </w:t>
      </w:r>
      <w:r w:rsidR="00E95B41">
        <w:t>(</w:t>
      </w:r>
      <w:r w:rsidR="00220A18">
        <w:t>I</w:t>
      </w:r>
      <w:r w:rsidR="00385084">
        <w:t>talics added</w:t>
      </w:r>
      <w:r w:rsidR="00220A18">
        <w:t>.)</w:t>
      </w:r>
      <w:bookmarkEnd w:id="81"/>
      <w:r w:rsidR="00DF74A2">
        <w:t xml:space="preserve">  Counsel </w:t>
      </w:r>
      <w:r w:rsidR="00E677AD">
        <w:t xml:space="preserve">added that </w:t>
      </w:r>
      <w:r w:rsidR="00DF74A2">
        <w:t xml:space="preserve">he also needed </w:t>
      </w:r>
      <w:r w:rsidR="007E5DB1">
        <w:t>the two</w:t>
      </w:r>
      <w:r w:rsidR="00DF74A2">
        <w:t xml:space="preserve"> days </w:t>
      </w:r>
      <w:r w:rsidR="007E5DB1">
        <w:t xml:space="preserve">to which he was entitled </w:t>
      </w:r>
      <w:r w:rsidR="00DF74A2">
        <w:t>to respond to the prosecution’s opposition to the new trial motion.</w:t>
      </w:r>
    </w:p>
    <w:p w14:paraId="35A41130" w14:textId="541F4941" w:rsidR="00357059" w:rsidRDefault="0061079E" w:rsidP="00237EEC">
      <w:pPr>
        <w:ind w:firstLine="720"/>
      </w:pPr>
      <w:r>
        <w:t xml:space="preserve">The trial court denied the </w:t>
      </w:r>
      <w:r w:rsidR="00AB0803">
        <w:t xml:space="preserve">motion </w:t>
      </w:r>
      <w:r w:rsidR="00AB09B3">
        <w:t>to continue</w:t>
      </w:r>
      <w:r w:rsidR="00AB0803">
        <w:t xml:space="preserve"> based on the</w:t>
      </w:r>
      <w:r w:rsidR="007E5DB1">
        <w:t xml:space="preserve"> psychiatrist</w:t>
      </w:r>
      <w:r w:rsidR="00AB0803">
        <w:t xml:space="preserve">’s schedule, noting the court </w:t>
      </w:r>
      <w:r w:rsidR="00680E21">
        <w:t xml:space="preserve">lacked </w:t>
      </w:r>
      <w:r w:rsidR="00AB0803">
        <w:t>sentencing discretion as to Ruslan</w:t>
      </w:r>
      <w:r w:rsidR="00E677AD">
        <w:t>,</w:t>
      </w:r>
      <w:r>
        <w:t xml:space="preserve"> and there was no point to continuing the matter to make a record on the chance the parole law changed in the future</w:t>
      </w:r>
      <w:r w:rsidR="00AB0803">
        <w:t>.</w:t>
      </w:r>
      <w:r>
        <w:rPr>
          <w:rStyle w:val="FootnoteReference"/>
        </w:rPr>
        <w:footnoteReference w:id="19"/>
      </w:r>
      <w:r w:rsidR="00AB0803">
        <w:t xml:space="preserve">  </w:t>
      </w:r>
      <w:r w:rsidR="00435313">
        <w:t xml:space="preserve">While the court </w:t>
      </w:r>
      <w:r w:rsidR="00DF74A2">
        <w:t xml:space="preserve">noted that counsel would have had his two days to respond to the prosecution’s </w:t>
      </w:r>
      <w:r w:rsidR="00435313">
        <w:t xml:space="preserve">new trial motion </w:t>
      </w:r>
      <w:r w:rsidR="00DF74A2">
        <w:t>opposition by the day of sentencing</w:t>
      </w:r>
      <w:r w:rsidR="00435313">
        <w:t>,</w:t>
      </w:r>
      <w:r w:rsidR="00DF74A2">
        <w:t xml:space="preserve"> </w:t>
      </w:r>
      <w:r w:rsidR="00086477">
        <w:t xml:space="preserve">it </w:t>
      </w:r>
      <w:r w:rsidR="00AB0803">
        <w:t xml:space="preserve">reserved decision </w:t>
      </w:r>
      <w:r w:rsidR="00F409CE">
        <w:t xml:space="preserve">as to the continuance </w:t>
      </w:r>
      <w:r w:rsidR="00AB270E">
        <w:t xml:space="preserve">of </w:t>
      </w:r>
      <w:r w:rsidR="00F409CE">
        <w:t>the</w:t>
      </w:r>
      <w:r w:rsidR="00435313">
        <w:t xml:space="preserve"> hearing</w:t>
      </w:r>
      <w:r w:rsidR="00DF74A2">
        <w:t>.  The court indicat</w:t>
      </w:r>
      <w:r w:rsidR="00435313">
        <w:t>ed</w:t>
      </w:r>
      <w:r w:rsidR="00DF74A2">
        <w:t xml:space="preserve"> it was still reviewing the motion and doing its own research and may or may not determine there is a </w:t>
      </w:r>
      <w:r w:rsidR="007758D4">
        <w:t>“</w:t>
      </w:r>
      <w:r w:rsidR="00DF74A2">
        <w:t xml:space="preserve">need to have </w:t>
      </w:r>
      <w:r w:rsidR="007758D4">
        <w:t xml:space="preserve">any </w:t>
      </w:r>
      <w:r w:rsidR="00DF74A2">
        <w:t>additional testimony, hearings, et cetera on that motion</w:t>
      </w:r>
      <w:r w:rsidR="00AB0803">
        <w:t>.</w:t>
      </w:r>
      <w:r w:rsidR="00DF74A2">
        <w:t>”</w:t>
      </w:r>
      <w:r w:rsidR="00474D1E">
        <w:t xml:space="preserve">  The court noted it could “elect to have testimony.  Although, . . .  I would say that’s rare.  It has to be based on affidavits.”  The court </w:t>
      </w:r>
      <w:r w:rsidR="00435313">
        <w:t xml:space="preserve">expressed skepticism about the foreperson’s declaration, noting </w:t>
      </w:r>
      <w:r w:rsidR="00474D1E">
        <w:t xml:space="preserve">that </w:t>
      </w:r>
      <w:r w:rsidR="00435313">
        <w:t xml:space="preserve">she </w:t>
      </w:r>
      <w:r w:rsidR="00474D1E">
        <w:t>never reported an</w:t>
      </w:r>
      <w:r w:rsidR="00435313">
        <w:t>y</w:t>
      </w:r>
      <w:r w:rsidR="00474D1E">
        <w:t xml:space="preserve"> concerns to the </w:t>
      </w:r>
      <w:r w:rsidR="00435313">
        <w:t xml:space="preserve">bailiff or the </w:t>
      </w:r>
      <w:r w:rsidR="00474D1E">
        <w:t xml:space="preserve">court </w:t>
      </w:r>
      <w:r w:rsidR="00F86ACB">
        <w:t xml:space="preserve">before or </w:t>
      </w:r>
      <w:r w:rsidR="00474D1E">
        <w:t>after the verdicts.  The court indicated it had just begun its review and acknowledged the</w:t>
      </w:r>
      <w:r w:rsidR="00435313">
        <w:t>re</w:t>
      </w:r>
      <w:r w:rsidR="00474D1E">
        <w:t xml:space="preserve"> may be a basis to </w:t>
      </w:r>
      <w:bookmarkStart w:id="82" w:name="ElPgBr17"/>
      <w:bookmarkEnd w:id="82"/>
      <w:r w:rsidR="00474D1E">
        <w:lastRenderedPageBreak/>
        <w:t>continue the new trial motion</w:t>
      </w:r>
      <w:r w:rsidR="00435313">
        <w:t xml:space="preserve">, but </w:t>
      </w:r>
      <w:r w:rsidR="00474D1E">
        <w:t>further noted that it may be able to rule on the motion on January 20.</w:t>
      </w:r>
      <w:r w:rsidR="00435313">
        <w:t xml:space="preserve"> </w:t>
      </w:r>
    </w:p>
    <w:p w14:paraId="5872D529" w14:textId="682BE9B3" w:rsidR="00474D1E" w:rsidRDefault="0061079E" w:rsidP="00237EEC">
      <w:pPr>
        <w:ind w:firstLine="720"/>
      </w:pPr>
      <w:r>
        <w:t>Counsel told the court</w:t>
      </w:r>
      <w:r w:rsidR="00385084">
        <w:t>:</w:t>
      </w:r>
      <w:r w:rsidR="00237EEC">
        <w:t xml:space="preserve"> </w:t>
      </w:r>
      <w:r>
        <w:t xml:space="preserve"> “It’s possible that I will have additional information.  And I st</w:t>
      </w:r>
      <w:r>
        <w:t xml:space="preserve">ress the word possible.  It is possible that I will have additional information for the Court on Friday that I do not have at the present time.”  </w:t>
      </w:r>
      <w:r w:rsidR="00435313">
        <w:t xml:space="preserve">Counsel never mentioned the possibility of needing a continuance to obtain additional information or to secure the presence of </w:t>
      </w:r>
      <w:r w:rsidR="00B72388">
        <w:t>a</w:t>
      </w:r>
      <w:r w:rsidR="00435313">
        <w:t xml:space="preserve"> witness at the new trial motion hearing.</w:t>
      </w:r>
      <w:r w:rsidR="00050C7B">
        <w:t xml:space="preserve"> </w:t>
      </w:r>
    </w:p>
    <w:p w14:paraId="13D9C35E" w14:textId="7B896223" w:rsidR="00A60C7E" w:rsidRPr="00755C3E" w:rsidRDefault="0061079E" w:rsidP="00755C3E">
      <w:pPr>
        <w:keepNext/>
        <w:rPr>
          <w:b/>
          <w:bCs/>
        </w:rPr>
      </w:pPr>
      <w:r>
        <w:tab/>
      </w:r>
      <w:r w:rsidRPr="00755C3E">
        <w:rPr>
          <w:b/>
          <w:bCs/>
        </w:rPr>
        <w:t xml:space="preserve">3.  </w:t>
      </w:r>
      <w:r w:rsidR="006429C6" w:rsidRPr="00755C3E">
        <w:rPr>
          <w:b/>
          <w:bCs/>
        </w:rPr>
        <w:t>New Trial Motion and Sentencing Hearing</w:t>
      </w:r>
    </w:p>
    <w:p w14:paraId="723438B9" w14:textId="2FC3C694" w:rsidR="0020405B" w:rsidRDefault="0061079E" w:rsidP="00BF45EC">
      <w:pPr>
        <w:pStyle w:val="bodytext"/>
      </w:pPr>
      <w:r>
        <w:t>At the beginning of the hearing on January 20, 201</w:t>
      </w:r>
      <w:r w:rsidR="00435313">
        <w:t>7</w:t>
      </w:r>
      <w:r w:rsidR="00BF45EC">
        <w:t xml:space="preserve">, </w:t>
      </w:r>
      <w:r w:rsidR="00680E21">
        <w:t>t</w:t>
      </w:r>
      <w:r w:rsidR="00BF45EC">
        <w:t xml:space="preserve">he </w:t>
      </w:r>
      <w:r w:rsidR="007E5980">
        <w:t xml:space="preserve">court </w:t>
      </w:r>
      <w:r w:rsidR="007806F6">
        <w:t xml:space="preserve">announced </w:t>
      </w:r>
      <w:r w:rsidR="007E5980">
        <w:t xml:space="preserve">it would </w:t>
      </w:r>
      <w:r w:rsidR="00435313">
        <w:t xml:space="preserve">first </w:t>
      </w:r>
      <w:r w:rsidR="007E5980">
        <w:t>consider the motions for a new trial and for a continuance</w:t>
      </w:r>
      <w:r w:rsidR="00BF45EC">
        <w:t xml:space="preserve">.  </w:t>
      </w:r>
      <w:r w:rsidR="00B72388">
        <w:t>The court</w:t>
      </w:r>
      <w:r w:rsidRPr="0020405B">
        <w:t xml:space="preserve"> </w:t>
      </w:r>
      <w:r w:rsidR="007E5980">
        <w:t xml:space="preserve">also </w:t>
      </w:r>
      <w:r w:rsidRPr="0020405B">
        <w:t xml:space="preserve">noted </w:t>
      </w:r>
      <w:r w:rsidR="00B9262A">
        <w:t xml:space="preserve">that </w:t>
      </w:r>
      <w:r w:rsidRPr="0020405B">
        <w:t xml:space="preserve">numerous jurors </w:t>
      </w:r>
      <w:r w:rsidR="00BF45EC">
        <w:t xml:space="preserve">were </w:t>
      </w:r>
      <w:r w:rsidRPr="0020405B">
        <w:t xml:space="preserve">present, </w:t>
      </w:r>
      <w:r w:rsidR="0022105D">
        <w:t>but</w:t>
      </w:r>
      <w:r w:rsidR="00BF45EC">
        <w:t xml:space="preserve"> </w:t>
      </w:r>
      <w:r w:rsidR="00D601DA">
        <w:t>that the court had ordered the</w:t>
      </w:r>
      <w:r w:rsidR="00B72388">
        <w:t>m to</w:t>
      </w:r>
      <w:r w:rsidR="00D601DA">
        <w:t xml:space="preserve"> stay </w:t>
      </w:r>
      <w:r w:rsidR="0022105D">
        <w:t xml:space="preserve">outside </w:t>
      </w:r>
      <w:r w:rsidRPr="0020405B">
        <w:t>the courtroom for the motion.</w:t>
      </w:r>
      <w:r>
        <w:t xml:space="preserve"> </w:t>
      </w:r>
    </w:p>
    <w:p w14:paraId="58710CB0" w14:textId="5BF71A56" w:rsidR="00CD4F61" w:rsidRDefault="0061079E" w:rsidP="00CD4F61">
      <w:pPr>
        <w:pStyle w:val="bodytext"/>
      </w:pPr>
      <w:r>
        <w:t xml:space="preserve">Ruslan’s </w:t>
      </w:r>
      <w:r w:rsidR="00C064B0">
        <w:t>c</w:t>
      </w:r>
      <w:r>
        <w:t xml:space="preserve">ounsel </w:t>
      </w:r>
      <w:r w:rsidR="00B9262A">
        <w:t>argued the</w:t>
      </w:r>
      <w:r w:rsidR="00137764">
        <w:t xml:space="preserve"> </w:t>
      </w:r>
      <w:r w:rsidR="00D601DA">
        <w:t xml:space="preserve">subject </w:t>
      </w:r>
      <w:r w:rsidR="00B9262A">
        <w:t>j</w:t>
      </w:r>
      <w:r>
        <w:t>uror</w:t>
      </w:r>
      <w:r w:rsidR="00D601DA">
        <w:t>’s</w:t>
      </w:r>
      <w:r>
        <w:t xml:space="preserve"> failure to disclose that she knew</w:t>
      </w:r>
      <w:r w:rsidR="004F7890">
        <w:t xml:space="preserve"> </w:t>
      </w:r>
      <w:r>
        <w:t xml:space="preserve">Ruslan was a drug </w:t>
      </w:r>
      <w:r w:rsidR="00C064B0">
        <w:t>addict</w:t>
      </w:r>
      <w:r>
        <w:t xml:space="preserve"> and had a warrant </w:t>
      </w:r>
      <w:r w:rsidR="00C064B0">
        <w:t xml:space="preserve">was misconduct because she was under oath and failed to </w:t>
      </w:r>
      <w:r w:rsidR="00D62731">
        <w:t xml:space="preserve">mention that </w:t>
      </w:r>
      <w:r w:rsidR="00137D56">
        <w:t>during voir dire</w:t>
      </w:r>
      <w:r>
        <w:t xml:space="preserve">.  </w:t>
      </w:r>
      <w:bookmarkStart w:id="83" w:name="ElxsdO"/>
      <w:bookmarkStart w:id="84" w:name="ElxsdrO"/>
      <w:r>
        <w:t xml:space="preserve">Counsel </w:t>
      </w:r>
      <w:bookmarkEnd w:id="83"/>
      <w:bookmarkEnd w:id="84"/>
      <w:r w:rsidR="00435313">
        <w:t xml:space="preserve">argued </w:t>
      </w:r>
      <w:r>
        <w:t xml:space="preserve">that </w:t>
      </w:r>
      <w:r w:rsidR="004F7890">
        <w:t xml:space="preserve">the juror’s failure to disclose prevented him from </w:t>
      </w:r>
      <w:r w:rsidR="00C064B0">
        <w:t>refu</w:t>
      </w:r>
      <w:r w:rsidR="004F7890">
        <w:t xml:space="preserve">ting </w:t>
      </w:r>
      <w:r w:rsidR="00C064B0">
        <w:t>or mitigat</w:t>
      </w:r>
      <w:r w:rsidR="007806F6">
        <w:t xml:space="preserve">ing </w:t>
      </w:r>
      <w:r w:rsidR="00C064B0">
        <w:t xml:space="preserve">what </w:t>
      </w:r>
      <w:r w:rsidR="007806F6">
        <w:t xml:space="preserve">the juror </w:t>
      </w:r>
      <w:r w:rsidR="00C064B0">
        <w:t>believed to be true</w:t>
      </w:r>
      <w:r>
        <w:t xml:space="preserve">.  </w:t>
      </w:r>
      <w:r w:rsidR="00435313">
        <w:t xml:space="preserve">He added he would have challenged the subject juror for cause or exercised a peremptory challenge he had available to him. </w:t>
      </w:r>
    </w:p>
    <w:p w14:paraId="0400A2F8" w14:textId="5D1E3948" w:rsidR="00137764" w:rsidRDefault="0061079E" w:rsidP="00C2534D">
      <w:pPr>
        <w:pStyle w:val="bodytext"/>
      </w:pPr>
      <w:r>
        <w:t>The prosecutor responded</w:t>
      </w:r>
      <w:r w:rsidR="002024CB">
        <w:t xml:space="preserve"> that</w:t>
      </w:r>
      <w:r>
        <w:t xml:space="preserve"> </w:t>
      </w:r>
      <w:r w:rsidR="007806F6">
        <w:t>n</w:t>
      </w:r>
      <w:r w:rsidR="004F7890">
        <w:t xml:space="preserve">owhere </w:t>
      </w:r>
      <w:r w:rsidR="007806F6">
        <w:t xml:space="preserve">in </w:t>
      </w:r>
      <w:r w:rsidR="004F7890">
        <w:t xml:space="preserve">the </w:t>
      </w:r>
      <w:r w:rsidR="003F4744">
        <w:t xml:space="preserve">declaration </w:t>
      </w:r>
      <w:r w:rsidR="007806F6">
        <w:t xml:space="preserve">did it </w:t>
      </w:r>
      <w:r w:rsidR="003F4744">
        <w:t>state</w:t>
      </w:r>
      <w:r w:rsidR="004F7890">
        <w:t xml:space="preserve"> </w:t>
      </w:r>
      <w:r w:rsidR="00A47088">
        <w:t xml:space="preserve">the </w:t>
      </w:r>
      <w:r w:rsidR="007B2E40">
        <w:t xml:space="preserve">subject </w:t>
      </w:r>
      <w:r w:rsidR="00C2534D">
        <w:t>juror</w:t>
      </w:r>
      <w:r w:rsidR="00A47088">
        <w:t xml:space="preserve"> </w:t>
      </w:r>
      <w:r w:rsidR="006429C6">
        <w:t xml:space="preserve">learned </w:t>
      </w:r>
      <w:r w:rsidR="00A47088">
        <w:t xml:space="preserve">of </w:t>
      </w:r>
      <w:r w:rsidR="003F4744">
        <w:t xml:space="preserve">Ruslan’s </w:t>
      </w:r>
      <w:r w:rsidR="00A47088">
        <w:t>addiction and warrant</w:t>
      </w:r>
      <w:r w:rsidR="006429C6">
        <w:t xml:space="preserve"> prior to trial</w:t>
      </w:r>
      <w:r w:rsidR="00A47088">
        <w:t xml:space="preserve">.  </w:t>
      </w:r>
      <w:r w:rsidR="004F7890">
        <w:t xml:space="preserve">It </w:t>
      </w:r>
      <w:r w:rsidR="003F4744">
        <w:t xml:space="preserve">simply said </w:t>
      </w:r>
      <w:r w:rsidR="00086477">
        <w:t xml:space="preserve">she </w:t>
      </w:r>
      <w:r w:rsidR="003F4744">
        <w:t xml:space="preserve">provided “additional information.”  </w:t>
      </w:r>
      <w:r w:rsidR="001B02DF">
        <w:t xml:space="preserve">The prosecutor maintained that once all inadmissible information </w:t>
      </w:r>
      <w:r w:rsidR="002024CB">
        <w:t>from</w:t>
      </w:r>
      <w:r w:rsidR="001B02DF">
        <w:t xml:space="preserve"> the declaration is </w:t>
      </w:r>
      <w:r w:rsidR="00204B4F">
        <w:t>excised</w:t>
      </w:r>
      <w:r w:rsidR="001B02DF">
        <w:t xml:space="preserve">, </w:t>
      </w:r>
      <w:r w:rsidR="00086477">
        <w:t xml:space="preserve">it </w:t>
      </w:r>
      <w:r w:rsidR="001B02DF">
        <w:t>show</w:t>
      </w:r>
      <w:r w:rsidR="00204B4F">
        <w:t>s</w:t>
      </w:r>
      <w:r w:rsidR="001B02DF">
        <w:t xml:space="preserve"> n</w:t>
      </w:r>
      <w:r w:rsidR="004F7890">
        <w:t xml:space="preserve">either </w:t>
      </w:r>
      <w:r w:rsidR="001B02DF">
        <w:t xml:space="preserve">misconduct, </w:t>
      </w:r>
      <w:r w:rsidR="004F7890">
        <w:t>n</w:t>
      </w:r>
      <w:r w:rsidR="001B02DF">
        <w:t>or prejudic</w:t>
      </w:r>
      <w:r w:rsidR="004F7890">
        <w:t>e</w:t>
      </w:r>
      <w:r w:rsidR="001B02DF">
        <w:t>.</w:t>
      </w:r>
      <w:r>
        <w:rPr>
          <w:rStyle w:val="FootnoteReference"/>
        </w:rPr>
        <w:footnoteReference w:id="20"/>
      </w:r>
      <w:r w:rsidR="001B02DF">
        <w:t xml:space="preserve"> </w:t>
      </w:r>
    </w:p>
    <w:p w14:paraId="2778AE35" w14:textId="1EBDF195" w:rsidR="004046F0" w:rsidRDefault="0061079E" w:rsidP="009F6244">
      <w:pPr>
        <w:pStyle w:val="bodytext"/>
      </w:pPr>
      <w:bookmarkStart w:id="85" w:name="ElPgBr18"/>
      <w:bookmarkEnd w:id="85"/>
      <w:r>
        <w:lastRenderedPageBreak/>
        <w:t xml:space="preserve">Ruslan’s counsel responded </w:t>
      </w:r>
      <w:r w:rsidR="001B02DF">
        <w:t xml:space="preserve">that </w:t>
      </w:r>
      <w:r>
        <w:t xml:space="preserve">the </w:t>
      </w:r>
      <w:r w:rsidR="001B02DF">
        <w:t>declaration</w:t>
      </w:r>
      <w:r>
        <w:t xml:space="preserve"> </w:t>
      </w:r>
      <w:r w:rsidR="001B02DF">
        <w:t xml:space="preserve">stated that </w:t>
      </w:r>
      <w:r>
        <w:t xml:space="preserve">jurors began discussing </w:t>
      </w:r>
      <w:r w:rsidR="00BD7A65">
        <w:t>the brothers’ drug addictions and warrants</w:t>
      </w:r>
      <w:r w:rsidR="00680E21">
        <w:t>,</w:t>
      </w:r>
      <w:r w:rsidR="00BD7A65">
        <w:t xml:space="preserve"> and </w:t>
      </w:r>
      <w:r>
        <w:t>“</w:t>
      </w:r>
      <w:r w:rsidR="00680E21">
        <w:t>[o]</w:t>
      </w:r>
      <w:r>
        <w:t xml:space="preserve">n each occasion that a comment was made [the </w:t>
      </w:r>
      <w:r w:rsidR="007B2E40">
        <w:t xml:space="preserve">subject </w:t>
      </w:r>
      <w:r>
        <w:t>juror] would offer additional information,” citing her “excellent memory.”</w:t>
      </w:r>
      <w:bookmarkStart w:id="86" w:name="Elx5eO"/>
      <w:bookmarkStart w:id="87" w:name="Elx5erO"/>
      <w:r w:rsidR="00BD7A65">
        <w:t xml:space="preserve">  </w:t>
      </w:r>
      <w:r w:rsidR="001B02DF">
        <w:t>Counsel</w:t>
      </w:r>
      <w:r>
        <w:t xml:space="preserve"> </w:t>
      </w:r>
      <w:bookmarkEnd w:id="86"/>
      <w:bookmarkEnd w:id="87"/>
      <w:r w:rsidR="00BD7A65">
        <w:t>went on</w:t>
      </w:r>
      <w:r>
        <w:t>, “</w:t>
      </w:r>
      <w:r w:rsidR="002024CB">
        <w:t>[i]</w:t>
      </w:r>
      <w:r>
        <w:t>f it’s not abundan</w:t>
      </w:r>
      <w:r>
        <w:t xml:space="preserve">tly clear to the Court that they were talking about drug addiction and the warrants, then I failed in preparing this </w:t>
      </w:r>
      <w:r w:rsidR="001B02DF">
        <w:t>declaration</w:t>
      </w:r>
      <w:r>
        <w:t xml:space="preserve">.”  He added that </w:t>
      </w:r>
      <w:r w:rsidR="001B02DF">
        <w:t>the foreperson wa</w:t>
      </w:r>
      <w:r>
        <w:t>s outside and willing to testify</w:t>
      </w:r>
      <w:r w:rsidR="008E76E4">
        <w:t xml:space="preserve"> that </w:t>
      </w:r>
      <w:r>
        <w:t xml:space="preserve">the </w:t>
      </w:r>
      <w:r w:rsidR="007B2E40">
        <w:t xml:space="preserve">subject juror </w:t>
      </w:r>
      <w:r w:rsidR="009F6244">
        <w:t xml:space="preserve">had </w:t>
      </w:r>
      <w:r>
        <w:t xml:space="preserve">specifically </w:t>
      </w:r>
      <w:r w:rsidR="008E76E4">
        <w:t xml:space="preserve">talked </w:t>
      </w:r>
      <w:r>
        <w:t>about Ruslan’</w:t>
      </w:r>
      <w:r>
        <w:t>s drug addiction and warrants.</w:t>
      </w:r>
      <w:r w:rsidR="009F6244">
        <w:t xml:space="preserve">  </w:t>
      </w:r>
    </w:p>
    <w:p w14:paraId="5BBFDDE0" w14:textId="66D11946" w:rsidR="00360BAC" w:rsidRDefault="0061079E" w:rsidP="00A4348E">
      <w:pPr>
        <w:pStyle w:val="bodytext"/>
      </w:pPr>
      <w:r>
        <w:t xml:space="preserve">The court replied that </w:t>
      </w:r>
      <w:r w:rsidR="009F6244">
        <w:t xml:space="preserve">it had </w:t>
      </w:r>
      <w:r>
        <w:t>reviewed</w:t>
      </w:r>
      <w:r w:rsidR="00086477">
        <w:t xml:space="preserve"> the</w:t>
      </w:r>
      <w:r>
        <w:t xml:space="preserve"> </w:t>
      </w:r>
      <w:r w:rsidR="009F6244">
        <w:t xml:space="preserve">foreperson’s </w:t>
      </w:r>
      <w:r>
        <w:t xml:space="preserve">affidavit.  </w:t>
      </w:r>
      <w:r w:rsidR="009F6244">
        <w:t xml:space="preserve">It then </w:t>
      </w:r>
      <w:r>
        <w:t>struck portions of the affidavit as “purporting to describe the mental process of other jurors.”</w:t>
      </w:r>
      <w:r>
        <w:rPr>
          <w:rStyle w:val="FootnoteReference"/>
        </w:rPr>
        <w:footnoteReference w:id="21"/>
      </w:r>
      <w:r w:rsidR="00A4348E">
        <w:t xml:space="preserve">  </w:t>
      </w:r>
      <w:r>
        <w:t>Reviewing the balance</w:t>
      </w:r>
      <w:r w:rsidR="00A4348E">
        <w:t xml:space="preserve"> of the affidavit</w:t>
      </w:r>
      <w:r>
        <w:t xml:space="preserve">, </w:t>
      </w:r>
      <w:r w:rsidR="00A4348E">
        <w:t xml:space="preserve">the court explained: </w:t>
      </w:r>
      <w:r w:rsidR="009E4769">
        <w:t xml:space="preserve"> </w:t>
      </w:r>
      <w:r>
        <w:t xml:space="preserve">“The foreperson’s </w:t>
      </w:r>
      <w:r w:rsidR="00A4348E">
        <w:t>declaration</w:t>
      </w:r>
      <w:r>
        <w:t xml:space="preserve"> indicates that at least six jurors were discussing information — and I have “</w:t>
      </w:r>
      <w:r w:rsidR="00573DC7">
        <w:t> ‘</w:t>
      </w:r>
      <w:r>
        <w:t>information</w:t>
      </w:r>
      <w:r w:rsidR="00573DC7">
        <w:t xml:space="preserve">’ </w:t>
      </w:r>
      <w:r>
        <w:t xml:space="preserve">” in quotes because I’m using her language — that both the Defendants were drug </w:t>
      </w:r>
      <w:r w:rsidR="00EB6E18">
        <w:t>addicts, they both had warrants, and that [the deputy’s] daughter had died.</w:t>
      </w:r>
      <w:r w:rsidR="00DB1748">
        <w:t xml:space="preserve"> </w:t>
      </w:r>
      <w:r w:rsidR="00EB6E18">
        <w:t xml:space="preserve"> [¶]  The declaration also indicates that [the </w:t>
      </w:r>
      <w:r w:rsidR="007B2E40">
        <w:t xml:space="preserve">subject </w:t>
      </w:r>
      <w:r w:rsidR="00EB6E18">
        <w:t xml:space="preserve">juror] added additional information, but there is no specifics as to what additional information was </w:t>
      </w:r>
      <w:r w:rsidR="00914D57">
        <w:t>received</w:t>
      </w:r>
      <w:r w:rsidR="00EB6E18">
        <w:t>.”</w:t>
      </w:r>
    </w:p>
    <w:p w14:paraId="6AAFC42C" w14:textId="458B0044" w:rsidR="00360BAC" w:rsidRDefault="0061079E" w:rsidP="00E94790">
      <w:pPr>
        <w:pStyle w:val="bodytext"/>
      </w:pPr>
      <w:r>
        <w:t>T</w:t>
      </w:r>
      <w:r w:rsidR="002024CB">
        <w:t>o counsel, t</w:t>
      </w:r>
      <w:r>
        <w:t xml:space="preserve">he court </w:t>
      </w:r>
      <w:r w:rsidR="002024CB">
        <w:t xml:space="preserve">said, </w:t>
      </w:r>
      <w:r w:rsidR="00CF61B0">
        <w:t xml:space="preserve">“I see you’re upset, but I want you to know the Court is required to rely on the </w:t>
      </w:r>
      <w:r>
        <w:t>declaration</w:t>
      </w:r>
      <w:r w:rsidR="00BD253E">
        <w:t>.</w:t>
      </w:r>
      <w:r w:rsidR="00CF61B0">
        <w:t xml:space="preserve">”  </w:t>
      </w:r>
      <w:r>
        <w:t>Ruslan’s c</w:t>
      </w:r>
      <w:r w:rsidR="00CF61B0">
        <w:t xml:space="preserve">ounsel </w:t>
      </w:r>
      <w:r>
        <w:t xml:space="preserve">interjected that </w:t>
      </w:r>
      <w:r w:rsidR="00CF61B0">
        <w:t xml:space="preserve">he could amend the </w:t>
      </w:r>
      <w:r>
        <w:t>declaration</w:t>
      </w:r>
      <w:r w:rsidR="00CF61B0">
        <w:t>.  “I appreciate that,</w:t>
      </w:r>
      <w:r w:rsidR="00714D9C">
        <w:t>” the court returned, “</w:t>
      </w:r>
      <w:r w:rsidR="00CF61B0">
        <w:t>but this is my time to rule</w:t>
      </w:r>
      <w:r>
        <w:t>,</w:t>
      </w:r>
      <w:r w:rsidR="00CF61B0">
        <w:t>”</w:t>
      </w:r>
      <w:r>
        <w:t xml:space="preserve"> adding</w:t>
      </w:r>
      <w:r w:rsidR="00CF61B0">
        <w:t xml:space="preserve">, </w:t>
      </w:r>
      <w:bookmarkStart w:id="88" w:name="_Hlk83294755"/>
      <w:r w:rsidR="00CF61B0">
        <w:t xml:space="preserve">“I understand your argument, I don’t think it would change this ruling.”  </w:t>
      </w:r>
      <w:bookmarkEnd w:id="88"/>
    </w:p>
    <w:p w14:paraId="7405B81A" w14:textId="6A1E0065" w:rsidR="000403F1" w:rsidRDefault="0061079E" w:rsidP="00FC0115">
      <w:pPr>
        <w:pStyle w:val="bodytext"/>
      </w:pPr>
      <w:bookmarkStart w:id="89" w:name="ElPgBr19"/>
      <w:bookmarkEnd w:id="89"/>
      <w:r>
        <w:lastRenderedPageBreak/>
        <w:t xml:space="preserve">The court </w:t>
      </w:r>
      <w:r w:rsidR="00FC0115">
        <w:t>continued</w:t>
      </w:r>
      <w:r>
        <w:t>, “I have to follow the law, and the law strictly requires that I base my decisi</w:t>
      </w:r>
      <w:r>
        <w:t>on solely on what’s in the declaration.</w:t>
      </w:r>
      <w:r w:rsidR="00714D9C">
        <w:t>”</w:t>
      </w:r>
      <w:r>
        <w:rPr>
          <w:rStyle w:val="FootnoteReference"/>
        </w:rPr>
        <w:footnoteReference w:id="22"/>
      </w:r>
      <w:r w:rsidR="00714D9C">
        <w:t xml:space="preserve">  </w:t>
      </w:r>
      <w:r>
        <w:t xml:space="preserve">“The </w:t>
      </w:r>
      <w:r w:rsidR="00FC0115">
        <w:t>declaration</w:t>
      </w:r>
      <w:r>
        <w:t xml:space="preserve"> … is not specific about what information [</w:t>
      </w:r>
      <w:r w:rsidR="009C0C95">
        <w:t xml:space="preserve">the </w:t>
      </w:r>
      <w:r w:rsidR="00636C3F">
        <w:t>subject juror</w:t>
      </w:r>
      <w:r>
        <w:t>] purportedly had and what she purportedly used.</w:t>
      </w:r>
      <w:r w:rsidR="00FC0115">
        <w:t>”  The court went on to say</w:t>
      </w:r>
      <w:r w:rsidR="00652A09">
        <w:t>,</w:t>
      </w:r>
      <w:r w:rsidR="0065461D">
        <w:t xml:space="preserve"> “</w:t>
      </w:r>
      <w:r>
        <w:t>when we look at a motion for a new trial, the Court must t</w:t>
      </w:r>
      <w:r>
        <w:t xml:space="preserve">ry to </w:t>
      </w:r>
      <w:r w:rsidR="00264F71">
        <w:t xml:space="preserve">preserve </w:t>
      </w:r>
      <w:r>
        <w:t>the jury verdict if it’s legally possible.”</w:t>
      </w:r>
      <w:r>
        <w:rPr>
          <w:rStyle w:val="FootnoteReference"/>
        </w:rPr>
        <w:footnoteReference w:id="23"/>
      </w:r>
      <w:r>
        <w:t xml:space="preserve"> </w:t>
      </w:r>
    </w:p>
    <w:p w14:paraId="1A74C1C5" w14:textId="11E873FE" w:rsidR="00264F71" w:rsidRDefault="0061079E" w:rsidP="005715A2">
      <w:pPr>
        <w:pStyle w:val="bodytext"/>
      </w:pPr>
      <w:r>
        <w:t xml:space="preserve">The court then denied the motion for a new trial, explaining, </w:t>
      </w:r>
      <w:r w:rsidR="000403F1">
        <w:t xml:space="preserve">“I gave very serious review to counsel’s contentions </w:t>
      </w:r>
      <w:r w:rsidR="00714D9C">
        <w:t xml:space="preserve">… </w:t>
      </w:r>
      <w:r w:rsidR="000403F1">
        <w:t xml:space="preserve">but </w:t>
      </w:r>
      <w:r w:rsidR="00714D9C">
        <w:t xml:space="preserve">… </w:t>
      </w:r>
      <w:r w:rsidR="000403F1">
        <w:t>there’s no evidence other than pure speculation on behalf of [</w:t>
      </w:r>
      <w:r>
        <w:t>the forep</w:t>
      </w:r>
      <w:r>
        <w:t xml:space="preserve">erson], that this juror … was biased against the Defendant or had any specific information and that that information was inherently prejudicial to the Defendant.” </w:t>
      </w:r>
    </w:p>
    <w:p w14:paraId="0C3A7404" w14:textId="61F848DF" w:rsidR="000403F1" w:rsidRDefault="0061079E" w:rsidP="008B3F68">
      <w:pPr>
        <w:pStyle w:val="bodytext"/>
      </w:pPr>
      <w:r>
        <w:t xml:space="preserve">Ruslan’s counsel asked for a </w:t>
      </w:r>
      <w:r w:rsidR="008B3F68">
        <w:t>“reasonable continuance”</w:t>
      </w:r>
      <w:r>
        <w:t xml:space="preserve"> to amend the </w:t>
      </w:r>
      <w:r w:rsidR="008B3F68">
        <w:t>declaration</w:t>
      </w:r>
      <w:r>
        <w:t xml:space="preserve"> to provide </w:t>
      </w:r>
      <w:r w:rsidR="008B3F68">
        <w:t>additional</w:t>
      </w:r>
      <w:r>
        <w:t xml:space="preserve"> information.  He</w:t>
      </w:r>
      <w:r w:rsidR="008A2FCA">
        <w:t xml:space="preserve"> then</w:t>
      </w:r>
      <w:r>
        <w:t xml:space="preserve"> noted they had </w:t>
      </w:r>
      <w:r w:rsidR="004C1DC2">
        <w:t>“</w:t>
      </w:r>
      <w:r>
        <w:t>recently</w:t>
      </w:r>
      <w:r w:rsidR="004C1DC2">
        <w:t>”</w:t>
      </w:r>
      <w:r>
        <w:t xml:space="preserve"> found the location </w:t>
      </w:r>
      <w:r w:rsidR="008B3F68">
        <w:t xml:space="preserve">of the </w:t>
      </w:r>
      <w:r w:rsidR="004C1DC2">
        <w:t xml:space="preserve">subject </w:t>
      </w:r>
      <w:r w:rsidR="008B3F68">
        <w:t xml:space="preserve">juror </w:t>
      </w:r>
      <w:r>
        <w:t xml:space="preserve">and his investigator was supposed to talk to her </w:t>
      </w:r>
      <w:r w:rsidR="00DF74DC">
        <w:t xml:space="preserve">the previous </w:t>
      </w:r>
      <w:r>
        <w:t xml:space="preserve">weekend, but a family </w:t>
      </w:r>
      <w:r w:rsidR="008B3F68">
        <w:t>emergency had prevented that</w:t>
      </w:r>
      <w:r>
        <w:t xml:space="preserve">.  </w:t>
      </w:r>
      <w:r w:rsidR="00FB690D">
        <w:t xml:space="preserve">Counsel did not </w:t>
      </w:r>
      <w:r w:rsidR="004C1DC2">
        <w:t>say exactly when they located the juror</w:t>
      </w:r>
      <w:r w:rsidR="00BD253E">
        <w:t>, what efforts had been made to locate her</w:t>
      </w:r>
      <w:r w:rsidR="0004142A">
        <w:t>,</w:t>
      </w:r>
      <w:r w:rsidR="004C1DC2">
        <w:t xml:space="preserve"> and</w:t>
      </w:r>
      <w:r w:rsidR="00FB690D">
        <w:t xml:space="preserve"> why the investigator </w:t>
      </w:r>
      <w:r w:rsidR="004C1DC2">
        <w:t xml:space="preserve">or another </w:t>
      </w:r>
      <w:r w:rsidR="00FB690D">
        <w:t xml:space="preserve">had not </w:t>
      </w:r>
      <w:r w:rsidR="004C1DC2">
        <w:t xml:space="preserve">attempted </w:t>
      </w:r>
      <w:r w:rsidR="00FB690D">
        <w:t>to</w:t>
      </w:r>
      <w:r w:rsidR="004C1DC2">
        <w:t xml:space="preserve"> talk to</w:t>
      </w:r>
      <w:r w:rsidR="00FB690D">
        <w:t xml:space="preserve"> the juror earlier </w:t>
      </w:r>
      <w:r w:rsidR="0004142A">
        <w:t xml:space="preserve">in </w:t>
      </w:r>
      <w:r w:rsidR="00FB690D">
        <w:t>the week</w:t>
      </w:r>
      <w:r w:rsidR="0004142A">
        <w:t xml:space="preserve"> </w:t>
      </w:r>
      <w:r w:rsidR="00646662">
        <w:t xml:space="preserve">before </w:t>
      </w:r>
      <w:r w:rsidR="0004142A">
        <w:t xml:space="preserve">the </w:t>
      </w:r>
      <w:r w:rsidR="00646662">
        <w:t xml:space="preserve">January 20 </w:t>
      </w:r>
      <w:r w:rsidR="0004142A">
        <w:t xml:space="preserve">sentencing </w:t>
      </w:r>
      <w:r w:rsidR="005703EC">
        <w:t xml:space="preserve">and new trial </w:t>
      </w:r>
      <w:r w:rsidR="0004142A">
        <w:t>hearing</w:t>
      </w:r>
      <w:r w:rsidR="00646662">
        <w:t>, which</w:t>
      </w:r>
      <w:r w:rsidR="0004142A">
        <w:t xml:space="preserve"> was on </w:t>
      </w:r>
      <w:r w:rsidR="00FB690D">
        <w:t xml:space="preserve">a </w:t>
      </w:r>
      <w:r w:rsidR="004C1DC2">
        <w:t>Friday.</w:t>
      </w:r>
      <w:r>
        <w:rPr>
          <w:rStyle w:val="FootnoteReference"/>
        </w:rPr>
        <w:footnoteReference w:id="24"/>
      </w:r>
      <w:r w:rsidR="00FB690D">
        <w:t xml:space="preserve">  </w:t>
      </w:r>
    </w:p>
    <w:p w14:paraId="398181F0" w14:textId="3B11512B" w:rsidR="00613E4C" w:rsidRDefault="0061079E" w:rsidP="008B3F68">
      <w:pPr>
        <w:pStyle w:val="bodytext"/>
      </w:pPr>
      <w:r>
        <w:t xml:space="preserve">The court denied </w:t>
      </w:r>
      <w:r>
        <w:t>the continu</w:t>
      </w:r>
      <w:r w:rsidR="00204B4F">
        <w:t>ance</w:t>
      </w:r>
      <w:r w:rsidR="004C1DC2">
        <w:t xml:space="preserve"> noting</w:t>
      </w:r>
      <w:r w:rsidR="00204B4F">
        <w:t>,</w:t>
      </w:r>
      <w:r>
        <w:t xml:space="preserve"> “There are other procedural remedies that you can follow should there be new and different information.”</w:t>
      </w:r>
      <w:r w:rsidR="00204B4F">
        <w:t xml:space="preserve">  It added</w:t>
      </w:r>
      <w:r w:rsidR="002024CB">
        <w:t xml:space="preserve">: </w:t>
      </w:r>
      <w:r w:rsidR="00204B4F">
        <w:t xml:space="preserve"> “This is a </w:t>
      </w:r>
      <w:bookmarkStart w:id="90" w:name="ElPgBr20"/>
      <w:bookmarkEnd w:id="90"/>
      <w:r w:rsidR="00204B4F">
        <w:lastRenderedPageBreak/>
        <w:t xml:space="preserve">case that is a very serious matter, and the victims are entitled to closure and to move forward.  And there is no basis to continue beyond that.” </w:t>
      </w:r>
    </w:p>
    <w:p w14:paraId="3862AEC7" w14:textId="77777777" w:rsidR="0020405B" w:rsidRDefault="0061079E" w:rsidP="00204B4F">
      <w:pPr>
        <w:pStyle w:val="bodytext"/>
        <w:rPr>
          <w:b/>
        </w:rPr>
      </w:pPr>
      <w:r>
        <w:t>Sentencing thereupon commenced.</w:t>
      </w:r>
    </w:p>
    <w:p w14:paraId="3CD7D2EC" w14:textId="77777777" w:rsidR="00BF1C92" w:rsidRDefault="0061079E" w:rsidP="00180DE4">
      <w:pPr>
        <w:keepNext/>
        <w:jc w:val="center"/>
        <w:rPr>
          <w:b/>
        </w:rPr>
      </w:pPr>
      <w:bookmarkStart w:id="91" w:name="Elo7fO"/>
      <w:bookmarkStart w:id="92" w:name="Elo7frO"/>
      <w:r>
        <w:rPr>
          <w:b/>
        </w:rPr>
        <w:t xml:space="preserve">B. </w:t>
      </w:r>
      <w:bookmarkEnd w:id="91"/>
      <w:bookmarkEnd w:id="92"/>
      <w:r w:rsidR="00652A09">
        <w:rPr>
          <w:b/>
        </w:rPr>
        <w:t xml:space="preserve"> </w:t>
      </w:r>
      <w:r>
        <w:rPr>
          <w:b/>
        </w:rPr>
        <w:t xml:space="preserve">Analysis </w:t>
      </w:r>
    </w:p>
    <w:p w14:paraId="3EC37E47" w14:textId="740AD761" w:rsidR="004F13BB" w:rsidRDefault="0061079E" w:rsidP="004F13BB">
      <w:pPr>
        <w:pStyle w:val="bodytext"/>
      </w:pPr>
      <w:r>
        <w:t>On appeal, Ruslan contends the trial court abused its discretion in denying his motion to continue.</w:t>
      </w:r>
      <w:r w:rsidR="00A3690B">
        <w:t xml:space="preserve">  </w:t>
      </w:r>
      <w:r w:rsidR="00FB690D">
        <w:t xml:space="preserve">Citing </w:t>
      </w:r>
      <w:r w:rsidR="00FB690D" w:rsidRPr="00EC5E1B">
        <w:rPr>
          <w:i/>
        </w:rPr>
        <w:t>People v. Hayes</w:t>
      </w:r>
      <w:r w:rsidR="00FB690D">
        <w:t xml:space="preserve"> (1999) 21 Cal.4th 1211, 1255 (</w:t>
      </w:r>
      <w:r w:rsidR="00FB690D" w:rsidRPr="00EC5E1B">
        <w:rPr>
          <w:i/>
        </w:rPr>
        <w:t>Hayes</w:t>
      </w:r>
      <w:r w:rsidR="00FB690D">
        <w:t>), h</w:t>
      </w:r>
      <w:r w:rsidR="00EC5E1B">
        <w:t xml:space="preserve">e </w:t>
      </w:r>
      <w:r w:rsidR="00FB690D">
        <w:t xml:space="preserve">argues </w:t>
      </w:r>
      <w:r w:rsidR="000A2FD6">
        <w:t xml:space="preserve">that </w:t>
      </w:r>
      <w:r w:rsidR="00A3690B">
        <w:t>a trial court</w:t>
      </w:r>
      <w:r w:rsidR="00714D9C">
        <w:t>,</w:t>
      </w:r>
      <w:r w:rsidR="00A3690B">
        <w:t xml:space="preserve"> </w:t>
      </w:r>
      <w:r w:rsidR="000A2FD6">
        <w:t xml:space="preserve">once </w:t>
      </w:r>
      <w:r w:rsidR="00A3690B">
        <w:t>aware of possible juror misconduct, “</w:t>
      </w:r>
      <w:r w:rsidR="00EC5E1B">
        <w:t xml:space="preserve"> ‘</w:t>
      </w:r>
      <w:r w:rsidR="00A3690B">
        <w:t xml:space="preserve">must </w:t>
      </w:r>
      <w:r w:rsidR="00EC5E1B">
        <w:t>“</w:t>
      </w:r>
      <w:r w:rsidR="00A3690B">
        <w:t>make whatever inquiry is reasonably necessary</w:t>
      </w:r>
      <w:r w:rsidR="00EC5E1B">
        <w:t xml:space="preserve">” </w:t>
      </w:r>
      <w:r w:rsidR="000B2550">
        <w:t>’</w:t>
      </w:r>
      <w:r w:rsidR="00A3690B">
        <w:t xml:space="preserve"> to resolve the matter</w:t>
      </w:r>
      <w:r w:rsidR="000A2FD6">
        <w:t>,</w:t>
      </w:r>
      <w:r w:rsidR="00EC5E1B">
        <w:t>” and</w:t>
      </w:r>
      <w:r w:rsidR="000A2FD6">
        <w:t xml:space="preserve"> </w:t>
      </w:r>
      <w:r w:rsidR="00A3690B">
        <w:t xml:space="preserve">he maintains that </w:t>
      </w:r>
      <w:r>
        <w:t xml:space="preserve">if such </w:t>
      </w:r>
      <w:r w:rsidR="00A3690B">
        <w:t xml:space="preserve">a </w:t>
      </w:r>
      <w:r>
        <w:t xml:space="preserve">serious allegation came down to a question of semantics, it was incumbent on the trial court to allow clarification of the foreperson’s allegation.  </w:t>
      </w:r>
      <w:r w:rsidR="002F33E3">
        <w:t>He adds that, “</w:t>
      </w:r>
      <w:r w:rsidR="00057ADE">
        <w:t xml:space="preserve"> ‘ “[a]</w:t>
      </w:r>
      <w:r w:rsidR="002F33E3">
        <w:t xml:space="preserve"> juror who conceals relevant facts or gives false answers during the voir dire examination</w:t>
      </w:r>
      <w:r w:rsidR="006F4E32">
        <w:t xml:space="preserve"> . . . </w:t>
      </w:r>
      <w:r w:rsidR="002F33E3">
        <w:t>undermines the jury selection process and commits misconduct</w:t>
      </w:r>
      <w:r w:rsidR="00646662">
        <w:t>,</w:t>
      </w:r>
      <w:r w:rsidR="002F33E3">
        <w:t>”</w:t>
      </w:r>
      <w:r w:rsidR="006F4E32">
        <w:t xml:space="preserve"> ’ ”</w:t>
      </w:r>
      <w:r w:rsidR="002F33E3">
        <w:t xml:space="preserve"> </w:t>
      </w:r>
      <w:r w:rsidR="00646662">
        <w:t xml:space="preserve">citing </w:t>
      </w:r>
      <w:r w:rsidR="002F33E3" w:rsidRPr="00D70027">
        <w:rPr>
          <w:i/>
        </w:rPr>
        <w:t>In re Hitchings</w:t>
      </w:r>
      <w:r w:rsidR="002F33E3">
        <w:t xml:space="preserve"> (1993) 6 Cal.4th 97, 111. </w:t>
      </w:r>
    </w:p>
    <w:p w14:paraId="6CD03BC3" w14:textId="0F25CD85" w:rsidR="00A3690B" w:rsidRDefault="0061079E" w:rsidP="003F6830">
      <w:pPr>
        <w:pStyle w:val="bodytext"/>
      </w:pPr>
      <w:r>
        <w:t xml:space="preserve">The People respond that </w:t>
      </w:r>
      <w:r w:rsidR="000A2FD6">
        <w:t xml:space="preserve">denying the continuance was within </w:t>
      </w:r>
      <w:r w:rsidR="00A537D7">
        <w:t>the trial court</w:t>
      </w:r>
      <w:r w:rsidR="000A2FD6">
        <w:t xml:space="preserve">’s </w:t>
      </w:r>
      <w:r w:rsidR="00A537D7">
        <w:t>discretion</w:t>
      </w:r>
      <w:r w:rsidR="00883D42">
        <w:t xml:space="preserve">, arguing </w:t>
      </w:r>
      <w:r w:rsidR="00CB776A">
        <w:t xml:space="preserve">the court carefully analyzed Ruslan’s reasons for a continuance and found them deficient.  </w:t>
      </w:r>
      <w:r w:rsidR="00883D42">
        <w:t xml:space="preserve">Further, </w:t>
      </w:r>
      <w:r w:rsidR="002A4EF4">
        <w:t xml:space="preserve">Ruslan’s counsel had over five weeks to prepare an adequate new trial motion, and the trial </w:t>
      </w:r>
      <w:r>
        <w:t>court</w:t>
      </w:r>
      <w:r w:rsidR="002A4EF4">
        <w:t xml:space="preserve"> did nothing to prohibit </w:t>
      </w:r>
      <w:r w:rsidR="00883D42">
        <w:t xml:space="preserve">him </w:t>
      </w:r>
      <w:r w:rsidR="002A4EF4">
        <w:t xml:space="preserve">from investigating the asserted </w:t>
      </w:r>
      <w:r>
        <w:t>misconduct</w:t>
      </w:r>
      <w:r w:rsidR="002A4EF4">
        <w:t xml:space="preserve">.  </w:t>
      </w:r>
      <w:r w:rsidR="005067B3">
        <w:t>We agree with the People.</w:t>
      </w:r>
    </w:p>
    <w:p w14:paraId="3391312D" w14:textId="328D5AB3" w:rsidR="003A2D32" w:rsidRDefault="0061079E" w:rsidP="00C5791F">
      <w:r>
        <w:tab/>
      </w:r>
      <w:r w:rsidR="005067B3">
        <w:t>As to allowing a clarification</w:t>
      </w:r>
      <w:r w:rsidR="00646662">
        <w:t xml:space="preserve"> of the </w:t>
      </w:r>
      <w:r w:rsidR="00941CAC">
        <w:t xml:space="preserve">foreperson’s </w:t>
      </w:r>
      <w:r w:rsidR="00646662">
        <w:t>declaration</w:t>
      </w:r>
      <w:r w:rsidR="005067B3">
        <w:t xml:space="preserve">, </w:t>
      </w:r>
      <w:r>
        <w:t>“</w:t>
      </w:r>
      <w:r w:rsidR="005067B3">
        <w:t>[w]</w:t>
      </w:r>
      <w:r>
        <w:t xml:space="preserve">hen a trial court is aware of </w:t>
      </w:r>
      <w:r w:rsidRPr="00DE519B">
        <w:rPr>
          <w:i/>
          <w:iCs/>
        </w:rPr>
        <w:t>possible</w:t>
      </w:r>
      <w:r>
        <w:t xml:space="preserve"> juror misconduct, the court </w:t>
      </w:r>
      <w:r w:rsidR="006F4E32">
        <w:t>‘</w:t>
      </w:r>
      <w:r>
        <w:t xml:space="preserve">must </w:t>
      </w:r>
      <w:r w:rsidR="006F4E32">
        <w:t>“</w:t>
      </w:r>
      <w:r>
        <w:t xml:space="preserve">make whatever inquiry is reasonably necessary’ ” to resolve the matter. </w:t>
      </w:r>
      <w:r w:rsidR="00237EEC">
        <w:t xml:space="preserve"> </w:t>
      </w:r>
      <w:r>
        <w:t>[Citation</w:t>
      </w:r>
      <w:r w:rsidR="00237EEC">
        <w:t>.</w:t>
      </w:r>
      <w:r>
        <w:t>]</w:t>
      </w:r>
      <w:r w:rsidR="00237EEC">
        <w:t xml:space="preserve"> </w:t>
      </w:r>
      <w:r>
        <w:t xml:space="preserve"> It must do so, however, </w:t>
      </w:r>
      <w:r w:rsidRPr="003A6D0A">
        <w:rPr>
          <w:i/>
          <w:iCs/>
        </w:rPr>
        <w:t>only when the defense comes forward with evidence</w:t>
      </w:r>
      <w:r>
        <w:t xml:space="preserve"> that demonstrates a </w:t>
      </w:r>
      <w:r w:rsidR="006F4E32">
        <w:t>‘</w:t>
      </w:r>
      <w:r>
        <w:t>strong possibility</w:t>
      </w:r>
      <w:r w:rsidR="006F4E32">
        <w:t>’</w:t>
      </w:r>
      <w:r>
        <w:t xml:space="preserve"> of prejudicial misconduct.</w:t>
      </w:r>
      <w:r w:rsidR="00237EEC">
        <w:t xml:space="preserve"> </w:t>
      </w:r>
      <w:r>
        <w:t xml:space="preserve"> [¶]</w:t>
      </w:r>
      <w:r w:rsidR="00237EEC">
        <w:t xml:space="preserve"> </w:t>
      </w:r>
      <w:r>
        <w:t xml:space="preserve"> </w:t>
      </w:r>
      <w:r w:rsidRPr="003A6D0A">
        <w:rPr>
          <w:i/>
          <w:iCs/>
        </w:rPr>
        <w:t>Normally, hearsay is not sufficient to trigger</w:t>
      </w:r>
      <w:r w:rsidRPr="00A408F4">
        <w:t xml:space="preserve"> </w:t>
      </w:r>
      <w:r w:rsidRPr="003A6D0A">
        <w:rPr>
          <w:i/>
          <w:iCs/>
        </w:rPr>
        <w:t>the court’s duty to make further inquiries into a claim of j</w:t>
      </w:r>
      <w:r w:rsidRPr="003A6D0A">
        <w:rPr>
          <w:i/>
          <w:iCs/>
        </w:rPr>
        <w:t>uror misconduct</w:t>
      </w:r>
      <w:r>
        <w:t xml:space="preserve">.” </w:t>
      </w:r>
      <w:r w:rsidR="002A62FE">
        <w:t xml:space="preserve"> </w:t>
      </w:r>
      <w:r>
        <w:t>(</w:t>
      </w:r>
      <w:r w:rsidRPr="003A6D0A">
        <w:rPr>
          <w:i/>
          <w:iCs/>
        </w:rPr>
        <w:t>Hayes</w:t>
      </w:r>
      <w:r w:rsidR="006F4E32">
        <w:t xml:space="preserve">, </w:t>
      </w:r>
      <w:r w:rsidR="006F4E32" w:rsidRPr="00DE519B">
        <w:rPr>
          <w:i/>
          <w:iCs/>
        </w:rPr>
        <w:t>supra</w:t>
      </w:r>
      <w:r w:rsidR="006F4E32">
        <w:t>,</w:t>
      </w:r>
      <w:r>
        <w:t xml:space="preserve"> 21 Cal.4th </w:t>
      </w:r>
      <w:r w:rsidR="006F4E32">
        <w:t>at pp.</w:t>
      </w:r>
      <w:r>
        <w:t xml:space="preserve"> 1255-1256, </w:t>
      </w:r>
      <w:r w:rsidR="006F4E32">
        <w:t xml:space="preserve">second </w:t>
      </w:r>
      <w:r>
        <w:t>italics added</w:t>
      </w:r>
      <w:r w:rsidR="00103408">
        <w:t xml:space="preserve">; see also </w:t>
      </w:r>
      <w:r w:rsidR="00103408" w:rsidRPr="00755C3E">
        <w:rPr>
          <w:i/>
          <w:iCs/>
        </w:rPr>
        <w:t xml:space="preserve">People v. Mora and Rangel </w:t>
      </w:r>
      <w:r w:rsidR="00103408">
        <w:t>(2018) 5 Cal.5th 442, 517 (</w:t>
      </w:r>
      <w:r w:rsidR="00103408" w:rsidRPr="00755C3E">
        <w:rPr>
          <w:i/>
          <w:iCs/>
        </w:rPr>
        <w:t>Mora and Rangel</w:t>
      </w:r>
      <w:r w:rsidR="00103408">
        <w:t>) [the obligation to investigate is</w:t>
      </w:r>
      <w:r w:rsidR="00103408" w:rsidRPr="00103408">
        <w:t xml:space="preserve"> triggered </w:t>
      </w:r>
      <w:r w:rsidR="00103408">
        <w:t>“</w:t>
      </w:r>
      <w:r w:rsidR="00103408" w:rsidRPr="00103408">
        <w:t>only when the defense provides evidence strongly suggestive of prejudicial misconduct</w:t>
      </w:r>
      <w:r w:rsidR="00103408">
        <w:t xml:space="preserve">” and </w:t>
      </w:r>
      <w:bookmarkStart w:id="93" w:name="ElPgBr21"/>
      <w:bookmarkEnd w:id="93"/>
      <w:r w:rsidR="00103408">
        <w:lastRenderedPageBreak/>
        <w:t>“</w:t>
      </w:r>
      <w:r w:rsidR="00103408" w:rsidRPr="00103408">
        <w:t xml:space="preserve">we acknowledged in </w:t>
      </w:r>
      <w:r w:rsidR="00103408" w:rsidRPr="00755C3E">
        <w:rPr>
          <w:i/>
          <w:iCs/>
        </w:rPr>
        <w:t>Hayes</w:t>
      </w:r>
      <w:r w:rsidR="00103408" w:rsidRPr="00103408">
        <w:t xml:space="preserve"> and have reiterated many times, hearsay is ordinarily </w:t>
      </w:r>
      <w:r w:rsidR="00103408">
        <w:t>‘</w:t>
      </w:r>
      <w:r w:rsidR="00103408" w:rsidRPr="00103408">
        <w:t>not sufficient to trigger the court’s duty to make further inquiries into a claim of juror misconduct</w:t>
      </w:r>
      <w:r w:rsidR="00103408">
        <w:t xml:space="preserve">’ </w:t>
      </w:r>
      <w:r w:rsidR="00103408" w:rsidRPr="00103408">
        <w:t>”</w:t>
      </w:r>
      <w:r w:rsidR="00103408">
        <w:t>]</w:t>
      </w:r>
      <w:r>
        <w:t xml:space="preserve">.)  </w:t>
      </w:r>
    </w:p>
    <w:p w14:paraId="14C4A5F5" w14:textId="714FB6A4" w:rsidR="00DA641E" w:rsidRDefault="0061079E" w:rsidP="003A2D32">
      <w:pPr>
        <w:pStyle w:val="bodytext"/>
      </w:pPr>
      <w:r>
        <w:t xml:space="preserve">Citing </w:t>
      </w:r>
      <w:r w:rsidRPr="003A6D0A">
        <w:rPr>
          <w:i/>
          <w:iCs/>
        </w:rPr>
        <w:t>People v. Hedg</w:t>
      </w:r>
      <w:r w:rsidRPr="003A6D0A">
        <w:rPr>
          <w:i/>
          <w:iCs/>
        </w:rPr>
        <w:t>ecock</w:t>
      </w:r>
      <w:r>
        <w:t xml:space="preserve"> (1990) 51 Cal.3d 395, </w:t>
      </w:r>
      <w:r w:rsidR="00941CAC">
        <w:t xml:space="preserve">which authorizes </w:t>
      </w:r>
      <w:r w:rsidR="001D29A4">
        <w:t xml:space="preserve">evidentiary hearings for new trial motions in criminal cases, </w:t>
      </w:r>
      <w:r w:rsidR="00DB34DD">
        <w:t xml:space="preserve">Ruslan asserts that at </w:t>
      </w:r>
      <w:r w:rsidR="00787F37">
        <w:t xml:space="preserve">a </w:t>
      </w:r>
      <w:r w:rsidR="00DB34DD">
        <w:t>minimum</w:t>
      </w:r>
      <w:r w:rsidR="00605DCA">
        <w:t>,</w:t>
      </w:r>
      <w:r w:rsidR="002A62FE">
        <w:t xml:space="preserve"> the</w:t>
      </w:r>
      <w:r w:rsidR="00605DCA">
        <w:t xml:space="preserve"> </w:t>
      </w:r>
      <w:r w:rsidR="002A62FE">
        <w:t xml:space="preserve">jury </w:t>
      </w:r>
      <w:r w:rsidR="00605DCA">
        <w:t>for</w:t>
      </w:r>
      <w:r w:rsidR="002A62FE">
        <w:t>e</w:t>
      </w:r>
      <w:r w:rsidR="00605DCA">
        <w:t>person</w:t>
      </w:r>
      <w:r w:rsidR="00787F37">
        <w:t xml:space="preserve"> </w:t>
      </w:r>
      <w:r w:rsidR="002A62FE">
        <w:t xml:space="preserve">should have been allowed </w:t>
      </w:r>
      <w:r w:rsidR="00605DCA">
        <w:t xml:space="preserve">to testify and </w:t>
      </w:r>
      <w:r w:rsidR="002A62FE">
        <w:t xml:space="preserve">clarify </w:t>
      </w:r>
      <w:r w:rsidR="00605DCA">
        <w:t>any vagueness in the declaration.</w:t>
      </w:r>
      <w:r w:rsidR="003A2D32">
        <w:t xml:space="preserve"> </w:t>
      </w:r>
      <w:r w:rsidR="002A62FE">
        <w:t xml:space="preserve"> </w:t>
      </w:r>
      <w:r>
        <w:t xml:space="preserve">He further asserts:  </w:t>
      </w:r>
      <w:r w:rsidR="00636C3F">
        <w:t>“</w:t>
      </w:r>
      <w:r>
        <w:t xml:space="preserve">The jury foreperson was already at the courthouse and could have testified — but if not, </w:t>
      </w:r>
      <w:r w:rsidR="00363D80">
        <w:t>an amended declaration would have taken very little time.</w:t>
      </w:r>
      <w:r w:rsidR="000D0348">
        <w:t>”</w:t>
      </w:r>
      <w:r w:rsidR="003A2D32">
        <w:t xml:space="preserve"> </w:t>
      </w:r>
      <w:r w:rsidR="00787F37">
        <w:t xml:space="preserve"> </w:t>
      </w:r>
      <w:r w:rsidR="003A2D32">
        <w:t xml:space="preserve">But </w:t>
      </w:r>
      <w:r>
        <w:t xml:space="preserve">as </w:t>
      </w:r>
      <w:r w:rsidR="003A2D32">
        <w:t xml:space="preserve">our high court has </w:t>
      </w:r>
      <w:r w:rsidR="00636C3F">
        <w:t xml:space="preserve">also </w:t>
      </w:r>
      <w:r w:rsidR="003A2D32">
        <w:t>stated:  “</w:t>
      </w:r>
      <w:r w:rsidR="003A2D32" w:rsidRPr="00382E20">
        <w:t>ordinarily a trial court does not abuse its discretion in declining to conduct an evidentiary hearing on the issue of juror misconduct when the evidence proffered in support constitutes hearsay.</w:t>
      </w:r>
      <w:r w:rsidR="003A2D32">
        <w:t>”  (</w:t>
      </w:r>
      <w:r w:rsidR="003A2D32" w:rsidRPr="003A6D0A">
        <w:rPr>
          <w:i/>
          <w:iCs/>
        </w:rPr>
        <w:t>People v. Dykes</w:t>
      </w:r>
      <w:r w:rsidR="003A2D32">
        <w:t xml:space="preserve"> (2009) 46 Cal.4th 731, 810</w:t>
      </w:r>
      <w:r w:rsidR="00103408">
        <w:t xml:space="preserve">; see also </w:t>
      </w:r>
      <w:r w:rsidR="00103408" w:rsidRPr="00C5791F">
        <w:rPr>
          <w:i/>
          <w:iCs/>
        </w:rPr>
        <w:t>Mora and Rangel</w:t>
      </w:r>
      <w:r w:rsidR="00103408">
        <w:t xml:space="preserve">, </w:t>
      </w:r>
      <w:r w:rsidR="00103408" w:rsidRPr="00C5791F">
        <w:rPr>
          <w:i/>
          <w:iCs/>
        </w:rPr>
        <w:t>supra</w:t>
      </w:r>
      <w:r w:rsidR="00103408">
        <w:t>, 5 Cal.5th at p. 517 [</w:t>
      </w:r>
      <w:r w:rsidR="0077597A">
        <w:t>“</w:t>
      </w:r>
      <w:r w:rsidR="0077597A" w:rsidRPr="0077597A">
        <w:t xml:space="preserve">Hearsay evidence offered in support of a new trial motion that is based on alleged jury misconduct ordinarily is insufficient to establish an abuse of discretion in either denying the motion </w:t>
      </w:r>
      <w:r w:rsidR="0077597A" w:rsidRPr="00755C3E">
        <w:rPr>
          <w:i/>
          <w:iCs/>
        </w:rPr>
        <w:t>or declining to conduct an evidentiary hearing</w:t>
      </w:r>
      <w:r w:rsidR="0077597A">
        <w:t xml:space="preserve">’ </w:t>
      </w:r>
      <w:r w:rsidR="0077597A" w:rsidRPr="0077597A">
        <w:t>”</w:t>
      </w:r>
      <w:r w:rsidR="0059543D">
        <w:t>].)</w:t>
      </w:r>
      <w:r w:rsidR="00636C3F">
        <w:t xml:space="preserve"> </w:t>
      </w:r>
      <w:r w:rsidR="00B356CA">
        <w:t xml:space="preserve"> </w:t>
      </w:r>
      <w:r w:rsidR="00636C3F">
        <w:t>(</w:t>
      </w:r>
      <w:r w:rsidR="0059543D">
        <w:t>I</w:t>
      </w:r>
      <w:r w:rsidR="00636C3F">
        <w:t>talics added</w:t>
      </w:r>
      <w:r w:rsidR="003A2D32">
        <w:t>.)</w:t>
      </w:r>
      <w:r>
        <w:rPr>
          <w:rStyle w:val="FootnoteReference"/>
        </w:rPr>
        <w:footnoteReference w:id="25"/>
      </w:r>
      <w:r w:rsidR="003A2D32">
        <w:t xml:space="preserve">  Indeed,</w:t>
      </w:r>
      <w:r w:rsidR="00363D80">
        <w:t xml:space="preserve"> neither an </w:t>
      </w:r>
      <w:bookmarkStart w:id="94" w:name="ElPgBr22"/>
      <w:bookmarkEnd w:id="94"/>
      <w:r w:rsidR="00363D80">
        <w:lastRenderedPageBreak/>
        <w:t>amended declaration, nor</w:t>
      </w:r>
      <w:r w:rsidR="003A2D32">
        <w:t xml:space="preserve"> the foreperson’s testimony would have fixed the hearsay problem</w:t>
      </w:r>
      <w:r w:rsidR="0080475A">
        <w:t xml:space="preserve"> here</w:t>
      </w:r>
      <w:r w:rsidR="003A2D32">
        <w:t xml:space="preserve">.  </w:t>
      </w:r>
      <w:r w:rsidR="00AE5375">
        <w:t>T</w:t>
      </w:r>
      <w:r w:rsidR="00C411C0">
        <w:t xml:space="preserve">he foreperson </w:t>
      </w:r>
      <w:r w:rsidR="00AE5375">
        <w:t xml:space="preserve">could only </w:t>
      </w:r>
      <w:r w:rsidR="00646662">
        <w:t xml:space="preserve">testify about </w:t>
      </w:r>
      <w:r w:rsidR="003A2D32">
        <w:t>the subject juror</w:t>
      </w:r>
      <w:r w:rsidR="00FE3855">
        <w:t>’s</w:t>
      </w:r>
      <w:r w:rsidR="003A2D32">
        <w:t xml:space="preserve"> </w:t>
      </w:r>
      <w:r w:rsidR="00DF74DC">
        <w:t>purported</w:t>
      </w:r>
      <w:r w:rsidR="00FE3855">
        <w:t xml:space="preserve"> statement</w:t>
      </w:r>
      <w:r w:rsidR="003F7EA9">
        <w:t xml:space="preserve"> that</w:t>
      </w:r>
      <w:r w:rsidR="0080475A">
        <w:t xml:space="preserve"> </w:t>
      </w:r>
      <w:r w:rsidR="00646662">
        <w:t xml:space="preserve">defendant </w:t>
      </w:r>
      <w:r w:rsidR="001D29A4">
        <w:t>sought</w:t>
      </w:r>
      <w:r w:rsidR="00646662">
        <w:t xml:space="preserve"> to admit </w:t>
      </w:r>
      <w:r w:rsidR="003A2D32">
        <w:t>for the truth of the matter as</w:t>
      </w:r>
      <w:r w:rsidR="003F7EA9">
        <w:t>serted as to the timing of when she purportedly received certain information; he offers the statement to prove</w:t>
      </w:r>
      <w:r w:rsidR="00AE5375">
        <w:t xml:space="preserve"> </w:t>
      </w:r>
      <w:r w:rsidR="003A2D32">
        <w:t xml:space="preserve">that </w:t>
      </w:r>
      <w:r w:rsidR="00AE5375">
        <w:t xml:space="preserve">the </w:t>
      </w:r>
      <w:r>
        <w:t>subject</w:t>
      </w:r>
      <w:r w:rsidR="00DF74DC">
        <w:t xml:space="preserve"> juror</w:t>
      </w:r>
      <w:r w:rsidR="003A2D32">
        <w:t xml:space="preserve"> had </w:t>
      </w:r>
      <w:r w:rsidR="0077597A">
        <w:t>been exposed to information about</w:t>
      </w:r>
      <w:r w:rsidR="003A2D32">
        <w:t xml:space="preserve"> the </w:t>
      </w:r>
      <w:r w:rsidR="00DF74DC">
        <w:t>brothers’ warrants and drug addiction</w:t>
      </w:r>
      <w:r w:rsidR="008477D1">
        <w:t xml:space="preserve"> before voir dire</w:t>
      </w:r>
      <w:r w:rsidR="003A2D32">
        <w:t xml:space="preserve">. </w:t>
      </w:r>
    </w:p>
    <w:p w14:paraId="155C4638" w14:textId="567A2ADC" w:rsidR="003A2D32" w:rsidRDefault="0061079E" w:rsidP="003A2D32">
      <w:pPr>
        <w:pStyle w:val="bodytext"/>
      </w:pPr>
      <w:r>
        <w:t xml:space="preserve">Defendant has </w:t>
      </w:r>
      <w:r>
        <w:t>offered no reason to deviate from the usual rule that “[n]</w:t>
      </w:r>
      <w:r w:rsidRPr="00AD27F8">
        <w:t>ormally, hearsay is not sufficient to trigger the court’s duty to make further inquiries into a claim of juror misconduct</w:t>
      </w:r>
      <w:r>
        <w:t>”  (</w:t>
      </w:r>
      <w:r w:rsidRPr="003A6D0A">
        <w:rPr>
          <w:i/>
          <w:iCs/>
        </w:rPr>
        <w:t>Hayes</w:t>
      </w:r>
      <w:r>
        <w:rPr>
          <w:i/>
          <w:iCs/>
        </w:rPr>
        <w:t>, supra,</w:t>
      </w:r>
      <w:r>
        <w:t xml:space="preserve"> 21 Cal.4th at p. 1256) and “</w:t>
      </w:r>
      <w:r w:rsidRPr="00382E20">
        <w:t>ordinarily a trial court does n</w:t>
      </w:r>
      <w:r w:rsidRPr="00382E20">
        <w:t>ot abuse its discretion in declining to conduct an evidentiary hearing on the issue of juror misconduct when the evidence proffered in support constitutes hearsay</w:t>
      </w:r>
      <w:r>
        <w:t xml:space="preserve">.” </w:t>
      </w:r>
      <w:r w:rsidR="00220A18">
        <w:t xml:space="preserve"> </w:t>
      </w:r>
      <w:r>
        <w:t>(</w:t>
      </w:r>
      <w:r w:rsidRPr="003A6D0A">
        <w:rPr>
          <w:i/>
          <w:iCs/>
        </w:rPr>
        <w:t>Dykes</w:t>
      </w:r>
      <w:r>
        <w:t xml:space="preserve">, </w:t>
      </w:r>
      <w:r w:rsidRPr="003A6D0A">
        <w:rPr>
          <w:i/>
          <w:iCs/>
        </w:rPr>
        <w:t>supra</w:t>
      </w:r>
      <w:r>
        <w:t>, 46 Cal.4th at p. 810.)</w:t>
      </w:r>
      <w:r>
        <w:rPr>
          <w:rStyle w:val="FootnoteReference"/>
        </w:rPr>
        <w:footnoteReference w:id="26"/>
      </w:r>
      <w:r w:rsidR="00DA641E">
        <w:t xml:space="preserve">  T</w:t>
      </w:r>
      <w:r w:rsidR="000D0348">
        <w:t xml:space="preserve">hus, </w:t>
      </w:r>
      <w:r w:rsidR="00FC3EAA">
        <w:t>under these circumstances we cannot find an abuse of discretion</w:t>
      </w:r>
      <w:r w:rsidR="00DA641E">
        <w:t>.</w:t>
      </w:r>
      <w:r w:rsidR="00591710">
        <w:t xml:space="preserve">  We realize the trial court’s ruling was not based on the purported statement of the subject juror being hearsay, but conclude we cannot find the court abused its discretion when it would have been an abuse of discretion to consider </w:t>
      </w:r>
      <w:r w:rsidR="000D0348">
        <w:t>inadmissible evidence</w:t>
      </w:r>
      <w:r w:rsidR="00591710">
        <w:t xml:space="preserve"> in granting an evidentiary hearing</w:t>
      </w:r>
      <w:r w:rsidR="001D29A4">
        <w:t xml:space="preserve"> or</w:t>
      </w:r>
      <w:r w:rsidR="00E7181E">
        <w:t xml:space="preserve"> to</w:t>
      </w:r>
      <w:r w:rsidR="001D29A4">
        <w:t xml:space="preserve"> consider it in deciding the new trial motion</w:t>
      </w:r>
      <w:r w:rsidR="00591710">
        <w:t>.</w:t>
      </w:r>
    </w:p>
    <w:p w14:paraId="1968E6B2" w14:textId="2515E8BC" w:rsidR="00F60263" w:rsidRDefault="0061079E" w:rsidP="00F60263">
      <w:r>
        <w:tab/>
      </w:r>
      <w:r w:rsidR="000D0348">
        <w:t xml:space="preserve">As for the continuance motion, </w:t>
      </w:r>
      <w:r w:rsidR="000902A2">
        <w:t>a</w:t>
      </w:r>
      <w:r>
        <w:t xml:space="preserve"> continuance in a criminal matter may only be granted for good cause.  (§ 1050, subd. (e)</w:t>
      </w:r>
      <w:r w:rsidR="004551C1">
        <w:t>)</w:t>
      </w:r>
      <w:r>
        <w:t xml:space="preserve">; </w:t>
      </w:r>
      <w:r w:rsidRPr="00451F8F">
        <w:rPr>
          <w:i/>
        </w:rPr>
        <w:t>People v. D’Arcy</w:t>
      </w:r>
      <w:r>
        <w:t xml:space="preserve"> (2010)</w:t>
      </w:r>
      <w:r>
        <w:t xml:space="preserve"> 48 Cal.4th 257, 287 (</w:t>
      </w:r>
      <w:r w:rsidRPr="00ED79A5">
        <w:rPr>
          <w:i/>
        </w:rPr>
        <w:t>D’Arcy</w:t>
      </w:r>
      <w:r>
        <w:t>.)  We review the denial of such motions for abuse of discretion.  (</w:t>
      </w:r>
      <w:r>
        <w:rPr>
          <w:i/>
        </w:rPr>
        <w:t xml:space="preserve">D’Arcy, </w:t>
      </w:r>
      <w:r>
        <w:t>at p.</w:t>
      </w:r>
      <w:r w:rsidR="00F37612">
        <w:t> </w:t>
      </w:r>
      <w:r>
        <w:t>287.)</w:t>
      </w:r>
      <w:r w:rsidR="00220A18">
        <w:t xml:space="preserve"> </w:t>
      </w:r>
      <w:r>
        <w:t xml:space="preserve"> “ ‘ “There are no mechanical tests for deciding when a denial of a continuance is </w:t>
      </w:r>
      <w:bookmarkStart w:id="95" w:name="ElPgBr23"/>
      <w:bookmarkEnd w:id="95"/>
      <w:r>
        <w:lastRenderedPageBreak/>
        <w:t xml:space="preserve">so arbitrary as to violate due process.  The answer must </w:t>
      </w:r>
      <w:r>
        <w:t>be found in the circumstances present in every case, particularly in the reasons presented to the trial judge at the time the request is denied.” ’ ”  (</w:t>
      </w:r>
      <w:r w:rsidRPr="00ED79A5">
        <w:rPr>
          <w:i/>
        </w:rPr>
        <w:t>Id</w:t>
      </w:r>
      <w:r>
        <w:t>. at p</w:t>
      </w:r>
      <w:r w:rsidR="00220A18">
        <w:t>p</w:t>
      </w:r>
      <w:r>
        <w:t>. 287</w:t>
      </w:r>
      <w:r w:rsidR="00220A18">
        <w:t>-</w:t>
      </w:r>
      <w:r>
        <w:t xml:space="preserve">288.)  Also, a showing of good cause requires a demonstration of diligence.  </w:t>
      </w:r>
      <w:r w:rsidRPr="00103408">
        <w:t>(</w:t>
      </w:r>
      <w:r w:rsidRPr="00D26202">
        <w:rPr>
          <w:i/>
          <w:iCs/>
          <w:color w:val="000000"/>
          <w:bdr w:val="none" w:sz="0" w:space="0" w:color="auto" w:frame="1"/>
        </w:rPr>
        <w:t>People v. Jenkins</w:t>
      </w:r>
      <w:r w:rsidRPr="00D26202">
        <w:rPr>
          <w:color w:val="000000"/>
        </w:rPr>
        <w:t> (2000) 22 Cal.4th 900, 1037 (</w:t>
      </w:r>
      <w:r w:rsidRPr="00D26202">
        <w:rPr>
          <w:i/>
          <w:iCs/>
          <w:color w:val="000000"/>
        </w:rPr>
        <w:t>Jenkins</w:t>
      </w:r>
      <w:r w:rsidRPr="00D26202">
        <w:rPr>
          <w:color w:val="000000"/>
        </w:rPr>
        <w:t>).)</w:t>
      </w:r>
    </w:p>
    <w:p w14:paraId="37CE1DC7" w14:textId="2D79EE72" w:rsidR="003E78DF" w:rsidRDefault="0061079E" w:rsidP="00F60263">
      <w:pPr>
        <w:pStyle w:val="bodytext"/>
      </w:pPr>
      <w:r>
        <w:t xml:space="preserve">Here, </w:t>
      </w:r>
      <w:r w:rsidR="000D0348">
        <w:t xml:space="preserve">the record does not demonstrate due diligence in investigating the new trial motion.  </w:t>
      </w:r>
      <w:r w:rsidR="00E9520F">
        <w:t xml:space="preserve">Indeed, the original continuance motion was not grounded on the need for time to obtain additional information.  And at the initial hearing on the continuance motion, counsel did not mention a need for that purpose.  </w:t>
      </w:r>
      <w:r w:rsidR="000F639E">
        <w:t xml:space="preserve">As the Attorney General points out, defendant had over five weeks to investigate his jury misconduct claim.  </w:t>
      </w:r>
      <w:r w:rsidR="00772553">
        <w:t xml:space="preserve">The record does not show that the defense </w:t>
      </w:r>
      <w:r w:rsidR="00A41280">
        <w:t xml:space="preserve">moved </w:t>
      </w:r>
      <w:r w:rsidR="00772553">
        <w:t xml:space="preserve">to obtain juror contact information under Code of </w:t>
      </w:r>
      <w:r w:rsidR="00EE0EF5">
        <w:t xml:space="preserve">Civil </w:t>
      </w:r>
      <w:r w:rsidR="00772553">
        <w:t xml:space="preserve">Procedure section 237.  </w:t>
      </w:r>
      <w:r w:rsidR="000D0348">
        <w:t>Counsel stated the defense had “recently” located the subject juror</w:t>
      </w:r>
      <w:r w:rsidR="00A41280">
        <w:t xml:space="preserve">, but no date or </w:t>
      </w:r>
      <w:r>
        <w:t>ot</w:t>
      </w:r>
      <w:r>
        <w:t xml:space="preserve">her </w:t>
      </w:r>
      <w:r w:rsidR="00A41280">
        <w:t>elaboration was offered</w:t>
      </w:r>
      <w:r w:rsidR="000D0348">
        <w:t>.</w:t>
      </w:r>
      <w:r>
        <w:rPr>
          <w:rStyle w:val="FootnoteReference"/>
        </w:rPr>
        <w:footnoteReference w:id="27"/>
      </w:r>
      <w:r w:rsidR="000D0348">
        <w:t xml:space="preserve"> </w:t>
      </w:r>
      <w:r w:rsidR="00A41280">
        <w:t xml:space="preserve"> </w:t>
      </w:r>
      <w:r w:rsidR="000D0348">
        <w:t xml:space="preserve">Nor did </w:t>
      </w:r>
      <w:r>
        <w:t xml:space="preserve">counsel explain </w:t>
      </w:r>
      <w:r w:rsidR="000D0348">
        <w:t xml:space="preserve">what efforts had been made </w:t>
      </w:r>
      <w:r>
        <w:t xml:space="preserve">after he met with the foreperson on </w:t>
      </w:r>
      <w:r w:rsidR="000D0348">
        <w:t xml:space="preserve">December 16, 2016.  </w:t>
      </w:r>
      <w:r>
        <w:t xml:space="preserve">Counsel </w:t>
      </w:r>
      <w:r w:rsidR="00772553">
        <w:t>did admit that in part, because of the holidays, they “did</w:t>
      </w:r>
      <w:r w:rsidR="00573DC7">
        <w:t>n’t</w:t>
      </w:r>
      <w:r w:rsidR="00772553">
        <w:t xml:space="preserve"> </w:t>
      </w:r>
      <w:r w:rsidR="00772553" w:rsidRPr="00772553">
        <w:t>rush this thing to January 20th.</w:t>
      </w:r>
      <w:r w:rsidR="00CE5FE3">
        <w:t>”</w:t>
      </w:r>
      <w:r w:rsidR="00772553">
        <w:t xml:space="preserve"> </w:t>
      </w:r>
      <w:r>
        <w:t xml:space="preserve"> He </w:t>
      </w:r>
      <w:r w:rsidR="003A2D32">
        <w:t>mentioned</w:t>
      </w:r>
      <w:r w:rsidR="00D31631">
        <w:t xml:space="preserve"> a </w:t>
      </w:r>
      <w:r w:rsidR="003A2D32">
        <w:t xml:space="preserve">plan to obtain a declaration from the subject juror the previous weekend, but his investigator had a pressing family matter.  That is understandable, but no explanation was given </w:t>
      </w:r>
      <w:r>
        <w:t xml:space="preserve">as to </w:t>
      </w:r>
      <w:r w:rsidR="003A2D32">
        <w:t xml:space="preserve">why no attempts had been made </w:t>
      </w:r>
      <w:r>
        <w:t xml:space="preserve">before </w:t>
      </w:r>
      <w:r w:rsidR="003A2D32">
        <w:t xml:space="preserve">that weekend or </w:t>
      </w:r>
      <w:r>
        <w:t>in the</w:t>
      </w:r>
      <w:r>
        <w:t xml:space="preserve"> week leading up to the </w:t>
      </w:r>
      <w:r w:rsidR="00CF036F">
        <w:t>Friday</w:t>
      </w:r>
      <w:r w:rsidR="003A2D32">
        <w:t>, January 20, 201</w:t>
      </w:r>
      <w:r w:rsidR="00CF036F">
        <w:t>7</w:t>
      </w:r>
      <w:r w:rsidR="00B54AB3">
        <w:t>,</w:t>
      </w:r>
      <w:r w:rsidR="003A2D32">
        <w:t xml:space="preserve"> hearing.  </w:t>
      </w:r>
    </w:p>
    <w:p w14:paraId="00AA2E35" w14:textId="2CB80201" w:rsidR="003A2D32" w:rsidRDefault="0061079E" w:rsidP="00C5791F">
      <w:pPr>
        <w:pStyle w:val="bodytext"/>
      </w:pPr>
      <w:r>
        <w:t>Because d</w:t>
      </w:r>
      <w:r w:rsidR="000D0348">
        <w:t>iligence must be shown to establish good cause</w:t>
      </w:r>
      <w:r>
        <w:t>, we conclude that under these circumstances, the trial court did not abuse its discretion in denying the continuance.</w:t>
      </w:r>
      <w:r>
        <w:rPr>
          <w:rStyle w:val="FootnoteReference"/>
        </w:rPr>
        <w:footnoteReference w:id="28"/>
      </w:r>
      <w:r w:rsidR="000D0348">
        <w:t xml:space="preserve"> </w:t>
      </w:r>
      <w:r w:rsidR="00854771">
        <w:t xml:space="preserve"> (</w:t>
      </w:r>
      <w:r w:rsidR="00C31E74">
        <w:t xml:space="preserve">See </w:t>
      </w:r>
      <w:r w:rsidR="00854771" w:rsidRPr="00755C3E">
        <w:rPr>
          <w:i/>
          <w:iCs/>
        </w:rPr>
        <w:t>Jenkins</w:t>
      </w:r>
      <w:r w:rsidR="00854771" w:rsidRPr="00826BFF">
        <w:t xml:space="preserve">, </w:t>
      </w:r>
      <w:r w:rsidR="00854771" w:rsidRPr="00755C3E">
        <w:rPr>
          <w:i/>
          <w:iCs/>
        </w:rPr>
        <w:t>supra</w:t>
      </w:r>
      <w:r w:rsidR="00854771" w:rsidRPr="00826BFF">
        <w:t xml:space="preserve">, </w:t>
      </w:r>
      <w:r w:rsidR="00854771" w:rsidRPr="00755C3E">
        <w:rPr>
          <w:color w:val="000000"/>
        </w:rPr>
        <w:t>22 Cal.4th at p. 1037</w:t>
      </w:r>
      <w:r w:rsidR="00854771" w:rsidRPr="00755C3E">
        <w:rPr>
          <w:color w:val="000000"/>
          <w:sz w:val="24"/>
          <w:szCs w:val="24"/>
        </w:rPr>
        <w:t>.)</w:t>
      </w:r>
      <w:r w:rsidR="00854771" w:rsidRPr="00D26202">
        <w:rPr>
          <w:color w:val="000000"/>
        </w:rPr>
        <w:t xml:space="preserve">  </w:t>
      </w:r>
      <w:r>
        <w:t xml:space="preserve">Indeed, </w:t>
      </w:r>
      <w:r w:rsidR="00854771">
        <w:t>o</w:t>
      </w:r>
      <w:r w:rsidR="00306FD7">
        <w:t xml:space="preserve">rders denying </w:t>
      </w:r>
      <w:bookmarkStart w:id="96" w:name="ElPgBr24"/>
      <w:bookmarkEnd w:id="96"/>
      <w:r w:rsidR="00306FD7">
        <w:lastRenderedPageBreak/>
        <w:t>continuances are seldom successfully attacked on appeal</w:t>
      </w:r>
      <w:r>
        <w:t xml:space="preserve">, as such discretion is abused “only when the court exceeds the bounds of reason, all circumstances being considered.” </w:t>
      </w:r>
      <w:r w:rsidR="00306FD7">
        <w:t xml:space="preserve"> (</w:t>
      </w:r>
      <w:r w:rsidR="00306FD7" w:rsidRPr="00755C3E">
        <w:rPr>
          <w:i/>
          <w:iCs/>
        </w:rPr>
        <w:t>People v. Beam</w:t>
      </w:r>
      <w:r w:rsidR="005F6DFD">
        <w:rPr>
          <w:i/>
          <w:iCs/>
        </w:rPr>
        <w:t>e</w:t>
      </w:r>
      <w:r w:rsidR="00306FD7" w:rsidRPr="00755C3E">
        <w:rPr>
          <w:i/>
          <w:iCs/>
        </w:rPr>
        <w:t>s</w:t>
      </w:r>
      <w:r w:rsidR="00306FD7">
        <w:t xml:space="preserve"> (2007) 40 Cal.4th 907, 920.) </w:t>
      </w:r>
      <w:r w:rsidR="00C31E74">
        <w:t xml:space="preserve"> </w:t>
      </w:r>
      <w:r w:rsidR="001C4702">
        <w:t>And</w:t>
      </w:r>
      <w:r w:rsidR="00C31E74">
        <w:t xml:space="preserve"> </w:t>
      </w:r>
      <w:r w:rsidR="000C3842">
        <w:t xml:space="preserve">as the trial court noted, there are other procedural remedies available to defendant if he was able to secure the information he sought.  </w:t>
      </w:r>
    </w:p>
    <w:p w14:paraId="4DE2CD7E" w14:textId="68630A9D" w:rsidR="00173A5B" w:rsidRPr="008A32ED" w:rsidRDefault="0061079E" w:rsidP="00173A5B">
      <w:pPr>
        <w:pStyle w:val="bodytext"/>
        <w:keepNext/>
        <w:ind w:firstLine="0"/>
        <w:jc w:val="center"/>
        <w:rPr>
          <w:b/>
        </w:rPr>
      </w:pPr>
      <w:r w:rsidRPr="00FD4545">
        <w:rPr>
          <w:b/>
        </w:rPr>
        <w:t>ROMAN’S CONTENTIONS</w:t>
      </w:r>
    </w:p>
    <w:p w14:paraId="10F23058" w14:textId="4E7BD638" w:rsidR="00F12A83" w:rsidRDefault="0061079E" w:rsidP="00D259BB">
      <w:pPr>
        <w:pStyle w:val="bodytext"/>
        <w:keepNext/>
        <w:ind w:firstLine="0"/>
        <w:jc w:val="center"/>
        <w:rPr>
          <w:b/>
          <w:color w:val="000000"/>
        </w:rPr>
      </w:pPr>
      <w:bookmarkStart w:id="97" w:name="Elo_gO"/>
      <w:bookmarkStart w:id="98" w:name="Elo_grO"/>
      <w:r>
        <w:rPr>
          <w:b/>
          <w:color w:val="000000"/>
        </w:rPr>
        <w:t xml:space="preserve">V. </w:t>
      </w:r>
      <w:bookmarkEnd w:id="97"/>
      <w:bookmarkEnd w:id="98"/>
      <w:r w:rsidR="00652A09">
        <w:rPr>
          <w:b/>
          <w:color w:val="000000"/>
        </w:rPr>
        <w:t xml:space="preserve"> </w:t>
      </w:r>
      <w:r>
        <w:rPr>
          <w:b/>
          <w:color w:val="000000"/>
        </w:rPr>
        <w:t xml:space="preserve">Counsel’s </w:t>
      </w:r>
      <w:r w:rsidR="00D74BEF">
        <w:rPr>
          <w:b/>
          <w:color w:val="000000"/>
        </w:rPr>
        <w:t>C</w:t>
      </w:r>
      <w:r>
        <w:rPr>
          <w:b/>
          <w:color w:val="000000"/>
        </w:rPr>
        <w:t xml:space="preserve">oncession of </w:t>
      </w:r>
      <w:r w:rsidR="005E7108">
        <w:rPr>
          <w:b/>
          <w:color w:val="000000"/>
        </w:rPr>
        <w:t xml:space="preserve">Conspiracy and Evading </w:t>
      </w:r>
      <w:r w:rsidR="00D74BEF">
        <w:rPr>
          <w:b/>
          <w:color w:val="000000"/>
        </w:rPr>
        <w:t>C</w:t>
      </w:r>
      <w:r>
        <w:rPr>
          <w:b/>
          <w:color w:val="000000"/>
        </w:rPr>
        <w:t xml:space="preserve">ounts </w:t>
      </w:r>
    </w:p>
    <w:p w14:paraId="36356414" w14:textId="6B00380F" w:rsidR="003F7E77" w:rsidRDefault="0061079E" w:rsidP="003F7E77">
      <w:pPr>
        <w:pStyle w:val="bodytext"/>
      </w:pPr>
      <w:r w:rsidRPr="00017E54">
        <w:t xml:space="preserve">Roman contends </w:t>
      </w:r>
      <w:r w:rsidR="005E7108">
        <w:t xml:space="preserve">the </w:t>
      </w:r>
      <w:r w:rsidR="007D4762">
        <w:t>convictions for evading a peace officer with wanton disregard</w:t>
      </w:r>
      <w:r w:rsidR="00677961">
        <w:t xml:space="preserve"> for safety</w:t>
      </w:r>
      <w:r w:rsidR="007D4762">
        <w:t xml:space="preserve"> and </w:t>
      </w:r>
      <w:r w:rsidR="00D74BEF">
        <w:t xml:space="preserve">conspiracy to commit theft </w:t>
      </w:r>
      <w:r>
        <w:t xml:space="preserve">must be reversed because his trial counsel conceded those counts during closing arguments.  In support he cites </w:t>
      </w:r>
      <w:bookmarkStart w:id="99" w:name="ElyfhO"/>
      <w:bookmarkStart w:id="100" w:name="ElyfhrO"/>
      <w:r w:rsidRPr="009B33B3">
        <w:rPr>
          <w:i/>
        </w:rPr>
        <w:t xml:space="preserve">McCoy v. </w:t>
      </w:r>
      <w:bookmarkStart w:id="101" w:name="ElxdhO"/>
      <w:bookmarkStart w:id="102" w:name="ElxdhrO"/>
      <w:r w:rsidRPr="009B33B3">
        <w:rPr>
          <w:i/>
        </w:rPr>
        <w:t>Louis</w:t>
      </w:r>
      <w:r w:rsidRPr="009B33B3">
        <w:rPr>
          <w:i/>
        </w:rPr>
        <w:t>iana</w:t>
      </w:r>
      <w:r>
        <w:t xml:space="preserve"> </w:t>
      </w:r>
      <w:bookmarkEnd w:id="101"/>
      <w:bookmarkEnd w:id="102"/>
      <w:r>
        <w:t>(2018) 138 S.Ct. 1500</w:t>
      </w:r>
      <w:r w:rsidR="002C6964">
        <w:t>, 1505</w:t>
      </w:r>
      <w:r>
        <w:t xml:space="preserve"> (</w:t>
      </w:r>
      <w:r w:rsidRPr="00A03AEE">
        <w:rPr>
          <w:i/>
        </w:rPr>
        <w:t>McCoy</w:t>
      </w:r>
      <w:r>
        <w:t>)</w:t>
      </w:r>
      <w:bookmarkEnd w:id="99"/>
      <w:bookmarkEnd w:id="100"/>
      <w:r w:rsidR="002C6964">
        <w:t>, which held that “a defendant has the right to insist that counsel refrain from admitting guilt,” a</w:t>
      </w:r>
      <w:r w:rsidR="0075557D">
        <w:t xml:space="preserve">s well as </w:t>
      </w:r>
      <w:bookmarkStart w:id="103" w:name="ElyehO"/>
      <w:bookmarkStart w:id="104" w:name="ElyehrO"/>
      <w:r w:rsidRPr="009B33B3">
        <w:rPr>
          <w:i/>
        </w:rPr>
        <w:t>People v. Farwell</w:t>
      </w:r>
      <w:r>
        <w:t xml:space="preserve"> (2018) 5 Cal.5th 295</w:t>
      </w:r>
      <w:r w:rsidR="008F0619">
        <w:t>, 308</w:t>
      </w:r>
      <w:r>
        <w:t xml:space="preserve"> </w:t>
      </w:r>
      <w:bookmarkEnd w:id="103"/>
      <w:bookmarkEnd w:id="104"/>
      <w:r>
        <w:t>(</w:t>
      </w:r>
      <w:r w:rsidRPr="00180DE4">
        <w:rPr>
          <w:i/>
        </w:rPr>
        <w:t>Farwell</w:t>
      </w:r>
      <w:r>
        <w:t>)</w:t>
      </w:r>
      <w:r w:rsidR="002C6964">
        <w:t>, wh</w:t>
      </w:r>
      <w:r w:rsidR="008F0619">
        <w:t>ich held a stipulation admitting all elements of an offense require</w:t>
      </w:r>
      <w:r w:rsidR="00D74BEF">
        <w:t>s</w:t>
      </w:r>
      <w:r w:rsidR="008F0619">
        <w:t xml:space="preserve"> a constitutionally valid waiver of tr</w:t>
      </w:r>
      <w:r w:rsidR="00917089">
        <w:t>ial</w:t>
      </w:r>
      <w:r w:rsidR="008F0619">
        <w:t xml:space="preserve"> rights</w:t>
      </w:r>
      <w:r>
        <w:t xml:space="preserve">.  </w:t>
      </w:r>
      <w:r w:rsidR="009B33B3">
        <w:t>We find no error.</w:t>
      </w:r>
    </w:p>
    <w:p w14:paraId="394D3160" w14:textId="77777777" w:rsidR="001877B1" w:rsidRPr="00F751D1" w:rsidRDefault="0061079E" w:rsidP="00180DE4">
      <w:pPr>
        <w:pStyle w:val="bodytext"/>
        <w:keepNext/>
        <w:ind w:firstLine="0"/>
        <w:jc w:val="center"/>
        <w:rPr>
          <w:b/>
        </w:rPr>
      </w:pPr>
      <w:bookmarkStart w:id="105" w:name="ElojhO"/>
      <w:bookmarkStart w:id="106" w:name="ElojhrO"/>
      <w:r w:rsidRPr="00F751D1">
        <w:rPr>
          <w:b/>
        </w:rPr>
        <w:t xml:space="preserve">A. </w:t>
      </w:r>
      <w:bookmarkEnd w:id="105"/>
      <w:bookmarkEnd w:id="106"/>
      <w:r w:rsidR="00652A09">
        <w:rPr>
          <w:b/>
        </w:rPr>
        <w:t xml:space="preserve"> </w:t>
      </w:r>
      <w:r>
        <w:rPr>
          <w:b/>
        </w:rPr>
        <w:t>A</w:t>
      </w:r>
      <w:r w:rsidRPr="00F751D1">
        <w:rPr>
          <w:b/>
        </w:rPr>
        <w:t xml:space="preserve">dditional </w:t>
      </w:r>
      <w:r>
        <w:rPr>
          <w:b/>
        </w:rPr>
        <w:t>B</w:t>
      </w:r>
      <w:r w:rsidRPr="00F751D1">
        <w:rPr>
          <w:b/>
        </w:rPr>
        <w:t>ackground</w:t>
      </w:r>
    </w:p>
    <w:p w14:paraId="098C79D8" w14:textId="02737B7C" w:rsidR="00A20537" w:rsidRDefault="0061079E" w:rsidP="00C5791F">
      <w:pPr>
        <w:pStyle w:val="bodytext"/>
        <w:keepNext/>
        <w:ind w:firstLine="0"/>
      </w:pPr>
      <w:bookmarkStart w:id="107" w:name="ElonhO"/>
      <w:bookmarkStart w:id="108" w:name="ElonhrO"/>
      <w:r>
        <w:rPr>
          <w:b/>
        </w:rPr>
        <w:tab/>
      </w:r>
      <w:bookmarkEnd w:id="107"/>
      <w:bookmarkEnd w:id="108"/>
      <w:r w:rsidR="00D94F78">
        <w:t xml:space="preserve">As noted, </w:t>
      </w:r>
      <w:r w:rsidR="00664011">
        <w:t xml:space="preserve">Roman </w:t>
      </w:r>
      <w:r w:rsidR="000A570E">
        <w:t>eventually</w:t>
      </w:r>
      <w:r w:rsidR="0036697B">
        <w:t xml:space="preserve"> </w:t>
      </w:r>
      <w:r w:rsidR="000A570E">
        <w:t xml:space="preserve">confessed to </w:t>
      </w:r>
      <w:r w:rsidR="00D94F78">
        <w:t xml:space="preserve">attempting to </w:t>
      </w:r>
      <w:r>
        <w:t>steal from cars in Auburn</w:t>
      </w:r>
      <w:r w:rsidR="00D94F78">
        <w:t>.</w:t>
      </w:r>
      <w:r>
        <w:t xml:space="preserve"> </w:t>
      </w:r>
    </w:p>
    <w:p w14:paraId="0C952245" w14:textId="4804518A" w:rsidR="00D94F78" w:rsidRDefault="0061079E" w:rsidP="00C5791F">
      <w:pPr>
        <w:pStyle w:val="bodytext"/>
        <w:keepNext/>
        <w:ind w:firstLine="0"/>
      </w:pPr>
      <w:r>
        <w:tab/>
        <w:t xml:space="preserve">Roman’s counsel began his closing argument by </w:t>
      </w:r>
      <w:r>
        <w:t>telling the jury, “the basic facts are fairly straightforward, with two notable exceptions:  Where were the keys to [the] truck and did Roman do anything to aid and abet his brother during his brother’s evading.”  Thereafter, he focused his argument on the</w:t>
      </w:r>
      <w:r>
        <w:t>se two issues</w:t>
      </w:r>
      <w:r w:rsidR="00D53850">
        <w:t xml:space="preserve"> and the alleged assault on the two Rocklin officers</w:t>
      </w:r>
      <w:r>
        <w:t>.</w:t>
      </w:r>
      <w:r w:rsidR="003E41B9">
        <w:t xml:space="preserve">  </w:t>
      </w:r>
    </w:p>
    <w:p w14:paraId="282BF2C6" w14:textId="328B37F0" w:rsidR="00BD5FAE" w:rsidRDefault="0061079E" w:rsidP="00C5791F">
      <w:pPr>
        <w:pStyle w:val="bodytext"/>
        <w:keepNext/>
        <w:ind w:firstLine="0"/>
      </w:pPr>
      <w:bookmarkStart w:id="109" w:name="EloiiO"/>
      <w:bookmarkStart w:id="110" w:name="EloiirO"/>
      <w:r>
        <w:rPr>
          <w:b/>
        </w:rPr>
        <w:tab/>
      </w:r>
      <w:bookmarkEnd w:id="109"/>
      <w:bookmarkEnd w:id="110"/>
      <w:r w:rsidR="00D94F78">
        <w:t xml:space="preserve">Later, </w:t>
      </w:r>
      <w:r w:rsidR="00B46649">
        <w:t>Roman’s</w:t>
      </w:r>
      <w:r w:rsidR="001877B1">
        <w:t xml:space="preserve"> counsel </w:t>
      </w:r>
      <w:r w:rsidR="00A96E76">
        <w:t>p</w:t>
      </w:r>
      <w:r w:rsidR="001877B1">
        <w:t>oint</w:t>
      </w:r>
      <w:r w:rsidR="00A96E76">
        <w:t>ed</w:t>
      </w:r>
      <w:r w:rsidR="001877B1">
        <w:t xml:space="preserve"> to </w:t>
      </w:r>
      <w:r w:rsidR="005E7108">
        <w:t>verdict form for the conspiracy count</w:t>
      </w:r>
      <w:r w:rsidR="002D5FF1">
        <w:t xml:space="preserve"> </w:t>
      </w:r>
      <w:r w:rsidR="00A96E76">
        <w:t xml:space="preserve">and </w:t>
      </w:r>
      <w:r w:rsidR="001877B1">
        <w:t>told the jury, “That’s the box where you will write ‘guilty,’</w:t>
      </w:r>
      <w:r w:rsidR="00831BB6">
        <w:t xml:space="preserve"> …</w:t>
      </w:r>
      <w:r w:rsidR="001877B1">
        <w:t xml:space="preserve">.  It has never been an issue in this case.”  He added, “We have never contested that Roman and </w:t>
      </w:r>
      <w:r w:rsidR="005D4884">
        <w:t>[the friend]</w:t>
      </w:r>
      <w:r w:rsidR="001877B1">
        <w:t xml:space="preserve"> and Ruslan </w:t>
      </w:r>
      <w:bookmarkStart w:id="111" w:name="ElPgBr25"/>
      <w:bookmarkEnd w:id="111"/>
      <w:r w:rsidR="001877B1">
        <w:lastRenderedPageBreak/>
        <w:t>went to Auburn to take stuff out of people’s cars.”</w:t>
      </w:r>
      <w:r w:rsidR="00D53850">
        <w:t xml:space="preserve">  </w:t>
      </w:r>
      <w:r w:rsidR="005E7108">
        <w:t>He added</w:t>
      </w:r>
      <w:r w:rsidR="007D4762">
        <w:t xml:space="preserve"> regarding the verdict</w:t>
      </w:r>
      <w:r w:rsidR="00D53850">
        <w:t xml:space="preserve">, “It will be a simple one.  You can find him guilty of that count.” </w:t>
      </w:r>
    </w:p>
    <w:p w14:paraId="390D70AB" w14:textId="21EDB2C7" w:rsidR="00691561" w:rsidRDefault="0061079E" w:rsidP="00017E54">
      <w:pPr>
        <w:pStyle w:val="bodytext"/>
      </w:pPr>
      <w:r>
        <w:t xml:space="preserve">As to </w:t>
      </w:r>
      <w:r w:rsidR="005E7108">
        <w:t>the evading count</w:t>
      </w:r>
      <w:r>
        <w:t>, he to</w:t>
      </w:r>
      <w:r>
        <w:t>ld the jury</w:t>
      </w:r>
      <w:r w:rsidR="007D4762">
        <w:t>,</w:t>
      </w:r>
      <w:r>
        <w:t xml:space="preserve"> “you’re going to find him guilty of this count and you should.  He did damage to property, he violated more than three laws, he was driving in excess of the speed limit, and it was a long pursuit.” </w:t>
      </w:r>
    </w:p>
    <w:p w14:paraId="53A828AF" w14:textId="77777777" w:rsidR="00F67C22" w:rsidRPr="00086620" w:rsidRDefault="0061079E" w:rsidP="00180DE4">
      <w:pPr>
        <w:pStyle w:val="bodytext"/>
        <w:keepNext/>
        <w:ind w:firstLine="0"/>
        <w:jc w:val="center"/>
        <w:rPr>
          <w:b/>
        </w:rPr>
      </w:pPr>
      <w:bookmarkStart w:id="112" w:name="Elo0jO"/>
      <w:bookmarkStart w:id="113" w:name="Elo0jrO"/>
      <w:r w:rsidRPr="00086620">
        <w:rPr>
          <w:b/>
        </w:rPr>
        <w:t>B.</w:t>
      </w:r>
      <w:r w:rsidR="001E7F00">
        <w:rPr>
          <w:b/>
        </w:rPr>
        <w:t xml:space="preserve"> </w:t>
      </w:r>
      <w:r w:rsidRPr="00086620">
        <w:rPr>
          <w:b/>
        </w:rPr>
        <w:t xml:space="preserve"> </w:t>
      </w:r>
      <w:bookmarkEnd w:id="112"/>
      <w:bookmarkEnd w:id="113"/>
      <w:r w:rsidRPr="00086620">
        <w:rPr>
          <w:b/>
        </w:rPr>
        <w:t>Analysis</w:t>
      </w:r>
    </w:p>
    <w:p w14:paraId="752DB63C" w14:textId="36F045CC" w:rsidR="0001267F" w:rsidRDefault="0061079E" w:rsidP="00D20DB9">
      <w:pPr>
        <w:pStyle w:val="bodytext"/>
      </w:pPr>
      <w:r>
        <w:t xml:space="preserve">On appeal, defendant argues </w:t>
      </w:r>
      <w:r w:rsidR="00AF7FD9">
        <w:t>that</w:t>
      </w:r>
      <w:r w:rsidR="00694464">
        <w:t xml:space="preserve">, like </w:t>
      </w:r>
      <w:r w:rsidR="005D4884">
        <w:t xml:space="preserve">in </w:t>
      </w:r>
      <w:r w:rsidR="00694464" w:rsidRPr="00694464">
        <w:rPr>
          <w:i/>
        </w:rPr>
        <w:t>Farwell</w:t>
      </w:r>
      <w:r w:rsidR="00694464">
        <w:t>,</w:t>
      </w:r>
      <w:r w:rsidR="00AF7FD9">
        <w:t xml:space="preserve"> his counsel’s concession of </w:t>
      </w:r>
      <w:r w:rsidR="005E7108">
        <w:t>these counts</w:t>
      </w:r>
      <w:r w:rsidR="00AF7FD9">
        <w:t xml:space="preserve"> was tantamount to a guilty plea, as it admitted the elements of the offense</w:t>
      </w:r>
      <w:r w:rsidR="00AE3828">
        <w:t>,</w:t>
      </w:r>
      <w:r w:rsidR="00AF7FD9">
        <w:t xml:space="preserve"> reliev</w:t>
      </w:r>
      <w:r w:rsidR="00AE3828">
        <w:t>ing</w:t>
      </w:r>
      <w:r w:rsidR="00AF7FD9">
        <w:t xml:space="preserve"> the prosecution of its burden of proof.  Thus,</w:t>
      </w:r>
      <w:r w:rsidR="00917089">
        <w:t xml:space="preserve"> it </w:t>
      </w:r>
      <w:r w:rsidR="00AF7FD9">
        <w:t xml:space="preserve">required a knowing and informed waiver of </w:t>
      </w:r>
      <w:r w:rsidR="00917089">
        <w:t xml:space="preserve">his </w:t>
      </w:r>
      <w:r w:rsidR="00AF7FD9">
        <w:t xml:space="preserve">right to </w:t>
      </w:r>
      <w:r w:rsidR="00AE3828">
        <w:t xml:space="preserve">a </w:t>
      </w:r>
      <w:r w:rsidR="00AF7FD9">
        <w:t>jury trial on those counts.</w:t>
      </w:r>
      <w:r w:rsidR="00565DC4">
        <w:t xml:space="preserve">  He is </w:t>
      </w:r>
      <w:r w:rsidR="004C05E4">
        <w:t>mistaken</w:t>
      </w:r>
      <w:r w:rsidR="00565DC4">
        <w:t>.</w:t>
      </w:r>
    </w:p>
    <w:p w14:paraId="75B514E1" w14:textId="3AB28438" w:rsidR="008549F3" w:rsidRDefault="0061079E" w:rsidP="00AE3828">
      <w:pPr>
        <w:pStyle w:val="bodytext"/>
      </w:pPr>
      <w:r>
        <w:t xml:space="preserve">In </w:t>
      </w:r>
      <w:r w:rsidRPr="00706264">
        <w:rPr>
          <w:i/>
        </w:rPr>
        <w:t>Farwell</w:t>
      </w:r>
      <w:r>
        <w:t xml:space="preserve">, trial counsel stipulated to every element </w:t>
      </w:r>
      <w:r w:rsidR="00831BB6">
        <w:t>of</w:t>
      </w:r>
      <w:r>
        <w:t xml:space="preserve"> </w:t>
      </w:r>
      <w:r w:rsidR="00AE3828">
        <w:t>an</w:t>
      </w:r>
      <w:r>
        <w:t xml:space="preserve"> offense</w:t>
      </w:r>
      <w:r w:rsidR="00AE3828">
        <w:t>,</w:t>
      </w:r>
      <w:r>
        <w:t xml:space="preserve"> and the </w:t>
      </w:r>
      <w:r w:rsidR="00A67FFD">
        <w:t xml:space="preserve">trial court </w:t>
      </w:r>
      <w:r>
        <w:t>instructed</w:t>
      </w:r>
      <w:r w:rsidR="00A67FFD">
        <w:t xml:space="preserve"> the jury </w:t>
      </w:r>
      <w:r>
        <w:t>to accept th</w:t>
      </w:r>
      <w:r w:rsidR="00917089">
        <w:t>e</w:t>
      </w:r>
      <w:r>
        <w:t xml:space="preserve"> stipulation as true.  (</w:t>
      </w:r>
      <w:r w:rsidRPr="00917089">
        <w:rPr>
          <w:i/>
        </w:rPr>
        <w:t>Farwell</w:t>
      </w:r>
      <w:r>
        <w:t xml:space="preserve">, </w:t>
      </w:r>
      <w:r w:rsidRPr="00180DE4">
        <w:rPr>
          <w:i/>
        </w:rPr>
        <w:t>supra</w:t>
      </w:r>
      <w:r>
        <w:t xml:space="preserve">, 5 Cal.5th at </w:t>
      </w:r>
      <w:r w:rsidR="00525E8A">
        <w:t>p</w:t>
      </w:r>
      <w:r>
        <w:t xml:space="preserve">p. 298-299.)  Our high court </w:t>
      </w:r>
      <w:r w:rsidR="00A67FFD">
        <w:t xml:space="preserve">concluded </w:t>
      </w:r>
      <w:r>
        <w:t xml:space="preserve">that </w:t>
      </w:r>
      <w:r w:rsidR="00AE3828">
        <w:t>the “stipulation conclusively established the stipulated facts as true and completely relieved the prosecution of its burden of proof on” the stipulated count.  (</w:t>
      </w:r>
      <w:r w:rsidR="00917089" w:rsidRPr="00917089">
        <w:rPr>
          <w:i/>
        </w:rPr>
        <w:t>Id</w:t>
      </w:r>
      <w:r w:rsidR="00917089">
        <w:t xml:space="preserve">. at p. </w:t>
      </w:r>
      <w:r w:rsidR="00AE3828">
        <w:t xml:space="preserve">300.)  It reasoned that </w:t>
      </w:r>
      <w:r>
        <w:t>“[a] stipulation</w:t>
      </w:r>
      <w:r>
        <w:t xml:space="preserve"> that admits all of the elements of a charged crime necessary for a conviction is tantamount to a guilty plea.”  (</w:t>
      </w:r>
      <w:r w:rsidR="00917089" w:rsidRPr="00917089">
        <w:rPr>
          <w:i/>
        </w:rPr>
        <w:t>Id</w:t>
      </w:r>
      <w:r w:rsidR="00917089">
        <w:t xml:space="preserve">. at p. </w:t>
      </w:r>
      <w:r>
        <w:t xml:space="preserve">299.)  </w:t>
      </w:r>
      <w:r w:rsidR="00AE3828">
        <w:t>“By entering the stipulation, Farwell effectively surrendered his privilege against self-incrimination, his right to confrontation, and his right to a jury trial on count</w:t>
      </w:r>
      <w:r w:rsidR="00FD4545">
        <w:t xml:space="preserve"> 2</w:t>
      </w:r>
      <w:r w:rsidR="00AE3828">
        <w:t>.”  (</w:t>
      </w:r>
      <w:r w:rsidR="00917089" w:rsidRPr="00917089">
        <w:rPr>
          <w:i/>
        </w:rPr>
        <w:t>I</w:t>
      </w:r>
      <w:r w:rsidR="0000509E">
        <w:rPr>
          <w:i/>
        </w:rPr>
        <w:t>d</w:t>
      </w:r>
      <w:r w:rsidR="0000509E" w:rsidRPr="000F7AB6">
        <w:rPr>
          <w:iCs/>
        </w:rPr>
        <w:t>.</w:t>
      </w:r>
      <w:r w:rsidR="0000509E">
        <w:rPr>
          <w:iCs/>
        </w:rPr>
        <w:t xml:space="preserve"> at p. 300</w:t>
      </w:r>
      <w:r w:rsidR="00917089" w:rsidRPr="0000509E">
        <w:rPr>
          <w:iCs/>
        </w:rPr>
        <w:t>.</w:t>
      </w:r>
      <w:r w:rsidR="00AE3828" w:rsidRPr="0000509E">
        <w:rPr>
          <w:iCs/>
        </w:rPr>
        <w:t>)</w:t>
      </w:r>
    </w:p>
    <w:p w14:paraId="3EEEE9F5" w14:textId="12C18542" w:rsidR="00E1199C" w:rsidRDefault="0061079E" w:rsidP="00E1199C">
      <w:pPr>
        <w:pStyle w:val="bodytext"/>
      </w:pPr>
      <w:r>
        <w:t>Here, however, no such stipulation was entered</w:t>
      </w:r>
      <w:r w:rsidR="00831BB6">
        <w:t xml:space="preserve">, nor was the </w:t>
      </w:r>
      <w:r>
        <w:t xml:space="preserve">jury </w:t>
      </w:r>
      <w:r w:rsidR="00831BB6">
        <w:t xml:space="preserve">instructed to </w:t>
      </w:r>
      <w:r>
        <w:t>find each element established</w:t>
      </w:r>
      <w:r w:rsidR="001623C5">
        <w:t xml:space="preserve">.  </w:t>
      </w:r>
      <w:r w:rsidR="00831BB6">
        <w:t>Instead</w:t>
      </w:r>
      <w:r w:rsidR="001623C5">
        <w:t xml:space="preserve">, </w:t>
      </w:r>
      <w:r w:rsidR="00831BB6">
        <w:t xml:space="preserve">the jury </w:t>
      </w:r>
      <w:r>
        <w:t>was expressly instructed that the prosecution must prove th</w:t>
      </w:r>
      <w:r>
        <w:t>e elements of</w:t>
      </w:r>
      <w:r w:rsidR="005E7108">
        <w:t xml:space="preserve"> </w:t>
      </w:r>
      <w:r w:rsidR="00CD3515">
        <w:t>the conspiracy and evading crimes</w:t>
      </w:r>
      <w:r>
        <w:t xml:space="preserve">.  </w:t>
      </w:r>
      <w:r w:rsidR="001623C5">
        <w:t xml:space="preserve">And, </w:t>
      </w:r>
      <w:r>
        <w:t xml:space="preserve">as Roman concedes </w:t>
      </w:r>
      <w:r w:rsidR="00F05828">
        <w:t>on appeal,</w:t>
      </w:r>
      <w:r>
        <w:t xml:space="preserve"> unlike a stipulation, concessions still require the prosecution to prove</w:t>
      </w:r>
      <w:r w:rsidR="00831BB6">
        <w:t>,</w:t>
      </w:r>
      <w:r>
        <w:t xml:space="preserve"> and the jury to find</w:t>
      </w:r>
      <w:r w:rsidR="00831BB6">
        <w:t>,</w:t>
      </w:r>
      <w:r w:rsidR="004B4C8C">
        <w:t xml:space="preserve"> </w:t>
      </w:r>
      <w:r>
        <w:t xml:space="preserve">the charges true beyond a reasonable doubt.  (See </w:t>
      </w:r>
      <w:bookmarkStart w:id="114" w:name="ElxwjO"/>
      <w:bookmarkStart w:id="115" w:name="ElxwjrO"/>
      <w:bookmarkStart w:id="116" w:name="ElyyjO"/>
      <w:bookmarkStart w:id="117" w:name="ElyyjrO"/>
      <w:r w:rsidRPr="0090135A">
        <w:rPr>
          <w:i/>
        </w:rPr>
        <w:t xml:space="preserve">Florida </w:t>
      </w:r>
      <w:bookmarkEnd w:id="114"/>
      <w:bookmarkEnd w:id="115"/>
      <w:r w:rsidRPr="0090135A">
        <w:rPr>
          <w:i/>
        </w:rPr>
        <w:t>v. Nixon</w:t>
      </w:r>
      <w:r>
        <w:t xml:space="preserve"> (2004) 543 </w:t>
      </w:r>
      <w:bookmarkStart w:id="118" w:name="ElxxjO"/>
      <w:bookmarkStart w:id="119" w:name="ElxxjrO"/>
      <w:r>
        <w:t xml:space="preserve">U.S. </w:t>
      </w:r>
      <w:bookmarkEnd w:id="118"/>
      <w:bookmarkEnd w:id="119"/>
      <w:r>
        <w:t>175, 188</w:t>
      </w:r>
      <w:r w:rsidR="0000509E">
        <w:t xml:space="preserve"> [</w:t>
      </w:r>
      <w:r w:rsidR="00D55BB1" w:rsidRPr="00890CCA">
        <w:t>160 L.Ed.2d 565</w:t>
      </w:r>
      <w:r w:rsidR="0000509E">
        <w:t>]</w:t>
      </w:r>
      <w:r w:rsidR="00D55BB1" w:rsidRPr="00890CCA">
        <w:t xml:space="preserve"> </w:t>
      </w:r>
      <w:bookmarkEnd w:id="116"/>
      <w:bookmarkEnd w:id="117"/>
      <w:r w:rsidR="00D55BB1">
        <w:t>(</w:t>
      </w:r>
      <w:r w:rsidR="00D55BB1" w:rsidRPr="00D55BB1">
        <w:rPr>
          <w:i/>
        </w:rPr>
        <w:t>Nixon</w:t>
      </w:r>
      <w:r w:rsidR="00D55BB1">
        <w:t xml:space="preserve">) </w:t>
      </w:r>
      <w:r>
        <w:t>[“Despite [trial counsel’s] concession, Nixon retained the rights accorded a defendant in a criminal trial”].)</w:t>
      </w:r>
    </w:p>
    <w:p w14:paraId="6E923D55" w14:textId="21418F72" w:rsidR="00AD7ECA" w:rsidRDefault="0061079E" w:rsidP="00E329C9">
      <w:pPr>
        <w:pStyle w:val="bodytext"/>
      </w:pPr>
      <w:bookmarkStart w:id="120" w:name="ElPgBr26"/>
      <w:bookmarkEnd w:id="120"/>
      <w:r>
        <w:lastRenderedPageBreak/>
        <w:t>Roman, however, argues that</w:t>
      </w:r>
      <w:r>
        <w:t xml:space="preserve"> a concession, like a stipulation, is the functional equivalent of a plea</w:t>
      </w:r>
      <w:r w:rsidR="00E80BE6">
        <w:t xml:space="preserve">.  He </w:t>
      </w:r>
      <w:r>
        <w:t xml:space="preserve">maintains that </w:t>
      </w:r>
      <w:bookmarkStart w:id="121" w:name="Ely4kO"/>
      <w:bookmarkStart w:id="122" w:name="Ely4krO"/>
      <w:r w:rsidRPr="00E1199C">
        <w:rPr>
          <w:i/>
        </w:rPr>
        <w:t>People v. Lopez</w:t>
      </w:r>
      <w:r>
        <w:t xml:space="preserve"> (2019) 31 Cal.App.5th 55</w:t>
      </w:r>
      <w:bookmarkEnd w:id="121"/>
      <w:bookmarkEnd w:id="122"/>
      <w:r w:rsidR="0000509E">
        <w:t xml:space="preserve"> (</w:t>
      </w:r>
      <w:r w:rsidR="0000509E">
        <w:rPr>
          <w:i/>
          <w:iCs/>
        </w:rPr>
        <w:t>Lopez</w:t>
      </w:r>
      <w:r w:rsidR="0000509E" w:rsidRPr="000F7AB6">
        <w:t>)</w:t>
      </w:r>
      <w:r>
        <w:t xml:space="preserve">, which held otherwise, was wrongly decided.  </w:t>
      </w:r>
      <w:r w:rsidR="000D09B0">
        <w:t xml:space="preserve">He reasons that when counsel tells a jury to convict, it for all intents and purposes relieves the </w:t>
      </w:r>
      <w:r w:rsidR="00E329C9">
        <w:t>prosecution</w:t>
      </w:r>
      <w:r w:rsidR="000D09B0">
        <w:t xml:space="preserve"> from </w:t>
      </w:r>
      <w:r w:rsidR="00E329C9">
        <w:t>proving</w:t>
      </w:r>
      <w:r w:rsidR="000D09B0">
        <w:t xml:space="preserve"> its case beyond a reasonable doubt.  </w:t>
      </w:r>
      <w:r>
        <w:t xml:space="preserve">We </w:t>
      </w:r>
      <w:r w:rsidR="000A739B">
        <w:t>disagree</w:t>
      </w:r>
      <w:r w:rsidR="00E329C9">
        <w:t>.</w:t>
      </w:r>
      <w:r w:rsidR="00E329C9" w:rsidRPr="00E329C9">
        <w:t xml:space="preserve"> </w:t>
      </w:r>
      <w:r w:rsidR="00E329C9">
        <w:t xml:space="preserve"> </w:t>
      </w:r>
    </w:p>
    <w:p w14:paraId="7B47E434" w14:textId="6ED794D7" w:rsidR="00E329C9" w:rsidRDefault="0061079E" w:rsidP="00E329C9">
      <w:pPr>
        <w:pStyle w:val="bodytext"/>
      </w:pPr>
      <w:r>
        <w:t>Counsel’s concession</w:t>
      </w:r>
      <w:r w:rsidR="00F05828">
        <w:t xml:space="preserve"> was consistent with Roman’s unchallenged confession in which he admitted to going to Auburn to burglarize cars</w:t>
      </w:r>
      <w:r w:rsidR="00457D58">
        <w:t xml:space="preserve"> and</w:t>
      </w:r>
      <w:r w:rsidR="00F05828">
        <w:t xml:space="preserve"> </w:t>
      </w:r>
      <w:r w:rsidR="00320FB6">
        <w:t xml:space="preserve">driving </w:t>
      </w:r>
      <w:r>
        <w:t xml:space="preserve">the </w:t>
      </w:r>
      <w:r>
        <w:t>BMW</w:t>
      </w:r>
      <w:r w:rsidR="00867198">
        <w:t xml:space="preserve"> when it crashed</w:t>
      </w:r>
      <w:r w:rsidR="00457D58">
        <w:t xml:space="preserve"> during the first pursuit</w:t>
      </w:r>
      <w:r>
        <w:t>.</w:t>
      </w:r>
      <w:r>
        <w:rPr>
          <w:rStyle w:val="FootnoteReference"/>
        </w:rPr>
        <w:footnoteReference w:id="29"/>
      </w:r>
      <w:r>
        <w:t xml:space="preserve">  And just as a </w:t>
      </w:r>
      <w:r w:rsidR="00B865C0">
        <w:t xml:space="preserve">pretrial </w:t>
      </w:r>
      <w:r>
        <w:t>confession is not the functional equivalent of a plea, n</w:t>
      </w:r>
      <w:r w:rsidR="00320FB6">
        <w:t>either</w:t>
      </w:r>
      <w:r>
        <w:t xml:space="preserve"> is a strategic concession by counsel.  </w:t>
      </w:r>
      <w:r w:rsidR="00AD7ECA">
        <w:t xml:space="preserve">Thus, </w:t>
      </w:r>
      <w:r>
        <w:t xml:space="preserve">we </w:t>
      </w:r>
      <w:r w:rsidR="000A739B">
        <w:t xml:space="preserve">join </w:t>
      </w:r>
      <w:r w:rsidR="00CF69F9">
        <w:t xml:space="preserve">another panel of this </w:t>
      </w:r>
      <w:r w:rsidR="000A739B">
        <w:t>court</w:t>
      </w:r>
      <w:r w:rsidR="00CF69F9">
        <w:t xml:space="preserve"> and several other courts in</w:t>
      </w:r>
      <w:r w:rsidR="000A739B">
        <w:t xml:space="preserve"> concluding</w:t>
      </w:r>
      <w:r>
        <w:t xml:space="preserve"> a concession is not </w:t>
      </w:r>
      <w:r w:rsidR="00B20970">
        <w:t>tantamount</w:t>
      </w:r>
      <w:r>
        <w:t xml:space="preserve"> to a guilty plea</w:t>
      </w:r>
      <w:r w:rsidR="000A739B">
        <w:t>.</w:t>
      </w:r>
      <w:r w:rsidR="00CF69F9">
        <w:t xml:space="preserve"> </w:t>
      </w:r>
      <w:r w:rsidR="00101054">
        <w:t xml:space="preserve"> </w:t>
      </w:r>
      <w:r w:rsidR="00CF69F9">
        <w:t>(</w:t>
      </w:r>
      <w:r w:rsidR="00CF69F9" w:rsidRPr="00755C3E">
        <w:rPr>
          <w:i/>
          <w:iCs/>
        </w:rPr>
        <w:t>People v. Franks</w:t>
      </w:r>
      <w:r w:rsidR="00CF69F9">
        <w:t xml:space="preserve"> (2019) 35 Cal.App.5th 883, 891</w:t>
      </w:r>
      <w:r w:rsidR="009E6AD7">
        <w:t xml:space="preserve"> (</w:t>
      </w:r>
      <w:r w:rsidR="009E6AD7" w:rsidRPr="00755C3E">
        <w:rPr>
          <w:i/>
          <w:iCs/>
        </w:rPr>
        <w:t>Franks</w:t>
      </w:r>
      <w:r w:rsidR="009E6AD7">
        <w:t>)</w:t>
      </w:r>
      <w:r w:rsidR="00CF69F9">
        <w:t xml:space="preserve">; </w:t>
      </w:r>
      <w:r w:rsidR="00DE376B">
        <w:t xml:space="preserve">See </w:t>
      </w:r>
      <w:bookmarkStart w:id="123" w:name="ElymkO"/>
      <w:bookmarkStart w:id="124" w:name="ElymkrO"/>
      <w:r w:rsidR="00CF69F9">
        <w:t xml:space="preserve">also </w:t>
      </w:r>
      <w:r w:rsidR="004277B6" w:rsidRPr="00755C3E">
        <w:rPr>
          <w:i/>
          <w:iCs/>
        </w:rPr>
        <w:t>People v. Bernal</w:t>
      </w:r>
      <w:r w:rsidR="004277B6">
        <w:t xml:space="preserve"> (2019) 42 Cal.App.5th 1160, 1165-1167; </w:t>
      </w:r>
      <w:r w:rsidR="000A739B" w:rsidRPr="001623C5">
        <w:rPr>
          <w:i/>
        </w:rPr>
        <w:t>People v. Burns</w:t>
      </w:r>
      <w:r w:rsidR="000A739B">
        <w:t xml:space="preserve"> </w:t>
      </w:r>
      <w:r w:rsidR="00DC34E0">
        <w:t>(2019) 38 Cal.App.5th 776, 784, review</w:t>
      </w:r>
      <w:r w:rsidR="0050242A">
        <w:t xml:space="preserve"> </w:t>
      </w:r>
      <w:r w:rsidR="003F5E5B">
        <w:t xml:space="preserve">granted Oct. 30. 2019, S257738, review </w:t>
      </w:r>
      <w:r w:rsidR="00D57392">
        <w:t>dismissed</w:t>
      </w:r>
      <w:r w:rsidR="00DC34E0">
        <w:t xml:space="preserve"> July 2</w:t>
      </w:r>
      <w:r w:rsidR="00F34486">
        <w:t>9</w:t>
      </w:r>
      <w:r w:rsidR="00DC34E0">
        <w:t>, 2020</w:t>
      </w:r>
      <w:bookmarkEnd w:id="123"/>
      <w:bookmarkEnd w:id="124"/>
      <w:r w:rsidR="000A739B">
        <w:t>;</w:t>
      </w:r>
      <w:bookmarkStart w:id="125" w:name="ElylkO"/>
      <w:bookmarkStart w:id="126" w:name="ElylkrO"/>
      <w:r w:rsidRPr="001623C5">
        <w:rPr>
          <w:i/>
        </w:rPr>
        <w:t xml:space="preserve"> Lopez</w:t>
      </w:r>
      <w:r w:rsidR="0000509E">
        <w:t xml:space="preserve">, </w:t>
      </w:r>
      <w:r w:rsidR="0000509E" w:rsidRPr="000F7AB6">
        <w:rPr>
          <w:i/>
          <w:iCs/>
        </w:rPr>
        <w:t>supra</w:t>
      </w:r>
      <w:r w:rsidR="0000509E">
        <w:t>,</w:t>
      </w:r>
      <w:r>
        <w:t xml:space="preserve"> 31 Cal.App.5</w:t>
      </w:r>
      <w:r w:rsidRPr="0000509E">
        <w:t>th</w:t>
      </w:r>
      <w:r w:rsidR="0000509E">
        <w:t xml:space="preserve"> at p. </w:t>
      </w:r>
      <w:r>
        <w:t xml:space="preserve">64 </w:t>
      </w:r>
      <w:bookmarkEnd w:id="125"/>
      <w:bookmarkEnd w:id="126"/>
      <w:r>
        <w:t xml:space="preserve">[distinguishing </w:t>
      </w:r>
      <w:r w:rsidRPr="00AD7ECA">
        <w:rPr>
          <w:i/>
        </w:rPr>
        <w:t>Farwell</w:t>
      </w:r>
      <w:r>
        <w:t xml:space="preserve"> and concluding concession did not relieve the prosecutions’ burden]; </w:t>
      </w:r>
      <w:bookmarkStart w:id="127" w:name="ElykkO"/>
      <w:bookmarkStart w:id="128" w:name="ElykkrO"/>
      <w:r w:rsidR="00207E9D">
        <w:t xml:space="preserve">See also, </w:t>
      </w:r>
      <w:r w:rsidRPr="001623C5">
        <w:rPr>
          <w:i/>
        </w:rPr>
        <w:t>People v. Cain</w:t>
      </w:r>
      <w:r>
        <w:t xml:space="preserve"> (1995) 10 Cal.4th 1, 30 </w:t>
      </w:r>
      <w:bookmarkEnd w:id="127"/>
      <w:bookmarkEnd w:id="128"/>
      <w:r>
        <w:t>[“trial counsel</w:t>
      </w:r>
      <w:r w:rsidR="001623C5">
        <w:t>’</w:t>
      </w:r>
      <w:r>
        <w:t>s decision not to cont</w:t>
      </w:r>
      <w:r>
        <w:t xml:space="preserve">est, and even expressly to concede, </w:t>
      </w:r>
      <w:bookmarkStart w:id="129" w:name="ElPgBr27"/>
      <w:bookmarkEnd w:id="129"/>
      <w:r>
        <w:lastRenderedPageBreak/>
        <w:t xml:space="preserve">guilt on one or more charges at the guilt phase of a capital trial is not tantamount to a guilty plea requiring a </w:t>
      </w:r>
      <w:r w:rsidRPr="00AD7ECA">
        <w:rPr>
          <w:i/>
        </w:rPr>
        <w:t>Boykin–Tahl</w:t>
      </w:r>
      <w:r>
        <w:t xml:space="preserve"> waiver”].)</w:t>
      </w:r>
    </w:p>
    <w:p w14:paraId="03F61CEA" w14:textId="38577BBB" w:rsidR="00C65F7E" w:rsidRPr="00565DC4" w:rsidRDefault="0061079E" w:rsidP="00C65F7E">
      <w:pPr>
        <w:pStyle w:val="bodytext"/>
      </w:pPr>
      <w:r>
        <w:t>Roman also argues</w:t>
      </w:r>
      <w:r w:rsidR="00AA4311">
        <w:t xml:space="preserve">, </w:t>
      </w:r>
      <w:r w:rsidR="00B865C0">
        <w:t>c</w:t>
      </w:r>
      <w:r w:rsidR="00AA4311">
        <w:t xml:space="preserve">iting </w:t>
      </w:r>
      <w:r w:rsidR="00AA4311" w:rsidRPr="00320FB6">
        <w:rPr>
          <w:i/>
        </w:rPr>
        <w:t>McCoy</w:t>
      </w:r>
      <w:r w:rsidR="00AA4311">
        <w:t xml:space="preserve">, </w:t>
      </w:r>
      <w:r>
        <w:t xml:space="preserve">that </w:t>
      </w:r>
      <w:r w:rsidR="00F56645">
        <w:t xml:space="preserve">the record must affirmatively show </w:t>
      </w:r>
      <w:r w:rsidR="00DD0C62">
        <w:t>his</w:t>
      </w:r>
      <w:r w:rsidR="00F56645">
        <w:t xml:space="preserve"> waiver was voluntary and intelligent </w:t>
      </w:r>
      <w:r>
        <w:t xml:space="preserve">because </w:t>
      </w:r>
      <w:r w:rsidR="00CF69F9">
        <w:t xml:space="preserve">otherwise, </w:t>
      </w:r>
      <w:r w:rsidR="00DD0C62">
        <w:t xml:space="preserve">the record fails to evince that </w:t>
      </w:r>
      <w:r w:rsidR="00AA4311">
        <w:t>he</w:t>
      </w:r>
      <w:r w:rsidR="00A03AEE">
        <w:t xml:space="preserve"> knew </w:t>
      </w:r>
      <w:r>
        <w:t xml:space="preserve">of his counsel’s decision to concede guilt.  </w:t>
      </w:r>
      <w:r w:rsidR="00DD0C62">
        <w:t xml:space="preserve">Roman </w:t>
      </w:r>
      <w:r>
        <w:t xml:space="preserve">is mistaken.  </w:t>
      </w:r>
      <w:r w:rsidR="007D4424">
        <w:t xml:space="preserve">The Court in </w:t>
      </w:r>
      <w:r w:rsidRPr="00612572">
        <w:rPr>
          <w:i/>
        </w:rPr>
        <w:t>M</w:t>
      </w:r>
      <w:r w:rsidR="00633C39" w:rsidRPr="002B591A">
        <w:rPr>
          <w:i/>
        </w:rPr>
        <w:t>cCoy</w:t>
      </w:r>
      <w:r w:rsidR="00633C39">
        <w:t xml:space="preserve"> held that “a defendant has the right to insist that counsel refrain from admitting guilt, even when counsel’s experienced-based view is that confessing guilt offers the defendant the best chance to avoid the death penalty.” </w:t>
      </w:r>
      <w:r w:rsidR="00633C39" w:rsidRPr="00D20DB9">
        <w:t xml:space="preserve"> </w:t>
      </w:r>
      <w:bookmarkStart w:id="130" w:name="_Hlk16155051"/>
      <w:r w:rsidR="00633C39">
        <w:t>(</w:t>
      </w:r>
      <w:r w:rsidR="00633C39" w:rsidRPr="002B591A">
        <w:rPr>
          <w:i/>
        </w:rPr>
        <w:t>McCoy</w:t>
      </w:r>
      <w:r w:rsidR="00D55BB1">
        <w:rPr>
          <w:i/>
        </w:rPr>
        <w:t>, supra</w:t>
      </w:r>
      <w:r w:rsidR="00D55BB1" w:rsidRPr="001E7F00">
        <w:t>,</w:t>
      </w:r>
      <w:r w:rsidR="00D55BB1">
        <w:rPr>
          <w:i/>
        </w:rPr>
        <w:t xml:space="preserve"> </w:t>
      </w:r>
      <w:r w:rsidR="00633C39">
        <w:t xml:space="preserve">138 S.Ct. </w:t>
      </w:r>
      <w:r w:rsidR="00D55BB1">
        <w:t xml:space="preserve">at p. </w:t>
      </w:r>
      <w:r w:rsidR="00633C39">
        <w:t>1505.)</w:t>
      </w:r>
      <w:bookmarkEnd w:id="130"/>
      <w:r w:rsidR="00633C39">
        <w:t xml:space="preserve">  But</w:t>
      </w:r>
      <w:r w:rsidR="00AD7ECA">
        <w:t xml:space="preserve">, the </w:t>
      </w:r>
      <w:r w:rsidR="00D55BB1">
        <w:t>C</w:t>
      </w:r>
      <w:r w:rsidR="00AD7ECA">
        <w:t xml:space="preserve">ourt </w:t>
      </w:r>
      <w:r w:rsidR="00207E9D">
        <w:t xml:space="preserve">further </w:t>
      </w:r>
      <w:r w:rsidR="00AD7ECA">
        <w:t>explained,</w:t>
      </w:r>
      <w:r w:rsidR="00633C39">
        <w:t xml:space="preserve"> </w:t>
      </w:r>
      <w:r w:rsidR="001623C5">
        <w:t xml:space="preserve">if </w:t>
      </w:r>
      <w:r w:rsidR="00633C39">
        <w:t>a defendant remains silent, neither approving nor protesting a concession strategy, no such requirement exists.  (</w:t>
      </w:r>
      <w:r w:rsidR="00633C39" w:rsidRPr="00350D0E">
        <w:rPr>
          <w:i/>
        </w:rPr>
        <w:t>Id</w:t>
      </w:r>
      <w:r w:rsidR="00633C39">
        <w:t xml:space="preserve">. at pp. 1505, 1509 distinguishing </w:t>
      </w:r>
      <w:r w:rsidR="00633C39" w:rsidRPr="00565DC4">
        <w:rPr>
          <w:i/>
        </w:rPr>
        <w:t>Nixon,</w:t>
      </w:r>
      <w:r w:rsidR="00D55BB1">
        <w:rPr>
          <w:i/>
        </w:rPr>
        <w:t xml:space="preserve"> supra</w:t>
      </w:r>
      <w:r w:rsidR="00D55BB1" w:rsidRPr="00180DE4">
        <w:t>,</w:t>
      </w:r>
      <w:r w:rsidR="00633C39" w:rsidRPr="00565DC4">
        <w:rPr>
          <w:i/>
        </w:rPr>
        <w:t xml:space="preserve"> </w:t>
      </w:r>
      <w:r w:rsidR="00633C39" w:rsidRPr="00890CCA">
        <w:t>543 U.S. 175</w:t>
      </w:r>
      <w:r w:rsidR="00633C39">
        <w:t xml:space="preserve">.) </w:t>
      </w:r>
      <w:r w:rsidR="00DD0C62">
        <w:t xml:space="preserve"> </w:t>
      </w:r>
      <w:r w:rsidR="009E6AD7">
        <w:t>Thus, “</w:t>
      </w:r>
      <w:r w:rsidR="009E6AD7" w:rsidRPr="00E4176F">
        <w:rPr>
          <w:i/>
          <w:iCs/>
        </w:rPr>
        <w:t>McCoy</w:t>
      </w:r>
      <w:r w:rsidR="009E6AD7" w:rsidRPr="009E6AD7">
        <w:t xml:space="preserve"> makes clear</w:t>
      </w:r>
      <w:r w:rsidR="009E6AD7">
        <w:t xml:space="preserve"> . . .</w:t>
      </w:r>
      <w:r w:rsidR="009E6AD7" w:rsidRPr="009E6AD7">
        <w:t xml:space="preserve"> that for a Sixth Amendment violation to lie, a defendant must make his intention to maintain innocence clear to </w:t>
      </w:r>
      <w:r w:rsidR="009E6AD7" w:rsidRPr="000F7AB6">
        <w:rPr>
          <w:i/>
          <w:iCs/>
        </w:rPr>
        <w:t>his counsel</w:t>
      </w:r>
      <w:r w:rsidR="009E6AD7" w:rsidRPr="009E6AD7">
        <w:t>, and counsel must override that objective by conceding guilt.</w:t>
      </w:r>
      <w:r w:rsidR="009E6AD7">
        <w:t>”  (</w:t>
      </w:r>
      <w:r w:rsidR="009E6AD7" w:rsidRPr="00755C3E">
        <w:rPr>
          <w:i/>
          <w:iCs/>
        </w:rPr>
        <w:t>Franks</w:t>
      </w:r>
      <w:r w:rsidR="009E6AD7">
        <w:t xml:space="preserve">, </w:t>
      </w:r>
      <w:r w:rsidR="009E6AD7" w:rsidRPr="00755C3E">
        <w:rPr>
          <w:i/>
          <w:iCs/>
        </w:rPr>
        <w:t>supra</w:t>
      </w:r>
      <w:r w:rsidR="009E6AD7">
        <w:t xml:space="preserve">, 35 Cal.App.5th at p. 891.) </w:t>
      </w:r>
      <w:r w:rsidR="00381D44">
        <w:t xml:space="preserve"> </w:t>
      </w:r>
      <w:r w:rsidR="00A03AEE">
        <w:t xml:space="preserve">Because the record </w:t>
      </w:r>
      <w:r w:rsidR="009E6AD7">
        <w:t xml:space="preserve">here </w:t>
      </w:r>
      <w:r w:rsidR="00A03AEE">
        <w:t>contain</w:t>
      </w:r>
      <w:r w:rsidR="00C95CE0">
        <w:t>s</w:t>
      </w:r>
      <w:r w:rsidR="00A03AEE">
        <w:t xml:space="preserve"> no express objection by Roman, </w:t>
      </w:r>
      <w:r w:rsidR="00A03AEE" w:rsidRPr="00A03AEE">
        <w:rPr>
          <w:i/>
        </w:rPr>
        <w:t>McCoy</w:t>
      </w:r>
      <w:r w:rsidR="00A03AEE">
        <w:rPr>
          <w:i/>
        </w:rPr>
        <w:t xml:space="preserve"> </w:t>
      </w:r>
      <w:r w:rsidR="00A03AEE">
        <w:t xml:space="preserve">is inapplicable. </w:t>
      </w:r>
    </w:p>
    <w:p w14:paraId="13C00099" w14:textId="77777777" w:rsidR="00C65F7E" w:rsidRDefault="0061079E" w:rsidP="00C65F7E">
      <w:pPr>
        <w:pStyle w:val="bodytext"/>
      </w:pPr>
      <w:r>
        <w:t>T</w:t>
      </w:r>
      <w:r w:rsidR="00256323">
        <w:t>h</w:t>
      </w:r>
      <w:r w:rsidR="00042B53">
        <w:t>e</w:t>
      </w:r>
      <w:r w:rsidR="00256323">
        <w:t xml:space="preserve"> contention </w:t>
      </w:r>
      <w:r>
        <w:t xml:space="preserve">therefore </w:t>
      </w:r>
      <w:r w:rsidR="00256323">
        <w:t>fails.</w:t>
      </w:r>
      <w:r w:rsidR="002869BC">
        <w:t xml:space="preserve">  </w:t>
      </w:r>
    </w:p>
    <w:p w14:paraId="04C9AC3E" w14:textId="65A39496" w:rsidR="00452B5F" w:rsidRDefault="0061079E" w:rsidP="00D259BB">
      <w:pPr>
        <w:pStyle w:val="bodytext"/>
        <w:keepNext/>
        <w:ind w:firstLine="0"/>
        <w:jc w:val="center"/>
        <w:rPr>
          <w:b/>
          <w:color w:val="000000"/>
        </w:rPr>
      </w:pPr>
      <w:bookmarkStart w:id="131" w:name="ElowmO"/>
      <w:bookmarkStart w:id="132" w:name="ElowmrO"/>
      <w:r w:rsidRPr="007A1406">
        <w:rPr>
          <w:b/>
          <w:color w:val="000000"/>
        </w:rPr>
        <w:t>VI.</w:t>
      </w:r>
      <w:bookmarkEnd w:id="131"/>
      <w:bookmarkEnd w:id="132"/>
      <w:r w:rsidRPr="007A1406">
        <w:rPr>
          <w:b/>
          <w:color w:val="000000"/>
        </w:rPr>
        <w:t xml:space="preserve"> </w:t>
      </w:r>
      <w:r w:rsidR="001E7F00" w:rsidRPr="007A1406">
        <w:rPr>
          <w:b/>
          <w:color w:val="000000"/>
        </w:rPr>
        <w:t xml:space="preserve"> </w:t>
      </w:r>
      <w:r w:rsidR="00355A3C" w:rsidRPr="007A1406">
        <w:rPr>
          <w:b/>
          <w:color w:val="000000"/>
        </w:rPr>
        <w:t>Natural and Probable Consequences Instruction</w:t>
      </w:r>
    </w:p>
    <w:p w14:paraId="47E18949" w14:textId="5C5D841C" w:rsidR="00CA7FAB" w:rsidRDefault="0061079E" w:rsidP="00E547A7">
      <w:pPr>
        <w:pStyle w:val="bodytext"/>
      </w:pPr>
      <w:r>
        <w:t>R</w:t>
      </w:r>
      <w:r w:rsidR="00DE6218">
        <w:t xml:space="preserve">oman contends the trial court erred in failing to instruct sua sponte </w:t>
      </w:r>
      <w:r w:rsidR="00FC408F">
        <w:t xml:space="preserve">that </w:t>
      </w:r>
      <w:r w:rsidR="00774018">
        <w:t xml:space="preserve">under a natural and probable consequences theory, </w:t>
      </w:r>
      <w:r w:rsidR="00FC408F">
        <w:t>an aider and abettor can be guilty of a lesser non</w:t>
      </w:r>
      <w:r w:rsidR="00E73A00">
        <w:t>-</w:t>
      </w:r>
      <w:r w:rsidR="00FC408F">
        <w:t xml:space="preserve">target offense than the perpetrator.  He </w:t>
      </w:r>
      <w:r w:rsidR="00774018">
        <w:t xml:space="preserve">acknowledges </w:t>
      </w:r>
      <w:r w:rsidR="0047756D">
        <w:t>the jury was instructed that an aider and abettor may be found guilty of a different crime than the perpetrator if the</w:t>
      </w:r>
      <w:r w:rsidR="00774018">
        <w:t xml:space="preserve">ir mental states </w:t>
      </w:r>
      <w:r w:rsidR="0047756D">
        <w:t xml:space="preserve">differ, but </w:t>
      </w:r>
      <w:r w:rsidR="00774018">
        <w:t xml:space="preserve">he </w:t>
      </w:r>
      <w:r w:rsidR="00603CAC">
        <w:t>maintains “the instruction was wholly inadequate because it lacked any reference to the natural and probable consequences doctrine</w:t>
      </w:r>
      <w:r w:rsidR="00F42AB7">
        <w:t> . . . .</w:t>
      </w:r>
      <w:r w:rsidR="00603CAC">
        <w:t xml:space="preserve">”  </w:t>
      </w:r>
      <w:r w:rsidR="004F23DB">
        <w:t xml:space="preserve">He alternatively argues his trial counsel rendered ineffective assistance in failing to request the instruction. </w:t>
      </w:r>
    </w:p>
    <w:p w14:paraId="325C894A" w14:textId="79D55065" w:rsidR="00E547A7" w:rsidRDefault="0061079E" w:rsidP="00E547A7">
      <w:pPr>
        <w:pStyle w:val="bodytext"/>
      </w:pPr>
      <w:r>
        <w:t>We</w:t>
      </w:r>
      <w:r w:rsidR="00EE3794">
        <w:t xml:space="preserve"> discuss the invalidation of the natural and probable consequences doctrine by Senate Bill 1437</w:t>
      </w:r>
      <w:r>
        <w:t xml:space="preserve"> </w:t>
      </w:r>
      <w:r w:rsidRPr="00E4176F">
        <w:rPr>
          <w:i/>
          <w:iCs/>
        </w:rPr>
        <w:t>post</w:t>
      </w:r>
      <w:r>
        <w:t>.  We</w:t>
      </w:r>
      <w:r w:rsidR="00EE3794">
        <w:t xml:space="preserve"> must nevertheless address this issue because if Roman is </w:t>
      </w:r>
      <w:bookmarkStart w:id="133" w:name="ElPgBr28"/>
      <w:bookmarkEnd w:id="133"/>
      <w:r w:rsidR="00EE3794">
        <w:lastRenderedPageBreak/>
        <w:t>right, his murder convictions would be reversed on this ground.  However, w</w:t>
      </w:r>
      <w:r>
        <w:t>e find no error.</w:t>
      </w:r>
    </w:p>
    <w:p w14:paraId="230BB892" w14:textId="77777777" w:rsidR="00E547A7" w:rsidRPr="00F751D1" w:rsidRDefault="0061079E" w:rsidP="00A777A3">
      <w:pPr>
        <w:pStyle w:val="bodytext"/>
        <w:keepNext/>
        <w:ind w:firstLine="0"/>
        <w:jc w:val="center"/>
        <w:rPr>
          <w:b/>
        </w:rPr>
      </w:pPr>
      <w:bookmarkStart w:id="134" w:name="Elo8nO"/>
      <w:bookmarkStart w:id="135" w:name="Elo8nrO"/>
      <w:r w:rsidRPr="00F751D1">
        <w:rPr>
          <w:b/>
        </w:rPr>
        <w:t xml:space="preserve">A. </w:t>
      </w:r>
      <w:bookmarkEnd w:id="134"/>
      <w:bookmarkEnd w:id="135"/>
      <w:r w:rsidR="001E7F00">
        <w:rPr>
          <w:b/>
        </w:rPr>
        <w:t xml:space="preserve"> </w:t>
      </w:r>
      <w:r>
        <w:rPr>
          <w:b/>
        </w:rPr>
        <w:t>A</w:t>
      </w:r>
      <w:r w:rsidRPr="00F751D1">
        <w:rPr>
          <w:b/>
        </w:rPr>
        <w:t xml:space="preserve">dditional </w:t>
      </w:r>
      <w:r>
        <w:rPr>
          <w:b/>
        </w:rPr>
        <w:t>B</w:t>
      </w:r>
      <w:r w:rsidRPr="00F751D1">
        <w:rPr>
          <w:b/>
        </w:rPr>
        <w:t>ackground</w:t>
      </w:r>
    </w:p>
    <w:p w14:paraId="13B486F8" w14:textId="096C41E7" w:rsidR="00E547A7" w:rsidRDefault="0061079E" w:rsidP="00E547A7">
      <w:pPr>
        <w:pStyle w:val="bodytext"/>
      </w:pPr>
      <w:r>
        <w:t xml:space="preserve">Before </w:t>
      </w:r>
      <w:r w:rsidR="003D7C85">
        <w:t xml:space="preserve">closing </w:t>
      </w:r>
      <w:r>
        <w:t>arguments, the parties and the trial court discussed jury instructio</w:t>
      </w:r>
      <w:r>
        <w:t>ns</w:t>
      </w:r>
      <w:r w:rsidR="00A90D10">
        <w:t>,</w:t>
      </w:r>
      <w:r w:rsidR="00983656">
        <w:t xml:space="preserve"> off the record</w:t>
      </w:r>
      <w:r>
        <w:t xml:space="preserve">.  </w:t>
      </w:r>
      <w:r w:rsidR="00E73A00">
        <w:t>Back o</w:t>
      </w:r>
      <w:r w:rsidR="00A90D10">
        <w:t>n</w:t>
      </w:r>
      <w:r>
        <w:t xml:space="preserve"> the record, Roman’s counsel </w:t>
      </w:r>
      <w:r w:rsidR="00A90D10">
        <w:t>ask</w:t>
      </w:r>
      <w:r w:rsidR="00E73A00">
        <w:t>ed</w:t>
      </w:r>
      <w:r w:rsidR="00A90D10">
        <w:t xml:space="preserve"> to modify </w:t>
      </w:r>
      <w:r>
        <w:t xml:space="preserve">CALCRIM No. 400 to </w:t>
      </w:r>
      <w:r w:rsidR="002256F3">
        <w:t>state,</w:t>
      </w:r>
      <w:r>
        <w:t xml:space="preserve"> “that an aider and abettor may be guilty of different crimes and different degrees of crimes where they do not have the same mental state.”</w:t>
      </w:r>
      <w:r w:rsidR="00876C6B">
        <w:t xml:space="preserve">  </w:t>
      </w:r>
      <w:r>
        <w:t xml:space="preserve">He </w:t>
      </w:r>
      <w:r w:rsidR="007A1406">
        <w:t xml:space="preserve">contended </w:t>
      </w:r>
      <w:r w:rsidR="00A90D10">
        <w:t xml:space="preserve">that </w:t>
      </w:r>
      <w:r>
        <w:t xml:space="preserve">“if </w:t>
      </w:r>
      <w:r w:rsidR="00A90D10">
        <w:t xml:space="preserve">[the jury is] </w:t>
      </w:r>
      <w:r>
        <w:t xml:space="preserve">not advised that … an aider and </w:t>
      </w:r>
      <w:r w:rsidR="00A90D10">
        <w:t>abettor</w:t>
      </w:r>
      <w:r>
        <w:t xml:space="preserve"> can have a different crime or different degree, </w:t>
      </w:r>
      <w:r w:rsidR="00876C6B">
        <w:t xml:space="preserve">[the jury] </w:t>
      </w:r>
      <w:r>
        <w:t xml:space="preserve">may erroneously conclude, if they believe that Ruslan’s act of driving was in conscious </w:t>
      </w:r>
      <w:r w:rsidR="00774018">
        <w:t>disregard</w:t>
      </w:r>
      <w:r>
        <w:t xml:space="preserve"> for human life, that they’re required t</w:t>
      </w:r>
      <w:r>
        <w:t xml:space="preserve">o find that Roman had the same mental state or is guilty of the same degree because that’s not addressed in the </w:t>
      </w:r>
      <w:r w:rsidR="00A90D10">
        <w:t xml:space="preserve">[CALCRIM No.] </w:t>
      </w:r>
      <w:r>
        <w:t xml:space="preserve">400 </w:t>
      </w:r>
      <w:r w:rsidR="00774018">
        <w:t>instruction</w:t>
      </w:r>
      <w:r w:rsidR="00B305AE">
        <w:t> . . . .</w:t>
      </w:r>
      <w:r>
        <w:t xml:space="preserve">” </w:t>
      </w:r>
    </w:p>
    <w:p w14:paraId="0FAA87FA" w14:textId="55060B11" w:rsidR="0025404C" w:rsidRDefault="0061079E" w:rsidP="00E547A7">
      <w:pPr>
        <w:pStyle w:val="bodytext"/>
      </w:pPr>
      <w:r>
        <w:t>The prosecutor responded that the concept was adequately contained in CALCRIM Nos. 401</w:t>
      </w:r>
      <w:r>
        <w:rPr>
          <w:rStyle w:val="FootnoteReference"/>
        </w:rPr>
        <w:footnoteReference w:id="30"/>
      </w:r>
      <w:r>
        <w:t xml:space="preserve"> and 403, and in</w:t>
      </w:r>
      <w:r>
        <w:t xml:space="preserve">cluding it in CALCRIM No. 400 would add confusion. </w:t>
      </w:r>
    </w:p>
    <w:p w14:paraId="1C2F37EC" w14:textId="602E5E15" w:rsidR="00553024" w:rsidRDefault="0061079E" w:rsidP="00553024">
      <w:pPr>
        <w:pStyle w:val="bodytext"/>
      </w:pPr>
      <w:r>
        <w:t>T</w:t>
      </w:r>
      <w:r w:rsidR="00E547A7">
        <w:t xml:space="preserve">he </w:t>
      </w:r>
      <w:r w:rsidR="0025404C">
        <w:t xml:space="preserve">trial </w:t>
      </w:r>
      <w:r w:rsidR="00E547A7">
        <w:t xml:space="preserve">court </w:t>
      </w:r>
      <w:r>
        <w:t xml:space="preserve">ultimately </w:t>
      </w:r>
      <w:r w:rsidR="00972015">
        <w:t>instructed the jury</w:t>
      </w:r>
      <w:r>
        <w:t xml:space="preserve">, </w:t>
      </w:r>
      <w:r w:rsidRPr="00755C3E">
        <w:rPr>
          <w:i/>
          <w:iCs/>
        </w:rPr>
        <w:t>as requested</w:t>
      </w:r>
      <w:r w:rsidR="009E6AD7">
        <w:t xml:space="preserve"> </w:t>
      </w:r>
      <w:r w:rsidR="009E6AD7" w:rsidRPr="00755C3E">
        <w:rPr>
          <w:i/>
          <w:iCs/>
        </w:rPr>
        <w:t>by defendant</w:t>
      </w:r>
      <w:r>
        <w:t xml:space="preserve">, </w:t>
      </w:r>
      <w:r w:rsidR="00972015">
        <w:t xml:space="preserve">with a </w:t>
      </w:r>
      <w:r w:rsidR="00A90D10">
        <w:t>modif</w:t>
      </w:r>
      <w:r w:rsidR="00760C44">
        <w:t>ied</w:t>
      </w:r>
      <w:r w:rsidR="00A90D10">
        <w:t xml:space="preserve"> </w:t>
      </w:r>
      <w:r w:rsidR="00E547A7">
        <w:t>CALCRIM No. 400.</w:t>
      </w:r>
      <w:r w:rsidR="00972015">
        <w:t xml:space="preserve">  In part, </w:t>
      </w:r>
      <w:r>
        <w:t xml:space="preserve">it </w:t>
      </w:r>
      <w:r w:rsidR="00972015">
        <w:t>instructed:</w:t>
      </w:r>
      <w:r w:rsidR="00E547A7">
        <w:t xml:space="preserve">  </w:t>
      </w:r>
      <w:r>
        <w:t xml:space="preserve">“A person may be guilty of a crime in two ways:  One, he may have directly committed the crime.  I will call that person the perpetrator.  Two, he may have aided and abetted a perpetrator who directly committed the crime.” </w:t>
      </w:r>
    </w:p>
    <w:p w14:paraId="5A8111C1" w14:textId="7E313AC8" w:rsidR="00E547A7" w:rsidRDefault="0061079E" w:rsidP="00E547A7">
      <w:pPr>
        <w:pStyle w:val="bodytext"/>
      </w:pPr>
      <w:bookmarkStart w:id="136" w:name="ElPgBr29"/>
      <w:bookmarkEnd w:id="136"/>
      <w:r>
        <w:lastRenderedPageBreak/>
        <w:t xml:space="preserve">The modified CALCRIM No. 400 </w:t>
      </w:r>
      <w:r w:rsidR="00553024">
        <w:t xml:space="preserve">went on to instruct:  </w:t>
      </w:r>
      <w:r>
        <w:t xml:space="preserve">“Under some circumstances, if the evidence establishes aiding and abetting of one crime, a person may also be found guilty of other crimes that occurred during the commission of the first crime.  </w:t>
      </w:r>
      <w:r w:rsidRPr="00EC065D">
        <w:rPr>
          <w:i/>
        </w:rPr>
        <w:t xml:space="preserve">An aider and abettor may be found guilty </w:t>
      </w:r>
      <w:r w:rsidRPr="00EC065D">
        <w:rPr>
          <w:i/>
        </w:rPr>
        <w:t>of a different crime or degree of crime than the perpetrator</w:t>
      </w:r>
      <w:r>
        <w:t xml:space="preserve"> </w:t>
      </w:r>
      <w:r w:rsidRPr="00C5791F">
        <w:rPr>
          <w:i/>
          <w:iCs/>
        </w:rPr>
        <w:t>if the aider and abettor and the perpetrator do not have the same mental state</w:t>
      </w:r>
      <w:r>
        <w:t xml:space="preserve">.” </w:t>
      </w:r>
      <w:r w:rsidR="00983656">
        <w:t xml:space="preserve"> </w:t>
      </w:r>
      <w:r w:rsidR="00EC065D">
        <w:t>(Italics added</w:t>
      </w:r>
      <w:r w:rsidR="00B305AE">
        <w:t>.</w:t>
      </w:r>
      <w:r w:rsidR="00EC065D">
        <w:t>)</w:t>
      </w:r>
    </w:p>
    <w:p w14:paraId="2492FBB9" w14:textId="40E8935B" w:rsidR="007418D7" w:rsidRDefault="0061079E" w:rsidP="00E547A7">
      <w:pPr>
        <w:pStyle w:val="bodytext"/>
      </w:pPr>
      <w:r>
        <w:t xml:space="preserve">As to </w:t>
      </w:r>
      <w:r w:rsidR="00E66AB2">
        <w:t xml:space="preserve">aiding and abetting </w:t>
      </w:r>
      <w:r>
        <w:t>second degree murder</w:t>
      </w:r>
      <w:r w:rsidR="00E66AB2">
        <w:t xml:space="preserve"> based on the natural and probable consequences doctrine</w:t>
      </w:r>
      <w:r>
        <w:t>, t</w:t>
      </w:r>
      <w:r w:rsidR="00972015">
        <w:t xml:space="preserve">he court instructed </w:t>
      </w:r>
      <w:r w:rsidR="00C54636">
        <w:t>using CALCRIM</w:t>
      </w:r>
      <w:r w:rsidR="00760C44">
        <w:t xml:space="preserve"> No.</w:t>
      </w:r>
      <w:r w:rsidR="00C54636">
        <w:t xml:space="preserve"> 403</w:t>
      </w:r>
      <w:r w:rsidR="00972015">
        <w:t>, in pertinent part</w:t>
      </w:r>
      <w:r w:rsidR="00C54636">
        <w:t>:</w:t>
      </w:r>
      <w:r w:rsidR="00972015">
        <w:t xml:space="preserve">  </w:t>
      </w:r>
      <w:r>
        <w:t xml:space="preserve">“To prove that the defendant is guilty of second-degree murder, the People must prove that, [1.] the defendant is guilty of willful evading a peace officer with a wanton disregard </w:t>
      </w:r>
      <w:r w:rsidR="00EC065D">
        <w:t>…</w:t>
      </w:r>
      <w:r>
        <w:t xml:space="preserve"> </w:t>
      </w:r>
      <w:r w:rsidRPr="00EC065D">
        <w:rPr>
          <w:i/>
        </w:rPr>
        <w:t>as</w:t>
      </w:r>
      <w:r w:rsidRPr="00EC065D">
        <w:rPr>
          <w:i/>
        </w:rPr>
        <w:t xml:space="preserve"> an aider and </w:t>
      </w:r>
      <w:r w:rsidR="00204163" w:rsidRPr="00EC065D">
        <w:rPr>
          <w:i/>
        </w:rPr>
        <w:t>abettor</w:t>
      </w:r>
      <w:r>
        <w:t xml:space="preserve">; [2.], that during the commission of the willful evading a peace officer with wanton disregard, a co-participant in that willful evading with wanton disregard committed the crime of second-degree </w:t>
      </w:r>
      <w:r w:rsidR="00204163">
        <w:t>murder</w:t>
      </w:r>
      <w:r>
        <w:t>; and [3.], under all the circum</w:t>
      </w:r>
      <w:r>
        <w:t xml:space="preserve">stances, </w:t>
      </w:r>
      <w:r w:rsidRPr="00C5791F">
        <w:rPr>
          <w:i/>
          <w:iCs/>
        </w:rPr>
        <w:t xml:space="preserve">a reasonable person in the defendant’s </w:t>
      </w:r>
      <w:r w:rsidR="001626F3" w:rsidRPr="00C5791F">
        <w:rPr>
          <w:i/>
          <w:iCs/>
        </w:rPr>
        <w:t>position</w:t>
      </w:r>
      <w:r w:rsidR="001626F3">
        <w:t xml:space="preserve"> </w:t>
      </w:r>
      <w:r w:rsidR="00204163" w:rsidRPr="00C422A9">
        <w:rPr>
          <w:i/>
        </w:rPr>
        <w:t>would have known that the commission of a second-degree murder was a natural and probable consequence</w:t>
      </w:r>
      <w:r w:rsidR="00204163">
        <w:t xml:space="preserve"> of the commission of willful evading a peace officer with wanton disregard.” </w:t>
      </w:r>
      <w:r w:rsidR="00EC065D">
        <w:t xml:space="preserve"> (</w:t>
      </w:r>
      <w:r w:rsidR="00B640CE">
        <w:t>I</w:t>
      </w:r>
      <w:r w:rsidR="00EC065D">
        <w:t>talics added</w:t>
      </w:r>
      <w:r w:rsidR="00B640CE">
        <w:t>.</w:t>
      </w:r>
      <w:r w:rsidR="00EC065D">
        <w:t>)</w:t>
      </w:r>
    </w:p>
    <w:p w14:paraId="35CF9D2F" w14:textId="4919804A" w:rsidR="005558AD" w:rsidRDefault="0061079E" w:rsidP="00E547A7">
      <w:pPr>
        <w:pStyle w:val="bodytext"/>
      </w:pPr>
      <w:r>
        <w:t xml:space="preserve">And </w:t>
      </w:r>
      <w:r w:rsidR="007606A8">
        <w:t xml:space="preserve">as to gross and negligent vehicular manslaughter </w:t>
      </w:r>
      <w:r>
        <w:t>t</w:t>
      </w:r>
      <w:r w:rsidR="001C2467">
        <w:t xml:space="preserve">he court </w:t>
      </w:r>
      <w:r w:rsidR="007606A8">
        <w:t xml:space="preserve">gave a </w:t>
      </w:r>
      <w:r w:rsidR="00C422A9">
        <w:t xml:space="preserve">similar </w:t>
      </w:r>
      <w:r w:rsidR="001C2467">
        <w:t xml:space="preserve">CALCRIM No. 403 </w:t>
      </w:r>
      <w:r w:rsidR="00C422A9">
        <w:t>instruction</w:t>
      </w:r>
      <w:r w:rsidR="001C2467">
        <w:t xml:space="preserve">:  </w:t>
      </w:r>
      <w:r>
        <w:t>“To prove that the defendant is guilty of gross vehicular manslaughter or negligent vehicular manslaughter, the People must prove, one, the defendan</w:t>
      </w:r>
      <w:r>
        <w:t xml:space="preserve">t is guilty of evading a peace officer with wanton disregard; </w:t>
      </w:r>
      <w:r w:rsidR="00141BCB">
        <w:t xml:space="preserve">[two] </w:t>
      </w:r>
      <w:r>
        <w:t xml:space="preserve">during the commission of evading a peace officer with wanton disregard, </w:t>
      </w:r>
      <w:r w:rsidRPr="00C5791F">
        <w:rPr>
          <w:iCs/>
        </w:rPr>
        <w:t>a co-participant in that</w:t>
      </w:r>
      <w:r w:rsidRPr="00C77007">
        <w:rPr>
          <w:i/>
        </w:rPr>
        <w:t xml:space="preserve"> </w:t>
      </w:r>
      <w:r w:rsidRPr="00C5791F">
        <w:rPr>
          <w:iCs/>
        </w:rPr>
        <w:t xml:space="preserve">offense committed the crimes of </w:t>
      </w:r>
      <w:r w:rsidR="00355228" w:rsidRPr="00C5791F">
        <w:rPr>
          <w:iCs/>
        </w:rPr>
        <w:t>[</w:t>
      </w:r>
      <w:r w:rsidR="001626F3" w:rsidRPr="00C5791F">
        <w:rPr>
          <w:iCs/>
        </w:rPr>
        <w:t>gross</w:t>
      </w:r>
      <w:r w:rsidR="00355228" w:rsidRPr="00C5791F">
        <w:rPr>
          <w:iCs/>
        </w:rPr>
        <w:t>][</w:t>
      </w:r>
      <w:r>
        <w:rPr>
          <w:rStyle w:val="FootnoteReference"/>
          <w:iCs/>
        </w:rPr>
        <w:footnoteReference w:id="31"/>
      </w:r>
      <w:r w:rsidR="00355228" w:rsidRPr="00C5791F">
        <w:rPr>
          <w:iCs/>
        </w:rPr>
        <w:t>]</w:t>
      </w:r>
      <w:r w:rsidR="001626F3" w:rsidRPr="00C5791F">
        <w:rPr>
          <w:iCs/>
        </w:rPr>
        <w:t xml:space="preserve"> </w:t>
      </w:r>
      <w:r w:rsidRPr="00C5791F">
        <w:rPr>
          <w:iCs/>
        </w:rPr>
        <w:t>vehicular manslaughter or negligent vehicular m</w:t>
      </w:r>
      <w:r w:rsidRPr="00C5791F">
        <w:rPr>
          <w:iCs/>
        </w:rPr>
        <w:t>anslaughter</w:t>
      </w:r>
      <w:r>
        <w:t xml:space="preserve">; and three, under all of the </w:t>
      </w:r>
      <w:r w:rsidR="00513C23">
        <w:t>circumstances</w:t>
      </w:r>
      <w:r>
        <w:t xml:space="preserve"> </w:t>
      </w:r>
      <w:r w:rsidRPr="00C5791F">
        <w:rPr>
          <w:i/>
          <w:iCs/>
        </w:rPr>
        <w:t xml:space="preserve">a reasonable person in </w:t>
      </w:r>
      <w:bookmarkStart w:id="137" w:name="ElPgBr30"/>
      <w:bookmarkEnd w:id="137"/>
      <w:r w:rsidRPr="00C5791F">
        <w:rPr>
          <w:i/>
          <w:iCs/>
        </w:rPr>
        <w:lastRenderedPageBreak/>
        <w:t xml:space="preserve">the defendant’s position </w:t>
      </w:r>
      <w:r w:rsidRPr="007E3873">
        <w:rPr>
          <w:i/>
          <w:iCs/>
        </w:rPr>
        <w:t>would have known that the commission of gross vehicular manslaughter or negligent vehicular manslaughter was a natural and probable consequence</w:t>
      </w:r>
      <w:r w:rsidRPr="00C5791F">
        <w:rPr>
          <w:i/>
          <w:iCs/>
        </w:rPr>
        <w:t xml:space="preserve"> </w:t>
      </w:r>
      <w:r>
        <w:t>of the co</w:t>
      </w:r>
      <w:r>
        <w:t>mmission of evading a peace officer with wanton disregard.</w:t>
      </w:r>
      <w:r w:rsidR="00C77007">
        <w:t xml:space="preserve">” </w:t>
      </w:r>
      <w:r w:rsidR="00E64E30">
        <w:t xml:space="preserve"> (Italics added</w:t>
      </w:r>
      <w:r w:rsidR="00B640CE">
        <w:t>.</w:t>
      </w:r>
      <w:r w:rsidR="00E64E30">
        <w:t>)</w:t>
      </w:r>
    </w:p>
    <w:p w14:paraId="78CDD7A8" w14:textId="77777777" w:rsidR="00E547A7" w:rsidRDefault="0061079E" w:rsidP="00180DE4">
      <w:pPr>
        <w:pStyle w:val="bodytext"/>
        <w:keepNext/>
        <w:ind w:firstLine="0"/>
        <w:jc w:val="center"/>
        <w:rPr>
          <w:b/>
        </w:rPr>
      </w:pPr>
      <w:bookmarkStart w:id="138" w:name="ElogoO"/>
      <w:bookmarkStart w:id="139" w:name="ElogorO"/>
      <w:r w:rsidRPr="00886873">
        <w:rPr>
          <w:b/>
        </w:rPr>
        <w:t xml:space="preserve">B. </w:t>
      </w:r>
      <w:bookmarkEnd w:id="138"/>
      <w:bookmarkEnd w:id="139"/>
      <w:r w:rsidR="001E7F00">
        <w:rPr>
          <w:b/>
        </w:rPr>
        <w:t xml:space="preserve"> </w:t>
      </w:r>
      <w:r w:rsidRPr="00886873">
        <w:rPr>
          <w:b/>
        </w:rPr>
        <w:t>Analysis</w:t>
      </w:r>
    </w:p>
    <w:p w14:paraId="0BD74218" w14:textId="6EAC0AB9" w:rsidR="00886873" w:rsidRDefault="0061079E" w:rsidP="00164A68">
      <w:pPr>
        <w:pStyle w:val="bodytext"/>
      </w:pPr>
      <w:r>
        <w:t xml:space="preserve">On appeal, Roman argues the instructions were erroneous because they failed to inform the </w:t>
      </w:r>
      <w:r w:rsidR="008A3D57">
        <w:t>jury</w:t>
      </w:r>
      <w:r>
        <w:t xml:space="preserve"> that an aider and abettor </w:t>
      </w:r>
      <w:r w:rsidR="00844792">
        <w:t xml:space="preserve">under a natural and probable consequences theory </w:t>
      </w:r>
      <w:r>
        <w:t>can be guilty of a lesser crime than the perpetrator.</w:t>
      </w:r>
      <w:r w:rsidR="00844792">
        <w:t xml:space="preserve">  He </w:t>
      </w:r>
      <w:r w:rsidR="009E34DA">
        <w:t>maintains</w:t>
      </w:r>
      <w:r w:rsidR="00844792">
        <w:t xml:space="preserve"> that as instructed, </w:t>
      </w:r>
      <w:r w:rsidR="00C17148">
        <w:t xml:space="preserve">his </w:t>
      </w:r>
      <w:r w:rsidR="00844792">
        <w:t xml:space="preserve">jury would believe Roman could only be found guilty of a lesser </w:t>
      </w:r>
      <w:r w:rsidR="00FA3A14">
        <w:t xml:space="preserve">offense </w:t>
      </w:r>
      <w:r w:rsidR="00573C2C">
        <w:t>if Ruslan also committed that lesser offense.</w:t>
      </w:r>
      <w:r w:rsidR="00A950D1">
        <w:t xml:space="preserve">  </w:t>
      </w:r>
      <w:r w:rsidR="00093876">
        <w:t>We disagree.</w:t>
      </w:r>
    </w:p>
    <w:p w14:paraId="5C0F4226" w14:textId="77777777" w:rsidR="00093876" w:rsidRDefault="0061079E" w:rsidP="00093876">
      <w:pPr>
        <w:pStyle w:val="bodytext"/>
      </w:pPr>
      <w:r>
        <w:t xml:space="preserve">A trial court must instruct sua sponte on </w:t>
      </w:r>
      <w:r w:rsidR="00FA3A14">
        <w:t xml:space="preserve">the </w:t>
      </w:r>
      <w:r>
        <w:t>“ ‘ “general legal principles raised by the evidence and necessary for the jury’s understanding of the case….” ’ ”  (</w:t>
      </w:r>
      <w:bookmarkStart w:id="140" w:name="ElyyoO"/>
      <w:bookmarkStart w:id="141" w:name="ElyyorO"/>
      <w:r w:rsidRPr="002924B1">
        <w:rPr>
          <w:i/>
        </w:rPr>
        <w:t>People v. Delgado</w:t>
      </w:r>
      <w:r>
        <w:t xml:space="preserve"> (2013) 56 Cal.4th 480, 488</w:t>
      </w:r>
      <w:bookmarkEnd w:id="140"/>
      <w:bookmarkEnd w:id="141"/>
      <w:r>
        <w:t>.)</w:t>
      </w:r>
      <w:r w:rsidR="00FA3A14">
        <w:t xml:space="preserve">  </w:t>
      </w:r>
      <w:r w:rsidR="009E34DA">
        <w:t>And o</w:t>
      </w:r>
      <w:r w:rsidR="00DC74F6">
        <w:t xml:space="preserve">n appeal, </w:t>
      </w:r>
      <w:r w:rsidR="00FA3A14">
        <w:t xml:space="preserve">when </w:t>
      </w:r>
      <w:r w:rsidR="00DC74F6">
        <w:t xml:space="preserve">we determine a jury instruction’s </w:t>
      </w:r>
      <w:r w:rsidR="00FA3A14">
        <w:t>sufficiency, we consider the “entire charge of the court.”  (</w:t>
      </w:r>
      <w:bookmarkStart w:id="142" w:name="ElyxoO"/>
      <w:bookmarkStart w:id="143" w:name="ElyxorO"/>
      <w:r w:rsidR="00FA3A14" w:rsidRPr="00DC74F6">
        <w:rPr>
          <w:i/>
        </w:rPr>
        <w:t>People v. Mills</w:t>
      </w:r>
      <w:r w:rsidR="00FA3A14">
        <w:t xml:space="preserve"> (1991) 1 Cal.App.4th 898, 918</w:t>
      </w:r>
      <w:bookmarkEnd w:id="142"/>
      <w:bookmarkEnd w:id="143"/>
      <w:r w:rsidR="00FA3A14">
        <w:t>.)</w:t>
      </w:r>
      <w:r w:rsidR="006E0AFE">
        <w:t xml:space="preserve">  </w:t>
      </w:r>
      <w:r w:rsidR="00DC74F6">
        <w:t>W</w:t>
      </w:r>
      <w:r>
        <w:t xml:space="preserve">e </w:t>
      </w:r>
      <w:r w:rsidR="00DC74F6">
        <w:t xml:space="preserve">also </w:t>
      </w:r>
      <w:r>
        <w:t>presume “jurors are intelligent persons and capable of understanding and correlating all jury instructions which are given.”  (</w:t>
      </w:r>
      <w:r w:rsidR="009D5E5A" w:rsidRPr="00DC74F6">
        <w:rPr>
          <w:i/>
        </w:rPr>
        <w:t>Ibid</w:t>
      </w:r>
      <w:r w:rsidR="009D5E5A">
        <w:t xml:space="preserve">.) </w:t>
      </w:r>
    </w:p>
    <w:p w14:paraId="31A9FF19" w14:textId="5F640477" w:rsidR="00C17148" w:rsidRDefault="0061079E" w:rsidP="00164A68">
      <w:pPr>
        <w:pStyle w:val="bodytext"/>
      </w:pPr>
      <w:r>
        <w:t>Here, read</w:t>
      </w:r>
      <w:r w:rsidR="009D5E5A">
        <w:t xml:space="preserve"> together, </w:t>
      </w:r>
      <w:r>
        <w:t xml:space="preserve">the instructions </w:t>
      </w:r>
      <w:r w:rsidR="009D5E5A">
        <w:t xml:space="preserve">informed </w:t>
      </w:r>
      <w:r>
        <w:t xml:space="preserve">Roman’s jury </w:t>
      </w:r>
      <w:r w:rsidR="009D5E5A">
        <w:t xml:space="preserve">that an aider and abettor, under a </w:t>
      </w:r>
      <w:r>
        <w:t xml:space="preserve">natural and probable consequences theory, </w:t>
      </w:r>
      <w:r w:rsidR="009D5E5A">
        <w:t xml:space="preserve">could have different culpability than the perpetrator.  </w:t>
      </w:r>
      <w:r w:rsidR="00F92E1E">
        <w:t>The jury was instructed, using CALCRIM No. 403</w:t>
      </w:r>
      <w:r w:rsidR="00DC74F6">
        <w:t>,</w:t>
      </w:r>
      <w:r w:rsidR="00F92E1E">
        <w:t xml:space="preserve"> that Roman could be convicted</w:t>
      </w:r>
      <w:r w:rsidR="00DC74F6">
        <w:t>,</w:t>
      </w:r>
      <w:r w:rsidR="00F92E1E">
        <w:t xml:space="preserve"> </w:t>
      </w:r>
      <w:r w:rsidR="00DC74F6">
        <w:t xml:space="preserve">as an aider and abettor under a natural and probable consequences theory, </w:t>
      </w:r>
      <w:r w:rsidR="00F92E1E">
        <w:t xml:space="preserve">of </w:t>
      </w:r>
      <w:r w:rsidR="00DC74F6">
        <w:t xml:space="preserve">either </w:t>
      </w:r>
      <w:r w:rsidR="00F92E1E">
        <w:t xml:space="preserve">second degree murder or </w:t>
      </w:r>
      <w:r w:rsidR="00DC74F6">
        <w:t xml:space="preserve">the </w:t>
      </w:r>
      <w:r w:rsidR="00F92E1E">
        <w:t>lesser offense</w:t>
      </w:r>
      <w:r w:rsidR="00DC74F6">
        <w:t>s</w:t>
      </w:r>
      <w:r w:rsidR="00F92E1E">
        <w:t xml:space="preserve">, gross or negligent vehicular manslaughter.  </w:t>
      </w:r>
      <w:r w:rsidR="00DC74F6">
        <w:t xml:space="preserve">The jury was </w:t>
      </w:r>
      <w:r w:rsidR="00F92E1E">
        <w:t>also instructed, using the modified CALCRIM No. 400</w:t>
      </w:r>
      <w:r w:rsidR="00DC74F6">
        <w:t>,</w:t>
      </w:r>
      <w:r w:rsidR="00F92E1E">
        <w:t xml:space="preserve"> that an aider and abettor </w:t>
      </w:r>
      <w:r w:rsidR="00983656">
        <w:t xml:space="preserve">need not have the same criminal culpability as the perpetrator.  </w:t>
      </w:r>
      <w:r w:rsidR="00CE6764">
        <w:t xml:space="preserve">Considered together, we do not think the jury would have understood the several instructions </w:t>
      </w:r>
      <w:r w:rsidR="00DD4BD1">
        <w:t xml:space="preserve">as carving out an </w:t>
      </w:r>
      <w:r w:rsidR="002C311A">
        <w:t xml:space="preserve">exception </w:t>
      </w:r>
      <w:r w:rsidR="00DD4BD1">
        <w:t xml:space="preserve">for aiders and abettors convicted under a natural and probable consequences theory.  </w:t>
      </w:r>
      <w:r w:rsidR="007065FF">
        <w:t>Instead, w</w:t>
      </w:r>
      <w:r>
        <w:t>e conclude a reasonable</w:t>
      </w:r>
      <w:r w:rsidR="00DD4BD1">
        <w:t xml:space="preserve"> jury</w:t>
      </w:r>
      <w:r>
        <w:t xml:space="preserve"> would have</w:t>
      </w:r>
      <w:r w:rsidR="00DD4BD1">
        <w:t xml:space="preserve"> understood the </w:t>
      </w:r>
      <w:r w:rsidR="0063662E">
        <w:t xml:space="preserve">modified CALCRIM No. 400 </w:t>
      </w:r>
      <w:r w:rsidR="00DD4BD1">
        <w:t>to mean what it said:</w:t>
      </w:r>
      <w:r w:rsidR="00F96CAA">
        <w:t xml:space="preserve"> </w:t>
      </w:r>
      <w:r w:rsidR="00DD4BD1">
        <w:t xml:space="preserve"> </w:t>
      </w:r>
      <w:r w:rsidR="0063662E">
        <w:t>“</w:t>
      </w:r>
      <w:r w:rsidR="00CC7439" w:rsidRPr="00C5791F">
        <w:rPr>
          <w:iCs/>
        </w:rPr>
        <w:t xml:space="preserve">An </w:t>
      </w:r>
      <w:bookmarkStart w:id="144" w:name="ElPgBr31"/>
      <w:bookmarkEnd w:id="144"/>
      <w:r w:rsidR="00CC7439" w:rsidRPr="00C5791F">
        <w:rPr>
          <w:iCs/>
        </w:rPr>
        <w:lastRenderedPageBreak/>
        <w:t>aider and abettor may be found guilty of a different crime or degree of crime than the perpetrator</w:t>
      </w:r>
      <w:r w:rsidR="00CC7439">
        <w:t xml:space="preserve"> if the aider and abettor and the perpetrator do not have the same mental state.” </w:t>
      </w:r>
      <w:r w:rsidR="00CE6764">
        <w:t xml:space="preserve"> </w:t>
      </w:r>
    </w:p>
    <w:p w14:paraId="3E24C245" w14:textId="1159ECCE" w:rsidR="0063662E" w:rsidRDefault="0061079E" w:rsidP="000955D1">
      <w:pPr>
        <w:pStyle w:val="bodytext"/>
      </w:pPr>
      <w:r>
        <w:t>Roman</w:t>
      </w:r>
      <w:r w:rsidR="00CE6764">
        <w:t xml:space="preserve">’s </w:t>
      </w:r>
      <w:r w:rsidR="00815CBA">
        <w:t xml:space="preserve">fallback </w:t>
      </w:r>
      <w:r w:rsidR="00CE6764">
        <w:t xml:space="preserve">contention that his </w:t>
      </w:r>
      <w:r>
        <w:t xml:space="preserve">trial </w:t>
      </w:r>
      <w:r w:rsidR="00CE6764">
        <w:t xml:space="preserve">counsel </w:t>
      </w:r>
      <w:r>
        <w:t xml:space="preserve">rendered ineffective assistance in </w:t>
      </w:r>
      <w:r w:rsidR="00CE6764">
        <w:t xml:space="preserve">failing to </w:t>
      </w:r>
      <w:r>
        <w:t xml:space="preserve">request the instruction he </w:t>
      </w:r>
      <w:r w:rsidR="005963BF">
        <w:t xml:space="preserve">now </w:t>
      </w:r>
      <w:r>
        <w:t>argues was necessary</w:t>
      </w:r>
      <w:r w:rsidR="00CE6764">
        <w:t xml:space="preserve"> also fails</w:t>
      </w:r>
      <w:r>
        <w:t xml:space="preserve">. </w:t>
      </w:r>
      <w:r>
        <w:t xml:space="preserve"> </w:t>
      </w:r>
      <w:r w:rsidR="00CE6764">
        <w:t xml:space="preserve">Again, a reasonable </w:t>
      </w:r>
      <w:r>
        <w:t xml:space="preserve">jury would understand the instruction </w:t>
      </w:r>
      <w:r w:rsidR="00CE6764">
        <w:t xml:space="preserve">that an aider and abettor can </w:t>
      </w:r>
      <w:r w:rsidR="007065FF">
        <w:t xml:space="preserve">have </w:t>
      </w:r>
      <w:r w:rsidR="00CC7439">
        <w:t xml:space="preserve">different </w:t>
      </w:r>
      <w:r w:rsidR="00CE6764">
        <w:t>liability</w:t>
      </w:r>
      <w:r w:rsidR="00780FA0">
        <w:t xml:space="preserve"> does not </w:t>
      </w:r>
      <w:r w:rsidR="002924B1">
        <w:t>except</w:t>
      </w:r>
      <w:r w:rsidR="00063715">
        <w:t xml:space="preserve"> </w:t>
      </w:r>
      <w:r w:rsidR="00780FA0">
        <w:t>aider</w:t>
      </w:r>
      <w:r w:rsidR="00063715">
        <w:t>s</w:t>
      </w:r>
      <w:r w:rsidR="00780FA0">
        <w:t xml:space="preserve"> and abettor</w:t>
      </w:r>
      <w:r w:rsidR="00063715">
        <w:t>s</w:t>
      </w:r>
      <w:r w:rsidR="00780FA0">
        <w:t xml:space="preserve"> </w:t>
      </w:r>
      <w:r w:rsidR="00063715">
        <w:t xml:space="preserve">found guilty </w:t>
      </w:r>
      <w:r w:rsidR="00780FA0">
        <w:t xml:space="preserve">under a </w:t>
      </w:r>
      <w:r w:rsidR="001817B9">
        <w:t xml:space="preserve">natural and </w:t>
      </w:r>
      <w:r w:rsidR="00754B3A">
        <w:t xml:space="preserve">probable consequences </w:t>
      </w:r>
      <w:r w:rsidR="00780FA0">
        <w:t>theory</w:t>
      </w:r>
      <w:r w:rsidR="00754B3A">
        <w:t xml:space="preserve">.  Accordingly, no prejudice can </w:t>
      </w:r>
      <w:r w:rsidR="001817B9">
        <w:t xml:space="preserve">stem </w:t>
      </w:r>
      <w:r w:rsidR="001817B9" w:rsidRPr="00815CBA">
        <w:t>from the failure to request a more explicit instruction.</w:t>
      </w:r>
      <w:r w:rsidR="007065FF">
        <w:t xml:space="preserve"> </w:t>
      </w:r>
      <w:r w:rsidR="004E5EFC">
        <w:t xml:space="preserve"> </w:t>
      </w:r>
      <w:r w:rsidR="007065FF" w:rsidRPr="00EA38AF">
        <w:t>To establish prejudice, “</w:t>
      </w:r>
      <w:r w:rsidR="007065FF">
        <w:t>[i]</w:t>
      </w:r>
      <w:r w:rsidR="007065FF" w:rsidRPr="00EA38AF">
        <w:t>t is not enough ‘to show that the errors had some conceivable effect on the outcome of the proceeding.’</w:t>
      </w:r>
      <w:r w:rsidR="007065FF">
        <w:t xml:space="preserve"> </w:t>
      </w:r>
      <w:r w:rsidR="007065FF" w:rsidRPr="00EA38AF">
        <w:t>”  (</w:t>
      </w:r>
      <w:r w:rsidR="00AD7150" w:rsidRPr="00045D0D">
        <w:rPr>
          <w:i/>
        </w:rPr>
        <w:t>Harrington v. Richter</w:t>
      </w:r>
      <w:r w:rsidR="00AD7150">
        <w:t xml:space="preserve"> (2011) 562 U.S. 86, 104 [178 L.Ed.2d 624].)</w:t>
      </w:r>
      <w:r w:rsidR="007065FF" w:rsidRPr="00EA38AF">
        <w:t xml:space="preserve"> </w:t>
      </w:r>
      <w:r w:rsidR="00F96CAA">
        <w:t xml:space="preserve"> </w:t>
      </w:r>
      <w:r w:rsidR="007065FF" w:rsidRPr="00EA38AF">
        <w:t>To show prejudice, defendant must show a reasonable probability that he would have received a more favorable result had counsel’s performance not been deficient.  (</w:t>
      </w:r>
      <w:r w:rsidR="007065FF" w:rsidRPr="00EA38AF">
        <w:rPr>
          <w:i/>
        </w:rPr>
        <w:t>Stricklan</w:t>
      </w:r>
      <w:r w:rsidR="00AD7150">
        <w:rPr>
          <w:i/>
        </w:rPr>
        <w:t>d v. Washington</w:t>
      </w:r>
      <w:r w:rsidR="00AD7150">
        <w:rPr>
          <w:iCs/>
        </w:rPr>
        <w:t xml:space="preserve"> (1984) 466 U.S. 668, 693-694 </w:t>
      </w:r>
      <w:r w:rsidR="00AD7150" w:rsidRPr="002853AC">
        <w:t>[80 L.Ed.2d 674</w:t>
      </w:r>
      <w:r w:rsidR="00AD7150">
        <w:t>]</w:t>
      </w:r>
      <w:r w:rsidR="00622FF2">
        <w:t xml:space="preserve"> (</w:t>
      </w:r>
      <w:r w:rsidR="00622FF2" w:rsidRPr="00755C3E">
        <w:rPr>
          <w:i/>
          <w:iCs/>
        </w:rPr>
        <w:t>Strickland</w:t>
      </w:r>
      <w:r w:rsidR="00622FF2">
        <w:t>)</w:t>
      </w:r>
      <w:r w:rsidR="00AD7150">
        <w:t xml:space="preserve">; </w:t>
      </w:r>
      <w:r w:rsidR="00AD7150" w:rsidRPr="003866DD">
        <w:rPr>
          <w:i/>
          <w:iCs/>
        </w:rPr>
        <w:t>People v</w:t>
      </w:r>
      <w:r w:rsidR="00AD7150">
        <w:t xml:space="preserve">. </w:t>
      </w:r>
      <w:r w:rsidR="007065FF" w:rsidRPr="00EA38AF">
        <w:rPr>
          <w:i/>
        </w:rPr>
        <w:t>Ledesma</w:t>
      </w:r>
      <w:r w:rsidR="00AD7150">
        <w:rPr>
          <w:i/>
        </w:rPr>
        <w:t xml:space="preserve"> </w:t>
      </w:r>
      <w:r w:rsidR="00AD7150" w:rsidRPr="002853AC">
        <w:t>(1987) 43 Cal.3d 171, 21</w:t>
      </w:r>
      <w:r w:rsidR="00AD7150">
        <w:t>7</w:t>
      </w:r>
      <w:r w:rsidR="00AD7150" w:rsidRPr="002853AC">
        <w:t>-21</w:t>
      </w:r>
      <w:r w:rsidR="00AD7150">
        <w:t>8</w:t>
      </w:r>
      <w:r w:rsidR="007065FF" w:rsidRPr="00EA38AF">
        <w:t>.)  “A reasonable probability is a probability sufficient to undermine confidence in the outcome.”  (</w:t>
      </w:r>
      <w:r w:rsidR="007065FF" w:rsidRPr="00EA38AF">
        <w:rPr>
          <w:i/>
        </w:rPr>
        <w:t>Strickland</w:t>
      </w:r>
      <w:r w:rsidR="007065FF" w:rsidRPr="00EA38AF">
        <w:t xml:space="preserve">, at p. 694; accord, </w:t>
      </w:r>
      <w:r w:rsidR="007065FF" w:rsidRPr="00EA38AF">
        <w:rPr>
          <w:i/>
        </w:rPr>
        <w:t>Ledesma</w:t>
      </w:r>
      <w:r w:rsidR="007065FF" w:rsidRPr="00EA38AF">
        <w:t>, at p.</w:t>
      </w:r>
      <w:r w:rsidR="00F96CAA">
        <w:t> </w:t>
      </w:r>
      <w:r w:rsidR="007065FF" w:rsidRPr="00EA38AF">
        <w:t>218.)</w:t>
      </w:r>
      <w:r w:rsidR="007065FF">
        <w:t xml:space="preserve">  </w:t>
      </w:r>
      <w:r w:rsidR="007065FF" w:rsidRPr="009A29DA">
        <w:t>The likelihood of a different result must be substantial, not just conceivable.  (</w:t>
      </w:r>
      <w:r w:rsidR="007065FF" w:rsidRPr="009A29DA">
        <w:rPr>
          <w:i/>
        </w:rPr>
        <w:t>Richter</w:t>
      </w:r>
      <w:r w:rsidR="007065FF" w:rsidRPr="009A29DA">
        <w:t xml:space="preserve">, at p. 112.)  </w:t>
      </w:r>
    </w:p>
    <w:p w14:paraId="175D4DBF" w14:textId="4E00AB5B" w:rsidR="002A01B3" w:rsidRDefault="0061079E">
      <w:pPr>
        <w:pStyle w:val="bodytext"/>
      </w:pPr>
      <w:r>
        <w:rPr>
          <w:rFonts w:cs="Courier New"/>
          <w:spacing w:val="-3"/>
        </w:rPr>
        <w:t>We conclude</w:t>
      </w:r>
      <w:r w:rsidR="00F50354">
        <w:rPr>
          <w:rFonts w:cs="Courier New"/>
          <w:spacing w:val="-3"/>
        </w:rPr>
        <w:t>, based on the modified CALCRIM No. 400,</w:t>
      </w:r>
      <w:r>
        <w:rPr>
          <w:rFonts w:cs="Courier New"/>
          <w:spacing w:val="-3"/>
        </w:rPr>
        <w:t xml:space="preserve"> </w:t>
      </w:r>
      <w:r w:rsidR="00F50354">
        <w:rPr>
          <w:rFonts w:cs="Courier New"/>
          <w:spacing w:val="-3"/>
        </w:rPr>
        <w:t xml:space="preserve">that </w:t>
      </w:r>
      <w:r>
        <w:rPr>
          <w:rFonts w:cs="Courier New"/>
          <w:spacing w:val="-3"/>
        </w:rPr>
        <w:t xml:space="preserve">defendant has not shown </w:t>
      </w:r>
      <w:r w:rsidR="005963BF" w:rsidRPr="00E4176F">
        <w:rPr>
          <w:rFonts w:cs="Courier New"/>
          <w:i/>
          <w:iCs/>
          <w:spacing w:val="-3"/>
        </w:rPr>
        <w:t>Strickland</w:t>
      </w:r>
      <w:r w:rsidR="005963BF">
        <w:rPr>
          <w:rFonts w:cs="Courier New"/>
          <w:spacing w:val="-3"/>
        </w:rPr>
        <w:t xml:space="preserve"> </w:t>
      </w:r>
      <w:r>
        <w:rPr>
          <w:rFonts w:cs="Courier New"/>
          <w:spacing w:val="-3"/>
        </w:rPr>
        <w:t xml:space="preserve">prejudice </w:t>
      </w:r>
      <w:r w:rsidR="00F50354">
        <w:rPr>
          <w:rFonts w:cs="Courier New"/>
          <w:spacing w:val="-3"/>
        </w:rPr>
        <w:t>as to this assignment of error</w:t>
      </w:r>
      <w:r>
        <w:rPr>
          <w:rFonts w:cs="Courier New"/>
          <w:spacing w:val="-3"/>
        </w:rPr>
        <w:t xml:space="preserve">.  </w:t>
      </w:r>
      <w:r w:rsidR="00F50354">
        <w:rPr>
          <w:rFonts w:cs="Courier New"/>
          <w:spacing w:val="-3"/>
        </w:rPr>
        <w:t xml:space="preserve">We also conclude </w:t>
      </w:r>
      <w:r w:rsidR="00F50354" w:rsidRPr="00E4176F">
        <w:rPr>
          <w:rFonts w:cs="Courier New"/>
          <w:i/>
          <w:iCs/>
          <w:spacing w:val="-3"/>
        </w:rPr>
        <w:t>post</w:t>
      </w:r>
      <w:r w:rsidR="00F50354">
        <w:rPr>
          <w:rFonts w:cs="Courier New"/>
          <w:spacing w:val="-3"/>
        </w:rPr>
        <w:t xml:space="preserve">, that the evidence of defendant having the requisite mental state for implied malice murder was overwhelming, and for this separate reason, defendant was not prejudiced by the asserted error he assigns here. </w:t>
      </w:r>
    </w:p>
    <w:p w14:paraId="4E2E326A" w14:textId="531C96B0" w:rsidR="00EE3794" w:rsidRDefault="0061079E" w:rsidP="00EE3794">
      <w:pPr>
        <w:pStyle w:val="bodytext"/>
        <w:keepNext/>
        <w:ind w:firstLine="0"/>
        <w:jc w:val="center"/>
        <w:rPr>
          <w:b/>
          <w:color w:val="000000"/>
        </w:rPr>
      </w:pPr>
      <w:r>
        <w:rPr>
          <w:b/>
          <w:color w:val="000000"/>
        </w:rPr>
        <w:t>V</w:t>
      </w:r>
      <w:r w:rsidR="00AF323E">
        <w:rPr>
          <w:b/>
          <w:color w:val="000000"/>
        </w:rPr>
        <w:t>II</w:t>
      </w:r>
      <w:r>
        <w:rPr>
          <w:b/>
          <w:color w:val="000000"/>
        </w:rPr>
        <w:t>.  Senate Bill</w:t>
      </w:r>
      <w:r w:rsidR="00F64387">
        <w:rPr>
          <w:b/>
          <w:color w:val="000000"/>
        </w:rPr>
        <w:t>s</w:t>
      </w:r>
      <w:r>
        <w:rPr>
          <w:b/>
          <w:color w:val="000000"/>
        </w:rPr>
        <w:t xml:space="preserve"> 1437</w:t>
      </w:r>
      <w:r w:rsidR="00F64387">
        <w:rPr>
          <w:b/>
          <w:color w:val="000000"/>
        </w:rPr>
        <w:t xml:space="preserve"> and 775</w:t>
      </w:r>
    </w:p>
    <w:p w14:paraId="5D50F182" w14:textId="676B320E" w:rsidR="00EE3794" w:rsidRDefault="0061079E" w:rsidP="00EE3794">
      <w:pPr>
        <w:pStyle w:val="bodytext"/>
      </w:pPr>
      <w:r>
        <w:t>Roman originally contended that his convictions for second degree murder must be reversed because Senate Bill No. 1437, enacted after his conviction, abrogated the natural and probable consequences doctrine as it relates to murder.  He argued that Senate B</w:t>
      </w:r>
      <w:r>
        <w:t xml:space="preserve">ill 1437’s amendments should be applied retroactively to him.  Subsequently, our high </w:t>
      </w:r>
      <w:bookmarkStart w:id="145" w:name="ElPgBr32"/>
      <w:bookmarkEnd w:id="145"/>
      <w:r>
        <w:lastRenderedPageBreak/>
        <w:t>court spoke on the issue, holding that while Senate Bill 1437 barred a conviction for second degree murder under the natural and probable consequences doctrine, “</w:t>
      </w:r>
      <w:r w:rsidRPr="00355A3C">
        <w:t>the proc</w:t>
      </w:r>
      <w:r w:rsidRPr="00355A3C">
        <w:t xml:space="preserve">edure set forth in section 1170.95 </w:t>
      </w:r>
      <w:r>
        <w:t>[was]</w:t>
      </w:r>
      <w:r w:rsidRPr="00355A3C">
        <w:t xml:space="preserve"> the exclusive mechanism for retroactive relief and thus the ameliorative provisions of Senate Bill 1437 do not apply to nonfinal judgments on direct appeal.</w:t>
      </w:r>
      <w:r>
        <w:t>”  (</w:t>
      </w:r>
      <w:r w:rsidRPr="00755C3E">
        <w:rPr>
          <w:i/>
          <w:iCs/>
        </w:rPr>
        <w:t>People v. Gentile</w:t>
      </w:r>
      <w:r>
        <w:t xml:space="preserve"> (2020) 10 Cal.5th 830, 839.)  Thereaf</w:t>
      </w:r>
      <w:r>
        <w:t>ter, the Legislature enacted Senate Bill 775, amend</w:t>
      </w:r>
      <w:r w:rsidR="00437916">
        <w:t>ing</w:t>
      </w:r>
      <w:r>
        <w:t xml:space="preserve"> section</w:t>
      </w:r>
      <w:r w:rsidR="00F50354">
        <w:t xml:space="preserve"> </w:t>
      </w:r>
      <w:r>
        <w:t xml:space="preserve">1170.95 to add subdivision (g), which provides that a defendant </w:t>
      </w:r>
      <w:r w:rsidRPr="00700C1B">
        <w:t xml:space="preserve">whose conviction is not final may </w:t>
      </w:r>
      <w:r>
        <w:t>“</w:t>
      </w:r>
      <w:r w:rsidRPr="00700C1B">
        <w:t xml:space="preserve">challenge on direct appeal the validity of </w:t>
      </w:r>
      <w:r>
        <w:t>[a murder]</w:t>
      </w:r>
      <w:r w:rsidRPr="00700C1B">
        <w:t xml:space="preserve"> conviction based on</w:t>
      </w:r>
      <w:r>
        <w:t xml:space="preserve">” </w:t>
      </w:r>
      <w:r w:rsidR="00AF323E">
        <w:t xml:space="preserve">the </w:t>
      </w:r>
      <w:r>
        <w:t>Senate Bill 143</w:t>
      </w:r>
      <w:r>
        <w:t>7</w:t>
      </w:r>
      <w:r w:rsidR="00AF323E">
        <w:t xml:space="preserve"> amendments</w:t>
      </w:r>
      <w:r>
        <w:t>.  Both sides now agree that defendant is entitled to challenge his second</w:t>
      </w:r>
      <w:r w:rsidR="003864E0">
        <w:t xml:space="preserve"> </w:t>
      </w:r>
      <w:r>
        <w:t>degree murder convictions based on Senate Bill 775.</w:t>
      </w:r>
      <w:r w:rsidR="00AF323E">
        <w:t xml:space="preserve">  They disagree</w:t>
      </w:r>
      <w:r w:rsidR="00F64387">
        <w:t>, however,</w:t>
      </w:r>
      <w:r w:rsidR="00AF323E">
        <w:t xml:space="preserve"> as to the outcome of that challenge.</w:t>
      </w:r>
    </w:p>
    <w:p w14:paraId="054E02BD" w14:textId="2114C807" w:rsidR="00EE3794" w:rsidRDefault="0061079E" w:rsidP="00EE3794">
      <w:pPr>
        <w:pStyle w:val="bodytext"/>
      </w:pPr>
      <w:r>
        <w:t>While Roman argues we must reverse the murder convictio</w:t>
      </w:r>
      <w:r>
        <w:t xml:space="preserve">ns and vacate the sentence based on the Legislature’s invalidation of the natural and probable consequences doctrine, the Attorney General argues the alternative-theory </w:t>
      </w:r>
      <w:r w:rsidR="00D608F3">
        <w:t xml:space="preserve">instructional </w:t>
      </w:r>
      <w:r>
        <w:t>error brought about by the retroactive application of Senate Bill 1437 is</w:t>
      </w:r>
      <w:r>
        <w:t xml:space="preserve"> harmless.  </w:t>
      </w:r>
      <w:r w:rsidR="00F64387">
        <w:t>W</w:t>
      </w:r>
      <w:r>
        <w:t>e asked the parties to address</w:t>
      </w:r>
      <w:r w:rsidR="002B1D9B">
        <w:t xml:space="preserve"> </w:t>
      </w:r>
      <w:r w:rsidR="00065D75">
        <w:t xml:space="preserve">at oral argument </w:t>
      </w:r>
      <w:r w:rsidR="00301880">
        <w:t>whether, in light of</w:t>
      </w:r>
      <w:r>
        <w:t xml:space="preserve"> this court’s decision in </w:t>
      </w:r>
      <w:r w:rsidRPr="00B22878">
        <w:rPr>
          <w:i/>
          <w:iCs/>
        </w:rPr>
        <w:t>People v. Powell</w:t>
      </w:r>
      <w:r>
        <w:t xml:space="preserve"> (2021) 63 Cal.App.5th </w:t>
      </w:r>
      <w:r w:rsidR="00673D2A">
        <w:t>689</w:t>
      </w:r>
      <w:r>
        <w:t xml:space="preserve"> (</w:t>
      </w:r>
      <w:r w:rsidRPr="00E4176F">
        <w:rPr>
          <w:i/>
          <w:iCs/>
        </w:rPr>
        <w:t>Powell</w:t>
      </w:r>
      <w:r>
        <w:t xml:space="preserve">), </w:t>
      </w:r>
      <w:r w:rsidR="00301880">
        <w:t>Roman’s jury received an erroneous instruction on aiding and abetting second degree murder</w:t>
      </w:r>
      <w:r>
        <w:t>.</w:t>
      </w:r>
      <w:r w:rsidR="00301880">
        <w:t xml:space="preserve">  </w:t>
      </w:r>
      <w:r w:rsidR="00D608F3">
        <w:t xml:space="preserve">Roman </w:t>
      </w:r>
      <w:r w:rsidR="002B1D9B">
        <w:t>argue</w:t>
      </w:r>
      <w:r w:rsidR="00065D75">
        <w:t>d</w:t>
      </w:r>
      <w:r>
        <w:t xml:space="preserve"> that, based on </w:t>
      </w:r>
      <w:r w:rsidRPr="00E4176F">
        <w:rPr>
          <w:i/>
          <w:iCs/>
        </w:rPr>
        <w:t>Powell</w:t>
      </w:r>
      <w:r>
        <w:t>, there was</w:t>
      </w:r>
      <w:r w:rsidR="00ED2353">
        <w:t xml:space="preserve"> prejudicial</w:t>
      </w:r>
      <w:r>
        <w:t xml:space="preserve"> instructional error</w:t>
      </w:r>
      <w:r w:rsidR="002B1D9B">
        <w:t xml:space="preserve"> as to direct aiding and abetting implied malice murder</w:t>
      </w:r>
      <w:r>
        <w:t xml:space="preserve">.  </w:t>
      </w:r>
      <w:r w:rsidR="00065D75">
        <w:t>The Attorney General did not contest this assertion.</w:t>
      </w:r>
    </w:p>
    <w:p w14:paraId="6FA7098F" w14:textId="7661AF60" w:rsidR="003D1607" w:rsidRDefault="0061079E" w:rsidP="00EE3794">
      <w:pPr>
        <w:pStyle w:val="bodytext"/>
      </w:pPr>
      <w:r>
        <w:t xml:space="preserve">As </w:t>
      </w:r>
      <w:r w:rsidR="00EE3794">
        <w:t>we shall discuss, we conclude both errors are harmless beyond a reasonable doubt.</w:t>
      </w:r>
      <w:r w:rsidR="00065D75">
        <w:t xml:space="preserve">  </w:t>
      </w:r>
      <w:r>
        <w:t xml:space="preserve">We begin by </w:t>
      </w:r>
      <w:r w:rsidR="00065D75">
        <w:t>detail</w:t>
      </w:r>
      <w:r>
        <w:t xml:space="preserve">ing </w:t>
      </w:r>
      <w:r w:rsidR="00065D75">
        <w:t>additional facts.</w:t>
      </w:r>
    </w:p>
    <w:p w14:paraId="0A18F7E4" w14:textId="77777777" w:rsidR="003D1607" w:rsidRPr="00E4176F" w:rsidRDefault="0061079E" w:rsidP="003866DD">
      <w:pPr>
        <w:pStyle w:val="bodytext"/>
        <w:keepNext/>
        <w:ind w:firstLine="0"/>
        <w:jc w:val="center"/>
        <w:rPr>
          <w:b/>
          <w:bCs/>
        </w:rPr>
      </w:pPr>
      <w:r w:rsidRPr="00E4176F">
        <w:rPr>
          <w:b/>
          <w:bCs/>
        </w:rPr>
        <w:t>A.  Additional Background</w:t>
      </w:r>
    </w:p>
    <w:p w14:paraId="5FCAF58B" w14:textId="132F8C04" w:rsidR="00315E88" w:rsidRPr="00E4176F" w:rsidRDefault="0061079E" w:rsidP="003866DD">
      <w:pPr>
        <w:keepNext/>
        <w:rPr>
          <w:b/>
          <w:bCs/>
        </w:rPr>
      </w:pPr>
      <w:r>
        <w:tab/>
      </w:r>
      <w:r w:rsidRPr="00E4176F">
        <w:rPr>
          <w:b/>
          <w:bCs/>
        </w:rPr>
        <w:t xml:space="preserve">1.  </w:t>
      </w:r>
      <w:r w:rsidR="00E11FF0">
        <w:rPr>
          <w:b/>
          <w:bCs/>
        </w:rPr>
        <w:t>The First Crash,</w:t>
      </w:r>
      <w:r w:rsidRPr="00E4176F">
        <w:rPr>
          <w:b/>
          <w:bCs/>
        </w:rPr>
        <w:t xml:space="preserve"> </w:t>
      </w:r>
      <w:r w:rsidR="00D30CFC">
        <w:rPr>
          <w:b/>
          <w:bCs/>
        </w:rPr>
        <w:t>Theft</w:t>
      </w:r>
      <w:r w:rsidRPr="00E4176F">
        <w:rPr>
          <w:b/>
          <w:bCs/>
        </w:rPr>
        <w:t xml:space="preserve"> of the Truck</w:t>
      </w:r>
      <w:r w:rsidR="00E11FF0">
        <w:rPr>
          <w:b/>
          <w:bCs/>
        </w:rPr>
        <w:t xml:space="preserve"> and Flight on Interstate 80</w:t>
      </w:r>
    </w:p>
    <w:p w14:paraId="3C2D01DC" w14:textId="6316E8E5" w:rsidR="00315E88" w:rsidRDefault="0061079E" w:rsidP="00315E88">
      <w:r>
        <w:tab/>
        <w:t xml:space="preserve">Investigators began their interview of Roman by asking what had happened that morning. </w:t>
      </w:r>
      <w:r w:rsidR="00065D75">
        <w:t xml:space="preserve"> </w:t>
      </w:r>
      <w:r>
        <w:t>Roman initial</w:t>
      </w:r>
      <w:r>
        <w:t>ly responded, “It</w:t>
      </w:r>
      <w:r w:rsidR="00E8172C">
        <w:t xml:space="preserve">’s </w:t>
      </w:r>
      <w:r>
        <w:t>just a stupid choice</w:t>
      </w:r>
      <w:r w:rsidR="00F12456">
        <w:t>,</w:t>
      </w:r>
      <w:r>
        <w:t xml:space="preserve">” </w:t>
      </w:r>
      <w:r w:rsidR="00BD0F6D">
        <w:t>add</w:t>
      </w:r>
      <w:r w:rsidR="00F12456">
        <w:t>ing</w:t>
      </w:r>
      <w:r w:rsidR="00BD0F6D">
        <w:t xml:space="preserve"> </w:t>
      </w:r>
      <w:r>
        <w:t>that when the police tried to stop him in Auburn, “</w:t>
      </w:r>
      <w:r w:rsidRPr="00AE790E">
        <w:t xml:space="preserve">I </w:t>
      </w:r>
      <w:r>
        <w:t xml:space="preserve">was stupid when I was running.”  </w:t>
      </w:r>
      <w:r w:rsidR="00BD0F6D">
        <w:t>He</w:t>
      </w:r>
      <w:r>
        <w:t xml:space="preserve"> said he fled </w:t>
      </w:r>
      <w:bookmarkStart w:id="146" w:name="ElPgBr33"/>
      <w:bookmarkEnd w:id="146"/>
      <w:r>
        <w:lastRenderedPageBreak/>
        <w:t xml:space="preserve">because he had a warrant for not showing up to court.  After the </w:t>
      </w:r>
      <w:r w:rsidR="00F94B35">
        <w:t xml:space="preserve">BMW </w:t>
      </w:r>
      <w:r>
        <w:t>crash, he and his brother fled</w:t>
      </w:r>
      <w:r w:rsidR="00BD0F6D">
        <w:t xml:space="preserve"> on foot</w:t>
      </w:r>
      <w:r>
        <w:t xml:space="preserve"> together, jumping some residential fences. </w:t>
      </w:r>
    </w:p>
    <w:p w14:paraId="3A477175" w14:textId="1A389550" w:rsidR="00F94B35" w:rsidRDefault="0061079E" w:rsidP="00F94B35">
      <w:r>
        <w:tab/>
      </w:r>
      <w:r w:rsidR="00E11FF0">
        <w:t>Roman</w:t>
      </w:r>
      <w:r>
        <w:t xml:space="preserve"> claimed when they came upon the truck, </w:t>
      </w:r>
      <w:r w:rsidR="00E11FF0">
        <w:t>they found it to be unlocked</w:t>
      </w:r>
      <w:r w:rsidR="00D30CFC">
        <w:t xml:space="preserve"> and </w:t>
      </w:r>
      <w:r w:rsidR="00E11FF0">
        <w:t>h</w:t>
      </w:r>
      <w:r>
        <w:t xml:space="preserve">id in it for what seemed like 15 to 20 minutes.  </w:t>
      </w:r>
      <w:r w:rsidR="00BD0F6D">
        <w:t>He</w:t>
      </w:r>
      <w:r w:rsidR="00E11FF0">
        <w:t xml:space="preserve"> got in the rear passenger seat behind the driver’s seat where Ruslan sat.  </w:t>
      </w:r>
      <w:r>
        <w:t>S</w:t>
      </w:r>
      <w:r>
        <w:t xml:space="preserve">cared by sirens they heard, they started </w:t>
      </w:r>
      <w:r w:rsidR="00437916">
        <w:t xml:space="preserve">the truck </w:t>
      </w:r>
      <w:r>
        <w:t xml:space="preserve">and </w:t>
      </w:r>
      <w:r w:rsidR="00BD0F6D">
        <w:t xml:space="preserve">drove </w:t>
      </w:r>
      <w:r w:rsidR="0055756D">
        <w:t>off</w:t>
      </w:r>
      <w:r>
        <w:t xml:space="preserve">.  When asked their intent in driving the truck away, Roman replied, “Uh, just a stupid choice.” </w:t>
      </w:r>
    </w:p>
    <w:p w14:paraId="5AF0527E" w14:textId="2484EE5C" w:rsidR="00315E88" w:rsidRDefault="0061079E" w:rsidP="00AA6294">
      <w:r>
        <w:tab/>
      </w:r>
      <w:r w:rsidR="001938C0">
        <w:t>Roman said he looked at the speedometer w</w:t>
      </w:r>
      <w:r>
        <w:t xml:space="preserve">hile fleeing from law enforcement on Interstate 80, </w:t>
      </w:r>
      <w:r w:rsidR="001938C0">
        <w:t xml:space="preserve">and </w:t>
      </w:r>
      <w:r>
        <w:t xml:space="preserve">they </w:t>
      </w:r>
      <w:r w:rsidR="001441FA">
        <w:t xml:space="preserve">reached a speed of 90 miles per hour, but </w:t>
      </w:r>
      <w:r w:rsidR="00D30CFC">
        <w:t xml:space="preserve">he </w:t>
      </w:r>
      <w:r w:rsidR="001441FA">
        <w:t xml:space="preserve">denied going faster.  </w:t>
      </w:r>
      <w:bookmarkStart w:id="147" w:name="_Hlk100050383"/>
      <w:r w:rsidR="001441FA">
        <w:t>When asked if he remembered telling Ruslan to stop or slow down, Roman said</w:t>
      </w:r>
      <w:r w:rsidR="00290948">
        <w:t>,</w:t>
      </w:r>
      <w:r w:rsidR="001441FA">
        <w:t xml:space="preserve"> “I don’t remember.” </w:t>
      </w:r>
    </w:p>
    <w:bookmarkEnd w:id="147"/>
    <w:p w14:paraId="17B43256" w14:textId="22B2C002" w:rsidR="005D7D86" w:rsidRPr="00E4176F" w:rsidRDefault="0061079E" w:rsidP="003866DD">
      <w:pPr>
        <w:keepNext/>
        <w:rPr>
          <w:b/>
          <w:bCs/>
        </w:rPr>
      </w:pPr>
      <w:r>
        <w:tab/>
      </w:r>
      <w:r w:rsidR="001441FA" w:rsidRPr="00E4176F">
        <w:rPr>
          <w:b/>
          <w:bCs/>
        </w:rPr>
        <w:t>2</w:t>
      </w:r>
      <w:r w:rsidRPr="00E4176F">
        <w:rPr>
          <w:b/>
          <w:bCs/>
        </w:rPr>
        <w:t xml:space="preserve">.  The </w:t>
      </w:r>
      <w:r w:rsidR="001441FA">
        <w:rPr>
          <w:b/>
          <w:bCs/>
        </w:rPr>
        <w:t>Evasive Flight</w:t>
      </w:r>
      <w:r w:rsidRPr="00E4176F">
        <w:rPr>
          <w:b/>
          <w:bCs/>
        </w:rPr>
        <w:t xml:space="preserve"> on Antelope Road and </w:t>
      </w:r>
      <w:r w:rsidR="001441FA">
        <w:rPr>
          <w:b/>
          <w:bCs/>
        </w:rPr>
        <w:t>Fatal</w:t>
      </w:r>
      <w:r w:rsidRPr="00E4176F">
        <w:rPr>
          <w:b/>
          <w:bCs/>
        </w:rPr>
        <w:t xml:space="preserve"> Collision</w:t>
      </w:r>
    </w:p>
    <w:p w14:paraId="65DED492" w14:textId="68049CDE" w:rsidR="001441FA" w:rsidRDefault="0061079E" w:rsidP="001441FA">
      <w:r>
        <w:tab/>
        <w:t xml:space="preserve">Roman told </w:t>
      </w:r>
      <w:r>
        <w:t>investigators that while they were on Interstate 80</w:t>
      </w:r>
      <w:r w:rsidR="0055756D">
        <w:t>,</w:t>
      </w:r>
      <w:r>
        <w:t xml:space="preserve"> Ruslan asked him where they should go.  Roman told him to take the Antelope exit because they were familiar with the area.  </w:t>
      </w:r>
      <w:bookmarkStart w:id="148" w:name="_Hlk100050439"/>
      <w:r>
        <w:t>Roman said, after getting off on Antelope, “[w]e didn’t know where to go from t</w:t>
      </w:r>
      <w:r>
        <w:t xml:space="preserve">here.” </w:t>
      </w:r>
      <w:bookmarkEnd w:id="148"/>
    </w:p>
    <w:p w14:paraId="1CBF2C17" w14:textId="11E13BA6" w:rsidR="000103E8" w:rsidRDefault="0061079E" w:rsidP="00AA6294">
      <w:r>
        <w:tab/>
      </w:r>
      <w:r w:rsidR="00677961">
        <w:t xml:space="preserve">The </w:t>
      </w:r>
      <w:r w:rsidR="00816A8A">
        <w:t xml:space="preserve">testimony </w:t>
      </w:r>
      <w:r w:rsidR="00677961">
        <w:t xml:space="preserve">from pursuing deputies </w:t>
      </w:r>
      <w:r w:rsidR="00816A8A">
        <w:t xml:space="preserve">established </w:t>
      </w:r>
      <w:r w:rsidR="00437916">
        <w:t xml:space="preserve">that </w:t>
      </w:r>
      <w:r w:rsidR="00D1494E">
        <w:t xml:space="preserve">while in the Interstate 80 rush hour traffic, </w:t>
      </w:r>
      <w:r>
        <w:t>the truck</w:t>
      </w:r>
      <w:r w:rsidR="00AA6294">
        <w:t xml:space="preserve"> abrupt</w:t>
      </w:r>
      <w:r w:rsidR="00437916">
        <w:t xml:space="preserve">ly </w:t>
      </w:r>
      <w:r w:rsidR="00AA6294">
        <w:t>cut</w:t>
      </w:r>
      <w:r w:rsidR="00437916">
        <w:t xml:space="preserve"> </w:t>
      </w:r>
      <w:r w:rsidR="00AA6294">
        <w:t xml:space="preserve">across the freeway lanes to </w:t>
      </w:r>
      <w:r w:rsidR="00CB3DAE">
        <w:t xml:space="preserve">exit </w:t>
      </w:r>
      <w:r w:rsidR="00AA6294">
        <w:t xml:space="preserve">at Antelope Road.  </w:t>
      </w:r>
      <w:r w:rsidR="0051746B">
        <w:t xml:space="preserve">Vehicles </w:t>
      </w:r>
      <w:r>
        <w:t xml:space="preserve">on the offramp </w:t>
      </w:r>
      <w:r w:rsidR="00452A4F">
        <w:t xml:space="preserve">were </w:t>
      </w:r>
      <w:r>
        <w:t xml:space="preserve">stopped for a red light </w:t>
      </w:r>
      <w:r w:rsidR="00D1494E">
        <w:t xml:space="preserve">at </w:t>
      </w:r>
      <w:r w:rsidR="00FB4309">
        <w:t xml:space="preserve">the </w:t>
      </w:r>
      <w:r>
        <w:t>Antelope Roa</w:t>
      </w:r>
      <w:r>
        <w:t>d</w:t>
      </w:r>
      <w:r w:rsidR="00D1494E">
        <w:t xml:space="preserve"> intersection</w:t>
      </w:r>
      <w:r w:rsidR="00452A4F">
        <w:t>, and</w:t>
      </w:r>
      <w:r>
        <w:t xml:space="preserve"> </w:t>
      </w:r>
      <w:r w:rsidR="00452A4F" w:rsidRPr="00216DD0">
        <w:t>t</w:t>
      </w:r>
      <w:r w:rsidRPr="00216DD0">
        <w:t xml:space="preserve">raffic </w:t>
      </w:r>
      <w:r w:rsidR="00660AAB" w:rsidRPr="00216DD0">
        <w:t xml:space="preserve">there </w:t>
      </w:r>
      <w:r w:rsidRPr="00216DD0">
        <w:t>was</w:t>
      </w:r>
      <w:r w:rsidR="00452A4F" w:rsidRPr="00216DD0">
        <w:t>,</w:t>
      </w:r>
      <w:r>
        <w:t xml:space="preserve"> </w:t>
      </w:r>
      <w:r w:rsidR="00AA6294">
        <w:t xml:space="preserve">“very heavy,” </w:t>
      </w:r>
      <w:r w:rsidR="00452A4F">
        <w:t xml:space="preserve">with, </w:t>
      </w:r>
      <w:r w:rsidR="00AA6294">
        <w:t>“a lot of commuter traffic</w:t>
      </w:r>
      <w:r w:rsidR="00D1494E">
        <w:t>.</w:t>
      </w:r>
      <w:r w:rsidR="00AA6294">
        <w:t xml:space="preserve">” </w:t>
      </w:r>
      <w:r>
        <w:t xml:space="preserve"> </w:t>
      </w:r>
      <w:r w:rsidR="0055756D">
        <w:t>To get through this traffic, t</w:t>
      </w:r>
      <w:r>
        <w:t>he truck</w:t>
      </w:r>
      <w:r w:rsidR="00AA6294">
        <w:t xml:space="preserve"> “split” the </w:t>
      </w:r>
      <w:r w:rsidR="00AA6294" w:rsidRPr="000301A9">
        <w:t xml:space="preserve">two lanes </w:t>
      </w:r>
      <w:r w:rsidR="0055756D">
        <w:t>of vehicles</w:t>
      </w:r>
      <w:r>
        <w:t xml:space="preserve"> </w:t>
      </w:r>
      <w:r w:rsidR="00FB4309">
        <w:t xml:space="preserve">that had stopped </w:t>
      </w:r>
      <w:r w:rsidR="00AA6294">
        <w:t xml:space="preserve">and drove through the red light onto Antelope Road. </w:t>
      </w:r>
    </w:p>
    <w:p w14:paraId="6008A237" w14:textId="1E0E4266" w:rsidR="000103E8" w:rsidRPr="00216DD0" w:rsidRDefault="0061079E" w:rsidP="00AA6294">
      <w:r>
        <w:tab/>
      </w:r>
      <w:r w:rsidR="00AA6294">
        <w:t>The roadway on Antelope Road was</w:t>
      </w:r>
      <w:r w:rsidR="00D1494E">
        <w:t xml:space="preserve"> </w:t>
      </w:r>
      <w:r w:rsidR="00AA6294">
        <w:t xml:space="preserve">wet and heavily congested with traffic.  </w:t>
      </w:r>
      <w:r>
        <w:t>The truck</w:t>
      </w:r>
      <w:r w:rsidR="00AA6294">
        <w:t xml:space="preserve"> made multiple lane changes in th</w:t>
      </w:r>
      <w:r w:rsidR="0055756D">
        <w:t>is</w:t>
      </w:r>
      <w:r w:rsidR="00AA6294">
        <w:t xml:space="preserve"> traffic.  There were several major intersections on Antelope Road controlled by traffic </w:t>
      </w:r>
      <w:r w:rsidR="00AA6294" w:rsidRPr="00103248">
        <w:t xml:space="preserve">lights with cross traffic.  </w:t>
      </w:r>
      <w:r w:rsidR="00071A5B">
        <w:t>There was cross-traffic at almost all of the red lights they ran.  When driving through</w:t>
      </w:r>
      <w:r w:rsidR="00AA6294">
        <w:t xml:space="preserve"> the red lights, </w:t>
      </w:r>
      <w:r w:rsidR="00071A5B">
        <w:t xml:space="preserve">the truck took </w:t>
      </w:r>
      <w:r w:rsidR="00AA6294">
        <w:t xml:space="preserve">“the fastest path through” the intersections.  For example, at one major intersection, to get </w:t>
      </w:r>
      <w:bookmarkStart w:id="149" w:name="ElPgBr34"/>
      <w:bookmarkEnd w:id="149"/>
      <w:r w:rsidR="00AA6294">
        <w:lastRenderedPageBreak/>
        <w:t xml:space="preserve">around traffic, </w:t>
      </w:r>
      <w:r>
        <w:t>the truck</w:t>
      </w:r>
      <w:r w:rsidR="00AA6294">
        <w:t xml:space="preserve"> crossed into the left turn lane</w:t>
      </w:r>
      <w:r>
        <w:t>,</w:t>
      </w:r>
      <w:r w:rsidR="00AA6294">
        <w:t xml:space="preserve"> went through the red light</w:t>
      </w:r>
      <w:r>
        <w:t xml:space="preserve"> and then merged</w:t>
      </w:r>
      <w:r w:rsidR="00AA6294">
        <w:t xml:space="preserve"> back into the traffic lane on Antelope</w:t>
      </w:r>
      <w:r w:rsidR="00D1494E">
        <w:t xml:space="preserve"> Road</w:t>
      </w:r>
      <w:r w:rsidR="00AA6294">
        <w:t xml:space="preserve"> on the opposite side of the intersection.  </w:t>
      </w:r>
      <w:r w:rsidR="00071A5B">
        <w:t xml:space="preserve">One deputy testified it was more dangerous driving at high speeds on surface roads as opposed to the freeway because of intersections, potential pedestrians and bicyclists, especially at 6:30 a.m. on a weekday.  </w:t>
      </w:r>
      <w:r w:rsidR="00166AFB">
        <w:t xml:space="preserve">He also </w:t>
      </w:r>
      <w:r w:rsidR="00AA6294">
        <w:t xml:space="preserve">testified </w:t>
      </w:r>
      <w:r w:rsidR="00D1494E">
        <w:t>that in his opinion</w:t>
      </w:r>
      <w:r w:rsidR="00AA6294">
        <w:t xml:space="preserve"> </w:t>
      </w:r>
      <w:r w:rsidR="00D1494E">
        <w:t>it was</w:t>
      </w:r>
      <w:r w:rsidR="00AA6294">
        <w:t xml:space="preserve"> luc</w:t>
      </w:r>
      <w:r w:rsidR="00D1494E">
        <w:t>k</w:t>
      </w:r>
      <w:r w:rsidR="00AA6294">
        <w:t xml:space="preserve"> that the truck did not collide into anybody </w:t>
      </w:r>
      <w:r w:rsidR="00D30CFC">
        <w:t xml:space="preserve">at </w:t>
      </w:r>
      <w:r w:rsidR="00AA6294">
        <w:t xml:space="preserve">those </w:t>
      </w:r>
      <w:r w:rsidR="00D30CFC">
        <w:t xml:space="preserve">major </w:t>
      </w:r>
      <w:r w:rsidR="00AA6294" w:rsidRPr="00216DD0">
        <w:t>intersections</w:t>
      </w:r>
      <w:r w:rsidR="00660AAB" w:rsidRPr="00216DD0">
        <w:t xml:space="preserve"> </w:t>
      </w:r>
      <w:r w:rsidR="00660AAB" w:rsidRPr="003866DD">
        <w:t>before the fatal crash</w:t>
      </w:r>
      <w:r w:rsidR="00AA6294" w:rsidRPr="00216DD0">
        <w:t xml:space="preserve">. </w:t>
      </w:r>
    </w:p>
    <w:p w14:paraId="218F8CA4" w14:textId="2415FEC6" w:rsidR="00AA6294" w:rsidRDefault="0061079E" w:rsidP="00AA6294">
      <w:r w:rsidRPr="00216DD0">
        <w:tab/>
        <w:t xml:space="preserve">Pursuing deputies </w:t>
      </w:r>
      <w:r w:rsidR="00DA75B9" w:rsidRPr="00216DD0">
        <w:t xml:space="preserve">testified that the truck was travelling at </w:t>
      </w:r>
      <w:r w:rsidRPr="00216DD0">
        <w:t>speeds up to 80 or</w:t>
      </w:r>
      <w:r>
        <w:t xml:space="preserve"> 90 miles per hour</w:t>
      </w:r>
      <w:r w:rsidR="00DA75B9">
        <w:t xml:space="preserve"> during the evasion on Antelope Road.  And it was putting</w:t>
      </w:r>
      <w:r>
        <w:t xml:space="preserve"> distance between the pursuing deputies, who, although </w:t>
      </w:r>
      <w:r w:rsidR="00303291">
        <w:t xml:space="preserve">traffic was </w:t>
      </w:r>
      <w:r>
        <w:t xml:space="preserve">moving </w:t>
      </w:r>
      <w:r>
        <w:t xml:space="preserve">to the side, had to slow down as </w:t>
      </w:r>
      <w:r w:rsidR="00FB4309">
        <w:t>they</w:t>
      </w:r>
      <w:r w:rsidR="0055756D">
        <w:t xml:space="preserve"> </w:t>
      </w:r>
      <w:r>
        <w:t xml:space="preserve">went through intersections.  </w:t>
      </w:r>
    </w:p>
    <w:p w14:paraId="4A5B3AB0" w14:textId="6A2E8378" w:rsidR="00D91444" w:rsidRDefault="0061079E" w:rsidP="00AA6294">
      <w:r>
        <w:tab/>
        <w:t xml:space="preserve">The pursuit ended when </w:t>
      </w:r>
      <w:r w:rsidR="00AA6294">
        <w:t xml:space="preserve">Ruslan drove over an overpass </w:t>
      </w:r>
      <w:r w:rsidR="00AA6294" w:rsidRPr="00103248">
        <w:t>at</w:t>
      </w:r>
      <w:r w:rsidR="00DA75B9">
        <w:t xml:space="preserve"> what deputies testified was</w:t>
      </w:r>
      <w:r w:rsidR="00AA6294" w:rsidRPr="00103248">
        <w:t xml:space="preserve"> 70 to 80 miles per hour, entered</w:t>
      </w:r>
      <w:r w:rsidR="00AA6294">
        <w:t xml:space="preserve"> the next intersection against the red light and collided into the Kia</w:t>
      </w:r>
      <w:r w:rsidR="00FB4309">
        <w:t xml:space="preserve"> as it was making a left turn from Antelope Road</w:t>
      </w:r>
      <w:r w:rsidR="0021538C">
        <w:t xml:space="preserve"> onto a side street</w:t>
      </w:r>
      <w:r w:rsidR="00AA6294">
        <w:t xml:space="preserve">.  The primary pursuing deputy testified that as he was descending the overpass, he saw </w:t>
      </w:r>
      <w:r>
        <w:t xml:space="preserve">that </w:t>
      </w:r>
      <w:r w:rsidR="00DA75B9">
        <w:t xml:space="preserve">the truck had collided into the Kia and </w:t>
      </w:r>
      <w:r w:rsidR="00641958">
        <w:t>watched it</w:t>
      </w:r>
      <w:r w:rsidR="00AA6294">
        <w:t xml:space="preserve"> push the Kia approximately 45 yards. </w:t>
      </w:r>
      <w:r w:rsidR="00AA6294" w:rsidRPr="00555F2D">
        <w:t xml:space="preserve"> </w:t>
      </w:r>
    </w:p>
    <w:p w14:paraId="4D7BA4F9" w14:textId="30B9E3CB" w:rsidR="00AA6294" w:rsidRDefault="0061079E" w:rsidP="00AA6294">
      <w:r>
        <w:tab/>
      </w:r>
      <w:r w:rsidRPr="00555F2D">
        <w:t>One m</w:t>
      </w:r>
      <w:r w:rsidRPr="00555F2D">
        <w:t>otorist</w:t>
      </w:r>
      <w:r w:rsidR="00166AFB">
        <w:t xml:space="preserve">, </w:t>
      </w:r>
      <w:r w:rsidRPr="00555F2D">
        <w:t>stopped next to the Kia</w:t>
      </w:r>
      <w:r>
        <w:t xml:space="preserve"> at what was then a red light</w:t>
      </w:r>
      <w:r w:rsidR="00166AFB">
        <w:t>,</w:t>
      </w:r>
      <w:r w:rsidR="0055756D">
        <w:t xml:space="preserve"> </w:t>
      </w:r>
      <w:r w:rsidRPr="00555F2D">
        <w:t xml:space="preserve">observed the Kia drive forward into the intersection when the left turn signal </w:t>
      </w:r>
      <w:r>
        <w:t>turned</w:t>
      </w:r>
      <w:r w:rsidRPr="00555F2D">
        <w:t xml:space="preserve"> green.  </w:t>
      </w:r>
      <w:r w:rsidR="0021538C">
        <w:t>The motorist</w:t>
      </w:r>
      <w:r w:rsidRPr="00555F2D">
        <w:t xml:space="preserve"> then saw the </w:t>
      </w:r>
      <w:r>
        <w:t>truck</w:t>
      </w:r>
      <w:r w:rsidRPr="00555F2D">
        <w:t xml:space="preserve"> come over the overpass </w:t>
      </w:r>
      <w:r w:rsidR="00F561A3">
        <w:t xml:space="preserve">in the opposite direction </w:t>
      </w:r>
      <w:r w:rsidRPr="00555F2D">
        <w:t>as she proceeded f</w:t>
      </w:r>
      <w:r w:rsidRPr="00555F2D">
        <w:t>orward</w:t>
      </w:r>
      <w:r>
        <w:t xml:space="preserve"> </w:t>
      </w:r>
      <w:r w:rsidR="00344E38">
        <w:t xml:space="preserve">on </w:t>
      </w:r>
      <w:r w:rsidR="00F561A3">
        <w:t xml:space="preserve">her </w:t>
      </w:r>
      <w:r w:rsidR="00344E38">
        <w:t>green light</w:t>
      </w:r>
      <w:r w:rsidR="00641958">
        <w:t xml:space="preserve">. </w:t>
      </w:r>
      <w:r w:rsidR="00303291">
        <w:t xml:space="preserve"> </w:t>
      </w:r>
      <w:r w:rsidR="001F0CC6">
        <w:t xml:space="preserve">Thereafter, she </w:t>
      </w:r>
      <w:r w:rsidRPr="00555F2D">
        <w:t xml:space="preserve">heard a crash and looked back to see the truck had collided with </w:t>
      </w:r>
      <w:r w:rsidR="00844A5C">
        <w:t xml:space="preserve">the </w:t>
      </w:r>
      <w:r w:rsidR="00303291">
        <w:t>Kia</w:t>
      </w:r>
      <w:r w:rsidRPr="00555F2D">
        <w:t xml:space="preserve">.  She estimated the </w:t>
      </w:r>
      <w:r>
        <w:t>truck</w:t>
      </w:r>
      <w:r w:rsidRPr="00555F2D">
        <w:t xml:space="preserve"> came over the overpass a</w:t>
      </w:r>
      <w:r w:rsidR="00344E38">
        <w:t>t</w:t>
      </w:r>
      <w:r w:rsidRPr="00555F2D">
        <w:t xml:space="preserve"> 75 to 85 </w:t>
      </w:r>
      <w:r w:rsidR="00584037">
        <w:t>miles per hour</w:t>
      </w:r>
      <w:r w:rsidR="00344E38">
        <w:t xml:space="preserve">, </w:t>
      </w:r>
      <w:r w:rsidRPr="00555F2D">
        <w:t xml:space="preserve">and described the speed of the </w:t>
      </w:r>
      <w:r>
        <w:t>truck</w:t>
      </w:r>
      <w:r w:rsidRPr="00555F2D">
        <w:t xml:space="preserve"> as “like a bat out of hel</w:t>
      </w:r>
      <w:r w:rsidRPr="00555F2D">
        <w:t xml:space="preserve">l.” </w:t>
      </w:r>
      <w:r w:rsidR="00452A4F">
        <w:t xml:space="preserve"> </w:t>
      </w:r>
      <w:r w:rsidR="0021538C">
        <w:t xml:space="preserve">As </w:t>
      </w:r>
      <w:r>
        <w:t>she saw the truck crest the overpass</w:t>
      </w:r>
      <w:r w:rsidR="0021538C">
        <w:t xml:space="preserve"> before the collision</w:t>
      </w:r>
      <w:r>
        <w:t xml:space="preserve">, </w:t>
      </w:r>
      <w:r w:rsidRPr="00555F2D">
        <w:t xml:space="preserve">she thought </w:t>
      </w:r>
      <w:r w:rsidR="00344E38">
        <w:t xml:space="preserve">it </w:t>
      </w:r>
      <w:r w:rsidRPr="00555F2D">
        <w:t xml:space="preserve">would flip or cause a collision </w:t>
      </w:r>
      <w:r>
        <w:t>because the roadway was wet</w:t>
      </w:r>
      <w:r w:rsidRPr="00555F2D">
        <w:t xml:space="preserve">. </w:t>
      </w:r>
    </w:p>
    <w:p w14:paraId="1B74D17B" w14:textId="0F421E62" w:rsidR="00AA6294" w:rsidRDefault="0061079E" w:rsidP="00AA6294">
      <w:r>
        <w:tab/>
      </w:r>
      <w:r w:rsidRPr="00555F2D">
        <w:t>Another motorist</w:t>
      </w:r>
      <w:r w:rsidR="00344E38">
        <w:t xml:space="preserve"> </w:t>
      </w:r>
      <w:r w:rsidR="00AB48F8">
        <w:t>who</w:t>
      </w:r>
      <w:r w:rsidR="00344E38">
        <w:t xml:space="preserve"> </w:t>
      </w:r>
      <w:r>
        <w:t>started to follow</w:t>
      </w:r>
      <w:r w:rsidRPr="00555F2D">
        <w:t xml:space="preserve"> the Kia into the intersection</w:t>
      </w:r>
      <w:r w:rsidR="001F0CC6">
        <w:t xml:space="preserve"> from the left turn lane</w:t>
      </w:r>
      <w:r w:rsidRPr="00555F2D">
        <w:t xml:space="preserve"> </w:t>
      </w:r>
      <w:r w:rsidRPr="009A1E5C">
        <w:t xml:space="preserve">saw the </w:t>
      </w:r>
      <w:r>
        <w:t>truck</w:t>
      </w:r>
      <w:r w:rsidRPr="009A1E5C">
        <w:t xml:space="preserve"> speeding toward them</w:t>
      </w:r>
      <w:r w:rsidR="001F0CC6">
        <w:t xml:space="preserve"> from the opposite direction</w:t>
      </w:r>
      <w:r w:rsidRPr="009A1E5C">
        <w:t xml:space="preserve"> in the right turn </w:t>
      </w:r>
      <w:bookmarkStart w:id="150" w:name="ElPgBr35"/>
      <w:bookmarkEnd w:id="150"/>
      <w:r w:rsidRPr="009A1E5C">
        <w:lastRenderedPageBreak/>
        <w:t xml:space="preserve">lane, </w:t>
      </w:r>
      <w:r w:rsidR="00344E38">
        <w:t xml:space="preserve">only to </w:t>
      </w:r>
      <w:r w:rsidRPr="009A1E5C">
        <w:t xml:space="preserve">move into the center lane before entering the intersection </w:t>
      </w:r>
      <w:r w:rsidR="00344E38">
        <w:t xml:space="preserve">and </w:t>
      </w:r>
      <w:r w:rsidR="00B83E7D">
        <w:t xml:space="preserve">crashing </w:t>
      </w:r>
      <w:r w:rsidR="001F0CC6">
        <w:t xml:space="preserve">into </w:t>
      </w:r>
      <w:r w:rsidRPr="009A1E5C">
        <w:t>the Kia.</w:t>
      </w:r>
      <w:r>
        <w:t xml:space="preserve">  He estimated the truck’s speed as 70 to 75 </w:t>
      </w:r>
      <w:r w:rsidR="00584037">
        <w:t>miles per hour</w:t>
      </w:r>
      <w:r>
        <w:t xml:space="preserve">. </w:t>
      </w:r>
    </w:p>
    <w:p w14:paraId="6B951A2C" w14:textId="4BEFF7AA" w:rsidR="00AA6294" w:rsidRDefault="0061079E" w:rsidP="00AA6294">
      <w:r>
        <w:tab/>
        <w:t xml:space="preserve">After the </w:t>
      </w:r>
      <w:r w:rsidR="0021538C">
        <w:t>truck and Kia</w:t>
      </w:r>
      <w:r>
        <w:t xml:space="preserve"> ca</w:t>
      </w:r>
      <w:r>
        <w:t xml:space="preserve">me to a stop, the primary pursuing deputy saw </w:t>
      </w:r>
      <w:r w:rsidR="0021538C">
        <w:t xml:space="preserve">two </w:t>
      </w:r>
      <w:r w:rsidR="00AB48F8">
        <w:t xml:space="preserve">occupants </w:t>
      </w:r>
      <w:r>
        <w:t xml:space="preserve">exit the </w:t>
      </w:r>
      <w:r w:rsidR="00AB48F8">
        <w:t xml:space="preserve">truck’s </w:t>
      </w:r>
      <w:r>
        <w:t xml:space="preserve">passenger </w:t>
      </w:r>
      <w:r w:rsidR="00AB48F8">
        <w:t xml:space="preserve">and driver’s </w:t>
      </w:r>
      <w:r>
        <w:t>side</w:t>
      </w:r>
      <w:r w:rsidR="00AB48F8">
        <w:t xml:space="preserve">. </w:t>
      </w:r>
      <w:r w:rsidR="00452A4F">
        <w:t xml:space="preserve"> </w:t>
      </w:r>
      <w:r>
        <w:t>The driver ran around the wreckage, past the vehicle he had struck.</w:t>
      </w:r>
      <w:bookmarkStart w:id="151" w:name="_Hlk100050746"/>
      <w:r w:rsidRPr="00641958">
        <w:t xml:space="preserve"> </w:t>
      </w:r>
      <w:bookmarkStart w:id="152" w:name="_Hlk99447768"/>
      <w:r w:rsidR="00452A4F">
        <w:t xml:space="preserve"> </w:t>
      </w:r>
      <w:r w:rsidRPr="00641958">
        <w:t xml:space="preserve">Responding to a question posed by a juror, the deputy testified that the driver </w:t>
      </w:r>
      <w:r w:rsidRPr="00641958">
        <w:t xml:space="preserve">did not check on the people in the </w:t>
      </w:r>
      <w:r w:rsidR="00303291">
        <w:t>Kia</w:t>
      </w:r>
      <w:r w:rsidRPr="00641958">
        <w:t xml:space="preserve">. </w:t>
      </w:r>
      <w:bookmarkEnd w:id="151"/>
      <w:bookmarkEnd w:id="152"/>
      <w:r>
        <w:t xml:space="preserve"> The person who got out of the passenger side ran toward the sidewalk toward the person who got out of the driver’s side and </w:t>
      </w:r>
      <w:r w:rsidR="00450897">
        <w:t>the two</w:t>
      </w:r>
      <w:r>
        <w:t xml:space="preserve"> fled into the neighborhood, jumping fences to make their escape. </w:t>
      </w:r>
    </w:p>
    <w:p w14:paraId="5219F68E" w14:textId="083AC461" w:rsidR="00AA6294" w:rsidRDefault="0061079E" w:rsidP="00AA6294">
      <w:r>
        <w:tab/>
      </w:r>
      <w:r w:rsidRPr="002C783F">
        <w:t>The posted speed</w:t>
      </w:r>
      <w:r w:rsidRPr="002C783F">
        <w:t xml:space="preserve"> limit </w:t>
      </w:r>
      <w:r>
        <w:t>on Antelope Road at the intersection where the collision occurred</w:t>
      </w:r>
      <w:r w:rsidRPr="002C783F">
        <w:t xml:space="preserve"> was 45 miles per hour.</w:t>
      </w:r>
      <w:r>
        <w:t xml:space="preserve">  The traffic lights at the intersection are visible from 800 to 900 feet, just before cresting the overpass.  The ambient lighting from sunrise and the artifici</w:t>
      </w:r>
      <w:r>
        <w:t xml:space="preserve">al lighting in the area illuminated the intersection.  Looking at </w:t>
      </w:r>
      <w:r w:rsidR="009A1724">
        <w:t xml:space="preserve">historical </w:t>
      </w:r>
      <w:r>
        <w:t>crash data and other information for the intersection</w:t>
      </w:r>
      <w:r w:rsidR="00303291">
        <w:t>,</w:t>
      </w:r>
      <w:r>
        <w:t xml:space="preserve"> an expert civil engineer determined there was nothing indicating the roadway was unsafe. </w:t>
      </w:r>
      <w:r w:rsidR="00844A5C">
        <w:t xml:space="preserve"> </w:t>
      </w:r>
      <w:r>
        <w:t>There had been no prior fatalities</w:t>
      </w:r>
      <w:r>
        <w:t xml:space="preserve"> at the intersection. </w:t>
      </w:r>
    </w:p>
    <w:p w14:paraId="596466E1" w14:textId="4F002F1B" w:rsidR="00AA6294" w:rsidRDefault="0061079E" w:rsidP="00E4176F">
      <w:r>
        <w:tab/>
        <w:t>Accident reconstruction testimony established that the truck was traveling between 70 and 81 miles per hour at the point of impact.</w:t>
      </w:r>
      <w:r>
        <w:rPr>
          <w:rStyle w:val="FootnoteReference"/>
        </w:rPr>
        <w:footnoteReference w:id="32"/>
      </w:r>
      <w:r>
        <w:t xml:space="preserve">  </w:t>
      </w:r>
      <w:r w:rsidR="00166AFB">
        <w:t>But</w:t>
      </w:r>
      <w:r>
        <w:t xml:space="preserve"> based on pre-collision data from </w:t>
      </w:r>
      <w:bookmarkStart w:id="154" w:name="ElPgBr36"/>
      <w:bookmarkEnd w:id="154"/>
      <w:r>
        <w:lastRenderedPageBreak/>
        <w:t xml:space="preserve">the truck’s air bag control module, the truck was </w:t>
      </w:r>
      <w:r w:rsidR="00450897">
        <w:t xml:space="preserve">actually </w:t>
      </w:r>
      <w:r>
        <w:t>t</w:t>
      </w:r>
      <w:r>
        <w:t>ravelling at 93 miles per hour</w:t>
      </w:r>
      <w:r w:rsidR="00450897">
        <w:t xml:space="preserve"> </w:t>
      </w:r>
      <w:r w:rsidR="009A1724">
        <w:t xml:space="preserve">just </w:t>
      </w:r>
      <w:r w:rsidR="00D23BEE">
        <w:t>one and a half seconds before the collision</w:t>
      </w:r>
      <w:r>
        <w:t>.</w:t>
      </w:r>
      <w:r>
        <w:rPr>
          <w:rStyle w:val="FootnoteReference"/>
        </w:rPr>
        <w:footnoteReference w:id="33"/>
      </w:r>
      <w:r>
        <w:t xml:space="preserve">  </w:t>
      </w:r>
      <w:bookmarkStart w:id="155" w:name="_Hlk99011606"/>
    </w:p>
    <w:bookmarkEnd w:id="155"/>
    <w:p w14:paraId="70EE0FEC" w14:textId="205E964E" w:rsidR="005D7D86" w:rsidRPr="00D266E4" w:rsidRDefault="0061079E" w:rsidP="003866DD">
      <w:pPr>
        <w:pStyle w:val="bodytext"/>
        <w:keepNext/>
        <w:ind w:firstLine="0"/>
        <w:jc w:val="center"/>
      </w:pPr>
      <w:r>
        <w:rPr>
          <w:b/>
          <w:bCs/>
        </w:rPr>
        <w:t>B</w:t>
      </w:r>
      <w:r w:rsidRPr="00E4176F">
        <w:rPr>
          <w:b/>
          <w:bCs/>
        </w:rPr>
        <w:t xml:space="preserve">.  </w:t>
      </w:r>
      <w:r w:rsidR="00102BC8">
        <w:rPr>
          <w:b/>
          <w:bCs/>
        </w:rPr>
        <w:t>Aiding and Abetting Implied Malice Murder</w:t>
      </w:r>
    </w:p>
    <w:p w14:paraId="7F8E38F1" w14:textId="32521004" w:rsidR="005D7D86" w:rsidRPr="00933309" w:rsidRDefault="0061079E" w:rsidP="003866DD">
      <w:pPr>
        <w:keepNext/>
        <w:rPr>
          <w:b/>
          <w:bCs/>
        </w:rPr>
      </w:pPr>
      <w:r>
        <w:rPr>
          <w:b/>
          <w:bCs/>
        </w:rPr>
        <w:tab/>
      </w:r>
      <w:r w:rsidR="00D266E4">
        <w:rPr>
          <w:b/>
          <w:bCs/>
        </w:rPr>
        <w:t>1</w:t>
      </w:r>
      <w:r w:rsidRPr="005C7EB8">
        <w:rPr>
          <w:b/>
          <w:bCs/>
        </w:rPr>
        <w:t xml:space="preserve">.  </w:t>
      </w:r>
      <w:r w:rsidR="00865E12" w:rsidRPr="005C7EB8">
        <w:rPr>
          <w:b/>
          <w:bCs/>
        </w:rPr>
        <w:t>Elements</w:t>
      </w:r>
      <w:r w:rsidR="00865E12">
        <w:rPr>
          <w:b/>
          <w:bCs/>
        </w:rPr>
        <w:t xml:space="preserve"> of Aiding and Abetting Implied Malice Murder</w:t>
      </w:r>
    </w:p>
    <w:p w14:paraId="3004F744" w14:textId="2D864552" w:rsidR="005D6A1C" w:rsidRDefault="0061079E" w:rsidP="003F5230">
      <w:r>
        <w:tab/>
      </w:r>
      <w:r w:rsidR="00DF70A0">
        <w:t>The elements of i</w:t>
      </w:r>
      <w:r>
        <w:t xml:space="preserve">mplied malice murder </w:t>
      </w:r>
      <w:r w:rsidR="00DF70A0">
        <w:t>relative to the</w:t>
      </w:r>
      <w:r>
        <w:t xml:space="preserve"> actual perpetrator </w:t>
      </w:r>
      <w:r w:rsidR="00DF70A0">
        <w:t xml:space="preserve">are:  </w:t>
      </w:r>
      <w:r w:rsidR="00F0387C">
        <w:t>“(1)</w:t>
      </w:r>
      <w:r w:rsidR="00235E63">
        <w:t> </w:t>
      </w:r>
      <w:r w:rsidR="00DF70A0">
        <w:t>[The perpetrator</w:t>
      </w:r>
      <w:r w:rsidR="00F0387C">
        <w:t>]</w:t>
      </w:r>
      <w:r w:rsidR="00DF70A0">
        <w:t xml:space="preserve"> intentionally committed an act; </w:t>
      </w:r>
      <w:r w:rsidR="00F0387C">
        <w:t>(</w:t>
      </w:r>
      <w:r w:rsidR="00DF70A0">
        <w:t>2</w:t>
      </w:r>
      <w:r w:rsidR="00F0387C">
        <w:t>)</w:t>
      </w:r>
      <w:r w:rsidR="00DF70A0">
        <w:t xml:space="preserve"> the natural and probable consequences of that act were dangerous to human life; </w:t>
      </w:r>
      <w:r w:rsidR="00F0387C">
        <w:t>(3)</w:t>
      </w:r>
      <w:r w:rsidR="00DF70A0">
        <w:t xml:space="preserve"> At the time [the perpetrator] acted, </w:t>
      </w:r>
      <w:r w:rsidR="00F0387C">
        <w:t>[</w:t>
      </w:r>
      <w:r w:rsidR="00DF70A0">
        <w:t>he/she</w:t>
      </w:r>
      <w:r w:rsidR="00F0387C">
        <w:t>]</w:t>
      </w:r>
      <w:r w:rsidR="00DF70A0">
        <w:t xml:space="preserve"> knew </w:t>
      </w:r>
      <w:r w:rsidR="00F0387C">
        <w:t>[</w:t>
      </w:r>
      <w:r w:rsidR="00DF70A0">
        <w:t>his/her</w:t>
      </w:r>
      <w:r w:rsidR="00F0387C">
        <w:t>]</w:t>
      </w:r>
      <w:r w:rsidR="00DF70A0">
        <w:t xml:space="preserve"> act was dangerous to human life</w:t>
      </w:r>
      <w:r w:rsidR="00F0387C">
        <w:t>;</w:t>
      </w:r>
      <w:r w:rsidR="00DF70A0">
        <w:t xml:space="preserve"> and </w:t>
      </w:r>
      <w:r w:rsidR="00F0387C">
        <w:t>(4)</w:t>
      </w:r>
      <w:r w:rsidR="00592118">
        <w:t xml:space="preserve"> [T]he perpetrator </w:t>
      </w:r>
      <w:r w:rsidR="00EE0D8F">
        <w:t xml:space="preserve">deliberately </w:t>
      </w:r>
      <w:r w:rsidR="00592118">
        <w:t xml:space="preserve">acted with conscious disregard for human life.”  (CALCRIM No. 502; </w:t>
      </w:r>
      <w:r w:rsidR="00A10F17" w:rsidRPr="00A10F17">
        <w:rPr>
          <w:i/>
          <w:iCs/>
        </w:rPr>
        <w:t xml:space="preserve">People v. Navarette </w:t>
      </w:r>
      <w:r w:rsidR="00A10F17" w:rsidRPr="00E4176F">
        <w:t>(2016) 4 Cal.App.5th 829, 843</w:t>
      </w:r>
      <w:r w:rsidR="00EE0D8F">
        <w:t>-</w:t>
      </w:r>
      <w:r w:rsidR="00A10F17" w:rsidRPr="00E4176F">
        <w:t>844</w:t>
      </w:r>
      <w:r w:rsidR="00592118">
        <w:t>.)</w:t>
      </w:r>
    </w:p>
    <w:p w14:paraId="15FBD812" w14:textId="17A6F7C6" w:rsidR="00831553" w:rsidRDefault="0061079E" w:rsidP="003F5230">
      <w:r>
        <w:tab/>
      </w:r>
      <w:r w:rsidR="00102BC8">
        <w:t xml:space="preserve">In </w:t>
      </w:r>
      <w:r w:rsidR="00102BC8" w:rsidRPr="00E4176F">
        <w:rPr>
          <w:i/>
          <w:iCs/>
        </w:rPr>
        <w:t>Powell</w:t>
      </w:r>
      <w:r w:rsidR="00102BC8">
        <w:t xml:space="preserve">, we held that aiding and abetting implied malice murder is a valid theory of liability for second degree murder. </w:t>
      </w:r>
      <w:r w:rsidR="0098423F">
        <w:t xml:space="preserve"> </w:t>
      </w:r>
      <w:r w:rsidR="00102BC8">
        <w:t>(</w:t>
      </w:r>
      <w:r w:rsidR="00102BC8" w:rsidRPr="00E4176F">
        <w:rPr>
          <w:i/>
          <w:iCs/>
        </w:rPr>
        <w:t>Powell</w:t>
      </w:r>
      <w:r w:rsidR="00102BC8">
        <w:t xml:space="preserve">, </w:t>
      </w:r>
      <w:r w:rsidR="00102BC8" w:rsidRPr="00E4176F">
        <w:rPr>
          <w:i/>
          <w:iCs/>
        </w:rPr>
        <w:t>supra</w:t>
      </w:r>
      <w:r w:rsidR="00102BC8">
        <w:t>, 63 Cal.App.5th at pp. 71</w:t>
      </w:r>
      <w:r w:rsidR="00F34EDE">
        <w:t>0</w:t>
      </w:r>
      <w:r w:rsidR="00102BC8">
        <w:t>-7</w:t>
      </w:r>
      <w:r w:rsidR="009E26D3">
        <w:t xml:space="preserve">14; accord, </w:t>
      </w:r>
      <w:r w:rsidR="000A01DF" w:rsidRPr="00E4176F">
        <w:rPr>
          <w:i/>
          <w:iCs/>
        </w:rPr>
        <w:t>People v. Superior Court</w:t>
      </w:r>
      <w:r w:rsidR="000A01DF">
        <w:t xml:space="preserve"> (</w:t>
      </w:r>
      <w:r w:rsidR="00EC6609" w:rsidRPr="00E4176F">
        <w:rPr>
          <w:i/>
          <w:iCs/>
        </w:rPr>
        <w:t>Valenzuela</w:t>
      </w:r>
      <w:r w:rsidR="000A01DF">
        <w:t xml:space="preserve">) (2022) </w:t>
      </w:r>
      <w:r w:rsidR="00D2170B">
        <w:t>73</w:t>
      </w:r>
      <w:r w:rsidR="000A01DF">
        <w:t xml:space="preserve"> Cal.App.5th </w:t>
      </w:r>
      <w:r w:rsidR="00D2170B">
        <w:t xml:space="preserve">485, 499 </w:t>
      </w:r>
      <w:r w:rsidR="009A7469">
        <w:t xml:space="preserve">[agreeing with </w:t>
      </w:r>
      <w:r w:rsidR="009A7469" w:rsidRPr="00E4176F">
        <w:rPr>
          <w:i/>
          <w:iCs/>
        </w:rPr>
        <w:t>Powell</w:t>
      </w:r>
      <w:r w:rsidR="009A7469">
        <w:t xml:space="preserve"> that aiding and abetting implied malice murder is a valid theory of culpability</w:t>
      </w:r>
      <w:r w:rsidR="00700B2A">
        <w:t xml:space="preserve"> for second degree murder</w:t>
      </w:r>
      <w:r w:rsidR="009A7469">
        <w:t>]</w:t>
      </w:r>
      <w:r w:rsidR="000A01DF">
        <w:t xml:space="preserve">; </w:t>
      </w:r>
      <w:r w:rsidR="00437916">
        <w:t>s</w:t>
      </w:r>
      <w:r w:rsidR="009A7469">
        <w:t xml:space="preserve">ee also </w:t>
      </w:r>
      <w:r w:rsidR="009A7469" w:rsidRPr="00E4176F">
        <w:rPr>
          <w:i/>
          <w:iCs/>
        </w:rPr>
        <w:t>People v. Langi</w:t>
      </w:r>
      <w:r w:rsidR="009A7469">
        <w:t xml:space="preserve"> (202</w:t>
      </w:r>
      <w:r w:rsidR="007D6CBB">
        <w:t>2</w:t>
      </w:r>
      <w:r w:rsidR="009A7469">
        <w:t xml:space="preserve">) 73 Cal.App.5th 972, </w:t>
      </w:r>
      <w:r w:rsidR="00660AAB" w:rsidRPr="005107F5">
        <w:t>98</w:t>
      </w:r>
      <w:r w:rsidR="001E2956" w:rsidRPr="005107F5">
        <w:t xml:space="preserve">2, </w:t>
      </w:r>
      <w:r w:rsidR="009A7469" w:rsidRPr="005107F5">
        <w:t>983</w:t>
      </w:r>
      <w:r w:rsidR="001E2956" w:rsidRPr="005107F5">
        <w:t>, 984, fns. 10 and 12</w:t>
      </w:r>
      <w:r w:rsidR="009A7469" w:rsidRPr="005107F5">
        <w:t xml:space="preserve"> (</w:t>
      </w:r>
      <w:r w:rsidR="009A7469" w:rsidRPr="005107F5">
        <w:rPr>
          <w:i/>
          <w:iCs/>
        </w:rPr>
        <w:t>Langi</w:t>
      </w:r>
      <w:r w:rsidR="009A7469" w:rsidRPr="005107F5">
        <w:t>)</w:t>
      </w:r>
      <w:r w:rsidR="001E2956" w:rsidRPr="005107F5">
        <w:t xml:space="preserve"> </w:t>
      </w:r>
      <w:r w:rsidR="001E2956" w:rsidRPr="00920810">
        <w:t xml:space="preserve">[acknowledging </w:t>
      </w:r>
      <w:r w:rsidR="001E2956" w:rsidRPr="00920810">
        <w:rPr>
          <w:i/>
          <w:iCs/>
        </w:rPr>
        <w:t>Powell</w:t>
      </w:r>
      <w:r w:rsidR="001E2956" w:rsidRPr="00920810">
        <w:t xml:space="preserve"> and</w:t>
      </w:r>
      <w:r w:rsidR="00B83E7D" w:rsidRPr="00920810">
        <w:t xml:space="preserve"> </w:t>
      </w:r>
      <w:r w:rsidR="00B83E7D" w:rsidRPr="00920810">
        <w:rPr>
          <w:i/>
          <w:iCs/>
        </w:rPr>
        <w:t>Gentile</w:t>
      </w:r>
      <w:r w:rsidR="005107F5" w:rsidRPr="00920810">
        <w:t xml:space="preserve"> and</w:t>
      </w:r>
      <w:r w:rsidR="001E2956" w:rsidRPr="00920810">
        <w:t xml:space="preserve"> stating:</w:t>
      </w:r>
      <w:r w:rsidR="00920810">
        <w:t xml:space="preserve"> </w:t>
      </w:r>
      <w:r w:rsidR="001E2956" w:rsidRPr="00920810">
        <w:t xml:space="preserve"> “Current law thus provides that the actual killer, or a direct aider and abettor of the killing who knew that his (or her) conduct endangered the life of another and acted with conscious disregard for life, may be guilty of second degree murder”]</w:t>
      </w:r>
      <w:r w:rsidR="00102BC8" w:rsidRPr="005107F5">
        <w:t xml:space="preserve">.) </w:t>
      </w:r>
      <w:r w:rsidR="00617ECB" w:rsidRPr="005107F5">
        <w:t xml:space="preserve"> </w:t>
      </w:r>
    </w:p>
    <w:p w14:paraId="280C4E66" w14:textId="77777777" w:rsidR="005107F5" w:rsidRDefault="0061079E" w:rsidP="005107F5">
      <w:r>
        <w:tab/>
      </w:r>
      <w:r w:rsidRPr="005107F5">
        <w:t xml:space="preserve">In </w:t>
      </w:r>
      <w:r w:rsidRPr="00920810">
        <w:rPr>
          <w:i/>
          <w:iCs/>
        </w:rPr>
        <w:t>Powell</w:t>
      </w:r>
      <w:r w:rsidRPr="005107F5">
        <w:t>, we explained the actus re</w:t>
      </w:r>
      <w:r w:rsidRPr="00F57FD5">
        <w:t xml:space="preserve">us and mens rea elements of </w:t>
      </w:r>
      <w:r>
        <w:t>direct aiding and abetting implied malice</w:t>
      </w:r>
      <w:r w:rsidRPr="00F57FD5">
        <w:t>.</w:t>
      </w:r>
      <w:r>
        <w:t xml:space="preserve">  </w:t>
      </w:r>
    </w:p>
    <w:p w14:paraId="64FE332D" w14:textId="168E3830" w:rsidR="00F37337" w:rsidRPr="005107F5" w:rsidRDefault="0061079E">
      <w:r>
        <w:tab/>
      </w:r>
      <w:r w:rsidR="001265FC">
        <w:t>T</w:t>
      </w:r>
      <w:r w:rsidR="006E0624">
        <w:t xml:space="preserve">he </w:t>
      </w:r>
      <w:r w:rsidR="006E0624" w:rsidRPr="006E0624">
        <w:t>actus reus required of the</w:t>
      </w:r>
      <w:r w:rsidR="006E0624">
        <w:t xml:space="preserve"> actual</w:t>
      </w:r>
      <w:r w:rsidR="006E0624" w:rsidRPr="006E0624">
        <w:t xml:space="preserve"> perpetrator is the commission of </w:t>
      </w:r>
      <w:r w:rsidR="006E0624">
        <w:t>“</w:t>
      </w:r>
      <w:r w:rsidR="006E0624" w:rsidRPr="006E0624">
        <w:t>a life endangering act</w:t>
      </w:r>
      <w:r w:rsidR="005405EC">
        <w:t>.</w:t>
      </w:r>
      <w:r w:rsidR="006E0624">
        <w:t xml:space="preserve">” </w:t>
      </w:r>
      <w:r w:rsidR="00622956">
        <w:t xml:space="preserve"> </w:t>
      </w:r>
      <w:r w:rsidR="00D266E4">
        <w:t>(</w:t>
      </w:r>
      <w:r w:rsidR="00D266E4" w:rsidRPr="002938A8">
        <w:rPr>
          <w:i/>
          <w:iCs/>
        </w:rPr>
        <w:t>Powell</w:t>
      </w:r>
      <w:r w:rsidR="00D266E4">
        <w:rPr>
          <w:i/>
          <w:iCs/>
        </w:rPr>
        <w:t>, supra</w:t>
      </w:r>
      <w:r w:rsidR="00D266E4">
        <w:t xml:space="preserve">, 63 Cal.App.5th at p. 714.)  </w:t>
      </w:r>
      <w:r w:rsidR="006E0624">
        <w:t xml:space="preserve">By “life endangering act,” we mean </w:t>
      </w:r>
      <w:r w:rsidR="00421583">
        <w:t>an</w:t>
      </w:r>
      <w:r w:rsidR="006E0624">
        <w:t xml:space="preserve"> act </w:t>
      </w:r>
      <w:r w:rsidR="00703ABE">
        <w:t xml:space="preserve">for which the natural and probable consequences </w:t>
      </w:r>
      <w:r w:rsidR="00831553">
        <w:t>are</w:t>
      </w:r>
      <w:r w:rsidR="00703ABE">
        <w:t xml:space="preserve"> dangerous to human </w:t>
      </w:r>
      <w:bookmarkStart w:id="156" w:name="ElPgBr37"/>
      <w:bookmarkEnd w:id="156"/>
      <w:r w:rsidR="00703ABE">
        <w:lastRenderedPageBreak/>
        <w:t>life</w:t>
      </w:r>
      <w:r w:rsidR="005405EC">
        <w:t xml:space="preserve"> and proximately caused death</w:t>
      </w:r>
      <w:r w:rsidR="00D266E4">
        <w:t xml:space="preserve">.  </w:t>
      </w:r>
      <w:r w:rsidR="00865E12" w:rsidRPr="00E4176F">
        <w:t>(</w:t>
      </w:r>
      <w:r w:rsidR="00703ABE" w:rsidRPr="00E4176F">
        <w:rPr>
          <w:i/>
          <w:iCs/>
        </w:rPr>
        <w:t>Powell</w:t>
      </w:r>
      <w:r w:rsidR="00703ABE">
        <w:t>, at p</w:t>
      </w:r>
      <w:r>
        <w:t>p</w:t>
      </w:r>
      <w:r w:rsidR="00703ABE">
        <w:t xml:space="preserve">. </w:t>
      </w:r>
      <w:r w:rsidR="00865E12">
        <w:t>713, fn. 27</w:t>
      </w:r>
      <w:r>
        <w:t xml:space="preserve"> and 714</w:t>
      </w:r>
      <w:r w:rsidR="00165273">
        <w:t>; see also</w:t>
      </w:r>
      <w:r w:rsidR="00891E53">
        <w:t xml:space="preserve"> </w:t>
      </w:r>
      <w:r w:rsidR="00891E53" w:rsidRPr="00920810">
        <w:rPr>
          <w:i/>
          <w:iCs/>
        </w:rPr>
        <w:t>People v.</w:t>
      </w:r>
      <w:r w:rsidR="00891E53" w:rsidRPr="00891E53">
        <w:t xml:space="preserve"> </w:t>
      </w:r>
      <w:r w:rsidR="00891E53" w:rsidRPr="00920810">
        <w:rPr>
          <w:i/>
          <w:iCs/>
        </w:rPr>
        <w:t>Knoller</w:t>
      </w:r>
      <w:r w:rsidR="00891E53" w:rsidRPr="00891E53">
        <w:t xml:space="preserve"> (2007) 41 Cal.4th 139, 143 </w:t>
      </w:r>
      <w:r w:rsidR="00891E53">
        <w:t>[</w:t>
      </w:r>
      <w:r>
        <w:t xml:space="preserve">describing the required act as </w:t>
      </w:r>
      <w:r w:rsidR="00891E53">
        <w:t>“an act,</w:t>
      </w:r>
      <w:r w:rsidR="00A61BD0">
        <w:t xml:space="preserve"> t</w:t>
      </w:r>
      <w:r w:rsidR="00A61BD0" w:rsidRPr="00E12B68">
        <w:t>he natural consequences of which are dangerous to life</w:t>
      </w:r>
      <w:r w:rsidR="00891E53">
        <w:t>”</w:t>
      </w:r>
      <w:r w:rsidR="00A61BD0">
        <w:t xml:space="preserve"> or stated </w:t>
      </w:r>
      <w:r w:rsidR="00714AB7">
        <w:t xml:space="preserve">slightly </w:t>
      </w:r>
      <w:r w:rsidR="00A61BD0">
        <w:t xml:space="preserve">differently, </w:t>
      </w:r>
      <w:r w:rsidR="00891E53">
        <w:t>“</w:t>
      </w:r>
      <w:r w:rsidR="00891E53" w:rsidRPr="00891E53">
        <w:t>conduct that endangers the life of another</w:t>
      </w:r>
      <w:r w:rsidR="00891E53">
        <w:t>”];</w:t>
      </w:r>
      <w:r w:rsidR="00165273">
        <w:t xml:space="preserve"> </w:t>
      </w:r>
      <w:r w:rsidR="00165273" w:rsidRPr="0038776F">
        <w:rPr>
          <w:i/>
          <w:iCs/>
        </w:rPr>
        <w:t>People v. Watson</w:t>
      </w:r>
      <w:r w:rsidR="00165273">
        <w:t xml:space="preserve"> (1981) 30 Cal.3d 290, </w:t>
      </w:r>
      <w:r w:rsidR="00714AB7">
        <w:t>296</w:t>
      </w:r>
      <w:r w:rsidR="00920810">
        <w:t>,</w:t>
      </w:r>
      <w:r w:rsidR="00714AB7">
        <w:t xml:space="preserve"> </w:t>
      </w:r>
      <w:r w:rsidR="00165273">
        <w:t xml:space="preserve">300 </w:t>
      </w:r>
      <w:r w:rsidR="007D6CBB">
        <w:t>(</w:t>
      </w:r>
      <w:r w:rsidR="007D6CBB" w:rsidRPr="00E4176F">
        <w:rPr>
          <w:i/>
          <w:iCs/>
        </w:rPr>
        <w:t>Watson</w:t>
      </w:r>
      <w:r w:rsidR="007D6CBB">
        <w:t>)</w:t>
      </w:r>
      <w:r>
        <w:t xml:space="preserve"> </w:t>
      </w:r>
      <w:r w:rsidR="00714AB7">
        <w:t>[same]</w:t>
      </w:r>
      <w:r w:rsidR="00165273">
        <w:t xml:space="preserve">.) </w:t>
      </w:r>
    </w:p>
    <w:p w14:paraId="33CFF57B" w14:textId="05C2C910" w:rsidR="00007E21" w:rsidRDefault="0061079E" w:rsidP="00007E21">
      <w:r>
        <w:tab/>
        <w:t>To be culpab</w:t>
      </w:r>
      <w:r>
        <w:t xml:space="preserve">le as a direct aider and abettor of implied malice murder, </w:t>
      </w:r>
      <w:r w:rsidR="00421583">
        <w:t>the accomplice</w:t>
      </w:r>
      <w:r>
        <w:t xml:space="preserve"> “</w:t>
      </w:r>
      <w:r w:rsidRPr="00845ED4">
        <w:rPr>
          <w:color w:val="000000"/>
        </w:rPr>
        <w:t>must, by words or conduct, aid the commission of the life</w:t>
      </w:r>
      <w:r w:rsidR="00AD4F73">
        <w:rPr>
          <w:color w:val="000000"/>
        </w:rPr>
        <w:t>-</w:t>
      </w:r>
      <w:r w:rsidRPr="00845ED4">
        <w:rPr>
          <w:color w:val="000000"/>
        </w:rPr>
        <w:t xml:space="preserve">endangering </w:t>
      </w:r>
      <w:r w:rsidRPr="00845ED4">
        <w:rPr>
          <w:i/>
          <w:iCs/>
          <w:color w:val="000000"/>
        </w:rPr>
        <w:t>act</w:t>
      </w:r>
      <w:r w:rsidR="00421583">
        <w:rPr>
          <w:i/>
          <w:iCs/>
          <w:color w:val="000000"/>
        </w:rPr>
        <w:t>.</w:t>
      </w:r>
      <w:r>
        <w:t>”</w:t>
      </w:r>
      <w:r w:rsidR="0098423F">
        <w:t xml:space="preserve"> </w:t>
      </w:r>
      <w:r>
        <w:t xml:space="preserve"> </w:t>
      </w:r>
      <w:r w:rsidR="00421583">
        <w:t>(</w:t>
      </w:r>
      <w:r w:rsidR="0098423F" w:rsidRPr="00CD0231">
        <w:rPr>
          <w:i/>
          <w:iCs/>
        </w:rPr>
        <w:t>Powell</w:t>
      </w:r>
      <w:r w:rsidR="0098423F">
        <w:t xml:space="preserve">, </w:t>
      </w:r>
      <w:r w:rsidR="0098423F">
        <w:rPr>
          <w:i/>
          <w:iCs/>
        </w:rPr>
        <w:t>supra</w:t>
      </w:r>
      <w:r w:rsidR="0098423F">
        <w:t>, 63 Cal.App.5th</w:t>
      </w:r>
      <w:r w:rsidR="0098423F" w:rsidRPr="0038776F">
        <w:rPr>
          <w:i/>
          <w:iCs/>
        </w:rPr>
        <w:t xml:space="preserve"> </w:t>
      </w:r>
      <w:r w:rsidR="00421583">
        <w:t xml:space="preserve">at p. 713.)  Thus, the aider and abettor’s </w:t>
      </w:r>
      <w:r>
        <w:t>actus re</w:t>
      </w:r>
      <w:r w:rsidR="00AD4F73">
        <w:t>u</w:t>
      </w:r>
      <w:r>
        <w:t>s “</w:t>
      </w:r>
      <w:r w:rsidRPr="004670A4">
        <w:t xml:space="preserve">includes </w:t>
      </w:r>
      <w:r w:rsidRPr="004670A4">
        <w:t>whatever acts constitute aiding the commission of the life endangering act.</w:t>
      </w:r>
      <w:r>
        <w:t>”  (</w:t>
      </w:r>
      <w:r w:rsidR="00421583">
        <w:rPr>
          <w:i/>
          <w:iCs/>
        </w:rPr>
        <w:t>Ibid.</w:t>
      </w:r>
      <w:r>
        <w:t xml:space="preserve">; accord </w:t>
      </w:r>
      <w:r w:rsidRPr="0038776F">
        <w:rPr>
          <w:i/>
          <w:iCs/>
        </w:rPr>
        <w:t>Valenzuela</w:t>
      </w:r>
      <w:r>
        <w:t xml:space="preserve">, </w:t>
      </w:r>
      <w:r w:rsidR="0098423F" w:rsidRPr="0098423F">
        <w:rPr>
          <w:i/>
          <w:iCs/>
        </w:rPr>
        <w:t>supra</w:t>
      </w:r>
      <w:r w:rsidR="0098423F">
        <w:t>, 73 Cal.App.5</w:t>
      </w:r>
      <w:r w:rsidR="0098423F" w:rsidRPr="0098423F">
        <w:t>th</w:t>
      </w:r>
      <w:r w:rsidR="0098423F">
        <w:t xml:space="preserve"> </w:t>
      </w:r>
      <w:r>
        <w:t>at p. 501.)</w:t>
      </w:r>
    </w:p>
    <w:p w14:paraId="78A83372" w14:textId="023A0C35" w:rsidR="00617ECB" w:rsidRDefault="0061079E" w:rsidP="003F5230">
      <w:pPr>
        <w:rPr>
          <w:color w:val="000000"/>
        </w:rPr>
      </w:pPr>
      <w:r>
        <w:tab/>
      </w:r>
      <w:r w:rsidR="00AD4F73">
        <w:t>“</w:t>
      </w:r>
      <w:r w:rsidRPr="00E4176F">
        <w:rPr>
          <w:color w:val="000000"/>
        </w:rPr>
        <w:t xml:space="preserve">The mens rea, which must be personally harbored by the direct aider and abettor, is knowledge that the perpetrator </w:t>
      </w:r>
      <w:r w:rsidRPr="00E4176F">
        <w:rPr>
          <w:color w:val="000000"/>
        </w:rPr>
        <w:t xml:space="preserve">intended to commit </w:t>
      </w:r>
      <w:r w:rsidRPr="00E4176F">
        <w:rPr>
          <w:i/>
          <w:iCs/>
          <w:color w:val="000000"/>
        </w:rPr>
        <w:t>the act</w:t>
      </w:r>
      <w:r w:rsidRPr="00E4176F">
        <w:rPr>
          <w:color w:val="000000"/>
        </w:rPr>
        <w:t xml:space="preserve">, intent to aid the perpetrator in the commission of </w:t>
      </w:r>
      <w:r w:rsidRPr="00E4176F">
        <w:rPr>
          <w:i/>
          <w:iCs/>
          <w:color w:val="000000"/>
        </w:rPr>
        <w:t>the act</w:t>
      </w:r>
      <w:r w:rsidRPr="00E4176F">
        <w:rPr>
          <w:color w:val="000000"/>
        </w:rPr>
        <w:t xml:space="preserve">, knowledge that </w:t>
      </w:r>
      <w:r w:rsidRPr="00E4176F">
        <w:rPr>
          <w:i/>
          <w:iCs/>
          <w:color w:val="000000"/>
        </w:rPr>
        <w:t>the act</w:t>
      </w:r>
      <w:r w:rsidRPr="00E4176F">
        <w:rPr>
          <w:color w:val="000000"/>
        </w:rPr>
        <w:t xml:space="preserve"> is dangerous to human life, and acting in conscious disregard for human life</w:t>
      </w:r>
      <w:r w:rsidRPr="00617ECB">
        <w:rPr>
          <w:color w:val="000000"/>
        </w:rPr>
        <w:t>.”</w:t>
      </w:r>
      <w:r>
        <w:rPr>
          <w:color w:val="000000"/>
        </w:rPr>
        <w:t xml:space="preserve"> </w:t>
      </w:r>
      <w:r w:rsidR="0098423F">
        <w:rPr>
          <w:color w:val="000000"/>
        </w:rPr>
        <w:t xml:space="preserve"> </w:t>
      </w:r>
      <w:r>
        <w:rPr>
          <w:color w:val="000000"/>
        </w:rPr>
        <w:t>(</w:t>
      </w:r>
      <w:r w:rsidRPr="00E4176F">
        <w:rPr>
          <w:i/>
          <w:iCs/>
          <w:color w:val="000000"/>
        </w:rPr>
        <w:t>Powell</w:t>
      </w:r>
      <w:r>
        <w:rPr>
          <w:color w:val="000000"/>
        </w:rPr>
        <w:t>,</w:t>
      </w:r>
      <w:r w:rsidR="00057C97">
        <w:rPr>
          <w:color w:val="000000"/>
        </w:rPr>
        <w:t xml:space="preserve"> </w:t>
      </w:r>
      <w:r w:rsidR="00057C97" w:rsidRPr="00CD0231">
        <w:rPr>
          <w:i/>
          <w:iCs/>
          <w:color w:val="000000"/>
        </w:rPr>
        <w:t>supra</w:t>
      </w:r>
      <w:r w:rsidR="00057C97">
        <w:rPr>
          <w:color w:val="000000"/>
        </w:rPr>
        <w:t>, 63 Cal.App.5th</w:t>
      </w:r>
      <w:r>
        <w:rPr>
          <w:color w:val="000000"/>
        </w:rPr>
        <w:t xml:space="preserve"> at p. 713</w:t>
      </w:r>
      <w:r w:rsidR="005D6A1C">
        <w:rPr>
          <w:color w:val="000000"/>
        </w:rPr>
        <w:t xml:space="preserve">; </w:t>
      </w:r>
      <w:r w:rsidR="005D6A1C">
        <w:t xml:space="preserve">accord </w:t>
      </w:r>
      <w:r w:rsidR="005D6A1C" w:rsidRPr="00845ED4">
        <w:rPr>
          <w:i/>
          <w:iCs/>
        </w:rPr>
        <w:t>Valenzuela</w:t>
      </w:r>
      <w:r w:rsidR="005D6A1C">
        <w:t xml:space="preserve">, </w:t>
      </w:r>
      <w:r w:rsidR="0098423F" w:rsidRPr="0098423F">
        <w:rPr>
          <w:i/>
          <w:iCs/>
        </w:rPr>
        <w:t>supra</w:t>
      </w:r>
      <w:r w:rsidR="0098423F">
        <w:t>, 73 Cal.App.5</w:t>
      </w:r>
      <w:r w:rsidR="0098423F" w:rsidRPr="0098423F">
        <w:t>th</w:t>
      </w:r>
      <w:r w:rsidR="0098423F">
        <w:t xml:space="preserve"> </w:t>
      </w:r>
      <w:r w:rsidR="005D6A1C">
        <w:t>at p. 501</w:t>
      </w:r>
      <w:r>
        <w:rPr>
          <w:color w:val="000000"/>
        </w:rPr>
        <w:t>.)</w:t>
      </w:r>
    </w:p>
    <w:p w14:paraId="5FB11021" w14:textId="097FFBC2" w:rsidR="00617ECB" w:rsidRPr="00E4176F" w:rsidRDefault="0061079E" w:rsidP="00CD0231">
      <w:pPr>
        <w:keepNext/>
        <w:rPr>
          <w:b/>
          <w:bCs/>
        </w:rPr>
      </w:pPr>
      <w:r>
        <w:rPr>
          <w:color w:val="000000"/>
        </w:rPr>
        <w:tab/>
      </w:r>
      <w:r w:rsidR="00330B91" w:rsidRPr="00E4176F">
        <w:rPr>
          <w:b/>
          <w:bCs/>
          <w:color w:val="000000"/>
        </w:rPr>
        <w:t>2</w:t>
      </w:r>
      <w:r w:rsidRPr="00E4176F">
        <w:rPr>
          <w:b/>
          <w:bCs/>
          <w:color w:val="000000"/>
        </w:rPr>
        <w:t xml:space="preserve">.  Validity of the </w:t>
      </w:r>
      <w:r w:rsidR="005B4045">
        <w:rPr>
          <w:b/>
          <w:bCs/>
          <w:color w:val="000000"/>
        </w:rPr>
        <w:t xml:space="preserve">Theory of </w:t>
      </w:r>
      <w:r w:rsidRPr="00E4176F">
        <w:rPr>
          <w:b/>
          <w:bCs/>
          <w:color w:val="000000"/>
        </w:rPr>
        <w:t>Aiding and Abetting Implied Malice Murder</w:t>
      </w:r>
    </w:p>
    <w:p w14:paraId="7D6D3007" w14:textId="640BCF70" w:rsidR="003704BB" w:rsidRDefault="0061079E" w:rsidP="003F5230">
      <w:r>
        <w:tab/>
      </w:r>
      <w:r w:rsidR="009E26D3">
        <w:t xml:space="preserve">Acknowledging our decision in </w:t>
      </w:r>
      <w:r w:rsidR="009E26D3" w:rsidRPr="00E4176F">
        <w:rPr>
          <w:i/>
          <w:iCs/>
        </w:rPr>
        <w:t>Powell</w:t>
      </w:r>
      <w:r w:rsidR="009E26D3">
        <w:t xml:space="preserve">, </w:t>
      </w:r>
      <w:r w:rsidR="005D7D86">
        <w:t>Roman</w:t>
      </w:r>
      <w:r w:rsidR="00F54D01">
        <w:t xml:space="preserve"> nevertheless</w:t>
      </w:r>
      <w:r w:rsidR="005D7D86">
        <w:t xml:space="preserve"> </w:t>
      </w:r>
      <w:r w:rsidR="009E26D3">
        <w:t>maintains</w:t>
      </w:r>
      <w:r w:rsidR="005D7D86">
        <w:t xml:space="preserve"> that aiding and abetting implied malice murder is not a valid theory of liability</w:t>
      </w:r>
      <w:r w:rsidR="009B51AE">
        <w:t xml:space="preserve"> </w:t>
      </w:r>
      <w:r w:rsidR="005262BB">
        <w:t xml:space="preserve">for second degree murder </w:t>
      </w:r>
      <w:r w:rsidR="009B51AE">
        <w:t xml:space="preserve">and that </w:t>
      </w:r>
      <w:r w:rsidR="009B51AE" w:rsidRPr="00E4176F">
        <w:rPr>
          <w:i/>
          <w:iCs/>
        </w:rPr>
        <w:t>Powell</w:t>
      </w:r>
      <w:r w:rsidR="009B51AE">
        <w:t xml:space="preserve"> was wrongly decided</w:t>
      </w:r>
      <w:r w:rsidR="005D7D86">
        <w:t xml:space="preserve">. </w:t>
      </w:r>
    </w:p>
    <w:p w14:paraId="278FB40B" w14:textId="1467C6EC" w:rsidR="001265FC" w:rsidRDefault="0061079E" w:rsidP="003F5230">
      <w:r>
        <w:tab/>
      </w:r>
      <w:r w:rsidR="000B6F18">
        <w:t xml:space="preserve">Fundamentally, </w:t>
      </w:r>
      <w:r w:rsidR="00BC3A90">
        <w:rPr>
          <w:color w:val="000000"/>
        </w:rPr>
        <w:t xml:space="preserve">Roman </w:t>
      </w:r>
      <w:r w:rsidR="00EB226B">
        <w:t>critic</w:t>
      </w:r>
      <w:r w:rsidR="0049253F">
        <w:t xml:space="preserve">izes </w:t>
      </w:r>
      <w:r w:rsidR="00FF47E7">
        <w:t xml:space="preserve">our </w:t>
      </w:r>
      <w:r w:rsidR="005D7D86">
        <w:t xml:space="preserve">reliance </w:t>
      </w:r>
      <w:r w:rsidR="000B6F18">
        <w:t xml:space="preserve">in </w:t>
      </w:r>
      <w:r w:rsidR="000B6F18" w:rsidRPr="00E4176F">
        <w:rPr>
          <w:i/>
          <w:iCs/>
        </w:rPr>
        <w:t>Powell</w:t>
      </w:r>
      <w:r w:rsidR="000B6F18">
        <w:t xml:space="preserve"> </w:t>
      </w:r>
      <w:r w:rsidR="005D7D86">
        <w:t xml:space="preserve">on our high court’s </w:t>
      </w:r>
      <w:r w:rsidR="000B6F18">
        <w:t>statement</w:t>
      </w:r>
      <w:r w:rsidR="005D7D86">
        <w:t xml:space="preserve"> in </w:t>
      </w:r>
      <w:r w:rsidR="005D7D86" w:rsidRPr="00E4176F">
        <w:rPr>
          <w:i/>
          <w:iCs/>
        </w:rPr>
        <w:t>Gentile</w:t>
      </w:r>
      <w:r w:rsidR="005D7D86">
        <w:t xml:space="preserve"> that</w:t>
      </w:r>
      <w:r w:rsidR="000B6F18">
        <w:t>:</w:t>
      </w:r>
      <w:r w:rsidR="0098423F">
        <w:t xml:space="preserve"> </w:t>
      </w:r>
      <w:r w:rsidR="005D7D86">
        <w:t xml:space="preserve"> “</w:t>
      </w:r>
      <w:r w:rsidR="001B4687" w:rsidRPr="001B4687">
        <w:t xml:space="preserve">notwithstanding Senate Bill 1437’s elimination of natural and probable consequences liability for second degree murder, </w:t>
      </w:r>
      <w:r w:rsidR="005D7D86">
        <w:t>an aider and abettor who does not expressly intend to aid a killing can still be convicted of second degree murder if the person knows that his or her conduct endangers the life of another and acts with conscious disregard</w:t>
      </w:r>
      <w:r w:rsidR="00CB51FE">
        <w:t xml:space="preserve"> for life</w:t>
      </w:r>
      <w:r w:rsidR="005D7D86">
        <w:t xml:space="preserve">.”  </w:t>
      </w:r>
      <w:r w:rsidR="00FF47E7">
        <w:t>(</w:t>
      </w:r>
      <w:r w:rsidR="00FF47E7" w:rsidRPr="00E4176F">
        <w:rPr>
          <w:i/>
          <w:iCs/>
        </w:rPr>
        <w:t>Powell</w:t>
      </w:r>
      <w:r w:rsidR="00FF47E7">
        <w:t xml:space="preserve">, </w:t>
      </w:r>
      <w:r w:rsidR="003864E0" w:rsidRPr="007B0439">
        <w:rPr>
          <w:i/>
          <w:iCs/>
          <w:color w:val="000000"/>
        </w:rPr>
        <w:t>supra</w:t>
      </w:r>
      <w:r w:rsidR="003864E0">
        <w:rPr>
          <w:color w:val="000000"/>
        </w:rPr>
        <w:t xml:space="preserve">, 63 Cal.App.5th </w:t>
      </w:r>
      <w:r w:rsidR="00FF47E7">
        <w:t xml:space="preserve">at p. </w:t>
      </w:r>
      <w:r w:rsidR="00FE2CFB">
        <w:t>713</w:t>
      </w:r>
      <w:r w:rsidR="001B4687">
        <w:t xml:space="preserve"> and fn. 29</w:t>
      </w:r>
      <w:r w:rsidR="00FF47E7">
        <w:t xml:space="preserve">, quoting </w:t>
      </w:r>
      <w:r w:rsidR="00FF47E7" w:rsidRPr="00E4176F">
        <w:rPr>
          <w:i/>
          <w:iCs/>
        </w:rPr>
        <w:t>Gentile</w:t>
      </w:r>
      <w:r w:rsidR="00FF47E7">
        <w:t xml:space="preserve">, </w:t>
      </w:r>
      <w:r w:rsidR="00FE2CFB" w:rsidRPr="00CD0231">
        <w:rPr>
          <w:i/>
          <w:iCs/>
        </w:rPr>
        <w:t>supra</w:t>
      </w:r>
      <w:r w:rsidR="00FE2CFB">
        <w:t xml:space="preserve">, 10 Cal.5th </w:t>
      </w:r>
      <w:r w:rsidR="00FF47E7">
        <w:t xml:space="preserve">at p. </w:t>
      </w:r>
      <w:r w:rsidR="00FE2CFB">
        <w:t>850</w:t>
      </w:r>
      <w:r w:rsidR="00CB51FE">
        <w:t>, italics omitted.</w:t>
      </w:r>
      <w:r w:rsidR="00FF47E7">
        <w:t xml:space="preserve">)  </w:t>
      </w:r>
      <w:r w:rsidR="00FE2CFB">
        <w:t>Roman</w:t>
      </w:r>
      <w:r w:rsidR="005D7D86">
        <w:t xml:space="preserve"> asserts </w:t>
      </w:r>
      <w:r w:rsidR="00FF47E7">
        <w:t xml:space="preserve">our high </w:t>
      </w:r>
      <w:bookmarkStart w:id="157" w:name="ElPgBr38"/>
      <w:bookmarkEnd w:id="157"/>
      <w:r w:rsidR="00FF47E7">
        <w:lastRenderedPageBreak/>
        <w:t xml:space="preserve">court’s </w:t>
      </w:r>
      <w:r w:rsidR="000B6F18">
        <w:t>statement</w:t>
      </w:r>
      <w:r w:rsidR="00330B91">
        <w:t xml:space="preserve"> in </w:t>
      </w:r>
      <w:r w:rsidR="00330B91" w:rsidRPr="00E4176F">
        <w:rPr>
          <w:i/>
          <w:iCs/>
        </w:rPr>
        <w:t>Gentile</w:t>
      </w:r>
      <w:r w:rsidR="00FF47E7">
        <w:t xml:space="preserve"> </w:t>
      </w:r>
      <w:r w:rsidR="005D7D86">
        <w:t>was dicta</w:t>
      </w:r>
      <w:r w:rsidR="00BD3499">
        <w:t xml:space="preserve">, </w:t>
      </w:r>
      <w:r w:rsidR="00BC3A90">
        <w:t xml:space="preserve">and thus </w:t>
      </w:r>
      <w:r w:rsidR="005D7D86">
        <w:t>unnecessary to the resolution of the case.</w:t>
      </w:r>
      <w:r>
        <w:rPr>
          <w:rStyle w:val="FootnoteReference"/>
        </w:rPr>
        <w:footnoteReference w:id="34"/>
      </w:r>
      <w:r w:rsidR="005D7D86">
        <w:t xml:space="preserve"> </w:t>
      </w:r>
    </w:p>
    <w:p w14:paraId="2F314AA2" w14:textId="795ADC10" w:rsidR="00A13859" w:rsidRDefault="0061079E" w:rsidP="00E4176F">
      <w:pPr>
        <w:pStyle w:val="bodytext"/>
      </w:pPr>
      <w:r>
        <w:t xml:space="preserve">But </w:t>
      </w:r>
      <w:r w:rsidR="006F7E47">
        <w:t xml:space="preserve">while </w:t>
      </w:r>
      <w:r w:rsidR="006F7E47" w:rsidRPr="006F7E47">
        <w:t xml:space="preserve">statements unnecessary to a court’s decision are not binding precedent, </w:t>
      </w:r>
      <w:r w:rsidR="002B2AD4">
        <w:t xml:space="preserve">it is well-settled that </w:t>
      </w:r>
      <w:r w:rsidR="006F7E47">
        <w:t>our high</w:t>
      </w:r>
      <w:r>
        <w:t xml:space="preserve"> court</w:t>
      </w:r>
      <w:r w:rsidR="006F7E47">
        <w:t>’s</w:t>
      </w:r>
      <w:r w:rsidR="006F7E47" w:rsidRPr="006F7E47">
        <w:t xml:space="preserve"> </w:t>
      </w:r>
      <w:r w:rsidR="006F7E47">
        <w:t>“</w:t>
      </w:r>
      <w:r w:rsidR="002B2AD4">
        <w:t xml:space="preserve"> ‘</w:t>
      </w:r>
      <w:r w:rsidR="006F7E47" w:rsidRPr="006F7E47">
        <w:t>dicta generally should be followed, particularly where the comments reflect the court’s considered reasoning</w:t>
      </w:r>
      <w:r w:rsidR="006F7E47">
        <w:t>.</w:t>
      </w:r>
      <w:r w:rsidR="002B2AD4">
        <w:t xml:space="preserve">’ </w:t>
      </w:r>
      <w:r w:rsidR="006F7E47" w:rsidRPr="006F7E47">
        <w:t>”</w:t>
      </w:r>
      <w:r w:rsidR="006F7E47">
        <w:t xml:space="preserve"> </w:t>
      </w:r>
      <w:r w:rsidR="0098423F">
        <w:t xml:space="preserve"> </w:t>
      </w:r>
      <w:r w:rsidR="00C63763">
        <w:t>(</w:t>
      </w:r>
      <w:r w:rsidR="002B2AD4" w:rsidRPr="00E4176F">
        <w:rPr>
          <w:i/>
          <w:iCs/>
        </w:rPr>
        <w:t xml:space="preserve">People v. </w:t>
      </w:r>
      <w:r w:rsidR="007B63AA">
        <w:rPr>
          <w:i/>
          <w:iCs/>
        </w:rPr>
        <w:t>Tovar</w:t>
      </w:r>
      <w:r w:rsidR="002B2AD4" w:rsidRPr="00E4176F">
        <w:rPr>
          <w:i/>
          <w:iCs/>
        </w:rPr>
        <w:t xml:space="preserve"> </w:t>
      </w:r>
      <w:r w:rsidR="002B2AD4">
        <w:t>(20</w:t>
      </w:r>
      <w:r w:rsidR="007B63AA">
        <w:t>17</w:t>
      </w:r>
      <w:r w:rsidR="002B2AD4">
        <w:t xml:space="preserve">) </w:t>
      </w:r>
      <w:r w:rsidR="007B63AA">
        <w:t>10</w:t>
      </w:r>
      <w:r w:rsidR="002B2AD4">
        <w:t xml:space="preserve"> Cal.App.5th </w:t>
      </w:r>
      <w:r w:rsidR="007B63AA">
        <w:t>750, 759</w:t>
      </w:r>
      <w:r w:rsidR="002B2AD4">
        <w:t xml:space="preserve">, quoting </w:t>
      </w:r>
      <w:r w:rsidR="00894D3C" w:rsidRPr="00A0283F">
        <w:rPr>
          <w:i/>
          <w:iCs/>
        </w:rPr>
        <w:t>People v. Rios</w:t>
      </w:r>
      <w:r w:rsidR="00894D3C">
        <w:t xml:space="preserve"> (2013) 222 Cal.App.4th 542, 563; See also, </w:t>
      </w:r>
      <w:r w:rsidR="003352D9" w:rsidRPr="00E4176F">
        <w:rPr>
          <w:i/>
          <w:iCs/>
        </w:rPr>
        <w:t>United Steelworkers of America v. Board of Education</w:t>
      </w:r>
      <w:r w:rsidR="003352D9" w:rsidRPr="003352D9">
        <w:t xml:space="preserve"> (1984) 162 Cal.App.3d 823, 835</w:t>
      </w:r>
      <w:r w:rsidR="003352D9">
        <w:t xml:space="preserve"> [“</w:t>
      </w:r>
      <w:r w:rsidR="003352D9" w:rsidRPr="003352D9">
        <w:t>Even if properly characterized as dictum, statements of the Supreme Court should be considered persuasive</w:t>
      </w:r>
      <w:r w:rsidR="004551C1">
        <w:t>”</w:t>
      </w:r>
      <w:r w:rsidR="003352D9">
        <w:t>];</w:t>
      </w:r>
      <w:r w:rsidR="003352D9" w:rsidRPr="003352D9">
        <w:t xml:space="preserve"> </w:t>
      </w:r>
      <w:r w:rsidR="00C63763" w:rsidRPr="00E4176F">
        <w:rPr>
          <w:i/>
          <w:iCs/>
        </w:rPr>
        <w:t>City of Los Angeles v. San Pedro, L.A. &amp; S.L.R. Co.</w:t>
      </w:r>
      <w:r w:rsidR="00C63763">
        <w:t xml:space="preserve"> (1920) 182 Cal. 652</w:t>
      </w:r>
      <w:r w:rsidR="003352D9">
        <w:t>,</w:t>
      </w:r>
      <w:r w:rsidR="00C63763">
        <w:t xml:space="preserve"> 660 </w:t>
      </w:r>
      <w:r w:rsidR="00C63763">
        <w:rPr>
          <w:color w:val="000000"/>
        </w:rPr>
        <w:t xml:space="preserve">[“The statements in the opinions of the </w:t>
      </w:r>
      <w:r w:rsidR="00C63763" w:rsidRPr="003352D9">
        <w:rPr>
          <w:color w:val="000000"/>
        </w:rPr>
        <w:t>Supreme Court of this state</w:t>
      </w:r>
      <w:r w:rsidR="003352D9">
        <w:rPr>
          <w:color w:val="000000"/>
        </w:rPr>
        <w:t xml:space="preserve"> </w:t>
      </w:r>
      <w:r w:rsidR="00C63763">
        <w:rPr>
          <w:color w:val="000000"/>
        </w:rPr>
        <w:t xml:space="preserve">... although </w:t>
      </w:r>
      <w:r w:rsidR="00C63763" w:rsidRPr="00CD0231">
        <w:rPr>
          <w:i/>
          <w:iCs/>
          <w:color w:val="000000"/>
        </w:rPr>
        <w:t>obiter</w:t>
      </w:r>
      <w:r w:rsidR="003352D9" w:rsidRPr="00CD0231">
        <w:rPr>
          <w:i/>
          <w:iCs/>
          <w:color w:val="000000"/>
        </w:rPr>
        <w:t xml:space="preserve"> dicta</w:t>
      </w:r>
      <w:r w:rsidR="00C63763" w:rsidRPr="003352D9">
        <w:rPr>
          <w:color w:val="000000"/>
        </w:rPr>
        <w:t>, are very</w:t>
      </w:r>
      <w:r w:rsidR="003352D9">
        <w:rPr>
          <w:color w:val="000000"/>
        </w:rPr>
        <w:t xml:space="preserve"> persuasive</w:t>
      </w:r>
      <w:r w:rsidR="00C63763" w:rsidRPr="003352D9">
        <w:rPr>
          <w:color w:val="000000"/>
        </w:rPr>
        <w:t>”</w:t>
      </w:r>
      <w:r w:rsidR="003352D9" w:rsidRPr="003352D9">
        <w:rPr>
          <w:color w:val="000000"/>
        </w:rPr>
        <w:t>].)</w:t>
      </w:r>
      <w:r w:rsidR="003352D9">
        <w:rPr>
          <w:color w:val="000000"/>
        </w:rPr>
        <w:t xml:space="preserve"> </w:t>
      </w:r>
      <w:r w:rsidR="00894D3C">
        <w:rPr>
          <w:color w:val="000000"/>
        </w:rPr>
        <w:t xml:space="preserve"> </w:t>
      </w:r>
      <w:r w:rsidR="00A8641F">
        <w:rPr>
          <w:color w:val="000000"/>
        </w:rPr>
        <w:t xml:space="preserve">In our view, the </w:t>
      </w:r>
      <w:r w:rsidR="00A8641F" w:rsidRPr="00E4176F">
        <w:rPr>
          <w:i/>
          <w:iCs/>
          <w:color w:val="000000"/>
        </w:rPr>
        <w:t>Gentile</w:t>
      </w:r>
      <w:r w:rsidR="00A8641F">
        <w:rPr>
          <w:color w:val="000000"/>
        </w:rPr>
        <w:t xml:space="preserve"> court’s observation</w:t>
      </w:r>
      <w:r w:rsidR="000B6F18">
        <w:rPr>
          <w:color w:val="000000"/>
        </w:rPr>
        <w:t>, in effect, recognizing t</w:t>
      </w:r>
      <w:r w:rsidR="00A8641F">
        <w:rPr>
          <w:color w:val="000000"/>
        </w:rPr>
        <w:t>he validity of aiding and abetting implied malice murder</w:t>
      </w:r>
      <w:r w:rsidR="002A1F3F">
        <w:rPr>
          <w:color w:val="000000"/>
        </w:rPr>
        <w:t>,</w:t>
      </w:r>
      <w:r w:rsidR="00A8641F">
        <w:rPr>
          <w:color w:val="000000"/>
        </w:rPr>
        <w:t xml:space="preserve"> was reflective of “considered reasoning</w:t>
      </w:r>
      <w:r w:rsidR="00A86BC0">
        <w:rPr>
          <w:color w:val="000000"/>
        </w:rPr>
        <w:t>,</w:t>
      </w:r>
      <w:r w:rsidR="00A8641F">
        <w:rPr>
          <w:color w:val="000000"/>
        </w:rPr>
        <w:t>”</w:t>
      </w:r>
      <w:r w:rsidR="00A86BC0">
        <w:rPr>
          <w:color w:val="000000"/>
        </w:rPr>
        <w:t xml:space="preserve"> and it was</w:t>
      </w:r>
      <w:r w:rsidR="00A8641F">
        <w:rPr>
          <w:color w:val="000000"/>
        </w:rPr>
        <w:t xml:space="preserve"> persuasive and should be followed.  (See also, </w:t>
      </w:r>
      <w:r w:rsidR="00A8641F" w:rsidRPr="00845ED4">
        <w:rPr>
          <w:i/>
          <w:iCs/>
        </w:rPr>
        <w:t>Valenzuel</w:t>
      </w:r>
      <w:r w:rsidR="00A8641F">
        <w:rPr>
          <w:i/>
          <w:iCs/>
        </w:rPr>
        <w:t>a, supra,</w:t>
      </w:r>
      <w:r w:rsidR="00A8641F">
        <w:t xml:space="preserve"> 73 Cal.App.5th at p. 499 [also relying on the quotation from </w:t>
      </w:r>
      <w:r w:rsidR="00A8641F" w:rsidRPr="00E4176F">
        <w:rPr>
          <w:i/>
          <w:iCs/>
        </w:rPr>
        <w:t>Gentile</w:t>
      </w:r>
      <w:r w:rsidR="00A8641F">
        <w:t xml:space="preserve"> and concluding that </w:t>
      </w:r>
      <w:r w:rsidR="00A8641F" w:rsidRPr="00E4176F">
        <w:rPr>
          <w:i/>
          <w:iCs/>
        </w:rPr>
        <w:t>Powell</w:t>
      </w:r>
      <w:r w:rsidR="00A8641F">
        <w:t xml:space="preserve"> was </w:t>
      </w:r>
      <w:r>
        <w:t xml:space="preserve">“entirely consistent with </w:t>
      </w:r>
      <w:r w:rsidRPr="00E4176F">
        <w:rPr>
          <w:i/>
          <w:iCs/>
        </w:rPr>
        <w:t>Gentile</w:t>
      </w:r>
      <w:r>
        <w:t xml:space="preserve"> </w:t>
      </w:r>
      <w:r w:rsidR="00A8641F" w:rsidRPr="00A8641F">
        <w:t>in basing murder liability on the aider and abettor’s own state of mind—</w:t>
      </w:r>
      <w:r w:rsidR="00A8641F" w:rsidRPr="00CD0231">
        <w:rPr>
          <w:i/>
          <w:iCs/>
        </w:rPr>
        <w:t>conscious</w:t>
      </w:r>
      <w:r w:rsidR="00A8641F" w:rsidRPr="00A8641F">
        <w:t xml:space="preserve"> disregard for life</w:t>
      </w:r>
      <w:r>
        <w:t xml:space="preserve">”]; </w:t>
      </w:r>
      <w:r w:rsidRPr="00E4176F">
        <w:rPr>
          <w:i/>
          <w:iCs/>
        </w:rPr>
        <w:t>Langi</w:t>
      </w:r>
      <w:r>
        <w:t xml:space="preserve">, </w:t>
      </w:r>
      <w:r w:rsidRPr="00E4176F">
        <w:rPr>
          <w:i/>
          <w:iCs/>
        </w:rPr>
        <w:t>supra</w:t>
      </w:r>
      <w:r>
        <w:t xml:space="preserve">, 73 Cal.App.5th at p. 979 [also </w:t>
      </w:r>
      <w:r w:rsidR="000B6F18">
        <w:t xml:space="preserve">relying on the </w:t>
      </w:r>
      <w:r w:rsidR="000B6F18" w:rsidRPr="00E4176F">
        <w:rPr>
          <w:i/>
          <w:iCs/>
        </w:rPr>
        <w:t>Gentile</w:t>
      </w:r>
      <w:r w:rsidR="000B6F18">
        <w:t xml:space="preserve"> quote</w:t>
      </w:r>
      <w:r w:rsidR="00A86BC0">
        <w:t>]</w:t>
      </w:r>
      <w:r>
        <w:t>.)</w:t>
      </w:r>
    </w:p>
    <w:p w14:paraId="4CB31F16" w14:textId="029E670E" w:rsidR="000C0919" w:rsidRPr="00E4176F" w:rsidRDefault="0061079E" w:rsidP="003F5230">
      <w:r>
        <w:rPr>
          <w:color w:val="000000"/>
        </w:rPr>
        <w:tab/>
        <w:t>Defendant</w:t>
      </w:r>
      <w:r w:rsidR="00060CBF">
        <w:rPr>
          <w:color w:val="000000"/>
        </w:rPr>
        <w:t xml:space="preserve"> also</w:t>
      </w:r>
      <w:r>
        <w:rPr>
          <w:color w:val="000000"/>
        </w:rPr>
        <w:t xml:space="preserve"> asserts that our focus on the life endangering act</w:t>
      </w:r>
      <w:r w:rsidR="008A4EC1">
        <w:rPr>
          <w:color w:val="000000"/>
        </w:rPr>
        <w:t xml:space="preserve"> and </w:t>
      </w:r>
      <w:r w:rsidR="003704BB">
        <w:rPr>
          <w:color w:val="000000"/>
        </w:rPr>
        <w:t xml:space="preserve">making an aider and abettor liable for the result of that act regardless of his intent to achieve </w:t>
      </w:r>
      <w:r w:rsidR="008A4EC1">
        <w:rPr>
          <w:color w:val="000000"/>
        </w:rPr>
        <w:t>that result</w:t>
      </w:r>
      <w:r w:rsidR="003704BB">
        <w:rPr>
          <w:color w:val="000000"/>
        </w:rPr>
        <w:t xml:space="preserve"> “simply repackaged [natural and probable consequences] murder as aiding and </w:t>
      </w:r>
      <w:bookmarkStart w:id="158" w:name="ElPgBr39"/>
      <w:bookmarkEnd w:id="158"/>
      <w:r w:rsidR="003704BB">
        <w:rPr>
          <w:color w:val="000000"/>
        </w:rPr>
        <w:lastRenderedPageBreak/>
        <w:t xml:space="preserve">abetting implied malice murder.”  </w:t>
      </w:r>
      <w:r w:rsidR="008A4EC1">
        <w:rPr>
          <w:color w:val="000000"/>
        </w:rPr>
        <w:t xml:space="preserve">We disagree.  </w:t>
      </w:r>
      <w:r w:rsidR="008A4EC1">
        <w:t xml:space="preserve">As we noted in </w:t>
      </w:r>
      <w:r w:rsidR="008A4EC1" w:rsidRPr="00845ED4">
        <w:rPr>
          <w:i/>
          <w:iCs/>
        </w:rPr>
        <w:t>Powell</w:t>
      </w:r>
      <w:r w:rsidR="008A4EC1">
        <w:t xml:space="preserve">, under the natural and probable consequences doctrine, </w:t>
      </w:r>
      <w:r w:rsidR="008A4EC1" w:rsidRPr="005E1AA1">
        <w:t xml:space="preserve">the prosecution was not required to prove </w:t>
      </w:r>
      <w:r w:rsidR="00BF5D97">
        <w:t xml:space="preserve">the mental state required for implied </w:t>
      </w:r>
      <w:r w:rsidR="00BF5D97" w:rsidRPr="002A1F3F">
        <w:t>malice</w:t>
      </w:r>
      <w:r w:rsidR="001E2956" w:rsidRPr="002A1F3F">
        <w:t>:</w:t>
      </w:r>
      <w:r w:rsidR="00CD0231">
        <w:t xml:space="preserve"> </w:t>
      </w:r>
      <w:r w:rsidR="00BF5D97" w:rsidRPr="002A1F3F">
        <w:t xml:space="preserve"> the</w:t>
      </w:r>
      <w:r w:rsidR="008A4EC1" w:rsidRPr="005E1AA1">
        <w:t xml:space="preserve"> aider and abettor was subjectively aware of the risk of death and acted in conscious disregard thereof</w:t>
      </w:r>
      <w:r w:rsidR="00F54D01">
        <w:t>.  On the other hand,</w:t>
      </w:r>
      <w:r w:rsidR="008A4EC1">
        <w:t xml:space="preserve"> the </w:t>
      </w:r>
      <w:r w:rsidR="00A86BC0">
        <w:t>prosecut</w:t>
      </w:r>
      <w:r w:rsidR="00F54D01">
        <w:t>ion</w:t>
      </w:r>
      <w:r w:rsidR="00A86BC0">
        <w:t xml:space="preserve"> must prove those elements to establish direct </w:t>
      </w:r>
      <w:r w:rsidR="008A4EC1">
        <w:t>aid</w:t>
      </w:r>
      <w:r w:rsidR="00A86BC0">
        <w:t>ing</w:t>
      </w:r>
      <w:r w:rsidR="008A4EC1">
        <w:t xml:space="preserve"> and abett</w:t>
      </w:r>
      <w:r w:rsidR="00A86BC0">
        <w:t>ing</w:t>
      </w:r>
      <w:r w:rsidR="008A4EC1">
        <w:t xml:space="preserve"> implied malice </w:t>
      </w:r>
      <w:r w:rsidR="001216D7">
        <w:t>murder</w:t>
      </w:r>
      <w:r w:rsidR="008A4EC1" w:rsidRPr="005E1AA1">
        <w:t>.</w:t>
      </w:r>
      <w:r w:rsidR="008A4EC1">
        <w:t xml:space="preserve">  (</w:t>
      </w:r>
      <w:r w:rsidR="008A4EC1" w:rsidRPr="00A0283F">
        <w:rPr>
          <w:i/>
          <w:iCs/>
        </w:rPr>
        <w:t>Powell</w:t>
      </w:r>
      <w:r w:rsidR="008A4EC1" w:rsidRPr="00A0283F">
        <w:t xml:space="preserve">, </w:t>
      </w:r>
      <w:r w:rsidR="008A4EC1" w:rsidRPr="00A0283F">
        <w:rPr>
          <w:i/>
          <w:iCs/>
        </w:rPr>
        <w:t>supra</w:t>
      </w:r>
      <w:r w:rsidR="008A4EC1" w:rsidRPr="00A0283F">
        <w:t>, 63 Cal.App.5th at p</w:t>
      </w:r>
      <w:r w:rsidR="008A4EC1">
        <w:t>p. 711-</w:t>
      </w:r>
      <w:r w:rsidR="008A4EC1" w:rsidRPr="00A0283F">
        <w:t>713</w:t>
      </w:r>
      <w:r w:rsidR="008A4EC1">
        <w:t>.)</w:t>
      </w:r>
      <w:r w:rsidR="0098423F">
        <w:t xml:space="preserve"> </w:t>
      </w:r>
      <w:r w:rsidR="008A4EC1">
        <w:t xml:space="preserve"> This distinction was recognized by the court in </w:t>
      </w:r>
      <w:r w:rsidR="000B4F9F" w:rsidRPr="00E4176F">
        <w:rPr>
          <w:i/>
          <w:iCs/>
        </w:rPr>
        <w:t>Valenzuela</w:t>
      </w:r>
      <w:r w:rsidR="008A4EC1">
        <w:t xml:space="preserve"> in rejecting an argument similar to the one Roman makes here. </w:t>
      </w:r>
      <w:r w:rsidR="00CD0231">
        <w:t xml:space="preserve"> </w:t>
      </w:r>
      <w:r w:rsidR="000B4F9F">
        <w:t>(</w:t>
      </w:r>
      <w:r w:rsidR="000B4F9F" w:rsidRPr="00845ED4">
        <w:rPr>
          <w:i/>
          <w:iCs/>
        </w:rPr>
        <w:t>Valenzuel</w:t>
      </w:r>
      <w:r w:rsidR="000B4F9F">
        <w:rPr>
          <w:i/>
          <w:iCs/>
        </w:rPr>
        <w:t>a, supra,</w:t>
      </w:r>
      <w:r w:rsidR="000B4F9F">
        <w:t xml:space="preserve"> 73 Cal.App.5th at pp. 503-504 [</w:t>
      </w:r>
      <w:r w:rsidR="0077777D">
        <w:t>the natural and probable consequences doctrine the Legislature sought to eliminate in Senate Bill 1437 did not require a finding that the aider and abettor know his conduct endangers the life of another and that he acted with conscious disregard for life]</w:t>
      </w:r>
      <w:r w:rsidR="00BF5D97">
        <w:t xml:space="preserve">; </w:t>
      </w:r>
      <w:r w:rsidR="00A54649">
        <w:t>s</w:t>
      </w:r>
      <w:r w:rsidR="00BF5D97">
        <w:t xml:space="preserve">ee also </w:t>
      </w:r>
      <w:r w:rsidR="003A3EC6" w:rsidRPr="00E4176F">
        <w:rPr>
          <w:i/>
          <w:iCs/>
        </w:rPr>
        <w:t>People v. Soto</w:t>
      </w:r>
      <w:r w:rsidR="003A3EC6">
        <w:t xml:space="preserve"> </w:t>
      </w:r>
      <w:r w:rsidR="0083452B">
        <w:t xml:space="preserve">(2020) 51 Cal.App.5th 1043, </w:t>
      </w:r>
      <w:r w:rsidR="00345E9C">
        <w:t>1056</w:t>
      </w:r>
      <w:r w:rsidR="00891531">
        <w:t>, 1059</w:t>
      </w:r>
      <w:r w:rsidR="00345E9C">
        <w:t xml:space="preserve"> [</w:t>
      </w:r>
      <w:r w:rsidR="00B14FB0">
        <w:t xml:space="preserve">the </w:t>
      </w:r>
      <w:r w:rsidR="00345E9C">
        <w:t xml:space="preserve">natural </w:t>
      </w:r>
      <w:r w:rsidR="00235E63">
        <w:t xml:space="preserve">and </w:t>
      </w:r>
      <w:r w:rsidR="00345E9C">
        <w:t xml:space="preserve">probable consequences for indirect aiding and abetting and </w:t>
      </w:r>
      <w:r w:rsidR="00C66CC5">
        <w:t xml:space="preserve">the </w:t>
      </w:r>
      <w:r w:rsidR="00345E9C">
        <w:t xml:space="preserve">natural and probable consequences for implied malice murder “are distinctly different concepts,” the latter </w:t>
      </w:r>
      <w:r w:rsidR="00C66CC5">
        <w:t>of which pertains to</w:t>
      </w:r>
      <w:r w:rsidR="00345E9C">
        <w:t xml:space="preserve"> the mental state the aider and abettor</w:t>
      </w:r>
      <w:r w:rsidR="00B14FB0">
        <w:t xml:space="preserve"> must share with the actual perpetrator and </w:t>
      </w:r>
      <w:r w:rsidR="003E09A9">
        <w:t xml:space="preserve">it “does not </w:t>
      </w:r>
      <w:r w:rsidR="003E09A9" w:rsidRPr="00E4176F">
        <w:rPr>
          <w:color w:val="000000"/>
        </w:rPr>
        <w:t>transform</w:t>
      </w:r>
      <w:r w:rsidR="00C66CC5">
        <w:rPr>
          <w:color w:val="000000"/>
        </w:rPr>
        <w:t>”</w:t>
      </w:r>
      <w:r w:rsidR="003E09A9" w:rsidRPr="00E4176F">
        <w:rPr>
          <w:color w:val="000000"/>
        </w:rPr>
        <w:t xml:space="preserve"> </w:t>
      </w:r>
      <w:r w:rsidR="003E09A9">
        <w:rPr>
          <w:color w:val="000000"/>
        </w:rPr>
        <w:t>an implied malice murder conviction</w:t>
      </w:r>
      <w:r w:rsidR="003E09A9" w:rsidRPr="00E4176F">
        <w:rPr>
          <w:color w:val="000000"/>
        </w:rPr>
        <w:t xml:space="preserve"> into one for murder under the natural and probable consequences doctrine within the meaning of </w:t>
      </w:r>
      <w:r w:rsidR="003E09A9" w:rsidRPr="00E4176F">
        <w:rPr>
          <w:color w:val="000000" w:themeColor="text1"/>
        </w:rPr>
        <w:t>section 1170.95</w:t>
      </w:r>
      <w:r w:rsidR="00B14FB0" w:rsidRPr="00E4176F">
        <w:rPr>
          <w:color w:val="000000" w:themeColor="text1"/>
        </w:rPr>
        <w:t>]</w:t>
      </w:r>
      <w:r w:rsidR="0077777D" w:rsidRPr="00E4176F">
        <w:rPr>
          <w:color w:val="000000" w:themeColor="text1"/>
        </w:rPr>
        <w:t>.</w:t>
      </w:r>
      <w:r w:rsidR="0077777D">
        <w:t>)</w:t>
      </w:r>
    </w:p>
    <w:p w14:paraId="62EEDFDE" w14:textId="6487984C" w:rsidR="00060CBF" w:rsidRDefault="0061079E" w:rsidP="005D7D86">
      <w:r>
        <w:tab/>
      </w:r>
      <w:r w:rsidR="00417821">
        <w:t xml:space="preserve">Roman </w:t>
      </w:r>
      <w:r w:rsidR="001216D7">
        <w:t>next</w:t>
      </w:r>
      <w:r w:rsidR="00417821">
        <w:t xml:space="preserve"> </w:t>
      </w:r>
      <w:r w:rsidR="005D7D86">
        <w:t>argues that Senate Bill 1437</w:t>
      </w:r>
      <w:r w:rsidR="00417821">
        <w:t xml:space="preserve"> actually</w:t>
      </w:r>
      <w:r w:rsidR="005D7D86">
        <w:t xml:space="preserve"> eliminated aiding and abetting liability for implied malice murder by amending section 188 to provide that malice may not be “</w:t>
      </w:r>
      <w:r w:rsidR="005D7D86" w:rsidRPr="007A118E">
        <w:t xml:space="preserve">imputed to a person based solely on </w:t>
      </w:r>
      <w:r w:rsidR="00793FE2">
        <w:t>his or her</w:t>
      </w:r>
      <w:r w:rsidR="005D7D86" w:rsidRPr="007A118E">
        <w:t xml:space="preserve"> participation in a crime</w:t>
      </w:r>
      <w:r w:rsidR="005D7D86">
        <w:t>.”  (</w:t>
      </w:r>
      <w:r w:rsidR="005D7D86">
        <w:rPr>
          <w:rFonts w:cstheme="minorHAnsi"/>
        </w:rPr>
        <w:t>§</w:t>
      </w:r>
      <w:r w:rsidR="005D7D86">
        <w:t xml:space="preserve"> 188, subd. (a).) </w:t>
      </w:r>
      <w:r w:rsidR="00793FE2">
        <w:t xml:space="preserve"> </w:t>
      </w:r>
      <w:r w:rsidR="005D7D86">
        <w:t xml:space="preserve">According to </w:t>
      </w:r>
      <w:r w:rsidR="00417821">
        <w:t>Roman,</w:t>
      </w:r>
      <w:r w:rsidR="005D7D86">
        <w:t xml:space="preserve"> the theory of direct aiding and abetting implied malice we discussed in </w:t>
      </w:r>
      <w:r w:rsidR="005D7D86" w:rsidRPr="00E4176F">
        <w:rPr>
          <w:i/>
          <w:iCs/>
        </w:rPr>
        <w:t>Powell</w:t>
      </w:r>
      <w:r w:rsidRPr="00E4176F">
        <w:t>,</w:t>
      </w:r>
      <w:r w:rsidR="005D7D86">
        <w:t xml:space="preserve"> “indicates that malice is imputed to a person based </w:t>
      </w:r>
      <w:r w:rsidR="005D7D86" w:rsidRPr="00E4176F">
        <w:rPr>
          <w:i/>
          <w:iCs/>
        </w:rPr>
        <w:t>solely</w:t>
      </w:r>
      <w:r w:rsidR="005D7D86">
        <w:t xml:space="preserve"> on his or her participation in the crime.”</w:t>
      </w:r>
      <w:r w:rsidR="00F3409C">
        <w:t xml:space="preserve"> </w:t>
      </w:r>
      <w:r w:rsidR="005D7D86">
        <w:t xml:space="preserve"> (</w:t>
      </w:r>
      <w:r w:rsidR="00793FE2">
        <w:t>Italics added.)</w:t>
      </w:r>
      <w:r w:rsidR="005D7D86">
        <w:t xml:space="preserve">  </w:t>
      </w:r>
      <w:r w:rsidR="00663CC5">
        <w:t xml:space="preserve">Not so.  </w:t>
      </w:r>
    </w:p>
    <w:p w14:paraId="507F3023" w14:textId="26711F89" w:rsidR="00B13FD8" w:rsidRDefault="0061079E" w:rsidP="00E4176F">
      <w:pPr>
        <w:pStyle w:val="bodytext"/>
      </w:pPr>
      <w:r>
        <w:t xml:space="preserve">Again, for liability under the natural and probable </w:t>
      </w:r>
      <w:r>
        <w:t>consequences doctrine,</w:t>
      </w:r>
      <w:r w:rsidR="00955FB4">
        <w:t xml:space="preserve"> the aider and abettor </w:t>
      </w:r>
      <w:r w:rsidR="00A74F25">
        <w:t xml:space="preserve">need only have the intent to </w:t>
      </w:r>
      <w:r w:rsidR="00F54D01">
        <w:t xml:space="preserve">participate in </w:t>
      </w:r>
      <w:r w:rsidR="00A74F25">
        <w:t>a target offens</w:t>
      </w:r>
      <w:r w:rsidR="009D0992">
        <w:t xml:space="preserve">e; </w:t>
      </w:r>
      <w:r w:rsidR="00A74F25">
        <w:t xml:space="preserve">guilt for the charged crime </w:t>
      </w:r>
      <w:r w:rsidR="00CF483F">
        <w:t>is thereby</w:t>
      </w:r>
      <w:r w:rsidR="00A74F25">
        <w:t xml:space="preserve"> imputed to him.  But for second degree murder based on implied malice, t</w:t>
      </w:r>
      <w:r w:rsidR="00B02D39">
        <w:t xml:space="preserve">here is no imputation of malice because, as </w:t>
      </w:r>
      <w:r>
        <w:t>we</w:t>
      </w:r>
      <w:r w:rsidR="003E09A9">
        <w:t xml:space="preserve"> have</w:t>
      </w:r>
      <w:r>
        <w:t xml:space="preserve"> </w:t>
      </w:r>
      <w:r w:rsidR="00B02D39">
        <w:t xml:space="preserve">explained, the direct aider </w:t>
      </w:r>
      <w:bookmarkStart w:id="159" w:name="ElPgBr40"/>
      <w:bookmarkEnd w:id="159"/>
      <w:r w:rsidR="00B02D39">
        <w:lastRenderedPageBreak/>
        <w:t>and abettor must</w:t>
      </w:r>
      <w:r w:rsidR="00A74F25">
        <w:t xml:space="preserve"> have the same mental state as the actual perpetrator of the charged crime</w:t>
      </w:r>
      <w:r w:rsidR="00060CBF">
        <w:t>:</w:t>
      </w:r>
      <w:r w:rsidR="00A74F25">
        <w:t xml:space="preserve">  </w:t>
      </w:r>
      <w:r w:rsidR="00CD4831">
        <w:t>the direct aider and abettor</w:t>
      </w:r>
      <w:r w:rsidR="00A74F25">
        <w:t xml:space="preserve"> must</w:t>
      </w:r>
      <w:r w:rsidR="00B02D39">
        <w:t xml:space="preserve"> act with </w:t>
      </w:r>
      <w:r w:rsidR="00B02D39" w:rsidRPr="00845ED4">
        <w:rPr>
          <w:color w:val="000000"/>
        </w:rPr>
        <w:t xml:space="preserve">knowledge that </w:t>
      </w:r>
      <w:r w:rsidR="00B02D39" w:rsidRPr="00845ED4">
        <w:rPr>
          <w:i/>
          <w:iCs/>
          <w:color w:val="000000"/>
        </w:rPr>
        <w:t>the act</w:t>
      </w:r>
      <w:r w:rsidR="00B02D39" w:rsidRPr="00845ED4">
        <w:rPr>
          <w:color w:val="000000"/>
        </w:rPr>
        <w:t xml:space="preserve"> is dangerous to human life</w:t>
      </w:r>
      <w:r w:rsidR="00B02D39">
        <w:rPr>
          <w:color w:val="000000"/>
        </w:rPr>
        <w:t xml:space="preserve"> </w:t>
      </w:r>
      <w:r w:rsidR="00B02D39" w:rsidRPr="00845ED4">
        <w:rPr>
          <w:color w:val="000000"/>
        </w:rPr>
        <w:t xml:space="preserve">and </w:t>
      </w:r>
      <w:r w:rsidR="00B02D39">
        <w:rPr>
          <w:color w:val="000000"/>
        </w:rPr>
        <w:t>with</w:t>
      </w:r>
      <w:r w:rsidR="00B02D39" w:rsidRPr="00845ED4">
        <w:rPr>
          <w:color w:val="000000"/>
        </w:rPr>
        <w:t xml:space="preserve"> conscious disregard for human life</w:t>
      </w:r>
      <w:r w:rsidR="00B02D39">
        <w:rPr>
          <w:color w:val="000000"/>
        </w:rPr>
        <w:t xml:space="preserve">.  </w:t>
      </w:r>
      <w:r w:rsidR="00CD4831">
        <w:rPr>
          <w:color w:val="000000"/>
        </w:rPr>
        <w:t>Given th</w:t>
      </w:r>
      <w:r w:rsidR="009D0992">
        <w:rPr>
          <w:color w:val="000000"/>
        </w:rPr>
        <w:t>e</w:t>
      </w:r>
      <w:r w:rsidR="00CD4831">
        <w:rPr>
          <w:color w:val="000000"/>
        </w:rPr>
        <w:t xml:space="preserve"> mens rea requirement</w:t>
      </w:r>
      <w:r w:rsidR="004C7070">
        <w:rPr>
          <w:color w:val="000000"/>
        </w:rPr>
        <w:t>s for aiding and abetting implied malice</w:t>
      </w:r>
      <w:r>
        <w:rPr>
          <w:color w:val="000000"/>
        </w:rPr>
        <w:t>, n</w:t>
      </w:r>
      <w:r>
        <w:t xml:space="preserve">ot only is malice not </w:t>
      </w:r>
      <w:r w:rsidR="00CD4831">
        <w:t>“</w:t>
      </w:r>
      <w:r>
        <w:t>imputed</w:t>
      </w:r>
      <w:r w:rsidR="00CD4831">
        <w:t>”</w:t>
      </w:r>
      <w:r>
        <w:t xml:space="preserve"> on this direct aiding and abetting theory</w:t>
      </w:r>
      <w:r w:rsidR="0007336E">
        <w:t xml:space="preserve">, </w:t>
      </w:r>
      <w:r>
        <w:t xml:space="preserve">but </w:t>
      </w:r>
      <w:r w:rsidR="0007336E">
        <w:t>liability is not grounded “solely” upon participation in the crime</w:t>
      </w:r>
      <w:r w:rsidR="009D0992">
        <w:t xml:space="preserve"> within the meaning of section 188, subdivision (a)(3) as amended in Senate Bill 1437</w:t>
      </w:r>
      <w:r w:rsidR="0007336E">
        <w:t>.</w:t>
      </w:r>
      <w:r w:rsidR="00CF483F">
        <w:t xml:space="preserve">  Liability for murder is grounded upon the requirement that the aider and abettor personally harbor malice.</w:t>
      </w:r>
    </w:p>
    <w:p w14:paraId="6AD5AF02" w14:textId="527B25F6" w:rsidR="005D7D86" w:rsidRDefault="0061079E" w:rsidP="005D7D86">
      <w:r>
        <w:tab/>
      </w:r>
      <w:r w:rsidR="001216D7">
        <w:t xml:space="preserve">We </w:t>
      </w:r>
      <w:r w:rsidR="00CD4831">
        <w:t xml:space="preserve">also </w:t>
      </w:r>
      <w:r w:rsidR="001216D7">
        <w:t>note that</w:t>
      </w:r>
      <w:r>
        <w:t xml:space="preserve"> there is no indication </w:t>
      </w:r>
      <w:r w:rsidR="009E64C5">
        <w:t xml:space="preserve">the </w:t>
      </w:r>
      <w:r>
        <w:t>Legislature int</w:t>
      </w:r>
      <w:r>
        <w:t xml:space="preserve">ended to abrogate the concept of aiding and abetting implied malice murder </w:t>
      </w:r>
      <w:r w:rsidR="00AD11E3">
        <w:t xml:space="preserve">as </w:t>
      </w:r>
      <w:r>
        <w:t xml:space="preserve">mentioned in </w:t>
      </w:r>
      <w:r w:rsidRPr="00E4176F">
        <w:rPr>
          <w:i/>
          <w:iCs/>
        </w:rPr>
        <w:t>Gentile</w:t>
      </w:r>
      <w:r>
        <w:t xml:space="preserve">.  </w:t>
      </w:r>
      <w:r w:rsidR="00F9370E">
        <w:t xml:space="preserve">In this regard, we </w:t>
      </w:r>
      <w:r w:rsidR="00CD4831">
        <w:t>think it</w:t>
      </w:r>
      <w:r w:rsidR="00AD11E3">
        <w:t xml:space="preserve"> significant </w:t>
      </w:r>
      <w:r w:rsidR="00CD4831">
        <w:t xml:space="preserve">that </w:t>
      </w:r>
      <w:r w:rsidR="00F9370E">
        <w:t xml:space="preserve">our </w:t>
      </w:r>
      <w:r w:rsidR="00663CC5">
        <w:t xml:space="preserve">high court’s statement in </w:t>
      </w:r>
      <w:r w:rsidR="00663CC5" w:rsidRPr="00E4176F">
        <w:rPr>
          <w:i/>
          <w:iCs/>
        </w:rPr>
        <w:t>Gentile</w:t>
      </w:r>
      <w:r w:rsidR="00663CC5">
        <w:t xml:space="preserve"> concerning aiding and abetting implied malice was prefaced with:  “</w:t>
      </w:r>
      <w:r w:rsidR="00663CC5" w:rsidRPr="001B4687">
        <w:t>notwithstanding Senate Bill 1437’s elimination of natural and probable consequences liability for second degree murder</w:t>
      </w:r>
      <w:r w:rsidR="00C353C8">
        <w:t xml:space="preserve">. . . </w:t>
      </w:r>
      <w:r w:rsidR="00663CC5">
        <w:t xml:space="preserve">.”  </w:t>
      </w:r>
      <w:r w:rsidR="000B09CA">
        <w:t>The Legislative history of</w:t>
      </w:r>
      <w:r w:rsidR="00663CC5">
        <w:t xml:space="preserve"> Senate Bill 775</w:t>
      </w:r>
      <w:r w:rsidR="000B09CA">
        <w:t xml:space="preserve"> indicates </w:t>
      </w:r>
      <w:r w:rsidR="00F9370E">
        <w:t>the</w:t>
      </w:r>
      <w:r w:rsidR="000B09CA">
        <w:t xml:space="preserve"> Legislature’s intent to abrogate the </w:t>
      </w:r>
      <w:r w:rsidR="000B09CA" w:rsidRPr="00E4176F">
        <w:rPr>
          <w:i/>
          <w:iCs/>
        </w:rPr>
        <w:t>Gentile</w:t>
      </w:r>
      <w:r w:rsidR="000B09CA">
        <w:t xml:space="preserve"> court’s holding that the petition procedure in section 1170.95 was the sole method of challenging the validity of a conviction under Senate Bill 1437.</w:t>
      </w:r>
      <w:r>
        <w:rPr>
          <w:rStyle w:val="FootnoteReference"/>
        </w:rPr>
        <w:footnoteReference w:id="35"/>
      </w:r>
      <w:r w:rsidR="000B09CA">
        <w:t xml:space="preserve">  </w:t>
      </w:r>
      <w:r w:rsidR="00CD4831">
        <w:t>But</w:t>
      </w:r>
      <w:r w:rsidR="000B09CA">
        <w:t xml:space="preserve"> nothing in Senate Bill 775 or its legislative history indicates a rejection of our high court’s observation </w:t>
      </w:r>
      <w:r w:rsidR="00C353C8">
        <w:t xml:space="preserve">concerning </w:t>
      </w:r>
      <w:r w:rsidR="00EB226B">
        <w:t xml:space="preserve">the </w:t>
      </w:r>
      <w:r w:rsidR="00C353C8">
        <w:t>availability</w:t>
      </w:r>
      <w:r w:rsidR="00EB226B">
        <w:t xml:space="preserve"> of </w:t>
      </w:r>
      <w:r w:rsidR="00C353C8">
        <w:t xml:space="preserve">direct aiding and abetting </w:t>
      </w:r>
      <w:r w:rsidR="000B09CA">
        <w:t>implied malice murder</w:t>
      </w:r>
      <w:r w:rsidR="00F9370E">
        <w:t xml:space="preserve"> </w:t>
      </w:r>
      <w:r w:rsidR="00C353C8">
        <w:t>as a theory of accomplice liability</w:t>
      </w:r>
      <w:r w:rsidR="00AD11E3">
        <w:t>,</w:t>
      </w:r>
      <w:r w:rsidR="00C353C8">
        <w:t xml:space="preserve"> </w:t>
      </w:r>
      <w:r w:rsidR="00F9370E">
        <w:t xml:space="preserve">nor </w:t>
      </w:r>
      <w:r w:rsidR="00CD4831">
        <w:t>is the</w:t>
      </w:r>
      <w:r w:rsidR="009D0992">
        <w:t>re</w:t>
      </w:r>
      <w:r w:rsidR="00CD4831">
        <w:t xml:space="preserve"> any </w:t>
      </w:r>
      <w:r w:rsidR="001E2956">
        <w:t xml:space="preserve">legislative </w:t>
      </w:r>
      <w:r w:rsidR="00CD4831">
        <w:t xml:space="preserve">history indicating disagreement with </w:t>
      </w:r>
      <w:r w:rsidR="00F9370E">
        <w:t>our</w:t>
      </w:r>
      <w:r w:rsidR="000B09CA">
        <w:t xml:space="preserve"> holding in </w:t>
      </w:r>
      <w:r w:rsidR="000B09CA" w:rsidRPr="00E4176F">
        <w:rPr>
          <w:i/>
          <w:iCs/>
        </w:rPr>
        <w:t>Powell</w:t>
      </w:r>
      <w:r w:rsidR="00D56A86">
        <w:t xml:space="preserve">.  If </w:t>
      </w:r>
      <w:r w:rsidR="00F9370E">
        <w:t>the Legislature inten</w:t>
      </w:r>
      <w:r w:rsidR="00AD11E3">
        <w:t>d</w:t>
      </w:r>
      <w:r w:rsidR="00CF483F">
        <w:t>ed</w:t>
      </w:r>
      <w:r w:rsidR="00AD11E3">
        <w:t xml:space="preserve"> </w:t>
      </w:r>
      <w:r w:rsidR="00F9370E">
        <w:t xml:space="preserve">to abrogate aiding </w:t>
      </w:r>
      <w:bookmarkStart w:id="160" w:name="ElPgBr41"/>
      <w:bookmarkEnd w:id="160"/>
      <w:r w:rsidR="00F9370E">
        <w:lastRenderedPageBreak/>
        <w:t>and abetting implied malice murder</w:t>
      </w:r>
      <w:r w:rsidR="00D56A86">
        <w:t xml:space="preserve">, </w:t>
      </w:r>
      <w:r w:rsidR="00F9370E">
        <w:t xml:space="preserve">we think it would have </w:t>
      </w:r>
      <w:r w:rsidR="00752A94">
        <w:t xml:space="preserve">expressly </w:t>
      </w:r>
      <w:r w:rsidR="00F9370E">
        <w:t>done so</w:t>
      </w:r>
      <w:r w:rsidR="00D56A86">
        <w:t xml:space="preserve"> in Senate Bill 775.  After all, </w:t>
      </w:r>
      <w:r w:rsidR="00F9370E">
        <w:t xml:space="preserve">when enacting legislation, </w:t>
      </w:r>
      <w:r w:rsidR="00D56A86">
        <w:t>“ ‘</w:t>
      </w:r>
      <w:r w:rsidR="00793FE2">
        <w:t>T</w:t>
      </w:r>
      <w:r w:rsidR="00D56A86">
        <w:t xml:space="preserve">he Legislature is deemed to be aware of existing laws </w:t>
      </w:r>
      <w:r w:rsidR="00D56A86" w:rsidRPr="00F4395C">
        <w:t>and judicial decisions</w:t>
      </w:r>
      <w:r w:rsidR="00793FE2">
        <w:t xml:space="preserve"> . . . </w:t>
      </w:r>
      <w:r w:rsidR="00D56A86">
        <w:t>in effect at the time legislation is enacted</w:t>
      </w:r>
      <w:r w:rsidR="003E237C">
        <w:t>,</w:t>
      </w:r>
      <w:r w:rsidR="00D56A86">
        <w:t xml:space="preserve"> and to have enacted and amended statutes “ ‘</w:t>
      </w:r>
      <w:r w:rsidR="00D56A86" w:rsidRPr="00E50E7E">
        <w:rPr>
          <w:i/>
          <w:iCs/>
        </w:rPr>
        <w:t>in the light of such decisions as have a direct bearing upon them</w:t>
      </w:r>
      <w:r w:rsidR="00D56A86">
        <w:t>.’ ” ’ ”  (</w:t>
      </w:r>
      <w:r w:rsidR="00D56A86" w:rsidRPr="00E50E7E">
        <w:rPr>
          <w:i/>
          <w:iCs/>
        </w:rPr>
        <w:t>People v. C</w:t>
      </w:r>
      <w:r w:rsidR="00D56A86">
        <w:rPr>
          <w:i/>
          <w:iCs/>
        </w:rPr>
        <w:t>as</w:t>
      </w:r>
      <w:r w:rsidR="00D56A86" w:rsidRPr="00E50E7E">
        <w:rPr>
          <w:i/>
          <w:iCs/>
        </w:rPr>
        <w:t>ti</w:t>
      </w:r>
      <w:r w:rsidR="00D56A86">
        <w:rPr>
          <w:i/>
          <w:iCs/>
        </w:rPr>
        <w:t>llo</w:t>
      </w:r>
      <w:r w:rsidR="00D56A86" w:rsidRPr="00E50E7E">
        <w:rPr>
          <w:i/>
          <w:iCs/>
        </w:rPr>
        <w:t>lopez</w:t>
      </w:r>
      <w:r w:rsidR="00D56A86">
        <w:t xml:space="preserve"> (2016) 63 Cal.4th 322, 331, italics added; </w:t>
      </w:r>
      <w:r w:rsidR="00D56A86" w:rsidRPr="00E50E7E">
        <w:rPr>
          <w:i/>
          <w:iCs/>
        </w:rPr>
        <w:t>People v. Licas</w:t>
      </w:r>
      <w:r w:rsidR="00D56A86">
        <w:t xml:space="preserve"> (2007) 41 Cal.4th 362, 367 (</w:t>
      </w:r>
      <w:r w:rsidR="00D56A86" w:rsidRPr="00E50E7E">
        <w:rPr>
          <w:i/>
          <w:iCs/>
        </w:rPr>
        <w:t>Licas</w:t>
      </w:r>
      <w:r w:rsidR="00D56A86">
        <w:t xml:space="preserve">); </w:t>
      </w:r>
      <w:r w:rsidR="00D56A86" w:rsidRPr="00E50E7E">
        <w:rPr>
          <w:i/>
          <w:iCs/>
        </w:rPr>
        <w:t>People v. Overstreet</w:t>
      </w:r>
      <w:r w:rsidR="00D56A86">
        <w:t xml:space="preserve"> (1986) 42 Cal.3d 891, 897.)</w:t>
      </w:r>
    </w:p>
    <w:p w14:paraId="30E0D32D" w14:textId="49A27D61" w:rsidR="009335CB" w:rsidRDefault="0061079E" w:rsidP="005D7D86">
      <w:r>
        <w:tab/>
        <w:t>We reject Roman’s contention that direct aiding and abetting implied malice murder is not a valid theory of liability for second degree murder.</w:t>
      </w:r>
    </w:p>
    <w:p w14:paraId="4507029C" w14:textId="288B25AF" w:rsidR="009335CB" w:rsidRPr="00E4176F" w:rsidRDefault="0061079E" w:rsidP="000F777F">
      <w:pPr>
        <w:keepNext/>
        <w:jc w:val="center"/>
        <w:rPr>
          <w:b/>
          <w:bCs/>
        </w:rPr>
      </w:pPr>
      <w:r>
        <w:rPr>
          <w:b/>
          <w:bCs/>
        </w:rPr>
        <w:t xml:space="preserve">C. </w:t>
      </w:r>
      <w:r w:rsidR="00B90240">
        <w:rPr>
          <w:b/>
          <w:bCs/>
        </w:rPr>
        <w:t xml:space="preserve"> </w:t>
      </w:r>
      <w:r w:rsidRPr="00E4176F">
        <w:rPr>
          <w:b/>
          <w:bCs/>
          <w:i/>
          <w:iCs/>
        </w:rPr>
        <w:t>Powell</w:t>
      </w:r>
      <w:r w:rsidRPr="00E4176F">
        <w:rPr>
          <w:b/>
          <w:bCs/>
        </w:rPr>
        <w:t xml:space="preserve"> Instructional Error</w:t>
      </w:r>
    </w:p>
    <w:p w14:paraId="3A594547" w14:textId="7D315FFF" w:rsidR="00C429AF" w:rsidRDefault="0061079E" w:rsidP="005D7D86">
      <w:r>
        <w:tab/>
      </w:r>
      <w:r w:rsidR="009335CB">
        <w:t>Anticipating our rejection of the arguments immediately above, d</w:t>
      </w:r>
      <w:r w:rsidR="005D7D86">
        <w:t>efendant argues that assuming aiding and abetting implied malice murder is a valid theory, the trial court’s instructions were erroneous</w:t>
      </w:r>
      <w:r w:rsidR="009335CB">
        <w:t xml:space="preserve"> based on </w:t>
      </w:r>
      <w:r w:rsidR="009335CB" w:rsidRPr="00E4176F">
        <w:rPr>
          <w:i/>
          <w:iCs/>
        </w:rPr>
        <w:t>Powell</w:t>
      </w:r>
      <w:r w:rsidR="005D7D86">
        <w:t xml:space="preserve">.  </w:t>
      </w:r>
      <w:r w:rsidR="009335CB">
        <w:t>W</w:t>
      </w:r>
      <w:r w:rsidR="00D72662">
        <w:t>ith this, w</w:t>
      </w:r>
      <w:r w:rsidR="009335CB">
        <w:t xml:space="preserve">e agree.  </w:t>
      </w:r>
    </w:p>
    <w:p w14:paraId="16AEC795" w14:textId="0DC3912F" w:rsidR="009335CB" w:rsidRDefault="0061079E" w:rsidP="005D7D86">
      <w:r>
        <w:tab/>
      </w:r>
      <w:r w:rsidR="00524F51">
        <w:t xml:space="preserve">Like the instructions in </w:t>
      </w:r>
      <w:r w:rsidR="00524F51" w:rsidRPr="00E4176F">
        <w:rPr>
          <w:i/>
          <w:iCs/>
        </w:rPr>
        <w:t>Powell</w:t>
      </w:r>
      <w:r w:rsidR="00524F51">
        <w:t xml:space="preserve">, the standard instructions given here were not tailored to address </w:t>
      </w:r>
      <w:r w:rsidR="00D72662">
        <w:t>direct aiding and abetting</w:t>
      </w:r>
      <w:r w:rsidR="00524F51">
        <w:t xml:space="preserve"> liability for </w:t>
      </w:r>
      <w:r w:rsidR="00D72662">
        <w:t>implied malice</w:t>
      </w:r>
      <w:r w:rsidR="00524F51">
        <w:t xml:space="preserve"> murder.  (</w:t>
      </w:r>
      <w:r w:rsidR="00524F51" w:rsidRPr="00E4176F">
        <w:rPr>
          <w:i/>
          <w:iCs/>
        </w:rPr>
        <w:t>Powell</w:t>
      </w:r>
      <w:r w:rsidR="00524F51">
        <w:t xml:space="preserve">, </w:t>
      </w:r>
      <w:r w:rsidR="00524F51" w:rsidRPr="00E4176F">
        <w:rPr>
          <w:i/>
          <w:iCs/>
        </w:rPr>
        <w:t>supra</w:t>
      </w:r>
      <w:r w:rsidR="00524F51">
        <w:t xml:space="preserve">, 63 Cal.App.5th at p. 715; see also </w:t>
      </w:r>
      <w:r w:rsidR="00524F51" w:rsidRPr="00E4176F">
        <w:rPr>
          <w:i/>
          <w:iCs/>
        </w:rPr>
        <w:t>Langi</w:t>
      </w:r>
      <w:r w:rsidR="00524F51">
        <w:t xml:space="preserve">, </w:t>
      </w:r>
      <w:r w:rsidR="00524F51" w:rsidRPr="00E4176F">
        <w:rPr>
          <w:i/>
          <w:iCs/>
        </w:rPr>
        <w:t>supra</w:t>
      </w:r>
      <w:r w:rsidR="00524F51">
        <w:t>, 73 Cal.App.5th at p. 982 [“</w:t>
      </w:r>
      <w:r w:rsidR="00524F51" w:rsidRPr="00524F51">
        <w:t xml:space="preserve">As explained in </w:t>
      </w:r>
      <w:r w:rsidR="00524F51">
        <w:t>[</w:t>
      </w:r>
      <w:r w:rsidR="00524F51" w:rsidRPr="00E4176F">
        <w:rPr>
          <w:i/>
          <w:iCs/>
        </w:rPr>
        <w:t>Powell</w:t>
      </w:r>
      <w:r w:rsidR="00524F51">
        <w:t>],</w:t>
      </w:r>
      <w:r w:rsidR="00524F51" w:rsidRPr="00524F51">
        <w:t xml:space="preserve"> the standard aiding-and-abetting instructions are ill suited to the crime of second degree murder</w:t>
      </w:r>
      <w:r w:rsidR="003D51E0">
        <w:t>,” and if “</w:t>
      </w:r>
      <w:r w:rsidR="00524F51" w:rsidRPr="00524F51">
        <w:t>a trial court uses such an instruction without tailoring it to the specifics of that crime, the instruction creates an ambiguity under which the jury may find the defendant guilty of aiding and abetting second degree murder without finding that he personally acted with malice</w:t>
      </w:r>
      <w:r w:rsidR="003D51E0">
        <w:t>”].)</w:t>
      </w:r>
    </w:p>
    <w:p w14:paraId="0C35C450" w14:textId="6A3CA708" w:rsidR="003D51E0" w:rsidRDefault="0061079E" w:rsidP="005D7D86">
      <w:r>
        <w:tab/>
        <w:t xml:space="preserve">Given this instructional error, we must determine </w:t>
      </w:r>
      <w:r w:rsidR="002C21DA">
        <w:t xml:space="preserve">whether the error </w:t>
      </w:r>
      <w:r>
        <w:t xml:space="preserve">was prejudicial.  Before we do, we turn </w:t>
      </w:r>
      <w:r w:rsidR="00F357B7">
        <w:t xml:space="preserve">briefly </w:t>
      </w:r>
      <w:r>
        <w:t>to defendant’s second claim of error</w:t>
      </w:r>
      <w:r w:rsidR="008F0B83">
        <w:t xml:space="preserve"> — alternative-theory error — because the evolution of </w:t>
      </w:r>
      <w:r w:rsidR="00C429AF">
        <w:t xml:space="preserve">the legal analysis for </w:t>
      </w:r>
      <w:r w:rsidR="008F0B83">
        <w:t xml:space="preserve">harmless error has occurred </w:t>
      </w:r>
      <w:r w:rsidR="00C429AF">
        <w:t xml:space="preserve">most recently </w:t>
      </w:r>
      <w:r w:rsidR="008F0B83">
        <w:t>in the context of that form of instructional error</w:t>
      </w:r>
      <w:r>
        <w:t>.</w:t>
      </w:r>
    </w:p>
    <w:p w14:paraId="3928E515" w14:textId="33E0BF3D" w:rsidR="000D7828" w:rsidRPr="0038776F" w:rsidRDefault="0061079E" w:rsidP="000F777F">
      <w:pPr>
        <w:keepNext/>
        <w:jc w:val="center"/>
        <w:rPr>
          <w:b/>
          <w:bCs/>
        </w:rPr>
      </w:pPr>
      <w:bookmarkStart w:id="161" w:name="ElPgBr42"/>
      <w:bookmarkEnd w:id="161"/>
      <w:r>
        <w:rPr>
          <w:b/>
          <w:bCs/>
        </w:rPr>
        <w:lastRenderedPageBreak/>
        <w:t>D</w:t>
      </w:r>
      <w:r w:rsidRPr="0038776F">
        <w:rPr>
          <w:b/>
          <w:bCs/>
        </w:rPr>
        <w:t>.  Retroactive Alternative-Theory Error</w:t>
      </w:r>
      <w:r>
        <w:rPr>
          <w:b/>
          <w:bCs/>
        </w:rPr>
        <w:t xml:space="preserve"> </w:t>
      </w:r>
    </w:p>
    <w:p w14:paraId="1CFBDBAB" w14:textId="50155F20" w:rsidR="000D7828" w:rsidRDefault="0061079E" w:rsidP="005D7D86">
      <w:r>
        <w:tab/>
      </w:r>
      <w:r w:rsidRPr="00D6647E">
        <w:t>When a trial court instructs a jury on two theories of guilt, one of which was legally correct and one legally incorrect,</w:t>
      </w:r>
      <w:r>
        <w:t xml:space="preserve"> reviewing courts refer to this as alternative-theory error.  (</w:t>
      </w:r>
      <w:r w:rsidRPr="0038776F">
        <w:rPr>
          <w:i/>
          <w:iCs/>
        </w:rPr>
        <w:t>People v. Aledamat</w:t>
      </w:r>
      <w:r>
        <w:t xml:space="preserve"> (2019) 8 C</w:t>
      </w:r>
      <w:r>
        <w:t>al.5th 1, 9 (</w:t>
      </w:r>
      <w:r w:rsidRPr="0038776F">
        <w:rPr>
          <w:i/>
          <w:iCs/>
        </w:rPr>
        <w:t>Aledamat</w:t>
      </w:r>
      <w:r>
        <w:t>).)  Both sides agree the enactments of Senate Bill 1437 and 775 effectuated alternative-theory error retroactively.  But they disagree as to whether the error was harmless, and indeed disagree on the method for determining harmlessnes</w:t>
      </w:r>
      <w:r>
        <w:t>s.</w:t>
      </w:r>
    </w:p>
    <w:p w14:paraId="35C95159" w14:textId="5EEF31E7" w:rsidR="005C34B6" w:rsidRPr="00E4176F" w:rsidRDefault="0061079E" w:rsidP="000F777F">
      <w:pPr>
        <w:keepNext/>
        <w:jc w:val="center"/>
        <w:rPr>
          <w:b/>
          <w:bCs/>
        </w:rPr>
      </w:pPr>
      <w:r>
        <w:rPr>
          <w:b/>
          <w:bCs/>
        </w:rPr>
        <w:t>E</w:t>
      </w:r>
      <w:r w:rsidR="0020384E" w:rsidRPr="00E4176F">
        <w:rPr>
          <w:b/>
          <w:bCs/>
        </w:rPr>
        <w:t>.  Harmless Error</w:t>
      </w:r>
    </w:p>
    <w:p w14:paraId="4742F503" w14:textId="47A874FB" w:rsidR="0020384E" w:rsidRPr="00E4176F" w:rsidRDefault="0061079E" w:rsidP="000F777F">
      <w:pPr>
        <w:keepNext/>
        <w:ind w:firstLine="720"/>
        <w:rPr>
          <w:b/>
          <w:bCs/>
        </w:rPr>
      </w:pPr>
      <w:r w:rsidRPr="00E4176F">
        <w:rPr>
          <w:b/>
          <w:bCs/>
        </w:rPr>
        <w:t>1.</w:t>
      </w:r>
      <w:r w:rsidRPr="00E4176F">
        <w:rPr>
          <w:b/>
          <w:bCs/>
          <w:i/>
          <w:iCs/>
        </w:rPr>
        <w:t xml:space="preserve">  Chapman </w:t>
      </w:r>
      <w:r w:rsidRPr="00E4176F">
        <w:rPr>
          <w:b/>
          <w:bCs/>
        </w:rPr>
        <w:t xml:space="preserve">/ </w:t>
      </w:r>
      <w:r w:rsidR="000D35E5" w:rsidRPr="00E4176F">
        <w:rPr>
          <w:b/>
          <w:bCs/>
          <w:i/>
          <w:iCs/>
        </w:rPr>
        <w:t>Neder</w:t>
      </w:r>
      <w:r w:rsidR="000D35E5">
        <w:rPr>
          <w:b/>
          <w:bCs/>
        </w:rPr>
        <w:t xml:space="preserve"> / </w:t>
      </w:r>
      <w:r w:rsidRPr="00E4176F">
        <w:rPr>
          <w:b/>
          <w:bCs/>
          <w:i/>
          <w:iCs/>
        </w:rPr>
        <w:t>Aledamat</w:t>
      </w:r>
      <w:r w:rsidR="000D35E5">
        <w:rPr>
          <w:b/>
          <w:bCs/>
        </w:rPr>
        <w:t xml:space="preserve"> &amp; Federal Authorities</w:t>
      </w:r>
    </w:p>
    <w:p w14:paraId="33FC00F9" w14:textId="10663959" w:rsidR="005178AC" w:rsidRDefault="0061079E">
      <w:r>
        <w:tab/>
      </w:r>
      <w:r w:rsidR="006F5BE3">
        <w:t xml:space="preserve">As the </w:t>
      </w:r>
      <w:r w:rsidR="006F5BE3" w:rsidRPr="00E4176F">
        <w:rPr>
          <w:i/>
          <w:iCs/>
        </w:rPr>
        <w:t>Aled</w:t>
      </w:r>
      <w:r w:rsidR="0098423F">
        <w:rPr>
          <w:i/>
          <w:iCs/>
        </w:rPr>
        <w:t>a</w:t>
      </w:r>
      <w:r w:rsidR="006F5BE3" w:rsidRPr="00E4176F">
        <w:rPr>
          <w:i/>
          <w:iCs/>
        </w:rPr>
        <w:t>mat</w:t>
      </w:r>
      <w:r w:rsidR="006F5BE3">
        <w:rPr>
          <w:i/>
          <w:iCs/>
        </w:rPr>
        <w:t xml:space="preserve"> </w:t>
      </w:r>
      <w:r w:rsidR="006F5BE3">
        <w:t xml:space="preserve">court explained, </w:t>
      </w:r>
      <w:r w:rsidR="006F5BE3" w:rsidRPr="00E4176F">
        <w:t>f</w:t>
      </w:r>
      <w:r w:rsidR="00D21E62" w:rsidRPr="006F5BE3">
        <w:t>or</w:t>
      </w:r>
      <w:r w:rsidR="00D21E62">
        <w:t xml:space="preserve"> </w:t>
      </w:r>
      <w:r w:rsidR="000F0DF7">
        <w:t>misdescription of</w:t>
      </w:r>
      <w:r>
        <w:t xml:space="preserve"> elements and </w:t>
      </w:r>
      <w:r w:rsidR="00D21E62">
        <w:t>alternative</w:t>
      </w:r>
      <w:r>
        <w:t>-</w:t>
      </w:r>
      <w:r w:rsidR="00D21E62">
        <w:t xml:space="preserve">theory </w:t>
      </w:r>
      <w:r w:rsidR="000C1CB2">
        <w:t xml:space="preserve">instructional </w:t>
      </w:r>
      <w:r w:rsidR="00D21E62">
        <w:t xml:space="preserve">error, we apply the harmless beyond a reasonable doubt standard in </w:t>
      </w:r>
      <w:r w:rsidR="00D21E62">
        <w:rPr>
          <w:i/>
          <w:iCs/>
        </w:rPr>
        <w:t xml:space="preserve">Chapman v. California </w:t>
      </w:r>
      <w:r w:rsidR="00D21E62">
        <w:t xml:space="preserve">(1967) 386 U.S. 18.  </w:t>
      </w:r>
      <w:r w:rsidR="000C1CB2">
        <w:t>(</w:t>
      </w:r>
      <w:r w:rsidR="000C1CB2" w:rsidRPr="001A502A">
        <w:rPr>
          <w:i/>
          <w:iCs/>
        </w:rPr>
        <w:t>Aledamat</w:t>
      </w:r>
      <w:r w:rsidR="000C1CB2">
        <w:rPr>
          <w:i/>
          <w:iCs/>
        </w:rPr>
        <w:t>, supra,</w:t>
      </w:r>
      <w:r w:rsidR="000C1CB2">
        <w:t xml:space="preserve"> 8 Cal.5th at p. 9.) </w:t>
      </w:r>
      <w:r>
        <w:t xml:space="preserve"> </w:t>
      </w:r>
      <w:r w:rsidR="005F31F9">
        <w:t xml:space="preserve">The court </w:t>
      </w:r>
      <w:r w:rsidR="00696BB6">
        <w:t>clarified that</w:t>
      </w:r>
      <w:r w:rsidR="00D041A4">
        <w:t>,</w:t>
      </w:r>
      <w:r w:rsidR="00696BB6">
        <w:t xml:space="preserve"> “</w:t>
      </w:r>
      <w:r w:rsidR="00D21E62" w:rsidRPr="00D21E62">
        <w:t xml:space="preserve">no higher standard of review applies to alternative-theory error than applies to other misdescriptions of the elements. </w:t>
      </w:r>
      <w:r w:rsidR="00696BB6">
        <w:t xml:space="preserve"> </w:t>
      </w:r>
      <w:r w:rsidR="00D21E62" w:rsidRPr="00D21E62">
        <w:t xml:space="preserve">The </w:t>
      </w:r>
      <w:r w:rsidR="00FF185A">
        <w:t xml:space="preserve">same </w:t>
      </w:r>
      <w:r w:rsidR="00D21E62" w:rsidRPr="00D21E62">
        <w:t>beyond a reasonable doubt standard applies to all such misdescriptions, including alternative-theory error.</w:t>
      </w:r>
      <w:r w:rsidR="00696BB6">
        <w:t xml:space="preserve">”  </w:t>
      </w:r>
      <w:r w:rsidR="000C1CB2">
        <w:t>(</w:t>
      </w:r>
      <w:r w:rsidR="000C1CB2" w:rsidRPr="00E4176F">
        <w:rPr>
          <w:i/>
          <w:iCs/>
        </w:rPr>
        <w:t>Ibid</w:t>
      </w:r>
      <w:r w:rsidR="000C1CB2">
        <w:t xml:space="preserve">.) </w:t>
      </w:r>
      <w:r w:rsidR="00AE7713">
        <w:t xml:space="preserve"> </w:t>
      </w:r>
      <w:r w:rsidR="005304E1">
        <w:t>In other words, t</w:t>
      </w:r>
      <w:r w:rsidR="00AE7713">
        <w:t>here</w:t>
      </w:r>
      <w:r w:rsidR="00AE7713" w:rsidRPr="0072426A">
        <w:t xml:space="preserve"> is no hybrid standard for determining harmlessness</w:t>
      </w:r>
      <w:r w:rsidR="00AE7713">
        <w:t>; rather,</w:t>
      </w:r>
      <w:r w:rsidR="00AE7713" w:rsidRPr="0072426A">
        <w:t xml:space="preserve"> “</w:t>
      </w:r>
      <w:r w:rsidR="00AE7713" w:rsidRPr="0072426A">
        <w:rPr>
          <w:i/>
          <w:iCs/>
        </w:rPr>
        <w:t>the usual</w:t>
      </w:r>
      <w:r w:rsidR="00AE7713" w:rsidRPr="0072426A">
        <w:t xml:space="preserve"> ‘beyond a reasonable doubt</w:t>
      </w:r>
      <w:r w:rsidR="00AE7713">
        <w:t>,</w:t>
      </w:r>
      <w:r w:rsidR="00AE7713" w:rsidRPr="0072426A">
        <w:t>’</w:t>
      </w:r>
      <w:r w:rsidR="00AE7713">
        <w:t xml:space="preserve"> ” </w:t>
      </w:r>
      <w:r w:rsidR="00AE7713" w:rsidRPr="00D4185A">
        <w:rPr>
          <w:i/>
          <w:iCs/>
        </w:rPr>
        <w:t>Chapman</w:t>
      </w:r>
      <w:r w:rsidR="00AE7713" w:rsidRPr="0072426A">
        <w:t xml:space="preserve"> standard </w:t>
      </w:r>
      <w:r w:rsidR="00AE7713">
        <w:t xml:space="preserve">applies.  </w:t>
      </w:r>
      <w:r w:rsidR="00AE7713" w:rsidRPr="0072426A">
        <w:t>(</w:t>
      </w:r>
      <w:r w:rsidR="00AE7713" w:rsidRPr="0072426A">
        <w:rPr>
          <w:i/>
          <w:iCs/>
        </w:rPr>
        <w:t>Aledamat</w:t>
      </w:r>
      <w:r w:rsidR="00AE7713" w:rsidRPr="0072426A">
        <w:t>, at p.</w:t>
      </w:r>
      <w:r w:rsidR="00AE7713">
        <w:t> </w:t>
      </w:r>
      <w:r w:rsidR="00AE7713" w:rsidRPr="0072426A">
        <w:t xml:space="preserve">3, </w:t>
      </w:r>
      <w:r w:rsidR="00AE7713">
        <w:t xml:space="preserve">citing </w:t>
      </w:r>
      <w:r w:rsidR="00AE7713" w:rsidRPr="007F14C3">
        <w:rPr>
          <w:i/>
          <w:iCs/>
        </w:rPr>
        <w:t>Chapman</w:t>
      </w:r>
      <w:r w:rsidR="009D2216">
        <w:t>, at p.</w:t>
      </w:r>
      <w:r w:rsidR="00AE7713">
        <w:t xml:space="preserve"> 24.</w:t>
      </w:r>
      <w:r w:rsidR="009D2216">
        <w:t>,</w:t>
      </w:r>
      <w:r w:rsidR="00AE7713">
        <w:t xml:space="preserve"> </w:t>
      </w:r>
      <w:r w:rsidR="00AE7713" w:rsidRPr="0072426A">
        <w:t>italics added.)</w:t>
      </w:r>
      <w:r w:rsidR="00AE7713">
        <w:t xml:space="preserve">  </w:t>
      </w:r>
    </w:p>
    <w:p w14:paraId="1638D07D" w14:textId="3B7082C8" w:rsidR="00E14A17" w:rsidRDefault="0061079E" w:rsidP="007C682C">
      <w:pPr>
        <w:pStyle w:val="bodytext"/>
      </w:pPr>
      <w:r>
        <w:t>Under that standard, “[t]</w:t>
      </w:r>
      <w:r w:rsidRPr="0072426A">
        <w:t xml:space="preserve">he reviewing court must reverse the </w:t>
      </w:r>
      <w:r w:rsidRPr="0072426A">
        <w:t>conviction unless, after examining the entire cause</w:t>
      </w:r>
      <w:r w:rsidRPr="00BD05C7">
        <w:t xml:space="preserve">, </w:t>
      </w:r>
      <w:r w:rsidRPr="00BD05C7">
        <w:rPr>
          <w:i/>
          <w:iCs/>
        </w:rPr>
        <w:t>including the evidence</w:t>
      </w:r>
      <w:r w:rsidRPr="00BD05C7">
        <w:t xml:space="preserve">, and </w:t>
      </w:r>
      <w:r w:rsidRPr="000F777F">
        <w:rPr>
          <w:i/>
          <w:iCs/>
        </w:rPr>
        <w:t>considering all relevant circumstances</w:t>
      </w:r>
      <w:r w:rsidRPr="00BD05C7">
        <w:t>, it determines the error</w:t>
      </w:r>
      <w:r w:rsidRPr="0072426A">
        <w:t xml:space="preserve"> was harmless beyond a reasonable doubt.”</w:t>
      </w:r>
      <w:r>
        <w:t xml:space="preserve"> </w:t>
      </w:r>
      <w:r w:rsidRPr="0072426A">
        <w:t xml:space="preserve"> </w:t>
      </w:r>
      <w:r>
        <w:t>(</w:t>
      </w:r>
      <w:r>
        <w:rPr>
          <w:i/>
          <w:iCs/>
        </w:rPr>
        <w:t xml:space="preserve">Aledamat, </w:t>
      </w:r>
      <w:r>
        <w:t xml:space="preserve">at p. 3, italics added.) </w:t>
      </w:r>
      <w:r w:rsidR="005178AC">
        <w:t xml:space="preserve"> T</w:t>
      </w:r>
      <w:r w:rsidR="002C242F">
        <w:t xml:space="preserve">he </w:t>
      </w:r>
      <w:r w:rsidR="00E7283F">
        <w:t>reviewing court</w:t>
      </w:r>
      <w:r>
        <w:t xml:space="preserve"> </w:t>
      </w:r>
      <w:r w:rsidR="00863706">
        <w:t>asks</w:t>
      </w:r>
      <w:r w:rsidR="002C242F" w:rsidRPr="002C242F">
        <w:t>:  “</w:t>
      </w:r>
      <w:bookmarkStart w:id="162" w:name="_Hlk100082900"/>
      <w:r w:rsidR="009D2216">
        <w:t xml:space="preserve"> ‘</w:t>
      </w:r>
      <w:r w:rsidR="00863706">
        <w:t xml:space="preserve">Is </w:t>
      </w:r>
      <w:r w:rsidR="002C242F" w:rsidRPr="00E4176F">
        <w:rPr>
          <w:color w:val="000000"/>
        </w:rPr>
        <w:t xml:space="preserve">it clear beyond a reasonable doubt that a rational jury </w:t>
      </w:r>
      <w:r w:rsidR="002C242F" w:rsidRPr="00E4176F">
        <w:rPr>
          <w:i/>
          <w:iCs/>
          <w:color w:val="000000"/>
        </w:rPr>
        <w:t>would have</w:t>
      </w:r>
      <w:r w:rsidR="002C242F" w:rsidRPr="00E4176F">
        <w:rPr>
          <w:color w:val="000000"/>
        </w:rPr>
        <w:t xml:space="preserve"> found the defendant guilty absent the error.</w:t>
      </w:r>
      <w:r w:rsidR="009D2216">
        <w:rPr>
          <w:color w:val="000000"/>
        </w:rPr>
        <w:t xml:space="preserve">’ </w:t>
      </w:r>
      <w:r w:rsidR="002C242F" w:rsidRPr="00E4176F">
        <w:rPr>
          <w:color w:val="000000"/>
        </w:rPr>
        <w:t>”</w:t>
      </w:r>
      <w:r w:rsidR="00DD7987">
        <w:rPr>
          <w:color w:val="000000"/>
        </w:rPr>
        <w:t xml:space="preserve"> </w:t>
      </w:r>
      <w:r w:rsidR="0098423F">
        <w:rPr>
          <w:color w:val="000000"/>
        </w:rPr>
        <w:t xml:space="preserve"> </w:t>
      </w:r>
      <w:r w:rsidR="00DD7987">
        <w:t>(</w:t>
      </w:r>
      <w:r w:rsidR="00DD7987" w:rsidRPr="00E4176F">
        <w:rPr>
          <w:i/>
          <w:iCs/>
        </w:rPr>
        <w:t>People v. Merritt</w:t>
      </w:r>
      <w:r w:rsidR="00DD7987">
        <w:t xml:space="preserve"> (2017) 2 Cal.5th 819, 827, quoting </w:t>
      </w:r>
      <w:r w:rsidR="00DD7987" w:rsidRPr="00846609">
        <w:rPr>
          <w:i/>
          <w:iCs/>
        </w:rPr>
        <w:t>Neder v. United States</w:t>
      </w:r>
      <w:r w:rsidR="00DD7987">
        <w:t xml:space="preserve"> (1999) 527 U.S. 1, 18 (</w:t>
      </w:r>
      <w:r w:rsidR="00DD7987" w:rsidRPr="00E4176F">
        <w:rPr>
          <w:i/>
          <w:iCs/>
        </w:rPr>
        <w:t>Neder</w:t>
      </w:r>
      <w:r w:rsidR="00DD7987">
        <w:t>), italics added</w:t>
      </w:r>
      <w:bookmarkEnd w:id="162"/>
      <w:r w:rsidR="00673D2A">
        <w:t xml:space="preserve">; accord </w:t>
      </w:r>
      <w:r w:rsidR="00673D2A" w:rsidRPr="00E4176F">
        <w:rPr>
          <w:i/>
          <w:iCs/>
        </w:rPr>
        <w:t>Powell</w:t>
      </w:r>
      <w:r w:rsidR="00673D2A">
        <w:t xml:space="preserve">, </w:t>
      </w:r>
      <w:r w:rsidR="00673D2A" w:rsidRPr="00E4176F">
        <w:rPr>
          <w:i/>
          <w:iCs/>
        </w:rPr>
        <w:t>supra</w:t>
      </w:r>
      <w:r w:rsidR="00673D2A">
        <w:t xml:space="preserve">, </w:t>
      </w:r>
      <w:r w:rsidR="006C7D08">
        <w:t xml:space="preserve">63 Cal.App.5th at p. </w:t>
      </w:r>
      <w:r w:rsidR="000B3AAA">
        <w:t>715</w:t>
      </w:r>
      <w:r w:rsidR="00DD7987">
        <w:t>.)</w:t>
      </w:r>
      <w:r w:rsidR="000B3AAA">
        <w:t xml:space="preserve"> </w:t>
      </w:r>
      <w:r w:rsidR="00F3242C">
        <w:t xml:space="preserve"> </w:t>
      </w:r>
      <w:r w:rsidR="00827EF8">
        <w:t xml:space="preserve">As </w:t>
      </w:r>
      <w:r w:rsidR="00F3242C">
        <w:t xml:space="preserve">these </w:t>
      </w:r>
      <w:r>
        <w:t>pronouncements</w:t>
      </w:r>
      <w:r w:rsidR="00827EF8">
        <w:t xml:space="preserve"> suggest</w:t>
      </w:r>
      <w:r w:rsidR="00F3242C">
        <w:t xml:space="preserve">, there is no one exclusive way to determine harmlessness. </w:t>
      </w:r>
      <w:r w:rsidR="00D041A4">
        <w:t xml:space="preserve"> </w:t>
      </w:r>
    </w:p>
    <w:p w14:paraId="55625B7C" w14:textId="03855E74" w:rsidR="002A5996" w:rsidRDefault="0061079E" w:rsidP="002A5996">
      <w:pPr>
        <w:pStyle w:val="bodytext"/>
      </w:pPr>
      <w:bookmarkStart w:id="163" w:name="ElPgBr43"/>
      <w:bookmarkEnd w:id="163"/>
      <w:r>
        <w:lastRenderedPageBreak/>
        <w:t>Indeed</w:t>
      </w:r>
      <w:r w:rsidR="00F3242C">
        <w:t xml:space="preserve">, </w:t>
      </w:r>
      <w:r w:rsidR="001B4E5E">
        <w:t xml:space="preserve">the </w:t>
      </w:r>
      <w:r w:rsidR="001B4E5E" w:rsidRPr="00E4176F">
        <w:rPr>
          <w:i/>
          <w:iCs/>
        </w:rPr>
        <w:t>Aledamat</w:t>
      </w:r>
      <w:r w:rsidR="001B4E5E">
        <w:t xml:space="preserve"> court </w:t>
      </w:r>
      <w:r w:rsidR="00AE7713">
        <w:t xml:space="preserve">cited several federal circuit court opinions </w:t>
      </w:r>
      <w:r w:rsidR="000A7962">
        <w:t xml:space="preserve">that </w:t>
      </w:r>
      <w:r>
        <w:t xml:space="preserve">actually </w:t>
      </w:r>
      <w:r w:rsidR="00AE7713">
        <w:t>appl</w:t>
      </w:r>
      <w:r w:rsidR="000A7962">
        <w:t xml:space="preserve">ied </w:t>
      </w:r>
      <w:r>
        <w:t>different methods of determ</w:t>
      </w:r>
      <w:r>
        <w:t xml:space="preserve">ining harmlessness for alternative-theory error under </w:t>
      </w:r>
      <w:r w:rsidR="00AE7713">
        <w:t xml:space="preserve">the </w:t>
      </w:r>
      <w:r w:rsidR="00AE7713" w:rsidRPr="00135E2D">
        <w:rPr>
          <w:i/>
          <w:iCs/>
        </w:rPr>
        <w:t xml:space="preserve">Chapman </w:t>
      </w:r>
      <w:r w:rsidR="00AE7713">
        <w:t>beyond a reasonable doubt test</w:t>
      </w:r>
      <w:r w:rsidR="007C682C">
        <w:t>.</w:t>
      </w:r>
      <w:r w:rsidR="00AE7713">
        <w:t xml:space="preserve"> </w:t>
      </w:r>
      <w:r w:rsidR="005F5824">
        <w:t xml:space="preserve"> </w:t>
      </w:r>
      <w:r w:rsidR="00AE7713" w:rsidRPr="00B62584">
        <w:t>(</w:t>
      </w:r>
      <w:r w:rsidR="00AE7713" w:rsidRPr="00135E2D">
        <w:rPr>
          <w:i/>
          <w:iCs/>
        </w:rPr>
        <w:t>Aledamat,</w:t>
      </w:r>
      <w:r w:rsidR="00AE7713" w:rsidRPr="00B62584">
        <w:t xml:space="preserve"> </w:t>
      </w:r>
      <w:r w:rsidR="00AE7713" w:rsidRPr="00135E2D">
        <w:rPr>
          <w:i/>
          <w:iCs/>
        </w:rPr>
        <w:t>supra</w:t>
      </w:r>
      <w:r w:rsidR="00AE7713" w:rsidRPr="00B62584">
        <w:t>, 8</w:t>
      </w:r>
      <w:r w:rsidR="00AE7713">
        <w:t> </w:t>
      </w:r>
      <w:r w:rsidR="00AE7713" w:rsidRPr="00B62584">
        <w:t>Cal.5th at p.</w:t>
      </w:r>
      <w:r w:rsidR="00AE7713">
        <w:t> </w:t>
      </w:r>
      <w:r w:rsidR="00AE7713" w:rsidRPr="00B62584">
        <w:t>11.)</w:t>
      </w:r>
      <w:r w:rsidR="00AE7713">
        <w:t xml:space="preserve">  </w:t>
      </w:r>
      <w:r>
        <w:t>Four of those federal cases are pertinent here</w:t>
      </w:r>
      <w:r w:rsidR="00AA7478">
        <w:t>, in that the</w:t>
      </w:r>
      <w:r w:rsidR="00827EF8">
        <w:t xml:space="preserve">y </w:t>
      </w:r>
      <w:r w:rsidR="00AA7478" w:rsidRPr="004E18AD">
        <w:t>focus</w:t>
      </w:r>
      <w:r w:rsidR="00AA7478">
        <w:t>ed</w:t>
      </w:r>
      <w:r w:rsidR="00AA7478" w:rsidRPr="004E18AD">
        <w:t xml:space="preserve"> on whether the verdict “</w:t>
      </w:r>
      <w:r w:rsidR="00AA7478" w:rsidRPr="00BA23B3">
        <w:rPr>
          <w:i/>
          <w:iCs/>
        </w:rPr>
        <w:t>would have been</w:t>
      </w:r>
      <w:r w:rsidR="00AA7478" w:rsidRPr="004E18AD">
        <w:t xml:space="preserve"> </w:t>
      </w:r>
      <w:r w:rsidR="00AA7478" w:rsidRPr="00BA23B3">
        <w:rPr>
          <w:i/>
          <w:iCs/>
        </w:rPr>
        <w:t>the same</w:t>
      </w:r>
      <w:r w:rsidR="00AA7478" w:rsidRPr="004E18AD">
        <w:t xml:space="preserve">” based the </w:t>
      </w:r>
      <w:r w:rsidR="00AA7478" w:rsidRPr="00BA23B3">
        <w:t xml:space="preserve">overwhelming nature of the </w:t>
      </w:r>
      <w:r w:rsidR="00AA7478" w:rsidRPr="004E18AD">
        <w:t xml:space="preserve">evidence, </w:t>
      </w:r>
      <w:r w:rsidR="00CB0239">
        <w:t>instead of</w:t>
      </w:r>
      <w:r w:rsidR="00AA7478" w:rsidRPr="004E18AD">
        <w:t xml:space="preserve"> </w:t>
      </w:r>
      <w:r w:rsidR="00AA7478">
        <w:t>divining</w:t>
      </w:r>
      <w:r w:rsidR="00AA7478" w:rsidRPr="004E18AD">
        <w:t xml:space="preserve"> the theory the jury actually relied upon in </w:t>
      </w:r>
      <w:r w:rsidR="0083625B">
        <w:t xml:space="preserve">reaching </w:t>
      </w:r>
      <w:r w:rsidR="00AA7478" w:rsidRPr="004E18AD">
        <w:t>its verdict.</w:t>
      </w:r>
      <w:r w:rsidR="00AA7478">
        <w:t xml:space="preserve">  </w:t>
      </w:r>
    </w:p>
    <w:p w14:paraId="7DBFD574" w14:textId="35A2E54A" w:rsidR="00FF7D18" w:rsidRDefault="0061079E" w:rsidP="007C682C">
      <w:pPr>
        <w:pStyle w:val="bodytext"/>
      </w:pPr>
      <w:r>
        <w:t xml:space="preserve">In </w:t>
      </w:r>
      <w:r w:rsidR="002A5996" w:rsidRPr="00B62584">
        <w:rPr>
          <w:i/>
          <w:iCs/>
        </w:rPr>
        <w:t>United States v. Skilling</w:t>
      </w:r>
      <w:r w:rsidR="002A5996" w:rsidRPr="00B62584">
        <w:t xml:space="preserve"> (5th Cir. 2011) 638</w:t>
      </w:r>
      <w:r w:rsidR="002A5996">
        <w:t> </w:t>
      </w:r>
      <w:r w:rsidR="002A5996" w:rsidRPr="00B62584">
        <w:t>F.3d 480</w:t>
      </w:r>
      <w:r w:rsidR="0083625B">
        <w:t xml:space="preserve"> </w:t>
      </w:r>
      <w:r w:rsidR="002A5996">
        <w:t>(</w:t>
      </w:r>
      <w:r w:rsidR="002A5996" w:rsidRPr="005A77D4">
        <w:rPr>
          <w:i/>
          <w:iCs/>
        </w:rPr>
        <w:t xml:space="preserve">Skilling </w:t>
      </w:r>
      <w:r w:rsidR="002A5996" w:rsidRPr="00A1332D">
        <w:rPr>
          <w:i/>
          <w:iCs/>
        </w:rPr>
        <w:t>II</w:t>
      </w:r>
      <w:r w:rsidR="002A5996" w:rsidRPr="00A1332D">
        <w:t>)</w:t>
      </w:r>
      <w:r w:rsidR="002A5996">
        <w:t xml:space="preserve">, </w:t>
      </w:r>
      <w:r>
        <w:t xml:space="preserve">the circuit court, after examining the record, </w:t>
      </w:r>
      <w:r w:rsidR="0083625B">
        <w:t xml:space="preserve">found </w:t>
      </w:r>
      <w:r>
        <w:t>the alternative-theory error there was harmless beyond a reasonable doubt because the evidence underlying a valid theory was “overwhelming.”  (</w:t>
      </w:r>
      <w:r w:rsidR="0083625B" w:rsidRPr="00E4176F">
        <w:rPr>
          <w:i/>
          <w:iCs/>
        </w:rPr>
        <w:t>Id</w:t>
      </w:r>
      <w:r w:rsidR="0083625B">
        <w:rPr>
          <w:i/>
          <w:iCs/>
        </w:rPr>
        <w:t>.</w:t>
      </w:r>
      <w:r w:rsidR="0083625B">
        <w:t xml:space="preserve"> at p. </w:t>
      </w:r>
      <w:r>
        <w:t>483</w:t>
      </w:r>
      <w:r w:rsidRPr="00A1332D">
        <w:t xml:space="preserve">.)  </w:t>
      </w:r>
      <w:r w:rsidR="003B6ADB">
        <w:t xml:space="preserve">In </w:t>
      </w:r>
      <w:r w:rsidR="003B6ADB" w:rsidRPr="00E4176F">
        <w:rPr>
          <w:i/>
          <w:iCs/>
        </w:rPr>
        <w:t>Skilling II</w:t>
      </w:r>
      <w:r w:rsidR="00433B88">
        <w:t xml:space="preserve">, </w:t>
      </w:r>
      <w:r w:rsidR="00A1332D">
        <w:t>the defendant had been convicted of various</w:t>
      </w:r>
      <w:r w:rsidR="00857DE4">
        <w:t xml:space="preserve"> federal</w:t>
      </w:r>
      <w:r w:rsidR="00A1332D">
        <w:t xml:space="preserve"> white</w:t>
      </w:r>
      <w:r w:rsidR="00893034">
        <w:t>-</w:t>
      </w:r>
      <w:r w:rsidR="00A1332D">
        <w:t>collar crimes, including conspiracy</w:t>
      </w:r>
      <w:r w:rsidR="00433B88">
        <w:t xml:space="preserve"> to commit honest-services fraud and securities fraud</w:t>
      </w:r>
      <w:r w:rsidR="00A1332D">
        <w:t xml:space="preserve">. </w:t>
      </w:r>
      <w:r w:rsidR="00433B88">
        <w:t xml:space="preserve"> </w:t>
      </w:r>
      <w:r w:rsidR="00A1332D">
        <w:t>(</w:t>
      </w:r>
      <w:r w:rsidR="0083625B" w:rsidRPr="00BA23B3">
        <w:rPr>
          <w:i/>
          <w:iCs/>
        </w:rPr>
        <w:t>Id</w:t>
      </w:r>
      <w:r w:rsidR="0083625B">
        <w:rPr>
          <w:i/>
          <w:iCs/>
        </w:rPr>
        <w:t>.</w:t>
      </w:r>
      <w:r w:rsidR="0083625B">
        <w:t xml:space="preserve"> </w:t>
      </w:r>
      <w:r w:rsidR="00A1332D">
        <w:t>at p. 481.)</w:t>
      </w:r>
      <w:r w:rsidR="00550B21">
        <w:t xml:space="preserve"> </w:t>
      </w:r>
      <w:r w:rsidR="00433B88">
        <w:t xml:space="preserve"> </w:t>
      </w:r>
      <w:r w:rsidR="00A1332D">
        <w:t xml:space="preserve">The United States Supreme Court </w:t>
      </w:r>
      <w:r w:rsidR="00433B88">
        <w:t xml:space="preserve">subsequently </w:t>
      </w:r>
      <w:r w:rsidR="00A1332D">
        <w:t xml:space="preserve">invalidated </w:t>
      </w:r>
      <w:r w:rsidR="00DF3307">
        <w:t xml:space="preserve">the </w:t>
      </w:r>
      <w:r w:rsidR="00A1332D">
        <w:t>honest services fraud</w:t>
      </w:r>
      <w:r w:rsidR="00550B21">
        <w:t xml:space="preserve"> theory</w:t>
      </w:r>
      <w:r w:rsidR="00DF3307">
        <w:t xml:space="preserve"> advanced at trial</w:t>
      </w:r>
      <w:r w:rsidR="00550B21">
        <w:t xml:space="preserve"> </w:t>
      </w:r>
      <w:r w:rsidR="00A1332D">
        <w:t>and remanded</w:t>
      </w:r>
      <w:r w:rsidR="00D661F0">
        <w:t xml:space="preserve"> the case</w:t>
      </w:r>
      <w:r w:rsidR="00A1332D">
        <w:t xml:space="preserve"> back to the circuit court to determine whether submitting the </w:t>
      </w:r>
      <w:r w:rsidR="00550B21">
        <w:t>invalidated</w:t>
      </w:r>
      <w:r w:rsidR="00A1332D">
        <w:t xml:space="preserve"> theory to the jury was harmless.  </w:t>
      </w:r>
      <w:r w:rsidR="00550B21">
        <w:t>(</w:t>
      </w:r>
      <w:r w:rsidR="00550B21" w:rsidRPr="00E4176F">
        <w:rPr>
          <w:i/>
          <w:iCs/>
        </w:rPr>
        <w:t>Ibid</w:t>
      </w:r>
      <w:r w:rsidR="00550B21">
        <w:t>.)</w:t>
      </w:r>
      <w:r>
        <w:rPr>
          <w:rStyle w:val="FootnoteReference"/>
        </w:rPr>
        <w:footnoteReference w:id="36"/>
      </w:r>
      <w:r w:rsidR="005F1059">
        <w:t xml:space="preserve"> </w:t>
      </w:r>
      <w:r w:rsidR="00550B21">
        <w:t xml:space="preserve"> </w:t>
      </w:r>
      <w:r w:rsidR="00855AE4">
        <w:t xml:space="preserve">On remand, the </w:t>
      </w:r>
      <w:r w:rsidR="00BC0BD0">
        <w:t>G</w:t>
      </w:r>
      <w:r w:rsidR="00855AE4">
        <w:t xml:space="preserve">overnment argued </w:t>
      </w:r>
      <w:r>
        <w:t xml:space="preserve">the error </w:t>
      </w:r>
      <w:r w:rsidR="00855AE4">
        <w:t>was</w:t>
      </w:r>
      <w:r>
        <w:t xml:space="preserve"> harmless</w:t>
      </w:r>
      <w:r w:rsidR="00855AE4">
        <w:t xml:space="preserve"> as to the conspiracy</w:t>
      </w:r>
      <w:r w:rsidR="007C682C">
        <w:t xml:space="preserve"> conviction</w:t>
      </w:r>
      <w:r w:rsidR="000A7962">
        <w:t>,</w:t>
      </w:r>
      <w:r w:rsidR="00855AE4">
        <w:t xml:space="preserve"> because the evidence established the defendant participated in a scheme to deceive the investing public and based on that</w:t>
      </w:r>
      <w:r w:rsidR="006C6DAE">
        <w:t>,</w:t>
      </w:r>
      <w:r w:rsidR="00855AE4">
        <w:t xml:space="preserve"> the court could conclude the jury would have convicted him under a valid theory</w:t>
      </w:r>
      <w:r w:rsidR="006C6DAE">
        <w:t xml:space="preserve">: </w:t>
      </w:r>
      <w:r w:rsidR="003F3AE2">
        <w:t xml:space="preserve"> </w:t>
      </w:r>
      <w:r w:rsidR="00855AE4">
        <w:t xml:space="preserve">conspiracy to commit securities fraud. </w:t>
      </w:r>
      <w:r w:rsidR="006C6DAE">
        <w:t xml:space="preserve"> </w:t>
      </w:r>
      <w:r w:rsidR="00855AE4">
        <w:t>(</w:t>
      </w:r>
      <w:r w:rsidR="00855AE4" w:rsidRPr="00E4176F">
        <w:rPr>
          <w:i/>
          <w:iCs/>
        </w:rPr>
        <w:t>Id</w:t>
      </w:r>
      <w:r w:rsidR="00855AE4">
        <w:t>. at p. 483.)</w:t>
      </w:r>
      <w:r w:rsidR="00433B88">
        <w:t xml:space="preserve">  </w:t>
      </w:r>
    </w:p>
    <w:p w14:paraId="15377362" w14:textId="64C38814" w:rsidR="006173DE" w:rsidRDefault="0061079E" w:rsidP="00E4176F">
      <w:pPr>
        <w:pStyle w:val="bodytext"/>
      </w:pPr>
      <w:r>
        <w:t xml:space="preserve">Treating the matter as alternative-theory error, the </w:t>
      </w:r>
      <w:r w:rsidRPr="00E4176F">
        <w:rPr>
          <w:i/>
          <w:iCs/>
        </w:rPr>
        <w:t>Skilling II</w:t>
      </w:r>
      <w:r>
        <w:t xml:space="preserve"> court found the error harmless.</w:t>
      </w:r>
      <w:r w:rsidR="00550B21">
        <w:t xml:space="preserve"> </w:t>
      </w:r>
      <w:r w:rsidR="003F3AE2">
        <w:t xml:space="preserve"> </w:t>
      </w:r>
      <w:r w:rsidR="00550B21">
        <w:t>(</w:t>
      </w:r>
      <w:r w:rsidR="00FF7D18">
        <w:rPr>
          <w:i/>
          <w:iCs/>
        </w:rPr>
        <w:t xml:space="preserve">Skilling II, supra, </w:t>
      </w:r>
      <w:r w:rsidR="00FF7D18" w:rsidRPr="00B62584">
        <w:t>638</w:t>
      </w:r>
      <w:r w:rsidR="00FF7D18">
        <w:t> </w:t>
      </w:r>
      <w:r w:rsidR="00FF7D18" w:rsidRPr="00B62584">
        <w:t xml:space="preserve">F.3d </w:t>
      </w:r>
      <w:r w:rsidR="0098423F">
        <w:t xml:space="preserve">at </w:t>
      </w:r>
      <w:r w:rsidR="00550B21">
        <w:t>p</w:t>
      </w:r>
      <w:r w:rsidR="00FF7D18">
        <w:t>p</w:t>
      </w:r>
      <w:r w:rsidR="00550B21">
        <w:t xml:space="preserve">. 481, </w:t>
      </w:r>
      <w:r w:rsidR="007133D8">
        <w:t>488</w:t>
      </w:r>
      <w:r w:rsidR="00550B21">
        <w:t>.)</w:t>
      </w:r>
      <w:r>
        <w:t xml:space="preserve">  Consistent with United States Supreme Court precedent, the </w:t>
      </w:r>
      <w:r w:rsidRPr="00E4176F">
        <w:rPr>
          <w:i/>
          <w:iCs/>
        </w:rPr>
        <w:t>Skilling II</w:t>
      </w:r>
      <w:r>
        <w:t xml:space="preserve"> court </w:t>
      </w:r>
      <w:r w:rsidR="003F0168">
        <w:t>focused on</w:t>
      </w:r>
      <w:r>
        <w:t xml:space="preserve"> </w:t>
      </w:r>
      <w:r w:rsidR="003F0168">
        <w:t xml:space="preserve">one way </w:t>
      </w:r>
      <w:r>
        <w:t>to prove an a</w:t>
      </w:r>
      <w:r>
        <w:t>lternative-theory error</w:t>
      </w:r>
      <w:r w:rsidR="00454AE7">
        <w:t xml:space="preserve"> harmless: </w:t>
      </w:r>
      <w:r>
        <w:t xml:space="preserve"> “</w:t>
      </w:r>
      <w:r w:rsidRPr="006173DE">
        <w:t xml:space="preserve">as set forth in </w:t>
      </w:r>
      <w:r w:rsidRPr="00E4176F">
        <w:rPr>
          <w:i/>
          <w:iCs/>
        </w:rPr>
        <w:t>Neder v. United States</w:t>
      </w:r>
      <w:r w:rsidRPr="006173DE">
        <w:t xml:space="preserve"> </w:t>
      </w:r>
      <w:r>
        <w:t xml:space="preserve">. . . </w:t>
      </w:r>
      <w:r w:rsidRPr="006173DE">
        <w:t xml:space="preserve">, an error is </w:t>
      </w:r>
      <w:bookmarkStart w:id="164" w:name="ElPgBr44"/>
      <w:bookmarkEnd w:id="164"/>
      <w:r w:rsidRPr="006173DE">
        <w:lastRenderedPageBreak/>
        <w:t xml:space="preserve">harmless if a court, after a </w:t>
      </w:r>
      <w:r>
        <w:t>‘</w:t>
      </w:r>
      <w:bookmarkStart w:id="165" w:name="_Hlk100082946"/>
      <w:r w:rsidRPr="006173DE">
        <w:t>thorough examination of the record,</w:t>
      </w:r>
      <w:r>
        <w:t>’</w:t>
      </w:r>
      <w:r w:rsidRPr="006173DE">
        <w:t xml:space="preserve"> is able to </w:t>
      </w:r>
      <w:r>
        <w:t>‘</w:t>
      </w:r>
      <w:r w:rsidRPr="006173DE">
        <w:t xml:space="preserve">conclude beyond a reasonable doubt that </w:t>
      </w:r>
      <w:r w:rsidRPr="00E4176F">
        <w:rPr>
          <w:i/>
          <w:iCs/>
        </w:rPr>
        <w:t xml:space="preserve">the jury verdict would have been the same </w:t>
      </w:r>
      <w:r w:rsidRPr="00E4176F">
        <w:rPr>
          <w:i/>
          <w:iCs/>
        </w:rPr>
        <w:t>absent the error</w:t>
      </w:r>
      <w:r w:rsidRPr="006173DE">
        <w:t>.</w:t>
      </w:r>
      <w:r>
        <w:t>’</w:t>
      </w:r>
      <w:r w:rsidRPr="006173DE">
        <w:t xml:space="preserve">  </w:t>
      </w:r>
      <w:r>
        <w:t>[Citation</w:t>
      </w:r>
      <w:r w:rsidR="000D1DF2">
        <w:t>.</w:t>
      </w:r>
      <w:r>
        <w:t>]</w:t>
      </w:r>
      <w:r w:rsidRPr="006173DE">
        <w:t xml:space="preserve"> </w:t>
      </w:r>
      <w:r w:rsidR="00B66A73">
        <w:t xml:space="preserve"> </w:t>
      </w:r>
      <w:bookmarkStart w:id="166" w:name="_Hlk100225041"/>
      <w:r w:rsidRPr="00E4176F">
        <w:rPr>
          <w:i/>
          <w:iCs/>
        </w:rPr>
        <w:t xml:space="preserve">If the defendant </w:t>
      </w:r>
      <w:r w:rsidR="004551C1">
        <w:rPr>
          <w:i/>
          <w:iCs/>
        </w:rPr>
        <w:t>‘</w:t>
      </w:r>
      <w:r w:rsidRPr="00E4176F">
        <w:rPr>
          <w:i/>
          <w:iCs/>
        </w:rPr>
        <w:t>raised evidence sufficient to support a contrary finding,’ then the error was not harmless</w:t>
      </w:r>
      <w:r w:rsidRPr="006173DE">
        <w:t xml:space="preserve">.  </w:t>
      </w:r>
      <w:r>
        <w:t>[Citation</w:t>
      </w:r>
      <w:r w:rsidR="000D1DF2">
        <w:t>.</w:t>
      </w:r>
      <w:r>
        <w:t xml:space="preserve">] </w:t>
      </w:r>
      <w:r w:rsidRPr="006173DE">
        <w:t xml:space="preserve"> </w:t>
      </w:r>
      <w:bookmarkStart w:id="167" w:name="_Hlk100051953"/>
      <w:r w:rsidRPr="006173DE">
        <w:t xml:space="preserve">Thus, under the </w:t>
      </w:r>
      <w:r>
        <w:t>. . .</w:t>
      </w:r>
      <w:r w:rsidRPr="006173DE">
        <w:t xml:space="preserve"> </w:t>
      </w:r>
      <w:r w:rsidRPr="00E4176F">
        <w:rPr>
          <w:i/>
          <w:iCs/>
        </w:rPr>
        <w:t>Neder</w:t>
      </w:r>
      <w:r w:rsidRPr="006173DE">
        <w:t xml:space="preserve"> standard</w:t>
      </w:r>
      <w:r w:rsidRPr="00E4176F">
        <w:rPr>
          <w:i/>
          <w:iCs/>
        </w:rPr>
        <w:t xml:space="preserve">, a reviewing court, ‘in typical appellate-court fashion, asks </w:t>
      </w:r>
      <w:r w:rsidRPr="00E4176F">
        <w:rPr>
          <w:i/>
          <w:iCs/>
        </w:rPr>
        <w:t>whether the record contains evidence that could rationally lead to [an acquittal] with respect to the [valid theory of guilt].</w:t>
      </w:r>
      <w:r>
        <w:t xml:space="preserve">’ </w:t>
      </w:r>
      <w:r w:rsidRPr="006173DE">
        <w:t>”</w:t>
      </w:r>
      <w:r w:rsidR="000D1DF2">
        <w:t xml:space="preserve"> </w:t>
      </w:r>
      <w:r w:rsidR="00855AE4">
        <w:t xml:space="preserve"> (</w:t>
      </w:r>
      <w:r w:rsidR="00855AE4" w:rsidRPr="00E4176F">
        <w:rPr>
          <w:i/>
          <w:iCs/>
        </w:rPr>
        <w:t>Skilling II</w:t>
      </w:r>
      <w:r w:rsidR="00855AE4">
        <w:t>, at p. 482</w:t>
      </w:r>
      <w:r w:rsidR="00B66A73">
        <w:t>, italics added</w:t>
      </w:r>
      <w:bookmarkEnd w:id="165"/>
      <w:bookmarkEnd w:id="166"/>
      <w:r w:rsidR="00855AE4">
        <w:t>.</w:t>
      </w:r>
      <w:bookmarkEnd w:id="167"/>
      <w:r w:rsidR="00855AE4">
        <w:t>)</w:t>
      </w:r>
      <w:r>
        <w:rPr>
          <w:rStyle w:val="FootnoteReference"/>
        </w:rPr>
        <w:footnoteReference w:id="37"/>
      </w:r>
      <w:r w:rsidR="00855AE4">
        <w:t xml:space="preserve"> </w:t>
      </w:r>
    </w:p>
    <w:p w14:paraId="2264D4D9" w14:textId="5212E245" w:rsidR="00E93358" w:rsidRDefault="0061079E" w:rsidP="00AE7713">
      <w:r>
        <w:tab/>
      </w:r>
      <w:r w:rsidR="00F94E98">
        <w:t>The “crux of the matter,”</w:t>
      </w:r>
      <w:r>
        <w:rPr>
          <w:rStyle w:val="FootnoteReference"/>
        </w:rPr>
        <w:footnoteReference w:id="38"/>
      </w:r>
      <w:r w:rsidR="00F94E98">
        <w:t xml:space="preserve"> according to the </w:t>
      </w:r>
      <w:r w:rsidR="00F94E98" w:rsidRPr="00E4176F">
        <w:rPr>
          <w:i/>
          <w:iCs/>
        </w:rPr>
        <w:t xml:space="preserve">Skilling </w:t>
      </w:r>
      <w:r w:rsidR="00FD1470">
        <w:rPr>
          <w:i/>
          <w:iCs/>
        </w:rPr>
        <w:t xml:space="preserve">II </w:t>
      </w:r>
      <w:r w:rsidR="00F94E98">
        <w:t>court was</w:t>
      </w:r>
      <w:r w:rsidR="00830258">
        <w:t xml:space="preserve"> “</w:t>
      </w:r>
      <w:r w:rsidR="00830258" w:rsidRPr="00830258">
        <w:t xml:space="preserve">whether, under the </w:t>
      </w:r>
      <w:r w:rsidR="00830258" w:rsidRPr="00E4176F">
        <w:rPr>
          <w:i/>
          <w:iCs/>
        </w:rPr>
        <w:t>Neder</w:t>
      </w:r>
      <w:r w:rsidR="00830258" w:rsidRPr="00830258">
        <w:t xml:space="preserve"> standard, the evidence presented at trial proves that </w:t>
      </w:r>
      <w:r w:rsidR="00830258" w:rsidRPr="00E4176F">
        <w:rPr>
          <w:i/>
          <w:iCs/>
        </w:rPr>
        <w:t>Skilling</w:t>
      </w:r>
      <w:r w:rsidR="00830258" w:rsidRPr="00830258">
        <w:t xml:space="preserve"> conspired to </w:t>
      </w:r>
      <w:bookmarkStart w:id="172" w:name="ElPgBr45"/>
      <w:bookmarkEnd w:id="172"/>
      <w:r w:rsidR="00830258" w:rsidRPr="00830258">
        <w:lastRenderedPageBreak/>
        <w:t>commit securities fraud.</w:t>
      </w:r>
      <w:r w:rsidR="008F22D2">
        <w:t>”</w:t>
      </w:r>
      <w:r>
        <w:rPr>
          <w:rStyle w:val="FootnoteReference"/>
        </w:rPr>
        <w:footnoteReference w:id="39"/>
      </w:r>
      <w:r w:rsidR="00830258">
        <w:t xml:space="preserve"> </w:t>
      </w:r>
      <w:r w:rsidR="00016C10">
        <w:t xml:space="preserve"> </w:t>
      </w:r>
      <w:r w:rsidR="003F0168">
        <w:t>(</w:t>
      </w:r>
      <w:r w:rsidR="003F0168" w:rsidRPr="00BA23B3">
        <w:rPr>
          <w:i/>
          <w:iCs/>
        </w:rPr>
        <w:t>Skilling II</w:t>
      </w:r>
      <w:r w:rsidR="003F0168">
        <w:t xml:space="preserve">, </w:t>
      </w:r>
      <w:r w:rsidR="003F0168" w:rsidRPr="00A06365">
        <w:rPr>
          <w:i/>
          <w:iCs/>
        </w:rPr>
        <w:t>supra</w:t>
      </w:r>
      <w:r w:rsidR="003F0168">
        <w:t xml:space="preserve">, 638 F.3d at p. 483.)  </w:t>
      </w:r>
      <w:r w:rsidR="006A3492">
        <w:t>It then went on to hold</w:t>
      </w:r>
      <w:r w:rsidR="00830258">
        <w:t>:</w:t>
      </w:r>
      <w:r w:rsidR="003A71F5">
        <w:t xml:space="preserve"> </w:t>
      </w:r>
      <w:r w:rsidR="00830258">
        <w:t xml:space="preserve"> “</w:t>
      </w:r>
      <w:r w:rsidR="00830258" w:rsidRPr="00830258">
        <w:t xml:space="preserve">Based on our own thorough examination of the considerable record in this case, we find that the jury was presented with </w:t>
      </w:r>
      <w:r w:rsidR="00830258" w:rsidRPr="00E4176F">
        <w:rPr>
          <w:i/>
          <w:iCs/>
        </w:rPr>
        <w:t>overwhelming evidence</w:t>
      </w:r>
      <w:r w:rsidR="00830258" w:rsidRPr="00830258">
        <w:t xml:space="preserve"> that Skilling conspired to commit securities fraud, and thus we conclude beyond a reasonable doubt that the verdict would have been the same absent the alternative-theory error.</w:t>
      </w:r>
      <w:r w:rsidR="00830258">
        <w:t>”  (</w:t>
      </w:r>
      <w:r w:rsidR="00830258" w:rsidRPr="004652B9">
        <w:rPr>
          <w:i/>
          <w:iCs/>
        </w:rPr>
        <w:t>Skilling II</w:t>
      </w:r>
      <w:r w:rsidR="00830258">
        <w:t xml:space="preserve">, at pp. 483-484, italics added.) </w:t>
      </w:r>
      <w:r w:rsidR="00805A02">
        <w:t xml:space="preserve"> </w:t>
      </w:r>
    </w:p>
    <w:p w14:paraId="3F96507C" w14:textId="17638FD3" w:rsidR="00D431D8" w:rsidRDefault="0061079E" w:rsidP="00D431D8">
      <w:r>
        <w:tab/>
        <w:t xml:space="preserve">Similarly, </w:t>
      </w:r>
      <w:r w:rsidR="00E84A20">
        <w:t>in</w:t>
      </w:r>
      <w:r>
        <w:t xml:space="preserve"> </w:t>
      </w:r>
      <w:r w:rsidRPr="00E4176F">
        <w:rPr>
          <w:i/>
          <w:iCs/>
        </w:rPr>
        <w:t>United States v. Black</w:t>
      </w:r>
      <w:r>
        <w:t xml:space="preserve"> (</w:t>
      </w:r>
      <w:r w:rsidR="004B3310">
        <w:t xml:space="preserve">7th Cir. </w:t>
      </w:r>
      <w:r>
        <w:t>2010) 625 F.3d 386</w:t>
      </w:r>
      <w:r w:rsidR="00216808">
        <w:t xml:space="preserve"> (</w:t>
      </w:r>
      <w:r w:rsidR="00216808" w:rsidRPr="00E4176F">
        <w:rPr>
          <w:i/>
          <w:iCs/>
        </w:rPr>
        <w:t>Black</w:t>
      </w:r>
      <w:r w:rsidR="00216808">
        <w:t>)</w:t>
      </w:r>
      <w:r w:rsidR="00C62030">
        <w:t>,</w:t>
      </w:r>
      <w:r w:rsidR="006A3492">
        <w:t xml:space="preserve"> </w:t>
      </w:r>
      <w:r w:rsidR="00216808">
        <w:t xml:space="preserve">another </w:t>
      </w:r>
      <w:r w:rsidR="00DF3307">
        <w:t xml:space="preserve">case involving the invalidated </w:t>
      </w:r>
      <w:r w:rsidR="00216808">
        <w:t>honest services</w:t>
      </w:r>
      <w:r w:rsidR="00DF3307">
        <w:t xml:space="preserve"> theory</w:t>
      </w:r>
      <w:r w:rsidR="00216808">
        <w:t xml:space="preserve">, </w:t>
      </w:r>
      <w:r w:rsidR="00C62030">
        <w:t xml:space="preserve">the prosecution had advanced </w:t>
      </w:r>
      <w:r w:rsidR="00861E81">
        <w:t xml:space="preserve">a </w:t>
      </w:r>
      <w:r w:rsidR="00C62030">
        <w:t xml:space="preserve">valid theory </w:t>
      </w:r>
      <w:r w:rsidR="00861E81">
        <w:t xml:space="preserve">related to </w:t>
      </w:r>
      <w:r w:rsidR="00C62030">
        <w:t>pecuniary fraud to prove mail and wire fraud</w:t>
      </w:r>
      <w:r w:rsidR="00216808">
        <w:t xml:space="preserve">.  The </w:t>
      </w:r>
      <w:r w:rsidR="006A3492">
        <w:t xml:space="preserve">court </w:t>
      </w:r>
      <w:bookmarkStart w:id="173" w:name="ElPgBr46"/>
      <w:bookmarkEnd w:id="173"/>
      <w:r w:rsidR="00B6030B">
        <w:lastRenderedPageBreak/>
        <w:t>explained:  “[I]</w:t>
      </w:r>
      <w:r w:rsidR="00B6030B" w:rsidRPr="00E93358">
        <w:t xml:space="preserve">f it is not open to reasonable doubt that a reasonable jury </w:t>
      </w:r>
      <w:r w:rsidR="00B6030B" w:rsidRPr="00BA23B3">
        <w:rPr>
          <w:i/>
          <w:iCs/>
        </w:rPr>
        <w:t>would have</w:t>
      </w:r>
      <w:r w:rsidR="00B6030B" w:rsidRPr="00E93358">
        <w:t xml:space="preserve"> convicted </w:t>
      </w:r>
      <w:r w:rsidR="00B6030B">
        <w:t>[defendants]</w:t>
      </w:r>
      <w:r w:rsidR="00B6030B" w:rsidRPr="00E93358">
        <w:t xml:space="preserve"> of pecuniary fraud, the convictions on the fraud counts will stand</w:t>
      </w:r>
      <w:r w:rsidR="00B6030B">
        <w:t>.”  (</w:t>
      </w:r>
      <w:r w:rsidR="002313D9">
        <w:rPr>
          <w:i/>
          <w:iCs/>
        </w:rPr>
        <w:t>Id.</w:t>
      </w:r>
      <w:r w:rsidR="00B6030B">
        <w:t xml:space="preserve"> at p. 388, italics added.)</w:t>
      </w:r>
      <w:r w:rsidR="003249CA">
        <w:t xml:space="preserve"> </w:t>
      </w:r>
      <w:r w:rsidR="002313D9">
        <w:t xml:space="preserve"> </w:t>
      </w:r>
      <w:r w:rsidR="00AE0C9B">
        <w:t xml:space="preserve">On one count, the </w:t>
      </w:r>
      <w:r w:rsidR="00AE0C9B" w:rsidRPr="0038776F">
        <w:rPr>
          <w:i/>
          <w:iCs/>
        </w:rPr>
        <w:t>Black</w:t>
      </w:r>
      <w:r w:rsidR="00AE0C9B">
        <w:t xml:space="preserve"> court concluded that the</w:t>
      </w:r>
      <w:r w:rsidR="00216808">
        <w:t xml:space="preserve"> evidence </w:t>
      </w:r>
      <w:r w:rsidR="00861E81">
        <w:t xml:space="preserve">of pecuniary fraud </w:t>
      </w:r>
      <w:r w:rsidR="00216808">
        <w:t>was “not conclusive”</w:t>
      </w:r>
      <w:r w:rsidR="00AE0C9B">
        <w:t xml:space="preserve"> and reversed.  (</w:t>
      </w:r>
      <w:r w:rsidR="00AE0C9B" w:rsidRPr="0038776F">
        <w:rPr>
          <w:i/>
          <w:iCs/>
        </w:rPr>
        <w:t>Id</w:t>
      </w:r>
      <w:r w:rsidR="00AE0C9B">
        <w:t>. at pp. 392-393.)  However, as to another count</w:t>
      </w:r>
      <w:r w:rsidR="00DF3307">
        <w:t>,</w:t>
      </w:r>
      <w:r w:rsidR="00AE0C9B">
        <w:t xml:space="preserve"> the court concluded</w:t>
      </w:r>
      <w:r w:rsidR="00B109C0">
        <w:t xml:space="preserve">, </w:t>
      </w:r>
      <w:r>
        <w:t>“</w:t>
      </w:r>
      <w:r>
        <w:rPr>
          <w:color w:val="000000"/>
        </w:rPr>
        <w:t xml:space="preserve">the evidence of pecuniary fraud </w:t>
      </w:r>
      <w:r w:rsidR="00347D18">
        <w:rPr>
          <w:color w:val="000000"/>
        </w:rPr>
        <w:t>[was]</w:t>
      </w:r>
      <w:r>
        <w:rPr>
          <w:color w:val="000000"/>
        </w:rPr>
        <w:t xml:space="preserve"> so co</w:t>
      </w:r>
      <w:r>
        <w:rPr>
          <w:color w:val="000000"/>
        </w:rPr>
        <w:t>mpelling that no reasonable jury could have refused to convict the defendants of it”</w:t>
      </w:r>
      <w:r>
        <w:t xml:space="preserve"> and affirmed the conviction on that count. </w:t>
      </w:r>
      <w:r w:rsidR="003A71F5">
        <w:t xml:space="preserve"> </w:t>
      </w:r>
      <w:r>
        <w:t>(</w:t>
      </w:r>
      <w:r w:rsidRPr="00BA23B3">
        <w:rPr>
          <w:i/>
          <w:iCs/>
        </w:rPr>
        <w:t>Id</w:t>
      </w:r>
      <w:r>
        <w:t>. at p. 393.)</w:t>
      </w:r>
    </w:p>
    <w:p w14:paraId="301C4D18" w14:textId="5FE25AE5" w:rsidR="00D51A62" w:rsidRDefault="0061079E" w:rsidP="001F2543">
      <w:r>
        <w:tab/>
      </w:r>
      <w:r w:rsidR="009F32D1">
        <w:t>Our</w:t>
      </w:r>
      <w:r w:rsidR="00E93358">
        <w:t xml:space="preserve"> high court </w:t>
      </w:r>
      <w:r w:rsidR="00077186">
        <w:t>cited</w:t>
      </w:r>
      <w:r w:rsidR="009F32D1">
        <w:t xml:space="preserve"> </w:t>
      </w:r>
      <w:r w:rsidR="009F32D1" w:rsidRPr="00E4176F">
        <w:rPr>
          <w:i/>
          <w:iCs/>
        </w:rPr>
        <w:t>Skilling II</w:t>
      </w:r>
      <w:r w:rsidR="009F32D1">
        <w:t xml:space="preserve"> and</w:t>
      </w:r>
      <w:r w:rsidR="00077186">
        <w:t xml:space="preserve"> </w:t>
      </w:r>
      <w:r w:rsidR="00077186" w:rsidRPr="00E4176F">
        <w:rPr>
          <w:i/>
          <w:iCs/>
        </w:rPr>
        <w:t>Black</w:t>
      </w:r>
      <w:r w:rsidR="00077186">
        <w:t xml:space="preserve"> with apparent approval in </w:t>
      </w:r>
      <w:r w:rsidR="00077186" w:rsidRPr="00E4176F">
        <w:rPr>
          <w:i/>
          <w:iCs/>
        </w:rPr>
        <w:t>Al</w:t>
      </w:r>
      <w:r w:rsidR="003A71F5">
        <w:rPr>
          <w:i/>
          <w:iCs/>
        </w:rPr>
        <w:t>e</w:t>
      </w:r>
      <w:r w:rsidR="00077186" w:rsidRPr="00E4176F">
        <w:rPr>
          <w:i/>
          <w:iCs/>
        </w:rPr>
        <w:t>d</w:t>
      </w:r>
      <w:r w:rsidR="003A71F5">
        <w:rPr>
          <w:i/>
          <w:iCs/>
        </w:rPr>
        <w:t>a</w:t>
      </w:r>
      <w:r w:rsidR="00077186" w:rsidRPr="00E4176F">
        <w:rPr>
          <w:i/>
          <w:iCs/>
        </w:rPr>
        <w:t>mat</w:t>
      </w:r>
      <w:r w:rsidR="00077186">
        <w:t>.  (</w:t>
      </w:r>
      <w:r w:rsidR="00077186" w:rsidRPr="00E4176F">
        <w:rPr>
          <w:i/>
          <w:iCs/>
        </w:rPr>
        <w:t>Al</w:t>
      </w:r>
      <w:r w:rsidR="003A71F5">
        <w:rPr>
          <w:i/>
          <w:iCs/>
        </w:rPr>
        <w:t>e</w:t>
      </w:r>
      <w:r w:rsidR="00077186" w:rsidRPr="00E4176F">
        <w:rPr>
          <w:i/>
          <w:iCs/>
        </w:rPr>
        <w:t>d</w:t>
      </w:r>
      <w:r w:rsidR="003A71F5">
        <w:rPr>
          <w:i/>
          <w:iCs/>
        </w:rPr>
        <w:t>a</w:t>
      </w:r>
      <w:r w:rsidR="00077186" w:rsidRPr="00E4176F">
        <w:rPr>
          <w:i/>
          <w:iCs/>
        </w:rPr>
        <w:t>mat</w:t>
      </w:r>
      <w:r w:rsidR="00077186">
        <w:t xml:space="preserve">, </w:t>
      </w:r>
      <w:r w:rsidR="00077186" w:rsidRPr="00E4176F">
        <w:rPr>
          <w:i/>
          <w:iCs/>
        </w:rPr>
        <w:t>supra</w:t>
      </w:r>
      <w:r w:rsidR="00077186">
        <w:t xml:space="preserve">, 8 Cal.5th at p. </w:t>
      </w:r>
      <w:r w:rsidR="00077186" w:rsidRPr="00D51A62">
        <w:t>11.)</w:t>
      </w:r>
      <w:r>
        <w:rPr>
          <w:rStyle w:val="FootnoteReference"/>
        </w:rPr>
        <w:footnoteReference w:id="40"/>
      </w:r>
      <w:r w:rsidRPr="00D51A62">
        <w:t xml:space="preserve">  </w:t>
      </w:r>
      <w:r w:rsidR="00887482" w:rsidRPr="00D51A62">
        <w:t>Thus</w:t>
      </w:r>
      <w:r w:rsidR="00016C10">
        <w:t>,</w:t>
      </w:r>
      <w:r w:rsidR="00887482">
        <w:t xml:space="preserve"> w</w:t>
      </w:r>
      <w:r w:rsidR="00805A02">
        <w:t xml:space="preserve">e see </w:t>
      </w:r>
      <w:r w:rsidR="00805A02" w:rsidRPr="00E4176F">
        <w:rPr>
          <w:i/>
          <w:iCs/>
        </w:rPr>
        <w:t>Skilling</w:t>
      </w:r>
      <w:r w:rsidR="00805A02">
        <w:t xml:space="preserve"> </w:t>
      </w:r>
      <w:r w:rsidR="00805A02" w:rsidRPr="00E4176F">
        <w:rPr>
          <w:i/>
          <w:iCs/>
        </w:rPr>
        <w:t>II</w:t>
      </w:r>
      <w:r w:rsidR="00FA2A36">
        <w:t xml:space="preserve"> and </w:t>
      </w:r>
      <w:r w:rsidR="00FA2A36" w:rsidRPr="00E4176F">
        <w:rPr>
          <w:i/>
          <w:iCs/>
        </w:rPr>
        <w:t>Black</w:t>
      </w:r>
      <w:r w:rsidR="00166184">
        <w:t xml:space="preserve"> </w:t>
      </w:r>
      <w:r w:rsidR="00FA2A36">
        <w:t xml:space="preserve">as </w:t>
      </w:r>
      <w:r w:rsidR="00F9348C">
        <w:t>example</w:t>
      </w:r>
      <w:r w:rsidR="00FA2A36">
        <w:t>s</w:t>
      </w:r>
      <w:r w:rsidR="00F9348C">
        <w:t xml:space="preserve"> of a </w:t>
      </w:r>
      <w:r w:rsidR="00887482">
        <w:t xml:space="preserve">proper </w:t>
      </w:r>
      <w:r w:rsidR="00F9348C">
        <w:t xml:space="preserve">method for determining harmlessness based </w:t>
      </w:r>
      <w:r>
        <w:t>on the nature of the</w:t>
      </w:r>
      <w:r w:rsidR="00F9348C">
        <w:t xml:space="preserve"> evidence establishing </w:t>
      </w:r>
      <w:r w:rsidR="008A5FFC">
        <w:t>a</w:t>
      </w:r>
      <w:r w:rsidR="00F9348C">
        <w:t xml:space="preserve"> valid theory</w:t>
      </w:r>
      <w:r w:rsidR="00FA2A36">
        <w:t xml:space="preserve"> beyond a reasonable doubt</w:t>
      </w:r>
      <w:r w:rsidR="00F9348C">
        <w:t>.</w:t>
      </w:r>
      <w:r>
        <w:rPr>
          <w:rStyle w:val="FootnoteReference"/>
        </w:rPr>
        <w:footnoteReference w:id="41"/>
      </w:r>
      <w:r w:rsidR="00F9348C">
        <w:t xml:space="preserve">  </w:t>
      </w:r>
    </w:p>
    <w:p w14:paraId="119D3694" w14:textId="1F884B9D" w:rsidR="00856061" w:rsidRDefault="0061079E" w:rsidP="001F2543">
      <w:bookmarkStart w:id="174" w:name="ElPgBr47"/>
      <w:bookmarkEnd w:id="174"/>
      <w:r>
        <w:lastRenderedPageBreak/>
        <w:tab/>
      </w:r>
      <w:r w:rsidR="00887482">
        <w:t xml:space="preserve">Further, </w:t>
      </w:r>
      <w:r w:rsidR="008C3BA8">
        <w:t>i</w:t>
      </w:r>
      <w:r w:rsidR="00887482">
        <w:t>n</w:t>
      </w:r>
      <w:r w:rsidR="00AE7713" w:rsidRPr="00ED6A38">
        <w:t xml:space="preserve"> </w:t>
      </w:r>
      <w:r w:rsidR="001F2543" w:rsidRPr="00ED6A38">
        <w:t>two</w:t>
      </w:r>
      <w:r w:rsidR="00AE7713" w:rsidRPr="00ED6A38">
        <w:t xml:space="preserve"> </w:t>
      </w:r>
      <w:r w:rsidR="00F50CB6" w:rsidRPr="00ED6A38">
        <w:t xml:space="preserve">other federal </w:t>
      </w:r>
      <w:r w:rsidR="00887482">
        <w:t xml:space="preserve">circuit </w:t>
      </w:r>
      <w:r w:rsidR="00F50CB6" w:rsidRPr="00ED6A38">
        <w:t xml:space="preserve">cases cited </w:t>
      </w:r>
      <w:r w:rsidR="00887482">
        <w:t xml:space="preserve">in </w:t>
      </w:r>
      <w:r w:rsidR="00F50CB6" w:rsidRPr="00E4176F">
        <w:rPr>
          <w:i/>
          <w:iCs/>
        </w:rPr>
        <w:t>Aledamat</w:t>
      </w:r>
      <w:r w:rsidR="00AE7713" w:rsidRPr="00ED6A38">
        <w:t>, the court employed</w:t>
      </w:r>
      <w:r w:rsidR="00AE7713" w:rsidRPr="00B62584">
        <w:t xml:space="preserve"> a</w:t>
      </w:r>
      <w:r w:rsidR="00AE7713">
        <w:t xml:space="preserve"> similar </w:t>
      </w:r>
      <w:r w:rsidR="00AE7713" w:rsidRPr="00B62584">
        <w:t>method for determining harmlessness</w:t>
      </w:r>
      <w:r w:rsidR="00AE7713">
        <w:t xml:space="preserve"> for </w:t>
      </w:r>
      <w:r w:rsidR="00AE7713" w:rsidRPr="00B62584">
        <w:t>alternative-theory error</w:t>
      </w:r>
      <w:r w:rsidR="008C3BA8">
        <w:t xml:space="preserve"> </w:t>
      </w:r>
      <w:r w:rsidR="00AE7713" w:rsidRPr="00B62584">
        <w:t xml:space="preserve">under the beyond a reasonable doubt test:  “[I]f the evidence that the jury necessarily credited in order to convict the </w:t>
      </w:r>
      <w:r w:rsidR="00AE7713">
        <w:t>defendant</w:t>
      </w:r>
      <w:r w:rsidR="00AE7713" w:rsidRPr="00B62584">
        <w:t xml:space="preserve"> under the instructions given</w:t>
      </w:r>
      <w:r w:rsidR="00AE7713">
        <w:t xml:space="preserve"> . . . </w:t>
      </w:r>
      <w:r w:rsidR="00AE7713" w:rsidRPr="00B62584">
        <w:t xml:space="preserve">is such that the jury must have convicted the </w:t>
      </w:r>
      <w:r w:rsidR="00AE7713">
        <w:t>defendant</w:t>
      </w:r>
      <w:r w:rsidR="00AE7713" w:rsidRPr="00B62584">
        <w:t xml:space="preserve"> on the legally adequate ground </w:t>
      </w:r>
      <w:r w:rsidR="00AE7713" w:rsidRPr="00F34CE6">
        <w:rPr>
          <w:i/>
          <w:iCs/>
        </w:rPr>
        <w:t>in addition to or instead of the legally inadequate ground</w:t>
      </w:r>
      <w:r w:rsidR="00AE7713" w:rsidRPr="00B62584">
        <w:t xml:space="preserve">, the conviction may be affirmed.” </w:t>
      </w:r>
      <w:r w:rsidR="00AE7713">
        <w:t xml:space="preserve"> </w:t>
      </w:r>
      <w:bookmarkStart w:id="175" w:name="_Hlk100226503"/>
      <w:r w:rsidR="00AE7713" w:rsidRPr="00B62584">
        <w:t>(</w:t>
      </w:r>
      <w:r w:rsidR="00AE7713" w:rsidRPr="00F34CE6">
        <w:rPr>
          <w:i/>
          <w:iCs/>
        </w:rPr>
        <w:t>Bereano v. United States</w:t>
      </w:r>
      <w:r w:rsidR="00AE7713" w:rsidRPr="00B62584">
        <w:t xml:space="preserve"> (4th Cir. 2013) 706</w:t>
      </w:r>
      <w:r w:rsidR="00AE7713">
        <w:t> </w:t>
      </w:r>
      <w:r w:rsidR="00AE7713" w:rsidRPr="00B62584">
        <w:t>F.3d 568, 578, italics added</w:t>
      </w:r>
      <w:r w:rsidR="00AE7713">
        <w:t xml:space="preserve"> (</w:t>
      </w:r>
      <w:r w:rsidR="00AE7713" w:rsidRPr="008753FC">
        <w:rPr>
          <w:i/>
          <w:iCs/>
        </w:rPr>
        <w:t>Bereano</w:t>
      </w:r>
      <w:r w:rsidR="00AE7713">
        <w:t>)</w:t>
      </w:r>
      <w:r w:rsidR="00AE7713" w:rsidRPr="00B62584">
        <w:t xml:space="preserve"> [addressing alternative-theory error related to </w:t>
      </w:r>
      <w:r w:rsidR="009F32D1">
        <w:t xml:space="preserve">the </w:t>
      </w:r>
      <w:r w:rsidR="0089214A">
        <w:t xml:space="preserve">invalidated </w:t>
      </w:r>
      <w:r w:rsidR="00AE7713" w:rsidRPr="00B62584">
        <w:t>hones</w:t>
      </w:r>
      <w:r w:rsidR="00AE7713">
        <w:t>t</w:t>
      </w:r>
      <w:r w:rsidR="00AE7713" w:rsidRPr="00B62584">
        <w:t xml:space="preserve"> services theory</w:t>
      </w:r>
      <w:r w:rsidR="00AE7713">
        <w:t xml:space="preserve"> of mail fraud</w:t>
      </w:r>
      <w:r>
        <w:t xml:space="preserve"> </w:t>
      </w:r>
      <w:r w:rsidRPr="00D51A62">
        <w:t>and concluding that the evidence establishing the valid theory of pecuniary fraud was overwhel</w:t>
      </w:r>
      <w:r w:rsidRPr="00D51A62">
        <w:t>ming</w:t>
      </w:r>
      <w:r w:rsidR="00AE7713" w:rsidRPr="00B62584">
        <w:t xml:space="preserve">]; </w:t>
      </w:r>
      <w:r w:rsidR="00AE7713" w:rsidRPr="00F34CE6">
        <w:rPr>
          <w:i/>
          <w:iCs/>
        </w:rPr>
        <w:t>United States v. Jefferson</w:t>
      </w:r>
      <w:r w:rsidR="00AE7713" w:rsidRPr="00B62584">
        <w:t xml:space="preserve"> (4th Cir. 2012) 674</w:t>
      </w:r>
      <w:r w:rsidR="00AE7713">
        <w:t> </w:t>
      </w:r>
      <w:r w:rsidR="00AE7713" w:rsidRPr="00B62584">
        <w:t xml:space="preserve">F.3d 332, 361 </w:t>
      </w:r>
      <w:r w:rsidR="00AE7713">
        <w:t>(</w:t>
      </w:r>
      <w:r w:rsidR="00AE7713" w:rsidRPr="00736C7B">
        <w:rPr>
          <w:i/>
          <w:iCs/>
        </w:rPr>
        <w:t>Jefferson</w:t>
      </w:r>
      <w:r w:rsidR="00AE7713">
        <w:t xml:space="preserve">) </w:t>
      </w:r>
      <w:r w:rsidRPr="00D51A62">
        <w:t>[also addressing alternative</w:t>
      </w:r>
      <w:r w:rsidR="00235E63">
        <w:t>-</w:t>
      </w:r>
      <w:r w:rsidRPr="00D51A62">
        <w:t xml:space="preserve">theory error based on the invalidated honest services theory].) </w:t>
      </w:r>
      <w:r w:rsidR="00105E36">
        <w:t xml:space="preserve"> </w:t>
      </w:r>
      <w:r w:rsidRPr="00D51A62">
        <w:t xml:space="preserve">As the court in </w:t>
      </w:r>
      <w:r w:rsidRPr="00E4176F">
        <w:rPr>
          <w:i/>
          <w:iCs/>
        </w:rPr>
        <w:t>Jefferson</w:t>
      </w:r>
      <w:r w:rsidRPr="00D51A62">
        <w:t xml:space="preserve"> put it, “a reviewing court is not entitled to reverse a conviction </w:t>
      </w:r>
      <w:r w:rsidRPr="00E4176F">
        <w:rPr>
          <w:i/>
          <w:iCs/>
        </w:rPr>
        <w:t>that could rest on either a valid or invalid legal theory</w:t>
      </w:r>
      <w:r w:rsidRPr="00D51A62">
        <w:t xml:space="preserve"> if the court can conclude ‘beyond a reasonable doubt that a rational jury would have found the defendant guilty absent the error.’</w:t>
      </w:r>
      <w:r w:rsidRPr="00D51A62">
        <w:t xml:space="preserve"> ”  (</w:t>
      </w:r>
      <w:r w:rsidRPr="00E4176F">
        <w:rPr>
          <w:i/>
          <w:iCs/>
        </w:rPr>
        <w:t>Jefferson</w:t>
      </w:r>
      <w:r w:rsidRPr="00D51A62">
        <w:t xml:space="preserve">, at p. 361, citing </w:t>
      </w:r>
      <w:r w:rsidRPr="00E4176F">
        <w:rPr>
          <w:i/>
          <w:iCs/>
        </w:rPr>
        <w:t>Neder</w:t>
      </w:r>
      <w:r w:rsidRPr="00D51A62">
        <w:t xml:space="preserve">, </w:t>
      </w:r>
      <w:r w:rsidRPr="00E4176F">
        <w:rPr>
          <w:i/>
          <w:iCs/>
        </w:rPr>
        <w:t>supra</w:t>
      </w:r>
      <w:r w:rsidRPr="00D51A62">
        <w:t>, 527 U.S. at p. 18</w:t>
      </w:r>
      <w:r w:rsidR="009F32D1">
        <w:t>, italics added</w:t>
      </w:r>
      <w:r w:rsidRPr="00D51A62">
        <w:t>.)</w:t>
      </w:r>
      <w:r w:rsidR="001F2543">
        <w:t xml:space="preserve"> </w:t>
      </w:r>
    </w:p>
    <w:p w14:paraId="42493476" w14:textId="77777777" w:rsidR="00DF3307" w:rsidRDefault="0061079E" w:rsidP="008C3BA8">
      <w:r>
        <w:tab/>
        <w:t>In asserting the alternative-theory error was not harmless</w:t>
      </w:r>
      <w:r w:rsidR="007B5BEC">
        <w:t xml:space="preserve"> here</w:t>
      </w:r>
      <w:r>
        <w:t xml:space="preserve">, </w:t>
      </w:r>
      <w:r w:rsidR="00D0285E">
        <w:t>Roman</w:t>
      </w:r>
      <w:r>
        <w:t xml:space="preserve"> relies upon </w:t>
      </w:r>
      <w:r w:rsidRPr="0038776F">
        <w:rPr>
          <w:i/>
          <w:iCs/>
        </w:rPr>
        <w:t>People v. Thompkins</w:t>
      </w:r>
      <w:r>
        <w:t xml:space="preserve"> (2020) 50 Cal.App.5th 365 (</w:t>
      </w:r>
      <w:r w:rsidRPr="00016C10">
        <w:rPr>
          <w:i/>
          <w:iCs/>
        </w:rPr>
        <w:t>Thompkins</w:t>
      </w:r>
      <w:r>
        <w:t>).  There, the issue addressed w</w:t>
      </w:r>
      <w:r>
        <w:t>as whether the alternative-theory error stemming from our high court’s clarification of the kill zone theory for attempted murder was harmless.</w:t>
      </w:r>
      <w:r>
        <w:rPr>
          <w:rStyle w:val="FootnoteReference"/>
        </w:rPr>
        <w:footnoteReference w:id="42"/>
      </w:r>
      <w:r>
        <w:t xml:space="preserve">  Rejecting </w:t>
      </w:r>
      <w:r w:rsidR="00D0285E">
        <w:t>the idea of evaluating whether</w:t>
      </w:r>
      <w:r>
        <w:t xml:space="preserve"> a valid theory</w:t>
      </w:r>
      <w:r w:rsidR="00D0285E">
        <w:t xml:space="preserve"> was</w:t>
      </w:r>
      <w:r>
        <w:t xml:space="preserve"> supported by the evidence, the </w:t>
      </w:r>
      <w:r w:rsidRPr="0038776F">
        <w:rPr>
          <w:i/>
          <w:iCs/>
        </w:rPr>
        <w:t>Thompkins</w:t>
      </w:r>
      <w:r>
        <w:t xml:space="preserve"> court fo</w:t>
      </w:r>
      <w:r>
        <w:t>und the error was not harmless.  It reasoned:  “</w:t>
      </w:r>
      <w:r w:rsidRPr="00862927">
        <w:t xml:space="preserve">In assessing prejudice, </w:t>
      </w:r>
      <w:r w:rsidRPr="0038776F">
        <w:rPr>
          <w:i/>
          <w:iCs/>
        </w:rPr>
        <w:t>Aledamat</w:t>
      </w:r>
      <w:r w:rsidRPr="00862927">
        <w:t xml:space="preserve"> </w:t>
      </w:r>
      <w:bookmarkStart w:id="176" w:name="ElPgBr48"/>
      <w:bookmarkEnd w:id="176"/>
      <w:r w:rsidRPr="00862927">
        <w:lastRenderedPageBreak/>
        <w:t xml:space="preserve">considered </w:t>
      </w:r>
      <w:r w:rsidRPr="0038776F">
        <w:rPr>
          <w:i/>
          <w:iCs/>
        </w:rPr>
        <w:t>the likelihood that the jurors would have applied the erroneous instruction</w:t>
      </w:r>
      <w:r w:rsidRPr="00862927">
        <w:t>, not simply the strength of the evidence to support a guilty verdict using the correct i</w:t>
      </w:r>
      <w:r w:rsidRPr="00862927">
        <w:t>nstruction.</w:t>
      </w:r>
      <w:r w:rsidR="00105E36">
        <w:t xml:space="preserve"> </w:t>
      </w:r>
      <w:r w:rsidRPr="00862927">
        <w:t xml:space="preserve"> </w:t>
      </w:r>
      <w:r>
        <w:t>[Citation</w:t>
      </w:r>
      <w:r w:rsidR="00105E36">
        <w:t>.</w:t>
      </w:r>
      <w:r>
        <w:t>]</w:t>
      </w:r>
      <w:r w:rsidRPr="00862927">
        <w:t xml:space="preserve"> </w:t>
      </w:r>
      <w:r w:rsidR="00105E36">
        <w:t xml:space="preserve"> </w:t>
      </w:r>
      <w:r w:rsidRPr="00862927">
        <w:t xml:space="preserve">This focus on the impact of the erroneous instruction rather than the strength of the evidence of guilt is central to </w:t>
      </w:r>
      <w:r w:rsidRPr="0038776F">
        <w:rPr>
          <w:i/>
          <w:iCs/>
        </w:rPr>
        <w:t>Aledamat’s</w:t>
      </w:r>
      <w:r w:rsidRPr="00862927">
        <w:t xml:space="preserve"> reasoning on prejudice. </w:t>
      </w:r>
      <w:r>
        <w:t xml:space="preserve"> </w:t>
      </w:r>
      <w:r w:rsidRPr="0038776F">
        <w:rPr>
          <w:i/>
          <w:iCs/>
        </w:rPr>
        <w:t>This is not the type of error that can be rendered harmless by ‘overwhelming</w:t>
      </w:r>
      <w:r w:rsidRPr="0038776F">
        <w:rPr>
          <w:i/>
          <w:iCs/>
        </w:rPr>
        <w:t>’ evidence of guilt alone</w:t>
      </w:r>
      <w:r>
        <w:t>.”  (</w:t>
      </w:r>
      <w:r w:rsidRPr="0038776F">
        <w:rPr>
          <w:i/>
          <w:iCs/>
        </w:rPr>
        <w:t>Thompkins</w:t>
      </w:r>
      <w:r>
        <w:t xml:space="preserve">, at p. 399, italics added.)  </w:t>
      </w:r>
    </w:p>
    <w:p w14:paraId="027F20C6" w14:textId="31190957" w:rsidR="008C3BA8" w:rsidRDefault="0061079E" w:rsidP="008C3BA8">
      <w:r>
        <w:tab/>
        <w:t xml:space="preserve">The </w:t>
      </w:r>
      <w:r w:rsidRPr="0038776F">
        <w:rPr>
          <w:i/>
          <w:iCs/>
        </w:rPr>
        <w:t>Thompkins</w:t>
      </w:r>
      <w:r>
        <w:t xml:space="preserve"> court acknowledged that our high court in </w:t>
      </w:r>
      <w:r w:rsidRPr="0038776F">
        <w:rPr>
          <w:i/>
          <w:iCs/>
        </w:rPr>
        <w:t xml:space="preserve">Aledamat </w:t>
      </w:r>
      <w:r>
        <w:t xml:space="preserve">rejected a </w:t>
      </w:r>
      <w:r w:rsidR="0089214A">
        <w:t>“</w:t>
      </w:r>
      <w:r>
        <w:t>more demanding standard of review</w:t>
      </w:r>
      <w:r w:rsidR="0089214A">
        <w:t>”</w:t>
      </w:r>
      <w:r w:rsidR="00D0285E">
        <w:t xml:space="preserve"> for alternative-theory error</w:t>
      </w:r>
      <w:r>
        <w:t xml:space="preserve"> and instead held that:  </w:t>
      </w:r>
      <w:r w:rsidRPr="00B97C9A">
        <w:t>“</w:t>
      </w:r>
      <w:r>
        <w:t xml:space="preserve"> ‘</w:t>
      </w:r>
      <w:r w:rsidRPr="00B97C9A">
        <w:t>The reviewing court must reverse the conviction unless, after examining the entire cause, including the evidence, and considering all relevant circumstances, it determines the error was harmless beyond a reasonable doubt.</w:t>
      </w:r>
      <w:r>
        <w:t xml:space="preserve">’ </w:t>
      </w:r>
      <w:r w:rsidRPr="00B97C9A">
        <w:t>”</w:t>
      </w:r>
      <w:r>
        <w:t xml:space="preserve"> </w:t>
      </w:r>
      <w:r w:rsidR="002F6DDD">
        <w:t xml:space="preserve"> </w:t>
      </w:r>
      <w:r w:rsidR="00CE5FE3">
        <w:t>(</w:t>
      </w:r>
      <w:r w:rsidRPr="00016C10">
        <w:rPr>
          <w:i/>
          <w:iCs/>
        </w:rPr>
        <w:t>T</w:t>
      </w:r>
      <w:r w:rsidRPr="00016C10">
        <w:rPr>
          <w:i/>
          <w:iCs/>
        </w:rPr>
        <w:t>hompkins</w:t>
      </w:r>
      <w:r w:rsidRPr="00016C10">
        <w:t xml:space="preserve">, </w:t>
      </w:r>
      <w:r w:rsidRPr="00016C10">
        <w:rPr>
          <w:i/>
          <w:iCs/>
        </w:rPr>
        <w:t>supra</w:t>
      </w:r>
      <w:r w:rsidRPr="00016C10">
        <w:t>, 50 Cal.App.5th at p. 399.)</w:t>
      </w:r>
      <w:r w:rsidR="0089214A">
        <w:t xml:space="preserve"> </w:t>
      </w:r>
      <w:r w:rsidR="00CE5FE3">
        <w:t xml:space="preserve"> </w:t>
      </w:r>
      <w:r w:rsidRPr="00714AB7">
        <w:t xml:space="preserve">But the </w:t>
      </w:r>
      <w:r w:rsidRPr="00714AB7">
        <w:rPr>
          <w:i/>
          <w:iCs/>
        </w:rPr>
        <w:t>Thompkins</w:t>
      </w:r>
      <w:r w:rsidRPr="00714AB7">
        <w:t xml:space="preserve"> court went on to reason:</w:t>
      </w:r>
      <w:r>
        <w:t xml:space="preserve">  “</w:t>
      </w:r>
      <w:r w:rsidRPr="00B97C9A">
        <w:t>As we understand the standard of review, the question is not whether we think it clear beyond a reasonable doubt that the defendants were actually guilty of five attempted murders based on the valid theory, but whether we can say, beyond a reasonable doubt</w:t>
      </w:r>
      <w:r w:rsidRPr="00B97C9A">
        <w:t xml:space="preserve">, the jury’s </w:t>
      </w:r>
      <w:r w:rsidRPr="0038776F">
        <w:rPr>
          <w:i/>
          <w:iCs/>
        </w:rPr>
        <w:t>actual verdicts were not tainted</w:t>
      </w:r>
      <w:r w:rsidRPr="00B97C9A">
        <w:t xml:space="preserve"> by the inaccurate jury instruction. </w:t>
      </w:r>
      <w:r>
        <w:t xml:space="preserve"> </w:t>
      </w:r>
      <w:r w:rsidRPr="0038776F">
        <w:rPr>
          <w:i/>
          <w:iCs/>
        </w:rPr>
        <w:t xml:space="preserve">We </w:t>
      </w:r>
      <w:bookmarkStart w:id="177" w:name="_Hlk100167808"/>
      <w:r w:rsidRPr="0038776F">
        <w:rPr>
          <w:i/>
          <w:iCs/>
        </w:rPr>
        <w:t>focus on the likelihood that the jury relied on the kill zone instruction</w:t>
      </w:r>
      <w:bookmarkEnd w:id="177"/>
      <w:r w:rsidRPr="0038776F">
        <w:rPr>
          <w:i/>
          <w:iCs/>
        </w:rPr>
        <w:t xml:space="preserve"> in reaching its verdicts, not simply the likelihood of defendants’ guilt under a legally correct</w:t>
      </w:r>
      <w:r w:rsidRPr="0038776F">
        <w:rPr>
          <w:i/>
          <w:iCs/>
        </w:rPr>
        <w:t xml:space="preserve"> theory</w:t>
      </w:r>
      <w:r w:rsidRPr="00B97C9A">
        <w:t>.</w:t>
      </w:r>
      <w:r>
        <w:t>”  (</w:t>
      </w:r>
      <w:r w:rsidRPr="00016C10">
        <w:rPr>
          <w:i/>
          <w:iCs/>
        </w:rPr>
        <w:t>I</w:t>
      </w:r>
      <w:r w:rsidR="002F6DDD" w:rsidRPr="00016C10">
        <w:rPr>
          <w:i/>
          <w:iCs/>
        </w:rPr>
        <w:t>bid</w:t>
      </w:r>
      <w:r w:rsidR="002F6DDD">
        <w:t>.</w:t>
      </w:r>
      <w:r>
        <w:t xml:space="preserve">, italics added.)  </w:t>
      </w:r>
    </w:p>
    <w:p w14:paraId="62190EC4" w14:textId="167AB351" w:rsidR="008C3BA8" w:rsidRDefault="0061079E" w:rsidP="008C3BA8">
      <w:r>
        <w:tab/>
        <w:t xml:space="preserve">To the extent that </w:t>
      </w:r>
      <w:r w:rsidRPr="0038776F">
        <w:rPr>
          <w:i/>
          <w:iCs/>
        </w:rPr>
        <w:t>Thompkins</w:t>
      </w:r>
      <w:r>
        <w:t xml:space="preserve"> </w:t>
      </w:r>
      <w:r w:rsidR="00D0285E">
        <w:t xml:space="preserve">can be read as requiring that its </w:t>
      </w:r>
      <w:r w:rsidR="00036DD4">
        <w:t>approach</w:t>
      </w:r>
      <w:r w:rsidR="00D0285E">
        <w:t xml:space="preserve"> of</w:t>
      </w:r>
      <w:r w:rsidR="00036DD4">
        <w:t xml:space="preserve"> focusing</w:t>
      </w:r>
      <w:r>
        <w:t xml:space="preserve"> on the error’s impact on the verdict must be applied in all cases</w:t>
      </w:r>
      <w:r w:rsidR="00036DD4">
        <w:t>,</w:t>
      </w:r>
      <w:r>
        <w:t xml:space="preserve"> as Roman seems to argue, we disagree with that view for two reasons</w:t>
      </w:r>
      <w:r>
        <w:t>.  First, reviewing courts must “</w:t>
      </w:r>
      <w:r w:rsidRPr="0072426A">
        <w:t>examin</w:t>
      </w:r>
      <w:r>
        <w:t>[e]</w:t>
      </w:r>
      <w:r w:rsidRPr="0072426A">
        <w:t xml:space="preserve"> the entire cause</w:t>
      </w:r>
      <w:r w:rsidRPr="00BD05C7">
        <w:t xml:space="preserve">, </w:t>
      </w:r>
      <w:r w:rsidRPr="00BD05C7">
        <w:rPr>
          <w:i/>
          <w:iCs/>
        </w:rPr>
        <w:t>including the evidence</w:t>
      </w:r>
      <w:r w:rsidRPr="00BD05C7">
        <w:t>, and consider</w:t>
      </w:r>
      <w:r>
        <w:t xml:space="preserve">[] </w:t>
      </w:r>
      <w:r w:rsidRPr="0038776F">
        <w:rPr>
          <w:i/>
          <w:iCs/>
        </w:rPr>
        <w:t>all relevant circumstances</w:t>
      </w:r>
      <w:r>
        <w:t xml:space="preserve">.” </w:t>
      </w:r>
      <w:r w:rsidR="00BA7628">
        <w:t xml:space="preserve"> </w:t>
      </w:r>
      <w:r>
        <w:t>(</w:t>
      </w:r>
      <w:r w:rsidRPr="0038776F">
        <w:rPr>
          <w:i/>
          <w:iCs/>
        </w:rPr>
        <w:t>Aledamat</w:t>
      </w:r>
      <w:r>
        <w:t xml:space="preserve">, </w:t>
      </w:r>
      <w:r w:rsidRPr="0038776F">
        <w:rPr>
          <w:i/>
          <w:iCs/>
        </w:rPr>
        <w:t>supra</w:t>
      </w:r>
      <w:r>
        <w:t>, 8 Cal.5th at p. 3</w:t>
      </w:r>
      <w:r w:rsidR="00D0285E">
        <w:t>, italics added</w:t>
      </w:r>
      <w:r>
        <w:t xml:space="preserve">.)  And we must </w:t>
      </w:r>
      <w:r w:rsidR="005A6ECA">
        <w:t xml:space="preserve">then </w:t>
      </w:r>
      <w:r>
        <w:t>ask:</w:t>
      </w:r>
      <w:r w:rsidR="00BA7628">
        <w:t xml:space="preserve"> </w:t>
      </w:r>
      <w:r>
        <w:t xml:space="preserve"> “</w:t>
      </w:r>
      <w:r w:rsidRPr="00526578">
        <w:t>Is it clear beyond a reasonable doubt that a rat</w:t>
      </w:r>
      <w:r w:rsidRPr="00526578">
        <w:t xml:space="preserve">ional jury </w:t>
      </w:r>
      <w:r w:rsidRPr="0038776F">
        <w:rPr>
          <w:i/>
          <w:iCs/>
        </w:rPr>
        <w:t>would have</w:t>
      </w:r>
      <w:r w:rsidRPr="00526578">
        <w:t xml:space="preserve"> found the defendant guilty absent the error?</w:t>
      </w:r>
      <w:r>
        <w:t>”  (</w:t>
      </w:r>
      <w:r w:rsidRPr="00846609">
        <w:rPr>
          <w:i/>
          <w:iCs/>
        </w:rPr>
        <w:t>Neder</w:t>
      </w:r>
      <w:r>
        <w:rPr>
          <w:i/>
          <w:iCs/>
        </w:rPr>
        <w:t>, supra,</w:t>
      </w:r>
      <w:r>
        <w:t xml:space="preserve"> 527 U.S. at p. 18; </w:t>
      </w:r>
      <w:r w:rsidRPr="00846609">
        <w:rPr>
          <w:i/>
          <w:iCs/>
        </w:rPr>
        <w:t>Merritt</w:t>
      </w:r>
      <w:r>
        <w:t xml:space="preserve">, </w:t>
      </w:r>
      <w:r w:rsidRPr="00016C10">
        <w:rPr>
          <w:i/>
          <w:iCs/>
        </w:rPr>
        <w:t>supra</w:t>
      </w:r>
      <w:r>
        <w:t xml:space="preserve">, 2 Cal.5th at p. 827, italics added.)  </w:t>
      </w:r>
      <w:r w:rsidR="00CE1E79">
        <w:t xml:space="preserve">Accordingly, </w:t>
      </w:r>
      <w:r>
        <w:t xml:space="preserve">there is no one way to establish </w:t>
      </w:r>
      <w:bookmarkStart w:id="178" w:name="ElPgBr49"/>
      <w:bookmarkEnd w:id="178"/>
      <w:r>
        <w:lastRenderedPageBreak/>
        <w:t xml:space="preserve">harmlessness for instructional error, including alternative-theory error.  </w:t>
      </w:r>
      <w:r w:rsidRPr="0038776F">
        <w:rPr>
          <w:i/>
          <w:iCs/>
        </w:rPr>
        <w:t>Aledamat</w:t>
      </w:r>
      <w:r>
        <w:t xml:space="preserve"> teaches as much.  </w:t>
      </w:r>
    </w:p>
    <w:p w14:paraId="76584FF1" w14:textId="4FEB3EFE" w:rsidR="008C3BA8" w:rsidRDefault="0061079E" w:rsidP="008C3BA8">
      <w:pPr>
        <w:rPr>
          <w:rFonts w:eastAsia="Calibri"/>
        </w:rPr>
      </w:pPr>
      <w:r>
        <w:tab/>
        <w:t xml:space="preserve">In our view, the </w:t>
      </w:r>
      <w:r w:rsidRPr="0038776F">
        <w:rPr>
          <w:i/>
          <w:iCs/>
        </w:rPr>
        <w:t>Thompkins</w:t>
      </w:r>
      <w:r>
        <w:t xml:space="preserve"> approach, if generically applied in all cases, would focus the analysis through an aperture that is too narrow.  Indeed, the </w:t>
      </w:r>
      <w:r w:rsidRPr="0038776F">
        <w:rPr>
          <w:i/>
          <w:iCs/>
        </w:rPr>
        <w:t xml:space="preserve">Aledamat </w:t>
      </w:r>
      <w:r>
        <w:t xml:space="preserve">court specifically rejected a narrow focus on the verdicts.  It did so by clarifying its earlier statements in in </w:t>
      </w:r>
      <w:r w:rsidRPr="00834B4B">
        <w:rPr>
          <w:i/>
          <w:iCs/>
        </w:rPr>
        <w:t>People v. Chiu</w:t>
      </w:r>
      <w:r w:rsidRPr="00834B4B">
        <w:t xml:space="preserve"> (2014) 59 Cal.4th 155 and </w:t>
      </w:r>
      <w:r w:rsidRPr="00834B4B">
        <w:rPr>
          <w:i/>
          <w:iCs/>
        </w:rPr>
        <w:t>In re Martinez</w:t>
      </w:r>
      <w:r w:rsidRPr="00834B4B">
        <w:t xml:space="preserve"> (2017) 3 Cal.5th 1216</w:t>
      </w:r>
      <w:r>
        <w:t>, regarding the harmless error standard applied in alter</w:t>
      </w:r>
      <w:r>
        <w:t xml:space="preserve">native-theory error cases.  In </w:t>
      </w:r>
      <w:r w:rsidRPr="00846609">
        <w:rPr>
          <w:i/>
          <w:iCs/>
        </w:rPr>
        <w:t>Martinez</w:t>
      </w:r>
      <w:r w:rsidRPr="00834B4B">
        <w:t xml:space="preserve">, the court </w:t>
      </w:r>
      <w:r>
        <w:t xml:space="preserve">stated </w:t>
      </w:r>
      <w:r w:rsidRPr="00834B4B">
        <w:t>that alternative-theory error</w:t>
      </w:r>
      <w:r>
        <w:t>,</w:t>
      </w:r>
      <w:r w:rsidRPr="00834B4B">
        <w:t xml:space="preserve"> “requires reversal unless the reviewing court concludes beyond a reasonable doubt that the jury actually relied on a legally valid theory in convicting the </w:t>
      </w:r>
      <w:r>
        <w:t xml:space="preserve">defendant </w:t>
      </w:r>
      <w:r w:rsidRPr="00834B4B">
        <w:t>o</w:t>
      </w:r>
      <w:r w:rsidRPr="00834B4B">
        <w:t>f first degree murder.”  (</w:t>
      </w:r>
      <w:r w:rsidRPr="00834B4B">
        <w:rPr>
          <w:i/>
          <w:iCs/>
        </w:rPr>
        <w:t>Martinez</w:t>
      </w:r>
      <w:r w:rsidRPr="00834B4B">
        <w:t>, at p. 1218</w:t>
      </w:r>
      <w:r w:rsidR="00DF3307">
        <w:t xml:space="preserve">, </w:t>
      </w:r>
      <w:r w:rsidR="00DF3307" w:rsidRPr="00016C10">
        <w:rPr>
          <w:i/>
          <w:iCs/>
        </w:rPr>
        <w:t>Chiu</w:t>
      </w:r>
      <w:r w:rsidR="00DF3307">
        <w:t>, at p. 167 [same]</w:t>
      </w:r>
      <w:r w:rsidRPr="00834B4B">
        <w:t xml:space="preserve">)  </w:t>
      </w:r>
      <w:r>
        <w:t xml:space="preserve">But </w:t>
      </w:r>
      <w:r w:rsidRPr="00834B4B">
        <w:t xml:space="preserve">the </w:t>
      </w:r>
      <w:r w:rsidRPr="00834B4B">
        <w:rPr>
          <w:i/>
          <w:iCs/>
        </w:rPr>
        <w:t>Aledamat</w:t>
      </w:r>
      <w:r w:rsidRPr="00834B4B">
        <w:t xml:space="preserve"> court clarified that</w:t>
      </w:r>
      <w:r>
        <w:t xml:space="preserve"> the</w:t>
      </w:r>
      <w:r w:rsidRPr="00834B4B">
        <w:t xml:space="preserve"> </w:t>
      </w:r>
      <w:r w:rsidRPr="00834B4B">
        <w:rPr>
          <w:i/>
          <w:iCs/>
        </w:rPr>
        <w:t>Chiu</w:t>
      </w:r>
      <w:r w:rsidRPr="00834B4B">
        <w:t>/</w:t>
      </w:r>
      <w:r w:rsidRPr="00834B4B">
        <w:rPr>
          <w:i/>
          <w:iCs/>
        </w:rPr>
        <w:t>Martinez</w:t>
      </w:r>
      <w:r w:rsidRPr="00834B4B">
        <w:t xml:space="preserve"> means of determining harmlessness was not exclusive and</w:t>
      </w:r>
      <w:r>
        <w:t>,</w:t>
      </w:r>
      <w:r w:rsidRPr="00834B4B">
        <w:t xml:space="preserve"> </w:t>
      </w:r>
      <w:r>
        <w:t>“</w:t>
      </w:r>
      <w:r w:rsidRPr="00834B4B">
        <w:rPr>
          <w:i/>
          <w:iCs/>
        </w:rPr>
        <w:t>Chiu</w:t>
      </w:r>
      <w:r w:rsidRPr="00834B4B">
        <w:t xml:space="preserve"> and </w:t>
      </w:r>
      <w:r w:rsidRPr="00834B4B">
        <w:rPr>
          <w:i/>
          <w:iCs/>
        </w:rPr>
        <w:t>Martinez</w:t>
      </w:r>
      <w:r w:rsidRPr="00834B4B">
        <w:t xml:space="preserve"> were only a specific application of the more genera</w:t>
      </w:r>
      <w:r w:rsidRPr="00834B4B">
        <w:t>l reasonable doubt test</w:t>
      </w:r>
      <w:r w:rsidR="009A36F4">
        <w:t xml:space="preserve"> stated in cases like </w:t>
      </w:r>
      <w:r w:rsidR="009A36F4" w:rsidRPr="00F57FD5">
        <w:rPr>
          <w:i/>
          <w:iCs/>
        </w:rPr>
        <w:t>Neder</w:t>
      </w:r>
      <w:r w:rsidR="009A36F4">
        <w:t xml:space="preserve"> [</w:t>
      </w:r>
      <w:r w:rsidR="00FB38AA">
        <w:t>C</w:t>
      </w:r>
      <w:r w:rsidR="009A36F4">
        <w:t xml:space="preserve">itation] and </w:t>
      </w:r>
      <w:r w:rsidR="009A36F4" w:rsidRPr="00F57FD5">
        <w:rPr>
          <w:i/>
          <w:iCs/>
        </w:rPr>
        <w:t>Merritt</w:t>
      </w:r>
      <w:r w:rsidR="00714AB7">
        <w:rPr>
          <w:i/>
          <w:iCs/>
        </w:rPr>
        <w:t xml:space="preserve"> </w:t>
      </w:r>
      <w:r w:rsidR="00714AB7">
        <w:t>[</w:t>
      </w:r>
      <w:r w:rsidR="00FB38AA">
        <w:t>C</w:t>
      </w:r>
      <w:r w:rsidR="00714AB7">
        <w:t>itation]</w:t>
      </w:r>
      <w:r w:rsidRPr="00834B4B">
        <w:t>.”  (</w:t>
      </w:r>
      <w:r w:rsidRPr="00186F3D">
        <w:rPr>
          <w:i/>
          <w:iCs/>
        </w:rPr>
        <w:t>Aledamat</w:t>
      </w:r>
      <w:r w:rsidRPr="00834B4B">
        <w:t xml:space="preserve">, </w:t>
      </w:r>
      <w:r w:rsidRPr="00186F3D">
        <w:rPr>
          <w:i/>
          <w:iCs/>
        </w:rPr>
        <w:t>supra</w:t>
      </w:r>
      <w:r w:rsidRPr="00834B4B">
        <w:t>, 8 Cal.5th at p. 12.)</w:t>
      </w:r>
      <w:r w:rsidR="00D251B1">
        <w:t xml:space="preserve"> </w:t>
      </w:r>
      <w:r w:rsidRPr="00834B4B">
        <w:t xml:space="preserve"> </w:t>
      </w:r>
      <w:r w:rsidRPr="00E82DC6">
        <w:rPr>
          <w:rFonts w:eastAsia="Calibri"/>
        </w:rPr>
        <w:t>“</w:t>
      </w:r>
      <w:r>
        <w:rPr>
          <w:rFonts w:eastAsia="Calibri"/>
        </w:rPr>
        <w:t>[T]</w:t>
      </w:r>
      <w:r w:rsidRPr="00E82DC6">
        <w:rPr>
          <w:rFonts w:eastAsia="Calibri"/>
        </w:rPr>
        <w:t xml:space="preserve">he reviewing court is not limited to a review of the verdict itself.  An examination of the actual verdict may be sufficient to demonstrate harmlessness, but it is not necessary.  In both </w:t>
      </w:r>
      <w:r w:rsidRPr="00E82DC6">
        <w:rPr>
          <w:rFonts w:eastAsia="Calibri"/>
          <w:i/>
          <w:iCs/>
        </w:rPr>
        <w:t>Chiu</w:t>
      </w:r>
      <w:r w:rsidRPr="00E82DC6">
        <w:rPr>
          <w:rFonts w:eastAsia="Calibri"/>
        </w:rPr>
        <w:t xml:space="preserve"> and </w:t>
      </w:r>
      <w:r w:rsidRPr="00E82DC6">
        <w:rPr>
          <w:rFonts w:eastAsia="Calibri"/>
          <w:i/>
          <w:iCs/>
        </w:rPr>
        <w:t>Martinez</w:t>
      </w:r>
      <w:r w:rsidRPr="00E82DC6">
        <w:rPr>
          <w:rFonts w:eastAsia="Calibri"/>
        </w:rPr>
        <w:t>, we examined the record and found that it affirmat</w:t>
      </w:r>
      <w:r w:rsidRPr="00E82DC6">
        <w:rPr>
          <w:rFonts w:eastAsia="Calibri"/>
        </w:rPr>
        <w:t xml:space="preserve">ively showed the jury might have based its verdict on the invalid theory.  </w:t>
      </w:r>
      <w:r w:rsidRPr="00E82DC6">
        <w:rPr>
          <w:rFonts w:eastAsia="Calibri"/>
          <w:i/>
          <w:iCs/>
        </w:rPr>
        <w:t>Because no other basis to find the error harmless beyond a reasonable doubt was at issue, we did not explore whether other ways of finding the error harmless existed.</w:t>
      </w:r>
      <w:r w:rsidRPr="00E82DC6">
        <w:rPr>
          <w:rFonts w:eastAsia="Calibri"/>
        </w:rPr>
        <w:t xml:space="preserve"> </w:t>
      </w:r>
      <w:r>
        <w:rPr>
          <w:rFonts w:eastAsia="Calibri"/>
        </w:rPr>
        <w:t xml:space="preserve"> </w:t>
      </w:r>
      <w:r w:rsidRPr="00E82DC6">
        <w:rPr>
          <w:rFonts w:eastAsia="Calibri"/>
          <w:i/>
          <w:iCs/>
        </w:rPr>
        <w:t>Those cases m</w:t>
      </w:r>
      <w:r w:rsidRPr="00E82DC6">
        <w:rPr>
          <w:rFonts w:eastAsia="Calibri"/>
          <w:i/>
          <w:iCs/>
        </w:rPr>
        <w:t xml:space="preserve">erely provide one way in which a court might evaluate harmlessness. </w:t>
      </w:r>
      <w:r>
        <w:rPr>
          <w:rFonts w:eastAsia="Calibri"/>
          <w:i/>
          <w:iCs/>
        </w:rPr>
        <w:t xml:space="preserve"> </w:t>
      </w:r>
      <w:r w:rsidRPr="00E82DC6">
        <w:rPr>
          <w:rFonts w:eastAsia="Calibri"/>
          <w:i/>
          <w:iCs/>
        </w:rPr>
        <w:t>They do not preclude other ways</w:t>
      </w:r>
      <w:r w:rsidRPr="00E82DC6">
        <w:rPr>
          <w:rFonts w:eastAsia="Calibri"/>
        </w:rPr>
        <w:t xml:space="preserve">.” </w:t>
      </w:r>
      <w:r w:rsidR="007E79E7">
        <w:rPr>
          <w:rFonts w:eastAsia="Calibri"/>
        </w:rPr>
        <w:t xml:space="preserve"> </w:t>
      </w:r>
      <w:r w:rsidRPr="00E82DC6">
        <w:rPr>
          <w:rFonts w:eastAsia="Calibri"/>
        </w:rPr>
        <w:t>(</w:t>
      </w:r>
      <w:r w:rsidR="007E79E7" w:rsidRPr="00016C10">
        <w:rPr>
          <w:rFonts w:eastAsia="Calibri"/>
          <w:i/>
          <w:iCs/>
        </w:rPr>
        <w:t>Id</w:t>
      </w:r>
      <w:r w:rsidR="007E79E7">
        <w:rPr>
          <w:rFonts w:eastAsia="Calibri"/>
        </w:rPr>
        <w:t>.</w:t>
      </w:r>
      <w:r w:rsidRPr="00E82DC6">
        <w:rPr>
          <w:rFonts w:eastAsia="Calibri"/>
        </w:rPr>
        <w:t xml:space="preserve"> at p. 13, italics added.) </w:t>
      </w:r>
      <w:r>
        <w:rPr>
          <w:rFonts w:eastAsia="Calibri"/>
        </w:rPr>
        <w:t xml:space="preserve"> </w:t>
      </w:r>
    </w:p>
    <w:p w14:paraId="19B6289B" w14:textId="027100CA" w:rsidR="00210546" w:rsidRDefault="0061079E" w:rsidP="008C3BA8">
      <w:pPr>
        <w:pStyle w:val="bodytext"/>
      </w:pPr>
      <w:r>
        <w:rPr>
          <w:rFonts w:eastAsia="Calibri"/>
        </w:rPr>
        <w:t>Similarly, the</w:t>
      </w:r>
      <w:r w:rsidR="008C3BA8">
        <w:rPr>
          <w:rFonts w:eastAsia="Calibri"/>
        </w:rPr>
        <w:t xml:space="preserve"> </w:t>
      </w:r>
      <w:r w:rsidR="008C3BA8" w:rsidRPr="0038776F">
        <w:rPr>
          <w:rFonts w:eastAsia="Calibri"/>
          <w:i/>
          <w:iCs/>
        </w:rPr>
        <w:t xml:space="preserve">Aledamat </w:t>
      </w:r>
      <w:r w:rsidR="008C3BA8">
        <w:rPr>
          <w:rFonts w:eastAsia="Calibri"/>
        </w:rPr>
        <w:t>court’s method of determining harmlessness in the circumstances of that case — a method it characterized as “[a]</w:t>
      </w:r>
      <w:r w:rsidR="008C3BA8" w:rsidRPr="00E4018C">
        <w:rPr>
          <w:rFonts w:eastAsia="Calibri"/>
        </w:rPr>
        <w:t xml:space="preserve"> </w:t>
      </w:r>
      <w:r w:rsidR="008C3BA8" w:rsidRPr="0038776F">
        <w:rPr>
          <w:rFonts w:eastAsia="Calibri"/>
          <w:i/>
          <w:iCs/>
        </w:rPr>
        <w:t xml:space="preserve">nonexclusive </w:t>
      </w:r>
      <w:r w:rsidR="008C3BA8" w:rsidRPr="00E4018C">
        <w:rPr>
          <w:rFonts w:eastAsia="Calibri"/>
        </w:rPr>
        <w:t xml:space="preserve">way the error </w:t>
      </w:r>
      <w:bookmarkStart w:id="179" w:name="ElPgBr50"/>
      <w:bookmarkEnd w:id="179"/>
      <w:r w:rsidR="008C3BA8" w:rsidRPr="00E4018C">
        <w:rPr>
          <w:rFonts w:eastAsia="Calibri"/>
        </w:rPr>
        <w:lastRenderedPageBreak/>
        <w:t>can be found harmless beyond a reasonable doubt</w:t>
      </w:r>
      <w:r w:rsidR="008C3BA8">
        <w:rPr>
          <w:rFonts w:eastAsia="Calibri"/>
        </w:rPr>
        <w:t xml:space="preserve">” — only illustrates one example of how harmlessness can be determined. </w:t>
      </w:r>
      <w:r w:rsidR="007E79E7">
        <w:rPr>
          <w:rFonts w:eastAsia="Calibri"/>
        </w:rPr>
        <w:t xml:space="preserve"> </w:t>
      </w:r>
      <w:r w:rsidR="008C3BA8">
        <w:rPr>
          <w:rFonts w:eastAsia="Calibri"/>
        </w:rPr>
        <w:t>(</w:t>
      </w:r>
      <w:r w:rsidR="008C3BA8" w:rsidRPr="0038776F">
        <w:rPr>
          <w:rFonts w:eastAsia="Calibri"/>
          <w:i/>
          <w:iCs/>
        </w:rPr>
        <w:t>Aledamat</w:t>
      </w:r>
      <w:r w:rsidR="008C3BA8">
        <w:rPr>
          <w:rFonts w:eastAsia="Calibri"/>
        </w:rPr>
        <w:t xml:space="preserve">, </w:t>
      </w:r>
      <w:r w:rsidR="007E79E7" w:rsidRPr="00186F3D">
        <w:rPr>
          <w:i/>
          <w:iCs/>
        </w:rPr>
        <w:t>supra</w:t>
      </w:r>
      <w:r w:rsidR="007E79E7" w:rsidRPr="00834B4B">
        <w:t>, 8 Cal.5th</w:t>
      </w:r>
      <w:r w:rsidR="007E79E7">
        <w:rPr>
          <w:rFonts w:eastAsia="Calibri"/>
        </w:rPr>
        <w:t xml:space="preserve"> </w:t>
      </w:r>
      <w:r w:rsidR="008C3BA8">
        <w:rPr>
          <w:rFonts w:eastAsia="Calibri"/>
        </w:rPr>
        <w:t>at pp. 14-15.)</w:t>
      </w:r>
      <w:r>
        <w:rPr>
          <w:rStyle w:val="FootnoteReference"/>
          <w:rFonts w:eastAsia="Calibri"/>
        </w:rPr>
        <w:footnoteReference w:id="43"/>
      </w:r>
      <w:r w:rsidR="008C3BA8">
        <w:rPr>
          <w:rFonts w:eastAsia="Calibri"/>
        </w:rPr>
        <w:t xml:space="preserve">  </w:t>
      </w:r>
      <w:bookmarkEnd w:id="175"/>
    </w:p>
    <w:p w14:paraId="37C2C10B" w14:textId="02093535" w:rsidR="000D7828" w:rsidRDefault="0061079E" w:rsidP="00E4176F">
      <w:r>
        <w:tab/>
      </w:r>
      <w:r w:rsidRPr="004E18AD">
        <w:t xml:space="preserve">Second, </w:t>
      </w:r>
      <w:r w:rsidRPr="0038776F">
        <w:t xml:space="preserve">the federal </w:t>
      </w:r>
      <w:r w:rsidR="00DA73B3">
        <w:t>circuit court</w:t>
      </w:r>
      <w:r w:rsidRPr="0038776F">
        <w:t xml:space="preserve"> cases</w:t>
      </w:r>
      <w:r w:rsidRPr="004E18AD">
        <w:t xml:space="preserve"> cit</w:t>
      </w:r>
      <w:r w:rsidRPr="004E18AD">
        <w:t xml:space="preserve">ed by our high court in </w:t>
      </w:r>
      <w:r w:rsidRPr="0038776F">
        <w:rPr>
          <w:i/>
          <w:iCs/>
        </w:rPr>
        <w:t>Aledamat</w:t>
      </w:r>
      <w:r w:rsidRPr="004E18AD">
        <w:t xml:space="preserve"> with apparent approval</w:t>
      </w:r>
      <w:r>
        <w:t xml:space="preserve"> </w:t>
      </w:r>
      <w:r w:rsidRPr="004E18AD">
        <w:t xml:space="preserve">identified </w:t>
      </w:r>
      <w:r>
        <w:t xml:space="preserve">different </w:t>
      </w:r>
      <w:r w:rsidRPr="004E18AD">
        <w:t>method</w:t>
      </w:r>
      <w:r>
        <w:t xml:space="preserve">s </w:t>
      </w:r>
      <w:r w:rsidRPr="004E18AD">
        <w:t>for determining harmlessness</w:t>
      </w:r>
      <w:r>
        <w:t xml:space="preserve">.  </w:t>
      </w:r>
      <w:r w:rsidR="000D058A">
        <w:t>As we have seen, t</w:t>
      </w:r>
      <w:r>
        <w:t>hose methods</w:t>
      </w:r>
      <w:r w:rsidRPr="004E18AD">
        <w:t xml:space="preserve"> focus</w:t>
      </w:r>
      <w:r>
        <w:t>ed</w:t>
      </w:r>
      <w:r w:rsidRPr="004E18AD">
        <w:t xml:space="preserve"> on whether the verdict “</w:t>
      </w:r>
      <w:r w:rsidRPr="0038776F">
        <w:rPr>
          <w:i/>
          <w:iCs/>
        </w:rPr>
        <w:t>would have been</w:t>
      </w:r>
      <w:r w:rsidRPr="004E18AD">
        <w:t xml:space="preserve"> </w:t>
      </w:r>
      <w:r w:rsidRPr="0038776F">
        <w:rPr>
          <w:i/>
          <w:iCs/>
        </w:rPr>
        <w:t>the same</w:t>
      </w:r>
      <w:r w:rsidRPr="004E18AD">
        <w:t xml:space="preserve">” based the </w:t>
      </w:r>
      <w:r w:rsidRPr="0038776F">
        <w:t xml:space="preserve">overwhelming nature of the </w:t>
      </w:r>
      <w:r w:rsidRPr="004E18AD">
        <w:t xml:space="preserve">evidence, as opposed to </w:t>
      </w:r>
      <w:r>
        <w:t>divining</w:t>
      </w:r>
      <w:r w:rsidRPr="004E18AD">
        <w:t xml:space="preserve"> the theory the jury </w:t>
      </w:r>
      <w:r w:rsidRPr="00E4176F">
        <w:t>r</w:t>
      </w:r>
      <w:r w:rsidRPr="004E18AD">
        <w:t>elied upon in arriving at its verdict.</w:t>
      </w:r>
      <w:r>
        <w:t xml:space="preserve">  Because the </w:t>
      </w:r>
      <w:r w:rsidRPr="00E4176F">
        <w:rPr>
          <w:i/>
          <w:iCs/>
        </w:rPr>
        <w:t xml:space="preserve">Aledamat </w:t>
      </w:r>
      <w:r>
        <w:t>court cited these</w:t>
      </w:r>
      <w:r w:rsidR="000D058A">
        <w:t xml:space="preserve"> federal circuit court</w:t>
      </w:r>
      <w:r>
        <w:t xml:space="preserve"> cases, we apply </w:t>
      </w:r>
      <w:r w:rsidR="000D058A">
        <w:t>their persuasive analysis here</w:t>
      </w:r>
      <w:r>
        <w:t xml:space="preserve">. </w:t>
      </w:r>
    </w:p>
    <w:p w14:paraId="5E46DB85" w14:textId="5C3E14B2" w:rsidR="00311356" w:rsidRPr="00E4176F" w:rsidRDefault="0061079E" w:rsidP="00F467B7">
      <w:pPr>
        <w:keepNext/>
        <w:rPr>
          <w:b/>
          <w:bCs/>
        </w:rPr>
      </w:pPr>
      <w:bookmarkStart w:id="180" w:name="co_pp_sp_7047_381_1"/>
      <w:bookmarkEnd w:id="180"/>
      <w:r>
        <w:tab/>
      </w:r>
      <w:r w:rsidRPr="00E4176F">
        <w:rPr>
          <w:b/>
          <w:bCs/>
        </w:rPr>
        <w:t>2.  Analysis – Harmlessn</w:t>
      </w:r>
      <w:r w:rsidRPr="00E4176F">
        <w:rPr>
          <w:b/>
          <w:bCs/>
        </w:rPr>
        <w:t xml:space="preserve">ess of the Alternative-Theory Error </w:t>
      </w:r>
    </w:p>
    <w:p w14:paraId="6400ED08" w14:textId="595C498C" w:rsidR="001949CD" w:rsidRDefault="0061079E" w:rsidP="001949CD">
      <w:pPr>
        <w:pStyle w:val="bodytext"/>
        <w:ind w:firstLine="0"/>
      </w:pPr>
      <w:r>
        <w:tab/>
        <w:t>We regard the evidence of Roman’s culpability as a direct aider and abettor of implied malice murder to be overwhelming</w:t>
      </w:r>
      <w:r w:rsidR="003D52FC">
        <w:t>, such that the jury would have found him guilty absent the error</w:t>
      </w:r>
      <w:r>
        <w:t xml:space="preserve">.  </w:t>
      </w:r>
      <w:r w:rsidR="002337B2">
        <w:t xml:space="preserve">We first examine some fundamental rules concerning </w:t>
      </w:r>
      <w:bookmarkStart w:id="181" w:name="ElPgBr51"/>
      <w:bookmarkEnd w:id="181"/>
      <w:r w:rsidR="0018253D">
        <w:lastRenderedPageBreak/>
        <w:t xml:space="preserve">circumstances supporting a finding of </w:t>
      </w:r>
      <w:r w:rsidR="002337B2">
        <w:t xml:space="preserve">aider and abettor liability and then </w:t>
      </w:r>
      <w:r w:rsidR="001C62BE">
        <w:t xml:space="preserve">examine </w:t>
      </w:r>
      <w:r w:rsidR="002337B2">
        <w:t>th</w:t>
      </w:r>
      <w:r w:rsidR="00427A5A">
        <w:t>e</w:t>
      </w:r>
      <w:r w:rsidR="002337B2">
        <w:t xml:space="preserve"> evidence </w:t>
      </w:r>
      <w:r w:rsidR="00B83CC8">
        <w:t>establishing</w:t>
      </w:r>
      <w:r w:rsidR="002337B2">
        <w:t xml:space="preserve"> the</w:t>
      </w:r>
      <w:r w:rsidR="001C62BE">
        <w:t xml:space="preserve"> elements of aiding and abetting implied malice murder</w:t>
      </w:r>
      <w:r w:rsidR="002337B2">
        <w:t>.</w:t>
      </w:r>
    </w:p>
    <w:p w14:paraId="2D1F0358" w14:textId="1DA27F5A" w:rsidR="002337B2" w:rsidRPr="00E4176F" w:rsidRDefault="0061079E" w:rsidP="00FF53F2">
      <w:pPr>
        <w:pStyle w:val="bodytext"/>
        <w:keepNext/>
        <w:ind w:firstLine="0"/>
        <w:rPr>
          <w:b/>
          <w:bCs/>
        </w:rPr>
      </w:pPr>
      <w:r>
        <w:tab/>
      </w:r>
      <w:r>
        <w:tab/>
      </w:r>
      <w:r w:rsidRPr="00E4176F">
        <w:rPr>
          <w:b/>
          <w:bCs/>
        </w:rPr>
        <w:t>a.  Aiding and Abetting</w:t>
      </w:r>
      <w:r w:rsidR="00D135E8" w:rsidRPr="00E4176F">
        <w:rPr>
          <w:b/>
          <w:bCs/>
        </w:rPr>
        <w:t xml:space="preserve"> Circumstances to Consider</w:t>
      </w:r>
      <w:r w:rsidRPr="00E4176F">
        <w:rPr>
          <w:b/>
          <w:bCs/>
        </w:rPr>
        <w:t xml:space="preserve"> </w:t>
      </w:r>
    </w:p>
    <w:p w14:paraId="4F91692B" w14:textId="5EA6A336" w:rsidR="002337B2" w:rsidRDefault="0061079E" w:rsidP="002337B2">
      <w:pPr>
        <w:pStyle w:val="bodytext"/>
        <w:rPr>
          <w:color w:val="000000"/>
        </w:rPr>
      </w:pPr>
      <w:r w:rsidRPr="00096044">
        <w:rPr>
          <w:color w:val="000000"/>
        </w:rPr>
        <w:t>Aiding and abet</w:t>
      </w:r>
      <w:r w:rsidRPr="00096044">
        <w:rPr>
          <w:color w:val="000000"/>
        </w:rPr>
        <w:t xml:space="preserve">ting may be shown by circumstantial evidence. </w:t>
      </w:r>
      <w:r w:rsidR="00034242">
        <w:rPr>
          <w:color w:val="000000"/>
        </w:rPr>
        <w:t xml:space="preserve"> </w:t>
      </w:r>
      <w:r>
        <w:rPr>
          <w:color w:val="000000"/>
        </w:rPr>
        <w:t>It is well</w:t>
      </w:r>
      <w:r w:rsidR="003C4C4E">
        <w:rPr>
          <w:color w:val="000000"/>
        </w:rPr>
        <w:t>-</w:t>
      </w:r>
      <w:r>
        <w:rPr>
          <w:color w:val="000000"/>
        </w:rPr>
        <w:t>settled that</w:t>
      </w:r>
      <w:r w:rsidR="00034242">
        <w:rPr>
          <w:color w:val="000000"/>
        </w:rPr>
        <w:t xml:space="preserve"> </w:t>
      </w:r>
      <w:r w:rsidR="00571804">
        <w:rPr>
          <w:color w:val="000000"/>
        </w:rPr>
        <w:t xml:space="preserve">the </w:t>
      </w:r>
      <w:r w:rsidRPr="00A0028B">
        <w:rPr>
          <w:color w:val="000000"/>
        </w:rPr>
        <w:t xml:space="preserve">presence at the scene of the crime and failure to prevent it, companionship and conduct before and after the offense, including flight, are relevant to </w:t>
      </w:r>
      <w:r>
        <w:rPr>
          <w:color w:val="000000"/>
        </w:rPr>
        <w:t>determining</w:t>
      </w:r>
      <w:r w:rsidRPr="00A0028B">
        <w:rPr>
          <w:color w:val="000000"/>
        </w:rPr>
        <w:t xml:space="preserve"> whether a defendant aided and abetted in the commission of the crime.  (</w:t>
      </w:r>
      <w:r w:rsidRPr="00E4176F">
        <w:rPr>
          <w:i/>
          <w:iCs/>
          <w:color w:val="000000"/>
        </w:rPr>
        <w:t>People v. Lara</w:t>
      </w:r>
      <w:r w:rsidRPr="00A0028B">
        <w:rPr>
          <w:color w:val="000000"/>
        </w:rPr>
        <w:t xml:space="preserve"> (2017</w:t>
      </w:r>
      <w:r w:rsidRPr="00A0028B">
        <w:rPr>
          <w:color w:val="000000"/>
        </w:rPr>
        <w:t>) 9 Cal.App.5th 296, 322</w:t>
      </w:r>
      <w:r w:rsidR="00264063">
        <w:rPr>
          <w:color w:val="000000"/>
        </w:rPr>
        <w:t xml:space="preserve"> (</w:t>
      </w:r>
      <w:r w:rsidR="00264063" w:rsidRPr="00E4176F">
        <w:rPr>
          <w:i/>
          <w:iCs/>
          <w:color w:val="000000"/>
        </w:rPr>
        <w:t>Lara</w:t>
      </w:r>
      <w:r w:rsidR="00264063">
        <w:rPr>
          <w:color w:val="000000"/>
        </w:rPr>
        <w:t>)</w:t>
      </w:r>
      <w:r>
        <w:rPr>
          <w:color w:val="000000"/>
        </w:rPr>
        <w:t xml:space="preserve">; </w:t>
      </w:r>
      <w:r w:rsidRPr="00E4176F">
        <w:rPr>
          <w:i/>
          <w:iCs/>
          <w:color w:val="000000"/>
        </w:rPr>
        <w:t>People v. Campbell</w:t>
      </w:r>
      <w:r>
        <w:rPr>
          <w:color w:val="000000"/>
        </w:rPr>
        <w:t xml:space="preserve"> (1994) 25 Cal.App.4th 402, 409; </w:t>
      </w:r>
      <w:r w:rsidRPr="00E4176F">
        <w:rPr>
          <w:i/>
          <w:iCs/>
          <w:color w:val="000000"/>
        </w:rPr>
        <w:t>People v. Singleton</w:t>
      </w:r>
      <w:r>
        <w:rPr>
          <w:color w:val="000000"/>
        </w:rPr>
        <w:t xml:space="preserve"> (1987) 196 Cal.App.3d 488, 492</w:t>
      </w:r>
      <w:r w:rsidR="00264063">
        <w:rPr>
          <w:color w:val="000000"/>
        </w:rPr>
        <w:t xml:space="preserve">; See also </w:t>
      </w:r>
      <w:r w:rsidR="00264063">
        <w:t>CALCRIM No. 401</w:t>
      </w:r>
      <w:r w:rsidRPr="00A0028B">
        <w:rPr>
          <w:color w:val="000000"/>
        </w:rPr>
        <w:t>.)</w:t>
      </w:r>
      <w:r>
        <w:rPr>
          <w:rStyle w:val="FootnoteReference"/>
          <w:color w:val="000000"/>
        </w:rPr>
        <w:footnoteReference w:id="44"/>
      </w:r>
      <w:r w:rsidRPr="00A0028B">
        <w:rPr>
          <w:color w:val="000000"/>
        </w:rPr>
        <w:t xml:space="preserve">  </w:t>
      </w:r>
    </w:p>
    <w:p w14:paraId="46EF16D3" w14:textId="500B12B3" w:rsidR="00721AD0" w:rsidRPr="00E4176F" w:rsidRDefault="0061079E" w:rsidP="00E4176F">
      <w:r>
        <w:rPr>
          <w:color w:val="000000"/>
        </w:rPr>
        <w:tab/>
      </w:r>
      <w:r w:rsidR="00C07398">
        <w:rPr>
          <w:color w:val="000000"/>
        </w:rPr>
        <w:t>Regarding companionship, Ruslan and Roman are brothers</w:t>
      </w:r>
      <w:r w:rsidR="003C682D">
        <w:rPr>
          <w:color w:val="000000"/>
        </w:rPr>
        <w:t xml:space="preserve"> who, a</w:t>
      </w:r>
      <w:r w:rsidR="00C07398">
        <w:rPr>
          <w:color w:val="000000"/>
        </w:rPr>
        <w:t xml:space="preserve">ccording to Roman, lived together.  As for conduct before the </w:t>
      </w:r>
      <w:r w:rsidR="00B664F4">
        <w:rPr>
          <w:color w:val="000000"/>
        </w:rPr>
        <w:t>murders</w:t>
      </w:r>
      <w:r w:rsidR="00C07398">
        <w:rPr>
          <w:color w:val="000000"/>
        </w:rPr>
        <w:t>, the two brother</w:t>
      </w:r>
      <w:r w:rsidR="00D135E8">
        <w:rPr>
          <w:color w:val="000000"/>
        </w:rPr>
        <w:t>s</w:t>
      </w:r>
      <w:r w:rsidR="00C07398">
        <w:rPr>
          <w:color w:val="000000"/>
        </w:rPr>
        <w:t xml:space="preserve"> conspired to commit early morning auto burglaries and took property from vehicle</w:t>
      </w:r>
      <w:r w:rsidR="00B664F4">
        <w:rPr>
          <w:color w:val="000000"/>
        </w:rPr>
        <w:t>s</w:t>
      </w:r>
      <w:r w:rsidR="00C07398">
        <w:rPr>
          <w:color w:val="000000"/>
        </w:rPr>
        <w:t xml:space="preserve"> (along with a third person).  Together, they then evaded law enforcement in an effort to escape apprehension.  During this </w:t>
      </w:r>
      <w:r w:rsidR="001E4177">
        <w:rPr>
          <w:color w:val="000000"/>
        </w:rPr>
        <w:t xml:space="preserve">earlier </w:t>
      </w:r>
      <w:r w:rsidR="00C07398">
        <w:rPr>
          <w:color w:val="000000"/>
        </w:rPr>
        <w:t>evasion, Roman drove</w:t>
      </w:r>
      <w:r w:rsidR="003C682D">
        <w:rPr>
          <w:color w:val="000000"/>
        </w:rPr>
        <w:t xml:space="preserve"> the get-away vehicle</w:t>
      </w:r>
      <w:r w:rsidR="00C07398">
        <w:rPr>
          <w:color w:val="000000"/>
        </w:rPr>
        <w:t xml:space="preserve">, engaging in the same type of reckless and dangerous driving conduct Ruslan later </w:t>
      </w:r>
      <w:r w:rsidR="00D135E8">
        <w:rPr>
          <w:color w:val="000000"/>
        </w:rPr>
        <w:t>employed.  Together, the two brothers were involved in a serious crash</w:t>
      </w:r>
      <w:r w:rsidR="00B664F4">
        <w:rPr>
          <w:color w:val="000000"/>
        </w:rPr>
        <w:t xml:space="preserve"> resulting from </w:t>
      </w:r>
      <w:r w:rsidR="0077254A">
        <w:rPr>
          <w:color w:val="000000"/>
        </w:rPr>
        <w:t xml:space="preserve">Roman’s </w:t>
      </w:r>
      <w:r w:rsidR="00B664F4">
        <w:rPr>
          <w:color w:val="000000"/>
        </w:rPr>
        <w:t>dangerous driving conduct</w:t>
      </w:r>
      <w:r w:rsidR="003C682D">
        <w:rPr>
          <w:color w:val="000000"/>
        </w:rPr>
        <w:t xml:space="preserve"> </w:t>
      </w:r>
      <w:r w:rsidR="00D135E8">
        <w:rPr>
          <w:color w:val="000000"/>
        </w:rPr>
        <w:t xml:space="preserve">and thereafter fled </w:t>
      </w:r>
      <w:r w:rsidR="00026AEC">
        <w:rPr>
          <w:color w:val="000000"/>
        </w:rPr>
        <w:t xml:space="preserve">the crash scene </w:t>
      </w:r>
      <w:r w:rsidR="00D135E8">
        <w:rPr>
          <w:color w:val="000000"/>
        </w:rPr>
        <w:t xml:space="preserve">together.  </w:t>
      </w:r>
      <w:r w:rsidR="00697FC5">
        <w:rPr>
          <w:color w:val="000000"/>
        </w:rPr>
        <w:t>Then, t</w:t>
      </w:r>
      <w:r w:rsidR="00D135E8">
        <w:rPr>
          <w:color w:val="000000"/>
        </w:rPr>
        <w:t>ogether they commandeered a second get-away vehicle, stealing a truck.  After the crash</w:t>
      </w:r>
      <w:r w:rsidR="00B664F4">
        <w:rPr>
          <w:color w:val="000000"/>
        </w:rPr>
        <w:t xml:space="preserve"> resulting in the murders</w:t>
      </w:r>
      <w:r w:rsidR="00D135E8">
        <w:rPr>
          <w:color w:val="000000"/>
        </w:rPr>
        <w:t xml:space="preserve">, they again fled </w:t>
      </w:r>
      <w:r w:rsidR="00026AEC">
        <w:rPr>
          <w:color w:val="000000"/>
        </w:rPr>
        <w:t xml:space="preserve">the crash scene </w:t>
      </w:r>
      <w:r w:rsidR="00D135E8">
        <w:rPr>
          <w:color w:val="000000"/>
        </w:rPr>
        <w:t xml:space="preserve">together. </w:t>
      </w:r>
      <w:r w:rsidR="00034242">
        <w:rPr>
          <w:color w:val="000000"/>
        </w:rPr>
        <w:t xml:space="preserve"> Regarding failure to </w:t>
      </w:r>
      <w:r w:rsidR="003C682D">
        <w:rPr>
          <w:color w:val="000000"/>
        </w:rPr>
        <w:t>prevent</w:t>
      </w:r>
      <w:r w:rsidR="00034242">
        <w:rPr>
          <w:color w:val="000000"/>
        </w:rPr>
        <w:t xml:space="preserve"> the crime, at no time prior to the fatal crash did Roman try to stop Ruslan’s reckless and dangerous driving</w:t>
      </w:r>
      <w:r w:rsidR="009731C3">
        <w:rPr>
          <w:color w:val="000000"/>
        </w:rPr>
        <w:t>.</w:t>
      </w:r>
      <w:r w:rsidR="00034242">
        <w:rPr>
          <w:color w:val="000000"/>
        </w:rPr>
        <w:t xml:space="preserve"> </w:t>
      </w:r>
      <w:r w:rsidR="00571804">
        <w:rPr>
          <w:color w:val="000000"/>
        </w:rPr>
        <w:t xml:space="preserve"> </w:t>
      </w:r>
      <w:r w:rsidR="009731C3">
        <w:rPr>
          <w:color w:val="000000"/>
        </w:rPr>
        <w:t>E</w:t>
      </w:r>
      <w:r w:rsidR="00034242">
        <w:rPr>
          <w:color w:val="000000"/>
        </w:rPr>
        <w:t xml:space="preserve">ven though </w:t>
      </w:r>
      <w:r w:rsidR="00026AEC">
        <w:rPr>
          <w:color w:val="000000"/>
        </w:rPr>
        <w:t xml:space="preserve">the evidence establishes that </w:t>
      </w:r>
      <w:r w:rsidR="00034242">
        <w:rPr>
          <w:color w:val="000000"/>
        </w:rPr>
        <w:t>Roman’s own life was endangered by his brother’s driving conduct</w:t>
      </w:r>
      <w:r w:rsidR="009731C3">
        <w:rPr>
          <w:color w:val="000000"/>
        </w:rPr>
        <w:t>, h</w:t>
      </w:r>
      <w:r w:rsidR="003C682D">
        <w:t xml:space="preserve">e could not remember ever asking Ruslan to stop or slow down. </w:t>
      </w:r>
    </w:p>
    <w:p w14:paraId="7E1396BE" w14:textId="13C5C203" w:rsidR="00C07398" w:rsidRDefault="0061079E" w:rsidP="00E4176F">
      <w:pPr>
        <w:rPr>
          <w:color w:val="000000"/>
        </w:rPr>
      </w:pPr>
      <w:bookmarkStart w:id="182" w:name="ElPgBr52"/>
      <w:bookmarkEnd w:id="182"/>
      <w:r>
        <w:rPr>
          <w:color w:val="000000"/>
        </w:rPr>
        <w:lastRenderedPageBreak/>
        <w:tab/>
      </w:r>
      <w:r w:rsidR="00721AD0">
        <w:rPr>
          <w:color w:val="000000"/>
        </w:rPr>
        <w:t xml:space="preserve">Motive is another circumstance to be considered in determining aiding and abetting liability. </w:t>
      </w:r>
      <w:r w:rsidR="003A71F5">
        <w:rPr>
          <w:color w:val="000000"/>
        </w:rPr>
        <w:t xml:space="preserve"> </w:t>
      </w:r>
      <w:r w:rsidR="00721AD0">
        <w:rPr>
          <w:color w:val="000000"/>
        </w:rPr>
        <w:t xml:space="preserve">(See </w:t>
      </w:r>
      <w:r w:rsidR="00721AD0" w:rsidRPr="00E4176F">
        <w:rPr>
          <w:i/>
          <w:iCs/>
          <w:color w:val="000000"/>
        </w:rPr>
        <w:t>People v. Rogers</w:t>
      </w:r>
      <w:r w:rsidR="00721AD0">
        <w:rPr>
          <w:color w:val="000000"/>
        </w:rPr>
        <w:t xml:space="preserve"> (1985) 172 Cal.App.3d 502, 514 [helping the </w:t>
      </w:r>
      <w:r w:rsidR="000F5B51">
        <w:rPr>
          <w:color w:val="000000"/>
        </w:rPr>
        <w:t xml:space="preserve">actual </w:t>
      </w:r>
      <w:r w:rsidR="00721AD0">
        <w:rPr>
          <w:color w:val="000000"/>
        </w:rPr>
        <w:t xml:space="preserve">perpetrator </w:t>
      </w:r>
      <w:r w:rsidR="000F5B51">
        <w:rPr>
          <w:color w:val="000000"/>
        </w:rPr>
        <w:t>because</w:t>
      </w:r>
      <w:r w:rsidR="00721AD0">
        <w:rPr>
          <w:color w:val="000000"/>
        </w:rPr>
        <w:t xml:space="preserve"> of </w:t>
      </w:r>
      <w:r w:rsidR="003C682D">
        <w:rPr>
          <w:color w:val="000000"/>
        </w:rPr>
        <w:t xml:space="preserve">a </w:t>
      </w:r>
      <w:r w:rsidR="00721AD0">
        <w:rPr>
          <w:color w:val="000000"/>
        </w:rPr>
        <w:t xml:space="preserve">“familial concern” </w:t>
      </w:r>
      <w:r w:rsidR="000F5B51">
        <w:rPr>
          <w:color w:val="000000"/>
        </w:rPr>
        <w:t>is</w:t>
      </w:r>
      <w:r w:rsidR="00270FDB">
        <w:rPr>
          <w:color w:val="000000"/>
        </w:rPr>
        <w:t xml:space="preserve"> a motive to aid and abet].) </w:t>
      </w:r>
      <w:r w:rsidR="003A71F5">
        <w:rPr>
          <w:color w:val="000000"/>
        </w:rPr>
        <w:t xml:space="preserve"> </w:t>
      </w:r>
      <w:r w:rsidR="000F5B51">
        <w:rPr>
          <w:color w:val="000000"/>
        </w:rPr>
        <w:t>A</w:t>
      </w:r>
      <w:r w:rsidR="00721AD0">
        <w:rPr>
          <w:color w:val="000000"/>
        </w:rPr>
        <w:t>side from avoiding apprehension for the auto burglaries, Roman had a personal motive to aid and abet his brother</w:t>
      </w:r>
      <w:r w:rsidR="003C682D">
        <w:rPr>
          <w:color w:val="000000"/>
        </w:rPr>
        <w:t>’s reckless driving conduct</w:t>
      </w:r>
      <w:r w:rsidR="00721AD0">
        <w:rPr>
          <w:color w:val="000000"/>
        </w:rPr>
        <w:t xml:space="preserve">; Roman, by his own admission, did not want to go </w:t>
      </w:r>
      <w:r w:rsidR="001E4177">
        <w:rPr>
          <w:color w:val="000000"/>
        </w:rPr>
        <w:t xml:space="preserve">to </w:t>
      </w:r>
      <w:r w:rsidR="00721AD0">
        <w:rPr>
          <w:color w:val="000000"/>
        </w:rPr>
        <w:t xml:space="preserve">jail on </w:t>
      </w:r>
      <w:r w:rsidR="000F5B51">
        <w:rPr>
          <w:color w:val="000000"/>
        </w:rPr>
        <w:t>his own</w:t>
      </w:r>
      <w:r w:rsidR="00721AD0">
        <w:rPr>
          <w:color w:val="000000"/>
        </w:rPr>
        <w:t xml:space="preserve"> outstanding warrant. </w:t>
      </w:r>
      <w:r w:rsidR="00082351" w:rsidRPr="00082351">
        <w:rPr>
          <w:color w:val="000000"/>
        </w:rPr>
        <w:t xml:space="preserve"> </w:t>
      </w:r>
    </w:p>
    <w:p w14:paraId="6CB08703" w14:textId="21A63AEE" w:rsidR="002337B2" w:rsidRDefault="0061079E" w:rsidP="00E4176F">
      <w:r>
        <w:rPr>
          <w:color w:val="000000"/>
        </w:rPr>
        <w:tab/>
      </w:r>
      <w:r w:rsidR="005C671E">
        <w:rPr>
          <w:color w:val="000000"/>
        </w:rPr>
        <w:t>The evidence establishing a</w:t>
      </w:r>
      <w:r w:rsidR="00B664F4">
        <w:rPr>
          <w:color w:val="000000"/>
        </w:rPr>
        <w:t>ll of these circumstances</w:t>
      </w:r>
      <w:r w:rsidR="00270FDB">
        <w:rPr>
          <w:color w:val="000000"/>
        </w:rPr>
        <w:t xml:space="preserve"> </w:t>
      </w:r>
      <w:r w:rsidR="00B351E1">
        <w:rPr>
          <w:color w:val="000000"/>
        </w:rPr>
        <w:t>is uncontroverted</w:t>
      </w:r>
      <w:r w:rsidR="00270FDB">
        <w:rPr>
          <w:color w:val="000000"/>
        </w:rPr>
        <w:t>.</w:t>
      </w:r>
      <w:r w:rsidR="00B664F4">
        <w:rPr>
          <w:color w:val="000000"/>
        </w:rPr>
        <w:t xml:space="preserve"> </w:t>
      </w:r>
      <w:r w:rsidR="005C18A3">
        <w:rPr>
          <w:color w:val="000000"/>
        </w:rPr>
        <w:t xml:space="preserve"> We shall now discuss the evidence that is pertinent to the elements of </w:t>
      </w:r>
      <w:r w:rsidR="00B351E1">
        <w:rPr>
          <w:color w:val="000000"/>
        </w:rPr>
        <w:t>aiding and abetting implied malice murder</w:t>
      </w:r>
      <w:r w:rsidR="005C18A3">
        <w:rPr>
          <w:color w:val="000000"/>
        </w:rPr>
        <w:t>.</w:t>
      </w:r>
    </w:p>
    <w:p w14:paraId="13F19B58" w14:textId="24B0B58C" w:rsidR="00B351E1" w:rsidRDefault="0061079E" w:rsidP="00FF53F2">
      <w:pPr>
        <w:pStyle w:val="bodytext"/>
        <w:keepNext/>
        <w:ind w:firstLine="0"/>
      </w:pPr>
      <w:r>
        <w:tab/>
      </w:r>
      <w:r>
        <w:tab/>
      </w:r>
      <w:r w:rsidR="00270FDB" w:rsidRPr="00E4176F">
        <w:rPr>
          <w:b/>
          <w:bCs/>
        </w:rPr>
        <w:t>b</w:t>
      </w:r>
      <w:r w:rsidRPr="00E4176F">
        <w:rPr>
          <w:b/>
          <w:bCs/>
        </w:rPr>
        <w:t>.  The</w:t>
      </w:r>
      <w:r w:rsidR="005D3879">
        <w:rPr>
          <w:b/>
          <w:bCs/>
        </w:rPr>
        <w:t xml:space="preserve"> Actus Re</w:t>
      </w:r>
      <w:r w:rsidR="001E4177">
        <w:rPr>
          <w:b/>
          <w:bCs/>
        </w:rPr>
        <w:t>u</w:t>
      </w:r>
      <w:r w:rsidR="005D3879">
        <w:rPr>
          <w:b/>
          <w:bCs/>
        </w:rPr>
        <w:t>s</w:t>
      </w:r>
    </w:p>
    <w:p w14:paraId="1F457231" w14:textId="49407D1B" w:rsidR="00DB2ABA" w:rsidRDefault="0061079E" w:rsidP="001949CD">
      <w:pPr>
        <w:pStyle w:val="bodytext"/>
        <w:ind w:firstLine="0"/>
        <w:rPr>
          <w:color w:val="000000"/>
        </w:rPr>
      </w:pPr>
      <w:r>
        <w:tab/>
      </w:r>
      <w:r w:rsidR="00270FDB">
        <w:t>A</w:t>
      </w:r>
      <w:r w:rsidR="00C91186">
        <w:t xml:space="preserve">gain, </w:t>
      </w:r>
      <w:r w:rsidR="002337B2" w:rsidRPr="00D266E4">
        <w:t>“</w:t>
      </w:r>
      <w:r w:rsidR="00270FDB">
        <w:t>t</w:t>
      </w:r>
      <w:r w:rsidR="002337B2" w:rsidRPr="00846609">
        <w:rPr>
          <w:color w:val="000000"/>
        </w:rPr>
        <w:t>o be liable for an implied malice murder, the direct aider and abettor must, by words or conduct, aid the commission of the life</w:t>
      </w:r>
      <w:r w:rsidR="00EE2C45">
        <w:rPr>
          <w:color w:val="000000"/>
        </w:rPr>
        <w:t>-</w:t>
      </w:r>
      <w:r w:rsidR="002337B2" w:rsidRPr="00846609">
        <w:rPr>
          <w:color w:val="000000"/>
        </w:rPr>
        <w:t xml:space="preserve">endangering </w:t>
      </w:r>
      <w:r w:rsidR="002337B2" w:rsidRPr="00846609">
        <w:rPr>
          <w:i/>
          <w:iCs/>
          <w:color w:val="000000"/>
        </w:rPr>
        <w:t>act</w:t>
      </w:r>
      <w:r w:rsidR="002337B2">
        <w:rPr>
          <w:color w:val="000000"/>
        </w:rPr>
        <w:t>.</w:t>
      </w:r>
      <w:r w:rsidR="00270FDB">
        <w:rPr>
          <w:color w:val="000000"/>
        </w:rPr>
        <w:t>”</w:t>
      </w:r>
      <w:r w:rsidR="00780153">
        <w:rPr>
          <w:color w:val="000000"/>
        </w:rPr>
        <w:t xml:space="preserve"> </w:t>
      </w:r>
      <w:bookmarkStart w:id="183" w:name="_Hlk99901792"/>
      <w:r w:rsidR="00EE2C45">
        <w:rPr>
          <w:color w:val="000000"/>
        </w:rPr>
        <w:t xml:space="preserve"> </w:t>
      </w:r>
      <w:r w:rsidR="002337B2">
        <w:rPr>
          <w:color w:val="000000"/>
        </w:rPr>
        <w:t>(</w:t>
      </w:r>
      <w:r w:rsidR="002337B2" w:rsidRPr="00846609">
        <w:rPr>
          <w:i/>
          <w:iCs/>
          <w:color w:val="000000"/>
        </w:rPr>
        <w:t>Powell</w:t>
      </w:r>
      <w:r w:rsidR="002337B2">
        <w:rPr>
          <w:color w:val="000000"/>
        </w:rPr>
        <w:t xml:space="preserve">, </w:t>
      </w:r>
      <w:r w:rsidR="002337B2" w:rsidRPr="00FF53F2">
        <w:rPr>
          <w:i/>
          <w:iCs/>
          <w:color w:val="000000"/>
        </w:rPr>
        <w:t>supra</w:t>
      </w:r>
      <w:r w:rsidR="002337B2">
        <w:rPr>
          <w:color w:val="000000"/>
        </w:rPr>
        <w:t>, 63 Cal.App.5th at p. 713.)</w:t>
      </w:r>
      <w:r w:rsidR="00C91186">
        <w:rPr>
          <w:color w:val="000000"/>
        </w:rPr>
        <w:t xml:space="preserve">  </w:t>
      </w:r>
      <w:r w:rsidR="005C18A3">
        <w:rPr>
          <w:color w:val="000000"/>
        </w:rPr>
        <w:t>Here, the life</w:t>
      </w:r>
      <w:r w:rsidR="00EE2C45">
        <w:rPr>
          <w:color w:val="000000"/>
        </w:rPr>
        <w:t>-</w:t>
      </w:r>
      <w:r w:rsidR="005C18A3">
        <w:rPr>
          <w:color w:val="000000"/>
        </w:rPr>
        <w:t>endangering act</w:t>
      </w:r>
      <w:r w:rsidR="0092351F">
        <w:rPr>
          <w:color w:val="000000"/>
        </w:rPr>
        <w:t xml:space="preserve"> Roman aided</w:t>
      </w:r>
      <w:r w:rsidR="005C18A3">
        <w:rPr>
          <w:color w:val="000000"/>
        </w:rPr>
        <w:t xml:space="preserve"> was Ruslan’s driving conduct during the brothers’ </w:t>
      </w:r>
      <w:r w:rsidR="001E4177">
        <w:rPr>
          <w:color w:val="000000"/>
        </w:rPr>
        <w:t xml:space="preserve">ongoing </w:t>
      </w:r>
      <w:r w:rsidR="005C18A3">
        <w:rPr>
          <w:color w:val="000000"/>
        </w:rPr>
        <w:t>effort to evade law enforcement</w:t>
      </w:r>
      <w:r w:rsidR="008F48BB">
        <w:rPr>
          <w:color w:val="000000"/>
        </w:rPr>
        <w:t xml:space="preserve"> and avoid apprehension</w:t>
      </w:r>
      <w:r w:rsidR="005C18A3">
        <w:rPr>
          <w:color w:val="000000"/>
        </w:rPr>
        <w:t xml:space="preserve">.  </w:t>
      </w:r>
    </w:p>
    <w:p w14:paraId="3E796E31" w14:textId="598FB1A7" w:rsidR="00392AB4" w:rsidRDefault="0061079E" w:rsidP="00E4176F">
      <w:pPr>
        <w:rPr>
          <w:color w:val="000000"/>
        </w:rPr>
      </w:pPr>
      <w:r>
        <w:rPr>
          <w:color w:val="000000"/>
        </w:rPr>
        <w:tab/>
      </w:r>
      <w:r w:rsidR="00675F90">
        <w:t>There can be no serious argument that Ruslan’s driving conduct constituted an act, the natural and probable consequences of which were dangerous to human life and that this conduct was the proximate cause of the death of two people.</w:t>
      </w:r>
      <w:r w:rsidR="00675F90">
        <w:rPr>
          <w:color w:val="000000"/>
        </w:rPr>
        <w:t xml:space="preserve">  </w:t>
      </w:r>
      <w:r>
        <w:rPr>
          <w:color w:val="000000"/>
        </w:rPr>
        <w:t>As noted, one</w:t>
      </w:r>
      <w:r w:rsidR="00F526A5">
        <w:rPr>
          <w:color w:val="000000"/>
        </w:rPr>
        <w:t xml:space="preserve"> pursuing deputy opined</w:t>
      </w:r>
      <w:r>
        <w:rPr>
          <w:color w:val="000000"/>
        </w:rPr>
        <w:t xml:space="preserve"> that it was more dangerous </w:t>
      </w:r>
      <w:r w:rsidR="00313881">
        <w:t>to drive</w:t>
      </w:r>
      <w:r>
        <w:t xml:space="preserve"> at high speeds on surface roads as opposed to the freeway because of intersections, pot</w:t>
      </w:r>
      <w:r>
        <w:t xml:space="preserve">ential pedestrians and bicyclists, especially at 6:30 a.m. on a weekday. </w:t>
      </w:r>
      <w:r w:rsidR="00F526A5">
        <w:rPr>
          <w:color w:val="000000"/>
        </w:rPr>
        <w:t xml:space="preserve"> </w:t>
      </w:r>
      <w:r>
        <w:rPr>
          <w:color w:val="000000"/>
        </w:rPr>
        <w:t xml:space="preserve">He further opined that </w:t>
      </w:r>
      <w:r w:rsidR="00F526A5">
        <w:rPr>
          <w:color w:val="000000"/>
        </w:rPr>
        <w:t xml:space="preserve">it was luck that the truck did not collide into a vehicle crossing the several intersections they went through </w:t>
      </w:r>
      <w:r w:rsidR="00313881">
        <w:rPr>
          <w:color w:val="000000"/>
        </w:rPr>
        <w:t xml:space="preserve">on Antelope Road </w:t>
      </w:r>
      <w:r w:rsidR="00F526A5">
        <w:rPr>
          <w:color w:val="000000"/>
        </w:rPr>
        <w:t xml:space="preserve">before the crash. </w:t>
      </w:r>
    </w:p>
    <w:p w14:paraId="17730D2B" w14:textId="7F5A05C0" w:rsidR="00B351E1" w:rsidRDefault="0061079E">
      <w:pPr>
        <w:rPr>
          <w:color w:val="000000"/>
        </w:rPr>
      </w:pPr>
      <w:r>
        <w:rPr>
          <w:color w:val="000000"/>
        </w:rPr>
        <w:tab/>
      </w:r>
      <w:r w:rsidR="005C18A3">
        <w:rPr>
          <w:color w:val="000000"/>
        </w:rPr>
        <w:t>Although the defense expert disagreed with the prosecution expert as to the</w:t>
      </w:r>
      <w:r w:rsidR="00313881">
        <w:rPr>
          <w:color w:val="000000"/>
        </w:rPr>
        <w:t xml:space="preserve"> precise</w:t>
      </w:r>
      <w:r w:rsidR="005C18A3">
        <w:rPr>
          <w:color w:val="000000"/>
        </w:rPr>
        <w:t xml:space="preserve"> speed at the point of impact, the defense expert nevertheless agreed that the truck was travelling</w:t>
      </w:r>
      <w:r w:rsidR="00675F90">
        <w:rPr>
          <w:color w:val="000000"/>
        </w:rPr>
        <w:t xml:space="preserve"> on this surface street</w:t>
      </w:r>
      <w:r w:rsidR="005C18A3">
        <w:rPr>
          <w:color w:val="000000"/>
        </w:rPr>
        <w:t xml:space="preserve"> at a speed in excess of </w:t>
      </w:r>
      <w:r w:rsidR="00EE2C45">
        <w:rPr>
          <w:color w:val="000000"/>
        </w:rPr>
        <w:t xml:space="preserve">the </w:t>
      </w:r>
      <w:r w:rsidR="00675F90">
        <w:rPr>
          <w:color w:val="000000"/>
        </w:rPr>
        <w:t xml:space="preserve">speed limit on the freeway they had just exited. </w:t>
      </w:r>
      <w:r w:rsidR="00EE2C45">
        <w:t xml:space="preserve"> </w:t>
      </w:r>
      <w:r w:rsidR="00675F90">
        <w:t>And b</w:t>
      </w:r>
      <w:r w:rsidR="00F526A5">
        <w:rPr>
          <w:color w:val="000000"/>
        </w:rPr>
        <w:t>oth experts agreed that just one and one half second</w:t>
      </w:r>
      <w:r w:rsidR="00A43F18">
        <w:rPr>
          <w:color w:val="000000"/>
        </w:rPr>
        <w:t>s</w:t>
      </w:r>
      <w:r w:rsidR="00F526A5">
        <w:rPr>
          <w:color w:val="000000"/>
        </w:rPr>
        <w:t xml:space="preserve"> before the </w:t>
      </w:r>
      <w:bookmarkStart w:id="184" w:name="ElPgBr53"/>
      <w:bookmarkEnd w:id="184"/>
      <w:r w:rsidR="00F526A5">
        <w:rPr>
          <w:color w:val="000000"/>
        </w:rPr>
        <w:lastRenderedPageBreak/>
        <w:t>collision, the truck was travelling at 93 miles per hour; the posted speed limit was 45</w:t>
      </w:r>
      <w:r w:rsidR="00EE2C45">
        <w:rPr>
          <w:color w:val="000000"/>
        </w:rPr>
        <w:t xml:space="preserve"> miles per hour</w:t>
      </w:r>
      <w:r w:rsidR="00F526A5">
        <w:rPr>
          <w:color w:val="000000"/>
        </w:rPr>
        <w:t xml:space="preserve">. </w:t>
      </w:r>
      <w:r w:rsidR="00E947B1">
        <w:rPr>
          <w:color w:val="000000"/>
        </w:rPr>
        <w:t xml:space="preserve"> </w:t>
      </w:r>
      <w:r w:rsidR="00F526A5">
        <w:rPr>
          <w:color w:val="000000"/>
        </w:rPr>
        <w:t>As one eyewitness put it, the truck was travelling like “a bat out of hell</w:t>
      </w:r>
      <w:r w:rsidR="00E947B1">
        <w:rPr>
          <w:color w:val="000000"/>
        </w:rPr>
        <w:t>.</w:t>
      </w:r>
      <w:r w:rsidR="00F526A5">
        <w:rPr>
          <w:color w:val="000000"/>
        </w:rPr>
        <w:t xml:space="preserve">” </w:t>
      </w:r>
      <w:r w:rsidR="00E947B1">
        <w:rPr>
          <w:color w:val="000000"/>
        </w:rPr>
        <w:t xml:space="preserve"> </w:t>
      </w:r>
      <w:r w:rsidR="00F526A5">
        <w:rPr>
          <w:color w:val="000000"/>
        </w:rPr>
        <w:t xml:space="preserve">Indeed, before the crash </w:t>
      </w:r>
      <w:r w:rsidR="002E6261">
        <w:rPr>
          <w:color w:val="000000"/>
        </w:rPr>
        <w:t>that witness</w:t>
      </w:r>
      <w:r w:rsidR="00F526A5">
        <w:rPr>
          <w:color w:val="000000"/>
        </w:rPr>
        <w:t xml:space="preserve"> thought the truck might </w:t>
      </w:r>
      <w:r w:rsidR="00E947B1">
        <w:rPr>
          <w:color w:val="000000"/>
        </w:rPr>
        <w:t>flip</w:t>
      </w:r>
      <w:r w:rsidR="00F526A5">
        <w:rPr>
          <w:color w:val="000000"/>
        </w:rPr>
        <w:t xml:space="preserve"> over because of its speed and the wet pavement. </w:t>
      </w:r>
    </w:p>
    <w:p w14:paraId="07D98233" w14:textId="6EFABC00" w:rsidR="00E5256E" w:rsidRDefault="0061079E" w:rsidP="00E4176F">
      <w:r>
        <w:rPr>
          <w:color w:val="000000"/>
        </w:rPr>
        <w:tab/>
      </w:r>
      <w:r w:rsidR="00A035CD">
        <w:t xml:space="preserve">But as </w:t>
      </w:r>
      <w:r w:rsidR="00AA70B6">
        <w:t>our high court has stated</w:t>
      </w:r>
      <w:r w:rsidR="00A035CD">
        <w:t xml:space="preserve">, </w:t>
      </w:r>
      <w:r w:rsidR="00A035CD">
        <w:rPr>
          <w:color w:val="000000"/>
        </w:rPr>
        <w:t>“</w:t>
      </w:r>
      <w:r w:rsidR="00675F90">
        <w:rPr>
          <w:color w:val="000000"/>
        </w:rPr>
        <w:t xml:space="preserve"> ‘</w:t>
      </w:r>
      <w:r w:rsidR="00A035CD">
        <w:rPr>
          <w:color w:val="000000"/>
        </w:rPr>
        <w:t>[a]n aider and abettor must do something</w:t>
      </w:r>
      <w:r w:rsidR="00675F90">
        <w:rPr>
          <w:color w:val="000000"/>
        </w:rPr>
        <w:t xml:space="preserve">’ </w:t>
      </w:r>
      <w:r w:rsidR="00A035CD">
        <w:rPr>
          <w:color w:val="000000"/>
        </w:rPr>
        <w:t xml:space="preserve">” </w:t>
      </w:r>
      <w:r w:rsidR="00A43F18">
        <w:rPr>
          <w:color w:val="000000"/>
        </w:rPr>
        <w:t xml:space="preserve">to be </w:t>
      </w:r>
      <w:r w:rsidR="0039297A">
        <w:rPr>
          <w:color w:val="000000"/>
        </w:rPr>
        <w:t>culpable</w:t>
      </w:r>
      <w:r w:rsidR="003A71F5">
        <w:rPr>
          <w:color w:val="000000"/>
        </w:rPr>
        <w:t xml:space="preserve">. </w:t>
      </w:r>
      <w:r w:rsidR="00A035CD">
        <w:rPr>
          <w:color w:val="000000"/>
        </w:rPr>
        <w:t xml:space="preserve"> (</w:t>
      </w:r>
      <w:r w:rsidR="00675F90" w:rsidRPr="00FF53F2">
        <w:rPr>
          <w:i/>
          <w:iCs/>
          <w:color w:val="000000"/>
        </w:rPr>
        <w:t>Powell</w:t>
      </w:r>
      <w:r w:rsidR="00675F90">
        <w:rPr>
          <w:color w:val="000000"/>
        </w:rPr>
        <w:t xml:space="preserve">, </w:t>
      </w:r>
      <w:r w:rsidR="00675F90" w:rsidRPr="00FF53F2">
        <w:rPr>
          <w:i/>
          <w:iCs/>
          <w:color w:val="000000"/>
        </w:rPr>
        <w:t>supra</w:t>
      </w:r>
      <w:r w:rsidR="00675F90">
        <w:rPr>
          <w:color w:val="000000"/>
        </w:rPr>
        <w:t xml:space="preserve">, 63 Cal.App.5th at p. 712, quoting </w:t>
      </w:r>
      <w:r w:rsidR="00AA70B6" w:rsidRPr="00E4176F">
        <w:rPr>
          <w:i/>
          <w:iCs/>
          <w:color w:val="000000"/>
        </w:rPr>
        <w:t>McCoy</w:t>
      </w:r>
      <w:r w:rsidR="00EE2C45">
        <w:rPr>
          <w:color w:val="000000"/>
        </w:rPr>
        <w:t xml:space="preserve">, </w:t>
      </w:r>
      <w:r w:rsidR="00EE2C45" w:rsidRPr="00EE2C45">
        <w:rPr>
          <w:i/>
          <w:iCs/>
          <w:color w:val="000000"/>
        </w:rPr>
        <w:t>supra</w:t>
      </w:r>
      <w:r w:rsidR="00EE2C45">
        <w:rPr>
          <w:color w:val="000000"/>
        </w:rPr>
        <w:t>,</w:t>
      </w:r>
      <w:r w:rsidR="00AA70B6">
        <w:rPr>
          <w:color w:val="000000"/>
        </w:rPr>
        <w:t xml:space="preserve"> 25 Cal.4th </w:t>
      </w:r>
      <w:r w:rsidR="00EE2C45">
        <w:rPr>
          <w:color w:val="000000"/>
        </w:rPr>
        <w:t>at p.</w:t>
      </w:r>
      <w:r w:rsidR="00AA70B6">
        <w:rPr>
          <w:color w:val="000000"/>
        </w:rPr>
        <w:t xml:space="preserve"> 1117.)</w:t>
      </w:r>
      <w:r w:rsidR="008A710A">
        <w:rPr>
          <w:color w:val="000000"/>
        </w:rPr>
        <w:t xml:space="preserve"> </w:t>
      </w:r>
      <w:r w:rsidR="00675F90">
        <w:t xml:space="preserve"> </w:t>
      </w:r>
      <w:r w:rsidR="00F934C2">
        <w:t>So</w:t>
      </w:r>
      <w:r w:rsidR="00143228">
        <w:t>,</w:t>
      </w:r>
      <w:r w:rsidR="00F934C2">
        <w:t xml:space="preserve"> what did Roman do?  The evidence established, through his own admission, that when his brother asked where they should go, he </w:t>
      </w:r>
      <w:r w:rsidR="009C0DC2">
        <w:t>said they should</w:t>
      </w:r>
      <w:r w:rsidR="00F934C2">
        <w:t xml:space="preserve"> get off</w:t>
      </w:r>
      <w:r w:rsidR="004F79F2">
        <w:t xml:space="preserve"> the freeway</w:t>
      </w:r>
      <w:r w:rsidR="00F934C2">
        <w:t xml:space="preserve"> at Antelope Road because they knew the area.  </w:t>
      </w:r>
      <w:r w:rsidR="009A36F4">
        <w:t>T</w:t>
      </w:r>
      <w:r w:rsidR="009C0DC2">
        <w:t>he</w:t>
      </w:r>
      <w:r w:rsidR="00D3778A">
        <w:t xml:space="preserve"> evidence </w:t>
      </w:r>
      <w:r w:rsidR="009C0DC2">
        <w:t>conclusively</w:t>
      </w:r>
      <w:r w:rsidR="00D3778A">
        <w:t xml:space="preserve"> satisfies the actus re</w:t>
      </w:r>
      <w:r w:rsidR="001E4177">
        <w:t>u</w:t>
      </w:r>
      <w:r w:rsidR="00D3778A">
        <w:t xml:space="preserve">s requirement for an aider and abettor here. </w:t>
      </w:r>
    </w:p>
    <w:p w14:paraId="672C0A1B" w14:textId="3B28E77B" w:rsidR="001F0908" w:rsidRPr="00E4176F" w:rsidRDefault="0061079E" w:rsidP="00C717F8">
      <w:pPr>
        <w:pStyle w:val="bodytext"/>
        <w:keepNext/>
        <w:ind w:firstLine="0"/>
        <w:rPr>
          <w:b/>
          <w:bCs/>
        </w:rPr>
      </w:pPr>
      <w:r>
        <w:tab/>
      </w:r>
      <w:r>
        <w:tab/>
      </w:r>
      <w:r w:rsidRPr="00E4176F">
        <w:rPr>
          <w:b/>
          <w:bCs/>
        </w:rPr>
        <w:t xml:space="preserve">c.  The Mens Rea </w:t>
      </w:r>
    </w:p>
    <w:p w14:paraId="4941CF43" w14:textId="1328A97D" w:rsidR="00E5256E" w:rsidRDefault="0061079E" w:rsidP="0039297A">
      <w:pPr>
        <w:pStyle w:val="bodytext"/>
        <w:ind w:firstLine="0"/>
      </w:pPr>
      <w:r>
        <w:tab/>
      </w:r>
      <w:r w:rsidR="00C71411">
        <w:t xml:space="preserve">As noted, </w:t>
      </w:r>
      <w:r>
        <w:t>“</w:t>
      </w:r>
      <w:r w:rsidR="00C71411">
        <w:t>[t]</w:t>
      </w:r>
      <w:r w:rsidRPr="00E5256E">
        <w:t xml:space="preserve">he mens rea, which must be personally harbored by the direct aider and abettor, is knowledge that the perpetrator intended to commit </w:t>
      </w:r>
      <w:r w:rsidRPr="00FF53F2">
        <w:rPr>
          <w:i/>
          <w:iCs/>
        </w:rPr>
        <w:t>the</w:t>
      </w:r>
      <w:r w:rsidRPr="00E5256E">
        <w:t xml:space="preserve"> </w:t>
      </w:r>
      <w:r w:rsidRPr="00FF53F2">
        <w:rPr>
          <w:i/>
          <w:iCs/>
        </w:rPr>
        <w:t>act</w:t>
      </w:r>
      <w:r w:rsidRPr="00E5256E">
        <w:t xml:space="preserve">, intent to aid the perpetrator </w:t>
      </w:r>
      <w:r w:rsidRPr="00E5256E">
        <w:t xml:space="preserve">in the commission of </w:t>
      </w:r>
      <w:r w:rsidRPr="00FF53F2">
        <w:rPr>
          <w:i/>
          <w:iCs/>
        </w:rPr>
        <w:t>the act</w:t>
      </w:r>
      <w:r w:rsidRPr="00E5256E">
        <w:t xml:space="preserve">, knowledge that </w:t>
      </w:r>
      <w:r w:rsidRPr="00FF53F2">
        <w:rPr>
          <w:i/>
          <w:iCs/>
        </w:rPr>
        <w:t>the act</w:t>
      </w:r>
      <w:r w:rsidRPr="00E5256E">
        <w:t xml:space="preserve"> is dangerous to human life, and acting in conscious disregard for human life</w:t>
      </w:r>
      <w:r>
        <w:t>.”  (</w:t>
      </w:r>
      <w:r w:rsidRPr="00E4176F">
        <w:rPr>
          <w:i/>
          <w:iCs/>
        </w:rPr>
        <w:t>Powell</w:t>
      </w:r>
      <w:r>
        <w:t xml:space="preserve">, </w:t>
      </w:r>
      <w:r w:rsidRPr="00E4176F">
        <w:rPr>
          <w:i/>
          <w:iCs/>
        </w:rPr>
        <w:t>supra</w:t>
      </w:r>
      <w:r>
        <w:t xml:space="preserve">, 63 Cal.App.5th at p. 713; </w:t>
      </w:r>
      <w:r w:rsidR="00501F65">
        <w:t xml:space="preserve">accord </w:t>
      </w:r>
      <w:r w:rsidR="00501F65" w:rsidRPr="00E4176F">
        <w:rPr>
          <w:i/>
          <w:iCs/>
        </w:rPr>
        <w:t>Langi</w:t>
      </w:r>
      <w:r w:rsidR="00501F65">
        <w:t xml:space="preserve">, </w:t>
      </w:r>
      <w:r w:rsidR="00501F65" w:rsidRPr="00E4176F">
        <w:rPr>
          <w:i/>
          <w:iCs/>
        </w:rPr>
        <w:t>supra</w:t>
      </w:r>
      <w:r w:rsidR="00501F65">
        <w:t>, 73 Cal.App.5th at p. 983</w:t>
      </w:r>
      <w:r w:rsidR="00EA50F3">
        <w:t xml:space="preserve">; </w:t>
      </w:r>
      <w:r w:rsidR="00EA50F3" w:rsidRPr="00E4176F">
        <w:rPr>
          <w:i/>
          <w:iCs/>
        </w:rPr>
        <w:t>Valenzuela</w:t>
      </w:r>
      <w:r w:rsidR="00EA50F3">
        <w:t xml:space="preserve">, </w:t>
      </w:r>
      <w:r w:rsidR="00EA50F3" w:rsidRPr="00E4176F">
        <w:rPr>
          <w:i/>
          <w:iCs/>
        </w:rPr>
        <w:t>supra</w:t>
      </w:r>
      <w:r w:rsidR="00EA50F3">
        <w:t>, 73 Cal.App.5th 501.)</w:t>
      </w:r>
      <w:r>
        <w:t xml:space="preserve"> </w:t>
      </w:r>
      <w:r w:rsidR="003C54AB">
        <w:t xml:space="preserve"> </w:t>
      </w:r>
      <w:r w:rsidRPr="00491E19">
        <w:t>Like all elements of a crime, the mens rea elements of implied malice murder can be proven by circumstantial evidence.  (</w:t>
      </w:r>
      <w:r w:rsidRPr="00E4176F">
        <w:rPr>
          <w:i/>
          <w:iCs/>
        </w:rPr>
        <w:t>Valen</w:t>
      </w:r>
      <w:r w:rsidR="00501F65" w:rsidRPr="00E4176F">
        <w:rPr>
          <w:i/>
          <w:iCs/>
        </w:rPr>
        <w:t>zuela</w:t>
      </w:r>
      <w:r w:rsidR="00501F65" w:rsidRPr="00F3608B">
        <w:t xml:space="preserve">, </w:t>
      </w:r>
      <w:r w:rsidR="00EA50F3" w:rsidRPr="00F3608B">
        <w:t>at p. 502.)</w:t>
      </w:r>
      <w:r w:rsidR="00501F65" w:rsidRPr="00F3608B">
        <w:t xml:space="preserve"> </w:t>
      </w:r>
      <w:r w:rsidR="003C54AB">
        <w:t xml:space="preserve"> </w:t>
      </w:r>
      <w:r w:rsidR="003B275A" w:rsidRPr="00F3608B">
        <w:t>We</w:t>
      </w:r>
      <w:r w:rsidR="003B275A">
        <w:t xml:space="preserve"> find t</w:t>
      </w:r>
      <w:r>
        <w:t>he evidence of th</w:t>
      </w:r>
      <w:r w:rsidR="009163CF">
        <w:t>e required</w:t>
      </w:r>
      <w:r>
        <w:t xml:space="preserve"> mens rea elements </w:t>
      </w:r>
      <w:r w:rsidR="003B275A">
        <w:t>to be</w:t>
      </w:r>
      <w:r>
        <w:t xml:space="preserve"> overwhelming here.</w:t>
      </w:r>
    </w:p>
    <w:p w14:paraId="2817CA18" w14:textId="3ED5EE89" w:rsidR="00C71411" w:rsidRDefault="0061079E" w:rsidP="00FF53F2">
      <w:pPr>
        <w:pStyle w:val="bodytext"/>
      </w:pPr>
      <w:r>
        <w:t xml:space="preserve">The evidence </w:t>
      </w:r>
      <w:r>
        <w:t>establishes that Roman knew his brother</w:t>
      </w:r>
      <w:r w:rsidR="00436453">
        <w:t xml:space="preserve"> intended to </w:t>
      </w:r>
      <w:r w:rsidR="0039297A">
        <w:t xml:space="preserve">continue </w:t>
      </w:r>
      <w:r w:rsidR="00D108D3">
        <w:t>driv</w:t>
      </w:r>
      <w:r w:rsidR="0039297A">
        <w:t>ing</w:t>
      </w:r>
      <w:r w:rsidR="00D108D3">
        <w:t xml:space="preserve"> recklessly </w:t>
      </w:r>
      <w:r w:rsidR="00436453">
        <w:t xml:space="preserve">when he offered the </w:t>
      </w:r>
      <w:r w:rsidR="0039297A">
        <w:t>advice about where to go</w:t>
      </w:r>
      <w:r w:rsidR="00436453">
        <w:t>.</w:t>
      </w:r>
      <w:r w:rsidR="009163CF">
        <w:t xml:space="preserve">  </w:t>
      </w:r>
      <w:r w:rsidR="003B275A">
        <w:t xml:space="preserve">In fact, when he gave that advice, </w:t>
      </w:r>
      <w:r w:rsidR="009163CF" w:rsidRPr="00491E19">
        <w:t>Ruslan</w:t>
      </w:r>
      <w:r w:rsidR="009163CF">
        <w:t xml:space="preserve"> was </w:t>
      </w:r>
      <w:r w:rsidR="00937875">
        <w:t xml:space="preserve">driving </w:t>
      </w:r>
      <w:r w:rsidR="002C0072">
        <w:t xml:space="preserve">recklessly </w:t>
      </w:r>
      <w:r w:rsidR="00436453">
        <w:t>on the freeway</w:t>
      </w:r>
      <w:r w:rsidR="009163CF">
        <w:t>,</w:t>
      </w:r>
      <w:r w:rsidR="00436453">
        <w:t xml:space="preserve"> including</w:t>
      </w:r>
      <w:r w:rsidR="009163CF">
        <w:t xml:space="preserve"> at some point,</w:t>
      </w:r>
      <w:r w:rsidR="00436453">
        <w:t xml:space="preserve"> attempting to evade the police by using the </w:t>
      </w:r>
      <w:r w:rsidR="002C0072">
        <w:t>emergency lane next to the center divider</w:t>
      </w:r>
      <w:r w:rsidR="009770AB">
        <w:t>.</w:t>
      </w:r>
      <w:r w:rsidR="00436453">
        <w:t xml:space="preserve">  Nothing suggests Roman expected Ruslan to change his behavior when he told him to </w:t>
      </w:r>
      <w:r w:rsidR="00937875">
        <w:t>exit</w:t>
      </w:r>
      <w:r w:rsidR="00436453">
        <w:t xml:space="preserve"> at Antelope.  </w:t>
      </w:r>
      <w:r w:rsidR="0034130B">
        <w:t>As for their plans once on Antelope, all Roman said was “</w:t>
      </w:r>
      <w:r w:rsidR="0034130B" w:rsidRPr="0034130B">
        <w:t xml:space="preserve">[w]e didn’t know </w:t>
      </w:r>
      <w:r w:rsidR="0034130B" w:rsidRPr="00E4176F">
        <w:rPr>
          <w:i/>
          <w:iCs/>
        </w:rPr>
        <w:t>where to</w:t>
      </w:r>
      <w:r w:rsidR="0034130B" w:rsidRPr="0034130B">
        <w:t xml:space="preserve"> </w:t>
      </w:r>
      <w:r w:rsidR="0034130B" w:rsidRPr="00E4176F">
        <w:rPr>
          <w:i/>
          <w:iCs/>
        </w:rPr>
        <w:t>go</w:t>
      </w:r>
      <w:r w:rsidR="0034130B" w:rsidRPr="0034130B">
        <w:t xml:space="preserve"> from there.” </w:t>
      </w:r>
      <w:r w:rsidR="009B5960">
        <w:t xml:space="preserve"> </w:t>
      </w:r>
      <w:r w:rsidR="0034130B">
        <w:t>(Italics added.)</w:t>
      </w:r>
      <w:r w:rsidR="0034130B" w:rsidRPr="002C0072">
        <w:t xml:space="preserve"> </w:t>
      </w:r>
      <w:r w:rsidR="00436453" w:rsidRPr="002C0072">
        <w:t xml:space="preserve"> </w:t>
      </w:r>
      <w:r w:rsidR="002C0072" w:rsidRPr="00E4176F">
        <w:t xml:space="preserve">Roman’s reference to “where to go from there” without any qualification of how they would get there shows he expected Ruslan </w:t>
      </w:r>
      <w:bookmarkStart w:id="185" w:name="ElPgBr54"/>
      <w:bookmarkEnd w:id="185"/>
      <w:r w:rsidR="002C0072" w:rsidRPr="00E4176F">
        <w:lastRenderedPageBreak/>
        <w:t>to continue his evasion of the pursuing deputies.  Indeed</w:t>
      </w:r>
      <w:r>
        <w:t>,</w:t>
      </w:r>
      <w:r w:rsidR="002C0072" w:rsidRPr="009B3923">
        <w:t xml:space="preserve"> </w:t>
      </w:r>
      <w:r w:rsidR="009B3923" w:rsidRPr="009B3923">
        <w:t>Roman never told his brother to slow down.  His own statement explains why</w:t>
      </w:r>
      <w:r w:rsidR="002C0072">
        <w:t xml:space="preserve">.  </w:t>
      </w:r>
      <w:r w:rsidR="00937875">
        <w:t>A</w:t>
      </w:r>
      <w:r w:rsidR="009B3923" w:rsidRPr="009B3923">
        <w:t xml:space="preserve">sked whether they were trying to get away from law enforcement during the evasion in the truck, Roman said, “Not from the cops.  </w:t>
      </w:r>
      <w:r w:rsidR="009B3923" w:rsidRPr="00E4176F">
        <w:rPr>
          <w:i/>
          <w:iCs/>
        </w:rPr>
        <w:t>I</w:t>
      </w:r>
      <w:r w:rsidR="009B3923" w:rsidRPr="009B3923">
        <w:t xml:space="preserve"> just wanted to, not from the cops in general.  </w:t>
      </w:r>
      <w:r w:rsidR="009B3923" w:rsidRPr="00E4176F">
        <w:rPr>
          <w:i/>
          <w:iCs/>
        </w:rPr>
        <w:t>I</w:t>
      </w:r>
      <w:r w:rsidR="009B3923" w:rsidRPr="009B3923">
        <w:t xml:space="preserve"> just, </w:t>
      </w:r>
      <w:r w:rsidR="009B3923" w:rsidRPr="00E4176F">
        <w:rPr>
          <w:i/>
          <w:iCs/>
        </w:rPr>
        <w:t>I</w:t>
      </w:r>
      <w:r w:rsidR="009B3923" w:rsidRPr="009B3923">
        <w:t xml:space="preserve"> didn’t want to go to jail.” </w:t>
      </w:r>
      <w:r w:rsidR="000D1DF2">
        <w:t xml:space="preserve"> </w:t>
      </w:r>
      <w:r w:rsidR="009B3923">
        <w:t xml:space="preserve">(Italics added.) </w:t>
      </w:r>
    </w:p>
    <w:p w14:paraId="761B4771" w14:textId="5FE77F1A" w:rsidR="00F36D79" w:rsidRDefault="0061079E" w:rsidP="001949CD">
      <w:pPr>
        <w:pStyle w:val="bodytext"/>
        <w:ind w:firstLine="0"/>
      </w:pPr>
      <w:r>
        <w:tab/>
      </w:r>
      <w:r w:rsidR="00AB7158">
        <w:t>Th</w:t>
      </w:r>
      <w:r w:rsidR="004554EB">
        <w:t xml:space="preserve">e totality of this evidence </w:t>
      </w:r>
      <w:r w:rsidR="00AB7158">
        <w:t xml:space="preserve">gives rise to only </w:t>
      </w:r>
      <w:r w:rsidR="00937875">
        <w:t xml:space="preserve">one </w:t>
      </w:r>
      <w:r w:rsidR="00AB7158">
        <w:t xml:space="preserve">reasonable inference:  </w:t>
      </w:r>
      <w:r>
        <w:t xml:space="preserve">Roman expected his brother to continue their reckless flight to avoid apprehension for their earlier crimes and keep </w:t>
      </w:r>
      <w:r w:rsidR="001E4177">
        <w:t>himself</w:t>
      </w:r>
      <w:r>
        <w:t xml:space="preserve"> from g</w:t>
      </w:r>
      <w:r>
        <w:t>oing to jail on his warrant.  Likewise, Roman</w:t>
      </w:r>
      <w:r w:rsidR="00AB7158">
        <w:t>’s</w:t>
      </w:r>
      <w:r>
        <w:t xml:space="preserve"> advice to get off at Antelope</w:t>
      </w:r>
      <w:r w:rsidR="00AB7158">
        <w:t xml:space="preserve"> could only have been done </w:t>
      </w:r>
      <w:r>
        <w:t xml:space="preserve">with intent to aid Ruslan’s </w:t>
      </w:r>
      <w:r w:rsidR="00B85380">
        <w:t xml:space="preserve">reckless </w:t>
      </w:r>
      <w:r>
        <w:t xml:space="preserve">and dangerous driving conduct.  </w:t>
      </w:r>
    </w:p>
    <w:p w14:paraId="71E09B79" w14:textId="146C8FB5" w:rsidR="00B85380" w:rsidRDefault="0061079E" w:rsidP="00B85380">
      <w:pPr>
        <w:pStyle w:val="bodytext"/>
      </w:pPr>
      <w:r>
        <w:t>We further</w:t>
      </w:r>
      <w:r w:rsidR="000B2CA2">
        <w:t xml:space="preserve"> </w:t>
      </w:r>
      <w:r>
        <w:t>conclude</w:t>
      </w:r>
      <w:r w:rsidR="00F36D79">
        <w:t xml:space="preserve"> the evidence </w:t>
      </w:r>
      <w:r w:rsidR="00830365">
        <w:t xml:space="preserve">is also overwhelming </w:t>
      </w:r>
      <w:r w:rsidR="00C71411">
        <w:t>as to</w:t>
      </w:r>
      <w:r w:rsidR="00F36D79">
        <w:t xml:space="preserve"> Roman</w:t>
      </w:r>
      <w:r w:rsidR="00C71411">
        <w:t>’s knowledge</w:t>
      </w:r>
      <w:r w:rsidR="00F36D79">
        <w:t xml:space="preserve"> </w:t>
      </w:r>
      <w:r w:rsidR="00C71411">
        <w:t>that</w:t>
      </w:r>
      <w:r w:rsidR="00F36D79">
        <w:t xml:space="preserve"> Ruslan’s driving conduct was dangerous to human life </w:t>
      </w:r>
      <w:r w:rsidR="008D05B6">
        <w:t xml:space="preserve">and that </w:t>
      </w:r>
      <w:r w:rsidR="000B2CA2">
        <w:t xml:space="preserve">Roman </w:t>
      </w:r>
      <w:r w:rsidR="008D05B6">
        <w:t xml:space="preserve">acted in conscious disregard for human life when he advised Roman </w:t>
      </w:r>
      <w:r>
        <w:t>where to go</w:t>
      </w:r>
      <w:r w:rsidR="008D05B6">
        <w:t xml:space="preserve">.  </w:t>
      </w:r>
      <w:r>
        <w:t xml:space="preserve">Again, Roman had </w:t>
      </w:r>
      <w:r w:rsidR="00830365">
        <w:t xml:space="preserve">earlier </w:t>
      </w:r>
      <w:r>
        <w:t>driven the</w:t>
      </w:r>
      <w:r w:rsidR="002F33F4">
        <w:t>m</w:t>
      </w:r>
      <w:r>
        <w:t xml:space="preserve"> into what was described as an “[e]xtremly violent crash</w:t>
      </w:r>
      <w:r w:rsidR="002F33F4">
        <w:t>.</w:t>
      </w:r>
      <w:r>
        <w:t>”  This was le</w:t>
      </w:r>
      <w:r>
        <w:t>ss than an hour and a half</w:t>
      </w:r>
      <w:r w:rsidR="0065372D">
        <w:t xml:space="preserve"> before the fatal collision in the 6:30 a.m. commuter traffic.</w:t>
      </w:r>
      <w:r w:rsidR="0065372D" w:rsidRPr="008F7F32">
        <w:t xml:space="preserve"> </w:t>
      </w:r>
      <w:r w:rsidRPr="008F7F32">
        <w:t xml:space="preserve"> </w:t>
      </w:r>
      <w:r w:rsidR="009A36F4" w:rsidRPr="00FF53F2">
        <w:t xml:space="preserve">This circumstance </w:t>
      </w:r>
      <w:r w:rsidR="00FB7BF4">
        <w:t>is significant in establishing</w:t>
      </w:r>
      <w:r w:rsidR="009A36F4" w:rsidRPr="00FF53F2">
        <w:t xml:space="preserve"> Roman’s risk awareness</w:t>
      </w:r>
      <w:r w:rsidR="00FB7BF4">
        <w:t xml:space="preserve"> and conscious disregard</w:t>
      </w:r>
      <w:r w:rsidR="009A36F4" w:rsidRPr="00FF53F2">
        <w:t>.</w:t>
      </w:r>
      <w:r w:rsidR="009A36F4" w:rsidRPr="008F7F32">
        <w:t xml:space="preserve"> </w:t>
      </w:r>
      <w:r w:rsidR="00043B09" w:rsidRPr="008F7F32">
        <w:t xml:space="preserve">(See </w:t>
      </w:r>
      <w:r w:rsidR="0065372D" w:rsidRPr="008F7F32">
        <w:rPr>
          <w:i/>
          <w:iCs/>
        </w:rPr>
        <w:t>Watson</w:t>
      </w:r>
      <w:r w:rsidR="0065372D" w:rsidRPr="008F7F32">
        <w:t xml:space="preserve">, </w:t>
      </w:r>
      <w:r w:rsidR="0065372D" w:rsidRPr="008F7F32">
        <w:rPr>
          <w:i/>
          <w:iCs/>
        </w:rPr>
        <w:t>supra</w:t>
      </w:r>
      <w:r w:rsidR="0065372D" w:rsidRPr="008F7F32">
        <w:t xml:space="preserve">, 30 Cal.3d </w:t>
      </w:r>
      <w:r w:rsidR="00AA0E99" w:rsidRPr="008F7F32">
        <w:t>2</w:t>
      </w:r>
      <w:r w:rsidR="0065372D" w:rsidRPr="008F7F32">
        <w:t>90,</w:t>
      </w:r>
      <w:r w:rsidR="00043B09" w:rsidRPr="008F7F32">
        <w:t xml:space="preserve"> 293-294, 301 [</w:t>
      </w:r>
      <w:r w:rsidR="0065372D" w:rsidRPr="008F7F32">
        <w:t>that the defendant had nearly collided with another vehicle</w:t>
      </w:r>
      <w:r w:rsidR="0065372D">
        <w:t xml:space="preserve"> before the fatal crash</w:t>
      </w:r>
      <w:r w:rsidR="00A76CC8">
        <w:t xml:space="preserve"> was considered significant proof of risk awareness and conscious disregard</w:t>
      </w:r>
      <w:r w:rsidR="00043B09">
        <w:t>]</w:t>
      </w:r>
      <w:r w:rsidR="0065372D">
        <w:t>.</w:t>
      </w:r>
      <w:r w:rsidR="00043B09">
        <w:t>)</w:t>
      </w:r>
      <w:r w:rsidR="00B1788F">
        <w:t xml:space="preserve"> </w:t>
      </w:r>
    </w:p>
    <w:p w14:paraId="12BC16C5" w14:textId="1C4CBA4B" w:rsidR="00FD0AEC" w:rsidRDefault="0061079E" w:rsidP="00B85380">
      <w:pPr>
        <w:pStyle w:val="bodytext"/>
      </w:pPr>
      <w:r>
        <w:t>Moreover, we may look to the reason Roman gave for the specific advice he gave his brother in determini</w:t>
      </w:r>
      <w:r>
        <w:t xml:space="preserve">ng his awareness of the risk of death to </w:t>
      </w:r>
      <w:r w:rsidR="00A76CC8">
        <w:t>people</w:t>
      </w:r>
      <w:r>
        <w:t xml:space="preserve"> in their flight path.  Roman</w:t>
      </w:r>
      <w:r w:rsidR="005D0469">
        <w:t xml:space="preserve"> said </w:t>
      </w:r>
      <w:r>
        <w:t xml:space="preserve">they knew the area.  This means that he had to have known </w:t>
      </w:r>
      <w:r w:rsidR="00076E18">
        <w:t xml:space="preserve">that </w:t>
      </w:r>
      <w:r>
        <w:t xml:space="preserve">Antelope Road was a surface street with traffic lights controlling major intersections.  Indeed, </w:t>
      </w:r>
      <w:r w:rsidR="00794E92">
        <w:t>Roman’s own accident reconstruction</w:t>
      </w:r>
      <w:r>
        <w:t xml:space="preserve"> expert </w:t>
      </w:r>
      <w:r w:rsidR="00794E92" w:rsidRPr="00794E92">
        <w:t xml:space="preserve">testified that the two </w:t>
      </w:r>
      <w:r w:rsidR="005D0469">
        <w:t>brother</w:t>
      </w:r>
      <w:r w:rsidR="00937875">
        <w:t>s</w:t>
      </w:r>
      <w:r w:rsidR="005D0469">
        <w:t xml:space="preserve"> lived </w:t>
      </w:r>
      <w:r w:rsidR="00B609AF">
        <w:t xml:space="preserve">only </w:t>
      </w:r>
      <w:r w:rsidR="00794E92" w:rsidRPr="00794E92">
        <w:t>a little more than a mile from the collision scene</w:t>
      </w:r>
      <w:r w:rsidR="009B3923">
        <w:t>.</w:t>
      </w:r>
      <w:r w:rsidR="00794E92" w:rsidRPr="00794E92">
        <w:t xml:space="preserve">  </w:t>
      </w:r>
      <w:r w:rsidR="009B3923">
        <w:t>A</w:t>
      </w:r>
      <w:r w:rsidR="00076E18">
        <w:t>nd o</w:t>
      </w:r>
      <w:r w:rsidR="00794E92" w:rsidRPr="00794E92">
        <w:t>n cross-examination,</w:t>
      </w:r>
      <w:r w:rsidR="00937875">
        <w:t xml:space="preserve"> t</w:t>
      </w:r>
      <w:r w:rsidR="00794E92" w:rsidRPr="00794E92">
        <w:t>he</w:t>
      </w:r>
      <w:r w:rsidR="00937875">
        <w:t xml:space="preserve"> expert</w:t>
      </w:r>
      <w:r w:rsidR="00794E92" w:rsidRPr="00794E92">
        <w:t xml:space="preserve"> opined that a hypothetical person living in t</w:t>
      </w:r>
      <w:r w:rsidR="005038C2">
        <w:t xml:space="preserve">he </w:t>
      </w:r>
      <w:r w:rsidR="00794E92" w:rsidRPr="00794E92">
        <w:t xml:space="preserve">proximity of the </w:t>
      </w:r>
      <w:r w:rsidR="009B3923">
        <w:t xml:space="preserve">collision </w:t>
      </w:r>
      <w:r w:rsidR="00794E92" w:rsidRPr="00794E92">
        <w:t xml:space="preserve">scene would be </w:t>
      </w:r>
      <w:bookmarkStart w:id="186" w:name="ElPgBr55"/>
      <w:bookmarkEnd w:id="186"/>
      <w:r w:rsidR="00794E92" w:rsidRPr="00794E92">
        <w:lastRenderedPageBreak/>
        <w:t>familiar with the roadway</w:t>
      </w:r>
      <w:r w:rsidR="009D0A33">
        <w:t>,</w:t>
      </w:r>
      <w:r w:rsidR="00794E92" w:rsidRPr="00794E92">
        <w:t xml:space="preserve"> and </w:t>
      </w:r>
      <w:r w:rsidR="00076E18">
        <w:t xml:space="preserve">when going over the overpass, would </w:t>
      </w:r>
      <w:r w:rsidR="00794E92" w:rsidRPr="00794E92">
        <w:t xml:space="preserve">know about the existence of the intersection </w:t>
      </w:r>
      <w:r w:rsidR="00076E18">
        <w:t>where the collision occurred.</w:t>
      </w:r>
      <w:r w:rsidR="00DA192A">
        <w:t xml:space="preserve">  </w:t>
      </w:r>
    </w:p>
    <w:p w14:paraId="58CADA3C" w14:textId="710A9252" w:rsidR="00421D46" w:rsidRDefault="0061079E" w:rsidP="00763800">
      <w:pPr>
        <w:pStyle w:val="bodytext"/>
      </w:pPr>
      <w:r>
        <w:t xml:space="preserve">Additionally, Roman admitted to </w:t>
      </w:r>
      <w:r w:rsidR="00CC6818">
        <w:t>investigators</w:t>
      </w:r>
      <w:r>
        <w:t xml:space="preserve"> that he knew </w:t>
      </w:r>
      <w:r w:rsidR="00CC6818">
        <w:t>it was dangerous</w:t>
      </w:r>
      <w:r w:rsidR="00763800">
        <w:t xml:space="preserve"> to speed and evade the police.  He said he saw lights flashing and when asked what a person is supposed to do when they see police lights, Roman said</w:t>
      </w:r>
      <w:r w:rsidR="00AA0E99">
        <w:t>,</w:t>
      </w:r>
      <w:r w:rsidR="00763800">
        <w:t xml:space="preserve"> “You</w:t>
      </w:r>
      <w:r w:rsidR="00FB247B">
        <w:t>’</w:t>
      </w:r>
      <w:r w:rsidR="00763800">
        <w:t xml:space="preserve">re supposed to pull over.”  He said they were scared because “there’s so much </w:t>
      </w:r>
      <w:r w:rsidR="00CC6818">
        <w:t>[</w:t>
      </w:r>
      <w:r w:rsidR="00CC6818" w:rsidRPr="00E4176F">
        <w:rPr>
          <w:i/>
          <w:iCs/>
        </w:rPr>
        <w:t>sic</w:t>
      </w:r>
      <w:r w:rsidR="00CC6818">
        <w:t xml:space="preserve">] </w:t>
      </w:r>
      <w:r w:rsidR="00763800">
        <w:t xml:space="preserve">cops after us.”  </w:t>
      </w:r>
      <w:r w:rsidR="00830365">
        <w:t>But h</w:t>
      </w:r>
      <w:r w:rsidR="00097F64">
        <w:t>e claimed</w:t>
      </w:r>
      <w:r w:rsidR="00763800">
        <w:t xml:space="preserve"> they were only travelling at 50 to 60 </w:t>
      </w:r>
      <w:r w:rsidR="00584037">
        <w:t>miles per hour</w:t>
      </w:r>
      <w:r w:rsidR="009D0A33">
        <w:t xml:space="preserve"> </w:t>
      </w:r>
      <w:r w:rsidR="00763800">
        <w:t xml:space="preserve">on Antelope Road. </w:t>
      </w:r>
      <w:r w:rsidR="00956669">
        <w:t xml:space="preserve"> He knew this because he looked at the speedometer.  </w:t>
      </w:r>
      <w:r w:rsidR="00A822C2">
        <w:t>And</w:t>
      </w:r>
      <w:r w:rsidR="00097F64">
        <w:t>, according to Roman,</w:t>
      </w:r>
      <w:r w:rsidR="00A822C2">
        <w:t xml:space="preserve"> </w:t>
      </w:r>
      <w:r w:rsidR="00956669">
        <w:t>after</w:t>
      </w:r>
      <w:r w:rsidR="00A822C2">
        <w:t xml:space="preserve"> Ruslan hit the </w:t>
      </w:r>
      <w:r w:rsidR="003A71F5">
        <w:t>brakes</w:t>
      </w:r>
      <w:r w:rsidR="00AA0E99">
        <w:t>,</w:t>
      </w:r>
      <w:r w:rsidR="00A822C2">
        <w:t xml:space="preserve"> </w:t>
      </w:r>
      <w:r w:rsidR="00956669">
        <w:t xml:space="preserve">they </w:t>
      </w:r>
      <w:r w:rsidR="00A822C2">
        <w:t xml:space="preserve">slowed to </w:t>
      </w:r>
      <w:r w:rsidR="00A822C2" w:rsidRPr="00A822C2">
        <w:t xml:space="preserve">“about like thirty-five” </w:t>
      </w:r>
      <w:r w:rsidR="00A822C2">
        <w:t xml:space="preserve">at the point of the collision. </w:t>
      </w:r>
      <w:r w:rsidR="00763800">
        <w:t xml:space="preserve"> Asked whether he thought it was safe to drive at 50 or 60 miles per hour in that area, Roman said, “at some points, no.” </w:t>
      </w:r>
      <w:r w:rsidR="00A76CC8">
        <w:t xml:space="preserve"> </w:t>
      </w:r>
      <w:r w:rsidR="00763800">
        <w:t>When then asked if Ruslan also knew it was dangerous, Roman said he did and added, “</w:t>
      </w:r>
      <w:r w:rsidR="00956669">
        <w:t xml:space="preserve">I mean, I’m sure.  </w:t>
      </w:r>
      <w:r w:rsidR="00763800">
        <w:t xml:space="preserve">He’s not stupid.” </w:t>
      </w:r>
    </w:p>
    <w:p w14:paraId="1C218A32" w14:textId="0B026A6F" w:rsidR="00F36D79" w:rsidRDefault="0061079E" w:rsidP="00763800">
      <w:pPr>
        <w:pStyle w:val="bodytext"/>
      </w:pPr>
      <w:r>
        <w:t>Notably, a</w:t>
      </w:r>
      <w:r w:rsidR="00421D46">
        <w:t xml:space="preserve">ll witnesses testified the truck was travelling much faster than Roman admitted and indeed, the </w:t>
      </w:r>
      <w:r w:rsidR="00097F64">
        <w:t>air bag module recorded the speed at</w:t>
      </w:r>
      <w:r w:rsidR="00421D46">
        <w:t xml:space="preserve"> 93 miles per hour just</w:t>
      </w:r>
      <w:r w:rsidR="00097F64">
        <w:t xml:space="preserve"> a second and a half</w:t>
      </w:r>
      <w:r w:rsidR="00421D46">
        <w:t xml:space="preserve"> before the collision.  Giving a false statement evincing consciousness of guilt is another circumstance tending to prove aiding and abetting.  (</w:t>
      </w:r>
      <w:r w:rsidR="00421D46" w:rsidRPr="00E4176F">
        <w:rPr>
          <w:i/>
          <w:iCs/>
        </w:rPr>
        <w:t>Lara</w:t>
      </w:r>
      <w:r w:rsidR="00421D46">
        <w:t xml:space="preserve">, </w:t>
      </w:r>
      <w:r w:rsidR="00421D46" w:rsidRPr="00E4176F">
        <w:rPr>
          <w:i/>
          <w:iCs/>
        </w:rPr>
        <w:t>supra</w:t>
      </w:r>
      <w:r w:rsidR="00421D46">
        <w:t>, 9 Cal.App.5th at p. 322.)  More to the point</w:t>
      </w:r>
      <w:r w:rsidR="002E1214">
        <w:t xml:space="preserve"> </w:t>
      </w:r>
      <w:r w:rsidR="00F70ED6">
        <w:t xml:space="preserve">here, </w:t>
      </w:r>
      <w:r w:rsidR="002E1214">
        <w:t>regarding risk awareness</w:t>
      </w:r>
      <w:r w:rsidR="00421D46">
        <w:t xml:space="preserve">, Roman’s </w:t>
      </w:r>
      <w:r w:rsidR="002E1214">
        <w:t xml:space="preserve">false </w:t>
      </w:r>
      <w:r w:rsidR="00421D46">
        <w:t>statement</w:t>
      </w:r>
      <w:r w:rsidR="002E1214">
        <w:t xml:space="preserve"> as to speed</w:t>
      </w:r>
      <w:r w:rsidR="00421D46">
        <w:t xml:space="preserve"> demonstrate</w:t>
      </w:r>
      <w:r w:rsidR="00F70ED6">
        <w:t>s</w:t>
      </w:r>
      <w:r w:rsidR="00421D46">
        <w:t xml:space="preserve"> he </w:t>
      </w:r>
      <w:r w:rsidR="002E1214">
        <w:t xml:space="preserve">personally </w:t>
      </w:r>
      <w:r w:rsidR="00421D46">
        <w:t>appreciated the risk</w:t>
      </w:r>
      <w:r w:rsidR="00A822C2">
        <w:t xml:space="preserve"> of death posed by his brother’s </w:t>
      </w:r>
      <w:r w:rsidR="00001E4B">
        <w:t>excessive speed</w:t>
      </w:r>
      <w:r w:rsidR="00CF4E2B">
        <w:t xml:space="preserve"> and</w:t>
      </w:r>
      <w:r w:rsidR="00097F64">
        <w:t xml:space="preserve"> tried to downplay it by claiming they were not going as fast as they were.</w:t>
      </w:r>
      <w:r w:rsidR="00421D46">
        <w:t xml:space="preserve"> </w:t>
      </w:r>
    </w:p>
    <w:p w14:paraId="492787D8" w14:textId="31774736" w:rsidR="00295AC3" w:rsidRDefault="0061079E" w:rsidP="00763800">
      <w:pPr>
        <w:pStyle w:val="bodytext"/>
      </w:pPr>
      <w:r>
        <w:t xml:space="preserve">Finally, the brothers’ conduct after the fatal collision show </w:t>
      </w:r>
      <w:r w:rsidR="00282559">
        <w:t xml:space="preserve">their </w:t>
      </w:r>
      <w:r>
        <w:t xml:space="preserve">disregard for the risk their conduct </w:t>
      </w:r>
      <w:r w:rsidR="008B4C2D">
        <w:t xml:space="preserve">presented to human life.  </w:t>
      </w:r>
      <w:r w:rsidR="009E1751" w:rsidRPr="009E1751">
        <w:t xml:space="preserve">In response to a question from one of the jurors, the primary pursuing deputy testified that after colliding into the Kia at a high rate of speed and pushing it an estimated 45 yards, </w:t>
      </w:r>
      <w:r w:rsidR="00494DD3">
        <w:t xml:space="preserve">the two occupants of the truck </w:t>
      </w:r>
      <w:r w:rsidR="009E1751" w:rsidRPr="009E1751">
        <w:t>fled from the scene without checking on the occupants</w:t>
      </w:r>
      <w:r w:rsidR="001C181A">
        <w:t xml:space="preserve"> of the Kia</w:t>
      </w:r>
      <w:r w:rsidR="009E1751" w:rsidRPr="009E1751">
        <w:t>.</w:t>
      </w:r>
      <w:r w:rsidR="008B4C2D">
        <w:t xml:space="preserve"> </w:t>
      </w:r>
      <w:r w:rsidR="00956669">
        <w:t xml:space="preserve"> This conduct was consistent with the prosecutor’s closing argument theme</w:t>
      </w:r>
      <w:r w:rsidR="00282559">
        <w:t xml:space="preserve">:  </w:t>
      </w:r>
      <w:r w:rsidR="00956669">
        <w:t>Roman and Ruslan did not care</w:t>
      </w:r>
      <w:r w:rsidR="009E1751">
        <w:t xml:space="preserve"> whether </w:t>
      </w:r>
      <w:r w:rsidR="001E4177">
        <w:t xml:space="preserve">they </w:t>
      </w:r>
      <w:r w:rsidR="009E1751">
        <w:t xml:space="preserve">endangered </w:t>
      </w:r>
      <w:r w:rsidR="001C181A">
        <w:t xml:space="preserve">or hurt </w:t>
      </w:r>
      <w:r w:rsidR="009E1751">
        <w:t>anyone during the flight from law enforcement</w:t>
      </w:r>
      <w:r w:rsidR="009F6881">
        <w:t>.</w:t>
      </w:r>
      <w:r w:rsidR="00A63D69">
        <w:t xml:space="preserve">  </w:t>
      </w:r>
    </w:p>
    <w:p w14:paraId="7D1908B7" w14:textId="47F3AFA5" w:rsidR="00F07E31" w:rsidRDefault="0061079E" w:rsidP="00763800">
      <w:pPr>
        <w:pStyle w:val="bodytext"/>
      </w:pPr>
      <w:bookmarkStart w:id="187" w:name="ElPgBr56"/>
      <w:bookmarkEnd w:id="187"/>
      <w:r>
        <w:lastRenderedPageBreak/>
        <w:t>In our view, no re</w:t>
      </w:r>
      <w:r>
        <w:t>asonable inference can be drawn from th</w:t>
      </w:r>
      <w:r w:rsidR="00282559">
        <w:t xml:space="preserve">is </w:t>
      </w:r>
      <w:r>
        <w:t xml:space="preserve">evidence other than Roman aided and abetted implied malice murder.  </w:t>
      </w:r>
      <w:r w:rsidR="00BE6871">
        <w:t>Stated differently, we see no</w:t>
      </w:r>
      <w:r w:rsidR="00BE6871" w:rsidRPr="00AA1103">
        <w:t xml:space="preserve"> evidence </w:t>
      </w:r>
      <w:r w:rsidR="00BE6871">
        <w:t>“</w:t>
      </w:r>
      <w:r w:rsidR="00BE6871" w:rsidRPr="00AA1103">
        <w:t xml:space="preserve">sufficient to support a contrary </w:t>
      </w:r>
      <w:r w:rsidR="00BE6871" w:rsidRPr="00BE6871">
        <w:t xml:space="preserve">finding,” </w:t>
      </w:r>
      <w:r w:rsidR="00BE6871" w:rsidRPr="00E4176F">
        <w:t xml:space="preserve">i.e., no evidence “that could rationally lead to </w:t>
      </w:r>
      <w:r w:rsidR="006B2064">
        <w:t>[</w:t>
      </w:r>
      <w:r w:rsidR="00BE6871" w:rsidRPr="00E4176F">
        <w:t>an acquittal</w:t>
      </w:r>
      <w:r w:rsidR="006B2064">
        <w:t>]</w:t>
      </w:r>
      <w:r w:rsidR="00BE6871" w:rsidRPr="00E4176F">
        <w:t xml:space="preserve"> with respect to the’ ” valid theory of aiding and abetting implied malice.</w:t>
      </w:r>
      <w:r w:rsidR="00BE6871" w:rsidRPr="00BE6871">
        <w:t xml:space="preserve">  </w:t>
      </w:r>
      <w:r w:rsidR="00E97E21" w:rsidRPr="00BE6871">
        <w:t>(</w:t>
      </w:r>
      <w:r w:rsidR="00E97E21" w:rsidRPr="00E4176F">
        <w:rPr>
          <w:i/>
          <w:iCs/>
        </w:rPr>
        <w:t>Skilling II</w:t>
      </w:r>
      <w:r w:rsidR="00E97E21" w:rsidRPr="00BE6871">
        <w:t xml:space="preserve">, </w:t>
      </w:r>
      <w:r w:rsidR="00E97E21" w:rsidRPr="00E4176F">
        <w:rPr>
          <w:i/>
          <w:iCs/>
        </w:rPr>
        <w:t>supra</w:t>
      </w:r>
      <w:r w:rsidR="00E97E21" w:rsidRPr="00BE6871">
        <w:t xml:space="preserve">, 638 F.3d at p. 482.)  </w:t>
      </w:r>
      <w:r w:rsidR="007405DD" w:rsidRPr="00BE6871">
        <w:t xml:space="preserve">It is </w:t>
      </w:r>
      <w:r w:rsidR="006758C7" w:rsidRPr="00BE6871">
        <w:t>thus</w:t>
      </w:r>
      <w:r w:rsidRPr="00BE6871">
        <w:t xml:space="preserve"> </w:t>
      </w:r>
      <w:r w:rsidR="006758C7" w:rsidRPr="00BE6871">
        <w:rPr>
          <w:color w:val="000000"/>
        </w:rPr>
        <w:t xml:space="preserve">clear </w:t>
      </w:r>
      <w:r w:rsidR="00190C17" w:rsidRPr="00BE6871">
        <w:rPr>
          <w:color w:val="000000"/>
        </w:rPr>
        <w:t>“</w:t>
      </w:r>
      <w:r w:rsidR="006758C7" w:rsidRPr="00BE6871">
        <w:rPr>
          <w:color w:val="000000"/>
        </w:rPr>
        <w:t>beyond a reasonable doubt that a</w:t>
      </w:r>
      <w:r w:rsidR="006758C7" w:rsidRPr="00D467E3">
        <w:rPr>
          <w:color w:val="000000"/>
        </w:rPr>
        <w:t xml:space="preserve"> rational jury </w:t>
      </w:r>
      <w:r w:rsidR="006758C7" w:rsidRPr="00D467E3">
        <w:rPr>
          <w:i/>
          <w:iCs/>
          <w:color w:val="000000"/>
        </w:rPr>
        <w:t>would have</w:t>
      </w:r>
      <w:r w:rsidR="006758C7" w:rsidRPr="00D467E3">
        <w:rPr>
          <w:color w:val="000000"/>
        </w:rPr>
        <w:t xml:space="preserve"> found the defendant guilty absent the error</w:t>
      </w:r>
      <w:r w:rsidR="00BC5F3E">
        <w:rPr>
          <w:color w:val="000000"/>
        </w:rPr>
        <w:t xml:space="preserve">” </w:t>
      </w:r>
      <w:r w:rsidR="007405DD">
        <w:t>occasioned by the retroactive alternative-theory error here.</w:t>
      </w:r>
      <w:r w:rsidR="00BC5F3E">
        <w:rPr>
          <w:color w:val="000000"/>
        </w:rPr>
        <w:t xml:space="preserve"> </w:t>
      </w:r>
      <w:r w:rsidR="006B2064">
        <w:rPr>
          <w:color w:val="000000"/>
        </w:rPr>
        <w:t xml:space="preserve"> </w:t>
      </w:r>
      <w:r w:rsidR="00BC5F3E">
        <w:t xml:space="preserve">(See </w:t>
      </w:r>
      <w:r w:rsidR="00BC5F3E" w:rsidRPr="00082F50">
        <w:rPr>
          <w:i/>
          <w:iCs/>
        </w:rPr>
        <w:t>Neder</w:t>
      </w:r>
      <w:r w:rsidR="00BC5F3E">
        <w:t xml:space="preserve">, </w:t>
      </w:r>
      <w:r w:rsidR="00BC5F3E" w:rsidRPr="00082F50">
        <w:rPr>
          <w:i/>
          <w:iCs/>
        </w:rPr>
        <w:t>supra</w:t>
      </w:r>
      <w:r w:rsidR="00BC5F3E">
        <w:t xml:space="preserve">, 527 U.S. at p. 18; </w:t>
      </w:r>
      <w:r w:rsidR="00BC5F3E" w:rsidRPr="00D467E3">
        <w:rPr>
          <w:i/>
          <w:iCs/>
        </w:rPr>
        <w:t>Merritt</w:t>
      </w:r>
      <w:r w:rsidR="00BC5F3E">
        <w:rPr>
          <w:i/>
          <w:iCs/>
        </w:rPr>
        <w:t xml:space="preserve">, supra, </w:t>
      </w:r>
      <w:r w:rsidR="00BC5F3E">
        <w:t xml:space="preserve">2 Cal.5th at p. 827; </w:t>
      </w:r>
      <w:r w:rsidR="00BC5F3E" w:rsidRPr="00082F50">
        <w:rPr>
          <w:i/>
          <w:iCs/>
        </w:rPr>
        <w:t>Powell</w:t>
      </w:r>
      <w:r w:rsidR="00BC5F3E">
        <w:t xml:space="preserve">, </w:t>
      </w:r>
      <w:r w:rsidR="00BC5F3E" w:rsidRPr="00082F50">
        <w:rPr>
          <w:i/>
          <w:iCs/>
        </w:rPr>
        <w:t>supra</w:t>
      </w:r>
      <w:r w:rsidR="00BC5F3E">
        <w:t>, 63 Cal.App.5th at p. 715, italics added</w:t>
      </w:r>
      <w:r w:rsidR="00FF53F2">
        <w:t>.</w:t>
      </w:r>
      <w:r w:rsidR="00BC5F3E">
        <w:t>)</w:t>
      </w:r>
    </w:p>
    <w:p w14:paraId="68D362AD" w14:textId="225F6E3F" w:rsidR="00F07E31" w:rsidRPr="00E4176F" w:rsidRDefault="0061079E" w:rsidP="00FF53F2">
      <w:pPr>
        <w:pStyle w:val="bodytext"/>
        <w:keepNext/>
        <w:spacing w:before="240" w:line="240" w:lineRule="auto"/>
        <w:rPr>
          <w:b/>
          <w:bCs/>
        </w:rPr>
      </w:pPr>
      <w:r>
        <w:tab/>
      </w:r>
      <w:r w:rsidRPr="00E4176F">
        <w:rPr>
          <w:b/>
          <w:bCs/>
        </w:rPr>
        <w:t>d.  The Facts S</w:t>
      </w:r>
      <w:r w:rsidRPr="00E4176F">
        <w:rPr>
          <w:b/>
          <w:bCs/>
        </w:rPr>
        <w:t>upporting the Jury’s Verdict of Willful Evasion</w:t>
      </w:r>
      <w:r w:rsidR="008672AA">
        <w:rPr>
          <w:b/>
          <w:bCs/>
        </w:rPr>
        <w:t xml:space="preserve"> of a </w:t>
      </w:r>
      <w:r w:rsidR="008672AA">
        <w:rPr>
          <w:b/>
          <w:bCs/>
        </w:rPr>
        <w:tab/>
      </w:r>
      <w:r w:rsidR="008672AA">
        <w:rPr>
          <w:b/>
          <w:bCs/>
        </w:rPr>
        <w:tab/>
      </w:r>
      <w:r w:rsidR="000D1DF2">
        <w:rPr>
          <w:b/>
          <w:bCs/>
        </w:rPr>
        <w:tab/>
      </w:r>
      <w:r w:rsidR="008672AA">
        <w:rPr>
          <w:b/>
          <w:bCs/>
        </w:rPr>
        <w:t>Peace Officer</w:t>
      </w:r>
      <w:r w:rsidRPr="00E4176F">
        <w:rPr>
          <w:b/>
          <w:bCs/>
        </w:rPr>
        <w:t xml:space="preserve"> with Wanton Disregard</w:t>
      </w:r>
    </w:p>
    <w:p w14:paraId="6F923436" w14:textId="54BF0EDF" w:rsidR="00861AA7" w:rsidRPr="008F7F32" w:rsidRDefault="0061079E" w:rsidP="00E4176F">
      <w:pPr>
        <w:pStyle w:val="bodytext"/>
      </w:pPr>
      <w:r>
        <w:t>Not only is the evidence supporting the valid theory here overwhelming, but that evidence is the very</w:t>
      </w:r>
      <w:r w:rsidR="00C00663">
        <w:t xml:space="preserve"> same</w:t>
      </w:r>
      <w:r>
        <w:t xml:space="preserve"> evidence</w:t>
      </w:r>
      <w:r w:rsidR="00C00663">
        <w:t xml:space="preserve"> the </w:t>
      </w:r>
      <w:r>
        <w:t xml:space="preserve">jury had to have </w:t>
      </w:r>
      <w:r w:rsidR="00E93C5C">
        <w:t>credited</w:t>
      </w:r>
      <w:r>
        <w:t xml:space="preserve"> in finding </w:t>
      </w:r>
      <w:r w:rsidR="00E93C5C">
        <w:t xml:space="preserve">that </w:t>
      </w:r>
      <w:r>
        <w:t>de</w:t>
      </w:r>
      <w:r>
        <w:t xml:space="preserve">fendant </w:t>
      </w:r>
      <w:r w:rsidR="000B108E">
        <w:t>aided and abetted the target crime for the natural and probable consequences theory —</w:t>
      </w:r>
      <w:r>
        <w:t>eva</w:t>
      </w:r>
      <w:r w:rsidR="000B108E">
        <w:t>ding a peace officer</w:t>
      </w:r>
      <w:r>
        <w:t xml:space="preserve"> with wanton disregard</w:t>
      </w:r>
      <w:r w:rsidR="000B108E">
        <w:t xml:space="preserve"> for safety</w:t>
      </w:r>
      <w:r>
        <w:t xml:space="preserve">. </w:t>
      </w:r>
      <w:bookmarkEnd w:id="183"/>
      <w:r w:rsidR="000B108E">
        <w:t xml:space="preserve"> </w:t>
      </w:r>
      <w:r w:rsidR="000E4EB4">
        <w:t xml:space="preserve">Thus, we conclude from this </w:t>
      </w:r>
      <w:r w:rsidR="007A3286">
        <w:t xml:space="preserve">additional </w:t>
      </w:r>
      <w:r w:rsidR="000E4EB4">
        <w:t>circumstance that</w:t>
      </w:r>
      <w:r w:rsidR="000B108E">
        <w:t xml:space="preserve"> </w:t>
      </w:r>
      <w:r w:rsidR="00387134">
        <w:t xml:space="preserve">the jury </w:t>
      </w:r>
      <w:r w:rsidR="00387134" w:rsidRPr="00E4176F">
        <w:rPr>
          <w:i/>
          <w:iCs/>
        </w:rPr>
        <w:t>would have</w:t>
      </w:r>
      <w:r w:rsidR="00C00663" w:rsidRPr="00B62584">
        <w:t xml:space="preserve"> convicted the </w:t>
      </w:r>
      <w:r w:rsidR="00C00663">
        <w:t>defendant</w:t>
      </w:r>
      <w:r w:rsidR="00C00663" w:rsidRPr="00B62584">
        <w:t xml:space="preserve"> on the legally </w:t>
      </w:r>
      <w:r w:rsidR="000B3AAA">
        <w:t>valid</w:t>
      </w:r>
      <w:r w:rsidR="00C00663" w:rsidRPr="00B62584">
        <w:t xml:space="preserve"> ground </w:t>
      </w:r>
      <w:r w:rsidR="00C00663" w:rsidRPr="00E4176F">
        <w:t xml:space="preserve">in addition to the legally </w:t>
      </w:r>
      <w:r w:rsidR="000B3AAA">
        <w:t xml:space="preserve">invalid </w:t>
      </w:r>
      <w:r w:rsidR="000E4EB4">
        <w:t>theory</w:t>
      </w:r>
      <w:r w:rsidR="00C00663">
        <w:t xml:space="preserve">.  </w:t>
      </w:r>
      <w:r w:rsidR="00C00663" w:rsidRPr="00B62584">
        <w:t>(</w:t>
      </w:r>
      <w:r w:rsidR="00387134">
        <w:t xml:space="preserve">See </w:t>
      </w:r>
      <w:r w:rsidR="00C00663" w:rsidRPr="00F34CE6">
        <w:rPr>
          <w:i/>
          <w:iCs/>
        </w:rPr>
        <w:t>Bereano</w:t>
      </w:r>
      <w:r w:rsidR="00541A34">
        <w:rPr>
          <w:i/>
          <w:iCs/>
        </w:rPr>
        <w:t>, supra,</w:t>
      </w:r>
      <w:r w:rsidR="00C00663" w:rsidRPr="00B62584">
        <w:t xml:space="preserve"> 706</w:t>
      </w:r>
      <w:r w:rsidR="00C00663">
        <w:t> </w:t>
      </w:r>
      <w:r w:rsidR="00C00663" w:rsidRPr="00B62584">
        <w:t xml:space="preserve">F.3d </w:t>
      </w:r>
      <w:r w:rsidR="00541A34">
        <w:t>at p</w:t>
      </w:r>
      <w:r w:rsidR="005769A2">
        <w:t>p</w:t>
      </w:r>
      <w:r w:rsidR="00541A34">
        <w:t>.</w:t>
      </w:r>
      <w:r w:rsidR="00C00663" w:rsidRPr="00B62584">
        <w:t xml:space="preserve"> </w:t>
      </w:r>
      <w:r w:rsidR="00C00663" w:rsidRPr="008F7F32">
        <w:t>578</w:t>
      </w:r>
      <w:r w:rsidR="005769A2">
        <w:t>-579</w:t>
      </w:r>
      <w:r w:rsidR="009A36F4" w:rsidRPr="008F7F32">
        <w:t xml:space="preserve"> </w:t>
      </w:r>
      <w:r w:rsidR="009A36F4" w:rsidRPr="005769A2">
        <w:t>[Reasoning that “[a] conviction based on honest services fraud necessarily acknowledges that the jury accepts as true the scheme the Government has alleged, that Bereano knowingly took advantage of his client[s’] trust by sending them false bills.</w:t>
      </w:r>
      <w:r w:rsidR="00FF53F2">
        <w:t xml:space="preserve"> </w:t>
      </w:r>
      <w:r w:rsidR="009A36F4" w:rsidRPr="005769A2">
        <w:t xml:space="preserve"> </w:t>
      </w:r>
      <w:r w:rsidR="009A36F4" w:rsidRPr="005769A2">
        <w:rPr>
          <w:i/>
          <w:iCs/>
        </w:rPr>
        <w:t>In accepting that this scheme took place, the jury also necessarily accepted that Bereano knowingly obtained his clients’ money by false pretenses, a finding that equates to a conviction for pecuniary fraud</w:t>
      </w:r>
      <w:r w:rsidR="009A36F4" w:rsidRPr="005769A2">
        <w:t>”]</w:t>
      </w:r>
      <w:r w:rsidR="00541A34" w:rsidRPr="008F7F32">
        <w:t xml:space="preserve">.) </w:t>
      </w:r>
      <w:r w:rsidR="000B3AAA" w:rsidRPr="008F7F32">
        <w:t xml:space="preserve"> </w:t>
      </w:r>
    </w:p>
    <w:p w14:paraId="1B36C8E0" w14:textId="17B15B1C" w:rsidR="009E55C0" w:rsidRDefault="0061079E" w:rsidP="00E4176F">
      <w:pPr>
        <w:pStyle w:val="bodytext"/>
      </w:pPr>
      <w:r w:rsidRPr="008F7F32">
        <w:t xml:space="preserve">First, </w:t>
      </w:r>
      <w:r w:rsidR="00E93C5C" w:rsidRPr="008F7F32">
        <w:t xml:space="preserve">we note that </w:t>
      </w:r>
      <w:r w:rsidR="005B6F3E" w:rsidRPr="008F7F32">
        <w:t>Roman’s</w:t>
      </w:r>
      <w:r w:rsidRPr="008F7F32">
        <w:t xml:space="preserve"> jury was instructed it had t</w:t>
      </w:r>
      <w:r>
        <w:t xml:space="preserve">o find beyond a reasonable doubt that Ruslan committed </w:t>
      </w:r>
      <w:r w:rsidR="00AE347A">
        <w:t>second degree murder</w:t>
      </w:r>
      <w:r>
        <w:t xml:space="preserve"> </w:t>
      </w:r>
      <w:r w:rsidR="00AE347A">
        <w:t>before it could convict Roman</w:t>
      </w:r>
      <w:r>
        <w:t xml:space="preserve"> </w:t>
      </w:r>
      <w:r w:rsidR="00A64128">
        <w:t xml:space="preserve">based on the natural and probable consequences theory.  </w:t>
      </w:r>
      <w:r>
        <w:t>And</w:t>
      </w:r>
      <w:r w:rsidR="00A64128">
        <w:t xml:space="preserve"> given </w:t>
      </w:r>
      <w:r w:rsidR="005B6F3E">
        <w:t xml:space="preserve">that </w:t>
      </w:r>
      <w:r w:rsidR="00A64128">
        <w:t>there was no evidence of intentional murder</w:t>
      </w:r>
      <w:r w:rsidR="00C129BA">
        <w:t xml:space="preserve"> and the prosecutor argued the murder was based on implied malice</w:t>
      </w:r>
      <w:r w:rsidR="00A64128">
        <w:t xml:space="preserve">, </w:t>
      </w:r>
      <w:r w:rsidR="005B6F3E">
        <w:t>Roman’s</w:t>
      </w:r>
      <w:r w:rsidR="00A64128">
        <w:t xml:space="preserve"> jury necessarily concluded Ruslan committed implied malice murder and in </w:t>
      </w:r>
      <w:bookmarkStart w:id="188" w:name="ElPgBr57"/>
      <w:bookmarkEnd w:id="188"/>
      <w:r w:rsidR="00A64128">
        <w:lastRenderedPageBreak/>
        <w:t>doing so ne</w:t>
      </w:r>
      <w:r w:rsidR="000B108E">
        <w:t xml:space="preserve">cessarily </w:t>
      </w:r>
      <w:r>
        <w:t xml:space="preserve">concluded that </w:t>
      </w:r>
      <w:r w:rsidR="00A64128">
        <w:t xml:space="preserve">his </w:t>
      </w:r>
      <w:r>
        <w:t xml:space="preserve">driving </w:t>
      </w:r>
      <w:r w:rsidR="00E93C5C">
        <w:t xml:space="preserve">conduct </w:t>
      </w:r>
      <w:r w:rsidR="00877B84">
        <w:t>was life endangering</w:t>
      </w:r>
      <w:r w:rsidR="000B108E">
        <w:t xml:space="preserve"> and that it caused the death of the victims</w:t>
      </w:r>
      <w:r w:rsidR="00877B84">
        <w:t xml:space="preserve">.  </w:t>
      </w:r>
    </w:p>
    <w:p w14:paraId="4E5EDA24" w14:textId="0F040E06" w:rsidR="000B108E" w:rsidRDefault="0061079E" w:rsidP="00E4176F">
      <w:pPr>
        <w:pStyle w:val="bodytext"/>
      </w:pPr>
      <w:r>
        <w:t xml:space="preserve">Second, the jury had to have found that </w:t>
      </w:r>
      <w:r w:rsidR="009E55C0">
        <w:t>Roman</w:t>
      </w:r>
      <w:r>
        <w:t xml:space="preserve"> did something to aid and abet the target crime.  The act </w:t>
      </w:r>
      <w:r w:rsidR="00E42D81">
        <w:t>Roman</w:t>
      </w:r>
      <w:r>
        <w:t xml:space="preserve"> performed </w:t>
      </w:r>
      <w:r w:rsidR="009E55C0">
        <w:t xml:space="preserve">to aid that crime </w:t>
      </w:r>
      <w:r>
        <w:t xml:space="preserve">is the same act supporting </w:t>
      </w:r>
      <w:r w:rsidR="005B6F3E">
        <w:t xml:space="preserve">culpability for </w:t>
      </w:r>
      <w:r>
        <w:t xml:space="preserve">aiding and abetting implied malice murder – he advised Ruslan </w:t>
      </w:r>
      <w:r w:rsidR="009E55C0">
        <w:t>to get off the freeway at an exit where they knew the area</w:t>
      </w:r>
      <w:r>
        <w:t xml:space="preserve">.  </w:t>
      </w:r>
    </w:p>
    <w:p w14:paraId="0EF26A80" w14:textId="0555C99C" w:rsidR="00FF48FD" w:rsidRDefault="0061079E" w:rsidP="00E4176F">
      <w:pPr>
        <w:pStyle w:val="bodytext"/>
      </w:pPr>
      <w:r>
        <w:t>Wh</w:t>
      </w:r>
      <w:r w:rsidR="00877412">
        <w:t xml:space="preserve">ile we note the </w:t>
      </w:r>
      <w:r w:rsidR="002153DD">
        <w:t xml:space="preserve">element </w:t>
      </w:r>
      <w:r w:rsidR="00E93C5C">
        <w:t xml:space="preserve">of </w:t>
      </w:r>
      <w:r w:rsidR="002153DD">
        <w:t xml:space="preserve">wanton disregard in the </w:t>
      </w:r>
      <w:r w:rsidR="007A3286">
        <w:t xml:space="preserve">evading offense </w:t>
      </w:r>
      <w:r w:rsidR="00C129BA">
        <w:t xml:space="preserve">is not limited to the safety of persons — it </w:t>
      </w:r>
      <w:r w:rsidR="00FC4DEC">
        <w:t xml:space="preserve">can be either the wanton disregard of the safety of persons </w:t>
      </w:r>
      <w:r w:rsidR="00FC4DEC" w:rsidRPr="00E4176F">
        <w:rPr>
          <w:i/>
          <w:iCs/>
        </w:rPr>
        <w:t>or property</w:t>
      </w:r>
      <w:r w:rsidR="00FC4DEC">
        <w:t xml:space="preserve"> and the jury was so instructed</w:t>
      </w:r>
      <w:r w:rsidR="00C129BA">
        <w:t xml:space="preserve"> </w:t>
      </w:r>
      <w:r>
        <w:t>—</w:t>
      </w:r>
      <w:r w:rsidR="00FC4DEC">
        <w:t xml:space="preserve"> no </w:t>
      </w:r>
      <w:r w:rsidR="001F35B9">
        <w:t>rational</w:t>
      </w:r>
      <w:r w:rsidR="00FC4DEC">
        <w:t xml:space="preserve"> jury could have concluded from the evidence here that the driving conduct in the truck </w:t>
      </w:r>
      <w:r w:rsidR="009E55C0">
        <w:t xml:space="preserve">only </w:t>
      </w:r>
      <w:r w:rsidR="00DC0BE5">
        <w:t>risked the safety</w:t>
      </w:r>
      <w:r w:rsidR="009E55C0">
        <w:t xml:space="preserve"> of</w:t>
      </w:r>
      <w:r w:rsidR="00DC0BE5">
        <w:t xml:space="preserve"> </w:t>
      </w:r>
      <w:r w:rsidR="00FC4DEC">
        <w:t>property</w:t>
      </w:r>
      <w:r w:rsidR="001B0A0B">
        <w:t xml:space="preserve">; </w:t>
      </w:r>
      <w:r w:rsidR="00DC0BE5">
        <w:t xml:space="preserve">many </w:t>
      </w:r>
      <w:r w:rsidR="001B0A0B">
        <w:t>peopl</w:t>
      </w:r>
      <w:r w:rsidR="00DC0BE5">
        <w:t xml:space="preserve">e on </w:t>
      </w:r>
      <w:r w:rsidR="00E93C5C">
        <w:t xml:space="preserve">Interstate 80 and </w:t>
      </w:r>
      <w:r w:rsidR="00DC0BE5">
        <w:t>Antelope Road</w:t>
      </w:r>
      <w:r w:rsidR="00E93C5C">
        <w:t xml:space="preserve"> that morning</w:t>
      </w:r>
      <w:r w:rsidR="00DC0BE5">
        <w:t xml:space="preserve"> were clearly endangered </w:t>
      </w:r>
      <w:r>
        <w:t xml:space="preserve">during the flight in the truck </w:t>
      </w:r>
      <w:r w:rsidR="00DC0BE5">
        <w:t>and two people were</w:t>
      </w:r>
      <w:r w:rsidR="0059124F">
        <w:t xml:space="preserve"> ultimately</w:t>
      </w:r>
      <w:r w:rsidR="001B0A0B">
        <w:t xml:space="preserve"> killed</w:t>
      </w:r>
      <w:r w:rsidR="00FC4DEC">
        <w:t xml:space="preserve">.  </w:t>
      </w:r>
    </w:p>
    <w:p w14:paraId="5A687845" w14:textId="507246A1" w:rsidR="00387134" w:rsidRDefault="0061079E" w:rsidP="00E4176F">
      <w:pPr>
        <w:pStyle w:val="bodytext"/>
      </w:pPr>
      <w:r>
        <w:t xml:space="preserve">We also </w:t>
      </w:r>
      <w:r w:rsidR="00E93C5C">
        <w:t>acknowledge</w:t>
      </w:r>
      <w:r>
        <w:t xml:space="preserve"> that the wanton disregard element can be established by </w:t>
      </w:r>
      <w:r w:rsidR="001B0A0B">
        <w:t>the commission of three or more Vehicle Code violations</w:t>
      </w:r>
      <w:r w:rsidR="009E55C0">
        <w:t xml:space="preserve"> and those violations need not be life endangering in the abstract</w:t>
      </w:r>
      <w:r w:rsidR="001B0A0B">
        <w:t>.</w:t>
      </w:r>
      <w:r>
        <w:rPr>
          <w:rStyle w:val="FootnoteReference"/>
        </w:rPr>
        <w:footnoteReference w:id="45"/>
      </w:r>
      <w:r w:rsidR="0000697E">
        <w:t xml:space="preserve"> </w:t>
      </w:r>
      <w:r w:rsidR="001B0A0B">
        <w:t xml:space="preserve"> But the evidence demonstrated</w:t>
      </w:r>
      <w:r w:rsidR="0059124F">
        <w:t xml:space="preserve"> that</w:t>
      </w:r>
      <w:r w:rsidR="00877412">
        <w:t xml:space="preserve"> t</w:t>
      </w:r>
      <w:r w:rsidR="001B0A0B">
        <w:t>he</w:t>
      </w:r>
      <w:r w:rsidR="00877412">
        <w:t xml:space="preserve"> commission</w:t>
      </w:r>
      <w:r w:rsidR="001B0A0B">
        <w:t xml:space="preserve"> of those offenses</w:t>
      </w:r>
      <w:r w:rsidR="00877412">
        <w:t xml:space="preserve"> </w:t>
      </w:r>
      <w:r w:rsidR="0059124F">
        <w:t>here was</w:t>
      </w:r>
      <w:r w:rsidR="00877412">
        <w:t xml:space="preserve"> life endangering. </w:t>
      </w:r>
      <w:r w:rsidR="0000697E">
        <w:t xml:space="preserve"> </w:t>
      </w:r>
      <w:r w:rsidR="009A36F4">
        <w:t>Consequently, it is clear that</w:t>
      </w:r>
      <w:r w:rsidR="003753EB">
        <w:t xml:space="preserve"> the evidence the jury must have</w:t>
      </w:r>
      <w:r w:rsidR="006F728F">
        <w:t xml:space="preserve"> credited and</w:t>
      </w:r>
      <w:r w:rsidR="003753EB">
        <w:t xml:space="preserve"> relied</w:t>
      </w:r>
      <w:r w:rsidR="006F728F">
        <w:t xml:space="preserve"> upon</w:t>
      </w:r>
      <w:r w:rsidR="003753EB">
        <w:t xml:space="preserve"> to find </w:t>
      </w:r>
      <w:r w:rsidR="0000697E">
        <w:t xml:space="preserve">culpability for </w:t>
      </w:r>
      <w:r w:rsidR="003753EB">
        <w:t>the target offense</w:t>
      </w:r>
      <w:r w:rsidR="0059124F">
        <w:t xml:space="preserve"> under </w:t>
      </w:r>
      <w:bookmarkStart w:id="189" w:name="ElPgBr58"/>
      <w:bookmarkEnd w:id="189"/>
      <w:r w:rsidR="0059124F">
        <w:lastRenderedPageBreak/>
        <w:t>any theory of that offense</w:t>
      </w:r>
      <w:r w:rsidR="003753EB">
        <w:t>, was the same evidence establishing Roman’s culpability for implied malice murder.</w:t>
      </w:r>
      <w:r>
        <w:rPr>
          <w:rStyle w:val="FootnoteReference"/>
        </w:rPr>
        <w:footnoteReference w:id="46"/>
      </w:r>
      <w:r w:rsidR="009E55C0">
        <w:t xml:space="preserve">  </w:t>
      </w:r>
      <w:r w:rsidR="00C51E85">
        <w:t xml:space="preserve">(See in </w:t>
      </w:r>
      <w:r w:rsidR="00C51E85" w:rsidRPr="00F34CE6">
        <w:rPr>
          <w:i/>
          <w:iCs/>
        </w:rPr>
        <w:t>Bereano</w:t>
      </w:r>
      <w:r w:rsidR="00C51E85">
        <w:rPr>
          <w:i/>
          <w:iCs/>
        </w:rPr>
        <w:t xml:space="preserve">, supra, </w:t>
      </w:r>
      <w:r w:rsidR="00C51E85" w:rsidRPr="00B62584">
        <w:t>706</w:t>
      </w:r>
      <w:r w:rsidR="00C51E85">
        <w:t> </w:t>
      </w:r>
      <w:r w:rsidR="00C51E85" w:rsidRPr="00B62584">
        <w:t xml:space="preserve">F.3d </w:t>
      </w:r>
      <w:r w:rsidR="00C51E85">
        <w:t>at p.</w:t>
      </w:r>
      <w:r w:rsidR="00C51E85" w:rsidRPr="00B62584">
        <w:t xml:space="preserve"> 578</w:t>
      </w:r>
      <w:r w:rsidR="00C51E85">
        <w:t>.)</w:t>
      </w:r>
      <w:r w:rsidR="000A5A56">
        <w:t xml:space="preserve"> </w:t>
      </w:r>
    </w:p>
    <w:p w14:paraId="177A1396" w14:textId="37E65BFB" w:rsidR="00F83FE2" w:rsidRPr="00E4176F" w:rsidRDefault="0061079E" w:rsidP="005769A2">
      <w:pPr>
        <w:pStyle w:val="bodytext"/>
        <w:keepNext/>
        <w:ind w:firstLine="0"/>
        <w:rPr>
          <w:b/>
          <w:bCs/>
        </w:rPr>
      </w:pPr>
      <w:r>
        <w:tab/>
      </w:r>
      <w:r>
        <w:tab/>
      </w:r>
      <w:r w:rsidRPr="00E4176F">
        <w:rPr>
          <w:b/>
          <w:bCs/>
        </w:rPr>
        <w:t xml:space="preserve">e.  The Prosecution’s Closing Argument </w:t>
      </w:r>
    </w:p>
    <w:p w14:paraId="1B638294" w14:textId="1B4090ED" w:rsidR="00F83FE2" w:rsidRDefault="0061079E" w:rsidP="00877B84">
      <w:pPr>
        <w:pStyle w:val="bodytext"/>
        <w:ind w:firstLine="0"/>
      </w:pPr>
      <w:r>
        <w:tab/>
        <w:t xml:space="preserve">In arguing that the alternative-theory error here was not harmless beyond a reasonable doubt, Roman </w:t>
      </w:r>
      <w:r w:rsidR="00235820">
        <w:t>relies upon</w:t>
      </w:r>
      <w:r>
        <w:t xml:space="preserve"> </w:t>
      </w:r>
      <w:r w:rsidR="008F7FF0">
        <w:t>two</w:t>
      </w:r>
      <w:r>
        <w:t xml:space="preserve"> </w:t>
      </w:r>
      <w:r w:rsidR="00C51E85">
        <w:t>isolated</w:t>
      </w:r>
      <w:r w:rsidR="008F7FF0">
        <w:t xml:space="preserve"> </w:t>
      </w:r>
      <w:r>
        <w:t>excerpt</w:t>
      </w:r>
      <w:r w:rsidR="008F7FF0">
        <w:t>s</w:t>
      </w:r>
      <w:r>
        <w:t xml:space="preserve"> of the prosecuti</w:t>
      </w:r>
      <w:r>
        <w:t xml:space="preserve">on’s </w:t>
      </w:r>
      <w:r w:rsidR="001E4177">
        <w:t>initial</w:t>
      </w:r>
      <w:r w:rsidR="00290951">
        <w:t xml:space="preserve"> </w:t>
      </w:r>
      <w:r>
        <w:t>closing argument.</w:t>
      </w:r>
      <w:r w:rsidR="00290951">
        <w:t xml:space="preserve">  He argues that because the prosecutor argued the natural and probable consequences theory was the “easiest” and “cleanest” wa</w:t>
      </w:r>
      <w:r w:rsidR="00710EE1">
        <w:t>y</w:t>
      </w:r>
      <w:r w:rsidR="00290951">
        <w:t xml:space="preserve"> to second degree murder, he was prejudiced because </w:t>
      </w:r>
      <w:r w:rsidR="002105E1">
        <w:t>we cannot say beyond a reasonable doubt that the jurors did not rely on that now invalidated theory to arrive at their verdict.</w:t>
      </w:r>
      <w:r w:rsidR="00503155">
        <w:t xml:space="preserve">  </w:t>
      </w:r>
    </w:p>
    <w:p w14:paraId="2A79A6E2" w14:textId="3EA13375" w:rsidR="00503155" w:rsidRDefault="0061079E" w:rsidP="00877B84">
      <w:pPr>
        <w:pStyle w:val="bodytext"/>
        <w:ind w:firstLine="0"/>
        <w:rPr>
          <w:rFonts w:eastAsia="Calibri"/>
        </w:rPr>
      </w:pPr>
      <w:r>
        <w:tab/>
      </w:r>
      <w:bookmarkStart w:id="190" w:name="_Hlk100157731"/>
      <w:r w:rsidR="00FB1683">
        <w:t xml:space="preserve">But while a showing that the jury did not rely on the invalidated theory </w:t>
      </w:r>
      <w:r w:rsidR="008B6626">
        <w:t xml:space="preserve">in reaching its verdict </w:t>
      </w:r>
      <w:r w:rsidR="00FB1683">
        <w:t>would establish harmlessness, a</w:t>
      </w:r>
      <w:r w:rsidR="00B109E9">
        <w:t>gain</w:t>
      </w:r>
      <w:r w:rsidR="00BE6871">
        <w:t xml:space="preserve"> </w:t>
      </w:r>
      <w:r w:rsidR="00FB1683">
        <w:t xml:space="preserve">that is not the only way harmlessness can be established.  </w:t>
      </w:r>
      <w:r>
        <w:t>(</w:t>
      </w:r>
      <w:r w:rsidRPr="00E82DC6">
        <w:rPr>
          <w:rFonts w:eastAsia="Calibri"/>
          <w:i/>
          <w:iCs/>
        </w:rPr>
        <w:t>Aledamat</w:t>
      </w:r>
      <w:r w:rsidRPr="00E82DC6">
        <w:rPr>
          <w:rFonts w:eastAsia="Calibri"/>
        </w:rPr>
        <w:t xml:space="preserve">, </w:t>
      </w:r>
      <w:r w:rsidRPr="00E82DC6">
        <w:rPr>
          <w:rFonts w:eastAsia="Calibri"/>
          <w:i/>
          <w:iCs/>
        </w:rPr>
        <w:t>supra</w:t>
      </w:r>
      <w:r w:rsidRPr="00E82DC6">
        <w:rPr>
          <w:rFonts w:eastAsia="Calibri"/>
        </w:rPr>
        <w:t>, 8 Cal.5th at p. 13</w:t>
      </w:r>
      <w:r>
        <w:rPr>
          <w:rFonts w:eastAsia="Calibri"/>
        </w:rPr>
        <w:t>.)</w:t>
      </w:r>
    </w:p>
    <w:p w14:paraId="2D6602DB" w14:textId="38FA8539" w:rsidR="007C49AD" w:rsidRDefault="0061079E">
      <w:pPr>
        <w:rPr>
          <w:rFonts w:eastAsia="Calibri"/>
        </w:rPr>
      </w:pPr>
      <w:bookmarkStart w:id="191" w:name="ElPgBr59"/>
      <w:bookmarkEnd w:id="191"/>
      <w:r>
        <w:rPr>
          <w:rFonts w:eastAsia="Calibri"/>
        </w:rPr>
        <w:lastRenderedPageBreak/>
        <w:tab/>
        <w:t xml:space="preserve">The prosecutor’s argument, </w:t>
      </w:r>
      <w:r w:rsidR="00E259E8">
        <w:rPr>
          <w:rFonts w:eastAsia="Calibri"/>
        </w:rPr>
        <w:t>is nevertheless</w:t>
      </w:r>
      <w:r>
        <w:rPr>
          <w:rFonts w:eastAsia="Calibri"/>
        </w:rPr>
        <w:t xml:space="preserve"> </w:t>
      </w:r>
      <w:r w:rsidR="00E259E8">
        <w:rPr>
          <w:rFonts w:eastAsia="Calibri"/>
        </w:rPr>
        <w:t>a pertinent circumstance that should be considered</w:t>
      </w:r>
      <w:r>
        <w:rPr>
          <w:rFonts w:eastAsia="Calibri"/>
        </w:rPr>
        <w:t xml:space="preserve"> in </w:t>
      </w:r>
      <w:r>
        <w:rPr>
          <w:rFonts w:eastAsia="Calibri"/>
        </w:rPr>
        <w:t>determining whether an error is harmless.  (</w:t>
      </w:r>
      <w:r w:rsidRPr="00E4176F">
        <w:rPr>
          <w:rFonts w:eastAsia="Calibri"/>
          <w:i/>
          <w:iCs/>
        </w:rPr>
        <w:t>Powell</w:t>
      </w:r>
      <w:r>
        <w:rPr>
          <w:rFonts w:eastAsia="Calibri"/>
        </w:rPr>
        <w:t xml:space="preserve">, </w:t>
      </w:r>
      <w:r w:rsidRPr="00E4176F">
        <w:rPr>
          <w:rFonts w:eastAsia="Calibri"/>
          <w:i/>
          <w:iCs/>
        </w:rPr>
        <w:t>supra</w:t>
      </w:r>
      <w:r>
        <w:rPr>
          <w:rFonts w:eastAsia="Calibri"/>
        </w:rPr>
        <w:t xml:space="preserve">, </w:t>
      </w:r>
      <w:r w:rsidR="00E259E8">
        <w:rPr>
          <w:rFonts w:eastAsia="Calibri"/>
        </w:rPr>
        <w:t>63 Cal.App.5th at p. 172</w:t>
      </w:r>
      <w:r w:rsidR="00CC4A25">
        <w:rPr>
          <w:rFonts w:eastAsia="Calibri"/>
        </w:rPr>
        <w:t xml:space="preserve"> </w:t>
      </w:r>
      <w:r w:rsidR="00CC4A25" w:rsidRPr="00516547">
        <w:rPr>
          <w:rFonts w:eastAsia="Calibri"/>
        </w:rPr>
        <w:t>[concluding that the instructional error as to aiding and abetting implied malice murder was harmless as to the defendant because the prosecutor did not argue he was culpable under that theory and argued implied malice only as to the codefendant]</w:t>
      </w:r>
      <w:r w:rsidR="00E259E8" w:rsidRPr="008F7F32">
        <w:rPr>
          <w:rFonts w:eastAsia="Calibri"/>
        </w:rPr>
        <w:t>.)</w:t>
      </w:r>
      <w:r w:rsidR="00E259E8">
        <w:rPr>
          <w:rFonts w:eastAsia="Calibri"/>
        </w:rPr>
        <w:t xml:space="preserve">  </w:t>
      </w:r>
      <w:r w:rsidR="00B109E9">
        <w:rPr>
          <w:rFonts w:eastAsia="Calibri"/>
        </w:rPr>
        <w:t>But r</w:t>
      </w:r>
      <w:r>
        <w:rPr>
          <w:rFonts w:eastAsia="Calibri"/>
        </w:rPr>
        <w:t xml:space="preserve">ather than focus on the two snippets highlighted by defendant, we have examined the entirety of the prosecutor’s argument concerning the two second degree murder theories.  </w:t>
      </w:r>
      <w:r>
        <w:rPr>
          <w:rFonts w:eastAsia="Calibri"/>
        </w:rPr>
        <w:t xml:space="preserve">Our </w:t>
      </w:r>
      <w:r w:rsidR="00710EE1">
        <w:rPr>
          <w:rFonts w:eastAsia="Calibri"/>
        </w:rPr>
        <w:t xml:space="preserve">review reveals </w:t>
      </w:r>
      <w:r>
        <w:rPr>
          <w:rFonts w:eastAsia="Calibri"/>
        </w:rPr>
        <w:t xml:space="preserve">his discussion focused on </w:t>
      </w:r>
      <w:r w:rsidR="00E259E8">
        <w:rPr>
          <w:rFonts w:eastAsia="Calibri"/>
        </w:rPr>
        <w:t xml:space="preserve">direct aiding and abetting </w:t>
      </w:r>
      <w:r>
        <w:rPr>
          <w:rFonts w:eastAsia="Calibri"/>
        </w:rPr>
        <w:t xml:space="preserve">implied malice </w:t>
      </w:r>
      <w:r w:rsidR="00251286">
        <w:rPr>
          <w:rFonts w:eastAsia="Calibri"/>
        </w:rPr>
        <w:t xml:space="preserve">at least </w:t>
      </w:r>
      <w:r>
        <w:rPr>
          <w:rFonts w:eastAsia="Calibri"/>
        </w:rPr>
        <w:t>as much as the natural and probable consequences theory</w:t>
      </w:r>
      <w:r w:rsidR="00710EE1">
        <w:rPr>
          <w:rFonts w:eastAsia="Calibri"/>
        </w:rPr>
        <w:t xml:space="preserve">.  </w:t>
      </w:r>
      <w:r w:rsidR="00EE545C">
        <w:rPr>
          <w:rFonts w:eastAsia="Calibri"/>
        </w:rPr>
        <w:t>Moreover,</w:t>
      </w:r>
      <w:r w:rsidR="00E259E8">
        <w:rPr>
          <w:rFonts w:eastAsia="Calibri"/>
        </w:rPr>
        <w:t xml:space="preserve"> </w:t>
      </w:r>
      <w:r>
        <w:rPr>
          <w:rFonts w:eastAsia="Calibri"/>
        </w:rPr>
        <w:t xml:space="preserve">his </w:t>
      </w:r>
      <w:r w:rsidR="000D7FDC">
        <w:rPr>
          <w:rFonts w:eastAsia="Calibri"/>
        </w:rPr>
        <w:t xml:space="preserve">theme </w:t>
      </w:r>
      <w:r w:rsidR="002A7181">
        <w:rPr>
          <w:rFonts w:eastAsia="Calibri"/>
        </w:rPr>
        <w:t>from the beginning of the trial was that</w:t>
      </w:r>
      <w:r w:rsidR="000D7FDC">
        <w:rPr>
          <w:rFonts w:eastAsia="Calibri"/>
        </w:rPr>
        <w:t xml:space="preserve"> Roman and his brother did not care</w:t>
      </w:r>
      <w:r w:rsidR="002A7181">
        <w:rPr>
          <w:rFonts w:eastAsia="Calibri"/>
        </w:rPr>
        <w:t xml:space="preserve"> about the risks posed to others by their </w:t>
      </w:r>
      <w:r w:rsidR="003D00C4">
        <w:rPr>
          <w:rFonts w:eastAsia="Calibri"/>
        </w:rPr>
        <w:t>flight</w:t>
      </w:r>
      <w:r w:rsidR="002A7181">
        <w:rPr>
          <w:rFonts w:eastAsia="Calibri"/>
        </w:rPr>
        <w:t>,</w:t>
      </w:r>
      <w:r w:rsidR="000D7FDC">
        <w:rPr>
          <w:rFonts w:eastAsia="Calibri"/>
        </w:rPr>
        <w:t xml:space="preserve"> a theme consistent with</w:t>
      </w:r>
      <w:r w:rsidR="008021CF">
        <w:rPr>
          <w:rFonts w:eastAsia="Calibri"/>
        </w:rPr>
        <w:t xml:space="preserve"> the</w:t>
      </w:r>
      <w:r w:rsidR="000D7FDC">
        <w:rPr>
          <w:rFonts w:eastAsia="Calibri"/>
        </w:rPr>
        <w:t xml:space="preserve"> conscious disregard for the risk</w:t>
      </w:r>
      <w:r w:rsidR="00E94A44">
        <w:rPr>
          <w:rFonts w:eastAsia="Calibri"/>
        </w:rPr>
        <w:t xml:space="preserve"> of death</w:t>
      </w:r>
      <w:r w:rsidR="008021CF">
        <w:rPr>
          <w:rFonts w:eastAsia="Calibri"/>
        </w:rPr>
        <w:t xml:space="preserve"> element of implied malice murder. </w:t>
      </w:r>
      <w:r w:rsidR="003D00C4">
        <w:t xml:space="preserve"> </w:t>
      </w:r>
    </w:p>
    <w:p w14:paraId="1BEFE4DE" w14:textId="7051F2C7" w:rsidR="008021CF" w:rsidRDefault="0061079E">
      <w:r>
        <w:rPr>
          <w:rFonts w:eastAsia="Calibri"/>
        </w:rPr>
        <w:tab/>
      </w:r>
      <w:r w:rsidR="00E259E8">
        <w:rPr>
          <w:rFonts w:eastAsia="Calibri"/>
        </w:rPr>
        <w:t>The prosecutor</w:t>
      </w:r>
      <w:r w:rsidR="006D6CF4">
        <w:rPr>
          <w:rFonts w:eastAsia="Calibri"/>
        </w:rPr>
        <w:t xml:space="preserve"> began his </w:t>
      </w:r>
      <w:r w:rsidR="001E4177">
        <w:rPr>
          <w:rFonts w:eastAsia="Calibri"/>
        </w:rPr>
        <w:t>initial</w:t>
      </w:r>
      <w:r w:rsidR="006D6CF4">
        <w:rPr>
          <w:rFonts w:eastAsia="Calibri"/>
        </w:rPr>
        <w:t xml:space="preserve"> closing argument with this same theme:  </w:t>
      </w:r>
      <w:r w:rsidR="003D00C4">
        <w:rPr>
          <w:rFonts w:eastAsia="Calibri"/>
        </w:rPr>
        <w:t>“</w:t>
      </w:r>
      <w:r w:rsidR="006D6CF4" w:rsidRPr="003A3CA2">
        <w:t>The defendant and his brother could care less who was on the roadway at 6:30 in the morning as they were driving . . . at almost 100 miles per hour through commute traffic.  Certainly didn’t care that the road they were about to get off on was much more congested and . . . was much mor</w:t>
      </w:r>
      <w:r w:rsidR="00347A1A">
        <w:t>e</w:t>
      </w:r>
      <w:r w:rsidR="006D6CF4" w:rsidRPr="003A3CA2">
        <w:t xml:space="preserve"> higher likely [sic] to end in the tragedy that we’ve got in this case.  [¶]  The defendant and his brother could care less as they drove this truck into this small car at speeds between 74 to 80 miles per hour.  They didn’t care that [the victims] were dying in that car as they got out and they kept running.”  </w:t>
      </w:r>
    </w:p>
    <w:p w14:paraId="0601555B" w14:textId="4A26A07B" w:rsidR="00347A1A" w:rsidRPr="00E4176F" w:rsidRDefault="0061079E" w:rsidP="00E4176F">
      <w:r>
        <w:tab/>
      </w:r>
      <w:r w:rsidR="000A64BB">
        <w:t>Later, i</w:t>
      </w:r>
      <w:r>
        <w:t>n discussing the murder counts, the prosecutor explained there were two degrees of murder the jury was to consider, first</w:t>
      </w:r>
      <w:r w:rsidR="00023AE5">
        <w:t xml:space="preserve"> </w:t>
      </w:r>
      <w:r>
        <w:t>degree felony murder based on the burglary during which the k</w:t>
      </w:r>
      <w:r>
        <w:t>eys for the truck were stolen and second</w:t>
      </w:r>
      <w:r w:rsidR="00023AE5">
        <w:t xml:space="preserve"> </w:t>
      </w:r>
      <w:r>
        <w:t>degree murder based on implied malice murder.  In describing the second</w:t>
      </w:r>
      <w:r w:rsidR="008F3940">
        <w:t xml:space="preserve"> </w:t>
      </w:r>
      <w:r>
        <w:t>degree murder theory, the prosecutor told the jury there were “two different ways that a defendant is guilty of second-degree murder.  One is h</w:t>
      </w:r>
      <w:r>
        <w:t xml:space="preserve">e is an aider and abettor to Ruslan’s implied malice murder.  He is directly aiding and abetting Ruslan in committing a second-degree murder.  [¶] </w:t>
      </w:r>
      <w:r w:rsidR="00B5227E">
        <w:t xml:space="preserve"> </w:t>
      </w:r>
      <w:r>
        <w:t xml:space="preserve">And the </w:t>
      </w:r>
      <w:bookmarkStart w:id="192" w:name="ElPgBr60"/>
      <w:bookmarkEnd w:id="192"/>
      <w:r>
        <w:lastRenderedPageBreak/>
        <w:t>other way is this natural and probable consequence.  This is sort of the least common denominator un</w:t>
      </w:r>
      <w:r>
        <w:t>der these facts.  I think it is the easiest to get to and it’s clearest to get to second-degree murder for Defendant Roman under this aider and abettor to natural and probable consequence.  [¶]</w:t>
      </w:r>
      <w:r w:rsidR="00B5227E">
        <w:t xml:space="preserve"> </w:t>
      </w:r>
      <w:r>
        <w:t xml:space="preserve"> But in order to determine</w:t>
      </w:r>
      <w:r w:rsidR="00B5227E">
        <w:t xml:space="preserve"> . . . </w:t>
      </w:r>
      <w:r>
        <w:t xml:space="preserve">the defendant is guilty, you </w:t>
      </w:r>
      <w:r>
        <w:t xml:space="preserve">have to determine if Ruslan’s guilty of second-degree murder because you can’t aid and abet a crime that never happened.  So you have to first say, ‘Did Ruslan commit a second-degree murder by implied malice?’ ” </w:t>
      </w:r>
    </w:p>
    <w:p w14:paraId="1B99A04D" w14:textId="7244433A" w:rsidR="00A14594" w:rsidRDefault="0061079E">
      <w:pPr>
        <w:rPr>
          <w:rFonts w:eastAsia="Calibri"/>
        </w:rPr>
      </w:pPr>
      <w:r>
        <w:rPr>
          <w:rFonts w:eastAsia="Calibri"/>
        </w:rPr>
        <w:tab/>
      </w:r>
      <w:r w:rsidR="00347A1A">
        <w:rPr>
          <w:rFonts w:eastAsia="Calibri"/>
        </w:rPr>
        <w:t xml:space="preserve">After discussing the relevant evidence establishing Ruslan’s culpability for implied malice murder, </w:t>
      </w:r>
      <w:r w:rsidR="00E259E8">
        <w:rPr>
          <w:rFonts w:eastAsia="Calibri"/>
        </w:rPr>
        <w:t>the prosecutor</w:t>
      </w:r>
      <w:r w:rsidR="00971817">
        <w:rPr>
          <w:rFonts w:eastAsia="Calibri"/>
        </w:rPr>
        <w:t xml:space="preserve"> then turned to Roman’s culpability as a direct aider and abettor by first posing the following questions:  “[W]</w:t>
      </w:r>
      <w:r w:rsidR="00971817">
        <w:t>hat was Roman’s state of mind?  Did Roman encourage this?</w:t>
      </w:r>
      <w:r w:rsidR="00B5227E">
        <w:t>”</w:t>
      </w:r>
      <w:r w:rsidR="00971817">
        <w:t xml:space="preserve">  He then discussed some of the circumstances we discuss</w:t>
      </w:r>
      <w:r w:rsidR="00BC6B11">
        <w:t>ed</w:t>
      </w:r>
      <w:r w:rsidR="00971817">
        <w:t xml:space="preserve"> </w:t>
      </w:r>
      <w:r w:rsidR="00971817" w:rsidRPr="00E4176F">
        <w:rPr>
          <w:i/>
          <w:iCs/>
        </w:rPr>
        <w:t>ante</w:t>
      </w:r>
      <w:r w:rsidR="00971817">
        <w:t xml:space="preserve"> </w:t>
      </w:r>
      <w:r w:rsidR="001D5B68">
        <w:t xml:space="preserve">answering these questions and </w:t>
      </w:r>
      <w:r w:rsidR="00971817">
        <w:t xml:space="preserve">establishing Roman’s culpability for </w:t>
      </w:r>
      <w:r w:rsidR="001D5B68">
        <w:t xml:space="preserve">aiding and abetting </w:t>
      </w:r>
      <w:r w:rsidR="00971817">
        <w:t xml:space="preserve">implied malice murder, including Roman’s advice to get off </w:t>
      </w:r>
      <w:r w:rsidR="00CC4A25">
        <w:t xml:space="preserve">the freeway </w:t>
      </w:r>
      <w:r w:rsidR="00971817">
        <w:t>at Antelope</w:t>
      </w:r>
      <w:r w:rsidR="001D5B68">
        <w:t>.  The prosecutor</w:t>
      </w:r>
      <w:r w:rsidR="00971817">
        <w:t xml:space="preserve"> emphasized that it was this advice “that brought Ruslan’s driving in direct conflict with” the Kia.  The prosecutor argued Roman “didn’t care any more than Ruslan did” and </w:t>
      </w:r>
      <w:r w:rsidR="001D5B68">
        <w:t>further argued</w:t>
      </w:r>
      <w:r w:rsidR="00971817">
        <w:t xml:space="preserve">, “[t]hey don’t care if they kill.  That’s murder </w:t>
      </w:r>
      <w:r w:rsidR="00B5227E">
        <w:t>under</w:t>
      </w:r>
      <w:r w:rsidR="00971817">
        <w:t xml:space="preserve"> the second degree.”  </w:t>
      </w:r>
    </w:p>
    <w:p w14:paraId="7664A125" w14:textId="00B503A8" w:rsidR="00710EE1" w:rsidRDefault="0061079E" w:rsidP="00E4176F">
      <w:pPr>
        <w:rPr>
          <w:rFonts w:eastAsia="Calibri"/>
        </w:rPr>
      </w:pPr>
      <w:r>
        <w:rPr>
          <w:rFonts w:eastAsia="Calibri"/>
        </w:rPr>
        <w:tab/>
      </w:r>
      <w:r w:rsidR="003D00C4">
        <w:rPr>
          <w:rFonts w:eastAsia="Calibri"/>
        </w:rPr>
        <w:t>Turning to the alternative theory, t</w:t>
      </w:r>
      <w:r w:rsidR="00971817">
        <w:t>he prosecutor then stated, “so that’s one way.  It’s even easier to get to second-degree murder through what’s known as a natural and probable consequence doctrine.</w:t>
      </w:r>
      <w:r w:rsidR="00F02B10">
        <w:t>”</w:t>
      </w:r>
      <w:r w:rsidR="00971817">
        <w:t xml:space="preserve">  </w:t>
      </w:r>
      <w:r w:rsidR="00466C09">
        <w:rPr>
          <w:rFonts w:eastAsia="Calibri"/>
        </w:rPr>
        <w:t>After discussing the evidence establishing the target offense of evading a peace officer with wanton disregard, the prosecutor</w:t>
      </w:r>
      <w:r w:rsidR="009B4ED6">
        <w:rPr>
          <w:rFonts w:eastAsia="Calibri"/>
        </w:rPr>
        <w:t xml:space="preserve"> </w:t>
      </w:r>
      <w:r w:rsidR="00EE545C">
        <w:rPr>
          <w:rFonts w:eastAsia="Calibri"/>
        </w:rPr>
        <w:t xml:space="preserve">again </w:t>
      </w:r>
      <w:r w:rsidR="009B4ED6">
        <w:rPr>
          <w:rFonts w:eastAsia="Calibri"/>
        </w:rPr>
        <w:t>posed the question</w:t>
      </w:r>
      <w:r w:rsidR="00466C09">
        <w:rPr>
          <w:rFonts w:eastAsia="Calibri"/>
        </w:rPr>
        <w:t>, “did Roman encourage that</w:t>
      </w:r>
      <w:r w:rsidR="006D6CF4">
        <w:rPr>
          <w:rFonts w:eastAsia="Calibri"/>
        </w:rPr>
        <w:t xml:space="preserve">?” </w:t>
      </w:r>
      <w:r w:rsidR="009B4ED6">
        <w:rPr>
          <w:rFonts w:eastAsia="Calibri"/>
        </w:rPr>
        <w:t xml:space="preserve"> He answered </w:t>
      </w:r>
      <w:r w:rsidR="006D6CF4">
        <w:rPr>
          <w:rFonts w:eastAsia="Calibri"/>
        </w:rPr>
        <w:t>his question</w:t>
      </w:r>
      <w:r w:rsidR="009B4ED6">
        <w:rPr>
          <w:rFonts w:eastAsia="Calibri"/>
        </w:rPr>
        <w:t xml:space="preserve"> by </w:t>
      </w:r>
      <w:r w:rsidR="002807C5">
        <w:rPr>
          <w:rFonts w:eastAsia="Calibri"/>
        </w:rPr>
        <w:t xml:space="preserve">telling the jury, “Again, look at the </w:t>
      </w:r>
      <w:r w:rsidR="002807C5" w:rsidRPr="00E4176F">
        <w:rPr>
          <w:rFonts w:eastAsia="Calibri"/>
          <w:i/>
          <w:iCs/>
        </w:rPr>
        <w:t>at the same thing</w:t>
      </w:r>
      <w:r w:rsidR="002807C5">
        <w:rPr>
          <w:rFonts w:eastAsia="Calibri"/>
        </w:rPr>
        <w:t>” and reiterated the argument he had made concerning implied malice murder</w:t>
      </w:r>
      <w:r w:rsidR="00D443B3">
        <w:rPr>
          <w:rFonts w:eastAsia="Calibri"/>
        </w:rPr>
        <w:t>, emphasizing Roman’s</w:t>
      </w:r>
      <w:r w:rsidR="00656CD9">
        <w:rPr>
          <w:rFonts w:eastAsia="Calibri"/>
        </w:rPr>
        <w:t xml:space="preserve"> advice to get off at </w:t>
      </w:r>
      <w:r w:rsidR="002807C5">
        <w:rPr>
          <w:rFonts w:eastAsia="Calibri"/>
        </w:rPr>
        <w:t>Antelope Road</w:t>
      </w:r>
      <w:r w:rsidR="00D443B3">
        <w:rPr>
          <w:rFonts w:eastAsia="Calibri"/>
        </w:rPr>
        <w:t>.  He told the jury the brothers</w:t>
      </w:r>
      <w:r w:rsidR="002807C5">
        <w:rPr>
          <w:rFonts w:eastAsia="Calibri"/>
        </w:rPr>
        <w:t xml:space="preserve"> went from the freeway to “a more congested road” </w:t>
      </w:r>
      <w:r w:rsidR="00D443B3">
        <w:rPr>
          <w:rFonts w:eastAsia="Calibri"/>
        </w:rPr>
        <w:t xml:space="preserve">and </w:t>
      </w:r>
      <w:r w:rsidR="002807C5">
        <w:rPr>
          <w:rFonts w:eastAsia="Calibri"/>
        </w:rPr>
        <w:t xml:space="preserve">argued </w:t>
      </w:r>
      <w:r w:rsidR="002807C5">
        <w:t xml:space="preserve">it was “just a matter of time when there is an awful tragedy, and that’s exactly what happened.”  </w:t>
      </w:r>
    </w:p>
    <w:p w14:paraId="12945DE3" w14:textId="024B8C81" w:rsidR="004676AF" w:rsidRDefault="0061079E" w:rsidP="00877B84">
      <w:pPr>
        <w:pStyle w:val="bodytext"/>
        <w:ind w:firstLine="0"/>
        <w:rPr>
          <w:rFonts w:eastAsia="Calibri"/>
        </w:rPr>
      </w:pPr>
      <w:bookmarkStart w:id="193" w:name="ElPgBr61"/>
      <w:bookmarkEnd w:id="193"/>
      <w:r>
        <w:rPr>
          <w:rFonts w:eastAsia="Calibri"/>
        </w:rPr>
        <w:lastRenderedPageBreak/>
        <w:tab/>
      </w:r>
      <w:r w:rsidR="00F921F6">
        <w:rPr>
          <w:rFonts w:eastAsia="Calibri"/>
        </w:rPr>
        <w:t>C</w:t>
      </w:r>
      <w:r w:rsidR="00D443B3">
        <w:rPr>
          <w:rFonts w:eastAsia="Calibri"/>
        </w:rPr>
        <w:t xml:space="preserve">ritically, </w:t>
      </w:r>
      <w:r w:rsidR="00666FED">
        <w:rPr>
          <w:rFonts w:eastAsia="Calibri"/>
        </w:rPr>
        <w:t xml:space="preserve">the </w:t>
      </w:r>
      <w:r w:rsidR="00F921F6">
        <w:rPr>
          <w:rFonts w:eastAsia="Calibri"/>
        </w:rPr>
        <w:t xml:space="preserve">prosecutor’s </w:t>
      </w:r>
      <w:r w:rsidR="00666FED">
        <w:rPr>
          <w:rFonts w:eastAsia="Calibri"/>
        </w:rPr>
        <w:t>argument</w:t>
      </w:r>
      <w:r w:rsidR="00F921F6">
        <w:rPr>
          <w:rFonts w:eastAsia="Calibri"/>
        </w:rPr>
        <w:t xml:space="preserve"> as to each </w:t>
      </w:r>
      <w:r w:rsidR="008D3E6D">
        <w:rPr>
          <w:rFonts w:eastAsia="Calibri"/>
        </w:rPr>
        <w:t xml:space="preserve">second degree murder </w:t>
      </w:r>
      <w:r w:rsidR="00F921F6">
        <w:rPr>
          <w:rFonts w:eastAsia="Calibri"/>
        </w:rPr>
        <w:t>theory</w:t>
      </w:r>
      <w:r w:rsidR="00666FED">
        <w:rPr>
          <w:rFonts w:eastAsia="Calibri"/>
        </w:rPr>
        <w:t xml:space="preserve"> focused on the same evidence — </w:t>
      </w:r>
      <w:r w:rsidR="00D443B3">
        <w:rPr>
          <w:rFonts w:eastAsia="Calibri"/>
        </w:rPr>
        <w:t xml:space="preserve">or as the prosecutor put it, </w:t>
      </w:r>
      <w:r w:rsidR="00666FED">
        <w:rPr>
          <w:rFonts w:eastAsia="Calibri"/>
        </w:rPr>
        <w:t>“the same thing</w:t>
      </w:r>
      <w:r w:rsidR="00F921F6">
        <w:rPr>
          <w:rFonts w:eastAsia="Calibri"/>
        </w:rPr>
        <w:t xml:space="preserve">.”  Similar to </w:t>
      </w:r>
      <w:r w:rsidR="00F921F6" w:rsidRPr="00E4176F">
        <w:rPr>
          <w:rFonts w:eastAsia="Calibri"/>
          <w:i/>
          <w:iCs/>
        </w:rPr>
        <w:t>Skilling II</w:t>
      </w:r>
      <w:r w:rsidR="00F921F6">
        <w:rPr>
          <w:rFonts w:eastAsia="Calibri"/>
        </w:rPr>
        <w:t xml:space="preserve">, we conclude that the fact the argument </w:t>
      </w:r>
      <w:r w:rsidR="008F12CD">
        <w:rPr>
          <w:rFonts w:eastAsia="Calibri"/>
        </w:rPr>
        <w:t>permitted the jury to decide the case based on</w:t>
      </w:r>
      <w:r>
        <w:rPr>
          <w:rFonts w:eastAsia="Calibri"/>
        </w:rPr>
        <w:t xml:space="preserve"> </w:t>
      </w:r>
      <w:r w:rsidR="00E35BD9">
        <w:rPr>
          <w:rFonts w:eastAsia="Calibri"/>
        </w:rPr>
        <w:t>two theories, one of which was later invalidated,</w:t>
      </w:r>
      <w:r w:rsidR="008F12CD">
        <w:rPr>
          <w:rFonts w:eastAsia="Calibri"/>
        </w:rPr>
        <w:t xml:space="preserve"> “shows only that an alternative-theory error occurred, not that the error was not harmless.”  (</w:t>
      </w:r>
      <w:r w:rsidR="008F12CD" w:rsidRPr="00E4176F">
        <w:rPr>
          <w:rFonts w:eastAsia="Calibri"/>
          <w:i/>
          <w:iCs/>
        </w:rPr>
        <w:t>Skilling II</w:t>
      </w:r>
      <w:r w:rsidR="008F12CD">
        <w:rPr>
          <w:rFonts w:eastAsia="Calibri"/>
        </w:rPr>
        <w:t xml:space="preserve">, </w:t>
      </w:r>
      <w:r w:rsidR="008F12CD" w:rsidRPr="00E4176F">
        <w:rPr>
          <w:rFonts w:eastAsia="Calibri"/>
          <w:i/>
          <w:iCs/>
        </w:rPr>
        <w:t>supra</w:t>
      </w:r>
      <w:r w:rsidR="008F12CD">
        <w:rPr>
          <w:rFonts w:eastAsia="Calibri"/>
        </w:rPr>
        <w:t xml:space="preserve">, </w:t>
      </w:r>
      <w:r w:rsidR="00666FED">
        <w:rPr>
          <w:rFonts w:eastAsia="Calibri"/>
        </w:rPr>
        <w:t xml:space="preserve">638 F.3d at p. 483.)  </w:t>
      </w:r>
      <w:r w:rsidR="00F921F6">
        <w:rPr>
          <w:rFonts w:eastAsia="Calibri"/>
        </w:rPr>
        <w:t xml:space="preserve">And like in </w:t>
      </w:r>
      <w:r w:rsidR="00F921F6" w:rsidRPr="00E4176F">
        <w:rPr>
          <w:rFonts w:eastAsia="Calibri"/>
          <w:i/>
          <w:iCs/>
        </w:rPr>
        <w:t>Skilling II</w:t>
      </w:r>
      <w:r w:rsidR="00F921F6">
        <w:rPr>
          <w:rFonts w:eastAsia="Calibri"/>
        </w:rPr>
        <w:t>,</w:t>
      </w:r>
      <w:r>
        <w:rPr>
          <w:rFonts w:eastAsia="Calibri"/>
        </w:rPr>
        <w:t xml:space="preserve"> the evidence </w:t>
      </w:r>
      <w:r w:rsidR="00F921F6">
        <w:rPr>
          <w:rFonts w:eastAsia="Calibri"/>
        </w:rPr>
        <w:t xml:space="preserve">of the valid theory </w:t>
      </w:r>
      <w:r>
        <w:rPr>
          <w:rFonts w:eastAsia="Calibri"/>
        </w:rPr>
        <w:t>was overwhelming</w:t>
      </w:r>
      <w:r w:rsidR="008D3E6D">
        <w:rPr>
          <w:rFonts w:eastAsia="Calibri"/>
        </w:rPr>
        <w:t>.  Moreover,</w:t>
      </w:r>
      <w:r>
        <w:rPr>
          <w:rFonts w:eastAsia="Calibri"/>
        </w:rPr>
        <w:t xml:space="preserve"> </w:t>
      </w:r>
      <w:r w:rsidR="00F921F6">
        <w:rPr>
          <w:rFonts w:eastAsia="Calibri"/>
        </w:rPr>
        <w:t>the</w:t>
      </w:r>
      <w:r>
        <w:rPr>
          <w:rFonts w:eastAsia="Calibri"/>
        </w:rPr>
        <w:t xml:space="preserve"> evidence the prosecutor foc</w:t>
      </w:r>
      <w:r>
        <w:rPr>
          <w:rFonts w:eastAsia="Calibri"/>
        </w:rPr>
        <w:t>used upon and that the jury must have credited to conclude that defendant aided and abetted the target crime was the same that established his culpability for aiding and abetting implied malice murder.</w:t>
      </w:r>
      <w:r w:rsidR="008D3E6D">
        <w:rPr>
          <w:rFonts w:eastAsia="Calibri"/>
        </w:rPr>
        <w:t xml:space="preserve">  (See </w:t>
      </w:r>
      <w:r w:rsidR="008D3E6D" w:rsidRPr="00F34CE6">
        <w:rPr>
          <w:i/>
          <w:iCs/>
        </w:rPr>
        <w:t>Bereano</w:t>
      </w:r>
      <w:r w:rsidR="008D3E6D">
        <w:rPr>
          <w:i/>
          <w:iCs/>
        </w:rPr>
        <w:t xml:space="preserve">, supra, </w:t>
      </w:r>
      <w:r w:rsidR="008D3E6D" w:rsidRPr="00B62584">
        <w:t>706</w:t>
      </w:r>
      <w:r w:rsidR="008D3E6D">
        <w:t> </w:t>
      </w:r>
      <w:r w:rsidR="008D3E6D" w:rsidRPr="00B62584">
        <w:t xml:space="preserve">F.3d </w:t>
      </w:r>
      <w:r w:rsidR="00765C42">
        <w:t>at p.</w:t>
      </w:r>
      <w:r w:rsidR="008D3E6D" w:rsidRPr="00B62584">
        <w:t xml:space="preserve"> 578</w:t>
      </w:r>
      <w:r w:rsidR="00765C42">
        <w:t xml:space="preserve"> and</w:t>
      </w:r>
      <w:r w:rsidR="008D3E6D" w:rsidRPr="00F34CE6">
        <w:rPr>
          <w:i/>
          <w:iCs/>
        </w:rPr>
        <w:t xml:space="preserve"> Jefferson</w:t>
      </w:r>
      <w:r w:rsidR="00765C42">
        <w:rPr>
          <w:i/>
          <w:iCs/>
        </w:rPr>
        <w:t>, supra,</w:t>
      </w:r>
      <w:r w:rsidR="008D3E6D" w:rsidRPr="00B62584">
        <w:t xml:space="preserve"> 674</w:t>
      </w:r>
      <w:r w:rsidR="008D3E6D">
        <w:t> </w:t>
      </w:r>
      <w:r w:rsidR="008D3E6D" w:rsidRPr="00B62584">
        <w:t xml:space="preserve">F.3d </w:t>
      </w:r>
      <w:r w:rsidR="00765C42">
        <w:t xml:space="preserve">at p. </w:t>
      </w:r>
      <w:r w:rsidR="008D3E6D" w:rsidRPr="00B62584">
        <w:t>361</w:t>
      </w:r>
      <w:r w:rsidR="00765C42">
        <w:t>.)</w:t>
      </w:r>
      <w:r w:rsidR="008D3E6D" w:rsidRPr="00B62584">
        <w:t xml:space="preserve"> </w:t>
      </w:r>
    </w:p>
    <w:p w14:paraId="02180018" w14:textId="2759D85A" w:rsidR="00F921F6" w:rsidRDefault="0061079E" w:rsidP="00877B84">
      <w:pPr>
        <w:pStyle w:val="bodytext"/>
        <w:ind w:firstLine="0"/>
        <w:rPr>
          <w:rFonts w:eastAsia="Calibri"/>
        </w:rPr>
      </w:pPr>
      <w:r>
        <w:rPr>
          <w:rFonts w:eastAsia="Calibri"/>
        </w:rPr>
        <w:tab/>
      </w:r>
      <w:r w:rsidR="00E46F5E">
        <w:rPr>
          <w:rFonts w:eastAsia="Calibri"/>
        </w:rPr>
        <w:t>Accordingly, w</w:t>
      </w:r>
      <w:r w:rsidR="00765C42">
        <w:rPr>
          <w:rFonts w:eastAsia="Calibri"/>
        </w:rPr>
        <w:t>e are not persuaded by Roman’s contention that t</w:t>
      </w:r>
      <w:r w:rsidR="00E7283F">
        <w:rPr>
          <w:rFonts w:eastAsia="Calibri"/>
        </w:rPr>
        <w:t xml:space="preserve">he prosecutor’s argument here prejudiced </w:t>
      </w:r>
      <w:r w:rsidR="00765C42">
        <w:rPr>
          <w:rFonts w:eastAsia="Calibri"/>
        </w:rPr>
        <w:t xml:space="preserve">him.  </w:t>
      </w:r>
    </w:p>
    <w:p w14:paraId="13C5DD7C" w14:textId="2C9164F2" w:rsidR="00EE545C" w:rsidRPr="00E4176F" w:rsidRDefault="0061079E" w:rsidP="00516547">
      <w:pPr>
        <w:pStyle w:val="bodytext"/>
        <w:keepNext/>
        <w:ind w:firstLine="0"/>
        <w:rPr>
          <w:rFonts w:eastAsia="Calibri"/>
          <w:b/>
          <w:bCs/>
        </w:rPr>
      </w:pPr>
      <w:r>
        <w:rPr>
          <w:rFonts w:eastAsia="Calibri"/>
        </w:rPr>
        <w:tab/>
      </w:r>
      <w:r w:rsidR="00C625A7">
        <w:rPr>
          <w:rFonts w:eastAsia="Calibri"/>
        </w:rPr>
        <w:tab/>
      </w:r>
      <w:r w:rsidRPr="00E4176F">
        <w:rPr>
          <w:rFonts w:eastAsia="Calibri"/>
          <w:b/>
          <w:bCs/>
        </w:rPr>
        <w:t xml:space="preserve">f.  Conclusion – Retroactive Alternative-Theory Error </w:t>
      </w:r>
    </w:p>
    <w:p w14:paraId="6A24E3E7" w14:textId="3CCDC3F9" w:rsidR="00EE545C" w:rsidRPr="00A14594" w:rsidRDefault="0061079E" w:rsidP="00E4176F">
      <w:r w:rsidRPr="00E4176F">
        <w:rPr>
          <w:rFonts w:eastAsia="Calibri"/>
        </w:rPr>
        <w:tab/>
        <w:t xml:space="preserve">Applying </w:t>
      </w:r>
      <w:r w:rsidRPr="00E4176F">
        <w:rPr>
          <w:rFonts w:eastAsia="Calibri"/>
          <w:i/>
          <w:iCs/>
        </w:rPr>
        <w:t>Chapman</w:t>
      </w:r>
      <w:r w:rsidRPr="00E4176F">
        <w:rPr>
          <w:rFonts w:eastAsia="Calibri"/>
        </w:rPr>
        <w:t xml:space="preserve">, </w:t>
      </w:r>
      <w:r w:rsidRPr="00E4176F">
        <w:rPr>
          <w:rFonts w:eastAsia="Calibri"/>
          <w:i/>
          <w:iCs/>
        </w:rPr>
        <w:t>Neder</w:t>
      </w:r>
      <w:r w:rsidRPr="00E4176F">
        <w:rPr>
          <w:rFonts w:eastAsia="Calibri"/>
        </w:rPr>
        <w:t xml:space="preserve">, </w:t>
      </w:r>
      <w:r w:rsidRPr="00E4176F">
        <w:rPr>
          <w:rFonts w:eastAsia="Calibri"/>
          <w:i/>
          <w:iCs/>
        </w:rPr>
        <w:t>Aledamat</w:t>
      </w:r>
      <w:r w:rsidRPr="00E4176F">
        <w:rPr>
          <w:rFonts w:eastAsia="Calibri"/>
        </w:rPr>
        <w:t xml:space="preserve"> and the federal circuit cases we have discussed, we conclude beyond a reasonable doubt that a </w:t>
      </w:r>
      <w:r w:rsidRPr="00E4176F">
        <w:t xml:space="preserve">rational jury would have found </w:t>
      </w:r>
      <w:r w:rsidR="00CC4A25">
        <w:t xml:space="preserve">Roman </w:t>
      </w:r>
      <w:r w:rsidRPr="00E4176F">
        <w:t xml:space="preserve">guilty absent the </w:t>
      </w:r>
      <w:r w:rsidRPr="00E4176F">
        <w:rPr>
          <w:rFonts w:eastAsia="Calibri"/>
        </w:rPr>
        <w:t>retroactive alternative-theory error occasioned by Senate Bill 1437.</w:t>
      </w:r>
      <w:r>
        <w:rPr>
          <w:rFonts w:eastAsia="Calibri"/>
        </w:rPr>
        <w:t xml:space="preserve">  </w:t>
      </w:r>
    </w:p>
    <w:bookmarkEnd w:id="190"/>
    <w:p w14:paraId="543BB76F" w14:textId="083E3250" w:rsidR="00F83FE2" w:rsidRPr="00E4176F" w:rsidRDefault="0061079E" w:rsidP="00516547">
      <w:pPr>
        <w:pStyle w:val="bodytext"/>
        <w:keepNext/>
        <w:ind w:firstLine="0"/>
      </w:pPr>
      <w:r>
        <w:tab/>
      </w:r>
      <w:r w:rsidRPr="00E4176F">
        <w:rPr>
          <w:b/>
          <w:bCs/>
        </w:rPr>
        <w:t>3</w:t>
      </w:r>
      <w:r w:rsidRPr="007D49E7">
        <w:rPr>
          <w:b/>
          <w:bCs/>
        </w:rPr>
        <w:t>.</w:t>
      </w:r>
      <w:r w:rsidRPr="00D467E3">
        <w:rPr>
          <w:b/>
          <w:bCs/>
        </w:rPr>
        <w:t xml:space="preserve">  Analysis – Harmlessness of the</w:t>
      </w:r>
      <w:r w:rsidRPr="00D467E3">
        <w:rPr>
          <w:b/>
          <w:bCs/>
        </w:rPr>
        <w:t xml:space="preserve"> </w:t>
      </w:r>
      <w:r w:rsidRPr="00E4176F">
        <w:rPr>
          <w:b/>
          <w:bCs/>
          <w:i/>
          <w:iCs/>
        </w:rPr>
        <w:t>Powell</w:t>
      </w:r>
      <w:r w:rsidRPr="00D467E3">
        <w:rPr>
          <w:b/>
          <w:bCs/>
        </w:rPr>
        <w:t xml:space="preserve"> Error </w:t>
      </w:r>
    </w:p>
    <w:p w14:paraId="1C8AF009" w14:textId="52A63148" w:rsidR="00FB1683" w:rsidRDefault="0061079E" w:rsidP="00FB1683">
      <w:r>
        <w:tab/>
      </w:r>
      <w:r w:rsidR="004676AF">
        <w:t xml:space="preserve">As our high court has noted, </w:t>
      </w:r>
      <w:r w:rsidR="00050F55">
        <w:t xml:space="preserve">the same </w:t>
      </w:r>
      <w:r w:rsidR="00050F55" w:rsidRPr="00050F55">
        <w:t>standard of review</w:t>
      </w:r>
      <w:r w:rsidR="00050F55">
        <w:t xml:space="preserve"> that</w:t>
      </w:r>
      <w:r w:rsidR="00050F55" w:rsidRPr="00050F55">
        <w:t xml:space="preserve"> applies to alternative-theory error applies to other misdescriptions of the elements.</w:t>
      </w:r>
      <w:r w:rsidR="00050F55">
        <w:t xml:space="preserve">  (</w:t>
      </w:r>
      <w:r w:rsidR="00050F55" w:rsidRPr="00E4176F">
        <w:rPr>
          <w:i/>
          <w:iCs/>
        </w:rPr>
        <w:t>Aledamat</w:t>
      </w:r>
      <w:r w:rsidR="00050F55">
        <w:t xml:space="preserve">, </w:t>
      </w:r>
      <w:r w:rsidR="00050F55" w:rsidRPr="00E4176F">
        <w:rPr>
          <w:i/>
          <w:iCs/>
        </w:rPr>
        <w:t>supra</w:t>
      </w:r>
      <w:r w:rsidR="00050F55">
        <w:t xml:space="preserve">, 8 Cal.5th at p. 9.)  </w:t>
      </w:r>
      <w:r w:rsidRPr="003F6EB2">
        <w:t>Erroneous aiding and abetting instructions are treat</w:t>
      </w:r>
      <w:r w:rsidRPr="003F6EB2">
        <w:t xml:space="preserve">ed the same as misdescription of elements.  (See </w:t>
      </w:r>
      <w:r w:rsidRPr="00E4176F">
        <w:rPr>
          <w:i/>
          <w:iCs/>
        </w:rPr>
        <w:t>Neder</w:t>
      </w:r>
      <w:r w:rsidRPr="003F6EB2">
        <w:t xml:space="preserve">, </w:t>
      </w:r>
      <w:r w:rsidRPr="00E4176F">
        <w:rPr>
          <w:i/>
          <w:iCs/>
        </w:rPr>
        <w:t>supra</w:t>
      </w:r>
      <w:r w:rsidRPr="003F6EB2">
        <w:t xml:space="preserve">, 527 U.S. at p. 14, quoting </w:t>
      </w:r>
      <w:r w:rsidRPr="00E4176F">
        <w:rPr>
          <w:i/>
          <w:iCs/>
        </w:rPr>
        <w:t>California v. Roy</w:t>
      </w:r>
      <w:r w:rsidRPr="003F6EB2">
        <w:t xml:space="preserve"> (1996) 519 U.S. 2, 5 [noting that the failure to instruct that the jury could convict the defendant as an aider and abettor only if it found that th</w:t>
      </w:r>
      <w:r w:rsidRPr="003F6EB2">
        <w:t>e defendant had the intent or purpose of aiding the perpetrator’s crime is an error that “ ‘could be ‘as easily characterized as a ‘misdescription of an element’ of the crime, as it is characterized as an error of ‘omission’ ” ’].)</w:t>
      </w:r>
    </w:p>
    <w:p w14:paraId="10E2557E" w14:textId="051B7012" w:rsidR="0059124F" w:rsidRDefault="0061079E" w:rsidP="00FB1683">
      <w:bookmarkStart w:id="194" w:name="ElPgBr62"/>
      <w:bookmarkEnd w:id="194"/>
      <w:r>
        <w:lastRenderedPageBreak/>
        <w:tab/>
        <w:t>Accordingly, we apply t</w:t>
      </w:r>
      <w:r>
        <w:t xml:space="preserve">he same analysis in determining harmlessness as to the </w:t>
      </w:r>
      <w:r w:rsidRPr="00E4176F">
        <w:rPr>
          <w:i/>
          <w:iCs/>
        </w:rPr>
        <w:t>Powell</w:t>
      </w:r>
      <w:r>
        <w:t xml:space="preserve"> instructional error </w:t>
      </w:r>
      <w:r w:rsidR="00765C42">
        <w:t xml:space="preserve">we discussed </w:t>
      </w:r>
      <w:r w:rsidR="00765C42" w:rsidRPr="00E4176F">
        <w:rPr>
          <w:i/>
          <w:iCs/>
        </w:rPr>
        <w:t>ante</w:t>
      </w:r>
      <w:r w:rsidR="00765C42">
        <w:t xml:space="preserve"> </w:t>
      </w:r>
      <w:r>
        <w:t xml:space="preserve">and </w:t>
      </w:r>
      <w:r w:rsidR="00765C42">
        <w:t>conclude the error was harmless</w:t>
      </w:r>
      <w:r>
        <w:t xml:space="preserve">.  </w:t>
      </w:r>
      <w:r w:rsidR="00765C42">
        <w:t>Again, we</w:t>
      </w:r>
      <w:r w:rsidR="00F5312C">
        <w:t xml:space="preserve"> ask:  “</w:t>
      </w:r>
      <w:r w:rsidR="00F5312C" w:rsidRPr="00F5312C">
        <w:t xml:space="preserve">Is it clear beyond a reasonable doubt that a rational jury </w:t>
      </w:r>
      <w:r w:rsidR="00F5312C" w:rsidRPr="00E4176F">
        <w:rPr>
          <w:i/>
          <w:iCs/>
        </w:rPr>
        <w:t>would have</w:t>
      </w:r>
      <w:r w:rsidR="00F5312C" w:rsidRPr="00F5312C">
        <w:t xml:space="preserve"> found the defendant guilty absent the error?</w:t>
      </w:r>
      <w:r w:rsidR="00F5312C">
        <w:t xml:space="preserve">” </w:t>
      </w:r>
      <w:r w:rsidR="00F02B10">
        <w:t xml:space="preserve"> </w:t>
      </w:r>
      <w:r w:rsidR="00F5312C" w:rsidRPr="0059124F">
        <w:t>(</w:t>
      </w:r>
      <w:r w:rsidR="00F5312C" w:rsidRPr="00E4176F">
        <w:rPr>
          <w:i/>
          <w:iCs/>
        </w:rPr>
        <w:t>Neder</w:t>
      </w:r>
      <w:r w:rsidR="00F5312C" w:rsidRPr="0059124F">
        <w:t xml:space="preserve">, </w:t>
      </w:r>
      <w:r w:rsidR="00F5312C" w:rsidRPr="00E4176F">
        <w:rPr>
          <w:i/>
          <w:iCs/>
        </w:rPr>
        <w:t>supra</w:t>
      </w:r>
      <w:r w:rsidR="00F5312C" w:rsidRPr="0059124F">
        <w:t xml:space="preserve">, 527 U.S. at p. 18; </w:t>
      </w:r>
      <w:r w:rsidR="00F5312C" w:rsidRPr="00E4176F">
        <w:rPr>
          <w:i/>
          <w:iCs/>
        </w:rPr>
        <w:t>Merritt</w:t>
      </w:r>
      <w:r w:rsidR="00F5312C" w:rsidRPr="0059124F">
        <w:t xml:space="preserve">, </w:t>
      </w:r>
      <w:r w:rsidR="00F5312C" w:rsidRPr="00E4176F">
        <w:rPr>
          <w:i/>
          <w:iCs/>
        </w:rPr>
        <w:t>supra</w:t>
      </w:r>
      <w:r w:rsidR="00F5312C" w:rsidRPr="0059124F">
        <w:t>, 2 Cal.5th at p. 827</w:t>
      </w:r>
      <w:r w:rsidR="00F5312C">
        <w:t xml:space="preserve">; </w:t>
      </w:r>
      <w:r w:rsidR="00F5312C" w:rsidRPr="00E4176F">
        <w:rPr>
          <w:i/>
          <w:iCs/>
        </w:rPr>
        <w:t>Powell</w:t>
      </w:r>
      <w:r w:rsidR="00F5312C" w:rsidRPr="0059124F">
        <w:t xml:space="preserve">, </w:t>
      </w:r>
      <w:r w:rsidR="00F5312C" w:rsidRPr="00E4176F">
        <w:rPr>
          <w:i/>
          <w:iCs/>
        </w:rPr>
        <w:t>supra</w:t>
      </w:r>
      <w:r w:rsidR="00F5312C" w:rsidRPr="0059124F">
        <w:t>, 63 Cal.App.5th at p. 715</w:t>
      </w:r>
      <w:r w:rsidR="00F5312C">
        <w:t>.)</w:t>
      </w:r>
      <w:r w:rsidR="00F5312C" w:rsidRPr="00F5312C">
        <w:t xml:space="preserve"> </w:t>
      </w:r>
      <w:r w:rsidR="00F5312C">
        <w:t xml:space="preserve"> And we conclude, based on the overwhelming evidence discussed </w:t>
      </w:r>
      <w:r w:rsidR="00F5312C" w:rsidRPr="00E4176F">
        <w:rPr>
          <w:i/>
          <w:iCs/>
        </w:rPr>
        <w:t>ante</w:t>
      </w:r>
      <w:r w:rsidR="00F5312C">
        <w:t xml:space="preserve"> that </w:t>
      </w:r>
      <w:r w:rsidR="007D49E7">
        <w:t xml:space="preserve">Roman’s </w:t>
      </w:r>
      <w:r w:rsidR="00F5312C">
        <w:t xml:space="preserve">jury would have convicted </w:t>
      </w:r>
      <w:r w:rsidR="007D49E7">
        <w:t>him</w:t>
      </w:r>
      <w:r w:rsidR="00F5312C">
        <w:t xml:space="preserve"> of second degree murder based on </w:t>
      </w:r>
      <w:r w:rsidR="00765C42">
        <w:t xml:space="preserve">a properly instructed </w:t>
      </w:r>
      <w:r w:rsidR="007D49E7">
        <w:t xml:space="preserve">implied malice theory if it had not been instructed on the now invalidated natural and probable consequences theory. </w:t>
      </w:r>
    </w:p>
    <w:p w14:paraId="468C8AE4" w14:textId="5F6BF049" w:rsidR="007D49E7" w:rsidRPr="00E4176F" w:rsidRDefault="0061079E" w:rsidP="00516547">
      <w:pPr>
        <w:keepNext/>
        <w:rPr>
          <w:b/>
          <w:bCs/>
        </w:rPr>
      </w:pPr>
      <w:r>
        <w:tab/>
      </w:r>
      <w:r w:rsidRPr="00E4176F">
        <w:rPr>
          <w:b/>
          <w:bCs/>
        </w:rPr>
        <w:t>4.  Conclusion</w:t>
      </w:r>
    </w:p>
    <w:p w14:paraId="6EE58F0E" w14:textId="6DA73278" w:rsidR="005D7D86" w:rsidRDefault="0061079E" w:rsidP="005D7D86">
      <w:r>
        <w:tab/>
        <w:t xml:space="preserve">We conclude that both the retroactive alternative-theory error and </w:t>
      </w:r>
      <w:r w:rsidRPr="00E4176F">
        <w:rPr>
          <w:i/>
          <w:iCs/>
        </w:rPr>
        <w:t xml:space="preserve">Powell </w:t>
      </w:r>
      <w:r>
        <w:t xml:space="preserve">instructional error here are harmless beyond a reasonable doubt. </w:t>
      </w:r>
    </w:p>
    <w:p w14:paraId="717C4C16" w14:textId="646BF58E" w:rsidR="00D94971" w:rsidRDefault="0061079E" w:rsidP="00D259BB">
      <w:pPr>
        <w:pStyle w:val="bodytext"/>
        <w:keepNext/>
        <w:ind w:firstLine="0"/>
        <w:jc w:val="center"/>
        <w:rPr>
          <w:b/>
          <w:color w:val="000000"/>
        </w:rPr>
      </w:pPr>
      <w:bookmarkStart w:id="195" w:name="ElolpO"/>
      <w:bookmarkStart w:id="196" w:name="ElolprO"/>
      <w:r>
        <w:rPr>
          <w:b/>
          <w:color w:val="000000"/>
        </w:rPr>
        <w:t>VIII.</w:t>
      </w:r>
      <w:bookmarkEnd w:id="195"/>
      <w:bookmarkEnd w:id="196"/>
      <w:r>
        <w:rPr>
          <w:b/>
          <w:color w:val="000000"/>
        </w:rPr>
        <w:t xml:space="preserve"> </w:t>
      </w:r>
      <w:r w:rsidR="001E7F00">
        <w:rPr>
          <w:b/>
          <w:color w:val="000000"/>
        </w:rPr>
        <w:t xml:space="preserve"> </w:t>
      </w:r>
      <w:r w:rsidR="00104304">
        <w:rPr>
          <w:b/>
          <w:color w:val="000000"/>
        </w:rPr>
        <w:t>Consecutive Term Sentencing</w:t>
      </w:r>
    </w:p>
    <w:p w14:paraId="487FCE92" w14:textId="514E96E7" w:rsidR="00BB7661" w:rsidRDefault="0061079E" w:rsidP="00CF16BF">
      <w:pPr>
        <w:pStyle w:val="bodytext"/>
      </w:pPr>
      <w:r>
        <w:t>Roman next contends the trial court abused its discretion in i</w:t>
      </w:r>
      <w:r>
        <w:t>mposing consecutive terms for</w:t>
      </w:r>
      <w:r w:rsidR="00466EDD">
        <w:t xml:space="preserve"> his two second degree murder convictions</w:t>
      </w:r>
      <w:r>
        <w:t xml:space="preserve">.  </w:t>
      </w:r>
      <w:r w:rsidR="001B14FF">
        <w:t xml:space="preserve">He argues concurrent terms are mandated by </w:t>
      </w:r>
      <w:bookmarkStart w:id="197" w:name="ElrvpO"/>
      <w:bookmarkStart w:id="198" w:name="ElrvprO"/>
      <w:r w:rsidR="003019F2">
        <w:t xml:space="preserve">California </w:t>
      </w:r>
      <w:r w:rsidR="001B14FF">
        <w:t>Rule of Court</w:t>
      </w:r>
      <w:r w:rsidR="003019F2">
        <w:t>, rule</w:t>
      </w:r>
      <w:r w:rsidR="001B14FF">
        <w:t xml:space="preserve"> 4.425</w:t>
      </w:r>
      <w:r w:rsidR="003019F2">
        <w:t xml:space="preserve"> (rule 4.425),</w:t>
      </w:r>
      <w:r w:rsidR="001B14FF">
        <w:t xml:space="preserve"> </w:t>
      </w:r>
      <w:bookmarkEnd w:id="197"/>
      <w:bookmarkEnd w:id="198"/>
      <w:r w:rsidR="001B14FF">
        <w:t xml:space="preserve">as well as the body of law </w:t>
      </w:r>
      <w:r w:rsidR="002263C5">
        <w:t xml:space="preserve">recognizing </w:t>
      </w:r>
      <w:r w:rsidR="001B14FF">
        <w:t>that individuals Roman’s age think differently than adults and are thus less culpable.</w:t>
      </w:r>
      <w:r w:rsidR="005F54E9">
        <w:t xml:space="preserve">  </w:t>
      </w:r>
      <w:r w:rsidR="001C0F02">
        <w:t>We disagree.</w:t>
      </w:r>
    </w:p>
    <w:p w14:paraId="6A248423" w14:textId="77777777" w:rsidR="00F751D1" w:rsidRPr="00F751D1" w:rsidRDefault="0061079E" w:rsidP="00180DE4">
      <w:pPr>
        <w:pStyle w:val="bodytext"/>
        <w:keepNext/>
        <w:ind w:firstLine="0"/>
        <w:jc w:val="center"/>
        <w:rPr>
          <w:b/>
        </w:rPr>
      </w:pPr>
      <w:bookmarkStart w:id="199" w:name="EloypO"/>
      <w:bookmarkStart w:id="200" w:name="EloyprO"/>
      <w:r w:rsidRPr="00F751D1">
        <w:rPr>
          <w:b/>
        </w:rPr>
        <w:t xml:space="preserve">A. </w:t>
      </w:r>
      <w:bookmarkEnd w:id="199"/>
      <w:bookmarkEnd w:id="200"/>
      <w:r w:rsidR="001E7F00">
        <w:rPr>
          <w:b/>
        </w:rPr>
        <w:t xml:space="preserve"> </w:t>
      </w:r>
      <w:r w:rsidR="001877B1">
        <w:rPr>
          <w:b/>
        </w:rPr>
        <w:t>A</w:t>
      </w:r>
      <w:r w:rsidRPr="00F751D1">
        <w:rPr>
          <w:b/>
        </w:rPr>
        <w:t xml:space="preserve">dditional </w:t>
      </w:r>
      <w:r w:rsidR="001877B1">
        <w:rPr>
          <w:b/>
        </w:rPr>
        <w:t>B</w:t>
      </w:r>
      <w:r w:rsidRPr="00F751D1">
        <w:rPr>
          <w:b/>
        </w:rPr>
        <w:t>ackground</w:t>
      </w:r>
    </w:p>
    <w:p w14:paraId="15EE2F66" w14:textId="2CBCCA0F" w:rsidR="00F43159" w:rsidRDefault="0061079E" w:rsidP="00CF16BF">
      <w:pPr>
        <w:pStyle w:val="bodytext"/>
      </w:pPr>
      <w:r>
        <w:t xml:space="preserve">In imposing </w:t>
      </w:r>
      <w:r w:rsidR="001A4919">
        <w:t xml:space="preserve">two </w:t>
      </w:r>
      <w:r w:rsidR="00954ADB">
        <w:t>consecutive</w:t>
      </w:r>
      <w:r>
        <w:t xml:space="preserve"> 15-year-to-life terms for </w:t>
      </w:r>
      <w:r w:rsidR="001B14FF">
        <w:t>the</w:t>
      </w:r>
      <w:r w:rsidR="00954ADB">
        <w:t xml:space="preserve"> second</w:t>
      </w:r>
      <w:r w:rsidR="008C7BBC">
        <w:t xml:space="preserve"> </w:t>
      </w:r>
      <w:r w:rsidR="00954ADB">
        <w:t xml:space="preserve">degree </w:t>
      </w:r>
      <w:r>
        <w:t xml:space="preserve">murder </w:t>
      </w:r>
      <w:r w:rsidR="001B14FF">
        <w:t>convictions</w:t>
      </w:r>
      <w:r w:rsidR="00954ADB">
        <w:t xml:space="preserve">, the </w:t>
      </w:r>
      <w:r w:rsidR="001A4919">
        <w:t xml:space="preserve">trial </w:t>
      </w:r>
      <w:r w:rsidR="00954ADB">
        <w:t xml:space="preserve">court explained </w:t>
      </w:r>
      <w:r w:rsidR="00FF257C">
        <w:t>that it had considered all the factors under rule 4.425:  “I know his youth, drug addiction, no history of violent crimes.  All of that was certainly taken into consideration.”</w:t>
      </w:r>
      <w:r>
        <w:rPr>
          <w:rStyle w:val="FootnoteReference"/>
        </w:rPr>
        <w:footnoteReference w:id="47"/>
      </w:r>
      <w:r w:rsidR="00FF257C">
        <w:t xml:space="preserve">  </w:t>
      </w:r>
      <w:r>
        <w:t xml:space="preserve">But </w:t>
      </w:r>
      <w:r w:rsidR="00D96052">
        <w:t xml:space="preserve">focusing on </w:t>
      </w:r>
      <w:r w:rsidR="00716D88">
        <w:t xml:space="preserve">the two victims, the court </w:t>
      </w:r>
      <w:r w:rsidR="00F822D7">
        <w:t xml:space="preserve">noted </w:t>
      </w:r>
      <w:bookmarkStart w:id="201" w:name="ElPgBr63"/>
      <w:bookmarkEnd w:id="201"/>
      <w:r>
        <w:lastRenderedPageBreak/>
        <w:t>Roman’s decisions</w:t>
      </w:r>
      <w:r w:rsidR="00716D88">
        <w:t xml:space="preserve"> </w:t>
      </w:r>
      <w:r>
        <w:t xml:space="preserve">had “left a </w:t>
      </w:r>
      <w:r w:rsidR="0040215E">
        <w:t>trail</w:t>
      </w:r>
      <w:r>
        <w:t xml:space="preserve"> of destruction and devastation.”  </w:t>
      </w:r>
      <w:r w:rsidR="00F822D7">
        <w:t xml:space="preserve">And </w:t>
      </w:r>
      <w:r>
        <w:t xml:space="preserve">Roman and Ruslan had </w:t>
      </w:r>
      <w:r w:rsidR="001A4919">
        <w:t xml:space="preserve">had </w:t>
      </w:r>
      <w:r>
        <w:t>“multiple opportunities, when they were stopped, to make different decision</w:t>
      </w:r>
      <w:r w:rsidR="003D7C85">
        <w:t>s</w:t>
      </w:r>
      <w:r>
        <w:t xml:space="preserve">.”  </w:t>
      </w:r>
    </w:p>
    <w:p w14:paraId="6D9D191E" w14:textId="28FCF532" w:rsidR="00F43159" w:rsidRDefault="0061079E" w:rsidP="00CF16BF">
      <w:pPr>
        <w:pStyle w:val="bodytext"/>
      </w:pPr>
      <w:r>
        <w:t>The court continued, “[d]o we consider his youth?  Yes.  The Code requires that I consider all those factors, and I certainly have … in reaching this</w:t>
      </w:r>
      <w:r>
        <w:t xml:space="preserve"> conclusion. </w:t>
      </w:r>
      <w:r w:rsidR="001E7F00">
        <w:t xml:space="preserve"> </w:t>
      </w:r>
      <w:r>
        <w:t>[¶]</w:t>
      </w:r>
      <w:r w:rsidR="001E7F00">
        <w:t xml:space="preserve"> </w:t>
      </w:r>
      <w:r>
        <w:t xml:space="preserve"> But one of the major issues for me is not </w:t>
      </w:r>
      <w:r w:rsidR="00780FA0">
        <w:t>…</w:t>
      </w:r>
      <w:r>
        <w:t xml:space="preserve"> if it was one impulsive act, i</w:t>
      </w:r>
      <w:r w:rsidR="00F75123">
        <w:t>f</w:t>
      </w:r>
      <w:r>
        <w:t xml:space="preserve"> i</w:t>
      </w:r>
      <w:r w:rsidR="00F75123">
        <w:t>t</w:t>
      </w:r>
      <w:r>
        <w:t xml:space="preserve"> was one impulsive decision, things would be different.  But this was not on</w:t>
      </w:r>
      <w:r w:rsidR="001A4919">
        <w:t>e</w:t>
      </w:r>
      <w:r>
        <w:t xml:space="preserve"> impulsive act.  This was repeat[ed] acts.”</w:t>
      </w:r>
      <w:r w:rsidR="00911C60">
        <w:t xml:space="preserve">  </w:t>
      </w:r>
    </w:p>
    <w:p w14:paraId="3ED99586" w14:textId="77777777" w:rsidR="00F751D1" w:rsidRPr="00086620" w:rsidRDefault="0061079E" w:rsidP="00180DE4">
      <w:pPr>
        <w:pStyle w:val="bodytext"/>
        <w:keepNext/>
        <w:ind w:firstLine="0"/>
        <w:jc w:val="center"/>
        <w:rPr>
          <w:b/>
        </w:rPr>
      </w:pPr>
      <w:bookmarkStart w:id="202" w:name="ElogqO"/>
      <w:bookmarkStart w:id="203" w:name="ElogqrO"/>
      <w:r w:rsidRPr="00086620">
        <w:rPr>
          <w:b/>
        </w:rPr>
        <w:t xml:space="preserve">B. </w:t>
      </w:r>
      <w:bookmarkEnd w:id="202"/>
      <w:bookmarkEnd w:id="203"/>
      <w:r w:rsidR="001E7F00">
        <w:rPr>
          <w:b/>
        </w:rPr>
        <w:t xml:space="preserve"> </w:t>
      </w:r>
      <w:r w:rsidRPr="00086620">
        <w:rPr>
          <w:b/>
        </w:rPr>
        <w:t>Analysis</w:t>
      </w:r>
    </w:p>
    <w:p w14:paraId="3C4A18CF" w14:textId="1BC5DA63" w:rsidR="006F0A31" w:rsidRDefault="0061079E" w:rsidP="00CF16BF">
      <w:pPr>
        <w:pStyle w:val="bodytext"/>
      </w:pPr>
      <w:r>
        <w:t>On appeal, Roman</w:t>
      </w:r>
      <w:r w:rsidR="00E05C4D">
        <w:t xml:space="preserve"> argues the trial court abused its discretion because it did not comply with </w:t>
      </w:r>
      <w:r w:rsidR="003019F2">
        <w:t>r</w:t>
      </w:r>
      <w:r w:rsidR="00E05C4D">
        <w:t>ule 4.425</w:t>
      </w:r>
      <w:r w:rsidR="005C5D2E">
        <w:t>.</w:t>
      </w:r>
      <w:r w:rsidR="00E05C4D">
        <w:t xml:space="preserve">  </w:t>
      </w:r>
      <w:bookmarkStart w:id="204" w:name="ElrrqO"/>
      <w:bookmarkStart w:id="205" w:name="ElrrqrO"/>
      <w:r>
        <w:t xml:space="preserve">Rule 4.425 </w:t>
      </w:r>
      <w:bookmarkEnd w:id="204"/>
      <w:bookmarkEnd w:id="205"/>
      <w:r>
        <w:t>directs the court to consider whether “</w:t>
      </w:r>
      <w:bookmarkStart w:id="206" w:name="ElouqO"/>
      <w:bookmarkStart w:id="207" w:name="ElouqrO"/>
      <w:r>
        <w:t xml:space="preserve">(1) </w:t>
      </w:r>
      <w:bookmarkEnd w:id="206"/>
      <w:bookmarkEnd w:id="207"/>
      <w:r>
        <w:t xml:space="preserve">The crimes and their objectives were predominantly independent of each other; </w:t>
      </w:r>
      <w:bookmarkStart w:id="208" w:name="ElovqO"/>
      <w:bookmarkStart w:id="209" w:name="ElovqrO"/>
      <w:r>
        <w:t xml:space="preserve">(2) </w:t>
      </w:r>
      <w:bookmarkEnd w:id="208"/>
      <w:bookmarkEnd w:id="209"/>
      <w:r>
        <w:t>The crimes involved separate a</w:t>
      </w:r>
      <w:r>
        <w:t xml:space="preserve">cts of violence or threats of violence; or </w:t>
      </w:r>
      <w:bookmarkStart w:id="210" w:name="ElowqO"/>
      <w:bookmarkStart w:id="211" w:name="ElowqrO"/>
      <w:r>
        <w:t xml:space="preserve">(3) </w:t>
      </w:r>
      <w:bookmarkEnd w:id="210"/>
      <w:bookmarkEnd w:id="211"/>
      <w:r>
        <w:t xml:space="preserve">The crimes were committed at different times or separate places, rather than being committed so closely in time and place as to indicate a single period of aberrant behavior.”  </w:t>
      </w:r>
      <w:r w:rsidR="00C35D68">
        <w:t xml:space="preserve">The rule </w:t>
      </w:r>
      <w:r>
        <w:t xml:space="preserve">also allows </w:t>
      </w:r>
      <w:r w:rsidR="005C5D2E">
        <w:t xml:space="preserve">the </w:t>
      </w:r>
      <w:r w:rsidR="00C35D68">
        <w:t xml:space="preserve">court to </w:t>
      </w:r>
      <w:r>
        <w:t>consider “[a]ny circumstances in aggravation or mitigation</w:t>
      </w:r>
      <w:r w:rsidR="005C5D2E">
        <w:t xml:space="preserve">” </w:t>
      </w:r>
      <w:r w:rsidR="00B935EA">
        <w:t xml:space="preserve">so long as </w:t>
      </w:r>
      <w:r>
        <w:t xml:space="preserve">the circumstance was </w:t>
      </w:r>
      <w:r w:rsidR="00B935EA">
        <w:t xml:space="preserve">not </w:t>
      </w:r>
      <w:r>
        <w:t>used to impose the upper term, enhance the sentence, or is an element of the crime.  (</w:t>
      </w:r>
      <w:r w:rsidR="00FB38AA">
        <w:t>R</w:t>
      </w:r>
      <w:r>
        <w:t>ule 4.425.)</w:t>
      </w:r>
    </w:p>
    <w:p w14:paraId="01A6A2F5" w14:textId="7A3D0625" w:rsidR="00C437A0" w:rsidRDefault="0061079E" w:rsidP="00CF16BF">
      <w:pPr>
        <w:pStyle w:val="bodytext"/>
      </w:pPr>
      <w:r>
        <w:t xml:space="preserve">To those factors, Roman avers </w:t>
      </w:r>
      <w:r w:rsidR="001A4919">
        <w:t>that t</w:t>
      </w:r>
      <w:r w:rsidR="00BB7661">
        <w:t xml:space="preserve">he </w:t>
      </w:r>
      <w:r w:rsidR="006F0BEF">
        <w:t xml:space="preserve">two </w:t>
      </w:r>
      <w:r w:rsidR="00BB7661">
        <w:t>murders were not predominantly independent of each other</w:t>
      </w:r>
      <w:r>
        <w:t>, nor did they involve separate violent acts</w:t>
      </w:r>
      <w:r w:rsidR="00C35D68">
        <w:t>, as t</w:t>
      </w:r>
      <w:r w:rsidR="00F751D1">
        <w:t xml:space="preserve">he crash </w:t>
      </w:r>
      <w:r w:rsidR="006F0BEF">
        <w:t>happened</w:t>
      </w:r>
      <w:r w:rsidR="00F751D1">
        <w:t xml:space="preserve"> in an </w:t>
      </w:r>
      <w:r w:rsidR="006F0BEF">
        <w:t xml:space="preserve">instant.  </w:t>
      </w:r>
      <w:r w:rsidR="00CC68F0">
        <w:t xml:space="preserve">He </w:t>
      </w:r>
      <w:r w:rsidR="00F36B6B">
        <w:t xml:space="preserve">also </w:t>
      </w:r>
      <w:r w:rsidR="00F75123">
        <w:t>takes issue with the court</w:t>
      </w:r>
      <w:r w:rsidR="00DF719D">
        <w:t xml:space="preserve">’s reference </w:t>
      </w:r>
      <w:r w:rsidR="00693E58">
        <w:t xml:space="preserve">to his repeated acts, arguing the </w:t>
      </w:r>
      <w:r w:rsidR="00DF719D">
        <w:t>court</w:t>
      </w:r>
      <w:r w:rsidR="00693E58">
        <w:t xml:space="preserve"> was considering his crimes committed before the murders.  </w:t>
      </w:r>
      <w:r>
        <w:t xml:space="preserve">He adds that in mitigation, he could be considered a passive participant </w:t>
      </w:r>
      <w:r w:rsidR="00D96052">
        <w:t xml:space="preserve">for the following reasons:  </w:t>
      </w:r>
      <w:r>
        <w:t xml:space="preserve">he </w:t>
      </w:r>
      <w:bookmarkStart w:id="212" w:name="ElPgBr64"/>
      <w:bookmarkEnd w:id="212"/>
      <w:r>
        <w:lastRenderedPageBreak/>
        <w:t>was not driving</w:t>
      </w:r>
      <w:r w:rsidR="00640E9A">
        <w:t xml:space="preserve">, as </w:t>
      </w:r>
      <w:r w:rsidR="00F75123">
        <w:t>a drug addict h</w:t>
      </w:r>
      <w:r>
        <w:t>e was suffering from a mental and physical condition reduc</w:t>
      </w:r>
      <w:r w:rsidR="00640E9A">
        <w:t>ing</w:t>
      </w:r>
      <w:r>
        <w:t xml:space="preserve"> his culpability</w:t>
      </w:r>
      <w:r w:rsidR="00640E9A">
        <w:t>, and — as the most important mitigating factor — he was young</w:t>
      </w:r>
      <w:r>
        <w:t xml:space="preserve">.  </w:t>
      </w:r>
    </w:p>
    <w:p w14:paraId="70C637BD" w14:textId="370EC08A" w:rsidR="00B935EA" w:rsidRDefault="0061079E" w:rsidP="00622440">
      <w:pPr>
        <w:pStyle w:val="bodytext"/>
      </w:pPr>
      <w:r>
        <w:t xml:space="preserve">To that, Roman explains that </w:t>
      </w:r>
      <w:r w:rsidR="005C5D2E">
        <w:t>the court failed to</w:t>
      </w:r>
      <w:r w:rsidR="005C5D2E" w:rsidRPr="005C5D2E">
        <w:t xml:space="preserve"> </w:t>
      </w:r>
      <w:r w:rsidR="005C5D2E">
        <w:t xml:space="preserve">fully understand and factor in </w:t>
      </w:r>
      <w:r>
        <w:t>his</w:t>
      </w:r>
      <w:r w:rsidR="005C5D2E">
        <w:t xml:space="preserve"> adolescent brain</w:t>
      </w:r>
      <w:r w:rsidR="004F0725">
        <w:t xml:space="preserve">.  </w:t>
      </w:r>
      <w:r w:rsidR="00E33C66">
        <w:t>He asserts that</w:t>
      </w:r>
      <w:r w:rsidR="00581CCD">
        <w:t xml:space="preserve"> biological research on brain development shows 19</w:t>
      </w:r>
      <w:r w:rsidR="00845044">
        <w:t>-</w:t>
      </w:r>
      <w:r w:rsidR="00581CCD">
        <w:t>year</w:t>
      </w:r>
      <w:r w:rsidR="00845044">
        <w:t>-</w:t>
      </w:r>
      <w:r w:rsidR="00E33C66">
        <w:t>olds</w:t>
      </w:r>
      <w:r w:rsidR="00581CCD">
        <w:t xml:space="preserve"> </w:t>
      </w:r>
      <w:r>
        <w:t xml:space="preserve">have </w:t>
      </w:r>
      <w:r w:rsidR="00581CCD">
        <w:t xml:space="preserve">profoundly </w:t>
      </w:r>
      <w:r>
        <w:t xml:space="preserve">different </w:t>
      </w:r>
      <w:r w:rsidR="00581CCD">
        <w:t>decision making</w:t>
      </w:r>
      <w:r w:rsidR="0004653F">
        <w:t xml:space="preserve"> and cites </w:t>
      </w:r>
      <w:bookmarkStart w:id="213" w:name="ElygrO"/>
      <w:bookmarkStart w:id="214" w:name="ElygrrO"/>
      <w:r w:rsidR="00581CCD" w:rsidRPr="00D32AB3">
        <w:rPr>
          <w:i/>
        </w:rPr>
        <w:t>Roper v. Simmons</w:t>
      </w:r>
      <w:r w:rsidR="00581CCD">
        <w:t xml:space="preserve"> (2005) 543 U.S. 551</w:t>
      </w:r>
      <w:bookmarkEnd w:id="213"/>
      <w:bookmarkEnd w:id="214"/>
      <w:r w:rsidR="00581CCD">
        <w:t xml:space="preserve">, </w:t>
      </w:r>
      <w:r>
        <w:t xml:space="preserve">itself </w:t>
      </w:r>
      <w:r w:rsidR="00DC2649">
        <w:t>cit</w:t>
      </w:r>
      <w:r>
        <w:t>ing</w:t>
      </w:r>
      <w:r w:rsidR="00DC2649">
        <w:t xml:space="preserve"> general differences between adults and juveniles under 18</w:t>
      </w:r>
      <w:r w:rsidR="0004653F">
        <w:t xml:space="preserve">.  </w:t>
      </w:r>
      <w:r w:rsidR="00B5301D">
        <w:t xml:space="preserve">The </w:t>
      </w:r>
      <w:r w:rsidR="00B5301D" w:rsidRPr="00C35D68">
        <w:rPr>
          <w:i/>
        </w:rPr>
        <w:t>Roper</w:t>
      </w:r>
      <w:r w:rsidR="00B5301D">
        <w:t xml:space="preserve"> court explained that juveniles have </w:t>
      </w:r>
      <w:r w:rsidR="00DC2649">
        <w:t>“</w:t>
      </w:r>
      <w:r w:rsidR="00845044">
        <w:t xml:space="preserve"> ‘</w:t>
      </w:r>
      <w:r w:rsidR="00DC2649">
        <w:t>[a] lack of maturity and undeveloped sense of responsibility</w:t>
      </w:r>
      <w:r w:rsidR="00B5301D">
        <w:t>,</w:t>
      </w:r>
      <w:r w:rsidR="00845044">
        <w:t xml:space="preserve">’ </w:t>
      </w:r>
      <w:r w:rsidR="00DC2649">
        <w:t>”</w:t>
      </w:r>
      <w:r w:rsidR="00B5301D">
        <w:t xml:space="preserve"> are </w:t>
      </w:r>
      <w:r w:rsidR="00DC2649">
        <w:t xml:space="preserve">more </w:t>
      </w:r>
      <w:r w:rsidR="00D96052">
        <w:t>vulnerable</w:t>
      </w:r>
      <w:r w:rsidR="00DC2649">
        <w:t xml:space="preserve"> to negative influence and pressure</w:t>
      </w:r>
      <w:r w:rsidR="00B5301D">
        <w:t>,</w:t>
      </w:r>
      <w:r w:rsidR="00DC2649">
        <w:t xml:space="preserve"> and </w:t>
      </w:r>
      <w:r>
        <w:t xml:space="preserve">possess </w:t>
      </w:r>
      <w:r w:rsidR="00DC2649">
        <w:t>a less well formed character.</w:t>
      </w:r>
      <w:r w:rsidR="00622440">
        <w:t xml:space="preserve">  </w:t>
      </w:r>
      <w:r w:rsidR="0004653F">
        <w:t>(</w:t>
      </w:r>
      <w:r w:rsidR="0004653F" w:rsidRPr="0004653F">
        <w:rPr>
          <w:i/>
        </w:rPr>
        <w:t>Id</w:t>
      </w:r>
      <w:r w:rsidR="0004653F">
        <w:t>. at pp. 569-570.)</w:t>
      </w:r>
      <w:r w:rsidR="00B5301D">
        <w:t xml:space="preserve">  In holding the </w:t>
      </w:r>
      <w:r w:rsidR="002263C5">
        <w:t xml:space="preserve">death penalty for </w:t>
      </w:r>
      <w:r w:rsidR="008C7294">
        <w:t xml:space="preserve">minors </w:t>
      </w:r>
      <w:r w:rsidR="00B5301D">
        <w:t>under 18 unconstitutional, t</w:t>
      </w:r>
      <w:r w:rsidR="00622440">
        <w:t xml:space="preserve">he Court </w:t>
      </w:r>
      <w:r w:rsidR="00B5301D">
        <w:t>articulated</w:t>
      </w:r>
      <w:r w:rsidR="00622440">
        <w:t>:</w:t>
      </w:r>
      <w:r w:rsidR="00DC2649">
        <w:t xml:space="preserve"> </w:t>
      </w:r>
      <w:r w:rsidR="00622440">
        <w:t xml:space="preserve"> “From a moral standpoint it would be misguided to equate the failings of a minor with those of an adult, for a greater possibility exists that a minor</w:t>
      </w:r>
      <w:r w:rsidR="008C7294">
        <w:t>’</w:t>
      </w:r>
      <w:r w:rsidR="00622440">
        <w:t>s character deficiencies will be reformed.”  (</w:t>
      </w:r>
      <w:r w:rsidR="00622440" w:rsidRPr="00B5301D">
        <w:rPr>
          <w:i/>
        </w:rPr>
        <w:t>Id</w:t>
      </w:r>
      <w:r w:rsidR="00B5301D">
        <w:rPr>
          <w:i/>
        </w:rPr>
        <w:t>.</w:t>
      </w:r>
      <w:r w:rsidR="00622440">
        <w:t xml:space="preserve"> at p. 570.)  Roman maintains that </w:t>
      </w:r>
      <w:r w:rsidR="00622440" w:rsidRPr="00D32AB3">
        <w:rPr>
          <w:i/>
        </w:rPr>
        <w:t>Roper</w:t>
      </w:r>
      <w:r w:rsidR="00622440">
        <w:t xml:space="preserve"> illustrates why “[n]either [he], </w:t>
      </w:r>
      <w:r w:rsidR="008F3940">
        <w:t>[</w:t>
      </w:r>
      <w:r w:rsidR="00622440">
        <w:t>nor</w:t>
      </w:r>
      <w:r w:rsidR="008F3940">
        <w:t>]</w:t>
      </w:r>
      <w:r w:rsidR="00622440">
        <w:t xml:space="preserve"> his identical twin brother, subjectively appreciated that evading police by speeding in commuter traffic was so dangerous that someone could be seriously injured or killed.” </w:t>
      </w:r>
      <w:r w:rsidR="00CD52EB">
        <w:t xml:space="preserve"> </w:t>
      </w:r>
    </w:p>
    <w:p w14:paraId="0611DA94" w14:textId="4D88E8C6" w:rsidR="00C437A0" w:rsidRDefault="0061079E">
      <w:pPr>
        <w:pStyle w:val="bodytext"/>
      </w:pPr>
      <w:r>
        <w:t xml:space="preserve">We conclude the trial court acted within its discretion.  </w:t>
      </w:r>
      <w:r w:rsidR="0023017E">
        <w:t xml:space="preserve">“ ‘[A] trial court has discretion to determine whether several sentences are to run concurrently or consecutively. </w:t>
      </w:r>
      <w:r w:rsidR="00BE14B5">
        <w:t xml:space="preserve"> </w:t>
      </w:r>
      <w:r w:rsidR="0023017E">
        <w:t xml:space="preserve">[Citations.] </w:t>
      </w:r>
      <w:r w:rsidR="00BE14B5">
        <w:t xml:space="preserve"> </w:t>
      </w:r>
      <w:r w:rsidR="0023017E">
        <w:t>In the absence of a clear showing of abuse, the trial court</w:t>
      </w:r>
      <w:r w:rsidR="00780FA0">
        <w:t>’</w:t>
      </w:r>
      <w:r w:rsidR="0023017E">
        <w:t xml:space="preserve">s discretion in this respect is not to be disturbed on appeal.’ ” </w:t>
      </w:r>
      <w:r w:rsidR="007D0C4A">
        <w:t xml:space="preserve"> </w:t>
      </w:r>
      <w:r w:rsidR="0023017E">
        <w:t>(</w:t>
      </w:r>
      <w:bookmarkStart w:id="215" w:name="ElyyrO"/>
      <w:bookmarkStart w:id="216" w:name="ElyyrrO"/>
      <w:r w:rsidR="0023017E" w:rsidRPr="007D0C4A">
        <w:rPr>
          <w:i/>
        </w:rPr>
        <w:t>People v. Caesar</w:t>
      </w:r>
      <w:r w:rsidR="0023017E">
        <w:t xml:space="preserve"> (2008) 167 Cal.App.4th 1050, 1059 </w:t>
      </w:r>
      <w:bookmarkEnd w:id="215"/>
      <w:bookmarkEnd w:id="216"/>
      <w:r w:rsidR="0023017E">
        <w:t xml:space="preserve">disapproved of on other grounds by </w:t>
      </w:r>
      <w:bookmarkStart w:id="217" w:name="ElyxrO"/>
      <w:bookmarkStart w:id="218" w:name="ElyxrrO"/>
      <w:r w:rsidR="0023017E" w:rsidRPr="007D0C4A">
        <w:rPr>
          <w:i/>
        </w:rPr>
        <w:t>People v. Superior Court</w:t>
      </w:r>
      <w:r w:rsidR="0023017E">
        <w:t xml:space="preserve"> (</w:t>
      </w:r>
      <w:r w:rsidR="0023017E" w:rsidRPr="007D0C4A">
        <w:rPr>
          <w:i/>
        </w:rPr>
        <w:t>Sparks</w:t>
      </w:r>
      <w:r w:rsidR="0023017E">
        <w:t>) (2010) 48 Cal.4th 1, 18</w:t>
      </w:r>
      <w:bookmarkEnd w:id="217"/>
      <w:bookmarkEnd w:id="218"/>
      <w:r w:rsidR="0023017E">
        <w:t xml:space="preserve">.)  </w:t>
      </w:r>
      <w:r w:rsidR="00E42C90">
        <w:t xml:space="preserve">“ ‘ “The burden is on the party attacking the sentence to clearly show that the sentencing decision was irrational or arbitrary.” ’ ” </w:t>
      </w:r>
      <w:r w:rsidR="008F3940">
        <w:t xml:space="preserve"> </w:t>
      </w:r>
      <w:r w:rsidR="00E42C90">
        <w:t>(</w:t>
      </w:r>
      <w:bookmarkStart w:id="219" w:name="ElywrO"/>
      <w:bookmarkStart w:id="220" w:name="ElywrrO"/>
      <w:r w:rsidR="00E42C90" w:rsidRPr="00583C48">
        <w:rPr>
          <w:i/>
        </w:rPr>
        <w:t>People v. Sperling</w:t>
      </w:r>
      <w:r w:rsidR="00E42C90">
        <w:t xml:space="preserve"> (2017) 12 Cal.App.5th 1094, 1103</w:t>
      </w:r>
      <w:bookmarkEnd w:id="219"/>
      <w:bookmarkEnd w:id="220"/>
      <w:r w:rsidR="00E42C90">
        <w:t>.)</w:t>
      </w:r>
    </w:p>
    <w:p w14:paraId="75FB13B0" w14:textId="56C98AA2" w:rsidR="00C07766" w:rsidRDefault="0061079E" w:rsidP="009F6A95">
      <w:pPr>
        <w:pStyle w:val="bodytext"/>
      </w:pPr>
      <w:r>
        <w:t>Here, Roman make</w:t>
      </w:r>
      <w:r w:rsidR="000B611A">
        <w:t>s no</w:t>
      </w:r>
      <w:r>
        <w:t xml:space="preserve"> such showing.  </w:t>
      </w:r>
      <w:r w:rsidR="004A76D3">
        <w:t xml:space="preserve">Though the fatal collision impacted both victims simultaneously, the trial court could properly consider the fact that there were two victims in imposing consecutive terms.  (See </w:t>
      </w:r>
      <w:bookmarkStart w:id="221" w:name="ElydsO"/>
      <w:bookmarkStart w:id="222" w:name="ElydsrO"/>
      <w:r w:rsidR="004A76D3" w:rsidRPr="00583C48">
        <w:rPr>
          <w:i/>
        </w:rPr>
        <w:t>People v. Leon</w:t>
      </w:r>
      <w:r w:rsidR="004A76D3">
        <w:t xml:space="preserve"> (2010) 181 Cal.App.4th 452, 468 </w:t>
      </w:r>
      <w:bookmarkEnd w:id="221"/>
      <w:bookmarkEnd w:id="222"/>
      <w:r w:rsidR="004A76D3">
        <w:t>[“A trial court has discretion to impose consecutive sentences where</w:t>
      </w:r>
      <w:r w:rsidR="00A3090B">
        <w:t xml:space="preserve"> … </w:t>
      </w:r>
      <w:r w:rsidR="004A76D3">
        <w:t xml:space="preserve">a single </w:t>
      </w:r>
      <w:bookmarkStart w:id="223" w:name="ElPgBr65"/>
      <w:bookmarkEnd w:id="223"/>
      <w:r w:rsidR="004A76D3">
        <w:lastRenderedPageBreak/>
        <w:t>act has resulted in crimes against multiple victims”]</w:t>
      </w:r>
      <w:r w:rsidR="00D96052">
        <w:t xml:space="preserve">; </w:t>
      </w:r>
      <w:r w:rsidR="00D96052" w:rsidRPr="00583C48">
        <w:rPr>
          <w:i/>
        </w:rPr>
        <w:t>People v. Valenzuela</w:t>
      </w:r>
      <w:r w:rsidR="00D96052">
        <w:t xml:space="preserve"> (1995) 40 Cal.App.4th 358, 365</w:t>
      </w:r>
      <w:r w:rsidR="001E512B">
        <w:t xml:space="preserve"> [</w:t>
      </w:r>
      <w:r w:rsidR="001E512B" w:rsidRPr="000641CF">
        <w:t>consecutive sentences properly imposed on two counts of vehicular manslaughter based on a single act of driving while under the influence</w:t>
      </w:r>
      <w:r w:rsidR="001E512B">
        <w:t>,</w:t>
      </w:r>
      <w:r w:rsidR="001E512B" w:rsidRPr="000641CF">
        <w:t xml:space="preserve"> colliding into a car, </w:t>
      </w:r>
      <w:r w:rsidR="001E512B">
        <w:t xml:space="preserve">and </w:t>
      </w:r>
      <w:r w:rsidR="001E512B" w:rsidRPr="000641CF">
        <w:t>killing two occupants</w:t>
      </w:r>
      <w:r w:rsidR="001E512B">
        <w:t>]</w:t>
      </w:r>
      <w:r w:rsidR="004A76D3">
        <w:t>.)</w:t>
      </w:r>
      <w:r>
        <w:rPr>
          <w:rStyle w:val="FootnoteReference"/>
        </w:rPr>
        <w:footnoteReference w:id="48"/>
      </w:r>
      <w:r w:rsidR="00F7024C">
        <w:t xml:space="preserve">  </w:t>
      </w:r>
      <w:r w:rsidR="00FA4B7E">
        <w:t>Further, t</w:t>
      </w:r>
      <w:r w:rsidR="00F7024C">
        <w:t xml:space="preserve">he trial </w:t>
      </w:r>
      <w:r w:rsidR="00381D44">
        <w:t xml:space="preserve">court </w:t>
      </w:r>
      <w:r w:rsidR="00F7024C">
        <w:t xml:space="preserve">did not, as Roman contends, consider Roman’s other offenses; </w:t>
      </w:r>
      <w:r w:rsidR="00FA4B7E">
        <w:t xml:space="preserve">it </w:t>
      </w:r>
      <w:r w:rsidR="00F7024C">
        <w:t xml:space="preserve">simply noted that </w:t>
      </w:r>
      <w:r w:rsidR="002263C5">
        <w:t xml:space="preserve">the brothers’ conduct was not the result of a single impulsive act.  Rather, </w:t>
      </w:r>
      <w:r w:rsidR="00F7024C">
        <w:t>Roman</w:t>
      </w:r>
      <w:r w:rsidR="002263C5">
        <w:t xml:space="preserve"> </w:t>
      </w:r>
      <w:r w:rsidR="00F7024C">
        <w:t>had</w:t>
      </w:r>
      <w:r w:rsidR="00381D44">
        <w:t xml:space="preserve"> had</w:t>
      </w:r>
      <w:r w:rsidR="00F7024C">
        <w:t xml:space="preserve"> many opportunit</w:t>
      </w:r>
      <w:r w:rsidR="00FA4B7E">
        <w:t>ies to discontinue his dangerous conduct</w:t>
      </w:r>
      <w:r w:rsidR="00583C48">
        <w:t xml:space="preserve">, </w:t>
      </w:r>
      <w:r w:rsidR="00FA4B7E">
        <w:t>including during the truck chase.  And none of his proffered mitigating factors render the trial court’s ruling an abuse of discretion.  Indeed, t</w:t>
      </w:r>
      <w:r>
        <w:t xml:space="preserve">he trial court expressly considered </w:t>
      </w:r>
      <w:r w:rsidR="006469B2">
        <w:t xml:space="preserve">the factors in </w:t>
      </w:r>
      <w:r w:rsidR="003019F2">
        <w:t>r</w:t>
      </w:r>
      <w:r w:rsidR="006469B2">
        <w:t>ule 4.425</w:t>
      </w:r>
      <w:r w:rsidR="000B611A">
        <w:t>,</w:t>
      </w:r>
      <w:r w:rsidR="006469B2">
        <w:t xml:space="preserve"> including </w:t>
      </w:r>
      <w:r>
        <w:t>Ro</w:t>
      </w:r>
      <w:r>
        <w:t>man’s youth</w:t>
      </w:r>
      <w:r w:rsidR="006469B2">
        <w:t>.  I</w:t>
      </w:r>
      <w:r w:rsidR="000B611A">
        <w:t>t</w:t>
      </w:r>
      <w:r w:rsidR="006469B2">
        <w:t xml:space="preserve"> found </w:t>
      </w:r>
      <w:r w:rsidR="000B611A">
        <w:t xml:space="preserve">Roman’s </w:t>
      </w:r>
      <w:r w:rsidR="006469B2">
        <w:t xml:space="preserve">youth </w:t>
      </w:r>
      <w:r w:rsidR="00D32AB3">
        <w:t>insufficient</w:t>
      </w:r>
      <w:r>
        <w:t xml:space="preserve"> to warrant concurrent terms.  </w:t>
      </w:r>
      <w:r w:rsidR="00FA4B7E">
        <w:t xml:space="preserve">And </w:t>
      </w:r>
      <w:r>
        <w:t xml:space="preserve">nothing in the record indicates Roman </w:t>
      </w:r>
      <w:r w:rsidR="000B611A">
        <w:t>or</w:t>
      </w:r>
      <w:r>
        <w:t xml:space="preserve"> Ruslan</w:t>
      </w:r>
      <w:r w:rsidR="007C2B33">
        <w:t xml:space="preserve">, at </w:t>
      </w:r>
      <w:r w:rsidR="00583C48">
        <w:t>19</w:t>
      </w:r>
      <w:r w:rsidR="007C2B33">
        <w:t>,</w:t>
      </w:r>
      <w:r>
        <w:t xml:space="preserve"> were incapable of understanding </w:t>
      </w:r>
      <w:r w:rsidR="00583C48">
        <w:t xml:space="preserve">that </w:t>
      </w:r>
      <w:r>
        <w:t>th</w:t>
      </w:r>
      <w:r w:rsidR="000B611A">
        <w:t>eir</w:t>
      </w:r>
      <w:r>
        <w:t xml:space="preserve"> reckless high</w:t>
      </w:r>
      <w:r w:rsidR="003019F2">
        <w:t xml:space="preserve"> </w:t>
      </w:r>
      <w:r>
        <w:t xml:space="preserve">speed driving could </w:t>
      </w:r>
      <w:r w:rsidR="00D32AB3">
        <w:t>be fatal</w:t>
      </w:r>
      <w:r>
        <w:t xml:space="preserve">.  </w:t>
      </w:r>
    </w:p>
    <w:p w14:paraId="3C2F426B" w14:textId="4555B5EA" w:rsidR="000B611A" w:rsidRDefault="0061079E" w:rsidP="000B611A">
      <w:pPr>
        <w:pStyle w:val="bodytext"/>
      </w:pPr>
      <w:r>
        <w:t>Moreover, we</w:t>
      </w:r>
      <w:r w:rsidR="00FA4B7E">
        <w:t xml:space="preserve"> note </w:t>
      </w:r>
      <w:r w:rsidR="004F0851">
        <w:t xml:space="preserve">there are </w:t>
      </w:r>
      <w:r w:rsidR="002F7AAC">
        <w:t xml:space="preserve">numerous </w:t>
      </w:r>
      <w:r w:rsidR="006469B2">
        <w:t xml:space="preserve">other aggravating factors </w:t>
      </w:r>
      <w:r w:rsidR="004F0851">
        <w:t xml:space="preserve">that </w:t>
      </w:r>
      <w:r w:rsidR="002F7AAC">
        <w:t>support</w:t>
      </w:r>
      <w:r w:rsidR="00EF39D3">
        <w:t>ed</w:t>
      </w:r>
      <w:r w:rsidR="002F7AAC">
        <w:t xml:space="preserve"> consecutive terms</w:t>
      </w:r>
      <w:r w:rsidR="004F0851">
        <w:t>; thus, any error</w:t>
      </w:r>
      <w:r w:rsidR="00F205AE">
        <w:t xml:space="preserve"> </w:t>
      </w:r>
      <w:r w:rsidR="004F0851">
        <w:t xml:space="preserve">was </w:t>
      </w:r>
      <w:r w:rsidR="00EF39D3">
        <w:t>harmless</w:t>
      </w:r>
      <w:r w:rsidR="002F7AAC">
        <w:t xml:space="preserve">.  (See </w:t>
      </w:r>
      <w:bookmarkStart w:id="224" w:name="ElrpsO"/>
      <w:bookmarkStart w:id="225" w:name="ElrpsrO"/>
      <w:r w:rsidR="009F6A95">
        <w:t xml:space="preserve">Cal. Rules of Court, </w:t>
      </w:r>
      <w:r w:rsidR="003019F2">
        <w:t xml:space="preserve">rule </w:t>
      </w:r>
      <w:r w:rsidR="009F6A95">
        <w:t xml:space="preserve">4.425 </w:t>
      </w:r>
      <w:bookmarkEnd w:id="224"/>
      <w:bookmarkEnd w:id="225"/>
      <w:r w:rsidR="009F6A95">
        <w:t>[“</w:t>
      </w:r>
      <w:r w:rsidR="006469B2">
        <w:t>A</w:t>
      </w:r>
      <w:r w:rsidR="009F6A95">
        <w:t>ny circumstances in aggravation or mitigation may be considered in deciding whether to impose consecutive rather than concurrent sentences”]</w:t>
      </w:r>
      <w:r w:rsidR="002056CD">
        <w:t>;</w:t>
      </w:r>
      <w:r w:rsidR="002056CD" w:rsidRPr="002056CD">
        <w:t xml:space="preserve"> </w:t>
      </w:r>
      <w:bookmarkStart w:id="226" w:name="ElyssO"/>
      <w:bookmarkStart w:id="227" w:name="ElyssrO"/>
      <w:r w:rsidR="002056CD" w:rsidRPr="0090135A">
        <w:rPr>
          <w:i/>
        </w:rPr>
        <w:t>People v. Davis</w:t>
      </w:r>
      <w:r w:rsidR="002056CD">
        <w:t xml:space="preserve"> (1995) 10 Cal.4th 463, 552 </w:t>
      </w:r>
      <w:bookmarkEnd w:id="226"/>
      <w:bookmarkEnd w:id="227"/>
      <w:r w:rsidR="002056CD">
        <w:t>[“Only one criterion or factor in aggravation is necessary to support a consecutive sentence”]</w:t>
      </w:r>
      <w:r w:rsidR="009F6A95">
        <w:t xml:space="preserve">.) </w:t>
      </w:r>
      <w:r w:rsidR="006469B2">
        <w:t xml:space="preserve"> Roman </w:t>
      </w:r>
      <w:r w:rsidR="00335322">
        <w:t xml:space="preserve">was on </w:t>
      </w:r>
      <w:r w:rsidR="00C07766">
        <w:t xml:space="preserve">both </w:t>
      </w:r>
      <w:r w:rsidR="00E23AD5">
        <w:t xml:space="preserve">adult informal </w:t>
      </w:r>
      <w:r w:rsidR="00335322">
        <w:t xml:space="preserve">probation </w:t>
      </w:r>
      <w:r w:rsidR="00E23AD5">
        <w:t xml:space="preserve">and juvenile probation </w:t>
      </w:r>
      <w:r w:rsidR="006469B2">
        <w:t>during the crash</w:t>
      </w:r>
      <w:r w:rsidR="00E23AD5">
        <w:t xml:space="preserve">.  </w:t>
      </w:r>
      <w:r w:rsidR="00705B9B">
        <w:t>As reflected in the probation report, h</w:t>
      </w:r>
      <w:r w:rsidR="005A6A12">
        <w:t xml:space="preserve">is </w:t>
      </w:r>
      <w:r w:rsidR="000D7DE0">
        <w:t>conviction</w:t>
      </w:r>
      <w:r w:rsidR="005A6A12">
        <w:t>s</w:t>
      </w:r>
      <w:r w:rsidR="006469B2">
        <w:t xml:space="preserve"> </w:t>
      </w:r>
      <w:r w:rsidR="000D7DE0">
        <w:t xml:space="preserve">have </w:t>
      </w:r>
      <w:bookmarkStart w:id="228" w:name="ElPgBr66"/>
      <w:bookmarkEnd w:id="228"/>
      <w:r w:rsidR="000D7DE0">
        <w:lastRenderedPageBreak/>
        <w:t>increased in seriousness.</w:t>
      </w:r>
      <w:r>
        <w:rPr>
          <w:rStyle w:val="FootnoteReference"/>
        </w:rPr>
        <w:footnoteReference w:id="49"/>
      </w:r>
      <w:r w:rsidR="000D7DE0">
        <w:t xml:space="preserve">  And Roman’s </w:t>
      </w:r>
      <w:r w:rsidR="009D04B5">
        <w:t xml:space="preserve">highly reckless </w:t>
      </w:r>
      <w:r w:rsidR="005A6A12">
        <w:t xml:space="preserve">conduct in </w:t>
      </w:r>
      <w:r w:rsidR="009D04B5">
        <w:t>driving the BMW</w:t>
      </w:r>
      <w:r w:rsidR="00335322">
        <w:t xml:space="preserve"> </w:t>
      </w:r>
      <w:r w:rsidR="005A6A12">
        <w:t xml:space="preserve">indicates he </w:t>
      </w:r>
      <w:r w:rsidR="00335322">
        <w:t xml:space="preserve">represents a </w:t>
      </w:r>
      <w:r w:rsidR="009D04B5">
        <w:t xml:space="preserve">serious danger to </w:t>
      </w:r>
      <w:r w:rsidR="00335322">
        <w:t>society</w:t>
      </w:r>
      <w:r w:rsidR="009D04B5">
        <w:t xml:space="preserve">. </w:t>
      </w:r>
      <w:r w:rsidR="006469B2">
        <w:t xml:space="preserve"> </w:t>
      </w:r>
    </w:p>
    <w:p w14:paraId="7C13E9E5" w14:textId="77777777" w:rsidR="00FB6A94" w:rsidRPr="00CF16BF" w:rsidRDefault="0061079E" w:rsidP="00CF16BF">
      <w:pPr>
        <w:pStyle w:val="bodytext"/>
      </w:pPr>
      <w:r>
        <w:t>In sum, the tria</w:t>
      </w:r>
      <w:r>
        <w:t xml:space="preserve">l court </w:t>
      </w:r>
      <w:r w:rsidR="005A6A12">
        <w:t xml:space="preserve">acted well within its discretion in imposing </w:t>
      </w:r>
      <w:r>
        <w:t>consecutive terms.</w:t>
      </w:r>
    </w:p>
    <w:p w14:paraId="2300ED08" w14:textId="36688DF0" w:rsidR="00D94971" w:rsidRDefault="0061079E" w:rsidP="00D259BB">
      <w:pPr>
        <w:pStyle w:val="bodytext"/>
        <w:keepNext/>
        <w:ind w:firstLine="0"/>
        <w:jc w:val="center"/>
        <w:rPr>
          <w:b/>
          <w:color w:val="000000"/>
        </w:rPr>
      </w:pPr>
      <w:bookmarkStart w:id="229" w:name="ElovsO"/>
      <w:bookmarkStart w:id="230" w:name="ElovsrO"/>
      <w:r>
        <w:rPr>
          <w:b/>
          <w:color w:val="000000"/>
        </w:rPr>
        <w:t>IX.</w:t>
      </w:r>
      <w:bookmarkEnd w:id="229"/>
      <w:bookmarkEnd w:id="230"/>
      <w:r>
        <w:rPr>
          <w:b/>
          <w:color w:val="000000"/>
        </w:rPr>
        <w:t xml:space="preserve"> </w:t>
      </w:r>
      <w:r w:rsidR="001E7F00">
        <w:rPr>
          <w:b/>
          <w:color w:val="000000"/>
        </w:rPr>
        <w:t xml:space="preserve"> </w:t>
      </w:r>
      <w:r w:rsidRPr="00755C3E">
        <w:rPr>
          <w:b/>
          <w:i/>
          <w:iCs/>
          <w:color w:val="000000"/>
        </w:rPr>
        <w:t>Franklin</w:t>
      </w:r>
      <w:r>
        <w:rPr>
          <w:b/>
          <w:color w:val="000000"/>
        </w:rPr>
        <w:t xml:space="preserve"> </w:t>
      </w:r>
      <w:r w:rsidR="00622FF2">
        <w:rPr>
          <w:b/>
          <w:color w:val="000000"/>
        </w:rPr>
        <w:t>H</w:t>
      </w:r>
      <w:r>
        <w:rPr>
          <w:b/>
          <w:color w:val="000000"/>
        </w:rPr>
        <w:t>earing</w:t>
      </w:r>
    </w:p>
    <w:p w14:paraId="759202AD" w14:textId="724DB594" w:rsidR="00D94971" w:rsidRDefault="0061079E" w:rsidP="0099100D">
      <w:pPr>
        <w:pStyle w:val="bodytext"/>
      </w:pPr>
      <w:r>
        <w:t>Roman contends remand is required for a hearing</w:t>
      </w:r>
      <w:r w:rsidR="0089081D">
        <w:t xml:space="preserve"> pursuant to</w:t>
      </w:r>
      <w:bookmarkStart w:id="231" w:name="Ely6tO"/>
      <w:bookmarkStart w:id="232" w:name="Ely6trO"/>
      <w:r w:rsidR="0099100D" w:rsidRPr="0099100D">
        <w:rPr>
          <w:i/>
        </w:rPr>
        <w:t xml:space="preserve"> Franklin</w:t>
      </w:r>
      <w:r w:rsidR="00D92212">
        <w:t xml:space="preserve">, </w:t>
      </w:r>
      <w:r w:rsidR="00D92212" w:rsidRPr="00516547">
        <w:rPr>
          <w:i/>
          <w:iCs/>
        </w:rPr>
        <w:t>supra</w:t>
      </w:r>
      <w:r w:rsidR="00D92212">
        <w:t xml:space="preserve">, </w:t>
      </w:r>
      <w:r w:rsidR="0099100D">
        <w:t xml:space="preserve">63 Cal.4th </w:t>
      </w:r>
      <w:r w:rsidR="00D92212">
        <w:t>at page</w:t>
      </w:r>
      <w:r w:rsidR="0099100D">
        <w:t xml:space="preserve"> 277</w:t>
      </w:r>
      <w:bookmarkEnd w:id="231"/>
      <w:bookmarkEnd w:id="232"/>
      <w:r>
        <w:t xml:space="preserve">.  </w:t>
      </w:r>
      <w:r w:rsidR="005A6A12">
        <w:t>He also argues, in the a</w:t>
      </w:r>
      <w:r>
        <w:t xml:space="preserve">lternative, </w:t>
      </w:r>
      <w:r w:rsidR="005A6A12">
        <w:t xml:space="preserve">that his trial </w:t>
      </w:r>
      <w:r>
        <w:t>counsel r</w:t>
      </w:r>
      <w:r>
        <w:t xml:space="preserve">endered ineffective assistance </w:t>
      </w:r>
      <w:r w:rsidR="005A6A12">
        <w:t xml:space="preserve">in </w:t>
      </w:r>
      <w:r>
        <w:t>fail</w:t>
      </w:r>
      <w:r w:rsidR="005A6A12">
        <w:t xml:space="preserve">ing </w:t>
      </w:r>
      <w:r>
        <w:t xml:space="preserve">to request a </w:t>
      </w:r>
      <w:r w:rsidRPr="005A6A12">
        <w:rPr>
          <w:i/>
        </w:rPr>
        <w:t>Franklin</w:t>
      </w:r>
      <w:r>
        <w:t xml:space="preserve"> hearing.</w:t>
      </w:r>
      <w:r w:rsidR="00217A45">
        <w:t xml:space="preserve">  </w:t>
      </w:r>
      <w:r w:rsidR="000663A8">
        <w:t>We find no error.</w:t>
      </w:r>
    </w:p>
    <w:p w14:paraId="7D7D9E94" w14:textId="77777777" w:rsidR="0089081D" w:rsidRDefault="0061079E" w:rsidP="0089081D">
      <w:pPr>
        <w:pStyle w:val="bodytext"/>
      </w:pPr>
      <w:r w:rsidRPr="009A6910">
        <w:t>S</w:t>
      </w:r>
      <w:bookmarkStart w:id="233" w:name="_BA_Cite_873CD8_000078"/>
      <w:bookmarkEnd w:id="233"/>
      <w:r w:rsidRPr="009A6910">
        <w:t>ection 3051 establishes a parole eligibility mechanism for those serving sentence</w:t>
      </w:r>
      <w:r>
        <w:t>s</w:t>
      </w:r>
      <w:r w:rsidRPr="009A6910">
        <w:t xml:space="preserve"> for crimes committed as juvenile</w:t>
      </w:r>
      <w:r w:rsidR="005A6A12">
        <w:t>s</w:t>
      </w:r>
      <w:r w:rsidRPr="009A6910">
        <w:t>.  (</w:t>
      </w:r>
      <w:r w:rsidRPr="009A6910">
        <w:rPr>
          <w:i/>
          <w:iCs/>
        </w:rPr>
        <w:t>F</w:t>
      </w:r>
      <w:bookmarkStart w:id="234" w:name="_BA_Cite_873CD8_000042"/>
      <w:bookmarkEnd w:id="234"/>
      <w:r w:rsidRPr="009A6910">
        <w:rPr>
          <w:i/>
          <w:iCs/>
        </w:rPr>
        <w:t>ranklin, supra</w:t>
      </w:r>
      <w:r w:rsidRPr="009C157D">
        <w:rPr>
          <w:iCs/>
        </w:rPr>
        <w:t xml:space="preserve">, </w:t>
      </w:r>
      <w:r w:rsidRPr="009A6910">
        <w:t xml:space="preserve">63 Cal.4th at p. 277.)  It affords the opportunity for release </w:t>
      </w:r>
      <w:r>
        <w:t>during</w:t>
      </w:r>
      <w:r w:rsidRPr="009A6910">
        <w:t xml:space="preserve"> the 15th, 20th, or 25th year of incarceration (depending on the controlling offense) by showing rehabilitation and gained maturity.  (</w:t>
      </w:r>
      <w:r w:rsidRPr="009A6910">
        <w:rPr>
          <w:i/>
        </w:rPr>
        <w:t>I</w:t>
      </w:r>
      <w:bookmarkStart w:id="235" w:name="_BA_Cite_873CD8_000008"/>
      <w:bookmarkEnd w:id="235"/>
      <w:r w:rsidRPr="009A6910">
        <w:rPr>
          <w:i/>
        </w:rPr>
        <w:t>bid</w:t>
      </w:r>
      <w:r w:rsidRPr="009A6910">
        <w:t xml:space="preserve">.)  </w:t>
      </w:r>
    </w:p>
    <w:p w14:paraId="57399E28" w14:textId="77777777" w:rsidR="00FB6A94" w:rsidRPr="009A6910" w:rsidRDefault="0061079E" w:rsidP="0089081D">
      <w:pPr>
        <w:pStyle w:val="bodytext"/>
      </w:pPr>
      <w:r w:rsidRPr="009A6910">
        <w:t xml:space="preserve">In </w:t>
      </w:r>
      <w:r w:rsidRPr="009A6910">
        <w:rPr>
          <w:i/>
        </w:rPr>
        <w:t>F</w:t>
      </w:r>
      <w:bookmarkStart w:id="236" w:name="_BA_Cite_873CD8_000044"/>
      <w:bookmarkEnd w:id="236"/>
      <w:r w:rsidRPr="009A6910">
        <w:rPr>
          <w:i/>
        </w:rPr>
        <w:t>ranklin</w:t>
      </w:r>
      <w:r w:rsidRPr="009A6910">
        <w:t>, the defendant was sentenced pr</w:t>
      </w:r>
      <w:r w:rsidRPr="009A6910">
        <w:t>ior to s</w:t>
      </w:r>
      <w:bookmarkStart w:id="237" w:name="_BA_Cite_873CD8_000080"/>
      <w:bookmarkEnd w:id="237"/>
      <w:r w:rsidRPr="009A6910">
        <w:t>ection 3051’s enactment</w:t>
      </w:r>
      <w:r w:rsidR="00EC0511">
        <w:t xml:space="preserve">.  </w:t>
      </w:r>
      <w:r w:rsidR="00EC0511" w:rsidRPr="009A6910">
        <w:t>(</w:t>
      </w:r>
      <w:r w:rsidR="00EC0511" w:rsidRPr="009A6910">
        <w:rPr>
          <w:i/>
          <w:iCs/>
        </w:rPr>
        <w:t>Franklin, supra</w:t>
      </w:r>
      <w:r w:rsidR="00EC0511" w:rsidRPr="009A6910">
        <w:rPr>
          <w:iCs/>
        </w:rPr>
        <w:t>,</w:t>
      </w:r>
      <w:r w:rsidR="00EC0511" w:rsidRPr="009A6910">
        <w:rPr>
          <w:i/>
          <w:iCs/>
        </w:rPr>
        <w:t xml:space="preserve"> </w:t>
      </w:r>
      <w:r w:rsidR="00EC0511" w:rsidRPr="009A6910">
        <w:t>63 Cal.4th at p.</w:t>
      </w:r>
      <w:r w:rsidR="00EC0511">
        <w:t xml:space="preserve"> </w:t>
      </w:r>
      <w:r w:rsidR="00EC0511" w:rsidRPr="009A6910">
        <w:t>2</w:t>
      </w:r>
      <w:r w:rsidR="00EC0511">
        <w:t>76</w:t>
      </w:r>
      <w:r w:rsidR="00EC0511" w:rsidRPr="009A6910">
        <w:t xml:space="preserve">.)  </w:t>
      </w:r>
      <w:r w:rsidR="00EC0511">
        <w:t xml:space="preserve">Our high court </w:t>
      </w:r>
      <w:r w:rsidRPr="009A6910">
        <w:t xml:space="preserve">remanded </w:t>
      </w:r>
      <w:r w:rsidR="006F070D">
        <w:t xml:space="preserve">so </w:t>
      </w:r>
      <w:r w:rsidRPr="009A6910">
        <w:t xml:space="preserve">the trial court </w:t>
      </w:r>
      <w:r w:rsidR="006F070D">
        <w:t xml:space="preserve">could </w:t>
      </w:r>
      <w:r w:rsidRPr="009A6910">
        <w:t xml:space="preserve">determine whether </w:t>
      </w:r>
      <w:r w:rsidR="006F070D" w:rsidRPr="0089081D">
        <w:t>Franklin</w:t>
      </w:r>
      <w:r>
        <w:t xml:space="preserve"> </w:t>
      </w:r>
      <w:r w:rsidR="006F070D">
        <w:t xml:space="preserve">had </w:t>
      </w:r>
      <w:r w:rsidR="00BA0CAC">
        <w:t xml:space="preserve">had </w:t>
      </w:r>
      <w:r w:rsidRPr="009A6910">
        <w:t>a sufficient opportunity to make a record of information relevant to his eventual youth offender</w:t>
      </w:r>
      <w:r w:rsidRPr="009A6910">
        <w:t xml:space="preserve"> parole hearing</w:t>
      </w:r>
      <w:r w:rsidR="006F070D">
        <w:t xml:space="preserve">.  </w:t>
      </w:r>
      <w:r w:rsidR="006F070D" w:rsidRPr="009A6910">
        <w:t>(</w:t>
      </w:r>
      <w:r w:rsidR="006F070D" w:rsidRPr="009A6910">
        <w:rPr>
          <w:i/>
        </w:rPr>
        <w:t>Id.</w:t>
      </w:r>
      <w:r w:rsidR="006F070D" w:rsidRPr="009A6910">
        <w:t xml:space="preserve"> at p.</w:t>
      </w:r>
      <w:r w:rsidR="006F070D">
        <w:t xml:space="preserve"> </w:t>
      </w:r>
      <w:r w:rsidR="006F070D" w:rsidRPr="009A6910">
        <w:t>284.)</w:t>
      </w:r>
      <w:r w:rsidR="006F070D">
        <w:t xml:space="preserve">  </w:t>
      </w:r>
      <w:r w:rsidR="00BA0CAC">
        <w:t>The court</w:t>
      </w:r>
      <w:r w:rsidR="006F070D">
        <w:t xml:space="preserve"> </w:t>
      </w:r>
      <w:r w:rsidRPr="009A6910">
        <w:t>not</w:t>
      </w:r>
      <w:r w:rsidR="006F070D">
        <w:t>ed</w:t>
      </w:r>
      <w:r w:rsidR="00BA0CAC">
        <w:t>,</w:t>
      </w:r>
      <w:r w:rsidRPr="009A6910">
        <w:t xml:space="preserve"> “[a]ssembling such statements ‘about the </w:t>
      </w:r>
      <w:r w:rsidRPr="0089081D">
        <w:t>individual</w:t>
      </w:r>
      <w:r w:rsidRPr="009A6910">
        <w:t xml:space="preserve"> before the crime’ is typically a task more easily done at or near the time of the juvenile’s offense rather than decades later when memories have faded, records may have been lost or destroyed, or family or community members may have relocated or passed a</w:t>
      </w:r>
      <w:r w:rsidRPr="009A6910">
        <w:t>way.”  (</w:t>
      </w:r>
      <w:r w:rsidRPr="009A6910">
        <w:rPr>
          <w:i/>
        </w:rPr>
        <w:t>I</w:t>
      </w:r>
      <w:bookmarkStart w:id="238" w:name="_BA_Cite_873CD8_000046"/>
      <w:bookmarkEnd w:id="238"/>
      <w:r w:rsidRPr="009A6910">
        <w:rPr>
          <w:i/>
        </w:rPr>
        <w:t>d.</w:t>
      </w:r>
      <w:r w:rsidRPr="009A6910">
        <w:t xml:space="preserve"> at pp.</w:t>
      </w:r>
      <w:r>
        <w:t xml:space="preserve"> </w:t>
      </w:r>
      <w:r w:rsidRPr="009A6910">
        <w:t>283-284.)</w:t>
      </w:r>
    </w:p>
    <w:p w14:paraId="58755140" w14:textId="5652DC77" w:rsidR="00BA2466" w:rsidRDefault="0061079E" w:rsidP="00784D85">
      <w:pPr>
        <w:pStyle w:val="bodytext"/>
      </w:pPr>
      <w:bookmarkStart w:id="239" w:name="ElPgBr67"/>
      <w:bookmarkEnd w:id="239"/>
      <w:r>
        <w:lastRenderedPageBreak/>
        <w:t xml:space="preserve">Here, </w:t>
      </w:r>
      <w:r w:rsidR="0089081D">
        <w:t>Roman was sentenced to a</w:t>
      </w:r>
      <w:r w:rsidR="00194646">
        <w:t>n</w:t>
      </w:r>
      <w:r w:rsidR="0089081D">
        <w:t xml:space="preserve"> </w:t>
      </w:r>
      <w:r w:rsidR="00867ED7">
        <w:t>in</w:t>
      </w:r>
      <w:r w:rsidR="0089081D">
        <w:t xml:space="preserve">determinate term </w:t>
      </w:r>
      <w:r w:rsidR="00D803AE">
        <w:t xml:space="preserve">of less than 25 years to life for his controlling offense </w:t>
      </w:r>
      <w:r w:rsidR="0089081D">
        <w:t>and is entitled to a parole hearing during his 2</w:t>
      </w:r>
      <w:r w:rsidR="00194646">
        <w:t>0</w:t>
      </w:r>
      <w:r w:rsidR="0089081D">
        <w:t>th year of incarceration.</w:t>
      </w:r>
      <w:r w:rsidR="00784D85" w:rsidRPr="009A6910">
        <w:t xml:space="preserve"> </w:t>
      </w:r>
      <w:r w:rsidR="00784D85">
        <w:t xml:space="preserve"> </w:t>
      </w:r>
      <w:r w:rsidR="0089081D">
        <w:t xml:space="preserve">(§ 3051, subd. </w:t>
      </w:r>
      <w:bookmarkStart w:id="240" w:name="Elo1uO"/>
      <w:bookmarkStart w:id="241" w:name="Elo1urO"/>
      <w:r w:rsidR="0089081D">
        <w:t>(b)</w:t>
      </w:r>
      <w:bookmarkStart w:id="242" w:name="Elo2uO"/>
      <w:bookmarkStart w:id="243" w:name="Elo2urO"/>
      <w:bookmarkEnd w:id="240"/>
      <w:bookmarkEnd w:id="241"/>
      <w:r w:rsidR="0089081D">
        <w:t>(1)</w:t>
      </w:r>
      <w:bookmarkEnd w:id="242"/>
      <w:bookmarkEnd w:id="243"/>
      <w:r w:rsidR="0089081D">
        <w:t xml:space="preserve">.)  </w:t>
      </w:r>
      <w:r>
        <w:t xml:space="preserve">But unlike in </w:t>
      </w:r>
      <w:r w:rsidRPr="00F71823">
        <w:rPr>
          <w:i/>
        </w:rPr>
        <w:t>Fra</w:t>
      </w:r>
      <w:r w:rsidRPr="00F71823">
        <w:rPr>
          <w:i/>
        </w:rPr>
        <w:t>nklin</w:t>
      </w:r>
      <w:r>
        <w:t xml:space="preserve">, </w:t>
      </w:r>
      <w:r w:rsidR="00BA0533">
        <w:t xml:space="preserve">Roman was sentenced </w:t>
      </w:r>
      <w:r>
        <w:t xml:space="preserve">after section 3051’s enactment and </w:t>
      </w:r>
      <w:r w:rsidR="00BA0533">
        <w:t xml:space="preserve">eight months </w:t>
      </w:r>
      <w:r w:rsidR="00D325F4">
        <w:t>following</w:t>
      </w:r>
      <w:r w:rsidR="00BA0533">
        <w:t xml:space="preserve"> </w:t>
      </w:r>
      <w:r w:rsidR="00BA0533" w:rsidRPr="00BA0533">
        <w:rPr>
          <w:i/>
        </w:rPr>
        <w:t>Franklin</w:t>
      </w:r>
      <w:r w:rsidR="00D325F4" w:rsidRPr="00FB38AA">
        <w:rPr>
          <w:iCs/>
        </w:rPr>
        <w:t>’s</w:t>
      </w:r>
      <w:r w:rsidR="00D325F4">
        <w:rPr>
          <w:i/>
        </w:rPr>
        <w:t xml:space="preserve"> </w:t>
      </w:r>
      <w:r w:rsidR="003D09B7">
        <w:t>issu</w:t>
      </w:r>
      <w:r w:rsidR="00D325F4">
        <w:t>ance</w:t>
      </w:r>
      <w:r w:rsidR="00BA0533">
        <w:t xml:space="preserve">.  </w:t>
      </w:r>
      <w:r w:rsidR="00D325F4">
        <w:t>And w</w:t>
      </w:r>
      <w:r w:rsidR="00D325F4" w:rsidRPr="005A5945">
        <w:t xml:space="preserve">e presume defense counsel and the court were aware of </w:t>
      </w:r>
      <w:r w:rsidR="00D325F4">
        <w:t xml:space="preserve">the </w:t>
      </w:r>
      <w:r w:rsidR="00D325F4" w:rsidRPr="005A5945">
        <w:t>applicable law, includ</w:t>
      </w:r>
      <w:r w:rsidR="00D325F4">
        <w:t>ing</w:t>
      </w:r>
      <w:r w:rsidR="00D325F4" w:rsidRPr="005A5945">
        <w:t xml:space="preserve"> </w:t>
      </w:r>
      <w:r w:rsidR="00D325F4" w:rsidRPr="003D09B7">
        <w:rPr>
          <w:i/>
        </w:rPr>
        <w:t>Franklin</w:t>
      </w:r>
      <w:r w:rsidR="00D325F4" w:rsidRPr="005A5945">
        <w:t>.</w:t>
      </w:r>
      <w:r>
        <w:rPr>
          <w:rStyle w:val="FootnoteReference"/>
        </w:rPr>
        <w:footnoteReference w:id="50"/>
      </w:r>
      <w:r w:rsidR="00D325F4" w:rsidRPr="005A5945">
        <w:t xml:space="preserve"> </w:t>
      </w:r>
      <w:r w:rsidR="00D325F4">
        <w:t xml:space="preserve"> </w:t>
      </w:r>
      <w:r w:rsidR="00D325F4" w:rsidRPr="005A5945">
        <w:t>(</w:t>
      </w:r>
      <w:r w:rsidR="00D325F4">
        <w:t xml:space="preserve">See </w:t>
      </w:r>
      <w:bookmarkStart w:id="244" w:name="Ely0uO"/>
      <w:bookmarkStart w:id="245" w:name="Ely0urO"/>
      <w:r w:rsidR="00D325F4" w:rsidRPr="00F71823">
        <w:rPr>
          <w:i/>
        </w:rPr>
        <w:t>People v. Barrett</w:t>
      </w:r>
      <w:r w:rsidR="00D325F4" w:rsidRPr="005A5945">
        <w:t xml:space="preserve"> (2012) 54 Cal.4th 1081, 1105 </w:t>
      </w:r>
      <w:bookmarkEnd w:id="244"/>
      <w:bookmarkEnd w:id="245"/>
      <w:r w:rsidR="00D325F4" w:rsidRPr="005A5945">
        <w:t>[“Counsel is presumed competent and informed as to applicable constitutional and statutory law”]</w:t>
      </w:r>
      <w:r w:rsidR="00D325F4">
        <w:t xml:space="preserve">.)  </w:t>
      </w:r>
    </w:p>
    <w:p w14:paraId="27BAF398" w14:textId="02732D24" w:rsidR="009B512F" w:rsidRDefault="0061079E" w:rsidP="00FB6A94">
      <w:pPr>
        <w:pStyle w:val="bodytext"/>
      </w:pPr>
      <w:r>
        <w:t xml:space="preserve">Further, </w:t>
      </w:r>
      <w:r w:rsidR="005A5945" w:rsidRPr="009A6910">
        <w:t xml:space="preserve">unlike in </w:t>
      </w:r>
      <w:r w:rsidR="005A5945" w:rsidRPr="009A6910">
        <w:rPr>
          <w:i/>
        </w:rPr>
        <w:t>F</w:t>
      </w:r>
      <w:bookmarkStart w:id="246" w:name="_BA_Cite_873CD8_000045"/>
      <w:bookmarkEnd w:id="246"/>
      <w:r w:rsidR="005A5945" w:rsidRPr="009A6910">
        <w:rPr>
          <w:i/>
        </w:rPr>
        <w:t>ranklin</w:t>
      </w:r>
      <w:r w:rsidR="005A5945" w:rsidRPr="009A6910">
        <w:t>,</w:t>
      </w:r>
      <w:r>
        <w:t xml:space="preserve"> where it was unclear </w:t>
      </w:r>
      <w:r w:rsidR="00346EBC">
        <w:t>if</w:t>
      </w:r>
      <w:r>
        <w:t xml:space="preserve"> Franklin had had the opportunity to put information relevant to a future parole hearing on the record, here, the record indicate</w:t>
      </w:r>
      <w:r w:rsidR="000F7AEC">
        <w:t>s</w:t>
      </w:r>
      <w:r>
        <w:t xml:space="preserve"> </w:t>
      </w:r>
      <w:r w:rsidR="00DB69EF">
        <w:t>Roman</w:t>
      </w:r>
      <w:r w:rsidR="005A5945" w:rsidRPr="009A6910">
        <w:t xml:space="preserve"> </w:t>
      </w:r>
      <w:r>
        <w:t>had that opportunity</w:t>
      </w:r>
      <w:r w:rsidR="00EA7464">
        <w:t xml:space="preserve"> and he took advantage of it</w:t>
      </w:r>
      <w:r>
        <w:t xml:space="preserve">.  </w:t>
      </w:r>
      <w:r w:rsidR="00EA7464">
        <w:t xml:space="preserve">At </w:t>
      </w:r>
      <w:r w:rsidR="009F2DE2">
        <w:t xml:space="preserve">sentencing, </w:t>
      </w:r>
      <w:r w:rsidR="00BA2466">
        <w:t xml:space="preserve">Roman’s </w:t>
      </w:r>
      <w:r w:rsidR="00EA7464">
        <w:t xml:space="preserve">trial </w:t>
      </w:r>
      <w:r w:rsidR="00BA2466">
        <w:t>counsel provided a statement in mitigation noting Roman</w:t>
      </w:r>
      <w:r w:rsidR="007319B4">
        <w:t xml:space="preserve">’s age </w:t>
      </w:r>
      <w:r w:rsidR="00BA2466">
        <w:t>during the crash</w:t>
      </w:r>
      <w:r w:rsidR="007319B4">
        <w:t xml:space="preserve"> and </w:t>
      </w:r>
      <w:r>
        <w:t>attached</w:t>
      </w:r>
      <w:r w:rsidR="007319B4">
        <w:t xml:space="preserve"> </w:t>
      </w:r>
      <w:r w:rsidR="00BA2466">
        <w:t xml:space="preserve">reports </w:t>
      </w:r>
      <w:r w:rsidR="00DB69EF">
        <w:t xml:space="preserve">describing </w:t>
      </w:r>
      <w:r w:rsidR="007319B4">
        <w:t>interviews</w:t>
      </w:r>
      <w:r w:rsidR="00BA2466">
        <w:t xml:space="preserve"> with Roman’s friends</w:t>
      </w:r>
      <w:r w:rsidR="003C518F">
        <w:t xml:space="preserve"> who reported </w:t>
      </w:r>
      <w:r w:rsidR="00BA2466">
        <w:t xml:space="preserve">Roman </w:t>
      </w:r>
      <w:r w:rsidR="009F2DE2">
        <w:t xml:space="preserve">had been </w:t>
      </w:r>
      <w:r w:rsidR="00BA2466">
        <w:t xml:space="preserve">drug free </w:t>
      </w:r>
      <w:r w:rsidR="00517058">
        <w:t xml:space="preserve">until he was prescribed pain medication following a </w:t>
      </w:r>
      <w:r w:rsidR="00BA2466">
        <w:t>2011 car accident</w:t>
      </w:r>
      <w:r w:rsidR="00517058">
        <w:t xml:space="preserve">.  </w:t>
      </w:r>
      <w:r w:rsidR="003C518F">
        <w:t xml:space="preserve">And at sentencing, </w:t>
      </w:r>
      <w:r w:rsidR="00DB69EF">
        <w:t xml:space="preserve">Roman’s counsel argued at length regarding Roman’s youth:  “The conduct of Roman Glukhoy and his </w:t>
      </w:r>
      <w:r w:rsidR="003C518F">
        <w:t xml:space="preserve">brother … </w:t>
      </w:r>
      <w:r w:rsidR="00DB69EF">
        <w:t xml:space="preserve">shows a lack of maturity, a lack of an appreciation of risk, a lack of impulse control, things that are consistent with adolescent thinking, and things that they can’t proceed in life thinking that way.”  </w:t>
      </w:r>
    </w:p>
    <w:p w14:paraId="4A1FE4E9" w14:textId="17977C92" w:rsidR="00EE4C3B" w:rsidRDefault="0061079E" w:rsidP="001E35A0">
      <w:pPr>
        <w:pStyle w:val="bodytext"/>
      </w:pPr>
      <w:r>
        <w:t xml:space="preserve">Thus, unlike in </w:t>
      </w:r>
      <w:r w:rsidRPr="00EE4C3B">
        <w:rPr>
          <w:i/>
        </w:rPr>
        <w:t>Franklin</w:t>
      </w:r>
      <w:r>
        <w:t xml:space="preserve">, </w:t>
      </w:r>
      <w:r w:rsidR="00667AC6">
        <w:t xml:space="preserve">Roman was afforded an opportunity to present evidence </w:t>
      </w:r>
      <w:r>
        <w:t xml:space="preserve">relevant </w:t>
      </w:r>
      <w:r w:rsidR="00667AC6">
        <w:t xml:space="preserve">to a future youthful offender parole hearing — and such </w:t>
      </w:r>
      <w:r>
        <w:t xml:space="preserve">evidence was </w:t>
      </w:r>
      <w:r w:rsidR="00346EBC">
        <w:t>presented</w:t>
      </w:r>
      <w:r w:rsidR="00667AC6">
        <w:t>.</w:t>
      </w:r>
      <w:r>
        <w:t xml:space="preserve">  </w:t>
      </w:r>
      <w:r w:rsidR="005A2444">
        <w:t xml:space="preserve">(See </w:t>
      </w:r>
      <w:bookmarkStart w:id="247" w:name="ElyruO"/>
      <w:bookmarkStart w:id="248" w:name="ElyrurO"/>
      <w:r w:rsidR="005A2444" w:rsidRPr="005A2444">
        <w:rPr>
          <w:i/>
        </w:rPr>
        <w:t>People v. Woods</w:t>
      </w:r>
      <w:r w:rsidR="005A2444">
        <w:t xml:space="preserve"> (2018) 19 Cal.App.5th 1080, 1088</w:t>
      </w:r>
      <w:r w:rsidR="00323228">
        <w:t>-</w:t>
      </w:r>
      <w:r w:rsidR="005A2444">
        <w:t xml:space="preserve">1089 </w:t>
      </w:r>
      <w:bookmarkEnd w:id="247"/>
      <w:bookmarkEnd w:id="248"/>
      <w:r w:rsidR="005A2444">
        <w:t xml:space="preserve">[ “unlike the defendant in </w:t>
      </w:r>
      <w:r w:rsidR="005A2444" w:rsidRPr="005A2444">
        <w:rPr>
          <w:i/>
        </w:rPr>
        <w:t>Franklin</w:t>
      </w:r>
      <w:r w:rsidR="005A2444">
        <w:t xml:space="preserve">, defendant had both the opportunity and incentive to put information on the record related to a future youth offender parole hearing”].)  </w:t>
      </w:r>
      <w:r>
        <w:t xml:space="preserve">And for this </w:t>
      </w:r>
      <w:r w:rsidR="005A2444">
        <w:t xml:space="preserve">same </w:t>
      </w:r>
      <w:r>
        <w:t xml:space="preserve">reason, </w:t>
      </w:r>
      <w:bookmarkStart w:id="249" w:name="ElPgBr68"/>
      <w:bookmarkEnd w:id="249"/>
      <w:r w:rsidR="001E35A0">
        <w:lastRenderedPageBreak/>
        <w:t xml:space="preserve">Roman’s trial counsel did not render ineffective assistance in failing to request a </w:t>
      </w:r>
      <w:r w:rsidR="001E35A0" w:rsidRPr="001E35A0">
        <w:rPr>
          <w:i/>
        </w:rPr>
        <w:t>Franklin</w:t>
      </w:r>
      <w:r w:rsidR="001E35A0">
        <w:t xml:space="preserve"> hearing.  </w:t>
      </w:r>
    </w:p>
    <w:p w14:paraId="6DD8743E" w14:textId="73E6662D" w:rsidR="00FB2DB0" w:rsidRDefault="0061079E" w:rsidP="00FB2DB0">
      <w:pPr>
        <w:pStyle w:val="bodytext"/>
      </w:pPr>
      <w:r>
        <w:t>To the extent Roman</w:t>
      </w:r>
      <w:r w:rsidR="00EE4C3B">
        <w:t xml:space="preserve">’s claim of ineffective assistance </w:t>
      </w:r>
      <w:r w:rsidR="008E0A48">
        <w:t xml:space="preserve">is </w:t>
      </w:r>
      <w:r w:rsidR="00EE4C3B">
        <w:t>construed as challeng</w:t>
      </w:r>
      <w:r w:rsidR="00346EBC">
        <w:t>ing</w:t>
      </w:r>
      <w:r w:rsidR="00EE4C3B">
        <w:t xml:space="preserve"> his counsel’s failure to </w:t>
      </w:r>
      <w:r>
        <w:t xml:space="preserve">include all relevant information, </w:t>
      </w:r>
      <w:r w:rsidR="00EE4C3B">
        <w:t xml:space="preserve">we conclude that it too </w:t>
      </w:r>
      <w:r>
        <w:t>fails</w:t>
      </w:r>
      <w:r w:rsidR="00622FF2">
        <w:t xml:space="preserve">.  </w:t>
      </w:r>
      <w:r>
        <w:t>Roman aver</w:t>
      </w:r>
      <w:r w:rsidR="008E0A48">
        <w:t>s</w:t>
      </w:r>
      <w:r>
        <w:t xml:space="preserve"> that </w:t>
      </w:r>
      <w:r w:rsidR="008E0A48">
        <w:t xml:space="preserve">his trial </w:t>
      </w:r>
      <w:r>
        <w:t>counsel failed to provide “</w:t>
      </w:r>
      <w:r w:rsidRPr="00C5791F">
        <w:rPr>
          <w:i/>
          <w:iCs/>
        </w:rPr>
        <w:t>sufficient evidence</w:t>
      </w:r>
      <w:r>
        <w:t xml:space="preserve"> concerning [Roman’s] level of maturity, cognitive ability, or other youth</w:t>
      </w:r>
      <w:r w:rsidR="0036631B">
        <w:t>-</w:t>
      </w:r>
      <w:r>
        <w:t xml:space="preserve">related factors.” </w:t>
      </w:r>
      <w:r w:rsidR="0036631B">
        <w:t xml:space="preserve"> </w:t>
      </w:r>
      <w:r w:rsidR="00EA7464">
        <w:t xml:space="preserve">(Italics added.) </w:t>
      </w:r>
      <w:r>
        <w:t xml:space="preserve"> He adds that counsel failed to offer “all the mitigating evidence” relevant to a future </w:t>
      </w:r>
      <w:r>
        <w:t xml:space="preserve">hearing.  But </w:t>
      </w:r>
      <w:r w:rsidR="008E0A48">
        <w:t xml:space="preserve">these vague averments leave us </w:t>
      </w:r>
      <w:r>
        <w:t xml:space="preserve">to speculate </w:t>
      </w:r>
      <w:r w:rsidR="008E0A48">
        <w:t xml:space="preserve">as to </w:t>
      </w:r>
      <w:r>
        <w:t xml:space="preserve">what such evidence might be.  </w:t>
      </w:r>
      <w:r w:rsidR="00622FF2">
        <w:t xml:space="preserve">Roman does not say.  </w:t>
      </w:r>
      <w:r w:rsidR="00EA7464">
        <w:t xml:space="preserve">Nor does he even suggest what or how much information would be “sufficient.”  </w:t>
      </w:r>
      <w:r w:rsidR="00935DDA">
        <w:t>Without showing what evidence counsel neglected to present and whether that evidence was available, defendant has no</w:t>
      </w:r>
      <w:r w:rsidR="000F7AEC">
        <w:t>t</w:t>
      </w:r>
      <w:r w:rsidR="00935DDA">
        <w:t xml:space="preserve"> carr</w:t>
      </w:r>
      <w:r w:rsidR="000F7AEC">
        <w:t>ied</w:t>
      </w:r>
      <w:r w:rsidR="00935DDA">
        <w:t xml:space="preserve"> his </w:t>
      </w:r>
      <w:r w:rsidR="008E0A48">
        <w:t>burden of showing a reasonable probability of a better outcome</w:t>
      </w:r>
      <w:r>
        <w:t xml:space="preserve">. </w:t>
      </w:r>
      <w:r w:rsidR="00AC3DDC">
        <w:t xml:space="preserve">  </w:t>
      </w:r>
    </w:p>
    <w:p w14:paraId="23F05361" w14:textId="68EAB818" w:rsidR="006D652B" w:rsidRDefault="0061079E" w:rsidP="009D7C69">
      <w:pPr>
        <w:pStyle w:val="bodytext"/>
      </w:pPr>
      <w:r>
        <w:t>Roman</w:t>
      </w:r>
      <w:r w:rsidR="008540C2">
        <w:t>,</w:t>
      </w:r>
      <w:r>
        <w:t xml:space="preserve"> </w:t>
      </w:r>
      <w:r w:rsidR="001D2128">
        <w:t>undeterred</w:t>
      </w:r>
      <w:r w:rsidR="008540C2">
        <w:t>,</w:t>
      </w:r>
      <w:r>
        <w:t xml:space="preserve"> cites </w:t>
      </w:r>
      <w:bookmarkStart w:id="250" w:name="Ely0wO"/>
      <w:bookmarkStart w:id="251" w:name="Ely0wrO"/>
      <w:r w:rsidRPr="00FB2DB0">
        <w:rPr>
          <w:i/>
        </w:rPr>
        <w:t>People v. Tran</w:t>
      </w:r>
      <w:r>
        <w:t xml:space="preserve"> (2018) 20 Cal.App.5th 561</w:t>
      </w:r>
      <w:bookmarkEnd w:id="250"/>
      <w:bookmarkEnd w:id="251"/>
      <w:r>
        <w:t xml:space="preserve">, which rejected the People’s argument that </w:t>
      </w:r>
      <w:r w:rsidR="003536C1">
        <w:t>the defendant’s</w:t>
      </w:r>
      <w:r>
        <w:t xml:space="preserve"> failure to explain exactly what information he would have provided at a </w:t>
      </w:r>
      <w:r w:rsidRPr="00E4176F">
        <w:rPr>
          <w:i/>
          <w:iCs/>
        </w:rPr>
        <w:t>Franklin</w:t>
      </w:r>
      <w:r>
        <w:t xml:space="preserve"> hearing, rendered remand unnecessary.  (</w:t>
      </w:r>
      <w:r w:rsidRPr="00346EBC">
        <w:rPr>
          <w:i/>
        </w:rPr>
        <w:t>Id</w:t>
      </w:r>
      <w:r w:rsidR="00346EBC">
        <w:rPr>
          <w:i/>
        </w:rPr>
        <w:t>.</w:t>
      </w:r>
      <w:r>
        <w:t xml:space="preserve"> at p. 570 [“</w:t>
      </w:r>
      <w:r w:rsidRPr="009D7C69">
        <w:t xml:space="preserve">Not knowing what their investigative efforts might turn up, it would be unrealistic to expect them to make an offer </w:t>
      </w:r>
      <w:r w:rsidRPr="009D7C69">
        <w:t>of proof at this stage of the case</w:t>
      </w:r>
      <w:r>
        <w:t xml:space="preserve">”].)  But </w:t>
      </w:r>
      <w:r w:rsidR="003536C1" w:rsidRPr="008540C2">
        <w:rPr>
          <w:i/>
        </w:rPr>
        <w:t>Tran</w:t>
      </w:r>
      <w:r w:rsidR="00622FF2">
        <w:t xml:space="preserve"> does not apply here</w:t>
      </w:r>
      <w:r w:rsidR="003536C1">
        <w:t xml:space="preserve">.  </w:t>
      </w:r>
      <w:r w:rsidR="008540C2">
        <w:t xml:space="preserve">Like in </w:t>
      </w:r>
      <w:r w:rsidR="008540C2" w:rsidRPr="008540C2">
        <w:rPr>
          <w:i/>
        </w:rPr>
        <w:t>Franklin</w:t>
      </w:r>
      <w:r w:rsidR="008540C2">
        <w:t xml:space="preserve">, </w:t>
      </w:r>
      <w:r>
        <w:t>Tran was sentence</w:t>
      </w:r>
      <w:r w:rsidR="00622FF2">
        <w:t>d</w:t>
      </w:r>
      <w:r>
        <w:t xml:space="preserve"> before section 3051’s enactment, </w:t>
      </w:r>
      <w:r w:rsidR="00B14023">
        <w:t xml:space="preserve">hence </w:t>
      </w:r>
      <w:r>
        <w:t xml:space="preserve">trial counsel had no cause to </w:t>
      </w:r>
      <w:r w:rsidR="00593023">
        <w:t>consider</w:t>
      </w:r>
      <w:r>
        <w:t xml:space="preserve"> what information to provide. </w:t>
      </w:r>
      <w:r w:rsidR="00F67199">
        <w:t xml:space="preserve"> (See </w:t>
      </w:r>
      <w:r w:rsidR="00F67199" w:rsidRPr="00F67199">
        <w:rPr>
          <w:i/>
        </w:rPr>
        <w:t>id</w:t>
      </w:r>
      <w:r w:rsidR="00F67199">
        <w:t xml:space="preserve">. at p. 570 [“because appellant’s sentencing hearing preceded Franklin, it is doubtful he would have been permitted to present evidence bearing on his future suitability for parole, even if he had asked the trial court to do so”].) </w:t>
      </w:r>
      <w:r>
        <w:t xml:space="preserve"> Here</w:t>
      </w:r>
      <w:r w:rsidR="003536C1">
        <w:t>,</w:t>
      </w:r>
      <w:r>
        <w:t xml:space="preserve"> by contrast, sent</w:t>
      </w:r>
      <w:r>
        <w:t>encing occurred well after section 3051’s enactment</w:t>
      </w:r>
      <w:r w:rsidR="008540C2">
        <w:t xml:space="preserve">, and the record gives every indication that </w:t>
      </w:r>
      <w:r w:rsidR="003536C1">
        <w:t xml:space="preserve">trial counsel </w:t>
      </w:r>
      <w:r w:rsidR="008540C2">
        <w:t xml:space="preserve">did consider and </w:t>
      </w:r>
      <w:r w:rsidR="005A2444">
        <w:t xml:space="preserve">in fact </w:t>
      </w:r>
      <w:r w:rsidR="008540C2">
        <w:t>present</w:t>
      </w:r>
      <w:r w:rsidR="005A2444">
        <w:t>ed</w:t>
      </w:r>
      <w:r w:rsidR="008540C2">
        <w:t xml:space="preserve"> information</w:t>
      </w:r>
      <w:r w:rsidR="005A2444">
        <w:t xml:space="preserve"> relevant to a future parole hearing.  </w:t>
      </w:r>
      <w:r w:rsidR="0090135A">
        <w:t>Thus,</w:t>
      </w:r>
      <w:r w:rsidR="005A2444">
        <w:t xml:space="preserve"> no showing of </w:t>
      </w:r>
      <w:r>
        <w:t xml:space="preserve">ineffective assistance </w:t>
      </w:r>
      <w:r w:rsidR="002E096E">
        <w:t>has been</w:t>
      </w:r>
      <w:r w:rsidR="005A2444">
        <w:t xml:space="preserve"> made. </w:t>
      </w:r>
      <w:r w:rsidR="002E096E">
        <w:t xml:space="preserve"> If Roman can offer more than speculation that some information useful to the parole authorities could have been introduced and preserved in the trial court, he can seek to do </w:t>
      </w:r>
      <w:bookmarkStart w:id="252" w:name="ElPgBr69"/>
      <w:bookmarkEnd w:id="252"/>
      <w:r w:rsidR="002E096E">
        <w:lastRenderedPageBreak/>
        <w:t xml:space="preserve">so by filing a petition for writ of habeas corpus.  (See </w:t>
      </w:r>
      <w:r w:rsidR="002E096E" w:rsidRPr="001035AB">
        <w:rPr>
          <w:i/>
          <w:iCs/>
        </w:rPr>
        <w:t>People v. Sepulveda</w:t>
      </w:r>
      <w:r w:rsidR="002E096E">
        <w:t xml:space="preserve"> (2020) 47 Cal.App.5th 291, 299-302 [rejecting defendant’s claim of ineffective assistance of counsel related to provision of </w:t>
      </w:r>
      <w:r w:rsidR="002E096E" w:rsidRPr="00BA4768">
        <w:rPr>
          <w:i/>
          <w:iCs/>
        </w:rPr>
        <w:t>Franklin</w:t>
      </w:r>
      <w:r w:rsidR="002E096E">
        <w:t xml:space="preserve"> materials and noting that the claim could be presented in a petition for writ of habeas corpus, which would allow defense counsel to explain his decisions].)</w:t>
      </w:r>
    </w:p>
    <w:p w14:paraId="55BB7698" w14:textId="0D209E20" w:rsidR="006D652B" w:rsidRDefault="0061079E" w:rsidP="009D7C69">
      <w:pPr>
        <w:pStyle w:val="bodytext"/>
      </w:pPr>
      <w:r>
        <w:t xml:space="preserve">For now, </w:t>
      </w:r>
      <w:r w:rsidR="009E1DEC">
        <w:t xml:space="preserve">Roman’s </w:t>
      </w:r>
      <w:r>
        <w:t xml:space="preserve">contention on appeal fails.  </w:t>
      </w:r>
    </w:p>
    <w:p w14:paraId="704C8B75" w14:textId="218961FC" w:rsidR="00EF3DEC" w:rsidRPr="00DD4BFD" w:rsidRDefault="0061079E" w:rsidP="00FB38AA">
      <w:pPr>
        <w:pStyle w:val="bodytext"/>
        <w:keepNext/>
        <w:ind w:firstLine="0"/>
        <w:jc w:val="center"/>
        <w:rPr>
          <w:b/>
          <w:bCs/>
        </w:rPr>
      </w:pPr>
      <w:r w:rsidRPr="00DD4BFD">
        <w:rPr>
          <w:b/>
          <w:bCs/>
        </w:rPr>
        <w:t>X.</w:t>
      </w:r>
      <w:r w:rsidR="00D5755C">
        <w:rPr>
          <w:b/>
          <w:bCs/>
        </w:rPr>
        <w:t xml:space="preserve"> </w:t>
      </w:r>
      <w:r w:rsidRPr="00DD4BFD">
        <w:rPr>
          <w:b/>
          <w:bCs/>
        </w:rPr>
        <w:t xml:space="preserve"> Dueñas</w:t>
      </w:r>
    </w:p>
    <w:p w14:paraId="438F0216" w14:textId="5455142C" w:rsidR="00EF3DEC" w:rsidRDefault="0061079E" w:rsidP="00EF3DEC">
      <w:pPr>
        <w:pStyle w:val="bodytext"/>
      </w:pPr>
      <w:r>
        <w:t xml:space="preserve">In a supplemental brief, </w:t>
      </w:r>
      <w:r w:rsidRPr="0056437B">
        <w:t>defendant</w:t>
      </w:r>
      <w:r>
        <w:t xml:space="preserve"> contends remand is required for an ability to pay hearing with respect to the fines and fees imposed at sentencing.  He cites in support </w:t>
      </w:r>
      <w:r w:rsidRPr="00DD4BFD">
        <w:rPr>
          <w:i/>
          <w:iCs/>
        </w:rPr>
        <w:t>Dueñas</w:t>
      </w:r>
      <w:r>
        <w:t xml:space="preserve">, </w:t>
      </w:r>
      <w:r w:rsidRPr="00DD4BFD">
        <w:rPr>
          <w:i/>
          <w:iCs/>
        </w:rPr>
        <w:t>supra</w:t>
      </w:r>
      <w:r>
        <w:t>, 30 Cal.App.5th 1157, which held that due process requires the trial court to stay execution of restitut</w:t>
      </w:r>
      <w:r>
        <w:t xml:space="preserve">ion fines, as well as court operation and conviction assessments, until it has held a hearing and determined the defendant has the present ability to pay.  </w:t>
      </w:r>
    </w:p>
    <w:p w14:paraId="604FE620" w14:textId="5EF3AEC7" w:rsidR="00EF3DEC" w:rsidRDefault="0061079E" w:rsidP="00EF3DEC">
      <w:pPr>
        <w:pStyle w:val="bodytext"/>
      </w:pPr>
      <w:r>
        <w:t>We join courts concluding Dueñas was wrongly decided and hold that defendant was not entitled to an</w:t>
      </w:r>
      <w:r>
        <w:t xml:space="preserve"> ability to pay hearing for the conviction and operation assessments.  (</w:t>
      </w:r>
      <w:r w:rsidRPr="0068545C">
        <w:rPr>
          <w:i/>
          <w:iCs/>
        </w:rPr>
        <w:t>People v. Pack-Ramirez</w:t>
      </w:r>
      <w:r w:rsidRPr="0068545C">
        <w:t xml:space="preserve"> (2020) 56 Cal.App.5th 851, 860</w:t>
      </w:r>
      <w:r>
        <w:t xml:space="preserve">; </w:t>
      </w:r>
      <w:r w:rsidRPr="00E4176F">
        <w:rPr>
          <w:i/>
          <w:iCs/>
        </w:rPr>
        <w:t>People v. Cota</w:t>
      </w:r>
      <w:r w:rsidRPr="0083155E">
        <w:t xml:space="preserve"> (2020) 45 Cal.App.5th 786, 794-795</w:t>
      </w:r>
      <w:r>
        <w:t xml:space="preserve">; </w:t>
      </w:r>
      <w:r w:rsidRPr="00DD4BFD">
        <w:rPr>
          <w:i/>
          <w:iCs/>
        </w:rPr>
        <w:t>People v. Kingston</w:t>
      </w:r>
      <w:r>
        <w:t xml:space="preserve"> (2019) 41 Cal.App.5th 272, 279; </w:t>
      </w:r>
      <w:r w:rsidRPr="00DD4BFD">
        <w:rPr>
          <w:i/>
          <w:iCs/>
        </w:rPr>
        <w:t>People v. Hicks</w:t>
      </w:r>
      <w:r>
        <w:t xml:space="preserve"> (2019) 40 Cal.App.5th 320, review granted November 26, 2019</w:t>
      </w:r>
      <w:r w:rsidR="003F156B">
        <w:t>, S258946</w:t>
      </w:r>
      <w:r>
        <w:t xml:space="preserve">; </w:t>
      </w:r>
      <w:r w:rsidRPr="00DD4BFD">
        <w:rPr>
          <w:i/>
          <w:iCs/>
        </w:rPr>
        <w:t>People v. Aviles</w:t>
      </w:r>
      <w:r>
        <w:t xml:space="preserve"> (2019) 39 Cal.App.5th 1055; </w:t>
      </w:r>
      <w:r w:rsidRPr="00DD4BFD">
        <w:rPr>
          <w:i/>
          <w:iCs/>
        </w:rPr>
        <w:t>People v. Caceres</w:t>
      </w:r>
      <w:r>
        <w:t xml:space="preserve"> (2019) 39 Cal.App.5th 917, 923-929.)  We therefore reject the contention.</w:t>
      </w:r>
    </w:p>
    <w:p w14:paraId="743C352F" w14:textId="2E80B9CB" w:rsidR="00EF3DEC" w:rsidRPr="00DD4BFD" w:rsidRDefault="0061079E" w:rsidP="00C717F8">
      <w:pPr>
        <w:pStyle w:val="bodytext"/>
        <w:keepNext/>
        <w:ind w:firstLine="0"/>
        <w:jc w:val="center"/>
        <w:rPr>
          <w:b/>
          <w:bCs/>
        </w:rPr>
      </w:pPr>
      <w:r w:rsidRPr="00DD4BFD">
        <w:rPr>
          <w:b/>
          <w:bCs/>
        </w:rPr>
        <w:t xml:space="preserve">XI. </w:t>
      </w:r>
      <w:r w:rsidR="00D5755C">
        <w:rPr>
          <w:b/>
          <w:bCs/>
        </w:rPr>
        <w:t xml:space="preserve"> </w:t>
      </w:r>
      <w:r w:rsidRPr="00DD4BFD">
        <w:rPr>
          <w:b/>
          <w:bCs/>
        </w:rPr>
        <w:t>The Abstract of Judgment</w:t>
      </w:r>
    </w:p>
    <w:p w14:paraId="375EE148" w14:textId="1BBBBEB2" w:rsidR="00EF3DEC" w:rsidRDefault="0061079E" w:rsidP="009D7C69">
      <w:pPr>
        <w:pStyle w:val="bodytext"/>
      </w:pPr>
      <w:r w:rsidRPr="00500FDE">
        <w:t>Finally</w:t>
      </w:r>
      <w:r>
        <w:t>, the parties agree the abstract of judgment must be corrected to reflect the fees imposed.  At sentencing, the trial court orally imposed a $160 court operations assessment (§ 1465.8</w:t>
      </w:r>
      <w:r w:rsidRPr="00441646">
        <w:t>).</w:t>
      </w:r>
      <w:r>
        <w:t xml:space="preserve">  Yet the abstract of judgment ref</w:t>
      </w:r>
      <w:r>
        <w:t xml:space="preserve">lects a $260 operations </w:t>
      </w:r>
      <w:r w:rsidRPr="008E686A">
        <w:t>assessment.  Agreeing</w:t>
      </w:r>
      <w:r>
        <w:t xml:space="preserve"> with the parties, we will order the abstract corrected.  (</w:t>
      </w:r>
      <w:r w:rsidRPr="00DD4BFD">
        <w:rPr>
          <w:i/>
          <w:iCs/>
        </w:rPr>
        <w:t>People v. Mitchell</w:t>
      </w:r>
      <w:r>
        <w:t xml:space="preserve"> (2001) 26 Cal.4th 181, 185 [“An abstract of judgment is not the judgment of conviction; it does not control if different from the tri</w:t>
      </w:r>
      <w:r>
        <w:t xml:space="preserve">al court’s oral judgment”].) </w:t>
      </w:r>
    </w:p>
    <w:p w14:paraId="13C19491" w14:textId="77777777" w:rsidR="00D259BB" w:rsidRPr="009C157D" w:rsidRDefault="0061079E" w:rsidP="00D259BB">
      <w:pPr>
        <w:pStyle w:val="bodytext"/>
        <w:keepNext/>
        <w:ind w:firstLine="0"/>
        <w:jc w:val="center"/>
        <w:rPr>
          <w:b/>
          <w:color w:val="000000"/>
        </w:rPr>
      </w:pPr>
      <w:bookmarkStart w:id="253" w:name="ElPgBr70"/>
      <w:bookmarkEnd w:id="253"/>
      <w:r w:rsidRPr="009C157D">
        <w:rPr>
          <w:b/>
          <w:color w:val="000000"/>
        </w:rPr>
        <w:lastRenderedPageBreak/>
        <w:t>DISPOSITION</w:t>
      </w:r>
    </w:p>
    <w:p w14:paraId="6BB11945" w14:textId="575A3715" w:rsidR="0028336E" w:rsidRDefault="0061079E">
      <w:pPr>
        <w:pStyle w:val="bodytext"/>
      </w:pPr>
      <w:r>
        <w:t>As to Roman Glukhoy, the trial court is directed to prepare a corrected abstract of judgment reflecting the imposition of a $160 court operations assessment (Pen. Code, §</w:t>
      </w:r>
      <w:r w:rsidR="001135AC">
        <w:t> </w:t>
      </w:r>
      <w:r>
        <w:t xml:space="preserve">1465.8).  </w:t>
      </w:r>
      <w:r w:rsidR="00137CC5">
        <w:t xml:space="preserve">As to </w:t>
      </w:r>
      <w:bookmarkEnd w:id="0"/>
      <w:r w:rsidR="0064214E">
        <w:t xml:space="preserve">both defendants, we </w:t>
      </w:r>
      <w:r>
        <w:t>otherwi</w:t>
      </w:r>
      <w:r>
        <w:t xml:space="preserve">se </w:t>
      </w:r>
      <w:r w:rsidR="0064214E">
        <w:t>affirm the</w:t>
      </w:r>
      <w:r>
        <w:t xml:space="preserve"> judgments</w:t>
      </w:r>
      <w:r w:rsidR="0064214E">
        <w:t>.</w:t>
      </w:r>
      <w:bookmarkEnd w:id="1"/>
    </w:p>
    <w:p w14:paraId="3B00106C" w14:textId="0BA0EFAB" w:rsidR="00177ED7" w:rsidRDefault="00177ED7" w:rsidP="00F92EDC">
      <w:pPr>
        <w:pStyle w:val="bodytext"/>
        <w:spacing w:line="240" w:lineRule="auto"/>
        <w:ind w:firstLine="0"/>
      </w:pPr>
    </w:p>
    <w:p w14:paraId="38172FF7" w14:textId="6C97DD16" w:rsidR="00177ED7" w:rsidRDefault="00177ED7" w:rsidP="00F92EDC">
      <w:pPr>
        <w:pStyle w:val="bodytext"/>
        <w:spacing w:line="240" w:lineRule="auto"/>
        <w:ind w:firstLine="0"/>
      </w:pPr>
    </w:p>
    <w:p w14:paraId="19098457" w14:textId="1D26AE16" w:rsidR="00177ED7" w:rsidRDefault="00177ED7" w:rsidP="00F92EDC">
      <w:pPr>
        <w:pStyle w:val="bodytext"/>
        <w:spacing w:line="240" w:lineRule="auto"/>
        <w:ind w:firstLine="0"/>
      </w:pPr>
    </w:p>
    <w:p w14:paraId="6CA84F67" w14:textId="673B9FDE" w:rsidR="00117A75" w:rsidRDefault="0061079E" w:rsidP="00F92EDC">
      <w:pPr>
        <w:pStyle w:val="bodytext"/>
        <w:tabs>
          <w:tab w:val="left" w:pos="5040"/>
          <w:tab w:val="left" w:pos="7920"/>
        </w:tabs>
        <w:spacing w:line="240" w:lineRule="auto"/>
        <w:ind w:firstLine="0"/>
      </w:pPr>
      <w:r>
        <w:tab/>
      </w:r>
      <w:r w:rsidRPr="00177ED7">
        <w:rPr>
          <w:u w:val="single"/>
        </w:rPr>
        <w:t xml:space="preserve">          </w:t>
      </w:r>
      <w:r w:rsidR="00EC23DE">
        <w:rPr>
          <w:u w:val="single"/>
        </w:rPr>
        <w:t>/s/</w:t>
      </w:r>
      <w:r w:rsidRPr="00177ED7">
        <w:rPr>
          <w:u w:val="single"/>
        </w:rPr>
        <w:tab/>
      </w:r>
    </w:p>
    <w:p w14:paraId="78CC1152" w14:textId="22231E31" w:rsidR="00117A75" w:rsidRPr="002E26F2" w:rsidRDefault="0061079E" w:rsidP="00117A75">
      <w:pPr>
        <w:tabs>
          <w:tab w:val="left" w:pos="2160"/>
        </w:tabs>
        <w:spacing w:line="240" w:lineRule="auto"/>
      </w:pPr>
      <w:r>
        <w:tab/>
      </w:r>
      <w:r>
        <w:tab/>
      </w:r>
      <w:r>
        <w:tab/>
      </w:r>
      <w:r>
        <w:tab/>
      </w:r>
      <w:r>
        <w:tab/>
        <w:t>MURRAY, J.</w:t>
      </w:r>
      <w:r>
        <w:rPr>
          <w:rStyle w:val="FootnoteReference"/>
          <w:rFonts w:ascii="Symbol" w:hAnsi="Symbol"/>
          <w:b w:val="0"/>
          <w:bCs/>
        </w:rPr>
        <w:footnoteReference w:customMarkFollows="1" w:id="51"/>
        <w:sym w:font="Symbol" w:char="F02A"/>
      </w:r>
    </w:p>
    <w:p w14:paraId="6FF14979" w14:textId="47C170EC" w:rsidR="00177ED7" w:rsidRPr="00117A75" w:rsidRDefault="00177ED7" w:rsidP="00F92EDC">
      <w:pPr>
        <w:pStyle w:val="bodytext"/>
        <w:tabs>
          <w:tab w:val="left" w:pos="5040"/>
          <w:tab w:val="left" w:pos="7920"/>
        </w:tabs>
        <w:spacing w:line="240" w:lineRule="auto"/>
        <w:ind w:firstLine="0"/>
        <w:rPr>
          <w:u w:val="single"/>
        </w:rPr>
      </w:pPr>
    </w:p>
    <w:p w14:paraId="13CB4715" w14:textId="7872AD51" w:rsidR="00177ED7" w:rsidRDefault="00177ED7" w:rsidP="00F92EDC">
      <w:pPr>
        <w:pStyle w:val="bodytext"/>
        <w:tabs>
          <w:tab w:val="left" w:pos="5040"/>
          <w:tab w:val="left" w:pos="7920"/>
        </w:tabs>
        <w:spacing w:line="240" w:lineRule="auto"/>
        <w:ind w:firstLine="0"/>
      </w:pPr>
    </w:p>
    <w:p w14:paraId="62700192" w14:textId="7DF935B2" w:rsidR="00177ED7" w:rsidRDefault="00177ED7" w:rsidP="00F92EDC">
      <w:pPr>
        <w:pStyle w:val="bodytext"/>
        <w:tabs>
          <w:tab w:val="left" w:pos="5040"/>
          <w:tab w:val="left" w:pos="7920"/>
        </w:tabs>
        <w:spacing w:line="240" w:lineRule="auto"/>
        <w:ind w:firstLine="0"/>
      </w:pPr>
    </w:p>
    <w:p w14:paraId="5C8DF0F0" w14:textId="4C610A04" w:rsidR="00177ED7" w:rsidRDefault="00177ED7" w:rsidP="00F92EDC">
      <w:pPr>
        <w:pStyle w:val="bodytext"/>
        <w:tabs>
          <w:tab w:val="left" w:pos="5040"/>
          <w:tab w:val="left" w:pos="7920"/>
        </w:tabs>
        <w:spacing w:line="240" w:lineRule="auto"/>
        <w:ind w:firstLine="0"/>
      </w:pPr>
    </w:p>
    <w:p w14:paraId="41CA2BB2" w14:textId="556A5111" w:rsidR="00177ED7" w:rsidRDefault="0061079E" w:rsidP="00F92EDC">
      <w:pPr>
        <w:pStyle w:val="bodytext"/>
        <w:spacing w:line="240" w:lineRule="auto"/>
        <w:ind w:firstLine="0"/>
      </w:pPr>
      <w:r>
        <w:t>We concur:</w:t>
      </w:r>
    </w:p>
    <w:p w14:paraId="6AB4EAB1" w14:textId="399C6942" w:rsidR="00177ED7" w:rsidRDefault="00177ED7" w:rsidP="00F92EDC">
      <w:pPr>
        <w:pStyle w:val="bodytext"/>
        <w:spacing w:line="240" w:lineRule="auto"/>
        <w:ind w:firstLine="0"/>
      </w:pPr>
    </w:p>
    <w:p w14:paraId="407EE477" w14:textId="5F0F7AC0" w:rsidR="00177ED7" w:rsidRDefault="00177ED7" w:rsidP="00F92EDC">
      <w:pPr>
        <w:pStyle w:val="bodytext"/>
        <w:spacing w:line="240" w:lineRule="auto"/>
        <w:ind w:firstLine="0"/>
      </w:pPr>
    </w:p>
    <w:p w14:paraId="6FE50990" w14:textId="40ACD625" w:rsidR="00177ED7" w:rsidRDefault="00177ED7" w:rsidP="00F92EDC">
      <w:pPr>
        <w:pStyle w:val="bodytext"/>
        <w:spacing w:line="240" w:lineRule="auto"/>
        <w:ind w:firstLine="0"/>
      </w:pPr>
    </w:p>
    <w:p w14:paraId="3F97E060" w14:textId="0738F985" w:rsidR="00117A75" w:rsidRDefault="0061079E" w:rsidP="00F92EDC">
      <w:pPr>
        <w:pStyle w:val="bodytext"/>
        <w:tabs>
          <w:tab w:val="left" w:pos="2880"/>
        </w:tabs>
        <w:spacing w:line="240" w:lineRule="auto"/>
        <w:ind w:firstLine="0"/>
      </w:pPr>
      <w:r w:rsidRPr="00177ED7">
        <w:rPr>
          <w:u w:val="single"/>
        </w:rPr>
        <w:t xml:space="preserve">          </w:t>
      </w:r>
      <w:r w:rsidR="00EC23DE">
        <w:rPr>
          <w:u w:val="single"/>
        </w:rPr>
        <w:t>/s/</w:t>
      </w:r>
      <w:r w:rsidRPr="00177ED7">
        <w:rPr>
          <w:u w:val="single"/>
        </w:rPr>
        <w:tab/>
      </w:r>
    </w:p>
    <w:p w14:paraId="41A01498" w14:textId="77A36E1A" w:rsidR="00177ED7" w:rsidRDefault="0061079E" w:rsidP="00F92EDC">
      <w:pPr>
        <w:pStyle w:val="bodytext"/>
        <w:tabs>
          <w:tab w:val="left" w:pos="2880"/>
        </w:tabs>
        <w:spacing w:line="240" w:lineRule="auto"/>
        <w:ind w:firstLine="0"/>
      </w:pPr>
      <w:r>
        <w:t>HOCH, Acting P. J.</w:t>
      </w:r>
    </w:p>
    <w:p w14:paraId="5C1E3028" w14:textId="0D2A4500" w:rsidR="00177ED7" w:rsidRDefault="00177ED7" w:rsidP="00F92EDC">
      <w:pPr>
        <w:pStyle w:val="bodytext"/>
        <w:tabs>
          <w:tab w:val="left" w:pos="2880"/>
        </w:tabs>
        <w:spacing w:line="240" w:lineRule="auto"/>
        <w:ind w:firstLine="0"/>
      </w:pPr>
    </w:p>
    <w:p w14:paraId="29A5DC01" w14:textId="5AF5E562" w:rsidR="00177ED7" w:rsidRDefault="00177ED7" w:rsidP="00F92EDC">
      <w:pPr>
        <w:pStyle w:val="bodytext"/>
        <w:tabs>
          <w:tab w:val="left" w:pos="2880"/>
        </w:tabs>
        <w:spacing w:line="240" w:lineRule="auto"/>
        <w:ind w:firstLine="0"/>
      </w:pPr>
    </w:p>
    <w:p w14:paraId="266DC455" w14:textId="5C11C1A6" w:rsidR="00177ED7" w:rsidRDefault="00177ED7" w:rsidP="00F92EDC">
      <w:pPr>
        <w:pStyle w:val="bodytext"/>
        <w:tabs>
          <w:tab w:val="left" w:pos="2880"/>
        </w:tabs>
        <w:spacing w:line="240" w:lineRule="auto"/>
        <w:ind w:firstLine="0"/>
      </w:pPr>
    </w:p>
    <w:p w14:paraId="1B63E5EA" w14:textId="6C162628" w:rsidR="00117A75" w:rsidRDefault="0061079E" w:rsidP="00F92EDC">
      <w:pPr>
        <w:pStyle w:val="bodytext"/>
        <w:tabs>
          <w:tab w:val="left" w:pos="2880"/>
        </w:tabs>
        <w:spacing w:line="240" w:lineRule="auto"/>
        <w:ind w:firstLine="0"/>
      </w:pPr>
      <w:r w:rsidRPr="00177ED7">
        <w:rPr>
          <w:u w:val="single"/>
        </w:rPr>
        <w:t xml:space="preserve">          </w:t>
      </w:r>
      <w:r w:rsidR="00EC23DE">
        <w:rPr>
          <w:u w:val="single"/>
        </w:rPr>
        <w:t>/s/</w:t>
      </w:r>
      <w:r w:rsidRPr="00177ED7">
        <w:rPr>
          <w:u w:val="single"/>
        </w:rPr>
        <w:tab/>
      </w:r>
    </w:p>
    <w:p w14:paraId="303EF62A" w14:textId="2FAEEE2E" w:rsidR="00177ED7" w:rsidRDefault="0061079E" w:rsidP="00F92EDC">
      <w:pPr>
        <w:pStyle w:val="bodytext"/>
        <w:tabs>
          <w:tab w:val="left" w:pos="2880"/>
        </w:tabs>
        <w:spacing w:line="240" w:lineRule="auto"/>
        <w:ind w:firstLine="0"/>
      </w:pPr>
      <w:r>
        <w:t>KRAUSE, J.</w:t>
      </w:r>
    </w:p>
    <w:p w14:paraId="73710189" w14:textId="77777777" w:rsidR="00177ED7" w:rsidRPr="00177ED7" w:rsidRDefault="00177ED7" w:rsidP="00F92EDC"/>
    <w:sectPr w:rsidR="00177ED7" w:rsidRPr="00177ED7" w:rsidSect="00177ED7">
      <w:footerReference w:type="default" r:id="rId7"/>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645A" w14:textId="77777777" w:rsidR="00000000" w:rsidRDefault="0061079E">
      <w:pPr>
        <w:spacing w:line="240" w:lineRule="auto"/>
      </w:pPr>
      <w:r>
        <w:separator/>
      </w:r>
    </w:p>
  </w:endnote>
  <w:endnote w:type="continuationSeparator" w:id="0">
    <w:p w14:paraId="4197DDEB" w14:textId="77777777" w:rsidR="00000000" w:rsidRDefault="00610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8B16" w14:textId="5A224EE1" w:rsidR="00194646" w:rsidRPr="00177ED7" w:rsidRDefault="0061079E" w:rsidP="00177ED7">
    <w:pPr>
      <w:pStyle w:val="Footer"/>
      <w:jc w:val="center"/>
    </w:pPr>
    <w:r>
      <w:fldChar w:fldCharType="begin"/>
    </w:r>
    <w:r>
      <w:instrText xml:space="preserve"> PAGE  \* MERGEFORMAT </w:instrText>
    </w:r>
    <w:r>
      <w:fldChar w:fldCharType="separate"/>
    </w:r>
    <w:r>
      <w:rPr>
        <w:noProof/>
      </w:rPr>
      <w:t>70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0F043" w14:textId="77777777" w:rsidR="00E37C67" w:rsidRDefault="0061079E">
      <w:r>
        <w:separator/>
      </w:r>
    </w:p>
  </w:footnote>
  <w:footnote w:type="continuationSeparator" w:id="0">
    <w:p w14:paraId="3514E5B1" w14:textId="77777777" w:rsidR="00E37C67" w:rsidRDefault="0061079E">
      <w:r>
        <w:continuationSeparator/>
      </w:r>
    </w:p>
  </w:footnote>
  <w:footnote w:id="1">
    <w:p w14:paraId="2A28D46C" w14:textId="1F8E95E4" w:rsidR="00177ED7" w:rsidRDefault="0061079E">
      <w:pPr>
        <w:pStyle w:val="FootnoteText"/>
      </w:pPr>
      <w:r>
        <w:rPr>
          <w:rStyle w:val="FootnoteReference"/>
        </w:rPr>
        <w:t>*</w:t>
      </w:r>
      <w:r>
        <w:t xml:space="preserve">  Pursuant to California Rules of Court, rules 8.1105 and 8.1110, this opinion is certified for publication with the exception of </w:t>
      </w:r>
      <w:r w:rsidR="00A16B43">
        <w:t>P</w:t>
      </w:r>
      <w:r w:rsidR="0061080D">
        <w:t>arts I – VI and VIII – XI of the Discussion.</w:t>
      </w:r>
    </w:p>
  </w:footnote>
  <w:footnote w:id="2">
    <w:p w14:paraId="351EC2D6" w14:textId="4557DCAA" w:rsidR="001C7F6E" w:rsidRDefault="0061079E">
      <w:pPr>
        <w:pStyle w:val="FootnoteText"/>
      </w:pPr>
      <w:r>
        <w:rPr>
          <w:rStyle w:val="FootnoteReference"/>
        </w:rPr>
        <w:footnoteRef/>
      </w:r>
      <w:r>
        <w:t xml:space="preserve"> </w:t>
      </w:r>
      <w:r w:rsidR="00237EEC">
        <w:t xml:space="preserve"> </w:t>
      </w:r>
      <w:r>
        <w:t xml:space="preserve">The prosecution had moved </w:t>
      </w:r>
      <w:r w:rsidRPr="00EC2F76">
        <w:t xml:space="preserve">for dual </w:t>
      </w:r>
      <w:r>
        <w:t xml:space="preserve">juries to present evidence of statements that Roman and Ruslan had independently given to law enforcement.  (See </w:t>
      </w:r>
      <w:r w:rsidRPr="005B078E">
        <w:rPr>
          <w:i/>
        </w:rPr>
        <w:t>People v. Aranda</w:t>
      </w:r>
      <w:r w:rsidRPr="005B078E">
        <w:t xml:space="preserve"> (1965) 63 Cal.2d 518, abrogated in part by Cal. Const., art. I, § 28, subd. (d); </w:t>
      </w:r>
      <w:r w:rsidRPr="005B078E">
        <w:rPr>
          <w:i/>
          <w:iCs/>
          <w:color w:val="000000"/>
        </w:rPr>
        <w:t>Bruton v. U.S.</w:t>
      </w:r>
      <w:r w:rsidRPr="005B078E">
        <w:rPr>
          <w:color w:val="000000"/>
        </w:rPr>
        <w:t xml:space="preserve"> (1968) 391 U.S. 123 </w:t>
      </w:r>
      <w:r>
        <w:rPr>
          <w:color w:val="000000"/>
        </w:rPr>
        <w:t>[20 L.Ed.2d 476].)</w:t>
      </w:r>
      <w:r>
        <w:t xml:space="preserve">  </w:t>
      </w:r>
    </w:p>
  </w:footnote>
  <w:footnote w:id="3">
    <w:p w14:paraId="771F04F7" w14:textId="4EB982E6" w:rsidR="000A441F" w:rsidRDefault="0061079E">
      <w:pPr>
        <w:pStyle w:val="FootnoteText"/>
      </w:pPr>
      <w:r>
        <w:rPr>
          <w:rStyle w:val="FootnoteReference"/>
        </w:rPr>
        <w:footnoteRef/>
      </w:r>
      <w:r>
        <w:t xml:space="preserve">  </w:t>
      </w:r>
      <w:r w:rsidRPr="009A6910">
        <w:rPr>
          <w:i/>
          <w:iCs/>
          <w:color w:val="000000"/>
        </w:rPr>
        <w:t>People v. Franklin</w:t>
      </w:r>
      <w:r w:rsidRPr="009A6910">
        <w:rPr>
          <w:color w:val="000000"/>
        </w:rPr>
        <w:t xml:space="preserve"> (2016) 63 Cal.4th 261, 278 (</w:t>
      </w:r>
      <w:r w:rsidRPr="009A6910">
        <w:rPr>
          <w:i/>
          <w:iCs/>
          <w:color w:val="000000"/>
        </w:rPr>
        <w:t>Franklin</w:t>
      </w:r>
      <w:r w:rsidRPr="009A6910">
        <w:rPr>
          <w:iCs/>
          <w:color w:val="000000"/>
        </w:rPr>
        <w:t>)</w:t>
      </w:r>
      <w:r>
        <w:rPr>
          <w:iCs/>
          <w:color w:val="000000"/>
        </w:rPr>
        <w:t>.</w:t>
      </w:r>
    </w:p>
  </w:footnote>
  <w:footnote w:id="4">
    <w:p w14:paraId="1408C1A5" w14:textId="54AF041E" w:rsidR="009469B9" w:rsidRDefault="0061079E">
      <w:pPr>
        <w:pStyle w:val="FootnoteText"/>
      </w:pPr>
      <w:r>
        <w:rPr>
          <w:rStyle w:val="FootnoteReference"/>
        </w:rPr>
        <w:footnoteRef/>
      </w:r>
      <w:r>
        <w:t xml:space="preserve">  Undesignated statutory references are to the Penal Code.</w:t>
      </w:r>
    </w:p>
  </w:footnote>
  <w:footnote w:id="5">
    <w:p w14:paraId="5E287C25" w14:textId="216F2EEE" w:rsidR="00DB2663" w:rsidRDefault="0061079E">
      <w:pPr>
        <w:pStyle w:val="FootnoteText"/>
      </w:pPr>
      <w:r>
        <w:rPr>
          <w:rStyle w:val="FootnoteReference"/>
        </w:rPr>
        <w:footnoteRef/>
      </w:r>
      <w:r>
        <w:t xml:space="preserve"> </w:t>
      </w:r>
      <w:r w:rsidR="00237EEC">
        <w:t xml:space="preserve"> </w:t>
      </w:r>
      <w:r w:rsidR="00032871">
        <w:t>About an hour and half before seeing the BMW in the cul-de-sac,</w:t>
      </w:r>
      <w:r>
        <w:t xml:space="preserve"> officers had seen the same vehicle parked on an</w:t>
      </w:r>
      <w:r>
        <w:t xml:space="preserve">other </w:t>
      </w:r>
      <w:r w:rsidR="00032871">
        <w:t xml:space="preserve">residential </w:t>
      </w:r>
      <w:r>
        <w:t xml:space="preserve">Auburn street.  At that time, the vehicle was unoccupied and </w:t>
      </w:r>
      <w:r w:rsidR="00032871">
        <w:t>the hood, front</w:t>
      </w:r>
      <w:r w:rsidR="00237EEC">
        <w:t>-</w:t>
      </w:r>
      <w:r w:rsidR="00220A18">
        <w:t>brake</w:t>
      </w:r>
      <w:r w:rsidR="00032871">
        <w:t xml:space="preserve"> rot</w:t>
      </w:r>
      <w:r w:rsidR="005C0FD6">
        <w:t>o</w:t>
      </w:r>
      <w:r w:rsidR="00032871">
        <w:t>rs</w:t>
      </w:r>
      <w:r w:rsidR="003723FB">
        <w:t>,</w:t>
      </w:r>
      <w:r w:rsidR="00032871">
        <w:t xml:space="preserve"> and tailpipe were </w:t>
      </w:r>
      <w:r>
        <w:t xml:space="preserve">cold to the touch. </w:t>
      </w:r>
    </w:p>
  </w:footnote>
  <w:footnote w:id="6">
    <w:p w14:paraId="2CF7BE7A" w14:textId="7702985D" w:rsidR="00080555" w:rsidRDefault="0061079E">
      <w:pPr>
        <w:pStyle w:val="FootnoteText"/>
      </w:pPr>
      <w:r>
        <w:rPr>
          <w:rStyle w:val="FootnoteReference"/>
        </w:rPr>
        <w:footnoteRef/>
      </w:r>
      <w:r>
        <w:t xml:space="preserve">  </w:t>
      </w:r>
      <w:r w:rsidR="00634964">
        <w:t xml:space="preserve">One officer testified the BMW was approximately 40 to 50 feet away when it veered away.  </w:t>
      </w:r>
      <w:r>
        <w:t>The</w:t>
      </w:r>
      <w:r w:rsidR="00634964">
        <w:t xml:space="preserve"> other </w:t>
      </w:r>
      <w:r>
        <w:t>officer</w:t>
      </w:r>
      <w:r>
        <w:t xml:space="preserve"> testified that when the BMW veered away, he was no longer in danger of being hit. </w:t>
      </w:r>
    </w:p>
  </w:footnote>
  <w:footnote w:id="7">
    <w:p w14:paraId="30B9FA79" w14:textId="36B126EB" w:rsidR="00194646" w:rsidRDefault="0061079E" w:rsidP="003E353F">
      <w:pPr>
        <w:pStyle w:val="FootnoteText"/>
      </w:pPr>
      <w:r>
        <w:rPr>
          <w:rStyle w:val="FootnoteReference"/>
        </w:rPr>
        <w:footnoteRef/>
      </w:r>
      <w:r>
        <w:t xml:space="preserve"> </w:t>
      </w:r>
      <w:r w:rsidR="00525E8A">
        <w:t xml:space="preserve"> </w:t>
      </w:r>
      <w:r>
        <w:t xml:space="preserve">The friend was separately </w:t>
      </w:r>
      <w:r w:rsidRPr="008E7195">
        <w:t xml:space="preserve">apprehended and found with $941 in his pocket. </w:t>
      </w:r>
    </w:p>
  </w:footnote>
  <w:footnote w:id="8">
    <w:p w14:paraId="5DA61213" w14:textId="7558E1B0" w:rsidR="001670AC" w:rsidRDefault="0061079E">
      <w:pPr>
        <w:pStyle w:val="FootnoteText"/>
      </w:pPr>
      <w:r>
        <w:rPr>
          <w:rStyle w:val="FootnoteReference"/>
        </w:rPr>
        <w:footnoteRef/>
      </w:r>
      <w:r>
        <w:t xml:space="preserve">  </w:t>
      </w:r>
      <w:r w:rsidR="00CC7371">
        <w:t>T</w:t>
      </w:r>
      <w:r>
        <w:t>he prosecution alleged that the keys to the truck were taken in a residential burglary that</w:t>
      </w:r>
      <w:r>
        <w:t xml:space="preserve"> took place after defendants fled from the BMW crash</w:t>
      </w:r>
      <w:r w:rsidR="00CC7371">
        <w:t xml:space="preserve"> and before the truck was stolen</w:t>
      </w:r>
      <w:r>
        <w:t>.</w:t>
      </w:r>
    </w:p>
  </w:footnote>
  <w:footnote w:id="9">
    <w:p w14:paraId="1D3050DF" w14:textId="3F704C52" w:rsidR="008E7110" w:rsidRDefault="0061079E">
      <w:pPr>
        <w:pStyle w:val="FootnoteText"/>
      </w:pPr>
      <w:r>
        <w:rPr>
          <w:rStyle w:val="FootnoteReference"/>
        </w:rPr>
        <w:footnoteRef/>
      </w:r>
      <w:r>
        <w:t xml:space="preserve">  Ruslan apparently did not specify </w:t>
      </w:r>
      <w:r w:rsidR="001C7F6E">
        <w:t xml:space="preserve">in </w:t>
      </w:r>
      <w:r>
        <w:t xml:space="preserve">which of the two accidents he had travelling at 70 and 90 </w:t>
      </w:r>
      <w:r w:rsidR="00584037">
        <w:t>miles per hour</w:t>
      </w:r>
      <w:r>
        <w:t xml:space="preserve">. </w:t>
      </w:r>
    </w:p>
  </w:footnote>
  <w:footnote w:id="10">
    <w:p w14:paraId="7015E912" w14:textId="77777777" w:rsidR="00194646" w:rsidRDefault="0061079E">
      <w:pPr>
        <w:pStyle w:val="FootnoteText"/>
      </w:pPr>
      <w:r>
        <w:rPr>
          <w:rStyle w:val="FootnoteReference"/>
        </w:rPr>
        <w:footnoteRef/>
      </w:r>
      <w:r>
        <w:t xml:space="preserve"> </w:t>
      </w:r>
      <w:r w:rsidR="00190178">
        <w:t xml:space="preserve"> </w:t>
      </w:r>
      <w:r>
        <w:t xml:space="preserve">Undesignated statutory references are to the </w:t>
      </w:r>
      <w:r>
        <w:t>Penal Code.</w:t>
      </w:r>
    </w:p>
  </w:footnote>
  <w:footnote w:id="11">
    <w:p w14:paraId="346E3A84" w14:textId="715B58FE" w:rsidR="009D02B5" w:rsidRDefault="0061079E">
      <w:pPr>
        <w:pStyle w:val="FootnoteText"/>
      </w:pPr>
      <w:r>
        <w:rPr>
          <w:rStyle w:val="FootnoteReference"/>
        </w:rPr>
        <w:footnoteRef/>
      </w:r>
      <w:r w:rsidR="00652A09">
        <w:t xml:space="preserve"> </w:t>
      </w:r>
      <w:r>
        <w:t xml:space="preserve"> A defense investigator would later testify that the witness had told him, “he thought he had locked [the truck]</w:t>
      </w:r>
      <w:r w:rsidR="00F5707E">
        <w:t>.</w:t>
      </w:r>
      <w:r>
        <w:t xml:space="preserve">” </w:t>
      </w:r>
      <w:r w:rsidR="004211B8">
        <w:t xml:space="preserve"> </w:t>
      </w:r>
      <w:r w:rsidR="00F5707E">
        <w:t xml:space="preserve">The witness also </w:t>
      </w:r>
      <w:r>
        <w:t>told him that “he didn’t worry about locking his vehicles</w:t>
      </w:r>
      <w:r w:rsidR="00F5707E">
        <w:t>,</w:t>
      </w:r>
      <w:r>
        <w:t xml:space="preserve">” </w:t>
      </w:r>
      <w:r w:rsidR="00F5707E">
        <w:t>t</w:t>
      </w:r>
      <w:r>
        <w:t>hough, on cross</w:t>
      </w:r>
      <w:r w:rsidR="004E19E3">
        <w:t>-</w:t>
      </w:r>
      <w:r>
        <w:t>examination, the investigator ag</w:t>
      </w:r>
      <w:r>
        <w:t xml:space="preserve">reed the witness was not referring to his work truck.  Rather, </w:t>
      </w:r>
      <w:r w:rsidR="004C394C">
        <w:t xml:space="preserve">he told the investigator </w:t>
      </w:r>
      <w:r>
        <w:t xml:space="preserve">he always locked his work truck and </w:t>
      </w:r>
      <w:r w:rsidR="00F5707E">
        <w:t>said</w:t>
      </w:r>
      <w:r>
        <w:t>, “</w:t>
      </w:r>
      <w:r w:rsidR="004211B8">
        <w:t xml:space="preserve"> ‘</w:t>
      </w:r>
      <w:r>
        <w:t>I never leave my keys to the work truck in my work truck.</w:t>
      </w:r>
      <w:r w:rsidR="004211B8">
        <w:t xml:space="preserve">’ </w:t>
      </w:r>
      <w:r>
        <w:t xml:space="preserve">” </w:t>
      </w:r>
    </w:p>
  </w:footnote>
  <w:footnote w:id="12">
    <w:p w14:paraId="659DCC64" w14:textId="284932D4" w:rsidR="00025940" w:rsidRDefault="0061079E" w:rsidP="00CD1C25">
      <w:pPr>
        <w:spacing w:before="120" w:line="240" w:lineRule="auto"/>
      </w:pPr>
      <w:r>
        <w:rPr>
          <w:rStyle w:val="FootnoteReference"/>
        </w:rPr>
        <w:footnoteRef/>
      </w:r>
      <w:r>
        <w:t xml:space="preserve"> </w:t>
      </w:r>
      <w:r w:rsidR="00652A09">
        <w:t xml:space="preserve"> </w:t>
      </w:r>
      <w:r>
        <w:t>The cigarettes were Pall Malls.  After the crash, three pa</w:t>
      </w:r>
      <w:r>
        <w:t xml:space="preserve">cks of Pall Mall cigarettes were found in the truck. </w:t>
      </w:r>
    </w:p>
  </w:footnote>
  <w:footnote w:id="13">
    <w:p w14:paraId="3078EFC0" w14:textId="6306CFE5" w:rsidR="00194646" w:rsidRDefault="0061079E">
      <w:pPr>
        <w:pStyle w:val="FootnoteText"/>
      </w:pPr>
      <w:r>
        <w:rPr>
          <w:rStyle w:val="FootnoteReference"/>
        </w:rPr>
        <w:footnoteRef/>
      </w:r>
      <w:r>
        <w:t xml:space="preserve"> </w:t>
      </w:r>
      <w:r w:rsidR="00652A09">
        <w:t xml:space="preserve"> </w:t>
      </w:r>
      <w:bookmarkStart w:id="43" w:name="_Hlk83747062"/>
      <w:r>
        <w:t xml:space="preserve">As charged, count 4 could apply to Ruslan driving the </w:t>
      </w:r>
      <w:r w:rsidR="00DF073A">
        <w:t xml:space="preserve">Ford </w:t>
      </w:r>
      <w:r>
        <w:t xml:space="preserve">F-150, but in closing, the prosecutor made clear the prosecution’s theory was based on aiding and abetting Roman’s escape in the BMW: </w:t>
      </w:r>
      <w:bookmarkStart w:id="44" w:name="_Hlk83725624"/>
      <w:r w:rsidR="00DF073A">
        <w:t xml:space="preserve"> </w:t>
      </w:r>
      <w:r>
        <w:t>“So i</w:t>
      </w:r>
      <w:r>
        <w:t xml:space="preserve">f you struggle with … Count Four, this commission of this reckless driving from Auburn to Loomis is lengthy.  And you just have to be convinced beyond a reasonable doubt that somewhere in that, … Ruslan was encouraging his brother to keep going.”  </w:t>
      </w:r>
      <w:bookmarkEnd w:id="43"/>
      <w:bookmarkEnd w:id="44"/>
    </w:p>
  </w:footnote>
  <w:footnote w:id="14">
    <w:p w14:paraId="06A0D2FD" w14:textId="76F6574D" w:rsidR="001E417B" w:rsidRDefault="0061079E">
      <w:pPr>
        <w:pStyle w:val="FootnoteText"/>
      </w:pPr>
      <w:r>
        <w:rPr>
          <w:rStyle w:val="FootnoteReference"/>
        </w:rPr>
        <w:footnoteRef/>
      </w:r>
      <w:r>
        <w:t xml:space="preserve"> </w:t>
      </w:r>
      <w:r w:rsidR="00237EEC">
        <w:t xml:space="preserve"> </w:t>
      </w:r>
      <w:r>
        <w:t>Late</w:t>
      </w:r>
      <w:r>
        <w:t>r</w:t>
      </w:r>
      <w:r w:rsidR="004C1DC2">
        <w:t>,</w:t>
      </w:r>
      <w:r>
        <w:t xml:space="preserve"> at the hearing on the new trial motion, counsel for Ruslan conceded “whatever [the jurors] learned on the Internet didn’t have anything to do with their verdict.” </w:t>
      </w:r>
    </w:p>
  </w:footnote>
  <w:footnote w:id="15">
    <w:p w14:paraId="4F9ED863" w14:textId="6DF26625" w:rsidR="00194646" w:rsidRDefault="0061079E">
      <w:pPr>
        <w:pStyle w:val="FootnoteText"/>
      </w:pPr>
      <w:r>
        <w:rPr>
          <w:rStyle w:val="FootnoteReference"/>
        </w:rPr>
        <w:footnoteRef/>
      </w:r>
      <w:r>
        <w:t xml:space="preserve"> </w:t>
      </w:r>
      <w:r w:rsidR="00237EEC">
        <w:t xml:space="preserve"> </w:t>
      </w:r>
      <w:r>
        <w:t xml:space="preserve">The jury deadlocked on count 2, assault on a peace officer. </w:t>
      </w:r>
    </w:p>
  </w:footnote>
  <w:footnote w:id="16">
    <w:p w14:paraId="00790DAA" w14:textId="4BC4DED4" w:rsidR="009C0C95" w:rsidRDefault="0061079E">
      <w:pPr>
        <w:pStyle w:val="FootnoteText"/>
      </w:pPr>
      <w:r>
        <w:rPr>
          <w:rStyle w:val="FootnoteReference"/>
        </w:rPr>
        <w:footnoteRef/>
      </w:r>
      <w:r w:rsidR="00237EEC">
        <w:t xml:space="preserve"> </w:t>
      </w:r>
      <w:r>
        <w:t xml:space="preserve"> </w:t>
      </w:r>
      <w:r w:rsidRPr="00C5791F">
        <w:t>Nowhere in the declara</w:t>
      </w:r>
      <w:r w:rsidRPr="00C5791F">
        <w:t xml:space="preserve">tion did the foreperson allege the subject juror mentioned </w:t>
      </w:r>
      <w:r>
        <w:t xml:space="preserve">to the jurors </w:t>
      </w:r>
      <w:r w:rsidRPr="00C5791F">
        <w:t>extraneous information</w:t>
      </w:r>
      <w:r>
        <w:t xml:space="preserve"> </w:t>
      </w:r>
      <w:r w:rsidRPr="00C5791F">
        <w:t>concerning drug addiction and warrants during deliberations.</w:t>
      </w:r>
    </w:p>
  </w:footnote>
  <w:footnote w:id="17">
    <w:p w14:paraId="214094FD" w14:textId="26A2EBC1" w:rsidR="002D25CA" w:rsidRDefault="0061079E">
      <w:pPr>
        <w:pStyle w:val="FootnoteText"/>
      </w:pPr>
      <w:r>
        <w:rPr>
          <w:rStyle w:val="FootnoteReference"/>
        </w:rPr>
        <w:footnoteRef/>
      </w:r>
      <w:r>
        <w:t xml:space="preserve"> </w:t>
      </w:r>
      <w:r w:rsidR="00237EEC">
        <w:t xml:space="preserve"> </w:t>
      </w:r>
      <w:r>
        <w:t xml:space="preserve">We too are unaware of any </w:t>
      </w:r>
      <w:r w:rsidR="00E95B41">
        <w:t>Code of Civil Procedure</w:t>
      </w:r>
      <w:r>
        <w:t xml:space="preserve"> provisions governing new trial motions in criminal cases.</w:t>
      </w:r>
    </w:p>
  </w:footnote>
  <w:footnote w:id="18">
    <w:p w14:paraId="4E595CD2" w14:textId="533B2480" w:rsidR="002D25CA" w:rsidRDefault="0061079E">
      <w:pPr>
        <w:pStyle w:val="FootnoteText"/>
      </w:pPr>
      <w:r>
        <w:rPr>
          <w:rStyle w:val="FootnoteReference"/>
        </w:rPr>
        <w:footnoteRef/>
      </w:r>
      <w:r>
        <w:t xml:space="preserve"> </w:t>
      </w:r>
      <w:r w:rsidR="00237EEC">
        <w:t xml:space="preserve"> </w:t>
      </w:r>
      <w:r>
        <w:t xml:space="preserve">Ruslan, who was 19 years old when he committed the murders and sentenced to life without the possibility of parole, was not eligible for youthful offender parole.  </w:t>
      </w:r>
      <w:r w:rsidR="007E5DB1">
        <w:t>(</w:t>
      </w:r>
      <w:r w:rsidR="007E5DB1" w:rsidRPr="007E5DB1">
        <w:t>§ 3051</w:t>
      </w:r>
      <w:r w:rsidR="007E5DB1">
        <w:t>, subdivision</w:t>
      </w:r>
      <w:r w:rsidR="007E5DB1" w:rsidRPr="007E5DB1">
        <w:t xml:space="preserve"> (b)(4)</w:t>
      </w:r>
      <w:r w:rsidR="007E5DB1">
        <w:t>.)</w:t>
      </w:r>
    </w:p>
  </w:footnote>
  <w:footnote w:id="19">
    <w:p w14:paraId="6220F726" w14:textId="77B1669E" w:rsidR="00DF74A2" w:rsidRDefault="0061079E">
      <w:pPr>
        <w:pStyle w:val="FootnoteText"/>
      </w:pPr>
      <w:r>
        <w:rPr>
          <w:rStyle w:val="FootnoteReference"/>
        </w:rPr>
        <w:footnoteRef/>
      </w:r>
      <w:r>
        <w:t xml:space="preserve"> </w:t>
      </w:r>
      <w:r w:rsidR="00237EEC">
        <w:t xml:space="preserve"> </w:t>
      </w:r>
      <w:r>
        <w:t xml:space="preserve">The court also stated it would make </w:t>
      </w:r>
      <w:r w:rsidR="007E5DB1">
        <w:t xml:space="preserve">the psychiatrist’s </w:t>
      </w:r>
      <w:r>
        <w:t xml:space="preserve">report part of the record on the sentencing. </w:t>
      </w:r>
    </w:p>
  </w:footnote>
  <w:footnote w:id="20">
    <w:p w14:paraId="7854516B" w14:textId="58AE9C31" w:rsidR="009C0C95" w:rsidRDefault="0061079E" w:rsidP="00EE093E">
      <w:pPr>
        <w:pStyle w:val="FootnoteText"/>
      </w:pPr>
      <w:r>
        <w:rPr>
          <w:rStyle w:val="FootnoteReference"/>
        </w:rPr>
        <w:footnoteRef/>
      </w:r>
      <w:r>
        <w:t xml:space="preserve"> </w:t>
      </w:r>
      <w:r w:rsidR="00237EEC">
        <w:t xml:space="preserve"> </w:t>
      </w:r>
      <w:r>
        <w:t>The prosecution also asserted there was evidence at trial that numerous syringes were found in the glove box of the BMW, and the jury would have beco</w:t>
      </w:r>
      <w:r>
        <w:t xml:space="preserve">me aware the brothers were drug users based on this evidence.  </w:t>
      </w:r>
      <w:r w:rsidR="0093497C">
        <w:t>Our review of the record reveals that t</w:t>
      </w:r>
      <w:r>
        <w:t xml:space="preserve">he trial evidence did indeed establish that among the items recovered from the BMW were a glass jar containing marijuana and a marijuana grinder, </w:t>
      </w:r>
      <w:r w:rsidR="00E95B41">
        <w:t xml:space="preserve">as well as </w:t>
      </w:r>
      <w:r>
        <w:t xml:space="preserve">several syringes, one of which contained what was thought to be heroin. </w:t>
      </w:r>
    </w:p>
  </w:footnote>
  <w:footnote w:id="21">
    <w:p w14:paraId="1BE03CF0" w14:textId="3B63EB4D" w:rsidR="00194646" w:rsidRDefault="0061079E" w:rsidP="00A777A3">
      <w:pPr>
        <w:spacing w:before="240" w:line="240" w:lineRule="auto"/>
      </w:pPr>
      <w:r>
        <w:rPr>
          <w:rStyle w:val="FootnoteReference"/>
        </w:rPr>
        <w:footnoteRef/>
      </w:r>
      <w:r w:rsidR="00237EEC">
        <w:t xml:space="preserve"> </w:t>
      </w:r>
      <w:r>
        <w:t xml:space="preserve"> It struck Paragraphs 9 through 13.  Paragraphs 9 and 10 referred to the juror in question as a bully, that she would have voted guilty on all counts the moment deliberations beg</w:t>
      </w:r>
      <w:r>
        <w:t>an, and that she convinced other jurors on the burglary count.  Paragraph 11 stated. “I believe that [the juror in question] came into the deliberations with knowledge that prevented her from deliberating fairly.”  Paragraphs 12 and 13 pertained to another</w:t>
      </w:r>
      <w:r>
        <w:t xml:space="preserve"> juror who, among other things, stated she was “afraid we are going to let him off with a slap on the wrist.”</w:t>
      </w:r>
      <w:r w:rsidR="00D601DA">
        <w:t xml:space="preserve">  </w:t>
      </w:r>
    </w:p>
  </w:footnote>
  <w:footnote w:id="22">
    <w:p w14:paraId="7DB44BEB" w14:textId="39B2C988" w:rsidR="00BD253E" w:rsidRDefault="0061079E">
      <w:pPr>
        <w:pStyle w:val="FootnoteText"/>
      </w:pPr>
      <w:r>
        <w:rPr>
          <w:rStyle w:val="FootnoteReference"/>
        </w:rPr>
        <w:footnoteRef/>
      </w:r>
      <w:r>
        <w:t xml:space="preserve"> </w:t>
      </w:r>
      <w:r w:rsidR="00237EEC">
        <w:t xml:space="preserve"> </w:t>
      </w:r>
      <w:r w:rsidR="008A2FCA">
        <w:t xml:space="preserve">As we discuss </w:t>
      </w:r>
      <w:r w:rsidR="008A2FCA" w:rsidRPr="00755C3E">
        <w:rPr>
          <w:i/>
          <w:iCs/>
        </w:rPr>
        <w:t>post</w:t>
      </w:r>
      <w:r w:rsidR="008A2FCA">
        <w:t xml:space="preserve">, in a criminal trial, a court must hold a hearing under </w:t>
      </w:r>
      <w:r w:rsidR="00636C3F">
        <w:t xml:space="preserve">certain </w:t>
      </w:r>
      <w:r w:rsidR="008A2FCA">
        <w:t>circumstances.</w:t>
      </w:r>
    </w:p>
  </w:footnote>
  <w:footnote w:id="23">
    <w:p w14:paraId="7598DE31" w14:textId="1AEA4305" w:rsidR="008A2FCA" w:rsidRDefault="0061079E">
      <w:pPr>
        <w:pStyle w:val="FootnoteText"/>
      </w:pPr>
      <w:r>
        <w:rPr>
          <w:rStyle w:val="FootnoteReference"/>
        </w:rPr>
        <w:footnoteRef/>
      </w:r>
      <w:r>
        <w:t xml:space="preserve"> </w:t>
      </w:r>
      <w:r w:rsidR="00237EEC">
        <w:t xml:space="preserve"> </w:t>
      </w:r>
      <w:r>
        <w:t xml:space="preserve">We are </w:t>
      </w:r>
      <w:r w:rsidRPr="0084034D">
        <w:t>not sure what the trial court mea</w:t>
      </w:r>
      <w:r w:rsidRPr="0084034D">
        <w:t>nt here</w:t>
      </w:r>
      <w:r w:rsidR="00D914EF" w:rsidRPr="0084034D">
        <w:t>,</w:t>
      </w:r>
      <w:r w:rsidRPr="0084034D">
        <w:t xml:space="preserve"> and defendant did not ask for clarification.  </w:t>
      </w:r>
      <w:r w:rsidR="009C0C95" w:rsidRPr="00C5791F">
        <w:t>We</w:t>
      </w:r>
      <w:r w:rsidR="009C0C95">
        <w:t xml:space="preserve"> would agree, however, that a trial court may not grant a new trial motion </w:t>
      </w:r>
      <w:r w:rsidR="009C0C95" w:rsidRPr="00563437">
        <w:t>in the absence of evidence warranting a new trial</w:t>
      </w:r>
      <w:r w:rsidR="009C0C95">
        <w:t>.</w:t>
      </w:r>
    </w:p>
  </w:footnote>
  <w:footnote w:id="24">
    <w:p w14:paraId="73805292" w14:textId="2819DDC6" w:rsidR="00BD253E" w:rsidRDefault="0061079E">
      <w:pPr>
        <w:pStyle w:val="FootnoteText"/>
      </w:pPr>
      <w:r>
        <w:rPr>
          <w:rStyle w:val="FootnoteReference"/>
        </w:rPr>
        <w:footnoteRef/>
      </w:r>
      <w:r w:rsidR="00237EEC">
        <w:t xml:space="preserve"> </w:t>
      </w:r>
      <w:r>
        <w:t xml:space="preserve"> We take judicial notice that January 20, 2017, was a Friday. (Evid. Co</w:t>
      </w:r>
      <w:r>
        <w:t xml:space="preserve">de §§ 452, subd. (h), 459 subd. (a)(2); </w:t>
      </w:r>
      <w:r w:rsidRPr="003744CB">
        <w:rPr>
          <w:i/>
        </w:rPr>
        <w:t>Douglas v. Janis</w:t>
      </w:r>
      <w:r>
        <w:t xml:space="preserve"> (1974) 43 Cal.App.3d 931, 936.)</w:t>
      </w:r>
    </w:p>
  </w:footnote>
  <w:footnote w:id="25">
    <w:p w14:paraId="780F56BB" w14:textId="68E4F4CF" w:rsidR="00941CAC" w:rsidRDefault="0061079E">
      <w:pPr>
        <w:pStyle w:val="FootnoteText"/>
      </w:pPr>
      <w:r>
        <w:rPr>
          <w:rStyle w:val="FootnoteReference"/>
        </w:rPr>
        <w:footnoteRef/>
      </w:r>
      <w:r>
        <w:t xml:space="preserve"> </w:t>
      </w:r>
      <w:r w:rsidR="00237EEC">
        <w:t xml:space="preserve"> </w:t>
      </w:r>
      <w:r w:rsidRPr="00941CAC">
        <w:t xml:space="preserve">While the court in </w:t>
      </w:r>
      <w:r w:rsidRPr="00C5791F">
        <w:rPr>
          <w:i/>
          <w:iCs/>
        </w:rPr>
        <w:t>Hedg</w:t>
      </w:r>
      <w:r w:rsidR="00DB4C29">
        <w:rPr>
          <w:i/>
          <w:iCs/>
        </w:rPr>
        <w:t>e</w:t>
      </w:r>
      <w:r w:rsidRPr="00C5791F">
        <w:rPr>
          <w:i/>
          <w:iCs/>
        </w:rPr>
        <w:t>cock</w:t>
      </w:r>
      <w:r w:rsidRPr="00941CAC">
        <w:t xml:space="preserve"> authorized evidentiary hearings in new trial motions grounded on jury misconduct</w:t>
      </w:r>
      <w:r w:rsidR="001D29A4">
        <w:t xml:space="preserve"> in criminal cases</w:t>
      </w:r>
      <w:r w:rsidRPr="00941CAC">
        <w:t>, the court was clear about the circumstances when a trial court must hold evidentiary hearing.</w:t>
      </w:r>
      <w:r w:rsidR="00CC16B1">
        <w:t xml:space="preserve"> </w:t>
      </w:r>
      <w:r w:rsidRPr="00941CAC">
        <w:t xml:space="preserve"> “[W]hen a new trial motion in a criminal case is based on al</w:t>
      </w:r>
      <w:r w:rsidRPr="00941CAC">
        <w:t>legations of juror misconduct, the trial court may conduct an evidentiary hearing to determine the truth of the allegations.”  (</w:t>
      </w:r>
      <w:r w:rsidRPr="00C5791F">
        <w:rPr>
          <w:i/>
          <w:iCs/>
        </w:rPr>
        <w:t>Hedg</w:t>
      </w:r>
      <w:r w:rsidR="00DB4C29">
        <w:rPr>
          <w:i/>
          <w:iCs/>
        </w:rPr>
        <w:t>e</w:t>
      </w:r>
      <w:r w:rsidRPr="00C5791F">
        <w:rPr>
          <w:i/>
          <w:iCs/>
        </w:rPr>
        <w:t>cock</w:t>
      </w:r>
      <w:r w:rsidRPr="00941CAC">
        <w:t xml:space="preserve">, </w:t>
      </w:r>
      <w:r w:rsidRPr="00C5791F">
        <w:rPr>
          <w:i/>
          <w:iCs/>
        </w:rPr>
        <w:t>supra</w:t>
      </w:r>
      <w:r w:rsidRPr="00941CAC">
        <w:t xml:space="preserve">, 51 Cal.3d at p. 415.) </w:t>
      </w:r>
      <w:r w:rsidR="00CC16B1">
        <w:t xml:space="preserve"> </w:t>
      </w:r>
      <w:r w:rsidRPr="00941CAC">
        <w:t>But “[a] defendant is not entitled to such a hearing as a matter of right,” and “</w:t>
      </w:r>
      <w:r w:rsidRPr="00841B52">
        <w:t>an evi</w:t>
      </w:r>
      <w:r w:rsidRPr="00841B52">
        <w:t>dentiary hearing need not be conducted in every instance of alleged juror misconduct</w:t>
      </w:r>
      <w:r w:rsidRPr="00941CAC">
        <w:t>.”  (</w:t>
      </w:r>
      <w:r w:rsidRPr="00C5791F">
        <w:rPr>
          <w:i/>
          <w:iCs/>
        </w:rPr>
        <w:t>Id</w:t>
      </w:r>
      <w:r w:rsidRPr="00941CAC">
        <w:t>. at pp. 415, 419.)</w:t>
      </w:r>
      <w:r w:rsidR="00841B52">
        <w:t xml:space="preserve"> </w:t>
      </w:r>
      <w:r w:rsidRPr="00941CAC">
        <w:t xml:space="preserve"> “The hearing should not be used as a ‘fishing expedition’ to search for possible misconduct, but should be held only when the defense has come f</w:t>
      </w:r>
      <w:r w:rsidRPr="00941CAC">
        <w:t xml:space="preserve">orward with </w:t>
      </w:r>
      <w:r w:rsidRPr="00C5791F">
        <w:rPr>
          <w:i/>
          <w:iCs/>
        </w:rPr>
        <w:t>evidence</w:t>
      </w:r>
      <w:r w:rsidRPr="00941CAC">
        <w:t xml:space="preserve"> demonstrating a strong possibility that prejudicial misconduct has occurred.”  (</w:t>
      </w:r>
      <w:r w:rsidRPr="00C5791F">
        <w:rPr>
          <w:i/>
          <w:iCs/>
        </w:rPr>
        <w:t>Id</w:t>
      </w:r>
      <w:r w:rsidRPr="00941CAC">
        <w:t xml:space="preserve">. at p. 419, italics added.)  But “[e]ven upon such a showing, an evidentiary hearing will generally be unnecessary unless the parties’ </w:t>
      </w:r>
      <w:r w:rsidRPr="00C5791F">
        <w:rPr>
          <w:i/>
          <w:iCs/>
        </w:rPr>
        <w:t>evidence</w:t>
      </w:r>
      <w:r w:rsidRPr="00941CAC">
        <w:t xml:space="preserve"> </w:t>
      </w:r>
      <w:r w:rsidRPr="00C5791F">
        <w:rPr>
          <w:i/>
          <w:iCs/>
        </w:rPr>
        <w:t>presents</w:t>
      </w:r>
      <w:r w:rsidRPr="00C5791F">
        <w:rPr>
          <w:i/>
          <w:iCs/>
        </w:rPr>
        <w:t xml:space="preserve"> a material conflict</w:t>
      </w:r>
      <w:r w:rsidRPr="00941CAC">
        <w:t xml:space="preserve"> that can only be resolved at such a hearing.” </w:t>
      </w:r>
      <w:r w:rsidR="009D6186">
        <w:t xml:space="preserve"> </w:t>
      </w:r>
      <w:r w:rsidRPr="00941CAC">
        <w:t>(</w:t>
      </w:r>
      <w:r w:rsidRPr="00C5791F">
        <w:rPr>
          <w:i/>
          <w:iCs/>
        </w:rPr>
        <w:t>Ibid</w:t>
      </w:r>
      <w:r w:rsidRPr="00941CAC">
        <w:t>.</w:t>
      </w:r>
      <w:r>
        <w:t>, italics added.</w:t>
      </w:r>
      <w:r w:rsidRPr="00941CAC">
        <w:t xml:space="preserve">)  </w:t>
      </w:r>
      <w:r>
        <w:t>Again, the predicate is admissible evidence and s</w:t>
      </w:r>
      <w:r w:rsidRPr="00941CAC">
        <w:t>ince there was no admissible evidence before the court, there was no conflict in any evidence</w:t>
      </w:r>
      <w:r>
        <w:t xml:space="preserve"> for the court to res</w:t>
      </w:r>
      <w:r>
        <w:t>olve</w:t>
      </w:r>
      <w:r w:rsidRPr="00941CAC">
        <w:t>.</w:t>
      </w:r>
    </w:p>
  </w:footnote>
  <w:footnote w:id="26">
    <w:p w14:paraId="6D7AC7D2" w14:textId="7DEC4A61" w:rsidR="00256E40" w:rsidRDefault="0061079E">
      <w:pPr>
        <w:pStyle w:val="FootnoteText"/>
      </w:pPr>
      <w:r>
        <w:rPr>
          <w:rStyle w:val="FootnoteReference"/>
        </w:rPr>
        <w:footnoteRef/>
      </w:r>
      <w:r>
        <w:t xml:space="preserve"> </w:t>
      </w:r>
      <w:r w:rsidR="00237EEC">
        <w:t xml:space="preserve"> </w:t>
      </w:r>
      <w:r>
        <w:t xml:space="preserve">For example, if the subject juror refused to talk to investigators or provide a declaration, </w:t>
      </w:r>
      <w:r w:rsidR="000251CD">
        <w:t xml:space="preserve">such a circumstance </w:t>
      </w:r>
      <w:r w:rsidR="008477D1">
        <w:t>might</w:t>
      </w:r>
      <w:r w:rsidR="000251CD">
        <w:t xml:space="preserve"> warrant deviation from the general rule</w:t>
      </w:r>
      <w:r w:rsidR="00D5371A">
        <w:t xml:space="preserve"> and conduct a hearing</w:t>
      </w:r>
      <w:r w:rsidR="000251CD">
        <w:t>.</w:t>
      </w:r>
      <w:r w:rsidR="00D34636">
        <w:t xml:space="preserve">  And, if the subject juror had provided a</w:t>
      </w:r>
      <w:r w:rsidR="00FC3EAA">
        <w:t xml:space="preserve"> statement or</w:t>
      </w:r>
      <w:r w:rsidR="00D34636">
        <w:t xml:space="preserve"> declaration</w:t>
      </w:r>
      <w:r w:rsidR="008477D1">
        <w:t xml:space="preserve"> in which she </w:t>
      </w:r>
      <w:r w:rsidR="00772553">
        <w:t>denied</w:t>
      </w:r>
      <w:r w:rsidR="00D34636">
        <w:t xml:space="preserve"> making the statement</w:t>
      </w:r>
      <w:r w:rsidR="00FC3EAA">
        <w:t xml:space="preserve"> attributed to her by the foreperson</w:t>
      </w:r>
      <w:r w:rsidR="00D34636">
        <w:t>, the foreperson’s declaration would be admissible</w:t>
      </w:r>
      <w:r w:rsidR="008477D1">
        <w:t xml:space="preserve"> for the truth of the matter</w:t>
      </w:r>
      <w:r w:rsidR="00D34636">
        <w:t xml:space="preserve"> as a prior inconsistent statement.</w:t>
      </w:r>
    </w:p>
  </w:footnote>
  <w:footnote w:id="27">
    <w:p w14:paraId="55BD69A6" w14:textId="0AD3702B" w:rsidR="00BF7D5C" w:rsidRDefault="0061079E">
      <w:pPr>
        <w:pStyle w:val="FootnoteText"/>
      </w:pPr>
      <w:r>
        <w:rPr>
          <w:rStyle w:val="FootnoteReference"/>
        </w:rPr>
        <w:footnoteRef/>
      </w:r>
      <w:r>
        <w:t xml:space="preserve"> </w:t>
      </w:r>
      <w:r w:rsidR="00237EEC">
        <w:t xml:space="preserve"> </w:t>
      </w:r>
      <w:r>
        <w:t xml:space="preserve">We note the juror listed her place of employment on her jury questionnaire. </w:t>
      </w:r>
    </w:p>
  </w:footnote>
  <w:footnote w:id="28">
    <w:p w14:paraId="26537919" w14:textId="795961BE" w:rsidR="00D31631" w:rsidRDefault="0061079E" w:rsidP="00D31631">
      <w:pPr>
        <w:pStyle w:val="FootnoteText"/>
      </w:pPr>
      <w:r>
        <w:rPr>
          <w:rStyle w:val="FootnoteReference"/>
        </w:rPr>
        <w:footnoteRef/>
      </w:r>
      <w:r>
        <w:t xml:space="preserve"> </w:t>
      </w:r>
      <w:r w:rsidR="00237EEC">
        <w:t xml:space="preserve"> </w:t>
      </w:r>
      <w:r w:rsidR="007D159E">
        <w:t xml:space="preserve">Ruslan </w:t>
      </w:r>
      <w:r>
        <w:t>also asserts</w:t>
      </w:r>
      <w:r w:rsidR="007D159E">
        <w:t xml:space="preserve"> in his opening brief that</w:t>
      </w:r>
      <w:r>
        <w:t xml:space="preserve"> he is entitled to a new trial under section 1202.  In pertinent part, section 1202 provides:  “</w:t>
      </w:r>
      <w:r w:rsidRPr="000F639E">
        <w:t>If the court shall refuse to hear a defendant</w:t>
      </w:r>
      <w:r>
        <w:t>’</w:t>
      </w:r>
      <w:r w:rsidRPr="000F639E">
        <w:t>s motion for a new trial or when made shall neglect to determine such motion before pronouncing judgment or the ma</w:t>
      </w:r>
      <w:r w:rsidRPr="000F639E">
        <w:t>king of an order granting probation, then the defendant shall be entitled to a new trial.</w:t>
      </w:r>
      <w:r>
        <w:t>”  The contention is meritless.  As the Attorney General points out, the record plainly establishes that the trial court heard and denied defendant’s new trial motion.</w:t>
      </w:r>
      <w:r>
        <w:t xml:space="preserve">  And Ruslan did not attempt to rebut this argument in his reply brief. </w:t>
      </w:r>
    </w:p>
  </w:footnote>
  <w:footnote w:id="29">
    <w:p w14:paraId="2E7E391D" w14:textId="0CA88734" w:rsidR="00E21BF1" w:rsidRDefault="0061079E">
      <w:pPr>
        <w:pStyle w:val="FootnoteText"/>
      </w:pPr>
      <w:r>
        <w:rPr>
          <w:rStyle w:val="FootnoteReference"/>
        </w:rPr>
        <w:footnoteRef/>
      </w:r>
      <w:r>
        <w:t xml:space="preserve">  We also note that </w:t>
      </w:r>
      <w:r w:rsidR="00C1198B">
        <w:t xml:space="preserve">the concession on the evading charge </w:t>
      </w:r>
      <w:r>
        <w:t xml:space="preserve">was consistent with </w:t>
      </w:r>
      <w:r w:rsidR="00C1198B">
        <w:t>counsel’s</w:t>
      </w:r>
      <w:r>
        <w:t xml:space="preserve"> defense </w:t>
      </w:r>
      <w:r w:rsidR="00C1198B">
        <w:t>on behalf of his client on</w:t>
      </w:r>
      <w:r>
        <w:t xml:space="preserve"> the two counts of assault on a peace officer.  As to </w:t>
      </w:r>
      <w:r w:rsidR="00CD3515">
        <w:t>those counts</w:t>
      </w:r>
      <w:r>
        <w:t xml:space="preserve">, in discussing the encounter in the cul-de-sac, Roman’s counsel </w:t>
      </w:r>
      <w:r w:rsidR="00CD3515">
        <w:t>argued</w:t>
      </w:r>
      <w:r w:rsidR="00867198">
        <w:t xml:space="preserve"> to the jury</w:t>
      </w:r>
      <w:r w:rsidR="00CD3515">
        <w:t xml:space="preserve"> </w:t>
      </w:r>
      <w:r>
        <w:t xml:space="preserve">that a reasonable inference based on the evidence could be drawn that Roman was trying </w:t>
      </w:r>
      <w:r w:rsidR="00235E63">
        <w:t xml:space="preserve">to </w:t>
      </w:r>
      <w:r>
        <w:t>get</w:t>
      </w:r>
      <w:r w:rsidR="00C1198B">
        <w:t xml:space="preserve"> away</w:t>
      </w:r>
      <w:r>
        <w:t>, there was no way to do so other than by driving in the direction of</w:t>
      </w:r>
      <w:r>
        <w:t xml:space="preserve"> the officers and ultimately Roman drove the car around the officers “far away” from where their vehicles were.  </w:t>
      </w:r>
      <w:r w:rsidR="00D0104C">
        <w:t xml:space="preserve">Counsel </w:t>
      </w:r>
      <w:r w:rsidR="00013D0B">
        <w:t xml:space="preserve">argued, “this was an escape, this was not an assault.”  </w:t>
      </w:r>
      <w:r w:rsidR="00D0104C">
        <w:t xml:space="preserve">Counsel further argued </w:t>
      </w:r>
      <w:r w:rsidR="00013D0B">
        <w:t xml:space="preserve">since the inference that </w:t>
      </w:r>
      <w:r>
        <w:t>Roman was simply trying to esca</w:t>
      </w:r>
      <w:r>
        <w:t>pe</w:t>
      </w:r>
      <w:r w:rsidR="00013D0B">
        <w:t xml:space="preserve"> was a reasonable </w:t>
      </w:r>
      <w:r>
        <w:t>interpretation of the circumstantial evidence, the jury was duty bound to find Roman not guilty of that charge.  The concession that Roman was guilty of evading flowed naturally from this argument</w:t>
      </w:r>
      <w:r w:rsidR="00C1198B">
        <w:t xml:space="preserve"> and added credibility to his defense of the assault on a peace officer counts.</w:t>
      </w:r>
      <w:r>
        <w:t xml:space="preserve"> </w:t>
      </w:r>
      <w:r w:rsidR="00013D0B">
        <w:t xml:space="preserve"> Regarding the verdict forms on </w:t>
      </w:r>
      <w:r w:rsidR="00CD3515">
        <w:t xml:space="preserve">the assault </w:t>
      </w:r>
      <w:r w:rsidR="00013D0B">
        <w:t>counts, defense counsel to</w:t>
      </w:r>
      <w:r w:rsidR="00D0104C">
        <w:t>ld</w:t>
      </w:r>
      <w:r w:rsidR="00013D0B">
        <w:t xml:space="preserve"> the jury</w:t>
      </w:r>
      <w:r w:rsidR="007472EB">
        <w:t>,</w:t>
      </w:r>
      <w:r w:rsidR="00013D0B">
        <w:t xml:space="preserve"> “you</w:t>
      </w:r>
      <w:r w:rsidR="00D0104C">
        <w:t>’</w:t>
      </w:r>
      <w:r w:rsidR="00013D0B">
        <w:t>re going to write ‘not guilty’ because if you follow the circumstantial evidence test, it</w:t>
      </w:r>
      <w:r w:rsidR="00D0104C">
        <w:t>’</w:t>
      </w:r>
      <w:r w:rsidR="00013D0B">
        <w:t xml:space="preserve">s the only conclusion you can come up with.  And that is what the jury did; </w:t>
      </w:r>
      <w:r>
        <w:t xml:space="preserve">Roman </w:t>
      </w:r>
      <w:r w:rsidR="003E41B9">
        <w:t xml:space="preserve">was found </w:t>
      </w:r>
      <w:r>
        <w:t xml:space="preserve">not guilty </w:t>
      </w:r>
      <w:r w:rsidR="00C1198B">
        <w:t>on those two counts.</w:t>
      </w:r>
      <w:r w:rsidR="003E41B9">
        <w:t xml:space="preserve">  </w:t>
      </w:r>
    </w:p>
  </w:footnote>
  <w:footnote w:id="30">
    <w:p w14:paraId="6FEFF6EB" w14:textId="112991D3" w:rsidR="00194646" w:rsidRDefault="0061079E" w:rsidP="00F24EF6">
      <w:pPr>
        <w:pStyle w:val="FootnoteText"/>
      </w:pPr>
      <w:r w:rsidRPr="00D966B0">
        <w:rPr>
          <w:rStyle w:val="FootnoteReference"/>
        </w:rPr>
        <w:footnoteRef/>
      </w:r>
      <w:r w:rsidRPr="00D966B0">
        <w:t xml:space="preserve"> </w:t>
      </w:r>
      <w:r w:rsidR="000D1DF2">
        <w:t xml:space="preserve"> </w:t>
      </w:r>
      <w:r w:rsidRPr="00D966B0">
        <w:t xml:space="preserve">CALCRIM No. 401 instructs: </w:t>
      </w:r>
      <w:r w:rsidR="00B5445E">
        <w:t xml:space="preserve"> </w:t>
      </w:r>
      <w:r w:rsidRPr="00D966B0">
        <w:t>“To prove that the defendant is guilty of a crime based on aiding and abetting that crime, the People must prove that:</w:t>
      </w:r>
      <w:r w:rsidR="00B5445E">
        <w:t xml:space="preserve"> </w:t>
      </w:r>
      <w:r w:rsidRPr="00D966B0">
        <w:t xml:space="preserve"> 1. The perpetrato</w:t>
      </w:r>
      <w:r w:rsidRPr="00D966B0">
        <w:t>r committed the crime; 2. The defendant knew that the perpetrator intended to commit the crime; 3. Before or during the commission of the crime, the defendant intended to aid and abet the perpetrator in committing the crime; AND 4. The defendant</w:t>
      </w:r>
      <w:r w:rsidR="00381D44" w:rsidRPr="00D966B0">
        <w:t>’</w:t>
      </w:r>
      <w:r w:rsidRPr="00D966B0">
        <w:t xml:space="preserve">s </w:t>
      </w:r>
      <w:r w:rsidRPr="00D966B0">
        <w:t>words or conduct did in fact aid and abet the perpetrator</w:t>
      </w:r>
      <w:r w:rsidR="006B2184" w:rsidRPr="00D966B0">
        <w:t>’</w:t>
      </w:r>
      <w:r w:rsidRPr="00D966B0">
        <w:t>s commission of the crime.”</w:t>
      </w:r>
    </w:p>
  </w:footnote>
  <w:footnote w:id="31">
    <w:p w14:paraId="58E39E8F" w14:textId="3569DE6E" w:rsidR="00355228" w:rsidRDefault="0061079E">
      <w:pPr>
        <w:pStyle w:val="FootnoteText"/>
      </w:pPr>
      <w:r>
        <w:rPr>
          <w:rStyle w:val="FootnoteReference"/>
        </w:rPr>
        <w:footnoteRef/>
      </w:r>
      <w:r>
        <w:t xml:space="preserve"> </w:t>
      </w:r>
      <w:r w:rsidR="000D1DF2">
        <w:t xml:space="preserve"> </w:t>
      </w:r>
      <w:r>
        <w:t xml:space="preserve">In reading the instructions to the jury, the court omitted the word “gross,” but it was included in the written version of the instructions provided to the jury. </w:t>
      </w:r>
    </w:p>
  </w:footnote>
  <w:footnote w:id="32">
    <w:p w14:paraId="3A5FD569" w14:textId="28537422" w:rsidR="00AA6294" w:rsidRDefault="0061079E" w:rsidP="00AA6294">
      <w:pPr>
        <w:pStyle w:val="FootnoteText"/>
      </w:pPr>
      <w:r>
        <w:rPr>
          <w:rStyle w:val="FootnoteReference"/>
        </w:rPr>
        <w:footnoteRef/>
      </w:r>
      <w:r>
        <w:t xml:space="preserve"> </w:t>
      </w:r>
      <w:r w:rsidR="000D1DF2">
        <w:t xml:space="preserve"> </w:t>
      </w:r>
      <w:r>
        <w:t>I</w:t>
      </w:r>
      <w:r>
        <w:t xml:space="preserve">nvestigator Darrell Nishimi of the California Highway Patrol Multidisciplinary Accident Investigation Team (MAIT) testified as an accident reconstruction expert. </w:t>
      </w:r>
      <w:r w:rsidR="003864E0">
        <w:t xml:space="preserve"> </w:t>
      </w:r>
      <w:r>
        <w:t>Pre-collision information stored in the air bag control module of the truck recorded the truc</w:t>
      </w:r>
      <w:r>
        <w:t xml:space="preserve">k’s speed at 70 miles per hour at the point of impact.  Nishimi opined, based on his calculations, that the speed was actually 81 miles per hour at impact.  A defense investigator opined, based on his calculations, that </w:t>
      </w:r>
      <w:r w:rsidR="00BD389F">
        <w:t xml:space="preserve">at impact, </w:t>
      </w:r>
      <w:r>
        <w:t>the truck was traveling b</w:t>
      </w:r>
      <w:r>
        <w:t xml:space="preserve">etween 70 to 74 miles per hour.  </w:t>
      </w:r>
      <w:r w:rsidR="00450897">
        <w:t>The defense expert</w:t>
      </w:r>
      <w:r>
        <w:t xml:space="preserve"> also acknowledged that the truck was </w:t>
      </w:r>
      <w:bookmarkStart w:id="153" w:name="_Hlk99879829"/>
      <w:r>
        <w:t>travelling faster on this surface street than the 65</w:t>
      </w:r>
      <w:r w:rsidR="003864E0">
        <w:t>-</w:t>
      </w:r>
      <w:r>
        <w:t>mile</w:t>
      </w:r>
      <w:r w:rsidR="003864E0">
        <w:t>-</w:t>
      </w:r>
      <w:r>
        <w:t>per</w:t>
      </w:r>
      <w:r w:rsidR="003864E0">
        <w:t>-</w:t>
      </w:r>
      <w:r>
        <w:t>hour speed limit on Interstate 80</w:t>
      </w:r>
      <w:r w:rsidR="00660AAB" w:rsidRPr="00B83E7D">
        <w:t xml:space="preserve">.  Additionally, he acknowledged </w:t>
      </w:r>
      <w:r w:rsidRPr="00B83E7D">
        <w:t>that the</w:t>
      </w:r>
      <w:r>
        <w:t xml:space="preserve"> Kia violated no traffic laws. </w:t>
      </w:r>
      <w:r>
        <w:t xml:space="preserve"> </w:t>
      </w:r>
      <w:bookmarkEnd w:id="153"/>
    </w:p>
  </w:footnote>
  <w:footnote w:id="33">
    <w:p w14:paraId="22386A60" w14:textId="654F9F75" w:rsidR="00D23BEE" w:rsidRDefault="0061079E">
      <w:pPr>
        <w:pStyle w:val="FootnoteText"/>
      </w:pPr>
      <w:r>
        <w:rPr>
          <w:rStyle w:val="FootnoteReference"/>
        </w:rPr>
        <w:footnoteRef/>
      </w:r>
      <w:r w:rsidR="000D1DF2">
        <w:t xml:space="preserve"> </w:t>
      </w:r>
      <w:r>
        <w:t xml:space="preserve"> The defense accident reconstruction expert acknowledged that the 93 miles per hour speed recorded by the airbag control module was accurate. </w:t>
      </w:r>
    </w:p>
  </w:footnote>
  <w:footnote w:id="34">
    <w:p w14:paraId="4C556DE5" w14:textId="2DB9559D" w:rsidR="001B4687" w:rsidRDefault="0061079E">
      <w:pPr>
        <w:pStyle w:val="FootnoteText"/>
      </w:pPr>
      <w:r>
        <w:rPr>
          <w:rStyle w:val="FootnoteReference"/>
        </w:rPr>
        <w:footnoteRef/>
      </w:r>
      <w:r>
        <w:t xml:space="preserve">  </w:t>
      </w:r>
      <w:r w:rsidRPr="00E4176F">
        <w:t xml:space="preserve">As Roman notes the </w:t>
      </w:r>
      <w:r w:rsidRPr="00E4176F">
        <w:rPr>
          <w:i/>
          <w:iCs/>
        </w:rPr>
        <w:t>Gentile</w:t>
      </w:r>
      <w:r w:rsidRPr="00E4176F">
        <w:t xml:space="preserve"> court’s </w:t>
      </w:r>
      <w:r w:rsidR="00BC3A90">
        <w:t xml:space="preserve">statement concerning </w:t>
      </w:r>
      <w:r w:rsidR="00330B91">
        <w:t>direct</w:t>
      </w:r>
      <w:r w:rsidRPr="00E4176F">
        <w:t xml:space="preserve"> aiding and abetting implied malice murder w</w:t>
      </w:r>
      <w:r w:rsidRPr="00E4176F">
        <w:t xml:space="preserve">as made in response to an amicus brief which argued for a hybrid version of the natural and probable consequences doctrine to reach scenarios </w:t>
      </w:r>
      <w:r w:rsidR="00DC3F1D" w:rsidRPr="00E4176F">
        <w:t>illustrated in two unpublished opinions.  (</w:t>
      </w:r>
      <w:r w:rsidR="00DC3F1D" w:rsidRPr="00DC3F1D">
        <w:rPr>
          <w:i/>
          <w:iCs/>
        </w:rPr>
        <w:t>Powell</w:t>
      </w:r>
      <w:r w:rsidR="00DC3F1D" w:rsidRPr="00DC3F1D">
        <w:t xml:space="preserve">, </w:t>
      </w:r>
      <w:r w:rsidR="00DC3F1D" w:rsidRPr="00DC3F1D">
        <w:rPr>
          <w:i/>
          <w:iCs/>
        </w:rPr>
        <w:t>supra</w:t>
      </w:r>
      <w:r w:rsidR="00DC3F1D" w:rsidRPr="00DC3F1D">
        <w:t xml:space="preserve">, 63 Cal.App.5th at p. 713, fn. 29, citing </w:t>
      </w:r>
      <w:r w:rsidR="00DC3F1D" w:rsidRPr="00E4176F">
        <w:rPr>
          <w:i/>
          <w:iCs/>
        </w:rPr>
        <w:t>Gentile</w:t>
      </w:r>
      <w:r w:rsidR="00DC3F1D" w:rsidRPr="00DC3F1D">
        <w:t xml:space="preserve">, </w:t>
      </w:r>
      <w:r w:rsidR="00DC3F1D" w:rsidRPr="00E4176F">
        <w:rPr>
          <w:i/>
          <w:iCs/>
        </w:rPr>
        <w:t>supra</w:t>
      </w:r>
      <w:r w:rsidR="00DC3F1D" w:rsidRPr="00DC3F1D">
        <w:t xml:space="preserve">, 10 Cal.5th at pp. 849-851.) </w:t>
      </w:r>
      <w:r w:rsidR="00BC3A90">
        <w:t>According to Roman, because our high court was responding to an argument by amicus</w:t>
      </w:r>
      <w:r w:rsidR="00DC3F1D" w:rsidRPr="00DC3F1D">
        <w:t xml:space="preserve">, </w:t>
      </w:r>
      <w:r w:rsidR="00BC3A90">
        <w:t>the</w:t>
      </w:r>
      <w:r w:rsidR="00DC3F1D" w:rsidRPr="00DC3F1D">
        <w:t xml:space="preserve"> court’s quote was unnecessary to the resolution of Gentile’s appeal. </w:t>
      </w:r>
    </w:p>
  </w:footnote>
  <w:footnote w:id="35">
    <w:p w14:paraId="26A23774" w14:textId="00A37E47" w:rsidR="000B09CA" w:rsidRDefault="0061079E">
      <w:pPr>
        <w:pStyle w:val="FootnoteText"/>
      </w:pPr>
      <w:r>
        <w:rPr>
          <w:rStyle w:val="FootnoteReference"/>
        </w:rPr>
        <w:footnoteRef/>
      </w:r>
      <w:r>
        <w:t xml:space="preserve">  An Assembly Public Safety Committee analysis states:  “In </w:t>
      </w:r>
      <w:r w:rsidRPr="00880778">
        <w:rPr>
          <w:i/>
          <w:iCs/>
        </w:rPr>
        <w:t>Gentile</w:t>
      </w:r>
      <w:r>
        <w:t>, the California Supreme Court found that the petition process set forth in Penal Code section 1170.95 is the exclusive remedy for retroactive SB 1437 relief on nonfinal judgments.  [Citati</w:t>
      </w:r>
      <w:r>
        <w:t>on.]  Generally, the rule is that a judgment is not final until the time for petitioning for a writ of certiorari in the United States Supreme Court has passed.  [Citation.]  [¶]  This bill would provide that where a conviction is not final, it may be chal</w:t>
      </w:r>
      <w:r>
        <w:t>lenged on SB 1437 grounds on direct appeal from that conviction.”  (</w:t>
      </w:r>
      <w:r w:rsidRPr="00BC460B">
        <w:t>Assem. Com. on Public Safety, Analysis of Sen</w:t>
      </w:r>
      <w:r w:rsidR="000F777F">
        <w:t>ate</w:t>
      </w:r>
      <w:r w:rsidRPr="00BC460B">
        <w:t xml:space="preserve"> Bill</w:t>
      </w:r>
      <w:r w:rsidR="000F777F">
        <w:t xml:space="preserve"> </w:t>
      </w:r>
      <w:r>
        <w:t>775</w:t>
      </w:r>
      <w:r w:rsidRPr="00BC460B">
        <w:t xml:space="preserve"> as amended </w:t>
      </w:r>
      <w:r>
        <w:t>July 6, 2021</w:t>
      </w:r>
      <w:r w:rsidRPr="00BC460B">
        <w:t>, p.</w:t>
      </w:r>
      <w:r>
        <w:t> 11.)</w:t>
      </w:r>
    </w:p>
  </w:footnote>
  <w:footnote w:id="36">
    <w:p w14:paraId="182E24A6" w14:textId="7F9FF20B" w:rsidR="00786F24" w:rsidRDefault="0061079E">
      <w:pPr>
        <w:pStyle w:val="FootnoteText"/>
      </w:pPr>
      <w:r>
        <w:rPr>
          <w:rStyle w:val="FootnoteReference"/>
        </w:rPr>
        <w:footnoteRef/>
      </w:r>
      <w:r>
        <w:t xml:space="preserve">  T</w:t>
      </w:r>
      <w:r w:rsidRPr="00786F24">
        <w:t xml:space="preserve">he </w:t>
      </w:r>
      <w:r w:rsidR="00893034">
        <w:t>high court</w:t>
      </w:r>
      <w:r w:rsidRPr="00786F24">
        <w:t xml:space="preserve"> </w:t>
      </w:r>
      <w:r>
        <w:t>held</w:t>
      </w:r>
      <w:r w:rsidRPr="00786F24">
        <w:t xml:space="preserve"> that the honest-services fraud statute is limited only to schemes involvin</w:t>
      </w:r>
      <w:r w:rsidRPr="00786F24">
        <w:t>g bribes or kickbacks</w:t>
      </w:r>
      <w:r w:rsidR="00893034">
        <w:t xml:space="preserve">, neither of which took place in </w:t>
      </w:r>
      <w:r w:rsidR="00893034" w:rsidRPr="00E4176F">
        <w:rPr>
          <w:i/>
          <w:iCs/>
        </w:rPr>
        <w:t>Skilling</w:t>
      </w:r>
      <w:r w:rsidRPr="00786F24">
        <w:t xml:space="preserve">.  </w:t>
      </w:r>
      <w:r>
        <w:t>(</w:t>
      </w:r>
      <w:r w:rsidRPr="00E4176F">
        <w:rPr>
          <w:i/>
          <w:iCs/>
        </w:rPr>
        <w:t>Skilling v. United States</w:t>
      </w:r>
      <w:r w:rsidR="005F4F61">
        <w:rPr>
          <w:i/>
          <w:iCs/>
        </w:rPr>
        <w:t xml:space="preserve"> </w:t>
      </w:r>
      <w:r w:rsidR="005F4F61">
        <w:t>(2010)</w:t>
      </w:r>
      <w:r w:rsidRPr="00786F24">
        <w:t xml:space="preserve"> </w:t>
      </w:r>
      <w:r>
        <w:t>561 U.S. 358</w:t>
      </w:r>
      <w:r w:rsidR="005F4F61">
        <w:t>, 408-409.)</w:t>
      </w:r>
    </w:p>
  </w:footnote>
  <w:footnote w:id="37">
    <w:p w14:paraId="20466B01" w14:textId="26F0BEA0" w:rsidR="00690102" w:rsidRDefault="0061079E">
      <w:pPr>
        <w:pStyle w:val="FootnoteText"/>
      </w:pPr>
      <w:r>
        <w:rPr>
          <w:rStyle w:val="FootnoteReference"/>
        </w:rPr>
        <w:footnoteRef/>
      </w:r>
      <w:r>
        <w:t xml:space="preserve">  </w:t>
      </w:r>
      <w:r w:rsidR="003F0168">
        <w:t xml:space="preserve">Another method of determining harmlessness for alternative-theory error, cited in </w:t>
      </w:r>
      <w:r w:rsidR="003F0168" w:rsidRPr="00E4176F">
        <w:rPr>
          <w:i/>
          <w:iCs/>
        </w:rPr>
        <w:t>Skilling</w:t>
      </w:r>
      <w:r w:rsidR="003F0168">
        <w:t xml:space="preserve"> is </w:t>
      </w:r>
      <w:r>
        <w:t>when</w:t>
      </w:r>
      <w:r w:rsidRPr="00690102">
        <w:t xml:space="preserve"> “the jury, in convicting on an </w:t>
      </w:r>
      <w:r w:rsidRPr="00690102">
        <w:t xml:space="preserve">invalid theory of guilt, </w:t>
      </w:r>
      <w:r w:rsidRPr="00E4176F">
        <w:rPr>
          <w:i/>
          <w:iCs/>
        </w:rPr>
        <w:t>necessarily found facts</w:t>
      </w:r>
      <w:r w:rsidRPr="00690102">
        <w:t xml:space="preserve"> establishing guilt on a valid theory.” </w:t>
      </w:r>
      <w:r w:rsidR="0098423F">
        <w:t xml:space="preserve"> </w:t>
      </w:r>
      <w:r>
        <w:t>(</w:t>
      </w:r>
      <w:r w:rsidRPr="004652B9">
        <w:rPr>
          <w:i/>
          <w:iCs/>
        </w:rPr>
        <w:t>Skilling II</w:t>
      </w:r>
      <w:r>
        <w:t xml:space="preserve">, </w:t>
      </w:r>
      <w:r w:rsidRPr="00A06365">
        <w:rPr>
          <w:i/>
          <w:iCs/>
        </w:rPr>
        <w:t>supra</w:t>
      </w:r>
      <w:r>
        <w:t xml:space="preserve">, 638 F.3d at p. 482, italics added.)  We discuss a similar method, </w:t>
      </w:r>
      <w:r w:rsidRPr="00E4176F">
        <w:rPr>
          <w:i/>
          <w:iCs/>
        </w:rPr>
        <w:t>post</w:t>
      </w:r>
      <w:r>
        <w:t>.</w:t>
      </w:r>
    </w:p>
  </w:footnote>
  <w:footnote w:id="38">
    <w:p w14:paraId="22456567" w14:textId="7E7A4273" w:rsidR="00830258" w:rsidRDefault="0061079E">
      <w:pPr>
        <w:pStyle w:val="FootnoteText"/>
      </w:pPr>
      <w:r>
        <w:rPr>
          <w:rStyle w:val="FootnoteReference"/>
        </w:rPr>
        <w:footnoteRef/>
      </w:r>
      <w:r>
        <w:t xml:space="preserve">  Before addressing what it characterized as the “crux of the matter”</w:t>
      </w:r>
      <w:r w:rsidR="00DF3307">
        <w:t xml:space="preserve"> in its analysis,</w:t>
      </w:r>
      <w:r>
        <w:t xml:space="preserve"> the </w:t>
      </w:r>
      <w:r w:rsidRPr="00E4176F">
        <w:rPr>
          <w:i/>
          <w:iCs/>
        </w:rPr>
        <w:t>Skilling II</w:t>
      </w:r>
      <w:r>
        <w:t xml:space="preserve"> court addressed what it called “preliminary matters” raised by the defendant.  First, it </w:t>
      </w:r>
      <w:r w:rsidRPr="00830258">
        <w:t xml:space="preserve">rejected </w:t>
      </w:r>
      <w:r w:rsidR="00805A02">
        <w:t xml:space="preserve">Skilling’s </w:t>
      </w:r>
      <w:r w:rsidRPr="00830258">
        <w:t xml:space="preserve">claim that the fact the jury was instructed with two theories, one of which had been invalidated, was dispositive of the question of harmlessness.  </w:t>
      </w:r>
      <w:bookmarkStart w:id="168" w:name="_Hlk99886076"/>
      <w:r w:rsidRPr="00830258">
        <w:t>(S</w:t>
      </w:r>
      <w:r w:rsidRPr="00E4176F">
        <w:rPr>
          <w:i/>
          <w:iCs/>
        </w:rPr>
        <w:t>killing II</w:t>
      </w:r>
      <w:r w:rsidRPr="00830258">
        <w:t xml:space="preserve">, </w:t>
      </w:r>
      <w:r w:rsidRPr="00E4176F">
        <w:rPr>
          <w:i/>
          <w:iCs/>
        </w:rPr>
        <w:t>supra</w:t>
      </w:r>
      <w:r w:rsidRPr="00830258">
        <w:t xml:space="preserve">, 638 F.3d at p. 483.) </w:t>
      </w:r>
      <w:bookmarkEnd w:id="168"/>
      <w:r w:rsidRPr="00830258">
        <w:t xml:space="preserve"> The court reasoned that “the fact that the jury may have relied u</w:t>
      </w:r>
      <w:r w:rsidRPr="00830258">
        <w:t xml:space="preserve">pon an invalid theory of guilt shows only that an alternative-theory error occurred, not that the error was not harmless.” </w:t>
      </w:r>
      <w:r w:rsidR="0098423F">
        <w:t xml:space="preserve"> </w:t>
      </w:r>
      <w:r w:rsidR="00914C73">
        <w:t>(</w:t>
      </w:r>
      <w:r w:rsidR="00914C73" w:rsidRPr="00E4176F">
        <w:rPr>
          <w:i/>
          <w:iCs/>
        </w:rPr>
        <w:t>Ibid</w:t>
      </w:r>
      <w:r w:rsidR="00914C73">
        <w:t xml:space="preserve">.) </w:t>
      </w:r>
      <w:r w:rsidRPr="00830258">
        <w:t xml:space="preserve"> </w:t>
      </w:r>
      <w:r w:rsidR="00805A02">
        <w:t>Second, the court</w:t>
      </w:r>
      <w:r w:rsidR="00914C73">
        <w:t xml:space="preserve"> rejected </w:t>
      </w:r>
      <w:r w:rsidR="00805A02">
        <w:t xml:space="preserve">Skilling’s </w:t>
      </w:r>
      <w:r w:rsidR="00914C73">
        <w:t>contention that the Government’s closing argument made it more likely the jury convicted him of conspiracy based on the invalidated theory.  (</w:t>
      </w:r>
      <w:r w:rsidR="00914C73" w:rsidRPr="00E4176F">
        <w:rPr>
          <w:i/>
          <w:iCs/>
        </w:rPr>
        <w:t>Ibid</w:t>
      </w:r>
      <w:r w:rsidR="00914C73">
        <w:t xml:space="preserve">.)  </w:t>
      </w:r>
      <w:r w:rsidR="00B66A73">
        <w:t>The court noted that</w:t>
      </w:r>
      <w:r w:rsidR="00914C73">
        <w:t xml:space="preserve"> the Government mentioned the invalidated theory regarding both defendants</w:t>
      </w:r>
      <w:r w:rsidR="00805A02">
        <w:t xml:space="preserve"> in rebuttal</w:t>
      </w:r>
      <w:r w:rsidR="00914C73">
        <w:t xml:space="preserve">, </w:t>
      </w:r>
      <w:r w:rsidR="00B66A73">
        <w:t>but</w:t>
      </w:r>
      <w:r w:rsidR="00914C73">
        <w:t xml:space="preserve"> mentioned it only once as to Skilling.</w:t>
      </w:r>
      <w:r w:rsidR="00805A02">
        <w:t xml:space="preserve"> </w:t>
      </w:r>
      <w:r w:rsidR="0098423F">
        <w:t xml:space="preserve"> </w:t>
      </w:r>
      <w:r w:rsidR="00805A02">
        <w:t>(</w:t>
      </w:r>
      <w:r w:rsidR="00805A02" w:rsidRPr="00E4176F">
        <w:rPr>
          <w:i/>
          <w:iCs/>
        </w:rPr>
        <w:t>Ibid</w:t>
      </w:r>
      <w:r w:rsidR="00805A02">
        <w:t>.)</w:t>
      </w:r>
      <w:r w:rsidR="00914C73">
        <w:t xml:space="preserve">  “</w:t>
      </w:r>
      <w:bookmarkStart w:id="169" w:name="_Hlk100052049"/>
      <w:bookmarkStart w:id="170" w:name="_Hlk99886061"/>
      <w:r w:rsidR="00914C73">
        <w:t xml:space="preserve">Further, </w:t>
      </w:r>
      <w:r w:rsidR="00914C73" w:rsidRPr="005F1059">
        <w:t>it never argued that the jury should convict Skilling solely on the honest-services theory, nor did it tell the jury that it should disregard the evidence of securities fraud in reaching a conviction</w:t>
      </w:r>
      <w:bookmarkEnd w:id="169"/>
      <w:r w:rsidR="00914C73" w:rsidRPr="00914C73">
        <w:t xml:space="preserve">. </w:t>
      </w:r>
      <w:bookmarkEnd w:id="170"/>
      <w:r w:rsidR="002313D9">
        <w:t xml:space="preserve"> </w:t>
      </w:r>
      <w:r w:rsidR="00914C73" w:rsidRPr="00914C73">
        <w:t xml:space="preserve">This single reference to </w:t>
      </w:r>
      <w:r w:rsidR="00914C73" w:rsidRPr="00E4176F">
        <w:rPr>
          <w:i/>
          <w:iCs/>
        </w:rPr>
        <w:t>Skilling’s</w:t>
      </w:r>
      <w:r w:rsidR="00914C73" w:rsidRPr="00914C73">
        <w:t xml:space="preserve"> honest services, in light of the Government’s extensive argument on securities fraud, </w:t>
      </w:r>
      <w:bookmarkStart w:id="171" w:name="_Hlk100052081"/>
      <w:r w:rsidR="00914C73" w:rsidRPr="00914C73">
        <w:t xml:space="preserve">merely permitted the jury to decide the case on the wrong theory. </w:t>
      </w:r>
      <w:r w:rsidR="00914C73">
        <w:t xml:space="preserve"> </w:t>
      </w:r>
      <w:r w:rsidR="00914C73" w:rsidRPr="00914C73">
        <w:t>It did not force or urge it to do so, and therefore, it shows only that an alternative-theory error occurred, not that the error was not harmless</w:t>
      </w:r>
      <w:bookmarkEnd w:id="171"/>
      <w:r w:rsidR="00914C73">
        <w:t>.”  (</w:t>
      </w:r>
      <w:r w:rsidR="00914C73" w:rsidRPr="00E4176F">
        <w:rPr>
          <w:i/>
          <w:iCs/>
        </w:rPr>
        <w:t>Ibid</w:t>
      </w:r>
      <w:r w:rsidR="00914C73">
        <w:t>.</w:t>
      </w:r>
      <w:r w:rsidR="00805A02">
        <w:t>, italics added.</w:t>
      </w:r>
      <w:r w:rsidR="00914C73">
        <w:t xml:space="preserve">) </w:t>
      </w:r>
      <w:r w:rsidR="0098423F">
        <w:t xml:space="preserve"> </w:t>
      </w:r>
      <w:r w:rsidR="00914C73">
        <w:t xml:space="preserve">We discuss the prosecution’s closing argument in the instant case, </w:t>
      </w:r>
      <w:r w:rsidR="00914C73" w:rsidRPr="00E4176F">
        <w:rPr>
          <w:i/>
          <w:iCs/>
        </w:rPr>
        <w:t>post</w:t>
      </w:r>
      <w:r w:rsidR="00914C73">
        <w:t>.</w:t>
      </w:r>
    </w:p>
  </w:footnote>
  <w:footnote w:id="39">
    <w:p w14:paraId="6AA6832E" w14:textId="3CFB104B" w:rsidR="00E45676" w:rsidRDefault="0061079E">
      <w:pPr>
        <w:pStyle w:val="FootnoteText"/>
      </w:pPr>
      <w:r>
        <w:rPr>
          <w:rStyle w:val="FootnoteReference"/>
        </w:rPr>
        <w:footnoteRef/>
      </w:r>
      <w:r>
        <w:t xml:space="preserve">  In </w:t>
      </w:r>
      <w:r w:rsidRPr="00E4176F">
        <w:rPr>
          <w:i/>
          <w:iCs/>
        </w:rPr>
        <w:t>Neder</w:t>
      </w:r>
      <w:r>
        <w:t xml:space="preserve">, the trial court erroneously omitted an element of the offense.  The </w:t>
      </w:r>
      <w:r w:rsidR="0053467E">
        <w:t xml:space="preserve">high </w:t>
      </w:r>
      <w:r>
        <w:t xml:space="preserve">court held the </w:t>
      </w:r>
      <w:r w:rsidR="0053467E">
        <w:t>e</w:t>
      </w:r>
      <w:r w:rsidR="005D594C">
        <w:t>rroneous</w:t>
      </w:r>
      <w:r>
        <w:t xml:space="preserve"> instruction was harmless.  </w:t>
      </w:r>
      <w:r w:rsidR="005D594C">
        <w:t>(</w:t>
      </w:r>
      <w:r w:rsidR="005D594C" w:rsidRPr="00E4176F">
        <w:rPr>
          <w:i/>
          <w:iCs/>
        </w:rPr>
        <w:t>Neder</w:t>
      </w:r>
      <w:r w:rsidR="005D594C">
        <w:t xml:space="preserve">, </w:t>
      </w:r>
      <w:r w:rsidR="005D594C" w:rsidRPr="00E4176F">
        <w:rPr>
          <w:i/>
          <w:iCs/>
        </w:rPr>
        <w:t>supra</w:t>
      </w:r>
      <w:r w:rsidR="005D594C">
        <w:t xml:space="preserve">, </w:t>
      </w:r>
      <w:r w:rsidR="003A71F5" w:rsidRPr="00D51A62">
        <w:t>527 U.S.</w:t>
      </w:r>
      <w:r w:rsidR="005D594C">
        <w:t xml:space="preserve"> at p. 2.)</w:t>
      </w:r>
      <w:r w:rsidR="0053467E">
        <w:t xml:space="preserve"> </w:t>
      </w:r>
      <w:r w:rsidR="00DE7DEC">
        <w:t xml:space="preserve"> </w:t>
      </w:r>
      <w:r w:rsidR="008E048C">
        <w:t xml:space="preserve">Based on its reasoning, </w:t>
      </w:r>
      <w:r w:rsidRPr="00E4176F">
        <w:rPr>
          <w:i/>
          <w:iCs/>
        </w:rPr>
        <w:t>Neder</w:t>
      </w:r>
      <w:r>
        <w:t xml:space="preserve"> is often cited for the proposition that </w:t>
      </w:r>
      <w:r w:rsidR="00E479EB">
        <w:t xml:space="preserve">where a reviewing court concludes beyond a reasonable doubt </w:t>
      </w:r>
      <w:r w:rsidR="00DE7DEC">
        <w:t xml:space="preserve">that </w:t>
      </w:r>
      <w:r>
        <w:t xml:space="preserve">(1) the </w:t>
      </w:r>
      <w:r w:rsidR="00E479EB">
        <w:t xml:space="preserve">omitted </w:t>
      </w:r>
      <w:r>
        <w:t xml:space="preserve">element </w:t>
      </w:r>
      <w:r w:rsidR="00E479EB">
        <w:t>or elements were</w:t>
      </w:r>
      <w:r>
        <w:t xml:space="preserve"> uncontested and (2) the evidence establishing the omi</w:t>
      </w:r>
      <w:r>
        <w:t>tted element was overwhelming</w:t>
      </w:r>
      <w:r w:rsidR="00E479EB">
        <w:t>, the error is harmless</w:t>
      </w:r>
      <w:r>
        <w:t xml:space="preserve">.  </w:t>
      </w:r>
      <w:r w:rsidR="00E479EB">
        <w:t xml:space="preserve">(See </w:t>
      </w:r>
      <w:r w:rsidR="00E479EB" w:rsidRPr="00E4176F">
        <w:rPr>
          <w:i/>
          <w:iCs/>
        </w:rPr>
        <w:t>Merritt</w:t>
      </w:r>
      <w:r w:rsidR="00E479EB">
        <w:t xml:space="preserve">, </w:t>
      </w:r>
      <w:r w:rsidR="00E479EB" w:rsidRPr="00E4176F">
        <w:rPr>
          <w:i/>
          <w:iCs/>
        </w:rPr>
        <w:t>supra</w:t>
      </w:r>
      <w:r w:rsidR="00E479EB">
        <w:t xml:space="preserve">, 2 Cal.5th at p. 832; </w:t>
      </w:r>
      <w:r w:rsidR="00E479EB" w:rsidRPr="00E4176F">
        <w:rPr>
          <w:i/>
          <w:iCs/>
        </w:rPr>
        <w:t>People v. Mil</w:t>
      </w:r>
      <w:r w:rsidR="00E479EB">
        <w:t xml:space="preserve"> (</w:t>
      </w:r>
      <w:r w:rsidR="00B67D85">
        <w:t>2012</w:t>
      </w:r>
      <w:r w:rsidR="00E479EB">
        <w:t xml:space="preserve">) 53 Cal.4th 400, </w:t>
      </w:r>
      <w:r w:rsidR="002E4B2A">
        <w:t xml:space="preserve">410-411, </w:t>
      </w:r>
      <w:r w:rsidR="00E479EB">
        <w:t>41</w:t>
      </w:r>
      <w:r w:rsidR="002E4B2A">
        <w:t>7</w:t>
      </w:r>
      <w:r w:rsidR="00E479EB">
        <w:t xml:space="preserve">.)  </w:t>
      </w:r>
      <w:r>
        <w:t>But</w:t>
      </w:r>
      <w:r w:rsidR="005D594C">
        <w:t xml:space="preserve"> while this was one way to establish harmlessness, the </w:t>
      </w:r>
      <w:r w:rsidR="005D594C" w:rsidRPr="00E4176F">
        <w:rPr>
          <w:i/>
          <w:iCs/>
        </w:rPr>
        <w:t>Neder</w:t>
      </w:r>
      <w:r w:rsidR="005D594C">
        <w:t xml:space="preserve"> court did not suggest it was the only way or </w:t>
      </w:r>
      <w:r w:rsidR="00B67D85">
        <w:t xml:space="preserve">set out </w:t>
      </w:r>
      <w:r w:rsidR="005D594C">
        <w:t xml:space="preserve">these circumstances out as requirements.  </w:t>
      </w:r>
      <w:r>
        <w:t xml:space="preserve">The </w:t>
      </w:r>
      <w:r w:rsidRPr="00E4176F">
        <w:rPr>
          <w:i/>
          <w:iCs/>
        </w:rPr>
        <w:t>Neder</w:t>
      </w:r>
      <w:r>
        <w:t xml:space="preserve"> court held:</w:t>
      </w:r>
      <w:r w:rsidR="002313D9">
        <w:t xml:space="preserve"> </w:t>
      </w:r>
      <w:r w:rsidR="00807B4A">
        <w:t xml:space="preserve"> “</w:t>
      </w:r>
      <w:r w:rsidR="00807B4A" w:rsidRPr="00E4176F">
        <w:rPr>
          <w:i/>
          <w:iCs/>
        </w:rPr>
        <w:t>In this situation</w:t>
      </w:r>
      <w:r w:rsidR="00807B4A" w:rsidRPr="00807B4A">
        <w:t>, where a reviewing court concludes beyond a reasonable doubt that the omitted element was uncontested and supported by overwhelming evidence, such that the jury verdict would have been the same absent the error, the erroneous instruction is properly found to be harmless.”</w:t>
      </w:r>
      <w:r w:rsidR="0098423F">
        <w:t xml:space="preserve"> </w:t>
      </w:r>
      <w:r w:rsidR="00807B4A">
        <w:t xml:space="preserve"> </w:t>
      </w:r>
      <w:r w:rsidR="00001FA5" w:rsidRPr="00001FA5">
        <w:t>(</w:t>
      </w:r>
      <w:r w:rsidR="00001FA5" w:rsidRPr="00E4176F">
        <w:rPr>
          <w:i/>
          <w:iCs/>
        </w:rPr>
        <w:t>Neder</w:t>
      </w:r>
      <w:r w:rsidR="00001FA5" w:rsidRPr="00001FA5">
        <w:t>, at p. 1</w:t>
      </w:r>
      <w:r w:rsidR="00001FA5">
        <w:t>7</w:t>
      </w:r>
      <w:r w:rsidR="00001FA5" w:rsidRPr="00001FA5">
        <w:t>.)</w:t>
      </w:r>
      <w:r w:rsidR="00B67D85">
        <w:t xml:space="preserve"> </w:t>
      </w:r>
      <w:r w:rsidR="002313D9">
        <w:t xml:space="preserve"> </w:t>
      </w:r>
      <w:r>
        <w:t>The italicized portion of this quote — “In this situation”</w:t>
      </w:r>
      <w:r w:rsidR="008E048C">
        <w:t xml:space="preserve"> —</w:t>
      </w:r>
      <w:r>
        <w:t xml:space="preserve"> suggests reasoning that was situational based on the circumsta</w:t>
      </w:r>
      <w:r>
        <w:t xml:space="preserve">nces in that case.  </w:t>
      </w:r>
      <w:r w:rsidR="00B67D85">
        <w:t>Similarly, t</w:t>
      </w:r>
      <w:r>
        <w:t xml:space="preserve">he </w:t>
      </w:r>
      <w:r w:rsidRPr="00E4176F">
        <w:rPr>
          <w:i/>
          <w:iCs/>
        </w:rPr>
        <w:t>Neder</w:t>
      </w:r>
      <w:r>
        <w:t xml:space="preserve"> court la</w:t>
      </w:r>
      <w:r w:rsidR="00807B4A">
        <w:t>ter stated</w:t>
      </w:r>
      <w:r w:rsidR="00D330E0">
        <w:t xml:space="preserve"> that if</w:t>
      </w:r>
      <w:r w:rsidR="00807B4A" w:rsidRPr="00807B4A">
        <w:t xml:space="preserve">, at the end of </w:t>
      </w:r>
      <w:r w:rsidR="00D330E0">
        <w:t>the reviewing court’s examination of the record, “</w:t>
      </w:r>
      <w:r w:rsidR="00807B4A" w:rsidRPr="00807B4A">
        <w:t>the court cannot conclude beyond a reasonable doubt that the jury verdict would have been the same absent the error—</w:t>
      </w:r>
      <w:r w:rsidR="00807B4A" w:rsidRPr="00E4176F">
        <w:rPr>
          <w:i/>
          <w:iCs/>
        </w:rPr>
        <w:t>for example</w:t>
      </w:r>
      <w:r w:rsidR="00807B4A" w:rsidRPr="00807B4A">
        <w:t>, where the defendant contested the omitted element and raised evidence sufficient to support a contrary finding—it should not find the error harmless.</w:t>
      </w:r>
      <w:r>
        <w:t>”</w:t>
      </w:r>
      <w:r w:rsidR="00807B4A" w:rsidRPr="00807B4A">
        <w:t xml:space="preserve">  </w:t>
      </w:r>
      <w:r w:rsidR="00001FA5">
        <w:t>(</w:t>
      </w:r>
      <w:r w:rsidR="00001FA5" w:rsidRPr="00E4176F">
        <w:rPr>
          <w:i/>
          <w:iCs/>
        </w:rPr>
        <w:t>Id</w:t>
      </w:r>
      <w:r w:rsidR="00001FA5">
        <w:t xml:space="preserve">. at p. 19.) </w:t>
      </w:r>
      <w:r w:rsidR="00C42EC4">
        <w:t xml:space="preserve"> </w:t>
      </w:r>
      <w:r>
        <w:t>The italicized text</w:t>
      </w:r>
      <w:r w:rsidR="0052460F">
        <w:t xml:space="preserve"> </w:t>
      </w:r>
      <w:r>
        <w:t>— “for example” — again suggests</w:t>
      </w:r>
      <w:r w:rsidR="00160C5A">
        <w:t xml:space="preserve"> </w:t>
      </w:r>
      <w:r>
        <w:t>circumstances where the e</w:t>
      </w:r>
      <w:r>
        <w:t xml:space="preserve">rror would not be harmless, but nothing </w:t>
      </w:r>
      <w:r w:rsidR="00001FA5">
        <w:t xml:space="preserve">the </w:t>
      </w:r>
      <w:r w:rsidRPr="00E4176F">
        <w:rPr>
          <w:i/>
          <w:iCs/>
        </w:rPr>
        <w:t>Neder</w:t>
      </w:r>
      <w:r w:rsidR="00001FA5" w:rsidRPr="00E4176F">
        <w:rPr>
          <w:i/>
          <w:iCs/>
        </w:rPr>
        <w:t xml:space="preserve"> </w:t>
      </w:r>
      <w:r w:rsidR="00001FA5">
        <w:t>court</w:t>
      </w:r>
      <w:r>
        <w:t xml:space="preserve"> said limits a court’s analysis in this regard when determining </w:t>
      </w:r>
      <w:r w:rsidR="00001FA5">
        <w:t>whether “i</w:t>
      </w:r>
      <w:r w:rsidR="00001FA5" w:rsidRPr="00001FA5">
        <w:t xml:space="preserve">t clear beyond a reasonable doubt that a rational jury </w:t>
      </w:r>
      <w:r w:rsidR="00001FA5" w:rsidRPr="00E4176F">
        <w:rPr>
          <w:i/>
          <w:iCs/>
        </w:rPr>
        <w:t>would have found</w:t>
      </w:r>
      <w:r w:rsidR="00001FA5" w:rsidRPr="00001FA5">
        <w:t xml:space="preserve"> the defendant guilty absent the error</w:t>
      </w:r>
      <w:r w:rsidR="00001FA5">
        <w:t>.”  (</w:t>
      </w:r>
      <w:r w:rsidR="00001FA5" w:rsidRPr="00E4176F">
        <w:rPr>
          <w:i/>
          <w:iCs/>
        </w:rPr>
        <w:t>Id</w:t>
      </w:r>
      <w:r w:rsidR="00001FA5">
        <w:t>. at p. 18</w:t>
      </w:r>
      <w:r w:rsidR="00B67D85">
        <w:t>, italics added</w:t>
      </w:r>
      <w:r w:rsidR="00001FA5">
        <w:t>.)</w:t>
      </w:r>
      <w:r w:rsidR="00160C5A">
        <w:t xml:space="preserve">  Indeed, by </w:t>
      </w:r>
      <w:r w:rsidR="00B67D85">
        <w:t xml:space="preserve">highlighting the cited circumstances </w:t>
      </w:r>
      <w:r w:rsidR="008E048C">
        <w:t xml:space="preserve">in </w:t>
      </w:r>
      <w:r w:rsidR="008E048C" w:rsidRPr="00E4176F">
        <w:rPr>
          <w:i/>
          <w:iCs/>
        </w:rPr>
        <w:t>Neder</w:t>
      </w:r>
      <w:r w:rsidR="008E048C">
        <w:t xml:space="preserve"> </w:t>
      </w:r>
      <w:r w:rsidR="00B67D85">
        <w:t>as</w:t>
      </w:r>
      <w:r w:rsidR="00160C5A">
        <w:t xml:space="preserve"> an example, the </w:t>
      </w:r>
      <w:r w:rsidR="008E048C">
        <w:t xml:space="preserve">high </w:t>
      </w:r>
      <w:r w:rsidR="00160C5A">
        <w:t>court implicitly acknowledge</w:t>
      </w:r>
      <w:r w:rsidR="008E048C">
        <w:t>d</w:t>
      </w:r>
      <w:r w:rsidR="00160C5A">
        <w:t xml:space="preserve"> there could be other examples or methods of determining harmlessness.</w:t>
      </w:r>
    </w:p>
  </w:footnote>
  <w:footnote w:id="40">
    <w:p w14:paraId="4FB771DD" w14:textId="1B9930BE" w:rsidR="00077186" w:rsidRDefault="0061079E">
      <w:pPr>
        <w:pStyle w:val="FootnoteText"/>
      </w:pPr>
      <w:r w:rsidRPr="00D51A62">
        <w:rPr>
          <w:rStyle w:val="FootnoteReference"/>
        </w:rPr>
        <w:footnoteRef/>
      </w:r>
      <w:r w:rsidRPr="00D51A62">
        <w:t xml:space="preserve"> </w:t>
      </w:r>
      <w:r w:rsidR="000D1DF2">
        <w:t xml:space="preserve"> </w:t>
      </w:r>
      <w:r w:rsidRPr="00D51A62">
        <w:t>In</w:t>
      </w:r>
      <w:r>
        <w:t xml:space="preserve"> </w:t>
      </w:r>
      <w:r w:rsidRPr="004652B9">
        <w:rPr>
          <w:i/>
          <w:iCs/>
        </w:rPr>
        <w:t>Al</w:t>
      </w:r>
      <w:r w:rsidR="003A71F5">
        <w:rPr>
          <w:i/>
          <w:iCs/>
        </w:rPr>
        <w:t>e</w:t>
      </w:r>
      <w:r w:rsidRPr="004652B9">
        <w:rPr>
          <w:i/>
          <w:iCs/>
        </w:rPr>
        <w:t>d</w:t>
      </w:r>
      <w:r w:rsidR="003A71F5">
        <w:rPr>
          <w:i/>
          <w:iCs/>
        </w:rPr>
        <w:t>a</w:t>
      </w:r>
      <w:r w:rsidRPr="004652B9">
        <w:rPr>
          <w:i/>
          <w:iCs/>
        </w:rPr>
        <w:t>mat</w:t>
      </w:r>
      <w:r>
        <w:t xml:space="preserve">, our high court cited </w:t>
      </w:r>
      <w:r w:rsidRPr="004652B9">
        <w:rPr>
          <w:i/>
          <w:iCs/>
        </w:rPr>
        <w:t>Skilling II</w:t>
      </w:r>
      <w:r>
        <w:t xml:space="preserve"> in rejecting the notion that there should be some hybrid method of determining harmlessness for alternative-theory error different from </w:t>
      </w:r>
      <w:r w:rsidRPr="004652B9">
        <w:rPr>
          <w:i/>
          <w:iCs/>
        </w:rPr>
        <w:t>Chapman</w:t>
      </w:r>
      <w:r>
        <w:t xml:space="preserve">.  The </w:t>
      </w:r>
      <w:r w:rsidRPr="004652B9">
        <w:rPr>
          <w:i/>
          <w:iCs/>
        </w:rPr>
        <w:t>Al</w:t>
      </w:r>
      <w:r w:rsidR="003A71F5">
        <w:rPr>
          <w:i/>
          <w:iCs/>
        </w:rPr>
        <w:t>e</w:t>
      </w:r>
      <w:r w:rsidRPr="004652B9">
        <w:rPr>
          <w:i/>
          <w:iCs/>
        </w:rPr>
        <w:t>d</w:t>
      </w:r>
      <w:r w:rsidR="003A71F5">
        <w:rPr>
          <w:i/>
          <w:iCs/>
        </w:rPr>
        <w:t>a</w:t>
      </w:r>
      <w:r w:rsidRPr="004652B9">
        <w:rPr>
          <w:i/>
          <w:iCs/>
        </w:rPr>
        <w:t xml:space="preserve">mat </w:t>
      </w:r>
      <w:r>
        <w:t>court wrote:  “</w:t>
      </w:r>
      <w:r w:rsidRPr="00F50CB6">
        <w:t xml:space="preserve">As the court that reviewed the </w:t>
      </w:r>
      <w:r w:rsidRPr="004652B9">
        <w:rPr>
          <w:i/>
          <w:iCs/>
        </w:rPr>
        <w:t xml:space="preserve">Skilling </w:t>
      </w:r>
      <w:r w:rsidRPr="00F50CB6">
        <w:t>case on</w:t>
      </w:r>
      <w:r w:rsidRPr="00F50CB6">
        <w:t xml:space="preserve"> remand recognized, </w:t>
      </w:r>
      <w:r>
        <w:t>. . .</w:t>
      </w:r>
      <w:r w:rsidRPr="00F50CB6">
        <w:t xml:space="preserve"> the </w:t>
      </w:r>
      <w:r>
        <w:t xml:space="preserve">[high] </w:t>
      </w:r>
      <w:r w:rsidRPr="00F50CB6">
        <w:t xml:space="preserve">court </w:t>
      </w:r>
      <w:r w:rsidR="008C41AA">
        <w:t>‘</w:t>
      </w:r>
      <w:r w:rsidRPr="00F50CB6">
        <w:t>did not specifically identify the harmless-error standard that is applicable to alternative-theory errors, but it cited to a string of cases that apply a common harmless-error standard to other types of instructi</w:t>
      </w:r>
      <w:r w:rsidRPr="00F50CB6">
        <w:t>onal errors</w:t>
      </w:r>
      <w:r w:rsidR="008C41AA">
        <w:t>’ </w:t>
      </w:r>
      <w:r w:rsidRPr="00F50CB6">
        <w:t xml:space="preserve">.” </w:t>
      </w:r>
      <w:r w:rsidR="008C41AA">
        <w:t xml:space="preserve"> </w:t>
      </w:r>
      <w:r w:rsidRPr="00F50CB6">
        <w:t>(</w:t>
      </w:r>
      <w:r w:rsidR="0053266E">
        <w:rPr>
          <w:i/>
          <w:iCs/>
        </w:rPr>
        <w:t>[]</w:t>
      </w:r>
      <w:r w:rsidRPr="004652B9">
        <w:rPr>
          <w:i/>
          <w:iCs/>
        </w:rPr>
        <w:t xml:space="preserve"> Skilling</w:t>
      </w:r>
      <w:r w:rsidR="0053266E">
        <w:rPr>
          <w:i/>
          <w:iCs/>
        </w:rPr>
        <w:t xml:space="preserve"> [II,]</w:t>
      </w:r>
      <w:r w:rsidRPr="004652B9">
        <w:rPr>
          <w:i/>
          <w:iCs/>
        </w:rPr>
        <w:t xml:space="preserve"> </w:t>
      </w:r>
      <w:r w:rsidR="0053266E">
        <w:t>[</w:t>
      </w:r>
      <w:r w:rsidR="0053266E" w:rsidRPr="00016C10">
        <w:rPr>
          <w:i/>
          <w:iCs/>
        </w:rPr>
        <w:t>supra</w:t>
      </w:r>
      <w:r w:rsidR="0053266E">
        <w:t>,]</w:t>
      </w:r>
      <w:r w:rsidRPr="00F50CB6">
        <w:t xml:space="preserve"> 638 F.3d </w:t>
      </w:r>
      <w:r w:rsidR="0053266E">
        <w:t xml:space="preserve">[at p.] </w:t>
      </w:r>
      <w:r w:rsidRPr="00F50CB6">
        <w:t xml:space="preserve">481; see </w:t>
      </w:r>
      <w:r w:rsidRPr="004652B9">
        <w:rPr>
          <w:i/>
          <w:iCs/>
        </w:rPr>
        <w:t>id</w:t>
      </w:r>
      <w:r w:rsidRPr="00F50CB6">
        <w:t>. at p. 482 [applying the beyond a reasonable doubt standard].)</w:t>
      </w:r>
      <w:r>
        <w:t>”</w:t>
      </w:r>
      <w:r w:rsidRPr="00F50CB6">
        <w:t xml:space="preserve"> </w:t>
      </w:r>
      <w:r w:rsidR="003A71F5">
        <w:t xml:space="preserve"> </w:t>
      </w:r>
      <w:r>
        <w:t>(</w:t>
      </w:r>
      <w:r w:rsidRPr="004652B9">
        <w:rPr>
          <w:i/>
          <w:iCs/>
        </w:rPr>
        <w:t>Aledamat</w:t>
      </w:r>
      <w:r>
        <w:t xml:space="preserve">, </w:t>
      </w:r>
      <w:r w:rsidRPr="004652B9">
        <w:rPr>
          <w:i/>
          <w:iCs/>
        </w:rPr>
        <w:t>supra</w:t>
      </w:r>
      <w:r>
        <w:t xml:space="preserve">, 8 Cal.5th at p. 11.)  The </w:t>
      </w:r>
      <w:r w:rsidR="00E42728" w:rsidRPr="00E4176F">
        <w:rPr>
          <w:i/>
          <w:iCs/>
        </w:rPr>
        <w:t>Aledamat</w:t>
      </w:r>
      <w:r w:rsidR="00E42728">
        <w:t xml:space="preserve"> </w:t>
      </w:r>
      <w:r>
        <w:t xml:space="preserve">court cited </w:t>
      </w:r>
      <w:r w:rsidRPr="00E4176F">
        <w:rPr>
          <w:i/>
          <w:iCs/>
        </w:rPr>
        <w:t>Black</w:t>
      </w:r>
      <w:r>
        <w:t xml:space="preserve"> along with a string of federal cases for the p</w:t>
      </w:r>
      <w:r>
        <w:t xml:space="preserve">roposition that the </w:t>
      </w:r>
      <w:r w:rsidR="00E95791">
        <w:t>“</w:t>
      </w:r>
      <w:r w:rsidRPr="00077186">
        <w:t xml:space="preserve">the same </w:t>
      </w:r>
      <w:r w:rsidRPr="00E4176F">
        <w:rPr>
          <w:i/>
          <w:iCs/>
        </w:rPr>
        <w:t>Chapman</w:t>
      </w:r>
      <w:r w:rsidRPr="00077186">
        <w:t xml:space="preserve"> analysis of harmless error applies to alternative-theory error as applies to other kinds of misdescription of the elements</w:t>
      </w:r>
      <w:r>
        <w:t xml:space="preserve">.” </w:t>
      </w:r>
      <w:r w:rsidR="003A71F5">
        <w:t xml:space="preserve"> </w:t>
      </w:r>
      <w:r>
        <w:t>(</w:t>
      </w:r>
      <w:r w:rsidRPr="00E4176F">
        <w:rPr>
          <w:i/>
          <w:iCs/>
        </w:rPr>
        <w:t>Ibid.</w:t>
      </w:r>
      <w:r>
        <w:t xml:space="preserve">)  </w:t>
      </w:r>
    </w:p>
  </w:footnote>
  <w:footnote w:id="41">
    <w:p w14:paraId="31946BC3" w14:textId="2A1FC2FE" w:rsidR="00732D52" w:rsidRDefault="0061079E">
      <w:pPr>
        <w:pStyle w:val="FootnoteText"/>
      </w:pPr>
      <w:r>
        <w:rPr>
          <w:rStyle w:val="FootnoteReference"/>
        </w:rPr>
        <w:footnoteRef/>
      </w:r>
      <w:r>
        <w:t xml:space="preserve"> </w:t>
      </w:r>
      <w:r w:rsidR="00786F24">
        <w:t xml:space="preserve"> Other courts</w:t>
      </w:r>
      <w:r w:rsidR="009100EC">
        <w:t xml:space="preserve">, not cited in </w:t>
      </w:r>
      <w:r w:rsidR="009100EC" w:rsidRPr="00E4176F">
        <w:rPr>
          <w:i/>
          <w:iCs/>
        </w:rPr>
        <w:t>Aledamat</w:t>
      </w:r>
      <w:r w:rsidR="009100EC">
        <w:t>,</w:t>
      </w:r>
      <w:r w:rsidR="00786F24">
        <w:t xml:space="preserve"> have applied the </w:t>
      </w:r>
      <w:r w:rsidR="00786F24" w:rsidRPr="00E4176F">
        <w:rPr>
          <w:i/>
          <w:iCs/>
        </w:rPr>
        <w:t>Skilling II</w:t>
      </w:r>
      <w:r w:rsidR="00786F24">
        <w:t xml:space="preserve"> overwhelming evidence approach.  (See </w:t>
      </w:r>
      <w:r w:rsidR="007648FF">
        <w:t xml:space="preserve">e.g., </w:t>
      </w:r>
      <w:r w:rsidR="008F22D2" w:rsidRPr="00E4176F">
        <w:rPr>
          <w:i/>
          <w:iCs/>
        </w:rPr>
        <w:t>United States v. Wright</w:t>
      </w:r>
      <w:r w:rsidR="008F22D2">
        <w:t xml:space="preserve"> (2019) 937 F.3d 8, 30, citing </w:t>
      </w:r>
      <w:r w:rsidR="008F22D2" w:rsidRPr="00E4176F">
        <w:rPr>
          <w:i/>
          <w:iCs/>
        </w:rPr>
        <w:t>Neder</w:t>
      </w:r>
      <w:r w:rsidR="008F22D2">
        <w:t xml:space="preserve">, </w:t>
      </w:r>
      <w:r w:rsidR="008F22D2" w:rsidRPr="00E4176F">
        <w:rPr>
          <w:i/>
          <w:iCs/>
        </w:rPr>
        <w:t>supra</w:t>
      </w:r>
      <w:r w:rsidR="008F22D2">
        <w:t>, 527 U.S. at p. 17 [“</w:t>
      </w:r>
      <w:r w:rsidR="008F22D2" w:rsidRPr="008F22D2">
        <w:t xml:space="preserve">we are required to affirm the conviction if the evidence for either </w:t>
      </w:r>
      <w:r w:rsidR="008F22D2">
        <w:t xml:space="preserve">[valid] </w:t>
      </w:r>
      <w:r w:rsidR="008F22D2" w:rsidRPr="008F22D2">
        <w:t>theory of guilt</w:t>
      </w:r>
      <w:r w:rsidR="008F22D2">
        <w:t>. . . </w:t>
      </w:r>
      <w:r w:rsidR="008F22D2" w:rsidRPr="008F22D2">
        <w:t xml:space="preserve">was so </w:t>
      </w:r>
      <w:r w:rsidR="008F22D2">
        <w:t>“ ‘</w:t>
      </w:r>
      <w:r w:rsidR="008F22D2" w:rsidRPr="008F22D2">
        <w:t>overwhelming</w:t>
      </w:r>
      <w:r w:rsidR="00CD1929">
        <w:t xml:space="preserve"> . . . </w:t>
      </w:r>
      <w:r w:rsidR="008F22D2" w:rsidRPr="008F22D2">
        <w:t>that the jury verdict would have been the same absent the error</w:t>
      </w:r>
      <w:r w:rsidR="008F22D2">
        <w:t xml:space="preserve"> [Citations]</w:t>
      </w:r>
      <w:r w:rsidR="00CD1929">
        <w:t>.</w:t>
      </w:r>
      <w:r w:rsidR="008F22D2">
        <w:t>’ . . .</w:t>
      </w:r>
      <w:r w:rsidR="008F22D2" w:rsidRPr="008F22D2">
        <w:t xml:space="preserve">We thus confine our harmless error analysis to determining whether the government has met its burden to show that the evidence </w:t>
      </w:r>
      <w:r w:rsidR="008F22D2">
        <w:t>[of the valid theory]</w:t>
      </w:r>
      <w:r w:rsidR="00795BB3">
        <w:t xml:space="preserve"> </w:t>
      </w:r>
      <w:r w:rsidR="008F22D2" w:rsidRPr="008F22D2">
        <w:t>was “overwhelming</w:t>
      </w:r>
      <w:r w:rsidR="008F22D2">
        <w:t xml:space="preserve">’ </w:t>
      </w:r>
      <w:r w:rsidR="008F22D2" w:rsidRPr="008F22D2">
        <w:t>”</w:t>
      </w:r>
      <w:r w:rsidR="00927D8A">
        <w:t>]</w:t>
      </w:r>
      <w:r w:rsidR="007648FF">
        <w:t>.)</w:t>
      </w:r>
      <w:r w:rsidR="00786F24">
        <w:t xml:space="preserve">  </w:t>
      </w:r>
      <w:r>
        <w:t xml:space="preserve">At least one other court has followed the </w:t>
      </w:r>
      <w:r w:rsidRPr="00E4176F">
        <w:rPr>
          <w:i/>
          <w:iCs/>
        </w:rPr>
        <w:t>Skilling II</w:t>
      </w:r>
      <w:r>
        <w:t xml:space="preserve"> overwhelming evidence analysis in the context of aiding and abetting.  In </w:t>
      </w:r>
      <w:r w:rsidRPr="00E4176F">
        <w:rPr>
          <w:i/>
          <w:iCs/>
        </w:rPr>
        <w:t>Spriggs v. United States</w:t>
      </w:r>
      <w:r>
        <w:t xml:space="preserve"> (2012) 52 A.3d 878</w:t>
      </w:r>
      <w:r w:rsidR="005646F4">
        <w:t>, the jury was presented with two theories on which the defendant could have been guilty of the charged burglary, either as a principal or as an aider and abettor.  The defendant resided at the residence where the burglary occurred</w:t>
      </w:r>
      <w:r w:rsidR="00927D8A">
        <w:t>,</w:t>
      </w:r>
      <w:r w:rsidR="005646F4">
        <w:t xml:space="preserve"> and the jury was misinstructed on the princip</w:t>
      </w:r>
      <w:r w:rsidR="007648FF">
        <w:t>a</w:t>
      </w:r>
      <w:r w:rsidR="005646F4">
        <w:t>l theory of liability</w:t>
      </w:r>
      <w:r w:rsidR="00927D8A">
        <w:t xml:space="preserve"> related to his residence</w:t>
      </w:r>
      <w:r w:rsidR="005646F4">
        <w:t xml:space="preserve">.  </w:t>
      </w:r>
      <w:r w:rsidR="00927D8A">
        <w:t xml:space="preserve">Citing </w:t>
      </w:r>
      <w:r w:rsidR="00927D8A" w:rsidRPr="00E4176F">
        <w:rPr>
          <w:i/>
          <w:iCs/>
        </w:rPr>
        <w:t>Skilling II</w:t>
      </w:r>
      <w:r w:rsidR="00927D8A">
        <w:t xml:space="preserve"> </w:t>
      </w:r>
      <w:r w:rsidR="0089214A">
        <w:t xml:space="preserve">and </w:t>
      </w:r>
      <w:r w:rsidR="00927D8A">
        <w:t>noting that if “</w:t>
      </w:r>
      <w:r w:rsidR="005646F4" w:rsidRPr="00E4176F">
        <w:rPr>
          <w:color w:val="000000"/>
        </w:rPr>
        <w:t xml:space="preserve">after a thorough examination of the record, [the reviewing court] is able to conclude beyond a reasonable doubt that the jury verdict </w:t>
      </w:r>
      <w:r w:rsidR="005646F4" w:rsidRPr="00E4176F">
        <w:rPr>
          <w:i/>
          <w:iCs/>
          <w:color w:val="000000"/>
        </w:rPr>
        <w:t>would have been</w:t>
      </w:r>
      <w:r w:rsidR="005646F4" w:rsidRPr="00E4176F">
        <w:rPr>
          <w:color w:val="000000"/>
        </w:rPr>
        <w:t xml:space="preserve"> the same absent error</w:t>
      </w:r>
      <w:r w:rsidR="005646F4" w:rsidRPr="005646F4">
        <w:rPr>
          <w:color w:val="000000"/>
        </w:rPr>
        <w:t>,”</w:t>
      </w:r>
      <w:r w:rsidR="005646F4">
        <w:rPr>
          <w:color w:val="000000"/>
        </w:rPr>
        <w:t xml:space="preserve"> the </w:t>
      </w:r>
      <w:r w:rsidR="005646F4" w:rsidRPr="00E4176F">
        <w:rPr>
          <w:i/>
          <w:iCs/>
          <w:color w:val="000000"/>
        </w:rPr>
        <w:t>Spriggs</w:t>
      </w:r>
      <w:r w:rsidR="005646F4">
        <w:rPr>
          <w:color w:val="000000"/>
        </w:rPr>
        <w:t xml:space="preserve"> court found the error harmless given that “</w:t>
      </w:r>
      <w:r w:rsidR="005646F4" w:rsidRPr="005646F4">
        <w:rPr>
          <w:color w:val="000000"/>
        </w:rPr>
        <w:t xml:space="preserve">the evidence of </w:t>
      </w:r>
      <w:r w:rsidR="005646F4">
        <w:rPr>
          <w:color w:val="000000"/>
        </w:rPr>
        <w:t>[defendant’s]</w:t>
      </w:r>
      <w:r w:rsidR="005646F4" w:rsidRPr="005646F4">
        <w:rPr>
          <w:color w:val="000000"/>
        </w:rPr>
        <w:t xml:space="preserve"> guilt under an aiding and abetting theory was overwhelming</w:t>
      </w:r>
      <w:r w:rsidR="00690102">
        <w:rPr>
          <w:color w:val="000000"/>
        </w:rPr>
        <w:t xml:space="preserve">.” </w:t>
      </w:r>
      <w:r w:rsidR="000D1DF2">
        <w:rPr>
          <w:color w:val="000000"/>
        </w:rPr>
        <w:t xml:space="preserve"> </w:t>
      </w:r>
      <w:r w:rsidR="00690102">
        <w:rPr>
          <w:color w:val="000000"/>
        </w:rPr>
        <w:t>(</w:t>
      </w:r>
      <w:r w:rsidR="00690102" w:rsidRPr="00E4176F">
        <w:rPr>
          <w:i/>
          <w:iCs/>
          <w:color w:val="000000"/>
        </w:rPr>
        <w:t>Id</w:t>
      </w:r>
      <w:r w:rsidR="00690102">
        <w:rPr>
          <w:color w:val="000000"/>
        </w:rPr>
        <w:t>. at p. 886</w:t>
      </w:r>
      <w:r w:rsidR="007648FF">
        <w:rPr>
          <w:color w:val="000000"/>
        </w:rPr>
        <w:t>, italics added</w:t>
      </w:r>
      <w:r w:rsidR="00690102">
        <w:rPr>
          <w:color w:val="000000"/>
        </w:rPr>
        <w:t>.)</w:t>
      </w:r>
    </w:p>
  </w:footnote>
  <w:footnote w:id="42">
    <w:p w14:paraId="1A69413C" w14:textId="09C5F204" w:rsidR="00210546" w:rsidRDefault="0061079E">
      <w:pPr>
        <w:pStyle w:val="FootnoteText"/>
      </w:pPr>
      <w:r>
        <w:rPr>
          <w:rStyle w:val="FootnoteReference"/>
        </w:rPr>
        <w:footnoteRef/>
      </w:r>
      <w:r>
        <w:t xml:space="preserve">  See </w:t>
      </w:r>
      <w:r w:rsidRPr="0038776F">
        <w:rPr>
          <w:i/>
          <w:iCs/>
        </w:rPr>
        <w:t>People v. Canizales</w:t>
      </w:r>
      <w:r>
        <w:t xml:space="preserve"> (2019) 7 Cal.5th 591.</w:t>
      </w:r>
    </w:p>
  </w:footnote>
  <w:footnote w:id="43">
    <w:p w14:paraId="269CEF8D" w14:textId="5676E31F" w:rsidR="008C3BA8" w:rsidRPr="00E4176F" w:rsidRDefault="0061079E" w:rsidP="00E4176F">
      <w:pPr>
        <w:widowControl w:val="0"/>
        <w:autoSpaceDE w:val="0"/>
        <w:autoSpaceDN w:val="0"/>
        <w:adjustRightInd w:val="0"/>
        <w:spacing w:line="240" w:lineRule="auto"/>
        <w:rPr>
          <w:color w:val="000000"/>
        </w:rPr>
      </w:pPr>
      <w:r>
        <w:rPr>
          <w:rStyle w:val="FootnoteReference"/>
        </w:rPr>
        <w:footnoteRef/>
      </w:r>
      <w:r>
        <w:t xml:space="preserve"> </w:t>
      </w:r>
      <w:r w:rsidR="000D1DF2">
        <w:t xml:space="preserve"> </w:t>
      </w:r>
      <w:r w:rsidR="005A6ECA">
        <w:rPr>
          <w:rFonts w:eastAsia="Calibri"/>
        </w:rPr>
        <w:t xml:space="preserve">Moreover, our high court </w:t>
      </w:r>
      <w:r w:rsidR="009A36F4">
        <w:rPr>
          <w:rFonts w:eastAsia="Calibri"/>
        </w:rPr>
        <w:t xml:space="preserve">in </w:t>
      </w:r>
      <w:r w:rsidR="009A36F4" w:rsidRPr="00FF53F2">
        <w:rPr>
          <w:rFonts w:eastAsia="Calibri"/>
          <w:i/>
          <w:iCs/>
        </w:rPr>
        <w:t>Aledamat</w:t>
      </w:r>
      <w:r w:rsidR="009A36F4">
        <w:rPr>
          <w:rFonts w:eastAsia="Calibri"/>
        </w:rPr>
        <w:t xml:space="preserve"> </w:t>
      </w:r>
      <w:r w:rsidR="005A6ECA">
        <w:rPr>
          <w:rFonts w:eastAsia="Calibri"/>
        </w:rPr>
        <w:t xml:space="preserve">did not </w:t>
      </w:r>
      <w:r w:rsidR="005A6ECA" w:rsidRPr="004B74E3">
        <w:rPr>
          <w:rFonts w:eastAsia="Calibri"/>
        </w:rPr>
        <w:t xml:space="preserve">focus on the likelihood that the jury </w:t>
      </w:r>
      <w:r w:rsidR="005A6ECA">
        <w:rPr>
          <w:rFonts w:eastAsia="Calibri"/>
        </w:rPr>
        <w:t>“</w:t>
      </w:r>
      <w:r w:rsidR="005A6ECA" w:rsidRPr="0038776F">
        <w:rPr>
          <w:rFonts w:eastAsia="Calibri"/>
        </w:rPr>
        <w:t>would have applied the erroneous instruction</w:t>
      </w:r>
      <w:r w:rsidR="005A6ECA">
        <w:rPr>
          <w:rFonts w:eastAsia="Calibri"/>
        </w:rPr>
        <w:t xml:space="preserve">” as suggested in </w:t>
      </w:r>
      <w:r w:rsidR="005A6ECA" w:rsidRPr="0038776F">
        <w:rPr>
          <w:rFonts w:eastAsia="Calibri"/>
          <w:i/>
          <w:iCs/>
        </w:rPr>
        <w:t>Thompkins</w:t>
      </w:r>
      <w:r w:rsidR="005A6ECA">
        <w:t xml:space="preserve">.  </w:t>
      </w:r>
      <w:r>
        <w:t xml:space="preserve">In </w:t>
      </w:r>
      <w:r w:rsidRPr="007004C7">
        <w:rPr>
          <w:i/>
          <w:iCs/>
        </w:rPr>
        <w:t>Aledamat</w:t>
      </w:r>
      <w:r>
        <w:t xml:space="preserve">, the alternative-theory error related to the trial court’s instruction on the definition of “deadly weapon” in the </w:t>
      </w:r>
      <w:r>
        <w:t>assault with a deadly weapon instruction.  It was alleged that a box cutter wielded by the defendant was the deadly weapon.  The instruction told the jury an implement could be a deadly weapon either because it is “</w:t>
      </w:r>
      <w:r>
        <w:rPr>
          <w:color w:val="000000"/>
        </w:rPr>
        <w:t xml:space="preserve">inherently deadly </w:t>
      </w:r>
      <w:r w:rsidRPr="007004C7">
        <w:rPr>
          <w:i/>
          <w:iCs/>
          <w:color w:val="000000"/>
        </w:rPr>
        <w:t>or</w:t>
      </w:r>
      <w:r>
        <w:rPr>
          <w:color w:val="000000"/>
        </w:rPr>
        <w:t xml:space="preserve"> deadly in the way de</w:t>
      </w:r>
      <w:r>
        <w:rPr>
          <w:color w:val="000000"/>
        </w:rPr>
        <w:t>fendant used it.”</w:t>
      </w:r>
      <w:r>
        <w:t xml:space="preserve">  (</w:t>
      </w:r>
      <w:r w:rsidRPr="00D467E3">
        <w:rPr>
          <w:i/>
          <w:iCs/>
        </w:rPr>
        <w:t>Aledamat</w:t>
      </w:r>
      <w:r>
        <w:t xml:space="preserve">, </w:t>
      </w:r>
      <w:r w:rsidRPr="00D467E3">
        <w:rPr>
          <w:i/>
          <w:iCs/>
        </w:rPr>
        <w:t>supra</w:t>
      </w:r>
      <w:r>
        <w:t>, 8 Cal.5th at p. 6, italics added.)  Because a box cutter is not inherently deadly, it was error to give the jury that alternative theory.  (</w:t>
      </w:r>
      <w:r w:rsidRPr="00D467E3">
        <w:rPr>
          <w:i/>
          <w:iCs/>
        </w:rPr>
        <w:t>Ibid</w:t>
      </w:r>
      <w:r>
        <w:t xml:space="preserve">.)  The circumstances the </w:t>
      </w:r>
      <w:r w:rsidRPr="007004C7">
        <w:rPr>
          <w:i/>
          <w:iCs/>
        </w:rPr>
        <w:t>Aledamat</w:t>
      </w:r>
      <w:r>
        <w:t xml:space="preserve"> court focused upon in concluding that th</w:t>
      </w:r>
      <w:r>
        <w:t xml:space="preserve">e error </w:t>
      </w:r>
      <w:r w:rsidR="00235E63">
        <w:t xml:space="preserve">was </w:t>
      </w:r>
      <w:r>
        <w:t>harmless related primarily to the</w:t>
      </w:r>
      <w:r w:rsidR="009A36F4">
        <w:t xml:space="preserve"> elements </w:t>
      </w:r>
      <w:r w:rsidR="00EA37F8">
        <w:t xml:space="preserve">for assault with a deadly </w:t>
      </w:r>
      <w:r w:rsidR="004014D4">
        <w:t xml:space="preserve">weapon </w:t>
      </w:r>
      <w:r w:rsidR="009A36F4">
        <w:t>in the</w:t>
      </w:r>
      <w:r>
        <w:t xml:space="preserve"> instructions.  It reasoned that defendant’s argument on appeal for prejudice presupposed that under the instructions, the jury would believe there were two ways </w:t>
      </w:r>
      <w:r>
        <w:t>it could find the box cutter to be a deadly weapon – inherently deadly and how the defendant used it.  (</w:t>
      </w:r>
      <w:r w:rsidRPr="007004C7">
        <w:rPr>
          <w:i/>
          <w:iCs/>
        </w:rPr>
        <w:t>Id</w:t>
      </w:r>
      <w:r>
        <w:t>. at p. 13.)  However, t</w:t>
      </w:r>
      <w:r>
        <w:rPr>
          <w:color w:val="000000"/>
        </w:rPr>
        <w:t>he court concluded it was “unlikely” the jury would so view the instructions.  (</w:t>
      </w:r>
      <w:r w:rsidRPr="007004C7">
        <w:rPr>
          <w:i/>
          <w:iCs/>
          <w:color w:val="000000"/>
        </w:rPr>
        <w:t>Ibid</w:t>
      </w:r>
      <w:r>
        <w:rPr>
          <w:color w:val="000000"/>
        </w:rPr>
        <w:t xml:space="preserve">.) </w:t>
      </w:r>
      <w:r w:rsidR="007E79E7">
        <w:rPr>
          <w:color w:val="000000"/>
        </w:rPr>
        <w:t xml:space="preserve"> </w:t>
      </w:r>
      <w:r>
        <w:rPr>
          <w:color w:val="000000"/>
        </w:rPr>
        <w:t>It reasoned that under the instruction</w:t>
      </w:r>
      <w:r>
        <w:rPr>
          <w:color w:val="000000"/>
        </w:rPr>
        <w:t xml:space="preserve">s (we need not detail here), it seemed “unlikely the jury would simply view the box cutter as inherently deadly without considering the circumstances, including how defendant used it.” </w:t>
      </w:r>
      <w:r w:rsidR="007E79E7">
        <w:rPr>
          <w:color w:val="000000"/>
        </w:rPr>
        <w:t xml:space="preserve"> </w:t>
      </w:r>
      <w:r>
        <w:rPr>
          <w:color w:val="000000"/>
        </w:rPr>
        <w:t>(</w:t>
      </w:r>
      <w:r w:rsidRPr="007004C7">
        <w:rPr>
          <w:i/>
          <w:iCs/>
          <w:color w:val="000000"/>
        </w:rPr>
        <w:t>I</w:t>
      </w:r>
      <w:r w:rsidR="00571804">
        <w:rPr>
          <w:i/>
          <w:iCs/>
          <w:color w:val="000000"/>
        </w:rPr>
        <w:t xml:space="preserve">d. </w:t>
      </w:r>
      <w:r w:rsidR="00571804" w:rsidRPr="00571804">
        <w:rPr>
          <w:color w:val="000000"/>
        </w:rPr>
        <w:t>at p. 14</w:t>
      </w:r>
      <w:r>
        <w:rPr>
          <w:color w:val="000000"/>
        </w:rPr>
        <w:t>.)</w:t>
      </w:r>
      <w:r w:rsidR="007E79E7">
        <w:rPr>
          <w:color w:val="000000"/>
        </w:rPr>
        <w:t xml:space="preserve"> </w:t>
      </w:r>
      <w:r>
        <w:rPr>
          <w:color w:val="000000"/>
        </w:rPr>
        <w:t xml:space="preserve"> The opinion, contrary to the interpretation of the </w:t>
      </w:r>
      <w:r w:rsidRPr="00D467E3">
        <w:rPr>
          <w:i/>
          <w:iCs/>
        </w:rPr>
        <w:t>Th</w:t>
      </w:r>
      <w:r w:rsidRPr="00D467E3">
        <w:rPr>
          <w:i/>
          <w:iCs/>
        </w:rPr>
        <w:t>ompkins</w:t>
      </w:r>
      <w:r>
        <w:rPr>
          <w:color w:val="000000"/>
        </w:rPr>
        <w:t xml:space="preserve"> court, did not </w:t>
      </w:r>
      <w:r w:rsidRPr="00A82546">
        <w:rPr>
          <w:color w:val="000000"/>
        </w:rPr>
        <w:t xml:space="preserve">consider </w:t>
      </w:r>
      <w:r>
        <w:rPr>
          <w:color w:val="000000"/>
        </w:rPr>
        <w:t>“</w:t>
      </w:r>
      <w:r w:rsidRPr="00A82546">
        <w:rPr>
          <w:color w:val="000000"/>
        </w:rPr>
        <w:t>the likelihood that the jurors would have applied the erroneous instruction</w:t>
      </w:r>
      <w:r>
        <w:rPr>
          <w:color w:val="000000"/>
        </w:rPr>
        <w:t xml:space="preserve">.” </w:t>
      </w:r>
      <w:r w:rsidR="00571804">
        <w:rPr>
          <w:color w:val="000000"/>
        </w:rPr>
        <w:t xml:space="preserve"> </w:t>
      </w:r>
      <w:r>
        <w:rPr>
          <w:color w:val="000000"/>
        </w:rPr>
        <w:t xml:space="preserve">(See </w:t>
      </w:r>
      <w:r w:rsidRPr="007004C7">
        <w:rPr>
          <w:i/>
          <w:iCs/>
          <w:color w:val="000000"/>
        </w:rPr>
        <w:t>Thompkins</w:t>
      </w:r>
      <w:r>
        <w:rPr>
          <w:color w:val="000000"/>
        </w:rPr>
        <w:t xml:space="preserve">, </w:t>
      </w:r>
      <w:r w:rsidRPr="007004C7">
        <w:rPr>
          <w:i/>
          <w:iCs/>
          <w:color w:val="000000"/>
        </w:rPr>
        <w:t>supra</w:t>
      </w:r>
      <w:r>
        <w:rPr>
          <w:color w:val="000000"/>
        </w:rPr>
        <w:t xml:space="preserve">, </w:t>
      </w:r>
      <w:r w:rsidR="00571804">
        <w:t>50 Cal.App.5</w:t>
      </w:r>
      <w:r w:rsidR="00571804" w:rsidRPr="00571804">
        <w:t>th</w:t>
      </w:r>
      <w:r w:rsidR="00571804">
        <w:t xml:space="preserve"> </w:t>
      </w:r>
      <w:r>
        <w:rPr>
          <w:color w:val="000000"/>
        </w:rPr>
        <w:t>at p. 399.)  It considered whether under the instructions given, the jury would have found the weapon inhe</w:t>
      </w:r>
      <w:r>
        <w:rPr>
          <w:color w:val="000000"/>
        </w:rPr>
        <w:t>rently dangerous without also finding it was deadly in the way defendant used it.  (</w:t>
      </w:r>
      <w:r w:rsidR="008F3940" w:rsidRPr="00D467E3">
        <w:rPr>
          <w:i/>
          <w:iCs/>
        </w:rPr>
        <w:t>Aledamat</w:t>
      </w:r>
      <w:r w:rsidR="008F3940">
        <w:t xml:space="preserve">, </w:t>
      </w:r>
      <w:r>
        <w:rPr>
          <w:color w:val="000000"/>
        </w:rPr>
        <w:t>at pp. 14-15.)</w:t>
      </w:r>
    </w:p>
  </w:footnote>
  <w:footnote w:id="44">
    <w:p w14:paraId="548B127E" w14:textId="31ABF156" w:rsidR="005B7CD4" w:rsidRDefault="0061079E" w:rsidP="00E4176F">
      <w:pPr>
        <w:pStyle w:val="FootnoteText"/>
        <w:jc w:val="both"/>
      </w:pPr>
      <w:r>
        <w:rPr>
          <w:rStyle w:val="FootnoteReference"/>
        </w:rPr>
        <w:footnoteRef/>
      </w:r>
      <w:r>
        <w:t xml:space="preserve">  It is also well-settled that mere presence at the scene</w:t>
      </w:r>
      <w:r w:rsidR="00264063" w:rsidRPr="00264063">
        <w:t xml:space="preserve"> of a crime is not sufficient</w:t>
      </w:r>
      <w:r w:rsidR="00D87DB7">
        <w:t xml:space="preserve"> in and of itself</w:t>
      </w:r>
      <w:r w:rsidR="00264063" w:rsidRPr="00264063">
        <w:t xml:space="preserve"> to constitute aiding and abetting, nor is the failure to take action to prevent a crime</w:t>
      </w:r>
      <w:r w:rsidR="00264063">
        <w:t>.  (</w:t>
      </w:r>
      <w:r w:rsidR="00264063" w:rsidRPr="00E4176F">
        <w:rPr>
          <w:i/>
          <w:iCs/>
        </w:rPr>
        <w:t>Lara</w:t>
      </w:r>
      <w:r w:rsidR="00264063">
        <w:t xml:space="preserve">, </w:t>
      </w:r>
      <w:r w:rsidR="00264063" w:rsidRPr="00E4176F">
        <w:rPr>
          <w:i/>
          <w:iCs/>
        </w:rPr>
        <w:t>supra</w:t>
      </w:r>
      <w:r w:rsidR="00264063">
        <w:t xml:space="preserve">, </w:t>
      </w:r>
      <w:r w:rsidR="00264063" w:rsidRPr="00A0028B">
        <w:rPr>
          <w:color w:val="000000"/>
        </w:rPr>
        <w:t xml:space="preserve">9 Cal.App.5th </w:t>
      </w:r>
      <w:r w:rsidR="00264063">
        <w:rPr>
          <w:color w:val="000000"/>
        </w:rPr>
        <w:t>at p.</w:t>
      </w:r>
      <w:r w:rsidR="00264063" w:rsidRPr="00A0028B">
        <w:rPr>
          <w:color w:val="000000"/>
        </w:rPr>
        <w:t xml:space="preserve"> 322</w:t>
      </w:r>
      <w:r w:rsidR="00264063">
        <w:rPr>
          <w:color w:val="000000"/>
        </w:rPr>
        <w:t>.)</w:t>
      </w:r>
      <w:r w:rsidR="0031323B">
        <w:rPr>
          <w:color w:val="000000"/>
        </w:rPr>
        <w:t xml:space="preserve">  </w:t>
      </w:r>
    </w:p>
  </w:footnote>
  <w:footnote w:id="45">
    <w:p w14:paraId="6C35E7ED" w14:textId="24B5F246" w:rsidR="0000697E" w:rsidRDefault="0061079E" w:rsidP="0000697E">
      <w:pPr>
        <w:pStyle w:val="FootnoteText"/>
      </w:pPr>
      <w:r>
        <w:rPr>
          <w:rStyle w:val="FootnoteReference"/>
        </w:rPr>
        <w:footnoteRef/>
      </w:r>
      <w:r>
        <w:t xml:space="preserve">  Regarding evading a peace officer with </w:t>
      </w:r>
      <w:r w:rsidRPr="00116897">
        <w:t>wanton disregard for safety</w:t>
      </w:r>
      <w:r>
        <w:t>, the jury was instructed in pertinent part:  “A perso</w:t>
      </w:r>
      <w:r>
        <w:t xml:space="preserve">n acts with </w:t>
      </w:r>
      <w:r w:rsidRPr="005769A2">
        <w:rPr>
          <w:i/>
          <w:iCs/>
        </w:rPr>
        <w:t>wanton disregard for safety</w:t>
      </w:r>
      <w:r>
        <w:t xml:space="preserve"> when </w:t>
      </w:r>
      <w:r w:rsidR="00D679CE">
        <w:t xml:space="preserve">(1) </w:t>
      </w:r>
      <w:r>
        <w:t>he or she is aware that his or her actions present a substantial and unjustifiable risk of harm</w:t>
      </w:r>
      <w:r w:rsidR="00D679CE">
        <w:t>,</w:t>
      </w:r>
      <w:r>
        <w:t xml:space="preserve"> [and] (2) he or she intentionally ignores that risk. </w:t>
      </w:r>
      <w:r w:rsidR="00D679CE">
        <w:t xml:space="preserve"> </w:t>
      </w:r>
      <w:r>
        <w:t xml:space="preserve">[¶] </w:t>
      </w:r>
      <w:r w:rsidR="00D679CE" w:rsidRPr="005769A2">
        <w:rPr>
          <w:i/>
          <w:iCs/>
        </w:rPr>
        <w:t xml:space="preserve"> </w:t>
      </w:r>
      <w:r w:rsidRPr="005769A2">
        <w:rPr>
          <w:i/>
          <w:iCs/>
        </w:rPr>
        <w:t>Driving with willful or wanton disregard for the sa</w:t>
      </w:r>
      <w:r w:rsidRPr="005769A2">
        <w:rPr>
          <w:i/>
          <w:iCs/>
        </w:rPr>
        <w:t>fety of persons or property</w:t>
      </w:r>
      <w:r>
        <w:t xml:space="preserve"> includes, but is not limited to, causing damage to property while driving or committing </w:t>
      </w:r>
      <w:r w:rsidRPr="005769A2">
        <w:rPr>
          <w:i/>
          <w:iCs/>
        </w:rPr>
        <w:t>three or more violations that are each assigned a traffic violation point</w:t>
      </w:r>
      <w:r>
        <w:t xml:space="preserve">.  [¶] </w:t>
      </w:r>
      <w:r w:rsidR="00D5755C">
        <w:t xml:space="preserve"> </w:t>
      </w:r>
      <w:r>
        <w:t>Driving at an Unsafe Speed (Vehicle Code § 22350)</w:t>
      </w:r>
      <w:r w:rsidR="00D679CE">
        <w:t>,</w:t>
      </w:r>
      <w:r>
        <w:t xml:space="preserve"> Driving </w:t>
      </w:r>
      <w:r>
        <w:t>in Excess of Posted Speed Limit (Vehicle Code § 22348), Unsafe Lane Change (Vehicle Code § 21750), and Failure to Drive on the Right Side of the Roadway (Vehicle Code § 21650) are each assigned a traffic violation point.”</w:t>
      </w:r>
      <w:r w:rsidR="00A27AFF">
        <w:t xml:space="preserve"> </w:t>
      </w:r>
      <w:r w:rsidR="005769A2">
        <w:t xml:space="preserve"> </w:t>
      </w:r>
      <w:r w:rsidR="00A27AFF">
        <w:t xml:space="preserve">(Italics added.) </w:t>
      </w:r>
      <w:r>
        <w:t xml:space="preserve"> </w:t>
      </w:r>
    </w:p>
  </w:footnote>
  <w:footnote w:id="46">
    <w:p w14:paraId="531D889B" w14:textId="6BDCF355" w:rsidR="003753EB" w:rsidRDefault="0061079E">
      <w:pPr>
        <w:pStyle w:val="FootnoteText"/>
      </w:pPr>
      <w:r>
        <w:rPr>
          <w:rStyle w:val="FootnoteReference"/>
        </w:rPr>
        <w:footnoteRef/>
      </w:r>
      <w:r>
        <w:t xml:space="preserve">  To be clear</w:t>
      </w:r>
      <w:r>
        <w:t xml:space="preserve">, we do not conclude that because the jury found the target offense, it necessarily found implied malice murder as a matter of law.  </w:t>
      </w:r>
      <w:r w:rsidR="00FF48FD">
        <w:t>As noted, e</w:t>
      </w:r>
      <w:r>
        <w:t xml:space="preserve">vading a peace officer with wanton disregard for safety can be </w:t>
      </w:r>
      <w:r w:rsidR="001E4177">
        <w:t>committed</w:t>
      </w:r>
      <w:r>
        <w:t xml:space="preserve"> without endangering people.  Risk of da</w:t>
      </w:r>
      <w:r>
        <w:t>nger to</w:t>
      </w:r>
      <w:r w:rsidR="00E67EC2">
        <w:t xml:space="preserve"> and damage to property or three or more Vehicle Code violations are </w:t>
      </w:r>
      <w:r w:rsidR="00E67EC2" w:rsidRPr="008F7F32">
        <w:t xml:space="preserve">sufficient.  </w:t>
      </w:r>
      <w:r w:rsidR="00CC4A25" w:rsidRPr="005769A2">
        <w:t xml:space="preserve">Thus, the elements of the target offense and implied malice do not align in the abstract and a finding of culpability as to the target offense </w:t>
      </w:r>
      <w:r w:rsidR="000A2618">
        <w:t xml:space="preserve">here </w:t>
      </w:r>
      <w:r w:rsidR="00CC4A25" w:rsidRPr="005769A2">
        <w:t xml:space="preserve">does not </w:t>
      </w:r>
      <w:r w:rsidR="00CC4A25" w:rsidRPr="005769A2">
        <w:rPr>
          <w:i/>
          <w:iCs/>
        </w:rPr>
        <w:t xml:space="preserve">necessarily </w:t>
      </w:r>
      <w:r w:rsidR="00CC4A25" w:rsidRPr="005769A2">
        <w:t>equate to a finding of implied malice.</w:t>
      </w:r>
      <w:r w:rsidR="00CC4A25" w:rsidRPr="008F7F32">
        <w:t xml:space="preserve">  </w:t>
      </w:r>
      <w:r w:rsidR="00E67EC2" w:rsidRPr="008F7F32">
        <w:t xml:space="preserve">(See </w:t>
      </w:r>
      <w:r w:rsidR="00E67EC2" w:rsidRPr="008F7F32">
        <w:rPr>
          <w:i/>
          <w:iCs/>
        </w:rPr>
        <w:t>People</w:t>
      </w:r>
      <w:r w:rsidR="00E67EC2" w:rsidRPr="00E4176F">
        <w:rPr>
          <w:i/>
          <w:iCs/>
        </w:rPr>
        <w:t xml:space="preserve"> v. Howard</w:t>
      </w:r>
      <w:r w:rsidR="00E67EC2">
        <w:t xml:space="preserve"> (2005) 34 Cal.App.4th 1129.)  Our conclusion </w:t>
      </w:r>
      <w:r w:rsidR="0000697E">
        <w:t xml:space="preserve">here </w:t>
      </w:r>
      <w:r w:rsidR="00E67EC2">
        <w:t xml:space="preserve">is based on the </w:t>
      </w:r>
      <w:r w:rsidR="00E67EC2" w:rsidRPr="005769A2">
        <w:rPr>
          <w:i/>
          <w:iCs/>
        </w:rPr>
        <w:t>evidence</w:t>
      </w:r>
      <w:r w:rsidR="00E67EC2">
        <w:t xml:space="preserve"> the jury must have accepted in the context of this case to conclude </w:t>
      </w:r>
      <w:r w:rsidR="00361B37">
        <w:t>Roman</w:t>
      </w:r>
      <w:r w:rsidR="00E67EC2">
        <w:t xml:space="preserve"> aided and abetted the target offense</w:t>
      </w:r>
      <w:r w:rsidR="00010DB3">
        <w:t>, not on the elements the jury necessarily found as to the target offense</w:t>
      </w:r>
      <w:r w:rsidR="00E67EC2">
        <w:t>.</w:t>
      </w:r>
      <w:r w:rsidR="000D7FDC">
        <w:t xml:space="preserve">  Accordingly, </w:t>
      </w:r>
      <w:r w:rsidR="00010DB3">
        <w:t xml:space="preserve">while </w:t>
      </w:r>
      <w:r w:rsidR="00CC4A25">
        <w:t xml:space="preserve">we employ </w:t>
      </w:r>
      <w:r w:rsidR="00010DB3">
        <w:t xml:space="preserve">an </w:t>
      </w:r>
      <w:r w:rsidR="00CC4A25">
        <w:t>analysis her</w:t>
      </w:r>
      <w:r w:rsidR="00010DB3">
        <w:t xml:space="preserve">e that is similar to the analysis in </w:t>
      </w:r>
      <w:r w:rsidR="00010DB3" w:rsidRPr="005769A2">
        <w:rPr>
          <w:i/>
          <w:iCs/>
        </w:rPr>
        <w:t>Aledamat</w:t>
      </w:r>
      <w:r w:rsidR="00CC4A25">
        <w:t xml:space="preserve">, </w:t>
      </w:r>
      <w:r w:rsidR="000D7FDC">
        <w:t>we do not employ the</w:t>
      </w:r>
      <w:r w:rsidR="00A6360B">
        <w:t xml:space="preserve"> precise</w:t>
      </w:r>
      <w:r w:rsidR="000D7FDC">
        <w:t xml:space="preserve"> method </w:t>
      </w:r>
      <w:r w:rsidR="00010DB3">
        <w:t xml:space="preserve">that </w:t>
      </w:r>
      <w:r w:rsidR="000D7FDC">
        <w:t>court used to determine harmlessness:</w:t>
      </w:r>
      <w:r w:rsidR="00D679CE">
        <w:t xml:space="preserve"> </w:t>
      </w:r>
      <w:r w:rsidR="000D7FDC">
        <w:t xml:space="preserve"> </w:t>
      </w:r>
      <w:r w:rsidR="00E4018C">
        <w:t>“</w:t>
      </w:r>
      <w:r w:rsidR="000D7FDC" w:rsidRPr="000D7FDC">
        <w:t xml:space="preserve">The reviewing court examines </w:t>
      </w:r>
      <w:r w:rsidR="000D7FDC" w:rsidRPr="005769A2">
        <w:rPr>
          <w:i/>
          <w:iCs/>
        </w:rPr>
        <w:t>what the jury necessarily did find</w:t>
      </w:r>
      <w:r w:rsidR="00FF48FD">
        <w:t xml:space="preserve"> [as to specific elements]</w:t>
      </w:r>
      <w:r w:rsidR="000D7FDC" w:rsidRPr="000D7FDC">
        <w:t xml:space="preserve"> and asks whether it would be impossible, on the evidence, for the jury to find </w:t>
      </w:r>
      <w:r w:rsidR="000D7FDC" w:rsidRPr="005769A2">
        <w:rPr>
          <w:i/>
          <w:iCs/>
        </w:rPr>
        <w:t>that</w:t>
      </w:r>
      <w:r w:rsidR="000D7FDC" w:rsidRPr="000D7FDC">
        <w:t xml:space="preserve"> without </w:t>
      </w:r>
      <w:r w:rsidR="000D7FDC" w:rsidRPr="005769A2">
        <w:rPr>
          <w:i/>
          <w:iCs/>
        </w:rPr>
        <w:t>also</w:t>
      </w:r>
      <w:r w:rsidR="000D7FDC" w:rsidRPr="000D7FDC">
        <w:t xml:space="preserve"> finding the missing fact as well.</w:t>
      </w:r>
      <w:r w:rsidR="00E4018C">
        <w:t>”</w:t>
      </w:r>
      <w:r w:rsidR="00FF48FD">
        <w:t xml:space="preserve"> </w:t>
      </w:r>
      <w:r w:rsidR="00D679CE">
        <w:t xml:space="preserve"> </w:t>
      </w:r>
      <w:r w:rsidR="00FF48FD">
        <w:t>(</w:t>
      </w:r>
      <w:r w:rsidR="00FF48FD" w:rsidRPr="00E4176F">
        <w:rPr>
          <w:i/>
          <w:iCs/>
        </w:rPr>
        <w:t>Aledamat</w:t>
      </w:r>
      <w:r w:rsidR="00FF48FD">
        <w:t xml:space="preserve">, </w:t>
      </w:r>
      <w:r w:rsidR="00FF48FD" w:rsidRPr="00E4176F">
        <w:rPr>
          <w:i/>
          <w:iCs/>
        </w:rPr>
        <w:t>supra</w:t>
      </w:r>
      <w:r w:rsidR="00FF48FD">
        <w:t xml:space="preserve">, </w:t>
      </w:r>
      <w:r w:rsidR="00C51E85">
        <w:t xml:space="preserve">8 Cal.5th at </w:t>
      </w:r>
      <w:r w:rsidR="00FF48FD">
        <w:t>pp. 14-15</w:t>
      </w:r>
      <w:r w:rsidR="00CC4A25">
        <w:t>, italics added</w:t>
      </w:r>
      <w:r w:rsidR="00FF48FD">
        <w:t xml:space="preserve"> [Concluding that n</w:t>
      </w:r>
      <w:r w:rsidR="00FF48FD" w:rsidRPr="00FF48FD">
        <w:t xml:space="preserve">o reasonable jury that made all of </w:t>
      </w:r>
      <w:r w:rsidR="00C51E85">
        <w:t>the</w:t>
      </w:r>
      <w:r w:rsidR="00FF48FD" w:rsidRPr="00FF48FD">
        <w:t xml:space="preserve"> findings </w:t>
      </w:r>
      <w:r w:rsidR="00C51E85">
        <w:t xml:space="preserve">necessary to find the elements of assault with a deadly weapon </w:t>
      </w:r>
      <w:r w:rsidR="00FF48FD" w:rsidRPr="00FF48FD">
        <w:t>could have failed to find that defendant used the box cutter in a way that is capable of causing or likely to cause death or great bodily injury</w:t>
      </w:r>
      <w:r w:rsidR="00C51E85">
        <w:t>].)</w:t>
      </w:r>
      <w:r w:rsidR="00A6360B">
        <w:t xml:space="preserve"> </w:t>
      </w:r>
    </w:p>
  </w:footnote>
  <w:footnote w:id="47">
    <w:p w14:paraId="63E07F9E" w14:textId="1C5F202D" w:rsidR="00194646" w:rsidRDefault="0061079E">
      <w:pPr>
        <w:pStyle w:val="FootnoteText"/>
      </w:pPr>
      <w:r>
        <w:rPr>
          <w:rStyle w:val="FootnoteReference"/>
        </w:rPr>
        <w:footnoteRef/>
      </w:r>
      <w:r w:rsidR="001E7F00">
        <w:t xml:space="preserve"> </w:t>
      </w:r>
      <w:r w:rsidR="00D5755C">
        <w:t xml:space="preserve"> </w:t>
      </w:r>
      <w:r w:rsidRPr="00FB519B">
        <w:t>Roman’s counsel had provided a statement in mitigation emphasizing Roman’s youth and attached reports chronicling interviews with Roman’s friends who described Roman as drug free until he suffe</w:t>
      </w:r>
      <w:r w:rsidRPr="00FB519B">
        <w:t>red a 2011 car crash and was prescribed pain medication.  At sentencing, Roman’s counsel</w:t>
      </w:r>
      <w:r w:rsidR="00E2435C">
        <w:t xml:space="preserve"> urged consideration of </w:t>
      </w:r>
      <w:r w:rsidRPr="00FB519B">
        <w:t>Roman’s youth:  “The conduct of Roman Glukhoy and his brother … shows a lack of maturity, a lack of an appreciation of risk, a lack of impulse c</w:t>
      </w:r>
      <w:r w:rsidRPr="00FB519B">
        <w:t xml:space="preserve">ontrol, things that are consistent with adolescent thinking, and things that they can’t proceed in life thinking that way.”  He also cited Roman’s remorse. </w:t>
      </w:r>
    </w:p>
  </w:footnote>
  <w:footnote w:id="48">
    <w:p w14:paraId="368CC01E" w14:textId="4D4403E1" w:rsidR="00194646" w:rsidRDefault="0061079E" w:rsidP="00A661FE">
      <w:pPr>
        <w:pStyle w:val="bodytext"/>
        <w:spacing w:line="240" w:lineRule="auto"/>
        <w:ind w:firstLine="0"/>
      </w:pPr>
      <w:r>
        <w:rPr>
          <w:rStyle w:val="FootnoteReference"/>
        </w:rPr>
        <w:footnoteRef/>
      </w:r>
      <w:r>
        <w:t xml:space="preserve"> </w:t>
      </w:r>
      <w:r w:rsidR="00D5755C">
        <w:t xml:space="preserve"> </w:t>
      </w:r>
      <w:r>
        <w:t>And while Roman maintains his crimes did not</w:t>
      </w:r>
      <w:r w:rsidR="00C12679">
        <w:t>,</w:t>
      </w:r>
      <w:r>
        <w:t xml:space="preserve"> </w:t>
      </w:r>
      <w:r w:rsidR="00C12679">
        <w:t xml:space="preserve">as the probation report reflected, </w:t>
      </w:r>
      <w:r>
        <w:t>indicate planni</w:t>
      </w:r>
      <w:r>
        <w:t>ng, sophistication, or professionalism</w:t>
      </w:r>
      <w:r w:rsidR="00C12679">
        <w:t>,</w:t>
      </w:r>
      <w:r>
        <w:t xml:space="preserve"> the record </w:t>
      </w:r>
      <w:r w:rsidR="00C12679">
        <w:t>suggests</w:t>
      </w:r>
      <w:r>
        <w:t xml:space="preserve"> otherwise.  Roman selected a “safe” </w:t>
      </w:r>
      <w:r w:rsidR="00C12679">
        <w:t>place and time</w:t>
      </w:r>
      <w:r>
        <w:t xml:space="preserve"> to burglarize car</w:t>
      </w:r>
      <w:r w:rsidR="003019F2">
        <w:t>s</w:t>
      </w:r>
      <w:r>
        <w:t>, noting the rain would conceal their activities.  And he and Ruslan were able to evade numerous pursuing officer</w:t>
      </w:r>
      <w:r w:rsidR="002263C5">
        <w:t>s</w:t>
      </w:r>
      <w:r>
        <w:t xml:space="preserve"> for a signif</w:t>
      </w:r>
      <w:r>
        <w:t xml:space="preserve">icant period of time.  </w:t>
      </w:r>
    </w:p>
  </w:footnote>
  <w:footnote w:id="49">
    <w:p w14:paraId="50B31211" w14:textId="2ED79F65" w:rsidR="00A661FE" w:rsidRDefault="0061079E">
      <w:pPr>
        <w:pStyle w:val="FootnoteText"/>
      </w:pPr>
      <w:r>
        <w:rPr>
          <w:rStyle w:val="FootnoteReference"/>
        </w:rPr>
        <w:footnoteRef/>
      </w:r>
      <w:r>
        <w:t xml:space="preserve"> </w:t>
      </w:r>
      <w:r w:rsidR="00D5755C">
        <w:t xml:space="preserve"> </w:t>
      </w:r>
      <w:r>
        <w:t>Roman’s prior offense</w:t>
      </w:r>
      <w:r w:rsidR="00CD4BFB">
        <w:t>s, including carrying a concealed stolen weapon and receipt of stolen property,</w:t>
      </w:r>
      <w:r>
        <w:t xml:space="preserve"> date back to 2012 and continue to 2013 (the </w:t>
      </w:r>
      <w:r w:rsidR="004F0851">
        <w:t xml:space="preserve">murders </w:t>
      </w:r>
      <w:r>
        <w:t xml:space="preserve">occurred in April 2014). </w:t>
      </w:r>
    </w:p>
  </w:footnote>
  <w:footnote w:id="50">
    <w:p w14:paraId="3B3EB200" w14:textId="7DA2786E" w:rsidR="00194646" w:rsidRDefault="0061079E" w:rsidP="00D325F4">
      <w:pPr>
        <w:pStyle w:val="FootnoteText"/>
      </w:pPr>
      <w:r>
        <w:rPr>
          <w:rStyle w:val="FootnoteReference"/>
        </w:rPr>
        <w:footnoteRef/>
      </w:r>
      <w:r w:rsidR="00D5755C">
        <w:t xml:space="preserve"> </w:t>
      </w:r>
      <w:r>
        <w:t xml:space="preserve"> Indeed, two days before sentencing, Roman’s counsel was present at a hearing where Ruslan’s counsel cited section 3051 to the trial court: </w:t>
      </w:r>
      <w:r w:rsidR="00D92212">
        <w:t xml:space="preserve"> </w:t>
      </w:r>
      <w:r>
        <w:t>“Based on the way the laws have been evolving regarding youthful offenders, and 3051 in particular allows for parol</w:t>
      </w:r>
      <w:r>
        <w:t>e on youthful people that were sentenced before they were to turn 23</w:t>
      </w:r>
      <w:r w:rsidR="00D92212">
        <w:t> . . . .</w:t>
      </w:r>
      <w:r>
        <w:t xml:space="preserve">” </w:t>
      </w:r>
      <w:r w:rsidRPr="009A6910">
        <w:t xml:space="preserve"> </w:t>
      </w:r>
    </w:p>
  </w:footnote>
  <w:footnote w:id="51">
    <w:p w14:paraId="384A1159" w14:textId="69FD1C5D" w:rsidR="00117A75" w:rsidRPr="00117A75" w:rsidRDefault="0061079E">
      <w:pPr>
        <w:pStyle w:val="FootnoteText"/>
      </w:pPr>
      <w:r w:rsidRPr="00117A75">
        <w:rPr>
          <w:rStyle w:val="FootnoteReference"/>
          <w:rFonts w:ascii="Symbol" w:hAnsi="Symbol"/>
          <w:b w:val="0"/>
          <w:bCs/>
          <w:sz w:val="26"/>
        </w:rPr>
        <w:sym w:font="Symbol" w:char="F02A"/>
      </w:r>
      <w:r w:rsidRPr="00117A75">
        <w:t xml:space="preserve">  Retired Associate Justice of the Court of Appeal, Third Appellate District, assigned by the Chief Justice pursuant to article VI, section 6 of the California Constitution.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FF"/>
    <w:rsid w:val="00001179"/>
    <w:rsid w:val="00001E39"/>
    <w:rsid w:val="00001E4B"/>
    <w:rsid w:val="00001FA5"/>
    <w:rsid w:val="00002920"/>
    <w:rsid w:val="0000509E"/>
    <w:rsid w:val="0000697E"/>
    <w:rsid w:val="00007E21"/>
    <w:rsid w:val="000103E8"/>
    <w:rsid w:val="00010C2F"/>
    <w:rsid w:val="00010DB3"/>
    <w:rsid w:val="0001247C"/>
    <w:rsid w:val="0001267F"/>
    <w:rsid w:val="000129B1"/>
    <w:rsid w:val="000135B9"/>
    <w:rsid w:val="00013D0B"/>
    <w:rsid w:val="000161C6"/>
    <w:rsid w:val="000166DD"/>
    <w:rsid w:val="00016C10"/>
    <w:rsid w:val="00016EDF"/>
    <w:rsid w:val="00017E54"/>
    <w:rsid w:val="00021613"/>
    <w:rsid w:val="00021CC2"/>
    <w:rsid w:val="00023AE5"/>
    <w:rsid w:val="000251CD"/>
    <w:rsid w:val="00025940"/>
    <w:rsid w:val="00025DC7"/>
    <w:rsid w:val="00026AEC"/>
    <w:rsid w:val="0003003F"/>
    <w:rsid w:val="000301A9"/>
    <w:rsid w:val="00032871"/>
    <w:rsid w:val="00034242"/>
    <w:rsid w:val="00036577"/>
    <w:rsid w:val="000368CE"/>
    <w:rsid w:val="00036D46"/>
    <w:rsid w:val="00036DD4"/>
    <w:rsid w:val="000403F1"/>
    <w:rsid w:val="00040431"/>
    <w:rsid w:val="000412FF"/>
    <w:rsid w:val="0004142A"/>
    <w:rsid w:val="00042B53"/>
    <w:rsid w:val="00043B09"/>
    <w:rsid w:val="00045D0D"/>
    <w:rsid w:val="00045F8A"/>
    <w:rsid w:val="0004653F"/>
    <w:rsid w:val="00046C0C"/>
    <w:rsid w:val="00050C7B"/>
    <w:rsid w:val="00050F55"/>
    <w:rsid w:val="00051DE5"/>
    <w:rsid w:val="000526E2"/>
    <w:rsid w:val="0005425E"/>
    <w:rsid w:val="00054CBB"/>
    <w:rsid w:val="000571B2"/>
    <w:rsid w:val="00057ADE"/>
    <w:rsid w:val="00057C97"/>
    <w:rsid w:val="00060CBF"/>
    <w:rsid w:val="00060D68"/>
    <w:rsid w:val="00062279"/>
    <w:rsid w:val="000625D2"/>
    <w:rsid w:val="00063715"/>
    <w:rsid w:val="000641CF"/>
    <w:rsid w:val="00065C0C"/>
    <w:rsid w:val="00065D75"/>
    <w:rsid w:val="000663A8"/>
    <w:rsid w:val="0006792D"/>
    <w:rsid w:val="000679B1"/>
    <w:rsid w:val="000706A0"/>
    <w:rsid w:val="00070887"/>
    <w:rsid w:val="00071713"/>
    <w:rsid w:val="00071A5B"/>
    <w:rsid w:val="0007336E"/>
    <w:rsid w:val="00076E18"/>
    <w:rsid w:val="00077186"/>
    <w:rsid w:val="00077FD8"/>
    <w:rsid w:val="00080555"/>
    <w:rsid w:val="00082351"/>
    <w:rsid w:val="0008287F"/>
    <w:rsid w:val="00082F50"/>
    <w:rsid w:val="00085EED"/>
    <w:rsid w:val="00086477"/>
    <w:rsid w:val="00086620"/>
    <w:rsid w:val="000902A2"/>
    <w:rsid w:val="000905C0"/>
    <w:rsid w:val="00091D1D"/>
    <w:rsid w:val="00092C49"/>
    <w:rsid w:val="00093876"/>
    <w:rsid w:val="000955D1"/>
    <w:rsid w:val="00095BB8"/>
    <w:rsid w:val="00096044"/>
    <w:rsid w:val="00097F64"/>
    <w:rsid w:val="000A01DF"/>
    <w:rsid w:val="000A0482"/>
    <w:rsid w:val="000A09E3"/>
    <w:rsid w:val="000A10F1"/>
    <w:rsid w:val="000A2618"/>
    <w:rsid w:val="000A2FD6"/>
    <w:rsid w:val="000A441F"/>
    <w:rsid w:val="000A4822"/>
    <w:rsid w:val="000A4B94"/>
    <w:rsid w:val="000A570E"/>
    <w:rsid w:val="000A5A56"/>
    <w:rsid w:val="000A64BB"/>
    <w:rsid w:val="000A659C"/>
    <w:rsid w:val="000A739B"/>
    <w:rsid w:val="000A7962"/>
    <w:rsid w:val="000B09CA"/>
    <w:rsid w:val="000B108E"/>
    <w:rsid w:val="000B2550"/>
    <w:rsid w:val="000B2CA2"/>
    <w:rsid w:val="000B3AAA"/>
    <w:rsid w:val="000B4F9F"/>
    <w:rsid w:val="000B5F0A"/>
    <w:rsid w:val="000B611A"/>
    <w:rsid w:val="000B6A4D"/>
    <w:rsid w:val="000B6F18"/>
    <w:rsid w:val="000C0919"/>
    <w:rsid w:val="000C1CB2"/>
    <w:rsid w:val="000C3842"/>
    <w:rsid w:val="000C5800"/>
    <w:rsid w:val="000C68EF"/>
    <w:rsid w:val="000C773C"/>
    <w:rsid w:val="000D0348"/>
    <w:rsid w:val="000D058A"/>
    <w:rsid w:val="000D09B0"/>
    <w:rsid w:val="000D1DF2"/>
    <w:rsid w:val="000D1F6F"/>
    <w:rsid w:val="000D2F42"/>
    <w:rsid w:val="000D35E5"/>
    <w:rsid w:val="000D4046"/>
    <w:rsid w:val="000D5BE8"/>
    <w:rsid w:val="000D7828"/>
    <w:rsid w:val="000D7DE0"/>
    <w:rsid w:val="000D7FDC"/>
    <w:rsid w:val="000D7FEB"/>
    <w:rsid w:val="000E05EA"/>
    <w:rsid w:val="000E147F"/>
    <w:rsid w:val="000E1984"/>
    <w:rsid w:val="000E30D7"/>
    <w:rsid w:val="000E4EB4"/>
    <w:rsid w:val="000E4F60"/>
    <w:rsid w:val="000E62AE"/>
    <w:rsid w:val="000E636A"/>
    <w:rsid w:val="000F0DF7"/>
    <w:rsid w:val="000F1B67"/>
    <w:rsid w:val="000F2B1A"/>
    <w:rsid w:val="000F5B51"/>
    <w:rsid w:val="000F639E"/>
    <w:rsid w:val="000F7181"/>
    <w:rsid w:val="000F777F"/>
    <w:rsid w:val="000F7AB6"/>
    <w:rsid w:val="000F7AEC"/>
    <w:rsid w:val="00101043"/>
    <w:rsid w:val="00101054"/>
    <w:rsid w:val="00102BC8"/>
    <w:rsid w:val="00103248"/>
    <w:rsid w:val="00103408"/>
    <w:rsid w:val="001035AB"/>
    <w:rsid w:val="00104304"/>
    <w:rsid w:val="001046A8"/>
    <w:rsid w:val="00105E36"/>
    <w:rsid w:val="0010729B"/>
    <w:rsid w:val="00112645"/>
    <w:rsid w:val="001135AC"/>
    <w:rsid w:val="00114897"/>
    <w:rsid w:val="00116897"/>
    <w:rsid w:val="00117A75"/>
    <w:rsid w:val="00117B3B"/>
    <w:rsid w:val="00117D2C"/>
    <w:rsid w:val="001204E1"/>
    <w:rsid w:val="001216D7"/>
    <w:rsid w:val="00121778"/>
    <w:rsid w:val="00122BE4"/>
    <w:rsid w:val="00122C1D"/>
    <w:rsid w:val="00122E20"/>
    <w:rsid w:val="001265FC"/>
    <w:rsid w:val="001306B1"/>
    <w:rsid w:val="0013236B"/>
    <w:rsid w:val="00134256"/>
    <w:rsid w:val="00135E2D"/>
    <w:rsid w:val="001366A3"/>
    <w:rsid w:val="00137764"/>
    <w:rsid w:val="00137C79"/>
    <w:rsid w:val="00137CC5"/>
    <w:rsid w:val="00137D56"/>
    <w:rsid w:val="00141BCB"/>
    <w:rsid w:val="00143228"/>
    <w:rsid w:val="001441FA"/>
    <w:rsid w:val="00145DF6"/>
    <w:rsid w:val="001473CB"/>
    <w:rsid w:val="00147507"/>
    <w:rsid w:val="00147FBD"/>
    <w:rsid w:val="0015148C"/>
    <w:rsid w:val="00153A91"/>
    <w:rsid w:val="00153EC5"/>
    <w:rsid w:val="001546C0"/>
    <w:rsid w:val="00154CB8"/>
    <w:rsid w:val="001554AA"/>
    <w:rsid w:val="00155B23"/>
    <w:rsid w:val="00155D40"/>
    <w:rsid w:val="001573C0"/>
    <w:rsid w:val="00160C5A"/>
    <w:rsid w:val="00161E97"/>
    <w:rsid w:val="001623C5"/>
    <w:rsid w:val="00162498"/>
    <w:rsid w:val="001626F3"/>
    <w:rsid w:val="00163C0F"/>
    <w:rsid w:val="00163DD3"/>
    <w:rsid w:val="00164A68"/>
    <w:rsid w:val="00165273"/>
    <w:rsid w:val="00166184"/>
    <w:rsid w:val="001662D8"/>
    <w:rsid w:val="00166AB8"/>
    <w:rsid w:val="00166AFB"/>
    <w:rsid w:val="001670AC"/>
    <w:rsid w:val="00167967"/>
    <w:rsid w:val="001704E7"/>
    <w:rsid w:val="00173A5B"/>
    <w:rsid w:val="00173BD7"/>
    <w:rsid w:val="00176672"/>
    <w:rsid w:val="00177ED7"/>
    <w:rsid w:val="001809B4"/>
    <w:rsid w:val="00180DE4"/>
    <w:rsid w:val="001817B9"/>
    <w:rsid w:val="00182090"/>
    <w:rsid w:val="0018253D"/>
    <w:rsid w:val="00183537"/>
    <w:rsid w:val="00184D53"/>
    <w:rsid w:val="00186F3D"/>
    <w:rsid w:val="001877B1"/>
    <w:rsid w:val="00190178"/>
    <w:rsid w:val="00190C17"/>
    <w:rsid w:val="00192713"/>
    <w:rsid w:val="001938C0"/>
    <w:rsid w:val="00193931"/>
    <w:rsid w:val="00194646"/>
    <w:rsid w:val="001949CD"/>
    <w:rsid w:val="00195A1D"/>
    <w:rsid w:val="00197EAB"/>
    <w:rsid w:val="001A0DDB"/>
    <w:rsid w:val="001A0FBA"/>
    <w:rsid w:val="001A145C"/>
    <w:rsid w:val="001A2F87"/>
    <w:rsid w:val="001A2FE6"/>
    <w:rsid w:val="001A3539"/>
    <w:rsid w:val="001A3CBB"/>
    <w:rsid w:val="001A4919"/>
    <w:rsid w:val="001A502A"/>
    <w:rsid w:val="001A5634"/>
    <w:rsid w:val="001A730F"/>
    <w:rsid w:val="001A7902"/>
    <w:rsid w:val="001B02DF"/>
    <w:rsid w:val="001B073A"/>
    <w:rsid w:val="001B0A0B"/>
    <w:rsid w:val="001B0C56"/>
    <w:rsid w:val="001B14FF"/>
    <w:rsid w:val="001B2994"/>
    <w:rsid w:val="001B3D19"/>
    <w:rsid w:val="001B4687"/>
    <w:rsid w:val="001B4E5E"/>
    <w:rsid w:val="001C0F02"/>
    <w:rsid w:val="001C0FAD"/>
    <w:rsid w:val="001C181A"/>
    <w:rsid w:val="001C2467"/>
    <w:rsid w:val="001C4702"/>
    <w:rsid w:val="001C6203"/>
    <w:rsid w:val="001C62BE"/>
    <w:rsid w:val="001C7AFE"/>
    <w:rsid w:val="001C7B00"/>
    <w:rsid w:val="001C7F6E"/>
    <w:rsid w:val="001D2128"/>
    <w:rsid w:val="001D29A4"/>
    <w:rsid w:val="001D5B68"/>
    <w:rsid w:val="001D79EF"/>
    <w:rsid w:val="001E002F"/>
    <w:rsid w:val="001E2956"/>
    <w:rsid w:val="001E35A0"/>
    <w:rsid w:val="001E4177"/>
    <w:rsid w:val="001E417B"/>
    <w:rsid w:val="001E45BC"/>
    <w:rsid w:val="001E512B"/>
    <w:rsid w:val="001E56BC"/>
    <w:rsid w:val="001E7F00"/>
    <w:rsid w:val="001F0908"/>
    <w:rsid w:val="001F0CC6"/>
    <w:rsid w:val="001F1C6E"/>
    <w:rsid w:val="001F21D0"/>
    <w:rsid w:val="001F2543"/>
    <w:rsid w:val="001F35B9"/>
    <w:rsid w:val="001F3BF9"/>
    <w:rsid w:val="001F5AC5"/>
    <w:rsid w:val="001F716F"/>
    <w:rsid w:val="00201A5E"/>
    <w:rsid w:val="002024CB"/>
    <w:rsid w:val="00202747"/>
    <w:rsid w:val="002037F9"/>
    <w:rsid w:val="0020384E"/>
    <w:rsid w:val="0020405B"/>
    <w:rsid w:val="00204163"/>
    <w:rsid w:val="00204B4F"/>
    <w:rsid w:val="002056CD"/>
    <w:rsid w:val="00207E9D"/>
    <w:rsid w:val="00210546"/>
    <w:rsid w:val="002105E1"/>
    <w:rsid w:val="00211FE0"/>
    <w:rsid w:val="00212C34"/>
    <w:rsid w:val="00213177"/>
    <w:rsid w:val="00213F17"/>
    <w:rsid w:val="0021538C"/>
    <w:rsid w:val="002153DD"/>
    <w:rsid w:val="00216808"/>
    <w:rsid w:val="00216DD0"/>
    <w:rsid w:val="00217A45"/>
    <w:rsid w:val="00220A18"/>
    <w:rsid w:val="0022105D"/>
    <w:rsid w:val="00224538"/>
    <w:rsid w:val="002256F3"/>
    <w:rsid w:val="002263C5"/>
    <w:rsid w:val="0022652C"/>
    <w:rsid w:val="00227531"/>
    <w:rsid w:val="0023017E"/>
    <w:rsid w:val="002312A3"/>
    <w:rsid w:val="002313D9"/>
    <w:rsid w:val="00231D07"/>
    <w:rsid w:val="00231DE6"/>
    <w:rsid w:val="00232046"/>
    <w:rsid w:val="00233345"/>
    <w:rsid w:val="002337B2"/>
    <w:rsid w:val="0023390A"/>
    <w:rsid w:val="00235820"/>
    <w:rsid w:val="00235921"/>
    <w:rsid w:val="00235C4F"/>
    <w:rsid w:val="00235E63"/>
    <w:rsid w:val="00237726"/>
    <w:rsid w:val="00237EEC"/>
    <w:rsid w:val="0024021D"/>
    <w:rsid w:val="002455A4"/>
    <w:rsid w:val="00246619"/>
    <w:rsid w:val="0024686F"/>
    <w:rsid w:val="00246C56"/>
    <w:rsid w:val="00251286"/>
    <w:rsid w:val="00252A8E"/>
    <w:rsid w:val="0025404C"/>
    <w:rsid w:val="0025507B"/>
    <w:rsid w:val="00256323"/>
    <w:rsid w:val="00256E40"/>
    <w:rsid w:val="00257103"/>
    <w:rsid w:val="002604CB"/>
    <w:rsid w:val="00264063"/>
    <w:rsid w:val="002641D6"/>
    <w:rsid w:val="00264F71"/>
    <w:rsid w:val="002656A0"/>
    <w:rsid w:val="002656E0"/>
    <w:rsid w:val="00265888"/>
    <w:rsid w:val="00270FDB"/>
    <w:rsid w:val="00277343"/>
    <w:rsid w:val="00280371"/>
    <w:rsid w:val="002807C5"/>
    <w:rsid w:val="00282559"/>
    <w:rsid w:val="002828C4"/>
    <w:rsid w:val="00282BE2"/>
    <w:rsid w:val="0028336E"/>
    <w:rsid w:val="002853AC"/>
    <w:rsid w:val="002868BC"/>
    <w:rsid w:val="002869BC"/>
    <w:rsid w:val="00290948"/>
    <w:rsid w:val="00290951"/>
    <w:rsid w:val="00291A07"/>
    <w:rsid w:val="002924B1"/>
    <w:rsid w:val="00292B0B"/>
    <w:rsid w:val="0029314A"/>
    <w:rsid w:val="002938A8"/>
    <w:rsid w:val="00294244"/>
    <w:rsid w:val="002947C1"/>
    <w:rsid w:val="00294D16"/>
    <w:rsid w:val="00295720"/>
    <w:rsid w:val="00295AC3"/>
    <w:rsid w:val="002960A4"/>
    <w:rsid w:val="00297DE2"/>
    <w:rsid w:val="002A01B3"/>
    <w:rsid w:val="002A0BCF"/>
    <w:rsid w:val="002A18F3"/>
    <w:rsid w:val="002A1F3F"/>
    <w:rsid w:val="002A4EF4"/>
    <w:rsid w:val="002A5996"/>
    <w:rsid w:val="002A62FE"/>
    <w:rsid w:val="002A7181"/>
    <w:rsid w:val="002A7389"/>
    <w:rsid w:val="002B1D9B"/>
    <w:rsid w:val="002B2AD4"/>
    <w:rsid w:val="002B452D"/>
    <w:rsid w:val="002B4884"/>
    <w:rsid w:val="002B591A"/>
    <w:rsid w:val="002C0072"/>
    <w:rsid w:val="002C0752"/>
    <w:rsid w:val="002C21DA"/>
    <w:rsid w:val="002C242F"/>
    <w:rsid w:val="002C250C"/>
    <w:rsid w:val="002C2A44"/>
    <w:rsid w:val="002C311A"/>
    <w:rsid w:val="002C6181"/>
    <w:rsid w:val="002C6964"/>
    <w:rsid w:val="002C783F"/>
    <w:rsid w:val="002D04D9"/>
    <w:rsid w:val="002D1855"/>
    <w:rsid w:val="002D2247"/>
    <w:rsid w:val="002D25CA"/>
    <w:rsid w:val="002D43E5"/>
    <w:rsid w:val="002D5FF1"/>
    <w:rsid w:val="002E096E"/>
    <w:rsid w:val="002E1214"/>
    <w:rsid w:val="002E26F2"/>
    <w:rsid w:val="002E273E"/>
    <w:rsid w:val="002E3A71"/>
    <w:rsid w:val="002E4B2A"/>
    <w:rsid w:val="002E59DB"/>
    <w:rsid w:val="002E6261"/>
    <w:rsid w:val="002E6980"/>
    <w:rsid w:val="002F1132"/>
    <w:rsid w:val="002F28E2"/>
    <w:rsid w:val="002F2DCD"/>
    <w:rsid w:val="002F33E3"/>
    <w:rsid w:val="002F33F4"/>
    <w:rsid w:val="002F4BD7"/>
    <w:rsid w:val="002F51F9"/>
    <w:rsid w:val="002F5BCC"/>
    <w:rsid w:val="002F6DDD"/>
    <w:rsid w:val="002F7AAC"/>
    <w:rsid w:val="00301880"/>
    <w:rsid w:val="003019F2"/>
    <w:rsid w:val="00303291"/>
    <w:rsid w:val="003039B8"/>
    <w:rsid w:val="00306FD7"/>
    <w:rsid w:val="00311356"/>
    <w:rsid w:val="003113C4"/>
    <w:rsid w:val="00311E7C"/>
    <w:rsid w:val="0031323B"/>
    <w:rsid w:val="00313881"/>
    <w:rsid w:val="00314FF1"/>
    <w:rsid w:val="00315E88"/>
    <w:rsid w:val="003173C4"/>
    <w:rsid w:val="00320B55"/>
    <w:rsid w:val="00320FB6"/>
    <w:rsid w:val="0032100B"/>
    <w:rsid w:val="00321970"/>
    <w:rsid w:val="00323228"/>
    <w:rsid w:val="00323A2E"/>
    <w:rsid w:val="003249CA"/>
    <w:rsid w:val="00324D49"/>
    <w:rsid w:val="00325ECD"/>
    <w:rsid w:val="00326B40"/>
    <w:rsid w:val="00330B91"/>
    <w:rsid w:val="00333BCA"/>
    <w:rsid w:val="003352D9"/>
    <w:rsid w:val="00335322"/>
    <w:rsid w:val="00335403"/>
    <w:rsid w:val="00335BD7"/>
    <w:rsid w:val="00336FCD"/>
    <w:rsid w:val="00337055"/>
    <w:rsid w:val="003379C3"/>
    <w:rsid w:val="0034130B"/>
    <w:rsid w:val="00341AD3"/>
    <w:rsid w:val="00344286"/>
    <w:rsid w:val="00344E38"/>
    <w:rsid w:val="00345E9C"/>
    <w:rsid w:val="00346EBC"/>
    <w:rsid w:val="00347A1A"/>
    <w:rsid w:val="00347D18"/>
    <w:rsid w:val="0035027E"/>
    <w:rsid w:val="00350D0E"/>
    <w:rsid w:val="003536C1"/>
    <w:rsid w:val="003538ED"/>
    <w:rsid w:val="0035425F"/>
    <w:rsid w:val="00355228"/>
    <w:rsid w:val="00355422"/>
    <w:rsid w:val="00355A3C"/>
    <w:rsid w:val="00357059"/>
    <w:rsid w:val="003608B7"/>
    <w:rsid w:val="00360BAC"/>
    <w:rsid w:val="0036147F"/>
    <w:rsid w:val="00361B37"/>
    <w:rsid w:val="003621A2"/>
    <w:rsid w:val="00362A2E"/>
    <w:rsid w:val="00363B56"/>
    <w:rsid w:val="00363BC9"/>
    <w:rsid w:val="00363D80"/>
    <w:rsid w:val="0036631B"/>
    <w:rsid w:val="0036697B"/>
    <w:rsid w:val="00367458"/>
    <w:rsid w:val="003701EC"/>
    <w:rsid w:val="003704BB"/>
    <w:rsid w:val="003723FB"/>
    <w:rsid w:val="0037415F"/>
    <w:rsid w:val="003744CB"/>
    <w:rsid w:val="003748C4"/>
    <w:rsid w:val="00374C45"/>
    <w:rsid w:val="003753EB"/>
    <w:rsid w:val="00381D44"/>
    <w:rsid w:val="003820CB"/>
    <w:rsid w:val="00382781"/>
    <w:rsid w:val="00382E20"/>
    <w:rsid w:val="00385084"/>
    <w:rsid w:val="003854A2"/>
    <w:rsid w:val="003864E0"/>
    <w:rsid w:val="003866DD"/>
    <w:rsid w:val="00387134"/>
    <w:rsid w:val="0038776F"/>
    <w:rsid w:val="00391083"/>
    <w:rsid w:val="003921A2"/>
    <w:rsid w:val="0039297A"/>
    <w:rsid w:val="00392AB4"/>
    <w:rsid w:val="00395A47"/>
    <w:rsid w:val="003A1BF1"/>
    <w:rsid w:val="003A2619"/>
    <w:rsid w:val="003A2D32"/>
    <w:rsid w:val="003A2EBA"/>
    <w:rsid w:val="003A2EF3"/>
    <w:rsid w:val="003A3995"/>
    <w:rsid w:val="003A3CA2"/>
    <w:rsid w:val="003A3E9A"/>
    <w:rsid w:val="003A3EC6"/>
    <w:rsid w:val="003A55FC"/>
    <w:rsid w:val="003A6D0A"/>
    <w:rsid w:val="003A71F5"/>
    <w:rsid w:val="003B275A"/>
    <w:rsid w:val="003B4F4C"/>
    <w:rsid w:val="003B6ADB"/>
    <w:rsid w:val="003B7D43"/>
    <w:rsid w:val="003C1082"/>
    <w:rsid w:val="003C1C9F"/>
    <w:rsid w:val="003C1EA2"/>
    <w:rsid w:val="003C4C4E"/>
    <w:rsid w:val="003C518F"/>
    <w:rsid w:val="003C54AB"/>
    <w:rsid w:val="003C682D"/>
    <w:rsid w:val="003C7B33"/>
    <w:rsid w:val="003D00C4"/>
    <w:rsid w:val="003D0373"/>
    <w:rsid w:val="003D09B7"/>
    <w:rsid w:val="003D1607"/>
    <w:rsid w:val="003D1D4D"/>
    <w:rsid w:val="003D24BD"/>
    <w:rsid w:val="003D497E"/>
    <w:rsid w:val="003D51E0"/>
    <w:rsid w:val="003D52FC"/>
    <w:rsid w:val="003D5EA9"/>
    <w:rsid w:val="003D7C85"/>
    <w:rsid w:val="003D7F3A"/>
    <w:rsid w:val="003E09A9"/>
    <w:rsid w:val="003E1830"/>
    <w:rsid w:val="003E237C"/>
    <w:rsid w:val="003E2622"/>
    <w:rsid w:val="003E353F"/>
    <w:rsid w:val="003E41B9"/>
    <w:rsid w:val="003E4D0D"/>
    <w:rsid w:val="003E78DF"/>
    <w:rsid w:val="003E7E6C"/>
    <w:rsid w:val="003F0168"/>
    <w:rsid w:val="003F156B"/>
    <w:rsid w:val="003F1672"/>
    <w:rsid w:val="003F3770"/>
    <w:rsid w:val="003F3AE2"/>
    <w:rsid w:val="003F4744"/>
    <w:rsid w:val="003F4E72"/>
    <w:rsid w:val="003F5230"/>
    <w:rsid w:val="003F5E5B"/>
    <w:rsid w:val="003F6830"/>
    <w:rsid w:val="003F6EB2"/>
    <w:rsid w:val="003F7E77"/>
    <w:rsid w:val="003F7EA9"/>
    <w:rsid w:val="004014D4"/>
    <w:rsid w:val="0040215E"/>
    <w:rsid w:val="0040229A"/>
    <w:rsid w:val="004046F0"/>
    <w:rsid w:val="0040565F"/>
    <w:rsid w:val="00405BA0"/>
    <w:rsid w:val="004060D5"/>
    <w:rsid w:val="004078A4"/>
    <w:rsid w:val="0040790B"/>
    <w:rsid w:val="004116F4"/>
    <w:rsid w:val="00413FE9"/>
    <w:rsid w:val="0041459B"/>
    <w:rsid w:val="00415579"/>
    <w:rsid w:val="0041626C"/>
    <w:rsid w:val="004176FA"/>
    <w:rsid w:val="00417821"/>
    <w:rsid w:val="00417CD6"/>
    <w:rsid w:val="00420D98"/>
    <w:rsid w:val="004211B8"/>
    <w:rsid w:val="00421583"/>
    <w:rsid w:val="00421D46"/>
    <w:rsid w:val="004227E5"/>
    <w:rsid w:val="004241D9"/>
    <w:rsid w:val="00427437"/>
    <w:rsid w:val="004277B6"/>
    <w:rsid w:val="0042788D"/>
    <w:rsid w:val="00427A5A"/>
    <w:rsid w:val="00430DB3"/>
    <w:rsid w:val="00431A6C"/>
    <w:rsid w:val="004320D9"/>
    <w:rsid w:val="00432287"/>
    <w:rsid w:val="0043228F"/>
    <w:rsid w:val="00433366"/>
    <w:rsid w:val="00433B88"/>
    <w:rsid w:val="00434F7D"/>
    <w:rsid w:val="00435313"/>
    <w:rsid w:val="00436453"/>
    <w:rsid w:val="004377DF"/>
    <w:rsid w:val="00437916"/>
    <w:rsid w:val="00441646"/>
    <w:rsid w:val="00441E7D"/>
    <w:rsid w:val="0044527D"/>
    <w:rsid w:val="004464C9"/>
    <w:rsid w:val="00450643"/>
    <w:rsid w:val="00450897"/>
    <w:rsid w:val="00451EA2"/>
    <w:rsid w:val="00451F8F"/>
    <w:rsid w:val="0045298B"/>
    <w:rsid w:val="00452A4F"/>
    <w:rsid w:val="00452B5F"/>
    <w:rsid w:val="00452DE2"/>
    <w:rsid w:val="00453538"/>
    <w:rsid w:val="00453A03"/>
    <w:rsid w:val="0045411F"/>
    <w:rsid w:val="00454AE7"/>
    <w:rsid w:val="004551C1"/>
    <w:rsid w:val="004553C0"/>
    <w:rsid w:val="004554EB"/>
    <w:rsid w:val="00455FDD"/>
    <w:rsid w:val="004562FC"/>
    <w:rsid w:val="00456C77"/>
    <w:rsid w:val="00457D58"/>
    <w:rsid w:val="00460E3D"/>
    <w:rsid w:val="0046282B"/>
    <w:rsid w:val="004628BF"/>
    <w:rsid w:val="00464820"/>
    <w:rsid w:val="004652B9"/>
    <w:rsid w:val="0046570F"/>
    <w:rsid w:val="00466C09"/>
    <w:rsid w:val="00466EDD"/>
    <w:rsid w:val="004670A4"/>
    <w:rsid w:val="004676AF"/>
    <w:rsid w:val="004702D3"/>
    <w:rsid w:val="00471704"/>
    <w:rsid w:val="00473F09"/>
    <w:rsid w:val="00474D1E"/>
    <w:rsid w:val="00475B22"/>
    <w:rsid w:val="0047711F"/>
    <w:rsid w:val="0047756D"/>
    <w:rsid w:val="0048049E"/>
    <w:rsid w:val="004815D8"/>
    <w:rsid w:val="0048240B"/>
    <w:rsid w:val="00484D1F"/>
    <w:rsid w:val="00485C61"/>
    <w:rsid w:val="00486340"/>
    <w:rsid w:val="00487696"/>
    <w:rsid w:val="0049140B"/>
    <w:rsid w:val="00491E19"/>
    <w:rsid w:val="0049253F"/>
    <w:rsid w:val="00492BFC"/>
    <w:rsid w:val="004932DB"/>
    <w:rsid w:val="00494DD3"/>
    <w:rsid w:val="00495532"/>
    <w:rsid w:val="004A022C"/>
    <w:rsid w:val="004A1F38"/>
    <w:rsid w:val="004A3B69"/>
    <w:rsid w:val="004A50D0"/>
    <w:rsid w:val="004A592E"/>
    <w:rsid w:val="004A631C"/>
    <w:rsid w:val="004A68E8"/>
    <w:rsid w:val="004A76D3"/>
    <w:rsid w:val="004B109F"/>
    <w:rsid w:val="004B3310"/>
    <w:rsid w:val="004B358D"/>
    <w:rsid w:val="004B4C8C"/>
    <w:rsid w:val="004B52F8"/>
    <w:rsid w:val="004B536E"/>
    <w:rsid w:val="004B5986"/>
    <w:rsid w:val="004B618A"/>
    <w:rsid w:val="004B74E3"/>
    <w:rsid w:val="004B78BA"/>
    <w:rsid w:val="004C05E4"/>
    <w:rsid w:val="004C0F11"/>
    <w:rsid w:val="004C101E"/>
    <w:rsid w:val="004C1DC2"/>
    <w:rsid w:val="004C2EEA"/>
    <w:rsid w:val="004C394C"/>
    <w:rsid w:val="004C4661"/>
    <w:rsid w:val="004C7070"/>
    <w:rsid w:val="004C7480"/>
    <w:rsid w:val="004D17E3"/>
    <w:rsid w:val="004D2204"/>
    <w:rsid w:val="004D4204"/>
    <w:rsid w:val="004D4304"/>
    <w:rsid w:val="004E1684"/>
    <w:rsid w:val="004E18AD"/>
    <w:rsid w:val="004E19E3"/>
    <w:rsid w:val="004E37BB"/>
    <w:rsid w:val="004E3DAB"/>
    <w:rsid w:val="004E4A1E"/>
    <w:rsid w:val="004E5EFC"/>
    <w:rsid w:val="004E609E"/>
    <w:rsid w:val="004F0725"/>
    <w:rsid w:val="004F0851"/>
    <w:rsid w:val="004F13BB"/>
    <w:rsid w:val="004F23DB"/>
    <w:rsid w:val="004F2D7A"/>
    <w:rsid w:val="004F32A0"/>
    <w:rsid w:val="004F47C5"/>
    <w:rsid w:val="004F670D"/>
    <w:rsid w:val="004F7890"/>
    <w:rsid w:val="004F79F2"/>
    <w:rsid w:val="004F7AB2"/>
    <w:rsid w:val="005008E7"/>
    <w:rsid w:val="00500FDE"/>
    <w:rsid w:val="00501F65"/>
    <w:rsid w:val="0050242A"/>
    <w:rsid w:val="00502BAC"/>
    <w:rsid w:val="00503155"/>
    <w:rsid w:val="005038C2"/>
    <w:rsid w:val="0050445C"/>
    <w:rsid w:val="00505298"/>
    <w:rsid w:val="00506069"/>
    <w:rsid w:val="00506348"/>
    <w:rsid w:val="005067B3"/>
    <w:rsid w:val="00507607"/>
    <w:rsid w:val="00507916"/>
    <w:rsid w:val="005079D0"/>
    <w:rsid w:val="005107F5"/>
    <w:rsid w:val="00511D46"/>
    <w:rsid w:val="00511ED4"/>
    <w:rsid w:val="005133B3"/>
    <w:rsid w:val="00513C23"/>
    <w:rsid w:val="00516547"/>
    <w:rsid w:val="00516B16"/>
    <w:rsid w:val="00517058"/>
    <w:rsid w:val="0051746B"/>
    <w:rsid w:val="005178AC"/>
    <w:rsid w:val="00520BCF"/>
    <w:rsid w:val="00520DAC"/>
    <w:rsid w:val="005229AB"/>
    <w:rsid w:val="00522DFF"/>
    <w:rsid w:val="0052460F"/>
    <w:rsid w:val="00524F51"/>
    <w:rsid w:val="00525E8A"/>
    <w:rsid w:val="005262BB"/>
    <w:rsid w:val="00526578"/>
    <w:rsid w:val="005269A3"/>
    <w:rsid w:val="005304E1"/>
    <w:rsid w:val="0053266E"/>
    <w:rsid w:val="0053317C"/>
    <w:rsid w:val="0053467E"/>
    <w:rsid w:val="005349F1"/>
    <w:rsid w:val="005354A1"/>
    <w:rsid w:val="00537B8E"/>
    <w:rsid w:val="00537DB1"/>
    <w:rsid w:val="0054031B"/>
    <w:rsid w:val="005405EC"/>
    <w:rsid w:val="00540916"/>
    <w:rsid w:val="00540FCC"/>
    <w:rsid w:val="00541A34"/>
    <w:rsid w:val="00550B21"/>
    <w:rsid w:val="00550FAF"/>
    <w:rsid w:val="00552C75"/>
    <w:rsid w:val="00553024"/>
    <w:rsid w:val="0055447E"/>
    <w:rsid w:val="005558AD"/>
    <w:rsid w:val="00555C71"/>
    <w:rsid w:val="00555CE8"/>
    <w:rsid w:val="00555F2D"/>
    <w:rsid w:val="0055756D"/>
    <w:rsid w:val="00557F0D"/>
    <w:rsid w:val="00563437"/>
    <w:rsid w:val="00563FD4"/>
    <w:rsid w:val="00564074"/>
    <w:rsid w:val="005642EC"/>
    <w:rsid w:val="0056437B"/>
    <w:rsid w:val="005646CD"/>
    <w:rsid w:val="005646F4"/>
    <w:rsid w:val="00565DA0"/>
    <w:rsid w:val="00565DC4"/>
    <w:rsid w:val="005668D0"/>
    <w:rsid w:val="00566F45"/>
    <w:rsid w:val="0056778A"/>
    <w:rsid w:val="00567B9B"/>
    <w:rsid w:val="005703EC"/>
    <w:rsid w:val="00571465"/>
    <w:rsid w:val="005715A2"/>
    <w:rsid w:val="00571804"/>
    <w:rsid w:val="005722F4"/>
    <w:rsid w:val="00573C2C"/>
    <w:rsid w:val="00573DC7"/>
    <w:rsid w:val="0057407B"/>
    <w:rsid w:val="0057554C"/>
    <w:rsid w:val="005769A2"/>
    <w:rsid w:val="005815A9"/>
    <w:rsid w:val="00581CCD"/>
    <w:rsid w:val="00581CD8"/>
    <w:rsid w:val="0058257E"/>
    <w:rsid w:val="00583C48"/>
    <w:rsid w:val="00584037"/>
    <w:rsid w:val="00585458"/>
    <w:rsid w:val="005870A8"/>
    <w:rsid w:val="0059050F"/>
    <w:rsid w:val="00590D5A"/>
    <w:rsid w:val="0059124F"/>
    <w:rsid w:val="00591710"/>
    <w:rsid w:val="00592118"/>
    <w:rsid w:val="00593023"/>
    <w:rsid w:val="00593B80"/>
    <w:rsid w:val="0059543D"/>
    <w:rsid w:val="005963BF"/>
    <w:rsid w:val="005A0556"/>
    <w:rsid w:val="005A13BC"/>
    <w:rsid w:val="005A2444"/>
    <w:rsid w:val="005A2F25"/>
    <w:rsid w:val="005A438B"/>
    <w:rsid w:val="005A5945"/>
    <w:rsid w:val="005A6A12"/>
    <w:rsid w:val="005A6ECA"/>
    <w:rsid w:val="005A77D4"/>
    <w:rsid w:val="005B078E"/>
    <w:rsid w:val="005B4045"/>
    <w:rsid w:val="005B6D47"/>
    <w:rsid w:val="005B6F3E"/>
    <w:rsid w:val="005B7CD4"/>
    <w:rsid w:val="005B7E25"/>
    <w:rsid w:val="005C0FD6"/>
    <w:rsid w:val="005C10B3"/>
    <w:rsid w:val="005C18A3"/>
    <w:rsid w:val="005C2D4F"/>
    <w:rsid w:val="005C34B6"/>
    <w:rsid w:val="005C5D2E"/>
    <w:rsid w:val="005C61EF"/>
    <w:rsid w:val="005C6497"/>
    <w:rsid w:val="005C671E"/>
    <w:rsid w:val="005C7DB3"/>
    <w:rsid w:val="005C7EB8"/>
    <w:rsid w:val="005D0469"/>
    <w:rsid w:val="005D3237"/>
    <w:rsid w:val="005D3879"/>
    <w:rsid w:val="005D4292"/>
    <w:rsid w:val="005D4884"/>
    <w:rsid w:val="005D48AD"/>
    <w:rsid w:val="005D594C"/>
    <w:rsid w:val="005D6A1C"/>
    <w:rsid w:val="005D6B64"/>
    <w:rsid w:val="005D79F9"/>
    <w:rsid w:val="005D7D86"/>
    <w:rsid w:val="005E0FB9"/>
    <w:rsid w:val="005E1174"/>
    <w:rsid w:val="005E1AA1"/>
    <w:rsid w:val="005E3831"/>
    <w:rsid w:val="005E5798"/>
    <w:rsid w:val="005E7108"/>
    <w:rsid w:val="005F1059"/>
    <w:rsid w:val="005F31F9"/>
    <w:rsid w:val="005F35CC"/>
    <w:rsid w:val="005F4F61"/>
    <w:rsid w:val="005F54E9"/>
    <w:rsid w:val="005F5824"/>
    <w:rsid w:val="005F5FA0"/>
    <w:rsid w:val="005F6588"/>
    <w:rsid w:val="005F6DFD"/>
    <w:rsid w:val="005F750E"/>
    <w:rsid w:val="00600D17"/>
    <w:rsid w:val="00600F46"/>
    <w:rsid w:val="00602F22"/>
    <w:rsid w:val="00603CAC"/>
    <w:rsid w:val="00603DBB"/>
    <w:rsid w:val="00604E13"/>
    <w:rsid w:val="00604E75"/>
    <w:rsid w:val="00605DCA"/>
    <w:rsid w:val="0060627E"/>
    <w:rsid w:val="00606F4A"/>
    <w:rsid w:val="0061020B"/>
    <w:rsid w:val="0061079E"/>
    <w:rsid w:val="0061080D"/>
    <w:rsid w:val="00612572"/>
    <w:rsid w:val="00613E4C"/>
    <w:rsid w:val="00615BB3"/>
    <w:rsid w:val="006173DE"/>
    <w:rsid w:val="00617ECB"/>
    <w:rsid w:val="0062114E"/>
    <w:rsid w:val="00621960"/>
    <w:rsid w:val="00621B6F"/>
    <w:rsid w:val="00622440"/>
    <w:rsid w:val="00622956"/>
    <w:rsid w:val="00622FF2"/>
    <w:rsid w:val="00624C05"/>
    <w:rsid w:val="00625824"/>
    <w:rsid w:val="00625DF1"/>
    <w:rsid w:val="00627600"/>
    <w:rsid w:val="00632033"/>
    <w:rsid w:val="006321ED"/>
    <w:rsid w:val="00633B02"/>
    <w:rsid w:val="00633C39"/>
    <w:rsid w:val="00634964"/>
    <w:rsid w:val="006357E1"/>
    <w:rsid w:val="00636484"/>
    <w:rsid w:val="0063662E"/>
    <w:rsid w:val="00636C3F"/>
    <w:rsid w:val="0063723F"/>
    <w:rsid w:val="00637DD4"/>
    <w:rsid w:val="00640E9A"/>
    <w:rsid w:val="0064136A"/>
    <w:rsid w:val="00641958"/>
    <w:rsid w:val="00641D1A"/>
    <w:rsid w:val="0064214E"/>
    <w:rsid w:val="006429C6"/>
    <w:rsid w:val="00646662"/>
    <w:rsid w:val="006469B2"/>
    <w:rsid w:val="00652A09"/>
    <w:rsid w:val="0065372D"/>
    <w:rsid w:val="0065457E"/>
    <w:rsid w:val="0065461D"/>
    <w:rsid w:val="006559E6"/>
    <w:rsid w:val="00655CAD"/>
    <w:rsid w:val="00656CD9"/>
    <w:rsid w:val="0065772F"/>
    <w:rsid w:val="00660AAB"/>
    <w:rsid w:val="006616AC"/>
    <w:rsid w:val="00662EB2"/>
    <w:rsid w:val="00663CC5"/>
    <w:rsid w:val="00664011"/>
    <w:rsid w:val="00665A73"/>
    <w:rsid w:val="00666FED"/>
    <w:rsid w:val="00667AC6"/>
    <w:rsid w:val="00670286"/>
    <w:rsid w:val="006708B1"/>
    <w:rsid w:val="00670A7E"/>
    <w:rsid w:val="00671225"/>
    <w:rsid w:val="00672667"/>
    <w:rsid w:val="00673D2A"/>
    <w:rsid w:val="00675261"/>
    <w:rsid w:val="006758C7"/>
    <w:rsid w:val="00675F90"/>
    <w:rsid w:val="00677961"/>
    <w:rsid w:val="00680E21"/>
    <w:rsid w:val="00683AF8"/>
    <w:rsid w:val="00684FB4"/>
    <w:rsid w:val="0068545C"/>
    <w:rsid w:val="00686FCC"/>
    <w:rsid w:val="00687A07"/>
    <w:rsid w:val="00690102"/>
    <w:rsid w:val="00691561"/>
    <w:rsid w:val="00693E58"/>
    <w:rsid w:val="00694464"/>
    <w:rsid w:val="006962E9"/>
    <w:rsid w:val="00696BB6"/>
    <w:rsid w:val="00697A7A"/>
    <w:rsid w:val="00697FC5"/>
    <w:rsid w:val="006A0657"/>
    <w:rsid w:val="006A0EF8"/>
    <w:rsid w:val="006A3492"/>
    <w:rsid w:val="006A5C2F"/>
    <w:rsid w:val="006B2064"/>
    <w:rsid w:val="006B2184"/>
    <w:rsid w:val="006B4CBA"/>
    <w:rsid w:val="006B4D49"/>
    <w:rsid w:val="006B5461"/>
    <w:rsid w:val="006B59FD"/>
    <w:rsid w:val="006C18D3"/>
    <w:rsid w:val="006C4ED4"/>
    <w:rsid w:val="006C6DAE"/>
    <w:rsid w:val="006C7D08"/>
    <w:rsid w:val="006D1006"/>
    <w:rsid w:val="006D1607"/>
    <w:rsid w:val="006D22B9"/>
    <w:rsid w:val="006D4A34"/>
    <w:rsid w:val="006D652B"/>
    <w:rsid w:val="006D6CF4"/>
    <w:rsid w:val="006D7BD2"/>
    <w:rsid w:val="006E0624"/>
    <w:rsid w:val="006E0AFE"/>
    <w:rsid w:val="006E10DC"/>
    <w:rsid w:val="006E4B78"/>
    <w:rsid w:val="006E771D"/>
    <w:rsid w:val="006F070D"/>
    <w:rsid w:val="006F0A31"/>
    <w:rsid w:val="006F0BEF"/>
    <w:rsid w:val="006F1F1C"/>
    <w:rsid w:val="006F22FC"/>
    <w:rsid w:val="006F3C41"/>
    <w:rsid w:val="006F4229"/>
    <w:rsid w:val="006F4E32"/>
    <w:rsid w:val="006F4E5B"/>
    <w:rsid w:val="006F5297"/>
    <w:rsid w:val="006F5570"/>
    <w:rsid w:val="006F5BE3"/>
    <w:rsid w:val="006F5CC6"/>
    <w:rsid w:val="006F70F6"/>
    <w:rsid w:val="006F71AA"/>
    <w:rsid w:val="006F728F"/>
    <w:rsid w:val="006F7975"/>
    <w:rsid w:val="006F7E47"/>
    <w:rsid w:val="007004C7"/>
    <w:rsid w:val="00700B2A"/>
    <w:rsid w:val="00700C1B"/>
    <w:rsid w:val="007028C2"/>
    <w:rsid w:val="007028C6"/>
    <w:rsid w:val="00703ABE"/>
    <w:rsid w:val="00704728"/>
    <w:rsid w:val="00704B2C"/>
    <w:rsid w:val="00705B9B"/>
    <w:rsid w:val="00706264"/>
    <w:rsid w:val="007065FF"/>
    <w:rsid w:val="00710EE1"/>
    <w:rsid w:val="00712670"/>
    <w:rsid w:val="007133D8"/>
    <w:rsid w:val="00714409"/>
    <w:rsid w:val="0071444A"/>
    <w:rsid w:val="00714AB7"/>
    <w:rsid w:val="00714B68"/>
    <w:rsid w:val="00714D9C"/>
    <w:rsid w:val="00716D88"/>
    <w:rsid w:val="007206C8"/>
    <w:rsid w:val="007210E7"/>
    <w:rsid w:val="00721AD0"/>
    <w:rsid w:val="00723C24"/>
    <w:rsid w:val="0072426A"/>
    <w:rsid w:val="00727241"/>
    <w:rsid w:val="00727947"/>
    <w:rsid w:val="007319B4"/>
    <w:rsid w:val="0073283C"/>
    <w:rsid w:val="00732D52"/>
    <w:rsid w:val="007331CA"/>
    <w:rsid w:val="00734B7A"/>
    <w:rsid w:val="00736823"/>
    <w:rsid w:val="00736C7B"/>
    <w:rsid w:val="0073730F"/>
    <w:rsid w:val="00737553"/>
    <w:rsid w:val="0073758D"/>
    <w:rsid w:val="007378B2"/>
    <w:rsid w:val="007405DD"/>
    <w:rsid w:val="00740C46"/>
    <w:rsid w:val="007411A2"/>
    <w:rsid w:val="007418D7"/>
    <w:rsid w:val="007423F7"/>
    <w:rsid w:val="00742D4C"/>
    <w:rsid w:val="007434A5"/>
    <w:rsid w:val="00745FDD"/>
    <w:rsid w:val="007472EB"/>
    <w:rsid w:val="00747CAB"/>
    <w:rsid w:val="00751163"/>
    <w:rsid w:val="00752611"/>
    <w:rsid w:val="00752A94"/>
    <w:rsid w:val="00754704"/>
    <w:rsid w:val="00754B3A"/>
    <w:rsid w:val="0075557D"/>
    <w:rsid w:val="00755C3E"/>
    <w:rsid w:val="007565F9"/>
    <w:rsid w:val="00757E32"/>
    <w:rsid w:val="007606A8"/>
    <w:rsid w:val="00760C44"/>
    <w:rsid w:val="00760C98"/>
    <w:rsid w:val="00762ABC"/>
    <w:rsid w:val="0076350B"/>
    <w:rsid w:val="00763800"/>
    <w:rsid w:val="007648FF"/>
    <w:rsid w:val="00765C42"/>
    <w:rsid w:val="007666DB"/>
    <w:rsid w:val="007701B4"/>
    <w:rsid w:val="00772134"/>
    <w:rsid w:val="0077254A"/>
    <w:rsid w:val="00772553"/>
    <w:rsid w:val="00774018"/>
    <w:rsid w:val="007758D4"/>
    <w:rsid w:val="0077597A"/>
    <w:rsid w:val="00776746"/>
    <w:rsid w:val="0077777D"/>
    <w:rsid w:val="00777C3E"/>
    <w:rsid w:val="00780153"/>
    <w:rsid w:val="007802B9"/>
    <w:rsid w:val="007806F6"/>
    <w:rsid w:val="00780FA0"/>
    <w:rsid w:val="00782F1C"/>
    <w:rsid w:val="0078342A"/>
    <w:rsid w:val="00784D85"/>
    <w:rsid w:val="00784E3D"/>
    <w:rsid w:val="00786CED"/>
    <w:rsid w:val="00786F24"/>
    <w:rsid w:val="007870DE"/>
    <w:rsid w:val="00787F37"/>
    <w:rsid w:val="0079080B"/>
    <w:rsid w:val="00790965"/>
    <w:rsid w:val="00791261"/>
    <w:rsid w:val="00791C71"/>
    <w:rsid w:val="007928D3"/>
    <w:rsid w:val="0079349E"/>
    <w:rsid w:val="00793DC1"/>
    <w:rsid w:val="00793DF5"/>
    <w:rsid w:val="00793FE2"/>
    <w:rsid w:val="00794E92"/>
    <w:rsid w:val="00795BB3"/>
    <w:rsid w:val="007964A7"/>
    <w:rsid w:val="00797005"/>
    <w:rsid w:val="0079787D"/>
    <w:rsid w:val="007A1071"/>
    <w:rsid w:val="007A118E"/>
    <w:rsid w:val="007A1406"/>
    <w:rsid w:val="007A19DE"/>
    <w:rsid w:val="007A2613"/>
    <w:rsid w:val="007A3286"/>
    <w:rsid w:val="007A4CDC"/>
    <w:rsid w:val="007A56F7"/>
    <w:rsid w:val="007A5745"/>
    <w:rsid w:val="007B015A"/>
    <w:rsid w:val="007B0439"/>
    <w:rsid w:val="007B2E40"/>
    <w:rsid w:val="007B3014"/>
    <w:rsid w:val="007B477B"/>
    <w:rsid w:val="007B5BEC"/>
    <w:rsid w:val="007B615A"/>
    <w:rsid w:val="007B63AA"/>
    <w:rsid w:val="007B6A96"/>
    <w:rsid w:val="007B708F"/>
    <w:rsid w:val="007C0FCF"/>
    <w:rsid w:val="007C22FC"/>
    <w:rsid w:val="007C27A7"/>
    <w:rsid w:val="007C2A8B"/>
    <w:rsid w:val="007C2B33"/>
    <w:rsid w:val="007C495A"/>
    <w:rsid w:val="007C49AD"/>
    <w:rsid w:val="007C682C"/>
    <w:rsid w:val="007C6E8D"/>
    <w:rsid w:val="007D03F2"/>
    <w:rsid w:val="007D0C4A"/>
    <w:rsid w:val="007D159E"/>
    <w:rsid w:val="007D1655"/>
    <w:rsid w:val="007D1B33"/>
    <w:rsid w:val="007D284F"/>
    <w:rsid w:val="007D4424"/>
    <w:rsid w:val="007D4762"/>
    <w:rsid w:val="007D4831"/>
    <w:rsid w:val="007D49E7"/>
    <w:rsid w:val="007D6CBB"/>
    <w:rsid w:val="007E178B"/>
    <w:rsid w:val="007E2D37"/>
    <w:rsid w:val="007E3873"/>
    <w:rsid w:val="007E5980"/>
    <w:rsid w:val="007E5DB1"/>
    <w:rsid w:val="007E7943"/>
    <w:rsid w:val="007E79E7"/>
    <w:rsid w:val="007E7D62"/>
    <w:rsid w:val="007F111E"/>
    <w:rsid w:val="007F14C3"/>
    <w:rsid w:val="007F1CB7"/>
    <w:rsid w:val="007F3CDB"/>
    <w:rsid w:val="007F5D8A"/>
    <w:rsid w:val="007F6453"/>
    <w:rsid w:val="007F75A4"/>
    <w:rsid w:val="007F79D2"/>
    <w:rsid w:val="00801493"/>
    <w:rsid w:val="008021CF"/>
    <w:rsid w:val="008034C4"/>
    <w:rsid w:val="0080475A"/>
    <w:rsid w:val="008051F8"/>
    <w:rsid w:val="00805A02"/>
    <w:rsid w:val="00807B4A"/>
    <w:rsid w:val="00807D7A"/>
    <w:rsid w:val="00812B2F"/>
    <w:rsid w:val="00813692"/>
    <w:rsid w:val="008137B3"/>
    <w:rsid w:val="00815CBA"/>
    <w:rsid w:val="00816A8A"/>
    <w:rsid w:val="00817FE5"/>
    <w:rsid w:val="00820BBC"/>
    <w:rsid w:val="0082259F"/>
    <w:rsid w:val="00823638"/>
    <w:rsid w:val="008238EE"/>
    <w:rsid w:val="008252D1"/>
    <w:rsid w:val="00826BFF"/>
    <w:rsid w:val="00827EF8"/>
    <w:rsid w:val="00830258"/>
    <w:rsid w:val="00830365"/>
    <w:rsid w:val="00830660"/>
    <w:rsid w:val="00831553"/>
    <w:rsid w:val="0083155E"/>
    <w:rsid w:val="00831BB6"/>
    <w:rsid w:val="0083452B"/>
    <w:rsid w:val="00834B4B"/>
    <w:rsid w:val="0083625B"/>
    <w:rsid w:val="0083781B"/>
    <w:rsid w:val="008401F3"/>
    <w:rsid w:val="0084034D"/>
    <w:rsid w:val="00841B52"/>
    <w:rsid w:val="00844775"/>
    <w:rsid w:val="00844792"/>
    <w:rsid w:val="00844A5C"/>
    <w:rsid w:val="00845044"/>
    <w:rsid w:val="00845ED4"/>
    <w:rsid w:val="00846609"/>
    <w:rsid w:val="008477D1"/>
    <w:rsid w:val="00850288"/>
    <w:rsid w:val="008521EF"/>
    <w:rsid w:val="008540C2"/>
    <w:rsid w:val="00854771"/>
    <w:rsid w:val="008549F3"/>
    <w:rsid w:val="00855AE4"/>
    <w:rsid w:val="00856061"/>
    <w:rsid w:val="00857C01"/>
    <w:rsid w:val="00857DE4"/>
    <w:rsid w:val="00860B9F"/>
    <w:rsid w:val="00861AA7"/>
    <w:rsid w:val="00861E81"/>
    <w:rsid w:val="00862578"/>
    <w:rsid w:val="00862927"/>
    <w:rsid w:val="00863706"/>
    <w:rsid w:val="008637C5"/>
    <w:rsid w:val="00865E12"/>
    <w:rsid w:val="00867198"/>
    <w:rsid w:val="008672AA"/>
    <w:rsid w:val="00867ED7"/>
    <w:rsid w:val="00870053"/>
    <w:rsid w:val="00872890"/>
    <w:rsid w:val="008737DB"/>
    <w:rsid w:val="008743E0"/>
    <w:rsid w:val="00874BEA"/>
    <w:rsid w:val="00875242"/>
    <w:rsid w:val="008753FC"/>
    <w:rsid w:val="00876B17"/>
    <w:rsid w:val="00876C6B"/>
    <w:rsid w:val="00877412"/>
    <w:rsid w:val="008778CE"/>
    <w:rsid w:val="00877B84"/>
    <w:rsid w:val="00880778"/>
    <w:rsid w:val="008818B9"/>
    <w:rsid w:val="00883D42"/>
    <w:rsid w:val="00884667"/>
    <w:rsid w:val="008858B3"/>
    <w:rsid w:val="00886873"/>
    <w:rsid w:val="008868E6"/>
    <w:rsid w:val="00886904"/>
    <w:rsid w:val="00887482"/>
    <w:rsid w:val="0089057A"/>
    <w:rsid w:val="0089081D"/>
    <w:rsid w:val="00890CCA"/>
    <w:rsid w:val="00891531"/>
    <w:rsid w:val="00891E53"/>
    <w:rsid w:val="0089214A"/>
    <w:rsid w:val="00893034"/>
    <w:rsid w:val="00894D3C"/>
    <w:rsid w:val="0089570A"/>
    <w:rsid w:val="008979B9"/>
    <w:rsid w:val="008A2771"/>
    <w:rsid w:val="008A2FCA"/>
    <w:rsid w:val="008A32ED"/>
    <w:rsid w:val="008A3483"/>
    <w:rsid w:val="008A3D57"/>
    <w:rsid w:val="008A448C"/>
    <w:rsid w:val="008A4EC1"/>
    <w:rsid w:val="008A5FFC"/>
    <w:rsid w:val="008A6DF0"/>
    <w:rsid w:val="008A710A"/>
    <w:rsid w:val="008A7346"/>
    <w:rsid w:val="008A7E3C"/>
    <w:rsid w:val="008B1A15"/>
    <w:rsid w:val="008B1E50"/>
    <w:rsid w:val="008B291D"/>
    <w:rsid w:val="008B2939"/>
    <w:rsid w:val="008B3F68"/>
    <w:rsid w:val="008B4C2D"/>
    <w:rsid w:val="008B6626"/>
    <w:rsid w:val="008B7D70"/>
    <w:rsid w:val="008C0CB9"/>
    <w:rsid w:val="008C13B5"/>
    <w:rsid w:val="008C170F"/>
    <w:rsid w:val="008C34E4"/>
    <w:rsid w:val="008C37E0"/>
    <w:rsid w:val="008C3BA8"/>
    <w:rsid w:val="008C41AA"/>
    <w:rsid w:val="008C7294"/>
    <w:rsid w:val="008C75F1"/>
    <w:rsid w:val="008C7BBC"/>
    <w:rsid w:val="008D0227"/>
    <w:rsid w:val="008D05B6"/>
    <w:rsid w:val="008D0B18"/>
    <w:rsid w:val="008D0F3C"/>
    <w:rsid w:val="008D3E6D"/>
    <w:rsid w:val="008D4209"/>
    <w:rsid w:val="008D78F4"/>
    <w:rsid w:val="008E02D3"/>
    <w:rsid w:val="008E048C"/>
    <w:rsid w:val="008E0A48"/>
    <w:rsid w:val="008E2EAC"/>
    <w:rsid w:val="008E459C"/>
    <w:rsid w:val="008E686A"/>
    <w:rsid w:val="008E6892"/>
    <w:rsid w:val="008E7110"/>
    <w:rsid w:val="008E7195"/>
    <w:rsid w:val="008E76E4"/>
    <w:rsid w:val="008E7C1B"/>
    <w:rsid w:val="008F0619"/>
    <w:rsid w:val="008F0B83"/>
    <w:rsid w:val="008F12CD"/>
    <w:rsid w:val="008F22D2"/>
    <w:rsid w:val="008F3940"/>
    <w:rsid w:val="008F48BB"/>
    <w:rsid w:val="008F4D0F"/>
    <w:rsid w:val="008F6DF2"/>
    <w:rsid w:val="008F7F32"/>
    <w:rsid w:val="008F7FF0"/>
    <w:rsid w:val="0090053A"/>
    <w:rsid w:val="00900C88"/>
    <w:rsid w:val="0090135A"/>
    <w:rsid w:val="00901A6A"/>
    <w:rsid w:val="009037CE"/>
    <w:rsid w:val="00905A21"/>
    <w:rsid w:val="009100EC"/>
    <w:rsid w:val="00911C60"/>
    <w:rsid w:val="009131BC"/>
    <w:rsid w:val="009134FB"/>
    <w:rsid w:val="00914C73"/>
    <w:rsid w:val="00914CC3"/>
    <w:rsid w:val="00914D57"/>
    <w:rsid w:val="00915742"/>
    <w:rsid w:val="00915FDB"/>
    <w:rsid w:val="009163CF"/>
    <w:rsid w:val="00917089"/>
    <w:rsid w:val="00920810"/>
    <w:rsid w:val="0092090C"/>
    <w:rsid w:val="00921D8E"/>
    <w:rsid w:val="0092258F"/>
    <w:rsid w:val="0092351F"/>
    <w:rsid w:val="0092474E"/>
    <w:rsid w:val="00927D8A"/>
    <w:rsid w:val="00933309"/>
    <w:rsid w:val="009335CB"/>
    <w:rsid w:val="009344D9"/>
    <w:rsid w:val="0093497C"/>
    <w:rsid w:val="00934B0F"/>
    <w:rsid w:val="00935562"/>
    <w:rsid w:val="00935DDA"/>
    <w:rsid w:val="00935F9A"/>
    <w:rsid w:val="00937875"/>
    <w:rsid w:val="00937FBC"/>
    <w:rsid w:val="00941CAC"/>
    <w:rsid w:val="009422AE"/>
    <w:rsid w:val="00944259"/>
    <w:rsid w:val="009469B9"/>
    <w:rsid w:val="00946BF5"/>
    <w:rsid w:val="00950BF8"/>
    <w:rsid w:val="00951D28"/>
    <w:rsid w:val="009537C5"/>
    <w:rsid w:val="00954ADB"/>
    <w:rsid w:val="00955FB4"/>
    <w:rsid w:val="0095607B"/>
    <w:rsid w:val="00956669"/>
    <w:rsid w:val="00956D3D"/>
    <w:rsid w:val="009573D0"/>
    <w:rsid w:val="0096001D"/>
    <w:rsid w:val="00960A7D"/>
    <w:rsid w:val="00960D70"/>
    <w:rsid w:val="00964E53"/>
    <w:rsid w:val="009659B2"/>
    <w:rsid w:val="00971817"/>
    <w:rsid w:val="00972015"/>
    <w:rsid w:val="009731C3"/>
    <w:rsid w:val="00973E46"/>
    <w:rsid w:val="0097583B"/>
    <w:rsid w:val="00975928"/>
    <w:rsid w:val="00976AA6"/>
    <w:rsid w:val="009770AB"/>
    <w:rsid w:val="00977FAE"/>
    <w:rsid w:val="00980C84"/>
    <w:rsid w:val="00983656"/>
    <w:rsid w:val="0098423F"/>
    <w:rsid w:val="00984B46"/>
    <w:rsid w:val="00990411"/>
    <w:rsid w:val="00990A98"/>
    <w:rsid w:val="00990D1F"/>
    <w:rsid w:val="0099100D"/>
    <w:rsid w:val="00991CC7"/>
    <w:rsid w:val="009A1724"/>
    <w:rsid w:val="009A1E5C"/>
    <w:rsid w:val="009A29DA"/>
    <w:rsid w:val="009A36F4"/>
    <w:rsid w:val="009A4541"/>
    <w:rsid w:val="009A4E25"/>
    <w:rsid w:val="009A5043"/>
    <w:rsid w:val="009A60EB"/>
    <w:rsid w:val="009A6667"/>
    <w:rsid w:val="009A6910"/>
    <w:rsid w:val="009A6C0B"/>
    <w:rsid w:val="009A7469"/>
    <w:rsid w:val="009A7D35"/>
    <w:rsid w:val="009B1CE2"/>
    <w:rsid w:val="009B33B3"/>
    <w:rsid w:val="009B3923"/>
    <w:rsid w:val="009B4ED6"/>
    <w:rsid w:val="009B512F"/>
    <w:rsid w:val="009B51AE"/>
    <w:rsid w:val="009B5960"/>
    <w:rsid w:val="009B7D41"/>
    <w:rsid w:val="009C0C95"/>
    <w:rsid w:val="009C0DC2"/>
    <w:rsid w:val="009C13F5"/>
    <w:rsid w:val="009C14AF"/>
    <w:rsid w:val="009C157D"/>
    <w:rsid w:val="009C1924"/>
    <w:rsid w:val="009C1C0D"/>
    <w:rsid w:val="009C2A63"/>
    <w:rsid w:val="009D02B5"/>
    <w:rsid w:val="009D04B5"/>
    <w:rsid w:val="009D0992"/>
    <w:rsid w:val="009D0A33"/>
    <w:rsid w:val="009D2216"/>
    <w:rsid w:val="009D23F9"/>
    <w:rsid w:val="009D4055"/>
    <w:rsid w:val="009D5E5A"/>
    <w:rsid w:val="009D5EA3"/>
    <w:rsid w:val="009D6186"/>
    <w:rsid w:val="009D7C69"/>
    <w:rsid w:val="009E0722"/>
    <w:rsid w:val="009E1751"/>
    <w:rsid w:val="009E1DEC"/>
    <w:rsid w:val="009E26D3"/>
    <w:rsid w:val="009E2A8C"/>
    <w:rsid w:val="009E34DA"/>
    <w:rsid w:val="009E3602"/>
    <w:rsid w:val="009E4769"/>
    <w:rsid w:val="009E5431"/>
    <w:rsid w:val="009E55C0"/>
    <w:rsid w:val="009E5CB0"/>
    <w:rsid w:val="009E64C5"/>
    <w:rsid w:val="009E6AD7"/>
    <w:rsid w:val="009F13F0"/>
    <w:rsid w:val="009F2DE2"/>
    <w:rsid w:val="009F32D1"/>
    <w:rsid w:val="009F453F"/>
    <w:rsid w:val="009F50AB"/>
    <w:rsid w:val="009F5247"/>
    <w:rsid w:val="009F53A1"/>
    <w:rsid w:val="009F53EE"/>
    <w:rsid w:val="009F6244"/>
    <w:rsid w:val="009F6881"/>
    <w:rsid w:val="009F6A95"/>
    <w:rsid w:val="009F6C6F"/>
    <w:rsid w:val="009F70BB"/>
    <w:rsid w:val="00A0017D"/>
    <w:rsid w:val="00A0028B"/>
    <w:rsid w:val="00A02113"/>
    <w:rsid w:val="00A0283F"/>
    <w:rsid w:val="00A035CD"/>
    <w:rsid w:val="00A03AEE"/>
    <w:rsid w:val="00A03BA7"/>
    <w:rsid w:val="00A04C11"/>
    <w:rsid w:val="00A06365"/>
    <w:rsid w:val="00A105EB"/>
    <w:rsid w:val="00A10F17"/>
    <w:rsid w:val="00A116A8"/>
    <w:rsid w:val="00A1332D"/>
    <w:rsid w:val="00A13859"/>
    <w:rsid w:val="00A142D6"/>
    <w:rsid w:val="00A14594"/>
    <w:rsid w:val="00A14701"/>
    <w:rsid w:val="00A161F1"/>
    <w:rsid w:val="00A16B43"/>
    <w:rsid w:val="00A203A7"/>
    <w:rsid w:val="00A20537"/>
    <w:rsid w:val="00A254FC"/>
    <w:rsid w:val="00A263B7"/>
    <w:rsid w:val="00A27AFF"/>
    <w:rsid w:val="00A27CD2"/>
    <w:rsid w:val="00A27FB8"/>
    <w:rsid w:val="00A306A2"/>
    <w:rsid w:val="00A3090B"/>
    <w:rsid w:val="00A32A05"/>
    <w:rsid w:val="00A3690B"/>
    <w:rsid w:val="00A36E49"/>
    <w:rsid w:val="00A408F4"/>
    <w:rsid w:val="00A40930"/>
    <w:rsid w:val="00A41280"/>
    <w:rsid w:val="00A41566"/>
    <w:rsid w:val="00A4348E"/>
    <w:rsid w:val="00A43F18"/>
    <w:rsid w:val="00A45EA9"/>
    <w:rsid w:val="00A46BA6"/>
    <w:rsid w:val="00A47088"/>
    <w:rsid w:val="00A471FC"/>
    <w:rsid w:val="00A537D7"/>
    <w:rsid w:val="00A54649"/>
    <w:rsid w:val="00A547D9"/>
    <w:rsid w:val="00A56941"/>
    <w:rsid w:val="00A569FC"/>
    <w:rsid w:val="00A60A3E"/>
    <w:rsid w:val="00A60C7E"/>
    <w:rsid w:val="00A61BD0"/>
    <w:rsid w:val="00A61E9A"/>
    <w:rsid w:val="00A62157"/>
    <w:rsid w:val="00A6286E"/>
    <w:rsid w:val="00A6360B"/>
    <w:rsid w:val="00A63B81"/>
    <w:rsid w:val="00A63D69"/>
    <w:rsid w:val="00A64128"/>
    <w:rsid w:val="00A64D9B"/>
    <w:rsid w:val="00A6530B"/>
    <w:rsid w:val="00A65FDD"/>
    <w:rsid w:val="00A661FE"/>
    <w:rsid w:val="00A67FFD"/>
    <w:rsid w:val="00A70C7F"/>
    <w:rsid w:val="00A74792"/>
    <w:rsid w:val="00A74F25"/>
    <w:rsid w:val="00A75E42"/>
    <w:rsid w:val="00A76CC8"/>
    <w:rsid w:val="00A76F9D"/>
    <w:rsid w:val="00A777A3"/>
    <w:rsid w:val="00A818CC"/>
    <w:rsid w:val="00A822C2"/>
    <w:rsid w:val="00A82546"/>
    <w:rsid w:val="00A844AF"/>
    <w:rsid w:val="00A8641F"/>
    <w:rsid w:val="00A86A94"/>
    <w:rsid w:val="00A86BC0"/>
    <w:rsid w:val="00A90473"/>
    <w:rsid w:val="00A907E9"/>
    <w:rsid w:val="00A90AD8"/>
    <w:rsid w:val="00A90D10"/>
    <w:rsid w:val="00A94AF1"/>
    <w:rsid w:val="00A95087"/>
    <w:rsid w:val="00A950D1"/>
    <w:rsid w:val="00A952C7"/>
    <w:rsid w:val="00A96C5A"/>
    <w:rsid w:val="00A96E76"/>
    <w:rsid w:val="00A97933"/>
    <w:rsid w:val="00AA003C"/>
    <w:rsid w:val="00AA0E99"/>
    <w:rsid w:val="00AA1094"/>
    <w:rsid w:val="00AA1103"/>
    <w:rsid w:val="00AA1397"/>
    <w:rsid w:val="00AA4311"/>
    <w:rsid w:val="00AA5041"/>
    <w:rsid w:val="00AA619F"/>
    <w:rsid w:val="00AA6294"/>
    <w:rsid w:val="00AA70B6"/>
    <w:rsid w:val="00AA7478"/>
    <w:rsid w:val="00AB0803"/>
    <w:rsid w:val="00AB09B3"/>
    <w:rsid w:val="00AB1E96"/>
    <w:rsid w:val="00AB213C"/>
    <w:rsid w:val="00AB270E"/>
    <w:rsid w:val="00AB4089"/>
    <w:rsid w:val="00AB48F8"/>
    <w:rsid w:val="00AB7158"/>
    <w:rsid w:val="00AC12CD"/>
    <w:rsid w:val="00AC3DDC"/>
    <w:rsid w:val="00AC6D51"/>
    <w:rsid w:val="00AC7B90"/>
    <w:rsid w:val="00AD0661"/>
    <w:rsid w:val="00AD07AB"/>
    <w:rsid w:val="00AD11E3"/>
    <w:rsid w:val="00AD1BDD"/>
    <w:rsid w:val="00AD27F8"/>
    <w:rsid w:val="00AD4672"/>
    <w:rsid w:val="00AD4F73"/>
    <w:rsid w:val="00AD622C"/>
    <w:rsid w:val="00AD7150"/>
    <w:rsid w:val="00AD7ECA"/>
    <w:rsid w:val="00AE0C9B"/>
    <w:rsid w:val="00AE130B"/>
    <w:rsid w:val="00AE2E70"/>
    <w:rsid w:val="00AE329B"/>
    <w:rsid w:val="00AE340A"/>
    <w:rsid w:val="00AE347A"/>
    <w:rsid w:val="00AE3828"/>
    <w:rsid w:val="00AE3CB1"/>
    <w:rsid w:val="00AE42DF"/>
    <w:rsid w:val="00AE5375"/>
    <w:rsid w:val="00AE5FC8"/>
    <w:rsid w:val="00AE7713"/>
    <w:rsid w:val="00AE7859"/>
    <w:rsid w:val="00AE790E"/>
    <w:rsid w:val="00AF0749"/>
    <w:rsid w:val="00AF07D8"/>
    <w:rsid w:val="00AF1EC5"/>
    <w:rsid w:val="00AF323E"/>
    <w:rsid w:val="00AF7FD9"/>
    <w:rsid w:val="00B02D39"/>
    <w:rsid w:val="00B03951"/>
    <w:rsid w:val="00B04209"/>
    <w:rsid w:val="00B062D0"/>
    <w:rsid w:val="00B073E5"/>
    <w:rsid w:val="00B1001B"/>
    <w:rsid w:val="00B10504"/>
    <w:rsid w:val="00B109C0"/>
    <w:rsid w:val="00B109E9"/>
    <w:rsid w:val="00B13FD8"/>
    <w:rsid w:val="00B14023"/>
    <w:rsid w:val="00B140BE"/>
    <w:rsid w:val="00B14FB0"/>
    <w:rsid w:val="00B15B7C"/>
    <w:rsid w:val="00B17657"/>
    <w:rsid w:val="00B1788F"/>
    <w:rsid w:val="00B20125"/>
    <w:rsid w:val="00B20970"/>
    <w:rsid w:val="00B2208C"/>
    <w:rsid w:val="00B22878"/>
    <w:rsid w:val="00B23F5A"/>
    <w:rsid w:val="00B247FD"/>
    <w:rsid w:val="00B25C7B"/>
    <w:rsid w:val="00B25E7C"/>
    <w:rsid w:val="00B27E72"/>
    <w:rsid w:val="00B305AE"/>
    <w:rsid w:val="00B3161C"/>
    <w:rsid w:val="00B3480E"/>
    <w:rsid w:val="00B351E1"/>
    <w:rsid w:val="00B356CA"/>
    <w:rsid w:val="00B36256"/>
    <w:rsid w:val="00B36E3B"/>
    <w:rsid w:val="00B37920"/>
    <w:rsid w:val="00B40282"/>
    <w:rsid w:val="00B41394"/>
    <w:rsid w:val="00B41806"/>
    <w:rsid w:val="00B46649"/>
    <w:rsid w:val="00B46946"/>
    <w:rsid w:val="00B46B01"/>
    <w:rsid w:val="00B47D14"/>
    <w:rsid w:val="00B513BD"/>
    <w:rsid w:val="00B5227E"/>
    <w:rsid w:val="00B52CDC"/>
    <w:rsid w:val="00B5301D"/>
    <w:rsid w:val="00B5445E"/>
    <w:rsid w:val="00B54AB3"/>
    <w:rsid w:val="00B54BBF"/>
    <w:rsid w:val="00B55EF6"/>
    <w:rsid w:val="00B56A4B"/>
    <w:rsid w:val="00B6030B"/>
    <w:rsid w:val="00B604DB"/>
    <w:rsid w:val="00B609AF"/>
    <w:rsid w:val="00B62584"/>
    <w:rsid w:val="00B6379B"/>
    <w:rsid w:val="00B640CE"/>
    <w:rsid w:val="00B64B60"/>
    <w:rsid w:val="00B659EA"/>
    <w:rsid w:val="00B65CA0"/>
    <w:rsid w:val="00B65D92"/>
    <w:rsid w:val="00B664F4"/>
    <w:rsid w:val="00B66A73"/>
    <w:rsid w:val="00B66F08"/>
    <w:rsid w:val="00B67D85"/>
    <w:rsid w:val="00B71829"/>
    <w:rsid w:val="00B722DF"/>
    <w:rsid w:val="00B72388"/>
    <w:rsid w:val="00B73562"/>
    <w:rsid w:val="00B751C0"/>
    <w:rsid w:val="00B75DAE"/>
    <w:rsid w:val="00B76C1D"/>
    <w:rsid w:val="00B7704B"/>
    <w:rsid w:val="00B82032"/>
    <w:rsid w:val="00B8288A"/>
    <w:rsid w:val="00B835EB"/>
    <w:rsid w:val="00B83CC8"/>
    <w:rsid w:val="00B83E7D"/>
    <w:rsid w:val="00B85380"/>
    <w:rsid w:val="00B859EA"/>
    <w:rsid w:val="00B865C0"/>
    <w:rsid w:val="00B90240"/>
    <w:rsid w:val="00B9262A"/>
    <w:rsid w:val="00B935EA"/>
    <w:rsid w:val="00B93B7F"/>
    <w:rsid w:val="00B95ACB"/>
    <w:rsid w:val="00B97C9A"/>
    <w:rsid w:val="00BA0533"/>
    <w:rsid w:val="00BA0CAC"/>
    <w:rsid w:val="00BA23B3"/>
    <w:rsid w:val="00BA2466"/>
    <w:rsid w:val="00BA4768"/>
    <w:rsid w:val="00BA4987"/>
    <w:rsid w:val="00BA5B4C"/>
    <w:rsid w:val="00BA7019"/>
    <w:rsid w:val="00BA7300"/>
    <w:rsid w:val="00BA7628"/>
    <w:rsid w:val="00BB0F84"/>
    <w:rsid w:val="00BB1191"/>
    <w:rsid w:val="00BB1591"/>
    <w:rsid w:val="00BB1CCB"/>
    <w:rsid w:val="00BB1EE4"/>
    <w:rsid w:val="00BB3D70"/>
    <w:rsid w:val="00BB5635"/>
    <w:rsid w:val="00BB7661"/>
    <w:rsid w:val="00BB7AE8"/>
    <w:rsid w:val="00BC0BD0"/>
    <w:rsid w:val="00BC3A90"/>
    <w:rsid w:val="00BC460B"/>
    <w:rsid w:val="00BC5F3E"/>
    <w:rsid w:val="00BC66CB"/>
    <w:rsid w:val="00BC6B11"/>
    <w:rsid w:val="00BD04D3"/>
    <w:rsid w:val="00BD05C7"/>
    <w:rsid w:val="00BD0F6D"/>
    <w:rsid w:val="00BD253E"/>
    <w:rsid w:val="00BD3499"/>
    <w:rsid w:val="00BD389F"/>
    <w:rsid w:val="00BD3AEE"/>
    <w:rsid w:val="00BD5570"/>
    <w:rsid w:val="00BD5FAE"/>
    <w:rsid w:val="00BD778B"/>
    <w:rsid w:val="00BD7A65"/>
    <w:rsid w:val="00BE059F"/>
    <w:rsid w:val="00BE14B5"/>
    <w:rsid w:val="00BE5FC5"/>
    <w:rsid w:val="00BE6871"/>
    <w:rsid w:val="00BE7417"/>
    <w:rsid w:val="00BF1C92"/>
    <w:rsid w:val="00BF213C"/>
    <w:rsid w:val="00BF2ED8"/>
    <w:rsid w:val="00BF45EC"/>
    <w:rsid w:val="00BF5D97"/>
    <w:rsid w:val="00BF6D5D"/>
    <w:rsid w:val="00BF7D5C"/>
    <w:rsid w:val="00C00419"/>
    <w:rsid w:val="00C00663"/>
    <w:rsid w:val="00C0178C"/>
    <w:rsid w:val="00C02796"/>
    <w:rsid w:val="00C060CE"/>
    <w:rsid w:val="00C06431"/>
    <w:rsid w:val="00C064B0"/>
    <w:rsid w:val="00C07398"/>
    <w:rsid w:val="00C07766"/>
    <w:rsid w:val="00C1198B"/>
    <w:rsid w:val="00C12679"/>
    <w:rsid w:val="00C12968"/>
    <w:rsid w:val="00C129BA"/>
    <w:rsid w:val="00C129BC"/>
    <w:rsid w:val="00C13F1B"/>
    <w:rsid w:val="00C16D65"/>
    <w:rsid w:val="00C17148"/>
    <w:rsid w:val="00C17E44"/>
    <w:rsid w:val="00C20151"/>
    <w:rsid w:val="00C2534D"/>
    <w:rsid w:val="00C26B54"/>
    <w:rsid w:val="00C3172B"/>
    <w:rsid w:val="00C31E74"/>
    <w:rsid w:val="00C32E32"/>
    <w:rsid w:val="00C353C8"/>
    <w:rsid w:val="00C35D68"/>
    <w:rsid w:val="00C37BB1"/>
    <w:rsid w:val="00C411C0"/>
    <w:rsid w:val="00C41D6B"/>
    <w:rsid w:val="00C422A9"/>
    <w:rsid w:val="00C4242A"/>
    <w:rsid w:val="00C429AF"/>
    <w:rsid w:val="00C42EC4"/>
    <w:rsid w:val="00C437A0"/>
    <w:rsid w:val="00C44144"/>
    <w:rsid w:val="00C445D7"/>
    <w:rsid w:val="00C46890"/>
    <w:rsid w:val="00C502F2"/>
    <w:rsid w:val="00C51B0E"/>
    <w:rsid w:val="00C51E85"/>
    <w:rsid w:val="00C51EC9"/>
    <w:rsid w:val="00C5423B"/>
    <w:rsid w:val="00C54636"/>
    <w:rsid w:val="00C5791F"/>
    <w:rsid w:val="00C62030"/>
    <w:rsid w:val="00C625A7"/>
    <w:rsid w:val="00C62F06"/>
    <w:rsid w:val="00C62FC2"/>
    <w:rsid w:val="00C631D2"/>
    <w:rsid w:val="00C63763"/>
    <w:rsid w:val="00C65F7E"/>
    <w:rsid w:val="00C66CC5"/>
    <w:rsid w:val="00C674CF"/>
    <w:rsid w:val="00C67EAD"/>
    <w:rsid w:val="00C71411"/>
    <w:rsid w:val="00C717F8"/>
    <w:rsid w:val="00C76C2F"/>
    <w:rsid w:val="00C76ED6"/>
    <w:rsid w:val="00C77007"/>
    <w:rsid w:val="00C803BB"/>
    <w:rsid w:val="00C8428F"/>
    <w:rsid w:val="00C84C91"/>
    <w:rsid w:val="00C855EF"/>
    <w:rsid w:val="00C87104"/>
    <w:rsid w:val="00C87CD4"/>
    <w:rsid w:val="00C91186"/>
    <w:rsid w:val="00C926E3"/>
    <w:rsid w:val="00C9299F"/>
    <w:rsid w:val="00C943AC"/>
    <w:rsid w:val="00C94817"/>
    <w:rsid w:val="00C95C15"/>
    <w:rsid w:val="00C95CE0"/>
    <w:rsid w:val="00C978F9"/>
    <w:rsid w:val="00C97AF1"/>
    <w:rsid w:val="00CA1860"/>
    <w:rsid w:val="00CA2CC2"/>
    <w:rsid w:val="00CA3BB6"/>
    <w:rsid w:val="00CA4AD3"/>
    <w:rsid w:val="00CA5945"/>
    <w:rsid w:val="00CA7FAB"/>
    <w:rsid w:val="00CB0239"/>
    <w:rsid w:val="00CB2357"/>
    <w:rsid w:val="00CB3D5C"/>
    <w:rsid w:val="00CB3DAE"/>
    <w:rsid w:val="00CB51FE"/>
    <w:rsid w:val="00CB53FC"/>
    <w:rsid w:val="00CB59B2"/>
    <w:rsid w:val="00CB776A"/>
    <w:rsid w:val="00CC043B"/>
    <w:rsid w:val="00CC0D82"/>
    <w:rsid w:val="00CC16B1"/>
    <w:rsid w:val="00CC46F0"/>
    <w:rsid w:val="00CC4A25"/>
    <w:rsid w:val="00CC6818"/>
    <w:rsid w:val="00CC68F0"/>
    <w:rsid w:val="00CC6BC1"/>
    <w:rsid w:val="00CC713C"/>
    <w:rsid w:val="00CC7371"/>
    <w:rsid w:val="00CC7439"/>
    <w:rsid w:val="00CD0231"/>
    <w:rsid w:val="00CD0AE0"/>
    <w:rsid w:val="00CD1929"/>
    <w:rsid w:val="00CD1C25"/>
    <w:rsid w:val="00CD3515"/>
    <w:rsid w:val="00CD44D6"/>
    <w:rsid w:val="00CD4831"/>
    <w:rsid w:val="00CD4BFB"/>
    <w:rsid w:val="00CD4F61"/>
    <w:rsid w:val="00CD52EB"/>
    <w:rsid w:val="00CD5B3B"/>
    <w:rsid w:val="00CD5B5D"/>
    <w:rsid w:val="00CD66A6"/>
    <w:rsid w:val="00CD6773"/>
    <w:rsid w:val="00CD7A8E"/>
    <w:rsid w:val="00CD7AF5"/>
    <w:rsid w:val="00CE0B54"/>
    <w:rsid w:val="00CE0C1A"/>
    <w:rsid w:val="00CE1E79"/>
    <w:rsid w:val="00CE2C52"/>
    <w:rsid w:val="00CE43F8"/>
    <w:rsid w:val="00CE4BF5"/>
    <w:rsid w:val="00CE506E"/>
    <w:rsid w:val="00CE5238"/>
    <w:rsid w:val="00CE5526"/>
    <w:rsid w:val="00CE5FE3"/>
    <w:rsid w:val="00CE6764"/>
    <w:rsid w:val="00CE7C7C"/>
    <w:rsid w:val="00CF036F"/>
    <w:rsid w:val="00CF0545"/>
    <w:rsid w:val="00CF16BF"/>
    <w:rsid w:val="00CF228E"/>
    <w:rsid w:val="00CF240E"/>
    <w:rsid w:val="00CF483F"/>
    <w:rsid w:val="00CF4E2B"/>
    <w:rsid w:val="00CF5D3C"/>
    <w:rsid w:val="00CF61B0"/>
    <w:rsid w:val="00CF67D3"/>
    <w:rsid w:val="00CF69F9"/>
    <w:rsid w:val="00CF721F"/>
    <w:rsid w:val="00D0104C"/>
    <w:rsid w:val="00D020A4"/>
    <w:rsid w:val="00D02167"/>
    <w:rsid w:val="00D0285E"/>
    <w:rsid w:val="00D02A8E"/>
    <w:rsid w:val="00D0351E"/>
    <w:rsid w:val="00D0375C"/>
    <w:rsid w:val="00D041A4"/>
    <w:rsid w:val="00D05E05"/>
    <w:rsid w:val="00D066AE"/>
    <w:rsid w:val="00D066B3"/>
    <w:rsid w:val="00D075FD"/>
    <w:rsid w:val="00D07B8C"/>
    <w:rsid w:val="00D07F5E"/>
    <w:rsid w:val="00D101C1"/>
    <w:rsid w:val="00D104CC"/>
    <w:rsid w:val="00D108D3"/>
    <w:rsid w:val="00D10EBA"/>
    <w:rsid w:val="00D13517"/>
    <w:rsid w:val="00D135E8"/>
    <w:rsid w:val="00D13C2B"/>
    <w:rsid w:val="00D1494E"/>
    <w:rsid w:val="00D20DB9"/>
    <w:rsid w:val="00D2170B"/>
    <w:rsid w:val="00D21E62"/>
    <w:rsid w:val="00D23AD8"/>
    <w:rsid w:val="00D23BEE"/>
    <w:rsid w:val="00D24829"/>
    <w:rsid w:val="00D249CD"/>
    <w:rsid w:val="00D251B1"/>
    <w:rsid w:val="00D258F0"/>
    <w:rsid w:val="00D259BB"/>
    <w:rsid w:val="00D26202"/>
    <w:rsid w:val="00D266E4"/>
    <w:rsid w:val="00D30CFC"/>
    <w:rsid w:val="00D31631"/>
    <w:rsid w:val="00D31D35"/>
    <w:rsid w:val="00D325F4"/>
    <w:rsid w:val="00D32AB3"/>
    <w:rsid w:val="00D330E0"/>
    <w:rsid w:val="00D34636"/>
    <w:rsid w:val="00D3638C"/>
    <w:rsid w:val="00D37449"/>
    <w:rsid w:val="00D3778A"/>
    <w:rsid w:val="00D378FA"/>
    <w:rsid w:val="00D37AA3"/>
    <w:rsid w:val="00D4055B"/>
    <w:rsid w:val="00D412B8"/>
    <w:rsid w:val="00D4185A"/>
    <w:rsid w:val="00D431D8"/>
    <w:rsid w:val="00D4340B"/>
    <w:rsid w:val="00D443B3"/>
    <w:rsid w:val="00D446C3"/>
    <w:rsid w:val="00D467E3"/>
    <w:rsid w:val="00D5024A"/>
    <w:rsid w:val="00D51A62"/>
    <w:rsid w:val="00D51DA9"/>
    <w:rsid w:val="00D5371A"/>
    <w:rsid w:val="00D53850"/>
    <w:rsid w:val="00D53D52"/>
    <w:rsid w:val="00D54252"/>
    <w:rsid w:val="00D5491C"/>
    <w:rsid w:val="00D55BB1"/>
    <w:rsid w:val="00D56A86"/>
    <w:rsid w:val="00D57392"/>
    <w:rsid w:val="00D5755C"/>
    <w:rsid w:val="00D601DA"/>
    <w:rsid w:val="00D608F3"/>
    <w:rsid w:val="00D61AFA"/>
    <w:rsid w:val="00D62731"/>
    <w:rsid w:val="00D635F2"/>
    <w:rsid w:val="00D65EAF"/>
    <w:rsid w:val="00D661F0"/>
    <w:rsid w:val="00D6647E"/>
    <w:rsid w:val="00D679CE"/>
    <w:rsid w:val="00D7001A"/>
    <w:rsid w:val="00D70027"/>
    <w:rsid w:val="00D70063"/>
    <w:rsid w:val="00D72662"/>
    <w:rsid w:val="00D72CD1"/>
    <w:rsid w:val="00D73E3A"/>
    <w:rsid w:val="00D74BEF"/>
    <w:rsid w:val="00D756FD"/>
    <w:rsid w:val="00D762A7"/>
    <w:rsid w:val="00D77824"/>
    <w:rsid w:val="00D803AE"/>
    <w:rsid w:val="00D821A1"/>
    <w:rsid w:val="00D83784"/>
    <w:rsid w:val="00D87DB7"/>
    <w:rsid w:val="00D87DBE"/>
    <w:rsid w:val="00D90068"/>
    <w:rsid w:val="00D91444"/>
    <w:rsid w:val="00D914EF"/>
    <w:rsid w:val="00D92212"/>
    <w:rsid w:val="00D94971"/>
    <w:rsid w:val="00D94F78"/>
    <w:rsid w:val="00D96044"/>
    <w:rsid w:val="00D96052"/>
    <w:rsid w:val="00D966B0"/>
    <w:rsid w:val="00D97567"/>
    <w:rsid w:val="00DA0077"/>
    <w:rsid w:val="00DA0C67"/>
    <w:rsid w:val="00DA192A"/>
    <w:rsid w:val="00DA1C2F"/>
    <w:rsid w:val="00DA41ED"/>
    <w:rsid w:val="00DA450E"/>
    <w:rsid w:val="00DA641E"/>
    <w:rsid w:val="00DA73B3"/>
    <w:rsid w:val="00DA75B9"/>
    <w:rsid w:val="00DB1748"/>
    <w:rsid w:val="00DB2663"/>
    <w:rsid w:val="00DB26D5"/>
    <w:rsid w:val="00DB2ABA"/>
    <w:rsid w:val="00DB34DD"/>
    <w:rsid w:val="00DB4184"/>
    <w:rsid w:val="00DB4C29"/>
    <w:rsid w:val="00DB4F49"/>
    <w:rsid w:val="00DB5498"/>
    <w:rsid w:val="00DB5A32"/>
    <w:rsid w:val="00DB69EF"/>
    <w:rsid w:val="00DB7284"/>
    <w:rsid w:val="00DC0BE5"/>
    <w:rsid w:val="00DC2649"/>
    <w:rsid w:val="00DC34E0"/>
    <w:rsid w:val="00DC3F1D"/>
    <w:rsid w:val="00DC429C"/>
    <w:rsid w:val="00DC582F"/>
    <w:rsid w:val="00DC58A8"/>
    <w:rsid w:val="00DC6883"/>
    <w:rsid w:val="00DC74F6"/>
    <w:rsid w:val="00DD03FB"/>
    <w:rsid w:val="00DD07F2"/>
    <w:rsid w:val="00DD0C62"/>
    <w:rsid w:val="00DD1307"/>
    <w:rsid w:val="00DD1C48"/>
    <w:rsid w:val="00DD45EB"/>
    <w:rsid w:val="00DD4BD1"/>
    <w:rsid w:val="00DD4BFD"/>
    <w:rsid w:val="00DD7987"/>
    <w:rsid w:val="00DE3590"/>
    <w:rsid w:val="00DE376B"/>
    <w:rsid w:val="00DE519B"/>
    <w:rsid w:val="00DE5412"/>
    <w:rsid w:val="00DE5E58"/>
    <w:rsid w:val="00DE6218"/>
    <w:rsid w:val="00DE7DEC"/>
    <w:rsid w:val="00DF0646"/>
    <w:rsid w:val="00DF073A"/>
    <w:rsid w:val="00DF0B49"/>
    <w:rsid w:val="00DF11B6"/>
    <w:rsid w:val="00DF1FE5"/>
    <w:rsid w:val="00DF32CD"/>
    <w:rsid w:val="00DF3307"/>
    <w:rsid w:val="00DF6FD4"/>
    <w:rsid w:val="00DF70A0"/>
    <w:rsid w:val="00DF719D"/>
    <w:rsid w:val="00DF74A2"/>
    <w:rsid w:val="00DF74DC"/>
    <w:rsid w:val="00E0044A"/>
    <w:rsid w:val="00E00EAA"/>
    <w:rsid w:val="00E02BA0"/>
    <w:rsid w:val="00E050BE"/>
    <w:rsid w:val="00E0592C"/>
    <w:rsid w:val="00E05C4D"/>
    <w:rsid w:val="00E07D39"/>
    <w:rsid w:val="00E108AB"/>
    <w:rsid w:val="00E1199C"/>
    <w:rsid w:val="00E11FF0"/>
    <w:rsid w:val="00E12B68"/>
    <w:rsid w:val="00E14A17"/>
    <w:rsid w:val="00E17E73"/>
    <w:rsid w:val="00E216FF"/>
    <w:rsid w:val="00E21738"/>
    <w:rsid w:val="00E21BF1"/>
    <w:rsid w:val="00E22568"/>
    <w:rsid w:val="00E23AD5"/>
    <w:rsid w:val="00E2435C"/>
    <w:rsid w:val="00E25391"/>
    <w:rsid w:val="00E259E8"/>
    <w:rsid w:val="00E30BE4"/>
    <w:rsid w:val="00E30FBD"/>
    <w:rsid w:val="00E329C9"/>
    <w:rsid w:val="00E330E1"/>
    <w:rsid w:val="00E33C66"/>
    <w:rsid w:val="00E35BD9"/>
    <w:rsid w:val="00E367C7"/>
    <w:rsid w:val="00E3746C"/>
    <w:rsid w:val="00E37C67"/>
    <w:rsid w:val="00E4018C"/>
    <w:rsid w:val="00E4176F"/>
    <w:rsid w:val="00E42728"/>
    <w:rsid w:val="00E42C90"/>
    <w:rsid w:val="00E42D81"/>
    <w:rsid w:val="00E44104"/>
    <w:rsid w:val="00E45676"/>
    <w:rsid w:val="00E46F5E"/>
    <w:rsid w:val="00E479EB"/>
    <w:rsid w:val="00E506BD"/>
    <w:rsid w:val="00E50E7E"/>
    <w:rsid w:val="00E517A7"/>
    <w:rsid w:val="00E5256E"/>
    <w:rsid w:val="00E53EDE"/>
    <w:rsid w:val="00E547A7"/>
    <w:rsid w:val="00E5505D"/>
    <w:rsid w:val="00E563DF"/>
    <w:rsid w:val="00E56A1D"/>
    <w:rsid w:val="00E61E72"/>
    <w:rsid w:val="00E64149"/>
    <w:rsid w:val="00E64E30"/>
    <w:rsid w:val="00E66275"/>
    <w:rsid w:val="00E66AB2"/>
    <w:rsid w:val="00E6736B"/>
    <w:rsid w:val="00E677AD"/>
    <w:rsid w:val="00E67EC2"/>
    <w:rsid w:val="00E70818"/>
    <w:rsid w:val="00E7181E"/>
    <w:rsid w:val="00E7283F"/>
    <w:rsid w:val="00E73A00"/>
    <w:rsid w:val="00E74ACF"/>
    <w:rsid w:val="00E772C6"/>
    <w:rsid w:val="00E7787A"/>
    <w:rsid w:val="00E80BE6"/>
    <w:rsid w:val="00E81364"/>
    <w:rsid w:val="00E8172C"/>
    <w:rsid w:val="00E82DC6"/>
    <w:rsid w:val="00E84A20"/>
    <w:rsid w:val="00E85E5C"/>
    <w:rsid w:val="00E86A9D"/>
    <w:rsid w:val="00E879A8"/>
    <w:rsid w:val="00E925F5"/>
    <w:rsid w:val="00E93358"/>
    <w:rsid w:val="00E93582"/>
    <w:rsid w:val="00E93C5C"/>
    <w:rsid w:val="00E94790"/>
    <w:rsid w:val="00E947B1"/>
    <w:rsid w:val="00E94A44"/>
    <w:rsid w:val="00E95050"/>
    <w:rsid w:val="00E9520F"/>
    <w:rsid w:val="00E95791"/>
    <w:rsid w:val="00E95B41"/>
    <w:rsid w:val="00E97DD7"/>
    <w:rsid w:val="00E97E21"/>
    <w:rsid w:val="00EA37F8"/>
    <w:rsid w:val="00EA38AF"/>
    <w:rsid w:val="00EA50F3"/>
    <w:rsid w:val="00EA5767"/>
    <w:rsid w:val="00EA6143"/>
    <w:rsid w:val="00EA7464"/>
    <w:rsid w:val="00EB166D"/>
    <w:rsid w:val="00EB1D00"/>
    <w:rsid w:val="00EB226B"/>
    <w:rsid w:val="00EB3E20"/>
    <w:rsid w:val="00EB5CD4"/>
    <w:rsid w:val="00EB6E18"/>
    <w:rsid w:val="00EB75D9"/>
    <w:rsid w:val="00EC0511"/>
    <w:rsid w:val="00EC065D"/>
    <w:rsid w:val="00EC23DE"/>
    <w:rsid w:val="00EC2F76"/>
    <w:rsid w:val="00EC5E1B"/>
    <w:rsid w:val="00EC6182"/>
    <w:rsid w:val="00EC6609"/>
    <w:rsid w:val="00EC6C75"/>
    <w:rsid w:val="00ED0461"/>
    <w:rsid w:val="00ED04FE"/>
    <w:rsid w:val="00ED14F2"/>
    <w:rsid w:val="00ED2353"/>
    <w:rsid w:val="00ED2594"/>
    <w:rsid w:val="00ED44AF"/>
    <w:rsid w:val="00ED5745"/>
    <w:rsid w:val="00ED6A38"/>
    <w:rsid w:val="00ED6B22"/>
    <w:rsid w:val="00ED79A5"/>
    <w:rsid w:val="00EE093E"/>
    <w:rsid w:val="00EE0D8F"/>
    <w:rsid w:val="00EE0EF5"/>
    <w:rsid w:val="00EE2170"/>
    <w:rsid w:val="00EE25D9"/>
    <w:rsid w:val="00EE2C45"/>
    <w:rsid w:val="00EE3794"/>
    <w:rsid w:val="00EE4C3B"/>
    <w:rsid w:val="00EE545C"/>
    <w:rsid w:val="00EE568B"/>
    <w:rsid w:val="00EF0EB2"/>
    <w:rsid w:val="00EF39D3"/>
    <w:rsid w:val="00EF3DEC"/>
    <w:rsid w:val="00F00CBA"/>
    <w:rsid w:val="00F01C44"/>
    <w:rsid w:val="00F02B10"/>
    <w:rsid w:val="00F03480"/>
    <w:rsid w:val="00F0387C"/>
    <w:rsid w:val="00F05516"/>
    <w:rsid w:val="00F05828"/>
    <w:rsid w:val="00F06BDC"/>
    <w:rsid w:val="00F06DDA"/>
    <w:rsid w:val="00F0700E"/>
    <w:rsid w:val="00F07E31"/>
    <w:rsid w:val="00F11BE6"/>
    <w:rsid w:val="00F1228B"/>
    <w:rsid w:val="00F12456"/>
    <w:rsid w:val="00F12A83"/>
    <w:rsid w:val="00F2022E"/>
    <w:rsid w:val="00F205AE"/>
    <w:rsid w:val="00F20B57"/>
    <w:rsid w:val="00F20FA7"/>
    <w:rsid w:val="00F24EF6"/>
    <w:rsid w:val="00F273E2"/>
    <w:rsid w:val="00F27485"/>
    <w:rsid w:val="00F27962"/>
    <w:rsid w:val="00F3242C"/>
    <w:rsid w:val="00F3353C"/>
    <w:rsid w:val="00F3409C"/>
    <w:rsid w:val="00F34486"/>
    <w:rsid w:val="00F34CE6"/>
    <w:rsid w:val="00F34EDE"/>
    <w:rsid w:val="00F352DF"/>
    <w:rsid w:val="00F357B7"/>
    <w:rsid w:val="00F3608B"/>
    <w:rsid w:val="00F36B6B"/>
    <w:rsid w:val="00F36D79"/>
    <w:rsid w:val="00F36E50"/>
    <w:rsid w:val="00F37337"/>
    <w:rsid w:val="00F37612"/>
    <w:rsid w:val="00F409CE"/>
    <w:rsid w:val="00F411C3"/>
    <w:rsid w:val="00F42347"/>
    <w:rsid w:val="00F42362"/>
    <w:rsid w:val="00F42820"/>
    <w:rsid w:val="00F42AB7"/>
    <w:rsid w:val="00F43159"/>
    <w:rsid w:val="00F4395C"/>
    <w:rsid w:val="00F44B5F"/>
    <w:rsid w:val="00F45218"/>
    <w:rsid w:val="00F455D2"/>
    <w:rsid w:val="00F467B7"/>
    <w:rsid w:val="00F46FD0"/>
    <w:rsid w:val="00F4710F"/>
    <w:rsid w:val="00F47A0B"/>
    <w:rsid w:val="00F50354"/>
    <w:rsid w:val="00F50CB6"/>
    <w:rsid w:val="00F524F9"/>
    <w:rsid w:val="00F526A5"/>
    <w:rsid w:val="00F5312C"/>
    <w:rsid w:val="00F5351C"/>
    <w:rsid w:val="00F53C43"/>
    <w:rsid w:val="00F53F23"/>
    <w:rsid w:val="00F54751"/>
    <w:rsid w:val="00F54D01"/>
    <w:rsid w:val="00F561A3"/>
    <w:rsid w:val="00F56645"/>
    <w:rsid w:val="00F5707E"/>
    <w:rsid w:val="00F57FD5"/>
    <w:rsid w:val="00F60263"/>
    <w:rsid w:val="00F60E30"/>
    <w:rsid w:val="00F64387"/>
    <w:rsid w:val="00F666B8"/>
    <w:rsid w:val="00F67199"/>
    <w:rsid w:val="00F67C22"/>
    <w:rsid w:val="00F7024C"/>
    <w:rsid w:val="00F70ED6"/>
    <w:rsid w:val="00F71823"/>
    <w:rsid w:val="00F725BB"/>
    <w:rsid w:val="00F728E8"/>
    <w:rsid w:val="00F74A67"/>
    <w:rsid w:val="00F75123"/>
    <w:rsid w:val="00F751D1"/>
    <w:rsid w:val="00F758DA"/>
    <w:rsid w:val="00F769EB"/>
    <w:rsid w:val="00F822D7"/>
    <w:rsid w:val="00F83FE2"/>
    <w:rsid w:val="00F855EA"/>
    <w:rsid w:val="00F8664D"/>
    <w:rsid w:val="00F86ACB"/>
    <w:rsid w:val="00F87C3E"/>
    <w:rsid w:val="00F901EA"/>
    <w:rsid w:val="00F91FA9"/>
    <w:rsid w:val="00F921F6"/>
    <w:rsid w:val="00F92E1E"/>
    <w:rsid w:val="00F92EDC"/>
    <w:rsid w:val="00F9348C"/>
    <w:rsid w:val="00F934C2"/>
    <w:rsid w:val="00F9370E"/>
    <w:rsid w:val="00F93861"/>
    <w:rsid w:val="00F946B0"/>
    <w:rsid w:val="00F94B35"/>
    <w:rsid w:val="00F94E98"/>
    <w:rsid w:val="00F96CAA"/>
    <w:rsid w:val="00F97730"/>
    <w:rsid w:val="00F97AF6"/>
    <w:rsid w:val="00FA2A36"/>
    <w:rsid w:val="00FA3A14"/>
    <w:rsid w:val="00FA4B7E"/>
    <w:rsid w:val="00FA642F"/>
    <w:rsid w:val="00FA72E0"/>
    <w:rsid w:val="00FB1683"/>
    <w:rsid w:val="00FB247B"/>
    <w:rsid w:val="00FB2B7C"/>
    <w:rsid w:val="00FB2DB0"/>
    <w:rsid w:val="00FB38AA"/>
    <w:rsid w:val="00FB4309"/>
    <w:rsid w:val="00FB4D06"/>
    <w:rsid w:val="00FB515D"/>
    <w:rsid w:val="00FB519B"/>
    <w:rsid w:val="00FB690D"/>
    <w:rsid w:val="00FB6A94"/>
    <w:rsid w:val="00FB7BF4"/>
    <w:rsid w:val="00FC0115"/>
    <w:rsid w:val="00FC17FB"/>
    <w:rsid w:val="00FC3DB6"/>
    <w:rsid w:val="00FC3E45"/>
    <w:rsid w:val="00FC3EAA"/>
    <w:rsid w:val="00FC408F"/>
    <w:rsid w:val="00FC4DEC"/>
    <w:rsid w:val="00FD0AEC"/>
    <w:rsid w:val="00FD1470"/>
    <w:rsid w:val="00FD2383"/>
    <w:rsid w:val="00FD3A2F"/>
    <w:rsid w:val="00FD3F87"/>
    <w:rsid w:val="00FD4545"/>
    <w:rsid w:val="00FD69F0"/>
    <w:rsid w:val="00FE106C"/>
    <w:rsid w:val="00FE1332"/>
    <w:rsid w:val="00FE2CFB"/>
    <w:rsid w:val="00FE3855"/>
    <w:rsid w:val="00FE4C68"/>
    <w:rsid w:val="00FE6A58"/>
    <w:rsid w:val="00FF185A"/>
    <w:rsid w:val="00FF257C"/>
    <w:rsid w:val="00FF331B"/>
    <w:rsid w:val="00FF47E7"/>
    <w:rsid w:val="00FF48FD"/>
    <w:rsid w:val="00FF51BB"/>
    <w:rsid w:val="00FF53F2"/>
    <w:rsid w:val="00FF6911"/>
    <w:rsid w:val="00FF7C27"/>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uiPriority w:val="99"/>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uiPriority w:val="99"/>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customStyle="1" w:styleId="bodytext">
    <w:name w:val="bodytext"/>
    <w:basedOn w:val="Normal"/>
    <w:link w:val="bodytextChar"/>
    <w:qFormat/>
    <w:rsid w:val="00D259BB"/>
    <w:pPr>
      <w:ind w:firstLine="720"/>
    </w:pPr>
  </w:style>
  <w:style w:type="character" w:customStyle="1" w:styleId="bodytextChar">
    <w:name w:val="bodytext Char"/>
    <w:basedOn w:val="DefaultParagraphFont"/>
    <w:link w:val="bodytext"/>
    <w:rsid w:val="00D259BB"/>
  </w:style>
  <w:style w:type="character" w:customStyle="1" w:styleId="FootnoteTextChar">
    <w:name w:val="Footnote Text Char"/>
    <w:basedOn w:val="DefaultParagraphFont"/>
    <w:link w:val="FootnoteText"/>
    <w:uiPriority w:val="99"/>
    <w:rsid w:val="00FB6A94"/>
  </w:style>
  <w:style w:type="paragraph" w:styleId="BalloonText">
    <w:name w:val="Balloon Text"/>
    <w:basedOn w:val="Normal"/>
    <w:link w:val="BalloonTextChar"/>
    <w:rsid w:val="00E547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547A7"/>
    <w:rPr>
      <w:rFonts w:ascii="Segoe UI" w:hAnsi="Segoe UI" w:cs="Segoe UI"/>
      <w:sz w:val="18"/>
      <w:szCs w:val="18"/>
    </w:rPr>
  </w:style>
  <w:style w:type="character" w:styleId="CommentReference">
    <w:name w:val="annotation reference"/>
    <w:basedOn w:val="DefaultParagraphFont"/>
    <w:semiHidden/>
    <w:unhideWhenUsed/>
    <w:rsid w:val="002D1855"/>
    <w:rPr>
      <w:sz w:val="16"/>
      <w:szCs w:val="16"/>
    </w:rPr>
  </w:style>
  <w:style w:type="paragraph" w:styleId="CommentText">
    <w:name w:val="annotation text"/>
    <w:basedOn w:val="Normal"/>
    <w:link w:val="CommentTextChar"/>
    <w:unhideWhenUsed/>
    <w:rsid w:val="002D1855"/>
    <w:pPr>
      <w:spacing w:line="240" w:lineRule="auto"/>
    </w:pPr>
    <w:rPr>
      <w:sz w:val="20"/>
      <w:szCs w:val="20"/>
    </w:rPr>
  </w:style>
  <w:style w:type="character" w:customStyle="1" w:styleId="CommentTextChar">
    <w:name w:val="Comment Text Char"/>
    <w:basedOn w:val="DefaultParagraphFont"/>
    <w:link w:val="CommentText"/>
    <w:rsid w:val="002D1855"/>
    <w:rPr>
      <w:sz w:val="20"/>
      <w:szCs w:val="20"/>
    </w:rPr>
  </w:style>
  <w:style w:type="paragraph" w:styleId="CommentSubject">
    <w:name w:val="annotation subject"/>
    <w:basedOn w:val="CommentText"/>
    <w:next w:val="CommentText"/>
    <w:link w:val="CommentSubjectChar"/>
    <w:semiHidden/>
    <w:unhideWhenUsed/>
    <w:rsid w:val="002D1855"/>
    <w:rPr>
      <w:b/>
      <w:bCs/>
    </w:rPr>
  </w:style>
  <w:style w:type="character" w:customStyle="1" w:styleId="CommentSubjectChar">
    <w:name w:val="Comment Subject Char"/>
    <w:basedOn w:val="CommentTextChar"/>
    <w:link w:val="CommentSubject"/>
    <w:semiHidden/>
    <w:rsid w:val="002D1855"/>
    <w:rPr>
      <w:b/>
      <w:bCs/>
      <w:sz w:val="20"/>
      <w:szCs w:val="20"/>
    </w:rPr>
  </w:style>
  <w:style w:type="paragraph" w:styleId="Revision">
    <w:name w:val="Revision"/>
    <w:hidden/>
    <w:uiPriority w:val="99"/>
    <w:semiHidden/>
    <w:rsid w:val="0054031B"/>
  </w:style>
  <w:style w:type="character" w:styleId="Hyperlink">
    <w:name w:val="Hyperlink"/>
    <w:basedOn w:val="DefaultParagraphFont"/>
    <w:unhideWhenUsed/>
    <w:rsid w:val="009E64C5"/>
    <w:rPr>
      <w:color w:val="0000FF" w:themeColor="hyperlink"/>
      <w:u w:val="single"/>
    </w:rPr>
  </w:style>
  <w:style w:type="character" w:customStyle="1" w:styleId="UnresolvedMention1">
    <w:name w:val="Unresolved Mention1"/>
    <w:basedOn w:val="DefaultParagraphFont"/>
    <w:uiPriority w:val="99"/>
    <w:semiHidden/>
    <w:unhideWhenUsed/>
    <w:rsid w:val="009E6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21F3A-6AA1-455D-A720-DD85CD9C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19874</Words>
  <Characters>102014</Characters>
  <Application>Microsoft Office Word</Application>
  <DocSecurity>0</DocSecurity>
  <Lines>1603</Lines>
  <Paragraphs>288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2022-08-01T19:39:00Z</dcterms:created>
  <dcterms:modified xsi:type="dcterms:W3CDTF">2022-08-01T19:39:00Z</dcterms:modified>
  <cp:category/>
</cp:coreProperties>
</file>