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931A" w14:textId="11356C1A" w:rsidR="00EE1145" w:rsidRPr="00C7452F" w:rsidRDefault="003A1B6E" w:rsidP="00146518">
      <w:pPr>
        <w:spacing w:line="240" w:lineRule="atLeast"/>
        <w:jc w:val="center"/>
        <w:rPr>
          <w:sz w:val="20"/>
          <w:szCs w:val="20"/>
        </w:rPr>
      </w:pPr>
      <w:r w:rsidRPr="00C7452F">
        <w:rPr>
          <w:sz w:val="20"/>
          <w:szCs w:val="20"/>
        </w:rPr>
        <w:t>Filed 6/11/21</w:t>
      </w:r>
      <w:bookmarkStart w:id="0" w:name="_Hlk81990535"/>
      <w:r w:rsidR="00146518" w:rsidRPr="008E26C3">
        <w:rPr>
          <w:sz w:val="20"/>
        </w:rPr>
        <w:t>; REVIEW GRANTED.  See Cal. Rules of Court, rules 8.1105 and 8.1115 (and corresponding Comment, par. 2, concerning rule 8.1115(e)(3)).</w:t>
      </w:r>
      <w:bookmarkEnd w:id="0"/>
    </w:p>
    <w:p w14:paraId="00165F6E" w14:textId="4028E714" w:rsidR="00EE1145" w:rsidRDefault="00EE1145" w:rsidP="00EE1145">
      <w:pPr>
        <w:spacing w:line="240" w:lineRule="atLeast"/>
        <w:jc w:val="center"/>
        <w:rPr>
          <w:u w:val="words"/>
        </w:rPr>
      </w:pPr>
      <w:r w:rsidRPr="00EE1145">
        <w:rPr>
          <w:u w:val="words"/>
        </w:rPr>
        <w:t>CERTIFIED FOR PUBLICATION</w:t>
      </w:r>
    </w:p>
    <w:p w14:paraId="7C35B4D1" w14:textId="3366ABDD" w:rsidR="00EE1145" w:rsidRDefault="00EE1145" w:rsidP="00EE1145">
      <w:pPr>
        <w:spacing w:line="240" w:lineRule="atLeast"/>
        <w:jc w:val="center"/>
        <w:rPr>
          <w:u w:val="words"/>
        </w:rPr>
      </w:pPr>
    </w:p>
    <w:p w14:paraId="04DC1388" w14:textId="09E5FE82" w:rsidR="00EE1145" w:rsidRDefault="00EE1145" w:rsidP="00EE1145">
      <w:pPr>
        <w:spacing w:line="240" w:lineRule="atLeast"/>
        <w:jc w:val="center"/>
        <w:rPr>
          <w:u w:val="words"/>
        </w:rPr>
      </w:pPr>
    </w:p>
    <w:p w14:paraId="57617A3F" w14:textId="519BA57E" w:rsidR="00EE1145" w:rsidRDefault="00EE1145" w:rsidP="00EE1145">
      <w:pPr>
        <w:spacing w:line="240" w:lineRule="atLeast"/>
        <w:jc w:val="center"/>
        <w:rPr>
          <w:u w:val="words"/>
        </w:rPr>
      </w:pPr>
    </w:p>
    <w:p w14:paraId="5B28AE1C" w14:textId="42AC521F" w:rsidR="00EE1145" w:rsidRDefault="00EE1145" w:rsidP="00EE1145">
      <w:pPr>
        <w:spacing w:line="240" w:lineRule="atLeast"/>
        <w:jc w:val="center"/>
        <w:rPr>
          <w:u w:val="words"/>
        </w:rPr>
      </w:pPr>
    </w:p>
    <w:p w14:paraId="67D742F4" w14:textId="483086B9" w:rsidR="00EE1145" w:rsidRDefault="00EE1145" w:rsidP="00EE1145">
      <w:pPr>
        <w:spacing w:line="240" w:lineRule="atLeast"/>
        <w:jc w:val="center"/>
        <w:rPr>
          <w:u w:val="words"/>
        </w:rPr>
      </w:pPr>
    </w:p>
    <w:p w14:paraId="08AD3942" w14:textId="063B76AC" w:rsidR="00EE1145" w:rsidRDefault="00EE1145" w:rsidP="00EE1145">
      <w:pPr>
        <w:jc w:val="center"/>
      </w:pPr>
      <w:r>
        <w:t>IN THE COURT OF APPEAL OF THE STATE OF CALIFORNIA</w:t>
      </w:r>
    </w:p>
    <w:p w14:paraId="32444BD3" w14:textId="686938BC" w:rsidR="00EE1145" w:rsidRDefault="00EE1145" w:rsidP="00EE1145">
      <w:pPr>
        <w:jc w:val="center"/>
      </w:pPr>
      <w:r>
        <w:t>THIRD APPELLATE DISTRICT</w:t>
      </w:r>
    </w:p>
    <w:p w14:paraId="27B2628F" w14:textId="076F811F" w:rsidR="00EE1145" w:rsidRDefault="00EE1145" w:rsidP="00EE1145">
      <w:pPr>
        <w:jc w:val="center"/>
      </w:pPr>
      <w:r>
        <w:t>(Butte)</w:t>
      </w:r>
    </w:p>
    <w:p w14:paraId="5BB92F85" w14:textId="20D42E88" w:rsidR="00EE1145" w:rsidRDefault="00EE1145" w:rsidP="00EE1145">
      <w:pPr>
        <w:jc w:val="center"/>
      </w:pPr>
      <w:r>
        <w:t>----</w:t>
      </w:r>
    </w:p>
    <w:p w14:paraId="10AF1AFD" w14:textId="28AB14B5" w:rsidR="00EE1145" w:rsidRDefault="00EE1145" w:rsidP="00EE1145">
      <w:pPr>
        <w:spacing w:line="240" w:lineRule="atLeast"/>
      </w:pPr>
    </w:p>
    <w:p w14:paraId="46463174" w14:textId="4B43F55E" w:rsidR="00EE1145" w:rsidRDefault="00EE1145" w:rsidP="00EE1145">
      <w:pPr>
        <w:spacing w:line="240" w:lineRule="atLeast"/>
      </w:pPr>
    </w:p>
    <w:p w14:paraId="0929005A" w14:textId="77777777" w:rsidR="004A5751" w:rsidRDefault="004A5751" w:rsidP="00EE1145">
      <w:pPr>
        <w:spacing w:line="240" w:lineRule="atLeast"/>
      </w:pPr>
    </w:p>
    <w:p w14:paraId="024D1EEF" w14:textId="63A86EB8" w:rsidR="00EE1145" w:rsidRDefault="00EE1145" w:rsidP="00EE114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EE1145" w14:paraId="244F8929" w14:textId="77777777" w:rsidTr="00EE1145">
        <w:tc>
          <w:tcPr>
            <w:tcW w:w="5904" w:type="dxa"/>
            <w:shd w:val="clear" w:color="auto" w:fill="auto"/>
          </w:tcPr>
          <w:p w14:paraId="0DFB73B8" w14:textId="77777777" w:rsidR="00EE1145" w:rsidRDefault="00EE1145" w:rsidP="00EE1145">
            <w:pPr>
              <w:spacing w:line="240" w:lineRule="atLeast"/>
            </w:pPr>
            <w:r>
              <w:t>BARNEY THOMAS WILLIAMS,</w:t>
            </w:r>
          </w:p>
          <w:p w14:paraId="5F41CB26" w14:textId="77777777" w:rsidR="00EE1145" w:rsidRDefault="00EE1145" w:rsidP="00EE1145">
            <w:pPr>
              <w:spacing w:line="240" w:lineRule="atLeast"/>
            </w:pPr>
          </w:p>
          <w:p w14:paraId="383A2F7D" w14:textId="77777777" w:rsidR="00EE1145" w:rsidRDefault="00EE1145" w:rsidP="00EE1145">
            <w:pPr>
              <w:spacing w:line="240" w:lineRule="atLeast"/>
            </w:pPr>
            <w:r>
              <w:tab/>
            </w:r>
            <w:r>
              <w:tab/>
              <w:t>Plaintiff and Appellant,</w:t>
            </w:r>
          </w:p>
          <w:p w14:paraId="4EB3CC14" w14:textId="77777777" w:rsidR="00EE1145" w:rsidRDefault="00EE1145" w:rsidP="00EE1145">
            <w:pPr>
              <w:spacing w:line="240" w:lineRule="atLeast"/>
            </w:pPr>
          </w:p>
          <w:p w14:paraId="0C9ABF76" w14:textId="77777777" w:rsidR="00EE1145" w:rsidRDefault="00EE1145" w:rsidP="00EE1145">
            <w:pPr>
              <w:spacing w:line="240" w:lineRule="atLeast"/>
            </w:pPr>
            <w:r>
              <w:tab/>
              <w:t>v.</w:t>
            </w:r>
          </w:p>
          <w:p w14:paraId="1FADD610" w14:textId="77777777" w:rsidR="00EE1145" w:rsidRDefault="00EE1145" w:rsidP="00EE1145">
            <w:pPr>
              <w:spacing w:line="240" w:lineRule="atLeast"/>
            </w:pPr>
          </w:p>
          <w:p w14:paraId="0F14C02B" w14:textId="77777777" w:rsidR="00EE1145" w:rsidRDefault="00EE1145" w:rsidP="00EE1145">
            <w:pPr>
              <w:spacing w:line="240" w:lineRule="atLeast"/>
            </w:pPr>
            <w:r>
              <w:t>NATIONAL WESTERN LIFE INSURANCE COMPANY,</w:t>
            </w:r>
          </w:p>
          <w:p w14:paraId="323D19DE" w14:textId="77777777" w:rsidR="00EE1145" w:rsidRDefault="00EE1145" w:rsidP="00EE1145">
            <w:pPr>
              <w:spacing w:line="240" w:lineRule="atLeast"/>
            </w:pPr>
          </w:p>
          <w:p w14:paraId="62B93A50" w14:textId="77777777" w:rsidR="00EE1145" w:rsidRDefault="00EE1145" w:rsidP="00EE1145">
            <w:pPr>
              <w:spacing w:line="240" w:lineRule="atLeast"/>
            </w:pPr>
            <w:r>
              <w:tab/>
            </w:r>
            <w:r>
              <w:tab/>
              <w:t>Defendant and Appellant.</w:t>
            </w:r>
          </w:p>
          <w:p w14:paraId="2D3AB1C4" w14:textId="3E0BB8B1" w:rsidR="00EE1145" w:rsidRDefault="00EE1145" w:rsidP="00EE1145">
            <w:pPr>
              <w:spacing w:line="240" w:lineRule="atLeast"/>
            </w:pPr>
          </w:p>
        </w:tc>
        <w:tc>
          <w:tcPr>
            <w:tcW w:w="3456" w:type="dxa"/>
            <w:shd w:val="clear" w:color="auto" w:fill="auto"/>
          </w:tcPr>
          <w:p w14:paraId="4CF88A55" w14:textId="77777777" w:rsidR="00EE1145" w:rsidRDefault="00EE1145" w:rsidP="00EE1145">
            <w:pPr>
              <w:spacing w:line="240" w:lineRule="atLeast"/>
              <w:jc w:val="center"/>
            </w:pPr>
            <w:r>
              <w:t>C090436</w:t>
            </w:r>
          </w:p>
          <w:p w14:paraId="24A9C667" w14:textId="77777777" w:rsidR="00EE1145" w:rsidRDefault="00EE1145" w:rsidP="00EE1145">
            <w:pPr>
              <w:spacing w:line="240" w:lineRule="atLeast"/>
              <w:jc w:val="center"/>
            </w:pPr>
          </w:p>
          <w:p w14:paraId="6E026AE7" w14:textId="77777777" w:rsidR="00EE1145" w:rsidRDefault="00EE1145" w:rsidP="00EE1145">
            <w:pPr>
              <w:spacing w:line="240" w:lineRule="atLeast"/>
              <w:jc w:val="center"/>
            </w:pPr>
            <w:r>
              <w:t>(Super. Ct. No. 17CV03462)</w:t>
            </w:r>
          </w:p>
          <w:p w14:paraId="49D9A3F1" w14:textId="77777777" w:rsidR="00EE1145" w:rsidRDefault="00EE1145" w:rsidP="00EE1145">
            <w:pPr>
              <w:spacing w:line="240" w:lineRule="atLeast"/>
              <w:jc w:val="center"/>
            </w:pPr>
          </w:p>
          <w:p w14:paraId="3FC28405" w14:textId="6DCC18A0" w:rsidR="00EE1145" w:rsidRDefault="00EE1145" w:rsidP="00EE1145">
            <w:pPr>
              <w:spacing w:line="240" w:lineRule="atLeast"/>
              <w:jc w:val="center"/>
            </w:pPr>
          </w:p>
        </w:tc>
      </w:tr>
    </w:tbl>
    <w:p w14:paraId="4FAC7604" w14:textId="40F3A286" w:rsidR="00EE1145" w:rsidRDefault="00EE1145" w:rsidP="00EE1145">
      <w:pPr>
        <w:spacing w:line="240" w:lineRule="atLeast"/>
      </w:pPr>
    </w:p>
    <w:p w14:paraId="5DAEC179" w14:textId="77777777" w:rsidR="00EE1145" w:rsidRDefault="00EE1145" w:rsidP="00EE1145">
      <w:pPr>
        <w:spacing w:line="240" w:lineRule="atLeast"/>
      </w:pPr>
    </w:p>
    <w:p w14:paraId="064909B2" w14:textId="60F97AA1" w:rsidR="00EE1145" w:rsidRDefault="00EE1145" w:rsidP="00EE1145">
      <w:pPr>
        <w:spacing w:line="240" w:lineRule="atLeast"/>
      </w:pPr>
      <w:r>
        <w:tab/>
        <w:t>APPEAL from a judgment of the Superior Court of Butte County, Tamara L. Mosbarger, Judge.  Reversed with directions.</w:t>
      </w:r>
    </w:p>
    <w:p w14:paraId="5DE2661A" w14:textId="5173D7B3" w:rsidR="00EE1145" w:rsidRDefault="00EE1145" w:rsidP="00EE1145">
      <w:pPr>
        <w:spacing w:line="240" w:lineRule="atLeast"/>
      </w:pPr>
    </w:p>
    <w:p w14:paraId="6426C937" w14:textId="2F61407C" w:rsidR="00EE1145" w:rsidRDefault="00EE1145" w:rsidP="00EE1145">
      <w:pPr>
        <w:spacing w:line="240" w:lineRule="atLeast"/>
      </w:pPr>
      <w:r>
        <w:tab/>
        <w:t>Majors &amp; Fox, Frank J. Fox; Law Offices of Mary A. Lehman and Mary A. Lehman for Plaintiff and Appellant.</w:t>
      </w:r>
    </w:p>
    <w:p w14:paraId="766C3695" w14:textId="3076F195" w:rsidR="00EE1145" w:rsidRDefault="00EE1145" w:rsidP="00EE1145">
      <w:pPr>
        <w:spacing w:line="240" w:lineRule="atLeast"/>
      </w:pPr>
    </w:p>
    <w:p w14:paraId="5E1EB9EB" w14:textId="37671978" w:rsidR="00EE1145" w:rsidRDefault="00EE1145" w:rsidP="00EE1145">
      <w:pPr>
        <w:spacing w:line="240" w:lineRule="atLeast"/>
      </w:pPr>
      <w:r>
        <w:tab/>
        <w:t>Hinshaw &amp; Culbertson, Edward F. Donohue, Peter L. Isola; Davis Wright Tremaine and Spencer Persson for Defendant and Appellant.</w:t>
      </w:r>
    </w:p>
    <w:p w14:paraId="16C14D84" w14:textId="77777777" w:rsidR="004A5751" w:rsidRDefault="004A5751"/>
    <w:p w14:paraId="4F996852" w14:textId="77777777" w:rsidR="004A5751" w:rsidRDefault="004A5751"/>
    <w:p w14:paraId="215DC775" w14:textId="4C39BBCF" w:rsidR="00E13D01" w:rsidRDefault="00FF371A">
      <w:r>
        <w:lastRenderedPageBreak/>
        <w:tab/>
        <w:t xml:space="preserve">National Western Life Insurance Company (NWL) appeals from a jury verdict </w:t>
      </w:r>
      <w:r w:rsidR="00BE450D">
        <w:t>holding</w:t>
      </w:r>
      <w:r w:rsidR="00012414">
        <w:t xml:space="preserve"> the company</w:t>
      </w:r>
      <w:r>
        <w:t xml:space="preserve"> liable for negligence and elder abuse arising from an</w:t>
      </w:r>
      <w:r w:rsidR="00226D13">
        <w:t xml:space="preserve"> NWL</w:t>
      </w:r>
      <w:r>
        <w:t xml:space="preserve"> annuity sold t</w:t>
      </w:r>
      <w:r w:rsidR="00EA5446">
        <w:t xml:space="preserve">o </w:t>
      </w:r>
      <w:r>
        <w:t xml:space="preserve">Barney Thomas Williams </w:t>
      </w:r>
      <w:r w:rsidR="00FD15E2">
        <w:t>by</w:t>
      </w:r>
      <w:r w:rsidR="00226D13">
        <w:t xml:space="preserve"> Victor Pantaleoni, an </w:t>
      </w:r>
      <w:r w:rsidR="00445391">
        <w:t xml:space="preserve">independent </w:t>
      </w:r>
      <w:r w:rsidR="00226D13">
        <w:t xml:space="preserve">agent.  </w:t>
      </w:r>
      <w:r w:rsidR="00323EB7">
        <w:t xml:space="preserve">In 2016, </w:t>
      </w:r>
      <w:r w:rsidR="00445391">
        <w:t>Pantaleoni sold a $100,000</w:t>
      </w:r>
      <w:r w:rsidR="00E13D01">
        <w:t xml:space="preserve"> NWL</w:t>
      </w:r>
      <w:r w:rsidR="00445391">
        <w:t xml:space="preserve"> annuity to </w:t>
      </w:r>
      <w:r w:rsidR="00226D13">
        <w:t>Williams</w:t>
      </w:r>
      <w:r w:rsidR="00D42A37">
        <w:t>,</w:t>
      </w:r>
      <w:r w:rsidR="00323EB7">
        <w:t xml:space="preserve"> who</w:t>
      </w:r>
      <w:r w:rsidR="00FD15E2">
        <w:t xml:space="preserve"> had contacted Pantaleoni to revise a</w:t>
      </w:r>
      <w:r w:rsidR="00291E12">
        <w:t xml:space="preserve"> living</w:t>
      </w:r>
      <w:r w:rsidR="00FD15E2">
        <w:t xml:space="preserve"> trust after the death of Williams’ wife.  </w:t>
      </w:r>
      <w:r w:rsidR="00291E12">
        <w:t xml:space="preserve">When </w:t>
      </w:r>
      <w:r w:rsidR="00FD15E2">
        <w:t>Williams returned the annuity to NWL during</w:t>
      </w:r>
      <w:r w:rsidR="00445391">
        <w:t xml:space="preserve"> a 30-day “free look” period</w:t>
      </w:r>
      <w:r w:rsidR="00FD15E2">
        <w:t>, Pantaleoni</w:t>
      </w:r>
      <w:r w:rsidR="00323EB7">
        <w:t xml:space="preserve"> </w:t>
      </w:r>
      <w:r w:rsidR="00185837">
        <w:t>wrote</w:t>
      </w:r>
      <w:r w:rsidR="00FD15E2">
        <w:t xml:space="preserve"> a letter over</w:t>
      </w:r>
      <w:r w:rsidR="00323EB7">
        <w:t xml:space="preserve"> Williams</w:t>
      </w:r>
      <w:r w:rsidR="000A434A">
        <w:t>’</w:t>
      </w:r>
      <w:r w:rsidR="00FD15E2">
        <w:t xml:space="preserve"> signature for NWL to reissue a new annuity.  </w:t>
      </w:r>
      <w:r w:rsidR="00E13D01">
        <w:t>In 2017, w</w:t>
      </w:r>
      <w:r w:rsidR="00445391">
        <w:t>hen Williams cancelled the second annuity, NWL charged a $14,94</w:t>
      </w:r>
      <w:r w:rsidR="004A5751">
        <w:t>9.91</w:t>
      </w:r>
      <w:r w:rsidR="00445391">
        <w:t xml:space="preserve"> surrender penalty.</w:t>
      </w:r>
      <w:r w:rsidR="00EA5446">
        <w:t xml:space="preserve">  T</w:t>
      </w:r>
      <w:r w:rsidR="00445391">
        <w:t>he jury awarded</w:t>
      </w:r>
      <w:r w:rsidR="00C55813">
        <w:t xml:space="preserve"> Williams</w:t>
      </w:r>
      <w:r w:rsidR="00445391">
        <w:t xml:space="preserve"> damages</w:t>
      </w:r>
      <w:r w:rsidR="00E13D01">
        <w:t xml:space="preserve"> against NWL</w:t>
      </w:r>
      <w:r w:rsidR="00445391">
        <w:t xml:space="preserve">, including punitive damages, </w:t>
      </w:r>
      <w:r w:rsidR="00E13D01">
        <w:t xml:space="preserve">totaling </w:t>
      </w:r>
      <w:r w:rsidR="005C4E27">
        <w:t>almost</w:t>
      </w:r>
      <w:r w:rsidR="00E13D01">
        <w:t xml:space="preserve"> $3 million.</w:t>
      </w:r>
    </w:p>
    <w:p w14:paraId="60DD67DF" w14:textId="6F25D98A" w:rsidR="00E13D01" w:rsidRDefault="00E13D01">
      <w:r>
        <w:tab/>
        <w:t>We will reverse.</w:t>
      </w:r>
    </w:p>
    <w:p w14:paraId="1A17655E" w14:textId="18C2BE96" w:rsidR="00E13D01" w:rsidRDefault="000A434A" w:rsidP="00BD0540">
      <w:pPr>
        <w:keepNext/>
        <w:jc w:val="center"/>
        <w:rPr>
          <w:b/>
          <w:bCs/>
        </w:rPr>
      </w:pPr>
      <w:r>
        <w:rPr>
          <w:b/>
          <w:bCs/>
        </w:rPr>
        <w:t>I.</w:t>
      </w:r>
      <w:r>
        <w:rPr>
          <w:b/>
          <w:bCs/>
        </w:rPr>
        <w:tab/>
      </w:r>
      <w:r w:rsidR="00C55813">
        <w:rPr>
          <w:b/>
          <w:bCs/>
        </w:rPr>
        <w:t>FACTUAL AND PROCEDURAL BACKGROUND</w:t>
      </w:r>
    </w:p>
    <w:p w14:paraId="02165158" w14:textId="2F7E702C" w:rsidR="000A434A" w:rsidRPr="000A434A" w:rsidRDefault="000A434A" w:rsidP="00BD0540">
      <w:pPr>
        <w:keepNext/>
        <w:rPr>
          <w:b/>
          <w:bCs/>
        </w:rPr>
      </w:pPr>
      <w:r>
        <w:rPr>
          <w:b/>
          <w:bCs/>
        </w:rPr>
        <w:t>A.</w:t>
      </w:r>
      <w:r>
        <w:rPr>
          <w:b/>
          <w:bCs/>
        </w:rPr>
        <w:tab/>
        <w:t>Pretrial Proceedings</w:t>
      </w:r>
    </w:p>
    <w:p w14:paraId="3A30B969" w14:textId="277DD255" w:rsidR="00D616E1" w:rsidRDefault="00E13D01" w:rsidP="00E13D01">
      <w:r>
        <w:tab/>
      </w:r>
      <w:r w:rsidR="00EA5446">
        <w:t xml:space="preserve">In December 2017, </w:t>
      </w:r>
      <w:r w:rsidR="0040684B">
        <w:t>Williams filed a complaint alleging</w:t>
      </w:r>
      <w:r w:rsidR="001750A6">
        <w:t xml:space="preserve"> claims for</w:t>
      </w:r>
      <w:r w:rsidR="0040684B">
        <w:t xml:space="preserve"> elder financial abuse, negligence per se, and breach of fiduciary duty against Pantaleoni.</w:t>
      </w:r>
      <w:r w:rsidR="00291E12">
        <w:rPr>
          <w:rStyle w:val="FootnoteReference"/>
        </w:rPr>
        <w:footnoteReference w:id="1"/>
      </w:r>
      <w:r w:rsidR="0040684B">
        <w:t xml:space="preserve">  </w:t>
      </w:r>
      <w:r w:rsidR="001750A6">
        <w:t>Williams</w:t>
      </w:r>
      <w:r w:rsidR="001341B3">
        <w:t xml:space="preserve"> alleged </w:t>
      </w:r>
      <w:r w:rsidR="00012414">
        <w:t>that</w:t>
      </w:r>
      <w:r w:rsidR="001341B3">
        <w:t xml:space="preserve"> </w:t>
      </w:r>
      <w:r w:rsidR="001750A6">
        <w:t xml:space="preserve">he </w:t>
      </w:r>
      <w:r w:rsidR="001341B3">
        <w:t>contacted</w:t>
      </w:r>
      <w:r w:rsidR="00323EB7">
        <w:t xml:space="preserve"> </w:t>
      </w:r>
      <w:r w:rsidR="001341B3">
        <w:t>American Family Legal Services to update a trust and estate plan</w:t>
      </w:r>
      <w:r w:rsidR="00DA60D1">
        <w:t xml:space="preserve"> after the death of his wife</w:t>
      </w:r>
      <w:r w:rsidR="006C0D51">
        <w:t xml:space="preserve">.  Williams received a call from Pantaleoni to set </w:t>
      </w:r>
      <w:r w:rsidR="00BE450D">
        <w:t xml:space="preserve">up </w:t>
      </w:r>
      <w:r w:rsidR="006C0D51">
        <w:t xml:space="preserve">an appointment in Williams’ home.  Pantaleoni identified himself </w:t>
      </w:r>
      <w:r w:rsidR="00DA60D1">
        <w:t>as a paralegal</w:t>
      </w:r>
      <w:r w:rsidR="00323EB7">
        <w:t xml:space="preserve"> with</w:t>
      </w:r>
      <w:r w:rsidR="00AB34B1">
        <w:t xml:space="preserve"> the company</w:t>
      </w:r>
      <w:r w:rsidR="00DA60D1">
        <w:t>.</w:t>
      </w:r>
    </w:p>
    <w:p w14:paraId="26ADD587" w14:textId="29087259" w:rsidR="00AB34B1" w:rsidRDefault="00D616E1" w:rsidP="00E13D01">
      <w:r>
        <w:tab/>
        <w:t xml:space="preserve">At the meeting in Williams’ home, </w:t>
      </w:r>
      <w:r w:rsidR="006C0D51">
        <w:t xml:space="preserve">Pantaleoni provided Williams with a business card stating Pantaleoni was a CSA (Certified Senior Advisor) and “Managing Partner and Paralegal” </w:t>
      </w:r>
      <w:r w:rsidR="0011671D">
        <w:t>with</w:t>
      </w:r>
      <w:r w:rsidR="006C0D51">
        <w:t xml:space="preserve"> American Family Legal Services.  </w:t>
      </w:r>
      <w:r w:rsidR="009466C3">
        <w:t xml:space="preserve">Pantaleoni obtained Williams’ trust </w:t>
      </w:r>
      <w:r w:rsidR="009466C3">
        <w:lastRenderedPageBreak/>
        <w:t xml:space="preserve">documents and a </w:t>
      </w:r>
      <w:r>
        <w:t xml:space="preserve">$360 </w:t>
      </w:r>
      <w:r w:rsidR="009466C3">
        <w:t>fee to update them.  One week later Pantaleoni returned and</w:t>
      </w:r>
      <w:r w:rsidR="00DA60D1">
        <w:t xml:space="preserve"> obtained Williams’ signature on blank documents and a blank check</w:t>
      </w:r>
      <w:r w:rsidR="009466C3">
        <w:t>,</w:t>
      </w:r>
      <w:r w:rsidR="00DA60D1">
        <w:t xml:space="preserve"> which Pantaleoni filled in in the amount of $100,000 and used to purchase an annuity from NWL</w:t>
      </w:r>
      <w:r w:rsidR="00D42A37">
        <w:t xml:space="preserve"> for Williams</w:t>
      </w:r>
      <w:r w:rsidR="00DA60D1">
        <w:t>.</w:t>
      </w:r>
    </w:p>
    <w:p w14:paraId="23F5ED46" w14:textId="64013505" w:rsidR="00CC450E" w:rsidRDefault="00AB34B1" w:rsidP="00E13D01">
      <w:r>
        <w:tab/>
      </w:r>
      <w:r w:rsidR="00DA60D1">
        <w:t>When</w:t>
      </w:r>
      <w:r w:rsidR="00847D2E">
        <w:t xml:space="preserve"> Pantaleoni delivered the</w:t>
      </w:r>
      <w:r w:rsidR="00DA60D1">
        <w:t xml:space="preserve"> annuity, </w:t>
      </w:r>
      <w:r w:rsidR="00847D2E">
        <w:t>Williams</w:t>
      </w:r>
      <w:r w:rsidR="00DA60D1">
        <w:t xml:space="preserve"> </w:t>
      </w:r>
      <w:r w:rsidR="009466C3">
        <w:t xml:space="preserve">decided he did not want it and </w:t>
      </w:r>
      <w:r w:rsidR="00DA60D1">
        <w:t>returned</w:t>
      </w:r>
      <w:r w:rsidR="009466C3">
        <w:t xml:space="preserve"> it</w:t>
      </w:r>
      <w:r w:rsidR="00DA60D1">
        <w:t xml:space="preserve"> to NWL during </w:t>
      </w:r>
      <w:r w:rsidR="001750A6">
        <w:t>a</w:t>
      </w:r>
      <w:r w:rsidR="00DA60D1">
        <w:t xml:space="preserve"> 30-day free look period.  </w:t>
      </w:r>
      <w:r w:rsidR="00527F8B">
        <w:t>Two</w:t>
      </w:r>
      <w:r w:rsidR="00D616E1">
        <w:t xml:space="preserve"> weeks later </w:t>
      </w:r>
      <w:r w:rsidR="00DA60D1">
        <w:t xml:space="preserve">Pantaleoni returned with more blank documents for Williams to sign, including </w:t>
      </w:r>
      <w:r w:rsidR="009466C3">
        <w:t>documents</w:t>
      </w:r>
      <w:r w:rsidR="00DA60D1">
        <w:t xml:space="preserve"> that retracted</w:t>
      </w:r>
      <w:r w:rsidR="00BE450D">
        <w:t xml:space="preserve"> the</w:t>
      </w:r>
      <w:r w:rsidR="00DA60D1">
        <w:t xml:space="preserve"> cancellation of the annuity.  When the</w:t>
      </w:r>
      <w:r w:rsidR="00847D2E">
        <w:t xml:space="preserve"> premium</w:t>
      </w:r>
      <w:r w:rsidR="00DA60D1">
        <w:t xml:space="preserve"> was not re</w:t>
      </w:r>
      <w:r w:rsidR="00291E12">
        <w:t>funded</w:t>
      </w:r>
      <w:r w:rsidR="00DA60D1">
        <w:t xml:space="preserve">, Williams sought the assistance of a financial advisor who wrote to NWL </w:t>
      </w:r>
      <w:r w:rsidR="00847D2E">
        <w:t>to cancel the annuity.  Because the 30-day free look period had passed</w:t>
      </w:r>
      <w:r w:rsidR="00DA60D1">
        <w:t xml:space="preserve">, NWL </w:t>
      </w:r>
      <w:r w:rsidR="00847D2E">
        <w:t xml:space="preserve">refunded the premium </w:t>
      </w:r>
      <w:r w:rsidR="00DA60D1">
        <w:t>but charged a surrender penalty.</w:t>
      </w:r>
    </w:p>
    <w:p w14:paraId="2AAF29AF" w14:textId="225A32E2" w:rsidR="00D121E3" w:rsidRDefault="00D121E3" w:rsidP="00E13D01">
      <w:r>
        <w:tab/>
      </w:r>
      <w:r w:rsidR="00EA5446">
        <w:t xml:space="preserve">In February 2018, </w:t>
      </w:r>
      <w:r>
        <w:t>Pantaleoni answered the complaint.</w:t>
      </w:r>
    </w:p>
    <w:p w14:paraId="32ED63D1" w14:textId="52AE4580" w:rsidR="009466C3" w:rsidRDefault="009466C3" w:rsidP="00E13D01">
      <w:r>
        <w:tab/>
      </w:r>
      <w:r w:rsidR="00EA5446">
        <w:t xml:space="preserve">In May </w:t>
      </w:r>
      <w:r>
        <w:t xml:space="preserve">2018, Williams </w:t>
      </w:r>
      <w:r w:rsidR="00012414">
        <w:t>amended the complaint to add</w:t>
      </w:r>
      <w:r>
        <w:t xml:space="preserve"> NWL in place of </w:t>
      </w:r>
      <w:r w:rsidR="00EA5446">
        <w:t>a Doe</w:t>
      </w:r>
      <w:r>
        <w:t xml:space="preserve"> defendant.</w:t>
      </w:r>
    </w:p>
    <w:p w14:paraId="70C028B5" w14:textId="569FF568" w:rsidR="009466C3" w:rsidRDefault="009466C3" w:rsidP="00E13D01">
      <w:r>
        <w:tab/>
      </w:r>
      <w:r w:rsidR="00EA5446">
        <w:t xml:space="preserve">In July 2018, </w:t>
      </w:r>
      <w:r>
        <w:t>NWL demurred to the complaint</w:t>
      </w:r>
      <w:r w:rsidR="00EA5446">
        <w:t xml:space="preserve">.  </w:t>
      </w:r>
      <w:r w:rsidR="00C010F5">
        <w:t xml:space="preserve">The </w:t>
      </w:r>
      <w:r w:rsidR="000A434A">
        <w:t xml:space="preserve">trial court sustained the </w:t>
      </w:r>
      <w:r w:rsidR="00C010F5">
        <w:t>demurrer with leave to amend</w:t>
      </w:r>
      <w:r w:rsidR="00313BD7">
        <w:t>.  T</w:t>
      </w:r>
      <w:r w:rsidR="00C010F5">
        <w:t xml:space="preserve">he court </w:t>
      </w:r>
      <w:r w:rsidR="005F2860">
        <w:t>adopted</w:t>
      </w:r>
      <w:r w:rsidR="00C010F5">
        <w:t xml:space="preserve"> its tentative ruling that</w:t>
      </w:r>
      <w:r w:rsidR="00313BD7">
        <w:t xml:space="preserve"> (1)</w:t>
      </w:r>
      <w:r w:rsidR="00C010F5">
        <w:t xml:space="preserve"> </w:t>
      </w:r>
      <w:r w:rsidR="00323EB7">
        <w:t xml:space="preserve">the </w:t>
      </w:r>
      <w:r w:rsidR="00C010F5">
        <w:t xml:space="preserve">elder abuse cause of action had not alleged facts </w:t>
      </w:r>
      <w:r w:rsidR="00A26353">
        <w:t xml:space="preserve">that </w:t>
      </w:r>
      <w:r w:rsidR="00C010F5">
        <w:t>NWL</w:t>
      </w:r>
      <w:r w:rsidR="00A26353">
        <w:t xml:space="preserve"> knew</w:t>
      </w:r>
      <w:r w:rsidR="00C010F5">
        <w:t xml:space="preserve"> Pantaleoni’s conduct was likely to be harmful to Williams</w:t>
      </w:r>
      <w:r w:rsidR="0011671D">
        <w:t>,</w:t>
      </w:r>
      <w:r w:rsidR="005F2860">
        <w:t xml:space="preserve"> as required by Welfare and Institutions Code section 15610.310, subdivision (b)</w:t>
      </w:r>
      <w:r w:rsidR="00313BD7">
        <w:t>,</w:t>
      </w:r>
      <w:r w:rsidR="00C010F5">
        <w:t xml:space="preserve"> and </w:t>
      </w:r>
      <w:r w:rsidR="00313BD7">
        <w:t xml:space="preserve">(2) </w:t>
      </w:r>
      <w:r w:rsidR="00C010F5">
        <w:t>the negligence per se cause of action</w:t>
      </w:r>
      <w:r w:rsidR="00313BD7">
        <w:t xml:space="preserve"> </w:t>
      </w:r>
      <w:r w:rsidR="00C010F5">
        <w:t xml:space="preserve">alleged </w:t>
      </w:r>
      <w:r w:rsidR="0037543A">
        <w:t xml:space="preserve">that </w:t>
      </w:r>
      <w:r w:rsidR="005F2860">
        <w:t xml:space="preserve">a series of </w:t>
      </w:r>
      <w:r w:rsidR="00C010F5">
        <w:t>Insurance Code</w:t>
      </w:r>
      <w:r w:rsidR="00D90EBE">
        <w:t xml:space="preserve"> provisions </w:t>
      </w:r>
      <w:r w:rsidR="0011671D">
        <w:t xml:space="preserve">were violated </w:t>
      </w:r>
      <w:r w:rsidR="00D90EBE">
        <w:t>but no facts regarding how defendants violated them,</w:t>
      </w:r>
      <w:r w:rsidR="00C010F5">
        <w:t xml:space="preserve"> including</w:t>
      </w:r>
      <w:r w:rsidR="0030208E">
        <w:t xml:space="preserve"> a </w:t>
      </w:r>
      <w:r w:rsidR="00BE450D">
        <w:t xml:space="preserve">statutory </w:t>
      </w:r>
      <w:r w:rsidR="00C010F5">
        <w:t xml:space="preserve">provision prohibiting misrepresentations </w:t>
      </w:r>
      <w:r w:rsidR="00A26353">
        <w:t>of</w:t>
      </w:r>
      <w:r w:rsidR="00C010F5">
        <w:t xml:space="preserve"> the terms or benefits of a proposed policy</w:t>
      </w:r>
      <w:r w:rsidR="0011671D">
        <w:t xml:space="preserve"> where</w:t>
      </w:r>
      <w:r w:rsidR="00C010F5">
        <w:t xml:space="preserve"> NWL was not alleged to have made misrepresentations to Williams.</w:t>
      </w:r>
      <w:r w:rsidR="00D90EBE">
        <w:t xml:space="preserve">  “Further, the exact duty owed by NWL to Plaintiff is unclear in the pleadings.”</w:t>
      </w:r>
    </w:p>
    <w:p w14:paraId="20476DEA" w14:textId="2052D798" w:rsidR="0030208E" w:rsidRDefault="0030208E" w:rsidP="00E13D01">
      <w:r>
        <w:tab/>
      </w:r>
      <w:r w:rsidR="00313BD7">
        <w:t xml:space="preserve">In August 2018, </w:t>
      </w:r>
      <w:r>
        <w:t>Williams filed a</w:t>
      </w:r>
      <w:r w:rsidR="00D90EBE">
        <w:t xml:space="preserve"> first</w:t>
      </w:r>
      <w:r>
        <w:t xml:space="preserve"> amended complaint.  The amended complaint alleged</w:t>
      </w:r>
      <w:r w:rsidR="001750A6">
        <w:t>, inter alia,</w:t>
      </w:r>
      <w:r>
        <w:t xml:space="preserve"> that:  (1) NWL knew of the DOI ac</w:t>
      </w:r>
      <w:r w:rsidR="001C6C63">
        <w:t>tion</w:t>
      </w:r>
      <w:r>
        <w:t xml:space="preserve"> against Pantaleoni and his restricted license because these were matters of public record; (2) NWL knew that </w:t>
      </w:r>
      <w:r>
        <w:lastRenderedPageBreak/>
        <w:t xml:space="preserve">Pantaleoni had filed bankruptcy three times in the last six years and was still in bankruptcy at the time of the transactions at issue; (3) NWL knew or should have known that Pantaleoni did not have errors and omissions insurance coverage, contrary to NWL policy; (4) </w:t>
      </w:r>
      <w:r w:rsidR="000311C1">
        <w:t>NWL knew or should have known that Pantaleoni operated “</w:t>
      </w:r>
      <w:r w:rsidR="007662CC">
        <w:t> ‘</w:t>
      </w:r>
      <w:r w:rsidR="000311C1">
        <w:t>living trust mills</w:t>
      </w:r>
      <w:r w:rsidR="007662CC">
        <w:t>’ </w:t>
      </w:r>
      <w:r w:rsidR="000311C1">
        <w:t>”</w:t>
      </w:r>
      <w:r w:rsidR="009631D6">
        <w:rPr>
          <w:rStyle w:val="FootnoteReference"/>
        </w:rPr>
        <w:footnoteReference w:id="2"/>
      </w:r>
      <w:r w:rsidR="000311C1">
        <w:t xml:space="preserve"> to gain access to seniors and sell annuity products, which NWL knew was unlawful</w:t>
      </w:r>
      <w:r w:rsidR="00313BD7">
        <w:t>,</w:t>
      </w:r>
      <w:r w:rsidR="000311C1">
        <w:t xml:space="preserve"> and that Pantaleoni was selling insurance products using a company named Sierra Legal Services; (5) </w:t>
      </w:r>
      <w:r w:rsidR="00D90EBE">
        <w:t xml:space="preserve">NWL </w:t>
      </w:r>
      <w:r w:rsidR="000311C1">
        <w:t>knew that Pantaleoni would earn a $9,500 commission from the sale of an annuity based on a 13-year surrender period</w:t>
      </w:r>
      <w:r w:rsidR="00313BD7">
        <w:t>,</w:t>
      </w:r>
      <w:r w:rsidR="000311C1">
        <w:t xml:space="preserve"> which was inappropriate for someone Williams age; and (6) Williams’ </w:t>
      </w:r>
      <w:r w:rsidR="00D90EBE">
        <w:t xml:space="preserve">April 5, </w:t>
      </w:r>
      <w:r w:rsidR="000311C1">
        <w:t>2017 letter instructing NWL to cancel the annuity complained about Pantaleoni’s misconduct</w:t>
      </w:r>
      <w:r w:rsidR="00BE450D">
        <w:t>,</w:t>
      </w:r>
      <w:r w:rsidR="000311C1">
        <w:t xml:space="preserve"> but NWL did not investigate</w:t>
      </w:r>
      <w:r w:rsidR="00D90EBE">
        <w:t xml:space="preserve"> or terminate Pantaleoni</w:t>
      </w:r>
      <w:r w:rsidR="000311C1">
        <w:t xml:space="preserve"> and charged a surrender penalty of $14,949.91.</w:t>
      </w:r>
    </w:p>
    <w:p w14:paraId="1A5777CB" w14:textId="29D73D1E" w:rsidR="001F3C49" w:rsidRDefault="001F3C49" w:rsidP="00E13D01">
      <w:r>
        <w:tab/>
        <w:t>In addition, Williams alleged that in April 2016 he sent a</w:t>
      </w:r>
      <w:r w:rsidR="00D90EBE">
        <w:t xml:space="preserve"> </w:t>
      </w:r>
      <w:r>
        <w:t>mispunctuated</w:t>
      </w:r>
      <w:r w:rsidR="00D90EBE">
        <w:t xml:space="preserve">, misspelled </w:t>
      </w:r>
      <w:r>
        <w:t>handwritten note to NWL to return the</w:t>
      </w:r>
      <w:r w:rsidR="00313BD7">
        <w:t xml:space="preserve"> first</w:t>
      </w:r>
      <w:r>
        <w:t xml:space="preserve"> annuity</w:t>
      </w:r>
      <w:r w:rsidR="00313BD7">
        <w:t>,</w:t>
      </w:r>
      <w:r>
        <w:t xml:space="preserve"> but the </w:t>
      </w:r>
      <w:r w:rsidR="00313BD7">
        <w:t xml:space="preserve">handwriting of the </w:t>
      </w:r>
      <w:r>
        <w:t>letter Pantaleoni forged to complete the application for the second annuity contrasted starkly with</w:t>
      </w:r>
      <w:r w:rsidR="0037543A">
        <w:t xml:space="preserve"> the</w:t>
      </w:r>
      <w:r>
        <w:t xml:space="preserve"> first note, which</w:t>
      </w:r>
      <w:r w:rsidR="00323EB7">
        <w:t xml:space="preserve"> Williams asserted</w:t>
      </w:r>
      <w:r>
        <w:t xml:space="preserve"> “was a HUGE red flag of Mr. Pantaleoni’s financial abuse of </w:t>
      </w:r>
      <w:r w:rsidR="008C0EFB">
        <w:t>Plaintiff.”</w:t>
      </w:r>
    </w:p>
    <w:p w14:paraId="1E56CE13" w14:textId="6E4517D6" w:rsidR="00FD05CB" w:rsidRDefault="00FD05CB" w:rsidP="00E13D01">
      <w:r>
        <w:tab/>
      </w:r>
      <w:r w:rsidR="00313BD7">
        <w:t xml:space="preserve">In September 2018, </w:t>
      </w:r>
      <w:r>
        <w:t>NWL</w:t>
      </w:r>
      <w:r w:rsidR="000E00DE">
        <w:t xml:space="preserve"> demurred to the amended complaint.  </w:t>
      </w:r>
      <w:r w:rsidR="00D121E3">
        <w:t>The trial court overruled the demurrer, stating that (1) as to the elder abuse cause of action</w:t>
      </w:r>
      <w:r w:rsidR="001F3C49">
        <w:t>,</w:t>
      </w:r>
      <w:r w:rsidR="00D121E3">
        <w:t xml:space="preserve"> the amended complaint </w:t>
      </w:r>
      <w:r w:rsidR="001750A6">
        <w:t>allege</w:t>
      </w:r>
      <w:r w:rsidR="00A26353">
        <w:t>d</w:t>
      </w:r>
      <w:r w:rsidR="00D121E3">
        <w:t xml:space="preserve"> the likelihood of harm to Williams in that</w:t>
      </w:r>
      <w:r w:rsidR="00012414">
        <w:t xml:space="preserve"> (a)</w:t>
      </w:r>
      <w:r w:rsidR="00D121E3">
        <w:t xml:space="preserve"> his life expectancy was less than the surrender term of the annuity</w:t>
      </w:r>
      <w:r w:rsidR="001C6C63">
        <w:t>,</w:t>
      </w:r>
      <w:r w:rsidR="00D121E3">
        <w:t xml:space="preserve"> or</w:t>
      </w:r>
      <w:r w:rsidR="00012414">
        <w:t xml:space="preserve"> (b)</w:t>
      </w:r>
      <w:r w:rsidR="001F3C49">
        <w:t xml:space="preserve"> NWL</w:t>
      </w:r>
      <w:r w:rsidR="00D42A37">
        <w:t xml:space="preserve"> </w:t>
      </w:r>
      <w:r w:rsidR="00D121E3">
        <w:t>possibl</w:t>
      </w:r>
      <w:r w:rsidR="00D42A37">
        <w:t>y had</w:t>
      </w:r>
      <w:r w:rsidR="00D121E3">
        <w:t xml:space="preserve"> notice of problems with the annuity because </w:t>
      </w:r>
      <w:r w:rsidR="001F3C49">
        <w:t xml:space="preserve">it received </w:t>
      </w:r>
      <w:r w:rsidR="00D121E3">
        <w:t>two notes in different handwriting purportedly from Williams, and (2) as to the negligence per se cause of action</w:t>
      </w:r>
      <w:r w:rsidR="001F3C49">
        <w:t xml:space="preserve">, the court took judicial </w:t>
      </w:r>
      <w:r w:rsidR="001F3C49">
        <w:lastRenderedPageBreak/>
        <w:t>notice of the DOI’s opinion</w:t>
      </w:r>
      <w:r w:rsidR="001C6C63">
        <w:t xml:space="preserve"> that</w:t>
      </w:r>
      <w:r w:rsidR="001F3C49">
        <w:t xml:space="preserve"> </w:t>
      </w:r>
      <w:r w:rsidR="00012414">
        <w:t>there was</w:t>
      </w:r>
      <w:r w:rsidR="001F3C49">
        <w:t xml:space="preserve"> a private </w:t>
      </w:r>
      <w:r w:rsidR="00012414">
        <w:t>right</w:t>
      </w:r>
      <w:r w:rsidR="001F3C49">
        <w:t xml:space="preserve"> of action under Insurance Code section 785</w:t>
      </w:r>
      <w:r w:rsidR="00D42A37">
        <w:rPr>
          <w:rStyle w:val="FootnoteReference"/>
        </w:rPr>
        <w:footnoteReference w:id="3"/>
      </w:r>
      <w:r w:rsidR="001F3C49">
        <w:t xml:space="preserve"> and </w:t>
      </w:r>
      <w:r w:rsidR="00F7684B">
        <w:t xml:space="preserve">found that </w:t>
      </w:r>
      <w:r w:rsidR="001F3C49">
        <w:t>Williams presented “at least one theory” that NWL knew that Pantaleoni was wrongly using</w:t>
      </w:r>
      <w:r w:rsidR="00BE450D">
        <w:t xml:space="preserve"> a</w:t>
      </w:r>
      <w:r w:rsidR="001F3C49">
        <w:t xml:space="preserve"> legal services</w:t>
      </w:r>
      <w:r w:rsidR="00BE450D">
        <w:t xml:space="preserve"> company</w:t>
      </w:r>
      <w:r w:rsidR="001F3C49">
        <w:t xml:space="preserve"> to sell insurance product</w:t>
      </w:r>
      <w:r w:rsidR="000659CC">
        <w:t>s</w:t>
      </w:r>
      <w:r w:rsidR="001F3C49">
        <w:t>.</w:t>
      </w:r>
    </w:p>
    <w:p w14:paraId="33F23E2E" w14:textId="0D7E0F06" w:rsidR="008C0EFB" w:rsidRDefault="008C0EFB" w:rsidP="00E13D01">
      <w:r>
        <w:tab/>
      </w:r>
      <w:r w:rsidR="00313BD7">
        <w:t xml:space="preserve">In November 2018, </w:t>
      </w:r>
      <w:r>
        <w:t>NWL answered the first amended complaint.</w:t>
      </w:r>
    </w:p>
    <w:p w14:paraId="7E82330B" w14:textId="21E60040" w:rsidR="008C0EFB" w:rsidRDefault="008C0EFB" w:rsidP="00E13D01">
      <w:r>
        <w:tab/>
      </w:r>
      <w:r w:rsidR="00313BD7">
        <w:t>In February 2019, t</w:t>
      </w:r>
      <w:r>
        <w:t>he trial court granted Williams’ unopposed motion for leave to file a second amended complaint</w:t>
      </w:r>
      <w:r w:rsidR="00323EB7">
        <w:t xml:space="preserve">, </w:t>
      </w:r>
      <w:r>
        <w:t>which substituted a fraud claim for</w:t>
      </w:r>
      <w:r w:rsidR="00291E12">
        <w:t xml:space="preserve"> the</w:t>
      </w:r>
      <w:r>
        <w:t xml:space="preserve"> breach of fiduciary claim against Pantaleoni.</w:t>
      </w:r>
    </w:p>
    <w:p w14:paraId="225D4A10" w14:textId="6048D904" w:rsidR="000A434A" w:rsidRPr="000A434A" w:rsidRDefault="000A434A" w:rsidP="00BD0540">
      <w:pPr>
        <w:keepNext/>
        <w:rPr>
          <w:b/>
          <w:bCs/>
        </w:rPr>
      </w:pPr>
      <w:r>
        <w:rPr>
          <w:b/>
          <w:bCs/>
        </w:rPr>
        <w:t>B.</w:t>
      </w:r>
      <w:r>
        <w:rPr>
          <w:b/>
          <w:bCs/>
        </w:rPr>
        <w:tab/>
        <w:t>The Trial</w:t>
      </w:r>
    </w:p>
    <w:p w14:paraId="36829646" w14:textId="0FA4584B" w:rsidR="000A434A" w:rsidRDefault="00623C15" w:rsidP="00BD0540">
      <w:pPr>
        <w:keepNext/>
      </w:pPr>
      <w:r>
        <w:tab/>
      </w:r>
      <w:r w:rsidR="000A434A">
        <w:rPr>
          <w:b/>
          <w:bCs/>
        </w:rPr>
        <w:t>1.</w:t>
      </w:r>
      <w:r w:rsidR="000A434A">
        <w:rPr>
          <w:b/>
          <w:bCs/>
        </w:rPr>
        <w:tab/>
        <w:t>Plaintiff’s Case</w:t>
      </w:r>
    </w:p>
    <w:p w14:paraId="6027A84A" w14:textId="09A18059" w:rsidR="000A434A" w:rsidRDefault="000A434A" w:rsidP="00BD0540">
      <w:pPr>
        <w:keepNext/>
        <w:rPr>
          <w:b/>
          <w:bCs/>
        </w:rPr>
      </w:pPr>
      <w:r>
        <w:tab/>
      </w:r>
      <w:r>
        <w:tab/>
      </w:r>
      <w:r>
        <w:rPr>
          <w:b/>
          <w:bCs/>
        </w:rPr>
        <w:t>a.</w:t>
      </w:r>
      <w:r>
        <w:rPr>
          <w:b/>
          <w:bCs/>
        </w:rPr>
        <w:tab/>
        <w:t>Barney Williams</w:t>
      </w:r>
    </w:p>
    <w:p w14:paraId="68B168D7" w14:textId="639AD38B" w:rsidR="00623C15" w:rsidRDefault="00516C36" w:rsidP="00E13D01">
      <w:r>
        <w:rPr>
          <w:b/>
          <w:bCs/>
        </w:rPr>
        <w:tab/>
      </w:r>
      <w:r w:rsidR="00623C15">
        <w:t>Williams testified that his wife of 46 years, Barbara, passed away in 2015.  Barbara was an ex-bookkeeper who took care of paying</w:t>
      </w:r>
      <w:r w:rsidR="001C6C63">
        <w:t xml:space="preserve"> the</w:t>
      </w:r>
      <w:r w:rsidR="00623C15">
        <w:t xml:space="preserve"> bills.  </w:t>
      </w:r>
      <w:r w:rsidR="00656B03">
        <w:t>The couple saved on average $3,000 per year.</w:t>
      </w:r>
    </w:p>
    <w:p w14:paraId="515F1345" w14:textId="677961E2" w:rsidR="002B1712" w:rsidRDefault="002B1712" w:rsidP="00E13D01">
      <w:r>
        <w:tab/>
      </w:r>
      <w:r w:rsidR="008D1E52">
        <w:t>In February 2016, Williams</w:t>
      </w:r>
      <w:r w:rsidR="0019536C">
        <w:t xml:space="preserve"> called </w:t>
      </w:r>
      <w:r w:rsidR="00516C36">
        <w:t>the</w:t>
      </w:r>
      <w:r w:rsidR="0019536C">
        <w:t xml:space="preserve"> office</w:t>
      </w:r>
      <w:r w:rsidR="00516C36">
        <w:t xml:space="preserve"> that had prepared </w:t>
      </w:r>
      <w:r w:rsidR="001C6C63">
        <w:t>a</w:t>
      </w:r>
      <w:r w:rsidR="001750A6">
        <w:t xml:space="preserve"> trust</w:t>
      </w:r>
      <w:r w:rsidR="001C6C63">
        <w:t xml:space="preserve"> for</w:t>
      </w:r>
      <w:r w:rsidR="0035710D">
        <w:t xml:space="preserve"> </w:t>
      </w:r>
      <w:r w:rsidR="00656B03">
        <w:t>him</w:t>
      </w:r>
      <w:r w:rsidR="001750A6">
        <w:t>,</w:t>
      </w:r>
      <w:r w:rsidR="0019536C">
        <w:t xml:space="preserve"> seeking someone to make changes to </w:t>
      </w:r>
      <w:r w:rsidR="0035710D">
        <w:t>the trust</w:t>
      </w:r>
      <w:r w:rsidR="00F53F1D">
        <w:t xml:space="preserve"> </w:t>
      </w:r>
      <w:r w:rsidR="0019536C">
        <w:t>because of his wife’s death</w:t>
      </w:r>
      <w:r w:rsidR="00516C36">
        <w:t xml:space="preserve">.  </w:t>
      </w:r>
      <w:r w:rsidR="0019536C">
        <w:t xml:space="preserve">Pantaleoni </w:t>
      </w:r>
      <w:r w:rsidR="00F53F1D">
        <w:t>came</w:t>
      </w:r>
      <w:r w:rsidR="0019536C">
        <w:t xml:space="preserve"> to Williams’ house.</w:t>
      </w:r>
      <w:r w:rsidR="008D1E52">
        <w:t xml:space="preserve"> </w:t>
      </w:r>
      <w:r w:rsidR="0019536C">
        <w:t xml:space="preserve"> </w:t>
      </w:r>
      <w:r w:rsidR="005739BE">
        <w:t>Williams said</w:t>
      </w:r>
      <w:r w:rsidR="00D37A6F">
        <w:t xml:space="preserve"> he</w:t>
      </w:r>
      <w:r w:rsidR="005739BE">
        <w:t xml:space="preserve"> wanted to remove his</w:t>
      </w:r>
      <w:r w:rsidR="001A23A8">
        <w:t xml:space="preserve"> step</w:t>
      </w:r>
      <w:r w:rsidR="005739BE">
        <w:t>daughter</w:t>
      </w:r>
      <w:r w:rsidR="00957138">
        <w:t>, Merrily Lee,</w:t>
      </w:r>
      <w:r w:rsidR="005739BE">
        <w:t xml:space="preserve"> </w:t>
      </w:r>
      <w:r w:rsidR="00A644EE">
        <w:t>from the trust</w:t>
      </w:r>
      <w:r w:rsidR="00381618">
        <w:t xml:space="preserve"> an</w:t>
      </w:r>
      <w:r w:rsidR="00A644EE">
        <w:t xml:space="preserve">d </w:t>
      </w:r>
      <w:r w:rsidR="005739BE">
        <w:t>give her $25,000 of the trust benefits</w:t>
      </w:r>
      <w:r w:rsidR="00715297">
        <w:t>,</w:t>
      </w:r>
      <w:r w:rsidR="00381618">
        <w:t xml:space="preserve"> with the </w:t>
      </w:r>
      <w:r w:rsidR="005739BE">
        <w:t xml:space="preserve">remainder </w:t>
      </w:r>
      <w:r w:rsidR="00381618">
        <w:t xml:space="preserve">going </w:t>
      </w:r>
      <w:r w:rsidR="005739BE">
        <w:t>to a</w:t>
      </w:r>
      <w:r w:rsidR="008829F0">
        <w:t xml:space="preserve"> homeless</w:t>
      </w:r>
      <w:r w:rsidR="005739BE">
        <w:t xml:space="preserve"> shelter, the Jesus Center.  Williams gave Pantaleoni a check for $360 paid to American Family Legal Services for changes to the trust.  Williams signed the check and Pantaleoni filled in the rest</w:t>
      </w:r>
      <w:r w:rsidR="00D92A05">
        <w:t>, including the words “</w:t>
      </w:r>
      <w:r w:rsidR="008829F0" w:rsidRPr="008829F0">
        <w:t>TRUST UPDATE</w:t>
      </w:r>
      <w:r w:rsidR="00D92A05">
        <w:t>” on the memo line</w:t>
      </w:r>
      <w:r w:rsidR="005739BE">
        <w:t>.</w:t>
      </w:r>
    </w:p>
    <w:p w14:paraId="5B0E6D38" w14:textId="11ABEE47" w:rsidR="00D92A05" w:rsidRDefault="00D92A05" w:rsidP="00E13D01">
      <w:r>
        <w:tab/>
        <w:t xml:space="preserve">Pantaleoni asked Williams questions about his finances.  Williams said that he </w:t>
      </w:r>
      <w:r w:rsidR="004E6E2A">
        <w:t xml:space="preserve">had </w:t>
      </w:r>
      <w:r>
        <w:t xml:space="preserve">approximately $80,000 invested with a broker and $114,000 in the bank, $8,000 in </w:t>
      </w:r>
      <w:r>
        <w:lastRenderedPageBreak/>
        <w:t>checking and $106,000 in savings.  Williams showed Pantaleoni the brokerage and bank statements.  Pantaleoni worked on the trust papers</w:t>
      </w:r>
      <w:r w:rsidR="00D37A6F">
        <w:t xml:space="preserve"> </w:t>
      </w:r>
      <w:r>
        <w:t>and confirmed for Williams that the changes</w:t>
      </w:r>
      <w:r w:rsidR="00381618">
        <w:t xml:space="preserve"> he requested</w:t>
      </w:r>
      <w:r>
        <w:t xml:space="preserve"> had been made.  Williams let Pantaleoni take the trust documents</w:t>
      </w:r>
      <w:r w:rsidR="0035710D">
        <w:t xml:space="preserve"> with him when he left</w:t>
      </w:r>
      <w:r>
        <w:t>.</w:t>
      </w:r>
    </w:p>
    <w:p w14:paraId="5952EDB3" w14:textId="4BD05715" w:rsidR="00D92A05" w:rsidRDefault="00D92A05" w:rsidP="00E13D01">
      <w:r>
        <w:tab/>
        <w:t xml:space="preserve">A week later Pantaleoni came back for another meeting.  At Pantaleoni’s suggestion, Williams signed a paper to transfer $100,000 from </w:t>
      </w:r>
      <w:r w:rsidR="00715297">
        <w:t xml:space="preserve">his </w:t>
      </w:r>
      <w:r w:rsidR="004108A0">
        <w:t xml:space="preserve">savings to </w:t>
      </w:r>
      <w:r w:rsidR="00715297">
        <w:t xml:space="preserve">his </w:t>
      </w:r>
      <w:r w:rsidR="004108A0">
        <w:t>checking</w:t>
      </w:r>
      <w:r w:rsidR="00D37A6F">
        <w:t xml:space="preserve"> account</w:t>
      </w:r>
      <w:r w:rsidR="004108A0">
        <w:t xml:space="preserve"> and the</w:t>
      </w:r>
      <w:r w:rsidR="00381618">
        <w:t xml:space="preserve"> two of them</w:t>
      </w:r>
      <w:r w:rsidR="004108A0">
        <w:t xml:space="preserve"> went to the bank to complete the transfer.  Back at Williams</w:t>
      </w:r>
      <w:r w:rsidR="006116A6">
        <w:t>’</w:t>
      </w:r>
      <w:r w:rsidR="004108A0">
        <w:t xml:space="preserve"> house, Pantaleoni asked for a check.  Williams signed a</w:t>
      </w:r>
      <w:r w:rsidR="00FB4E83">
        <w:t xml:space="preserve"> blank</w:t>
      </w:r>
      <w:r w:rsidR="004108A0">
        <w:t xml:space="preserve"> check</w:t>
      </w:r>
      <w:r w:rsidR="008829F0">
        <w:t xml:space="preserve"> that Pantaleoni filled in</w:t>
      </w:r>
      <w:r w:rsidR="004108A0">
        <w:t xml:space="preserve">.  </w:t>
      </w:r>
      <w:r w:rsidR="00FB4E83">
        <w:t xml:space="preserve">Williams knew the check was </w:t>
      </w:r>
      <w:r w:rsidR="00D37A6F">
        <w:t>to be in</w:t>
      </w:r>
      <w:r w:rsidR="00C074B2">
        <w:t xml:space="preserve"> the amount</w:t>
      </w:r>
      <w:r w:rsidR="00FB4E83">
        <w:t xml:space="preserve"> </w:t>
      </w:r>
      <w:r w:rsidR="00D37A6F">
        <w:t xml:space="preserve">of </w:t>
      </w:r>
      <w:r w:rsidR="00FB4E83">
        <w:t xml:space="preserve">$100,000.  </w:t>
      </w:r>
      <w:r w:rsidR="00D37A6F">
        <w:t xml:space="preserve">Williams </w:t>
      </w:r>
      <w:r w:rsidR="00421A5B">
        <w:t xml:space="preserve">did not know what the check was </w:t>
      </w:r>
      <w:r w:rsidR="00C074B2">
        <w:t xml:space="preserve">to be used </w:t>
      </w:r>
      <w:r w:rsidR="00421A5B">
        <w:t xml:space="preserve">for.  </w:t>
      </w:r>
      <w:r w:rsidR="004108A0">
        <w:t>Pantaleoni assured Williams his money was safe.  Pantaleoni took the check with him and some other blank documents that Williams signed.  Williams thought the documents had something to do with the trust.  Pantaleoni did not give Williams copies.</w:t>
      </w:r>
    </w:p>
    <w:p w14:paraId="7F59CFBC" w14:textId="04183F46" w:rsidR="004108A0" w:rsidRDefault="004108A0" w:rsidP="00E13D01">
      <w:r>
        <w:tab/>
      </w:r>
      <w:r w:rsidR="002822FD">
        <w:t xml:space="preserve">The </w:t>
      </w:r>
      <w:r>
        <w:t>document</w:t>
      </w:r>
      <w:r w:rsidR="002822FD">
        <w:t>s</w:t>
      </w:r>
      <w:r>
        <w:t xml:space="preserve"> </w:t>
      </w:r>
      <w:r w:rsidR="00FB4E83">
        <w:t xml:space="preserve">Williams signed </w:t>
      </w:r>
      <w:r w:rsidR="002822FD">
        <w:t>included a</w:t>
      </w:r>
      <w:r w:rsidR="0065083B">
        <w:t>n</w:t>
      </w:r>
      <w:r>
        <w:t xml:space="preserve"> NWL annuity application</w:t>
      </w:r>
      <w:r w:rsidR="002822FD">
        <w:t>, a withdrawal benefit rider and a suitability questionnaire</w:t>
      </w:r>
      <w:r>
        <w:t xml:space="preserve">.  </w:t>
      </w:r>
      <w:r w:rsidR="00FB4E83">
        <w:t>The suitability questionnaire stated that Williams’ annual income was $24,000</w:t>
      </w:r>
      <w:r w:rsidR="00D37A6F">
        <w:t xml:space="preserve">.  </w:t>
      </w:r>
      <w:r w:rsidR="00FB4E83">
        <w:t xml:space="preserve">Williams did not tell Pantaleoni </w:t>
      </w:r>
      <w:r w:rsidR="00D37A6F">
        <w:t>his annual income was $24,000</w:t>
      </w:r>
      <w:r w:rsidR="00381618">
        <w:t>;</w:t>
      </w:r>
      <w:r w:rsidR="00D37A6F">
        <w:t xml:space="preserve"> his</w:t>
      </w:r>
      <w:r w:rsidR="00323EB7">
        <w:t xml:space="preserve"> actual</w:t>
      </w:r>
      <w:r w:rsidR="00D37A6F">
        <w:t xml:space="preserve"> </w:t>
      </w:r>
      <w:r w:rsidR="00FB4E83">
        <w:t xml:space="preserve">income was approximately $16,000 per year.  </w:t>
      </w:r>
      <w:r w:rsidR="00715297">
        <w:t xml:space="preserve">A box checked on the questionnaire indicated </w:t>
      </w:r>
      <w:r w:rsidR="00C0396A">
        <w:t xml:space="preserve">that Williams’ </w:t>
      </w:r>
      <w:r w:rsidR="00715297">
        <w:t xml:space="preserve">approximate </w:t>
      </w:r>
      <w:r w:rsidR="00C0396A">
        <w:t>net worth</w:t>
      </w:r>
      <w:r w:rsidR="00516C36">
        <w:t xml:space="preserve"> after purchase of the annuity</w:t>
      </w:r>
      <w:r w:rsidR="00715297">
        <w:t xml:space="preserve"> ranged from</w:t>
      </w:r>
      <w:r w:rsidR="00C0396A">
        <w:t xml:space="preserve"> $50,000 to $99,999</w:t>
      </w:r>
      <w:r w:rsidR="00715297">
        <w:t xml:space="preserve">, </w:t>
      </w:r>
      <w:r w:rsidR="00516C36">
        <w:t>but</w:t>
      </w:r>
      <w:r w:rsidR="00715297">
        <w:t xml:space="preserve"> a blank for </w:t>
      </w:r>
      <w:r w:rsidR="002822FD">
        <w:t xml:space="preserve">his </w:t>
      </w:r>
      <w:r w:rsidR="00715297">
        <w:t>liquid net worth after purchase was filled in with the amount of $120,000</w:t>
      </w:r>
      <w:r w:rsidR="00C0396A">
        <w:t xml:space="preserve">.  </w:t>
      </w:r>
      <w:r w:rsidR="00FB4E83">
        <w:t xml:space="preserve">Williams signed </w:t>
      </w:r>
      <w:r w:rsidR="00C0396A">
        <w:t xml:space="preserve">and initialed </w:t>
      </w:r>
      <w:r w:rsidR="00FB4E83">
        <w:t xml:space="preserve">but did not fill out these documents.  Williams did not understand what he was signing; he thought it had something to do with the trust.  Pantaleoni never told </w:t>
      </w:r>
      <w:r w:rsidR="000D6A29">
        <w:t xml:space="preserve">or notified </w:t>
      </w:r>
      <w:r w:rsidR="00FB4E83">
        <w:t>Williams that Pantaleoni was an insurance agent or selling insurance products.</w:t>
      </w:r>
    </w:p>
    <w:p w14:paraId="4B9505DC" w14:textId="1BAD9D20" w:rsidR="00C074B2" w:rsidRDefault="00421A5B" w:rsidP="00E13D01">
      <w:r>
        <w:tab/>
        <w:t xml:space="preserve">Williams </w:t>
      </w:r>
      <w:r w:rsidR="00C0396A">
        <w:t xml:space="preserve">received </w:t>
      </w:r>
      <w:r>
        <w:t xml:space="preserve">a bank statement </w:t>
      </w:r>
      <w:r w:rsidR="00715297">
        <w:t xml:space="preserve">in </w:t>
      </w:r>
      <w:r>
        <w:t>the middle of the following week</w:t>
      </w:r>
      <w:r w:rsidR="00656D1B">
        <w:t>.  From the statement</w:t>
      </w:r>
      <w:r w:rsidR="004E6E2A">
        <w:t>,</w:t>
      </w:r>
      <w:r w:rsidR="00656D1B">
        <w:t xml:space="preserve"> Williams l</w:t>
      </w:r>
      <w:r>
        <w:t>earned for the first time that the</w:t>
      </w:r>
      <w:r w:rsidR="00323EB7">
        <w:t xml:space="preserve"> $100,000</w:t>
      </w:r>
      <w:r>
        <w:t xml:space="preserve"> check was</w:t>
      </w:r>
      <w:r w:rsidR="00381618">
        <w:t xml:space="preserve"> made out</w:t>
      </w:r>
      <w:r>
        <w:t xml:space="preserve"> to an insurance company.</w:t>
      </w:r>
    </w:p>
    <w:p w14:paraId="77896104" w14:textId="214C0757" w:rsidR="00C928B6" w:rsidRDefault="00C074B2" w:rsidP="00E13D01">
      <w:r>
        <w:lastRenderedPageBreak/>
        <w:tab/>
      </w:r>
      <w:r w:rsidR="00421A5B">
        <w:t>Pantaleoni</w:t>
      </w:r>
      <w:r w:rsidR="002849F2">
        <w:t xml:space="preserve"> </w:t>
      </w:r>
      <w:r w:rsidR="00421A5B">
        <w:t>came back</w:t>
      </w:r>
      <w:r w:rsidR="002849F2">
        <w:t xml:space="preserve"> to</w:t>
      </w:r>
      <w:r w:rsidR="00421A5B">
        <w:t xml:space="preserve"> </w:t>
      </w:r>
      <w:r w:rsidR="004E6E2A">
        <w:t xml:space="preserve">deliver </w:t>
      </w:r>
      <w:r w:rsidR="00260A4B">
        <w:t>the annuity</w:t>
      </w:r>
      <w:r w:rsidR="002849F2">
        <w:t xml:space="preserve"> and Williams signed a delivery receipt</w:t>
      </w:r>
      <w:r w:rsidR="009542A9">
        <w:t xml:space="preserve">.  </w:t>
      </w:r>
      <w:r w:rsidR="00C928B6">
        <w:t>Williams read on the first page</w:t>
      </w:r>
      <w:r w:rsidR="0037543A">
        <w:t xml:space="preserve"> of the policy</w:t>
      </w:r>
      <w:r w:rsidR="00C928B6">
        <w:t xml:space="preserve"> that he could return </w:t>
      </w:r>
      <w:r w:rsidR="002849F2">
        <w:t>the annuity</w:t>
      </w:r>
      <w:r w:rsidR="00C928B6">
        <w:t xml:space="preserve"> within 30 days.  Williams wanted to send the annuity back because there was a 15</w:t>
      </w:r>
      <w:r w:rsidR="007F1C28">
        <w:t xml:space="preserve"> percent</w:t>
      </w:r>
      <w:r w:rsidR="00C928B6">
        <w:t xml:space="preserve"> surrender penalty if the money was withdrawn within the first year</w:t>
      </w:r>
      <w:r w:rsidR="004E6E2A">
        <w:t>,</w:t>
      </w:r>
      <w:r w:rsidR="0035710D">
        <w:t xml:space="preserve"> and</w:t>
      </w:r>
      <w:r w:rsidR="004E6E2A">
        <w:t xml:space="preserve"> </w:t>
      </w:r>
      <w:r w:rsidR="00C928B6">
        <w:t>a bit less each year</w:t>
      </w:r>
      <w:r w:rsidR="00381618">
        <w:t xml:space="preserve"> thereafter</w:t>
      </w:r>
      <w:r w:rsidR="00C928B6">
        <w:t xml:space="preserve"> for seven years.  Williams did not think that in his medical condition he </w:t>
      </w:r>
      <w:r w:rsidR="009937E1">
        <w:t xml:space="preserve">would survive for </w:t>
      </w:r>
      <w:r w:rsidR="00381618">
        <w:t xml:space="preserve">the surrender </w:t>
      </w:r>
      <w:r w:rsidR="009937E1">
        <w:t>period</w:t>
      </w:r>
      <w:r w:rsidR="00C928B6">
        <w:t xml:space="preserve">.  </w:t>
      </w:r>
      <w:r w:rsidR="004B67D2">
        <w:t>Williams sen</w:t>
      </w:r>
      <w:r w:rsidR="009937E1">
        <w:t>t</w:t>
      </w:r>
      <w:r w:rsidR="004B67D2">
        <w:t xml:space="preserve"> the policy back with a handwritten note</w:t>
      </w:r>
      <w:r w:rsidR="005309AF">
        <w:t xml:space="preserve"> that he had received the policy and wanted to return it</w:t>
      </w:r>
      <w:r w:rsidR="004B67D2">
        <w:t xml:space="preserve">.  </w:t>
      </w:r>
      <w:r w:rsidR="004B71BA">
        <w:t>The note stated:  “I-WITH-LIKE-TO-RETURN-IT</w:t>
      </w:r>
      <w:r w:rsidR="006116A6">
        <w:t>.</w:t>
      </w:r>
      <w:r w:rsidR="004B71BA">
        <w:t>”</w:t>
      </w:r>
      <w:r w:rsidR="006116A6">
        <w:t xml:space="preserve"> </w:t>
      </w:r>
      <w:r w:rsidR="004B71BA">
        <w:t xml:space="preserve"> (</w:t>
      </w:r>
      <w:r w:rsidR="006116A6">
        <w:rPr>
          <w:i/>
          <w:iCs/>
        </w:rPr>
        <w:t>S</w:t>
      </w:r>
      <w:r w:rsidR="004B71BA">
        <w:rPr>
          <w:i/>
          <w:iCs/>
        </w:rPr>
        <w:t>ic</w:t>
      </w:r>
      <w:r w:rsidR="006116A6">
        <w:t>.</w:t>
      </w:r>
      <w:r w:rsidR="004B71BA">
        <w:t>)</w:t>
      </w:r>
    </w:p>
    <w:p w14:paraId="1936245B" w14:textId="491C76A2" w:rsidR="00484035" w:rsidRDefault="004B67D2" w:rsidP="00E13D01">
      <w:r>
        <w:tab/>
        <w:t>A few days later Williams heard from Pantaleoni</w:t>
      </w:r>
      <w:r w:rsidR="004E6E2A">
        <w:t>,</w:t>
      </w:r>
      <w:r w:rsidR="005309AF">
        <w:t xml:space="preserve"> inquiring about </w:t>
      </w:r>
      <w:r w:rsidR="004E6E2A">
        <w:t>the cancelled annuity</w:t>
      </w:r>
      <w:r>
        <w:t>.  Pantaleoni</w:t>
      </w:r>
      <w:r w:rsidR="005309AF">
        <w:t xml:space="preserve"> said he had papers for</w:t>
      </w:r>
      <w:r>
        <w:t xml:space="preserve"> Williams </w:t>
      </w:r>
      <w:r w:rsidR="005309AF">
        <w:t>to</w:t>
      </w:r>
      <w:r w:rsidR="00F07E30">
        <w:t xml:space="preserve"> sign</w:t>
      </w:r>
      <w:r>
        <w:t xml:space="preserve"> regarding his </w:t>
      </w:r>
      <w:r w:rsidR="00A644EE">
        <w:t>step</w:t>
      </w:r>
      <w:r>
        <w:t xml:space="preserve">daughter.  </w:t>
      </w:r>
      <w:r w:rsidR="00F07E30">
        <w:t xml:space="preserve">Williams suggested Pantaleoni send the papers and he would sign </w:t>
      </w:r>
      <w:r w:rsidR="0037543A">
        <w:t xml:space="preserve">them </w:t>
      </w:r>
      <w:r w:rsidR="00F07E30">
        <w:t>and send them back.  Pantaleoni insisted on</w:t>
      </w:r>
      <w:r w:rsidR="0037543A">
        <w:t xml:space="preserve"> visiting Williams</w:t>
      </w:r>
      <w:r w:rsidR="00F07E30">
        <w:t xml:space="preserve">.  </w:t>
      </w:r>
      <w:r>
        <w:t xml:space="preserve">Williams </w:t>
      </w:r>
      <w:r w:rsidR="009937E1">
        <w:t>told</w:t>
      </w:r>
      <w:r>
        <w:t xml:space="preserve"> Pantaleoni </w:t>
      </w:r>
      <w:r w:rsidR="009937E1">
        <w:t xml:space="preserve">he </w:t>
      </w:r>
      <w:r>
        <w:t>would have to show Williams where to sign because he was</w:t>
      </w:r>
      <w:r w:rsidR="00381618">
        <w:t xml:space="preserve"> </w:t>
      </w:r>
      <w:r w:rsidR="00F07E30">
        <w:t xml:space="preserve">sick </w:t>
      </w:r>
      <w:r w:rsidR="00381618">
        <w:t>and</w:t>
      </w:r>
      <w:r>
        <w:t xml:space="preserve"> “blurry eyed.</w:t>
      </w:r>
      <w:r w:rsidR="009937E1">
        <w:t>”</w:t>
      </w:r>
      <w:r>
        <w:t xml:space="preserve">  </w:t>
      </w:r>
      <w:r w:rsidR="002849F2">
        <w:t xml:space="preserve">When Pantaleoni came to the house, Williams </w:t>
      </w:r>
      <w:r w:rsidR="00E9620E">
        <w:t>signed another annuity application.  Williams also signed tw</w:t>
      </w:r>
      <w:r w:rsidR="00381618">
        <w:t>o</w:t>
      </w:r>
      <w:r w:rsidR="004B71BA">
        <w:t xml:space="preserve"> letters both stating in handwrit</w:t>
      </w:r>
      <w:r w:rsidR="00381618">
        <w:t>ten printing</w:t>
      </w:r>
      <w:r w:rsidR="004B71BA">
        <w:t xml:space="preserve"> that “</w:t>
      </w:r>
      <w:r w:rsidR="00A644EE">
        <w:t xml:space="preserve">I HAVE DECIDED TO KEEP MY </w:t>
      </w:r>
      <w:r w:rsidR="00F07E30">
        <w:t xml:space="preserve">ANNUITY </w:t>
      </w:r>
      <w:r w:rsidR="00A644EE">
        <w:t xml:space="preserve">CONTRACT . . . AND NOT </w:t>
      </w:r>
      <w:r w:rsidR="007662CC">
        <w:t xml:space="preserve">CANCEL </w:t>
      </w:r>
      <w:r w:rsidR="00A644EE">
        <w:t>IT</w:t>
      </w:r>
      <w:r w:rsidR="00166E7C">
        <w:t>,</w:t>
      </w:r>
      <w:r w:rsidR="004B71BA">
        <w:t>”</w:t>
      </w:r>
      <w:r w:rsidR="004E6E2A">
        <w:t xml:space="preserve"> and</w:t>
      </w:r>
      <w:r w:rsidR="004B71BA">
        <w:t xml:space="preserve"> requesting that the annuity be reissued</w:t>
      </w:r>
      <w:r w:rsidR="00E9620E">
        <w:t xml:space="preserve">.  Besides </w:t>
      </w:r>
      <w:r w:rsidR="00381618">
        <w:t xml:space="preserve">Williams’ </w:t>
      </w:r>
      <w:r w:rsidR="00E9620E">
        <w:t xml:space="preserve">signature, none of the </w:t>
      </w:r>
      <w:r w:rsidR="004B71BA">
        <w:t xml:space="preserve">handwritten </w:t>
      </w:r>
      <w:r w:rsidR="00E9620E">
        <w:t>printing on</w:t>
      </w:r>
      <w:r w:rsidR="004B71BA">
        <w:t xml:space="preserve"> the</w:t>
      </w:r>
      <w:r w:rsidR="00E9620E">
        <w:t xml:space="preserve"> page was</w:t>
      </w:r>
      <w:r w:rsidR="00381618">
        <w:t xml:space="preserve"> his</w:t>
      </w:r>
      <w:r w:rsidR="00E9620E">
        <w:t xml:space="preserve">.  </w:t>
      </w:r>
      <w:r w:rsidR="00F07E30">
        <w:t xml:space="preserve">When he signed, it was a blank sheet of paper.  </w:t>
      </w:r>
      <w:r w:rsidR="00E9620E">
        <w:t xml:space="preserve">Williams told Pantaleoni he did not like signing blank papers.  Williams thought he was signing papers regarding his </w:t>
      </w:r>
      <w:r w:rsidR="0035710D">
        <w:t>step</w:t>
      </w:r>
      <w:r w:rsidR="00E9620E">
        <w:t xml:space="preserve">daughter.  </w:t>
      </w:r>
      <w:r w:rsidR="00BE28C2">
        <w:t>Pantaleoni never delivered a reissued annuity.</w:t>
      </w:r>
    </w:p>
    <w:p w14:paraId="3A7422A3" w14:textId="79BDF3BC" w:rsidR="00BE28C2" w:rsidRDefault="00484035" w:rsidP="00E13D01">
      <w:r>
        <w:tab/>
      </w:r>
      <w:r w:rsidR="00E9620E">
        <w:t>Williams waited</w:t>
      </w:r>
      <w:r>
        <w:t xml:space="preserve"> two months</w:t>
      </w:r>
      <w:r w:rsidR="00E9620E">
        <w:t xml:space="preserve"> for the return of his money</w:t>
      </w:r>
      <w:r w:rsidR="00F07E30">
        <w:t xml:space="preserve"> but it did not show up</w:t>
      </w:r>
      <w:r w:rsidR="00E9620E">
        <w:t xml:space="preserve">.  </w:t>
      </w:r>
      <w:r>
        <w:t>Williams called</w:t>
      </w:r>
      <w:r w:rsidR="00EF5748">
        <w:t xml:space="preserve"> NWL</w:t>
      </w:r>
      <w:r w:rsidR="002849F2">
        <w:t xml:space="preserve">’s office </w:t>
      </w:r>
      <w:r>
        <w:t xml:space="preserve">and was told the value of the annuity was </w:t>
      </w:r>
      <w:r w:rsidR="006A216A">
        <w:t xml:space="preserve">now </w:t>
      </w:r>
      <w:r>
        <w:t>$88,000</w:t>
      </w:r>
      <w:r w:rsidR="006A216A">
        <w:t>,</w:t>
      </w:r>
      <w:r>
        <w:t xml:space="preserve"> two months after</w:t>
      </w:r>
      <w:r w:rsidR="006A216A">
        <w:t xml:space="preserve"> Williams paid</w:t>
      </w:r>
      <w:r>
        <w:t xml:space="preserve"> $100,000 for it.  Williams decided not to cancel</w:t>
      </w:r>
      <w:r w:rsidR="004B71BA">
        <w:t xml:space="preserve"> the annuity</w:t>
      </w:r>
      <w:r>
        <w:t xml:space="preserve"> so that the amount of interest would increase</w:t>
      </w:r>
      <w:r w:rsidR="009937E1">
        <w:t xml:space="preserve"> and</w:t>
      </w:r>
      <w:r>
        <w:t xml:space="preserve"> could be applied to the 15 percent surrender penalty.  With the help of a neighbor who had a computer, Williams checked online to see if the interest had increased.</w:t>
      </w:r>
    </w:p>
    <w:p w14:paraId="5AE8E25D" w14:textId="499CB961" w:rsidR="001E48D6" w:rsidRDefault="00BE28C2" w:rsidP="0002700A">
      <w:r>
        <w:lastRenderedPageBreak/>
        <w:tab/>
        <w:t xml:space="preserve">Williams sought help to try to get his money back from NWL.  </w:t>
      </w:r>
      <w:r w:rsidR="00166E7C">
        <w:t>H</w:t>
      </w:r>
      <w:r w:rsidR="008759CE">
        <w:t xml:space="preserve">e paid </w:t>
      </w:r>
      <w:r w:rsidR="001E48D6">
        <w:t xml:space="preserve">$500 to </w:t>
      </w:r>
      <w:r w:rsidR="008759CE">
        <w:t xml:space="preserve">Mark Starr </w:t>
      </w:r>
      <w:r w:rsidR="006A216A">
        <w:t>of</w:t>
      </w:r>
      <w:r w:rsidR="008759CE">
        <w:t xml:space="preserve"> </w:t>
      </w:r>
      <w:r w:rsidR="001E48D6">
        <w:t xml:space="preserve">the investment firm </w:t>
      </w:r>
      <w:r w:rsidR="008759CE">
        <w:t>Edward Jones</w:t>
      </w:r>
      <w:r w:rsidR="00166E7C">
        <w:t xml:space="preserve"> for that purpose</w:t>
      </w:r>
      <w:r w:rsidR="008759CE">
        <w:t>.  In March 2017, Williams signed a surrender request to NWL</w:t>
      </w:r>
      <w:r w:rsidR="004B71BA">
        <w:t xml:space="preserve"> directing that </w:t>
      </w:r>
      <w:r w:rsidR="005D2697">
        <w:t>the refund check be mailed to Edward Jones</w:t>
      </w:r>
      <w:r w:rsidR="008759CE">
        <w:t>.</w:t>
      </w:r>
    </w:p>
    <w:p w14:paraId="05CB3C23" w14:textId="187B4663" w:rsidR="005D2697" w:rsidRDefault="001E48D6" w:rsidP="0002700A">
      <w:r>
        <w:tab/>
      </w:r>
      <w:r w:rsidR="005E18B1">
        <w:t>On</w:t>
      </w:r>
      <w:r w:rsidR="008759CE">
        <w:t xml:space="preserve"> April</w:t>
      </w:r>
      <w:r w:rsidR="005E18B1">
        <w:t xml:space="preserve"> 5,</w:t>
      </w:r>
      <w:r w:rsidR="008759CE">
        <w:t xml:space="preserve"> 2017, Starr </w:t>
      </w:r>
      <w:r w:rsidR="0054182E">
        <w:t>typed</w:t>
      </w:r>
      <w:r w:rsidR="008759CE">
        <w:t xml:space="preserve"> a letter to NWL </w:t>
      </w:r>
      <w:r w:rsidR="005D2697">
        <w:t>signed by Williams</w:t>
      </w:r>
      <w:r w:rsidR="0035710D">
        <w:t>, which stated</w:t>
      </w:r>
      <w:r w:rsidR="005D2697">
        <w:t>:  “I am requesting an immediate processing of the surrender request for my annuity</w:t>
      </w:r>
      <w:r w:rsidR="0054182E">
        <w:t xml:space="preserve"> .</w:t>
      </w:r>
      <w:r w:rsidR="00ED3989">
        <w:t> </w:t>
      </w:r>
      <w:r w:rsidR="0054182E">
        <w:t>.</w:t>
      </w:r>
      <w:r w:rsidR="00ED3989">
        <w:t> </w:t>
      </w:r>
      <w:r w:rsidR="0054182E">
        <w:t>.</w:t>
      </w:r>
      <w:r w:rsidR="00ED3989">
        <w:t> </w:t>
      </w:r>
      <w:r w:rsidR="0054182E">
        <w:t xml:space="preserve">.  A copy of the surrender request is included with this fax. </w:t>
      </w:r>
      <w:r w:rsidR="005D2697">
        <w:t xml:space="preserve"> [¶]  Not only was the policy purchased without explanation of what the investment was, but the agent, Victor Pantaleoni, refused to process the policy cancelation during my 30 day free look period.  [¶]  Since the day I decided to surrender the policy, Mr. Pantaleoni has continually harassed me by phone and in person to keep me from cancelling the policy.  His focus is not on what is best for me, but only how his commission will be affected.  [¶]  My next step wi</w:t>
      </w:r>
      <w:r>
        <w:t>ll</w:t>
      </w:r>
      <w:r w:rsidR="005D2697">
        <w:t xml:space="preserve"> be to file a complaint with the California Department of Insurance unless this request is processed quickly.”</w:t>
      </w:r>
    </w:p>
    <w:p w14:paraId="48FFBCE2" w14:textId="46DF0FD8" w:rsidR="0002700A" w:rsidRDefault="005D2697" w:rsidP="0002700A">
      <w:r>
        <w:tab/>
      </w:r>
      <w:r w:rsidR="008759CE">
        <w:t>In May 2017, NWL sent a check to Edward Jones for the benefit of Williams in the amount of $88,056.64.</w:t>
      </w:r>
    </w:p>
    <w:p w14:paraId="7EF37DA5" w14:textId="71F2B61F" w:rsidR="0054182E" w:rsidRDefault="004324A4" w:rsidP="0002700A">
      <w:r>
        <w:tab/>
      </w:r>
      <w:r w:rsidR="00B5172C">
        <w:t xml:space="preserve">On August 28, </w:t>
      </w:r>
      <w:r>
        <w:t>2017,</w:t>
      </w:r>
      <w:r w:rsidR="00166E7C">
        <w:t xml:space="preserve"> Williams and</w:t>
      </w:r>
      <w:r>
        <w:t xml:space="preserve"> Prescott Cole, an attorney with California Advocates for Nursing Home Reform, wrote to NWL requesting all</w:t>
      </w:r>
      <w:r w:rsidR="0037543A">
        <w:t xml:space="preserve"> Williams’</w:t>
      </w:r>
      <w:r>
        <w:t xml:space="preserve"> annuity policies and related</w:t>
      </w:r>
      <w:r w:rsidR="00AB5F27">
        <w:t xml:space="preserve"> documents</w:t>
      </w:r>
      <w:r w:rsidR="004E6E2A">
        <w:t>, as well as</w:t>
      </w:r>
      <w:r>
        <w:t xml:space="preserve"> a final balance statement showing surrender charges.</w:t>
      </w:r>
    </w:p>
    <w:p w14:paraId="2D204D78" w14:textId="28301BA8" w:rsidR="00AB5F27" w:rsidRDefault="0054182E" w:rsidP="0002700A">
      <w:r>
        <w:tab/>
      </w:r>
      <w:r w:rsidR="00AB5F27">
        <w:t xml:space="preserve">In early September 2017, Juanita Ziebell </w:t>
      </w:r>
      <w:r w:rsidR="00A631A7">
        <w:t>at</w:t>
      </w:r>
      <w:r w:rsidR="00AB5F27">
        <w:t xml:space="preserve"> NWL responded to </w:t>
      </w:r>
      <w:r w:rsidR="005E18B1">
        <w:t>th</w:t>
      </w:r>
      <w:r w:rsidR="00166E7C">
        <w:t xml:space="preserve">e </w:t>
      </w:r>
      <w:r w:rsidR="00AB5F27">
        <w:t>letter</w:t>
      </w:r>
      <w:r w:rsidR="00905248">
        <w:t xml:space="preserve"> from Williams and Cole</w:t>
      </w:r>
      <w:r w:rsidR="006A216A">
        <w:t>.  Ziebell</w:t>
      </w:r>
      <w:r w:rsidR="00AB5F27">
        <w:t xml:space="preserve"> summari</w:t>
      </w:r>
      <w:r w:rsidR="006A216A">
        <w:t>zed</w:t>
      </w:r>
      <w:r w:rsidR="00AB5F27">
        <w:t xml:space="preserve"> the events regarding the initial application for the annuity in February 2016, Williams’ request </w:t>
      </w:r>
      <w:r w:rsidR="00CC6411">
        <w:t xml:space="preserve">for </w:t>
      </w:r>
      <w:r w:rsidR="00AB5F27">
        <w:t>a refund under the free look provision, and the</w:t>
      </w:r>
      <w:r w:rsidR="00CC6411">
        <w:t xml:space="preserve"> subsequent</w:t>
      </w:r>
      <w:r w:rsidR="00AB5F27">
        <w:t xml:space="preserve"> letter Williams signed stating that he wanted the policy reissued.  </w:t>
      </w:r>
      <w:r w:rsidR="00905248">
        <w:t xml:space="preserve">Ziebell </w:t>
      </w:r>
      <w:r w:rsidR="00AB5F27">
        <w:t xml:space="preserve">stated:  “At the time of your application, your agent, Victor Pantaleoni, provided you with a copy of the Consumer Information and Disclosure Brochure.  The brochure provides </w:t>
      </w:r>
      <w:r w:rsidR="00CC6411">
        <w:t>an overview of the policy’s features, benefits, and limitations.</w:t>
      </w:r>
      <w:r w:rsidR="00905248">
        <w:t xml:space="preserve">  </w:t>
      </w:r>
      <w:r w:rsidR="00CC6411">
        <w:t xml:space="preserve">This </w:t>
      </w:r>
      <w:r w:rsidR="00CC6411">
        <w:lastRenderedPageBreak/>
        <w:t>includes free withdrawal options and withdrawal charge rates.  The disclosure also states that this annuity is a deferred annuity and a long term investment.  I am enclosing a copy of the signature page which you signed which states, in part, ‘I have received a copy of this disclosure and I have reviewed it with my agent.  I fully understand the disclosure and specific points outlined above.’</w:t>
      </w:r>
      <w:r w:rsidR="007662CC">
        <w:t> </w:t>
      </w:r>
      <w:r w:rsidR="00CC6411">
        <w:t>”  The letter concluded with an explanation of the surrender charge</w:t>
      </w:r>
      <w:r w:rsidR="00A631A7">
        <w:t>s</w:t>
      </w:r>
      <w:r w:rsidR="00CC6411">
        <w:t>, noting that in the second policy year the charge was 14.75</w:t>
      </w:r>
      <w:r w:rsidR="007F1C28">
        <w:t xml:space="preserve"> percent</w:t>
      </w:r>
      <w:r w:rsidR="00CC6411">
        <w:t xml:space="preserve"> and, as of the first anniversary of the policy, Williams had earned $3,300 at a fixed </w:t>
      </w:r>
      <w:r w:rsidR="001E48D6">
        <w:t xml:space="preserve">interest </w:t>
      </w:r>
      <w:r w:rsidR="00CC6411">
        <w:t>rate of 3.30</w:t>
      </w:r>
      <w:r w:rsidR="007F1C28">
        <w:t xml:space="preserve"> percent</w:t>
      </w:r>
      <w:r w:rsidR="00CC6411">
        <w:t>.</w:t>
      </w:r>
    </w:p>
    <w:p w14:paraId="7926AB8E" w14:textId="6FC57DB6" w:rsidR="00484035" w:rsidRDefault="00C14051" w:rsidP="00E13D01">
      <w:r>
        <w:tab/>
      </w:r>
      <w:r w:rsidR="00156F0E">
        <w:t>On cross-examination</w:t>
      </w:r>
      <w:r w:rsidR="001A23A8">
        <w:t xml:space="preserve"> by counsel </w:t>
      </w:r>
      <w:r w:rsidR="006A216A">
        <w:t xml:space="preserve">for </w:t>
      </w:r>
      <w:r w:rsidR="001A23A8">
        <w:t>NWL</w:t>
      </w:r>
      <w:r w:rsidR="00156F0E">
        <w:t xml:space="preserve">, </w:t>
      </w:r>
      <w:r w:rsidR="00275C33">
        <w:t xml:space="preserve">Williams confirmed that, when he went to Starr at Edward Jones, Williams did not ask for advice on how to get a $100,000 refund, because 30 days had passed </w:t>
      </w:r>
      <w:r w:rsidR="006A216A">
        <w:t xml:space="preserve">and </w:t>
      </w:r>
      <w:r w:rsidR="00275C33">
        <w:t>Williams knew the refund would be about $88,000</w:t>
      </w:r>
      <w:r w:rsidR="00EB1F60">
        <w:t>,</w:t>
      </w:r>
      <w:r w:rsidR="006A216A">
        <w:t xml:space="preserve"> </w:t>
      </w:r>
      <w:r w:rsidR="005E18B1">
        <w:t>due to</w:t>
      </w:r>
      <w:r w:rsidR="00275C33">
        <w:t xml:space="preserve"> </w:t>
      </w:r>
      <w:r w:rsidR="005E18B1">
        <w:t xml:space="preserve">the </w:t>
      </w:r>
      <w:r w:rsidR="00275C33">
        <w:t xml:space="preserve">surrender penalty.  </w:t>
      </w:r>
      <w:r w:rsidR="00154F31">
        <w:t>Williams confirmed</w:t>
      </w:r>
      <w:r w:rsidR="0054182E">
        <w:t xml:space="preserve"> in deposition testimony read to the jury</w:t>
      </w:r>
      <w:r w:rsidR="00154F31">
        <w:t xml:space="preserve"> that he received the</w:t>
      </w:r>
      <w:r w:rsidR="00161B70">
        <w:t xml:space="preserve"> September 2017</w:t>
      </w:r>
      <w:r w:rsidR="00154F31">
        <w:t xml:space="preserve"> letter from Ziebell</w:t>
      </w:r>
      <w:r w:rsidR="003C5FB1">
        <w:t xml:space="preserve"> and</w:t>
      </w:r>
      <w:r w:rsidR="00154F31">
        <w:t xml:space="preserve"> read it, </w:t>
      </w:r>
      <w:r w:rsidR="003C5FB1">
        <w:t>but</w:t>
      </w:r>
      <w:r w:rsidR="00154F31">
        <w:t xml:space="preserve"> </w:t>
      </w:r>
      <w:r w:rsidR="006A216A">
        <w:t xml:space="preserve">accidentally </w:t>
      </w:r>
      <w:r w:rsidR="00154F31">
        <w:t>burned it with his wife’s papers.</w:t>
      </w:r>
    </w:p>
    <w:p w14:paraId="0B87DD24" w14:textId="77777777" w:rsidR="00166E7C" w:rsidRDefault="001A23A8" w:rsidP="00BD0540">
      <w:pPr>
        <w:keepNext/>
        <w:rPr>
          <w:b/>
          <w:bCs/>
        </w:rPr>
      </w:pPr>
      <w:r>
        <w:tab/>
      </w:r>
      <w:r w:rsidR="00166E7C">
        <w:tab/>
      </w:r>
      <w:r w:rsidR="00166E7C">
        <w:rPr>
          <w:b/>
          <w:bCs/>
        </w:rPr>
        <w:t>b.</w:t>
      </w:r>
      <w:r w:rsidR="00166E7C">
        <w:rPr>
          <w:b/>
          <w:bCs/>
        </w:rPr>
        <w:tab/>
        <w:t>Dr. Stacey Wood</w:t>
      </w:r>
    </w:p>
    <w:p w14:paraId="32319000" w14:textId="05BBBAEF" w:rsidR="006266A5" w:rsidRDefault="00166E7C" w:rsidP="00E13D01">
      <w:r>
        <w:rPr>
          <w:b/>
          <w:bCs/>
        </w:rPr>
        <w:tab/>
      </w:r>
      <w:r w:rsidR="006266A5">
        <w:t>Dr. Stacey Wood</w:t>
      </w:r>
      <w:r w:rsidR="00A631A7">
        <w:t>,</w:t>
      </w:r>
      <w:r w:rsidR="006266A5">
        <w:t xml:space="preserve"> </w:t>
      </w:r>
      <w:r w:rsidR="00A631A7">
        <w:t xml:space="preserve">an </w:t>
      </w:r>
      <w:r w:rsidR="006266A5">
        <w:t>expert</w:t>
      </w:r>
      <w:r w:rsidR="005E18B1">
        <w:t xml:space="preserve"> on the</w:t>
      </w:r>
      <w:r w:rsidR="006266A5">
        <w:t xml:space="preserve"> susceptibility of elders to undue influence</w:t>
      </w:r>
      <w:r w:rsidR="00A631A7">
        <w:t>, testified that Williams was significantly susceptible to undue influence by Pantaleoni</w:t>
      </w:r>
      <w:r w:rsidR="006266A5">
        <w:t xml:space="preserve">.  </w:t>
      </w:r>
      <w:r w:rsidR="00B52D78">
        <w:t>On cross-examination</w:t>
      </w:r>
      <w:r w:rsidR="00905248">
        <w:t xml:space="preserve"> by NW</w:t>
      </w:r>
      <w:r w:rsidR="00A631A7">
        <w:t>L</w:t>
      </w:r>
      <w:r w:rsidR="00B52D78">
        <w:t>, Dr. Wood confirmed that she was not testifying that undue influence actually</w:t>
      </w:r>
      <w:r w:rsidR="00A631A7">
        <w:t xml:space="preserve"> occurred</w:t>
      </w:r>
      <w:r w:rsidR="00B52D78">
        <w:t>.</w:t>
      </w:r>
    </w:p>
    <w:p w14:paraId="1458E0AE" w14:textId="6D8980C7" w:rsidR="00166E7C" w:rsidRPr="00166E7C" w:rsidRDefault="00166E7C" w:rsidP="00BD0540">
      <w:pPr>
        <w:keepNext/>
        <w:rPr>
          <w:b/>
          <w:bCs/>
        </w:rPr>
      </w:pPr>
      <w:r>
        <w:tab/>
      </w:r>
      <w:r>
        <w:tab/>
      </w:r>
      <w:r>
        <w:rPr>
          <w:b/>
          <w:bCs/>
        </w:rPr>
        <w:t>c.</w:t>
      </w:r>
      <w:r>
        <w:rPr>
          <w:b/>
          <w:bCs/>
        </w:rPr>
        <w:tab/>
        <w:t>Victor Pantaleoni</w:t>
      </w:r>
    </w:p>
    <w:p w14:paraId="1C0FBEC6" w14:textId="75954480" w:rsidR="00656B03" w:rsidRDefault="00C82B1A" w:rsidP="00E13D01">
      <w:r>
        <w:tab/>
      </w:r>
      <w:r w:rsidR="00656B03">
        <w:t xml:space="preserve">Pantaleoni’s business card for his company American Family Legal Services identified him as a “CSA” and “Managing Partner/Paralegal” </w:t>
      </w:r>
      <w:r w:rsidR="00EB1F60">
        <w:t>with</w:t>
      </w:r>
      <w:r w:rsidR="00D73697">
        <w:t xml:space="preserve"> the company </w:t>
      </w:r>
      <w:r w:rsidR="00656B03">
        <w:t>and included insurance license numbers for California</w:t>
      </w:r>
      <w:r w:rsidR="00914B29">
        <w:t>,</w:t>
      </w:r>
      <w:r w:rsidR="00656B03">
        <w:t xml:space="preserve"> Arizona</w:t>
      </w:r>
      <w:r w:rsidR="00914B29">
        <w:t>, and Nevada</w:t>
      </w:r>
      <w:r w:rsidR="00656B03">
        <w:t>.</w:t>
      </w:r>
    </w:p>
    <w:p w14:paraId="0ED9FCC7" w14:textId="798E1DAD" w:rsidR="00A15F42" w:rsidRDefault="00656B03" w:rsidP="00A15F42">
      <w:r>
        <w:lastRenderedPageBreak/>
        <w:tab/>
      </w:r>
      <w:r w:rsidR="00915EE5">
        <w:t xml:space="preserve">In 2005, 2009 and 2013, NWL </w:t>
      </w:r>
      <w:r w:rsidR="005E18B1">
        <w:t>appointed Pantaleoni</w:t>
      </w:r>
      <w:r w:rsidR="00915EE5">
        <w:t xml:space="preserve"> as an agent in Arizona, California and Nevada.</w:t>
      </w:r>
      <w:r w:rsidR="009C06E7">
        <w:rPr>
          <w:rStyle w:val="FootnoteReference"/>
        </w:rPr>
        <w:footnoteReference w:id="4"/>
      </w:r>
      <w:r w:rsidR="00915EE5">
        <w:t xml:space="preserve">  Pantaleoni’s </w:t>
      </w:r>
      <w:r w:rsidR="006A216A">
        <w:t>2009</w:t>
      </w:r>
      <w:r w:rsidR="00A15F42">
        <w:t xml:space="preserve"> and 2013</w:t>
      </w:r>
      <w:r w:rsidR="006A216A">
        <w:t xml:space="preserve"> </w:t>
      </w:r>
      <w:r w:rsidR="00915EE5">
        <w:t>contract</w:t>
      </w:r>
      <w:r w:rsidR="00A15F42">
        <w:t>s</w:t>
      </w:r>
      <w:r w:rsidR="00915EE5">
        <w:t xml:space="preserve"> with NWL state</w:t>
      </w:r>
      <w:r w:rsidR="005E18B1">
        <w:t>d</w:t>
      </w:r>
      <w:r w:rsidR="00915EE5">
        <w:t>:  “We appoint you to personally procure applications for insurance for us, deliver policies issued by us and provide policyholder services as requested</w:t>
      </w:r>
      <w:r w:rsidR="00A15F42">
        <w:t>, a</w:t>
      </w:r>
      <w:r w:rsidR="00915EE5">
        <w:t>ll subj</w:t>
      </w:r>
      <w:r w:rsidR="003E2B4F">
        <w:t xml:space="preserve">ect to our </w:t>
      </w:r>
      <w:r w:rsidR="00A15F42">
        <w:t>R</w:t>
      </w:r>
      <w:r w:rsidR="003E2B4F">
        <w:t xml:space="preserve">ate </w:t>
      </w:r>
      <w:r w:rsidR="00A15F42">
        <w:t>B</w:t>
      </w:r>
      <w:r w:rsidR="003E2B4F">
        <w:t xml:space="preserve">ook and our </w:t>
      </w:r>
      <w:r w:rsidR="00A15F42">
        <w:t>R</w:t>
      </w:r>
      <w:r w:rsidR="003E2B4F">
        <w:t xml:space="preserve">ules and </w:t>
      </w:r>
      <w:r w:rsidR="00A15F42">
        <w:t>R</w:t>
      </w:r>
      <w:r w:rsidR="003E2B4F">
        <w:t>egulations.  You are an independent contractor</w:t>
      </w:r>
      <w:r w:rsidR="00914B29">
        <w:t>,</w:t>
      </w:r>
      <w:r w:rsidR="003E2B4F">
        <w:t xml:space="preserve"> and this agreement does not establish an employer-employee relationship.”</w:t>
      </w:r>
      <w:r w:rsidR="00915EE5">
        <w:t xml:space="preserve">  </w:t>
      </w:r>
      <w:r w:rsidR="00A15F42">
        <w:t>The contract further read:  “You agree to abide by our Rules and Regulations and the laws and regulations where we are licensed to sell insurance.”</w:t>
      </w:r>
    </w:p>
    <w:p w14:paraId="1AC39FFE" w14:textId="3AC3EC0F" w:rsidR="00337C27" w:rsidRDefault="00905248" w:rsidP="00E13D01">
      <w:r>
        <w:tab/>
      </w:r>
      <w:r w:rsidR="000E4D47">
        <w:t xml:space="preserve">Pantaleoni testified that NWL had a right to terminate him if he violated </w:t>
      </w:r>
      <w:r w:rsidR="009C06E7">
        <w:t>any</w:t>
      </w:r>
      <w:r w:rsidR="000E4D47">
        <w:t xml:space="preserve"> laws or regulations</w:t>
      </w:r>
      <w:r w:rsidR="003C5FB1">
        <w:t xml:space="preserve">.  </w:t>
      </w:r>
      <w:r w:rsidR="00D30579">
        <w:t>NWL</w:t>
      </w:r>
      <w:r w:rsidR="000E4D47">
        <w:t xml:space="preserve"> never terminated</w:t>
      </w:r>
      <w:r w:rsidR="00D30579">
        <w:t xml:space="preserve"> him</w:t>
      </w:r>
      <w:r w:rsidR="000E4D47">
        <w:t>.</w:t>
      </w:r>
    </w:p>
    <w:p w14:paraId="415975AE" w14:textId="3C1F2F53" w:rsidR="004157C8" w:rsidRDefault="00753422" w:rsidP="00E13D01">
      <w:r>
        <w:tab/>
        <w:t xml:space="preserve">Pantaleoni received compliance bulletins from NWL. </w:t>
      </w:r>
      <w:r w:rsidR="00A15F42">
        <w:t xml:space="preserve"> </w:t>
      </w:r>
      <w:r w:rsidR="00D30579">
        <w:t>As a</w:t>
      </w:r>
      <w:r w:rsidR="00932E67">
        <w:t xml:space="preserve">dvised by </w:t>
      </w:r>
      <w:r w:rsidR="00385CA8">
        <w:t>a bulletin on estate planning services</w:t>
      </w:r>
      <w:r w:rsidR="00D30579">
        <w:t xml:space="preserve">, Pantaleoni understood </w:t>
      </w:r>
      <w:r w:rsidR="00932E67">
        <w:t xml:space="preserve">he </w:t>
      </w:r>
      <w:r>
        <w:t>(1)</w:t>
      </w:r>
      <w:r w:rsidR="00932E67">
        <w:t xml:space="preserve"> </w:t>
      </w:r>
      <w:r>
        <w:t>could not give legal advice if he did not have a law license</w:t>
      </w:r>
      <w:r w:rsidR="00932E67">
        <w:t xml:space="preserve">, </w:t>
      </w:r>
      <w:r w:rsidR="000026F1">
        <w:t xml:space="preserve">(2) </w:t>
      </w:r>
      <w:r w:rsidR="00385CA8">
        <w:t xml:space="preserve">should avoid using the sale of </w:t>
      </w:r>
      <w:r w:rsidR="00EB1F60">
        <w:t xml:space="preserve">a </w:t>
      </w:r>
      <w:r w:rsidR="00385CA8">
        <w:t>living trust as a pretext to sell insurance or an annuity, (3) had to identify himself as an insurance agent in advertising and when meeting with a customer, and (4) should avoid using professional designations that imply a level of authority or expertise that he did not possess</w:t>
      </w:r>
      <w:r>
        <w:t xml:space="preserve">.  </w:t>
      </w:r>
      <w:r w:rsidR="00932E67">
        <w:t xml:space="preserve">Pantaleoni </w:t>
      </w:r>
      <w:r w:rsidR="00385CA8">
        <w:t>admitted</w:t>
      </w:r>
      <w:r w:rsidR="00932E67">
        <w:t xml:space="preserve"> that (1) he</w:t>
      </w:r>
      <w:r w:rsidR="000026F1">
        <w:t xml:space="preserve"> had</w:t>
      </w:r>
      <w:r w:rsidR="005E18B1">
        <w:t xml:space="preserve"> </w:t>
      </w:r>
      <w:r w:rsidR="000026F1">
        <w:t>a certification as a CSA</w:t>
      </w:r>
      <w:r w:rsidR="00385CA8">
        <w:t xml:space="preserve"> </w:t>
      </w:r>
      <w:r w:rsidR="000026F1">
        <w:t>but lost it</w:t>
      </w:r>
      <w:r w:rsidR="00932E67">
        <w:t>, (</w:t>
      </w:r>
      <w:r w:rsidR="00385CA8">
        <w:t>2</w:t>
      </w:r>
      <w:r w:rsidR="00932E67">
        <w:t>)</w:t>
      </w:r>
      <w:r w:rsidR="000026F1">
        <w:t xml:space="preserve"> CSA was not a designation approved by DOI</w:t>
      </w:r>
      <w:r w:rsidR="00932E67">
        <w:t>, and (</w:t>
      </w:r>
      <w:r w:rsidR="00385CA8">
        <w:t>3</w:t>
      </w:r>
      <w:r w:rsidR="00932E67">
        <w:t>)</w:t>
      </w:r>
      <w:r w:rsidR="000026F1">
        <w:t xml:space="preserve"> he was </w:t>
      </w:r>
      <w:r w:rsidR="00F0272F">
        <w:t>“</w:t>
      </w:r>
      <w:r w:rsidR="000026F1">
        <w:t>negligent</w:t>
      </w:r>
      <w:r w:rsidR="00F0272F">
        <w:t>”</w:t>
      </w:r>
      <w:r w:rsidR="000026F1">
        <w:t xml:space="preserve"> in keeping “CSA” on his business card.  Pantaleoni understood</w:t>
      </w:r>
      <w:r w:rsidR="00E603A3">
        <w:t>,</w:t>
      </w:r>
      <w:r w:rsidR="000026F1">
        <w:t xml:space="preserve"> as advised by </w:t>
      </w:r>
      <w:r w:rsidR="00E603A3">
        <w:t>an</w:t>
      </w:r>
      <w:r w:rsidR="000026F1">
        <w:t xml:space="preserve"> NWL bulletin</w:t>
      </w:r>
      <w:r w:rsidR="00E603A3">
        <w:t xml:space="preserve">, </w:t>
      </w:r>
      <w:r w:rsidR="000026F1">
        <w:t xml:space="preserve">that he should not use business names that misled customers.  </w:t>
      </w:r>
      <w:r w:rsidR="00E603A3">
        <w:t>Pantaleoni testified that he</w:t>
      </w:r>
      <w:r w:rsidR="005A23FA">
        <w:t xml:space="preserve"> understood that it was unlawful to use pretext interviews to sell annuities, but</w:t>
      </w:r>
      <w:r w:rsidR="00EB1F60">
        <w:t xml:space="preserve"> said he</w:t>
      </w:r>
      <w:r w:rsidR="00E603A3">
        <w:t xml:space="preserve"> </w:t>
      </w:r>
      <w:r w:rsidR="00932E67">
        <w:t>did</w:t>
      </w:r>
      <w:r w:rsidR="00E603A3">
        <w:t xml:space="preserve"> not know that it is unlawful to use a trust mill to sell an annuity</w:t>
      </w:r>
      <w:r w:rsidR="00932E67">
        <w:t>,</w:t>
      </w:r>
      <w:r w:rsidR="00E603A3">
        <w:t xml:space="preserve"> </w:t>
      </w:r>
      <w:r w:rsidR="00932E67">
        <w:t>n</w:t>
      </w:r>
      <w:r w:rsidR="00E603A3">
        <w:t xml:space="preserve">or </w:t>
      </w:r>
      <w:r w:rsidR="00385CA8">
        <w:t>did</w:t>
      </w:r>
      <w:r w:rsidR="00932E67">
        <w:t xml:space="preserve"> he</w:t>
      </w:r>
      <w:r w:rsidR="00E603A3">
        <w:t xml:space="preserve"> underst</w:t>
      </w:r>
      <w:r w:rsidR="00385CA8">
        <w:t>an</w:t>
      </w:r>
      <w:r w:rsidR="00E603A3">
        <w:t>d what constituted a trust mill</w:t>
      </w:r>
      <w:r w:rsidR="00905248">
        <w:t>.</w:t>
      </w:r>
    </w:p>
    <w:p w14:paraId="2C5D3F96" w14:textId="04187116" w:rsidR="00D30579" w:rsidRDefault="004157C8" w:rsidP="00E13D01">
      <w:r>
        <w:lastRenderedPageBreak/>
        <w:tab/>
      </w:r>
      <w:r w:rsidR="00E603A3">
        <w:t>Pantaleoni testified</w:t>
      </w:r>
      <w:r>
        <w:t xml:space="preserve"> that he had sold 13 annuities in the 13 years he had been appointed by NWL.  H</w:t>
      </w:r>
      <w:r w:rsidR="00E603A3">
        <w:t>e was familiar with NWL’s policy</w:t>
      </w:r>
      <w:r>
        <w:t xml:space="preserve"> that for each annuity he delivered he was required to obtain a delivery receipt from the customer confirming that the policy was received.</w:t>
      </w:r>
    </w:p>
    <w:p w14:paraId="6EEB9DD0" w14:textId="547DC9D8" w:rsidR="004157C8" w:rsidRDefault="00D30579" w:rsidP="00E13D01">
      <w:r>
        <w:tab/>
      </w:r>
      <w:r w:rsidR="004157C8">
        <w:t>Pantaleoni understood that in California the word “insurance” was required to appear on his business card.  He agreed he sold insurance, an annuity</w:t>
      </w:r>
      <w:r w:rsidR="004F7E7A">
        <w:t>,</w:t>
      </w:r>
      <w:r w:rsidR="004157C8">
        <w:t xml:space="preserve"> to Williams, and</w:t>
      </w:r>
      <w:r w:rsidR="00EB1F60">
        <w:t xml:space="preserve"> admitted he</w:t>
      </w:r>
      <w:r w:rsidR="004157C8">
        <w:t xml:space="preserve"> “should have had a different card.”</w:t>
      </w:r>
    </w:p>
    <w:p w14:paraId="4CE63DCC" w14:textId="31D44355" w:rsidR="00D03168" w:rsidRDefault="00D03168" w:rsidP="00E13D01">
      <w:r>
        <w:tab/>
      </w:r>
      <w:r w:rsidR="004F7E7A">
        <w:t xml:space="preserve">Pantaleoni testified </w:t>
      </w:r>
      <w:r w:rsidR="00F0272F">
        <w:t>to his</w:t>
      </w:r>
      <w:r w:rsidR="004F7E7A">
        <w:t xml:space="preserve"> underst</w:t>
      </w:r>
      <w:r w:rsidR="00F0272F">
        <w:t>anding</w:t>
      </w:r>
      <w:r w:rsidR="004F7E7A">
        <w:t xml:space="preserve"> that California has special </w:t>
      </w:r>
      <w:r w:rsidR="007F1C28">
        <w:t>I</w:t>
      </w:r>
      <w:r w:rsidR="004F7E7A">
        <w:t xml:space="preserve">nsurance </w:t>
      </w:r>
      <w:r w:rsidR="007F1C28">
        <w:t>C</w:t>
      </w:r>
      <w:r w:rsidR="004F7E7A">
        <w:t xml:space="preserve">ode provisions to protect people over 65.  </w:t>
      </w:r>
      <w:r w:rsidR="00F0272F">
        <w:t>T</w:t>
      </w:r>
      <w:r w:rsidR="004F7E7A">
        <w:t>he law required that anyone who meets with a senior in t</w:t>
      </w:r>
      <w:r w:rsidR="00905248">
        <w:t>he</w:t>
      </w:r>
      <w:r w:rsidR="004F7E7A">
        <w:t xml:space="preserve"> home must deliver a notice in writing 24 hours prior to the meeting.  He </w:t>
      </w:r>
      <w:r w:rsidR="00F0272F">
        <w:t>understood</w:t>
      </w:r>
      <w:r w:rsidR="004F7E7A">
        <w:t xml:space="preserve"> </w:t>
      </w:r>
      <w:r w:rsidR="003C5FB1">
        <w:t xml:space="preserve">he </w:t>
      </w:r>
      <w:r w:rsidR="004F7E7A">
        <w:t>was required to keep</w:t>
      </w:r>
      <w:r w:rsidR="00BC6AE9">
        <w:t xml:space="preserve"> </w:t>
      </w:r>
      <w:r w:rsidR="004F7E7A">
        <w:t>a copy of the notice</w:t>
      </w:r>
      <w:r w:rsidR="00D30579">
        <w:t>,</w:t>
      </w:r>
      <w:r w:rsidR="004F7E7A">
        <w:t xml:space="preserve"> but </w:t>
      </w:r>
      <w:r w:rsidR="00D30579">
        <w:t xml:space="preserve">he </w:t>
      </w:r>
      <w:r w:rsidR="004F7E7A">
        <w:t>did not have one for Williams in his file</w:t>
      </w:r>
      <w:r w:rsidR="009C06E7">
        <w:t>.  Pantaleoni testified he</w:t>
      </w:r>
      <w:r w:rsidR="00F0272F">
        <w:t xml:space="preserve"> had</w:t>
      </w:r>
      <w:r w:rsidR="004F7E7A">
        <w:t xml:space="preserve"> asked NWL and the third party broker he was affiliated</w:t>
      </w:r>
      <w:r w:rsidR="005A23FA">
        <w:t xml:space="preserve"> with</w:t>
      </w:r>
      <w:r w:rsidR="004F7E7A">
        <w:t xml:space="preserve"> for the notice</w:t>
      </w:r>
      <w:r w:rsidR="005E18B1">
        <w:t xml:space="preserve"> to Williams</w:t>
      </w:r>
      <w:r w:rsidR="004F7E7A">
        <w:t xml:space="preserve"> but n</w:t>
      </w:r>
      <w:r w:rsidR="00A753B1">
        <w:t>either</w:t>
      </w:r>
      <w:r w:rsidR="004F7E7A">
        <w:t xml:space="preserve"> had a copy.  Pantaleoni understood that a person meeting with a senior must provide a business card with identifying information and an insurance license number.  He did not provide that card to Williams because he did not meet </w:t>
      </w:r>
      <w:r w:rsidR="00A753B1">
        <w:t xml:space="preserve">with </w:t>
      </w:r>
      <w:r w:rsidR="004F7E7A">
        <w:t xml:space="preserve">him to sell insurance.  </w:t>
      </w:r>
      <w:r w:rsidR="00BC6AE9">
        <w:t xml:space="preserve">Pantaleoni understood that he could not sell a life insurance policy or annuity using a scheme that misrepresented the true status of </w:t>
      </w:r>
      <w:r w:rsidR="00905248">
        <w:t>his</w:t>
      </w:r>
      <w:r w:rsidR="00BC6AE9">
        <w:t xml:space="preserve"> contact with a senior.</w:t>
      </w:r>
    </w:p>
    <w:p w14:paraId="02CA8EF8" w14:textId="0D31A282" w:rsidR="00BC6AE9" w:rsidRDefault="00BC6AE9" w:rsidP="00E13D01">
      <w:r>
        <w:tab/>
      </w:r>
      <w:r w:rsidR="005A23FA">
        <w:t xml:space="preserve">In 2016, </w:t>
      </w:r>
      <w:r>
        <w:t xml:space="preserve">Pantaleoni was the president of American Family Legal Services.  </w:t>
      </w:r>
      <w:r w:rsidR="00337C27">
        <w:t>In 2013, Pantaleoni surrendered his right for American Family Legal Services to transact intrastate business in California and reactivated it in 2018.</w:t>
      </w:r>
    </w:p>
    <w:p w14:paraId="0A21BB54" w14:textId="67C166B5" w:rsidR="000E4D47" w:rsidRDefault="00BC6AE9" w:rsidP="000E4D47">
      <w:r>
        <w:tab/>
      </w:r>
      <w:r w:rsidR="000E4D47">
        <w:t>Pantaleoni’s contract</w:t>
      </w:r>
      <w:r w:rsidR="0046670C">
        <w:t>s</w:t>
      </w:r>
      <w:r w:rsidR="000E4D47">
        <w:t xml:space="preserve"> </w:t>
      </w:r>
      <w:r w:rsidR="00A631A7">
        <w:t xml:space="preserve">with NWL </w:t>
      </w:r>
      <w:r w:rsidR="000E4D47">
        <w:t>provided that all records and documents associated with NWL transactions were the company’s property and open to inspection</w:t>
      </w:r>
      <w:r w:rsidR="009C06E7">
        <w:t xml:space="preserve">.  </w:t>
      </w:r>
      <w:r w:rsidR="000E4D47">
        <w:t>Pantaleoni could not recall</w:t>
      </w:r>
      <w:r w:rsidR="0046670C">
        <w:t>,</w:t>
      </w:r>
      <w:r w:rsidR="000E4D47">
        <w:t xml:space="preserve"> since 2016</w:t>
      </w:r>
      <w:r w:rsidR="0046670C">
        <w:t>,</w:t>
      </w:r>
      <w:r w:rsidR="000E4D47">
        <w:t xml:space="preserve"> NWL inspecting his business card</w:t>
      </w:r>
      <w:r w:rsidR="0046670C">
        <w:t>,</w:t>
      </w:r>
      <w:r w:rsidR="000E4D47">
        <w:t xml:space="preserve"> or telling</w:t>
      </w:r>
      <w:r w:rsidR="0046670C">
        <w:t xml:space="preserve"> him</w:t>
      </w:r>
      <w:r w:rsidR="000E4D47">
        <w:t xml:space="preserve"> to put the word “Insurance” on it</w:t>
      </w:r>
      <w:r w:rsidR="0046670C">
        <w:t xml:space="preserve">, </w:t>
      </w:r>
      <w:r w:rsidR="000E4D47">
        <w:t>remove “CSA</w:t>
      </w:r>
      <w:r w:rsidR="0046670C">
        <w:t>,</w:t>
      </w:r>
      <w:r w:rsidR="000E4D47">
        <w:t>” or move the word “Paralegal” away from his insurance license numbers.</w:t>
      </w:r>
    </w:p>
    <w:p w14:paraId="3002D93F" w14:textId="1F5DC232" w:rsidR="0046670C" w:rsidRDefault="0046670C" w:rsidP="000E4D47">
      <w:r>
        <w:lastRenderedPageBreak/>
        <w:tab/>
        <w:t xml:space="preserve">In 2013, Pantaleoni provided a certificate of errors and omissions insurance to NWL.  Pantaleoni did not carry errors and omissions insurance when he met with Williams in 2016 and </w:t>
      </w:r>
      <w:r w:rsidR="00EB1F60">
        <w:t>admitted</w:t>
      </w:r>
      <w:r>
        <w:t xml:space="preserve"> he was negligent in not doing so.  Pantaleoni also </w:t>
      </w:r>
      <w:r w:rsidR="00EB1F60">
        <w:t>admitted</w:t>
      </w:r>
      <w:r>
        <w:t xml:space="preserve"> that he was the subject of an enforcement action by DOI in 2015.</w:t>
      </w:r>
    </w:p>
    <w:p w14:paraId="4A747C5A" w14:textId="4EEADC1B" w:rsidR="0046670C" w:rsidRDefault="0046670C" w:rsidP="000E4D47">
      <w:r>
        <w:tab/>
      </w:r>
      <w:r w:rsidR="009C06E7">
        <w:t>In February 2013,</w:t>
      </w:r>
      <w:r w:rsidR="008B5CD5">
        <w:t xml:space="preserve"> </w:t>
      </w:r>
      <w:r w:rsidR="00D30579">
        <w:t xml:space="preserve">Pantaleoni </w:t>
      </w:r>
      <w:r w:rsidR="009C06E7">
        <w:t>filled out and signed</w:t>
      </w:r>
      <w:r w:rsidR="00D30579">
        <w:t xml:space="preserve"> </w:t>
      </w:r>
      <w:r w:rsidR="008B5CD5">
        <w:t xml:space="preserve">an NWL agent data sheet </w:t>
      </w:r>
      <w:r w:rsidR="009C06E7">
        <w:t>identif</w:t>
      </w:r>
      <w:r w:rsidR="008B5CD5">
        <w:t>ying</w:t>
      </w:r>
      <w:r w:rsidR="009C06E7">
        <w:t xml:space="preserve"> “Sierra Attorney Services Inc.” as agent</w:t>
      </w:r>
      <w:r w:rsidR="003C5FB1">
        <w:t xml:space="preserve"> and</w:t>
      </w:r>
      <w:r w:rsidR="009C06E7">
        <w:t xml:space="preserve"> Panta</w:t>
      </w:r>
      <w:r w:rsidR="003C5FB1">
        <w:t xml:space="preserve">leoni </w:t>
      </w:r>
      <w:r w:rsidR="009C06E7">
        <w:t xml:space="preserve">as its principal.  </w:t>
      </w:r>
      <w:r w:rsidR="00F67801">
        <w:t>The</w:t>
      </w:r>
      <w:r w:rsidR="008B5CD5">
        <w:t xml:space="preserve"> </w:t>
      </w:r>
      <w:r w:rsidR="00F67801">
        <w:t xml:space="preserve">2013 </w:t>
      </w:r>
      <w:r w:rsidR="00B730A6">
        <w:t>contract</w:t>
      </w:r>
      <w:r w:rsidR="00F67801">
        <w:t xml:space="preserve"> Pantaleoni signed between NWL and Sierra Attorney Services Inc., identified Pantaleoni as general agent, and included </w:t>
      </w:r>
      <w:r w:rsidR="00A753B1">
        <w:t>his</w:t>
      </w:r>
      <w:r w:rsidR="00F67801">
        <w:t xml:space="preserve"> personal guarantee of </w:t>
      </w:r>
      <w:r w:rsidR="00B730A6">
        <w:t xml:space="preserve">Sierra Attorney Services Inc.’s </w:t>
      </w:r>
      <w:r w:rsidR="00F67801">
        <w:t xml:space="preserve">obligations to NWL.  </w:t>
      </w:r>
      <w:r>
        <w:t>In</w:t>
      </w:r>
      <w:r w:rsidR="007E491A">
        <w:t xml:space="preserve"> May</w:t>
      </w:r>
      <w:r>
        <w:t xml:space="preserve"> 2013, NWL </w:t>
      </w:r>
      <w:r w:rsidR="007E491A">
        <w:t xml:space="preserve">notified Pantaleoni that his requested name change from “Sierra Attorney Services” to “Victor Scott Pantaleoni” was executed and in effect.  </w:t>
      </w:r>
      <w:r w:rsidR="00764986">
        <w:t>In June 2013, Pantaleoni signed an assignment of all compensation received under his contract with NWL to Sierra Attorney Services Inc.</w:t>
      </w:r>
    </w:p>
    <w:p w14:paraId="49C8909F" w14:textId="29B54DB7" w:rsidR="00EB1F60" w:rsidRDefault="002A5068" w:rsidP="000E4D47">
      <w:r>
        <w:tab/>
        <w:t>In August 2013, Pantaleoni filed</w:t>
      </w:r>
      <w:r w:rsidR="004A3BA0">
        <w:t xml:space="preserve"> for</w:t>
      </w:r>
      <w:r>
        <w:t xml:space="preserve"> bankruptcy.  Pantaleoni was in bankruptcy</w:t>
      </w:r>
      <w:r w:rsidR="00905248">
        <w:t xml:space="preserve"> proceedings</w:t>
      </w:r>
      <w:r>
        <w:t xml:space="preserve"> when he dealt with Williams in 2016.  </w:t>
      </w:r>
      <w:r w:rsidR="000D346C">
        <w:t>The bankruptcy terminated in April 2016.</w:t>
      </w:r>
    </w:p>
    <w:p w14:paraId="31D49526" w14:textId="2B732373" w:rsidR="000D346C" w:rsidRDefault="00EB1F60" w:rsidP="000E4D47">
      <w:r>
        <w:tab/>
      </w:r>
      <w:r w:rsidR="000D346C">
        <w:t>In February 2016, Pantaleoni received a $9,500 commission from NWL for selling an annuity to Williams.</w:t>
      </w:r>
    </w:p>
    <w:p w14:paraId="23A08121" w14:textId="22ECEEEF" w:rsidR="00F67801" w:rsidRDefault="00697313" w:rsidP="000E4D47">
      <w:r>
        <w:tab/>
        <w:t>Pantaleoni received a notice from NWL dated April 7, 2016</w:t>
      </w:r>
      <w:r w:rsidR="007F1C28">
        <w:t>,</w:t>
      </w:r>
      <w:r>
        <w:t xml:space="preserve"> </w:t>
      </w:r>
      <w:r w:rsidR="00F67801">
        <w:t>stating</w:t>
      </w:r>
      <w:r>
        <w:t xml:space="preserve"> that Williams had returned the annuity delivered in March 2016.  The</w:t>
      </w:r>
      <w:r w:rsidR="008B5CD5">
        <w:t xml:space="preserve"> notice read</w:t>
      </w:r>
      <w:r>
        <w:t xml:space="preserve">:  “This request will be held for </w:t>
      </w:r>
      <w:r>
        <w:rPr>
          <w:b/>
          <w:bCs/>
        </w:rPr>
        <w:t xml:space="preserve">5 </w:t>
      </w:r>
      <w:r>
        <w:rPr>
          <w:b/>
          <w:bCs/>
          <w:u w:val="single"/>
        </w:rPr>
        <w:t>calendar days</w:t>
      </w:r>
      <w:r>
        <w:t xml:space="preserve"> from today.  If the policy is conserved you must fax written notification from the policy owner to Client Services.  This will be confirmed by letter.  [¶]  </w:t>
      </w:r>
      <w:r>
        <w:rPr>
          <w:i/>
          <w:iCs/>
        </w:rPr>
        <w:t>Comments</w:t>
      </w:r>
      <w:r w:rsidR="00CA6DC2">
        <w:rPr>
          <w:i/>
          <w:iCs/>
        </w:rPr>
        <w:t>:  Please confirm if you are able to conserve.  Return contract if you are unable to conserve.  Thanks.</w:t>
      </w:r>
      <w:r w:rsidR="00CA6DC2">
        <w:t>”</w:t>
      </w:r>
    </w:p>
    <w:p w14:paraId="3DB0885B" w14:textId="4EF6FC9D" w:rsidR="00697313" w:rsidRDefault="00F67801" w:rsidP="000E4D47">
      <w:r>
        <w:tab/>
      </w:r>
      <w:r w:rsidR="00CA6DC2">
        <w:t>Pantaleoni contacted NWL.  He was told</w:t>
      </w:r>
      <w:r>
        <w:t xml:space="preserve"> (1)</w:t>
      </w:r>
      <w:r w:rsidR="006E45F8">
        <w:t xml:space="preserve"> </w:t>
      </w:r>
      <w:r>
        <w:t>in order</w:t>
      </w:r>
      <w:r w:rsidR="00CA6DC2">
        <w:t xml:space="preserve"> to conserve the annuity</w:t>
      </w:r>
      <w:r w:rsidR="00EB1F60">
        <w:t>,</w:t>
      </w:r>
      <w:r w:rsidR="00CA6DC2">
        <w:t xml:space="preserve"> to go to see Williams and talk about the</w:t>
      </w:r>
      <w:r>
        <w:t xml:space="preserve"> benefits of the</w:t>
      </w:r>
      <w:r w:rsidR="00CA6DC2">
        <w:t xml:space="preserve"> annuity</w:t>
      </w:r>
      <w:r>
        <w:t>,</w:t>
      </w:r>
      <w:r w:rsidR="00CA6DC2">
        <w:t xml:space="preserve"> and </w:t>
      </w:r>
      <w:r>
        <w:t xml:space="preserve">(2) </w:t>
      </w:r>
      <w:r w:rsidR="005E18B1">
        <w:t xml:space="preserve">what </w:t>
      </w:r>
      <w:r>
        <w:t>p</w:t>
      </w:r>
      <w:r w:rsidR="00CA6DC2">
        <w:t xml:space="preserve">aperwork </w:t>
      </w:r>
      <w:r w:rsidR="00CA6DC2">
        <w:lastRenderedPageBreak/>
        <w:t>NWL would need</w:t>
      </w:r>
      <w:r>
        <w:t xml:space="preserve"> to conserve the annuity</w:t>
      </w:r>
      <w:r w:rsidR="00CA6DC2">
        <w:t xml:space="preserve">.  The term “conserve” is </w:t>
      </w:r>
      <w:r>
        <w:t>an insurance term for speaking</w:t>
      </w:r>
      <w:r w:rsidR="00CA6DC2">
        <w:t xml:space="preserve"> with a client to see if the client would like to keep a policy.</w:t>
      </w:r>
    </w:p>
    <w:p w14:paraId="03B6F3D6" w14:textId="4CD7E7B1" w:rsidR="0039553A" w:rsidRDefault="00CA6DC2" w:rsidP="00E13D01">
      <w:r>
        <w:tab/>
        <w:t xml:space="preserve">Pantaleoni called Williams to set up an appointment to talk him about the reasons why he wanted to return the annuity.  Williams did not tell Pantaleoni he was sick and would rather that Pantaleoni put </w:t>
      </w:r>
      <w:r w:rsidR="003C5FB1">
        <w:t>the documents</w:t>
      </w:r>
      <w:r>
        <w:t xml:space="preserve"> in the mail.  On April 9, 2016, Pantaleoni visited Williams in his home and gave him the second annuity application to sign.  </w:t>
      </w:r>
      <w:r w:rsidR="00C00DBA">
        <w:t>Pantaleoni confirmed that he wrote the handwritten print</w:t>
      </w:r>
      <w:r w:rsidR="00F67801">
        <w:t>ed</w:t>
      </w:r>
      <w:r w:rsidR="00C00DBA">
        <w:t xml:space="preserve"> letter</w:t>
      </w:r>
      <w:r w:rsidR="00F67801">
        <w:t xml:space="preserve"> Williams</w:t>
      </w:r>
      <w:r w:rsidR="00C00DBA">
        <w:t xml:space="preserve"> signe</w:t>
      </w:r>
      <w:r w:rsidR="00F67801">
        <w:t>d</w:t>
      </w:r>
      <w:r w:rsidR="00C00DBA">
        <w:t xml:space="preserve"> stating </w:t>
      </w:r>
      <w:r w:rsidR="00F67801">
        <w:t>his</w:t>
      </w:r>
      <w:r w:rsidR="00C00DBA">
        <w:t xml:space="preserve"> intention to keep the annuity.  Pantaleoni </w:t>
      </w:r>
      <w:r w:rsidR="001443DF">
        <w:t xml:space="preserve">denied </w:t>
      </w:r>
      <w:r w:rsidR="00F67801">
        <w:t>the letter was blank when Williams signed it.</w:t>
      </w:r>
    </w:p>
    <w:p w14:paraId="0CF3C8D3" w14:textId="4539E984" w:rsidR="00BC6AE9" w:rsidRDefault="0039553A" w:rsidP="00E13D01">
      <w:r>
        <w:tab/>
        <w:t xml:space="preserve">Five days later, NWL issued a new annuity with the same policy number.  </w:t>
      </w:r>
      <w:r w:rsidR="000A126D">
        <w:t>Pantaleoni delivered the second annuity.  Pantaleoni testified that Williams signed a delivery receipt</w:t>
      </w:r>
      <w:r w:rsidR="00F67801">
        <w:t xml:space="preserve"> for the second annuity</w:t>
      </w:r>
      <w:r w:rsidR="000A126D">
        <w:t>.  Pantaleoni denied that he did not deliver the second annuity so Williams would not</w:t>
      </w:r>
      <w:r w:rsidR="0060468A">
        <w:t xml:space="preserve"> have a chance to</w:t>
      </w:r>
      <w:r w:rsidR="000A126D">
        <w:t xml:space="preserve"> return it.</w:t>
      </w:r>
    </w:p>
    <w:p w14:paraId="7EF13108" w14:textId="3F834F72" w:rsidR="007A65F3" w:rsidRDefault="003B46F8" w:rsidP="00E13D01">
      <w:r>
        <w:tab/>
        <w:t>On cross-examination</w:t>
      </w:r>
      <w:r w:rsidR="00F67801">
        <w:t xml:space="preserve"> by NWL</w:t>
      </w:r>
      <w:r>
        <w:t xml:space="preserve">, Pantaleoni testified that he had life insurance agent appointments from multiple insurance carriers.  </w:t>
      </w:r>
      <w:r w:rsidR="008B5CD5">
        <w:t>N</w:t>
      </w:r>
      <w:r w:rsidR="007A65F3">
        <w:t xml:space="preserve">o </w:t>
      </w:r>
      <w:r w:rsidR="0039553A">
        <w:t xml:space="preserve">insurance </w:t>
      </w:r>
      <w:r w:rsidR="007A65F3">
        <w:t>company ha</w:t>
      </w:r>
      <w:r w:rsidR="00F67801">
        <w:t>d</w:t>
      </w:r>
      <w:r w:rsidR="007A65F3">
        <w:t xml:space="preserve"> ever asked to review his business card.  </w:t>
      </w:r>
      <w:r w:rsidR="00D30579">
        <w:t>Every</w:t>
      </w:r>
      <w:r w:rsidR="008B76B8">
        <w:t xml:space="preserve"> insurance</w:t>
      </w:r>
      <w:r w:rsidR="00D30579">
        <w:t xml:space="preserve"> company reviewed </w:t>
      </w:r>
      <w:r w:rsidR="006E45F8">
        <w:t xml:space="preserve">the form of </w:t>
      </w:r>
      <w:r w:rsidR="00D30579">
        <w:t>Pantal</w:t>
      </w:r>
      <w:r w:rsidR="006E45F8">
        <w:t>eo</w:t>
      </w:r>
      <w:r w:rsidR="00D30579">
        <w:t>ni’s 24-hour notice letter but no</w:t>
      </w:r>
      <w:r w:rsidR="007A65F3">
        <w:t xml:space="preserve"> company ever asked to review </w:t>
      </w:r>
      <w:r w:rsidR="00D30579">
        <w:t xml:space="preserve">the </w:t>
      </w:r>
      <w:r w:rsidR="007A65F3">
        <w:t>24-hour notice f</w:t>
      </w:r>
      <w:r w:rsidR="00A753B1">
        <w:t>ro</w:t>
      </w:r>
      <w:r w:rsidR="007A65F3">
        <w:t>m a specific sale.</w:t>
      </w:r>
    </w:p>
    <w:p w14:paraId="77DEB8BF" w14:textId="2B98446C" w:rsidR="007A65F3" w:rsidRDefault="007A65F3" w:rsidP="00E13D01">
      <w:r>
        <w:tab/>
        <w:t xml:space="preserve">Pantaleoni </w:t>
      </w:r>
      <w:r w:rsidR="003C5FB1">
        <w:t>formed</w:t>
      </w:r>
      <w:r w:rsidR="00486617">
        <w:t xml:space="preserve"> Sierra Attorney Services in Nevada to provide paralegal services to attorneys.  The name was approved by the Nevada Department of Insurance.  </w:t>
      </w:r>
      <w:r>
        <w:t>Pantaleoni only sold insurance products in California under his own name</w:t>
      </w:r>
      <w:r w:rsidR="00E42585">
        <w:t>.  T</w:t>
      </w:r>
      <w:r>
        <w:t>he DOI in California required him to use his own name.</w:t>
      </w:r>
    </w:p>
    <w:p w14:paraId="0BF96032" w14:textId="3F85438B" w:rsidR="00957138" w:rsidRDefault="00957138" w:rsidP="00E13D01">
      <w:r>
        <w:tab/>
        <w:t xml:space="preserve">Williams wanted an annuity because his stepdaughter was abusing him and he wanted to keep money away from her.  Pantaleoni made a recommendation on a solution </w:t>
      </w:r>
      <w:r w:rsidR="00A753B1">
        <w:t xml:space="preserve">for Williams </w:t>
      </w:r>
      <w:r>
        <w:t xml:space="preserve">to keep the money in his estate and give it to </w:t>
      </w:r>
      <w:r w:rsidR="00690227">
        <w:t>a different beneficiary</w:t>
      </w:r>
      <w:r w:rsidR="008B76B8">
        <w:t>, because this could not be done in the trust</w:t>
      </w:r>
      <w:r w:rsidR="0039553A">
        <w:t xml:space="preserve">.  </w:t>
      </w:r>
      <w:r w:rsidR="008B76B8">
        <w:t xml:space="preserve">Williams’ trust had a clause that the beneficiary could </w:t>
      </w:r>
      <w:r w:rsidR="008B76B8">
        <w:lastRenderedPageBreak/>
        <w:t>not be changed by one trustor after the death of the other trustor.  A beneficiary assignment in annuity would trump the trust.</w:t>
      </w:r>
    </w:p>
    <w:p w14:paraId="4DA3863A" w14:textId="32B1B4C5" w:rsidR="00A92B5C" w:rsidRDefault="00193069" w:rsidP="00E13D01">
      <w:r>
        <w:tab/>
        <w:t xml:space="preserve">Regarding the second annuity application, Pantaleoni </w:t>
      </w:r>
      <w:r w:rsidR="00F67801">
        <w:t xml:space="preserve">testified he </w:t>
      </w:r>
      <w:r>
        <w:t xml:space="preserve">called Williams to set up an appointment and </w:t>
      </w:r>
      <w:r w:rsidR="00F67801">
        <w:t xml:space="preserve">Williams </w:t>
      </w:r>
      <w:r>
        <w:t>agreed.  At the appointment, Williams was not sick and did not take his glasses off because his eyes were tearing.  They went over why the original application for the annuity was done.</w:t>
      </w:r>
    </w:p>
    <w:p w14:paraId="13E3B0FA" w14:textId="2893039B" w:rsidR="009A1666" w:rsidRDefault="00A92B5C" w:rsidP="00E13D01">
      <w:r>
        <w:tab/>
      </w:r>
      <w:r w:rsidR="002F1CE2">
        <w:t>Williams</w:t>
      </w:r>
      <w:r w:rsidR="009A1666">
        <w:t xml:space="preserve"> said he</w:t>
      </w:r>
      <w:r w:rsidR="002F1CE2">
        <w:t xml:space="preserve"> cancelled the </w:t>
      </w:r>
      <w:r w:rsidR="007021DC">
        <w:t xml:space="preserve">first </w:t>
      </w:r>
      <w:r w:rsidR="002F1CE2">
        <w:t xml:space="preserve">annuity because he did not understand it.  </w:t>
      </w:r>
      <w:r w:rsidR="009A1666">
        <w:t xml:space="preserve">Pantaleoni talked about why </w:t>
      </w:r>
      <w:r w:rsidR="00914B29">
        <w:t xml:space="preserve">Williams </w:t>
      </w:r>
      <w:r w:rsidR="009A1666">
        <w:t xml:space="preserve">had his assets in a living trust and that a bank account not in the trust would go to probate.  </w:t>
      </w:r>
      <w:r w:rsidR="002F1CE2">
        <w:t xml:space="preserve">They talked about the benefits of the annuity.  </w:t>
      </w:r>
      <w:r w:rsidR="009A1666">
        <w:t xml:space="preserve">They talked about </w:t>
      </w:r>
      <w:r w:rsidR="00EB1F60">
        <w:t xml:space="preserve">the </w:t>
      </w:r>
      <w:r w:rsidR="009A1666">
        <w:t xml:space="preserve">surrender charge and </w:t>
      </w:r>
      <w:r w:rsidR="002F1CE2">
        <w:t xml:space="preserve">Williams did not say he did not like the surrender provision.  Williams asked why he was signing an application again.  </w:t>
      </w:r>
      <w:r>
        <w:t xml:space="preserve">Pantaleoni </w:t>
      </w:r>
      <w:r w:rsidR="009A1666">
        <w:t>explained</w:t>
      </w:r>
      <w:r>
        <w:t xml:space="preserve"> that NWL required it </w:t>
      </w:r>
      <w:r w:rsidR="00C21736">
        <w:t xml:space="preserve">because </w:t>
      </w:r>
      <w:r>
        <w:t>there was a</w:t>
      </w:r>
      <w:r w:rsidR="009A1666">
        <w:t xml:space="preserve"> change to the income </w:t>
      </w:r>
      <w:r w:rsidR="00EB1F60">
        <w:t xml:space="preserve">benefit </w:t>
      </w:r>
      <w:r w:rsidR="009A1666">
        <w:t>rider</w:t>
      </w:r>
      <w:r w:rsidR="0039553A">
        <w:t xml:space="preserve"> </w:t>
      </w:r>
      <w:r w:rsidR="009A1666">
        <w:t>to</w:t>
      </w:r>
      <w:r>
        <w:t xml:space="preserve"> give Williams a better payout in the future.</w:t>
      </w:r>
    </w:p>
    <w:p w14:paraId="7469B87F" w14:textId="0C532BD3" w:rsidR="00193069" w:rsidRPr="00D03168" w:rsidRDefault="009A1666" w:rsidP="00E13D01">
      <w:r>
        <w:tab/>
      </w:r>
      <w:r w:rsidR="00A92B5C">
        <w:t>Pantaleoni handwrote the letter from Williams instructing NWL to reissue the policy</w:t>
      </w:r>
      <w:r w:rsidR="00EB1F60">
        <w:t>,</w:t>
      </w:r>
      <w:r>
        <w:t xml:space="preserve"> because he does </w:t>
      </w:r>
      <w:r w:rsidR="00EB1F60">
        <w:t>this</w:t>
      </w:r>
      <w:r>
        <w:t xml:space="preserve"> on the spot in front of the client instead of preparing it beforehand</w:t>
      </w:r>
      <w:r w:rsidR="00C21736">
        <w:t xml:space="preserve">.  </w:t>
      </w:r>
      <w:r>
        <w:t>Something might change at the meeting; the client might have some peculiarity or idiosyncrasy regarding the letter of instruction.</w:t>
      </w:r>
    </w:p>
    <w:p w14:paraId="2C9C66C1" w14:textId="3674BB65" w:rsidR="00FF371A" w:rsidRDefault="00AE7CED">
      <w:r>
        <w:tab/>
        <w:t>On redirect, Pantaleoni confirmed that his 2013 agent application gave NWL the right to conduct a background check on him.  The bankruptcies Pantaleoni filed were a matter of public record</w:t>
      </w:r>
      <w:r w:rsidR="0039553A">
        <w:t>,</w:t>
      </w:r>
      <w:r>
        <w:t xml:space="preserve"> which NWL could have discovered if they conducted a background check in 2013.</w:t>
      </w:r>
    </w:p>
    <w:p w14:paraId="76427A86" w14:textId="705B799B" w:rsidR="00A753B1" w:rsidRPr="00A753B1" w:rsidRDefault="00AE7CED" w:rsidP="00BD0540">
      <w:pPr>
        <w:keepNext/>
        <w:rPr>
          <w:b/>
          <w:bCs/>
        </w:rPr>
      </w:pPr>
      <w:r>
        <w:tab/>
      </w:r>
      <w:r w:rsidR="00A753B1">
        <w:tab/>
      </w:r>
      <w:r w:rsidR="00A753B1">
        <w:rPr>
          <w:b/>
          <w:bCs/>
        </w:rPr>
        <w:t>d.</w:t>
      </w:r>
      <w:r w:rsidR="00A753B1">
        <w:rPr>
          <w:b/>
          <w:bCs/>
        </w:rPr>
        <w:tab/>
        <w:t>Merrily Lee</w:t>
      </w:r>
    </w:p>
    <w:p w14:paraId="3BCF7271" w14:textId="7BED9E9A" w:rsidR="00957138" w:rsidRDefault="00957138">
      <w:r>
        <w:tab/>
        <w:t>Merrily Lee</w:t>
      </w:r>
      <w:r w:rsidR="00A61C02">
        <w:t>, Williams’ stepdaughter,</w:t>
      </w:r>
      <w:r w:rsidR="00BB2043">
        <w:t xml:space="preserve"> </w:t>
      </w:r>
      <w:r>
        <w:t xml:space="preserve">testified that </w:t>
      </w:r>
      <w:r w:rsidR="00690227">
        <w:t>she had never physicall</w:t>
      </w:r>
      <w:r w:rsidR="000F3AB2">
        <w:t>y</w:t>
      </w:r>
      <w:r w:rsidR="00690227">
        <w:t xml:space="preserve"> or financially abused Williams</w:t>
      </w:r>
      <w:r>
        <w:t xml:space="preserve">.  </w:t>
      </w:r>
      <w:r w:rsidR="000F3AB2">
        <w:t>In August 2015, Lee</w:t>
      </w:r>
      <w:r w:rsidR="006E45F8">
        <w:t xml:space="preserve"> returned home when she</w:t>
      </w:r>
      <w:r w:rsidR="000F3AB2">
        <w:t xml:space="preserve"> learned her mother was near death</w:t>
      </w:r>
      <w:r w:rsidR="006E45F8">
        <w:t>.  Lee</w:t>
      </w:r>
      <w:r w:rsidR="00690227">
        <w:t xml:space="preserve"> and Williams took care of administering pain medication </w:t>
      </w:r>
      <w:r w:rsidR="00634F6F">
        <w:t>t</w:t>
      </w:r>
      <w:r w:rsidR="006E45F8">
        <w:t xml:space="preserve">o Barbara </w:t>
      </w:r>
      <w:r w:rsidR="00690227">
        <w:t xml:space="preserve">in the last two weeks of her life.  After her mother died, Lee stayed on for another week helping Williams with finding marriage, birth and death certificates and </w:t>
      </w:r>
      <w:r w:rsidR="00690227">
        <w:lastRenderedPageBreak/>
        <w:t xml:space="preserve">sending death certificates to the appropriate people.  To express his appreciation, Williams gave Lee a </w:t>
      </w:r>
      <w:r w:rsidR="00BB2043">
        <w:t xml:space="preserve">substantial </w:t>
      </w:r>
      <w:r w:rsidR="00690227">
        <w:t>check.</w:t>
      </w:r>
    </w:p>
    <w:p w14:paraId="514C0A07" w14:textId="10CCD5E9" w:rsidR="00A753B1" w:rsidRPr="00A753B1" w:rsidRDefault="005653C6" w:rsidP="00BD0540">
      <w:pPr>
        <w:keepNext/>
        <w:rPr>
          <w:b/>
          <w:bCs/>
        </w:rPr>
      </w:pPr>
      <w:r>
        <w:tab/>
      </w:r>
      <w:r>
        <w:tab/>
      </w:r>
      <w:r w:rsidR="00A753B1">
        <w:rPr>
          <w:b/>
          <w:bCs/>
        </w:rPr>
        <w:t>e.</w:t>
      </w:r>
      <w:r w:rsidR="00A753B1">
        <w:rPr>
          <w:b/>
          <w:bCs/>
        </w:rPr>
        <w:tab/>
        <w:t>Ayanna Burns</w:t>
      </w:r>
    </w:p>
    <w:p w14:paraId="10960303" w14:textId="6D0130B5" w:rsidR="0039553A" w:rsidRDefault="000F3AB2">
      <w:r>
        <w:tab/>
      </w:r>
      <w:r w:rsidR="00634F6F" w:rsidRPr="000E7A0C">
        <w:t>Ayanna Burns</w:t>
      </w:r>
      <w:r w:rsidR="00A61C02">
        <w:t>,</w:t>
      </w:r>
      <w:r w:rsidR="00634F6F">
        <w:t xml:space="preserve"> vice-president of marketing </w:t>
      </w:r>
      <w:r w:rsidR="00914B29">
        <w:t xml:space="preserve">operations </w:t>
      </w:r>
      <w:r w:rsidR="00634F6F">
        <w:t>at NWL</w:t>
      </w:r>
      <w:r w:rsidR="00A61C02">
        <w:t xml:space="preserve">, </w:t>
      </w:r>
      <w:r w:rsidR="00B5172C">
        <w:t>previously was the</w:t>
      </w:r>
      <w:r w:rsidR="00634F6F">
        <w:t xml:space="preserve"> manager of the suitability department.</w:t>
      </w:r>
    </w:p>
    <w:p w14:paraId="742C704A" w14:textId="322DEDA7" w:rsidR="00A61C02" w:rsidRDefault="0039553A">
      <w:r>
        <w:tab/>
      </w:r>
      <w:r w:rsidR="00634F6F">
        <w:t xml:space="preserve">Burns </w:t>
      </w:r>
      <w:r w:rsidR="008B5CD5">
        <w:t>admitted</w:t>
      </w:r>
      <w:r w:rsidR="00634F6F">
        <w:t xml:space="preserve"> that NWL had not inspected Pantaleoni’s records, </w:t>
      </w:r>
      <w:r w:rsidR="00F3121C">
        <w:t xml:space="preserve">before or </w:t>
      </w:r>
      <w:r w:rsidR="00634F6F">
        <w:t>after the April 5, 2017 letter from Williams.</w:t>
      </w:r>
    </w:p>
    <w:p w14:paraId="73B949EA" w14:textId="0C9999AA" w:rsidR="00B5172C" w:rsidRDefault="00A61C02">
      <w:r>
        <w:tab/>
      </w:r>
      <w:r w:rsidR="00470E9E">
        <w:t>T</w:t>
      </w:r>
      <w:r w:rsidR="007507D3">
        <w:t>he</w:t>
      </w:r>
      <w:r w:rsidR="00CE5FE6">
        <w:t xml:space="preserve"> April 5, 2017</w:t>
      </w:r>
      <w:r w:rsidR="007507D3">
        <w:t xml:space="preserve"> letter </w:t>
      </w:r>
      <w:r w:rsidR="00470E9E">
        <w:t>came to NWL with a fax cover sheet addressed to the attention of the compliance department.</w:t>
      </w:r>
      <w:r w:rsidR="00B5172C">
        <w:t xml:space="preserve">  The compliance department </w:t>
      </w:r>
      <w:r w:rsidR="007507D3">
        <w:t>has procedures for investigating</w:t>
      </w:r>
      <w:r w:rsidR="00C21736">
        <w:t xml:space="preserve"> California</w:t>
      </w:r>
      <w:r w:rsidR="007507D3">
        <w:t xml:space="preserve"> complaints.  NWL did not investigate the </w:t>
      </w:r>
      <w:r w:rsidR="00B5172C">
        <w:t>April 5, 2017</w:t>
      </w:r>
      <w:r w:rsidR="007507D3">
        <w:t xml:space="preserve"> letter</w:t>
      </w:r>
      <w:r w:rsidR="00B5172C">
        <w:t xml:space="preserve"> at the time</w:t>
      </w:r>
      <w:r w:rsidR="007507D3">
        <w:t>.</w:t>
      </w:r>
    </w:p>
    <w:p w14:paraId="41464C78" w14:textId="731EFC77" w:rsidR="00837F5C" w:rsidRDefault="00B5172C">
      <w:r>
        <w:tab/>
      </w:r>
      <w:r w:rsidR="007507D3">
        <w:t xml:space="preserve">Burns </w:t>
      </w:r>
      <w:r w:rsidR="00470E9E">
        <w:t>admitted</w:t>
      </w:r>
      <w:r w:rsidR="00CE5FE6">
        <w:t xml:space="preserve"> that the</w:t>
      </w:r>
      <w:r w:rsidR="005F26C1">
        <w:t xml:space="preserve"> August 28, 2017 letter</w:t>
      </w:r>
      <w:r w:rsidR="007507D3">
        <w:t xml:space="preserve"> </w:t>
      </w:r>
      <w:r w:rsidR="00CE5FE6">
        <w:t>was</w:t>
      </w:r>
      <w:r w:rsidR="007507D3">
        <w:t xml:space="preserve"> a complaint letter.  </w:t>
      </w:r>
      <w:r w:rsidR="00AE04F0">
        <w:t>Ziebell</w:t>
      </w:r>
      <w:r w:rsidR="007507D3">
        <w:t xml:space="preserve"> reviewed the file in responding to</w:t>
      </w:r>
      <w:r w:rsidR="005653C6">
        <w:t xml:space="preserve"> the</w:t>
      </w:r>
      <w:r w:rsidR="007507D3">
        <w:t xml:space="preserve"> August </w:t>
      </w:r>
      <w:r w:rsidR="00CE5FE6">
        <w:t xml:space="preserve">28, </w:t>
      </w:r>
      <w:r w:rsidR="007507D3">
        <w:t>2017 letter</w:t>
      </w:r>
      <w:r w:rsidR="00CE5FE6">
        <w:t xml:space="preserve">.  The </w:t>
      </w:r>
      <w:r w:rsidR="007507D3">
        <w:t>April</w:t>
      </w:r>
      <w:r w:rsidR="00CE5FE6">
        <w:t xml:space="preserve"> 5,</w:t>
      </w:r>
      <w:r w:rsidR="007507D3">
        <w:t xml:space="preserve"> 2017 letter </w:t>
      </w:r>
      <w:r w:rsidR="00CE5FE6">
        <w:t>was</w:t>
      </w:r>
      <w:r w:rsidR="007507D3">
        <w:t xml:space="preserve"> in the file.  </w:t>
      </w:r>
      <w:r w:rsidR="00AE04F0">
        <w:t>Ziebell</w:t>
      </w:r>
      <w:r w:rsidR="007507D3">
        <w:t xml:space="preserve"> would have seen in the file that there </w:t>
      </w:r>
      <w:r w:rsidR="00F3121C">
        <w:t xml:space="preserve">had been </w:t>
      </w:r>
      <w:r w:rsidR="007507D3">
        <w:t xml:space="preserve">no investigation of the April </w:t>
      </w:r>
      <w:r w:rsidR="00C21736">
        <w:t xml:space="preserve">5, </w:t>
      </w:r>
      <w:r w:rsidR="007507D3">
        <w:t>2017 letter.</w:t>
      </w:r>
    </w:p>
    <w:p w14:paraId="76AB0C2A" w14:textId="11B62229" w:rsidR="00634F6F" w:rsidRDefault="00837F5C">
      <w:r>
        <w:tab/>
      </w:r>
      <w:r w:rsidR="007507D3">
        <w:t xml:space="preserve">There </w:t>
      </w:r>
      <w:r w:rsidR="00CE5FE6">
        <w:t>was</w:t>
      </w:r>
      <w:r w:rsidR="007507D3">
        <w:t xml:space="preserve"> no delivery recei</w:t>
      </w:r>
      <w:r w:rsidR="00A61C02">
        <w:t>pt</w:t>
      </w:r>
      <w:r w:rsidR="007507D3">
        <w:t xml:space="preserve"> for the second annuity</w:t>
      </w:r>
      <w:r w:rsidR="00A61C02">
        <w:t xml:space="preserve"> in NWL’s file</w:t>
      </w:r>
      <w:r w:rsidR="007507D3">
        <w:t xml:space="preserve">.  </w:t>
      </w:r>
      <w:r>
        <w:t xml:space="preserve">NWL believed </w:t>
      </w:r>
      <w:r w:rsidR="00CE5FE6">
        <w:t>the policy</w:t>
      </w:r>
      <w:r>
        <w:t xml:space="preserve"> had been delivered.  </w:t>
      </w:r>
      <w:r w:rsidR="00117092">
        <w:t xml:space="preserve">There was other activity in the file that </w:t>
      </w:r>
      <w:r w:rsidR="00A61C02">
        <w:t xml:space="preserve">made it clear </w:t>
      </w:r>
      <w:r w:rsidR="00117092">
        <w:t xml:space="preserve">Williams was aware of the second annuity. </w:t>
      </w:r>
      <w:r w:rsidR="00914B29">
        <w:t xml:space="preserve"> </w:t>
      </w:r>
      <w:r w:rsidR="00117092">
        <w:t>NWL procedure required an e</w:t>
      </w:r>
      <w:r w:rsidR="006116A6">
        <w:t>-</w:t>
      </w:r>
      <w:r w:rsidR="00117092">
        <w:t xml:space="preserve">mail </w:t>
      </w:r>
      <w:r w:rsidR="005F26C1">
        <w:t>remin</w:t>
      </w:r>
      <w:r w:rsidR="00470E9E">
        <w:t>ding</w:t>
      </w:r>
      <w:r w:rsidR="00117092">
        <w:t xml:space="preserve"> the agent that a signed delivery receipt was needed</w:t>
      </w:r>
      <w:r w:rsidR="005F26C1">
        <w:t>.  T</w:t>
      </w:r>
      <w:r w:rsidR="00117092">
        <w:t>here was no such e</w:t>
      </w:r>
      <w:r w:rsidR="006116A6">
        <w:t>-</w:t>
      </w:r>
      <w:r w:rsidR="00117092">
        <w:t>mail in the file.  Once a policy is issued, there is an automated process for generating a deliver</w:t>
      </w:r>
      <w:r w:rsidR="00566451">
        <w:t>y</w:t>
      </w:r>
      <w:r w:rsidR="00117092">
        <w:t xml:space="preserve"> receipt</w:t>
      </w:r>
      <w:r w:rsidR="005F26C1">
        <w:t>.  T</w:t>
      </w:r>
      <w:r w:rsidR="00117092">
        <w:t xml:space="preserve">he second annuity was issued with the same policy number as the first policy, so the automated process for delivery receipt reminders did not </w:t>
      </w:r>
      <w:r w:rsidR="00F3121C">
        <w:t>occur</w:t>
      </w:r>
      <w:r w:rsidR="00117092">
        <w:t xml:space="preserve">.  </w:t>
      </w:r>
      <w:r w:rsidR="005F26C1">
        <w:t>I</w:t>
      </w:r>
      <w:r>
        <w:t>f an agent d</w:t>
      </w:r>
      <w:r w:rsidR="006D3BFF">
        <w:t>id</w:t>
      </w:r>
      <w:r>
        <w:t xml:space="preserve"> </w:t>
      </w:r>
      <w:r w:rsidR="005F26C1">
        <w:t xml:space="preserve">not </w:t>
      </w:r>
      <w:r>
        <w:t>provide the signed delivery receipt, a second reminder state</w:t>
      </w:r>
      <w:r w:rsidR="006D3BFF">
        <w:t>d</w:t>
      </w:r>
      <w:r>
        <w:t xml:space="preserve"> that NWL can charge back the commission.  Pantaleoni’s commission </w:t>
      </w:r>
      <w:r w:rsidR="00CE5FE6">
        <w:t>was never</w:t>
      </w:r>
      <w:r>
        <w:t xml:space="preserve"> charged back.</w:t>
      </w:r>
    </w:p>
    <w:p w14:paraId="74A44FE7" w14:textId="2363924C" w:rsidR="005368A2" w:rsidRDefault="005368A2">
      <w:r>
        <w:tab/>
        <w:t>Prior to NWL issuing the first annuity to Williams in 2016, NWL was aware</w:t>
      </w:r>
      <w:r w:rsidR="00D53592">
        <w:t xml:space="preserve"> from the DOI’s website</w:t>
      </w:r>
      <w:r>
        <w:t xml:space="preserve"> that there was </w:t>
      </w:r>
      <w:r w:rsidR="00D53592">
        <w:t xml:space="preserve">an </w:t>
      </w:r>
      <w:r>
        <w:t xml:space="preserve">enforcement action against Pantaleoni and an order restricting his license.  </w:t>
      </w:r>
      <w:r w:rsidR="00B4648A">
        <w:t xml:space="preserve">There was nothing in </w:t>
      </w:r>
      <w:r w:rsidR="00CE5FE6">
        <w:t xml:space="preserve">NWL’s </w:t>
      </w:r>
      <w:r w:rsidR="00B4648A">
        <w:t xml:space="preserve">file indicating </w:t>
      </w:r>
      <w:r w:rsidR="00CE5FE6">
        <w:t>the company</w:t>
      </w:r>
      <w:r w:rsidR="00B4648A">
        <w:t xml:space="preserve"> had </w:t>
      </w:r>
      <w:r w:rsidR="00B4648A">
        <w:lastRenderedPageBreak/>
        <w:t xml:space="preserve">determined what the enforcement action against Pantaleoni in 2015 involved.  </w:t>
      </w:r>
      <w:r w:rsidR="00F3121C">
        <w:t>His license was still active but restricted.</w:t>
      </w:r>
      <w:r w:rsidR="006116A6">
        <w:t xml:space="preserve">  </w:t>
      </w:r>
      <w:r>
        <w:t>NWL looked into whether Pantaleoni was still eligible to</w:t>
      </w:r>
      <w:r w:rsidR="00B4648A">
        <w:t xml:space="preserve"> write business with a restricted license</w:t>
      </w:r>
      <w:r>
        <w:t>.</w:t>
      </w:r>
    </w:p>
    <w:p w14:paraId="299C21C4" w14:textId="07E564F7" w:rsidR="00DA7F5B" w:rsidRDefault="00DA7F5B">
      <w:r>
        <w:tab/>
        <w:t xml:space="preserve">NWL knew from the first annuity application that Williams was 78.  </w:t>
      </w:r>
      <w:r w:rsidR="006D3BFF">
        <w:t>On th</w:t>
      </w:r>
      <w:r>
        <w:t>e suitability questionnaire</w:t>
      </w:r>
      <w:r w:rsidR="006D3BFF">
        <w:t>, a b</w:t>
      </w:r>
      <w:r w:rsidR="00537D74">
        <w:t xml:space="preserve">ox </w:t>
      </w:r>
      <w:r w:rsidR="006D3BFF">
        <w:t>was checked that</w:t>
      </w:r>
      <w:r w:rsidR="00537D74">
        <w:t xml:space="preserve"> </w:t>
      </w:r>
      <w:r>
        <w:t>Williams’ approximate</w:t>
      </w:r>
      <w:r w:rsidR="00D53592">
        <w:t xml:space="preserve"> liquid</w:t>
      </w:r>
      <w:r>
        <w:t xml:space="preserve"> net worth </w:t>
      </w:r>
      <w:r w:rsidR="004534C0">
        <w:t xml:space="preserve">after purchase of the annuity </w:t>
      </w:r>
      <w:r>
        <w:t xml:space="preserve">ranged from $50,000 to $99,000 but also </w:t>
      </w:r>
      <w:r w:rsidR="00537D74">
        <w:t xml:space="preserve">stated </w:t>
      </w:r>
      <w:r>
        <w:t>that he had a liquid net worth of $120,000</w:t>
      </w:r>
      <w:r w:rsidR="00CE5FE6">
        <w:t xml:space="preserve"> after purchase</w:t>
      </w:r>
      <w:r>
        <w:t xml:space="preserve">.  Burns agreed that this was a mistake.  </w:t>
      </w:r>
      <w:r w:rsidR="00537D74">
        <w:t xml:space="preserve">The file did not indicate that NWL called Williams to find </w:t>
      </w:r>
      <w:r w:rsidR="006D3BFF">
        <w:t xml:space="preserve">out </w:t>
      </w:r>
      <w:r w:rsidR="00537D74">
        <w:t>what his net worth was.  There was no reason to question his liquid net worth.  The discrepancy</w:t>
      </w:r>
      <w:r>
        <w:t xml:space="preserve"> </w:t>
      </w:r>
      <w:r w:rsidR="00537D74">
        <w:t xml:space="preserve">was not that big.  </w:t>
      </w:r>
      <w:r w:rsidR="00C21736">
        <w:t>Williams could be still be deemed suitable despite this anomaly, based on</w:t>
      </w:r>
      <w:r w:rsidR="005653C6">
        <w:t xml:space="preserve"> his</w:t>
      </w:r>
      <w:r w:rsidR="00470E9E">
        <w:t xml:space="preserve"> other</w:t>
      </w:r>
      <w:r w:rsidR="00C21736">
        <w:t xml:space="preserve"> answers on the questionnaire.</w:t>
      </w:r>
    </w:p>
    <w:p w14:paraId="0AE05928" w14:textId="6568B25D" w:rsidR="00566451" w:rsidRDefault="00537D74">
      <w:r>
        <w:tab/>
        <w:t xml:space="preserve">Williams’ suitability questionnaire stated that </w:t>
      </w:r>
      <w:r w:rsidR="006D5460">
        <w:t xml:space="preserve">his annual income was $24,000.  </w:t>
      </w:r>
      <w:r>
        <w:t>NWL’s suitability guidelines state that</w:t>
      </w:r>
      <w:r w:rsidR="00566451">
        <w:t>,</w:t>
      </w:r>
      <w:r>
        <w:t xml:space="preserve"> if the client’s annual income is below $25,000</w:t>
      </w:r>
      <w:r w:rsidR="006D5460">
        <w:t xml:space="preserve">, low income </w:t>
      </w:r>
      <w:r w:rsidR="00566451">
        <w:t>would be a</w:t>
      </w:r>
      <w:r w:rsidR="006D5460">
        <w:t xml:space="preserve"> concern if the client does not have adequate liquid assets and emergency savings.</w:t>
      </w:r>
    </w:p>
    <w:p w14:paraId="731C2CD1" w14:textId="360803E5" w:rsidR="00537D74" w:rsidRDefault="00D53592">
      <w:r>
        <w:tab/>
      </w:r>
      <w:r w:rsidR="002E37AA">
        <w:t xml:space="preserve">An NWL document </w:t>
      </w:r>
      <w:r w:rsidR="00374AC2">
        <w:t xml:space="preserve">setting forth </w:t>
      </w:r>
      <w:r w:rsidR="002E37AA">
        <w:t xml:space="preserve">frequently asked questions in a suitability review </w:t>
      </w:r>
      <w:r w:rsidR="00365F5B">
        <w:t>stated</w:t>
      </w:r>
      <w:r w:rsidR="00374AC2">
        <w:t xml:space="preserve"> </w:t>
      </w:r>
      <w:r>
        <w:t>that a person at or nearing age 65 should have liquidity of at least one-and-a-half to</w:t>
      </w:r>
      <w:r w:rsidR="002E37AA">
        <w:t xml:space="preserve"> two years of expenses liquid in the event of an emergency and a</w:t>
      </w:r>
      <w:r w:rsidR="006D5460">
        <w:t xml:space="preserve">n annuity for a person over 65 should make up no more that 60 percent of the client’s liquid net worth.  Williams had $114,000 of liquidity, </w:t>
      </w:r>
      <w:r w:rsidR="00374AC2">
        <w:t xml:space="preserve">then 60 percent of that amount was </w:t>
      </w:r>
      <w:r w:rsidR="006D5460">
        <w:t>the largest annuity he should</w:t>
      </w:r>
      <w:r w:rsidR="00C21736">
        <w:t xml:space="preserve"> have</w:t>
      </w:r>
      <w:r w:rsidR="006D5460">
        <w:t xml:space="preserve"> been sold.</w:t>
      </w:r>
    </w:p>
    <w:p w14:paraId="747F3473" w14:textId="25CBC220" w:rsidR="00F876F7" w:rsidRDefault="00F876F7">
      <w:r>
        <w:tab/>
        <w:t xml:space="preserve">NWL sends </w:t>
      </w:r>
      <w:r w:rsidR="00566451">
        <w:t xml:space="preserve">a form letter </w:t>
      </w:r>
      <w:r>
        <w:t>to a client who has decided not to cancel a polic</w:t>
      </w:r>
      <w:r w:rsidR="00421F43">
        <w:t>y to let the client know the original policy is being conserved</w:t>
      </w:r>
      <w:r w:rsidR="00566451">
        <w:t>.</w:t>
      </w:r>
      <w:r w:rsidR="00421F43">
        <w:t xml:space="preserve"> </w:t>
      </w:r>
      <w:r w:rsidR="00566451">
        <w:t xml:space="preserve"> </w:t>
      </w:r>
      <w:r>
        <w:t>NWL</w:t>
      </w:r>
      <w:r w:rsidR="00566451">
        <w:t xml:space="preserve"> did not send this letter to Williams because</w:t>
      </w:r>
      <w:r>
        <w:t xml:space="preserve"> </w:t>
      </w:r>
      <w:r w:rsidR="00421F43">
        <w:t xml:space="preserve">a new and different policy </w:t>
      </w:r>
      <w:r w:rsidR="00566451">
        <w:t xml:space="preserve">was issued </w:t>
      </w:r>
      <w:r w:rsidR="00421F43">
        <w:t>that made changes to the original policy.</w:t>
      </w:r>
    </w:p>
    <w:p w14:paraId="48D3AE2C" w14:textId="6F2D0C74" w:rsidR="000B3983" w:rsidRDefault="00421F43">
      <w:r>
        <w:tab/>
      </w:r>
      <w:r w:rsidR="002E37AA">
        <w:t>The</w:t>
      </w:r>
      <w:r w:rsidR="00E46AD4">
        <w:t xml:space="preserve"> fax cover sheet from Starr on </w:t>
      </w:r>
      <w:r w:rsidR="000B3983">
        <w:t>April 5, 2017</w:t>
      </w:r>
      <w:r w:rsidR="00745877">
        <w:t>,</w:t>
      </w:r>
      <w:r w:rsidR="000B3983">
        <w:t xml:space="preserve"> </w:t>
      </w:r>
      <w:r w:rsidR="00E46AD4">
        <w:t xml:space="preserve">stated that the letter of instruction and annuity surrender request were provided “to be reviewed by your Compliance </w:t>
      </w:r>
      <w:r w:rsidR="00E46AD4">
        <w:lastRenderedPageBreak/>
        <w:t xml:space="preserve">department.”  </w:t>
      </w:r>
      <w:r w:rsidR="00035B13">
        <w:t xml:space="preserve">NWL’s </w:t>
      </w:r>
      <w:r w:rsidR="000B3983">
        <w:t>California complaint handling procedur</w:t>
      </w:r>
      <w:r w:rsidR="00035B13">
        <w:t xml:space="preserve">es </w:t>
      </w:r>
      <w:r w:rsidR="000B3983">
        <w:t>required</w:t>
      </w:r>
      <w:r w:rsidR="00035B13">
        <w:t xml:space="preserve"> the company</w:t>
      </w:r>
      <w:r w:rsidR="000B3983">
        <w:t xml:space="preserve"> to (1) consider all relevant facts in resolving complaints, (2) attempt to resolve oral complaints over the phone and advise clients to make the complaint in writing when it can</w:t>
      </w:r>
      <w:r w:rsidR="00CE5FE6">
        <w:t>not</w:t>
      </w:r>
      <w:r w:rsidR="000B3983">
        <w:t xml:space="preserve"> be resolved over the phone, (3) contact the client by phone, e</w:t>
      </w:r>
      <w:r w:rsidR="006116A6">
        <w:t>-</w:t>
      </w:r>
      <w:r w:rsidR="000B3983">
        <w:t>mail or regular mail to request clarification of any portion of a complaint that</w:t>
      </w:r>
      <w:r w:rsidR="00CE5FE6">
        <w:t xml:space="preserve"> is</w:t>
      </w:r>
      <w:r w:rsidR="000B3983">
        <w:t xml:space="preserve"> not clearly understood, (4) make notes of communications with the client and agent in the course of the investigation, (5) maintain these records for the time required by statute, and (6) conduct a thorough investigation of the complaint and where an agent denies misconduct take into account whether the agent provided a substantive and believable explanation.  </w:t>
      </w:r>
      <w:r w:rsidR="00897481">
        <w:t>NWL</w:t>
      </w:r>
      <w:r w:rsidR="00035B13">
        <w:t xml:space="preserve"> did not</w:t>
      </w:r>
      <w:r w:rsidR="00897481">
        <w:t xml:space="preserve"> conduct an investigation in compliance with these procedures</w:t>
      </w:r>
      <w:r w:rsidR="00E46AD4">
        <w:t>.  NWL did not treat the April 5, 2017 fax as a comp</w:t>
      </w:r>
      <w:r w:rsidR="00897481">
        <w:t>laint.</w:t>
      </w:r>
    </w:p>
    <w:p w14:paraId="30C9B4BE" w14:textId="767CF810" w:rsidR="00035B13" w:rsidRDefault="00B34FC3">
      <w:r>
        <w:tab/>
        <w:t xml:space="preserve">On cross-examination by NWL, Burns </w:t>
      </w:r>
      <w:r w:rsidR="003F70CD">
        <w:t xml:space="preserve">testified that items in the file showed Williams was aware that he had </w:t>
      </w:r>
      <w:r w:rsidR="00470E9E">
        <w:t xml:space="preserve">the second </w:t>
      </w:r>
      <w:r w:rsidR="003F70CD">
        <w:t xml:space="preserve">annuity policy, including several letters from NWL to Williams, </w:t>
      </w:r>
      <w:r w:rsidR="00505087">
        <w:t>the</w:t>
      </w:r>
      <w:r w:rsidR="003F70CD">
        <w:t xml:space="preserve"> surrender request,</w:t>
      </w:r>
      <w:r w:rsidR="00035B13">
        <w:t xml:space="preserve"> his receipt of a</w:t>
      </w:r>
      <w:r w:rsidR="003F70CD">
        <w:t xml:space="preserve"> PIN (personal identification number) to access the</w:t>
      </w:r>
      <w:r w:rsidR="00035B13">
        <w:t xml:space="preserve"> NWL</w:t>
      </w:r>
      <w:r w:rsidR="003F70CD">
        <w:t xml:space="preserve"> website for information about the policy, and </w:t>
      </w:r>
      <w:r w:rsidR="00035B13">
        <w:t xml:space="preserve">that </w:t>
      </w:r>
      <w:r w:rsidR="003F70CD">
        <w:t xml:space="preserve">Williams </w:t>
      </w:r>
      <w:r w:rsidR="00BB2043">
        <w:t xml:space="preserve">had </w:t>
      </w:r>
      <w:r w:rsidR="003F70CD">
        <w:t>accessed the policy online.</w:t>
      </w:r>
    </w:p>
    <w:p w14:paraId="0908812C" w14:textId="7E8E3F41" w:rsidR="00B34FC3" w:rsidRDefault="00035B13">
      <w:r>
        <w:tab/>
      </w:r>
      <w:r w:rsidR="003F70CD">
        <w:t>NWL did not send the letter conserving the policy because</w:t>
      </w:r>
      <w:r w:rsidR="00505087">
        <w:t xml:space="preserve"> the letter only goes out for policies </w:t>
      </w:r>
      <w:r w:rsidR="00F3121C">
        <w:t xml:space="preserve">that </w:t>
      </w:r>
      <w:r w:rsidR="00505087">
        <w:t xml:space="preserve">can be conserved.  Williams did not conserve the policy.  When NWL received Williams’ request during the 30-day free look period, </w:t>
      </w:r>
      <w:r w:rsidR="003F70CD">
        <w:t>N</w:t>
      </w:r>
      <w:r w:rsidR="00505087">
        <w:t xml:space="preserve">WL </w:t>
      </w:r>
      <w:r w:rsidR="003F70CD">
        <w:t>cancelled the</w:t>
      </w:r>
      <w:r w:rsidR="00505087">
        <w:t xml:space="preserve"> first annuity and it was null and void.</w:t>
      </w:r>
      <w:r w:rsidR="003F70CD">
        <w:t xml:space="preserve"> </w:t>
      </w:r>
      <w:r w:rsidR="00505087">
        <w:t xml:space="preserve"> NWL</w:t>
      </w:r>
      <w:r w:rsidR="003F70CD">
        <w:t xml:space="preserve"> required a new application and letter</w:t>
      </w:r>
      <w:r w:rsidR="00505087">
        <w:t xml:space="preserve"> of instruction</w:t>
      </w:r>
      <w:r w:rsidR="003F70CD">
        <w:t xml:space="preserve"> signed by Williams to issue a new policy.  The letter </w:t>
      </w:r>
      <w:r w:rsidR="00505087">
        <w:t xml:space="preserve">of instruction </w:t>
      </w:r>
      <w:r w:rsidR="00470E9E">
        <w:t xml:space="preserve">was </w:t>
      </w:r>
      <w:r w:rsidR="003F70CD">
        <w:t xml:space="preserve">to make sure </w:t>
      </w:r>
      <w:r w:rsidR="00505087">
        <w:t>he</w:t>
      </w:r>
      <w:r w:rsidR="003F70CD">
        <w:t xml:space="preserve"> understood why his money was not being returned</w:t>
      </w:r>
      <w:r w:rsidR="00025120">
        <w:t xml:space="preserve"> after he cancelled the</w:t>
      </w:r>
      <w:r w:rsidR="00932839">
        <w:t xml:space="preserve"> first </w:t>
      </w:r>
      <w:r w:rsidR="00025120">
        <w:t>policy.</w:t>
      </w:r>
    </w:p>
    <w:p w14:paraId="7687DAC8" w14:textId="6E959F02" w:rsidR="00025120" w:rsidRDefault="00025120">
      <w:r>
        <w:tab/>
        <w:t xml:space="preserve">Burns reviewed the suitability application </w:t>
      </w:r>
      <w:r w:rsidR="00932839">
        <w:t>with a box checked</w:t>
      </w:r>
      <w:r>
        <w:t xml:space="preserve"> that Williams’ net worth</w:t>
      </w:r>
      <w:r w:rsidR="004534C0">
        <w:t xml:space="preserve"> after purchase of the annuity</w:t>
      </w:r>
      <w:r>
        <w:t xml:space="preserve"> </w:t>
      </w:r>
      <w:r w:rsidR="00035B13">
        <w:t xml:space="preserve">ranged from </w:t>
      </w:r>
      <w:r>
        <w:t xml:space="preserve">$50,000 to $99,000.  </w:t>
      </w:r>
      <w:r w:rsidR="00D8378C">
        <w:t xml:space="preserve">NWL </w:t>
      </w:r>
      <w:r w:rsidR="00035B13">
        <w:t>measure</w:t>
      </w:r>
      <w:r w:rsidR="00505087">
        <w:t>d</w:t>
      </w:r>
      <w:r w:rsidR="00035B13">
        <w:t xml:space="preserve"> liquidity as </w:t>
      </w:r>
      <w:r w:rsidR="00D8378C">
        <w:t>at least one</w:t>
      </w:r>
      <w:r w:rsidR="00035B13">
        <w:t>-</w:t>
      </w:r>
      <w:r w:rsidR="00D8378C">
        <w:t>and</w:t>
      </w:r>
      <w:r w:rsidR="00035B13">
        <w:t>-</w:t>
      </w:r>
      <w:r w:rsidR="00D8378C">
        <w:t>a</w:t>
      </w:r>
      <w:r w:rsidR="00035B13">
        <w:t>-</w:t>
      </w:r>
      <w:r w:rsidR="00D8378C">
        <w:t>half to two years of expenses</w:t>
      </w:r>
      <w:r w:rsidR="001857C1">
        <w:t xml:space="preserve">.  </w:t>
      </w:r>
      <w:r w:rsidR="00D8378C">
        <w:t xml:space="preserve">$99,000 would be </w:t>
      </w:r>
      <w:r w:rsidR="00505087">
        <w:t>almost five</w:t>
      </w:r>
      <w:r w:rsidR="00D8378C">
        <w:t xml:space="preserve"> times Williams’ expenses.  The 60 percent rule </w:t>
      </w:r>
      <w:r w:rsidR="00505087">
        <w:t>was</w:t>
      </w:r>
      <w:r w:rsidR="00D8378C">
        <w:t xml:space="preserve"> not a strict rule.  </w:t>
      </w:r>
      <w:r w:rsidR="00600CE0">
        <w:t xml:space="preserve">Another </w:t>
      </w:r>
      <w:r w:rsidR="00365F5B">
        <w:t xml:space="preserve">factor </w:t>
      </w:r>
      <w:r w:rsidR="00600CE0">
        <w:lastRenderedPageBreak/>
        <w:t>that affected the suitability analysis was that</w:t>
      </w:r>
      <w:r w:rsidR="00D8378C">
        <w:t xml:space="preserve"> </w:t>
      </w:r>
      <w:r w:rsidR="00365F5B">
        <w:t xml:space="preserve">the annuity </w:t>
      </w:r>
      <w:r w:rsidR="00D8378C">
        <w:t>had a</w:t>
      </w:r>
      <w:r w:rsidR="00600CE0">
        <w:t xml:space="preserve"> withdrawal benefit</w:t>
      </w:r>
      <w:r w:rsidR="00D8378C">
        <w:t xml:space="preserve"> rider giving </w:t>
      </w:r>
      <w:r w:rsidR="005653C6">
        <w:t>Williams</w:t>
      </w:r>
      <w:r w:rsidR="00D8378C">
        <w:t xml:space="preserve"> an annual income of $7,000 for the rest of his life, which would increase his annual income.  </w:t>
      </w:r>
      <w:r w:rsidR="001857C1">
        <w:t>S</w:t>
      </w:r>
      <w:r w:rsidR="00D8378C">
        <w:t>ources of income listed on the suitability questionnaire were 10 percent investments, 80 percent pension, and 10 percent social security</w:t>
      </w:r>
      <w:r w:rsidR="00021E1F">
        <w:t>—</w:t>
      </w:r>
      <w:r w:rsidR="0068599E">
        <w:t xml:space="preserve">all </w:t>
      </w:r>
      <w:r w:rsidR="006D3BFF">
        <w:t xml:space="preserve">of which </w:t>
      </w:r>
      <w:r w:rsidR="00035B13">
        <w:t>were</w:t>
      </w:r>
      <w:r w:rsidR="00D8378C">
        <w:t xml:space="preserve"> guaranteed sources of income.  </w:t>
      </w:r>
      <w:r w:rsidR="001857C1">
        <w:t xml:space="preserve">It </w:t>
      </w:r>
      <w:r w:rsidR="006D3BFF">
        <w:t>was</w:t>
      </w:r>
      <w:r w:rsidR="00B90F94">
        <w:t xml:space="preserve"> not uncommon for 78</w:t>
      </w:r>
      <w:r w:rsidR="006116A6">
        <w:t xml:space="preserve"> </w:t>
      </w:r>
      <w:r w:rsidR="00B90F94">
        <w:t>year</w:t>
      </w:r>
      <w:r w:rsidR="006116A6">
        <w:t xml:space="preserve"> </w:t>
      </w:r>
      <w:r w:rsidR="00B90F94">
        <w:t>old</w:t>
      </w:r>
      <w:r w:rsidR="001857C1">
        <w:t>s</w:t>
      </w:r>
      <w:r w:rsidR="00B90F94">
        <w:t xml:space="preserve"> to have the majority of their income from pension and social security.</w:t>
      </w:r>
    </w:p>
    <w:p w14:paraId="4DAF7A8E" w14:textId="44EE12EA" w:rsidR="001857C1" w:rsidRDefault="00660EF9">
      <w:r>
        <w:tab/>
        <w:t xml:space="preserve">On redirect, Burns testified </w:t>
      </w:r>
      <w:r w:rsidR="0054499C">
        <w:t>NWL d</w:t>
      </w:r>
      <w:r w:rsidR="006D3BFF">
        <w:t>id</w:t>
      </w:r>
      <w:r w:rsidR="00071223">
        <w:t xml:space="preserve"> not</w:t>
      </w:r>
      <w:r w:rsidR="0054499C">
        <w:t xml:space="preserve"> require agents in California to submit their business cards for approval.  NWL knew that in California an insurance agent has to give a business card to a senior.  </w:t>
      </w:r>
      <w:r w:rsidR="00AD2BBA">
        <w:t xml:space="preserve">When Burns reviewed Pantaleoni’s file, there was no business card in the file.  Burns saw documents in his file referring to Sierra Attorney Services.  </w:t>
      </w:r>
      <w:r w:rsidR="00600CE0">
        <w:t xml:space="preserve">NWL did not determine what business Sierra Attorney Services was in.  </w:t>
      </w:r>
      <w:r w:rsidR="00AD2BBA">
        <w:t>NWL did a background check on Pantaleoni</w:t>
      </w:r>
      <w:r w:rsidR="00600CE0">
        <w:t xml:space="preserve"> when he received his </w:t>
      </w:r>
      <w:r w:rsidR="005653C6">
        <w:t xml:space="preserve">first </w:t>
      </w:r>
      <w:r w:rsidR="00600CE0">
        <w:t>contract</w:t>
      </w:r>
      <w:r w:rsidR="00AD2BBA">
        <w:t xml:space="preserve">.  </w:t>
      </w:r>
      <w:r w:rsidR="00600CE0">
        <w:t xml:space="preserve">Burns did not know the exact date of that background check.  </w:t>
      </w:r>
      <w:r w:rsidR="00C85E2F">
        <w:t xml:space="preserve">The background check would have included whether </w:t>
      </w:r>
      <w:r w:rsidR="00AD2BBA">
        <w:t>Pantaleoni was in bankruptcy.</w:t>
      </w:r>
    </w:p>
    <w:p w14:paraId="39F7625F" w14:textId="60F1412E" w:rsidR="00600CE0" w:rsidRDefault="001857C1">
      <w:r>
        <w:tab/>
      </w:r>
      <w:r w:rsidR="00600CE0">
        <w:t>Burns saw documents in Pantaleoni’s agent file indicating he was affiliated w</w:t>
      </w:r>
      <w:r w:rsidR="00AD2BBA">
        <w:t xml:space="preserve">ith American Family Legal Services.  </w:t>
      </w:r>
      <w:r>
        <w:t>NWL</w:t>
      </w:r>
      <w:r w:rsidR="00600CE0">
        <w:t xml:space="preserve"> did not determine the nature of that company’s business because there was no reason to.  There was </w:t>
      </w:r>
      <w:r>
        <w:t>no document indicating that Pantaleoni worked for American Family Legal Services or that the company had</w:t>
      </w:r>
      <w:r w:rsidR="00AD2BBA">
        <w:t xml:space="preserve"> anything to do with the insurance business.</w:t>
      </w:r>
    </w:p>
    <w:p w14:paraId="01C026CC" w14:textId="50EFE1F7" w:rsidR="001857C1" w:rsidRDefault="00600CE0">
      <w:r>
        <w:tab/>
      </w:r>
      <w:r w:rsidR="00AD2BBA">
        <w:t xml:space="preserve">In 2016, NWL did not require agents to have errors and omissions insurance.  </w:t>
      </w:r>
      <w:r w:rsidR="00071223">
        <w:t>It is industry practice now but</w:t>
      </w:r>
      <w:r w:rsidR="00BB2043">
        <w:t xml:space="preserve"> was</w:t>
      </w:r>
      <w:r w:rsidR="00071223">
        <w:t xml:space="preserve"> not in 2016.</w:t>
      </w:r>
    </w:p>
    <w:p w14:paraId="489BC41E" w14:textId="69658EFB" w:rsidR="0054499C" w:rsidRDefault="001857C1">
      <w:r>
        <w:tab/>
      </w:r>
      <w:r w:rsidR="00071223">
        <w:t>NWL did not terminate Pantaleoni or charge back his commission.  NWL has not refunded the surrender penalty charged to Williams.</w:t>
      </w:r>
    </w:p>
    <w:p w14:paraId="74471C05" w14:textId="2C08F285" w:rsidR="00CE5FE6" w:rsidRDefault="00FE6FAB" w:rsidP="00BD0540">
      <w:pPr>
        <w:keepNext/>
        <w:rPr>
          <w:b/>
          <w:bCs/>
        </w:rPr>
      </w:pPr>
      <w:r>
        <w:tab/>
      </w:r>
      <w:r w:rsidR="00CE5FE6">
        <w:tab/>
      </w:r>
      <w:r w:rsidR="006E63E3">
        <w:rPr>
          <w:b/>
          <w:bCs/>
        </w:rPr>
        <w:t>f</w:t>
      </w:r>
      <w:r w:rsidR="00CE5FE6">
        <w:rPr>
          <w:b/>
          <w:bCs/>
        </w:rPr>
        <w:t>.</w:t>
      </w:r>
      <w:r w:rsidR="00CE5FE6">
        <w:rPr>
          <w:b/>
          <w:bCs/>
        </w:rPr>
        <w:tab/>
        <w:t>Dr. Aaza</w:t>
      </w:r>
      <w:r w:rsidR="00010C15">
        <w:rPr>
          <w:b/>
          <w:bCs/>
        </w:rPr>
        <w:t>z</w:t>
      </w:r>
      <w:r w:rsidR="00CE5FE6">
        <w:rPr>
          <w:b/>
          <w:bCs/>
        </w:rPr>
        <w:t xml:space="preserve"> Ul Haq</w:t>
      </w:r>
    </w:p>
    <w:p w14:paraId="12212576" w14:textId="6B6B2434" w:rsidR="001857C1" w:rsidRDefault="00CE5FE6">
      <w:r>
        <w:rPr>
          <w:b/>
          <w:bCs/>
        </w:rPr>
        <w:tab/>
      </w:r>
      <w:r w:rsidR="00FE6FAB">
        <w:t>Dr. Aazaz Ul Haq</w:t>
      </w:r>
      <w:r w:rsidR="00932839">
        <w:t>,</w:t>
      </w:r>
      <w:r w:rsidR="00FE6FAB">
        <w:t xml:space="preserve"> an expert witness in forensic geropsychiatry</w:t>
      </w:r>
      <w:r w:rsidR="00932839">
        <w:t>, testified that Williams suffered severe psychological distress as result of his interactions with Pantaleoni and had symptoms of posttraumatic stress disorder (PTSD).</w:t>
      </w:r>
    </w:p>
    <w:p w14:paraId="4353794A" w14:textId="46F29EDC" w:rsidR="00CE39A4" w:rsidRDefault="00CE39A4">
      <w:r>
        <w:lastRenderedPageBreak/>
        <w:tab/>
        <w:t>On cross-examination</w:t>
      </w:r>
      <w:r w:rsidR="00932839">
        <w:t xml:space="preserve"> by NWL</w:t>
      </w:r>
      <w:r>
        <w:t xml:space="preserve">, Dr. Haq </w:t>
      </w:r>
      <w:r w:rsidR="00932839">
        <w:t>admitted</w:t>
      </w:r>
      <w:r>
        <w:t xml:space="preserve"> that his written report did not mention PTSD.  </w:t>
      </w:r>
      <w:r w:rsidR="001534D4">
        <w:t>Dr. Haq agreed that a medical record from Williams’ physician at the time of Williams’ interaction with Pantaleoni stated under “</w:t>
      </w:r>
      <w:r w:rsidR="00021E1F">
        <w:t> </w:t>
      </w:r>
      <w:r w:rsidR="001534D4">
        <w:t>‘Psychology</w:t>
      </w:r>
      <w:r w:rsidR="0068599E">
        <w:t>,</w:t>
      </w:r>
      <w:r w:rsidR="001534D4">
        <w:t>’</w:t>
      </w:r>
      <w:r w:rsidR="00021E1F">
        <w:t> </w:t>
      </w:r>
      <w:r w:rsidR="001534D4">
        <w:t>”</w:t>
      </w:r>
      <w:r w:rsidR="0081135B">
        <w:t xml:space="preserve"> </w:t>
      </w:r>
      <w:r w:rsidR="001534D4">
        <w:t>“</w:t>
      </w:r>
      <w:r w:rsidR="00021E1F">
        <w:t> </w:t>
      </w:r>
      <w:r w:rsidR="001534D4">
        <w:t>‘No depression, no eating disorder, no mental or physical abuse, no anxiety</w:t>
      </w:r>
      <w:r w:rsidR="00062FCC">
        <w:t>,</w:t>
      </w:r>
      <w:r w:rsidR="001534D4">
        <w:t xml:space="preserve"> no</w:t>
      </w:r>
      <w:r w:rsidR="00062FCC">
        <w:t xml:space="preserve"> </w:t>
      </w:r>
      <w:r w:rsidR="001534D4">
        <w:t>stress.’</w:t>
      </w:r>
      <w:r w:rsidR="00021E1F">
        <w:t> </w:t>
      </w:r>
      <w:r w:rsidR="001534D4">
        <w:t xml:space="preserve">”  </w:t>
      </w:r>
      <w:r w:rsidR="00062FCC">
        <w:t xml:space="preserve">Dr. Haq testified that this medical record was not an accurate </w:t>
      </w:r>
      <w:r w:rsidR="0068599E">
        <w:t xml:space="preserve">indication </w:t>
      </w:r>
      <w:r w:rsidR="00062FCC">
        <w:t>of Williams’ mental state</w:t>
      </w:r>
      <w:r w:rsidR="0068599E">
        <w:t xml:space="preserve"> </w:t>
      </w:r>
      <w:r w:rsidR="00932839">
        <w:t>and</w:t>
      </w:r>
      <w:r w:rsidR="00062FCC">
        <w:t xml:space="preserve"> reflected the poor quality of medical records prepared for medical insurance purposes.</w:t>
      </w:r>
    </w:p>
    <w:p w14:paraId="11ECC810" w14:textId="64C52973" w:rsidR="0081135B" w:rsidRPr="0081135B" w:rsidRDefault="0081135B" w:rsidP="00BD0540">
      <w:pPr>
        <w:keepNext/>
        <w:rPr>
          <w:b/>
          <w:bCs/>
        </w:rPr>
      </w:pPr>
      <w:r>
        <w:tab/>
      </w:r>
      <w:r>
        <w:tab/>
      </w:r>
      <w:r w:rsidR="006E63E3">
        <w:rPr>
          <w:b/>
          <w:bCs/>
        </w:rPr>
        <w:t>g</w:t>
      </w:r>
      <w:r>
        <w:rPr>
          <w:b/>
          <w:bCs/>
        </w:rPr>
        <w:t>.</w:t>
      </w:r>
      <w:r>
        <w:rPr>
          <w:b/>
          <w:bCs/>
        </w:rPr>
        <w:tab/>
        <w:t>Reynaldo Perez</w:t>
      </w:r>
      <w:r w:rsidR="00010C15">
        <w:rPr>
          <w:b/>
          <w:bCs/>
        </w:rPr>
        <w:t>, Jr.</w:t>
      </w:r>
    </w:p>
    <w:p w14:paraId="26F235A5" w14:textId="3EAEB12F" w:rsidR="005653C6" w:rsidRDefault="00501C6A">
      <w:r>
        <w:tab/>
        <w:t xml:space="preserve">Excerpts of the deposition of Reynaldo Perez, </w:t>
      </w:r>
      <w:r w:rsidR="00010C15">
        <w:t xml:space="preserve">Jr., </w:t>
      </w:r>
      <w:r>
        <w:t xml:space="preserve">NWL’s chief legal officer, were read to the jury.  Perez </w:t>
      </w:r>
      <w:r w:rsidR="00932839">
        <w:t xml:space="preserve">testified </w:t>
      </w:r>
      <w:r>
        <w:t>that NWL d</w:t>
      </w:r>
      <w:r w:rsidR="00932839">
        <w:t>id</w:t>
      </w:r>
      <w:r>
        <w:t xml:space="preserve"> not require agents to submit their business cards for review and approval.</w:t>
      </w:r>
    </w:p>
    <w:p w14:paraId="78D90024" w14:textId="06ADDA62" w:rsidR="009672C1" w:rsidRDefault="005653C6">
      <w:r>
        <w:tab/>
      </w:r>
      <w:r w:rsidR="009672C1">
        <w:t xml:space="preserve">Perez confirmed that </w:t>
      </w:r>
      <w:r w:rsidR="00AE04F0">
        <w:t>Ziebell</w:t>
      </w:r>
      <w:r w:rsidR="009672C1">
        <w:t xml:space="preserve"> was involved in handling policy holder complaints in 2016-2017.  The April 5, 2017 letter sounded as if it was a complaint</w:t>
      </w:r>
      <w:r w:rsidR="004F5757">
        <w:t xml:space="preserve"> about the agent’s conduct</w:t>
      </w:r>
      <w:r w:rsidR="009672C1">
        <w:t>.  If the complaint handling department or whoever received the April 5, 2017 letter though</w:t>
      </w:r>
      <w:r w:rsidR="00347885">
        <w:t>t</w:t>
      </w:r>
      <w:r w:rsidR="009672C1">
        <w:t xml:space="preserve"> it was a complaint, they should </w:t>
      </w:r>
      <w:r w:rsidR="00347885">
        <w:t xml:space="preserve">have </w:t>
      </w:r>
      <w:r w:rsidR="009672C1">
        <w:t>follow</w:t>
      </w:r>
      <w:r w:rsidR="00347885">
        <w:t>ed</w:t>
      </w:r>
      <w:r w:rsidR="009672C1">
        <w:t xml:space="preserve"> the requirements of NWL’s complaint handling procedures.</w:t>
      </w:r>
    </w:p>
    <w:p w14:paraId="6F149755" w14:textId="7AC489C8" w:rsidR="00231273" w:rsidRDefault="009672C1" w:rsidP="006A5DFF">
      <w:r>
        <w:tab/>
      </w:r>
      <w:r w:rsidR="00890636">
        <w:t xml:space="preserve">Perez stated that </w:t>
      </w:r>
      <w:r>
        <w:t>NWL d</w:t>
      </w:r>
      <w:r w:rsidR="00890636">
        <w:t>id</w:t>
      </w:r>
      <w:r>
        <w:t xml:space="preserve"> not contract with legal service companies.  All NWL contracts </w:t>
      </w:r>
      <w:r w:rsidR="00932839">
        <w:t>were</w:t>
      </w:r>
      <w:r w:rsidR="00890636">
        <w:t xml:space="preserve"> </w:t>
      </w:r>
      <w:r>
        <w:t>with independent insurance agen</w:t>
      </w:r>
      <w:r w:rsidR="007A2FCA">
        <w:t>ts</w:t>
      </w:r>
      <w:r>
        <w:t>, not with legal service providers.  NWL ha</w:t>
      </w:r>
      <w:r w:rsidR="00932839">
        <w:t>d</w:t>
      </w:r>
      <w:r>
        <w:t xml:space="preserve"> compliance bulletins</w:t>
      </w:r>
      <w:r w:rsidR="00932839">
        <w:t xml:space="preserve"> advising agents</w:t>
      </w:r>
      <w:r>
        <w:t xml:space="preserve"> to </w:t>
      </w:r>
      <w:r w:rsidR="00932839">
        <w:t xml:space="preserve">avoid </w:t>
      </w:r>
      <w:r>
        <w:t>arrangements</w:t>
      </w:r>
      <w:r w:rsidR="007A2FCA">
        <w:t xml:space="preserve"> with legal service providers</w:t>
      </w:r>
      <w:r>
        <w:t xml:space="preserve">.  </w:t>
      </w:r>
      <w:r w:rsidR="00F9754F">
        <w:t xml:space="preserve">NWL </w:t>
      </w:r>
      <w:r w:rsidR="00932839">
        <w:t>did</w:t>
      </w:r>
      <w:r w:rsidR="00F9754F">
        <w:t xml:space="preserve"> not have a policy or procedure </w:t>
      </w:r>
      <w:r w:rsidR="0068599E">
        <w:t xml:space="preserve">(1) </w:t>
      </w:r>
      <w:r w:rsidR="00347885">
        <w:t xml:space="preserve">that </w:t>
      </w:r>
      <w:r w:rsidR="007A2FCA">
        <w:t>applied</w:t>
      </w:r>
      <w:r w:rsidR="00F9754F">
        <w:t xml:space="preserve"> when the company learns that a legal service company is a trust mill</w:t>
      </w:r>
      <w:r w:rsidR="005653C6">
        <w:t>,</w:t>
      </w:r>
      <w:r w:rsidR="006A5DFF">
        <w:t xml:space="preserve"> or </w:t>
      </w:r>
      <w:r w:rsidR="0068599E">
        <w:t xml:space="preserve">(2) </w:t>
      </w:r>
      <w:r w:rsidR="00347885">
        <w:t xml:space="preserve">that </w:t>
      </w:r>
      <w:r w:rsidR="006A5DFF">
        <w:t>screen</w:t>
      </w:r>
      <w:r w:rsidR="00347885">
        <w:t>ed</w:t>
      </w:r>
      <w:r w:rsidR="006A5DFF">
        <w:t xml:space="preserve"> legal services companies to make sure they are not trust mills</w:t>
      </w:r>
      <w:r w:rsidR="00F9754F">
        <w:t>.  NWL d</w:t>
      </w:r>
      <w:r w:rsidR="00822816">
        <w:t>id</w:t>
      </w:r>
      <w:r w:rsidR="00F9754F">
        <w:t xml:space="preserve"> </w:t>
      </w:r>
      <w:r w:rsidR="006A5DFF">
        <w:t xml:space="preserve">not take </w:t>
      </w:r>
      <w:r w:rsidR="00F9754F">
        <w:t>steps to make sure that the company is not doing business with agents selling annuities with trust mills</w:t>
      </w:r>
      <w:r w:rsidR="005653C6">
        <w:t>,</w:t>
      </w:r>
      <w:r w:rsidR="00F9754F">
        <w:t xml:space="preserve"> other than to communicate th</w:t>
      </w:r>
      <w:r w:rsidR="0068599E">
        <w:t>e</w:t>
      </w:r>
      <w:r w:rsidR="00F9754F">
        <w:t xml:space="preserve"> prohibition to agents.</w:t>
      </w:r>
    </w:p>
    <w:p w14:paraId="484A2DAE" w14:textId="3C19AFB3" w:rsidR="006A5DFF" w:rsidRDefault="00231273" w:rsidP="006A5DFF">
      <w:r>
        <w:tab/>
      </w:r>
      <w:r w:rsidR="006A5DFF">
        <w:t>If an agent violat</w:t>
      </w:r>
      <w:r w:rsidR="00822816">
        <w:t xml:space="preserve">ed </w:t>
      </w:r>
      <w:r w:rsidR="006A5DFF">
        <w:t>a compliance bulletin or engage</w:t>
      </w:r>
      <w:r w:rsidR="00822816">
        <w:t>d</w:t>
      </w:r>
      <w:r w:rsidR="006A5DFF">
        <w:t xml:space="preserve"> in unlawful conduct, NWL ha</w:t>
      </w:r>
      <w:r w:rsidR="00822816">
        <w:t>d the</w:t>
      </w:r>
      <w:r w:rsidR="006A5DFF">
        <w:t xml:space="preserve"> right to terminate the agent.  NWL </w:t>
      </w:r>
      <w:r w:rsidR="00822816">
        <w:t>did</w:t>
      </w:r>
      <w:r w:rsidR="006A5DFF">
        <w:t xml:space="preserve"> not terminate Pantaleoni.</w:t>
      </w:r>
    </w:p>
    <w:p w14:paraId="62610739" w14:textId="40763D3F" w:rsidR="0081135B" w:rsidRPr="0081135B" w:rsidRDefault="00F9754F" w:rsidP="00BD0540">
      <w:pPr>
        <w:keepNext/>
        <w:rPr>
          <w:b/>
          <w:bCs/>
        </w:rPr>
      </w:pPr>
      <w:r>
        <w:lastRenderedPageBreak/>
        <w:tab/>
      </w:r>
      <w:r w:rsidR="0081135B">
        <w:tab/>
      </w:r>
      <w:r w:rsidR="006E63E3">
        <w:rPr>
          <w:b/>
          <w:bCs/>
        </w:rPr>
        <w:t>h</w:t>
      </w:r>
      <w:r w:rsidR="0081135B">
        <w:rPr>
          <w:b/>
          <w:bCs/>
        </w:rPr>
        <w:t>.</w:t>
      </w:r>
      <w:r w:rsidR="0081135B">
        <w:rPr>
          <w:b/>
          <w:bCs/>
        </w:rPr>
        <w:tab/>
        <w:t>Neal Bordenave</w:t>
      </w:r>
    </w:p>
    <w:p w14:paraId="38B5CE88" w14:textId="7FC6D41D" w:rsidR="005653C6" w:rsidRDefault="0045263E">
      <w:r>
        <w:tab/>
        <w:t>Neal David Bordenave</w:t>
      </w:r>
      <w:r w:rsidR="00822816">
        <w:t xml:space="preserve">, </w:t>
      </w:r>
      <w:r>
        <w:t xml:space="preserve">an expert witness </w:t>
      </w:r>
      <w:r w:rsidR="00246C11">
        <w:t>on the standard of care in life insurance transactions with elders in California</w:t>
      </w:r>
      <w:r w:rsidR="00822816">
        <w:t xml:space="preserve">, testified that </w:t>
      </w:r>
      <w:r w:rsidR="0032550A">
        <w:t>NWL</w:t>
      </w:r>
      <w:r w:rsidR="00822816">
        <w:t xml:space="preserve"> </w:t>
      </w:r>
      <w:r w:rsidR="007D4F80">
        <w:t>ha</w:t>
      </w:r>
      <w:r w:rsidR="00231273">
        <w:t>d</w:t>
      </w:r>
      <w:r w:rsidR="007D4F80">
        <w:t xml:space="preserve"> guidelines and requirements in compliance bulletins but</w:t>
      </w:r>
      <w:r w:rsidR="007A2FCA">
        <w:t xml:space="preserve"> </w:t>
      </w:r>
      <w:r w:rsidR="007D4F80">
        <w:t>d</w:t>
      </w:r>
      <w:r w:rsidR="00231273">
        <w:t>id</w:t>
      </w:r>
      <w:r w:rsidR="007D4F80">
        <w:t xml:space="preserve"> not enforce them and ha</w:t>
      </w:r>
      <w:r w:rsidR="00231273">
        <w:t>d</w:t>
      </w:r>
      <w:r w:rsidR="007D4F80">
        <w:t xml:space="preserve"> no checks and balances to make sure annuities </w:t>
      </w:r>
      <w:r w:rsidR="00231273">
        <w:t xml:space="preserve">were </w:t>
      </w:r>
      <w:r w:rsidR="007D4F80">
        <w:t xml:space="preserve">being transacted correctly.  </w:t>
      </w:r>
      <w:r w:rsidR="002A389A">
        <w:t xml:space="preserve">All insurance companies </w:t>
      </w:r>
      <w:r w:rsidR="00231273">
        <w:t>send</w:t>
      </w:r>
      <w:r w:rsidR="002A389A">
        <w:t xml:space="preserve"> out bulletins and expect agents to review them</w:t>
      </w:r>
      <w:r w:rsidR="00EB5FD5">
        <w:t>,</w:t>
      </w:r>
      <w:r w:rsidR="002A389A">
        <w:t xml:space="preserve"> but marketing or compliance people at insurance companies need to confirm that agents are in compliance with bulletins.</w:t>
      </w:r>
    </w:p>
    <w:p w14:paraId="1841ACB5" w14:textId="6C732D4B" w:rsidR="0068599E" w:rsidRDefault="005653C6">
      <w:r>
        <w:tab/>
      </w:r>
      <w:r w:rsidR="007D4F80">
        <w:t>The document Williams wrote returning the first annuity was from someone with marginal literacy, which should have voided the annuity, but NWL asked Pantaleoni to conserve the annuity</w:t>
      </w:r>
      <w:r w:rsidR="00EF032F">
        <w:t xml:space="preserve"> and a week later NWL issued another $100</w:t>
      </w:r>
      <w:r w:rsidR="0081135B">
        <w:t>,000</w:t>
      </w:r>
      <w:r w:rsidR="00EF032F">
        <w:t xml:space="preserve"> annuity with the same policy number</w:t>
      </w:r>
      <w:r w:rsidR="007D4F80">
        <w:t>.  The suitability questionnaire did not reconcile which should have been a red fla</w:t>
      </w:r>
      <w:r w:rsidR="0081135B">
        <w:t>g</w:t>
      </w:r>
      <w:r w:rsidR="007D4F80">
        <w:t xml:space="preserve"> for NWL to investigate further.  The annuity of $100,000 was 85 to almost 90 percent of Williams’ liquid assets</w:t>
      </w:r>
      <w:r w:rsidR="0081135B">
        <w:t>, which</w:t>
      </w:r>
      <w:r w:rsidR="00822816">
        <w:t xml:space="preserve"> did not</w:t>
      </w:r>
      <w:r w:rsidR="007D4F80">
        <w:t xml:space="preserve"> meet a</w:t>
      </w:r>
      <w:r w:rsidR="00231273">
        <w:t xml:space="preserve"> reasonable</w:t>
      </w:r>
      <w:r w:rsidR="007D4F80">
        <w:t xml:space="preserve"> suitability standard.  </w:t>
      </w:r>
      <w:r w:rsidR="00EF032F">
        <w:t xml:space="preserve">The April 5, 2017 </w:t>
      </w:r>
      <w:r w:rsidR="0081135B">
        <w:t xml:space="preserve">letter </w:t>
      </w:r>
      <w:r w:rsidR="00EF032F">
        <w:t>from Starr was effectively a complaint about Pantaleoni indicating a need to investigate the incompleteness of the file and NWL should have immediately offered to pay Williams’ money back.</w:t>
      </w:r>
    </w:p>
    <w:p w14:paraId="230FAA06" w14:textId="4C347BE0" w:rsidR="00C120E9" w:rsidRDefault="0068599E">
      <w:r>
        <w:tab/>
      </w:r>
      <w:r w:rsidR="00EF032F">
        <w:t>Bordenave disagreed</w:t>
      </w:r>
      <w:r>
        <w:t xml:space="preserve"> with NWL’s expert, Larry Nevonen,</w:t>
      </w:r>
      <w:r w:rsidR="00EF032F">
        <w:t xml:space="preserve"> that Pantaleoni was a broker, stating that in California to transact life insurance or annuities Pantaleoni had to be an agent </w:t>
      </w:r>
      <w:r w:rsidR="0081135B">
        <w:t xml:space="preserve">of </w:t>
      </w:r>
      <w:r w:rsidR="00EF032F">
        <w:t>NWL.</w:t>
      </w:r>
      <w:r w:rsidR="00822816" w:rsidRPr="00021E1F">
        <w:rPr>
          <w:rStyle w:val="FootnoteReference"/>
        </w:rPr>
        <w:footnoteReference w:id="5"/>
      </w:r>
    </w:p>
    <w:p w14:paraId="17580A5D" w14:textId="74E7D5EF" w:rsidR="006B6718" w:rsidRDefault="00C120E9">
      <w:r>
        <w:tab/>
      </w:r>
      <w:r w:rsidR="002A389A">
        <w:t>On cross-examination</w:t>
      </w:r>
      <w:r w:rsidR="00890636">
        <w:t xml:space="preserve"> by NWL</w:t>
      </w:r>
      <w:r w:rsidR="002A389A">
        <w:t>, Bordenave confirmed that he</w:t>
      </w:r>
      <w:r w:rsidR="0081135B">
        <w:t xml:space="preserve"> was testifying</w:t>
      </w:r>
      <w:r w:rsidR="002A389A">
        <w:t xml:space="preserve"> that NWL’s</w:t>
      </w:r>
      <w:r w:rsidR="00231273">
        <w:t xml:space="preserve"> overall</w:t>
      </w:r>
      <w:r w:rsidR="002A389A">
        <w:t xml:space="preserve"> supervision of Pantaleoni was insufficient.  </w:t>
      </w:r>
      <w:r w:rsidR="005653C6">
        <w:t xml:space="preserve">Bordenave stated that </w:t>
      </w:r>
      <w:r w:rsidR="005653C6">
        <w:lastRenderedPageBreak/>
        <w:t>i</w:t>
      </w:r>
      <w:r w:rsidR="00563099">
        <w:t xml:space="preserve">nsurance companies have </w:t>
      </w:r>
      <w:r w:rsidR="00164EE2">
        <w:t xml:space="preserve">a responsibility </w:t>
      </w:r>
      <w:r w:rsidR="00563099">
        <w:t xml:space="preserve">to monitor their agents to make sure they are doing the right thing.  Failing to monitor agents falls below </w:t>
      </w:r>
      <w:r w:rsidR="00164EE2">
        <w:t xml:space="preserve">reasonable </w:t>
      </w:r>
      <w:r w:rsidR="00563099">
        <w:t>custom and practice in the insurance industry.  Insurance companies need to monitor agents because they are the company’s agents.</w:t>
      </w:r>
    </w:p>
    <w:p w14:paraId="09BB88AF" w14:textId="1442D478" w:rsidR="002A389A" w:rsidRDefault="006B6718">
      <w:r>
        <w:tab/>
      </w:r>
      <w:r w:rsidR="00563099">
        <w:t xml:space="preserve">Bordenave agreed that there was nothing in NWL’s file to put the company on notice that Williams was complaining that he </w:t>
      </w:r>
      <w:r w:rsidR="00822816">
        <w:t>wanted</w:t>
      </w:r>
      <w:r w:rsidR="00563099">
        <w:t xml:space="preserve"> a trust but got an annuity.</w:t>
      </w:r>
    </w:p>
    <w:p w14:paraId="268BE94A" w14:textId="5904AD07" w:rsidR="0081135B" w:rsidRDefault="0081135B" w:rsidP="00BD0540">
      <w:pPr>
        <w:keepNext/>
        <w:rPr>
          <w:b/>
          <w:bCs/>
        </w:rPr>
      </w:pPr>
      <w:r>
        <w:rPr>
          <w:b/>
          <w:bCs/>
        </w:rPr>
        <w:tab/>
        <w:t>2.</w:t>
      </w:r>
      <w:r>
        <w:rPr>
          <w:b/>
          <w:bCs/>
        </w:rPr>
        <w:tab/>
        <w:t>NWL’s Case</w:t>
      </w:r>
    </w:p>
    <w:p w14:paraId="5257AAFE" w14:textId="7E9AF998" w:rsidR="00E31426" w:rsidRDefault="0081135B" w:rsidP="00BD0540">
      <w:pPr>
        <w:keepNext/>
      </w:pPr>
      <w:r>
        <w:rPr>
          <w:b/>
          <w:bCs/>
        </w:rPr>
        <w:tab/>
      </w:r>
      <w:r>
        <w:rPr>
          <w:b/>
          <w:bCs/>
        </w:rPr>
        <w:tab/>
        <w:t>a.</w:t>
      </w:r>
      <w:r w:rsidR="006D0C50">
        <w:rPr>
          <w:b/>
          <w:bCs/>
        </w:rPr>
        <w:tab/>
        <w:t>Larry Nevonen</w:t>
      </w:r>
    </w:p>
    <w:p w14:paraId="58AFE981" w14:textId="4DDB4967" w:rsidR="003F46E0" w:rsidRDefault="0068399E">
      <w:r>
        <w:tab/>
        <w:t>Nevonen</w:t>
      </w:r>
      <w:r w:rsidR="00EA1D65">
        <w:t xml:space="preserve">, an insurance industry expert, </w:t>
      </w:r>
      <w:r>
        <w:t xml:space="preserve">testified that the name </w:t>
      </w:r>
      <w:r w:rsidR="0079014C">
        <w:t xml:space="preserve">“Sierra </w:t>
      </w:r>
      <w:r w:rsidR="008C613B">
        <w:t>Attorney</w:t>
      </w:r>
      <w:r>
        <w:t xml:space="preserve"> Services</w:t>
      </w:r>
      <w:r w:rsidR="0079014C">
        <w:t>”</w:t>
      </w:r>
      <w:r>
        <w:t xml:space="preserve"> </w:t>
      </w:r>
      <w:r w:rsidR="00164EE2">
        <w:t xml:space="preserve">in the agent’s file </w:t>
      </w:r>
      <w:r>
        <w:t>did not give rise to duty to inquire what the name meant</w:t>
      </w:r>
      <w:r w:rsidR="00890636">
        <w:t>.  T</w:t>
      </w:r>
      <w:r>
        <w:t xml:space="preserve">he name was authorized </w:t>
      </w:r>
      <w:r w:rsidR="008C613B">
        <w:t>by the</w:t>
      </w:r>
      <w:r>
        <w:t xml:space="preserve"> Nevada</w:t>
      </w:r>
      <w:r w:rsidR="008C613B">
        <w:t xml:space="preserve"> Department of Insurance</w:t>
      </w:r>
      <w:r w:rsidR="00EA1D65">
        <w:t xml:space="preserve">.  </w:t>
      </w:r>
      <w:r>
        <w:t xml:space="preserve">Sierra </w:t>
      </w:r>
      <w:r w:rsidR="008C613B">
        <w:t xml:space="preserve">Attorney </w:t>
      </w:r>
      <w:r>
        <w:t xml:space="preserve">Services </w:t>
      </w:r>
      <w:r w:rsidR="008C613B">
        <w:t xml:space="preserve">received an assignment of commissions but </w:t>
      </w:r>
      <w:r>
        <w:t>never transacted insurance</w:t>
      </w:r>
      <w:r w:rsidR="008C613B">
        <w:t xml:space="preserve"> in California under that name.  </w:t>
      </w:r>
      <w:r w:rsidR="007A2FCA">
        <w:t xml:space="preserve">A </w:t>
      </w:r>
      <w:r w:rsidR="008C613B">
        <w:t>legal</w:t>
      </w:r>
      <w:r w:rsidR="007A2FCA">
        <w:t xml:space="preserve"> name</w:t>
      </w:r>
      <w:r w:rsidR="008C613B">
        <w:t xml:space="preserve"> in Nevada</w:t>
      </w:r>
      <w:r w:rsidR="007A2FCA">
        <w:t xml:space="preserve"> </w:t>
      </w:r>
      <w:r w:rsidR="008C613B">
        <w:t xml:space="preserve">would not be </w:t>
      </w:r>
      <w:r w:rsidR="0079014C">
        <w:t xml:space="preserve">a </w:t>
      </w:r>
      <w:r w:rsidR="008C613B">
        <w:t>red flag for illegal activity in another state.</w:t>
      </w:r>
    </w:p>
    <w:p w14:paraId="6FF1A24F" w14:textId="7FF8740B" w:rsidR="003F46E0" w:rsidRDefault="003F46E0">
      <w:r>
        <w:tab/>
      </w:r>
      <w:r w:rsidR="007A2FCA">
        <w:t>The</w:t>
      </w:r>
      <w:r w:rsidR="008C613B">
        <w:t xml:space="preserve"> card </w:t>
      </w:r>
      <w:r w:rsidR="007A2FCA">
        <w:t>Pan</w:t>
      </w:r>
      <w:r w:rsidR="0079014C">
        <w:t>ta</w:t>
      </w:r>
      <w:r w:rsidR="007A2FCA">
        <w:t xml:space="preserve">leoni </w:t>
      </w:r>
      <w:r w:rsidR="008C613B">
        <w:t>gave Williams improperly mixe</w:t>
      </w:r>
      <w:r w:rsidR="007A2FCA">
        <w:t>d</w:t>
      </w:r>
      <w:r w:rsidR="008C613B">
        <w:t xml:space="preserve"> insurance business with living trust and paralegal services business</w:t>
      </w:r>
      <w:r w:rsidR="00EA1D65">
        <w:t>.  The card</w:t>
      </w:r>
      <w:r w:rsidR="008C613B">
        <w:t xml:space="preserve"> should not have had a CSA designation that was expired and not recognized in California.  </w:t>
      </w:r>
      <w:r w:rsidR="008C613B" w:rsidRPr="00356593">
        <w:t>Nothing</w:t>
      </w:r>
      <w:r w:rsidR="00356593">
        <w:t xml:space="preserve"> </w:t>
      </w:r>
      <w:r w:rsidR="008C613B" w:rsidRPr="00356593">
        <w:t>on the card referred to NWL</w:t>
      </w:r>
      <w:r w:rsidR="007E1C4C" w:rsidRPr="00356593">
        <w:t xml:space="preserve"> that would</w:t>
      </w:r>
      <w:r w:rsidRPr="00356593">
        <w:t xml:space="preserve"> trigger review by NWL.</w:t>
      </w:r>
    </w:p>
    <w:p w14:paraId="17773E51" w14:textId="69AECFCF" w:rsidR="0068399E" w:rsidRDefault="003F46E0">
      <w:r>
        <w:tab/>
      </w:r>
      <w:r w:rsidRPr="00356593">
        <w:t>NWL’s compliance manuals were</w:t>
      </w:r>
      <w:r w:rsidR="007A2FCA" w:rsidRPr="00356593">
        <w:t xml:space="preserve"> </w:t>
      </w:r>
      <w:r w:rsidRPr="00356593">
        <w:t>consistent with industry</w:t>
      </w:r>
      <w:r w:rsidR="007A2FCA" w:rsidRPr="00356593">
        <w:t xml:space="preserve"> practice</w:t>
      </w:r>
      <w:r>
        <w:t xml:space="preserve">.  </w:t>
      </w:r>
      <w:r>
        <w:tab/>
        <w:t xml:space="preserve">Pantaleoni’s conduct did </w:t>
      </w:r>
      <w:r w:rsidR="00B63A34">
        <w:t xml:space="preserve">not </w:t>
      </w:r>
      <w:r>
        <w:t xml:space="preserve">constitute a trust mill because it was not a repetitive practice.  “The classic trust mill situation is senior seminars for trust services and everybody walks out with an annuity.”  </w:t>
      </w:r>
      <w:r w:rsidR="00164EE2">
        <w:t xml:space="preserve">Pantaleoni met with Williams not to sell an annuity but on learning his situation thought he might benefit from </w:t>
      </w:r>
      <w:r w:rsidR="00B63A34">
        <w:t xml:space="preserve">an </w:t>
      </w:r>
      <w:r w:rsidR="00164EE2">
        <w:t>annuity.</w:t>
      </w:r>
    </w:p>
    <w:p w14:paraId="650AC4D0" w14:textId="2883A1E7" w:rsidR="007A2FCA" w:rsidRDefault="008B1EDE">
      <w:r>
        <w:tab/>
        <w:t xml:space="preserve">Nevonen was not surprised that the NWL annuity had a 13-year surrender period.  </w:t>
      </w:r>
      <w:r w:rsidR="004A56E6">
        <w:t>Actuaries require higher surrender charges in the early years of annuity because of the financial risk to the insurance</w:t>
      </w:r>
      <w:r w:rsidR="00010C15">
        <w:t xml:space="preserve"> company</w:t>
      </w:r>
      <w:r w:rsidR="004A56E6">
        <w:t xml:space="preserve"> that comes from early surrenders.</w:t>
      </w:r>
    </w:p>
    <w:p w14:paraId="7089DE22" w14:textId="27F7A8E9" w:rsidR="004A56E6" w:rsidRDefault="007A2FCA">
      <w:r>
        <w:lastRenderedPageBreak/>
        <w:tab/>
      </w:r>
      <w:r w:rsidR="004A56E6">
        <w:t xml:space="preserve">In doing a suitability review, NWL did not see </w:t>
      </w:r>
      <w:r w:rsidR="00890636">
        <w:t>Pantaleoni’</w:t>
      </w:r>
      <w:r w:rsidR="00822816">
        <w:t>s bad acts</w:t>
      </w:r>
      <w:r w:rsidR="004A56E6">
        <w:t>.  NWL assumed the suitability questionnaire was accurate.  The contractual responsibility of the agent was to ask</w:t>
      </w:r>
      <w:r>
        <w:t xml:space="preserve"> </w:t>
      </w:r>
      <w:r w:rsidR="004A56E6">
        <w:t xml:space="preserve">questions of </w:t>
      </w:r>
      <w:r w:rsidR="004429F3">
        <w:t>the applicant and accurately record the answers</w:t>
      </w:r>
      <w:r>
        <w:t xml:space="preserve"> in the application</w:t>
      </w:r>
      <w:r w:rsidR="004429F3">
        <w:t>.  For a senior, the particular focus is on liquid assets available</w:t>
      </w:r>
      <w:r w:rsidR="007E1C4C">
        <w:t xml:space="preserve"> after purchase of the annuity</w:t>
      </w:r>
      <w:r>
        <w:t>,</w:t>
      </w:r>
      <w:r w:rsidR="004429F3">
        <w:t xml:space="preserve"> so that if there is a change in </w:t>
      </w:r>
      <w:r w:rsidR="007E1C4C">
        <w:t xml:space="preserve">the annuitant’s </w:t>
      </w:r>
      <w:r w:rsidR="004429F3">
        <w:t xml:space="preserve">expenses the annuity does not have to be surrendered.  </w:t>
      </w:r>
      <w:r w:rsidR="004429F3" w:rsidRPr="00356593">
        <w:t>The application answered this question by stating Williams had $120,000 in liquid assets</w:t>
      </w:r>
      <w:r w:rsidR="004429F3">
        <w:t>.  There were inconsistences in the questionnaire but it d</w:t>
      </w:r>
      <w:r w:rsidR="00EA1D65">
        <w:t>id</w:t>
      </w:r>
      <w:r w:rsidR="004429F3">
        <w:t xml:space="preserve"> not have to be entirely consistent</w:t>
      </w:r>
      <w:r w:rsidR="00890636">
        <w:t xml:space="preserve">.  </w:t>
      </w:r>
      <w:r w:rsidR="00890636" w:rsidRPr="00356593">
        <w:t>The questionnaire need only show</w:t>
      </w:r>
      <w:r w:rsidR="004429F3" w:rsidRPr="00356593">
        <w:t xml:space="preserve"> a reasonable basis </w:t>
      </w:r>
      <w:r w:rsidR="00890636" w:rsidRPr="00356593">
        <w:t xml:space="preserve">to determine </w:t>
      </w:r>
      <w:r w:rsidR="004429F3" w:rsidRPr="00356593">
        <w:t>there to be enough liquidity</w:t>
      </w:r>
      <w:r w:rsidR="00890636" w:rsidRPr="00356593">
        <w:t xml:space="preserve"> to avoid </w:t>
      </w:r>
      <w:r w:rsidR="004429F3" w:rsidRPr="00356593">
        <w:t>early surrender from a change of circumstances.</w:t>
      </w:r>
    </w:p>
    <w:p w14:paraId="35139E60" w14:textId="78A55F96" w:rsidR="00900E8D" w:rsidRPr="00356593" w:rsidRDefault="00900E8D">
      <w:r>
        <w:tab/>
        <w:t>In forming his suitability opinion, Nevonen considered the product sold.  NWL’s guaranteed benefit withdrawal rider</w:t>
      </w:r>
      <w:r w:rsidR="008601E3">
        <w:t xml:space="preserve"> ha</w:t>
      </w:r>
      <w:r w:rsidR="00975157">
        <w:t>d</w:t>
      </w:r>
      <w:r w:rsidR="008601E3">
        <w:t xml:space="preserve"> </w:t>
      </w:r>
      <w:r w:rsidR="00F94CDB">
        <w:t xml:space="preserve">a </w:t>
      </w:r>
      <w:r w:rsidR="008601E3">
        <w:t>good reputation in the industry for being liberal and favorable to buyers, which ma</w:t>
      </w:r>
      <w:r w:rsidR="00975157">
        <w:t>de</w:t>
      </w:r>
      <w:r w:rsidR="008601E3">
        <w:t xml:space="preserve"> it a good choice for people who want to improve their income and still have surrender value.  </w:t>
      </w:r>
      <w:r>
        <w:t xml:space="preserve">The second NWL annuity sold to Williams had a guaranteed withdrawal benefit rider which would generate $7,200 annual income and also allowed him to withdraw 50 percent in 10 percent increments over time.  </w:t>
      </w:r>
      <w:r w:rsidRPr="00356593">
        <w:t>This was a more liberal benefit than the first annuity.</w:t>
      </w:r>
    </w:p>
    <w:p w14:paraId="3D4B5200" w14:textId="29066C93" w:rsidR="008601E3" w:rsidRDefault="008601E3">
      <w:r>
        <w:tab/>
        <w:t>Nevonen disagreed with Bordenave’s opinion that NWL was required to supply and obtain a copy of the 24</w:t>
      </w:r>
      <w:r w:rsidR="0079014C">
        <w:t>-</w:t>
      </w:r>
      <w:r>
        <w:t xml:space="preserve">hour notice.  </w:t>
      </w:r>
      <w:r w:rsidR="0079014C">
        <w:t xml:space="preserve">The notice </w:t>
      </w:r>
      <w:r w:rsidR="00975157">
        <w:t>was</w:t>
      </w:r>
      <w:r w:rsidR="0079014C">
        <w:t xml:space="preserve"> the agent’s responsibility</w:t>
      </w:r>
      <w:r w:rsidR="00975157">
        <w:t>.  The agent does the meeting and is required to keep a copy of the notice for seven years</w:t>
      </w:r>
      <w:r w:rsidR="007E1C4C">
        <w:t>,</w:t>
      </w:r>
      <w:r w:rsidR="00975157">
        <w:t xml:space="preserve"> even where no sale results</w:t>
      </w:r>
      <w:r w:rsidR="0079014C">
        <w:t xml:space="preserve">.  </w:t>
      </w:r>
      <w:r>
        <w:t>The custom and practice</w:t>
      </w:r>
      <w:r w:rsidR="00975157">
        <w:t xml:space="preserve"> was</w:t>
      </w:r>
      <w:r>
        <w:t xml:space="preserve"> for insurance companies to make agents aware of the requirement.</w:t>
      </w:r>
    </w:p>
    <w:p w14:paraId="163E3FA9" w14:textId="2A4AF814" w:rsidR="00561FD6" w:rsidRDefault="00561FD6">
      <w:r>
        <w:tab/>
        <w:t xml:space="preserve">There is no requirement that an insurance company’s name be on an agent’s card presented to a senior.  </w:t>
      </w:r>
      <w:r w:rsidR="00EA1D65">
        <w:t>An</w:t>
      </w:r>
      <w:r>
        <w:t xml:space="preserve"> agent might be offering several companies’ products.</w:t>
      </w:r>
    </w:p>
    <w:p w14:paraId="27BF76AC" w14:textId="69C4B092" w:rsidR="00561FD6" w:rsidRDefault="00561FD6">
      <w:r>
        <w:tab/>
        <w:t xml:space="preserve">The letter cancelling the first annuity voided the policy.  </w:t>
      </w:r>
      <w:r w:rsidR="00975157">
        <w:t>It is fairly common for people to change their minds</w:t>
      </w:r>
      <w:r w:rsidR="007E1C4C">
        <w:t xml:space="preserve"> about a policy</w:t>
      </w:r>
      <w:r w:rsidR="00975157">
        <w:t xml:space="preserve">.  </w:t>
      </w:r>
      <w:r w:rsidR="00975157" w:rsidRPr="00356593">
        <w:t>The change from the first annuity to the second annuity made objective sense</w:t>
      </w:r>
      <w:r w:rsidR="0063291E" w:rsidRPr="00356593">
        <w:t xml:space="preserve"> since the withdrawal benefit rider increase</w:t>
      </w:r>
      <w:r w:rsidR="00F94CDB" w:rsidRPr="000E7A0C">
        <w:t>d</w:t>
      </w:r>
      <w:r w:rsidR="0063291E" w:rsidRPr="00356593">
        <w:t xml:space="preserve"> the </w:t>
      </w:r>
      <w:r w:rsidR="0063291E" w:rsidRPr="00356593">
        <w:lastRenderedPageBreak/>
        <w:t xml:space="preserve">payout.  </w:t>
      </w:r>
      <w:r w:rsidRPr="00356593">
        <w:t>The $100,000 should</w:t>
      </w:r>
      <w:r w:rsidR="0079014C" w:rsidRPr="00356593">
        <w:t xml:space="preserve"> have been</w:t>
      </w:r>
      <w:r>
        <w:t xml:space="preserve"> sent back promptly unless there </w:t>
      </w:r>
      <w:r w:rsidR="0079014C">
        <w:t>was</w:t>
      </w:r>
      <w:r>
        <w:t xml:space="preserve"> a written direction from the buyer that he want</w:t>
      </w:r>
      <w:r w:rsidR="0079014C">
        <w:t>ed</w:t>
      </w:r>
      <w:r>
        <w:t xml:space="preserve"> a different policy.  </w:t>
      </w:r>
      <w:r w:rsidR="00F40DB1">
        <w:t xml:space="preserve">The notice to Pantaleoni that he had five days to preserve the business </w:t>
      </w:r>
      <w:r w:rsidR="00E66E8F">
        <w:t>was</w:t>
      </w:r>
      <w:r w:rsidR="0063291E">
        <w:t xml:space="preserve"> not just to preserve the business but was also</w:t>
      </w:r>
      <w:r w:rsidR="00F40DB1">
        <w:t xml:space="preserve"> a heads up to check in with the client.  Often </w:t>
      </w:r>
      <w:r w:rsidR="007E1C4C">
        <w:t xml:space="preserve">a different </w:t>
      </w:r>
      <w:r w:rsidR="00F40DB1">
        <w:t>agent will offer a customer an annuity during the 30-day free look period, describing it as a better deal</w:t>
      </w:r>
      <w:r w:rsidR="0079014C">
        <w:t>.  The</w:t>
      </w:r>
      <w:r w:rsidR="00F40DB1">
        <w:t xml:space="preserve"> first agent will not </w:t>
      </w:r>
      <w:r w:rsidR="00021E1F">
        <w:t xml:space="preserve">know </w:t>
      </w:r>
      <w:r w:rsidR="00F40DB1">
        <w:t>what has happened</w:t>
      </w:r>
      <w:r w:rsidR="0079014C">
        <w:t>,</w:t>
      </w:r>
      <w:r w:rsidR="00F40DB1">
        <w:t xml:space="preserve"> and the insurance company only</w:t>
      </w:r>
      <w:r w:rsidR="007E1C4C">
        <w:t xml:space="preserve"> will know</w:t>
      </w:r>
      <w:r w:rsidR="00F40DB1">
        <w:t xml:space="preserve"> the annuity was surrendered.</w:t>
      </w:r>
    </w:p>
    <w:p w14:paraId="565DA733" w14:textId="6932CEB6" w:rsidR="00F40DB1" w:rsidRDefault="00F40DB1">
      <w:r>
        <w:tab/>
        <w:t>Nevonen disagreed with negative co</w:t>
      </w:r>
      <w:r w:rsidR="00781CD3">
        <w:t>mments about</w:t>
      </w:r>
      <w:r>
        <w:t xml:space="preserve"> the</w:t>
      </w:r>
      <w:r w:rsidR="00E66E8F">
        <w:t xml:space="preserve"> handwritten</w:t>
      </w:r>
      <w:r>
        <w:t xml:space="preserve"> letter instructing NWL to keep the policy</w:t>
      </w:r>
      <w:r w:rsidR="00781CD3">
        <w:t>.  Agents meeting with people do not have computers.  A handwritten note is more likely to</w:t>
      </w:r>
      <w:r w:rsidR="00675A9D">
        <w:t xml:space="preserve"> be</w:t>
      </w:r>
      <w:r w:rsidR="00EA1D65">
        <w:t xml:space="preserve"> performed</w:t>
      </w:r>
      <w:r w:rsidR="00781CD3">
        <w:t xml:space="preserve"> with the knowledge and consent of the applicant than a type</w:t>
      </w:r>
      <w:r w:rsidR="00E66E8F">
        <w:t>d</w:t>
      </w:r>
      <w:r w:rsidR="00781CD3">
        <w:t xml:space="preserve"> letter.  The fact that the note was handwritten </w:t>
      </w:r>
      <w:r w:rsidR="0079014C">
        <w:t>was</w:t>
      </w:r>
      <w:r w:rsidR="00781CD3">
        <w:t xml:space="preserve"> a positive indication that it represent</w:t>
      </w:r>
      <w:r w:rsidR="0079014C">
        <w:t>ed</w:t>
      </w:r>
      <w:r w:rsidR="00781CD3">
        <w:t xml:space="preserve"> Williams’ actual decision.</w:t>
      </w:r>
    </w:p>
    <w:p w14:paraId="0E66EA48" w14:textId="098159B9" w:rsidR="0090587B" w:rsidRDefault="00675A9D">
      <w:r>
        <w:tab/>
        <w:t xml:space="preserve">The April 5, 2017 letter from Starr was a mixed and unclear request for service </w:t>
      </w:r>
      <w:r w:rsidR="0079014C">
        <w:t xml:space="preserve">to process </w:t>
      </w:r>
      <w:r>
        <w:t xml:space="preserve">surrender of the policy combined </w:t>
      </w:r>
      <w:r w:rsidR="00E66E8F">
        <w:t xml:space="preserve">with </w:t>
      </w:r>
      <w:r>
        <w:t>complaint language.  Nevonen was not surprised the letter went to the service department instead of the compliance department because the letter opened and closed with a request for service.  Williams did not put NWL on notice of a problem that need</w:t>
      </w:r>
      <w:r w:rsidR="0079014C">
        <w:t>ed</w:t>
      </w:r>
      <w:r>
        <w:t xml:space="preserve"> to be addressed.  </w:t>
      </w:r>
      <w:r w:rsidR="00687779">
        <w:t xml:space="preserve">Williams did not complain at the time about Pantaleoni’s selling practices because he liked the interest in the annuity.  </w:t>
      </w:r>
      <w:r w:rsidR="00687779" w:rsidRPr="00356593">
        <w:t>Starr handled the surrender properly but mishandled the complaint.</w:t>
      </w:r>
    </w:p>
    <w:p w14:paraId="41BD5654" w14:textId="54C90C41" w:rsidR="00675A9D" w:rsidRDefault="0090587B">
      <w:r>
        <w:tab/>
      </w:r>
      <w:r w:rsidR="00675A9D">
        <w:t xml:space="preserve">The </w:t>
      </w:r>
      <w:r w:rsidR="00AE04F0">
        <w:t>Ziebell</w:t>
      </w:r>
      <w:r w:rsidR="00675A9D">
        <w:t xml:space="preserve"> letter was responsive to the</w:t>
      </w:r>
      <w:r>
        <w:t xml:space="preserve"> demand letter from Cole based on her reading of the file.  There was no documentation that Williams was demanding an investigation of Pantaleoni or return of surrender charges.</w:t>
      </w:r>
    </w:p>
    <w:p w14:paraId="42B2DFF7" w14:textId="4D1800BA" w:rsidR="001F62F2" w:rsidRDefault="0090587B" w:rsidP="00BD0540">
      <w:pPr>
        <w:keepNext/>
      </w:pPr>
      <w:r>
        <w:tab/>
      </w:r>
      <w:r w:rsidR="001F62F2">
        <w:tab/>
      </w:r>
      <w:r w:rsidR="001F62F2">
        <w:rPr>
          <w:b/>
          <w:bCs/>
        </w:rPr>
        <w:t>b.</w:t>
      </w:r>
      <w:r w:rsidR="001F62F2">
        <w:rPr>
          <w:b/>
          <w:bCs/>
        </w:rPr>
        <w:tab/>
        <w:t>Juanita Statler Z</w:t>
      </w:r>
      <w:r w:rsidR="00AE04F0">
        <w:rPr>
          <w:b/>
          <w:bCs/>
        </w:rPr>
        <w:t>ie</w:t>
      </w:r>
      <w:r w:rsidR="001F62F2">
        <w:rPr>
          <w:b/>
          <w:bCs/>
        </w:rPr>
        <w:t>bell</w:t>
      </w:r>
    </w:p>
    <w:p w14:paraId="7BAA1D15" w14:textId="3FE7FFAA" w:rsidR="002154A8" w:rsidRDefault="001F62F2" w:rsidP="009B5988">
      <w:r>
        <w:tab/>
      </w:r>
      <w:r w:rsidR="009B5988">
        <w:t xml:space="preserve">Beginning in March 2015, Ziebell was in </w:t>
      </w:r>
      <w:r w:rsidR="002E78AD">
        <w:t>the compl</w:t>
      </w:r>
      <w:r w:rsidR="002154A8">
        <w:t>iance</w:t>
      </w:r>
      <w:r w:rsidR="002E78AD">
        <w:t xml:space="preserve"> department</w:t>
      </w:r>
      <w:r w:rsidR="009B5988">
        <w:t xml:space="preserve"> </w:t>
      </w:r>
      <w:r w:rsidR="002154A8">
        <w:t>at</w:t>
      </w:r>
      <w:r w:rsidR="009B5988">
        <w:t xml:space="preserve"> NWL.</w:t>
      </w:r>
    </w:p>
    <w:p w14:paraId="693C58E8" w14:textId="5E1DF48B" w:rsidR="009B5988" w:rsidRDefault="002154A8" w:rsidP="009B5988">
      <w:r>
        <w:tab/>
      </w:r>
      <w:r w:rsidR="00554DB8">
        <w:t xml:space="preserve">The August 28, 2017 letter from Cole and Williams was a request for copies of documents.  Ziebell </w:t>
      </w:r>
      <w:r w:rsidR="00F80F69">
        <w:t xml:space="preserve">had </w:t>
      </w:r>
      <w:r w:rsidR="007E1C4C">
        <w:t xml:space="preserve">received </w:t>
      </w:r>
      <w:r w:rsidR="00F80F69">
        <w:t xml:space="preserve">a request for documents but </w:t>
      </w:r>
      <w:r w:rsidR="00554DB8">
        <w:t xml:space="preserve">did not have </w:t>
      </w:r>
      <w:r w:rsidR="00B54001">
        <w:t xml:space="preserve">a </w:t>
      </w:r>
      <w:r w:rsidR="00554DB8">
        <w:t>specific complaint</w:t>
      </w:r>
      <w:r w:rsidR="00F80F69">
        <w:t xml:space="preserve">, </w:t>
      </w:r>
      <w:r w:rsidR="00554DB8">
        <w:t xml:space="preserve">so she was generally looking at the file.  </w:t>
      </w:r>
      <w:r w:rsidR="009B5988">
        <w:t>S</w:t>
      </w:r>
      <w:r w:rsidR="00EC34B1">
        <w:t xml:space="preserve">ince the </w:t>
      </w:r>
      <w:r w:rsidR="00B740C3">
        <w:t>April 5, 2017</w:t>
      </w:r>
      <w:r w:rsidR="00EC34B1">
        <w:t xml:space="preserve"> letter was</w:t>
      </w:r>
      <w:r>
        <w:t xml:space="preserve"> </w:t>
      </w:r>
      <w:r>
        <w:lastRenderedPageBreak/>
        <w:t>also</w:t>
      </w:r>
      <w:r w:rsidR="00EC34B1">
        <w:t xml:space="preserve"> </w:t>
      </w:r>
      <w:r w:rsidR="00EF05CD">
        <w:t>in the file</w:t>
      </w:r>
      <w:r w:rsidR="00EC34B1">
        <w:t xml:space="preserve">, in </w:t>
      </w:r>
      <w:r w:rsidR="009B5988">
        <w:t xml:space="preserve">Ziebell’s </w:t>
      </w:r>
      <w:r w:rsidR="00EC34B1">
        <w:t>opinion the August 28, 2017 letter was a complaint</w:t>
      </w:r>
      <w:r w:rsidR="00F12240">
        <w:t>.</w:t>
      </w:r>
      <w:r w:rsidR="00EC34B1">
        <w:t xml:space="preserve">  </w:t>
      </w:r>
      <w:r w:rsidR="00F12240">
        <w:t xml:space="preserve">Ziebell testified that it </w:t>
      </w:r>
      <w:r w:rsidR="00F94CDB">
        <w:t xml:space="preserve">sometimes </w:t>
      </w:r>
      <w:r w:rsidR="00F12240">
        <w:t xml:space="preserve">happens that an </w:t>
      </w:r>
      <w:r w:rsidR="007E1C4C">
        <w:t xml:space="preserve">initial </w:t>
      </w:r>
      <w:r w:rsidR="00F12240">
        <w:t>expression of dissatisfaction is followed by a letter from an attorney.</w:t>
      </w:r>
    </w:p>
    <w:p w14:paraId="2444B5D8" w14:textId="21E4BFE5" w:rsidR="00F12240" w:rsidRDefault="00F12240" w:rsidP="009B5988">
      <w:r>
        <w:tab/>
        <w:t xml:space="preserve">In handling the complaint in 2017, Ziebell reviewed the initial annuity application.  All of the documents in the file appeared to be properly signed.  The signature was distinctive.  </w:t>
      </w:r>
      <w:r w:rsidRPr="00356593">
        <w:t xml:space="preserve">The check was in the file.  It did not look suspicious or forged.  It did not occur to Ziebell that the check might be filled out after it was signed. </w:t>
      </w:r>
      <w:r>
        <w:t xml:space="preserve"> Ziebell went by the signature on the first application and from that point was looking for consistencies or inconsistencies in signatures.</w:t>
      </w:r>
    </w:p>
    <w:p w14:paraId="7783F4CF" w14:textId="12652B83" w:rsidR="006E1AC2" w:rsidRDefault="006E1AC2" w:rsidP="009B5988">
      <w:r>
        <w:tab/>
        <w:t>The April 5, 2017 letter in the file contained complaint language.  Ziebell did not form the impression from the letter that the policy holder did not know they owned the policy at the time the letter was written.  The letter requested surrender of the annuity and NWL did that for Williams.  Ziebell did not believe the agent had successfully interfered with the initial cancellation because Williams cancelled the policy himself.  Both the initial cancellation and surrender of the second policy were effectuated successfully.  Ziebell believed Williams had requested the second policy and wanted to surrender it because the policy had been in force for a year.</w:t>
      </w:r>
    </w:p>
    <w:p w14:paraId="02770F2E" w14:textId="7AAB158F" w:rsidR="00EC34B1" w:rsidRDefault="00EC34B1" w:rsidP="00EC34B1">
      <w:r>
        <w:tab/>
      </w:r>
      <w:r w:rsidR="00065560">
        <w:t>Ziebell provided some narrative in her letter response because</w:t>
      </w:r>
      <w:r w:rsidR="00F80F69">
        <w:t>,</w:t>
      </w:r>
      <w:r w:rsidR="00065560">
        <w:t xml:space="preserve"> when</w:t>
      </w:r>
      <w:r w:rsidR="00F80F69">
        <w:t xml:space="preserve"> an</w:t>
      </w:r>
      <w:r w:rsidR="00065560">
        <w:t xml:space="preserve"> annuity has been surrendered, it was her standard practice to point out the benefits of the annuity.  </w:t>
      </w:r>
      <w:r>
        <w:t>Ziebell sent the requested documents by Federal Express.</w:t>
      </w:r>
    </w:p>
    <w:p w14:paraId="276CF5A6" w14:textId="346E47F9" w:rsidR="00483762" w:rsidRDefault="00EC34B1" w:rsidP="00B740C3">
      <w:r>
        <w:tab/>
      </w:r>
      <w:r w:rsidR="00F12240">
        <w:t>Ziebell testified that m</w:t>
      </w:r>
      <w:r>
        <w:t xml:space="preserve">ostly NWL receives a letter stating a specific complaint.  </w:t>
      </w:r>
      <w:r w:rsidR="006E1AC2">
        <w:t xml:space="preserve">Ziebell responded to </w:t>
      </w:r>
      <w:r w:rsidR="00021E1F">
        <w:t xml:space="preserve">the </w:t>
      </w:r>
      <w:r w:rsidR="006E1AC2">
        <w:t>August 28, 2017</w:t>
      </w:r>
      <w:r w:rsidR="00021E1F">
        <w:t xml:space="preserve"> letter</w:t>
      </w:r>
      <w:r w:rsidR="006E1AC2">
        <w:t xml:space="preserve"> with some narrative instead of just sending the requested documents, because </w:t>
      </w:r>
      <w:r>
        <w:t xml:space="preserve">NWL </w:t>
      </w:r>
      <w:r w:rsidR="006E1AC2">
        <w:t>tries</w:t>
      </w:r>
      <w:r>
        <w:t xml:space="preserve"> to explain the benefits of the annuity to the client, which sometimes helps the client to reply.  NWL sets the matter for a follow</w:t>
      </w:r>
      <w:r w:rsidR="00EB5FD5">
        <w:t>-</w:t>
      </w:r>
      <w:r>
        <w:t>up in the system if there is a reply to get more information.  The system has a 30-day review set up automatically.  Ziebell</w:t>
      </w:r>
      <w:r w:rsidR="00F12240">
        <w:t xml:space="preserve"> will</w:t>
      </w:r>
      <w:r>
        <w:t xml:space="preserve"> look</w:t>
      </w:r>
      <w:r w:rsidR="00F12240">
        <w:t xml:space="preserve"> </w:t>
      </w:r>
      <w:r>
        <w:t xml:space="preserve">at the file to see if there is a </w:t>
      </w:r>
      <w:r>
        <w:lastRenderedPageBreak/>
        <w:t>response from the client and then NWL gives it another 30 days.  That would have happened twice after Ziebell wrote her letter.</w:t>
      </w:r>
    </w:p>
    <w:p w14:paraId="6B5DF095" w14:textId="718AA20A" w:rsidR="00B740C3" w:rsidRDefault="00483762" w:rsidP="00B740C3">
      <w:r>
        <w:tab/>
      </w:r>
      <w:r w:rsidR="00B740C3">
        <w:t>This file was unusual because most of the ti</w:t>
      </w:r>
      <w:r>
        <w:t>me</w:t>
      </w:r>
      <w:r w:rsidR="00B740C3">
        <w:t xml:space="preserve"> she </w:t>
      </w:r>
      <w:r w:rsidR="000D70C4">
        <w:t xml:space="preserve">would </w:t>
      </w:r>
      <w:r w:rsidR="00B740C3">
        <w:t xml:space="preserve">get a reply with more details about the grievance.  </w:t>
      </w:r>
      <w:r>
        <w:t xml:space="preserve">Ziebell was hoping for a reply explaining the nature of the grievance.  </w:t>
      </w:r>
      <w:r w:rsidR="00953F06">
        <w:t>Ziebell’s letter</w:t>
      </w:r>
      <w:r w:rsidR="005109D1">
        <w:t xml:space="preserve"> gave a telephone number</w:t>
      </w:r>
      <w:r w:rsidR="00953F06">
        <w:t xml:space="preserve"> </w:t>
      </w:r>
      <w:r w:rsidR="005109D1">
        <w:t xml:space="preserve">to </w:t>
      </w:r>
      <w:r w:rsidR="00953F06">
        <w:t xml:space="preserve">contact Ziebell or the NWL client services department with any further questions.  </w:t>
      </w:r>
      <w:r w:rsidR="005109D1">
        <w:t xml:space="preserve">More often than not the client will call the number.  </w:t>
      </w:r>
      <w:r w:rsidR="006E1AC2">
        <w:t>Ziebell was not trying to resolve the entire complaint process with her letter</w:t>
      </w:r>
      <w:r w:rsidR="007E1C4C">
        <w:t>,</w:t>
      </w:r>
      <w:r w:rsidR="006E1AC2">
        <w:t xml:space="preserve"> but rather to make a record of what she saw in the file so Williams could address it.</w:t>
      </w:r>
    </w:p>
    <w:p w14:paraId="62A4DC66" w14:textId="62018348" w:rsidR="00807D12" w:rsidRDefault="00EC34B1">
      <w:r>
        <w:tab/>
      </w:r>
      <w:r w:rsidR="00807D12">
        <w:t>In reviewing the file, Ziebell saw there was a blank</w:t>
      </w:r>
      <w:r w:rsidR="00C4392C">
        <w:t xml:space="preserve"> delivery</w:t>
      </w:r>
      <w:r w:rsidR="00807D12">
        <w:t xml:space="preserve"> receipt.  It did not cross her mind that </w:t>
      </w:r>
      <w:r w:rsidR="00B740C3">
        <w:t>Williams</w:t>
      </w:r>
      <w:r w:rsidR="00807D12">
        <w:t xml:space="preserve"> did not rec</w:t>
      </w:r>
      <w:r w:rsidR="00B740C3">
        <w:t>ei</w:t>
      </w:r>
      <w:r w:rsidR="00807D12">
        <w:t>ve the policy</w:t>
      </w:r>
      <w:r w:rsidR="000A1941">
        <w:t>,</w:t>
      </w:r>
      <w:r w:rsidR="00807D12">
        <w:t xml:space="preserve"> because he had surrendered it.  </w:t>
      </w:r>
      <w:r w:rsidR="00AF42A3">
        <w:t>Applicants also received a welcome letter with an offer for a PIN and an interest letter on the anniversary of the policy.</w:t>
      </w:r>
    </w:p>
    <w:p w14:paraId="4F500625" w14:textId="3574D9FB" w:rsidR="00004F73" w:rsidRDefault="00004F73">
      <w:r>
        <w:tab/>
        <w:t xml:space="preserve">On cross-examination by Pantaleoni, Ziebell testified </w:t>
      </w:r>
      <w:r w:rsidR="000A1941">
        <w:t xml:space="preserve">she </w:t>
      </w:r>
      <w:r>
        <w:t>retained the April 5, 2017 letter from Starr in the file</w:t>
      </w:r>
      <w:r w:rsidR="000A1941">
        <w:t>,</w:t>
      </w:r>
      <w:r>
        <w:t xml:space="preserve"> but did not reach out to Williams to address it because the annuity had already been surrendered.</w:t>
      </w:r>
    </w:p>
    <w:p w14:paraId="7853E894" w14:textId="540BB331" w:rsidR="000A1941" w:rsidRDefault="00004F73" w:rsidP="000A1941">
      <w:r>
        <w:tab/>
        <w:t xml:space="preserve">On cross-examination by </w:t>
      </w:r>
      <w:r w:rsidR="006116A6">
        <w:t>Williams</w:t>
      </w:r>
      <w:r>
        <w:t xml:space="preserve">, Ziebell confirmed that </w:t>
      </w:r>
      <w:r w:rsidR="00FE5536">
        <w:t xml:space="preserve">she </w:t>
      </w:r>
      <w:r w:rsidR="00AF42A3">
        <w:t xml:space="preserve">was </w:t>
      </w:r>
      <w:r w:rsidR="00FE5536">
        <w:t>follow</w:t>
      </w:r>
      <w:r w:rsidR="00AF42A3">
        <w:t>ing</w:t>
      </w:r>
      <w:r w:rsidR="00FE5536">
        <w:t xml:space="preserve"> the specific procedures for complaints from California in April 2017 and would do an investigation in response to a complaint.  </w:t>
      </w:r>
      <w:r w:rsidR="000A1941">
        <w:t>She admitted that t</w:t>
      </w:r>
      <w:r w:rsidR="00FE5536">
        <w:t>he compliance department did not review the April 5, 2017 letter at the time</w:t>
      </w:r>
      <w:r w:rsidR="00FC09F4">
        <w:t xml:space="preserve"> or contact Williams to request documentation.  </w:t>
      </w:r>
      <w:r w:rsidR="000A1941">
        <w:t xml:space="preserve">The April 5, 2017 </w:t>
      </w:r>
      <w:r w:rsidR="000D70C4">
        <w:t xml:space="preserve">letter </w:t>
      </w:r>
      <w:r w:rsidR="000A1941">
        <w:t xml:space="preserve">did not go to the compliance department but to the surrender department.  Surrender </w:t>
      </w:r>
      <w:r w:rsidR="002154A8">
        <w:t xml:space="preserve">was </w:t>
      </w:r>
      <w:r w:rsidR="000A1941">
        <w:t>a priority.</w:t>
      </w:r>
    </w:p>
    <w:p w14:paraId="7D8C4A80" w14:textId="387BDF7D" w:rsidR="003E37AC" w:rsidRDefault="00955FE7" w:rsidP="00BD0540">
      <w:pPr>
        <w:keepNext/>
        <w:rPr>
          <w:b/>
          <w:bCs/>
        </w:rPr>
      </w:pPr>
      <w:r>
        <w:tab/>
      </w:r>
      <w:r w:rsidR="003E37AC">
        <w:tab/>
      </w:r>
      <w:r w:rsidR="003E37AC">
        <w:rPr>
          <w:b/>
          <w:bCs/>
        </w:rPr>
        <w:t>c.</w:t>
      </w:r>
      <w:r w:rsidR="003E37AC">
        <w:rPr>
          <w:b/>
          <w:bCs/>
        </w:rPr>
        <w:tab/>
        <w:t>Diamantina Courson</w:t>
      </w:r>
    </w:p>
    <w:p w14:paraId="68B8982B" w14:textId="7EDFE1C3" w:rsidR="003E37AC" w:rsidRDefault="003E37AC">
      <w:r>
        <w:tab/>
      </w:r>
      <w:r w:rsidR="0089406B">
        <w:t xml:space="preserve">Diamantina </w:t>
      </w:r>
      <w:r w:rsidR="001F6E32">
        <w:t>Courson</w:t>
      </w:r>
      <w:r w:rsidR="00065560">
        <w:t>,</w:t>
      </w:r>
      <w:r w:rsidR="0089406B">
        <w:t xml:space="preserve"> currently the high</w:t>
      </w:r>
      <w:r w:rsidR="00065560">
        <w:t>est</w:t>
      </w:r>
      <w:r w:rsidR="0089406B">
        <w:t xml:space="preserve"> ranking person in licensing at NWL</w:t>
      </w:r>
      <w:r w:rsidR="00065560">
        <w:t>, testified to the basic functions and procedures of the licensing department</w:t>
      </w:r>
      <w:r w:rsidR="0089406B">
        <w:t>.  NWL operates in 49 states and Puerto Rico, Guam and the Virgin Islands.  NWL has about 20,000 agents.</w:t>
      </w:r>
    </w:p>
    <w:p w14:paraId="712CE48C" w14:textId="7FDBA9FF" w:rsidR="00AE43F0" w:rsidRDefault="00AE43F0">
      <w:r>
        <w:lastRenderedPageBreak/>
        <w:tab/>
        <w:t>On cross-examination by</w:t>
      </w:r>
      <w:r w:rsidR="0066322A">
        <w:t xml:space="preserve"> </w:t>
      </w:r>
      <w:r w:rsidR="006116A6">
        <w:t>Williams</w:t>
      </w:r>
      <w:r>
        <w:t xml:space="preserve">, </w:t>
      </w:r>
      <w:r w:rsidR="007A2834">
        <w:t>Courson</w:t>
      </w:r>
      <w:r>
        <w:t xml:space="preserve"> testified that </w:t>
      </w:r>
      <w:r w:rsidR="00DE6C02">
        <w:t xml:space="preserve">the legal department makes the decision to terminate an agent for misconduct or unlawful conduct.  Licensing staff are not trained to look for agent complaints.  If there is a complaint, it goes to the complaint department.  </w:t>
      </w:r>
      <w:r w:rsidR="00065560">
        <w:t>L</w:t>
      </w:r>
      <w:r>
        <w:t>icensing would want to know if a</w:t>
      </w:r>
      <w:r w:rsidR="00065560">
        <w:t>n</w:t>
      </w:r>
      <w:r>
        <w:t xml:space="preserve"> agent was in trouble or had done something unlawful, but would not get the information unless it was sent to licensing.  </w:t>
      </w:r>
      <w:r w:rsidR="00C608E9">
        <w:t xml:space="preserve">A report goes to licensing </w:t>
      </w:r>
      <w:r>
        <w:t xml:space="preserve">where information </w:t>
      </w:r>
      <w:r w:rsidR="00C608E9">
        <w:t xml:space="preserve">is </w:t>
      </w:r>
      <w:r>
        <w:t>received by compliance.</w:t>
      </w:r>
    </w:p>
    <w:p w14:paraId="396CB2FF" w14:textId="17A2B5B8" w:rsidR="00DE6C02" w:rsidRDefault="00DE6C02">
      <w:r>
        <w:tab/>
      </w:r>
      <w:r w:rsidR="007A2834">
        <w:t xml:space="preserve">Courson testified that </w:t>
      </w:r>
      <w:r>
        <w:t>NWL procedure is to do a background check when newly contracting with the agent.  The background check</w:t>
      </w:r>
      <w:r w:rsidR="00107AF0">
        <w:t xml:space="preserve"> would not include looking for a bankruptcy</w:t>
      </w:r>
      <w:r>
        <w:t xml:space="preserve">.  NWL would have run a background check on Pantaleoni when he first appointed in 2005.  </w:t>
      </w:r>
      <w:r w:rsidR="00107AF0">
        <w:t>NWL did</w:t>
      </w:r>
      <w:r>
        <w:t xml:space="preserve"> not run a background check on Pantaleoni at the time of his new contract in 2013.</w:t>
      </w:r>
    </w:p>
    <w:p w14:paraId="7E042740" w14:textId="2168998D" w:rsidR="009E0893" w:rsidRDefault="009E0893">
      <w:r>
        <w:tab/>
        <w:t>In January 2016</w:t>
      </w:r>
      <w:r w:rsidR="006116A6">
        <w:t>,</w:t>
      </w:r>
      <w:r>
        <w:t xml:space="preserve"> when NWL learned that Pantaleoni had been the subject of enforcement action and had been placed on a restricted license, NWL would</w:t>
      </w:r>
      <w:r w:rsidR="00065560">
        <w:t xml:space="preserve"> go to</w:t>
      </w:r>
      <w:r>
        <w:t xml:space="preserve"> DOI to check to see if the license was active and what the enforcement notice </w:t>
      </w:r>
      <w:r w:rsidR="00065560">
        <w:t>concerned</w:t>
      </w:r>
      <w:r>
        <w:t>.  DOI would tell NWL</w:t>
      </w:r>
      <w:r w:rsidR="00042426">
        <w:t xml:space="preserve"> </w:t>
      </w:r>
      <w:r w:rsidR="003E3358">
        <w:t>if</w:t>
      </w:r>
      <w:r>
        <w:t xml:space="preserve"> the enforcement action had been resolved.  DOI would give background information from the enforcement documents only if NWL asked for it.  Courson did know if NWL had asked for this information.</w:t>
      </w:r>
    </w:p>
    <w:p w14:paraId="236ED0FE" w14:textId="6F1EDBF7" w:rsidR="0081135B" w:rsidRPr="0081135B" w:rsidRDefault="001F6E32" w:rsidP="00BD0540">
      <w:pPr>
        <w:keepNext/>
        <w:rPr>
          <w:b/>
          <w:bCs/>
        </w:rPr>
      </w:pPr>
      <w:r>
        <w:tab/>
      </w:r>
      <w:r w:rsidR="00E31426">
        <w:rPr>
          <w:b/>
          <w:bCs/>
        </w:rPr>
        <w:tab/>
      </w:r>
      <w:r w:rsidR="006D0C50">
        <w:rPr>
          <w:b/>
          <w:bCs/>
        </w:rPr>
        <w:t>d</w:t>
      </w:r>
      <w:r w:rsidR="00E31426">
        <w:rPr>
          <w:b/>
          <w:bCs/>
        </w:rPr>
        <w:t>.</w:t>
      </w:r>
      <w:r w:rsidR="00E31426">
        <w:rPr>
          <w:b/>
          <w:bCs/>
        </w:rPr>
        <w:tab/>
      </w:r>
      <w:r w:rsidR="0081135B">
        <w:rPr>
          <w:b/>
          <w:bCs/>
        </w:rPr>
        <w:t>Ayanna Burns</w:t>
      </w:r>
    </w:p>
    <w:p w14:paraId="50609D14" w14:textId="2BD43290" w:rsidR="00CC625B" w:rsidRDefault="00E31426">
      <w:r>
        <w:tab/>
      </w:r>
      <w:r w:rsidR="00786BE9">
        <w:t xml:space="preserve">On </w:t>
      </w:r>
      <w:r w:rsidR="004E6462">
        <w:t>defense</w:t>
      </w:r>
      <w:r w:rsidR="00786BE9">
        <w:t xml:space="preserve"> for NWL</w:t>
      </w:r>
      <w:r w:rsidR="004E6462">
        <w:t xml:space="preserve">, </w:t>
      </w:r>
      <w:r w:rsidR="00CC625B">
        <w:t>Burns testified that she reviewed the annuity transaction with Williams</w:t>
      </w:r>
      <w:r w:rsidR="003E3358">
        <w:t xml:space="preserve"> for conformity with company policies and standards on suitability</w:t>
      </w:r>
      <w:r w:rsidR="00CC625B">
        <w:t xml:space="preserve"> and it appeared </w:t>
      </w:r>
      <w:r w:rsidR="00BF2AB2">
        <w:t xml:space="preserve">to </w:t>
      </w:r>
      <w:r w:rsidR="00CC625B">
        <w:t>be suitable based on the documents the company received.  There were no signs that Williams’ signature was forged or other red flags as to suitability.  The answers provided in the suitability questionnaire and other documents looked in line for Williams’ age</w:t>
      </w:r>
      <w:r w:rsidR="006D01B0">
        <w:t>, what he was looking for, and the additional benefits he was receiving.</w:t>
      </w:r>
    </w:p>
    <w:p w14:paraId="29D054D7" w14:textId="3AC6DF53" w:rsidR="00A90DD3" w:rsidRDefault="006D01B0" w:rsidP="00A90DD3">
      <w:r>
        <w:tab/>
      </w:r>
      <w:r w:rsidR="00A90DD3">
        <w:t>On cross-examination by</w:t>
      </w:r>
      <w:r w:rsidR="00786BE9">
        <w:t xml:space="preserve"> </w:t>
      </w:r>
      <w:r w:rsidR="006116A6">
        <w:t>Williams</w:t>
      </w:r>
      <w:r w:rsidR="00A90DD3">
        <w:t>, Burns confirmed that NWL uses a score sheet to document and determine suitability.  A score equal to</w:t>
      </w:r>
      <w:r w:rsidR="003E3358">
        <w:t xml:space="preserve"> or</w:t>
      </w:r>
      <w:r w:rsidR="00A90DD3">
        <w:t xml:space="preserve"> greater than 10 would require documentation by the suitability reviewer as to why the product is still deemed suitable.  </w:t>
      </w:r>
      <w:r w:rsidR="00A90DD3">
        <w:lastRenderedPageBreak/>
        <w:t>NWL did not have the score sheet for Williams because it was changing systems and the results were loaded into the new system</w:t>
      </w:r>
      <w:r w:rsidR="0066322A">
        <w:t>.  T</w:t>
      </w:r>
      <w:r w:rsidR="00A90DD3">
        <w:t>here was no need to keep the actual score sheet.</w:t>
      </w:r>
    </w:p>
    <w:p w14:paraId="7C02F1B3" w14:textId="55D632B5" w:rsidR="00A90DD3" w:rsidRDefault="00A90DD3" w:rsidP="00A90DD3">
      <w:r>
        <w:tab/>
        <w:t xml:space="preserve">On redirect, Burns testified that the total suitability score for Williams was 6.2 percent.  </w:t>
      </w:r>
      <w:r w:rsidR="005C2878">
        <w:t>NWL’s suitability reviewer</w:t>
      </w:r>
      <w:r w:rsidR="00395CEB">
        <w:t xml:space="preserve"> or a coder entered information from the suitability questionnaire into an Excel spreadsheet</w:t>
      </w:r>
      <w:r w:rsidR="00786BE9">
        <w:t>,</w:t>
      </w:r>
      <w:r w:rsidR="00395CEB">
        <w:t xml:space="preserve"> which generated a score and the information was uploaded into NWL’s system.  The suitability reviewer looked at the information, the suitability questionnaire, and other documents to make sure the reviewer felt the product </w:t>
      </w:r>
      <w:r w:rsidR="003445AE">
        <w:t xml:space="preserve">was </w:t>
      </w:r>
      <w:r w:rsidR="00395CEB">
        <w:t>suitable, and entered comments in the system.  In user notes, the reviewer</w:t>
      </w:r>
      <w:r w:rsidR="00786BE9">
        <w:t>, Jennifer Burgess,</w:t>
      </w:r>
      <w:r w:rsidR="00395CEB">
        <w:t xml:space="preserve"> </w:t>
      </w:r>
      <w:r w:rsidR="005C2878">
        <w:t xml:space="preserve">identified </w:t>
      </w:r>
      <w:r>
        <w:t xml:space="preserve">a yellow flag for annual income because it was below $25,000.  The reviewer noted that Williams’ expenses </w:t>
      </w:r>
      <w:r w:rsidR="005C2878">
        <w:t>were</w:t>
      </w:r>
      <w:r>
        <w:t xml:space="preserve"> covered and he had more than five years of liquidity.  </w:t>
      </w:r>
      <w:r w:rsidR="003244F3">
        <w:t>It looked like Williams had plenty of liquidity based on the information provided.</w:t>
      </w:r>
    </w:p>
    <w:p w14:paraId="480D90FD" w14:textId="252D32C0" w:rsidR="00C27FBD" w:rsidRPr="00C27FBD" w:rsidRDefault="00C27FBD" w:rsidP="00BD0540">
      <w:pPr>
        <w:keepNext/>
        <w:rPr>
          <w:b/>
          <w:bCs/>
        </w:rPr>
      </w:pPr>
      <w:r>
        <w:rPr>
          <w:b/>
          <w:bCs/>
        </w:rPr>
        <w:t>C.</w:t>
      </w:r>
      <w:r>
        <w:rPr>
          <w:b/>
          <w:bCs/>
        </w:rPr>
        <w:tab/>
        <w:t>Motion for Nonsuit</w:t>
      </w:r>
    </w:p>
    <w:p w14:paraId="1AB6019A" w14:textId="2D5EFF05" w:rsidR="00627F9D" w:rsidRDefault="00627F9D">
      <w:r>
        <w:tab/>
        <w:t xml:space="preserve">At the close of </w:t>
      </w:r>
      <w:r w:rsidR="006116A6">
        <w:t xml:space="preserve">Williams’ </w:t>
      </w:r>
      <w:r>
        <w:t>evidence, NWL filed a motion for nonsuit</w:t>
      </w:r>
      <w:r w:rsidR="00200FC5">
        <w:t xml:space="preserve">.  </w:t>
      </w:r>
      <w:r w:rsidR="00786BE9">
        <w:t>T</w:t>
      </w:r>
      <w:r w:rsidR="00200FC5">
        <w:t>he court denied the motion finding that “there has been substantial evidence presented during plaintiff’s case in chief supporting judgment on all causes of action for the plaintiff.”</w:t>
      </w:r>
    </w:p>
    <w:p w14:paraId="64C9BB6E" w14:textId="3C712CE3" w:rsidR="00E60572" w:rsidRDefault="00C27FBD" w:rsidP="00BD0540">
      <w:pPr>
        <w:keepNext/>
        <w:rPr>
          <w:b/>
          <w:bCs/>
        </w:rPr>
      </w:pPr>
      <w:r>
        <w:rPr>
          <w:b/>
          <w:bCs/>
        </w:rPr>
        <w:t>D</w:t>
      </w:r>
      <w:r w:rsidR="00E60572">
        <w:rPr>
          <w:b/>
          <w:bCs/>
        </w:rPr>
        <w:t>.</w:t>
      </w:r>
      <w:r w:rsidR="00E60572">
        <w:rPr>
          <w:b/>
          <w:bCs/>
        </w:rPr>
        <w:tab/>
      </w:r>
      <w:r w:rsidR="00A90DD3">
        <w:rPr>
          <w:b/>
          <w:bCs/>
        </w:rPr>
        <w:t xml:space="preserve">Jury </w:t>
      </w:r>
      <w:r w:rsidR="00E60572">
        <w:rPr>
          <w:b/>
          <w:bCs/>
        </w:rPr>
        <w:t>Verdict</w:t>
      </w:r>
      <w:r w:rsidR="00A90DD3">
        <w:rPr>
          <w:b/>
          <w:bCs/>
        </w:rPr>
        <w:t>s</w:t>
      </w:r>
      <w:r w:rsidR="00E60572">
        <w:rPr>
          <w:b/>
          <w:bCs/>
        </w:rPr>
        <w:t xml:space="preserve"> and Judgment</w:t>
      </w:r>
    </w:p>
    <w:p w14:paraId="5CAEA130" w14:textId="29DF0639" w:rsidR="005C4E27" w:rsidRDefault="00221F88">
      <w:r>
        <w:rPr>
          <w:b/>
          <w:bCs/>
        </w:rPr>
        <w:tab/>
      </w:r>
      <w:bookmarkStart w:id="1" w:name="_Hlk62136616"/>
      <w:r>
        <w:t xml:space="preserve">The jury found NWL liable for elder abuse awarding </w:t>
      </w:r>
      <w:r w:rsidR="007D028D">
        <w:t xml:space="preserve">Williams </w:t>
      </w:r>
      <w:r>
        <w:t>$14,949.41 in damages for economic loss, $200,000</w:t>
      </w:r>
      <w:r w:rsidR="003018E5">
        <w:t xml:space="preserve"> in noneconomic damages for</w:t>
      </w:r>
      <w:r>
        <w:t xml:space="preserve"> past pain and suffering, and $150,000 for future pain and suffering, totaling $364,949.41.  </w:t>
      </w:r>
      <w:r w:rsidR="007D028D">
        <w:t>The jury further determined the Williams had proved by clear and convincing evidence that NWL acted with recklessness, malice, oppression or fraud.</w:t>
      </w:r>
    </w:p>
    <w:p w14:paraId="1A39E2C1" w14:textId="7CAF94CF" w:rsidR="00221F88" w:rsidRDefault="005C4E27">
      <w:r>
        <w:tab/>
      </w:r>
      <w:r w:rsidR="007D028D">
        <w:t>The jury also found Pantaleoni liable for elder abuse and that Williams proved Pantaleoni acted with recklessness, malice, oppression or fraud, awarding total money damages of $168,309.41</w:t>
      </w:r>
      <w:r>
        <w:t xml:space="preserve"> on this claim</w:t>
      </w:r>
      <w:r w:rsidR="007D028D">
        <w:t>.</w:t>
      </w:r>
    </w:p>
    <w:p w14:paraId="66B4DE8C" w14:textId="70A288AC" w:rsidR="007D028D" w:rsidRDefault="007D028D">
      <w:r>
        <w:lastRenderedPageBreak/>
        <w:tab/>
        <w:t>The jury found both NWL and Pantaleoni liable for negligence</w:t>
      </w:r>
      <w:r w:rsidR="005C4E27">
        <w:t xml:space="preserve">, </w:t>
      </w:r>
      <w:r>
        <w:t>awarding</w:t>
      </w:r>
      <w:r w:rsidR="003018E5">
        <w:t xml:space="preserve"> Williams</w:t>
      </w:r>
      <w:r>
        <w:t xml:space="preserve"> total money damages of $618,309.41</w:t>
      </w:r>
      <w:r w:rsidR="005C4E27">
        <w:t xml:space="preserve"> and</w:t>
      </w:r>
      <w:r>
        <w:t xml:space="preserve"> allocating 30 percent to Pantaleoni and 70 percent to NWL.  </w:t>
      </w:r>
      <w:r w:rsidR="00D479C6">
        <w:t>The jury further found Pantaleoni liable for intentional misrepresentation and awarded $200,000 in total damages.</w:t>
      </w:r>
    </w:p>
    <w:p w14:paraId="2AA5B185" w14:textId="2662131D" w:rsidR="003018E5" w:rsidRDefault="003018E5">
      <w:r>
        <w:tab/>
        <w:t>The jury awarded punitive damages of $1,000 against Pantaleoni and $2,500,000 against NWL.</w:t>
      </w:r>
      <w:r w:rsidR="00E94991">
        <w:rPr>
          <w:rStyle w:val="FootnoteReference"/>
        </w:rPr>
        <w:footnoteReference w:id="6"/>
      </w:r>
    </w:p>
    <w:bookmarkEnd w:id="1"/>
    <w:p w14:paraId="07B4A6C3" w14:textId="2D77FCA7" w:rsidR="003018E5" w:rsidRDefault="003018E5">
      <w:r>
        <w:tab/>
        <w:t xml:space="preserve">In entering judgment, the trial court found that noneconomic damages </w:t>
      </w:r>
      <w:r w:rsidR="00B44399">
        <w:t>awarded in the verdict for negligence overlapped with the</w:t>
      </w:r>
      <w:r w:rsidR="00D479C6">
        <w:t xml:space="preserve"> </w:t>
      </w:r>
      <w:r w:rsidR="00B44399">
        <w:t>elder abuse</w:t>
      </w:r>
      <w:r w:rsidR="00D479C6">
        <w:t xml:space="preserve"> award</w:t>
      </w:r>
      <w:r w:rsidR="00B44399">
        <w:t>.  To avoid double recovery</w:t>
      </w:r>
      <w:r w:rsidR="0061219B">
        <w:t>, the court</w:t>
      </w:r>
      <w:r w:rsidR="00B44399">
        <w:t xml:space="preserve"> limited noneconomic damages to $600,000 allocating 70 percent ($420,000) to NWL and 30 percent ($180,000) to Pantaleoni.</w:t>
      </w:r>
    </w:p>
    <w:p w14:paraId="51CA80C7" w14:textId="6F244D56" w:rsidR="00B44399" w:rsidRPr="00221F88" w:rsidRDefault="00B44399">
      <w:r>
        <w:tab/>
        <w:t xml:space="preserve">The court entered judgment for Williams in the amount of </w:t>
      </w:r>
      <w:r w:rsidR="005C4E27">
        <w:t xml:space="preserve">(1) </w:t>
      </w:r>
      <w:r>
        <w:t>$14,949.41 against Pantaleoni and NWL, jointly and severally,</w:t>
      </w:r>
      <w:r w:rsidR="005C4E27">
        <w:t xml:space="preserve"> (2)</w:t>
      </w:r>
      <w:r>
        <w:t xml:space="preserve"> $2,920,000 against NWL</w:t>
      </w:r>
      <w:r w:rsidR="004001C5">
        <w:t>,</w:t>
      </w:r>
      <w:r>
        <w:t xml:space="preserve"> and </w:t>
      </w:r>
      <w:r w:rsidR="005C4E27">
        <w:t xml:space="preserve">(3) </w:t>
      </w:r>
      <w:r w:rsidR="00022761">
        <w:t>$186,</w:t>
      </w:r>
      <w:r w:rsidR="001D7880">
        <w:t>0</w:t>
      </w:r>
      <w:r w:rsidR="00022761">
        <w:t>50.59 against Pantaleoni.</w:t>
      </w:r>
    </w:p>
    <w:p w14:paraId="1BF1DA19" w14:textId="5EB7BEB2" w:rsidR="00E60572" w:rsidRDefault="006E63E3" w:rsidP="00BD0540">
      <w:pPr>
        <w:keepNext/>
        <w:rPr>
          <w:b/>
          <w:bCs/>
        </w:rPr>
      </w:pPr>
      <w:r>
        <w:rPr>
          <w:b/>
          <w:bCs/>
        </w:rPr>
        <w:t>E</w:t>
      </w:r>
      <w:r w:rsidR="00E60572">
        <w:rPr>
          <w:b/>
          <w:bCs/>
        </w:rPr>
        <w:t>.</w:t>
      </w:r>
      <w:r w:rsidR="00E60572">
        <w:rPr>
          <w:b/>
          <w:bCs/>
        </w:rPr>
        <w:tab/>
        <w:t>Post-</w:t>
      </w:r>
      <w:r w:rsidR="006116A6">
        <w:rPr>
          <w:b/>
          <w:bCs/>
        </w:rPr>
        <w:t>t</w:t>
      </w:r>
      <w:r w:rsidR="00E60572">
        <w:rPr>
          <w:b/>
          <w:bCs/>
        </w:rPr>
        <w:t>rial Proceedings</w:t>
      </w:r>
    </w:p>
    <w:p w14:paraId="2F683A59" w14:textId="615D943A" w:rsidR="00E60572" w:rsidRDefault="001923D3">
      <w:r>
        <w:rPr>
          <w:b/>
          <w:bCs/>
        </w:rPr>
        <w:tab/>
      </w:r>
      <w:r>
        <w:t>NWL filed motions for judgment notwithstanding the verdict and for a new trial,</w:t>
      </w:r>
      <w:r w:rsidR="005C4E27">
        <w:t xml:space="preserve"> </w:t>
      </w:r>
      <w:r>
        <w:t>arguing, inter alia, that Pantaleoni was not NWL’s agent in the transactions with Williams.</w:t>
      </w:r>
    </w:p>
    <w:p w14:paraId="31D7C0CC" w14:textId="5CFF2F67" w:rsidR="00A81377" w:rsidRPr="00A81377" w:rsidRDefault="00A81377">
      <w:pPr>
        <w:rPr>
          <w:i/>
          <w:iCs/>
        </w:rPr>
      </w:pPr>
      <w:r>
        <w:tab/>
        <w:t>The trial court denied the motions</w:t>
      </w:r>
      <w:r w:rsidR="00006514">
        <w:t>.</w:t>
      </w:r>
    </w:p>
    <w:p w14:paraId="0DD520DE" w14:textId="25BA7257" w:rsidR="00E60572" w:rsidRDefault="00726420" w:rsidP="00BD0540">
      <w:pPr>
        <w:keepNext/>
        <w:jc w:val="center"/>
        <w:rPr>
          <w:b/>
          <w:bCs/>
        </w:rPr>
      </w:pPr>
      <w:r>
        <w:rPr>
          <w:b/>
          <w:bCs/>
        </w:rPr>
        <w:t>II.</w:t>
      </w:r>
      <w:r>
        <w:rPr>
          <w:b/>
          <w:bCs/>
        </w:rPr>
        <w:tab/>
        <w:t>DISCUSSION</w:t>
      </w:r>
    </w:p>
    <w:p w14:paraId="7CC136E3" w14:textId="276370AE" w:rsidR="00726420" w:rsidRDefault="00726420" w:rsidP="00BD0540">
      <w:pPr>
        <w:keepNext/>
        <w:rPr>
          <w:b/>
          <w:bCs/>
        </w:rPr>
      </w:pPr>
      <w:r>
        <w:rPr>
          <w:b/>
          <w:bCs/>
        </w:rPr>
        <w:t>A.</w:t>
      </w:r>
      <w:r>
        <w:rPr>
          <w:b/>
          <w:bCs/>
        </w:rPr>
        <w:tab/>
        <w:t>Negligence</w:t>
      </w:r>
    </w:p>
    <w:p w14:paraId="4093386C" w14:textId="5F7C2654" w:rsidR="0092539F" w:rsidRDefault="00726420" w:rsidP="00726420">
      <w:r>
        <w:tab/>
      </w:r>
      <w:r w:rsidR="00342A14">
        <w:t xml:space="preserve">“The elements of a negligence cause of action </w:t>
      </w:r>
      <w:r w:rsidR="00373E1A">
        <w:t>are the existence of a legal duty of care, breach of that duty, and proximate cause</w:t>
      </w:r>
      <w:r w:rsidR="00854D4D">
        <w:t xml:space="preserve"> </w:t>
      </w:r>
      <w:r w:rsidR="00373E1A">
        <w:t>resulting</w:t>
      </w:r>
      <w:r w:rsidR="001D7880">
        <w:t xml:space="preserve"> in</w:t>
      </w:r>
      <w:r w:rsidR="00373E1A">
        <w:t xml:space="preserve"> injury.”  (</w:t>
      </w:r>
      <w:r w:rsidR="00373E1A">
        <w:rPr>
          <w:i/>
          <w:iCs/>
        </w:rPr>
        <w:t xml:space="preserve">Tindell v. Murphy </w:t>
      </w:r>
      <w:r w:rsidR="00373E1A">
        <w:t>(2018) 22 Cal.App.5th 1239, 1252.)  “</w:t>
      </w:r>
      <w:r w:rsidR="002462B0">
        <w:t> </w:t>
      </w:r>
      <w:r w:rsidR="00373E1A">
        <w:t>‘Recovery in a negligence action depends as a threshold matter on whether the defendant has “</w:t>
      </w:r>
      <w:r w:rsidR="002462B0">
        <w:t> </w:t>
      </w:r>
      <w:r w:rsidR="00373E1A">
        <w:t xml:space="preserve">‘a duty to use due care toward an interest </w:t>
      </w:r>
      <w:r w:rsidR="00373E1A">
        <w:lastRenderedPageBreak/>
        <w:t xml:space="preserve">of </w:t>
      </w:r>
      <w:r w:rsidR="001D7880">
        <w:t>[</w:t>
      </w:r>
      <w:r w:rsidR="00373E1A">
        <w:t>the plaintiff’s] that enjoys legal protection against unintentional invasion.’</w:t>
      </w:r>
      <w:r w:rsidR="002462B0">
        <w:t> </w:t>
      </w:r>
      <w:r w:rsidR="00373E1A">
        <w:t>”</w:t>
      </w:r>
      <w:r w:rsidR="002462B0">
        <w:t> </w:t>
      </w:r>
      <w:r w:rsidR="00373E1A">
        <w:t>’  [Citation.]  ‘Whether a duty of care exists is a question of law to be determined on a case-by-case basis.’  [Citation.]”  (</w:t>
      </w:r>
      <w:r w:rsidR="00373E1A">
        <w:rPr>
          <w:i/>
          <w:iCs/>
        </w:rPr>
        <w:t xml:space="preserve">Weimer v. Nationstar Mortgage, LLC </w:t>
      </w:r>
      <w:r w:rsidR="00373E1A">
        <w:t>(2020) 47</w:t>
      </w:r>
      <w:r w:rsidR="002462B0">
        <w:t> </w:t>
      </w:r>
      <w:r w:rsidR="00373E1A">
        <w:t>Cal.App.5th 341, 355</w:t>
      </w:r>
      <w:r w:rsidR="001D7880">
        <w:t>-356, review granted July 22, 2020, S262024</w:t>
      </w:r>
      <w:r w:rsidR="00373E1A">
        <w:t>.)</w:t>
      </w:r>
    </w:p>
    <w:p w14:paraId="33D023F2" w14:textId="3C2EFDB3" w:rsidR="003E6939" w:rsidRDefault="00D4007F" w:rsidP="00726420">
      <w:r>
        <w:tab/>
        <w:t xml:space="preserve">Any duty owed by NWL to Williams was affected by Pantaleoni’s status as an independent agent.  </w:t>
      </w:r>
      <w:r w:rsidR="003F6B96">
        <w:t xml:space="preserve">The evidence was </w:t>
      </w:r>
      <w:r>
        <w:t xml:space="preserve">undisputed that Pantaleoni was an independent agent selling annuities for multiple insurance companies.  </w:t>
      </w:r>
      <w:r w:rsidR="00CB2583">
        <w:t xml:space="preserve">The DOI website from January 2016 states that Pantaleoni is authorized to transact business on behalf of </w:t>
      </w:r>
      <w:r w:rsidR="006116A6">
        <w:t xml:space="preserve">at least </w:t>
      </w:r>
      <w:r w:rsidR="00CB2583">
        <w:t xml:space="preserve">15 life insurance companies including NWL.  </w:t>
      </w:r>
      <w:r w:rsidR="009704F3">
        <w:t xml:space="preserve">Pantaleoni’s </w:t>
      </w:r>
      <w:r w:rsidR="00CA29FB">
        <w:t>NWL</w:t>
      </w:r>
      <w:r>
        <w:t xml:space="preserve"> </w:t>
      </w:r>
      <w:r w:rsidR="003B1E79">
        <w:t xml:space="preserve">contract </w:t>
      </w:r>
      <w:r w:rsidR="002B4AF5">
        <w:t>specified that Pantaleoni was “an independent contractor” and not an NWL employee.</w:t>
      </w:r>
    </w:p>
    <w:p w14:paraId="5EC477F3" w14:textId="7B1A3C3B" w:rsidR="00D2445D" w:rsidRDefault="003E6939" w:rsidP="00726420">
      <w:r>
        <w:tab/>
      </w:r>
      <w:r w:rsidR="002B4AF5">
        <w:t>“If an insurance agent is the agent for several companies</w:t>
      </w:r>
      <w:r w:rsidR="00D4007F">
        <w:t xml:space="preserve"> </w:t>
      </w:r>
      <w:r w:rsidR="002B4AF5">
        <w:t>and selects the company with which to place the insurance or insures with one of them according to directions, the insurance agent is the agent of the insured.</w:t>
      </w:r>
      <w:r w:rsidR="00AC7485">
        <w:t>”</w:t>
      </w:r>
      <w:r w:rsidR="002B4AF5">
        <w:t xml:space="preserve">  (</w:t>
      </w:r>
      <w:r w:rsidR="002B4AF5">
        <w:rPr>
          <w:i/>
          <w:iCs/>
        </w:rPr>
        <w:t xml:space="preserve">Eddy v. Sharp </w:t>
      </w:r>
      <w:r w:rsidR="002B4AF5">
        <w:t>(1988) 199 Cal.App.3d 858, 865 (</w:t>
      </w:r>
      <w:r w:rsidR="002B4AF5">
        <w:rPr>
          <w:i/>
          <w:iCs/>
        </w:rPr>
        <w:t>Eddy</w:t>
      </w:r>
      <w:r w:rsidR="002B4AF5">
        <w:t>)</w:t>
      </w:r>
      <w:r w:rsidR="00AC7485">
        <w:t xml:space="preserve">; </w:t>
      </w:r>
      <w:r w:rsidR="003F6B96">
        <w:t xml:space="preserve">see also </w:t>
      </w:r>
      <w:r w:rsidR="00454DF9">
        <w:rPr>
          <w:i/>
          <w:iCs/>
        </w:rPr>
        <w:t xml:space="preserve">Mercury Ins. Co. v. Pearson </w:t>
      </w:r>
      <w:r w:rsidR="00454DF9">
        <w:t>(2008) 169 Cal.App.4th 1064, 107</w:t>
      </w:r>
      <w:r w:rsidR="00DC6888">
        <w:t>3</w:t>
      </w:r>
      <w:r w:rsidR="003F6B96">
        <w:t xml:space="preserve"> (</w:t>
      </w:r>
      <w:r w:rsidR="003F6B96">
        <w:rPr>
          <w:i/>
          <w:iCs/>
        </w:rPr>
        <w:t>Mercury</w:t>
      </w:r>
      <w:r w:rsidR="003F6B96">
        <w:t>)</w:t>
      </w:r>
      <w:r w:rsidR="00CB2583">
        <w:t xml:space="preserve"> [any fraud by an independent agent is committed in the agent’s capacity as an agent for the insured]</w:t>
      </w:r>
      <w:r w:rsidR="00DC6888">
        <w:t xml:space="preserve">.)  </w:t>
      </w:r>
    </w:p>
    <w:p w14:paraId="03C82967" w14:textId="420A075F" w:rsidR="00454DF9" w:rsidRPr="00D83AE0" w:rsidRDefault="008F388B" w:rsidP="00726420">
      <w:r>
        <w:tab/>
      </w:r>
      <w:r w:rsidR="003B1E79">
        <w:t>P</w:t>
      </w:r>
      <w:r>
        <w:t>antaleoni had no authority to bind NWL</w:t>
      </w:r>
      <w:r w:rsidR="003B1E79">
        <w:t>; he was appointed to procure applications for NWL and deliver policies.  Thus,</w:t>
      </w:r>
      <w:r>
        <w:t xml:space="preserve"> he was akin to </w:t>
      </w:r>
      <w:r w:rsidR="00894804">
        <w:t xml:space="preserve">an </w:t>
      </w:r>
      <w:r>
        <w:t>insurance broker rather than insurance agent.</w:t>
      </w:r>
      <w:r w:rsidR="003B1E79">
        <w:t xml:space="preserve">  </w:t>
      </w:r>
      <w:r w:rsidR="00DC6888">
        <w:t>(</w:t>
      </w:r>
      <w:r w:rsidR="00AC7485">
        <w:rPr>
          <w:i/>
          <w:iCs/>
        </w:rPr>
        <w:t>Marsh &amp; McLennan of Cal</w:t>
      </w:r>
      <w:r w:rsidR="001D7880">
        <w:rPr>
          <w:i/>
          <w:iCs/>
        </w:rPr>
        <w:t>.</w:t>
      </w:r>
      <w:r w:rsidR="00AC7485">
        <w:rPr>
          <w:i/>
          <w:iCs/>
        </w:rPr>
        <w:t xml:space="preserve">, Inc. </w:t>
      </w:r>
      <w:r w:rsidR="001D7880">
        <w:rPr>
          <w:i/>
          <w:iCs/>
        </w:rPr>
        <w:t xml:space="preserve">v. City of Los Angeles </w:t>
      </w:r>
      <w:r w:rsidR="00AC7485">
        <w:t>(1976) 62 Cal.App.3d 10</w:t>
      </w:r>
      <w:r w:rsidR="001D7880">
        <w:t>8</w:t>
      </w:r>
      <w:r w:rsidR="00AC7485">
        <w:t xml:space="preserve">, </w:t>
      </w:r>
      <w:r w:rsidR="00FA3739">
        <w:t>118</w:t>
      </w:r>
      <w:r w:rsidR="00247372">
        <w:t xml:space="preserve"> (</w:t>
      </w:r>
      <w:r w:rsidR="00247372">
        <w:rPr>
          <w:i/>
          <w:iCs/>
        </w:rPr>
        <w:t>Marsh</w:t>
      </w:r>
      <w:r w:rsidR="00247372">
        <w:t>)</w:t>
      </w:r>
      <w:r w:rsidR="002B4AF5">
        <w:t>.)</w:t>
      </w:r>
      <w:r w:rsidR="00D2445D">
        <w:t xml:space="preserve">  “</w:t>
      </w:r>
      <w:r w:rsidR="003F4747">
        <w:t> </w:t>
      </w:r>
      <w:r w:rsidR="00D2445D">
        <w:t>‘</w:t>
      </w:r>
      <w:r w:rsidR="003F4747">
        <w:t> </w:t>
      </w:r>
      <w:r w:rsidR="00D2445D">
        <w:t>“[I]nsurance agent” means a person authorized, by or on behalf of an insurer, to transact insurance’ (Ins. Code, §</w:t>
      </w:r>
      <w:r w:rsidR="003F4747">
        <w:t> </w:t>
      </w:r>
      <w:r w:rsidR="00D2445D">
        <w:t xml:space="preserve">31), while </w:t>
      </w:r>
      <w:r w:rsidR="003F6B96">
        <w:t>‘</w:t>
      </w:r>
      <w:r w:rsidR="003F4747">
        <w:t> </w:t>
      </w:r>
      <w:r w:rsidR="003F6B96">
        <w:t>“</w:t>
      </w:r>
      <w:r w:rsidR="00D2445D">
        <w:t>insurance broker</w:t>
      </w:r>
      <w:r w:rsidR="003F6B96">
        <w:t>”</w:t>
      </w:r>
      <w:r w:rsidR="00D2445D">
        <w:t xml:space="preserve"> means a person who, for compensation and on behalf of another person, transacts insurance other than life </w:t>
      </w:r>
      <w:r w:rsidR="00D2445D">
        <w:rPr>
          <w:i/>
          <w:iCs/>
        </w:rPr>
        <w:t>with, but not on behalf of, an insurer.</w:t>
      </w:r>
      <w:r w:rsidR="00D2445D">
        <w:t>’  (Ins. Code, §</w:t>
      </w:r>
      <w:r w:rsidR="003F4747">
        <w:t> </w:t>
      </w:r>
      <w:r w:rsidR="00D2445D">
        <w:t>33; italics added.)”  (</w:t>
      </w:r>
      <w:r w:rsidR="006116A6">
        <w:rPr>
          <w:i/>
          <w:iCs/>
        </w:rPr>
        <w:t>Id.</w:t>
      </w:r>
      <w:r w:rsidR="00D2445D">
        <w:t xml:space="preserve"> at p. 117.) </w:t>
      </w:r>
      <w:r>
        <w:t xml:space="preserve"> </w:t>
      </w:r>
      <w:r w:rsidR="00D2445D">
        <w:t>“An independent insurance broker is not an agent of the insurer, but rather is the agent of the insured.</w:t>
      </w:r>
      <w:r w:rsidR="003B1E79">
        <w:t xml:space="preserve">  [</w:t>
      </w:r>
      <w:r w:rsidR="00D83AE0">
        <w:t>Citations.]</w:t>
      </w:r>
      <w:r w:rsidR="00D2445D">
        <w:t>”  (</w:t>
      </w:r>
      <w:r w:rsidR="00D2445D">
        <w:rPr>
          <w:i/>
          <w:iCs/>
        </w:rPr>
        <w:t>Ibid.</w:t>
      </w:r>
      <w:r w:rsidR="00CB2583">
        <w:t xml:space="preserve">; see also </w:t>
      </w:r>
      <w:r w:rsidR="00CB2583">
        <w:rPr>
          <w:i/>
          <w:iCs/>
        </w:rPr>
        <w:t>Mark Tanner Constr</w:t>
      </w:r>
      <w:r w:rsidR="001D7880">
        <w:rPr>
          <w:i/>
          <w:iCs/>
        </w:rPr>
        <w:t>uction, Inc.</w:t>
      </w:r>
      <w:r w:rsidR="00CB2583">
        <w:rPr>
          <w:i/>
          <w:iCs/>
        </w:rPr>
        <w:t xml:space="preserve"> v. H</w:t>
      </w:r>
      <w:r w:rsidR="001D7880">
        <w:rPr>
          <w:i/>
          <w:iCs/>
        </w:rPr>
        <w:t>UB</w:t>
      </w:r>
      <w:r w:rsidR="00CB2583">
        <w:rPr>
          <w:i/>
          <w:iCs/>
        </w:rPr>
        <w:t xml:space="preserve"> Internat</w:t>
      </w:r>
      <w:r w:rsidR="001D7880">
        <w:rPr>
          <w:i/>
          <w:iCs/>
        </w:rPr>
        <w:t>.</w:t>
      </w:r>
      <w:r w:rsidR="00CB2583">
        <w:rPr>
          <w:i/>
          <w:iCs/>
        </w:rPr>
        <w:t xml:space="preserve"> Ins</w:t>
      </w:r>
      <w:r w:rsidR="001D7880">
        <w:rPr>
          <w:i/>
          <w:iCs/>
        </w:rPr>
        <w:t>.</w:t>
      </w:r>
      <w:r w:rsidR="00CB2583">
        <w:rPr>
          <w:i/>
          <w:iCs/>
        </w:rPr>
        <w:t xml:space="preserve"> Services</w:t>
      </w:r>
      <w:r w:rsidR="001D7880">
        <w:rPr>
          <w:i/>
          <w:iCs/>
        </w:rPr>
        <w:t>, Inc.</w:t>
      </w:r>
      <w:r w:rsidR="00CB2583">
        <w:rPr>
          <w:i/>
          <w:iCs/>
        </w:rPr>
        <w:t xml:space="preserve"> </w:t>
      </w:r>
      <w:r w:rsidR="00CB2583">
        <w:t>(2014) 224</w:t>
      </w:r>
      <w:r w:rsidR="00B70E03">
        <w:t> </w:t>
      </w:r>
      <w:r w:rsidR="00CB2583">
        <w:t>Cal.App.4th 574, 584</w:t>
      </w:r>
      <w:r w:rsidR="00A72FBE">
        <w:t xml:space="preserve">; </w:t>
      </w:r>
      <w:r w:rsidR="00A72FBE">
        <w:rPr>
          <w:i/>
          <w:iCs/>
        </w:rPr>
        <w:t xml:space="preserve">Century Surety Co. v. Crosby Insurance, Inc. </w:t>
      </w:r>
      <w:r w:rsidR="00A72FBE">
        <w:t xml:space="preserve">(2004) </w:t>
      </w:r>
      <w:r w:rsidR="00A72FBE">
        <w:lastRenderedPageBreak/>
        <w:t>124</w:t>
      </w:r>
      <w:r w:rsidR="00B70E03">
        <w:t> </w:t>
      </w:r>
      <w:r w:rsidR="00A72FBE">
        <w:t>Cal.App.4th 116, 125</w:t>
      </w:r>
      <w:r w:rsidR="00D77814">
        <w:t>.</w:t>
      </w:r>
      <w:r w:rsidR="00D2445D">
        <w:t>)</w:t>
      </w:r>
      <w:r>
        <w:t xml:space="preserve">  “The most definitive characteristic of an insurance agent is his authority to bind his principal, the insurer; an insurance broker has no such authority.”  (</w:t>
      </w:r>
      <w:r w:rsidR="00D83AE0">
        <w:rPr>
          <w:i/>
          <w:iCs/>
        </w:rPr>
        <w:t>Marsh, supra</w:t>
      </w:r>
      <w:r w:rsidR="00D83AE0" w:rsidRPr="00BD0540">
        <w:t>,</w:t>
      </w:r>
      <w:r w:rsidR="00D83AE0">
        <w:rPr>
          <w:i/>
          <w:iCs/>
        </w:rPr>
        <w:t xml:space="preserve"> </w:t>
      </w:r>
      <w:r w:rsidR="00D83AE0">
        <w:t>at p.</w:t>
      </w:r>
      <w:r w:rsidR="003F4747">
        <w:t> </w:t>
      </w:r>
      <w:r w:rsidR="00D83AE0">
        <w:t>117.</w:t>
      </w:r>
      <w:r>
        <w:t>)  “</w:t>
      </w:r>
      <w:r w:rsidR="00766CF2">
        <w:t>While we note many similarities in the services performed and the monetary functions of agents and brokers, there is a more fundamental legal distinction between insurance agents and brokers.  Put quite simply, i</w:t>
      </w:r>
      <w:r>
        <w:t>nsurance brokers, with no binding authority, are</w:t>
      </w:r>
      <w:r w:rsidR="003F6B96">
        <w:t xml:space="preserve"> not</w:t>
      </w:r>
      <w:r>
        <w:t xml:space="preserve"> agents of insurance companies, but</w:t>
      </w:r>
      <w:r w:rsidR="003F6B96">
        <w:t xml:space="preserve"> are</w:t>
      </w:r>
      <w:r>
        <w:t xml:space="preserve"> rather independent contractors .</w:t>
      </w:r>
      <w:r w:rsidR="003F4747">
        <w:t> </w:t>
      </w:r>
      <w:r>
        <w:t>.</w:t>
      </w:r>
      <w:r w:rsidR="003F4747">
        <w:t> </w:t>
      </w:r>
      <w:r>
        <w:t>.</w:t>
      </w:r>
      <w:r w:rsidR="003F4747">
        <w:t> </w:t>
      </w:r>
      <w:r>
        <w:t>.”</w:t>
      </w:r>
      <w:r w:rsidR="00D83AE0">
        <w:t xml:space="preserve">  (</w:t>
      </w:r>
      <w:r w:rsidR="00D83AE0">
        <w:rPr>
          <w:i/>
          <w:iCs/>
        </w:rPr>
        <w:t xml:space="preserve">Id. </w:t>
      </w:r>
      <w:r w:rsidR="00D83AE0">
        <w:t xml:space="preserve">at p. 118; </w:t>
      </w:r>
      <w:r w:rsidR="00D83AE0">
        <w:rPr>
          <w:i/>
          <w:iCs/>
        </w:rPr>
        <w:t>Century, supra</w:t>
      </w:r>
      <w:r w:rsidR="00D83AE0" w:rsidRPr="00BD0540">
        <w:t>,</w:t>
      </w:r>
      <w:r w:rsidR="00D83AE0">
        <w:rPr>
          <w:i/>
          <w:iCs/>
        </w:rPr>
        <w:t xml:space="preserve"> </w:t>
      </w:r>
      <w:r w:rsidR="00D83AE0">
        <w:t>at p. 125.)</w:t>
      </w:r>
    </w:p>
    <w:p w14:paraId="1F8C4EA9" w14:textId="28CDA267" w:rsidR="00870564" w:rsidRDefault="00894804" w:rsidP="00726420">
      <w:pPr>
        <w:rPr>
          <w:iCs/>
        </w:rPr>
      </w:pPr>
      <w:r>
        <w:tab/>
        <w:t xml:space="preserve">Williams counters that the court in </w:t>
      </w:r>
      <w:r>
        <w:rPr>
          <w:i/>
          <w:iCs/>
        </w:rPr>
        <w:t>Loehr v. Great Republic Ins</w:t>
      </w:r>
      <w:r w:rsidR="001D7880">
        <w:rPr>
          <w:i/>
          <w:iCs/>
        </w:rPr>
        <w:t>.</w:t>
      </w:r>
      <w:r>
        <w:rPr>
          <w:i/>
          <w:iCs/>
        </w:rPr>
        <w:t xml:space="preserve"> Co</w:t>
      </w:r>
      <w:r w:rsidR="001D7880">
        <w:rPr>
          <w:i/>
          <w:iCs/>
        </w:rPr>
        <w:t>.</w:t>
      </w:r>
      <w:r>
        <w:rPr>
          <w:i/>
          <w:iCs/>
        </w:rPr>
        <w:t xml:space="preserve"> </w:t>
      </w:r>
      <w:r>
        <w:t>(1990) 226</w:t>
      </w:r>
      <w:r w:rsidR="001D7880">
        <w:t> </w:t>
      </w:r>
      <w:r>
        <w:t>Cal.App.3d 727</w:t>
      </w:r>
      <w:r w:rsidR="00462B1A">
        <w:t xml:space="preserve"> (</w:t>
      </w:r>
      <w:r w:rsidR="00462B1A">
        <w:rPr>
          <w:i/>
          <w:iCs/>
        </w:rPr>
        <w:t>Loehr</w:t>
      </w:r>
      <w:r w:rsidR="00462B1A">
        <w:t xml:space="preserve">), “rejected </w:t>
      </w:r>
      <w:r w:rsidR="001D7880">
        <w:t>[</w:t>
      </w:r>
      <w:r w:rsidR="00462B1A">
        <w:t>the</w:t>
      </w:r>
      <w:r w:rsidR="001D7880">
        <w:t xml:space="preserve"> insurer’s]</w:t>
      </w:r>
      <w:r w:rsidR="00462B1A">
        <w:t xml:space="preserve"> argument that an agent who represents multiple insurance companies is the insured’s agent, NWL’s argument here.”  In </w:t>
      </w:r>
      <w:r w:rsidR="00462B1A">
        <w:rPr>
          <w:i/>
          <w:iCs/>
        </w:rPr>
        <w:t>Loehr</w:t>
      </w:r>
      <w:r w:rsidR="00462B1A">
        <w:t xml:space="preserve">, the court observed that an agent is not limited in the number of </w:t>
      </w:r>
      <w:r w:rsidR="00D83AE0">
        <w:t xml:space="preserve">agency </w:t>
      </w:r>
      <w:r w:rsidR="00462B1A">
        <w:t>appointments and “thus,</w:t>
      </w:r>
      <w:r w:rsidR="00C11E7C">
        <w:t xml:space="preserve"> an</w:t>
      </w:r>
      <w:r w:rsidR="00462B1A">
        <w:t xml:space="preserve"> agent may solicit business on behalf of a variety of different insurance carriers, and still </w:t>
      </w:r>
      <w:r w:rsidR="00B40AB1">
        <w:t>technically be an agent of each of those carriers.”  (</w:t>
      </w:r>
      <w:r w:rsidR="00B40AB1">
        <w:rPr>
          <w:i/>
        </w:rPr>
        <w:t xml:space="preserve">Id. </w:t>
      </w:r>
      <w:r w:rsidR="00B40AB1">
        <w:rPr>
          <w:iCs/>
        </w:rPr>
        <w:t>at p.</w:t>
      </w:r>
      <w:r w:rsidR="008D678E">
        <w:rPr>
          <w:iCs/>
        </w:rPr>
        <w:t> </w:t>
      </w:r>
      <w:r w:rsidR="00B40AB1">
        <w:rPr>
          <w:iCs/>
        </w:rPr>
        <w:t xml:space="preserve">733.)  The court concluded </w:t>
      </w:r>
      <w:r w:rsidR="00BF2AB2">
        <w:rPr>
          <w:iCs/>
        </w:rPr>
        <w:t xml:space="preserve">the </w:t>
      </w:r>
      <w:r w:rsidR="00B40AB1">
        <w:rPr>
          <w:iCs/>
        </w:rPr>
        <w:t>trial court erred in instructing the jury to determine whether an independent agent was the insurer’s agent or the insureds’, and in the latter case, that the agent’s acts or omissions were legally those of the insured.  (</w:t>
      </w:r>
      <w:r w:rsidR="00B40AB1">
        <w:rPr>
          <w:i/>
        </w:rPr>
        <w:t>Ibid.</w:t>
      </w:r>
      <w:r w:rsidR="00B40AB1">
        <w:rPr>
          <w:iCs/>
        </w:rPr>
        <w:t xml:space="preserve">) </w:t>
      </w:r>
      <w:r w:rsidR="00B40AB1">
        <w:rPr>
          <w:i/>
        </w:rPr>
        <w:t xml:space="preserve"> </w:t>
      </w:r>
      <w:r w:rsidR="00B40AB1">
        <w:rPr>
          <w:iCs/>
        </w:rPr>
        <w:t>The court reasoned that the mere fact that the agent “was an ‘independent</w:t>
      </w:r>
      <w:r w:rsidR="00755C9D">
        <w:rPr>
          <w:iCs/>
        </w:rPr>
        <w:t>’</w:t>
      </w:r>
      <w:r w:rsidR="00B40AB1">
        <w:rPr>
          <w:iCs/>
        </w:rPr>
        <w:t xml:space="preserve"> insurance agent so licensed to transact insurance business for several different carriers did not insulate [the insurer] from responsibility for [the agent’s] actions as its agent, or make [the insured] liable therefor.”  </w:t>
      </w:r>
      <w:r w:rsidR="00C11E7C">
        <w:rPr>
          <w:iCs/>
        </w:rPr>
        <w:t>(</w:t>
      </w:r>
      <w:r w:rsidR="00C11E7C">
        <w:rPr>
          <w:i/>
        </w:rPr>
        <w:t xml:space="preserve">Id. </w:t>
      </w:r>
      <w:r w:rsidR="00C11E7C">
        <w:rPr>
          <w:iCs/>
        </w:rPr>
        <w:t xml:space="preserve">at p. 734.)  </w:t>
      </w:r>
      <w:r w:rsidR="00B40AB1" w:rsidRPr="0011190B">
        <w:rPr>
          <w:iCs/>
        </w:rPr>
        <w:t>The</w:t>
      </w:r>
      <w:r w:rsidR="00870564" w:rsidRPr="0011190B">
        <w:rPr>
          <w:iCs/>
        </w:rPr>
        <w:t xml:space="preserve"> court found the</w:t>
      </w:r>
      <w:r w:rsidR="00B40AB1" w:rsidRPr="0011190B">
        <w:rPr>
          <w:iCs/>
        </w:rPr>
        <w:t xml:space="preserve"> evidence in the record established that the agent was the insurance company’s agent.</w:t>
      </w:r>
      <w:r w:rsidR="00C11E7C" w:rsidRPr="0011190B">
        <w:rPr>
          <w:iCs/>
        </w:rPr>
        <w:t xml:space="preserve">  (</w:t>
      </w:r>
      <w:r w:rsidR="00C11E7C" w:rsidRPr="0011190B">
        <w:rPr>
          <w:i/>
        </w:rPr>
        <w:t>Ibid.</w:t>
      </w:r>
      <w:r w:rsidR="00C11E7C" w:rsidRPr="0011190B">
        <w:rPr>
          <w:iCs/>
        </w:rPr>
        <w:t xml:space="preserve">)  That evidence included </w:t>
      </w:r>
      <w:r w:rsidR="00454ECB" w:rsidRPr="0011190B">
        <w:rPr>
          <w:iCs/>
        </w:rPr>
        <w:t xml:space="preserve">a </w:t>
      </w:r>
      <w:r w:rsidR="00C11E7C" w:rsidRPr="0011190B">
        <w:rPr>
          <w:iCs/>
        </w:rPr>
        <w:t>booklet</w:t>
      </w:r>
      <w:r w:rsidR="00454ECB" w:rsidRPr="0011190B">
        <w:rPr>
          <w:iCs/>
        </w:rPr>
        <w:t xml:space="preserve"> describing the insurer’s health plan, which </w:t>
      </w:r>
      <w:r w:rsidR="00C11E7C" w:rsidRPr="0011190B">
        <w:rPr>
          <w:iCs/>
        </w:rPr>
        <w:t>referred insureds with questions to the agent as a “</w:t>
      </w:r>
      <w:r w:rsidR="008D678E" w:rsidRPr="0011190B">
        <w:rPr>
          <w:iCs/>
        </w:rPr>
        <w:t> </w:t>
      </w:r>
      <w:r w:rsidR="00C11E7C" w:rsidRPr="0011190B">
        <w:rPr>
          <w:iCs/>
        </w:rPr>
        <w:t xml:space="preserve">‘trained professional in </w:t>
      </w:r>
      <w:r w:rsidR="001D7880">
        <w:rPr>
          <w:iCs/>
        </w:rPr>
        <w:t>this</w:t>
      </w:r>
      <w:r w:rsidR="001D7880" w:rsidRPr="0011190B">
        <w:rPr>
          <w:iCs/>
        </w:rPr>
        <w:t xml:space="preserve"> </w:t>
      </w:r>
      <w:r w:rsidR="00C11E7C" w:rsidRPr="0011190B">
        <w:rPr>
          <w:iCs/>
        </w:rPr>
        <w:t>field’</w:t>
      </w:r>
      <w:r w:rsidR="008D678E" w:rsidRPr="0011190B">
        <w:rPr>
          <w:iCs/>
        </w:rPr>
        <w:t> </w:t>
      </w:r>
      <w:r w:rsidR="00C11E7C" w:rsidRPr="0011190B">
        <w:rPr>
          <w:iCs/>
        </w:rPr>
        <w:t>” and declared that “</w:t>
      </w:r>
      <w:r w:rsidR="008D678E" w:rsidRPr="0011190B">
        <w:rPr>
          <w:iCs/>
        </w:rPr>
        <w:t> </w:t>
      </w:r>
      <w:r w:rsidR="00C11E7C" w:rsidRPr="0011190B">
        <w:rPr>
          <w:iCs/>
        </w:rPr>
        <w:t xml:space="preserve">‘you will find our agents </w:t>
      </w:r>
      <w:r w:rsidR="00454ECB" w:rsidRPr="0011190B">
        <w:rPr>
          <w:iCs/>
        </w:rPr>
        <w:t>and company personnel</w:t>
      </w:r>
      <w:r w:rsidR="00C11E7C" w:rsidRPr="0011190B">
        <w:rPr>
          <w:iCs/>
        </w:rPr>
        <w:t xml:space="preserve"> expert at their jobs and they will be responsive to your individual needs.</w:t>
      </w:r>
      <w:r w:rsidR="00C11E7C">
        <w:rPr>
          <w:iCs/>
        </w:rPr>
        <w:t>’</w:t>
      </w:r>
      <w:r w:rsidR="008D678E">
        <w:rPr>
          <w:iCs/>
        </w:rPr>
        <w:t> </w:t>
      </w:r>
      <w:r w:rsidR="00C11E7C">
        <w:rPr>
          <w:iCs/>
        </w:rPr>
        <w:t>”  (</w:t>
      </w:r>
      <w:r w:rsidR="00C11E7C">
        <w:rPr>
          <w:i/>
        </w:rPr>
        <w:t>I</w:t>
      </w:r>
      <w:r w:rsidR="00454ECB">
        <w:rPr>
          <w:i/>
        </w:rPr>
        <w:t>d</w:t>
      </w:r>
      <w:r w:rsidR="00C11E7C">
        <w:rPr>
          <w:i/>
        </w:rPr>
        <w:t>.</w:t>
      </w:r>
      <w:r w:rsidR="00454ECB">
        <w:rPr>
          <w:i/>
        </w:rPr>
        <w:t xml:space="preserve"> </w:t>
      </w:r>
      <w:r w:rsidR="00454ECB">
        <w:rPr>
          <w:iCs/>
        </w:rPr>
        <w:t>at p. 729</w:t>
      </w:r>
      <w:r w:rsidR="001D7880">
        <w:rPr>
          <w:iCs/>
        </w:rPr>
        <w:t>.</w:t>
      </w:r>
      <w:r w:rsidR="00C11E7C">
        <w:rPr>
          <w:iCs/>
        </w:rPr>
        <w:t>)</w:t>
      </w:r>
    </w:p>
    <w:p w14:paraId="125CD362" w14:textId="56925B3E" w:rsidR="006D7F56" w:rsidRDefault="00870564" w:rsidP="00726420">
      <w:r>
        <w:rPr>
          <w:iCs/>
        </w:rPr>
        <w:tab/>
      </w:r>
      <w:r w:rsidR="00C11E7C" w:rsidRPr="0011190B">
        <w:rPr>
          <w:iCs/>
        </w:rPr>
        <w:t xml:space="preserve">No </w:t>
      </w:r>
      <w:r w:rsidR="00EA343F" w:rsidRPr="0011190B">
        <w:rPr>
          <w:iCs/>
        </w:rPr>
        <w:t>equivalent</w:t>
      </w:r>
      <w:r w:rsidR="00C11E7C" w:rsidRPr="0011190B">
        <w:rPr>
          <w:iCs/>
        </w:rPr>
        <w:t xml:space="preserve"> evidence exists in this case</w:t>
      </w:r>
      <w:r>
        <w:rPr>
          <w:iCs/>
        </w:rPr>
        <w:t xml:space="preserve">.  To the contrary, </w:t>
      </w:r>
      <w:r w:rsidR="00454ECB">
        <w:rPr>
          <w:iCs/>
        </w:rPr>
        <w:t xml:space="preserve">as discussed </w:t>
      </w:r>
      <w:r>
        <w:rPr>
          <w:iCs/>
        </w:rPr>
        <w:t xml:space="preserve">Pantaleoni’s contract specified that he was an “independent </w:t>
      </w:r>
      <w:r w:rsidR="001D7880">
        <w:rPr>
          <w:iCs/>
        </w:rPr>
        <w:t>contractor</w:t>
      </w:r>
      <w:r>
        <w:rPr>
          <w:iCs/>
        </w:rPr>
        <w:t xml:space="preserve">” and not an NWL </w:t>
      </w:r>
      <w:r>
        <w:rPr>
          <w:iCs/>
        </w:rPr>
        <w:lastRenderedPageBreak/>
        <w:t xml:space="preserve">employee.  </w:t>
      </w:r>
      <w:r w:rsidR="00454ECB">
        <w:t xml:space="preserve">We do not view </w:t>
      </w:r>
      <w:r w:rsidR="00487759">
        <w:rPr>
          <w:i/>
          <w:iCs/>
        </w:rPr>
        <w:t>Loehr</w:t>
      </w:r>
      <w:r w:rsidR="006D7F56">
        <w:rPr>
          <w:i/>
          <w:iCs/>
        </w:rPr>
        <w:t xml:space="preserve"> </w:t>
      </w:r>
      <w:r w:rsidR="006D7F56">
        <w:t>as</w:t>
      </w:r>
      <w:r w:rsidR="00454ECB">
        <w:rPr>
          <w:i/>
          <w:iCs/>
        </w:rPr>
        <w:t xml:space="preserve"> </w:t>
      </w:r>
      <w:r w:rsidR="00454ECB">
        <w:t xml:space="preserve">stating </w:t>
      </w:r>
      <w:r w:rsidR="006D7F56">
        <w:t>the</w:t>
      </w:r>
      <w:r w:rsidR="00487759">
        <w:t xml:space="preserve"> broad proposition</w:t>
      </w:r>
      <w:r w:rsidR="00E51BE2">
        <w:t xml:space="preserve">, contrary to </w:t>
      </w:r>
      <w:r w:rsidR="00E51BE2">
        <w:rPr>
          <w:i/>
          <w:iCs/>
        </w:rPr>
        <w:t>Eddy</w:t>
      </w:r>
      <w:r w:rsidR="00E51BE2">
        <w:t>,</w:t>
      </w:r>
      <w:r w:rsidR="00487759">
        <w:t xml:space="preserve"> that an independent agent appointed by multiple carriers is </w:t>
      </w:r>
      <w:r w:rsidR="00454ECB">
        <w:t xml:space="preserve">without more </w:t>
      </w:r>
      <w:r w:rsidR="00487759">
        <w:t>the agent of each carrier</w:t>
      </w:r>
      <w:r w:rsidR="003F6B96">
        <w:t>.</w:t>
      </w:r>
    </w:p>
    <w:p w14:paraId="54FD48F1" w14:textId="77C716B4" w:rsidR="00C2708F" w:rsidRDefault="008F388B" w:rsidP="00726420">
      <w:r>
        <w:tab/>
      </w:r>
      <w:r w:rsidRPr="0011190B">
        <w:t>Since</w:t>
      </w:r>
      <w:r w:rsidR="00EF27D3" w:rsidRPr="0011190B">
        <w:t xml:space="preserve"> Pantaleoni was an independent contractor and agent for Williams in the purchase of </w:t>
      </w:r>
      <w:r w:rsidRPr="0011190B">
        <w:t xml:space="preserve">an </w:t>
      </w:r>
      <w:r w:rsidR="00EF27D3" w:rsidRPr="0011190B">
        <w:t xml:space="preserve">annuity, </w:t>
      </w:r>
      <w:r w:rsidR="00DC53A5" w:rsidRPr="0011190B">
        <w:t>NWL had no duty</w:t>
      </w:r>
      <w:r w:rsidR="00EF27D3" w:rsidRPr="0011190B">
        <w:t xml:space="preserve"> </w:t>
      </w:r>
      <w:r w:rsidR="00DC53A5" w:rsidRPr="0011190B">
        <w:t>to supervise Pantaleoni</w:t>
      </w:r>
      <w:r w:rsidR="00DC53A5">
        <w:t xml:space="preserve">.  </w:t>
      </w:r>
      <w:r w:rsidR="007D3E8E">
        <w:t>(</w:t>
      </w:r>
      <w:r w:rsidR="007D3E8E">
        <w:rPr>
          <w:i/>
          <w:iCs/>
        </w:rPr>
        <w:t>Abbit v. ING USA Annuity</w:t>
      </w:r>
      <w:r w:rsidR="00247372">
        <w:rPr>
          <w:i/>
          <w:iCs/>
        </w:rPr>
        <w:t xml:space="preserve"> </w:t>
      </w:r>
      <w:r w:rsidR="006015D2">
        <w:rPr>
          <w:i/>
          <w:iCs/>
        </w:rPr>
        <w:t xml:space="preserve">&amp; </w:t>
      </w:r>
      <w:r w:rsidR="00247372">
        <w:rPr>
          <w:i/>
          <w:iCs/>
        </w:rPr>
        <w:t xml:space="preserve">Life Insurance Co. </w:t>
      </w:r>
      <w:r w:rsidR="00247372">
        <w:t>(S.D. Cal. 2017) 252 F.Supp.3d 999, 1030-1031</w:t>
      </w:r>
      <w:r w:rsidR="003F6B96">
        <w:t xml:space="preserve"> [dismissing failure to supervise claim</w:t>
      </w:r>
      <w:r w:rsidR="00085EA0">
        <w:t xml:space="preserve"> against insurance company regarding</w:t>
      </w:r>
      <w:r w:rsidR="003F6B96">
        <w:t xml:space="preserve"> an “</w:t>
      </w:r>
      <w:r w:rsidR="006015D2">
        <w:t> ‘</w:t>
      </w:r>
      <w:r w:rsidR="003F6B96">
        <w:t>independent</w:t>
      </w:r>
      <w:r w:rsidR="006015D2">
        <w:t>’ </w:t>
      </w:r>
      <w:r w:rsidR="003F6B96">
        <w:t>” agent who sold annuity products from “</w:t>
      </w:r>
      <w:r w:rsidR="006015D2">
        <w:t> ‘</w:t>
      </w:r>
      <w:r w:rsidR="003F6B96">
        <w:t>around ten</w:t>
      </w:r>
      <w:r w:rsidR="006015D2">
        <w:t>’ </w:t>
      </w:r>
      <w:r w:rsidR="003F6B96">
        <w:t xml:space="preserve">” companies], citing </w:t>
      </w:r>
      <w:r w:rsidR="00247372">
        <w:rPr>
          <w:i/>
          <w:iCs/>
        </w:rPr>
        <w:t>Marsh, supra</w:t>
      </w:r>
      <w:r w:rsidR="00247372" w:rsidRPr="00BD0540">
        <w:t>,</w:t>
      </w:r>
      <w:r w:rsidR="00247372">
        <w:rPr>
          <w:i/>
          <w:iCs/>
        </w:rPr>
        <w:t xml:space="preserve"> </w:t>
      </w:r>
      <w:r w:rsidR="00247372">
        <w:t xml:space="preserve">62 Cal.App.3d at p. 118.)  </w:t>
      </w:r>
      <w:r w:rsidR="00DC53A5" w:rsidRPr="0011190B">
        <w:t>Yet much</w:t>
      </w:r>
      <w:r w:rsidR="007D3E8E" w:rsidRPr="0011190B">
        <w:t xml:space="preserve"> of the</w:t>
      </w:r>
      <w:r w:rsidRPr="0011190B">
        <w:t xml:space="preserve"> claimed</w:t>
      </w:r>
      <w:r w:rsidR="007D3E8E" w:rsidRPr="0011190B">
        <w:t xml:space="preserve"> negligent conduct that Williams attributed to NWL amounted to insufficient supervision of Pantaleoni, including failure to review his business card, verify that he maintained errors and omissions insurance, prohibit </w:t>
      </w:r>
      <w:r w:rsidR="006D7F56" w:rsidRPr="0011190B">
        <w:t xml:space="preserve">his </w:t>
      </w:r>
      <w:r w:rsidR="00C2708F" w:rsidRPr="0011190B">
        <w:t xml:space="preserve">using a </w:t>
      </w:r>
      <w:r w:rsidR="007D3E8E" w:rsidRPr="0011190B">
        <w:t>legal services company to sell insurance, conduct</w:t>
      </w:r>
      <w:r w:rsidR="006D7F56" w:rsidRPr="0011190B">
        <w:t>ing</w:t>
      </w:r>
      <w:r w:rsidR="007D3E8E" w:rsidRPr="0011190B">
        <w:t xml:space="preserve"> periodic background checks which would have disclosed </w:t>
      </w:r>
      <w:r w:rsidR="00710949" w:rsidRPr="0011190B">
        <w:t>Pantaleoni’s</w:t>
      </w:r>
      <w:r w:rsidR="00085EA0" w:rsidRPr="0011190B">
        <w:t xml:space="preserve"> bankruptcy</w:t>
      </w:r>
      <w:r w:rsidR="007D3E8E" w:rsidRPr="0011190B">
        <w:t xml:space="preserve">, </w:t>
      </w:r>
      <w:r w:rsidR="006D7F56" w:rsidRPr="0011190B">
        <w:t>failing to investigate</w:t>
      </w:r>
      <w:r w:rsidR="007D3E8E" w:rsidRPr="0011190B">
        <w:t xml:space="preserve"> the DOI enforcement action that resulted in</w:t>
      </w:r>
      <w:r w:rsidR="006D7F56" w:rsidRPr="0011190B">
        <w:t xml:space="preserve"> his</w:t>
      </w:r>
      <w:r w:rsidR="00C2708F" w:rsidRPr="0011190B">
        <w:t xml:space="preserve"> </w:t>
      </w:r>
      <w:r w:rsidR="007D3E8E" w:rsidRPr="0011190B">
        <w:t>restricted license, and enforc</w:t>
      </w:r>
      <w:r w:rsidR="006D7F56" w:rsidRPr="0011190B">
        <w:t>ing</w:t>
      </w:r>
      <w:r w:rsidR="007D3E8E" w:rsidRPr="0011190B">
        <w:t xml:space="preserve"> </w:t>
      </w:r>
      <w:r w:rsidR="00247372" w:rsidRPr="0011190B">
        <w:t xml:space="preserve">NWL’s </w:t>
      </w:r>
      <w:r w:rsidR="007D3E8E" w:rsidRPr="0011190B">
        <w:t>compliance bulletins</w:t>
      </w:r>
      <w:r w:rsidR="00247372" w:rsidRPr="0011190B">
        <w:t>.</w:t>
      </w:r>
      <w:r w:rsidR="00B57B6A" w:rsidRPr="0011190B">
        <w:t xml:space="preserve">  </w:t>
      </w:r>
      <w:r w:rsidR="00C2708F">
        <w:t>Bordenave, Williams’ expert witness on the standard of care for sales of annuities to seniors,</w:t>
      </w:r>
      <w:r w:rsidR="00A94DD5">
        <w:t xml:space="preserve"> testified, as he acknowledged,</w:t>
      </w:r>
      <w:r w:rsidR="00C2708F">
        <w:t xml:space="preserve"> that NWL’s supervision of Pantaleoni was insufficient</w:t>
      </w:r>
      <w:r w:rsidR="00B57B6A">
        <w:t xml:space="preserve"> and an insurance company has a duty to monitor any appointed agent</w:t>
      </w:r>
      <w:r w:rsidR="00C2708F">
        <w:t>.</w:t>
      </w:r>
      <w:r w:rsidR="00122365">
        <w:rPr>
          <w:rStyle w:val="FootnoteReference"/>
        </w:rPr>
        <w:footnoteReference w:id="7"/>
      </w:r>
    </w:p>
    <w:p w14:paraId="371CAA40" w14:textId="7C22D38C" w:rsidR="009E15C1" w:rsidRDefault="00C2708F" w:rsidP="009E15C1">
      <w:r>
        <w:tab/>
      </w:r>
      <w:r w:rsidR="00867239">
        <w:t xml:space="preserve">In fact, </w:t>
      </w:r>
      <w:r w:rsidR="003E68E6" w:rsidRPr="0011190B">
        <w:rPr>
          <w:shd w:val="clear" w:color="auto" w:fill="FFFFFF"/>
        </w:rPr>
        <w:t>Williams does not attempt to establish a duty of care on the part of NWL</w:t>
      </w:r>
      <w:r w:rsidR="00867239" w:rsidRPr="0011190B">
        <w:rPr>
          <w:shd w:val="clear" w:color="auto" w:fill="FFFFFF"/>
        </w:rPr>
        <w:t>,</w:t>
      </w:r>
      <w:r w:rsidR="003E68E6" w:rsidRPr="0011190B">
        <w:rPr>
          <w:shd w:val="clear" w:color="auto" w:fill="FFFFFF"/>
        </w:rPr>
        <w:t xml:space="preserve"> but rather argues that his “negligence claim against NWL was based, in part, upon the statutory duty of honesty, good faith and fair dealing which NWL owed him</w:t>
      </w:r>
      <w:r w:rsidR="006015D2">
        <w:rPr>
          <w:shd w:val="clear" w:color="auto" w:fill="FFFFFF"/>
        </w:rPr>
        <w:t>,</w:t>
      </w:r>
      <w:r w:rsidR="003E68E6" w:rsidRPr="0011190B">
        <w:rPr>
          <w:shd w:val="clear" w:color="auto" w:fill="FFFFFF"/>
        </w:rPr>
        <w:t xml:space="preserve"> as a matter of law,”</w:t>
      </w:r>
      <w:r w:rsidR="003E68E6">
        <w:rPr>
          <w:shd w:val="clear" w:color="auto" w:fill="FFFFFF"/>
        </w:rPr>
        <w:t xml:space="preserve"> </w:t>
      </w:r>
      <w:r w:rsidR="00085EA0">
        <w:rPr>
          <w:shd w:val="clear" w:color="auto" w:fill="FFFFFF"/>
        </w:rPr>
        <w:t xml:space="preserve">which Williams </w:t>
      </w:r>
      <w:r w:rsidR="00867239">
        <w:rPr>
          <w:shd w:val="clear" w:color="auto" w:fill="FFFFFF"/>
        </w:rPr>
        <w:t>derived from</w:t>
      </w:r>
      <w:r w:rsidR="003E68E6">
        <w:rPr>
          <w:shd w:val="clear" w:color="auto" w:fill="FFFFFF"/>
        </w:rPr>
        <w:t xml:space="preserve"> Insurance Code section 785, subdivision (a).  </w:t>
      </w:r>
      <w:r w:rsidR="00FF1AFC">
        <w:rPr>
          <w:shd w:val="clear" w:color="auto" w:fill="FFFFFF"/>
        </w:rPr>
        <w:t xml:space="preserve">Williams cites no authority that Insurance Code section 785, subdivision (a), creates a duty of care sufficient to support a negligence claim.  </w:t>
      </w:r>
      <w:r w:rsidR="00085EA0">
        <w:t>Moreover</w:t>
      </w:r>
      <w:r w:rsidR="00FF1AFC">
        <w:t xml:space="preserve">, </w:t>
      </w:r>
      <w:r w:rsidR="00FF1AFC" w:rsidRPr="0011190B">
        <w:t xml:space="preserve">no California case has </w:t>
      </w:r>
      <w:r w:rsidR="00FF1AFC" w:rsidRPr="0011190B">
        <w:lastRenderedPageBreak/>
        <w:t>found that the statute creates a private right of action and</w:t>
      </w:r>
      <w:r w:rsidR="00FF1AFC">
        <w:t xml:space="preserve"> </w:t>
      </w:r>
      <w:r w:rsidR="00867239">
        <w:t xml:space="preserve">multiple </w:t>
      </w:r>
      <w:r w:rsidR="00FF1AFC">
        <w:t>federal courts in California concluded it does not.  (</w:t>
      </w:r>
      <w:r w:rsidR="00FF1AFC">
        <w:rPr>
          <w:i/>
          <w:iCs/>
        </w:rPr>
        <w:t>In re Nat</w:t>
      </w:r>
      <w:r w:rsidR="006015D2">
        <w:rPr>
          <w:i/>
          <w:iCs/>
        </w:rPr>
        <w:t>.</w:t>
      </w:r>
      <w:r w:rsidR="00FF1AFC">
        <w:rPr>
          <w:i/>
          <w:iCs/>
        </w:rPr>
        <w:t xml:space="preserve"> Western Life Ins. Deferred Annuities </w:t>
      </w:r>
      <w:r w:rsidR="00FF1AFC">
        <w:t>(S.D.Cal. 2006) 467 F.Supp.2d 1071, 1088;</w:t>
      </w:r>
      <w:r w:rsidR="00867239">
        <w:t xml:space="preserve"> </w:t>
      </w:r>
      <w:r w:rsidR="00867239">
        <w:rPr>
          <w:i/>
          <w:iCs/>
        </w:rPr>
        <w:t>Abbit v. ING USA Annuity &amp; Life Ins</w:t>
      </w:r>
      <w:r w:rsidR="006015D2">
        <w:rPr>
          <w:i/>
          <w:iCs/>
        </w:rPr>
        <w:t>.</w:t>
      </w:r>
      <w:r w:rsidR="00867239">
        <w:rPr>
          <w:i/>
          <w:iCs/>
        </w:rPr>
        <w:t xml:space="preserve"> Co. </w:t>
      </w:r>
      <w:r w:rsidR="00867239">
        <w:t>(S.D.Cal. 2014) 999 F.Supp.2d 1189, 1198;</w:t>
      </w:r>
      <w:r w:rsidR="00FF1AFC">
        <w:t xml:space="preserve"> </w:t>
      </w:r>
      <w:r w:rsidR="00FF1AFC">
        <w:rPr>
          <w:i/>
          <w:iCs/>
        </w:rPr>
        <w:t xml:space="preserve">Parducci v. Overland Solutions, Inc. </w:t>
      </w:r>
      <w:r w:rsidR="00FF1AFC">
        <w:t>(</w:t>
      </w:r>
      <w:r w:rsidR="00867239">
        <w:t xml:space="preserve">N.D.Cal. </w:t>
      </w:r>
      <w:r w:rsidR="00FF1AFC">
        <w:t>2019) 399 F.Supp.3d 969, 979</w:t>
      </w:r>
      <w:r w:rsidR="00FD0A7A">
        <w:t xml:space="preserve">; </w:t>
      </w:r>
      <w:r w:rsidR="00FF1AFC">
        <w:t xml:space="preserve">see also </w:t>
      </w:r>
      <w:r w:rsidR="00FF1AFC">
        <w:rPr>
          <w:i/>
          <w:iCs/>
        </w:rPr>
        <w:t xml:space="preserve">Mahan v. Charles W. Chan Ins. Agency, Inc. </w:t>
      </w:r>
      <w:r w:rsidR="00FF1AFC">
        <w:t xml:space="preserve">(2017) 14 Cal.App.5th 841, 868, fn. 27 </w:t>
      </w:r>
      <w:r w:rsidR="00607875">
        <w:t>(</w:t>
      </w:r>
      <w:r w:rsidR="00607875">
        <w:rPr>
          <w:i/>
          <w:iCs/>
        </w:rPr>
        <w:t>Mahan</w:t>
      </w:r>
      <w:r w:rsidR="00607875">
        <w:t>)</w:t>
      </w:r>
      <w:r w:rsidR="00607875">
        <w:rPr>
          <w:i/>
          <w:iCs/>
        </w:rPr>
        <w:t xml:space="preserve"> </w:t>
      </w:r>
      <w:r w:rsidR="00FF1AFC">
        <w:t xml:space="preserve">[declining to take judicial notice of the DOI’s opinion </w:t>
      </w:r>
      <w:r w:rsidR="00867239">
        <w:t>on</w:t>
      </w:r>
      <w:r w:rsidR="00FF1AFC">
        <w:t xml:space="preserve"> Ins</w:t>
      </w:r>
      <w:r w:rsidR="006015D2">
        <w:t>.</w:t>
      </w:r>
      <w:r w:rsidR="00FF1AFC">
        <w:t xml:space="preserve"> Code</w:t>
      </w:r>
      <w:r w:rsidR="006015D2">
        <w:t>,</w:t>
      </w:r>
      <w:r w:rsidR="00FF1AFC">
        <w:t xml:space="preserve"> </w:t>
      </w:r>
      <w:r w:rsidR="006015D2">
        <w:t>§ </w:t>
      </w:r>
      <w:r w:rsidR="00FF1AFC">
        <w:t>785</w:t>
      </w:r>
      <w:r w:rsidR="00867239">
        <w:t xml:space="preserve"> and address on appeal whether the statute</w:t>
      </w:r>
      <w:r w:rsidR="00FF1AFC">
        <w:t xml:space="preserve"> creates a private cause of action].)</w:t>
      </w:r>
    </w:p>
    <w:p w14:paraId="0B6083CB" w14:textId="57E5E961" w:rsidR="00A70ED8" w:rsidRPr="006015D2" w:rsidRDefault="007F4A60" w:rsidP="008F3726">
      <w:r>
        <w:tab/>
      </w:r>
      <w:r w:rsidRPr="008F3726">
        <w:t>Williams turns to the suitability requirements of Insurance Code section 10509.914, subdivision (c)</w:t>
      </w:r>
      <w:r w:rsidR="006116A6">
        <w:t>,</w:t>
      </w:r>
      <w:r w:rsidR="00085EA0">
        <w:t xml:space="preserve"> for sales of annuities</w:t>
      </w:r>
      <w:r w:rsidR="008D678E">
        <w:t>—</w:t>
      </w:r>
      <w:r w:rsidR="009E15C1" w:rsidRPr="008F3726">
        <w:t xml:space="preserve">which provides in relevant part that </w:t>
      </w:r>
      <w:r w:rsidR="009E15C1" w:rsidRPr="0011190B">
        <w:t>“</w:t>
      </w:r>
      <w:r w:rsidR="009E15C1" w:rsidRPr="0011190B">
        <w:rPr>
          <w:shd w:val="clear" w:color="auto" w:fill="FFFFFF"/>
        </w:rPr>
        <w:t>an insurer shall not issue an annuity recommended to a consumer unless there is a</w:t>
      </w:r>
      <w:r w:rsidR="009E15C1" w:rsidRPr="008F3726">
        <w:rPr>
          <w:shd w:val="clear" w:color="auto" w:fill="FFFFFF"/>
        </w:rPr>
        <w:t xml:space="preserve"> </w:t>
      </w:r>
      <w:r w:rsidR="009E15C1" w:rsidRPr="0011190B">
        <w:rPr>
          <w:shd w:val="clear" w:color="auto" w:fill="FFFFFF"/>
        </w:rPr>
        <w:t>reasonable basis to believe the annuity is suitable based on the consumer</w:t>
      </w:r>
      <w:r w:rsidR="006015D2">
        <w:rPr>
          <w:shd w:val="clear" w:color="auto" w:fill="FFFFFF"/>
        </w:rPr>
        <w:t>’</w:t>
      </w:r>
      <w:r w:rsidR="009E15C1" w:rsidRPr="0011190B">
        <w:rPr>
          <w:shd w:val="clear" w:color="auto" w:fill="FFFFFF"/>
        </w:rPr>
        <w:t>s suitability information</w:t>
      </w:r>
      <w:r w:rsidR="009E15C1" w:rsidRPr="0011190B">
        <w:t>.</w:t>
      </w:r>
      <w:r w:rsidR="00085EA0" w:rsidRPr="0011190B">
        <w:t>”</w:t>
      </w:r>
      <w:r w:rsidR="009E15C1" w:rsidRPr="008F3726">
        <w:t xml:space="preserve">  “Suitability information” includes</w:t>
      </w:r>
      <w:r w:rsidR="00085EA0">
        <w:t xml:space="preserve"> the consumer’s</w:t>
      </w:r>
      <w:r w:rsidR="009E15C1" w:rsidRPr="008F3726">
        <w:t xml:space="preserve"> “Liquidity needs” and </w:t>
      </w:r>
      <w:r w:rsidR="008F3726" w:rsidRPr="008F3726">
        <w:t>“Liquid net worth.”  (Ins. Code, §</w:t>
      </w:r>
      <w:r w:rsidR="00B70E03">
        <w:t> </w:t>
      </w:r>
      <w:r w:rsidR="008F3726" w:rsidRPr="008F3726">
        <w:t>10509.913, subd. (i)(9), (10).)</w:t>
      </w:r>
      <w:r w:rsidR="008F3726">
        <w:t xml:space="preserve">  Again, Williams cites no authority basing a duty of care for purposes of a negligence claim on a violation of Insurance Code section 10509.91</w:t>
      </w:r>
      <w:r w:rsidR="00867239">
        <w:t>4</w:t>
      </w:r>
      <w:r w:rsidR="008F3726">
        <w:t xml:space="preserve">, subdivision (c).  </w:t>
      </w:r>
      <w:r w:rsidR="009756D1">
        <w:t>Moreover, NWL’s</w:t>
      </w:r>
      <w:r w:rsidR="008F3726">
        <w:t xml:space="preserve"> </w:t>
      </w:r>
      <w:r w:rsidR="008F3726" w:rsidRPr="0011190B">
        <w:t xml:space="preserve">source of suitability information </w:t>
      </w:r>
      <w:r w:rsidR="009756D1" w:rsidRPr="0011190B">
        <w:t xml:space="preserve">was </w:t>
      </w:r>
      <w:r w:rsidR="008F3726" w:rsidRPr="0011190B">
        <w:t xml:space="preserve">the </w:t>
      </w:r>
      <w:r w:rsidR="009756D1" w:rsidRPr="0011190B">
        <w:t>suitability questionnaire that accompanied the application</w:t>
      </w:r>
      <w:r w:rsidR="008F3726" w:rsidRPr="0011190B">
        <w:t>.</w:t>
      </w:r>
      <w:r w:rsidR="00480FED" w:rsidRPr="0011190B">
        <w:t xml:space="preserve"> </w:t>
      </w:r>
      <w:r w:rsidR="00A70ED8" w:rsidRPr="0011190B">
        <w:rPr>
          <w:color w:val="3D3D3D"/>
          <w:sz w:val="25"/>
          <w:szCs w:val="25"/>
          <w:shd w:val="clear" w:color="auto" w:fill="FFFFFF"/>
        </w:rPr>
        <w:t xml:space="preserve"> </w:t>
      </w:r>
      <w:r w:rsidR="00085EA0" w:rsidRPr="000E7A0C">
        <w:rPr>
          <w:sz w:val="25"/>
          <w:szCs w:val="25"/>
          <w:shd w:val="clear" w:color="auto" w:fill="FFFFFF"/>
        </w:rPr>
        <w:t>Thus</w:t>
      </w:r>
      <w:r w:rsidR="00867239" w:rsidRPr="000E7A0C">
        <w:rPr>
          <w:sz w:val="25"/>
          <w:szCs w:val="25"/>
          <w:shd w:val="clear" w:color="auto" w:fill="FFFFFF"/>
        </w:rPr>
        <w:t xml:space="preserve">, the </w:t>
      </w:r>
      <w:r w:rsidR="00A70ED8" w:rsidRPr="000E7A0C">
        <w:rPr>
          <w:sz w:val="25"/>
          <w:szCs w:val="25"/>
          <w:shd w:val="clear" w:color="auto" w:fill="FFFFFF"/>
        </w:rPr>
        <w:t>principle applies that</w:t>
      </w:r>
      <w:r w:rsidR="00A70ED8" w:rsidRPr="000E7A0C">
        <w:rPr>
          <w:rFonts w:ascii="Source Sans Pro" w:hAnsi="Source Sans Pro"/>
          <w:sz w:val="25"/>
          <w:szCs w:val="25"/>
          <w:shd w:val="clear" w:color="auto" w:fill="FFFFFF"/>
        </w:rPr>
        <w:t xml:space="preserve"> </w:t>
      </w:r>
      <w:r w:rsidR="00480FED" w:rsidRPr="000E7A0C">
        <w:rPr>
          <w:shd w:val="clear" w:color="auto" w:fill="FFFFFF"/>
        </w:rPr>
        <w:t>“</w:t>
      </w:r>
      <w:r w:rsidR="008D678E" w:rsidRPr="000E7A0C">
        <w:rPr>
          <w:shd w:val="clear" w:color="auto" w:fill="FFFFFF"/>
        </w:rPr>
        <w:t> </w:t>
      </w:r>
      <w:r w:rsidR="00A70ED8" w:rsidRPr="000E7A0C">
        <w:rPr>
          <w:shd w:val="clear" w:color="auto" w:fill="FFFFFF"/>
        </w:rPr>
        <w:t>‘a</w:t>
      </w:r>
      <w:r w:rsidR="00480FED" w:rsidRPr="000E7A0C">
        <w:rPr>
          <w:shd w:val="clear" w:color="auto" w:fill="FFFFFF"/>
        </w:rPr>
        <w:t>n</w:t>
      </w:r>
      <w:r w:rsidR="008D678E" w:rsidRPr="000E7A0C">
        <w:rPr>
          <w:shd w:val="clear" w:color="auto" w:fill="FFFFFF"/>
        </w:rPr>
        <w:t xml:space="preserve"> </w:t>
      </w:r>
      <w:r w:rsidR="00480FED" w:rsidRPr="000E7A0C">
        <w:rPr>
          <w:rStyle w:val="cosearchterm"/>
          <w:bdr w:val="none" w:sz="0" w:space="0" w:color="auto" w:frame="1"/>
        </w:rPr>
        <w:t>insurer</w:t>
      </w:r>
      <w:r w:rsidR="008D678E" w:rsidRPr="000E7A0C">
        <w:rPr>
          <w:shd w:val="clear" w:color="auto" w:fill="FFFFFF"/>
        </w:rPr>
        <w:t xml:space="preserve"> </w:t>
      </w:r>
      <w:r w:rsidR="00480FED" w:rsidRPr="000E7A0C">
        <w:rPr>
          <w:shd w:val="clear" w:color="auto" w:fill="FFFFFF"/>
        </w:rPr>
        <w:t>has the right to</w:t>
      </w:r>
      <w:r w:rsidR="008D678E" w:rsidRPr="000E7A0C">
        <w:rPr>
          <w:shd w:val="clear" w:color="auto" w:fill="FFFFFF"/>
        </w:rPr>
        <w:t xml:space="preserve"> </w:t>
      </w:r>
      <w:r w:rsidR="00480FED" w:rsidRPr="000E7A0C">
        <w:rPr>
          <w:rStyle w:val="cosearchterm"/>
          <w:bdr w:val="none" w:sz="0" w:space="0" w:color="auto" w:frame="1"/>
        </w:rPr>
        <w:t>rely</w:t>
      </w:r>
      <w:r w:rsidR="008D678E" w:rsidRPr="000E7A0C">
        <w:rPr>
          <w:shd w:val="clear" w:color="auto" w:fill="FFFFFF"/>
        </w:rPr>
        <w:t xml:space="preserve"> </w:t>
      </w:r>
      <w:r w:rsidR="00480FED" w:rsidRPr="000E7A0C">
        <w:rPr>
          <w:shd w:val="clear" w:color="auto" w:fill="FFFFFF"/>
        </w:rPr>
        <w:t>on the</w:t>
      </w:r>
      <w:r w:rsidR="008D678E" w:rsidRPr="000E7A0C">
        <w:rPr>
          <w:shd w:val="clear" w:color="auto" w:fill="FFFFFF"/>
        </w:rPr>
        <w:t xml:space="preserve"> </w:t>
      </w:r>
      <w:r w:rsidR="00480FED" w:rsidRPr="000E7A0C">
        <w:rPr>
          <w:rStyle w:val="cosearchterm"/>
          <w:bdr w:val="none" w:sz="0" w:space="0" w:color="auto" w:frame="1"/>
        </w:rPr>
        <w:t>insured</w:t>
      </w:r>
      <w:r w:rsidR="008D678E" w:rsidRPr="000E7A0C">
        <w:rPr>
          <w:rStyle w:val="cosearchterm"/>
          <w:bdr w:val="none" w:sz="0" w:space="0" w:color="auto" w:frame="1"/>
        </w:rPr>
        <w:t>’</w:t>
      </w:r>
      <w:r w:rsidR="00480FED" w:rsidRPr="000E7A0C">
        <w:rPr>
          <w:rStyle w:val="cosearchterm"/>
          <w:bdr w:val="none" w:sz="0" w:space="0" w:color="auto" w:frame="1"/>
        </w:rPr>
        <w:t>s</w:t>
      </w:r>
      <w:r w:rsidR="008D678E" w:rsidRPr="000E7A0C">
        <w:rPr>
          <w:shd w:val="clear" w:color="auto" w:fill="FFFFFF"/>
        </w:rPr>
        <w:t xml:space="preserve"> </w:t>
      </w:r>
      <w:r w:rsidR="00480FED" w:rsidRPr="000E7A0C">
        <w:rPr>
          <w:rStyle w:val="cosearchterm"/>
          <w:bdr w:val="none" w:sz="0" w:space="0" w:color="auto" w:frame="1"/>
        </w:rPr>
        <w:t>answers</w:t>
      </w:r>
      <w:r w:rsidR="008D678E" w:rsidRPr="000E7A0C">
        <w:rPr>
          <w:shd w:val="clear" w:color="auto" w:fill="FFFFFF"/>
        </w:rPr>
        <w:t xml:space="preserve"> </w:t>
      </w:r>
      <w:r w:rsidR="00480FED" w:rsidRPr="000E7A0C">
        <w:rPr>
          <w:shd w:val="clear" w:color="auto" w:fill="FFFFFF"/>
        </w:rPr>
        <w:t>to questions in the</w:t>
      </w:r>
      <w:r w:rsidR="008D678E" w:rsidRPr="000E7A0C">
        <w:rPr>
          <w:shd w:val="clear" w:color="auto" w:fill="FFFFFF"/>
        </w:rPr>
        <w:t xml:space="preserve"> </w:t>
      </w:r>
      <w:r w:rsidR="00480FED" w:rsidRPr="000E7A0C">
        <w:rPr>
          <w:rStyle w:val="cosearchterm"/>
          <w:bdr w:val="none" w:sz="0" w:space="0" w:color="auto" w:frame="1"/>
        </w:rPr>
        <w:t>insurance</w:t>
      </w:r>
      <w:r w:rsidR="008D678E" w:rsidRPr="000E7A0C">
        <w:rPr>
          <w:shd w:val="clear" w:color="auto" w:fill="FFFFFF"/>
        </w:rPr>
        <w:t xml:space="preserve"> </w:t>
      </w:r>
      <w:r w:rsidR="00480FED" w:rsidRPr="000E7A0C">
        <w:rPr>
          <w:rStyle w:val="cosearchterm"/>
          <w:bdr w:val="none" w:sz="0" w:space="0" w:color="auto" w:frame="1"/>
        </w:rPr>
        <w:t>application</w:t>
      </w:r>
      <w:r w:rsidR="008D678E" w:rsidRPr="000E7A0C">
        <w:rPr>
          <w:shd w:val="clear" w:color="auto" w:fill="FFFFFF"/>
        </w:rPr>
        <w:t xml:space="preserve"> </w:t>
      </w:r>
      <w:r w:rsidR="00480FED" w:rsidRPr="000E7A0C">
        <w:rPr>
          <w:shd w:val="clear" w:color="auto" w:fill="FFFFFF"/>
        </w:rPr>
        <w:t>without verifying their</w:t>
      </w:r>
      <w:r w:rsidR="008D678E" w:rsidRPr="000E7A0C">
        <w:rPr>
          <w:shd w:val="clear" w:color="auto" w:fill="FFFFFF"/>
        </w:rPr>
        <w:t xml:space="preserve"> </w:t>
      </w:r>
      <w:r w:rsidR="00480FED" w:rsidRPr="000E7A0C">
        <w:rPr>
          <w:rStyle w:val="cosearchterm"/>
          <w:bdr w:val="none" w:sz="0" w:space="0" w:color="auto" w:frame="1"/>
        </w:rPr>
        <w:t>accuracy</w:t>
      </w:r>
      <w:r w:rsidR="00480FED" w:rsidRPr="000E7A0C">
        <w:rPr>
          <w:shd w:val="clear" w:color="auto" w:fill="FFFFFF"/>
        </w:rPr>
        <w:t>.</w:t>
      </w:r>
      <w:r w:rsidR="00A70ED8" w:rsidRPr="000E7A0C">
        <w:rPr>
          <w:shd w:val="clear" w:color="auto" w:fill="FFFFFF"/>
        </w:rPr>
        <w:t>’</w:t>
      </w:r>
      <w:r w:rsidR="008D678E" w:rsidRPr="000E7A0C">
        <w:rPr>
          <w:shd w:val="clear" w:color="auto" w:fill="FFFFFF"/>
        </w:rPr>
        <w:t> </w:t>
      </w:r>
      <w:r w:rsidR="00480FED" w:rsidRPr="000E7A0C">
        <w:rPr>
          <w:shd w:val="clear" w:color="auto" w:fill="FFFFFF"/>
        </w:rPr>
        <w:t>”</w:t>
      </w:r>
      <w:r w:rsidR="008D678E" w:rsidRPr="000E7A0C">
        <w:rPr>
          <w:shd w:val="clear" w:color="auto" w:fill="FFFFFF"/>
        </w:rPr>
        <w:t xml:space="preserve"> </w:t>
      </w:r>
      <w:r w:rsidR="00480FED" w:rsidRPr="000E7A0C">
        <w:rPr>
          <w:shd w:val="clear" w:color="auto" w:fill="FFFFFF"/>
        </w:rPr>
        <w:t xml:space="preserve"> (</w:t>
      </w:r>
      <w:r w:rsidR="00480FED" w:rsidRPr="000E7A0C">
        <w:rPr>
          <w:i/>
          <w:iCs/>
          <w:shd w:val="clear" w:color="auto" w:fill="FFFFFF"/>
        </w:rPr>
        <w:t>LA Sound USA, Inc. v. St. Paul Fire &amp; Marine Ins</w:t>
      </w:r>
      <w:r w:rsidR="006015D2">
        <w:rPr>
          <w:i/>
          <w:iCs/>
          <w:shd w:val="clear" w:color="auto" w:fill="FFFFFF"/>
        </w:rPr>
        <w:t>. Co.</w:t>
      </w:r>
      <w:r w:rsidR="00480FED" w:rsidRPr="000E7A0C">
        <w:rPr>
          <w:i/>
          <w:iCs/>
          <w:shd w:val="clear" w:color="auto" w:fill="FFFFFF"/>
        </w:rPr>
        <w:t xml:space="preserve"> </w:t>
      </w:r>
      <w:r w:rsidR="00122365" w:rsidRPr="000E7A0C">
        <w:rPr>
          <w:shd w:val="clear" w:color="auto" w:fill="FFFFFF"/>
        </w:rPr>
        <w:t>(2007</w:t>
      </w:r>
      <w:r w:rsidR="00480FED" w:rsidRPr="000E7A0C">
        <w:rPr>
          <w:shd w:val="clear" w:color="auto" w:fill="FFFFFF"/>
        </w:rPr>
        <w:t>) 156</w:t>
      </w:r>
      <w:r w:rsidR="008D678E" w:rsidRPr="000E7A0C">
        <w:rPr>
          <w:shd w:val="clear" w:color="auto" w:fill="FFFFFF"/>
        </w:rPr>
        <w:t> </w:t>
      </w:r>
      <w:r w:rsidR="00480FED" w:rsidRPr="000E7A0C">
        <w:rPr>
          <w:shd w:val="clear" w:color="auto" w:fill="FFFFFF"/>
        </w:rPr>
        <w:t>Cal.App.4th 1259, 1271</w:t>
      </w:r>
      <w:r w:rsidR="00122365" w:rsidRPr="000E7A0C">
        <w:rPr>
          <w:shd w:val="clear" w:color="auto" w:fill="FFFFFF"/>
        </w:rPr>
        <w:t xml:space="preserve"> (</w:t>
      </w:r>
      <w:r w:rsidR="00122365" w:rsidRPr="000E7A0C">
        <w:rPr>
          <w:i/>
          <w:iCs/>
          <w:shd w:val="clear" w:color="auto" w:fill="FFFFFF"/>
        </w:rPr>
        <w:t>LA Sound</w:t>
      </w:r>
      <w:r w:rsidR="00122365" w:rsidRPr="000E7A0C">
        <w:rPr>
          <w:shd w:val="clear" w:color="auto" w:fill="FFFFFF"/>
        </w:rPr>
        <w:t>)</w:t>
      </w:r>
      <w:r w:rsidR="00480FED" w:rsidRPr="000E7A0C">
        <w:rPr>
          <w:shd w:val="clear" w:color="auto" w:fill="FFFFFF"/>
        </w:rPr>
        <w:t xml:space="preserve">, quoting </w:t>
      </w:r>
      <w:r w:rsidR="00480FED" w:rsidRPr="006015D2">
        <w:rPr>
          <w:rStyle w:val="Emphasis"/>
          <w:bdr w:val="none" w:sz="0" w:space="0" w:color="auto" w:frame="1"/>
          <w:shd w:val="clear" w:color="auto" w:fill="FFFFFF"/>
        </w:rPr>
        <w:t>Mitchell v. United National Ins. Co.</w:t>
      </w:r>
      <w:r w:rsidR="00480FED" w:rsidRPr="00C72BCC">
        <w:rPr>
          <w:bdr w:val="none" w:sz="0" w:space="0" w:color="auto" w:frame="1"/>
          <w:shd w:val="clear" w:color="auto" w:fill="FFFFFF"/>
        </w:rPr>
        <w:t xml:space="preserve"> (2005) 127 Cal.App.4th 457, 477</w:t>
      </w:r>
      <w:r w:rsidR="00A70ED8" w:rsidRPr="00C72BCC">
        <w:rPr>
          <w:bdr w:val="none" w:sz="0" w:space="0" w:color="auto" w:frame="1"/>
          <w:shd w:val="clear" w:color="auto" w:fill="FFFFFF"/>
        </w:rPr>
        <w:t xml:space="preserve"> (</w:t>
      </w:r>
      <w:r w:rsidR="00A70ED8" w:rsidRPr="00C72BCC">
        <w:rPr>
          <w:i/>
          <w:iCs/>
          <w:bdr w:val="none" w:sz="0" w:space="0" w:color="auto" w:frame="1"/>
          <w:shd w:val="clear" w:color="auto" w:fill="FFFFFF"/>
        </w:rPr>
        <w:t>Mitchell</w:t>
      </w:r>
      <w:r w:rsidR="00A70ED8" w:rsidRPr="00C72BCC">
        <w:rPr>
          <w:bdr w:val="none" w:sz="0" w:space="0" w:color="auto" w:frame="1"/>
          <w:shd w:val="clear" w:color="auto" w:fill="FFFFFF"/>
        </w:rPr>
        <w:t>)</w:t>
      </w:r>
      <w:r w:rsidR="00480FED" w:rsidRPr="00C72BCC">
        <w:rPr>
          <w:bdr w:val="none" w:sz="0" w:space="0" w:color="auto" w:frame="1"/>
          <w:shd w:val="clear" w:color="auto" w:fill="FFFFFF"/>
        </w:rPr>
        <w:t xml:space="preserve">.) </w:t>
      </w:r>
      <w:r w:rsidR="009756D1" w:rsidRPr="006015D2">
        <w:t xml:space="preserve"> </w:t>
      </w:r>
    </w:p>
    <w:p w14:paraId="5C41A427" w14:textId="1C603763" w:rsidR="007F4A60" w:rsidRDefault="00A70ED8" w:rsidP="008F3726">
      <w:r>
        <w:tab/>
      </w:r>
      <w:r w:rsidR="009756D1" w:rsidRPr="0011190B">
        <w:t xml:space="preserve">Williams points to inconsistencies in the suitability questionnaire </w:t>
      </w:r>
      <w:r w:rsidR="00122365" w:rsidRPr="0011190B">
        <w:t>as raising “</w:t>
      </w:r>
      <w:r w:rsidR="009756D1" w:rsidRPr="0011190B">
        <w:t xml:space="preserve">questions not only </w:t>
      </w:r>
      <w:r w:rsidR="006015D2">
        <w:t xml:space="preserve">about the </w:t>
      </w:r>
      <w:r w:rsidR="009756D1" w:rsidRPr="0011190B">
        <w:t>suitability of the annuity but also the reliability of other answers on the questionnaire</w:t>
      </w:r>
      <w:r w:rsidR="009756D1">
        <w:t xml:space="preserve">.”  The evidence at trial was that there was discrepancy between a box checked on the questionnaire indicating that </w:t>
      </w:r>
      <w:r w:rsidR="00BB68D2">
        <w:t xml:space="preserve">post-purchase </w:t>
      </w:r>
      <w:r w:rsidR="009756D1">
        <w:t xml:space="preserve">Williams’ </w:t>
      </w:r>
      <w:r>
        <w:t xml:space="preserve">liquidity </w:t>
      </w:r>
      <w:r w:rsidR="009756D1">
        <w:t xml:space="preserve">ranged between $50,000 and $99,000 </w:t>
      </w:r>
      <w:r>
        <w:t xml:space="preserve">while a </w:t>
      </w:r>
      <w:r w:rsidR="009756D1">
        <w:t>blank for</w:t>
      </w:r>
      <w:r>
        <w:t xml:space="preserve"> post-purchase</w:t>
      </w:r>
      <w:r w:rsidR="009756D1">
        <w:t xml:space="preserve"> liquid net </w:t>
      </w:r>
      <w:r w:rsidR="009756D1">
        <w:lastRenderedPageBreak/>
        <w:t xml:space="preserve">worth </w:t>
      </w:r>
      <w:r>
        <w:t xml:space="preserve">was </w:t>
      </w:r>
      <w:r w:rsidR="009756D1">
        <w:t>filled in with</w:t>
      </w:r>
      <w:r>
        <w:t xml:space="preserve"> the amount of</w:t>
      </w:r>
      <w:r w:rsidR="009756D1">
        <w:t xml:space="preserve"> $120,000.  </w:t>
      </w:r>
      <w:r w:rsidR="00BB68D2" w:rsidRPr="0011190B">
        <w:t xml:space="preserve">As </w:t>
      </w:r>
      <w:r w:rsidR="00122365" w:rsidRPr="0011190B">
        <w:t>Burns</w:t>
      </w:r>
      <w:r w:rsidR="00BB68D2" w:rsidRPr="0011190B">
        <w:t xml:space="preserve"> testified, this discrepancy was not that great, and her testimony was undisputed that the questionnaire indicated that $99,000 was five times Williams’ liquidity needs.</w:t>
      </w:r>
      <w:r w:rsidR="00BB68D2">
        <w:t xml:space="preserve">  Williams argues that, based on inconsistencies</w:t>
      </w:r>
      <w:r>
        <w:t xml:space="preserve"> in the questionnaire</w:t>
      </w:r>
      <w:r w:rsidR="00BB68D2">
        <w:t>, had NWL called him it would have discovered he had a much lower post-purchase liquidity amount.  However, NWL had no duty to conduct a follow</w:t>
      </w:r>
      <w:r w:rsidR="00240DF5">
        <w:t>-</w:t>
      </w:r>
      <w:r w:rsidR="00BB68D2">
        <w:t xml:space="preserve">up investigation </w:t>
      </w:r>
      <w:r>
        <w:t xml:space="preserve">to determine if there were facts that did not appear, or were different from facts that did appear, on the suitability questionnaire.  </w:t>
      </w:r>
      <w:r w:rsidRPr="000E7A0C">
        <w:rPr>
          <w:shd w:val="clear" w:color="auto" w:fill="FFFFFF"/>
        </w:rPr>
        <w:t>(</w:t>
      </w:r>
      <w:r w:rsidRPr="000E7A0C">
        <w:rPr>
          <w:i/>
          <w:iCs/>
          <w:shd w:val="clear" w:color="auto" w:fill="FFFFFF"/>
        </w:rPr>
        <w:t>LA Sound, supra</w:t>
      </w:r>
      <w:r w:rsidRPr="000E7A0C">
        <w:rPr>
          <w:shd w:val="clear" w:color="auto" w:fill="FFFFFF"/>
        </w:rPr>
        <w:t xml:space="preserve">, 156 Cal.App.4th at p. 1271; </w:t>
      </w:r>
      <w:r w:rsidRPr="006015D2">
        <w:rPr>
          <w:rStyle w:val="Emphasis"/>
          <w:bdr w:val="none" w:sz="0" w:space="0" w:color="auto" w:frame="1"/>
          <w:shd w:val="clear" w:color="auto" w:fill="FFFFFF"/>
        </w:rPr>
        <w:t>Mitchell</w:t>
      </w:r>
      <w:r w:rsidR="008D678E" w:rsidRPr="006015D2">
        <w:rPr>
          <w:rStyle w:val="Emphasis"/>
          <w:bdr w:val="none" w:sz="0" w:space="0" w:color="auto" w:frame="1"/>
          <w:shd w:val="clear" w:color="auto" w:fill="FFFFFF"/>
        </w:rPr>
        <w:t>, supra</w:t>
      </w:r>
      <w:r w:rsidRPr="00737ACA">
        <w:rPr>
          <w:rStyle w:val="Emphasis"/>
          <w:i w:val="0"/>
          <w:iCs w:val="0"/>
          <w:bdr w:val="none" w:sz="0" w:space="0" w:color="auto" w:frame="1"/>
          <w:shd w:val="clear" w:color="auto" w:fill="FFFFFF"/>
        </w:rPr>
        <w:t xml:space="preserve">, </w:t>
      </w:r>
      <w:r w:rsidRPr="00C72BCC">
        <w:rPr>
          <w:bdr w:val="none" w:sz="0" w:space="0" w:color="auto" w:frame="1"/>
          <w:shd w:val="clear" w:color="auto" w:fill="FFFFFF"/>
        </w:rPr>
        <w:t xml:space="preserve">127 Cal.App.4th at p. 477.) </w:t>
      </w:r>
      <w:r w:rsidR="00CC18CB" w:rsidRPr="006015D2">
        <w:t xml:space="preserve"> </w:t>
      </w:r>
      <w:r w:rsidR="00CC18CB">
        <w:t xml:space="preserve">The suitability statutes for sales </w:t>
      </w:r>
      <w:r w:rsidR="00085EA0">
        <w:t xml:space="preserve">of annuities </w:t>
      </w:r>
      <w:r w:rsidR="00CC18CB">
        <w:t>do not furnish a duty of care for purposes of a negligence claim.</w:t>
      </w:r>
    </w:p>
    <w:p w14:paraId="24DEA6FD" w14:textId="2889DA2F" w:rsidR="00D655D3" w:rsidRDefault="002E1234" w:rsidP="00726420">
      <w:r>
        <w:tab/>
      </w:r>
      <w:r w:rsidRPr="0011190B">
        <w:t>Lastly, Williams argues that NWL breached the duty to investigate his complaint about Pantaleoni</w:t>
      </w:r>
      <w:r>
        <w:t>.</w:t>
      </w:r>
      <w:r w:rsidR="001E666F">
        <w:rPr>
          <w:rStyle w:val="FootnoteReference"/>
        </w:rPr>
        <w:footnoteReference w:id="8"/>
      </w:r>
      <w:r>
        <w:t xml:space="preserve">  </w:t>
      </w:r>
      <w:r w:rsidR="00295773">
        <w:t xml:space="preserve">Williams does not cite any authority where an insurance company was held liable </w:t>
      </w:r>
      <w:r w:rsidR="00AD6502">
        <w:t xml:space="preserve">in a </w:t>
      </w:r>
      <w:r w:rsidR="00295773">
        <w:t xml:space="preserve">negligence </w:t>
      </w:r>
      <w:r w:rsidR="00AD6502">
        <w:t xml:space="preserve">for breach of the duty of care </w:t>
      </w:r>
      <w:r w:rsidR="00295773">
        <w:t>in failing to investigate a</w:t>
      </w:r>
      <w:r w:rsidR="00AD6502">
        <w:t>n insured’s</w:t>
      </w:r>
      <w:r w:rsidR="00295773">
        <w:t xml:space="preserve"> complaint about an independent agent.  </w:t>
      </w:r>
      <w:r w:rsidR="00295773" w:rsidRPr="0011190B">
        <w:t>This allegation sounds in negligent supervision</w:t>
      </w:r>
      <w:r w:rsidR="006A2E02" w:rsidRPr="0011190B">
        <w:t xml:space="preserve"> and, as discussed, NWL had no duty to</w:t>
      </w:r>
      <w:r w:rsidR="007078AC" w:rsidRPr="0011190B">
        <w:t xml:space="preserve"> supervise</w:t>
      </w:r>
      <w:r w:rsidR="006A2E02" w:rsidRPr="0011190B">
        <w:t xml:space="preserve"> </w:t>
      </w:r>
      <w:r w:rsidR="00085EA0" w:rsidRPr="0011190B">
        <w:t xml:space="preserve">and monitor </w:t>
      </w:r>
      <w:r w:rsidR="006A2E02" w:rsidRPr="0011190B">
        <w:t xml:space="preserve">Pantaleoni for misconduct.  </w:t>
      </w:r>
      <w:r w:rsidR="007078AC" w:rsidRPr="0011190B">
        <w:t xml:space="preserve">Further, </w:t>
      </w:r>
      <w:r w:rsidR="006A2E02" w:rsidRPr="0011190B">
        <w:t xml:space="preserve">Williams bases this negligence theory not on a principle of law but on policies NWL adopted </w:t>
      </w:r>
      <w:r w:rsidR="00085EA0" w:rsidRPr="0011190B">
        <w:t>as the result of</w:t>
      </w:r>
      <w:r w:rsidR="00DB4FC0" w:rsidRPr="0011190B">
        <w:t xml:space="preserve"> a </w:t>
      </w:r>
      <w:r w:rsidR="006A2E02" w:rsidRPr="0011190B">
        <w:t>settlement</w:t>
      </w:r>
      <w:r w:rsidR="00085EA0" w:rsidRPr="0011190B">
        <w:t xml:space="preserve"> agreement</w:t>
      </w:r>
      <w:r w:rsidR="00DB4FC0">
        <w:t xml:space="preserve"> in 2010</w:t>
      </w:r>
      <w:r w:rsidR="00D40F77">
        <w:t xml:space="preserve"> with the California Insurance Commissioner</w:t>
      </w:r>
      <w:r w:rsidR="00B76EA3">
        <w:t xml:space="preserve"> entered into in conjunction with </w:t>
      </w:r>
      <w:r w:rsidR="007078AC">
        <w:t xml:space="preserve">a </w:t>
      </w:r>
      <w:r w:rsidR="00B76EA3">
        <w:t>class action settlement agreement</w:t>
      </w:r>
      <w:r w:rsidR="00DB4FC0">
        <w:t xml:space="preserve">.  </w:t>
      </w:r>
      <w:r w:rsidR="00D40F77">
        <w:t>In the settlement agreement, the commissioner’s allegations against NW</w:t>
      </w:r>
      <w:r w:rsidR="00755E1E">
        <w:t>L</w:t>
      </w:r>
      <w:r w:rsidR="00D40F77">
        <w:t xml:space="preserve"> were denied in detail and the parties agreed the settlement did not constitute an admission of the truth of any allegation or any fault or liability on the part of NWL.  </w:t>
      </w:r>
      <w:r w:rsidR="00755E1E">
        <w:t xml:space="preserve">In </w:t>
      </w:r>
      <w:r w:rsidR="00755E1E">
        <w:lastRenderedPageBreak/>
        <w:t>agreeing to sales and marketing reforms, including complaint referral practices reforms, NWL did not admit its current practices were in any way improper or unlawful under any applicable law.</w:t>
      </w:r>
    </w:p>
    <w:p w14:paraId="5449F869" w14:textId="0B8AF33F" w:rsidR="00655FE4" w:rsidRDefault="00D655D3" w:rsidP="00726420">
      <w:r>
        <w:tab/>
      </w:r>
      <w:r w:rsidR="007B37EA" w:rsidRPr="0011190B">
        <w:t>A settlement agreement may be enforced by the parties who signed it.  (</w:t>
      </w:r>
      <w:r w:rsidR="00260B3F" w:rsidRPr="0011190B">
        <w:t xml:space="preserve">See </w:t>
      </w:r>
      <w:r w:rsidR="007B37EA" w:rsidRPr="0011190B">
        <w:t>Code Civ. Proc., §</w:t>
      </w:r>
      <w:r w:rsidR="00B70E03">
        <w:t> </w:t>
      </w:r>
      <w:r w:rsidR="007B37EA" w:rsidRPr="0011190B">
        <w:t>664.6</w:t>
      </w:r>
      <w:r w:rsidR="008D678E" w:rsidRPr="0011190B">
        <w:t>.</w:t>
      </w:r>
      <w:r w:rsidR="007B37EA" w:rsidRPr="0011190B">
        <w:t xml:space="preserve">)  But </w:t>
      </w:r>
      <w:r w:rsidR="00B76EA3" w:rsidRPr="0011190B">
        <w:t xml:space="preserve">Williams has cited no authority that a third party may enforce the terms of a settlement agreement </w:t>
      </w:r>
      <w:r w:rsidRPr="0011190B">
        <w:t>via</w:t>
      </w:r>
      <w:r w:rsidR="00B76EA3" w:rsidRPr="0011190B">
        <w:t xml:space="preserve"> an action for negligence.</w:t>
      </w:r>
      <w:r w:rsidR="007B37EA">
        <w:t xml:space="preserve">  To the extent that Williams </w:t>
      </w:r>
      <w:r>
        <w:t>deems himself</w:t>
      </w:r>
      <w:r w:rsidR="007B37EA">
        <w:t xml:space="preserve"> a third party beneficiary of the agreement</w:t>
      </w:r>
      <w:r w:rsidR="00AD6502">
        <w:t xml:space="preserve"> as a member of the class of persons for whose benefit it was made</w:t>
      </w:r>
      <w:r w:rsidR="007B37EA">
        <w:t>, his recourse, if any, was an action to enforce the agreement.  (</w:t>
      </w:r>
      <w:r w:rsidR="00260B3F">
        <w:t xml:space="preserve">See </w:t>
      </w:r>
      <w:r w:rsidR="00260B3F">
        <w:rPr>
          <w:i/>
          <w:iCs/>
        </w:rPr>
        <w:t xml:space="preserve">Provost v. Regents of University of California </w:t>
      </w:r>
      <w:r w:rsidR="00260B3F">
        <w:t>(2011) 201</w:t>
      </w:r>
      <w:r w:rsidR="008D678E">
        <w:t> </w:t>
      </w:r>
      <w:r w:rsidR="00260B3F">
        <w:t>Cal.App.4th 1289, 1299</w:t>
      </w:r>
      <w:r>
        <w:t xml:space="preserve">; </w:t>
      </w:r>
      <w:r w:rsidR="007B37EA">
        <w:rPr>
          <w:i/>
          <w:iCs/>
        </w:rPr>
        <w:t xml:space="preserve">General Motors Corp. v. Superior Court </w:t>
      </w:r>
      <w:r w:rsidR="007B37EA">
        <w:t>(</w:t>
      </w:r>
      <w:r w:rsidR="00AD6502">
        <w:t>1993) 12</w:t>
      </w:r>
      <w:r w:rsidR="008D678E">
        <w:t> </w:t>
      </w:r>
      <w:r w:rsidR="00AD6502">
        <w:t>Cal.App.4th 435, 443-444.)</w:t>
      </w:r>
    </w:p>
    <w:p w14:paraId="7054CA51" w14:textId="426CCF11" w:rsidR="00ED0AC8" w:rsidRDefault="00ED0AC8" w:rsidP="00726420">
      <w:r>
        <w:tab/>
      </w:r>
      <w:r w:rsidR="00231C5D" w:rsidRPr="0011190B">
        <w:t>Separately, t</w:t>
      </w:r>
      <w:r w:rsidRPr="0011190B">
        <w:t>he parties debate whether NWL was vicariously liable for Pantaleoni’s conduct</w:t>
      </w:r>
      <w:r>
        <w:t>.  An insurer, as principal, may be liable for the torts of its agent if the insurer directed or authorized its agent to perform the tortious acts or ratified acts it did not originally authorize.  (</w:t>
      </w:r>
      <w:r>
        <w:rPr>
          <w:i/>
          <w:iCs/>
        </w:rPr>
        <w:t>Rios v. Scottsdale Ins</w:t>
      </w:r>
      <w:r w:rsidR="006015D2">
        <w:rPr>
          <w:i/>
          <w:iCs/>
        </w:rPr>
        <w:t>.</w:t>
      </w:r>
      <w:r>
        <w:rPr>
          <w:i/>
          <w:iCs/>
        </w:rPr>
        <w:t xml:space="preserve"> Co. </w:t>
      </w:r>
      <w:r>
        <w:t xml:space="preserve">(2004) 119 Cal.App.4th 1020, 1027.)  However, we have concluded that </w:t>
      </w:r>
      <w:r w:rsidRPr="0011190B">
        <w:t>Pantaleoni was not NWL’s agent</w:t>
      </w:r>
      <w:r w:rsidR="001E666F" w:rsidRPr="0011190B">
        <w:t xml:space="preserve"> as a matter of law</w:t>
      </w:r>
      <w:r w:rsidRPr="0011190B">
        <w:t xml:space="preserve">.  </w:t>
      </w:r>
      <w:r w:rsidR="001E666F" w:rsidRPr="0011190B">
        <w:t>Therefore, Williams cannot state a viable claim for vicarious liability.</w:t>
      </w:r>
      <w:r w:rsidR="001E666F">
        <w:t xml:space="preserve">  (</w:t>
      </w:r>
      <w:r w:rsidR="001E666F">
        <w:rPr>
          <w:i/>
          <w:iCs/>
        </w:rPr>
        <w:t>Mercury, supra</w:t>
      </w:r>
      <w:r w:rsidR="001E666F" w:rsidRPr="00BD0540">
        <w:t>,</w:t>
      </w:r>
      <w:r w:rsidR="001E666F">
        <w:rPr>
          <w:i/>
          <w:iCs/>
        </w:rPr>
        <w:t xml:space="preserve"> </w:t>
      </w:r>
      <w:r w:rsidR="001E666F">
        <w:t xml:space="preserve">169 Cal.App.4th at pp. 1072-1073.)  </w:t>
      </w:r>
    </w:p>
    <w:p w14:paraId="15A59252" w14:textId="4FAD6F16" w:rsidR="000F4272" w:rsidRPr="007B37EA" w:rsidRDefault="00ED0AC8" w:rsidP="00726420">
      <w:r>
        <w:tab/>
      </w:r>
      <w:r w:rsidR="000F4272">
        <w:t>Having failed to establish a legal duty of care on the part of NWL, Williams cannot maintain an action for negligence</w:t>
      </w:r>
      <w:r w:rsidR="00231C5D">
        <w:t xml:space="preserve"> </w:t>
      </w:r>
      <w:r w:rsidR="00085EA0">
        <w:t xml:space="preserve">or vicarious liability </w:t>
      </w:r>
      <w:r w:rsidR="00231C5D">
        <w:t>against NWL</w:t>
      </w:r>
      <w:r w:rsidR="000F4272">
        <w:t xml:space="preserve"> and the</w:t>
      </w:r>
      <w:r w:rsidR="00231C5D">
        <w:t xml:space="preserve"> verdict and</w:t>
      </w:r>
      <w:r w:rsidR="000F4272">
        <w:t xml:space="preserve"> judgment on this claim must be reversed.</w:t>
      </w:r>
    </w:p>
    <w:p w14:paraId="0F414B8D" w14:textId="77777777" w:rsidR="00DD5531" w:rsidRDefault="00231C5D" w:rsidP="00BD0540">
      <w:pPr>
        <w:keepNext/>
        <w:rPr>
          <w:b/>
          <w:bCs/>
        </w:rPr>
      </w:pPr>
      <w:r>
        <w:rPr>
          <w:b/>
          <w:bCs/>
        </w:rPr>
        <w:t>B.</w:t>
      </w:r>
      <w:r>
        <w:rPr>
          <w:b/>
          <w:bCs/>
        </w:rPr>
        <w:tab/>
        <w:t>Elder Abuse</w:t>
      </w:r>
    </w:p>
    <w:p w14:paraId="1009B0BF" w14:textId="40C2A086" w:rsidR="000703BB" w:rsidRDefault="00DD5531" w:rsidP="008A41D8">
      <w:r>
        <w:rPr>
          <w:b/>
          <w:bCs/>
        </w:rPr>
        <w:tab/>
      </w:r>
      <w:r w:rsidR="000703BB">
        <w:t xml:space="preserve">NWL contends it did not financially abuse Williams within the meaning of the elder abuse statute.  Williams counters that substantial evidence supports the jury’s finding that NWL was directly liable to Williams for financial abuse.  We agree with NWL.  </w:t>
      </w:r>
      <w:r w:rsidR="00957BBF" w:rsidRPr="0011190B">
        <w:t>The</w:t>
      </w:r>
      <w:r w:rsidR="00B71279" w:rsidRPr="0011190B">
        <w:t xml:space="preserve"> evidence of </w:t>
      </w:r>
      <w:r w:rsidR="00957BBF" w:rsidRPr="0011190B">
        <w:t xml:space="preserve">elder financial abuse </w:t>
      </w:r>
      <w:r w:rsidR="00B71279" w:rsidRPr="0011190B">
        <w:t>Williams presented does</w:t>
      </w:r>
      <w:r w:rsidR="00B71279" w:rsidRPr="00754C97">
        <w:t xml:space="preserve"> </w:t>
      </w:r>
      <w:r w:rsidR="000A5161" w:rsidRPr="006015D2">
        <w:t>not</w:t>
      </w:r>
      <w:r w:rsidR="000A5161">
        <w:t xml:space="preserve"> </w:t>
      </w:r>
      <w:r w:rsidR="00B71279" w:rsidRPr="00754C97">
        <w:t>fall within the scope of t</w:t>
      </w:r>
      <w:r w:rsidR="00957BBF" w:rsidRPr="00754C97">
        <w:t>he statute</w:t>
      </w:r>
      <w:r w:rsidR="00957BBF">
        <w:t>.</w:t>
      </w:r>
      <w:r w:rsidR="00B71279">
        <w:t xml:space="preserve">  To conclude otherwise would transform every dispute between a </w:t>
      </w:r>
      <w:r w:rsidR="00B71279">
        <w:lastRenderedPageBreak/>
        <w:t>person over 65 regarding the conduct of an independent agent into an elder abuse action against an insurer.</w:t>
      </w:r>
    </w:p>
    <w:p w14:paraId="3EC2B003" w14:textId="52A04266" w:rsidR="00607875" w:rsidRDefault="000703BB" w:rsidP="008A41D8">
      <w:r>
        <w:tab/>
      </w:r>
      <w:r w:rsidR="00DD5531" w:rsidRPr="00DD5531">
        <w:t>Elder financial abuse</w:t>
      </w:r>
      <w:r w:rsidR="00231C5D" w:rsidRPr="00DD5531">
        <w:t xml:space="preserve"> “occurs when a person or entity does any of the following: </w:t>
      </w:r>
      <w:r w:rsidR="008D678E">
        <w:t xml:space="preserve"> </w:t>
      </w:r>
      <w:r w:rsidR="00231C5D" w:rsidRPr="00DD5531">
        <w:t xml:space="preserve">[¶] </w:t>
      </w:r>
      <w:r w:rsidR="006015D2">
        <w:t xml:space="preserve"> </w:t>
      </w:r>
      <w:r w:rsidR="00231C5D" w:rsidRPr="00DD5531">
        <w:t xml:space="preserve">(1) Takes, secretes, appropriates, obtains, or retains real or personal property of an elder or dependent adult </w:t>
      </w:r>
      <w:r w:rsidR="00231C5D" w:rsidRPr="00EC7233">
        <w:t>for a wrongful use or with intent to defraud,</w:t>
      </w:r>
      <w:r w:rsidR="00231C5D" w:rsidRPr="00DD5531">
        <w:t xml:space="preserve"> or both. </w:t>
      </w:r>
      <w:r w:rsidR="00607875">
        <w:t xml:space="preserve"> </w:t>
      </w:r>
      <w:r w:rsidR="00231C5D" w:rsidRPr="00DD5531">
        <w:t xml:space="preserve">[¶] </w:t>
      </w:r>
      <w:r w:rsidR="00607875">
        <w:t xml:space="preserve"> </w:t>
      </w:r>
      <w:r w:rsidR="00231C5D" w:rsidRPr="00DD5531">
        <w:t xml:space="preserve">(2) Assists in taking, secreting, appropriating, obtaining, or retaining real or personal property of an elder or dependent adult </w:t>
      </w:r>
      <w:r w:rsidR="00231C5D" w:rsidRPr="00EC7233">
        <w:t>for a wrongful use or with intent to defraud</w:t>
      </w:r>
      <w:r w:rsidR="00231C5D" w:rsidRPr="00DD5531">
        <w:t>, or both.</w:t>
      </w:r>
      <w:r w:rsidR="00607875">
        <w:t xml:space="preserve"> </w:t>
      </w:r>
      <w:r w:rsidR="00231C5D" w:rsidRPr="00DD5531">
        <w:t xml:space="preserve"> [¶]</w:t>
      </w:r>
      <w:r w:rsidR="006015D2">
        <w:t xml:space="preserve"> </w:t>
      </w:r>
      <w:r w:rsidR="00231C5D" w:rsidRPr="00DD5531">
        <w:t xml:space="preserve"> (3) </w:t>
      </w:r>
      <w:r w:rsidR="00607875">
        <w:t xml:space="preserve"> </w:t>
      </w:r>
      <w:r w:rsidR="00231C5D" w:rsidRPr="00DD5531">
        <w:t xml:space="preserve">Takes, secretes, appropriates, obtains, or retains, or assists in taking, secreting, appropriating, obtaining, or retaining, real or personal property of an elder or dependent adult </w:t>
      </w:r>
      <w:r w:rsidR="00231C5D" w:rsidRPr="00EC7233">
        <w:t>by undue influence</w:t>
      </w:r>
      <w:r w:rsidR="00231C5D" w:rsidRPr="00DD5531">
        <w:t>, as defined in section 15610.70.”</w:t>
      </w:r>
      <w:r w:rsidR="006116A6">
        <w:t xml:space="preserve"> </w:t>
      </w:r>
      <w:r w:rsidR="00231C5D" w:rsidRPr="00DD5531">
        <w:t xml:space="preserve"> (Welf. &amp; Inst. Code, §</w:t>
      </w:r>
      <w:r w:rsidR="008D678E">
        <w:t> </w:t>
      </w:r>
      <w:r w:rsidR="00231C5D" w:rsidRPr="00DD5531">
        <w:t>15610.30, subd. (a)</w:t>
      </w:r>
      <w:r w:rsidR="00240DF5">
        <w:t>;</w:t>
      </w:r>
      <w:r w:rsidR="00231C5D" w:rsidRPr="00DD5531">
        <w:t xml:space="preserve"> </w:t>
      </w:r>
      <w:r w:rsidR="00231C5D" w:rsidRPr="00DD5531">
        <w:rPr>
          <w:i/>
          <w:iCs/>
        </w:rPr>
        <w:t>Mahan</w:t>
      </w:r>
      <w:r w:rsidR="00607875">
        <w:rPr>
          <w:i/>
          <w:iCs/>
        </w:rPr>
        <w:t>, supra</w:t>
      </w:r>
      <w:r w:rsidR="00607875" w:rsidRPr="00BD0540">
        <w:t xml:space="preserve">, </w:t>
      </w:r>
      <w:r w:rsidR="00231C5D" w:rsidRPr="00DD5531">
        <w:t xml:space="preserve">14 Cal.App.5th </w:t>
      </w:r>
      <w:r w:rsidR="00607875">
        <w:t xml:space="preserve">at p. </w:t>
      </w:r>
      <w:r w:rsidR="00231C5D" w:rsidRPr="00DD5531">
        <w:t>856.)</w:t>
      </w:r>
      <w:r w:rsidR="003B3EB4">
        <w:t xml:space="preserve">  </w:t>
      </w:r>
    </w:p>
    <w:p w14:paraId="05C61099" w14:textId="134A5552" w:rsidR="00553EFC" w:rsidRDefault="00607875" w:rsidP="008A41D8">
      <w:r>
        <w:tab/>
      </w:r>
      <w:r w:rsidR="00EC7233">
        <w:t xml:space="preserve">We conclude </w:t>
      </w:r>
      <w:r w:rsidR="00EC7233" w:rsidRPr="00754C97">
        <w:t xml:space="preserve">there was </w:t>
      </w:r>
      <w:r w:rsidR="00586027" w:rsidRPr="00754C97">
        <w:t>no</w:t>
      </w:r>
      <w:r w:rsidR="00EC7233" w:rsidRPr="00754C97">
        <w:t xml:space="preserve"> evidence of “wrongful use”</w:t>
      </w:r>
      <w:r w:rsidR="00586027" w:rsidRPr="00754C97">
        <w:t xml:space="preserve"> on the part of NWL within the meaning of elder financial abuse statute</w:t>
      </w:r>
      <w:r w:rsidR="00586027">
        <w:t>, which</w:t>
      </w:r>
      <w:r w:rsidR="003B3EB4">
        <w:t xml:space="preserve"> defines “wrongful use” as taking property </w:t>
      </w:r>
      <w:r w:rsidR="00EC7233">
        <w:t>of an elder by one who</w:t>
      </w:r>
      <w:r w:rsidR="003B3EB4">
        <w:t xml:space="preserve"> “knew or should have known that this conduct is likely to be harmful to the elder</w:t>
      </w:r>
      <w:r w:rsidR="006015D2">
        <w:t xml:space="preserve"> or dependent adult</w:t>
      </w:r>
      <w:r w:rsidR="003B3EB4">
        <w:t>.”  (Welf. &amp; Inst. Code, §</w:t>
      </w:r>
      <w:r w:rsidR="006015D2">
        <w:t> </w:t>
      </w:r>
      <w:r w:rsidR="003B3EB4">
        <w:t>15610.30, subd. (b)</w:t>
      </w:r>
      <w:r w:rsidR="00A00A91">
        <w:t xml:space="preserve">; </w:t>
      </w:r>
      <w:r w:rsidR="00A00A91">
        <w:rPr>
          <w:i/>
          <w:iCs/>
        </w:rPr>
        <w:t>Paslay v. State Farm General Ins</w:t>
      </w:r>
      <w:r w:rsidR="006015D2">
        <w:rPr>
          <w:i/>
          <w:iCs/>
        </w:rPr>
        <w:t>.</w:t>
      </w:r>
      <w:r w:rsidR="00A00A91">
        <w:rPr>
          <w:i/>
          <w:iCs/>
        </w:rPr>
        <w:t xml:space="preserve"> Co. </w:t>
      </w:r>
      <w:r w:rsidR="00A00A91">
        <w:t>(2016) 248 Cal.App.4th 639, 657</w:t>
      </w:r>
      <w:r w:rsidR="00771FFC">
        <w:t xml:space="preserve"> (</w:t>
      </w:r>
      <w:r w:rsidR="00771FFC">
        <w:rPr>
          <w:i/>
          <w:iCs/>
        </w:rPr>
        <w:t>Paslay</w:t>
      </w:r>
      <w:r w:rsidR="00771FFC">
        <w:t>)</w:t>
      </w:r>
      <w:r w:rsidR="00A00A91">
        <w:t>.</w:t>
      </w:r>
      <w:r w:rsidR="003B3EB4">
        <w:t>)</w:t>
      </w:r>
      <w:r w:rsidR="00A00A91">
        <w:t xml:space="preserve">  </w:t>
      </w:r>
    </w:p>
    <w:p w14:paraId="6D093631" w14:textId="642EDCFC" w:rsidR="00B418C8" w:rsidRDefault="00553EFC" w:rsidP="008A41D8">
      <w:r>
        <w:tab/>
      </w:r>
      <w:r w:rsidR="00A00A91">
        <w:t xml:space="preserve">In </w:t>
      </w:r>
      <w:r w:rsidR="00A00A91">
        <w:rPr>
          <w:i/>
          <w:iCs/>
        </w:rPr>
        <w:t xml:space="preserve">Stebley v. Litton Loan Servicing, LLP </w:t>
      </w:r>
      <w:r w:rsidR="00A00A91">
        <w:t>(</w:t>
      </w:r>
      <w:r w:rsidR="008B2F38">
        <w:t xml:space="preserve">2011) </w:t>
      </w:r>
      <w:r w:rsidR="00A00A91">
        <w:t xml:space="preserve">202 Cal.App.4th 522, the court held it </w:t>
      </w:r>
      <w:r w:rsidR="0061647E">
        <w:t>was</w:t>
      </w:r>
      <w:r w:rsidR="00A00A91">
        <w:t xml:space="preserve"> not “wrongful use” of property for a commercial lender to lend money, take collateral and foreclose on collateral when a debt is not paid.  </w:t>
      </w:r>
      <w:r w:rsidR="00B83978">
        <w:t>(</w:t>
      </w:r>
      <w:r w:rsidR="00B83978">
        <w:rPr>
          <w:i/>
          <w:iCs/>
        </w:rPr>
        <w:t xml:space="preserve">Id. </w:t>
      </w:r>
      <w:r w:rsidR="00B83978">
        <w:t>at p.</w:t>
      </w:r>
      <w:r w:rsidR="008D678E">
        <w:t> </w:t>
      </w:r>
      <w:r w:rsidR="00B83978">
        <w:t xml:space="preserve">528.) </w:t>
      </w:r>
      <w:r w:rsidR="008B2F38">
        <w:t xml:space="preserve"> “[A] lender does not engage in financial abuse of an elder by properly exercising its rights under a contract, even though that conduct is financially disadvantageous to an elder.”  (</w:t>
      </w:r>
      <w:r w:rsidR="00771FFC">
        <w:rPr>
          <w:i/>
          <w:iCs/>
        </w:rPr>
        <w:t>Paslay, supra</w:t>
      </w:r>
      <w:r w:rsidR="00771FFC" w:rsidRPr="00BD0540">
        <w:t>,</w:t>
      </w:r>
      <w:r w:rsidR="00771FFC">
        <w:rPr>
          <w:i/>
          <w:iCs/>
        </w:rPr>
        <w:t xml:space="preserve"> </w:t>
      </w:r>
      <w:r w:rsidR="00771FFC">
        <w:t xml:space="preserve">248 Cal.App.4th at p. 657, citing </w:t>
      </w:r>
      <w:r w:rsidR="00771FFC">
        <w:rPr>
          <w:i/>
          <w:iCs/>
        </w:rPr>
        <w:t>Stebley, supra</w:t>
      </w:r>
      <w:r w:rsidR="00771FFC" w:rsidRPr="00BD0540">
        <w:t>,</w:t>
      </w:r>
      <w:r w:rsidR="00771FFC">
        <w:rPr>
          <w:i/>
          <w:iCs/>
        </w:rPr>
        <w:t xml:space="preserve"> </w:t>
      </w:r>
      <w:r w:rsidR="00771FFC">
        <w:t>at pp. 527-528.)</w:t>
      </w:r>
      <w:r w:rsidR="00771FFC">
        <w:rPr>
          <w:i/>
          <w:iCs/>
        </w:rPr>
        <w:t xml:space="preserve">  </w:t>
      </w:r>
      <w:r w:rsidR="00B83978">
        <w:t xml:space="preserve">By the same token, it is not wrongful use </w:t>
      </w:r>
      <w:r w:rsidR="0061647E">
        <w:t>for an insurance comp</w:t>
      </w:r>
      <w:r w:rsidR="00B418C8">
        <w:t>any</w:t>
      </w:r>
      <w:r w:rsidR="00B83978">
        <w:t xml:space="preserve"> to accept the premium for an annuity, issue the annuity, and deduct the surrender charge specified in the</w:t>
      </w:r>
      <w:r w:rsidR="00771FFC">
        <w:t xml:space="preserve"> terms of the</w:t>
      </w:r>
      <w:r w:rsidR="00B83978">
        <w:t xml:space="preserve"> annuity policy when the annuitant demands early surrender.</w:t>
      </w:r>
      <w:r w:rsidR="00852B1F">
        <w:t xml:space="preserve">  </w:t>
      </w:r>
      <w:r w:rsidR="00852B1F" w:rsidRPr="00754C97">
        <w:t>T</w:t>
      </w:r>
      <w:r w:rsidR="008A41D8" w:rsidRPr="00754C97">
        <w:t>here was no evidence that NWL</w:t>
      </w:r>
      <w:r w:rsidR="00771FFC" w:rsidRPr="00754C97">
        <w:t>, in accepting a premium</w:t>
      </w:r>
      <w:r w:rsidR="006414D5" w:rsidRPr="00754C97">
        <w:t xml:space="preserve"> and issuing an annuity</w:t>
      </w:r>
      <w:r w:rsidR="00771FFC" w:rsidRPr="00754C97">
        <w:t xml:space="preserve"> or</w:t>
      </w:r>
      <w:r w:rsidR="006414D5" w:rsidRPr="00754C97">
        <w:t xml:space="preserve"> processing</w:t>
      </w:r>
      <w:r w:rsidR="00771FFC" w:rsidRPr="00754C97">
        <w:t xml:space="preserve"> a surrender </w:t>
      </w:r>
      <w:r w:rsidR="006414D5" w:rsidRPr="00754C97">
        <w:t>request and assessing a surrender charge</w:t>
      </w:r>
      <w:r w:rsidR="00771FFC" w:rsidRPr="00754C97">
        <w:t>,</w:t>
      </w:r>
      <w:r w:rsidR="008A41D8" w:rsidRPr="00754C97">
        <w:t xml:space="preserve"> knew or should have known </w:t>
      </w:r>
      <w:r w:rsidR="00771FFC" w:rsidRPr="00754C97">
        <w:t xml:space="preserve">of </w:t>
      </w:r>
      <w:r w:rsidR="008A41D8" w:rsidRPr="00754C97">
        <w:t>Pantaleoni</w:t>
      </w:r>
      <w:r w:rsidR="00771FFC" w:rsidRPr="00754C97">
        <w:t xml:space="preserve">’s fraudulent </w:t>
      </w:r>
      <w:r w:rsidR="00771FFC" w:rsidRPr="00754C97">
        <w:lastRenderedPageBreak/>
        <w:t>conduct</w:t>
      </w:r>
      <w:r w:rsidR="00771FFC">
        <w:t>, i.e., that Pantaleoni</w:t>
      </w:r>
      <w:r w:rsidR="008A41D8">
        <w:t xml:space="preserve"> had deceived Williams into applying for </w:t>
      </w:r>
      <w:r w:rsidR="006414D5">
        <w:t>the first annuity</w:t>
      </w:r>
      <w:r w:rsidR="008A41D8">
        <w:t xml:space="preserve"> when he only wanted a revision to a living trust</w:t>
      </w:r>
      <w:r w:rsidR="006414D5">
        <w:t xml:space="preserve"> and had Williams sign a blank document to use to forge letter of instruction directing NWL to reissue the second annuity after Williams cancelled the first one</w:t>
      </w:r>
      <w:r w:rsidR="008A41D8">
        <w:t xml:space="preserve">.  </w:t>
      </w:r>
    </w:p>
    <w:p w14:paraId="5C429CF3" w14:textId="60A8A45C" w:rsidR="00F8014B" w:rsidRPr="004A1CC2" w:rsidRDefault="00B418C8" w:rsidP="008A41D8">
      <w:r>
        <w:tab/>
      </w:r>
      <w:r w:rsidR="00207BC4">
        <w:t>F</w:t>
      </w:r>
      <w:r w:rsidR="007A08C0">
        <w:t>or the same reason</w:t>
      </w:r>
      <w:r w:rsidR="00207BC4">
        <w:t>s, this evidence</w:t>
      </w:r>
      <w:r w:rsidR="007A08C0">
        <w:t xml:space="preserve"> d</w:t>
      </w:r>
      <w:r w:rsidR="00F8014B">
        <w:t>id</w:t>
      </w:r>
      <w:r w:rsidR="007A08C0">
        <w:t xml:space="preserve"> not</w:t>
      </w:r>
      <w:r w:rsidR="00F8014B">
        <w:t xml:space="preserve"> show</w:t>
      </w:r>
      <w:r w:rsidR="008A41D8">
        <w:t xml:space="preserve"> wrongful use by NWL</w:t>
      </w:r>
      <w:r>
        <w:t xml:space="preserve"> within the meaning of the elder abuse statute</w:t>
      </w:r>
      <w:r w:rsidR="007A08C0">
        <w:t xml:space="preserve">.  </w:t>
      </w:r>
      <w:r w:rsidR="00586027">
        <w:t>The elder abuse statute does not impose a duty to investigate even by a financial institution mandated to report suspected elder financial abuse</w:t>
      </w:r>
      <w:r w:rsidR="00894FD0">
        <w:t xml:space="preserve"> to local law enforcement or adult protective services</w:t>
      </w:r>
      <w:r w:rsidR="00586027">
        <w:t>.  (</w:t>
      </w:r>
      <w:r w:rsidR="00894FD0">
        <w:t>Welf. &amp; Inst. Code, §</w:t>
      </w:r>
      <w:r w:rsidR="00754C97">
        <w:t> </w:t>
      </w:r>
      <w:r w:rsidR="00894FD0">
        <w:t>15630.1, subd. (e)(1) [“The mandated reporter of suspected financial abuse of an elder or dependent adult is not required to investigate any accusations”].</w:t>
      </w:r>
      <w:r w:rsidR="006116A6">
        <w:t>)</w:t>
      </w:r>
      <w:r w:rsidR="00894FD0">
        <w:t xml:space="preserve">  Much less does an insurance company</w:t>
      </w:r>
      <w:r w:rsidR="00240DF5">
        <w:t xml:space="preserve">, which </w:t>
      </w:r>
      <w:r w:rsidR="00894FD0">
        <w:t>is not a mandated reporter</w:t>
      </w:r>
      <w:r w:rsidR="00240DF5">
        <w:t>,</w:t>
      </w:r>
      <w:r w:rsidR="00894FD0">
        <w:t xml:space="preserve"> have to duty investigate under the statute.  (</w:t>
      </w:r>
      <w:r w:rsidR="00894FD0">
        <w:rPr>
          <w:i/>
          <w:iCs/>
        </w:rPr>
        <w:t>Sterling Savings Bank v. Pouls</w:t>
      </w:r>
      <w:r w:rsidR="006015D2">
        <w:rPr>
          <w:i/>
          <w:iCs/>
        </w:rPr>
        <w:t>e</w:t>
      </w:r>
      <w:r w:rsidR="00894FD0">
        <w:rPr>
          <w:i/>
          <w:iCs/>
        </w:rPr>
        <w:t xml:space="preserve">n </w:t>
      </w:r>
      <w:r w:rsidR="00894FD0">
        <w:t>(N.D.Cal. July 29, 2013, No. C-12-01454 EDL) 2013 WL 3945989, *17.)  Mere suspicious circumstances do not show elder abuse.  (</w:t>
      </w:r>
      <w:r w:rsidR="00586027">
        <w:rPr>
          <w:i/>
          <w:iCs/>
        </w:rPr>
        <w:t>Das v. Bank of America</w:t>
      </w:r>
      <w:r w:rsidR="006015D2">
        <w:rPr>
          <w:i/>
          <w:iCs/>
        </w:rPr>
        <w:t>, N.A.</w:t>
      </w:r>
      <w:r w:rsidR="00586027">
        <w:rPr>
          <w:i/>
          <w:iCs/>
        </w:rPr>
        <w:t xml:space="preserve"> </w:t>
      </w:r>
      <w:r w:rsidR="00586027">
        <w:t>(2010) 186 Cal.App.4th 727, 744-745 (</w:t>
      </w:r>
      <w:r w:rsidR="00586027">
        <w:rPr>
          <w:i/>
          <w:iCs/>
        </w:rPr>
        <w:t>Das</w:t>
      </w:r>
      <w:r w:rsidR="00586027">
        <w:t>)</w:t>
      </w:r>
      <w:r w:rsidR="00894FD0">
        <w:t xml:space="preserve"> [“</w:t>
      </w:r>
      <w:r w:rsidR="006015D2">
        <w:t> ‘</w:t>
      </w:r>
      <w:r w:rsidR="00894FD0">
        <w:t>suspicious</w:t>
      </w:r>
      <w:r w:rsidR="006015D2">
        <w:t>’ </w:t>
      </w:r>
      <w:r w:rsidR="00894FD0">
        <w:t>” loans and transfers by elderly account holder did not state a claim for elder financial abuse against bank</w:t>
      </w:r>
      <w:r w:rsidR="009172A4">
        <w:t>.]</w:t>
      </w:r>
      <w:r w:rsidR="00894FD0">
        <w:t xml:space="preserve">)  </w:t>
      </w:r>
    </w:p>
    <w:p w14:paraId="25E77991" w14:textId="566F2249" w:rsidR="005C1410" w:rsidRDefault="00F8014B" w:rsidP="005C1410">
      <w:pPr>
        <w:rPr>
          <w:b/>
          <w:bCs/>
        </w:rPr>
      </w:pPr>
      <w:r>
        <w:tab/>
      </w:r>
      <w:r w:rsidR="006D61EF" w:rsidRPr="00754C97">
        <w:t>A</w:t>
      </w:r>
      <w:r w:rsidR="00E57079" w:rsidRPr="00754C97">
        <w:t>ssuming NWL had monitored Pantaleoni as Williams suggested,</w:t>
      </w:r>
      <w:r w:rsidR="00B418C8" w:rsidRPr="00754C97">
        <w:t xml:space="preserve"> </w:t>
      </w:r>
      <w:r w:rsidR="00E57079" w:rsidRPr="00754C97">
        <w:t>the</w:t>
      </w:r>
      <w:r w:rsidR="00553EFC" w:rsidRPr="00754C97">
        <w:t>re was n</w:t>
      </w:r>
      <w:r w:rsidR="009172A4" w:rsidRPr="00754C97">
        <w:t>o</w:t>
      </w:r>
      <w:r w:rsidR="00553EFC" w:rsidRPr="00754C97">
        <w:t xml:space="preserve"> </w:t>
      </w:r>
      <w:r w:rsidR="00B418C8" w:rsidRPr="00754C97">
        <w:t xml:space="preserve">evidence </w:t>
      </w:r>
      <w:r w:rsidR="00553EFC" w:rsidRPr="00754C97">
        <w:t>showing</w:t>
      </w:r>
      <w:r w:rsidR="006D61EF" w:rsidRPr="00754C97">
        <w:t xml:space="preserve"> that NWL knew or should have known of Pantaleoni’s fraud</w:t>
      </w:r>
      <w:r w:rsidR="006D61EF">
        <w:t xml:space="preserve">.  </w:t>
      </w:r>
      <w:r w:rsidR="009172A4">
        <w:t>(</w:t>
      </w:r>
      <w:r w:rsidR="009172A4">
        <w:rPr>
          <w:i/>
          <w:iCs/>
        </w:rPr>
        <w:t>Das, supra</w:t>
      </w:r>
      <w:r w:rsidR="009172A4" w:rsidRPr="00BD0540">
        <w:t>,</w:t>
      </w:r>
      <w:r w:rsidR="009172A4">
        <w:rPr>
          <w:i/>
          <w:iCs/>
        </w:rPr>
        <w:t xml:space="preserve"> </w:t>
      </w:r>
      <w:r w:rsidR="009172A4">
        <w:t xml:space="preserve">186 Cal.App.4th at p. 745.)  </w:t>
      </w:r>
      <w:r w:rsidR="00B418C8">
        <w:t>For example</w:t>
      </w:r>
      <w:r w:rsidR="00E57079">
        <w:t>, the evidence</w:t>
      </w:r>
      <w:r w:rsidR="009172A4">
        <w:t xml:space="preserve"> </w:t>
      </w:r>
      <w:r w:rsidR="00CB28B5">
        <w:t xml:space="preserve">that the letter </w:t>
      </w:r>
      <w:r w:rsidR="00E57079">
        <w:t>Williams</w:t>
      </w:r>
      <w:r w:rsidR="00CB28B5">
        <w:t xml:space="preserve"> signed stating that he wanted to retain the annuity was fraudulent or forged consisted of the difference between the handwriting on his note returning the first annuity and the handwriting above his signature on the letter.  </w:t>
      </w:r>
      <w:r w:rsidR="00D12F55" w:rsidRPr="00754C97">
        <w:t>But</w:t>
      </w:r>
      <w:r w:rsidR="00B83978" w:rsidRPr="00754C97">
        <w:t xml:space="preserve"> n</w:t>
      </w:r>
      <w:r w:rsidR="00CB28B5" w:rsidRPr="00754C97">
        <w:t>o evidence was presented that NWL knew</w:t>
      </w:r>
      <w:r w:rsidR="009172A4" w:rsidRPr="00754C97">
        <w:t xml:space="preserve"> prior to the litigation</w:t>
      </w:r>
      <w:r w:rsidR="00CB28B5" w:rsidRPr="00754C97">
        <w:t xml:space="preserve"> that Williams, as he testified</w:t>
      </w:r>
      <w:r w:rsidR="00E957C9" w:rsidRPr="00754C97">
        <w:t xml:space="preserve"> at trial</w:t>
      </w:r>
      <w:r w:rsidR="00CB28B5" w:rsidRPr="00754C97">
        <w:t xml:space="preserve">, signed a blank piece of paper not knowing that Pantaleoni would </w:t>
      </w:r>
      <w:r w:rsidR="003B3EB4" w:rsidRPr="00754C97">
        <w:t>fill in</w:t>
      </w:r>
      <w:r w:rsidR="00CB28B5" w:rsidRPr="00754C97">
        <w:t xml:space="preserve"> a request to reissue the annuity above his signature.</w:t>
      </w:r>
      <w:r w:rsidR="009D16FF" w:rsidRPr="00754C97">
        <w:t xml:space="preserve">  </w:t>
      </w:r>
      <w:r w:rsidR="000C2C80">
        <w:t>That Williams wrote the note cancelling the first annuity and Pantaleon</w:t>
      </w:r>
      <w:r w:rsidR="006116A6">
        <w:t>i</w:t>
      </w:r>
      <w:r w:rsidR="000C2C80">
        <w:t xml:space="preserve"> apparently wrote the letter requesting that it be reissued for </w:t>
      </w:r>
      <w:r w:rsidR="00F204EC">
        <w:t>Williams’ signature d</w:t>
      </w:r>
      <w:r w:rsidR="00852B1F">
        <w:t xml:space="preserve">id not </w:t>
      </w:r>
      <w:bookmarkStart w:id="2" w:name="_Hlk69888282"/>
      <w:r w:rsidR="000726E5">
        <w:lastRenderedPageBreak/>
        <w:t>suggest to N</w:t>
      </w:r>
      <w:r w:rsidR="006116A6">
        <w:t>W</w:t>
      </w:r>
      <w:r w:rsidR="000726E5">
        <w:t xml:space="preserve">L that the letter was forged.  There was no dispute that Williams’ signature was genuine. </w:t>
      </w:r>
      <w:bookmarkEnd w:id="2"/>
    </w:p>
    <w:p w14:paraId="151FA07D" w14:textId="77777777" w:rsidR="005C1410" w:rsidRPr="006141D9" w:rsidRDefault="005C1410" w:rsidP="005C1410">
      <w:pPr>
        <w:rPr>
          <w:b/>
          <w:bCs/>
        </w:rPr>
      </w:pPr>
      <w:r>
        <w:rPr>
          <w:b/>
          <w:bCs/>
        </w:rPr>
        <w:t>C.</w:t>
      </w:r>
      <w:r>
        <w:rPr>
          <w:b/>
          <w:bCs/>
        </w:rPr>
        <w:tab/>
        <w:t>Motion for Judgment Notwithstanding the Verdict</w:t>
      </w:r>
    </w:p>
    <w:p w14:paraId="795C95C7" w14:textId="77E7F7FA" w:rsidR="005C1410" w:rsidRDefault="005C1410" w:rsidP="005C1410">
      <w:r>
        <w:tab/>
        <w:t>NWL appealed from the judgment and the orders denying motions for judgment notwithstanding the verdict and new trial.  (</w:t>
      </w:r>
      <w:r>
        <w:rPr>
          <w:i/>
          <w:iCs/>
        </w:rPr>
        <w:t xml:space="preserve">Sweatman v. Department of Veterans Affairs </w:t>
      </w:r>
      <w:r>
        <w:t xml:space="preserve">(2001) 25 Cal.4th 62, 68 [a party “may appeal from the judgment or </w:t>
      </w:r>
      <w:r w:rsidR="00737ACA">
        <w:t xml:space="preserve">from the </w:t>
      </w:r>
      <w:r>
        <w:t>order denying the motion for judgment notwithstanding the verdict, or both”]; Code Civ. Proc., §</w:t>
      </w:r>
      <w:r w:rsidR="00720247">
        <w:t> </w:t>
      </w:r>
      <w:r>
        <w:t xml:space="preserve">904.1, subd. (a)(1), (4).)  NWL raised agency and wrongful use issues as grounds for judgment notwithstanding the verdict.  We conclude the trial court should have granted the motion for judgment notwithstanding the verdict.  </w:t>
      </w:r>
    </w:p>
    <w:p w14:paraId="6FEAE03C" w14:textId="420CE103" w:rsidR="005C1410" w:rsidRDefault="005C1410" w:rsidP="005C1410">
      <w:r>
        <w:tab/>
        <w:t>“</w:t>
      </w:r>
      <w:r w:rsidR="00737ACA">
        <w:t> ‘</w:t>
      </w:r>
      <w:r>
        <w:t>The purpose of a motion for judgment notwithstanding the verdict is not to afford a review of the jury’s deliberation but to prevent a miscarriage of justice in those cases where the verdict is rendered without foundation.’  [Citation.]  ‘The scope of appellate review is to determine whether there is any substantial evidence, contradicted or uncontradicted, supporting the jury’s conclusions .</w:t>
      </w:r>
      <w:r w:rsidR="0029292B">
        <w:t> </w:t>
      </w:r>
      <w:r>
        <w:t>.</w:t>
      </w:r>
      <w:r w:rsidR="0029292B">
        <w:t> </w:t>
      </w:r>
      <w:r>
        <w:t>.</w:t>
      </w:r>
      <w:r w:rsidR="0029292B">
        <w:t> </w:t>
      </w:r>
      <w:r>
        <w:t>.’  [Citation.]”  (</w:t>
      </w:r>
      <w:r>
        <w:rPr>
          <w:i/>
          <w:iCs/>
        </w:rPr>
        <w:t xml:space="preserve">Sukoff v. Lemkin </w:t>
      </w:r>
      <w:r>
        <w:t>(1988) 202 Cal.App.3d 740, 743.)  Interpretation of a statute and applicable statutory language on undisputed facts is reviewed de novo.  (</w:t>
      </w:r>
      <w:r>
        <w:rPr>
          <w:i/>
          <w:iCs/>
        </w:rPr>
        <w:t xml:space="preserve">Trujillo v. North County </w:t>
      </w:r>
      <w:r w:rsidR="00737ACA">
        <w:rPr>
          <w:i/>
          <w:iCs/>
        </w:rPr>
        <w:t>Transit District</w:t>
      </w:r>
      <w:r>
        <w:rPr>
          <w:i/>
          <w:iCs/>
        </w:rPr>
        <w:t xml:space="preserve"> </w:t>
      </w:r>
      <w:r>
        <w:t xml:space="preserve">(1998) 63 Cal.App.4th 280, 284.; see also </w:t>
      </w:r>
      <w:r>
        <w:rPr>
          <w:i/>
          <w:iCs/>
        </w:rPr>
        <w:t xml:space="preserve">Ghirardo v. Antonioli </w:t>
      </w:r>
      <w:r>
        <w:t>(1994) 8 Cal.4th 791, 799 [“When the decisive facts are undisputed, we are confronted with a question of law and not bound by the findings of the trial court”].)  Denial of a motion for judgment notwithstanding the verdict rests largely in the discretion of the trial judge.  (</w:t>
      </w:r>
      <w:r>
        <w:rPr>
          <w:i/>
          <w:iCs/>
        </w:rPr>
        <w:t>Sukoff, supra</w:t>
      </w:r>
      <w:r w:rsidRPr="00BD0540">
        <w:t>,</w:t>
      </w:r>
      <w:r>
        <w:rPr>
          <w:i/>
          <w:iCs/>
        </w:rPr>
        <w:t xml:space="preserve"> </w:t>
      </w:r>
      <w:r>
        <w:t>at p. 744.)  However, when the evidence fails to support an essential element of a cause of action, the judgment cannot stand.  (</w:t>
      </w:r>
      <w:r>
        <w:rPr>
          <w:i/>
          <w:iCs/>
        </w:rPr>
        <w:t>Ibid.</w:t>
      </w:r>
      <w:r>
        <w:t>)  Here, as discussed, the record failed to support the duty of care element of Williams’ negligence claim and wrongful use required to support his elder financial abuse claim.</w:t>
      </w:r>
    </w:p>
    <w:p w14:paraId="20A96233" w14:textId="0EB3DDDE" w:rsidR="005C1410" w:rsidRPr="00D46F42" w:rsidRDefault="005C1410" w:rsidP="005C1410">
      <w:pPr>
        <w:rPr>
          <w:b/>
          <w:bCs/>
        </w:rPr>
      </w:pPr>
      <w:r>
        <w:tab/>
        <w:t xml:space="preserve">Therefore, we will reverse the judgment and direct the trial court to enter judgment in favor of NWL.  </w:t>
      </w:r>
      <w:r w:rsidRPr="00D46F42">
        <w:rPr>
          <w:b/>
          <w:bCs/>
        </w:rPr>
        <w:t>(</w:t>
      </w:r>
      <w:r w:rsidRPr="00C72BCC">
        <w:t>Code Civ. Proc., §</w:t>
      </w:r>
      <w:r w:rsidR="00737ACA" w:rsidRPr="00C72BCC">
        <w:t> </w:t>
      </w:r>
      <w:r w:rsidRPr="00C72BCC">
        <w:t>629</w:t>
      </w:r>
      <w:r w:rsidR="00737ACA">
        <w:rPr>
          <w:rStyle w:val="Hyperlink"/>
          <w:color w:val="auto"/>
          <w:u w:val="none"/>
        </w:rPr>
        <w:t>, subd. (c)</w:t>
      </w:r>
      <w:r w:rsidRPr="00D46F42">
        <w:t xml:space="preserve"> [“If the motion for judgment </w:t>
      </w:r>
      <w:r w:rsidRPr="00D46F42">
        <w:lastRenderedPageBreak/>
        <w:t xml:space="preserve">notwithstanding the verdict be denied and if a new trial </w:t>
      </w:r>
      <w:r w:rsidR="00737ACA">
        <w:t>is</w:t>
      </w:r>
      <w:r w:rsidR="00737ACA" w:rsidRPr="00D46F42">
        <w:t xml:space="preserve"> </w:t>
      </w:r>
      <w:r w:rsidRPr="00D46F42">
        <w:t xml:space="preserve">denied, the appellate court shall, </w:t>
      </w:r>
      <w:r w:rsidR="00737ACA">
        <w:t>if</w:t>
      </w:r>
      <w:r w:rsidR="00737ACA" w:rsidRPr="00D46F42">
        <w:t xml:space="preserve"> </w:t>
      </w:r>
      <w:r w:rsidRPr="00D46F42">
        <w:t>it appears that the motion for judgment notwithstanding the verdict should have been granted, order judgment to be so entered on appeal from the judgment or from the order denying the motion for judgment notwithstanding the verdict”].)</w:t>
      </w:r>
    </w:p>
    <w:p w14:paraId="358182D6" w14:textId="5527BD77" w:rsidR="00E57079" w:rsidRDefault="00E57079" w:rsidP="005C1410">
      <w:r>
        <w:tab/>
        <w:t>Because we reverse the judgment in favor of Williams</w:t>
      </w:r>
      <w:r w:rsidR="00D46F42">
        <w:t>, the remaining issues NWL raised on appeal, and the issues raised in Williams’ cross-appeal, are moot.</w:t>
      </w:r>
    </w:p>
    <w:p w14:paraId="709C66C1" w14:textId="1AE09C15" w:rsidR="00A15F42" w:rsidRDefault="00A15F42" w:rsidP="000E7A0C">
      <w:pPr>
        <w:keepNext/>
        <w:jc w:val="center"/>
        <w:rPr>
          <w:b/>
          <w:bCs/>
        </w:rPr>
      </w:pPr>
      <w:r>
        <w:rPr>
          <w:b/>
          <w:bCs/>
        </w:rPr>
        <w:t>DISPOSITION</w:t>
      </w:r>
    </w:p>
    <w:p w14:paraId="765430FC" w14:textId="63BB6133" w:rsidR="009937E1" w:rsidRDefault="00A15F42" w:rsidP="00A413B5">
      <w:r>
        <w:tab/>
        <w:t>The judgment is rever</w:t>
      </w:r>
      <w:r w:rsidR="000C2C80">
        <w:t>s</w:t>
      </w:r>
      <w:r>
        <w:t>ed, and the case remanded to the trial court with direct</w:t>
      </w:r>
      <w:r w:rsidR="007818B6">
        <w:t>ions</w:t>
      </w:r>
      <w:r>
        <w:t xml:space="preserve"> to enter judgment in favor of NWL.</w:t>
      </w:r>
      <w:r w:rsidR="000C2C80">
        <w:t xml:space="preserve">  NWL </w:t>
      </w:r>
      <w:r w:rsidR="00737ACA">
        <w:t>shall</w:t>
      </w:r>
      <w:r w:rsidR="000C2C80">
        <w:t xml:space="preserve"> recover its costs on appeal.</w:t>
      </w:r>
      <w:r w:rsidR="00A413B5">
        <w:t xml:space="preserve">  (Cal. Rules of Court, rule 8.278(a)(1)</w:t>
      </w:r>
      <w:r w:rsidR="00737ACA">
        <w:t>,</w:t>
      </w:r>
      <w:r w:rsidR="00A413B5">
        <w:t xml:space="preserve"> (2).)</w:t>
      </w:r>
    </w:p>
    <w:p w14:paraId="268CBD9E" w14:textId="005312F2" w:rsidR="000E7A0C" w:rsidRDefault="000E7A0C" w:rsidP="000E7A0C">
      <w:pPr>
        <w:spacing w:line="240" w:lineRule="auto"/>
      </w:pPr>
    </w:p>
    <w:p w14:paraId="0E0A7867" w14:textId="42B9BA85" w:rsidR="000E7A0C" w:rsidRDefault="000E7A0C" w:rsidP="000E7A0C">
      <w:pPr>
        <w:spacing w:line="240" w:lineRule="auto"/>
      </w:pPr>
    </w:p>
    <w:p w14:paraId="6A3563E0" w14:textId="1D457972" w:rsidR="000E7A0C" w:rsidRDefault="000E7A0C" w:rsidP="000E7A0C">
      <w:pPr>
        <w:spacing w:line="240" w:lineRule="auto"/>
      </w:pPr>
    </w:p>
    <w:p w14:paraId="14335A07" w14:textId="509D748C" w:rsidR="000E7A0C" w:rsidRDefault="000E7A0C" w:rsidP="000E7A0C">
      <w:pPr>
        <w:tabs>
          <w:tab w:val="left" w:pos="5040"/>
          <w:tab w:val="left" w:pos="7920"/>
        </w:tabs>
        <w:spacing w:line="240" w:lineRule="auto"/>
        <w:rPr>
          <w:u w:val="single"/>
        </w:rPr>
      </w:pPr>
      <w:r>
        <w:tab/>
      </w:r>
      <w:r w:rsidRPr="000E7A0C">
        <w:rPr>
          <w:u w:val="single"/>
        </w:rPr>
        <w:t xml:space="preserve">          </w:t>
      </w:r>
      <w:r w:rsidR="003A1B6E">
        <w:rPr>
          <w:u w:val="single"/>
        </w:rPr>
        <w:t>/s/</w:t>
      </w:r>
      <w:r w:rsidRPr="000E7A0C">
        <w:rPr>
          <w:u w:val="single"/>
        </w:rPr>
        <w:tab/>
      </w:r>
    </w:p>
    <w:p w14:paraId="0D50C191" w14:textId="26D5E7E8" w:rsidR="000E7A0C" w:rsidRDefault="000E7A0C" w:rsidP="000E7A0C">
      <w:pPr>
        <w:tabs>
          <w:tab w:val="left" w:pos="5040"/>
          <w:tab w:val="left" w:pos="7920"/>
        </w:tabs>
        <w:spacing w:line="240" w:lineRule="auto"/>
      </w:pPr>
      <w:r>
        <w:tab/>
        <w:t>RAYE, P. J.</w:t>
      </w:r>
    </w:p>
    <w:p w14:paraId="4EF50AA9" w14:textId="29A6D348" w:rsidR="000E7A0C" w:rsidRDefault="000E7A0C" w:rsidP="000E7A0C">
      <w:pPr>
        <w:tabs>
          <w:tab w:val="left" w:pos="5040"/>
          <w:tab w:val="left" w:pos="7920"/>
        </w:tabs>
        <w:spacing w:line="240" w:lineRule="auto"/>
      </w:pPr>
    </w:p>
    <w:p w14:paraId="000446F4" w14:textId="3F22B14B" w:rsidR="000E7A0C" w:rsidRDefault="000E7A0C" w:rsidP="000E7A0C">
      <w:pPr>
        <w:tabs>
          <w:tab w:val="left" w:pos="5040"/>
          <w:tab w:val="left" w:pos="7920"/>
        </w:tabs>
        <w:spacing w:line="240" w:lineRule="auto"/>
      </w:pPr>
    </w:p>
    <w:p w14:paraId="30F85BFF" w14:textId="42EE0D7E" w:rsidR="000E7A0C" w:rsidRDefault="000E7A0C" w:rsidP="000E7A0C">
      <w:pPr>
        <w:tabs>
          <w:tab w:val="left" w:pos="5040"/>
          <w:tab w:val="left" w:pos="7920"/>
        </w:tabs>
        <w:spacing w:line="240" w:lineRule="auto"/>
      </w:pPr>
    </w:p>
    <w:p w14:paraId="41887C08" w14:textId="3F6DF852" w:rsidR="000E7A0C" w:rsidRDefault="000E7A0C" w:rsidP="000E7A0C">
      <w:pPr>
        <w:spacing w:line="240" w:lineRule="auto"/>
      </w:pPr>
      <w:r>
        <w:t>We concur:</w:t>
      </w:r>
    </w:p>
    <w:p w14:paraId="78DC2EBD" w14:textId="31F9F768" w:rsidR="000E7A0C" w:rsidRDefault="000E7A0C" w:rsidP="000E7A0C">
      <w:pPr>
        <w:spacing w:line="240" w:lineRule="auto"/>
      </w:pPr>
    </w:p>
    <w:p w14:paraId="5D95163D" w14:textId="3B830A9C" w:rsidR="000E7A0C" w:rsidRDefault="000E7A0C" w:rsidP="000E7A0C">
      <w:pPr>
        <w:spacing w:line="240" w:lineRule="auto"/>
      </w:pPr>
    </w:p>
    <w:p w14:paraId="2D3AE474" w14:textId="475B118E" w:rsidR="000E7A0C" w:rsidRDefault="000E7A0C" w:rsidP="000E7A0C">
      <w:pPr>
        <w:spacing w:line="240" w:lineRule="auto"/>
      </w:pPr>
    </w:p>
    <w:p w14:paraId="6555F34B" w14:textId="1B657747" w:rsidR="00EE1145" w:rsidRDefault="000E7A0C" w:rsidP="000E7A0C">
      <w:pPr>
        <w:tabs>
          <w:tab w:val="left" w:pos="2880"/>
        </w:tabs>
        <w:spacing w:line="240" w:lineRule="auto"/>
        <w:rPr>
          <w:u w:val="single"/>
        </w:rPr>
      </w:pPr>
      <w:r w:rsidRPr="000E7A0C">
        <w:rPr>
          <w:u w:val="single"/>
        </w:rPr>
        <w:t xml:space="preserve">          </w:t>
      </w:r>
      <w:r w:rsidR="003A1B6E">
        <w:rPr>
          <w:u w:val="single"/>
        </w:rPr>
        <w:t>/s/</w:t>
      </w:r>
      <w:r w:rsidRPr="000E7A0C">
        <w:rPr>
          <w:u w:val="single"/>
        </w:rPr>
        <w:tab/>
      </w:r>
    </w:p>
    <w:p w14:paraId="0BBD3F25" w14:textId="1F357BEA" w:rsidR="000E7A0C" w:rsidRDefault="00EE1145" w:rsidP="000E7A0C">
      <w:pPr>
        <w:tabs>
          <w:tab w:val="left" w:pos="2880"/>
        </w:tabs>
        <w:spacing w:line="240" w:lineRule="auto"/>
      </w:pPr>
      <w:r>
        <w:t>ROBIE</w:t>
      </w:r>
      <w:r w:rsidR="000E7A0C">
        <w:t>, J.</w:t>
      </w:r>
    </w:p>
    <w:p w14:paraId="54667148" w14:textId="7914B4E3" w:rsidR="000E7A0C" w:rsidRDefault="000E7A0C" w:rsidP="000E7A0C">
      <w:pPr>
        <w:tabs>
          <w:tab w:val="left" w:pos="2880"/>
        </w:tabs>
        <w:spacing w:line="240" w:lineRule="auto"/>
      </w:pPr>
    </w:p>
    <w:p w14:paraId="2A6C7196" w14:textId="1D4E4A8E" w:rsidR="000E7A0C" w:rsidRDefault="000E7A0C" w:rsidP="000E7A0C">
      <w:pPr>
        <w:tabs>
          <w:tab w:val="left" w:pos="2880"/>
        </w:tabs>
        <w:spacing w:line="240" w:lineRule="auto"/>
      </w:pPr>
    </w:p>
    <w:p w14:paraId="5F8EF2DD" w14:textId="0A07FADB" w:rsidR="000E7A0C" w:rsidRDefault="000E7A0C" w:rsidP="000E7A0C">
      <w:pPr>
        <w:tabs>
          <w:tab w:val="left" w:pos="2880"/>
        </w:tabs>
        <w:spacing w:line="240" w:lineRule="auto"/>
      </w:pPr>
    </w:p>
    <w:p w14:paraId="592C765E" w14:textId="01D07B4D" w:rsidR="00EE1145" w:rsidRDefault="000E7A0C" w:rsidP="000E7A0C">
      <w:pPr>
        <w:tabs>
          <w:tab w:val="left" w:pos="2880"/>
        </w:tabs>
        <w:spacing w:line="240" w:lineRule="auto"/>
        <w:rPr>
          <w:u w:val="single"/>
        </w:rPr>
      </w:pPr>
      <w:r w:rsidRPr="000E7A0C">
        <w:rPr>
          <w:u w:val="single"/>
        </w:rPr>
        <w:t xml:space="preserve">          </w:t>
      </w:r>
      <w:r w:rsidR="003A1B6E">
        <w:rPr>
          <w:u w:val="single"/>
        </w:rPr>
        <w:t>/s/</w:t>
      </w:r>
      <w:r w:rsidRPr="000E7A0C">
        <w:rPr>
          <w:u w:val="single"/>
        </w:rPr>
        <w:tab/>
      </w:r>
    </w:p>
    <w:p w14:paraId="6F2F4C9E" w14:textId="6E1D05AA" w:rsidR="000E7A0C" w:rsidRDefault="00EE1145" w:rsidP="000E7A0C">
      <w:pPr>
        <w:tabs>
          <w:tab w:val="left" w:pos="2880"/>
        </w:tabs>
        <w:spacing w:line="240" w:lineRule="auto"/>
      </w:pPr>
      <w:r>
        <w:t>MURRAY</w:t>
      </w:r>
      <w:r w:rsidR="000E7A0C">
        <w:t>, J.</w:t>
      </w:r>
    </w:p>
    <w:sectPr w:rsidR="000E7A0C" w:rsidSect="00EE1145">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5FC3" w14:textId="77777777" w:rsidR="000E7A0C" w:rsidRDefault="000E7A0C">
      <w:r>
        <w:separator/>
      </w:r>
    </w:p>
  </w:endnote>
  <w:endnote w:type="continuationSeparator" w:id="0">
    <w:p w14:paraId="3C23E4FB" w14:textId="77777777" w:rsidR="000E7A0C" w:rsidRDefault="000E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81C5" w14:textId="68A48C88" w:rsidR="000E7A0C" w:rsidRPr="00EE1145" w:rsidRDefault="00EE1145" w:rsidP="00EE11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EC92B" w14:textId="77777777" w:rsidR="000E7A0C" w:rsidRDefault="000E7A0C">
      <w:r>
        <w:separator/>
      </w:r>
    </w:p>
  </w:footnote>
  <w:footnote w:type="continuationSeparator" w:id="0">
    <w:p w14:paraId="0EF48B33" w14:textId="77777777" w:rsidR="000E7A0C" w:rsidRDefault="000E7A0C">
      <w:r>
        <w:continuationSeparator/>
      </w:r>
    </w:p>
  </w:footnote>
  <w:footnote w:id="1">
    <w:p w14:paraId="1E07F581" w14:textId="215FEE6D" w:rsidR="000E7A0C" w:rsidRDefault="000E7A0C" w:rsidP="00BD0540">
      <w:pPr>
        <w:spacing w:line="240" w:lineRule="atLeast"/>
      </w:pPr>
      <w:r>
        <w:rPr>
          <w:rStyle w:val="FootnoteReference"/>
        </w:rPr>
        <w:footnoteRef/>
      </w:r>
      <w:r>
        <w:t xml:space="preserve">  Williams also alleged that, in 2015, the California Department of Insurance (DOI) filed an action against Pantaleoni for violations of the Insurance Code prohibiting misrepresentations to a senior regarding annuities.  The action was resolved by an order on a stipulation in which Pantaleoni denied the allegations but agreed to a restricted license and payment of a $2,500 fine.</w:t>
      </w:r>
    </w:p>
  </w:footnote>
  <w:footnote w:id="2">
    <w:p w14:paraId="5CDD53A7" w14:textId="618C036C" w:rsidR="000E7A0C" w:rsidRPr="009631D6" w:rsidRDefault="000E7A0C">
      <w:pPr>
        <w:pStyle w:val="FootnoteText"/>
      </w:pPr>
      <w:r>
        <w:rPr>
          <w:rStyle w:val="FootnoteReference"/>
        </w:rPr>
        <w:footnoteRef/>
      </w:r>
      <w:r>
        <w:t xml:space="preserve">  A “ ‘living trust mill’ ” involves “salespeople, posing as experts in estate planning, engage[ing] in the unlawful practice of law, advis[ing] senior citizens to establish a living trust, and to invest in .</w:t>
      </w:r>
      <w:r w:rsidR="0065083B">
        <w:t> </w:t>
      </w:r>
      <w:r>
        <w:t>.</w:t>
      </w:r>
      <w:r w:rsidR="0065083B">
        <w:t> </w:t>
      </w:r>
      <w:r>
        <w:t>. annuities.”  (</w:t>
      </w:r>
      <w:r>
        <w:rPr>
          <w:i/>
          <w:iCs/>
        </w:rPr>
        <w:t xml:space="preserve">People ex rel. Lockyer v Fremont General Corp. </w:t>
      </w:r>
      <w:r>
        <w:t>(2001) 89 Cal.App.4th 1260, 1263.)</w:t>
      </w:r>
    </w:p>
  </w:footnote>
  <w:footnote w:id="3">
    <w:p w14:paraId="2035697E" w14:textId="392CBB3F" w:rsidR="000E7A0C" w:rsidRPr="00FF31C3" w:rsidRDefault="000E7A0C">
      <w:pPr>
        <w:pStyle w:val="FootnoteText"/>
      </w:pPr>
      <w:r>
        <w:rPr>
          <w:rStyle w:val="FootnoteReference"/>
        </w:rPr>
        <w:footnoteRef/>
      </w:r>
      <w:r>
        <w:t xml:space="preserve">  Insurance Code section 785, subdivision (a), provides:  “All insurers, brokers, agents, and others engaged in the transaction of insurance owe a prospective insured who is 65 years of age or older, a duty of honesty, good faith, and fair dealing.  This duty is in addition to any other duty, whether express or implied, that may exist.”</w:t>
      </w:r>
    </w:p>
  </w:footnote>
  <w:footnote w:id="4">
    <w:p w14:paraId="77E695CD" w14:textId="784A7CE6" w:rsidR="000E7A0C" w:rsidRDefault="000E7A0C">
      <w:pPr>
        <w:pStyle w:val="FootnoteText"/>
      </w:pPr>
      <w:r>
        <w:rPr>
          <w:rStyle w:val="FootnoteReference"/>
        </w:rPr>
        <w:footnoteRef/>
      </w:r>
      <w:r>
        <w:t xml:space="preserve">  In 2007, Pantaleoni’s contract was terminated for lack of production.</w:t>
      </w:r>
    </w:p>
  </w:footnote>
  <w:footnote w:id="5">
    <w:p w14:paraId="00040704" w14:textId="5CA67153" w:rsidR="000E7A0C" w:rsidRDefault="000E7A0C" w:rsidP="00BD0540">
      <w:pPr>
        <w:spacing w:line="240" w:lineRule="atLeast"/>
      </w:pPr>
      <w:r w:rsidRPr="00021E1F">
        <w:rPr>
          <w:rStyle w:val="FootnoteReference"/>
        </w:rPr>
        <w:footnoteRef/>
      </w:r>
      <w:r>
        <w:t xml:space="preserve">  Bordenave also testified that Pantaleoni breached the standard of care:  (1) he offered to do trust work as a way to sell insurance in violation of the Insurance Code; (2) he had Williams sign a blank check; (3) Williams apparently did not know he was buying an annuity; (4) Pantaleoni was illegally charging fees for trust work and getting a commission on an insurance transaction at the same time; (5) Pantaleoni may not have delivered the second annuity to Williams; and (6) Pantaleoni did not provide the required 24-hour notice acknowledged by the customer for sales to a person over 65.</w:t>
      </w:r>
    </w:p>
  </w:footnote>
  <w:footnote w:id="6">
    <w:p w14:paraId="492BA67B" w14:textId="78565B09" w:rsidR="000E7A0C" w:rsidRDefault="000E7A0C">
      <w:pPr>
        <w:pStyle w:val="FootnoteText"/>
      </w:pPr>
      <w:r>
        <w:rPr>
          <w:rStyle w:val="FootnoteReference"/>
        </w:rPr>
        <w:footnoteRef/>
      </w:r>
      <w:r>
        <w:t xml:space="preserve">  Regarding punitive damages, the parties stipulated that NWL had $1.4 billion in assets and Pantaleoni was able to pay $1,000 in punitive damages.</w:t>
      </w:r>
    </w:p>
  </w:footnote>
  <w:footnote w:id="7">
    <w:p w14:paraId="74187DC9" w14:textId="23EF58F7" w:rsidR="000E7A0C" w:rsidRDefault="000E7A0C">
      <w:pPr>
        <w:pStyle w:val="FootnoteText"/>
      </w:pPr>
      <w:r>
        <w:rPr>
          <w:rStyle w:val="FootnoteReference"/>
        </w:rPr>
        <w:footnoteRef/>
      </w:r>
      <w:r>
        <w:t xml:space="preserve">  If a duty to supervise and monitor independent agents existed, with some 20,000 agents, the expense to NWL would likely impact the cost of annuities offered.</w:t>
      </w:r>
    </w:p>
  </w:footnote>
  <w:footnote w:id="8">
    <w:p w14:paraId="0D43C227" w14:textId="23494F44" w:rsidR="000E7A0C" w:rsidRPr="0053059E" w:rsidRDefault="000E7A0C">
      <w:pPr>
        <w:pStyle w:val="FootnoteText"/>
      </w:pPr>
      <w:r>
        <w:rPr>
          <w:rStyle w:val="FootnoteReference"/>
        </w:rPr>
        <w:footnoteRef/>
      </w:r>
      <w:r>
        <w:t xml:space="preserve">  Williams contends that NWL admitted it had a duty to investigate his complaint.  However, Williams concedes that the record discloses only that legal counsel for NWL made a statement to that effect in opening argument.  “It is elementary statements of the attorneys are not evidence.”  (</w:t>
      </w:r>
      <w:r>
        <w:rPr>
          <w:i/>
          <w:iCs/>
        </w:rPr>
        <w:t xml:space="preserve">Van de Kamp v. Bank of America </w:t>
      </w:r>
      <w:r>
        <w:t xml:space="preserve">(1988) 204 Cal.App.3d 819, 843; </w:t>
      </w:r>
      <w:r>
        <w:rPr>
          <w:i/>
          <w:iCs/>
        </w:rPr>
        <w:t xml:space="preserve">Biron v. City of Redding </w:t>
      </w:r>
      <w:r>
        <w:t>(2014) 225 Cal.App.4th 1264, 1269, fn. 1[“Of course, the statement of an attorney is not evidence”].)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49"/>
    <w:rsid w:val="000026F1"/>
    <w:rsid w:val="00004F73"/>
    <w:rsid w:val="000051BC"/>
    <w:rsid w:val="00006514"/>
    <w:rsid w:val="00010C15"/>
    <w:rsid w:val="000115B4"/>
    <w:rsid w:val="00012414"/>
    <w:rsid w:val="000140CC"/>
    <w:rsid w:val="00021E1F"/>
    <w:rsid w:val="00022761"/>
    <w:rsid w:val="00025120"/>
    <w:rsid w:val="0002700A"/>
    <w:rsid w:val="00031002"/>
    <w:rsid w:val="000311C1"/>
    <w:rsid w:val="00035B13"/>
    <w:rsid w:val="00042426"/>
    <w:rsid w:val="0005148C"/>
    <w:rsid w:val="00062FCC"/>
    <w:rsid w:val="00065560"/>
    <w:rsid w:val="000659CC"/>
    <w:rsid w:val="000703BB"/>
    <w:rsid w:val="00071223"/>
    <w:rsid w:val="000726E5"/>
    <w:rsid w:val="0008427E"/>
    <w:rsid w:val="00085EA0"/>
    <w:rsid w:val="000A126D"/>
    <w:rsid w:val="000A1941"/>
    <w:rsid w:val="000A434A"/>
    <w:rsid w:val="000A5161"/>
    <w:rsid w:val="000B0AE6"/>
    <w:rsid w:val="000B3983"/>
    <w:rsid w:val="000B52B2"/>
    <w:rsid w:val="000C2C80"/>
    <w:rsid w:val="000D346C"/>
    <w:rsid w:val="000D6A29"/>
    <w:rsid w:val="000D70C4"/>
    <w:rsid w:val="000E00DE"/>
    <w:rsid w:val="000E4D47"/>
    <w:rsid w:val="000E7A0C"/>
    <w:rsid w:val="000F3AB2"/>
    <w:rsid w:val="000F4272"/>
    <w:rsid w:val="000F4D65"/>
    <w:rsid w:val="00100055"/>
    <w:rsid w:val="00101043"/>
    <w:rsid w:val="00105B85"/>
    <w:rsid w:val="00107AF0"/>
    <w:rsid w:val="0011190B"/>
    <w:rsid w:val="00112BB0"/>
    <w:rsid w:val="0011671D"/>
    <w:rsid w:val="00117092"/>
    <w:rsid w:val="0012031E"/>
    <w:rsid w:val="0012146B"/>
    <w:rsid w:val="00122365"/>
    <w:rsid w:val="00122BAE"/>
    <w:rsid w:val="001341B3"/>
    <w:rsid w:val="001443DF"/>
    <w:rsid w:val="00146518"/>
    <w:rsid w:val="00152748"/>
    <w:rsid w:val="001534D4"/>
    <w:rsid w:val="0015464A"/>
    <w:rsid w:val="00154756"/>
    <w:rsid w:val="00154F31"/>
    <w:rsid w:val="00156F0E"/>
    <w:rsid w:val="00161B70"/>
    <w:rsid w:val="00162498"/>
    <w:rsid w:val="00164EE2"/>
    <w:rsid w:val="00166E7C"/>
    <w:rsid w:val="001750A6"/>
    <w:rsid w:val="00182111"/>
    <w:rsid w:val="001857C1"/>
    <w:rsid w:val="00185837"/>
    <w:rsid w:val="001923D3"/>
    <w:rsid w:val="00193069"/>
    <w:rsid w:val="0019536C"/>
    <w:rsid w:val="001A23A8"/>
    <w:rsid w:val="001B4B23"/>
    <w:rsid w:val="001C6C63"/>
    <w:rsid w:val="001D7880"/>
    <w:rsid w:val="001E48D6"/>
    <w:rsid w:val="001E666F"/>
    <w:rsid w:val="001F3C49"/>
    <w:rsid w:val="001F62F2"/>
    <w:rsid w:val="001F67BA"/>
    <w:rsid w:val="001F6E32"/>
    <w:rsid w:val="00200FC5"/>
    <w:rsid w:val="002025D0"/>
    <w:rsid w:val="00203B9B"/>
    <w:rsid w:val="00207BC4"/>
    <w:rsid w:val="002154A8"/>
    <w:rsid w:val="0021685B"/>
    <w:rsid w:val="00220835"/>
    <w:rsid w:val="00221F88"/>
    <w:rsid w:val="00224864"/>
    <w:rsid w:val="00226D13"/>
    <w:rsid w:val="00231273"/>
    <w:rsid w:val="00231C5D"/>
    <w:rsid w:val="00240DF5"/>
    <w:rsid w:val="002462B0"/>
    <w:rsid w:val="00246C11"/>
    <w:rsid w:val="00247372"/>
    <w:rsid w:val="00260A4B"/>
    <w:rsid w:val="00260B3F"/>
    <w:rsid w:val="00272546"/>
    <w:rsid w:val="00275C33"/>
    <w:rsid w:val="002822FD"/>
    <w:rsid w:val="002849F2"/>
    <w:rsid w:val="0029172D"/>
    <w:rsid w:val="00291E12"/>
    <w:rsid w:val="0029292B"/>
    <w:rsid w:val="00295773"/>
    <w:rsid w:val="002A389A"/>
    <w:rsid w:val="002A5068"/>
    <w:rsid w:val="002B1712"/>
    <w:rsid w:val="002B4AF5"/>
    <w:rsid w:val="002C460C"/>
    <w:rsid w:val="002C6089"/>
    <w:rsid w:val="002D25E1"/>
    <w:rsid w:val="002D5D2E"/>
    <w:rsid w:val="002E1234"/>
    <w:rsid w:val="002E14AE"/>
    <w:rsid w:val="002E37AA"/>
    <w:rsid w:val="002E5BB1"/>
    <w:rsid w:val="002E78AD"/>
    <w:rsid w:val="002F1CE2"/>
    <w:rsid w:val="003018E5"/>
    <w:rsid w:val="0030208E"/>
    <w:rsid w:val="003074BE"/>
    <w:rsid w:val="0031021A"/>
    <w:rsid w:val="00311B5F"/>
    <w:rsid w:val="00313BD7"/>
    <w:rsid w:val="00313F0A"/>
    <w:rsid w:val="00323EB7"/>
    <w:rsid w:val="003244F3"/>
    <w:rsid w:val="0032550A"/>
    <w:rsid w:val="00337C27"/>
    <w:rsid w:val="00342A14"/>
    <w:rsid w:val="003445AE"/>
    <w:rsid w:val="00347885"/>
    <w:rsid w:val="003517F9"/>
    <w:rsid w:val="00356593"/>
    <w:rsid w:val="0035710D"/>
    <w:rsid w:val="003609F3"/>
    <w:rsid w:val="003621A2"/>
    <w:rsid w:val="00365F5B"/>
    <w:rsid w:val="00371E82"/>
    <w:rsid w:val="00373E1A"/>
    <w:rsid w:val="00374AC2"/>
    <w:rsid w:val="0037543A"/>
    <w:rsid w:val="00381618"/>
    <w:rsid w:val="00385CA8"/>
    <w:rsid w:val="0039553A"/>
    <w:rsid w:val="00395CEB"/>
    <w:rsid w:val="003A1B6E"/>
    <w:rsid w:val="003B1E79"/>
    <w:rsid w:val="003B3EB4"/>
    <w:rsid w:val="003B42CD"/>
    <w:rsid w:val="003B46F8"/>
    <w:rsid w:val="003C5FB1"/>
    <w:rsid w:val="003D497E"/>
    <w:rsid w:val="003E2B4F"/>
    <w:rsid w:val="003E3358"/>
    <w:rsid w:val="003E37AC"/>
    <w:rsid w:val="003E68E6"/>
    <w:rsid w:val="003E6939"/>
    <w:rsid w:val="003F46E0"/>
    <w:rsid w:val="003F4747"/>
    <w:rsid w:val="003F6B96"/>
    <w:rsid w:val="003F70CD"/>
    <w:rsid w:val="004001C5"/>
    <w:rsid w:val="0040684B"/>
    <w:rsid w:val="004108A0"/>
    <w:rsid w:val="00410C81"/>
    <w:rsid w:val="004157C8"/>
    <w:rsid w:val="00421A5B"/>
    <w:rsid w:val="00421F43"/>
    <w:rsid w:val="00431540"/>
    <w:rsid w:val="004324A4"/>
    <w:rsid w:val="004429F3"/>
    <w:rsid w:val="00445391"/>
    <w:rsid w:val="0045159F"/>
    <w:rsid w:val="0045263E"/>
    <w:rsid w:val="004534C0"/>
    <w:rsid w:val="00454DF9"/>
    <w:rsid w:val="00454ECB"/>
    <w:rsid w:val="00460F7A"/>
    <w:rsid w:val="00462B1A"/>
    <w:rsid w:val="0046670C"/>
    <w:rsid w:val="00470E9E"/>
    <w:rsid w:val="00472AB8"/>
    <w:rsid w:val="0048049E"/>
    <w:rsid w:val="00480FED"/>
    <w:rsid w:val="00483762"/>
    <w:rsid w:val="00484035"/>
    <w:rsid w:val="00486617"/>
    <w:rsid w:val="00487759"/>
    <w:rsid w:val="004A1CC2"/>
    <w:rsid w:val="004A3BA0"/>
    <w:rsid w:val="004A56E6"/>
    <w:rsid w:val="004A5751"/>
    <w:rsid w:val="004B67D2"/>
    <w:rsid w:val="004B71BA"/>
    <w:rsid w:val="004E6462"/>
    <w:rsid w:val="004E6E2A"/>
    <w:rsid w:val="004F5757"/>
    <w:rsid w:val="004F7E7A"/>
    <w:rsid w:val="00501C6A"/>
    <w:rsid w:val="00505087"/>
    <w:rsid w:val="005109D1"/>
    <w:rsid w:val="0051177D"/>
    <w:rsid w:val="00516206"/>
    <w:rsid w:val="00516C36"/>
    <w:rsid w:val="00527F8B"/>
    <w:rsid w:val="0053059E"/>
    <w:rsid w:val="005309AF"/>
    <w:rsid w:val="005335A2"/>
    <w:rsid w:val="005368A2"/>
    <w:rsid w:val="00537D74"/>
    <w:rsid w:val="0054182E"/>
    <w:rsid w:val="0054499C"/>
    <w:rsid w:val="00553EFC"/>
    <w:rsid w:val="00554DB8"/>
    <w:rsid w:val="00561FD6"/>
    <w:rsid w:val="00563099"/>
    <w:rsid w:val="005653C6"/>
    <w:rsid w:val="00566451"/>
    <w:rsid w:val="00571CDC"/>
    <w:rsid w:val="005739BE"/>
    <w:rsid w:val="00586027"/>
    <w:rsid w:val="0059030A"/>
    <w:rsid w:val="005A23FA"/>
    <w:rsid w:val="005C1410"/>
    <w:rsid w:val="005C1B9E"/>
    <w:rsid w:val="005C2878"/>
    <w:rsid w:val="005C4E27"/>
    <w:rsid w:val="005C6027"/>
    <w:rsid w:val="005D00C2"/>
    <w:rsid w:val="005D2697"/>
    <w:rsid w:val="005D5C19"/>
    <w:rsid w:val="005E18B1"/>
    <w:rsid w:val="005F26C1"/>
    <w:rsid w:val="005F2860"/>
    <w:rsid w:val="00600CE0"/>
    <w:rsid w:val="006015D2"/>
    <w:rsid w:val="0060468A"/>
    <w:rsid w:val="006070AF"/>
    <w:rsid w:val="00607875"/>
    <w:rsid w:val="006116A6"/>
    <w:rsid w:val="0061219B"/>
    <w:rsid w:val="0061647E"/>
    <w:rsid w:val="00623C15"/>
    <w:rsid w:val="006266A5"/>
    <w:rsid w:val="00627F9D"/>
    <w:rsid w:val="00630AFC"/>
    <w:rsid w:val="0063291E"/>
    <w:rsid w:val="00633878"/>
    <w:rsid w:val="00634F6F"/>
    <w:rsid w:val="006414D5"/>
    <w:rsid w:val="006438F6"/>
    <w:rsid w:val="0065083B"/>
    <w:rsid w:val="00655FE4"/>
    <w:rsid w:val="00656B03"/>
    <w:rsid w:val="00656D1B"/>
    <w:rsid w:val="00660EF9"/>
    <w:rsid w:val="0066322A"/>
    <w:rsid w:val="0067152A"/>
    <w:rsid w:val="00672900"/>
    <w:rsid w:val="00675A9D"/>
    <w:rsid w:val="00676DA8"/>
    <w:rsid w:val="0068399E"/>
    <w:rsid w:val="0068599E"/>
    <w:rsid w:val="00687779"/>
    <w:rsid w:val="00690227"/>
    <w:rsid w:val="00690712"/>
    <w:rsid w:val="00697313"/>
    <w:rsid w:val="006A216A"/>
    <w:rsid w:val="006A2E02"/>
    <w:rsid w:val="006A5DFF"/>
    <w:rsid w:val="006B2C5E"/>
    <w:rsid w:val="006B5461"/>
    <w:rsid w:val="006B6718"/>
    <w:rsid w:val="006C0D51"/>
    <w:rsid w:val="006C30B0"/>
    <w:rsid w:val="006C774F"/>
    <w:rsid w:val="006D01B0"/>
    <w:rsid w:val="006D0C50"/>
    <w:rsid w:val="006D3BFF"/>
    <w:rsid w:val="006D5460"/>
    <w:rsid w:val="006D61EF"/>
    <w:rsid w:val="006D7F56"/>
    <w:rsid w:val="006E1AC2"/>
    <w:rsid w:val="006E45F8"/>
    <w:rsid w:val="006E63E3"/>
    <w:rsid w:val="007021DC"/>
    <w:rsid w:val="007078AC"/>
    <w:rsid w:val="00710949"/>
    <w:rsid w:val="00715297"/>
    <w:rsid w:val="00720247"/>
    <w:rsid w:val="00726420"/>
    <w:rsid w:val="00734B2D"/>
    <w:rsid w:val="00737ACA"/>
    <w:rsid w:val="00745877"/>
    <w:rsid w:val="007507D3"/>
    <w:rsid w:val="00753422"/>
    <w:rsid w:val="00753D47"/>
    <w:rsid w:val="00754C97"/>
    <w:rsid w:val="00755C9D"/>
    <w:rsid w:val="00755E1E"/>
    <w:rsid w:val="00764986"/>
    <w:rsid w:val="007662CC"/>
    <w:rsid w:val="00766CF2"/>
    <w:rsid w:val="00771FFC"/>
    <w:rsid w:val="007818B6"/>
    <w:rsid w:val="00781CD3"/>
    <w:rsid w:val="00786BE9"/>
    <w:rsid w:val="00786D64"/>
    <w:rsid w:val="0079014C"/>
    <w:rsid w:val="007A08C0"/>
    <w:rsid w:val="007A2834"/>
    <w:rsid w:val="007A2FCA"/>
    <w:rsid w:val="007A65F3"/>
    <w:rsid w:val="007B37EA"/>
    <w:rsid w:val="007D028D"/>
    <w:rsid w:val="007D3E8E"/>
    <w:rsid w:val="007D4F80"/>
    <w:rsid w:val="007D6DA1"/>
    <w:rsid w:val="007E1C4C"/>
    <w:rsid w:val="007E491A"/>
    <w:rsid w:val="007E78DF"/>
    <w:rsid w:val="007F1C28"/>
    <w:rsid w:val="007F4A60"/>
    <w:rsid w:val="00807D12"/>
    <w:rsid w:val="0081135B"/>
    <w:rsid w:val="008119A0"/>
    <w:rsid w:val="00815716"/>
    <w:rsid w:val="00822816"/>
    <w:rsid w:val="0082539E"/>
    <w:rsid w:val="00832FE2"/>
    <w:rsid w:val="00835F6F"/>
    <w:rsid w:val="00837F5C"/>
    <w:rsid w:val="00847C1F"/>
    <w:rsid w:val="00847D2E"/>
    <w:rsid w:val="00852B1F"/>
    <w:rsid w:val="00854D4D"/>
    <w:rsid w:val="008601E3"/>
    <w:rsid w:val="00867239"/>
    <w:rsid w:val="00870564"/>
    <w:rsid w:val="00874BEA"/>
    <w:rsid w:val="008759CE"/>
    <w:rsid w:val="008829F0"/>
    <w:rsid w:val="00882EF1"/>
    <w:rsid w:val="00890636"/>
    <w:rsid w:val="0089406B"/>
    <w:rsid w:val="00894804"/>
    <w:rsid w:val="00894FD0"/>
    <w:rsid w:val="00897481"/>
    <w:rsid w:val="008A41D8"/>
    <w:rsid w:val="008B1EDE"/>
    <w:rsid w:val="008B2F38"/>
    <w:rsid w:val="008B5CD5"/>
    <w:rsid w:val="008B76B8"/>
    <w:rsid w:val="008C0EFB"/>
    <w:rsid w:val="008C18B6"/>
    <w:rsid w:val="008C613B"/>
    <w:rsid w:val="008D0F0B"/>
    <w:rsid w:val="008D1E52"/>
    <w:rsid w:val="008D678E"/>
    <w:rsid w:val="008F0070"/>
    <w:rsid w:val="008F3726"/>
    <w:rsid w:val="008F388B"/>
    <w:rsid w:val="00900E8D"/>
    <w:rsid w:val="00905248"/>
    <w:rsid w:val="0090587B"/>
    <w:rsid w:val="0090733B"/>
    <w:rsid w:val="00914B29"/>
    <w:rsid w:val="00915EE5"/>
    <w:rsid w:val="009172A4"/>
    <w:rsid w:val="0092539F"/>
    <w:rsid w:val="00932839"/>
    <w:rsid w:val="00932E67"/>
    <w:rsid w:val="0094242A"/>
    <w:rsid w:val="009466C3"/>
    <w:rsid w:val="00953F06"/>
    <w:rsid w:val="009542A9"/>
    <w:rsid w:val="00955FE7"/>
    <w:rsid w:val="00957138"/>
    <w:rsid w:val="00957BBF"/>
    <w:rsid w:val="009631D6"/>
    <w:rsid w:val="009672C1"/>
    <w:rsid w:val="00967BC7"/>
    <w:rsid w:val="009704F3"/>
    <w:rsid w:val="00975157"/>
    <w:rsid w:val="009756D1"/>
    <w:rsid w:val="0097650A"/>
    <w:rsid w:val="00980440"/>
    <w:rsid w:val="009827C0"/>
    <w:rsid w:val="00983BC4"/>
    <w:rsid w:val="009937E1"/>
    <w:rsid w:val="00994C06"/>
    <w:rsid w:val="009A1666"/>
    <w:rsid w:val="009A6C0B"/>
    <w:rsid w:val="009B5988"/>
    <w:rsid w:val="009C06E7"/>
    <w:rsid w:val="009C0F09"/>
    <w:rsid w:val="009D0A3B"/>
    <w:rsid w:val="009D16FF"/>
    <w:rsid w:val="009D5C37"/>
    <w:rsid w:val="009E0893"/>
    <w:rsid w:val="009E15C1"/>
    <w:rsid w:val="009F53EE"/>
    <w:rsid w:val="00A00A91"/>
    <w:rsid w:val="00A03D68"/>
    <w:rsid w:val="00A11108"/>
    <w:rsid w:val="00A15F42"/>
    <w:rsid w:val="00A21430"/>
    <w:rsid w:val="00A26353"/>
    <w:rsid w:val="00A37242"/>
    <w:rsid w:val="00A413B5"/>
    <w:rsid w:val="00A509FE"/>
    <w:rsid w:val="00A61C02"/>
    <w:rsid w:val="00A631A7"/>
    <w:rsid w:val="00A644EE"/>
    <w:rsid w:val="00A70ED8"/>
    <w:rsid w:val="00A72FBE"/>
    <w:rsid w:val="00A753B1"/>
    <w:rsid w:val="00A7778E"/>
    <w:rsid w:val="00A81377"/>
    <w:rsid w:val="00A90DD3"/>
    <w:rsid w:val="00A91375"/>
    <w:rsid w:val="00A92B5C"/>
    <w:rsid w:val="00A942A8"/>
    <w:rsid w:val="00A94DD5"/>
    <w:rsid w:val="00AB34B1"/>
    <w:rsid w:val="00AB5F27"/>
    <w:rsid w:val="00AC7485"/>
    <w:rsid w:val="00AD180E"/>
    <w:rsid w:val="00AD2BBA"/>
    <w:rsid w:val="00AD4099"/>
    <w:rsid w:val="00AD6502"/>
    <w:rsid w:val="00AE04F0"/>
    <w:rsid w:val="00AE43F0"/>
    <w:rsid w:val="00AE5A67"/>
    <w:rsid w:val="00AE7CED"/>
    <w:rsid w:val="00AF1CE5"/>
    <w:rsid w:val="00AF42A3"/>
    <w:rsid w:val="00AF78F4"/>
    <w:rsid w:val="00B002F8"/>
    <w:rsid w:val="00B34FC3"/>
    <w:rsid w:val="00B40AB1"/>
    <w:rsid w:val="00B418C8"/>
    <w:rsid w:val="00B44399"/>
    <w:rsid w:val="00B4648A"/>
    <w:rsid w:val="00B5172C"/>
    <w:rsid w:val="00B52260"/>
    <w:rsid w:val="00B52D78"/>
    <w:rsid w:val="00B54001"/>
    <w:rsid w:val="00B57B6A"/>
    <w:rsid w:val="00B63A34"/>
    <w:rsid w:val="00B70E03"/>
    <w:rsid w:val="00B71279"/>
    <w:rsid w:val="00B730A6"/>
    <w:rsid w:val="00B740C3"/>
    <w:rsid w:val="00B76EA3"/>
    <w:rsid w:val="00B82032"/>
    <w:rsid w:val="00B83978"/>
    <w:rsid w:val="00B90F94"/>
    <w:rsid w:val="00B97123"/>
    <w:rsid w:val="00BA4B85"/>
    <w:rsid w:val="00BA6CE9"/>
    <w:rsid w:val="00BB2043"/>
    <w:rsid w:val="00BB68D2"/>
    <w:rsid w:val="00BC6AE9"/>
    <w:rsid w:val="00BD0540"/>
    <w:rsid w:val="00BE28C2"/>
    <w:rsid w:val="00BE450D"/>
    <w:rsid w:val="00BF2AB2"/>
    <w:rsid w:val="00BF7A5E"/>
    <w:rsid w:val="00C00419"/>
    <w:rsid w:val="00C00DBA"/>
    <w:rsid w:val="00C010F5"/>
    <w:rsid w:val="00C0396A"/>
    <w:rsid w:val="00C074B2"/>
    <w:rsid w:val="00C11E7C"/>
    <w:rsid w:val="00C120E9"/>
    <w:rsid w:val="00C14051"/>
    <w:rsid w:val="00C21736"/>
    <w:rsid w:val="00C2708F"/>
    <w:rsid w:val="00C27FBD"/>
    <w:rsid w:val="00C322F0"/>
    <w:rsid w:val="00C4392C"/>
    <w:rsid w:val="00C50B60"/>
    <w:rsid w:val="00C537A9"/>
    <w:rsid w:val="00C55813"/>
    <w:rsid w:val="00C608E9"/>
    <w:rsid w:val="00C6248F"/>
    <w:rsid w:val="00C63B73"/>
    <w:rsid w:val="00C71690"/>
    <w:rsid w:val="00C72BCC"/>
    <w:rsid w:val="00C7452F"/>
    <w:rsid w:val="00C82B1A"/>
    <w:rsid w:val="00C85E2F"/>
    <w:rsid w:val="00C864CD"/>
    <w:rsid w:val="00C928B6"/>
    <w:rsid w:val="00C92E50"/>
    <w:rsid w:val="00CA29FB"/>
    <w:rsid w:val="00CA6DC2"/>
    <w:rsid w:val="00CB2583"/>
    <w:rsid w:val="00CB28B5"/>
    <w:rsid w:val="00CC18CB"/>
    <w:rsid w:val="00CC1EC8"/>
    <w:rsid w:val="00CC450E"/>
    <w:rsid w:val="00CC625B"/>
    <w:rsid w:val="00CC6411"/>
    <w:rsid w:val="00CD1AF1"/>
    <w:rsid w:val="00CE19AF"/>
    <w:rsid w:val="00CE39A4"/>
    <w:rsid w:val="00CE5FE6"/>
    <w:rsid w:val="00CF44BB"/>
    <w:rsid w:val="00CF5EC9"/>
    <w:rsid w:val="00D03168"/>
    <w:rsid w:val="00D121E3"/>
    <w:rsid w:val="00D12F55"/>
    <w:rsid w:val="00D2445D"/>
    <w:rsid w:val="00D30579"/>
    <w:rsid w:val="00D30C0A"/>
    <w:rsid w:val="00D331F4"/>
    <w:rsid w:val="00D37A6F"/>
    <w:rsid w:val="00D4007F"/>
    <w:rsid w:val="00D40F77"/>
    <w:rsid w:val="00D42A37"/>
    <w:rsid w:val="00D46F42"/>
    <w:rsid w:val="00D4722E"/>
    <w:rsid w:val="00D479C6"/>
    <w:rsid w:val="00D53592"/>
    <w:rsid w:val="00D616E1"/>
    <w:rsid w:val="00D635F2"/>
    <w:rsid w:val="00D655D3"/>
    <w:rsid w:val="00D73697"/>
    <w:rsid w:val="00D73F99"/>
    <w:rsid w:val="00D773F1"/>
    <w:rsid w:val="00D77814"/>
    <w:rsid w:val="00D8378C"/>
    <w:rsid w:val="00D83AE0"/>
    <w:rsid w:val="00D90EBE"/>
    <w:rsid w:val="00D92A05"/>
    <w:rsid w:val="00DA5B10"/>
    <w:rsid w:val="00DA60D1"/>
    <w:rsid w:val="00DA7F5B"/>
    <w:rsid w:val="00DB4FC0"/>
    <w:rsid w:val="00DC53A5"/>
    <w:rsid w:val="00DC6888"/>
    <w:rsid w:val="00DD5531"/>
    <w:rsid w:val="00DE6C02"/>
    <w:rsid w:val="00E0097A"/>
    <w:rsid w:val="00E13D01"/>
    <w:rsid w:val="00E16441"/>
    <w:rsid w:val="00E22788"/>
    <w:rsid w:val="00E31426"/>
    <w:rsid w:val="00E42585"/>
    <w:rsid w:val="00E46AD4"/>
    <w:rsid w:val="00E51BE2"/>
    <w:rsid w:val="00E57079"/>
    <w:rsid w:val="00E603A3"/>
    <w:rsid w:val="00E60572"/>
    <w:rsid w:val="00E63326"/>
    <w:rsid w:val="00E65204"/>
    <w:rsid w:val="00E66C20"/>
    <w:rsid w:val="00E66E8F"/>
    <w:rsid w:val="00E94991"/>
    <w:rsid w:val="00E957C9"/>
    <w:rsid w:val="00E9620E"/>
    <w:rsid w:val="00EA1034"/>
    <w:rsid w:val="00EA1D65"/>
    <w:rsid w:val="00EA343F"/>
    <w:rsid w:val="00EA5446"/>
    <w:rsid w:val="00EB1F60"/>
    <w:rsid w:val="00EB5FD5"/>
    <w:rsid w:val="00EC2935"/>
    <w:rsid w:val="00EC34B1"/>
    <w:rsid w:val="00EC7233"/>
    <w:rsid w:val="00ED0AC8"/>
    <w:rsid w:val="00ED3989"/>
    <w:rsid w:val="00EE0062"/>
    <w:rsid w:val="00EE1145"/>
    <w:rsid w:val="00EF032F"/>
    <w:rsid w:val="00EF05CD"/>
    <w:rsid w:val="00EF27D3"/>
    <w:rsid w:val="00EF5748"/>
    <w:rsid w:val="00EF637F"/>
    <w:rsid w:val="00F0272F"/>
    <w:rsid w:val="00F07E30"/>
    <w:rsid w:val="00F12240"/>
    <w:rsid w:val="00F204EC"/>
    <w:rsid w:val="00F3121C"/>
    <w:rsid w:val="00F330B8"/>
    <w:rsid w:val="00F40DB1"/>
    <w:rsid w:val="00F42064"/>
    <w:rsid w:val="00F53F1D"/>
    <w:rsid w:val="00F64C49"/>
    <w:rsid w:val="00F67801"/>
    <w:rsid w:val="00F7684B"/>
    <w:rsid w:val="00F8014B"/>
    <w:rsid w:val="00F80F69"/>
    <w:rsid w:val="00F876F7"/>
    <w:rsid w:val="00F94CDB"/>
    <w:rsid w:val="00F9754F"/>
    <w:rsid w:val="00FA3739"/>
    <w:rsid w:val="00FB4E83"/>
    <w:rsid w:val="00FB7A2B"/>
    <w:rsid w:val="00FC09F4"/>
    <w:rsid w:val="00FD05CB"/>
    <w:rsid w:val="00FD0A7A"/>
    <w:rsid w:val="00FD15E2"/>
    <w:rsid w:val="00FD3BD0"/>
    <w:rsid w:val="00FE5536"/>
    <w:rsid w:val="00FE6FAB"/>
    <w:rsid w:val="00FF1AFC"/>
    <w:rsid w:val="00FF31C3"/>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6E6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paragraph" w:styleId="Heading2">
    <w:name w:val="heading 2"/>
    <w:basedOn w:val="Normal"/>
    <w:link w:val="Heading2Char"/>
    <w:uiPriority w:val="9"/>
    <w:qFormat/>
    <w:rsid w:val="009E15C1"/>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Emphasis">
    <w:name w:val="Emphasis"/>
    <w:basedOn w:val="DefaultParagraphFont"/>
    <w:uiPriority w:val="20"/>
    <w:qFormat/>
    <w:rsid w:val="00815716"/>
    <w:rPr>
      <w:i/>
      <w:iCs/>
    </w:rPr>
  </w:style>
  <w:style w:type="character" w:customStyle="1" w:styleId="Heading2Char">
    <w:name w:val="Heading 2 Char"/>
    <w:basedOn w:val="DefaultParagraphFont"/>
    <w:link w:val="Heading2"/>
    <w:uiPriority w:val="9"/>
    <w:rsid w:val="009E15C1"/>
    <w:rPr>
      <w:b/>
      <w:bCs/>
      <w:sz w:val="36"/>
      <w:szCs w:val="36"/>
    </w:rPr>
  </w:style>
  <w:style w:type="character" w:customStyle="1" w:styleId="cosearchterm">
    <w:name w:val="co_searchterm"/>
    <w:basedOn w:val="DefaultParagraphFont"/>
    <w:rsid w:val="00480FED"/>
  </w:style>
  <w:style w:type="character" w:styleId="Hyperlink">
    <w:name w:val="Hyperlink"/>
    <w:basedOn w:val="DefaultParagraphFont"/>
    <w:uiPriority w:val="99"/>
    <w:semiHidden/>
    <w:unhideWhenUsed/>
    <w:rsid w:val="00480FED"/>
    <w:rPr>
      <w:color w:val="0000FF"/>
      <w:u w:val="single"/>
    </w:rPr>
  </w:style>
  <w:style w:type="paragraph" w:styleId="BalloonText">
    <w:name w:val="Balloon Text"/>
    <w:basedOn w:val="Normal"/>
    <w:link w:val="BalloonTextChar"/>
    <w:rsid w:val="007109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10949"/>
    <w:rPr>
      <w:rFonts w:ascii="Segoe UI" w:hAnsi="Segoe UI" w:cs="Segoe UI"/>
      <w:sz w:val="18"/>
      <w:szCs w:val="18"/>
    </w:rPr>
  </w:style>
  <w:style w:type="character" w:styleId="CommentReference">
    <w:name w:val="annotation reference"/>
    <w:basedOn w:val="DefaultParagraphFont"/>
    <w:semiHidden/>
    <w:unhideWhenUsed/>
    <w:rsid w:val="00BA6CE9"/>
    <w:rPr>
      <w:sz w:val="16"/>
      <w:szCs w:val="16"/>
    </w:rPr>
  </w:style>
  <w:style w:type="paragraph" w:styleId="CommentText">
    <w:name w:val="annotation text"/>
    <w:basedOn w:val="Normal"/>
    <w:link w:val="CommentTextChar"/>
    <w:semiHidden/>
    <w:unhideWhenUsed/>
    <w:rsid w:val="00BA6CE9"/>
    <w:pPr>
      <w:spacing w:line="240" w:lineRule="auto"/>
    </w:pPr>
    <w:rPr>
      <w:sz w:val="20"/>
      <w:szCs w:val="20"/>
    </w:rPr>
  </w:style>
  <w:style w:type="character" w:customStyle="1" w:styleId="CommentTextChar">
    <w:name w:val="Comment Text Char"/>
    <w:basedOn w:val="DefaultParagraphFont"/>
    <w:link w:val="CommentText"/>
    <w:semiHidden/>
    <w:rsid w:val="00BA6CE9"/>
    <w:rPr>
      <w:sz w:val="20"/>
      <w:szCs w:val="20"/>
    </w:rPr>
  </w:style>
  <w:style w:type="paragraph" w:styleId="CommentSubject">
    <w:name w:val="annotation subject"/>
    <w:basedOn w:val="CommentText"/>
    <w:next w:val="CommentText"/>
    <w:link w:val="CommentSubjectChar"/>
    <w:semiHidden/>
    <w:unhideWhenUsed/>
    <w:rsid w:val="00BA6CE9"/>
    <w:rPr>
      <w:b/>
      <w:bCs/>
    </w:rPr>
  </w:style>
  <w:style w:type="character" w:customStyle="1" w:styleId="CommentSubjectChar">
    <w:name w:val="Comment Subject Char"/>
    <w:basedOn w:val="CommentTextChar"/>
    <w:link w:val="CommentSubject"/>
    <w:semiHidden/>
    <w:rsid w:val="00BA6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0958">
      <w:bodyDiv w:val="1"/>
      <w:marLeft w:val="0"/>
      <w:marRight w:val="0"/>
      <w:marTop w:val="0"/>
      <w:marBottom w:val="0"/>
      <w:divBdr>
        <w:top w:val="none" w:sz="0" w:space="0" w:color="auto"/>
        <w:left w:val="none" w:sz="0" w:space="0" w:color="auto"/>
        <w:bottom w:val="none" w:sz="0" w:space="0" w:color="auto"/>
        <w:right w:val="none" w:sz="0" w:space="0" w:color="auto"/>
      </w:divBdr>
      <w:divsChild>
        <w:div w:id="594900085">
          <w:marLeft w:val="0"/>
          <w:marRight w:val="0"/>
          <w:marTop w:val="0"/>
          <w:marBottom w:val="0"/>
          <w:divBdr>
            <w:top w:val="none" w:sz="0" w:space="0" w:color="auto"/>
            <w:left w:val="none" w:sz="0" w:space="0" w:color="auto"/>
            <w:bottom w:val="none" w:sz="0" w:space="0" w:color="auto"/>
            <w:right w:val="none" w:sz="0" w:space="0" w:color="auto"/>
          </w:divBdr>
          <w:divsChild>
            <w:div w:id="120652537">
              <w:marLeft w:val="0"/>
              <w:marRight w:val="0"/>
              <w:marTop w:val="0"/>
              <w:marBottom w:val="0"/>
              <w:divBdr>
                <w:top w:val="none" w:sz="0" w:space="0" w:color="auto"/>
                <w:left w:val="none" w:sz="0" w:space="0" w:color="auto"/>
                <w:bottom w:val="none" w:sz="0" w:space="0" w:color="auto"/>
                <w:right w:val="none" w:sz="0" w:space="0" w:color="auto"/>
              </w:divBdr>
              <w:divsChild>
                <w:div w:id="1013260997">
                  <w:marLeft w:val="0"/>
                  <w:marRight w:val="0"/>
                  <w:marTop w:val="0"/>
                  <w:marBottom w:val="0"/>
                  <w:divBdr>
                    <w:top w:val="none" w:sz="0" w:space="0" w:color="auto"/>
                    <w:left w:val="none" w:sz="0" w:space="0" w:color="auto"/>
                    <w:bottom w:val="none" w:sz="0" w:space="0" w:color="auto"/>
                    <w:right w:val="none" w:sz="0" w:space="0" w:color="auto"/>
                  </w:divBdr>
                  <w:divsChild>
                    <w:div w:id="1926722883">
                      <w:marLeft w:val="0"/>
                      <w:marRight w:val="0"/>
                      <w:marTop w:val="0"/>
                      <w:marBottom w:val="0"/>
                      <w:divBdr>
                        <w:top w:val="none" w:sz="0" w:space="0" w:color="auto"/>
                        <w:left w:val="none" w:sz="0" w:space="0" w:color="auto"/>
                        <w:bottom w:val="none" w:sz="0" w:space="0" w:color="auto"/>
                        <w:right w:val="none" w:sz="0" w:space="0" w:color="auto"/>
                      </w:divBdr>
                    </w:div>
                  </w:divsChild>
                </w:div>
                <w:div w:id="574516450">
                  <w:marLeft w:val="0"/>
                  <w:marRight w:val="0"/>
                  <w:marTop w:val="0"/>
                  <w:marBottom w:val="0"/>
                  <w:divBdr>
                    <w:top w:val="none" w:sz="0" w:space="0" w:color="auto"/>
                    <w:left w:val="none" w:sz="0" w:space="0" w:color="auto"/>
                    <w:bottom w:val="none" w:sz="0" w:space="0" w:color="auto"/>
                    <w:right w:val="none" w:sz="0" w:space="0" w:color="auto"/>
                  </w:divBdr>
                  <w:divsChild>
                    <w:div w:id="1438868481">
                      <w:marLeft w:val="0"/>
                      <w:marRight w:val="0"/>
                      <w:marTop w:val="0"/>
                      <w:marBottom w:val="0"/>
                      <w:divBdr>
                        <w:top w:val="none" w:sz="0" w:space="0" w:color="auto"/>
                        <w:left w:val="none" w:sz="0" w:space="0" w:color="auto"/>
                        <w:bottom w:val="none" w:sz="0" w:space="0" w:color="auto"/>
                        <w:right w:val="none" w:sz="0" w:space="0" w:color="auto"/>
                      </w:divBdr>
                      <w:divsChild>
                        <w:div w:id="2028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937">
                  <w:marLeft w:val="0"/>
                  <w:marRight w:val="0"/>
                  <w:marTop w:val="0"/>
                  <w:marBottom w:val="0"/>
                  <w:divBdr>
                    <w:top w:val="none" w:sz="0" w:space="0" w:color="auto"/>
                    <w:left w:val="none" w:sz="0" w:space="0" w:color="auto"/>
                    <w:bottom w:val="none" w:sz="0" w:space="0" w:color="auto"/>
                    <w:right w:val="none" w:sz="0" w:space="0" w:color="auto"/>
                  </w:divBdr>
                  <w:divsChild>
                    <w:div w:id="76245654">
                      <w:marLeft w:val="0"/>
                      <w:marRight w:val="0"/>
                      <w:marTop w:val="0"/>
                      <w:marBottom w:val="0"/>
                      <w:divBdr>
                        <w:top w:val="none" w:sz="0" w:space="0" w:color="auto"/>
                        <w:left w:val="none" w:sz="0" w:space="0" w:color="auto"/>
                        <w:bottom w:val="none" w:sz="0" w:space="0" w:color="auto"/>
                        <w:right w:val="none" w:sz="0" w:space="0" w:color="auto"/>
                      </w:divBdr>
                      <w:divsChild>
                        <w:div w:id="8310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441">
                  <w:marLeft w:val="0"/>
                  <w:marRight w:val="0"/>
                  <w:marTop w:val="0"/>
                  <w:marBottom w:val="0"/>
                  <w:divBdr>
                    <w:top w:val="none" w:sz="0" w:space="0" w:color="auto"/>
                    <w:left w:val="none" w:sz="0" w:space="0" w:color="auto"/>
                    <w:bottom w:val="none" w:sz="0" w:space="0" w:color="auto"/>
                    <w:right w:val="none" w:sz="0" w:space="0" w:color="auto"/>
                  </w:divBdr>
                  <w:divsChild>
                    <w:div w:id="1304964832">
                      <w:marLeft w:val="0"/>
                      <w:marRight w:val="0"/>
                      <w:marTop w:val="0"/>
                      <w:marBottom w:val="0"/>
                      <w:divBdr>
                        <w:top w:val="none" w:sz="0" w:space="0" w:color="auto"/>
                        <w:left w:val="none" w:sz="0" w:space="0" w:color="auto"/>
                        <w:bottom w:val="none" w:sz="0" w:space="0" w:color="auto"/>
                        <w:right w:val="none" w:sz="0" w:space="0" w:color="auto"/>
                      </w:divBdr>
                      <w:divsChild>
                        <w:div w:id="6594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5814">
                  <w:marLeft w:val="0"/>
                  <w:marRight w:val="0"/>
                  <w:marTop w:val="0"/>
                  <w:marBottom w:val="0"/>
                  <w:divBdr>
                    <w:top w:val="none" w:sz="0" w:space="0" w:color="auto"/>
                    <w:left w:val="none" w:sz="0" w:space="0" w:color="auto"/>
                    <w:bottom w:val="none" w:sz="0" w:space="0" w:color="auto"/>
                    <w:right w:val="none" w:sz="0" w:space="0" w:color="auto"/>
                  </w:divBdr>
                  <w:divsChild>
                    <w:div w:id="1661732640">
                      <w:marLeft w:val="0"/>
                      <w:marRight w:val="0"/>
                      <w:marTop w:val="0"/>
                      <w:marBottom w:val="0"/>
                      <w:divBdr>
                        <w:top w:val="none" w:sz="0" w:space="0" w:color="auto"/>
                        <w:left w:val="none" w:sz="0" w:space="0" w:color="auto"/>
                        <w:bottom w:val="none" w:sz="0" w:space="0" w:color="auto"/>
                        <w:right w:val="none" w:sz="0" w:space="0" w:color="auto"/>
                      </w:divBdr>
                      <w:divsChild>
                        <w:div w:id="1186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3816">
                  <w:marLeft w:val="0"/>
                  <w:marRight w:val="0"/>
                  <w:marTop w:val="0"/>
                  <w:marBottom w:val="0"/>
                  <w:divBdr>
                    <w:top w:val="none" w:sz="0" w:space="0" w:color="auto"/>
                    <w:left w:val="none" w:sz="0" w:space="0" w:color="auto"/>
                    <w:bottom w:val="none" w:sz="0" w:space="0" w:color="auto"/>
                    <w:right w:val="none" w:sz="0" w:space="0" w:color="auto"/>
                  </w:divBdr>
                  <w:divsChild>
                    <w:div w:id="888078473">
                      <w:marLeft w:val="0"/>
                      <w:marRight w:val="0"/>
                      <w:marTop w:val="0"/>
                      <w:marBottom w:val="0"/>
                      <w:divBdr>
                        <w:top w:val="none" w:sz="0" w:space="0" w:color="auto"/>
                        <w:left w:val="none" w:sz="0" w:space="0" w:color="auto"/>
                        <w:bottom w:val="none" w:sz="0" w:space="0" w:color="auto"/>
                        <w:right w:val="none" w:sz="0" w:space="0" w:color="auto"/>
                      </w:divBdr>
                      <w:divsChild>
                        <w:div w:id="14052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520">
                  <w:marLeft w:val="0"/>
                  <w:marRight w:val="0"/>
                  <w:marTop w:val="0"/>
                  <w:marBottom w:val="0"/>
                  <w:divBdr>
                    <w:top w:val="none" w:sz="0" w:space="0" w:color="auto"/>
                    <w:left w:val="none" w:sz="0" w:space="0" w:color="auto"/>
                    <w:bottom w:val="none" w:sz="0" w:space="0" w:color="auto"/>
                    <w:right w:val="none" w:sz="0" w:space="0" w:color="auto"/>
                  </w:divBdr>
                  <w:divsChild>
                    <w:div w:id="656613123">
                      <w:marLeft w:val="0"/>
                      <w:marRight w:val="0"/>
                      <w:marTop w:val="0"/>
                      <w:marBottom w:val="0"/>
                      <w:divBdr>
                        <w:top w:val="none" w:sz="0" w:space="0" w:color="auto"/>
                        <w:left w:val="none" w:sz="0" w:space="0" w:color="auto"/>
                        <w:bottom w:val="none" w:sz="0" w:space="0" w:color="auto"/>
                        <w:right w:val="none" w:sz="0" w:space="0" w:color="auto"/>
                      </w:divBdr>
                      <w:divsChild>
                        <w:div w:id="49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9439">
                  <w:marLeft w:val="0"/>
                  <w:marRight w:val="0"/>
                  <w:marTop w:val="0"/>
                  <w:marBottom w:val="0"/>
                  <w:divBdr>
                    <w:top w:val="none" w:sz="0" w:space="0" w:color="auto"/>
                    <w:left w:val="none" w:sz="0" w:space="0" w:color="auto"/>
                    <w:bottom w:val="none" w:sz="0" w:space="0" w:color="auto"/>
                    <w:right w:val="none" w:sz="0" w:space="0" w:color="auto"/>
                  </w:divBdr>
                  <w:divsChild>
                    <w:div w:id="1110782873">
                      <w:marLeft w:val="0"/>
                      <w:marRight w:val="0"/>
                      <w:marTop w:val="0"/>
                      <w:marBottom w:val="0"/>
                      <w:divBdr>
                        <w:top w:val="none" w:sz="0" w:space="0" w:color="auto"/>
                        <w:left w:val="none" w:sz="0" w:space="0" w:color="auto"/>
                        <w:bottom w:val="none" w:sz="0" w:space="0" w:color="auto"/>
                        <w:right w:val="none" w:sz="0" w:space="0" w:color="auto"/>
                      </w:divBdr>
                      <w:divsChild>
                        <w:div w:id="662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556">
                  <w:marLeft w:val="0"/>
                  <w:marRight w:val="0"/>
                  <w:marTop w:val="0"/>
                  <w:marBottom w:val="0"/>
                  <w:divBdr>
                    <w:top w:val="none" w:sz="0" w:space="0" w:color="auto"/>
                    <w:left w:val="none" w:sz="0" w:space="0" w:color="auto"/>
                    <w:bottom w:val="none" w:sz="0" w:space="0" w:color="auto"/>
                    <w:right w:val="none" w:sz="0" w:space="0" w:color="auto"/>
                  </w:divBdr>
                  <w:divsChild>
                    <w:div w:id="1072043028">
                      <w:marLeft w:val="0"/>
                      <w:marRight w:val="0"/>
                      <w:marTop w:val="0"/>
                      <w:marBottom w:val="0"/>
                      <w:divBdr>
                        <w:top w:val="none" w:sz="0" w:space="0" w:color="auto"/>
                        <w:left w:val="none" w:sz="0" w:space="0" w:color="auto"/>
                        <w:bottom w:val="none" w:sz="0" w:space="0" w:color="auto"/>
                        <w:right w:val="none" w:sz="0" w:space="0" w:color="auto"/>
                      </w:divBdr>
                      <w:divsChild>
                        <w:div w:id="15958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496">
                  <w:marLeft w:val="0"/>
                  <w:marRight w:val="0"/>
                  <w:marTop w:val="0"/>
                  <w:marBottom w:val="0"/>
                  <w:divBdr>
                    <w:top w:val="none" w:sz="0" w:space="0" w:color="auto"/>
                    <w:left w:val="none" w:sz="0" w:space="0" w:color="auto"/>
                    <w:bottom w:val="none" w:sz="0" w:space="0" w:color="auto"/>
                    <w:right w:val="none" w:sz="0" w:space="0" w:color="auto"/>
                  </w:divBdr>
                  <w:divsChild>
                    <w:div w:id="1168205253">
                      <w:marLeft w:val="0"/>
                      <w:marRight w:val="0"/>
                      <w:marTop w:val="0"/>
                      <w:marBottom w:val="0"/>
                      <w:divBdr>
                        <w:top w:val="none" w:sz="0" w:space="0" w:color="auto"/>
                        <w:left w:val="none" w:sz="0" w:space="0" w:color="auto"/>
                        <w:bottom w:val="none" w:sz="0" w:space="0" w:color="auto"/>
                        <w:right w:val="none" w:sz="0" w:space="0" w:color="auto"/>
                      </w:divBdr>
                      <w:divsChild>
                        <w:div w:id="3058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2138">
                  <w:marLeft w:val="0"/>
                  <w:marRight w:val="0"/>
                  <w:marTop w:val="0"/>
                  <w:marBottom w:val="0"/>
                  <w:divBdr>
                    <w:top w:val="none" w:sz="0" w:space="0" w:color="auto"/>
                    <w:left w:val="none" w:sz="0" w:space="0" w:color="auto"/>
                    <w:bottom w:val="none" w:sz="0" w:space="0" w:color="auto"/>
                    <w:right w:val="none" w:sz="0" w:space="0" w:color="auto"/>
                  </w:divBdr>
                  <w:divsChild>
                    <w:div w:id="419445638">
                      <w:marLeft w:val="0"/>
                      <w:marRight w:val="0"/>
                      <w:marTop w:val="0"/>
                      <w:marBottom w:val="0"/>
                      <w:divBdr>
                        <w:top w:val="none" w:sz="0" w:space="0" w:color="auto"/>
                        <w:left w:val="none" w:sz="0" w:space="0" w:color="auto"/>
                        <w:bottom w:val="none" w:sz="0" w:space="0" w:color="auto"/>
                        <w:right w:val="none" w:sz="0" w:space="0" w:color="auto"/>
                      </w:divBdr>
                      <w:divsChild>
                        <w:div w:id="6129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836">
                  <w:marLeft w:val="0"/>
                  <w:marRight w:val="0"/>
                  <w:marTop w:val="0"/>
                  <w:marBottom w:val="0"/>
                  <w:divBdr>
                    <w:top w:val="none" w:sz="0" w:space="0" w:color="auto"/>
                    <w:left w:val="none" w:sz="0" w:space="0" w:color="auto"/>
                    <w:bottom w:val="none" w:sz="0" w:space="0" w:color="auto"/>
                    <w:right w:val="none" w:sz="0" w:space="0" w:color="auto"/>
                  </w:divBdr>
                  <w:divsChild>
                    <w:div w:id="1052577607">
                      <w:marLeft w:val="0"/>
                      <w:marRight w:val="0"/>
                      <w:marTop w:val="0"/>
                      <w:marBottom w:val="0"/>
                      <w:divBdr>
                        <w:top w:val="none" w:sz="0" w:space="0" w:color="auto"/>
                        <w:left w:val="none" w:sz="0" w:space="0" w:color="auto"/>
                        <w:bottom w:val="none" w:sz="0" w:space="0" w:color="auto"/>
                        <w:right w:val="none" w:sz="0" w:space="0" w:color="auto"/>
                      </w:divBdr>
                      <w:divsChild>
                        <w:div w:id="1746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616">
                  <w:marLeft w:val="0"/>
                  <w:marRight w:val="0"/>
                  <w:marTop w:val="0"/>
                  <w:marBottom w:val="0"/>
                  <w:divBdr>
                    <w:top w:val="none" w:sz="0" w:space="0" w:color="auto"/>
                    <w:left w:val="none" w:sz="0" w:space="0" w:color="auto"/>
                    <w:bottom w:val="none" w:sz="0" w:space="0" w:color="auto"/>
                    <w:right w:val="none" w:sz="0" w:space="0" w:color="auto"/>
                  </w:divBdr>
                  <w:divsChild>
                    <w:div w:id="424424451">
                      <w:marLeft w:val="0"/>
                      <w:marRight w:val="0"/>
                      <w:marTop w:val="0"/>
                      <w:marBottom w:val="0"/>
                      <w:divBdr>
                        <w:top w:val="none" w:sz="0" w:space="0" w:color="auto"/>
                        <w:left w:val="none" w:sz="0" w:space="0" w:color="auto"/>
                        <w:bottom w:val="none" w:sz="0" w:space="0" w:color="auto"/>
                        <w:right w:val="none" w:sz="0" w:space="0" w:color="auto"/>
                      </w:divBdr>
                      <w:divsChild>
                        <w:div w:id="6920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879">
                  <w:marLeft w:val="0"/>
                  <w:marRight w:val="0"/>
                  <w:marTop w:val="0"/>
                  <w:marBottom w:val="0"/>
                  <w:divBdr>
                    <w:top w:val="none" w:sz="0" w:space="0" w:color="auto"/>
                    <w:left w:val="none" w:sz="0" w:space="0" w:color="auto"/>
                    <w:bottom w:val="none" w:sz="0" w:space="0" w:color="auto"/>
                    <w:right w:val="none" w:sz="0" w:space="0" w:color="auto"/>
                  </w:divBdr>
                  <w:divsChild>
                    <w:div w:id="1352298834">
                      <w:marLeft w:val="0"/>
                      <w:marRight w:val="0"/>
                      <w:marTop w:val="0"/>
                      <w:marBottom w:val="0"/>
                      <w:divBdr>
                        <w:top w:val="none" w:sz="0" w:space="0" w:color="auto"/>
                        <w:left w:val="none" w:sz="0" w:space="0" w:color="auto"/>
                        <w:bottom w:val="none" w:sz="0" w:space="0" w:color="auto"/>
                        <w:right w:val="none" w:sz="0" w:space="0" w:color="auto"/>
                      </w:divBdr>
                      <w:divsChild>
                        <w:div w:id="19814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6609">
                  <w:marLeft w:val="0"/>
                  <w:marRight w:val="0"/>
                  <w:marTop w:val="0"/>
                  <w:marBottom w:val="0"/>
                  <w:divBdr>
                    <w:top w:val="none" w:sz="0" w:space="0" w:color="auto"/>
                    <w:left w:val="none" w:sz="0" w:space="0" w:color="auto"/>
                    <w:bottom w:val="none" w:sz="0" w:space="0" w:color="auto"/>
                    <w:right w:val="none" w:sz="0" w:space="0" w:color="auto"/>
                  </w:divBdr>
                  <w:divsChild>
                    <w:div w:id="1165628088">
                      <w:marLeft w:val="0"/>
                      <w:marRight w:val="0"/>
                      <w:marTop w:val="0"/>
                      <w:marBottom w:val="0"/>
                      <w:divBdr>
                        <w:top w:val="none" w:sz="0" w:space="0" w:color="auto"/>
                        <w:left w:val="none" w:sz="0" w:space="0" w:color="auto"/>
                        <w:bottom w:val="none" w:sz="0" w:space="0" w:color="auto"/>
                        <w:right w:val="none" w:sz="0" w:space="0" w:color="auto"/>
                      </w:divBdr>
                      <w:divsChild>
                        <w:div w:id="6805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4984">
          <w:marLeft w:val="0"/>
          <w:marRight w:val="0"/>
          <w:marTop w:val="0"/>
          <w:marBottom w:val="0"/>
          <w:divBdr>
            <w:top w:val="none" w:sz="0" w:space="0" w:color="auto"/>
            <w:left w:val="none" w:sz="0" w:space="0" w:color="auto"/>
            <w:bottom w:val="none" w:sz="0" w:space="0" w:color="auto"/>
            <w:right w:val="none" w:sz="0" w:space="0" w:color="auto"/>
          </w:divBdr>
        </w:div>
      </w:divsChild>
    </w:div>
    <w:div w:id="1581865083">
      <w:bodyDiv w:val="1"/>
      <w:marLeft w:val="0"/>
      <w:marRight w:val="0"/>
      <w:marTop w:val="0"/>
      <w:marBottom w:val="0"/>
      <w:divBdr>
        <w:top w:val="none" w:sz="0" w:space="0" w:color="auto"/>
        <w:left w:val="none" w:sz="0" w:space="0" w:color="auto"/>
        <w:bottom w:val="none" w:sz="0" w:space="0" w:color="auto"/>
        <w:right w:val="none" w:sz="0" w:space="0" w:color="auto"/>
      </w:divBdr>
      <w:divsChild>
        <w:div w:id="219440837">
          <w:marLeft w:val="0"/>
          <w:marRight w:val="0"/>
          <w:marTop w:val="0"/>
          <w:marBottom w:val="0"/>
          <w:divBdr>
            <w:top w:val="none" w:sz="0" w:space="0" w:color="auto"/>
            <w:left w:val="none" w:sz="0" w:space="0" w:color="auto"/>
            <w:bottom w:val="none" w:sz="0" w:space="0" w:color="auto"/>
            <w:right w:val="none" w:sz="0" w:space="0" w:color="auto"/>
          </w:divBdr>
          <w:divsChild>
            <w:div w:id="370954830">
              <w:marLeft w:val="0"/>
              <w:marRight w:val="0"/>
              <w:marTop w:val="0"/>
              <w:marBottom w:val="0"/>
              <w:divBdr>
                <w:top w:val="none" w:sz="0" w:space="0" w:color="auto"/>
                <w:left w:val="none" w:sz="0" w:space="0" w:color="auto"/>
                <w:bottom w:val="none" w:sz="0" w:space="0" w:color="auto"/>
                <w:right w:val="none" w:sz="0" w:space="0" w:color="auto"/>
              </w:divBdr>
            </w:div>
          </w:divsChild>
        </w:div>
        <w:div w:id="400299201">
          <w:marLeft w:val="0"/>
          <w:marRight w:val="0"/>
          <w:marTop w:val="0"/>
          <w:marBottom w:val="0"/>
          <w:divBdr>
            <w:top w:val="none" w:sz="0" w:space="0" w:color="auto"/>
            <w:left w:val="none" w:sz="0" w:space="0" w:color="auto"/>
            <w:bottom w:val="none" w:sz="0" w:space="0" w:color="auto"/>
            <w:right w:val="none" w:sz="0" w:space="0" w:color="auto"/>
          </w:divBdr>
          <w:divsChild>
            <w:div w:id="978149987">
              <w:marLeft w:val="0"/>
              <w:marRight w:val="0"/>
              <w:marTop w:val="0"/>
              <w:marBottom w:val="0"/>
              <w:divBdr>
                <w:top w:val="none" w:sz="0" w:space="0" w:color="auto"/>
                <w:left w:val="none" w:sz="0" w:space="0" w:color="auto"/>
                <w:bottom w:val="none" w:sz="0" w:space="0" w:color="auto"/>
                <w:right w:val="none" w:sz="0" w:space="0" w:color="auto"/>
              </w:divBdr>
            </w:div>
          </w:divsChild>
        </w:div>
        <w:div w:id="1214318285">
          <w:marLeft w:val="0"/>
          <w:marRight w:val="0"/>
          <w:marTop w:val="0"/>
          <w:marBottom w:val="0"/>
          <w:divBdr>
            <w:top w:val="none" w:sz="0" w:space="0" w:color="auto"/>
            <w:left w:val="none" w:sz="0" w:space="0" w:color="auto"/>
            <w:bottom w:val="none" w:sz="0" w:space="0" w:color="auto"/>
            <w:right w:val="none" w:sz="0" w:space="0" w:color="auto"/>
          </w:divBdr>
          <w:divsChild>
            <w:div w:id="1048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2114">
      <w:bodyDiv w:val="1"/>
      <w:marLeft w:val="0"/>
      <w:marRight w:val="0"/>
      <w:marTop w:val="0"/>
      <w:marBottom w:val="0"/>
      <w:divBdr>
        <w:top w:val="none" w:sz="0" w:space="0" w:color="auto"/>
        <w:left w:val="none" w:sz="0" w:space="0" w:color="auto"/>
        <w:bottom w:val="none" w:sz="0" w:space="0" w:color="auto"/>
        <w:right w:val="none" w:sz="0" w:space="0" w:color="auto"/>
      </w:divBdr>
      <w:divsChild>
        <w:div w:id="1321078677">
          <w:marLeft w:val="0"/>
          <w:marRight w:val="0"/>
          <w:marTop w:val="0"/>
          <w:marBottom w:val="0"/>
          <w:divBdr>
            <w:top w:val="none" w:sz="0" w:space="0" w:color="auto"/>
            <w:left w:val="none" w:sz="0" w:space="0" w:color="auto"/>
            <w:bottom w:val="none" w:sz="0" w:space="0" w:color="auto"/>
            <w:right w:val="none" w:sz="0" w:space="0" w:color="auto"/>
          </w:divBdr>
          <w:divsChild>
            <w:div w:id="1062216929">
              <w:marLeft w:val="0"/>
              <w:marRight w:val="0"/>
              <w:marTop w:val="0"/>
              <w:marBottom w:val="0"/>
              <w:divBdr>
                <w:top w:val="none" w:sz="0" w:space="0" w:color="auto"/>
                <w:left w:val="none" w:sz="0" w:space="0" w:color="auto"/>
                <w:bottom w:val="none" w:sz="0" w:space="0" w:color="auto"/>
                <w:right w:val="none" w:sz="0" w:space="0" w:color="auto"/>
              </w:divBdr>
              <w:divsChild>
                <w:div w:id="1853447273">
                  <w:marLeft w:val="0"/>
                  <w:marRight w:val="0"/>
                  <w:marTop w:val="0"/>
                  <w:marBottom w:val="0"/>
                  <w:divBdr>
                    <w:top w:val="none" w:sz="0" w:space="0" w:color="auto"/>
                    <w:left w:val="none" w:sz="0" w:space="0" w:color="auto"/>
                    <w:bottom w:val="none" w:sz="0" w:space="0" w:color="auto"/>
                    <w:right w:val="none" w:sz="0" w:space="0" w:color="auto"/>
                  </w:divBdr>
                  <w:divsChild>
                    <w:div w:id="976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04F6-9B25-45D1-840E-8F53D8D9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11628</Words>
  <Characters>59981</Characters>
  <Application>Microsoft Office Word</Application>
  <DocSecurity>0</DocSecurity>
  <Lines>993</Lines>
  <Paragraphs>194</Paragraphs>
  <ScaleCrop>false</ScaleCrop>
  <Manager/>
  <Company/>
  <LinksUpToDate>false</LinksUpToDate>
  <CharactersWithSpaces>72071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2021-09-23T18:21:00Z</dcterms:created>
  <dcterms:modified xsi:type="dcterms:W3CDTF">2021-09-23T18:21:00Z</dcterms:modified>
  <cp:category/>
</cp:coreProperties>
</file>