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1514" w14:textId="06239EF1" w:rsidR="002D7B0A" w:rsidRPr="00A15A09" w:rsidRDefault="001D5D5D" w:rsidP="00E61480">
      <w:pPr>
        <w:spacing w:line="240" w:lineRule="atLeast"/>
        <w:jc w:val="center"/>
        <w:rPr>
          <w:sz w:val="20"/>
          <w:szCs w:val="20"/>
        </w:rPr>
      </w:pPr>
      <w:r w:rsidRPr="00A15A09">
        <w:rPr>
          <w:sz w:val="20"/>
          <w:szCs w:val="20"/>
        </w:rPr>
        <w:t>Filed 2/9/22</w:t>
      </w:r>
      <w:bookmarkStart w:id="0" w:name="_Hlk91684443"/>
      <w:r w:rsidR="00E61480" w:rsidRPr="00640187">
        <w:rPr>
          <w:sz w:val="20"/>
        </w:rPr>
        <w:t>; REVIEW GRANTED.  See Cal. Rules of Court, rules 8.1105 and 8.1115 (and corresponding Comment, par. 2, concerning rule 8.1115(e)(3)).</w:t>
      </w:r>
      <w:bookmarkEnd w:id="0"/>
    </w:p>
    <w:p w14:paraId="13DEB348" w14:textId="313E4828" w:rsidR="002D23D7" w:rsidRDefault="001D5D5D" w:rsidP="002D23D7">
      <w:pPr>
        <w:spacing w:line="240" w:lineRule="atLeast"/>
        <w:jc w:val="center"/>
      </w:pPr>
      <w:r w:rsidRPr="002D23D7">
        <w:rPr>
          <w:u w:val="words"/>
        </w:rPr>
        <w:t>CERTIFIED FOR PARTIAL PUBLICATION</w:t>
      </w:r>
      <w:r>
        <w:rPr>
          <w:rStyle w:val="FootnoteReference"/>
        </w:rPr>
        <w:footnoteReference w:customMarkFollows="1" w:id="2"/>
        <w:t>*</w:t>
      </w:r>
    </w:p>
    <w:p w14:paraId="3D62EE17" w14:textId="1D01A2F5" w:rsidR="002D23D7" w:rsidRDefault="002D23D7" w:rsidP="002D23D7">
      <w:pPr>
        <w:spacing w:line="240" w:lineRule="atLeast"/>
        <w:jc w:val="center"/>
      </w:pPr>
    </w:p>
    <w:p w14:paraId="62D55869" w14:textId="2DAD91F5" w:rsidR="002D23D7" w:rsidRDefault="002D23D7" w:rsidP="002D23D7">
      <w:pPr>
        <w:spacing w:line="240" w:lineRule="atLeast"/>
        <w:jc w:val="center"/>
      </w:pPr>
    </w:p>
    <w:p w14:paraId="1D653855" w14:textId="77777777" w:rsidR="004E7B97" w:rsidRDefault="004E7B97" w:rsidP="002D23D7">
      <w:pPr>
        <w:spacing w:line="240" w:lineRule="atLeast"/>
        <w:jc w:val="center"/>
      </w:pPr>
    </w:p>
    <w:p w14:paraId="1980F2B0" w14:textId="0F3BD853" w:rsidR="002D23D7" w:rsidRDefault="001D5D5D" w:rsidP="002D23D7">
      <w:pPr>
        <w:jc w:val="center"/>
      </w:pPr>
      <w:r>
        <w:t>IN THE COURT OF APPEAL OF THE STATE OF CALIFORNIA</w:t>
      </w:r>
    </w:p>
    <w:p w14:paraId="05E6A9F2" w14:textId="44E514B3" w:rsidR="002D23D7" w:rsidRDefault="001D5D5D" w:rsidP="002D23D7">
      <w:pPr>
        <w:jc w:val="center"/>
      </w:pPr>
      <w:r>
        <w:t>THIRD APPELLATE DISTRICT</w:t>
      </w:r>
    </w:p>
    <w:p w14:paraId="2357E0FC" w14:textId="3C06E05C" w:rsidR="002D23D7" w:rsidRDefault="001D5D5D" w:rsidP="002D23D7">
      <w:pPr>
        <w:jc w:val="center"/>
      </w:pPr>
      <w:r>
        <w:t>(Sacramento)</w:t>
      </w:r>
    </w:p>
    <w:p w14:paraId="6ED9F506" w14:textId="3923FC41" w:rsidR="002D23D7" w:rsidRDefault="001D5D5D" w:rsidP="002D23D7">
      <w:pPr>
        <w:jc w:val="center"/>
      </w:pPr>
      <w:r>
        <w:t>----</w:t>
      </w:r>
    </w:p>
    <w:p w14:paraId="34911D62" w14:textId="3E21154A" w:rsidR="002D23D7" w:rsidRDefault="002D23D7" w:rsidP="002D23D7"/>
    <w:p w14:paraId="5FB1C783" w14:textId="423FCBF9" w:rsidR="002D23D7" w:rsidRDefault="002D23D7" w:rsidP="002D23D7">
      <w:pPr>
        <w:spacing w:line="240" w:lineRule="atLeast"/>
      </w:pPr>
    </w:p>
    <w:p w14:paraId="2480F211" w14:textId="01D32B27" w:rsidR="002D23D7" w:rsidRDefault="002D23D7" w:rsidP="002D23D7">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AE0F56" w14:paraId="352FFAE5" w14:textId="77777777" w:rsidTr="002D23D7">
        <w:tc>
          <w:tcPr>
            <w:tcW w:w="5904" w:type="dxa"/>
            <w:shd w:val="clear" w:color="auto" w:fill="auto"/>
          </w:tcPr>
          <w:p w14:paraId="10703C26" w14:textId="77777777" w:rsidR="002D23D7" w:rsidRDefault="001D5D5D" w:rsidP="002D23D7">
            <w:pPr>
              <w:spacing w:line="240" w:lineRule="atLeast"/>
            </w:pPr>
            <w:r>
              <w:t>THE PEOPLE,</w:t>
            </w:r>
          </w:p>
          <w:p w14:paraId="3551BBC4" w14:textId="77777777" w:rsidR="002D23D7" w:rsidRDefault="002D23D7" w:rsidP="002D23D7">
            <w:pPr>
              <w:spacing w:line="240" w:lineRule="atLeast"/>
            </w:pPr>
          </w:p>
          <w:p w14:paraId="16C2DA37" w14:textId="77777777" w:rsidR="002D23D7" w:rsidRDefault="001D5D5D" w:rsidP="002D23D7">
            <w:pPr>
              <w:spacing w:line="240" w:lineRule="atLeast"/>
            </w:pPr>
            <w:r>
              <w:tab/>
            </w:r>
            <w:r>
              <w:tab/>
              <w:t>Plaintiff and Respondent,</w:t>
            </w:r>
          </w:p>
          <w:p w14:paraId="6E18A98B" w14:textId="77777777" w:rsidR="002D23D7" w:rsidRDefault="002D23D7" w:rsidP="002D23D7">
            <w:pPr>
              <w:spacing w:line="240" w:lineRule="atLeast"/>
            </w:pPr>
          </w:p>
          <w:p w14:paraId="6840F6FC" w14:textId="77777777" w:rsidR="002D23D7" w:rsidRDefault="001D5D5D" w:rsidP="002D23D7">
            <w:pPr>
              <w:spacing w:line="240" w:lineRule="atLeast"/>
            </w:pPr>
            <w:r>
              <w:tab/>
              <w:t>v.</w:t>
            </w:r>
          </w:p>
          <w:p w14:paraId="5FE0D7C8" w14:textId="77777777" w:rsidR="002D23D7" w:rsidRDefault="002D23D7" w:rsidP="002D23D7">
            <w:pPr>
              <w:spacing w:line="240" w:lineRule="atLeast"/>
            </w:pPr>
          </w:p>
          <w:p w14:paraId="59FE3CDA" w14:textId="77777777" w:rsidR="002D23D7" w:rsidRDefault="001D5D5D" w:rsidP="002D23D7">
            <w:pPr>
              <w:spacing w:line="240" w:lineRule="atLeast"/>
            </w:pPr>
            <w:r>
              <w:t>ANTHONY SCARANO,</w:t>
            </w:r>
          </w:p>
          <w:p w14:paraId="5EB6CFFA" w14:textId="77777777" w:rsidR="002D23D7" w:rsidRDefault="002D23D7" w:rsidP="002D23D7">
            <w:pPr>
              <w:spacing w:line="240" w:lineRule="atLeast"/>
            </w:pPr>
          </w:p>
          <w:p w14:paraId="1353586E" w14:textId="77777777" w:rsidR="002D23D7" w:rsidRDefault="001D5D5D" w:rsidP="002D23D7">
            <w:pPr>
              <w:spacing w:line="240" w:lineRule="atLeast"/>
            </w:pPr>
            <w:r>
              <w:tab/>
            </w:r>
            <w:r>
              <w:tab/>
              <w:t>Defendant and Appellant.</w:t>
            </w:r>
          </w:p>
          <w:p w14:paraId="4BDECCB7" w14:textId="6B360B10" w:rsidR="002D23D7" w:rsidRDefault="002D23D7" w:rsidP="002D23D7">
            <w:pPr>
              <w:spacing w:line="240" w:lineRule="atLeast"/>
            </w:pPr>
          </w:p>
        </w:tc>
        <w:tc>
          <w:tcPr>
            <w:tcW w:w="3456" w:type="dxa"/>
            <w:shd w:val="clear" w:color="auto" w:fill="auto"/>
          </w:tcPr>
          <w:p w14:paraId="14371CA8" w14:textId="77777777" w:rsidR="002D23D7" w:rsidRDefault="001D5D5D" w:rsidP="002D23D7">
            <w:pPr>
              <w:spacing w:line="240" w:lineRule="atLeast"/>
              <w:jc w:val="center"/>
            </w:pPr>
            <w:r>
              <w:t>C092538</w:t>
            </w:r>
          </w:p>
          <w:p w14:paraId="0C892C94" w14:textId="77777777" w:rsidR="002D23D7" w:rsidRDefault="002D23D7" w:rsidP="002D23D7">
            <w:pPr>
              <w:spacing w:line="240" w:lineRule="atLeast"/>
              <w:jc w:val="center"/>
            </w:pPr>
          </w:p>
          <w:p w14:paraId="6C0210A3" w14:textId="77777777" w:rsidR="002D23D7" w:rsidRDefault="001D5D5D" w:rsidP="002D23D7">
            <w:pPr>
              <w:spacing w:line="240" w:lineRule="atLeast"/>
              <w:jc w:val="center"/>
            </w:pPr>
            <w:r>
              <w:t>(Super. Ct. No. 19FE023236)</w:t>
            </w:r>
          </w:p>
          <w:p w14:paraId="496342D7" w14:textId="77777777" w:rsidR="002D23D7" w:rsidRDefault="002D23D7" w:rsidP="002D23D7">
            <w:pPr>
              <w:spacing w:line="240" w:lineRule="atLeast"/>
              <w:jc w:val="center"/>
            </w:pPr>
          </w:p>
          <w:p w14:paraId="3D605F2C" w14:textId="26453DDE" w:rsidR="002D23D7" w:rsidRDefault="002D23D7" w:rsidP="002D23D7">
            <w:pPr>
              <w:spacing w:line="240" w:lineRule="atLeast"/>
              <w:jc w:val="center"/>
            </w:pPr>
          </w:p>
        </w:tc>
      </w:tr>
    </w:tbl>
    <w:p w14:paraId="67A9045E" w14:textId="77777777" w:rsidR="004E7B97" w:rsidRDefault="004E7B97" w:rsidP="002D7B0A">
      <w:pPr>
        <w:spacing w:line="240" w:lineRule="atLeast"/>
      </w:pPr>
    </w:p>
    <w:p w14:paraId="199A197F" w14:textId="47D0D050" w:rsidR="002D7B0A" w:rsidRDefault="002D7B0A" w:rsidP="002D7B0A">
      <w:pPr>
        <w:spacing w:line="240" w:lineRule="atLeast"/>
      </w:pPr>
    </w:p>
    <w:p w14:paraId="30D4693A" w14:textId="77777777" w:rsidR="002D7B0A" w:rsidRDefault="002D7B0A" w:rsidP="002D7B0A">
      <w:pPr>
        <w:spacing w:line="240" w:lineRule="atLeast"/>
      </w:pPr>
    </w:p>
    <w:p w14:paraId="0E799F50" w14:textId="608BA3A2" w:rsidR="002D7B0A" w:rsidRDefault="001D5D5D" w:rsidP="002D7B0A">
      <w:pPr>
        <w:spacing w:line="240" w:lineRule="atLeast"/>
      </w:pPr>
      <w:r>
        <w:tab/>
        <w:t>APPEAL from a judgment of the Superior Court of Sacramento County, James E. McFetridge, Judge.  Affirmed</w:t>
      </w:r>
      <w:r w:rsidR="00CB390D">
        <w:t xml:space="preserve"> and remanded</w:t>
      </w:r>
      <w:r>
        <w:t>.</w:t>
      </w:r>
    </w:p>
    <w:p w14:paraId="79B3FC7F" w14:textId="08EA81B0" w:rsidR="002D7B0A" w:rsidRDefault="002D7B0A" w:rsidP="002D7B0A">
      <w:pPr>
        <w:spacing w:line="240" w:lineRule="atLeast"/>
      </w:pPr>
    </w:p>
    <w:p w14:paraId="277DDFA2" w14:textId="45ADEA98" w:rsidR="002D7B0A" w:rsidRDefault="001D5D5D" w:rsidP="002D7B0A">
      <w:pPr>
        <w:spacing w:line="240" w:lineRule="atLeast"/>
      </w:pPr>
      <w:r>
        <w:tab/>
        <w:t>Michele A. Douglass, under appointment by the Court of Appeal, for Defendant and Appellant.</w:t>
      </w:r>
    </w:p>
    <w:p w14:paraId="3C0D9040" w14:textId="6F63C894" w:rsidR="002D7B0A" w:rsidRDefault="002D7B0A" w:rsidP="002D7B0A">
      <w:pPr>
        <w:spacing w:line="240" w:lineRule="atLeast"/>
      </w:pPr>
    </w:p>
    <w:p w14:paraId="6212D418" w14:textId="20EA77F6" w:rsidR="002D7B0A" w:rsidRDefault="001D5D5D" w:rsidP="002D7B0A">
      <w:pPr>
        <w:spacing w:line="240" w:lineRule="atLeast"/>
      </w:pPr>
      <w:r>
        <w:tab/>
        <w:t>Xavier</w:t>
      </w:r>
      <w:r>
        <w:t xml:space="preserve"> Becerra</w:t>
      </w:r>
      <w:r w:rsidR="001035A3">
        <w:t xml:space="preserve"> and Rob Bonta</w:t>
      </w:r>
      <w:r>
        <w:t>, Attorney</w:t>
      </w:r>
      <w:r w:rsidR="001035A3">
        <w:t>s</w:t>
      </w:r>
      <w:r w:rsidR="00B57905">
        <w:t xml:space="preserve"> General</w:t>
      </w:r>
      <w:r>
        <w:t>, Lance E. Winters, Chief Assistant Attorney General, Michael P. Farrell, Assistant Attorney General, Daniel B. Bernstein, Supervising Deputy Attorney General, Doris A. Calandra, Deputy Attorney General, for Plainti</w:t>
      </w:r>
      <w:r>
        <w:t>ff and Respondent.</w:t>
      </w:r>
    </w:p>
    <w:p w14:paraId="3F7F74E7" w14:textId="460975F3" w:rsidR="00C921AF" w:rsidRPr="00522B6D" w:rsidRDefault="001D5D5D" w:rsidP="00AF4340">
      <w:pPr>
        <w:ind w:firstLine="720"/>
      </w:pPr>
      <w:r>
        <w:lastRenderedPageBreak/>
        <w:t>Pursuant to a</w:t>
      </w:r>
      <w:r w:rsidR="001E44D2">
        <w:t xml:space="preserve"> negotiated agreement approved by the trial court, </w:t>
      </w:r>
      <w:r w:rsidR="004429B1">
        <w:t>defendant A</w:t>
      </w:r>
      <w:r w:rsidR="00FB2D10">
        <w:t>n</w:t>
      </w:r>
      <w:r w:rsidR="004429B1">
        <w:t>thony</w:t>
      </w:r>
      <w:r w:rsidR="004604CA">
        <w:t xml:space="preserve"> </w:t>
      </w:r>
      <w:r w:rsidR="005705F4">
        <w:t>Ricardo</w:t>
      </w:r>
      <w:r w:rsidR="004429B1">
        <w:t xml:space="preserve"> Scarano </w:t>
      </w:r>
      <w:r w:rsidR="001E44D2">
        <w:t xml:space="preserve">was </w:t>
      </w:r>
      <w:r w:rsidR="00C85165">
        <w:t xml:space="preserve">granted </w:t>
      </w:r>
      <w:r w:rsidR="004429B1">
        <w:t>five years</w:t>
      </w:r>
      <w:r w:rsidR="00C85165">
        <w:t xml:space="preserve"> of supervised</w:t>
      </w:r>
      <w:r w:rsidR="004429B1">
        <w:t xml:space="preserve"> probation after he pleaded no contest to</w:t>
      </w:r>
      <w:r w:rsidR="00F153E2">
        <w:t xml:space="preserve"> </w:t>
      </w:r>
      <w:r w:rsidR="00D20A19">
        <w:t>possession of a firearm by a felon</w:t>
      </w:r>
      <w:r w:rsidR="004429B1">
        <w:t>.</w:t>
      </w:r>
      <w:r w:rsidR="00FB2D10">
        <w:t xml:space="preserve">  </w:t>
      </w:r>
      <w:r w:rsidR="00DA016C">
        <w:t>Among the conditions of probation were a search condition, drug treatment programming</w:t>
      </w:r>
      <w:r w:rsidR="000208C9">
        <w:t>,</w:t>
      </w:r>
      <w:r w:rsidR="00DA016C">
        <w:t xml:space="preserve"> and drug testing.  </w:t>
      </w:r>
      <w:r w:rsidR="004429B1">
        <w:t xml:space="preserve">On appeal, defendant contends the trial court erred in denying his motion to suppress evidence.  </w:t>
      </w:r>
      <w:r w:rsidR="00FB2D10">
        <w:t xml:space="preserve">He further contends his </w:t>
      </w:r>
      <w:r>
        <w:t xml:space="preserve">term </w:t>
      </w:r>
      <w:r w:rsidR="00FB2D10">
        <w:t xml:space="preserve">of probation must be reduced from five years to two in accordance with the recent amendment </w:t>
      </w:r>
      <w:r w:rsidR="00FB2D10" w:rsidRPr="00522B6D">
        <w:t xml:space="preserve">to </w:t>
      </w:r>
      <w:bookmarkStart w:id="1" w:name="dabmci_565a4abb91a2426e803931f29e68ef9e"/>
      <w:r w:rsidR="00FB2D10" w:rsidRPr="00522B6D">
        <w:t>Penal Code</w:t>
      </w:r>
      <w:r>
        <w:rPr>
          <w:rStyle w:val="FootnoteReference"/>
        </w:rPr>
        <w:footnoteReference w:id="3"/>
      </w:r>
      <w:r w:rsidR="00FB2D10" w:rsidRPr="00522B6D">
        <w:t xml:space="preserve"> section 1203.1</w:t>
      </w:r>
      <w:bookmarkEnd w:id="1"/>
      <w:r w:rsidR="000208C9" w:rsidRPr="00522B6D">
        <w:t>,</w:t>
      </w:r>
      <w:r w:rsidR="00BF7577" w:rsidRPr="00522B6D">
        <w:t xml:space="preserve"> </w:t>
      </w:r>
      <w:r w:rsidR="00FB2D10" w:rsidRPr="00522B6D">
        <w:t xml:space="preserve">enacted </w:t>
      </w:r>
      <w:r w:rsidR="003E54EB" w:rsidRPr="00522B6D">
        <w:t xml:space="preserve">while his appeal was pending </w:t>
      </w:r>
      <w:r w:rsidR="00270B72" w:rsidRPr="00522B6D">
        <w:t xml:space="preserve">in </w:t>
      </w:r>
      <w:bookmarkStart w:id="2" w:name="dabmci_c9bcc3f743ca4c1aaad3b0ad493fb8c2"/>
      <w:r w:rsidR="00AC0391" w:rsidRPr="00522B6D">
        <w:t xml:space="preserve">Assembly Bill </w:t>
      </w:r>
      <w:r w:rsidR="00270B72" w:rsidRPr="00522B6D">
        <w:t>No. 1950</w:t>
      </w:r>
      <w:bookmarkEnd w:id="2"/>
      <w:r w:rsidR="00270B72" w:rsidRPr="00522B6D">
        <w:t xml:space="preserve"> </w:t>
      </w:r>
      <w:r w:rsidR="00AC0391" w:rsidRPr="00522B6D">
        <w:t>(</w:t>
      </w:r>
      <w:r w:rsidR="001F37C0" w:rsidRPr="00522B6D">
        <w:t>2019-2020 Reg. Sess.)</w:t>
      </w:r>
      <w:r w:rsidR="00C855C4" w:rsidRPr="00522B6D">
        <w:t xml:space="preserve"> (</w:t>
      </w:r>
      <w:bookmarkStart w:id="3" w:name="dabmci_faa95c40106345689a594780533c24de"/>
      <w:r w:rsidR="00C855C4" w:rsidRPr="00522B6D">
        <w:t>A</w:t>
      </w:r>
      <w:r w:rsidR="000208C9" w:rsidRPr="00522B6D">
        <w:t>ssembly Bill</w:t>
      </w:r>
      <w:r w:rsidR="00C855C4" w:rsidRPr="00522B6D">
        <w:t xml:space="preserve"> 1950</w:t>
      </w:r>
      <w:bookmarkEnd w:id="3"/>
      <w:r w:rsidR="0033367E" w:rsidRPr="00522B6D">
        <w:t>)</w:t>
      </w:r>
      <w:r w:rsidR="00FB2D10" w:rsidRPr="00522B6D">
        <w:t xml:space="preserve">.  </w:t>
      </w:r>
    </w:p>
    <w:p w14:paraId="653AEAEB" w14:textId="4CCA56D3" w:rsidR="001E44D2" w:rsidRPr="00522B6D" w:rsidRDefault="001D5D5D" w:rsidP="00AF4340">
      <w:pPr>
        <w:ind w:firstLine="720"/>
      </w:pPr>
      <w:r w:rsidRPr="00522B6D">
        <w:t>We conclude defendant’s suppression contention was not p</w:t>
      </w:r>
      <w:r w:rsidRPr="00522B6D">
        <w:t xml:space="preserve">reserved because he did not </w:t>
      </w:r>
      <w:r w:rsidR="009E51B9" w:rsidRPr="00522B6D">
        <w:t xml:space="preserve">renew </w:t>
      </w:r>
      <w:r w:rsidRPr="00522B6D">
        <w:t>his motion in the superior court.</w:t>
      </w:r>
    </w:p>
    <w:p w14:paraId="1806EBB8" w14:textId="46DA3837" w:rsidR="004D034B" w:rsidRPr="00522B6D" w:rsidRDefault="001D5D5D" w:rsidP="00270B72">
      <w:r w:rsidRPr="00522B6D">
        <w:tab/>
        <w:t xml:space="preserve">As for </w:t>
      </w:r>
      <w:bookmarkStart w:id="4" w:name="dabmci_9db86d32d74d43d4b51cff2dbcd048f9"/>
      <w:r w:rsidR="000208C9" w:rsidRPr="00522B6D">
        <w:t>Assembly Bill</w:t>
      </w:r>
      <w:r w:rsidRPr="00522B6D">
        <w:t xml:space="preserve"> 1950</w:t>
      </w:r>
      <w:bookmarkEnd w:id="4"/>
      <w:r w:rsidRPr="00522B6D">
        <w:t xml:space="preserve">, this case presents another situation regarding retroactivity of an </w:t>
      </w:r>
      <w:r w:rsidR="00BD1978" w:rsidRPr="00522B6D">
        <w:t>ameliorative</w:t>
      </w:r>
      <w:r w:rsidRPr="00522B6D">
        <w:t xml:space="preserve"> amendment to a penal statute and the appropriate remedy</w:t>
      </w:r>
      <w:r w:rsidR="00060022" w:rsidRPr="00522B6D">
        <w:t xml:space="preserve"> where </w:t>
      </w:r>
      <w:r w:rsidR="0033367E" w:rsidRPr="00522B6D">
        <w:t xml:space="preserve">the </w:t>
      </w:r>
      <w:r w:rsidR="00AC0391" w:rsidRPr="00522B6D">
        <w:t xml:space="preserve">sentence </w:t>
      </w:r>
      <w:r w:rsidR="0033367E" w:rsidRPr="00522B6D">
        <w:t>had been</w:t>
      </w:r>
      <w:r w:rsidR="00AC0391" w:rsidRPr="00522B6D">
        <w:t xml:space="preserve"> imposed pursuant to a plea</w:t>
      </w:r>
      <w:r w:rsidR="00060022" w:rsidRPr="00522B6D">
        <w:t xml:space="preserve"> agreement</w:t>
      </w:r>
      <w:r w:rsidRPr="00522B6D">
        <w:t xml:space="preserve">.  </w:t>
      </w:r>
      <w:r w:rsidR="00390EB2" w:rsidRPr="00522B6D">
        <w:t xml:space="preserve">In enacting </w:t>
      </w:r>
      <w:bookmarkStart w:id="5" w:name="dabmci_f14a765e87324cceafe6f1a057c8c2bd"/>
      <w:r w:rsidR="000208C9" w:rsidRPr="00522B6D">
        <w:t>Assembly Bill</w:t>
      </w:r>
      <w:r w:rsidR="00390EB2" w:rsidRPr="00522B6D">
        <w:t xml:space="preserve"> 1950</w:t>
      </w:r>
      <w:bookmarkEnd w:id="5"/>
      <w:r w:rsidR="00390EB2" w:rsidRPr="00522B6D">
        <w:t>, the Legislature was, o</w:t>
      </w:r>
      <w:r w:rsidR="00060022" w:rsidRPr="00522B6D">
        <w:t>nce a</w:t>
      </w:r>
      <w:r w:rsidR="00923BFF" w:rsidRPr="00522B6D">
        <w:t xml:space="preserve">gain, silent on these matters.  </w:t>
      </w:r>
      <w:r w:rsidR="00BD1978" w:rsidRPr="00522B6D">
        <w:t xml:space="preserve">Because the Legislature did not expressly state its intent </w:t>
      </w:r>
      <w:r w:rsidR="00AC0391" w:rsidRPr="00522B6D">
        <w:t xml:space="preserve">as to plea agreements </w:t>
      </w:r>
      <w:r w:rsidR="00BD1978" w:rsidRPr="00522B6D">
        <w:t xml:space="preserve">in </w:t>
      </w:r>
      <w:bookmarkStart w:id="6" w:name="dabmci_dc775588c55e4c6c802e3159a3a4e440"/>
      <w:r w:rsidR="000208C9" w:rsidRPr="00522B6D">
        <w:t>Assembly Bill</w:t>
      </w:r>
      <w:r w:rsidR="00BD1978" w:rsidRPr="00522B6D">
        <w:t xml:space="preserve"> 19</w:t>
      </w:r>
      <w:r w:rsidR="00060022" w:rsidRPr="00522B6D">
        <w:t>5</w:t>
      </w:r>
      <w:r w:rsidR="00BD1978" w:rsidRPr="00522B6D">
        <w:t>0</w:t>
      </w:r>
      <w:bookmarkEnd w:id="6"/>
      <w:r w:rsidR="00BD1978" w:rsidRPr="00522B6D">
        <w:t>, the appellate courts are tasked with providing the answer to a question that need not have been asked.</w:t>
      </w:r>
      <w:r>
        <w:rPr>
          <w:rStyle w:val="FootnoteReference"/>
        </w:rPr>
        <w:footnoteReference w:id="4"/>
      </w:r>
      <w:r w:rsidR="00BD1978" w:rsidRPr="00522B6D">
        <w:t xml:space="preserve">  As the split </w:t>
      </w:r>
      <w:r w:rsidR="00390EB2" w:rsidRPr="00522B6D">
        <w:t xml:space="preserve">on these retroactivity matters </w:t>
      </w:r>
      <w:r w:rsidR="00BD1978" w:rsidRPr="00522B6D">
        <w:t xml:space="preserve">among the districts </w:t>
      </w:r>
      <w:r w:rsidR="00390EB2" w:rsidRPr="00522B6D">
        <w:t xml:space="preserve">and on this court </w:t>
      </w:r>
      <w:r w:rsidR="00BD1978" w:rsidRPr="00522B6D">
        <w:t xml:space="preserve">indicates, the answer is not an easy one.  </w:t>
      </w:r>
    </w:p>
    <w:p w14:paraId="3E100E75" w14:textId="23FF9441" w:rsidR="004226B6" w:rsidRPr="00522B6D" w:rsidRDefault="001D5D5D" w:rsidP="00270B72">
      <w:r w:rsidRPr="00522B6D">
        <w:lastRenderedPageBreak/>
        <w:tab/>
      </w:r>
      <w:r w:rsidR="00270B72" w:rsidRPr="00522B6D">
        <w:t>We agree</w:t>
      </w:r>
      <w:r w:rsidR="00060022" w:rsidRPr="00522B6D">
        <w:t xml:space="preserve"> with the parties that</w:t>
      </w:r>
      <w:r w:rsidR="00270B72" w:rsidRPr="00522B6D">
        <w:t xml:space="preserve"> </w:t>
      </w:r>
      <w:bookmarkStart w:id="9" w:name="dabmci_87c823fd39db44d6b92d5ac7e5d912e9"/>
      <w:r w:rsidR="000208C9" w:rsidRPr="00522B6D">
        <w:t>Assembly Bill</w:t>
      </w:r>
      <w:r w:rsidR="00270B72" w:rsidRPr="00522B6D">
        <w:t xml:space="preserve"> 1950</w:t>
      </w:r>
      <w:bookmarkEnd w:id="9"/>
      <w:r w:rsidR="00270B72" w:rsidRPr="00522B6D">
        <w:t xml:space="preserve"> </w:t>
      </w:r>
      <w:r w:rsidR="001E62EC" w:rsidRPr="00522B6D">
        <w:t xml:space="preserve">applies </w:t>
      </w:r>
      <w:r w:rsidR="00270B72" w:rsidRPr="00522B6D">
        <w:t>retroactive</w:t>
      </w:r>
      <w:r w:rsidR="001E62EC" w:rsidRPr="00522B6D">
        <w:t>ly</w:t>
      </w:r>
      <w:r w:rsidR="00270B72" w:rsidRPr="00522B6D">
        <w:t>, but disagree with defendant</w:t>
      </w:r>
      <w:r w:rsidR="001E62EC" w:rsidRPr="00522B6D">
        <w:t xml:space="preserve"> </w:t>
      </w:r>
      <w:r w:rsidR="00270B72" w:rsidRPr="00522B6D">
        <w:t xml:space="preserve">that the </w:t>
      </w:r>
      <w:r w:rsidR="00C85165" w:rsidRPr="00522B6D">
        <w:t xml:space="preserve">appropriate </w:t>
      </w:r>
      <w:r w:rsidR="00270B72" w:rsidRPr="00522B6D">
        <w:t xml:space="preserve">remedy </w:t>
      </w:r>
      <w:r w:rsidR="001E62EC" w:rsidRPr="00522B6D">
        <w:t xml:space="preserve">is </w:t>
      </w:r>
      <w:r w:rsidRPr="00522B6D">
        <w:t xml:space="preserve">for this court </w:t>
      </w:r>
      <w:r w:rsidR="001E62EC" w:rsidRPr="00522B6D">
        <w:t xml:space="preserve">to </w:t>
      </w:r>
      <w:r w:rsidRPr="00522B6D">
        <w:t xml:space="preserve">order that </w:t>
      </w:r>
      <w:r w:rsidR="00390EB2" w:rsidRPr="00522B6D">
        <w:t xml:space="preserve">his </w:t>
      </w:r>
      <w:r w:rsidR="00C85165" w:rsidRPr="00522B6D">
        <w:t xml:space="preserve">supervised </w:t>
      </w:r>
      <w:r w:rsidR="00390EB2" w:rsidRPr="00522B6D">
        <w:t xml:space="preserve">probation term </w:t>
      </w:r>
      <w:r w:rsidRPr="00522B6D">
        <w:t xml:space="preserve">be reduced </w:t>
      </w:r>
      <w:r w:rsidR="00390EB2" w:rsidRPr="00522B6D">
        <w:t>to two years.</w:t>
      </w:r>
      <w:r w:rsidR="00CD585E" w:rsidRPr="00522B6D">
        <w:t xml:space="preserve"> </w:t>
      </w:r>
      <w:r w:rsidR="001E62EC" w:rsidRPr="00522B6D">
        <w:t xml:space="preserve"> </w:t>
      </w:r>
      <w:r w:rsidRPr="00522B6D">
        <w:t xml:space="preserve">Rather, this matter must be remanded </w:t>
      </w:r>
      <w:r w:rsidR="00FA2EB2" w:rsidRPr="00522B6D">
        <w:t>to allow the trial court and the prosecution the opportunity to withdraw from the original plea agreement.</w:t>
      </w:r>
    </w:p>
    <w:p w14:paraId="3D06B258" w14:textId="515F86FC" w:rsidR="00270B72" w:rsidRPr="00522B6D" w:rsidRDefault="001D5D5D" w:rsidP="00270B72">
      <w:r w:rsidRPr="00522B6D">
        <w:tab/>
      </w:r>
      <w:r w:rsidR="00147C69" w:rsidRPr="00522B6D">
        <w:t xml:space="preserve">Courts addressing the question of remedy for ameliorative amendments </w:t>
      </w:r>
      <w:r w:rsidR="00FA2EB2" w:rsidRPr="00522B6D">
        <w:t xml:space="preserve">have </w:t>
      </w:r>
      <w:r w:rsidR="00147C69" w:rsidRPr="00522B6D">
        <w:t>focus</w:t>
      </w:r>
      <w:r w:rsidR="00FA2EB2" w:rsidRPr="00522B6D">
        <w:t>ed</w:t>
      </w:r>
      <w:r w:rsidR="00C85D87" w:rsidRPr="00522B6D">
        <w:t xml:space="preserve"> primarily</w:t>
      </w:r>
      <w:r w:rsidR="00147C69" w:rsidRPr="00522B6D">
        <w:t xml:space="preserve"> on the </w:t>
      </w:r>
      <w:r w:rsidRPr="00522B6D">
        <w:t>prosecution’s</w:t>
      </w:r>
      <w:r w:rsidR="00147C69" w:rsidRPr="00522B6D">
        <w:t xml:space="preserve"> ability to withdraw consent v</w:t>
      </w:r>
      <w:r w:rsidR="001E62EC" w:rsidRPr="00522B6D">
        <w:t>ersu</w:t>
      </w:r>
      <w:r w:rsidR="00147C69" w:rsidRPr="00522B6D">
        <w:t xml:space="preserve">s </w:t>
      </w:r>
      <w:r w:rsidR="00964B77" w:rsidRPr="00522B6D">
        <w:t xml:space="preserve">the </w:t>
      </w:r>
      <w:r w:rsidR="00147C69" w:rsidRPr="00522B6D">
        <w:t xml:space="preserve">defendant receiving the benefit of the statutory change.  </w:t>
      </w:r>
      <w:r w:rsidR="00C85D87" w:rsidRPr="00522B6D">
        <w:t>But we must also consider</w:t>
      </w:r>
      <w:r w:rsidR="00FA2EB2" w:rsidRPr="00522B6D">
        <w:t xml:space="preserve"> </w:t>
      </w:r>
      <w:r w:rsidR="00147C69" w:rsidRPr="00522B6D">
        <w:t xml:space="preserve">the role of the trial court in the context of plea bargaining.  </w:t>
      </w:r>
      <w:r w:rsidRPr="00522B6D">
        <w:t>When a trial court accepts a negotiated resolution to a case and imposes the sentence agreed upon by the par</w:t>
      </w:r>
      <w:r w:rsidRPr="00522B6D">
        <w:t>ties, it exercises discretion.  In th</w:t>
      </w:r>
      <w:r w:rsidR="00C43413" w:rsidRPr="00522B6D">
        <w:t>at</w:t>
      </w:r>
      <w:r w:rsidRPr="00522B6D">
        <w:t xml:space="preserve"> exercise of discretion, a trial court must consider whether the proposed resolution is</w:t>
      </w:r>
      <w:r w:rsidR="001E62EC" w:rsidRPr="00522B6D">
        <w:t>,</w:t>
      </w:r>
      <w:r w:rsidRPr="00522B6D">
        <w:t xml:space="preserve"> “ ‘in furtherance of the interest</w:t>
      </w:r>
      <w:r w:rsidR="006B7FA7" w:rsidRPr="00522B6D">
        <w:t>s</w:t>
      </w:r>
      <w:r w:rsidRPr="00522B6D">
        <w:t xml:space="preserve"> of</w:t>
      </w:r>
      <w:r w:rsidR="00BF14FA">
        <w:t xml:space="preserve"> </w:t>
      </w:r>
      <w:r w:rsidRPr="00522B6D">
        <w:t>society.’ ”  (</w:t>
      </w:r>
      <w:bookmarkStart w:id="10" w:name="dabmci_a43433ca53d54042a54f48fc2acd8011"/>
      <w:r w:rsidRPr="00522B6D">
        <w:rPr>
          <w:i/>
          <w:iCs/>
        </w:rPr>
        <w:t>People v. Stamps</w:t>
      </w:r>
      <w:r w:rsidRPr="00522B6D">
        <w:t xml:space="preserve"> (2020) 9 Cal.5th 685, 706 (</w:t>
      </w:r>
      <w:r w:rsidRPr="00522B6D">
        <w:rPr>
          <w:i/>
          <w:iCs/>
        </w:rPr>
        <w:t>Stamps</w:t>
      </w:r>
      <w:r w:rsidRPr="00522B6D">
        <w:t>)</w:t>
      </w:r>
      <w:bookmarkEnd w:id="10"/>
      <w:r w:rsidR="00990D68" w:rsidRPr="00522B6D">
        <w:t>.</w:t>
      </w:r>
      <w:r w:rsidRPr="00522B6D">
        <w:t xml:space="preserve">)  </w:t>
      </w:r>
      <w:r w:rsidR="00C85165" w:rsidRPr="00522B6D">
        <w:t>In making defendant’s term of probation five years</w:t>
      </w:r>
      <w:r w:rsidR="00DA016C" w:rsidRPr="00522B6D">
        <w:t xml:space="preserve"> with a search condition, drug treatment programming</w:t>
      </w:r>
      <w:r w:rsidR="00CE0D4B" w:rsidRPr="00522B6D">
        <w:t>,</w:t>
      </w:r>
      <w:r w:rsidR="00DA016C" w:rsidRPr="00522B6D">
        <w:t xml:space="preserve"> and drug testing</w:t>
      </w:r>
      <w:r w:rsidR="00923BFF" w:rsidRPr="00522B6D">
        <w:t>, the</w:t>
      </w:r>
      <w:r w:rsidR="00060022" w:rsidRPr="00522B6D">
        <w:t xml:space="preserve"> </w:t>
      </w:r>
      <w:r w:rsidR="00C85165" w:rsidRPr="00522B6D">
        <w:t>trial</w:t>
      </w:r>
      <w:r w:rsidR="00923BFF" w:rsidRPr="00522B6D">
        <w:t xml:space="preserve"> court</w:t>
      </w:r>
      <w:r w:rsidRPr="00522B6D">
        <w:t xml:space="preserve"> </w:t>
      </w:r>
      <w:r w:rsidR="00DD1084" w:rsidRPr="00522B6D">
        <w:t xml:space="preserve">here </w:t>
      </w:r>
      <w:r w:rsidRPr="00522B6D">
        <w:t>impliedly concluded that five years</w:t>
      </w:r>
      <w:r w:rsidR="00923BFF" w:rsidRPr="00522B6D">
        <w:t xml:space="preserve"> of</w:t>
      </w:r>
      <w:r w:rsidRPr="00522B6D">
        <w:t xml:space="preserve"> supervised probation</w:t>
      </w:r>
      <w:r w:rsidR="00DA016C" w:rsidRPr="00522B6D">
        <w:t xml:space="preserve"> </w:t>
      </w:r>
      <w:r w:rsidR="00C85D87" w:rsidRPr="00522B6D">
        <w:t>with</w:t>
      </w:r>
      <w:r w:rsidR="00DA016C" w:rsidRPr="00522B6D">
        <w:t xml:space="preserve"> those conditions for the </w:t>
      </w:r>
      <w:r w:rsidR="00C85D87" w:rsidRPr="00522B6D">
        <w:t xml:space="preserve">entire </w:t>
      </w:r>
      <w:r w:rsidR="00DA016C" w:rsidRPr="00522B6D">
        <w:t>duration of probation</w:t>
      </w:r>
      <w:r w:rsidRPr="00522B6D">
        <w:t xml:space="preserve"> furthered the i</w:t>
      </w:r>
      <w:r w:rsidRPr="00522B6D">
        <w:t>nterest</w:t>
      </w:r>
      <w:r w:rsidR="000D4C30">
        <w:t>s</w:t>
      </w:r>
      <w:r w:rsidRPr="00522B6D">
        <w:t xml:space="preserve"> of society. </w:t>
      </w:r>
      <w:r w:rsidR="0094638A" w:rsidRPr="00522B6D">
        <w:t xml:space="preserve"> </w:t>
      </w:r>
      <w:r w:rsidRPr="00522B6D">
        <w:t>Defendant asks us to effectively resentence</w:t>
      </w:r>
      <w:r w:rsidR="00964B77" w:rsidRPr="00522B6D">
        <w:t xml:space="preserve"> him</w:t>
      </w:r>
      <w:r w:rsidRPr="00522B6D">
        <w:t xml:space="preserve">, depriving the </w:t>
      </w:r>
      <w:r w:rsidR="00C85165" w:rsidRPr="00522B6D">
        <w:t>trial</w:t>
      </w:r>
      <w:r w:rsidRPr="00522B6D">
        <w:t xml:space="preserve"> court of its discretion in determining whether the reduced term of probation is still in </w:t>
      </w:r>
      <w:r w:rsidR="00923BFF" w:rsidRPr="00522B6D">
        <w:t>the interest</w:t>
      </w:r>
      <w:r w:rsidR="000D4C30">
        <w:t>s</w:t>
      </w:r>
      <w:r w:rsidR="00923BFF" w:rsidRPr="00522B6D">
        <w:t xml:space="preserve"> of society</w:t>
      </w:r>
      <w:r w:rsidR="004F6C34" w:rsidRPr="00522B6D">
        <w:t xml:space="preserve"> in the locality where the court sits</w:t>
      </w:r>
      <w:r w:rsidRPr="00522B6D">
        <w:t xml:space="preserve">.  </w:t>
      </w:r>
      <w:r w:rsidR="00BD1978" w:rsidRPr="00522B6D">
        <w:t>We decline to do so.</w:t>
      </w:r>
    </w:p>
    <w:p w14:paraId="4E34855D" w14:textId="58CA5187" w:rsidR="00270B72" w:rsidRPr="00522B6D" w:rsidRDefault="001D5D5D" w:rsidP="00684023">
      <w:pPr>
        <w:rPr>
          <w:rFonts w:eastAsiaTheme="minorEastAsia"/>
        </w:rPr>
      </w:pPr>
      <w:r w:rsidRPr="00522B6D">
        <w:tab/>
        <w:t>W</w:t>
      </w:r>
      <w:r w:rsidRPr="00522B6D">
        <w:rPr>
          <w:rFonts w:eastAsiaTheme="minorEastAsia"/>
        </w:rPr>
        <w:t xml:space="preserve">e conclude remand </w:t>
      </w:r>
      <w:r w:rsidR="0062694F" w:rsidRPr="00522B6D">
        <w:rPr>
          <w:rFonts w:eastAsiaTheme="minorEastAsia"/>
        </w:rPr>
        <w:t xml:space="preserve">for resentencing </w:t>
      </w:r>
      <w:r w:rsidRPr="00522B6D">
        <w:rPr>
          <w:rFonts w:eastAsiaTheme="minorEastAsia"/>
        </w:rPr>
        <w:t xml:space="preserve">is required to allow the </w:t>
      </w:r>
      <w:r w:rsidR="00060022" w:rsidRPr="00522B6D">
        <w:rPr>
          <w:rFonts w:eastAsiaTheme="minorEastAsia"/>
        </w:rPr>
        <w:t xml:space="preserve">trial </w:t>
      </w:r>
      <w:r w:rsidRPr="00522B6D">
        <w:rPr>
          <w:rFonts w:eastAsiaTheme="minorEastAsia"/>
        </w:rPr>
        <w:t>court to determine whether the reduced term of probation, given the totality of the circumstances</w:t>
      </w:r>
      <w:r w:rsidR="001A245C" w:rsidRPr="00522B6D">
        <w:rPr>
          <w:rFonts w:eastAsiaTheme="minorEastAsia"/>
        </w:rPr>
        <w:t xml:space="preserve"> relevant to sentencing</w:t>
      </w:r>
      <w:r w:rsidR="00DD1084" w:rsidRPr="00522B6D">
        <w:rPr>
          <w:rFonts w:eastAsiaTheme="minorEastAsia"/>
        </w:rPr>
        <w:t xml:space="preserve"> (some of which may be unknown to us)</w:t>
      </w:r>
      <w:r w:rsidR="001A245C" w:rsidRPr="00522B6D">
        <w:rPr>
          <w:rFonts w:eastAsiaTheme="minorEastAsia"/>
        </w:rPr>
        <w:t>,</w:t>
      </w:r>
      <w:r w:rsidRPr="00522B6D">
        <w:rPr>
          <w:rFonts w:eastAsiaTheme="minorEastAsia"/>
        </w:rPr>
        <w:t xml:space="preserve"> is in furth</w:t>
      </w:r>
      <w:r w:rsidRPr="00522B6D">
        <w:rPr>
          <w:rFonts w:eastAsiaTheme="minorEastAsia"/>
        </w:rPr>
        <w:t>erance of the interest</w:t>
      </w:r>
      <w:r w:rsidR="009E4502">
        <w:rPr>
          <w:rFonts w:eastAsiaTheme="minorEastAsia"/>
        </w:rPr>
        <w:t>s</w:t>
      </w:r>
      <w:r w:rsidRPr="00522B6D">
        <w:rPr>
          <w:rFonts w:eastAsiaTheme="minorEastAsia"/>
        </w:rPr>
        <w:t xml:space="preserve"> of society or not.  If </w:t>
      </w:r>
      <w:r w:rsidR="00060022" w:rsidRPr="00522B6D">
        <w:rPr>
          <w:rFonts w:eastAsiaTheme="minorEastAsia"/>
        </w:rPr>
        <w:t>the trial court concludes it</w:t>
      </w:r>
      <w:r w:rsidRPr="00522B6D">
        <w:rPr>
          <w:rFonts w:eastAsiaTheme="minorEastAsia"/>
        </w:rPr>
        <w:t xml:space="preserve"> is not, then in the exercise of its discretion, the court </w:t>
      </w:r>
      <w:r w:rsidR="0062694F" w:rsidRPr="00522B6D">
        <w:rPr>
          <w:rFonts w:eastAsiaTheme="minorEastAsia"/>
        </w:rPr>
        <w:t>may</w:t>
      </w:r>
      <w:r w:rsidRPr="00522B6D">
        <w:rPr>
          <w:rFonts w:eastAsiaTheme="minorEastAsia"/>
        </w:rPr>
        <w:t xml:space="preserve"> withdraw its approval of the plea agreement.  If, on the other hand, it determines that a term of two </w:t>
      </w:r>
      <w:r w:rsidR="001E62EC" w:rsidRPr="00522B6D">
        <w:rPr>
          <w:rFonts w:eastAsiaTheme="minorEastAsia"/>
        </w:rPr>
        <w:t>years</w:t>
      </w:r>
      <w:r w:rsidR="00CE0D4B" w:rsidRPr="00522B6D">
        <w:rPr>
          <w:rFonts w:eastAsiaTheme="minorEastAsia"/>
        </w:rPr>
        <w:t xml:space="preserve"> of</w:t>
      </w:r>
      <w:r w:rsidR="001E62EC" w:rsidRPr="00522B6D">
        <w:rPr>
          <w:rFonts w:eastAsiaTheme="minorEastAsia"/>
        </w:rPr>
        <w:t xml:space="preserve"> probation</w:t>
      </w:r>
      <w:r w:rsidRPr="00522B6D">
        <w:rPr>
          <w:rFonts w:eastAsiaTheme="minorEastAsia"/>
        </w:rPr>
        <w:t xml:space="preserve"> is </w:t>
      </w:r>
      <w:r w:rsidR="00FD2F0D" w:rsidRPr="00522B6D">
        <w:rPr>
          <w:rFonts w:eastAsiaTheme="minorEastAsia"/>
        </w:rPr>
        <w:t xml:space="preserve">consistent with </w:t>
      </w:r>
      <w:r w:rsidRPr="00522B6D">
        <w:rPr>
          <w:rFonts w:eastAsiaTheme="minorEastAsia"/>
        </w:rPr>
        <w:t>the interest</w:t>
      </w:r>
      <w:r w:rsidR="000D4C30">
        <w:rPr>
          <w:rFonts w:eastAsiaTheme="minorEastAsia"/>
        </w:rPr>
        <w:t>s</w:t>
      </w:r>
      <w:r w:rsidRPr="00522B6D">
        <w:rPr>
          <w:rFonts w:eastAsiaTheme="minorEastAsia"/>
        </w:rPr>
        <w:t xml:space="preserve"> of society, then the prosecution should have the opportunity to withdraw its consent from the previously negotiated agreement. </w:t>
      </w:r>
      <w:r w:rsidR="00E95FCF" w:rsidRPr="00522B6D">
        <w:rPr>
          <w:rFonts w:eastAsiaTheme="minorEastAsia"/>
        </w:rPr>
        <w:t xml:space="preserve"> </w:t>
      </w:r>
      <w:r w:rsidR="00C85165" w:rsidRPr="00522B6D">
        <w:rPr>
          <w:rFonts w:eastAsiaTheme="minorEastAsia"/>
        </w:rPr>
        <w:t>If either withdraws consent</w:t>
      </w:r>
      <w:r w:rsidR="0062694F" w:rsidRPr="00522B6D">
        <w:rPr>
          <w:rFonts w:eastAsiaTheme="minorEastAsia"/>
        </w:rPr>
        <w:t xml:space="preserve">, the parties must be </w:t>
      </w:r>
      <w:r w:rsidR="0062694F" w:rsidRPr="00522B6D">
        <w:rPr>
          <w:rFonts w:eastAsiaTheme="minorEastAsia"/>
        </w:rPr>
        <w:lastRenderedPageBreak/>
        <w:t>restore</w:t>
      </w:r>
      <w:r w:rsidR="00A87C2B" w:rsidRPr="00522B6D">
        <w:rPr>
          <w:rFonts w:eastAsiaTheme="minorEastAsia"/>
        </w:rPr>
        <w:t>d</w:t>
      </w:r>
      <w:r w:rsidR="0062694F" w:rsidRPr="00522B6D">
        <w:rPr>
          <w:rFonts w:eastAsiaTheme="minorEastAsia"/>
        </w:rPr>
        <w:t xml:space="preserve"> to the status quo </w:t>
      </w:r>
      <w:bookmarkStart w:id="11" w:name="dabmci_379ffd560b4d4394b4bdd03d36298a08"/>
      <w:r w:rsidR="0062694F" w:rsidRPr="00522B6D">
        <w:rPr>
          <w:rFonts w:eastAsiaTheme="minorEastAsia"/>
        </w:rPr>
        <w:t>ante</w:t>
      </w:r>
      <w:bookmarkEnd w:id="11"/>
      <w:r w:rsidR="00C85165" w:rsidRPr="00522B6D">
        <w:rPr>
          <w:rFonts w:eastAsiaTheme="minorEastAsia"/>
        </w:rPr>
        <w:t xml:space="preserve"> with all </w:t>
      </w:r>
      <w:r w:rsidR="00DD1084" w:rsidRPr="00522B6D">
        <w:rPr>
          <w:rFonts w:eastAsiaTheme="minorEastAsia"/>
        </w:rPr>
        <w:t>counts</w:t>
      </w:r>
      <w:r w:rsidR="00C85165" w:rsidRPr="00522B6D">
        <w:rPr>
          <w:rFonts w:eastAsiaTheme="minorEastAsia"/>
        </w:rPr>
        <w:t xml:space="preserve"> and allegations</w:t>
      </w:r>
      <w:r w:rsidR="00F30B3F" w:rsidRPr="00522B6D">
        <w:rPr>
          <w:rFonts w:eastAsiaTheme="minorEastAsia"/>
        </w:rPr>
        <w:t xml:space="preserve"> </w:t>
      </w:r>
      <w:r w:rsidR="005C4C10" w:rsidRPr="00522B6D">
        <w:rPr>
          <w:rFonts w:eastAsiaTheme="minorEastAsia"/>
        </w:rPr>
        <w:t xml:space="preserve">implicated by the plea agreement </w:t>
      </w:r>
      <w:r w:rsidR="00F30B3F" w:rsidRPr="00522B6D">
        <w:rPr>
          <w:rFonts w:eastAsiaTheme="minorEastAsia"/>
        </w:rPr>
        <w:t xml:space="preserve">reinstated. </w:t>
      </w:r>
    </w:p>
    <w:p w14:paraId="34AF019D" w14:textId="62F77D06" w:rsidR="00617445" w:rsidRPr="00522B6D" w:rsidRDefault="001D5D5D" w:rsidP="00AF4340">
      <w:pPr>
        <w:ind w:firstLine="720"/>
      </w:pPr>
      <w:r w:rsidRPr="00522B6D">
        <w:t>We affirm</w:t>
      </w:r>
      <w:r w:rsidR="00CD585E" w:rsidRPr="00522B6D">
        <w:t xml:space="preserve"> the conviction</w:t>
      </w:r>
      <w:r w:rsidR="00060022" w:rsidRPr="00522B6D">
        <w:t xml:space="preserve"> but remand the matter back to the trial court for </w:t>
      </w:r>
      <w:r w:rsidR="005C4C10" w:rsidRPr="00522B6D">
        <w:t>further proceedings consistent with this opinion</w:t>
      </w:r>
      <w:r w:rsidRPr="00522B6D">
        <w:t>.</w:t>
      </w:r>
    </w:p>
    <w:p w14:paraId="54085804" w14:textId="3D5E67A3" w:rsidR="00FB2D10" w:rsidRPr="00522B6D" w:rsidRDefault="001D5D5D" w:rsidP="00AF4340">
      <w:pPr>
        <w:keepNext/>
        <w:jc w:val="center"/>
      </w:pPr>
      <w:r w:rsidRPr="00522B6D">
        <w:rPr>
          <w:b/>
          <w:bCs/>
        </w:rPr>
        <w:t>FACTUAL AND PROCEDURAL BACKGROUND</w:t>
      </w:r>
      <w:r w:rsidR="00AF4340" w:rsidRPr="00522B6D">
        <w:t xml:space="preserve">  </w:t>
      </w:r>
    </w:p>
    <w:p w14:paraId="21107ECE" w14:textId="0735ABC9" w:rsidR="001A245C" w:rsidRPr="00522B6D" w:rsidRDefault="001D5D5D" w:rsidP="00AF4340">
      <w:pPr>
        <w:ind w:firstLine="720"/>
      </w:pPr>
      <w:r w:rsidRPr="00522B6D">
        <w:t xml:space="preserve">During the execution of a search warrant, officers found in defendant’s home a </w:t>
      </w:r>
      <w:r w:rsidR="00ED4373" w:rsidRPr="00522B6D">
        <w:t xml:space="preserve">loaded </w:t>
      </w:r>
      <w:r w:rsidRPr="00522B6D">
        <w:t xml:space="preserve">firearm and ammunition, </w:t>
      </w:r>
      <w:r w:rsidR="00ED4373" w:rsidRPr="00522B6D">
        <w:t xml:space="preserve">two </w:t>
      </w:r>
      <w:r w:rsidRPr="00522B6D">
        <w:t>explosive devices, a checkbook stolen in a residential robbery</w:t>
      </w:r>
      <w:r w:rsidR="00ED4373" w:rsidRPr="00522B6D">
        <w:t xml:space="preserve">, a fictitious check, </w:t>
      </w:r>
      <w:r w:rsidRPr="00522B6D">
        <w:t xml:space="preserve">a false identification with defendant’s photograph, a bag </w:t>
      </w:r>
      <w:r w:rsidRPr="00522B6D">
        <w:t xml:space="preserve">of unopened mail </w:t>
      </w:r>
      <w:r w:rsidR="00F30B3F" w:rsidRPr="00522B6D">
        <w:t>addressed to</w:t>
      </w:r>
      <w:r w:rsidRPr="00522B6D">
        <w:t xml:space="preserve"> multiple residents of the City of Elk Grove</w:t>
      </w:r>
      <w:r w:rsidR="00356141" w:rsidRPr="00522B6D">
        <w:t>, 3.84 grams of methamphetamine</w:t>
      </w:r>
      <w:r w:rsidR="0012327E">
        <w:t>,</w:t>
      </w:r>
      <w:r w:rsidR="00356141" w:rsidRPr="00522B6D">
        <w:t xml:space="preserve"> and drug paraphernalia</w:t>
      </w:r>
      <w:r w:rsidRPr="00522B6D">
        <w:t>.</w:t>
      </w:r>
      <w:r>
        <w:rPr>
          <w:rStyle w:val="FootnoteReference"/>
        </w:rPr>
        <w:footnoteReference w:id="5"/>
      </w:r>
      <w:r w:rsidR="00ED4373" w:rsidRPr="00522B6D">
        <w:t xml:space="preserve">  Two keys for cluster mailboxes were also found.</w:t>
      </w:r>
    </w:p>
    <w:p w14:paraId="71AF1C89" w14:textId="2E1A4553" w:rsidR="009361FE" w:rsidRPr="00522B6D" w:rsidRDefault="001D5D5D" w:rsidP="00AF4340">
      <w:pPr>
        <w:ind w:firstLine="720"/>
      </w:pPr>
      <w:r w:rsidRPr="00522B6D">
        <w:t>The prosecution</w:t>
      </w:r>
      <w:r w:rsidR="00543D2C" w:rsidRPr="00522B6D">
        <w:t xml:space="preserve"> charged defendant with </w:t>
      </w:r>
      <w:r w:rsidR="00D015EA" w:rsidRPr="00522B6D">
        <w:t xml:space="preserve">six </w:t>
      </w:r>
      <w:r w:rsidRPr="00522B6D">
        <w:t>felony counts</w:t>
      </w:r>
      <w:r w:rsidR="00543D2C" w:rsidRPr="00522B6D">
        <w:t>, including</w:t>
      </w:r>
      <w:r w:rsidR="00F153E2" w:rsidRPr="00522B6D">
        <w:t xml:space="preserve"> possession of a firearm</w:t>
      </w:r>
      <w:r w:rsidR="00D20A19" w:rsidRPr="00522B6D">
        <w:t xml:space="preserve"> by a felon</w:t>
      </w:r>
      <w:r w:rsidR="00F153E2" w:rsidRPr="00522B6D">
        <w:t xml:space="preserve"> (</w:t>
      </w:r>
      <w:bookmarkStart w:id="12" w:name="dabmci_d44579dfe1df4a06bcd7ff8acb3b2910"/>
      <w:r w:rsidR="00F356DD" w:rsidRPr="00522B6D">
        <w:t>§ </w:t>
      </w:r>
      <w:r w:rsidR="00F153E2" w:rsidRPr="00522B6D">
        <w:t>29800</w:t>
      </w:r>
      <w:bookmarkEnd w:id="12"/>
      <w:r w:rsidR="00F153E2" w:rsidRPr="00522B6D">
        <w:t>)</w:t>
      </w:r>
      <w:r w:rsidR="00356141" w:rsidRPr="00522B6D">
        <w:t>, and three misdemeanors</w:t>
      </w:r>
      <w:r w:rsidR="00F153E2" w:rsidRPr="00522B6D">
        <w:t>.</w:t>
      </w:r>
      <w:r>
        <w:rPr>
          <w:rStyle w:val="FootnoteReference"/>
        </w:rPr>
        <w:footnoteReference w:id="6"/>
      </w:r>
      <w:r w:rsidR="00543D2C" w:rsidRPr="00522B6D">
        <w:t xml:space="preserve">  The People also alleged defendant was previously convicted of a strike offense</w:t>
      </w:r>
      <w:r w:rsidR="00807CDB" w:rsidRPr="00522B6D">
        <w:t xml:space="preserve">, a 2008 conviction for assault with </w:t>
      </w:r>
      <w:r w:rsidR="00807CDB" w:rsidRPr="00522B6D">
        <w:lastRenderedPageBreak/>
        <w:t>a deadly weapon</w:t>
      </w:r>
      <w:r w:rsidR="007457BA" w:rsidRPr="00522B6D">
        <w:t xml:space="preserve"> with the infliction of great bodily injury</w:t>
      </w:r>
      <w:r w:rsidR="00543D2C" w:rsidRPr="00522B6D">
        <w:t xml:space="preserve">.  </w:t>
      </w:r>
      <w:r w:rsidR="007457BA" w:rsidRPr="00522B6D">
        <w:t>(§§ 245, subd. (a)(1)</w:t>
      </w:r>
      <w:r w:rsidR="00990D68" w:rsidRPr="00522B6D">
        <w:t>,</w:t>
      </w:r>
      <w:r w:rsidR="007457BA" w:rsidRPr="00522B6D">
        <w:t xml:space="preserve"> 12022.7.)</w:t>
      </w:r>
    </w:p>
    <w:p w14:paraId="5E494B0E" w14:textId="09E6A96D" w:rsidR="00C400A5" w:rsidRPr="00522B6D" w:rsidRDefault="001D5D5D" w:rsidP="00AF4340">
      <w:pPr>
        <w:ind w:firstLine="720"/>
      </w:pPr>
      <w:r w:rsidRPr="00522B6D">
        <w:t xml:space="preserve">Prior to </w:t>
      </w:r>
      <w:r w:rsidR="00F30B3F" w:rsidRPr="00522B6D">
        <w:t xml:space="preserve">a </w:t>
      </w:r>
      <w:r w:rsidRPr="00522B6D">
        <w:t>preliminary hearing</w:t>
      </w:r>
      <w:r w:rsidR="00EB4DAB" w:rsidRPr="00522B6D">
        <w:t xml:space="preserve"> defendant</w:t>
      </w:r>
      <w:r w:rsidRPr="00522B6D">
        <w:t xml:space="preserve"> </w:t>
      </w:r>
      <w:r w:rsidR="005C0C2A" w:rsidRPr="00522B6D">
        <w:t xml:space="preserve">filed a </w:t>
      </w:r>
      <w:r w:rsidR="00F30B3F" w:rsidRPr="00522B6D">
        <w:t xml:space="preserve">section 1538.5 </w:t>
      </w:r>
      <w:r w:rsidR="005C0C2A" w:rsidRPr="00522B6D">
        <w:t xml:space="preserve">motion to </w:t>
      </w:r>
      <w:r w:rsidR="00EB4DAB" w:rsidRPr="00522B6D">
        <w:t xml:space="preserve">quash the warrant and </w:t>
      </w:r>
      <w:r w:rsidR="005C0C2A" w:rsidRPr="00522B6D">
        <w:t xml:space="preserve">suppress </w:t>
      </w:r>
      <w:r w:rsidR="00EB4DAB" w:rsidRPr="00522B6D">
        <w:t>the evidence found at his home</w:t>
      </w:r>
      <w:r w:rsidRPr="00522B6D">
        <w:t xml:space="preserve">, which the </w:t>
      </w:r>
      <w:r w:rsidR="001819D6" w:rsidRPr="00522B6D">
        <w:t xml:space="preserve">magistrate </w:t>
      </w:r>
      <w:r w:rsidRPr="00522B6D">
        <w:t>denied</w:t>
      </w:r>
      <w:r w:rsidR="005C0C2A" w:rsidRPr="00522B6D">
        <w:t>.</w:t>
      </w:r>
      <w:r>
        <w:rPr>
          <w:rStyle w:val="FootnoteReference"/>
        </w:rPr>
        <w:footnoteReference w:id="7"/>
      </w:r>
    </w:p>
    <w:p w14:paraId="15D9F37D" w14:textId="4B823EB7" w:rsidR="00FB06CA" w:rsidRPr="00522B6D" w:rsidRDefault="001D5D5D" w:rsidP="00AF4340">
      <w:pPr>
        <w:ind w:firstLine="720"/>
      </w:pPr>
      <w:r w:rsidRPr="00522B6D">
        <w:t xml:space="preserve">Thereafter, </w:t>
      </w:r>
      <w:r w:rsidR="0002250B" w:rsidRPr="00522B6D">
        <w:t>the parties agreed to a resolution of all of the</w:t>
      </w:r>
      <w:r w:rsidR="00A66852" w:rsidRPr="00522B6D">
        <w:t xml:space="preserve"> charges</w:t>
      </w:r>
      <w:r w:rsidR="0002250B" w:rsidRPr="00522B6D">
        <w:t xml:space="preserve">.  Under the terms of the agreement, defendant would plead to </w:t>
      </w:r>
      <w:r w:rsidR="004F7593" w:rsidRPr="00522B6D">
        <w:t xml:space="preserve">count one </w:t>
      </w:r>
      <w:r w:rsidR="0002250B" w:rsidRPr="00522B6D">
        <w:t xml:space="preserve">if he prevailed on his </w:t>
      </w:r>
      <w:r w:rsidRPr="00522B6D">
        <w:rPr>
          <w:i/>
          <w:iCs/>
        </w:rPr>
        <w:t>Romero</w:t>
      </w:r>
      <w:r>
        <w:rPr>
          <w:rStyle w:val="FootnoteReference"/>
        </w:rPr>
        <w:footnoteReference w:id="8"/>
      </w:r>
      <w:r w:rsidRPr="00522B6D">
        <w:t xml:space="preserve"> </w:t>
      </w:r>
      <w:r w:rsidR="0002250B" w:rsidRPr="00522B6D">
        <w:t>motion to dismiss the prior strike conviction allegation.</w:t>
      </w:r>
      <w:r w:rsidR="00C400A5" w:rsidRPr="00522B6D">
        <w:t xml:space="preserve">  </w:t>
      </w:r>
      <w:r w:rsidR="0002250B" w:rsidRPr="00522B6D">
        <w:t xml:space="preserve">Before the </w:t>
      </w:r>
      <w:r w:rsidR="0002250B" w:rsidRPr="00522B6D">
        <w:rPr>
          <w:i/>
          <w:iCs/>
        </w:rPr>
        <w:t>Romero</w:t>
      </w:r>
      <w:r w:rsidR="0002250B" w:rsidRPr="00522B6D">
        <w:t xml:space="preserve"> hearing, the parties </w:t>
      </w:r>
      <w:r w:rsidRPr="00522B6D">
        <w:t>had been discussing a plea agreement</w:t>
      </w:r>
      <w:r w:rsidR="0002250B" w:rsidRPr="00522B6D">
        <w:t xml:space="preserve">.  </w:t>
      </w:r>
      <w:r w:rsidR="00E8348A" w:rsidRPr="00522B6D">
        <w:t>On</w:t>
      </w:r>
      <w:r w:rsidRPr="00522B6D">
        <w:t xml:space="preserve"> the reco</w:t>
      </w:r>
      <w:r w:rsidRPr="00522B6D">
        <w:t xml:space="preserve">rd, defense counsel told the court </w:t>
      </w:r>
      <w:r w:rsidR="00E8348A" w:rsidRPr="00522B6D">
        <w:t>the defense had</w:t>
      </w:r>
      <w:r w:rsidRPr="00522B6D">
        <w:t xml:space="preserve"> counteroffered with two alternatives: </w:t>
      </w:r>
      <w:r w:rsidR="0012327E">
        <w:t xml:space="preserve"> </w:t>
      </w:r>
      <w:r w:rsidR="006D5778" w:rsidRPr="00522B6D">
        <w:t xml:space="preserve">“[W]e have counter-offered to the People both 16-month state prison </w:t>
      </w:r>
      <w:r w:rsidR="001E5978" w:rsidRPr="00522B6D">
        <w:t xml:space="preserve">prior to this hearing </w:t>
      </w:r>
      <w:r w:rsidR="006D5778" w:rsidRPr="00522B6D">
        <w:t xml:space="preserve">and also probation with time served.  [¶] </w:t>
      </w:r>
      <w:bookmarkStart w:id="14" w:name="_Hlk90072702"/>
      <w:r w:rsidR="00990D68" w:rsidRPr="00522B6D">
        <w:t xml:space="preserve"> </w:t>
      </w:r>
      <w:r w:rsidR="006D5778" w:rsidRPr="00522B6D">
        <w:t>It would be our preference that the People try to see if they can do time served because then [defendant] can be place</w:t>
      </w:r>
      <w:r w:rsidR="00E8348A" w:rsidRPr="00522B6D">
        <w:t>d</w:t>
      </w:r>
      <w:r w:rsidR="006D5778" w:rsidRPr="00522B6D">
        <w:t xml:space="preserve"> on probation immediately and be </w:t>
      </w:r>
      <w:r w:rsidR="006D5778" w:rsidRPr="00522B6D">
        <w:rPr>
          <w:i/>
          <w:iCs/>
        </w:rPr>
        <w:t xml:space="preserve">searchable for five years which would be far more than he would get if he were to go to prison on this case in terms of </w:t>
      </w:r>
      <w:r w:rsidR="00E95FCF" w:rsidRPr="00522B6D">
        <w:rPr>
          <w:i/>
          <w:iCs/>
        </w:rPr>
        <w:t>searchability</w:t>
      </w:r>
      <w:r w:rsidR="006D5778" w:rsidRPr="00522B6D">
        <w:rPr>
          <w:i/>
          <w:iCs/>
        </w:rPr>
        <w:t xml:space="preserve"> and supervision</w:t>
      </w:r>
      <w:r w:rsidR="006D5778" w:rsidRPr="00522B6D">
        <w:t>.”</w:t>
      </w:r>
      <w:r w:rsidR="00A66852" w:rsidRPr="00522B6D">
        <w:t xml:space="preserve"> </w:t>
      </w:r>
      <w:r w:rsidR="00990D68" w:rsidRPr="00522B6D">
        <w:t xml:space="preserve"> </w:t>
      </w:r>
      <w:r w:rsidR="00A66852" w:rsidRPr="00522B6D">
        <w:t>(Italics added.)</w:t>
      </w:r>
      <w:bookmarkEnd w:id="14"/>
    </w:p>
    <w:p w14:paraId="09A9E412" w14:textId="6022918B" w:rsidR="00A90AFA" w:rsidRPr="00522B6D" w:rsidRDefault="001D5D5D" w:rsidP="00AF4340">
      <w:pPr>
        <w:ind w:firstLine="720"/>
      </w:pPr>
      <w:r w:rsidRPr="00522B6D">
        <w:t xml:space="preserve">Later, </w:t>
      </w:r>
      <w:r w:rsidR="00E8348A" w:rsidRPr="00522B6D">
        <w:t xml:space="preserve">just </w:t>
      </w:r>
      <w:r w:rsidR="001E62EC" w:rsidRPr="00522B6D">
        <w:t xml:space="preserve">before </w:t>
      </w:r>
      <w:r w:rsidRPr="00522B6D">
        <w:t xml:space="preserve">the </w:t>
      </w:r>
      <w:r w:rsidRPr="00522B6D">
        <w:rPr>
          <w:i/>
          <w:iCs/>
        </w:rPr>
        <w:t>Romero</w:t>
      </w:r>
      <w:r w:rsidRPr="00522B6D">
        <w:t xml:space="preserve"> hearing, defense counsel told the court </w:t>
      </w:r>
      <w:r w:rsidR="006240EC" w:rsidRPr="00522B6D">
        <w:t xml:space="preserve">that defendant was prepared to resolve the case </w:t>
      </w:r>
      <w:r w:rsidR="00095527" w:rsidRPr="00522B6D">
        <w:t xml:space="preserve">for a plea to a single count, </w:t>
      </w:r>
      <w:r w:rsidR="00990D68" w:rsidRPr="00522B6D">
        <w:t>c</w:t>
      </w:r>
      <w:r w:rsidR="00095527" w:rsidRPr="00522B6D">
        <w:t xml:space="preserve">ount </w:t>
      </w:r>
      <w:r w:rsidR="004C3C84" w:rsidRPr="00522B6D">
        <w:t>one</w:t>
      </w:r>
      <w:r w:rsidR="00CE0D4B" w:rsidRPr="00522B6D">
        <w:t>,</w:t>
      </w:r>
      <w:r w:rsidR="00095527" w:rsidRPr="00522B6D">
        <w:t xml:space="preserve"> and </w:t>
      </w:r>
      <w:r w:rsidR="006240EC" w:rsidRPr="00522B6D">
        <w:t>the prosecution’s offer of probation and 364 days</w:t>
      </w:r>
      <w:r w:rsidR="001E62EC" w:rsidRPr="00522B6D">
        <w:t xml:space="preserve"> in jail</w:t>
      </w:r>
      <w:r w:rsidR="006240EC" w:rsidRPr="00522B6D">
        <w:t>.  Counsel argued that since the prisons were not transporting due to the</w:t>
      </w:r>
      <w:r w:rsidR="00ED0E5E" w:rsidRPr="00522B6D">
        <w:t xml:space="preserve"> COVID</w:t>
      </w:r>
      <w:r w:rsidR="00990D68" w:rsidRPr="00522B6D">
        <w:t>-</w:t>
      </w:r>
      <w:r w:rsidR="00ED0E5E" w:rsidRPr="00522B6D">
        <w:t>19</w:t>
      </w:r>
      <w:r w:rsidR="006240EC" w:rsidRPr="00522B6D">
        <w:t xml:space="preserve"> pandemic, defendant would likely</w:t>
      </w:r>
      <w:r w:rsidR="00ED0E5E" w:rsidRPr="00522B6D">
        <w:t xml:space="preserve"> end up</w:t>
      </w:r>
      <w:r w:rsidR="006240EC" w:rsidRPr="00522B6D">
        <w:t xml:space="preserve"> do</w:t>
      </w:r>
      <w:r w:rsidR="00ED0E5E" w:rsidRPr="00522B6D">
        <w:t>ing all of</w:t>
      </w:r>
      <w:r w:rsidR="006240EC" w:rsidRPr="00522B6D">
        <w:t xml:space="preserve"> his time locally</w:t>
      </w:r>
      <w:r w:rsidR="0012327E">
        <w:t>,</w:t>
      </w:r>
      <w:r w:rsidR="006240EC" w:rsidRPr="00522B6D">
        <w:t xml:space="preserve"> “and </w:t>
      </w:r>
      <w:bookmarkStart w:id="15" w:name="_Hlk90072779"/>
      <w:r w:rsidR="006240EC" w:rsidRPr="00522B6D">
        <w:rPr>
          <w:i/>
          <w:iCs/>
        </w:rPr>
        <w:t>I think the best thing for the community and for [defendant] is to be under the supervision of probation for five years</w:t>
      </w:r>
      <w:r w:rsidR="006240EC" w:rsidRPr="00522B6D">
        <w:t>.”</w:t>
      </w:r>
      <w:r w:rsidR="00E8348A" w:rsidRPr="00522B6D">
        <w:t xml:space="preserve"> </w:t>
      </w:r>
      <w:r w:rsidR="00990D68" w:rsidRPr="00522B6D">
        <w:t xml:space="preserve"> </w:t>
      </w:r>
      <w:r w:rsidR="00E8348A" w:rsidRPr="00522B6D">
        <w:t>(Italics added.)</w:t>
      </w:r>
      <w:r w:rsidR="006240EC" w:rsidRPr="00522B6D">
        <w:t xml:space="preserve"> </w:t>
      </w:r>
      <w:r w:rsidRPr="00522B6D">
        <w:t xml:space="preserve"> </w:t>
      </w:r>
      <w:bookmarkEnd w:id="15"/>
      <w:r w:rsidR="001035B3" w:rsidRPr="00522B6D">
        <w:t>Counsel a</w:t>
      </w:r>
      <w:r w:rsidR="003559F5" w:rsidRPr="00522B6D">
        <w:t xml:space="preserve">dded </w:t>
      </w:r>
      <w:r w:rsidR="001035B3" w:rsidRPr="00522B6D">
        <w:t xml:space="preserve">that the prosecution </w:t>
      </w:r>
      <w:r w:rsidR="003559F5" w:rsidRPr="00522B6D">
        <w:t xml:space="preserve">would </w:t>
      </w:r>
      <w:r w:rsidR="001035B3" w:rsidRPr="00522B6D">
        <w:t xml:space="preserve">not ask for a prison sentence if the </w:t>
      </w:r>
      <w:r w:rsidR="001035B3" w:rsidRPr="00522B6D">
        <w:rPr>
          <w:i/>
          <w:iCs/>
        </w:rPr>
        <w:t>Romero</w:t>
      </w:r>
      <w:r w:rsidR="001035B3" w:rsidRPr="00522B6D">
        <w:t xml:space="preserve"> </w:t>
      </w:r>
      <w:r w:rsidR="001035B3" w:rsidRPr="00522B6D">
        <w:lastRenderedPageBreak/>
        <w:t xml:space="preserve">motion was granted.  </w:t>
      </w:r>
      <w:r w:rsidR="00257EA6" w:rsidRPr="00522B6D">
        <w:t>The parties agreed that d</w:t>
      </w:r>
      <w:r w:rsidR="006D5778" w:rsidRPr="00522B6D">
        <w:t xml:space="preserve">efendant’s maximum exposure before the court’s ruling on the </w:t>
      </w:r>
      <w:r w:rsidR="006D5778" w:rsidRPr="00522B6D">
        <w:rPr>
          <w:i/>
          <w:iCs/>
        </w:rPr>
        <w:t>Romero</w:t>
      </w:r>
      <w:r w:rsidR="006D5778" w:rsidRPr="00522B6D">
        <w:t xml:space="preserve"> motion was 23 years </w:t>
      </w:r>
      <w:r w:rsidRPr="00522B6D">
        <w:t>two months.</w:t>
      </w:r>
    </w:p>
    <w:p w14:paraId="08BAB63B" w14:textId="33428E42" w:rsidR="00D205AF" w:rsidRPr="00522B6D" w:rsidRDefault="001D5D5D" w:rsidP="00AF4340">
      <w:pPr>
        <w:ind w:firstLine="720"/>
      </w:pPr>
      <w:r w:rsidRPr="00522B6D">
        <w:t>The</w:t>
      </w:r>
      <w:r w:rsidR="00E8348A" w:rsidRPr="00522B6D">
        <w:t>reafter, the</w:t>
      </w:r>
      <w:r w:rsidRPr="00522B6D">
        <w:t xml:space="preserve"> court granted defendant’s </w:t>
      </w:r>
      <w:r w:rsidR="00A90AFA" w:rsidRPr="00522B6D">
        <w:rPr>
          <w:i/>
          <w:iCs/>
        </w:rPr>
        <w:t>Romero</w:t>
      </w:r>
      <w:r w:rsidR="00A90AFA" w:rsidRPr="00522B6D">
        <w:t xml:space="preserve"> </w:t>
      </w:r>
      <w:r w:rsidRPr="00522B6D">
        <w:t>motion</w:t>
      </w:r>
      <w:r w:rsidR="001035B3" w:rsidRPr="00522B6D">
        <w:t>, noting among other things that defendant suffered from drug addiction and was willing to participate in a rehabilitation program</w:t>
      </w:r>
      <w:r w:rsidR="00AC39B2" w:rsidRPr="00522B6D">
        <w:t xml:space="preserve"> if placed on probation</w:t>
      </w:r>
      <w:r w:rsidRPr="00522B6D">
        <w:t>.</w:t>
      </w:r>
      <w:r w:rsidR="00F153E2" w:rsidRPr="00522B6D">
        <w:t xml:space="preserve">  Defendant then accepted the People’s offer </w:t>
      </w:r>
      <w:r w:rsidR="00AC39B2" w:rsidRPr="00522B6D">
        <w:t xml:space="preserve">made prior to the </w:t>
      </w:r>
      <w:r w:rsidR="00AC39B2" w:rsidRPr="00522B6D">
        <w:rPr>
          <w:i/>
          <w:iCs/>
        </w:rPr>
        <w:t>Romero</w:t>
      </w:r>
      <w:r w:rsidR="00AC39B2" w:rsidRPr="00522B6D">
        <w:t xml:space="preserve"> ruling</w:t>
      </w:r>
      <w:r w:rsidR="00091438" w:rsidRPr="00522B6D">
        <w:t xml:space="preserve"> but contingent upon that ruling</w:t>
      </w:r>
      <w:r w:rsidR="00AC39B2" w:rsidRPr="00522B6D">
        <w:t xml:space="preserve"> </w:t>
      </w:r>
      <w:r w:rsidR="00AE6136" w:rsidRPr="00522B6D">
        <w:t>and pleaded</w:t>
      </w:r>
      <w:r w:rsidR="00F153E2" w:rsidRPr="00522B6D">
        <w:t xml:space="preserve"> no contest to </w:t>
      </w:r>
      <w:r w:rsidR="00990D68" w:rsidRPr="00522B6D">
        <w:t>c</w:t>
      </w:r>
      <w:r w:rsidR="00095527" w:rsidRPr="00522B6D">
        <w:t xml:space="preserve">ount </w:t>
      </w:r>
      <w:r w:rsidR="004C3C84" w:rsidRPr="00522B6D">
        <w:t>one</w:t>
      </w:r>
      <w:r w:rsidR="00990D68" w:rsidRPr="00522B6D">
        <w:t>—</w:t>
      </w:r>
      <w:r w:rsidR="00AE6136" w:rsidRPr="00522B6D">
        <w:t>felon in possession of a firearm</w:t>
      </w:r>
      <w:r w:rsidR="00EB04E6" w:rsidRPr="00522B6D">
        <w:t>.</w:t>
      </w:r>
      <w:r>
        <w:rPr>
          <w:rStyle w:val="FootnoteReference"/>
        </w:rPr>
        <w:footnoteReference w:id="9"/>
      </w:r>
      <w:r w:rsidR="00EB04E6" w:rsidRPr="00522B6D">
        <w:t xml:space="preserve">  In ex</w:t>
      </w:r>
      <w:r w:rsidR="00F153E2" w:rsidRPr="00522B6D">
        <w:t xml:space="preserve">change for his plea, </w:t>
      </w:r>
      <w:r w:rsidR="00AE6136" w:rsidRPr="00522B6D">
        <w:t>t</w:t>
      </w:r>
      <w:r w:rsidR="00EB04E6" w:rsidRPr="00522B6D">
        <w:t xml:space="preserve">he remaining charges </w:t>
      </w:r>
      <w:r w:rsidR="00AE6136" w:rsidRPr="00522B6D">
        <w:t>were</w:t>
      </w:r>
      <w:r w:rsidR="00EB04E6" w:rsidRPr="00522B6D">
        <w:t xml:space="preserve"> dismisse</w:t>
      </w:r>
      <w:r w:rsidR="00AE6136" w:rsidRPr="00522B6D">
        <w:t xml:space="preserve">d, some with a </w:t>
      </w:r>
      <w:r w:rsidR="00AE6136" w:rsidRPr="00522B6D">
        <w:rPr>
          <w:i/>
          <w:iCs/>
        </w:rPr>
        <w:t>Harvey</w:t>
      </w:r>
      <w:r>
        <w:rPr>
          <w:rStyle w:val="FootnoteReference"/>
        </w:rPr>
        <w:footnoteReference w:id="10"/>
      </w:r>
      <w:r w:rsidR="00AE6136" w:rsidRPr="00522B6D">
        <w:t xml:space="preserve"> waiver</w:t>
      </w:r>
      <w:r w:rsidR="00E8348A" w:rsidRPr="00522B6D">
        <w:t>.  T</w:t>
      </w:r>
      <w:r w:rsidR="00AE6136" w:rsidRPr="00522B6D">
        <w:t xml:space="preserve">he trial court suspended imposition of sentence </w:t>
      </w:r>
      <w:r w:rsidR="00095527" w:rsidRPr="00522B6D">
        <w:t xml:space="preserve">and </w:t>
      </w:r>
      <w:r w:rsidR="00AE6136" w:rsidRPr="00522B6D">
        <w:t>plac</w:t>
      </w:r>
      <w:r w:rsidR="00095527" w:rsidRPr="00522B6D">
        <w:t>ed</w:t>
      </w:r>
      <w:r w:rsidR="00AE6136" w:rsidRPr="00522B6D">
        <w:t xml:space="preserve"> defendant on five years </w:t>
      </w:r>
      <w:r w:rsidR="00990D68" w:rsidRPr="00522B6D">
        <w:t xml:space="preserve">of </w:t>
      </w:r>
      <w:r w:rsidR="00AE6136" w:rsidRPr="00522B6D">
        <w:t>formal probation</w:t>
      </w:r>
      <w:r w:rsidR="00E0355A" w:rsidRPr="00522B6D">
        <w:t xml:space="preserve"> with one year in the county jail</w:t>
      </w:r>
      <w:r w:rsidR="00AC39B2" w:rsidRPr="00522B6D">
        <w:t xml:space="preserve"> and credit for time served.  </w:t>
      </w:r>
      <w:r w:rsidR="009A3824" w:rsidRPr="00522B6D">
        <w:t xml:space="preserve">Among the conditions of probation the court imposed were </w:t>
      </w:r>
      <w:r w:rsidR="006B4EF2" w:rsidRPr="00522B6D">
        <w:t>a search condition</w:t>
      </w:r>
      <w:r w:rsidR="00E0355A" w:rsidRPr="00522B6D">
        <w:t xml:space="preserve"> and </w:t>
      </w:r>
      <w:r w:rsidR="00F37929" w:rsidRPr="00522B6D">
        <w:t xml:space="preserve">the </w:t>
      </w:r>
      <w:r w:rsidR="009A3824" w:rsidRPr="00522B6D">
        <w:t>requirement</w:t>
      </w:r>
      <w:r w:rsidR="00F37929" w:rsidRPr="00522B6D">
        <w:t>s</w:t>
      </w:r>
      <w:r w:rsidR="009A3824" w:rsidRPr="00522B6D">
        <w:t xml:space="preserve"> </w:t>
      </w:r>
      <w:r w:rsidR="00552380" w:rsidRPr="00522B6D">
        <w:t>that defendant participate in a drug rehabilitation program “under the direction of the Probation Officer</w:t>
      </w:r>
      <w:r w:rsidR="009A3824" w:rsidRPr="00522B6D">
        <w:t xml:space="preserve">” </w:t>
      </w:r>
      <w:r w:rsidR="00091438" w:rsidRPr="00522B6D">
        <w:t xml:space="preserve">and </w:t>
      </w:r>
      <w:r w:rsidR="009A3824" w:rsidRPr="00522B6D">
        <w:t>drug testing.</w:t>
      </w:r>
    </w:p>
    <w:p w14:paraId="06D97260" w14:textId="2149A347" w:rsidR="00C921AF" w:rsidRPr="00522B6D" w:rsidRDefault="001D5D5D" w:rsidP="00AF4340">
      <w:pPr>
        <w:keepNext/>
        <w:jc w:val="center"/>
        <w:rPr>
          <w:b/>
          <w:bCs/>
        </w:rPr>
      </w:pPr>
      <w:r w:rsidRPr="00522B6D">
        <w:rPr>
          <w:b/>
          <w:bCs/>
        </w:rPr>
        <w:t>DISC</w:t>
      </w:r>
      <w:r w:rsidRPr="00522B6D">
        <w:rPr>
          <w:b/>
          <w:bCs/>
        </w:rPr>
        <w:t>USSION</w:t>
      </w:r>
    </w:p>
    <w:p w14:paraId="210998C3" w14:textId="1EE5C423" w:rsidR="00C921AF" w:rsidRPr="00522B6D" w:rsidRDefault="001D5D5D" w:rsidP="00684023">
      <w:pPr>
        <w:keepNext/>
        <w:jc w:val="center"/>
        <w:rPr>
          <w:b/>
          <w:bCs/>
        </w:rPr>
      </w:pPr>
      <w:r w:rsidRPr="00522B6D">
        <w:rPr>
          <w:b/>
          <w:bCs/>
        </w:rPr>
        <w:t xml:space="preserve">I.  Motion </w:t>
      </w:r>
      <w:r w:rsidR="00C00CAD" w:rsidRPr="00522B6D">
        <w:rPr>
          <w:b/>
          <w:bCs/>
        </w:rPr>
        <w:t>t</w:t>
      </w:r>
      <w:r w:rsidRPr="00522B6D">
        <w:rPr>
          <w:b/>
          <w:bCs/>
        </w:rPr>
        <w:t>o Suppress</w:t>
      </w:r>
    </w:p>
    <w:p w14:paraId="6A7F760B" w14:textId="19C12864" w:rsidR="000B3A34" w:rsidRPr="009F07ED" w:rsidRDefault="001D5D5D" w:rsidP="00AF4340">
      <w:pPr>
        <w:ind w:firstLine="720"/>
      </w:pPr>
      <w:r w:rsidRPr="009F07ED">
        <w:t xml:space="preserve">Defendant contends that the </w:t>
      </w:r>
      <w:r w:rsidR="006B4EF2" w:rsidRPr="009F07ED">
        <w:t xml:space="preserve">magistrate </w:t>
      </w:r>
      <w:r w:rsidRPr="009F07ED">
        <w:t>erred in denying his motion to suppress because the warrant to search his home was</w:t>
      </w:r>
      <w:r w:rsidR="00A66852" w:rsidRPr="009F07ED">
        <w:t xml:space="preserve"> purportedly</w:t>
      </w:r>
      <w:r w:rsidRPr="009F07ED">
        <w:t xml:space="preserve"> obtained without probable cause.  The People contend </w:t>
      </w:r>
      <w:r w:rsidR="009C7EA7" w:rsidRPr="009F07ED">
        <w:t>this claim is barred</w:t>
      </w:r>
      <w:r w:rsidRPr="009F07ED">
        <w:t xml:space="preserve"> because </w:t>
      </w:r>
      <w:r w:rsidR="000A042F" w:rsidRPr="009F07ED">
        <w:t>defendant</w:t>
      </w:r>
      <w:r w:rsidRPr="009F07ED">
        <w:t xml:space="preserve"> failed to </w:t>
      </w:r>
      <w:r w:rsidR="000A042F" w:rsidRPr="009F07ED">
        <w:t>renew his motion before the trial court</w:t>
      </w:r>
      <w:r w:rsidRPr="009F07ED">
        <w:t>.  We agree.</w:t>
      </w:r>
    </w:p>
    <w:p w14:paraId="709AC028" w14:textId="4053A989" w:rsidR="000B3A34" w:rsidRPr="009F07ED" w:rsidRDefault="001D5D5D" w:rsidP="00AF4340">
      <w:pPr>
        <w:ind w:firstLine="720"/>
      </w:pPr>
      <w:r w:rsidRPr="009F07ED">
        <w:t>T</w:t>
      </w:r>
      <w:r w:rsidR="00124A41" w:rsidRPr="009F07ED">
        <w:t xml:space="preserve">o preserve a challenge to </w:t>
      </w:r>
      <w:r w:rsidR="0011743E" w:rsidRPr="009F07ED">
        <w:t xml:space="preserve">a magistrate’s </w:t>
      </w:r>
      <w:r w:rsidR="00C931D0" w:rsidRPr="009F07ED">
        <w:t>denial of a section 1538.5 motion</w:t>
      </w:r>
      <w:r w:rsidRPr="009F07ED">
        <w:t xml:space="preserve"> when a defendant has pleaded guilty or no contest, </w:t>
      </w:r>
      <w:r w:rsidR="00124A41" w:rsidRPr="009F07ED">
        <w:t xml:space="preserve">the </w:t>
      </w:r>
      <w:r w:rsidR="00C931D0" w:rsidRPr="009F07ED">
        <w:t xml:space="preserve">defendant must first </w:t>
      </w:r>
      <w:r w:rsidRPr="009F07ED">
        <w:t xml:space="preserve">renew </w:t>
      </w:r>
      <w:r w:rsidR="00D947AC" w:rsidRPr="009F07ED">
        <w:t xml:space="preserve">the </w:t>
      </w:r>
      <w:r w:rsidRPr="009F07ED">
        <w:t xml:space="preserve">motion in the </w:t>
      </w:r>
      <w:r w:rsidRPr="009F07ED">
        <w:t>superior court.  (</w:t>
      </w:r>
      <w:bookmarkStart w:id="18" w:name="dabmci_5696c0d914e34660afea7082f1556905"/>
      <w:bookmarkStart w:id="19" w:name="dabmci_58fcea209b0947809e74f2120e0454cd"/>
      <w:r w:rsidRPr="009F07ED">
        <w:rPr>
          <w:i/>
          <w:iCs/>
        </w:rPr>
        <w:t>People v. Lilienthal</w:t>
      </w:r>
      <w:r w:rsidRPr="009F07ED">
        <w:t xml:space="preserve"> (1978) 22</w:t>
      </w:r>
      <w:r w:rsidR="00AF4340" w:rsidRPr="009F07ED">
        <w:t> </w:t>
      </w:r>
      <w:r w:rsidRPr="009F07ED">
        <w:t>Cal.3d 891, 896 (</w:t>
      </w:r>
      <w:r w:rsidRPr="009F07ED">
        <w:rPr>
          <w:i/>
          <w:iCs/>
        </w:rPr>
        <w:t>Lilienthal</w:t>
      </w:r>
      <w:r w:rsidRPr="009F07ED">
        <w:t>)</w:t>
      </w:r>
      <w:bookmarkEnd w:id="18"/>
      <w:bookmarkEnd w:id="19"/>
      <w:r w:rsidRPr="009F07ED">
        <w:t>.)</w:t>
      </w:r>
    </w:p>
    <w:p w14:paraId="13BDB199" w14:textId="489D6F25" w:rsidR="000B3A34" w:rsidRPr="00522B6D" w:rsidRDefault="001D5D5D" w:rsidP="00AF4340">
      <w:pPr>
        <w:ind w:firstLine="720"/>
      </w:pPr>
      <w:r w:rsidRPr="009F07ED">
        <w:lastRenderedPageBreak/>
        <w:t xml:space="preserve">In </w:t>
      </w:r>
      <w:bookmarkStart w:id="20" w:name="dabmci_c29487b3a02d4a618ea8075ebb6fad21"/>
      <w:bookmarkStart w:id="21" w:name="dabmci_21dd99e099cb4805acd4d536007f3a00"/>
      <w:r w:rsidRPr="009F07ED">
        <w:rPr>
          <w:i/>
          <w:iCs/>
        </w:rPr>
        <w:t>Lilienthal</w:t>
      </w:r>
      <w:bookmarkEnd w:id="20"/>
      <w:bookmarkEnd w:id="21"/>
      <w:r w:rsidRPr="009F07ED">
        <w:t xml:space="preserve">, </w:t>
      </w:r>
      <w:r w:rsidR="00353BAD" w:rsidRPr="009F07ED">
        <w:t>the</w:t>
      </w:r>
      <w:r w:rsidRPr="009F07ED">
        <w:t xml:space="preserve"> defendant moved to suppress evidence at his preliminary </w:t>
      </w:r>
      <w:r w:rsidR="00353BAD" w:rsidRPr="009F07ED">
        <w:t>hearing</w:t>
      </w:r>
      <w:r w:rsidRPr="009F07ED">
        <w:t xml:space="preserve"> that was obtained from a traffic stop following a warrantless search by the police.  (</w:t>
      </w:r>
      <w:bookmarkStart w:id="22" w:name="dabmci_c97c8475924e4702ad4dd9cd0927b541"/>
      <w:bookmarkStart w:id="23" w:name="dabmci_c94502383f514bd6b8cb1c5b3df11cf3"/>
      <w:r w:rsidRPr="009F07ED">
        <w:rPr>
          <w:i/>
          <w:iCs/>
        </w:rPr>
        <w:t>Lilient</w:t>
      </w:r>
      <w:r w:rsidRPr="009F07ED">
        <w:rPr>
          <w:i/>
          <w:iCs/>
        </w:rPr>
        <w:t>hal,</w:t>
      </w:r>
      <w:r w:rsidRPr="009F07ED">
        <w:t xml:space="preserve"> </w:t>
      </w:r>
      <w:r w:rsidRPr="009F07ED">
        <w:rPr>
          <w:i/>
          <w:iCs/>
        </w:rPr>
        <w:t>supra</w:t>
      </w:r>
      <w:r w:rsidRPr="009F07ED">
        <w:t>, 22</w:t>
      </w:r>
      <w:r w:rsidR="00AF4340" w:rsidRPr="009F07ED">
        <w:t> </w:t>
      </w:r>
      <w:r w:rsidRPr="009F07ED">
        <w:t xml:space="preserve">Cal.3d at </w:t>
      </w:r>
      <w:r w:rsidR="00AF4340" w:rsidRPr="009F07ED">
        <w:t>p. 8</w:t>
      </w:r>
      <w:r w:rsidRPr="009F07ED">
        <w:t>95</w:t>
      </w:r>
      <w:bookmarkEnd w:id="22"/>
      <w:bookmarkEnd w:id="23"/>
      <w:r w:rsidRPr="009F07ED">
        <w:t>.)  Following the denial of his suppression motion, the defendant pleaded guilty to one drug offense, the remaining charges were dismissed, and the court sentenced the defendant to probation.  (</w:t>
      </w:r>
      <w:bookmarkStart w:id="24" w:name="dabmci_007890ab2cdb4ff09c316ab0d5ff3d18"/>
      <w:bookmarkStart w:id="25" w:name="dabmci_15bae6742bef4cf29557a8126a2f336c"/>
      <w:r w:rsidRPr="009F07ED">
        <w:rPr>
          <w:i/>
          <w:iCs/>
        </w:rPr>
        <w:t>Ibid</w:t>
      </w:r>
      <w:r w:rsidRPr="009F07ED">
        <w:t>.</w:t>
      </w:r>
      <w:bookmarkEnd w:id="24"/>
      <w:bookmarkEnd w:id="25"/>
      <w:r w:rsidRPr="009F07ED">
        <w:t xml:space="preserve">)  The defendant appealed </w:t>
      </w:r>
      <w:r w:rsidRPr="009F07ED">
        <w:t>from his judgment of conviction and sought review on his search and seizure motion only.  (</w:t>
      </w:r>
      <w:bookmarkStart w:id="26" w:name="dabmci_112023033b254217b62f070ed997b90a"/>
      <w:bookmarkStart w:id="27" w:name="dabmci_a845b471b97342e4b193231a87eaaafe"/>
      <w:r w:rsidRPr="009F07ED">
        <w:rPr>
          <w:i/>
          <w:iCs/>
        </w:rPr>
        <w:t>Ibid</w:t>
      </w:r>
      <w:r w:rsidRPr="009F07ED">
        <w:t>.</w:t>
      </w:r>
      <w:bookmarkEnd w:id="26"/>
      <w:bookmarkEnd w:id="27"/>
      <w:r w:rsidRPr="009F07ED">
        <w:t xml:space="preserve">)  The </w:t>
      </w:r>
      <w:r w:rsidR="0011743E" w:rsidRPr="009F07ED">
        <w:rPr>
          <w:i/>
          <w:iCs/>
        </w:rPr>
        <w:t>Lilienthal</w:t>
      </w:r>
      <w:r w:rsidR="0011743E" w:rsidRPr="009F07ED">
        <w:t xml:space="preserve"> </w:t>
      </w:r>
      <w:r w:rsidRPr="009F07ED">
        <w:t xml:space="preserve">court held that a defendant does not satisfy the requirements of section 1538.5 </w:t>
      </w:r>
      <w:r w:rsidR="007C4D00" w:rsidRPr="009F07ED">
        <w:t xml:space="preserve">simply </w:t>
      </w:r>
      <w:r w:rsidRPr="009F07ED">
        <w:t xml:space="preserve">by moving to suppress evidence </w:t>
      </w:r>
      <w:r w:rsidR="0011743E" w:rsidRPr="009F07ED">
        <w:t>before a magistrate</w:t>
      </w:r>
      <w:r w:rsidRPr="009F07ED">
        <w:t>, bec</w:t>
      </w:r>
      <w:r w:rsidRPr="009F07ED">
        <w:t>ause “it would be wholly inappropriate to reverse a superior court’s judgment for error it did not commit and that was never called to its attention.”  (</w:t>
      </w:r>
      <w:bookmarkStart w:id="28" w:name="dabmci_bd8e548a976746aeb65642535b6840d1"/>
      <w:bookmarkStart w:id="29" w:name="dabmci_3059163c48e645ec8496f2f4b4710285"/>
      <w:r w:rsidRPr="009F07ED">
        <w:rPr>
          <w:i/>
          <w:iCs/>
        </w:rPr>
        <w:t>Lilienthal,</w:t>
      </w:r>
      <w:r w:rsidRPr="009F07ED">
        <w:t xml:space="preserve"> at p.</w:t>
      </w:r>
      <w:r w:rsidR="00AF4340" w:rsidRPr="009F07ED">
        <w:t> </w:t>
      </w:r>
      <w:r w:rsidRPr="009F07ED">
        <w:t xml:space="preserve">896, fn. </w:t>
      </w:r>
      <w:bookmarkEnd w:id="28"/>
      <w:bookmarkEnd w:id="29"/>
      <w:r w:rsidRPr="009F07ED">
        <w:t>omitted.)  As this court has explained, “</w:t>
      </w:r>
      <w:r w:rsidR="001B1AC1" w:rsidRPr="009F07ED">
        <w:t> </w:t>
      </w:r>
      <w:r w:rsidRPr="009F07ED">
        <w:t>‘[m]agistrates presiding at prelim</w:t>
      </w:r>
      <w:r w:rsidRPr="009F07ED">
        <w:t>inary hearings do not sit as judges of courts, and exercise none of the powers of judges in court proceedings.’</w:t>
      </w:r>
      <w:r w:rsidR="001B1AC1" w:rsidRPr="009F07ED">
        <w:t> </w:t>
      </w:r>
      <w:r w:rsidRPr="009F07ED">
        <w:t>”  (</w:t>
      </w:r>
      <w:bookmarkStart w:id="30" w:name="dabmci_f7954eb9a03a40e1bec1e31a19a966c1"/>
      <w:bookmarkStart w:id="31" w:name="dabmci_c145749544ee4bee81da756fa37f3732"/>
      <w:r w:rsidRPr="009F07ED">
        <w:rPr>
          <w:i/>
          <w:iCs/>
        </w:rPr>
        <w:t>People v. Richardson</w:t>
      </w:r>
      <w:r w:rsidRPr="009F07ED">
        <w:t xml:space="preserve"> (2007) 156</w:t>
      </w:r>
      <w:r w:rsidR="00AF4340" w:rsidRPr="009F07ED">
        <w:t> </w:t>
      </w:r>
      <w:r w:rsidRPr="009F07ED">
        <w:t>Cal.App.4th 574, 584</w:t>
      </w:r>
      <w:bookmarkEnd w:id="30"/>
      <w:bookmarkEnd w:id="31"/>
      <w:r w:rsidR="001B32AC" w:rsidRPr="009F07ED">
        <w:t xml:space="preserve"> (</w:t>
      </w:r>
      <w:r w:rsidR="001B32AC" w:rsidRPr="009F07ED">
        <w:rPr>
          <w:i/>
          <w:iCs/>
        </w:rPr>
        <w:t>Richardson</w:t>
      </w:r>
      <w:r w:rsidR="001B32AC" w:rsidRPr="009F07ED">
        <w:t>)</w:t>
      </w:r>
      <w:r w:rsidRPr="009F07ED">
        <w:t xml:space="preserve">.)  “Only if the defendant raised the search and seizure issue </w:t>
      </w:r>
      <w:r w:rsidRPr="009F07ED">
        <w:rPr>
          <w:i/>
        </w:rPr>
        <w:t>in</w:t>
      </w:r>
      <w:r w:rsidRPr="009F07ED">
        <w:t xml:space="preserve"> </w:t>
      </w:r>
      <w:r w:rsidRPr="009F07ED">
        <w:rPr>
          <w:i/>
        </w:rPr>
        <w:t>the superior court</w:t>
      </w:r>
      <w:r w:rsidRPr="009F07ED">
        <w:t xml:space="preserve">—i.e., at some point </w:t>
      </w:r>
      <w:r w:rsidRPr="009F07ED">
        <w:rPr>
          <w:i/>
        </w:rPr>
        <w:t>after</w:t>
      </w:r>
      <w:r w:rsidRPr="009F07ED">
        <w:t xml:space="preserve"> the preliminary proceedings before the magistrate—could the defendant be deemed to have raised that issue ‘at some stage of the proceedings prior</w:t>
      </w:r>
      <w:r w:rsidRPr="009F07ED">
        <w:t xml:space="preserve"> to conviction’ as required</w:t>
      </w:r>
      <w:r w:rsidRPr="00522B6D">
        <w:t xml:space="preserve"> for appellate review of the issue under section 1538.5 [subdivision] (m).”  (</w:t>
      </w:r>
      <w:bookmarkStart w:id="32" w:name="dabmci_7fe521974cb2457e963d6943b6d1c5e7"/>
      <w:bookmarkStart w:id="33" w:name="dabmci_b4df98775d334e1caba829e8f5595793"/>
      <w:r w:rsidRPr="00522B6D">
        <w:rPr>
          <w:i/>
          <w:iCs/>
        </w:rPr>
        <w:t>Id</w:t>
      </w:r>
      <w:r w:rsidRPr="00522B6D">
        <w:t>. at pp.</w:t>
      </w:r>
      <w:r w:rsidR="00AF4340" w:rsidRPr="00522B6D">
        <w:t> </w:t>
      </w:r>
      <w:r w:rsidRPr="00522B6D">
        <w:t>584-585</w:t>
      </w:r>
      <w:bookmarkEnd w:id="32"/>
      <w:bookmarkEnd w:id="33"/>
      <w:r w:rsidRPr="00522B6D">
        <w:t>.)</w:t>
      </w:r>
      <w:r w:rsidR="007D2663" w:rsidRPr="00522B6D">
        <w:t xml:space="preserve"> </w:t>
      </w:r>
      <w:r w:rsidR="00990D68" w:rsidRPr="00522B6D">
        <w:t xml:space="preserve"> </w:t>
      </w:r>
      <w:r w:rsidR="007D2663" w:rsidRPr="00522B6D">
        <w:t>The requirement to make the motion in the superior court after it has been denied by a magistrate is well-settled.  (</w:t>
      </w:r>
      <w:bookmarkStart w:id="34" w:name="dabmci_759b042fec89442d88e2327f405663c3"/>
      <w:r w:rsidR="007D2663" w:rsidRPr="00522B6D">
        <w:rPr>
          <w:i/>
          <w:iCs/>
        </w:rPr>
        <w:t>People v. Garrido</w:t>
      </w:r>
      <w:r w:rsidR="007D2663" w:rsidRPr="00522B6D">
        <w:t xml:space="preserve"> (2005) 127 Cal.App.4th 359, 364</w:t>
      </w:r>
      <w:bookmarkEnd w:id="34"/>
      <w:r w:rsidR="007D2663" w:rsidRPr="00522B6D">
        <w:t xml:space="preserve">; </w:t>
      </w:r>
      <w:bookmarkStart w:id="35" w:name="dabmci_c2e860a285d446f19c0b5d88fc814356"/>
      <w:r w:rsidR="00A95215" w:rsidRPr="00522B6D">
        <w:rPr>
          <w:i/>
          <w:iCs/>
        </w:rPr>
        <w:t>People v. Hoffman</w:t>
      </w:r>
      <w:r w:rsidR="00A95215" w:rsidRPr="00522B6D">
        <w:t xml:space="preserve"> (2001) 88 Cal.App.4th 1, 3</w:t>
      </w:r>
      <w:bookmarkEnd w:id="35"/>
      <w:r w:rsidR="00A95215" w:rsidRPr="00522B6D">
        <w:t xml:space="preserve">; </w:t>
      </w:r>
      <w:bookmarkStart w:id="36" w:name="dabmci_7bd0a885a56b47678ebc5f7fd6031224"/>
      <w:r w:rsidR="007D2663" w:rsidRPr="00522B6D">
        <w:rPr>
          <w:i/>
          <w:iCs/>
        </w:rPr>
        <w:t>People v. Hart</w:t>
      </w:r>
      <w:r w:rsidR="00A95215" w:rsidRPr="00522B6D">
        <w:t xml:space="preserve"> (1999) 74 Cal.App.4th 479, 485</w:t>
      </w:r>
      <w:bookmarkEnd w:id="36"/>
      <w:r w:rsidR="00A95215" w:rsidRPr="00522B6D">
        <w:t>.)</w:t>
      </w:r>
    </w:p>
    <w:p w14:paraId="1C02BA69" w14:textId="259C5866" w:rsidR="00C23E88" w:rsidRPr="00522B6D" w:rsidRDefault="001D5D5D" w:rsidP="00AF4340">
      <w:pPr>
        <w:ind w:firstLine="720"/>
      </w:pPr>
      <w:r w:rsidRPr="00522B6D">
        <w:t>Here, defendant accepted the People’s offer of a plea agreement having never advanced beyond the “preliminary proceedings b</w:t>
      </w:r>
      <w:r w:rsidRPr="00522B6D">
        <w:t>efore the magistrate.”  (See</w:t>
      </w:r>
      <w:bookmarkStart w:id="37" w:name="dabmci_9ad8a26b541a47268496afe578240a38"/>
      <w:r w:rsidRPr="00522B6D">
        <w:rPr>
          <w:i/>
          <w:iCs/>
        </w:rPr>
        <w:t xml:space="preserve"> Richardson</w:t>
      </w:r>
      <w:r w:rsidRPr="009F07ED">
        <w:rPr>
          <w:i/>
        </w:rPr>
        <w:t>,</w:t>
      </w:r>
      <w:r w:rsidRPr="00522B6D">
        <w:t xml:space="preserve"> </w:t>
      </w:r>
      <w:r w:rsidR="009174D7" w:rsidRPr="00522B6D">
        <w:rPr>
          <w:i/>
          <w:iCs/>
        </w:rPr>
        <w:t>supra</w:t>
      </w:r>
      <w:r w:rsidR="009174D7" w:rsidRPr="00522B6D">
        <w:t xml:space="preserve">, 156 Cal.App.4th </w:t>
      </w:r>
      <w:r w:rsidRPr="00522B6D">
        <w:t>at pp.</w:t>
      </w:r>
      <w:r w:rsidR="009174D7" w:rsidRPr="00522B6D">
        <w:t> </w:t>
      </w:r>
      <w:r w:rsidRPr="00522B6D">
        <w:t>584-585</w:t>
      </w:r>
      <w:bookmarkEnd w:id="37"/>
      <w:r w:rsidRPr="00522B6D">
        <w:t>.)  Thus, w</w:t>
      </w:r>
      <w:r w:rsidR="000B3A34" w:rsidRPr="00522B6D">
        <w:t xml:space="preserve">e conclude that </w:t>
      </w:r>
      <w:r w:rsidR="000B3A34" w:rsidRPr="00522B6D">
        <w:rPr>
          <w:i/>
          <w:iCs/>
        </w:rPr>
        <w:t>Lilienthal</w:t>
      </w:r>
      <w:r w:rsidR="000B3A34" w:rsidRPr="00522B6D">
        <w:t xml:space="preserve"> </w:t>
      </w:r>
      <w:r w:rsidR="009174D7" w:rsidRPr="00522B6D">
        <w:t>applies</w:t>
      </w:r>
      <w:r w:rsidR="000B3A34" w:rsidRPr="00522B6D">
        <w:t xml:space="preserve"> and defendant forfeited his right to appellate review of the search and seizure matter when he did not renew his motion to suppress in the superior court.</w:t>
      </w:r>
    </w:p>
    <w:p w14:paraId="7D557BA4" w14:textId="72FB2F21" w:rsidR="00C921AF" w:rsidRPr="00522B6D" w:rsidRDefault="001D5D5D" w:rsidP="00684023">
      <w:pPr>
        <w:keepNext/>
        <w:jc w:val="center"/>
        <w:rPr>
          <w:b/>
          <w:bCs/>
        </w:rPr>
      </w:pPr>
      <w:r w:rsidRPr="00522B6D">
        <w:rPr>
          <w:b/>
          <w:bCs/>
        </w:rPr>
        <w:lastRenderedPageBreak/>
        <w:t>II.</w:t>
      </w:r>
      <w:r w:rsidR="0011743E" w:rsidRPr="00522B6D">
        <w:rPr>
          <w:b/>
          <w:bCs/>
        </w:rPr>
        <w:t xml:space="preserve">  </w:t>
      </w:r>
      <w:bookmarkStart w:id="38" w:name="dabmci_362f824507c14c7290b03b0bc95179c2"/>
      <w:bookmarkStart w:id="39" w:name="dabmci_45c543a1398a4701bb5ce13f92896201"/>
      <w:r w:rsidRPr="00522B6D">
        <w:rPr>
          <w:b/>
          <w:bCs/>
        </w:rPr>
        <w:t>Assembly Bill</w:t>
      </w:r>
      <w:r w:rsidR="00AF4340" w:rsidRPr="00522B6D">
        <w:rPr>
          <w:b/>
          <w:bCs/>
        </w:rPr>
        <w:t> </w:t>
      </w:r>
      <w:r w:rsidRPr="00522B6D">
        <w:rPr>
          <w:b/>
          <w:bCs/>
        </w:rPr>
        <w:t>1950</w:t>
      </w:r>
      <w:bookmarkEnd w:id="38"/>
      <w:bookmarkEnd w:id="39"/>
      <w:r w:rsidR="006B14B8" w:rsidRPr="00522B6D">
        <w:rPr>
          <w:b/>
          <w:bCs/>
        </w:rPr>
        <w:t xml:space="preserve"> </w:t>
      </w:r>
    </w:p>
    <w:p w14:paraId="771ECC2A" w14:textId="3D330BDD" w:rsidR="00EE0EEE" w:rsidRPr="00522B6D" w:rsidRDefault="001D5D5D" w:rsidP="00AF4340">
      <w:pPr>
        <w:ind w:firstLine="720"/>
      </w:pPr>
      <w:r w:rsidRPr="00522B6D">
        <w:t>While this appeal was pending</w:t>
      </w:r>
      <w:bookmarkStart w:id="40" w:name="dabmci_fd8168d3b5e048848ee7880462fdac97"/>
      <w:r w:rsidRPr="00522B6D">
        <w:t xml:space="preserve"> </w:t>
      </w:r>
      <w:bookmarkStart w:id="41" w:name="dabmci_50d02eaf93594076a444e1c8b3eea345"/>
      <w:r w:rsidR="000208C9" w:rsidRPr="00522B6D">
        <w:t>Assembly Bill</w:t>
      </w:r>
      <w:r w:rsidR="001F37C0" w:rsidRPr="00522B6D">
        <w:t xml:space="preserve"> 1950</w:t>
      </w:r>
      <w:bookmarkEnd w:id="41"/>
      <w:r w:rsidR="001F37C0" w:rsidRPr="00522B6D">
        <w:t xml:space="preserve"> </w:t>
      </w:r>
      <w:bookmarkEnd w:id="40"/>
      <w:r w:rsidR="003C6434" w:rsidRPr="00522B6D">
        <w:t>took</w:t>
      </w:r>
      <w:r w:rsidR="005B74DB" w:rsidRPr="00522B6D">
        <w:t xml:space="preserve"> effect</w:t>
      </w:r>
      <w:r w:rsidRPr="00522B6D">
        <w:t xml:space="preserve">.  </w:t>
      </w:r>
      <w:r w:rsidR="00BC7741" w:rsidRPr="00522B6D">
        <w:t xml:space="preserve">With exceptions not applicable here, </w:t>
      </w:r>
      <w:r w:rsidR="00D336B8" w:rsidRPr="00522B6D">
        <w:t xml:space="preserve">it </w:t>
      </w:r>
      <w:r w:rsidRPr="00522B6D">
        <w:t>change</w:t>
      </w:r>
      <w:r w:rsidR="003559F5" w:rsidRPr="00522B6D">
        <w:t>s</w:t>
      </w:r>
      <w:r w:rsidRPr="00522B6D">
        <w:t xml:space="preserve"> the </w:t>
      </w:r>
      <w:r w:rsidR="001E3ED2" w:rsidRPr="00522B6D">
        <w:t xml:space="preserve">maximum </w:t>
      </w:r>
      <w:r w:rsidRPr="00522B6D">
        <w:t xml:space="preserve">length of probation for felony cases </w:t>
      </w:r>
      <w:r w:rsidR="001E3ED2" w:rsidRPr="00522B6D">
        <w:t>to</w:t>
      </w:r>
      <w:r w:rsidRPr="00522B6D">
        <w:t xml:space="preserve"> two years.  (</w:t>
      </w:r>
      <w:bookmarkStart w:id="42" w:name="dabmci_ba27f1a91a554a9c9f5893e3a030a99c"/>
      <w:r w:rsidRPr="00522B6D">
        <w:t>§</w:t>
      </w:r>
      <w:r w:rsidR="006F552A" w:rsidRPr="00522B6D">
        <w:t> </w:t>
      </w:r>
      <w:r w:rsidRPr="00522B6D">
        <w:t xml:space="preserve">1203.1, subd. </w:t>
      </w:r>
      <w:r w:rsidR="00D37C56" w:rsidRPr="00522B6D">
        <w:t>(a)</w:t>
      </w:r>
      <w:bookmarkEnd w:id="42"/>
      <w:r w:rsidRPr="00522B6D">
        <w:t>.)</w:t>
      </w:r>
      <w:r>
        <w:rPr>
          <w:rStyle w:val="FootnoteReference"/>
        </w:rPr>
        <w:footnoteReference w:id="11"/>
      </w:r>
      <w:r w:rsidR="00C23E88" w:rsidRPr="00522B6D">
        <w:t xml:space="preserve">  </w:t>
      </w:r>
      <w:r w:rsidR="00F12632" w:rsidRPr="00522B6D">
        <w:t xml:space="preserve">Applying </w:t>
      </w:r>
      <w:bookmarkStart w:id="43" w:name="dabmci_ed5f3834b17b4f78902ff43f64060512"/>
      <w:r w:rsidR="00F12632" w:rsidRPr="00522B6D">
        <w:rPr>
          <w:i/>
          <w:iCs/>
        </w:rPr>
        <w:t xml:space="preserve">In re Estrada </w:t>
      </w:r>
      <w:r w:rsidR="00F12632" w:rsidRPr="00522B6D">
        <w:t>(1965) 63 Cal.2d 740</w:t>
      </w:r>
      <w:bookmarkEnd w:id="43"/>
      <w:r w:rsidR="00F12632" w:rsidRPr="00522B6D">
        <w:t xml:space="preserve">, the parties agree </w:t>
      </w:r>
      <w:r w:rsidRPr="00522B6D">
        <w:t xml:space="preserve">that </w:t>
      </w:r>
      <w:bookmarkStart w:id="44" w:name="dabmci_7efee4b3b94a4c47b7b105f1da2b82d4"/>
      <w:r w:rsidR="000208C9" w:rsidRPr="00522B6D">
        <w:t>Assembly Bill</w:t>
      </w:r>
      <w:r w:rsidR="001F37C0" w:rsidRPr="00522B6D">
        <w:t xml:space="preserve"> 1950</w:t>
      </w:r>
      <w:bookmarkEnd w:id="44"/>
      <w:r w:rsidR="001F37C0" w:rsidRPr="00522B6D">
        <w:t xml:space="preserve"> </w:t>
      </w:r>
      <w:r w:rsidRPr="00522B6D">
        <w:t xml:space="preserve">applies retroactively to defendant.  </w:t>
      </w:r>
      <w:r w:rsidR="0011743E" w:rsidRPr="00522B6D">
        <w:t xml:space="preserve">We </w:t>
      </w:r>
      <w:r w:rsidR="00D336B8" w:rsidRPr="00522B6D">
        <w:t>do too</w:t>
      </w:r>
      <w:r w:rsidR="0011743E" w:rsidRPr="00522B6D">
        <w:t>.</w:t>
      </w:r>
      <w:r w:rsidR="00D336B8" w:rsidRPr="00522B6D">
        <w:t xml:space="preserve"> </w:t>
      </w:r>
      <w:r w:rsidR="0011743E" w:rsidRPr="00522B6D">
        <w:t xml:space="preserve"> </w:t>
      </w:r>
      <w:r w:rsidRPr="00522B6D">
        <w:t>(</w:t>
      </w:r>
      <w:bookmarkStart w:id="45" w:name="dabmci_7eb2cd7aa9ec47858d1251f783f2a474"/>
      <w:r w:rsidR="0011743E" w:rsidRPr="00522B6D">
        <w:rPr>
          <w:i/>
          <w:iCs/>
        </w:rPr>
        <w:t>People v. Lord</w:t>
      </w:r>
      <w:r w:rsidR="0011743E" w:rsidRPr="00522B6D">
        <w:t xml:space="preserve"> (2021) 64 Cal.App.5th 241, 246</w:t>
      </w:r>
      <w:bookmarkEnd w:id="45"/>
      <w:r w:rsidR="005B74DB" w:rsidRPr="00522B6D">
        <w:t xml:space="preserve">; </w:t>
      </w:r>
      <w:bookmarkStart w:id="46" w:name="dabmci_5312ddf9e1af4e0cb20ffc9315479dc0"/>
      <w:bookmarkStart w:id="47" w:name="dabmci_51c0d3c15ff74f1cbf110ddc49e5d180"/>
      <w:r w:rsidRPr="00522B6D">
        <w:rPr>
          <w:i/>
          <w:iCs/>
        </w:rPr>
        <w:t xml:space="preserve">People v. Sims </w:t>
      </w:r>
      <w:r w:rsidRPr="00522B6D">
        <w:t>(2021) 59</w:t>
      </w:r>
      <w:r w:rsidR="00AF4340" w:rsidRPr="00522B6D">
        <w:t> </w:t>
      </w:r>
      <w:r w:rsidRPr="00522B6D">
        <w:t>Cal.App.5th 943, 955-964</w:t>
      </w:r>
      <w:bookmarkEnd w:id="46"/>
      <w:bookmarkEnd w:id="47"/>
      <w:r w:rsidRPr="00522B6D">
        <w:t xml:space="preserve">.)  </w:t>
      </w:r>
      <w:r w:rsidR="003559F5" w:rsidRPr="00522B6D">
        <w:t xml:space="preserve">But, </w:t>
      </w:r>
      <w:r w:rsidR="003C6434" w:rsidRPr="00522B6D">
        <w:t>as in other cases involving ameliorative amendments, t</w:t>
      </w:r>
      <w:r w:rsidRPr="00522B6D">
        <w:t xml:space="preserve">he parties </w:t>
      </w:r>
      <w:r w:rsidR="00AF54FB" w:rsidRPr="00522B6D">
        <w:t xml:space="preserve">here </w:t>
      </w:r>
      <w:r w:rsidRPr="00522B6D">
        <w:t>disagree on the remedy.</w:t>
      </w:r>
    </w:p>
    <w:p w14:paraId="26CF60F1" w14:textId="638DBB57" w:rsidR="00BC7741" w:rsidRPr="00522B6D" w:rsidRDefault="001D5D5D" w:rsidP="00AF4340">
      <w:pPr>
        <w:ind w:firstLine="720"/>
      </w:pPr>
      <w:r w:rsidRPr="00522B6D">
        <w:t xml:space="preserve">Defendant asks this court to </w:t>
      </w:r>
      <w:r w:rsidR="001F37C0" w:rsidRPr="00522B6D">
        <w:t xml:space="preserve">reduce </w:t>
      </w:r>
      <w:r w:rsidRPr="00522B6D">
        <w:t xml:space="preserve">his term of probation to two years.  Relying on the </w:t>
      </w:r>
      <w:r w:rsidR="00D37C56" w:rsidRPr="00522B6D">
        <w:t xml:space="preserve">remedy </w:t>
      </w:r>
      <w:r w:rsidR="001E3ED2" w:rsidRPr="00522B6D">
        <w:t xml:space="preserve">explained </w:t>
      </w:r>
      <w:r w:rsidRPr="00522B6D">
        <w:t xml:space="preserve">in </w:t>
      </w:r>
      <w:bookmarkStart w:id="48" w:name="dabmci_886e7c7a9b6541cf84ddf15ffaf581e3"/>
      <w:bookmarkStart w:id="49" w:name="dabmci_a2662f17fd08414c8dbc8d454f97b604"/>
      <w:r w:rsidRPr="00522B6D">
        <w:rPr>
          <w:i/>
          <w:iCs/>
        </w:rPr>
        <w:t>Stamps</w:t>
      </w:r>
      <w:r w:rsidR="00AE7C8E" w:rsidRPr="00522B6D">
        <w:rPr>
          <w:i/>
          <w:iCs/>
        </w:rPr>
        <w:t>, supra,</w:t>
      </w:r>
      <w:r w:rsidRPr="00522B6D">
        <w:t xml:space="preserve"> </w:t>
      </w:r>
      <w:r w:rsidR="00082F17" w:rsidRPr="00522B6D">
        <w:t>9</w:t>
      </w:r>
      <w:r w:rsidR="00AF4340" w:rsidRPr="00522B6D">
        <w:t> </w:t>
      </w:r>
      <w:r w:rsidR="00082F17" w:rsidRPr="00522B6D">
        <w:t>Cal.5th 685</w:t>
      </w:r>
      <w:bookmarkEnd w:id="48"/>
      <w:bookmarkEnd w:id="49"/>
      <w:r w:rsidR="00082F17" w:rsidRPr="00522B6D">
        <w:t>, t</w:t>
      </w:r>
      <w:r w:rsidRPr="00522B6D">
        <w:t>he People</w:t>
      </w:r>
      <w:r w:rsidR="00082F17" w:rsidRPr="00522B6D">
        <w:t xml:space="preserve"> </w:t>
      </w:r>
      <w:r w:rsidR="00DF7BE0" w:rsidRPr="00522B6D">
        <w:t xml:space="preserve">seek remand and the opportunity to </w:t>
      </w:r>
      <w:r w:rsidR="009E4D24" w:rsidRPr="00522B6D">
        <w:t xml:space="preserve">void the plea agreement, so </w:t>
      </w:r>
      <w:r w:rsidR="00EC7B58" w:rsidRPr="00522B6D">
        <w:t xml:space="preserve">“the parties are returned to status quo </w:t>
      </w:r>
      <w:bookmarkStart w:id="50" w:name="dabmci_629ebba42b3748c59ea45112dc072f92"/>
      <w:bookmarkStart w:id="51" w:name="dabmci_00d5315f87304aea86565f28263d8abf"/>
      <w:r w:rsidR="00EC7B58" w:rsidRPr="009F07ED">
        <w:t>ante</w:t>
      </w:r>
      <w:bookmarkEnd w:id="50"/>
      <w:bookmarkEnd w:id="51"/>
      <w:r w:rsidR="00EC7B58" w:rsidRPr="00522B6D">
        <w:t xml:space="preserve"> and [defendant’s] prosecution reinstated.”</w:t>
      </w:r>
      <w:r w:rsidR="000A042F" w:rsidRPr="00522B6D">
        <w:t xml:space="preserve"> </w:t>
      </w:r>
      <w:r w:rsidR="00EC7B58" w:rsidRPr="00522B6D">
        <w:t xml:space="preserve"> </w:t>
      </w:r>
      <w:r w:rsidR="000A042F" w:rsidRPr="00522B6D">
        <w:t>(</w:t>
      </w:r>
      <w:r w:rsidR="00082F17" w:rsidRPr="00522B6D">
        <w:t xml:space="preserve">See </w:t>
      </w:r>
      <w:bookmarkStart w:id="52" w:name="dabmci_5f82cdc8c9e74d4dae944a65fed39a0d"/>
      <w:r w:rsidR="00AE7C8E" w:rsidRPr="00522B6D">
        <w:rPr>
          <w:i/>
          <w:iCs/>
        </w:rPr>
        <w:t xml:space="preserve">Stamps, </w:t>
      </w:r>
      <w:r w:rsidR="00FF252E" w:rsidRPr="00522B6D">
        <w:t xml:space="preserve">at </w:t>
      </w:r>
      <w:bookmarkStart w:id="53" w:name="dabmci_95c9099738064092b091bd8f72ac8870"/>
      <w:r w:rsidR="00082F17" w:rsidRPr="00522B6D">
        <w:t>p.</w:t>
      </w:r>
      <w:r w:rsidR="006F552A" w:rsidRPr="00522B6D">
        <w:t> </w:t>
      </w:r>
      <w:r w:rsidR="000A042F" w:rsidRPr="00522B6D">
        <w:t>692</w:t>
      </w:r>
      <w:bookmarkEnd w:id="52"/>
      <w:bookmarkEnd w:id="53"/>
      <w:r w:rsidR="00D77793" w:rsidRPr="00522B6D">
        <w:t>.)</w:t>
      </w:r>
      <w:r w:rsidR="000A042F" w:rsidRPr="00522B6D">
        <w:t xml:space="preserve"> </w:t>
      </w:r>
      <w:r w:rsidR="00F32315">
        <w:t xml:space="preserve"> </w:t>
      </w:r>
      <w:r w:rsidRPr="00522B6D">
        <w:t>We agree with the People.</w:t>
      </w:r>
    </w:p>
    <w:p w14:paraId="65B5B641" w14:textId="71D314FC" w:rsidR="00A060C2" w:rsidRPr="00522B6D" w:rsidRDefault="001D5D5D" w:rsidP="008A4FA5">
      <w:pPr>
        <w:pStyle w:val="ListParagraph"/>
        <w:keepNext/>
        <w:numPr>
          <w:ilvl w:val="0"/>
          <w:numId w:val="1"/>
        </w:numPr>
        <w:jc w:val="center"/>
        <w:rPr>
          <w:rFonts w:eastAsiaTheme="minorEastAsia"/>
          <w:b/>
          <w:bCs/>
        </w:rPr>
      </w:pPr>
      <w:bookmarkStart w:id="54" w:name="ElPgBr2"/>
      <w:bookmarkEnd w:id="54"/>
      <w:r w:rsidRPr="00522B6D">
        <w:rPr>
          <w:b/>
          <w:bCs/>
        </w:rPr>
        <w:t>The</w:t>
      </w:r>
      <w:r w:rsidRPr="00522B6D">
        <w:rPr>
          <w:b/>
          <w:bCs/>
          <w:i/>
          <w:iCs/>
        </w:rPr>
        <w:t xml:space="preserve"> Stamps</w:t>
      </w:r>
      <w:r w:rsidRPr="00522B6D">
        <w:rPr>
          <w:b/>
          <w:bCs/>
        </w:rPr>
        <w:t xml:space="preserve"> </w:t>
      </w:r>
      <w:r w:rsidR="00097C13" w:rsidRPr="00522B6D">
        <w:rPr>
          <w:b/>
          <w:bCs/>
        </w:rPr>
        <w:t>R</w:t>
      </w:r>
      <w:r w:rsidRPr="00522B6D">
        <w:rPr>
          <w:b/>
          <w:bCs/>
        </w:rPr>
        <w:t>emedy</w:t>
      </w:r>
    </w:p>
    <w:p w14:paraId="218AEAB2" w14:textId="4EBB73DF" w:rsidR="00D37C56" w:rsidRPr="00522B6D" w:rsidRDefault="001D5D5D" w:rsidP="003B7544">
      <w:pPr>
        <w:rPr>
          <w:rFonts w:eastAsiaTheme="minorEastAsia"/>
        </w:rPr>
      </w:pPr>
      <w:r w:rsidRPr="00522B6D">
        <w:rPr>
          <w:rFonts w:eastAsiaTheme="minorEastAsia"/>
        </w:rPr>
        <w:tab/>
        <w:t xml:space="preserve">In </w:t>
      </w:r>
      <w:bookmarkStart w:id="55" w:name="dabmci_3afb5371e27949a9a05b5dd5ffa249ac"/>
      <w:r w:rsidRPr="00522B6D">
        <w:rPr>
          <w:rFonts w:eastAsiaTheme="minorEastAsia"/>
          <w:i/>
          <w:iCs/>
        </w:rPr>
        <w:t>Stamps</w:t>
      </w:r>
      <w:r w:rsidRPr="00522B6D">
        <w:rPr>
          <w:rFonts w:eastAsiaTheme="minorEastAsia"/>
        </w:rPr>
        <w:t xml:space="preserve">, </w:t>
      </w:r>
      <w:r w:rsidRPr="00522B6D">
        <w:rPr>
          <w:rFonts w:eastAsiaTheme="minorEastAsia"/>
          <w:i/>
          <w:iCs/>
        </w:rPr>
        <w:t>supra</w:t>
      </w:r>
      <w:r w:rsidRPr="00522B6D">
        <w:rPr>
          <w:rFonts w:eastAsiaTheme="minorEastAsia"/>
        </w:rPr>
        <w:t>, 9 Cal.5th 685</w:t>
      </w:r>
      <w:bookmarkEnd w:id="55"/>
      <w:r w:rsidRPr="00522B6D">
        <w:rPr>
          <w:rFonts w:eastAsiaTheme="minorEastAsia"/>
        </w:rPr>
        <w:t xml:space="preserve">, the </w:t>
      </w:r>
      <w:r w:rsidRPr="00522B6D">
        <w:rPr>
          <w:rFonts w:eastAsiaTheme="minorEastAsia"/>
        </w:rPr>
        <w:t>defendant pleaded no contest</w:t>
      </w:r>
      <w:r w:rsidR="005F621C" w:rsidRPr="00522B6D">
        <w:rPr>
          <w:rFonts w:eastAsiaTheme="minorEastAsia"/>
        </w:rPr>
        <w:t xml:space="preserve"> </w:t>
      </w:r>
      <w:r w:rsidRPr="00522B6D">
        <w:rPr>
          <w:rFonts w:eastAsiaTheme="minorEastAsia"/>
        </w:rPr>
        <w:t xml:space="preserve">to first degree burglary </w:t>
      </w:r>
      <w:r w:rsidR="001E3ED2" w:rsidRPr="00522B6D">
        <w:rPr>
          <w:rFonts w:eastAsiaTheme="minorEastAsia"/>
        </w:rPr>
        <w:t>and</w:t>
      </w:r>
      <w:r w:rsidR="00E33FA3" w:rsidRPr="00522B6D">
        <w:rPr>
          <w:rFonts w:eastAsiaTheme="minorEastAsia"/>
        </w:rPr>
        <w:t>,</w:t>
      </w:r>
      <w:r w:rsidR="001E3ED2" w:rsidRPr="00522B6D">
        <w:rPr>
          <w:rFonts w:eastAsiaTheme="minorEastAsia"/>
        </w:rPr>
        <w:t xml:space="preserve"> pursuant to a plea agreement, was sentenced to</w:t>
      </w:r>
      <w:r w:rsidRPr="00522B6D">
        <w:rPr>
          <w:rFonts w:eastAsiaTheme="minorEastAsia"/>
        </w:rPr>
        <w:t xml:space="preserve"> nine</w:t>
      </w:r>
      <w:r w:rsidR="00990D68" w:rsidRPr="00522B6D">
        <w:rPr>
          <w:rFonts w:eastAsiaTheme="minorEastAsia"/>
        </w:rPr>
        <w:t xml:space="preserve"> </w:t>
      </w:r>
      <w:r w:rsidRPr="00522B6D">
        <w:rPr>
          <w:rFonts w:eastAsiaTheme="minorEastAsia"/>
        </w:rPr>
        <w:t>year</w:t>
      </w:r>
      <w:r w:rsidR="001E3ED2" w:rsidRPr="00522B6D">
        <w:rPr>
          <w:rFonts w:eastAsiaTheme="minorEastAsia"/>
        </w:rPr>
        <w:t>s</w:t>
      </w:r>
      <w:r w:rsidR="003559F5" w:rsidRPr="00522B6D">
        <w:rPr>
          <w:rFonts w:eastAsiaTheme="minorEastAsia"/>
        </w:rPr>
        <w:t xml:space="preserve">, </w:t>
      </w:r>
      <w:r w:rsidRPr="00522B6D">
        <w:rPr>
          <w:rFonts w:eastAsiaTheme="minorEastAsia"/>
        </w:rPr>
        <w:t>includ</w:t>
      </w:r>
      <w:r w:rsidR="003559F5" w:rsidRPr="00522B6D">
        <w:rPr>
          <w:rFonts w:eastAsiaTheme="minorEastAsia"/>
        </w:rPr>
        <w:t>ing</w:t>
      </w:r>
      <w:r w:rsidRPr="00522B6D">
        <w:rPr>
          <w:rFonts w:eastAsiaTheme="minorEastAsia"/>
        </w:rPr>
        <w:t xml:space="preserve"> </w:t>
      </w:r>
      <w:r w:rsidR="003559F5" w:rsidRPr="00522B6D">
        <w:rPr>
          <w:rFonts w:eastAsiaTheme="minorEastAsia"/>
        </w:rPr>
        <w:t xml:space="preserve">a </w:t>
      </w:r>
      <w:r w:rsidRPr="00522B6D">
        <w:rPr>
          <w:rFonts w:eastAsiaTheme="minorEastAsia"/>
        </w:rPr>
        <w:t>five</w:t>
      </w:r>
      <w:r w:rsidR="003B7544" w:rsidRPr="00522B6D">
        <w:rPr>
          <w:rFonts w:eastAsiaTheme="minorEastAsia"/>
        </w:rPr>
        <w:t>-</w:t>
      </w:r>
      <w:r w:rsidRPr="00522B6D">
        <w:rPr>
          <w:rFonts w:eastAsiaTheme="minorEastAsia"/>
        </w:rPr>
        <w:t xml:space="preserve">year prior serious felony enhancement (§ 667, subd. (a)(1)). </w:t>
      </w:r>
      <w:r w:rsidR="00990D68" w:rsidRPr="00522B6D">
        <w:rPr>
          <w:rFonts w:eastAsiaTheme="minorEastAsia"/>
        </w:rPr>
        <w:t xml:space="preserve"> </w:t>
      </w:r>
      <w:r w:rsidRPr="00522B6D">
        <w:rPr>
          <w:rFonts w:eastAsiaTheme="minorEastAsia"/>
        </w:rPr>
        <w:t>(</w:t>
      </w:r>
      <w:bookmarkStart w:id="56" w:name="dabmci_4a0fa81967f844e79f50bef601442b91"/>
      <w:r w:rsidR="00990D68" w:rsidRPr="00522B6D">
        <w:rPr>
          <w:rFonts w:eastAsiaTheme="minorEastAsia"/>
          <w:i/>
          <w:iCs/>
        </w:rPr>
        <w:t>Stamps,</w:t>
      </w:r>
      <w:r w:rsidRPr="00522B6D">
        <w:rPr>
          <w:rFonts w:eastAsiaTheme="minorEastAsia"/>
        </w:rPr>
        <w:t xml:space="preserve"> at p. 693</w:t>
      </w:r>
      <w:bookmarkEnd w:id="56"/>
      <w:r w:rsidR="005F621C" w:rsidRPr="00522B6D">
        <w:rPr>
          <w:rFonts w:eastAsiaTheme="minorEastAsia"/>
        </w:rPr>
        <w:t>.)</w:t>
      </w:r>
      <w:r w:rsidRPr="00522B6D">
        <w:rPr>
          <w:rFonts w:eastAsiaTheme="minorEastAsia"/>
        </w:rPr>
        <w:t xml:space="preserve"> </w:t>
      </w:r>
      <w:r w:rsidR="00C670E4" w:rsidRPr="00522B6D">
        <w:rPr>
          <w:rFonts w:eastAsiaTheme="minorEastAsia"/>
        </w:rPr>
        <w:t xml:space="preserve"> T</w:t>
      </w:r>
      <w:r w:rsidR="0038441D" w:rsidRPr="00522B6D">
        <w:rPr>
          <w:rFonts w:eastAsiaTheme="minorEastAsia"/>
        </w:rPr>
        <w:t>wo remaining</w:t>
      </w:r>
      <w:r w:rsidRPr="00522B6D">
        <w:rPr>
          <w:rFonts w:eastAsiaTheme="minorEastAsia"/>
        </w:rPr>
        <w:t xml:space="preserve"> </w:t>
      </w:r>
      <w:r w:rsidR="003A3829" w:rsidRPr="00522B6D">
        <w:rPr>
          <w:rFonts w:eastAsiaTheme="minorEastAsia"/>
        </w:rPr>
        <w:t xml:space="preserve">first degree </w:t>
      </w:r>
      <w:r w:rsidR="003559F5" w:rsidRPr="00522B6D">
        <w:rPr>
          <w:rFonts w:eastAsiaTheme="minorEastAsia"/>
        </w:rPr>
        <w:t xml:space="preserve">burglary </w:t>
      </w:r>
      <w:r w:rsidRPr="00522B6D">
        <w:rPr>
          <w:rFonts w:eastAsiaTheme="minorEastAsia"/>
        </w:rPr>
        <w:t>counts</w:t>
      </w:r>
      <w:r w:rsidR="003B7544" w:rsidRPr="00522B6D">
        <w:rPr>
          <w:rFonts w:eastAsiaTheme="minorEastAsia"/>
        </w:rPr>
        <w:t>,</w:t>
      </w:r>
      <w:r w:rsidRPr="00522B6D">
        <w:rPr>
          <w:rFonts w:eastAsiaTheme="minorEastAsia"/>
        </w:rPr>
        <w:t xml:space="preserve"> a </w:t>
      </w:r>
      <w:r w:rsidR="006D4BE4" w:rsidRPr="00522B6D">
        <w:rPr>
          <w:rFonts w:eastAsiaTheme="minorEastAsia"/>
        </w:rPr>
        <w:t>strike</w:t>
      </w:r>
      <w:r w:rsidR="003B7544" w:rsidRPr="00522B6D">
        <w:rPr>
          <w:rFonts w:eastAsiaTheme="minorEastAsia"/>
        </w:rPr>
        <w:t xml:space="preserve"> allegation</w:t>
      </w:r>
      <w:r w:rsidR="00CE0D4B" w:rsidRPr="00522B6D">
        <w:rPr>
          <w:rFonts w:eastAsiaTheme="minorEastAsia"/>
        </w:rPr>
        <w:t>,</w:t>
      </w:r>
      <w:r w:rsidR="006D4BE4" w:rsidRPr="00522B6D">
        <w:rPr>
          <w:rFonts w:eastAsiaTheme="minorEastAsia"/>
        </w:rPr>
        <w:t xml:space="preserve"> </w:t>
      </w:r>
      <w:r w:rsidR="0038441D" w:rsidRPr="00522B6D">
        <w:rPr>
          <w:rFonts w:eastAsiaTheme="minorEastAsia"/>
        </w:rPr>
        <w:t>and three prior prison commitment enhancements</w:t>
      </w:r>
      <w:r w:rsidRPr="00522B6D">
        <w:rPr>
          <w:rFonts w:eastAsiaTheme="minorEastAsia"/>
        </w:rPr>
        <w:t xml:space="preserve"> were dismissed. </w:t>
      </w:r>
      <w:r w:rsidR="00CE304E" w:rsidRPr="00522B6D">
        <w:rPr>
          <w:rFonts w:eastAsiaTheme="minorEastAsia"/>
        </w:rPr>
        <w:t xml:space="preserve"> </w:t>
      </w:r>
      <w:r w:rsidRPr="00522B6D">
        <w:rPr>
          <w:rFonts w:eastAsiaTheme="minorEastAsia"/>
        </w:rPr>
        <w:t>(</w:t>
      </w:r>
      <w:bookmarkStart w:id="57" w:name="dabmci_85a905f50067444a831c67ab38870643"/>
      <w:r w:rsidRPr="00522B6D">
        <w:rPr>
          <w:rFonts w:eastAsiaTheme="minorEastAsia"/>
          <w:i/>
          <w:iCs/>
        </w:rPr>
        <w:t>Ibid</w:t>
      </w:r>
      <w:r w:rsidRPr="00522B6D">
        <w:rPr>
          <w:rFonts w:eastAsiaTheme="minorEastAsia"/>
        </w:rPr>
        <w:t>.</w:t>
      </w:r>
      <w:bookmarkEnd w:id="57"/>
      <w:r w:rsidRPr="00522B6D">
        <w:rPr>
          <w:rFonts w:eastAsiaTheme="minorEastAsia"/>
        </w:rPr>
        <w:t>)</w:t>
      </w:r>
      <w:r w:rsidR="0038441D" w:rsidRPr="00522B6D">
        <w:rPr>
          <w:rFonts w:eastAsiaTheme="minorEastAsia"/>
        </w:rPr>
        <w:t xml:space="preserve">  While the</w:t>
      </w:r>
      <w:r w:rsidRPr="00522B6D">
        <w:rPr>
          <w:rFonts w:eastAsiaTheme="minorEastAsia"/>
        </w:rPr>
        <w:t xml:space="preserve"> appeal was pending, </w:t>
      </w:r>
      <w:bookmarkStart w:id="58" w:name="dabmci_7da51fc5455b428e9483644ebfb3d9b9"/>
      <w:r w:rsidRPr="00522B6D">
        <w:rPr>
          <w:rFonts w:eastAsiaTheme="minorEastAsia"/>
        </w:rPr>
        <w:t>Senate Bill No. 1393</w:t>
      </w:r>
      <w:bookmarkEnd w:id="58"/>
      <w:r w:rsidRPr="00522B6D">
        <w:rPr>
          <w:rFonts w:eastAsiaTheme="minorEastAsia"/>
        </w:rPr>
        <w:t xml:space="preserve"> (2017-2018 Reg. Sess.) (</w:t>
      </w:r>
      <w:bookmarkStart w:id="59" w:name="dabmci_e9cd955a8c994b0f9a86c91db4e73037"/>
      <w:r w:rsidR="000208C9" w:rsidRPr="00522B6D">
        <w:rPr>
          <w:rFonts w:eastAsiaTheme="minorEastAsia"/>
        </w:rPr>
        <w:t>Senate Bill</w:t>
      </w:r>
      <w:r w:rsidR="0038441D" w:rsidRPr="00522B6D">
        <w:rPr>
          <w:rFonts w:eastAsiaTheme="minorEastAsia"/>
        </w:rPr>
        <w:t xml:space="preserve"> </w:t>
      </w:r>
      <w:r w:rsidRPr="00522B6D">
        <w:rPr>
          <w:rFonts w:eastAsiaTheme="minorEastAsia"/>
        </w:rPr>
        <w:t>1393</w:t>
      </w:r>
      <w:bookmarkEnd w:id="59"/>
      <w:r w:rsidRPr="00522B6D">
        <w:rPr>
          <w:rFonts w:eastAsiaTheme="minorEastAsia"/>
        </w:rPr>
        <w:t>) took effe</w:t>
      </w:r>
      <w:r w:rsidR="009D269B" w:rsidRPr="00522B6D">
        <w:rPr>
          <w:rFonts w:eastAsiaTheme="minorEastAsia"/>
        </w:rPr>
        <w:t>ct</w:t>
      </w:r>
      <w:r w:rsidR="00C670E4" w:rsidRPr="00522B6D">
        <w:rPr>
          <w:rFonts w:eastAsiaTheme="minorEastAsia"/>
        </w:rPr>
        <w:t xml:space="preserve">, affording </w:t>
      </w:r>
      <w:r w:rsidRPr="00522B6D">
        <w:rPr>
          <w:rFonts w:eastAsiaTheme="minorEastAsia"/>
        </w:rPr>
        <w:t>trial courts dis</w:t>
      </w:r>
      <w:r w:rsidRPr="00522B6D">
        <w:rPr>
          <w:rFonts w:eastAsiaTheme="minorEastAsia"/>
        </w:rPr>
        <w:t xml:space="preserve">cretion to dismiss </w:t>
      </w:r>
      <w:r w:rsidR="00C670E4" w:rsidRPr="00522B6D">
        <w:rPr>
          <w:rFonts w:eastAsiaTheme="minorEastAsia"/>
        </w:rPr>
        <w:t xml:space="preserve">prior </w:t>
      </w:r>
      <w:r w:rsidR="0038441D" w:rsidRPr="00522B6D">
        <w:rPr>
          <w:rFonts w:eastAsiaTheme="minorEastAsia"/>
        </w:rPr>
        <w:t>serious felony enhancements</w:t>
      </w:r>
      <w:r w:rsidR="00437FA5" w:rsidRPr="00522B6D">
        <w:rPr>
          <w:rFonts w:eastAsiaTheme="minorEastAsia"/>
        </w:rPr>
        <w:t xml:space="preserve"> in the interests of justice under section 1385</w:t>
      </w:r>
      <w:r w:rsidRPr="00522B6D">
        <w:rPr>
          <w:rFonts w:eastAsiaTheme="minorEastAsia"/>
        </w:rPr>
        <w:t xml:space="preserve">. </w:t>
      </w:r>
      <w:r w:rsidR="000208C9" w:rsidRPr="00522B6D">
        <w:rPr>
          <w:rFonts w:eastAsiaTheme="minorEastAsia"/>
        </w:rPr>
        <w:t xml:space="preserve"> </w:t>
      </w:r>
      <w:r w:rsidR="0038441D" w:rsidRPr="00522B6D">
        <w:rPr>
          <w:rFonts w:eastAsiaTheme="minorEastAsia"/>
        </w:rPr>
        <w:t>(</w:t>
      </w:r>
      <w:bookmarkStart w:id="60" w:name="dabmci_e10a9f6a9aa84083a8b7f0eebe4a9000"/>
      <w:r w:rsidR="006B7FA7" w:rsidRPr="00522B6D">
        <w:rPr>
          <w:rFonts w:eastAsiaTheme="minorEastAsia"/>
          <w:i/>
          <w:iCs/>
        </w:rPr>
        <w:t xml:space="preserve">Stamps, </w:t>
      </w:r>
      <w:r w:rsidR="006B7FA7" w:rsidRPr="00522B6D">
        <w:rPr>
          <w:rFonts w:eastAsiaTheme="minorEastAsia"/>
        </w:rPr>
        <w:t>at p. 693</w:t>
      </w:r>
      <w:bookmarkEnd w:id="60"/>
      <w:r w:rsidR="0038441D" w:rsidRPr="00522B6D">
        <w:rPr>
          <w:rFonts w:eastAsiaTheme="minorEastAsia"/>
        </w:rPr>
        <w:t xml:space="preserve">.) </w:t>
      </w:r>
      <w:r w:rsidRPr="00522B6D">
        <w:rPr>
          <w:rFonts w:eastAsiaTheme="minorEastAsia"/>
        </w:rPr>
        <w:t xml:space="preserve"> </w:t>
      </w:r>
      <w:r w:rsidR="00C670E4" w:rsidRPr="00522B6D">
        <w:rPr>
          <w:rFonts w:eastAsiaTheme="minorEastAsia"/>
        </w:rPr>
        <w:t>The d</w:t>
      </w:r>
      <w:r w:rsidR="0038441D" w:rsidRPr="00522B6D">
        <w:rPr>
          <w:rFonts w:eastAsiaTheme="minorEastAsia"/>
        </w:rPr>
        <w:t>efendant argued that</w:t>
      </w:r>
      <w:r w:rsidR="003E54EB" w:rsidRPr="00522B6D">
        <w:rPr>
          <w:rFonts w:eastAsiaTheme="minorEastAsia"/>
        </w:rPr>
        <w:t xml:space="preserve">, under </w:t>
      </w:r>
      <w:r w:rsidR="003E54EB" w:rsidRPr="00522B6D">
        <w:rPr>
          <w:rFonts w:eastAsiaTheme="minorEastAsia"/>
          <w:i/>
          <w:iCs/>
        </w:rPr>
        <w:lastRenderedPageBreak/>
        <w:t>Estrada</w:t>
      </w:r>
      <w:r w:rsidR="003E54EB" w:rsidRPr="00522B6D">
        <w:rPr>
          <w:rFonts w:eastAsiaTheme="minorEastAsia"/>
        </w:rPr>
        <w:t xml:space="preserve">, </w:t>
      </w:r>
      <w:bookmarkStart w:id="61" w:name="dabmci_a7181ab6dbe64585b078a357e2fbe85a"/>
      <w:r w:rsidR="000208C9" w:rsidRPr="00522B6D">
        <w:rPr>
          <w:rFonts w:eastAsiaTheme="minorEastAsia"/>
        </w:rPr>
        <w:t>Senate Bill</w:t>
      </w:r>
      <w:r w:rsidR="0038441D" w:rsidRPr="00522B6D">
        <w:rPr>
          <w:rFonts w:eastAsiaTheme="minorEastAsia"/>
        </w:rPr>
        <w:t xml:space="preserve"> </w:t>
      </w:r>
      <w:r w:rsidRPr="00522B6D">
        <w:rPr>
          <w:rFonts w:eastAsiaTheme="minorEastAsia"/>
        </w:rPr>
        <w:t>1393</w:t>
      </w:r>
      <w:bookmarkEnd w:id="61"/>
      <w:r w:rsidRPr="00522B6D">
        <w:rPr>
          <w:rFonts w:eastAsiaTheme="minorEastAsia"/>
        </w:rPr>
        <w:t xml:space="preserve"> </w:t>
      </w:r>
      <w:r w:rsidR="009D269B" w:rsidRPr="00522B6D">
        <w:rPr>
          <w:rFonts w:eastAsiaTheme="minorEastAsia"/>
        </w:rPr>
        <w:t xml:space="preserve">should be </w:t>
      </w:r>
      <w:r w:rsidRPr="00522B6D">
        <w:rPr>
          <w:rFonts w:eastAsiaTheme="minorEastAsia"/>
        </w:rPr>
        <w:t>applied retroactively</w:t>
      </w:r>
      <w:r w:rsidR="00C670E4" w:rsidRPr="00522B6D">
        <w:rPr>
          <w:rFonts w:eastAsiaTheme="minorEastAsia"/>
        </w:rPr>
        <w:t xml:space="preserve">, </w:t>
      </w:r>
      <w:r w:rsidR="009D269B" w:rsidRPr="00522B6D">
        <w:rPr>
          <w:rFonts w:eastAsiaTheme="minorEastAsia"/>
        </w:rPr>
        <w:t>entitl</w:t>
      </w:r>
      <w:r w:rsidR="00C670E4" w:rsidRPr="00522B6D">
        <w:rPr>
          <w:rFonts w:eastAsiaTheme="minorEastAsia"/>
        </w:rPr>
        <w:t xml:space="preserve">ing him </w:t>
      </w:r>
      <w:r w:rsidR="009D269B" w:rsidRPr="00522B6D">
        <w:rPr>
          <w:rFonts w:eastAsiaTheme="minorEastAsia"/>
        </w:rPr>
        <w:t>to</w:t>
      </w:r>
      <w:r w:rsidRPr="00522B6D">
        <w:rPr>
          <w:rFonts w:eastAsiaTheme="minorEastAsia"/>
        </w:rPr>
        <w:t xml:space="preserve"> remand so the trial court could </w:t>
      </w:r>
      <w:r w:rsidR="00C670E4" w:rsidRPr="00522B6D">
        <w:rPr>
          <w:rFonts w:eastAsiaTheme="minorEastAsia"/>
        </w:rPr>
        <w:t xml:space="preserve">consider </w:t>
      </w:r>
      <w:r w:rsidRPr="00522B6D">
        <w:rPr>
          <w:rFonts w:eastAsiaTheme="minorEastAsia"/>
        </w:rPr>
        <w:t>strik</w:t>
      </w:r>
      <w:r w:rsidR="00C670E4" w:rsidRPr="00522B6D">
        <w:rPr>
          <w:rFonts w:eastAsiaTheme="minorEastAsia"/>
        </w:rPr>
        <w:t xml:space="preserve">ing </w:t>
      </w:r>
      <w:r w:rsidR="009D7CCD" w:rsidRPr="00522B6D">
        <w:rPr>
          <w:rFonts w:eastAsiaTheme="minorEastAsia"/>
        </w:rPr>
        <w:t>or dismiss</w:t>
      </w:r>
      <w:r w:rsidR="00C670E4" w:rsidRPr="00522B6D">
        <w:rPr>
          <w:rFonts w:eastAsiaTheme="minorEastAsia"/>
        </w:rPr>
        <w:t>ing</w:t>
      </w:r>
      <w:r w:rsidRPr="00522B6D">
        <w:rPr>
          <w:rFonts w:eastAsiaTheme="minorEastAsia"/>
        </w:rPr>
        <w:t xml:space="preserve"> </w:t>
      </w:r>
      <w:r w:rsidR="009D269B" w:rsidRPr="00522B6D">
        <w:rPr>
          <w:rFonts w:eastAsiaTheme="minorEastAsia"/>
        </w:rPr>
        <w:t>his</w:t>
      </w:r>
      <w:r w:rsidRPr="00522B6D">
        <w:rPr>
          <w:rFonts w:eastAsiaTheme="minorEastAsia"/>
        </w:rPr>
        <w:t xml:space="preserve"> serious felony enhancement</w:t>
      </w:r>
      <w:r w:rsidR="0013099F" w:rsidRPr="00522B6D">
        <w:rPr>
          <w:rFonts w:eastAsiaTheme="minorEastAsia"/>
        </w:rPr>
        <w:t xml:space="preserve"> while</w:t>
      </w:r>
      <w:r w:rsidR="009D269B" w:rsidRPr="00522B6D">
        <w:rPr>
          <w:rFonts w:eastAsiaTheme="minorEastAsia"/>
        </w:rPr>
        <w:t xml:space="preserve"> the rest of the plea agreement remain</w:t>
      </w:r>
      <w:r w:rsidR="0013099F" w:rsidRPr="00522B6D">
        <w:rPr>
          <w:rFonts w:eastAsiaTheme="minorEastAsia"/>
        </w:rPr>
        <w:t>ed</w:t>
      </w:r>
      <w:r w:rsidR="009D269B" w:rsidRPr="00522B6D">
        <w:rPr>
          <w:rFonts w:eastAsiaTheme="minorEastAsia"/>
        </w:rPr>
        <w:t xml:space="preserve"> intact. </w:t>
      </w:r>
      <w:r w:rsidRPr="00522B6D">
        <w:rPr>
          <w:rFonts w:eastAsiaTheme="minorEastAsia"/>
        </w:rPr>
        <w:t xml:space="preserve"> </w:t>
      </w:r>
      <w:r w:rsidR="009D269B" w:rsidRPr="00522B6D">
        <w:rPr>
          <w:rFonts w:eastAsiaTheme="minorEastAsia"/>
        </w:rPr>
        <w:t>(</w:t>
      </w:r>
      <w:bookmarkStart w:id="62" w:name="dabmci_437f2b08067e4ac59775a0c651b8f01c"/>
      <w:r w:rsidR="0038744C" w:rsidRPr="00522B6D">
        <w:rPr>
          <w:rFonts w:eastAsiaTheme="minorEastAsia"/>
          <w:i/>
          <w:iCs/>
        </w:rPr>
        <w:t xml:space="preserve">Stamps, </w:t>
      </w:r>
      <w:r w:rsidR="0038744C" w:rsidRPr="00522B6D">
        <w:rPr>
          <w:rFonts w:eastAsiaTheme="minorEastAsia"/>
        </w:rPr>
        <w:t>at p. 693</w:t>
      </w:r>
      <w:bookmarkEnd w:id="62"/>
      <w:r w:rsidR="0038744C" w:rsidRPr="00522B6D">
        <w:rPr>
          <w:rFonts w:eastAsiaTheme="minorEastAsia"/>
        </w:rPr>
        <w:t>.</w:t>
      </w:r>
      <w:r w:rsidR="009D269B" w:rsidRPr="00522B6D">
        <w:rPr>
          <w:rFonts w:eastAsiaTheme="minorEastAsia"/>
        </w:rPr>
        <w:t xml:space="preserve">) </w:t>
      </w:r>
    </w:p>
    <w:p w14:paraId="10AAF87C" w14:textId="40F00564" w:rsidR="002A7181" w:rsidRPr="00522B6D" w:rsidRDefault="001D5D5D" w:rsidP="00D37C56">
      <w:pPr>
        <w:rPr>
          <w:rFonts w:eastAsiaTheme="minorEastAsia"/>
        </w:rPr>
      </w:pPr>
      <w:r w:rsidRPr="00522B6D">
        <w:rPr>
          <w:rFonts w:eastAsiaTheme="minorEastAsia"/>
        </w:rPr>
        <w:tab/>
        <w:t xml:space="preserve">The </w:t>
      </w:r>
      <w:r w:rsidRPr="00522B6D">
        <w:rPr>
          <w:rFonts w:eastAsiaTheme="minorEastAsia"/>
          <w:i/>
          <w:iCs/>
        </w:rPr>
        <w:t xml:space="preserve">Stamps </w:t>
      </w:r>
      <w:r w:rsidRPr="00522B6D">
        <w:rPr>
          <w:rFonts w:eastAsiaTheme="minorEastAsia"/>
        </w:rPr>
        <w:t xml:space="preserve">court </w:t>
      </w:r>
      <w:r w:rsidR="00C670E4" w:rsidRPr="00522B6D">
        <w:rPr>
          <w:rFonts w:eastAsiaTheme="minorEastAsia"/>
        </w:rPr>
        <w:t xml:space="preserve">agreed </w:t>
      </w:r>
      <w:r w:rsidRPr="00522B6D">
        <w:rPr>
          <w:rFonts w:eastAsiaTheme="minorEastAsia"/>
        </w:rPr>
        <w:t xml:space="preserve">that </w:t>
      </w:r>
      <w:bookmarkStart w:id="63" w:name="dabmci_20795dc9277441af9fcf491a052a0044"/>
      <w:r w:rsidR="000208C9" w:rsidRPr="00522B6D">
        <w:rPr>
          <w:rFonts w:eastAsiaTheme="minorEastAsia"/>
        </w:rPr>
        <w:t>Senate Bill</w:t>
      </w:r>
      <w:r w:rsidRPr="00522B6D">
        <w:rPr>
          <w:rFonts w:eastAsiaTheme="minorEastAsia"/>
        </w:rPr>
        <w:t xml:space="preserve"> </w:t>
      </w:r>
      <w:r w:rsidR="00D37C56" w:rsidRPr="00522B6D">
        <w:rPr>
          <w:rFonts w:eastAsiaTheme="minorEastAsia"/>
        </w:rPr>
        <w:t>1393</w:t>
      </w:r>
      <w:bookmarkEnd w:id="63"/>
      <w:r w:rsidR="00D37C56" w:rsidRPr="00522B6D">
        <w:rPr>
          <w:rFonts w:eastAsiaTheme="minorEastAsia"/>
        </w:rPr>
        <w:t xml:space="preserve"> applied retroactive</w:t>
      </w:r>
      <w:r w:rsidR="0018620E" w:rsidRPr="00522B6D">
        <w:rPr>
          <w:rFonts w:eastAsiaTheme="minorEastAsia"/>
        </w:rPr>
        <w:t>ly</w:t>
      </w:r>
      <w:r w:rsidR="00D37C56" w:rsidRPr="00522B6D">
        <w:rPr>
          <w:rFonts w:eastAsiaTheme="minorEastAsia"/>
        </w:rPr>
        <w:t xml:space="preserve">, </w:t>
      </w:r>
      <w:r w:rsidR="0018620E" w:rsidRPr="00522B6D">
        <w:rPr>
          <w:rFonts w:eastAsiaTheme="minorEastAsia"/>
        </w:rPr>
        <w:t xml:space="preserve">but </w:t>
      </w:r>
      <w:r w:rsidR="00C670E4" w:rsidRPr="00522B6D">
        <w:rPr>
          <w:rFonts w:eastAsiaTheme="minorEastAsia"/>
        </w:rPr>
        <w:t xml:space="preserve">rejected </w:t>
      </w:r>
      <w:r w:rsidR="00A14C36" w:rsidRPr="00522B6D">
        <w:rPr>
          <w:rFonts w:eastAsiaTheme="minorEastAsia"/>
        </w:rPr>
        <w:t xml:space="preserve">the </w:t>
      </w:r>
      <w:r w:rsidR="0018620E" w:rsidRPr="00522B6D">
        <w:rPr>
          <w:rFonts w:eastAsiaTheme="minorEastAsia"/>
        </w:rPr>
        <w:t>defendant’s proposed remedy.</w:t>
      </w:r>
      <w:r w:rsidR="00E33FA3" w:rsidRPr="00522B6D">
        <w:rPr>
          <w:rFonts w:eastAsiaTheme="minorEastAsia"/>
        </w:rPr>
        <w:t xml:space="preserve"> </w:t>
      </w:r>
      <w:r w:rsidR="00D37C56" w:rsidRPr="00522B6D">
        <w:rPr>
          <w:rFonts w:eastAsiaTheme="minorEastAsia"/>
        </w:rPr>
        <w:t xml:space="preserve"> </w:t>
      </w:r>
      <w:bookmarkStart w:id="64" w:name="_Hlk90123523"/>
      <w:r w:rsidR="00D37C56" w:rsidRPr="00522B6D">
        <w:rPr>
          <w:rFonts w:eastAsiaTheme="minorEastAsia"/>
        </w:rPr>
        <w:t>(</w:t>
      </w:r>
      <w:bookmarkStart w:id="65" w:name="dabmci_1b43b49614c44532a7b9e1a0cec46b5b"/>
      <w:r w:rsidR="00D37C56" w:rsidRPr="00522B6D">
        <w:rPr>
          <w:rFonts w:eastAsiaTheme="minorEastAsia"/>
          <w:i/>
          <w:iCs/>
        </w:rPr>
        <w:t>Stamps</w:t>
      </w:r>
      <w:r w:rsidR="00D37C56" w:rsidRPr="009F07ED">
        <w:rPr>
          <w:rFonts w:eastAsiaTheme="minorEastAsia"/>
          <w:i/>
        </w:rPr>
        <w:t>,</w:t>
      </w:r>
      <w:r w:rsidR="00D37C56" w:rsidRPr="00522B6D">
        <w:rPr>
          <w:rFonts w:eastAsiaTheme="minorEastAsia"/>
        </w:rPr>
        <w:t xml:space="preserve"> </w:t>
      </w:r>
      <w:r w:rsidR="00D37C56" w:rsidRPr="00522B6D">
        <w:rPr>
          <w:rFonts w:eastAsiaTheme="minorEastAsia"/>
          <w:i/>
          <w:iCs/>
        </w:rPr>
        <w:t>supra</w:t>
      </w:r>
      <w:r w:rsidR="00D37C56" w:rsidRPr="00522B6D">
        <w:rPr>
          <w:rFonts w:eastAsiaTheme="minorEastAsia"/>
        </w:rPr>
        <w:t xml:space="preserve">, 9 Cal.5th at pp. </w:t>
      </w:r>
      <w:r w:rsidR="0018620E" w:rsidRPr="00522B6D">
        <w:rPr>
          <w:rFonts w:eastAsiaTheme="minorEastAsia"/>
        </w:rPr>
        <w:t>69</w:t>
      </w:r>
      <w:r w:rsidR="000B5093" w:rsidRPr="00522B6D">
        <w:rPr>
          <w:rFonts w:eastAsiaTheme="minorEastAsia"/>
        </w:rPr>
        <w:t>9, 700</w:t>
      </w:r>
      <w:bookmarkEnd w:id="65"/>
      <w:r w:rsidR="00D37C56" w:rsidRPr="00522B6D">
        <w:rPr>
          <w:rFonts w:eastAsiaTheme="minorEastAsia"/>
        </w:rPr>
        <w:t>.)</w:t>
      </w:r>
      <w:bookmarkEnd w:id="64"/>
      <w:r w:rsidR="00D37C56" w:rsidRPr="00522B6D">
        <w:rPr>
          <w:rFonts w:eastAsiaTheme="minorEastAsia"/>
        </w:rPr>
        <w:t xml:space="preserve"> </w:t>
      </w:r>
      <w:r w:rsidR="000208C9" w:rsidRPr="00522B6D">
        <w:rPr>
          <w:rFonts w:eastAsiaTheme="minorEastAsia"/>
        </w:rPr>
        <w:t xml:space="preserve"> </w:t>
      </w:r>
      <w:r w:rsidR="003B7544" w:rsidRPr="00522B6D">
        <w:rPr>
          <w:rFonts w:eastAsiaTheme="minorEastAsia"/>
        </w:rPr>
        <w:t xml:space="preserve">Our high </w:t>
      </w:r>
      <w:r w:rsidR="00D37C56" w:rsidRPr="00522B6D">
        <w:rPr>
          <w:rFonts w:eastAsiaTheme="minorEastAsia"/>
        </w:rPr>
        <w:t xml:space="preserve">court </w:t>
      </w:r>
      <w:r w:rsidR="00C670E4" w:rsidRPr="00522B6D">
        <w:rPr>
          <w:rFonts w:eastAsiaTheme="minorEastAsia"/>
        </w:rPr>
        <w:t xml:space="preserve">explained </w:t>
      </w:r>
      <w:r w:rsidR="00D37C56" w:rsidRPr="00522B6D">
        <w:rPr>
          <w:rFonts w:eastAsiaTheme="minorEastAsia"/>
        </w:rPr>
        <w:t xml:space="preserve">that under </w:t>
      </w:r>
      <w:r w:rsidR="000B5093" w:rsidRPr="00522B6D">
        <w:rPr>
          <w:rFonts w:eastAsiaTheme="minorEastAsia"/>
        </w:rPr>
        <w:t>section</w:t>
      </w:r>
      <w:r w:rsidR="00D37C56" w:rsidRPr="00522B6D">
        <w:rPr>
          <w:rFonts w:eastAsiaTheme="minorEastAsia"/>
        </w:rPr>
        <w:t xml:space="preserve"> 1192.5, </w:t>
      </w:r>
      <w:r w:rsidR="00AF54FB" w:rsidRPr="00522B6D">
        <w:rPr>
          <w:rFonts w:eastAsiaTheme="minorEastAsia"/>
        </w:rPr>
        <w:t>the trial court</w:t>
      </w:r>
      <w:r w:rsidR="00D37C56" w:rsidRPr="00522B6D">
        <w:rPr>
          <w:rFonts w:eastAsiaTheme="minorEastAsia"/>
        </w:rPr>
        <w:t xml:space="preserve"> cannot </w:t>
      </w:r>
      <w:r w:rsidR="000F7C4E" w:rsidRPr="00522B6D">
        <w:rPr>
          <w:rFonts w:eastAsiaTheme="minorEastAsia"/>
        </w:rPr>
        <w:t xml:space="preserve">unilaterally modify the agreement by dismissing portions of the agreed </w:t>
      </w:r>
      <w:r w:rsidR="000F7C4E" w:rsidRPr="001A2292">
        <w:rPr>
          <w:rFonts w:eastAsiaTheme="minorEastAsia"/>
        </w:rPr>
        <w:t>sentence</w:t>
      </w:r>
      <w:r w:rsidR="00E22985" w:rsidRPr="001A2292">
        <w:rPr>
          <w:rFonts w:eastAsiaTheme="minorEastAsia"/>
        </w:rPr>
        <w:t>;</w:t>
      </w:r>
      <w:r w:rsidR="0009205F" w:rsidRPr="001A2292">
        <w:rPr>
          <w:rFonts w:eastAsiaTheme="minorEastAsia"/>
        </w:rPr>
        <w:t xml:space="preserve"> </w:t>
      </w:r>
      <w:r w:rsidR="00E22985" w:rsidRPr="001A2292">
        <w:rPr>
          <w:rFonts w:eastAsiaTheme="minorEastAsia"/>
        </w:rPr>
        <w:t>r</w:t>
      </w:r>
      <w:r w:rsidR="0009205F" w:rsidRPr="001A2292">
        <w:rPr>
          <w:rFonts w:eastAsiaTheme="minorEastAsia"/>
        </w:rPr>
        <w:t>ather,</w:t>
      </w:r>
      <w:r w:rsidR="000F7C4E" w:rsidRPr="001A2292">
        <w:rPr>
          <w:rFonts w:eastAsiaTheme="minorEastAsia"/>
        </w:rPr>
        <w:t xml:space="preserve"> any</w:t>
      </w:r>
      <w:r w:rsidR="000F7C4E" w:rsidRPr="00522B6D">
        <w:rPr>
          <w:rFonts w:eastAsiaTheme="minorEastAsia"/>
        </w:rPr>
        <w:t xml:space="preserve"> modification require</w:t>
      </w:r>
      <w:r w:rsidR="00C670E4" w:rsidRPr="00522B6D">
        <w:rPr>
          <w:rFonts w:eastAsiaTheme="minorEastAsia"/>
        </w:rPr>
        <w:t>s</w:t>
      </w:r>
      <w:r w:rsidR="000F7C4E" w:rsidRPr="00522B6D">
        <w:rPr>
          <w:rFonts w:eastAsiaTheme="minorEastAsia"/>
        </w:rPr>
        <w:t xml:space="preserve"> </w:t>
      </w:r>
      <w:r w:rsidRPr="00522B6D">
        <w:rPr>
          <w:rFonts w:eastAsiaTheme="minorEastAsia"/>
        </w:rPr>
        <w:t xml:space="preserve">both </w:t>
      </w:r>
      <w:r w:rsidR="00D37C56" w:rsidRPr="00522B6D">
        <w:rPr>
          <w:rFonts w:eastAsiaTheme="minorEastAsia"/>
        </w:rPr>
        <w:t>parties</w:t>
      </w:r>
      <w:r w:rsidR="00C670E4" w:rsidRPr="00522B6D">
        <w:rPr>
          <w:rFonts w:eastAsiaTheme="minorEastAsia"/>
        </w:rPr>
        <w:t>’ consent</w:t>
      </w:r>
      <w:r w:rsidR="00D37C56" w:rsidRPr="00522B6D">
        <w:rPr>
          <w:rFonts w:eastAsiaTheme="minorEastAsia"/>
        </w:rPr>
        <w:t xml:space="preserve">. </w:t>
      </w:r>
      <w:r w:rsidR="00CE304E" w:rsidRPr="00522B6D">
        <w:rPr>
          <w:rFonts w:eastAsiaTheme="minorEastAsia"/>
        </w:rPr>
        <w:t xml:space="preserve"> </w:t>
      </w:r>
      <w:r w:rsidR="00C75496" w:rsidRPr="00522B6D">
        <w:rPr>
          <w:rFonts w:eastAsiaTheme="minorEastAsia"/>
        </w:rPr>
        <w:t>(</w:t>
      </w:r>
      <w:bookmarkStart w:id="66" w:name="dabmci_1f5a5c59cbc743e4b5350f5764ee3c82"/>
      <w:r w:rsidR="00990D68" w:rsidRPr="00522B6D">
        <w:rPr>
          <w:rFonts w:eastAsiaTheme="minorEastAsia"/>
          <w:i/>
          <w:iCs/>
        </w:rPr>
        <w:t>Stamps,</w:t>
      </w:r>
      <w:r w:rsidR="00C75496" w:rsidRPr="00522B6D">
        <w:rPr>
          <w:rFonts w:eastAsiaTheme="minorEastAsia"/>
        </w:rPr>
        <w:t xml:space="preserve"> at p.</w:t>
      </w:r>
      <w:r w:rsidR="00D37C56" w:rsidRPr="00522B6D">
        <w:rPr>
          <w:rFonts w:eastAsiaTheme="minorEastAsia"/>
        </w:rPr>
        <w:t xml:space="preserve"> 701</w:t>
      </w:r>
      <w:bookmarkEnd w:id="66"/>
      <w:r w:rsidR="00D37C56" w:rsidRPr="00522B6D">
        <w:rPr>
          <w:rFonts w:eastAsiaTheme="minorEastAsia"/>
        </w:rPr>
        <w:t>.)</w:t>
      </w:r>
      <w:r>
        <w:rPr>
          <w:rStyle w:val="FootnoteReference"/>
          <w:rFonts w:eastAsiaTheme="minorEastAsia"/>
        </w:rPr>
        <w:footnoteReference w:id="12"/>
      </w:r>
      <w:r w:rsidR="00E22985" w:rsidRPr="00522B6D">
        <w:rPr>
          <w:rFonts w:eastAsiaTheme="minorEastAsia"/>
        </w:rPr>
        <w:t xml:space="preserve"> </w:t>
      </w:r>
      <w:r w:rsidRPr="00522B6D">
        <w:rPr>
          <w:rFonts w:eastAsiaTheme="minorEastAsia"/>
        </w:rPr>
        <w:t xml:space="preserve"> Th</w:t>
      </w:r>
      <w:r w:rsidR="00F37831" w:rsidRPr="00522B6D">
        <w:rPr>
          <w:rFonts w:eastAsiaTheme="minorEastAsia"/>
        </w:rPr>
        <w:t>e court held th</w:t>
      </w:r>
      <w:r w:rsidR="00C24875" w:rsidRPr="00522B6D">
        <w:rPr>
          <w:rFonts w:eastAsiaTheme="minorEastAsia"/>
        </w:rPr>
        <w:t>is “</w:t>
      </w:r>
      <w:r w:rsidRPr="00522B6D">
        <w:rPr>
          <w:rFonts w:eastAsiaTheme="minorEastAsia"/>
        </w:rPr>
        <w:t>long-standing law</w:t>
      </w:r>
      <w:r w:rsidR="00C24875" w:rsidRPr="00522B6D">
        <w:rPr>
          <w:rFonts w:eastAsiaTheme="minorEastAsia"/>
        </w:rPr>
        <w:t>”</w:t>
      </w:r>
      <w:r w:rsidRPr="00522B6D">
        <w:rPr>
          <w:rFonts w:eastAsiaTheme="minorEastAsia"/>
        </w:rPr>
        <w:t xml:space="preserve"> could not be circumvented </w:t>
      </w:r>
      <w:r w:rsidR="00C670E4" w:rsidRPr="00522B6D">
        <w:rPr>
          <w:rFonts w:eastAsiaTheme="minorEastAsia"/>
        </w:rPr>
        <w:t xml:space="preserve">absent </w:t>
      </w:r>
      <w:r w:rsidR="00E33FA3" w:rsidRPr="00522B6D">
        <w:rPr>
          <w:rFonts w:eastAsiaTheme="minorEastAsia"/>
        </w:rPr>
        <w:t>l</w:t>
      </w:r>
      <w:r w:rsidRPr="00522B6D">
        <w:rPr>
          <w:rFonts w:eastAsiaTheme="minorEastAsia"/>
        </w:rPr>
        <w:t>egislat</w:t>
      </w:r>
      <w:r w:rsidR="00E33FA3" w:rsidRPr="00522B6D">
        <w:rPr>
          <w:rFonts w:eastAsiaTheme="minorEastAsia"/>
        </w:rPr>
        <w:t xml:space="preserve">ive </w:t>
      </w:r>
      <w:r w:rsidR="00C24875" w:rsidRPr="00522B6D">
        <w:rPr>
          <w:rFonts w:eastAsiaTheme="minorEastAsia"/>
        </w:rPr>
        <w:t>inten</w:t>
      </w:r>
      <w:r w:rsidR="00E33FA3" w:rsidRPr="00522B6D">
        <w:rPr>
          <w:rFonts w:eastAsiaTheme="minorEastAsia"/>
        </w:rPr>
        <w:t>t</w:t>
      </w:r>
      <w:r w:rsidR="00C24875" w:rsidRPr="00522B6D">
        <w:rPr>
          <w:rFonts w:eastAsiaTheme="minorEastAsia"/>
        </w:rPr>
        <w:t xml:space="preserve"> to do so. </w:t>
      </w:r>
      <w:r w:rsidR="00CE304E" w:rsidRPr="00522B6D">
        <w:rPr>
          <w:rFonts w:eastAsiaTheme="minorEastAsia"/>
        </w:rPr>
        <w:t xml:space="preserve"> </w:t>
      </w:r>
      <w:r w:rsidR="00C24875" w:rsidRPr="00522B6D">
        <w:rPr>
          <w:rFonts w:eastAsiaTheme="minorEastAsia"/>
        </w:rPr>
        <w:t>(</w:t>
      </w:r>
      <w:bookmarkStart w:id="67" w:name="dabmci_dc4914a12ded4013937208dd71612564"/>
      <w:r w:rsidR="00E22985" w:rsidRPr="00522B6D">
        <w:rPr>
          <w:rFonts w:eastAsiaTheme="minorEastAsia"/>
          <w:i/>
          <w:iCs/>
        </w:rPr>
        <w:t>Stamps,</w:t>
      </w:r>
      <w:r w:rsidR="00E22985" w:rsidRPr="00522B6D">
        <w:rPr>
          <w:rFonts w:eastAsiaTheme="minorEastAsia"/>
        </w:rPr>
        <w:t xml:space="preserve"> at p. 701</w:t>
      </w:r>
      <w:bookmarkEnd w:id="67"/>
      <w:r w:rsidR="00C24875" w:rsidRPr="00522B6D">
        <w:rPr>
          <w:rFonts w:eastAsiaTheme="minorEastAsia"/>
        </w:rPr>
        <w:t xml:space="preserve">.) </w:t>
      </w:r>
      <w:r w:rsidR="00CE304E" w:rsidRPr="00522B6D">
        <w:rPr>
          <w:rFonts w:eastAsiaTheme="minorEastAsia"/>
        </w:rPr>
        <w:t xml:space="preserve"> </w:t>
      </w:r>
      <w:r w:rsidR="00C24875" w:rsidRPr="00522B6D">
        <w:rPr>
          <w:rFonts w:eastAsiaTheme="minorEastAsia"/>
        </w:rPr>
        <w:t>And</w:t>
      </w:r>
      <w:r w:rsidR="00FD73D5">
        <w:rPr>
          <w:rFonts w:eastAsiaTheme="minorEastAsia"/>
        </w:rPr>
        <w:t xml:space="preserve"> the court stated,</w:t>
      </w:r>
      <w:r w:rsidR="004413F0" w:rsidRPr="00522B6D">
        <w:rPr>
          <w:rFonts w:eastAsiaTheme="minorEastAsia"/>
        </w:rPr>
        <w:t xml:space="preserve"> “in order to receive the remedy he </w:t>
      </w:r>
      <w:r w:rsidR="00E22985" w:rsidRPr="00522B6D">
        <w:rPr>
          <w:rFonts w:eastAsiaTheme="minorEastAsia"/>
        </w:rPr>
        <w:t>seeks</w:t>
      </w:r>
      <w:r w:rsidR="004413F0" w:rsidRPr="00522B6D">
        <w:rPr>
          <w:rFonts w:eastAsiaTheme="minorEastAsia"/>
        </w:rPr>
        <w:t>,”</w:t>
      </w:r>
      <w:r w:rsidR="00C24875" w:rsidRPr="00522B6D">
        <w:rPr>
          <w:rFonts w:eastAsiaTheme="minorEastAsia"/>
        </w:rPr>
        <w:t xml:space="preserve"> </w:t>
      </w:r>
      <w:bookmarkStart w:id="68" w:name="_Hlk90212658"/>
      <w:r w:rsidR="00C24875" w:rsidRPr="00522B6D">
        <w:rPr>
          <w:rFonts w:eastAsiaTheme="minorEastAsia"/>
        </w:rPr>
        <w:t xml:space="preserve">it was </w:t>
      </w:r>
      <w:bookmarkStart w:id="69" w:name="_Hlk90888020"/>
      <w:r w:rsidR="00C24875" w:rsidRPr="00522B6D">
        <w:rPr>
          <w:rFonts w:eastAsiaTheme="minorEastAsia"/>
        </w:rPr>
        <w:t xml:space="preserve">up to defendant to demonstrate this </w:t>
      </w:r>
      <w:r w:rsidR="0012327E">
        <w:rPr>
          <w:rFonts w:eastAsiaTheme="minorEastAsia"/>
        </w:rPr>
        <w:t>l</w:t>
      </w:r>
      <w:r w:rsidR="00C24875" w:rsidRPr="00522B6D">
        <w:rPr>
          <w:rFonts w:eastAsiaTheme="minorEastAsia"/>
        </w:rPr>
        <w:t>egislative intent</w:t>
      </w:r>
      <w:bookmarkEnd w:id="68"/>
      <w:r w:rsidR="00617A74" w:rsidRPr="00522B6D">
        <w:rPr>
          <w:rFonts w:eastAsiaTheme="minorEastAsia"/>
        </w:rPr>
        <w:t>.</w:t>
      </w:r>
      <w:bookmarkStart w:id="70" w:name="_Hlk90025935"/>
      <w:bookmarkEnd w:id="69"/>
      <w:r w:rsidR="00F37929" w:rsidRPr="00522B6D">
        <w:rPr>
          <w:rFonts w:eastAsiaTheme="minorEastAsia"/>
        </w:rPr>
        <w:t xml:space="preserve">  </w:t>
      </w:r>
      <w:r w:rsidR="003B7544" w:rsidRPr="00522B6D">
        <w:rPr>
          <w:rFonts w:eastAsiaTheme="minorEastAsia"/>
        </w:rPr>
        <w:t xml:space="preserve">The court stated: </w:t>
      </w:r>
      <w:r w:rsidR="00CA285C">
        <w:rPr>
          <w:rFonts w:eastAsiaTheme="minorEastAsia"/>
        </w:rPr>
        <w:t xml:space="preserve"> </w:t>
      </w:r>
      <w:r w:rsidR="00C24875" w:rsidRPr="00522B6D">
        <w:rPr>
          <w:rFonts w:eastAsiaTheme="minorEastAsia"/>
        </w:rPr>
        <w:t>“In order to justify a remand for the court to consider striking his serious felony enhancement while maintaining the remainder of his bargain</w:t>
      </w:r>
      <w:bookmarkStart w:id="71" w:name="_Hlk90074926"/>
      <w:r w:rsidR="00C24875" w:rsidRPr="00522B6D">
        <w:rPr>
          <w:rFonts w:eastAsiaTheme="minorEastAsia"/>
        </w:rPr>
        <w:t xml:space="preserve">, </w:t>
      </w:r>
      <w:bookmarkStart w:id="72" w:name="_Hlk90123505"/>
      <w:r w:rsidR="00C24875" w:rsidRPr="00522B6D">
        <w:rPr>
          <w:rFonts w:eastAsiaTheme="minorEastAsia"/>
          <w:i/>
          <w:iCs/>
        </w:rPr>
        <w:t>defendant must establish</w:t>
      </w:r>
      <w:r w:rsidR="00C24875" w:rsidRPr="00522B6D">
        <w:rPr>
          <w:rFonts w:eastAsiaTheme="minorEastAsia"/>
        </w:rPr>
        <w:t xml:space="preserve"> not only that </w:t>
      </w:r>
      <w:bookmarkStart w:id="73" w:name="dabmci_5bda8dad70e746f8841d481934700874"/>
      <w:r w:rsidR="00C24875" w:rsidRPr="00522B6D">
        <w:rPr>
          <w:rFonts w:eastAsiaTheme="minorEastAsia"/>
        </w:rPr>
        <w:t>Senate Bill 1393</w:t>
      </w:r>
      <w:bookmarkEnd w:id="73"/>
      <w:r w:rsidR="00C24875" w:rsidRPr="00522B6D">
        <w:rPr>
          <w:rFonts w:eastAsiaTheme="minorEastAsia"/>
        </w:rPr>
        <w:t xml:space="preserve"> applies retroactively, but that, in enacting that provision, </w:t>
      </w:r>
      <w:r w:rsidR="00C24875" w:rsidRPr="00522B6D">
        <w:rPr>
          <w:rFonts w:eastAsiaTheme="minorEastAsia"/>
          <w:i/>
          <w:iCs/>
        </w:rPr>
        <w:t>the Legislature</w:t>
      </w:r>
      <w:r w:rsidR="00C24875" w:rsidRPr="00522B6D">
        <w:rPr>
          <w:rFonts w:eastAsiaTheme="minorEastAsia"/>
        </w:rPr>
        <w:t xml:space="preserve"> </w:t>
      </w:r>
      <w:r w:rsidR="00C24875" w:rsidRPr="00522B6D">
        <w:rPr>
          <w:rFonts w:eastAsiaTheme="minorEastAsia"/>
          <w:i/>
          <w:iCs/>
        </w:rPr>
        <w:t>intended to overturn long-standing law that a court cannot unilaterally modify an agreed-upon term by striking portions of it under section 1385</w:t>
      </w:r>
      <w:r w:rsidR="00C24875" w:rsidRPr="00522B6D">
        <w:rPr>
          <w:rFonts w:eastAsiaTheme="minorEastAsia"/>
        </w:rPr>
        <w:t xml:space="preserve">.”  </w:t>
      </w:r>
      <w:bookmarkEnd w:id="72"/>
      <w:r w:rsidR="00C24875" w:rsidRPr="00522B6D">
        <w:rPr>
          <w:rFonts w:eastAsiaTheme="minorEastAsia"/>
        </w:rPr>
        <w:t>(</w:t>
      </w:r>
      <w:bookmarkStart w:id="74" w:name="dabmci_293c4a92a3cb411395c9daa5f23e2d24"/>
      <w:r w:rsidR="00C24875" w:rsidRPr="00522B6D">
        <w:rPr>
          <w:rFonts w:eastAsiaTheme="minorEastAsia"/>
          <w:i/>
          <w:iCs/>
        </w:rPr>
        <w:t>Ibid</w:t>
      </w:r>
      <w:r w:rsidR="00C24875" w:rsidRPr="00522B6D">
        <w:rPr>
          <w:rFonts w:eastAsiaTheme="minorEastAsia"/>
        </w:rPr>
        <w:t>.</w:t>
      </w:r>
      <w:r w:rsidR="00C24875" w:rsidRPr="009F07ED">
        <w:rPr>
          <w:rFonts w:eastAsiaTheme="minorEastAsia"/>
          <w:i/>
        </w:rPr>
        <w:t>,</w:t>
      </w:r>
      <w:bookmarkEnd w:id="74"/>
      <w:r w:rsidR="00C24875" w:rsidRPr="00522B6D">
        <w:rPr>
          <w:rFonts w:eastAsiaTheme="minorEastAsia"/>
        </w:rPr>
        <w:t xml:space="preserve"> italics added.) </w:t>
      </w:r>
      <w:bookmarkEnd w:id="70"/>
      <w:bookmarkEnd w:id="71"/>
      <w:r w:rsidR="00990D68" w:rsidRPr="00522B6D">
        <w:rPr>
          <w:rFonts w:eastAsiaTheme="minorEastAsia"/>
        </w:rPr>
        <w:t xml:space="preserve"> </w:t>
      </w:r>
      <w:r w:rsidR="00C24875" w:rsidRPr="00522B6D">
        <w:rPr>
          <w:rFonts w:eastAsiaTheme="minorEastAsia"/>
        </w:rPr>
        <w:t xml:space="preserve">The </w:t>
      </w:r>
      <w:r w:rsidR="00C24875" w:rsidRPr="00522B6D">
        <w:rPr>
          <w:rFonts w:eastAsiaTheme="minorEastAsia"/>
          <w:i/>
          <w:iCs/>
        </w:rPr>
        <w:t>Stamps</w:t>
      </w:r>
      <w:r w:rsidR="00C24875" w:rsidRPr="00522B6D">
        <w:rPr>
          <w:rFonts w:eastAsiaTheme="minorEastAsia"/>
        </w:rPr>
        <w:t xml:space="preserve"> court concluded the Legislature had not intended that result.  (</w:t>
      </w:r>
      <w:bookmarkStart w:id="75" w:name="dabmci_4454a0f397d9482a9aa9e78408d30170"/>
      <w:r w:rsidR="00C24875" w:rsidRPr="00522B6D">
        <w:rPr>
          <w:rFonts w:eastAsiaTheme="minorEastAsia"/>
          <w:i/>
          <w:iCs/>
        </w:rPr>
        <w:t>Ibid</w:t>
      </w:r>
      <w:r w:rsidR="00C24875" w:rsidRPr="00522B6D">
        <w:rPr>
          <w:rFonts w:eastAsiaTheme="minorEastAsia"/>
        </w:rPr>
        <w:t>.</w:t>
      </w:r>
      <w:bookmarkEnd w:id="75"/>
      <w:r w:rsidR="00C24875" w:rsidRPr="00522B6D">
        <w:rPr>
          <w:rFonts w:eastAsiaTheme="minorEastAsia"/>
        </w:rPr>
        <w:t xml:space="preserve">) </w:t>
      </w:r>
    </w:p>
    <w:p w14:paraId="20FE3225" w14:textId="698579EA" w:rsidR="00A060C2" w:rsidRPr="00522B6D" w:rsidRDefault="001D5D5D" w:rsidP="00AA11C3">
      <w:pPr>
        <w:rPr>
          <w:rFonts w:eastAsiaTheme="minorEastAsia"/>
        </w:rPr>
      </w:pPr>
      <w:r w:rsidRPr="00522B6D">
        <w:rPr>
          <w:rFonts w:eastAsiaTheme="minorEastAsia"/>
        </w:rPr>
        <w:lastRenderedPageBreak/>
        <w:tab/>
      </w:r>
      <w:r w:rsidR="00D37C56" w:rsidRPr="00522B6D">
        <w:rPr>
          <w:rFonts w:eastAsiaTheme="minorEastAsia"/>
        </w:rPr>
        <w:t xml:space="preserve">In </w:t>
      </w:r>
      <w:r w:rsidR="00F37831" w:rsidRPr="00522B6D">
        <w:rPr>
          <w:rFonts w:eastAsiaTheme="minorEastAsia"/>
        </w:rPr>
        <w:t xml:space="preserve">so </w:t>
      </w:r>
      <w:r w:rsidR="00D37C56" w:rsidRPr="00522B6D">
        <w:rPr>
          <w:rFonts w:eastAsiaTheme="minorEastAsia"/>
        </w:rPr>
        <w:t>conclu</w:t>
      </w:r>
      <w:r w:rsidR="00F37831" w:rsidRPr="00522B6D">
        <w:rPr>
          <w:rFonts w:eastAsiaTheme="minorEastAsia"/>
        </w:rPr>
        <w:t>ding</w:t>
      </w:r>
      <w:r w:rsidR="00D37C56" w:rsidRPr="00522B6D">
        <w:rPr>
          <w:rFonts w:eastAsiaTheme="minorEastAsia"/>
        </w:rPr>
        <w:t>, the</w:t>
      </w:r>
      <w:r w:rsidRPr="00522B6D">
        <w:rPr>
          <w:rFonts w:eastAsiaTheme="minorEastAsia"/>
        </w:rPr>
        <w:t xml:space="preserve"> </w:t>
      </w:r>
      <w:r w:rsidRPr="00522B6D">
        <w:rPr>
          <w:rFonts w:eastAsiaTheme="minorEastAsia"/>
          <w:i/>
          <w:iCs/>
        </w:rPr>
        <w:t>Stamps</w:t>
      </w:r>
      <w:r w:rsidRPr="00522B6D">
        <w:rPr>
          <w:rFonts w:eastAsiaTheme="minorEastAsia"/>
        </w:rPr>
        <w:t xml:space="preserve"> </w:t>
      </w:r>
      <w:r w:rsidR="00D37C56" w:rsidRPr="00522B6D">
        <w:rPr>
          <w:rFonts w:eastAsiaTheme="minorEastAsia"/>
        </w:rPr>
        <w:t xml:space="preserve">court </w:t>
      </w:r>
      <w:r w:rsidR="00AF1CD2" w:rsidRPr="00522B6D">
        <w:rPr>
          <w:rFonts w:eastAsiaTheme="minorEastAsia"/>
        </w:rPr>
        <w:t xml:space="preserve">distinguished </w:t>
      </w:r>
      <w:bookmarkStart w:id="76" w:name="dabmci_54a2a362cddb4e6b8bc496ddba0667e2"/>
      <w:r w:rsidR="00D37C56" w:rsidRPr="00522B6D">
        <w:rPr>
          <w:rFonts w:eastAsiaTheme="minorEastAsia"/>
          <w:i/>
          <w:iCs/>
        </w:rPr>
        <w:t>Harris v. Superior Court</w:t>
      </w:r>
      <w:r w:rsidR="00D37C56" w:rsidRPr="00522B6D">
        <w:rPr>
          <w:rFonts w:eastAsiaTheme="minorEastAsia"/>
        </w:rPr>
        <w:t xml:space="preserve"> (2016) 1 Cal.5th 984</w:t>
      </w:r>
      <w:bookmarkEnd w:id="76"/>
      <w:r w:rsidR="00A146F6" w:rsidRPr="00522B6D">
        <w:rPr>
          <w:rFonts w:eastAsiaTheme="minorEastAsia"/>
        </w:rPr>
        <w:t>,</w:t>
      </w:r>
      <w:r w:rsidRPr="00522B6D">
        <w:rPr>
          <w:rFonts w:eastAsiaTheme="minorEastAsia"/>
        </w:rPr>
        <w:t xml:space="preserve"> </w:t>
      </w:r>
      <w:r w:rsidR="00AF1CD2" w:rsidRPr="00522B6D">
        <w:rPr>
          <w:rFonts w:eastAsiaTheme="minorEastAsia"/>
        </w:rPr>
        <w:t xml:space="preserve">which found the electorate intended </w:t>
      </w:r>
      <w:r w:rsidR="00355A22" w:rsidRPr="00522B6D">
        <w:rPr>
          <w:rFonts w:eastAsiaTheme="minorEastAsia"/>
        </w:rPr>
        <w:t xml:space="preserve">to apply </w:t>
      </w:r>
      <w:r w:rsidR="00AF1CD2" w:rsidRPr="00522B6D">
        <w:rPr>
          <w:rFonts w:eastAsiaTheme="minorEastAsia"/>
        </w:rPr>
        <w:t>the ameliorative benefit of Proposition 47 to parties to a plea agreement.  (</w:t>
      </w:r>
      <w:bookmarkStart w:id="77" w:name="dabmci_601966ddadf44fbe82d8cb3f87613e83"/>
      <w:r w:rsidR="00355A22" w:rsidRPr="00522B6D">
        <w:rPr>
          <w:rFonts w:eastAsiaTheme="minorEastAsia"/>
          <w:i/>
          <w:iCs/>
        </w:rPr>
        <w:t>Stamps</w:t>
      </w:r>
      <w:r w:rsidR="00355A22" w:rsidRPr="009F07ED">
        <w:rPr>
          <w:rFonts w:eastAsiaTheme="minorEastAsia"/>
          <w:i/>
        </w:rPr>
        <w:t>,</w:t>
      </w:r>
      <w:r w:rsidR="00355A22" w:rsidRPr="00522B6D">
        <w:rPr>
          <w:rFonts w:eastAsiaTheme="minorEastAsia"/>
        </w:rPr>
        <w:t xml:space="preserve"> </w:t>
      </w:r>
      <w:r w:rsidR="00355A22" w:rsidRPr="00522B6D">
        <w:rPr>
          <w:rFonts w:eastAsiaTheme="minorEastAsia"/>
          <w:i/>
          <w:iCs/>
        </w:rPr>
        <w:t>supra</w:t>
      </w:r>
      <w:r w:rsidR="00355A22" w:rsidRPr="00522B6D">
        <w:rPr>
          <w:rFonts w:eastAsiaTheme="minorEastAsia"/>
        </w:rPr>
        <w:t xml:space="preserve">, 9 Cal.5th at pp. </w:t>
      </w:r>
      <w:r w:rsidR="00AF1CD2" w:rsidRPr="00522B6D">
        <w:rPr>
          <w:rFonts w:eastAsiaTheme="minorEastAsia"/>
        </w:rPr>
        <w:t>702-703</w:t>
      </w:r>
      <w:bookmarkEnd w:id="77"/>
      <w:r w:rsidR="00355A22" w:rsidRPr="00522B6D">
        <w:rPr>
          <w:rFonts w:eastAsiaTheme="minorEastAsia"/>
        </w:rPr>
        <w:t>.</w:t>
      </w:r>
      <w:r w:rsidR="00AF1CD2" w:rsidRPr="00522B6D">
        <w:rPr>
          <w:rFonts w:eastAsiaTheme="minorEastAsia"/>
        </w:rPr>
        <w:t xml:space="preserve">)  </w:t>
      </w:r>
      <w:r w:rsidR="007075DB" w:rsidRPr="00522B6D">
        <w:rPr>
          <w:rFonts w:eastAsiaTheme="minorEastAsia"/>
        </w:rPr>
        <w:t>T</w:t>
      </w:r>
      <w:r w:rsidR="00BF5E64" w:rsidRPr="00522B6D">
        <w:rPr>
          <w:rFonts w:eastAsiaTheme="minorEastAsia"/>
        </w:rPr>
        <w:t xml:space="preserve">he </w:t>
      </w:r>
      <w:r w:rsidR="00BF5E64" w:rsidRPr="00522B6D">
        <w:rPr>
          <w:rFonts w:eastAsiaTheme="minorEastAsia"/>
          <w:i/>
          <w:iCs/>
        </w:rPr>
        <w:t>Stamps</w:t>
      </w:r>
      <w:r w:rsidR="00BF5E64" w:rsidRPr="00522B6D">
        <w:rPr>
          <w:rFonts w:eastAsiaTheme="minorEastAsia"/>
        </w:rPr>
        <w:t xml:space="preserve"> court </w:t>
      </w:r>
      <w:r w:rsidR="007075DB" w:rsidRPr="00522B6D">
        <w:rPr>
          <w:rFonts w:eastAsiaTheme="minorEastAsia"/>
        </w:rPr>
        <w:t xml:space="preserve">explained that </w:t>
      </w:r>
      <w:r w:rsidR="00D53D2C" w:rsidRPr="00522B6D">
        <w:rPr>
          <w:color w:val="000000"/>
        </w:rPr>
        <w:t>Proposition 47</w:t>
      </w:r>
      <w:r w:rsidR="00355A22" w:rsidRPr="00522B6D">
        <w:rPr>
          <w:color w:val="000000"/>
        </w:rPr>
        <w:t>,</w:t>
      </w:r>
      <w:r w:rsidR="007075DB" w:rsidRPr="00522B6D">
        <w:rPr>
          <w:color w:val="000000"/>
        </w:rPr>
        <w:t xml:space="preserve"> “</w:t>
      </w:r>
      <w:r w:rsidR="00D53D2C" w:rsidRPr="00522B6D">
        <w:rPr>
          <w:color w:val="000000"/>
        </w:rPr>
        <w:t xml:space="preserve">specifically applied to a person </w:t>
      </w:r>
      <w:r w:rsidR="00C11F45" w:rsidRPr="00522B6D">
        <w:rPr>
          <w:color w:val="000000"/>
        </w:rPr>
        <w:t>‘</w:t>
      </w:r>
      <w:r w:rsidR="00D53D2C" w:rsidRPr="00522B6D">
        <w:rPr>
          <w:color w:val="000000"/>
        </w:rPr>
        <w:t xml:space="preserve">serving a sentence for a conviction, </w:t>
      </w:r>
      <w:r w:rsidR="00D53D2C" w:rsidRPr="00522B6D">
        <w:rPr>
          <w:i/>
          <w:iCs/>
          <w:color w:val="000000"/>
        </w:rPr>
        <w:t>whether by trial or plea</w:t>
      </w:r>
      <w:r w:rsidR="00D53D2C" w:rsidRPr="00522B6D">
        <w:rPr>
          <w:color w:val="000000"/>
        </w:rPr>
        <w:t>,</w:t>
      </w:r>
      <w:r w:rsidR="0089221C" w:rsidRPr="00522B6D">
        <w:rPr>
          <w:color w:val="000000"/>
        </w:rPr>
        <w:t xml:space="preserve">’ </w:t>
      </w:r>
      <w:r w:rsidR="007075DB" w:rsidRPr="00522B6D">
        <w:rPr>
          <w:color w:val="000000"/>
        </w:rPr>
        <w:t xml:space="preserve">” and </w:t>
      </w:r>
      <w:r w:rsidR="00D53D2C" w:rsidRPr="00522B6D">
        <w:rPr>
          <w:color w:val="000000"/>
        </w:rPr>
        <w:t>“</w:t>
      </w:r>
      <w:r w:rsidR="00C11F45" w:rsidRPr="00522B6D">
        <w:rPr>
          <w:color w:val="000000"/>
        </w:rPr>
        <w:t xml:space="preserve"> ‘</w:t>
      </w:r>
      <w:r w:rsidR="00D53D2C" w:rsidRPr="00522B6D">
        <w:rPr>
          <w:color w:val="000000"/>
        </w:rPr>
        <w:t>[b]y expressly mentioning convictions by plea, Proposition 47 contemplated relief to all eligible defendants.</w:t>
      </w:r>
      <w:r w:rsidR="00C11F45" w:rsidRPr="00522B6D">
        <w:rPr>
          <w:color w:val="000000"/>
        </w:rPr>
        <w:t>’</w:t>
      </w:r>
      <w:r w:rsidR="0089221C" w:rsidRPr="00522B6D">
        <w:rPr>
          <w:color w:val="000000"/>
        </w:rPr>
        <w:t> ”</w:t>
      </w:r>
      <w:r w:rsidR="00C11F45" w:rsidRPr="00522B6D">
        <w:rPr>
          <w:color w:val="000000"/>
        </w:rPr>
        <w:t xml:space="preserve"> </w:t>
      </w:r>
      <w:r w:rsidR="00990D68" w:rsidRPr="00522B6D">
        <w:rPr>
          <w:color w:val="000000"/>
        </w:rPr>
        <w:t xml:space="preserve"> </w:t>
      </w:r>
      <w:r w:rsidR="00C11F45" w:rsidRPr="00522B6D">
        <w:rPr>
          <w:color w:val="000000"/>
        </w:rPr>
        <w:t>(</w:t>
      </w:r>
      <w:bookmarkStart w:id="78" w:name="dabmci_43d95d13e9844408871cb2967fa1d4a7"/>
      <w:r w:rsidR="0089221C" w:rsidRPr="00522B6D">
        <w:rPr>
          <w:i/>
          <w:iCs/>
          <w:color w:val="000000"/>
        </w:rPr>
        <w:t xml:space="preserve">Stamps, </w:t>
      </w:r>
      <w:r w:rsidR="0089221C" w:rsidRPr="00522B6D">
        <w:rPr>
          <w:color w:val="000000"/>
        </w:rPr>
        <w:t>at pp. 702-703</w:t>
      </w:r>
      <w:bookmarkEnd w:id="78"/>
      <w:r w:rsidR="00CA285C">
        <w:rPr>
          <w:color w:val="000000"/>
        </w:rPr>
        <w:t>,</w:t>
      </w:r>
      <w:r w:rsidR="00CA285C" w:rsidRPr="00522B6D">
        <w:rPr>
          <w:color w:val="000000"/>
        </w:rPr>
        <w:t xml:space="preserve"> italics added</w:t>
      </w:r>
      <w:r w:rsidR="00CA285C">
        <w:rPr>
          <w:color w:val="000000"/>
        </w:rPr>
        <w:t>,</w:t>
      </w:r>
      <w:r w:rsidR="00C11F45" w:rsidRPr="00522B6D">
        <w:rPr>
          <w:color w:val="000000"/>
        </w:rPr>
        <w:t xml:space="preserve"> quoting </w:t>
      </w:r>
      <w:bookmarkStart w:id="79" w:name="dabmci_a0d0aa5a06564b06b4db95fbcab08bd1"/>
      <w:r w:rsidR="00C11F45" w:rsidRPr="00522B6D">
        <w:rPr>
          <w:i/>
          <w:iCs/>
          <w:color w:val="000000"/>
        </w:rPr>
        <w:t>Harris</w:t>
      </w:r>
      <w:r w:rsidR="00C11F45" w:rsidRPr="009F07ED">
        <w:rPr>
          <w:i/>
          <w:color w:val="000000"/>
        </w:rPr>
        <w:t xml:space="preserve">, </w:t>
      </w:r>
      <w:r w:rsidR="00C11F45" w:rsidRPr="00522B6D">
        <w:rPr>
          <w:color w:val="000000"/>
        </w:rPr>
        <w:t>at p. 991</w:t>
      </w:r>
      <w:bookmarkEnd w:id="79"/>
      <w:r w:rsidR="00C11F45" w:rsidRPr="00522B6D">
        <w:rPr>
          <w:color w:val="000000"/>
        </w:rPr>
        <w:t xml:space="preserve">.)  </w:t>
      </w:r>
      <w:r w:rsidR="00355A22" w:rsidRPr="00522B6D">
        <w:rPr>
          <w:color w:val="000000"/>
        </w:rPr>
        <w:t xml:space="preserve">By </w:t>
      </w:r>
      <w:r w:rsidR="00A146F6" w:rsidRPr="00522B6D">
        <w:rPr>
          <w:rFonts w:eastAsiaTheme="minorEastAsia"/>
        </w:rPr>
        <w:t>contrast</w:t>
      </w:r>
      <w:r w:rsidR="00355A22" w:rsidRPr="00522B6D">
        <w:rPr>
          <w:rFonts w:eastAsiaTheme="minorEastAsia"/>
        </w:rPr>
        <w:t xml:space="preserve">, </w:t>
      </w:r>
      <w:r w:rsidR="007060E9" w:rsidRPr="00522B6D">
        <w:rPr>
          <w:rFonts w:eastAsiaTheme="minorEastAsia"/>
        </w:rPr>
        <w:t>“</w:t>
      </w:r>
      <w:r w:rsidR="00D820F6" w:rsidRPr="00522B6D">
        <w:rPr>
          <w:rFonts w:eastAsiaTheme="minorEastAsia"/>
        </w:rPr>
        <w:t>[n]</w:t>
      </w:r>
      <w:r w:rsidR="007060E9" w:rsidRPr="00522B6D">
        <w:rPr>
          <w:rFonts w:eastAsiaTheme="minorEastAsia"/>
        </w:rPr>
        <w:t xml:space="preserve">othing in the language and legislative history of </w:t>
      </w:r>
      <w:bookmarkStart w:id="80" w:name="dabmci_4d6176bc91374fee9f01ac40c1a2e414"/>
      <w:r w:rsidR="0089221C" w:rsidRPr="00522B6D">
        <w:rPr>
          <w:rFonts w:eastAsiaTheme="minorEastAsia"/>
        </w:rPr>
        <w:t xml:space="preserve">Senate Bill </w:t>
      </w:r>
      <w:r w:rsidR="007060E9" w:rsidRPr="00522B6D">
        <w:rPr>
          <w:rFonts w:eastAsiaTheme="minorEastAsia"/>
        </w:rPr>
        <w:t>1393</w:t>
      </w:r>
      <w:bookmarkEnd w:id="80"/>
      <w:r w:rsidR="007060E9" w:rsidRPr="00522B6D">
        <w:rPr>
          <w:rFonts w:eastAsiaTheme="minorEastAsia"/>
        </w:rPr>
        <w:t xml:space="preserve"> suggests an intent to modify section 1192.5’s mandate that ‘the court may not proceed as to the plea other than as specified in the plea’ without the consent of the parties. . . . </w:t>
      </w:r>
      <w:r w:rsidR="0089221C" w:rsidRPr="00522B6D">
        <w:rPr>
          <w:rFonts w:eastAsiaTheme="minorEastAsia"/>
        </w:rPr>
        <w:t xml:space="preserve"> </w:t>
      </w:r>
      <w:r w:rsidR="007060E9" w:rsidRPr="00522B6D">
        <w:rPr>
          <w:rFonts w:eastAsiaTheme="minorEastAsia"/>
        </w:rPr>
        <w:t xml:space="preserve">That </w:t>
      </w:r>
      <w:bookmarkStart w:id="81" w:name="dabmci_907dbeee04d146708293196cc88522f5"/>
      <w:r w:rsidR="0089221C" w:rsidRPr="00522B6D">
        <w:rPr>
          <w:rFonts w:eastAsiaTheme="minorEastAsia"/>
        </w:rPr>
        <w:t>Senate Bill</w:t>
      </w:r>
      <w:r w:rsidR="007060E9" w:rsidRPr="00522B6D">
        <w:rPr>
          <w:rFonts w:eastAsiaTheme="minorEastAsia"/>
        </w:rPr>
        <w:t xml:space="preserve"> 1393</w:t>
      </w:r>
      <w:bookmarkEnd w:id="81"/>
      <w:r w:rsidR="007060E9" w:rsidRPr="00522B6D">
        <w:rPr>
          <w:rFonts w:eastAsiaTheme="minorEastAsia"/>
        </w:rPr>
        <w:t xml:space="preserve"> is silent regarding pleas and provides no express mechanism for relief undercuts any suggestion that the Legislature intended to create special rules for plea cases involving serious felony enhancements.”  (</w:t>
      </w:r>
      <w:bookmarkStart w:id="82" w:name="dabmci_28394dce22494c5b8fcaaaa7f7dd8e46"/>
      <w:r w:rsidR="0089221C" w:rsidRPr="00522B6D">
        <w:rPr>
          <w:i/>
          <w:iCs/>
          <w:color w:val="000000"/>
        </w:rPr>
        <w:t xml:space="preserve">Stamps, </w:t>
      </w:r>
      <w:r w:rsidR="0089221C" w:rsidRPr="00522B6D">
        <w:rPr>
          <w:color w:val="000000"/>
        </w:rPr>
        <w:t>at p. 704</w:t>
      </w:r>
      <w:bookmarkEnd w:id="82"/>
      <w:r w:rsidR="007060E9" w:rsidRPr="00522B6D">
        <w:rPr>
          <w:rFonts w:eastAsiaTheme="minorEastAsia"/>
        </w:rPr>
        <w:t xml:space="preserve">.)  </w:t>
      </w:r>
      <w:r w:rsidR="0009205F" w:rsidRPr="00522B6D">
        <w:rPr>
          <w:rFonts w:eastAsiaTheme="minorEastAsia"/>
        </w:rPr>
        <w:t>Accordingly</w:t>
      </w:r>
      <w:r w:rsidR="007F13B5" w:rsidRPr="00522B6D">
        <w:rPr>
          <w:rFonts w:eastAsiaTheme="minorEastAsia"/>
        </w:rPr>
        <w:t>, the</w:t>
      </w:r>
      <w:r w:rsidR="00BC64D6" w:rsidRPr="00522B6D">
        <w:rPr>
          <w:rFonts w:eastAsiaTheme="minorEastAsia"/>
        </w:rPr>
        <w:t xml:space="preserve"> </w:t>
      </w:r>
      <w:r w:rsidR="00BC64D6" w:rsidRPr="00522B6D">
        <w:rPr>
          <w:rFonts w:eastAsiaTheme="minorEastAsia"/>
          <w:i/>
          <w:iCs/>
        </w:rPr>
        <w:t>Stamps</w:t>
      </w:r>
      <w:r w:rsidR="007F13B5" w:rsidRPr="00522B6D">
        <w:rPr>
          <w:rFonts w:eastAsiaTheme="minorEastAsia"/>
        </w:rPr>
        <w:t xml:space="preserve"> court held the trial court </w:t>
      </w:r>
      <w:r w:rsidR="00E33FA3" w:rsidRPr="00522B6D">
        <w:rPr>
          <w:rFonts w:eastAsiaTheme="minorEastAsia"/>
        </w:rPr>
        <w:t xml:space="preserve">cannot simply </w:t>
      </w:r>
      <w:r w:rsidR="007F13B5" w:rsidRPr="00522B6D">
        <w:rPr>
          <w:rFonts w:eastAsiaTheme="minorEastAsia"/>
        </w:rPr>
        <w:t>dismiss the prior serious felony offense</w:t>
      </w:r>
      <w:r w:rsidR="00795B97" w:rsidRPr="00522B6D">
        <w:rPr>
          <w:rFonts w:eastAsiaTheme="minorEastAsia"/>
        </w:rPr>
        <w:t xml:space="preserve">, leaving </w:t>
      </w:r>
      <w:r w:rsidR="007F13B5" w:rsidRPr="00522B6D">
        <w:rPr>
          <w:rFonts w:eastAsiaTheme="minorEastAsia"/>
        </w:rPr>
        <w:t>the re</w:t>
      </w:r>
      <w:r w:rsidR="00795B97" w:rsidRPr="00522B6D">
        <w:rPr>
          <w:rFonts w:eastAsiaTheme="minorEastAsia"/>
        </w:rPr>
        <w:t xml:space="preserve">mainder </w:t>
      </w:r>
      <w:r w:rsidR="007F13B5" w:rsidRPr="00522B6D">
        <w:rPr>
          <w:rFonts w:eastAsiaTheme="minorEastAsia"/>
        </w:rPr>
        <w:t>of the bargain intact.  (</w:t>
      </w:r>
      <w:bookmarkStart w:id="83" w:name="dabmci_25743033d9c94925a42593515571bcd2"/>
      <w:r w:rsidR="007F13B5" w:rsidRPr="00522B6D">
        <w:rPr>
          <w:rFonts w:eastAsiaTheme="minorEastAsia"/>
          <w:i/>
          <w:iCs/>
        </w:rPr>
        <w:t>Id</w:t>
      </w:r>
      <w:r w:rsidR="007F13B5" w:rsidRPr="00522B6D">
        <w:rPr>
          <w:rFonts w:eastAsiaTheme="minorEastAsia"/>
        </w:rPr>
        <w:t>. at p. 707</w:t>
      </w:r>
      <w:bookmarkEnd w:id="83"/>
      <w:r w:rsidR="007F13B5" w:rsidRPr="00522B6D">
        <w:rPr>
          <w:rFonts w:eastAsiaTheme="minorEastAsia"/>
        </w:rPr>
        <w:t xml:space="preserve">.) </w:t>
      </w:r>
      <w:r w:rsidR="00990D68" w:rsidRPr="00522B6D">
        <w:rPr>
          <w:rFonts w:eastAsiaTheme="minorEastAsia"/>
        </w:rPr>
        <w:t xml:space="preserve"> </w:t>
      </w:r>
      <w:r w:rsidR="007F13B5" w:rsidRPr="00522B6D">
        <w:rPr>
          <w:rFonts w:eastAsiaTheme="minorEastAsia"/>
        </w:rPr>
        <w:t xml:space="preserve">Instead, </w:t>
      </w:r>
      <w:r w:rsidR="00795B97" w:rsidRPr="00522B6D">
        <w:rPr>
          <w:rFonts w:eastAsiaTheme="minorEastAsia"/>
        </w:rPr>
        <w:t xml:space="preserve">if </w:t>
      </w:r>
      <w:r w:rsidR="007F13B5" w:rsidRPr="00522B6D">
        <w:rPr>
          <w:rFonts w:eastAsiaTheme="minorEastAsia"/>
        </w:rPr>
        <w:t>the trial court indicates its intent to exercise its authority under section 1385, the prosecution must be afforded the opportunity to withdraw from the agreement.</w:t>
      </w:r>
      <w:r w:rsidR="00D01E62" w:rsidRPr="00522B6D">
        <w:rPr>
          <w:rFonts w:eastAsiaTheme="minorEastAsia"/>
        </w:rPr>
        <w:t xml:space="preserve">  </w:t>
      </w:r>
      <w:r w:rsidR="007F13B5" w:rsidRPr="00522B6D">
        <w:rPr>
          <w:rFonts w:eastAsiaTheme="minorEastAsia"/>
        </w:rPr>
        <w:t>(</w:t>
      </w:r>
      <w:bookmarkStart w:id="84" w:name="dabmci_a123943074dd4a0f9ec00894f7284234"/>
      <w:r w:rsidR="0089221C" w:rsidRPr="00522B6D">
        <w:rPr>
          <w:i/>
          <w:iCs/>
          <w:color w:val="000000"/>
        </w:rPr>
        <w:t xml:space="preserve">Stamps, </w:t>
      </w:r>
      <w:r w:rsidR="0089221C" w:rsidRPr="00522B6D">
        <w:rPr>
          <w:color w:val="000000"/>
        </w:rPr>
        <w:t>at p. 707</w:t>
      </w:r>
      <w:bookmarkEnd w:id="84"/>
      <w:r w:rsidR="007F13B5" w:rsidRPr="00522B6D">
        <w:rPr>
          <w:rFonts w:eastAsiaTheme="minorEastAsia"/>
        </w:rPr>
        <w:t>.)</w:t>
      </w:r>
    </w:p>
    <w:p w14:paraId="16C6EE72" w14:textId="24422E42" w:rsidR="008A6B59" w:rsidRPr="00522B6D" w:rsidRDefault="001D5D5D" w:rsidP="008A4FA5">
      <w:pPr>
        <w:keepNext/>
        <w:jc w:val="center"/>
        <w:rPr>
          <w:rFonts w:eastAsiaTheme="minorEastAsia"/>
          <w:b/>
          <w:bCs/>
        </w:rPr>
      </w:pPr>
      <w:r w:rsidRPr="00522B6D">
        <w:rPr>
          <w:rFonts w:eastAsiaTheme="minorEastAsia"/>
          <w:b/>
          <w:bCs/>
        </w:rPr>
        <w:t xml:space="preserve">B. </w:t>
      </w:r>
      <w:r w:rsidR="008A4FA5" w:rsidRPr="00522B6D">
        <w:rPr>
          <w:rFonts w:eastAsiaTheme="minorEastAsia"/>
          <w:b/>
          <w:bCs/>
        </w:rPr>
        <w:t xml:space="preserve"> </w:t>
      </w:r>
      <w:r w:rsidR="008702D4" w:rsidRPr="00522B6D">
        <w:rPr>
          <w:rFonts w:eastAsiaTheme="minorEastAsia"/>
          <w:b/>
          <w:bCs/>
        </w:rPr>
        <w:t xml:space="preserve">Application of the </w:t>
      </w:r>
      <w:r w:rsidRPr="00522B6D">
        <w:rPr>
          <w:rFonts w:eastAsiaTheme="minorEastAsia"/>
          <w:b/>
          <w:bCs/>
          <w:i/>
          <w:iCs/>
        </w:rPr>
        <w:t>Stamps</w:t>
      </w:r>
      <w:r w:rsidR="007F13B5" w:rsidRPr="00522B6D">
        <w:rPr>
          <w:rFonts w:eastAsiaTheme="minorEastAsia"/>
          <w:b/>
          <w:bCs/>
        </w:rPr>
        <w:t xml:space="preserve"> </w:t>
      </w:r>
      <w:r w:rsidR="00BC0675" w:rsidRPr="00522B6D">
        <w:rPr>
          <w:rFonts w:eastAsiaTheme="minorEastAsia"/>
          <w:b/>
          <w:bCs/>
        </w:rPr>
        <w:t>Remedy</w:t>
      </w:r>
    </w:p>
    <w:p w14:paraId="10A8B3AF" w14:textId="5C144516" w:rsidR="007F13B5" w:rsidRPr="00522B6D" w:rsidRDefault="001D5D5D" w:rsidP="001E62EC">
      <w:pPr>
        <w:rPr>
          <w:rFonts w:eastAsiaTheme="minorEastAsia"/>
        </w:rPr>
      </w:pPr>
      <w:r w:rsidRPr="00522B6D">
        <w:rPr>
          <w:rFonts w:eastAsiaTheme="minorEastAsia"/>
        </w:rPr>
        <w:tab/>
      </w:r>
      <w:r w:rsidR="00767833" w:rsidRPr="00522B6D">
        <w:rPr>
          <w:rFonts w:eastAsiaTheme="minorEastAsia"/>
        </w:rPr>
        <w:t xml:space="preserve">After </w:t>
      </w:r>
      <w:bookmarkStart w:id="85" w:name="dabmci_eed1bf0a609141ad9872e83be8a9817e"/>
      <w:r w:rsidR="00BE30E7" w:rsidRPr="00522B6D">
        <w:rPr>
          <w:rFonts w:eastAsiaTheme="minorEastAsia"/>
        </w:rPr>
        <w:t>Senate Bill</w:t>
      </w:r>
      <w:r w:rsidR="00767833" w:rsidRPr="00522B6D">
        <w:rPr>
          <w:rFonts w:eastAsiaTheme="minorEastAsia"/>
        </w:rPr>
        <w:t xml:space="preserve"> 1393</w:t>
      </w:r>
      <w:bookmarkEnd w:id="85"/>
      <w:r w:rsidR="00767833" w:rsidRPr="00522B6D">
        <w:rPr>
          <w:rFonts w:eastAsiaTheme="minorEastAsia"/>
        </w:rPr>
        <w:t xml:space="preserve">, the </w:t>
      </w:r>
      <w:r w:rsidR="00A165CB" w:rsidRPr="00522B6D">
        <w:rPr>
          <w:rFonts w:eastAsiaTheme="minorEastAsia"/>
        </w:rPr>
        <w:t>Legislature enacted other ameliorative amendments</w:t>
      </w:r>
      <w:r w:rsidR="00767833" w:rsidRPr="00522B6D">
        <w:rPr>
          <w:rFonts w:eastAsiaTheme="minorEastAsia"/>
        </w:rPr>
        <w:t xml:space="preserve">:  </w:t>
      </w:r>
      <w:bookmarkStart w:id="86" w:name="dabmci_11f74dbd39834dadadef24097751735c"/>
      <w:r w:rsidR="00767833" w:rsidRPr="00522B6D">
        <w:rPr>
          <w:rFonts w:eastAsiaTheme="minorEastAsia"/>
        </w:rPr>
        <w:t>Senate Bill No.</w:t>
      </w:r>
      <w:r w:rsidR="00A165CB" w:rsidRPr="00522B6D">
        <w:rPr>
          <w:rFonts w:eastAsiaTheme="minorEastAsia"/>
        </w:rPr>
        <w:t xml:space="preserve"> </w:t>
      </w:r>
      <w:r w:rsidR="00767833" w:rsidRPr="00522B6D">
        <w:rPr>
          <w:rFonts w:eastAsiaTheme="minorEastAsia"/>
        </w:rPr>
        <w:t>180</w:t>
      </w:r>
      <w:bookmarkEnd w:id="86"/>
      <w:r w:rsidR="00430984" w:rsidRPr="00522B6D">
        <w:rPr>
          <w:rFonts w:eastAsiaTheme="minorEastAsia"/>
        </w:rPr>
        <w:t xml:space="preserve"> (</w:t>
      </w:r>
      <w:r w:rsidR="00430984" w:rsidRPr="00522B6D">
        <w:rPr>
          <w:color w:val="000000"/>
        </w:rPr>
        <w:t>2017</w:t>
      </w:r>
      <w:r w:rsidR="000208C9" w:rsidRPr="00522B6D">
        <w:rPr>
          <w:color w:val="000000"/>
        </w:rPr>
        <w:t>-</w:t>
      </w:r>
      <w:r w:rsidR="00430984" w:rsidRPr="00522B6D">
        <w:rPr>
          <w:color w:val="000000"/>
        </w:rPr>
        <w:t>2018 Reg. Sess.</w:t>
      </w:r>
      <w:r w:rsidR="00990D68" w:rsidRPr="00522B6D">
        <w:rPr>
          <w:color w:val="000000"/>
        </w:rPr>
        <w:t>)</w:t>
      </w:r>
      <w:r w:rsidR="00430984" w:rsidRPr="00522B6D">
        <w:rPr>
          <w:color w:val="000000"/>
        </w:rPr>
        <w:t xml:space="preserve"> (</w:t>
      </w:r>
      <w:bookmarkStart w:id="87" w:name="dabmci_95ab0dff9efa44d5906d5e6fa2cbabc1"/>
      <w:r w:rsidR="00BE30E7" w:rsidRPr="00522B6D">
        <w:rPr>
          <w:color w:val="000000"/>
        </w:rPr>
        <w:t>Senate Bill</w:t>
      </w:r>
      <w:r w:rsidR="00430984" w:rsidRPr="00522B6D">
        <w:rPr>
          <w:color w:val="000000"/>
        </w:rPr>
        <w:t xml:space="preserve"> 180</w:t>
      </w:r>
      <w:bookmarkEnd w:id="87"/>
      <w:r w:rsidR="00430984" w:rsidRPr="00522B6D">
        <w:rPr>
          <w:color w:val="000000"/>
        </w:rPr>
        <w:t xml:space="preserve">), </w:t>
      </w:r>
      <w:r w:rsidR="007670E2" w:rsidRPr="00522B6D">
        <w:rPr>
          <w:rFonts w:eastAsiaTheme="minorEastAsia"/>
        </w:rPr>
        <w:t>eliminating prior</w:t>
      </w:r>
      <w:r w:rsidR="00684DA6">
        <w:rPr>
          <w:rFonts w:eastAsiaTheme="minorEastAsia"/>
        </w:rPr>
        <w:t xml:space="preserve"> </w:t>
      </w:r>
      <w:r w:rsidR="007C6CEF">
        <w:rPr>
          <w:rFonts w:eastAsiaTheme="minorEastAsia"/>
        </w:rPr>
        <w:t>drug trafficking</w:t>
      </w:r>
      <w:r w:rsidR="0009205F" w:rsidRPr="00522B6D">
        <w:rPr>
          <w:rFonts w:eastAsiaTheme="minorEastAsia"/>
        </w:rPr>
        <w:t xml:space="preserve"> conviction</w:t>
      </w:r>
      <w:r w:rsidR="007670E2" w:rsidRPr="00522B6D">
        <w:rPr>
          <w:rFonts w:eastAsiaTheme="minorEastAsia"/>
        </w:rPr>
        <w:t xml:space="preserve"> enhancements</w:t>
      </w:r>
      <w:r w:rsidR="00325830" w:rsidRPr="00522B6D">
        <w:rPr>
          <w:rFonts w:eastAsiaTheme="minorEastAsia"/>
        </w:rPr>
        <w:t xml:space="preserve"> for most defendants</w:t>
      </w:r>
      <w:r w:rsidR="00354271" w:rsidRPr="00522B6D">
        <w:rPr>
          <w:rFonts w:eastAsiaTheme="minorEastAsia"/>
        </w:rPr>
        <w:t>;</w:t>
      </w:r>
      <w:r w:rsidR="00A165CB" w:rsidRPr="00522B6D">
        <w:rPr>
          <w:rFonts w:eastAsiaTheme="minorEastAsia"/>
        </w:rPr>
        <w:t xml:space="preserve"> </w:t>
      </w:r>
      <w:bookmarkStart w:id="88" w:name="dabmci_e673be1188b84381817a3ceb8aec03d0"/>
      <w:r w:rsidR="00A165CB" w:rsidRPr="00522B6D">
        <w:rPr>
          <w:rFonts w:eastAsiaTheme="minorEastAsia"/>
        </w:rPr>
        <w:t>S</w:t>
      </w:r>
      <w:r w:rsidR="00AF7EAA" w:rsidRPr="00522B6D">
        <w:rPr>
          <w:rFonts w:eastAsiaTheme="minorEastAsia"/>
        </w:rPr>
        <w:t>enate Bill No.</w:t>
      </w:r>
      <w:r w:rsidR="00A165CB" w:rsidRPr="00522B6D">
        <w:rPr>
          <w:rFonts w:eastAsiaTheme="minorEastAsia"/>
        </w:rPr>
        <w:t xml:space="preserve"> 136</w:t>
      </w:r>
      <w:bookmarkEnd w:id="88"/>
      <w:r w:rsidR="00AF7EAA" w:rsidRPr="00522B6D">
        <w:rPr>
          <w:rFonts w:eastAsiaTheme="minorEastAsia"/>
        </w:rPr>
        <w:t xml:space="preserve"> </w:t>
      </w:r>
      <w:r w:rsidR="00AF7EAA" w:rsidRPr="00522B6D">
        <w:rPr>
          <w:color w:val="000000"/>
        </w:rPr>
        <w:t>(2019</w:t>
      </w:r>
      <w:r w:rsidR="00990D68" w:rsidRPr="00522B6D">
        <w:rPr>
          <w:color w:val="000000"/>
        </w:rPr>
        <w:t>-</w:t>
      </w:r>
      <w:r w:rsidR="00AF7EAA" w:rsidRPr="00522B6D">
        <w:rPr>
          <w:color w:val="000000"/>
        </w:rPr>
        <w:t>2020 Reg. Sess.</w:t>
      </w:r>
      <w:r w:rsidR="00990D68" w:rsidRPr="00522B6D">
        <w:rPr>
          <w:color w:val="000000"/>
        </w:rPr>
        <w:t>)</w:t>
      </w:r>
      <w:r w:rsidR="00430984" w:rsidRPr="00522B6D">
        <w:rPr>
          <w:color w:val="000000"/>
        </w:rPr>
        <w:t xml:space="preserve"> (</w:t>
      </w:r>
      <w:bookmarkStart w:id="89" w:name="dabmci_dd4f6bcb342d4b22940d9cba22f8236b"/>
      <w:r w:rsidR="00BE30E7" w:rsidRPr="00522B6D">
        <w:rPr>
          <w:color w:val="000000"/>
        </w:rPr>
        <w:t>Senate Bill</w:t>
      </w:r>
      <w:r w:rsidR="00430984" w:rsidRPr="00522B6D">
        <w:rPr>
          <w:color w:val="000000"/>
        </w:rPr>
        <w:t xml:space="preserve"> 136</w:t>
      </w:r>
      <w:bookmarkEnd w:id="89"/>
      <w:r w:rsidR="00430984" w:rsidRPr="00522B6D">
        <w:rPr>
          <w:color w:val="000000"/>
        </w:rPr>
        <w:t>)</w:t>
      </w:r>
      <w:r w:rsidR="00AF7EAA" w:rsidRPr="00522B6D">
        <w:rPr>
          <w:color w:val="000000"/>
        </w:rPr>
        <w:t>,</w:t>
      </w:r>
      <w:r w:rsidR="00A165CB" w:rsidRPr="00522B6D">
        <w:rPr>
          <w:rFonts w:eastAsiaTheme="minorEastAsia"/>
        </w:rPr>
        <w:t xml:space="preserve"> eliminating prior prison commitment enhancement</w:t>
      </w:r>
      <w:r w:rsidR="00325830" w:rsidRPr="00522B6D">
        <w:rPr>
          <w:rFonts w:eastAsiaTheme="minorEastAsia"/>
        </w:rPr>
        <w:t>s for most defendants</w:t>
      </w:r>
      <w:r w:rsidR="00354271" w:rsidRPr="00522B6D">
        <w:rPr>
          <w:rFonts w:eastAsiaTheme="minorEastAsia"/>
        </w:rPr>
        <w:t>;</w:t>
      </w:r>
      <w:r w:rsidR="00A165CB" w:rsidRPr="00522B6D">
        <w:rPr>
          <w:rFonts w:eastAsiaTheme="minorEastAsia"/>
        </w:rPr>
        <w:t xml:space="preserve"> and now </w:t>
      </w:r>
      <w:bookmarkStart w:id="90" w:name="dabmci_3ab9f6e94dab4822826a06d560619dcd"/>
      <w:r w:rsidR="00BE30E7" w:rsidRPr="00522B6D">
        <w:rPr>
          <w:rFonts w:eastAsiaTheme="minorEastAsia"/>
        </w:rPr>
        <w:t>Assembly Bill</w:t>
      </w:r>
      <w:r w:rsidR="00A165CB" w:rsidRPr="00522B6D">
        <w:rPr>
          <w:rFonts w:eastAsiaTheme="minorEastAsia"/>
        </w:rPr>
        <w:t xml:space="preserve"> </w:t>
      </w:r>
      <w:r w:rsidR="007670E2" w:rsidRPr="00522B6D">
        <w:rPr>
          <w:rFonts w:eastAsiaTheme="minorEastAsia"/>
        </w:rPr>
        <w:t>1950</w:t>
      </w:r>
      <w:bookmarkEnd w:id="90"/>
      <w:r w:rsidR="007670E2" w:rsidRPr="00522B6D">
        <w:rPr>
          <w:rFonts w:eastAsiaTheme="minorEastAsia"/>
        </w:rPr>
        <w:t>, reducing the period of probation to a maximum of two years for felonies</w:t>
      </w:r>
      <w:r w:rsidR="00A165CB" w:rsidRPr="00522B6D">
        <w:rPr>
          <w:rFonts w:eastAsiaTheme="minorEastAsia"/>
        </w:rPr>
        <w:t xml:space="preserve">.  </w:t>
      </w:r>
      <w:r w:rsidR="00795B97" w:rsidRPr="00522B6D">
        <w:rPr>
          <w:rFonts w:eastAsiaTheme="minorEastAsia"/>
        </w:rPr>
        <w:t>W</w:t>
      </w:r>
      <w:r w:rsidR="00A060C2" w:rsidRPr="00522B6D">
        <w:rPr>
          <w:rFonts w:eastAsiaTheme="minorEastAsia"/>
        </w:rPr>
        <w:t xml:space="preserve">hile </w:t>
      </w:r>
      <w:r w:rsidR="00BC0675" w:rsidRPr="00522B6D">
        <w:rPr>
          <w:rFonts w:eastAsiaTheme="minorEastAsia"/>
        </w:rPr>
        <w:t xml:space="preserve">these have been held to apply </w:t>
      </w:r>
      <w:r w:rsidR="00A060C2" w:rsidRPr="00522B6D">
        <w:rPr>
          <w:rFonts w:eastAsiaTheme="minorEastAsia"/>
        </w:rPr>
        <w:t xml:space="preserve">retroactively </w:t>
      </w:r>
      <w:r w:rsidR="00A060C2" w:rsidRPr="00522B6D">
        <w:rPr>
          <w:rFonts w:eastAsiaTheme="minorEastAsia"/>
        </w:rPr>
        <w:lastRenderedPageBreak/>
        <w:t>u</w:t>
      </w:r>
      <w:r w:rsidR="00354271" w:rsidRPr="00522B6D">
        <w:rPr>
          <w:rFonts w:eastAsiaTheme="minorEastAsia"/>
        </w:rPr>
        <w:t xml:space="preserve">nder </w:t>
      </w:r>
      <w:r w:rsidR="00354271" w:rsidRPr="00522B6D">
        <w:rPr>
          <w:rFonts w:eastAsiaTheme="minorEastAsia"/>
          <w:i/>
          <w:iCs/>
        </w:rPr>
        <w:t>Estrada</w:t>
      </w:r>
      <w:r w:rsidR="00354271" w:rsidRPr="00522B6D">
        <w:rPr>
          <w:rFonts w:eastAsiaTheme="minorEastAsia"/>
        </w:rPr>
        <w:t xml:space="preserve">, </w:t>
      </w:r>
      <w:r w:rsidR="00A060C2" w:rsidRPr="00522B6D">
        <w:rPr>
          <w:rFonts w:eastAsiaTheme="minorEastAsia"/>
        </w:rPr>
        <w:t xml:space="preserve">a split of authority has emerged as to whether </w:t>
      </w:r>
      <w:r w:rsidR="00D678EB" w:rsidRPr="00522B6D">
        <w:rPr>
          <w:rFonts w:eastAsiaTheme="minorEastAsia"/>
        </w:rPr>
        <w:t xml:space="preserve">the </w:t>
      </w:r>
      <w:r w:rsidR="00D678EB" w:rsidRPr="00522B6D">
        <w:rPr>
          <w:rFonts w:eastAsiaTheme="minorEastAsia"/>
          <w:i/>
          <w:iCs/>
        </w:rPr>
        <w:t>Stamps</w:t>
      </w:r>
      <w:r w:rsidR="00D678EB" w:rsidRPr="00522B6D">
        <w:rPr>
          <w:rFonts w:eastAsiaTheme="minorEastAsia"/>
        </w:rPr>
        <w:t xml:space="preserve"> remedy</w:t>
      </w:r>
      <w:r w:rsidR="00BC0675" w:rsidRPr="00522B6D">
        <w:rPr>
          <w:rFonts w:eastAsiaTheme="minorEastAsia"/>
        </w:rPr>
        <w:t xml:space="preserve"> applies to them.</w:t>
      </w:r>
      <w:r>
        <w:rPr>
          <w:rStyle w:val="FootnoteReference"/>
          <w:rFonts w:eastAsiaTheme="minorEastAsia"/>
        </w:rPr>
        <w:footnoteReference w:id="13"/>
      </w:r>
    </w:p>
    <w:p w14:paraId="0786DA8E" w14:textId="334791DF" w:rsidR="00910D48" w:rsidRPr="00522B6D" w:rsidRDefault="001D5D5D" w:rsidP="00AA11C3">
      <w:pPr>
        <w:rPr>
          <w:rFonts w:eastAsiaTheme="minorEastAsia"/>
        </w:rPr>
      </w:pPr>
      <w:r w:rsidRPr="00522B6D">
        <w:rPr>
          <w:rFonts w:eastAsiaTheme="minorEastAsia"/>
        </w:rPr>
        <w:tab/>
      </w:r>
      <w:r w:rsidR="00B36BFC" w:rsidRPr="00CB390D">
        <w:rPr>
          <w:rFonts w:eastAsiaTheme="minorEastAsia"/>
        </w:rPr>
        <w:t xml:space="preserve">The Fifth District applied the </w:t>
      </w:r>
      <w:r w:rsidR="00B36BFC" w:rsidRPr="00CB390D">
        <w:rPr>
          <w:rFonts w:eastAsiaTheme="minorEastAsia"/>
          <w:i/>
          <w:iCs/>
        </w:rPr>
        <w:t>Stamps</w:t>
      </w:r>
      <w:r w:rsidR="00B36BFC" w:rsidRPr="00CB390D">
        <w:rPr>
          <w:rFonts w:eastAsiaTheme="minorEastAsia"/>
        </w:rPr>
        <w:t xml:space="preserve"> remedy in a pending appeal involving Senate Bill 136 in </w:t>
      </w:r>
      <w:r w:rsidR="00B36BFC" w:rsidRPr="00CB390D">
        <w:rPr>
          <w:i/>
          <w:iCs/>
        </w:rPr>
        <w:t xml:space="preserve">People v. </w:t>
      </w:r>
      <w:r w:rsidR="00B36BFC" w:rsidRPr="00CB390D">
        <w:rPr>
          <w:rFonts w:eastAsiaTheme="minorEastAsia"/>
          <w:i/>
          <w:iCs/>
        </w:rPr>
        <w:t>Hernandez</w:t>
      </w:r>
      <w:r w:rsidR="00B36BFC" w:rsidRPr="00CB390D">
        <w:t xml:space="preserve"> (2020)</w:t>
      </w:r>
      <w:r w:rsidR="00B36BFC" w:rsidRPr="00CB390D">
        <w:rPr>
          <w:rFonts w:eastAsiaTheme="minorEastAsia"/>
        </w:rPr>
        <w:t xml:space="preserve"> 55</w:t>
      </w:r>
      <w:r w:rsidR="00B36BFC" w:rsidRPr="00CB390D">
        <w:t> Cal.App.5th 942, review granted January 27, 2021, S265739 (</w:t>
      </w:r>
      <w:r w:rsidR="00B36BFC" w:rsidRPr="00CB390D">
        <w:rPr>
          <w:i/>
          <w:iCs/>
        </w:rPr>
        <w:t>Hernandez</w:t>
      </w:r>
      <w:r w:rsidR="00B36BFC" w:rsidRPr="00CB390D">
        <w:t>), and transferred back to the Court of Appeal December 22, 2021</w:t>
      </w:r>
      <w:r w:rsidR="00B36BFC" w:rsidRPr="00CB390D">
        <w:rPr>
          <w:rFonts w:eastAsiaTheme="minorEastAsia"/>
        </w:rPr>
        <w:t>.</w:t>
      </w:r>
      <w:r>
        <w:rPr>
          <w:rStyle w:val="FootnoteReference"/>
          <w:rFonts w:eastAsiaTheme="minorEastAsia"/>
        </w:rPr>
        <w:footnoteReference w:id="14"/>
      </w:r>
      <w:r w:rsidR="00B36BFC" w:rsidRPr="00CB390D">
        <w:rPr>
          <w:rFonts w:eastAsiaTheme="minorEastAsia"/>
        </w:rPr>
        <w:t xml:space="preserve">  The </w:t>
      </w:r>
      <w:r w:rsidR="00B36BFC" w:rsidRPr="00CB390D">
        <w:rPr>
          <w:rFonts w:eastAsiaTheme="minorEastAsia"/>
          <w:i/>
          <w:iCs/>
        </w:rPr>
        <w:t xml:space="preserve">Hernandez </w:t>
      </w:r>
      <w:r w:rsidR="00B36BFC" w:rsidRPr="00CB390D">
        <w:rPr>
          <w:rFonts w:eastAsiaTheme="minorEastAsia"/>
        </w:rPr>
        <w:t>court originally</w:t>
      </w:r>
      <w:r w:rsidR="00B36BFC">
        <w:t xml:space="preserve"> </w:t>
      </w:r>
      <w:r w:rsidR="00BC0675" w:rsidRPr="00522B6D">
        <w:rPr>
          <w:rFonts w:eastAsiaTheme="minorEastAsia"/>
        </w:rPr>
        <w:t xml:space="preserve">remanded the matter back to the trial court to dismiss the prior prison term enhancements, allowing the prosecution </w:t>
      </w:r>
      <w:r w:rsidR="003F142A" w:rsidRPr="00522B6D">
        <w:rPr>
          <w:rFonts w:eastAsiaTheme="minorEastAsia"/>
        </w:rPr>
        <w:t xml:space="preserve">the option </w:t>
      </w:r>
      <w:r w:rsidR="00BC0675" w:rsidRPr="00522B6D">
        <w:rPr>
          <w:rFonts w:eastAsiaTheme="minorEastAsia"/>
        </w:rPr>
        <w:t>to withdraw from the plea agreement</w:t>
      </w:r>
      <w:r w:rsidR="003F142A" w:rsidRPr="00522B6D">
        <w:rPr>
          <w:rFonts w:eastAsiaTheme="minorEastAsia"/>
        </w:rPr>
        <w:t xml:space="preserve">, and the </w:t>
      </w:r>
      <w:r w:rsidR="00BC0675" w:rsidRPr="00522B6D">
        <w:rPr>
          <w:rFonts w:eastAsiaTheme="minorEastAsia"/>
        </w:rPr>
        <w:t xml:space="preserve">trial court </w:t>
      </w:r>
      <w:r w:rsidR="003F142A" w:rsidRPr="00522B6D">
        <w:rPr>
          <w:rFonts w:eastAsiaTheme="minorEastAsia"/>
        </w:rPr>
        <w:t xml:space="preserve">the option </w:t>
      </w:r>
      <w:r w:rsidR="00BC0675" w:rsidRPr="00522B6D">
        <w:rPr>
          <w:rFonts w:eastAsiaTheme="minorEastAsia"/>
        </w:rPr>
        <w:t xml:space="preserve">to withdraw its approval </w:t>
      </w:r>
      <w:r w:rsidR="00BC0675" w:rsidRPr="009F07ED">
        <w:rPr>
          <w:rFonts w:eastAsiaTheme="minorEastAsia"/>
        </w:rPr>
        <w:t>of the agreement</w:t>
      </w:r>
      <w:r w:rsidR="003F142A" w:rsidRPr="009F07ED">
        <w:rPr>
          <w:rFonts w:eastAsiaTheme="minorEastAsia"/>
        </w:rPr>
        <w:t>.</w:t>
      </w:r>
      <w:r w:rsidR="00990D68" w:rsidRPr="009F07ED">
        <w:rPr>
          <w:rFonts w:eastAsiaTheme="minorEastAsia"/>
        </w:rPr>
        <w:t xml:space="preserve"> </w:t>
      </w:r>
      <w:r w:rsidR="006142AE" w:rsidRPr="009F07ED">
        <w:rPr>
          <w:rFonts w:eastAsiaTheme="minorEastAsia"/>
        </w:rPr>
        <w:t xml:space="preserve"> (</w:t>
      </w:r>
      <w:bookmarkStart w:id="95" w:name="dabmci_ed6026c480134d029c236bff3e190d4f"/>
      <w:r w:rsidR="006142AE" w:rsidRPr="009F07ED">
        <w:rPr>
          <w:rFonts w:eastAsiaTheme="minorEastAsia"/>
          <w:i/>
          <w:iCs/>
        </w:rPr>
        <w:t>Id</w:t>
      </w:r>
      <w:r w:rsidR="006142AE" w:rsidRPr="009F07ED">
        <w:rPr>
          <w:rFonts w:eastAsiaTheme="minorEastAsia"/>
        </w:rPr>
        <w:t>. at p</w:t>
      </w:r>
      <w:r w:rsidR="00990D68" w:rsidRPr="009F07ED">
        <w:rPr>
          <w:rFonts w:eastAsiaTheme="minorEastAsia"/>
        </w:rPr>
        <w:t>p</w:t>
      </w:r>
      <w:r w:rsidR="006142AE" w:rsidRPr="009F07ED">
        <w:rPr>
          <w:rFonts w:eastAsiaTheme="minorEastAsia"/>
        </w:rPr>
        <w:t>. 944</w:t>
      </w:r>
      <w:r w:rsidR="00BC0675" w:rsidRPr="009F07ED">
        <w:rPr>
          <w:rFonts w:eastAsiaTheme="minorEastAsia"/>
        </w:rPr>
        <w:t>, 960</w:t>
      </w:r>
      <w:bookmarkEnd w:id="95"/>
      <w:r w:rsidR="006142AE" w:rsidRPr="009F07ED">
        <w:rPr>
          <w:rFonts w:eastAsiaTheme="minorEastAsia"/>
        </w:rPr>
        <w:t>.)</w:t>
      </w:r>
      <w:r>
        <w:rPr>
          <w:rStyle w:val="FootnoteReference"/>
          <w:rFonts w:eastAsiaTheme="minorEastAsia"/>
        </w:rPr>
        <w:footnoteReference w:id="15"/>
      </w:r>
      <w:r w:rsidR="006142AE" w:rsidRPr="009F07ED">
        <w:rPr>
          <w:rFonts w:eastAsiaTheme="minorEastAsia"/>
        </w:rPr>
        <w:t xml:space="preserve">  </w:t>
      </w:r>
      <w:r w:rsidR="003F142A" w:rsidRPr="009F07ED">
        <w:rPr>
          <w:rFonts w:eastAsiaTheme="minorEastAsia"/>
        </w:rPr>
        <w:t>T</w:t>
      </w:r>
      <w:r w:rsidR="00577603" w:rsidRPr="009F07ED">
        <w:rPr>
          <w:rFonts w:eastAsiaTheme="minorEastAsia"/>
        </w:rPr>
        <w:t>he court</w:t>
      </w:r>
      <w:r w:rsidR="00C71237" w:rsidRPr="009F07ED">
        <w:rPr>
          <w:rFonts w:eastAsiaTheme="minorEastAsia"/>
        </w:rPr>
        <w:t xml:space="preserve"> observed</w:t>
      </w:r>
      <w:r w:rsidR="00577603" w:rsidRPr="009F07ED">
        <w:rPr>
          <w:rFonts w:eastAsiaTheme="minorEastAsia"/>
        </w:rPr>
        <w:t xml:space="preserve">:  “The crux of the </w:t>
      </w:r>
      <w:r w:rsidR="003F142A" w:rsidRPr="009F07ED">
        <w:rPr>
          <w:rFonts w:eastAsiaTheme="minorEastAsia"/>
        </w:rPr>
        <w:t>[</w:t>
      </w:r>
      <w:r w:rsidR="003F142A" w:rsidRPr="009F07ED">
        <w:rPr>
          <w:rFonts w:eastAsiaTheme="minorEastAsia"/>
          <w:i/>
          <w:iCs/>
        </w:rPr>
        <w:t>Stamps</w:t>
      </w:r>
      <w:r w:rsidR="003F142A" w:rsidRPr="009F07ED">
        <w:rPr>
          <w:rFonts w:eastAsiaTheme="minorEastAsia"/>
        </w:rPr>
        <w:t xml:space="preserve">] </w:t>
      </w:r>
      <w:r w:rsidR="00577603" w:rsidRPr="009F07ED">
        <w:rPr>
          <w:rFonts w:eastAsiaTheme="minorEastAsia"/>
        </w:rPr>
        <w:lastRenderedPageBreak/>
        <w:t>case was that the trial court could dismiss the enhancement while leaving the plea agreement intact only if ‘the Legislature intended to overturn long-standing law that a court cannot unilaterally modify an agreed-upon term by striking portions of it under sect</w:t>
      </w:r>
      <w:r w:rsidR="00C71237" w:rsidRPr="009F07ED">
        <w:rPr>
          <w:rFonts w:eastAsiaTheme="minorEastAsia"/>
        </w:rPr>
        <w:t>i</w:t>
      </w:r>
      <w:r w:rsidR="00577603" w:rsidRPr="009F07ED">
        <w:rPr>
          <w:rFonts w:eastAsiaTheme="minorEastAsia"/>
        </w:rPr>
        <w:t xml:space="preserve">on 1385.’ ” </w:t>
      </w:r>
      <w:r w:rsidR="00990D68" w:rsidRPr="009F07ED">
        <w:rPr>
          <w:rFonts w:eastAsiaTheme="minorEastAsia"/>
        </w:rPr>
        <w:t xml:space="preserve"> </w:t>
      </w:r>
      <w:r w:rsidR="00577603" w:rsidRPr="009F07ED">
        <w:rPr>
          <w:rFonts w:eastAsiaTheme="minorEastAsia"/>
        </w:rPr>
        <w:t>(</w:t>
      </w:r>
      <w:bookmarkStart w:id="98" w:name="dabmci_810ca902a9234d83a46af8486848911f"/>
      <w:r w:rsidR="009F07ED">
        <w:rPr>
          <w:rFonts w:eastAsiaTheme="minorEastAsia"/>
          <w:i/>
          <w:iCs/>
        </w:rPr>
        <w:t>Id.</w:t>
      </w:r>
      <w:r w:rsidR="00577603" w:rsidRPr="009F07ED">
        <w:rPr>
          <w:rFonts w:eastAsiaTheme="minorEastAsia"/>
        </w:rPr>
        <w:t xml:space="preserve"> at p. 953</w:t>
      </w:r>
      <w:bookmarkEnd w:id="98"/>
      <w:r w:rsidR="00577603" w:rsidRPr="009F07ED">
        <w:rPr>
          <w:rFonts w:eastAsiaTheme="minorEastAsia"/>
        </w:rPr>
        <w:t>.)</w:t>
      </w:r>
      <w:r w:rsidR="00430984" w:rsidRPr="009F07ED">
        <w:rPr>
          <w:rFonts w:eastAsiaTheme="minorEastAsia"/>
        </w:rPr>
        <w:t xml:space="preserve">  </w:t>
      </w:r>
      <w:r w:rsidR="007160C5" w:rsidRPr="009F07ED">
        <w:rPr>
          <w:rFonts w:eastAsiaTheme="minorEastAsia"/>
        </w:rPr>
        <w:t xml:space="preserve">The </w:t>
      </w:r>
      <w:r w:rsidR="007160C5" w:rsidRPr="009F07ED">
        <w:rPr>
          <w:rFonts w:eastAsiaTheme="minorEastAsia"/>
          <w:i/>
          <w:iCs/>
        </w:rPr>
        <w:t>Hernandez</w:t>
      </w:r>
      <w:r w:rsidR="007160C5" w:rsidRPr="009F07ED">
        <w:rPr>
          <w:rFonts w:eastAsiaTheme="minorEastAsia"/>
        </w:rPr>
        <w:t xml:space="preserve"> court rejected the defendant’s argument that </w:t>
      </w:r>
      <w:r w:rsidR="007160C5" w:rsidRPr="009F07ED">
        <w:rPr>
          <w:rFonts w:eastAsiaTheme="minorEastAsia"/>
          <w:i/>
          <w:iCs/>
        </w:rPr>
        <w:t>Stamps</w:t>
      </w:r>
      <w:r w:rsidR="007160C5" w:rsidRPr="009F07ED">
        <w:rPr>
          <w:rFonts w:eastAsiaTheme="minorEastAsia"/>
        </w:rPr>
        <w:t xml:space="preserve"> is distinguishable because th</w:t>
      </w:r>
      <w:r w:rsidR="00BC3030" w:rsidRPr="009F07ED">
        <w:rPr>
          <w:rFonts w:eastAsiaTheme="minorEastAsia"/>
        </w:rPr>
        <w:t>e</w:t>
      </w:r>
      <w:r w:rsidR="007160C5" w:rsidRPr="009F07ED">
        <w:rPr>
          <w:rFonts w:eastAsiaTheme="minorEastAsia"/>
        </w:rPr>
        <w:t xml:space="preserve"> amendment </w:t>
      </w:r>
      <w:r w:rsidR="00BC3030" w:rsidRPr="009F07ED">
        <w:rPr>
          <w:rFonts w:eastAsiaTheme="minorEastAsia"/>
        </w:rPr>
        <w:t xml:space="preserve">there </w:t>
      </w:r>
      <w:r w:rsidR="003F142A" w:rsidRPr="009F07ED">
        <w:rPr>
          <w:rFonts w:eastAsiaTheme="minorEastAsia"/>
        </w:rPr>
        <w:t xml:space="preserve">afforded the trial court </w:t>
      </w:r>
      <w:r w:rsidR="007160C5" w:rsidRPr="009F07ED">
        <w:rPr>
          <w:rFonts w:eastAsiaTheme="minorEastAsia"/>
        </w:rPr>
        <w:t xml:space="preserve">discretion to reduce the sentence whereas </w:t>
      </w:r>
      <w:r w:rsidR="003F142A" w:rsidRPr="009F07ED">
        <w:rPr>
          <w:rFonts w:eastAsiaTheme="minorEastAsia"/>
        </w:rPr>
        <w:t xml:space="preserve">under </w:t>
      </w:r>
      <w:bookmarkStart w:id="99" w:name="dabmci_686fd03e09a245348ab8b9cd9cf6e55e"/>
      <w:r w:rsidR="00BE30E7" w:rsidRPr="009F07ED">
        <w:rPr>
          <w:rFonts w:eastAsiaTheme="minorEastAsia"/>
        </w:rPr>
        <w:t>Senate Bill</w:t>
      </w:r>
      <w:r w:rsidR="007160C5" w:rsidRPr="009F07ED">
        <w:rPr>
          <w:rFonts w:eastAsiaTheme="minorEastAsia"/>
        </w:rPr>
        <w:t xml:space="preserve"> 136</w:t>
      </w:r>
      <w:bookmarkEnd w:id="99"/>
      <w:r w:rsidR="007160C5" w:rsidRPr="009F07ED">
        <w:rPr>
          <w:rFonts w:eastAsiaTheme="minorEastAsia"/>
        </w:rPr>
        <w:t xml:space="preserve"> dismissal </w:t>
      </w:r>
      <w:r w:rsidR="00BC3030" w:rsidRPr="009F07ED">
        <w:rPr>
          <w:rFonts w:eastAsiaTheme="minorEastAsia"/>
        </w:rPr>
        <w:t>i</w:t>
      </w:r>
      <w:r w:rsidR="003F142A" w:rsidRPr="009F07ED">
        <w:rPr>
          <w:rFonts w:eastAsiaTheme="minorEastAsia"/>
        </w:rPr>
        <w:t>s mandatory</w:t>
      </w:r>
      <w:r w:rsidR="007160C5" w:rsidRPr="009F07ED">
        <w:rPr>
          <w:rFonts w:eastAsiaTheme="minorEastAsia"/>
        </w:rPr>
        <w:t>.  (</w:t>
      </w:r>
      <w:bookmarkStart w:id="100" w:name="dabmci_50530c6e118c4293a0aba0917b0d1aa9"/>
      <w:r w:rsidR="00406BDB" w:rsidRPr="009F07ED">
        <w:rPr>
          <w:rFonts w:eastAsiaTheme="minorEastAsia"/>
          <w:i/>
          <w:iCs/>
        </w:rPr>
        <w:t>Hernandez,</w:t>
      </w:r>
      <w:r w:rsidR="007160C5" w:rsidRPr="009F07ED">
        <w:rPr>
          <w:rFonts w:eastAsiaTheme="minorEastAsia"/>
        </w:rPr>
        <w:t xml:space="preserve"> at pp. 947, </w:t>
      </w:r>
      <w:r w:rsidR="006142AE" w:rsidRPr="009F07ED">
        <w:rPr>
          <w:rFonts w:eastAsiaTheme="minorEastAsia"/>
        </w:rPr>
        <w:t>957</w:t>
      </w:r>
      <w:bookmarkEnd w:id="100"/>
      <w:r w:rsidR="007160C5" w:rsidRPr="009F07ED">
        <w:rPr>
          <w:rFonts w:eastAsiaTheme="minorEastAsia"/>
        </w:rPr>
        <w:t xml:space="preserve">.)  </w:t>
      </w:r>
      <w:r w:rsidR="003F142A" w:rsidRPr="009F07ED">
        <w:rPr>
          <w:rFonts w:eastAsiaTheme="minorEastAsia"/>
        </w:rPr>
        <w:t xml:space="preserve">It </w:t>
      </w:r>
      <w:r w:rsidR="007160C5" w:rsidRPr="009F07ED">
        <w:rPr>
          <w:rFonts w:eastAsiaTheme="minorEastAsia"/>
        </w:rPr>
        <w:t xml:space="preserve">reasoned:  “Such a distinction is not the dispositive issue in this case.  Instead, both </w:t>
      </w:r>
      <w:r w:rsidR="007160C5" w:rsidRPr="009F07ED">
        <w:rPr>
          <w:rFonts w:eastAsiaTheme="minorEastAsia"/>
          <w:i/>
          <w:iCs/>
        </w:rPr>
        <w:t>Stamps</w:t>
      </w:r>
      <w:r w:rsidR="007160C5" w:rsidRPr="009F07ED">
        <w:rPr>
          <w:rFonts w:eastAsiaTheme="minorEastAsia"/>
        </w:rPr>
        <w:t xml:space="preserve"> and </w:t>
      </w:r>
      <w:r w:rsidR="007160C5" w:rsidRPr="009F07ED">
        <w:rPr>
          <w:rFonts w:eastAsiaTheme="minorEastAsia"/>
          <w:i/>
          <w:iCs/>
        </w:rPr>
        <w:t>Harris</w:t>
      </w:r>
      <w:r w:rsidR="007160C5" w:rsidRPr="009F07ED">
        <w:rPr>
          <w:rFonts w:eastAsiaTheme="minorEastAsia"/>
        </w:rPr>
        <w:t xml:space="preserve"> focused on the history of the amendments to determine whether there was any intent to ‘to change well-settled law that a court lacks discretion to modify a plea agreement unless the parties agree to the modification</w:t>
      </w:r>
      <w:r w:rsidR="00406BDB" w:rsidRPr="009F07ED">
        <w:rPr>
          <w:rFonts w:eastAsiaTheme="minorEastAsia"/>
        </w:rPr>
        <w:t xml:space="preserve"> </w:t>
      </w:r>
      <w:r w:rsidR="00990D68" w:rsidRPr="009F07ED">
        <w:rPr>
          <w:rFonts w:eastAsiaTheme="minorEastAsia"/>
        </w:rPr>
        <w:t>. . . .</w:t>
      </w:r>
      <w:r w:rsidR="007160C5" w:rsidRPr="009F07ED">
        <w:rPr>
          <w:rFonts w:eastAsiaTheme="minorEastAsia"/>
        </w:rPr>
        <w:t>’</w:t>
      </w:r>
      <w:r w:rsidR="00E33FA3" w:rsidRPr="009F07ED">
        <w:rPr>
          <w:rFonts w:eastAsiaTheme="minorEastAsia"/>
        </w:rPr>
        <w:t xml:space="preserve"> ”  </w:t>
      </w:r>
      <w:r w:rsidR="007160C5" w:rsidRPr="009F07ED">
        <w:rPr>
          <w:rFonts w:eastAsiaTheme="minorEastAsia"/>
        </w:rPr>
        <w:t>(</w:t>
      </w:r>
      <w:bookmarkStart w:id="101" w:name="dabmci_ed622e6ad50d467ba632e2d21f8e287d"/>
      <w:r w:rsidR="007160C5" w:rsidRPr="009F07ED">
        <w:rPr>
          <w:rFonts w:eastAsiaTheme="minorEastAsia"/>
          <w:i/>
          <w:iCs/>
        </w:rPr>
        <w:t>Id</w:t>
      </w:r>
      <w:r w:rsidR="007160C5" w:rsidRPr="009F07ED">
        <w:rPr>
          <w:rFonts w:eastAsiaTheme="minorEastAsia"/>
        </w:rPr>
        <w:t>. at p. 957</w:t>
      </w:r>
      <w:bookmarkEnd w:id="101"/>
      <w:r w:rsidR="007160C5" w:rsidRPr="009F07ED">
        <w:rPr>
          <w:rFonts w:eastAsiaTheme="minorEastAsia"/>
        </w:rPr>
        <w:t xml:space="preserve">.)  </w:t>
      </w:r>
      <w:r w:rsidR="00BC3030" w:rsidRPr="009F07ED">
        <w:rPr>
          <w:rFonts w:eastAsiaTheme="minorEastAsia"/>
        </w:rPr>
        <w:t xml:space="preserve">The court found </w:t>
      </w:r>
      <w:r w:rsidR="00A91F00" w:rsidRPr="009F07ED">
        <w:rPr>
          <w:rFonts w:eastAsiaTheme="minorEastAsia"/>
        </w:rPr>
        <w:t xml:space="preserve">no evidence the Legislature intended to allow modification of plea agreements in </w:t>
      </w:r>
      <w:bookmarkStart w:id="102" w:name="dabmci_288fa3641cc94f17b2376f1b9b430362"/>
      <w:r w:rsidR="00BE30E7" w:rsidRPr="009F07ED">
        <w:rPr>
          <w:rFonts w:eastAsiaTheme="minorEastAsia"/>
        </w:rPr>
        <w:t>Senate Bill</w:t>
      </w:r>
      <w:r w:rsidR="00A91F00" w:rsidRPr="009F07ED">
        <w:rPr>
          <w:rFonts w:eastAsiaTheme="minorEastAsia"/>
        </w:rPr>
        <w:t xml:space="preserve"> 136</w:t>
      </w:r>
      <w:bookmarkEnd w:id="102"/>
      <w:r w:rsidR="00A91F00" w:rsidRPr="009F07ED">
        <w:rPr>
          <w:rFonts w:eastAsiaTheme="minorEastAsia"/>
        </w:rPr>
        <w:t>.  (</w:t>
      </w:r>
      <w:bookmarkStart w:id="103" w:name="dabmci_6e2a5cdc658a48d08511dfb78b0595f1"/>
      <w:r w:rsidR="00406BDB" w:rsidRPr="009F07ED">
        <w:rPr>
          <w:rFonts w:eastAsiaTheme="minorEastAsia"/>
          <w:i/>
          <w:iCs/>
        </w:rPr>
        <w:t>Hernandez,</w:t>
      </w:r>
      <w:r w:rsidR="00406BDB" w:rsidRPr="009F07ED">
        <w:rPr>
          <w:rFonts w:eastAsiaTheme="minorEastAsia"/>
          <w:i/>
        </w:rPr>
        <w:t xml:space="preserve"> </w:t>
      </w:r>
      <w:r w:rsidR="00BC3030" w:rsidRPr="009F07ED">
        <w:rPr>
          <w:rFonts w:eastAsiaTheme="minorEastAsia"/>
        </w:rPr>
        <w:t>at p.</w:t>
      </w:r>
      <w:r w:rsidR="004E06CD" w:rsidRPr="009F07ED">
        <w:rPr>
          <w:rFonts w:eastAsiaTheme="minorEastAsia"/>
        </w:rPr>
        <w:t> </w:t>
      </w:r>
      <w:r w:rsidR="00A91F00" w:rsidRPr="009F07ED">
        <w:rPr>
          <w:rFonts w:eastAsiaTheme="minorEastAsia"/>
        </w:rPr>
        <w:t>960</w:t>
      </w:r>
      <w:bookmarkEnd w:id="103"/>
      <w:r w:rsidR="00A91F00" w:rsidRPr="009F07ED">
        <w:rPr>
          <w:rFonts w:eastAsiaTheme="minorEastAsia"/>
        </w:rPr>
        <w:t>.)</w:t>
      </w:r>
    </w:p>
    <w:p w14:paraId="4A7A9EF5" w14:textId="55BD171D" w:rsidR="007160C5" w:rsidRPr="00522B6D" w:rsidRDefault="001D5D5D" w:rsidP="007160C5">
      <w:pPr>
        <w:rPr>
          <w:rFonts w:eastAsiaTheme="minorEastAsia"/>
        </w:rPr>
      </w:pPr>
      <w:r w:rsidRPr="00522B6D">
        <w:rPr>
          <w:rFonts w:eastAsiaTheme="minorEastAsia"/>
        </w:rPr>
        <w:tab/>
      </w:r>
      <w:r w:rsidR="00B039CC" w:rsidRPr="00522B6D">
        <w:rPr>
          <w:rFonts w:eastAsiaTheme="minorEastAsia"/>
        </w:rPr>
        <w:t>T</w:t>
      </w:r>
      <w:r w:rsidR="00430984" w:rsidRPr="00522B6D">
        <w:rPr>
          <w:rFonts w:eastAsiaTheme="minorEastAsia"/>
        </w:rPr>
        <w:t xml:space="preserve">he </w:t>
      </w:r>
      <w:r w:rsidR="00430984" w:rsidRPr="00522B6D">
        <w:rPr>
          <w:rFonts w:eastAsiaTheme="minorEastAsia"/>
          <w:i/>
          <w:iCs/>
        </w:rPr>
        <w:t>Hernandez</w:t>
      </w:r>
      <w:r w:rsidR="00430984" w:rsidRPr="00522B6D">
        <w:rPr>
          <w:rFonts w:eastAsiaTheme="minorEastAsia"/>
        </w:rPr>
        <w:t xml:space="preserve"> court partially relied </w:t>
      </w:r>
      <w:r w:rsidR="00BB6750" w:rsidRPr="00522B6D">
        <w:rPr>
          <w:rFonts w:eastAsiaTheme="minorEastAsia"/>
        </w:rPr>
        <w:t xml:space="preserve">upon </w:t>
      </w:r>
      <w:bookmarkStart w:id="104" w:name="dabmci_1081b60b89a6408c909a1c0b2a6f1254"/>
      <w:r w:rsidR="006502B6" w:rsidRPr="00522B6D">
        <w:rPr>
          <w:rFonts w:eastAsiaTheme="minorEastAsia"/>
          <w:i/>
          <w:iCs/>
        </w:rPr>
        <w:t>People v. Barton</w:t>
      </w:r>
      <w:r w:rsidR="006502B6" w:rsidRPr="00522B6D">
        <w:rPr>
          <w:rFonts w:eastAsiaTheme="minorEastAsia"/>
        </w:rPr>
        <w:t xml:space="preserve"> (2020) 52 Cal.App.5th 1145</w:t>
      </w:r>
      <w:r w:rsidR="000F2534" w:rsidRPr="00522B6D">
        <w:rPr>
          <w:rFonts w:eastAsiaTheme="minorEastAsia"/>
        </w:rPr>
        <w:t xml:space="preserve"> (</w:t>
      </w:r>
      <w:r w:rsidR="000F2534" w:rsidRPr="00522B6D">
        <w:rPr>
          <w:rFonts w:eastAsiaTheme="minorEastAsia"/>
          <w:i/>
          <w:iCs/>
        </w:rPr>
        <w:t>Barton</w:t>
      </w:r>
      <w:r w:rsidR="000F2534" w:rsidRPr="00522B6D">
        <w:rPr>
          <w:rFonts w:eastAsiaTheme="minorEastAsia"/>
        </w:rPr>
        <w:t>)</w:t>
      </w:r>
      <w:bookmarkEnd w:id="104"/>
      <w:r w:rsidR="00C73FA9" w:rsidRPr="00522B6D">
        <w:rPr>
          <w:rFonts w:eastAsiaTheme="minorEastAsia"/>
        </w:rPr>
        <w:t>,</w:t>
      </w:r>
      <w:r>
        <w:rPr>
          <w:rStyle w:val="FootnoteReference"/>
          <w:rFonts w:eastAsiaTheme="minorEastAsia"/>
        </w:rPr>
        <w:footnoteReference w:id="16"/>
      </w:r>
      <w:r w:rsidR="00C73FA9" w:rsidRPr="00522B6D">
        <w:rPr>
          <w:rFonts w:eastAsiaTheme="minorEastAsia"/>
        </w:rPr>
        <w:t xml:space="preserve"> which addressed retroactive application of </w:t>
      </w:r>
      <w:bookmarkStart w:id="107" w:name="dabmci_887c51e1759c44dc9f2dd013407871d5"/>
      <w:r w:rsidR="00BE30E7" w:rsidRPr="00522B6D">
        <w:rPr>
          <w:rFonts w:eastAsiaTheme="minorEastAsia"/>
        </w:rPr>
        <w:t>Senate Bill</w:t>
      </w:r>
      <w:r w:rsidR="00C73FA9" w:rsidRPr="00522B6D">
        <w:rPr>
          <w:rFonts w:eastAsiaTheme="minorEastAsia"/>
        </w:rPr>
        <w:t xml:space="preserve"> 180</w:t>
      </w:r>
      <w:bookmarkEnd w:id="107"/>
      <w:r w:rsidR="00C73FA9" w:rsidRPr="00522B6D">
        <w:rPr>
          <w:rFonts w:eastAsiaTheme="minorEastAsia"/>
        </w:rPr>
        <w:t xml:space="preserve"> to a </w:t>
      </w:r>
      <w:r w:rsidR="009C4304" w:rsidRPr="00522B6D">
        <w:rPr>
          <w:rFonts w:eastAsiaTheme="minorEastAsia"/>
        </w:rPr>
        <w:t>plea</w:t>
      </w:r>
      <w:r w:rsidR="00FD09DB" w:rsidRPr="00522B6D">
        <w:rPr>
          <w:rFonts w:eastAsiaTheme="minorEastAsia"/>
        </w:rPr>
        <w:t>-</w:t>
      </w:r>
      <w:r w:rsidR="009C4304" w:rsidRPr="00522B6D">
        <w:rPr>
          <w:rFonts w:eastAsiaTheme="minorEastAsia"/>
        </w:rPr>
        <w:t>bargained sentence</w:t>
      </w:r>
      <w:r w:rsidR="00C71237" w:rsidRPr="00522B6D">
        <w:rPr>
          <w:rFonts w:eastAsiaTheme="minorEastAsia"/>
        </w:rPr>
        <w:t>.</w:t>
      </w:r>
      <w:r w:rsidR="006502B6" w:rsidRPr="00522B6D">
        <w:rPr>
          <w:rFonts w:eastAsiaTheme="minorEastAsia"/>
        </w:rPr>
        <w:t xml:space="preserve"> </w:t>
      </w:r>
      <w:r w:rsidR="00C73FA9" w:rsidRPr="00522B6D">
        <w:rPr>
          <w:rFonts w:eastAsiaTheme="minorEastAsia"/>
        </w:rPr>
        <w:t xml:space="preserve"> </w:t>
      </w:r>
      <w:r w:rsidR="00C71237" w:rsidRPr="00522B6D">
        <w:rPr>
          <w:rFonts w:eastAsiaTheme="minorEastAsia"/>
        </w:rPr>
        <w:t>(</w:t>
      </w:r>
      <w:bookmarkStart w:id="108" w:name="dabmci_f6aff7218f064ca98c728d44f924ba67"/>
      <w:r w:rsidR="00C71237" w:rsidRPr="00522B6D">
        <w:rPr>
          <w:rFonts w:eastAsiaTheme="minorEastAsia"/>
          <w:i/>
          <w:iCs/>
        </w:rPr>
        <w:t>Hernandez</w:t>
      </w:r>
      <w:r w:rsidR="00C71237" w:rsidRPr="009F07ED">
        <w:rPr>
          <w:rFonts w:eastAsiaTheme="minorEastAsia"/>
          <w:i/>
        </w:rPr>
        <w:t>,</w:t>
      </w:r>
      <w:r w:rsidR="00C71237" w:rsidRPr="00522B6D">
        <w:rPr>
          <w:rFonts w:eastAsiaTheme="minorEastAsia"/>
        </w:rPr>
        <w:t xml:space="preserve"> </w:t>
      </w:r>
      <w:r w:rsidR="00C71237" w:rsidRPr="00522B6D">
        <w:rPr>
          <w:rFonts w:eastAsiaTheme="minorEastAsia"/>
          <w:i/>
          <w:iCs/>
        </w:rPr>
        <w:t>supra</w:t>
      </w:r>
      <w:r w:rsidR="00C71237" w:rsidRPr="00522B6D">
        <w:rPr>
          <w:rFonts w:eastAsiaTheme="minorEastAsia"/>
        </w:rPr>
        <w:t>, 55 Cal.App.5th at pp. 955-956, 958-959</w:t>
      </w:r>
      <w:bookmarkEnd w:id="108"/>
      <w:r w:rsidR="006B6CEC">
        <w:rPr>
          <w:rFonts w:eastAsiaTheme="minorEastAsia"/>
        </w:rPr>
        <w:t>, review granted</w:t>
      </w:r>
      <w:r w:rsidR="00C71237" w:rsidRPr="00522B6D">
        <w:rPr>
          <w:rFonts w:eastAsiaTheme="minorEastAsia"/>
        </w:rPr>
        <w:t xml:space="preserve">.) </w:t>
      </w:r>
      <w:r w:rsidR="0045478E" w:rsidRPr="00522B6D">
        <w:rPr>
          <w:rFonts w:eastAsiaTheme="minorEastAsia"/>
        </w:rPr>
        <w:t xml:space="preserve"> </w:t>
      </w:r>
      <w:r w:rsidR="006502B6" w:rsidRPr="00522B6D">
        <w:rPr>
          <w:rFonts w:eastAsiaTheme="minorEastAsia"/>
        </w:rPr>
        <w:t xml:space="preserve">Concluding that </w:t>
      </w:r>
      <w:bookmarkStart w:id="109" w:name="dabmci_10321151e796423791e2b1ae5f408d70"/>
      <w:r w:rsidR="00BE30E7" w:rsidRPr="00522B6D">
        <w:rPr>
          <w:rFonts w:eastAsiaTheme="minorEastAsia"/>
        </w:rPr>
        <w:t>Senate Bill</w:t>
      </w:r>
      <w:r w:rsidR="006502B6" w:rsidRPr="00522B6D">
        <w:rPr>
          <w:rFonts w:eastAsiaTheme="minorEastAsia"/>
        </w:rPr>
        <w:t xml:space="preserve"> 180</w:t>
      </w:r>
      <w:bookmarkEnd w:id="109"/>
      <w:r w:rsidR="006502B6" w:rsidRPr="00522B6D">
        <w:rPr>
          <w:rFonts w:eastAsiaTheme="minorEastAsia"/>
        </w:rPr>
        <w:t xml:space="preserve"> made the plea agreement in that case unenforceable, the </w:t>
      </w:r>
      <w:r w:rsidR="006502B6" w:rsidRPr="00522B6D">
        <w:rPr>
          <w:rFonts w:eastAsiaTheme="minorEastAsia"/>
          <w:i/>
          <w:iCs/>
        </w:rPr>
        <w:t>Barton</w:t>
      </w:r>
      <w:r w:rsidR="006502B6" w:rsidRPr="00522B6D">
        <w:rPr>
          <w:rFonts w:eastAsiaTheme="minorEastAsia"/>
        </w:rPr>
        <w:t xml:space="preserve"> court reasoned that since the Legislature </w:t>
      </w:r>
      <w:r w:rsidR="005B34E0" w:rsidRPr="00522B6D">
        <w:rPr>
          <w:rFonts w:eastAsiaTheme="minorEastAsia"/>
        </w:rPr>
        <w:t xml:space="preserve">had </w:t>
      </w:r>
      <w:r w:rsidR="006502B6" w:rsidRPr="00522B6D">
        <w:rPr>
          <w:rFonts w:eastAsiaTheme="minorEastAsia"/>
        </w:rPr>
        <w:t>not express</w:t>
      </w:r>
      <w:r w:rsidR="005B34E0" w:rsidRPr="00522B6D">
        <w:rPr>
          <w:rFonts w:eastAsiaTheme="minorEastAsia"/>
        </w:rPr>
        <w:t>ed</w:t>
      </w:r>
      <w:r w:rsidR="006502B6" w:rsidRPr="00522B6D">
        <w:rPr>
          <w:rFonts w:eastAsiaTheme="minorEastAsia"/>
        </w:rPr>
        <w:t xml:space="preserve"> any intention to override section 1192.5</w:t>
      </w:r>
      <w:r w:rsidRPr="00522B6D">
        <w:rPr>
          <w:rFonts w:eastAsiaTheme="minorEastAsia"/>
        </w:rPr>
        <w:t xml:space="preserve">, the </w:t>
      </w:r>
      <w:r w:rsidRPr="00522B6D">
        <w:rPr>
          <w:rFonts w:eastAsiaTheme="minorEastAsia"/>
          <w:i/>
          <w:iCs/>
        </w:rPr>
        <w:t>Stamps</w:t>
      </w:r>
      <w:r w:rsidRPr="00522B6D">
        <w:rPr>
          <w:rFonts w:eastAsiaTheme="minorEastAsia"/>
        </w:rPr>
        <w:t xml:space="preserve"> remedy applied.  (</w:t>
      </w:r>
      <w:bookmarkStart w:id="110" w:name="dabmci_43a9db3cef8a4f80b90af7811d665db1"/>
      <w:r w:rsidRPr="00522B6D">
        <w:rPr>
          <w:rFonts w:eastAsiaTheme="minorEastAsia"/>
          <w:i/>
          <w:iCs/>
        </w:rPr>
        <w:t>Barton</w:t>
      </w:r>
      <w:r w:rsidRPr="009F07ED">
        <w:rPr>
          <w:rFonts w:eastAsiaTheme="minorEastAsia"/>
          <w:i/>
        </w:rPr>
        <w:t>,</w:t>
      </w:r>
      <w:r w:rsidRPr="00522B6D">
        <w:rPr>
          <w:rFonts w:eastAsiaTheme="minorEastAsia"/>
        </w:rPr>
        <w:t xml:space="preserve"> at p. 1150</w:t>
      </w:r>
      <w:bookmarkEnd w:id="110"/>
      <w:r w:rsidR="00A142E1" w:rsidRPr="00522B6D">
        <w:rPr>
          <w:rFonts w:eastAsiaTheme="minorEastAsia"/>
        </w:rPr>
        <w:t xml:space="preserve">; </w:t>
      </w:r>
      <w:bookmarkStart w:id="111" w:name="dabmci_626a5bddea5d4eb2abf1489b1b7cfb5a"/>
      <w:r w:rsidR="00A142E1" w:rsidRPr="00522B6D">
        <w:rPr>
          <w:rFonts w:eastAsiaTheme="minorEastAsia"/>
          <w:i/>
          <w:iCs/>
        </w:rPr>
        <w:t>id.</w:t>
      </w:r>
      <w:r w:rsidR="00A142E1" w:rsidRPr="00522B6D">
        <w:rPr>
          <w:rFonts w:eastAsiaTheme="minorEastAsia"/>
        </w:rPr>
        <w:t xml:space="preserve"> at p.</w:t>
      </w:r>
      <w:r w:rsidRPr="00522B6D">
        <w:rPr>
          <w:rFonts w:eastAsiaTheme="minorEastAsia"/>
        </w:rPr>
        <w:t xml:space="preserve"> 1159</w:t>
      </w:r>
      <w:bookmarkEnd w:id="111"/>
      <w:r w:rsidR="00A91F00" w:rsidRPr="00522B6D">
        <w:rPr>
          <w:rFonts w:eastAsiaTheme="minorEastAsia"/>
        </w:rPr>
        <w:t xml:space="preserve"> [“</w:t>
      </w:r>
      <w:r w:rsidR="00A91F00" w:rsidRPr="00522B6D">
        <w:rPr>
          <w:color w:val="000000"/>
        </w:rPr>
        <w:t xml:space="preserve">The fact </w:t>
      </w:r>
      <w:bookmarkStart w:id="112" w:name="dabmci_48871fcac9e844d8bc89d6d8d2bf23c0"/>
      <w:r w:rsidR="001C72BE" w:rsidRPr="00522B6D">
        <w:rPr>
          <w:color w:val="000000"/>
        </w:rPr>
        <w:t>Senate Bill</w:t>
      </w:r>
      <w:r w:rsidR="00A91F00" w:rsidRPr="00522B6D">
        <w:rPr>
          <w:color w:val="000000"/>
        </w:rPr>
        <w:t xml:space="preserve"> </w:t>
      </w:r>
      <w:bookmarkStart w:id="113" w:name="_Hlk90124707"/>
      <w:r w:rsidR="00A91F00" w:rsidRPr="00522B6D">
        <w:rPr>
          <w:color w:val="000000"/>
        </w:rPr>
        <w:t>180</w:t>
      </w:r>
      <w:bookmarkEnd w:id="112"/>
      <w:r w:rsidR="00A91F00" w:rsidRPr="00522B6D">
        <w:rPr>
          <w:color w:val="000000"/>
        </w:rPr>
        <w:t xml:space="preserve"> ‘is silent regarding pleas and provides no express mechanism for relief undercuts any suggestion that the Legislature intended to create special rules for plea cases’ involving prior conviction enhancements under former section 11370.2”</w:t>
      </w:r>
      <w:bookmarkEnd w:id="113"/>
      <w:r w:rsidR="00A91F00" w:rsidRPr="00522B6D">
        <w:rPr>
          <w:color w:val="000000"/>
        </w:rPr>
        <w:t>]</w:t>
      </w:r>
      <w:r w:rsidRPr="00522B6D">
        <w:rPr>
          <w:rFonts w:eastAsiaTheme="minorEastAsia"/>
        </w:rPr>
        <w:t xml:space="preserve">.)  </w:t>
      </w:r>
      <w:r w:rsidR="00E239DD" w:rsidRPr="00522B6D">
        <w:rPr>
          <w:rFonts w:eastAsiaTheme="minorEastAsia"/>
        </w:rPr>
        <w:t xml:space="preserve">The </w:t>
      </w:r>
      <w:r w:rsidR="00E239DD" w:rsidRPr="00522B6D">
        <w:rPr>
          <w:rFonts w:eastAsiaTheme="minorEastAsia"/>
          <w:i/>
          <w:iCs/>
        </w:rPr>
        <w:t>Barton</w:t>
      </w:r>
      <w:r w:rsidR="00E239DD" w:rsidRPr="00522B6D">
        <w:rPr>
          <w:rFonts w:eastAsiaTheme="minorEastAsia"/>
        </w:rPr>
        <w:t xml:space="preserve"> court remanded for resentencing, expressly not</w:t>
      </w:r>
      <w:r w:rsidR="00C73FA9" w:rsidRPr="00522B6D">
        <w:rPr>
          <w:rFonts w:eastAsiaTheme="minorEastAsia"/>
        </w:rPr>
        <w:t>ing</w:t>
      </w:r>
      <w:r w:rsidR="00E239DD" w:rsidRPr="00522B6D">
        <w:rPr>
          <w:rFonts w:eastAsiaTheme="minorEastAsia"/>
        </w:rPr>
        <w:t xml:space="preserve"> that </w:t>
      </w:r>
      <w:r w:rsidR="00E239DD" w:rsidRPr="00522B6D">
        <w:rPr>
          <w:rFonts w:eastAsiaTheme="minorEastAsia"/>
        </w:rPr>
        <w:lastRenderedPageBreak/>
        <w:t xml:space="preserve">upon dismissal of the enhancement, the parties must be restored to the status quo </w:t>
      </w:r>
      <w:bookmarkStart w:id="114" w:name="dabmci_83f1ba716d814fd8bcb721d00c9682fc"/>
      <w:r w:rsidR="00E239DD" w:rsidRPr="009F07ED">
        <w:rPr>
          <w:rFonts w:eastAsiaTheme="minorEastAsia"/>
        </w:rPr>
        <w:t>ante</w:t>
      </w:r>
      <w:r w:rsidR="00E239DD" w:rsidRPr="00522B6D">
        <w:rPr>
          <w:rFonts w:eastAsiaTheme="minorEastAsia"/>
        </w:rPr>
        <w:t>.</w:t>
      </w:r>
      <w:bookmarkEnd w:id="114"/>
      <w:r w:rsidR="00E239DD" w:rsidRPr="00522B6D">
        <w:rPr>
          <w:rFonts w:eastAsiaTheme="minorEastAsia"/>
        </w:rPr>
        <w:t xml:space="preserve">  (</w:t>
      </w:r>
      <w:bookmarkStart w:id="115" w:name="dabmci_55fb4d7da45344609a13d37e18a17863"/>
      <w:r w:rsidR="00E239DD" w:rsidRPr="00522B6D">
        <w:rPr>
          <w:rFonts w:eastAsiaTheme="minorEastAsia"/>
          <w:i/>
          <w:iCs/>
        </w:rPr>
        <w:t>Id</w:t>
      </w:r>
      <w:r w:rsidR="00E239DD" w:rsidRPr="00522B6D">
        <w:rPr>
          <w:rFonts w:eastAsiaTheme="minorEastAsia"/>
        </w:rPr>
        <w:t>. at p. 1159</w:t>
      </w:r>
      <w:bookmarkEnd w:id="115"/>
      <w:r w:rsidR="00E239DD" w:rsidRPr="00522B6D">
        <w:rPr>
          <w:rFonts w:eastAsiaTheme="minorEastAsia"/>
        </w:rPr>
        <w:t xml:space="preserve">.) </w:t>
      </w:r>
      <w:r w:rsidR="0045478E" w:rsidRPr="00522B6D">
        <w:rPr>
          <w:rFonts w:eastAsiaTheme="minorEastAsia"/>
        </w:rPr>
        <w:t xml:space="preserve"> </w:t>
      </w:r>
      <w:r w:rsidR="00E239DD" w:rsidRPr="00522B6D">
        <w:rPr>
          <w:rFonts w:eastAsiaTheme="minorEastAsia"/>
        </w:rPr>
        <w:t xml:space="preserve">It </w:t>
      </w:r>
      <w:r w:rsidR="00C73FA9" w:rsidRPr="00522B6D">
        <w:rPr>
          <w:rFonts w:eastAsiaTheme="minorEastAsia"/>
        </w:rPr>
        <w:t xml:space="preserve">added, </w:t>
      </w:r>
      <w:r w:rsidR="00E239DD" w:rsidRPr="00522B6D">
        <w:rPr>
          <w:rFonts w:eastAsiaTheme="minorEastAsia"/>
        </w:rPr>
        <w:t>“</w:t>
      </w:r>
      <w:r w:rsidR="00E239DD" w:rsidRPr="00522B6D">
        <w:rPr>
          <w:color w:val="000000"/>
        </w:rPr>
        <w:t>[t]he parties may then enter into a new plea agreement, which will be subject to the trial court’s approval, or they may proceed to trial on the reinstated charges.”  (</w:t>
      </w:r>
      <w:bookmarkStart w:id="116" w:name="dabmci_527adf157b9248bb80e3d79b020e9411"/>
      <w:r w:rsidR="00E239DD" w:rsidRPr="00522B6D">
        <w:rPr>
          <w:i/>
          <w:iCs/>
          <w:color w:val="000000"/>
        </w:rPr>
        <w:t>Ibid</w:t>
      </w:r>
      <w:r w:rsidR="00E239DD" w:rsidRPr="00522B6D">
        <w:rPr>
          <w:color w:val="000000"/>
        </w:rPr>
        <w:t>.</w:t>
      </w:r>
      <w:bookmarkEnd w:id="116"/>
      <w:r w:rsidR="00E239DD" w:rsidRPr="00522B6D">
        <w:rPr>
          <w:color w:val="000000"/>
        </w:rPr>
        <w:t xml:space="preserve">) </w:t>
      </w:r>
    </w:p>
    <w:p w14:paraId="5559EC37" w14:textId="084E0F5E" w:rsidR="00FF200B" w:rsidRPr="00522B6D" w:rsidRDefault="001D5D5D" w:rsidP="00FF200B">
      <w:r w:rsidRPr="00522B6D">
        <w:rPr>
          <w:rFonts w:eastAsiaTheme="minorEastAsia"/>
        </w:rPr>
        <w:tab/>
        <w:t xml:space="preserve">Other courts have followed the </w:t>
      </w:r>
      <w:r w:rsidR="008F4F1E" w:rsidRPr="00522B6D">
        <w:rPr>
          <w:rFonts w:eastAsiaTheme="minorEastAsia"/>
          <w:i/>
          <w:iCs/>
        </w:rPr>
        <w:t>Barton</w:t>
      </w:r>
      <w:r w:rsidR="008F4F1E" w:rsidRPr="00522B6D">
        <w:rPr>
          <w:rFonts w:eastAsiaTheme="minorEastAsia"/>
        </w:rPr>
        <w:t>/</w:t>
      </w:r>
      <w:r w:rsidR="002B7FBD" w:rsidRPr="00522B6D">
        <w:rPr>
          <w:rFonts w:eastAsiaTheme="minorEastAsia"/>
          <w:i/>
          <w:iCs/>
        </w:rPr>
        <w:t>Hernandez</w:t>
      </w:r>
      <w:r w:rsidR="002B7FBD" w:rsidRPr="00522B6D">
        <w:rPr>
          <w:rFonts w:eastAsiaTheme="minorEastAsia"/>
        </w:rPr>
        <w:t xml:space="preserve"> approach to </w:t>
      </w:r>
      <w:r w:rsidR="00364030" w:rsidRPr="00522B6D">
        <w:rPr>
          <w:rFonts w:eastAsiaTheme="minorEastAsia"/>
        </w:rPr>
        <w:t xml:space="preserve">the </w:t>
      </w:r>
      <w:r w:rsidR="002B7FBD" w:rsidRPr="00522B6D">
        <w:rPr>
          <w:rFonts w:eastAsiaTheme="minorEastAsia"/>
        </w:rPr>
        <w:t xml:space="preserve">ameliorative </w:t>
      </w:r>
      <w:r w:rsidR="002922DA" w:rsidRPr="00522B6D">
        <w:rPr>
          <w:rFonts w:eastAsiaTheme="minorEastAsia"/>
        </w:rPr>
        <w:t xml:space="preserve">amendment </w:t>
      </w:r>
      <w:r w:rsidR="002B7FBD" w:rsidRPr="00522B6D">
        <w:rPr>
          <w:rFonts w:eastAsiaTheme="minorEastAsia"/>
        </w:rPr>
        <w:t xml:space="preserve">eliminating </w:t>
      </w:r>
      <w:r w:rsidR="00D004B9" w:rsidRPr="00522B6D">
        <w:rPr>
          <w:rFonts w:eastAsiaTheme="minorEastAsia"/>
        </w:rPr>
        <w:t>the prior prison commitment enhancement</w:t>
      </w:r>
      <w:r w:rsidR="002B7FBD" w:rsidRPr="00522B6D">
        <w:rPr>
          <w:rFonts w:eastAsiaTheme="minorEastAsia"/>
        </w:rPr>
        <w:t>.  (</w:t>
      </w:r>
      <w:r w:rsidR="00A76AC1" w:rsidRPr="00522B6D">
        <w:rPr>
          <w:rFonts w:eastAsiaTheme="minorEastAsia"/>
        </w:rPr>
        <w:t xml:space="preserve">See </w:t>
      </w:r>
      <w:bookmarkStart w:id="117" w:name="dabmci_0db4bf1b48b54490adb02a9f5a1c133e"/>
      <w:r w:rsidR="00A76AC1" w:rsidRPr="00522B6D">
        <w:rPr>
          <w:rFonts w:eastAsiaTheme="minorEastAsia"/>
          <w:i/>
          <w:iCs/>
        </w:rPr>
        <w:t>People v. Ruggerio</w:t>
      </w:r>
      <w:r w:rsidR="00A76AC1" w:rsidRPr="00522B6D">
        <w:rPr>
          <w:rFonts w:eastAsiaTheme="minorEastAsia"/>
        </w:rPr>
        <w:t xml:space="preserve"> (2021) 65 Cal.App.5th 1126, 1129 (</w:t>
      </w:r>
      <w:r w:rsidR="00A76AC1" w:rsidRPr="00522B6D">
        <w:rPr>
          <w:rFonts w:eastAsiaTheme="minorEastAsia"/>
          <w:i/>
          <w:iCs/>
        </w:rPr>
        <w:t>Ruggerio</w:t>
      </w:r>
      <w:r w:rsidR="00A76AC1" w:rsidRPr="00522B6D">
        <w:rPr>
          <w:rFonts w:eastAsiaTheme="minorEastAsia"/>
        </w:rPr>
        <w:t>)</w:t>
      </w:r>
      <w:bookmarkEnd w:id="117"/>
      <w:r w:rsidR="00D039F7" w:rsidRPr="00522B6D">
        <w:rPr>
          <w:rFonts w:eastAsiaTheme="minorEastAsia"/>
        </w:rPr>
        <w:t xml:space="preserve"> </w:t>
      </w:r>
      <w:r w:rsidR="00A61C07" w:rsidRPr="00522B6D">
        <w:rPr>
          <w:rFonts w:eastAsiaTheme="minorEastAsia"/>
        </w:rPr>
        <w:t xml:space="preserve">(Division </w:t>
      </w:r>
      <w:r w:rsidR="00A142E1" w:rsidRPr="00522B6D">
        <w:rPr>
          <w:rFonts w:eastAsiaTheme="minorEastAsia"/>
        </w:rPr>
        <w:t>Six</w:t>
      </w:r>
      <w:r w:rsidR="00A61C07" w:rsidRPr="00522B6D">
        <w:rPr>
          <w:rFonts w:eastAsiaTheme="minorEastAsia"/>
        </w:rPr>
        <w:t>, Second District)</w:t>
      </w:r>
      <w:r w:rsidR="00A76AC1" w:rsidRPr="00522B6D">
        <w:rPr>
          <w:rFonts w:eastAsiaTheme="minorEastAsia"/>
        </w:rPr>
        <w:t xml:space="preserve"> [</w:t>
      </w:r>
      <w:r w:rsidR="0024298C" w:rsidRPr="00522B6D">
        <w:rPr>
          <w:rFonts w:eastAsiaTheme="minorEastAsia"/>
        </w:rPr>
        <w:t>“</w:t>
      </w:r>
      <w:bookmarkStart w:id="118" w:name="_Hlk90124808"/>
      <w:r w:rsidR="00A76AC1" w:rsidRPr="00522B6D">
        <w:rPr>
          <w:color w:val="000000"/>
        </w:rPr>
        <w:t xml:space="preserve">Nothing in the legislative history of </w:t>
      </w:r>
      <w:bookmarkStart w:id="119" w:name="dabmci_9da3a4fe02aa4a81a2798ecd9996bcf4"/>
      <w:r w:rsidR="00A142E1" w:rsidRPr="00522B6D">
        <w:rPr>
          <w:color w:val="000000"/>
        </w:rPr>
        <w:t>Senate Bill</w:t>
      </w:r>
      <w:r w:rsidR="00A76AC1" w:rsidRPr="00522B6D">
        <w:rPr>
          <w:color w:val="000000"/>
        </w:rPr>
        <w:t xml:space="preserve"> 136</w:t>
      </w:r>
      <w:bookmarkEnd w:id="119"/>
      <w:r w:rsidR="00A76AC1" w:rsidRPr="00522B6D">
        <w:rPr>
          <w:color w:val="000000"/>
        </w:rPr>
        <w:t xml:space="preserve"> suggests that the Legislature intended that the bill permit defendants to ‘ “</w:t>
      </w:r>
      <w:r w:rsidR="00A142E1" w:rsidRPr="00522B6D">
        <w:rPr>
          <w:color w:val="000000"/>
        </w:rPr>
        <w:t xml:space="preserve"> ‘</w:t>
      </w:r>
      <w:r w:rsidR="00A76AC1" w:rsidRPr="00522B6D">
        <w:rPr>
          <w:color w:val="000000"/>
        </w:rPr>
        <w:t xml:space="preserve">whittle down [their] sentence[s] </w:t>
      </w:r>
      <w:r w:rsidR="00A142E1" w:rsidRPr="00522B6D">
        <w:rPr>
          <w:color w:val="000000"/>
        </w:rPr>
        <w:t>“</w:t>
      </w:r>
      <w:r w:rsidR="00A76AC1" w:rsidRPr="00522B6D">
        <w:rPr>
          <w:color w:val="000000"/>
        </w:rPr>
        <w:t>but otherwise leave [their] plea bargain[s] intact” ’</w:t>
      </w:r>
      <w:r w:rsidR="0024298C" w:rsidRPr="00522B6D">
        <w:rPr>
          <w:color w:val="000000"/>
        </w:rPr>
        <w:t xml:space="preserve"> ”</w:t>
      </w:r>
      <w:r w:rsidR="00A142E1" w:rsidRPr="00522B6D">
        <w:rPr>
          <w:color w:val="000000"/>
        </w:rPr>
        <w:t xml:space="preserve"> ’ ”</w:t>
      </w:r>
      <w:r w:rsidR="00A76AC1" w:rsidRPr="00522B6D">
        <w:rPr>
          <w:color w:val="000000"/>
        </w:rPr>
        <w:t xml:space="preserve">]; </w:t>
      </w:r>
      <w:bookmarkStart w:id="120" w:name="dabmci_935863cf6f14468ab37ced24f107ef30"/>
      <w:bookmarkEnd w:id="118"/>
      <w:r w:rsidR="0024298C" w:rsidRPr="00522B6D">
        <w:rPr>
          <w:i/>
          <w:iCs/>
          <w:color w:val="000000"/>
        </w:rPr>
        <w:t>People v. Houle</w:t>
      </w:r>
      <w:r w:rsidR="0024298C" w:rsidRPr="00522B6D">
        <w:rPr>
          <w:color w:val="000000"/>
        </w:rPr>
        <w:t xml:space="preserve"> (2021) 64 Cal.App.5th 395, 397</w:t>
      </w:r>
      <w:bookmarkEnd w:id="120"/>
      <w:r w:rsidR="00A97999" w:rsidRPr="00522B6D">
        <w:rPr>
          <w:color w:val="000000"/>
        </w:rPr>
        <w:t xml:space="preserve">, review granted July 28, 2021, S269337 </w:t>
      </w:r>
      <w:r w:rsidR="00A61C07" w:rsidRPr="00522B6D">
        <w:rPr>
          <w:color w:val="000000"/>
        </w:rPr>
        <w:t>(Division Three, First District)</w:t>
      </w:r>
      <w:r w:rsidR="00610DE9" w:rsidRPr="00522B6D">
        <w:rPr>
          <w:color w:val="000000"/>
        </w:rPr>
        <w:t xml:space="preserve">; </w:t>
      </w:r>
      <w:bookmarkStart w:id="121" w:name="dabmci_0b967a6b98ec4b38a80d732521579822"/>
      <w:r w:rsidR="00610DE9" w:rsidRPr="00522B6D">
        <w:rPr>
          <w:i/>
          <w:iCs/>
          <w:color w:val="000000"/>
        </w:rPr>
        <w:t>People v. Joaquin</w:t>
      </w:r>
      <w:r w:rsidR="00610DE9" w:rsidRPr="00522B6D">
        <w:rPr>
          <w:color w:val="000000"/>
        </w:rPr>
        <w:t xml:space="preserve"> (2020) 58 Cal.App.5th 173, 179</w:t>
      </w:r>
      <w:bookmarkEnd w:id="121"/>
      <w:r w:rsidR="00A97999" w:rsidRPr="00522B6D">
        <w:rPr>
          <w:color w:val="000000"/>
        </w:rPr>
        <w:t xml:space="preserve">, review granted Feb. 24, 2021, S266594 </w:t>
      </w:r>
      <w:r w:rsidR="00A61C07" w:rsidRPr="00522B6D">
        <w:rPr>
          <w:color w:val="000000"/>
        </w:rPr>
        <w:t>(Division Five, First District)</w:t>
      </w:r>
      <w:r w:rsidR="00EA7D8D" w:rsidRPr="00522B6D">
        <w:rPr>
          <w:color w:val="000000"/>
        </w:rPr>
        <w:t xml:space="preserve">; </w:t>
      </w:r>
      <w:bookmarkStart w:id="122" w:name="dabmci_388ec5c620184aa4b2274e70580ddf9a"/>
      <w:r w:rsidR="00803941" w:rsidRPr="00522B6D">
        <w:rPr>
          <w:i/>
          <w:iCs/>
          <w:color w:val="000000"/>
        </w:rPr>
        <w:t>Griffin</w:t>
      </w:r>
      <w:r w:rsidR="000B6CC2" w:rsidRPr="00522B6D">
        <w:rPr>
          <w:i/>
          <w:iCs/>
          <w:color w:val="000000"/>
        </w:rPr>
        <w:t>, supra</w:t>
      </w:r>
      <w:r w:rsidR="000B6CC2" w:rsidRPr="00522B6D">
        <w:rPr>
          <w:color w:val="000000"/>
        </w:rPr>
        <w:t>,</w:t>
      </w:r>
      <w:r w:rsidR="00803941" w:rsidRPr="00522B6D">
        <w:rPr>
          <w:color w:val="000000"/>
        </w:rPr>
        <w:t xml:space="preserve"> 57 Cal.App.5th</w:t>
      </w:r>
      <w:r w:rsidR="000B6CC2" w:rsidRPr="00522B6D">
        <w:rPr>
          <w:color w:val="000000"/>
        </w:rPr>
        <w:t xml:space="preserve"> at pp.</w:t>
      </w:r>
      <w:r w:rsidR="00803941" w:rsidRPr="00522B6D">
        <w:rPr>
          <w:color w:val="000000"/>
        </w:rPr>
        <w:t xml:space="preserve"> 1093-1096</w:t>
      </w:r>
      <w:r w:rsidR="00A97999" w:rsidRPr="00522B6D">
        <w:rPr>
          <w:color w:val="000000"/>
        </w:rPr>
        <w:t>, review granted</w:t>
      </w:r>
      <w:bookmarkEnd w:id="122"/>
      <w:r w:rsidR="00A97999" w:rsidRPr="00522B6D">
        <w:rPr>
          <w:color w:val="000000"/>
        </w:rPr>
        <w:t xml:space="preserve"> </w:t>
      </w:r>
      <w:r w:rsidR="00A61C07" w:rsidRPr="00522B6D">
        <w:rPr>
          <w:color w:val="000000"/>
        </w:rPr>
        <w:t>(Division Five, First District)</w:t>
      </w:r>
      <w:r w:rsidR="00610DE9" w:rsidRPr="00522B6D">
        <w:rPr>
          <w:color w:val="000000"/>
        </w:rPr>
        <w:t>.</w:t>
      </w:r>
      <w:r w:rsidR="002B7FBD" w:rsidRPr="00522B6D">
        <w:rPr>
          <w:rFonts w:eastAsiaTheme="minorEastAsia"/>
        </w:rPr>
        <w:t xml:space="preserve">)  </w:t>
      </w:r>
      <w:r w:rsidR="00D2515E" w:rsidRPr="00522B6D">
        <w:rPr>
          <w:rFonts w:eastAsiaTheme="minorEastAsia"/>
        </w:rPr>
        <w:t>W</w:t>
      </w:r>
      <w:r w:rsidR="002B7FBD" w:rsidRPr="00522B6D">
        <w:rPr>
          <w:rFonts w:eastAsiaTheme="minorEastAsia"/>
        </w:rPr>
        <w:t xml:space="preserve">e agree with these courts that the appropriate remedy is the one set forth in </w:t>
      </w:r>
      <w:r w:rsidR="002B7FBD" w:rsidRPr="00522B6D">
        <w:rPr>
          <w:rFonts w:eastAsiaTheme="minorEastAsia"/>
          <w:i/>
          <w:iCs/>
        </w:rPr>
        <w:t>Stamps</w:t>
      </w:r>
      <w:r w:rsidR="00E33FA3" w:rsidRPr="00522B6D">
        <w:t xml:space="preserve">.  </w:t>
      </w:r>
    </w:p>
    <w:p w14:paraId="0A3A0BD7" w14:textId="423F5A95" w:rsidR="00FF200B" w:rsidRPr="00522B6D" w:rsidRDefault="001D5D5D" w:rsidP="00BE30E7">
      <w:pPr>
        <w:jc w:val="center"/>
        <w:rPr>
          <w:b/>
          <w:bCs/>
        </w:rPr>
      </w:pPr>
      <w:r w:rsidRPr="00522B6D">
        <w:rPr>
          <w:b/>
          <w:bCs/>
        </w:rPr>
        <w:t>C.  Trial Court Discretion</w:t>
      </w:r>
      <w:r w:rsidR="00B81571" w:rsidRPr="00522B6D">
        <w:rPr>
          <w:b/>
          <w:bCs/>
        </w:rPr>
        <w:t xml:space="preserve"> to Withdraw Consent to Negotiated Sentences</w:t>
      </w:r>
    </w:p>
    <w:p w14:paraId="6A48EC4D" w14:textId="35B03C40" w:rsidR="005E6997" w:rsidRPr="00522B6D" w:rsidRDefault="001D5D5D" w:rsidP="00BE30E7">
      <w:r w:rsidRPr="00522B6D">
        <w:rPr>
          <w:rFonts w:eastAsiaTheme="minorEastAsia"/>
        </w:rPr>
        <w:tab/>
        <w:t>B</w:t>
      </w:r>
      <w:r w:rsidR="00A621CC" w:rsidRPr="00522B6D">
        <w:rPr>
          <w:rFonts w:eastAsiaTheme="minorEastAsia"/>
        </w:rPr>
        <w:t xml:space="preserve">eyond the reasoning in </w:t>
      </w:r>
      <w:r w:rsidR="00A621CC" w:rsidRPr="00522B6D">
        <w:rPr>
          <w:rFonts w:eastAsiaTheme="minorEastAsia"/>
          <w:i/>
          <w:iCs/>
        </w:rPr>
        <w:t>Barton</w:t>
      </w:r>
      <w:r w:rsidR="00A621CC" w:rsidRPr="00522B6D">
        <w:rPr>
          <w:rFonts w:eastAsiaTheme="minorEastAsia"/>
        </w:rPr>
        <w:t xml:space="preserve"> and </w:t>
      </w:r>
      <w:r w:rsidR="00A621CC" w:rsidRPr="00522B6D">
        <w:rPr>
          <w:rFonts w:eastAsiaTheme="minorEastAsia"/>
          <w:i/>
          <w:iCs/>
        </w:rPr>
        <w:t>Hernandez</w:t>
      </w:r>
      <w:r w:rsidR="00A621CC" w:rsidRPr="00522B6D">
        <w:rPr>
          <w:rFonts w:eastAsiaTheme="minorEastAsia"/>
        </w:rPr>
        <w:t xml:space="preserve">, </w:t>
      </w:r>
      <w:r w:rsidR="00EC6000" w:rsidRPr="00522B6D">
        <w:t xml:space="preserve">we conclude that </w:t>
      </w:r>
      <w:r w:rsidR="00A621CC" w:rsidRPr="00522B6D">
        <w:rPr>
          <w:rFonts w:eastAsiaTheme="minorEastAsia"/>
        </w:rPr>
        <w:t xml:space="preserve">the </w:t>
      </w:r>
      <w:r w:rsidR="00A621CC" w:rsidRPr="00522B6D">
        <w:t>trial court’s sentencing discretion and discretion to withdraw its consent from a plea agreement (unless limited by the Legislature)</w:t>
      </w:r>
      <w:r w:rsidR="00DF7830" w:rsidRPr="00522B6D">
        <w:t xml:space="preserve"> are separate reasons for applying the </w:t>
      </w:r>
      <w:r w:rsidR="00DF7830" w:rsidRPr="00522B6D">
        <w:rPr>
          <w:i/>
          <w:iCs/>
        </w:rPr>
        <w:t>Stamps</w:t>
      </w:r>
      <w:r w:rsidR="00DF7830" w:rsidRPr="00522B6D">
        <w:t xml:space="preserve"> remedy</w:t>
      </w:r>
      <w:r w:rsidR="00A621CC" w:rsidRPr="00522B6D">
        <w:t xml:space="preserve">.  </w:t>
      </w:r>
      <w:r w:rsidR="00454D3F" w:rsidRPr="00522B6D">
        <w:t xml:space="preserve">In </w:t>
      </w:r>
      <w:bookmarkStart w:id="123" w:name="dabmci_93191a27be7b48a19e621d87cb19078d"/>
      <w:r w:rsidR="000208C9" w:rsidRPr="00522B6D">
        <w:t>Assembly Bill</w:t>
      </w:r>
      <w:r w:rsidR="00454D3F" w:rsidRPr="00522B6D">
        <w:t xml:space="preserve"> 1950</w:t>
      </w:r>
      <w:bookmarkEnd w:id="123"/>
      <w:r w:rsidR="00454D3F" w:rsidRPr="00522B6D">
        <w:t>, t</w:t>
      </w:r>
      <w:r w:rsidR="00A621CC" w:rsidRPr="00522B6D">
        <w:t>he Legislature displayed no intent to change th</w:t>
      </w:r>
      <w:r w:rsidR="00D9297D" w:rsidRPr="00522B6D">
        <w:t>e</w:t>
      </w:r>
      <w:r w:rsidR="00A621CC" w:rsidRPr="00522B6D">
        <w:t xml:space="preserve"> component of section 1192.5 </w:t>
      </w:r>
      <w:r w:rsidR="00D9297D" w:rsidRPr="00522B6D">
        <w:t xml:space="preserve">that gives </w:t>
      </w:r>
      <w:r w:rsidR="00A621CC" w:rsidRPr="00522B6D">
        <w:t xml:space="preserve">trial courts the authority to withdraw consent from plea agreements.  This judicial authority is </w:t>
      </w:r>
      <w:r w:rsidR="008702D4" w:rsidRPr="00522B6D">
        <w:t xml:space="preserve">also </w:t>
      </w:r>
      <w:r w:rsidR="00A621CC" w:rsidRPr="00522B6D">
        <w:t xml:space="preserve">long-standing law.  </w:t>
      </w:r>
    </w:p>
    <w:p w14:paraId="3796645C" w14:textId="72899592" w:rsidR="00A621CC" w:rsidRPr="00522B6D" w:rsidRDefault="001D5D5D" w:rsidP="00A621CC">
      <w:r w:rsidRPr="00522B6D">
        <w:tab/>
      </w:r>
      <w:bookmarkStart w:id="124" w:name="_Hlk94169791"/>
      <w:r w:rsidRPr="00522B6D">
        <w:t>Section 1192.5</w:t>
      </w:r>
      <w:r w:rsidR="005B34E0" w:rsidRPr="00522B6D">
        <w:t>—</w:t>
      </w:r>
      <w:r w:rsidRPr="00522B6D">
        <w:t xml:space="preserve">the very provision the </w:t>
      </w:r>
      <w:r w:rsidRPr="00522B6D">
        <w:rPr>
          <w:i/>
          <w:iCs/>
        </w:rPr>
        <w:t xml:space="preserve">Stamps </w:t>
      </w:r>
      <w:r w:rsidRPr="00522B6D">
        <w:t xml:space="preserve">court </w:t>
      </w:r>
      <w:r w:rsidR="006268EA">
        <w:t xml:space="preserve">relied upon </w:t>
      </w:r>
      <w:r w:rsidRPr="00522B6D">
        <w:t>in establishing its remedy</w:t>
      </w:r>
      <w:r w:rsidR="005B34E0" w:rsidRPr="00522B6D">
        <w:t>—</w:t>
      </w:r>
      <w:r w:rsidRPr="00522B6D">
        <w:t xml:space="preserve">gives the </w:t>
      </w:r>
      <w:r w:rsidR="00D9297D" w:rsidRPr="00522B6D">
        <w:t xml:space="preserve">trial </w:t>
      </w:r>
      <w:r w:rsidRPr="00522B6D">
        <w:t>court discretion to withdraw consent from a plea agreement</w:t>
      </w:r>
      <w:r w:rsidRPr="00522B6D">
        <w:t xml:space="preserve">. </w:t>
      </w:r>
      <w:r w:rsidR="006E4821" w:rsidRPr="00522B6D">
        <w:t xml:space="preserve"> </w:t>
      </w:r>
      <w:r w:rsidRPr="00522B6D">
        <w:t xml:space="preserve">The </w:t>
      </w:r>
      <w:r w:rsidRPr="00522B6D">
        <w:rPr>
          <w:i/>
          <w:iCs/>
        </w:rPr>
        <w:t>Stamps</w:t>
      </w:r>
      <w:r w:rsidRPr="00522B6D">
        <w:t xml:space="preserve"> court was careful to point this out.  (See </w:t>
      </w:r>
      <w:bookmarkStart w:id="125" w:name="dabmci_00a823bb7912453ebe857ca4ef6dbe34"/>
      <w:r w:rsidRPr="00522B6D">
        <w:rPr>
          <w:i/>
          <w:iCs/>
        </w:rPr>
        <w:t>Stamps</w:t>
      </w:r>
      <w:r w:rsidRPr="009F07ED">
        <w:rPr>
          <w:i/>
        </w:rPr>
        <w:t>,</w:t>
      </w:r>
      <w:r w:rsidRPr="00522B6D">
        <w:t xml:space="preserve"> </w:t>
      </w:r>
      <w:r w:rsidRPr="00522B6D">
        <w:rPr>
          <w:i/>
          <w:iCs/>
        </w:rPr>
        <w:t>supra</w:t>
      </w:r>
      <w:r w:rsidRPr="00522B6D">
        <w:t xml:space="preserve">, 9 Cal.5th at p. </w:t>
      </w:r>
      <w:r w:rsidR="00655C59" w:rsidRPr="00522B6D">
        <w:t>706</w:t>
      </w:r>
      <w:bookmarkEnd w:id="125"/>
      <w:r w:rsidR="00655C59" w:rsidRPr="00522B6D">
        <w:t xml:space="preserve"> </w:t>
      </w:r>
      <w:r w:rsidR="00655C59" w:rsidRPr="00522B6D">
        <w:lastRenderedPageBreak/>
        <w:t>[</w:t>
      </w:r>
      <w:r w:rsidRPr="00522B6D">
        <w:t>“courts have broad discretion to withdraw their approval of negotiated pleas”</w:t>
      </w:r>
      <w:r w:rsidR="006810D6" w:rsidRPr="00522B6D">
        <w:t>]</w:t>
      </w:r>
      <w:r w:rsidR="00655C59" w:rsidRPr="00522B6D">
        <w:t>.</w:t>
      </w:r>
      <w:r w:rsidRPr="00522B6D">
        <w:t>)</w:t>
      </w:r>
      <w:r>
        <w:rPr>
          <w:rStyle w:val="FootnoteReference"/>
        </w:rPr>
        <w:footnoteReference w:id="17"/>
      </w:r>
      <w:r w:rsidRPr="00522B6D">
        <w:t xml:space="preserve"> </w:t>
      </w:r>
      <w:bookmarkEnd w:id="124"/>
      <w:r w:rsidRPr="00522B6D">
        <w:t xml:space="preserve"> Indeed, “[t]he court’s authority to withdraw its approval of a plea agreement has been described as ‘near-plenary.’ ”  (</w:t>
      </w:r>
      <w:r w:rsidR="006268EA" w:rsidRPr="006268EA">
        <w:rPr>
          <w:i/>
          <w:iCs/>
        </w:rPr>
        <w:t>Id</w:t>
      </w:r>
      <w:r w:rsidR="006268EA" w:rsidRPr="006268EA">
        <w:t xml:space="preserve">. at p. 708, citing </w:t>
      </w:r>
      <w:r w:rsidR="006268EA" w:rsidRPr="006268EA">
        <w:rPr>
          <w:i/>
          <w:iCs/>
        </w:rPr>
        <w:t>People v. Mora-Duran</w:t>
      </w:r>
      <w:r w:rsidR="006268EA" w:rsidRPr="006268EA">
        <w:t xml:space="preserve"> (2020) 45 Cal.App.5th 589, 595; </w:t>
      </w:r>
      <w:r w:rsidR="006268EA" w:rsidRPr="006268EA">
        <w:rPr>
          <w:i/>
          <w:iCs/>
        </w:rPr>
        <w:t>People v. Stringham</w:t>
      </w:r>
      <w:r w:rsidR="006268EA" w:rsidRPr="006268EA">
        <w:t xml:space="preserve"> (1988) 206 Cal.App.3d 184, 195</w:t>
      </w:r>
      <w:r w:rsidR="006268EA">
        <w:t>.)</w:t>
      </w:r>
      <w:r w:rsidRPr="00522B6D">
        <w:t xml:space="preserve">  </w:t>
      </w:r>
      <w:r w:rsidR="00B63A0D" w:rsidRPr="00522B6D">
        <w:t>A</w:t>
      </w:r>
      <w:r w:rsidR="006D692A" w:rsidRPr="00522B6D">
        <w:t xml:space="preserve">s we have </w:t>
      </w:r>
      <w:r w:rsidR="00F57C8C" w:rsidRPr="00522B6D">
        <w:t xml:space="preserve">previously </w:t>
      </w:r>
      <w:r w:rsidR="006D692A" w:rsidRPr="00522B6D">
        <w:t xml:space="preserve">noted, and </w:t>
      </w:r>
      <w:r w:rsidR="009B04A7" w:rsidRPr="00522B6D">
        <w:t xml:space="preserve">as </w:t>
      </w:r>
      <w:r w:rsidR="006D692A" w:rsidRPr="00522B6D">
        <w:t xml:space="preserve">the </w:t>
      </w:r>
      <w:r w:rsidR="006D692A" w:rsidRPr="00522B6D">
        <w:rPr>
          <w:i/>
          <w:iCs/>
        </w:rPr>
        <w:t>Stamps</w:t>
      </w:r>
      <w:r w:rsidR="006D692A" w:rsidRPr="00522B6D">
        <w:t xml:space="preserve"> court</w:t>
      </w:r>
      <w:r w:rsidR="00F57C8C" w:rsidRPr="00522B6D">
        <w:t xml:space="preserve"> has acknowledged</w:t>
      </w:r>
      <w:r w:rsidR="00454D3F" w:rsidRPr="00522B6D">
        <w:t xml:space="preserve">, </w:t>
      </w:r>
      <w:r w:rsidR="006D692A" w:rsidRPr="00522B6D">
        <w:t>“</w:t>
      </w:r>
      <w:r w:rsidR="00860C7E" w:rsidRPr="00522B6D">
        <w:t> </w:t>
      </w:r>
      <w:r w:rsidR="006D692A" w:rsidRPr="00522B6D">
        <w:t>‘</w:t>
      </w:r>
      <w:r w:rsidR="00454D3F" w:rsidRPr="00522B6D">
        <w:t>[g]</w:t>
      </w:r>
      <w:r w:rsidR="006D692A" w:rsidRPr="00522B6D">
        <w:t xml:space="preserve">enerally, a trial court may exercise its discretion to withdraw approval of a plea bargain because:  (1) it believes the agreement is “unfair” [citation]; (2) new facts have come to light; (3) the court has become more fully informed about the case; or (4) when, after further consideration, </w:t>
      </w:r>
      <w:r w:rsidR="006D692A" w:rsidRPr="00522B6D">
        <w:rPr>
          <w:i/>
          <w:iCs/>
        </w:rPr>
        <w:t xml:space="preserve">the court concludes that the agreement is </w:t>
      </w:r>
      <w:r w:rsidR="006D692A" w:rsidRPr="009F07ED">
        <w:t>“</w:t>
      </w:r>
      <w:r w:rsidR="00BF1859" w:rsidRPr="00522B6D">
        <w:t> </w:t>
      </w:r>
      <w:r w:rsidR="006D692A" w:rsidRPr="009F07ED">
        <w:t>‘ “</w:t>
      </w:r>
      <w:r w:rsidR="006D692A" w:rsidRPr="00522B6D">
        <w:rPr>
          <w:i/>
          <w:iCs/>
        </w:rPr>
        <w:t>not in the best interests of society</w:t>
      </w:r>
      <w:r w:rsidR="006D692A" w:rsidRPr="009F07ED">
        <w:t>” ’ ”</w:t>
      </w:r>
      <w:r w:rsidR="006D692A" w:rsidRPr="00522B6D">
        <w:t xml:space="preserve"> [citation].’ ”  (</w:t>
      </w:r>
      <w:bookmarkStart w:id="130" w:name="dabmci_4a701e8c1eee429899dd02c0476098b1"/>
      <w:r w:rsidR="006D692A" w:rsidRPr="00522B6D">
        <w:rPr>
          <w:i/>
          <w:iCs/>
        </w:rPr>
        <w:t>Stamps</w:t>
      </w:r>
      <w:r w:rsidR="006D692A" w:rsidRPr="009F07ED">
        <w:rPr>
          <w:i/>
        </w:rPr>
        <w:t>,</w:t>
      </w:r>
      <w:r w:rsidR="006D692A" w:rsidRPr="00522B6D">
        <w:t xml:space="preserve"> at p. 706</w:t>
      </w:r>
      <w:bookmarkEnd w:id="130"/>
      <w:r w:rsidR="006D692A" w:rsidRPr="00522B6D">
        <w:t xml:space="preserve">, </w:t>
      </w:r>
      <w:r w:rsidR="00745F02" w:rsidRPr="00522B6D">
        <w:t xml:space="preserve">italics added, </w:t>
      </w:r>
      <w:r w:rsidR="006D692A" w:rsidRPr="00522B6D">
        <w:t xml:space="preserve">quoting </w:t>
      </w:r>
      <w:bookmarkStart w:id="131" w:name="dabmci_3abd26adeb294cfaab88a6e51b875e63"/>
      <w:r w:rsidR="006D692A" w:rsidRPr="00522B6D">
        <w:rPr>
          <w:i/>
          <w:iCs/>
        </w:rPr>
        <w:t xml:space="preserve">Mora-Duran, </w:t>
      </w:r>
      <w:r w:rsidR="006D692A" w:rsidRPr="00522B6D">
        <w:t>at pp.</w:t>
      </w:r>
      <w:r w:rsidR="00613511">
        <w:t> </w:t>
      </w:r>
      <w:r w:rsidR="006D692A" w:rsidRPr="00522B6D">
        <w:t>595-596</w:t>
      </w:r>
      <w:bookmarkEnd w:id="131"/>
      <w:r w:rsidR="006D692A" w:rsidRPr="00522B6D">
        <w:t xml:space="preserve">.)  </w:t>
      </w:r>
    </w:p>
    <w:p w14:paraId="1F94F4CA" w14:textId="38AC0509" w:rsidR="00A621CC" w:rsidRPr="00522B6D" w:rsidRDefault="001D5D5D" w:rsidP="00A621CC">
      <w:r w:rsidRPr="00522B6D">
        <w:tab/>
      </w:r>
      <w:r w:rsidR="005B34E0" w:rsidRPr="00522B6D">
        <w:t xml:space="preserve">This </w:t>
      </w:r>
      <w:r w:rsidRPr="00522B6D">
        <w:t>discretion</w:t>
      </w:r>
      <w:r w:rsidR="00B63A0D" w:rsidRPr="00522B6D">
        <w:t xml:space="preserve"> to approve agreements, and if appropriate withdraw consent,</w:t>
      </w:r>
      <w:r w:rsidRPr="00522B6D">
        <w:t xml:space="preserve"> is critical to the administration of justice.  As our high court has explained, “the process of plea negotiation ‘contemplates an agreement negotiate</w:t>
      </w:r>
      <w:r w:rsidRPr="00522B6D">
        <w:t xml:space="preserve">d by the People and the defendant </w:t>
      </w:r>
      <w:r w:rsidRPr="00522B6D">
        <w:rPr>
          <w:i/>
          <w:iCs/>
        </w:rPr>
        <w:t>and approved by the court</w:t>
      </w:r>
      <w:r w:rsidRPr="00522B6D">
        <w:t xml:space="preserve">.’ ” </w:t>
      </w:r>
      <w:r w:rsidR="00BF1859" w:rsidRPr="00522B6D">
        <w:t xml:space="preserve"> </w:t>
      </w:r>
      <w:r w:rsidRPr="00522B6D">
        <w:t>(</w:t>
      </w:r>
      <w:bookmarkStart w:id="132" w:name="dabmci_2698e063bc5346a7999e18e665617b3a"/>
      <w:r w:rsidRPr="00522B6D">
        <w:rPr>
          <w:i/>
          <w:iCs/>
        </w:rPr>
        <w:t>People v. Segura</w:t>
      </w:r>
      <w:r w:rsidRPr="00522B6D">
        <w:t xml:space="preserve"> (2008) 44 Cal.4th 921, 929</w:t>
      </w:r>
      <w:r w:rsidR="00BF1859" w:rsidRPr="00522B6D">
        <w:t>-</w:t>
      </w:r>
      <w:r w:rsidRPr="00522B6D">
        <w:t>930</w:t>
      </w:r>
      <w:bookmarkEnd w:id="132"/>
      <w:r w:rsidRPr="00522B6D">
        <w:t xml:space="preserve">, italics added.) </w:t>
      </w:r>
      <w:r w:rsidR="00BF1859" w:rsidRPr="00522B6D">
        <w:t xml:space="preserve"> </w:t>
      </w:r>
      <w:r w:rsidRPr="00522B6D">
        <w:t xml:space="preserve">And as the court in </w:t>
      </w:r>
      <w:bookmarkStart w:id="133" w:name="dabmci_8a8ab5e427294490aa7c2857b80931de"/>
      <w:r w:rsidRPr="00522B6D">
        <w:rPr>
          <w:i/>
          <w:iCs/>
        </w:rPr>
        <w:t>Stamps</w:t>
      </w:r>
      <w:bookmarkEnd w:id="133"/>
      <w:r w:rsidRPr="00522B6D">
        <w:t xml:space="preserve"> noted:  “</w:t>
      </w:r>
      <w:r w:rsidR="003B197D" w:rsidRPr="00522B6D">
        <w:t xml:space="preserve"> ‘</w:t>
      </w:r>
      <w:r w:rsidRPr="00522B6D">
        <w:t xml:space="preserve">In exercising their discretion to approve or reject proposed plea bargains, trial courts are charged with the protection and promotion of the public’s interest in vigorous prosecution of the accused, imposition of appropriate punishment, and protection of </w:t>
      </w:r>
      <w:r w:rsidRPr="00522B6D">
        <w:t xml:space="preserve">victims of crimes.  [Citation.]  For that reason, a trial court’s approval of a proposed plea bargain must represent an informed decision </w:t>
      </w:r>
      <w:r w:rsidRPr="00522B6D">
        <w:rPr>
          <w:i/>
          <w:iCs/>
        </w:rPr>
        <w:t>in furtherance of the interests of society</w:t>
      </w:r>
      <w:r w:rsidRPr="00522B6D">
        <w:t> . . . .</w:t>
      </w:r>
      <w:r w:rsidR="003B197D" w:rsidRPr="00522B6D">
        <w:t xml:space="preserve">’ </w:t>
      </w:r>
      <w:r w:rsidRPr="00522B6D">
        <w:t>”  (</w:t>
      </w:r>
      <w:bookmarkStart w:id="134" w:name="dabmci_64365419d9924756ab96614acab37349"/>
      <w:r w:rsidRPr="00522B6D">
        <w:rPr>
          <w:i/>
          <w:iCs/>
        </w:rPr>
        <w:t>Stamps,</w:t>
      </w:r>
      <w:r w:rsidRPr="00522B6D">
        <w:t xml:space="preserve"> </w:t>
      </w:r>
      <w:r w:rsidRPr="00522B6D">
        <w:rPr>
          <w:i/>
          <w:iCs/>
        </w:rPr>
        <w:t>supra</w:t>
      </w:r>
      <w:r w:rsidRPr="00522B6D">
        <w:t>, 9 Cal.5th at p. 706</w:t>
      </w:r>
      <w:bookmarkEnd w:id="134"/>
      <w:r w:rsidRPr="00522B6D">
        <w:t xml:space="preserve">, italics </w:t>
      </w:r>
      <w:r w:rsidRPr="00522B6D">
        <w:lastRenderedPageBreak/>
        <w:t>added.)  Thus, eve</w:t>
      </w:r>
      <w:r w:rsidRPr="00522B6D">
        <w:t xml:space="preserve">ry time a trial court approves a negotiated sentence, it impliedly determines the agreement is in furtherance of the interests of society in the locale where that court sits.  </w:t>
      </w:r>
    </w:p>
    <w:p w14:paraId="10A89297" w14:textId="2C007938" w:rsidR="0003544F" w:rsidRPr="00522B6D" w:rsidRDefault="001D5D5D" w:rsidP="00FE1B70">
      <w:r w:rsidRPr="00522B6D">
        <w:tab/>
        <w:t xml:space="preserve">As for </w:t>
      </w:r>
      <w:r w:rsidR="008F42DA" w:rsidRPr="00522B6D">
        <w:t xml:space="preserve">a sentence of </w:t>
      </w:r>
      <w:r w:rsidRPr="00522B6D">
        <w:t>probation, it “is an act of grace or clemency” granted by</w:t>
      </w:r>
      <w:r w:rsidRPr="00522B6D">
        <w:t xml:space="preserve"> the trial court.  (</w:t>
      </w:r>
      <w:bookmarkStart w:id="135" w:name="dabmci_0fb0ba5409d942d580361eec29f04715"/>
      <w:r w:rsidRPr="00522B6D">
        <w:rPr>
          <w:i/>
          <w:iCs/>
        </w:rPr>
        <w:t>People v. Moran</w:t>
      </w:r>
      <w:r w:rsidRPr="00522B6D">
        <w:t xml:space="preserve"> (2016) 1 Cal.5th 398, 402</w:t>
      </w:r>
      <w:bookmarkEnd w:id="135"/>
      <w:r w:rsidR="00530911">
        <w:t xml:space="preserve"> </w:t>
      </w:r>
      <w:r w:rsidR="00F64717">
        <w:t>(</w:t>
      </w:r>
      <w:r w:rsidR="00F64717" w:rsidRPr="00613511">
        <w:rPr>
          <w:i/>
          <w:iCs/>
        </w:rPr>
        <w:t>Moran</w:t>
      </w:r>
      <w:r w:rsidR="00F64717">
        <w:t>)</w:t>
      </w:r>
      <w:r w:rsidRPr="00522B6D">
        <w:t xml:space="preserve">.)  Trial courts have discretion whether to grant probation.  </w:t>
      </w:r>
      <w:r w:rsidR="008F42DA" w:rsidRPr="00522B6D">
        <w:t>T</w:t>
      </w:r>
      <w:r w:rsidRPr="00522B6D">
        <w:t xml:space="preserve">he decision to grant probation </w:t>
      </w:r>
      <w:r w:rsidR="008F42DA" w:rsidRPr="00522B6D">
        <w:t xml:space="preserve">to a defendant </w:t>
      </w:r>
      <w:r w:rsidRPr="00522B6D">
        <w:t>as part of a plea bargain, the decision as to whether probation is “</w:t>
      </w:r>
      <w:r w:rsidR="005A49A5" w:rsidRPr="00522B6D">
        <w:t>in furtherance of the interests of society</w:t>
      </w:r>
      <w:r w:rsidRPr="00522B6D">
        <w:rPr>
          <w:rFonts w:eastAsiaTheme="minorEastAsia"/>
        </w:rPr>
        <w:t>”</w:t>
      </w:r>
      <w:r w:rsidRPr="00522B6D">
        <w:t xml:space="preserve"> as to that particular defendant, and the decision to maintain or withdraw consent to a plea bargain on remand are discretionary decisions.  </w:t>
      </w:r>
      <w:r w:rsidR="00B442C0" w:rsidRPr="00522B6D">
        <w:t>Thus, j</w:t>
      </w:r>
      <w:r w:rsidRPr="00522B6D">
        <w:t>udicial discretion is implicated here just as it is when a court determines</w:t>
      </w:r>
      <w:r w:rsidRPr="00522B6D">
        <w:t xml:space="preserve"> whether it is in “the furtherance of justice” to strike or dismiss a prior serious felony conviction on remand under section 1385 as the Legislature authorized in </w:t>
      </w:r>
      <w:bookmarkStart w:id="136" w:name="dabmci_16b50ca4038a43068381361b849aba6a"/>
      <w:r w:rsidR="00BE30E7" w:rsidRPr="00522B6D">
        <w:t>Senate Bill</w:t>
      </w:r>
      <w:r w:rsidRPr="00522B6D">
        <w:t xml:space="preserve"> 1393</w:t>
      </w:r>
      <w:bookmarkEnd w:id="136"/>
      <w:r w:rsidRPr="00522B6D">
        <w:t xml:space="preserve">.  </w:t>
      </w:r>
    </w:p>
    <w:p w14:paraId="16FE8AD5" w14:textId="0F9EEFC9" w:rsidR="00D732BC" w:rsidRPr="00522B6D" w:rsidRDefault="001D5D5D" w:rsidP="0003385F">
      <w:pPr>
        <w:ind w:firstLine="720"/>
      </w:pPr>
      <w:r w:rsidRPr="00522B6D">
        <w:t>Even though</w:t>
      </w:r>
      <w:r w:rsidR="00617A74" w:rsidRPr="00522B6D">
        <w:t xml:space="preserve"> defendant has not shown anything </w:t>
      </w:r>
      <w:r w:rsidR="00EA70E6" w:rsidRPr="00522B6D">
        <w:t xml:space="preserve">in </w:t>
      </w:r>
      <w:bookmarkStart w:id="137" w:name="dabmci_c8df83d900af43339210f47019ff4422"/>
      <w:r w:rsidR="000208C9" w:rsidRPr="00522B6D">
        <w:t>Assembly Bill</w:t>
      </w:r>
      <w:r w:rsidR="00EA70E6" w:rsidRPr="00522B6D">
        <w:t xml:space="preserve"> 1950</w:t>
      </w:r>
      <w:bookmarkEnd w:id="137"/>
      <w:r w:rsidR="00EA70E6" w:rsidRPr="00522B6D">
        <w:t xml:space="preserve"> </w:t>
      </w:r>
      <w:r w:rsidR="00F720C9" w:rsidRPr="00522B6D">
        <w:t xml:space="preserve">or its </w:t>
      </w:r>
      <w:r w:rsidR="00C32F4A" w:rsidRPr="00522B6D">
        <w:t xml:space="preserve">legislative </w:t>
      </w:r>
      <w:r w:rsidR="00F720C9" w:rsidRPr="00522B6D">
        <w:t xml:space="preserve">history </w:t>
      </w:r>
      <w:r w:rsidR="00EA70E6" w:rsidRPr="00522B6D">
        <w:t xml:space="preserve">suggesting </w:t>
      </w:r>
      <w:r w:rsidR="00EA3B53" w:rsidRPr="00522B6D">
        <w:t xml:space="preserve">legislative intent to </w:t>
      </w:r>
      <w:r w:rsidR="00F3293D" w:rsidRPr="00522B6D">
        <w:t>deprive</w:t>
      </w:r>
      <w:r w:rsidR="00F720C9" w:rsidRPr="00522B6D">
        <w:t xml:space="preserve"> </w:t>
      </w:r>
      <w:r w:rsidR="00F3293D" w:rsidRPr="00522B6D">
        <w:t xml:space="preserve">trial courts of the discretion to withdraw consent to </w:t>
      </w:r>
      <w:r w:rsidR="00166F5C" w:rsidRPr="00522B6D">
        <w:t>an</w:t>
      </w:r>
      <w:r w:rsidR="00F3293D" w:rsidRPr="00522B6D">
        <w:t xml:space="preserve"> agreement they had approved </w:t>
      </w:r>
      <w:r w:rsidR="00F720C9" w:rsidRPr="00522B6D">
        <w:t xml:space="preserve">and instead </w:t>
      </w:r>
      <w:r w:rsidR="00EA3B53" w:rsidRPr="00522B6D">
        <w:t>require</w:t>
      </w:r>
      <w:r w:rsidR="00EA70E6" w:rsidRPr="00522B6D">
        <w:t xml:space="preserve"> </w:t>
      </w:r>
      <w:r w:rsidR="00722BF2" w:rsidRPr="00522B6D">
        <w:t xml:space="preserve">appellate </w:t>
      </w:r>
      <w:r w:rsidR="00EA70E6" w:rsidRPr="00522B6D">
        <w:t>courts to impose a new sentence</w:t>
      </w:r>
      <w:r w:rsidR="00F3293D" w:rsidRPr="00522B6D">
        <w:t xml:space="preserve"> without remanding for resentencing</w:t>
      </w:r>
      <w:r w:rsidR="00F720C9" w:rsidRPr="00522B6D">
        <w:t>,</w:t>
      </w:r>
      <w:r w:rsidR="00EA3B53" w:rsidRPr="00522B6D">
        <w:t xml:space="preserve"> </w:t>
      </w:r>
      <w:r w:rsidR="00EA70E6" w:rsidRPr="00522B6D">
        <w:t xml:space="preserve">defendant asks us to skip remand and simply order that the term of his probation be reduced.  </w:t>
      </w:r>
      <w:r w:rsidR="00FD460A" w:rsidRPr="00522B6D">
        <w:t>Were we</w:t>
      </w:r>
      <w:r w:rsidR="00EA70E6" w:rsidRPr="00522B6D">
        <w:t xml:space="preserve"> to do that</w:t>
      </w:r>
      <w:r w:rsidR="00FD460A" w:rsidRPr="00522B6D">
        <w:t>, defendant would have effectively whittled down his sentence without allowing the trial court to determine whether the reduced sentence furthers the interests of society</w:t>
      </w:r>
      <w:r w:rsidR="0003385F" w:rsidRPr="00522B6D">
        <w:t xml:space="preserve">.  </w:t>
      </w:r>
    </w:p>
    <w:p w14:paraId="57034F2D" w14:textId="2158AE25" w:rsidR="00C43FEB" w:rsidRPr="00522B6D" w:rsidRDefault="001D5D5D" w:rsidP="00871F8F">
      <w:pPr>
        <w:ind w:firstLine="720"/>
      </w:pPr>
      <w:r w:rsidRPr="00522B6D">
        <w:t>S</w:t>
      </w:r>
      <w:r w:rsidR="00FD460A" w:rsidRPr="00522B6D">
        <w:t xml:space="preserve">uch whittling should be avoided particularly in the case of a grant of probation where important conditions of probation were ordered to be in effect during the entire duration of probation.  In granting probation, trial courts have “broad discretion to impose conditions </w:t>
      </w:r>
      <w:r w:rsidR="00FD460A" w:rsidRPr="00522B6D">
        <w:rPr>
          <w:i/>
          <w:iCs/>
        </w:rPr>
        <w:t>to foster rehabilitation and to protect public safety</w:t>
      </w:r>
      <w:r w:rsidR="00FD460A" w:rsidRPr="00522B6D">
        <w:t xml:space="preserve">.” </w:t>
      </w:r>
      <w:r w:rsidR="00DD0B3A" w:rsidRPr="00522B6D">
        <w:t xml:space="preserve"> </w:t>
      </w:r>
      <w:r w:rsidR="00FD460A" w:rsidRPr="00522B6D">
        <w:t>(</w:t>
      </w:r>
      <w:bookmarkStart w:id="138" w:name="dabmci_3bdcd57823b940859b71aa7d72cb3029"/>
      <w:r w:rsidR="00524A8C" w:rsidRPr="00522B6D">
        <w:rPr>
          <w:i/>
          <w:iCs/>
        </w:rPr>
        <w:t>Moran</w:t>
      </w:r>
      <w:r w:rsidR="00524A8C" w:rsidRPr="00613511">
        <w:rPr>
          <w:i/>
        </w:rPr>
        <w:t>,</w:t>
      </w:r>
      <w:r w:rsidR="00524A8C" w:rsidRPr="00522B6D">
        <w:t xml:space="preserve"> </w:t>
      </w:r>
      <w:r w:rsidR="00524A8C" w:rsidRPr="00522B6D">
        <w:rPr>
          <w:i/>
          <w:iCs/>
        </w:rPr>
        <w:t>supra</w:t>
      </w:r>
      <w:r w:rsidR="00524A8C" w:rsidRPr="00522B6D">
        <w:t xml:space="preserve">, 1 Cal.5th </w:t>
      </w:r>
      <w:r w:rsidR="00FD460A" w:rsidRPr="00522B6D">
        <w:t>at p. 403</w:t>
      </w:r>
      <w:bookmarkEnd w:id="138"/>
      <w:r w:rsidR="00FD460A" w:rsidRPr="00522B6D">
        <w:t>, italics added.)  Here, the trial court imposed a search condition and requirement</w:t>
      </w:r>
      <w:r w:rsidRPr="00522B6D">
        <w:t>s</w:t>
      </w:r>
      <w:r w:rsidR="00FD460A" w:rsidRPr="00522B6D">
        <w:t xml:space="preserve"> of drug programming </w:t>
      </w:r>
      <w:r w:rsidRPr="00522B6D">
        <w:t xml:space="preserve">and </w:t>
      </w:r>
      <w:r w:rsidR="00FD460A" w:rsidRPr="00522B6D">
        <w:t>drug testing, contemplating that these conditions would be in force for five years.  This implies a finding that th</w:t>
      </w:r>
      <w:r w:rsidR="0003385F" w:rsidRPr="00522B6D">
        <w:t xml:space="preserve">ose conditions for that duration </w:t>
      </w:r>
      <w:r w:rsidR="00FD460A" w:rsidRPr="00522B6D">
        <w:t>would foster defendant’s rehabilitation and protect society</w:t>
      </w:r>
      <w:r w:rsidRPr="00522B6D">
        <w:t xml:space="preserve"> and thereby make thi</w:t>
      </w:r>
      <w:r w:rsidRPr="00522B6D">
        <w:t xml:space="preserve">s </w:t>
      </w:r>
      <w:r w:rsidRPr="00522B6D">
        <w:lastRenderedPageBreak/>
        <w:t>specific grant of probation in the interests of society</w:t>
      </w:r>
      <w:r w:rsidR="00FD460A" w:rsidRPr="00522B6D">
        <w:t xml:space="preserve">.  Indeed, defense counsel appears to have sold the negotiated resolution in this case to the court, and apparently to the prosecution, based on the duration of probation and the search condition, stating that if the court were to impose a local sentence with probation, defendant would “be </w:t>
      </w:r>
      <w:r w:rsidR="00FD460A" w:rsidRPr="00522B6D">
        <w:rPr>
          <w:i/>
          <w:iCs/>
        </w:rPr>
        <w:t xml:space="preserve">searchable for five years which would be far more than he would get if he were to go to prison on this case in terms of </w:t>
      </w:r>
      <w:r w:rsidR="009841A4" w:rsidRPr="00522B6D">
        <w:rPr>
          <w:i/>
          <w:iCs/>
        </w:rPr>
        <w:t>searchability</w:t>
      </w:r>
      <w:r w:rsidR="00FD460A" w:rsidRPr="00522B6D">
        <w:rPr>
          <w:i/>
          <w:iCs/>
        </w:rPr>
        <w:t xml:space="preserve"> and supervision</w:t>
      </w:r>
      <w:r w:rsidR="00FD460A" w:rsidRPr="00522B6D">
        <w:t xml:space="preserve">.” </w:t>
      </w:r>
      <w:r w:rsidR="00DD0B3A" w:rsidRPr="00522B6D">
        <w:t xml:space="preserve"> </w:t>
      </w:r>
      <w:r w:rsidR="00FD460A" w:rsidRPr="00522B6D">
        <w:t>(Italics added.)  Counsel later returned to this point, emphasizing, “</w:t>
      </w:r>
      <w:r w:rsidR="00FD460A" w:rsidRPr="00522B6D">
        <w:rPr>
          <w:i/>
          <w:iCs/>
        </w:rPr>
        <w:t>I think the best thing for the community and for [defendant] is to be under the supervision of probation for five years</w:t>
      </w:r>
      <w:r w:rsidR="00FD460A" w:rsidRPr="00522B6D">
        <w:t xml:space="preserve">.”  </w:t>
      </w:r>
      <w:r w:rsidRPr="00522B6D">
        <w:t>Apart from whether the prosecution would have consented to probation for t</w:t>
      </w:r>
      <w:r w:rsidRPr="00522B6D">
        <w:t>wo years,</w:t>
      </w:r>
      <w:r w:rsidR="00FD460A" w:rsidRPr="00522B6D">
        <w:t xml:space="preserve"> the trial court may well have rejected </w:t>
      </w:r>
      <w:r w:rsidR="00166F5C" w:rsidRPr="00522B6D">
        <w:t>that sentence as not in furtherance of the interest</w:t>
      </w:r>
      <w:r w:rsidR="009E4502">
        <w:t>s</w:t>
      </w:r>
      <w:r w:rsidR="00166F5C" w:rsidRPr="00522B6D">
        <w:t xml:space="preserve"> of society </w:t>
      </w:r>
      <w:r w:rsidR="00786974" w:rsidRPr="00522B6D">
        <w:t>based on the belief</w:t>
      </w:r>
      <w:r w:rsidR="005044EB" w:rsidRPr="00522B6D">
        <w:t xml:space="preserve"> </w:t>
      </w:r>
      <w:r w:rsidR="00786974" w:rsidRPr="00522B6D">
        <w:t>that the shorter</w:t>
      </w:r>
      <w:r w:rsidR="005044EB" w:rsidRPr="00522B6D">
        <w:t xml:space="preserve"> </w:t>
      </w:r>
      <w:r w:rsidR="005D1CCE" w:rsidRPr="00522B6D">
        <w:t xml:space="preserve">duration </w:t>
      </w:r>
      <w:r w:rsidR="00786974" w:rsidRPr="00522B6D">
        <w:t xml:space="preserve">would have been </w:t>
      </w:r>
      <w:r w:rsidR="008F390C" w:rsidRPr="00522B6D">
        <w:t xml:space="preserve">insufficient to </w:t>
      </w:r>
      <w:r w:rsidR="00786974" w:rsidRPr="00522B6D">
        <w:t>rehabilitate this particular defendant</w:t>
      </w:r>
      <w:r w:rsidR="005044EB" w:rsidRPr="00522B6D">
        <w:t xml:space="preserve"> or protect society</w:t>
      </w:r>
      <w:r w:rsidR="00FD460A" w:rsidRPr="00522B6D">
        <w:t>.</w:t>
      </w:r>
      <w:r w:rsidR="00CE22C8" w:rsidRPr="00522B6D">
        <w:t xml:space="preserve">  And it may arrive at the same conclusion on remand.</w:t>
      </w:r>
      <w:r>
        <w:rPr>
          <w:rStyle w:val="FootnoteReference"/>
        </w:rPr>
        <w:footnoteReference w:id="18"/>
      </w:r>
    </w:p>
    <w:p w14:paraId="468021F7" w14:textId="14A683E2" w:rsidR="00B039CC" w:rsidRPr="00522B6D" w:rsidRDefault="001D5D5D" w:rsidP="008A4FA5">
      <w:pPr>
        <w:keepNext/>
        <w:jc w:val="center"/>
        <w:rPr>
          <w:rFonts w:eastAsiaTheme="minorEastAsia"/>
          <w:b/>
          <w:bCs/>
        </w:rPr>
      </w:pPr>
      <w:r w:rsidRPr="00522B6D">
        <w:rPr>
          <w:rFonts w:eastAsiaTheme="minorEastAsia"/>
          <w:b/>
          <w:bCs/>
        </w:rPr>
        <w:t xml:space="preserve">D. </w:t>
      </w:r>
      <w:r w:rsidR="006D3A48" w:rsidRPr="00522B6D">
        <w:rPr>
          <w:rFonts w:eastAsiaTheme="minorEastAsia"/>
          <w:b/>
          <w:bCs/>
        </w:rPr>
        <w:t xml:space="preserve"> </w:t>
      </w:r>
      <w:r w:rsidRPr="00522B6D">
        <w:rPr>
          <w:rFonts w:eastAsiaTheme="minorEastAsia"/>
          <w:b/>
          <w:bCs/>
        </w:rPr>
        <w:t xml:space="preserve">Courts </w:t>
      </w:r>
      <w:r w:rsidR="00C43FEB" w:rsidRPr="00522B6D">
        <w:rPr>
          <w:rFonts w:eastAsiaTheme="minorEastAsia"/>
          <w:b/>
          <w:bCs/>
        </w:rPr>
        <w:t>that Reject</w:t>
      </w:r>
      <w:r w:rsidRPr="00522B6D">
        <w:rPr>
          <w:rFonts w:eastAsiaTheme="minorEastAsia"/>
          <w:b/>
          <w:bCs/>
        </w:rPr>
        <w:t xml:space="preserve"> the </w:t>
      </w:r>
      <w:r w:rsidRPr="00522B6D">
        <w:rPr>
          <w:rFonts w:eastAsiaTheme="minorEastAsia"/>
          <w:b/>
          <w:bCs/>
          <w:i/>
          <w:iCs/>
        </w:rPr>
        <w:t>Stamps</w:t>
      </w:r>
      <w:r w:rsidRPr="00522B6D">
        <w:rPr>
          <w:rFonts w:eastAsiaTheme="minorEastAsia"/>
          <w:b/>
          <w:bCs/>
        </w:rPr>
        <w:t xml:space="preserve"> Remedy</w:t>
      </w:r>
    </w:p>
    <w:p w14:paraId="13DC4EE0" w14:textId="19569D14" w:rsidR="00167F22" w:rsidRPr="00522B6D" w:rsidRDefault="001D5D5D" w:rsidP="00B039CC">
      <w:pPr>
        <w:ind w:firstLine="720"/>
        <w:rPr>
          <w:rFonts w:eastAsiaTheme="minorEastAsia"/>
        </w:rPr>
      </w:pPr>
      <w:r w:rsidRPr="00522B6D">
        <w:rPr>
          <w:rFonts w:eastAsiaTheme="minorEastAsia"/>
        </w:rPr>
        <w:t xml:space="preserve">We are mindful that </w:t>
      </w:r>
      <w:r w:rsidR="006D3A48" w:rsidRPr="00522B6D">
        <w:rPr>
          <w:rFonts w:eastAsiaTheme="minorEastAsia"/>
        </w:rPr>
        <w:t>some</w:t>
      </w:r>
      <w:r w:rsidR="00BD29BF" w:rsidRPr="00522B6D">
        <w:rPr>
          <w:rFonts w:eastAsiaTheme="minorEastAsia"/>
        </w:rPr>
        <w:t xml:space="preserve"> courts </w:t>
      </w:r>
      <w:r w:rsidR="00B2651B" w:rsidRPr="00522B6D">
        <w:rPr>
          <w:rFonts w:eastAsiaTheme="minorEastAsia"/>
        </w:rPr>
        <w:t xml:space="preserve">have </w:t>
      </w:r>
      <w:r w:rsidR="00957177" w:rsidRPr="00522B6D">
        <w:rPr>
          <w:rFonts w:eastAsiaTheme="minorEastAsia"/>
        </w:rPr>
        <w:t xml:space="preserve">declined to apply the </w:t>
      </w:r>
      <w:r w:rsidR="00957177" w:rsidRPr="00522B6D">
        <w:rPr>
          <w:rFonts w:eastAsiaTheme="minorEastAsia"/>
          <w:i/>
          <w:iCs/>
        </w:rPr>
        <w:t>Stamps</w:t>
      </w:r>
      <w:r w:rsidR="00957177" w:rsidRPr="00522B6D">
        <w:rPr>
          <w:rFonts w:eastAsiaTheme="minorEastAsia"/>
        </w:rPr>
        <w:t xml:space="preserve"> remedy. </w:t>
      </w:r>
      <w:r w:rsidR="001E6C55" w:rsidRPr="00522B6D">
        <w:rPr>
          <w:rFonts w:eastAsiaTheme="minorEastAsia"/>
        </w:rPr>
        <w:t xml:space="preserve"> </w:t>
      </w:r>
      <w:r w:rsidR="005507D0" w:rsidRPr="00522B6D">
        <w:rPr>
          <w:rFonts w:eastAsiaTheme="minorEastAsia"/>
        </w:rPr>
        <w:t xml:space="preserve">We disagree </w:t>
      </w:r>
      <w:r w:rsidR="00957177" w:rsidRPr="00522B6D">
        <w:rPr>
          <w:rFonts w:eastAsiaTheme="minorEastAsia"/>
        </w:rPr>
        <w:t>with</w:t>
      </w:r>
      <w:r w:rsidR="00653963" w:rsidRPr="00522B6D">
        <w:rPr>
          <w:rFonts w:eastAsiaTheme="minorEastAsia"/>
        </w:rPr>
        <w:t xml:space="preserve"> the approach advanced by these </w:t>
      </w:r>
      <w:r w:rsidR="00957177" w:rsidRPr="00522B6D">
        <w:rPr>
          <w:rFonts w:eastAsiaTheme="minorEastAsia"/>
        </w:rPr>
        <w:t>court</w:t>
      </w:r>
      <w:r w:rsidR="006D3A48" w:rsidRPr="00522B6D">
        <w:rPr>
          <w:rFonts w:eastAsiaTheme="minorEastAsia"/>
        </w:rPr>
        <w:t>s</w:t>
      </w:r>
      <w:r w:rsidR="00957177" w:rsidRPr="00522B6D">
        <w:rPr>
          <w:rFonts w:eastAsiaTheme="minorEastAsia"/>
        </w:rPr>
        <w:t xml:space="preserve"> </w:t>
      </w:r>
      <w:r w:rsidR="00457C35" w:rsidRPr="00522B6D">
        <w:rPr>
          <w:rFonts w:eastAsiaTheme="minorEastAsia"/>
        </w:rPr>
        <w:t>as we shall explain</w:t>
      </w:r>
      <w:r w:rsidR="005507D0" w:rsidRPr="00522B6D">
        <w:rPr>
          <w:rFonts w:eastAsiaTheme="minorEastAsia"/>
        </w:rPr>
        <w:t>.</w:t>
      </w:r>
      <w:r w:rsidR="00BD29BF" w:rsidRPr="00522B6D">
        <w:rPr>
          <w:rFonts w:eastAsiaTheme="minorEastAsia"/>
        </w:rPr>
        <w:t xml:space="preserve"> </w:t>
      </w:r>
      <w:r w:rsidR="00A76AC1" w:rsidRPr="00522B6D">
        <w:rPr>
          <w:rFonts w:eastAsiaTheme="minorEastAsia"/>
        </w:rPr>
        <w:t xml:space="preserve"> </w:t>
      </w:r>
    </w:p>
    <w:p w14:paraId="0B011D2D" w14:textId="2C5536AD" w:rsidR="00F749BE" w:rsidRPr="00522B6D" w:rsidRDefault="001D5D5D" w:rsidP="00871F8F">
      <w:pPr>
        <w:ind w:firstLine="720"/>
        <w:rPr>
          <w:color w:val="000000"/>
        </w:rPr>
      </w:pPr>
      <w:r w:rsidRPr="00522B6D">
        <w:rPr>
          <w:rFonts w:eastAsiaTheme="minorEastAsia"/>
        </w:rPr>
        <w:t xml:space="preserve">In </w:t>
      </w:r>
      <w:bookmarkStart w:id="139" w:name="dabmci_2dad6303cbe24668b73a423e1e2b81ed"/>
      <w:r w:rsidRPr="00522B6D">
        <w:rPr>
          <w:rFonts w:eastAsiaTheme="minorEastAsia"/>
          <w:i/>
          <w:iCs/>
        </w:rPr>
        <w:t>People v. France</w:t>
      </w:r>
      <w:r w:rsidRPr="00522B6D">
        <w:rPr>
          <w:rFonts w:eastAsiaTheme="minorEastAsia"/>
        </w:rPr>
        <w:t xml:space="preserve"> (2020) 58 Cal.App.5th 714</w:t>
      </w:r>
      <w:bookmarkEnd w:id="139"/>
      <w:r w:rsidR="008A6420" w:rsidRPr="00522B6D">
        <w:rPr>
          <w:rFonts w:eastAsiaTheme="minorEastAsia"/>
        </w:rPr>
        <w:t>,</w:t>
      </w:r>
      <w:r w:rsidR="00BF6BEF" w:rsidRPr="00522B6D">
        <w:rPr>
          <w:rFonts w:eastAsiaTheme="minorEastAsia"/>
        </w:rPr>
        <w:t xml:space="preserve"> review granted </w:t>
      </w:r>
      <w:r w:rsidR="00DD0B3A" w:rsidRPr="00522B6D">
        <w:rPr>
          <w:rFonts w:eastAsiaTheme="minorEastAsia"/>
        </w:rPr>
        <w:t>February</w:t>
      </w:r>
      <w:r w:rsidR="00BF6BEF" w:rsidRPr="00522B6D">
        <w:rPr>
          <w:rFonts w:eastAsiaTheme="minorEastAsia"/>
        </w:rPr>
        <w:t xml:space="preserve"> 24, 2021</w:t>
      </w:r>
      <w:r w:rsidR="00DD0B3A" w:rsidRPr="00522B6D">
        <w:rPr>
          <w:rFonts w:eastAsiaTheme="minorEastAsia"/>
        </w:rPr>
        <w:t>,</w:t>
      </w:r>
      <w:r w:rsidR="00BF6BEF" w:rsidRPr="00522B6D">
        <w:rPr>
          <w:rFonts w:eastAsiaTheme="minorEastAsia"/>
        </w:rPr>
        <w:t xml:space="preserve"> S266771,</w:t>
      </w:r>
      <w:r w:rsidR="008A6420" w:rsidRPr="00522B6D">
        <w:rPr>
          <w:rFonts w:eastAsiaTheme="minorEastAsia"/>
        </w:rPr>
        <w:t xml:space="preserve"> </w:t>
      </w:r>
      <w:r w:rsidR="004F31FC" w:rsidRPr="00522B6D">
        <w:rPr>
          <w:rFonts w:eastAsiaTheme="minorEastAsia"/>
        </w:rPr>
        <w:t xml:space="preserve">a majority of </w:t>
      </w:r>
      <w:r w:rsidR="00364030" w:rsidRPr="00522B6D">
        <w:rPr>
          <w:rFonts w:eastAsiaTheme="minorEastAsia"/>
        </w:rPr>
        <w:t xml:space="preserve">a panel in Division </w:t>
      </w:r>
      <w:r w:rsidR="00C061BC" w:rsidRPr="00522B6D">
        <w:rPr>
          <w:rFonts w:eastAsiaTheme="minorEastAsia"/>
        </w:rPr>
        <w:t>Four</w:t>
      </w:r>
      <w:r w:rsidR="00364030" w:rsidRPr="00522B6D">
        <w:rPr>
          <w:rFonts w:eastAsiaTheme="minorEastAsia"/>
        </w:rPr>
        <w:t xml:space="preserve"> of the First District</w:t>
      </w:r>
      <w:r w:rsidR="0018056B" w:rsidRPr="00522B6D">
        <w:rPr>
          <w:rFonts w:eastAsiaTheme="minorEastAsia"/>
        </w:rPr>
        <w:t xml:space="preserve"> </w:t>
      </w:r>
      <w:r w:rsidR="008A6420" w:rsidRPr="00522B6D">
        <w:rPr>
          <w:rFonts w:eastAsiaTheme="minorEastAsia"/>
        </w:rPr>
        <w:t xml:space="preserve">concluded </w:t>
      </w:r>
      <w:r w:rsidR="008F4F1E" w:rsidRPr="00522B6D">
        <w:rPr>
          <w:rFonts w:eastAsiaTheme="minorEastAsia"/>
        </w:rPr>
        <w:t xml:space="preserve">the </w:t>
      </w:r>
      <w:r w:rsidR="008A6420" w:rsidRPr="00522B6D">
        <w:rPr>
          <w:rFonts w:eastAsiaTheme="minorEastAsia"/>
        </w:rPr>
        <w:t xml:space="preserve">defendant was entitled to the benefit of </w:t>
      </w:r>
      <w:bookmarkStart w:id="140" w:name="dabmci_5090584d8d284583ba0810be9e4f5277"/>
      <w:r w:rsidR="00BE30E7" w:rsidRPr="00522B6D">
        <w:rPr>
          <w:rFonts w:eastAsiaTheme="minorEastAsia"/>
        </w:rPr>
        <w:t>Senate Bill</w:t>
      </w:r>
      <w:r w:rsidR="008A6420" w:rsidRPr="00522B6D">
        <w:rPr>
          <w:rFonts w:eastAsiaTheme="minorEastAsia"/>
        </w:rPr>
        <w:t xml:space="preserve"> 136</w:t>
      </w:r>
      <w:bookmarkEnd w:id="140"/>
      <w:r w:rsidR="00457C35" w:rsidRPr="00522B6D">
        <w:rPr>
          <w:rFonts w:eastAsiaTheme="minorEastAsia"/>
        </w:rPr>
        <w:t xml:space="preserve">, without the need for </w:t>
      </w:r>
      <w:r w:rsidR="008A6420" w:rsidRPr="00522B6D">
        <w:rPr>
          <w:rFonts w:eastAsiaTheme="minorEastAsia"/>
        </w:rPr>
        <w:t>remand.</w:t>
      </w:r>
      <w:r w:rsidR="009E5B6E" w:rsidRPr="00522B6D">
        <w:rPr>
          <w:rFonts w:eastAsiaTheme="minorEastAsia"/>
        </w:rPr>
        <w:t xml:space="preserve">  </w:t>
      </w:r>
      <w:r w:rsidR="0065171D" w:rsidRPr="00613511">
        <w:rPr>
          <w:rFonts w:eastAsiaTheme="minorEastAsia"/>
        </w:rPr>
        <w:t>(</w:t>
      </w:r>
      <w:bookmarkStart w:id="141" w:name="dabmci_7fbe698f5f4a433cbda38583d2f29565"/>
      <w:r w:rsidR="003400FB" w:rsidRPr="00613511">
        <w:rPr>
          <w:rFonts w:eastAsiaTheme="minorEastAsia"/>
          <w:i/>
          <w:iCs/>
        </w:rPr>
        <w:t>France,</w:t>
      </w:r>
      <w:r w:rsidR="0065171D" w:rsidRPr="00527FAC">
        <w:rPr>
          <w:rFonts w:eastAsiaTheme="minorEastAsia"/>
        </w:rPr>
        <w:t xml:space="preserve"> at </w:t>
      </w:r>
      <w:r w:rsidR="0065171D" w:rsidRPr="00613511">
        <w:rPr>
          <w:rFonts w:eastAsiaTheme="minorEastAsia"/>
        </w:rPr>
        <w:t>p</w:t>
      </w:r>
      <w:r w:rsidR="00DD0B3A" w:rsidRPr="00613511">
        <w:rPr>
          <w:rFonts w:eastAsiaTheme="minorEastAsia"/>
        </w:rPr>
        <w:t>p</w:t>
      </w:r>
      <w:r w:rsidR="0065171D" w:rsidRPr="00527FAC">
        <w:rPr>
          <w:rFonts w:eastAsiaTheme="minorEastAsia"/>
        </w:rPr>
        <w:t>.</w:t>
      </w:r>
      <w:bookmarkEnd w:id="141"/>
      <w:r w:rsidR="008C4A3E" w:rsidRPr="00613511">
        <w:rPr>
          <w:rFonts w:eastAsiaTheme="minorEastAsia"/>
        </w:rPr>
        <w:t xml:space="preserve"> 718, 727-730</w:t>
      </w:r>
      <w:r w:rsidR="0065171D" w:rsidRPr="00527FAC">
        <w:rPr>
          <w:rFonts w:eastAsiaTheme="minorEastAsia"/>
        </w:rPr>
        <w:t>.)  The</w:t>
      </w:r>
      <w:r w:rsidR="0065171D">
        <w:rPr>
          <w:rFonts w:eastAsiaTheme="minorEastAsia"/>
        </w:rPr>
        <w:t xml:space="preserve"> </w:t>
      </w:r>
      <w:r w:rsidR="00AC3662">
        <w:rPr>
          <w:rFonts w:eastAsiaTheme="minorEastAsia"/>
        </w:rPr>
        <w:t xml:space="preserve">majority </w:t>
      </w:r>
      <w:r w:rsidR="0065171D">
        <w:rPr>
          <w:rFonts w:eastAsiaTheme="minorEastAsia"/>
        </w:rPr>
        <w:t xml:space="preserve">acknowledged that </w:t>
      </w:r>
      <w:r w:rsidR="005507D0">
        <w:rPr>
          <w:rFonts w:eastAsiaTheme="minorEastAsia"/>
        </w:rPr>
        <w:t xml:space="preserve">nothing </w:t>
      </w:r>
      <w:r w:rsidR="0065171D">
        <w:rPr>
          <w:rFonts w:eastAsiaTheme="minorEastAsia"/>
        </w:rPr>
        <w:t xml:space="preserve">in </w:t>
      </w:r>
      <w:bookmarkStart w:id="142" w:name="dabmci_3b9e5094b2154bb383610d7af6ab1ab4"/>
      <w:r w:rsidR="00BE30E7">
        <w:rPr>
          <w:rFonts w:eastAsiaTheme="minorEastAsia"/>
        </w:rPr>
        <w:t>Senate Bill</w:t>
      </w:r>
      <w:r w:rsidR="0065171D">
        <w:rPr>
          <w:rFonts w:eastAsiaTheme="minorEastAsia"/>
        </w:rPr>
        <w:t xml:space="preserve"> 136</w:t>
      </w:r>
      <w:bookmarkEnd w:id="142"/>
      <w:r w:rsidR="0065171D">
        <w:rPr>
          <w:rFonts w:eastAsiaTheme="minorEastAsia"/>
        </w:rPr>
        <w:t xml:space="preserve"> addressed plea bargains</w:t>
      </w:r>
      <w:r w:rsidR="00F015DD">
        <w:rPr>
          <w:rFonts w:eastAsiaTheme="minorEastAsia"/>
        </w:rPr>
        <w:t>, b</w:t>
      </w:r>
      <w:r w:rsidR="00854DC4">
        <w:rPr>
          <w:rFonts w:eastAsiaTheme="minorEastAsia"/>
        </w:rPr>
        <w:t xml:space="preserve">ut reasoned that </w:t>
      </w:r>
      <w:r w:rsidR="00B2651B">
        <w:rPr>
          <w:rFonts w:eastAsiaTheme="minorEastAsia"/>
        </w:rPr>
        <w:t xml:space="preserve">while the </w:t>
      </w:r>
      <w:r w:rsidR="00854DC4" w:rsidRPr="00684023">
        <w:rPr>
          <w:rFonts w:eastAsiaTheme="minorEastAsia"/>
          <w:i/>
          <w:iCs/>
        </w:rPr>
        <w:t>Stamps</w:t>
      </w:r>
      <w:r w:rsidR="00854DC4">
        <w:rPr>
          <w:rFonts w:eastAsiaTheme="minorEastAsia"/>
        </w:rPr>
        <w:t xml:space="preserve"> </w:t>
      </w:r>
      <w:r w:rsidR="00B2651B">
        <w:rPr>
          <w:rFonts w:eastAsiaTheme="minorEastAsia"/>
        </w:rPr>
        <w:t xml:space="preserve">court </w:t>
      </w:r>
      <w:r w:rsidR="005507D0">
        <w:rPr>
          <w:rFonts w:eastAsiaTheme="minorEastAsia"/>
        </w:rPr>
        <w:t xml:space="preserve">found </w:t>
      </w:r>
      <w:r w:rsidR="00854DC4">
        <w:rPr>
          <w:rFonts w:eastAsiaTheme="minorEastAsia"/>
        </w:rPr>
        <w:t xml:space="preserve">the absence of such provisions </w:t>
      </w:r>
      <w:r w:rsidR="00854DC4" w:rsidRPr="00522B6D">
        <w:rPr>
          <w:rFonts w:eastAsiaTheme="minorEastAsia"/>
        </w:rPr>
        <w:t xml:space="preserve">“ ‘undercuts’ ” the notion that the Legislature intended to </w:t>
      </w:r>
      <w:r w:rsidR="0018056B" w:rsidRPr="00522B6D">
        <w:rPr>
          <w:rFonts w:eastAsiaTheme="minorEastAsia"/>
        </w:rPr>
        <w:t xml:space="preserve">alter </w:t>
      </w:r>
      <w:r w:rsidR="00854DC4" w:rsidRPr="00522B6D">
        <w:rPr>
          <w:rFonts w:eastAsiaTheme="minorEastAsia"/>
        </w:rPr>
        <w:t>the long-standing bar on a trial court’s ability to unilaterally modify negotiated sentences</w:t>
      </w:r>
      <w:r w:rsidR="008F6CDB" w:rsidRPr="00522B6D">
        <w:rPr>
          <w:rFonts w:eastAsiaTheme="minorEastAsia"/>
        </w:rPr>
        <w:t xml:space="preserve">, </w:t>
      </w:r>
      <w:bookmarkStart w:id="143" w:name="_Hlk90076025"/>
      <w:r w:rsidR="00854DC4" w:rsidRPr="00522B6D">
        <w:rPr>
          <w:rFonts w:eastAsiaTheme="minorEastAsia"/>
        </w:rPr>
        <w:t xml:space="preserve">the lack of such legislative language was not dispositive.  </w:t>
      </w:r>
      <w:r w:rsidR="00F015DD" w:rsidRPr="00522B6D">
        <w:rPr>
          <w:rFonts w:eastAsiaTheme="minorEastAsia"/>
        </w:rPr>
        <w:t>(</w:t>
      </w:r>
      <w:bookmarkStart w:id="144" w:name="dabmci_f641c4c735c54b51b5758bb4a348ab73"/>
      <w:r w:rsidR="00E056B0">
        <w:rPr>
          <w:rFonts w:eastAsiaTheme="minorEastAsia"/>
          <w:i/>
          <w:iCs/>
        </w:rPr>
        <w:t>France,</w:t>
      </w:r>
      <w:r w:rsidR="00F015DD" w:rsidRPr="00522B6D">
        <w:rPr>
          <w:rFonts w:eastAsiaTheme="minorEastAsia"/>
        </w:rPr>
        <w:t xml:space="preserve"> at p</w:t>
      </w:r>
      <w:r w:rsidR="00527FAC">
        <w:rPr>
          <w:rFonts w:eastAsiaTheme="minorEastAsia"/>
        </w:rPr>
        <w:t>p</w:t>
      </w:r>
      <w:r w:rsidR="00F015DD" w:rsidRPr="00522B6D">
        <w:rPr>
          <w:rFonts w:eastAsiaTheme="minorEastAsia"/>
        </w:rPr>
        <w:t xml:space="preserve">. </w:t>
      </w:r>
      <w:r w:rsidR="00527FAC">
        <w:rPr>
          <w:rFonts w:eastAsiaTheme="minorEastAsia"/>
        </w:rPr>
        <w:t>727-</w:t>
      </w:r>
      <w:r w:rsidR="00D90A76" w:rsidRPr="00522B6D">
        <w:rPr>
          <w:rFonts w:eastAsiaTheme="minorEastAsia"/>
        </w:rPr>
        <w:t>728</w:t>
      </w:r>
      <w:bookmarkEnd w:id="144"/>
      <w:r w:rsidR="00F015DD" w:rsidRPr="00522B6D">
        <w:rPr>
          <w:rFonts w:eastAsiaTheme="minorEastAsia"/>
        </w:rPr>
        <w:t xml:space="preserve">.)  </w:t>
      </w:r>
      <w:bookmarkEnd w:id="143"/>
      <w:r w:rsidR="00854DC4" w:rsidRPr="00522B6D">
        <w:rPr>
          <w:rFonts w:eastAsiaTheme="minorEastAsia"/>
        </w:rPr>
        <w:t xml:space="preserve">The </w:t>
      </w:r>
      <w:r w:rsidR="00AC3662" w:rsidRPr="00522B6D">
        <w:rPr>
          <w:rFonts w:eastAsiaTheme="minorEastAsia"/>
        </w:rPr>
        <w:lastRenderedPageBreak/>
        <w:t>majority</w:t>
      </w:r>
      <w:r w:rsidR="00854DC4" w:rsidRPr="00522B6D">
        <w:rPr>
          <w:rFonts w:eastAsiaTheme="minorEastAsia"/>
        </w:rPr>
        <w:t xml:space="preserve"> placed “greater importance” on the difference between </w:t>
      </w:r>
      <w:bookmarkStart w:id="145" w:name="dabmci_b1b3c1b24dc94067870985afb0155b52"/>
      <w:r w:rsidR="00BE30E7" w:rsidRPr="00522B6D">
        <w:rPr>
          <w:rFonts w:eastAsiaTheme="minorEastAsia"/>
        </w:rPr>
        <w:t>Senate Bill</w:t>
      </w:r>
      <w:r w:rsidR="00854DC4" w:rsidRPr="00522B6D">
        <w:rPr>
          <w:rFonts w:eastAsiaTheme="minorEastAsia"/>
        </w:rPr>
        <w:t xml:space="preserve"> 1393</w:t>
      </w:r>
      <w:bookmarkEnd w:id="145"/>
      <w:r w:rsidR="00854DC4" w:rsidRPr="00522B6D">
        <w:rPr>
          <w:rFonts w:eastAsiaTheme="minorEastAsia"/>
        </w:rPr>
        <w:t xml:space="preserve"> and </w:t>
      </w:r>
      <w:bookmarkStart w:id="146" w:name="dabmci_f7db45853a8448b3a36085a6bdcbd7e1"/>
      <w:r w:rsidR="00BE30E7" w:rsidRPr="00522B6D">
        <w:rPr>
          <w:rFonts w:eastAsiaTheme="minorEastAsia"/>
        </w:rPr>
        <w:t>Senate Bill</w:t>
      </w:r>
      <w:r w:rsidR="00854DC4" w:rsidRPr="00522B6D">
        <w:rPr>
          <w:rFonts w:eastAsiaTheme="minorEastAsia"/>
        </w:rPr>
        <w:t xml:space="preserve"> 136</w:t>
      </w:r>
      <w:bookmarkEnd w:id="146"/>
      <w:r w:rsidR="008F4F1E" w:rsidRPr="00522B6D">
        <w:rPr>
          <w:rFonts w:eastAsiaTheme="minorEastAsia"/>
        </w:rPr>
        <w:t>, reasoning</w:t>
      </w:r>
      <w:r w:rsidR="00A62131" w:rsidRPr="00522B6D">
        <w:rPr>
          <w:rFonts w:eastAsiaTheme="minorEastAsia"/>
        </w:rPr>
        <w:t xml:space="preserve"> that </w:t>
      </w:r>
      <w:r w:rsidR="00A62131" w:rsidRPr="00522B6D">
        <w:rPr>
          <w:color w:val="000000"/>
        </w:rPr>
        <w:t xml:space="preserve">“[p]reventing </w:t>
      </w:r>
      <w:bookmarkStart w:id="147" w:name="dabmci_7a817344d5d64b6d94b4d0d39a359bd3"/>
      <w:r w:rsidR="00C061BC" w:rsidRPr="00522B6D">
        <w:rPr>
          <w:color w:val="000000"/>
        </w:rPr>
        <w:t xml:space="preserve">Senate Bill </w:t>
      </w:r>
      <w:r w:rsidR="00A62131" w:rsidRPr="00522B6D">
        <w:rPr>
          <w:color w:val="000000"/>
        </w:rPr>
        <w:t>136</w:t>
      </w:r>
      <w:bookmarkEnd w:id="147"/>
      <w:r w:rsidR="00A62131" w:rsidRPr="00522B6D">
        <w:rPr>
          <w:color w:val="000000"/>
        </w:rPr>
        <w:t xml:space="preserve"> from applying to plea-bargained sentences would thwart or </w:t>
      </w:r>
      <w:bookmarkStart w:id="148" w:name="_Hlk90076094"/>
      <w:r w:rsidR="00A62131" w:rsidRPr="00522B6D">
        <w:rPr>
          <w:color w:val="000000"/>
        </w:rPr>
        <w:t xml:space="preserve">delay the full achievement of the Legislature’s intent to </w:t>
      </w:r>
      <w:bookmarkStart w:id="149" w:name="_Hlk90499357"/>
      <w:r w:rsidR="00A62131" w:rsidRPr="00522B6D">
        <w:rPr>
          <w:color w:val="000000"/>
        </w:rPr>
        <w:t>reduce the expense and ineffectiveness of enhanced prison sentences based on prior prison terms</w:t>
      </w:r>
      <w:bookmarkEnd w:id="148"/>
      <w:bookmarkEnd w:id="149"/>
      <w:r w:rsidR="00A62131" w:rsidRPr="00522B6D">
        <w:rPr>
          <w:color w:val="000000"/>
        </w:rPr>
        <w:t>, especially given that pleas of guilty or no contest ‘represent the vast majority of felony and misdemeanor dispositions in criminal cases</w:t>
      </w:r>
      <w:r w:rsidR="00B6672C" w:rsidRPr="00522B6D">
        <w:rPr>
          <w:color w:val="000000"/>
        </w:rPr>
        <w:t>.</w:t>
      </w:r>
      <w:r w:rsidR="00C061BC" w:rsidRPr="00522B6D">
        <w:rPr>
          <w:color w:val="000000"/>
        </w:rPr>
        <w:t xml:space="preserve">’ </w:t>
      </w:r>
      <w:r w:rsidR="00A62131" w:rsidRPr="00522B6D">
        <w:rPr>
          <w:color w:val="000000"/>
        </w:rPr>
        <w:t>”</w:t>
      </w:r>
      <w:r w:rsidR="00B300D1" w:rsidRPr="00522B6D">
        <w:rPr>
          <w:color w:val="000000"/>
        </w:rPr>
        <w:t xml:space="preserve"> </w:t>
      </w:r>
      <w:r w:rsidR="00A62131" w:rsidRPr="00522B6D">
        <w:rPr>
          <w:color w:val="000000"/>
        </w:rPr>
        <w:t xml:space="preserve"> </w:t>
      </w:r>
      <w:r w:rsidR="00B6672C" w:rsidRPr="00522B6D">
        <w:rPr>
          <w:color w:val="000000"/>
        </w:rPr>
        <w:t>(</w:t>
      </w:r>
      <w:bookmarkStart w:id="150" w:name="dabmci_1be1596f540945008647b789fed60309"/>
      <w:r w:rsidR="009F77CD" w:rsidRPr="009F77CD">
        <w:rPr>
          <w:i/>
          <w:iCs/>
          <w:color w:val="000000"/>
        </w:rPr>
        <w:t>Id</w:t>
      </w:r>
      <w:r w:rsidR="009F77CD">
        <w:rPr>
          <w:color w:val="000000"/>
        </w:rPr>
        <w:t xml:space="preserve">. </w:t>
      </w:r>
      <w:r w:rsidR="00B6672C" w:rsidRPr="00D90A76">
        <w:rPr>
          <w:color w:val="000000"/>
        </w:rPr>
        <w:t>at p.</w:t>
      </w:r>
      <w:r w:rsidR="004E06CD">
        <w:rPr>
          <w:color w:val="000000"/>
        </w:rPr>
        <w:t> </w:t>
      </w:r>
      <w:r w:rsidR="00D90A76">
        <w:rPr>
          <w:color w:val="000000"/>
        </w:rPr>
        <w:t>728</w:t>
      </w:r>
      <w:bookmarkEnd w:id="150"/>
      <w:r w:rsidR="00B6672C" w:rsidRPr="00D90A76">
        <w:rPr>
          <w:color w:val="000000"/>
        </w:rPr>
        <w:t>.)</w:t>
      </w:r>
      <w:r w:rsidR="00B6672C">
        <w:rPr>
          <w:color w:val="000000"/>
        </w:rPr>
        <w:t xml:space="preserve">  </w:t>
      </w:r>
      <w:r w:rsidR="00BF6BEF">
        <w:rPr>
          <w:color w:val="000000"/>
        </w:rPr>
        <w:t xml:space="preserve">Acknowledging that </w:t>
      </w:r>
      <w:r w:rsidR="00A62131">
        <w:rPr>
          <w:color w:val="000000"/>
        </w:rPr>
        <w:t xml:space="preserve">the same could </w:t>
      </w:r>
      <w:r w:rsidR="00457C35">
        <w:rPr>
          <w:color w:val="000000"/>
        </w:rPr>
        <w:t xml:space="preserve">be </w:t>
      </w:r>
      <w:r w:rsidR="00A62131">
        <w:rPr>
          <w:color w:val="000000"/>
        </w:rPr>
        <w:t xml:space="preserve">said </w:t>
      </w:r>
      <w:r w:rsidR="00457C35">
        <w:rPr>
          <w:color w:val="000000"/>
        </w:rPr>
        <w:t xml:space="preserve">of </w:t>
      </w:r>
      <w:bookmarkStart w:id="151" w:name="dabmci_27f23efdced347e2a2c4c7335287baab"/>
      <w:r w:rsidR="00BE30E7">
        <w:rPr>
          <w:color w:val="000000"/>
        </w:rPr>
        <w:t>Senate Bill</w:t>
      </w:r>
      <w:r w:rsidR="00A62131">
        <w:rPr>
          <w:color w:val="000000"/>
        </w:rPr>
        <w:t xml:space="preserve"> 1393</w:t>
      </w:r>
      <w:bookmarkEnd w:id="151"/>
      <w:r w:rsidR="00A62131">
        <w:rPr>
          <w:color w:val="000000"/>
        </w:rPr>
        <w:t xml:space="preserve">, </w:t>
      </w:r>
      <w:r w:rsidR="00B6672C">
        <w:rPr>
          <w:color w:val="000000"/>
        </w:rPr>
        <w:t xml:space="preserve">the </w:t>
      </w:r>
      <w:r w:rsidR="00B6672C" w:rsidRPr="00684023">
        <w:rPr>
          <w:i/>
          <w:iCs/>
          <w:color w:val="000000"/>
        </w:rPr>
        <w:t>France</w:t>
      </w:r>
      <w:r w:rsidR="00B6672C">
        <w:rPr>
          <w:color w:val="000000"/>
        </w:rPr>
        <w:t xml:space="preserve"> majority </w:t>
      </w:r>
      <w:r w:rsidR="00FF596D">
        <w:rPr>
          <w:color w:val="000000"/>
        </w:rPr>
        <w:t xml:space="preserve">distinguished </w:t>
      </w:r>
      <w:bookmarkStart w:id="152" w:name="dabmci_635e212562cd4177a2add553ef0fd8d0"/>
      <w:r w:rsidR="00BE30E7">
        <w:rPr>
          <w:color w:val="000000"/>
        </w:rPr>
        <w:t>Senate Bill</w:t>
      </w:r>
      <w:r w:rsidR="00A61C07">
        <w:rPr>
          <w:color w:val="000000"/>
        </w:rPr>
        <w:t xml:space="preserve"> </w:t>
      </w:r>
      <w:r w:rsidR="007B1B83">
        <w:rPr>
          <w:color w:val="000000"/>
        </w:rPr>
        <w:t>1393</w:t>
      </w:r>
      <w:bookmarkEnd w:id="152"/>
      <w:r w:rsidR="007B1B83">
        <w:rPr>
          <w:color w:val="000000"/>
        </w:rPr>
        <w:t xml:space="preserve"> because </w:t>
      </w:r>
      <w:r w:rsidR="00FF596D">
        <w:rPr>
          <w:color w:val="000000"/>
        </w:rPr>
        <w:t xml:space="preserve">through </w:t>
      </w:r>
      <w:r w:rsidR="007B1B83">
        <w:rPr>
          <w:color w:val="000000"/>
        </w:rPr>
        <w:t>it</w:t>
      </w:r>
      <w:r w:rsidR="00613103">
        <w:rPr>
          <w:color w:val="000000"/>
        </w:rPr>
        <w:t>, the Legislature</w:t>
      </w:r>
      <w:r w:rsidR="007B1B83">
        <w:rPr>
          <w:color w:val="000000"/>
        </w:rPr>
        <w:t xml:space="preserve"> </w:t>
      </w:r>
      <w:r w:rsidR="00A62131">
        <w:rPr>
          <w:color w:val="000000"/>
        </w:rPr>
        <w:t xml:space="preserve">sought to reduce sentences indirectly by giving courts the discretion to strike enhancements.  </w:t>
      </w:r>
      <w:r w:rsidR="00A62131" w:rsidRPr="00806223">
        <w:rPr>
          <w:color w:val="000000"/>
        </w:rPr>
        <w:t>(</w:t>
      </w:r>
      <w:r w:rsidR="006067A9" w:rsidRPr="009F77CD">
        <w:rPr>
          <w:i/>
          <w:iCs/>
          <w:color w:val="000000"/>
        </w:rPr>
        <w:t>France,</w:t>
      </w:r>
      <w:r w:rsidR="00A62131" w:rsidRPr="00806223">
        <w:rPr>
          <w:color w:val="000000"/>
        </w:rPr>
        <w:t xml:space="preserve"> at </w:t>
      </w:r>
      <w:r w:rsidR="00A62131" w:rsidRPr="009F77CD">
        <w:rPr>
          <w:color w:val="000000"/>
        </w:rPr>
        <w:t>p</w:t>
      </w:r>
      <w:r w:rsidR="00A62131" w:rsidRPr="00806223">
        <w:rPr>
          <w:color w:val="000000"/>
        </w:rPr>
        <w:t>.</w:t>
      </w:r>
      <w:r w:rsidR="00FF1765">
        <w:rPr>
          <w:color w:val="000000"/>
        </w:rPr>
        <w:t> </w:t>
      </w:r>
      <w:r w:rsidR="00A62131" w:rsidRPr="00806223">
        <w:rPr>
          <w:color w:val="000000"/>
        </w:rPr>
        <w:t>7</w:t>
      </w:r>
      <w:r w:rsidR="009F77CD">
        <w:rPr>
          <w:color w:val="000000"/>
        </w:rPr>
        <w:t>28</w:t>
      </w:r>
      <w:r w:rsidR="00B6672C" w:rsidRPr="00806223">
        <w:rPr>
          <w:color w:val="000000"/>
        </w:rPr>
        <w:t>.</w:t>
      </w:r>
      <w:r w:rsidR="00A62131" w:rsidRPr="00806223">
        <w:rPr>
          <w:color w:val="000000"/>
        </w:rPr>
        <w:t>)</w:t>
      </w:r>
      <w:r w:rsidR="00A62131">
        <w:rPr>
          <w:color w:val="000000"/>
        </w:rPr>
        <w:t xml:space="preserve">  </w:t>
      </w:r>
      <w:r w:rsidR="00FF596D">
        <w:rPr>
          <w:color w:val="000000"/>
        </w:rPr>
        <w:t>Thus</w:t>
      </w:r>
      <w:r w:rsidR="008F6CDB">
        <w:rPr>
          <w:color w:val="000000"/>
        </w:rPr>
        <w:t>,</w:t>
      </w:r>
      <w:r w:rsidR="00A62131">
        <w:rPr>
          <w:color w:val="000000"/>
        </w:rPr>
        <w:t xml:space="preserve"> the </w:t>
      </w:r>
      <w:r w:rsidR="00F22154">
        <w:rPr>
          <w:color w:val="000000"/>
        </w:rPr>
        <w:t>prohibition on a trial court’s ability to unilaterally modify a plea</w:t>
      </w:r>
      <w:r w:rsidR="00B6672C">
        <w:rPr>
          <w:color w:val="000000"/>
        </w:rPr>
        <w:t>-</w:t>
      </w:r>
      <w:r w:rsidR="00F22154">
        <w:rPr>
          <w:color w:val="000000"/>
        </w:rPr>
        <w:t xml:space="preserve">bargained sentence was implicated.  </w:t>
      </w:r>
      <w:r w:rsidR="00AF1E88">
        <w:rPr>
          <w:color w:val="000000"/>
        </w:rPr>
        <w:t>(</w:t>
      </w:r>
      <w:r w:rsidR="00AF1E88" w:rsidRPr="009F77CD">
        <w:rPr>
          <w:i/>
          <w:iCs/>
          <w:color w:val="000000"/>
        </w:rPr>
        <w:t>Ibid</w:t>
      </w:r>
      <w:r w:rsidR="00AF1E88">
        <w:rPr>
          <w:color w:val="000000"/>
        </w:rPr>
        <w:t xml:space="preserve">.) </w:t>
      </w:r>
      <w:r w:rsidR="00F22154">
        <w:rPr>
          <w:color w:val="000000"/>
        </w:rPr>
        <w:t xml:space="preserve"> </w:t>
      </w:r>
      <w:r w:rsidR="00164816">
        <w:rPr>
          <w:color w:val="000000"/>
        </w:rPr>
        <w:t xml:space="preserve">But according to the </w:t>
      </w:r>
      <w:r w:rsidR="00164816" w:rsidRPr="00871F8F">
        <w:rPr>
          <w:i/>
          <w:iCs/>
          <w:color w:val="000000"/>
        </w:rPr>
        <w:t xml:space="preserve">France </w:t>
      </w:r>
      <w:r w:rsidR="00164816">
        <w:rPr>
          <w:color w:val="000000"/>
        </w:rPr>
        <w:t xml:space="preserve">majority, under </w:t>
      </w:r>
      <w:bookmarkStart w:id="153" w:name="dabmci_726baa1cf18c4e0183783f542cd39d30"/>
      <w:r w:rsidR="00BE30E7">
        <w:rPr>
          <w:color w:val="000000"/>
        </w:rPr>
        <w:t>Senate Bill</w:t>
      </w:r>
      <w:r w:rsidR="00164816">
        <w:rPr>
          <w:color w:val="000000"/>
        </w:rPr>
        <w:t xml:space="preserve"> 136</w:t>
      </w:r>
      <w:bookmarkEnd w:id="153"/>
      <w:r w:rsidR="00164816">
        <w:rPr>
          <w:color w:val="000000"/>
        </w:rPr>
        <w:t xml:space="preserve">, </w:t>
      </w:r>
      <w:r w:rsidR="00BF6BEF">
        <w:rPr>
          <w:color w:val="000000"/>
        </w:rPr>
        <w:t xml:space="preserve">the </w:t>
      </w:r>
      <w:r w:rsidR="00B6672C">
        <w:rPr>
          <w:color w:val="000000"/>
        </w:rPr>
        <w:t xml:space="preserve">defendant’s existing sentence </w:t>
      </w:r>
      <w:r w:rsidR="00BF6BEF">
        <w:rPr>
          <w:color w:val="000000"/>
        </w:rPr>
        <w:t>was</w:t>
      </w:r>
      <w:r w:rsidR="00B6672C">
        <w:rPr>
          <w:color w:val="000000"/>
        </w:rPr>
        <w:t xml:space="preserve"> illegal</w:t>
      </w:r>
      <w:r w:rsidR="0019282A">
        <w:rPr>
          <w:color w:val="000000"/>
        </w:rPr>
        <w:t>,</w:t>
      </w:r>
      <w:r w:rsidR="00B6672C">
        <w:rPr>
          <w:color w:val="000000"/>
        </w:rPr>
        <w:t xml:space="preserve"> and </w:t>
      </w:r>
      <w:r w:rsidR="00F22154">
        <w:rPr>
          <w:color w:val="000000"/>
        </w:rPr>
        <w:t>striking the enhancement</w:t>
      </w:r>
      <w:r w:rsidR="00B6672C">
        <w:rPr>
          <w:color w:val="000000"/>
        </w:rPr>
        <w:t xml:space="preserve"> is </w:t>
      </w:r>
      <w:r w:rsidR="00C43413">
        <w:rPr>
          <w:color w:val="000000"/>
        </w:rPr>
        <w:t xml:space="preserve">therefore </w:t>
      </w:r>
      <w:r w:rsidR="00B6672C">
        <w:rPr>
          <w:color w:val="000000"/>
        </w:rPr>
        <w:t>mandatory, not discretionary</w:t>
      </w:r>
      <w:r w:rsidR="00F22154">
        <w:rPr>
          <w:color w:val="000000"/>
        </w:rPr>
        <w:t>.</w:t>
      </w:r>
      <w:r w:rsidR="009F77CD">
        <w:rPr>
          <w:color w:val="000000"/>
        </w:rPr>
        <w:t xml:space="preserve"> </w:t>
      </w:r>
      <w:r w:rsidR="00F22154">
        <w:rPr>
          <w:color w:val="000000"/>
        </w:rPr>
        <w:t xml:space="preserve"> </w:t>
      </w:r>
      <w:r w:rsidR="00AF1E88">
        <w:rPr>
          <w:color w:val="000000"/>
        </w:rPr>
        <w:t>(</w:t>
      </w:r>
      <w:r w:rsidR="00AF1E88" w:rsidRPr="009F77CD">
        <w:rPr>
          <w:i/>
          <w:iCs/>
          <w:color w:val="000000"/>
        </w:rPr>
        <w:t>France</w:t>
      </w:r>
      <w:r w:rsidR="00AF1E88">
        <w:rPr>
          <w:color w:val="000000"/>
        </w:rPr>
        <w:t>, at p. 729.)</w:t>
      </w:r>
      <w:r w:rsidR="009F77CD">
        <w:rPr>
          <w:color w:val="000000"/>
        </w:rPr>
        <w:t xml:space="preserve"> </w:t>
      </w:r>
      <w:r w:rsidR="00F22154">
        <w:rPr>
          <w:color w:val="000000"/>
        </w:rPr>
        <w:t xml:space="preserve"> </w:t>
      </w:r>
      <w:r w:rsidR="00607F1D">
        <w:rPr>
          <w:color w:val="000000"/>
        </w:rPr>
        <w:t>The</w:t>
      </w:r>
      <w:r w:rsidR="00F22154">
        <w:rPr>
          <w:color w:val="000000"/>
        </w:rPr>
        <w:t xml:space="preserve"> </w:t>
      </w:r>
      <w:r w:rsidR="00F22154" w:rsidRPr="00684023">
        <w:rPr>
          <w:i/>
          <w:iCs/>
          <w:color w:val="000000"/>
        </w:rPr>
        <w:t>France</w:t>
      </w:r>
      <w:r w:rsidR="00F22154">
        <w:rPr>
          <w:color w:val="000000"/>
        </w:rPr>
        <w:t xml:space="preserve"> </w:t>
      </w:r>
      <w:r w:rsidR="00AC3662">
        <w:rPr>
          <w:color w:val="000000"/>
        </w:rPr>
        <w:t>majority</w:t>
      </w:r>
      <w:r w:rsidR="00607F1D">
        <w:rPr>
          <w:color w:val="000000"/>
        </w:rPr>
        <w:t xml:space="preserve"> reasone</w:t>
      </w:r>
      <w:r w:rsidR="00607F1D" w:rsidRPr="00522B6D">
        <w:rPr>
          <w:color w:val="000000"/>
        </w:rPr>
        <w:t>d</w:t>
      </w:r>
      <w:r w:rsidR="00DE7A68" w:rsidRPr="00522B6D">
        <w:rPr>
          <w:color w:val="000000"/>
        </w:rPr>
        <w:t xml:space="preserve"> that</w:t>
      </w:r>
      <w:r w:rsidR="00AF1E88">
        <w:rPr>
          <w:color w:val="000000"/>
        </w:rPr>
        <w:t xml:space="preserve"> b</w:t>
      </w:r>
      <w:r w:rsidR="00F22154" w:rsidRPr="00522B6D">
        <w:rPr>
          <w:color w:val="000000"/>
        </w:rPr>
        <w:t xml:space="preserve">ecause </w:t>
      </w:r>
      <w:bookmarkStart w:id="154" w:name="dabmci_20a76480a4254094bcd73c27fca48d01"/>
      <w:r w:rsidR="00AF1E88">
        <w:rPr>
          <w:color w:val="000000"/>
        </w:rPr>
        <w:t>“</w:t>
      </w:r>
      <w:r w:rsidR="006067A9" w:rsidRPr="00522B6D">
        <w:rPr>
          <w:color w:val="000000"/>
        </w:rPr>
        <w:t>Senate Bill</w:t>
      </w:r>
      <w:r w:rsidR="00F22154" w:rsidRPr="00522B6D">
        <w:rPr>
          <w:color w:val="000000"/>
        </w:rPr>
        <w:t xml:space="preserve"> 136</w:t>
      </w:r>
      <w:bookmarkEnd w:id="154"/>
      <w:r w:rsidR="00F22154" w:rsidRPr="00522B6D">
        <w:rPr>
          <w:color w:val="000000"/>
        </w:rPr>
        <w:t xml:space="preserve"> has a direct and conclusive effect on the legality of existing sentences . . . rather than merely giving trial courts discretion to modify sentences</w:t>
      </w:r>
      <w:r w:rsidR="00B300D1" w:rsidRPr="00522B6D">
        <w:rPr>
          <w:color w:val="000000"/>
        </w:rPr>
        <w:t xml:space="preserve"> . . . </w:t>
      </w:r>
      <w:r w:rsidR="00F22154" w:rsidRPr="00522B6D">
        <w:rPr>
          <w:color w:val="000000"/>
        </w:rPr>
        <w:t xml:space="preserve">, it stands closer to Proposition 47 and </w:t>
      </w:r>
      <w:r w:rsidR="00F22154" w:rsidRPr="00522B6D">
        <w:rPr>
          <w:i/>
          <w:iCs/>
          <w:color w:val="000000"/>
        </w:rPr>
        <w:t>Harris</w:t>
      </w:r>
      <w:r w:rsidR="00F22154" w:rsidRPr="00522B6D">
        <w:rPr>
          <w:color w:val="000000"/>
        </w:rPr>
        <w:t>, despite the absence of an express resentencing provision.”  (</w:t>
      </w:r>
      <w:r w:rsidR="00493337" w:rsidRPr="009F77CD">
        <w:rPr>
          <w:i/>
          <w:iCs/>
          <w:color w:val="000000"/>
        </w:rPr>
        <w:t>Ibid</w:t>
      </w:r>
      <w:r w:rsidR="00F22154" w:rsidRPr="00522B6D">
        <w:rPr>
          <w:color w:val="000000"/>
        </w:rPr>
        <w:t xml:space="preserve">.) </w:t>
      </w:r>
      <w:r w:rsidR="00D53B08" w:rsidRPr="00522B6D">
        <w:rPr>
          <w:color w:val="000000"/>
        </w:rPr>
        <w:t xml:space="preserve"> </w:t>
      </w:r>
      <w:bookmarkStart w:id="155" w:name="_Hlk90225868"/>
      <w:r w:rsidR="00C43413" w:rsidRPr="00522B6D">
        <w:rPr>
          <w:color w:val="000000"/>
        </w:rPr>
        <w:t xml:space="preserve">It </w:t>
      </w:r>
      <w:r w:rsidR="00D53B08" w:rsidRPr="00522B6D">
        <w:rPr>
          <w:color w:val="000000"/>
        </w:rPr>
        <w:t xml:space="preserve">further reasoned that </w:t>
      </w:r>
      <w:r w:rsidR="004F31FC" w:rsidRPr="00522B6D">
        <w:rPr>
          <w:color w:val="000000"/>
        </w:rPr>
        <w:t xml:space="preserve">under </w:t>
      </w:r>
      <w:r w:rsidR="00D53B08" w:rsidRPr="00522B6D">
        <w:rPr>
          <w:color w:val="000000"/>
        </w:rPr>
        <w:t xml:space="preserve">the </w:t>
      </w:r>
      <w:r w:rsidR="00D53B08" w:rsidRPr="00522B6D">
        <w:rPr>
          <w:i/>
          <w:iCs/>
          <w:color w:val="000000"/>
        </w:rPr>
        <w:t>Hernandez</w:t>
      </w:r>
      <w:r w:rsidR="00D53B08" w:rsidRPr="00522B6D">
        <w:rPr>
          <w:color w:val="000000"/>
        </w:rPr>
        <w:t xml:space="preserve"> approach</w:t>
      </w:r>
      <w:r w:rsidR="004F31FC" w:rsidRPr="00522B6D">
        <w:rPr>
          <w:color w:val="000000"/>
        </w:rPr>
        <w:t xml:space="preserve">, </w:t>
      </w:r>
      <w:r w:rsidR="00D53B08" w:rsidRPr="00522B6D">
        <w:rPr>
          <w:color w:val="000000"/>
        </w:rPr>
        <w:t>any retroactive ameliorative change in a criminal law that does not contain an express reference to plea</w:t>
      </w:r>
      <w:r w:rsidR="00CE0D4B" w:rsidRPr="00522B6D">
        <w:rPr>
          <w:color w:val="000000"/>
        </w:rPr>
        <w:t>-</w:t>
      </w:r>
      <w:r w:rsidR="00D53B08" w:rsidRPr="00522B6D">
        <w:rPr>
          <w:color w:val="000000"/>
        </w:rPr>
        <w:t>bargained sentences would entitle the prosecution to reopen the plea bargain to add back previously</w:t>
      </w:r>
      <w:r w:rsidR="00D43428">
        <w:rPr>
          <w:color w:val="000000"/>
        </w:rPr>
        <w:t xml:space="preserve"> </w:t>
      </w:r>
      <w:r w:rsidR="00D53B08" w:rsidRPr="00522B6D">
        <w:rPr>
          <w:color w:val="000000"/>
        </w:rPr>
        <w:t>dismissed charges or allegations</w:t>
      </w:r>
      <w:r w:rsidR="00C43413" w:rsidRPr="00522B6D">
        <w:rPr>
          <w:color w:val="000000"/>
        </w:rPr>
        <w:t xml:space="preserve">, which </w:t>
      </w:r>
      <w:r w:rsidR="00D53B08" w:rsidRPr="00522B6D">
        <w:rPr>
          <w:color w:val="000000"/>
        </w:rPr>
        <w:t xml:space="preserve">would “create a rule that defendants who plead guilty may benefit from the retroactive operation of any law whose retroactivity depends on the </w:t>
      </w:r>
      <w:bookmarkStart w:id="156" w:name="_Hlk90125587"/>
      <w:r w:rsidR="00D53B08" w:rsidRPr="00522B6D">
        <w:rPr>
          <w:i/>
          <w:iCs/>
          <w:color w:val="000000"/>
        </w:rPr>
        <w:t>Estrada</w:t>
      </w:r>
      <w:r w:rsidR="00D53B08" w:rsidRPr="00522B6D">
        <w:rPr>
          <w:color w:val="000000"/>
        </w:rPr>
        <w:t xml:space="preserve"> presumption only if the prosecution assents</w:t>
      </w:r>
      <w:bookmarkEnd w:id="156"/>
      <w:r w:rsidR="00D53B08" w:rsidRPr="00522B6D">
        <w:rPr>
          <w:color w:val="000000"/>
        </w:rPr>
        <w:t>.”  (</w:t>
      </w:r>
      <w:bookmarkStart w:id="157" w:name="dabmci_df545545a76d4aecb20939c2a3696880"/>
      <w:bookmarkStart w:id="158" w:name="_Hlk90215545"/>
      <w:r w:rsidR="00A3143B" w:rsidRPr="00522B6D">
        <w:rPr>
          <w:i/>
          <w:iCs/>
          <w:color w:val="000000"/>
        </w:rPr>
        <w:t xml:space="preserve">Id. </w:t>
      </w:r>
      <w:r w:rsidR="00A3143B" w:rsidRPr="00522B6D">
        <w:rPr>
          <w:color w:val="000000"/>
        </w:rPr>
        <w:t xml:space="preserve">at p. </w:t>
      </w:r>
      <w:r w:rsidR="00D90A76" w:rsidRPr="00522B6D">
        <w:rPr>
          <w:color w:val="000000"/>
        </w:rPr>
        <w:t>730</w:t>
      </w:r>
      <w:bookmarkEnd w:id="157"/>
      <w:r w:rsidR="00D53B08" w:rsidRPr="00522B6D">
        <w:rPr>
          <w:color w:val="000000"/>
        </w:rPr>
        <w:t xml:space="preserve">.)  </w:t>
      </w:r>
      <w:bookmarkStart w:id="159" w:name="_Hlk90125635"/>
      <w:r w:rsidR="00D53B08" w:rsidRPr="00522B6D">
        <w:rPr>
          <w:color w:val="000000"/>
        </w:rPr>
        <w:t xml:space="preserve">Such an approach, according to the </w:t>
      </w:r>
      <w:r w:rsidR="00D53B08" w:rsidRPr="00522B6D">
        <w:rPr>
          <w:i/>
          <w:iCs/>
          <w:color w:val="000000"/>
        </w:rPr>
        <w:t>France</w:t>
      </w:r>
      <w:r w:rsidR="00D53B08" w:rsidRPr="00522B6D">
        <w:rPr>
          <w:color w:val="000000"/>
        </w:rPr>
        <w:t xml:space="preserve"> </w:t>
      </w:r>
      <w:r w:rsidR="00AC3662" w:rsidRPr="00522B6D">
        <w:rPr>
          <w:color w:val="000000"/>
        </w:rPr>
        <w:t>majority</w:t>
      </w:r>
      <w:r w:rsidR="00D53B08" w:rsidRPr="00522B6D">
        <w:rPr>
          <w:color w:val="000000"/>
        </w:rPr>
        <w:t xml:space="preserve">, “would drastically undermine the </w:t>
      </w:r>
      <w:r w:rsidR="00D53B08" w:rsidRPr="00522B6D">
        <w:rPr>
          <w:i/>
          <w:iCs/>
          <w:color w:val="000000"/>
        </w:rPr>
        <w:t>Estrada</w:t>
      </w:r>
      <w:r w:rsidR="00D53B08" w:rsidRPr="00522B6D">
        <w:rPr>
          <w:color w:val="000000"/>
        </w:rPr>
        <w:t xml:space="preserve"> principle that the Legislature intends a lighter penalty to apply ‘to every case to which it constitutionally could apply.’</w:t>
      </w:r>
      <w:r w:rsidR="00B300D1" w:rsidRPr="00522B6D">
        <w:rPr>
          <w:color w:val="000000"/>
        </w:rPr>
        <w:t> </w:t>
      </w:r>
      <w:r w:rsidR="00D53B08" w:rsidRPr="00522B6D">
        <w:rPr>
          <w:color w:val="000000"/>
        </w:rPr>
        <w:t xml:space="preserve">” </w:t>
      </w:r>
      <w:r w:rsidR="00B300D1" w:rsidRPr="00522B6D">
        <w:rPr>
          <w:color w:val="000000"/>
        </w:rPr>
        <w:t xml:space="preserve"> </w:t>
      </w:r>
      <w:r w:rsidR="00D53B08" w:rsidRPr="00522B6D">
        <w:rPr>
          <w:color w:val="000000"/>
        </w:rPr>
        <w:t>(</w:t>
      </w:r>
      <w:bookmarkStart w:id="160" w:name="dabmci_9ec40d53f1c3457281a0a749ede22b81"/>
      <w:r w:rsidR="00D53B08" w:rsidRPr="00522B6D">
        <w:rPr>
          <w:i/>
          <w:iCs/>
          <w:color w:val="000000"/>
        </w:rPr>
        <w:t>Ibid</w:t>
      </w:r>
      <w:r w:rsidR="00D53B08" w:rsidRPr="00522B6D">
        <w:rPr>
          <w:color w:val="000000"/>
        </w:rPr>
        <w:t>.</w:t>
      </w:r>
      <w:bookmarkEnd w:id="160"/>
      <w:r w:rsidR="00D53B08" w:rsidRPr="00522B6D">
        <w:rPr>
          <w:color w:val="000000"/>
        </w:rPr>
        <w:t>)</w:t>
      </w:r>
      <w:bookmarkEnd w:id="158"/>
      <w:bookmarkEnd w:id="159"/>
    </w:p>
    <w:bookmarkEnd w:id="155"/>
    <w:p w14:paraId="0406B24B" w14:textId="228CD665" w:rsidR="00D53B08" w:rsidRPr="00522B6D" w:rsidRDefault="001D5D5D" w:rsidP="00D37C56">
      <w:pPr>
        <w:rPr>
          <w:color w:val="000000"/>
        </w:rPr>
      </w:pPr>
      <w:r w:rsidRPr="00522B6D">
        <w:rPr>
          <w:color w:val="000000"/>
        </w:rPr>
        <w:lastRenderedPageBreak/>
        <w:tab/>
      </w:r>
      <w:r w:rsidR="0018056B" w:rsidRPr="00522B6D">
        <w:rPr>
          <w:color w:val="000000"/>
        </w:rPr>
        <w:t>Similarly, i</w:t>
      </w:r>
      <w:r w:rsidRPr="00522B6D">
        <w:rPr>
          <w:color w:val="000000"/>
        </w:rPr>
        <w:t xml:space="preserve">n </w:t>
      </w:r>
      <w:bookmarkStart w:id="161" w:name="dabmci_a423321164564998b4a5d3d65442698d"/>
      <w:r w:rsidRPr="00522B6D">
        <w:rPr>
          <w:i/>
          <w:iCs/>
          <w:color w:val="000000"/>
        </w:rPr>
        <w:t>People v. Andahl</w:t>
      </w:r>
      <w:r w:rsidRPr="00522B6D">
        <w:rPr>
          <w:color w:val="000000"/>
        </w:rPr>
        <w:t xml:space="preserve"> (2021) 62 Cal.App.5th 203</w:t>
      </w:r>
      <w:r w:rsidR="000F2534" w:rsidRPr="00522B6D">
        <w:rPr>
          <w:color w:val="000000"/>
        </w:rPr>
        <w:t xml:space="preserve"> (</w:t>
      </w:r>
      <w:r w:rsidR="000F2534" w:rsidRPr="00522B6D">
        <w:rPr>
          <w:i/>
          <w:iCs/>
          <w:color w:val="000000"/>
        </w:rPr>
        <w:t>Andahl</w:t>
      </w:r>
      <w:r w:rsidR="000F2534" w:rsidRPr="00522B6D">
        <w:rPr>
          <w:color w:val="000000"/>
        </w:rPr>
        <w:t>)</w:t>
      </w:r>
      <w:bookmarkEnd w:id="161"/>
      <w:r w:rsidRPr="00522B6D">
        <w:rPr>
          <w:color w:val="000000"/>
        </w:rPr>
        <w:t>,</w:t>
      </w:r>
      <w:r w:rsidR="004B170D">
        <w:rPr>
          <w:color w:val="000000"/>
        </w:rPr>
        <w:t xml:space="preserve"> review granted June 16, 2021, S268336,</w:t>
      </w:r>
      <w:r w:rsidRPr="00522B6D">
        <w:rPr>
          <w:color w:val="000000"/>
        </w:rPr>
        <w:t xml:space="preserve"> a</w:t>
      </w:r>
      <w:r w:rsidR="00607F1D" w:rsidRPr="00522B6D">
        <w:rPr>
          <w:color w:val="000000"/>
        </w:rPr>
        <w:t xml:space="preserve"> different</w:t>
      </w:r>
      <w:r w:rsidRPr="00522B6D">
        <w:rPr>
          <w:color w:val="000000"/>
        </w:rPr>
        <w:t xml:space="preserve"> p</w:t>
      </w:r>
      <w:r w:rsidRPr="00522B6D">
        <w:rPr>
          <w:color w:val="000000"/>
        </w:rPr>
        <w:t xml:space="preserve">anel of </w:t>
      </w:r>
      <w:r w:rsidR="006D3A48" w:rsidRPr="00522B6D">
        <w:rPr>
          <w:color w:val="000000"/>
        </w:rPr>
        <w:t xml:space="preserve">this court </w:t>
      </w:r>
      <w:r w:rsidRPr="00522B6D">
        <w:rPr>
          <w:color w:val="000000"/>
        </w:rPr>
        <w:t xml:space="preserve">followed </w:t>
      </w:r>
      <w:r w:rsidR="00AC3662" w:rsidRPr="00522B6D">
        <w:rPr>
          <w:color w:val="000000"/>
        </w:rPr>
        <w:t xml:space="preserve">the </w:t>
      </w:r>
      <w:r w:rsidRPr="00522B6D">
        <w:rPr>
          <w:i/>
          <w:iCs/>
          <w:color w:val="000000"/>
        </w:rPr>
        <w:t>France</w:t>
      </w:r>
      <w:r w:rsidR="00AC3662" w:rsidRPr="00522B6D">
        <w:rPr>
          <w:color w:val="000000"/>
        </w:rPr>
        <w:t xml:space="preserve"> majority</w:t>
      </w:r>
      <w:r w:rsidR="00164816" w:rsidRPr="00522B6D">
        <w:rPr>
          <w:color w:val="000000"/>
        </w:rPr>
        <w:t xml:space="preserve"> and concluded</w:t>
      </w:r>
      <w:r w:rsidR="001E0B88" w:rsidRPr="00522B6D">
        <w:rPr>
          <w:color w:val="000000"/>
        </w:rPr>
        <w:t xml:space="preserve"> that it was required to strike</w:t>
      </w:r>
      <w:r w:rsidR="00164816" w:rsidRPr="00522B6D">
        <w:rPr>
          <w:color w:val="000000"/>
        </w:rPr>
        <w:t xml:space="preserve"> the </w:t>
      </w:r>
      <w:r w:rsidR="00604908" w:rsidRPr="00522B6D">
        <w:rPr>
          <w:color w:val="000000"/>
        </w:rPr>
        <w:t xml:space="preserve">prior prison </w:t>
      </w:r>
      <w:r w:rsidR="0019282A" w:rsidRPr="00522B6D">
        <w:rPr>
          <w:color w:val="000000"/>
        </w:rPr>
        <w:t>commitment</w:t>
      </w:r>
      <w:r w:rsidR="00604908" w:rsidRPr="00522B6D">
        <w:rPr>
          <w:color w:val="000000"/>
        </w:rPr>
        <w:t xml:space="preserve"> enhancements </w:t>
      </w:r>
      <w:r w:rsidR="008354F3" w:rsidRPr="00522B6D">
        <w:rPr>
          <w:color w:val="000000"/>
        </w:rPr>
        <w:t xml:space="preserve">imposed as </w:t>
      </w:r>
      <w:r w:rsidR="006C0D19" w:rsidRPr="00522B6D">
        <w:rPr>
          <w:color w:val="000000"/>
        </w:rPr>
        <w:t>part of a negotiated sentence</w:t>
      </w:r>
      <w:r w:rsidR="00604908" w:rsidRPr="00522B6D">
        <w:rPr>
          <w:color w:val="000000"/>
        </w:rPr>
        <w:t>.  (</w:t>
      </w:r>
      <w:bookmarkStart w:id="162" w:name="dabmci_00ccadc0bf0245b88d92301c858fff02"/>
      <w:r w:rsidR="00604908" w:rsidRPr="00522B6D">
        <w:rPr>
          <w:i/>
          <w:iCs/>
          <w:color w:val="000000"/>
        </w:rPr>
        <w:t>Id</w:t>
      </w:r>
      <w:r w:rsidR="00604908" w:rsidRPr="00522B6D">
        <w:rPr>
          <w:color w:val="000000"/>
        </w:rPr>
        <w:t xml:space="preserve">. at </w:t>
      </w:r>
      <w:r w:rsidR="00B300D1" w:rsidRPr="00522B6D">
        <w:rPr>
          <w:color w:val="000000"/>
        </w:rPr>
        <w:t>p</w:t>
      </w:r>
      <w:r w:rsidR="00604908" w:rsidRPr="00522B6D">
        <w:rPr>
          <w:color w:val="000000"/>
        </w:rPr>
        <w:t>p. 206</w:t>
      </w:r>
      <w:r w:rsidR="008354F3" w:rsidRPr="00522B6D">
        <w:rPr>
          <w:color w:val="000000"/>
        </w:rPr>
        <w:t>, 21</w:t>
      </w:r>
      <w:r w:rsidR="001E0B88" w:rsidRPr="00522B6D">
        <w:rPr>
          <w:color w:val="000000"/>
        </w:rPr>
        <w:t>5</w:t>
      </w:r>
      <w:bookmarkEnd w:id="162"/>
      <w:r w:rsidR="00604908" w:rsidRPr="00522B6D">
        <w:rPr>
          <w:color w:val="000000"/>
        </w:rPr>
        <w:t>.)</w:t>
      </w:r>
      <w:r w:rsidR="00DA1FC3" w:rsidRPr="00522B6D">
        <w:rPr>
          <w:color w:val="000000"/>
        </w:rPr>
        <w:t xml:space="preserve">  </w:t>
      </w:r>
      <w:r w:rsidR="001F7355" w:rsidRPr="00522B6D">
        <w:rPr>
          <w:color w:val="000000"/>
        </w:rPr>
        <w:t xml:space="preserve">It agreed with </w:t>
      </w:r>
      <w:r w:rsidR="00D22086" w:rsidRPr="00522B6D">
        <w:rPr>
          <w:color w:val="000000"/>
        </w:rPr>
        <w:t xml:space="preserve">the </w:t>
      </w:r>
      <w:r w:rsidR="001F7355" w:rsidRPr="00522B6D">
        <w:rPr>
          <w:i/>
          <w:iCs/>
          <w:color w:val="000000"/>
        </w:rPr>
        <w:t>France</w:t>
      </w:r>
      <w:r w:rsidR="00D22086" w:rsidRPr="00522B6D">
        <w:rPr>
          <w:color w:val="000000"/>
        </w:rPr>
        <w:t xml:space="preserve"> majority</w:t>
      </w:r>
      <w:r w:rsidR="001F7355" w:rsidRPr="00522B6D">
        <w:rPr>
          <w:color w:val="000000"/>
        </w:rPr>
        <w:t xml:space="preserve">, stating:  “retroactive application of the Legislature’s </w:t>
      </w:r>
      <w:r w:rsidR="001F7355" w:rsidRPr="00522B6D">
        <w:rPr>
          <w:i/>
          <w:iCs/>
          <w:color w:val="000000"/>
        </w:rPr>
        <w:t>decision</w:t>
      </w:r>
      <w:r w:rsidR="001F7355" w:rsidRPr="00522B6D">
        <w:rPr>
          <w:color w:val="000000"/>
        </w:rPr>
        <w:t xml:space="preserve"> to invalidate a one-year sentence enhancement does not involve any unilateral action by the trial court.”  (</w:t>
      </w:r>
      <w:bookmarkStart w:id="163" w:name="dabmci_17972f8561f6498c81d66939d2b69809"/>
      <w:r w:rsidR="001F7355" w:rsidRPr="00522B6D">
        <w:rPr>
          <w:i/>
          <w:iCs/>
          <w:color w:val="000000"/>
        </w:rPr>
        <w:t>Id</w:t>
      </w:r>
      <w:r w:rsidR="001F7355" w:rsidRPr="00522B6D">
        <w:rPr>
          <w:color w:val="000000"/>
        </w:rPr>
        <w:t>. at p. 214</w:t>
      </w:r>
      <w:bookmarkEnd w:id="163"/>
      <w:r w:rsidR="00127A19" w:rsidRPr="00522B6D">
        <w:rPr>
          <w:color w:val="000000"/>
        </w:rPr>
        <w:t>, italics added</w:t>
      </w:r>
      <w:r w:rsidR="001F7355" w:rsidRPr="00522B6D">
        <w:rPr>
          <w:color w:val="000000"/>
        </w:rPr>
        <w:t>.)</w:t>
      </w:r>
      <w:r w:rsidR="00B300D1" w:rsidRPr="00522B6D">
        <w:rPr>
          <w:color w:val="000000"/>
        </w:rPr>
        <w:t xml:space="preserve"> </w:t>
      </w:r>
      <w:r w:rsidR="001F7355" w:rsidRPr="00522B6D">
        <w:rPr>
          <w:color w:val="000000"/>
        </w:rPr>
        <w:t xml:space="preserve"> The </w:t>
      </w:r>
      <w:r w:rsidR="001F7355" w:rsidRPr="00522B6D">
        <w:rPr>
          <w:i/>
          <w:iCs/>
          <w:color w:val="000000"/>
        </w:rPr>
        <w:t xml:space="preserve">Andahl </w:t>
      </w:r>
      <w:r w:rsidR="001F7355" w:rsidRPr="00522B6D">
        <w:rPr>
          <w:color w:val="000000"/>
        </w:rPr>
        <w:t xml:space="preserve">court added: </w:t>
      </w:r>
      <w:r w:rsidR="00B300D1" w:rsidRPr="00522B6D">
        <w:rPr>
          <w:color w:val="000000"/>
        </w:rPr>
        <w:t xml:space="preserve"> </w:t>
      </w:r>
      <w:r w:rsidR="001F7355" w:rsidRPr="00522B6D">
        <w:rPr>
          <w:color w:val="000000"/>
        </w:rPr>
        <w:t xml:space="preserve">“the Legislature itself has decided that a one-year enhancement not based upon a prior conviction for a sexually violent offense must be stricken. </w:t>
      </w:r>
      <w:r w:rsidR="006C21C7" w:rsidRPr="00522B6D">
        <w:rPr>
          <w:color w:val="000000"/>
        </w:rPr>
        <w:t xml:space="preserve"> </w:t>
      </w:r>
      <w:r w:rsidR="001F7355" w:rsidRPr="00522B6D">
        <w:rPr>
          <w:i/>
          <w:iCs/>
          <w:color w:val="000000"/>
        </w:rPr>
        <w:t>The identity of the decision</w:t>
      </w:r>
      <w:r w:rsidR="00BE3B26" w:rsidRPr="00522B6D">
        <w:rPr>
          <w:i/>
          <w:iCs/>
          <w:color w:val="000000"/>
        </w:rPr>
        <w:t xml:space="preserve"> </w:t>
      </w:r>
      <w:r w:rsidR="001F7355" w:rsidRPr="00522B6D">
        <w:rPr>
          <w:i/>
          <w:iCs/>
          <w:color w:val="000000"/>
        </w:rPr>
        <w:t>maker</w:t>
      </w:r>
      <w:r w:rsidR="001F7355" w:rsidRPr="00522B6D">
        <w:rPr>
          <w:color w:val="000000"/>
        </w:rPr>
        <w:t xml:space="preserve"> is dispositive since, as </w:t>
      </w:r>
      <w:r w:rsidR="001F7355" w:rsidRPr="00522B6D">
        <w:rPr>
          <w:i/>
          <w:iCs/>
          <w:color w:val="000000"/>
        </w:rPr>
        <w:t xml:space="preserve">Stamps </w:t>
      </w:r>
      <w:r w:rsidR="001F7355" w:rsidRPr="00522B6D">
        <w:rPr>
          <w:color w:val="000000"/>
        </w:rPr>
        <w:t>recognizes, the Legislature ‘</w:t>
      </w:r>
      <w:r w:rsidR="0018056B" w:rsidRPr="00522B6D">
        <w:rPr>
          <w:color w:val="000000"/>
        </w:rPr>
        <w:t xml:space="preserve"> “</w:t>
      </w:r>
      <w:r w:rsidR="001F7355" w:rsidRPr="00522B6D">
        <w:rPr>
          <w:color w:val="000000"/>
        </w:rPr>
        <w:t>may bind the People to a unilateral change in a sentence without affording them the option to rescind the plea agreement,</w:t>
      </w:r>
      <w:r w:rsidR="0018056B" w:rsidRPr="00522B6D">
        <w:rPr>
          <w:color w:val="000000"/>
        </w:rPr>
        <w:t xml:space="preserve">” </w:t>
      </w:r>
      <w:r w:rsidR="001F7355" w:rsidRPr="00522B6D">
        <w:rPr>
          <w:color w:val="000000"/>
        </w:rPr>
        <w:t>’ even as the trial court may not bind the People unilaterally.  [Citations</w:t>
      </w:r>
      <w:r w:rsidR="00B300D1" w:rsidRPr="00522B6D">
        <w:rPr>
          <w:color w:val="000000"/>
        </w:rPr>
        <w:t>.</w:t>
      </w:r>
      <w:r w:rsidR="001F7355" w:rsidRPr="00522B6D">
        <w:rPr>
          <w:color w:val="000000"/>
        </w:rPr>
        <w:t xml:space="preserve">] </w:t>
      </w:r>
      <w:r w:rsidR="00B300D1" w:rsidRPr="00522B6D">
        <w:rPr>
          <w:color w:val="000000"/>
        </w:rPr>
        <w:t xml:space="preserve"> </w:t>
      </w:r>
      <w:r w:rsidR="001F7355" w:rsidRPr="00522B6D">
        <w:rPr>
          <w:color w:val="000000"/>
        </w:rPr>
        <w:t xml:space="preserve">When a case is remanded under </w:t>
      </w:r>
      <w:bookmarkStart w:id="164" w:name="dabmci_3c81e956ce0640079c7a55454e5abb82"/>
      <w:r w:rsidR="001F7355" w:rsidRPr="00522B6D">
        <w:rPr>
          <w:color w:val="000000"/>
        </w:rPr>
        <w:t>Senate Bill 1393</w:t>
      </w:r>
      <w:bookmarkEnd w:id="164"/>
      <w:r w:rsidR="001F7355" w:rsidRPr="00522B6D">
        <w:rPr>
          <w:color w:val="000000"/>
        </w:rPr>
        <w:t xml:space="preserve">, the trial court can choose not to strike the enhancement and preserve the plea agreement, but a trial court applying </w:t>
      </w:r>
      <w:bookmarkStart w:id="165" w:name="dabmci_a3dcdb3a19fa4838849dc0fcb6e25c05"/>
      <w:r w:rsidR="001F7355" w:rsidRPr="00522B6D">
        <w:rPr>
          <w:color w:val="000000"/>
        </w:rPr>
        <w:t>Senate Bill 136</w:t>
      </w:r>
      <w:bookmarkEnd w:id="165"/>
      <w:r w:rsidR="001F7355" w:rsidRPr="00522B6D">
        <w:rPr>
          <w:color w:val="000000"/>
        </w:rPr>
        <w:t xml:space="preserve"> has no such option because an enhancement </w:t>
      </w:r>
      <w:r w:rsidR="0018056B" w:rsidRPr="00522B6D">
        <w:rPr>
          <w:color w:val="000000"/>
        </w:rPr>
        <w:t>‘</w:t>
      </w:r>
      <w:r w:rsidR="001F7355" w:rsidRPr="00522B6D">
        <w:rPr>
          <w:color w:val="000000"/>
        </w:rPr>
        <w:t>cannot stand</w:t>
      </w:r>
      <w:r w:rsidR="00B300D1" w:rsidRPr="00522B6D">
        <w:rPr>
          <w:color w:val="000000"/>
        </w:rPr>
        <w:t xml:space="preserve"> . . . </w:t>
      </w:r>
      <w:r w:rsidR="001F7355" w:rsidRPr="00522B6D">
        <w:rPr>
          <w:color w:val="000000"/>
        </w:rPr>
        <w:t>when it rests upon conduct that is no longer sanctioned.</w:t>
      </w:r>
      <w:r w:rsidR="0018056B" w:rsidRPr="00522B6D">
        <w:rPr>
          <w:color w:val="000000"/>
        </w:rPr>
        <w:t xml:space="preserve">’ </w:t>
      </w:r>
      <w:r w:rsidR="001F7355" w:rsidRPr="00522B6D">
        <w:rPr>
          <w:color w:val="000000"/>
        </w:rPr>
        <w:t>”  (</w:t>
      </w:r>
      <w:bookmarkStart w:id="166" w:name="dabmci_6950ca9917f949c09f31e6d8a3e6eeab"/>
      <w:r w:rsidR="00BE3B26" w:rsidRPr="00522B6D">
        <w:rPr>
          <w:i/>
          <w:iCs/>
          <w:color w:val="000000"/>
        </w:rPr>
        <w:t>Id</w:t>
      </w:r>
      <w:r w:rsidR="00BE3B26" w:rsidRPr="00522B6D">
        <w:rPr>
          <w:color w:val="000000"/>
        </w:rPr>
        <w:t>. at pp. 214-215</w:t>
      </w:r>
      <w:bookmarkEnd w:id="166"/>
      <w:r w:rsidR="00BE3B26" w:rsidRPr="00522B6D">
        <w:rPr>
          <w:color w:val="000000"/>
        </w:rPr>
        <w:t>, italics added.</w:t>
      </w:r>
      <w:r w:rsidR="001F7355" w:rsidRPr="00522B6D">
        <w:rPr>
          <w:color w:val="000000"/>
        </w:rPr>
        <w:t xml:space="preserve">) </w:t>
      </w:r>
    </w:p>
    <w:p w14:paraId="56480C19" w14:textId="7557F2A0" w:rsidR="00BA6B5D" w:rsidRPr="00522B6D" w:rsidRDefault="001D5D5D" w:rsidP="00D37C56">
      <w:pPr>
        <w:rPr>
          <w:rFonts w:eastAsiaTheme="minorEastAsia"/>
        </w:rPr>
      </w:pPr>
      <w:r w:rsidRPr="00522B6D">
        <w:rPr>
          <w:color w:val="000000"/>
        </w:rPr>
        <w:tab/>
      </w:r>
      <w:r w:rsidR="0018056B" w:rsidRPr="00522B6D">
        <w:rPr>
          <w:color w:val="000000"/>
        </w:rPr>
        <w:t>Finally</w:t>
      </w:r>
      <w:r w:rsidR="00B95B74" w:rsidRPr="00522B6D">
        <w:rPr>
          <w:color w:val="000000"/>
        </w:rPr>
        <w:t>, i</w:t>
      </w:r>
      <w:r w:rsidRPr="00522B6D">
        <w:rPr>
          <w:color w:val="000000"/>
        </w:rPr>
        <w:t xml:space="preserve">n </w:t>
      </w:r>
      <w:bookmarkStart w:id="167" w:name="dabmci_67f3d6f313b24b02ae2284e96e624185"/>
      <w:r w:rsidRPr="00522B6D">
        <w:rPr>
          <w:i/>
          <w:iCs/>
          <w:color w:val="000000"/>
        </w:rPr>
        <w:t>People v. Stewart</w:t>
      </w:r>
      <w:r w:rsidRPr="00522B6D">
        <w:rPr>
          <w:color w:val="000000"/>
        </w:rPr>
        <w:t xml:space="preserve"> (2021) 62 Cal.App.5th 1065</w:t>
      </w:r>
      <w:bookmarkEnd w:id="167"/>
      <w:r w:rsidRPr="00522B6D">
        <w:rPr>
          <w:color w:val="000000"/>
        </w:rPr>
        <w:t>,</w:t>
      </w:r>
      <w:r w:rsidR="002E1CF4" w:rsidRPr="00522B6D">
        <w:rPr>
          <w:color w:val="000000"/>
        </w:rPr>
        <w:t xml:space="preserve"> review granted June 30, 2021, S268787</w:t>
      </w:r>
      <w:r w:rsidR="00C15A73" w:rsidRPr="00522B6D">
        <w:rPr>
          <w:color w:val="000000"/>
        </w:rPr>
        <w:t xml:space="preserve"> </w:t>
      </w:r>
      <w:r w:rsidR="005B1C20" w:rsidRPr="00522B6D">
        <w:rPr>
          <w:color w:val="000000"/>
        </w:rPr>
        <w:t>(</w:t>
      </w:r>
      <w:r w:rsidR="005B1C20" w:rsidRPr="00522B6D">
        <w:rPr>
          <w:i/>
          <w:iCs/>
          <w:color w:val="000000"/>
        </w:rPr>
        <w:t>Stewart</w:t>
      </w:r>
      <w:r w:rsidR="005B1C20" w:rsidRPr="00522B6D">
        <w:rPr>
          <w:color w:val="000000"/>
        </w:rPr>
        <w:t>)</w:t>
      </w:r>
      <w:r w:rsidR="00D43428">
        <w:rPr>
          <w:color w:val="000000"/>
        </w:rPr>
        <w:t>,</w:t>
      </w:r>
      <w:r w:rsidR="005B1C20" w:rsidRPr="00522B6D">
        <w:rPr>
          <w:color w:val="000000"/>
        </w:rPr>
        <w:t xml:space="preserve"> </w:t>
      </w:r>
      <w:r w:rsidR="00C15A73" w:rsidRPr="00522B6D">
        <w:rPr>
          <w:color w:val="000000"/>
        </w:rPr>
        <w:t>Division Two of the First District</w:t>
      </w:r>
      <w:r w:rsidRPr="00522B6D">
        <w:rPr>
          <w:color w:val="000000"/>
        </w:rPr>
        <w:t xml:space="preserve"> rejected the application of </w:t>
      </w:r>
      <w:r w:rsidRPr="00522B6D">
        <w:rPr>
          <w:i/>
          <w:iCs/>
          <w:color w:val="000000"/>
        </w:rPr>
        <w:t>Stamps</w:t>
      </w:r>
      <w:r w:rsidRPr="00522B6D">
        <w:rPr>
          <w:color w:val="000000"/>
        </w:rPr>
        <w:t xml:space="preserve"> to </w:t>
      </w:r>
      <w:bookmarkStart w:id="168" w:name="dabmci_cadf3b7b93f24a51971b4d2f4c692ece"/>
      <w:r w:rsidR="000208C9" w:rsidRPr="00522B6D">
        <w:rPr>
          <w:color w:val="000000"/>
        </w:rPr>
        <w:t>Assembly Bill</w:t>
      </w:r>
      <w:r w:rsidRPr="00522B6D">
        <w:rPr>
          <w:color w:val="000000"/>
        </w:rPr>
        <w:t xml:space="preserve"> 1950</w:t>
      </w:r>
      <w:bookmarkEnd w:id="168"/>
      <w:r w:rsidR="00B95B74" w:rsidRPr="00522B6D">
        <w:rPr>
          <w:color w:val="000000"/>
        </w:rPr>
        <w:t>, which took effect during the pendency of th</w:t>
      </w:r>
      <w:r w:rsidR="002E1CF4" w:rsidRPr="00522B6D">
        <w:rPr>
          <w:color w:val="000000"/>
        </w:rPr>
        <w:t>at</w:t>
      </w:r>
      <w:r w:rsidR="00B95B74" w:rsidRPr="00522B6D">
        <w:rPr>
          <w:color w:val="000000"/>
        </w:rPr>
        <w:t xml:space="preserve"> appeal.</w:t>
      </w:r>
      <w:r w:rsidR="005239A3" w:rsidRPr="00522B6D">
        <w:rPr>
          <w:color w:val="000000"/>
        </w:rPr>
        <w:t xml:space="preserve">  </w:t>
      </w:r>
      <w:r w:rsidR="000E62F3" w:rsidRPr="00522B6D">
        <w:rPr>
          <w:color w:val="000000"/>
        </w:rPr>
        <w:t>(</w:t>
      </w:r>
      <w:bookmarkStart w:id="169" w:name="dabmci_ea576d8ff50640e5a4ce57b6cd9c4a17"/>
      <w:r w:rsidR="00230311" w:rsidRPr="00522B6D">
        <w:rPr>
          <w:i/>
          <w:iCs/>
          <w:color w:val="000000"/>
        </w:rPr>
        <w:t>Stewart,</w:t>
      </w:r>
      <w:r w:rsidR="00230311" w:rsidRPr="009F77CD">
        <w:rPr>
          <w:i/>
          <w:color w:val="000000"/>
        </w:rPr>
        <w:t xml:space="preserve"> </w:t>
      </w:r>
      <w:r w:rsidR="000E62F3" w:rsidRPr="00522B6D">
        <w:rPr>
          <w:color w:val="000000"/>
        </w:rPr>
        <w:t>at pp. 1068, 1070</w:t>
      </w:r>
      <w:bookmarkEnd w:id="169"/>
      <w:r w:rsidR="000E62F3" w:rsidRPr="00522B6D">
        <w:rPr>
          <w:color w:val="000000"/>
        </w:rPr>
        <w:t>.)</w:t>
      </w:r>
      <w:r w:rsidR="00F649FF" w:rsidRPr="00522B6D">
        <w:rPr>
          <w:color w:val="000000"/>
        </w:rPr>
        <w:t xml:space="preserve">  </w:t>
      </w:r>
      <w:r w:rsidR="00B95B74" w:rsidRPr="00522B6D">
        <w:rPr>
          <w:color w:val="000000"/>
        </w:rPr>
        <w:t>A</w:t>
      </w:r>
      <w:r w:rsidR="00F649FF" w:rsidRPr="00522B6D">
        <w:rPr>
          <w:color w:val="000000"/>
        </w:rPr>
        <w:t>ppl</w:t>
      </w:r>
      <w:r w:rsidR="00B95B74" w:rsidRPr="00522B6D">
        <w:rPr>
          <w:color w:val="000000"/>
        </w:rPr>
        <w:t xml:space="preserve">ying </w:t>
      </w:r>
      <w:r w:rsidR="00F649FF" w:rsidRPr="00522B6D">
        <w:rPr>
          <w:color w:val="000000"/>
        </w:rPr>
        <w:t xml:space="preserve">the </w:t>
      </w:r>
      <w:r w:rsidR="00F649FF" w:rsidRPr="00522B6D">
        <w:rPr>
          <w:i/>
          <w:iCs/>
          <w:color w:val="000000"/>
        </w:rPr>
        <w:t>France</w:t>
      </w:r>
      <w:r w:rsidR="006C21C7" w:rsidRPr="00522B6D">
        <w:rPr>
          <w:color w:val="000000"/>
        </w:rPr>
        <w:t xml:space="preserve"> </w:t>
      </w:r>
      <w:r w:rsidR="00F649FF" w:rsidRPr="00522B6D">
        <w:rPr>
          <w:color w:val="000000"/>
        </w:rPr>
        <w:t>approach</w:t>
      </w:r>
      <w:r w:rsidR="00B35118" w:rsidRPr="00522B6D">
        <w:rPr>
          <w:color w:val="000000"/>
        </w:rPr>
        <w:t>,</w:t>
      </w:r>
      <w:r w:rsidR="00F649FF" w:rsidRPr="00522B6D">
        <w:rPr>
          <w:color w:val="000000"/>
        </w:rPr>
        <w:t xml:space="preserve"> </w:t>
      </w:r>
      <w:r w:rsidR="00B95B74" w:rsidRPr="00522B6D">
        <w:rPr>
          <w:color w:val="000000"/>
        </w:rPr>
        <w:t xml:space="preserve">the </w:t>
      </w:r>
      <w:r w:rsidR="00B95B74" w:rsidRPr="00522B6D">
        <w:rPr>
          <w:i/>
          <w:iCs/>
          <w:color w:val="000000"/>
        </w:rPr>
        <w:t>Stewart</w:t>
      </w:r>
      <w:r w:rsidR="00B95B74" w:rsidRPr="00522B6D">
        <w:rPr>
          <w:color w:val="000000"/>
        </w:rPr>
        <w:t xml:space="preserve"> court </w:t>
      </w:r>
      <w:r w:rsidR="00F649FF" w:rsidRPr="00522B6D">
        <w:rPr>
          <w:color w:val="000000"/>
        </w:rPr>
        <w:t>distinguish</w:t>
      </w:r>
      <w:r w:rsidR="00507BB7" w:rsidRPr="00522B6D">
        <w:rPr>
          <w:color w:val="000000"/>
        </w:rPr>
        <w:t>ed</w:t>
      </w:r>
      <w:r w:rsidR="00F649FF" w:rsidRPr="00522B6D">
        <w:rPr>
          <w:color w:val="000000"/>
        </w:rPr>
        <w:t xml:space="preserve"> </w:t>
      </w:r>
      <w:r w:rsidR="00F649FF" w:rsidRPr="00522B6D">
        <w:rPr>
          <w:i/>
          <w:iCs/>
          <w:color w:val="000000"/>
        </w:rPr>
        <w:t>Stamps</w:t>
      </w:r>
      <w:r w:rsidR="00F649FF" w:rsidRPr="00522B6D">
        <w:rPr>
          <w:color w:val="000000"/>
        </w:rPr>
        <w:t xml:space="preserve"> </w:t>
      </w:r>
      <w:r w:rsidR="006C21C7" w:rsidRPr="00522B6D">
        <w:rPr>
          <w:color w:val="000000"/>
        </w:rPr>
        <w:t xml:space="preserve">on the </w:t>
      </w:r>
      <w:r w:rsidR="00B95B74" w:rsidRPr="00522B6D">
        <w:rPr>
          <w:color w:val="000000"/>
        </w:rPr>
        <w:t xml:space="preserve">grounds </w:t>
      </w:r>
      <w:r w:rsidR="006C21C7" w:rsidRPr="00522B6D">
        <w:rPr>
          <w:color w:val="000000"/>
        </w:rPr>
        <w:t xml:space="preserve">that </w:t>
      </w:r>
      <w:bookmarkStart w:id="170" w:name="dabmci_ad6eb4e79f6f41f98d3d482d257ed9f2"/>
      <w:r w:rsidR="00BE30E7" w:rsidRPr="00522B6D">
        <w:rPr>
          <w:color w:val="000000"/>
        </w:rPr>
        <w:t>Senate Bill</w:t>
      </w:r>
      <w:r w:rsidR="00F649FF" w:rsidRPr="00522B6D">
        <w:rPr>
          <w:color w:val="000000"/>
        </w:rPr>
        <w:t xml:space="preserve"> 1393</w:t>
      </w:r>
      <w:bookmarkEnd w:id="170"/>
      <w:r w:rsidR="00F649FF" w:rsidRPr="00522B6D">
        <w:rPr>
          <w:color w:val="000000"/>
        </w:rPr>
        <w:t xml:space="preserve"> gave courts discretion to strike the enhancement</w:t>
      </w:r>
      <w:r w:rsidR="00B35118" w:rsidRPr="00522B6D">
        <w:rPr>
          <w:color w:val="000000"/>
        </w:rPr>
        <w:t xml:space="preserve"> and thus the prohibition on a trial court’s ability to unilaterally modify a negotiated sentence was directly implicated</w:t>
      </w:r>
      <w:r w:rsidR="00F649FF" w:rsidRPr="00522B6D">
        <w:rPr>
          <w:color w:val="000000"/>
        </w:rPr>
        <w:t>.  (</w:t>
      </w:r>
      <w:bookmarkStart w:id="171" w:name="dabmci_d756aaaba1ed4684bc8b0a1cecf51f4b"/>
      <w:r w:rsidR="00230311" w:rsidRPr="00522B6D">
        <w:rPr>
          <w:i/>
          <w:iCs/>
          <w:color w:val="000000"/>
        </w:rPr>
        <w:t>Stewart,</w:t>
      </w:r>
      <w:r w:rsidR="00F649FF" w:rsidRPr="00522B6D">
        <w:rPr>
          <w:color w:val="000000"/>
        </w:rPr>
        <w:t xml:space="preserve"> at p</w:t>
      </w:r>
      <w:r w:rsidR="00B300D1" w:rsidRPr="00522B6D">
        <w:rPr>
          <w:color w:val="000000"/>
        </w:rPr>
        <w:t>p</w:t>
      </w:r>
      <w:r w:rsidR="00F649FF" w:rsidRPr="00522B6D">
        <w:rPr>
          <w:color w:val="000000"/>
        </w:rPr>
        <w:t>. 1075</w:t>
      </w:r>
      <w:r w:rsidR="003D645A" w:rsidRPr="00522B6D">
        <w:rPr>
          <w:color w:val="000000"/>
        </w:rPr>
        <w:t>, 1077</w:t>
      </w:r>
      <w:bookmarkEnd w:id="171"/>
      <w:r w:rsidR="00F649FF" w:rsidRPr="00522B6D">
        <w:rPr>
          <w:color w:val="000000"/>
        </w:rPr>
        <w:t>.)</w:t>
      </w:r>
      <w:r w:rsidR="003D645A" w:rsidRPr="00522B6D">
        <w:rPr>
          <w:color w:val="000000"/>
        </w:rPr>
        <w:t xml:space="preserve">  </w:t>
      </w:r>
      <w:r w:rsidR="00B95B74" w:rsidRPr="00522B6D">
        <w:rPr>
          <w:color w:val="000000"/>
        </w:rPr>
        <w:t xml:space="preserve">It </w:t>
      </w:r>
      <w:r w:rsidR="00FD11F6" w:rsidRPr="00522B6D">
        <w:rPr>
          <w:color w:val="000000"/>
        </w:rPr>
        <w:t>reasoned that</w:t>
      </w:r>
      <w:r w:rsidR="003D645A" w:rsidRPr="00522B6D">
        <w:rPr>
          <w:color w:val="000000"/>
        </w:rPr>
        <w:t xml:space="preserve"> “</w:t>
      </w:r>
      <w:r w:rsidR="003D645A" w:rsidRPr="00522B6D">
        <w:rPr>
          <w:i/>
          <w:iCs/>
          <w:color w:val="000000"/>
        </w:rPr>
        <w:t>Stamps</w:t>
      </w:r>
      <w:r w:rsidR="003D645A" w:rsidRPr="00522B6D">
        <w:rPr>
          <w:color w:val="000000"/>
        </w:rPr>
        <w:t xml:space="preserve"> . . . had no occasion to consider the effect on a plea bargain of retroactive application of a law through which the Legislature directly affected a plea bargain by rendering one of its terms invalid.</w:t>
      </w:r>
      <w:r w:rsidR="006C21C7" w:rsidRPr="00522B6D">
        <w:rPr>
          <w:color w:val="000000"/>
        </w:rPr>
        <w:t xml:space="preserve"> </w:t>
      </w:r>
      <w:r w:rsidR="003D645A" w:rsidRPr="00522B6D">
        <w:rPr>
          <w:color w:val="000000"/>
        </w:rPr>
        <w:t xml:space="preserve"> Where the ameliorative change in law is mandatory, the question is not </w:t>
      </w:r>
      <w:bookmarkStart w:id="172" w:name="_Hlk90126067"/>
      <w:r w:rsidR="003D645A" w:rsidRPr="00522B6D">
        <w:rPr>
          <w:color w:val="000000"/>
        </w:rPr>
        <w:t xml:space="preserve">whether the Legislature intended to allow the trial court to alter the </w:t>
      </w:r>
      <w:r w:rsidR="003D645A" w:rsidRPr="00522B6D">
        <w:rPr>
          <w:color w:val="000000"/>
        </w:rPr>
        <w:lastRenderedPageBreak/>
        <w:t>terms of a plea bargain but whether the Legislature intended to, in effect, do so directly.</w:t>
      </w:r>
      <w:r w:rsidR="00FC354B" w:rsidRPr="00522B6D">
        <w:rPr>
          <w:color w:val="000000"/>
        </w:rPr>
        <w:t xml:space="preserve">” </w:t>
      </w:r>
      <w:r w:rsidR="00B300D1" w:rsidRPr="00522B6D">
        <w:rPr>
          <w:color w:val="000000"/>
        </w:rPr>
        <w:t xml:space="preserve"> </w:t>
      </w:r>
      <w:r w:rsidR="00FC354B" w:rsidRPr="00522B6D">
        <w:rPr>
          <w:color w:val="000000"/>
        </w:rPr>
        <w:t>(</w:t>
      </w:r>
      <w:bookmarkStart w:id="173" w:name="dabmci_7be561e57a1847879d7170f3588de469"/>
      <w:r w:rsidR="00FC354B" w:rsidRPr="00522B6D">
        <w:rPr>
          <w:i/>
          <w:iCs/>
          <w:color w:val="000000"/>
        </w:rPr>
        <w:t>Id</w:t>
      </w:r>
      <w:r w:rsidR="00FC354B" w:rsidRPr="00522B6D">
        <w:rPr>
          <w:color w:val="000000"/>
        </w:rPr>
        <w:t>. at p. 1077</w:t>
      </w:r>
      <w:bookmarkEnd w:id="173"/>
      <w:r w:rsidR="00FC354B" w:rsidRPr="00522B6D">
        <w:rPr>
          <w:color w:val="000000"/>
        </w:rPr>
        <w:t xml:space="preserve">.)  </w:t>
      </w:r>
      <w:bookmarkEnd w:id="172"/>
      <w:r w:rsidR="001C35FD" w:rsidRPr="00522B6D">
        <w:rPr>
          <w:color w:val="000000"/>
        </w:rPr>
        <w:t xml:space="preserve">Further, </w:t>
      </w:r>
      <w:bookmarkStart w:id="174" w:name="dabmci_4384983354534e2580e23c637a6884e4"/>
      <w:r w:rsidR="000208C9" w:rsidRPr="00522B6D">
        <w:rPr>
          <w:color w:val="000000"/>
        </w:rPr>
        <w:t>Assembly Bill</w:t>
      </w:r>
      <w:r w:rsidR="00FC354B" w:rsidRPr="00522B6D">
        <w:rPr>
          <w:color w:val="000000"/>
        </w:rPr>
        <w:t xml:space="preserve"> 1950</w:t>
      </w:r>
      <w:bookmarkEnd w:id="174"/>
      <w:r w:rsidR="00FC354B" w:rsidRPr="00522B6D">
        <w:rPr>
          <w:color w:val="000000"/>
        </w:rPr>
        <w:t xml:space="preserve">, like </w:t>
      </w:r>
      <w:bookmarkStart w:id="175" w:name="dabmci_3b5a7d00a86246ebad162ba45e3614dc"/>
      <w:r w:rsidR="00BE30E7" w:rsidRPr="00522B6D">
        <w:rPr>
          <w:color w:val="000000"/>
        </w:rPr>
        <w:t>Senate Bill</w:t>
      </w:r>
      <w:r w:rsidR="00FC354B" w:rsidRPr="00522B6D">
        <w:rPr>
          <w:color w:val="000000"/>
        </w:rPr>
        <w:t xml:space="preserve"> 136</w:t>
      </w:r>
      <w:bookmarkEnd w:id="175"/>
      <w:r w:rsidR="00FC354B" w:rsidRPr="00522B6D">
        <w:rPr>
          <w:color w:val="000000"/>
        </w:rPr>
        <w:t>, “</w:t>
      </w:r>
      <w:r w:rsidR="00230311" w:rsidRPr="00522B6D">
        <w:rPr>
          <w:color w:val="000000"/>
        </w:rPr>
        <w:t xml:space="preserve"> ‘</w:t>
      </w:r>
      <w:r w:rsidR="00FC354B" w:rsidRPr="00522B6D">
        <w:rPr>
          <w:color w:val="000000"/>
        </w:rPr>
        <w:t xml:space="preserve">does not involve </w:t>
      </w:r>
      <w:r w:rsidR="00FC354B" w:rsidRPr="00522B6D">
        <w:rPr>
          <w:i/>
          <w:iCs/>
          <w:color w:val="000000"/>
        </w:rPr>
        <w:t>Stamps</w:t>
      </w:r>
      <w:r w:rsidR="00FC354B" w:rsidRPr="009F77CD">
        <w:rPr>
          <w:color w:val="000000"/>
        </w:rPr>
        <w:t>’s</w:t>
      </w:r>
      <w:r w:rsidR="00FC354B" w:rsidRPr="00522B6D">
        <w:rPr>
          <w:color w:val="000000"/>
        </w:rPr>
        <w:t xml:space="preserve"> repeated and carefully phrased concern with the </w:t>
      </w:r>
      <w:r w:rsidR="00230311" w:rsidRPr="00522B6D">
        <w:rPr>
          <w:color w:val="000000"/>
        </w:rPr>
        <w:t>“</w:t>
      </w:r>
      <w:r w:rsidR="00FC354B" w:rsidRPr="00522B6D">
        <w:rPr>
          <w:color w:val="000000"/>
        </w:rPr>
        <w:t xml:space="preserve">long-standing law that a </w:t>
      </w:r>
      <w:r w:rsidR="00FC354B" w:rsidRPr="009F77CD">
        <w:rPr>
          <w:i/>
          <w:color w:val="000000"/>
        </w:rPr>
        <w:t>court</w:t>
      </w:r>
      <w:r w:rsidR="00FC354B" w:rsidRPr="00522B6D">
        <w:rPr>
          <w:color w:val="000000"/>
        </w:rPr>
        <w:t xml:space="preserve"> cannot </w:t>
      </w:r>
      <w:r w:rsidR="00FC354B" w:rsidRPr="009F77CD">
        <w:rPr>
          <w:i/>
          <w:color w:val="000000"/>
        </w:rPr>
        <w:t>unilaterally</w:t>
      </w:r>
      <w:r w:rsidR="00FC354B" w:rsidRPr="00522B6D">
        <w:rPr>
          <w:color w:val="000000"/>
        </w:rPr>
        <w:t xml:space="preserve"> modify an agreed-upon term by striking portions of it under section 1385</w:t>
      </w:r>
      <w:r w:rsidR="00E25FDD" w:rsidRPr="00522B6D">
        <w:rPr>
          <w:color w:val="000000"/>
        </w:rPr>
        <w:t>.</w:t>
      </w:r>
      <w:r w:rsidR="00FC354B" w:rsidRPr="00522B6D">
        <w:rPr>
          <w:color w:val="000000"/>
        </w:rPr>
        <w:t>”</w:t>
      </w:r>
      <w:r w:rsidR="00230311" w:rsidRPr="00522B6D">
        <w:rPr>
          <w:color w:val="000000"/>
        </w:rPr>
        <w:t> ’ ”</w:t>
      </w:r>
      <w:r w:rsidR="00FC354B" w:rsidRPr="00522B6D">
        <w:rPr>
          <w:color w:val="000000"/>
        </w:rPr>
        <w:t xml:space="preserve"> </w:t>
      </w:r>
      <w:r w:rsidR="00B300D1" w:rsidRPr="00522B6D">
        <w:rPr>
          <w:color w:val="000000"/>
        </w:rPr>
        <w:t xml:space="preserve"> </w:t>
      </w:r>
      <w:r w:rsidR="00E25FDD" w:rsidRPr="00522B6D">
        <w:rPr>
          <w:color w:val="000000"/>
        </w:rPr>
        <w:t xml:space="preserve">Instead, according to the court in </w:t>
      </w:r>
      <w:bookmarkStart w:id="176" w:name="dabmci_cfe366e9735e41f89cc1ed0dba0359bc"/>
      <w:r w:rsidR="00E25FDD" w:rsidRPr="00522B6D">
        <w:rPr>
          <w:i/>
          <w:iCs/>
          <w:color w:val="000000"/>
        </w:rPr>
        <w:t>Stewart</w:t>
      </w:r>
      <w:bookmarkEnd w:id="176"/>
      <w:r w:rsidR="00E25FDD" w:rsidRPr="00522B6D">
        <w:rPr>
          <w:color w:val="000000"/>
        </w:rPr>
        <w:t xml:space="preserve">, </w:t>
      </w:r>
      <w:bookmarkStart w:id="177" w:name="dabmci_d199a6298be74a37b27eaebe809c0677"/>
      <w:r w:rsidR="000208C9" w:rsidRPr="00522B6D">
        <w:rPr>
          <w:color w:val="000000"/>
        </w:rPr>
        <w:t>Assembly Bill</w:t>
      </w:r>
      <w:r w:rsidR="00E25FDD" w:rsidRPr="00522B6D">
        <w:rPr>
          <w:color w:val="000000"/>
        </w:rPr>
        <w:t xml:space="preserve"> 1950</w:t>
      </w:r>
      <w:bookmarkEnd w:id="177"/>
      <w:r w:rsidR="00FC354B" w:rsidRPr="00522B6D">
        <w:rPr>
          <w:color w:val="000000"/>
        </w:rPr>
        <w:t xml:space="preserve"> “</w:t>
      </w:r>
      <w:r w:rsidR="00230311" w:rsidRPr="00522B6D">
        <w:rPr>
          <w:color w:val="000000"/>
        </w:rPr>
        <w:t xml:space="preserve"> ‘</w:t>
      </w:r>
      <w:r w:rsidR="00FC354B" w:rsidRPr="00522B6D">
        <w:rPr>
          <w:color w:val="000000"/>
        </w:rPr>
        <w:t xml:space="preserve">has a direct and conclusive effect on the legality of existing sentences pursuant to </w:t>
      </w:r>
      <w:r w:rsidR="00FC354B" w:rsidRPr="00522B6D">
        <w:rPr>
          <w:i/>
          <w:iCs/>
          <w:color w:val="000000"/>
        </w:rPr>
        <w:t>Estrada</w:t>
      </w:r>
      <w:r w:rsidR="00FC354B" w:rsidRPr="00522B6D">
        <w:rPr>
          <w:color w:val="000000"/>
        </w:rPr>
        <w:t>.</w:t>
      </w:r>
      <w:r w:rsidR="00230311" w:rsidRPr="00522B6D">
        <w:rPr>
          <w:color w:val="000000"/>
        </w:rPr>
        <w:t xml:space="preserve">’ </w:t>
      </w:r>
      <w:r w:rsidR="00FC354B" w:rsidRPr="00522B6D">
        <w:rPr>
          <w:color w:val="000000"/>
        </w:rPr>
        <w:t>”  (</w:t>
      </w:r>
      <w:bookmarkStart w:id="178" w:name="dabmci_1a36cb4ff9de4dcdb82236d09411a922"/>
      <w:r w:rsidR="00230311" w:rsidRPr="00522B6D">
        <w:rPr>
          <w:i/>
          <w:iCs/>
          <w:color w:val="000000"/>
        </w:rPr>
        <w:t>Stewart,</w:t>
      </w:r>
      <w:r w:rsidR="00FC354B" w:rsidRPr="00522B6D">
        <w:rPr>
          <w:color w:val="000000"/>
        </w:rPr>
        <w:t xml:space="preserve"> at p. 1078</w:t>
      </w:r>
      <w:bookmarkEnd w:id="178"/>
      <w:r w:rsidR="00FC354B" w:rsidRPr="00522B6D">
        <w:rPr>
          <w:color w:val="000000"/>
        </w:rPr>
        <w:t>.)</w:t>
      </w:r>
    </w:p>
    <w:p w14:paraId="5E4DB17A" w14:textId="7F8696E0" w:rsidR="00153AEF" w:rsidRPr="00522B6D" w:rsidRDefault="001D5D5D" w:rsidP="00E12338">
      <w:pPr>
        <w:rPr>
          <w:color w:val="000000"/>
        </w:rPr>
      </w:pPr>
      <w:r w:rsidRPr="00522B6D">
        <w:rPr>
          <w:rFonts w:eastAsiaTheme="minorEastAsia"/>
        </w:rPr>
        <w:tab/>
      </w:r>
      <w:bookmarkStart w:id="179" w:name="_Hlk90632013"/>
      <w:r w:rsidRPr="00522B6D">
        <w:rPr>
          <w:rFonts w:eastAsiaTheme="minorEastAsia"/>
        </w:rPr>
        <w:t>We disagree with the</w:t>
      </w:r>
      <w:r w:rsidR="002A369E" w:rsidRPr="00522B6D">
        <w:rPr>
          <w:rFonts w:eastAsiaTheme="minorEastAsia"/>
        </w:rPr>
        <w:t xml:space="preserve"> approach advanced</w:t>
      </w:r>
      <w:r w:rsidR="000F7966" w:rsidRPr="00522B6D">
        <w:rPr>
          <w:rFonts w:eastAsiaTheme="minorEastAsia"/>
        </w:rPr>
        <w:t xml:space="preserve"> in these cases</w:t>
      </w:r>
      <w:r w:rsidR="002A369E" w:rsidRPr="00522B6D">
        <w:rPr>
          <w:rFonts w:eastAsiaTheme="minorEastAsia"/>
        </w:rPr>
        <w:t xml:space="preserve">.  </w:t>
      </w:r>
      <w:bookmarkEnd w:id="179"/>
      <w:r w:rsidR="00507BB7" w:rsidRPr="00522B6D">
        <w:rPr>
          <w:rFonts w:eastAsiaTheme="minorEastAsia"/>
        </w:rPr>
        <w:t>T</w:t>
      </w:r>
      <w:r w:rsidR="00736104" w:rsidRPr="00522B6D">
        <w:rPr>
          <w:rFonts w:eastAsiaTheme="minorEastAsia"/>
        </w:rPr>
        <w:t xml:space="preserve">he </w:t>
      </w:r>
      <w:r w:rsidR="00736104" w:rsidRPr="00522B6D">
        <w:rPr>
          <w:rFonts w:eastAsiaTheme="minorEastAsia"/>
          <w:i/>
          <w:iCs/>
        </w:rPr>
        <w:t>France</w:t>
      </w:r>
      <w:r w:rsidR="00736104" w:rsidRPr="00522B6D">
        <w:rPr>
          <w:rFonts w:eastAsiaTheme="minorEastAsia"/>
        </w:rPr>
        <w:t xml:space="preserve"> majority </w:t>
      </w:r>
      <w:r w:rsidR="00B95412" w:rsidRPr="00522B6D">
        <w:rPr>
          <w:rFonts w:eastAsiaTheme="minorEastAsia"/>
        </w:rPr>
        <w:t>inferred</w:t>
      </w:r>
      <w:r w:rsidR="00736104" w:rsidRPr="00522B6D">
        <w:rPr>
          <w:rFonts w:eastAsiaTheme="minorEastAsia"/>
        </w:rPr>
        <w:t xml:space="preserve"> </w:t>
      </w:r>
      <w:r w:rsidR="00B95412" w:rsidRPr="00522B6D">
        <w:rPr>
          <w:rFonts w:eastAsiaTheme="minorEastAsia"/>
        </w:rPr>
        <w:t>an intent</w:t>
      </w:r>
      <w:r w:rsidR="00040E68" w:rsidRPr="00522B6D">
        <w:rPr>
          <w:rFonts w:eastAsiaTheme="minorEastAsia"/>
        </w:rPr>
        <w:t xml:space="preserve"> </w:t>
      </w:r>
      <w:r w:rsidR="00E8345E" w:rsidRPr="00522B6D">
        <w:rPr>
          <w:rFonts w:eastAsiaTheme="minorEastAsia"/>
        </w:rPr>
        <w:t xml:space="preserve">to apply </w:t>
      </w:r>
      <w:bookmarkStart w:id="180" w:name="dabmci_b4f8df8ade764520b1e065eddb2889e0"/>
      <w:r w:rsidR="00BE30E7" w:rsidRPr="00522B6D">
        <w:rPr>
          <w:rFonts w:eastAsiaTheme="minorEastAsia"/>
        </w:rPr>
        <w:t>Senate Bill</w:t>
      </w:r>
      <w:r w:rsidR="00E8345E" w:rsidRPr="00522B6D">
        <w:rPr>
          <w:rFonts w:eastAsiaTheme="minorEastAsia"/>
        </w:rPr>
        <w:t xml:space="preserve"> 136</w:t>
      </w:r>
      <w:bookmarkEnd w:id="180"/>
      <w:r w:rsidR="00E8345E" w:rsidRPr="00522B6D">
        <w:rPr>
          <w:rFonts w:eastAsiaTheme="minorEastAsia"/>
        </w:rPr>
        <w:t xml:space="preserve"> to plea-bargained sentences </w:t>
      </w:r>
      <w:r w:rsidR="00040E68" w:rsidRPr="00522B6D">
        <w:rPr>
          <w:rFonts w:eastAsiaTheme="minorEastAsia"/>
        </w:rPr>
        <w:t>from</w:t>
      </w:r>
      <w:r w:rsidR="00736104" w:rsidRPr="00522B6D">
        <w:rPr>
          <w:rFonts w:eastAsiaTheme="minorEastAsia"/>
        </w:rPr>
        <w:t xml:space="preserve"> the legislative purpose</w:t>
      </w:r>
      <w:r w:rsidR="00040E68" w:rsidRPr="00522B6D">
        <w:rPr>
          <w:rFonts w:eastAsiaTheme="minorEastAsia"/>
        </w:rPr>
        <w:t>s</w:t>
      </w:r>
      <w:r w:rsidR="00736104" w:rsidRPr="00522B6D">
        <w:rPr>
          <w:rFonts w:eastAsiaTheme="minorEastAsia"/>
        </w:rPr>
        <w:t xml:space="preserve"> of </w:t>
      </w:r>
      <w:r w:rsidR="00E8345E" w:rsidRPr="00522B6D">
        <w:rPr>
          <w:rFonts w:eastAsiaTheme="minorEastAsia"/>
        </w:rPr>
        <w:t xml:space="preserve">that measure.  </w:t>
      </w:r>
      <w:r w:rsidR="005D149D" w:rsidRPr="00522B6D">
        <w:rPr>
          <w:rFonts w:eastAsiaTheme="minorEastAsia"/>
        </w:rPr>
        <w:t xml:space="preserve">But </w:t>
      </w:r>
      <w:r w:rsidR="00E032DD" w:rsidRPr="00522B6D">
        <w:rPr>
          <w:rFonts w:eastAsiaTheme="minorEastAsia"/>
        </w:rPr>
        <w:t xml:space="preserve">as the </w:t>
      </w:r>
      <w:r w:rsidR="00E032DD" w:rsidRPr="00522B6D">
        <w:rPr>
          <w:rFonts w:eastAsiaTheme="minorEastAsia"/>
          <w:i/>
          <w:iCs/>
        </w:rPr>
        <w:t>France</w:t>
      </w:r>
      <w:r w:rsidR="00E032DD" w:rsidRPr="00522B6D">
        <w:rPr>
          <w:rFonts w:eastAsiaTheme="minorEastAsia"/>
        </w:rPr>
        <w:t xml:space="preserve"> majority acknowledged</w:t>
      </w:r>
      <w:r w:rsidR="00E25FDD" w:rsidRPr="00522B6D">
        <w:rPr>
          <w:rFonts w:eastAsiaTheme="minorEastAsia"/>
        </w:rPr>
        <w:t>,</w:t>
      </w:r>
      <w:r w:rsidR="00490323" w:rsidRPr="00522B6D">
        <w:rPr>
          <w:rFonts w:eastAsiaTheme="minorEastAsia"/>
        </w:rPr>
        <w:t xml:space="preserve"> </w:t>
      </w:r>
      <w:r w:rsidR="00490323" w:rsidRPr="00522B6D">
        <w:rPr>
          <w:color w:val="000000"/>
        </w:rPr>
        <w:t xml:space="preserve">the Legislature’s intent was to “reduce the expense and ineffectiveness of </w:t>
      </w:r>
      <w:r w:rsidR="00490323" w:rsidRPr="00522B6D">
        <w:rPr>
          <w:i/>
          <w:iCs/>
          <w:color w:val="000000"/>
        </w:rPr>
        <w:t>enhanced prison sentences</w:t>
      </w:r>
      <w:r w:rsidR="00490323" w:rsidRPr="00522B6D">
        <w:rPr>
          <w:color w:val="000000"/>
        </w:rPr>
        <w:t xml:space="preserve"> based on prior prison terms.”</w:t>
      </w:r>
      <w:r w:rsidR="00E032DD" w:rsidRPr="00522B6D">
        <w:rPr>
          <w:rFonts w:eastAsiaTheme="minorEastAsia"/>
        </w:rPr>
        <w:t xml:space="preserve"> </w:t>
      </w:r>
      <w:r w:rsidR="00CE304E" w:rsidRPr="00522B6D">
        <w:rPr>
          <w:rFonts w:eastAsiaTheme="minorEastAsia"/>
        </w:rPr>
        <w:t xml:space="preserve"> </w:t>
      </w:r>
      <w:r w:rsidR="00E032DD" w:rsidRPr="00522B6D">
        <w:rPr>
          <w:color w:val="000000"/>
        </w:rPr>
        <w:t>(</w:t>
      </w:r>
      <w:bookmarkStart w:id="181" w:name="dabmci_b0de27dca0594c5a8760462f5583990b"/>
      <w:r w:rsidRPr="00522B6D">
        <w:rPr>
          <w:rFonts w:eastAsiaTheme="minorEastAsia"/>
          <w:i/>
          <w:iCs/>
        </w:rPr>
        <w:t>France</w:t>
      </w:r>
      <w:r w:rsidRPr="009F77CD">
        <w:rPr>
          <w:rFonts w:eastAsiaTheme="minorEastAsia"/>
          <w:i/>
        </w:rPr>
        <w:t>,</w:t>
      </w:r>
      <w:r w:rsidRPr="00522B6D">
        <w:rPr>
          <w:rFonts w:eastAsiaTheme="minorEastAsia"/>
        </w:rPr>
        <w:t xml:space="preserve"> </w:t>
      </w:r>
      <w:r w:rsidRPr="00522B6D">
        <w:rPr>
          <w:rFonts w:eastAsiaTheme="minorEastAsia"/>
          <w:i/>
          <w:iCs/>
        </w:rPr>
        <w:t>supra</w:t>
      </w:r>
      <w:r w:rsidRPr="00522B6D">
        <w:rPr>
          <w:rFonts w:eastAsiaTheme="minorEastAsia"/>
        </w:rPr>
        <w:t>, 58 Cal.App.</w:t>
      </w:r>
      <w:r w:rsidR="00D76190" w:rsidRPr="00522B6D">
        <w:rPr>
          <w:rFonts w:eastAsiaTheme="minorEastAsia"/>
        </w:rPr>
        <w:t>5</w:t>
      </w:r>
      <w:r w:rsidRPr="00522B6D">
        <w:rPr>
          <w:rFonts w:eastAsiaTheme="minorEastAsia"/>
        </w:rPr>
        <w:t xml:space="preserve">th at p. </w:t>
      </w:r>
      <w:r w:rsidR="009F2134" w:rsidRPr="00522B6D">
        <w:rPr>
          <w:rFonts w:eastAsiaTheme="minorEastAsia"/>
        </w:rPr>
        <w:t>728</w:t>
      </w:r>
      <w:bookmarkEnd w:id="181"/>
      <w:r w:rsidR="00522B6D">
        <w:rPr>
          <w:rFonts w:eastAsiaTheme="minorEastAsia"/>
        </w:rPr>
        <w:t>, review granted</w:t>
      </w:r>
      <w:r w:rsidR="00B12FAC" w:rsidRPr="00522B6D">
        <w:rPr>
          <w:rFonts w:eastAsiaTheme="minorEastAsia"/>
        </w:rPr>
        <w:t>, italics added</w:t>
      </w:r>
      <w:r w:rsidR="00E032DD" w:rsidRPr="00522B6D">
        <w:rPr>
          <w:color w:val="000000"/>
        </w:rPr>
        <w:t xml:space="preserve">.) </w:t>
      </w:r>
      <w:r w:rsidR="00E032DD" w:rsidRPr="00522B6D">
        <w:rPr>
          <w:rFonts w:eastAsiaTheme="minorEastAsia"/>
        </w:rPr>
        <w:t xml:space="preserve"> </w:t>
      </w:r>
      <w:r w:rsidR="00090AC8" w:rsidRPr="00522B6D">
        <w:rPr>
          <w:rFonts w:eastAsiaTheme="minorEastAsia"/>
        </w:rPr>
        <w:t>Thus, it</w:t>
      </w:r>
      <w:r w:rsidR="00657E43" w:rsidRPr="00522B6D">
        <w:rPr>
          <w:rFonts w:eastAsiaTheme="minorEastAsia"/>
        </w:rPr>
        <w:t xml:space="preserve"> was plainly the one-year</w:t>
      </w:r>
      <w:r w:rsidR="00E032DD" w:rsidRPr="00522B6D">
        <w:rPr>
          <w:rFonts w:eastAsiaTheme="minorEastAsia"/>
        </w:rPr>
        <w:t xml:space="preserve"> enhancement</w:t>
      </w:r>
      <w:r w:rsidR="00657E43" w:rsidRPr="00522B6D">
        <w:rPr>
          <w:rFonts w:eastAsiaTheme="minorEastAsia"/>
        </w:rPr>
        <w:t xml:space="preserve"> sentence </w:t>
      </w:r>
      <w:r w:rsidR="00090AC8" w:rsidRPr="00522B6D">
        <w:rPr>
          <w:rFonts w:eastAsiaTheme="minorEastAsia"/>
        </w:rPr>
        <w:t>the Legislature</w:t>
      </w:r>
      <w:r w:rsidR="00657E43" w:rsidRPr="00522B6D">
        <w:rPr>
          <w:rFonts w:eastAsiaTheme="minorEastAsia"/>
        </w:rPr>
        <w:t xml:space="preserve"> sought to eliminate in effectuating its legislative purpose. </w:t>
      </w:r>
      <w:r w:rsidR="00B95412" w:rsidRPr="00522B6D">
        <w:rPr>
          <w:rFonts w:eastAsiaTheme="minorEastAsia"/>
        </w:rPr>
        <w:t xml:space="preserve"> </w:t>
      </w:r>
      <w:r w:rsidR="005D149D" w:rsidRPr="00522B6D">
        <w:rPr>
          <w:rFonts w:eastAsiaTheme="minorEastAsia"/>
        </w:rPr>
        <w:t xml:space="preserve">The Legislature </w:t>
      </w:r>
      <w:r w:rsidR="001A2A1F" w:rsidRPr="00522B6D">
        <w:rPr>
          <w:rFonts w:eastAsiaTheme="minorEastAsia"/>
        </w:rPr>
        <w:t>did not</w:t>
      </w:r>
      <w:r w:rsidR="005746E5" w:rsidRPr="00522B6D">
        <w:rPr>
          <w:rFonts w:eastAsiaTheme="minorEastAsia"/>
        </w:rPr>
        <w:t>, however,</w:t>
      </w:r>
      <w:r w:rsidR="001A2A1F" w:rsidRPr="00522B6D">
        <w:rPr>
          <w:rFonts w:eastAsiaTheme="minorEastAsia"/>
        </w:rPr>
        <w:t xml:space="preserve"> eliminate or reduce</w:t>
      </w:r>
      <w:r w:rsidR="005D149D" w:rsidRPr="00522B6D">
        <w:rPr>
          <w:rFonts w:eastAsiaTheme="minorEastAsia"/>
        </w:rPr>
        <w:t xml:space="preserve"> sentences </w:t>
      </w:r>
      <w:r w:rsidR="00B95412" w:rsidRPr="00522B6D">
        <w:rPr>
          <w:rFonts w:eastAsiaTheme="minorEastAsia"/>
        </w:rPr>
        <w:t>related to</w:t>
      </w:r>
      <w:r w:rsidR="005D149D" w:rsidRPr="00522B6D">
        <w:rPr>
          <w:rFonts w:eastAsiaTheme="minorEastAsia"/>
        </w:rPr>
        <w:t xml:space="preserve"> other offenses and enhancements that remain </w:t>
      </w:r>
      <w:r w:rsidR="00657E43" w:rsidRPr="00522B6D">
        <w:rPr>
          <w:rFonts w:eastAsiaTheme="minorEastAsia"/>
        </w:rPr>
        <w:t xml:space="preserve">legally </w:t>
      </w:r>
      <w:r w:rsidR="005D149D" w:rsidRPr="00522B6D">
        <w:rPr>
          <w:rFonts w:eastAsiaTheme="minorEastAsia"/>
        </w:rPr>
        <w:t>valid</w:t>
      </w:r>
      <w:r w:rsidR="00E032DD" w:rsidRPr="00522B6D">
        <w:rPr>
          <w:rFonts w:eastAsiaTheme="minorEastAsia"/>
        </w:rPr>
        <w:t xml:space="preserve"> in any particular case</w:t>
      </w:r>
      <w:r w:rsidR="005D149D" w:rsidRPr="00522B6D">
        <w:rPr>
          <w:rFonts w:eastAsiaTheme="minorEastAsia"/>
        </w:rPr>
        <w:t>, but which may</w:t>
      </w:r>
      <w:r w:rsidR="00B12FAC" w:rsidRPr="00522B6D">
        <w:rPr>
          <w:rFonts w:eastAsiaTheme="minorEastAsia"/>
        </w:rPr>
        <w:t xml:space="preserve"> not have been imposed or may</w:t>
      </w:r>
      <w:r w:rsidR="005D149D" w:rsidRPr="00522B6D">
        <w:rPr>
          <w:rFonts w:eastAsiaTheme="minorEastAsia"/>
        </w:rPr>
        <w:t xml:space="preserve"> have been dismissed </w:t>
      </w:r>
      <w:r w:rsidR="007A37DB" w:rsidRPr="00522B6D">
        <w:rPr>
          <w:rFonts w:eastAsiaTheme="minorEastAsia"/>
        </w:rPr>
        <w:t xml:space="preserve">as part </w:t>
      </w:r>
      <w:r w:rsidR="005D149D" w:rsidRPr="00522B6D">
        <w:rPr>
          <w:rFonts w:eastAsiaTheme="minorEastAsia"/>
        </w:rPr>
        <w:t xml:space="preserve">of the </w:t>
      </w:r>
      <w:r w:rsidR="00B95412" w:rsidRPr="00522B6D">
        <w:rPr>
          <w:rFonts w:eastAsiaTheme="minorEastAsia"/>
        </w:rPr>
        <w:t>original agreed</w:t>
      </w:r>
      <w:r w:rsidR="00CE6C38">
        <w:rPr>
          <w:rFonts w:eastAsiaTheme="minorEastAsia"/>
        </w:rPr>
        <w:t>-</w:t>
      </w:r>
      <w:r w:rsidR="00B95412" w:rsidRPr="00522B6D">
        <w:rPr>
          <w:rFonts w:eastAsiaTheme="minorEastAsia"/>
        </w:rPr>
        <w:t>upon sentence</w:t>
      </w:r>
      <w:r w:rsidR="00657E43" w:rsidRPr="00522B6D">
        <w:rPr>
          <w:rFonts w:eastAsiaTheme="minorEastAsia"/>
        </w:rPr>
        <w:t>.  And without an expression of the intent to cover plea</w:t>
      </w:r>
      <w:r w:rsidR="00CE0D4B" w:rsidRPr="00522B6D">
        <w:rPr>
          <w:rFonts w:eastAsiaTheme="minorEastAsia"/>
        </w:rPr>
        <w:t>-</w:t>
      </w:r>
      <w:r w:rsidR="00657E43" w:rsidRPr="00522B6D">
        <w:rPr>
          <w:rFonts w:eastAsiaTheme="minorEastAsia"/>
        </w:rPr>
        <w:t>bargained sentences</w:t>
      </w:r>
      <w:r w:rsidR="007A37DB" w:rsidRPr="00522B6D">
        <w:rPr>
          <w:rFonts w:eastAsiaTheme="minorEastAsia"/>
        </w:rPr>
        <w:t xml:space="preserve"> either in the ameliorative amendment or its legislative history</w:t>
      </w:r>
      <w:r w:rsidR="00657E43" w:rsidRPr="00522B6D">
        <w:rPr>
          <w:rFonts w:eastAsiaTheme="minorEastAsia"/>
        </w:rPr>
        <w:t xml:space="preserve">, it </w:t>
      </w:r>
      <w:r w:rsidR="00040E68" w:rsidRPr="00522B6D">
        <w:rPr>
          <w:rFonts w:eastAsiaTheme="minorEastAsia"/>
        </w:rPr>
        <w:t xml:space="preserve">is </w:t>
      </w:r>
      <w:r w:rsidR="00657E43" w:rsidRPr="00522B6D">
        <w:rPr>
          <w:rFonts w:eastAsiaTheme="minorEastAsia"/>
        </w:rPr>
        <w:t xml:space="preserve">speculative to read such an intent into </w:t>
      </w:r>
      <w:bookmarkStart w:id="182" w:name="dabmci_0bec26d65ed244598247fa5edf0dcd76"/>
      <w:r w:rsidR="00BE30E7" w:rsidRPr="00522B6D">
        <w:rPr>
          <w:rFonts w:eastAsiaTheme="minorEastAsia"/>
        </w:rPr>
        <w:t>Senate Bill</w:t>
      </w:r>
      <w:r w:rsidR="00657E43" w:rsidRPr="00522B6D">
        <w:rPr>
          <w:rFonts w:eastAsiaTheme="minorEastAsia"/>
        </w:rPr>
        <w:t xml:space="preserve"> 136</w:t>
      </w:r>
      <w:bookmarkEnd w:id="182"/>
      <w:r w:rsidR="00657E43" w:rsidRPr="00522B6D">
        <w:rPr>
          <w:rFonts w:eastAsiaTheme="minorEastAsia"/>
        </w:rPr>
        <w:t xml:space="preserve">. </w:t>
      </w:r>
      <w:r w:rsidR="005D149D" w:rsidRPr="00522B6D">
        <w:rPr>
          <w:rFonts w:eastAsiaTheme="minorEastAsia"/>
        </w:rPr>
        <w:t xml:space="preserve"> </w:t>
      </w:r>
      <w:r w:rsidR="00490323" w:rsidRPr="00522B6D">
        <w:rPr>
          <w:rFonts w:eastAsiaTheme="minorEastAsia"/>
        </w:rPr>
        <w:t>Consequently</w:t>
      </w:r>
      <w:r w:rsidR="00EF53B5" w:rsidRPr="00522B6D">
        <w:rPr>
          <w:rFonts w:eastAsiaTheme="minorEastAsia"/>
        </w:rPr>
        <w:t xml:space="preserve">, we </w:t>
      </w:r>
      <w:r w:rsidR="00D179CF" w:rsidRPr="00522B6D">
        <w:rPr>
          <w:rFonts w:eastAsiaTheme="minorEastAsia"/>
        </w:rPr>
        <w:t xml:space="preserve">do not </w:t>
      </w:r>
      <w:r w:rsidRPr="00522B6D">
        <w:rPr>
          <w:rFonts w:eastAsiaTheme="minorEastAsia"/>
        </w:rPr>
        <w:t xml:space="preserve">agree that </w:t>
      </w:r>
      <w:r w:rsidR="00EF53B5" w:rsidRPr="00522B6D">
        <w:rPr>
          <w:color w:val="000000"/>
        </w:rPr>
        <w:t>the Legislature intended to modify the terms of plea agreements “directly”</w:t>
      </w:r>
      <w:r w:rsidR="002E2C1F" w:rsidRPr="00522B6D">
        <w:rPr>
          <w:color w:val="000000"/>
        </w:rPr>
        <w:t xml:space="preserve"> </w:t>
      </w:r>
      <w:r w:rsidR="00040E68" w:rsidRPr="00522B6D">
        <w:rPr>
          <w:color w:val="000000"/>
        </w:rPr>
        <w:t xml:space="preserve">in </w:t>
      </w:r>
      <w:bookmarkStart w:id="183" w:name="dabmci_558b907568c6468daac33a16488fda5a"/>
      <w:r w:rsidR="00BE30E7" w:rsidRPr="00522B6D">
        <w:rPr>
          <w:color w:val="000000"/>
        </w:rPr>
        <w:t>Senate Bill</w:t>
      </w:r>
      <w:r w:rsidR="00040E68" w:rsidRPr="00522B6D">
        <w:rPr>
          <w:color w:val="000000"/>
        </w:rPr>
        <w:t xml:space="preserve"> 136</w:t>
      </w:r>
      <w:bookmarkEnd w:id="183"/>
      <w:r w:rsidR="00040E68" w:rsidRPr="00522B6D">
        <w:rPr>
          <w:color w:val="000000"/>
        </w:rPr>
        <w:t xml:space="preserve">. </w:t>
      </w:r>
      <w:r w:rsidR="002E2C1F" w:rsidRPr="00522B6D">
        <w:rPr>
          <w:color w:val="000000"/>
        </w:rPr>
        <w:t xml:space="preserve"> </w:t>
      </w:r>
      <w:r w:rsidR="00090AC8" w:rsidRPr="00522B6D">
        <w:rPr>
          <w:color w:val="000000"/>
        </w:rPr>
        <w:t>The only thing the Legislature sought to do directly is what it did</w:t>
      </w:r>
      <w:r w:rsidRPr="00522B6D">
        <w:rPr>
          <w:color w:val="000000"/>
        </w:rPr>
        <w:t xml:space="preserve">:  </w:t>
      </w:r>
      <w:r w:rsidR="00090AC8" w:rsidRPr="00522B6D">
        <w:rPr>
          <w:color w:val="000000"/>
        </w:rPr>
        <w:t>eliminate the</w:t>
      </w:r>
      <w:r w:rsidR="00490323" w:rsidRPr="00522B6D">
        <w:rPr>
          <w:color w:val="000000"/>
        </w:rPr>
        <w:t xml:space="preserve"> one-year</w:t>
      </w:r>
      <w:r w:rsidR="00090AC8" w:rsidRPr="00522B6D">
        <w:rPr>
          <w:color w:val="000000"/>
        </w:rPr>
        <w:t xml:space="preserve"> prior prison commitment enhancement for most defendants.  </w:t>
      </w:r>
    </w:p>
    <w:p w14:paraId="3A7E3346" w14:textId="4CD1E69F" w:rsidR="00B75E5F" w:rsidRPr="00522B6D" w:rsidRDefault="001D5D5D" w:rsidP="00871F8F">
      <w:pPr>
        <w:ind w:firstLine="720"/>
        <w:rPr>
          <w:color w:val="000000"/>
        </w:rPr>
      </w:pPr>
      <w:r w:rsidRPr="00522B6D">
        <w:rPr>
          <w:color w:val="000000"/>
        </w:rPr>
        <w:t xml:space="preserve">We find it equally speculative </w:t>
      </w:r>
      <w:r w:rsidR="00B91A74" w:rsidRPr="00522B6D">
        <w:rPr>
          <w:color w:val="000000"/>
        </w:rPr>
        <w:t>to</w:t>
      </w:r>
      <w:r w:rsidRPr="00522B6D">
        <w:rPr>
          <w:color w:val="000000"/>
        </w:rPr>
        <w:t xml:space="preserve"> read into </w:t>
      </w:r>
      <w:bookmarkStart w:id="184" w:name="dabmci_842ea46a38a14174b9401ea5932c6ed6"/>
      <w:r w:rsidR="000208C9" w:rsidRPr="00522B6D">
        <w:rPr>
          <w:color w:val="000000"/>
        </w:rPr>
        <w:t>Assembly Bill</w:t>
      </w:r>
      <w:r w:rsidRPr="00522B6D">
        <w:rPr>
          <w:color w:val="000000"/>
        </w:rPr>
        <w:t xml:space="preserve"> 1950</w:t>
      </w:r>
      <w:bookmarkEnd w:id="184"/>
      <w:r w:rsidRPr="00522B6D">
        <w:rPr>
          <w:color w:val="000000"/>
        </w:rPr>
        <w:t xml:space="preserve"> </w:t>
      </w:r>
      <w:r w:rsidR="009A18F2" w:rsidRPr="00522B6D">
        <w:rPr>
          <w:color w:val="000000"/>
        </w:rPr>
        <w:t xml:space="preserve">from its purposes </w:t>
      </w:r>
      <w:r w:rsidRPr="00522B6D">
        <w:rPr>
          <w:color w:val="000000"/>
        </w:rPr>
        <w:t>an intent to</w:t>
      </w:r>
      <w:r w:rsidRPr="00522B6D">
        <w:rPr>
          <w:color w:val="000000"/>
        </w:rPr>
        <w:t xml:space="preserve"> reach </w:t>
      </w:r>
      <w:r w:rsidR="009D76C2" w:rsidRPr="00522B6D">
        <w:rPr>
          <w:color w:val="000000"/>
        </w:rPr>
        <w:t>plea</w:t>
      </w:r>
      <w:r w:rsidR="00C817E6" w:rsidRPr="00522B6D">
        <w:rPr>
          <w:color w:val="000000"/>
        </w:rPr>
        <w:t>-</w:t>
      </w:r>
      <w:r w:rsidR="009D76C2" w:rsidRPr="00522B6D">
        <w:rPr>
          <w:color w:val="000000"/>
        </w:rPr>
        <w:t xml:space="preserve">bargained sentences </w:t>
      </w:r>
      <w:r w:rsidR="00942F54" w:rsidRPr="00522B6D">
        <w:rPr>
          <w:color w:val="000000"/>
        </w:rPr>
        <w:t xml:space="preserve">when a </w:t>
      </w:r>
      <w:r w:rsidR="00272515" w:rsidRPr="00522B6D">
        <w:rPr>
          <w:color w:val="000000"/>
        </w:rPr>
        <w:t xml:space="preserve">viable </w:t>
      </w:r>
      <w:r w:rsidR="00942F54" w:rsidRPr="00522B6D">
        <w:rPr>
          <w:color w:val="000000"/>
        </w:rPr>
        <w:t>sentence other than probation could have been imposed</w:t>
      </w:r>
      <w:r w:rsidR="00272515" w:rsidRPr="00522B6D">
        <w:rPr>
          <w:color w:val="000000"/>
        </w:rPr>
        <w:t xml:space="preserve"> on the offense for which the defendant was sentenced</w:t>
      </w:r>
      <w:r w:rsidR="009A18F2" w:rsidRPr="00522B6D">
        <w:rPr>
          <w:color w:val="000000"/>
        </w:rPr>
        <w:t xml:space="preserve"> and could be imposed on remand if the trial court concludes a two-year probationary sentence is not </w:t>
      </w:r>
      <w:r w:rsidR="009A18F2" w:rsidRPr="00522B6D">
        <w:rPr>
          <w:color w:val="000000"/>
        </w:rPr>
        <w:lastRenderedPageBreak/>
        <w:t>in the interest</w:t>
      </w:r>
      <w:r w:rsidR="000D4C30">
        <w:rPr>
          <w:color w:val="000000"/>
        </w:rPr>
        <w:t>s</w:t>
      </w:r>
      <w:r w:rsidR="009A18F2" w:rsidRPr="00522B6D">
        <w:rPr>
          <w:color w:val="000000"/>
        </w:rPr>
        <w:t xml:space="preserve"> of society</w:t>
      </w:r>
      <w:r w:rsidR="00272515" w:rsidRPr="00522B6D">
        <w:rPr>
          <w:color w:val="000000"/>
        </w:rPr>
        <w:t>.</w:t>
      </w:r>
      <w:r>
        <w:rPr>
          <w:rStyle w:val="FootnoteReference"/>
          <w:color w:val="000000"/>
        </w:rPr>
        <w:footnoteReference w:id="19"/>
      </w:r>
      <w:r w:rsidR="00272515" w:rsidRPr="00522B6D">
        <w:rPr>
          <w:color w:val="000000"/>
        </w:rPr>
        <w:t xml:space="preserve">  </w:t>
      </w:r>
      <w:r w:rsidR="00B931C7" w:rsidRPr="00522B6D">
        <w:rPr>
          <w:color w:val="000000"/>
        </w:rPr>
        <w:t>If the Legislature’s intent is to reach</w:t>
      </w:r>
      <w:r w:rsidR="00E34DAA" w:rsidRPr="00522B6D">
        <w:rPr>
          <w:color w:val="000000"/>
        </w:rPr>
        <w:t xml:space="preserve"> probationary</w:t>
      </w:r>
      <w:r w:rsidR="00B931C7" w:rsidRPr="00522B6D">
        <w:rPr>
          <w:color w:val="000000"/>
        </w:rPr>
        <w:t xml:space="preserve"> sentences that </w:t>
      </w:r>
      <w:r w:rsidR="00953B63" w:rsidRPr="00522B6D">
        <w:rPr>
          <w:color w:val="000000"/>
        </w:rPr>
        <w:t>are</w:t>
      </w:r>
      <w:r w:rsidR="00B931C7" w:rsidRPr="00522B6D">
        <w:rPr>
          <w:color w:val="000000"/>
        </w:rPr>
        <w:t xml:space="preserve"> the product of a plea agreement</w:t>
      </w:r>
      <w:r w:rsidR="00E34DAA" w:rsidRPr="00522B6D">
        <w:rPr>
          <w:color w:val="000000"/>
        </w:rPr>
        <w:t xml:space="preserve"> and take </w:t>
      </w:r>
      <w:r w:rsidR="009A18F2" w:rsidRPr="00522B6D">
        <w:rPr>
          <w:color w:val="000000"/>
        </w:rPr>
        <w:t>other alternative sentences</w:t>
      </w:r>
      <w:r w:rsidR="00E34DAA" w:rsidRPr="00522B6D">
        <w:rPr>
          <w:color w:val="000000"/>
        </w:rPr>
        <w:t xml:space="preserve"> off the table</w:t>
      </w:r>
      <w:r w:rsidR="00B931C7" w:rsidRPr="00522B6D">
        <w:rPr>
          <w:color w:val="000000"/>
        </w:rPr>
        <w:t xml:space="preserve">, the Legislature need </w:t>
      </w:r>
      <w:r w:rsidR="00153AEF" w:rsidRPr="00522B6D">
        <w:rPr>
          <w:color w:val="000000"/>
        </w:rPr>
        <w:t xml:space="preserve">only </w:t>
      </w:r>
      <w:r w:rsidR="00B931C7" w:rsidRPr="00522B6D">
        <w:rPr>
          <w:color w:val="000000"/>
        </w:rPr>
        <w:t>say</w:t>
      </w:r>
      <w:r w:rsidR="00953B63" w:rsidRPr="00522B6D">
        <w:rPr>
          <w:color w:val="000000"/>
        </w:rPr>
        <w:t xml:space="preserve"> so</w:t>
      </w:r>
      <w:r w:rsidR="00B931C7" w:rsidRPr="00522B6D">
        <w:rPr>
          <w:color w:val="000000"/>
        </w:rPr>
        <w:t>.  (</w:t>
      </w:r>
      <w:r w:rsidR="00B931C7" w:rsidRPr="00CB1AEB">
        <w:rPr>
          <w:color w:val="000000"/>
        </w:rPr>
        <w:t xml:space="preserve">See fn. </w:t>
      </w:r>
      <w:r w:rsidR="002C7EF3" w:rsidRPr="00CB1AEB">
        <w:rPr>
          <w:color w:val="000000"/>
        </w:rPr>
        <w:t>1</w:t>
      </w:r>
      <w:r w:rsidR="00160C86" w:rsidRPr="00CB1AEB">
        <w:rPr>
          <w:color w:val="000000"/>
        </w:rPr>
        <w:t>1</w:t>
      </w:r>
      <w:r w:rsidR="00B931C7" w:rsidRPr="00522B6D">
        <w:rPr>
          <w:color w:val="000000"/>
        </w:rPr>
        <w:t xml:space="preserve">, </w:t>
      </w:r>
      <w:bookmarkStart w:id="188" w:name="dabmci_d6e880ebff65445c9292f751841bf6c6"/>
      <w:r w:rsidR="00B931C7" w:rsidRPr="00522B6D">
        <w:rPr>
          <w:i/>
          <w:iCs/>
          <w:color w:val="000000"/>
        </w:rPr>
        <w:t>ante</w:t>
      </w:r>
      <w:r w:rsidR="00B931C7" w:rsidRPr="00522B6D">
        <w:rPr>
          <w:color w:val="000000"/>
        </w:rPr>
        <w:t>.</w:t>
      </w:r>
      <w:bookmarkEnd w:id="188"/>
      <w:r w:rsidR="00B931C7" w:rsidRPr="00522B6D">
        <w:rPr>
          <w:color w:val="000000"/>
        </w:rPr>
        <w:t xml:space="preserve">) </w:t>
      </w:r>
    </w:p>
    <w:p w14:paraId="34B25BF1" w14:textId="2A4180B2" w:rsidR="003B269E" w:rsidRPr="00522B6D" w:rsidRDefault="001D5D5D" w:rsidP="006A48B8">
      <w:pPr>
        <w:ind w:firstLine="720"/>
      </w:pPr>
      <w:r w:rsidRPr="00522B6D">
        <w:rPr>
          <w:color w:val="000000"/>
        </w:rPr>
        <w:t>As noted, t</w:t>
      </w:r>
      <w:r w:rsidR="004318D8" w:rsidRPr="00522B6D">
        <w:rPr>
          <w:color w:val="000000"/>
        </w:rPr>
        <w:t xml:space="preserve">he </w:t>
      </w:r>
      <w:r w:rsidR="004318D8" w:rsidRPr="00522B6D">
        <w:rPr>
          <w:i/>
          <w:iCs/>
          <w:color w:val="000000"/>
        </w:rPr>
        <w:t>France</w:t>
      </w:r>
      <w:r w:rsidR="004318D8" w:rsidRPr="00522B6D">
        <w:rPr>
          <w:color w:val="000000"/>
        </w:rPr>
        <w:t xml:space="preserve"> majority reasoned that the </w:t>
      </w:r>
      <w:r w:rsidR="004318D8" w:rsidRPr="00522B6D">
        <w:rPr>
          <w:i/>
          <w:iCs/>
          <w:color w:val="000000"/>
        </w:rPr>
        <w:t>Hernandez</w:t>
      </w:r>
      <w:r w:rsidR="004318D8" w:rsidRPr="00522B6D">
        <w:rPr>
          <w:color w:val="000000"/>
        </w:rPr>
        <w:t xml:space="preserve"> approach “would drastically undermine the </w:t>
      </w:r>
      <w:r w:rsidR="004318D8" w:rsidRPr="00522B6D">
        <w:rPr>
          <w:i/>
          <w:iCs/>
          <w:color w:val="000000"/>
        </w:rPr>
        <w:t>Estrada</w:t>
      </w:r>
      <w:r w:rsidR="004318D8" w:rsidRPr="00522B6D">
        <w:rPr>
          <w:color w:val="000000"/>
        </w:rPr>
        <w:t xml:space="preserve"> principle that the Legislature intends a lighter penalty to apply ‘to every case to which it constitutionally could apply</w:t>
      </w:r>
      <w:r w:rsidR="00422B6F" w:rsidRPr="00522B6D">
        <w:rPr>
          <w:color w:val="000000"/>
        </w:rPr>
        <w:t>.</w:t>
      </w:r>
      <w:r w:rsidR="004318D8" w:rsidRPr="00522B6D">
        <w:rPr>
          <w:color w:val="000000"/>
        </w:rPr>
        <w:t>’ ”</w:t>
      </w:r>
      <w:r w:rsidRPr="00522B6D">
        <w:rPr>
          <w:color w:val="000000"/>
        </w:rPr>
        <w:t xml:space="preserve"> </w:t>
      </w:r>
      <w:r w:rsidR="00422B6F" w:rsidRPr="00522B6D">
        <w:rPr>
          <w:color w:val="000000"/>
        </w:rPr>
        <w:t xml:space="preserve"> </w:t>
      </w:r>
      <w:r w:rsidRPr="00522B6D">
        <w:rPr>
          <w:color w:val="000000"/>
        </w:rPr>
        <w:t>(</w:t>
      </w:r>
      <w:bookmarkStart w:id="189" w:name="dabmci_a038c0bae4964894961892365b6d3a77"/>
      <w:r w:rsidRPr="00522B6D">
        <w:rPr>
          <w:i/>
          <w:iCs/>
          <w:color w:val="000000"/>
        </w:rPr>
        <w:t>France</w:t>
      </w:r>
      <w:r w:rsidRPr="00FF1765">
        <w:rPr>
          <w:i/>
          <w:color w:val="000000"/>
        </w:rPr>
        <w:t>,</w:t>
      </w:r>
      <w:r w:rsidRPr="00522B6D">
        <w:rPr>
          <w:color w:val="000000"/>
        </w:rPr>
        <w:t xml:space="preserve"> </w:t>
      </w:r>
      <w:r w:rsidRPr="00522B6D">
        <w:rPr>
          <w:i/>
          <w:iCs/>
          <w:color w:val="000000"/>
        </w:rPr>
        <w:t>supra</w:t>
      </w:r>
      <w:r w:rsidRPr="00522B6D">
        <w:rPr>
          <w:color w:val="000000"/>
        </w:rPr>
        <w:t>,</w:t>
      </w:r>
      <w:r w:rsidR="004318D8" w:rsidRPr="00522B6D">
        <w:rPr>
          <w:color w:val="000000"/>
        </w:rPr>
        <w:t xml:space="preserve"> </w:t>
      </w:r>
      <w:r w:rsidRPr="00522B6D">
        <w:rPr>
          <w:rFonts w:eastAsiaTheme="minorEastAsia"/>
        </w:rPr>
        <w:t>58 Cal.App.</w:t>
      </w:r>
      <w:r w:rsidR="00094A13" w:rsidRPr="00522B6D">
        <w:rPr>
          <w:rFonts w:eastAsiaTheme="minorEastAsia"/>
        </w:rPr>
        <w:t>5</w:t>
      </w:r>
      <w:r w:rsidRPr="00522B6D">
        <w:rPr>
          <w:rFonts w:eastAsiaTheme="minorEastAsia"/>
        </w:rPr>
        <w:t xml:space="preserve">th at p. </w:t>
      </w:r>
      <w:r w:rsidR="00203F24" w:rsidRPr="00522B6D">
        <w:rPr>
          <w:rFonts w:eastAsiaTheme="minorEastAsia"/>
        </w:rPr>
        <w:t>730</w:t>
      </w:r>
      <w:bookmarkEnd w:id="189"/>
      <w:r w:rsidR="00522B6D">
        <w:rPr>
          <w:rFonts w:eastAsiaTheme="minorEastAsia"/>
        </w:rPr>
        <w:t>, review granted</w:t>
      </w:r>
      <w:r w:rsidRPr="00522B6D">
        <w:rPr>
          <w:rFonts w:eastAsiaTheme="minorEastAsia"/>
        </w:rPr>
        <w:t xml:space="preserve">; </w:t>
      </w:r>
      <w:r w:rsidR="00775B1D" w:rsidRPr="00522B6D">
        <w:rPr>
          <w:rFonts w:eastAsiaTheme="minorEastAsia"/>
        </w:rPr>
        <w:t>s</w:t>
      </w:r>
      <w:r w:rsidRPr="00522B6D">
        <w:rPr>
          <w:rFonts w:eastAsiaTheme="minorEastAsia"/>
        </w:rPr>
        <w:t xml:space="preserve">ee also </w:t>
      </w:r>
      <w:bookmarkStart w:id="190" w:name="dabmci_28537e5b9bdb4048b70c8bfdd9baa75d"/>
      <w:r w:rsidRPr="00522B6D">
        <w:rPr>
          <w:rFonts w:eastAsiaTheme="minorEastAsia"/>
          <w:i/>
          <w:iCs/>
        </w:rPr>
        <w:t>Andahl</w:t>
      </w:r>
      <w:r w:rsidRPr="00522B6D">
        <w:rPr>
          <w:rFonts w:eastAsiaTheme="minorEastAsia"/>
        </w:rPr>
        <w:t xml:space="preserve">, </w:t>
      </w:r>
      <w:r w:rsidRPr="00522B6D">
        <w:rPr>
          <w:rFonts w:eastAsiaTheme="minorEastAsia"/>
          <w:i/>
          <w:iCs/>
        </w:rPr>
        <w:t>supra</w:t>
      </w:r>
      <w:r w:rsidRPr="00522B6D">
        <w:rPr>
          <w:rFonts w:eastAsiaTheme="minorEastAsia"/>
        </w:rPr>
        <w:t xml:space="preserve">, </w:t>
      </w:r>
      <w:r w:rsidR="00775B1D" w:rsidRPr="00522B6D">
        <w:rPr>
          <w:rFonts w:eastAsiaTheme="minorEastAsia"/>
        </w:rPr>
        <w:t>62 Cal.App.5th at p. 213</w:t>
      </w:r>
      <w:bookmarkEnd w:id="190"/>
      <w:r w:rsidR="004B170D">
        <w:rPr>
          <w:rFonts w:eastAsiaTheme="minorEastAsia"/>
        </w:rPr>
        <w:t>, review granted</w:t>
      </w:r>
      <w:r w:rsidR="00775B1D" w:rsidRPr="00522B6D">
        <w:rPr>
          <w:rFonts w:eastAsiaTheme="minorEastAsia"/>
        </w:rPr>
        <w:t xml:space="preserve"> [“</w:t>
      </w:r>
      <w:r w:rsidR="00775B1D" w:rsidRPr="00522B6D">
        <w:t xml:space="preserve">Such a result cannot be squared with the </w:t>
      </w:r>
      <w:r w:rsidR="00775B1D" w:rsidRPr="00522B6D">
        <w:rPr>
          <w:i/>
          <w:iCs/>
        </w:rPr>
        <w:t>Estrada</w:t>
      </w:r>
      <w:r w:rsidR="00775B1D" w:rsidRPr="00522B6D">
        <w:t xml:space="preserve"> directive that a ‘lighter penalty’ should be imposed whenever ‘it constitutionally could apply’ ”].) </w:t>
      </w:r>
      <w:r w:rsidR="00B300D1" w:rsidRPr="00522B6D">
        <w:t xml:space="preserve"> </w:t>
      </w:r>
      <w:r w:rsidR="00775B1D" w:rsidRPr="00522B6D">
        <w:rPr>
          <w:rFonts w:eastAsiaTheme="minorEastAsia"/>
        </w:rPr>
        <w:t xml:space="preserve">But again, this misperceives the </w:t>
      </w:r>
      <w:r w:rsidR="0012327E">
        <w:rPr>
          <w:rFonts w:eastAsiaTheme="minorEastAsia"/>
        </w:rPr>
        <w:t>l</w:t>
      </w:r>
      <w:r w:rsidR="00775B1D" w:rsidRPr="00522B6D">
        <w:rPr>
          <w:rFonts w:eastAsiaTheme="minorEastAsia"/>
        </w:rPr>
        <w:t>egislative intent</w:t>
      </w:r>
      <w:r w:rsidR="00ED3590" w:rsidRPr="00522B6D">
        <w:rPr>
          <w:rFonts w:eastAsiaTheme="minorEastAsia"/>
        </w:rPr>
        <w:t>.  I</w:t>
      </w:r>
      <w:r w:rsidR="00775B1D" w:rsidRPr="00522B6D">
        <w:rPr>
          <w:rFonts w:eastAsiaTheme="minorEastAsia"/>
        </w:rPr>
        <w:t>n these ameliorative statutes</w:t>
      </w:r>
      <w:r w:rsidR="00B12FAC" w:rsidRPr="00522B6D">
        <w:rPr>
          <w:rFonts w:eastAsiaTheme="minorEastAsia"/>
        </w:rPr>
        <w:t>,</w:t>
      </w:r>
      <w:r w:rsidR="00775B1D" w:rsidRPr="00522B6D">
        <w:rPr>
          <w:rFonts w:eastAsiaTheme="minorEastAsia"/>
        </w:rPr>
        <w:t xml:space="preserve"> </w:t>
      </w:r>
      <w:r w:rsidR="00ED3590" w:rsidRPr="00522B6D">
        <w:rPr>
          <w:rFonts w:eastAsiaTheme="minorEastAsia"/>
        </w:rPr>
        <w:t>that intent</w:t>
      </w:r>
      <w:r w:rsidR="009D76C2" w:rsidRPr="00522B6D">
        <w:rPr>
          <w:rFonts w:eastAsiaTheme="minorEastAsia"/>
        </w:rPr>
        <w:t xml:space="preserve"> is focused solely on the sentence reduced or eliminated in the amendment, not other viable charges</w:t>
      </w:r>
      <w:r w:rsidR="006077F9" w:rsidRPr="00522B6D">
        <w:rPr>
          <w:rFonts w:eastAsiaTheme="minorEastAsia"/>
        </w:rPr>
        <w:t xml:space="preserve">, </w:t>
      </w:r>
      <w:r w:rsidR="00755B30" w:rsidRPr="00522B6D">
        <w:rPr>
          <w:rFonts w:eastAsiaTheme="minorEastAsia"/>
        </w:rPr>
        <w:t>enhancements,</w:t>
      </w:r>
      <w:r w:rsidR="009D76C2" w:rsidRPr="00522B6D">
        <w:rPr>
          <w:rFonts w:eastAsiaTheme="minorEastAsia"/>
        </w:rPr>
        <w:t xml:space="preserve"> or </w:t>
      </w:r>
      <w:r w:rsidR="006077F9" w:rsidRPr="00522B6D">
        <w:rPr>
          <w:rFonts w:eastAsiaTheme="minorEastAsia"/>
        </w:rPr>
        <w:t xml:space="preserve">their </w:t>
      </w:r>
      <w:r w:rsidR="00B12FAC" w:rsidRPr="00522B6D">
        <w:rPr>
          <w:rFonts w:eastAsiaTheme="minorEastAsia"/>
        </w:rPr>
        <w:t xml:space="preserve">associated </w:t>
      </w:r>
      <w:r w:rsidR="009D76C2" w:rsidRPr="00522B6D">
        <w:rPr>
          <w:rFonts w:eastAsiaTheme="minorEastAsia"/>
        </w:rPr>
        <w:t>sentences</w:t>
      </w:r>
      <w:r w:rsidR="00775B1D" w:rsidRPr="00522B6D">
        <w:rPr>
          <w:rFonts w:eastAsiaTheme="minorEastAsia"/>
        </w:rPr>
        <w:t xml:space="preserve">. </w:t>
      </w:r>
      <w:r w:rsidR="006077F9" w:rsidRPr="00522B6D">
        <w:rPr>
          <w:rFonts w:eastAsiaTheme="minorEastAsia"/>
        </w:rPr>
        <w:t xml:space="preserve"> </w:t>
      </w:r>
      <w:r w:rsidR="00755B30" w:rsidRPr="00522B6D">
        <w:rPr>
          <w:rFonts w:eastAsiaTheme="minorEastAsia"/>
        </w:rPr>
        <w:t>Accordingly</w:t>
      </w:r>
      <w:r w:rsidR="001E0933" w:rsidRPr="00522B6D">
        <w:rPr>
          <w:rFonts w:eastAsiaTheme="minorEastAsia"/>
        </w:rPr>
        <w:t>,</w:t>
      </w:r>
      <w:r w:rsidR="006077F9" w:rsidRPr="00522B6D">
        <w:rPr>
          <w:rFonts w:eastAsiaTheme="minorEastAsia"/>
        </w:rPr>
        <w:t xml:space="preserve"> </w:t>
      </w:r>
      <w:r w:rsidR="006077F9" w:rsidRPr="00522B6D">
        <w:rPr>
          <w:rFonts w:eastAsiaTheme="minorEastAsia"/>
          <w:i/>
          <w:iCs/>
        </w:rPr>
        <w:t>Estrada</w:t>
      </w:r>
      <w:r w:rsidR="006077F9" w:rsidRPr="00522B6D">
        <w:rPr>
          <w:rFonts w:eastAsiaTheme="minorEastAsia"/>
        </w:rPr>
        <w:t xml:space="preserve"> should not be read to reach such sentences. </w:t>
      </w:r>
      <w:r w:rsidR="00775B1D" w:rsidRPr="00522B6D">
        <w:t xml:space="preserve"> When the </w:t>
      </w:r>
      <w:r w:rsidR="001E0933" w:rsidRPr="00522B6D">
        <w:rPr>
          <w:i/>
          <w:iCs/>
        </w:rPr>
        <w:t>Estrada</w:t>
      </w:r>
      <w:r w:rsidR="001E0933" w:rsidRPr="00522B6D">
        <w:t xml:space="preserve"> </w:t>
      </w:r>
      <w:r w:rsidR="00775B1D" w:rsidRPr="00522B6D">
        <w:t xml:space="preserve">court spoke of a “lighter penalty,” it spoke only of the penalty related to the </w:t>
      </w:r>
      <w:r w:rsidR="001E0933" w:rsidRPr="00522B6D">
        <w:t xml:space="preserve">specific </w:t>
      </w:r>
      <w:r w:rsidR="00775B1D" w:rsidRPr="00522B6D">
        <w:t>sentence amended by the ameliorative statute.  It did not address a situation where the court had a choice of other potential sentences for that charge, e.g., a local or state prison sentence</w:t>
      </w:r>
      <w:r w:rsidR="009D76C2" w:rsidRPr="00522B6D">
        <w:t xml:space="preserve"> instead of granting probation</w:t>
      </w:r>
      <w:r w:rsidR="00775B1D" w:rsidRPr="00522B6D">
        <w:t>.  And it had no occasion to address the sentence that could be imposed on remand</w:t>
      </w:r>
      <w:r w:rsidR="0019181E" w:rsidRPr="00522B6D">
        <w:t xml:space="preserve"> as to other viable </w:t>
      </w:r>
      <w:r w:rsidR="0019181E" w:rsidRPr="00522B6D">
        <w:lastRenderedPageBreak/>
        <w:t>charges</w:t>
      </w:r>
      <w:r w:rsidR="00775B1D" w:rsidRPr="00522B6D">
        <w:t xml:space="preserve"> when the parties have been restored to the status quo </w:t>
      </w:r>
      <w:bookmarkStart w:id="191" w:name="dabmci_5b5ca07762a0408684715cd6f6eef192"/>
      <w:r w:rsidR="00775B1D" w:rsidRPr="00CB1AEB">
        <w:t>ante</w:t>
      </w:r>
      <w:r w:rsidR="00775B1D" w:rsidRPr="00522B6D">
        <w:t>.</w:t>
      </w:r>
      <w:bookmarkEnd w:id="191"/>
      <w:r w:rsidR="00775B1D" w:rsidRPr="00522B6D">
        <w:t xml:space="preserve">  As the </w:t>
      </w:r>
      <w:r w:rsidR="00775B1D" w:rsidRPr="00522B6D">
        <w:rPr>
          <w:i/>
          <w:iCs/>
        </w:rPr>
        <w:t>Stamps</w:t>
      </w:r>
      <w:r w:rsidR="00775B1D" w:rsidRPr="00522B6D">
        <w:t xml:space="preserve"> court noted, “</w:t>
      </w:r>
      <w:r w:rsidR="00775B1D" w:rsidRPr="00522B6D">
        <w:rPr>
          <w:i/>
          <w:iCs/>
        </w:rPr>
        <w:t>Estrada</w:t>
      </w:r>
      <w:r w:rsidR="00775B1D" w:rsidRPr="00CB1AEB">
        <w:t>[]</w:t>
      </w:r>
      <w:r w:rsidR="00775B1D" w:rsidRPr="00522B6D">
        <w:t xml:space="preserve"> says nothing about the proper remedy should we conclude a law retroactively applies.” </w:t>
      </w:r>
      <w:r w:rsidR="00B300D1" w:rsidRPr="00522B6D">
        <w:t xml:space="preserve"> </w:t>
      </w:r>
      <w:r w:rsidR="00775B1D" w:rsidRPr="00522B6D">
        <w:t>(</w:t>
      </w:r>
      <w:bookmarkStart w:id="192" w:name="dabmci_58404ccc99554570b75c265f90c02403"/>
      <w:r w:rsidR="00775B1D" w:rsidRPr="00522B6D">
        <w:rPr>
          <w:i/>
          <w:iCs/>
        </w:rPr>
        <w:t>Stamps</w:t>
      </w:r>
      <w:r w:rsidR="00775B1D" w:rsidRPr="00522B6D">
        <w:t xml:space="preserve">, </w:t>
      </w:r>
      <w:r w:rsidR="00775B1D" w:rsidRPr="00522B6D">
        <w:rPr>
          <w:i/>
          <w:iCs/>
        </w:rPr>
        <w:t>supra</w:t>
      </w:r>
      <w:r w:rsidR="00775B1D" w:rsidRPr="00522B6D">
        <w:t>, 9 Cal.5th at p. 705</w:t>
      </w:r>
      <w:bookmarkEnd w:id="192"/>
      <w:r w:rsidR="00775B1D" w:rsidRPr="00522B6D">
        <w:t xml:space="preserve">; see also </w:t>
      </w:r>
      <w:bookmarkStart w:id="193" w:name="dabmci_dbbcedb315d340169cca6ae42a91cc74"/>
      <w:r w:rsidR="00775B1D" w:rsidRPr="00522B6D">
        <w:rPr>
          <w:i/>
          <w:iCs/>
        </w:rPr>
        <w:t>Barton</w:t>
      </w:r>
      <w:r w:rsidR="00775B1D" w:rsidRPr="00522B6D">
        <w:t xml:space="preserve">, </w:t>
      </w:r>
      <w:r w:rsidR="00775B1D" w:rsidRPr="00522B6D">
        <w:rPr>
          <w:i/>
          <w:iCs/>
        </w:rPr>
        <w:t>supra</w:t>
      </w:r>
      <w:r w:rsidR="00775B1D" w:rsidRPr="00522B6D">
        <w:t>, 52 Cal.App.5th at p. 1155</w:t>
      </w:r>
      <w:bookmarkEnd w:id="193"/>
      <w:r w:rsidR="00775B1D" w:rsidRPr="00522B6D">
        <w:t xml:space="preserve"> [“Neither </w:t>
      </w:r>
      <w:r w:rsidR="00775B1D" w:rsidRPr="00522B6D">
        <w:rPr>
          <w:i/>
          <w:iCs/>
        </w:rPr>
        <w:t>Estrada</w:t>
      </w:r>
      <w:r w:rsidR="00775B1D" w:rsidRPr="00522B6D">
        <w:t xml:space="preserve"> nor [the ameliorative amendment] dictate the appropriate remedy”].)  </w:t>
      </w:r>
      <w:r w:rsidR="000D306F" w:rsidRPr="00522B6D">
        <w:rPr>
          <w:i/>
          <w:iCs/>
        </w:rPr>
        <w:t>Estrada</w:t>
      </w:r>
      <w:r w:rsidR="000D306F" w:rsidRPr="00522B6D">
        <w:t xml:space="preserve"> applies to sentences for which the Legislature has made an ameliorative change; it does not apply to potential sentences </w:t>
      </w:r>
      <w:r w:rsidR="0012260D">
        <w:t>that</w:t>
      </w:r>
      <w:r w:rsidR="000D306F" w:rsidRPr="00522B6D">
        <w:t xml:space="preserve"> may be imposed on remand for which there has been no legislative change.</w:t>
      </w:r>
      <w:r w:rsidRPr="00522B6D">
        <w:rPr>
          <w:rFonts w:eastAsiaTheme="minorEastAsia"/>
        </w:rPr>
        <w:t xml:space="preserve"> </w:t>
      </w:r>
    </w:p>
    <w:p w14:paraId="49E6558B" w14:textId="6570FA80" w:rsidR="00D357E6" w:rsidRDefault="001D5D5D" w:rsidP="000F7966">
      <w:r w:rsidRPr="00522B6D">
        <w:rPr>
          <w:rFonts w:eastAsiaTheme="minorEastAsia"/>
        </w:rPr>
        <w:tab/>
      </w:r>
      <w:r w:rsidR="004C4DEB" w:rsidRPr="00522B6D">
        <w:rPr>
          <w:rFonts w:eastAsiaTheme="minorEastAsia"/>
        </w:rPr>
        <w:t>Additionally</w:t>
      </w:r>
      <w:r w:rsidR="004C4DEB" w:rsidRPr="00522B6D">
        <w:t xml:space="preserve">, </w:t>
      </w:r>
      <w:r w:rsidR="00007E48" w:rsidRPr="00522B6D">
        <w:rPr>
          <w:i/>
          <w:iCs/>
        </w:rPr>
        <w:t>France</w:t>
      </w:r>
      <w:r w:rsidR="00007E48" w:rsidRPr="00522B6D">
        <w:t xml:space="preserve">, </w:t>
      </w:r>
      <w:r w:rsidR="00007E48" w:rsidRPr="00522B6D">
        <w:rPr>
          <w:i/>
          <w:iCs/>
        </w:rPr>
        <w:t>Andahl</w:t>
      </w:r>
      <w:r w:rsidR="00163884" w:rsidRPr="00522B6D">
        <w:t>,</w:t>
      </w:r>
      <w:r w:rsidR="00007E48" w:rsidRPr="00522B6D">
        <w:t xml:space="preserve"> and </w:t>
      </w:r>
      <w:r w:rsidR="00007E48" w:rsidRPr="00522B6D">
        <w:rPr>
          <w:i/>
          <w:iCs/>
        </w:rPr>
        <w:t>Stewart</w:t>
      </w:r>
      <w:r w:rsidR="00007E48" w:rsidRPr="00522B6D">
        <w:t xml:space="preserve"> do not consider the impact</w:t>
      </w:r>
      <w:r w:rsidR="009E7140" w:rsidRPr="00522B6D">
        <w:t xml:space="preserve"> of the </w:t>
      </w:r>
      <w:r w:rsidR="009E7140" w:rsidRPr="00522B6D">
        <w:rPr>
          <w:i/>
          <w:iCs/>
        </w:rPr>
        <w:t>France</w:t>
      </w:r>
      <w:r w:rsidR="009E7140" w:rsidRPr="00522B6D">
        <w:t xml:space="preserve"> majority’s approach</w:t>
      </w:r>
      <w:r w:rsidR="00007E48" w:rsidRPr="00522B6D">
        <w:t xml:space="preserve"> on the trial court’s sentencing discretion</w:t>
      </w:r>
      <w:r w:rsidR="005A2F9A" w:rsidRPr="00522B6D">
        <w:t xml:space="preserve"> and authority under section 1192.5</w:t>
      </w:r>
      <w:r w:rsidR="00FF137D" w:rsidRPr="00522B6D">
        <w:t xml:space="preserve"> to approve of agreements and withdraw consent</w:t>
      </w:r>
      <w:r w:rsidR="00007E48" w:rsidRPr="00522B6D">
        <w:t xml:space="preserve">.  Indeed, </w:t>
      </w:r>
      <w:bookmarkStart w:id="194" w:name="dabmci_615540f454e44903817085c06e3399ff"/>
      <w:r w:rsidR="00007E48" w:rsidRPr="00522B6D">
        <w:rPr>
          <w:i/>
          <w:iCs/>
        </w:rPr>
        <w:t>Andahl</w:t>
      </w:r>
      <w:bookmarkEnd w:id="194"/>
      <w:r w:rsidR="00007E48" w:rsidRPr="00522B6D">
        <w:t xml:space="preserve"> sees the Legislature as the “decision</w:t>
      </w:r>
      <w:r w:rsidR="00A10D18" w:rsidRPr="00522B6D">
        <w:t xml:space="preserve"> </w:t>
      </w:r>
      <w:r w:rsidR="00007E48" w:rsidRPr="00522B6D">
        <w:t>maker” as to the defendant’s sentence, not the trial court.  (</w:t>
      </w:r>
      <w:bookmarkStart w:id="195" w:name="dabmci_e6e555b79e124f188623afe04326d995"/>
      <w:r w:rsidR="00007E48" w:rsidRPr="00522B6D">
        <w:rPr>
          <w:i/>
          <w:iCs/>
        </w:rPr>
        <w:t>Andahl</w:t>
      </w:r>
      <w:r w:rsidR="00007E48" w:rsidRPr="00522B6D">
        <w:t xml:space="preserve">, </w:t>
      </w:r>
      <w:r w:rsidR="00007E48" w:rsidRPr="00522B6D">
        <w:rPr>
          <w:i/>
          <w:iCs/>
        </w:rPr>
        <w:t>supra</w:t>
      </w:r>
      <w:r w:rsidR="00007E48" w:rsidRPr="00522B6D">
        <w:t xml:space="preserve">, </w:t>
      </w:r>
      <w:r w:rsidR="00007E48" w:rsidRPr="00522B6D">
        <w:rPr>
          <w:color w:val="000000"/>
        </w:rPr>
        <w:t>62 Cal.App.5th at p. 214</w:t>
      </w:r>
      <w:bookmarkEnd w:id="195"/>
      <w:r w:rsidR="004B170D">
        <w:rPr>
          <w:color w:val="000000"/>
        </w:rPr>
        <w:t>, review granted</w:t>
      </w:r>
      <w:r w:rsidR="00007E48" w:rsidRPr="00522B6D">
        <w:rPr>
          <w:color w:val="000000"/>
        </w:rPr>
        <w:t xml:space="preserve">.) </w:t>
      </w:r>
      <w:r w:rsidR="00007E48" w:rsidRPr="00522B6D">
        <w:t xml:space="preserve"> But </w:t>
      </w:r>
      <w:r w:rsidR="005A2F9A" w:rsidRPr="00522B6D">
        <w:t>in enacting th</w:t>
      </w:r>
      <w:r w:rsidR="004F37B5" w:rsidRPr="00522B6D">
        <w:t>e</w:t>
      </w:r>
      <w:r w:rsidR="005A2F9A" w:rsidRPr="00522B6D">
        <w:t xml:space="preserve"> ameliorative amendment, </w:t>
      </w:r>
      <w:r w:rsidR="00007E48" w:rsidRPr="00522B6D">
        <w:t xml:space="preserve">the Legislature did not </w:t>
      </w:r>
      <w:r w:rsidR="00007E48" w:rsidRPr="00522B6D">
        <w:rPr>
          <w:i/>
          <w:iCs/>
        </w:rPr>
        <w:t>decide</w:t>
      </w:r>
      <w:r w:rsidR="00007E48" w:rsidRPr="00522B6D">
        <w:t xml:space="preserve"> what </w:t>
      </w:r>
      <w:r w:rsidR="00E666D3" w:rsidRPr="00522B6D">
        <w:t xml:space="preserve">Andahl’s sentence or </w:t>
      </w:r>
      <w:r w:rsidR="00007E48" w:rsidRPr="00522B6D">
        <w:t xml:space="preserve">any one defendant’s sentence should be.  </w:t>
      </w:r>
      <w:r w:rsidR="004A3398" w:rsidRPr="00522B6D">
        <w:t>I</w:t>
      </w:r>
      <w:r w:rsidR="00007E48" w:rsidRPr="00522B6D">
        <w:t xml:space="preserve">t decided </w:t>
      </w:r>
      <w:r w:rsidR="004C4DEB" w:rsidRPr="00522B6D">
        <w:t xml:space="preserve">only </w:t>
      </w:r>
      <w:r w:rsidR="00007E48" w:rsidRPr="00522B6D">
        <w:t>that the one-year prior prison commitment enhance</w:t>
      </w:r>
      <w:r w:rsidR="0080745E" w:rsidRPr="00522B6D">
        <w:t>ment</w:t>
      </w:r>
      <w:r w:rsidR="00007E48" w:rsidRPr="00522B6D">
        <w:t xml:space="preserve"> should no longer be part of </w:t>
      </w:r>
      <w:r w:rsidR="006B7B54" w:rsidRPr="00522B6D">
        <w:t xml:space="preserve">the </w:t>
      </w:r>
      <w:r w:rsidR="00007E48" w:rsidRPr="00522B6D">
        <w:t xml:space="preserve">sentence.  </w:t>
      </w:r>
      <w:r w:rsidR="0080745E" w:rsidRPr="00522B6D">
        <w:t>Similarly</w:t>
      </w:r>
      <w:r w:rsidR="004C4DEB" w:rsidRPr="00522B6D">
        <w:t>, h</w:t>
      </w:r>
      <w:r w:rsidR="00007E48" w:rsidRPr="00522B6D">
        <w:t xml:space="preserve">ere, the Legislature merely decided that </w:t>
      </w:r>
      <w:r w:rsidR="00007E48" w:rsidRPr="00522B6D">
        <w:rPr>
          <w:i/>
          <w:iCs/>
        </w:rPr>
        <w:t>if</w:t>
      </w:r>
      <w:r w:rsidR="00007E48" w:rsidRPr="00522B6D">
        <w:t xml:space="preserve"> the trial court grants probation, </w:t>
      </w:r>
      <w:r w:rsidR="00E24882" w:rsidRPr="00522B6D">
        <w:t xml:space="preserve">it can </w:t>
      </w:r>
      <w:r w:rsidR="00F629DB" w:rsidRPr="00522B6D">
        <w:t>be for no</w:t>
      </w:r>
      <w:r w:rsidR="00007E48" w:rsidRPr="00522B6D">
        <w:t xml:space="preserve"> </w:t>
      </w:r>
      <w:r w:rsidR="004C4DEB" w:rsidRPr="00522B6D">
        <w:t xml:space="preserve">more </w:t>
      </w:r>
      <w:r w:rsidR="00007E48" w:rsidRPr="00522B6D">
        <w:t xml:space="preserve">than two years.  </w:t>
      </w:r>
      <w:r w:rsidR="004C4DEB" w:rsidRPr="00522B6D">
        <w:t>T</w:t>
      </w:r>
      <w:r w:rsidR="00440317" w:rsidRPr="00522B6D">
        <w:t>he trial court remains the decisionmaker as to any particular</w:t>
      </w:r>
      <w:r w:rsidR="00440317">
        <w:t xml:space="preserve"> defendant</w:t>
      </w:r>
      <w:r w:rsidR="00BD787A">
        <w:t>’s sentence</w:t>
      </w:r>
      <w:r w:rsidR="00440317">
        <w:t xml:space="preserve">.  </w:t>
      </w:r>
    </w:p>
    <w:p w14:paraId="51D12DB2" w14:textId="26C4FD91" w:rsidR="009F57F8" w:rsidRDefault="001D5D5D" w:rsidP="00EA355A">
      <w:r>
        <w:tab/>
      </w:r>
      <w:r w:rsidR="00567BDA">
        <w:t>Further, t</w:t>
      </w:r>
      <w:r>
        <w:t xml:space="preserve">he </w:t>
      </w:r>
      <w:r w:rsidRPr="000F2346">
        <w:rPr>
          <w:i/>
          <w:iCs/>
        </w:rPr>
        <w:t>France</w:t>
      </w:r>
      <w:r>
        <w:t xml:space="preserve"> majority</w:t>
      </w:r>
      <w:r w:rsidR="00414492">
        <w:t xml:space="preserve">, </w:t>
      </w:r>
      <w:r w:rsidR="00414492" w:rsidRPr="00684023">
        <w:rPr>
          <w:i/>
          <w:iCs/>
        </w:rPr>
        <w:t>Andahl</w:t>
      </w:r>
      <w:r w:rsidR="00121520" w:rsidRPr="00CB1AEB">
        <w:t>,</w:t>
      </w:r>
      <w:r w:rsidR="00414492">
        <w:t xml:space="preserve"> </w:t>
      </w:r>
      <w:r w:rsidR="00414492" w:rsidRPr="00684023">
        <w:rPr>
          <w:i/>
          <w:iCs/>
        </w:rPr>
        <w:t>Stewart</w:t>
      </w:r>
      <w:r w:rsidR="00163884">
        <w:t>,</w:t>
      </w:r>
      <w:r w:rsidR="00414492">
        <w:t xml:space="preserve"> </w:t>
      </w:r>
      <w:r w:rsidR="00B935DF">
        <w:t xml:space="preserve">and the dissent here </w:t>
      </w:r>
      <w:r w:rsidR="00414492">
        <w:t>all</w:t>
      </w:r>
      <w:r>
        <w:t xml:space="preserve"> </w:t>
      </w:r>
      <w:r w:rsidR="00B935DF">
        <w:t xml:space="preserve">rely </w:t>
      </w:r>
      <w:r>
        <w:t xml:space="preserve">on </w:t>
      </w:r>
      <w:bookmarkStart w:id="196" w:name="dabmci_6aff2da141214ec79be6099e358e9ce8"/>
      <w:r w:rsidRPr="003F3EA3">
        <w:rPr>
          <w:i/>
          <w:iCs/>
        </w:rPr>
        <w:t>Doe</w:t>
      </w:r>
      <w:r w:rsidR="00223F11">
        <w:rPr>
          <w:i/>
          <w:iCs/>
        </w:rPr>
        <w:t xml:space="preserve"> v. Harris </w:t>
      </w:r>
      <w:r w:rsidR="00223F11">
        <w:t>(2013)</w:t>
      </w:r>
      <w:r w:rsidR="00276BE6" w:rsidRPr="003F3EA3">
        <w:t xml:space="preserve"> 57 Cal.4th 64</w:t>
      </w:r>
      <w:r w:rsidR="00223F11">
        <w:t xml:space="preserve"> (</w:t>
      </w:r>
      <w:r w:rsidR="00223F11" w:rsidRPr="00223F11">
        <w:rPr>
          <w:i/>
          <w:iCs/>
        </w:rPr>
        <w:t>Doe</w:t>
      </w:r>
      <w:r w:rsidR="00223F11">
        <w:t>)</w:t>
      </w:r>
      <w:bookmarkStart w:id="197" w:name="_Hlk94704008"/>
      <w:bookmarkEnd w:id="196"/>
      <w:r w:rsidR="00962C7B">
        <w:t xml:space="preserve">.  But </w:t>
      </w:r>
      <w:bookmarkEnd w:id="197"/>
      <w:r w:rsidR="00370E64">
        <w:t xml:space="preserve">our high court in </w:t>
      </w:r>
      <w:bookmarkStart w:id="198" w:name="dabmci_a964c96e882540079cb89593206d2dc3"/>
      <w:r w:rsidRPr="00BA0448">
        <w:rPr>
          <w:i/>
          <w:iCs/>
        </w:rPr>
        <w:t>Doe</w:t>
      </w:r>
      <w:bookmarkEnd w:id="198"/>
      <w:r w:rsidR="00370E64">
        <w:rPr>
          <w:i/>
          <w:iCs/>
        </w:rPr>
        <w:t xml:space="preserve"> </w:t>
      </w:r>
      <w:r w:rsidR="00370E64">
        <w:t xml:space="preserve">was never called upon to address </w:t>
      </w:r>
      <w:r w:rsidR="001E6C55">
        <w:t>a</w:t>
      </w:r>
      <w:r w:rsidR="00370E64">
        <w:t xml:space="preserve"> trial court’s discretion to withdraw from a plea agreement.  </w:t>
      </w:r>
      <w:r w:rsidR="001E6C55">
        <w:t xml:space="preserve">In </w:t>
      </w:r>
      <w:bookmarkStart w:id="199" w:name="dabmci_b525fb6f37884c2a899336a01bcdbe52"/>
      <w:r w:rsidR="001E6C55" w:rsidRPr="00871F8F">
        <w:rPr>
          <w:i/>
          <w:iCs/>
        </w:rPr>
        <w:t>Doe</w:t>
      </w:r>
      <w:bookmarkEnd w:id="199"/>
      <w:r w:rsidR="00370E64">
        <w:t xml:space="preserve">, </w:t>
      </w:r>
      <w:r>
        <w:t>the California Supreme Court answered a question directed to it by the Ninth Circuit Court of Appeal</w:t>
      </w:r>
      <w:r w:rsidR="00993536">
        <w:t xml:space="preserve">, pertaining to </w:t>
      </w:r>
      <w:r>
        <w:t xml:space="preserve">litigation commenced by </w:t>
      </w:r>
      <w:r w:rsidRPr="00871F8F">
        <w:t>Doe</w:t>
      </w:r>
      <w:r>
        <w:t xml:space="preserve"> in which he sought to avoid</w:t>
      </w:r>
      <w:r w:rsidR="00745E5D">
        <w:t xml:space="preserve"> the</w:t>
      </w:r>
      <w:r>
        <w:t xml:space="preserve"> public dis</w:t>
      </w:r>
      <w:r>
        <w:t xml:space="preserve">closure of his sex offender registration required by </w:t>
      </w:r>
      <w:r w:rsidR="0080745E">
        <w:t xml:space="preserve">the Megan’s Law </w:t>
      </w:r>
      <w:r>
        <w:t>amendments to California’s sex offender registration laws</w:t>
      </w:r>
      <w:r w:rsidR="004E1B78">
        <w:t>.  These amendments were</w:t>
      </w:r>
      <w:r w:rsidR="00FA26CB">
        <w:t xml:space="preserve"> enacted</w:t>
      </w:r>
      <w:r w:rsidR="002075FE">
        <w:t xml:space="preserve"> after </w:t>
      </w:r>
      <w:r w:rsidR="009615E0">
        <w:t xml:space="preserve">Doe </w:t>
      </w:r>
      <w:r w:rsidR="002075FE">
        <w:t>was sentenced</w:t>
      </w:r>
      <w:r>
        <w:t xml:space="preserve">.  </w:t>
      </w:r>
      <w:r w:rsidRPr="00522B6D">
        <w:t>(</w:t>
      </w:r>
      <w:bookmarkStart w:id="200" w:name="dabmci_a10db3df4ec64b52b56949db6a018560"/>
      <w:r w:rsidRPr="00522B6D">
        <w:rPr>
          <w:i/>
          <w:iCs/>
        </w:rPr>
        <w:t>Doe</w:t>
      </w:r>
      <w:r w:rsidRPr="00CB1AEB">
        <w:rPr>
          <w:i/>
        </w:rPr>
        <w:t>,</w:t>
      </w:r>
      <w:r w:rsidRPr="00522B6D">
        <w:t xml:space="preserve"> </w:t>
      </w:r>
      <w:r w:rsidRPr="00522B6D">
        <w:rPr>
          <w:i/>
          <w:iCs/>
        </w:rPr>
        <w:t>supra</w:t>
      </w:r>
      <w:r w:rsidRPr="00522B6D">
        <w:t>, 57 Cal.4th at pp. 66-67</w:t>
      </w:r>
      <w:bookmarkEnd w:id="200"/>
      <w:r w:rsidRPr="00522B6D">
        <w:t xml:space="preserve">.)  </w:t>
      </w:r>
      <w:r w:rsidR="00993536" w:rsidRPr="00522B6D">
        <w:t xml:space="preserve">Doe </w:t>
      </w:r>
      <w:r w:rsidRPr="00522B6D">
        <w:t xml:space="preserve">asserted </w:t>
      </w:r>
      <w:r w:rsidR="009615E0" w:rsidRPr="00522B6D">
        <w:t xml:space="preserve">the </w:t>
      </w:r>
      <w:r w:rsidRPr="00522B6D">
        <w:t xml:space="preserve">change in the </w:t>
      </w:r>
      <w:r w:rsidRPr="00522B6D">
        <w:t>law violated his plea agreement.  (</w:t>
      </w:r>
      <w:bookmarkStart w:id="201" w:name="dabmci_510d996d6fb04d1682e4749e4a12d425"/>
      <w:r w:rsidRPr="00522B6D">
        <w:rPr>
          <w:i/>
          <w:iCs/>
        </w:rPr>
        <w:t>Ibid</w:t>
      </w:r>
      <w:r w:rsidRPr="00522B6D">
        <w:t>.</w:t>
      </w:r>
      <w:bookmarkEnd w:id="201"/>
      <w:r w:rsidRPr="00522B6D">
        <w:t xml:space="preserve">)  Our high court understood the </w:t>
      </w:r>
      <w:r w:rsidRPr="00522B6D">
        <w:lastRenderedPageBreak/>
        <w:t>Ninth Circuit’s question as:  “Under California law of contract interpretation as applicable to the interpretation of plea agreements, does the law in effect at the time of a plea agr</w:t>
      </w:r>
      <w:r w:rsidRPr="00522B6D">
        <w:t xml:space="preserve">eement </w:t>
      </w:r>
      <w:r w:rsidRPr="00522B6D">
        <w:rPr>
          <w:i/>
          <w:iCs/>
        </w:rPr>
        <w:t>bind the parties</w:t>
      </w:r>
      <w:r w:rsidRPr="00522B6D">
        <w:t xml:space="preserve"> or can the terms of a plea agreement be affected by changes in the law?”  (</w:t>
      </w:r>
      <w:bookmarkStart w:id="202" w:name="dabmci_ccb9405eadd94af0b47b11684c42c76f"/>
      <w:r w:rsidRPr="00522B6D">
        <w:rPr>
          <w:i/>
          <w:iCs/>
        </w:rPr>
        <w:t>Id</w:t>
      </w:r>
      <w:r w:rsidRPr="00522B6D">
        <w:t>. at p. 66</w:t>
      </w:r>
      <w:bookmarkEnd w:id="202"/>
      <w:r w:rsidRPr="00522B6D">
        <w:t>, italics added.)  The court answered:  “We respond that the general rule in California is that the plea agreement will be ‘ “deemed to incorporate and contemplate not only the existing law but the reserve power of the state to amend the law or enact addit</w:t>
      </w:r>
      <w:r w:rsidRPr="00522B6D">
        <w:t xml:space="preserve">ional laws for the public good and in pursuance of public policy. . . .” ’  [Citation.]  </w:t>
      </w:r>
      <w:r w:rsidRPr="00522B6D">
        <w:rPr>
          <w:i/>
          <w:iCs/>
        </w:rPr>
        <w:t>That the parties enter into a plea agreement thus does not have the effect of insulating them from changes in the law that the Legislature has intended to apply to the</w:t>
      </w:r>
      <w:r w:rsidRPr="00522B6D">
        <w:rPr>
          <w:i/>
          <w:iCs/>
        </w:rPr>
        <w:t>m</w:t>
      </w:r>
      <w:r w:rsidRPr="00522B6D">
        <w:t>.”  (</w:t>
      </w:r>
      <w:bookmarkStart w:id="203" w:name="dabmci_b661942aff16481e9bb368f7ffca17e4"/>
      <w:r w:rsidRPr="00522B6D">
        <w:rPr>
          <w:i/>
          <w:iCs/>
        </w:rPr>
        <w:t>Ibid</w:t>
      </w:r>
      <w:r w:rsidRPr="00522B6D">
        <w:t>.,</w:t>
      </w:r>
      <w:bookmarkEnd w:id="203"/>
      <w:r w:rsidRPr="00522B6D">
        <w:t xml:space="preserve"> italics added.)</w:t>
      </w:r>
      <w:r w:rsidR="00880FF8" w:rsidRPr="00522B6D">
        <w:t xml:space="preserve">  </w:t>
      </w:r>
    </w:p>
    <w:p w14:paraId="38E2F624" w14:textId="3D0EE738" w:rsidR="00EA355A" w:rsidRDefault="001D5D5D" w:rsidP="00EA355A">
      <w:r>
        <w:tab/>
        <w:t>As the</w:t>
      </w:r>
      <w:r w:rsidR="000758E4">
        <w:t xml:space="preserve"> above</w:t>
      </w:r>
      <w:r>
        <w:t xml:space="preserve"> italicized text makes clear, </w:t>
      </w:r>
      <w:r w:rsidRPr="00684023">
        <w:rPr>
          <w:i/>
          <w:iCs/>
        </w:rPr>
        <w:t>Doe</w:t>
      </w:r>
      <w:r>
        <w:t xml:space="preserve"> was focused on the rights of the parties to a plea agreement.  </w:t>
      </w:r>
      <w:r w:rsidRPr="00522B6D">
        <w:t xml:space="preserve">The question asked of and answered by the </w:t>
      </w:r>
      <w:r w:rsidRPr="00CB1AEB">
        <w:rPr>
          <w:i/>
          <w:iCs/>
        </w:rPr>
        <w:t>Doe</w:t>
      </w:r>
      <w:r>
        <w:t xml:space="preserve"> </w:t>
      </w:r>
      <w:r w:rsidRPr="00522B6D">
        <w:t>court had nothing to do with a trial court’s discretion to withdraw c</w:t>
      </w:r>
      <w:r w:rsidRPr="00522B6D">
        <w:t>onsent from a plea agreement</w:t>
      </w:r>
      <w:r w:rsidR="00794EE8">
        <w:t xml:space="preserve">.  Thus, </w:t>
      </w:r>
      <w:r w:rsidR="00794EE8" w:rsidRPr="00684023">
        <w:rPr>
          <w:i/>
          <w:iCs/>
        </w:rPr>
        <w:t>Doe</w:t>
      </w:r>
      <w:r w:rsidR="00794EE8">
        <w:t xml:space="preserve"> did not speak to a trial court’s authority to withdraw consent from a plea agreement if it determines the agreement, modified by the legislative change, is not in the interests of society. </w:t>
      </w:r>
      <w:r w:rsidR="000758E4">
        <w:t xml:space="preserve"> </w:t>
      </w:r>
      <w:r>
        <w:t xml:space="preserve">Reliance on </w:t>
      </w:r>
      <w:r w:rsidRPr="00684023">
        <w:rPr>
          <w:i/>
          <w:iCs/>
        </w:rPr>
        <w:t>Doe</w:t>
      </w:r>
      <w:r>
        <w:t xml:space="preserve"> ignores t</w:t>
      </w:r>
      <w:r>
        <w:t>hat trial courts retain discretion to withdraw from plea agreements—at least when the Legislature fails to expressly say otherwise in the ameliorative amendment.</w:t>
      </w:r>
    </w:p>
    <w:p w14:paraId="532C4B8C" w14:textId="60548045" w:rsidR="00EA355A" w:rsidRDefault="001D5D5D" w:rsidP="00E12338">
      <w:r>
        <w:tab/>
      </w:r>
      <w:r w:rsidR="00AD049B">
        <w:t>And</w:t>
      </w:r>
      <w:r>
        <w:t xml:space="preserve"> </w:t>
      </w:r>
      <w:r w:rsidR="0018135C">
        <w:t>to be sure</w:t>
      </w:r>
      <w:r w:rsidR="00F047BE">
        <w:t>,</w:t>
      </w:r>
      <w:r w:rsidR="0018135C">
        <w:t xml:space="preserve"> </w:t>
      </w:r>
      <w:r>
        <w:t>n</w:t>
      </w:r>
      <w:r>
        <w:rPr>
          <w:rFonts w:eastAsiaTheme="minorEastAsia"/>
        </w:rPr>
        <w:t xml:space="preserve">othing in </w:t>
      </w:r>
      <w:bookmarkStart w:id="204" w:name="dabmci_4099bdb59ae449e88341abc21aea7b7f"/>
      <w:r w:rsidR="000208C9">
        <w:rPr>
          <w:rFonts w:eastAsiaTheme="minorEastAsia"/>
        </w:rPr>
        <w:t>Assembly Bill</w:t>
      </w:r>
      <w:r>
        <w:rPr>
          <w:rFonts w:eastAsiaTheme="minorEastAsia"/>
        </w:rPr>
        <w:t xml:space="preserve"> 1950</w:t>
      </w:r>
      <w:bookmarkEnd w:id="204"/>
      <w:r>
        <w:rPr>
          <w:rFonts w:eastAsiaTheme="minorEastAsia"/>
        </w:rPr>
        <w:t xml:space="preserve"> suggests the Legislature intended to retroactiv</w:t>
      </w:r>
      <w:r>
        <w:rPr>
          <w:rFonts w:eastAsiaTheme="minorEastAsia"/>
        </w:rPr>
        <w:t>ely strip the sentencing court of its sentencing discretion</w:t>
      </w:r>
      <w:r w:rsidR="00AD049B">
        <w:rPr>
          <w:rFonts w:eastAsiaTheme="minorEastAsia"/>
        </w:rPr>
        <w:t xml:space="preserve"> or</w:t>
      </w:r>
      <w:r>
        <w:rPr>
          <w:rFonts w:eastAsiaTheme="minorEastAsia"/>
        </w:rPr>
        <w:t xml:space="preserve"> </w:t>
      </w:r>
      <w:r w:rsidR="00AD049B">
        <w:rPr>
          <w:rFonts w:eastAsiaTheme="minorEastAsia"/>
        </w:rPr>
        <w:t>prevent</w:t>
      </w:r>
      <w:r>
        <w:rPr>
          <w:rFonts w:eastAsiaTheme="minorEastAsia"/>
        </w:rPr>
        <w:t xml:space="preserve"> the court </w:t>
      </w:r>
      <w:r w:rsidR="00AD049B">
        <w:rPr>
          <w:rFonts w:eastAsiaTheme="minorEastAsia"/>
        </w:rPr>
        <w:t xml:space="preserve">from </w:t>
      </w:r>
      <w:r>
        <w:rPr>
          <w:rFonts w:eastAsiaTheme="minorEastAsia"/>
        </w:rPr>
        <w:t>considering whether a sentence</w:t>
      </w:r>
      <w:r w:rsidR="00022C03">
        <w:rPr>
          <w:rFonts w:eastAsiaTheme="minorEastAsia"/>
        </w:rPr>
        <w:t xml:space="preserve"> as to a particular defendant,</w:t>
      </w:r>
      <w:r w:rsidR="00AD049B">
        <w:rPr>
          <w:rFonts w:eastAsiaTheme="minorEastAsia"/>
        </w:rPr>
        <w:t xml:space="preserve"> </w:t>
      </w:r>
      <w:r w:rsidR="00022C03">
        <w:rPr>
          <w:rFonts w:eastAsiaTheme="minorEastAsia"/>
        </w:rPr>
        <w:t>modified by the legislative change,</w:t>
      </w:r>
      <w:r w:rsidR="00AD049B">
        <w:rPr>
          <w:rFonts w:eastAsiaTheme="minorEastAsia"/>
        </w:rPr>
        <w:t xml:space="preserve"> </w:t>
      </w:r>
      <w:r w:rsidRPr="00D26B49">
        <w:rPr>
          <w:rFonts w:eastAsiaTheme="minorEastAsia"/>
        </w:rPr>
        <w:t>remains</w:t>
      </w:r>
      <w:r>
        <w:rPr>
          <w:rFonts w:eastAsiaTheme="minorEastAsia"/>
        </w:rPr>
        <w:t xml:space="preserve"> in the interests of society</w:t>
      </w:r>
      <w:r>
        <w:t xml:space="preserve">.  </w:t>
      </w:r>
      <w:r w:rsidR="00022C03">
        <w:t>In the absence of</w:t>
      </w:r>
      <w:r>
        <w:t xml:space="preserve"> </w:t>
      </w:r>
      <w:r w:rsidR="002075FE">
        <w:t>such a</w:t>
      </w:r>
      <w:r>
        <w:t xml:space="preserve"> provision </w:t>
      </w:r>
      <w:r>
        <w:lastRenderedPageBreak/>
        <w:t xml:space="preserve">in the </w:t>
      </w:r>
      <w:r w:rsidR="00305075">
        <w:t>ameliorative amendment</w:t>
      </w:r>
      <w:r w:rsidR="00B22391">
        <w:t xml:space="preserve"> or some indication in the legislative history</w:t>
      </w:r>
      <w:r>
        <w:t>, the trial court must still approve of the</w:t>
      </w:r>
      <w:r w:rsidR="00022C03">
        <w:t xml:space="preserve"> agreement as modified</w:t>
      </w:r>
      <w:r>
        <w:t>.</w:t>
      </w:r>
      <w:r>
        <w:rPr>
          <w:rStyle w:val="FootnoteReference"/>
        </w:rPr>
        <w:footnoteReference w:id="20"/>
      </w:r>
      <w:r>
        <w:t xml:space="preserve">  </w:t>
      </w:r>
    </w:p>
    <w:p w14:paraId="4AD6CF69" w14:textId="2906E7C7" w:rsidR="00756F06" w:rsidRPr="00BE30E7" w:rsidRDefault="001D5D5D" w:rsidP="00BE30E7">
      <w:pPr>
        <w:jc w:val="center"/>
        <w:rPr>
          <w:b/>
          <w:bCs/>
        </w:rPr>
      </w:pPr>
      <w:r w:rsidRPr="00BE30E7">
        <w:rPr>
          <w:b/>
          <w:bCs/>
        </w:rPr>
        <w:t>E.  Remedy</w:t>
      </w:r>
    </w:p>
    <w:p w14:paraId="6BDE7EE7" w14:textId="2F703222" w:rsidR="00F047BE" w:rsidRPr="00522B6D" w:rsidRDefault="001D5D5D" w:rsidP="00E12338">
      <w:pPr>
        <w:rPr>
          <w:b/>
          <w:bCs/>
          <w:u w:val="single"/>
        </w:rPr>
      </w:pPr>
      <w:r>
        <w:tab/>
      </w:r>
      <w:bookmarkStart w:id="211" w:name="_Hlk93489563"/>
      <w:r w:rsidR="00F25B9C">
        <w:t>T</w:t>
      </w:r>
      <w:r w:rsidRPr="0034371F">
        <w:t xml:space="preserve">his case should be remanded for resentencing.  At that time, the trial court </w:t>
      </w:r>
      <w:r w:rsidR="005F2138" w:rsidRPr="0034371F">
        <w:t xml:space="preserve">may or may not </w:t>
      </w:r>
      <w:r w:rsidRPr="0034371F">
        <w:t xml:space="preserve">conclude that the plea agreement, sans </w:t>
      </w:r>
      <w:r w:rsidR="00D85600" w:rsidRPr="0034371F">
        <w:t>three years of supervised probation</w:t>
      </w:r>
      <w:r w:rsidR="005B7A48" w:rsidRPr="0034371F">
        <w:t xml:space="preserve"> with a search condition</w:t>
      </w:r>
      <w:r>
        <w:t>,</w:t>
      </w:r>
      <w:r w:rsidR="005B7A48" w:rsidRPr="0034371F">
        <w:t xml:space="preserve"> drug rehabilitation programming</w:t>
      </w:r>
      <w:r w:rsidR="00CE0D4B">
        <w:t>,</w:t>
      </w:r>
      <w:r>
        <w:t xml:space="preserve"> and drug testing</w:t>
      </w:r>
      <w:r w:rsidR="005B7A48" w:rsidRPr="0034371F">
        <w:t xml:space="preserve"> </w:t>
      </w:r>
      <w:r w:rsidRPr="0034371F">
        <w:t>is in the inte</w:t>
      </w:r>
      <w:r w:rsidRPr="0034371F">
        <w:t xml:space="preserve">rests of society.  </w:t>
      </w:r>
      <w:r w:rsidR="002A194A">
        <w:t>Because the Legislature has not indicated otherwise, t</w:t>
      </w:r>
      <w:r w:rsidR="005F2138" w:rsidRPr="0034371F">
        <w:t>he trial court maintains the discretion to make this decisi</w:t>
      </w:r>
      <w:r w:rsidR="005F2138" w:rsidRPr="00522B6D">
        <w:t xml:space="preserve">on.  </w:t>
      </w:r>
      <w:r w:rsidR="00DE70A0" w:rsidRPr="00522B6D">
        <w:t>If the court does not withdraw its consent, it must give the prosecution the opportunity to withdraw from the plea agreement.  Should the court or prosecution withdraw consent, the trial court must “</w:t>
      </w:r>
      <w:r w:rsidR="001E1911" w:rsidRPr="00522B6D">
        <w:t xml:space="preserve"> ‘ “</w:t>
      </w:r>
      <w:r w:rsidR="00DE70A0" w:rsidRPr="00522B6D">
        <w:t xml:space="preserve">restore the parties to the status quo </w:t>
      </w:r>
      <w:bookmarkStart w:id="212" w:name="dabmci_5565d98db81b47d2a265e8583d17923b"/>
      <w:r w:rsidR="00DE70A0" w:rsidRPr="00522B6D">
        <w:t>ante.</w:t>
      </w:r>
      <w:bookmarkEnd w:id="212"/>
      <w:r w:rsidR="001E1911" w:rsidRPr="00522B6D">
        <w:t>” ’ </w:t>
      </w:r>
      <w:r w:rsidR="00DE70A0" w:rsidRPr="00522B6D">
        <w:t>”  (</w:t>
      </w:r>
      <w:bookmarkStart w:id="213" w:name="dabmci_7c9062d1801a4639962959a0558a60dd"/>
      <w:r w:rsidR="00DE70A0" w:rsidRPr="00522B6D">
        <w:rPr>
          <w:i/>
          <w:iCs/>
        </w:rPr>
        <w:t>Stamps</w:t>
      </w:r>
      <w:r w:rsidR="00DE70A0" w:rsidRPr="00522B6D">
        <w:t xml:space="preserve">, </w:t>
      </w:r>
      <w:r w:rsidR="00DE70A0" w:rsidRPr="00522B6D">
        <w:rPr>
          <w:i/>
          <w:iCs/>
        </w:rPr>
        <w:t>supra</w:t>
      </w:r>
      <w:r w:rsidR="00DE70A0" w:rsidRPr="00522B6D">
        <w:t>, 9 Cal.5th at pp. 706-707</w:t>
      </w:r>
      <w:bookmarkEnd w:id="213"/>
      <w:r w:rsidR="00DE70A0" w:rsidRPr="00522B6D">
        <w:t xml:space="preserve">.)  In this </w:t>
      </w:r>
      <w:r w:rsidR="00DE70A0" w:rsidRPr="00522B6D">
        <w:lastRenderedPageBreak/>
        <w:t xml:space="preserve">context, “ante” must mean before the plea, meaning the </w:t>
      </w:r>
      <w:r w:rsidR="002B4F28" w:rsidRPr="00522B6D">
        <w:t xml:space="preserve">dismissed </w:t>
      </w:r>
      <w:r w:rsidR="00DE70A0" w:rsidRPr="00522B6D">
        <w:t xml:space="preserve">counts and </w:t>
      </w:r>
      <w:r w:rsidR="00F165A0" w:rsidRPr="00522B6D">
        <w:t xml:space="preserve">possibly </w:t>
      </w:r>
      <w:r w:rsidR="00DE70A0" w:rsidRPr="00522B6D">
        <w:t>the strike allegation would be restored.</w:t>
      </w:r>
      <w:r>
        <w:rPr>
          <w:rStyle w:val="FootnoteReference"/>
        </w:rPr>
        <w:footnoteReference w:id="21"/>
      </w:r>
      <w:r w:rsidRPr="00522B6D">
        <w:t xml:space="preserve"> </w:t>
      </w:r>
    </w:p>
    <w:bookmarkEnd w:id="211"/>
    <w:p w14:paraId="235BB25F" w14:textId="11C56500" w:rsidR="00F047BE" w:rsidRPr="00522B6D" w:rsidRDefault="001D5D5D" w:rsidP="008A4FA5">
      <w:pPr>
        <w:keepNext/>
        <w:jc w:val="center"/>
        <w:rPr>
          <w:b/>
          <w:bCs/>
        </w:rPr>
      </w:pPr>
      <w:r w:rsidRPr="00522B6D">
        <w:rPr>
          <w:b/>
          <w:bCs/>
        </w:rPr>
        <w:t>F.  Sentencing Cap</w:t>
      </w:r>
    </w:p>
    <w:p w14:paraId="1381FB6D" w14:textId="70921017" w:rsidR="002243D3" w:rsidRPr="00522B6D" w:rsidRDefault="001D5D5D" w:rsidP="00F047BE">
      <w:r w:rsidRPr="00522B6D">
        <w:tab/>
      </w:r>
      <w:r w:rsidR="00AE56E5" w:rsidRPr="00522B6D">
        <w:t>One last question remains</w:t>
      </w:r>
      <w:r w:rsidR="002F1D47" w:rsidRPr="00522B6D">
        <w:t xml:space="preserve">:  </w:t>
      </w:r>
      <w:r w:rsidR="000B6CC2" w:rsidRPr="00522B6D">
        <w:t>M</w:t>
      </w:r>
      <w:r w:rsidR="002F1D47" w:rsidRPr="00522B6D">
        <w:t xml:space="preserve">ust there be a sentencing cap to a sentence </w:t>
      </w:r>
      <w:r w:rsidR="00170369" w:rsidRPr="00522B6D">
        <w:t xml:space="preserve">imposed on </w:t>
      </w:r>
      <w:r w:rsidR="002F1D47" w:rsidRPr="00522B6D">
        <w:t>remand</w:t>
      </w:r>
      <w:r w:rsidR="00170369" w:rsidRPr="00522B6D">
        <w:t xml:space="preserve"> after the prosecution or the court withdraws consent to the original agreement</w:t>
      </w:r>
      <w:r w:rsidR="00F941D8" w:rsidRPr="00522B6D">
        <w:t>?</w:t>
      </w:r>
      <w:r w:rsidR="002F1D47" w:rsidRPr="00522B6D">
        <w:t xml:space="preserve">  </w:t>
      </w:r>
      <w:r w:rsidR="0034500F" w:rsidRPr="00522B6D">
        <w:rPr>
          <w:rFonts w:eastAsiaTheme="minorEastAsia"/>
        </w:rPr>
        <w:t>Some of the</w:t>
      </w:r>
      <w:r w:rsidR="00CA609C" w:rsidRPr="00522B6D">
        <w:rPr>
          <w:rFonts w:eastAsiaTheme="minorEastAsia"/>
        </w:rPr>
        <w:t xml:space="preserve"> cases </w:t>
      </w:r>
      <w:r w:rsidR="0034500F" w:rsidRPr="00522B6D">
        <w:rPr>
          <w:rFonts w:eastAsiaTheme="minorEastAsia"/>
        </w:rPr>
        <w:t xml:space="preserve">applying the </w:t>
      </w:r>
      <w:r w:rsidR="0034500F" w:rsidRPr="00522B6D">
        <w:rPr>
          <w:rFonts w:eastAsiaTheme="minorEastAsia"/>
          <w:i/>
          <w:iCs/>
        </w:rPr>
        <w:t>Stamps</w:t>
      </w:r>
      <w:r w:rsidR="0034500F" w:rsidRPr="00522B6D">
        <w:rPr>
          <w:rFonts w:eastAsiaTheme="minorEastAsia"/>
        </w:rPr>
        <w:t xml:space="preserve"> remedy </w:t>
      </w:r>
      <w:r w:rsidR="002F1D47" w:rsidRPr="00522B6D">
        <w:rPr>
          <w:rFonts w:eastAsiaTheme="minorEastAsia"/>
        </w:rPr>
        <w:t xml:space="preserve">have </w:t>
      </w:r>
      <w:r w:rsidR="00B14BE8" w:rsidRPr="00522B6D">
        <w:rPr>
          <w:rFonts w:eastAsiaTheme="minorEastAsia"/>
        </w:rPr>
        <w:t>answered yes</w:t>
      </w:r>
      <w:r w:rsidR="00170369" w:rsidRPr="00522B6D">
        <w:rPr>
          <w:rFonts w:eastAsiaTheme="minorEastAsia"/>
        </w:rPr>
        <w:t xml:space="preserve"> as to renegotiated sentences</w:t>
      </w:r>
      <w:r w:rsidR="002F1D47" w:rsidRPr="00522B6D">
        <w:rPr>
          <w:rFonts w:eastAsiaTheme="minorEastAsia"/>
        </w:rPr>
        <w:t xml:space="preserve">, </w:t>
      </w:r>
      <w:r w:rsidR="0057082B" w:rsidRPr="00522B6D">
        <w:t xml:space="preserve">based on </w:t>
      </w:r>
      <w:bookmarkStart w:id="215" w:name="dabmci_5bb8b1cafdc84c1299d1e384449da8dd"/>
      <w:r w:rsidR="005B74DB" w:rsidRPr="00522B6D">
        <w:rPr>
          <w:i/>
          <w:iCs/>
        </w:rPr>
        <w:t>People v. Collins</w:t>
      </w:r>
      <w:r w:rsidR="005B74DB" w:rsidRPr="00522B6D">
        <w:t xml:space="preserve"> (1978) 21 Cal.3d 208 (</w:t>
      </w:r>
      <w:r w:rsidR="005B74DB" w:rsidRPr="00522B6D">
        <w:rPr>
          <w:i/>
          <w:iCs/>
        </w:rPr>
        <w:t>Collins</w:t>
      </w:r>
      <w:r w:rsidR="005B74DB" w:rsidRPr="00522B6D">
        <w:t>)</w:t>
      </w:r>
      <w:bookmarkEnd w:id="215"/>
      <w:r w:rsidR="0057082B" w:rsidRPr="00522B6D">
        <w:t>.  (</w:t>
      </w:r>
      <w:r w:rsidR="00F941D8" w:rsidRPr="00522B6D">
        <w:t>See</w:t>
      </w:r>
      <w:r w:rsidR="001E1911" w:rsidRPr="00522B6D">
        <w:t> </w:t>
      </w:r>
      <w:bookmarkStart w:id="216" w:name="dabmci_5444239f9ae946a4b90751c4c74b7abe"/>
      <w:r w:rsidR="0057082B" w:rsidRPr="00522B6D">
        <w:rPr>
          <w:rFonts w:eastAsiaTheme="minorEastAsia"/>
          <w:i/>
          <w:iCs/>
        </w:rPr>
        <w:t>Rug</w:t>
      </w:r>
      <w:r w:rsidR="003C790A" w:rsidRPr="00522B6D">
        <w:rPr>
          <w:rFonts w:eastAsiaTheme="minorEastAsia"/>
          <w:i/>
          <w:iCs/>
        </w:rPr>
        <w:t>g</w:t>
      </w:r>
      <w:r w:rsidR="0057082B" w:rsidRPr="00522B6D">
        <w:rPr>
          <w:rFonts w:eastAsiaTheme="minorEastAsia"/>
          <w:i/>
          <w:iCs/>
        </w:rPr>
        <w:t>erio</w:t>
      </w:r>
      <w:r w:rsidR="0057082B" w:rsidRPr="00CB1AEB">
        <w:rPr>
          <w:rFonts w:eastAsiaTheme="minorEastAsia"/>
          <w:i/>
        </w:rPr>
        <w:t>,</w:t>
      </w:r>
      <w:r w:rsidR="0057082B" w:rsidRPr="00522B6D">
        <w:rPr>
          <w:rFonts w:eastAsiaTheme="minorEastAsia"/>
        </w:rPr>
        <w:t xml:space="preserve"> </w:t>
      </w:r>
      <w:r w:rsidR="0057082B" w:rsidRPr="00522B6D">
        <w:rPr>
          <w:rFonts w:eastAsiaTheme="minorEastAsia"/>
          <w:i/>
          <w:iCs/>
        </w:rPr>
        <w:t>supra</w:t>
      </w:r>
      <w:r w:rsidR="0057082B" w:rsidRPr="00CB1AEB">
        <w:rPr>
          <w:rFonts w:eastAsiaTheme="minorEastAsia"/>
        </w:rPr>
        <w:t>,</w:t>
      </w:r>
      <w:r w:rsidR="0057082B" w:rsidRPr="00522B6D">
        <w:rPr>
          <w:rFonts w:eastAsiaTheme="minorEastAsia"/>
        </w:rPr>
        <w:t xml:space="preserve"> 65 Cal.App.5th at pp. 1129-1130</w:t>
      </w:r>
      <w:bookmarkEnd w:id="216"/>
      <w:r w:rsidR="0057082B" w:rsidRPr="00522B6D">
        <w:rPr>
          <w:rFonts w:eastAsiaTheme="minorEastAsia"/>
        </w:rPr>
        <w:t xml:space="preserve">; </w:t>
      </w:r>
      <w:bookmarkStart w:id="217" w:name="dabmci_ccafaabf2f0a49989f0caed8f6d3f81b"/>
      <w:r w:rsidR="009D32D1" w:rsidRPr="00522B6D">
        <w:rPr>
          <w:rFonts w:eastAsiaTheme="minorEastAsia"/>
          <w:i/>
          <w:iCs/>
        </w:rPr>
        <w:t xml:space="preserve">People v. </w:t>
      </w:r>
      <w:r w:rsidR="0057082B" w:rsidRPr="00522B6D">
        <w:rPr>
          <w:i/>
          <w:iCs/>
        </w:rPr>
        <w:t>Joaquin</w:t>
      </w:r>
      <w:r w:rsidR="0057082B" w:rsidRPr="00CB1AEB">
        <w:rPr>
          <w:i/>
        </w:rPr>
        <w:t>,</w:t>
      </w:r>
      <w:r w:rsidR="0057082B" w:rsidRPr="00522B6D">
        <w:t xml:space="preserve"> </w:t>
      </w:r>
      <w:r w:rsidR="0057082B" w:rsidRPr="00522B6D">
        <w:rPr>
          <w:i/>
          <w:iCs/>
        </w:rPr>
        <w:t>supra</w:t>
      </w:r>
      <w:r w:rsidR="0057082B" w:rsidRPr="00522B6D">
        <w:t>, 58 Cal.App.5th at p. 178</w:t>
      </w:r>
      <w:bookmarkEnd w:id="217"/>
      <w:r w:rsidR="009D32D1" w:rsidRPr="00522B6D">
        <w:t>, review granted</w:t>
      </w:r>
      <w:r w:rsidR="0057082B" w:rsidRPr="00522B6D">
        <w:t xml:space="preserve">; </w:t>
      </w:r>
      <w:bookmarkStart w:id="218" w:name="dabmci_28da3f9da77747118cce57af43de0cc8"/>
      <w:r w:rsidR="0057082B" w:rsidRPr="00522B6D">
        <w:rPr>
          <w:i/>
          <w:iCs/>
        </w:rPr>
        <w:t>Griffin, supra</w:t>
      </w:r>
      <w:r w:rsidR="0057082B" w:rsidRPr="00CB1AEB">
        <w:t>,</w:t>
      </w:r>
      <w:r w:rsidR="0057082B" w:rsidRPr="00522B6D">
        <w:t xml:space="preserve"> 57 Cal.App.5th at p. 1097</w:t>
      </w:r>
      <w:r w:rsidR="000B6CC2" w:rsidRPr="00522B6D">
        <w:t>, review granted</w:t>
      </w:r>
      <w:r w:rsidR="0057082B" w:rsidRPr="00522B6D">
        <w:t>.</w:t>
      </w:r>
      <w:bookmarkEnd w:id="218"/>
      <w:r w:rsidR="0057082B" w:rsidRPr="00522B6D">
        <w:t>)</w:t>
      </w:r>
      <w:r>
        <w:rPr>
          <w:rStyle w:val="FootnoteReference"/>
        </w:rPr>
        <w:footnoteReference w:id="22"/>
      </w:r>
      <w:r w:rsidR="005B74DB" w:rsidRPr="00522B6D">
        <w:t xml:space="preserve">  </w:t>
      </w:r>
      <w:r w:rsidRPr="00522B6D">
        <w:t>We</w:t>
      </w:r>
      <w:r w:rsidR="00B14BE8" w:rsidRPr="00522B6D">
        <w:t xml:space="preserve">, however, </w:t>
      </w:r>
      <w:r w:rsidRPr="00522B6D">
        <w:t>disagree with these courts</w:t>
      </w:r>
      <w:r w:rsidR="005E084E" w:rsidRPr="00522B6D">
        <w:t xml:space="preserve">, and instead </w:t>
      </w:r>
      <w:r w:rsidR="00F941D8" w:rsidRPr="00522B6D">
        <w:t>agree with</w:t>
      </w:r>
      <w:r w:rsidR="00341C0C" w:rsidRPr="00522B6D">
        <w:t xml:space="preserve"> the reasoning in</w:t>
      </w:r>
      <w:r w:rsidR="005E084E" w:rsidRPr="00522B6D">
        <w:t xml:space="preserve"> </w:t>
      </w:r>
      <w:bookmarkStart w:id="222" w:name="dabmci_880034f3590446ebab967b9ffdd52c03"/>
      <w:r w:rsidR="005E084E" w:rsidRPr="00522B6D">
        <w:rPr>
          <w:i/>
          <w:iCs/>
        </w:rPr>
        <w:t>Hernandez</w:t>
      </w:r>
      <w:r w:rsidR="005E084E" w:rsidRPr="00CB1AEB">
        <w:rPr>
          <w:i/>
        </w:rPr>
        <w:t>,</w:t>
      </w:r>
      <w:r w:rsidR="005E084E" w:rsidRPr="00522B6D">
        <w:t xml:space="preserve"> </w:t>
      </w:r>
      <w:r w:rsidR="005E084E" w:rsidRPr="00522B6D">
        <w:rPr>
          <w:i/>
          <w:iCs/>
        </w:rPr>
        <w:t>supra</w:t>
      </w:r>
      <w:r w:rsidR="005E084E" w:rsidRPr="00522B6D">
        <w:t>, 55 Cal.App.5th 942</w:t>
      </w:r>
      <w:bookmarkEnd w:id="222"/>
      <w:r w:rsidR="006B6CEC">
        <w:t>, review granted</w:t>
      </w:r>
      <w:r w:rsidRPr="00522B6D">
        <w:t xml:space="preserve">. </w:t>
      </w:r>
    </w:p>
    <w:p w14:paraId="4680DDDE" w14:textId="3399E21B" w:rsidR="00BB20B2" w:rsidRPr="00522B6D" w:rsidRDefault="001D5D5D" w:rsidP="00E12338">
      <w:pPr>
        <w:rPr>
          <w:color w:val="000000"/>
        </w:rPr>
      </w:pPr>
      <w:r w:rsidRPr="00522B6D">
        <w:tab/>
      </w:r>
      <w:r w:rsidR="005B74DB" w:rsidRPr="00522B6D">
        <w:t xml:space="preserve">In </w:t>
      </w:r>
      <w:bookmarkStart w:id="223" w:name="dabmci_a57e3eabd17b4d1abe2de946d355c955"/>
      <w:r w:rsidR="005B74DB" w:rsidRPr="00522B6D">
        <w:rPr>
          <w:i/>
          <w:iCs/>
        </w:rPr>
        <w:t>Collins</w:t>
      </w:r>
      <w:bookmarkEnd w:id="223"/>
      <w:r w:rsidR="005B74DB" w:rsidRPr="00522B6D">
        <w:t xml:space="preserve">, the Legislature decriminalized the </w:t>
      </w:r>
      <w:r w:rsidR="00240407" w:rsidRPr="00522B6D">
        <w:t xml:space="preserve">lone </w:t>
      </w:r>
      <w:r w:rsidR="005B74DB" w:rsidRPr="00522B6D">
        <w:t xml:space="preserve">offense to which the defendant </w:t>
      </w:r>
      <w:r w:rsidRPr="00522B6D">
        <w:t xml:space="preserve">had earlier </w:t>
      </w:r>
      <w:r w:rsidR="005B74DB" w:rsidRPr="00522B6D">
        <w:t xml:space="preserve">pleaded in exchange for the dismissal of numerous other counts that remained viable.  </w:t>
      </w:r>
      <w:r w:rsidR="000B50D7" w:rsidRPr="00522B6D">
        <w:t xml:space="preserve">Our high </w:t>
      </w:r>
      <w:r w:rsidR="005B74DB" w:rsidRPr="00522B6D">
        <w:t xml:space="preserve">court held that remand was appropriate to allow the prosecution to proceed on those other counts </w:t>
      </w:r>
      <w:bookmarkStart w:id="224" w:name="_Hlk90547448"/>
      <w:r w:rsidR="005B74DB" w:rsidRPr="00522B6D">
        <w:t xml:space="preserve">but capped the defendant’s sentencing exposure to </w:t>
      </w:r>
      <w:r w:rsidR="00392C3B" w:rsidRPr="00522B6D">
        <w:t>the length of the sentence he</w:t>
      </w:r>
      <w:r w:rsidR="005B74DB" w:rsidRPr="00522B6D">
        <w:t xml:space="preserve"> originally agreed to</w:t>
      </w:r>
      <w:bookmarkEnd w:id="224"/>
      <w:r w:rsidR="00D66A9B">
        <w:t xml:space="preserve">, </w:t>
      </w:r>
      <w:r w:rsidR="00D66A9B" w:rsidRPr="00522B6D">
        <w:t xml:space="preserve">noting that to simply dismiss the case </w:t>
      </w:r>
      <w:r w:rsidR="00D66A9B" w:rsidRPr="00522B6D">
        <w:lastRenderedPageBreak/>
        <w:t xml:space="preserve">would result in a </w:t>
      </w:r>
      <w:r w:rsidR="00D66A9B" w:rsidRPr="00522B6D">
        <w:rPr>
          <w:color w:val="000000"/>
        </w:rPr>
        <w:t>“bounty in excess of that to which [the defendant] is entitled”</w:t>
      </w:r>
      <w:r w:rsidR="005B74DB" w:rsidRPr="00522B6D">
        <w:t>.  (</w:t>
      </w:r>
      <w:bookmarkStart w:id="225" w:name="dabmci_ee96e6d352a6437782bcac8041ce8924"/>
      <w:r w:rsidR="005B74DB" w:rsidRPr="00522B6D">
        <w:rPr>
          <w:i/>
          <w:iCs/>
        </w:rPr>
        <w:t>Collins</w:t>
      </w:r>
      <w:r w:rsidR="005B74DB" w:rsidRPr="00CB1AEB">
        <w:rPr>
          <w:i/>
        </w:rPr>
        <w:t>,</w:t>
      </w:r>
      <w:r w:rsidR="005B74DB" w:rsidRPr="00522B6D">
        <w:t xml:space="preserve"> </w:t>
      </w:r>
      <w:r w:rsidR="009C7920" w:rsidRPr="00522B6D">
        <w:rPr>
          <w:i/>
          <w:iCs/>
        </w:rPr>
        <w:t>supra</w:t>
      </w:r>
      <w:r w:rsidR="009C7920" w:rsidRPr="00522B6D">
        <w:t xml:space="preserve">, 21 Cal.3d </w:t>
      </w:r>
      <w:r w:rsidR="005B74DB" w:rsidRPr="00522B6D">
        <w:t>at pp. 211-212</w:t>
      </w:r>
      <w:bookmarkEnd w:id="225"/>
      <w:r w:rsidR="00D66A9B">
        <w:t>, 215</w:t>
      </w:r>
      <w:r w:rsidR="005B74DB" w:rsidRPr="00522B6D">
        <w:rPr>
          <w:color w:val="000000"/>
        </w:rPr>
        <w:t xml:space="preserve">.)  </w:t>
      </w:r>
    </w:p>
    <w:p w14:paraId="1899F258" w14:textId="3CFCB3E5" w:rsidR="003D111C" w:rsidRPr="00522B6D" w:rsidRDefault="001D5D5D" w:rsidP="00E12338">
      <w:r w:rsidRPr="00522B6D">
        <w:rPr>
          <w:color w:val="000000"/>
        </w:rPr>
        <w:tab/>
      </w:r>
      <w:r w:rsidR="003037D9" w:rsidRPr="00522B6D">
        <w:t>I</w:t>
      </w:r>
      <w:r w:rsidRPr="00522B6D">
        <w:t>t appears</w:t>
      </w:r>
      <w:r w:rsidR="003037D9" w:rsidRPr="00522B6D">
        <w:t>, however,</w:t>
      </w:r>
      <w:r w:rsidRPr="00522B6D">
        <w:t xml:space="preserve"> that</w:t>
      </w:r>
      <w:r w:rsidR="005B74DB" w:rsidRPr="00522B6D">
        <w:t xml:space="preserve"> </w:t>
      </w:r>
      <w:r w:rsidR="00F941D8" w:rsidRPr="00522B6D">
        <w:t xml:space="preserve">under </w:t>
      </w:r>
      <w:r w:rsidR="005B74DB" w:rsidRPr="00522B6D">
        <w:rPr>
          <w:i/>
          <w:iCs/>
        </w:rPr>
        <w:t>Stamps</w:t>
      </w:r>
      <w:r w:rsidR="00F941D8" w:rsidRPr="00522B6D">
        <w:rPr>
          <w:i/>
          <w:iCs/>
        </w:rPr>
        <w:t xml:space="preserve">, </w:t>
      </w:r>
      <w:r w:rsidR="00F941D8" w:rsidRPr="00522B6D">
        <w:t xml:space="preserve">the </w:t>
      </w:r>
      <w:r w:rsidR="00F941D8" w:rsidRPr="00522B6D">
        <w:rPr>
          <w:i/>
          <w:iCs/>
        </w:rPr>
        <w:t>Collins</w:t>
      </w:r>
      <w:r w:rsidR="005B74DB" w:rsidRPr="00522B6D">
        <w:t xml:space="preserve"> remedy</w:t>
      </w:r>
      <w:r w:rsidR="00F941D8" w:rsidRPr="00522B6D">
        <w:t xml:space="preserve"> does not apply where</w:t>
      </w:r>
      <w:r w:rsidR="00093593" w:rsidRPr="00522B6D">
        <w:t>, as here,</w:t>
      </w:r>
      <w:r w:rsidR="00F941D8" w:rsidRPr="00522B6D">
        <w:t xml:space="preserve"> the underlying conviction offense remains viable</w:t>
      </w:r>
      <w:r w:rsidRPr="00522B6D">
        <w:t>.  The</w:t>
      </w:r>
      <w:r w:rsidR="005B74DB" w:rsidRPr="00522B6D">
        <w:t xml:space="preserve"> </w:t>
      </w:r>
      <w:r w:rsidR="005B74DB" w:rsidRPr="00522B6D">
        <w:rPr>
          <w:i/>
          <w:iCs/>
        </w:rPr>
        <w:t>Stamps</w:t>
      </w:r>
      <w:r w:rsidR="005B74DB" w:rsidRPr="00522B6D">
        <w:t xml:space="preserve"> court </w:t>
      </w:r>
      <w:r w:rsidR="00C23B6F" w:rsidRPr="00522B6D">
        <w:t xml:space="preserve">expressly </w:t>
      </w:r>
      <w:r w:rsidR="005B74DB" w:rsidRPr="00522B6D">
        <w:t xml:space="preserve">recognized that the status quo </w:t>
      </w:r>
      <w:bookmarkStart w:id="226" w:name="dabmci_c654cacbe4d44a9c8f03f613f25ed35d"/>
      <w:r w:rsidR="005B74DB" w:rsidRPr="00CB1AEB">
        <w:t>ante</w:t>
      </w:r>
      <w:bookmarkEnd w:id="226"/>
      <w:r w:rsidR="005B74DB" w:rsidRPr="00522B6D">
        <w:t xml:space="preserve"> must be restored when </w:t>
      </w:r>
      <w:r w:rsidRPr="00522B6D">
        <w:t>either the prosecution or the</w:t>
      </w:r>
      <w:r w:rsidR="005B74DB" w:rsidRPr="00522B6D">
        <w:t xml:space="preserve"> trial court withdraws consent</w:t>
      </w:r>
      <w:r w:rsidR="00B61442" w:rsidRPr="00522B6D">
        <w:t xml:space="preserve"> to the agreement</w:t>
      </w:r>
      <w:r w:rsidR="00E91285" w:rsidRPr="00522B6D">
        <w:t xml:space="preserve">.  </w:t>
      </w:r>
      <w:r w:rsidR="00964A22" w:rsidRPr="00522B6D">
        <w:t>(</w:t>
      </w:r>
      <w:bookmarkStart w:id="227" w:name="dabmci_14e3cf191cd147d4aa2464b82224887c"/>
      <w:r w:rsidR="00964A22" w:rsidRPr="00522B6D">
        <w:rPr>
          <w:i/>
          <w:iCs/>
        </w:rPr>
        <w:t>Stamps</w:t>
      </w:r>
      <w:r w:rsidR="00964A22" w:rsidRPr="00CB1AEB">
        <w:rPr>
          <w:i/>
        </w:rPr>
        <w:t>,</w:t>
      </w:r>
      <w:r w:rsidR="00964A22" w:rsidRPr="00522B6D">
        <w:t xml:space="preserve"> </w:t>
      </w:r>
      <w:r w:rsidR="00964A22" w:rsidRPr="00522B6D">
        <w:rPr>
          <w:i/>
          <w:iCs/>
        </w:rPr>
        <w:t>supra</w:t>
      </w:r>
      <w:r w:rsidR="00964A22" w:rsidRPr="00522B6D">
        <w:t>, 9 Cal.5th at p</w:t>
      </w:r>
      <w:r w:rsidR="003323ED" w:rsidRPr="00522B6D">
        <w:t>p</w:t>
      </w:r>
      <w:r w:rsidR="00964A22" w:rsidRPr="00522B6D">
        <w:t xml:space="preserve">. </w:t>
      </w:r>
      <w:r w:rsidR="003323ED" w:rsidRPr="00522B6D">
        <w:t>706-</w:t>
      </w:r>
      <w:r w:rsidR="00964A22" w:rsidRPr="00522B6D">
        <w:t>707</w:t>
      </w:r>
      <w:bookmarkEnd w:id="227"/>
      <w:r w:rsidR="003323ED" w:rsidRPr="00522B6D">
        <w:t xml:space="preserve">; see also </w:t>
      </w:r>
      <w:bookmarkStart w:id="228" w:name="dabmci_89a666cccf514a609f4628f55586026e"/>
      <w:r w:rsidR="003323ED" w:rsidRPr="00522B6D">
        <w:rPr>
          <w:i/>
          <w:iCs/>
        </w:rPr>
        <w:t>Barton</w:t>
      </w:r>
      <w:r w:rsidR="003323ED" w:rsidRPr="00CB1AEB">
        <w:rPr>
          <w:i/>
        </w:rPr>
        <w:t>,</w:t>
      </w:r>
      <w:r w:rsidR="003323ED" w:rsidRPr="00522B6D">
        <w:t xml:space="preserve"> </w:t>
      </w:r>
      <w:r w:rsidR="003323ED" w:rsidRPr="00522B6D">
        <w:rPr>
          <w:i/>
          <w:iCs/>
        </w:rPr>
        <w:t>supra</w:t>
      </w:r>
      <w:r w:rsidR="003323ED" w:rsidRPr="00522B6D">
        <w:t xml:space="preserve">, </w:t>
      </w:r>
      <w:r w:rsidR="002E0E68" w:rsidRPr="00522B6D">
        <w:t>5</w:t>
      </w:r>
      <w:r w:rsidR="003323ED" w:rsidRPr="00522B6D">
        <w:t>2 Cal.App.5th at p. 1159</w:t>
      </w:r>
      <w:bookmarkEnd w:id="228"/>
      <w:r w:rsidR="00964A22" w:rsidRPr="00522B6D">
        <w:t xml:space="preserve">.)  </w:t>
      </w:r>
      <w:r w:rsidR="00E91285" w:rsidRPr="00522B6D">
        <w:t>P</w:t>
      </w:r>
      <w:r w:rsidR="005B74DB" w:rsidRPr="00522B6D">
        <w:t>utting a defendant in a position where he is exposed to no more time than was received as part of the negotiated resolution does not return the parties to the status quo before the agreement</w:t>
      </w:r>
      <w:r w:rsidRPr="00522B6D">
        <w:t xml:space="preserve">.  </w:t>
      </w:r>
      <w:r w:rsidR="00240407" w:rsidRPr="00522B6D">
        <w:t>And e</w:t>
      </w:r>
      <w:r w:rsidR="00B546C5" w:rsidRPr="00522B6D">
        <w:t>ven</w:t>
      </w:r>
      <w:r w:rsidR="00F75975" w:rsidRPr="00522B6D">
        <w:t xml:space="preserve"> though </w:t>
      </w:r>
      <w:r w:rsidR="005B74DB" w:rsidRPr="00522B6D">
        <w:t xml:space="preserve">the </w:t>
      </w:r>
      <w:r w:rsidR="005B74DB" w:rsidRPr="00522B6D">
        <w:rPr>
          <w:i/>
          <w:iCs/>
        </w:rPr>
        <w:t>Stamps</w:t>
      </w:r>
      <w:r w:rsidR="005B74DB" w:rsidRPr="00522B6D">
        <w:t xml:space="preserve"> court</w:t>
      </w:r>
      <w:r w:rsidR="00F75975" w:rsidRPr="00522B6D">
        <w:t xml:space="preserve"> discussed </w:t>
      </w:r>
      <w:r w:rsidR="00F75975" w:rsidRPr="00522B6D">
        <w:rPr>
          <w:i/>
          <w:iCs/>
        </w:rPr>
        <w:t>Collins</w:t>
      </w:r>
      <w:r w:rsidR="00F75975" w:rsidRPr="00522B6D">
        <w:t>, it</w:t>
      </w:r>
      <w:r w:rsidR="005B74DB" w:rsidRPr="00522B6D">
        <w:t xml:space="preserve"> imposed no sentencing cap on remand and never even mentioned the </w:t>
      </w:r>
      <w:r w:rsidR="005B74DB" w:rsidRPr="00522B6D">
        <w:rPr>
          <w:i/>
          <w:iCs/>
        </w:rPr>
        <w:t>Collins</w:t>
      </w:r>
      <w:r w:rsidR="005B74DB" w:rsidRPr="00522B6D">
        <w:t xml:space="preserve"> cap.</w:t>
      </w:r>
      <w:r>
        <w:rPr>
          <w:rStyle w:val="FootnoteReference"/>
          <w:szCs w:val="20"/>
        </w:rPr>
        <w:footnoteReference w:id="23"/>
      </w:r>
      <w:r w:rsidR="003037D9" w:rsidRPr="00CB1AEB">
        <w:t xml:space="preserve"> </w:t>
      </w:r>
      <w:r w:rsidR="00CE304E" w:rsidRPr="00522B6D">
        <w:t xml:space="preserve"> </w:t>
      </w:r>
      <w:r w:rsidR="003037D9" w:rsidRPr="00522B6D">
        <w:t xml:space="preserve">As the </w:t>
      </w:r>
      <w:r w:rsidR="003037D9" w:rsidRPr="00522B6D">
        <w:rPr>
          <w:i/>
          <w:iCs/>
        </w:rPr>
        <w:t>Hernandez</w:t>
      </w:r>
      <w:r w:rsidR="003037D9" w:rsidRPr="00522B6D">
        <w:t xml:space="preserve"> court </w:t>
      </w:r>
      <w:r w:rsidR="005E084E" w:rsidRPr="00522B6D">
        <w:t>explained</w:t>
      </w:r>
      <w:r w:rsidR="003037D9" w:rsidRPr="00522B6D">
        <w:t xml:space="preserve">:  </w:t>
      </w:r>
      <w:r w:rsidR="005B74DB" w:rsidRPr="00522B6D">
        <w:t>“</w:t>
      </w:r>
      <w:r w:rsidR="005B74DB" w:rsidRPr="00522B6D">
        <w:rPr>
          <w:i/>
          <w:iCs/>
        </w:rPr>
        <w:t>Stamps</w:t>
      </w:r>
      <w:r w:rsidR="005B74DB" w:rsidRPr="00522B6D">
        <w:t xml:space="preserve"> did not extend </w:t>
      </w:r>
      <w:r w:rsidR="005B74DB" w:rsidRPr="00522B6D">
        <w:rPr>
          <w:i/>
          <w:iCs/>
        </w:rPr>
        <w:t>Collins</w:t>
      </w:r>
      <w:r w:rsidR="005B74DB" w:rsidRPr="00522B6D">
        <w:t xml:space="preserve"> to permit such a resolution, and instead held the People could </w:t>
      </w:r>
      <w:r w:rsidR="005B74DB" w:rsidRPr="00522B6D">
        <w:lastRenderedPageBreak/>
        <w:t>completely withdraw from the plea agreement if the prior serious felony enhancement was dismissed</w:t>
      </w:r>
      <w:r w:rsidR="00C23B6F" w:rsidRPr="00522B6D">
        <w:t>.</w:t>
      </w:r>
      <w:r w:rsidR="005B74DB" w:rsidRPr="00522B6D">
        <w:t xml:space="preserve">” </w:t>
      </w:r>
      <w:r w:rsidR="00B35823" w:rsidRPr="00522B6D">
        <w:t xml:space="preserve"> </w:t>
      </w:r>
      <w:r w:rsidR="00C23B6F" w:rsidRPr="00522B6D">
        <w:t>(</w:t>
      </w:r>
      <w:bookmarkStart w:id="232" w:name="dabmci_c8057cce465b46d98932c752b94dd027"/>
      <w:r w:rsidR="00C23B6F" w:rsidRPr="00522B6D">
        <w:rPr>
          <w:i/>
          <w:iCs/>
        </w:rPr>
        <w:t>Hernandez</w:t>
      </w:r>
      <w:r w:rsidR="00C23B6F" w:rsidRPr="00522B6D">
        <w:t xml:space="preserve">, </w:t>
      </w:r>
      <w:r w:rsidR="00C23B6F" w:rsidRPr="00522B6D">
        <w:rPr>
          <w:i/>
          <w:iCs/>
        </w:rPr>
        <w:t>supra</w:t>
      </w:r>
      <w:r w:rsidR="00C23B6F" w:rsidRPr="00522B6D">
        <w:t>, 55 Cal.App.5th at p. 959</w:t>
      </w:r>
      <w:bookmarkEnd w:id="232"/>
      <w:r w:rsidR="006B6CEC">
        <w:t>, review granted</w:t>
      </w:r>
      <w:r w:rsidR="00212B12" w:rsidRPr="00522B6D">
        <w:t xml:space="preserve">; see also </w:t>
      </w:r>
      <w:bookmarkStart w:id="233" w:name="dabmci_740a18315ccc46d0aa831ffb6098d632"/>
      <w:r w:rsidR="00212B12" w:rsidRPr="00522B6D">
        <w:rPr>
          <w:i/>
          <w:iCs/>
        </w:rPr>
        <w:t>Griffin</w:t>
      </w:r>
      <w:r w:rsidR="00212B12" w:rsidRPr="00522B6D">
        <w:t xml:space="preserve">, </w:t>
      </w:r>
      <w:r w:rsidR="00212B12" w:rsidRPr="00522B6D">
        <w:rPr>
          <w:i/>
          <w:iCs/>
        </w:rPr>
        <w:t>supra</w:t>
      </w:r>
      <w:r w:rsidR="00212B12" w:rsidRPr="00522B6D">
        <w:t>, 57 Cal.App.5th at p. 110</w:t>
      </w:r>
      <w:r w:rsidR="004619F4" w:rsidRPr="00522B6D">
        <w:t>7</w:t>
      </w:r>
      <w:bookmarkEnd w:id="233"/>
      <w:r w:rsidR="00212B12" w:rsidRPr="00522B6D">
        <w:t xml:space="preserve"> </w:t>
      </w:r>
      <w:r w:rsidR="006E7A01" w:rsidRPr="00522B6D">
        <w:t>(d</w:t>
      </w:r>
      <w:r w:rsidR="00212B12" w:rsidRPr="00522B6D">
        <w:t xml:space="preserve">is. </w:t>
      </w:r>
      <w:r w:rsidR="006E7A01" w:rsidRPr="00522B6D">
        <w:t>o</w:t>
      </w:r>
      <w:r w:rsidR="00212B12" w:rsidRPr="00522B6D">
        <w:t>pn. of Reardon, J.</w:t>
      </w:r>
      <w:r w:rsidR="006E7A01" w:rsidRPr="00522B6D">
        <w:t>), review granted</w:t>
      </w:r>
      <w:r w:rsidR="00212B12" w:rsidRPr="00522B6D">
        <w:t xml:space="preserve"> </w:t>
      </w:r>
      <w:r w:rsidR="006D0910" w:rsidRPr="00522B6D">
        <w:t>[</w:t>
      </w:r>
      <w:r w:rsidR="00212B12" w:rsidRPr="00522B6D">
        <w:t xml:space="preserve">”Clearly, the </w:t>
      </w:r>
      <w:r w:rsidR="00093593" w:rsidRPr="00522B6D">
        <w:t>[</w:t>
      </w:r>
      <w:r w:rsidR="00093593" w:rsidRPr="00522B6D">
        <w:rPr>
          <w:i/>
          <w:iCs/>
        </w:rPr>
        <w:t>Stamps</w:t>
      </w:r>
      <w:r w:rsidR="00093593" w:rsidRPr="00522B6D">
        <w:t xml:space="preserve">] </w:t>
      </w:r>
      <w:r w:rsidR="00212B12" w:rsidRPr="00522B6D">
        <w:t>court did not contemplate that any sentencing cap would pertain</w:t>
      </w:r>
      <w:r w:rsidR="006D0910" w:rsidRPr="00522B6D">
        <w:t>”]</w:t>
      </w:r>
      <w:r w:rsidR="00212B12" w:rsidRPr="00522B6D">
        <w:t>.</w:t>
      </w:r>
      <w:r w:rsidR="00C23B6F" w:rsidRPr="00522B6D">
        <w:t>)</w:t>
      </w:r>
      <w:r>
        <w:rPr>
          <w:rStyle w:val="FootnoteReference"/>
        </w:rPr>
        <w:footnoteReference w:id="24"/>
      </w:r>
      <w:r w:rsidR="00CF50AD" w:rsidRPr="00522B6D">
        <w:t xml:space="preserve">  We </w:t>
      </w:r>
      <w:r w:rsidR="00C1337F" w:rsidRPr="00522B6D">
        <w:t xml:space="preserve">find </w:t>
      </w:r>
      <w:r w:rsidR="00C1337F" w:rsidRPr="00522B6D">
        <w:rPr>
          <w:i/>
          <w:iCs/>
        </w:rPr>
        <w:t>Hernandez</w:t>
      </w:r>
      <w:r w:rsidR="00C1337F" w:rsidRPr="00522B6D">
        <w:t xml:space="preserve"> to be persuasive </w:t>
      </w:r>
      <w:r w:rsidR="00341C0C" w:rsidRPr="00522B6D">
        <w:t xml:space="preserve">on this point </w:t>
      </w:r>
      <w:r w:rsidR="00C1337F" w:rsidRPr="00522B6D">
        <w:t xml:space="preserve">and </w:t>
      </w:r>
      <w:r w:rsidR="00CF50AD" w:rsidRPr="00522B6D">
        <w:t xml:space="preserve">adopt </w:t>
      </w:r>
      <w:r w:rsidR="00C1337F" w:rsidRPr="00522B6D">
        <w:t xml:space="preserve">its </w:t>
      </w:r>
      <w:r w:rsidR="00CF50AD" w:rsidRPr="00522B6D">
        <w:t xml:space="preserve">approach, but </w:t>
      </w:r>
      <w:r w:rsidR="00B61442" w:rsidRPr="00522B6D">
        <w:t xml:space="preserve">urge that this </w:t>
      </w:r>
      <w:r w:rsidR="00CF50AD" w:rsidRPr="00522B6D">
        <w:t xml:space="preserve">issue be resolved by our high court along with the other issues </w:t>
      </w:r>
      <w:r w:rsidR="005074EC" w:rsidRPr="00522B6D">
        <w:t xml:space="preserve">discussed </w:t>
      </w:r>
      <w:r w:rsidR="00CF50AD" w:rsidRPr="00522B6D">
        <w:t>herein.</w:t>
      </w:r>
      <w:r>
        <w:rPr>
          <w:rStyle w:val="FootnoteReference"/>
        </w:rPr>
        <w:footnoteReference w:id="25"/>
      </w:r>
      <w:r w:rsidR="005B74DB" w:rsidRPr="00522B6D">
        <w:t xml:space="preserve">  </w:t>
      </w:r>
    </w:p>
    <w:p w14:paraId="06C3C80B" w14:textId="5CDD1FEC" w:rsidR="001204A8" w:rsidRPr="00522B6D" w:rsidRDefault="001D5D5D" w:rsidP="00E12338">
      <w:r w:rsidRPr="00522B6D">
        <w:lastRenderedPageBreak/>
        <w:tab/>
      </w:r>
      <w:r w:rsidR="00773BAA" w:rsidRPr="00522B6D">
        <w:t xml:space="preserve">In addition to </w:t>
      </w:r>
      <w:r w:rsidR="00773BAA" w:rsidRPr="00522B6D">
        <w:rPr>
          <w:i/>
          <w:iCs/>
        </w:rPr>
        <w:t>Collins</w:t>
      </w:r>
      <w:r w:rsidR="00773BAA" w:rsidRPr="00522B6D">
        <w:t xml:space="preserve">, the </w:t>
      </w:r>
      <w:r w:rsidR="00773BAA" w:rsidRPr="00522B6D">
        <w:rPr>
          <w:i/>
          <w:iCs/>
        </w:rPr>
        <w:t>Griffin</w:t>
      </w:r>
      <w:r w:rsidR="00773BAA" w:rsidRPr="00522B6D">
        <w:t xml:space="preserve"> court cited </w:t>
      </w:r>
      <w:r w:rsidR="003037D9" w:rsidRPr="00522B6D">
        <w:t>an</w:t>
      </w:r>
      <w:r w:rsidR="00773BAA" w:rsidRPr="00522B6D">
        <w:t>other reason for prohibiting a longer negotiated sentence on remand</w:t>
      </w:r>
      <w:r w:rsidR="003037D9" w:rsidRPr="00522B6D">
        <w:t xml:space="preserve">:  </w:t>
      </w:r>
      <w:r w:rsidRPr="00522B6D">
        <w:t xml:space="preserve">a longer sentence would be inconsistent with the legislative intent underlying </w:t>
      </w:r>
      <w:bookmarkStart w:id="247" w:name="dabmci_5fce29bf784c45569c4e25b399ca50d1"/>
      <w:r w:rsidRPr="00522B6D">
        <w:t>Senate Bill 136</w:t>
      </w:r>
      <w:bookmarkEnd w:id="247"/>
      <w:r w:rsidR="006C6630" w:rsidRPr="00522B6D">
        <w:t xml:space="preserve">.  </w:t>
      </w:r>
      <w:r w:rsidR="00E734E7" w:rsidRPr="00522B6D">
        <w:t>The</w:t>
      </w:r>
      <w:r w:rsidR="006C6630" w:rsidRPr="00522B6D">
        <w:t xml:space="preserve"> </w:t>
      </w:r>
      <w:r w:rsidR="006C6630" w:rsidRPr="00522B6D">
        <w:rPr>
          <w:i/>
          <w:iCs/>
        </w:rPr>
        <w:t>Griffin</w:t>
      </w:r>
      <w:r w:rsidR="006C6630" w:rsidRPr="00522B6D">
        <w:t xml:space="preserve"> court </w:t>
      </w:r>
      <w:r w:rsidR="00E734E7" w:rsidRPr="00522B6D">
        <w:t>observed that</w:t>
      </w:r>
      <w:r w:rsidR="006C6630" w:rsidRPr="00522B6D">
        <w:t xml:space="preserve"> “[t]h</w:t>
      </w:r>
      <w:r w:rsidRPr="00522B6D">
        <w:t xml:space="preserve">e purpose of the enactment was to </w:t>
      </w:r>
      <w:r w:rsidRPr="00CB1AEB">
        <w:rPr>
          <w:i/>
        </w:rPr>
        <w:t>decrease</w:t>
      </w:r>
      <w:r w:rsidRPr="00522B6D">
        <w:t xml:space="preserve"> the length of sentences imposed on repeat felons by substantially narro</w:t>
      </w:r>
      <w:r w:rsidRPr="00522B6D">
        <w:t xml:space="preserve">wing the scope of application of the prior prison term enhancement. </w:t>
      </w:r>
      <w:r w:rsidR="006C6630" w:rsidRPr="00522B6D">
        <w:t xml:space="preserve"> </w:t>
      </w:r>
      <w:r w:rsidRPr="00522B6D">
        <w:t xml:space="preserve">An </w:t>
      </w:r>
      <w:r w:rsidRPr="00CB1AEB">
        <w:rPr>
          <w:i/>
        </w:rPr>
        <w:t>increased</w:t>
      </w:r>
      <w:r w:rsidRPr="00522B6D">
        <w:t xml:space="preserve"> sentence due to retroactive application of the enactment would be directly contrary to the result the Legislature intended.”  (</w:t>
      </w:r>
      <w:bookmarkStart w:id="248" w:name="dabmci_55ae75c0a18a407996f513c54ba241fe"/>
      <w:r w:rsidRPr="00522B6D">
        <w:rPr>
          <w:i/>
          <w:iCs/>
        </w:rPr>
        <w:t>Griffin</w:t>
      </w:r>
      <w:r w:rsidRPr="00522B6D">
        <w:t xml:space="preserve">, </w:t>
      </w:r>
      <w:r w:rsidRPr="00522B6D">
        <w:rPr>
          <w:i/>
          <w:iCs/>
        </w:rPr>
        <w:t>supra</w:t>
      </w:r>
      <w:r w:rsidRPr="00522B6D">
        <w:t>, 57 Cal.App.5th at p. 1097</w:t>
      </w:r>
      <w:bookmarkEnd w:id="248"/>
      <w:r w:rsidR="005312EF" w:rsidRPr="00522B6D">
        <w:t>, review granted</w:t>
      </w:r>
      <w:r w:rsidRPr="00522B6D">
        <w:t xml:space="preserve">.)  But again, the legislative purpose of </w:t>
      </w:r>
      <w:r w:rsidR="006C6630" w:rsidRPr="00522B6D">
        <w:t>the sentence reduction</w:t>
      </w:r>
      <w:r w:rsidRPr="00522B6D">
        <w:t xml:space="preserve"> </w:t>
      </w:r>
      <w:r w:rsidR="00124AC4" w:rsidRPr="00522B6D">
        <w:t xml:space="preserve">in </w:t>
      </w:r>
      <w:bookmarkStart w:id="249" w:name="dabmci_db749d6e674f4e98b92510b869c78271"/>
      <w:r w:rsidR="00BE30E7" w:rsidRPr="00522B6D">
        <w:t>Senate Bill</w:t>
      </w:r>
      <w:r w:rsidR="00124AC4" w:rsidRPr="00522B6D">
        <w:t xml:space="preserve"> 136</w:t>
      </w:r>
      <w:bookmarkEnd w:id="249"/>
      <w:r w:rsidR="00124AC4" w:rsidRPr="00522B6D">
        <w:t xml:space="preserve"> </w:t>
      </w:r>
      <w:r w:rsidRPr="00522B6D">
        <w:t xml:space="preserve">focused on the one-year prison sentence enhancement, not on sentences that remain valid under other provisions.  </w:t>
      </w:r>
    </w:p>
    <w:p w14:paraId="6B3B02AB" w14:textId="71141F43" w:rsidR="00E734E7" w:rsidRPr="00522B6D" w:rsidRDefault="001D5D5D" w:rsidP="00871F8F">
      <w:pPr>
        <w:ind w:firstLine="720"/>
      </w:pPr>
      <w:r w:rsidRPr="00522B6D">
        <w:t>Moreover</w:t>
      </w:r>
      <w:r w:rsidR="002E5BFC" w:rsidRPr="00522B6D">
        <w:t>, h</w:t>
      </w:r>
      <w:r w:rsidRPr="00522B6D">
        <w:t>ere, the legislativ</w:t>
      </w:r>
      <w:r w:rsidR="005A275A" w:rsidRPr="00522B6D">
        <w:t xml:space="preserve">e concern relates to people who are placed on probation and thus, the </w:t>
      </w:r>
      <w:r w:rsidR="0012327E">
        <w:t>l</w:t>
      </w:r>
      <w:r w:rsidR="005A275A" w:rsidRPr="00522B6D">
        <w:t xml:space="preserve">egislative purpose is advanced only </w:t>
      </w:r>
      <w:r w:rsidR="005A275A" w:rsidRPr="00522B6D">
        <w:rPr>
          <w:i/>
          <w:iCs/>
        </w:rPr>
        <w:t xml:space="preserve">if </w:t>
      </w:r>
      <w:r w:rsidR="005A275A" w:rsidRPr="00522B6D">
        <w:t xml:space="preserve">a court determines </w:t>
      </w:r>
      <w:r w:rsidR="005A275A" w:rsidRPr="00522B6D">
        <w:lastRenderedPageBreak/>
        <w:t>probation is appropriate</w:t>
      </w:r>
      <w:r w:rsidRPr="00522B6D">
        <w:t xml:space="preserve">.  </w:t>
      </w:r>
      <w:r w:rsidR="005A275A" w:rsidRPr="00522B6D">
        <w:t>A</w:t>
      </w:r>
      <w:r w:rsidRPr="00522B6D">
        <w:t xml:space="preserve"> court’s decision related to the appropriateness of probation turns on a number of sentencing considerations, including the length of probation as that bears on </w:t>
      </w:r>
      <w:r w:rsidR="00642948" w:rsidRPr="00522B6D">
        <w:t xml:space="preserve">the prospect of </w:t>
      </w:r>
      <w:r w:rsidRPr="00522B6D">
        <w:t xml:space="preserve">rehabilitation, the protection of </w:t>
      </w:r>
      <w:r w:rsidRPr="00522B6D">
        <w:t>the public relative to the specific defendant before the court and other sentencing alternatives in determining what sentence is in the interest</w:t>
      </w:r>
      <w:r w:rsidR="000D4C30">
        <w:t>s</w:t>
      </w:r>
      <w:r w:rsidRPr="00522B6D">
        <w:t xml:space="preserve"> of society.  </w:t>
      </w:r>
    </w:p>
    <w:p w14:paraId="0517ED0B" w14:textId="00FD67D3" w:rsidR="009C0DE4" w:rsidRPr="00522B6D" w:rsidRDefault="001D5D5D" w:rsidP="00E12338">
      <w:r w:rsidRPr="00522B6D">
        <w:tab/>
        <w:t xml:space="preserve">The </w:t>
      </w:r>
      <w:r w:rsidRPr="00522B6D">
        <w:rPr>
          <w:i/>
          <w:iCs/>
        </w:rPr>
        <w:t>Griffin</w:t>
      </w:r>
      <w:r w:rsidRPr="00522B6D">
        <w:t xml:space="preserve"> court </w:t>
      </w:r>
      <w:r w:rsidR="006C6630" w:rsidRPr="00522B6D">
        <w:t xml:space="preserve">also </w:t>
      </w:r>
      <w:r w:rsidRPr="00522B6D">
        <w:t xml:space="preserve">expressed concern that the risk of increased sentences might discourage </w:t>
      </w:r>
      <w:r w:rsidRPr="00522B6D">
        <w:t xml:space="preserve">defendants from exercising their right to seek relief under </w:t>
      </w:r>
      <w:bookmarkStart w:id="250" w:name="dabmci_d460883980bd442b94e015a15296b4d3"/>
      <w:r w:rsidR="00BE30E7" w:rsidRPr="00522B6D">
        <w:t>Senate Bill</w:t>
      </w:r>
      <w:r w:rsidRPr="00522B6D">
        <w:t xml:space="preserve"> 136</w:t>
      </w:r>
      <w:bookmarkEnd w:id="250"/>
      <w:r w:rsidRPr="00522B6D">
        <w:t>.  (</w:t>
      </w:r>
      <w:bookmarkStart w:id="251" w:name="dabmci_8503396791774e6e8a4387262bac4209"/>
      <w:r w:rsidR="0007782D" w:rsidRPr="00522B6D">
        <w:rPr>
          <w:i/>
          <w:iCs/>
        </w:rPr>
        <w:t>Griffin</w:t>
      </w:r>
      <w:r w:rsidR="0007782D" w:rsidRPr="00522B6D">
        <w:t xml:space="preserve">, </w:t>
      </w:r>
      <w:r w:rsidR="0007782D" w:rsidRPr="00522B6D">
        <w:rPr>
          <w:i/>
          <w:iCs/>
        </w:rPr>
        <w:t>supra</w:t>
      </w:r>
      <w:r w:rsidR="0007782D" w:rsidRPr="00522B6D">
        <w:t>, 57 Cal.App.5th at p. 1097</w:t>
      </w:r>
      <w:bookmarkEnd w:id="251"/>
      <w:r w:rsidR="005312EF" w:rsidRPr="00522B6D">
        <w:t>, review granted</w:t>
      </w:r>
      <w:r w:rsidRPr="00522B6D">
        <w:t>.)  But defendants</w:t>
      </w:r>
      <w:r w:rsidR="00963F6D" w:rsidRPr="00522B6D">
        <w:t xml:space="preserve"> </w:t>
      </w:r>
      <w:r w:rsidR="00BE5D57" w:rsidRPr="00522B6D">
        <w:t>who</w:t>
      </w:r>
      <w:r w:rsidR="00714DAA" w:rsidRPr="00522B6D">
        <w:t>, in their original agreement,</w:t>
      </w:r>
      <w:r w:rsidR="00BE5D57" w:rsidRPr="00522B6D">
        <w:t xml:space="preserve"> </w:t>
      </w:r>
      <w:r w:rsidR="00714DAA" w:rsidRPr="00522B6D">
        <w:t xml:space="preserve">avoided </w:t>
      </w:r>
      <w:r w:rsidR="00642948" w:rsidRPr="00522B6D">
        <w:t>a</w:t>
      </w:r>
      <w:r w:rsidR="00FA4A79" w:rsidRPr="00522B6D">
        <w:t xml:space="preserve"> longer</w:t>
      </w:r>
      <w:r w:rsidR="00642948" w:rsidRPr="00522B6D">
        <w:t xml:space="preserve"> prison sentence </w:t>
      </w:r>
      <w:r w:rsidR="00714DAA" w:rsidRPr="00522B6D">
        <w:t xml:space="preserve">related to their conviction offense </w:t>
      </w:r>
      <w:r w:rsidR="00642948" w:rsidRPr="00522B6D">
        <w:t>or</w:t>
      </w:r>
      <w:r w:rsidR="00BE5D57" w:rsidRPr="00522B6D">
        <w:t xml:space="preserve"> additional sentencing exposure</w:t>
      </w:r>
      <w:r w:rsidR="00714DAA" w:rsidRPr="00522B6D">
        <w:t xml:space="preserve"> related to dismissed charges and enhancement</w:t>
      </w:r>
      <w:r w:rsidR="00511FF1" w:rsidRPr="00522B6D">
        <w:t>s</w:t>
      </w:r>
      <w:r w:rsidR="00BE5D57" w:rsidRPr="00522B6D">
        <w:t xml:space="preserve"> </w:t>
      </w:r>
      <w:r w:rsidRPr="00522B6D">
        <w:t xml:space="preserve">can hardly be heard to complain about this </w:t>
      </w:r>
      <w:r w:rsidR="005A275A" w:rsidRPr="00522B6D">
        <w:t xml:space="preserve">purported </w:t>
      </w:r>
      <w:r w:rsidR="00E76DB1" w:rsidRPr="00522B6D">
        <w:t>chilling effect</w:t>
      </w:r>
      <w:r w:rsidR="00963F6D" w:rsidRPr="00522B6D">
        <w:t>.</w:t>
      </w:r>
      <w:r w:rsidR="00FA4A79" w:rsidRPr="00522B6D">
        <w:t xml:space="preserve">  The same applies, if not even more so, to defendants originally sentenced to more than two </w:t>
      </w:r>
      <w:r w:rsidR="00AF525D" w:rsidRPr="00522B6D">
        <w:t>years</w:t>
      </w:r>
      <w:r w:rsidR="004F5D01">
        <w:t xml:space="preserve"> of</w:t>
      </w:r>
      <w:r w:rsidR="00AF525D" w:rsidRPr="00522B6D">
        <w:t xml:space="preserve"> probation</w:t>
      </w:r>
      <w:r w:rsidR="006C1885" w:rsidRPr="00522B6D">
        <w:t xml:space="preserve"> instead of prison</w:t>
      </w:r>
      <w:r w:rsidR="00FA4A79" w:rsidRPr="00522B6D">
        <w:t>.</w:t>
      </w:r>
    </w:p>
    <w:p w14:paraId="3B77FF74" w14:textId="67216D2F" w:rsidR="006C6630" w:rsidRPr="00522B6D" w:rsidRDefault="001D5D5D" w:rsidP="00E12338">
      <w:pPr>
        <w:rPr>
          <w:rFonts w:eastAsiaTheme="minorEastAsia"/>
        </w:rPr>
      </w:pPr>
      <w:r w:rsidRPr="00522B6D">
        <w:tab/>
        <w:t xml:space="preserve">Another consideration is in play </w:t>
      </w:r>
      <w:r w:rsidR="00A56C23" w:rsidRPr="00522B6D">
        <w:t>in the context of an amendment reducing the duration of probation</w:t>
      </w:r>
      <w:r w:rsidRPr="00522B6D">
        <w:t xml:space="preserve">.  </w:t>
      </w:r>
      <w:r w:rsidR="00871104" w:rsidRPr="00522B6D">
        <w:t xml:space="preserve">No sentence cap </w:t>
      </w:r>
      <w:r w:rsidR="00A56C23" w:rsidRPr="00522B6D">
        <w:t xml:space="preserve">limited to the total custodial time originally agreed upon </w:t>
      </w:r>
      <w:r w:rsidR="00871104" w:rsidRPr="00522B6D">
        <w:t xml:space="preserve">like envisioned in </w:t>
      </w:r>
      <w:bookmarkStart w:id="252" w:name="dabmci_9d80b0c189b148bcb8714a3e25e3be4d"/>
      <w:r w:rsidR="00871104" w:rsidRPr="00522B6D">
        <w:rPr>
          <w:i/>
          <w:iCs/>
        </w:rPr>
        <w:t>Collins</w:t>
      </w:r>
      <w:bookmarkEnd w:id="252"/>
      <w:r w:rsidR="00871104" w:rsidRPr="00522B6D">
        <w:t xml:space="preserve"> and </w:t>
      </w:r>
      <w:r w:rsidR="00871104" w:rsidRPr="00522B6D">
        <w:rPr>
          <w:i/>
          <w:iCs/>
        </w:rPr>
        <w:t>Griffin</w:t>
      </w:r>
      <w:r w:rsidR="00871104" w:rsidRPr="00522B6D">
        <w:t xml:space="preserve"> can be applied </w:t>
      </w:r>
      <w:r w:rsidR="00A56C23" w:rsidRPr="00522B6D">
        <w:t>in this situation</w:t>
      </w:r>
      <w:r w:rsidR="00871104" w:rsidRPr="00522B6D">
        <w:t xml:space="preserve">.  </w:t>
      </w:r>
      <w:r w:rsidR="009C7920" w:rsidRPr="00522B6D">
        <w:rPr>
          <w:color w:val="000000"/>
        </w:rPr>
        <w:t xml:space="preserve">Under the </w:t>
      </w:r>
      <w:r w:rsidR="009C7920" w:rsidRPr="00522B6D">
        <w:rPr>
          <w:i/>
          <w:iCs/>
          <w:color w:val="000000"/>
        </w:rPr>
        <w:t>Griffin</w:t>
      </w:r>
      <w:r w:rsidR="009C7920" w:rsidRPr="00522B6D">
        <w:rPr>
          <w:color w:val="000000"/>
        </w:rPr>
        <w:t xml:space="preserve"> approach, </w:t>
      </w:r>
      <w:r w:rsidR="00871104" w:rsidRPr="00522B6D">
        <w:t xml:space="preserve">the trial court </w:t>
      </w:r>
      <w:r w:rsidR="002E5BFC" w:rsidRPr="00522B6D">
        <w:t xml:space="preserve">could not </w:t>
      </w:r>
      <w:r w:rsidR="00871104" w:rsidRPr="00522B6D">
        <w:t>impos</w:t>
      </w:r>
      <w:r w:rsidR="002E5BFC" w:rsidRPr="00522B6D">
        <w:t>e</w:t>
      </w:r>
      <w:r w:rsidR="00871104" w:rsidRPr="00522B6D">
        <w:t xml:space="preserve"> a</w:t>
      </w:r>
      <w:r w:rsidR="00EC3BB4" w:rsidRPr="00522B6D">
        <w:t xml:space="preserve"> local or state</w:t>
      </w:r>
      <w:r w:rsidR="00871104" w:rsidRPr="00522B6D">
        <w:t xml:space="preserve"> prison sentence</w:t>
      </w:r>
      <w:r w:rsidR="00FA4A79" w:rsidRPr="00522B6D">
        <w:t xml:space="preserve"> in an </w:t>
      </w:r>
      <w:bookmarkStart w:id="253" w:name="dabmci_ddaec159922248d0a0991048b4e3ad1e"/>
      <w:r w:rsidR="000208C9" w:rsidRPr="00522B6D">
        <w:t>Assembly Bill</w:t>
      </w:r>
      <w:r w:rsidR="00FA4A79" w:rsidRPr="00522B6D">
        <w:t xml:space="preserve"> 1950</w:t>
      </w:r>
      <w:bookmarkEnd w:id="253"/>
      <w:r w:rsidR="00871104" w:rsidRPr="00522B6D">
        <w:t xml:space="preserve"> </w:t>
      </w:r>
      <w:r w:rsidR="00FA4A79" w:rsidRPr="00522B6D">
        <w:t>case</w:t>
      </w:r>
      <w:r w:rsidR="00871104" w:rsidRPr="00522B6D">
        <w:t xml:space="preserve">—even if it determines </w:t>
      </w:r>
      <w:r w:rsidR="0050115A" w:rsidRPr="00522B6D">
        <w:t xml:space="preserve">a two-year probation sentence for </w:t>
      </w:r>
      <w:r w:rsidR="00FA4A79" w:rsidRPr="00522B6D">
        <w:t xml:space="preserve">the </w:t>
      </w:r>
      <w:r w:rsidR="0050115A" w:rsidRPr="00522B6D">
        <w:t>defendant is not in the interest</w:t>
      </w:r>
      <w:r w:rsidR="000D4C30">
        <w:t>s</w:t>
      </w:r>
      <w:r w:rsidR="0050115A" w:rsidRPr="00522B6D">
        <w:t xml:space="preserve"> of society</w:t>
      </w:r>
      <w:r w:rsidR="00BE5D57" w:rsidRPr="00522B6D">
        <w:t xml:space="preserve"> and a prison sentence is</w:t>
      </w:r>
      <w:r w:rsidR="0050115A" w:rsidRPr="00522B6D">
        <w:t>.  In other words, defendant</w:t>
      </w:r>
      <w:r w:rsidR="00FA4A79" w:rsidRPr="00522B6D">
        <w:t xml:space="preserve">s seeking relief under </w:t>
      </w:r>
      <w:bookmarkStart w:id="254" w:name="dabmci_b66a5b4307524188974aaf2e653708d2"/>
      <w:r w:rsidR="000208C9" w:rsidRPr="00522B6D">
        <w:t>Assembly Bill</w:t>
      </w:r>
      <w:r w:rsidR="00FA4A79" w:rsidRPr="00522B6D">
        <w:t xml:space="preserve"> 1950</w:t>
      </w:r>
      <w:bookmarkEnd w:id="254"/>
      <w:r w:rsidR="0050115A" w:rsidRPr="00522B6D">
        <w:t xml:space="preserve"> would have been successful in whittling down the original sentence to which </w:t>
      </w:r>
      <w:r w:rsidR="00FA4A79" w:rsidRPr="00522B6D">
        <w:t>t</w:t>
      </w:r>
      <w:r w:rsidR="0050115A" w:rsidRPr="00522B6D">
        <w:t>he</w:t>
      </w:r>
      <w:r w:rsidR="00FA4A79" w:rsidRPr="00522B6D">
        <w:t>y</w:t>
      </w:r>
      <w:r w:rsidR="0050115A" w:rsidRPr="00522B6D">
        <w:t xml:space="preserve"> agreed</w:t>
      </w:r>
      <w:r w:rsidR="00E35CC8" w:rsidRPr="00522B6D">
        <w:t xml:space="preserve"> and </w:t>
      </w:r>
      <w:r w:rsidR="00BE5D57" w:rsidRPr="00522B6D">
        <w:t>would have obtained</w:t>
      </w:r>
      <w:r w:rsidR="00E35CC8" w:rsidRPr="00522B6D">
        <w:t xml:space="preserve"> </w:t>
      </w:r>
      <w:r w:rsidR="009C7920" w:rsidRPr="00522B6D">
        <w:t xml:space="preserve">a </w:t>
      </w:r>
      <w:r w:rsidR="009C7920" w:rsidRPr="00522B6D">
        <w:rPr>
          <w:color w:val="000000"/>
        </w:rPr>
        <w:t xml:space="preserve">bounty in excess of that to which </w:t>
      </w:r>
      <w:r w:rsidR="00FA4A79" w:rsidRPr="00522B6D">
        <w:rPr>
          <w:color w:val="000000"/>
        </w:rPr>
        <w:t xml:space="preserve">they are </w:t>
      </w:r>
      <w:r w:rsidR="009C7920" w:rsidRPr="00522B6D">
        <w:rPr>
          <w:color w:val="000000"/>
        </w:rPr>
        <w:t xml:space="preserve">entitled.  (See </w:t>
      </w:r>
      <w:bookmarkStart w:id="255" w:name="dabmci_e110df3ec6804789a561cbd2c1e796b4"/>
      <w:r w:rsidR="009C7920" w:rsidRPr="00522B6D">
        <w:rPr>
          <w:i/>
          <w:iCs/>
        </w:rPr>
        <w:t>Collins</w:t>
      </w:r>
      <w:r w:rsidR="009C7920" w:rsidRPr="00CB1AEB">
        <w:rPr>
          <w:i/>
        </w:rPr>
        <w:t>,</w:t>
      </w:r>
      <w:r w:rsidR="009C7920" w:rsidRPr="00522B6D">
        <w:t xml:space="preserve"> </w:t>
      </w:r>
      <w:r w:rsidR="009C7920" w:rsidRPr="00522B6D">
        <w:rPr>
          <w:i/>
          <w:iCs/>
        </w:rPr>
        <w:t>supra</w:t>
      </w:r>
      <w:r w:rsidR="009C7920" w:rsidRPr="00522B6D">
        <w:t xml:space="preserve">, 21 Cal.3d at </w:t>
      </w:r>
      <w:r w:rsidR="009C7920" w:rsidRPr="00522B6D">
        <w:lastRenderedPageBreak/>
        <w:t>p.</w:t>
      </w:r>
      <w:r w:rsidR="00CB1AEB">
        <w:t> </w:t>
      </w:r>
      <w:r w:rsidR="009C7920" w:rsidRPr="00522B6D">
        <w:t>215</w:t>
      </w:r>
      <w:bookmarkEnd w:id="255"/>
      <w:r w:rsidR="009C7920" w:rsidRPr="00522B6D">
        <w:t>.)</w:t>
      </w:r>
      <w:r>
        <w:rPr>
          <w:rStyle w:val="FootnoteReference"/>
        </w:rPr>
        <w:footnoteReference w:id="26"/>
      </w:r>
      <w:r w:rsidR="00E35CC8" w:rsidRPr="00522B6D">
        <w:t xml:space="preserve"> </w:t>
      </w:r>
      <w:r w:rsidR="00CE304E" w:rsidRPr="00522B6D">
        <w:t xml:space="preserve"> </w:t>
      </w:r>
      <w:r w:rsidR="0050115A" w:rsidRPr="00522B6D">
        <w:t xml:space="preserve">In the absence of legislative intent to achieve this </w:t>
      </w:r>
      <w:r w:rsidR="00E004B0" w:rsidRPr="00522B6D">
        <w:t>result</w:t>
      </w:r>
      <w:r w:rsidR="0050115A" w:rsidRPr="00522B6D">
        <w:t xml:space="preserve">, we decline to </w:t>
      </w:r>
      <w:r w:rsidR="00E004B0" w:rsidRPr="00522B6D">
        <w:t>require it.</w:t>
      </w:r>
    </w:p>
    <w:p w14:paraId="71C0D55E" w14:textId="408147AE" w:rsidR="00E12338" w:rsidRPr="00522B6D" w:rsidRDefault="001D5D5D" w:rsidP="008A4FA5">
      <w:pPr>
        <w:keepNext/>
        <w:jc w:val="center"/>
        <w:rPr>
          <w:b/>
          <w:bCs/>
        </w:rPr>
      </w:pPr>
      <w:bookmarkStart w:id="256" w:name="ElPgBr14"/>
      <w:bookmarkEnd w:id="256"/>
      <w:r w:rsidRPr="00522B6D">
        <w:rPr>
          <w:b/>
          <w:bCs/>
        </w:rPr>
        <w:t>G.  Conclus</w:t>
      </w:r>
      <w:r w:rsidRPr="00522B6D">
        <w:rPr>
          <w:b/>
          <w:bCs/>
        </w:rPr>
        <w:t>ion</w:t>
      </w:r>
    </w:p>
    <w:p w14:paraId="26A407E4" w14:textId="4ECF309F" w:rsidR="002D7B0A" w:rsidRDefault="001D5D5D" w:rsidP="005C2FA7">
      <w:pPr>
        <w:rPr>
          <w:b/>
          <w:bCs/>
        </w:rPr>
      </w:pPr>
      <w:r w:rsidRPr="00522B6D">
        <w:tab/>
        <w:t xml:space="preserve">Every day, </w:t>
      </w:r>
      <w:r w:rsidR="00AA6005" w:rsidRPr="00522B6D">
        <w:t xml:space="preserve">California </w:t>
      </w:r>
      <w:r w:rsidRPr="00522B6D">
        <w:t xml:space="preserve">trial courts preside over negotiated </w:t>
      </w:r>
      <w:r w:rsidR="00573DEA" w:rsidRPr="00522B6D">
        <w:t xml:space="preserve">agreements </w:t>
      </w:r>
      <w:r w:rsidRPr="00522B6D">
        <w:t xml:space="preserve">between the prosecution and defense.  As our high court has noted, trial courts have the duty to make sure the sentence agreed upon furthers </w:t>
      </w:r>
      <w:r w:rsidR="00F079BA" w:rsidRPr="00522B6D">
        <w:t>“</w:t>
      </w:r>
      <w:r w:rsidRPr="00522B6D">
        <w:t>the interests of society</w:t>
      </w:r>
      <w:r w:rsidR="00F079BA" w:rsidRPr="00522B6D">
        <w:t>”</w:t>
      </w:r>
      <w:r w:rsidRPr="00522B6D">
        <w:t xml:space="preserve"> in light of “the public’s interest in vigorous prosecution of the accused, imposition of</w:t>
      </w:r>
      <w:r w:rsidRPr="00522B6D">
        <w:t xml:space="preserve"> appropriate punishment, and protection of victims of crimes.”</w:t>
      </w:r>
      <w:r w:rsidR="00CE304E" w:rsidRPr="00522B6D">
        <w:t xml:space="preserve"> </w:t>
      </w:r>
      <w:r w:rsidRPr="00522B6D">
        <w:t xml:space="preserve"> (</w:t>
      </w:r>
      <w:bookmarkStart w:id="257" w:name="dabmci_b48d0b3e25e24988b92896288ff5bf9c"/>
      <w:r w:rsidRPr="00522B6D">
        <w:rPr>
          <w:i/>
          <w:iCs/>
        </w:rPr>
        <w:t>Stamps,</w:t>
      </w:r>
      <w:r w:rsidRPr="00522B6D">
        <w:t xml:space="preserve"> </w:t>
      </w:r>
      <w:r w:rsidRPr="00522B6D">
        <w:rPr>
          <w:i/>
          <w:iCs/>
        </w:rPr>
        <w:t>supra</w:t>
      </w:r>
      <w:r w:rsidRPr="00522B6D">
        <w:t>, 9 Cal.5th at p. 706</w:t>
      </w:r>
      <w:bookmarkEnd w:id="257"/>
      <w:r w:rsidRPr="00522B6D">
        <w:t>.)  In a resentencing required by a</w:t>
      </w:r>
      <w:r w:rsidR="00F079BA" w:rsidRPr="00522B6D">
        <w:t>n ameliorative</w:t>
      </w:r>
      <w:r w:rsidRPr="00522B6D">
        <w:t xml:space="preserve"> change in the law, that responsibility </w:t>
      </w:r>
      <w:r w:rsidR="005D00B7" w:rsidRPr="00522B6D">
        <w:t xml:space="preserve">and the court’s sentencing discretion </w:t>
      </w:r>
      <w:r w:rsidRPr="00522B6D">
        <w:t>is unchanged</w:t>
      </w:r>
      <w:r w:rsidR="00A96B8C" w:rsidRPr="00522B6D">
        <w:t xml:space="preserve"> in the absence of legislative intent</w:t>
      </w:r>
      <w:r w:rsidR="00C50F4D" w:rsidRPr="00522B6D">
        <w:t xml:space="preserve"> </w:t>
      </w:r>
      <w:r w:rsidR="00A96B8C" w:rsidRPr="00522B6D">
        <w:t>indicating the contrary</w:t>
      </w:r>
      <w:r w:rsidRPr="00522B6D">
        <w:t xml:space="preserve">.  </w:t>
      </w:r>
    </w:p>
    <w:p w14:paraId="15BA033F" w14:textId="3B7F887D" w:rsidR="00DF7BE0" w:rsidRPr="00522B6D" w:rsidRDefault="001D5D5D" w:rsidP="008A4FA5">
      <w:pPr>
        <w:keepNext/>
        <w:jc w:val="center"/>
        <w:rPr>
          <w:b/>
          <w:bCs/>
        </w:rPr>
      </w:pPr>
      <w:r w:rsidRPr="00522B6D">
        <w:rPr>
          <w:b/>
          <w:bCs/>
        </w:rPr>
        <w:t>DISPOSITION</w:t>
      </w:r>
    </w:p>
    <w:p w14:paraId="3308D9AE" w14:textId="4182A3DA" w:rsidR="00DF7BE0" w:rsidRDefault="001D5D5D" w:rsidP="002D7B0A">
      <w:r w:rsidRPr="00522B6D">
        <w:rPr>
          <w:b/>
          <w:bCs/>
        </w:rPr>
        <w:tab/>
      </w:r>
      <w:r w:rsidR="006E562F" w:rsidRPr="00CB390D">
        <w:t>The conviction is affirmed and the matter is remanded to the trial court for further proceedings consistent with this opinion</w:t>
      </w:r>
      <w:r w:rsidRPr="00CB390D">
        <w:t>.</w:t>
      </w:r>
    </w:p>
    <w:p w14:paraId="5A9A6A22" w14:textId="70E67EC1" w:rsidR="002D7B0A" w:rsidRDefault="002D7B0A" w:rsidP="00A67FEC">
      <w:pPr>
        <w:spacing w:line="240" w:lineRule="auto"/>
      </w:pPr>
    </w:p>
    <w:p w14:paraId="5599B23D" w14:textId="0457BF61" w:rsidR="002D7B0A" w:rsidRDefault="002D7B0A" w:rsidP="00A67FEC">
      <w:pPr>
        <w:spacing w:line="240" w:lineRule="auto"/>
      </w:pPr>
    </w:p>
    <w:p w14:paraId="0E1C2BA4" w14:textId="0446DE89" w:rsidR="002D7B0A" w:rsidRDefault="001D5D5D" w:rsidP="00A67FEC">
      <w:pPr>
        <w:tabs>
          <w:tab w:val="left" w:pos="5040"/>
          <w:tab w:val="left" w:pos="7920"/>
        </w:tabs>
        <w:spacing w:line="240" w:lineRule="auto"/>
      </w:pPr>
      <w:r>
        <w:tab/>
      </w:r>
      <w:r w:rsidRPr="002D7B0A">
        <w:rPr>
          <w:u w:val="single"/>
        </w:rPr>
        <w:t xml:space="preserve">          </w:t>
      </w:r>
      <w:r w:rsidR="00043549">
        <w:rPr>
          <w:u w:val="single"/>
        </w:rPr>
        <w:t>/s/</w:t>
      </w:r>
      <w:r w:rsidRPr="002D7B0A">
        <w:rPr>
          <w:u w:val="single"/>
        </w:rPr>
        <w:tab/>
      </w:r>
    </w:p>
    <w:p w14:paraId="4C06B0BC" w14:textId="0FF132EE" w:rsidR="002D7B0A" w:rsidRPr="002E26F2" w:rsidRDefault="001D5D5D" w:rsidP="002D7B0A">
      <w:pPr>
        <w:tabs>
          <w:tab w:val="left" w:pos="2160"/>
        </w:tabs>
        <w:spacing w:line="240" w:lineRule="auto"/>
      </w:pPr>
      <w:r>
        <w:tab/>
      </w:r>
      <w:r>
        <w:tab/>
      </w:r>
      <w:r>
        <w:tab/>
      </w:r>
      <w:r>
        <w:tab/>
      </w:r>
      <w:r>
        <w:tab/>
        <w:t>MURRAY, J.</w:t>
      </w:r>
      <w:r>
        <w:rPr>
          <w:rStyle w:val="FootnoteReference"/>
          <w:rFonts w:ascii="Symbol" w:hAnsi="Symbol"/>
          <w:b w:val="0"/>
          <w:bCs/>
        </w:rPr>
        <w:footnoteReference w:customMarkFollows="1" w:id="27"/>
        <w:sym w:font="Symbol" w:char="F02A"/>
      </w:r>
    </w:p>
    <w:p w14:paraId="3D13B56A" w14:textId="38237D59" w:rsidR="002D7B0A" w:rsidRDefault="002D7B0A" w:rsidP="007C1D39">
      <w:pPr>
        <w:tabs>
          <w:tab w:val="left" w:pos="5040"/>
          <w:tab w:val="left" w:pos="7920"/>
        </w:tabs>
        <w:spacing w:line="240" w:lineRule="auto"/>
      </w:pPr>
    </w:p>
    <w:p w14:paraId="25273657" w14:textId="6C5C735B" w:rsidR="002D7B0A" w:rsidRDefault="002D7B0A" w:rsidP="007C1D39">
      <w:pPr>
        <w:tabs>
          <w:tab w:val="left" w:pos="5040"/>
          <w:tab w:val="left" w:pos="7920"/>
        </w:tabs>
        <w:spacing w:line="240" w:lineRule="auto"/>
      </w:pPr>
    </w:p>
    <w:p w14:paraId="31C25C66" w14:textId="4731DDDC" w:rsidR="002D7B0A" w:rsidRDefault="001D5D5D" w:rsidP="007C1D39">
      <w:pPr>
        <w:spacing w:line="240" w:lineRule="auto"/>
      </w:pPr>
      <w:r>
        <w:t>I concur:</w:t>
      </w:r>
    </w:p>
    <w:p w14:paraId="659D852D" w14:textId="670B0189" w:rsidR="002D7B0A" w:rsidRDefault="002D7B0A" w:rsidP="007C1D39">
      <w:pPr>
        <w:spacing w:line="240" w:lineRule="auto"/>
      </w:pPr>
    </w:p>
    <w:p w14:paraId="02031B71" w14:textId="4C4069CF" w:rsidR="002D7B0A" w:rsidRDefault="002D7B0A" w:rsidP="007C1D39">
      <w:pPr>
        <w:spacing w:line="240" w:lineRule="auto"/>
      </w:pPr>
    </w:p>
    <w:p w14:paraId="7C104E3A" w14:textId="276088A5" w:rsidR="002D7B0A" w:rsidRDefault="001D5D5D" w:rsidP="007C1D39">
      <w:pPr>
        <w:tabs>
          <w:tab w:val="left" w:pos="2880"/>
        </w:tabs>
        <w:spacing w:line="240" w:lineRule="auto"/>
      </w:pPr>
      <w:r w:rsidRPr="002D7B0A">
        <w:rPr>
          <w:u w:val="single"/>
        </w:rPr>
        <w:t xml:space="preserve">          </w:t>
      </w:r>
      <w:r w:rsidR="00043549">
        <w:rPr>
          <w:u w:val="single"/>
        </w:rPr>
        <w:t>/s/</w:t>
      </w:r>
      <w:r w:rsidRPr="002D7B0A">
        <w:rPr>
          <w:u w:val="single"/>
        </w:rPr>
        <w:tab/>
      </w:r>
    </w:p>
    <w:p w14:paraId="645C31A6" w14:textId="202B31C4" w:rsidR="00A67FEC" w:rsidRDefault="001D5D5D" w:rsidP="007C1D39">
      <w:pPr>
        <w:tabs>
          <w:tab w:val="left" w:pos="2880"/>
        </w:tabs>
        <w:spacing w:line="240" w:lineRule="auto"/>
      </w:pPr>
      <w:r>
        <w:t>HOCH, J</w:t>
      </w:r>
      <w:r w:rsidR="00CA0D40">
        <w:t>.</w:t>
      </w:r>
    </w:p>
    <w:p w14:paraId="78A2C1C3" w14:textId="7B46E002" w:rsidR="005E7DDF" w:rsidRDefault="001D5D5D" w:rsidP="00A67FEC">
      <w:pPr>
        <w:spacing w:line="240" w:lineRule="auto"/>
        <w:sectPr w:rsidR="005E7DDF" w:rsidSect="002D23D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54"/>
        </w:sectPr>
      </w:pPr>
      <w:r>
        <w:br w:type="page"/>
      </w:r>
    </w:p>
    <w:p w14:paraId="1BC48F25" w14:textId="77777777" w:rsidR="005E7DDF" w:rsidRDefault="001D5D5D" w:rsidP="005E7DDF">
      <w:r>
        <w:lastRenderedPageBreak/>
        <w:t>RAYE, P.J., Dissenting.</w:t>
      </w:r>
    </w:p>
    <w:p w14:paraId="5EB4330A" w14:textId="77777777" w:rsidR="005E7DDF" w:rsidRDefault="005E7DDF" w:rsidP="005E7DDF"/>
    <w:p w14:paraId="4216F41A" w14:textId="77777777" w:rsidR="005E7DDF" w:rsidRPr="004051D4" w:rsidRDefault="001D5D5D" w:rsidP="005E7DDF">
      <w:r>
        <w:tab/>
      </w:r>
      <w:r w:rsidRPr="004051D4">
        <w:t xml:space="preserve">Defendant pleaded no contest to possession of a firearm by a felon and, consistent with his plea agreement, was placed on five </w:t>
      </w:r>
      <w:r w:rsidRPr="004051D4">
        <w:t>years of supervised probation.  Following his plea and while his appeal was pending the Legislature in its wisdom amended Penal Code section 1203.1 to change the maximum length of probation for felony cases to two years.  (</w:t>
      </w:r>
      <w:r>
        <w:t xml:space="preserve">Pen. Code, </w:t>
      </w:r>
      <w:r w:rsidRPr="004051D4">
        <w:t xml:space="preserve">§ 1203.1, subd. (a).) </w:t>
      </w:r>
      <w:r w:rsidRPr="004051D4">
        <w:t xml:space="preserve"> No one disputes that the amendment applies to defendant.  The People, however, view the plea agreement as sacrosanct and urge that we remand and provide the prosecution the opportunity to void the agreement.  I respectfully dissent. </w:t>
      </w:r>
    </w:p>
    <w:p w14:paraId="059F71C0" w14:textId="77777777" w:rsidR="005E7DDF" w:rsidRPr="00B97178" w:rsidRDefault="001D5D5D" w:rsidP="005E7DDF">
      <w:pPr>
        <w:rPr>
          <w:sz w:val="28"/>
          <w:szCs w:val="24"/>
        </w:rPr>
      </w:pPr>
      <w:r>
        <w:tab/>
      </w:r>
      <w:r w:rsidRPr="004051D4">
        <w:t>According to the maj</w:t>
      </w:r>
      <w:r w:rsidRPr="004051D4">
        <w:t xml:space="preserve">ority, the </w:t>
      </w:r>
      <w:bookmarkStart w:id="258" w:name="_Hlk92268013"/>
      <w:r w:rsidRPr="004051D4">
        <w:t>trial court cannot unilaterally modify a plea agreement by dismissing portions of the agreed sentence</w:t>
      </w:r>
      <w:bookmarkEnd w:id="258"/>
      <w:r w:rsidRPr="004051D4">
        <w:t xml:space="preserve">; a modification requires the consent of both parties. </w:t>
      </w:r>
      <w:bookmarkStart w:id="259" w:name="_Hlk92269609"/>
      <w:r>
        <w:t xml:space="preserve"> </w:t>
      </w:r>
      <w:r w:rsidRPr="004051D4">
        <w:t>This “</w:t>
      </w:r>
      <w:r>
        <w:t> ‘</w:t>
      </w:r>
      <w:r w:rsidRPr="004051D4">
        <w:t>long-standing law</w:t>
      </w:r>
      <w:r>
        <w:t>’</w:t>
      </w:r>
      <w:r w:rsidRPr="004051D4">
        <w:t xml:space="preserve"> could not be circumvented absent legislative intent to do so.</w:t>
      </w:r>
      <w:bookmarkEnd w:id="259"/>
      <w:r w:rsidRPr="004051D4">
        <w:t>”</w:t>
      </w:r>
      <w:r>
        <w:t xml:space="preserve">  (Maj. Opn</w:t>
      </w:r>
      <w:r w:rsidRPr="00B97178">
        <w:rPr>
          <w:i/>
          <w:iCs/>
        </w:rPr>
        <w:t>, ante</w:t>
      </w:r>
      <w:r>
        <w:t>, at p. 9.)</w:t>
      </w:r>
    </w:p>
    <w:p w14:paraId="50DB803B" w14:textId="77777777" w:rsidR="005E7DDF" w:rsidRPr="004051D4" w:rsidRDefault="001D5D5D" w:rsidP="005E7DDF">
      <w:r>
        <w:tab/>
      </w:r>
      <w:r w:rsidRPr="004051D4">
        <w:t>The majority is correct in its statement of principle.  It falters in its application.  As the majority correctly understands, “the general rule in California is that the plea agreement will be ‘</w:t>
      </w:r>
      <w:r>
        <w:t> </w:t>
      </w:r>
      <w:r w:rsidRPr="004051D4">
        <w:t>“deemed to incorporate and co</w:t>
      </w:r>
      <w:r w:rsidRPr="004051D4">
        <w:t>ntemplate not only the existing law but the reserve power of the state to amend the law or enact additional laws for the public good and in pursuance of public policy</w:t>
      </w:r>
      <w:r>
        <w:t>. . . .</w:t>
      </w:r>
      <w:r w:rsidRPr="004051D4">
        <w:t>”</w:t>
      </w:r>
      <w:r>
        <w:t> </w:t>
      </w:r>
      <w:r w:rsidRPr="004051D4">
        <w:t>’</w:t>
      </w:r>
      <w:r>
        <w:t xml:space="preserve"> </w:t>
      </w:r>
      <w:r w:rsidRPr="004051D4">
        <w:t xml:space="preserve"> [Citation.]</w:t>
      </w:r>
      <w:r>
        <w:t xml:space="preserve"> </w:t>
      </w:r>
      <w:r w:rsidRPr="004051D4">
        <w:t xml:space="preserve"> That the parties enter into a plea agreement thus does not have t</w:t>
      </w:r>
      <w:r w:rsidRPr="004051D4">
        <w:t>he effect of insulating them from changes in the law that the Legislature has intended to apply to them.”  (</w:t>
      </w:r>
      <w:r w:rsidRPr="00B97178">
        <w:rPr>
          <w:i/>
          <w:iCs/>
        </w:rPr>
        <w:t>Doe v. Harris</w:t>
      </w:r>
      <w:r>
        <w:t xml:space="preserve"> (2013)</w:t>
      </w:r>
      <w:r w:rsidRPr="004051D4">
        <w:t xml:space="preserve"> 57</w:t>
      </w:r>
      <w:r>
        <w:t> </w:t>
      </w:r>
      <w:r w:rsidRPr="004051D4">
        <w:t xml:space="preserve">Cal.4th 64, 66.) </w:t>
      </w:r>
    </w:p>
    <w:p w14:paraId="0FD33B17" w14:textId="77777777" w:rsidR="005E7DDF" w:rsidRPr="004051D4" w:rsidRDefault="001D5D5D" w:rsidP="005E7DDF">
      <w:r>
        <w:tab/>
      </w:r>
      <w:r w:rsidRPr="004051D4">
        <w:t>The question is thus not one of legislative authority but legislative intent.  If the Legislature intende</w:t>
      </w:r>
      <w:r w:rsidRPr="004051D4">
        <w:t xml:space="preserve">d the amended law to modify plea agreements, the modification will be given effect, no matter how noble and praiseworthy a particular plea agreement might seem to some.   </w:t>
      </w:r>
    </w:p>
    <w:p w14:paraId="358EAB29" w14:textId="77777777" w:rsidR="005E7DDF" w:rsidRPr="004051D4" w:rsidRDefault="001D5D5D" w:rsidP="005E7DDF">
      <w:r>
        <w:lastRenderedPageBreak/>
        <w:tab/>
      </w:r>
      <w:r w:rsidRPr="004051D4">
        <w:t xml:space="preserve">In reaching its conclusion, the majority relies greatly on </w:t>
      </w:r>
      <w:r w:rsidRPr="00B97178">
        <w:rPr>
          <w:i/>
          <w:iCs/>
        </w:rPr>
        <w:t>People v. Stamps</w:t>
      </w:r>
      <w:r w:rsidRPr="004051D4">
        <w:t xml:space="preserve"> (2020) </w:t>
      </w:r>
      <w:r w:rsidRPr="004051D4">
        <w:t>9</w:t>
      </w:r>
      <w:r>
        <w:t> </w:t>
      </w:r>
      <w:r w:rsidRPr="004051D4">
        <w:t xml:space="preserve">Cal.5th 685, 706.  The </w:t>
      </w:r>
      <w:r w:rsidRPr="004051D4">
        <w:rPr>
          <w:i/>
          <w:iCs/>
        </w:rPr>
        <w:t>Stamps</w:t>
      </w:r>
      <w:r w:rsidRPr="004051D4">
        <w:t xml:space="preserve"> court explained that Proposition 47, “specifically applied to a person ‘serving a sentence for a conviction, </w:t>
      </w:r>
      <w:r w:rsidRPr="004051D4">
        <w:rPr>
          <w:i/>
          <w:iCs/>
        </w:rPr>
        <w:t>whether by trial or plea</w:t>
      </w:r>
      <w:r w:rsidRPr="004051D4">
        <w:t>,</w:t>
      </w:r>
      <w:r>
        <w:t>’ ”</w:t>
      </w:r>
      <w:r w:rsidRPr="004051D4">
        <w:t xml:space="preserve"> and </w:t>
      </w:r>
      <w:r>
        <w:t>“ </w:t>
      </w:r>
      <w:r w:rsidRPr="004051D4">
        <w:t xml:space="preserve">‘[b]y expressly mentioning convictions by plea, Proposition 47 </w:t>
      </w:r>
      <w:r w:rsidRPr="004051D4">
        <w:t>contemplated relief to all eligible defendants.’</w:t>
      </w:r>
      <w:r>
        <w:t> ”</w:t>
      </w:r>
      <w:r w:rsidRPr="004051D4">
        <w:t xml:space="preserve">  </w:t>
      </w:r>
      <w:r>
        <w:t>(</w:t>
      </w:r>
      <w:r w:rsidRPr="00B97178">
        <w:rPr>
          <w:i/>
          <w:iCs/>
        </w:rPr>
        <w:t>Stamps, supra</w:t>
      </w:r>
      <w:r>
        <w:t xml:space="preserve">, at p. 703, italics added.)  </w:t>
      </w:r>
      <w:r w:rsidRPr="004051D4">
        <w:t xml:space="preserve">Thus, legislative intent was clearly articulated with respect to Proposition 47.  However, nowhere in </w:t>
      </w:r>
      <w:r w:rsidRPr="00B97178">
        <w:rPr>
          <w:i/>
          <w:iCs/>
        </w:rPr>
        <w:t>Stamps</w:t>
      </w:r>
      <w:r w:rsidRPr="004051D4">
        <w:t xml:space="preserve"> or in any of the other cases cited by the majority </w:t>
      </w:r>
      <w:r w:rsidRPr="004051D4">
        <w:t>does the Supreme Court articulate a view that an express declaration of intent is a sine qua non for a finding the Legislature intended a legislative amendment to apply to a conviction based on a plea.  We know all too well from past experience that the Le</w:t>
      </w:r>
      <w:r w:rsidRPr="004051D4">
        <w:t xml:space="preserve">gislature does not always speak with such clarity.  </w:t>
      </w:r>
    </w:p>
    <w:p w14:paraId="3D491A83" w14:textId="77777777" w:rsidR="005E7DDF" w:rsidRPr="004051D4" w:rsidRDefault="001D5D5D" w:rsidP="005E7DDF">
      <w:r>
        <w:tab/>
      </w:r>
      <w:r w:rsidRPr="004051D4">
        <w:t xml:space="preserve">According to the majority a court lacks “discretion” to modify a plea agreement unless the parties agree to the modification.  But the issue here is not purely one of judicial discretion.  The power at </w:t>
      </w:r>
      <w:r w:rsidRPr="004051D4">
        <w:t>issue is not the unilateral power of a court to modify a plea agreement but the power of a court to determine that the agreement has been superseded by the Legislature’s intent as expressed in a particular legislative enactment.  We may disagree with a cou</w:t>
      </w:r>
      <w:r w:rsidRPr="004051D4">
        <w:t>rt’s determination of legislative intent but we must recognize what is involved</w:t>
      </w:r>
      <w:r>
        <w:t>—</w:t>
      </w:r>
      <w:r w:rsidRPr="004051D4">
        <w:t xml:space="preserve">not a purely discretionary act but a finding of legislative intent anchored in the language of the statute and its policy underpinnings. </w:t>
      </w:r>
    </w:p>
    <w:p w14:paraId="388AEC88" w14:textId="77777777" w:rsidR="005E7DDF" w:rsidRPr="004051D4" w:rsidRDefault="001D5D5D" w:rsidP="005E7DDF">
      <w:r>
        <w:tab/>
      </w:r>
      <w:r w:rsidRPr="004051D4">
        <w:t xml:space="preserve">Given the general rule in </w:t>
      </w:r>
      <w:r w:rsidRPr="004051D4">
        <w:t>California that the plea agreement will be “</w:t>
      </w:r>
      <w:r>
        <w:t> ‘ “</w:t>
      </w:r>
      <w:r w:rsidRPr="004051D4">
        <w:t>deemed to incorporate and contemplate not only the existing law but the reserve power of the state to amend the law or enact additional laws for the public good and in pursuance of public policy”</w:t>
      </w:r>
      <w:r>
        <w:t> ’ ” (</w:t>
      </w:r>
      <w:r w:rsidRPr="00B97178">
        <w:rPr>
          <w:i/>
          <w:iCs/>
        </w:rPr>
        <w:t>Doe</w:t>
      </w:r>
      <w:r>
        <w:rPr>
          <w:i/>
          <w:iCs/>
        </w:rPr>
        <w:t xml:space="preserve"> v. </w:t>
      </w:r>
      <w:r>
        <w:rPr>
          <w:i/>
          <w:iCs/>
        </w:rPr>
        <w:t>Harris</w:t>
      </w:r>
      <w:r w:rsidRPr="00B97178">
        <w:rPr>
          <w:i/>
          <w:iCs/>
        </w:rPr>
        <w:t>, supra</w:t>
      </w:r>
      <w:r>
        <w:t>, 57 Cal.4th at p. 66)</w:t>
      </w:r>
      <w:r w:rsidRPr="004051D4">
        <w:t xml:space="preserve"> it would seem that the amendment here should presumptively apply to all </w:t>
      </w:r>
      <w:r>
        <w:t>sentences</w:t>
      </w:r>
      <w:r w:rsidRPr="004051D4">
        <w:t>, whether the product of a litigated outcome or a plea agreement.  The majority supposes that the default rule is that any change in the la</w:t>
      </w:r>
      <w:r w:rsidRPr="004051D4">
        <w:t xml:space="preserve">w that alters a provision in a plea agreement renders the agreement subject to renunciation by a party to the agreement.  To the contrary, the legislative change applies to the agreement unless it is manifestly at odds with legislative intent.  </w:t>
      </w:r>
    </w:p>
    <w:p w14:paraId="44A0E82F" w14:textId="77777777" w:rsidR="005E7DDF" w:rsidRPr="004051D4" w:rsidRDefault="001D5D5D" w:rsidP="005E7DDF">
      <w:r>
        <w:lastRenderedPageBreak/>
        <w:tab/>
      </w:r>
      <w:r w:rsidRPr="004051D4">
        <w:t>A legisla</w:t>
      </w:r>
      <w:r w:rsidRPr="004051D4">
        <w:t>tive change that effectively renders a plea agreement illusory, destroying a reasonable bargain reached by the negotiating parties, might compel abrogation of the agreement.  We could reasonably find the Legislature did not intend such a drastic result.  H</w:t>
      </w:r>
      <w:r w:rsidRPr="004051D4">
        <w:t>owever, the change here</w:t>
      </w:r>
      <w:r>
        <w:t>—</w:t>
      </w:r>
      <w:r w:rsidRPr="004051D4">
        <w:t>modifying the duration of probation</w:t>
      </w:r>
      <w:r>
        <w:t>—</w:t>
      </w:r>
      <w:r w:rsidRPr="004051D4">
        <w:t>is not of that type.  The Legislature could reasonably conclude the system-wide benefits of such a change should apply to all sentences though the People partially lose the benefit of their bargai</w:t>
      </w:r>
      <w:r w:rsidRPr="004051D4">
        <w:t>n.</w:t>
      </w:r>
    </w:p>
    <w:p w14:paraId="6BF8378D" w14:textId="77777777" w:rsidR="005E7DDF" w:rsidRPr="004051D4" w:rsidRDefault="001D5D5D" w:rsidP="005E7DDF">
      <w:r>
        <w:tab/>
      </w:r>
      <w:r w:rsidRPr="004051D4">
        <w:t xml:space="preserve">Accordingly, I dissent. </w:t>
      </w:r>
    </w:p>
    <w:p w14:paraId="2C780C51" w14:textId="77777777" w:rsidR="005E7DDF" w:rsidRDefault="005E7DDF" w:rsidP="005E7DDF">
      <w:pPr>
        <w:spacing w:line="240" w:lineRule="auto"/>
      </w:pPr>
    </w:p>
    <w:p w14:paraId="147D4F14" w14:textId="77777777" w:rsidR="005E7DDF" w:rsidRDefault="005E7DDF" w:rsidP="005E7DDF">
      <w:pPr>
        <w:spacing w:line="240" w:lineRule="auto"/>
      </w:pPr>
    </w:p>
    <w:p w14:paraId="264F68F7" w14:textId="77777777" w:rsidR="005E7DDF" w:rsidRDefault="005E7DDF" w:rsidP="005E7DDF">
      <w:pPr>
        <w:spacing w:line="240" w:lineRule="auto"/>
      </w:pPr>
    </w:p>
    <w:p w14:paraId="4F7A9622" w14:textId="4A426F6A" w:rsidR="005E7DDF" w:rsidRDefault="001D5D5D" w:rsidP="005E7DDF">
      <w:pPr>
        <w:tabs>
          <w:tab w:val="left" w:pos="5040"/>
          <w:tab w:val="left" w:pos="7920"/>
        </w:tabs>
        <w:spacing w:line="240" w:lineRule="auto"/>
      </w:pPr>
      <w:r>
        <w:tab/>
      </w:r>
      <w:r w:rsidRPr="00F12FC5">
        <w:rPr>
          <w:u w:val="single"/>
        </w:rPr>
        <w:t xml:space="preserve">          </w:t>
      </w:r>
      <w:r w:rsidR="00043549">
        <w:rPr>
          <w:u w:val="single"/>
        </w:rPr>
        <w:t>/s/</w:t>
      </w:r>
      <w:r w:rsidRPr="00F12FC5">
        <w:rPr>
          <w:u w:val="single"/>
        </w:rPr>
        <w:tab/>
      </w:r>
    </w:p>
    <w:p w14:paraId="2CDE7E5B" w14:textId="77777777" w:rsidR="005E7DDF" w:rsidRPr="00623E7A" w:rsidRDefault="001D5D5D" w:rsidP="005E7DDF">
      <w:pPr>
        <w:tabs>
          <w:tab w:val="left" w:pos="5040"/>
          <w:tab w:val="left" w:pos="7920"/>
        </w:tabs>
        <w:spacing w:line="240" w:lineRule="auto"/>
        <w:rPr>
          <w:u w:val="single"/>
        </w:rPr>
      </w:pPr>
      <w:r>
        <w:tab/>
        <w:t>RAYE, P. J.</w:t>
      </w:r>
    </w:p>
    <w:p w14:paraId="72F9ED6D" w14:textId="6143547F" w:rsidR="00A67FEC" w:rsidRDefault="00A67FEC" w:rsidP="00A67FEC">
      <w:pPr>
        <w:spacing w:line="240" w:lineRule="auto"/>
      </w:pPr>
    </w:p>
    <w:p w14:paraId="6F0D6B38" w14:textId="70D73070" w:rsidR="002D23D7" w:rsidRDefault="002D23D7" w:rsidP="002D23D7">
      <w:pPr>
        <w:spacing w:line="240" w:lineRule="auto"/>
      </w:pPr>
    </w:p>
    <w:sectPr w:rsidR="002D23D7" w:rsidSect="002D23D7">
      <w:footerReference w:type="default" r:id="rId14"/>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5335" w14:textId="77777777" w:rsidR="00000000" w:rsidRDefault="001D5D5D">
      <w:pPr>
        <w:spacing w:line="240" w:lineRule="auto"/>
      </w:pPr>
      <w:r>
        <w:separator/>
      </w:r>
    </w:p>
  </w:endnote>
  <w:endnote w:type="continuationSeparator" w:id="0">
    <w:p w14:paraId="6F200F8B" w14:textId="77777777" w:rsidR="00000000" w:rsidRDefault="001D5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2471" w14:textId="77777777" w:rsidR="00FD389F" w:rsidRDefault="00FD3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E701" w14:textId="02AAB133" w:rsidR="009A6C0B" w:rsidRPr="002D23D7" w:rsidRDefault="001D5D5D" w:rsidP="002D23D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E287" w14:textId="77777777" w:rsidR="00FD389F" w:rsidRDefault="00FD38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2107" w14:textId="77777777" w:rsidR="009A6C0B" w:rsidRDefault="001D5D5D">
    <w:pPr>
      <w:pStyle w:val="Footer"/>
      <w:jc w:val="center"/>
    </w:pPr>
    <w:r>
      <w:rPr>
        <w:rStyle w:val="PageNumber"/>
      </w:rPr>
      <w:fldChar w:fldCharType="begin"/>
    </w:r>
    <w:r w:rsidR="00874BEA">
      <w:rPr>
        <w:rStyle w:val="PageNumber"/>
      </w:rPr>
      <w:instrText xml:space="preserve"> PAGE </w:instrText>
    </w:r>
    <w:r>
      <w:rPr>
        <w:rStyle w:val="PageNumber"/>
      </w:rPr>
      <w:fldChar w:fldCharType="separate"/>
    </w:r>
    <w:r w:rsidR="00D635F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5E17" w14:textId="77777777" w:rsidR="006A48B8" w:rsidRDefault="001D5D5D">
      <w:r>
        <w:separator/>
      </w:r>
    </w:p>
  </w:footnote>
  <w:footnote w:type="continuationSeparator" w:id="0">
    <w:p w14:paraId="2DC85533" w14:textId="77777777" w:rsidR="006A48B8" w:rsidRDefault="001D5D5D">
      <w:r>
        <w:continuationSeparator/>
      </w:r>
    </w:p>
  </w:footnote>
  <w:footnote w:type="continuationNotice" w:id="1">
    <w:p w14:paraId="75E35814" w14:textId="77777777" w:rsidR="006A48B8" w:rsidRDefault="006A48B8">
      <w:pPr>
        <w:spacing w:line="240" w:lineRule="auto"/>
      </w:pPr>
    </w:p>
  </w:footnote>
  <w:footnote w:id="2">
    <w:p w14:paraId="45032F4E" w14:textId="003341FA" w:rsidR="002D23D7" w:rsidRDefault="001D5D5D">
      <w:pPr>
        <w:pStyle w:val="FootnoteText"/>
      </w:pPr>
      <w:r>
        <w:rPr>
          <w:rStyle w:val="FootnoteReference"/>
        </w:rPr>
        <w:t>*</w:t>
      </w:r>
      <w:r>
        <w:t xml:space="preserve">  Pursuant to California Rules of Court, rules 8.1105 and 8.1110, this opinion is certified for publication with the exception of Part I of the Discussion.</w:t>
      </w:r>
    </w:p>
  </w:footnote>
  <w:footnote w:id="3">
    <w:p w14:paraId="40E165F9" w14:textId="77777777" w:rsidR="00313427" w:rsidRPr="00522B6D" w:rsidRDefault="001D5D5D" w:rsidP="000208C9">
      <w:pPr>
        <w:pStyle w:val="FootnoteText"/>
      </w:pPr>
      <w:r w:rsidRPr="00522B6D">
        <w:rPr>
          <w:rStyle w:val="FootnoteReference"/>
        </w:rPr>
        <w:footnoteRef/>
      </w:r>
      <w:r w:rsidRPr="00522B6D">
        <w:t xml:space="preserve">  Undesignated statutory references are to the Penal Code.</w:t>
      </w:r>
    </w:p>
  </w:footnote>
  <w:footnote w:id="4">
    <w:p w14:paraId="6306A3B6" w14:textId="12D90FF6" w:rsidR="00313427" w:rsidRPr="00522B6D" w:rsidRDefault="001D5D5D" w:rsidP="00BD1978">
      <w:pPr>
        <w:pStyle w:val="FootnoteText"/>
      </w:pPr>
      <w:r w:rsidRPr="009F07ED">
        <w:rPr>
          <w:rStyle w:val="FootnoteReference"/>
        </w:rPr>
        <w:footnoteRef/>
      </w:r>
      <w:r w:rsidRPr="00522B6D">
        <w:t xml:space="preserve">  These issues need not be addressed by appellate litigation if the Legislature expressly states whether the sentencing reforms it enacts are to be given retroactive application on appeal or not, </w:t>
      </w:r>
      <w:r w:rsidRPr="00522B6D">
        <w:t xml:space="preserve">and if so, whether retroactive application applies to negotiated sentences or not.  We echo the majority in </w:t>
      </w:r>
      <w:bookmarkStart w:id="7" w:name="dabmci_b933a95c6ac442648ec6524c14a866c0"/>
      <w:r w:rsidRPr="00522B6D">
        <w:rPr>
          <w:i/>
          <w:iCs/>
        </w:rPr>
        <w:t>People v. Griffin</w:t>
      </w:r>
      <w:r w:rsidRPr="00522B6D">
        <w:t xml:space="preserve"> (2020) 57 Cal.App.5th 1088 (</w:t>
      </w:r>
      <w:r w:rsidRPr="00522B6D">
        <w:rPr>
          <w:i/>
          <w:iCs/>
        </w:rPr>
        <w:t>Griffin</w:t>
      </w:r>
      <w:r w:rsidRPr="00522B6D">
        <w:t>)</w:t>
      </w:r>
      <w:bookmarkEnd w:id="7"/>
      <w:r w:rsidRPr="00522B6D">
        <w:t>,</w:t>
      </w:r>
      <w:r w:rsidR="000B6CC2" w:rsidRPr="00522B6D">
        <w:t xml:space="preserve"> </w:t>
      </w:r>
      <w:r w:rsidR="000B6CC2" w:rsidRPr="00522B6D">
        <w:rPr>
          <w:color w:val="000000"/>
        </w:rPr>
        <w:t>review granted February 17, 2021, S266521,</w:t>
      </w:r>
      <w:r w:rsidRPr="00522B6D">
        <w:t xml:space="preserve"> and “urge the Legislature to clarify its intent o</w:t>
      </w:r>
      <w:r w:rsidRPr="00522B6D">
        <w:t>n how its differing sentencing reform measures should be applied.”  (</w:t>
      </w:r>
      <w:bookmarkStart w:id="8" w:name="dabmci_e4a759294dc449f5bded175d5edb5089"/>
      <w:r w:rsidRPr="00522B6D">
        <w:rPr>
          <w:i/>
          <w:iCs/>
        </w:rPr>
        <w:t>Id</w:t>
      </w:r>
      <w:r w:rsidRPr="00522B6D">
        <w:t>. at p. 1099, fn. 7</w:t>
      </w:r>
      <w:bookmarkEnd w:id="8"/>
      <w:r w:rsidRPr="00522B6D">
        <w:t xml:space="preserve">.) </w:t>
      </w:r>
    </w:p>
  </w:footnote>
  <w:footnote w:id="5">
    <w:p w14:paraId="0825A7C1" w14:textId="369C66AB" w:rsidR="00313427" w:rsidRPr="00522B6D" w:rsidRDefault="001D5D5D">
      <w:pPr>
        <w:pStyle w:val="FootnoteText"/>
      </w:pPr>
      <w:r w:rsidRPr="00522B6D">
        <w:rPr>
          <w:rStyle w:val="FootnoteReference"/>
        </w:rPr>
        <w:footnoteRef/>
      </w:r>
      <w:r w:rsidRPr="00522B6D">
        <w:t xml:space="preserve">  The search warrant was based on information from a confidential informant who reported defendant was selling methamphetamine and firearms, buttressed by </w:t>
      </w:r>
      <w:r w:rsidR="00CF29C3">
        <w:t>the following:  L</w:t>
      </w:r>
      <w:r w:rsidRPr="00522B6D">
        <w:t>aw enforcement surveillance of defendant’s home during which a known drug trafficker visited</w:t>
      </w:r>
      <w:r w:rsidR="00CF29C3">
        <w:t>;</w:t>
      </w:r>
      <w:r w:rsidRPr="00522B6D">
        <w:t xml:space="preserve"> a text message where defendant offered to sell another person heroin</w:t>
      </w:r>
      <w:r w:rsidR="00CF29C3">
        <w:t>;</w:t>
      </w:r>
      <w:r w:rsidRPr="00522B6D">
        <w:t xml:space="preserve"> defendant’s recent arrest for possession of 8.16 grams of heroin (81 doses)</w:t>
      </w:r>
      <w:r w:rsidR="00CF29C3">
        <w:t>;</w:t>
      </w:r>
      <w:r w:rsidRPr="00522B6D">
        <w:t xml:space="preserve"> and </w:t>
      </w:r>
      <w:r w:rsidRPr="00522B6D">
        <w:t>the law enforcement experience of the affiant leading him to believe, based on the totality of the circumstances, that defendant was selling drugs out of his home.</w:t>
      </w:r>
    </w:p>
  </w:footnote>
  <w:footnote w:id="6">
    <w:p w14:paraId="5CB70E14" w14:textId="3E28D7EA" w:rsidR="00313427" w:rsidRPr="00522B6D" w:rsidRDefault="001D5D5D">
      <w:pPr>
        <w:pStyle w:val="FootnoteText"/>
      </w:pPr>
      <w:r w:rsidRPr="00522B6D">
        <w:rPr>
          <w:rStyle w:val="FootnoteReference"/>
        </w:rPr>
        <w:footnoteRef/>
      </w:r>
      <w:r w:rsidRPr="00522B6D">
        <w:t xml:space="preserve">  The complaint alleged the following felonies:  Felon in possession of a firearm (§</w:t>
      </w:r>
      <w:r w:rsidR="009F07ED">
        <w:t> </w:t>
      </w:r>
      <w:r w:rsidRPr="00522B6D">
        <w:t>29800,</w:t>
      </w:r>
      <w:r w:rsidRPr="00522B6D">
        <w:t xml:space="preserve"> subd. (a)(1), count </w:t>
      </w:r>
      <w:r w:rsidR="00523415" w:rsidRPr="00522B6D">
        <w:t>one</w:t>
      </w:r>
      <w:r w:rsidRPr="00522B6D">
        <w:t xml:space="preserve">); felon in possession of ammunition (§ 30305, subd. (a)(1), count </w:t>
      </w:r>
      <w:r w:rsidR="00523415" w:rsidRPr="00522B6D">
        <w:t>two</w:t>
      </w:r>
      <w:r w:rsidRPr="00522B6D">
        <w:t xml:space="preserve">); possession of destructive devices (§ 18715, subd. (a)(1), counts </w:t>
      </w:r>
      <w:r w:rsidR="00523415" w:rsidRPr="00522B6D">
        <w:t>three</w:t>
      </w:r>
      <w:r w:rsidRPr="00522B6D">
        <w:t xml:space="preserve"> </w:t>
      </w:r>
      <w:r w:rsidR="00523415" w:rsidRPr="00522B6D">
        <w:t>&amp; four</w:t>
      </w:r>
      <w:r w:rsidRPr="00522B6D">
        <w:t xml:space="preserve">); possession of a forged identification document (§ 470b, count </w:t>
      </w:r>
      <w:r w:rsidR="00523415" w:rsidRPr="00522B6D">
        <w:t>five</w:t>
      </w:r>
      <w:r w:rsidRPr="00522B6D">
        <w:t>); and posses</w:t>
      </w:r>
      <w:r w:rsidRPr="00522B6D">
        <w:t xml:space="preserve">sion of heroin for sale (Health &amp; Saf. Code, § 11351, count </w:t>
      </w:r>
      <w:r w:rsidR="00523415" w:rsidRPr="00522B6D">
        <w:t>six</w:t>
      </w:r>
      <w:r w:rsidRPr="00522B6D">
        <w:t>).  The complaint further alleged the following misdemeanors:  Receipt of stolen property (§ 496</w:t>
      </w:r>
      <w:r w:rsidR="002407A5" w:rsidRPr="00522B6D">
        <w:t>, subd. (a)</w:t>
      </w:r>
      <w:r w:rsidRPr="00522B6D">
        <w:t xml:space="preserve">, count </w:t>
      </w:r>
      <w:r w:rsidR="00523415" w:rsidRPr="00522B6D">
        <w:t>seven</w:t>
      </w:r>
      <w:r w:rsidRPr="00522B6D">
        <w:t>); mail theft (§ 530.5, subd. (</w:t>
      </w:r>
      <w:r w:rsidR="002407A5" w:rsidRPr="00522B6D">
        <w:t>e</w:t>
      </w:r>
      <w:r w:rsidRPr="00522B6D">
        <w:t xml:space="preserve">), count </w:t>
      </w:r>
      <w:r w:rsidR="00523415" w:rsidRPr="00522B6D">
        <w:t>eight</w:t>
      </w:r>
      <w:r w:rsidRPr="00522B6D">
        <w:t>); and shoplifting (§ 459.5</w:t>
      </w:r>
      <w:r w:rsidRPr="00522B6D">
        <w:t xml:space="preserve">, subd. (a), count </w:t>
      </w:r>
      <w:r w:rsidR="00523415" w:rsidRPr="00522B6D">
        <w:t>nine</w:t>
      </w:r>
      <w:r w:rsidRPr="00522B6D">
        <w:t xml:space="preserve">).  And it was alleged defendant sustained a prior strike conviction and that defendant was ineligible for local imprisonment pursuant to section 1170, subdivision (h)(3) based on a prior serious felony conviction.  </w:t>
      </w:r>
    </w:p>
  </w:footnote>
  <w:footnote w:id="7">
    <w:p w14:paraId="70F9A1C4" w14:textId="077AD9B0" w:rsidR="00313427" w:rsidRPr="00522B6D" w:rsidRDefault="001D5D5D">
      <w:pPr>
        <w:pStyle w:val="FootnoteText"/>
      </w:pPr>
      <w:r w:rsidRPr="00522B6D">
        <w:rPr>
          <w:rStyle w:val="FootnoteReference"/>
        </w:rPr>
        <w:footnoteRef/>
      </w:r>
      <w:r w:rsidRPr="00522B6D">
        <w:t xml:space="preserve">  The section 1538.5 matter was submitted on the warrant, warrant affidavit, police reports associated with the search warrant </w:t>
      </w:r>
      <w:r w:rsidR="004F7593" w:rsidRPr="00522B6D">
        <w:t>that</w:t>
      </w:r>
      <w:r w:rsidRPr="00522B6D">
        <w:t xml:space="preserve"> were attached to defendant’s motion, defendant’s written motion, the prosecution’s written opposition</w:t>
      </w:r>
      <w:r w:rsidR="005B1C20" w:rsidRPr="00522B6D">
        <w:t>,</w:t>
      </w:r>
      <w:r w:rsidRPr="00522B6D">
        <w:t xml:space="preserve"> and the oral argument</w:t>
      </w:r>
      <w:r w:rsidRPr="00522B6D">
        <w:t>s of counsel.</w:t>
      </w:r>
    </w:p>
  </w:footnote>
  <w:footnote w:id="8">
    <w:p w14:paraId="1A042FE8" w14:textId="43832248" w:rsidR="00313427" w:rsidRPr="00522B6D" w:rsidRDefault="001D5D5D">
      <w:pPr>
        <w:pStyle w:val="FootnoteText"/>
      </w:pPr>
      <w:r w:rsidRPr="00522B6D">
        <w:rPr>
          <w:rStyle w:val="FootnoteReference"/>
        </w:rPr>
        <w:footnoteRef/>
      </w:r>
      <w:r w:rsidRPr="00522B6D">
        <w:t xml:space="preserve">  </w:t>
      </w:r>
      <w:bookmarkStart w:id="13" w:name="dabmci_3b43fac394a84e53b3ecd7fa6a84036c"/>
      <w:r w:rsidRPr="00522B6D">
        <w:rPr>
          <w:i/>
          <w:iCs/>
        </w:rPr>
        <w:t xml:space="preserve">People v. Superior Court </w:t>
      </w:r>
      <w:r w:rsidRPr="009F07ED">
        <w:rPr>
          <w:i/>
        </w:rPr>
        <w:t>(</w:t>
      </w:r>
      <w:r w:rsidRPr="00522B6D">
        <w:rPr>
          <w:i/>
          <w:iCs/>
        </w:rPr>
        <w:t>Romero</w:t>
      </w:r>
      <w:r w:rsidRPr="009F07ED">
        <w:rPr>
          <w:i/>
        </w:rPr>
        <w:t>)</w:t>
      </w:r>
      <w:r w:rsidRPr="00522B6D">
        <w:t xml:space="preserve"> (1996) 13 Cal.4th 497</w:t>
      </w:r>
      <w:bookmarkEnd w:id="13"/>
      <w:r w:rsidRPr="00522B6D">
        <w:t>.</w:t>
      </w:r>
    </w:p>
  </w:footnote>
  <w:footnote w:id="9">
    <w:p w14:paraId="5C3AC60E" w14:textId="395D48F1" w:rsidR="00313427" w:rsidRPr="00522B6D" w:rsidRDefault="001D5D5D" w:rsidP="00A66852">
      <w:pPr>
        <w:pStyle w:val="FootnoteText"/>
      </w:pPr>
      <w:r w:rsidRPr="00522B6D">
        <w:rPr>
          <w:rStyle w:val="FootnoteReference"/>
        </w:rPr>
        <w:footnoteRef/>
      </w:r>
      <w:r w:rsidRPr="00522B6D">
        <w:t xml:space="preserve">  Defendant waived a presentence report.</w:t>
      </w:r>
    </w:p>
  </w:footnote>
  <w:footnote w:id="10">
    <w:p w14:paraId="7E8A7656" w14:textId="202C0A21" w:rsidR="00313427" w:rsidRPr="00522B6D" w:rsidRDefault="001D5D5D">
      <w:pPr>
        <w:pStyle w:val="FootnoteText"/>
      </w:pPr>
      <w:r w:rsidRPr="00522B6D">
        <w:rPr>
          <w:rStyle w:val="FootnoteReference"/>
        </w:rPr>
        <w:footnoteRef/>
      </w:r>
      <w:r w:rsidRPr="00522B6D">
        <w:t xml:space="preserve">  </w:t>
      </w:r>
      <w:bookmarkStart w:id="16" w:name="dabmci_ba2e68c67d9648b1990a5115279eb3a2"/>
      <w:bookmarkStart w:id="17" w:name="dabmci_e932e1e68d1149bdb77227f02cf5e070"/>
      <w:r w:rsidRPr="00522B6D">
        <w:rPr>
          <w:i/>
          <w:iCs/>
        </w:rPr>
        <w:t>People v. Harvey</w:t>
      </w:r>
      <w:r w:rsidRPr="00522B6D">
        <w:t xml:space="preserve"> (1979) 25 Cal.3d 754</w:t>
      </w:r>
      <w:bookmarkEnd w:id="16"/>
      <w:bookmarkEnd w:id="17"/>
      <w:r w:rsidRPr="00522B6D">
        <w:t>.</w:t>
      </w:r>
    </w:p>
  </w:footnote>
  <w:footnote w:id="11">
    <w:p w14:paraId="11D2C826" w14:textId="09462A64" w:rsidR="00313427" w:rsidRPr="00522B6D" w:rsidRDefault="001D5D5D">
      <w:pPr>
        <w:pStyle w:val="FootnoteText"/>
      </w:pPr>
      <w:r w:rsidRPr="00522B6D">
        <w:rPr>
          <w:rStyle w:val="FootnoteReference"/>
        </w:rPr>
        <w:footnoteRef/>
      </w:r>
      <w:r w:rsidRPr="00522B6D">
        <w:t xml:space="preserve">  Section 120</w:t>
      </w:r>
      <w:r w:rsidR="0012327E">
        <w:t>3</w:t>
      </w:r>
      <w:r w:rsidRPr="00522B6D">
        <w:t xml:space="preserve">.1, subdivision (a) provides in pertinent part:  “The court, or judge thereof, in the order granting probation, may suspend the imposing or the execution of the sentence and may direct that the suspension may continue for a period of time </w:t>
      </w:r>
      <w:r w:rsidRPr="00522B6D">
        <w:rPr>
          <w:i/>
          <w:iCs/>
        </w:rPr>
        <w:t>not exceeding two</w:t>
      </w:r>
      <w:r w:rsidRPr="00522B6D">
        <w:rPr>
          <w:i/>
          <w:iCs/>
        </w:rPr>
        <w:t xml:space="preserve"> years</w:t>
      </w:r>
      <w:r w:rsidRPr="00522B6D">
        <w:t xml:space="preserve">, and upon those terms and conditions as it shall determine.”  (Italics added.) </w:t>
      </w:r>
    </w:p>
  </w:footnote>
  <w:footnote w:id="12">
    <w:p w14:paraId="5194C9E4" w14:textId="6F996D35" w:rsidR="00E22985" w:rsidRPr="00522B6D" w:rsidRDefault="001D5D5D" w:rsidP="00E22985">
      <w:pPr>
        <w:pStyle w:val="FootnoteText"/>
        <w:spacing w:before="0"/>
      </w:pPr>
      <w:r w:rsidRPr="00522B6D">
        <w:rPr>
          <w:rStyle w:val="FootnoteReference"/>
        </w:rPr>
        <w:footnoteRef/>
      </w:r>
      <w:r w:rsidRPr="00522B6D">
        <w:t xml:space="preserve"> Section 1192.5 provides in pertinent part:  “When the plea is accepted by the prosecuting attorney in open court and is approved by the court, the defendant, except as</w:t>
      </w:r>
      <w:r w:rsidRPr="00522B6D">
        <w:t xml:space="preserve"> otherwise provided in this section, cannot be sentenced on the plea to a punishment more severe than that specified in the plea and the court may not proceed as to the plea other than as specified in the plea.  [¶]  If the court approves of the plea, it s</w:t>
      </w:r>
      <w:r w:rsidRPr="00522B6D">
        <w:t>hall inform the defendant prior to the making of the plea that (1) its approval is not binding, (2) it may, at the time set for the hearing on the application for probation or pronouncement of judgment, withdraw its approval in the light of further conside</w:t>
      </w:r>
      <w:r w:rsidRPr="00522B6D">
        <w:t>ration of the matter, and (3) in that case, the defendant shall be permitted to withdraw the plea if the defendant desires to do so. . . .  [¶]  If the plea is not accepted by the prosecuting attorney and approved by the court, the plea shall be deemed wit</w:t>
      </w:r>
      <w:r w:rsidRPr="00522B6D">
        <w:t xml:space="preserve">hdrawn and the defendant may then enter the plea or pleas as would otherwise have been available.”  </w:t>
      </w:r>
    </w:p>
  </w:footnote>
  <w:footnote w:id="13">
    <w:p w14:paraId="17B61221" w14:textId="43E79151" w:rsidR="00313427" w:rsidRPr="00522B6D" w:rsidRDefault="001D5D5D" w:rsidP="009F07ED">
      <w:pPr>
        <w:widowControl w:val="0"/>
        <w:autoSpaceDE w:val="0"/>
        <w:autoSpaceDN w:val="0"/>
        <w:adjustRightInd w:val="0"/>
        <w:spacing w:line="240" w:lineRule="auto"/>
      </w:pPr>
      <w:r w:rsidRPr="009F07ED">
        <w:rPr>
          <w:rStyle w:val="FootnoteReference"/>
        </w:rPr>
        <w:footnoteRef/>
      </w:r>
      <w:r w:rsidRPr="00522B6D">
        <w:t xml:space="preserve"> </w:t>
      </w:r>
      <w:r w:rsidRPr="009F07ED">
        <w:t xml:space="preserve">As for the enhancements eliminated in </w:t>
      </w:r>
      <w:bookmarkStart w:id="91" w:name="dabmci_b0afd79c68624a4bbe9ef010778e3f37"/>
      <w:r w:rsidRPr="009F07ED">
        <w:t>Senate Bill 136</w:t>
      </w:r>
      <w:bookmarkEnd w:id="91"/>
      <w:r w:rsidRPr="009F07ED">
        <w:t xml:space="preserve"> and 180, the Legislature recently enacted </w:t>
      </w:r>
      <w:bookmarkStart w:id="92" w:name="dabmci_d81a37a7d01c4a06a07912057dfb62d9"/>
      <w:r w:rsidRPr="009F07ED">
        <w:t>Senate Bill No. 483</w:t>
      </w:r>
      <w:bookmarkEnd w:id="92"/>
      <w:r w:rsidRPr="009F07ED">
        <w:t xml:space="preserve"> </w:t>
      </w:r>
      <w:r w:rsidRPr="009F07ED">
        <w:rPr>
          <w:color w:val="000000"/>
        </w:rPr>
        <w:t>(2020-2021 Reg. Sess.), effective Jan</w:t>
      </w:r>
      <w:r w:rsidRPr="009F07ED">
        <w:rPr>
          <w:color w:val="000000"/>
        </w:rPr>
        <w:t>uary 1, 2022.  In this bill</w:t>
      </w:r>
      <w:r w:rsidRPr="009F07ED">
        <w:t>, the Legislature enacted section</w:t>
      </w:r>
      <w:r w:rsidR="00AC7242" w:rsidRPr="009F07ED">
        <w:t>s</w:t>
      </w:r>
      <w:r w:rsidRPr="009F07ED">
        <w:t xml:space="preserve"> </w:t>
      </w:r>
      <w:r w:rsidR="00AC7242" w:rsidRPr="009F07ED">
        <w:t xml:space="preserve">1171 and </w:t>
      </w:r>
      <w:r w:rsidRPr="009F07ED">
        <w:t>1171.1.  In subdivision (a) of section</w:t>
      </w:r>
      <w:r w:rsidR="00AC7242" w:rsidRPr="009F07ED">
        <w:t>s 1171 and</w:t>
      </w:r>
      <w:r w:rsidRPr="009F07ED">
        <w:t xml:space="preserve"> 1171.1, the Legislature declared </w:t>
      </w:r>
      <w:bookmarkStart w:id="93" w:name="_Hlk94171142"/>
      <w:r w:rsidRPr="009F07ED">
        <w:t xml:space="preserve">prior </w:t>
      </w:r>
      <w:r w:rsidR="00684DA6" w:rsidRPr="009F07ED">
        <w:t xml:space="preserve">drug </w:t>
      </w:r>
      <w:r w:rsidR="007C6CEF" w:rsidRPr="009F07ED">
        <w:t xml:space="preserve">trafficking </w:t>
      </w:r>
      <w:r w:rsidRPr="009F07ED">
        <w:t>conviction enhancements</w:t>
      </w:r>
      <w:bookmarkEnd w:id="93"/>
      <w:r w:rsidRPr="009F07ED">
        <w:t xml:space="preserve"> </w:t>
      </w:r>
      <w:r w:rsidR="00AC7242" w:rsidRPr="009F07ED">
        <w:t xml:space="preserve">and prior prison commitment enhancements </w:t>
      </w:r>
      <w:r w:rsidRPr="009F07ED">
        <w:t>“legally invali</w:t>
      </w:r>
      <w:r w:rsidRPr="009F07ED">
        <w:t xml:space="preserve">d.” </w:t>
      </w:r>
      <w:r w:rsidR="0082250D" w:rsidRPr="009F07ED">
        <w:t xml:space="preserve"> </w:t>
      </w:r>
      <w:r w:rsidRPr="009F07ED">
        <w:t>The bill also calls for trial courts to recall these sentences and resentence defendants upon notification by the Secretary of the Department of Corrections and Rehabilitation pursuant to a statutorily proscribed schedule.  (§</w:t>
      </w:r>
      <w:r w:rsidR="00AC7242" w:rsidRPr="009F07ED">
        <w:t>§ 1171, subds. (b)</w:t>
      </w:r>
      <w:r w:rsidR="00194FA5" w:rsidRPr="009F07ED">
        <w:t xml:space="preserve"> &amp; (c),</w:t>
      </w:r>
      <w:r w:rsidRPr="009F07ED">
        <w:t xml:space="preserve"> 1171.1, subds. (b) &amp; (c).) </w:t>
      </w:r>
      <w:r w:rsidR="0082250D" w:rsidRPr="009F07ED">
        <w:t xml:space="preserve"> </w:t>
      </w:r>
      <w:r w:rsidRPr="009F07ED">
        <w:t>Imposition of a lesser sentence is required unless the court finds by clear and convincing evidence a lesser sentence would endanger public safety.  (§</w:t>
      </w:r>
      <w:r w:rsidR="00194FA5" w:rsidRPr="009F07ED">
        <w:t>§ 1171, subd. (d)(1),</w:t>
      </w:r>
      <w:r w:rsidRPr="009F07ED">
        <w:t xml:space="preserve"> 1171.1, subd. (d)(1).)  No similar provision was enact</w:t>
      </w:r>
      <w:r w:rsidRPr="009F07ED">
        <w:t xml:space="preserve">ed for the reduction of terms of probation.  Such a provision would have eliminated the issues we and other appellate courts are required to resolve as to </w:t>
      </w:r>
      <w:bookmarkStart w:id="94" w:name="dabmci_4d1ebcd15d53436790eb563fdf26948b"/>
      <w:r w:rsidRPr="009F07ED">
        <w:t>Assembly Bill 1950</w:t>
      </w:r>
      <w:bookmarkEnd w:id="94"/>
      <w:r w:rsidRPr="009F07ED">
        <w:t>.</w:t>
      </w:r>
    </w:p>
  </w:footnote>
  <w:footnote w:id="14">
    <w:p w14:paraId="5BB3EB41" w14:textId="77777777" w:rsidR="00B36BFC" w:rsidRPr="00CB390D" w:rsidRDefault="001D5D5D" w:rsidP="00B36BFC">
      <w:pPr>
        <w:pStyle w:val="FootnoteText"/>
      </w:pPr>
      <w:r>
        <w:rPr>
          <w:rStyle w:val="FootnoteReference"/>
        </w:rPr>
        <w:footnoteRef/>
      </w:r>
      <w:r>
        <w:t xml:space="preserve"> </w:t>
      </w:r>
      <w:r w:rsidRPr="00CB390D">
        <w:t>The Supreme Court’s transfer order reads as follows:  “</w:t>
      </w:r>
      <w:r w:rsidRPr="00CB390D">
        <w:rPr>
          <w:color w:val="000000"/>
        </w:rPr>
        <w:t>The above-captioned matt</w:t>
      </w:r>
      <w:r w:rsidRPr="00CB390D">
        <w:rPr>
          <w:color w:val="000000"/>
        </w:rPr>
        <w:t>er is transferred to the Court of Appeal, Fifth Appellate District, with directions to vacate its decision and reconsider the cause in light of Senate Bill No. 483 (Stats. 2021, ch. 728).  The Court of Appeal’s opinion has no binding or precedential effect</w:t>
      </w:r>
      <w:r w:rsidRPr="00CB390D">
        <w:rPr>
          <w:color w:val="000000"/>
        </w:rPr>
        <w:t xml:space="preserve">, and </w:t>
      </w:r>
      <w:r w:rsidRPr="00CB390D">
        <w:rPr>
          <w:i/>
          <w:iCs/>
          <w:color w:val="000000"/>
        </w:rPr>
        <w:t>may be cited for potentially persuasive value only</w:t>
      </w:r>
      <w:r w:rsidRPr="00CB390D">
        <w:rPr>
          <w:color w:val="000000"/>
        </w:rPr>
        <w:t xml:space="preserve">.  [Citation.]”  (Italics added.)  We find the reasoning in </w:t>
      </w:r>
      <w:r w:rsidRPr="00CB390D">
        <w:rPr>
          <w:i/>
          <w:iCs/>
          <w:color w:val="000000"/>
        </w:rPr>
        <w:t>Hernandez</w:t>
      </w:r>
      <w:r w:rsidRPr="00CB390D">
        <w:rPr>
          <w:color w:val="000000"/>
        </w:rPr>
        <w:t xml:space="preserve"> to be persuasive in many respects.  Accordingly, we cite and discuss </w:t>
      </w:r>
      <w:r w:rsidRPr="00CB390D">
        <w:rPr>
          <w:i/>
          <w:iCs/>
          <w:color w:val="000000"/>
        </w:rPr>
        <w:t>Hernandez</w:t>
      </w:r>
      <w:r w:rsidRPr="00CB390D">
        <w:rPr>
          <w:color w:val="000000"/>
        </w:rPr>
        <w:t xml:space="preserve"> herein for its persuasive value.</w:t>
      </w:r>
    </w:p>
  </w:footnote>
  <w:footnote w:id="15">
    <w:p w14:paraId="6B6739B5" w14:textId="6A996548" w:rsidR="00313427" w:rsidRPr="00522B6D" w:rsidRDefault="001D5D5D" w:rsidP="009F07ED">
      <w:pPr>
        <w:pStyle w:val="FootnoteText"/>
      </w:pPr>
      <w:r w:rsidRPr="00CB390D">
        <w:rPr>
          <w:rStyle w:val="FootnoteReference"/>
        </w:rPr>
        <w:footnoteRef/>
      </w:r>
      <w:r w:rsidRPr="00CB390D">
        <w:t xml:space="preserve"> The Supreme Court’s transfer order reads</w:t>
      </w:r>
      <w:r w:rsidRPr="00522B6D">
        <w:t xml:space="preserve"> as follows:  “</w:t>
      </w:r>
      <w:r w:rsidRPr="00522B6D">
        <w:rPr>
          <w:color w:val="000000"/>
        </w:rPr>
        <w:t>The above-captioned matter is transferred to the Court of Appeal, Fifth Appellate Dist</w:t>
      </w:r>
      <w:r w:rsidRPr="00522B6D">
        <w:rPr>
          <w:color w:val="000000"/>
        </w:rPr>
        <w:t xml:space="preserve">rict, with directions to vacate its decision and reconsider the cause in light of </w:t>
      </w:r>
      <w:bookmarkStart w:id="96" w:name="dabmci_3d5f6fa3fcb14aac95c6f5f962f37f2d"/>
      <w:r w:rsidRPr="00522B6D">
        <w:rPr>
          <w:color w:val="000000"/>
        </w:rPr>
        <w:t>Senate Bill No. 483</w:t>
      </w:r>
      <w:bookmarkEnd w:id="96"/>
      <w:r w:rsidRPr="00522B6D">
        <w:rPr>
          <w:color w:val="000000"/>
        </w:rPr>
        <w:t xml:space="preserve"> (Stats. 2021, ch. 728).  The Court of Appeal’s opinion has no binding or precedential effect, and </w:t>
      </w:r>
      <w:r w:rsidRPr="00522B6D">
        <w:rPr>
          <w:i/>
          <w:iCs/>
          <w:color w:val="000000"/>
        </w:rPr>
        <w:t>may be cited for potentially persuasive value only</w:t>
      </w:r>
      <w:r w:rsidRPr="00522B6D">
        <w:rPr>
          <w:color w:val="000000"/>
        </w:rPr>
        <w:t>.  [Ci</w:t>
      </w:r>
      <w:r w:rsidRPr="00522B6D">
        <w:rPr>
          <w:color w:val="000000"/>
        </w:rPr>
        <w:t>tation</w:t>
      </w:r>
      <w:r w:rsidR="00F32315">
        <w:rPr>
          <w:color w:val="000000"/>
        </w:rPr>
        <w:t>.</w:t>
      </w:r>
      <w:r w:rsidRPr="00522B6D">
        <w:rPr>
          <w:color w:val="000000"/>
        </w:rPr>
        <w:t xml:space="preserve">]”  (Italics added.)  We find the reasoning in </w:t>
      </w:r>
      <w:bookmarkStart w:id="97" w:name="dabmci_c899313b25f14a978b9ccd2f806e7bcc"/>
      <w:r w:rsidRPr="00522B6D">
        <w:rPr>
          <w:i/>
          <w:iCs/>
          <w:color w:val="000000"/>
        </w:rPr>
        <w:t>Hernandez</w:t>
      </w:r>
      <w:bookmarkEnd w:id="97"/>
      <w:r w:rsidRPr="00522B6D">
        <w:rPr>
          <w:color w:val="000000"/>
        </w:rPr>
        <w:t xml:space="preserve"> to be persuasive in many respects.  Accordingly, we cite and discuss </w:t>
      </w:r>
      <w:r w:rsidRPr="00522B6D">
        <w:rPr>
          <w:i/>
          <w:iCs/>
          <w:color w:val="000000"/>
        </w:rPr>
        <w:t>Hernandez</w:t>
      </w:r>
      <w:r w:rsidRPr="00522B6D">
        <w:rPr>
          <w:color w:val="000000"/>
        </w:rPr>
        <w:t xml:space="preserve"> herein for its persuasive value.</w:t>
      </w:r>
    </w:p>
  </w:footnote>
  <w:footnote w:id="16">
    <w:p w14:paraId="035057BE" w14:textId="19CF6362" w:rsidR="00313427" w:rsidRPr="00522B6D" w:rsidRDefault="001D5D5D">
      <w:pPr>
        <w:pStyle w:val="FootnoteText"/>
      </w:pPr>
      <w:r w:rsidRPr="00522B6D">
        <w:rPr>
          <w:rStyle w:val="FootnoteReference"/>
        </w:rPr>
        <w:footnoteRef/>
      </w:r>
      <w:r w:rsidRPr="00522B6D">
        <w:t xml:space="preserve"> Review in </w:t>
      </w:r>
      <w:bookmarkStart w:id="105" w:name="dabmci_1e6696009aca4d2fb4c273685adc8de7"/>
      <w:r w:rsidRPr="00522B6D">
        <w:rPr>
          <w:i/>
          <w:iCs/>
        </w:rPr>
        <w:t>Barton</w:t>
      </w:r>
      <w:bookmarkEnd w:id="105"/>
      <w:r w:rsidRPr="00522B6D">
        <w:t xml:space="preserve"> was neither granted nor denied.  Thus, we assume the defendan</w:t>
      </w:r>
      <w:r w:rsidRPr="00522B6D">
        <w:t xml:space="preserve">t in </w:t>
      </w:r>
      <w:bookmarkStart w:id="106" w:name="dabmci_af06c60a42fb480d8ca2701320ba1239"/>
      <w:r w:rsidRPr="00522B6D">
        <w:rPr>
          <w:i/>
          <w:iCs/>
        </w:rPr>
        <w:t>Barton</w:t>
      </w:r>
      <w:bookmarkEnd w:id="106"/>
      <w:r w:rsidRPr="00522B6D">
        <w:t xml:space="preserve"> did not seek review.  </w:t>
      </w:r>
    </w:p>
  </w:footnote>
  <w:footnote w:id="17">
    <w:p w14:paraId="2866D839" w14:textId="78C8616F" w:rsidR="00313427" w:rsidRPr="00522B6D" w:rsidRDefault="001D5D5D">
      <w:pPr>
        <w:pStyle w:val="FootnoteText"/>
      </w:pPr>
      <w:r w:rsidRPr="00522B6D">
        <w:rPr>
          <w:rStyle w:val="FootnoteReference"/>
        </w:rPr>
        <w:footnoteRef/>
      </w:r>
      <w:r w:rsidRPr="00522B6D">
        <w:t xml:space="preserve"> </w:t>
      </w:r>
      <w:bookmarkStart w:id="126" w:name="_Hlk94099233"/>
      <w:bookmarkStart w:id="127" w:name="_Hlk94169820"/>
      <w:r w:rsidRPr="00522B6D">
        <w:t>See</w:t>
      </w:r>
      <w:r w:rsidR="007655CE" w:rsidRPr="00CB390D">
        <w:t>,</w:t>
      </w:r>
      <w:r w:rsidRPr="00CB390D">
        <w:t xml:space="preserve"> </w:t>
      </w:r>
      <w:r w:rsidR="00B36BFC" w:rsidRPr="00CB390D">
        <w:t>also</w:t>
      </w:r>
      <w:r w:rsidRPr="00522B6D">
        <w:t xml:space="preserve"> </w:t>
      </w:r>
      <w:bookmarkStart w:id="128" w:name="dabmci_5cdfd7281a8a49f89114752b021af3ea"/>
      <w:r w:rsidRPr="00522B6D">
        <w:rPr>
          <w:i/>
          <w:iCs/>
        </w:rPr>
        <w:t>Stamps</w:t>
      </w:r>
      <w:r w:rsidRPr="00613511">
        <w:rPr>
          <w:i/>
        </w:rPr>
        <w:t>,</w:t>
      </w:r>
      <w:r w:rsidRPr="00522B6D">
        <w:t xml:space="preserve"> </w:t>
      </w:r>
      <w:r w:rsidRPr="00522B6D">
        <w:rPr>
          <w:i/>
          <w:iCs/>
        </w:rPr>
        <w:t>supra</w:t>
      </w:r>
      <w:r w:rsidRPr="00522B6D">
        <w:t>, 9 Cal.5th at page 701</w:t>
      </w:r>
      <w:bookmarkEnd w:id="128"/>
      <w:r w:rsidRPr="00522B6D">
        <w:t xml:space="preserve">, quoting </w:t>
      </w:r>
      <w:bookmarkStart w:id="129" w:name="dabmci_25f787aaa23448cab142aff215b73186"/>
      <w:r w:rsidRPr="00522B6D">
        <w:rPr>
          <w:i/>
          <w:iCs/>
        </w:rPr>
        <w:t>People v. Kim</w:t>
      </w:r>
      <w:r w:rsidRPr="00522B6D">
        <w:t xml:space="preserve"> (2011) 193 Cal.App.4th 1355, 136</w:t>
      </w:r>
      <w:r w:rsidR="001E1911" w:rsidRPr="00522B6D">
        <w:t>1</w:t>
      </w:r>
      <w:bookmarkEnd w:id="129"/>
      <w:r w:rsidRPr="00522B6D">
        <w:t xml:space="preserve"> [“ ‘Some potential for confusion appears in broad statements to the effect that once a trial court has </w:t>
      </w:r>
      <w:r w:rsidR="001E1911" w:rsidRPr="00522B6D">
        <w:t>“</w:t>
      </w:r>
      <w:r w:rsidRPr="00522B6D">
        <w:t>accepted</w:t>
      </w:r>
      <w:r w:rsidR="001E1911" w:rsidRPr="00522B6D">
        <w:t>”</w:t>
      </w:r>
      <w:r w:rsidRPr="00522B6D">
        <w:t xml:space="preserve"> a</w:t>
      </w:r>
      <w:r w:rsidRPr="00522B6D">
        <w:t xml:space="preserve"> plea bargain, it too is </w:t>
      </w:r>
      <w:r w:rsidR="001E1911" w:rsidRPr="00522B6D">
        <w:t>“</w:t>
      </w:r>
      <w:r w:rsidRPr="00522B6D">
        <w:t>bound</w:t>
      </w:r>
      <w:r w:rsidR="001E1911" w:rsidRPr="00522B6D">
        <w:t>”</w:t>
      </w:r>
      <w:r w:rsidRPr="00522B6D">
        <w:t xml:space="preserve"> by it. . . .  Taken out of context, they might suggest that the court surrenders its sentencing discretion the moment it accepts a negotiated plea.  Such a view is of course irreconcilable with the statute and cases</w:t>
      </w:r>
      <w:r w:rsidR="001E1911" w:rsidRPr="00522B6D">
        <w:t xml:space="preserve">’ </w:t>
      </w:r>
      <w:r w:rsidRPr="00522B6D">
        <w:t>”].</w:t>
      </w:r>
      <w:bookmarkEnd w:id="126"/>
      <w:bookmarkEnd w:id="127"/>
    </w:p>
  </w:footnote>
  <w:footnote w:id="18">
    <w:p w14:paraId="555880D4" w14:textId="1AD98A6B" w:rsidR="00313427" w:rsidRPr="00522B6D" w:rsidRDefault="001D5D5D">
      <w:pPr>
        <w:pStyle w:val="FootnoteText"/>
      </w:pPr>
      <w:r w:rsidRPr="00522B6D">
        <w:rPr>
          <w:rStyle w:val="FootnoteReference"/>
        </w:rPr>
        <w:footnoteRef/>
      </w:r>
      <w:r w:rsidRPr="00522B6D">
        <w:t xml:space="preserve"> </w:t>
      </w:r>
      <w:r w:rsidRPr="00522B6D">
        <w:t>Our opinion is not intended to signal to the trial court how it should exercise its discretion on remand.</w:t>
      </w:r>
    </w:p>
  </w:footnote>
  <w:footnote w:id="19">
    <w:p w14:paraId="6E64700A" w14:textId="5AEE560E" w:rsidR="00230311" w:rsidRPr="00522B6D" w:rsidRDefault="001D5D5D" w:rsidP="00230311">
      <w:pPr>
        <w:pStyle w:val="FootnoteText"/>
      </w:pPr>
      <w:r w:rsidRPr="00522B6D">
        <w:rPr>
          <w:rStyle w:val="FootnoteReference"/>
        </w:rPr>
        <w:footnoteRef/>
      </w:r>
      <w:r w:rsidRPr="00522B6D">
        <w:t xml:space="preserve"> Courts have recognized that in enacting </w:t>
      </w:r>
      <w:bookmarkStart w:id="185" w:name="dabmci_f91681a232f1413c823f4a119a85d190"/>
      <w:r w:rsidRPr="00522B6D">
        <w:t>Assembly Bill 1950</w:t>
      </w:r>
      <w:bookmarkEnd w:id="185"/>
      <w:r w:rsidRPr="00522B6D">
        <w:t xml:space="preserve">, the Legislature addressed the following concerns: </w:t>
      </w:r>
      <w:r w:rsidR="00A10D18" w:rsidRPr="00522B6D">
        <w:t xml:space="preserve"> </w:t>
      </w:r>
      <w:r w:rsidRPr="00522B6D">
        <w:t>“</w:t>
      </w:r>
      <w:r w:rsidR="00A10D18" w:rsidRPr="00522B6D">
        <w:t>[T]</w:t>
      </w:r>
      <w:r w:rsidRPr="00522B6D">
        <w:t>he social and financial costs of the existing probation system—in particular, with probation as ‘</w:t>
      </w:r>
      <w:r w:rsidR="00A10D18" w:rsidRPr="00522B6D">
        <w:t xml:space="preserve"> “</w:t>
      </w:r>
      <w:r w:rsidRPr="00522B6D">
        <w:t>a pipeline for re-entry into the carceral system</w:t>
      </w:r>
      <w:r w:rsidR="00A10D18" w:rsidRPr="00522B6D">
        <w:t xml:space="preserve">” </w:t>
      </w:r>
      <w:r w:rsidRPr="00522B6D">
        <w:t>’ due to the large number of people incarcerated f</w:t>
      </w:r>
      <w:r w:rsidRPr="00522B6D">
        <w:t xml:space="preserve">or violations of probation, most of which are </w:t>
      </w:r>
      <w:r w:rsidR="00A10D18" w:rsidRPr="00522B6D">
        <w:t xml:space="preserve">‘ “ </w:t>
      </w:r>
      <w:r w:rsidRPr="00522B6D">
        <w:t>‘technical’ and minor in nature</w:t>
      </w:r>
      <w:r w:rsidR="00A10D18" w:rsidRPr="00522B6D">
        <w:t xml:space="preserve">” </w:t>
      </w:r>
      <w:r w:rsidRPr="00522B6D">
        <w:t>’ ” and that “the rehabilitative purpose of probation could best be met, and deleterious effects of the probation system minimized, by shortening the maximum duration of pro</w:t>
      </w:r>
      <w:r w:rsidRPr="00522B6D">
        <w:t>bation.”  (</w:t>
      </w:r>
      <w:r w:rsidR="00A10D18" w:rsidRPr="00522B6D">
        <w:t xml:space="preserve">See, e.g., </w:t>
      </w:r>
      <w:bookmarkStart w:id="186" w:name="dabmci_48b7817b88f245c8ade84e40ab08ca94"/>
      <w:r w:rsidRPr="00522B6D">
        <w:rPr>
          <w:i/>
          <w:iCs/>
        </w:rPr>
        <w:t>Stewart</w:t>
      </w:r>
      <w:r w:rsidRPr="00522B6D">
        <w:t xml:space="preserve">, </w:t>
      </w:r>
      <w:r w:rsidRPr="00522B6D">
        <w:rPr>
          <w:i/>
          <w:iCs/>
        </w:rPr>
        <w:t>supra</w:t>
      </w:r>
      <w:r w:rsidRPr="00522B6D">
        <w:t>, 62 Cal.App.5th at p</w:t>
      </w:r>
      <w:r w:rsidR="00A10D18" w:rsidRPr="00522B6D">
        <w:t>p</w:t>
      </w:r>
      <w:r w:rsidRPr="00522B6D">
        <w:t>. 1073-1074</w:t>
      </w:r>
      <w:bookmarkEnd w:id="186"/>
      <w:r w:rsidR="009C3CCA">
        <w:t>, review granted</w:t>
      </w:r>
      <w:r w:rsidRPr="00522B6D">
        <w:t>.)  But this legislative purpose does not speak to alternative sentences that could have been imposed for an offense or offenses to which a defendant pleaded.  Nor did the</w:t>
      </w:r>
      <w:r w:rsidRPr="00522B6D">
        <w:t xml:space="preserve"> Legislature suggest this purpose relates to </w:t>
      </w:r>
      <w:r w:rsidRPr="00FF1765">
        <w:t xml:space="preserve">sentences </w:t>
      </w:r>
      <w:r w:rsidR="00D01EBA" w:rsidRPr="00FF1765">
        <w:t xml:space="preserve">for </w:t>
      </w:r>
      <w:r w:rsidRPr="00FF1765">
        <w:t>leg</w:t>
      </w:r>
      <w:r w:rsidRPr="00522B6D">
        <w:t xml:space="preserve">ally valid offenses or enhancements that have been dismissed as part of a plea agreement and which, in a court’s discretion could be imposed, after the parties are returned to the status quo </w:t>
      </w:r>
      <w:bookmarkStart w:id="187" w:name="dabmci_38574115c2c144fab5f603e8c030bd7d"/>
      <w:r w:rsidRPr="00522B6D">
        <w:t>ant</w:t>
      </w:r>
      <w:r w:rsidRPr="00522B6D">
        <w:t>e.</w:t>
      </w:r>
      <w:bookmarkEnd w:id="187"/>
      <w:r w:rsidRPr="00522B6D">
        <w:t xml:space="preserve"> </w:t>
      </w:r>
    </w:p>
  </w:footnote>
  <w:footnote w:id="20">
    <w:p w14:paraId="5F072292" w14:textId="205E946C" w:rsidR="00313427" w:rsidRPr="00522B6D" w:rsidRDefault="001D5D5D">
      <w:pPr>
        <w:pStyle w:val="FootnoteText"/>
      </w:pPr>
      <w:r w:rsidRPr="00522B6D">
        <w:rPr>
          <w:rStyle w:val="FootnoteReference"/>
        </w:rPr>
        <w:footnoteRef/>
      </w:r>
      <w:r w:rsidRPr="00522B6D">
        <w:t xml:space="preserve"> The dissent also asserts the following based on the quoted excerpt from </w:t>
      </w:r>
      <w:bookmarkStart w:id="205" w:name="dabmci_38558e0bd13a4769a577400448a64a22"/>
      <w:r w:rsidRPr="00522B6D">
        <w:rPr>
          <w:i/>
          <w:iCs/>
        </w:rPr>
        <w:t>Doe, supra</w:t>
      </w:r>
      <w:r w:rsidRPr="00522B6D">
        <w:t>, 57 Cal.4th at page 66</w:t>
      </w:r>
      <w:bookmarkEnd w:id="205"/>
      <w:r w:rsidRPr="00522B6D">
        <w:t xml:space="preserve">:  “Given the general rule in California that the plea agreement will be </w:t>
      </w:r>
      <w:r w:rsidR="00001AD5" w:rsidRPr="00522B6D">
        <w:t>‘ “ ‘</w:t>
      </w:r>
      <w:r w:rsidRPr="00522B6D">
        <w:t>deemed to incorporate and contemplate not only the existing law but</w:t>
      </w:r>
      <w:r w:rsidRPr="00522B6D">
        <w:t xml:space="preserve"> the reserve power of the state to amend the law or enact additional laws for the public good and in pursuance of public policy,</w:t>
      </w:r>
      <w:r w:rsidR="00001AD5" w:rsidRPr="00522B6D">
        <w:t>’ ” ’</w:t>
      </w:r>
      <w:r w:rsidRPr="00522B6D">
        <w:t xml:space="preserve"> [</w:t>
      </w:r>
      <w:r w:rsidR="00001AD5" w:rsidRPr="00522B6D">
        <w:t>c</w:t>
      </w:r>
      <w:r w:rsidRPr="00522B6D">
        <w:t xml:space="preserve">itation] it would seem that the amendment here should presumptively apply to all </w:t>
      </w:r>
      <w:r w:rsidRPr="00CB1AEB">
        <w:t>sentences</w:t>
      </w:r>
      <w:r w:rsidRPr="00522B6D">
        <w:t xml:space="preserve"> </w:t>
      </w:r>
      <w:r w:rsidRPr="00C32CF6">
        <w:t>whether the product of a liti</w:t>
      </w:r>
      <w:r w:rsidRPr="00C32CF6">
        <w:t>gated outcome or a plea agreement.”  (Dis. opn</w:t>
      </w:r>
      <w:r w:rsidRPr="00522B6D">
        <w:t>.</w:t>
      </w:r>
      <w:r w:rsidR="00001AD5" w:rsidRPr="00522B6D">
        <w:t>,</w:t>
      </w:r>
      <w:r w:rsidRPr="00522B6D">
        <w:t xml:space="preserve"> </w:t>
      </w:r>
      <w:r w:rsidR="00001AD5" w:rsidRPr="00522B6D">
        <w:rPr>
          <w:i/>
          <w:iCs/>
        </w:rPr>
        <w:t>post</w:t>
      </w:r>
      <w:r w:rsidR="00001AD5" w:rsidRPr="00522B6D">
        <w:t>,</w:t>
      </w:r>
      <w:r w:rsidRPr="00522B6D">
        <w:t xml:space="preserve"> p. 2.)  But this seems inconsistent with </w:t>
      </w:r>
      <w:r w:rsidRPr="00522B6D">
        <w:rPr>
          <w:i/>
          <w:iCs/>
        </w:rPr>
        <w:t>Stamps</w:t>
      </w:r>
      <w:r w:rsidRPr="00522B6D">
        <w:t xml:space="preserve">, which noted that the rule in </w:t>
      </w:r>
      <w:bookmarkStart w:id="206" w:name="dabmci_00513e2092dc493f9973c8c7df5e855c"/>
      <w:r w:rsidRPr="00522B6D">
        <w:rPr>
          <w:i/>
          <w:iCs/>
        </w:rPr>
        <w:t>Doe</w:t>
      </w:r>
      <w:bookmarkEnd w:id="206"/>
      <w:r w:rsidRPr="00522B6D">
        <w:t xml:space="preserve"> stated the parties are not insulated from “</w:t>
      </w:r>
      <w:r w:rsidR="00001AD5" w:rsidRPr="00522B6D">
        <w:t> </w:t>
      </w:r>
      <w:r w:rsidR="001E1911" w:rsidRPr="00522B6D">
        <w:t>‘</w:t>
      </w:r>
      <w:r w:rsidR="00001AD5" w:rsidRPr="00522B6D">
        <w:t> </w:t>
      </w:r>
      <w:r w:rsidR="001E1911" w:rsidRPr="00522B6D">
        <w:t>“</w:t>
      </w:r>
      <w:r w:rsidRPr="00522B6D">
        <w:t xml:space="preserve">changes in the law </w:t>
      </w:r>
      <w:r w:rsidR="001E1911" w:rsidRPr="00522B6D">
        <w:t xml:space="preserve">that </w:t>
      </w:r>
      <w:r w:rsidRPr="00522B6D">
        <w:rPr>
          <w:i/>
          <w:iCs/>
        </w:rPr>
        <w:t>the Legislature has intended to apply to them</w:t>
      </w:r>
      <w:r w:rsidRPr="00522B6D">
        <w:t>.</w:t>
      </w:r>
      <w:r w:rsidR="001E1911" w:rsidRPr="00522B6D">
        <w:t>” ’ </w:t>
      </w:r>
      <w:r w:rsidRPr="00522B6D">
        <w:t>”  (</w:t>
      </w:r>
      <w:bookmarkStart w:id="207" w:name="dabmci_2b72679d225c48948705c52468de41fe"/>
      <w:r w:rsidRPr="00522B6D">
        <w:rPr>
          <w:i/>
          <w:iCs/>
        </w:rPr>
        <w:t>Stamps</w:t>
      </w:r>
      <w:r w:rsidRPr="00CB1AEB">
        <w:rPr>
          <w:i/>
        </w:rPr>
        <w:t>,</w:t>
      </w:r>
      <w:r w:rsidRPr="00522B6D">
        <w:t xml:space="preserve"> </w:t>
      </w:r>
      <w:r w:rsidRPr="00522B6D">
        <w:rPr>
          <w:i/>
          <w:iCs/>
        </w:rPr>
        <w:t>supra</w:t>
      </w:r>
      <w:r w:rsidRPr="00522B6D">
        <w:t>, 9 Cal.5th at pp. 702-703</w:t>
      </w:r>
      <w:bookmarkEnd w:id="207"/>
      <w:r w:rsidRPr="00522B6D">
        <w:t xml:space="preserve">.)  It was based on this that the </w:t>
      </w:r>
      <w:r w:rsidRPr="00522B6D">
        <w:rPr>
          <w:i/>
          <w:iCs/>
        </w:rPr>
        <w:t>Stamps</w:t>
      </w:r>
      <w:r w:rsidRPr="00522B6D">
        <w:t xml:space="preserve"> court turned to the question of whether the Legislature intended the change in the law to apply to the parties there as it had determined the electorate did in </w:t>
      </w:r>
      <w:bookmarkStart w:id="208" w:name="dabmci_4a4e2f9b3e8b4d12bf5f13fca0b4c06f"/>
      <w:r w:rsidRPr="00522B6D">
        <w:rPr>
          <w:i/>
          <w:iCs/>
        </w:rPr>
        <w:t>Harris</w:t>
      </w:r>
      <w:bookmarkEnd w:id="208"/>
      <w:r w:rsidRPr="00522B6D">
        <w:t xml:space="preserve"> relative to Proposition 47.  (</w:t>
      </w:r>
      <w:bookmarkStart w:id="209" w:name="dabmci_c3766689847d4c58ae829ff36dc2d365"/>
      <w:r w:rsidR="001E1911" w:rsidRPr="00522B6D">
        <w:rPr>
          <w:i/>
          <w:iCs/>
        </w:rPr>
        <w:t>Stamps,</w:t>
      </w:r>
      <w:r w:rsidRPr="00522B6D">
        <w:t xml:space="preserve"> at p. 703</w:t>
      </w:r>
      <w:bookmarkEnd w:id="209"/>
      <w:r w:rsidRPr="00522B6D">
        <w:t>.)  Moreover, as to the question of remed</w:t>
      </w:r>
      <w:r w:rsidRPr="00522B6D">
        <w:t xml:space="preserve">y, as we have noted, the </w:t>
      </w:r>
      <w:r w:rsidRPr="00522B6D">
        <w:rPr>
          <w:i/>
          <w:iCs/>
        </w:rPr>
        <w:t>Stamps</w:t>
      </w:r>
      <w:r w:rsidRPr="00522B6D">
        <w:t xml:space="preserve"> court put the burden on the defendant to establish the Legislature’s intent: </w:t>
      </w:r>
      <w:r w:rsidR="001E1911" w:rsidRPr="00522B6D">
        <w:t xml:space="preserve"> </w:t>
      </w:r>
      <w:r w:rsidRPr="00522B6D">
        <w:t>“</w:t>
      </w:r>
      <w:r w:rsidRPr="00522B6D">
        <w:rPr>
          <w:i/>
          <w:iCs/>
        </w:rPr>
        <w:t>defendant must establish</w:t>
      </w:r>
      <w:r w:rsidRPr="00522B6D">
        <w:t xml:space="preserve"> not only that [the ameliorative amendment] applies retroactively, but that, in enacting that provision, the Legislature </w:t>
      </w:r>
      <w:r w:rsidRPr="00522B6D">
        <w:t>intended to overturn long-standing law that a court cannot unilaterally modify an agreed-upon term by striking portions of it under section 1385.”  (</w:t>
      </w:r>
      <w:bookmarkStart w:id="210" w:name="dabmci_ab7d6270c0d34596a5e46b31a7e6efee"/>
      <w:r w:rsidRPr="00522B6D">
        <w:rPr>
          <w:i/>
          <w:iCs/>
        </w:rPr>
        <w:t>Id</w:t>
      </w:r>
      <w:r w:rsidRPr="00522B6D">
        <w:t>. at p. 701</w:t>
      </w:r>
      <w:bookmarkEnd w:id="210"/>
      <w:r w:rsidRPr="00522B6D">
        <w:t xml:space="preserve">, italics added.)  The same applies here:  </w:t>
      </w:r>
      <w:r w:rsidRPr="00522B6D">
        <w:rPr>
          <w:i/>
          <w:iCs/>
        </w:rPr>
        <w:t>defendant must establish</w:t>
      </w:r>
      <w:r w:rsidRPr="00522B6D">
        <w:t xml:space="preserve"> not only that the ameliora</w:t>
      </w:r>
      <w:r w:rsidRPr="00522B6D">
        <w:t>tive amendment applies retroactively, but that, in enacting the amendment, the Legislature intended to overturn long-standing law related to section 1192.5, including the trial court’s discretion to withdraw its consent to the plea agreement.</w:t>
      </w:r>
    </w:p>
  </w:footnote>
  <w:footnote w:id="21">
    <w:p w14:paraId="51059D97" w14:textId="2E802B2E" w:rsidR="00313427" w:rsidRPr="00522B6D" w:rsidRDefault="001D5D5D">
      <w:pPr>
        <w:pStyle w:val="FootnoteText"/>
      </w:pPr>
      <w:r w:rsidRPr="00522B6D">
        <w:rPr>
          <w:rStyle w:val="FootnoteReference"/>
        </w:rPr>
        <w:footnoteRef/>
      </w:r>
      <w:r w:rsidRPr="00522B6D">
        <w:t xml:space="preserve"> Based on th</w:t>
      </w:r>
      <w:r w:rsidRPr="00522B6D">
        <w:t xml:space="preserve">e facts we summarized </w:t>
      </w:r>
      <w:bookmarkStart w:id="214" w:name="dabmci_94ac02375d2d455b883ed1f564db13b4"/>
      <w:r w:rsidRPr="00522B6D">
        <w:rPr>
          <w:i/>
          <w:iCs/>
        </w:rPr>
        <w:t>ante</w:t>
      </w:r>
      <w:r w:rsidRPr="00522B6D">
        <w:t>,</w:t>
      </w:r>
      <w:bookmarkEnd w:id="214"/>
      <w:r w:rsidRPr="00522B6D">
        <w:t xml:space="preserve"> it appears that the duration of probation may have been an integral part of the court’s determination in granting the </w:t>
      </w:r>
      <w:r w:rsidRPr="00522B6D">
        <w:rPr>
          <w:i/>
          <w:iCs/>
        </w:rPr>
        <w:t>Romero</w:t>
      </w:r>
      <w:r w:rsidRPr="00522B6D">
        <w:t xml:space="preserve"> motion.  If on remand, the trial court clarifies that its determination on the </w:t>
      </w:r>
      <w:r w:rsidRPr="00522B6D">
        <w:rPr>
          <w:i/>
          <w:iCs/>
        </w:rPr>
        <w:t>Romero</w:t>
      </w:r>
      <w:r w:rsidRPr="00522B6D">
        <w:t xml:space="preserve"> motion was separa</w:t>
      </w:r>
      <w:r w:rsidRPr="00522B6D">
        <w:t xml:space="preserve">te from the negotiated agreement or the prospect of a five-year grant of probation, it need not restore the strike conviction allegation.  </w:t>
      </w:r>
    </w:p>
  </w:footnote>
  <w:footnote w:id="22">
    <w:p w14:paraId="7F7A524B" w14:textId="6BCFEB05" w:rsidR="00313427" w:rsidRPr="00522B6D" w:rsidRDefault="001D5D5D">
      <w:pPr>
        <w:pStyle w:val="FootnoteText"/>
      </w:pPr>
      <w:r w:rsidRPr="00522B6D">
        <w:rPr>
          <w:rStyle w:val="FootnoteReference"/>
        </w:rPr>
        <w:footnoteRef/>
      </w:r>
      <w:r w:rsidRPr="00522B6D">
        <w:t xml:space="preserve"> Two of these courts have said their opinions should not read to apply to situations where the parties fail to reac</w:t>
      </w:r>
      <w:r w:rsidRPr="00522B6D">
        <w:t xml:space="preserve">h a new agreement and the defendant is convicted at trial.  The </w:t>
      </w:r>
      <w:r w:rsidRPr="00522B6D">
        <w:rPr>
          <w:i/>
          <w:iCs/>
        </w:rPr>
        <w:t>Griffin</w:t>
      </w:r>
      <w:r w:rsidRPr="00522B6D">
        <w:t xml:space="preserve"> court wrote:  “ ‘We do not address a situation where the parties fail to enter into a new plea agreement after a post-</w:t>
      </w:r>
      <w:bookmarkStart w:id="219" w:name="dabmci_8fe518f4a7064d4c9dc432ad0ee2e318"/>
      <w:r w:rsidRPr="00522B6D">
        <w:t>Senate Bill 136</w:t>
      </w:r>
      <w:bookmarkEnd w:id="219"/>
      <w:r w:rsidRPr="00522B6D">
        <w:t xml:space="preserve"> remand, and the defendant is convicted at trial.  </w:t>
      </w:r>
      <w:r w:rsidRPr="00522B6D">
        <w:t>Whether the . . . court could [then] sentence [the defendant] to a term in excess of the originally agreed upon sentence, and what circumstances might affect that determination, are questions well beyond the scope of the present appeal.’ ”  (</w:t>
      </w:r>
      <w:bookmarkStart w:id="220" w:name="dabmci_e317d47b8a5044ef92817b863fe43a29"/>
      <w:r w:rsidRPr="00522B6D">
        <w:rPr>
          <w:i/>
          <w:iCs/>
        </w:rPr>
        <w:t>Griffin</w:t>
      </w:r>
      <w:r w:rsidRPr="00522B6D">
        <w:t xml:space="preserve">, </w:t>
      </w:r>
      <w:r w:rsidRPr="00522B6D">
        <w:rPr>
          <w:i/>
          <w:iCs/>
        </w:rPr>
        <w:t>supra</w:t>
      </w:r>
      <w:r w:rsidRPr="00522B6D">
        <w:t>, 57 Cal.App.5th at p. 1097, fn. 6</w:t>
      </w:r>
      <w:bookmarkEnd w:id="220"/>
      <w:r w:rsidR="006E7A01" w:rsidRPr="00522B6D">
        <w:t>, review granted</w:t>
      </w:r>
      <w:r w:rsidRPr="00522B6D">
        <w:t xml:space="preserve">; </w:t>
      </w:r>
      <w:r w:rsidR="006E7A01" w:rsidRPr="00522B6D">
        <w:t>s</w:t>
      </w:r>
      <w:r w:rsidRPr="00522B6D">
        <w:t xml:space="preserve">ee also </w:t>
      </w:r>
      <w:bookmarkStart w:id="221" w:name="dabmci_f0a5f5481d7847269ab3c483ac41cbc8"/>
      <w:r w:rsidRPr="00522B6D">
        <w:rPr>
          <w:rFonts w:eastAsiaTheme="minorEastAsia"/>
          <w:i/>
          <w:iCs/>
        </w:rPr>
        <w:t>Ruggerio</w:t>
      </w:r>
      <w:r w:rsidRPr="00522B6D">
        <w:rPr>
          <w:rFonts w:eastAsiaTheme="minorEastAsia"/>
        </w:rPr>
        <w:t xml:space="preserve">, </w:t>
      </w:r>
      <w:r w:rsidRPr="00522B6D">
        <w:rPr>
          <w:rFonts w:eastAsiaTheme="minorEastAsia"/>
          <w:i/>
          <w:iCs/>
        </w:rPr>
        <w:t>supra,</w:t>
      </w:r>
      <w:r w:rsidRPr="00522B6D">
        <w:rPr>
          <w:rFonts w:eastAsiaTheme="minorEastAsia"/>
        </w:rPr>
        <w:t xml:space="preserve"> 65 Cal.App.5th at pp. 1129-1130, fn. 2</w:t>
      </w:r>
      <w:bookmarkEnd w:id="221"/>
      <w:r w:rsidRPr="00522B6D">
        <w:t>.)</w:t>
      </w:r>
    </w:p>
  </w:footnote>
  <w:footnote w:id="23">
    <w:p w14:paraId="60272507" w14:textId="2D046CED" w:rsidR="00313427" w:rsidRPr="00522B6D" w:rsidRDefault="001D5D5D" w:rsidP="005B74DB">
      <w:pPr>
        <w:pStyle w:val="FootnoteText"/>
      </w:pPr>
      <w:r w:rsidRPr="00522B6D">
        <w:rPr>
          <w:rStyle w:val="FootnoteReference"/>
          <w:szCs w:val="20"/>
        </w:rPr>
        <w:footnoteRef/>
      </w:r>
      <w:r w:rsidRPr="00CB1AEB">
        <w:t xml:space="preserve"> </w:t>
      </w:r>
      <w:r w:rsidRPr="00522B6D">
        <w:t xml:space="preserve">Not once did the </w:t>
      </w:r>
      <w:r w:rsidRPr="00522B6D">
        <w:rPr>
          <w:i/>
          <w:iCs/>
        </w:rPr>
        <w:t>Stamps</w:t>
      </w:r>
      <w:r w:rsidRPr="00522B6D">
        <w:t xml:space="preserve"> court suggest a sentencing cap is appropriate should the parties be returned to the status quo </w:t>
      </w:r>
      <w:bookmarkStart w:id="229" w:name="dabmci_c5b2ec229c0948c8a874f5077b8f7827"/>
      <w:r w:rsidRPr="00522B6D">
        <w:t>ante</w:t>
      </w:r>
      <w:bookmarkEnd w:id="229"/>
      <w:r w:rsidRPr="00522B6D">
        <w:t xml:space="preserve"> on remand. </w:t>
      </w:r>
      <w:r w:rsidRPr="00522B6D">
        <w:t xml:space="preserve"> It did mention </w:t>
      </w:r>
      <w:r w:rsidRPr="00522B6D">
        <w:rPr>
          <w:i/>
          <w:iCs/>
        </w:rPr>
        <w:t>Collins</w:t>
      </w:r>
      <w:r w:rsidRPr="00522B6D">
        <w:t xml:space="preserve">, but only as follows:  “Pursuant to a plea bargain, </w:t>
      </w:r>
      <w:r w:rsidRPr="00CB1AEB">
        <w:t>Collins</w:t>
      </w:r>
      <w:r w:rsidRPr="00522B6D">
        <w:t xml:space="preserve"> pled guilty to a single count of oral copulation under former section 288a in exchange for dismissal of 14 other felony counts.  Prior to sentencing, the Legislature repeal</w:t>
      </w:r>
      <w:r w:rsidRPr="00522B6D">
        <w:t xml:space="preserve">ed former section 288a, decriminalizing ‘the act of oral copulation between consenting, nonprisoner adults . . . .’  [Citation.]  </w:t>
      </w:r>
      <w:r w:rsidRPr="00522B6D">
        <w:rPr>
          <w:i/>
          <w:iCs/>
        </w:rPr>
        <w:t>Collins</w:t>
      </w:r>
      <w:r w:rsidRPr="00522B6D">
        <w:t xml:space="preserve"> reasoned the decriminalization of oral copulation applied retroactively under </w:t>
      </w:r>
      <w:r w:rsidRPr="00522B6D">
        <w:rPr>
          <w:i/>
          <w:iCs/>
        </w:rPr>
        <w:t>Estrada</w:t>
      </w:r>
      <w:r w:rsidRPr="00522B6D">
        <w:t xml:space="preserve"> because the conviction was not y</w:t>
      </w:r>
      <w:r w:rsidRPr="00522B6D">
        <w:t xml:space="preserve">et final, and the defendant could not be sentenced for that offense.  [Citation.]  However, </w:t>
      </w:r>
      <w:r w:rsidRPr="00522B6D">
        <w:rPr>
          <w:i/>
          <w:iCs/>
        </w:rPr>
        <w:t xml:space="preserve">Collins </w:t>
      </w:r>
      <w:r w:rsidRPr="00522B6D">
        <w:t>concluded the prosecution was entitled on remand to reinstate the dismissed counts because, ‘[w]hen a defendant gains total relief from his vulnerability to</w:t>
      </w:r>
      <w:r w:rsidRPr="00522B6D">
        <w:t xml:space="preserve"> sentence, the state is substantially deprived of the benefits for which it agreed to enter the bargain.’  [Citation.]  </w:t>
      </w:r>
      <w:r w:rsidRPr="00522B6D">
        <w:rPr>
          <w:i/>
          <w:iCs/>
        </w:rPr>
        <w:t>Collins</w:t>
      </w:r>
      <w:r w:rsidRPr="00522B6D">
        <w:t xml:space="preserve"> reasoned:  ‘Defendant seeks to gain relief from the sentence imposed but otherwise leave the plea bargain intact. </w:t>
      </w:r>
      <w:r w:rsidR="00464151" w:rsidRPr="00522B6D">
        <w:t xml:space="preserve"> </w:t>
      </w:r>
      <w:r w:rsidRPr="00522B6D">
        <w:t>This is bount</w:t>
      </w:r>
      <w:r w:rsidRPr="00522B6D">
        <w:t xml:space="preserve">y in excess of that to which he is entitled.  The intervening act of the Legislature in decriminalizing the conduct for which he was convicted justifies a reversal of defendant’s conviction and a direction that his conduct may not support further criminal </w:t>
      </w:r>
      <w:r w:rsidRPr="00522B6D">
        <w:t>proceedings on that subject; but it also destroys a fundamental assumption underlying the plea bargain—that defendant would be vulnerable to a term of imprisonment.  The state may therefore seek to reestablish defendant’s vulnerability by reviving the coun</w:t>
      </w:r>
      <w:r w:rsidRPr="00522B6D">
        <w:t>ts dismissed.’ ”  (</w:t>
      </w:r>
      <w:bookmarkStart w:id="230" w:name="dabmci_3874c71f393d4ffd8659304f082005b6"/>
      <w:r w:rsidRPr="00522B6D">
        <w:rPr>
          <w:i/>
          <w:iCs/>
        </w:rPr>
        <w:t>Stamps</w:t>
      </w:r>
      <w:r w:rsidRPr="00CB1AEB">
        <w:rPr>
          <w:i/>
        </w:rPr>
        <w:t>,</w:t>
      </w:r>
      <w:r w:rsidRPr="00522B6D">
        <w:t xml:space="preserve"> </w:t>
      </w:r>
      <w:r w:rsidRPr="00522B6D">
        <w:rPr>
          <w:i/>
          <w:iCs/>
        </w:rPr>
        <w:t>supra</w:t>
      </w:r>
      <w:r w:rsidRPr="00522B6D">
        <w:t>, 9 Cal.5th at pp. 703-704</w:t>
      </w:r>
      <w:bookmarkEnd w:id="230"/>
      <w:r w:rsidRPr="00522B6D">
        <w:t xml:space="preserve">, quoting </w:t>
      </w:r>
      <w:bookmarkStart w:id="231" w:name="dabmci_6383dfc4ed5149e49cdca98d3bb2afef"/>
      <w:r w:rsidRPr="00522B6D">
        <w:rPr>
          <w:i/>
          <w:iCs/>
        </w:rPr>
        <w:t>Collins</w:t>
      </w:r>
      <w:r w:rsidRPr="00CB1AEB">
        <w:rPr>
          <w:i/>
        </w:rPr>
        <w:t>,</w:t>
      </w:r>
      <w:r w:rsidRPr="00522B6D">
        <w:t xml:space="preserve"> </w:t>
      </w:r>
      <w:r w:rsidRPr="00522B6D">
        <w:rPr>
          <w:i/>
          <w:iCs/>
        </w:rPr>
        <w:t>supra</w:t>
      </w:r>
      <w:r w:rsidRPr="00522B6D">
        <w:t>, 21 Cal.3d at pp. 211, 212-213</w:t>
      </w:r>
      <w:r w:rsidR="00464151" w:rsidRPr="00522B6D">
        <w:t>, 215</w:t>
      </w:r>
      <w:bookmarkEnd w:id="231"/>
      <w:r w:rsidRPr="00522B6D">
        <w:t>.)</w:t>
      </w:r>
    </w:p>
  </w:footnote>
  <w:footnote w:id="24">
    <w:p w14:paraId="6E7CA7BD" w14:textId="62A6B2FA" w:rsidR="00313427" w:rsidRPr="00522B6D" w:rsidRDefault="001D5D5D">
      <w:pPr>
        <w:pStyle w:val="FootnoteText"/>
      </w:pPr>
      <w:r w:rsidRPr="00522B6D">
        <w:rPr>
          <w:rStyle w:val="FootnoteReference"/>
        </w:rPr>
        <w:footnoteRef/>
      </w:r>
      <w:r w:rsidRPr="00522B6D">
        <w:t xml:space="preserve"> The </w:t>
      </w:r>
      <w:r w:rsidRPr="00522B6D">
        <w:rPr>
          <w:i/>
          <w:iCs/>
        </w:rPr>
        <w:t>Stamps</w:t>
      </w:r>
      <w:r w:rsidRPr="00522B6D">
        <w:t xml:space="preserve"> court did allow the defendant to withdraw his request for relief under </w:t>
      </w:r>
      <w:bookmarkStart w:id="234" w:name="dabmci_f149627093e0454793281f1bc28983fd"/>
      <w:r w:rsidRPr="00522B6D">
        <w:t>Senate Bill 1393</w:t>
      </w:r>
      <w:bookmarkEnd w:id="234"/>
      <w:r w:rsidRPr="00522B6D">
        <w:t xml:space="preserve"> if either the prosecution or the court withdrew its consent to the agreement.  The court wrote:  “[I]t is ultimately defendant’s choice whether he wishes to seek relie</w:t>
      </w:r>
      <w:r w:rsidRPr="00522B6D">
        <w:t xml:space="preserve">f under </w:t>
      </w:r>
      <w:bookmarkStart w:id="235" w:name="dabmci_b4da18829f9e4bee8212f161ef274623"/>
      <w:r w:rsidRPr="00522B6D">
        <w:t>Senate Bill 1393</w:t>
      </w:r>
      <w:bookmarkEnd w:id="235"/>
      <w:r w:rsidRPr="00522B6D">
        <w:t xml:space="preserve">. . . . </w:t>
      </w:r>
      <w:r w:rsidR="00BF6DA5" w:rsidRPr="00522B6D">
        <w:t xml:space="preserve"> </w:t>
      </w:r>
      <w:r w:rsidRPr="00522B6D">
        <w:t>‘</w:t>
      </w:r>
      <w:r w:rsidRPr="00522B6D">
        <w:rPr>
          <w:i/>
          <w:iCs/>
        </w:rPr>
        <w:t>Given that defendants in criminal cases presumably obtained some benefit from the plea agreement</w:t>
      </w:r>
      <w:r w:rsidRPr="00522B6D">
        <w:t>, we anticipate that there will be defendants who determine that, notwithstanding their entitlement to seek relief based on th</w:t>
      </w:r>
      <w:r w:rsidRPr="00522B6D">
        <w:t>e change in the law, their interests are better served by preserving the status quo.  That determination, however, lies in each instance with the defendant.</w:t>
      </w:r>
      <w:r w:rsidR="00BF6DA5" w:rsidRPr="00522B6D">
        <w:t>’</w:t>
      </w:r>
      <w:r w:rsidRPr="00522B6D">
        <w:t xml:space="preserve"> . . .  Now that we have rejected his proposed remedy, defendant’s calculus in seeking relief under</w:t>
      </w:r>
      <w:r w:rsidRPr="00522B6D">
        <w:t xml:space="preserve"> </w:t>
      </w:r>
      <w:bookmarkStart w:id="236" w:name="dabmci_6385909cbc4b46e189255b55f44aef5a"/>
      <w:r w:rsidRPr="00522B6D">
        <w:t>Senate Bill 1393</w:t>
      </w:r>
      <w:bookmarkEnd w:id="236"/>
      <w:r w:rsidRPr="00522B6D">
        <w:t xml:space="preserve"> may have changed.  Defendant should be allowed to make an informed decision whether to seek relief on remand.”  (</w:t>
      </w:r>
      <w:bookmarkStart w:id="237" w:name="dabmci_4f0904b0e0184699b0b775fa1c3692d9"/>
      <w:r w:rsidRPr="00522B6D">
        <w:rPr>
          <w:i/>
          <w:iCs/>
        </w:rPr>
        <w:t>Stamps</w:t>
      </w:r>
      <w:r w:rsidRPr="00522B6D">
        <w:t xml:space="preserve">, </w:t>
      </w:r>
      <w:r w:rsidRPr="00522B6D">
        <w:rPr>
          <w:i/>
          <w:iCs/>
        </w:rPr>
        <w:t>supra</w:t>
      </w:r>
      <w:r w:rsidRPr="00522B6D">
        <w:t>, 9 Cal.5th at p. 708</w:t>
      </w:r>
      <w:bookmarkEnd w:id="237"/>
      <w:r w:rsidRPr="00522B6D">
        <w:t xml:space="preserve">, italics added.) </w:t>
      </w:r>
    </w:p>
  </w:footnote>
  <w:footnote w:id="25">
    <w:p w14:paraId="582C2ECA" w14:textId="0656D12D" w:rsidR="00313427" w:rsidRPr="00522B6D" w:rsidRDefault="001D5D5D">
      <w:pPr>
        <w:pStyle w:val="FootnoteText"/>
      </w:pPr>
      <w:r w:rsidRPr="00522B6D">
        <w:rPr>
          <w:rStyle w:val="FootnoteReference"/>
        </w:rPr>
        <w:footnoteRef/>
      </w:r>
      <w:r w:rsidRPr="00522B6D">
        <w:t xml:space="preserve"> </w:t>
      </w:r>
      <w:r w:rsidRPr="00CB1AEB">
        <w:t>Because defendant here has not addressed whether he can withdraw his r</w:t>
      </w:r>
      <w:r w:rsidRPr="00CB1AEB">
        <w:t xml:space="preserve">equest for </w:t>
      </w:r>
      <w:bookmarkStart w:id="238" w:name="dabmci_5565208c6f1f47febfa40f8183e027be"/>
      <w:r w:rsidRPr="00CB1AEB">
        <w:t>Assembly Bill 1950</w:t>
      </w:r>
      <w:bookmarkEnd w:id="238"/>
      <w:r w:rsidRPr="00CB1AEB">
        <w:t xml:space="preserve"> relief </w:t>
      </w:r>
      <w:r w:rsidR="008F22A9" w:rsidRPr="00CB1AEB">
        <w:t xml:space="preserve">similar to what the court in </w:t>
      </w:r>
      <w:r w:rsidR="008F22A9" w:rsidRPr="00CB1AEB">
        <w:rPr>
          <w:i/>
        </w:rPr>
        <w:t>Stamps</w:t>
      </w:r>
      <w:r w:rsidR="008F22A9" w:rsidRPr="00CB1AEB">
        <w:t xml:space="preserve"> allowed </w:t>
      </w:r>
      <w:r w:rsidRPr="00CB1AEB">
        <w:t>to obtain the benefit of his original bargain should either the court or the prosecution indicate an intent to withdraw consent from the plea agreement, we do not address that</w:t>
      </w:r>
      <w:r w:rsidRPr="00CB1AEB">
        <w:t xml:space="preserve"> issue and leave it up to the parties to address it in the trial court on remand.  In the meantime, like the dissent in </w:t>
      </w:r>
      <w:bookmarkStart w:id="239" w:name="dabmci_1dc97b6014e848c0aca1a93bd6c89bfd"/>
      <w:r w:rsidRPr="00CB1AEB">
        <w:rPr>
          <w:i/>
          <w:iCs/>
        </w:rPr>
        <w:t>Griffin</w:t>
      </w:r>
      <w:bookmarkEnd w:id="239"/>
      <w:r w:rsidRPr="00CB1AEB">
        <w:t>, we encourage our high court to resolve this issue.  (</w:t>
      </w:r>
      <w:bookmarkStart w:id="240" w:name="dabmci_b39848ad7cac429c991b44e20df9ed12"/>
      <w:r w:rsidRPr="00CB1AEB">
        <w:rPr>
          <w:i/>
          <w:iCs/>
        </w:rPr>
        <w:t>Griffin</w:t>
      </w:r>
      <w:r w:rsidRPr="00CB1AEB">
        <w:rPr>
          <w:i/>
        </w:rPr>
        <w:t>,</w:t>
      </w:r>
      <w:r w:rsidRPr="00CB1AEB">
        <w:t xml:space="preserve"> </w:t>
      </w:r>
      <w:r w:rsidRPr="00CB1AEB">
        <w:rPr>
          <w:i/>
          <w:iCs/>
        </w:rPr>
        <w:t>supra</w:t>
      </w:r>
      <w:r w:rsidRPr="00CB1AEB">
        <w:t>, 57 Cal.App.5th at p. 1100</w:t>
      </w:r>
      <w:bookmarkEnd w:id="240"/>
      <w:r w:rsidR="006E7A01" w:rsidRPr="00CB1AEB">
        <w:t xml:space="preserve"> (d</w:t>
      </w:r>
      <w:r w:rsidRPr="00CB1AEB">
        <w:t xml:space="preserve">is. </w:t>
      </w:r>
      <w:r w:rsidR="006E7A01" w:rsidRPr="00CB1AEB">
        <w:t>o</w:t>
      </w:r>
      <w:r w:rsidRPr="00CB1AEB">
        <w:t>pn. of Reardon, J.</w:t>
      </w:r>
      <w:r w:rsidR="006E7A01" w:rsidRPr="00CB1AEB">
        <w:t>)</w:t>
      </w:r>
      <w:r w:rsidR="005312EF" w:rsidRPr="00CB1AEB">
        <w:t>, review granted</w:t>
      </w:r>
      <w:r w:rsidR="006E7A01" w:rsidRPr="00CB1AEB">
        <w:t>.</w:t>
      </w:r>
      <w:r w:rsidRPr="00CB1AEB">
        <w:t xml:space="preserve">)  As the dissent in </w:t>
      </w:r>
      <w:bookmarkStart w:id="241" w:name="dabmci_894e213b780045cea2289929a89089de"/>
      <w:r w:rsidRPr="00CB1AEB">
        <w:rPr>
          <w:i/>
          <w:iCs/>
        </w:rPr>
        <w:t>Griffin</w:t>
      </w:r>
      <w:bookmarkEnd w:id="241"/>
      <w:r w:rsidRPr="00CB1AEB">
        <w:t xml:space="preserve"> noted, there are numerous considerations related to this issue.  (</w:t>
      </w:r>
      <w:bookmarkStart w:id="242" w:name="dabmci_8fdced24359543a98dc1f5a47ab58566"/>
      <w:r w:rsidRPr="00CB1AEB">
        <w:rPr>
          <w:i/>
          <w:iCs/>
        </w:rPr>
        <w:t>Id</w:t>
      </w:r>
      <w:r w:rsidRPr="00CB1AEB">
        <w:t>. at pp. 1100-1107</w:t>
      </w:r>
      <w:bookmarkEnd w:id="242"/>
      <w:r w:rsidR="006E7A01" w:rsidRPr="00CB1AEB">
        <w:t xml:space="preserve"> (dis. opn. of Reardon, J.)</w:t>
      </w:r>
      <w:r w:rsidRPr="00CB1AEB">
        <w:t>.)  And we see several schools of thought on how the issue can be resolved.  One suggests that the orig</w:t>
      </w:r>
      <w:r w:rsidRPr="00CB1AEB">
        <w:t xml:space="preserve">inal sentence is unauthorized because of the ameliorative amendment and must automatically be corrected, but no sentencing cap need be imposed.  </w:t>
      </w:r>
      <w:r w:rsidR="006E562F" w:rsidRPr="00CB390D">
        <w:t>Another allows a defendant to maintain the benefit of the original bargain by withdrawing his request for relief under the ameliorative amendment.  This school of thought</w:t>
      </w:r>
      <w:r w:rsidR="006E562F">
        <w:t xml:space="preserve"> </w:t>
      </w:r>
      <w:r w:rsidRPr="00CB1AEB">
        <w:t xml:space="preserve">looks to the definition of an unauthorized sentence: </w:t>
      </w:r>
      <w:r w:rsidR="00CD0033" w:rsidRPr="00CB1AEB">
        <w:t xml:space="preserve"> </w:t>
      </w:r>
      <w:r w:rsidRPr="00CB1AEB">
        <w:t>“a sentence is generally ‘unauthorized’ where it could not lawfully be imposed under any circumstance in the particular case.”  (</w:t>
      </w:r>
      <w:bookmarkStart w:id="243" w:name="dabmci_92db18aec16148ad83b20d21daac99ea"/>
      <w:r w:rsidRPr="00CB1AEB">
        <w:rPr>
          <w:i/>
          <w:iCs/>
        </w:rPr>
        <w:t>People v. Sco</w:t>
      </w:r>
      <w:r w:rsidRPr="00CB1AEB">
        <w:rPr>
          <w:i/>
          <w:iCs/>
        </w:rPr>
        <w:t>tt</w:t>
      </w:r>
      <w:r w:rsidRPr="00CB1AEB">
        <w:t xml:space="preserve"> (1994) 9 Cal.4th 331, 354</w:t>
      </w:r>
      <w:bookmarkEnd w:id="243"/>
      <w:r w:rsidRPr="00CB1AEB">
        <w:t>.)  This definition of unauthorized necessarily looks back to the original imposition of the sentence.  Here,</w:t>
      </w:r>
      <w:r w:rsidRPr="00522B6D">
        <w:t xml:space="preserve"> defendant’s sentence was authorized when it was imposed.  And but for his appeal seeking </w:t>
      </w:r>
      <w:r w:rsidRPr="00522B6D">
        <w:rPr>
          <w:i/>
          <w:iCs/>
        </w:rPr>
        <w:t>Estrada</w:t>
      </w:r>
      <w:r w:rsidRPr="00522B6D">
        <w:t xml:space="preserve"> relief, he would still be serving that authorized sentence—at least until the Legislature expressly dictates otherwise.  (See </w:t>
      </w:r>
      <w:r w:rsidRPr="00CB1AEB">
        <w:t>fn. 1</w:t>
      </w:r>
      <w:r w:rsidR="00160C86" w:rsidRPr="00CB1AEB">
        <w:t>1</w:t>
      </w:r>
      <w:r w:rsidRPr="00CB1AEB">
        <w:t xml:space="preserve">, </w:t>
      </w:r>
      <w:bookmarkStart w:id="244" w:name="dabmci_97caab963ebd45ee82e8781c825008b7"/>
      <w:r w:rsidRPr="00CB1AEB">
        <w:rPr>
          <w:i/>
          <w:iCs/>
        </w:rPr>
        <w:t>ante</w:t>
      </w:r>
      <w:r w:rsidRPr="00522B6D">
        <w:t>.</w:t>
      </w:r>
      <w:bookmarkEnd w:id="244"/>
      <w:r w:rsidRPr="00522B6D">
        <w:t>)  Thus, the senten</w:t>
      </w:r>
      <w:r w:rsidRPr="00522B6D">
        <w:t>ce of a person in defendant’s position remains authorized if he wants to preserve the benefit of his original bargain instead of facing increased exposure should the court or prosecution withdraw from the original negotiated agreement.  In other words, def</w:t>
      </w:r>
      <w:r w:rsidRPr="00522B6D">
        <w:t xml:space="preserve">endant should be given the same option given to the defendant in </w:t>
      </w:r>
      <w:r w:rsidRPr="00522B6D">
        <w:rPr>
          <w:i/>
          <w:iCs/>
        </w:rPr>
        <w:t>Stamps</w:t>
      </w:r>
      <w:r w:rsidRPr="00522B6D">
        <w:t xml:space="preserve">—maintaining the benefit of his bargain without exposing himself to increased punishment.  </w:t>
      </w:r>
      <w:r w:rsidRPr="00CB390D">
        <w:t xml:space="preserve">Another school of thought </w:t>
      </w:r>
      <w:r w:rsidR="006E562F" w:rsidRPr="00CB390D">
        <w:t>allowing the defendant to maintain the benefit of the original bargain</w:t>
      </w:r>
      <w:r w:rsidR="006E562F">
        <w:t xml:space="preserve"> </w:t>
      </w:r>
      <w:r w:rsidRPr="00522B6D">
        <w:t>recognizes that there is precedent allowing defendants to agree to sentences as part of a plea bargain that would otherwise be unauthorized under the law.  In such a situation, the defendant implicitly waives the illegality of his sentence to obtain the</w:t>
      </w:r>
      <w:r w:rsidRPr="00522B6D">
        <w:t xml:space="preserve"> benefit of the bargain.  (See </w:t>
      </w:r>
      <w:bookmarkStart w:id="245" w:name="dabmci_37dfb1c110a3438ba0846b277031b9aa"/>
      <w:r w:rsidRPr="00522B6D">
        <w:rPr>
          <w:i/>
          <w:iCs/>
        </w:rPr>
        <w:t>People v. Hester</w:t>
      </w:r>
      <w:r w:rsidRPr="00522B6D">
        <w:t xml:space="preserve"> (2000) 22 Cal.4th 290, 295</w:t>
      </w:r>
      <w:bookmarkEnd w:id="245"/>
      <w:r w:rsidRPr="00522B6D">
        <w:t xml:space="preserve"> [acceptance of a plea bargain is an implicit waiver of § 654]; </w:t>
      </w:r>
      <w:bookmarkStart w:id="246" w:name="dabmci_234b3250eedc4a6e9c393257535ba1cf"/>
      <w:r w:rsidRPr="00522B6D">
        <w:rPr>
          <w:i/>
          <w:iCs/>
        </w:rPr>
        <w:t>People v. Couch</w:t>
      </w:r>
      <w:r w:rsidRPr="00522B6D">
        <w:t xml:space="preserve"> (1996) 48 Cal.App.4th 1053, 1057</w:t>
      </w:r>
      <w:bookmarkEnd w:id="246"/>
      <w:r w:rsidRPr="00522B6D">
        <w:t xml:space="preserve"> [“When a defendant maintains that the trial court’s sentence violates</w:t>
      </w:r>
      <w:r w:rsidRPr="00522B6D">
        <w:t xml:space="preserve"> rules which would have required the imposition of a more lenient sentence, yet the defendant avoided a potentially harsher sentence by entering into the plea bargain, it may be implied that the defendant waived any rights under such rules by choosing to a</w:t>
      </w:r>
      <w:r w:rsidRPr="00522B6D">
        <w:t>ccept the plea bargain”].)  There may be other schools of thought or other ways of looking at this issue.  In our view, our high court is best suited to resolve this stalemate.</w:t>
      </w:r>
    </w:p>
  </w:footnote>
  <w:footnote w:id="26">
    <w:p w14:paraId="6872A4F0" w14:textId="6D611576" w:rsidR="00313427" w:rsidRDefault="001D5D5D">
      <w:pPr>
        <w:pStyle w:val="FootnoteText"/>
      </w:pPr>
      <w:r w:rsidRPr="00522B6D">
        <w:rPr>
          <w:rStyle w:val="FootnoteReference"/>
        </w:rPr>
        <w:footnoteRef/>
      </w:r>
      <w:r w:rsidRPr="00522B6D">
        <w:t xml:space="preserve"> Here, that bounty is </w:t>
      </w:r>
      <w:r w:rsidR="002013CB">
        <w:t xml:space="preserve">potentially </w:t>
      </w:r>
      <w:r w:rsidRPr="00522B6D">
        <w:t>huge given that the parties calculated defen</w:t>
      </w:r>
      <w:r w:rsidRPr="00522B6D">
        <w:t xml:space="preserve">dant’s maximum sentencing exposure before the </w:t>
      </w:r>
      <w:r w:rsidRPr="00522B6D">
        <w:rPr>
          <w:i/>
          <w:iCs/>
        </w:rPr>
        <w:t>Romero</w:t>
      </w:r>
      <w:r w:rsidRPr="00522B6D">
        <w:t xml:space="preserve"> motion as 23 years two months state prison.</w:t>
      </w:r>
    </w:p>
  </w:footnote>
  <w:footnote w:id="27">
    <w:p w14:paraId="36B66FF1" w14:textId="10EE706D" w:rsidR="002D7B0A" w:rsidRDefault="001D5D5D" w:rsidP="002D7B0A">
      <w:pPr>
        <w:pStyle w:val="FootnoteText"/>
      </w:pPr>
      <w:r w:rsidRPr="002D7B0A">
        <w:rPr>
          <w:rStyle w:val="FootnoteReference"/>
          <w:rFonts w:ascii="Symbol" w:hAnsi="Symbol"/>
          <w:b w:val="0"/>
          <w:bCs/>
        </w:rPr>
        <w:sym w:font="Symbol" w:char="F02A"/>
      </w:r>
      <w:r w:rsidRPr="002D7B0A">
        <w:rPr>
          <w:b/>
          <w:bCs/>
        </w:rPr>
        <w:t xml:space="preserve"> </w:t>
      </w:r>
      <w:r>
        <w:t xml:space="preserve"> Retired Associate Justice of the Court of Appeal, Third Appellate District, assigned by the Chief Justice pursuant to article VI, section 6 of the Californi</w:t>
      </w:r>
      <w:r>
        <w:t xml:space="preserve">a Constitution.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73AD" w14:textId="77777777" w:rsidR="00FD389F" w:rsidRDefault="00FD3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666A" w14:textId="77777777" w:rsidR="00FD389F" w:rsidRDefault="00FD3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300E" w14:textId="77777777" w:rsidR="00FD389F" w:rsidRDefault="00FD3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B7498"/>
    <w:multiLevelType w:val="hybridMultilevel"/>
    <w:tmpl w:val="BBA66CA4"/>
    <w:lvl w:ilvl="0" w:tplc="3BBCEF6A">
      <w:start w:val="1"/>
      <w:numFmt w:val="upperLetter"/>
      <w:lvlText w:val="%1."/>
      <w:lvlJc w:val="left"/>
      <w:pPr>
        <w:ind w:left="720" w:hanging="360"/>
      </w:pPr>
      <w:rPr>
        <w:rFonts w:eastAsia="Times New Roman" w:hint="default"/>
      </w:rPr>
    </w:lvl>
    <w:lvl w:ilvl="1" w:tplc="5F70CD36" w:tentative="1">
      <w:start w:val="1"/>
      <w:numFmt w:val="lowerLetter"/>
      <w:lvlText w:val="%2."/>
      <w:lvlJc w:val="left"/>
      <w:pPr>
        <w:ind w:left="1440" w:hanging="360"/>
      </w:pPr>
    </w:lvl>
    <w:lvl w:ilvl="2" w:tplc="21983870" w:tentative="1">
      <w:start w:val="1"/>
      <w:numFmt w:val="lowerRoman"/>
      <w:lvlText w:val="%3."/>
      <w:lvlJc w:val="right"/>
      <w:pPr>
        <w:ind w:left="2160" w:hanging="180"/>
      </w:pPr>
    </w:lvl>
    <w:lvl w:ilvl="3" w:tplc="A8542C0E" w:tentative="1">
      <w:start w:val="1"/>
      <w:numFmt w:val="decimal"/>
      <w:lvlText w:val="%4."/>
      <w:lvlJc w:val="left"/>
      <w:pPr>
        <w:ind w:left="2880" w:hanging="360"/>
      </w:pPr>
    </w:lvl>
    <w:lvl w:ilvl="4" w:tplc="892616BA" w:tentative="1">
      <w:start w:val="1"/>
      <w:numFmt w:val="lowerLetter"/>
      <w:lvlText w:val="%5."/>
      <w:lvlJc w:val="left"/>
      <w:pPr>
        <w:ind w:left="3600" w:hanging="360"/>
      </w:pPr>
    </w:lvl>
    <w:lvl w:ilvl="5" w:tplc="3926BC9A" w:tentative="1">
      <w:start w:val="1"/>
      <w:numFmt w:val="lowerRoman"/>
      <w:lvlText w:val="%6."/>
      <w:lvlJc w:val="right"/>
      <w:pPr>
        <w:ind w:left="4320" w:hanging="180"/>
      </w:pPr>
    </w:lvl>
    <w:lvl w:ilvl="6" w:tplc="F0348EB6" w:tentative="1">
      <w:start w:val="1"/>
      <w:numFmt w:val="decimal"/>
      <w:lvlText w:val="%7."/>
      <w:lvlJc w:val="left"/>
      <w:pPr>
        <w:ind w:left="5040" w:hanging="360"/>
      </w:pPr>
    </w:lvl>
    <w:lvl w:ilvl="7" w:tplc="69F20692" w:tentative="1">
      <w:start w:val="1"/>
      <w:numFmt w:val="lowerLetter"/>
      <w:lvlText w:val="%8."/>
      <w:lvlJc w:val="left"/>
      <w:pPr>
        <w:ind w:left="5760" w:hanging="360"/>
      </w:pPr>
    </w:lvl>
    <w:lvl w:ilvl="8" w:tplc="5E9AB10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C2"/>
    <w:rsid w:val="00001597"/>
    <w:rsid w:val="00001AD5"/>
    <w:rsid w:val="00004B34"/>
    <w:rsid w:val="00005A38"/>
    <w:rsid w:val="00007E48"/>
    <w:rsid w:val="00011885"/>
    <w:rsid w:val="0001267C"/>
    <w:rsid w:val="000129EE"/>
    <w:rsid w:val="00015AA4"/>
    <w:rsid w:val="000208C9"/>
    <w:rsid w:val="00021FC9"/>
    <w:rsid w:val="0002250B"/>
    <w:rsid w:val="00022C03"/>
    <w:rsid w:val="000242B3"/>
    <w:rsid w:val="00025359"/>
    <w:rsid w:val="0003385F"/>
    <w:rsid w:val="0003544F"/>
    <w:rsid w:val="00040E68"/>
    <w:rsid w:val="00043549"/>
    <w:rsid w:val="00060022"/>
    <w:rsid w:val="000609A6"/>
    <w:rsid w:val="0006406F"/>
    <w:rsid w:val="000657CA"/>
    <w:rsid w:val="000729AF"/>
    <w:rsid w:val="000758E4"/>
    <w:rsid w:val="0007782D"/>
    <w:rsid w:val="000812CB"/>
    <w:rsid w:val="00082F17"/>
    <w:rsid w:val="00090AC8"/>
    <w:rsid w:val="00091438"/>
    <w:rsid w:val="0009205F"/>
    <w:rsid w:val="00093593"/>
    <w:rsid w:val="00094A13"/>
    <w:rsid w:val="00095527"/>
    <w:rsid w:val="00097C13"/>
    <w:rsid w:val="000A042F"/>
    <w:rsid w:val="000A070F"/>
    <w:rsid w:val="000A348D"/>
    <w:rsid w:val="000B0EF7"/>
    <w:rsid w:val="000B3A34"/>
    <w:rsid w:val="000B5093"/>
    <w:rsid w:val="000B50D7"/>
    <w:rsid w:val="000B6CC2"/>
    <w:rsid w:val="000B7237"/>
    <w:rsid w:val="000C4F4D"/>
    <w:rsid w:val="000D306F"/>
    <w:rsid w:val="000D4C30"/>
    <w:rsid w:val="000D6865"/>
    <w:rsid w:val="000E62F3"/>
    <w:rsid w:val="000F212F"/>
    <w:rsid w:val="000F2346"/>
    <w:rsid w:val="000F2534"/>
    <w:rsid w:val="000F36CC"/>
    <w:rsid w:val="000F7966"/>
    <w:rsid w:val="000F7C4E"/>
    <w:rsid w:val="00101043"/>
    <w:rsid w:val="00101D37"/>
    <w:rsid w:val="001035A3"/>
    <w:rsid w:val="001035B3"/>
    <w:rsid w:val="00113E54"/>
    <w:rsid w:val="001141BA"/>
    <w:rsid w:val="0011743E"/>
    <w:rsid w:val="001204A8"/>
    <w:rsid w:val="00121520"/>
    <w:rsid w:val="0012260D"/>
    <w:rsid w:val="0012327E"/>
    <w:rsid w:val="00124A41"/>
    <w:rsid w:val="00124AC4"/>
    <w:rsid w:val="00127A19"/>
    <w:rsid w:val="0013099F"/>
    <w:rsid w:val="00142025"/>
    <w:rsid w:val="00147C69"/>
    <w:rsid w:val="00153AEF"/>
    <w:rsid w:val="00155AF5"/>
    <w:rsid w:val="00160C86"/>
    <w:rsid w:val="00162498"/>
    <w:rsid w:val="00163884"/>
    <w:rsid w:val="00164816"/>
    <w:rsid w:val="00164F2E"/>
    <w:rsid w:val="00166F5C"/>
    <w:rsid w:val="00167F22"/>
    <w:rsid w:val="00170369"/>
    <w:rsid w:val="0018056B"/>
    <w:rsid w:val="0018135C"/>
    <w:rsid w:val="001819D6"/>
    <w:rsid w:val="001839AD"/>
    <w:rsid w:val="0018620E"/>
    <w:rsid w:val="0019054C"/>
    <w:rsid w:val="0019181E"/>
    <w:rsid w:val="0019282A"/>
    <w:rsid w:val="00194FA5"/>
    <w:rsid w:val="001A2292"/>
    <w:rsid w:val="001A245C"/>
    <w:rsid w:val="001A2A1F"/>
    <w:rsid w:val="001A4A2D"/>
    <w:rsid w:val="001B1AC1"/>
    <w:rsid w:val="001B2DA6"/>
    <w:rsid w:val="001B32AC"/>
    <w:rsid w:val="001C35FD"/>
    <w:rsid w:val="001C72BE"/>
    <w:rsid w:val="001D56EF"/>
    <w:rsid w:val="001D5D5D"/>
    <w:rsid w:val="001D5E69"/>
    <w:rsid w:val="001E01C2"/>
    <w:rsid w:val="001E0933"/>
    <w:rsid w:val="001E0B88"/>
    <w:rsid w:val="001E1911"/>
    <w:rsid w:val="001E3ED2"/>
    <w:rsid w:val="001E43C0"/>
    <w:rsid w:val="001E44D2"/>
    <w:rsid w:val="001E5978"/>
    <w:rsid w:val="001E62EC"/>
    <w:rsid w:val="001E6C55"/>
    <w:rsid w:val="001F37C0"/>
    <w:rsid w:val="001F3918"/>
    <w:rsid w:val="001F7355"/>
    <w:rsid w:val="001F7E5B"/>
    <w:rsid w:val="002013CB"/>
    <w:rsid w:val="00203F24"/>
    <w:rsid w:val="002075FE"/>
    <w:rsid w:val="00212B12"/>
    <w:rsid w:val="00213236"/>
    <w:rsid w:val="00213C5C"/>
    <w:rsid w:val="00222306"/>
    <w:rsid w:val="00223F11"/>
    <w:rsid w:val="002243D3"/>
    <w:rsid w:val="002255B7"/>
    <w:rsid w:val="00230311"/>
    <w:rsid w:val="00230DEB"/>
    <w:rsid w:val="00234210"/>
    <w:rsid w:val="0023752F"/>
    <w:rsid w:val="00240407"/>
    <w:rsid w:val="002407A5"/>
    <w:rsid w:val="0024298C"/>
    <w:rsid w:val="00245C44"/>
    <w:rsid w:val="002521B6"/>
    <w:rsid w:val="00255C05"/>
    <w:rsid w:val="0025774A"/>
    <w:rsid w:val="00257EA6"/>
    <w:rsid w:val="0026122E"/>
    <w:rsid w:val="0026569C"/>
    <w:rsid w:val="00270B72"/>
    <w:rsid w:val="00272515"/>
    <w:rsid w:val="00274ED1"/>
    <w:rsid w:val="00276BE6"/>
    <w:rsid w:val="00287AEF"/>
    <w:rsid w:val="002922DA"/>
    <w:rsid w:val="00295159"/>
    <w:rsid w:val="002A194A"/>
    <w:rsid w:val="002A369E"/>
    <w:rsid w:val="002A7181"/>
    <w:rsid w:val="002B3710"/>
    <w:rsid w:val="002B4F28"/>
    <w:rsid w:val="002B7FBD"/>
    <w:rsid w:val="002C4657"/>
    <w:rsid w:val="002C6004"/>
    <w:rsid w:val="002C67FF"/>
    <w:rsid w:val="002C7EF3"/>
    <w:rsid w:val="002D23D7"/>
    <w:rsid w:val="002D7B0A"/>
    <w:rsid w:val="002E0E68"/>
    <w:rsid w:val="002E1CF4"/>
    <w:rsid w:val="002E2271"/>
    <w:rsid w:val="002E26F2"/>
    <w:rsid w:val="002E2C1F"/>
    <w:rsid w:val="002E400E"/>
    <w:rsid w:val="002E4C55"/>
    <w:rsid w:val="002E5BFC"/>
    <w:rsid w:val="002F1D47"/>
    <w:rsid w:val="002F3E2F"/>
    <w:rsid w:val="002F3F98"/>
    <w:rsid w:val="002F5F2E"/>
    <w:rsid w:val="002F73B2"/>
    <w:rsid w:val="00301046"/>
    <w:rsid w:val="003037D9"/>
    <w:rsid w:val="00304C08"/>
    <w:rsid w:val="00305075"/>
    <w:rsid w:val="0031254A"/>
    <w:rsid w:val="00313427"/>
    <w:rsid w:val="00324FE6"/>
    <w:rsid w:val="00325830"/>
    <w:rsid w:val="00325FE9"/>
    <w:rsid w:val="003323ED"/>
    <w:rsid w:val="0033367E"/>
    <w:rsid w:val="00334075"/>
    <w:rsid w:val="00335FCC"/>
    <w:rsid w:val="003400FB"/>
    <w:rsid w:val="00341C0C"/>
    <w:rsid w:val="0034371F"/>
    <w:rsid w:val="00343CA8"/>
    <w:rsid w:val="00343F4B"/>
    <w:rsid w:val="0034500F"/>
    <w:rsid w:val="003523BC"/>
    <w:rsid w:val="00353BAD"/>
    <w:rsid w:val="00353C7F"/>
    <w:rsid w:val="00354271"/>
    <w:rsid w:val="003559F5"/>
    <w:rsid w:val="00355A22"/>
    <w:rsid w:val="00356141"/>
    <w:rsid w:val="00361789"/>
    <w:rsid w:val="003621A2"/>
    <w:rsid w:val="00364030"/>
    <w:rsid w:val="00370E64"/>
    <w:rsid w:val="0038441D"/>
    <w:rsid w:val="00386F19"/>
    <w:rsid w:val="0038744C"/>
    <w:rsid w:val="00390EB2"/>
    <w:rsid w:val="00392C3B"/>
    <w:rsid w:val="00397B22"/>
    <w:rsid w:val="003A3829"/>
    <w:rsid w:val="003B0F49"/>
    <w:rsid w:val="003B197D"/>
    <w:rsid w:val="003B269E"/>
    <w:rsid w:val="003B69B5"/>
    <w:rsid w:val="003B7544"/>
    <w:rsid w:val="003C6434"/>
    <w:rsid w:val="003C790A"/>
    <w:rsid w:val="003D111C"/>
    <w:rsid w:val="003D497E"/>
    <w:rsid w:val="003D60F1"/>
    <w:rsid w:val="003D645A"/>
    <w:rsid w:val="003E0BD4"/>
    <w:rsid w:val="003E3C74"/>
    <w:rsid w:val="003E5176"/>
    <w:rsid w:val="003E54EB"/>
    <w:rsid w:val="003F0EBA"/>
    <w:rsid w:val="003F142A"/>
    <w:rsid w:val="003F3EA3"/>
    <w:rsid w:val="003F57EB"/>
    <w:rsid w:val="004051D4"/>
    <w:rsid w:val="00406BDB"/>
    <w:rsid w:val="00410C34"/>
    <w:rsid w:val="00413356"/>
    <w:rsid w:val="00414492"/>
    <w:rsid w:val="004208C0"/>
    <w:rsid w:val="00422096"/>
    <w:rsid w:val="004226B6"/>
    <w:rsid w:val="00422992"/>
    <w:rsid w:val="00422B6F"/>
    <w:rsid w:val="004247C1"/>
    <w:rsid w:val="00430984"/>
    <w:rsid w:val="004318D8"/>
    <w:rsid w:val="0043432E"/>
    <w:rsid w:val="004368B9"/>
    <w:rsid w:val="00437FA5"/>
    <w:rsid w:val="00440317"/>
    <w:rsid w:val="004413F0"/>
    <w:rsid w:val="004429B1"/>
    <w:rsid w:val="00444A83"/>
    <w:rsid w:val="0044632C"/>
    <w:rsid w:val="0045478E"/>
    <w:rsid w:val="00454D3F"/>
    <w:rsid w:val="004552DF"/>
    <w:rsid w:val="00457C35"/>
    <w:rsid w:val="004604CA"/>
    <w:rsid w:val="004619F4"/>
    <w:rsid w:val="00463669"/>
    <w:rsid w:val="00464151"/>
    <w:rsid w:val="004719CD"/>
    <w:rsid w:val="004737E3"/>
    <w:rsid w:val="0048049E"/>
    <w:rsid w:val="00481A01"/>
    <w:rsid w:val="00490323"/>
    <w:rsid w:val="004926E8"/>
    <w:rsid w:val="00493337"/>
    <w:rsid w:val="004963AE"/>
    <w:rsid w:val="004A3398"/>
    <w:rsid w:val="004A377E"/>
    <w:rsid w:val="004A75A2"/>
    <w:rsid w:val="004B170D"/>
    <w:rsid w:val="004B3CBE"/>
    <w:rsid w:val="004C3C84"/>
    <w:rsid w:val="004C4DEB"/>
    <w:rsid w:val="004C4E96"/>
    <w:rsid w:val="004C5E63"/>
    <w:rsid w:val="004D034B"/>
    <w:rsid w:val="004D22BB"/>
    <w:rsid w:val="004D3087"/>
    <w:rsid w:val="004D5207"/>
    <w:rsid w:val="004E06CD"/>
    <w:rsid w:val="004E1B78"/>
    <w:rsid w:val="004E441A"/>
    <w:rsid w:val="004E7B97"/>
    <w:rsid w:val="004F31FC"/>
    <w:rsid w:val="004F37B5"/>
    <w:rsid w:val="004F5D01"/>
    <w:rsid w:val="004F6C34"/>
    <w:rsid w:val="004F7593"/>
    <w:rsid w:val="0050115A"/>
    <w:rsid w:val="0050275F"/>
    <w:rsid w:val="005044EB"/>
    <w:rsid w:val="00506600"/>
    <w:rsid w:val="005074EC"/>
    <w:rsid w:val="00507BB7"/>
    <w:rsid w:val="00511FF1"/>
    <w:rsid w:val="0051468C"/>
    <w:rsid w:val="00515BDF"/>
    <w:rsid w:val="0051679B"/>
    <w:rsid w:val="005225CF"/>
    <w:rsid w:val="00522B6D"/>
    <w:rsid w:val="00523415"/>
    <w:rsid w:val="005239A3"/>
    <w:rsid w:val="0052416B"/>
    <w:rsid w:val="00524A8C"/>
    <w:rsid w:val="00527FAC"/>
    <w:rsid w:val="00530911"/>
    <w:rsid w:val="005312EF"/>
    <w:rsid w:val="00543D2C"/>
    <w:rsid w:val="005507D0"/>
    <w:rsid w:val="0055159A"/>
    <w:rsid w:val="00552380"/>
    <w:rsid w:val="00552A94"/>
    <w:rsid w:val="0055325F"/>
    <w:rsid w:val="005606CF"/>
    <w:rsid w:val="00561D35"/>
    <w:rsid w:val="005633A5"/>
    <w:rsid w:val="00567BDA"/>
    <w:rsid w:val="00570574"/>
    <w:rsid w:val="005705F4"/>
    <w:rsid w:val="0057082B"/>
    <w:rsid w:val="00573DEA"/>
    <w:rsid w:val="005746E5"/>
    <w:rsid w:val="00577512"/>
    <w:rsid w:val="00577603"/>
    <w:rsid w:val="005816B5"/>
    <w:rsid w:val="00592661"/>
    <w:rsid w:val="00595AB3"/>
    <w:rsid w:val="005A095E"/>
    <w:rsid w:val="005A0EEA"/>
    <w:rsid w:val="005A275A"/>
    <w:rsid w:val="005A2A46"/>
    <w:rsid w:val="005A2F9A"/>
    <w:rsid w:val="005A49A5"/>
    <w:rsid w:val="005B1C20"/>
    <w:rsid w:val="005B34E0"/>
    <w:rsid w:val="005B6F6A"/>
    <w:rsid w:val="005B74DB"/>
    <w:rsid w:val="005B7A48"/>
    <w:rsid w:val="005C0C2A"/>
    <w:rsid w:val="005C2FA7"/>
    <w:rsid w:val="005C4C10"/>
    <w:rsid w:val="005C4DA2"/>
    <w:rsid w:val="005D00B7"/>
    <w:rsid w:val="005D149D"/>
    <w:rsid w:val="005D1C64"/>
    <w:rsid w:val="005D1CCE"/>
    <w:rsid w:val="005D45A0"/>
    <w:rsid w:val="005E084E"/>
    <w:rsid w:val="005E19CE"/>
    <w:rsid w:val="005E6997"/>
    <w:rsid w:val="005E7DDF"/>
    <w:rsid w:val="005F2138"/>
    <w:rsid w:val="005F53EB"/>
    <w:rsid w:val="005F621C"/>
    <w:rsid w:val="005F75DB"/>
    <w:rsid w:val="00600BB5"/>
    <w:rsid w:val="00604908"/>
    <w:rsid w:val="006067A9"/>
    <w:rsid w:val="006077F9"/>
    <w:rsid w:val="00607F1D"/>
    <w:rsid w:val="00610DE9"/>
    <w:rsid w:val="00612880"/>
    <w:rsid w:val="00613103"/>
    <w:rsid w:val="00613511"/>
    <w:rsid w:val="006142AE"/>
    <w:rsid w:val="00615409"/>
    <w:rsid w:val="00617445"/>
    <w:rsid w:val="00617A74"/>
    <w:rsid w:val="00620F03"/>
    <w:rsid w:val="00623E7A"/>
    <w:rsid w:val="006240EC"/>
    <w:rsid w:val="006268EA"/>
    <w:rsid w:val="0062694F"/>
    <w:rsid w:val="00632767"/>
    <w:rsid w:val="00642948"/>
    <w:rsid w:val="00642985"/>
    <w:rsid w:val="006502B6"/>
    <w:rsid w:val="0065171D"/>
    <w:rsid w:val="00651AAF"/>
    <w:rsid w:val="00653963"/>
    <w:rsid w:val="00655C59"/>
    <w:rsid w:val="00657E43"/>
    <w:rsid w:val="00660548"/>
    <w:rsid w:val="0066418D"/>
    <w:rsid w:val="00675AB9"/>
    <w:rsid w:val="006810D6"/>
    <w:rsid w:val="00684023"/>
    <w:rsid w:val="00684DA6"/>
    <w:rsid w:val="006A17D4"/>
    <w:rsid w:val="006A48B8"/>
    <w:rsid w:val="006A6049"/>
    <w:rsid w:val="006B14B8"/>
    <w:rsid w:val="006B4EF2"/>
    <w:rsid w:val="006B5461"/>
    <w:rsid w:val="006B6CEC"/>
    <w:rsid w:val="006B7B54"/>
    <w:rsid w:val="006B7FA7"/>
    <w:rsid w:val="006C0D19"/>
    <w:rsid w:val="006C1885"/>
    <w:rsid w:val="006C21C7"/>
    <w:rsid w:val="006C2CCE"/>
    <w:rsid w:val="006C6630"/>
    <w:rsid w:val="006D0576"/>
    <w:rsid w:val="006D0910"/>
    <w:rsid w:val="006D1721"/>
    <w:rsid w:val="006D1889"/>
    <w:rsid w:val="006D3A48"/>
    <w:rsid w:val="006D4BE4"/>
    <w:rsid w:val="006D5778"/>
    <w:rsid w:val="006D692A"/>
    <w:rsid w:val="006E03B5"/>
    <w:rsid w:val="006E4821"/>
    <w:rsid w:val="006E4890"/>
    <w:rsid w:val="006E562F"/>
    <w:rsid w:val="006E7A01"/>
    <w:rsid w:val="006F345F"/>
    <w:rsid w:val="006F552A"/>
    <w:rsid w:val="006F6308"/>
    <w:rsid w:val="006F6446"/>
    <w:rsid w:val="006F7CE5"/>
    <w:rsid w:val="007060E9"/>
    <w:rsid w:val="007075DB"/>
    <w:rsid w:val="00713E56"/>
    <w:rsid w:val="007145FF"/>
    <w:rsid w:val="00714DAA"/>
    <w:rsid w:val="007160C5"/>
    <w:rsid w:val="007205B4"/>
    <w:rsid w:val="00722BF2"/>
    <w:rsid w:val="00723C53"/>
    <w:rsid w:val="00724C2A"/>
    <w:rsid w:val="00731992"/>
    <w:rsid w:val="00736104"/>
    <w:rsid w:val="007457BA"/>
    <w:rsid w:val="00745E5D"/>
    <w:rsid w:val="00745F02"/>
    <w:rsid w:val="00755868"/>
    <w:rsid w:val="00755B30"/>
    <w:rsid w:val="00756F06"/>
    <w:rsid w:val="00762420"/>
    <w:rsid w:val="007625C3"/>
    <w:rsid w:val="007655CE"/>
    <w:rsid w:val="007670E2"/>
    <w:rsid w:val="00767833"/>
    <w:rsid w:val="00772E76"/>
    <w:rsid w:val="00773BAA"/>
    <w:rsid w:val="00775B1D"/>
    <w:rsid w:val="00784075"/>
    <w:rsid w:val="0078518C"/>
    <w:rsid w:val="00786974"/>
    <w:rsid w:val="00792749"/>
    <w:rsid w:val="00794EE8"/>
    <w:rsid w:val="00795B97"/>
    <w:rsid w:val="0079645D"/>
    <w:rsid w:val="007A37DB"/>
    <w:rsid w:val="007B1B83"/>
    <w:rsid w:val="007B701D"/>
    <w:rsid w:val="007B7A9D"/>
    <w:rsid w:val="007C0E24"/>
    <w:rsid w:val="007C1D39"/>
    <w:rsid w:val="007C2AB8"/>
    <w:rsid w:val="007C4D00"/>
    <w:rsid w:val="007C698B"/>
    <w:rsid w:val="007C6CEF"/>
    <w:rsid w:val="007D01D6"/>
    <w:rsid w:val="007D1480"/>
    <w:rsid w:val="007D2663"/>
    <w:rsid w:val="007E1D68"/>
    <w:rsid w:val="007E53A0"/>
    <w:rsid w:val="007E757D"/>
    <w:rsid w:val="007F13B5"/>
    <w:rsid w:val="007F50CA"/>
    <w:rsid w:val="00803941"/>
    <w:rsid w:val="00804099"/>
    <w:rsid w:val="0080461A"/>
    <w:rsid w:val="008053D5"/>
    <w:rsid w:val="00806223"/>
    <w:rsid w:val="0080745E"/>
    <w:rsid w:val="0080780A"/>
    <w:rsid w:val="00807CDB"/>
    <w:rsid w:val="00812827"/>
    <w:rsid w:val="0082250D"/>
    <w:rsid w:val="0082631D"/>
    <w:rsid w:val="008312BB"/>
    <w:rsid w:val="008354F3"/>
    <w:rsid w:val="00850288"/>
    <w:rsid w:val="00850DFD"/>
    <w:rsid w:val="00854DC4"/>
    <w:rsid w:val="0085594E"/>
    <w:rsid w:val="00860C7E"/>
    <w:rsid w:val="008702D4"/>
    <w:rsid w:val="00870549"/>
    <w:rsid w:val="00871104"/>
    <w:rsid w:val="00871F8F"/>
    <w:rsid w:val="00874BEA"/>
    <w:rsid w:val="00876465"/>
    <w:rsid w:val="0088027A"/>
    <w:rsid w:val="00880FF8"/>
    <w:rsid w:val="008917B5"/>
    <w:rsid w:val="0089221C"/>
    <w:rsid w:val="008A4FA5"/>
    <w:rsid w:val="008A6420"/>
    <w:rsid w:val="008A6B59"/>
    <w:rsid w:val="008B4013"/>
    <w:rsid w:val="008B682F"/>
    <w:rsid w:val="008C4A3E"/>
    <w:rsid w:val="008D23C5"/>
    <w:rsid w:val="008D3204"/>
    <w:rsid w:val="008E66B7"/>
    <w:rsid w:val="008F22A9"/>
    <w:rsid w:val="008F390C"/>
    <w:rsid w:val="008F42DA"/>
    <w:rsid w:val="008F4F1E"/>
    <w:rsid w:val="008F6CDB"/>
    <w:rsid w:val="00902388"/>
    <w:rsid w:val="0090269E"/>
    <w:rsid w:val="00904D91"/>
    <w:rsid w:val="00910D48"/>
    <w:rsid w:val="009174D7"/>
    <w:rsid w:val="00921F85"/>
    <w:rsid w:val="00923BFF"/>
    <w:rsid w:val="00930E97"/>
    <w:rsid w:val="00934610"/>
    <w:rsid w:val="00934D1B"/>
    <w:rsid w:val="009357B5"/>
    <w:rsid w:val="009361FE"/>
    <w:rsid w:val="00937615"/>
    <w:rsid w:val="00942F54"/>
    <w:rsid w:val="0094410C"/>
    <w:rsid w:val="0094638A"/>
    <w:rsid w:val="00952282"/>
    <w:rsid w:val="00953B63"/>
    <w:rsid w:val="00957177"/>
    <w:rsid w:val="009615E0"/>
    <w:rsid w:val="00962C7B"/>
    <w:rsid w:val="00963F6D"/>
    <w:rsid w:val="00964A22"/>
    <w:rsid w:val="00964B77"/>
    <w:rsid w:val="009742F5"/>
    <w:rsid w:val="009831F8"/>
    <w:rsid w:val="00983B00"/>
    <w:rsid w:val="009841A4"/>
    <w:rsid w:val="00990D68"/>
    <w:rsid w:val="00993536"/>
    <w:rsid w:val="00993654"/>
    <w:rsid w:val="009949AF"/>
    <w:rsid w:val="00997570"/>
    <w:rsid w:val="0099759F"/>
    <w:rsid w:val="009A18F2"/>
    <w:rsid w:val="009A3824"/>
    <w:rsid w:val="009A6C0B"/>
    <w:rsid w:val="009B04A7"/>
    <w:rsid w:val="009B16AD"/>
    <w:rsid w:val="009B3482"/>
    <w:rsid w:val="009B4634"/>
    <w:rsid w:val="009C0DE4"/>
    <w:rsid w:val="009C15AB"/>
    <w:rsid w:val="009C3CCA"/>
    <w:rsid w:val="009C4304"/>
    <w:rsid w:val="009C526C"/>
    <w:rsid w:val="009C7920"/>
    <w:rsid w:val="009C7EA7"/>
    <w:rsid w:val="009D21F0"/>
    <w:rsid w:val="009D269B"/>
    <w:rsid w:val="009D32D1"/>
    <w:rsid w:val="009D76C2"/>
    <w:rsid w:val="009D7CCD"/>
    <w:rsid w:val="009E31A4"/>
    <w:rsid w:val="009E4502"/>
    <w:rsid w:val="009E4D24"/>
    <w:rsid w:val="009E5189"/>
    <w:rsid w:val="009E51B9"/>
    <w:rsid w:val="009E5B6E"/>
    <w:rsid w:val="009E7140"/>
    <w:rsid w:val="009F07ED"/>
    <w:rsid w:val="009F2134"/>
    <w:rsid w:val="009F2B68"/>
    <w:rsid w:val="009F53EE"/>
    <w:rsid w:val="009F57F8"/>
    <w:rsid w:val="009F6131"/>
    <w:rsid w:val="009F77CD"/>
    <w:rsid w:val="009F7996"/>
    <w:rsid w:val="00A01CB7"/>
    <w:rsid w:val="00A036E3"/>
    <w:rsid w:val="00A060C2"/>
    <w:rsid w:val="00A07ADE"/>
    <w:rsid w:val="00A10D18"/>
    <w:rsid w:val="00A142E1"/>
    <w:rsid w:val="00A146F6"/>
    <w:rsid w:val="00A14C36"/>
    <w:rsid w:val="00A15A09"/>
    <w:rsid w:val="00A165CB"/>
    <w:rsid w:val="00A21C7F"/>
    <w:rsid w:val="00A22040"/>
    <w:rsid w:val="00A3046A"/>
    <w:rsid w:val="00A3143B"/>
    <w:rsid w:val="00A4248C"/>
    <w:rsid w:val="00A56C23"/>
    <w:rsid w:val="00A61C07"/>
    <w:rsid w:val="00A62131"/>
    <w:rsid w:val="00A621CC"/>
    <w:rsid w:val="00A64EBE"/>
    <w:rsid w:val="00A66852"/>
    <w:rsid w:val="00A67FEC"/>
    <w:rsid w:val="00A74AD9"/>
    <w:rsid w:val="00A76AC1"/>
    <w:rsid w:val="00A856AE"/>
    <w:rsid w:val="00A8602D"/>
    <w:rsid w:val="00A8798A"/>
    <w:rsid w:val="00A87C2B"/>
    <w:rsid w:val="00A90102"/>
    <w:rsid w:val="00A90AFA"/>
    <w:rsid w:val="00A91F00"/>
    <w:rsid w:val="00A929E3"/>
    <w:rsid w:val="00A95215"/>
    <w:rsid w:val="00A96B8C"/>
    <w:rsid w:val="00A97999"/>
    <w:rsid w:val="00AA11C3"/>
    <w:rsid w:val="00AA6005"/>
    <w:rsid w:val="00AA7601"/>
    <w:rsid w:val="00AA76C5"/>
    <w:rsid w:val="00AA7C46"/>
    <w:rsid w:val="00AB48C7"/>
    <w:rsid w:val="00AB6348"/>
    <w:rsid w:val="00AC0223"/>
    <w:rsid w:val="00AC0391"/>
    <w:rsid w:val="00AC146A"/>
    <w:rsid w:val="00AC3662"/>
    <w:rsid w:val="00AC39B2"/>
    <w:rsid w:val="00AC43AB"/>
    <w:rsid w:val="00AC61E6"/>
    <w:rsid w:val="00AC65A6"/>
    <w:rsid w:val="00AC7242"/>
    <w:rsid w:val="00AD049B"/>
    <w:rsid w:val="00AD749D"/>
    <w:rsid w:val="00AD79DD"/>
    <w:rsid w:val="00AE0F56"/>
    <w:rsid w:val="00AE56E5"/>
    <w:rsid w:val="00AE6136"/>
    <w:rsid w:val="00AE7C8E"/>
    <w:rsid w:val="00AF1CD2"/>
    <w:rsid w:val="00AF1E88"/>
    <w:rsid w:val="00AF4340"/>
    <w:rsid w:val="00AF525D"/>
    <w:rsid w:val="00AF54FB"/>
    <w:rsid w:val="00AF7EAA"/>
    <w:rsid w:val="00B039CC"/>
    <w:rsid w:val="00B10C1E"/>
    <w:rsid w:val="00B12FAC"/>
    <w:rsid w:val="00B14BE8"/>
    <w:rsid w:val="00B210C8"/>
    <w:rsid w:val="00B22391"/>
    <w:rsid w:val="00B229DF"/>
    <w:rsid w:val="00B22B6B"/>
    <w:rsid w:val="00B23256"/>
    <w:rsid w:val="00B259FE"/>
    <w:rsid w:val="00B2651B"/>
    <w:rsid w:val="00B300D1"/>
    <w:rsid w:val="00B3178D"/>
    <w:rsid w:val="00B341AA"/>
    <w:rsid w:val="00B35118"/>
    <w:rsid w:val="00B35823"/>
    <w:rsid w:val="00B36BFC"/>
    <w:rsid w:val="00B411B1"/>
    <w:rsid w:val="00B41757"/>
    <w:rsid w:val="00B42960"/>
    <w:rsid w:val="00B442C0"/>
    <w:rsid w:val="00B50F11"/>
    <w:rsid w:val="00B546C5"/>
    <w:rsid w:val="00B57905"/>
    <w:rsid w:val="00B61442"/>
    <w:rsid w:val="00B615E4"/>
    <w:rsid w:val="00B61DFB"/>
    <w:rsid w:val="00B63A0D"/>
    <w:rsid w:val="00B6463C"/>
    <w:rsid w:val="00B65054"/>
    <w:rsid w:val="00B6672C"/>
    <w:rsid w:val="00B72E9D"/>
    <w:rsid w:val="00B752FC"/>
    <w:rsid w:val="00B75E5F"/>
    <w:rsid w:val="00B811F0"/>
    <w:rsid w:val="00B81571"/>
    <w:rsid w:val="00B82032"/>
    <w:rsid w:val="00B83D89"/>
    <w:rsid w:val="00B85B2F"/>
    <w:rsid w:val="00B907AB"/>
    <w:rsid w:val="00B91A74"/>
    <w:rsid w:val="00B931C7"/>
    <w:rsid w:val="00B935DF"/>
    <w:rsid w:val="00B9445D"/>
    <w:rsid w:val="00B94BCF"/>
    <w:rsid w:val="00B95412"/>
    <w:rsid w:val="00B95B74"/>
    <w:rsid w:val="00B97178"/>
    <w:rsid w:val="00BA0448"/>
    <w:rsid w:val="00BA6B5D"/>
    <w:rsid w:val="00BB1A21"/>
    <w:rsid w:val="00BB20B2"/>
    <w:rsid w:val="00BB331D"/>
    <w:rsid w:val="00BB4121"/>
    <w:rsid w:val="00BB6750"/>
    <w:rsid w:val="00BC0675"/>
    <w:rsid w:val="00BC3030"/>
    <w:rsid w:val="00BC592D"/>
    <w:rsid w:val="00BC64D6"/>
    <w:rsid w:val="00BC7741"/>
    <w:rsid w:val="00BD1978"/>
    <w:rsid w:val="00BD29BF"/>
    <w:rsid w:val="00BD787A"/>
    <w:rsid w:val="00BD7D81"/>
    <w:rsid w:val="00BE281D"/>
    <w:rsid w:val="00BE2C93"/>
    <w:rsid w:val="00BE2F2D"/>
    <w:rsid w:val="00BE30E7"/>
    <w:rsid w:val="00BE3B26"/>
    <w:rsid w:val="00BE5D57"/>
    <w:rsid w:val="00BF14FA"/>
    <w:rsid w:val="00BF1859"/>
    <w:rsid w:val="00BF5E64"/>
    <w:rsid w:val="00BF6BEF"/>
    <w:rsid w:val="00BF6DA5"/>
    <w:rsid w:val="00BF7577"/>
    <w:rsid w:val="00C00419"/>
    <w:rsid w:val="00C00CAD"/>
    <w:rsid w:val="00C061BC"/>
    <w:rsid w:val="00C06B3C"/>
    <w:rsid w:val="00C105EE"/>
    <w:rsid w:val="00C11F45"/>
    <w:rsid w:val="00C1337F"/>
    <w:rsid w:val="00C13FBF"/>
    <w:rsid w:val="00C15A73"/>
    <w:rsid w:val="00C23B6F"/>
    <w:rsid w:val="00C23E88"/>
    <w:rsid w:val="00C24875"/>
    <w:rsid w:val="00C31088"/>
    <w:rsid w:val="00C32CF6"/>
    <w:rsid w:val="00C32F4A"/>
    <w:rsid w:val="00C400A5"/>
    <w:rsid w:val="00C43413"/>
    <w:rsid w:val="00C43FEB"/>
    <w:rsid w:val="00C45E60"/>
    <w:rsid w:val="00C50F4D"/>
    <w:rsid w:val="00C51872"/>
    <w:rsid w:val="00C54D1F"/>
    <w:rsid w:val="00C63A01"/>
    <w:rsid w:val="00C6402A"/>
    <w:rsid w:val="00C670E4"/>
    <w:rsid w:val="00C71237"/>
    <w:rsid w:val="00C73FA9"/>
    <w:rsid w:val="00C75496"/>
    <w:rsid w:val="00C7658D"/>
    <w:rsid w:val="00C80E2B"/>
    <w:rsid w:val="00C817E6"/>
    <w:rsid w:val="00C85165"/>
    <w:rsid w:val="00C853F7"/>
    <w:rsid w:val="00C855C4"/>
    <w:rsid w:val="00C85D87"/>
    <w:rsid w:val="00C863F0"/>
    <w:rsid w:val="00C87893"/>
    <w:rsid w:val="00C921AF"/>
    <w:rsid w:val="00C931D0"/>
    <w:rsid w:val="00C94CF1"/>
    <w:rsid w:val="00C971FF"/>
    <w:rsid w:val="00CA0705"/>
    <w:rsid w:val="00CA0D40"/>
    <w:rsid w:val="00CA25B6"/>
    <w:rsid w:val="00CA285C"/>
    <w:rsid w:val="00CA609C"/>
    <w:rsid w:val="00CA6481"/>
    <w:rsid w:val="00CB1AEB"/>
    <w:rsid w:val="00CB390D"/>
    <w:rsid w:val="00CC0B7A"/>
    <w:rsid w:val="00CD0033"/>
    <w:rsid w:val="00CD28DE"/>
    <w:rsid w:val="00CD29B0"/>
    <w:rsid w:val="00CD2C71"/>
    <w:rsid w:val="00CD585E"/>
    <w:rsid w:val="00CE0D4B"/>
    <w:rsid w:val="00CE22C8"/>
    <w:rsid w:val="00CE2530"/>
    <w:rsid w:val="00CE304E"/>
    <w:rsid w:val="00CE4768"/>
    <w:rsid w:val="00CE6C38"/>
    <w:rsid w:val="00CF29C3"/>
    <w:rsid w:val="00CF50AD"/>
    <w:rsid w:val="00CF5D57"/>
    <w:rsid w:val="00D004B9"/>
    <w:rsid w:val="00D015EA"/>
    <w:rsid w:val="00D01E62"/>
    <w:rsid w:val="00D01EBA"/>
    <w:rsid w:val="00D039F7"/>
    <w:rsid w:val="00D078C8"/>
    <w:rsid w:val="00D179CF"/>
    <w:rsid w:val="00D205AF"/>
    <w:rsid w:val="00D20A19"/>
    <w:rsid w:val="00D22086"/>
    <w:rsid w:val="00D2515E"/>
    <w:rsid w:val="00D25FDE"/>
    <w:rsid w:val="00D2696B"/>
    <w:rsid w:val="00D26B49"/>
    <w:rsid w:val="00D336B8"/>
    <w:rsid w:val="00D33B6C"/>
    <w:rsid w:val="00D357E6"/>
    <w:rsid w:val="00D366C3"/>
    <w:rsid w:val="00D37C56"/>
    <w:rsid w:val="00D43428"/>
    <w:rsid w:val="00D43A15"/>
    <w:rsid w:val="00D53B08"/>
    <w:rsid w:val="00D53D2C"/>
    <w:rsid w:val="00D540C2"/>
    <w:rsid w:val="00D55DF3"/>
    <w:rsid w:val="00D60FC6"/>
    <w:rsid w:val="00D635F2"/>
    <w:rsid w:val="00D66A9B"/>
    <w:rsid w:val="00D66C2E"/>
    <w:rsid w:val="00D678EB"/>
    <w:rsid w:val="00D709F7"/>
    <w:rsid w:val="00D7141A"/>
    <w:rsid w:val="00D71857"/>
    <w:rsid w:val="00D7279A"/>
    <w:rsid w:val="00D72C7B"/>
    <w:rsid w:val="00D732BC"/>
    <w:rsid w:val="00D76190"/>
    <w:rsid w:val="00D77793"/>
    <w:rsid w:val="00D815C6"/>
    <w:rsid w:val="00D820F6"/>
    <w:rsid w:val="00D85600"/>
    <w:rsid w:val="00D8594F"/>
    <w:rsid w:val="00D90A76"/>
    <w:rsid w:val="00D92160"/>
    <w:rsid w:val="00D9297D"/>
    <w:rsid w:val="00D947AC"/>
    <w:rsid w:val="00DA016C"/>
    <w:rsid w:val="00DA1FC3"/>
    <w:rsid w:val="00DA57DF"/>
    <w:rsid w:val="00DA6638"/>
    <w:rsid w:val="00DA73CE"/>
    <w:rsid w:val="00DB1FBA"/>
    <w:rsid w:val="00DB34F1"/>
    <w:rsid w:val="00DD0B3A"/>
    <w:rsid w:val="00DD1084"/>
    <w:rsid w:val="00DD3134"/>
    <w:rsid w:val="00DE61B0"/>
    <w:rsid w:val="00DE70A0"/>
    <w:rsid w:val="00DE7A68"/>
    <w:rsid w:val="00DF65DB"/>
    <w:rsid w:val="00DF69AD"/>
    <w:rsid w:val="00DF69AF"/>
    <w:rsid w:val="00DF74C3"/>
    <w:rsid w:val="00DF7830"/>
    <w:rsid w:val="00DF7BE0"/>
    <w:rsid w:val="00E004B0"/>
    <w:rsid w:val="00E032DD"/>
    <w:rsid w:val="00E0355A"/>
    <w:rsid w:val="00E0405B"/>
    <w:rsid w:val="00E04062"/>
    <w:rsid w:val="00E04BBA"/>
    <w:rsid w:val="00E056B0"/>
    <w:rsid w:val="00E12338"/>
    <w:rsid w:val="00E2021E"/>
    <w:rsid w:val="00E21FC5"/>
    <w:rsid w:val="00E22985"/>
    <w:rsid w:val="00E239DD"/>
    <w:rsid w:val="00E23B12"/>
    <w:rsid w:val="00E24882"/>
    <w:rsid w:val="00E25FDD"/>
    <w:rsid w:val="00E272E6"/>
    <w:rsid w:val="00E33FA3"/>
    <w:rsid w:val="00E34DAA"/>
    <w:rsid w:val="00E35CC8"/>
    <w:rsid w:val="00E35E84"/>
    <w:rsid w:val="00E42DC3"/>
    <w:rsid w:val="00E604B8"/>
    <w:rsid w:val="00E61480"/>
    <w:rsid w:val="00E666D3"/>
    <w:rsid w:val="00E73192"/>
    <w:rsid w:val="00E734E7"/>
    <w:rsid w:val="00E7697F"/>
    <w:rsid w:val="00E76DB1"/>
    <w:rsid w:val="00E818B6"/>
    <w:rsid w:val="00E8345E"/>
    <w:rsid w:val="00E8348A"/>
    <w:rsid w:val="00E91285"/>
    <w:rsid w:val="00E95FCF"/>
    <w:rsid w:val="00EA355A"/>
    <w:rsid w:val="00EA3B53"/>
    <w:rsid w:val="00EA4F05"/>
    <w:rsid w:val="00EA70E6"/>
    <w:rsid w:val="00EA7D8D"/>
    <w:rsid w:val="00EB04E6"/>
    <w:rsid w:val="00EB4DAB"/>
    <w:rsid w:val="00EB5FD8"/>
    <w:rsid w:val="00EC1D22"/>
    <w:rsid w:val="00EC3BB4"/>
    <w:rsid w:val="00EC5F23"/>
    <w:rsid w:val="00EC6000"/>
    <w:rsid w:val="00EC7B58"/>
    <w:rsid w:val="00ED0E5E"/>
    <w:rsid w:val="00ED3590"/>
    <w:rsid w:val="00ED4373"/>
    <w:rsid w:val="00EE0EEE"/>
    <w:rsid w:val="00EE4577"/>
    <w:rsid w:val="00EF53B5"/>
    <w:rsid w:val="00F0141E"/>
    <w:rsid w:val="00F015DD"/>
    <w:rsid w:val="00F03783"/>
    <w:rsid w:val="00F047BE"/>
    <w:rsid w:val="00F04EA6"/>
    <w:rsid w:val="00F079BA"/>
    <w:rsid w:val="00F12632"/>
    <w:rsid w:val="00F12FC5"/>
    <w:rsid w:val="00F153E2"/>
    <w:rsid w:val="00F165A0"/>
    <w:rsid w:val="00F174EA"/>
    <w:rsid w:val="00F20EC8"/>
    <w:rsid w:val="00F22154"/>
    <w:rsid w:val="00F25B9C"/>
    <w:rsid w:val="00F26E9E"/>
    <w:rsid w:val="00F30B3F"/>
    <w:rsid w:val="00F31AD5"/>
    <w:rsid w:val="00F32262"/>
    <w:rsid w:val="00F32315"/>
    <w:rsid w:val="00F3293D"/>
    <w:rsid w:val="00F356DD"/>
    <w:rsid w:val="00F37831"/>
    <w:rsid w:val="00F37929"/>
    <w:rsid w:val="00F438C9"/>
    <w:rsid w:val="00F57C8C"/>
    <w:rsid w:val="00F629DB"/>
    <w:rsid w:val="00F63E62"/>
    <w:rsid w:val="00F64717"/>
    <w:rsid w:val="00F649FF"/>
    <w:rsid w:val="00F64DC2"/>
    <w:rsid w:val="00F65A43"/>
    <w:rsid w:val="00F720C9"/>
    <w:rsid w:val="00F749BE"/>
    <w:rsid w:val="00F75975"/>
    <w:rsid w:val="00F827BF"/>
    <w:rsid w:val="00F87EAA"/>
    <w:rsid w:val="00F91CE6"/>
    <w:rsid w:val="00F941D8"/>
    <w:rsid w:val="00F973F3"/>
    <w:rsid w:val="00FA26CB"/>
    <w:rsid w:val="00FA2E35"/>
    <w:rsid w:val="00FA2EB2"/>
    <w:rsid w:val="00FA4A79"/>
    <w:rsid w:val="00FB06CA"/>
    <w:rsid w:val="00FB2D10"/>
    <w:rsid w:val="00FC354B"/>
    <w:rsid w:val="00FC4DA6"/>
    <w:rsid w:val="00FC67DA"/>
    <w:rsid w:val="00FD09DB"/>
    <w:rsid w:val="00FD11F6"/>
    <w:rsid w:val="00FD2F0D"/>
    <w:rsid w:val="00FD311A"/>
    <w:rsid w:val="00FD31B3"/>
    <w:rsid w:val="00FD389F"/>
    <w:rsid w:val="00FD460A"/>
    <w:rsid w:val="00FD73D5"/>
    <w:rsid w:val="00FE1B70"/>
    <w:rsid w:val="00FF137D"/>
    <w:rsid w:val="00FF1765"/>
    <w:rsid w:val="00FF200B"/>
    <w:rsid w:val="00FF252E"/>
    <w:rsid w:val="00FF27BD"/>
    <w:rsid w:val="00FF38AA"/>
    <w:rsid w:val="00FF5392"/>
    <w:rsid w:val="00FF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B4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CommentReference">
    <w:name w:val="annotation reference"/>
    <w:basedOn w:val="DefaultParagraphFont"/>
    <w:semiHidden/>
    <w:unhideWhenUsed/>
    <w:rsid w:val="005705F4"/>
    <w:rPr>
      <w:sz w:val="16"/>
      <w:szCs w:val="16"/>
    </w:rPr>
  </w:style>
  <w:style w:type="paragraph" w:styleId="CommentText">
    <w:name w:val="annotation text"/>
    <w:basedOn w:val="Normal"/>
    <w:link w:val="CommentTextChar"/>
    <w:semiHidden/>
    <w:unhideWhenUsed/>
    <w:rsid w:val="005705F4"/>
    <w:pPr>
      <w:spacing w:line="240" w:lineRule="auto"/>
    </w:pPr>
    <w:rPr>
      <w:sz w:val="20"/>
      <w:szCs w:val="20"/>
    </w:rPr>
  </w:style>
  <w:style w:type="character" w:customStyle="1" w:styleId="CommentTextChar">
    <w:name w:val="Comment Text Char"/>
    <w:basedOn w:val="DefaultParagraphFont"/>
    <w:link w:val="CommentText"/>
    <w:semiHidden/>
    <w:rsid w:val="005705F4"/>
    <w:rPr>
      <w:sz w:val="20"/>
      <w:szCs w:val="20"/>
    </w:rPr>
  </w:style>
  <w:style w:type="paragraph" w:styleId="CommentSubject">
    <w:name w:val="annotation subject"/>
    <w:basedOn w:val="CommentText"/>
    <w:next w:val="CommentText"/>
    <w:link w:val="CommentSubjectChar"/>
    <w:semiHidden/>
    <w:unhideWhenUsed/>
    <w:rsid w:val="005705F4"/>
    <w:rPr>
      <w:b/>
      <w:bCs/>
    </w:rPr>
  </w:style>
  <w:style w:type="character" w:customStyle="1" w:styleId="CommentSubjectChar">
    <w:name w:val="Comment Subject Char"/>
    <w:basedOn w:val="CommentTextChar"/>
    <w:link w:val="CommentSubject"/>
    <w:semiHidden/>
    <w:rsid w:val="005705F4"/>
    <w:rPr>
      <w:b/>
      <w:bCs/>
      <w:sz w:val="20"/>
      <w:szCs w:val="20"/>
    </w:rPr>
  </w:style>
  <w:style w:type="paragraph" w:styleId="BalloonText">
    <w:name w:val="Balloon Text"/>
    <w:basedOn w:val="Normal"/>
    <w:link w:val="BalloonTextChar"/>
    <w:rsid w:val="005705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705F4"/>
    <w:rPr>
      <w:rFonts w:ascii="Segoe UI" w:hAnsi="Segoe UI" w:cs="Segoe UI"/>
      <w:sz w:val="18"/>
      <w:szCs w:val="18"/>
    </w:rPr>
  </w:style>
  <w:style w:type="paragraph" w:styleId="Revision">
    <w:name w:val="Revision"/>
    <w:hidden/>
    <w:uiPriority w:val="99"/>
    <w:semiHidden/>
    <w:rsid w:val="00617445"/>
  </w:style>
  <w:style w:type="character" w:customStyle="1" w:styleId="FootnoteTextChar">
    <w:name w:val="Footnote Text Char"/>
    <w:basedOn w:val="DefaultParagraphFont"/>
    <w:link w:val="FootnoteText"/>
    <w:semiHidden/>
    <w:rsid w:val="00E12338"/>
  </w:style>
  <w:style w:type="paragraph" w:styleId="ListParagraph">
    <w:name w:val="List Paragraph"/>
    <w:basedOn w:val="Normal"/>
    <w:uiPriority w:val="34"/>
    <w:qFormat/>
    <w:rsid w:val="008A4FA5"/>
    <w:pPr>
      <w:ind w:left="720"/>
      <w:contextualSpacing/>
    </w:pPr>
  </w:style>
  <w:style w:type="character" w:styleId="Hyperlink">
    <w:name w:val="Hyperlink"/>
    <w:basedOn w:val="DefaultParagraphFont"/>
    <w:unhideWhenUsed/>
    <w:rsid w:val="00B83D89"/>
    <w:rPr>
      <w:color w:val="0000FF" w:themeColor="hyperlink"/>
      <w:u w:val="single"/>
    </w:rPr>
  </w:style>
  <w:style w:type="character" w:customStyle="1" w:styleId="UnresolvedMention1">
    <w:name w:val="Unresolved Mention1"/>
    <w:basedOn w:val="DefaultParagraphFont"/>
    <w:uiPriority w:val="99"/>
    <w:semiHidden/>
    <w:unhideWhenUsed/>
    <w:rsid w:val="00B83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C4850-4B6D-4EA2-8E99-F7B33820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8115</Words>
  <Characters>42698</Characters>
  <Application>Microsoft Office Word</Application>
  <DocSecurity>0</DocSecurity>
  <Lines>679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2022-06-07T21:45:00Z</dcterms:created>
  <dcterms:modified xsi:type="dcterms:W3CDTF">2022-06-07T21:45:00Z</dcterms:modified>
  <cp:category/>
</cp:coreProperties>
</file>