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B51C" w14:textId="16D1E909" w:rsidR="00D448A1" w:rsidRPr="00755A75" w:rsidRDefault="00D34941" w:rsidP="001D0878">
      <w:pPr>
        <w:spacing w:line="240" w:lineRule="atLeast"/>
        <w:jc w:val="center"/>
        <w:rPr>
          <w:sz w:val="20"/>
          <w:szCs w:val="20"/>
        </w:rPr>
      </w:pPr>
      <w:r w:rsidRPr="00755A75">
        <w:rPr>
          <w:sz w:val="20"/>
          <w:szCs w:val="20"/>
        </w:rPr>
        <w:t>Filed 4/27/22</w:t>
      </w:r>
      <w:bookmarkStart w:id="0" w:name="_Hlk91684443"/>
      <w:r w:rsidR="001D0878" w:rsidRPr="00822666">
        <w:rPr>
          <w:sz w:val="20"/>
        </w:rPr>
        <w:t>; REVIEW GRANTED.  See Cal. Rules of Court, rules 8.1105 and 8.1115 (and corresponding Comment, par. 2, concerning rule 8.1115(e)(3)).</w:t>
      </w:r>
      <w:bookmarkEnd w:id="0"/>
    </w:p>
    <w:p w14:paraId="19E90CEA" w14:textId="6ECF2B0A" w:rsidR="000F7E1A" w:rsidRDefault="00D34941" w:rsidP="000F7E1A">
      <w:pPr>
        <w:spacing w:line="240" w:lineRule="atLeast"/>
        <w:jc w:val="center"/>
        <w:rPr>
          <w:u w:val="words"/>
        </w:rPr>
      </w:pPr>
      <w:r w:rsidRPr="000F7E1A">
        <w:rPr>
          <w:u w:val="words"/>
        </w:rPr>
        <w:t>CERTIFIED FOR PUBLICATION</w:t>
      </w:r>
    </w:p>
    <w:p w14:paraId="1CB31ED6" w14:textId="1EB2C97E" w:rsidR="000F7E1A" w:rsidRDefault="000F7E1A" w:rsidP="000F7E1A">
      <w:pPr>
        <w:spacing w:line="240" w:lineRule="atLeast"/>
        <w:jc w:val="center"/>
        <w:rPr>
          <w:u w:val="words"/>
        </w:rPr>
      </w:pPr>
    </w:p>
    <w:p w14:paraId="4BE8A0C4" w14:textId="366C6FAC" w:rsidR="000F7E1A" w:rsidRDefault="000F7E1A" w:rsidP="000F7E1A">
      <w:pPr>
        <w:spacing w:line="240" w:lineRule="atLeast"/>
        <w:jc w:val="center"/>
        <w:rPr>
          <w:u w:val="words"/>
        </w:rPr>
      </w:pPr>
    </w:p>
    <w:p w14:paraId="57F32E20" w14:textId="273D5EFD" w:rsidR="000F7E1A" w:rsidRDefault="000F7E1A" w:rsidP="000F7E1A">
      <w:pPr>
        <w:spacing w:line="240" w:lineRule="atLeast"/>
        <w:jc w:val="center"/>
        <w:rPr>
          <w:u w:val="words"/>
        </w:rPr>
      </w:pPr>
    </w:p>
    <w:p w14:paraId="7871CFD2" w14:textId="413EA92B" w:rsidR="000F7E1A" w:rsidRDefault="000F7E1A" w:rsidP="000F7E1A">
      <w:pPr>
        <w:spacing w:line="240" w:lineRule="atLeast"/>
        <w:jc w:val="center"/>
        <w:rPr>
          <w:u w:val="words"/>
        </w:rPr>
      </w:pPr>
    </w:p>
    <w:p w14:paraId="1BECB675" w14:textId="6CFD4EC6" w:rsidR="000F7E1A" w:rsidRDefault="00D34941" w:rsidP="000F7E1A">
      <w:pPr>
        <w:jc w:val="center"/>
      </w:pPr>
      <w:r>
        <w:t>IN THE COURT OF APPEAL OF THE STATE OF CALIFORNIA</w:t>
      </w:r>
    </w:p>
    <w:p w14:paraId="4CC3EE20" w14:textId="0F3AE2C4" w:rsidR="000F7E1A" w:rsidRDefault="00D34941" w:rsidP="000F7E1A">
      <w:pPr>
        <w:jc w:val="center"/>
      </w:pPr>
      <w:r>
        <w:t>THIRD APPELLATE DISTRICT</w:t>
      </w:r>
    </w:p>
    <w:p w14:paraId="611A3020" w14:textId="72D71E75" w:rsidR="000F7E1A" w:rsidRDefault="00D34941" w:rsidP="000F7E1A">
      <w:pPr>
        <w:jc w:val="center"/>
      </w:pPr>
      <w:r>
        <w:t>(San Joaquin)</w:t>
      </w:r>
    </w:p>
    <w:p w14:paraId="41B87453" w14:textId="0A10DF88" w:rsidR="000F7E1A" w:rsidRDefault="00D34941" w:rsidP="000F7E1A">
      <w:pPr>
        <w:jc w:val="center"/>
      </w:pPr>
      <w:r>
        <w:t>----</w:t>
      </w:r>
    </w:p>
    <w:p w14:paraId="445C2020" w14:textId="1D493C8D" w:rsidR="000F7E1A" w:rsidRDefault="000F7E1A" w:rsidP="000F7E1A">
      <w:pPr>
        <w:jc w:val="center"/>
      </w:pPr>
    </w:p>
    <w:p w14:paraId="1DA4A74B" w14:textId="50B2B951" w:rsidR="000F7E1A" w:rsidRDefault="000F7E1A" w:rsidP="000F7E1A">
      <w:pPr>
        <w:spacing w:line="240" w:lineRule="atLeast"/>
      </w:pPr>
    </w:p>
    <w:p w14:paraId="737C46CB" w14:textId="01B4C8F2" w:rsidR="000F7E1A" w:rsidRDefault="000F7E1A" w:rsidP="000F7E1A">
      <w:pPr>
        <w:spacing w:line="240" w:lineRule="atLeast"/>
      </w:pPr>
    </w:p>
    <w:p w14:paraId="0F8D8E4F" w14:textId="44992E7D" w:rsidR="000F7E1A" w:rsidRDefault="000F7E1A" w:rsidP="000F7E1A">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7C7046" w14:paraId="5FF72A59" w14:textId="77777777" w:rsidTr="000F7E1A">
        <w:tc>
          <w:tcPr>
            <w:tcW w:w="5904" w:type="dxa"/>
            <w:shd w:val="clear" w:color="auto" w:fill="auto"/>
          </w:tcPr>
          <w:p w14:paraId="30770B9B" w14:textId="77777777" w:rsidR="000F7E1A" w:rsidRDefault="00D34941" w:rsidP="000F7E1A">
            <w:pPr>
              <w:spacing w:line="240" w:lineRule="atLeast"/>
            </w:pPr>
            <w:r>
              <w:t>THE PEOPLE,</w:t>
            </w:r>
          </w:p>
          <w:p w14:paraId="75161FFF" w14:textId="77777777" w:rsidR="000F7E1A" w:rsidRDefault="000F7E1A" w:rsidP="000F7E1A">
            <w:pPr>
              <w:spacing w:line="240" w:lineRule="atLeast"/>
            </w:pPr>
          </w:p>
          <w:p w14:paraId="34920F7E" w14:textId="77777777" w:rsidR="000F7E1A" w:rsidRDefault="00D34941" w:rsidP="000F7E1A">
            <w:pPr>
              <w:spacing w:line="240" w:lineRule="atLeast"/>
            </w:pPr>
            <w:r>
              <w:tab/>
            </w:r>
            <w:r>
              <w:tab/>
              <w:t>Plaintiff and Respondent,</w:t>
            </w:r>
          </w:p>
          <w:p w14:paraId="7745392E" w14:textId="77777777" w:rsidR="000F7E1A" w:rsidRDefault="000F7E1A" w:rsidP="000F7E1A">
            <w:pPr>
              <w:spacing w:line="240" w:lineRule="atLeast"/>
            </w:pPr>
          </w:p>
          <w:p w14:paraId="0B3062FD" w14:textId="77777777" w:rsidR="000F7E1A" w:rsidRDefault="00D34941" w:rsidP="000F7E1A">
            <w:pPr>
              <w:spacing w:line="240" w:lineRule="atLeast"/>
            </w:pPr>
            <w:r>
              <w:tab/>
              <w:t>v.</w:t>
            </w:r>
          </w:p>
          <w:p w14:paraId="1FF85912" w14:textId="77777777" w:rsidR="000F7E1A" w:rsidRDefault="000F7E1A" w:rsidP="000F7E1A">
            <w:pPr>
              <w:spacing w:line="240" w:lineRule="atLeast"/>
            </w:pPr>
          </w:p>
          <w:p w14:paraId="421A9CD4" w14:textId="77777777" w:rsidR="000F7E1A" w:rsidRDefault="00D34941" w:rsidP="000F7E1A">
            <w:pPr>
              <w:spacing w:line="240" w:lineRule="atLeast"/>
            </w:pPr>
            <w:r>
              <w:t>FRANKIE JAMES WEISNER,</w:t>
            </w:r>
          </w:p>
          <w:p w14:paraId="09496C59" w14:textId="77777777" w:rsidR="000F7E1A" w:rsidRDefault="000F7E1A" w:rsidP="000F7E1A">
            <w:pPr>
              <w:spacing w:line="240" w:lineRule="atLeast"/>
            </w:pPr>
          </w:p>
          <w:p w14:paraId="6F8EB5E5" w14:textId="77777777" w:rsidR="000F7E1A" w:rsidRDefault="00D34941" w:rsidP="000F7E1A">
            <w:pPr>
              <w:spacing w:line="240" w:lineRule="atLeast"/>
            </w:pPr>
            <w:r>
              <w:tab/>
            </w:r>
            <w:r>
              <w:tab/>
              <w:t>Defendant and Appellant.</w:t>
            </w:r>
          </w:p>
          <w:p w14:paraId="77EE8C4F" w14:textId="6D304332" w:rsidR="000F7E1A" w:rsidRDefault="000F7E1A" w:rsidP="000F7E1A">
            <w:pPr>
              <w:spacing w:line="240" w:lineRule="atLeast"/>
            </w:pPr>
          </w:p>
        </w:tc>
        <w:tc>
          <w:tcPr>
            <w:tcW w:w="3456" w:type="dxa"/>
            <w:shd w:val="clear" w:color="auto" w:fill="auto"/>
          </w:tcPr>
          <w:p w14:paraId="64388B09" w14:textId="77777777" w:rsidR="000F7E1A" w:rsidRDefault="00D34941" w:rsidP="000F7E1A">
            <w:pPr>
              <w:spacing w:line="240" w:lineRule="atLeast"/>
              <w:jc w:val="center"/>
            </w:pPr>
            <w:r>
              <w:t>C095039</w:t>
            </w:r>
          </w:p>
          <w:p w14:paraId="2F59A7A3" w14:textId="77777777" w:rsidR="000F7E1A" w:rsidRDefault="000F7E1A" w:rsidP="000F7E1A">
            <w:pPr>
              <w:spacing w:line="240" w:lineRule="atLeast"/>
              <w:jc w:val="center"/>
            </w:pPr>
          </w:p>
          <w:p w14:paraId="05915D46" w14:textId="77777777" w:rsidR="000F7E1A" w:rsidRDefault="00D34941" w:rsidP="000F7E1A">
            <w:pPr>
              <w:spacing w:line="240" w:lineRule="atLeast"/>
              <w:jc w:val="center"/>
            </w:pPr>
            <w:r>
              <w:t>(Super. Ct. No. LODCRFE20170002477)</w:t>
            </w:r>
          </w:p>
          <w:p w14:paraId="76B81443" w14:textId="77777777" w:rsidR="000F7E1A" w:rsidRDefault="000F7E1A" w:rsidP="000F7E1A">
            <w:pPr>
              <w:spacing w:line="240" w:lineRule="atLeast"/>
              <w:jc w:val="center"/>
            </w:pPr>
          </w:p>
          <w:p w14:paraId="1589BBD2" w14:textId="34B3F483" w:rsidR="000F7E1A" w:rsidRDefault="000F7E1A" w:rsidP="000F7E1A">
            <w:pPr>
              <w:spacing w:line="240" w:lineRule="atLeast"/>
              <w:jc w:val="center"/>
            </w:pPr>
          </w:p>
        </w:tc>
      </w:tr>
    </w:tbl>
    <w:p w14:paraId="43994E52" w14:textId="63CE9869" w:rsidR="000F7E1A" w:rsidRDefault="000F7E1A" w:rsidP="000F7E1A">
      <w:pPr>
        <w:spacing w:line="240" w:lineRule="atLeast"/>
      </w:pPr>
    </w:p>
    <w:p w14:paraId="07B9CE70" w14:textId="77777777" w:rsidR="00570318" w:rsidRDefault="00570318" w:rsidP="000F7E1A">
      <w:pPr>
        <w:spacing w:line="240" w:lineRule="atLeast"/>
      </w:pPr>
    </w:p>
    <w:p w14:paraId="65AFCE9B" w14:textId="35392845" w:rsidR="000F7E1A" w:rsidRDefault="00D34941" w:rsidP="000F7E1A">
      <w:pPr>
        <w:spacing w:line="240" w:lineRule="atLeast"/>
      </w:pPr>
      <w:r>
        <w:tab/>
        <w:t>APPEAL from a judgment of the Superior Court of San Joaquin County, Richard</w:t>
      </w:r>
      <w:r w:rsidR="00A92AB4">
        <w:t> </w:t>
      </w:r>
      <w:r>
        <w:t xml:space="preserve">J. Guiliani, Judge.  </w:t>
      </w:r>
      <w:r w:rsidR="00B3482E">
        <w:t>Dismissed</w:t>
      </w:r>
      <w:r>
        <w:t>.</w:t>
      </w:r>
    </w:p>
    <w:p w14:paraId="277134FC" w14:textId="3D0A7A58" w:rsidR="000F7E1A" w:rsidRDefault="000F7E1A" w:rsidP="000F7E1A">
      <w:pPr>
        <w:spacing w:line="240" w:lineRule="atLeast"/>
      </w:pPr>
    </w:p>
    <w:p w14:paraId="560450CB" w14:textId="4F0AA779" w:rsidR="000F7E1A" w:rsidRDefault="00D34941" w:rsidP="000F7E1A">
      <w:pPr>
        <w:spacing w:line="240" w:lineRule="atLeast"/>
      </w:pPr>
      <w:r>
        <w:tab/>
        <w:t>Michele A. Douglass, under appointment by the Court of Appeal, for Defendant and Appellant.</w:t>
      </w:r>
    </w:p>
    <w:p w14:paraId="66C7B0FC" w14:textId="0A7ADE87" w:rsidR="000F7E1A" w:rsidRDefault="000F7E1A" w:rsidP="000F7E1A">
      <w:pPr>
        <w:spacing w:line="240" w:lineRule="atLeast"/>
      </w:pPr>
    </w:p>
    <w:p w14:paraId="26B7A8D3" w14:textId="36958FE1" w:rsidR="00F12B65" w:rsidRDefault="00D34941" w:rsidP="000F7E1A">
      <w:pPr>
        <w:spacing w:line="240" w:lineRule="atLeast"/>
      </w:pPr>
      <w:r>
        <w:tab/>
        <w:t>N</w:t>
      </w:r>
      <w:r>
        <w:t xml:space="preserve">o appearance for Plaintiff and Respondent.  </w:t>
      </w:r>
    </w:p>
    <w:p w14:paraId="7257602C" w14:textId="77777777" w:rsidR="000F7E1A" w:rsidRPr="000F7E1A" w:rsidRDefault="000F7E1A" w:rsidP="000F7E1A"/>
    <w:p w14:paraId="02F39F74" w14:textId="77777777" w:rsidR="000F7E1A" w:rsidRPr="008B610F" w:rsidRDefault="000F7E1A" w:rsidP="00D448A1">
      <w:pPr>
        <w:spacing w:line="240" w:lineRule="auto"/>
      </w:pPr>
    </w:p>
    <w:p w14:paraId="0F155D9B" w14:textId="4C7B40D9" w:rsidR="00CF6745" w:rsidRPr="00012A7A" w:rsidRDefault="00D34941" w:rsidP="00CF6745">
      <w:pPr>
        <w:ind w:firstLine="720"/>
      </w:pPr>
      <w:r w:rsidRPr="008B610F">
        <w:t xml:space="preserve">Defendant </w:t>
      </w:r>
      <w:r w:rsidR="00AE293B" w:rsidRPr="008B610F">
        <w:t xml:space="preserve">Frankie James </w:t>
      </w:r>
      <w:r w:rsidR="00AE293B" w:rsidRPr="00C140FF">
        <w:t>Weisner</w:t>
      </w:r>
      <w:r w:rsidRPr="00473642">
        <w:t xml:space="preserve"> </w:t>
      </w:r>
      <w:r w:rsidR="00AE293B" w:rsidRPr="00473642">
        <w:t xml:space="preserve">pleaded </w:t>
      </w:r>
      <w:r w:rsidR="007D0D6E" w:rsidRPr="00473642">
        <w:t xml:space="preserve">no contest </w:t>
      </w:r>
      <w:r w:rsidR="00AE293B" w:rsidRPr="00473642">
        <w:t xml:space="preserve">to </w:t>
      </w:r>
      <w:r w:rsidR="00AE293B" w:rsidRPr="00C140FF">
        <w:t>second degree robbery</w:t>
      </w:r>
      <w:r w:rsidR="002F0106" w:rsidRPr="00C140FF">
        <w:t xml:space="preserve"> (</w:t>
      </w:r>
      <w:bookmarkStart w:id="1" w:name="dabmci_d7b0301a81d346938d3edf4edba1f4ac"/>
      <w:r w:rsidR="002F0106" w:rsidRPr="00C140FF">
        <w:t xml:space="preserve">Pen. Code </w:t>
      </w:r>
      <w:r w:rsidR="00C41DF9" w:rsidRPr="00C140FF">
        <w:t>§ </w:t>
      </w:r>
      <w:r w:rsidR="002F0106" w:rsidRPr="00C140FF">
        <w:t>211</w:t>
      </w:r>
      <w:bookmarkEnd w:id="1"/>
      <w:r w:rsidR="002F0106" w:rsidRPr="00C140FF">
        <w:t>) (statutory section citations that follow are to the Penal Code),</w:t>
      </w:r>
      <w:r w:rsidR="00AE293B" w:rsidRPr="00C140FF">
        <w:t xml:space="preserve"> and </w:t>
      </w:r>
      <w:r w:rsidR="00AE293B" w:rsidRPr="00C140FF">
        <w:lastRenderedPageBreak/>
        <w:t>grand theft</w:t>
      </w:r>
      <w:r w:rsidR="002F0106" w:rsidRPr="00C140FF">
        <w:t xml:space="preserve"> (</w:t>
      </w:r>
      <w:r w:rsidR="00C41DF9" w:rsidRPr="00C140FF">
        <w:t>§ </w:t>
      </w:r>
      <w:r w:rsidR="002F0106" w:rsidRPr="00C140FF">
        <w:t>487, subd. (c))</w:t>
      </w:r>
      <w:r w:rsidR="00AE293B" w:rsidRPr="00C140FF">
        <w:t>, and admitted he personally used a firearm in the robbery</w:t>
      </w:r>
      <w:r w:rsidR="002F0106" w:rsidRPr="00C140FF">
        <w:t xml:space="preserve"> (</w:t>
      </w:r>
      <w:r w:rsidR="00C41DF9" w:rsidRPr="00C140FF">
        <w:t>§ </w:t>
      </w:r>
      <w:r w:rsidR="002F0106" w:rsidRPr="00C140FF">
        <w:t>12022.5, subd. (a)</w:t>
      </w:r>
      <w:r w:rsidR="002F0106" w:rsidRPr="00473642">
        <w:t>)</w:t>
      </w:r>
      <w:r w:rsidR="00AE293B" w:rsidRPr="00473642">
        <w:t>.  After his initial appeal was denied as untimely</w:t>
      </w:r>
      <w:r w:rsidR="00AE293B" w:rsidRPr="00C140FF">
        <w:t>, d</w:t>
      </w:r>
      <w:r w:rsidR="007A1469" w:rsidRPr="00C140FF">
        <w:t>efendant</w:t>
      </w:r>
      <w:r w:rsidR="007A1469" w:rsidRPr="002D2D75">
        <w:t xml:space="preserve"> sought </w:t>
      </w:r>
      <w:r w:rsidR="00AE293B" w:rsidRPr="002D2D75">
        <w:t>to reduce his conviction on the grand theft count to a misdemeanor</w:t>
      </w:r>
      <w:r w:rsidR="007A1469" w:rsidRPr="002D2D75">
        <w:t xml:space="preserve"> under section</w:t>
      </w:r>
      <w:r w:rsidR="00C009B7" w:rsidRPr="002D2D75">
        <w:t> </w:t>
      </w:r>
      <w:r w:rsidR="007A1469" w:rsidRPr="002D2D75">
        <w:t>1170.</w:t>
      </w:r>
      <w:r w:rsidR="00AE293B" w:rsidRPr="002D2D75">
        <w:t>18</w:t>
      </w:r>
      <w:r w:rsidR="00C009B7" w:rsidRPr="002D2D75">
        <w:t>,</w:t>
      </w:r>
      <w:r w:rsidR="007A1469" w:rsidRPr="002D2D75">
        <w:t xml:space="preserve"> which the trial court denied.  </w:t>
      </w:r>
      <w:r w:rsidR="004D68FA" w:rsidRPr="00012A7A">
        <w:t xml:space="preserve">Defendant appeals from the trial court’s order denying his petition for resentencing.  </w:t>
      </w:r>
    </w:p>
    <w:p w14:paraId="090EC3EE" w14:textId="77777777" w:rsidR="00964018" w:rsidRPr="00012A7A" w:rsidRDefault="00D34941" w:rsidP="000F7E1A">
      <w:pPr>
        <w:keepNext/>
        <w:spacing w:before="120" w:after="60"/>
        <w:jc w:val="center"/>
        <w:rPr>
          <w:smallCaps/>
          <w:sz w:val="29"/>
          <w:szCs w:val="29"/>
        </w:rPr>
      </w:pPr>
      <w:bookmarkStart w:id="2" w:name="_Hlk68079249"/>
      <w:r w:rsidRPr="00012A7A">
        <w:rPr>
          <w:smallCaps/>
          <w:sz w:val="29"/>
          <w:szCs w:val="29"/>
        </w:rPr>
        <w:t>Facts and History of the Proceedings</w:t>
      </w:r>
      <w:bookmarkEnd w:id="2"/>
    </w:p>
    <w:p w14:paraId="3FD7AB99" w14:textId="71EC46FC" w:rsidR="00D448A1" w:rsidRPr="005113B9" w:rsidRDefault="00D34941" w:rsidP="00CF6745">
      <w:pPr>
        <w:ind w:firstLine="720"/>
      </w:pPr>
      <w:r w:rsidRPr="00012A7A">
        <w:t>This appea</w:t>
      </w:r>
      <w:r w:rsidRPr="005113B9">
        <w:t xml:space="preserve">l comes to us </w:t>
      </w:r>
      <w:r w:rsidR="00964018" w:rsidRPr="005113B9">
        <w:t xml:space="preserve">ostensibly </w:t>
      </w:r>
      <w:r w:rsidRPr="005113B9">
        <w:t xml:space="preserve">pursuant to </w:t>
      </w:r>
      <w:bookmarkStart w:id="3" w:name="dabmci_fc61899efeb14dd8b8a4c7a49c87a410"/>
      <w:r w:rsidR="009175B6" w:rsidRPr="005113B9">
        <w:rPr>
          <w:i/>
        </w:rPr>
        <w:t>People v.</w:t>
      </w:r>
      <w:r w:rsidRPr="005113B9">
        <w:rPr>
          <w:i/>
        </w:rPr>
        <w:t xml:space="preserve"> Wende</w:t>
      </w:r>
      <w:r w:rsidRPr="005113B9">
        <w:t xml:space="preserve"> (1979) 25</w:t>
      </w:r>
      <w:r w:rsidR="009175B6" w:rsidRPr="005113B9">
        <w:t> Cal.</w:t>
      </w:r>
      <w:r w:rsidRPr="005113B9">
        <w:t>3d 436</w:t>
      </w:r>
      <w:r w:rsidR="00CF6745" w:rsidRPr="005113B9">
        <w:t xml:space="preserve"> (</w:t>
      </w:r>
      <w:r w:rsidR="00CF6745" w:rsidRPr="005113B9">
        <w:rPr>
          <w:i/>
          <w:iCs/>
        </w:rPr>
        <w:t>Wende</w:t>
      </w:r>
      <w:r w:rsidR="00CF6745" w:rsidRPr="005113B9">
        <w:t>)</w:t>
      </w:r>
      <w:bookmarkEnd w:id="3"/>
      <w:r w:rsidRPr="005113B9">
        <w:t xml:space="preserve"> and following defendan</w:t>
      </w:r>
      <w:r w:rsidR="004D68FA" w:rsidRPr="005113B9">
        <w:t>t</w:t>
      </w:r>
      <w:r w:rsidRPr="005113B9">
        <w:t xml:space="preserve">’s </w:t>
      </w:r>
      <w:r w:rsidRPr="005113B9">
        <w:t>filing of a pro</w:t>
      </w:r>
      <w:r w:rsidR="00BE3B44">
        <w:t>.</w:t>
      </w:r>
      <w:r w:rsidRPr="005113B9">
        <w:t xml:space="preserve"> per</w:t>
      </w:r>
      <w:r w:rsidR="00BE3B44">
        <w:t>.</w:t>
      </w:r>
      <w:r w:rsidRPr="005113B9">
        <w:t xml:space="preserve"> supplemental brief </w:t>
      </w:r>
      <w:r w:rsidR="002E04F8" w:rsidRPr="005113B9">
        <w:t>arguing</w:t>
      </w:r>
      <w:r w:rsidR="000A315F" w:rsidRPr="005113B9">
        <w:t xml:space="preserve"> </w:t>
      </w:r>
      <w:r w:rsidR="002F0106" w:rsidRPr="005113B9">
        <w:t xml:space="preserve">(1) </w:t>
      </w:r>
      <w:r w:rsidR="000A315F" w:rsidRPr="005113B9">
        <w:rPr>
          <w:sz w:val="28"/>
          <w:szCs w:val="28"/>
        </w:rPr>
        <w:t xml:space="preserve">the trial court </w:t>
      </w:r>
      <w:r w:rsidR="004D68FA" w:rsidRPr="005113B9">
        <w:rPr>
          <w:sz w:val="28"/>
          <w:szCs w:val="28"/>
        </w:rPr>
        <w:t xml:space="preserve">improperly </w:t>
      </w:r>
      <w:r w:rsidR="002F0106" w:rsidRPr="005113B9">
        <w:rPr>
          <w:sz w:val="28"/>
          <w:szCs w:val="28"/>
        </w:rPr>
        <w:t>sentenced him</w:t>
      </w:r>
      <w:r w:rsidR="000A315F" w:rsidRPr="005113B9">
        <w:rPr>
          <w:sz w:val="28"/>
          <w:szCs w:val="28"/>
        </w:rPr>
        <w:t xml:space="preserve"> contrary to his original </w:t>
      </w:r>
      <w:r w:rsidR="002F0106" w:rsidRPr="005113B9">
        <w:rPr>
          <w:sz w:val="28"/>
          <w:szCs w:val="28"/>
        </w:rPr>
        <w:t xml:space="preserve">plea </w:t>
      </w:r>
      <w:r w:rsidR="000A315F" w:rsidRPr="005113B9">
        <w:rPr>
          <w:sz w:val="28"/>
          <w:szCs w:val="28"/>
        </w:rPr>
        <w:t>agreement</w:t>
      </w:r>
      <w:r w:rsidR="002F0106" w:rsidRPr="005113B9">
        <w:rPr>
          <w:sz w:val="28"/>
          <w:szCs w:val="28"/>
        </w:rPr>
        <w:t>,</w:t>
      </w:r>
      <w:r w:rsidR="000A315F" w:rsidRPr="005113B9">
        <w:t xml:space="preserve"> </w:t>
      </w:r>
      <w:r w:rsidR="002F0106" w:rsidRPr="005113B9">
        <w:t xml:space="preserve">(2) </w:t>
      </w:r>
      <w:r w:rsidR="000A315F" w:rsidRPr="005113B9">
        <w:t>his counsel was ineffective</w:t>
      </w:r>
      <w:r w:rsidR="002F0106" w:rsidRPr="005113B9">
        <w:t xml:space="preserve"> and</w:t>
      </w:r>
      <w:r w:rsidR="000A315F" w:rsidRPr="005113B9">
        <w:t xml:space="preserve"> concealed evidence</w:t>
      </w:r>
      <w:r w:rsidR="002F0106" w:rsidRPr="005113B9">
        <w:t>,</w:t>
      </w:r>
      <w:r w:rsidR="000A315F" w:rsidRPr="005113B9">
        <w:t xml:space="preserve"> and</w:t>
      </w:r>
      <w:r w:rsidR="002F0106" w:rsidRPr="005113B9">
        <w:t xml:space="preserve"> (3)</w:t>
      </w:r>
      <w:r w:rsidR="000A315F" w:rsidRPr="005113B9">
        <w:t xml:space="preserve"> the prosecution refused to disclose exculpatory evidence in the original proceedings.</w:t>
      </w:r>
      <w:r w:rsidR="004D68FA" w:rsidRPr="005113B9">
        <w:t xml:space="preserve">  </w:t>
      </w:r>
    </w:p>
    <w:p w14:paraId="509EBADB" w14:textId="5D571124" w:rsidR="00964018" w:rsidRPr="00CA2666" w:rsidRDefault="00D34941" w:rsidP="00CF6745">
      <w:pPr>
        <w:ind w:firstLine="720"/>
      </w:pPr>
      <w:r w:rsidRPr="005113B9">
        <w:t xml:space="preserve">We </w:t>
      </w:r>
      <w:r w:rsidRPr="00FF4191">
        <w:t xml:space="preserve">note </w:t>
      </w:r>
      <w:r w:rsidRPr="00CA2666">
        <w:t>that the trial court denied defendant’s two requests for certificates of probable cause.  Des</w:t>
      </w:r>
      <w:r w:rsidRPr="00473642">
        <w:t>pite the expansive claims in the notice of appeal, the only issue cognizable on appeal is the denial of his motion to reduce</w:t>
      </w:r>
      <w:r w:rsidRPr="00473642">
        <w:t xml:space="preserve"> t</w:t>
      </w:r>
      <w:r w:rsidRPr="00FF4191">
        <w:t>he grand theft charge to a misdemeanor.  (</w:t>
      </w:r>
      <w:r w:rsidRPr="00CA2666">
        <w:t xml:space="preserve">Cal. Rules of Court, rule 8.304(b)(3); </w:t>
      </w:r>
      <w:r w:rsidRPr="00CA2666">
        <w:rPr>
          <w:i/>
          <w:iCs/>
        </w:rPr>
        <w:t>People v. Aguilar</w:t>
      </w:r>
      <w:r w:rsidRPr="00CA2666">
        <w:t xml:space="preserve"> (2003) 112 Cal.App.4th 111, 114.)</w:t>
      </w:r>
    </w:p>
    <w:p w14:paraId="028199E7" w14:textId="77777777" w:rsidR="00964018" w:rsidRPr="00352017" w:rsidRDefault="00D34941" w:rsidP="000F7E1A">
      <w:pPr>
        <w:keepNext/>
        <w:spacing w:before="120" w:after="60"/>
        <w:jc w:val="center"/>
        <w:rPr>
          <w:smallCaps/>
          <w:sz w:val="29"/>
          <w:szCs w:val="29"/>
        </w:rPr>
      </w:pPr>
      <w:bookmarkStart w:id="4" w:name="_Hlk68081105"/>
      <w:r w:rsidRPr="00352017">
        <w:rPr>
          <w:smallCaps/>
          <w:sz w:val="29"/>
          <w:szCs w:val="29"/>
        </w:rPr>
        <w:t>Discussion</w:t>
      </w:r>
      <w:bookmarkEnd w:id="4"/>
    </w:p>
    <w:p w14:paraId="094BCF52" w14:textId="4CF9D12E" w:rsidR="002E04F8" w:rsidRPr="00221AD8" w:rsidRDefault="00D34941" w:rsidP="002E04F8">
      <w:pPr>
        <w:ind w:firstLine="720"/>
      </w:pPr>
      <w:r w:rsidRPr="00352017">
        <w:t xml:space="preserve">Review </w:t>
      </w:r>
      <w:r w:rsidRPr="00136320">
        <w:t xml:space="preserve">pursuant to </w:t>
      </w:r>
      <w:r w:rsidRPr="00136320">
        <w:rPr>
          <w:i/>
          <w:iCs/>
        </w:rPr>
        <w:t>Wende</w:t>
      </w:r>
      <w:r w:rsidRPr="00136320">
        <w:t xml:space="preserve"> or its federal constitutional counterpart </w:t>
      </w:r>
      <w:bookmarkStart w:id="5" w:name="dabmci_bad23d82c93342a589e4683111e1a28e"/>
      <w:r w:rsidRPr="008219AF">
        <w:rPr>
          <w:i/>
          <w:iCs/>
        </w:rPr>
        <w:t>Anders</w:t>
      </w:r>
      <w:r w:rsidR="00571615" w:rsidRPr="008219AF">
        <w:rPr>
          <w:i/>
          <w:iCs/>
        </w:rPr>
        <w:t> </w:t>
      </w:r>
      <w:r w:rsidRPr="008219AF">
        <w:rPr>
          <w:i/>
          <w:iCs/>
        </w:rPr>
        <w:t>v. California</w:t>
      </w:r>
      <w:r w:rsidRPr="00473642">
        <w:t xml:space="preserve"> (1967) 386 U.</w:t>
      </w:r>
      <w:r w:rsidRPr="00352017">
        <w:t>S. 738</w:t>
      </w:r>
      <w:r w:rsidR="00CF6745" w:rsidRPr="00352017">
        <w:t xml:space="preserve"> (</w:t>
      </w:r>
      <w:r w:rsidR="00CF6745" w:rsidRPr="00352017">
        <w:rPr>
          <w:i/>
          <w:iCs/>
        </w:rPr>
        <w:t>Anders</w:t>
      </w:r>
      <w:r w:rsidR="00CF6745" w:rsidRPr="00352017">
        <w:t>)</w:t>
      </w:r>
      <w:bookmarkEnd w:id="5"/>
      <w:r w:rsidRPr="00352017">
        <w:t xml:space="preserve"> </w:t>
      </w:r>
      <w:r w:rsidRPr="00136320">
        <w:t>is required only in the first appeal of right from a criminal conviction.  (</w:t>
      </w:r>
      <w:bookmarkStart w:id="6" w:name="dabmci_7e3c742f22784a48a9540a5384a9d96b"/>
      <w:r w:rsidRPr="00DE0AE7">
        <w:rPr>
          <w:i/>
          <w:iCs/>
        </w:rPr>
        <w:t>Pennsylvania</w:t>
      </w:r>
      <w:r w:rsidR="00571615" w:rsidRPr="00DE0AE7">
        <w:rPr>
          <w:i/>
          <w:iCs/>
        </w:rPr>
        <w:t> </w:t>
      </w:r>
      <w:r w:rsidRPr="00DE0AE7">
        <w:rPr>
          <w:i/>
          <w:iCs/>
        </w:rPr>
        <w:t>v. Finley</w:t>
      </w:r>
      <w:r w:rsidRPr="00DE0AE7">
        <w:t xml:space="preserve"> (1987) 481 U.S. 551, 555</w:t>
      </w:r>
      <w:bookmarkEnd w:id="6"/>
      <w:r w:rsidRPr="00DE0AE7">
        <w:t xml:space="preserve">; </w:t>
      </w:r>
      <w:bookmarkStart w:id="7" w:name="dabmci_52a832f4ae274ecd93e525846d786df1"/>
      <w:r w:rsidRPr="00DE0AE7">
        <w:rPr>
          <w:i/>
          <w:iCs/>
        </w:rPr>
        <w:t>Conservatorship of Ben C</w:t>
      </w:r>
      <w:r w:rsidRPr="00DE0AE7">
        <w:t>. (2007) 40</w:t>
      </w:r>
      <w:r w:rsidR="009175B6" w:rsidRPr="00DE0AE7">
        <w:t> Cal.</w:t>
      </w:r>
      <w:r w:rsidRPr="00DE0AE7">
        <w:t>4th 529, 536-537</w:t>
      </w:r>
      <w:bookmarkEnd w:id="7"/>
      <w:r w:rsidRPr="00DE0AE7">
        <w:t xml:space="preserve">; </w:t>
      </w:r>
      <w:bookmarkStart w:id="8" w:name="dabmci_84e33f74580946ff9ae264795f634612"/>
      <w:r w:rsidR="009175B6" w:rsidRPr="00DE0AE7">
        <w:rPr>
          <w:i/>
          <w:iCs/>
        </w:rPr>
        <w:t>People v.</w:t>
      </w:r>
      <w:r w:rsidRPr="00DE0AE7">
        <w:rPr>
          <w:i/>
          <w:iCs/>
        </w:rPr>
        <w:t xml:space="preserve"> Serrano</w:t>
      </w:r>
      <w:r w:rsidRPr="00DE0AE7">
        <w:t xml:space="preserve"> (2012) </w:t>
      </w:r>
      <w:r w:rsidRPr="00221AD8">
        <w:t>211</w:t>
      </w:r>
      <w:r w:rsidR="009175B6" w:rsidRPr="00221AD8">
        <w:t> Cal.</w:t>
      </w:r>
      <w:r w:rsidRPr="00221AD8">
        <w:t>App.4th 49</w:t>
      </w:r>
      <w:r w:rsidRPr="00221AD8">
        <w:t>6, 500-501</w:t>
      </w:r>
      <w:bookmarkEnd w:id="8"/>
      <w:r w:rsidRPr="00221AD8">
        <w:t>.)</w:t>
      </w:r>
    </w:p>
    <w:p w14:paraId="3C5D38A8" w14:textId="52BC0742" w:rsidR="002E04F8" w:rsidRPr="00422F8F" w:rsidRDefault="00D34941" w:rsidP="002E04F8">
      <w:pPr>
        <w:pStyle w:val="BodyText"/>
        <w:spacing w:line="480" w:lineRule="atLeast"/>
        <w:ind w:left="115" w:right="144" w:firstLine="605"/>
      </w:pPr>
      <w:r w:rsidRPr="00CA5E29">
        <w:t>California’s “</w:t>
      </w:r>
      <w:r w:rsidRPr="00CA5E29">
        <w:rPr>
          <w:i/>
        </w:rPr>
        <w:t xml:space="preserve">Wende </w:t>
      </w:r>
      <w:r w:rsidRPr="00CA5E29">
        <w:t>procedure” does not apply to appeals such as this one which is from</w:t>
      </w:r>
      <w:r w:rsidRPr="00CA5E29">
        <w:rPr>
          <w:spacing w:val="1"/>
        </w:rPr>
        <w:t xml:space="preserve"> </w:t>
      </w:r>
      <w:r w:rsidRPr="00CA5E29">
        <w:t xml:space="preserve">a denial of postconviction relief. </w:t>
      </w:r>
      <w:r w:rsidRPr="00CA5E29">
        <w:rPr>
          <w:spacing w:val="1"/>
        </w:rPr>
        <w:t xml:space="preserve"> </w:t>
      </w:r>
      <w:r w:rsidRPr="00CA5E29">
        <w:t>(</w:t>
      </w:r>
      <w:bookmarkStart w:id="9" w:name="dabmci_d52757becfce48d2978ad67b5923188f"/>
      <w:r w:rsidR="009175B6" w:rsidRPr="00CA5E29">
        <w:rPr>
          <w:i/>
        </w:rPr>
        <w:t>People v.</w:t>
      </w:r>
      <w:r w:rsidRPr="00CA5E29">
        <w:rPr>
          <w:i/>
        </w:rPr>
        <w:t xml:space="preserve"> Figueras </w:t>
      </w:r>
      <w:r w:rsidRPr="00CA5E29">
        <w:t>(2021) 61</w:t>
      </w:r>
      <w:r w:rsidR="009175B6" w:rsidRPr="00CA5E29">
        <w:t> Cal.</w:t>
      </w:r>
      <w:r w:rsidRPr="00CA5E29">
        <w:t>App.5th 108,</w:t>
      </w:r>
      <w:r w:rsidR="00A4153A" w:rsidRPr="00CA5E29">
        <w:t xml:space="preserve"> 111</w:t>
      </w:r>
      <w:bookmarkEnd w:id="9"/>
      <w:r w:rsidR="00777FE6" w:rsidRPr="00CA5E29">
        <w:t>,</w:t>
      </w:r>
      <w:r w:rsidRPr="00CA5E29">
        <w:t xml:space="preserve"> review granted</w:t>
      </w:r>
      <w:r w:rsidRPr="00CA5E29">
        <w:rPr>
          <w:spacing w:val="-3"/>
        </w:rPr>
        <w:t xml:space="preserve"> </w:t>
      </w:r>
      <w:r w:rsidRPr="00CA5E29">
        <w:t>May</w:t>
      </w:r>
      <w:r w:rsidR="00777FE6" w:rsidRPr="00CA5E29">
        <w:rPr>
          <w:spacing w:val="-2"/>
        </w:rPr>
        <w:t> </w:t>
      </w:r>
      <w:r w:rsidRPr="00CA5E29">
        <w:t>12,</w:t>
      </w:r>
      <w:r w:rsidRPr="00CA5E29">
        <w:rPr>
          <w:spacing w:val="-2"/>
        </w:rPr>
        <w:t xml:space="preserve"> </w:t>
      </w:r>
      <w:r w:rsidRPr="00CA5E29">
        <w:t>2021,</w:t>
      </w:r>
      <w:r w:rsidRPr="00CA5E29">
        <w:rPr>
          <w:spacing w:val="-3"/>
        </w:rPr>
        <w:t xml:space="preserve"> </w:t>
      </w:r>
      <w:r w:rsidRPr="00CA5E29">
        <w:t>S267870;</w:t>
      </w:r>
      <w:r w:rsidRPr="00CA5E29">
        <w:rPr>
          <w:spacing w:val="-3"/>
        </w:rPr>
        <w:t xml:space="preserve"> </w:t>
      </w:r>
      <w:bookmarkStart w:id="10" w:name="dabmci_2a398183008f4743a9435a5deb0a15c9"/>
      <w:r w:rsidR="009175B6" w:rsidRPr="00CA5E29">
        <w:rPr>
          <w:i/>
        </w:rPr>
        <w:t>People v.</w:t>
      </w:r>
      <w:r w:rsidRPr="00CA5E29">
        <w:rPr>
          <w:i/>
          <w:spacing w:val="-2"/>
        </w:rPr>
        <w:t xml:space="preserve"> </w:t>
      </w:r>
      <w:r w:rsidRPr="007A7D9E">
        <w:rPr>
          <w:i/>
        </w:rPr>
        <w:t>Flores</w:t>
      </w:r>
      <w:r w:rsidRPr="007A7D9E">
        <w:rPr>
          <w:i/>
          <w:spacing w:val="-2"/>
        </w:rPr>
        <w:t xml:space="preserve"> </w:t>
      </w:r>
      <w:r w:rsidRPr="007A7D9E">
        <w:t>(2020)</w:t>
      </w:r>
      <w:r w:rsidRPr="007A7D9E">
        <w:rPr>
          <w:spacing w:val="-2"/>
        </w:rPr>
        <w:t xml:space="preserve"> </w:t>
      </w:r>
      <w:r w:rsidRPr="007A7D9E">
        <w:t>54</w:t>
      </w:r>
      <w:r w:rsidR="009175B6" w:rsidRPr="007A7D9E">
        <w:rPr>
          <w:spacing w:val="-3"/>
        </w:rPr>
        <w:t> Cal.</w:t>
      </w:r>
      <w:r w:rsidRPr="007A7D9E">
        <w:t>App.5th</w:t>
      </w:r>
      <w:r w:rsidRPr="007A7D9E">
        <w:rPr>
          <w:spacing w:val="-2"/>
        </w:rPr>
        <w:t xml:space="preserve"> </w:t>
      </w:r>
      <w:r w:rsidRPr="007A7D9E">
        <w:t>266</w:t>
      </w:r>
      <w:r w:rsidR="00A4153A" w:rsidRPr="007A7D9E">
        <w:t>, 271</w:t>
      </w:r>
      <w:bookmarkEnd w:id="10"/>
      <w:r w:rsidRPr="007A7D9E">
        <w:t>;</w:t>
      </w:r>
      <w:r w:rsidRPr="007A7D9E">
        <w:rPr>
          <w:spacing w:val="-2"/>
        </w:rPr>
        <w:t xml:space="preserve"> </w:t>
      </w:r>
      <w:bookmarkStart w:id="11" w:name="dabmci_d22b71f565714d999764ea9df47f1d3c"/>
      <w:r w:rsidR="009175B6" w:rsidRPr="007A7D9E">
        <w:rPr>
          <w:i/>
        </w:rPr>
        <w:t>People v.</w:t>
      </w:r>
      <w:r w:rsidRPr="007A7D9E">
        <w:rPr>
          <w:i/>
        </w:rPr>
        <w:t xml:space="preserve"> Cole </w:t>
      </w:r>
      <w:r w:rsidRPr="007A7D9E">
        <w:t>(2020) 52</w:t>
      </w:r>
      <w:r w:rsidR="009175B6" w:rsidRPr="007A7D9E">
        <w:t> Cal.</w:t>
      </w:r>
      <w:r w:rsidRPr="007A7D9E">
        <w:t>App.5th 1023,</w:t>
      </w:r>
      <w:r w:rsidR="00665B32" w:rsidRPr="007A7D9E">
        <w:t xml:space="preserve"> 1032</w:t>
      </w:r>
      <w:bookmarkEnd w:id="11"/>
      <w:r w:rsidR="00777FE6" w:rsidRPr="007A7D9E">
        <w:t>,</w:t>
      </w:r>
      <w:r w:rsidRPr="007A7D9E">
        <w:t xml:space="preserve"> review </w:t>
      </w:r>
      <w:r w:rsidRPr="007A7D9E">
        <w:lastRenderedPageBreak/>
        <w:t>granted Oct.</w:t>
      </w:r>
      <w:r w:rsidR="00777FE6" w:rsidRPr="007A7D9E">
        <w:t> </w:t>
      </w:r>
      <w:r w:rsidRPr="007A7D9E">
        <w:t xml:space="preserve">14, 2020, </w:t>
      </w:r>
      <w:r w:rsidRPr="00422F8F">
        <w:t>S264278</w:t>
      </w:r>
      <w:r w:rsidR="00A92035" w:rsidRPr="00422F8F">
        <w:t xml:space="preserve"> (</w:t>
      </w:r>
      <w:r w:rsidR="00A92035" w:rsidRPr="00422F8F">
        <w:rPr>
          <w:i/>
          <w:iCs/>
        </w:rPr>
        <w:t>Cole</w:t>
      </w:r>
      <w:r w:rsidR="00A92035" w:rsidRPr="00422F8F">
        <w:t>)</w:t>
      </w:r>
      <w:r w:rsidRPr="00422F8F">
        <w:t>.)</w:t>
      </w:r>
      <w:r w:rsidRPr="00422F8F">
        <w:rPr>
          <w:spacing w:val="1"/>
        </w:rPr>
        <w:t xml:space="preserve">  </w:t>
      </w:r>
      <w:r w:rsidRPr="00422F8F">
        <w:t xml:space="preserve">This is so </w:t>
      </w:r>
      <w:r w:rsidRPr="00422F8F">
        <w:rPr>
          <w:spacing w:val="-62"/>
        </w:rPr>
        <w:t xml:space="preserve">   </w:t>
      </w:r>
      <w:r w:rsidRPr="00422F8F">
        <w:t xml:space="preserve">because this is not the defendant’s first appeal as of right. </w:t>
      </w:r>
      <w:r w:rsidRPr="00422F8F">
        <w:rPr>
          <w:spacing w:val="1"/>
        </w:rPr>
        <w:t xml:space="preserve"> </w:t>
      </w:r>
      <w:r w:rsidRPr="00422F8F">
        <w:t xml:space="preserve">(See </w:t>
      </w:r>
      <w:bookmarkStart w:id="12" w:name="dabmci_55925305a86640cbb979587627d112c7"/>
      <w:r w:rsidRPr="00422F8F">
        <w:rPr>
          <w:i/>
        </w:rPr>
        <w:t xml:space="preserve">In re Sade C. </w:t>
      </w:r>
      <w:r w:rsidRPr="00422F8F">
        <w:t>(1996)</w:t>
      </w:r>
      <w:r w:rsidRPr="00422F8F">
        <w:rPr>
          <w:spacing w:val="1"/>
        </w:rPr>
        <w:t xml:space="preserve"> </w:t>
      </w:r>
      <w:r w:rsidRPr="00422F8F">
        <w:t>13</w:t>
      </w:r>
      <w:r w:rsidR="009175B6" w:rsidRPr="00422F8F">
        <w:t> Cal.</w:t>
      </w:r>
      <w:r w:rsidRPr="00422F8F">
        <w:t>4th 952, 986</w:t>
      </w:r>
      <w:bookmarkEnd w:id="12"/>
      <w:r w:rsidR="00415924" w:rsidRPr="00422F8F">
        <w:t xml:space="preserve"> (</w:t>
      </w:r>
      <w:r w:rsidR="00415924" w:rsidRPr="00422F8F">
        <w:rPr>
          <w:i/>
          <w:iCs/>
        </w:rPr>
        <w:t>Sade. C.</w:t>
      </w:r>
      <w:r w:rsidR="00415924" w:rsidRPr="00422F8F">
        <w:t>)</w:t>
      </w:r>
      <w:r w:rsidRPr="00422F8F">
        <w:t xml:space="preserve"> [</w:t>
      </w:r>
      <w:r w:rsidRPr="00422F8F">
        <w:rPr>
          <w:i/>
        </w:rPr>
        <w:t xml:space="preserve">Wende/Anders </w:t>
      </w:r>
      <w:r w:rsidRPr="00422F8F">
        <w:t>review “mandated for only one [situation]—the</w:t>
      </w:r>
      <w:r w:rsidRPr="00422F8F">
        <w:rPr>
          <w:spacing w:val="1"/>
        </w:rPr>
        <w:t xml:space="preserve"> </w:t>
      </w:r>
      <w:r w:rsidRPr="008B7BE0">
        <w:t>indigent</w:t>
      </w:r>
      <w:r w:rsidRPr="00ED5D6C">
        <w:rPr>
          <w:spacing w:val="-2"/>
        </w:rPr>
        <w:t xml:space="preserve"> </w:t>
      </w:r>
      <w:r w:rsidRPr="00ED5D6C">
        <w:t>criminal</w:t>
      </w:r>
      <w:r w:rsidRPr="0024695B">
        <w:rPr>
          <w:spacing w:val="-1"/>
        </w:rPr>
        <w:t xml:space="preserve"> </w:t>
      </w:r>
      <w:r w:rsidRPr="00473642">
        <w:t>defendant</w:t>
      </w:r>
      <w:r w:rsidRPr="00473642">
        <w:rPr>
          <w:spacing w:val="-2"/>
        </w:rPr>
        <w:t xml:space="preserve"> </w:t>
      </w:r>
      <w:r w:rsidRPr="00473642">
        <w:t>in</w:t>
      </w:r>
      <w:r w:rsidRPr="00422F8F">
        <w:rPr>
          <w:spacing w:val="-1"/>
        </w:rPr>
        <w:t xml:space="preserve"> </w:t>
      </w:r>
      <w:r w:rsidRPr="00422F8F">
        <w:t>his</w:t>
      </w:r>
      <w:r w:rsidRPr="00422F8F">
        <w:rPr>
          <w:spacing w:val="-2"/>
        </w:rPr>
        <w:t xml:space="preserve"> </w:t>
      </w:r>
      <w:r w:rsidRPr="00422F8F">
        <w:t>first</w:t>
      </w:r>
      <w:r w:rsidRPr="00422F8F">
        <w:rPr>
          <w:spacing w:val="-2"/>
        </w:rPr>
        <w:t xml:space="preserve"> </w:t>
      </w:r>
      <w:r w:rsidRPr="00422F8F">
        <w:t>appeal</w:t>
      </w:r>
      <w:r w:rsidRPr="00422F8F">
        <w:rPr>
          <w:spacing w:val="-1"/>
        </w:rPr>
        <w:t xml:space="preserve"> </w:t>
      </w:r>
      <w:r w:rsidRPr="00422F8F">
        <w:t>as</w:t>
      </w:r>
      <w:r w:rsidRPr="00422F8F">
        <w:rPr>
          <w:spacing w:val="-1"/>
        </w:rPr>
        <w:t xml:space="preserve"> </w:t>
      </w:r>
      <w:r w:rsidRPr="00422F8F">
        <w:t>of</w:t>
      </w:r>
      <w:r w:rsidRPr="00422F8F">
        <w:rPr>
          <w:spacing w:val="-2"/>
        </w:rPr>
        <w:t xml:space="preserve"> </w:t>
      </w:r>
      <w:r w:rsidRPr="00422F8F">
        <w:t>right”].)</w:t>
      </w:r>
    </w:p>
    <w:p w14:paraId="2BB1F458" w14:textId="4F50E6A9" w:rsidR="00404BD6" w:rsidRPr="00045B7C" w:rsidRDefault="00D34941" w:rsidP="002E04F8">
      <w:pPr>
        <w:pStyle w:val="BodyText"/>
        <w:spacing w:line="480" w:lineRule="atLeast"/>
        <w:ind w:left="115" w:firstLine="720"/>
      </w:pPr>
      <w:r w:rsidRPr="00422F8F">
        <w:t xml:space="preserve">In </w:t>
      </w:r>
      <w:bookmarkStart w:id="13" w:name="dabmci_ee108cb292b24521b81b950751666796"/>
      <w:r w:rsidRPr="00422F8F">
        <w:rPr>
          <w:i/>
          <w:iCs/>
        </w:rPr>
        <w:t>Figueras</w:t>
      </w:r>
      <w:bookmarkEnd w:id="13"/>
      <w:r w:rsidRPr="006F595F">
        <w:t xml:space="preserve">, this court said, quoting </w:t>
      </w:r>
      <w:bookmarkStart w:id="14" w:name="dabmci_93495a7de6f84da49af788c221cbbe84"/>
      <w:r w:rsidRPr="006F595F">
        <w:rPr>
          <w:i/>
          <w:iCs/>
        </w:rPr>
        <w:t>Cole</w:t>
      </w:r>
      <w:bookmarkEnd w:id="14"/>
      <w:r w:rsidRPr="006F595F">
        <w:t xml:space="preserve">, “we ‘reject the notion that the Constitution compels the adoption or extension of </w:t>
      </w:r>
      <w:r w:rsidRPr="006F595F">
        <w:rPr>
          <w:i/>
          <w:iCs/>
        </w:rPr>
        <w:t>Wende</w:t>
      </w:r>
      <w:r w:rsidRPr="006F595F">
        <w:t xml:space="preserve"> procedures (or any subset of them) for appeals other than a criminal defendant’s first appeal of right because, beyond that appeal, there is no right to the effective assistance of counsel.  </w:t>
      </w:r>
      <w:r w:rsidRPr="006C2BE1">
        <w:t xml:space="preserve">Time and again, the United States Supreme Court and our Supreme </w:t>
      </w:r>
      <w:r w:rsidRPr="006C2BE1">
        <w:t>Court have rejected the very same argument.  (See [</w:t>
      </w:r>
      <w:bookmarkStart w:id="15" w:name="dabmci_5287f0fdad704dcbb8f6c28c818b3372"/>
      <w:r w:rsidRPr="006C2BE1">
        <w:rPr>
          <w:i/>
          <w:iCs/>
        </w:rPr>
        <w:t>Pennsylvania</w:t>
      </w:r>
      <w:r w:rsidR="00571615" w:rsidRPr="008219AF">
        <w:rPr>
          <w:i/>
          <w:iCs/>
        </w:rPr>
        <w:t> </w:t>
      </w:r>
      <w:r w:rsidRPr="008219AF">
        <w:rPr>
          <w:i/>
          <w:iCs/>
        </w:rPr>
        <w:t>v</w:t>
      </w:r>
      <w:r w:rsidRPr="008219AF">
        <w:t xml:space="preserve">.] </w:t>
      </w:r>
      <w:r w:rsidRPr="008219AF">
        <w:rPr>
          <w:i/>
          <w:iCs/>
        </w:rPr>
        <w:t>Finley</w:t>
      </w:r>
      <w:r w:rsidR="00A32478" w:rsidRPr="000F7E1A">
        <w:t>[</w:t>
      </w:r>
      <w:r w:rsidR="008219AF">
        <w:rPr>
          <w:i/>
          <w:iCs/>
        </w:rPr>
        <w:t>, supra,</w:t>
      </w:r>
      <w:r w:rsidR="00A32478">
        <w:t>]</w:t>
      </w:r>
      <w:r w:rsidRPr="008219AF">
        <w:t xml:space="preserve"> 481</w:t>
      </w:r>
      <w:r w:rsidR="00571615" w:rsidRPr="008219AF">
        <w:t> </w:t>
      </w:r>
      <w:r w:rsidRPr="008219AF">
        <w:t xml:space="preserve">U.S. </w:t>
      </w:r>
      <w:r w:rsidR="00A32478">
        <w:t>[</w:t>
      </w:r>
      <w:r w:rsidR="008219AF">
        <w:t>at p.</w:t>
      </w:r>
      <w:r w:rsidR="00A32478">
        <w:t>]</w:t>
      </w:r>
      <w:r w:rsidRPr="008219AF">
        <w:t xml:space="preserve"> </w:t>
      </w:r>
      <w:r w:rsidRPr="005F2158">
        <w:t>555</w:t>
      </w:r>
      <w:bookmarkEnd w:id="15"/>
      <w:r w:rsidRPr="005F2158">
        <w:t>; [</w:t>
      </w:r>
      <w:bookmarkStart w:id="16" w:name="dabmci_85eee612dfa24d71b3717d0f49003575"/>
      <w:r w:rsidRPr="005F2158">
        <w:rPr>
          <w:i/>
          <w:iCs/>
        </w:rPr>
        <w:t>Conservatorship of</w:t>
      </w:r>
      <w:r w:rsidRPr="005F2158">
        <w:t>]</w:t>
      </w:r>
      <w:r w:rsidRPr="005F2158">
        <w:rPr>
          <w:i/>
          <w:iCs/>
        </w:rPr>
        <w:t xml:space="preserve"> Ben C</w:t>
      </w:r>
      <w:r w:rsidRPr="005F2158">
        <w:t>.</w:t>
      </w:r>
      <w:r w:rsidR="00294AEA">
        <w:t>[</w:t>
      </w:r>
      <w:r w:rsidR="005F2158">
        <w:t>,</w:t>
      </w:r>
      <w:r w:rsidR="005F2158">
        <w:rPr>
          <w:i/>
          <w:iCs/>
        </w:rPr>
        <w:t xml:space="preserve"> supra</w:t>
      </w:r>
      <w:r w:rsidR="005F2158">
        <w:t>,</w:t>
      </w:r>
      <w:r w:rsidR="00294AEA">
        <w:t>]</w:t>
      </w:r>
      <w:r w:rsidRPr="005F2158">
        <w:t xml:space="preserve"> 40</w:t>
      </w:r>
      <w:r w:rsidR="009175B6" w:rsidRPr="005F2158">
        <w:t> Cal.</w:t>
      </w:r>
      <w:r w:rsidRPr="005F2158">
        <w:t xml:space="preserve">4th </w:t>
      </w:r>
      <w:r w:rsidR="00294AEA">
        <w:t>[</w:t>
      </w:r>
      <w:r w:rsidR="005F2158">
        <w:t>at pp.</w:t>
      </w:r>
      <w:r w:rsidR="00294AEA">
        <w:t>]</w:t>
      </w:r>
      <w:r w:rsidRPr="005F2158">
        <w:t xml:space="preserve"> 538</w:t>
      </w:r>
      <w:r w:rsidR="00A92035" w:rsidRPr="005F2158">
        <w:t>-</w:t>
      </w:r>
      <w:r w:rsidRPr="005F2158">
        <w:t>5</w:t>
      </w:r>
      <w:r w:rsidRPr="00BB3D0B">
        <w:t>43</w:t>
      </w:r>
      <w:bookmarkEnd w:id="16"/>
      <w:r w:rsidRPr="00BB3D0B">
        <w:t>; [</w:t>
      </w:r>
      <w:bookmarkStart w:id="17" w:name="dabmci_62b62680c17c41bb87a805510e190203"/>
      <w:r w:rsidR="00FF3296">
        <w:t>[</w:t>
      </w:r>
      <w:r w:rsidRPr="00FF3296">
        <w:rPr>
          <w:i/>
          <w:iCs/>
        </w:rPr>
        <w:t>Sade C.</w:t>
      </w:r>
      <w:r w:rsidR="00BB3D0B">
        <w:rPr>
          <w:i/>
          <w:iCs/>
        </w:rPr>
        <w:t>, supra,</w:t>
      </w:r>
      <w:r w:rsidRPr="00BB3D0B">
        <w:t>] 13</w:t>
      </w:r>
      <w:r w:rsidR="009175B6" w:rsidRPr="00BB3D0B">
        <w:t> Cal.</w:t>
      </w:r>
      <w:r w:rsidRPr="00BB3D0B">
        <w:t>4th [</w:t>
      </w:r>
      <w:r w:rsidR="00BB3D0B">
        <w:t>at pp.</w:t>
      </w:r>
      <w:r w:rsidRPr="00BB3D0B">
        <w:t>] 986</w:t>
      </w:r>
      <w:r w:rsidR="00A92035" w:rsidRPr="00BB3D0B">
        <w:t>-</w:t>
      </w:r>
      <w:r w:rsidRPr="00BB3D0B">
        <w:t>993</w:t>
      </w:r>
      <w:bookmarkEnd w:id="17"/>
      <w:r w:rsidRPr="00BB3D0B">
        <w:t>.)’  (</w:t>
      </w:r>
      <w:bookmarkStart w:id="18" w:name="dabmci_5f6e553c140c4c6782db6e18b276c739"/>
      <w:r w:rsidRPr="00BB3D0B">
        <w:rPr>
          <w:i/>
          <w:iCs/>
        </w:rPr>
        <w:t>C</w:t>
      </w:r>
      <w:r w:rsidRPr="00A02742">
        <w:rPr>
          <w:i/>
          <w:iCs/>
        </w:rPr>
        <w:t>ole</w:t>
      </w:r>
      <w:r w:rsidRPr="006E7BA0">
        <w:rPr>
          <w:i/>
          <w:iCs/>
        </w:rPr>
        <w:t>, supra,</w:t>
      </w:r>
      <w:r w:rsidRPr="00045B7C">
        <w:t xml:space="preserve"> 52</w:t>
      </w:r>
      <w:r w:rsidR="009175B6" w:rsidRPr="00473642">
        <w:t> Cal.</w:t>
      </w:r>
      <w:r w:rsidRPr="00473642">
        <w:t xml:space="preserve">App.5th at </w:t>
      </w:r>
      <w:r w:rsidR="00C54C0B" w:rsidRPr="00473642">
        <w:t>p. </w:t>
      </w:r>
      <w:r w:rsidRPr="00A02742">
        <w:t>1034</w:t>
      </w:r>
      <w:bookmarkEnd w:id="18"/>
      <w:r w:rsidRPr="00A02742">
        <w:t xml:space="preserve">, review granted; </w:t>
      </w:r>
      <w:bookmarkStart w:id="19" w:name="dabmci_785be45d88f948f381a343948aa6598e"/>
      <w:r w:rsidR="009175B6" w:rsidRPr="00A02742">
        <w:rPr>
          <w:i/>
          <w:iCs/>
        </w:rPr>
        <w:t>People v.</w:t>
      </w:r>
      <w:r w:rsidR="00571615" w:rsidRPr="00A02742">
        <w:rPr>
          <w:i/>
          <w:iCs/>
        </w:rPr>
        <w:t xml:space="preserve"> </w:t>
      </w:r>
      <w:r w:rsidRPr="00A02742">
        <w:rPr>
          <w:i/>
          <w:iCs/>
        </w:rPr>
        <w:t>Flores</w:t>
      </w:r>
      <w:r w:rsidR="006E7BA0">
        <w:t>[,</w:t>
      </w:r>
      <w:r w:rsidR="006E7BA0">
        <w:rPr>
          <w:i/>
          <w:iCs/>
        </w:rPr>
        <w:t xml:space="preserve"> supra</w:t>
      </w:r>
      <w:r w:rsidR="006E7BA0">
        <w:t>]</w:t>
      </w:r>
      <w:r w:rsidRPr="006E7BA0">
        <w:t xml:space="preserve"> 54</w:t>
      </w:r>
      <w:r w:rsidR="009175B6" w:rsidRPr="006E7BA0">
        <w:t> Cal.</w:t>
      </w:r>
      <w:r w:rsidRPr="006E7BA0">
        <w:t>App.5th</w:t>
      </w:r>
      <w:r w:rsidR="00571615" w:rsidRPr="006E7BA0">
        <w:t xml:space="preserve"> </w:t>
      </w:r>
      <w:r w:rsidR="006E7BA0">
        <w:t>[at p.]</w:t>
      </w:r>
      <w:r w:rsidR="00571615" w:rsidRPr="006E7BA0">
        <w:t xml:space="preserve"> </w:t>
      </w:r>
      <w:r w:rsidRPr="006E7BA0">
        <w:t>271</w:t>
      </w:r>
      <w:bookmarkEnd w:id="19"/>
      <w:r w:rsidRPr="006E7BA0">
        <w:t>.)”  (</w:t>
      </w:r>
      <w:bookmarkStart w:id="20" w:name="dabmci_efa6b7ed01784513a60bf2cc8cc437e8"/>
      <w:r w:rsidRPr="006E7BA0">
        <w:rPr>
          <w:i/>
          <w:iCs/>
        </w:rPr>
        <w:t>Figueras, supra,</w:t>
      </w:r>
      <w:r w:rsidRPr="006E7BA0">
        <w:t xml:space="preserve"> 61</w:t>
      </w:r>
      <w:r w:rsidR="009175B6" w:rsidRPr="006E7BA0">
        <w:t> Cal.</w:t>
      </w:r>
      <w:r w:rsidRPr="006E7BA0">
        <w:t xml:space="preserve">App.5th at </w:t>
      </w:r>
      <w:r w:rsidR="00C54C0B" w:rsidRPr="006E7BA0">
        <w:t>p. </w:t>
      </w:r>
      <w:r w:rsidRPr="006E7BA0">
        <w:t xml:space="preserve">111, review </w:t>
      </w:r>
      <w:r w:rsidRPr="00045B7C">
        <w:t>granted.</w:t>
      </w:r>
      <w:bookmarkEnd w:id="20"/>
      <w:r w:rsidRPr="00045B7C">
        <w:t>)  Thus</w:t>
      </w:r>
      <w:r w:rsidRPr="008B7BE0">
        <w:t xml:space="preserve">, these courts held the Constitution does not require “the adoption or </w:t>
      </w:r>
      <w:r w:rsidRPr="00473642">
        <w:t xml:space="preserve">extension” of </w:t>
      </w:r>
      <w:r w:rsidRPr="00473642">
        <w:rPr>
          <w:i/>
          <w:iCs/>
        </w:rPr>
        <w:t xml:space="preserve">Wende </w:t>
      </w:r>
      <w:r w:rsidRPr="00473642">
        <w:t>proced</w:t>
      </w:r>
      <w:r w:rsidRPr="00473642">
        <w:t>ures to appeals from postconviction proceedings.</w:t>
      </w:r>
    </w:p>
    <w:p w14:paraId="0FC02A48" w14:textId="276756FE" w:rsidR="00CF6745" w:rsidRPr="00045B7C" w:rsidRDefault="00D34941" w:rsidP="00CF6745">
      <w:pPr>
        <w:ind w:firstLine="720"/>
      </w:pPr>
      <w:r w:rsidRPr="00045B7C">
        <w:t xml:space="preserve">Once we hold an appeal from a denial of postconviction relief is not subject to </w:t>
      </w:r>
      <w:r w:rsidRPr="00045B7C">
        <w:rPr>
          <w:i/>
          <w:iCs/>
        </w:rPr>
        <w:t>Wende</w:t>
      </w:r>
      <w:r w:rsidRPr="00045B7C">
        <w:t xml:space="preserve"> review, we then have before us a “standard” appeal from an order denying postconviction relief in which defendant, throug</w:t>
      </w:r>
      <w:r w:rsidRPr="00045B7C">
        <w:t xml:space="preserve">h counsel, has stated there are no issues that properly can be raised on appeal.  Under these circumstances, the appeal </w:t>
      </w:r>
      <w:r w:rsidR="00571615" w:rsidRPr="00045B7C">
        <w:t xml:space="preserve">is </w:t>
      </w:r>
      <w:r w:rsidRPr="00045B7C">
        <w:t xml:space="preserve">abandoned and </w:t>
      </w:r>
      <w:r w:rsidR="00571615" w:rsidRPr="00045B7C">
        <w:t xml:space="preserve">we </w:t>
      </w:r>
      <w:r w:rsidR="00964018" w:rsidRPr="00045B7C">
        <w:t>will</w:t>
      </w:r>
      <w:r w:rsidR="00571615" w:rsidRPr="00045B7C">
        <w:t xml:space="preserve"> </w:t>
      </w:r>
      <w:r w:rsidRPr="00045B7C">
        <w:t>dismiss it.</w:t>
      </w:r>
    </w:p>
    <w:p w14:paraId="5ADEB2DB" w14:textId="059D483B" w:rsidR="00404BD6" w:rsidRPr="00D759B0" w:rsidRDefault="00D34941" w:rsidP="00CF6745">
      <w:pPr>
        <w:ind w:firstLine="720"/>
      </w:pPr>
      <w:r w:rsidRPr="00045B7C">
        <w:t>In reaching this conclusion, we start with</w:t>
      </w:r>
      <w:r w:rsidR="00665B32" w:rsidRPr="00045B7C">
        <w:t xml:space="preserve"> the </w:t>
      </w:r>
      <w:r w:rsidR="00665B32" w:rsidRPr="008B7BE0">
        <w:t>question</w:t>
      </w:r>
      <w:r w:rsidRPr="008B7BE0">
        <w:t xml:space="preserve"> whether the appellate court can or should or must review the record looking for error when the defendant’s counsel has found none and has so declared.</w:t>
      </w:r>
      <w:r w:rsidR="009175B6" w:rsidRPr="008B7BE0">
        <w:t xml:space="preserve">  </w:t>
      </w:r>
      <w:r w:rsidRPr="008B7BE0">
        <w:t xml:space="preserve">In </w:t>
      </w:r>
      <w:bookmarkStart w:id="21" w:name="dabmci_fa4ca4ead68142aabbd859e3ef14fd9f"/>
      <w:r w:rsidRPr="008B7BE0">
        <w:rPr>
          <w:i/>
          <w:iCs/>
        </w:rPr>
        <w:t>Sade C.</w:t>
      </w:r>
      <w:r w:rsidR="00B261AD" w:rsidRPr="008B7BE0">
        <w:rPr>
          <w:i/>
          <w:iCs/>
        </w:rPr>
        <w:t>, supra</w:t>
      </w:r>
      <w:r w:rsidRPr="008B7BE0">
        <w:t>, 13</w:t>
      </w:r>
      <w:r w:rsidR="009175B6" w:rsidRPr="008B7BE0">
        <w:t> Cal.</w:t>
      </w:r>
      <w:r w:rsidRPr="008B7BE0">
        <w:t>4th 952</w:t>
      </w:r>
      <w:bookmarkEnd w:id="21"/>
      <w:r w:rsidRPr="008B7BE0">
        <w:t>, our supreme court considered whether the “prophylactic” procedures o</w:t>
      </w:r>
      <w:r w:rsidRPr="008B7BE0">
        <w:t xml:space="preserve">f </w:t>
      </w:r>
      <w:r w:rsidRPr="008B7BE0">
        <w:rPr>
          <w:i/>
          <w:iCs/>
        </w:rPr>
        <w:t xml:space="preserve">Anders </w:t>
      </w:r>
      <w:r w:rsidRPr="008B7BE0">
        <w:t xml:space="preserve">and </w:t>
      </w:r>
      <w:r w:rsidRPr="008B7BE0">
        <w:rPr>
          <w:i/>
          <w:iCs/>
        </w:rPr>
        <w:t>Wende</w:t>
      </w:r>
      <w:r w:rsidRPr="008B7BE0">
        <w:t xml:space="preserve"> applied to an indigent parent’s appeal from a judgment or order adversely affecting a parent’s right to the custody of a child or the parent’s status as a parent of the child.  The Court </w:t>
      </w:r>
      <w:r w:rsidRPr="008B7BE0">
        <w:lastRenderedPageBreak/>
        <w:t xml:space="preserve">concluded they did </w:t>
      </w:r>
      <w:r w:rsidRPr="00132538">
        <w:t>not.</w:t>
      </w:r>
      <w:r w:rsidR="00B77F18" w:rsidRPr="00132538">
        <w:t xml:space="preserve">  (</w:t>
      </w:r>
      <w:bookmarkStart w:id="22" w:name="dabmci_ccf89e4d308e402abf8e01108f96bef2"/>
      <w:r w:rsidR="00B77F18" w:rsidRPr="00132538">
        <w:rPr>
          <w:i/>
          <w:iCs/>
        </w:rPr>
        <w:t>Sade C.</w:t>
      </w:r>
      <w:r w:rsidR="00B77F18" w:rsidRPr="00132538">
        <w:t xml:space="preserve">, at </w:t>
      </w:r>
      <w:r w:rsidR="00C54C0B" w:rsidRPr="00132538">
        <w:t>p. </w:t>
      </w:r>
      <w:r w:rsidR="00B77F18" w:rsidRPr="00132538">
        <w:t>990</w:t>
      </w:r>
      <w:bookmarkEnd w:id="22"/>
      <w:r w:rsidR="00B77F18" w:rsidRPr="00132538">
        <w:t>.)</w:t>
      </w:r>
      <w:r w:rsidR="009175B6" w:rsidRPr="00132538">
        <w:t xml:space="preserve">  </w:t>
      </w:r>
      <w:r w:rsidRPr="00132538">
        <w:t>As</w:t>
      </w:r>
      <w:r w:rsidRPr="00132538">
        <w:t xml:space="preserve"> to a concern that </w:t>
      </w:r>
      <w:r w:rsidR="00C54C0B" w:rsidRPr="00132538">
        <w:t xml:space="preserve">the </w:t>
      </w:r>
      <w:r w:rsidRPr="00132538">
        <w:t xml:space="preserve">risk of the absence of </w:t>
      </w:r>
      <w:r w:rsidRPr="00132538">
        <w:rPr>
          <w:i/>
          <w:iCs/>
        </w:rPr>
        <w:t>Anders</w:t>
      </w:r>
      <w:r w:rsidRPr="00132538">
        <w:t xml:space="preserve"> </w:t>
      </w:r>
      <w:r w:rsidR="009175B6" w:rsidRPr="00132538">
        <w:t>(</w:t>
      </w:r>
      <w:r w:rsidRPr="00132538">
        <w:t xml:space="preserve">and </w:t>
      </w:r>
      <w:r w:rsidRPr="00132538">
        <w:rPr>
          <w:i/>
          <w:iCs/>
        </w:rPr>
        <w:t>Wende</w:t>
      </w:r>
      <w:r w:rsidR="009175B6" w:rsidRPr="00132538">
        <w:t>)</w:t>
      </w:r>
      <w:r w:rsidRPr="00132538">
        <w:t xml:space="preserve"> procedures will lead to an erroneous resolution of a</w:t>
      </w:r>
      <w:r w:rsidR="00B261AD" w:rsidRPr="00132538">
        <w:t>n</w:t>
      </w:r>
      <w:r w:rsidRPr="00132538">
        <w:t xml:space="preserve"> appeal, the Court said:</w:t>
      </w:r>
      <w:r w:rsidR="009175B6" w:rsidRPr="00132538">
        <w:t xml:space="preserve">  </w:t>
      </w:r>
      <w:r w:rsidRPr="00132538">
        <w:t xml:space="preserve">“As a practical matter, we believe that the chance of error is negligible.  </w:t>
      </w:r>
      <w:r w:rsidRPr="00FE4C13">
        <w:t xml:space="preserve">We do not ignore the fact that such </w:t>
      </w:r>
      <w:r w:rsidRPr="00FE4C13">
        <w:t xml:space="preserve">error may be irremediable.  (See, e.g., </w:t>
      </w:r>
      <w:bookmarkStart w:id="23" w:name="dabmci_9f984987d3c34e9881f2ec046679cd0d"/>
      <w:r w:rsidRPr="00FE4C13">
        <w:rPr>
          <w:i/>
          <w:iCs/>
        </w:rPr>
        <w:t>Adoption of Alexander S</w:t>
      </w:r>
      <w:r w:rsidRPr="00FE4C13">
        <w:t xml:space="preserve">. (1988) </w:t>
      </w:r>
      <w:r w:rsidRPr="00ED5D6C">
        <w:t>44</w:t>
      </w:r>
      <w:r w:rsidR="009175B6" w:rsidRPr="00ED5D6C">
        <w:t> Cal.</w:t>
      </w:r>
      <w:r w:rsidRPr="00ED5D6C">
        <w:t>3d 857, 868</w:t>
      </w:r>
      <w:bookmarkEnd w:id="23"/>
      <w:r w:rsidRPr="00ED5D6C">
        <w:t xml:space="preserve"> [].)  Ne</w:t>
      </w:r>
      <w:r w:rsidRPr="00FE4C13">
        <w:t>vertheless, our consideration of the many cases that have come befor</w:t>
      </w:r>
      <w:r w:rsidRPr="00473642">
        <w:t>e us on petition for review reveals that appointed appellate counsel faithfully conduct t</w:t>
      </w:r>
      <w:r w:rsidRPr="00473642">
        <w:t xml:space="preserve">hemselves as active advocates [on] </w:t>
      </w:r>
      <w:r w:rsidRPr="00FE4C13">
        <w:t>behalf of indigent parents.  This causes no surprise:</w:t>
      </w:r>
      <w:r w:rsidR="00EC39DE">
        <w:t xml:space="preserve"> </w:t>
      </w:r>
      <w:r w:rsidRPr="00FE4C13">
        <w:t xml:space="preserve"> </w:t>
      </w:r>
      <w:r w:rsidRPr="00E23B00">
        <w:t>the attorneys are enabled, and indeed encouraged, to effectively represent their clients by the procedural protections accorded them in the Court of Appeal, including</w:t>
      </w:r>
      <w:r w:rsidRPr="00E23B00">
        <w:t xml:space="preserve"> the right to precedence over all other causes (</w:t>
      </w:r>
      <w:bookmarkStart w:id="24" w:name="dabmci_f533558b2c2c4600a7a9d6238a6ec106"/>
      <w:r w:rsidRPr="00E23B00">
        <w:t xml:space="preserve">Welf. &amp; Inst. Code, </w:t>
      </w:r>
      <w:r w:rsidR="00C41DF9" w:rsidRPr="00E23B00">
        <w:t>§ </w:t>
      </w:r>
      <w:r w:rsidRPr="00E23B00">
        <w:t>395</w:t>
      </w:r>
      <w:bookmarkEnd w:id="24"/>
      <w:r w:rsidRPr="00E23B00">
        <w:t xml:space="preserve">), which parallel those accorded them in the juvenile court (see, e.g., </w:t>
      </w:r>
      <w:bookmarkStart w:id="25" w:name="dabmci_c280836b1628450aa49cae63c5755d50"/>
      <w:r w:rsidRPr="00E23B00">
        <w:rPr>
          <w:i/>
          <w:iCs/>
        </w:rPr>
        <w:t>In re Marilyn H</w:t>
      </w:r>
      <w:r w:rsidRPr="00E23B00">
        <w:t>.[ (</w:t>
      </w:r>
      <w:r w:rsidRPr="00ED5D6C">
        <w:t>1993)] 5</w:t>
      </w:r>
      <w:r w:rsidR="009175B6" w:rsidRPr="00ED5D6C">
        <w:t> Cal.</w:t>
      </w:r>
      <w:r w:rsidRPr="00ED5D6C">
        <w:t>4th [295,] 306-310</w:t>
      </w:r>
      <w:bookmarkEnd w:id="25"/>
      <w:r w:rsidRPr="00ED5D6C">
        <w:t>).</w:t>
      </w:r>
      <w:r w:rsidRPr="00E23B00">
        <w:t xml:space="preserve">  </w:t>
      </w:r>
      <w:r w:rsidRPr="003704F5">
        <w:t xml:space="preserve">In </w:t>
      </w:r>
      <w:r w:rsidRPr="00D759B0">
        <w:t xml:space="preserve">accord is the experience of Division One of the Fourth Appellate District of the Court of Appeal, as it recently recounted in </w:t>
      </w:r>
      <w:bookmarkStart w:id="26" w:name="dabmci_533f8a94b77a4780bf6e6a10d0a52cc0"/>
      <w:r w:rsidRPr="0024695B">
        <w:rPr>
          <w:i/>
          <w:iCs/>
        </w:rPr>
        <w:t>In</w:t>
      </w:r>
      <w:r w:rsidR="00D203F9" w:rsidRPr="00683C88">
        <w:rPr>
          <w:i/>
          <w:iCs/>
        </w:rPr>
        <w:t> </w:t>
      </w:r>
      <w:r w:rsidRPr="00683C88">
        <w:rPr>
          <w:i/>
          <w:iCs/>
        </w:rPr>
        <w:t>re Angelica V</w:t>
      </w:r>
      <w:r w:rsidRPr="00683C88">
        <w:t>. having applied the procedures in question for more than a decade under its hol</w:t>
      </w:r>
      <w:r w:rsidRPr="00473642">
        <w:t xml:space="preserve">dings in </w:t>
      </w:r>
      <w:r w:rsidRPr="00473642">
        <w:rPr>
          <w:i/>
          <w:iCs/>
        </w:rPr>
        <w:t>Brian B</w:t>
      </w:r>
      <w:r w:rsidRPr="00473642">
        <w:t>.</w:t>
      </w:r>
      <w:r w:rsidR="007D47EF" w:rsidRPr="0024695B">
        <w:t xml:space="preserve"> [(1983) 141</w:t>
      </w:r>
      <w:r w:rsidR="00EE7B2D" w:rsidRPr="0024695B">
        <w:t> </w:t>
      </w:r>
      <w:r w:rsidR="007D47EF" w:rsidRPr="0024695B">
        <w:t>Cal.App.3d 397</w:t>
      </w:r>
      <w:r w:rsidR="007D47EF" w:rsidRPr="003704F5">
        <w:t>]</w:t>
      </w:r>
      <w:r w:rsidRPr="00D759B0">
        <w:t xml:space="preserve"> and </w:t>
      </w:r>
      <w:r w:rsidRPr="00ED5D6C">
        <w:rPr>
          <w:i/>
          <w:iCs/>
        </w:rPr>
        <w:t>Joyleaf W</w:t>
      </w:r>
      <w:r w:rsidRPr="00ED5D6C">
        <w:t>.</w:t>
      </w:r>
      <w:r w:rsidR="007D47EF" w:rsidRPr="0024695B">
        <w:t xml:space="preserve"> [(1984) </w:t>
      </w:r>
      <w:r w:rsidR="007D47EF" w:rsidRPr="00683C88">
        <w:t>150</w:t>
      </w:r>
      <w:r w:rsidR="00EE7B2D" w:rsidRPr="00683C88">
        <w:t> </w:t>
      </w:r>
      <w:r w:rsidR="007D47EF" w:rsidRPr="00683C88">
        <w:t>Cal.App.3d 865]</w:t>
      </w:r>
      <w:r w:rsidRPr="00683C88">
        <w:t>, the court declared that ‘we have discovered, to the best of our</w:t>
      </w:r>
      <w:r w:rsidRPr="00ED5D6C">
        <w:t xml:space="preserve"> present recollection, no unbriefed issues warranting further attention.’  (</w:t>
      </w:r>
      <w:r w:rsidRPr="00473642">
        <w:rPr>
          <w:i/>
          <w:iCs/>
        </w:rPr>
        <w:t>In</w:t>
      </w:r>
      <w:r w:rsidR="00B246B5" w:rsidRPr="00473642">
        <w:rPr>
          <w:i/>
          <w:iCs/>
        </w:rPr>
        <w:t> </w:t>
      </w:r>
      <w:r w:rsidRPr="00473642">
        <w:rPr>
          <w:i/>
          <w:iCs/>
        </w:rPr>
        <w:t>re Angelica V</w:t>
      </w:r>
      <w:r w:rsidRPr="00D759B0">
        <w:t xml:space="preserve">.[ (1995)] </w:t>
      </w:r>
      <w:r w:rsidRPr="00683C88">
        <w:t>39</w:t>
      </w:r>
      <w:r w:rsidR="009175B6" w:rsidRPr="00683C88">
        <w:t> Cal.</w:t>
      </w:r>
      <w:r w:rsidRPr="00683C88">
        <w:t>App.4th [1007,] 1015</w:t>
      </w:r>
      <w:bookmarkEnd w:id="26"/>
      <w:r w:rsidRPr="00683C88">
        <w:t>, itali</w:t>
      </w:r>
      <w:r w:rsidRPr="00683C88">
        <w:t>cs added [holding the Court of Appeal would</w:t>
      </w:r>
      <w:r w:rsidRPr="00D759B0">
        <w:t xml:space="preserve"> no longer apply </w:t>
      </w:r>
      <w:r w:rsidRPr="00D759B0">
        <w:rPr>
          <w:i/>
          <w:iCs/>
        </w:rPr>
        <w:t>Wende</w:t>
      </w:r>
      <w:r w:rsidRPr="00ED5D6C">
        <w:t xml:space="preserve"> procedures to parental rights cases].)  As </w:t>
      </w:r>
      <w:r w:rsidRPr="0024695B">
        <w:t>a result, it judged the procedures ‘unproductive’ (</w:t>
      </w:r>
      <w:bookmarkStart w:id="27" w:name="dabmci_346ad06e74c84097bd111e866f74deba"/>
      <w:r w:rsidRPr="007D6F34">
        <w:rPr>
          <w:i/>
          <w:iCs/>
        </w:rPr>
        <w:t>id.</w:t>
      </w:r>
      <w:r w:rsidRPr="007D6F34">
        <w:t xml:space="preserve"> at </w:t>
      </w:r>
      <w:r w:rsidR="00C54C0B" w:rsidRPr="001E6966">
        <w:t>p. </w:t>
      </w:r>
      <w:r w:rsidRPr="008C143E">
        <w:t>1016</w:t>
      </w:r>
      <w:bookmarkEnd w:id="27"/>
      <w:r w:rsidRPr="008C143E">
        <w:t xml:space="preserve">), and overruled </w:t>
      </w:r>
      <w:r w:rsidRPr="00BD2DD3">
        <w:rPr>
          <w:i/>
          <w:iCs/>
        </w:rPr>
        <w:t>Brian B</w:t>
      </w:r>
      <w:r w:rsidRPr="00C10A72">
        <w:t xml:space="preserve">. and </w:t>
      </w:r>
      <w:r w:rsidRPr="00C10A72">
        <w:rPr>
          <w:i/>
          <w:iCs/>
        </w:rPr>
        <w:t>Joyleaf W</w:t>
      </w:r>
      <w:r w:rsidRPr="00C10A72">
        <w:t>.</w:t>
      </w:r>
      <w:r w:rsidR="00B77F18" w:rsidRPr="00C10A72">
        <w:t>”  (</w:t>
      </w:r>
      <w:bookmarkStart w:id="28" w:name="dabmci_9ac1570f9feb489480a1966db486e012"/>
      <w:r w:rsidR="00B77F18" w:rsidRPr="00473642">
        <w:rPr>
          <w:i/>
          <w:iCs/>
        </w:rPr>
        <w:t>Sade</w:t>
      </w:r>
      <w:r w:rsidR="007D6F34">
        <w:rPr>
          <w:i/>
          <w:iCs/>
        </w:rPr>
        <w:t> </w:t>
      </w:r>
      <w:r w:rsidR="00B77F18" w:rsidRPr="00D759B0">
        <w:rPr>
          <w:i/>
          <w:iCs/>
        </w:rPr>
        <w:t>C.</w:t>
      </w:r>
      <w:r w:rsidR="00415924" w:rsidRPr="00D759B0">
        <w:rPr>
          <w:i/>
          <w:iCs/>
        </w:rPr>
        <w:t>, supra</w:t>
      </w:r>
      <w:r w:rsidR="008F66D6" w:rsidRPr="00D759B0">
        <w:t xml:space="preserve">, 13 Cal.4th </w:t>
      </w:r>
      <w:r w:rsidR="00B77F18" w:rsidRPr="00D759B0">
        <w:t xml:space="preserve">at </w:t>
      </w:r>
      <w:r w:rsidR="00C54C0B" w:rsidRPr="00D759B0">
        <w:t>p. </w:t>
      </w:r>
      <w:r w:rsidR="00B77F18" w:rsidRPr="00D759B0">
        <w:t>990</w:t>
      </w:r>
      <w:bookmarkEnd w:id="28"/>
      <w:r w:rsidR="00B77F18" w:rsidRPr="00D759B0">
        <w:t>.)</w:t>
      </w:r>
    </w:p>
    <w:p w14:paraId="41D531E9" w14:textId="13654969" w:rsidR="00CF6745" w:rsidRPr="008C143E" w:rsidRDefault="00D34941" w:rsidP="00CF6745">
      <w:pPr>
        <w:ind w:firstLine="720"/>
      </w:pPr>
      <w:r w:rsidRPr="007D6F34">
        <w:t xml:space="preserve">Our </w:t>
      </w:r>
      <w:r w:rsidR="00D203F9" w:rsidRPr="007D6F34">
        <w:t>S</w:t>
      </w:r>
      <w:r w:rsidRPr="007D6F34">
        <w:t xml:space="preserve">upreme </w:t>
      </w:r>
      <w:r w:rsidR="00D203F9" w:rsidRPr="007D6F34">
        <w:t>C</w:t>
      </w:r>
      <w:r w:rsidRPr="007D6F34">
        <w:t xml:space="preserve">ourt continued, </w:t>
      </w:r>
      <w:r w:rsidR="00404BD6" w:rsidRPr="007D6F34">
        <w:t>“</w:t>
      </w:r>
      <w:r w:rsidRPr="001E6966">
        <w:t>we</w:t>
      </w:r>
      <w:r w:rsidR="00404BD6" w:rsidRPr="001E6966">
        <w:t xml:space="preserve"> believe that the requirement of fundamental fairness contained in the Fourteenth Amendment’s due process clause does not compel imposition of </w:t>
      </w:r>
      <w:r w:rsidR="00404BD6" w:rsidRPr="001E6966">
        <w:rPr>
          <w:i/>
          <w:iCs/>
        </w:rPr>
        <w:t>Anders</w:t>
      </w:r>
      <w:r w:rsidR="00404BD6" w:rsidRPr="001E6966">
        <w:t>’s ‘prophylactic’ procedures.  Procedures that are practically ‘unproductive,’ like those in question, need not be put into place, no matter how many and how weighty the interests that theoretically support their use.  T</w:t>
      </w:r>
      <w:r w:rsidR="00404BD6" w:rsidRPr="008C143E">
        <w:t>o be sure, these procedures may have ‘symbolic’ value of some kind.  (</w:t>
      </w:r>
      <w:bookmarkStart w:id="29" w:name="dabmci_c40bd86e1aa54043a976e683ce65c91a"/>
      <w:r w:rsidR="00404BD6" w:rsidRPr="008C143E">
        <w:rPr>
          <w:i/>
          <w:iCs/>
        </w:rPr>
        <w:t>Santosky</w:t>
      </w:r>
      <w:r w:rsidR="00C41DF9" w:rsidRPr="008C143E">
        <w:rPr>
          <w:i/>
          <w:iCs/>
        </w:rPr>
        <w:t> v.</w:t>
      </w:r>
      <w:r w:rsidR="00404BD6" w:rsidRPr="008C143E">
        <w:rPr>
          <w:i/>
          <w:iCs/>
        </w:rPr>
        <w:t xml:space="preserve"> Kramer</w:t>
      </w:r>
      <w:r w:rsidR="0065614F" w:rsidRPr="008C143E">
        <w:rPr>
          <w:i/>
          <w:iCs/>
        </w:rPr>
        <w:t xml:space="preserve"> </w:t>
      </w:r>
      <w:r w:rsidR="00404BD6" w:rsidRPr="008C143E">
        <w:t xml:space="preserve">[(1981)] </w:t>
      </w:r>
      <w:r w:rsidR="00404BD6" w:rsidRPr="008C143E">
        <w:lastRenderedPageBreak/>
        <w:t>455</w:t>
      </w:r>
      <w:r w:rsidR="00C41DF9" w:rsidRPr="008C143E">
        <w:t> U.S.</w:t>
      </w:r>
      <w:r w:rsidR="00404BD6" w:rsidRPr="008C143E">
        <w:t xml:space="preserve"> [745,] 764</w:t>
      </w:r>
      <w:bookmarkEnd w:id="29"/>
      <w:r w:rsidR="00404BD6" w:rsidRPr="008C143E">
        <w:t xml:space="preserve"> [].)  Such value, however, is too slight to compel their invocation.”  (</w:t>
      </w:r>
      <w:bookmarkStart w:id="30" w:name="dabmci_ead66270c42241fb9dc6afc1ef07c22b"/>
      <w:r w:rsidR="00404BD6" w:rsidRPr="008C143E">
        <w:rPr>
          <w:i/>
          <w:iCs/>
        </w:rPr>
        <w:t>In re Sade C., supra,</w:t>
      </w:r>
      <w:r w:rsidR="00404BD6" w:rsidRPr="008C143E">
        <w:t xml:space="preserve"> 13</w:t>
      </w:r>
      <w:r w:rsidR="009175B6" w:rsidRPr="008C143E">
        <w:t> Cal.</w:t>
      </w:r>
      <w:r w:rsidR="00404BD6" w:rsidRPr="008C143E">
        <w:t>4th at p</w:t>
      </w:r>
      <w:r w:rsidR="00C54C0B" w:rsidRPr="008C143E">
        <w:t>p. </w:t>
      </w:r>
      <w:r w:rsidR="00404BD6" w:rsidRPr="008C143E">
        <w:t>990-991</w:t>
      </w:r>
      <w:bookmarkEnd w:id="30"/>
      <w:r w:rsidR="00404BD6" w:rsidRPr="008C143E">
        <w:t>, fn. omitted.)</w:t>
      </w:r>
    </w:p>
    <w:p w14:paraId="11C7C331" w14:textId="467A363D" w:rsidR="00CF6745" w:rsidRPr="00BD2DD3" w:rsidRDefault="00D34941" w:rsidP="00CF6745">
      <w:pPr>
        <w:ind w:firstLine="720"/>
      </w:pPr>
      <w:r w:rsidRPr="00BD2DD3">
        <w:t>T</w:t>
      </w:r>
      <w:r w:rsidR="00404BD6" w:rsidRPr="00BD2DD3">
        <w:t xml:space="preserve">hese observations apply equally to review of postconviction relief orders and the court is not required, in order to satisfy due process or otherwise, to review the record in these cases once counsel has stated counsel can find no arguable issues on appeal </w:t>
      </w:r>
      <w:r w:rsidR="0006115C" w:rsidRPr="00BD2DD3">
        <w:t>n</w:t>
      </w:r>
      <w:r w:rsidR="00404BD6" w:rsidRPr="00BD2DD3">
        <w:t>or</w:t>
      </w:r>
      <w:r w:rsidR="0006115C" w:rsidRPr="00BD2DD3">
        <w:t xml:space="preserve"> are we</w:t>
      </w:r>
      <w:r w:rsidR="00404BD6" w:rsidRPr="00BD2DD3">
        <w:t xml:space="preserve"> required to </w:t>
      </w:r>
      <w:r w:rsidR="0006115C" w:rsidRPr="00BD2DD3">
        <w:t xml:space="preserve">accept </w:t>
      </w:r>
      <w:r w:rsidR="00404BD6" w:rsidRPr="00BD2DD3">
        <w:t>and resolve issues raised individually by the defendant.</w:t>
      </w:r>
    </w:p>
    <w:p w14:paraId="1D2BFA05" w14:textId="1373B133" w:rsidR="002E04F8" w:rsidRPr="00BD2DD3" w:rsidRDefault="00D34941" w:rsidP="002E04F8">
      <w:pPr>
        <w:pStyle w:val="BodyText"/>
        <w:spacing w:line="480" w:lineRule="atLeast"/>
        <w:ind w:left="119" w:right="206" w:firstLine="720"/>
      </w:pPr>
      <w:r w:rsidRPr="00BD2DD3">
        <w:t>We acknowledge there</w:t>
      </w:r>
      <w:r w:rsidR="00C54C0B" w:rsidRPr="00BD2DD3">
        <w:t xml:space="preserve"> is</w:t>
      </w:r>
      <w:r w:rsidRPr="00BD2DD3">
        <w:t xml:space="preserve"> disagreement among the California</w:t>
      </w:r>
      <w:r w:rsidR="006D2F92" w:rsidRPr="00BD2DD3">
        <w:t xml:space="preserve"> C</w:t>
      </w:r>
      <w:r w:rsidRPr="00BD2DD3">
        <w:t xml:space="preserve">ourts of </w:t>
      </w:r>
      <w:r w:rsidR="006D2F92" w:rsidRPr="00BD2DD3">
        <w:t>A</w:t>
      </w:r>
      <w:r w:rsidRPr="00BD2DD3">
        <w:t>ppeal regarding the proper</w:t>
      </w:r>
      <w:r w:rsidRPr="00BD2DD3">
        <w:rPr>
          <w:spacing w:val="1"/>
        </w:rPr>
        <w:t xml:space="preserve"> </w:t>
      </w:r>
      <w:r w:rsidRPr="00BD2DD3">
        <w:t>disposition of non-</w:t>
      </w:r>
      <w:r w:rsidRPr="00BD2DD3">
        <w:rPr>
          <w:i/>
        </w:rPr>
        <w:t xml:space="preserve">Wende </w:t>
      </w:r>
      <w:r w:rsidRPr="00BD2DD3">
        <w:t>appeals where, as here, the defendant/appellant</w:t>
      </w:r>
      <w:r w:rsidRPr="00BD2DD3">
        <w:t xml:space="preserve"> has chosen to</w:t>
      </w:r>
      <w:r w:rsidRPr="00BD2DD3">
        <w:rPr>
          <w:spacing w:val="1"/>
        </w:rPr>
        <w:t xml:space="preserve"> </w:t>
      </w:r>
      <w:r w:rsidRPr="00BD2DD3">
        <w:t>raise issues in the appeal on his own and notwithstanding the fact that his appointed</w:t>
      </w:r>
      <w:r w:rsidRPr="00BD2DD3">
        <w:rPr>
          <w:spacing w:val="1"/>
        </w:rPr>
        <w:t xml:space="preserve"> </w:t>
      </w:r>
      <w:r w:rsidRPr="00BD2DD3">
        <w:t>counsel has reported to the court he or she cannot find any arguable appellate issues.  Must or should the court review and resolve those issues, thus adop</w:t>
      </w:r>
      <w:r w:rsidRPr="00BD2DD3">
        <w:t xml:space="preserve">ting the </w:t>
      </w:r>
      <w:r w:rsidRPr="00BD2DD3">
        <w:rPr>
          <w:i/>
        </w:rPr>
        <w:t xml:space="preserve">Wende </w:t>
      </w:r>
      <w:r w:rsidRPr="00BD2DD3">
        <w:t>procedure in a</w:t>
      </w:r>
      <w:r w:rsidRPr="00BD2DD3">
        <w:rPr>
          <w:spacing w:val="1"/>
        </w:rPr>
        <w:t xml:space="preserve"> </w:t>
      </w:r>
      <w:r w:rsidRPr="00BD2DD3">
        <w:t>non-</w:t>
      </w:r>
      <w:r w:rsidRPr="00BD2DD3">
        <w:rPr>
          <w:i/>
        </w:rPr>
        <w:t xml:space="preserve">Wende </w:t>
      </w:r>
      <w:r w:rsidRPr="00BD2DD3">
        <w:t>appeal?</w:t>
      </w:r>
    </w:p>
    <w:p w14:paraId="3B2363A4" w14:textId="3D9FEB60" w:rsidR="002E04F8" w:rsidRPr="00C10A72" w:rsidRDefault="00D34941" w:rsidP="002E04F8">
      <w:pPr>
        <w:pStyle w:val="BodyText"/>
        <w:spacing w:line="480" w:lineRule="atLeast"/>
        <w:ind w:left="180" w:firstLine="540"/>
      </w:pPr>
      <w:r w:rsidRPr="00BD2DD3">
        <w:t>“</w:t>
      </w:r>
      <w:r w:rsidRPr="00C10A72">
        <w:t>The</w:t>
      </w:r>
      <w:r w:rsidRPr="00C10A72">
        <w:rPr>
          <w:spacing w:val="-4"/>
        </w:rPr>
        <w:t xml:space="preserve"> </w:t>
      </w:r>
      <w:r w:rsidRPr="00C10A72">
        <w:t>general</w:t>
      </w:r>
      <w:r w:rsidRPr="00C10A72">
        <w:rPr>
          <w:spacing w:val="-3"/>
        </w:rPr>
        <w:t xml:space="preserve"> </w:t>
      </w:r>
      <w:r w:rsidRPr="00C10A72">
        <w:t>rule</w:t>
      </w:r>
      <w:r w:rsidRPr="00C10A72">
        <w:rPr>
          <w:spacing w:val="-4"/>
        </w:rPr>
        <w:t xml:space="preserve"> </w:t>
      </w:r>
      <w:r w:rsidRPr="00C10A72">
        <w:t>that</w:t>
      </w:r>
      <w:r w:rsidRPr="00C10A72">
        <w:rPr>
          <w:spacing w:val="-3"/>
        </w:rPr>
        <w:t xml:space="preserve"> </w:t>
      </w:r>
      <w:r w:rsidRPr="00C10A72">
        <w:t>a</w:t>
      </w:r>
      <w:r w:rsidRPr="00C10A72">
        <w:rPr>
          <w:spacing w:val="-4"/>
        </w:rPr>
        <w:t xml:space="preserve"> </w:t>
      </w:r>
      <w:r w:rsidRPr="00C10A72">
        <w:t>defendant</w:t>
      </w:r>
      <w:r w:rsidRPr="00C10A72">
        <w:rPr>
          <w:spacing w:val="-3"/>
        </w:rPr>
        <w:t xml:space="preserve"> </w:t>
      </w:r>
      <w:r w:rsidRPr="00C10A72">
        <w:t>who</w:t>
      </w:r>
      <w:r w:rsidRPr="00C10A72">
        <w:rPr>
          <w:spacing w:val="-3"/>
        </w:rPr>
        <w:t xml:space="preserve"> </w:t>
      </w:r>
      <w:r w:rsidRPr="00C10A72">
        <w:t>is</w:t>
      </w:r>
      <w:r w:rsidRPr="00C10A72">
        <w:rPr>
          <w:spacing w:val="-4"/>
        </w:rPr>
        <w:t xml:space="preserve"> </w:t>
      </w:r>
      <w:r w:rsidRPr="00C10A72">
        <w:t>represented</w:t>
      </w:r>
      <w:r w:rsidRPr="00C10A72">
        <w:rPr>
          <w:spacing w:val="-3"/>
        </w:rPr>
        <w:t xml:space="preserve"> </w:t>
      </w:r>
      <w:r w:rsidRPr="00C10A72">
        <w:t>by</w:t>
      </w:r>
      <w:r w:rsidRPr="00C10A72">
        <w:rPr>
          <w:spacing w:val="-4"/>
        </w:rPr>
        <w:t xml:space="preserve"> </w:t>
      </w:r>
      <w:r w:rsidRPr="00C10A72">
        <w:t>an</w:t>
      </w:r>
      <w:r w:rsidRPr="00C10A72">
        <w:rPr>
          <w:spacing w:val="-3"/>
        </w:rPr>
        <w:t xml:space="preserve"> </w:t>
      </w:r>
      <w:r w:rsidRPr="00C10A72">
        <w:t>attorney</w:t>
      </w:r>
      <w:r w:rsidRPr="00C10A72">
        <w:rPr>
          <w:spacing w:val="-4"/>
        </w:rPr>
        <w:t xml:space="preserve"> </w:t>
      </w:r>
      <w:r w:rsidRPr="00C10A72">
        <w:t>of</w:t>
      </w:r>
      <w:r w:rsidRPr="00C10A72">
        <w:rPr>
          <w:spacing w:val="-3"/>
        </w:rPr>
        <w:t xml:space="preserve"> </w:t>
      </w:r>
      <w:r w:rsidRPr="00C10A72">
        <w:t>record</w:t>
      </w:r>
      <w:r w:rsidRPr="00C10A72">
        <w:rPr>
          <w:spacing w:val="-3"/>
        </w:rPr>
        <w:t xml:space="preserve"> </w:t>
      </w:r>
      <w:r w:rsidRPr="00C10A72">
        <w:t>will not be personally recognized by the court in the conduct of his case (</w:t>
      </w:r>
      <w:bookmarkStart w:id="31" w:name="dabmci_9d38338788224ae9add612331c636583"/>
      <w:r w:rsidR="009175B6" w:rsidRPr="00C10A72">
        <w:rPr>
          <w:i/>
        </w:rPr>
        <w:t>People v.</w:t>
      </w:r>
      <w:r w:rsidRPr="00C10A72">
        <w:rPr>
          <w:i/>
        </w:rPr>
        <w:t xml:space="preserve"> Merkouris</w:t>
      </w:r>
      <w:r w:rsidR="00A66053" w:rsidRPr="00C10A72">
        <w:rPr>
          <w:i/>
        </w:rPr>
        <w:t xml:space="preserve"> </w:t>
      </w:r>
      <w:r w:rsidRPr="00C10A72">
        <w:t>(1956)[] 46</w:t>
      </w:r>
      <w:r w:rsidR="009175B6" w:rsidRPr="00C10A72">
        <w:t> Cal.</w:t>
      </w:r>
      <w:r w:rsidRPr="00C10A72">
        <w:t>2d 540, 554</w:t>
      </w:r>
      <w:bookmarkEnd w:id="31"/>
      <w:r w:rsidRPr="00C10A72">
        <w:t xml:space="preserve">) applies to the filing of </w:t>
      </w:r>
      <w:r w:rsidRPr="00C10A72">
        <w:rPr>
          <w:i/>
        </w:rPr>
        <w:t xml:space="preserve">pro se </w:t>
      </w:r>
      <w:r w:rsidRPr="00C10A72">
        <w:t>documents on appeal (</w:t>
      </w:r>
      <w:bookmarkStart w:id="32" w:name="dabmci_b3680641792b47eeb6d66b3a3c2621ce"/>
      <w:r w:rsidRPr="00C10A72">
        <w:rPr>
          <w:i/>
        </w:rPr>
        <w:t>Electric</w:t>
      </w:r>
      <w:r w:rsidR="00C10A72">
        <w:rPr>
          <w:i/>
        </w:rPr>
        <w:t xml:space="preserve"> </w:t>
      </w:r>
      <w:r w:rsidRPr="00C10A72">
        <w:rPr>
          <w:i/>
          <w:spacing w:val="-62"/>
        </w:rPr>
        <w:t xml:space="preserve"> </w:t>
      </w:r>
      <w:r w:rsidRPr="00C10A72">
        <w:rPr>
          <w:i/>
        </w:rPr>
        <w:t>Utilities</w:t>
      </w:r>
      <w:r w:rsidRPr="00C10A72">
        <w:rPr>
          <w:i/>
          <w:spacing w:val="-4"/>
        </w:rPr>
        <w:t xml:space="preserve"> </w:t>
      </w:r>
      <w:r w:rsidRPr="00C10A72">
        <w:rPr>
          <w:i/>
        </w:rPr>
        <w:t>Co.</w:t>
      </w:r>
      <w:r w:rsidR="00C41DF9" w:rsidRPr="00C10A72">
        <w:rPr>
          <w:i/>
          <w:spacing w:val="-3"/>
        </w:rPr>
        <w:t> v.</w:t>
      </w:r>
      <w:r w:rsidRPr="00C10A72">
        <w:rPr>
          <w:i/>
          <w:spacing w:val="-4"/>
        </w:rPr>
        <w:t xml:space="preserve"> </w:t>
      </w:r>
      <w:r w:rsidRPr="00C10A72">
        <w:rPr>
          <w:i/>
        </w:rPr>
        <w:t>Small-page</w:t>
      </w:r>
      <w:r w:rsidRPr="00C10A72">
        <w:rPr>
          <w:i/>
          <w:spacing w:val="-2"/>
        </w:rPr>
        <w:t xml:space="preserve"> </w:t>
      </w:r>
      <w:r w:rsidRPr="00C10A72">
        <w:t>(1934),</w:t>
      </w:r>
      <w:r w:rsidRPr="00C10A72">
        <w:rPr>
          <w:spacing w:val="-4"/>
        </w:rPr>
        <w:t xml:space="preserve"> </w:t>
      </w:r>
      <w:r w:rsidRPr="00323E6D">
        <w:t>137</w:t>
      </w:r>
      <w:r w:rsidR="009175B6" w:rsidRPr="00624212">
        <w:rPr>
          <w:spacing w:val="-3"/>
        </w:rPr>
        <w:t> Cal.</w:t>
      </w:r>
      <w:r w:rsidRPr="009A1C46">
        <w:t>Ap</w:t>
      </w:r>
      <w:r w:rsidR="00C54C0B" w:rsidRPr="004F6AA0">
        <w:t>p.</w:t>
      </w:r>
      <w:r w:rsidR="00B246B5" w:rsidRPr="00BC1D66">
        <w:t xml:space="preserve"> </w:t>
      </w:r>
      <w:r w:rsidRPr="00BC1D66">
        <w:t>640,</w:t>
      </w:r>
      <w:r w:rsidRPr="00BC1D66">
        <w:rPr>
          <w:spacing w:val="-3"/>
        </w:rPr>
        <w:t xml:space="preserve"> </w:t>
      </w:r>
      <w:r w:rsidRPr="00BC1D66">
        <w:t>641-642</w:t>
      </w:r>
      <w:bookmarkEnd w:id="32"/>
      <w:r w:rsidRPr="00BC1D66">
        <w:t>).”  (</w:t>
      </w:r>
      <w:bookmarkStart w:id="33" w:name="dabmci_326eda40ca924cc6893f340a76266fa6"/>
      <w:r w:rsidR="009175B6" w:rsidRPr="00473642">
        <w:rPr>
          <w:i/>
        </w:rPr>
        <w:t>People v.</w:t>
      </w:r>
      <w:r w:rsidRPr="00473642">
        <w:rPr>
          <w:i/>
          <w:spacing w:val="-4"/>
        </w:rPr>
        <w:t xml:space="preserve"> </w:t>
      </w:r>
      <w:r w:rsidRPr="00473642">
        <w:rPr>
          <w:i/>
        </w:rPr>
        <w:t xml:space="preserve">Mattson </w:t>
      </w:r>
      <w:r w:rsidRPr="00C10A72">
        <w:rPr>
          <w:iCs/>
        </w:rPr>
        <w:t>(</w:t>
      </w:r>
      <w:r w:rsidRPr="00C10A72">
        <w:t>1956)</w:t>
      </w:r>
      <w:r w:rsidRPr="00C10A72">
        <w:rPr>
          <w:spacing w:val="-2"/>
        </w:rPr>
        <w:t xml:space="preserve"> </w:t>
      </w:r>
      <w:r w:rsidRPr="00C10A72">
        <w:t>51</w:t>
      </w:r>
      <w:r w:rsidR="009175B6" w:rsidRPr="00C10A72">
        <w:rPr>
          <w:spacing w:val="-2"/>
        </w:rPr>
        <w:t> Cal.</w:t>
      </w:r>
      <w:r w:rsidRPr="00C10A72">
        <w:t>2d</w:t>
      </w:r>
      <w:r w:rsidRPr="00C10A72">
        <w:rPr>
          <w:spacing w:val="-2"/>
        </w:rPr>
        <w:t xml:space="preserve"> </w:t>
      </w:r>
      <w:r w:rsidRPr="00C10A72">
        <w:t>777,</w:t>
      </w:r>
      <w:r w:rsidRPr="00C10A72">
        <w:rPr>
          <w:spacing w:val="-3"/>
        </w:rPr>
        <w:t xml:space="preserve"> </w:t>
      </w:r>
      <w:r w:rsidRPr="00C10A72">
        <w:t>798</w:t>
      </w:r>
      <w:r w:rsidRPr="00C10A72">
        <w:rPr>
          <w:spacing w:val="-2"/>
        </w:rPr>
        <w:t xml:space="preserve"> </w:t>
      </w:r>
      <w:r w:rsidRPr="00C10A72">
        <w:t>(</w:t>
      </w:r>
      <w:r w:rsidRPr="00C10A72">
        <w:rPr>
          <w:i/>
        </w:rPr>
        <w:t>Mattson</w:t>
      </w:r>
      <w:r w:rsidRPr="00C10A72">
        <w:t>)</w:t>
      </w:r>
      <w:bookmarkEnd w:id="33"/>
      <w:r w:rsidRPr="00C10A72">
        <w:t>.)</w:t>
      </w:r>
    </w:p>
    <w:p w14:paraId="57B24B8A" w14:textId="29D9C962" w:rsidR="002E04F8" w:rsidRPr="009A1C46" w:rsidRDefault="00D34941" w:rsidP="002E04F8">
      <w:pPr>
        <w:pStyle w:val="BodyText"/>
        <w:spacing w:line="480" w:lineRule="atLeast"/>
        <w:ind w:left="180" w:firstLine="540"/>
      </w:pPr>
      <w:r w:rsidRPr="00C10A72">
        <w:t>“[T]here</w:t>
      </w:r>
      <w:r w:rsidRPr="00C10A72">
        <w:rPr>
          <w:spacing w:val="-5"/>
        </w:rPr>
        <w:t xml:space="preserve"> </w:t>
      </w:r>
      <w:r w:rsidRPr="00C10A72">
        <w:t>is</w:t>
      </w:r>
      <w:r w:rsidRPr="00C10A72">
        <w:rPr>
          <w:spacing w:val="-4"/>
        </w:rPr>
        <w:t xml:space="preserve"> </w:t>
      </w:r>
      <w:r w:rsidRPr="00C10A72">
        <w:t>no</w:t>
      </w:r>
      <w:r w:rsidRPr="00C10A72">
        <w:rPr>
          <w:spacing w:val="-4"/>
        </w:rPr>
        <w:t xml:space="preserve"> </w:t>
      </w:r>
      <w:r w:rsidRPr="00C10A72">
        <w:t>right</w:t>
      </w:r>
      <w:r w:rsidR="007D22EC" w:rsidRPr="00C10A72">
        <w:t>⸺</w:t>
      </w:r>
      <w:r w:rsidRPr="00C10A72">
        <w:t>constitutional,</w:t>
      </w:r>
      <w:r w:rsidRPr="00C10A72">
        <w:rPr>
          <w:spacing w:val="-4"/>
        </w:rPr>
        <w:t xml:space="preserve"> </w:t>
      </w:r>
      <w:r w:rsidRPr="00C10A72">
        <w:t>statutory,</w:t>
      </w:r>
      <w:r w:rsidRPr="00C10A72">
        <w:rPr>
          <w:spacing w:val="-4"/>
        </w:rPr>
        <w:t xml:space="preserve"> </w:t>
      </w:r>
      <w:r w:rsidRPr="00C10A72">
        <w:t>or</w:t>
      </w:r>
      <w:r w:rsidRPr="00C10A72">
        <w:rPr>
          <w:spacing w:val="-5"/>
        </w:rPr>
        <w:t xml:space="preserve"> </w:t>
      </w:r>
      <w:r w:rsidRPr="00C10A72">
        <w:t>otherwise</w:t>
      </w:r>
      <w:r w:rsidR="007D22EC" w:rsidRPr="00C10A72">
        <w:rPr>
          <w:spacing w:val="-4"/>
        </w:rPr>
        <w:t>⸺</w:t>
      </w:r>
      <w:r w:rsidRPr="00C10A72">
        <w:t>to</w:t>
      </w:r>
      <w:r w:rsidRPr="00C10A72">
        <w:rPr>
          <w:spacing w:val="-4"/>
        </w:rPr>
        <w:t xml:space="preserve"> </w:t>
      </w:r>
      <w:r w:rsidRPr="00C10A72">
        <w:t xml:space="preserve">self-representation in a criminal appeal in California. </w:t>
      </w:r>
      <w:r w:rsidRPr="00C10A72">
        <w:rPr>
          <w:spacing w:val="1"/>
        </w:rPr>
        <w:t xml:space="preserve"> </w:t>
      </w:r>
      <w:r w:rsidRPr="00C10A72">
        <w:t xml:space="preserve">(See </w:t>
      </w:r>
      <w:bookmarkStart w:id="34" w:name="dabmci_65f0a7d530054217893e6bffad6d09fa"/>
      <w:r w:rsidR="009175B6" w:rsidRPr="00C10A72">
        <w:rPr>
          <w:i/>
        </w:rPr>
        <w:t>People v.</w:t>
      </w:r>
      <w:r w:rsidRPr="00C10A72">
        <w:rPr>
          <w:i/>
        </w:rPr>
        <w:t xml:space="preserve"> Stanworth </w:t>
      </w:r>
      <w:r w:rsidRPr="00C10A72">
        <w:t>(1969)</w:t>
      </w:r>
      <w:r w:rsidRPr="00C10A72">
        <w:rPr>
          <w:spacing w:val="1"/>
        </w:rPr>
        <w:t xml:space="preserve"> </w:t>
      </w:r>
      <w:r w:rsidRPr="00BC1D66">
        <w:t>71</w:t>
      </w:r>
      <w:r w:rsidR="009175B6" w:rsidRPr="00BC1D66">
        <w:t> Cal.</w:t>
      </w:r>
      <w:r w:rsidRPr="00BC1D66">
        <w:t>2d 820, 834</w:t>
      </w:r>
      <w:r w:rsidR="0065614F" w:rsidRPr="00BC1D66">
        <w:t>-</w:t>
      </w:r>
      <w:r w:rsidRPr="00BC1D66">
        <w:t>835</w:t>
      </w:r>
      <w:bookmarkEnd w:id="34"/>
      <w:r w:rsidRPr="00BC1D66">
        <w:t>[] [no</w:t>
      </w:r>
      <w:r w:rsidRPr="00323E6D">
        <w:t xml:space="preserve"> right to dismiss counsel in capital appeals</w:t>
      </w:r>
      <w:r w:rsidRPr="00624212">
        <w:t xml:space="preserve">]; </w:t>
      </w:r>
      <w:bookmarkStart w:id="35" w:name="dabmci_5ff49a9cb9294f0181829ec5e6cf95d2"/>
      <w:r w:rsidR="009175B6" w:rsidRPr="009A1C46">
        <w:rPr>
          <w:i/>
        </w:rPr>
        <w:t>People v.</w:t>
      </w:r>
      <w:r w:rsidR="00A66053" w:rsidRPr="004F6AA0">
        <w:rPr>
          <w:i/>
        </w:rPr>
        <w:t xml:space="preserve"> </w:t>
      </w:r>
      <w:r w:rsidRPr="00BC1D66">
        <w:rPr>
          <w:i/>
        </w:rPr>
        <w:t>Scott</w:t>
      </w:r>
      <w:r w:rsidRPr="00BC1D66">
        <w:t>[</w:t>
      </w:r>
      <w:r w:rsidRPr="00BC1D66">
        <w:rPr>
          <w:spacing w:val="-5"/>
        </w:rPr>
        <w:t xml:space="preserve"> </w:t>
      </w:r>
      <w:r w:rsidRPr="00BC1D66">
        <w:t>(1998)]</w:t>
      </w:r>
      <w:r w:rsidRPr="00BC1D66">
        <w:rPr>
          <w:spacing w:val="-5"/>
        </w:rPr>
        <w:t xml:space="preserve"> </w:t>
      </w:r>
      <w:r w:rsidRPr="00BC1D66">
        <w:t>64</w:t>
      </w:r>
      <w:r w:rsidR="009175B6" w:rsidRPr="00BC1D66">
        <w:rPr>
          <w:spacing w:val="-4"/>
        </w:rPr>
        <w:t> </w:t>
      </w:r>
      <w:r w:rsidR="009175B6" w:rsidRPr="00E13615">
        <w:rPr>
          <w:spacing w:val="-4"/>
        </w:rPr>
        <w:t>Cal.</w:t>
      </w:r>
      <w:r w:rsidRPr="00E13615">
        <w:t>App.4th</w:t>
      </w:r>
      <w:r w:rsidRPr="00E13615">
        <w:rPr>
          <w:spacing w:val="-5"/>
        </w:rPr>
        <w:t xml:space="preserve"> </w:t>
      </w:r>
      <w:r w:rsidRPr="00E13615">
        <w:t>[550,]</w:t>
      </w:r>
      <w:r w:rsidRPr="00E13615">
        <w:rPr>
          <w:spacing w:val="-4"/>
        </w:rPr>
        <w:t xml:space="preserve"> </w:t>
      </w:r>
      <w:r w:rsidRPr="00E13615">
        <w:t>569</w:t>
      </w:r>
      <w:r w:rsidRPr="00E13615">
        <w:rPr>
          <w:spacing w:val="-5"/>
        </w:rPr>
        <w:t xml:space="preserve"> </w:t>
      </w:r>
      <w:r w:rsidRPr="007D0D6E">
        <w:t>573</w:t>
      </w:r>
      <w:bookmarkEnd w:id="35"/>
      <w:r w:rsidRPr="007D0D6E">
        <w:t>[]</w:t>
      </w:r>
      <w:r w:rsidRPr="007D0D6E">
        <w:rPr>
          <w:spacing w:val="-5"/>
        </w:rPr>
        <w:t xml:space="preserve"> </w:t>
      </w:r>
      <w:r w:rsidRPr="00473642">
        <w:t>[noncapital</w:t>
      </w:r>
      <w:r w:rsidRPr="00473642">
        <w:rPr>
          <w:spacing w:val="-4"/>
        </w:rPr>
        <w:t xml:space="preserve"> </w:t>
      </w:r>
      <w:r w:rsidRPr="00473642">
        <w:t xml:space="preserve">appeals].)  </w:t>
      </w:r>
      <w:r w:rsidRPr="00BC1D66">
        <w:t>In</w:t>
      </w:r>
      <w:r w:rsidRPr="00BC1D66">
        <w:rPr>
          <w:spacing w:val="-5"/>
        </w:rPr>
        <w:t xml:space="preserve"> </w:t>
      </w:r>
      <w:r w:rsidRPr="00BC1D66">
        <w:t>particular, neither</w:t>
      </w:r>
      <w:r w:rsidRPr="00BC1D66">
        <w:rPr>
          <w:spacing w:val="-2"/>
        </w:rPr>
        <w:t xml:space="preserve"> </w:t>
      </w:r>
      <w:r w:rsidRPr="00BC1D66">
        <w:t>the</w:t>
      </w:r>
      <w:r w:rsidRPr="00BC1D66">
        <w:rPr>
          <w:spacing w:val="-2"/>
        </w:rPr>
        <w:t xml:space="preserve"> </w:t>
      </w:r>
      <w:r w:rsidRPr="00BC1D66">
        <w:t>Sixth</w:t>
      </w:r>
      <w:r w:rsidRPr="00BC1D66">
        <w:rPr>
          <w:spacing w:val="-2"/>
        </w:rPr>
        <w:t xml:space="preserve"> </w:t>
      </w:r>
      <w:r w:rsidRPr="00473642">
        <w:t>Amendment</w:t>
      </w:r>
      <w:r w:rsidRPr="00473642">
        <w:rPr>
          <w:spacing w:val="-2"/>
        </w:rPr>
        <w:t xml:space="preserve"> </w:t>
      </w:r>
      <w:r w:rsidRPr="00473642">
        <w:t>nor</w:t>
      </w:r>
      <w:r w:rsidRPr="00323E6D">
        <w:rPr>
          <w:spacing w:val="-4"/>
        </w:rPr>
        <w:t xml:space="preserve"> </w:t>
      </w:r>
      <w:r w:rsidRPr="00323E6D">
        <w:t>the</w:t>
      </w:r>
      <w:r w:rsidRPr="00323E6D">
        <w:rPr>
          <w:spacing w:val="-2"/>
        </w:rPr>
        <w:t xml:space="preserve"> </w:t>
      </w:r>
      <w:r w:rsidRPr="00323E6D">
        <w:t>due</w:t>
      </w:r>
      <w:r w:rsidRPr="00323E6D">
        <w:rPr>
          <w:spacing w:val="-2"/>
        </w:rPr>
        <w:t xml:space="preserve"> </w:t>
      </w:r>
      <w:r w:rsidRPr="00323E6D">
        <w:t>process</w:t>
      </w:r>
      <w:r w:rsidRPr="00323E6D">
        <w:rPr>
          <w:spacing w:val="-2"/>
        </w:rPr>
        <w:t xml:space="preserve"> </w:t>
      </w:r>
      <w:r w:rsidRPr="00323E6D">
        <w:t>clause</w:t>
      </w:r>
      <w:r w:rsidRPr="00323E6D">
        <w:rPr>
          <w:spacing w:val="-1"/>
        </w:rPr>
        <w:t xml:space="preserve"> </w:t>
      </w:r>
      <w:r w:rsidRPr="00323E6D">
        <w:t>of</w:t>
      </w:r>
      <w:r w:rsidRPr="00323E6D">
        <w:rPr>
          <w:spacing w:val="-2"/>
        </w:rPr>
        <w:t xml:space="preserve"> </w:t>
      </w:r>
      <w:r w:rsidRPr="00323E6D">
        <w:t>the</w:t>
      </w:r>
      <w:r w:rsidRPr="00323E6D">
        <w:rPr>
          <w:spacing w:val="-2"/>
        </w:rPr>
        <w:t xml:space="preserve"> </w:t>
      </w:r>
      <w:r w:rsidRPr="00323E6D">
        <w:t>Fourteenth</w:t>
      </w:r>
      <w:r w:rsidRPr="00323E6D">
        <w:rPr>
          <w:spacing w:val="-2"/>
        </w:rPr>
        <w:t xml:space="preserve"> </w:t>
      </w:r>
      <w:r w:rsidRPr="00323E6D">
        <w:t>Amendment</w:t>
      </w:r>
      <w:r w:rsidRPr="00323E6D">
        <w:rPr>
          <w:spacing w:val="-3"/>
        </w:rPr>
        <w:t xml:space="preserve"> to t</w:t>
      </w:r>
      <w:r w:rsidRPr="00323E6D">
        <w:t>he</w:t>
      </w:r>
      <w:r w:rsidRPr="00323E6D">
        <w:rPr>
          <w:spacing w:val="-4"/>
        </w:rPr>
        <w:t xml:space="preserve"> </w:t>
      </w:r>
      <w:r w:rsidRPr="00323E6D">
        <w:t>federal</w:t>
      </w:r>
      <w:r w:rsidRPr="00323E6D">
        <w:rPr>
          <w:spacing w:val="-3"/>
        </w:rPr>
        <w:t xml:space="preserve"> </w:t>
      </w:r>
      <w:r w:rsidRPr="00323E6D">
        <w:t>Constitution</w:t>
      </w:r>
      <w:r w:rsidRPr="00323E6D">
        <w:rPr>
          <w:spacing w:val="-3"/>
        </w:rPr>
        <w:t xml:space="preserve"> </w:t>
      </w:r>
      <w:r w:rsidRPr="00323E6D">
        <w:t>furnishes</w:t>
      </w:r>
      <w:r w:rsidRPr="00323E6D">
        <w:rPr>
          <w:spacing w:val="-4"/>
        </w:rPr>
        <w:t xml:space="preserve"> </w:t>
      </w:r>
      <w:r w:rsidRPr="00323E6D">
        <w:t>a</w:t>
      </w:r>
      <w:r w:rsidRPr="00323E6D">
        <w:rPr>
          <w:spacing w:val="-2"/>
        </w:rPr>
        <w:t xml:space="preserve"> </w:t>
      </w:r>
      <w:r w:rsidRPr="00323E6D">
        <w:t>basis</w:t>
      </w:r>
      <w:r w:rsidRPr="00323E6D">
        <w:rPr>
          <w:spacing w:val="-3"/>
        </w:rPr>
        <w:t xml:space="preserve"> </w:t>
      </w:r>
      <w:r w:rsidRPr="00323E6D">
        <w:t>for</w:t>
      </w:r>
      <w:r w:rsidRPr="00323E6D">
        <w:rPr>
          <w:spacing w:val="-3"/>
        </w:rPr>
        <w:t xml:space="preserve"> </w:t>
      </w:r>
      <w:r w:rsidRPr="00323E6D">
        <w:t>finding</w:t>
      </w:r>
      <w:r w:rsidRPr="00323E6D">
        <w:rPr>
          <w:spacing w:val="-4"/>
        </w:rPr>
        <w:t xml:space="preserve"> </w:t>
      </w:r>
      <w:r w:rsidRPr="00323E6D">
        <w:t>such</w:t>
      </w:r>
      <w:r w:rsidRPr="00323E6D">
        <w:rPr>
          <w:spacing w:val="-3"/>
        </w:rPr>
        <w:t xml:space="preserve"> </w:t>
      </w:r>
      <w:r w:rsidRPr="00323E6D">
        <w:t>a</w:t>
      </w:r>
      <w:r w:rsidRPr="00323E6D">
        <w:rPr>
          <w:spacing w:val="-3"/>
        </w:rPr>
        <w:t xml:space="preserve"> </w:t>
      </w:r>
      <w:r w:rsidRPr="00323E6D">
        <w:t>right.  (</w:t>
      </w:r>
      <w:r w:rsidRPr="00323E6D">
        <w:rPr>
          <w:i/>
        </w:rPr>
        <w:t>Martinez</w:t>
      </w:r>
      <w:r w:rsidRPr="00323E6D">
        <w:t>[</w:t>
      </w:r>
      <w:r w:rsidR="006E7E0F" w:rsidRPr="00323E6D">
        <w:rPr>
          <w:i/>
          <w:iCs/>
        </w:rPr>
        <w:t xml:space="preserve"> v. </w:t>
      </w:r>
      <w:bookmarkStart w:id="36" w:name="dabmci_2445ad9f9dcc4b8aa806760620f3cc4d"/>
      <w:r w:rsidR="006E7E0F" w:rsidRPr="00323E6D">
        <w:rPr>
          <w:i/>
          <w:iCs/>
        </w:rPr>
        <w:t>Court of Appeal of Cal., Fourth Appellate Dist.</w:t>
      </w:r>
      <w:r w:rsidRPr="00323E6D">
        <w:rPr>
          <w:spacing w:val="-3"/>
        </w:rPr>
        <w:t xml:space="preserve"> </w:t>
      </w:r>
      <w:r w:rsidRPr="00323E6D">
        <w:t xml:space="preserve">(2000)] </w:t>
      </w:r>
      <w:r w:rsidRPr="00BC1D66">
        <w:t>528</w:t>
      </w:r>
      <w:r w:rsidR="00C41DF9" w:rsidRPr="00BC1D66">
        <w:rPr>
          <w:spacing w:val="1"/>
        </w:rPr>
        <w:t> U.S.</w:t>
      </w:r>
      <w:r w:rsidRPr="00BC1D66">
        <w:rPr>
          <w:spacing w:val="2"/>
        </w:rPr>
        <w:t xml:space="preserve"> </w:t>
      </w:r>
      <w:r w:rsidRPr="00BC1D66">
        <w:t>[152,]</w:t>
      </w:r>
      <w:r w:rsidRPr="00BC1D66">
        <w:rPr>
          <w:spacing w:val="1"/>
        </w:rPr>
        <w:t xml:space="preserve"> </w:t>
      </w:r>
      <w:r w:rsidRPr="00BC1D66">
        <w:t>160</w:t>
      </w:r>
      <w:r w:rsidR="0065614F" w:rsidRPr="00BC1D66">
        <w:t>-</w:t>
      </w:r>
      <w:r w:rsidRPr="00BC1D66">
        <w:t>163[</w:t>
      </w:r>
      <w:bookmarkEnd w:id="36"/>
      <w:r w:rsidRPr="00BC1D66">
        <w:t>] [(</w:t>
      </w:r>
      <w:r w:rsidRPr="00BC1D66">
        <w:rPr>
          <w:i/>
        </w:rPr>
        <w:t>Martinez</w:t>
      </w:r>
      <w:r w:rsidRPr="00BC1D66">
        <w:t>)].)  As</w:t>
      </w:r>
      <w:r w:rsidRPr="00BC1D66">
        <w:rPr>
          <w:spacing w:val="2"/>
        </w:rPr>
        <w:t xml:space="preserve"> </w:t>
      </w:r>
      <w:r w:rsidRPr="00BC1D66">
        <w:t>the</w:t>
      </w:r>
      <w:r w:rsidRPr="00BC1D66">
        <w:rPr>
          <w:spacing w:val="1"/>
        </w:rPr>
        <w:t xml:space="preserve"> </w:t>
      </w:r>
      <w:r w:rsidRPr="00BC1D66">
        <w:t>United</w:t>
      </w:r>
      <w:r w:rsidRPr="00BC1D66">
        <w:rPr>
          <w:spacing w:val="2"/>
        </w:rPr>
        <w:t xml:space="preserve"> </w:t>
      </w:r>
      <w:r w:rsidRPr="00BC1D66">
        <w:t>States</w:t>
      </w:r>
      <w:r w:rsidRPr="00BC1D66">
        <w:rPr>
          <w:spacing w:val="1"/>
        </w:rPr>
        <w:t xml:space="preserve"> </w:t>
      </w:r>
      <w:r w:rsidRPr="00BC1D66">
        <w:t>Supreme Court recently explained, the sole constitutional right to self-representation</w:t>
      </w:r>
      <w:r w:rsidRPr="00473642">
        <w:rPr>
          <w:spacing w:val="1"/>
        </w:rPr>
        <w:t xml:space="preserve"> </w:t>
      </w:r>
      <w:r w:rsidRPr="00473642">
        <w:t xml:space="preserve">derives from the Sixth Amendment, which pertains strictly to the </w:t>
      </w:r>
      <w:r w:rsidRPr="0048148B">
        <w:t>basic rights that an</w:t>
      </w:r>
      <w:r w:rsidRPr="0048148B">
        <w:rPr>
          <w:spacing w:val="1"/>
        </w:rPr>
        <w:t xml:space="preserve"> </w:t>
      </w:r>
      <w:r w:rsidRPr="0048148B">
        <w:t>accused enjo</w:t>
      </w:r>
      <w:r w:rsidRPr="0048148B">
        <w:t xml:space="preserve">ys in defending against a criminal prosecution and does not </w:t>
      </w:r>
      <w:r w:rsidRPr="0048148B">
        <w:lastRenderedPageBreak/>
        <w:t>extend beyond</w:t>
      </w:r>
      <w:r w:rsidRPr="0048148B">
        <w:rPr>
          <w:spacing w:val="1"/>
        </w:rPr>
        <w:t xml:space="preserve"> </w:t>
      </w:r>
      <w:r w:rsidRPr="0048148B">
        <w:t>the point of conviction.</w:t>
      </w:r>
      <w:r w:rsidRPr="0048148B">
        <w:rPr>
          <w:spacing w:val="1"/>
        </w:rPr>
        <w:t xml:space="preserve">  </w:t>
      </w:r>
      <w:r w:rsidRPr="0048148B">
        <w:t>(</w:t>
      </w:r>
      <w:bookmarkStart w:id="37" w:name="dabmci_390d53e975ce44c1863f263d88e34ead"/>
      <w:r w:rsidRPr="0048148B">
        <w:rPr>
          <w:i/>
        </w:rPr>
        <w:t>Martinez, supra</w:t>
      </w:r>
      <w:r w:rsidRPr="0048148B">
        <w:t>, 528</w:t>
      </w:r>
      <w:r w:rsidR="00C41DF9" w:rsidRPr="0048148B">
        <w:t> U.S.</w:t>
      </w:r>
      <w:r w:rsidRPr="0048148B">
        <w:t xml:space="preserve"> at p</w:t>
      </w:r>
      <w:r w:rsidR="00C54C0B" w:rsidRPr="0048148B">
        <w:t>p. </w:t>
      </w:r>
      <w:r w:rsidRPr="0048148B">
        <w:t>154, 160</w:t>
      </w:r>
      <w:r w:rsidR="00244E25" w:rsidRPr="0048148B">
        <w:t>-</w:t>
      </w:r>
      <w:r w:rsidRPr="0048148B">
        <w:t>161</w:t>
      </w:r>
      <w:bookmarkEnd w:id="37"/>
      <w:r w:rsidRPr="0048148B">
        <w:t>.)</w:t>
      </w:r>
      <w:r w:rsidRPr="0048148B">
        <w:rPr>
          <w:spacing w:val="1"/>
        </w:rPr>
        <w:t xml:space="preserve">  </w:t>
      </w:r>
      <w:r w:rsidRPr="0048148B">
        <w:t>E</w:t>
      </w:r>
      <w:r w:rsidRPr="00624212">
        <w:t>mphasizing</w:t>
      </w:r>
      <w:r w:rsidRPr="00624212">
        <w:rPr>
          <w:spacing w:val="1"/>
        </w:rPr>
        <w:t xml:space="preserve"> </w:t>
      </w:r>
      <w:r w:rsidRPr="00624212">
        <w:t>that the change in one’s position from ‘defendant’ to ‘appellant’ is a significant one, the</w:t>
      </w:r>
      <w:r w:rsidRPr="00624212">
        <w:rPr>
          <w:spacing w:val="1"/>
        </w:rPr>
        <w:t xml:space="preserve"> </w:t>
      </w:r>
      <w:r w:rsidRPr="00624212">
        <w:t>high court found that the balance between a criminal defendant’s interest in acting as his</w:t>
      </w:r>
      <w:r w:rsidRPr="00624212">
        <w:rPr>
          <w:spacing w:val="1"/>
        </w:rPr>
        <w:t xml:space="preserve"> </w:t>
      </w:r>
      <w:r w:rsidRPr="00624212">
        <w:t>or her own lawyer and a state’s interest in ensuring the fair and efficient administration of</w:t>
      </w:r>
      <w:r w:rsidR="00244E25" w:rsidRPr="00624212">
        <w:t xml:space="preserve"> </w:t>
      </w:r>
      <w:r w:rsidRPr="00624212">
        <w:t>justice ‘surely tips in favor of the [s]tate’ o</w:t>
      </w:r>
      <w:r w:rsidRPr="009A1C46">
        <w:t xml:space="preserve">nce the defendant is no </w:t>
      </w:r>
      <w:r w:rsidRPr="009A1C46">
        <w:t>longer presumed</w:t>
      </w:r>
      <w:r w:rsidRPr="009A1C46">
        <w:rPr>
          <w:spacing w:val="1"/>
        </w:rPr>
        <w:t xml:space="preserve"> </w:t>
      </w:r>
      <w:r w:rsidRPr="009A1C46">
        <w:t xml:space="preserve">innocent but found guilty beyond a reasonable doubt. </w:t>
      </w:r>
      <w:r w:rsidRPr="009A1C46">
        <w:rPr>
          <w:spacing w:val="1"/>
        </w:rPr>
        <w:t xml:space="preserve"> </w:t>
      </w:r>
      <w:r w:rsidRPr="009A1C46">
        <w:t>(</w:t>
      </w:r>
      <w:bookmarkStart w:id="38" w:name="dabmci_49b643ba3cae4945bc0c88aa4a38a0be"/>
      <w:r w:rsidRPr="009A1C46">
        <w:rPr>
          <w:i/>
        </w:rPr>
        <w:t>Id</w:t>
      </w:r>
      <w:r w:rsidRPr="009A1C46">
        <w:t xml:space="preserve">. at </w:t>
      </w:r>
      <w:r w:rsidR="00C54C0B" w:rsidRPr="009A1C46">
        <w:t>p. </w:t>
      </w:r>
      <w:r w:rsidRPr="009A1C46">
        <w:t>162</w:t>
      </w:r>
      <w:bookmarkEnd w:id="38"/>
      <w:r w:rsidRPr="009A1C46">
        <w:t xml:space="preserve">.) </w:t>
      </w:r>
      <w:r w:rsidRPr="009A1C46">
        <w:rPr>
          <w:spacing w:val="1"/>
        </w:rPr>
        <w:t xml:space="preserve"> </w:t>
      </w:r>
      <w:r w:rsidRPr="009A1C46">
        <w:t>Consequently, the</w:t>
      </w:r>
      <w:r w:rsidRPr="009A1C46">
        <w:rPr>
          <w:spacing w:val="1"/>
        </w:rPr>
        <w:t xml:space="preserve"> </w:t>
      </w:r>
      <w:r w:rsidRPr="009A1C46">
        <w:t>court concluded, states may exercise broad discretion when considering what</w:t>
      </w:r>
      <w:r w:rsidRPr="009A1C46">
        <w:rPr>
          <w:spacing w:val="1"/>
        </w:rPr>
        <w:t xml:space="preserve"> </w:t>
      </w:r>
      <w:r w:rsidRPr="009A1C46">
        <w:t>representation to allow and may require an indigent inmate ‘to accept agai</w:t>
      </w:r>
      <w:r w:rsidRPr="009A1C46">
        <w:t>nst his will a</w:t>
      </w:r>
      <w:r w:rsidRPr="009A1C46">
        <w:rPr>
          <w:spacing w:val="1"/>
        </w:rPr>
        <w:t xml:space="preserve"> </w:t>
      </w:r>
      <w:r w:rsidRPr="009A1C46">
        <w:t>state-appointed attorney’ for representation on a direct appeal without violating the</w:t>
      </w:r>
      <w:r w:rsidRPr="009A1C46">
        <w:rPr>
          <w:spacing w:val="1"/>
        </w:rPr>
        <w:t xml:space="preserve"> </w:t>
      </w:r>
      <w:r w:rsidRPr="009A1C46">
        <w:t>federal</w:t>
      </w:r>
      <w:r w:rsidRPr="009A1C46">
        <w:rPr>
          <w:spacing w:val="-2"/>
        </w:rPr>
        <w:t xml:space="preserve"> </w:t>
      </w:r>
      <w:r w:rsidRPr="009A1C46">
        <w:t>Constitution.  (</w:t>
      </w:r>
      <w:bookmarkStart w:id="39" w:name="dabmci_96b5f986b43e4eecbe5b5fcfe5a684e8"/>
      <w:r w:rsidRPr="009A1C46">
        <w:rPr>
          <w:i/>
        </w:rPr>
        <w:t>Martinez,</w:t>
      </w:r>
      <w:r w:rsidRPr="009A1C46">
        <w:rPr>
          <w:i/>
          <w:spacing w:val="-1"/>
        </w:rPr>
        <w:t xml:space="preserve"> </w:t>
      </w:r>
      <w:r w:rsidRPr="009A1C46">
        <w:rPr>
          <w:i/>
        </w:rPr>
        <w:t>supra</w:t>
      </w:r>
      <w:r w:rsidRPr="009A1C46">
        <w:t>,</w:t>
      </w:r>
      <w:r w:rsidRPr="009A1C46">
        <w:rPr>
          <w:spacing w:val="-2"/>
        </w:rPr>
        <w:t xml:space="preserve"> </w:t>
      </w:r>
      <w:r w:rsidRPr="009A1C46">
        <w:t>528</w:t>
      </w:r>
      <w:r w:rsidR="00C41DF9" w:rsidRPr="009A1C46">
        <w:rPr>
          <w:spacing w:val="-1"/>
        </w:rPr>
        <w:t> U.S.</w:t>
      </w:r>
      <w:r w:rsidRPr="009A1C46">
        <w:rPr>
          <w:spacing w:val="-2"/>
        </w:rPr>
        <w:t xml:space="preserve"> </w:t>
      </w:r>
      <w:r w:rsidRPr="009A1C46">
        <w:t>at</w:t>
      </w:r>
      <w:r w:rsidRPr="009A1C46">
        <w:rPr>
          <w:spacing w:val="-1"/>
        </w:rPr>
        <w:t xml:space="preserve"> </w:t>
      </w:r>
      <w:r w:rsidR="00C54C0B" w:rsidRPr="009A1C46">
        <w:t>p. </w:t>
      </w:r>
      <w:r w:rsidRPr="009A1C46">
        <w:t>164</w:t>
      </w:r>
      <w:bookmarkEnd w:id="39"/>
      <w:r w:rsidRPr="009A1C46">
        <w:t>.)</w:t>
      </w:r>
    </w:p>
    <w:p w14:paraId="648C102F" w14:textId="55D4B749" w:rsidR="002E04F8" w:rsidRPr="00415AAB" w:rsidRDefault="00D34941" w:rsidP="006E7E0F">
      <w:pPr>
        <w:pStyle w:val="BodyText"/>
        <w:spacing w:line="480" w:lineRule="atLeast"/>
        <w:ind w:left="180" w:firstLine="540"/>
      </w:pPr>
      <w:r w:rsidRPr="009A1C46">
        <w:t>“As</w:t>
      </w:r>
      <w:r w:rsidRPr="009A1C46">
        <w:rPr>
          <w:spacing w:val="-5"/>
        </w:rPr>
        <w:t xml:space="preserve"> </w:t>
      </w:r>
      <w:r w:rsidRPr="009A1C46">
        <w:t>relevant</w:t>
      </w:r>
      <w:r w:rsidRPr="009A1C46">
        <w:rPr>
          <w:spacing w:val="-5"/>
        </w:rPr>
        <w:t xml:space="preserve"> </w:t>
      </w:r>
      <w:r w:rsidRPr="009A1C46">
        <w:t>here,</w:t>
      </w:r>
      <w:r w:rsidRPr="009A1C46">
        <w:rPr>
          <w:spacing w:val="-5"/>
        </w:rPr>
        <w:t xml:space="preserve"> </w:t>
      </w:r>
      <w:r w:rsidRPr="009A1C46">
        <w:t>represented</w:t>
      </w:r>
      <w:r w:rsidRPr="009A1C46">
        <w:rPr>
          <w:spacing w:val="-5"/>
        </w:rPr>
        <w:t xml:space="preserve"> </w:t>
      </w:r>
      <w:r w:rsidRPr="009A1C46">
        <w:t>capital</w:t>
      </w:r>
      <w:r w:rsidRPr="009A1C46">
        <w:rPr>
          <w:spacing w:val="-4"/>
        </w:rPr>
        <w:t xml:space="preserve"> </w:t>
      </w:r>
      <w:r w:rsidRPr="009A1C46">
        <w:t>inmates</w:t>
      </w:r>
      <w:r w:rsidRPr="009A1C46">
        <w:rPr>
          <w:spacing w:val="-5"/>
        </w:rPr>
        <w:t xml:space="preserve"> </w:t>
      </w:r>
      <w:r w:rsidRPr="009A1C46">
        <w:t>are</w:t>
      </w:r>
      <w:r w:rsidRPr="009A1C46">
        <w:rPr>
          <w:spacing w:val="-5"/>
        </w:rPr>
        <w:t xml:space="preserve"> </w:t>
      </w:r>
      <w:r w:rsidRPr="009A1C46">
        <w:t>not</w:t>
      </w:r>
      <w:r w:rsidRPr="009A1C46">
        <w:rPr>
          <w:spacing w:val="-5"/>
        </w:rPr>
        <w:t xml:space="preserve"> </w:t>
      </w:r>
      <w:r w:rsidRPr="009A1C46">
        <w:t>permitted</w:t>
      </w:r>
      <w:r w:rsidRPr="009A1C46">
        <w:rPr>
          <w:spacing w:val="-4"/>
        </w:rPr>
        <w:t xml:space="preserve"> </w:t>
      </w:r>
      <w:r w:rsidRPr="009A1C46">
        <w:t>to</w:t>
      </w:r>
      <w:r w:rsidRPr="009A1C46">
        <w:rPr>
          <w:spacing w:val="-5"/>
        </w:rPr>
        <w:t xml:space="preserve"> </w:t>
      </w:r>
      <w:r w:rsidRPr="009A1C46">
        <w:t>present</w:t>
      </w:r>
      <w:r w:rsidRPr="009A1C46">
        <w:rPr>
          <w:spacing w:val="-5"/>
        </w:rPr>
        <w:t xml:space="preserve"> </w:t>
      </w:r>
      <w:r w:rsidRPr="009A1C46">
        <w:t xml:space="preserve">their </w:t>
      </w:r>
      <w:r w:rsidRPr="009A1C46">
        <w:t>automatic appeals personally to this court.  That is, such inmates have no right personally</w:t>
      </w:r>
      <w:r w:rsidRPr="009A1C46">
        <w:rPr>
          <w:spacing w:val="1"/>
        </w:rPr>
        <w:t xml:space="preserve"> </w:t>
      </w:r>
      <w:r w:rsidRPr="009A1C46">
        <w:t>to supplement or supersede counsel’s briefs and arguments on the merits of their appeals.  (</w:t>
      </w:r>
      <w:r w:rsidR="006E7E0F" w:rsidRPr="009A1C46">
        <w:t>[</w:t>
      </w:r>
      <w:bookmarkStart w:id="40" w:name="dabmci_3139e4566aae477f837a4aec7d6c20f0"/>
      <w:r w:rsidR="006E7E0F" w:rsidRPr="009A1C46">
        <w:rPr>
          <w:i/>
          <w:iCs/>
        </w:rPr>
        <w:t>People v.</w:t>
      </w:r>
      <w:r w:rsidR="006E7E0F" w:rsidRPr="009A1C46">
        <w:t>]</w:t>
      </w:r>
      <w:r w:rsidR="006E7E0F" w:rsidRPr="009A1C46">
        <w:rPr>
          <w:i/>
          <w:iCs/>
        </w:rPr>
        <w:t xml:space="preserve"> </w:t>
      </w:r>
      <w:r w:rsidRPr="009A1C46">
        <w:rPr>
          <w:i/>
        </w:rPr>
        <w:t>Clark</w:t>
      </w:r>
      <w:r w:rsidRPr="009A1C46">
        <w:t>[</w:t>
      </w:r>
      <w:r w:rsidRPr="009A1C46">
        <w:rPr>
          <w:spacing w:val="-3"/>
        </w:rPr>
        <w:t xml:space="preserve"> </w:t>
      </w:r>
      <w:r w:rsidRPr="009A1C46">
        <w:rPr>
          <w:iCs/>
        </w:rPr>
        <w:t>(1992)</w:t>
      </w:r>
      <w:r w:rsidRPr="009A1C46">
        <w:t>]</w:t>
      </w:r>
      <w:r w:rsidRPr="009A1C46">
        <w:rPr>
          <w:spacing w:val="-2"/>
        </w:rPr>
        <w:t xml:space="preserve"> </w:t>
      </w:r>
      <w:r w:rsidRPr="00E13615">
        <w:t>3</w:t>
      </w:r>
      <w:r w:rsidR="009175B6" w:rsidRPr="00E13615">
        <w:rPr>
          <w:spacing w:val="-3"/>
        </w:rPr>
        <w:t> Cal.</w:t>
      </w:r>
      <w:r w:rsidRPr="00E13615">
        <w:t>4th</w:t>
      </w:r>
      <w:r w:rsidRPr="00E13615">
        <w:rPr>
          <w:spacing w:val="-2"/>
        </w:rPr>
        <w:t xml:space="preserve"> </w:t>
      </w:r>
      <w:r w:rsidRPr="00E13615">
        <w:t>[41,]</w:t>
      </w:r>
      <w:r w:rsidRPr="00E13615">
        <w:rPr>
          <w:spacing w:val="-3"/>
        </w:rPr>
        <w:t xml:space="preserve"> </w:t>
      </w:r>
      <w:r w:rsidRPr="00E13615">
        <w:t>173</w:t>
      </w:r>
      <w:bookmarkEnd w:id="40"/>
      <w:r w:rsidRPr="00E13615">
        <w:rPr>
          <w:spacing w:val="-2"/>
        </w:rPr>
        <w:t xml:space="preserve"> </w:t>
      </w:r>
      <w:r w:rsidRPr="00E13615">
        <w:t>[(</w:t>
      </w:r>
      <w:r w:rsidRPr="00E13615">
        <w:rPr>
          <w:i/>
        </w:rPr>
        <w:t>Clark</w:t>
      </w:r>
      <w:r w:rsidRPr="00E13615">
        <w:t>)];</w:t>
      </w:r>
      <w:r w:rsidRPr="00E13615">
        <w:rPr>
          <w:spacing w:val="-3"/>
        </w:rPr>
        <w:t xml:space="preserve"> </w:t>
      </w:r>
      <w:bookmarkStart w:id="41" w:name="dabmci_c4f188c08da44497b9769dc7b908a818"/>
      <w:r w:rsidRPr="00E13615">
        <w:rPr>
          <w:i/>
        </w:rPr>
        <w:t>Mattson</w:t>
      </w:r>
      <w:r w:rsidR="006E7E0F" w:rsidRPr="00E13615">
        <w:t xml:space="preserve">, </w:t>
      </w:r>
      <w:r w:rsidR="006E7E0F" w:rsidRPr="00E13615">
        <w:rPr>
          <w:i/>
          <w:iCs/>
        </w:rPr>
        <w:t>supra</w:t>
      </w:r>
      <w:r w:rsidR="006E7E0F" w:rsidRPr="00E13615">
        <w:t>,</w:t>
      </w:r>
      <w:r w:rsidR="006E7E0F" w:rsidRPr="00685CEE">
        <w:t xml:space="preserve"> </w:t>
      </w:r>
      <w:r w:rsidRPr="00473642">
        <w:t>51</w:t>
      </w:r>
      <w:r w:rsidR="009175B6" w:rsidRPr="00473642">
        <w:rPr>
          <w:spacing w:val="-3"/>
        </w:rPr>
        <w:t> Cal.</w:t>
      </w:r>
      <w:r w:rsidRPr="00473642">
        <w:t>2d</w:t>
      </w:r>
      <w:r w:rsidRPr="009A1C46">
        <w:rPr>
          <w:spacing w:val="-2"/>
        </w:rPr>
        <w:t xml:space="preserve"> </w:t>
      </w:r>
      <w:r w:rsidRPr="009A1C46">
        <w:t>[777,</w:t>
      </w:r>
      <w:r w:rsidR="00155386" w:rsidRPr="009A1C46">
        <w:t>]</w:t>
      </w:r>
      <w:r w:rsidRPr="009A1C46">
        <w:rPr>
          <w:spacing w:val="-3"/>
        </w:rPr>
        <w:t xml:space="preserve"> </w:t>
      </w:r>
      <w:r w:rsidRPr="009A1C46">
        <w:t>798</w:t>
      </w:r>
      <w:bookmarkEnd w:id="41"/>
      <w:r w:rsidRPr="009A1C46">
        <w:t>.)</w:t>
      </w:r>
      <w:r w:rsidR="006E7E0F" w:rsidRPr="009A1C46">
        <w:t xml:space="preserve">  </w:t>
      </w:r>
      <w:r w:rsidRPr="00415AAB">
        <w:t xml:space="preserve">As we explained in </w:t>
      </w:r>
      <w:bookmarkStart w:id="42" w:name="dabmci_905e7cc981d141e5ad89006e1eaadfa7"/>
      <w:r w:rsidRPr="00415AAB">
        <w:rPr>
          <w:i/>
        </w:rPr>
        <w:t>Mattson</w:t>
      </w:r>
      <w:bookmarkEnd w:id="42"/>
      <w:r w:rsidRPr="00415AAB">
        <w:t>, pro se submissions pertaining to an appeal will not be filed</w:t>
      </w:r>
      <w:r w:rsidRPr="00415AAB">
        <w:rPr>
          <w:spacing w:val="1"/>
        </w:rPr>
        <w:t xml:space="preserve"> </w:t>
      </w:r>
      <w:r w:rsidRPr="00415AAB">
        <w:t>or considered ‘[b]ecause of the undesirability of fruitlessly adding to the burdens of this</w:t>
      </w:r>
      <w:r w:rsidRPr="00415AAB">
        <w:rPr>
          <w:spacing w:val="1"/>
        </w:rPr>
        <w:t xml:space="preserve"> </w:t>
      </w:r>
      <w:r w:rsidRPr="00415AAB">
        <w:t>court</w:t>
      </w:r>
      <w:r w:rsidRPr="00415AAB">
        <w:rPr>
          <w:spacing w:val="-1"/>
        </w:rPr>
        <w:t xml:space="preserve"> </w:t>
      </w:r>
      <w:r w:rsidRPr="00415AAB">
        <w:t>the</w:t>
      </w:r>
      <w:r w:rsidRPr="00415AAB">
        <w:rPr>
          <w:spacing w:val="-1"/>
        </w:rPr>
        <w:t xml:space="preserve"> </w:t>
      </w:r>
      <w:r w:rsidRPr="00415AAB">
        <w:t>time-consuming</w:t>
      </w:r>
      <w:r w:rsidRPr="00415AAB">
        <w:rPr>
          <w:spacing w:val="-1"/>
        </w:rPr>
        <w:t xml:space="preserve"> </w:t>
      </w:r>
      <w:r w:rsidRPr="00415AAB">
        <w:t>task</w:t>
      </w:r>
      <w:r w:rsidRPr="00415AAB">
        <w:rPr>
          <w:spacing w:val="-1"/>
        </w:rPr>
        <w:t xml:space="preserve"> </w:t>
      </w:r>
      <w:r w:rsidRPr="00415AAB">
        <w:t>of</w:t>
      </w:r>
      <w:r w:rsidRPr="00415AAB">
        <w:rPr>
          <w:spacing w:val="-1"/>
        </w:rPr>
        <w:t xml:space="preserve"> </w:t>
      </w:r>
      <w:r w:rsidRPr="00415AAB">
        <w:t>reading</w:t>
      </w:r>
      <w:r w:rsidRPr="00415AAB">
        <w:rPr>
          <w:spacing w:val="-4"/>
        </w:rPr>
        <w:t xml:space="preserve"> </w:t>
      </w:r>
      <w:r w:rsidRPr="00415AAB">
        <w:rPr>
          <w:i/>
        </w:rPr>
        <w:t>pro</w:t>
      </w:r>
      <w:r w:rsidRPr="00415AAB">
        <w:rPr>
          <w:i/>
          <w:spacing w:val="-1"/>
        </w:rPr>
        <w:t xml:space="preserve"> </w:t>
      </w:r>
      <w:r w:rsidRPr="00415AAB">
        <w:rPr>
          <w:i/>
        </w:rPr>
        <w:t>se</w:t>
      </w:r>
      <w:r w:rsidRPr="00415AAB">
        <w:rPr>
          <w:i/>
          <w:spacing w:val="-1"/>
        </w:rPr>
        <w:t xml:space="preserve"> </w:t>
      </w:r>
      <w:r w:rsidRPr="00415AAB">
        <w:t>documents</w:t>
      </w:r>
      <w:r w:rsidRPr="00415AAB">
        <w:rPr>
          <w:spacing w:val="-1"/>
        </w:rPr>
        <w:t xml:space="preserve"> </w:t>
      </w:r>
      <w:r w:rsidRPr="00415AAB">
        <w:t>which</w:t>
      </w:r>
      <w:r w:rsidRPr="00415AAB">
        <w:rPr>
          <w:spacing w:val="-1"/>
        </w:rPr>
        <w:t xml:space="preserve"> </w:t>
      </w:r>
      <w:r w:rsidRPr="00415AAB">
        <w:t>are</w:t>
      </w:r>
      <w:r w:rsidRPr="00415AAB">
        <w:rPr>
          <w:spacing w:val="-1"/>
        </w:rPr>
        <w:t xml:space="preserve"> </w:t>
      </w:r>
      <w:r w:rsidRPr="00415AAB">
        <w:t>not</w:t>
      </w:r>
      <w:r w:rsidRPr="00415AAB">
        <w:rPr>
          <w:spacing w:val="-1"/>
        </w:rPr>
        <w:t xml:space="preserve"> </w:t>
      </w:r>
      <w:r w:rsidRPr="00415AAB">
        <w:t>properly</w:t>
      </w:r>
      <w:r w:rsidRPr="00415AAB">
        <w:rPr>
          <w:spacing w:val="-1"/>
        </w:rPr>
        <w:t xml:space="preserve"> </w:t>
      </w:r>
      <w:r w:rsidRPr="00415AAB">
        <w:t>before us, and, if they be read, of consequently enlarging [the] opinion by a recountal and</w:t>
      </w:r>
      <w:r w:rsidRPr="00415AAB">
        <w:rPr>
          <w:spacing w:val="1"/>
        </w:rPr>
        <w:t xml:space="preserve"> </w:t>
      </w:r>
      <w:r w:rsidRPr="00415AAB">
        <w:t xml:space="preserve">discussion of the contentions made in propria persona . . . .’ </w:t>
      </w:r>
      <w:r w:rsidRPr="00415AAB">
        <w:rPr>
          <w:spacing w:val="1"/>
        </w:rPr>
        <w:t xml:space="preserve"> </w:t>
      </w:r>
      <w:r w:rsidRPr="00415AAB">
        <w:t>(</w:t>
      </w:r>
      <w:bookmarkStart w:id="43" w:name="dabmci_fc17b370695448e8908b18456bfb7e9a"/>
      <w:r w:rsidRPr="00415AAB">
        <w:rPr>
          <w:i/>
        </w:rPr>
        <w:t>Mattson, supra</w:t>
      </w:r>
      <w:r w:rsidRPr="00415AAB">
        <w:t>, 51</w:t>
      </w:r>
      <w:r w:rsidR="009175B6" w:rsidRPr="00415AAB">
        <w:t> Cal.</w:t>
      </w:r>
      <w:r w:rsidRPr="00415AAB">
        <w:t>2d</w:t>
      </w:r>
      <w:r w:rsidR="000C29AB" w:rsidRPr="00415AAB">
        <w:t xml:space="preserve"> </w:t>
      </w:r>
      <w:r w:rsidRPr="00415AAB">
        <w:t>at</w:t>
      </w:r>
      <w:r w:rsidRPr="00415AAB">
        <w:rPr>
          <w:spacing w:val="-2"/>
        </w:rPr>
        <w:t xml:space="preserve"> </w:t>
      </w:r>
      <w:r w:rsidR="00C54C0B" w:rsidRPr="00415AAB">
        <w:t>p. </w:t>
      </w:r>
      <w:r w:rsidRPr="00415AAB">
        <w:t>798</w:t>
      </w:r>
      <w:bookmarkEnd w:id="43"/>
      <w:r w:rsidRPr="00415AAB">
        <w:t>.)</w:t>
      </w:r>
    </w:p>
    <w:p w14:paraId="6C55C672" w14:textId="1000D0A7" w:rsidR="002E04F8" w:rsidRPr="00E13615" w:rsidRDefault="00D34941" w:rsidP="002E04F8">
      <w:pPr>
        <w:pStyle w:val="BodyText"/>
        <w:spacing w:line="480" w:lineRule="atLeast"/>
        <w:ind w:left="115" w:right="331" w:firstLine="605"/>
      </w:pPr>
      <w:r w:rsidRPr="00415AAB">
        <w:t>“Thus, all appellate motions</w:t>
      </w:r>
      <w:r w:rsidRPr="00415AAB">
        <w:t xml:space="preserve"> and briefs must be prepared and filed by counsel and may not be submitted p</w:t>
      </w:r>
      <w:r w:rsidRPr="004F6AA0">
        <w:t xml:space="preserve">ro se. </w:t>
      </w:r>
      <w:r w:rsidRPr="004F6AA0">
        <w:rPr>
          <w:spacing w:val="1"/>
        </w:rPr>
        <w:t xml:space="preserve"> </w:t>
      </w:r>
      <w:r w:rsidRPr="004F6AA0">
        <w:t>(</w:t>
      </w:r>
      <w:bookmarkStart w:id="44" w:name="dabmci_78a270ea2aa3453bae85cd0169d5ed95"/>
      <w:r w:rsidRPr="004F6AA0">
        <w:rPr>
          <w:i/>
        </w:rPr>
        <w:t>Clark, supra</w:t>
      </w:r>
      <w:r w:rsidRPr="004F6AA0">
        <w:t>, 3</w:t>
      </w:r>
      <w:r w:rsidR="009175B6" w:rsidRPr="004F6AA0">
        <w:t> Cal.</w:t>
      </w:r>
      <w:r w:rsidRPr="004F6AA0">
        <w:t xml:space="preserve">4th at </w:t>
      </w:r>
      <w:r w:rsidR="00C54C0B" w:rsidRPr="004F6AA0">
        <w:t>p. </w:t>
      </w:r>
      <w:r w:rsidRPr="004F6AA0">
        <w:t>173</w:t>
      </w:r>
      <w:bookmarkEnd w:id="44"/>
      <w:r w:rsidRPr="004F6AA0">
        <w:t>.)  Although we will</w:t>
      </w:r>
      <w:r w:rsidRPr="004F6AA0">
        <w:rPr>
          <w:spacing w:val="1"/>
        </w:rPr>
        <w:t xml:space="preserve"> </w:t>
      </w:r>
      <w:r w:rsidRPr="004F6AA0">
        <w:t xml:space="preserve">accept and consider pro se motions regarding representation (i.e., </w:t>
      </w:r>
      <w:r w:rsidRPr="004F6AA0">
        <w:rPr>
          <w:i/>
        </w:rPr>
        <w:t xml:space="preserve">Marsden </w:t>
      </w:r>
      <w:r w:rsidRPr="004F6AA0">
        <w:t>motions to</w:t>
      </w:r>
      <w:r w:rsidRPr="004F6AA0">
        <w:rPr>
          <w:spacing w:val="1"/>
        </w:rPr>
        <w:t xml:space="preserve"> </w:t>
      </w:r>
      <w:r w:rsidRPr="004F6AA0">
        <w:t>substitute counsel), such motions ‘must be clearly labeled as such’ and ‘must be limited</w:t>
      </w:r>
      <w:r w:rsidRPr="004F6AA0">
        <w:rPr>
          <w:spacing w:val="1"/>
        </w:rPr>
        <w:t xml:space="preserve"> </w:t>
      </w:r>
      <w:r w:rsidRPr="004F6AA0">
        <w:t xml:space="preserve">to matters concerning representation.’ </w:t>
      </w:r>
      <w:r w:rsidRPr="004F6AA0">
        <w:rPr>
          <w:spacing w:val="1"/>
        </w:rPr>
        <w:t xml:space="preserve"> </w:t>
      </w:r>
      <w:r w:rsidRPr="004F6AA0">
        <w:t>(</w:t>
      </w:r>
      <w:bookmarkStart w:id="45" w:name="dabmci_5153badbe4b344c5b78947b8e2e17e05"/>
      <w:r w:rsidRPr="004F6AA0">
        <w:rPr>
          <w:i/>
        </w:rPr>
        <w:t>Clark, supra</w:t>
      </w:r>
      <w:r w:rsidRPr="004F6AA0">
        <w:t>, 3</w:t>
      </w:r>
      <w:r w:rsidR="009175B6" w:rsidRPr="004F6AA0">
        <w:t> Cal.</w:t>
      </w:r>
      <w:r w:rsidRPr="004F6AA0">
        <w:t xml:space="preserve">4th at </w:t>
      </w:r>
      <w:r w:rsidR="00C54C0B" w:rsidRPr="004F6AA0">
        <w:t>p. </w:t>
      </w:r>
      <w:r w:rsidRPr="004F6AA0">
        <w:t>173</w:t>
      </w:r>
      <w:bookmarkEnd w:id="45"/>
      <w:r w:rsidRPr="004F6AA0">
        <w:t>.)</w:t>
      </w:r>
      <w:r w:rsidRPr="004F6AA0">
        <w:rPr>
          <w:spacing w:val="1"/>
        </w:rPr>
        <w:t xml:space="preserve">  </w:t>
      </w:r>
      <w:r w:rsidRPr="004F6AA0">
        <w:rPr>
          <w:i/>
        </w:rPr>
        <w:t>Any</w:t>
      </w:r>
      <w:r w:rsidRPr="004F6AA0">
        <w:rPr>
          <w:i/>
        </w:rPr>
        <w:t xml:space="preserve"> other pro se document </w:t>
      </w:r>
      <w:r w:rsidRPr="004F6AA0">
        <w:t>offered in an appeal ‘will be returned unfiled’ (</w:t>
      </w:r>
      <w:bookmarkStart w:id="46" w:name="dabmci_dd499f5426c14b81b353036c4eb34d21"/>
      <w:r w:rsidRPr="004F6AA0">
        <w:rPr>
          <w:i/>
        </w:rPr>
        <w:t>ibid</w:t>
      </w:r>
      <w:r w:rsidRPr="004F6AA0">
        <w:t>.</w:t>
      </w:r>
      <w:bookmarkEnd w:id="46"/>
      <w:r w:rsidRPr="004F6AA0">
        <w:t xml:space="preserve">), </w:t>
      </w:r>
      <w:r w:rsidRPr="00685CEE">
        <w:t>or, if mistakenly filed,</w:t>
      </w:r>
      <w:r w:rsidR="006D2F92" w:rsidRPr="00685CEE">
        <w:t xml:space="preserve"> </w:t>
      </w:r>
      <w:r w:rsidRPr="00685CEE">
        <w:t>will be stricken from the dock</w:t>
      </w:r>
      <w:r w:rsidRPr="002D5821">
        <w:t>et (</w:t>
      </w:r>
      <w:bookmarkStart w:id="47" w:name="dabmci_e5ca81a5ab2d4e0ebceee18832c4150e"/>
      <w:r w:rsidRPr="002D5821">
        <w:rPr>
          <w:i/>
        </w:rPr>
        <w:t>Mattson, supra</w:t>
      </w:r>
      <w:r w:rsidRPr="002D5821">
        <w:t xml:space="preserve">, </w:t>
      </w:r>
      <w:r w:rsidRPr="002D5821">
        <w:lastRenderedPageBreak/>
        <w:t>51</w:t>
      </w:r>
      <w:r w:rsidR="009175B6" w:rsidRPr="002D5821">
        <w:t> Cal.</w:t>
      </w:r>
      <w:r w:rsidRPr="002D5821">
        <w:t xml:space="preserve">2d at </w:t>
      </w:r>
      <w:r w:rsidR="00C54C0B" w:rsidRPr="002D5821">
        <w:t>p. </w:t>
      </w:r>
      <w:r w:rsidRPr="002D5821">
        <w:t>798</w:t>
      </w:r>
      <w:bookmarkEnd w:id="47"/>
      <w:r w:rsidRPr="002D5821">
        <w:t xml:space="preserve">).” </w:t>
      </w:r>
      <w:r w:rsidRPr="002D5821">
        <w:rPr>
          <w:spacing w:val="1"/>
        </w:rPr>
        <w:t xml:space="preserve"> </w:t>
      </w:r>
      <w:r w:rsidRPr="002D5821">
        <w:t>(</w:t>
      </w:r>
      <w:bookmarkStart w:id="48" w:name="dabmci_7fae7c0f60114090852c8e870f443abc"/>
      <w:r w:rsidRPr="002D5821">
        <w:rPr>
          <w:i/>
        </w:rPr>
        <w:t>In re Barnett</w:t>
      </w:r>
      <w:r w:rsidRPr="002D5821">
        <w:rPr>
          <w:i/>
          <w:spacing w:val="1"/>
        </w:rPr>
        <w:t xml:space="preserve"> </w:t>
      </w:r>
      <w:r w:rsidRPr="002D5821">
        <w:t>(2003)</w:t>
      </w:r>
      <w:r w:rsidRPr="002D5821">
        <w:rPr>
          <w:spacing w:val="-2"/>
        </w:rPr>
        <w:t xml:space="preserve"> </w:t>
      </w:r>
      <w:r w:rsidRPr="002D5821">
        <w:t>31</w:t>
      </w:r>
      <w:r w:rsidR="009175B6" w:rsidRPr="002D5821">
        <w:rPr>
          <w:spacing w:val="-1"/>
        </w:rPr>
        <w:t> Cal.</w:t>
      </w:r>
      <w:r w:rsidRPr="002D5821">
        <w:t>4th</w:t>
      </w:r>
      <w:r w:rsidRPr="002D5821">
        <w:rPr>
          <w:spacing w:val="-2"/>
        </w:rPr>
        <w:t xml:space="preserve"> </w:t>
      </w:r>
      <w:r w:rsidRPr="002D5821">
        <w:t>466,</w:t>
      </w:r>
      <w:r w:rsidRPr="002D5821">
        <w:rPr>
          <w:spacing w:val="-1"/>
        </w:rPr>
        <w:t xml:space="preserve"> </w:t>
      </w:r>
      <w:r w:rsidRPr="002D5821">
        <w:t>473-474</w:t>
      </w:r>
      <w:r w:rsidRPr="002D5821">
        <w:rPr>
          <w:spacing w:val="-2"/>
        </w:rPr>
        <w:t xml:space="preserve"> </w:t>
      </w:r>
      <w:r w:rsidRPr="002D5821">
        <w:t>(</w:t>
      </w:r>
      <w:r w:rsidRPr="002D5821">
        <w:rPr>
          <w:i/>
        </w:rPr>
        <w:t>Barnett)</w:t>
      </w:r>
      <w:bookmarkEnd w:id="48"/>
      <w:r w:rsidRPr="002D5821">
        <w:t>,</w:t>
      </w:r>
      <w:r w:rsidRPr="002D5821">
        <w:rPr>
          <w:spacing w:val="-1"/>
        </w:rPr>
        <w:t xml:space="preserve"> </w:t>
      </w:r>
      <w:r w:rsidR="007D22EC" w:rsidRPr="002D5821">
        <w:t>italics</w:t>
      </w:r>
      <w:r w:rsidR="00155386" w:rsidRPr="002D5821">
        <w:rPr>
          <w:spacing w:val="-2"/>
        </w:rPr>
        <w:t xml:space="preserve"> </w:t>
      </w:r>
      <w:r w:rsidRPr="002D5821">
        <w:t xml:space="preserve">added; </w:t>
      </w:r>
      <w:r w:rsidRPr="00E13615">
        <w:t>accor</w:t>
      </w:r>
      <w:r w:rsidRPr="00E13615">
        <w:t xml:space="preserve">d, </w:t>
      </w:r>
      <w:bookmarkStart w:id="49" w:name="dabmci_8fce172cb5f94fd19d777b9b0b4b2c20"/>
      <w:r w:rsidRPr="00E13615">
        <w:rPr>
          <w:i/>
          <w:iCs/>
        </w:rPr>
        <w:t xml:space="preserve">Clark, </w:t>
      </w:r>
      <w:r w:rsidRPr="00E13615">
        <w:t xml:space="preserve">at </w:t>
      </w:r>
      <w:r w:rsidR="00C54C0B" w:rsidRPr="00E13615">
        <w:t>p. </w:t>
      </w:r>
      <w:r w:rsidRPr="00E13615">
        <w:t>173</w:t>
      </w:r>
      <w:bookmarkEnd w:id="49"/>
      <w:r w:rsidR="00F23B34" w:rsidRPr="00E13615">
        <w:t>,</w:t>
      </w:r>
      <w:r w:rsidRPr="00E13615">
        <w:t xml:space="preserve"> </w:t>
      </w:r>
      <w:r w:rsidR="00F23B34" w:rsidRPr="00E13615">
        <w:t xml:space="preserve">overruled on other grounds in </w:t>
      </w:r>
      <w:bookmarkStart w:id="50" w:name="dabmci_0b057283c19f4aa8b2f9f0e36527e9c7"/>
      <w:r w:rsidR="00F23B34" w:rsidRPr="00E13615">
        <w:rPr>
          <w:i/>
          <w:iCs/>
        </w:rPr>
        <w:t>People v. Pearson</w:t>
      </w:r>
      <w:r w:rsidR="00F23B34" w:rsidRPr="00E13615">
        <w:t xml:space="preserve"> (2013) 56</w:t>
      </w:r>
      <w:r w:rsidR="00C41DF9" w:rsidRPr="00E13615">
        <w:t> Cal.</w:t>
      </w:r>
      <w:r w:rsidR="00F23B34" w:rsidRPr="00E13615">
        <w:t>4th 393, 462</w:t>
      </w:r>
      <w:bookmarkEnd w:id="50"/>
      <w:r w:rsidR="00F23B34" w:rsidRPr="00E13615">
        <w:t xml:space="preserve"> </w:t>
      </w:r>
      <w:r w:rsidRPr="00E13615">
        <w:t>[reiterating the rule a defendant who is represented by an attorney will not be personally recognized by the court in the conduct of his case applies</w:t>
      </w:r>
      <w:r w:rsidR="00F23B34" w:rsidRPr="00E13615">
        <w:t xml:space="preserve"> only</w:t>
      </w:r>
      <w:r w:rsidRPr="00E13615">
        <w:t xml:space="preserve"> to a defendant’s filing of </w:t>
      </w:r>
      <w:r w:rsidRPr="00E13615">
        <w:rPr>
          <w:i/>
          <w:iCs/>
        </w:rPr>
        <w:t>pro se</w:t>
      </w:r>
      <w:r w:rsidRPr="00E13615">
        <w:t xml:space="preserve"> documents on appeal].)</w:t>
      </w:r>
    </w:p>
    <w:p w14:paraId="17652B05" w14:textId="05531E34" w:rsidR="00404BD6" w:rsidRPr="00E13615" w:rsidRDefault="00D34941" w:rsidP="00404BD6">
      <w:pPr>
        <w:ind w:firstLine="720"/>
      </w:pPr>
      <w:r w:rsidRPr="00E13615">
        <w:t xml:space="preserve">Although </w:t>
      </w:r>
      <w:bookmarkStart w:id="51" w:name="dabmci_9fa34941f1da47d09140d902902da175"/>
      <w:r w:rsidRPr="00E13615">
        <w:rPr>
          <w:i/>
          <w:iCs/>
        </w:rPr>
        <w:t>Barnett</w:t>
      </w:r>
      <w:bookmarkEnd w:id="51"/>
      <w:r w:rsidRPr="00E13615">
        <w:t xml:space="preserve"> was a capital appeal, notably, the Supreme Court cited with approval </w:t>
      </w:r>
      <w:r w:rsidR="009175B6" w:rsidRPr="00E13615">
        <w:rPr>
          <w:i/>
          <w:iCs/>
        </w:rPr>
        <w:t>People v.</w:t>
      </w:r>
      <w:r w:rsidRPr="00E13615">
        <w:rPr>
          <w:i/>
          <w:iCs/>
        </w:rPr>
        <w:t xml:space="preserve"> Scott</w:t>
      </w:r>
      <w:r w:rsidRPr="00E13615">
        <w:t xml:space="preserve"> and </w:t>
      </w:r>
      <w:bookmarkStart w:id="52" w:name="dabmci_ac04756545854645972f7f92c0e9548c"/>
      <w:r w:rsidRPr="00E13615">
        <w:rPr>
          <w:i/>
          <w:iCs/>
        </w:rPr>
        <w:t>Mattson</w:t>
      </w:r>
      <w:bookmarkEnd w:id="52"/>
      <w:r w:rsidRPr="00E13615">
        <w:rPr>
          <w:i/>
          <w:iCs/>
        </w:rPr>
        <w:t>,</w:t>
      </w:r>
      <w:r w:rsidRPr="00E13615">
        <w:t xml:space="preserve"> thus extending the same appellate rules to noncapital appeals.</w:t>
      </w:r>
    </w:p>
    <w:p w14:paraId="31AAE86B" w14:textId="371266D2" w:rsidR="002E04F8" w:rsidRPr="00E13615" w:rsidRDefault="00D34941" w:rsidP="002E04F8">
      <w:pPr>
        <w:pStyle w:val="BodyText"/>
        <w:spacing w:line="480" w:lineRule="atLeast"/>
        <w:ind w:right="459" w:firstLine="719"/>
      </w:pPr>
      <w:r w:rsidRPr="00E13615">
        <w:t>Thus, in a non-</w:t>
      </w:r>
      <w:r w:rsidRPr="00E13615">
        <w:rPr>
          <w:i/>
        </w:rPr>
        <w:t>Wende</w:t>
      </w:r>
      <w:r w:rsidRPr="00E13615">
        <w:rPr>
          <w:i/>
        </w:rPr>
        <w:t xml:space="preserve"> </w:t>
      </w:r>
      <w:r w:rsidRPr="00E13615">
        <w:t>appeal, the defendant, as an individual, does not have the</w:t>
      </w:r>
      <w:r w:rsidR="007810D7" w:rsidRPr="00E13615">
        <w:t xml:space="preserve"> </w:t>
      </w:r>
      <w:r w:rsidRPr="00E13615">
        <w:t>right</w:t>
      </w:r>
      <w:r w:rsidRPr="00E13615">
        <w:rPr>
          <w:spacing w:val="-2"/>
        </w:rPr>
        <w:t xml:space="preserve"> </w:t>
      </w:r>
      <w:r w:rsidRPr="00E13615">
        <w:t>to</w:t>
      </w:r>
      <w:r w:rsidRPr="00E13615">
        <w:rPr>
          <w:spacing w:val="-2"/>
        </w:rPr>
        <w:t xml:space="preserve"> </w:t>
      </w:r>
      <w:r w:rsidRPr="00E13615">
        <w:t>submit</w:t>
      </w:r>
      <w:r w:rsidRPr="00E13615">
        <w:rPr>
          <w:spacing w:val="-2"/>
        </w:rPr>
        <w:t xml:space="preserve"> </w:t>
      </w:r>
      <w:r w:rsidRPr="00E13615">
        <w:t>his</w:t>
      </w:r>
      <w:r w:rsidRPr="00E13615">
        <w:rPr>
          <w:spacing w:val="-2"/>
        </w:rPr>
        <w:t xml:space="preserve"> </w:t>
      </w:r>
      <w:r w:rsidRPr="00E13615">
        <w:t>or</w:t>
      </w:r>
      <w:r w:rsidRPr="00E13615">
        <w:rPr>
          <w:spacing w:val="-1"/>
        </w:rPr>
        <w:t xml:space="preserve"> </w:t>
      </w:r>
      <w:r w:rsidRPr="00E13615">
        <w:t>her</w:t>
      </w:r>
      <w:r w:rsidRPr="00E13615">
        <w:rPr>
          <w:spacing w:val="-2"/>
        </w:rPr>
        <w:t xml:space="preserve"> </w:t>
      </w:r>
      <w:r w:rsidRPr="00E13615">
        <w:t>own</w:t>
      </w:r>
      <w:r w:rsidRPr="00E13615">
        <w:rPr>
          <w:spacing w:val="-2"/>
        </w:rPr>
        <w:t xml:space="preserve"> </w:t>
      </w:r>
      <w:r w:rsidRPr="00E13615">
        <w:t>arguments</w:t>
      </w:r>
      <w:r w:rsidRPr="00E13615">
        <w:rPr>
          <w:spacing w:val="-2"/>
        </w:rPr>
        <w:t xml:space="preserve"> </w:t>
      </w:r>
      <w:r w:rsidRPr="00E13615">
        <w:t>to</w:t>
      </w:r>
      <w:r w:rsidRPr="00E13615">
        <w:rPr>
          <w:spacing w:val="-2"/>
        </w:rPr>
        <w:t xml:space="preserve"> </w:t>
      </w:r>
      <w:r w:rsidRPr="00E13615">
        <w:t>the</w:t>
      </w:r>
      <w:r w:rsidRPr="00E13615">
        <w:rPr>
          <w:spacing w:val="-1"/>
        </w:rPr>
        <w:t xml:space="preserve"> </w:t>
      </w:r>
      <w:r w:rsidRPr="00E13615">
        <w:t>court</w:t>
      </w:r>
      <w:r w:rsidRPr="00E13615">
        <w:rPr>
          <w:spacing w:val="-2"/>
        </w:rPr>
        <w:t xml:space="preserve"> </w:t>
      </w:r>
      <w:r w:rsidRPr="00E13615">
        <w:t>for</w:t>
      </w:r>
      <w:r w:rsidRPr="00E13615">
        <w:rPr>
          <w:spacing w:val="-2"/>
        </w:rPr>
        <w:t xml:space="preserve"> </w:t>
      </w:r>
      <w:r w:rsidRPr="00E13615">
        <w:t>resolution.</w:t>
      </w:r>
    </w:p>
    <w:p w14:paraId="04A32505" w14:textId="7D0401F2" w:rsidR="002E04F8" w:rsidRPr="00F3751D" w:rsidRDefault="00D34941" w:rsidP="002E04F8">
      <w:pPr>
        <w:pStyle w:val="BodyText"/>
        <w:spacing w:line="480" w:lineRule="atLeast"/>
        <w:ind w:right="127" w:firstLine="720"/>
      </w:pPr>
      <w:r w:rsidRPr="00E13615">
        <w:t>Some</w:t>
      </w:r>
      <w:r w:rsidRPr="00E13615">
        <w:rPr>
          <w:spacing w:val="3"/>
        </w:rPr>
        <w:t xml:space="preserve"> appellate </w:t>
      </w:r>
      <w:r w:rsidRPr="00E13615">
        <w:t>courts</w:t>
      </w:r>
      <w:r w:rsidRPr="00E13615">
        <w:rPr>
          <w:spacing w:val="4"/>
        </w:rPr>
        <w:t xml:space="preserve"> </w:t>
      </w:r>
      <w:r w:rsidRPr="00E13615">
        <w:t>have</w:t>
      </w:r>
      <w:r w:rsidRPr="00E13615">
        <w:rPr>
          <w:spacing w:val="3"/>
        </w:rPr>
        <w:t xml:space="preserve"> </w:t>
      </w:r>
      <w:r w:rsidRPr="00E13615">
        <w:t>adopted</w:t>
      </w:r>
      <w:r w:rsidRPr="00E13615">
        <w:rPr>
          <w:spacing w:val="4"/>
        </w:rPr>
        <w:t xml:space="preserve"> </w:t>
      </w:r>
      <w:r w:rsidRPr="00E13615">
        <w:t>a</w:t>
      </w:r>
      <w:r w:rsidRPr="00E13615">
        <w:rPr>
          <w:spacing w:val="3"/>
        </w:rPr>
        <w:t xml:space="preserve"> </w:t>
      </w:r>
      <w:r w:rsidRPr="00E13615">
        <w:t>procedure</w:t>
      </w:r>
      <w:r w:rsidRPr="00E13615">
        <w:rPr>
          <w:spacing w:val="4"/>
        </w:rPr>
        <w:t xml:space="preserve"> </w:t>
      </w:r>
      <w:r w:rsidRPr="00E13615">
        <w:t>that</w:t>
      </w:r>
      <w:r w:rsidRPr="00E13615">
        <w:rPr>
          <w:spacing w:val="3"/>
        </w:rPr>
        <w:t xml:space="preserve"> </w:t>
      </w:r>
      <w:r w:rsidRPr="00E13615">
        <w:t>allows</w:t>
      </w:r>
      <w:r w:rsidRPr="00E13615">
        <w:rPr>
          <w:spacing w:val="4"/>
        </w:rPr>
        <w:t xml:space="preserve"> </w:t>
      </w:r>
      <w:r w:rsidRPr="00E13615">
        <w:t>them</w:t>
      </w:r>
      <w:r w:rsidRPr="00E13615">
        <w:rPr>
          <w:spacing w:val="3"/>
        </w:rPr>
        <w:t xml:space="preserve"> </w:t>
      </w:r>
      <w:r w:rsidRPr="00E13615">
        <w:t>to</w:t>
      </w:r>
      <w:r w:rsidRPr="00E13615">
        <w:rPr>
          <w:spacing w:val="1"/>
        </w:rPr>
        <w:t xml:space="preserve"> </w:t>
      </w:r>
      <w:r w:rsidRPr="00E13615">
        <w:t xml:space="preserve">consider and </w:t>
      </w:r>
      <w:r w:rsidRPr="00F3751D">
        <w:t xml:space="preserve">decide an appellant’s arguments raised in </w:t>
      </w:r>
      <w:r w:rsidRPr="00F3751D">
        <w:t>his or her own supplemental briefs</w:t>
      </w:r>
      <w:r w:rsidR="00CB4C36" w:rsidRPr="00F3751D">
        <w:t xml:space="preserve"> </w:t>
      </w:r>
      <w:r w:rsidRPr="00F3751D">
        <w:rPr>
          <w:spacing w:val="-62"/>
        </w:rPr>
        <w:t xml:space="preserve">    </w:t>
      </w:r>
      <w:r w:rsidRPr="00F3751D">
        <w:t>by turning to the court’s supervisory power to control the proceedings before it.  (See</w:t>
      </w:r>
      <w:r w:rsidR="00155386" w:rsidRPr="00F3751D">
        <w:t>,</w:t>
      </w:r>
      <w:r w:rsidRPr="00F3751D">
        <w:rPr>
          <w:spacing w:val="1"/>
        </w:rPr>
        <w:t xml:space="preserve"> </w:t>
      </w:r>
      <w:r w:rsidRPr="00F3751D">
        <w:t xml:space="preserve">e.g., </w:t>
      </w:r>
      <w:bookmarkStart w:id="53" w:name="dabmci_e0a4fec016b14631ac44634a2de08b5d"/>
      <w:r w:rsidR="009175B6" w:rsidRPr="00F3751D">
        <w:rPr>
          <w:i/>
        </w:rPr>
        <w:t>People v.</w:t>
      </w:r>
      <w:r w:rsidRPr="00F3751D">
        <w:rPr>
          <w:i/>
        </w:rPr>
        <w:t xml:space="preserve"> Cole, supra, </w:t>
      </w:r>
      <w:r w:rsidRPr="00F3751D">
        <w:t>52</w:t>
      </w:r>
      <w:r w:rsidR="009175B6" w:rsidRPr="00F3751D">
        <w:t> Cal.</w:t>
      </w:r>
      <w:r w:rsidRPr="00F3751D">
        <w:t>App.5th 1023</w:t>
      </w:r>
      <w:bookmarkEnd w:id="53"/>
      <w:r w:rsidRPr="00F3751D">
        <w:t xml:space="preserve">, review granted.) </w:t>
      </w:r>
      <w:r w:rsidRPr="00F3751D">
        <w:rPr>
          <w:spacing w:val="1"/>
        </w:rPr>
        <w:t xml:space="preserve"> </w:t>
      </w:r>
      <w:r w:rsidR="003C1835" w:rsidRPr="00F3751D">
        <w:t>T</w:t>
      </w:r>
      <w:r w:rsidRPr="00F3751D">
        <w:t>hose</w:t>
      </w:r>
      <w:r w:rsidRPr="00F3751D">
        <w:rPr>
          <w:spacing w:val="1"/>
        </w:rPr>
        <w:t xml:space="preserve"> </w:t>
      </w:r>
      <w:r w:rsidRPr="00F3751D">
        <w:t xml:space="preserve">courts </w:t>
      </w:r>
      <w:r w:rsidR="00EA0E63" w:rsidRPr="00F3751D">
        <w:t xml:space="preserve">lack that </w:t>
      </w:r>
      <w:r w:rsidRPr="00F3751D">
        <w:t>authority given the California Suprem</w:t>
      </w:r>
      <w:r w:rsidRPr="00F3751D">
        <w:t>e Court’s</w:t>
      </w:r>
      <w:r w:rsidRPr="00F3751D">
        <w:rPr>
          <w:spacing w:val="1"/>
        </w:rPr>
        <w:t xml:space="preserve"> </w:t>
      </w:r>
      <w:r w:rsidRPr="00F3751D">
        <w:t>holdings</w:t>
      </w:r>
      <w:r w:rsidRPr="00F3751D">
        <w:rPr>
          <w:spacing w:val="-1"/>
        </w:rPr>
        <w:t xml:space="preserve"> </w:t>
      </w:r>
      <w:r w:rsidRPr="00F3751D">
        <w:t>in</w:t>
      </w:r>
      <w:r w:rsidRPr="00F3751D">
        <w:rPr>
          <w:spacing w:val="-2"/>
        </w:rPr>
        <w:t xml:space="preserve"> </w:t>
      </w:r>
      <w:r w:rsidRPr="00F3751D">
        <w:rPr>
          <w:i/>
          <w:iCs/>
          <w:spacing w:val="-2"/>
        </w:rPr>
        <w:t xml:space="preserve">Mattson, Clark, </w:t>
      </w:r>
      <w:r w:rsidRPr="00F3751D">
        <w:rPr>
          <w:spacing w:val="-2"/>
        </w:rPr>
        <w:t xml:space="preserve">and </w:t>
      </w:r>
      <w:r w:rsidRPr="00F3751D">
        <w:rPr>
          <w:i/>
        </w:rPr>
        <w:t>Barnett</w:t>
      </w:r>
      <w:r w:rsidRPr="00F3751D">
        <w:t>.</w:t>
      </w:r>
    </w:p>
    <w:p w14:paraId="01CFE39F" w14:textId="60BA6770" w:rsidR="002E04F8" w:rsidRPr="007D0D6E" w:rsidRDefault="00D34941" w:rsidP="002E04F8">
      <w:pPr>
        <w:pStyle w:val="BodyText"/>
        <w:spacing w:line="480" w:lineRule="atLeast"/>
        <w:ind w:right="598" w:firstLine="600"/>
      </w:pPr>
      <w:r w:rsidRPr="007D0D6E">
        <w:t>The issues we here consider are pending before our Supreme Court and the court may in the future extend what have become known as</w:t>
      </w:r>
      <w:r w:rsidRPr="00473642">
        <w:rPr>
          <w:spacing w:val="1"/>
        </w:rPr>
        <w:t xml:space="preserve"> </w:t>
      </w:r>
      <w:r w:rsidRPr="00473642">
        <w:t>“</w:t>
      </w:r>
      <w:r w:rsidRPr="00473642">
        <w:rPr>
          <w:i/>
        </w:rPr>
        <w:t>Wende</w:t>
      </w:r>
      <w:r w:rsidRPr="007D0D6E">
        <w:rPr>
          <w:i/>
          <w:spacing w:val="-5"/>
        </w:rPr>
        <w:t xml:space="preserve"> </w:t>
      </w:r>
      <w:r w:rsidRPr="007D0D6E">
        <w:t>procedures”</w:t>
      </w:r>
      <w:r w:rsidRPr="007D0D6E">
        <w:rPr>
          <w:spacing w:val="-5"/>
        </w:rPr>
        <w:t xml:space="preserve"> </w:t>
      </w:r>
      <w:r w:rsidRPr="007D0D6E">
        <w:t>to</w:t>
      </w:r>
      <w:r w:rsidRPr="007D0D6E">
        <w:rPr>
          <w:spacing w:val="-5"/>
        </w:rPr>
        <w:t xml:space="preserve"> </w:t>
      </w:r>
      <w:r w:rsidRPr="007D0D6E">
        <w:t>appeals</w:t>
      </w:r>
      <w:r w:rsidRPr="007D0D6E">
        <w:rPr>
          <w:spacing w:val="-5"/>
        </w:rPr>
        <w:t xml:space="preserve"> </w:t>
      </w:r>
      <w:r w:rsidRPr="007D0D6E">
        <w:t>such</w:t>
      </w:r>
      <w:r w:rsidRPr="007D0D6E">
        <w:rPr>
          <w:spacing w:val="-5"/>
        </w:rPr>
        <w:t xml:space="preserve"> </w:t>
      </w:r>
      <w:r w:rsidRPr="007D0D6E">
        <w:t>as</w:t>
      </w:r>
      <w:r w:rsidRPr="007D0D6E">
        <w:rPr>
          <w:spacing w:val="-5"/>
        </w:rPr>
        <w:t xml:space="preserve"> </w:t>
      </w:r>
      <w:r w:rsidRPr="007D0D6E">
        <w:t>this</w:t>
      </w:r>
      <w:r w:rsidRPr="007D0D6E">
        <w:rPr>
          <w:spacing w:val="-5"/>
        </w:rPr>
        <w:t xml:space="preserve"> </w:t>
      </w:r>
      <w:r w:rsidRPr="007D0D6E">
        <w:t>one</w:t>
      </w:r>
      <w:r w:rsidRPr="007D0D6E">
        <w:rPr>
          <w:spacing w:val="-5"/>
        </w:rPr>
        <w:t xml:space="preserve"> </w:t>
      </w:r>
      <w:r w:rsidRPr="007D0D6E">
        <w:t>from</w:t>
      </w:r>
      <w:r w:rsidRPr="007D0D6E">
        <w:rPr>
          <w:spacing w:val="-4"/>
        </w:rPr>
        <w:t xml:space="preserve"> </w:t>
      </w:r>
      <w:r w:rsidRPr="007D0D6E">
        <w:t>orders</w:t>
      </w:r>
      <w:r w:rsidRPr="007D0D6E">
        <w:rPr>
          <w:spacing w:val="-5"/>
        </w:rPr>
        <w:t xml:space="preserve"> </w:t>
      </w:r>
      <w:r w:rsidRPr="007D0D6E">
        <w:t>denying</w:t>
      </w:r>
      <w:r w:rsidRPr="007D0D6E">
        <w:rPr>
          <w:spacing w:val="-5"/>
        </w:rPr>
        <w:t xml:space="preserve"> </w:t>
      </w:r>
      <w:r w:rsidRPr="007D0D6E">
        <w:t>postconviction relief.  But</w:t>
      </w:r>
      <w:r w:rsidRPr="007D0D6E">
        <w:rPr>
          <w:spacing w:val="-2"/>
        </w:rPr>
        <w:t xml:space="preserve"> </w:t>
      </w:r>
      <w:r w:rsidRPr="007D0D6E">
        <w:t>it</w:t>
      </w:r>
      <w:r w:rsidRPr="007D0D6E">
        <w:rPr>
          <w:spacing w:val="-3"/>
        </w:rPr>
        <w:t xml:space="preserve"> </w:t>
      </w:r>
      <w:r w:rsidRPr="007D0D6E">
        <w:t>must</w:t>
      </w:r>
      <w:r w:rsidRPr="007D0D6E">
        <w:rPr>
          <w:spacing w:val="-3"/>
        </w:rPr>
        <w:t xml:space="preserve"> </w:t>
      </w:r>
      <w:r w:rsidRPr="007D0D6E">
        <w:t>be</w:t>
      </w:r>
      <w:r w:rsidRPr="007D0D6E">
        <w:rPr>
          <w:spacing w:val="-3"/>
        </w:rPr>
        <w:t xml:space="preserve"> </w:t>
      </w:r>
      <w:r w:rsidRPr="007D0D6E">
        <w:t>left</w:t>
      </w:r>
      <w:r w:rsidRPr="007D0D6E">
        <w:rPr>
          <w:spacing w:val="-3"/>
        </w:rPr>
        <w:t xml:space="preserve"> </w:t>
      </w:r>
      <w:r w:rsidRPr="007D0D6E">
        <w:t>up</w:t>
      </w:r>
      <w:r w:rsidRPr="007D0D6E">
        <w:rPr>
          <w:spacing w:val="-3"/>
        </w:rPr>
        <w:t xml:space="preserve"> </w:t>
      </w:r>
      <w:r w:rsidRPr="007D0D6E">
        <w:t>to</w:t>
      </w:r>
      <w:r w:rsidRPr="007D0D6E">
        <w:rPr>
          <w:spacing w:val="-3"/>
        </w:rPr>
        <w:t xml:space="preserve"> </w:t>
      </w:r>
      <w:r w:rsidRPr="007D0D6E">
        <w:t>that</w:t>
      </w:r>
      <w:r w:rsidRPr="007D0D6E">
        <w:rPr>
          <w:spacing w:val="-3"/>
        </w:rPr>
        <w:t xml:space="preserve"> </w:t>
      </w:r>
      <w:r w:rsidRPr="007D0D6E">
        <w:t>court</w:t>
      </w:r>
      <w:r w:rsidRPr="007D0D6E">
        <w:rPr>
          <w:spacing w:val="-3"/>
        </w:rPr>
        <w:t xml:space="preserve"> </w:t>
      </w:r>
      <w:r w:rsidRPr="007D0D6E">
        <w:t>to</w:t>
      </w:r>
      <w:r w:rsidRPr="007D0D6E">
        <w:rPr>
          <w:spacing w:val="-2"/>
        </w:rPr>
        <w:t xml:space="preserve"> </w:t>
      </w:r>
      <w:r w:rsidRPr="007D0D6E">
        <w:t>do</w:t>
      </w:r>
      <w:r w:rsidRPr="007D0D6E">
        <w:rPr>
          <w:spacing w:val="-3"/>
        </w:rPr>
        <w:t xml:space="preserve"> </w:t>
      </w:r>
      <w:r w:rsidRPr="007D0D6E">
        <w:t>so.  Until</w:t>
      </w:r>
      <w:r w:rsidRPr="007D0D6E">
        <w:rPr>
          <w:spacing w:val="-3"/>
        </w:rPr>
        <w:t xml:space="preserve"> </w:t>
      </w:r>
      <w:r w:rsidRPr="007D0D6E">
        <w:t>it</w:t>
      </w:r>
      <w:r w:rsidRPr="007D0D6E">
        <w:rPr>
          <w:spacing w:val="-3"/>
        </w:rPr>
        <w:t xml:space="preserve"> </w:t>
      </w:r>
      <w:r w:rsidRPr="007D0D6E">
        <w:t>does,</w:t>
      </w:r>
      <w:r w:rsidRPr="007D0D6E">
        <w:rPr>
          <w:spacing w:val="-3"/>
        </w:rPr>
        <w:t xml:space="preserve"> </w:t>
      </w:r>
      <w:r w:rsidRPr="007D0D6E">
        <w:t>appeals such</w:t>
      </w:r>
      <w:r w:rsidRPr="007D0D6E">
        <w:rPr>
          <w:spacing w:val="-2"/>
        </w:rPr>
        <w:t xml:space="preserve"> </w:t>
      </w:r>
      <w:r w:rsidRPr="007D0D6E">
        <w:t>as</w:t>
      </w:r>
      <w:r w:rsidRPr="007D0D6E">
        <w:rPr>
          <w:spacing w:val="-1"/>
        </w:rPr>
        <w:t xml:space="preserve"> </w:t>
      </w:r>
      <w:r w:rsidRPr="007D0D6E">
        <w:t>the</w:t>
      </w:r>
      <w:r w:rsidRPr="007D0D6E">
        <w:rPr>
          <w:spacing w:val="-1"/>
        </w:rPr>
        <w:t xml:space="preserve"> </w:t>
      </w:r>
      <w:r w:rsidRPr="007D0D6E">
        <w:t>one</w:t>
      </w:r>
      <w:r w:rsidRPr="007D0D6E">
        <w:rPr>
          <w:spacing w:val="-1"/>
        </w:rPr>
        <w:t xml:space="preserve"> </w:t>
      </w:r>
      <w:r w:rsidRPr="007D0D6E">
        <w:t>presently</w:t>
      </w:r>
      <w:r w:rsidRPr="007D0D6E">
        <w:rPr>
          <w:spacing w:val="-1"/>
        </w:rPr>
        <w:t xml:space="preserve"> </w:t>
      </w:r>
      <w:r w:rsidRPr="007D0D6E">
        <w:t>before</w:t>
      </w:r>
      <w:r w:rsidRPr="007D0D6E">
        <w:rPr>
          <w:spacing w:val="-2"/>
        </w:rPr>
        <w:t xml:space="preserve"> </w:t>
      </w:r>
      <w:r w:rsidRPr="007D0D6E">
        <w:t>us must be considered abandoned and ordered dismissed.</w:t>
      </w:r>
    </w:p>
    <w:p w14:paraId="473B75C6" w14:textId="77777777" w:rsidR="00964018" w:rsidRPr="007D0D6E" w:rsidRDefault="00D34941" w:rsidP="00570318">
      <w:pPr>
        <w:keepNext/>
        <w:spacing w:before="120" w:after="60"/>
        <w:jc w:val="center"/>
        <w:rPr>
          <w:smallCaps/>
          <w:sz w:val="29"/>
          <w:szCs w:val="29"/>
        </w:rPr>
      </w:pPr>
      <w:bookmarkStart w:id="54" w:name="_Hlk55374404"/>
      <w:r w:rsidRPr="007D0D6E">
        <w:rPr>
          <w:smallCaps/>
          <w:sz w:val="29"/>
          <w:szCs w:val="29"/>
        </w:rPr>
        <w:lastRenderedPageBreak/>
        <w:t>Disposition</w:t>
      </w:r>
      <w:bookmarkEnd w:id="54"/>
    </w:p>
    <w:p w14:paraId="354C53A7" w14:textId="1D11792A" w:rsidR="00CF6745" w:rsidRDefault="00D34941" w:rsidP="00570318">
      <w:pPr>
        <w:keepNext/>
        <w:ind w:firstLine="720"/>
      </w:pPr>
      <w:r w:rsidRPr="007D0D6E">
        <w:t>The appeal is dismissed</w:t>
      </w:r>
      <w:r>
        <w:t>.</w:t>
      </w:r>
      <w:r w:rsidR="000F7E1A">
        <w:t xml:space="preserve">  </w:t>
      </w:r>
    </w:p>
    <w:p w14:paraId="4261F96E" w14:textId="43AABB24" w:rsidR="000F7E1A" w:rsidRDefault="000F7E1A" w:rsidP="00570318">
      <w:pPr>
        <w:keepNext/>
        <w:spacing w:line="240" w:lineRule="auto"/>
      </w:pPr>
    </w:p>
    <w:p w14:paraId="07DA272D" w14:textId="571DADAE" w:rsidR="000F7E1A" w:rsidRDefault="000F7E1A" w:rsidP="00570318">
      <w:pPr>
        <w:keepNext/>
        <w:spacing w:line="240" w:lineRule="auto"/>
      </w:pPr>
    </w:p>
    <w:p w14:paraId="289CDF3A" w14:textId="252C86F1" w:rsidR="000F7E1A" w:rsidRDefault="000F7E1A" w:rsidP="00570318">
      <w:pPr>
        <w:keepNext/>
        <w:spacing w:line="240" w:lineRule="auto"/>
      </w:pPr>
    </w:p>
    <w:p w14:paraId="1CAACA66" w14:textId="77777777" w:rsidR="000F7E1A" w:rsidRDefault="00D34941" w:rsidP="00570318">
      <w:pPr>
        <w:keepNext/>
        <w:tabs>
          <w:tab w:val="left" w:pos="5040"/>
          <w:tab w:val="left" w:pos="7920"/>
        </w:tabs>
        <w:spacing w:line="240" w:lineRule="auto"/>
      </w:pPr>
      <w:r>
        <w:tab/>
      </w:r>
      <w:r w:rsidRPr="000F7E1A">
        <w:rPr>
          <w:u w:val="single"/>
        </w:rPr>
        <w:t xml:space="preserve">          </w:t>
      </w:r>
      <w:r w:rsidRPr="000F7E1A">
        <w:rPr>
          <w:u w:val="single"/>
        </w:rPr>
        <w:tab/>
      </w:r>
    </w:p>
    <w:p w14:paraId="3841A158" w14:textId="5F235C95" w:rsidR="000F7E1A" w:rsidRDefault="00D34941" w:rsidP="00570318">
      <w:pPr>
        <w:keepNext/>
        <w:tabs>
          <w:tab w:val="left" w:pos="5040"/>
          <w:tab w:val="left" w:pos="7920"/>
        </w:tabs>
        <w:spacing w:line="240" w:lineRule="auto"/>
      </w:pPr>
      <w:r>
        <w:tab/>
        <w:t>HULL, J.</w:t>
      </w:r>
    </w:p>
    <w:p w14:paraId="500A2369" w14:textId="2FFD65A3" w:rsidR="000F7E1A" w:rsidRDefault="000F7E1A" w:rsidP="00570318">
      <w:pPr>
        <w:keepNext/>
        <w:tabs>
          <w:tab w:val="left" w:pos="5040"/>
          <w:tab w:val="left" w:pos="7920"/>
        </w:tabs>
        <w:spacing w:line="240" w:lineRule="auto"/>
      </w:pPr>
    </w:p>
    <w:p w14:paraId="2730E6AC" w14:textId="1A0E20C4" w:rsidR="000F7E1A" w:rsidRDefault="000F7E1A" w:rsidP="000F7E1A">
      <w:pPr>
        <w:tabs>
          <w:tab w:val="left" w:pos="5040"/>
          <w:tab w:val="left" w:pos="7920"/>
        </w:tabs>
        <w:spacing w:line="240" w:lineRule="auto"/>
      </w:pPr>
    </w:p>
    <w:p w14:paraId="2B0BAF3C" w14:textId="7A4E54D4" w:rsidR="000F7E1A" w:rsidRDefault="000F7E1A" w:rsidP="000F7E1A">
      <w:pPr>
        <w:tabs>
          <w:tab w:val="left" w:pos="5040"/>
          <w:tab w:val="left" w:pos="7920"/>
        </w:tabs>
        <w:spacing w:line="240" w:lineRule="auto"/>
      </w:pPr>
    </w:p>
    <w:p w14:paraId="2A194686" w14:textId="235B4B1E" w:rsidR="000F7E1A" w:rsidRDefault="00D34941" w:rsidP="000F7E1A">
      <w:pPr>
        <w:spacing w:line="240" w:lineRule="auto"/>
      </w:pPr>
      <w:r>
        <w:t xml:space="preserve">I </w:t>
      </w:r>
      <w:r>
        <w:t>concur:</w:t>
      </w:r>
    </w:p>
    <w:p w14:paraId="5A928C49" w14:textId="431CA456" w:rsidR="000F7E1A" w:rsidRDefault="000F7E1A" w:rsidP="000F7E1A">
      <w:pPr>
        <w:spacing w:line="240" w:lineRule="auto"/>
      </w:pPr>
    </w:p>
    <w:p w14:paraId="3CD94C96" w14:textId="775BEC0F" w:rsidR="000F7E1A" w:rsidRDefault="000F7E1A" w:rsidP="000F7E1A">
      <w:pPr>
        <w:spacing w:line="240" w:lineRule="auto"/>
      </w:pPr>
    </w:p>
    <w:p w14:paraId="1C7BE5ED" w14:textId="58306CEB" w:rsidR="000F7E1A" w:rsidRDefault="000F7E1A" w:rsidP="000F7E1A">
      <w:pPr>
        <w:spacing w:line="240" w:lineRule="auto"/>
      </w:pPr>
    </w:p>
    <w:p w14:paraId="21B56C80" w14:textId="77777777" w:rsidR="000F7E1A" w:rsidRDefault="00D34941" w:rsidP="000F7E1A">
      <w:pPr>
        <w:tabs>
          <w:tab w:val="left" w:pos="2880"/>
        </w:tabs>
        <w:spacing w:line="240" w:lineRule="auto"/>
      </w:pPr>
      <w:r w:rsidRPr="000F7E1A">
        <w:rPr>
          <w:u w:val="single"/>
        </w:rPr>
        <w:t xml:space="preserve">          </w:t>
      </w:r>
      <w:r w:rsidRPr="000F7E1A">
        <w:rPr>
          <w:u w:val="single"/>
        </w:rPr>
        <w:tab/>
      </w:r>
    </w:p>
    <w:p w14:paraId="54CF5993" w14:textId="1DEFA93C" w:rsidR="000F7E1A" w:rsidRDefault="00D34941" w:rsidP="000F7E1A">
      <w:pPr>
        <w:tabs>
          <w:tab w:val="left" w:pos="2880"/>
        </w:tabs>
        <w:spacing w:line="240" w:lineRule="auto"/>
      </w:pPr>
      <w:r>
        <w:t>BLEASE, Acting P. J.</w:t>
      </w:r>
    </w:p>
    <w:p w14:paraId="41818E9D" w14:textId="77777777" w:rsidR="005A67AC" w:rsidRDefault="005A67AC" w:rsidP="000F7E1A">
      <w:pPr>
        <w:tabs>
          <w:tab w:val="left" w:pos="2880"/>
        </w:tabs>
        <w:spacing w:line="240" w:lineRule="auto"/>
        <w:sectPr w:rsidR="005A67AC" w:rsidSect="000F7E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54"/>
        </w:sectPr>
      </w:pPr>
    </w:p>
    <w:p w14:paraId="070645D1" w14:textId="77777777" w:rsidR="00E630C4" w:rsidRDefault="00D34941" w:rsidP="00E630C4">
      <w:r>
        <w:lastRenderedPageBreak/>
        <w:tab/>
        <w:t>Renner, J., Dissenting.</w:t>
      </w:r>
    </w:p>
    <w:p w14:paraId="16B1113C" w14:textId="77777777" w:rsidR="00E630C4" w:rsidRDefault="00E630C4" w:rsidP="00E630C4"/>
    <w:p w14:paraId="21EEE804" w14:textId="77777777" w:rsidR="00E630C4" w:rsidRPr="007B3005" w:rsidRDefault="00D34941" w:rsidP="00E630C4">
      <w:pPr>
        <w:ind w:firstLine="720"/>
      </w:pPr>
      <w:r w:rsidRPr="007B3005">
        <w:t xml:space="preserve">I respectfully dissent.  I disagree with the majority’s conclusion that we lack the authority to consider and decide </w:t>
      </w:r>
      <w:r w:rsidRPr="007B3005">
        <w:t>defendant’s arguments raised in his supplemental brief under our supervisory power.  (Maj.</w:t>
      </w:r>
      <w:r>
        <w:t xml:space="preserve"> opn.</w:t>
      </w:r>
      <w:r w:rsidRPr="007B3005">
        <w:t>,</w:t>
      </w:r>
      <w:r>
        <w:t xml:space="preserve"> at</w:t>
      </w:r>
      <w:r w:rsidRPr="007B3005">
        <w:t xml:space="preserve"> p. 7</w:t>
      </w:r>
      <w:r>
        <w:t>.</w:t>
      </w:r>
      <w:r w:rsidRPr="007B3005">
        <w:t>)  (</w:t>
      </w:r>
      <w:r w:rsidRPr="007B3005">
        <w:rPr>
          <w:i/>
          <w:iCs/>
        </w:rPr>
        <w:t>In re Phoenix H</w:t>
      </w:r>
      <w:r w:rsidRPr="007B3005">
        <w:t>. (2009) 47 Cal.4th 835, 844.)  Other courts of appeal have authorized the filing of a supplemental brief by a defendant in an appea</w:t>
      </w:r>
      <w:r w:rsidRPr="007B3005">
        <w:t xml:space="preserve">l from the denial of postconviction relief when counsel has filed a brief advising the appellate court that there are no arguable issues on appeal.  (E.g., </w:t>
      </w:r>
      <w:r w:rsidRPr="007B3005">
        <w:rPr>
          <w:i/>
          <w:iCs/>
        </w:rPr>
        <w:t>People v. Gallo</w:t>
      </w:r>
      <w:r w:rsidRPr="007B3005">
        <w:t xml:space="preserve"> (2020) 57 Cal.App.5th 594, 598 [“We offered defendant an opportunity to file a perso</w:t>
      </w:r>
      <w:r w:rsidRPr="007B3005">
        <w:t xml:space="preserve">nal supplemental brief, and he has not done so”]; </w:t>
      </w:r>
      <w:r w:rsidRPr="007B3005">
        <w:rPr>
          <w:i/>
          <w:iCs/>
        </w:rPr>
        <w:t>People v. Cole</w:t>
      </w:r>
      <w:r w:rsidRPr="007B3005">
        <w:t xml:space="preserve"> (2020) 52 Cal.App.5th 1023, 1028, 1039, rev. granted Oct. 14, 2020, S264278.)  This court has implicitly done so as well.  (See </w:t>
      </w:r>
      <w:r w:rsidRPr="007B3005">
        <w:rPr>
          <w:i/>
          <w:iCs/>
        </w:rPr>
        <w:t>People v. Figueras</w:t>
      </w:r>
      <w:r w:rsidRPr="007B3005">
        <w:t xml:space="preserve"> (2021) 61 Cal.App.5th 108, 113, rev. granted</w:t>
      </w:r>
      <w:r w:rsidRPr="007B3005">
        <w:t xml:space="preserve"> May 12, 2021, S267870 [“Because defendant has not filed a supplemental brief, we dismiss the appeal as abandoned”].)  While we await further guidance from our Supreme Court on what procedures we must follow when counsel determines that an appeal from an o</w:t>
      </w:r>
      <w:r w:rsidRPr="007B3005">
        <w:t>rder denying postconviction relief lacks arguable merit, I would address the issues raised in defendant’s pro per supplemental brief.</w:t>
      </w:r>
    </w:p>
    <w:p w14:paraId="6547A44A" w14:textId="77777777" w:rsidR="00E630C4" w:rsidRDefault="00E630C4" w:rsidP="00E630C4"/>
    <w:p w14:paraId="087685A0" w14:textId="77777777" w:rsidR="00E630C4" w:rsidRDefault="00E630C4" w:rsidP="00E630C4"/>
    <w:p w14:paraId="45F0FD54" w14:textId="77777777" w:rsidR="00E630C4" w:rsidRDefault="00E630C4" w:rsidP="00E630C4"/>
    <w:p w14:paraId="49334DD1" w14:textId="77777777" w:rsidR="00E630C4" w:rsidRDefault="00D34941" w:rsidP="00E630C4">
      <w:pPr>
        <w:tabs>
          <w:tab w:val="left" w:pos="5040"/>
          <w:tab w:val="left" w:pos="7920"/>
        </w:tabs>
        <w:spacing w:line="240" w:lineRule="auto"/>
        <w:rPr>
          <w:u w:val="single"/>
        </w:rPr>
      </w:pPr>
      <w:r>
        <w:tab/>
      </w:r>
      <w:r>
        <w:rPr>
          <w:u w:val="single"/>
        </w:rPr>
        <w:t xml:space="preserve">          </w:t>
      </w:r>
      <w:r>
        <w:rPr>
          <w:u w:val="single"/>
        </w:rPr>
        <w:tab/>
      </w:r>
    </w:p>
    <w:p w14:paraId="503D1DA5" w14:textId="77777777" w:rsidR="00E630C4" w:rsidRDefault="00D34941" w:rsidP="00E630C4">
      <w:pPr>
        <w:tabs>
          <w:tab w:val="left" w:pos="5040"/>
        </w:tabs>
        <w:spacing w:line="240" w:lineRule="auto"/>
      </w:pPr>
      <w:r>
        <w:tab/>
        <w:t>RENNER, J.</w:t>
      </w:r>
    </w:p>
    <w:p w14:paraId="53A73129" w14:textId="77777777" w:rsidR="00E630C4" w:rsidRDefault="00E630C4" w:rsidP="00E630C4"/>
    <w:p w14:paraId="5AE4E407" w14:textId="77777777" w:rsidR="005A67AC" w:rsidRDefault="005A67AC" w:rsidP="00E630C4">
      <w:pPr>
        <w:tabs>
          <w:tab w:val="left" w:pos="2880"/>
        </w:tabs>
        <w:spacing w:line="240" w:lineRule="auto"/>
      </w:pPr>
    </w:p>
    <w:sectPr w:rsidR="005A67AC" w:rsidSect="00E630C4">
      <w:footerReference w:type="defaul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E0E8" w14:textId="77777777" w:rsidR="00000000" w:rsidRDefault="00D34941">
      <w:pPr>
        <w:spacing w:line="240" w:lineRule="auto"/>
      </w:pPr>
      <w:r>
        <w:separator/>
      </w:r>
    </w:p>
  </w:endnote>
  <w:endnote w:type="continuationSeparator" w:id="0">
    <w:p w14:paraId="789BD530" w14:textId="77777777" w:rsidR="00000000" w:rsidRDefault="00D34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91B3" w14:textId="77777777" w:rsidR="00DD43A9" w:rsidRDefault="00DD4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C4F4" w14:textId="52A5BBC8" w:rsidR="009A6C0B" w:rsidRPr="000F7E1A" w:rsidRDefault="00D34941" w:rsidP="000F7E1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B35" w14:textId="77777777" w:rsidR="00DD43A9" w:rsidRDefault="00DD43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D327" w14:textId="77777777" w:rsidR="009A6C0B" w:rsidRDefault="00D34941">
    <w:pPr>
      <w:pStyle w:val="Footer"/>
      <w:jc w:val="center"/>
    </w:pPr>
    <w:r>
      <w:rPr>
        <w:rStyle w:val="PageNumber"/>
      </w:rPr>
      <w:fldChar w:fldCharType="begin"/>
    </w:r>
    <w:r w:rsidR="00874BEA">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D460" w14:textId="77777777" w:rsidR="00000000" w:rsidRDefault="00D34941">
      <w:pPr>
        <w:spacing w:line="240" w:lineRule="auto"/>
      </w:pPr>
      <w:r>
        <w:separator/>
      </w:r>
    </w:p>
  </w:footnote>
  <w:footnote w:type="continuationSeparator" w:id="0">
    <w:p w14:paraId="5D54D399" w14:textId="77777777" w:rsidR="00000000" w:rsidRDefault="00D349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F125" w14:textId="77777777" w:rsidR="00DD43A9" w:rsidRDefault="00DD4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9D9F" w14:textId="77777777" w:rsidR="00DD43A9" w:rsidRDefault="00DD4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0AE1" w14:textId="77777777" w:rsidR="00DD43A9" w:rsidRDefault="00DD4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5272F"/>
    <w:multiLevelType w:val="hybridMultilevel"/>
    <w:tmpl w:val="06E4AD34"/>
    <w:lvl w:ilvl="0" w:tplc="3A621C7E">
      <w:start w:val="1"/>
      <w:numFmt w:val="upperLetter"/>
      <w:lvlText w:val="%1."/>
      <w:lvlJc w:val="left"/>
      <w:pPr>
        <w:ind w:left="1080" w:hanging="360"/>
      </w:pPr>
      <w:rPr>
        <w:rFonts w:hint="default"/>
      </w:rPr>
    </w:lvl>
    <w:lvl w:ilvl="1" w:tplc="4E20818E" w:tentative="1">
      <w:start w:val="1"/>
      <w:numFmt w:val="lowerLetter"/>
      <w:lvlText w:val="%2."/>
      <w:lvlJc w:val="left"/>
      <w:pPr>
        <w:ind w:left="1800" w:hanging="360"/>
      </w:pPr>
    </w:lvl>
    <w:lvl w:ilvl="2" w:tplc="B422121A" w:tentative="1">
      <w:start w:val="1"/>
      <w:numFmt w:val="lowerRoman"/>
      <w:lvlText w:val="%3."/>
      <w:lvlJc w:val="right"/>
      <w:pPr>
        <w:ind w:left="2520" w:hanging="180"/>
      </w:pPr>
    </w:lvl>
    <w:lvl w:ilvl="3" w:tplc="BBDA26A2" w:tentative="1">
      <w:start w:val="1"/>
      <w:numFmt w:val="decimal"/>
      <w:lvlText w:val="%4."/>
      <w:lvlJc w:val="left"/>
      <w:pPr>
        <w:ind w:left="3240" w:hanging="360"/>
      </w:pPr>
    </w:lvl>
    <w:lvl w:ilvl="4" w:tplc="6DC812F2" w:tentative="1">
      <w:start w:val="1"/>
      <w:numFmt w:val="lowerLetter"/>
      <w:lvlText w:val="%5."/>
      <w:lvlJc w:val="left"/>
      <w:pPr>
        <w:ind w:left="3960" w:hanging="360"/>
      </w:pPr>
    </w:lvl>
    <w:lvl w:ilvl="5" w:tplc="38846F34" w:tentative="1">
      <w:start w:val="1"/>
      <w:numFmt w:val="lowerRoman"/>
      <w:lvlText w:val="%6."/>
      <w:lvlJc w:val="right"/>
      <w:pPr>
        <w:ind w:left="4680" w:hanging="180"/>
      </w:pPr>
    </w:lvl>
    <w:lvl w:ilvl="6" w:tplc="BC36DFDE" w:tentative="1">
      <w:start w:val="1"/>
      <w:numFmt w:val="decimal"/>
      <w:lvlText w:val="%7."/>
      <w:lvlJc w:val="left"/>
      <w:pPr>
        <w:ind w:left="5400" w:hanging="360"/>
      </w:pPr>
    </w:lvl>
    <w:lvl w:ilvl="7" w:tplc="CB040486" w:tentative="1">
      <w:start w:val="1"/>
      <w:numFmt w:val="lowerLetter"/>
      <w:lvlText w:val="%8."/>
      <w:lvlJc w:val="left"/>
      <w:pPr>
        <w:ind w:left="6120" w:hanging="360"/>
      </w:pPr>
    </w:lvl>
    <w:lvl w:ilvl="8" w:tplc="DAD49C8C"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A1"/>
    <w:rsid w:val="00000534"/>
    <w:rsid w:val="00012A7A"/>
    <w:rsid w:val="00013C9B"/>
    <w:rsid w:val="00020B9B"/>
    <w:rsid w:val="00027300"/>
    <w:rsid w:val="00036198"/>
    <w:rsid w:val="00036347"/>
    <w:rsid w:val="00041600"/>
    <w:rsid w:val="00045B7C"/>
    <w:rsid w:val="00051531"/>
    <w:rsid w:val="0006115C"/>
    <w:rsid w:val="000A315F"/>
    <w:rsid w:val="000C29AB"/>
    <w:rsid w:val="000C3558"/>
    <w:rsid w:val="000D7E4A"/>
    <w:rsid w:val="000F7E1A"/>
    <w:rsid w:val="00101043"/>
    <w:rsid w:val="00132538"/>
    <w:rsid w:val="00136320"/>
    <w:rsid w:val="00155386"/>
    <w:rsid w:val="00162498"/>
    <w:rsid w:val="00194187"/>
    <w:rsid w:val="001A3A17"/>
    <w:rsid w:val="001C397F"/>
    <w:rsid w:val="001C4EC7"/>
    <w:rsid w:val="001D0878"/>
    <w:rsid w:val="001E6966"/>
    <w:rsid w:val="00201F5E"/>
    <w:rsid w:val="00221AD8"/>
    <w:rsid w:val="00226D7E"/>
    <w:rsid w:val="00244E25"/>
    <w:rsid w:val="0024695B"/>
    <w:rsid w:val="0026339E"/>
    <w:rsid w:val="002740CD"/>
    <w:rsid w:val="00282C41"/>
    <w:rsid w:val="00294AEA"/>
    <w:rsid w:val="002957CF"/>
    <w:rsid w:val="002C2C5E"/>
    <w:rsid w:val="002D2D75"/>
    <w:rsid w:val="002D5821"/>
    <w:rsid w:val="002E04F8"/>
    <w:rsid w:val="002E29EA"/>
    <w:rsid w:val="002F0106"/>
    <w:rsid w:val="003007DE"/>
    <w:rsid w:val="00323E6D"/>
    <w:rsid w:val="00325618"/>
    <w:rsid w:val="00332B9A"/>
    <w:rsid w:val="0033434B"/>
    <w:rsid w:val="00351CD2"/>
    <w:rsid w:val="00352017"/>
    <w:rsid w:val="00361328"/>
    <w:rsid w:val="003621A2"/>
    <w:rsid w:val="003704F5"/>
    <w:rsid w:val="00371862"/>
    <w:rsid w:val="00372F56"/>
    <w:rsid w:val="00391DF6"/>
    <w:rsid w:val="003A6168"/>
    <w:rsid w:val="003C1835"/>
    <w:rsid w:val="003C6882"/>
    <w:rsid w:val="003C7458"/>
    <w:rsid w:val="003D497E"/>
    <w:rsid w:val="003E4A60"/>
    <w:rsid w:val="00404BD6"/>
    <w:rsid w:val="0041087F"/>
    <w:rsid w:val="00415924"/>
    <w:rsid w:val="00415AAB"/>
    <w:rsid w:val="00422F8F"/>
    <w:rsid w:val="00427B69"/>
    <w:rsid w:val="00450111"/>
    <w:rsid w:val="00454F43"/>
    <w:rsid w:val="00473642"/>
    <w:rsid w:val="0048148B"/>
    <w:rsid w:val="004B561D"/>
    <w:rsid w:val="004D68FA"/>
    <w:rsid w:val="004F6AA0"/>
    <w:rsid w:val="005113B9"/>
    <w:rsid w:val="00536500"/>
    <w:rsid w:val="00570318"/>
    <w:rsid w:val="00571615"/>
    <w:rsid w:val="005A4947"/>
    <w:rsid w:val="005A500A"/>
    <w:rsid w:val="005A67AC"/>
    <w:rsid w:val="005F2158"/>
    <w:rsid w:val="00607155"/>
    <w:rsid w:val="00624212"/>
    <w:rsid w:val="006379B2"/>
    <w:rsid w:val="0065614F"/>
    <w:rsid w:val="0065708F"/>
    <w:rsid w:val="0066386C"/>
    <w:rsid w:val="00665B32"/>
    <w:rsid w:val="00683AFF"/>
    <w:rsid w:val="00683C88"/>
    <w:rsid w:val="00685CEE"/>
    <w:rsid w:val="006A231B"/>
    <w:rsid w:val="006A34D1"/>
    <w:rsid w:val="006B5461"/>
    <w:rsid w:val="006B7BEB"/>
    <w:rsid w:val="006C2BE1"/>
    <w:rsid w:val="006C7636"/>
    <w:rsid w:val="006D2F92"/>
    <w:rsid w:val="006D3960"/>
    <w:rsid w:val="006D527E"/>
    <w:rsid w:val="006E7BA0"/>
    <w:rsid w:val="006E7E0F"/>
    <w:rsid w:val="006F2881"/>
    <w:rsid w:val="006F3617"/>
    <w:rsid w:val="006F595F"/>
    <w:rsid w:val="00704C1B"/>
    <w:rsid w:val="00707CDA"/>
    <w:rsid w:val="007144F0"/>
    <w:rsid w:val="00755A75"/>
    <w:rsid w:val="00777FE6"/>
    <w:rsid w:val="007810D7"/>
    <w:rsid w:val="00791288"/>
    <w:rsid w:val="007A1469"/>
    <w:rsid w:val="007A7D9E"/>
    <w:rsid w:val="007B3005"/>
    <w:rsid w:val="007C7046"/>
    <w:rsid w:val="007D0D6E"/>
    <w:rsid w:val="007D22EC"/>
    <w:rsid w:val="007D343B"/>
    <w:rsid w:val="007D3B9A"/>
    <w:rsid w:val="007D4168"/>
    <w:rsid w:val="007D47EF"/>
    <w:rsid w:val="007D56E6"/>
    <w:rsid w:val="007D6F34"/>
    <w:rsid w:val="008219AF"/>
    <w:rsid w:val="00827704"/>
    <w:rsid w:val="00836A23"/>
    <w:rsid w:val="008472F6"/>
    <w:rsid w:val="00853EF4"/>
    <w:rsid w:val="00864CF9"/>
    <w:rsid w:val="00874BEA"/>
    <w:rsid w:val="008769DA"/>
    <w:rsid w:val="008A7462"/>
    <w:rsid w:val="008B610F"/>
    <w:rsid w:val="008B7BE0"/>
    <w:rsid w:val="008C143E"/>
    <w:rsid w:val="008C4564"/>
    <w:rsid w:val="008F2A08"/>
    <w:rsid w:val="008F66D6"/>
    <w:rsid w:val="0090145A"/>
    <w:rsid w:val="009127D5"/>
    <w:rsid w:val="009175B6"/>
    <w:rsid w:val="0094213A"/>
    <w:rsid w:val="0094497F"/>
    <w:rsid w:val="00947BD8"/>
    <w:rsid w:val="00961570"/>
    <w:rsid w:val="00964018"/>
    <w:rsid w:val="0099746B"/>
    <w:rsid w:val="009A1C46"/>
    <w:rsid w:val="009A6C0B"/>
    <w:rsid w:val="009B364E"/>
    <w:rsid w:val="009F4B00"/>
    <w:rsid w:val="009F53EE"/>
    <w:rsid w:val="00A02742"/>
    <w:rsid w:val="00A170AB"/>
    <w:rsid w:val="00A2577A"/>
    <w:rsid w:val="00A32478"/>
    <w:rsid w:val="00A354F7"/>
    <w:rsid w:val="00A4153A"/>
    <w:rsid w:val="00A66053"/>
    <w:rsid w:val="00A664D4"/>
    <w:rsid w:val="00A771E6"/>
    <w:rsid w:val="00A77507"/>
    <w:rsid w:val="00A8436B"/>
    <w:rsid w:val="00A849AE"/>
    <w:rsid w:val="00A861F2"/>
    <w:rsid w:val="00A92035"/>
    <w:rsid w:val="00A92AB4"/>
    <w:rsid w:val="00AB6669"/>
    <w:rsid w:val="00AE293B"/>
    <w:rsid w:val="00B03BD5"/>
    <w:rsid w:val="00B111CE"/>
    <w:rsid w:val="00B246B5"/>
    <w:rsid w:val="00B25E82"/>
    <w:rsid w:val="00B261AD"/>
    <w:rsid w:val="00B3482E"/>
    <w:rsid w:val="00B42583"/>
    <w:rsid w:val="00B74538"/>
    <w:rsid w:val="00B77F18"/>
    <w:rsid w:val="00B82032"/>
    <w:rsid w:val="00B84B2B"/>
    <w:rsid w:val="00B96B89"/>
    <w:rsid w:val="00B9791F"/>
    <w:rsid w:val="00BA1A8B"/>
    <w:rsid w:val="00BB3D0B"/>
    <w:rsid w:val="00BC1D66"/>
    <w:rsid w:val="00BD08E7"/>
    <w:rsid w:val="00BD0E9E"/>
    <w:rsid w:val="00BD2DD3"/>
    <w:rsid w:val="00BE3B44"/>
    <w:rsid w:val="00BF203C"/>
    <w:rsid w:val="00C00419"/>
    <w:rsid w:val="00C009B7"/>
    <w:rsid w:val="00C10A72"/>
    <w:rsid w:val="00C140FF"/>
    <w:rsid w:val="00C232B1"/>
    <w:rsid w:val="00C277C8"/>
    <w:rsid w:val="00C30B52"/>
    <w:rsid w:val="00C41DF9"/>
    <w:rsid w:val="00C47C72"/>
    <w:rsid w:val="00C54C0B"/>
    <w:rsid w:val="00C571EA"/>
    <w:rsid w:val="00C90CF8"/>
    <w:rsid w:val="00CA2666"/>
    <w:rsid w:val="00CA4B67"/>
    <w:rsid w:val="00CA5E29"/>
    <w:rsid w:val="00CA7D8C"/>
    <w:rsid w:val="00CB2014"/>
    <w:rsid w:val="00CB4C36"/>
    <w:rsid w:val="00CB773E"/>
    <w:rsid w:val="00CF6745"/>
    <w:rsid w:val="00D11A8D"/>
    <w:rsid w:val="00D12F50"/>
    <w:rsid w:val="00D203F9"/>
    <w:rsid w:val="00D20C0E"/>
    <w:rsid w:val="00D248D9"/>
    <w:rsid w:val="00D278B7"/>
    <w:rsid w:val="00D34941"/>
    <w:rsid w:val="00D448A1"/>
    <w:rsid w:val="00D508A5"/>
    <w:rsid w:val="00D70A7C"/>
    <w:rsid w:val="00D70DA2"/>
    <w:rsid w:val="00D759B0"/>
    <w:rsid w:val="00D8034B"/>
    <w:rsid w:val="00DB085F"/>
    <w:rsid w:val="00DD43A9"/>
    <w:rsid w:val="00DE0AE7"/>
    <w:rsid w:val="00DF0513"/>
    <w:rsid w:val="00E13615"/>
    <w:rsid w:val="00E23B00"/>
    <w:rsid w:val="00E27D5B"/>
    <w:rsid w:val="00E452AF"/>
    <w:rsid w:val="00E47DEB"/>
    <w:rsid w:val="00E51342"/>
    <w:rsid w:val="00E575A3"/>
    <w:rsid w:val="00E629C7"/>
    <w:rsid w:val="00E630C4"/>
    <w:rsid w:val="00EA0E63"/>
    <w:rsid w:val="00EB5076"/>
    <w:rsid w:val="00EC39DE"/>
    <w:rsid w:val="00ED5D6C"/>
    <w:rsid w:val="00EE7B2D"/>
    <w:rsid w:val="00F12B65"/>
    <w:rsid w:val="00F23B34"/>
    <w:rsid w:val="00F3751D"/>
    <w:rsid w:val="00F444C6"/>
    <w:rsid w:val="00FE4C13"/>
    <w:rsid w:val="00FF3296"/>
    <w:rsid w:val="00F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FootnoteTextChar">
    <w:name w:val="Footnote Text Char"/>
    <w:basedOn w:val="DefaultParagraphFont"/>
    <w:link w:val="FootnoteText"/>
    <w:semiHidden/>
    <w:rsid w:val="00C90CF8"/>
  </w:style>
  <w:style w:type="paragraph" w:styleId="ListParagraph">
    <w:name w:val="List Paragraph"/>
    <w:basedOn w:val="Normal"/>
    <w:uiPriority w:val="34"/>
    <w:qFormat/>
    <w:rsid w:val="00C90CF8"/>
    <w:pPr>
      <w:ind w:left="720"/>
      <w:contextualSpacing/>
    </w:pPr>
  </w:style>
  <w:style w:type="paragraph" w:styleId="BalloonText">
    <w:name w:val="Balloon Text"/>
    <w:basedOn w:val="Normal"/>
    <w:link w:val="BalloonTextChar"/>
    <w:semiHidden/>
    <w:unhideWhenUsed/>
    <w:rsid w:val="000D7E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7E4A"/>
    <w:rPr>
      <w:rFonts w:ascii="Segoe UI" w:hAnsi="Segoe UI" w:cs="Segoe UI"/>
      <w:sz w:val="18"/>
      <w:szCs w:val="18"/>
    </w:rPr>
  </w:style>
  <w:style w:type="paragraph" w:styleId="BodyText">
    <w:name w:val="Body Text"/>
    <w:basedOn w:val="Normal"/>
    <w:link w:val="BodyTextChar"/>
    <w:uiPriority w:val="1"/>
    <w:qFormat/>
    <w:rsid w:val="002E04F8"/>
    <w:pPr>
      <w:widowControl w:val="0"/>
      <w:autoSpaceDE w:val="0"/>
      <w:autoSpaceDN w:val="0"/>
      <w:spacing w:line="240" w:lineRule="auto"/>
      <w:ind w:left="120"/>
    </w:pPr>
  </w:style>
  <w:style w:type="character" w:customStyle="1" w:styleId="BodyTextChar">
    <w:name w:val="Body Text Char"/>
    <w:basedOn w:val="DefaultParagraphFont"/>
    <w:link w:val="BodyText"/>
    <w:uiPriority w:val="1"/>
    <w:rsid w:val="002E04F8"/>
  </w:style>
  <w:style w:type="character" w:styleId="CommentReference">
    <w:name w:val="annotation reference"/>
    <w:basedOn w:val="DefaultParagraphFont"/>
    <w:semiHidden/>
    <w:unhideWhenUsed/>
    <w:rsid w:val="00C009B7"/>
    <w:rPr>
      <w:sz w:val="16"/>
      <w:szCs w:val="16"/>
    </w:rPr>
  </w:style>
  <w:style w:type="paragraph" w:styleId="CommentText">
    <w:name w:val="annotation text"/>
    <w:basedOn w:val="Normal"/>
    <w:link w:val="CommentTextChar"/>
    <w:semiHidden/>
    <w:unhideWhenUsed/>
    <w:rsid w:val="00C009B7"/>
    <w:pPr>
      <w:spacing w:line="240" w:lineRule="auto"/>
    </w:pPr>
    <w:rPr>
      <w:sz w:val="20"/>
      <w:szCs w:val="20"/>
    </w:rPr>
  </w:style>
  <w:style w:type="character" w:customStyle="1" w:styleId="CommentTextChar">
    <w:name w:val="Comment Text Char"/>
    <w:basedOn w:val="DefaultParagraphFont"/>
    <w:link w:val="CommentText"/>
    <w:semiHidden/>
    <w:rsid w:val="00C009B7"/>
    <w:rPr>
      <w:sz w:val="20"/>
      <w:szCs w:val="20"/>
    </w:rPr>
  </w:style>
  <w:style w:type="paragraph" w:styleId="CommentSubject">
    <w:name w:val="annotation subject"/>
    <w:basedOn w:val="CommentText"/>
    <w:next w:val="CommentText"/>
    <w:link w:val="CommentSubjectChar"/>
    <w:semiHidden/>
    <w:unhideWhenUsed/>
    <w:rsid w:val="00C009B7"/>
    <w:rPr>
      <w:b/>
      <w:bCs/>
    </w:rPr>
  </w:style>
  <w:style w:type="character" w:customStyle="1" w:styleId="CommentSubjectChar">
    <w:name w:val="Comment Subject Char"/>
    <w:basedOn w:val="CommentTextChar"/>
    <w:link w:val="CommentSubject"/>
    <w:semiHidden/>
    <w:rsid w:val="00C009B7"/>
    <w:rPr>
      <w:b/>
      <w:bCs/>
      <w:sz w:val="20"/>
      <w:szCs w:val="20"/>
    </w:rPr>
  </w:style>
  <w:style w:type="character" w:customStyle="1" w:styleId="FooterChar">
    <w:name w:val="Footer Char"/>
    <w:basedOn w:val="DefaultParagraphFont"/>
    <w:link w:val="Footer"/>
    <w:rsid w:val="00E6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2317</Words>
  <Characters>12116</Characters>
  <Application>Microsoft Office Word</Application>
  <DocSecurity>0</DocSecurity>
  <Lines>240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2022-07-18T17:41:00Z</dcterms:created>
  <dcterms:modified xsi:type="dcterms:W3CDTF">2022-07-18T17:41:00Z</dcterms:modified>
  <cp:category/>
</cp:coreProperties>
</file>