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2423" w14:textId="488D1383" w:rsidR="007C6C1A" w:rsidRPr="00E633AE" w:rsidRDefault="00A62C74" w:rsidP="00805850">
      <w:pPr>
        <w:spacing w:line="240" w:lineRule="auto"/>
        <w:jc w:val="center"/>
        <w:rPr>
          <w:sz w:val="20"/>
        </w:rPr>
      </w:pPr>
      <w:r w:rsidRPr="00E633AE">
        <w:rPr>
          <w:sz w:val="20"/>
        </w:rPr>
        <w:t>Filed 3/9/22</w:t>
      </w:r>
      <w:bookmarkStart w:id="0" w:name="_Hlk91684443"/>
      <w:r w:rsidR="00805850" w:rsidRPr="007872E3">
        <w:rPr>
          <w:sz w:val="20"/>
        </w:rPr>
        <w:t>; REVIEW GRANTED.  See Cal. Rules of Court, rules 8.1105 and 8.1115 (and corresponding Comment, par. 2, concerning rule 8.1115(e)(3)).</w:t>
      </w:r>
      <w:bookmarkEnd w:id="0"/>
    </w:p>
    <w:p w14:paraId="6085717F" w14:textId="1A55F0D8" w:rsidR="0035691F" w:rsidRDefault="00A62C74" w:rsidP="007C6C1A">
      <w:pPr>
        <w:spacing w:line="240" w:lineRule="auto"/>
        <w:jc w:val="center"/>
      </w:pPr>
      <w:r>
        <w:t>CERTIFIED FOR PUBLICATION</w:t>
      </w:r>
    </w:p>
    <w:p w14:paraId="504DFCBD" w14:textId="2FEAC2E8" w:rsidR="0035691F" w:rsidRDefault="0035691F" w:rsidP="0035691F">
      <w:pPr>
        <w:spacing w:line="240" w:lineRule="auto"/>
      </w:pPr>
    </w:p>
    <w:p w14:paraId="5C44192B" w14:textId="77777777" w:rsidR="00552C44" w:rsidRDefault="00552C44" w:rsidP="0035691F">
      <w:pPr>
        <w:spacing w:line="240" w:lineRule="auto"/>
      </w:pPr>
    </w:p>
    <w:p w14:paraId="5AE5B6B3" w14:textId="069F4312" w:rsidR="0035691F" w:rsidRDefault="00A62C74" w:rsidP="0035691F">
      <w:pPr>
        <w:spacing w:line="240" w:lineRule="auto"/>
        <w:jc w:val="center"/>
      </w:pPr>
      <w:r>
        <w:t>COURT OF APPEAL, FOURTH APPELLATE DISTRICT</w:t>
      </w:r>
    </w:p>
    <w:p w14:paraId="399EDB47" w14:textId="0CF6D642" w:rsidR="0035691F" w:rsidRDefault="0035691F" w:rsidP="0035691F">
      <w:pPr>
        <w:spacing w:line="240" w:lineRule="auto"/>
        <w:jc w:val="center"/>
      </w:pPr>
    </w:p>
    <w:p w14:paraId="1E4EFC00" w14:textId="77777777" w:rsidR="0035691F" w:rsidRDefault="00A62C74" w:rsidP="0035691F">
      <w:pPr>
        <w:spacing w:line="240" w:lineRule="auto"/>
        <w:jc w:val="center"/>
      </w:pPr>
      <w:r>
        <w:t>DIVISION ONE</w:t>
      </w:r>
    </w:p>
    <w:p w14:paraId="5726513C" w14:textId="77777777" w:rsidR="0035691F" w:rsidRDefault="0035691F" w:rsidP="0035691F">
      <w:pPr>
        <w:spacing w:line="240" w:lineRule="auto"/>
        <w:jc w:val="center"/>
      </w:pPr>
    </w:p>
    <w:p w14:paraId="74073E57" w14:textId="2363FBF1" w:rsidR="0035691F" w:rsidRDefault="00A62C74" w:rsidP="0035691F">
      <w:pPr>
        <w:spacing w:line="240" w:lineRule="auto"/>
        <w:jc w:val="center"/>
      </w:pPr>
      <w:r>
        <w:t>STATE OF CALIFORNIA</w:t>
      </w:r>
    </w:p>
    <w:p w14:paraId="54EF7DC0" w14:textId="77777777" w:rsidR="0035691F" w:rsidRDefault="0035691F" w:rsidP="0035691F">
      <w:pPr>
        <w:spacing w:line="240" w:lineRule="auto"/>
        <w:jc w:val="center"/>
      </w:pPr>
    </w:p>
    <w:p w14:paraId="02B80931" w14:textId="77777777" w:rsidR="0035691F" w:rsidRDefault="0035691F" w:rsidP="0035691F">
      <w:pPr>
        <w:spacing w:line="240" w:lineRule="auto"/>
        <w:jc w:val="center"/>
      </w:pPr>
    </w:p>
    <w:p w14:paraId="6945597E" w14:textId="77777777" w:rsidR="0035691F" w:rsidRDefault="0035691F" w:rsidP="0035691F">
      <w:pPr>
        <w:spacing w:line="240" w:lineRule="auto"/>
        <w:jc w:val="center"/>
      </w:pPr>
    </w:p>
    <w:tbl>
      <w:tblPr>
        <w:tblW w:w="9360" w:type="dxa"/>
        <w:tblLayout w:type="fixed"/>
        <w:tblLook w:val="0000" w:firstRow="0" w:lastRow="0" w:firstColumn="0" w:lastColumn="0" w:noHBand="0" w:noVBand="0"/>
      </w:tblPr>
      <w:tblGrid>
        <w:gridCol w:w="5040"/>
        <w:gridCol w:w="4320"/>
      </w:tblGrid>
      <w:tr w:rsidR="00DF629F" w14:paraId="2A09BF74" w14:textId="77777777" w:rsidTr="00000239">
        <w:tc>
          <w:tcPr>
            <w:tcW w:w="5040" w:type="dxa"/>
            <w:tcBorders>
              <w:bottom w:val="single" w:sz="4" w:space="0" w:color="auto"/>
              <w:right w:val="single" w:sz="4" w:space="0" w:color="auto"/>
            </w:tcBorders>
            <w:shd w:val="clear" w:color="auto" w:fill="auto"/>
          </w:tcPr>
          <w:p w14:paraId="24871590" w14:textId="77777777" w:rsidR="0035691F" w:rsidRDefault="00A62C74" w:rsidP="00000239">
            <w:pPr>
              <w:spacing w:line="240" w:lineRule="auto"/>
            </w:pPr>
            <w:r>
              <w:t>DAVID MEINHARDT,</w:t>
            </w:r>
          </w:p>
          <w:p w14:paraId="6D52F72C" w14:textId="77777777" w:rsidR="0035691F" w:rsidRDefault="0035691F" w:rsidP="00000239">
            <w:pPr>
              <w:spacing w:line="240" w:lineRule="auto"/>
            </w:pPr>
          </w:p>
          <w:p w14:paraId="22E1463A" w14:textId="77777777" w:rsidR="0035691F" w:rsidRDefault="00A62C74" w:rsidP="00000239">
            <w:pPr>
              <w:spacing w:line="240" w:lineRule="auto"/>
            </w:pPr>
            <w:r>
              <w:tab/>
              <w:t>Plaintiff and Appellant,</w:t>
            </w:r>
          </w:p>
          <w:p w14:paraId="374FE0A2" w14:textId="77777777" w:rsidR="0035691F" w:rsidRDefault="0035691F" w:rsidP="00000239">
            <w:pPr>
              <w:spacing w:line="240" w:lineRule="auto"/>
            </w:pPr>
          </w:p>
          <w:p w14:paraId="0E697E39" w14:textId="77777777" w:rsidR="0035691F" w:rsidRDefault="00A62C74" w:rsidP="00000239">
            <w:pPr>
              <w:spacing w:line="240" w:lineRule="auto"/>
            </w:pPr>
            <w:r>
              <w:tab/>
              <w:t>v.</w:t>
            </w:r>
          </w:p>
          <w:p w14:paraId="001BFC3F" w14:textId="77777777" w:rsidR="0035691F" w:rsidRDefault="0035691F" w:rsidP="00000239">
            <w:pPr>
              <w:spacing w:line="240" w:lineRule="auto"/>
            </w:pPr>
          </w:p>
          <w:p w14:paraId="4CA89E74" w14:textId="11A1AA5E" w:rsidR="0035691F" w:rsidRDefault="00A62C74" w:rsidP="00000239">
            <w:pPr>
              <w:spacing w:line="240" w:lineRule="auto"/>
            </w:pPr>
            <w:r>
              <w:t>CITY OF SUNNYVALE,</w:t>
            </w:r>
          </w:p>
          <w:p w14:paraId="7BD3B05D" w14:textId="77777777" w:rsidR="0035691F" w:rsidRDefault="0035691F" w:rsidP="00000239">
            <w:pPr>
              <w:spacing w:line="240" w:lineRule="auto"/>
            </w:pPr>
          </w:p>
          <w:p w14:paraId="0321E16A" w14:textId="186EA1BD" w:rsidR="0035691F" w:rsidRDefault="00A62C74" w:rsidP="00000239">
            <w:pPr>
              <w:spacing w:line="240" w:lineRule="auto"/>
            </w:pPr>
            <w:r>
              <w:tab/>
              <w:t>Defendant and Respondent</w:t>
            </w:r>
            <w:r w:rsidR="00891B5F">
              <w:t>;</w:t>
            </w:r>
          </w:p>
          <w:p w14:paraId="45D15C46" w14:textId="77777777" w:rsidR="0035691F" w:rsidRDefault="0035691F" w:rsidP="00000239">
            <w:pPr>
              <w:spacing w:line="240" w:lineRule="auto"/>
            </w:pPr>
          </w:p>
          <w:p w14:paraId="0BCDCF30" w14:textId="77777777" w:rsidR="0035691F" w:rsidRDefault="00A62C74" w:rsidP="00000239">
            <w:pPr>
              <w:spacing w:line="240" w:lineRule="auto"/>
            </w:pPr>
            <w:r>
              <w:t xml:space="preserve">SUNNYVALE DEPARTMENT OF </w:t>
            </w:r>
            <w:r>
              <w:t>PUBLIC SAFETY,</w:t>
            </w:r>
          </w:p>
          <w:p w14:paraId="7192222D" w14:textId="77777777" w:rsidR="0035691F" w:rsidRDefault="0035691F" w:rsidP="00000239">
            <w:pPr>
              <w:spacing w:line="240" w:lineRule="auto"/>
            </w:pPr>
          </w:p>
          <w:p w14:paraId="0E360BF7" w14:textId="71849B1B" w:rsidR="0035691F" w:rsidRDefault="00A62C74" w:rsidP="00552C44">
            <w:pPr>
              <w:spacing w:line="240" w:lineRule="auto"/>
              <w:ind w:firstLine="703"/>
            </w:pPr>
            <w:r>
              <w:t>Real Party in Interest and Respondent.</w:t>
            </w:r>
          </w:p>
          <w:p w14:paraId="226E4ED2" w14:textId="77777777" w:rsidR="0035691F" w:rsidRDefault="0035691F" w:rsidP="00000239">
            <w:pPr>
              <w:spacing w:line="240" w:lineRule="auto"/>
            </w:pPr>
          </w:p>
        </w:tc>
        <w:tc>
          <w:tcPr>
            <w:tcW w:w="4320" w:type="dxa"/>
            <w:tcBorders>
              <w:left w:val="single" w:sz="4" w:space="0" w:color="auto"/>
            </w:tcBorders>
            <w:shd w:val="clear" w:color="auto" w:fill="auto"/>
          </w:tcPr>
          <w:p w14:paraId="7CD2A62D" w14:textId="77777777" w:rsidR="0035691F" w:rsidRDefault="00A62C74" w:rsidP="00000239">
            <w:pPr>
              <w:tabs>
                <w:tab w:val="left" w:pos="144"/>
              </w:tabs>
              <w:spacing w:line="240" w:lineRule="auto"/>
            </w:pPr>
            <w:r>
              <w:t xml:space="preserve">  D079451</w:t>
            </w:r>
          </w:p>
          <w:p w14:paraId="383E0F06" w14:textId="77777777" w:rsidR="0035691F" w:rsidRDefault="0035691F" w:rsidP="00000239">
            <w:pPr>
              <w:tabs>
                <w:tab w:val="left" w:pos="144"/>
              </w:tabs>
              <w:spacing w:line="240" w:lineRule="auto"/>
            </w:pPr>
          </w:p>
          <w:p w14:paraId="3FD32AA1" w14:textId="77777777" w:rsidR="0035691F" w:rsidRDefault="0035691F" w:rsidP="00000239">
            <w:pPr>
              <w:tabs>
                <w:tab w:val="left" w:pos="144"/>
              </w:tabs>
              <w:spacing w:line="240" w:lineRule="auto"/>
            </w:pPr>
          </w:p>
          <w:p w14:paraId="231726FA" w14:textId="77777777" w:rsidR="0035691F" w:rsidRDefault="0035691F" w:rsidP="00000239">
            <w:pPr>
              <w:tabs>
                <w:tab w:val="left" w:pos="144"/>
              </w:tabs>
              <w:spacing w:line="240" w:lineRule="auto"/>
            </w:pPr>
          </w:p>
          <w:p w14:paraId="6CE50BFC" w14:textId="0310BAB9" w:rsidR="0035691F" w:rsidRDefault="00A62C74" w:rsidP="00552C44">
            <w:pPr>
              <w:tabs>
                <w:tab w:val="left" w:pos="144"/>
              </w:tabs>
              <w:spacing w:line="240" w:lineRule="auto"/>
            </w:pPr>
            <w:r>
              <w:t xml:space="preserve">  (Super. Ct. No. 19CV346911)</w:t>
            </w:r>
          </w:p>
        </w:tc>
      </w:tr>
    </w:tbl>
    <w:p w14:paraId="53029730" w14:textId="77777777" w:rsidR="0035691F" w:rsidRDefault="0035691F" w:rsidP="0035691F">
      <w:pPr>
        <w:spacing w:line="240" w:lineRule="auto"/>
      </w:pPr>
    </w:p>
    <w:p w14:paraId="256EE24F" w14:textId="3F9090C5" w:rsidR="0035691F" w:rsidRDefault="00A62C74" w:rsidP="0035691F">
      <w:r>
        <w:tab/>
        <w:t>APPEAL from a judgment of the Superior Court of Santa Clara County, Peter H. Kirwan, Judge.  Appeal dismissed.</w:t>
      </w:r>
    </w:p>
    <w:p w14:paraId="280E9A47" w14:textId="1B7FA241" w:rsidR="00552C44" w:rsidRDefault="00A62C74" w:rsidP="0035691F">
      <w:r>
        <w:tab/>
        <w:t xml:space="preserve">Messing Adam &amp; Jasmine and Gregg </w:t>
      </w:r>
      <w:r>
        <w:t>McLean Adam for Plaintiff and Appellant.</w:t>
      </w:r>
    </w:p>
    <w:p w14:paraId="0DE3685E" w14:textId="1206425B" w:rsidR="00552C44" w:rsidRDefault="00A62C74" w:rsidP="0035691F">
      <w:r>
        <w:tab/>
        <w:t>Liebert Cassidy Whitmore, Suzanne Solomon and David A. Urban for Defendant and Respondent.</w:t>
      </w:r>
    </w:p>
    <w:p w14:paraId="152C4885" w14:textId="6531315B" w:rsidR="006B055D" w:rsidRDefault="00A62C74" w:rsidP="0035691F">
      <w:r>
        <w:tab/>
        <w:t>No appearance for Real Party in Interest and Respondent.</w:t>
      </w:r>
    </w:p>
    <w:p w14:paraId="29ECAA52" w14:textId="77777777" w:rsidR="0035691F" w:rsidRDefault="00A62C74" w:rsidP="00552C44">
      <w:pPr>
        <w:keepNext/>
        <w:jc w:val="center"/>
      </w:pPr>
      <w:r>
        <w:lastRenderedPageBreak/>
        <w:t>I.</w:t>
      </w:r>
    </w:p>
    <w:p w14:paraId="0398492F" w14:textId="1BCF04AC" w:rsidR="0035691F" w:rsidRDefault="00A62C74" w:rsidP="00552C44">
      <w:pPr>
        <w:keepNext/>
        <w:jc w:val="center"/>
      </w:pPr>
      <w:r>
        <w:t>INTRODUCTION</w:t>
      </w:r>
    </w:p>
    <w:p w14:paraId="043C4E92" w14:textId="29AF6C75" w:rsidR="0035691F" w:rsidRDefault="00A62C74" w:rsidP="0035691F">
      <w:r>
        <w:tab/>
        <w:t>“</w:t>
      </w:r>
      <w:r w:rsidRPr="0035634A">
        <w:t>California cases have uniformly held that a tri</w:t>
      </w:r>
      <w:r w:rsidRPr="0035634A">
        <w:t>al court</w:t>
      </w:r>
      <w:r>
        <w:t>’</w:t>
      </w:r>
      <w:r w:rsidRPr="0035634A">
        <w:t>s complete denial of a petition for administrative mandamus</w:t>
      </w:r>
      <w:r>
        <w:t xml:space="preserve"> </w:t>
      </w:r>
      <w:r w:rsidRPr="0035634A">
        <w:t>is a final judgment that may be appealed by the petitioner.</w:t>
      </w:r>
      <w:r>
        <w:t>”  (</w:t>
      </w:r>
      <w:r w:rsidRPr="0035634A">
        <w:rPr>
          <w:i/>
          <w:iCs/>
        </w:rPr>
        <w:t>Dhillon v. John Muir Health</w:t>
      </w:r>
      <w:r w:rsidR="00C5381D">
        <w:t xml:space="preserve"> </w:t>
      </w:r>
      <w:r w:rsidRPr="0035634A">
        <w:t>(2017) 2</w:t>
      </w:r>
      <w:r w:rsidR="00C5381D">
        <w:t> </w:t>
      </w:r>
      <w:r w:rsidRPr="0035634A">
        <w:t>Cal.5th 1109, 1113</w:t>
      </w:r>
      <w:r>
        <w:t xml:space="preserve"> (</w:t>
      </w:r>
      <w:r w:rsidRPr="0097674D">
        <w:rPr>
          <w:i/>
          <w:iCs/>
        </w:rPr>
        <w:t>Dhillon</w:t>
      </w:r>
      <w:r>
        <w:t xml:space="preserve">).)  And, as the Supreme Court in </w:t>
      </w:r>
      <w:r w:rsidRPr="00C56215">
        <w:rPr>
          <w:i/>
          <w:iCs/>
        </w:rPr>
        <w:t xml:space="preserve">Dhillon </w:t>
      </w:r>
      <w:r>
        <w:t>explained, a rulin</w:t>
      </w:r>
      <w:r>
        <w:t xml:space="preserve">g nominally </w:t>
      </w:r>
      <w:r w:rsidRPr="00EE6951">
        <w:rPr>
          <w:i/>
          <w:iCs/>
        </w:rPr>
        <w:t>denominated</w:t>
      </w:r>
      <w:r>
        <w:t xml:space="preserve"> as an “order” on a petition for writ of administrative mandate</w:t>
      </w:r>
      <w:r>
        <w:rPr>
          <w:rStyle w:val="FootnoteReference"/>
        </w:rPr>
        <w:footnoteReference w:id="1"/>
      </w:r>
      <w:r w:rsidRPr="0035634A">
        <w:t xml:space="preserve"> </w:t>
      </w:r>
      <w:r>
        <w:t xml:space="preserve">may, in fact, constitute a “final judgment” when such order has the </w:t>
      </w:r>
      <w:r w:rsidRPr="00EE6951">
        <w:rPr>
          <w:i/>
          <w:iCs/>
        </w:rPr>
        <w:t>effect</w:t>
      </w:r>
      <w:r>
        <w:t xml:space="preserve"> of a final judgment. </w:t>
      </w:r>
      <w:r w:rsidR="00F601F8">
        <w:t xml:space="preserve"> </w:t>
      </w:r>
      <w:r>
        <w:t>(</w:t>
      </w:r>
      <w:r w:rsidRPr="0097674D">
        <w:rPr>
          <w:i/>
          <w:iCs/>
        </w:rPr>
        <w:t>Id</w:t>
      </w:r>
      <w:r w:rsidRPr="00F601F8">
        <w:rPr>
          <w:i/>
          <w:iCs/>
        </w:rPr>
        <w:t>.</w:t>
      </w:r>
      <w:r>
        <w:t xml:space="preserve"> at p. 1115.)  That is because it is </w:t>
      </w:r>
      <w:r w:rsidR="006F5F34">
        <w:t xml:space="preserve">“ ‘ </w:t>
      </w:r>
      <w:r>
        <w:t xml:space="preserve">“not </w:t>
      </w:r>
      <w:r w:rsidRPr="006D393F">
        <w:t>the form of the decree but the substance and effect of the adjudication which is determinative.</w:t>
      </w:r>
      <w:r>
        <w:t>”</w:t>
      </w:r>
      <w:r w:rsidR="006F5F34">
        <w:t xml:space="preserve"> ’ ”</w:t>
      </w:r>
      <w:r>
        <w:t xml:space="preserve">  (</w:t>
      </w:r>
      <w:r w:rsidRPr="006D393F">
        <w:rPr>
          <w:i/>
          <w:iCs/>
        </w:rPr>
        <w:t>I</w:t>
      </w:r>
      <w:r>
        <w:rPr>
          <w:i/>
          <w:iCs/>
        </w:rPr>
        <w:t>bid</w:t>
      </w:r>
      <w:r w:rsidRPr="00F601F8">
        <w:rPr>
          <w:i/>
          <w:iCs/>
        </w:rPr>
        <w:t>.</w:t>
      </w:r>
      <w:r>
        <w:t>)</w:t>
      </w:r>
    </w:p>
    <w:p w14:paraId="189ED6E3" w14:textId="3819762C" w:rsidR="0035691F" w:rsidRPr="00C11E32" w:rsidRDefault="00A62C74" w:rsidP="0035691F">
      <w:r>
        <w:tab/>
        <w:t xml:space="preserve">In addressing whether a ruling has sufficient finality to constitute a judgment, the </w:t>
      </w:r>
      <w:r w:rsidRPr="00C56215">
        <w:rPr>
          <w:i/>
          <w:iCs/>
        </w:rPr>
        <w:t>Dhillon</w:t>
      </w:r>
      <w:r>
        <w:rPr>
          <w:i/>
          <w:iCs/>
        </w:rPr>
        <w:t xml:space="preserve"> </w:t>
      </w:r>
      <w:r w:rsidRPr="0035634A">
        <w:t xml:space="preserve">court </w:t>
      </w:r>
      <w:r>
        <w:t>stated</w:t>
      </w:r>
      <w:r w:rsidRPr="0035634A">
        <w:t xml:space="preserve">, </w:t>
      </w:r>
      <w:r>
        <w:t>“</w:t>
      </w:r>
      <w:r w:rsidR="006F5F34">
        <w:t xml:space="preserve"> ‘ “</w:t>
      </w:r>
      <w:r w:rsidRPr="0035634A">
        <w:t>As a general test, which must be adapted to the particular circumstances of the individual case, it may be said that where no issue is left for future consideration except the fact of compliance or noncompliance with the terms of the first dec</w:t>
      </w:r>
      <w:r w:rsidRPr="0035634A">
        <w:t>ree, that decree is final, but where anything further in the nature of judicial action on the part of the court is essential to a final determination of the rights of the parties, the decree is interlocutory.</w:t>
      </w:r>
      <w:r w:rsidR="006F5F34">
        <w:t xml:space="preserve">” </w:t>
      </w:r>
      <w:r w:rsidRPr="0035634A">
        <w:t>’ ”</w:t>
      </w:r>
      <w:r>
        <w:t xml:space="preserve"> </w:t>
      </w:r>
      <w:r w:rsidR="00C5381D">
        <w:t xml:space="preserve"> </w:t>
      </w:r>
      <w:r>
        <w:t>(</w:t>
      </w:r>
      <w:r>
        <w:rPr>
          <w:i/>
          <w:iCs/>
        </w:rPr>
        <w:t>Dhillon, supra</w:t>
      </w:r>
      <w:r w:rsidRPr="00A30291">
        <w:t xml:space="preserve">, </w:t>
      </w:r>
      <w:r w:rsidRPr="001501E1">
        <w:t>2 Cal.5th</w:t>
      </w:r>
      <w:r>
        <w:rPr>
          <w:i/>
          <w:iCs/>
        </w:rPr>
        <w:t xml:space="preserve"> </w:t>
      </w:r>
      <w:r>
        <w:t xml:space="preserve">at p. 1115.)  </w:t>
      </w:r>
      <w:r>
        <w:t xml:space="preserve">The </w:t>
      </w:r>
      <w:r w:rsidRPr="0097674D">
        <w:rPr>
          <w:i/>
          <w:iCs/>
        </w:rPr>
        <w:t>Dhillon</w:t>
      </w:r>
      <w:r>
        <w:t xml:space="preserve"> court applied this test in concluding that the trial court’s “order” on the plaintiff’s petition for writ of administrative mandate in that case “</w:t>
      </w:r>
      <w:r w:rsidRPr="006D393F">
        <w:t>was an appealable final judgment</w:t>
      </w:r>
      <w:r>
        <w:t>.”  (</w:t>
      </w:r>
      <w:r>
        <w:rPr>
          <w:i/>
          <w:iCs/>
        </w:rPr>
        <w:t>I</w:t>
      </w:r>
      <w:r w:rsidRPr="006D393F">
        <w:rPr>
          <w:i/>
          <w:iCs/>
        </w:rPr>
        <w:t>d</w:t>
      </w:r>
      <w:r w:rsidRPr="00F601F8">
        <w:rPr>
          <w:i/>
          <w:iCs/>
        </w:rPr>
        <w:t>.</w:t>
      </w:r>
      <w:r>
        <w:t xml:space="preserve"> a p. 1116.)</w:t>
      </w:r>
    </w:p>
    <w:p w14:paraId="20A67D83" w14:textId="43D75020" w:rsidR="0035691F" w:rsidRDefault="00A62C74" w:rsidP="0035691F">
      <w:r>
        <w:rPr>
          <w:b/>
          <w:bCs/>
        </w:rPr>
        <w:lastRenderedPageBreak/>
        <w:tab/>
      </w:r>
      <w:r w:rsidRPr="00670116">
        <w:rPr>
          <w:i/>
          <w:iCs/>
        </w:rPr>
        <w:t>Dhillon</w:t>
      </w:r>
      <w:r w:rsidRPr="00670116">
        <w:t xml:space="preserve"> is consistent with numerous publishe</w:t>
      </w:r>
      <w:r w:rsidRPr="00670116">
        <w:t>d cases that have concluded that a</w:t>
      </w:r>
      <w:r>
        <w:t xml:space="preserve">n </w:t>
      </w:r>
      <w:r w:rsidRPr="00670116">
        <w:t xml:space="preserve">order denying a petition for writ of mandate </w:t>
      </w:r>
      <w:r>
        <w:t>i</w:t>
      </w:r>
      <w:r w:rsidRPr="00670116">
        <w:t>s a final judgment for purposes of</w:t>
      </w:r>
      <w:r>
        <w:t xml:space="preserve"> an </w:t>
      </w:r>
      <w:r w:rsidRPr="00670116">
        <w:t>appeal.  (See</w:t>
      </w:r>
      <w:r w:rsidR="006B055D">
        <w:t>,</w:t>
      </w:r>
      <w:r w:rsidRPr="00670116">
        <w:t xml:space="preserve"> e.g.,</w:t>
      </w:r>
      <w:r w:rsidRPr="00C5381D">
        <w:t xml:space="preserve"> </w:t>
      </w:r>
      <w:r w:rsidRPr="00670116">
        <w:rPr>
          <w:i/>
          <w:iCs/>
        </w:rPr>
        <w:t>Sandlin v. McLaughlin</w:t>
      </w:r>
      <w:r w:rsidRPr="00670116">
        <w:t xml:space="preserve"> (2020) 50 Cal.App.5th 805, 820</w:t>
      </w:r>
      <w:r>
        <w:t xml:space="preserve"> (</w:t>
      </w:r>
      <w:r w:rsidRPr="00C252E0">
        <w:rPr>
          <w:i/>
          <w:iCs/>
        </w:rPr>
        <w:t>Sandlin</w:t>
      </w:r>
      <w:r>
        <w:t>)</w:t>
      </w:r>
      <w:r w:rsidRPr="00670116">
        <w:t xml:space="preserve"> [“Although the trial court never entered a formal judgment on the petition for writ of mandate, its order denying the petition in its entirety ‘constitutes a final judgment for purposes of an appea</w:t>
      </w:r>
      <w:r>
        <w:t>l</w:t>
      </w:r>
      <w:r w:rsidRPr="00670116">
        <w:t>’</w:t>
      </w:r>
      <w:r w:rsidR="009267E4">
        <w:t> </w:t>
      </w:r>
      <w:r w:rsidRPr="00670116">
        <w:t>”</w:t>
      </w:r>
      <w:r>
        <w:t>]</w:t>
      </w:r>
      <w:r w:rsidRPr="00670116">
        <w:t xml:space="preserve">; </w:t>
      </w:r>
      <w:r w:rsidRPr="00DA1435">
        <w:rPr>
          <w:i/>
          <w:iCs/>
        </w:rPr>
        <w:t>Molloy v. Vu</w:t>
      </w:r>
      <w:r w:rsidR="00C5381D">
        <w:t xml:space="preserve"> </w:t>
      </w:r>
      <w:r w:rsidRPr="00DA1435">
        <w:t>(2019) 42 Cal.App.5th 746, 753</w:t>
      </w:r>
      <w:r w:rsidRPr="00670116">
        <w:t xml:space="preserve"> </w:t>
      </w:r>
      <w:r>
        <w:t>(</w:t>
      </w:r>
      <w:r w:rsidRPr="00C252E0">
        <w:rPr>
          <w:i/>
          <w:iCs/>
        </w:rPr>
        <w:t>Molloy</w:t>
      </w:r>
      <w:r>
        <w:t xml:space="preserve">) </w:t>
      </w:r>
      <w:r w:rsidRPr="00670116">
        <w:t>[</w:t>
      </w:r>
      <w:r w:rsidRPr="00DA1435">
        <w:t>“</w:t>
      </w:r>
      <w:r w:rsidR="006F5F34">
        <w:t xml:space="preserve"> ‘</w:t>
      </w:r>
      <w:r w:rsidRPr="00DA1435">
        <w:t>[A]n order granting or denying a petition for an extraordinary writ constitutes a final judgment for purposes of an appeal, even if the order is not accompanied by a separate formal judgment</w:t>
      </w:r>
      <w:r w:rsidRPr="00670116">
        <w:t>,</w:t>
      </w:r>
      <w:r w:rsidR="006F5F34">
        <w:t xml:space="preserve">’ </w:t>
      </w:r>
      <w:r w:rsidRPr="00DA1435">
        <w:t>”</w:t>
      </w:r>
      <w:r w:rsidRPr="00670116">
        <w:t xml:space="preserve"> quoting </w:t>
      </w:r>
      <w:r w:rsidRPr="00DA1435">
        <w:rPr>
          <w:i/>
          <w:iCs/>
        </w:rPr>
        <w:t>Public Defenders</w:t>
      </w:r>
      <w:r>
        <w:rPr>
          <w:i/>
          <w:iCs/>
        </w:rPr>
        <w:t>’</w:t>
      </w:r>
      <w:r w:rsidRPr="00DA1435">
        <w:rPr>
          <w:i/>
          <w:iCs/>
        </w:rPr>
        <w:t xml:space="preserve"> Organization v. County of Riv</w:t>
      </w:r>
      <w:r w:rsidRPr="00DA1435">
        <w:rPr>
          <w:i/>
          <w:iCs/>
        </w:rPr>
        <w:t>erside</w:t>
      </w:r>
      <w:r w:rsidR="00C5381D">
        <w:t xml:space="preserve"> </w:t>
      </w:r>
      <w:r w:rsidRPr="00DA1435">
        <w:t>(2003) 106 Cal.App.4th 1403, 1409</w:t>
      </w:r>
      <w:r>
        <w:t xml:space="preserve"> (</w:t>
      </w:r>
      <w:r w:rsidRPr="00DA1435">
        <w:rPr>
          <w:i/>
          <w:iCs/>
        </w:rPr>
        <w:t>Public Defenders</w:t>
      </w:r>
      <w:r>
        <w:rPr>
          <w:i/>
          <w:iCs/>
        </w:rPr>
        <w:t>’</w:t>
      </w:r>
      <w:r w:rsidRPr="00DA1435">
        <w:rPr>
          <w:i/>
          <w:iCs/>
        </w:rPr>
        <w:t xml:space="preserve"> Organization</w:t>
      </w:r>
      <w:r w:rsidRPr="00C252E0">
        <w:t>)</w:t>
      </w:r>
      <w:r>
        <w:t>]</w:t>
      </w:r>
      <w:r w:rsidRPr="00670116">
        <w:t xml:space="preserve">; </w:t>
      </w:r>
      <w:r w:rsidRPr="00670116">
        <w:rPr>
          <w:i/>
          <w:iCs/>
        </w:rPr>
        <w:t>T</w:t>
      </w:r>
      <w:r w:rsidRPr="00B24AF2">
        <w:rPr>
          <w:i/>
          <w:iCs/>
        </w:rPr>
        <w:t>omra Pacific, Inc. v. Chiang</w:t>
      </w:r>
      <w:r w:rsidR="00C5381D">
        <w:t xml:space="preserve"> </w:t>
      </w:r>
      <w:r w:rsidRPr="00B24AF2">
        <w:t>(2011) 199 Cal.App.4th 463, 481–482</w:t>
      </w:r>
      <w:r w:rsidRPr="00670116">
        <w:t xml:space="preserve"> </w:t>
      </w:r>
      <w:r>
        <w:t>(</w:t>
      </w:r>
      <w:r w:rsidRPr="00C252E0">
        <w:rPr>
          <w:i/>
          <w:iCs/>
        </w:rPr>
        <w:t>Tomra</w:t>
      </w:r>
      <w:r>
        <w:rPr>
          <w:i/>
          <w:iCs/>
        </w:rPr>
        <w:t xml:space="preserve"> Pacific</w:t>
      </w:r>
      <w:r w:rsidR="006F5F34">
        <w:rPr>
          <w:i/>
          <w:iCs/>
        </w:rPr>
        <w:t>,</w:t>
      </w:r>
      <w:r>
        <w:rPr>
          <w:i/>
          <w:iCs/>
        </w:rPr>
        <w:t xml:space="preserve"> Inc.</w:t>
      </w:r>
      <w:r>
        <w:t xml:space="preserve">) </w:t>
      </w:r>
      <w:r w:rsidRPr="00670116">
        <w:t>[“</w:t>
      </w:r>
      <w:r w:rsidRPr="00B24AF2">
        <w:t>We note that the order denying the</w:t>
      </w:r>
      <w:r w:rsidRPr="00670116">
        <w:t xml:space="preserve"> </w:t>
      </w:r>
      <w:r w:rsidRPr="00B24AF2">
        <w:t>petitions for a writ of mandate is not termed a judgmen</w:t>
      </w:r>
      <w:r w:rsidRPr="00B24AF2">
        <w:t>t and does not explicitly address the declaratory relief causes of action.</w:t>
      </w:r>
      <w:r>
        <w:t xml:space="preserve">  </w:t>
      </w:r>
      <w:r w:rsidRPr="00B24AF2">
        <w:t>Nevertheless, we are satisfied that the order before us constitutes an appealable final judgment as it left no issue for further consideration</w:t>
      </w:r>
      <w:r w:rsidRPr="00670116">
        <w:t>”].)</w:t>
      </w:r>
    </w:p>
    <w:p w14:paraId="2E29C32A" w14:textId="1BD8E389" w:rsidR="0035691F" w:rsidRDefault="00A62C74" w:rsidP="0035691F">
      <w:r>
        <w:rPr>
          <w:b/>
          <w:bCs/>
        </w:rPr>
        <w:tab/>
      </w:r>
      <w:r>
        <w:t>Published authority also reveals</w:t>
      </w:r>
      <w:r>
        <w:t xml:space="preserve"> an important consequence that follows from this case law.  In a case in which a court has entered a ruling on a writ petition that constitutes a final judgment, any party seeking appellate review of that ruling must timely appeal from </w:t>
      </w:r>
      <w:r w:rsidRPr="00732650">
        <w:rPr>
          <w:i/>
          <w:iCs/>
        </w:rPr>
        <w:t xml:space="preserve">that </w:t>
      </w:r>
      <w:r>
        <w:t>final judgment—</w:t>
      </w:r>
      <w:r>
        <w:t xml:space="preserve">and the time to file a notice of appeal is not restarted by the trial court’s subsequent entry of a document styled as a “judgment” that merely reiterates the prior final judgment.  (See </w:t>
      </w:r>
      <w:r w:rsidRPr="00D400A1">
        <w:rPr>
          <w:i/>
          <w:iCs/>
        </w:rPr>
        <w:t>City of Calexico v. Bergeson</w:t>
      </w:r>
      <w:r w:rsidR="00C5381D">
        <w:t xml:space="preserve"> </w:t>
      </w:r>
      <w:r w:rsidRPr="00D400A1">
        <w:t>(2021) 64 Cal.App.5th 180, 18</w:t>
      </w:r>
      <w:r>
        <w:t>2</w:t>
      </w:r>
      <w:r w:rsidR="00C5381D">
        <w:t>–</w:t>
      </w:r>
      <w:r>
        <w:t>183</w:t>
      </w:r>
      <w:r w:rsidRPr="00D400A1">
        <w:t xml:space="preserve"> </w:t>
      </w:r>
      <w:r>
        <w:t>(</w:t>
      </w:r>
      <w:r w:rsidRPr="00853989">
        <w:rPr>
          <w:i/>
          <w:iCs/>
        </w:rPr>
        <w:t>City</w:t>
      </w:r>
      <w:r>
        <w:t xml:space="preserve"> of </w:t>
      </w:r>
      <w:r w:rsidRPr="00C56215">
        <w:rPr>
          <w:i/>
          <w:iCs/>
        </w:rPr>
        <w:t>Calexico</w:t>
      </w:r>
      <w:r>
        <w:t xml:space="preserve">) </w:t>
      </w:r>
      <w:r w:rsidRPr="00D400A1">
        <w:t>[</w:t>
      </w:r>
      <w:r>
        <w:t>dismissing cross-appeal where party failed to timely appeal from September 24 ruling denying two petitions for writ of mandate that constituted a final judgment and stating, “[t]</w:t>
      </w:r>
      <w:r w:rsidRPr="00180248">
        <w:t xml:space="preserve">he mere fact that the trial </w:t>
      </w:r>
      <w:r w:rsidRPr="00180248">
        <w:lastRenderedPageBreak/>
        <w:t>court entered a subsequent judg</w:t>
      </w:r>
      <w:r w:rsidRPr="00180248">
        <w:t>ment after issuing the September 24 ruling is irrelevant, because the September 24 ruling was itself a final judgment</w:t>
      </w:r>
      <w:r>
        <w:t>” (</w:t>
      </w:r>
      <w:r w:rsidRPr="00732650">
        <w:rPr>
          <w:i/>
          <w:iCs/>
        </w:rPr>
        <w:t>id</w:t>
      </w:r>
      <w:r w:rsidRPr="00F601F8">
        <w:rPr>
          <w:i/>
          <w:iCs/>
        </w:rPr>
        <w:t>.</w:t>
      </w:r>
      <w:r>
        <w:t xml:space="preserve"> at p. 192)</w:t>
      </w:r>
      <w:r w:rsidR="006B055D">
        <w:t>]</w:t>
      </w:r>
      <w:r>
        <w:t xml:space="preserve">; </w:t>
      </w:r>
      <w:r w:rsidRPr="00D400A1">
        <w:rPr>
          <w:i/>
          <w:iCs/>
        </w:rPr>
        <w:t>Laraway v. Pasadena Unified School Dist.</w:t>
      </w:r>
      <w:r w:rsidR="00C5381D">
        <w:t xml:space="preserve"> </w:t>
      </w:r>
      <w:r w:rsidRPr="00D400A1">
        <w:t>(2002) 98 Cal.App.4th 579, 582–583</w:t>
      </w:r>
      <w:r>
        <w:t xml:space="preserve"> </w:t>
      </w:r>
      <w:r w:rsidRPr="00D400A1">
        <w:t>(</w:t>
      </w:r>
      <w:r w:rsidRPr="00D400A1">
        <w:rPr>
          <w:i/>
          <w:iCs/>
        </w:rPr>
        <w:t>Laraway</w:t>
      </w:r>
      <w:r w:rsidRPr="00D400A1">
        <w:t xml:space="preserve">) </w:t>
      </w:r>
      <w:r w:rsidRPr="00732650">
        <w:t>[concluding that an order that “c</w:t>
      </w:r>
      <w:r w:rsidRPr="00732650">
        <w:t>ompletely resolved all issues between all parties” on petitioner</w:t>
      </w:r>
      <w:r>
        <w:t>’</w:t>
      </w:r>
      <w:r w:rsidRPr="00732650">
        <w:t xml:space="preserve">s </w:t>
      </w:r>
      <w:r>
        <w:t>writ petition</w:t>
      </w:r>
      <w:r w:rsidRPr="00732650">
        <w:t xml:space="preserve"> was a final judgment from which no timely appeal was taken and stating that the “[r]ules of [c]ourt do not provide, once a judgment </w:t>
      </w:r>
      <w:r>
        <w:t xml:space="preserve">. . . </w:t>
      </w:r>
      <w:r w:rsidRPr="00732650">
        <w:t>has been entered, .</w:t>
      </w:r>
      <w:r>
        <w:t xml:space="preserve"> </w:t>
      </w:r>
      <w:r w:rsidRPr="00732650">
        <w:t>.</w:t>
      </w:r>
      <w:r>
        <w:t xml:space="preserve"> </w:t>
      </w:r>
      <w:r w:rsidRPr="00732650">
        <w:t>. the time to a</w:t>
      </w:r>
      <w:r w:rsidRPr="00732650">
        <w:t xml:space="preserve">ppeal can be restarted or extended by the filing of a subsequent judgment </w:t>
      </w:r>
      <w:r>
        <w:t xml:space="preserve">. . . </w:t>
      </w:r>
      <w:r w:rsidRPr="00732650">
        <w:t>making the same decision”]</w:t>
      </w:r>
      <w:r>
        <w:t xml:space="preserve">; accord </w:t>
      </w:r>
      <w:r w:rsidRPr="006D393F">
        <w:rPr>
          <w:i/>
          <w:iCs/>
        </w:rPr>
        <w:t>Valero Refining Co</w:t>
      </w:r>
      <w:r w:rsidR="006F5F34">
        <w:rPr>
          <w:i/>
          <w:iCs/>
        </w:rPr>
        <w:t>.—</w:t>
      </w:r>
      <w:r w:rsidRPr="006D393F">
        <w:rPr>
          <w:i/>
          <w:iCs/>
        </w:rPr>
        <w:t>California v. Bay Area Air Quality Management Dist</w:t>
      </w:r>
      <w:r w:rsidR="006F5F34">
        <w:rPr>
          <w:i/>
          <w:iCs/>
        </w:rPr>
        <w:t>.</w:t>
      </w:r>
      <w:r w:rsidRPr="006D393F">
        <w:rPr>
          <w:i/>
          <w:iCs/>
        </w:rPr>
        <w:t xml:space="preserve"> Hearing B</w:t>
      </w:r>
      <w:r w:rsidR="006F5F34">
        <w:rPr>
          <w:i/>
          <w:iCs/>
        </w:rPr>
        <w:t>d.</w:t>
      </w:r>
      <w:r w:rsidR="00C5381D">
        <w:t xml:space="preserve"> </w:t>
      </w:r>
      <w:r w:rsidRPr="006D393F">
        <w:t>(2020)</w:t>
      </w:r>
      <w:r>
        <w:t xml:space="preserve"> </w:t>
      </w:r>
      <w:r w:rsidRPr="006D393F">
        <w:t>49</w:t>
      </w:r>
      <w:r w:rsidR="006F5F34">
        <w:t> </w:t>
      </w:r>
      <w:r w:rsidRPr="006D393F">
        <w:t>Cal.App.5th 618, 633</w:t>
      </w:r>
      <w:r>
        <w:t>, fn.</w:t>
      </w:r>
      <w:r w:rsidR="00C5381D">
        <w:t xml:space="preserve"> </w:t>
      </w:r>
      <w:r w:rsidR="006F5F34">
        <w:t>10</w:t>
      </w:r>
      <w:r w:rsidRPr="006D393F">
        <w:t xml:space="preserve"> </w:t>
      </w:r>
      <w:r w:rsidR="006F5F34">
        <w:t>(</w:t>
      </w:r>
      <w:r w:rsidR="006F5F34" w:rsidRPr="00FC4B02">
        <w:rPr>
          <w:i/>
          <w:iCs/>
        </w:rPr>
        <w:t>Valero</w:t>
      </w:r>
      <w:r w:rsidR="006F5F34">
        <w:t>)</w:t>
      </w:r>
      <w:r w:rsidR="006F5F34" w:rsidRPr="006D393F">
        <w:t xml:space="preserve"> </w:t>
      </w:r>
      <w:r w:rsidRPr="006D393F">
        <w:t>[</w:t>
      </w:r>
      <w:r>
        <w:t>“</w:t>
      </w:r>
      <w:r w:rsidRPr="006D393F">
        <w:t>Contrar</w:t>
      </w:r>
      <w:r w:rsidRPr="006D393F">
        <w:t xml:space="preserve">y to the suggestion by the </w:t>
      </w:r>
      <w:r>
        <w:t>[defendants]</w:t>
      </w:r>
      <w:r w:rsidRPr="006D393F">
        <w:t>, the appealable judgment was the court</w:t>
      </w:r>
      <w:r>
        <w:t>’</w:t>
      </w:r>
      <w:r w:rsidRPr="006D393F">
        <w:t xml:space="preserve">s order granting a writ of mandate, not a </w:t>
      </w:r>
      <w:r>
        <w:t>‘</w:t>
      </w:r>
      <w:r w:rsidRPr="006D393F">
        <w:t>judgment</w:t>
      </w:r>
      <w:r>
        <w:t>’</w:t>
      </w:r>
      <w:r w:rsidRPr="006D393F">
        <w:t xml:space="preserve"> that it subsequently entered</w:t>
      </w:r>
      <w:r>
        <w:t>”].)</w:t>
      </w:r>
    </w:p>
    <w:p w14:paraId="1330DB0E" w14:textId="45425D20" w:rsidR="0035691F" w:rsidRDefault="00A62C74" w:rsidP="0035691F">
      <w:r>
        <w:tab/>
        <w:t xml:space="preserve">In this case, plaintiff Officer David Meinhardt failed to timely appeal from a trial </w:t>
      </w:r>
      <w:r>
        <w:t>court ruling that denied his petition for writ of administrative mandate in its entirety, completely resolved all of the issues in the matter, and contemplated no further judicial action.  Although the ruling was denominated an “order,” (</w:t>
      </w:r>
      <w:r w:rsidR="006F5F34">
        <w:t xml:space="preserve">boldface &amp; </w:t>
      </w:r>
      <w:r>
        <w:t>capital</w:t>
      </w:r>
      <w:r>
        <w:t>ization omitted) it was, under the case law outlined above, a final judgment.  Instead, Meinhardt filed a notice of appeal from a document that the trial court subsequently entered, which was styled as a “judgment,” but merely restated the prior judgment.</w:t>
      </w:r>
    </w:p>
    <w:p w14:paraId="545075C9" w14:textId="537BA960" w:rsidR="0035691F" w:rsidRDefault="00A62C74" w:rsidP="0035691F">
      <w:r>
        <w:tab/>
        <w:t xml:space="preserve">In light of the case law described above, we solicited supplemental briefing from the parties on the timeliness of Officer Meinhardt’s appeal.  In his supplemental brief, Meinhardt contends that to dismiss his appeal would contravene applicable statutory </w:t>
      </w:r>
      <w:r>
        <w:t>language, conflict with certain case law, and be “patently inequitable.”</w:t>
      </w:r>
      <w:r w:rsidR="006F5F34">
        <w:t xml:space="preserve">  (Boldface &amp; italics omitted.)</w:t>
      </w:r>
      <w:r>
        <w:t xml:space="preserve"> </w:t>
      </w:r>
      <w:r w:rsidR="008D408B">
        <w:t xml:space="preserve"> </w:t>
      </w:r>
      <w:r>
        <w:t xml:space="preserve">He further contends </w:t>
      </w:r>
      <w:r>
        <w:lastRenderedPageBreak/>
        <w:t xml:space="preserve">that </w:t>
      </w:r>
      <w:r>
        <w:rPr>
          <w:i/>
          <w:iCs/>
        </w:rPr>
        <w:t>City of Calexico</w:t>
      </w:r>
      <w:r>
        <w:t xml:space="preserve"> is distinguishable and that this c</w:t>
      </w:r>
      <w:r w:rsidRPr="005A405F">
        <w:t xml:space="preserve">ourt </w:t>
      </w:r>
      <w:r>
        <w:t>“</w:t>
      </w:r>
      <w:r w:rsidRPr="005A405F">
        <w:t xml:space="preserve">should resist the impulse to extend </w:t>
      </w:r>
      <w:r w:rsidRPr="005A405F">
        <w:rPr>
          <w:i/>
          <w:iCs/>
        </w:rPr>
        <w:t xml:space="preserve">Laraway’s </w:t>
      </w:r>
      <w:r w:rsidRPr="005A405F">
        <w:t>questionable logic furt</w:t>
      </w:r>
      <w:r w:rsidRPr="005A405F">
        <w:t>her.</w:t>
      </w:r>
      <w:r>
        <w:t>”</w:t>
      </w:r>
    </w:p>
    <w:p w14:paraId="2DC387B9" w14:textId="19CDB7FB" w:rsidR="0035691F" w:rsidRPr="00D400A1" w:rsidRDefault="00A62C74" w:rsidP="0035691F">
      <w:r>
        <w:tab/>
        <w:t xml:space="preserve">While we have carefully considered Officer Meinhardt’s arguments, </w:t>
      </w:r>
      <w:r w:rsidRPr="00254D68">
        <w:rPr>
          <w:i/>
          <w:iCs/>
        </w:rPr>
        <w:t>Laraway</w:t>
      </w:r>
      <w:r>
        <w:t xml:space="preserve"> and </w:t>
      </w:r>
      <w:r>
        <w:rPr>
          <w:i/>
          <w:iCs/>
        </w:rPr>
        <w:t>City of Calexico</w:t>
      </w:r>
      <w:r>
        <w:t xml:space="preserve"> are directly on point and mandate dismissal of his appeal.  We publish our opinion to explain how </w:t>
      </w:r>
      <w:r w:rsidRPr="00CF6F2A">
        <w:rPr>
          <w:i/>
          <w:iCs/>
        </w:rPr>
        <w:t>Dhillon</w:t>
      </w:r>
      <w:r>
        <w:t xml:space="preserve"> supports the conclusion that </w:t>
      </w:r>
      <w:r w:rsidRPr="00254D68">
        <w:rPr>
          <w:i/>
          <w:iCs/>
        </w:rPr>
        <w:t>Laraway</w:t>
      </w:r>
      <w:r>
        <w:t xml:space="preserve"> and </w:t>
      </w:r>
      <w:r>
        <w:rPr>
          <w:i/>
          <w:iCs/>
        </w:rPr>
        <w:t>City of</w:t>
      </w:r>
      <w:r>
        <w:rPr>
          <w:i/>
          <w:iCs/>
        </w:rPr>
        <w:t xml:space="preserve"> Calexico</w:t>
      </w:r>
      <w:r>
        <w:t xml:space="preserve"> were correctly decided, and to reiterate the critical importance of determining whether a ruling on a petition for writ of mandate is a final judgment in seeking appellate review of such a ruling.</w:t>
      </w:r>
    </w:p>
    <w:p w14:paraId="413A86AB" w14:textId="77777777" w:rsidR="0035691F" w:rsidRDefault="00A62C74" w:rsidP="004152C8">
      <w:pPr>
        <w:keepNext/>
        <w:jc w:val="center"/>
      </w:pPr>
      <w:r>
        <w:t>II.</w:t>
      </w:r>
    </w:p>
    <w:p w14:paraId="7D4D2C61" w14:textId="77777777" w:rsidR="0035691F" w:rsidRDefault="00A62C74" w:rsidP="004152C8">
      <w:pPr>
        <w:keepNext/>
        <w:jc w:val="center"/>
      </w:pPr>
      <w:r>
        <w:t>FACTUAL AND PROCEDURAL BACKGROUND</w:t>
      </w:r>
    </w:p>
    <w:p w14:paraId="14AC7269" w14:textId="6F29C713" w:rsidR="0035691F" w:rsidRDefault="00A62C74" w:rsidP="004152C8">
      <w:pPr>
        <w:keepNext/>
      </w:pPr>
      <w:r>
        <w:t xml:space="preserve">A. </w:t>
      </w:r>
      <w:r w:rsidR="009E2A39">
        <w:t xml:space="preserve">  </w:t>
      </w:r>
      <w:r w:rsidRPr="00D73C36">
        <w:rPr>
          <w:i/>
          <w:iCs/>
        </w:rPr>
        <w:t>Office</w:t>
      </w:r>
      <w:r w:rsidRPr="00D73C36">
        <w:rPr>
          <w:i/>
          <w:iCs/>
        </w:rPr>
        <w:t>r</w:t>
      </w:r>
      <w:r>
        <w:t xml:space="preserve"> </w:t>
      </w:r>
      <w:r w:rsidRPr="00D74399">
        <w:rPr>
          <w:i/>
          <w:iCs/>
        </w:rPr>
        <w:t>Meinhardt’s petition for writ of administrative manda</w:t>
      </w:r>
      <w:r>
        <w:rPr>
          <w:i/>
          <w:iCs/>
        </w:rPr>
        <w:t>te</w:t>
      </w:r>
    </w:p>
    <w:p w14:paraId="36ADF2A6" w14:textId="4A1D98CC" w:rsidR="0035691F" w:rsidRDefault="00A62C74" w:rsidP="0035691F">
      <w:r>
        <w:tab/>
        <w:t>In May 2019, Officer Meinhardt filed a petition for writ of administrative mandate pursuant to section 1094.5,</w:t>
      </w:r>
      <w:r>
        <w:rPr>
          <w:rStyle w:val="FootnoteReference"/>
        </w:rPr>
        <w:footnoteReference w:id="2"/>
      </w:r>
      <w:r>
        <w:t xml:space="preserve"> naming the City of Sunnyvale, Sunnyvale Personnel Board (Board) as a defendant and t</w:t>
      </w:r>
      <w:r>
        <w:t>he Sunnyvale Department of Public Safety as the real party in interest.</w:t>
      </w:r>
    </w:p>
    <w:p w14:paraId="4A428F3D" w14:textId="6C7BAA8A" w:rsidR="0035691F" w:rsidRDefault="00A62C74" w:rsidP="0035691F">
      <w:r>
        <w:tab/>
        <w:t>In his petition, Officer Meinhardt sought “</w:t>
      </w:r>
      <w:r w:rsidRPr="00114FBA">
        <w:t xml:space="preserve">to rectify the </w:t>
      </w:r>
      <w:r>
        <w:t xml:space="preserve">. . . </w:t>
      </w:r>
      <w:r w:rsidRPr="00114FBA">
        <w:t>Board’s abuse of</w:t>
      </w:r>
      <w:r>
        <w:t xml:space="preserve"> </w:t>
      </w:r>
      <w:r w:rsidRPr="00114FBA">
        <w:t xml:space="preserve">discretion and misapplication of law in upholding a forty-four (44) hour suspension against </w:t>
      </w:r>
      <w:r>
        <w:t>[him]</w:t>
      </w:r>
      <w:r w:rsidRPr="00114FBA">
        <w:t xml:space="preserve"> for </w:t>
      </w:r>
      <w:r w:rsidRPr="00114FBA">
        <w:t>engaging in speech that was critical of</w:t>
      </w:r>
      <w:r>
        <w:t xml:space="preserve"> </w:t>
      </w:r>
      <w:r w:rsidRPr="00114FBA">
        <w:t>policies implemented by the new Department Chief</w:t>
      </w:r>
      <w:r>
        <w:t xml:space="preserve"> . . . </w:t>
      </w:r>
      <w:r w:rsidRPr="00114FBA">
        <w:t>.</w:t>
      </w:r>
      <w:r>
        <w:t>”</w:t>
      </w:r>
    </w:p>
    <w:p w14:paraId="767DF531" w14:textId="343798EF" w:rsidR="0035691F" w:rsidRDefault="00A62C74" w:rsidP="0035691F">
      <w:r>
        <w:tab/>
        <w:t>After the Board filed an answer to the petition and lodged the administrative record, the parties filed briefs on the petition.</w:t>
      </w:r>
    </w:p>
    <w:p w14:paraId="5934576E" w14:textId="056881E3" w:rsidR="0035691F" w:rsidRDefault="00A62C74" w:rsidP="009E2A39">
      <w:pPr>
        <w:keepNext/>
        <w:tabs>
          <w:tab w:val="left" w:pos="450"/>
        </w:tabs>
        <w:spacing w:line="240" w:lineRule="auto"/>
      </w:pPr>
      <w:r>
        <w:lastRenderedPageBreak/>
        <w:t xml:space="preserve">B. </w:t>
      </w:r>
      <w:r w:rsidR="009E2A39">
        <w:t xml:space="preserve">  </w:t>
      </w:r>
      <w:r w:rsidRPr="00596CF1">
        <w:rPr>
          <w:i/>
          <w:iCs/>
        </w:rPr>
        <w:t xml:space="preserve">The </w:t>
      </w:r>
      <w:r>
        <w:rPr>
          <w:i/>
          <w:iCs/>
        </w:rPr>
        <w:t xml:space="preserve">trial court’s </w:t>
      </w:r>
      <w:r w:rsidRPr="00596CF1">
        <w:rPr>
          <w:i/>
          <w:iCs/>
        </w:rPr>
        <w:t xml:space="preserve">August 6, 2020 ruling denying </w:t>
      </w:r>
      <w:r w:rsidRPr="00B87279">
        <w:rPr>
          <w:i/>
          <w:iCs/>
        </w:rPr>
        <w:t>Officer</w:t>
      </w:r>
      <w:r w:rsidRPr="00596CF1">
        <w:rPr>
          <w:i/>
          <w:iCs/>
        </w:rPr>
        <w:t xml:space="preserve"> Meinhardt’s writ </w:t>
      </w:r>
      <w:r w:rsidR="009E2A39">
        <w:rPr>
          <w:i/>
          <w:iCs/>
        </w:rPr>
        <w:tab/>
      </w:r>
      <w:r w:rsidRPr="00596CF1">
        <w:rPr>
          <w:i/>
          <w:iCs/>
        </w:rPr>
        <w:t>petition</w:t>
      </w:r>
      <w:r w:rsidRPr="006B055D">
        <w:rPr>
          <w:i/>
          <w:iCs/>
        </w:rPr>
        <w:t xml:space="preserve"> and </w:t>
      </w:r>
      <w:r w:rsidRPr="00122157">
        <w:rPr>
          <w:i/>
          <w:iCs/>
        </w:rPr>
        <w:t>t</w:t>
      </w:r>
      <w:r w:rsidRPr="00E257EE">
        <w:rPr>
          <w:i/>
          <w:iCs/>
        </w:rPr>
        <w:t xml:space="preserve">he clerk’s service of </w:t>
      </w:r>
      <w:r>
        <w:rPr>
          <w:i/>
          <w:iCs/>
        </w:rPr>
        <w:t>that</w:t>
      </w:r>
      <w:r w:rsidRPr="00E257EE">
        <w:rPr>
          <w:i/>
          <w:iCs/>
        </w:rPr>
        <w:t xml:space="preserve"> ruling</w:t>
      </w:r>
    </w:p>
    <w:p w14:paraId="480AEFE7" w14:textId="77777777" w:rsidR="0035691F" w:rsidRDefault="0035691F" w:rsidP="009E2A39">
      <w:pPr>
        <w:keepNext/>
        <w:spacing w:line="240" w:lineRule="auto"/>
      </w:pPr>
    </w:p>
    <w:p w14:paraId="66A23BB2" w14:textId="2422D125" w:rsidR="0035691F" w:rsidRDefault="00A62C74" w:rsidP="0035691F">
      <w:r>
        <w:tab/>
        <w:t>In May 2020, the trial court held a telephonic hearing on</w:t>
      </w:r>
      <w:r w:rsidRPr="00B87279">
        <w:t xml:space="preserve"> </w:t>
      </w:r>
      <w:r>
        <w:t>Officer Meinhardt’s writ petition.</w:t>
      </w:r>
      <w:r>
        <w:rPr>
          <w:rStyle w:val="FootnoteReference"/>
        </w:rPr>
        <w:footnoteReference w:id="3"/>
      </w:r>
      <w:r>
        <w:t xml:space="preserve"> </w:t>
      </w:r>
      <w:r w:rsidR="008D408B">
        <w:t xml:space="preserve"> </w:t>
      </w:r>
      <w:r>
        <w:t xml:space="preserve">On August 6, 2020, the trial court </w:t>
      </w:r>
      <w:r>
        <w:t>issued a signed ruling titled “</w:t>
      </w:r>
      <w:r w:rsidRPr="006F5F34">
        <w:rPr>
          <w:b/>
          <w:bCs/>
        </w:rPr>
        <w:t>ORDER</w:t>
      </w:r>
      <w:r>
        <w:t>” denying Meinhardt’s petition for writ of administrative mandate in its entirety.</w:t>
      </w:r>
    </w:p>
    <w:p w14:paraId="78D90024" w14:textId="2A5C9463" w:rsidR="0035691F" w:rsidRDefault="00A62C74" w:rsidP="0035691F">
      <w:r>
        <w:tab/>
        <w:t>At the outset of the ruling, the trial court described the telephonic hearing on the petition and stated, “</w:t>
      </w:r>
      <w:r w:rsidRPr="00AD3BC1">
        <w:t>After consideration of the pl</w:t>
      </w:r>
      <w:r w:rsidRPr="00AD3BC1">
        <w:t>eadings, the exhibits (including the administrative</w:t>
      </w:r>
      <w:r>
        <w:t xml:space="preserve"> </w:t>
      </w:r>
      <w:r w:rsidRPr="00AD3BC1">
        <w:t>record), the authorities cited by counsel in their briefs and the arguments made by counsel at the</w:t>
      </w:r>
      <w:r>
        <w:t xml:space="preserve"> </w:t>
      </w:r>
      <w:r w:rsidRPr="00AD3BC1">
        <w:t>hearing, and no party having requested a statement of decision, the Court issues the following</w:t>
      </w:r>
      <w:r>
        <w:t xml:space="preserve"> </w:t>
      </w:r>
      <w:r w:rsidRPr="00AD3BC1">
        <w:t>order.</w:t>
      </w:r>
      <w:r>
        <w:t>”</w:t>
      </w:r>
      <w:r w:rsidR="008D408B">
        <w:t xml:space="preserve"> </w:t>
      </w:r>
      <w:r>
        <w:t xml:space="preserve"> T</w:t>
      </w:r>
      <w:r>
        <w:t xml:space="preserve">he court proceeded to address the merits of the petition for several pages, and concluded its ruling by stating, “Accordingly, the Petition for Writ of </w:t>
      </w:r>
      <w:r w:rsidR="006F5F34">
        <w:t>A</w:t>
      </w:r>
      <w:r>
        <w:t>dministrative Mandamus is DENIED.”</w:t>
      </w:r>
    </w:p>
    <w:p w14:paraId="37E7552C" w14:textId="16344E03" w:rsidR="0035691F" w:rsidRDefault="00A62C74" w:rsidP="0035691F">
      <w:r>
        <w:tab/>
        <w:t>That same day, the clerk of court served the August 6 ruling denyin</w:t>
      </w:r>
      <w:r>
        <w:t>g the petition for writ of mandate on the parties by mail.</w:t>
      </w:r>
      <w:r w:rsidR="008D408B">
        <w:t xml:space="preserve"> </w:t>
      </w:r>
      <w:r>
        <w:t xml:space="preserve"> The clerk’s service of the ruling is memorialized in the record by a proof of service.</w:t>
      </w:r>
      <w:r>
        <w:rPr>
          <w:rStyle w:val="FootnoteReference"/>
        </w:rPr>
        <w:footnoteReference w:id="4"/>
      </w:r>
    </w:p>
    <w:p w14:paraId="40BB48A2" w14:textId="4460F6E7" w:rsidR="0035691F" w:rsidRDefault="00A62C74" w:rsidP="004152C8">
      <w:pPr>
        <w:keepNext/>
      </w:pPr>
      <w:r>
        <w:lastRenderedPageBreak/>
        <w:t xml:space="preserve">C. </w:t>
      </w:r>
      <w:r w:rsidR="009E2A39">
        <w:t xml:space="preserve">  </w:t>
      </w:r>
      <w:r>
        <w:rPr>
          <w:i/>
          <w:iCs/>
        </w:rPr>
        <w:t xml:space="preserve">The Board’s </w:t>
      </w:r>
      <w:r w:rsidRPr="000A3EF5">
        <w:rPr>
          <w:i/>
          <w:iCs/>
        </w:rPr>
        <w:t xml:space="preserve">August 14 </w:t>
      </w:r>
      <w:r w:rsidR="00681F3D">
        <w:rPr>
          <w:i/>
          <w:iCs/>
        </w:rPr>
        <w:t>n</w:t>
      </w:r>
      <w:r w:rsidRPr="000A3EF5">
        <w:rPr>
          <w:i/>
          <w:iCs/>
        </w:rPr>
        <w:t xml:space="preserve">otice of </w:t>
      </w:r>
      <w:r w:rsidR="00681F3D">
        <w:rPr>
          <w:i/>
          <w:iCs/>
        </w:rPr>
        <w:t>e</w:t>
      </w:r>
      <w:r w:rsidRPr="000A3EF5">
        <w:rPr>
          <w:i/>
          <w:iCs/>
        </w:rPr>
        <w:t>ntry</w:t>
      </w:r>
    </w:p>
    <w:p w14:paraId="6BDE4BE9" w14:textId="6FA196A3" w:rsidR="0035691F" w:rsidRDefault="00A62C74" w:rsidP="0035691F">
      <w:r>
        <w:tab/>
        <w:t>On August 14, the Board electronically served Officer Meinhardt</w:t>
      </w:r>
      <w:r>
        <w:t xml:space="preserve"> with a document titled “Notice of Entry of Judgment or Order,” together with a file-stamped copy of the August 6 order.</w:t>
      </w:r>
    </w:p>
    <w:p w14:paraId="4A131A69" w14:textId="7DD8B4CD" w:rsidR="0035691F" w:rsidRDefault="00A62C74" w:rsidP="004152C8">
      <w:pPr>
        <w:keepNext/>
      </w:pPr>
      <w:r>
        <w:t xml:space="preserve">D. </w:t>
      </w:r>
      <w:r w:rsidR="009E2A39">
        <w:t xml:space="preserve">  </w:t>
      </w:r>
      <w:r w:rsidRPr="00B50614">
        <w:rPr>
          <w:i/>
          <w:iCs/>
        </w:rPr>
        <w:t>The September 25 “judgment”</w:t>
      </w:r>
    </w:p>
    <w:p w14:paraId="59E91638" w14:textId="77777777" w:rsidR="0035691F" w:rsidRDefault="00A62C74" w:rsidP="0035691F">
      <w:r>
        <w:tab/>
        <w:t xml:space="preserve">On September 25, 2020, the clerk filed a document signed by the trial court on September 17 </w:t>
      </w:r>
      <w:r>
        <w:t>titled “</w:t>
      </w:r>
      <w:r w:rsidRPr="00B50614">
        <w:rPr>
          <w:b/>
          <w:bCs/>
        </w:rPr>
        <w:t>JUDGMENT</w:t>
      </w:r>
      <w:r>
        <w:t>,” that states:</w:t>
      </w:r>
    </w:p>
    <w:p w14:paraId="5E0647A5" w14:textId="23293FAD" w:rsidR="0035691F" w:rsidRDefault="00A62C74" w:rsidP="0035691F">
      <w:pPr>
        <w:pStyle w:val="IndentedQuote"/>
      </w:pPr>
      <w:r>
        <w:t>“</w:t>
      </w:r>
      <w:r w:rsidRPr="00B50614">
        <w:t>On August 6, 2020, the Court issued an Order Denying Petitioner David Meinhardt</w:t>
      </w:r>
      <w:r w:rsidRPr="00B50614">
        <w:rPr>
          <w:rFonts w:hint="cs"/>
        </w:rPr>
        <w:t>’</w:t>
      </w:r>
      <w:r w:rsidRPr="00B50614">
        <w:t>s</w:t>
      </w:r>
      <w:r>
        <w:t xml:space="preserve"> </w:t>
      </w:r>
      <w:r w:rsidRPr="00B50614">
        <w:t>Petition for Writ of Administrative Mandamus pursuant to California Code of Civil Procedure</w:t>
      </w:r>
      <w:r>
        <w:t xml:space="preserve"> </w:t>
      </w:r>
      <w:r w:rsidRPr="00B50614">
        <w:t>1094.5, which is attached hereto as Exhibit</w:t>
      </w:r>
      <w:r w:rsidR="00C5381D">
        <w:t> </w:t>
      </w:r>
      <w:r w:rsidRPr="00B50614">
        <w:t>A.</w:t>
      </w:r>
      <w:r>
        <w:t xml:space="preserve">  </w:t>
      </w:r>
      <w:r w:rsidRPr="00B50614">
        <w:t>F</w:t>
      </w:r>
      <w:r w:rsidRPr="00B50614">
        <w:t>or the reasons set forth in the Order, the Court</w:t>
      </w:r>
      <w:r>
        <w:t xml:space="preserve"> </w:t>
      </w:r>
      <w:r w:rsidRPr="00B50614">
        <w:t>hereby enters Judgment for Respondents City of Sunnyvale, et al., and against Petitioner David</w:t>
      </w:r>
      <w:r>
        <w:t xml:space="preserve"> </w:t>
      </w:r>
      <w:r w:rsidRPr="00B50614">
        <w:t>Meinhardt, who shall take nothing by this action.</w:t>
      </w:r>
    </w:p>
    <w:p w14:paraId="31F774F6" w14:textId="77777777" w:rsidR="0035691F" w:rsidRPr="00B50614" w:rsidRDefault="0035691F" w:rsidP="0035691F">
      <w:pPr>
        <w:pStyle w:val="IndentedQuote"/>
      </w:pPr>
    </w:p>
    <w:p w14:paraId="7D4ECA0B" w14:textId="77777777" w:rsidR="0035691F" w:rsidRDefault="00A62C74" w:rsidP="0035691F">
      <w:pPr>
        <w:pStyle w:val="IndentedQuote"/>
      </w:pPr>
      <w:r>
        <w:t>“</w:t>
      </w:r>
      <w:r w:rsidRPr="00B50614">
        <w:t>IT IS SO ORDERED, ADJUDGED AND DECREED.</w:t>
      </w:r>
      <w:r>
        <w:t>”</w:t>
      </w:r>
    </w:p>
    <w:p w14:paraId="52AA0F8A" w14:textId="77777777" w:rsidR="0035691F" w:rsidRDefault="0035691F" w:rsidP="0035691F">
      <w:pPr>
        <w:pStyle w:val="IndentedQuote"/>
      </w:pPr>
    </w:p>
    <w:p w14:paraId="61231199" w14:textId="251CEB58" w:rsidR="0035691F" w:rsidRDefault="00A62C74" w:rsidP="0035691F">
      <w:r>
        <w:tab/>
        <w:t>The August 6 ruli</w:t>
      </w:r>
      <w:r>
        <w:t>ng denying Officer Meinhardt’s petition for writ of administrative mandate was attached to the September 25 “judgment.”</w:t>
      </w:r>
      <w:r>
        <w:rPr>
          <w:rStyle w:val="FootnoteReference"/>
        </w:rPr>
        <w:footnoteReference w:id="5"/>
      </w:r>
    </w:p>
    <w:p w14:paraId="19670D13" w14:textId="0FF763DF" w:rsidR="0035691F" w:rsidRDefault="00A62C74" w:rsidP="009E2A39">
      <w:pPr>
        <w:keepNext/>
      </w:pPr>
      <w:r>
        <w:lastRenderedPageBreak/>
        <w:t xml:space="preserve">E. </w:t>
      </w:r>
      <w:r w:rsidR="009E2A39">
        <w:t xml:space="preserve">  </w:t>
      </w:r>
      <w:r w:rsidRPr="008513BA">
        <w:rPr>
          <w:i/>
          <w:iCs/>
        </w:rPr>
        <w:t>Officer</w:t>
      </w:r>
      <w:r w:rsidRPr="00596CF1">
        <w:rPr>
          <w:i/>
          <w:iCs/>
        </w:rPr>
        <w:t xml:space="preserve"> Meinhardt’s appeal</w:t>
      </w:r>
    </w:p>
    <w:p w14:paraId="216D5A5C" w14:textId="617D59D2" w:rsidR="0035691F" w:rsidRDefault="00A62C74" w:rsidP="0035691F">
      <w:r>
        <w:tab/>
        <w:t>On October 15, 2020, Officer Meinhardt filed a notice of appeal that stated that he was appealing fro</w:t>
      </w:r>
      <w:r>
        <w:t>m the September 17, 2020</w:t>
      </w:r>
      <w:r>
        <w:rPr>
          <w:rStyle w:val="FootnoteReference"/>
        </w:rPr>
        <w:footnoteReference w:id="6"/>
      </w:r>
      <w:r>
        <w:t xml:space="preserve"> “judgment” denying his petition for writ of administrative mandate.</w:t>
      </w:r>
    </w:p>
    <w:p w14:paraId="7B3047B2" w14:textId="31D70DA9" w:rsidR="0035691F" w:rsidRDefault="00A62C74" w:rsidP="004152C8">
      <w:pPr>
        <w:keepNext/>
      </w:pPr>
      <w:r>
        <w:t>F.</w:t>
      </w:r>
      <w:r w:rsidR="009E2A39">
        <w:t xml:space="preserve">  </w:t>
      </w:r>
      <w:r>
        <w:t xml:space="preserve"> </w:t>
      </w:r>
      <w:r w:rsidRPr="00596CF1">
        <w:rPr>
          <w:i/>
          <w:iCs/>
        </w:rPr>
        <w:t>The parties’ supplemental briefs</w:t>
      </w:r>
    </w:p>
    <w:p w14:paraId="063B746C" w14:textId="77777777" w:rsidR="0035691F" w:rsidRDefault="00A62C74" w:rsidP="0035691F">
      <w:r>
        <w:tab/>
        <w:t>While this appeal was pending, this court sent the parties a letter soliciting supplemental briefing.  The letter stated i</w:t>
      </w:r>
      <w:r>
        <w:t>n relevant part:</w:t>
      </w:r>
    </w:p>
    <w:p w14:paraId="699C4A3A" w14:textId="77777777" w:rsidR="00531637" w:rsidRDefault="00A62C74" w:rsidP="0035691F">
      <w:pPr>
        <w:pStyle w:val="IndentedQuote"/>
      </w:pPr>
      <w:r>
        <w:t>“</w:t>
      </w:r>
      <w:r w:rsidRPr="00596CF1">
        <w:t>The parties are directed to file simultaneous supplemental letter briefs, no longer than five single-spaced pages, answering the following question:</w:t>
      </w:r>
    </w:p>
    <w:p w14:paraId="635EBAD7" w14:textId="77777777" w:rsidR="00531637" w:rsidRDefault="00531637" w:rsidP="0035691F">
      <w:pPr>
        <w:pStyle w:val="IndentedQuote"/>
      </w:pPr>
    </w:p>
    <w:p w14:paraId="36415CAF" w14:textId="77777777" w:rsidR="00C5381D" w:rsidRDefault="00A62C74" w:rsidP="0035691F">
      <w:pPr>
        <w:pStyle w:val="IndentedQuote"/>
      </w:pPr>
      <w:r>
        <w:t>“</w:t>
      </w:r>
      <w:r w:rsidRPr="00596CF1">
        <w:t xml:space="preserve">Was </w:t>
      </w:r>
      <w:r>
        <w:t>[Officer Meinhardt’s]</w:t>
      </w:r>
      <w:r w:rsidRPr="00596CF1">
        <w:t xml:space="preserve"> October 15, 2020 notice of appeal timely filed in this case?</w:t>
      </w:r>
    </w:p>
    <w:p w14:paraId="446C0B06" w14:textId="77777777" w:rsidR="00C5381D" w:rsidRDefault="00C5381D" w:rsidP="0035691F">
      <w:pPr>
        <w:pStyle w:val="IndentedQuote"/>
      </w:pPr>
    </w:p>
    <w:p w14:paraId="31EE1758" w14:textId="1E624B78" w:rsidR="0035691F" w:rsidRDefault="00A62C74" w:rsidP="0035691F">
      <w:pPr>
        <w:pStyle w:val="IndentedQuote"/>
      </w:pPr>
      <w:r>
        <w:t>“</w:t>
      </w:r>
      <w:r w:rsidRPr="00596CF1">
        <w:t xml:space="preserve">In answering this question, the parties are directed to discuss </w:t>
      </w:r>
      <w:r>
        <w:t>[</w:t>
      </w:r>
      <w:r>
        <w:rPr>
          <w:i/>
          <w:iCs/>
        </w:rPr>
        <w:t>City of Calexico, supra</w:t>
      </w:r>
      <w:r w:rsidRPr="00A30291">
        <w:t>,</w:t>
      </w:r>
      <w:r w:rsidRPr="00465B22">
        <w:t>]</w:t>
      </w:r>
      <w:r>
        <w:t xml:space="preserve"> </w:t>
      </w:r>
      <w:r w:rsidRPr="00596CF1">
        <w:t xml:space="preserve">64 Cal.App.5th 180. </w:t>
      </w:r>
      <w:r>
        <w:t xml:space="preserve"> </w:t>
      </w:r>
      <w:r w:rsidRPr="00596CF1">
        <w:t xml:space="preserve">(See </w:t>
      </w:r>
      <w:r w:rsidRPr="00596CF1">
        <w:rPr>
          <w:i/>
          <w:iCs/>
        </w:rPr>
        <w:t>id</w:t>
      </w:r>
      <w:r w:rsidRPr="00F601F8">
        <w:rPr>
          <w:i/>
          <w:iCs/>
        </w:rPr>
        <w:t>.</w:t>
      </w:r>
      <w:r w:rsidRPr="00596CF1">
        <w:t xml:space="preserve"> at pp. 185</w:t>
      </w:r>
      <w:r w:rsidR="00C5381D">
        <w:t>–</w:t>
      </w:r>
      <w:r w:rsidRPr="00596CF1">
        <w:t xml:space="preserve">195 [explaining that </w:t>
      </w:r>
      <w:r w:rsidR="006F5F34">
        <w:t>“</w:t>
      </w:r>
      <w:r w:rsidRPr="00596CF1">
        <w:t xml:space="preserve">[a]n order granting or denying a petition for writ of mandate that disposes of all of the </w:t>
      </w:r>
      <w:r w:rsidRPr="00596CF1">
        <w:t>claims between the parties is an immediately appealable final judgment,</w:t>
      </w:r>
      <w:r w:rsidR="006F5F34">
        <w:t>”</w:t>
      </w:r>
      <w:r w:rsidRPr="00596CF1">
        <w:t xml:space="preserve"> (</w:t>
      </w:r>
      <w:r w:rsidRPr="00596CF1">
        <w:rPr>
          <w:i/>
          <w:iCs/>
        </w:rPr>
        <w:t>id</w:t>
      </w:r>
      <w:r w:rsidRPr="00F601F8">
        <w:rPr>
          <w:i/>
          <w:iCs/>
        </w:rPr>
        <w:t>.</w:t>
      </w:r>
      <w:r w:rsidRPr="00596CF1">
        <w:t xml:space="preserve"> at p. 190) and concluding that a clerk</w:t>
      </w:r>
      <w:r w:rsidR="009267E4">
        <w:t>’</w:t>
      </w:r>
      <w:r w:rsidRPr="00596CF1">
        <w:t>s service of a file-endorsed ruling denying petitions for writ of mandate and an accompanying dated declaration of service triggered the 60</w:t>
      </w:r>
      <w:r w:rsidRPr="00596CF1">
        <w:t>-day period to appeal set forth in California Rules of Court, rule 8.104(a)(1)].)</w:t>
      </w:r>
      <w:r>
        <w:t>”</w:t>
      </w:r>
    </w:p>
    <w:p w14:paraId="16026915" w14:textId="77777777" w:rsidR="0035691F" w:rsidRDefault="0035691F" w:rsidP="0035691F">
      <w:pPr>
        <w:pStyle w:val="IndentedQuote"/>
      </w:pPr>
    </w:p>
    <w:p w14:paraId="7586037F" w14:textId="0E1AF046" w:rsidR="0035691F" w:rsidRDefault="00A62C74" w:rsidP="0035691F">
      <w:r>
        <w:tab/>
        <w:t>Officer Meinhardt and the Board each filed a supplemental brief responsive to our request.</w:t>
      </w:r>
    </w:p>
    <w:p w14:paraId="31411A2C" w14:textId="77777777" w:rsidR="0035691F" w:rsidRDefault="00A62C74" w:rsidP="009E2A39">
      <w:pPr>
        <w:keepNext/>
        <w:jc w:val="center"/>
      </w:pPr>
      <w:r>
        <w:lastRenderedPageBreak/>
        <w:t>III.</w:t>
      </w:r>
    </w:p>
    <w:p w14:paraId="2995C75A" w14:textId="77777777" w:rsidR="0035691F" w:rsidRDefault="00A62C74" w:rsidP="009E2A39">
      <w:pPr>
        <w:keepNext/>
        <w:jc w:val="center"/>
      </w:pPr>
      <w:r>
        <w:t>DISCUSSION</w:t>
      </w:r>
    </w:p>
    <w:p w14:paraId="720D9877" w14:textId="77777777" w:rsidR="0035691F" w:rsidRDefault="00A62C74" w:rsidP="009E2A39">
      <w:pPr>
        <w:keepNext/>
        <w:jc w:val="center"/>
        <w:rPr>
          <w:i/>
          <w:iCs/>
        </w:rPr>
      </w:pPr>
      <w:r>
        <w:rPr>
          <w:i/>
          <w:iCs/>
        </w:rPr>
        <w:t xml:space="preserve">Officer </w:t>
      </w:r>
      <w:r w:rsidRPr="00E074FA">
        <w:rPr>
          <w:i/>
          <w:iCs/>
        </w:rPr>
        <w:t xml:space="preserve">Meinhardt’s appeal is untimely and must be </w:t>
      </w:r>
      <w:r w:rsidRPr="00E074FA">
        <w:rPr>
          <w:i/>
          <w:iCs/>
        </w:rPr>
        <w:t>dismissed</w:t>
      </w:r>
    </w:p>
    <w:p w14:paraId="0E9F0618" w14:textId="13184D43" w:rsidR="0035691F" w:rsidRDefault="00A62C74" w:rsidP="0035691F">
      <w:r>
        <w:tab/>
      </w:r>
      <w:r w:rsidRPr="00E074FA">
        <w:t xml:space="preserve">We must consider, sua sponte, whether we have appellate jurisdiction over </w:t>
      </w:r>
      <w:r>
        <w:t xml:space="preserve">Officer Meinhardt’s </w:t>
      </w:r>
      <w:r w:rsidRPr="00E074FA">
        <w:t xml:space="preserve">appeal. </w:t>
      </w:r>
      <w:r>
        <w:t xml:space="preserve"> </w:t>
      </w:r>
      <w:r w:rsidRPr="00E074FA">
        <w:t>(E.g.,</w:t>
      </w:r>
      <w:r w:rsidR="00C5381D">
        <w:t xml:space="preserve"> </w:t>
      </w:r>
      <w:r w:rsidRPr="00E074FA">
        <w:rPr>
          <w:i/>
          <w:iCs/>
        </w:rPr>
        <w:t>Drum v. Superior Court</w:t>
      </w:r>
      <w:r w:rsidR="00C5381D">
        <w:t xml:space="preserve"> </w:t>
      </w:r>
      <w:r w:rsidRPr="00E074FA">
        <w:t>(2006) 139</w:t>
      </w:r>
      <w:r w:rsidR="00C5381D">
        <w:t> </w:t>
      </w:r>
      <w:r w:rsidRPr="00E074FA">
        <w:t>Cal.App.4th 845, 849 [“because the timeliness of an appeal poses a jurisdictional issue, we must rais</w:t>
      </w:r>
      <w:r w:rsidRPr="00E074FA">
        <w:t>e the point sua sponte”].)</w:t>
      </w:r>
    </w:p>
    <w:p w14:paraId="05B979C0" w14:textId="0AE9B09A" w:rsidR="0035691F" w:rsidRDefault="00A62C74" w:rsidP="004152C8">
      <w:pPr>
        <w:keepNext/>
        <w:rPr>
          <w:i/>
          <w:iCs/>
        </w:rPr>
      </w:pPr>
      <w:r>
        <w:t xml:space="preserve">A. </w:t>
      </w:r>
      <w:r w:rsidR="009E2A39">
        <w:t xml:space="preserve">  </w:t>
      </w:r>
      <w:r w:rsidRPr="00E074FA">
        <w:rPr>
          <w:i/>
          <w:iCs/>
        </w:rPr>
        <w:t>Governing law</w:t>
      </w:r>
    </w:p>
    <w:p w14:paraId="3780629D" w14:textId="5A97FD8B" w:rsidR="0035691F" w:rsidRPr="00B477A7" w:rsidRDefault="00A62C74" w:rsidP="004152C8">
      <w:pPr>
        <w:keepNext/>
        <w:rPr>
          <w:i/>
          <w:iCs/>
        </w:rPr>
      </w:pPr>
      <w:r>
        <w:tab/>
        <w:t xml:space="preserve">1.   </w:t>
      </w:r>
      <w:r w:rsidRPr="00CA479A">
        <w:rPr>
          <w:i/>
          <w:iCs/>
        </w:rPr>
        <w:t>The</w:t>
      </w:r>
      <w:r>
        <w:t xml:space="preserve"> </w:t>
      </w:r>
      <w:r w:rsidRPr="00B477A7">
        <w:rPr>
          <w:i/>
          <w:iCs/>
        </w:rPr>
        <w:t xml:space="preserve">time within which </w:t>
      </w:r>
      <w:r>
        <w:rPr>
          <w:i/>
          <w:iCs/>
        </w:rPr>
        <w:t xml:space="preserve">a party must </w:t>
      </w:r>
      <w:r w:rsidRPr="00B477A7">
        <w:rPr>
          <w:i/>
          <w:iCs/>
        </w:rPr>
        <w:t>file a notice of appeal</w:t>
      </w:r>
    </w:p>
    <w:p w14:paraId="5353ECC9" w14:textId="77777777" w:rsidR="0035691F" w:rsidRDefault="00A62C74" w:rsidP="0035691F">
      <w:r>
        <w:tab/>
        <w:t>California Rules of Court, rule 8.104(a)</w:t>
      </w:r>
      <w:r>
        <w:rPr>
          <w:rStyle w:val="FootnoteReference"/>
        </w:rPr>
        <w:footnoteReference w:id="7"/>
      </w:r>
      <w:r>
        <w:t xml:space="preserve"> specifies the time within which a party must file a notice of appeal and provides in relevant part:</w:t>
      </w:r>
    </w:p>
    <w:p w14:paraId="55AFCD5C" w14:textId="77777777" w:rsidR="0035691F" w:rsidRDefault="00A62C74" w:rsidP="0035691F">
      <w:pPr>
        <w:pStyle w:val="IndentedQuote"/>
      </w:pPr>
      <w:r>
        <w:t>“</w:t>
      </w:r>
      <w:r w:rsidRPr="00B477A7">
        <w:t>(a) Normal time</w:t>
      </w:r>
    </w:p>
    <w:p w14:paraId="5466234E" w14:textId="77777777" w:rsidR="0035691F" w:rsidRPr="00B477A7" w:rsidRDefault="0035691F" w:rsidP="0035691F">
      <w:pPr>
        <w:pStyle w:val="IndentedQuote"/>
      </w:pPr>
    </w:p>
    <w:p w14:paraId="6D653BDA" w14:textId="2658B013" w:rsidR="0035691F" w:rsidRDefault="00A62C74" w:rsidP="0035691F">
      <w:pPr>
        <w:pStyle w:val="IndentedQuote"/>
      </w:pPr>
      <w:r>
        <w:t>“(1) . . . [A]</w:t>
      </w:r>
      <w:r w:rsidRPr="00B477A7">
        <w:t xml:space="preserve"> notice of appeal must be filed on or before the earliest of:</w:t>
      </w:r>
    </w:p>
    <w:p w14:paraId="5FB61633" w14:textId="77777777" w:rsidR="0035691F" w:rsidRPr="00B477A7" w:rsidRDefault="0035691F" w:rsidP="0035691F">
      <w:pPr>
        <w:pStyle w:val="IndentedQuote"/>
      </w:pPr>
    </w:p>
    <w:p w14:paraId="677E940B" w14:textId="678D8E29" w:rsidR="0035691F" w:rsidRPr="00B477A7" w:rsidRDefault="00A62C74" w:rsidP="006F5F34">
      <w:pPr>
        <w:pStyle w:val="IndentedQuote"/>
        <w:ind w:left="1440"/>
      </w:pPr>
      <w:r>
        <w:t>“</w:t>
      </w:r>
      <w:r w:rsidRPr="00B477A7">
        <w:t xml:space="preserve">(A) 60 days after the superior court clerk serves on the party filing the notice of appeal a document entitled </w:t>
      </w:r>
      <w:r w:rsidR="006F5F34">
        <w:t>‘</w:t>
      </w:r>
      <w:r w:rsidRPr="00B477A7">
        <w:t>Notice of Entry</w:t>
      </w:r>
      <w:r w:rsidR="006F5F34">
        <w:t>’</w:t>
      </w:r>
      <w:r w:rsidRPr="00B477A7">
        <w:t xml:space="preserve"> of judgment or a filed-endorsed copy of the judgment, showing the date either was served;</w:t>
      </w:r>
    </w:p>
    <w:p w14:paraId="7E024AF3" w14:textId="77777777" w:rsidR="0035691F" w:rsidRDefault="0035691F" w:rsidP="006F5F34">
      <w:pPr>
        <w:pStyle w:val="IndentedQuote"/>
        <w:ind w:left="1440"/>
      </w:pPr>
    </w:p>
    <w:p w14:paraId="39024E21" w14:textId="3C93A54B" w:rsidR="0035691F" w:rsidRDefault="00A62C74" w:rsidP="006F5F34">
      <w:pPr>
        <w:pStyle w:val="IndentedQuote"/>
        <w:ind w:left="1440"/>
      </w:pPr>
      <w:r>
        <w:t>“</w:t>
      </w:r>
      <w:r w:rsidRPr="00B477A7">
        <w:t xml:space="preserve">(B) 60 days after the party filing the notice of appeal serves or is served by a party with a document entitled </w:t>
      </w:r>
      <w:r w:rsidR="006F5F34">
        <w:t>‘</w:t>
      </w:r>
      <w:r w:rsidRPr="00B477A7">
        <w:t>Notice of Entry</w:t>
      </w:r>
      <w:r w:rsidR="006F5F34">
        <w:t>’</w:t>
      </w:r>
      <w:r w:rsidRPr="00B477A7">
        <w:t xml:space="preserve"> of judgment or a filed-endorsed c</w:t>
      </w:r>
      <w:r w:rsidRPr="00B477A7">
        <w:t>opy of the judgment, accompanied by proof of service;</w:t>
      </w:r>
      <w:r>
        <w:t>”</w:t>
      </w:r>
    </w:p>
    <w:p w14:paraId="287C1996" w14:textId="77777777" w:rsidR="0035691F" w:rsidRPr="00B477A7" w:rsidRDefault="0035691F" w:rsidP="0035691F">
      <w:pPr>
        <w:pStyle w:val="IndentedQuote"/>
      </w:pPr>
    </w:p>
    <w:p w14:paraId="3BEE61EA" w14:textId="33678D3D" w:rsidR="0035691F" w:rsidRDefault="00A62C74" w:rsidP="0035691F">
      <w:r>
        <w:tab/>
        <w:t>Rule 8.104(b) specifies that a court may not extend the deadline for filing a notice of appeal and must dismiss any late-filed appeal, providing in relevant part:</w:t>
      </w:r>
    </w:p>
    <w:p w14:paraId="432F205B" w14:textId="77777777" w:rsidR="0035691F" w:rsidRDefault="00A62C74" w:rsidP="0035691F">
      <w:pPr>
        <w:pStyle w:val="IndentedQuote"/>
      </w:pPr>
      <w:r>
        <w:t>“. . .</w:t>
      </w:r>
      <w:r w:rsidRPr="00B477A7">
        <w:t xml:space="preserve"> </w:t>
      </w:r>
      <w:r>
        <w:t>[N]</w:t>
      </w:r>
      <w:r w:rsidRPr="00B477A7">
        <w:t>o court may extend the tim</w:t>
      </w:r>
      <w:r w:rsidRPr="00B477A7">
        <w:t xml:space="preserve">e to file a notice of appeal. </w:t>
      </w:r>
      <w:r>
        <w:t xml:space="preserve"> </w:t>
      </w:r>
      <w:r w:rsidRPr="00B477A7">
        <w:t>If a notice of appeal is filed late, the reviewing court must dismiss the appeal.</w:t>
      </w:r>
      <w:r>
        <w:t>”</w:t>
      </w:r>
    </w:p>
    <w:p w14:paraId="01F90E71" w14:textId="77777777" w:rsidR="0035691F" w:rsidRDefault="0035691F" w:rsidP="0035691F">
      <w:pPr>
        <w:pStyle w:val="IndentedQuote"/>
      </w:pPr>
    </w:p>
    <w:p w14:paraId="4AABAE30" w14:textId="40EE7349" w:rsidR="0035691F" w:rsidRDefault="00A62C74" w:rsidP="004152C8">
      <w:pPr>
        <w:keepNext/>
        <w:tabs>
          <w:tab w:val="left" w:pos="720"/>
          <w:tab w:val="left" w:pos="1170"/>
        </w:tabs>
        <w:spacing w:line="240" w:lineRule="auto"/>
        <w:rPr>
          <w:i/>
          <w:iCs/>
        </w:rPr>
      </w:pPr>
      <w:r>
        <w:tab/>
        <w:t xml:space="preserve">2.   </w:t>
      </w:r>
      <w:r>
        <w:rPr>
          <w:i/>
          <w:iCs/>
        </w:rPr>
        <w:t xml:space="preserve">Determining the existence of a final judgment in the context of a </w:t>
      </w:r>
      <w:r>
        <w:rPr>
          <w:i/>
          <w:iCs/>
        </w:rPr>
        <w:tab/>
      </w:r>
      <w:r>
        <w:rPr>
          <w:i/>
          <w:iCs/>
        </w:rPr>
        <w:tab/>
      </w:r>
      <w:r>
        <w:rPr>
          <w:i/>
          <w:iCs/>
        </w:rPr>
        <w:tab/>
        <w:t>petition for writ of mandate</w:t>
      </w:r>
    </w:p>
    <w:p w14:paraId="37463691" w14:textId="77777777" w:rsidR="0035691F" w:rsidRPr="004152C8" w:rsidRDefault="0035691F" w:rsidP="004152C8">
      <w:pPr>
        <w:keepNext/>
        <w:spacing w:line="240" w:lineRule="auto"/>
      </w:pPr>
    </w:p>
    <w:p w14:paraId="1BA81BF7" w14:textId="37263CB1" w:rsidR="0035691F" w:rsidRDefault="00A62C74" w:rsidP="004152C8">
      <w:pPr>
        <w:keepNext/>
        <w:rPr>
          <w:i/>
          <w:iCs/>
        </w:rPr>
      </w:pPr>
      <w:r>
        <w:tab/>
      </w:r>
      <w:r w:rsidR="004152C8">
        <w:tab/>
      </w:r>
      <w:r>
        <w:t xml:space="preserve">a. </w:t>
      </w:r>
      <w:r w:rsidR="004152C8">
        <w:t xml:space="preserve">  </w:t>
      </w:r>
      <w:r w:rsidRPr="00795C3D">
        <w:rPr>
          <w:i/>
          <w:iCs/>
        </w:rPr>
        <w:t>The statutory scheme</w:t>
      </w:r>
    </w:p>
    <w:p w14:paraId="1B458A8E" w14:textId="44914DE0" w:rsidR="0035691F" w:rsidRPr="000562C4" w:rsidRDefault="00A62C74" w:rsidP="0035691F">
      <w:r>
        <w:rPr>
          <w:i/>
          <w:iCs/>
        </w:rPr>
        <w:tab/>
      </w:r>
      <w:r w:rsidRPr="00F0292E">
        <w:t xml:space="preserve">An </w:t>
      </w:r>
      <w:r w:rsidRPr="00F0292E">
        <w:t>application for a writ of manda</w:t>
      </w:r>
      <w:r>
        <w:t>te</w:t>
      </w:r>
      <w:r w:rsidRPr="00F0292E">
        <w:t xml:space="preserve"> is a </w:t>
      </w:r>
      <w:r>
        <w:t>“</w:t>
      </w:r>
      <w:r w:rsidRPr="00F0292E">
        <w:t>special proceeding</w:t>
      </w:r>
      <w:r w:rsidR="001726CE">
        <w:t xml:space="preserve">[ ] </w:t>
      </w:r>
      <w:r w:rsidRPr="00F0292E">
        <w:t>of a</w:t>
      </w:r>
      <w:r w:rsidRPr="00795C3D">
        <w:t xml:space="preserve"> civil nature</w:t>
      </w:r>
      <w:r>
        <w:t>”</w:t>
      </w:r>
      <w:r w:rsidRPr="00795C3D">
        <w:t xml:space="preserve"> </w:t>
      </w:r>
      <w:r w:rsidR="001726CE">
        <w:t xml:space="preserve">(capitalization omitted) </w:t>
      </w:r>
      <w:r w:rsidRPr="00795C3D">
        <w:t>governed by the provisions of part 3 of the Code of Civil Procedure.</w:t>
      </w:r>
      <w:r>
        <w:t xml:space="preserve"> </w:t>
      </w:r>
      <w:r w:rsidR="00C5381D">
        <w:t xml:space="preserve"> </w:t>
      </w:r>
      <w:r>
        <w:t>(§ 1063 et seq.)</w:t>
      </w:r>
    </w:p>
    <w:p w14:paraId="55E1296D" w14:textId="77777777" w:rsidR="0035691F" w:rsidRDefault="00A62C74" w:rsidP="0035691F">
      <w:r>
        <w:tab/>
        <w:t>Section 1064 defines “judgment” for purposes of such special p</w:t>
      </w:r>
      <w:r>
        <w:t>roceedings, and provides in relevant part:</w:t>
      </w:r>
    </w:p>
    <w:p w14:paraId="39FF0B25" w14:textId="4A5F5FD8" w:rsidR="0035691F" w:rsidRDefault="00A62C74" w:rsidP="0035691F">
      <w:pPr>
        <w:pStyle w:val="IndentedQuote"/>
      </w:pPr>
      <w:r>
        <w:t>“</w:t>
      </w:r>
      <w:r w:rsidRPr="00F0292E">
        <w:t>A judgment in a special proceeding is the final determination of the rights of the parties therein.</w:t>
      </w:r>
      <w:r>
        <w:t>”</w:t>
      </w:r>
    </w:p>
    <w:p w14:paraId="085B6E66" w14:textId="77777777" w:rsidR="0035691F" w:rsidRPr="00F0292E" w:rsidRDefault="0035691F" w:rsidP="0035691F">
      <w:pPr>
        <w:pStyle w:val="IndentedQuote"/>
      </w:pPr>
    </w:p>
    <w:p w14:paraId="36A6FE5F" w14:textId="4052DAF8" w:rsidR="0035691F" w:rsidRPr="00795C3D" w:rsidRDefault="00A62C74" w:rsidP="0035691F">
      <w:r>
        <w:rPr>
          <w:i/>
          <w:iCs/>
        </w:rPr>
        <w:tab/>
      </w:r>
      <w:r>
        <w:t xml:space="preserve">Chapter 2 of </w:t>
      </w:r>
      <w:r w:rsidR="001726CE">
        <w:t xml:space="preserve">title </w:t>
      </w:r>
      <w:r w:rsidR="006B055D">
        <w:t>1</w:t>
      </w:r>
      <w:r w:rsidR="001726CE">
        <w:t xml:space="preserve"> of </w:t>
      </w:r>
      <w:r>
        <w:t xml:space="preserve">part 3 of the Code of Civil Procedure governs writs of mandate.  </w:t>
      </w:r>
      <w:r w:rsidRPr="00F0292E">
        <w:t>“</w:t>
      </w:r>
      <w:r w:rsidRPr="00795C3D">
        <w:t xml:space="preserve">The administrative </w:t>
      </w:r>
      <w:r w:rsidRPr="00795C3D">
        <w:t>mandamus statute,</w:t>
      </w:r>
      <w:r w:rsidR="008226F5">
        <w:t xml:space="preserve"> </w:t>
      </w:r>
      <w:r>
        <w:t xml:space="preserve">. . . </w:t>
      </w:r>
      <w:r w:rsidRPr="00795C3D">
        <w:t xml:space="preserve">section 1094.5, authorizes judicial review of final administrative decisions resulting from hearings that are required by law. </w:t>
      </w:r>
      <w:r>
        <w:t xml:space="preserve"> </w:t>
      </w:r>
      <w:r w:rsidRPr="00795C3D">
        <w:t xml:space="preserve">In determining whether to grant a writ of administrative mandamus, the trial court is instructed to consider </w:t>
      </w:r>
      <w:r>
        <w:t>‘</w:t>
      </w:r>
      <w:r w:rsidRPr="00795C3D">
        <w:t>whether the respon</w:t>
      </w:r>
      <w:r w:rsidRPr="00795C3D">
        <w:t>dent has proceeded without, or in excess of, jurisdiction; whether there was a fair trial; and whether there was any prejudicial abuse of discretion.</w:t>
      </w:r>
      <w:r>
        <w:t>’</w:t>
      </w:r>
      <w:r w:rsidRPr="00795C3D">
        <w:t xml:space="preserve"> </w:t>
      </w:r>
      <w:r>
        <w:t xml:space="preserve"> </w:t>
      </w:r>
      <w:r w:rsidRPr="00795C3D">
        <w:t>(</w:t>
      </w:r>
      <w:r>
        <w:t>[§ 1094.5</w:t>
      </w:r>
      <w:r w:rsidR="001726CE">
        <w:t>]</w:t>
      </w:r>
      <w:r>
        <w:t>,</w:t>
      </w:r>
      <w:r w:rsidRPr="00795C3D">
        <w:t xml:space="preserve"> subd. (b).)</w:t>
      </w:r>
      <w:r>
        <w:t>”  (</w:t>
      </w:r>
      <w:r w:rsidRPr="00795C3D">
        <w:rPr>
          <w:i/>
          <w:iCs/>
        </w:rPr>
        <w:t>Dhillon</w:t>
      </w:r>
      <w:r>
        <w:rPr>
          <w:i/>
          <w:iCs/>
        </w:rPr>
        <w:t>, supra</w:t>
      </w:r>
      <w:r w:rsidRPr="00A30291">
        <w:t xml:space="preserve">, </w:t>
      </w:r>
      <w:r w:rsidRPr="00795C3D">
        <w:t xml:space="preserve">2 Cal.5th </w:t>
      </w:r>
      <w:r w:rsidRPr="00F0292E">
        <w:t>at p.</w:t>
      </w:r>
      <w:r w:rsidRPr="00795C3D">
        <w:t xml:space="preserve"> 1115</w:t>
      </w:r>
      <w:r w:rsidRPr="00F22058">
        <w:t>.</w:t>
      </w:r>
      <w:r w:rsidRPr="00F0292E">
        <w:t>)</w:t>
      </w:r>
      <w:r>
        <w:rPr>
          <w:rStyle w:val="FootnoteReference"/>
        </w:rPr>
        <w:footnoteReference w:id="8"/>
      </w:r>
    </w:p>
    <w:p w14:paraId="3F7948A5" w14:textId="77777777" w:rsidR="0035691F" w:rsidRPr="00795C3D" w:rsidRDefault="00A62C74" w:rsidP="0035691F">
      <w:r>
        <w:lastRenderedPageBreak/>
        <w:tab/>
        <w:t>Section 1094.5, subdivision (f) sp</w:t>
      </w:r>
      <w:r>
        <w:t>ecifies how a trial court shall enter judgment on a petition for writ of administrative mandate and provides:</w:t>
      </w:r>
    </w:p>
    <w:p w14:paraId="2AE4BC62" w14:textId="77777777" w:rsidR="0035691F" w:rsidRDefault="00A62C74" w:rsidP="0035691F">
      <w:pPr>
        <w:pStyle w:val="IndentedQuote"/>
      </w:pPr>
      <w:r>
        <w:t>“</w:t>
      </w:r>
      <w:r w:rsidRPr="00F0292E">
        <w:t xml:space="preserve">The court shall enter judgment either commanding respondent to set aside the order or decision, or denying the writ. </w:t>
      </w:r>
      <w:r>
        <w:t xml:space="preserve"> </w:t>
      </w:r>
      <w:r w:rsidRPr="00F0292E">
        <w:t>Where the judgment commands</w:t>
      </w:r>
      <w:r w:rsidRPr="00F0292E">
        <w:t xml:space="preserve"> that the order or decision be set aside, it may order the reconsideration of the case in light of the court</w:t>
      </w:r>
      <w:r>
        <w:t>’</w:t>
      </w:r>
      <w:r w:rsidRPr="00F0292E">
        <w:t>s opinion and judgment and may order respondent to take such further action as is specially enjoined upon it by law, but the judgment shall not lim</w:t>
      </w:r>
      <w:r w:rsidRPr="00F0292E">
        <w:t>it or control in any way the discretion legally vested in the respondent.</w:t>
      </w:r>
      <w:r>
        <w:t>”</w:t>
      </w:r>
    </w:p>
    <w:p w14:paraId="241BB84C" w14:textId="77777777" w:rsidR="0035691F" w:rsidRPr="00F0292E" w:rsidRDefault="0035691F" w:rsidP="0035691F">
      <w:pPr>
        <w:pStyle w:val="IndentedQuote"/>
      </w:pPr>
    </w:p>
    <w:p w14:paraId="5679F408" w14:textId="7688977D" w:rsidR="0035691F" w:rsidRPr="00F0292E" w:rsidRDefault="00A62C74" w:rsidP="0035691F">
      <w:r>
        <w:tab/>
        <w:t xml:space="preserve">In outlining the law governing the issuance of stays of administrative orders in the context of administrative mandate, </w:t>
      </w:r>
      <w:r w:rsidR="001726CE">
        <w:t>s</w:t>
      </w:r>
      <w:r>
        <w:t>ection 1094.5, subdivision (g) refers to a “notice of appe</w:t>
      </w:r>
      <w:r>
        <w:t>al from the judgment.”  The statute provides in relevant part:</w:t>
      </w:r>
    </w:p>
    <w:p w14:paraId="1F93A821" w14:textId="77777777" w:rsidR="0035691F" w:rsidRDefault="00A62C74" w:rsidP="0035691F">
      <w:pPr>
        <w:pStyle w:val="IndentedQuote"/>
      </w:pPr>
      <w:r>
        <w:t>“</w:t>
      </w:r>
      <w:r w:rsidRPr="009F6638">
        <w:t xml:space="preserve">(g) </w:t>
      </w:r>
      <w:r>
        <w:t>. . . [T]</w:t>
      </w:r>
      <w:r w:rsidRPr="009F6638">
        <w:t>he court in which proceedings under this section are instituted may stay the operation of the administrative order or decision pending the judgment of the court, or until the fili</w:t>
      </w:r>
      <w:r w:rsidRPr="009F6638">
        <w:t>ng of a notice of appeal from the judgment or until the expiration of the time for filing the notice, whichever occurs first.</w:t>
      </w:r>
      <w:r>
        <w:t>”</w:t>
      </w:r>
    </w:p>
    <w:p w14:paraId="7EA5CFED" w14:textId="77777777" w:rsidR="0035691F" w:rsidRDefault="0035691F" w:rsidP="0035691F">
      <w:pPr>
        <w:pStyle w:val="IndentedQuote"/>
      </w:pPr>
    </w:p>
    <w:p w14:paraId="3A26C46A" w14:textId="77777777" w:rsidR="0035691F" w:rsidRPr="009F6638" w:rsidRDefault="00A62C74" w:rsidP="0035691F">
      <w:r>
        <w:tab/>
        <w:t>Section 1110 specifies that the rules of the Code of Civil Procedure that apply to an appeal in a civil action also are ordinar</w:t>
      </w:r>
      <w:r>
        <w:t>ily applicable to an appeal in a special proceeding of a civil nature.  The statute provides:</w:t>
      </w:r>
    </w:p>
    <w:p w14:paraId="7C49E029" w14:textId="77777777" w:rsidR="0035691F" w:rsidRDefault="00A62C74" w:rsidP="0035691F">
      <w:pPr>
        <w:pStyle w:val="IndentedQuote"/>
      </w:pPr>
      <w:r>
        <w:t>“</w:t>
      </w:r>
      <w:r w:rsidRPr="0091562B">
        <w:t>The provisions of Part II of this Code</w:t>
      </w:r>
      <w:r>
        <w:t xml:space="preserve"> </w:t>
      </w:r>
      <w:r w:rsidRPr="0091562B">
        <w:t xml:space="preserve">relative to new trials and appeals, except in so far as they are inconsistent with the provisions of this Title, apply to </w:t>
      </w:r>
      <w:r w:rsidRPr="0091562B">
        <w:t>the proceedings mentioned in this Title.</w:t>
      </w:r>
      <w:r>
        <w:t>”</w:t>
      </w:r>
    </w:p>
    <w:p w14:paraId="392973F0" w14:textId="77777777" w:rsidR="0035691F" w:rsidRPr="0091562B" w:rsidRDefault="0035691F" w:rsidP="0035691F">
      <w:pPr>
        <w:pStyle w:val="IndentedQuote"/>
      </w:pPr>
    </w:p>
    <w:p w14:paraId="06519F86" w14:textId="4432BB19" w:rsidR="0035691F" w:rsidRPr="0091562B" w:rsidRDefault="00A62C74" w:rsidP="0035691F">
      <w:r>
        <w:lastRenderedPageBreak/>
        <w:tab/>
        <w:t>Among the provisions of “Part II” of the Code of Civil Procedure are sections 901 and 904.1.  Section 901 provides in relevant part:</w:t>
      </w:r>
    </w:p>
    <w:p w14:paraId="04618949" w14:textId="77777777" w:rsidR="0035691F" w:rsidRDefault="00A62C74" w:rsidP="0035691F">
      <w:pPr>
        <w:pStyle w:val="IndentedQuote"/>
      </w:pPr>
      <w:r>
        <w:t>“</w:t>
      </w:r>
      <w:r w:rsidRPr="0091562B">
        <w:t xml:space="preserve">A judgment </w:t>
      </w:r>
      <w:r>
        <w:t>. . .</w:t>
      </w:r>
      <w:r w:rsidRPr="0091562B">
        <w:t xml:space="preserve"> in a civil action or proceeding may be reviewed as prescribed</w:t>
      </w:r>
      <w:r w:rsidRPr="0091562B">
        <w:t xml:space="preserve"> in this title.</w:t>
      </w:r>
      <w:r>
        <w:t>”</w:t>
      </w:r>
    </w:p>
    <w:p w14:paraId="2CDC7270" w14:textId="77777777" w:rsidR="0035691F" w:rsidRDefault="0035691F" w:rsidP="0035691F">
      <w:pPr>
        <w:pStyle w:val="IndentedQuote"/>
      </w:pPr>
    </w:p>
    <w:p w14:paraId="201F0004" w14:textId="77777777" w:rsidR="0035691F" w:rsidRDefault="00A62C74" w:rsidP="0035691F">
      <w:r>
        <w:tab/>
        <w:t>Section 904.1 in turn provides in relevant part:</w:t>
      </w:r>
    </w:p>
    <w:p w14:paraId="60505E50" w14:textId="45A74478" w:rsidR="0035691F" w:rsidRDefault="00A62C74" w:rsidP="0035691F">
      <w:pPr>
        <w:pStyle w:val="IndentedQuote"/>
      </w:pPr>
      <w:r>
        <w:t>“</w:t>
      </w:r>
      <w:r w:rsidRPr="0091562B">
        <w:t>(a) An appeal</w:t>
      </w:r>
      <w:r>
        <w:t xml:space="preserve"> . . . </w:t>
      </w:r>
      <w:r w:rsidRPr="0091562B">
        <w:t xml:space="preserve">is to the court of appeal. </w:t>
      </w:r>
      <w:r w:rsidR="006B055D">
        <w:t xml:space="preserve"> </w:t>
      </w:r>
      <w:r w:rsidRPr="0091562B">
        <w:t>An appeal</w:t>
      </w:r>
      <w:r>
        <w:t xml:space="preserve"> . . . </w:t>
      </w:r>
      <w:r w:rsidRPr="0091562B">
        <w:t>may be taken from any of the following:</w:t>
      </w:r>
    </w:p>
    <w:p w14:paraId="063EFA22" w14:textId="77777777" w:rsidR="0035691F" w:rsidRPr="0091562B" w:rsidRDefault="0035691F" w:rsidP="0035691F">
      <w:pPr>
        <w:pStyle w:val="IndentedQuote"/>
      </w:pPr>
    </w:p>
    <w:p w14:paraId="390EA060" w14:textId="4D911286" w:rsidR="0035691F" w:rsidRDefault="00A62C74" w:rsidP="0035691F">
      <w:pPr>
        <w:pStyle w:val="IndentedQuote"/>
      </w:pPr>
      <w:r>
        <w:t>“</w:t>
      </w:r>
      <w:r w:rsidRPr="0091562B">
        <w:t>(1) From a judgment</w:t>
      </w:r>
      <w:r>
        <w:t xml:space="preserve">, </w:t>
      </w:r>
      <w:r w:rsidRPr="00381CA2">
        <w:t>except an interlocutory judgment</w:t>
      </w:r>
      <w:r w:rsidR="008226F5">
        <w:t> </w:t>
      </w:r>
      <w:r>
        <w:t>.</w:t>
      </w:r>
      <w:r w:rsidR="008226F5">
        <w:t> </w:t>
      </w:r>
      <w:r>
        <w:t>.</w:t>
      </w:r>
      <w:r w:rsidR="008226F5">
        <w:t> </w:t>
      </w:r>
      <w:r>
        <w:t>.</w:t>
      </w:r>
      <w:r w:rsidR="008226F5">
        <w:t> </w:t>
      </w:r>
      <w:r>
        <w:t>.”</w:t>
      </w:r>
    </w:p>
    <w:p w14:paraId="012B5B4B" w14:textId="77777777" w:rsidR="0035691F" w:rsidRDefault="0035691F" w:rsidP="0035691F">
      <w:pPr>
        <w:pStyle w:val="IndentedQuote"/>
      </w:pPr>
    </w:p>
    <w:p w14:paraId="775A0C9B" w14:textId="1AA6516C" w:rsidR="0035691F" w:rsidRPr="00A93AB2" w:rsidRDefault="00A62C74" w:rsidP="0035691F">
      <w:r>
        <w:tab/>
      </w:r>
      <w:r>
        <w:t xml:space="preserve">Thus, as the </w:t>
      </w:r>
      <w:r w:rsidRPr="00A93AB2">
        <w:rPr>
          <w:i/>
          <w:iCs/>
        </w:rPr>
        <w:t>Dhillon</w:t>
      </w:r>
      <w:r>
        <w:t xml:space="preserve"> court succinctly summarized, “</w:t>
      </w:r>
      <w:r w:rsidRPr="00A93AB2">
        <w:t>A final judgment in a special proceeding is appealable</w:t>
      </w:r>
      <w:r>
        <w:t xml:space="preserve"> . . . .”</w:t>
      </w:r>
      <w:r w:rsidR="008226F5">
        <w:t xml:space="preserve"> </w:t>
      </w:r>
      <w:r>
        <w:t xml:space="preserve"> (</w:t>
      </w:r>
      <w:r w:rsidRPr="00A93AB2">
        <w:rPr>
          <w:i/>
          <w:iCs/>
        </w:rPr>
        <w:t>Dhillon</w:t>
      </w:r>
      <w:r>
        <w:rPr>
          <w:i/>
          <w:iCs/>
        </w:rPr>
        <w:t>, supra</w:t>
      </w:r>
      <w:r w:rsidRPr="00A30291">
        <w:t xml:space="preserve">, </w:t>
      </w:r>
      <w:r w:rsidRPr="00A93AB2">
        <w:t xml:space="preserve">2 Cal.5th </w:t>
      </w:r>
      <w:r>
        <w:t>at p.</w:t>
      </w:r>
      <w:r w:rsidR="008226F5">
        <w:t> </w:t>
      </w:r>
      <w:r w:rsidRPr="00A93AB2">
        <w:t>1115</w:t>
      </w:r>
      <w:r>
        <w:t>.)</w:t>
      </w:r>
    </w:p>
    <w:p w14:paraId="54A297A3" w14:textId="436B7548" w:rsidR="0035691F" w:rsidRPr="0091562B" w:rsidRDefault="00A62C74" w:rsidP="004152C8">
      <w:pPr>
        <w:keepNext/>
        <w:tabs>
          <w:tab w:val="left" w:pos="1440"/>
        </w:tabs>
      </w:pPr>
      <w:r>
        <w:tab/>
        <w:t xml:space="preserve">b. </w:t>
      </w:r>
      <w:r w:rsidR="009E2A39">
        <w:t xml:space="preserve">  </w:t>
      </w:r>
      <w:r w:rsidRPr="00267D50">
        <w:rPr>
          <w:i/>
          <w:iCs/>
        </w:rPr>
        <w:t>Dhillon</w:t>
      </w:r>
    </w:p>
    <w:p w14:paraId="7CA01ADB" w14:textId="73EFFB60" w:rsidR="0035691F" w:rsidRDefault="00A62C74" w:rsidP="0035691F">
      <w:r>
        <w:tab/>
      </w:r>
      <w:r w:rsidRPr="00EE024A">
        <w:t xml:space="preserve">In </w:t>
      </w:r>
      <w:r w:rsidRPr="00EE024A">
        <w:rPr>
          <w:i/>
          <w:iCs/>
        </w:rPr>
        <w:t>Dhillon</w:t>
      </w:r>
      <w:r w:rsidRPr="00EE024A">
        <w:t>, the Supreme Court considered</w:t>
      </w:r>
      <w:r>
        <w:rPr>
          <w:b/>
          <w:bCs/>
        </w:rPr>
        <w:t xml:space="preserve"> </w:t>
      </w:r>
      <w:r w:rsidRPr="00BF422F">
        <w:t>whether a trial court</w:t>
      </w:r>
      <w:r>
        <w:t>’</w:t>
      </w:r>
      <w:r w:rsidRPr="00BF422F">
        <w:t xml:space="preserve">s order </w:t>
      </w:r>
      <w:r>
        <w:t xml:space="preserve">granting, in part, a surgeon’s petition for writ of </w:t>
      </w:r>
      <w:r w:rsidRPr="00BF422F">
        <w:t>administrative manda</w:t>
      </w:r>
      <w:r>
        <w:t>te and</w:t>
      </w:r>
      <w:r w:rsidRPr="00BF422F">
        <w:t xml:space="preserve"> remanding the matter for further administrative proceedings </w:t>
      </w:r>
      <w:r>
        <w:t>was</w:t>
      </w:r>
      <w:r w:rsidRPr="00BF422F">
        <w:t xml:space="preserve"> an appealable </w:t>
      </w:r>
      <w:r>
        <w:t>final judgment.  (</w:t>
      </w:r>
      <w:r w:rsidRPr="00A93AB2">
        <w:rPr>
          <w:i/>
          <w:iCs/>
        </w:rPr>
        <w:t>Dhillon</w:t>
      </w:r>
      <w:r>
        <w:rPr>
          <w:i/>
          <w:iCs/>
        </w:rPr>
        <w:t>, supra</w:t>
      </w:r>
      <w:r w:rsidRPr="00A30291">
        <w:t xml:space="preserve">, </w:t>
      </w:r>
      <w:r w:rsidRPr="00A93AB2">
        <w:t xml:space="preserve">2 Cal.5th </w:t>
      </w:r>
      <w:r>
        <w:t>at p.</w:t>
      </w:r>
      <w:r w:rsidRPr="00A93AB2">
        <w:t xml:space="preserve"> 111</w:t>
      </w:r>
      <w:r>
        <w:t xml:space="preserve">6.)  </w:t>
      </w:r>
      <w:r w:rsidRPr="00BF422F">
        <w:rPr>
          <w:i/>
          <w:iCs/>
        </w:rPr>
        <w:t>Dhillon</w:t>
      </w:r>
      <w:r>
        <w:t xml:space="preserve"> </w:t>
      </w:r>
      <w:r w:rsidRPr="00BF422F">
        <w:t xml:space="preserve">involved a surgeon who </w:t>
      </w:r>
      <w:r>
        <w:t>filed</w:t>
      </w:r>
      <w:r w:rsidRPr="00BF422F">
        <w:t xml:space="preserve"> </w:t>
      </w:r>
      <w:r>
        <w:t xml:space="preserve">a petition for writ of </w:t>
      </w:r>
      <w:r w:rsidRPr="00BF422F">
        <w:t>administrative manda</w:t>
      </w:r>
      <w:r>
        <w:t>te</w:t>
      </w:r>
      <w:r w:rsidRPr="00BF422F">
        <w:t xml:space="preserve"> </w:t>
      </w:r>
      <w:r>
        <w:t>related to the suspension of his clinical privileges by the owner of the hospitals at which he practiced.  (</w:t>
      </w:r>
      <w:r>
        <w:rPr>
          <w:i/>
          <w:iCs/>
        </w:rPr>
        <w:t xml:space="preserve">Id. </w:t>
      </w:r>
      <w:r>
        <w:t>at pp. 1112</w:t>
      </w:r>
      <w:r w:rsidR="008226F5">
        <w:t>–</w:t>
      </w:r>
      <w:r>
        <w:t xml:space="preserve">1113.)  </w:t>
      </w:r>
      <w:r w:rsidRPr="00BF422F">
        <w:t xml:space="preserve">The trial court granted </w:t>
      </w:r>
      <w:r>
        <w:t xml:space="preserve">the surgeon’s </w:t>
      </w:r>
      <w:r w:rsidRPr="00BF422F">
        <w:t>writ petition in part</w:t>
      </w:r>
      <w:r>
        <w:t>.  (</w:t>
      </w:r>
      <w:r w:rsidRPr="00CA05FA">
        <w:rPr>
          <w:i/>
          <w:iCs/>
        </w:rPr>
        <w:t>Id</w:t>
      </w:r>
      <w:r w:rsidRPr="00F601F8">
        <w:rPr>
          <w:i/>
          <w:iCs/>
        </w:rPr>
        <w:t>.</w:t>
      </w:r>
      <w:r>
        <w:t xml:space="preserve"> at p. 1113.</w:t>
      </w:r>
      <w:r>
        <w:t xml:space="preserve">)  Specifically, the trial court determined that the surgeon was entitled to an administrative hearing prior to the suspension of his clinical privileges and ordered the hospital owner to conduct such a hearing.  </w:t>
      </w:r>
      <w:r w:rsidRPr="00BF422F">
        <w:t>(</w:t>
      </w:r>
      <w:r w:rsidRPr="00BF422F">
        <w:rPr>
          <w:i/>
          <w:iCs/>
        </w:rPr>
        <w:t>I</w:t>
      </w:r>
      <w:r w:rsidR="006B055D">
        <w:rPr>
          <w:i/>
          <w:iCs/>
        </w:rPr>
        <w:t>bi</w:t>
      </w:r>
      <w:r w:rsidRPr="00BF422F">
        <w:rPr>
          <w:i/>
          <w:iCs/>
        </w:rPr>
        <w:t>d.</w:t>
      </w:r>
      <w:r w:rsidRPr="00BF422F">
        <w:t xml:space="preserve">) </w:t>
      </w:r>
      <w:r>
        <w:t xml:space="preserve"> </w:t>
      </w:r>
      <w:r w:rsidRPr="00BF422F">
        <w:t xml:space="preserve">The </w:t>
      </w:r>
      <w:r>
        <w:t>hospital owner appealed the ru</w:t>
      </w:r>
      <w:r>
        <w:t>ling.  T</w:t>
      </w:r>
      <w:r w:rsidRPr="00BF422F">
        <w:t>he Court of Appeal dismissed the appeal</w:t>
      </w:r>
      <w:r>
        <w:t>, stating, “</w:t>
      </w:r>
      <w:r w:rsidR="008564A8">
        <w:t> </w:t>
      </w:r>
      <w:r w:rsidR="001726CE">
        <w:t>‘</w:t>
      </w:r>
      <w:r>
        <w:t>T</w:t>
      </w:r>
      <w:r w:rsidRPr="004C52C7">
        <w:t>he superior court</w:t>
      </w:r>
      <w:r>
        <w:t>’</w:t>
      </w:r>
      <w:r w:rsidRPr="004C52C7">
        <w:t xml:space="preserve">s order remanding the matter to </w:t>
      </w:r>
      <w:r>
        <w:t>[the hospital owner]</w:t>
      </w:r>
      <w:r w:rsidRPr="004C52C7">
        <w:t xml:space="preserve"> is not a final, appealable order.</w:t>
      </w:r>
      <w:r w:rsidR="001726CE">
        <w:t xml:space="preserve">’ </w:t>
      </w:r>
      <w:r>
        <w:t xml:space="preserve">” </w:t>
      </w:r>
      <w:r w:rsidR="008226F5">
        <w:t xml:space="preserve"> </w:t>
      </w:r>
      <w:r>
        <w:t>(</w:t>
      </w:r>
      <w:r w:rsidRPr="004C52C7">
        <w:rPr>
          <w:i/>
          <w:iCs/>
        </w:rPr>
        <w:t>I</w:t>
      </w:r>
      <w:r w:rsidR="001726CE">
        <w:rPr>
          <w:i/>
          <w:iCs/>
        </w:rPr>
        <w:t>bi</w:t>
      </w:r>
      <w:r w:rsidRPr="004C52C7">
        <w:rPr>
          <w:i/>
          <w:iCs/>
        </w:rPr>
        <w:t>d</w:t>
      </w:r>
      <w:r w:rsidRPr="00F601F8">
        <w:rPr>
          <w:i/>
          <w:iCs/>
        </w:rPr>
        <w:t>.</w:t>
      </w:r>
      <w:r>
        <w:t>)</w:t>
      </w:r>
    </w:p>
    <w:p w14:paraId="2533512D" w14:textId="77777777" w:rsidR="0035691F" w:rsidRDefault="00A62C74" w:rsidP="0035691F">
      <w:r>
        <w:lastRenderedPageBreak/>
        <w:tab/>
        <w:t xml:space="preserve">The </w:t>
      </w:r>
      <w:r w:rsidRPr="00C464E4">
        <w:rPr>
          <w:i/>
          <w:iCs/>
        </w:rPr>
        <w:t>Dhillon</w:t>
      </w:r>
      <w:r>
        <w:t xml:space="preserve"> court granted review and noted the division of authority with re</w:t>
      </w:r>
      <w:r>
        <w:t>spect to whether such an order was an appealable final judgment:</w:t>
      </w:r>
    </w:p>
    <w:p w14:paraId="3CBDEA83" w14:textId="5B272564" w:rsidR="0035691F" w:rsidRDefault="00A62C74" w:rsidP="0035691F">
      <w:pPr>
        <w:pStyle w:val="IndentedQuote"/>
      </w:pPr>
      <w:r>
        <w:t xml:space="preserve"> “</w:t>
      </w:r>
      <w:r w:rsidRPr="00B9183D">
        <w:t>The Court of Appeal</w:t>
      </w:r>
      <w:r>
        <w:t>’</w:t>
      </w:r>
      <w:r w:rsidRPr="00B9183D">
        <w:t>s dismissal order deepened a long-standing conflict concerning the appealability of a trial court</w:t>
      </w:r>
      <w:r>
        <w:t>’</w:t>
      </w:r>
      <w:r w:rsidRPr="00B9183D">
        <w:t>s order, on a petition for writ of administrative mandamus, remanding t</w:t>
      </w:r>
      <w:r w:rsidRPr="00B9183D">
        <w:t>he matter for further proceedings before the administrative body.</w:t>
      </w:r>
      <w:r>
        <w:t xml:space="preserve">  </w:t>
      </w:r>
      <w:r w:rsidRPr="00B9183D">
        <w:t>California cases have uniformly held that a trial court</w:t>
      </w:r>
      <w:r>
        <w:t>’</w:t>
      </w:r>
      <w:r w:rsidRPr="00B9183D">
        <w:t>s complete denial of a petition for administrative mandamus is a final judgment that may be appealed by the petitioner.</w:t>
      </w:r>
      <w:r>
        <w:t xml:space="preserve"> </w:t>
      </w:r>
      <w:r w:rsidRPr="00B9183D">
        <w:t xml:space="preserve"> </w:t>
      </w:r>
      <w:r>
        <w:t>[Citations.]</w:t>
      </w:r>
      <w:r>
        <w:t xml:space="preserve"> </w:t>
      </w:r>
      <w:r w:rsidRPr="00B9183D">
        <w:t xml:space="preserve"> The cases have also held that a trial court</w:t>
      </w:r>
      <w:r>
        <w:t>’</w:t>
      </w:r>
      <w:r w:rsidRPr="00B9183D">
        <w:t>s judgment granting administrative mandamus, and ordering the substantive relief sought</w:t>
      </w:r>
      <w:r w:rsidR="008226F5">
        <w:t xml:space="preserve"> </w:t>
      </w:r>
      <w:r w:rsidRPr="00B9183D">
        <w:t>by the petitioner, is a final judgment that may be appealed by the respondent agency.</w:t>
      </w:r>
      <w:r>
        <w:t xml:space="preserve"> </w:t>
      </w:r>
      <w:r w:rsidRPr="00B9183D">
        <w:t xml:space="preserve"> </w:t>
      </w:r>
      <w:r>
        <w:t>[Citations.]</w:t>
      </w:r>
      <w:r w:rsidRPr="00B9183D">
        <w:t xml:space="preserve"> </w:t>
      </w:r>
      <w:r>
        <w:t xml:space="preserve"> </w:t>
      </w:r>
      <w:r w:rsidRPr="00B9183D">
        <w:t xml:space="preserve">In each of these </w:t>
      </w:r>
      <w:r w:rsidRPr="00B9183D">
        <w:t>situations, it is clear that “ ‘no issue is left for future consideration except the fact of compliance or noncompliance with the terms of’ ” the court</w:t>
      </w:r>
      <w:r w:rsidR="009267E4">
        <w:t>’</w:t>
      </w:r>
      <w:r w:rsidRPr="00B9183D">
        <w:t xml:space="preserve">s decree. </w:t>
      </w:r>
      <w:r>
        <w:t xml:space="preserve"> </w:t>
      </w:r>
      <w:r w:rsidRPr="00B9183D">
        <w:t>(</w:t>
      </w:r>
      <w:r w:rsidRPr="00B9183D">
        <w:rPr>
          <w:i/>
          <w:iCs/>
        </w:rPr>
        <w:t>Griset v. Fair Political Practices Com.</w:t>
      </w:r>
      <w:r w:rsidR="008226F5">
        <w:t xml:space="preserve"> </w:t>
      </w:r>
      <w:r w:rsidRPr="00B9183D">
        <w:t>(2001) 25 Cal.4th 688, 698</w:t>
      </w:r>
      <w:r>
        <w:t xml:space="preserve"> </w:t>
      </w:r>
      <w:r w:rsidRPr="00B9183D">
        <w:t>(</w:t>
      </w:r>
      <w:r w:rsidRPr="00B9183D">
        <w:rPr>
          <w:i/>
          <w:iCs/>
        </w:rPr>
        <w:t>Griset</w:t>
      </w:r>
      <w:r w:rsidRPr="00B9183D">
        <w:t>), quoting</w:t>
      </w:r>
      <w:r w:rsidR="008226F5">
        <w:t xml:space="preserve"> </w:t>
      </w:r>
      <w:r w:rsidRPr="00B9183D">
        <w:rPr>
          <w:i/>
          <w:iCs/>
        </w:rPr>
        <w:t>Lyon v.</w:t>
      </w:r>
      <w:r w:rsidRPr="00B9183D">
        <w:rPr>
          <w:i/>
          <w:iCs/>
        </w:rPr>
        <w:t xml:space="preserve"> Goss</w:t>
      </w:r>
      <w:r w:rsidR="008226F5">
        <w:t xml:space="preserve"> </w:t>
      </w:r>
      <w:r w:rsidRPr="00B9183D">
        <w:t xml:space="preserve">(1942) 19 Cal.2d 659, 670.) </w:t>
      </w:r>
      <w:r>
        <w:t xml:space="preserve"> </w:t>
      </w:r>
      <w:r w:rsidRPr="00B9183D">
        <w:t>California courts have, however, divided over whether the same is true of a trial court</w:t>
      </w:r>
      <w:r>
        <w:t>’</w:t>
      </w:r>
      <w:r w:rsidRPr="00B9183D">
        <w:t>s order that does not grant substantive relief, but instead remands the cause for further proceedings before the administrative agenc</w:t>
      </w:r>
      <w:r w:rsidRPr="00B9183D">
        <w:t>y.</w:t>
      </w:r>
      <w:r>
        <w:t xml:space="preserve">” </w:t>
      </w:r>
      <w:r w:rsidR="008226F5">
        <w:t xml:space="preserve"> </w:t>
      </w:r>
      <w:r>
        <w:t>(</w:t>
      </w:r>
      <w:r w:rsidRPr="00A93AB2">
        <w:rPr>
          <w:i/>
          <w:iCs/>
        </w:rPr>
        <w:t>Dhillon</w:t>
      </w:r>
      <w:r>
        <w:rPr>
          <w:i/>
          <w:iCs/>
        </w:rPr>
        <w:t>, supra</w:t>
      </w:r>
      <w:r w:rsidRPr="00A30291">
        <w:t xml:space="preserve">, </w:t>
      </w:r>
      <w:r w:rsidRPr="00A93AB2">
        <w:t xml:space="preserve">2 Cal.5th </w:t>
      </w:r>
      <w:r>
        <w:t>at pp. 1113</w:t>
      </w:r>
      <w:r w:rsidR="008226F5">
        <w:t>–</w:t>
      </w:r>
      <w:r>
        <w:t>1114.)</w:t>
      </w:r>
    </w:p>
    <w:p w14:paraId="5CDA8226" w14:textId="77777777" w:rsidR="0035691F" w:rsidRPr="00C464E4" w:rsidRDefault="0035691F" w:rsidP="0035691F">
      <w:pPr>
        <w:pStyle w:val="IndentedQuote"/>
      </w:pPr>
    </w:p>
    <w:p w14:paraId="45BFCE7C" w14:textId="77777777" w:rsidR="0035691F" w:rsidRDefault="00A62C74" w:rsidP="0035691F">
      <w:r>
        <w:tab/>
        <w:t xml:space="preserve">The </w:t>
      </w:r>
      <w:r w:rsidRPr="00267D50">
        <w:rPr>
          <w:i/>
          <w:iCs/>
        </w:rPr>
        <w:t>Dhillon</w:t>
      </w:r>
      <w:r>
        <w:t xml:space="preserve"> court explained that it had granted review to resolve this division of authority.  (</w:t>
      </w:r>
      <w:r w:rsidRPr="00267D50">
        <w:rPr>
          <w:i/>
          <w:iCs/>
        </w:rPr>
        <w:t>Dhillon</w:t>
      </w:r>
      <w:r>
        <w:rPr>
          <w:i/>
          <w:iCs/>
        </w:rPr>
        <w:t xml:space="preserve">, </w:t>
      </w:r>
      <w:r w:rsidRPr="00D73C36">
        <w:rPr>
          <w:i/>
          <w:iCs/>
        </w:rPr>
        <w:t>supra</w:t>
      </w:r>
      <w:r>
        <w:t>, 2</w:t>
      </w:r>
      <w:r w:rsidRPr="00267D50">
        <w:t xml:space="preserve"> Cal.5th </w:t>
      </w:r>
      <w:r>
        <w:t>at p.</w:t>
      </w:r>
      <w:r w:rsidRPr="00267D50">
        <w:t xml:space="preserve"> 111</w:t>
      </w:r>
      <w:r>
        <w:t xml:space="preserve">4.)  In order to do so, the </w:t>
      </w:r>
      <w:r w:rsidRPr="00C464E4">
        <w:rPr>
          <w:i/>
          <w:iCs/>
        </w:rPr>
        <w:t>Dhillon</w:t>
      </w:r>
      <w:r>
        <w:t xml:space="preserve"> court stated that it was required to</w:t>
      </w:r>
      <w:r>
        <w:t xml:space="preserve"> determine “</w:t>
      </w:r>
      <w:r w:rsidRPr="00267D50">
        <w:t>whether the trial court</w:t>
      </w:r>
      <w:r>
        <w:t>’</w:t>
      </w:r>
      <w:r w:rsidRPr="00267D50">
        <w:t>s order in this case was a final judgment.</w:t>
      </w:r>
      <w:r>
        <w:t>”  (</w:t>
      </w:r>
      <w:r>
        <w:rPr>
          <w:i/>
          <w:iCs/>
        </w:rPr>
        <w:t>Id.</w:t>
      </w:r>
      <w:r w:rsidRPr="00267D50">
        <w:t xml:space="preserve"> </w:t>
      </w:r>
      <w:r>
        <w:t>at p.</w:t>
      </w:r>
      <w:r w:rsidRPr="00267D50">
        <w:t xml:space="preserve"> 1115</w:t>
      </w:r>
      <w:r>
        <w:t xml:space="preserve">.)  The </w:t>
      </w:r>
      <w:r w:rsidRPr="00267D50">
        <w:rPr>
          <w:i/>
          <w:iCs/>
        </w:rPr>
        <w:t>Dhillon</w:t>
      </w:r>
      <w:r>
        <w:t xml:space="preserve"> court recounted the following general principles for determining whether a ruling of the trial court constitutes a final judgment:</w:t>
      </w:r>
    </w:p>
    <w:p w14:paraId="6A614D5A" w14:textId="072DA1B6" w:rsidR="0035691F" w:rsidRDefault="00A62C74" w:rsidP="0035691F">
      <w:pPr>
        <w:pStyle w:val="IndentedQuote"/>
      </w:pPr>
      <w:r>
        <w:t>“</w:t>
      </w:r>
      <w:r w:rsidRPr="00267D50">
        <w:t>We have prev</w:t>
      </w:r>
      <w:r w:rsidRPr="00267D50">
        <w:t xml:space="preserve">iously recognized that a judgment is final, and therefore appealable, </w:t>
      </w:r>
      <w:r>
        <w:t>‘</w:t>
      </w:r>
      <w:r w:rsidRPr="00267D50">
        <w:t xml:space="preserve"> </w:t>
      </w:r>
      <w:r>
        <w:t>“</w:t>
      </w:r>
      <w:r w:rsidRPr="00267D50">
        <w:t xml:space="preserve"> </w:t>
      </w:r>
      <w:r>
        <w:t>‘</w:t>
      </w:r>
      <w:r w:rsidRPr="00267D50">
        <w:t>when it terminates the litigation between the parties on the merits of the case and leaves nothing to be done but to enforce by execution what has been determined.</w:t>
      </w:r>
      <w:r>
        <w:t xml:space="preserve">’ ” ’ </w:t>
      </w:r>
      <w:r w:rsidRPr="00267D50">
        <w:t xml:space="preserve"> </w:t>
      </w:r>
      <w:r>
        <w:t>[Citations.</w:t>
      </w:r>
      <w:r>
        <w:t>]  ‘</w:t>
      </w:r>
      <w:r w:rsidRPr="00267D50">
        <w:t xml:space="preserve"> </w:t>
      </w:r>
      <w:r>
        <w:t>“</w:t>
      </w:r>
      <w:r w:rsidRPr="00267D50">
        <w:t xml:space="preserve">It is not the form of the decree but the substance and effect of the adjudication </w:t>
      </w:r>
      <w:r w:rsidRPr="00267D50">
        <w:lastRenderedPageBreak/>
        <w:t xml:space="preserve">which is determinative. </w:t>
      </w:r>
      <w:r>
        <w:t xml:space="preserve"> </w:t>
      </w:r>
      <w:r w:rsidRPr="00267D50">
        <w:t xml:space="preserve">As a general test, which must be adapted to the particular circumstances of the individual case, it may be said that where no issue is left </w:t>
      </w:r>
      <w:r w:rsidRPr="00267D50">
        <w:t xml:space="preserve">for future consideration except the fact of compliance or noncompliance with the terms of the first decree, that decree is final, but where anything further in the nature of judicial action on the part of the court is essential to a final determination of </w:t>
      </w:r>
      <w:r w:rsidRPr="00267D50">
        <w:t>the rights of the parties, the decree is interlocutory.</w:t>
      </w:r>
      <w:r>
        <w:t>” ’</w:t>
      </w:r>
      <w:r w:rsidRPr="00267D50">
        <w:t xml:space="preserve"> </w:t>
      </w:r>
      <w:r>
        <w:t xml:space="preserve"> [Citations.]</w:t>
      </w:r>
      <w:r w:rsidRPr="00267D50">
        <w:t xml:space="preserve"> </w:t>
      </w:r>
      <w:r>
        <w:t xml:space="preserve"> ‘</w:t>
      </w:r>
      <w:r w:rsidRPr="00267D50">
        <w:t xml:space="preserve">We </w:t>
      </w:r>
      <w:r w:rsidR="002673E6">
        <w:t xml:space="preserve">long </w:t>
      </w:r>
      <w:r w:rsidRPr="00267D50">
        <w:t xml:space="preserve">have recognized a </w:t>
      </w:r>
      <w:r w:rsidR="002673E6">
        <w:t>“</w:t>
      </w:r>
      <w:r w:rsidRPr="00267D50">
        <w:t xml:space="preserve">well-established policy, based upon the remedial character of the right of appeal, of according that right in doubtful cases </w:t>
      </w:r>
      <w:r>
        <w:t>‘</w:t>
      </w:r>
      <w:r w:rsidRPr="00267D50">
        <w:t>when such can be accomplishe</w:t>
      </w:r>
      <w:r w:rsidRPr="00267D50">
        <w:t>d without doing violence to applicable rules.</w:t>
      </w:r>
      <w:r>
        <w:t>’ ” ’ ”</w:t>
      </w:r>
      <w:r w:rsidR="008226F5">
        <w:t xml:space="preserve"> </w:t>
      </w:r>
      <w:r w:rsidRPr="00267D50">
        <w:t xml:space="preserve"> </w:t>
      </w:r>
      <w:r>
        <w:t>(</w:t>
      </w:r>
      <w:r w:rsidRPr="00F3053A">
        <w:rPr>
          <w:i/>
          <w:iCs/>
        </w:rPr>
        <w:t>Ibid</w:t>
      </w:r>
      <w:r w:rsidRPr="00F601F8">
        <w:rPr>
          <w:i/>
          <w:iCs/>
        </w:rPr>
        <w:t>.</w:t>
      </w:r>
      <w:r>
        <w:t>)</w:t>
      </w:r>
    </w:p>
    <w:p w14:paraId="31E15B86" w14:textId="77777777" w:rsidR="0035691F" w:rsidRDefault="0035691F" w:rsidP="0035691F">
      <w:pPr>
        <w:pStyle w:val="IndentedQuote"/>
      </w:pPr>
    </w:p>
    <w:p w14:paraId="2D80F7C0" w14:textId="70F7DC11" w:rsidR="0035691F" w:rsidRDefault="00A62C74" w:rsidP="0035691F">
      <w:r>
        <w:tab/>
      </w:r>
      <w:r w:rsidRPr="00BF422F">
        <w:t xml:space="preserve">Applying these principles, the </w:t>
      </w:r>
      <w:r w:rsidRPr="00F3053A">
        <w:rPr>
          <w:i/>
          <w:iCs/>
        </w:rPr>
        <w:t>Dhillon</w:t>
      </w:r>
      <w:r>
        <w:t xml:space="preserve"> court</w:t>
      </w:r>
      <w:r w:rsidRPr="00BF422F">
        <w:t xml:space="preserve"> concluded </w:t>
      </w:r>
      <w:r>
        <w:t xml:space="preserve">that </w:t>
      </w:r>
      <w:r w:rsidRPr="00BF422F">
        <w:t>the trial court</w:t>
      </w:r>
      <w:r>
        <w:t>’</w:t>
      </w:r>
      <w:r w:rsidRPr="00BF422F">
        <w:t xml:space="preserve">s order was </w:t>
      </w:r>
      <w:r>
        <w:t>an appealable final judgment</w:t>
      </w:r>
      <w:r w:rsidRPr="00BF422F">
        <w:t xml:space="preserve"> because it granted or denied each of the surgeon</w:t>
      </w:r>
      <w:r>
        <w:t>’</w:t>
      </w:r>
      <w:r w:rsidRPr="00BF422F">
        <w:t>s claims and</w:t>
      </w:r>
      <w:r w:rsidR="008226F5">
        <w:t xml:space="preserve"> </w:t>
      </w:r>
      <w:r w:rsidRPr="00BF422F">
        <w:t>“did not rese</w:t>
      </w:r>
      <w:r w:rsidRPr="00BF422F">
        <w:t>rve jurisdiction to consider any issues.”</w:t>
      </w:r>
      <w:r w:rsidR="008226F5">
        <w:t xml:space="preserve"> </w:t>
      </w:r>
      <w:r>
        <w:t xml:space="preserve"> </w:t>
      </w:r>
      <w:r w:rsidRPr="00BF422F">
        <w:t>(</w:t>
      </w:r>
      <w:r w:rsidRPr="00267D50">
        <w:rPr>
          <w:i/>
          <w:iCs/>
        </w:rPr>
        <w:t>Dhillon</w:t>
      </w:r>
      <w:r>
        <w:rPr>
          <w:i/>
          <w:iCs/>
        </w:rPr>
        <w:t>, supra</w:t>
      </w:r>
      <w:r w:rsidRPr="00A30291">
        <w:t xml:space="preserve">, </w:t>
      </w:r>
      <w:r w:rsidR="006B055D">
        <w:t xml:space="preserve">2 Cal.5th </w:t>
      </w:r>
      <w:r w:rsidRPr="00BF422F">
        <w:t>at</w:t>
      </w:r>
      <w:r w:rsidR="008226F5">
        <w:t xml:space="preserve"> </w:t>
      </w:r>
      <w:r w:rsidRPr="00BF422F">
        <w:t>pp. 1116</w:t>
      </w:r>
      <w:r w:rsidR="008226F5">
        <w:t>–</w:t>
      </w:r>
      <w:r w:rsidRPr="00BF422F">
        <w:t xml:space="preserve">1117.) </w:t>
      </w:r>
      <w:r>
        <w:t xml:space="preserve"> T</w:t>
      </w:r>
      <w:r w:rsidRPr="00BF422F">
        <w:t xml:space="preserve">he </w:t>
      </w:r>
      <w:r w:rsidRPr="00334124">
        <w:rPr>
          <w:i/>
          <w:iCs/>
        </w:rPr>
        <w:t>Dhillon</w:t>
      </w:r>
      <w:r>
        <w:t xml:space="preserve"> c</w:t>
      </w:r>
      <w:r w:rsidRPr="00BF422F">
        <w:t>ourt reasoned,</w:t>
      </w:r>
      <w:r w:rsidR="008226F5">
        <w:t xml:space="preserve"> </w:t>
      </w:r>
      <w:r w:rsidRPr="00BF422F">
        <w:t>“once the trial court issued the writ, nothing remained to be done in that court; no issue was then left for the court</w:t>
      </w:r>
      <w:r>
        <w:t>’</w:t>
      </w:r>
      <w:r w:rsidRPr="00BF422F">
        <w:t>s</w:t>
      </w:r>
      <w:r w:rsidR="008226F5">
        <w:t xml:space="preserve"> </w:t>
      </w:r>
      <w:r w:rsidRPr="00BF422F">
        <w:t>‘ “future conside</w:t>
      </w:r>
      <w:r w:rsidRPr="00BF422F">
        <w:t>ration except the fact of compliance or noncompliance with the terms of the first decree.” ’</w:t>
      </w:r>
      <w:r w:rsidR="008226F5">
        <w:t> </w:t>
      </w:r>
      <w:r w:rsidRPr="00BF422F">
        <w:t xml:space="preserve">” </w:t>
      </w:r>
      <w:r w:rsidR="008226F5">
        <w:t xml:space="preserve"> </w:t>
      </w:r>
      <w:r w:rsidRPr="00BF422F">
        <w:t>(</w:t>
      </w:r>
      <w:r>
        <w:rPr>
          <w:i/>
          <w:iCs/>
        </w:rPr>
        <w:t>Id.</w:t>
      </w:r>
      <w:r w:rsidR="008226F5">
        <w:t xml:space="preserve"> </w:t>
      </w:r>
      <w:r w:rsidRPr="00BF422F">
        <w:t>at</w:t>
      </w:r>
      <w:r w:rsidR="008226F5">
        <w:t xml:space="preserve"> </w:t>
      </w:r>
      <w:r w:rsidRPr="00BF422F">
        <w:t>p.</w:t>
      </w:r>
      <w:r w:rsidR="00676468">
        <w:t xml:space="preserve"> </w:t>
      </w:r>
      <w:r w:rsidRPr="00BF422F">
        <w:t>1117, quoting</w:t>
      </w:r>
      <w:r w:rsidR="008226F5">
        <w:t xml:space="preserve"> </w:t>
      </w:r>
      <w:r w:rsidRPr="00BF422F">
        <w:rPr>
          <w:i/>
          <w:iCs/>
        </w:rPr>
        <w:t>Griset</w:t>
      </w:r>
      <w:r>
        <w:rPr>
          <w:i/>
          <w:iCs/>
        </w:rPr>
        <w:t>, supra</w:t>
      </w:r>
      <w:r w:rsidRPr="00A30291">
        <w:t xml:space="preserve">, </w:t>
      </w:r>
      <w:r w:rsidRPr="00BF422F">
        <w:t xml:space="preserve">25 Cal.4th </w:t>
      </w:r>
      <w:r>
        <w:t>at p. 698.)</w:t>
      </w:r>
    </w:p>
    <w:p w14:paraId="47AD52F2" w14:textId="3864B445" w:rsidR="0035691F" w:rsidRDefault="00A62C74" w:rsidP="0035691F">
      <w:r>
        <w:tab/>
        <w:t xml:space="preserve">In reaching this conclusion, the </w:t>
      </w:r>
      <w:r w:rsidRPr="00F3053A">
        <w:rPr>
          <w:i/>
          <w:iCs/>
        </w:rPr>
        <w:t>Dhillon</w:t>
      </w:r>
      <w:r>
        <w:t xml:space="preserve"> court considered the surgeon’s contention that </w:t>
      </w:r>
      <w:r>
        <w:rPr>
          <w:rFonts w:ascii="Source Sans Pro" w:eastAsia="Times New Roman" w:hAnsi="Source Sans Pro" w:cs="Times New Roman"/>
          <w:color w:val="000000"/>
          <w:sz w:val="24"/>
          <w:szCs w:val="24"/>
          <w:shd w:val="clear" w:color="auto" w:fill="FFFFFF"/>
        </w:rPr>
        <w:t>“</w:t>
      </w:r>
      <w:r w:rsidRPr="00F3053A">
        <w:t>the trial court</w:t>
      </w:r>
      <w:r>
        <w:t>’</w:t>
      </w:r>
      <w:r w:rsidRPr="00F3053A">
        <w:t xml:space="preserve">s order </w:t>
      </w:r>
      <w:r>
        <w:t>. . .</w:t>
      </w:r>
      <w:r w:rsidRPr="00F3053A">
        <w:t xml:space="preserve"> was not a final judgment because it was not a </w:t>
      </w:r>
      <w:r>
        <w:t>‘</w:t>
      </w:r>
      <w:r w:rsidRPr="00F3053A">
        <w:t>judgment</w:t>
      </w:r>
      <w:r>
        <w:t>’</w:t>
      </w:r>
      <w:r w:rsidRPr="00F3053A">
        <w:t xml:space="preserve"> as that term is defined by subdivision (f) </w:t>
      </w:r>
      <w:r>
        <w:t>. . .</w:t>
      </w:r>
      <w:r w:rsidRPr="00F3053A">
        <w:t xml:space="preserve"> section 1094.5</w:t>
      </w:r>
      <w:r>
        <w:t>.”  (</w:t>
      </w:r>
      <w:r w:rsidRPr="00267D50">
        <w:rPr>
          <w:i/>
          <w:iCs/>
        </w:rPr>
        <w:t>Dhillon</w:t>
      </w:r>
      <w:r>
        <w:rPr>
          <w:i/>
          <w:iCs/>
        </w:rPr>
        <w:t>, supra</w:t>
      </w:r>
      <w:r w:rsidRPr="00A30291">
        <w:t xml:space="preserve">, </w:t>
      </w:r>
      <w:r>
        <w:t xml:space="preserve">2 Cal.5th </w:t>
      </w:r>
      <w:r w:rsidRPr="00BF422F">
        <w:t>at</w:t>
      </w:r>
      <w:r w:rsidR="008226F5">
        <w:t xml:space="preserve"> </w:t>
      </w:r>
      <w:r w:rsidRPr="00BF422F">
        <w:t>p</w:t>
      </w:r>
      <w:r>
        <w:t>. 1117, fn. 3</w:t>
      </w:r>
      <w:r w:rsidRPr="00BF422F">
        <w:t xml:space="preserve">.) </w:t>
      </w:r>
      <w:r>
        <w:t xml:space="preserve"> Speci</w:t>
      </w:r>
      <w:r>
        <w:t xml:space="preserve">fically, the surgeon contended that </w:t>
      </w:r>
      <w:r w:rsidRPr="00F3053A">
        <w:t xml:space="preserve">under </w:t>
      </w:r>
      <w:r>
        <w:t>section 1094.5, subdivision (f)</w:t>
      </w:r>
      <w:r w:rsidRPr="00F3053A">
        <w:t xml:space="preserve">, </w:t>
      </w:r>
      <w:r>
        <w:t>“</w:t>
      </w:r>
      <w:r w:rsidRPr="00F3053A">
        <w:t>a court adjudicating an administrative mandamus petition may issue only three kinds of judgments:</w:t>
      </w:r>
      <w:r w:rsidR="00531637">
        <w:t xml:space="preserve"> </w:t>
      </w:r>
      <w:r w:rsidRPr="00F3053A">
        <w:t xml:space="preserve"> (1) it may command the respondent to set aside the order or decision; (2) it may </w:t>
      </w:r>
      <w:r w:rsidRPr="00F3053A">
        <w:t xml:space="preserve">deny the writ, or (3) it may command the respondent to set aside the order or decision and reconsider the case, taking </w:t>
      </w:r>
      <w:r w:rsidRPr="00F3053A">
        <w:lastRenderedPageBreak/>
        <w:t>further action as required</w:t>
      </w:r>
      <w:r>
        <w:t>.”</w:t>
      </w:r>
      <w:r>
        <w:rPr>
          <w:rStyle w:val="FootnoteReference"/>
        </w:rPr>
        <w:footnoteReference w:id="9"/>
      </w:r>
      <w:r>
        <w:t xml:space="preserve">  </w:t>
      </w:r>
      <w:r w:rsidR="002673E6">
        <w:t>(</w:t>
      </w:r>
      <w:r w:rsidR="002673E6" w:rsidRPr="00267D50">
        <w:rPr>
          <w:i/>
          <w:iCs/>
        </w:rPr>
        <w:t>Dhillon</w:t>
      </w:r>
      <w:r w:rsidR="002673E6" w:rsidRPr="002673E6">
        <w:rPr>
          <w:i/>
          <w:iCs/>
        </w:rPr>
        <w:t>, supra</w:t>
      </w:r>
      <w:r w:rsidR="002673E6">
        <w:t xml:space="preserve">, </w:t>
      </w:r>
      <w:r w:rsidR="002673E6" w:rsidRPr="00BF422F">
        <w:t>at</w:t>
      </w:r>
      <w:r w:rsidR="002673E6">
        <w:t xml:space="preserve"> </w:t>
      </w:r>
      <w:r w:rsidR="002673E6" w:rsidRPr="00BF422F">
        <w:t>p</w:t>
      </w:r>
      <w:r w:rsidR="002673E6">
        <w:t xml:space="preserve">. 1117, fn. 3.)  </w:t>
      </w:r>
      <w:r>
        <w:t>According to the surgeon, “</w:t>
      </w:r>
      <w:r w:rsidRPr="00F3053A">
        <w:t>the trial court</w:t>
      </w:r>
      <w:r>
        <w:t>’</w:t>
      </w:r>
      <w:r w:rsidRPr="00F3053A">
        <w:t>s order fell into none o</w:t>
      </w:r>
      <w:r w:rsidRPr="00F3053A">
        <w:t>f these categories.</w:t>
      </w:r>
      <w:r>
        <w:t>”  (</w:t>
      </w:r>
      <w:r w:rsidR="002673E6" w:rsidRPr="002673E6">
        <w:rPr>
          <w:i/>
          <w:iCs/>
        </w:rPr>
        <w:t>Ibid</w:t>
      </w:r>
      <w:r w:rsidRPr="002673E6">
        <w:rPr>
          <w:i/>
          <w:iCs/>
        </w:rPr>
        <w:t>.</w:t>
      </w:r>
      <w:r>
        <w:t xml:space="preserve">)  The </w:t>
      </w:r>
      <w:r w:rsidRPr="00EE024A">
        <w:rPr>
          <w:i/>
          <w:iCs/>
        </w:rPr>
        <w:t>Dhillon</w:t>
      </w:r>
      <w:r>
        <w:t xml:space="preserve"> court rejected this argument, reasoning:</w:t>
      </w:r>
    </w:p>
    <w:p w14:paraId="5F53F1B8" w14:textId="27AA7F59" w:rsidR="0035691F" w:rsidRPr="00F3053A" w:rsidRDefault="00A62C74" w:rsidP="0035691F">
      <w:pPr>
        <w:pStyle w:val="IndentedQuote"/>
      </w:pPr>
      <w:r>
        <w:t>“</w:t>
      </w:r>
      <w:r w:rsidRPr="00EB6418">
        <w:t>Assuming that subdivision (f) of</w:t>
      </w:r>
      <w:r w:rsidR="008226F5">
        <w:t xml:space="preserve"> </w:t>
      </w:r>
      <w:r w:rsidRPr="00EB6418">
        <w:t xml:space="preserve">Code of Civil Procedure section 1094.5 defines a </w:t>
      </w:r>
      <w:r>
        <w:t>‘</w:t>
      </w:r>
      <w:r w:rsidRPr="00EB6418">
        <w:t>judgment</w:t>
      </w:r>
      <w:r>
        <w:t>’</w:t>
      </w:r>
      <w:r w:rsidRPr="00EB6418">
        <w:t xml:space="preserve"> for the purposes of determining whether an order in an administrative mandamus proceeding is an appealable final judgment, </w:t>
      </w:r>
      <w:r>
        <w:t>[the surgeon’s]</w:t>
      </w:r>
      <w:r w:rsidRPr="00EB6418">
        <w:t xml:space="preserve"> argument nevertheless lacks merit. </w:t>
      </w:r>
      <w:r>
        <w:t xml:space="preserve"> </w:t>
      </w:r>
      <w:r w:rsidRPr="00EB6418">
        <w:t xml:space="preserve">Although the order did not explicitly set aside the discipline imposed on </w:t>
      </w:r>
      <w:r>
        <w:t>[the s</w:t>
      </w:r>
      <w:r>
        <w:t>urgeon]</w:t>
      </w:r>
      <w:r w:rsidRPr="00EB6418">
        <w:t>, that consequence was implicit in the trial court</w:t>
      </w:r>
      <w:r>
        <w:t>’</w:t>
      </w:r>
      <w:r w:rsidRPr="00EB6418">
        <w:t xml:space="preserve">s determination that </w:t>
      </w:r>
      <w:r>
        <w:t>[the surgeon]</w:t>
      </w:r>
      <w:r w:rsidRPr="00EB6418">
        <w:t xml:space="preserve"> was entitled to further administrative proceedings before he could be disciplined. </w:t>
      </w:r>
      <w:r>
        <w:t xml:space="preserve"> </w:t>
      </w:r>
      <w:r w:rsidRPr="00EB6418">
        <w:t xml:space="preserve">By commanding </w:t>
      </w:r>
      <w:r>
        <w:t>[the hospital owner]</w:t>
      </w:r>
      <w:r w:rsidRPr="00EB6418">
        <w:t xml:space="preserve"> to conduct those proceedings, the trial cour</w:t>
      </w:r>
      <w:r w:rsidRPr="00EB6418">
        <w:t xml:space="preserve">t necessarily set aside </w:t>
      </w:r>
      <w:r>
        <w:t>[the hospital owner’s]</w:t>
      </w:r>
      <w:r w:rsidRPr="00EB6418">
        <w:t xml:space="preserve"> order imposing the discipline. </w:t>
      </w:r>
      <w:r w:rsidR="008226F5">
        <w:t xml:space="preserve"> </w:t>
      </w:r>
      <w:r w:rsidRPr="00EB6418">
        <w:t>(See</w:t>
      </w:r>
      <w:r w:rsidR="008226F5">
        <w:t xml:space="preserve"> </w:t>
      </w:r>
      <w:r w:rsidRPr="00EB6418">
        <w:rPr>
          <w:i/>
          <w:iCs/>
        </w:rPr>
        <w:t>Griset</w:t>
      </w:r>
      <w:r w:rsidRPr="00A30291">
        <w:rPr>
          <w:i/>
          <w:iCs/>
        </w:rPr>
        <w:t>,</w:t>
      </w:r>
      <w:r w:rsidR="00A30291">
        <w:rPr>
          <w:i/>
          <w:iCs/>
        </w:rPr>
        <w:t xml:space="preserve"> </w:t>
      </w:r>
      <w:r w:rsidRPr="00EB6418">
        <w:rPr>
          <w:i/>
          <w:iCs/>
        </w:rPr>
        <w:t>supra</w:t>
      </w:r>
      <w:r w:rsidRPr="00EB6418">
        <w:t>, 25 Cal.4th at p. 698 [</w:t>
      </w:r>
      <w:r>
        <w:t>‘</w:t>
      </w:r>
      <w:r w:rsidRPr="00EB6418">
        <w:t xml:space="preserve"> </w:t>
      </w:r>
      <w:r>
        <w:t>“</w:t>
      </w:r>
      <w:r w:rsidRPr="00EB6418">
        <w:t>It is not the form of the decree but the substance and effect of the adjudication which is determinative</w:t>
      </w:r>
      <w:r>
        <w:t>”</w:t>
      </w:r>
      <w:r w:rsidR="009267E4">
        <w:t xml:space="preserve"> </w:t>
      </w:r>
      <w:r>
        <w:t>’</w:t>
      </w:r>
      <w:r w:rsidRPr="00EB6418">
        <w:t>].)</w:t>
      </w:r>
      <w:r>
        <w:t>”  (</w:t>
      </w:r>
      <w:r w:rsidRPr="00C464E4">
        <w:rPr>
          <w:i/>
          <w:iCs/>
        </w:rPr>
        <w:t>I</w:t>
      </w:r>
      <w:r>
        <w:rPr>
          <w:i/>
          <w:iCs/>
        </w:rPr>
        <w:t>bid</w:t>
      </w:r>
      <w:r w:rsidRPr="00F601F8">
        <w:rPr>
          <w:i/>
          <w:iCs/>
        </w:rPr>
        <w:t>.</w:t>
      </w:r>
      <w:r>
        <w:t>)</w:t>
      </w:r>
    </w:p>
    <w:p w14:paraId="326CF796" w14:textId="77777777" w:rsidR="0035691F" w:rsidRPr="00CA479A" w:rsidRDefault="0035691F" w:rsidP="0035691F">
      <w:pPr>
        <w:spacing w:line="240" w:lineRule="auto"/>
      </w:pPr>
    </w:p>
    <w:p w14:paraId="196303DF" w14:textId="24D453E1" w:rsidR="0035691F" w:rsidRDefault="00A62C74" w:rsidP="004152C8">
      <w:pPr>
        <w:keepNext/>
        <w:tabs>
          <w:tab w:val="left" w:pos="1440"/>
          <w:tab w:val="left" w:pos="1890"/>
        </w:tabs>
        <w:spacing w:line="240" w:lineRule="auto"/>
      </w:pPr>
      <w:r>
        <w:tab/>
        <w:t>c</w:t>
      </w:r>
      <w:r w:rsidRPr="00CA479A">
        <w:rPr>
          <w:i/>
          <w:iCs/>
        </w:rPr>
        <w:t xml:space="preserve">. </w:t>
      </w:r>
      <w:r w:rsidR="009E2A39">
        <w:rPr>
          <w:i/>
          <w:iCs/>
        </w:rPr>
        <w:t xml:space="preserve">  </w:t>
      </w:r>
      <w:r w:rsidRPr="00CA479A">
        <w:rPr>
          <w:i/>
          <w:iCs/>
        </w:rPr>
        <w:t>Case</w:t>
      </w:r>
      <w:r w:rsidRPr="00CA479A">
        <w:rPr>
          <w:i/>
          <w:iCs/>
        </w:rPr>
        <w:t xml:space="preserve"> law in which courts have concluded that a ruling </w:t>
      </w:r>
      <w:r w:rsidR="009E2A39">
        <w:rPr>
          <w:i/>
          <w:iCs/>
        </w:rPr>
        <w:tab/>
      </w:r>
      <w:r w:rsidR="009E2A39">
        <w:rPr>
          <w:i/>
          <w:iCs/>
        </w:rPr>
        <w:tab/>
      </w:r>
      <w:r w:rsidR="009E2A39">
        <w:rPr>
          <w:i/>
          <w:iCs/>
        </w:rPr>
        <w:tab/>
      </w:r>
      <w:r w:rsidR="009E2A39">
        <w:rPr>
          <w:i/>
          <w:iCs/>
        </w:rPr>
        <w:tab/>
      </w:r>
      <w:r>
        <w:rPr>
          <w:i/>
          <w:iCs/>
        </w:rPr>
        <w:t xml:space="preserve">granting or </w:t>
      </w:r>
      <w:r w:rsidRPr="00CA479A">
        <w:rPr>
          <w:i/>
          <w:iCs/>
        </w:rPr>
        <w:t xml:space="preserve">denying a petition for writ of mandate is a </w:t>
      </w:r>
      <w:r w:rsidR="009E2A39">
        <w:rPr>
          <w:i/>
          <w:iCs/>
        </w:rPr>
        <w:tab/>
      </w:r>
      <w:r w:rsidR="009E2A39">
        <w:rPr>
          <w:i/>
          <w:iCs/>
        </w:rPr>
        <w:tab/>
      </w:r>
      <w:r w:rsidR="009E2A39">
        <w:rPr>
          <w:i/>
          <w:iCs/>
        </w:rPr>
        <w:tab/>
      </w:r>
      <w:r w:rsidR="009E2A39">
        <w:rPr>
          <w:i/>
          <w:iCs/>
        </w:rPr>
        <w:tab/>
      </w:r>
      <w:r w:rsidRPr="00CA479A">
        <w:rPr>
          <w:i/>
          <w:iCs/>
        </w:rPr>
        <w:t>judgment</w:t>
      </w:r>
    </w:p>
    <w:p w14:paraId="06983557" w14:textId="77777777" w:rsidR="0035691F" w:rsidRDefault="0035691F" w:rsidP="004152C8">
      <w:pPr>
        <w:keepNext/>
        <w:spacing w:line="240" w:lineRule="auto"/>
      </w:pPr>
    </w:p>
    <w:p w14:paraId="18430E58" w14:textId="29EAAC3A" w:rsidR="0035691F" w:rsidRDefault="00A62C74" w:rsidP="0035691F">
      <w:r>
        <w:tab/>
        <w:t xml:space="preserve">As stated in part I, </w:t>
      </w:r>
      <w:r w:rsidRPr="00B4170B">
        <w:rPr>
          <w:i/>
          <w:iCs/>
        </w:rPr>
        <w:t>ante</w:t>
      </w:r>
      <w:r>
        <w:t xml:space="preserve">, </w:t>
      </w:r>
      <w:r w:rsidRPr="00485481">
        <w:rPr>
          <w:i/>
          <w:iCs/>
        </w:rPr>
        <w:t>Dhillon</w:t>
      </w:r>
      <w:r w:rsidRPr="00485481">
        <w:t xml:space="preserve"> </w:t>
      </w:r>
      <w:r>
        <w:t>is consistent with numerous cases in which courts have stated that a ruling</w:t>
      </w:r>
      <w:r w:rsidRPr="00BA0F27">
        <w:t xml:space="preserve"> granting or denying a petition for a writ of mandate</w:t>
      </w:r>
      <w:r>
        <w:t xml:space="preserve"> is in “effect” a final judgment (</w:t>
      </w:r>
      <w:r w:rsidRPr="00EB6418">
        <w:rPr>
          <w:i/>
          <w:iCs/>
        </w:rPr>
        <w:t>Griset</w:t>
      </w:r>
      <w:r w:rsidRPr="00A30291">
        <w:rPr>
          <w:i/>
          <w:iCs/>
        </w:rPr>
        <w:t>,</w:t>
      </w:r>
      <w:r w:rsidR="00A30291" w:rsidRPr="00A30291">
        <w:rPr>
          <w:i/>
          <w:iCs/>
        </w:rPr>
        <w:t xml:space="preserve"> </w:t>
      </w:r>
      <w:r w:rsidRPr="00EB6418">
        <w:rPr>
          <w:i/>
          <w:iCs/>
        </w:rPr>
        <w:t>supra</w:t>
      </w:r>
      <w:r w:rsidRPr="00EB6418">
        <w:t xml:space="preserve">, 25 Cal.4th at </w:t>
      </w:r>
      <w:r w:rsidRPr="00EB6418">
        <w:lastRenderedPageBreak/>
        <w:t>p.</w:t>
      </w:r>
      <w:r w:rsidR="008226F5">
        <w:t> </w:t>
      </w:r>
      <w:r w:rsidRPr="00EB6418">
        <w:t>698</w:t>
      </w:r>
      <w:r>
        <w:t xml:space="preserve">) because the ruling </w:t>
      </w:r>
      <w:r w:rsidRPr="00BA0F27">
        <w:t>finally determines the rights of the parties</w:t>
      </w:r>
      <w:r>
        <w:t>, and</w:t>
      </w:r>
      <w:r w:rsidRPr="00BA0F27">
        <w:t xml:space="preserve"> is </w:t>
      </w:r>
      <w:r>
        <w:t>therefore appealable,</w:t>
      </w:r>
      <w:r w:rsidRPr="00BA0F27">
        <w:t xml:space="preserve"> even if it is in th</w:t>
      </w:r>
      <w:r>
        <w:t xml:space="preserve">e “form” </w:t>
      </w:r>
      <w:r w:rsidRPr="00BA0F27">
        <w:t>of a</w:t>
      </w:r>
      <w:r>
        <w:t>n</w:t>
      </w:r>
      <w:r w:rsidRPr="00BA0F27">
        <w:t xml:space="preserve"> orde</w:t>
      </w:r>
      <w:r w:rsidRPr="00BA0F27">
        <w:t>r.</w:t>
      </w:r>
      <w:r>
        <w:t xml:space="preserve">  (</w:t>
      </w:r>
      <w:r>
        <w:rPr>
          <w:i/>
          <w:iCs/>
        </w:rPr>
        <w:t>Ibid</w:t>
      </w:r>
      <w:r w:rsidR="00F333A2">
        <w:rPr>
          <w:i/>
          <w:iCs/>
        </w:rPr>
        <w:t>.</w:t>
      </w:r>
      <w:r>
        <w:t>; s</w:t>
      </w:r>
      <w:r w:rsidRPr="00670116">
        <w:t>ee</w:t>
      </w:r>
      <w:r w:rsidR="002673E6">
        <w:t>,</w:t>
      </w:r>
      <w:r w:rsidRPr="00670116">
        <w:t xml:space="preserve"> e.g.,</w:t>
      </w:r>
      <w:r w:rsidRPr="008226F5">
        <w:t xml:space="preserve"> </w:t>
      </w:r>
      <w:r w:rsidRPr="00670116">
        <w:rPr>
          <w:i/>
          <w:iCs/>
        </w:rPr>
        <w:t>Sandlin</w:t>
      </w:r>
      <w:r>
        <w:rPr>
          <w:i/>
          <w:iCs/>
        </w:rPr>
        <w:t>, supra</w:t>
      </w:r>
      <w:r w:rsidRPr="00A30291">
        <w:t xml:space="preserve">, </w:t>
      </w:r>
      <w:r w:rsidRPr="00670116">
        <w:t xml:space="preserve">50 Cal.App.5th </w:t>
      </w:r>
      <w:r>
        <w:t>at p.</w:t>
      </w:r>
      <w:r w:rsidRPr="00670116">
        <w:t xml:space="preserve"> 820; </w:t>
      </w:r>
      <w:r w:rsidRPr="00DA1435">
        <w:rPr>
          <w:i/>
          <w:iCs/>
        </w:rPr>
        <w:t>Molloy</w:t>
      </w:r>
      <w:r>
        <w:rPr>
          <w:i/>
          <w:iCs/>
        </w:rPr>
        <w:t>, supra</w:t>
      </w:r>
      <w:r w:rsidRPr="00A30291">
        <w:t xml:space="preserve">, </w:t>
      </w:r>
      <w:r w:rsidRPr="00DA1435">
        <w:t xml:space="preserve">42 Cal.App.5th </w:t>
      </w:r>
      <w:r>
        <w:t>at p.</w:t>
      </w:r>
      <w:r w:rsidR="008226F5">
        <w:t> </w:t>
      </w:r>
      <w:r w:rsidRPr="00DA1435">
        <w:t>753</w:t>
      </w:r>
      <w:r>
        <w:t xml:space="preserve">; </w:t>
      </w:r>
      <w:r w:rsidRPr="00670116">
        <w:rPr>
          <w:i/>
          <w:iCs/>
        </w:rPr>
        <w:t>T</w:t>
      </w:r>
      <w:r w:rsidRPr="00B24AF2">
        <w:rPr>
          <w:i/>
          <w:iCs/>
        </w:rPr>
        <w:t xml:space="preserve">omra Pacific, </w:t>
      </w:r>
      <w:r>
        <w:rPr>
          <w:i/>
          <w:iCs/>
        </w:rPr>
        <w:t>In</w:t>
      </w:r>
      <w:r w:rsidR="002673E6">
        <w:rPr>
          <w:i/>
          <w:iCs/>
        </w:rPr>
        <w:t>c</w:t>
      </w:r>
      <w:r>
        <w:rPr>
          <w:i/>
          <w:iCs/>
        </w:rPr>
        <w:t>., supra</w:t>
      </w:r>
      <w:r w:rsidRPr="00A30291">
        <w:t xml:space="preserve">, </w:t>
      </w:r>
      <w:r w:rsidRPr="00B24AF2">
        <w:t xml:space="preserve">199 Cal.App.4th </w:t>
      </w:r>
      <w:r>
        <w:t xml:space="preserve">at pp. </w:t>
      </w:r>
      <w:r w:rsidRPr="00B24AF2">
        <w:t>481–</w:t>
      </w:r>
      <w:r>
        <w:t xml:space="preserve">482; </w:t>
      </w:r>
      <w:r w:rsidRPr="00DA1435">
        <w:rPr>
          <w:i/>
          <w:iCs/>
        </w:rPr>
        <w:t>Public Defenders</w:t>
      </w:r>
      <w:r>
        <w:rPr>
          <w:i/>
          <w:iCs/>
        </w:rPr>
        <w:t>’</w:t>
      </w:r>
      <w:r w:rsidRPr="00DA1435">
        <w:rPr>
          <w:i/>
          <w:iCs/>
        </w:rPr>
        <w:t xml:space="preserve"> Organization</w:t>
      </w:r>
      <w:r>
        <w:rPr>
          <w:i/>
          <w:iCs/>
        </w:rPr>
        <w:t>, supra</w:t>
      </w:r>
      <w:r w:rsidRPr="00A30291">
        <w:t xml:space="preserve">, </w:t>
      </w:r>
      <w:r w:rsidRPr="00DA1435">
        <w:t xml:space="preserve">106 Cal.App.4th </w:t>
      </w:r>
      <w:r>
        <w:t>at p.</w:t>
      </w:r>
      <w:r w:rsidRPr="00DA1435">
        <w:t xml:space="preserve"> 1409</w:t>
      </w:r>
      <w:r>
        <w:t>;</w:t>
      </w:r>
      <w:r w:rsidRPr="00F97E33">
        <w:rPr>
          <w:i/>
          <w:iCs/>
        </w:rPr>
        <w:t xml:space="preserve"> </w:t>
      </w:r>
      <w:r w:rsidRPr="00E11440">
        <w:rPr>
          <w:i/>
          <w:iCs/>
        </w:rPr>
        <w:t xml:space="preserve">Townsel v. San </w:t>
      </w:r>
      <w:r w:rsidRPr="00E11440">
        <w:rPr>
          <w:i/>
          <w:iCs/>
        </w:rPr>
        <w:t>Diego Metropolitan Transit Development Bd.</w:t>
      </w:r>
      <w:r w:rsidR="008226F5">
        <w:t xml:space="preserve"> </w:t>
      </w:r>
      <w:r w:rsidRPr="00E11440">
        <w:t>(1998) 65 Cal.App.4th 940</w:t>
      </w:r>
      <w:r>
        <w:t>, 944</w:t>
      </w:r>
      <w:r w:rsidR="002673E6">
        <w:t>,</w:t>
      </w:r>
      <w:r>
        <w:t xml:space="preserve"> fn. 1 (</w:t>
      </w:r>
      <w:r w:rsidRPr="00C95A7A">
        <w:rPr>
          <w:i/>
          <w:iCs/>
        </w:rPr>
        <w:t>Townsel</w:t>
      </w:r>
      <w:r>
        <w:t xml:space="preserve">); </w:t>
      </w:r>
      <w:r w:rsidRPr="00C95A7A">
        <w:rPr>
          <w:i/>
          <w:iCs/>
        </w:rPr>
        <w:t>Haight v. City of San Diego</w:t>
      </w:r>
      <w:r w:rsidR="008226F5">
        <w:t xml:space="preserve"> </w:t>
      </w:r>
      <w:r w:rsidRPr="00C95A7A">
        <w:t>(1991) 228 Cal.App.3d 413, 416, fn. 3</w:t>
      </w:r>
      <w:r>
        <w:t xml:space="preserve"> (</w:t>
      </w:r>
      <w:r w:rsidRPr="00F97E33">
        <w:rPr>
          <w:i/>
          <w:iCs/>
        </w:rPr>
        <w:t>Haight</w:t>
      </w:r>
      <w:r>
        <w:t>).)</w:t>
      </w:r>
    </w:p>
    <w:p w14:paraId="5F8A013C" w14:textId="65294820" w:rsidR="0035691F" w:rsidRDefault="00A62C74" w:rsidP="0035691F">
      <w:r>
        <w:tab/>
        <w:t xml:space="preserve">In </w:t>
      </w:r>
      <w:r w:rsidRPr="00B4170B">
        <w:rPr>
          <w:i/>
          <w:iCs/>
        </w:rPr>
        <w:t>Public Defenders</w:t>
      </w:r>
      <w:r>
        <w:rPr>
          <w:i/>
          <w:iCs/>
        </w:rPr>
        <w:t>’</w:t>
      </w:r>
      <w:r>
        <w:t xml:space="preserve"> </w:t>
      </w:r>
      <w:r w:rsidRPr="00FA351C">
        <w:rPr>
          <w:i/>
          <w:iCs/>
        </w:rPr>
        <w:t>Organization</w:t>
      </w:r>
      <w:r>
        <w:t xml:space="preserve">, the trial court granted an organization’s petition </w:t>
      </w:r>
      <w:r>
        <w:t>for writ of mandate directing an employer “</w:t>
      </w:r>
      <w:r w:rsidRPr="00FA351C">
        <w:t>to recognize the organization as the majority representative of certain employees and to conduct an election to determine whether those employees wished to designate the organization as their exclusive representat</w:t>
      </w:r>
      <w:r w:rsidRPr="00FA351C">
        <w:t>ive.</w:t>
      </w:r>
      <w:r>
        <w:t>”  (</w:t>
      </w:r>
      <w:r w:rsidR="002673E6" w:rsidRPr="00FA351C">
        <w:rPr>
          <w:i/>
          <w:iCs/>
        </w:rPr>
        <w:t>Public Defenders</w:t>
      </w:r>
      <w:r w:rsidR="002673E6">
        <w:rPr>
          <w:i/>
          <w:iCs/>
        </w:rPr>
        <w:t>’</w:t>
      </w:r>
      <w:r w:rsidR="002673E6" w:rsidRPr="00FA351C">
        <w:rPr>
          <w:i/>
          <w:iCs/>
        </w:rPr>
        <w:t xml:space="preserve"> Organization</w:t>
      </w:r>
      <w:r w:rsidR="002673E6">
        <w:rPr>
          <w:i/>
          <w:iCs/>
        </w:rPr>
        <w:t>, supra</w:t>
      </w:r>
      <w:r w:rsidR="002673E6">
        <w:t xml:space="preserve">, 106 Cal.App.4th </w:t>
      </w:r>
      <w:r>
        <w:t>at p. 1405.)  The employer appealed.  (</w:t>
      </w:r>
      <w:r w:rsidRPr="00051E21">
        <w:rPr>
          <w:i/>
          <w:iCs/>
        </w:rPr>
        <w:t>Id</w:t>
      </w:r>
      <w:r w:rsidRPr="00F601F8">
        <w:rPr>
          <w:i/>
          <w:iCs/>
        </w:rPr>
        <w:t>.</w:t>
      </w:r>
      <w:r>
        <w:t xml:space="preserve"> at p. 1409.)  On appeal, the organization “</w:t>
      </w:r>
      <w:r w:rsidRPr="00FA351C">
        <w:t>argue</w:t>
      </w:r>
      <w:r>
        <w:t>[d]</w:t>
      </w:r>
      <w:r w:rsidRPr="00FA351C">
        <w:t xml:space="preserve"> that the order granting the petition for writ of mandate is not final, and thus not appealable, be</w:t>
      </w:r>
      <w:r w:rsidRPr="00FA351C">
        <w:t>cause it does not finally determine the rights of the parties</w:t>
      </w:r>
      <w:r>
        <w:t>.”  (</w:t>
      </w:r>
      <w:r w:rsidRPr="00051E21">
        <w:rPr>
          <w:i/>
          <w:iCs/>
        </w:rPr>
        <w:t>Ibid</w:t>
      </w:r>
      <w:r w:rsidRPr="00F601F8">
        <w:rPr>
          <w:i/>
          <w:iCs/>
        </w:rPr>
        <w:t>.</w:t>
      </w:r>
      <w:r>
        <w:t xml:space="preserve">)  The </w:t>
      </w:r>
      <w:r w:rsidRPr="00FA351C">
        <w:rPr>
          <w:i/>
          <w:iCs/>
        </w:rPr>
        <w:t>Public Defenders</w:t>
      </w:r>
      <w:r w:rsidR="009267E4">
        <w:rPr>
          <w:i/>
          <w:iCs/>
        </w:rPr>
        <w:t>’</w:t>
      </w:r>
      <w:r w:rsidRPr="00FA351C">
        <w:rPr>
          <w:i/>
          <w:iCs/>
        </w:rPr>
        <w:t xml:space="preserve"> Organization</w:t>
      </w:r>
      <w:r>
        <w:rPr>
          <w:i/>
          <w:iCs/>
        </w:rPr>
        <w:t xml:space="preserve"> </w:t>
      </w:r>
      <w:r>
        <w:t>court r</w:t>
      </w:r>
      <w:r w:rsidRPr="00FA351C">
        <w:t>ejected this argument, reasoning</w:t>
      </w:r>
      <w:r>
        <w:t>:</w:t>
      </w:r>
    </w:p>
    <w:p w14:paraId="4C5E4EA3" w14:textId="775865EC" w:rsidR="0035691F" w:rsidRDefault="00A62C74" w:rsidP="0035691F">
      <w:pPr>
        <w:pStyle w:val="IndentedQuote"/>
      </w:pPr>
      <w:r>
        <w:t>“</w:t>
      </w:r>
      <w:r w:rsidRPr="00FA351C">
        <w:t xml:space="preserve">Generally, only judgments may be appealed. </w:t>
      </w:r>
      <w:r>
        <w:t xml:space="preserve"> [Citation.]</w:t>
      </w:r>
      <w:r w:rsidRPr="00FA351C">
        <w:t xml:space="preserve"> </w:t>
      </w:r>
      <w:r w:rsidR="008226F5">
        <w:t xml:space="preserve"> </w:t>
      </w:r>
      <w:r w:rsidR="002673E6">
        <w:t>‘</w:t>
      </w:r>
      <w:r w:rsidRPr="00FA351C">
        <w:t xml:space="preserve">A judgment is the final </w:t>
      </w:r>
      <w:r w:rsidRPr="00FA351C">
        <w:t>determination of the rights of the parties in an action or proceeding.</w:t>
      </w:r>
      <w:r w:rsidR="002673E6">
        <w:t>’</w:t>
      </w:r>
      <w:r w:rsidRPr="00FA351C">
        <w:t xml:space="preserve"> </w:t>
      </w:r>
      <w:r>
        <w:t xml:space="preserve"> [Citation.]</w:t>
      </w:r>
      <w:r w:rsidRPr="00FA351C">
        <w:t xml:space="preserve"> </w:t>
      </w:r>
      <w:r>
        <w:t xml:space="preserve"> </w:t>
      </w:r>
      <w:r w:rsidRPr="00FA351C">
        <w:t xml:space="preserve">Petitions for extraordinary writs, such as petitions for writs of mandate, are special proceedings. </w:t>
      </w:r>
      <w:r>
        <w:t xml:space="preserve"> [Citation.]</w:t>
      </w:r>
      <w:r w:rsidR="008226F5">
        <w:t xml:space="preserve"> </w:t>
      </w:r>
      <w:r w:rsidRPr="00FA351C">
        <w:t xml:space="preserve"> Accordingly, an order granting or denying a petition for</w:t>
      </w:r>
      <w:r w:rsidRPr="00FA351C">
        <w:t xml:space="preserve"> an extraordinary writ constitutes a final judgment for purposes of an appeal, even if the order is not accompanied by a separate formal judgment</w:t>
      </w:r>
      <w:r>
        <w:t>.  [Citations.]”  (</w:t>
      </w:r>
      <w:r>
        <w:rPr>
          <w:i/>
          <w:iCs/>
        </w:rPr>
        <w:t>Ibid</w:t>
      </w:r>
      <w:r w:rsidRPr="00F601F8">
        <w:rPr>
          <w:i/>
          <w:iCs/>
        </w:rPr>
        <w:t>.</w:t>
      </w:r>
      <w:r>
        <w:t>)</w:t>
      </w:r>
      <w:r>
        <w:rPr>
          <w:rStyle w:val="FootnoteReference"/>
        </w:rPr>
        <w:footnoteReference w:id="10"/>
      </w:r>
    </w:p>
    <w:p w14:paraId="58FB9602" w14:textId="77777777" w:rsidR="0035691F" w:rsidRPr="00FA351C" w:rsidRDefault="0035691F" w:rsidP="0035691F">
      <w:pPr>
        <w:spacing w:line="240" w:lineRule="auto"/>
      </w:pPr>
    </w:p>
    <w:p w14:paraId="46B6BFEA" w14:textId="091384AC" w:rsidR="0035691F" w:rsidRDefault="00A62C74" w:rsidP="0035691F">
      <w:r>
        <w:tab/>
        <w:t xml:space="preserve">Similarly, in </w:t>
      </w:r>
      <w:r w:rsidRPr="00BF6276">
        <w:rPr>
          <w:i/>
          <w:iCs/>
        </w:rPr>
        <w:t>Tomra</w:t>
      </w:r>
      <w:r>
        <w:rPr>
          <w:i/>
          <w:iCs/>
        </w:rPr>
        <w:t xml:space="preserve"> Pacific</w:t>
      </w:r>
      <w:r w:rsidR="006B055D">
        <w:rPr>
          <w:i/>
          <w:iCs/>
        </w:rPr>
        <w:t>,</w:t>
      </w:r>
      <w:r>
        <w:rPr>
          <w:i/>
          <w:iCs/>
        </w:rPr>
        <w:t xml:space="preserve"> Inc., supra</w:t>
      </w:r>
      <w:r w:rsidRPr="00A30291">
        <w:t xml:space="preserve">, </w:t>
      </w:r>
      <w:r w:rsidRPr="00BF6276">
        <w:t>199 Cal.App.4th 463</w:t>
      </w:r>
      <w:r>
        <w:t>, two plaintiffs fil</w:t>
      </w:r>
      <w:r>
        <w:t>ed notices of appeal from an “</w:t>
      </w:r>
      <w:r w:rsidRPr="00BF6276">
        <w:rPr>
          <w:i/>
          <w:iCs/>
        </w:rPr>
        <w:t>order</w:t>
      </w:r>
      <w:r>
        <w:t xml:space="preserve"> denying </w:t>
      </w:r>
      <w:r w:rsidRPr="00BF6276">
        <w:t>petitions for a writ of mandate</w:t>
      </w:r>
      <w:r>
        <w:t>” (</w:t>
      </w:r>
      <w:r w:rsidRPr="00E93621">
        <w:rPr>
          <w:i/>
          <w:iCs/>
        </w:rPr>
        <w:t>id</w:t>
      </w:r>
      <w:r w:rsidRPr="00F601F8">
        <w:rPr>
          <w:i/>
          <w:iCs/>
        </w:rPr>
        <w:t>.</w:t>
      </w:r>
      <w:r>
        <w:t xml:space="preserve"> at p. 469</w:t>
      </w:r>
      <w:r w:rsidR="002673E6">
        <w:t>,</w:t>
      </w:r>
      <w:r>
        <w:t xml:space="preserve"> italics added)</w:t>
      </w:r>
      <w:r w:rsidRPr="00BF6276">
        <w:t xml:space="preserve"> </w:t>
      </w:r>
      <w:r>
        <w:t xml:space="preserve">that </w:t>
      </w:r>
      <w:r w:rsidRPr="00BF6276">
        <w:t>s</w:t>
      </w:r>
      <w:r>
        <w:t>ought</w:t>
      </w:r>
      <w:r w:rsidRPr="00BF6276">
        <w:t xml:space="preserve"> </w:t>
      </w:r>
      <w:r>
        <w:t xml:space="preserve">to </w:t>
      </w:r>
      <w:r w:rsidRPr="00BF6276">
        <w:t xml:space="preserve">compel repayment of </w:t>
      </w:r>
      <w:r>
        <w:t xml:space="preserve">certain loans between state funds.  The </w:t>
      </w:r>
      <w:r w:rsidRPr="00BF6276">
        <w:rPr>
          <w:i/>
          <w:iCs/>
        </w:rPr>
        <w:t>Tomra</w:t>
      </w:r>
      <w:r>
        <w:t xml:space="preserve"> </w:t>
      </w:r>
      <w:r w:rsidRPr="00685728">
        <w:rPr>
          <w:i/>
          <w:iCs/>
        </w:rPr>
        <w:t>Pacific</w:t>
      </w:r>
      <w:r w:rsidR="006B055D">
        <w:rPr>
          <w:i/>
          <w:iCs/>
        </w:rPr>
        <w:t>,</w:t>
      </w:r>
      <w:r w:rsidRPr="00685728">
        <w:rPr>
          <w:i/>
          <w:iCs/>
        </w:rPr>
        <w:t xml:space="preserve"> Inc</w:t>
      </w:r>
      <w:r w:rsidRPr="006B055D">
        <w:rPr>
          <w:i/>
          <w:iCs/>
        </w:rPr>
        <w:t>.</w:t>
      </w:r>
      <w:r>
        <w:t xml:space="preserve"> court stated that the order was in fact an appealable</w:t>
      </w:r>
      <w:r>
        <w:t xml:space="preserve"> final judgment:</w:t>
      </w:r>
    </w:p>
    <w:p w14:paraId="6BED5124" w14:textId="5F1FA4D0" w:rsidR="0035691F" w:rsidRDefault="00A62C74" w:rsidP="0035691F">
      <w:pPr>
        <w:pStyle w:val="IndentedQuote"/>
      </w:pPr>
      <w:r>
        <w:t>“</w:t>
      </w:r>
      <w:r w:rsidRPr="00BF6276">
        <w:t>We note that the order denying the</w:t>
      </w:r>
      <w:r w:rsidR="008226F5">
        <w:t xml:space="preserve"> </w:t>
      </w:r>
      <w:r w:rsidRPr="00BF6276">
        <w:t>petitions for a writ of mandate is not termed a judgment and does not explicitly address the declaratory relief causes of action.</w:t>
      </w:r>
      <w:r w:rsidR="008226F5">
        <w:t xml:space="preserve"> </w:t>
      </w:r>
      <w:r w:rsidRPr="00BF6276">
        <w:t xml:space="preserve"> Nevertheless, we are satisfied that the order before us constitutes an appealable final judgment as it left no issue for further consideration.</w:t>
      </w:r>
      <w:r>
        <w:t>”  (</w:t>
      </w:r>
      <w:r w:rsidRPr="00BF6276">
        <w:rPr>
          <w:i/>
          <w:iCs/>
        </w:rPr>
        <w:t>Id</w:t>
      </w:r>
      <w:r w:rsidRPr="00F601F8">
        <w:rPr>
          <w:i/>
          <w:iCs/>
        </w:rPr>
        <w:t>.</w:t>
      </w:r>
      <w:r>
        <w:t xml:space="preserve"> at pp. 481</w:t>
      </w:r>
      <w:r w:rsidR="008226F5">
        <w:t>–</w:t>
      </w:r>
      <w:r>
        <w:t>482.)</w:t>
      </w:r>
    </w:p>
    <w:p w14:paraId="0A4EC9D1" w14:textId="77777777" w:rsidR="0035691F" w:rsidRDefault="0035691F" w:rsidP="0035691F">
      <w:pPr>
        <w:pStyle w:val="IndentedQuote"/>
      </w:pPr>
    </w:p>
    <w:p w14:paraId="0BA11498" w14:textId="77777777" w:rsidR="0035691F" w:rsidRDefault="00A62C74" w:rsidP="0035691F">
      <w:r>
        <w:tab/>
        <w:t xml:space="preserve">Similarly, in </w:t>
      </w:r>
      <w:r w:rsidRPr="00E11440">
        <w:rPr>
          <w:i/>
          <w:iCs/>
        </w:rPr>
        <w:t>Townsel</w:t>
      </w:r>
      <w:r>
        <w:rPr>
          <w:i/>
          <w:iCs/>
        </w:rPr>
        <w:t>, supra</w:t>
      </w:r>
      <w:r w:rsidRPr="00A30291">
        <w:t xml:space="preserve">, </w:t>
      </w:r>
      <w:r w:rsidRPr="00E11440">
        <w:t>65 Cal.App.4th 940</w:t>
      </w:r>
      <w:r>
        <w:t xml:space="preserve">, the petitioner appealed the </w:t>
      </w:r>
      <w:r w:rsidRPr="00E11440">
        <w:t xml:space="preserve">denial </w:t>
      </w:r>
      <w:r w:rsidRPr="00E11440">
        <w:t xml:space="preserve">of his petition for a writ of mandate </w:t>
      </w:r>
      <w:r>
        <w:t>requesting that an entity</w:t>
      </w:r>
      <w:r w:rsidRPr="00E11440">
        <w:t xml:space="preserve"> vacate its decision uphold</w:t>
      </w:r>
      <w:r>
        <w:t>ing</w:t>
      </w:r>
      <w:r w:rsidRPr="00E11440">
        <w:t xml:space="preserve"> the termination of </w:t>
      </w:r>
      <w:r>
        <w:t>his</w:t>
      </w:r>
      <w:r w:rsidRPr="00E11440">
        <w:t xml:space="preserve"> employment.</w:t>
      </w:r>
      <w:r>
        <w:t xml:space="preserve">  The </w:t>
      </w:r>
      <w:r w:rsidRPr="00C95A7A">
        <w:rPr>
          <w:i/>
          <w:iCs/>
        </w:rPr>
        <w:t>Townsel</w:t>
      </w:r>
      <w:r>
        <w:t xml:space="preserve"> court concluded that the trial court’s order denying the petition was properly treated as a final judgment, reason</w:t>
      </w:r>
      <w:r>
        <w:t>ing in relevant part:</w:t>
      </w:r>
    </w:p>
    <w:p w14:paraId="18815413" w14:textId="4377E7D9" w:rsidR="008226F5" w:rsidRDefault="00A62C74" w:rsidP="0035691F">
      <w:pPr>
        <w:pStyle w:val="IndentedQuote"/>
      </w:pPr>
      <w:r>
        <w:t>“</w:t>
      </w:r>
      <w:r w:rsidRPr="00C95A7A">
        <w:t xml:space="preserve">The record does not show that judgment was entered on the order. </w:t>
      </w:r>
      <w:r>
        <w:t xml:space="preserve"> </w:t>
      </w:r>
      <w:r w:rsidRPr="00C95A7A">
        <w:t xml:space="preserve">However, even if a separate formal judgment has not been entered on an order denying a petition for writ of mandate, the order is properly treated as a final judgment </w:t>
      </w:r>
      <w:r w:rsidRPr="00C95A7A">
        <w:t>in a special proceeding for purposes of appeal.</w:t>
      </w:r>
      <w:r>
        <w:t xml:space="preserve">  </w:t>
      </w:r>
      <w:r w:rsidRPr="00C95A7A">
        <w:t>(</w:t>
      </w:r>
      <w:r w:rsidRPr="00C95A7A">
        <w:rPr>
          <w:i/>
          <w:iCs/>
        </w:rPr>
        <w:t>Haight</w:t>
      </w:r>
      <w:r>
        <w:rPr>
          <w:i/>
          <w:iCs/>
        </w:rPr>
        <w:t xml:space="preserve">, </w:t>
      </w:r>
      <w:r>
        <w:t>[</w:t>
      </w:r>
      <w:r>
        <w:rPr>
          <w:i/>
          <w:iCs/>
        </w:rPr>
        <w:t>supra</w:t>
      </w:r>
      <w:r w:rsidRPr="00A30291">
        <w:t xml:space="preserve">, </w:t>
      </w:r>
      <w:r w:rsidRPr="00C95A7A">
        <w:t xml:space="preserve">228 Cal.App.3d </w:t>
      </w:r>
      <w:r>
        <w:t xml:space="preserve">at p. </w:t>
      </w:r>
      <w:r w:rsidRPr="00C95A7A">
        <w:t xml:space="preserve">416, fn. </w:t>
      </w:r>
      <w:r>
        <w:t>3].</w:t>
      </w:r>
      <w:r w:rsidRPr="00C95A7A">
        <w:t>)</w:t>
      </w:r>
      <w:r>
        <w:t>”</w:t>
      </w:r>
      <w:r w:rsidRPr="00C95A7A">
        <w:t xml:space="preserve"> </w:t>
      </w:r>
      <w:r>
        <w:t xml:space="preserve"> (</w:t>
      </w:r>
      <w:r w:rsidRPr="007F3C58">
        <w:rPr>
          <w:i/>
          <w:iCs/>
        </w:rPr>
        <w:t>Id</w:t>
      </w:r>
      <w:r w:rsidRPr="00F601F8">
        <w:rPr>
          <w:i/>
          <w:iCs/>
        </w:rPr>
        <w:t>.</w:t>
      </w:r>
      <w:r>
        <w:t xml:space="preserve"> at p.</w:t>
      </w:r>
      <w:r w:rsidR="00676468">
        <w:t> </w:t>
      </w:r>
      <w:r>
        <w:t>944, fn. 1.)</w:t>
      </w:r>
    </w:p>
    <w:p w14:paraId="3D9FD181" w14:textId="3483177F" w:rsidR="0035691F" w:rsidRPr="00C95A7A" w:rsidRDefault="0035691F" w:rsidP="0035691F">
      <w:pPr>
        <w:pStyle w:val="IndentedQuote"/>
      </w:pPr>
    </w:p>
    <w:p w14:paraId="373503E0" w14:textId="77777777" w:rsidR="0035691F" w:rsidRDefault="00A62C74" w:rsidP="0035691F">
      <w:r>
        <w:tab/>
        <w:t xml:space="preserve">In </w:t>
      </w:r>
      <w:r w:rsidRPr="00C95A7A">
        <w:rPr>
          <w:i/>
          <w:iCs/>
        </w:rPr>
        <w:t>Haight</w:t>
      </w:r>
      <w:r>
        <w:rPr>
          <w:i/>
          <w:iCs/>
        </w:rPr>
        <w:t>, supra</w:t>
      </w:r>
      <w:r w:rsidRPr="00A30291">
        <w:t xml:space="preserve">, </w:t>
      </w:r>
      <w:r w:rsidRPr="00C95A7A">
        <w:t xml:space="preserve">228 Cal.App.3d </w:t>
      </w:r>
      <w:r>
        <w:t xml:space="preserve">413, this court concluded that an “order denying [a] petition for writ of mandate” was </w:t>
      </w:r>
      <w:r>
        <w:t xml:space="preserve">“properly treated as a </w:t>
      </w:r>
      <w:r>
        <w:lastRenderedPageBreak/>
        <w:t>final judgment in a special proceeding for purposes of appeal.”  (</w:t>
      </w:r>
      <w:r w:rsidRPr="007F3C58">
        <w:rPr>
          <w:i/>
          <w:iCs/>
        </w:rPr>
        <w:t>Id</w:t>
      </w:r>
      <w:r w:rsidRPr="00F601F8">
        <w:rPr>
          <w:i/>
          <w:iCs/>
        </w:rPr>
        <w:t>.</w:t>
      </w:r>
      <w:r>
        <w:t xml:space="preserve"> at p. 416, fn. 3.)</w:t>
      </w:r>
    </w:p>
    <w:p w14:paraId="07E28331" w14:textId="35AEAE58" w:rsidR="0035691F" w:rsidRDefault="00A62C74" w:rsidP="009E2A39">
      <w:pPr>
        <w:keepNext/>
      </w:pPr>
      <w:r>
        <w:tab/>
      </w:r>
      <w:r w:rsidR="009E2A39">
        <w:tab/>
      </w:r>
      <w:r>
        <w:t xml:space="preserve">d. </w:t>
      </w:r>
      <w:r w:rsidR="009E2A39">
        <w:t xml:space="preserve">  </w:t>
      </w:r>
      <w:r w:rsidRPr="00CA479A">
        <w:t xml:space="preserve">Laraway </w:t>
      </w:r>
      <w:r w:rsidRPr="00CA479A">
        <w:rPr>
          <w:i/>
          <w:iCs/>
        </w:rPr>
        <w:t>and its progeny</w:t>
      </w:r>
    </w:p>
    <w:p w14:paraId="146BC5A4" w14:textId="2DE63EF2" w:rsidR="0035691F" w:rsidRDefault="00A62C74" w:rsidP="0035691F">
      <w:r>
        <w:tab/>
      </w:r>
      <w:r w:rsidRPr="00E93621">
        <w:t>In</w:t>
      </w:r>
      <w:r w:rsidR="008226F5">
        <w:t xml:space="preserve"> </w:t>
      </w:r>
      <w:r w:rsidRPr="00E93621">
        <w:rPr>
          <w:i/>
          <w:iCs/>
        </w:rPr>
        <w:t>Laraway</w:t>
      </w:r>
      <w:r w:rsidRPr="00E93621">
        <w:t xml:space="preserve">, the petitioner </w:t>
      </w:r>
      <w:r>
        <w:t>“sought certain public records” from a school district.  (</w:t>
      </w:r>
      <w:r w:rsidRPr="00E93621">
        <w:rPr>
          <w:i/>
          <w:iCs/>
        </w:rPr>
        <w:t>Laraway, supra</w:t>
      </w:r>
      <w:r w:rsidRPr="00E93621">
        <w:t xml:space="preserve">, 98 </w:t>
      </w:r>
      <w:r w:rsidRPr="00E93621">
        <w:t>Cal.App.4th at p. 580.)</w:t>
      </w:r>
      <w:r>
        <w:t xml:space="preserve">  The petitioner </w:t>
      </w:r>
      <w:r w:rsidRPr="00E93621">
        <w:t>filed a petition for a writ of manda</w:t>
      </w:r>
      <w:r>
        <w:t>te</w:t>
      </w:r>
      <w:r w:rsidRPr="00E93621">
        <w:t xml:space="preserve"> and prohibition </w:t>
      </w:r>
      <w:r>
        <w:t xml:space="preserve">and sought </w:t>
      </w:r>
      <w:r w:rsidRPr="00E93621">
        <w:t>injunctive and declaratory relief</w:t>
      </w:r>
      <w:r>
        <w:t xml:space="preserve"> </w:t>
      </w:r>
      <w:r w:rsidRPr="00E93621">
        <w:t xml:space="preserve">from </w:t>
      </w:r>
      <w:r>
        <w:t>the</w:t>
      </w:r>
      <w:r w:rsidRPr="00E93621">
        <w:t xml:space="preserve"> school district and several of its employees (collectively “District”). </w:t>
      </w:r>
      <w:r>
        <w:t xml:space="preserve"> </w:t>
      </w:r>
      <w:r w:rsidRPr="00E93621">
        <w:t>(</w:t>
      </w:r>
      <w:r>
        <w:rPr>
          <w:i/>
          <w:iCs/>
        </w:rPr>
        <w:t>Id.</w:t>
      </w:r>
      <w:r w:rsidRPr="00E93621">
        <w:t xml:space="preserve"> at pp. 580–581.) </w:t>
      </w:r>
      <w:r>
        <w:t xml:space="preserve"> </w:t>
      </w:r>
      <w:r w:rsidRPr="00E93621">
        <w:t>On August 2</w:t>
      </w:r>
      <w:r w:rsidRPr="00E93621">
        <w:t>3, 2000, the trial court entered an “ ‘</w:t>
      </w:r>
      <w:r w:rsidRPr="00E93621">
        <w:rPr>
          <w:i/>
          <w:iCs/>
        </w:rPr>
        <w:t>order</w:t>
      </w:r>
      <w:r w:rsidR="008226F5">
        <w:t xml:space="preserve"> </w:t>
      </w:r>
      <w:r w:rsidRPr="00E93621">
        <w:t>regarding petitioner</w:t>
      </w:r>
      <w:r>
        <w:t>’</w:t>
      </w:r>
      <w:r w:rsidRPr="00E93621">
        <w:t xml:space="preserve">s motion for writ of mandamus, prohibition, injunctive and declaratory relief.’ ” </w:t>
      </w:r>
      <w:r w:rsidR="008226F5">
        <w:t xml:space="preserve"> </w:t>
      </w:r>
      <w:r w:rsidRPr="00E93621">
        <w:t>(</w:t>
      </w:r>
      <w:r w:rsidRPr="00E93621">
        <w:rPr>
          <w:i/>
          <w:iCs/>
        </w:rPr>
        <w:t>Id.</w:t>
      </w:r>
      <w:r w:rsidR="008226F5">
        <w:t xml:space="preserve"> </w:t>
      </w:r>
      <w:r w:rsidRPr="00E93621">
        <w:t>at p. 581, italics added in</w:t>
      </w:r>
      <w:r w:rsidR="008226F5">
        <w:t xml:space="preserve"> </w:t>
      </w:r>
      <w:r w:rsidRPr="00E93621">
        <w:rPr>
          <w:i/>
          <w:iCs/>
        </w:rPr>
        <w:t>Laraway.</w:t>
      </w:r>
      <w:r w:rsidRPr="00E93621">
        <w:t xml:space="preserve">) </w:t>
      </w:r>
      <w:r>
        <w:t xml:space="preserve"> </w:t>
      </w:r>
      <w:r w:rsidRPr="00E93621">
        <w:t>The August 2000 order “completely resolved all issues between a</w:t>
      </w:r>
      <w:r w:rsidRPr="00E93621">
        <w:t xml:space="preserve">ll parties” </w:t>
      </w:r>
      <w:r>
        <w:t>and</w:t>
      </w:r>
      <w:r w:rsidRPr="00E93621">
        <w:t xml:space="preserve"> did not “contemplate nor direct the preparation of any further order or judgment.”</w:t>
      </w:r>
      <w:r w:rsidR="008226F5">
        <w:t xml:space="preserve">  </w:t>
      </w:r>
      <w:r w:rsidRPr="00E93621">
        <w:t>(</w:t>
      </w:r>
      <w:r w:rsidRPr="00E93621">
        <w:rPr>
          <w:i/>
          <w:iCs/>
        </w:rPr>
        <w:t>Id</w:t>
      </w:r>
      <w:r>
        <w:rPr>
          <w:i/>
          <w:iCs/>
        </w:rPr>
        <w:t xml:space="preserve">. </w:t>
      </w:r>
      <w:r w:rsidRPr="006B2B20">
        <w:t>at p. 582</w:t>
      </w:r>
      <w:r w:rsidRPr="00E93621">
        <w:rPr>
          <w:i/>
          <w:iCs/>
        </w:rPr>
        <w:t>.</w:t>
      </w:r>
      <w:r w:rsidRPr="00E93621">
        <w:t>)</w:t>
      </w:r>
    </w:p>
    <w:p w14:paraId="0589D150" w14:textId="750985EE" w:rsidR="0035691F" w:rsidRDefault="00A62C74" w:rsidP="0035691F">
      <w:r>
        <w:tab/>
        <w:t>O</w:t>
      </w:r>
      <w:r w:rsidRPr="00E93621">
        <w:t xml:space="preserve">n January </w:t>
      </w:r>
      <w:r>
        <w:t xml:space="preserve">29, </w:t>
      </w:r>
      <w:r w:rsidRPr="00E93621">
        <w:t>2001, the trial court in</w:t>
      </w:r>
      <w:r w:rsidR="008226F5">
        <w:t xml:space="preserve"> </w:t>
      </w:r>
      <w:r w:rsidRPr="00E93621">
        <w:rPr>
          <w:i/>
          <w:iCs/>
        </w:rPr>
        <w:t>Laraway</w:t>
      </w:r>
      <w:r w:rsidR="008226F5">
        <w:t xml:space="preserve"> </w:t>
      </w:r>
      <w:r w:rsidRPr="00E93621">
        <w:t xml:space="preserve">filed a </w:t>
      </w:r>
      <w:r>
        <w:t>“</w:t>
      </w:r>
      <w:r w:rsidRPr="00E93621">
        <w:t>judgment</w:t>
      </w:r>
      <w:r>
        <w:t>”</w:t>
      </w:r>
      <w:r w:rsidRPr="00E93621">
        <w:t xml:space="preserve"> that “simply reiterated that the court had ‘ruled by Order dated August</w:t>
      </w:r>
      <w:r w:rsidRPr="00E93621">
        <w:t xml:space="preserve"> 23, 2000’ on the petition, set forth the same rulings as contained in the order denying the petition, added a provision that judgment was entered in favor of respondent and against petitioner, and awarded respondent $0 in costs against petitioner.” </w:t>
      </w:r>
      <w:r>
        <w:t xml:space="preserve"> </w:t>
      </w:r>
      <w:r w:rsidRPr="00E93621">
        <w:t>(</w:t>
      </w:r>
      <w:r w:rsidRPr="00E93621">
        <w:rPr>
          <w:i/>
          <w:iCs/>
        </w:rPr>
        <w:t>Lara</w:t>
      </w:r>
      <w:r w:rsidRPr="00E93621">
        <w:rPr>
          <w:i/>
          <w:iCs/>
        </w:rPr>
        <w:t>way, supra</w:t>
      </w:r>
      <w:r w:rsidRPr="00E93621">
        <w:t>, 98 Cal.App.4th at p. 58</w:t>
      </w:r>
      <w:r>
        <w:t>2</w:t>
      </w:r>
      <w:r w:rsidRPr="00E93621">
        <w:rPr>
          <w:i/>
          <w:iCs/>
        </w:rPr>
        <w:t>.</w:t>
      </w:r>
      <w:r w:rsidRPr="00E93621">
        <w:t>)</w:t>
      </w:r>
    </w:p>
    <w:p w14:paraId="132FAE66" w14:textId="0963E843" w:rsidR="0035691F" w:rsidRPr="00E93621" w:rsidRDefault="00A62C74" w:rsidP="0035691F">
      <w:r>
        <w:tab/>
      </w:r>
      <w:r w:rsidRPr="00E93621">
        <w:t>In late March or early April 2001,</w:t>
      </w:r>
      <w:r>
        <w:rPr>
          <w:rStyle w:val="FootnoteReference"/>
        </w:rPr>
        <w:footnoteReference w:id="11"/>
      </w:r>
      <w:r w:rsidR="008226F5">
        <w:t xml:space="preserve"> </w:t>
      </w:r>
      <w:r w:rsidRPr="00E93621">
        <w:t xml:space="preserve">the petitioner filed a notice of appeal from the January 2001 </w:t>
      </w:r>
      <w:r>
        <w:t>“</w:t>
      </w:r>
      <w:r w:rsidRPr="00E93621">
        <w:t>judgment.</w:t>
      </w:r>
      <w:r>
        <w:t>”</w:t>
      </w:r>
      <w:r w:rsidRPr="00E93621">
        <w:t xml:space="preserve"> </w:t>
      </w:r>
      <w:r>
        <w:t xml:space="preserve"> </w:t>
      </w:r>
      <w:r w:rsidRPr="00E93621">
        <w:t>(</w:t>
      </w:r>
      <w:r w:rsidRPr="00E93621">
        <w:rPr>
          <w:i/>
          <w:iCs/>
        </w:rPr>
        <w:t>Laraway, supra</w:t>
      </w:r>
      <w:r w:rsidRPr="00E93621">
        <w:t>, 98 Cal.App.4th at p. 58</w:t>
      </w:r>
      <w:r>
        <w:t>2</w:t>
      </w:r>
      <w:r w:rsidRPr="00E93621">
        <w:rPr>
          <w:i/>
          <w:iCs/>
        </w:rPr>
        <w:t>.</w:t>
      </w:r>
      <w:r w:rsidRPr="00E93621">
        <w:t xml:space="preserve">) </w:t>
      </w:r>
      <w:r>
        <w:t xml:space="preserve"> </w:t>
      </w:r>
      <w:r w:rsidRPr="00E93621">
        <w:t xml:space="preserve">On April 19, 2001, the District filed a cross-appeal from </w:t>
      </w:r>
      <w:r>
        <w:t>the January 2001 “</w:t>
      </w:r>
      <w:r w:rsidRPr="00E93621">
        <w:t>judgment.</w:t>
      </w:r>
      <w:r>
        <w:t>”</w:t>
      </w:r>
      <w:r w:rsidR="008226F5">
        <w:t xml:space="preserve"> </w:t>
      </w:r>
      <w:r w:rsidRPr="00E93621">
        <w:t xml:space="preserve"> (</w:t>
      </w:r>
      <w:r w:rsidRPr="00E93621">
        <w:rPr>
          <w:i/>
          <w:iCs/>
        </w:rPr>
        <w:t>Ibid.</w:t>
      </w:r>
      <w:r w:rsidRPr="00E93621">
        <w:t>)</w:t>
      </w:r>
    </w:p>
    <w:p w14:paraId="27424BB5" w14:textId="5D106E1F" w:rsidR="0035691F" w:rsidRPr="00765742" w:rsidRDefault="00A62C74" w:rsidP="0035691F">
      <w:r>
        <w:lastRenderedPageBreak/>
        <w:tab/>
        <w:t>On appeal, t</w:t>
      </w:r>
      <w:r w:rsidRPr="00E93621">
        <w:t>he</w:t>
      </w:r>
      <w:r w:rsidR="008226F5">
        <w:t xml:space="preserve"> </w:t>
      </w:r>
      <w:r w:rsidRPr="00E93621">
        <w:rPr>
          <w:i/>
          <w:iCs/>
        </w:rPr>
        <w:t>Laraway</w:t>
      </w:r>
      <w:r w:rsidR="008226F5">
        <w:t xml:space="preserve"> </w:t>
      </w:r>
      <w:r w:rsidRPr="00E93621">
        <w:t xml:space="preserve">court </w:t>
      </w:r>
      <w:r>
        <w:t>“</w:t>
      </w:r>
      <w:r w:rsidRPr="006B2B20">
        <w:t>sua sponte raise</w:t>
      </w:r>
      <w:r>
        <w:t>[d]</w:t>
      </w:r>
      <w:r w:rsidRPr="006B2B20">
        <w:t xml:space="preserve"> the jurisdictional and dispositive issue of whether the prerequisite to appellate jurisdiction, a timely noti</w:t>
      </w:r>
      <w:r w:rsidRPr="006B2B20">
        <w:t>ce of appeal, was ever filed in this case.</w:t>
      </w:r>
      <w:r>
        <w:t>”  (</w:t>
      </w:r>
      <w:r w:rsidRPr="006B2B20">
        <w:rPr>
          <w:i/>
          <w:iCs/>
        </w:rPr>
        <w:t>Laraway</w:t>
      </w:r>
      <w:r>
        <w:rPr>
          <w:i/>
          <w:iCs/>
        </w:rPr>
        <w:t>, supra</w:t>
      </w:r>
      <w:r w:rsidRPr="00A30291">
        <w:t xml:space="preserve">, </w:t>
      </w:r>
      <w:r w:rsidRPr="006B2B20">
        <w:t>98</w:t>
      </w:r>
      <w:r w:rsidR="008226F5">
        <w:t> </w:t>
      </w:r>
      <w:r w:rsidRPr="006B2B20">
        <w:t xml:space="preserve">Cal.App.4th </w:t>
      </w:r>
      <w:r>
        <w:t>at p.</w:t>
      </w:r>
      <w:r w:rsidRPr="006B2B20">
        <w:t xml:space="preserve"> 582</w:t>
      </w:r>
      <w:r>
        <w:t xml:space="preserve">.)  In considering this issue, the </w:t>
      </w:r>
      <w:r w:rsidRPr="00765742">
        <w:rPr>
          <w:i/>
          <w:iCs/>
        </w:rPr>
        <w:t>Laraway</w:t>
      </w:r>
      <w:r>
        <w:t xml:space="preserve"> court noted that </w:t>
      </w:r>
      <w:r w:rsidRPr="00E93621">
        <w:t xml:space="preserve">the August </w:t>
      </w:r>
      <w:r>
        <w:t xml:space="preserve">23, </w:t>
      </w:r>
      <w:r w:rsidRPr="00E93621">
        <w:t>2000 order “contemplated no further action, such as the preparation of another order or judgmen</w:t>
      </w:r>
      <w:r w:rsidRPr="00E93621">
        <w:t xml:space="preserve">t [citation], and disposed of all issues between all parties.” </w:t>
      </w:r>
      <w:r>
        <w:t xml:space="preserve"> </w:t>
      </w:r>
      <w:r w:rsidRPr="00E93621">
        <w:t>(</w:t>
      </w:r>
      <w:r>
        <w:rPr>
          <w:i/>
          <w:iCs/>
        </w:rPr>
        <w:t>Id.</w:t>
      </w:r>
      <w:r w:rsidRPr="00E93621">
        <w:t xml:space="preserve"> at p. 583.)</w:t>
      </w:r>
      <w:r>
        <w:t xml:space="preserve">  The </w:t>
      </w:r>
      <w:r w:rsidRPr="00765742">
        <w:rPr>
          <w:i/>
          <w:iCs/>
        </w:rPr>
        <w:t>Laraway</w:t>
      </w:r>
      <w:r>
        <w:t xml:space="preserve"> court concluded that the August 2000 order “</w:t>
      </w:r>
      <w:r w:rsidRPr="00765742">
        <w:t>was properly treated as a final judgment.</w:t>
      </w:r>
      <w:r>
        <w:t>”  (</w:t>
      </w:r>
      <w:r>
        <w:rPr>
          <w:i/>
          <w:iCs/>
        </w:rPr>
        <w:t>Ibid.</w:t>
      </w:r>
      <w:r w:rsidRPr="00765742">
        <w:t xml:space="preserve">, </w:t>
      </w:r>
      <w:r w:rsidRPr="007F3C58">
        <w:t>citing</w:t>
      </w:r>
      <w:r w:rsidR="008226F5">
        <w:t xml:space="preserve"> </w:t>
      </w:r>
      <w:r w:rsidRPr="007F3C58">
        <w:rPr>
          <w:i/>
          <w:iCs/>
        </w:rPr>
        <w:t>Townsel, supra</w:t>
      </w:r>
      <w:r w:rsidRPr="00A30291">
        <w:t xml:space="preserve">, </w:t>
      </w:r>
      <w:r w:rsidRPr="007F3C58">
        <w:t>65 Cal.App.4th at p. 944, fn. 1;</w:t>
      </w:r>
      <w:r w:rsidR="008226F5">
        <w:t xml:space="preserve"> </w:t>
      </w:r>
      <w:r w:rsidRPr="007F3C58">
        <w:rPr>
          <w:i/>
          <w:iCs/>
        </w:rPr>
        <w:t>Haight, su</w:t>
      </w:r>
      <w:r w:rsidRPr="007F3C58">
        <w:rPr>
          <w:i/>
          <w:iCs/>
        </w:rPr>
        <w:t>pra</w:t>
      </w:r>
      <w:r w:rsidRPr="00A30291">
        <w:t xml:space="preserve">, </w:t>
      </w:r>
      <w:r w:rsidRPr="007F3C58">
        <w:t>228</w:t>
      </w:r>
      <w:r w:rsidR="008226F5">
        <w:t> </w:t>
      </w:r>
      <w:r w:rsidRPr="007F3C58">
        <w:t>Cal.App.3d at p. 416, fn. 3.)</w:t>
      </w:r>
    </w:p>
    <w:p w14:paraId="355F31A0" w14:textId="4CD569B0" w:rsidR="0035691F" w:rsidRPr="00E93621" w:rsidRDefault="00A62C74" w:rsidP="0035691F">
      <w:r>
        <w:tab/>
      </w:r>
      <w:r w:rsidRPr="00E93621">
        <w:t>The</w:t>
      </w:r>
      <w:r w:rsidR="008226F5">
        <w:t xml:space="preserve"> </w:t>
      </w:r>
      <w:r w:rsidRPr="00E93621">
        <w:rPr>
          <w:i/>
          <w:iCs/>
        </w:rPr>
        <w:t>Laraway</w:t>
      </w:r>
      <w:r w:rsidR="008226F5">
        <w:t xml:space="preserve"> </w:t>
      </w:r>
      <w:r w:rsidRPr="00E93621">
        <w:t>court added that “the subsequent judgment entered on January 29, 2001 was simply a repetition of the August 23, 2000 order.”</w:t>
      </w:r>
      <w:r w:rsidR="008226F5">
        <w:t xml:space="preserve"> </w:t>
      </w:r>
      <w:r w:rsidRPr="00E93621">
        <w:t xml:space="preserve"> (</w:t>
      </w:r>
      <w:r w:rsidRPr="006B2B20">
        <w:rPr>
          <w:i/>
          <w:iCs/>
        </w:rPr>
        <w:t>Laraway</w:t>
      </w:r>
      <w:r>
        <w:rPr>
          <w:i/>
          <w:iCs/>
        </w:rPr>
        <w:t>, supra</w:t>
      </w:r>
      <w:r w:rsidRPr="00A30291">
        <w:t xml:space="preserve">, </w:t>
      </w:r>
      <w:r w:rsidRPr="006B2B20">
        <w:t xml:space="preserve">98 Cal.App.4th </w:t>
      </w:r>
      <w:r>
        <w:t>at p.</w:t>
      </w:r>
      <w:r w:rsidRPr="006B2B20">
        <w:t xml:space="preserve"> 58</w:t>
      </w:r>
      <w:r>
        <w:t>3</w:t>
      </w:r>
      <w:r w:rsidRPr="00E93621">
        <w:rPr>
          <w:i/>
          <w:iCs/>
        </w:rPr>
        <w:t>.</w:t>
      </w:r>
      <w:r w:rsidRPr="00E93621">
        <w:t xml:space="preserve">) </w:t>
      </w:r>
      <w:r>
        <w:t xml:space="preserve"> </w:t>
      </w:r>
      <w:r w:rsidRPr="00E93621">
        <w:t>The</w:t>
      </w:r>
      <w:r w:rsidR="008226F5">
        <w:t xml:space="preserve"> </w:t>
      </w:r>
      <w:r w:rsidRPr="00E93621">
        <w:rPr>
          <w:i/>
          <w:iCs/>
        </w:rPr>
        <w:t>Laraway</w:t>
      </w:r>
      <w:r w:rsidR="008226F5">
        <w:t xml:space="preserve"> </w:t>
      </w:r>
      <w:r w:rsidRPr="00E93621">
        <w:t xml:space="preserve">court concluded that the Court of Appeal lacked jurisdiction over the appeal and the cross-appeal from the January 2001 </w:t>
      </w:r>
      <w:r>
        <w:t xml:space="preserve">“subsequent </w:t>
      </w:r>
      <w:r w:rsidRPr="00E93621">
        <w:t>judgment</w:t>
      </w:r>
      <w:r>
        <w:t>” (</w:t>
      </w:r>
      <w:r w:rsidRPr="00765742">
        <w:rPr>
          <w:i/>
          <w:iCs/>
        </w:rPr>
        <w:t>ibid</w:t>
      </w:r>
      <w:r w:rsidRPr="00F601F8">
        <w:rPr>
          <w:i/>
          <w:iCs/>
        </w:rPr>
        <w:t>.</w:t>
      </w:r>
      <w:r>
        <w:t>)</w:t>
      </w:r>
      <w:r w:rsidR="006B055D">
        <w:t>,</w:t>
      </w:r>
      <w:r w:rsidRPr="00E93621">
        <w:t xml:space="preserve"> reasoning:</w:t>
      </w:r>
    </w:p>
    <w:p w14:paraId="1FFF9CEC" w14:textId="51186EFC" w:rsidR="0035691F" w:rsidRDefault="00A62C74" w:rsidP="0035691F">
      <w:pPr>
        <w:pStyle w:val="IndentedQuote"/>
      </w:pPr>
      <w:r w:rsidRPr="00E93621">
        <w:t>“Once a final, appealable order or judgment has been entered, the time to appeal begins to run</w:t>
      </w:r>
      <w:r w:rsidRPr="00E93621">
        <w:t xml:space="preserve">. </w:t>
      </w:r>
      <w:r w:rsidR="008226F5">
        <w:t xml:space="preserve"> </w:t>
      </w:r>
      <w:r w:rsidRPr="00E93621">
        <w:t xml:space="preserve">The [r]ules of [c]ourt do not provide, once a judgment or appealable order has been entered, that the time to appeal can be restarted or extended by the filing of a subsequent judgment or appealable order making the same decision. </w:t>
      </w:r>
      <w:r w:rsidR="008226F5">
        <w:t xml:space="preserve"> </w:t>
      </w:r>
      <w:r w:rsidRPr="00E93621">
        <w:t>Thus, once the August</w:t>
      </w:r>
      <w:r w:rsidRPr="00E93621">
        <w:t xml:space="preserve"> 23, 2000 order was entered, the time within which to file a notice of appeal therefrom began to run, and could not be restarted by the relabeling of the trial court</w:t>
      </w:r>
      <w:r w:rsidR="00122DAB">
        <w:t>’</w:t>
      </w:r>
      <w:r w:rsidRPr="00E93621">
        <w:t>s earlier decision and then entering such ‘judgment’ at a later date.</w:t>
      </w:r>
    </w:p>
    <w:p w14:paraId="2C33BC63" w14:textId="77777777" w:rsidR="0035691F" w:rsidRDefault="0035691F" w:rsidP="0035691F">
      <w:pPr>
        <w:pStyle w:val="IndentedQuote"/>
      </w:pPr>
    </w:p>
    <w:p w14:paraId="57CEF3B6" w14:textId="4723E4D1" w:rsidR="0035691F" w:rsidRDefault="00A62C74" w:rsidP="0035691F">
      <w:pPr>
        <w:pStyle w:val="IndentedQuote"/>
      </w:pPr>
      <w:r w:rsidRPr="00E93621">
        <w:t>“Because the partie</w:t>
      </w:r>
      <w:r w:rsidRPr="00E93621">
        <w:t>s failed to file timely notice of appeal from the August 23, 2000 order, the petitioner</w:t>
      </w:r>
      <w:r>
        <w:t>’</w:t>
      </w:r>
      <w:r w:rsidRPr="00E93621">
        <w:t>s appeal and respondent</w:t>
      </w:r>
      <w:r w:rsidR="00122DAB">
        <w:t>’</w:t>
      </w:r>
      <w:r w:rsidRPr="00E93621">
        <w:t xml:space="preserve">s cross-appeal, filed more than 180 days after entry of the August 23, 2000 order, were untimely, and both such appeals must be dismissed.” </w:t>
      </w:r>
      <w:r>
        <w:t xml:space="preserve"> </w:t>
      </w:r>
      <w:r w:rsidRPr="00E93621">
        <w:t>(</w:t>
      </w:r>
      <w:r w:rsidRPr="00E93621">
        <w:rPr>
          <w:i/>
          <w:iCs/>
        </w:rPr>
        <w:t>Ib</w:t>
      </w:r>
      <w:r w:rsidRPr="00E93621">
        <w:rPr>
          <w:i/>
          <w:iCs/>
        </w:rPr>
        <w:t>id.</w:t>
      </w:r>
      <w:r w:rsidRPr="00E93621">
        <w:t>)</w:t>
      </w:r>
    </w:p>
    <w:p w14:paraId="39686D7A" w14:textId="77777777" w:rsidR="0035691F" w:rsidRDefault="0035691F" w:rsidP="0035691F">
      <w:pPr>
        <w:pStyle w:val="IndentedQuote"/>
      </w:pPr>
    </w:p>
    <w:p w14:paraId="763CAB6C" w14:textId="55D79FED" w:rsidR="0035691F" w:rsidRPr="00E93621" w:rsidRDefault="00A62C74" w:rsidP="0035691F">
      <w:r>
        <w:lastRenderedPageBreak/>
        <w:tab/>
        <w:t xml:space="preserve">In </w:t>
      </w:r>
      <w:r>
        <w:rPr>
          <w:i/>
          <w:iCs/>
        </w:rPr>
        <w:t>City of Calexico</w:t>
      </w:r>
      <w:r w:rsidRPr="007F3C58">
        <w:rPr>
          <w:i/>
          <w:iCs/>
        </w:rPr>
        <w:t>, supra</w:t>
      </w:r>
      <w:r>
        <w:t xml:space="preserve">, </w:t>
      </w:r>
      <w:r w:rsidRPr="00E93621">
        <w:t xml:space="preserve">64 Cal.App.5th 180, </w:t>
      </w:r>
      <w:r>
        <w:t xml:space="preserve">this court relied on </w:t>
      </w:r>
      <w:r w:rsidRPr="007F3C58">
        <w:rPr>
          <w:i/>
          <w:iCs/>
        </w:rPr>
        <w:t>Laraway</w:t>
      </w:r>
      <w:r>
        <w:rPr>
          <w:rStyle w:val="FootnoteReference"/>
        </w:rPr>
        <w:footnoteReference w:id="12"/>
      </w:r>
      <w:r>
        <w:rPr>
          <w:i/>
          <w:iCs/>
        </w:rPr>
        <w:t xml:space="preserve"> </w:t>
      </w:r>
      <w:r w:rsidRPr="003E39A5">
        <w:t>i</w:t>
      </w:r>
      <w:r>
        <w:t>n concluding that a party had failed to timely file a cross-appeal from a September 24 ruling denying two petitions for writ of administrative mandate because the ruling</w:t>
      </w:r>
      <w:r>
        <w:t xml:space="preserve"> was a final judgment.</w:t>
      </w:r>
      <w:r>
        <w:rPr>
          <w:rStyle w:val="FootnoteReference"/>
        </w:rPr>
        <w:footnoteReference w:id="13"/>
      </w:r>
      <w:r>
        <w:t xml:space="preserve"> </w:t>
      </w:r>
      <w:r w:rsidR="008226F5">
        <w:t xml:space="preserve"> </w:t>
      </w:r>
      <w:r>
        <w:t>(</w:t>
      </w:r>
      <w:r>
        <w:rPr>
          <w:i/>
          <w:iCs/>
        </w:rPr>
        <w:t>City of Calexico</w:t>
      </w:r>
      <w:r w:rsidRPr="00F83F93">
        <w:rPr>
          <w:i/>
          <w:iCs/>
        </w:rPr>
        <w:t>, supra</w:t>
      </w:r>
      <w:r>
        <w:t xml:space="preserve">, at p. 183.)  The </w:t>
      </w:r>
      <w:r>
        <w:rPr>
          <w:i/>
          <w:iCs/>
        </w:rPr>
        <w:t>City of Calexico</w:t>
      </w:r>
      <w:r>
        <w:t xml:space="preserve"> court reasoned in part:</w:t>
      </w:r>
    </w:p>
    <w:p w14:paraId="108940BA" w14:textId="1CD66A9A" w:rsidR="0035691F" w:rsidRDefault="00A62C74" w:rsidP="0035691F">
      <w:pPr>
        <w:pStyle w:val="IndentedQuote"/>
      </w:pPr>
      <w:r>
        <w:t>“</w:t>
      </w:r>
      <w:r w:rsidRPr="00385392">
        <w:t>In the September 24 ruling, the trial court denied all of the parties</w:t>
      </w:r>
      <w:r>
        <w:t>’</w:t>
      </w:r>
      <w:r w:rsidRPr="00385392">
        <w:t xml:space="preserve"> claims for relief in their entirety, and did not contemplate any further action in the case. </w:t>
      </w:r>
      <w:r>
        <w:t xml:space="preserve"> </w:t>
      </w:r>
      <w:r w:rsidRPr="00385392">
        <w:t>Thus, as in</w:t>
      </w:r>
      <w:r w:rsidR="008226F5">
        <w:t xml:space="preserve"> </w:t>
      </w:r>
      <w:r w:rsidRPr="00385392">
        <w:rPr>
          <w:i/>
          <w:iCs/>
        </w:rPr>
        <w:t>Laraway</w:t>
      </w:r>
      <w:r w:rsidRPr="00385392">
        <w:t xml:space="preserve">, the September 24 ruling is </w:t>
      </w:r>
      <w:r>
        <w:t>‘</w:t>
      </w:r>
      <w:r w:rsidRPr="00385392">
        <w:t>properly treated as a final judgment</w:t>
      </w:r>
      <w:r>
        <w:t>’</w:t>
      </w:r>
      <w:r w:rsidRPr="00385392">
        <w:t xml:space="preserve"> because it </w:t>
      </w:r>
      <w:r>
        <w:t>‘</w:t>
      </w:r>
      <w:r w:rsidRPr="00385392">
        <w:t>contemplated no further action, such as the preparation of ano</w:t>
      </w:r>
      <w:r w:rsidRPr="00385392">
        <w:t>ther order or judgment [citation], and disposed of all issues between all parties.</w:t>
      </w:r>
      <w:r>
        <w:t>’</w:t>
      </w:r>
      <w:r w:rsidRPr="00385392">
        <w:t xml:space="preserve"> </w:t>
      </w:r>
      <w:r>
        <w:t xml:space="preserve"> </w:t>
      </w:r>
      <w:r w:rsidRPr="00385392">
        <w:t>(</w:t>
      </w:r>
      <w:r w:rsidRPr="00385392">
        <w:rPr>
          <w:i/>
          <w:iCs/>
        </w:rPr>
        <w:t>Laraway, supra</w:t>
      </w:r>
      <w:r w:rsidRPr="00385392">
        <w:t>, 98 Cal.App.4th at p. 583.)</w:t>
      </w:r>
    </w:p>
    <w:p w14:paraId="7C84E806" w14:textId="77777777" w:rsidR="0035691F" w:rsidRPr="00385392" w:rsidRDefault="0035691F" w:rsidP="0035691F">
      <w:pPr>
        <w:pStyle w:val="IndentedQuote"/>
      </w:pPr>
    </w:p>
    <w:p w14:paraId="11C620D3" w14:textId="26511EE7" w:rsidR="0035691F" w:rsidRDefault="00A62C74" w:rsidP="0035691F">
      <w:pPr>
        <w:pStyle w:val="IndentedQuote"/>
      </w:pPr>
      <w:r>
        <w:t>“</w:t>
      </w:r>
      <w:r w:rsidRPr="00385392">
        <w:t xml:space="preserve">While the City correctly notes in its letter brief that </w:t>
      </w:r>
      <w:r>
        <w:t>‘</w:t>
      </w:r>
      <w:r w:rsidRPr="00385392">
        <w:t>the City filed a proposed judgment with the superior court, which th</w:t>
      </w:r>
      <w:r w:rsidRPr="00385392">
        <w:t>e superior court signed on November 21, 2019,</w:t>
      </w:r>
      <w:r>
        <w:t>’</w:t>
      </w:r>
      <w:r w:rsidRPr="00385392">
        <w:t xml:space="preserve"> as in </w:t>
      </w:r>
      <w:r w:rsidRPr="00385392">
        <w:rPr>
          <w:i/>
          <w:iCs/>
        </w:rPr>
        <w:t>Laraway</w:t>
      </w:r>
      <w:r w:rsidRPr="00385392">
        <w:t xml:space="preserve">, this second judgment </w:t>
      </w:r>
      <w:r>
        <w:t>‘</w:t>
      </w:r>
      <w:r w:rsidRPr="00385392">
        <w:t>simply reiterated</w:t>
      </w:r>
      <w:r>
        <w:t>’</w:t>
      </w:r>
      <w:r w:rsidRPr="00385392">
        <w:t xml:space="preserve"> that the court had ruled on the petition and </w:t>
      </w:r>
      <w:r>
        <w:t>‘</w:t>
      </w:r>
      <w:r w:rsidRPr="00385392">
        <w:t>set forth the same rulings as contained in the order denying the petition.</w:t>
      </w:r>
      <w:r>
        <w:t>’</w:t>
      </w:r>
      <w:r w:rsidRPr="00385392">
        <w:t xml:space="preserve"> </w:t>
      </w:r>
      <w:r>
        <w:t xml:space="preserve"> </w:t>
      </w:r>
      <w:r w:rsidRPr="00385392">
        <w:lastRenderedPageBreak/>
        <w:t>(</w:t>
      </w:r>
      <w:r w:rsidRPr="00385392">
        <w:rPr>
          <w:i/>
          <w:iCs/>
        </w:rPr>
        <w:t>Laraway, supra</w:t>
      </w:r>
      <w:r w:rsidRPr="00385392">
        <w:t>, 98 Cal.App.4t</w:t>
      </w:r>
      <w:r w:rsidRPr="00385392">
        <w:t>h at p. 582.)</w:t>
      </w:r>
      <w:r>
        <w:t xml:space="preserve"> </w:t>
      </w:r>
      <w:r w:rsidRPr="00385392">
        <w:t xml:space="preserve"> There is nothing in the September 24 ruling itself, nor anything else in the record, demonstrating that the trial court contemplated that the court or the parties would take further action in the case such that the September 24 ruling was no</w:t>
      </w:r>
      <w:r w:rsidRPr="00385392">
        <w:t>t final and therefore, appealable.</w:t>
      </w:r>
      <w:r>
        <w:t xml:space="preserve"> </w:t>
      </w:r>
      <w:r w:rsidRPr="00385392">
        <w:t xml:space="preserve"> The mere fact that the trial court entered a subsequent judgment after issuing the September 24 ruling is irrelevant, because the September 24 ruling was itself a final judgment. </w:t>
      </w:r>
      <w:r w:rsidR="008226F5">
        <w:t xml:space="preserve"> </w:t>
      </w:r>
      <w:r w:rsidRPr="00385392">
        <w:t>(See</w:t>
      </w:r>
      <w:r w:rsidR="008226F5">
        <w:t xml:space="preserve"> </w:t>
      </w:r>
      <w:r w:rsidRPr="00385392">
        <w:rPr>
          <w:i/>
          <w:iCs/>
        </w:rPr>
        <w:t>Laraway, supra</w:t>
      </w:r>
      <w:r w:rsidRPr="00385392">
        <w:t>, at p. 583</w:t>
      </w:r>
      <w:r>
        <w:t>.</w:t>
      </w:r>
      <w:r w:rsidRPr="00385392">
        <w:t>)</w:t>
      </w:r>
      <w:r>
        <w:t>”</w:t>
      </w:r>
      <w:r>
        <w:rPr>
          <w:rStyle w:val="FootnoteReference"/>
        </w:rPr>
        <w:footnoteReference w:id="14"/>
      </w:r>
      <w:r w:rsidR="002673E6">
        <w:t xml:space="preserve">  (</w:t>
      </w:r>
      <w:r w:rsidR="002673E6" w:rsidRPr="002673E6">
        <w:rPr>
          <w:i/>
          <w:iCs/>
        </w:rPr>
        <w:t>City of Calexico</w:t>
      </w:r>
      <w:r w:rsidR="002673E6" w:rsidRPr="006702BB">
        <w:t xml:space="preserve">, </w:t>
      </w:r>
      <w:r w:rsidR="002673E6" w:rsidRPr="002673E6">
        <w:t>at p. 19</w:t>
      </w:r>
      <w:r w:rsidR="00B2796E">
        <w:t>2</w:t>
      </w:r>
      <w:r w:rsidR="006702BB">
        <w:t>.)</w:t>
      </w:r>
    </w:p>
    <w:p w14:paraId="78E5EED4" w14:textId="77777777" w:rsidR="0035691F" w:rsidRDefault="0035691F" w:rsidP="0035691F">
      <w:pPr>
        <w:pStyle w:val="IndentedQuote"/>
      </w:pPr>
    </w:p>
    <w:p w14:paraId="2808335A" w14:textId="6D6D61F8" w:rsidR="0035691F" w:rsidRDefault="00A62C74" w:rsidP="0035691F">
      <w:r>
        <w:tab/>
        <w:t xml:space="preserve">In </w:t>
      </w:r>
      <w:r w:rsidRPr="005015DF">
        <w:rPr>
          <w:i/>
          <w:iCs/>
        </w:rPr>
        <w:t>Valero</w:t>
      </w:r>
      <w:r w:rsidRPr="00A30291">
        <w:rPr>
          <w:i/>
          <w:iCs/>
        </w:rPr>
        <w:t xml:space="preserve">, </w:t>
      </w:r>
      <w:r w:rsidRPr="00205A80">
        <w:rPr>
          <w:i/>
          <w:iCs/>
        </w:rPr>
        <w:t>supra</w:t>
      </w:r>
      <w:r>
        <w:t>, 49 Cal.App.5th 618</w:t>
      </w:r>
      <w:r w:rsidR="006B055D">
        <w:t>,</w:t>
      </w:r>
      <w:r>
        <w:t xml:space="preserve"> the plaintiff </w:t>
      </w:r>
      <w:r w:rsidRPr="00F83F13">
        <w:t>filed a petition for writ of mandate pursuant to section 1094.5</w:t>
      </w:r>
      <w:r>
        <w:t>.  (</w:t>
      </w:r>
      <w:r>
        <w:rPr>
          <w:i/>
          <w:iCs/>
        </w:rPr>
        <w:t>Valero, supra</w:t>
      </w:r>
      <w:r w:rsidRPr="00A30291">
        <w:t xml:space="preserve">, </w:t>
      </w:r>
      <w:r>
        <w:t xml:space="preserve">at p. 632.)  The trial court “issued a writ of mandate,” vacated an </w:t>
      </w:r>
      <w:r>
        <w:t>administrative decision, and remanded for further administrative proceedings.  (</w:t>
      </w:r>
      <w:r w:rsidRPr="005015DF">
        <w:rPr>
          <w:i/>
          <w:iCs/>
        </w:rPr>
        <w:t>Ibid</w:t>
      </w:r>
      <w:r w:rsidRPr="00F601F8">
        <w:rPr>
          <w:i/>
          <w:iCs/>
        </w:rPr>
        <w:t>.</w:t>
      </w:r>
      <w:r>
        <w:t xml:space="preserve">)  The </w:t>
      </w:r>
      <w:r>
        <w:lastRenderedPageBreak/>
        <w:t xml:space="preserve">defendants, referred to by the </w:t>
      </w:r>
      <w:r w:rsidRPr="005015DF">
        <w:rPr>
          <w:i/>
          <w:iCs/>
        </w:rPr>
        <w:t>Valero</w:t>
      </w:r>
      <w:r>
        <w:t xml:space="preserve"> court as the “air district parties” (</w:t>
      </w:r>
      <w:r w:rsidRPr="005015DF">
        <w:rPr>
          <w:i/>
          <w:iCs/>
        </w:rPr>
        <w:t>ibid</w:t>
      </w:r>
      <w:r w:rsidRPr="00F601F8">
        <w:rPr>
          <w:i/>
          <w:iCs/>
        </w:rPr>
        <w:t>.</w:t>
      </w:r>
      <w:r>
        <w:t>), filed an appeal.  (</w:t>
      </w:r>
      <w:r w:rsidRPr="005015DF">
        <w:rPr>
          <w:i/>
          <w:iCs/>
        </w:rPr>
        <w:t>Id</w:t>
      </w:r>
      <w:r w:rsidRPr="00F601F8">
        <w:rPr>
          <w:i/>
          <w:iCs/>
        </w:rPr>
        <w:t>.</w:t>
      </w:r>
      <w:r>
        <w:t xml:space="preserve"> at p. 633.)</w:t>
      </w:r>
    </w:p>
    <w:p w14:paraId="5DA6D2BE" w14:textId="196FDC22" w:rsidR="0035691F" w:rsidRPr="00B477A7" w:rsidRDefault="00A62C74" w:rsidP="0035691F">
      <w:r>
        <w:tab/>
        <w:t xml:space="preserve">The </w:t>
      </w:r>
      <w:r w:rsidRPr="005015DF">
        <w:rPr>
          <w:i/>
          <w:iCs/>
        </w:rPr>
        <w:t>Valero</w:t>
      </w:r>
      <w:r>
        <w:t xml:space="preserve"> court considered whether it had ap</w:t>
      </w:r>
      <w:r>
        <w:t>pellate jurisdiction over the matter, explaining, “</w:t>
      </w:r>
      <w:r w:rsidRPr="00F83F13">
        <w:t>In this case, the air district parties filed their notice of appeal more than 60 days after the superior court clerk mailed the parties a file-stamped copy of the appealable judgment accompanied by a proof</w:t>
      </w:r>
      <w:r w:rsidRPr="00F83F13">
        <w:t xml:space="preserve"> of service, and so we requested supplemental briefing concerning the appeal</w:t>
      </w:r>
      <w:r>
        <w:t>’</w:t>
      </w:r>
      <w:r w:rsidRPr="00F83F13">
        <w:t>s timeliness</w:t>
      </w:r>
      <w:r>
        <w:t>.”  (</w:t>
      </w:r>
      <w:r w:rsidRPr="005015DF">
        <w:rPr>
          <w:i/>
          <w:iCs/>
        </w:rPr>
        <w:t>Valero, supra</w:t>
      </w:r>
      <w:r>
        <w:t xml:space="preserve">, 49 Cal.App.5th at p. 633.)  In a footnote immediately following this statement, the </w:t>
      </w:r>
      <w:r w:rsidRPr="005015DF">
        <w:rPr>
          <w:i/>
          <w:iCs/>
        </w:rPr>
        <w:t>Valero</w:t>
      </w:r>
      <w:r>
        <w:t xml:space="preserve"> court stated, </w:t>
      </w:r>
      <w:r w:rsidRPr="00C176D2">
        <w:t>“Contrary to the suggestion by the air dis</w:t>
      </w:r>
      <w:r w:rsidRPr="00C176D2">
        <w:t>trict parties, the appealable judgment was the court’s order granting a writ of mandate, not a ‘judgment’ that it subsequently entered.</w:t>
      </w:r>
      <w:r w:rsidRPr="00F83F13">
        <w:t xml:space="preserve"> </w:t>
      </w:r>
      <w:r>
        <w:t xml:space="preserve"> </w:t>
      </w:r>
      <w:r w:rsidRPr="00F83F13">
        <w:t>(See</w:t>
      </w:r>
      <w:r w:rsidR="008226F5">
        <w:t xml:space="preserve"> </w:t>
      </w:r>
      <w:r w:rsidRPr="00F83F13">
        <w:rPr>
          <w:i/>
          <w:iCs/>
        </w:rPr>
        <w:t>Molloy</w:t>
      </w:r>
      <w:r w:rsidRPr="006702BB">
        <w:t>[</w:t>
      </w:r>
      <w:r w:rsidR="006702BB" w:rsidRPr="006702BB">
        <w:rPr>
          <w:i/>
          <w:iCs/>
        </w:rPr>
        <w:t xml:space="preserve">, </w:t>
      </w:r>
      <w:r>
        <w:rPr>
          <w:i/>
          <w:iCs/>
        </w:rPr>
        <w:t>supra</w:t>
      </w:r>
      <w:r w:rsidRPr="00A30291">
        <w:t xml:space="preserve">, </w:t>
      </w:r>
      <w:r w:rsidRPr="00F83F13">
        <w:t xml:space="preserve">42 Cal.App.5th </w:t>
      </w:r>
      <w:r>
        <w:t>at p.]</w:t>
      </w:r>
      <w:r w:rsidRPr="00F83F13">
        <w:t xml:space="preserve"> 753, fn. 6</w:t>
      </w:r>
      <w:r>
        <w:t xml:space="preserve">.)” </w:t>
      </w:r>
      <w:r w:rsidR="008226F5">
        <w:t xml:space="preserve"> </w:t>
      </w:r>
      <w:r>
        <w:t>(</w:t>
      </w:r>
      <w:r w:rsidR="006702BB" w:rsidRPr="006702BB">
        <w:rPr>
          <w:i/>
          <w:iCs/>
        </w:rPr>
        <w:t>Id.</w:t>
      </w:r>
      <w:r w:rsidR="006702BB">
        <w:t xml:space="preserve"> </w:t>
      </w:r>
      <w:r>
        <w:t>at p. 633, fn. 10.)  Notwithstanding that the air distri</w:t>
      </w:r>
      <w:r>
        <w:t>ct parties’ notice of appeal was filed more than 60 days after the filing of the appealable judgment (i.e.</w:t>
      </w:r>
      <w:r w:rsidR="008226F5">
        <w:t>,</w:t>
      </w:r>
      <w:r>
        <w:t xml:space="preserve"> </w:t>
      </w:r>
      <w:r w:rsidRPr="00F83F13">
        <w:t>the court</w:t>
      </w:r>
      <w:r>
        <w:t>’</w:t>
      </w:r>
      <w:r w:rsidRPr="00F83F13">
        <w:t>s order granting a writ of mandate</w:t>
      </w:r>
      <w:r>
        <w:t xml:space="preserve">), the </w:t>
      </w:r>
      <w:r w:rsidRPr="005015DF">
        <w:rPr>
          <w:i/>
          <w:iCs/>
        </w:rPr>
        <w:t>Valero</w:t>
      </w:r>
      <w:r>
        <w:t xml:space="preserve"> court concluded that it had jurisdiction over the appeal because the superior court clerk’</w:t>
      </w:r>
      <w:r>
        <w:t>s service was improper</w:t>
      </w:r>
      <w:r>
        <w:rPr>
          <w:rStyle w:val="FootnoteReference"/>
        </w:rPr>
        <w:footnoteReference w:id="15"/>
      </w:r>
      <w:r>
        <w:t xml:space="preserve"> and thus did not commence the time to file a notice of appeal under rule 8.104.  (</w:t>
      </w:r>
      <w:r w:rsidRPr="005015DF">
        <w:rPr>
          <w:i/>
          <w:iCs/>
        </w:rPr>
        <w:t>Valero, supra</w:t>
      </w:r>
      <w:r>
        <w:t>, at p. 633.)</w:t>
      </w:r>
    </w:p>
    <w:p w14:paraId="7E02122E" w14:textId="52A70AAE" w:rsidR="0035691F" w:rsidRDefault="00A62C74" w:rsidP="009E2A39">
      <w:pPr>
        <w:keepNext/>
        <w:rPr>
          <w:i/>
          <w:iCs/>
        </w:rPr>
      </w:pPr>
      <w:r>
        <w:t xml:space="preserve">B. </w:t>
      </w:r>
      <w:r w:rsidR="009E2A39">
        <w:t xml:space="preserve">  </w:t>
      </w:r>
      <w:r w:rsidRPr="00986B99">
        <w:rPr>
          <w:i/>
          <w:iCs/>
        </w:rPr>
        <w:t>The August 6 ruling is a final judgment</w:t>
      </w:r>
    </w:p>
    <w:p w14:paraId="30807A14" w14:textId="03052725" w:rsidR="0035691F" w:rsidRDefault="00A62C74" w:rsidP="0035691F">
      <w:r>
        <w:rPr>
          <w:i/>
          <w:iCs/>
        </w:rPr>
        <w:tab/>
      </w:r>
      <w:r w:rsidRPr="00BB220E">
        <w:t xml:space="preserve">The trial court’s August 6 ruling denied Officer Meinhardt’s </w:t>
      </w:r>
      <w:r w:rsidRPr="00BB220E">
        <w:t>petition for writ of administrative mandate in its</w:t>
      </w:r>
      <w:r>
        <w:rPr>
          <w:i/>
          <w:iCs/>
        </w:rPr>
        <w:t xml:space="preserve"> </w:t>
      </w:r>
      <w:r w:rsidRPr="00385392">
        <w:t xml:space="preserve">entirety and did not contemplate any further action in the case. </w:t>
      </w:r>
      <w:r>
        <w:t xml:space="preserve"> (See pt. II.B, </w:t>
      </w:r>
      <w:r w:rsidRPr="009B3B06">
        <w:rPr>
          <w:i/>
          <w:iCs/>
        </w:rPr>
        <w:t>ante</w:t>
      </w:r>
      <w:r>
        <w:t xml:space="preserve">.)  Although the August 6 ruling is denominated an “Order,” the law is well established in this context that, </w:t>
      </w:r>
      <w:r w:rsidR="006702BB">
        <w:t>“</w:t>
      </w:r>
      <w:r w:rsidR="006B055D">
        <w:t> </w:t>
      </w:r>
      <w:r w:rsidR="006702BB">
        <w:t>‘</w:t>
      </w:r>
      <w:r w:rsidR="006B055D">
        <w:t> </w:t>
      </w:r>
      <w:r>
        <w:t>“[i]</w:t>
      </w:r>
      <w:r w:rsidRPr="00267D50">
        <w:t xml:space="preserve">t </w:t>
      </w:r>
      <w:r w:rsidRPr="00267D50">
        <w:t xml:space="preserve">is not the form of the decree but the substance and effect of the </w:t>
      </w:r>
      <w:r w:rsidRPr="00267D50">
        <w:lastRenderedPageBreak/>
        <w:t>adjudication which is determinative.</w:t>
      </w:r>
      <w:r w:rsidR="006702BB">
        <w:t xml:space="preserve">” ’ </w:t>
      </w:r>
      <w:r>
        <w:t>”  (</w:t>
      </w:r>
      <w:r w:rsidRPr="009B3B06">
        <w:rPr>
          <w:i/>
          <w:iCs/>
        </w:rPr>
        <w:t>Dhillon</w:t>
      </w:r>
      <w:r>
        <w:rPr>
          <w:i/>
          <w:iCs/>
        </w:rPr>
        <w:t>, supra</w:t>
      </w:r>
      <w:r w:rsidRPr="00A30291">
        <w:t xml:space="preserve">, </w:t>
      </w:r>
      <w:r w:rsidRPr="009B3B06">
        <w:t xml:space="preserve">2 Cal.5th </w:t>
      </w:r>
      <w:r>
        <w:t>at p.</w:t>
      </w:r>
      <w:r w:rsidR="00676468">
        <w:t xml:space="preserve"> </w:t>
      </w:r>
      <w:r w:rsidRPr="009B3B06">
        <w:t>1115</w:t>
      </w:r>
      <w:r>
        <w:t xml:space="preserve">, quoting </w:t>
      </w:r>
      <w:r w:rsidRPr="009B3B06">
        <w:rPr>
          <w:i/>
          <w:iCs/>
        </w:rPr>
        <w:t>Grise</w:t>
      </w:r>
      <w:r w:rsidRPr="00A30291">
        <w:rPr>
          <w:i/>
          <w:iCs/>
        </w:rPr>
        <w:t>t,</w:t>
      </w:r>
      <w:r w:rsidR="00A30291" w:rsidRPr="00A30291">
        <w:rPr>
          <w:i/>
          <w:iCs/>
        </w:rPr>
        <w:t xml:space="preserve"> </w:t>
      </w:r>
      <w:r w:rsidRPr="009B3B06">
        <w:rPr>
          <w:i/>
          <w:iCs/>
        </w:rPr>
        <w:t>supra</w:t>
      </w:r>
      <w:r w:rsidRPr="009B3B06">
        <w:t>, 25 Cal.4th at p. 698</w:t>
      </w:r>
      <w:r>
        <w:t>.)</w:t>
      </w:r>
    </w:p>
    <w:p w14:paraId="4BD82569" w14:textId="679E0A38" w:rsidR="0035691F" w:rsidRDefault="00A62C74" w:rsidP="0035691F">
      <w:r>
        <w:tab/>
        <w:t xml:space="preserve">Applying that test here, and consistent with </w:t>
      </w:r>
      <w:r w:rsidRPr="00385392">
        <w:rPr>
          <w:i/>
          <w:iCs/>
        </w:rPr>
        <w:t>Laraway</w:t>
      </w:r>
      <w:r>
        <w:t xml:space="preserve"> and </w:t>
      </w:r>
      <w:r>
        <w:rPr>
          <w:i/>
          <w:iCs/>
        </w:rPr>
        <w:t>City</w:t>
      </w:r>
      <w:r>
        <w:rPr>
          <w:i/>
          <w:iCs/>
        </w:rPr>
        <w:t xml:space="preserve"> of Calexico </w:t>
      </w:r>
      <w:r w:rsidRPr="0083685E">
        <w:t>as well as the cases cited in part III.</w:t>
      </w:r>
      <w:r>
        <w:t>A.</w:t>
      </w:r>
      <w:r w:rsidRPr="0083685E">
        <w:t xml:space="preserve">2.c, </w:t>
      </w:r>
      <w:r w:rsidRPr="0083685E">
        <w:rPr>
          <w:i/>
          <w:iCs/>
        </w:rPr>
        <w:t>ante</w:t>
      </w:r>
      <w:r>
        <w:t>, the</w:t>
      </w:r>
      <w:r w:rsidRPr="00385392">
        <w:t xml:space="preserve"> </w:t>
      </w:r>
      <w:r>
        <w:t>August 6 ruling i</w:t>
      </w:r>
      <w:r w:rsidRPr="00385392">
        <w:t>s</w:t>
      </w:r>
      <w:r>
        <w:t xml:space="preserve"> </w:t>
      </w:r>
      <w:r w:rsidRPr="00C156D6">
        <w:t>“</w:t>
      </w:r>
      <w:r w:rsidR="00122DAB">
        <w:t xml:space="preserve"> </w:t>
      </w:r>
      <w:r>
        <w:t>‘</w:t>
      </w:r>
      <w:r w:rsidRPr="00C156D6">
        <w:t>properly treated as a final judgment</w:t>
      </w:r>
      <w:r>
        <w:t>’</w:t>
      </w:r>
      <w:r w:rsidRPr="00C156D6">
        <w:t xml:space="preserve"> because it </w:t>
      </w:r>
      <w:r>
        <w:t>‘</w:t>
      </w:r>
      <w:r w:rsidRPr="00C156D6">
        <w:t>contemplated no further action, such as the preparation of another order or judgment [citation], and disposed of al</w:t>
      </w:r>
      <w:r w:rsidRPr="00C156D6">
        <w:t>l issues between all parties.</w:t>
      </w:r>
      <w:r>
        <w:t>’</w:t>
      </w:r>
      <w:r w:rsidR="00122DAB">
        <w:t xml:space="preserve"> </w:t>
      </w:r>
      <w:r>
        <w:t>”  (</w:t>
      </w:r>
      <w:r w:rsidRPr="00C156D6">
        <w:rPr>
          <w:i/>
          <w:iCs/>
        </w:rPr>
        <w:t>City of Calexico</w:t>
      </w:r>
      <w:r>
        <w:rPr>
          <w:i/>
          <w:iCs/>
        </w:rPr>
        <w:t>, supra</w:t>
      </w:r>
      <w:r w:rsidRPr="00A30291">
        <w:t xml:space="preserve">, </w:t>
      </w:r>
      <w:r w:rsidRPr="00C156D6">
        <w:t>64</w:t>
      </w:r>
      <w:r w:rsidR="008226F5">
        <w:t> </w:t>
      </w:r>
      <w:r w:rsidRPr="00C156D6">
        <w:t xml:space="preserve">Cal.App.5th </w:t>
      </w:r>
      <w:r>
        <w:t>at p.</w:t>
      </w:r>
      <w:r w:rsidRPr="00C156D6">
        <w:t xml:space="preserve"> 192</w:t>
      </w:r>
      <w:r>
        <w:t xml:space="preserve">, quoting </w:t>
      </w:r>
      <w:r w:rsidRPr="00385392">
        <w:rPr>
          <w:i/>
          <w:iCs/>
        </w:rPr>
        <w:t>Laraway, supra</w:t>
      </w:r>
      <w:r w:rsidRPr="00385392">
        <w:t>, 98 Cal.App.4th at p. 583.)</w:t>
      </w:r>
    </w:p>
    <w:p w14:paraId="3E20064F" w14:textId="17616C3E" w:rsidR="0035691F" w:rsidRDefault="00A62C74" w:rsidP="0035691F">
      <w:r>
        <w:tab/>
        <w:t xml:space="preserve">Further, </w:t>
      </w:r>
      <w:r w:rsidRPr="00D95DC7">
        <w:t>the fact that the trial court entered a document denominated a</w:t>
      </w:r>
      <w:r>
        <w:t xml:space="preserve">s a </w:t>
      </w:r>
      <w:r w:rsidRPr="00D95DC7">
        <w:t xml:space="preserve">“judgment” on </w:t>
      </w:r>
      <w:r>
        <w:t>September 25</w:t>
      </w:r>
      <w:r w:rsidRPr="00D95DC7">
        <w:t xml:space="preserve"> </w:t>
      </w:r>
      <w:r>
        <w:t xml:space="preserve">(see pt. II.D, </w:t>
      </w:r>
      <w:r w:rsidRPr="00D95DC7">
        <w:rPr>
          <w:i/>
          <w:iCs/>
        </w:rPr>
        <w:t>ante</w:t>
      </w:r>
      <w:r>
        <w:t xml:space="preserve">) </w:t>
      </w:r>
      <w:r w:rsidRPr="00D95DC7">
        <w:t xml:space="preserve">after having issued the </w:t>
      </w:r>
      <w:r>
        <w:t>August 6</w:t>
      </w:r>
      <w:r w:rsidRPr="00D95DC7">
        <w:t xml:space="preserve"> ruling is irrelevant, because the </w:t>
      </w:r>
      <w:r>
        <w:t>August 6</w:t>
      </w:r>
      <w:r w:rsidRPr="00D95DC7">
        <w:t xml:space="preserve"> ruling was itself a final judgment.</w:t>
      </w:r>
      <w:r>
        <w:t xml:space="preserve">  Thus, Officer Meinhardt’s </w:t>
      </w:r>
      <w:r w:rsidRPr="00D95DC7">
        <w:t xml:space="preserve">period </w:t>
      </w:r>
      <w:r>
        <w:t xml:space="preserve">within which </w:t>
      </w:r>
      <w:r w:rsidRPr="00D95DC7">
        <w:t>to appeal was not restarted by the trial court</w:t>
      </w:r>
      <w:r>
        <w:t>’</w:t>
      </w:r>
      <w:r w:rsidRPr="00D95DC7">
        <w:t xml:space="preserve">s </w:t>
      </w:r>
      <w:r>
        <w:t xml:space="preserve">filing </w:t>
      </w:r>
      <w:r w:rsidRPr="00D95DC7">
        <w:t xml:space="preserve">of the </w:t>
      </w:r>
      <w:r>
        <w:t>September 25</w:t>
      </w:r>
      <w:r w:rsidRPr="00D95DC7">
        <w:t xml:space="preserve"> </w:t>
      </w:r>
      <w:r>
        <w:t xml:space="preserve">document styled as a </w:t>
      </w:r>
      <w:r w:rsidRPr="00D95DC7">
        <w:t>“judgment” that merely reiterated the rulings contained in the court</w:t>
      </w:r>
      <w:r>
        <w:t>’</w:t>
      </w:r>
      <w:r w:rsidRPr="00D95DC7">
        <w:t xml:space="preserve">s </w:t>
      </w:r>
      <w:r>
        <w:t>August 6</w:t>
      </w:r>
      <w:r w:rsidRPr="00D95DC7">
        <w:t xml:space="preserve"> ruling.</w:t>
      </w:r>
      <w:r>
        <w:t xml:space="preserve">  (See</w:t>
      </w:r>
      <w:r w:rsidR="008226F5">
        <w:t xml:space="preserve"> </w:t>
      </w:r>
      <w:r w:rsidRPr="00D95DC7">
        <w:rPr>
          <w:i/>
          <w:iCs/>
        </w:rPr>
        <w:t>Laraway, supra</w:t>
      </w:r>
      <w:r w:rsidRPr="00D95DC7">
        <w:t>, 98 Cal.App.4th at p. 583</w:t>
      </w:r>
      <w:r>
        <w:t xml:space="preserve">; </w:t>
      </w:r>
      <w:r w:rsidRPr="00D95DC7">
        <w:rPr>
          <w:i/>
          <w:iCs/>
        </w:rPr>
        <w:t>City of Calexico</w:t>
      </w:r>
      <w:r>
        <w:rPr>
          <w:i/>
          <w:iCs/>
        </w:rPr>
        <w:t>, supra</w:t>
      </w:r>
      <w:r w:rsidRPr="00A30291">
        <w:t xml:space="preserve">, </w:t>
      </w:r>
      <w:r w:rsidRPr="00D95DC7">
        <w:t>64 Cal.App.5th</w:t>
      </w:r>
      <w:r>
        <w:t xml:space="preserve"> at p. </w:t>
      </w:r>
      <w:r w:rsidRPr="00D95DC7">
        <w:t>195</w:t>
      </w:r>
      <w:r>
        <w:t xml:space="preserve">; accord </w:t>
      </w:r>
      <w:r w:rsidRPr="005015DF">
        <w:rPr>
          <w:i/>
          <w:iCs/>
        </w:rPr>
        <w:t>Valero, supra</w:t>
      </w:r>
      <w:r>
        <w:t xml:space="preserve">, </w:t>
      </w:r>
      <w:r w:rsidR="00FF2159">
        <w:t xml:space="preserve">49 Cal.App.5th </w:t>
      </w:r>
      <w:r>
        <w:t>at p.</w:t>
      </w:r>
      <w:r w:rsidR="00FF2159">
        <w:t> </w:t>
      </w:r>
      <w:r>
        <w:t xml:space="preserve">633, </w:t>
      </w:r>
      <w:r>
        <w:t>fn. 10.)</w:t>
      </w:r>
    </w:p>
    <w:p w14:paraId="6D9EE461" w14:textId="72F30F9B" w:rsidR="0035691F" w:rsidRDefault="00A62C74" w:rsidP="004152C8">
      <w:pPr>
        <w:keepNext/>
        <w:tabs>
          <w:tab w:val="left" w:pos="450"/>
        </w:tabs>
        <w:spacing w:line="240" w:lineRule="auto"/>
      </w:pPr>
      <w:r>
        <w:t>C.</w:t>
      </w:r>
      <w:r w:rsidR="009E2A39">
        <w:t xml:space="preserve">  </w:t>
      </w:r>
      <w:r>
        <w:t xml:space="preserve"> </w:t>
      </w:r>
      <w:r w:rsidRPr="00EE6951">
        <w:rPr>
          <w:i/>
          <w:iCs/>
        </w:rPr>
        <w:t xml:space="preserve">Officer Meinhardt’s arguments to the contrary are ultimately </w:t>
      </w:r>
      <w:r w:rsidR="009E2A39">
        <w:rPr>
          <w:i/>
          <w:iCs/>
        </w:rPr>
        <w:tab/>
      </w:r>
      <w:r w:rsidRPr="00EE6951">
        <w:rPr>
          <w:i/>
          <w:iCs/>
        </w:rPr>
        <w:t>unpersuasive</w:t>
      </w:r>
    </w:p>
    <w:p w14:paraId="03AC5BB9" w14:textId="77777777" w:rsidR="0035691F" w:rsidRDefault="0035691F" w:rsidP="004152C8">
      <w:pPr>
        <w:keepNext/>
        <w:spacing w:line="240" w:lineRule="auto"/>
      </w:pPr>
    </w:p>
    <w:p w14:paraId="06476CB3" w14:textId="52D1B35B" w:rsidR="0035691F" w:rsidRDefault="00A62C74" w:rsidP="0035691F">
      <w:r>
        <w:tab/>
        <w:t xml:space="preserve">Officer Meinhardt’s supplemental letter brief on appealability contends that the August 6 ruling was not a final judgment.  Although he makes several arguments that </w:t>
      </w:r>
      <w:r>
        <w:t>are worthy of consideration, for the reasons described below, we conclude that none is persuasive.</w:t>
      </w:r>
    </w:p>
    <w:p w14:paraId="7D21D41C" w14:textId="16C99C00" w:rsidR="0035691F" w:rsidRDefault="00A62C74" w:rsidP="004152C8">
      <w:pPr>
        <w:keepNext/>
        <w:tabs>
          <w:tab w:val="left" w:pos="720"/>
          <w:tab w:val="left" w:pos="1170"/>
        </w:tabs>
        <w:spacing w:line="240" w:lineRule="auto"/>
      </w:pPr>
      <w:r>
        <w:tab/>
        <w:t>1.</w:t>
      </w:r>
      <w:r w:rsidR="009E2A39">
        <w:t xml:space="preserve">  </w:t>
      </w:r>
      <w:r>
        <w:t xml:space="preserve"> </w:t>
      </w:r>
      <w:r w:rsidRPr="00873EDD">
        <w:rPr>
          <w:i/>
          <w:iCs/>
        </w:rPr>
        <w:t xml:space="preserve">A ruling on a petition for writ of administrative mandate that is </w:t>
      </w:r>
      <w:r w:rsidR="009E2A39">
        <w:rPr>
          <w:i/>
          <w:iCs/>
        </w:rPr>
        <w:tab/>
      </w:r>
      <w:r w:rsidR="009E2A39">
        <w:rPr>
          <w:i/>
          <w:iCs/>
        </w:rPr>
        <w:tab/>
      </w:r>
      <w:r w:rsidR="009E2A39">
        <w:rPr>
          <w:i/>
          <w:iCs/>
        </w:rPr>
        <w:tab/>
      </w:r>
      <w:r w:rsidRPr="00873EDD">
        <w:rPr>
          <w:i/>
          <w:iCs/>
        </w:rPr>
        <w:t xml:space="preserve">denominated an </w:t>
      </w:r>
      <w:r>
        <w:rPr>
          <w:i/>
          <w:iCs/>
        </w:rPr>
        <w:t>“</w:t>
      </w:r>
      <w:r w:rsidRPr="00873EDD">
        <w:rPr>
          <w:i/>
          <w:iCs/>
        </w:rPr>
        <w:t>order</w:t>
      </w:r>
      <w:r>
        <w:rPr>
          <w:i/>
          <w:iCs/>
        </w:rPr>
        <w:t>”</w:t>
      </w:r>
      <w:r w:rsidRPr="00873EDD">
        <w:rPr>
          <w:i/>
          <w:iCs/>
        </w:rPr>
        <w:t xml:space="preserve"> constitute</w:t>
      </w:r>
      <w:r>
        <w:rPr>
          <w:i/>
          <w:iCs/>
        </w:rPr>
        <w:t>s</w:t>
      </w:r>
      <w:r w:rsidRPr="00873EDD">
        <w:rPr>
          <w:i/>
          <w:iCs/>
        </w:rPr>
        <w:t xml:space="preserve"> a judgment </w:t>
      </w:r>
      <w:r w:rsidRPr="00EE6951">
        <w:rPr>
          <w:i/>
          <w:iCs/>
        </w:rPr>
        <w:t xml:space="preserve">when such order has </w:t>
      </w:r>
      <w:r w:rsidR="009E2A39">
        <w:rPr>
          <w:i/>
          <w:iCs/>
        </w:rPr>
        <w:tab/>
      </w:r>
      <w:r w:rsidR="009E2A39">
        <w:rPr>
          <w:i/>
          <w:iCs/>
        </w:rPr>
        <w:tab/>
      </w:r>
      <w:r w:rsidRPr="00EE6951">
        <w:rPr>
          <w:i/>
          <w:iCs/>
        </w:rPr>
        <w:t xml:space="preserve">the </w:t>
      </w:r>
      <w:r w:rsidRPr="00417DAD">
        <w:rPr>
          <w:i/>
          <w:iCs/>
        </w:rPr>
        <w:t>effect</w:t>
      </w:r>
      <w:r w:rsidRPr="00EE6951">
        <w:rPr>
          <w:i/>
          <w:iCs/>
        </w:rPr>
        <w:t xml:space="preserve"> of a final judgment</w:t>
      </w:r>
    </w:p>
    <w:p w14:paraId="15D32225" w14:textId="77777777" w:rsidR="0035691F" w:rsidRDefault="0035691F" w:rsidP="004152C8">
      <w:pPr>
        <w:keepNext/>
        <w:spacing w:line="240" w:lineRule="auto"/>
      </w:pPr>
    </w:p>
    <w:p w14:paraId="5FD1B58A" w14:textId="53DA9B71" w:rsidR="0035691F" w:rsidRDefault="00A62C74" w:rsidP="0035691F">
      <w:r>
        <w:tab/>
        <w:t>Officer Meinhardt properly notes that “[t]</w:t>
      </w:r>
      <w:r w:rsidRPr="007F0A4A">
        <w:t xml:space="preserve">he right to appeal is </w:t>
      </w:r>
      <w:r>
        <w:t>‘</w:t>
      </w:r>
      <w:r w:rsidRPr="007F0A4A">
        <w:t>entirely statutory and subject to complete legislative control.</w:t>
      </w:r>
      <w:r>
        <w:t>’</w:t>
      </w:r>
      <w:r w:rsidR="008226F5">
        <w:t xml:space="preserve"> </w:t>
      </w:r>
      <w:r w:rsidRPr="007F0A4A">
        <w:t xml:space="preserve"> (</w:t>
      </w:r>
      <w:r w:rsidR="00FF2159">
        <w:t>[</w:t>
      </w:r>
      <w:r>
        <w:t>Quoting,</w:t>
      </w:r>
      <w:r w:rsidR="00FF2159">
        <w:t>]</w:t>
      </w:r>
      <w:r>
        <w:t xml:space="preserve"> </w:t>
      </w:r>
      <w:r w:rsidRPr="007F0A4A">
        <w:rPr>
          <w:i/>
          <w:iCs/>
        </w:rPr>
        <w:t xml:space="preserve">Trede v. </w:t>
      </w:r>
      <w:r w:rsidRPr="007F0A4A">
        <w:rPr>
          <w:i/>
          <w:iCs/>
        </w:rPr>
        <w:lastRenderedPageBreak/>
        <w:t xml:space="preserve">Superior Court </w:t>
      </w:r>
      <w:r w:rsidRPr="007F0A4A">
        <w:t>(1943) 21 Cal.2d 630, 634</w:t>
      </w:r>
      <w:r>
        <w:t>.)</w:t>
      </w:r>
      <w:r w:rsidR="00FF2159">
        <w:t>”</w:t>
      </w:r>
      <w:r>
        <w:t xml:space="preserve">  He f</w:t>
      </w:r>
      <w:r>
        <w:t>urther notes that section 1094.5, subdivision (f) provides that the “</w:t>
      </w:r>
      <w:r w:rsidR="00FF2159">
        <w:t xml:space="preserve"> ‘</w:t>
      </w:r>
      <w:r w:rsidRPr="00F0292E">
        <w:t xml:space="preserve">court </w:t>
      </w:r>
      <w:r w:rsidRPr="007F0A4A">
        <w:rPr>
          <w:b/>
          <w:bCs/>
          <w:i/>
          <w:iCs/>
        </w:rPr>
        <w:t>shall</w:t>
      </w:r>
      <w:r w:rsidRPr="00F0292E">
        <w:t xml:space="preserve"> enter </w:t>
      </w:r>
      <w:r w:rsidRPr="007F0A4A">
        <w:t>judgment</w:t>
      </w:r>
      <w:r>
        <w:t>,</w:t>
      </w:r>
      <w:r w:rsidR="00FF2159">
        <w:t xml:space="preserve">’ </w:t>
      </w:r>
      <w:r>
        <w:t>” (italics added by Officer Meinhardt) and that section 1094.5, subdivision (g) refers to the taking of a notice of appeal, “</w:t>
      </w:r>
      <w:r w:rsidR="00FF2159">
        <w:t> ‘</w:t>
      </w:r>
      <w:r>
        <w:t>from the judgment.</w:t>
      </w:r>
      <w:r w:rsidR="00FF2159">
        <w:t xml:space="preserve">’ </w:t>
      </w:r>
      <w:r>
        <w:t xml:space="preserve">”  Thus, </w:t>
      </w:r>
      <w:r>
        <w:t>he contends “[e]n</w:t>
      </w:r>
      <w:r w:rsidRPr="00F61C3E">
        <w:t xml:space="preserve">tering judgment is not optional; the court </w:t>
      </w:r>
      <w:r w:rsidRPr="00F61C3E">
        <w:rPr>
          <w:b/>
          <w:bCs/>
          <w:i/>
          <w:iCs/>
        </w:rPr>
        <w:t xml:space="preserve">must </w:t>
      </w:r>
      <w:r w:rsidRPr="00F61C3E">
        <w:t>do so before an appeal can proceed.</w:t>
      </w:r>
      <w:r>
        <w:t>”</w:t>
      </w:r>
    </w:p>
    <w:p w14:paraId="0B2E4FA5" w14:textId="170BF5C7" w:rsidR="0035691F" w:rsidRDefault="00A62C74" w:rsidP="0035691F">
      <w:r>
        <w:tab/>
        <w:t xml:space="preserve">This argument is ultimately unpersuasive because, as stated in part III.A.2.a, </w:t>
      </w:r>
      <w:r w:rsidRPr="00F61C3E">
        <w:rPr>
          <w:i/>
          <w:iCs/>
        </w:rPr>
        <w:t>ante</w:t>
      </w:r>
      <w:r>
        <w:t xml:space="preserve">, section 1064 defines a judgment as </w:t>
      </w:r>
      <w:r w:rsidR="00FF2159">
        <w:t>“</w:t>
      </w:r>
      <w:r w:rsidRPr="00F0292E">
        <w:t>the final determination of the r</w:t>
      </w:r>
      <w:r w:rsidRPr="00F0292E">
        <w:t>ights of the parties therein</w:t>
      </w:r>
      <w:r>
        <w:t xml:space="preserve">,” and case law is clear that a ruling issued in the </w:t>
      </w:r>
      <w:r w:rsidRPr="00F61C3E">
        <w:rPr>
          <w:i/>
          <w:iCs/>
        </w:rPr>
        <w:t>form</w:t>
      </w:r>
      <w:r>
        <w:t xml:space="preserve"> </w:t>
      </w:r>
      <w:r w:rsidR="006B055D">
        <w:t xml:space="preserve">of </w:t>
      </w:r>
      <w:r>
        <w:t xml:space="preserve">an order constitutes a judgment if it is a judgment in </w:t>
      </w:r>
      <w:r w:rsidRPr="00F61C3E">
        <w:rPr>
          <w:i/>
          <w:iCs/>
        </w:rPr>
        <w:t>effect</w:t>
      </w:r>
      <w:r>
        <w:t xml:space="preserve">.  Indeed, in </w:t>
      </w:r>
      <w:r w:rsidRPr="006F5646">
        <w:rPr>
          <w:i/>
          <w:iCs/>
        </w:rPr>
        <w:t>Dhillon</w:t>
      </w:r>
      <w:r>
        <w:t>, our Supreme Court relied on this principle in rejecting a party’s argument that “th</w:t>
      </w:r>
      <w:r>
        <w:t xml:space="preserve">e </w:t>
      </w:r>
      <w:r w:rsidRPr="006F5646">
        <w:t>trial court</w:t>
      </w:r>
      <w:r>
        <w:t>’</w:t>
      </w:r>
      <w:r w:rsidRPr="006F5646">
        <w:t xml:space="preserve">s </w:t>
      </w:r>
      <w:r w:rsidRPr="006F5646">
        <w:rPr>
          <w:i/>
          <w:iCs/>
        </w:rPr>
        <w:t>order</w:t>
      </w:r>
      <w:r w:rsidRPr="006F5646">
        <w:t xml:space="preserve"> here was not a final judgment because it was not a </w:t>
      </w:r>
      <w:r>
        <w:t>‘</w:t>
      </w:r>
      <w:r w:rsidRPr="006F5646">
        <w:t>judgment</w:t>
      </w:r>
      <w:r>
        <w:t>’</w:t>
      </w:r>
      <w:r w:rsidRPr="006F5646">
        <w:t xml:space="preserve"> as that term is defined by subdivision (f) of</w:t>
      </w:r>
      <w:r w:rsidR="006B055D">
        <w:t xml:space="preserve"> </w:t>
      </w:r>
      <w:r w:rsidRPr="006F5646">
        <w:t>Code of Civil Procedure section 1094.5</w:t>
      </w:r>
      <w:r>
        <w:t xml:space="preserve">.” </w:t>
      </w:r>
      <w:r w:rsidR="008226F5">
        <w:t xml:space="preserve"> </w:t>
      </w:r>
      <w:r>
        <w:t>(</w:t>
      </w:r>
      <w:r w:rsidRPr="006F5646">
        <w:rPr>
          <w:i/>
          <w:iCs/>
        </w:rPr>
        <w:t>Dhillon</w:t>
      </w:r>
      <w:r>
        <w:rPr>
          <w:i/>
          <w:iCs/>
        </w:rPr>
        <w:t>, supra</w:t>
      </w:r>
      <w:r w:rsidRPr="00A30291">
        <w:t xml:space="preserve">, </w:t>
      </w:r>
      <w:r w:rsidRPr="006F5646">
        <w:t xml:space="preserve">2 Cal.5th </w:t>
      </w:r>
      <w:r>
        <w:t>at p.</w:t>
      </w:r>
      <w:r w:rsidRPr="006F5646">
        <w:t xml:space="preserve"> 1117</w:t>
      </w:r>
      <w:r>
        <w:t>, fn. 3, italics added.)</w:t>
      </w:r>
      <w:r>
        <w:rPr>
          <w:rStyle w:val="FootnoteReference"/>
        </w:rPr>
        <w:footnoteReference w:id="16"/>
      </w:r>
    </w:p>
    <w:p w14:paraId="0AB21E9F" w14:textId="014B28BD" w:rsidR="0035691F" w:rsidRPr="006F5646" w:rsidRDefault="00A62C74" w:rsidP="004152C8">
      <w:pPr>
        <w:keepNext/>
      </w:pPr>
      <w:r>
        <w:lastRenderedPageBreak/>
        <w:tab/>
        <w:t>2.</w:t>
      </w:r>
      <w:r w:rsidR="009E2A39">
        <w:t xml:space="preserve">  </w:t>
      </w:r>
      <w:r>
        <w:t xml:space="preserve"> </w:t>
      </w:r>
      <w:r w:rsidRPr="0036739D">
        <w:rPr>
          <w:i/>
          <w:iCs/>
        </w:rPr>
        <w:t xml:space="preserve">Officer </w:t>
      </w:r>
      <w:r w:rsidRPr="0036739D">
        <w:rPr>
          <w:i/>
          <w:iCs/>
        </w:rPr>
        <w:t>Meinhardt’s “premature” appeal theory is unpersuasive</w:t>
      </w:r>
    </w:p>
    <w:p w14:paraId="5687CD0D" w14:textId="134C1A82" w:rsidR="0057320A" w:rsidRDefault="00A62C74">
      <w:r>
        <w:tab/>
        <w:t xml:space="preserve">Officer Meinhardt argues that an order granting or denying a writ petition is </w:t>
      </w:r>
      <w:r w:rsidRPr="00BA65D9">
        <w:rPr>
          <w:i/>
          <w:iCs/>
        </w:rPr>
        <w:t>not</w:t>
      </w:r>
      <w:r>
        <w:t xml:space="preserve"> a judgment, but that it may be </w:t>
      </w:r>
      <w:r w:rsidRPr="00BA65D9">
        <w:rPr>
          <w:i/>
          <w:iCs/>
        </w:rPr>
        <w:t>deemed</w:t>
      </w:r>
      <w:r>
        <w:t xml:space="preserve"> a judgment in order to permit a “premature” appeal from such an order to proceed.</w:t>
      </w:r>
      <w:r>
        <w:t xml:space="preserve"> </w:t>
      </w:r>
      <w:r w:rsidR="00C86BCC">
        <w:t xml:space="preserve"> </w:t>
      </w:r>
      <w:r>
        <w:t>He contends that the “</w:t>
      </w:r>
      <w:r w:rsidRPr="00C7116C">
        <w:rPr>
          <w:b/>
          <w:bCs/>
          <w:i/>
          <w:iCs/>
        </w:rPr>
        <w:t xml:space="preserve">equitable </w:t>
      </w:r>
      <w:r w:rsidRPr="00C7116C">
        <w:t>sentiments</w:t>
      </w:r>
      <w:r>
        <w:t>” that underlie “</w:t>
      </w:r>
      <w:r w:rsidRPr="00C7116C">
        <w:rPr>
          <w:i/>
          <w:iCs/>
        </w:rPr>
        <w:t xml:space="preserve">Griset </w:t>
      </w:r>
      <w:r w:rsidRPr="00C7116C">
        <w:t>and other cases</w:t>
      </w:r>
      <w:r>
        <w:t>[</w:t>
      </w:r>
      <w:r>
        <w:rPr>
          <w:rStyle w:val="FootnoteReference"/>
        </w:rPr>
        <w:footnoteReference w:id="17"/>
      </w:r>
      <w:r>
        <w:t xml:space="preserve">]” </w:t>
      </w:r>
      <w:r w:rsidRPr="00C7116C">
        <w:t xml:space="preserve">is </w:t>
      </w:r>
      <w:r>
        <w:t>“</w:t>
      </w:r>
      <w:r w:rsidRPr="00C7116C">
        <w:t xml:space="preserve">to </w:t>
      </w:r>
      <w:r w:rsidRPr="00C7116C">
        <w:rPr>
          <w:i/>
          <w:iCs/>
        </w:rPr>
        <w:t>preserve</w:t>
      </w:r>
      <w:r w:rsidRPr="00C7116C">
        <w:t>, not deny, parties’ appeal rights by preventing premature appeals from being kicked out for the technicality that no judgment was entered</w:t>
      </w:r>
      <w:r>
        <w:t>.”  In support</w:t>
      </w:r>
      <w:r>
        <w:t xml:space="preserve"> of this contention, he cites to cases in which courts have deemed a </w:t>
      </w:r>
      <w:r w:rsidRPr="00C7116C">
        <w:rPr>
          <w:i/>
          <w:iCs/>
        </w:rPr>
        <w:t>nonappealable</w:t>
      </w:r>
      <w:r>
        <w:t xml:space="preserve"> order to be a “</w:t>
      </w:r>
      <w:r w:rsidRPr="003A5E51">
        <w:t xml:space="preserve">premature but valid </w:t>
      </w:r>
      <w:r w:rsidR="00FF2159">
        <w:t>[</w:t>
      </w:r>
      <w:r w:rsidRPr="003A5E51">
        <w:t>notice of</w:t>
      </w:r>
      <w:r w:rsidR="00FF2159">
        <w:t>]</w:t>
      </w:r>
      <w:r w:rsidRPr="003A5E51">
        <w:t xml:space="preserve"> appeal from the subsequently entered judgment</w:t>
      </w:r>
      <w:r>
        <w:t xml:space="preserve">,” </w:t>
      </w:r>
      <w:r w:rsidR="00FF2159">
        <w:t xml:space="preserve">(italics omitted) </w:t>
      </w:r>
      <w:r>
        <w:t>in other contexts.</w:t>
      </w:r>
      <w:r w:rsidR="008D408B">
        <w:t xml:space="preserve"> </w:t>
      </w:r>
      <w:r>
        <w:t xml:space="preserve"> (Citing, inter alia, </w:t>
      </w:r>
      <w:r w:rsidRPr="003A5E51">
        <w:rPr>
          <w:i/>
          <w:iCs/>
        </w:rPr>
        <w:t xml:space="preserve">In re Social </w:t>
      </w:r>
      <w:r w:rsidRPr="003A5E51">
        <w:rPr>
          <w:i/>
          <w:iCs/>
        </w:rPr>
        <w:t>Services Payment Cases</w:t>
      </w:r>
      <w:r w:rsidR="00C86BCC">
        <w:t xml:space="preserve"> </w:t>
      </w:r>
      <w:r w:rsidRPr="003A5E51">
        <w:t xml:space="preserve">(2008) 166 Cal.App.4th 1249, 1262 </w:t>
      </w:r>
      <w:r>
        <w:t>[“</w:t>
      </w:r>
      <w:r w:rsidRPr="003A5E51">
        <w:t>Although the appeal was taken from the nonappealable order sustaining the demurrer, we treat the notice of appeal as a premature but valid notice of appeal from the subsequently entered judgment</w:t>
      </w:r>
      <w:r>
        <w:t xml:space="preserve">,” </w:t>
      </w:r>
      <w:r>
        <w:t xml:space="preserve">citing former </w:t>
      </w:r>
      <w:r w:rsidRPr="003A5E51">
        <w:t>rule 8.104(e)(2)</w:t>
      </w:r>
      <w:r>
        <w:t xml:space="preserve">, current </w:t>
      </w:r>
      <w:r w:rsidRPr="003A5E51">
        <w:t>rule 8.104(</w:t>
      </w:r>
      <w:r>
        <w:t>d</w:t>
      </w:r>
      <w:r w:rsidRPr="003A5E51">
        <w:t>)(2)</w:t>
      </w:r>
      <w:r>
        <w:t>]</w:t>
      </w:r>
      <w:r w:rsidRPr="003A5E51">
        <w:t>.)</w:t>
      </w:r>
      <w:r>
        <w:rPr>
          <w:rStyle w:val="FootnoteReference"/>
        </w:rPr>
        <w:footnoteReference w:id="18"/>
      </w:r>
    </w:p>
    <w:p w14:paraId="2DDA1283" w14:textId="673C06A8" w:rsidR="0035691F" w:rsidRDefault="00A62C74" w:rsidP="0035691F">
      <w:r>
        <w:tab/>
        <w:t xml:space="preserve">According to Officer Meinhardt, he was not </w:t>
      </w:r>
      <w:r w:rsidRPr="002E01C4">
        <w:rPr>
          <w:i/>
          <w:iCs/>
        </w:rPr>
        <w:t>required</w:t>
      </w:r>
      <w:r>
        <w:t xml:space="preserve"> to appeal from the purportedly nonappealable August 6 ruling denying his petition for writ of mandate.  He argues, </w:t>
      </w:r>
      <w:r w:rsidRPr="002E01C4">
        <w:t>“[t]he takeaway is that be</w:t>
      </w:r>
      <w:r w:rsidRPr="002E01C4">
        <w:t xml:space="preserve">cause appellant correctly filed </w:t>
      </w:r>
      <w:r w:rsidRPr="002E01C4">
        <w:lastRenderedPageBreak/>
        <w:t>his appeal within 60 days after notice of entry of judgment</w:t>
      </w:r>
      <w:r>
        <w:t>[</w:t>
      </w:r>
      <w:r>
        <w:rPr>
          <w:rStyle w:val="FootnoteReference"/>
        </w:rPr>
        <w:footnoteReference w:id="19"/>
      </w:r>
      <w:r>
        <w:t>]</w:t>
      </w:r>
      <w:r w:rsidRPr="002E01C4">
        <w:t xml:space="preserve"> he required neither application of the safe harbor rule nor </w:t>
      </w:r>
      <w:r>
        <w:t>[r]</w:t>
      </w:r>
      <w:r w:rsidRPr="002E01C4">
        <w:t>ule 8.104(d) [pertaining to premature appeals] to make his appeal valid.”</w:t>
      </w:r>
      <w:r>
        <w:t xml:space="preserve"> </w:t>
      </w:r>
      <w:r w:rsidR="008D408B">
        <w:t xml:space="preserve"> </w:t>
      </w:r>
      <w:r w:rsidRPr="002E01C4">
        <w:t>(Boldface omitted.)</w:t>
      </w:r>
    </w:p>
    <w:p w14:paraId="2204F0E7" w14:textId="104C89A3" w:rsidR="0035691F" w:rsidRDefault="00A62C74" w:rsidP="0035691F">
      <w:r>
        <w:tab/>
        <w:t>W</w:t>
      </w:r>
      <w:r>
        <w:t xml:space="preserve">e acknowledge that there is language in some case law that is arguably consistent with such a theory.  For example, the </w:t>
      </w:r>
      <w:r w:rsidRPr="00DA1435">
        <w:rPr>
          <w:i/>
          <w:iCs/>
        </w:rPr>
        <w:t>Public Defenders</w:t>
      </w:r>
      <w:r w:rsidR="00122DAB">
        <w:rPr>
          <w:i/>
          <w:iCs/>
        </w:rPr>
        <w:t>’</w:t>
      </w:r>
      <w:r w:rsidRPr="00DA1435">
        <w:rPr>
          <w:i/>
          <w:iCs/>
        </w:rPr>
        <w:t xml:space="preserve"> Organization</w:t>
      </w:r>
      <w:r>
        <w:rPr>
          <w:i/>
          <w:iCs/>
        </w:rPr>
        <w:t xml:space="preserve"> </w:t>
      </w:r>
      <w:r w:rsidRPr="008F4C00">
        <w:t>court stated,</w:t>
      </w:r>
      <w:r>
        <w:rPr>
          <w:i/>
          <w:iCs/>
        </w:rPr>
        <w:t xml:space="preserve"> </w:t>
      </w:r>
      <w:r w:rsidRPr="00DA1435">
        <w:t>“[A]n order granting or denying a petition for an extraordinary writ constitutes a final ju</w:t>
      </w:r>
      <w:r w:rsidRPr="00DA1435">
        <w:t xml:space="preserve">dgment for purposes of an appeal, </w:t>
      </w:r>
      <w:r w:rsidRPr="00DA1435">
        <w:rPr>
          <w:i/>
          <w:iCs/>
        </w:rPr>
        <w:t>even if the order is not accompanied by a separate formal judgment</w:t>
      </w:r>
      <w:r>
        <w:t>,</w:t>
      </w:r>
      <w:r w:rsidRPr="00DA1435">
        <w:t>”</w:t>
      </w:r>
      <w:r>
        <w:t xml:space="preserve"> thereby potentially suggesting the legal relevance of a  “separate formal judgment.” </w:t>
      </w:r>
      <w:r w:rsidR="00C86BCC">
        <w:t xml:space="preserve"> </w:t>
      </w:r>
      <w:r>
        <w:t>(</w:t>
      </w:r>
      <w:r w:rsidRPr="00DA1435">
        <w:rPr>
          <w:i/>
          <w:iCs/>
        </w:rPr>
        <w:t>Public Defenders</w:t>
      </w:r>
      <w:r w:rsidR="00122DAB">
        <w:rPr>
          <w:i/>
          <w:iCs/>
        </w:rPr>
        <w:t>’</w:t>
      </w:r>
      <w:r w:rsidRPr="00DA1435">
        <w:rPr>
          <w:i/>
          <w:iCs/>
        </w:rPr>
        <w:t xml:space="preserve"> Organization</w:t>
      </w:r>
      <w:r>
        <w:rPr>
          <w:i/>
          <w:iCs/>
        </w:rPr>
        <w:t>, supra</w:t>
      </w:r>
      <w:r w:rsidRPr="00A30291">
        <w:t xml:space="preserve">, </w:t>
      </w:r>
      <w:r w:rsidRPr="00DA1435">
        <w:t xml:space="preserve">106 Cal.App.4th </w:t>
      </w:r>
      <w:r>
        <w:t>at p.</w:t>
      </w:r>
      <w:r w:rsidRPr="00DA1435">
        <w:t xml:space="preserve"> 1409</w:t>
      </w:r>
      <w:r>
        <w:t>.</w:t>
      </w:r>
      <w:r>
        <w:t>)  We reject this argument for several reasons.</w:t>
      </w:r>
    </w:p>
    <w:p w14:paraId="329A8212" w14:textId="788A1E0F" w:rsidR="0035691F" w:rsidRDefault="00A62C74" w:rsidP="0035691F">
      <w:r>
        <w:tab/>
        <w:t xml:space="preserve">To begin with, unlike in </w:t>
      </w:r>
      <w:r w:rsidRPr="003A5E51">
        <w:rPr>
          <w:i/>
          <w:iCs/>
        </w:rPr>
        <w:t>In re Social Services Payment Cases</w:t>
      </w:r>
      <w:r w:rsidRPr="00031F4E">
        <w:rPr>
          <w:i/>
          <w:iCs/>
        </w:rPr>
        <w:t xml:space="preserve">, </w:t>
      </w:r>
      <w:r w:rsidRPr="008F4C00">
        <w:rPr>
          <w:i/>
          <w:iCs/>
        </w:rPr>
        <w:t>supra</w:t>
      </w:r>
      <w:r>
        <w:t xml:space="preserve">, </w:t>
      </w:r>
      <w:r w:rsidRPr="003A5E51">
        <w:t>166 Cal.App.4th 12</w:t>
      </w:r>
      <w:r w:rsidR="00FF2159">
        <w:t>49</w:t>
      </w:r>
      <w:r>
        <w:t xml:space="preserve">, in none of the cases cited in part III.A.2.c, </w:t>
      </w:r>
      <w:r w:rsidRPr="004C7A9C">
        <w:rPr>
          <w:i/>
          <w:iCs/>
        </w:rPr>
        <w:t>ante</w:t>
      </w:r>
      <w:r>
        <w:t xml:space="preserve">, did the reviewing court state that an order </w:t>
      </w:r>
      <w:r w:rsidRPr="00DA1435">
        <w:t xml:space="preserve">granting or denying a petition for an extraordinary writ </w:t>
      </w:r>
      <w:r>
        <w:t xml:space="preserve">is </w:t>
      </w:r>
      <w:r w:rsidRPr="004C7A9C">
        <w:rPr>
          <w:i/>
          <w:iCs/>
        </w:rPr>
        <w:t>nonappealable</w:t>
      </w:r>
      <w:r>
        <w:rPr>
          <w:i/>
          <w:iCs/>
        </w:rPr>
        <w:t xml:space="preserve">. </w:t>
      </w:r>
      <w:r>
        <w:t xml:space="preserve"> Nor did any of these cases cite to the rule of court pertaining to </w:t>
      </w:r>
      <w:r w:rsidRPr="004C7A9C">
        <w:rPr>
          <w:i/>
          <w:iCs/>
        </w:rPr>
        <w:t>premature</w:t>
      </w:r>
      <w:r>
        <w:t xml:space="preserve"> appeals.</w:t>
      </w:r>
      <w:r>
        <w:rPr>
          <w:rStyle w:val="FootnoteReference"/>
        </w:rPr>
        <w:footnoteReference w:id="20"/>
      </w:r>
    </w:p>
    <w:p w14:paraId="6C7CB032" w14:textId="031768CA" w:rsidR="0035691F" w:rsidRDefault="00A62C74" w:rsidP="0035691F">
      <w:r>
        <w:lastRenderedPageBreak/>
        <w:tab/>
        <w:t>Further, orders such as those</w:t>
      </w:r>
      <w:r w:rsidRPr="000C763A">
        <w:t xml:space="preserve"> sustaining a demurrer, granting summary judgment, or granting</w:t>
      </w:r>
      <w:r w:rsidRPr="000C763A">
        <w:t xml:space="preserve"> judgment on the pleadings</w:t>
      </w:r>
      <w:r>
        <w:t xml:space="preserve"> do not necessarily completely resolve all of the causes of action in a case.  For example, in the summary judgment context, “[t]</w:t>
      </w:r>
      <w:r w:rsidRPr="00414AA6">
        <w:t xml:space="preserve">here are two steps: </w:t>
      </w:r>
      <w:r w:rsidR="00531637">
        <w:t xml:space="preserve"> </w:t>
      </w:r>
      <w:r w:rsidRPr="00414AA6">
        <w:t>an order granting the motion (nonappealable preliminary order), and a judgment e</w:t>
      </w:r>
      <w:r w:rsidRPr="00414AA6">
        <w:t>ntered thereunder (final judgment, appealable as in other cases).</w:t>
      </w:r>
      <w:r>
        <w:t>”  (</w:t>
      </w:r>
      <w:r w:rsidRPr="00933380">
        <w:t>9 Witkin, Cal. Proc. 5th Appeal § 145 (2020)</w:t>
      </w:r>
      <w:r>
        <w:t>; see § 437c, subd. (m) [distinguishing between a “summary judgment” that is an “appealable judgment,” and a “order pursuant to this section”].</w:t>
      </w:r>
      <w:r>
        <w:t xml:space="preserve">)  The summary judgment statute makes clear that an </w:t>
      </w:r>
      <w:r w:rsidRPr="003D4C55">
        <w:t>order</w:t>
      </w:r>
      <w:r>
        <w:t xml:space="preserve"> granting summary judgment does </w:t>
      </w:r>
      <w:r w:rsidRPr="00933380">
        <w:rPr>
          <w:i/>
          <w:iCs/>
        </w:rPr>
        <w:t>not</w:t>
      </w:r>
      <w:r>
        <w:t xml:space="preserve"> conclusively resolve the action. </w:t>
      </w:r>
      <w:r w:rsidR="00C86BCC">
        <w:t xml:space="preserve"> </w:t>
      </w:r>
      <w:r w:rsidR="006B055D">
        <w:t>(</w:t>
      </w:r>
      <w:r>
        <w:t>See § 437c, subd. (k) [“</w:t>
      </w:r>
      <w:r w:rsidRPr="00414AA6">
        <w:t xml:space="preserve">Unless a separate judgment may properly be awarded in the action, a final judgment shall not be entered </w:t>
      </w:r>
      <w:r w:rsidRPr="00414AA6">
        <w:t>on a motion for summary judgment before the termination of the action, but the final judgment shall, in addition to any matters determined in the action, award judgment as established by the summary proceeding provided for in this section</w:t>
      </w:r>
      <w:r>
        <w:t>”].)</w:t>
      </w:r>
    </w:p>
    <w:p w14:paraId="06806F32" w14:textId="6A9AD213" w:rsidR="0035691F" w:rsidRPr="000C763A" w:rsidRDefault="00A62C74" w:rsidP="0035691F">
      <w:r>
        <w:tab/>
        <w:t>In contrast,</w:t>
      </w:r>
      <w:r>
        <w:t xml:space="preserve"> an order granting or denying a petition for writ of mandate in its entirety, when such order </w:t>
      </w:r>
      <w:r w:rsidRPr="00C156D6">
        <w:t>contemplate</w:t>
      </w:r>
      <w:r>
        <w:t xml:space="preserve">s the taking of </w:t>
      </w:r>
      <w:r w:rsidRPr="00C156D6">
        <w:t>no further action</w:t>
      </w:r>
      <w:r>
        <w:t xml:space="preserve"> in the case, concludes the special proceeding of a civil nature.  As such, it is properly considered a final judgment</w:t>
      </w:r>
      <w:r>
        <w:t xml:space="preserve">.  (See </w:t>
      </w:r>
      <w:r w:rsidRPr="009549EC">
        <w:rPr>
          <w:i/>
          <w:iCs/>
        </w:rPr>
        <w:t>Dhillon</w:t>
      </w:r>
      <w:r>
        <w:rPr>
          <w:i/>
          <w:iCs/>
        </w:rPr>
        <w:t>, supra</w:t>
      </w:r>
      <w:r w:rsidRPr="00A60E70">
        <w:t xml:space="preserve">, </w:t>
      </w:r>
      <w:r w:rsidRPr="009549EC">
        <w:t xml:space="preserve">2 Cal.5th </w:t>
      </w:r>
      <w:r>
        <w:t xml:space="preserve">at </w:t>
      </w:r>
      <w:r>
        <w:lastRenderedPageBreak/>
        <w:t>p.</w:t>
      </w:r>
      <w:r w:rsidR="00C86BCC">
        <w:t> </w:t>
      </w:r>
      <w:r w:rsidRPr="009549EC">
        <w:t>1115</w:t>
      </w:r>
      <w:r>
        <w:t xml:space="preserve">.)  Thus, </w:t>
      </w:r>
      <w:r w:rsidRPr="009549EC">
        <w:rPr>
          <w:i/>
          <w:iCs/>
        </w:rPr>
        <w:t>Dhillon</w:t>
      </w:r>
      <w:r>
        <w:t xml:space="preserve"> supports the principle that an order that finally resolves a petition for writ of mandate </w:t>
      </w:r>
      <w:r w:rsidRPr="009549EC">
        <w:rPr>
          <w:i/>
          <w:iCs/>
        </w:rPr>
        <w:t>is</w:t>
      </w:r>
      <w:r>
        <w:t xml:space="preserve"> itself a final judgment, rather than the theory that such order may be </w:t>
      </w:r>
      <w:r w:rsidRPr="009549EC">
        <w:rPr>
          <w:i/>
          <w:iCs/>
        </w:rPr>
        <w:t>deemed</w:t>
      </w:r>
      <w:r>
        <w:t xml:space="preserve"> a final judgment if an </w:t>
      </w:r>
      <w:r>
        <w:t>appeal is taken therefrom.</w:t>
      </w:r>
    </w:p>
    <w:p w14:paraId="08367C8D" w14:textId="674D519F" w:rsidR="0035691F" w:rsidRDefault="00A62C74" w:rsidP="0035691F">
      <w:r>
        <w:tab/>
      </w:r>
      <w:r w:rsidRPr="004C7A9C">
        <w:rPr>
          <w:i/>
          <w:iCs/>
        </w:rPr>
        <w:t>Griset</w:t>
      </w:r>
      <w:r>
        <w:t>, which Officer Meinhardt properly notes did refer to a “</w:t>
      </w:r>
      <w:r w:rsidR="00FF2159">
        <w:t> ‘</w:t>
      </w:r>
      <w:r w:rsidRPr="004C7A9C">
        <w:t>premature but valid appeal from the judgment</w:t>
      </w:r>
      <w:r>
        <w:t>,</w:t>
      </w:r>
      <w:r w:rsidR="00FF2159">
        <w:t xml:space="preserve">’ </w:t>
      </w:r>
      <w:r w:rsidRPr="004C7A9C">
        <w:t>”</w:t>
      </w:r>
      <w:r>
        <w:t xml:space="preserve"> (</w:t>
      </w:r>
      <w:r w:rsidRPr="009549EC">
        <w:rPr>
          <w:i/>
          <w:iCs/>
        </w:rPr>
        <w:t>Griset, supra</w:t>
      </w:r>
      <w:r>
        <w:t>, 25 Cal.4th at p. 700</w:t>
      </w:r>
      <w:r w:rsidR="00681F3D" w:rsidRPr="00681F3D">
        <w:t xml:space="preserve">, quoting </w:t>
      </w:r>
      <w:r w:rsidR="00681F3D" w:rsidRPr="00681F3D">
        <w:rPr>
          <w:i/>
          <w:iCs/>
        </w:rPr>
        <w:t>Morehart v. County of Santa Barbara</w:t>
      </w:r>
      <w:r w:rsidR="00681F3D">
        <w:t xml:space="preserve"> </w:t>
      </w:r>
      <w:r w:rsidR="00681F3D" w:rsidRPr="00681F3D">
        <w:t>(1994) 7 Cal.4th 725, 740 (</w:t>
      </w:r>
      <w:r w:rsidR="00681F3D" w:rsidRPr="00681F3D">
        <w:rPr>
          <w:i/>
          <w:iCs/>
        </w:rPr>
        <w:t>Moreheart</w:t>
      </w:r>
      <w:r w:rsidR="00681F3D" w:rsidRPr="00681F3D">
        <w:t>)</w:t>
      </w:r>
      <w:r>
        <w:t>)</w:t>
      </w:r>
      <w:r>
        <w:rPr>
          <w:rStyle w:val="FootnoteReference"/>
        </w:rPr>
        <w:footnoteReference w:id="21"/>
      </w:r>
      <w:r>
        <w:t xml:space="preserve"> is distinguishable because the order at issue in </w:t>
      </w:r>
      <w:r w:rsidR="00681F3D" w:rsidRPr="00681F3D">
        <w:rPr>
          <w:i/>
          <w:iCs/>
        </w:rPr>
        <w:t>Griset</w:t>
      </w:r>
      <w:r>
        <w:t xml:space="preserve"> disposed of </w:t>
      </w:r>
      <w:r w:rsidRPr="003D4C55">
        <w:rPr>
          <w:i/>
          <w:iCs/>
        </w:rPr>
        <w:t>both</w:t>
      </w:r>
      <w:r>
        <w:t xml:space="preserve"> a petition for writ of mandate and several </w:t>
      </w:r>
      <w:r w:rsidRPr="004C7A9C">
        <w:rPr>
          <w:i/>
          <w:iCs/>
        </w:rPr>
        <w:t>other</w:t>
      </w:r>
      <w:r>
        <w:t xml:space="preserve"> causes of action.  (</w:t>
      </w:r>
      <w:r>
        <w:rPr>
          <w:i/>
          <w:iCs/>
        </w:rPr>
        <w:t xml:space="preserve">Id. </w:t>
      </w:r>
      <w:r>
        <w:t>at pp. 699</w:t>
      </w:r>
      <w:r w:rsidR="00C86BCC">
        <w:t>–</w:t>
      </w:r>
      <w:r>
        <w:t>700.)  It was in this context that the Supreme Court stated, “</w:t>
      </w:r>
      <w:r w:rsidRPr="004C7A9C">
        <w:t xml:space="preserve">When, as here, a trial </w:t>
      </w:r>
      <w:r w:rsidRPr="004C7A9C">
        <w:t>court</w:t>
      </w:r>
      <w:r>
        <w:t>’</w:t>
      </w:r>
      <w:r w:rsidRPr="004C7A9C">
        <w:t xml:space="preserve">s order from which an appeal has been taken disposes of the entire action, the order </w:t>
      </w:r>
      <w:r w:rsidR="00FF2159">
        <w:t>‘</w:t>
      </w:r>
      <w:r w:rsidRPr="004C7A9C">
        <w:t xml:space="preserve">may be amended so as to convert it into a judgment encompassing actual determinations of all remaining issues by the trial court or, if determinable as a matter of </w:t>
      </w:r>
      <w:r w:rsidRPr="004C7A9C">
        <w:t>law, by the appellate court, and the notice of appeal may then be treated as a premature but valid appeal from the judgment.</w:t>
      </w:r>
      <w:r w:rsidR="00FF2159">
        <w:t xml:space="preserve">’ </w:t>
      </w:r>
      <w:r w:rsidRPr="004C7A9C">
        <w:t>”</w:t>
      </w:r>
      <w:r>
        <w:t xml:space="preserve">  (</w:t>
      </w:r>
      <w:r>
        <w:rPr>
          <w:i/>
          <w:iCs/>
        </w:rPr>
        <w:t>Id.</w:t>
      </w:r>
      <w:r w:rsidRPr="004C7A9C">
        <w:t xml:space="preserve"> </w:t>
      </w:r>
      <w:r>
        <w:t>at p.</w:t>
      </w:r>
      <w:r w:rsidRPr="004C7A9C">
        <w:t xml:space="preserve"> 700</w:t>
      </w:r>
      <w:r>
        <w:t>.)</w:t>
      </w:r>
    </w:p>
    <w:p w14:paraId="2D54E738" w14:textId="66171E08" w:rsidR="0035691F" w:rsidRDefault="00A62C74" w:rsidP="004152C8">
      <w:pPr>
        <w:keepNext/>
        <w:tabs>
          <w:tab w:val="left" w:pos="720"/>
          <w:tab w:val="left" w:pos="1170"/>
        </w:tabs>
        <w:spacing w:line="240" w:lineRule="auto"/>
      </w:pPr>
      <w:r>
        <w:tab/>
        <w:t>3.</w:t>
      </w:r>
      <w:r w:rsidR="009E2A39">
        <w:t xml:space="preserve">  </w:t>
      </w:r>
      <w:r>
        <w:t xml:space="preserve"> </w:t>
      </w:r>
      <w:r w:rsidRPr="003A2FFD">
        <w:rPr>
          <w:i/>
          <w:iCs/>
        </w:rPr>
        <w:t>None of the case</w:t>
      </w:r>
      <w:r>
        <w:rPr>
          <w:i/>
          <w:iCs/>
        </w:rPr>
        <w:t xml:space="preserve"> </w:t>
      </w:r>
      <w:r w:rsidRPr="003A2FFD">
        <w:rPr>
          <w:i/>
          <w:iCs/>
        </w:rPr>
        <w:t xml:space="preserve">law that Officer Meinhardt cites demonstrates that </w:t>
      </w:r>
      <w:r w:rsidR="009E2A39">
        <w:rPr>
          <w:i/>
          <w:iCs/>
        </w:rPr>
        <w:tab/>
      </w:r>
      <w:r w:rsidR="009E2A39">
        <w:rPr>
          <w:i/>
          <w:iCs/>
        </w:rPr>
        <w:tab/>
      </w:r>
      <w:r w:rsidR="009E2A39">
        <w:rPr>
          <w:i/>
          <w:iCs/>
        </w:rPr>
        <w:tab/>
      </w:r>
      <w:r w:rsidRPr="003A2FFD">
        <w:rPr>
          <w:i/>
          <w:iCs/>
        </w:rPr>
        <w:t>his appeal was timely filed</w:t>
      </w:r>
    </w:p>
    <w:p w14:paraId="2D371973" w14:textId="77777777" w:rsidR="0035691F" w:rsidRDefault="0035691F" w:rsidP="004152C8">
      <w:pPr>
        <w:keepNext/>
        <w:spacing w:line="240" w:lineRule="auto"/>
      </w:pPr>
    </w:p>
    <w:p w14:paraId="24E7D712" w14:textId="47DDF081" w:rsidR="00084FCF" w:rsidRDefault="00A62C74">
      <w:r>
        <w:tab/>
      </w:r>
      <w:r>
        <w:t>Officer Meinhardt also cites two cases in support of his contention that his appeal was timely filed.  He notes that i</w:t>
      </w:r>
      <w:r w:rsidRPr="00320B81">
        <w:t xml:space="preserve">n </w:t>
      </w:r>
      <w:r w:rsidRPr="00ED64A2">
        <w:rPr>
          <w:i/>
          <w:iCs/>
        </w:rPr>
        <w:t xml:space="preserve">Protect Our Water v. County of </w:t>
      </w:r>
      <w:r w:rsidRPr="00ED64A2">
        <w:rPr>
          <w:i/>
          <w:iCs/>
        </w:rPr>
        <w:lastRenderedPageBreak/>
        <w:t>Merced</w:t>
      </w:r>
      <w:r w:rsidR="006B055D">
        <w:t xml:space="preserve"> </w:t>
      </w:r>
      <w:r w:rsidRPr="00320B81">
        <w:t>(2003) 110 Cal.App.4th 362</w:t>
      </w:r>
      <w:r w:rsidR="006B055D">
        <w:t xml:space="preserve"> (</w:t>
      </w:r>
      <w:r w:rsidR="006B055D" w:rsidRPr="004A0BCF">
        <w:rPr>
          <w:i/>
          <w:iCs/>
        </w:rPr>
        <w:t>Protect Our Water</w:t>
      </w:r>
      <w:r w:rsidR="006B055D">
        <w:t>)</w:t>
      </w:r>
      <w:r w:rsidRPr="00320B81">
        <w:t xml:space="preserve">, </w:t>
      </w:r>
      <w:r>
        <w:t>in an appeal from a judgment denying a petition fo</w:t>
      </w:r>
      <w:r>
        <w:t>r writ of mandate, the Court of Appeal stated the following in a footnote:</w:t>
      </w:r>
    </w:p>
    <w:p w14:paraId="3ED9B8BD" w14:textId="6C09C987" w:rsidR="0035691F" w:rsidRDefault="00A62C74" w:rsidP="0035691F">
      <w:pPr>
        <w:pStyle w:val="IndentedQuote"/>
      </w:pPr>
      <w:r>
        <w:t xml:space="preserve">“[Respondent] </w:t>
      </w:r>
      <w:r w:rsidRPr="00ED64A2">
        <w:t>filed a motion to dismiss the appeal as untimely, arguing the appeal was filed more than 60 days after service of the order denying the writ of mandate. However, the a</w:t>
      </w:r>
      <w:r w:rsidRPr="00ED64A2">
        <w:t xml:space="preserve">ppeal was filed within 60 days after entry of the judgment, and the judgment is appealable. </w:t>
      </w:r>
      <w:r>
        <w:t xml:space="preserve"> </w:t>
      </w:r>
      <w:r w:rsidRPr="00ED64A2">
        <w:t>(See</w:t>
      </w:r>
      <w:r>
        <w:t xml:space="preserve"> </w:t>
      </w:r>
      <w:r w:rsidRPr="00ED64A2">
        <w:rPr>
          <w:i/>
          <w:iCs/>
        </w:rPr>
        <w:t>Catalina Investments, Inc. v. Jones</w:t>
      </w:r>
      <w:r>
        <w:t xml:space="preserve"> </w:t>
      </w:r>
      <w:r w:rsidRPr="00ED64A2">
        <w:t>(2002) 98 Cal.App.4th 1, 5, fn. 3;</w:t>
      </w:r>
      <w:r>
        <w:t xml:space="preserve"> </w:t>
      </w:r>
      <w:r w:rsidRPr="00ED64A2">
        <w:rPr>
          <w:i/>
          <w:iCs/>
        </w:rPr>
        <w:t>MCM Construction, Inc. v. City and County of San Francisco</w:t>
      </w:r>
      <w:r w:rsidR="00FF2159">
        <w:t xml:space="preserve"> </w:t>
      </w:r>
      <w:r w:rsidRPr="00ED64A2">
        <w:t xml:space="preserve">(1998) 66 </w:t>
      </w:r>
      <w:r w:rsidRPr="00ED64A2">
        <w:t>Cal.App.4th 359, 367, fn.</w:t>
      </w:r>
      <w:r w:rsidR="00FF2159">
        <w:t xml:space="preserve"> </w:t>
      </w:r>
      <w:r w:rsidRPr="00ED64A2">
        <w:t>3</w:t>
      </w:r>
      <w:r>
        <w:t>.</w:t>
      </w:r>
      <w:r w:rsidRPr="00ED64A2">
        <w:t>)</w:t>
      </w:r>
      <w:r>
        <w:t>”</w:t>
      </w:r>
    </w:p>
    <w:p w14:paraId="4190F6F0" w14:textId="77777777" w:rsidR="0035691F" w:rsidRDefault="0035691F" w:rsidP="0035691F">
      <w:pPr>
        <w:pStyle w:val="IndentedQuote"/>
      </w:pPr>
    </w:p>
    <w:p w14:paraId="715E2B94" w14:textId="192D1B53" w:rsidR="0035691F" w:rsidRPr="005647B6" w:rsidRDefault="00A62C74" w:rsidP="0035691F">
      <w:r>
        <w:tab/>
        <w:t xml:space="preserve">We respectfully decline to follow this footnote of </w:t>
      </w:r>
      <w:r w:rsidRPr="00ED64A2">
        <w:rPr>
          <w:i/>
          <w:iCs/>
        </w:rPr>
        <w:t>Protect Our Water</w:t>
      </w:r>
      <w:r>
        <w:rPr>
          <w:i/>
          <w:iCs/>
        </w:rPr>
        <w:t xml:space="preserve"> </w:t>
      </w:r>
      <w:r>
        <w:t>to the extent that it may be read to suggest that an order that fully resolves a petition for writ of mandate and contemplates no further action in this c</w:t>
      </w:r>
      <w:r>
        <w:t>ase is not a judgment</w:t>
      </w:r>
      <w:r>
        <w:rPr>
          <w:i/>
          <w:iCs/>
        </w:rPr>
        <w:t>.</w:t>
      </w:r>
      <w:r>
        <w:rPr>
          <w:rStyle w:val="FootnoteReference"/>
        </w:rPr>
        <w:footnoteReference w:id="22"/>
      </w:r>
      <w:r w:rsidRPr="005101B7">
        <w:t xml:space="preserve">  </w:t>
      </w:r>
      <w:r>
        <w:t>T</w:t>
      </w:r>
      <w:r w:rsidRPr="00ED64A2">
        <w:t xml:space="preserve">he court’s </w:t>
      </w:r>
      <w:r>
        <w:t>analysis</w:t>
      </w:r>
      <w:r w:rsidRPr="00ED64A2">
        <w:t xml:space="preserve"> is cursory</w:t>
      </w:r>
      <w:r>
        <w:t xml:space="preserve">, and fails to address </w:t>
      </w:r>
      <w:r w:rsidRPr="00D400A1">
        <w:rPr>
          <w:i/>
          <w:iCs/>
        </w:rPr>
        <w:t>Laraway</w:t>
      </w:r>
      <w:r>
        <w:rPr>
          <w:i/>
          <w:iCs/>
        </w:rPr>
        <w:t>, supra</w:t>
      </w:r>
      <w:r>
        <w:t xml:space="preserve">, </w:t>
      </w:r>
      <w:r w:rsidRPr="00D400A1">
        <w:t>98 Cal.App.4th 579</w:t>
      </w:r>
      <w:r>
        <w:t xml:space="preserve"> or discuss the cases on which it relies.  Further, the two cases that the </w:t>
      </w:r>
      <w:r w:rsidRPr="005647B6">
        <w:rPr>
          <w:i/>
          <w:iCs/>
        </w:rPr>
        <w:t>Protect Our Water</w:t>
      </w:r>
      <w:r>
        <w:t xml:space="preserve"> court cites do not, in our view, persuasively sup</w:t>
      </w:r>
      <w:r>
        <w:t xml:space="preserve">port the </w:t>
      </w:r>
      <w:r w:rsidRPr="005647B6">
        <w:rPr>
          <w:i/>
          <w:iCs/>
        </w:rPr>
        <w:t>Protect Our Water</w:t>
      </w:r>
      <w:r>
        <w:rPr>
          <w:i/>
          <w:iCs/>
        </w:rPr>
        <w:t xml:space="preserve"> </w:t>
      </w:r>
      <w:r>
        <w:t xml:space="preserve">court’s </w:t>
      </w:r>
      <w:r w:rsidRPr="002148AC">
        <w:t>denial of the motion to dismiss.</w:t>
      </w:r>
      <w:r>
        <w:t xml:space="preserve">  </w:t>
      </w:r>
      <w:r w:rsidRPr="00ED64A2">
        <w:rPr>
          <w:i/>
          <w:iCs/>
        </w:rPr>
        <w:t>Catalina Investments, Inc</w:t>
      </w:r>
      <w:r>
        <w:rPr>
          <w:i/>
          <w:iCs/>
        </w:rPr>
        <w:t>.</w:t>
      </w:r>
      <w:r w:rsidR="00D02D6A">
        <w:rPr>
          <w:i/>
          <w:iCs/>
        </w:rPr>
        <w:t xml:space="preserve"> v. Jones, supra</w:t>
      </w:r>
      <w:r w:rsidRPr="00D02D6A">
        <w:t xml:space="preserve">, </w:t>
      </w:r>
      <w:r w:rsidRPr="00ED64A2">
        <w:t xml:space="preserve">98 Cal.App.4th 1, </w:t>
      </w:r>
      <w:r>
        <w:t>states merely that “a</w:t>
      </w:r>
      <w:r w:rsidRPr="005647B6">
        <w:t xml:space="preserve"> judgment denying a petition for writ of mandate is appealable</w:t>
      </w:r>
      <w:r>
        <w:t>,” without discussing the type of ruling t</w:t>
      </w:r>
      <w:r>
        <w:t>hat constitutes a judgment.  (</w:t>
      </w:r>
      <w:r w:rsidRPr="003A2FFD">
        <w:rPr>
          <w:i/>
          <w:iCs/>
        </w:rPr>
        <w:t>Id</w:t>
      </w:r>
      <w:r w:rsidRPr="00F601F8">
        <w:rPr>
          <w:i/>
          <w:iCs/>
        </w:rPr>
        <w:t>.</w:t>
      </w:r>
      <w:r>
        <w:t xml:space="preserve"> at p. 5, fn.</w:t>
      </w:r>
      <w:r w:rsidR="00C86BCC">
        <w:t xml:space="preserve"> </w:t>
      </w:r>
      <w:r>
        <w:t xml:space="preserve">3.)  In </w:t>
      </w:r>
      <w:r w:rsidRPr="00ED64A2">
        <w:rPr>
          <w:i/>
          <w:iCs/>
        </w:rPr>
        <w:t>MCM Construction, Inc.</w:t>
      </w:r>
      <w:r w:rsidR="006B055D">
        <w:t>,</w:t>
      </w:r>
      <w:r>
        <w:rPr>
          <w:i/>
          <w:iCs/>
        </w:rPr>
        <w:t xml:space="preserve"> </w:t>
      </w:r>
      <w:r w:rsidRPr="002148AC">
        <w:t>the court</w:t>
      </w:r>
      <w:r>
        <w:rPr>
          <w:i/>
          <w:iCs/>
        </w:rPr>
        <w:t xml:space="preserve"> </w:t>
      </w:r>
      <w:r w:rsidRPr="002148AC">
        <w:t>state</w:t>
      </w:r>
      <w:r>
        <w:t>d,</w:t>
      </w:r>
      <w:r w:rsidRPr="002148AC">
        <w:t xml:space="preserve"> </w:t>
      </w:r>
      <w:r>
        <w:t>“b</w:t>
      </w:r>
      <w:r w:rsidRPr="005647B6">
        <w:t>oth the order denying its writ petition and the final judgment are appealable orders where no issues remain to be determined</w:t>
      </w:r>
      <w:r>
        <w:t>.”  (</w:t>
      </w:r>
      <w:r w:rsidRPr="00ED64A2">
        <w:rPr>
          <w:i/>
          <w:iCs/>
        </w:rPr>
        <w:t xml:space="preserve">MCM </w:t>
      </w:r>
      <w:r w:rsidRPr="00ED64A2">
        <w:rPr>
          <w:i/>
          <w:iCs/>
        </w:rPr>
        <w:t>Construction, Inc.</w:t>
      </w:r>
      <w:r w:rsidR="00D02D6A">
        <w:rPr>
          <w:i/>
          <w:iCs/>
        </w:rPr>
        <w:t xml:space="preserve"> v. City and County of San Francisco</w:t>
      </w:r>
      <w:r>
        <w:rPr>
          <w:i/>
          <w:iCs/>
        </w:rPr>
        <w:t>, supra</w:t>
      </w:r>
      <w:r w:rsidRPr="00A60E70">
        <w:t xml:space="preserve">, </w:t>
      </w:r>
      <w:r w:rsidRPr="002148AC">
        <w:t>66 Cal.App.4th at p. 367, fn. 3.)</w:t>
      </w:r>
      <w:r>
        <w:rPr>
          <w:i/>
          <w:iCs/>
        </w:rPr>
        <w:t xml:space="preserve">  </w:t>
      </w:r>
      <w:r>
        <w:t xml:space="preserve">However, in our view, neither an order denying a writ </w:t>
      </w:r>
      <w:r>
        <w:lastRenderedPageBreak/>
        <w:t xml:space="preserve">petition, nor a final judgment, is an “appealable </w:t>
      </w:r>
      <w:r w:rsidRPr="00C90C07">
        <w:rPr>
          <w:i/>
          <w:iCs/>
        </w:rPr>
        <w:t>order</w:t>
      </w:r>
      <w:r w:rsidR="00B2796E">
        <w:t>[ ]</w:t>
      </w:r>
      <w:r>
        <w:t>.”  (</w:t>
      </w:r>
      <w:r>
        <w:rPr>
          <w:i/>
          <w:iCs/>
        </w:rPr>
        <w:t>I</w:t>
      </w:r>
      <w:r w:rsidRPr="005647B6">
        <w:rPr>
          <w:i/>
          <w:iCs/>
        </w:rPr>
        <w:t>bid</w:t>
      </w:r>
      <w:r w:rsidR="00B2796E">
        <w:rPr>
          <w:i/>
          <w:iCs/>
        </w:rPr>
        <w:t>.</w:t>
      </w:r>
      <w:r w:rsidRPr="00B2796E">
        <w:t xml:space="preserve">, </w:t>
      </w:r>
      <w:r w:rsidRPr="00C90C07">
        <w:t>italics added</w:t>
      </w:r>
      <w:r>
        <w:t>.)</w:t>
      </w:r>
      <w:r>
        <w:rPr>
          <w:rStyle w:val="FootnoteReference"/>
        </w:rPr>
        <w:footnoteReference w:id="23"/>
      </w:r>
      <w:r>
        <w:t xml:space="preserve">  For the reasons</w:t>
      </w:r>
      <w:r>
        <w:t xml:space="preserve"> set forth in this opinion, an order that finally resolves a petition for writ of mandate </w:t>
      </w:r>
      <w:r w:rsidRPr="002148AC">
        <w:rPr>
          <w:i/>
          <w:iCs/>
        </w:rPr>
        <w:t>is</w:t>
      </w:r>
      <w:r>
        <w:t xml:space="preserve"> a final </w:t>
      </w:r>
      <w:r w:rsidRPr="00C90C07">
        <w:rPr>
          <w:i/>
          <w:iCs/>
        </w:rPr>
        <w:t>judgment</w:t>
      </w:r>
      <w:r>
        <w:t xml:space="preserve">, and there can be only one judgment in any given special proceeding or action.  (See, e.g., </w:t>
      </w:r>
      <w:r w:rsidRPr="005647B6">
        <w:rPr>
          <w:i/>
          <w:iCs/>
        </w:rPr>
        <w:t>Passavanti v. Williams</w:t>
      </w:r>
      <w:r w:rsidR="00C86BCC">
        <w:t xml:space="preserve"> </w:t>
      </w:r>
      <w:r w:rsidRPr="005647B6">
        <w:t>(1990) 225 Cal.App.3d 1602, 160</w:t>
      </w:r>
      <w:r w:rsidRPr="005647B6">
        <w:t>5</w:t>
      </w:r>
      <w:r w:rsidR="00C86BCC">
        <w:t>–</w:t>
      </w:r>
      <w:r>
        <w:t>1606</w:t>
      </w:r>
      <w:r w:rsidRPr="005647B6">
        <w:t xml:space="preserve"> </w:t>
      </w:r>
      <w:r>
        <w:t>[discussing the distinction between an order and a judgment and stating “</w:t>
      </w:r>
      <w:r w:rsidRPr="005647B6">
        <w:t>while there may be numerous orders made throughout a proceeding, there is only one judgment</w:t>
      </w:r>
      <w:r>
        <w:t>” (</w:t>
      </w:r>
      <w:r w:rsidRPr="005647B6">
        <w:rPr>
          <w:i/>
          <w:iCs/>
        </w:rPr>
        <w:t>id</w:t>
      </w:r>
      <w:r w:rsidRPr="00F601F8">
        <w:rPr>
          <w:i/>
          <w:iCs/>
        </w:rPr>
        <w:t>.</w:t>
      </w:r>
      <w:r>
        <w:t xml:space="preserve"> at p. 1605)</w:t>
      </w:r>
      <w:r w:rsidRPr="005647B6">
        <w:t>]</w:t>
      </w:r>
      <w:r>
        <w:t>.)</w:t>
      </w:r>
    </w:p>
    <w:p w14:paraId="44BAB72A" w14:textId="28924E64" w:rsidR="0035691F" w:rsidRDefault="00A62C74" w:rsidP="0035691F">
      <w:r>
        <w:tab/>
        <w:t xml:space="preserve">Officer Meinhardt also cites </w:t>
      </w:r>
      <w:r w:rsidRPr="00902E89">
        <w:rPr>
          <w:i/>
          <w:iCs/>
        </w:rPr>
        <w:t xml:space="preserve">Hadley v. Superior Court </w:t>
      </w:r>
      <w:r w:rsidRPr="00902E89">
        <w:t>(1972) 2</w:t>
      </w:r>
      <w:r w:rsidRPr="00902E89">
        <w:t>9</w:t>
      </w:r>
      <w:r w:rsidR="00F22058">
        <w:t> </w:t>
      </w:r>
      <w:r w:rsidRPr="00902E89">
        <w:t>Cal.App.3d 389</w:t>
      </w:r>
      <w:r>
        <w:t xml:space="preserve"> (</w:t>
      </w:r>
      <w:r w:rsidRPr="003D4C55">
        <w:rPr>
          <w:i/>
          <w:iCs/>
        </w:rPr>
        <w:t>Hadley</w:t>
      </w:r>
      <w:r>
        <w:t xml:space="preserve">).  In </w:t>
      </w:r>
      <w:r w:rsidRPr="008468B2">
        <w:rPr>
          <w:i/>
          <w:iCs/>
        </w:rPr>
        <w:t>Hadley</w:t>
      </w:r>
      <w:r>
        <w:t>, a court clerk entered a minute order denying a petition for writ of mandate.  (</w:t>
      </w:r>
      <w:r w:rsidRPr="00960FDE">
        <w:rPr>
          <w:i/>
          <w:iCs/>
        </w:rPr>
        <w:t>Id</w:t>
      </w:r>
      <w:r w:rsidRPr="00F601F8">
        <w:rPr>
          <w:i/>
          <w:iCs/>
        </w:rPr>
        <w:t>.</w:t>
      </w:r>
      <w:r>
        <w:t xml:space="preserve"> at p. 392.)  Contending that no final judgment had been entered, the petitioner subsequently filed a motion for entry of judgment.  (</w:t>
      </w:r>
      <w:r w:rsidRPr="00960FDE">
        <w:rPr>
          <w:i/>
          <w:iCs/>
        </w:rPr>
        <w:t>Ibid</w:t>
      </w:r>
      <w:r w:rsidRPr="00F601F8">
        <w:rPr>
          <w:i/>
          <w:iCs/>
        </w:rPr>
        <w:t>.</w:t>
      </w:r>
      <w:r>
        <w:t>)  After the trial court denied the motion, the petitioner filed an application for writ of mandate in the Court of Appeal directing the trial court “</w:t>
      </w:r>
      <w:r w:rsidRPr="008468B2">
        <w:rPr>
          <w:szCs w:val="20"/>
        </w:rPr>
        <w:t xml:space="preserve">to render and enter judgment in </w:t>
      </w:r>
      <w:r>
        <w:t>[the action]</w:t>
      </w:r>
      <w:r w:rsidRPr="008468B2">
        <w:rPr>
          <w:szCs w:val="20"/>
        </w:rPr>
        <w:t xml:space="preserve"> pending in respondent court</w:t>
      </w:r>
      <w:r>
        <w:rPr>
          <w:szCs w:val="20"/>
        </w:rPr>
        <w:t xml:space="preserve"> </w:t>
      </w:r>
      <w:r>
        <w:t xml:space="preserve">. . . .” </w:t>
      </w:r>
      <w:r w:rsidR="00C86BCC">
        <w:t xml:space="preserve"> </w:t>
      </w:r>
      <w:r>
        <w:t>(</w:t>
      </w:r>
      <w:r>
        <w:rPr>
          <w:i/>
          <w:iCs/>
          <w:szCs w:val="20"/>
        </w:rPr>
        <w:t>Id.</w:t>
      </w:r>
      <w:r w:rsidRPr="008468B2">
        <w:rPr>
          <w:szCs w:val="20"/>
        </w:rPr>
        <w:t xml:space="preserve"> </w:t>
      </w:r>
      <w:r>
        <w:t>at p.</w:t>
      </w:r>
      <w:r w:rsidRPr="008468B2">
        <w:rPr>
          <w:szCs w:val="20"/>
        </w:rPr>
        <w:t xml:space="preserve"> 391</w:t>
      </w:r>
      <w:r>
        <w:t xml:space="preserve">.)  </w:t>
      </w:r>
      <w:r>
        <w:t xml:space="preserve">The </w:t>
      </w:r>
      <w:r w:rsidRPr="00960FDE">
        <w:rPr>
          <w:i/>
          <w:iCs/>
        </w:rPr>
        <w:t>Hadley</w:t>
      </w:r>
      <w:r>
        <w:t xml:space="preserve"> court issued a</w:t>
      </w:r>
      <w:r w:rsidRPr="00960FDE">
        <w:t xml:space="preserve"> peremptory </w:t>
      </w:r>
      <w:r w:rsidR="00C569B1">
        <w:t xml:space="preserve">writ </w:t>
      </w:r>
      <w:r w:rsidRPr="00960FDE">
        <w:t>requiring respondent court to enter judgment</w:t>
      </w:r>
      <w:r>
        <w:t>.  (</w:t>
      </w:r>
      <w:r w:rsidRPr="00960FDE">
        <w:rPr>
          <w:i/>
          <w:iCs/>
        </w:rPr>
        <w:t>Id</w:t>
      </w:r>
      <w:r w:rsidRPr="00F601F8">
        <w:rPr>
          <w:i/>
          <w:iCs/>
        </w:rPr>
        <w:t>.</w:t>
      </w:r>
      <w:r>
        <w:t xml:space="preserve"> at p.</w:t>
      </w:r>
      <w:r w:rsidR="00676468">
        <w:t> </w:t>
      </w:r>
      <w:r>
        <w:t xml:space="preserve">396.)  The </w:t>
      </w:r>
      <w:r w:rsidRPr="00960FDE">
        <w:rPr>
          <w:i/>
          <w:iCs/>
        </w:rPr>
        <w:t>Hadley</w:t>
      </w:r>
      <w:r>
        <w:t xml:space="preserve"> court reasoned that “</w:t>
      </w:r>
      <w:r w:rsidRPr="00902E89">
        <w:t xml:space="preserve">a minute order </w:t>
      </w:r>
      <w:r w:rsidRPr="00902E89">
        <w:rPr>
          <w:i/>
          <w:iCs/>
        </w:rPr>
        <w:t>signed by the clerk</w:t>
      </w:r>
      <w:r w:rsidRPr="00902E89">
        <w:t xml:space="preserve"> and entered in the minutes</w:t>
      </w:r>
      <w:r>
        <w:t>,” does not constitute a “</w:t>
      </w:r>
      <w:r w:rsidRPr="00902E89">
        <w:t>final judgment in a proceeding</w:t>
      </w:r>
      <w:r w:rsidRPr="00902E89">
        <w:t xml:space="preserve"> for administrative mandamus</w:t>
      </w:r>
      <w:r w:rsidR="00C86BCC">
        <w:t xml:space="preserve"> </w:t>
      </w:r>
      <w:r w:rsidRPr="00902E89">
        <w:t>after the issuance of an alternative writ and trial on the merits.</w:t>
      </w:r>
      <w:r>
        <w:t>”  (</w:t>
      </w:r>
      <w:r>
        <w:rPr>
          <w:i/>
          <w:iCs/>
        </w:rPr>
        <w:t>Id.</w:t>
      </w:r>
      <w:r w:rsidRPr="00902E89">
        <w:t xml:space="preserve"> </w:t>
      </w:r>
      <w:r>
        <w:t>at p. 393, italics altered.)</w:t>
      </w:r>
    </w:p>
    <w:p w14:paraId="4A119D66" w14:textId="4B305EE0" w:rsidR="0035691F" w:rsidRDefault="00A62C74" w:rsidP="0035691F">
      <w:r>
        <w:lastRenderedPageBreak/>
        <w:tab/>
        <w:t xml:space="preserve">It is well established that a minute order dismissing a case that is </w:t>
      </w:r>
      <w:r w:rsidRPr="000462C5">
        <w:rPr>
          <w:i/>
          <w:iCs/>
        </w:rPr>
        <w:t>not</w:t>
      </w:r>
      <w:r>
        <w:t xml:space="preserve"> signed by a judge is not a judgment.  (See </w:t>
      </w:r>
      <w:r w:rsidRPr="00902E89">
        <w:rPr>
          <w:i/>
          <w:iCs/>
        </w:rPr>
        <w:t>Katzens</w:t>
      </w:r>
      <w:r w:rsidRPr="00902E89">
        <w:rPr>
          <w:i/>
          <w:iCs/>
        </w:rPr>
        <w:t>tein v. Chabad of Poway</w:t>
      </w:r>
      <w:r w:rsidR="00C86BCC">
        <w:t xml:space="preserve"> </w:t>
      </w:r>
      <w:r w:rsidRPr="00902E89">
        <w:t>(2015) 237 Cal.App.4th 759, 765</w:t>
      </w:r>
      <w:r>
        <w:t xml:space="preserve">; see § 581d.)  Thus, we agree with the </w:t>
      </w:r>
      <w:r w:rsidRPr="00902E89">
        <w:rPr>
          <w:i/>
          <w:iCs/>
        </w:rPr>
        <w:t>Hadley</w:t>
      </w:r>
      <w:r>
        <w:t xml:space="preserve"> court to the extent that it concluded that an </w:t>
      </w:r>
      <w:r w:rsidRPr="00113500">
        <w:rPr>
          <w:i/>
          <w:iCs/>
        </w:rPr>
        <w:t>unsigned</w:t>
      </w:r>
      <w:r>
        <w:t xml:space="preserve"> minute order denying a petition for writ of mandate is not a judgment.</w:t>
      </w:r>
      <w:r>
        <w:rPr>
          <w:rStyle w:val="FootnoteReference"/>
        </w:rPr>
        <w:footnoteReference w:id="24"/>
      </w:r>
      <w:r>
        <w:t xml:space="preserve"> </w:t>
      </w:r>
      <w:r w:rsidR="00C86BCC">
        <w:t xml:space="preserve"> </w:t>
      </w:r>
      <w:r>
        <w:t>However, to the extent th</w:t>
      </w:r>
      <w:r>
        <w:t xml:space="preserve">at </w:t>
      </w:r>
      <w:r w:rsidRPr="00113500">
        <w:rPr>
          <w:i/>
          <w:iCs/>
        </w:rPr>
        <w:t>Hadley</w:t>
      </w:r>
      <w:r>
        <w:t xml:space="preserve"> may be read to suggest that a formal document titled “judgment” must be filed in order for there to be a final judgment on a petition for writ of mandate, we decline to follow such reasoning, which we consider to be inconsistent with that espouse</w:t>
      </w:r>
      <w:r>
        <w:t xml:space="preserve">d in </w:t>
      </w:r>
      <w:r w:rsidRPr="00113500">
        <w:rPr>
          <w:i/>
          <w:iCs/>
        </w:rPr>
        <w:t>Dhillon</w:t>
      </w:r>
      <w:r>
        <w:t xml:space="preserve"> and the case law discussed in part III.A.2.c, </w:t>
      </w:r>
      <w:r w:rsidRPr="000462C5">
        <w:rPr>
          <w:i/>
          <w:iCs/>
        </w:rPr>
        <w:t>ante</w:t>
      </w:r>
      <w:r>
        <w:t>.  (See also Cal</w:t>
      </w:r>
      <w:r w:rsidR="00D02D6A">
        <w:t xml:space="preserve">. </w:t>
      </w:r>
      <w:r>
        <w:t>Civil Writ Practice (Cont.Ed.Bar) § 11.8 No Formal Judgment Necessary [stating that</w:t>
      </w:r>
      <w:r w:rsidRPr="00113500">
        <w:rPr>
          <w:i/>
          <w:iCs/>
        </w:rPr>
        <w:t xml:space="preserve"> Hadley</w:t>
      </w:r>
      <w:r>
        <w:t xml:space="preserve"> “</w:t>
      </w:r>
      <w:r w:rsidRPr="00BA0F27">
        <w:t xml:space="preserve">has not been followed and seems to be an anomaly based on the </w:t>
      </w:r>
      <w:r>
        <w:t>[C]</w:t>
      </w:r>
      <w:r w:rsidRPr="00BA0F27">
        <w:t xml:space="preserve">ourt of </w:t>
      </w:r>
      <w:r>
        <w:t>[A]</w:t>
      </w:r>
      <w:r w:rsidRPr="00BA0F27">
        <w:t>ppeal</w:t>
      </w:r>
      <w:r>
        <w:t>’</w:t>
      </w:r>
      <w:r w:rsidRPr="00BA0F27">
        <w:t>s determination that formal entry of judgment was contemplated</w:t>
      </w:r>
      <w:r>
        <w:t>”];</w:t>
      </w:r>
      <w:r w:rsidRPr="003D4C55">
        <w:t xml:space="preserve"> 9</w:t>
      </w:r>
      <w:r w:rsidR="00C86BCC">
        <w:t> </w:t>
      </w:r>
      <w:r w:rsidRPr="003D4C55">
        <w:t>Witkin, Cal. Proc. 6th Appeal § 165 (Order Granting or Denying Writ)</w:t>
      </w:r>
      <w:r w:rsidRPr="006722A0">
        <w:t xml:space="preserve"> </w:t>
      </w:r>
      <w:r>
        <w:t>[“</w:t>
      </w:r>
      <w:r w:rsidRPr="003D4C55">
        <w:t xml:space="preserve">a superior court order either granting or denying the petition </w:t>
      </w:r>
      <w:r>
        <w:t xml:space="preserve">[for writ of mandate] </w:t>
      </w:r>
      <w:r w:rsidRPr="003D4C55">
        <w:t>is appealable, and this ru</w:t>
      </w:r>
      <w:r w:rsidRPr="003D4C55">
        <w:t>le applies even if the order is not accompanied by a separate, formal judgment</w:t>
      </w:r>
      <w:r>
        <w:t>”].)</w:t>
      </w:r>
    </w:p>
    <w:p w14:paraId="20D03569" w14:textId="249F8B38" w:rsidR="0035691F" w:rsidRDefault="00A62C74" w:rsidP="004152C8">
      <w:pPr>
        <w:keepNext/>
      </w:pPr>
      <w:r>
        <w:tab/>
        <w:t xml:space="preserve">4. </w:t>
      </w:r>
      <w:r w:rsidR="009E2A39">
        <w:t xml:space="preserve">  </w:t>
      </w:r>
      <w:r w:rsidRPr="00873EDD">
        <w:rPr>
          <w:i/>
          <w:iCs/>
        </w:rPr>
        <w:t>We continue to follow</w:t>
      </w:r>
      <w:r>
        <w:t xml:space="preserve"> Laraway</w:t>
      </w:r>
    </w:p>
    <w:p w14:paraId="6E9DD170" w14:textId="04D85638" w:rsidR="0035691F" w:rsidRDefault="00A62C74" w:rsidP="0035691F">
      <w:r>
        <w:tab/>
        <w:t>Finally, Off</w:t>
      </w:r>
      <w:r w:rsidR="00D02D6A">
        <w:t>icer</w:t>
      </w:r>
      <w:r>
        <w:t xml:space="preserve"> Meinhardt offers “</w:t>
      </w:r>
      <w:r w:rsidRPr="007B2612">
        <w:t>seven reasons,</w:t>
      </w:r>
      <w:r>
        <w:t xml:space="preserve">” why this court should not follow </w:t>
      </w:r>
      <w:r w:rsidRPr="00C90C07">
        <w:rPr>
          <w:i/>
          <w:iCs/>
        </w:rPr>
        <w:t>Laraway</w:t>
      </w:r>
      <w:r>
        <w:t>.  While the bulk of these arguments are addr</w:t>
      </w:r>
      <w:r>
        <w:t xml:space="preserve">essed by our analysis above, in the interests of fairness and completeness, we discuss each contention here.  We also note that Officer Meinhardt does not contend that any cases have questioned the reasoning of </w:t>
      </w:r>
      <w:r w:rsidRPr="0036739D">
        <w:rPr>
          <w:i/>
          <w:iCs/>
        </w:rPr>
        <w:t>Laraway</w:t>
      </w:r>
      <w:r>
        <w:rPr>
          <w:i/>
          <w:iCs/>
        </w:rPr>
        <w:t xml:space="preserve"> </w:t>
      </w:r>
      <w:r w:rsidRPr="005101B7">
        <w:t>since its publication in 200</w:t>
      </w:r>
      <w:r>
        <w:t>2</w:t>
      </w:r>
      <w:r w:rsidRPr="005101B7">
        <w:t>,</w:t>
      </w:r>
      <w:r>
        <w:t xml:space="preserve"> and we</w:t>
      </w:r>
      <w:r>
        <w:t xml:space="preserve"> are not aware of any such cases.</w:t>
      </w:r>
    </w:p>
    <w:p w14:paraId="37789CCA" w14:textId="7A704721" w:rsidR="0035691F" w:rsidRDefault="00A62C74" w:rsidP="0035691F">
      <w:r>
        <w:lastRenderedPageBreak/>
        <w:tab/>
        <w:t xml:space="preserve">First, Officer Meinhardt notes that </w:t>
      </w:r>
      <w:r w:rsidRPr="007B2612">
        <w:rPr>
          <w:i/>
          <w:iCs/>
        </w:rPr>
        <w:t>Laraway</w:t>
      </w:r>
      <w:r>
        <w:t xml:space="preserve"> was not brought pursuant to section 1094.5, and contends that the trial court in that case “</w:t>
      </w:r>
      <w:r w:rsidRPr="007B2612">
        <w:t xml:space="preserve">was not obligated to </w:t>
      </w:r>
      <w:r>
        <w:t>‘</w:t>
      </w:r>
      <w:r w:rsidRPr="007B2612">
        <w:t>enter judgment</w:t>
      </w:r>
      <w:r>
        <w:t>’</w:t>
      </w:r>
      <w:r w:rsidRPr="007B2612">
        <w:t xml:space="preserve"> as</w:t>
      </w:r>
      <w:r>
        <w:t xml:space="preserve"> [section 1094.5</w:t>
      </w:r>
      <w:r w:rsidR="0056558A">
        <w:t>,</w:t>
      </w:r>
      <w:r>
        <w:t xml:space="preserve"> </w:t>
      </w:r>
      <w:r w:rsidRPr="007B2612">
        <w:t>sub</w:t>
      </w:r>
      <w:r>
        <w:t>division (f)]</w:t>
      </w:r>
      <w:r w:rsidRPr="007B2612">
        <w:t xml:space="preserve"> requires i</w:t>
      </w:r>
      <w:r w:rsidRPr="007B2612">
        <w:t>n an administrative mandamus action.</w:t>
      </w:r>
      <w:r>
        <w:t xml:space="preserve">” </w:t>
      </w:r>
      <w:r w:rsidR="008D408B">
        <w:t xml:space="preserve"> </w:t>
      </w:r>
      <w:r>
        <w:t xml:space="preserve">Yet, as explained in pt. III.A.2.b, </w:t>
      </w:r>
      <w:r w:rsidRPr="007B2612">
        <w:rPr>
          <w:i/>
          <w:iCs/>
        </w:rPr>
        <w:t>ante</w:t>
      </w:r>
      <w:r>
        <w:t xml:space="preserve">, under </w:t>
      </w:r>
      <w:r w:rsidRPr="006F5646">
        <w:rPr>
          <w:i/>
          <w:iCs/>
        </w:rPr>
        <w:t>Dhillon</w:t>
      </w:r>
      <w:r>
        <w:t xml:space="preserve">, an order on </w:t>
      </w:r>
      <w:r w:rsidRPr="006F5646">
        <w:t xml:space="preserve">a petition for writ of administrative mandate </w:t>
      </w:r>
      <w:r>
        <w:t xml:space="preserve">brought pursuant to section 1094.5 </w:t>
      </w:r>
      <w:r w:rsidRPr="00D232E1">
        <w:rPr>
          <w:i/>
          <w:iCs/>
        </w:rPr>
        <w:t>is</w:t>
      </w:r>
      <w:r>
        <w:t xml:space="preserve"> a judgment if “</w:t>
      </w:r>
      <w:r w:rsidRPr="00267D50">
        <w:t xml:space="preserve">no issue is left for future consideration except </w:t>
      </w:r>
      <w:r w:rsidRPr="00267D50">
        <w:t>the fact of compliance or noncompliance with the terms of the first decree</w:t>
      </w:r>
      <w:r>
        <w:t>.”  (</w:t>
      </w:r>
      <w:r w:rsidRPr="00D232E1">
        <w:rPr>
          <w:i/>
          <w:iCs/>
        </w:rPr>
        <w:t>Dhillon, supra</w:t>
      </w:r>
      <w:r>
        <w:t>, 2 Cal.5th at p. 1115.)</w:t>
      </w:r>
    </w:p>
    <w:p w14:paraId="2923C8D3" w14:textId="1B28E657" w:rsidR="0035691F" w:rsidRDefault="00A62C74" w:rsidP="0035691F">
      <w:r>
        <w:tab/>
        <w:t xml:space="preserve">Second, Officer Meinhardt states that </w:t>
      </w:r>
      <w:r w:rsidRPr="005F3C3B">
        <w:rPr>
          <w:i/>
          <w:iCs/>
        </w:rPr>
        <w:t>Laraway</w:t>
      </w:r>
      <w:r>
        <w:t xml:space="preserve"> “</w:t>
      </w:r>
      <w:r w:rsidRPr="005F3C3B">
        <w:t xml:space="preserve">appears to be the only published case in California that has dismissed an appeal as </w:t>
      </w:r>
      <w:r w:rsidRPr="005F3C3B">
        <w:t>untimely</w:t>
      </w:r>
      <w:r>
        <w:t xml:space="preserve">,” for failure to timely appeal in this context. </w:t>
      </w:r>
      <w:r w:rsidR="008D408B">
        <w:t xml:space="preserve"> </w:t>
      </w:r>
      <w:r>
        <w:t xml:space="preserve">The </w:t>
      </w:r>
      <w:r w:rsidRPr="005F3C3B">
        <w:rPr>
          <w:i/>
          <w:iCs/>
        </w:rPr>
        <w:t xml:space="preserve">Laraway </w:t>
      </w:r>
      <w:r>
        <w:t xml:space="preserve">and the </w:t>
      </w:r>
      <w:r w:rsidRPr="005F3C3B">
        <w:rPr>
          <w:i/>
          <w:iCs/>
        </w:rPr>
        <w:t>City of Calexico</w:t>
      </w:r>
      <w:r>
        <w:t xml:space="preserve"> courts both dismissed appeals in this context, and, for the reasons stated in this opinion, we find the reasons for these dismissals to be persuasive.  Thus, we </w:t>
      </w:r>
      <w:r>
        <w:t xml:space="preserve">also reject Officer Meinhardt’s third argument that </w:t>
      </w:r>
      <w:r w:rsidRPr="005F3C3B">
        <w:rPr>
          <w:i/>
          <w:iCs/>
        </w:rPr>
        <w:t>Laraway</w:t>
      </w:r>
      <w:r>
        <w:t xml:space="preserve"> takes “</w:t>
      </w:r>
      <w:r w:rsidRPr="005F3C3B">
        <w:t xml:space="preserve">laudable efforts to </w:t>
      </w:r>
      <w:r w:rsidRPr="005F3C3B">
        <w:rPr>
          <w:b/>
          <w:bCs/>
          <w:i/>
          <w:iCs/>
        </w:rPr>
        <w:t xml:space="preserve">preserve </w:t>
      </w:r>
      <w:r w:rsidRPr="005F3C3B">
        <w:t xml:space="preserve">appellate rights and transforms them into a mandate to </w:t>
      </w:r>
      <w:r w:rsidRPr="005F3C3B">
        <w:rPr>
          <w:b/>
          <w:bCs/>
          <w:i/>
          <w:iCs/>
        </w:rPr>
        <w:t xml:space="preserve">extinguish </w:t>
      </w:r>
      <w:r w:rsidRPr="005F3C3B">
        <w:t>appellate rights</w:t>
      </w:r>
      <w:r>
        <w:t xml:space="preserve">,” his fourth argument that </w:t>
      </w:r>
      <w:r w:rsidRPr="00853989">
        <w:rPr>
          <w:i/>
          <w:iCs/>
        </w:rPr>
        <w:t>City of Calexico</w:t>
      </w:r>
      <w:r>
        <w:t xml:space="preserve"> should not be</w:t>
      </w:r>
      <w:r w:rsidRPr="005F3C3B">
        <w:t xml:space="preserve"> </w:t>
      </w:r>
      <w:r>
        <w:t>“</w:t>
      </w:r>
      <w:r w:rsidRPr="005F3C3B">
        <w:t>applied retroactiv</w:t>
      </w:r>
      <w:r w:rsidRPr="005F3C3B">
        <w:t>ely to appellant</w:t>
      </w:r>
      <w:r>
        <w:t xml:space="preserve">,” and his fifth argument that </w:t>
      </w:r>
      <w:r w:rsidRPr="005F3C3B">
        <w:rPr>
          <w:i/>
          <w:iCs/>
        </w:rPr>
        <w:t>Laraway</w:t>
      </w:r>
      <w:r>
        <w:t xml:space="preserve"> and </w:t>
      </w:r>
      <w:r w:rsidRPr="005F3C3B">
        <w:rPr>
          <w:i/>
          <w:iCs/>
        </w:rPr>
        <w:t>City of Calexico</w:t>
      </w:r>
      <w:r>
        <w:t xml:space="preserve"> fail to “account”</w:t>
      </w:r>
      <w:r w:rsidRPr="008819F1">
        <w:t xml:space="preserve"> </w:t>
      </w:r>
      <w:r>
        <w:t>for the fact that an appeal from an order denying a petition for writ of mandate is, according to Officer Meinhardt, a “premature” appeal.</w:t>
      </w:r>
    </w:p>
    <w:p w14:paraId="5CDC1F84" w14:textId="0B1950B4" w:rsidR="0035691F" w:rsidRDefault="00A62C74" w:rsidP="0035691F">
      <w:r>
        <w:tab/>
        <w:t>We also reject Officer</w:t>
      </w:r>
      <w:r>
        <w:t xml:space="preserve"> Meinhardt’s sixth argument that application of the holdings in the </w:t>
      </w:r>
      <w:r w:rsidRPr="008819F1">
        <w:rPr>
          <w:i/>
          <w:iCs/>
        </w:rPr>
        <w:t>Laraway</w:t>
      </w:r>
      <w:r>
        <w:t xml:space="preserve"> / </w:t>
      </w:r>
      <w:r w:rsidRPr="008819F1">
        <w:rPr>
          <w:i/>
          <w:iCs/>
        </w:rPr>
        <w:t xml:space="preserve">City of Calexico </w:t>
      </w:r>
      <w:r>
        <w:t xml:space="preserve">line of cases is undesirable because it would force “litigants to appeal every conceivable final order.” </w:t>
      </w:r>
      <w:r w:rsidR="008D408B">
        <w:t xml:space="preserve"> </w:t>
      </w:r>
      <w:r>
        <w:t xml:space="preserve">The law is well established that, as the </w:t>
      </w:r>
      <w:r w:rsidRPr="008819F1">
        <w:rPr>
          <w:i/>
          <w:iCs/>
        </w:rPr>
        <w:t>Dhillon</w:t>
      </w:r>
      <w:r>
        <w:t xml:space="preserve"> court </w:t>
      </w:r>
      <w:r>
        <w:t>stated, a judgment is determined by its “effect” rather than its “form.”  (</w:t>
      </w:r>
      <w:r w:rsidRPr="0035634A">
        <w:rPr>
          <w:i/>
          <w:iCs/>
        </w:rPr>
        <w:t>Dhillon</w:t>
      </w:r>
      <w:r>
        <w:rPr>
          <w:i/>
          <w:iCs/>
        </w:rPr>
        <w:t>, supra</w:t>
      </w:r>
      <w:r w:rsidRPr="00A60E70">
        <w:t xml:space="preserve">, </w:t>
      </w:r>
      <w:r w:rsidRPr="0035634A">
        <w:t>2 Cal.5th</w:t>
      </w:r>
      <w:r>
        <w:t xml:space="preserve"> at p. 1115.)  Consequently, litigants seeking appellate review of a ruling that is, in effect, a judgment are required to timely appeal from such judgment.</w:t>
      </w:r>
    </w:p>
    <w:p w14:paraId="03B1F521" w14:textId="6938A976" w:rsidR="0035691F" w:rsidRDefault="00A62C74" w:rsidP="0035691F">
      <w:r>
        <w:lastRenderedPageBreak/>
        <w:tab/>
        <w:t>Finally, Officer Meinhardt argues that there “is an overwhelming fairness and equity issue,”</w:t>
      </w:r>
      <w:r w:rsidR="00BC266E">
        <w:t xml:space="preserve"> (boldface omitted)</w:t>
      </w:r>
      <w:r>
        <w:t xml:space="preserve"> and contends that the “rules are clear and appellant followed them.”  In our view, Officer Meinhardt’s “fairness” argument is unpersuasive giv</w:t>
      </w:r>
      <w:r>
        <w:t xml:space="preserve">en that </w:t>
      </w:r>
      <w:r w:rsidRPr="000425B7">
        <w:rPr>
          <w:i/>
          <w:iCs/>
        </w:rPr>
        <w:t>Laraway</w:t>
      </w:r>
      <w:r>
        <w:t xml:space="preserve"> has been the law for nearly 20 years and has recently been applied by this court in </w:t>
      </w:r>
      <w:r w:rsidRPr="000425B7">
        <w:rPr>
          <w:i/>
          <w:iCs/>
        </w:rPr>
        <w:t>City of Calexico</w:t>
      </w:r>
      <w:r>
        <w:t xml:space="preserve">, </w:t>
      </w:r>
      <w:r w:rsidRPr="00D95DC7">
        <w:rPr>
          <w:i/>
          <w:iCs/>
        </w:rPr>
        <w:t>and</w:t>
      </w:r>
      <w:r>
        <w:t xml:space="preserve"> numerous courts have repeatedly held that “</w:t>
      </w:r>
      <w:r w:rsidRPr="00FA351C">
        <w:t>an order granting or denying a petition for an extraordinary writ constitutes a final judgm</w:t>
      </w:r>
      <w:r w:rsidRPr="00FA351C">
        <w:t>ent for purposes of an appeal</w:t>
      </w:r>
      <w:r>
        <w:t xml:space="preserve"> . . . .”</w:t>
      </w:r>
      <w:r w:rsidR="00C86BCC">
        <w:t xml:space="preserve"> </w:t>
      </w:r>
      <w:r>
        <w:t xml:space="preserve"> (</w:t>
      </w:r>
      <w:r w:rsidRPr="00DA1435">
        <w:rPr>
          <w:i/>
          <w:iCs/>
        </w:rPr>
        <w:t>Public Defenders</w:t>
      </w:r>
      <w:r>
        <w:rPr>
          <w:i/>
          <w:iCs/>
        </w:rPr>
        <w:t>’</w:t>
      </w:r>
      <w:r w:rsidRPr="00DA1435">
        <w:rPr>
          <w:i/>
          <w:iCs/>
        </w:rPr>
        <w:t xml:space="preserve"> Organization</w:t>
      </w:r>
      <w:r>
        <w:rPr>
          <w:i/>
          <w:iCs/>
        </w:rPr>
        <w:t>, supra</w:t>
      </w:r>
      <w:r w:rsidRPr="00A60E70">
        <w:t xml:space="preserve">, </w:t>
      </w:r>
      <w:r w:rsidRPr="00DA1435">
        <w:t>106</w:t>
      </w:r>
      <w:r w:rsidR="006B055D">
        <w:t> </w:t>
      </w:r>
      <w:r w:rsidRPr="00DA1435">
        <w:t xml:space="preserve">Cal.App.4th </w:t>
      </w:r>
      <w:r>
        <w:t>at p.</w:t>
      </w:r>
      <w:r w:rsidRPr="00DA1435">
        <w:t xml:space="preserve"> 1409</w:t>
      </w:r>
      <w:r>
        <w:t>; see cases cited in pt. III.A.2.c</w:t>
      </w:r>
      <w:r w:rsidRPr="000425B7">
        <w:rPr>
          <w:i/>
          <w:iCs/>
        </w:rPr>
        <w:t>, ante</w:t>
      </w:r>
      <w:r>
        <w:t>.)</w:t>
      </w:r>
    </w:p>
    <w:p w14:paraId="5D15B539" w14:textId="4F7275BB" w:rsidR="0035691F" w:rsidRDefault="00A62C74" w:rsidP="004152C8">
      <w:pPr>
        <w:keepNext/>
      </w:pPr>
      <w:r>
        <w:t>D.</w:t>
      </w:r>
      <w:r w:rsidR="009E2A39">
        <w:t xml:space="preserve">  </w:t>
      </w:r>
      <w:r>
        <w:t xml:space="preserve"> </w:t>
      </w:r>
      <w:r w:rsidRPr="00986B99">
        <w:rPr>
          <w:i/>
          <w:iCs/>
        </w:rPr>
        <w:t>Officer Meinhardt’s appeal must be dismissed</w:t>
      </w:r>
    </w:p>
    <w:p w14:paraId="24D63B6D" w14:textId="2038F084" w:rsidR="0035691F" w:rsidRDefault="00A62C74" w:rsidP="0035691F">
      <w:r>
        <w:tab/>
        <w:t>We concluded in part III.B</w:t>
      </w:r>
      <w:r w:rsidR="00F34197">
        <w:t>,</w:t>
      </w:r>
      <w:r>
        <w:t xml:space="preserve"> </w:t>
      </w:r>
      <w:r w:rsidRPr="0096361A">
        <w:rPr>
          <w:i/>
          <w:iCs/>
        </w:rPr>
        <w:t>ante</w:t>
      </w:r>
      <w:r>
        <w:t xml:space="preserve">, that the August 6, 2020 ruling is a final appealable judgment.  That same day, the clerk of court served the parties with the August 6 ruling and filed a proof of service showing the date that the ruling was served.  (See pt. II.B, </w:t>
      </w:r>
      <w:r w:rsidRPr="0096361A">
        <w:rPr>
          <w:i/>
          <w:iCs/>
        </w:rPr>
        <w:t>ante</w:t>
      </w:r>
      <w:r>
        <w:t>.)  Pursuant to ru</w:t>
      </w:r>
      <w:r>
        <w:t>le 8.104(a)(1)(A), the 60-day period for filing a notice of appeal began August 6, 2020 and ended on October 5, 2020.  Thus, Officer Meinhardt’s October 15 notice of appeal, even if liberally construed as seeking to appeal the August 6 ruling,</w:t>
      </w:r>
      <w:r>
        <w:rPr>
          <w:rStyle w:val="FootnoteReference"/>
        </w:rPr>
        <w:footnoteReference w:id="25"/>
      </w:r>
      <w:r>
        <w:t xml:space="preserve"> was not ti</w:t>
      </w:r>
      <w:r>
        <w:t>mely filed and his appeal must be dismissed.</w:t>
      </w:r>
      <w:r>
        <w:rPr>
          <w:rStyle w:val="FootnoteReference"/>
        </w:rPr>
        <w:footnoteReference w:id="26"/>
      </w:r>
      <w:r>
        <w:t xml:space="preserve"> </w:t>
      </w:r>
      <w:r w:rsidR="00F34197">
        <w:t xml:space="preserve"> </w:t>
      </w:r>
      <w:r>
        <w:t>(</w:t>
      </w:r>
      <w:r w:rsidRPr="0096361A">
        <w:rPr>
          <w:i/>
          <w:iCs/>
        </w:rPr>
        <w:t xml:space="preserve">Laraway, </w:t>
      </w:r>
      <w:r w:rsidRPr="0096361A">
        <w:rPr>
          <w:i/>
          <w:iCs/>
        </w:rPr>
        <w:lastRenderedPageBreak/>
        <w:t>supra</w:t>
      </w:r>
      <w:r w:rsidRPr="0096361A">
        <w:t>, 98 Cal.App.4th at p. 582;</w:t>
      </w:r>
      <w:r>
        <w:t xml:space="preserve"> </w:t>
      </w:r>
      <w:r w:rsidRPr="0096361A">
        <w:rPr>
          <w:i/>
          <w:iCs/>
        </w:rPr>
        <w:t>City of Calexico</w:t>
      </w:r>
      <w:r>
        <w:rPr>
          <w:i/>
          <w:iCs/>
        </w:rPr>
        <w:t>, supra</w:t>
      </w:r>
      <w:r w:rsidRPr="00A60E70">
        <w:t xml:space="preserve">, </w:t>
      </w:r>
      <w:r w:rsidRPr="0096361A">
        <w:t xml:space="preserve">64 Cal.App.5th </w:t>
      </w:r>
      <w:r>
        <w:t>at p.</w:t>
      </w:r>
      <w:r w:rsidR="00F34197">
        <w:t> </w:t>
      </w:r>
      <w:r w:rsidRPr="0096361A">
        <w:t>19</w:t>
      </w:r>
      <w:r>
        <w:t>6; r</w:t>
      </w:r>
      <w:r w:rsidRPr="0096361A">
        <w:t>ule 8.104(b)</w:t>
      </w:r>
      <w:r>
        <w:t>.)</w:t>
      </w:r>
    </w:p>
    <w:p w14:paraId="49B297C5" w14:textId="77777777" w:rsidR="0035691F" w:rsidRDefault="00A62C74" w:rsidP="009E2A39">
      <w:pPr>
        <w:keepNext/>
        <w:jc w:val="center"/>
      </w:pPr>
      <w:r>
        <w:t>IV.</w:t>
      </w:r>
    </w:p>
    <w:p w14:paraId="63752BDE" w14:textId="77777777" w:rsidR="0035691F" w:rsidRDefault="00A62C74" w:rsidP="009E2A39">
      <w:pPr>
        <w:keepNext/>
        <w:jc w:val="center"/>
      </w:pPr>
      <w:r>
        <w:t>DISPOSITION</w:t>
      </w:r>
    </w:p>
    <w:p w14:paraId="2120D28B" w14:textId="77777777" w:rsidR="0035691F" w:rsidRDefault="00A62C74" w:rsidP="009E2A39">
      <w:pPr>
        <w:keepNext/>
      </w:pPr>
      <w:r>
        <w:tab/>
        <w:t>The appeal is dismissed.  Officer Meinhardt is to bear costs on appeal.</w:t>
      </w:r>
    </w:p>
    <w:p w14:paraId="0663BEE5" w14:textId="77777777" w:rsidR="007C6C1A" w:rsidRDefault="007C6C1A" w:rsidP="009E2A39">
      <w:pPr>
        <w:keepNext/>
      </w:pPr>
    </w:p>
    <w:p w14:paraId="177B16BD" w14:textId="3245FB3B" w:rsidR="0035691F" w:rsidRDefault="00A62C74" w:rsidP="008C13B5">
      <w:pPr>
        <w:keepNext/>
        <w:tabs>
          <w:tab w:val="left" w:pos="6480"/>
        </w:tabs>
        <w:spacing w:line="240" w:lineRule="auto"/>
      </w:pPr>
      <w:r>
        <w:tab/>
      </w:r>
      <w:r>
        <w:t>AARON, Acting P. J.</w:t>
      </w:r>
    </w:p>
    <w:p w14:paraId="68240149" w14:textId="77777777" w:rsidR="0035691F" w:rsidRDefault="0035691F" w:rsidP="0035691F">
      <w:pPr>
        <w:keepNext/>
        <w:tabs>
          <w:tab w:val="right" w:pos="3600"/>
        </w:tabs>
        <w:spacing w:line="240" w:lineRule="auto"/>
      </w:pPr>
    </w:p>
    <w:p w14:paraId="4852494D" w14:textId="77777777" w:rsidR="0035691F" w:rsidRDefault="00A62C74" w:rsidP="0035691F">
      <w:pPr>
        <w:keepNext/>
        <w:tabs>
          <w:tab w:val="right" w:pos="3600"/>
        </w:tabs>
        <w:spacing w:line="240" w:lineRule="auto"/>
      </w:pPr>
      <w:r>
        <w:t>WE CONCUR:</w:t>
      </w:r>
    </w:p>
    <w:p w14:paraId="17D2EB83" w14:textId="77777777" w:rsidR="0035691F" w:rsidRDefault="0035691F" w:rsidP="0035691F">
      <w:pPr>
        <w:keepNext/>
        <w:tabs>
          <w:tab w:val="right" w:pos="3600"/>
        </w:tabs>
        <w:spacing w:line="240" w:lineRule="auto"/>
      </w:pPr>
    </w:p>
    <w:p w14:paraId="5FCE59CB" w14:textId="6AD6742F" w:rsidR="0035691F" w:rsidRDefault="00A62C74" w:rsidP="0035691F">
      <w:pPr>
        <w:keepNext/>
        <w:tabs>
          <w:tab w:val="right" w:pos="3600"/>
        </w:tabs>
        <w:spacing w:line="240" w:lineRule="auto"/>
      </w:pPr>
      <w:r>
        <w:t>IRION, J.</w:t>
      </w:r>
    </w:p>
    <w:p w14:paraId="0A57A634" w14:textId="77777777" w:rsidR="0035691F" w:rsidRDefault="0035691F" w:rsidP="0035691F">
      <w:pPr>
        <w:keepNext/>
        <w:tabs>
          <w:tab w:val="right" w:pos="3600"/>
        </w:tabs>
        <w:spacing w:line="240" w:lineRule="auto"/>
      </w:pPr>
    </w:p>
    <w:p w14:paraId="5BDEC393" w14:textId="2940B3FF" w:rsidR="009D339B" w:rsidRDefault="00A62C74" w:rsidP="009E2A39">
      <w:pPr>
        <w:keepNext/>
        <w:tabs>
          <w:tab w:val="right" w:pos="3600"/>
        </w:tabs>
        <w:spacing w:line="240" w:lineRule="auto"/>
      </w:pPr>
      <w:r>
        <w:t>GUERRERO, J.</w:t>
      </w:r>
    </w:p>
    <w:sectPr w:rsidR="009D339B" w:rsidSect="00FB44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C72F" w14:textId="77777777" w:rsidR="00000000" w:rsidRDefault="00A62C74">
      <w:pPr>
        <w:spacing w:line="240" w:lineRule="auto"/>
      </w:pPr>
      <w:r>
        <w:separator/>
      </w:r>
    </w:p>
  </w:endnote>
  <w:endnote w:type="continuationSeparator" w:id="0">
    <w:p w14:paraId="20F3ABBA" w14:textId="77777777" w:rsidR="00000000" w:rsidRDefault="00A62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5D6D" w14:textId="77777777" w:rsidR="00FE7840" w:rsidRDefault="00FE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612"/>
      <w:docPartObj>
        <w:docPartGallery w:val="Page Numbers (Bottom of Page)"/>
        <w:docPartUnique/>
      </w:docPartObj>
    </w:sdtPr>
    <w:sdtEndPr/>
    <w:sdtContent>
      <w:p w14:paraId="3046B476" w14:textId="77777777" w:rsidR="00FB44C4" w:rsidRDefault="00A62C7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85D7CE" w14:textId="77777777" w:rsidR="00FB44C4" w:rsidRDefault="00FB44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7640" w14:textId="77777777" w:rsidR="00FE7840" w:rsidRDefault="00FE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7E97" w14:textId="77777777" w:rsidR="0035691F" w:rsidRDefault="00A62C74" w:rsidP="00FB44C4">
      <w:pPr>
        <w:spacing w:line="240" w:lineRule="auto"/>
      </w:pPr>
      <w:r>
        <w:separator/>
      </w:r>
    </w:p>
  </w:footnote>
  <w:footnote w:type="continuationSeparator" w:id="0">
    <w:p w14:paraId="146FCFDF" w14:textId="77777777" w:rsidR="0035691F" w:rsidRDefault="00A62C74" w:rsidP="00FB44C4">
      <w:pPr>
        <w:spacing w:line="240" w:lineRule="auto"/>
      </w:pPr>
      <w:r>
        <w:continuationSeparator/>
      </w:r>
    </w:p>
  </w:footnote>
  <w:footnote w:id="1">
    <w:p w14:paraId="25BBDA91" w14:textId="7E13B9B4" w:rsidR="0035691F" w:rsidRDefault="00A62C74" w:rsidP="0035691F">
      <w:pPr>
        <w:pStyle w:val="FootnoteText"/>
      </w:pPr>
      <w:r>
        <w:rPr>
          <w:rStyle w:val="FootnoteReference"/>
        </w:rPr>
        <w:footnoteRef/>
      </w:r>
      <w:r>
        <w:t xml:space="preserve"> </w:t>
      </w:r>
      <w:r>
        <w:tab/>
        <w:t>“</w:t>
      </w:r>
      <w:r w:rsidR="006F5F34">
        <w:t>[</w:t>
      </w:r>
      <w:r w:rsidRPr="001438C4">
        <w:t>A</w:t>
      </w:r>
      <w:r w:rsidR="006F5F34">
        <w:t xml:space="preserve">] </w:t>
      </w:r>
      <w:r w:rsidRPr="001438C4">
        <w:t>writ of mandamus may be denominated a writ of mandate.</w:t>
      </w:r>
      <w:r>
        <w:t>”</w:t>
      </w:r>
      <w:r w:rsidRPr="001438C4">
        <w:t xml:space="preserve"> </w:t>
      </w:r>
      <w:r w:rsidR="00B70F28">
        <w:t xml:space="preserve"> </w:t>
      </w:r>
      <w:r w:rsidRPr="001438C4">
        <w:t>(Code Civ. Proc., § 1084.)</w:t>
      </w:r>
      <w:r>
        <w:t xml:space="preserve">  We use the term writ of administrative mandate throughout this opinion, except for quotations.</w:t>
      </w:r>
    </w:p>
    <w:p w14:paraId="32BCA985" w14:textId="607BF36E" w:rsidR="0035691F" w:rsidRDefault="00A62C74" w:rsidP="0035691F">
      <w:pPr>
        <w:pStyle w:val="FootnoteText"/>
      </w:pPr>
      <w:r>
        <w:tab/>
        <w:t>All subsequent statutory references are to the Code of Civil Procedure, unless otherwise specified.</w:t>
      </w:r>
    </w:p>
  </w:footnote>
  <w:footnote w:id="2">
    <w:p w14:paraId="0AC019AD" w14:textId="5FE5393F" w:rsidR="0035691F" w:rsidRDefault="00A62C74" w:rsidP="0035691F">
      <w:pPr>
        <w:pStyle w:val="FootnoteText"/>
      </w:pPr>
      <w:r>
        <w:rPr>
          <w:rStyle w:val="FootnoteReference"/>
        </w:rPr>
        <w:footnoteRef/>
      </w:r>
      <w:r>
        <w:t xml:space="preserve"> </w:t>
      </w:r>
      <w:r>
        <w:tab/>
        <w:t xml:space="preserve">We discuss section 1094.5 in section III.A.2.a, </w:t>
      </w:r>
      <w:r w:rsidRPr="00465B22">
        <w:rPr>
          <w:i/>
          <w:iCs/>
        </w:rPr>
        <w:t>post</w:t>
      </w:r>
      <w:r>
        <w:t>.</w:t>
      </w:r>
    </w:p>
  </w:footnote>
  <w:footnote w:id="3">
    <w:p w14:paraId="06A5CAD5" w14:textId="034FD741" w:rsidR="0035691F" w:rsidRDefault="00A62C74" w:rsidP="0035691F">
      <w:pPr>
        <w:pStyle w:val="FootnoteText"/>
      </w:pPr>
      <w:r>
        <w:rPr>
          <w:rStyle w:val="FootnoteReference"/>
        </w:rPr>
        <w:footnoteRef/>
      </w:r>
      <w:r>
        <w:t xml:space="preserve"> </w:t>
      </w:r>
      <w:r>
        <w:tab/>
        <w:t>The record does not contain a reporter’s transcript of the hearing.</w:t>
      </w:r>
    </w:p>
    <w:p w14:paraId="29018FFD" w14:textId="77777777" w:rsidR="009E2A39" w:rsidRDefault="009E2A39" w:rsidP="0035691F">
      <w:pPr>
        <w:pStyle w:val="FootnoteText"/>
      </w:pPr>
    </w:p>
  </w:footnote>
  <w:footnote w:id="4">
    <w:p w14:paraId="2162FDB6" w14:textId="23A18433" w:rsidR="0035691F" w:rsidRDefault="00A62C74" w:rsidP="0035691F">
      <w:pPr>
        <w:spacing w:line="240" w:lineRule="auto"/>
      </w:pPr>
      <w:r>
        <w:rPr>
          <w:rStyle w:val="FootnoteReference"/>
        </w:rPr>
        <w:footnoteRef/>
      </w:r>
      <w:r>
        <w:t xml:space="preserve"> </w:t>
      </w:r>
      <w:r>
        <w:tab/>
        <w:t xml:space="preserve">The </w:t>
      </w:r>
      <w:r w:rsidR="00681F3D">
        <w:t>p</w:t>
      </w:r>
      <w:r>
        <w:t xml:space="preserve">roof of </w:t>
      </w:r>
      <w:r w:rsidR="00681F3D">
        <w:t>s</w:t>
      </w:r>
      <w:r>
        <w:t>ervice document lists the case name and number and states, “</w:t>
      </w:r>
      <w:r w:rsidRPr="00122157">
        <w:rPr>
          <w:b/>
          <w:bCs/>
        </w:rPr>
        <w:t>re:</w:t>
      </w:r>
      <w:r w:rsidR="00531637">
        <w:rPr>
          <w:b/>
          <w:bCs/>
        </w:rPr>
        <w:t xml:space="preserve"> </w:t>
      </w:r>
      <w:r w:rsidRPr="00122157">
        <w:rPr>
          <w:b/>
          <w:bCs/>
        </w:rPr>
        <w:t xml:space="preserve"> Order Denying Petition for Writ of Administrative Mandamus </w:t>
      </w:r>
      <w:r w:rsidRPr="00122157">
        <w:t>was delivered to the parties listed below th</w:t>
      </w:r>
      <w:r w:rsidRPr="00122157">
        <w:t>e</w:t>
      </w:r>
      <w:r>
        <w:t xml:space="preserve"> </w:t>
      </w:r>
      <w:r w:rsidRPr="00122157">
        <w:t>above entitled case as set forth in the sworn declaration below.</w:t>
      </w:r>
      <w:r>
        <w:t>”  The declaration states:</w:t>
      </w:r>
    </w:p>
    <w:p w14:paraId="0AEF1F41" w14:textId="77777777" w:rsidR="009E2A39" w:rsidRDefault="009E2A39" w:rsidP="00B70F28">
      <w:pPr>
        <w:spacing w:line="160" w:lineRule="exact"/>
      </w:pPr>
    </w:p>
    <w:p w14:paraId="7709886A" w14:textId="467E7987" w:rsidR="0035691F" w:rsidRDefault="00A62C74" w:rsidP="0035691F">
      <w:pPr>
        <w:pStyle w:val="IndentedQuote"/>
      </w:pPr>
      <w:r>
        <w:t>“</w:t>
      </w:r>
      <w:r w:rsidRPr="00122157">
        <w:rPr>
          <w:b/>
          <w:bCs/>
        </w:rPr>
        <w:t>DECLARATION OF SERVICE BY MAIL</w:t>
      </w:r>
      <w:r w:rsidRPr="00122157">
        <w:t xml:space="preserve">: </w:t>
      </w:r>
      <w:r w:rsidR="00531637">
        <w:t xml:space="preserve"> </w:t>
      </w:r>
      <w:r w:rsidRPr="00122157">
        <w:t>I declare that I served this notice by enclosing a true copy in a sealed envelope</w:t>
      </w:r>
      <w:r>
        <w:t>,</w:t>
      </w:r>
      <w:r w:rsidRPr="00122157">
        <w:t xml:space="preserve"> addressed to</w:t>
      </w:r>
      <w:r>
        <w:t xml:space="preserve"> </w:t>
      </w:r>
      <w:r w:rsidRPr="00122157">
        <w:t xml:space="preserve">each person whose name is </w:t>
      </w:r>
      <w:r w:rsidRPr="00122157">
        <w:t>shown below, and by depositing the envelope with postage fully prepaid</w:t>
      </w:r>
      <w:r w:rsidR="006F5F34">
        <w:t>,</w:t>
      </w:r>
      <w:r w:rsidRPr="00122157">
        <w:t xml:space="preserve"> in the United States Mail at San Jose,</w:t>
      </w:r>
      <w:r w:rsidR="00B70F28">
        <w:t xml:space="preserve"> </w:t>
      </w:r>
      <w:r w:rsidRPr="00122157">
        <w:t>CA on August 06</w:t>
      </w:r>
      <w:r>
        <w:t xml:space="preserve">, </w:t>
      </w:r>
      <w:r w:rsidRPr="00122157">
        <w:t xml:space="preserve">2020. </w:t>
      </w:r>
      <w:r>
        <w:t xml:space="preserve"> </w:t>
      </w:r>
      <w:r w:rsidRPr="00122157">
        <w:t>CLERK OF THE COURT</w:t>
      </w:r>
      <w:r>
        <w:t xml:space="preserve">, </w:t>
      </w:r>
      <w:r w:rsidRPr="00122157">
        <w:t xml:space="preserve">by </w:t>
      </w:r>
      <w:r>
        <w:t>[clerk’s name]</w:t>
      </w:r>
      <w:r w:rsidR="006F5F34">
        <w:t>,</w:t>
      </w:r>
      <w:r w:rsidRPr="00122157">
        <w:t xml:space="preserve"> Deputy.</w:t>
      </w:r>
      <w:r>
        <w:t>”</w:t>
      </w:r>
    </w:p>
    <w:p w14:paraId="191CDB42" w14:textId="77777777" w:rsidR="00B70F28" w:rsidRDefault="00B70F28" w:rsidP="00B70F28">
      <w:pPr>
        <w:pStyle w:val="IndentedQuote"/>
        <w:spacing w:line="160" w:lineRule="exact"/>
      </w:pPr>
    </w:p>
    <w:p w14:paraId="43C32F70" w14:textId="756B0729" w:rsidR="0035691F" w:rsidRDefault="00A62C74" w:rsidP="0035691F">
      <w:pPr>
        <w:spacing w:line="240" w:lineRule="auto"/>
      </w:pPr>
      <w:r>
        <w:tab/>
        <w:t>Following the declaration are the names of the parties’ counsel and the</w:t>
      </w:r>
      <w:r>
        <w:t>ir addresses.</w:t>
      </w:r>
    </w:p>
    <w:p w14:paraId="31FFA8F1" w14:textId="77777777" w:rsidR="0035691F" w:rsidRDefault="0035691F" w:rsidP="0035691F">
      <w:pPr>
        <w:pStyle w:val="FootnoteText"/>
      </w:pPr>
    </w:p>
  </w:footnote>
  <w:footnote w:id="5">
    <w:p w14:paraId="3800E371" w14:textId="62923759" w:rsidR="0035691F" w:rsidRDefault="00A62C74" w:rsidP="0035691F">
      <w:pPr>
        <w:pStyle w:val="FootnoteText"/>
      </w:pPr>
      <w:r>
        <w:rPr>
          <w:rStyle w:val="FootnoteReference"/>
        </w:rPr>
        <w:footnoteRef/>
      </w:r>
      <w:r>
        <w:t xml:space="preserve"> </w:t>
      </w:r>
      <w:r>
        <w:tab/>
        <w:t xml:space="preserve">Officer Meinhardt served a </w:t>
      </w:r>
      <w:r w:rsidR="00681F3D">
        <w:t>n</w:t>
      </w:r>
      <w:r>
        <w:t xml:space="preserve">otice of </w:t>
      </w:r>
      <w:r w:rsidR="00681F3D">
        <w:t>e</w:t>
      </w:r>
      <w:r>
        <w:t>ntry of this judgment on September 22.</w:t>
      </w:r>
      <w:r w:rsidR="008D408B">
        <w:t xml:space="preserve"> </w:t>
      </w:r>
      <w:r>
        <w:t xml:space="preserve"> In his supplemental brief, Officer Meinhardt states that he “</w:t>
      </w:r>
      <w:r w:rsidRPr="00DF2FC4">
        <w:t>attach</w:t>
      </w:r>
      <w:r>
        <w:t>[ed]</w:t>
      </w:r>
      <w:r w:rsidRPr="00DF2FC4">
        <w:t xml:space="preserve"> </w:t>
      </w:r>
      <w:r>
        <w:t xml:space="preserve">[the] </w:t>
      </w:r>
      <w:r w:rsidRPr="00DF2FC4">
        <w:t xml:space="preserve">signed Judgment found online, though </w:t>
      </w:r>
      <w:r>
        <w:t xml:space="preserve">[the] </w:t>
      </w:r>
      <w:r w:rsidRPr="00DF2FC4">
        <w:t>cour</w:t>
      </w:r>
      <w:r>
        <w:t xml:space="preserve">t </w:t>
      </w:r>
      <w:r w:rsidRPr="00DF2FC4">
        <w:t>file-stamp</w:t>
      </w:r>
      <w:r w:rsidR="00681F3D">
        <w:t>[ed]</w:t>
      </w:r>
      <w:r w:rsidRPr="00DF2FC4">
        <w:t xml:space="preserve"> Judgment </w:t>
      </w:r>
      <w:r>
        <w:t xml:space="preserve">[was] </w:t>
      </w:r>
      <w:r w:rsidRPr="00DF2FC4">
        <w:t>not</w:t>
      </w:r>
      <w:r w:rsidRPr="00DF2FC4">
        <w:t xml:space="preserve"> entered until </w:t>
      </w:r>
      <w:r>
        <w:t>[September] 25.”</w:t>
      </w:r>
    </w:p>
  </w:footnote>
  <w:footnote w:id="6">
    <w:p w14:paraId="1522413E" w14:textId="6528354B" w:rsidR="0035691F" w:rsidRDefault="00A62C74" w:rsidP="0035691F">
      <w:pPr>
        <w:pStyle w:val="FootnoteText"/>
      </w:pPr>
      <w:r>
        <w:rPr>
          <w:rStyle w:val="FootnoteReference"/>
        </w:rPr>
        <w:footnoteRef/>
      </w:r>
      <w:r>
        <w:t xml:space="preserve"> </w:t>
      </w:r>
      <w:r>
        <w:tab/>
        <w:t>As noted in part II.</w:t>
      </w:r>
      <w:r w:rsidR="00681F3D">
        <w:t>D</w:t>
      </w:r>
      <w:r>
        <w:t xml:space="preserve">, </w:t>
      </w:r>
      <w:r w:rsidRPr="006343A2">
        <w:rPr>
          <w:i/>
          <w:iCs/>
        </w:rPr>
        <w:t>ante</w:t>
      </w:r>
      <w:r>
        <w:t>, the trial court signed a document titled “judgment” on September 17, 2020, and the clerk filed this document on September 25, 2020.</w:t>
      </w:r>
    </w:p>
  </w:footnote>
  <w:footnote w:id="7">
    <w:p w14:paraId="5E2D9D2C" w14:textId="6B0F1050" w:rsidR="0035691F" w:rsidRDefault="00A62C74" w:rsidP="0035691F">
      <w:pPr>
        <w:pStyle w:val="FootnoteText"/>
      </w:pPr>
      <w:r>
        <w:rPr>
          <w:rStyle w:val="FootnoteReference"/>
        </w:rPr>
        <w:footnoteRef/>
      </w:r>
      <w:r>
        <w:t xml:space="preserve"> </w:t>
      </w:r>
      <w:r>
        <w:tab/>
        <w:t xml:space="preserve">All subsequent rule references are to the </w:t>
      </w:r>
      <w:r>
        <w:t>California Rules of Court.</w:t>
      </w:r>
    </w:p>
  </w:footnote>
  <w:footnote w:id="8">
    <w:p w14:paraId="16F37CED" w14:textId="28E0F8DB" w:rsidR="0035691F" w:rsidRDefault="00A62C74" w:rsidP="0035691F">
      <w:pPr>
        <w:pStyle w:val="FootnoteText"/>
      </w:pPr>
      <w:r>
        <w:rPr>
          <w:rStyle w:val="FootnoteReference"/>
        </w:rPr>
        <w:footnoteRef/>
      </w:r>
      <w:r>
        <w:t xml:space="preserve"> </w:t>
      </w:r>
      <w:r>
        <w:tab/>
        <w:t>“[A]</w:t>
      </w:r>
      <w:r w:rsidRPr="00923EE2">
        <w:t xml:space="preserve">n administrative decision that does </w:t>
      </w:r>
      <w:r w:rsidRPr="0077504F">
        <w:rPr>
          <w:i/>
          <w:iCs/>
        </w:rPr>
        <w:t>not</w:t>
      </w:r>
      <w:r w:rsidRPr="00923EE2">
        <w:t xml:space="preserve"> require a hearing or a response to public input is generally not reviewable under</w:t>
      </w:r>
      <w:r w:rsidR="00B70F28">
        <w:t xml:space="preserve"> </w:t>
      </w:r>
      <w:r w:rsidRPr="00923EE2">
        <w:t>Code of Civil Procedure section 1094.5 but by</w:t>
      </w:r>
      <w:r w:rsidR="00B70F28">
        <w:t xml:space="preserve"> </w:t>
      </w:r>
      <w:r w:rsidRPr="00923EE2">
        <w:t>traditional</w:t>
      </w:r>
      <w:r w:rsidR="00B70F28">
        <w:t xml:space="preserve"> </w:t>
      </w:r>
      <w:r w:rsidRPr="00923EE2">
        <w:t>mandamus pursuant to Code of Civil Procedu</w:t>
      </w:r>
      <w:r w:rsidRPr="00923EE2">
        <w:t>re section</w:t>
      </w:r>
      <w:r w:rsidR="00B70F28">
        <w:t xml:space="preserve"> </w:t>
      </w:r>
      <w:r w:rsidRPr="00923EE2">
        <w:t>1085</w:t>
      </w:r>
      <w:r w:rsidR="001726CE">
        <w:t xml:space="preserve"> </w:t>
      </w:r>
      <w:r>
        <w:t>. . . .”</w:t>
      </w:r>
      <w:r w:rsidR="00B70F28">
        <w:t xml:space="preserve"> </w:t>
      </w:r>
      <w:r>
        <w:t xml:space="preserve"> (</w:t>
      </w:r>
      <w:r w:rsidRPr="00923EE2">
        <w:rPr>
          <w:i/>
          <w:iCs/>
        </w:rPr>
        <w:t>Environmental Protection Information Center v. California Dept. of Forestry &amp; Fire Protection</w:t>
      </w:r>
      <w:r w:rsidR="00B70F28">
        <w:t xml:space="preserve"> </w:t>
      </w:r>
      <w:r w:rsidRPr="00923EE2">
        <w:t>(2008) 44 Cal.4th 459, 521</w:t>
      </w:r>
      <w:r>
        <w:t>, italics added.)</w:t>
      </w:r>
    </w:p>
    <w:p w14:paraId="7D253F65" w14:textId="2C7C0465" w:rsidR="0035691F" w:rsidRDefault="00A62C74" w:rsidP="0035691F">
      <w:pPr>
        <w:pStyle w:val="FootnoteText"/>
      </w:pPr>
      <w:r>
        <w:tab/>
        <w:t xml:space="preserve">Section </w:t>
      </w:r>
      <w:r w:rsidRPr="00923EE2">
        <w:t>1085</w:t>
      </w:r>
      <w:r>
        <w:t xml:space="preserve">, subdivision </w:t>
      </w:r>
      <w:r w:rsidRPr="00923EE2">
        <w:t>(a)</w:t>
      </w:r>
      <w:r>
        <w:t xml:space="preserve"> provides, “</w:t>
      </w:r>
      <w:r w:rsidRPr="00923EE2">
        <w:t xml:space="preserve">A writ of mandate may be issued by any court to </w:t>
      </w:r>
      <w:r w:rsidRPr="00923EE2">
        <w:t>any inferior tribunal, corporation, board, or person, to compel the performance of an act which the law specially enjoins, as a duty resulting from an office, trust, or station, or to compel the admission of a party to the use and enjoyment of a right or o</w:t>
      </w:r>
      <w:r w:rsidRPr="00923EE2">
        <w:t>ffice to which the party is entitled, and from which the party is unlawfully precluded by</w:t>
      </w:r>
      <w:r w:rsidR="00B70F28">
        <w:t xml:space="preserve"> </w:t>
      </w:r>
      <w:r w:rsidRPr="00923EE2">
        <w:t>that</w:t>
      </w:r>
      <w:r w:rsidR="00B70F28">
        <w:t xml:space="preserve"> </w:t>
      </w:r>
      <w:r w:rsidRPr="00923EE2">
        <w:t>inferior tribunal, corporation, board, or person.</w:t>
      </w:r>
      <w:r>
        <w:t>”</w:t>
      </w:r>
    </w:p>
  </w:footnote>
  <w:footnote w:id="9">
    <w:p w14:paraId="18FE084B" w14:textId="798AC5BC" w:rsidR="0035691F" w:rsidRDefault="00A62C74" w:rsidP="0035691F">
      <w:pPr>
        <w:pStyle w:val="FootnoteText"/>
      </w:pPr>
      <w:r>
        <w:rPr>
          <w:rStyle w:val="FootnoteReference"/>
        </w:rPr>
        <w:footnoteRef/>
      </w:r>
      <w:r>
        <w:t xml:space="preserve"> </w:t>
      </w:r>
      <w:r>
        <w:tab/>
        <w:t xml:space="preserve">As noted in part III.A.2.a, </w:t>
      </w:r>
      <w:r w:rsidRPr="00EE024A">
        <w:rPr>
          <w:i/>
          <w:iCs/>
        </w:rPr>
        <w:t>ante</w:t>
      </w:r>
      <w:r>
        <w:t>, section 1094.5, subdivision (f) provides:</w:t>
      </w:r>
    </w:p>
    <w:p w14:paraId="5BD0A838" w14:textId="77777777" w:rsidR="009E2A39" w:rsidRDefault="009E2A39" w:rsidP="00B70F28">
      <w:pPr>
        <w:pStyle w:val="FootnoteText"/>
        <w:spacing w:line="160" w:lineRule="exact"/>
      </w:pPr>
    </w:p>
    <w:p w14:paraId="274C5B0C" w14:textId="6FC27946" w:rsidR="0035691F" w:rsidRDefault="00A62C74" w:rsidP="009E2A39">
      <w:pPr>
        <w:pStyle w:val="IndentedQuote"/>
      </w:pPr>
      <w:r w:rsidRPr="00EB6418">
        <w:t>“The court</w:t>
      </w:r>
      <w:r>
        <w:t xml:space="preserve"> </w:t>
      </w:r>
      <w:r w:rsidRPr="00EB6418">
        <w:t>shall enter judgmen</w:t>
      </w:r>
      <w:r w:rsidRPr="00EB6418">
        <w:t xml:space="preserve">t either commanding respondent to set aside the order or decision, or denying the writ. </w:t>
      </w:r>
      <w:r w:rsidR="006B055D">
        <w:t xml:space="preserve"> </w:t>
      </w:r>
      <w:r w:rsidRPr="00EB6418">
        <w:t>Where the judgment commands that the order or decision be set aside, it may order the reconsideration of the case in light of the court</w:t>
      </w:r>
      <w:r w:rsidR="009267E4">
        <w:t>’</w:t>
      </w:r>
      <w:r w:rsidRPr="00EB6418">
        <w:t xml:space="preserve">s opinion and judgment and may </w:t>
      </w:r>
      <w:r w:rsidRPr="00EB6418">
        <w:t>order respondent to take such further action as is specially enjoined upon it by law, but the judgment shall not limit or control in any way the discretion legally vested in the respondent.”</w:t>
      </w:r>
    </w:p>
  </w:footnote>
  <w:footnote w:id="10">
    <w:p w14:paraId="46EACA62" w14:textId="456653A4" w:rsidR="0035691F" w:rsidRPr="0099466C" w:rsidRDefault="00A62C74" w:rsidP="0035691F">
      <w:pPr>
        <w:pStyle w:val="FootnoteText"/>
      </w:pPr>
      <w:r>
        <w:rPr>
          <w:rStyle w:val="FootnoteReference"/>
        </w:rPr>
        <w:footnoteRef/>
      </w:r>
      <w:r>
        <w:t xml:space="preserve"> </w:t>
      </w:r>
      <w:r>
        <w:tab/>
        <w:t xml:space="preserve">In both </w:t>
      </w:r>
      <w:r w:rsidRPr="00670116">
        <w:rPr>
          <w:i/>
          <w:iCs/>
        </w:rPr>
        <w:t>Sandlin</w:t>
      </w:r>
      <w:r>
        <w:rPr>
          <w:i/>
          <w:iCs/>
        </w:rPr>
        <w:t>, supra</w:t>
      </w:r>
      <w:r w:rsidRPr="00A60E70">
        <w:t xml:space="preserve">, </w:t>
      </w:r>
      <w:r w:rsidRPr="00670116">
        <w:t xml:space="preserve">50 Cal.App.5th </w:t>
      </w:r>
      <w:r>
        <w:t xml:space="preserve">805 and </w:t>
      </w:r>
      <w:r w:rsidRPr="00DA1435">
        <w:rPr>
          <w:i/>
          <w:iCs/>
        </w:rPr>
        <w:t>Molloy</w:t>
      </w:r>
      <w:r>
        <w:rPr>
          <w:i/>
          <w:iCs/>
        </w:rPr>
        <w:t>, supra</w:t>
      </w:r>
      <w:r w:rsidRPr="00A60E70">
        <w:t xml:space="preserve">, </w:t>
      </w:r>
      <w:r w:rsidRPr="00DA1435">
        <w:t>42</w:t>
      </w:r>
      <w:r w:rsidR="00B70F28">
        <w:t> </w:t>
      </w:r>
      <w:r w:rsidRPr="00DA1435">
        <w:t xml:space="preserve">Cal.App.5th </w:t>
      </w:r>
      <w:r>
        <w:t xml:space="preserve">746, the Court of Appeal relied on </w:t>
      </w:r>
      <w:r w:rsidRPr="00FA351C">
        <w:rPr>
          <w:i/>
          <w:iCs/>
        </w:rPr>
        <w:t>Public Defenders</w:t>
      </w:r>
      <w:r w:rsidR="009267E4">
        <w:rPr>
          <w:i/>
          <w:iCs/>
        </w:rPr>
        <w:t>’</w:t>
      </w:r>
      <w:r w:rsidRPr="00FA351C">
        <w:rPr>
          <w:i/>
          <w:iCs/>
        </w:rPr>
        <w:t xml:space="preserve"> Organization</w:t>
      </w:r>
      <w:r>
        <w:t xml:space="preserve"> in concluding that an order denying a petition for writ of mandate in its entirety </w:t>
      </w:r>
      <w:r w:rsidRPr="0099466C">
        <w:t>“</w:t>
      </w:r>
      <w:r w:rsidR="002673E6">
        <w:t xml:space="preserve"> ‘</w:t>
      </w:r>
      <w:r w:rsidRPr="0099466C">
        <w:t>constitutes a final judgment for purposes of an appeal.</w:t>
      </w:r>
      <w:r w:rsidR="002673E6">
        <w:t xml:space="preserve">’ </w:t>
      </w:r>
      <w:r w:rsidRPr="0099466C">
        <w:t>”</w:t>
      </w:r>
      <w:r>
        <w:t xml:space="preserve">  (</w:t>
      </w:r>
      <w:r w:rsidRPr="0099466C">
        <w:rPr>
          <w:i/>
          <w:iCs/>
        </w:rPr>
        <w:t>Sandlin</w:t>
      </w:r>
      <w:r>
        <w:rPr>
          <w:i/>
          <w:iCs/>
        </w:rPr>
        <w:t>, sup</w:t>
      </w:r>
      <w:r w:rsidR="00B70F28">
        <w:rPr>
          <w:i/>
          <w:iCs/>
        </w:rPr>
        <w:t>ra</w:t>
      </w:r>
      <w:r w:rsidRPr="00B70F28">
        <w:t xml:space="preserve">, </w:t>
      </w:r>
      <w:r w:rsidRPr="0099466C">
        <w:t xml:space="preserve">50 Cal.App.5th </w:t>
      </w:r>
      <w:r>
        <w:t>at p.</w:t>
      </w:r>
      <w:r w:rsidRPr="0099466C">
        <w:t xml:space="preserve"> 820</w:t>
      </w:r>
      <w:r>
        <w:t xml:space="preserve">; </w:t>
      </w:r>
      <w:r w:rsidRPr="00DA1435">
        <w:rPr>
          <w:i/>
          <w:iCs/>
        </w:rPr>
        <w:t>Molloy</w:t>
      </w:r>
      <w:r>
        <w:rPr>
          <w:i/>
          <w:iCs/>
        </w:rPr>
        <w:t>, supra</w:t>
      </w:r>
      <w:r w:rsidRPr="00A60E70">
        <w:t xml:space="preserve">, </w:t>
      </w:r>
      <w:r w:rsidRPr="00DA1435">
        <w:t>42</w:t>
      </w:r>
      <w:r w:rsidR="00B70F28">
        <w:t> </w:t>
      </w:r>
      <w:r w:rsidRPr="00DA1435">
        <w:t xml:space="preserve">Cal.App.5th </w:t>
      </w:r>
      <w:r>
        <w:t>at p. 753, fn.</w:t>
      </w:r>
      <w:r w:rsidR="00B70F28">
        <w:t xml:space="preserve"> </w:t>
      </w:r>
      <w:r>
        <w:t xml:space="preserve">6 [both quoting </w:t>
      </w:r>
      <w:r w:rsidRPr="0099466C">
        <w:rPr>
          <w:i/>
          <w:iCs/>
        </w:rPr>
        <w:t>Public Defenders</w:t>
      </w:r>
      <w:r>
        <w:rPr>
          <w:i/>
          <w:iCs/>
        </w:rPr>
        <w:t>’</w:t>
      </w:r>
      <w:r w:rsidRPr="0099466C">
        <w:rPr>
          <w:i/>
          <w:iCs/>
        </w:rPr>
        <w:t xml:space="preserve"> Organization</w:t>
      </w:r>
      <w:r>
        <w:rPr>
          <w:i/>
          <w:iCs/>
        </w:rPr>
        <w:t>, supra</w:t>
      </w:r>
      <w:r w:rsidRPr="00A60E70">
        <w:t xml:space="preserve">, </w:t>
      </w:r>
      <w:r w:rsidRPr="0099466C">
        <w:t xml:space="preserve">106 Cal.App.4th </w:t>
      </w:r>
      <w:r>
        <w:t>at p.</w:t>
      </w:r>
      <w:r w:rsidRPr="0099466C">
        <w:t xml:space="preserve"> 1409</w:t>
      </w:r>
      <w:r>
        <w:t>].)</w:t>
      </w:r>
    </w:p>
  </w:footnote>
  <w:footnote w:id="11">
    <w:p w14:paraId="3862F375" w14:textId="23C01C82" w:rsidR="0035691F" w:rsidRDefault="00A62C74" w:rsidP="0035691F">
      <w:pPr>
        <w:pStyle w:val="FootnoteText"/>
      </w:pPr>
      <w:r>
        <w:rPr>
          <w:rStyle w:val="FootnoteReference"/>
        </w:rPr>
        <w:footnoteRef/>
      </w:r>
      <w:r>
        <w:t xml:space="preserve"> </w:t>
      </w:r>
      <w:r>
        <w:tab/>
      </w:r>
      <w:r w:rsidRPr="006B2B20">
        <w:t>The</w:t>
      </w:r>
      <w:r w:rsidR="00B70F28">
        <w:t xml:space="preserve"> </w:t>
      </w:r>
      <w:r w:rsidRPr="006B2B20">
        <w:rPr>
          <w:i/>
          <w:iCs/>
        </w:rPr>
        <w:t>Laraway</w:t>
      </w:r>
      <w:r w:rsidR="00B70F28">
        <w:t xml:space="preserve"> </w:t>
      </w:r>
      <w:r w:rsidRPr="006B2B20">
        <w:t xml:space="preserve">court noted that the notice of appeal contained in the record was </w:t>
      </w:r>
      <w:r>
        <w:t>not file stamped, b</w:t>
      </w:r>
      <w:r>
        <w:t xml:space="preserve">ut was </w:t>
      </w:r>
      <w:r w:rsidRPr="006B2B20">
        <w:t xml:space="preserve">dated March 28. </w:t>
      </w:r>
      <w:r>
        <w:t xml:space="preserve"> </w:t>
      </w:r>
      <w:r w:rsidRPr="006B2B20">
        <w:t>(</w:t>
      </w:r>
      <w:r w:rsidRPr="006B2B20">
        <w:rPr>
          <w:i/>
          <w:iCs/>
        </w:rPr>
        <w:t>Laraway, supra</w:t>
      </w:r>
      <w:r w:rsidRPr="006B2B20">
        <w:t>, 98</w:t>
      </w:r>
      <w:r w:rsidR="00B70F28">
        <w:t> </w:t>
      </w:r>
      <w:r w:rsidRPr="006B2B20">
        <w:t xml:space="preserve">Cal.App.4th at p. 582, fn. </w:t>
      </w:r>
      <w:r>
        <w:t>4</w:t>
      </w:r>
      <w:r w:rsidRPr="006B2B20">
        <w:t>.)</w:t>
      </w:r>
    </w:p>
  </w:footnote>
  <w:footnote w:id="12">
    <w:p w14:paraId="4722B1E2" w14:textId="0200A2AC" w:rsidR="0035691F" w:rsidRDefault="00A62C74" w:rsidP="0035691F">
      <w:pPr>
        <w:pStyle w:val="FootnoteText"/>
      </w:pPr>
      <w:r>
        <w:rPr>
          <w:rStyle w:val="FootnoteReference"/>
        </w:rPr>
        <w:footnoteRef/>
      </w:r>
      <w:r>
        <w:t xml:space="preserve"> </w:t>
      </w:r>
      <w:r>
        <w:tab/>
        <w:t xml:space="preserve">The </w:t>
      </w:r>
      <w:r w:rsidR="006B055D" w:rsidRPr="006B055D">
        <w:rPr>
          <w:i/>
          <w:iCs/>
        </w:rPr>
        <w:t xml:space="preserve">City of </w:t>
      </w:r>
      <w:r w:rsidRPr="00385392">
        <w:rPr>
          <w:i/>
          <w:iCs/>
        </w:rPr>
        <w:t>Calexico</w:t>
      </w:r>
      <w:r>
        <w:t xml:space="preserve"> court also stated that “</w:t>
      </w:r>
      <w:r w:rsidRPr="003E39A5">
        <w:rPr>
          <w:i/>
          <w:iCs/>
        </w:rPr>
        <w:t>Laraway</w:t>
      </w:r>
      <w:r w:rsidR="00B70F28">
        <w:t xml:space="preserve"> </w:t>
      </w:r>
      <w:r w:rsidRPr="003E39A5">
        <w:t>is in accord with well-established law.</w:t>
      </w:r>
      <w:r>
        <w:t>”</w:t>
      </w:r>
      <w:r w:rsidR="00B70F28">
        <w:t xml:space="preserve"> </w:t>
      </w:r>
      <w:r>
        <w:t xml:space="preserve"> (</w:t>
      </w:r>
      <w:r w:rsidR="002673E6" w:rsidRPr="00685728">
        <w:rPr>
          <w:i/>
          <w:iCs/>
        </w:rPr>
        <w:t xml:space="preserve">City of </w:t>
      </w:r>
      <w:r w:rsidR="002673E6" w:rsidRPr="00F83F93">
        <w:rPr>
          <w:i/>
          <w:iCs/>
        </w:rPr>
        <w:t>Calexico, supra</w:t>
      </w:r>
      <w:r w:rsidR="002673E6">
        <w:t>, 64 Cal.App.5th at p. 191, c</w:t>
      </w:r>
      <w:r>
        <w:t xml:space="preserve">iting </w:t>
      </w:r>
      <w:r w:rsidRPr="003E39A5">
        <w:rPr>
          <w:i/>
          <w:iCs/>
        </w:rPr>
        <w:t xml:space="preserve">Breslin v. City and </w:t>
      </w:r>
      <w:r w:rsidRPr="003E39A5">
        <w:rPr>
          <w:i/>
          <w:iCs/>
        </w:rPr>
        <w:t>County of San Francisco</w:t>
      </w:r>
      <w:r w:rsidR="00B70F28">
        <w:t xml:space="preserve"> </w:t>
      </w:r>
      <w:r w:rsidRPr="003E39A5">
        <w:t>(2007) 146 Cal.App.4th 1064, 1073–1074;</w:t>
      </w:r>
      <w:r w:rsidR="00B70F28">
        <w:t xml:space="preserve"> </w:t>
      </w:r>
      <w:r w:rsidRPr="003E39A5">
        <w:rPr>
          <w:i/>
          <w:iCs/>
        </w:rPr>
        <w:t>Nerhan v. Stinson Beach County Water Dist.</w:t>
      </w:r>
      <w:r w:rsidR="00B70F28">
        <w:t xml:space="preserve"> </w:t>
      </w:r>
      <w:r w:rsidRPr="003E39A5">
        <w:t>(1994) 27</w:t>
      </w:r>
      <w:r w:rsidR="006B055D">
        <w:t> </w:t>
      </w:r>
      <w:r w:rsidRPr="003E39A5">
        <w:t>Cal.App.4th 536, 539</w:t>
      </w:r>
      <w:r>
        <w:t>; and</w:t>
      </w:r>
      <w:r w:rsidRPr="003E39A5">
        <w:rPr>
          <w:i/>
          <w:iCs/>
        </w:rPr>
        <w:t xml:space="preserve"> Griset, supra</w:t>
      </w:r>
      <w:r w:rsidRPr="003E39A5">
        <w:t>, 25 Cal.4th at p. 699</w:t>
      </w:r>
      <w:r>
        <w:t xml:space="preserve">.)  The </w:t>
      </w:r>
      <w:r w:rsidRPr="00C176D2">
        <w:rPr>
          <w:i/>
          <w:iCs/>
        </w:rPr>
        <w:t>City of</w:t>
      </w:r>
      <w:r>
        <w:t xml:space="preserve"> </w:t>
      </w:r>
      <w:r w:rsidRPr="003E39A5">
        <w:rPr>
          <w:i/>
          <w:iCs/>
        </w:rPr>
        <w:t>Calexico</w:t>
      </w:r>
      <w:r>
        <w:t xml:space="preserve"> court also noted that commentators have cited </w:t>
      </w:r>
      <w:r w:rsidRPr="00385392">
        <w:rPr>
          <w:i/>
          <w:iCs/>
        </w:rPr>
        <w:t>Laraway</w:t>
      </w:r>
      <w:r>
        <w:t xml:space="preserve"> for the proposition that “</w:t>
      </w:r>
      <w:r w:rsidR="002673E6">
        <w:t xml:space="preserve"> ‘</w:t>
      </w:r>
      <w:r w:rsidRPr="003E39A5">
        <w:t xml:space="preserve">even a seemingly nonappealable </w:t>
      </w:r>
      <w:r w:rsidR="002673E6">
        <w:t>“</w:t>
      </w:r>
      <w:r w:rsidRPr="003E39A5">
        <w:t>order</w:t>
      </w:r>
      <w:r w:rsidR="002673E6">
        <w:t>”</w:t>
      </w:r>
      <w:r w:rsidRPr="003E39A5">
        <w:t xml:space="preserve"> may be an appealable final judgment</w:t>
      </w:r>
      <w:r>
        <w:t>,</w:t>
      </w:r>
      <w:r w:rsidR="002673E6">
        <w:t xml:space="preserve">’ </w:t>
      </w:r>
      <w:r>
        <w:t>” if the order is “</w:t>
      </w:r>
      <w:r w:rsidR="002673E6">
        <w:t xml:space="preserve"> ‘</w:t>
      </w:r>
      <w:r w:rsidRPr="003E39A5">
        <w:t>a final judgment in legal effect</w:t>
      </w:r>
      <w:r>
        <w:t>.</w:t>
      </w:r>
      <w:r w:rsidR="002673E6">
        <w:t>’ </w:t>
      </w:r>
      <w:r>
        <w:t xml:space="preserve">” </w:t>
      </w:r>
      <w:r w:rsidR="00B70F28">
        <w:t xml:space="preserve"> </w:t>
      </w:r>
      <w:r>
        <w:t>(</w:t>
      </w:r>
      <w:r w:rsidR="002673E6" w:rsidRPr="00685728">
        <w:rPr>
          <w:i/>
          <w:iCs/>
        </w:rPr>
        <w:t xml:space="preserve">City of </w:t>
      </w:r>
      <w:r w:rsidRPr="00385392">
        <w:rPr>
          <w:i/>
          <w:iCs/>
        </w:rPr>
        <w:t>Calexico, supra</w:t>
      </w:r>
      <w:r>
        <w:t xml:space="preserve">, at p. 192, quoting </w:t>
      </w:r>
      <w:r w:rsidRPr="003E39A5">
        <w:t>Eisenberg et al., Cal. Practice Guide: Civil A</w:t>
      </w:r>
      <w:r w:rsidRPr="003E39A5">
        <w:t xml:space="preserve">ppeals and Writs (The Rutter Group 2020) </w:t>
      </w:r>
      <w:r>
        <w:t>(“Civil Appeals and Writs”)</w:t>
      </w:r>
      <w:r w:rsidR="002673E6">
        <w:t xml:space="preserve"> </w:t>
      </w:r>
      <w:r w:rsidRPr="003E39A5">
        <w:t>¶ 2:38 [citing, inter alia,</w:t>
      </w:r>
      <w:r w:rsidR="00B70F28">
        <w:t xml:space="preserve"> </w:t>
      </w:r>
      <w:r w:rsidRPr="003E39A5">
        <w:rPr>
          <w:i/>
          <w:iCs/>
        </w:rPr>
        <w:t>Laraway, supra</w:t>
      </w:r>
      <w:r w:rsidRPr="003E39A5">
        <w:t>, 98 Cal.App.4th at p. 583].)</w:t>
      </w:r>
    </w:p>
    <w:p w14:paraId="3FD01728" w14:textId="77777777" w:rsidR="009E2A39" w:rsidRDefault="009E2A39" w:rsidP="0035691F">
      <w:pPr>
        <w:pStyle w:val="FootnoteText"/>
      </w:pPr>
    </w:p>
  </w:footnote>
  <w:footnote w:id="13">
    <w:p w14:paraId="190F17E6" w14:textId="6660DDD9" w:rsidR="0035691F" w:rsidRDefault="00A62C74" w:rsidP="0035691F">
      <w:pPr>
        <w:pStyle w:val="FootnoteText"/>
      </w:pPr>
      <w:r>
        <w:rPr>
          <w:rStyle w:val="FootnoteReference"/>
        </w:rPr>
        <w:footnoteRef/>
      </w:r>
      <w:r>
        <w:t xml:space="preserve"> </w:t>
      </w:r>
      <w:r>
        <w:tab/>
        <w:t xml:space="preserve">The </w:t>
      </w:r>
      <w:r w:rsidRPr="00685728">
        <w:rPr>
          <w:i/>
          <w:iCs/>
        </w:rPr>
        <w:t xml:space="preserve">City of </w:t>
      </w:r>
      <w:r w:rsidRPr="007F3C58">
        <w:rPr>
          <w:i/>
          <w:iCs/>
        </w:rPr>
        <w:t>Calexico</w:t>
      </w:r>
      <w:r>
        <w:t xml:space="preserve"> court noted that the trial court in that case had indicated that the petitions for writ of</w:t>
      </w:r>
      <w:r>
        <w:t xml:space="preserve"> mandate had been filed pursuant to section 1094.5, the administrative mandate statute.  (</w:t>
      </w:r>
      <w:r w:rsidRPr="00685728">
        <w:rPr>
          <w:i/>
          <w:iCs/>
        </w:rPr>
        <w:t xml:space="preserve">City of </w:t>
      </w:r>
      <w:r w:rsidRPr="00F83F93">
        <w:rPr>
          <w:i/>
          <w:iCs/>
        </w:rPr>
        <w:t>Calexico, supra</w:t>
      </w:r>
      <w:r>
        <w:t>, 64 Cal.App.5th at p. 186.)</w:t>
      </w:r>
    </w:p>
  </w:footnote>
  <w:footnote w:id="14">
    <w:p w14:paraId="7314A280" w14:textId="18545DDC" w:rsidR="0035691F" w:rsidRDefault="00A62C74" w:rsidP="0035691F">
      <w:pPr>
        <w:pStyle w:val="FootnoteText"/>
      </w:pPr>
      <w:r>
        <w:rPr>
          <w:rStyle w:val="FootnoteReference"/>
        </w:rPr>
        <w:footnoteRef/>
      </w:r>
      <w:r>
        <w:t xml:space="preserve"> </w:t>
      </w:r>
      <w:r>
        <w:tab/>
        <w:t xml:space="preserve">Officer Meinhardt contends that </w:t>
      </w:r>
      <w:r w:rsidRPr="00685728">
        <w:rPr>
          <w:i/>
          <w:iCs/>
        </w:rPr>
        <w:t xml:space="preserve">City of </w:t>
      </w:r>
      <w:r w:rsidRPr="006436B9">
        <w:rPr>
          <w:i/>
          <w:iCs/>
        </w:rPr>
        <w:t xml:space="preserve">Calexico </w:t>
      </w:r>
      <w:r>
        <w:t xml:space="preserve">can be distinguished because, according to Meinhardt, the </w:t>
      </w:r>
      <w:r w:rsidRPr="00685728">
        <w:rPr>
          <w:i/>
          <w:iCs/>
        </w:rPr>
        <w:t>City</w:t>
      </w:r>
      <w:r w:rsidRPr="00685728">
        <w:rPr>
          <w:i/>
          <w:iCs/>
        </w:rPr>
        <w:t xml:space="preserve"> of </w:t>
      </w:r>
      <w:r w:rsidRPr="006436B9">
        <w:rPr>
          <w:i/>
          <w:iCs/>
        </w:rPr>
        <w:t>Calexico</w:t>
      </w:r>
      <w:r>
        <w:t xml:space="preserve"> court’s holding rested on the City’s failure to timely file a cross-appeal, within the time limits of rule 8.108(g).</w:t>
      </w:r>
      <w:r w:rsidR="006B055D">
        <w:t xml:space="preserve"> </w:t>
      </w:r>
      <w:r>
        <w:t xml:space="preserve"> </w:t>
      </w:r>
      <w:r w:rsidRPr="00685728">
        <w:rPr>
          <w:i/>
          <w:iCs/>
        </w:rPr>
        <w:t xml:space="preserve">City of </w:t>
      </w:r>
      <w:r w:rsidRPr="006436B9">
        <w:rPr>
          <w:i/>
          <w:iCs/>
        </w:rPr>
        <w:t xml:space="preserve">Calexico </w:t>
      </w:r>
      <w:r>
        <w:t>cannot be so distinguished.</w:t>
      </w:r>
    </w:p>
    <w:p w14:paraId="79AB016E" w14:textId="17749D89" w:rsidR="0035691F" w:rsidRDefault="00A62C74" w:rsidP="0035691F">
      <w:pPr>
        <w:pStyle w:val="FootnoteText"/>
      </w:pPr>
      <w:r>
        <w:tab/>
        <w:t xml:space="preserve">The </w:t>
      </w:r>
      <w:r w:rsidRPr="00685728">
        <w:rPr>
          <w:i/>
          <w:iCs/>
        </w:rPr>
        <w:t xml:space="preserve">City of </w:t>
      </w:r>
      <w:r w:rsidRPr="0042273C">
        <w:rPr>
          <w:i/>
          <w:iCs/>
        </w:rPr>
        <w:t>Calexico</w:t>
      </w:r>
      <w:r>
        <w:t xml:space="preserve"> court expressly concluded that the City’s appeal was not filed within t</w:t>
      </w:r>
      <w:r w:rsidRPr="0042273C">
        <w:t xml:space="preserve">he </w:t>
      </w:r>
      <w:r>
        <w:t>“</w:t>
      </w:r>
      <w:r w:rsidR="00122DAB">
        <w:t xml:space="preserve"> ‘</w:t>
      </w:r>
      <w:r w:rsidRPr="0042273C">
        <w:t>normal time</w:t>
      </w:r>
      <w:r>
        <w:t>’</w:t>
      </w:r>
      <w:r w:rsidR="00122DAB">
        <w:t xml:space="preserve"> </w:t>
      </w:r>
      <w:r>
        <w:t>”</w:t>
      </w:r>
      <w:r w:rsidRPr="00DE6ABA">
        <w:t xml:space="preserve"> </w:t>
      </w:r>
      <w:r>
        <w:t>(</w:t>
      </w:r>
      <w:r w:rsidRPr="00685728">
        <w:rPr>
          <w:i/>
          <w:iCs/>
        </w:rPr>
        <w:t xml:space="preserve">City of </w:t>
      </w:r>
      <w:r w:rsidRPr="00DE6ABA">
        <w:rPr>
          <w:i/>
          <w:iCs/>
        </w:rPr>
        <w:t>Calexico, supra</w:t>
      </w:r>
      <w:r>
        <w:t>, 64</w:t>
      </w:r>
      <w:r w:rsidR="00B70F28">
        <w:t> </w:t>
      </w:r>
      <w:r>
        <w:t xml:space="preserve">Cal.App.5th at p. 195) </w:t>
      </w:r>
      <w:r w:rsidRPr="0042273C">
        <w:t xml:space="preserve">for the City to appeal under </w:t>
      </w:r>
      <w:r>
        <w:t>r</w:t>
      </w:r>
      <w:r w:rsidRPr="0042273C">
        <w:t>ule 8.104(a)</w:t>
      </w:r>
      <w:r>
        <w:t xml:space="preserve"> which expired on November 25, 2019, </w:t>
      </w:r>
      <w:r w:rsidRPr="0042273C">
        <w:rPr>
          <w:i/>
          <w:iCs/>
        </w:rPr>
        <w:t>or</w:t>
      </w:r>
      <w:r>
        <w:t xml:space="preserve"> before December 23, 2019, the</w:t>
      </w:r>
      <w:r>
        <w:t xml:space="preserve"> latest time within which the City could have filed its cross-appeal under the extension provided in r</w:t>
      </w:r>
      <w:r w:rsidRPr="0042273C">
        <w:t>ule 8.108(g)(1)</w:t>
      </w:r>
      <w:r>
        <w:t>.  (</w:t>
      </w:r>
      <w:r w:rsidR="00681F3D" w:rsidRPr="00681F3D">
        <w:rPr>
          <w:i/>
          <w:iCs/>
        </w:rPr>
        <w:t xml:space="preserve">City of </w:t>
      </w:r>
      <w:r w:rsidRPr="00DE6ABA">
        <w:rPr>
          <w:i/>
          <w:iCs/>
        </w:rPr>
        <w:t>Calexico, supra</w:t>
      </w:r>
      <w:r>
        <w:t>, at pp. 195</w:t>
      </w:r>
      <w:r w:rsidR="00B70F28">
        <w:t>–</w:t>
      </w:r>
      <w:r>
        <w:t xml:space="preserve">196.)  The </w:t>
      </w:r>
      <w:r w:rsidRPr="00685728">
        <w:rPr>
          <w:i/>
          <w:iCs/>
        </w:rPr>
        <w:t>City of</w:t>
      </w:r>
      <w:r>
        <w:t xml:space="preserve"> </w:t>
      </w:r>
      <w:r w:rsidRPr="0042273C">
        <w:rPr>
          <w:i/>
          <w:iCs/>
        </w:rPr>
        <w:t>Calexico</w:t>
      </w:r>
      <w:r>
        <w:t xml:space="preserve"> court also noted that rule 8.108(a) provides, “</w:t>
      </w:r>
      <w:r w:rsidRPr="0042273C">
        <w:t xml:space="preserve">This rule operates only </w:t>
      </w:r>
      <w:r w:rsidRPr="0042273C">
        <w:t xml:space="preserve">to extend the time to appeal otherwise prescribed in rule 8.104(a); it does not shorten the time to appeal. </w:t>
      </w:r>
      <w:r w:rsidR="00B70F28">
        <w:t xml:space="preserve"> </w:t>
      </w:r>
      <w:r w:rsidRPr="0042273C">
        <w:t>If the normal time to appeal stated in rule 8.104(a) is longer than the time provided in this rule, the time to appeal stated in rule 8.104(a) gove</w:t>
      </w:r>
      <w:r w:rsidRPr="0042273C">
        <w:t>rns.</w:t>
      </w:r>
      <w:r>
        <w:t>”  (</w:t>
      </w:r>
      <w:r w:rsidRPr="00FC4B02">
        <w:rPr>
          <w:i/>
          <w:iCs/>
        </w:rPr>
        <w:t>City of</w:t>
      </w:r>
      <w:r>
        <w:t xml:space="preserve"> </w:t>
      </w:r>
      <w:r w:rsidRPr="00DE6ABA">
        <w:rPr>
          <w:i/>
          <w:iCs/>
        </w:rPr>
        <w:t>Calexico</w:t>
      </w:r>
      <w:r w:rsidRPr="006B055D">
        <w:t xml:space="preserve">, </w:t>
      </w:r>
      <w:r>
        <w:t xml:space="preserve">at p. 190.)  Thus, the </w:t>
      </w:r>
      <w:r w:rsidRPr="00FC4B02">
        <w:rPr>
          <w:i/>
          <w:iCs/>
        </w:rPr>
        <w:t xml:space="preserve">City of </w:t>
      </w:r>
      <w:r w:rsidRPr="00FB0871">
        <w:rPr>
          <w:i/>
          <w:iCs/>
        </w:rPr>
        <w:t>Calexico</w:t>
      </w:r>
      <w:r>
        <w:t xml:space="preserve"> court expressly concluded, as required under the applicable rules of court in order to conclude that the City’s appeal was untimely, that the City’s notice of appeal was not timely filed und</w:t>
      </w:r>
      <w:r>
        <w:t xml:space="preserve">er </w:t>
      </w:r>
      <w:r w:rsidRPr="00FB0871">
        <w:rPr>
          <w:i/>
          <w:iCs/>
        </w:rPr>
        <w:t>either</w:t>
      </w:r>
      <w:r>
        <w:t xml:space="preserve"> the normal time for filing an appeal under</w:t>
      </w:r>
      <w:r w:rsidRPr="0042273C">
        <w:t xml:space="preserve"> </w:t>
      </w:r>
      <w:r w:rsidR="006B055D">
        <w:t>r</w:t>
      </w:r>
      <w:r w:rsidRPr="0042273C">
        <w:t>ule 8.104(a)</w:t>
      </w:r>
      <w:r>
        <w:t xml:space="preserve"> </w:t>
      </w:r>
      <w:r w:rsidRPr="00FB0871">
        <w:rPr>
          <w:i/>
          <w:iCs/>
        </w:rPr>
        <w:t xml:space="preserve">or </w:t>
      </w:r>
      <w:r>
        <w:t xml:space="preserve">under the extended time for filing a cross-appeal under rule 8.108(g)(1). </w:t>
      </w:r>
      <w:r w:rsidR="00B70F28">
        <w:t xml:space="preserve"> </w:t>
      </w:r>
      <w:r>
        <w:t>We therefore reject Officer Meinhardt’s contention that “</w:t>
      </w:r>
      <w:r w:rsidRPr="00DE6ABA">
        <w:t xml:space="preserve">the holding in </w:t>
      </w:r>
      <w:r w:rsidRPr="00DE6ABA">
        <w:rPr>
          <w:i/>
          <w:iCs/>
        </w:rPr>
        <w:t xml:space="preserve">City of Calexico </w:t>
      </w:r>
      <w:r w:rsidRPr="00DE6ABA">
        <w:t>does not apply to this</w:t>
      </w:r>
      <w:r w:rsidRPr="00DE6ABA">
        <w:t xml:space="preserve"> case because </w:t>
      </w:r>
      <w:r>
        <w:t>[r]</w:t>
      </w:r>
      <w:r w:rsidRPr="00DE6ABA">
        <w:t xml:space="preserve">ule </w:t>
      </w:r>
      <w:r w:rsidR="006702BB">
        <w:t xml:space="preserve">. . . </w:t>
      </w:r>
      <w:r w:rsidRPr="00DE6ABA">
        <w:t>8.108(g) is not implicated here.</w:t>
      </w:r>
      <w:r>
        <w:t>”</w:t>
      </w:r>
    </w:p>
  </w:footnote>
  <w:footnote w:id="15">
    <w:p w14:paraId="5C2EE69F" w14:textId="6341F545" w:rsidR="0035691F" w:rsidRDefault="00A62C74" w:rsidP="0035691F">
      <w:pPr>
        <w:pStyle w:val="FootnoteText"/>
      </w:pPr>
      <w:r>
        <w:rPr>
          <w:rStyle w:val="FootnoteReference"/>
        </w:rPr>
        <w:footnoteRef/>
      </w:r>
      <w:r>
        <w:t xml:space="preserve"> </w:t>
      </w:r>
      <w:r>
        <w:tab/>
        <w:t xml:space="preserve">The </w:t>
      </w:r>
      <w:r w:rsidRPr="005015DF">
        <w:rPr>
          <w:i/>
          <w:iCs/>
        </w:rPr>
        <w:t>Valero</w:t>
      </w:r>
      <w:r>
        <w:t xml:space="preserve"> court explained that “</w:t>
      </w:r>
      <w:r w:rsidRPr="005015DF">
        <w:t>supplemental briefing disclosed that the superior court clerk</w:t>
      </w:r>
      <w:r>
        <w:t>’</w:t>
      </w:r>
      <w:r w:rsidRPr="005015DF">
        <w:t>s mailing was sent to an incorrect address.</w:t>
      </w:r>
      <w:r>
        <w:t xml:space="preserve">”  </w:t>
      </w:r>
      <w:r w:rsidRPr="005015DF">
        <w:t>(</w:t>
      </w:r>
      <w:r w:rsidRPr="005015DF">
        <w:rPr>
          <w:i/>
          <w:iCs/>
        </w:rPr>
        <w:t>Valero</w:t>
      </w:r>
      <w:r>
        <w:rPr>
          <w:i/>
          <w:iCs/>
        </w:rPr>
        <w:t>, supra</w:t>
      </w:r>
      <w:r w:rsidRPr="00A60E70">
        <w:t xml:space="preserve">, </w:t>
      </w:r>
      <w:r w:rsidRPr="005015DF">
        <w:t>49 Cal.App.5th</w:t>
      </w:r>
      <w:r>
        <w:t xml:space="preserve"> at p. 633.)</w:t>
      </w:r>
    </w:p>
  </w:footnote>
  <w:footnote w:id="16">
    <w:p w14:paraId="0E52571A" w14:textId="7992CA90" w:rsidR="0035691F" w:rsidRDefault="00A62C74" w:rsidP="0035691F">
      <w:pPr>
        <w:pStyle w:val="FootnoteText"/>
      </w:pPr>
      <w:r>
        <w:rPr>
          <w:rStyle w:val="FootnoteReference"/>
        </w:rPr>
        <w:footnoteRef/>
      </w:r>
      <w:r>
        <w:t xml:space="preserve"> </w:t>
      </w:r>
      <w:r>
        <w:tab/>
        <w:t>In his supplemental brief, Officer Meinhardt also contends that the requirement that a document denominated as a judgment be filed is supported by the “</w:t>
      </w:r>
      <w:r w:rsidRPr="00113500">
        <w:t>procedures issued by the Sacramento County Superior Court for the conduct of writ procee</w:t>
      </w:r>
      <w:r w:rsidRPr="00113500">
        <w:t>dings</w:t>
      </w:r>
      <w:r>
        <w:t>,” which he contends is “</w:t>
      </w:r>
      <w:r w:rsidRPr="00113500">
        <w:t>the only superior court that issues clearly defined writ procedures</w:t>
      </w:r>
      <w:r>
        <w:t xml:space="preserve">.” </w:t>
      </w:r>
      <w:r w:rsidR="00F01CE2">
        <w:t xml:space="preserve"> </w:t>
      </w:r>
      <w:r>
        <w:t xml:space="preserve">He maintains that such rules </w:t>
      </w:r>
      <w:r w:rsidRPr="008C4479">
        <w:t>provide</w:t>
      </w:r>
      <w:r>
        <w:t xml:space="preserve"> in relevant part:</w:t>
      </w:r>
      <w:r w:rsidRPr="008C4479">
        <w:t xml:space="preserve"> </w:t>
      </w:r>
      <w:r w:rsidR="00531637">
        <w:t xml:space="preserve"> </w:t>
      </w:r>
      <w:r w:rsidRPr="008C4479">
        <w:t>“</w:t>
      </w:r>
      <w:r w:rsidR="00FF2159">
        <w:t xml:space="preserve"> ‘[</w:t>
      </w:r>
      <w:r>
        <w:t>I</w:t>
      </w:r>
      <w:r w:rsidR="00FF2159">
        <w:t>]</w:t>
      </w:r>
      <w:r w:rsidRPr="008C4479">
        <w:t xml:space="preserve">f the court denies the writ petition, the party designated by the court shall </w:t>
      </w:r>
      <w:r>
        <w:t xml:space="preserve">. . . </w:t>
      </w:r>
      <w:r w:rsidRPr="008C4479">
        <w:t xml:space="preserve">prepare, </w:t>
      </w:r>
      <w:r w:rsidRPr="008C4479">
        <w:t>serve on all parties, and present to the court a judgment denying the petition.</w:t>
      </w:r>
      <w:r w:rsidR="00FF2159">
        <w:t xml:space="preserve">’ </w:t>
      </w:r>
      <w:r w:rsidRPr="008C4479">
        <w:t>”</w:t>
      </w:r>
      <w:r>
        <w:t xml:space="preserve"> </w:t>
      </w:r>
      <w:r w:rsidR="00B70F28">
        <w:t xml:space="preserve"> </w:t>
      </w:r>
      <w:r>
        <w:t>(Emphasis omitted.)</w:t>
      </w:r>
    </w:p>
    <w:p w14:paraId="07E44529" w14:textId="0F71DED7" w:rsidR="0035691F" w:rsidRDefault="00A62C74" w:rsidP="0035691F">
      <w:pPr>
        <w:pStyle w:val="FootnoteText"/>
      </w:pPr>
      <w:r>
        <w:tab/>
        <w:t>We question the relevance of the Sacramento County Superior Court rules to this matter arising in Santa Clara County.  However, even assuming the poten</w:t>
      </w:r>
      <w:r>
        <w:t>tial relevance of such rules, the fact that the only “superior court that issues clearly defined writ procedures,” provides for the entry of a “judgment,” does not establish that the August 6 ruling in this case is not a judgment.  Again, “</w:t>
      </w:r>
      <w:r w:rsidR="00FF2159">
        <w:t xml:space="preserve"> ‘ “</w:t>
      </w:r>
      <w:r>
        <w:t>[i]</w:t>
      </w:r>
      <w:r w:rsidRPr="008C4479">
        <w:t xml:space="preserve">t is not </w:t>
      </w:r>
      <w:r w:rsidRPr="008C4479">
        <w:t>the form of the decree but the substance and effect of the adjudication which is determinative.</w:t>
      </w:r>
      <w:r w:rsidR="00FF2159">
        <w:t xml:space="preserve">” ’ </w:t>
      </w:r>
      <w:r>
        <w:t>”  (</w:t>
      </w:r>
      <w:r w:rsidRPr="008C4479">
        <w:rPr>
          <w:i/>
          <w:iCs/>
        </w:rPr>
        <w:t>Dhillo</w:t>
      </w:r>
      <w:r>
        <w:rPr>
          <w:i/>
          <w:iCs/>
        </w:rPr>
        <w:t>n, supra</w:t>
      </w:r>
      <w:r w:rsidRPr="00A30291">
        <w:t xml:space="preserve">, </w:t>
      </w:r>
      <w:r w:rsidRPr="008C4479">
        <w:t>2</w:t>
      </w:r>
      <w:r w:rsidR="00B70F28">
        <w:t> </w:t>
      </w:r>
      <w:r w:rsidRPr="008C4479">
        <w:t xml:space="preserve">Cal.5th </w:t>
      </w:r>
      <w:r>
        <w:t xml:space="preserve">at p. </w:t>
      </w:r>
      <w:r w:rsidRPr="008C4479">
        <w:t>1115</w:t>
      </w:r>
      <w:r>
        <w:t>.)</w:t>
      </w:r>
    </w:p>
  </w:footnote>
  <w:footnote w:id="17">
    <w:p w14:paraId="5B3DD8A9" w14:textId="6542CA99" w:rsidR="0035691F" w:rsidRDefault="00A62C74" w:rsidP="0035691F">
      <w:pPr>
        <w:pStyle w:val="FootnoteText"/>
      </w:pPr>
      <w:r>
        <w:rPr>
          <w:rStyle w:val="FootnoteReference"/>
        </w:rPr>
        <w:footnoteRef/>
      </w:r>
      <w:r>
        <w:t xml:space="preserve"> </w:t>
      </w:r>
      <w:r>
        <w:tab/>
        <w:t xml:space="preserve">Although Officer Meinhardt does not refer to the cases by name, we understand his argument to be an attempt to </w:t>
      </w:r>
      <w:r>
        <w:t xml:space="preserve">distinguish the vast number of cases, several of which are discussed in part III.A.2.c, </w:t>
      </w:r>
      <w:r w:rsidRPr="00C7116C">
        <w:rPr>
          <w:i/>
          <w:iCs/>
        </w:rPr>
        <w:t>ante</w:t>
      </w:r>
      <w:r>
        <w:t>, in which courts have determined that an order granting or denying a petition for writ of mandate was a final judgment.</w:t>
      </w:r>
    </w:p>
    <w:p w14:paraId="4E63376F" w14:textId="77777777" w:rsidR="009E2A39" w:rsidRDefault="009E2A39" w:rsidP="0035691F">
      <w:pPr>
        <w:pStyle w:val="FootnoteText"/>
      </w:pPr>
    </w:p>
  </w:footnote>
  <w:footnote w:id="18">
    <w:p w14:paraId="2848283A" w14:textId="2385D2F9" w:rsidR="009E2A39" w:rsidRDefault="00A62C74" w:rsidP="0035691F">
      <w:pPr>
        <w:pStyle w:val="FootnoteText"/>
      </w:pPr>
      <w:r>
        <w:rPr>
          <w:rStyle w:val="FootnoteReference"/>
        </w:rPr>
        <w:footnoteRef/>
      </w:r>
      <w:r>
        <w:t xml:space="preserve"> </w:t>
      </w:r>
      <w:r>
        <w:tab/>
        <w:t xml:space="preserve">Former rule </w:t>
      </w:r>
      <w:r w:rsidRPr="003A5E51">
        <w:t>8.104(e)(2)</w:t>
      </w:r>
      <w:r>
        <w:t xml:space="preserve"> provided, “</w:t>
      </w:r>
      <w:r w:rsidRPr="00393474">
        <w:t>The reviewing court may treat a notice of</w:t>
      </w:r>
      <w:r>
        <w:t xml:space="preserve"> </w:t>
      </w:r>
      <w:r w:rsidRPr="00393474">
        <w:t>appeal filed after the superior court has announced</w:t>
      </w:r>
      <w:r>
        <w:t xml:space="preserve"> </w:t>
      </w:r>
      <w:r w:rsidRPr="00393474">
        <w:t xml:space="preserve">its intended </w:t>
      </w:r>
      <w:r>
        <w:t>ruling</w:t>
      </w:r>
      <w:r w:rsidRPr="00393474">
        <w:t>, but before it has rendered judgment,</w:t>
      </w:r>
      <w:r>
        <w:t xml:space="preserve"> </w:t>
      </w:r>
      <w:r w:rsidRPr="00393474">
        <w:t>as filed immediately after entry of judgment.</w:t>
      </w:r>
      <w:r>
        <w:t xml:space="preserve">”  This provision is currently contained in </w:t>
      </w:r>
      <w:r w:rsidRPr="002E01C4">
        <w:t>rule 8.104(d)(2</w:t>
      </w:r>
      <w:r w:rsidRPr="002E01C4">
        <w:t>)</w:t>
      </w:r>
      <w:r>
        <w:t>.</w:t>
      </w:r>
    </w:p>
  </w:footnote>
  <w:footnote w:id="19">
    <w:p w14:paraId="1846ADD9" w14:textId="65B0159D" w:rsidR="0035691F" w:rsidRDefault="00A62C74" w:rsidP="0035691F">
      <w:pPr>
        <w:pStyle w:val="FootnoteText"/>
      </w:pPr>
      <w:r>
        <w:rPr>
          <w:rStyle w:val="FootnoteReference"/>
        </w:rPr>
        <w:footnoteRef/>
      </w:r>
      <w:r>
        <w:t xml:space="preserve"> </w:t>
      </w:r>
      <w:r>
        <w:tab/>
        <w:t>Officer Meinhardt intends to refer here to the “judgment” signed on September 17 and filed on September 25.</w:t>
      </w:r>
    </w:p>
    <w:p w14:paraId="2F3A2518" w14:textId="77777777" w:rsidR="00FF2159" w:rsidRDefault="00FF2159" w:rsidP="0035691F">
      <w:pPr>
        <w:pStyle w:val="FootnoteText"/>
      </w:pPr>
    </w:p>
  </w:footnote>
  <w:footnote w:id="20">
    <w:p w14:paraId="6A882563" w14:textId="452A8033" w:rsidR="0035691F" w:rsidRDefault="00A62C74" w:rsidP="0035691F">
      <w:pPr>
        <w:pStyle w:val="FootnoteText"/>
      </w:pPr>
      <w:r>
        <w:rPr>
          <w:rStyle w:val="FootnoteReference"/>
        </w:rPr>
        <w:footnoteRef/>
      </w:r>
      <w:r>
        <w:t xml:space="preserve"> </w:t>
      </w:r>
      <w:r>
        <w:tab/>
        <w:t>We are not aware of any commentators that have viewed these cases as involving a premature appeal.  One treatise refers to several types o</w:t>
      </w:r>
      <w:r>
        <w:t xml:space="preserve">f such orders in its discussion of premature appeals from nonappealable orders, but does </w:t>
      </w:r>
      <w:r w:rsidRPr="003D4C55">
        <w:rPr>
          <w:i/>
          <w:iCs/>
        </w:rPr>
        <w:t>not</w:t>
      </w:r>
      <w:r>
        <w:t xml:space="preserve"> list an appeal from an order granting or denying a petition for writ of mandamus.  (See Civil Appeals and Writs, </w:t>
      </w:r>
      <w:r w:rsidRPr="00CA0F2F">
        <w:rPr>
          <w:i/>
          <w:iCs/>
        </w:rPr>
        <w:t>supra</w:t>
      </w:r>
      <w:r>
        <w:t xml:space="preserve">, </w:t>
      </w:r>
      <w:r w:rsidRPr="003E39A5">
        <w:t>¶ 2:</w:t>
      </w:r>
      <w:r>
        <w:t xml:space="preserve">262 [“[S]ome appeals erroneously taken </w:t>
      </w:r>
      <w:r>
        <w:t>from a nonappealable order may be ‘saved’ by the court of appeal if the defect is really only one in formality.  Usually, this ‘saving’ power is invoked only where the appeal is mistakenly taken from an order preliminary to rendition of a final judgment (e</w:t>
      </w:r>
      <w:r>
        <w:t xml:space="preserve">.g., </w:t>
      </w:r>
      <w:r w:rsidRPr="00FB628F">
        <w:rPr>
          <w:i/>
          <w:iCs/>
        </w:rPr>
        <w:t>sustaining a demurrer, granting summary judgment, or granting judgment on the pleadings</w:t>
      </w:r>
      <w:r>
        <w:t xml:space="preserve">) when it should have been taken from the subsequent judgment on such order” </w:t>
      </w:r>
      <w:r w:rsidR="006B055D">
        <w:t>(</w:t>
      </w:r>
      <w:r>
        <w:t xml:space="preserve">italics </w:t>
      </w:r>
      <w:r w:rsidR="00FF2159">
        <w:t>altered</w:t>
      </w:r>
      <w:r w:rsidR="006B055D">
        <w:t>)</w:t>
      </w:r>
      <w:r>
        <w:t>].)</w:t>
      </w:r>
    </w:p>
    <w:p w14:paraId="0222B017" w14:textId="7ADD0A8E" w:rsidR="0035691F" w:rsidRDefault="00A62C74" w:rsidP="0035691F">
      <w:pPr>
        <w:pStyle w:val="FootnoteText"/>
      </w:pPr>
      <w:r>
        <w:tab/>
        <w:t>Rather, the treatise characterizes an order granting or denying a</w:t>
      </w:r>
      <w:r>
        <w:t xml:space="preserve"> </w:t>
      </w:r>
      <w:r w:rsidR="00681F3D">
        <w:t xml:space="preserve">writ </w:t>
      </w:r>
      <w:r>
        <w:t>petition as an example of a “[f]inal [j]udgment[</w:t>
      </w:r>
      <w:r w:rsidR="00B70F28">
        <w:t xml:space="preserve"> </w:t>
      </w:r>
      <w:r>
        <w:t xml:space="preserve">].”  (Civil Appeals and Writs, </w:t>
      </w:r>
      <w:r w:rsidRPr="00CA0F2F">
        <w:rPr>
          <w:i/>
          <w:iCs/>
        </w:rPr>
        <w:t>supra</w:t>
      </w:r>
      <w:r>
        <w:t xml:space="preserve">, heading before </w:t>
      </w:r>
      <w:r w:rsidRPr="003E39A5">
        <w:t>¶ 2:</w:t>
      </w:r>
      <w:r>
        <w:t xml:space="preserve">21; see </w:t>
      </w:r>
      <w:r w:rsidRPr="00CA0F2F">
        <w:rPr>
          <w:i/>
          <w:iCs/>
        </w:rPr>
        <w:t>id</w:t>
      </w:r>
      <w:r w:rsidRPr="00F601F8">
        <w:rPr>
          <w:i/>
          <w:iCs/>
        </w:rPr>
        <w:t>.</w:t>
      </w:r>
      <w:r>
        <w:t xml:space="preserve"> at p. </w:t>
      </w:r>
      <w:r w:rsidRPr="003E39A5">
        <w:t>¶ 2:</w:t>
      </w:r>
      <w:r>
        <w:t>111 [“</w:t>
      </w:r>
      <w:r w:rsidRPr="00FB628F">
        <w:t xml:space="preserve">A petition to the superior court for a writ of certiorari, mandamus or prohibition initiates a </w:t>
      </w:r>
      <w:r w:rsidR="00FF2159">
        <w:t>‘</w:t>
      </w:r>
      <w:r w:rsidRPr="00FB628F">
        <w:t>special proceeding</w:t>
      </w:r>
      <w:r w:rsidR="00FF2159">
        <w:t>’</w:t>
      </w:r>
      <w:r w:rsidRPr="00FB628F">
        <w:t xml:space="preserve"> </w:t>
      </w:r>
      <w:r>
        <w:t>[</w:t>
      </w:r>
      <w:r w:rsidR="00FF2159">
        <w:t>c</w:t>
      </w:r>
      <w:r>
        <w:t>itation]</w:t>
      </w:r>
      <w:r w:rsidR="00FF2159">
        <w:t>.</w:t>
      </w:r>
      <w:r>
        <w:t xml:space="preserve">  </w:t>
      </w:r>
      <w:r w:rsidRPr="00FB628F">
        <w:t>As such, a judgment or order granting or denying the petition is generally appealable</w:t>
      </w:r>
      <w:r w:rsidR="00FF2159">
        <w:t>.  (C</w:t>
      </w:r>
      <w:r>
        <w:t xml:space="preserve">iting cases, inter alia, </w:t>
      </w:r>
      <w:r w:rsidRPr="00CA0F2F">
        <w:rPr>
          <w:i/>
          <w:iCs/>
        </w:rPr>
        <w:t>Public Defenders</w:t>
      </w:r>
      <w:r w:rsidR="00122DAB">
        <w:rPr>
          <w:i/>
          <w:iCs/>
        </w:rPr>
        <w:t>’</w:t>
      </w:r>
      <w:r w:rsidRPr="00CA0F2F">
        <w:rPr>
          <w:i/>
          <w:iCs/>
        </w:rPr>
        <w:t xml:space="preserve"> Organization</w:t>
      </w:r>
      <w:r>
        <w:rPr>
          <w:i/>
          <w:iCs/>
        </w:rPr>
        <w:t>, supra</w:t>
      </w:r>
      <w:r w:rsidRPr="00A60E70">
        <w:t xml:space="preserve">, </w:t>
      </w:r>
      <w:r w:rsidRPr="00CA0F2F">
        <w:t>106 C</w:t>
      </w:r>
      <w:r>
        <w:t xml:space="preserve">al.App.4th at p. </w:t>
      </w:r>
      <w:r w:rsidRPr="00CA0F2F">
        <w:t>1409</w:t>
      </w:r>
      <w:r>
        <w:t xml:space="preserve"> and quoting </w:t>
      </w:r>
      <w:r w:rsidRPr="00CA0F2F">
        <w:rPr>
          <w:i/>
          <w:iCs/>
        </w:rPr>
        <w:t>Valero</w:t>
      </w:r>
      <w:r>
        <w:rPr>
          <w:i/>
          <w:iCs/>
        </w:rPr>
        <w:t>, supra</w:t>
      </w:r>
      <w:r w:rsidRPr="00A60E70">
        <w:t xml:space="preserve">, </w:t>
      </w:r>
      <w:r w:rsidRPr="00CA0F2F">
        <w:t>49 C</w:t>
      </w:r>
      <w:r>
        <w:t>al</w:t>
      </w:r>
      <w:r w:rsidR="00F333A2">
        <w:t>.</w:t>
      </w:r>
      <w:r>
        <w:t xml:space="preserve">App.5th at p. </w:t>
      </w:r>
      <w:r w:rsidRPr="00CA0F2F">
        <w:t>633</w:t>
      </w:r>
      <w:r>
        <w:t xml:space="preserve">, </w:t>
      </w:r>
      <w:r w:rsidRPr="00CA0F2F">
        <w:t>fn. 1</w:t>
      </w:r>
      <w:r>
        <w:t xml:space="preserve">0 </w:t>
      </w:r>
      <w:r w:rsidR="00FF2159">
        <w:t>[</w:t>
      </w:r>
      <w:r>
        <w:t>“</w:t>
      </w:r>
      <w:r w:rsidR="00122DAB">
        <w:t xml:space="preserve"> </w:t>
      </w:r>
      <w:r>
        <w:t>‘</w:t>
      </w:r>
      <w:r w:rsidRPr="00CA0F2F">
        <w:t>the appealable judgment was the court</w:t>
      </w:r>
      <w:r>
        <w:t>’</w:t>
      </w:r>
      <w:r w:rsidRPr="00CA0F2F">
        <w:t xml:space="preserve">s order granting a writ of mandate, not a </w:t>
      </w:r>
      <w:r w:rsidR="00FF2159">
        <w:t>“</w:t>
      </w:r>
      <w:r w:rsidRPr="00CA0F2F">
        <w:t>judgment</w:t>
      </w:r>
      <w:r w:rsidR="00FF2159">
        <w:t>”</w:t>
      </w:r>
      <w:r w:rsidRPr="00CA0F2F">
        <w:t xml:space="preserve"> that it subsequently entered</w:t>
      </w:r>
      <w:r>
        <w:t>’</w:t>
      </w:r>
      <w:r w:rsidR="009E2A39">
        <w:t xml:space="preserve"> </w:t>
      </w:r>
      <w:r>
        <w:t>”</w:t>
      </w:r>
      <w:r w:rsidRPr="00CA0F2F">
        <w:t>]</w:t>
      </w:r>
      <w:r>
        <w:t>.)</w:t>
      </w:r>
    </w:p>
  </w:footnote>
  <w:footnote w:id="21">
    <w:p w14:paraId="1C41319B" w14:textId="3A0B3EDE" w:rsidR="00681F3D" w:rsidRDefault="00A62C74">
      <w:pPr>
        <w:pStyle w:val="FootnoteText"/>
      </w:pPr>
      <w:r>
        <w:rPr>
          <w:rStyle w:val="FootnoteReference"/>
        </w:rPr>
        <w:footnoteRef/>
      </w:r>
      <w:r>
        <w:t xml:space="preserve"> </w:t>
      </w:r>
      <w:r>
        <w:tab/>
      </w:r>
      <w:r w:rsidRPr="00681F3D">
        <w:t xml:space="preserve">In </w:t>
      </w:r>
      <w:r w:rsidRPr="00681F3D">
        <w:rPr>
          <w:i/>
          <w:iCs/>
        </w:rPr>
        <w:t>Morehart</w:t>
      </w:r>
      <w:r w:rsidRPr="00681F3D">
        <w:t>, the California Supreme Court referred to the premature appeal doctrine as a “judicially created exception</w:t>
      </w:r>
      <w:r>
        <w:t>[ ]</w:t>
      </w:r>
      <w:r w:rsidRPr="00681F3D">
        <w:t>” t</w:t>
      </w:r>
      <w:r w:rsidRPr="00681F3D">
        <w:t>o the one final judgment rule.  (</w:t>
      </w:r>
      <w:r w:rsidRPr="00681F3D">
        <w:rPr>
          <w:i/>
          <w:iCs/>
        </w:rPr>
        <w:t xml:space="preserve">Morehart, supra, </w:t>
      </w:r>
      <w:r w:rsidRPr="00681F3D">
        <w:t>7 Cal.4th</w:t>
      </w:r>
      <w:r w:rsidRPr="00681F3D">
        <w:rPr>
          <w:i/>
          <w:iCs/>
        </w:rPr>
        <w:t xml:space="preserve"> </w:t>
      </w:r>
      <w:r w:rsidRPr="00681F3D">
        <w:t xml:space="preserve">at p. 740.) </w:t>
      </w:r>
      <w:r>
        <w:t xml:space="preserve"> </w:t>
      </w:r>
      <w:r w:rsidRPr="00681F3D">
        <w:t xml:space="preserve">The </w:t>
      </w:r>
      <w:r w:rsidRPr="00681F3D">
        <w:rPr>
          <w:i/>
          <w:iCs/>
        </w:rPr>
        <w:t>Morehart</w:t>
      </w:r>
      <w:r w:rsidRPr="00681F3D">
        <w:t xml:space="preserve"> court concluded that the doctrine provided an </w:t>
      </w:r>
      <w:r w:rsidRPr="00681F3D">
        <w:rPr>
          <w:i/>
          <w:iCs/>
        </w:rPr>
        <w:t>insufficient</w:t>
      </w:r>
      <w:r w:rsidRPr="00681F3D">
        <w:t xml:space="preserve"> justification for a court of appeal’s decision that a judgment disposing of fewer than all of the causes of act</w:t>
      </w:r>
      <w:r w:rsidRPr="00681F3D">
        <w:t xml:space="preserve">ion in a matter was appealable.  (See </w:t>
      </w:r>
      <w:r w:rsidRPr="00681F3D">
        <w:rPr>
          <w:i/>
          <w:iCs/>
        </w:rPr>
        <w:t>id</w:t>
      </w:r>
      <w:r w:rsidRPr="00681F3D">
        <w:t xml:space="preserve">. at p. 741, discussing </w:t>
      </w:r>
      <w:r w:rsidRPr="00681F3D">
        <w:rPr>
          <w:i/>
          <w:iCs/>
        </w:rPr>
        <w:t>Schonfeld v. City of Vallejo</w:t>
      </w:r>
      <w:r>
        <w:t xml:space="preserve"> </w:t>
      </w:r>
      <w:r w:rsidRPr="00681F3D">
        <w:t>(197</w:t>
      </w:r>
      <w:r>
        <w:t>5</w:t>
      </w:r>
      <w:r w:rsidRPr="00681F3D">
        <w:t xml:space="preserve">) 50 Cal.App.3d 401, 418.)  </w:t>
      </w:r>
      <w:r w:rsidRPr="00681F3D">
        <w:rPr>
          <w:i/>
          <w:iCs/>
        </w:rPr>
        <w:t>Morehart</w:t>
      </w:r>
      <w:r w:rsidRPr="00681F3D">
        <w:t xml:space="preserve"> offers no support for Officer Meinhardt’s contention that an order granting or denying a petition for writ of mandate in </w:t>
      </w:r>
      <w:r w:rsidRPr="00681F3D">
        <w:t>its entirety is appealable pursuant to the premature appeal doctrine.</w:t>
      </w:r>
    </w:p>
  </w:footnote>
  <w:footnote w:id="22">
    <w:p w14:paraId="0A0666A2" w14:textId="69A19A2E" w:rsidR="009E2A39" w:rsidRDefault="00A62C74" w:rsidP="0035691F">
      <w:pPr>
        <w:pStyle w:val="FootnoteText"/>
      </w:pPr>
      <w:r>
        <w:rPr>
          <w:rStyle w:val="FootnoteReference"/>
        </w:rPr>
        <w:footnoteRef/>
      </w:r>
      <w:r>
        <w:t xml:space="preserve"> </w:t>
      </w:r>
      <w:r>
        <w:tab/>
        <w:t xml:space="preserve">The </w:t>
      </w:r>
      <w:r w:rsidRPr="005101B7">
        <w:rPr>
          <w:i/>
          <w:iCs/>
        </w:rPr>
        <w:t>Protect our Water</w:t>
      </w:r>
      <w:r>
        <w:t xml:space="preserve"> court did not discuss whether the order in that case completely resolved all of the issues in the case and </w:t>
      </w:r>
      <w:r w:rsidRPr="00C156D6">
        <w:t>contemplated no further action</w:t>
      </w:r>
      <w:r>
        <w:t xml:space="preserve"> in the matter.</w:t>
      </w:r>
    </w:p>
  </w:footnote>
  <w:footnote w:id="23">
    <w:p w14:paraId="6CF1125B" w14:textId="00D4CE54" w:rsidR="0035691F" w:rsidRDefault="00A62C74" w:rsidP="0035691F">
      <w:pPr>
        <w:pStyle w:val="FootnoteText"/>
      </w:pPr>
      <w:r>
        <w:rPr>
          <w:rStyle w:val="FootnoteReference"/>
        </w:rPr>
        <w:footnoteRef/>
      </w:r>
      <w:r>
        <w:t xml:space="preserve"> </w:t>
      </w:r>
      <w:r>
        <w:tab/>
        <w:t>No ca</w:t>
      </w:r>
      <w:r>
        <w:t xml:space="preserve">se of which we are aware has identified a </w:t>
      </w:r>
      <w:r w:rsidRPr="003A2FFD">
        <w:rPr>
          <w:i/>
          <w:iCs/>
        </w:rPr>
        <w:t>statute</w:t>
      </w:r>
      <w:r>
        <w:t xml:space="preserve"> making an order granting or denying a petition for writ of mandate an appealable </w:t>
      </w:r>
      <w:r w:rsidRPr="0002021C">
        <w:rPr>
          <w:i/>
          <w:iCs/>
        </w:rPr>
        <w:t>order</w:t>
      </w:r>
      <w:r>
        <w:t>.  Because all orders are nonappealable unless identified by statute (see</w:t>
      </w:r>
      <w:r w:rsidR="00676468">
        <w:t>,</w:t>
      </w:r>
      <w:r>
        <w:t xml:space="preserve"> e.g., </w:t>
      </w:r>
      <w:r w:rsidRPr="00C90C07">
        <w:rPr>
          <w:i/>
          <w:iCs/>
        </w:rPr>
        <w:t>Draus v. Alfred M. Lewis, Inc.</w:t>
      </w:r>
      <w:r w:rsidR="00B70F28">
        <w:t xml:space="preserve"> </w:t>
      </w:r>
      <w:r w:rsidRPr="00C90C07">
        <w:t>(1968) 261 Cal.App.2d 485, 489</w:t>
      </w:r>
      <w:r>
        <w:t xml:space="preserve">), an order granting or denying a petition for writ of mandate is not an appealable </w:t>
      </w:r>
      <w:r w:rsidRPr="00C90C07">
        <w:rPr>
          <w:i/>
          <w:iCs/>
        </w:rPr>
        <w:t>order</w:t>
      </w:r>
      <w:r>
        <w:t>.  Although, as stated throughout this opinion, an order granting or denying a petition for writ of mandate that is a final judgment in e</w:t>
      </w:r>
      <w:r>
        <w:t xml:space="preserve">ffect is a final </w:t>
      </w:r>
      <w:r w:rsidRPr="003A2FFD">
        <w:rPr>
          <w:i/>
          <w:iCs/>
        </w:rPr>
        <w:t>judgment</w:t>
      </w:r>
      <w:r>
        <w:t>.</w:t>
      </w:r>
    </w:p>
  </w:footnote>
  <w:footnote w:id="24">
    <w:p w14:paraId="775A1845" w14:textId="1A8912DF" w:rsidR="0035691F" w:rsidRDefault="00A62C74" w:rsidP="0035691F">
      <w:pPr>
        <w:pStyle w:val="FootnoteText"/>
      </w:pPr>
      <w:r>
        <w:rPr>
          <w:rStyle w:val="FootnoteReference"/>
        </w:rPr>
        <w:footnoteRef/>
      </w:r>
      <w:r>
        <w:t xml:space="preserve"> </w:t>
      </w:r>
      <w:r>
        <w:tab/>
        <w:t xml:space="preserve">In this case, as noted in part II.B, </w:t>
      </w:r>
      <w:r w:rsidRPr="00902E89">
        <w:rPr>
          <w:i/>
          <w:iCs/>
        </w:rPr>
        <w:t>ante</w:t>
      </w:r>
      <w:r>
        <w:t>, the August 6 order is a formal order signed by a judge.</w:t>
      </w:r>
    </w:p>
  </w:footnote>
  <w:footnote w:id="25">
    <w:p w14:paraId="5661FD49" w14:textId="3B4FBA19" w:rsidR="0035691F" w:rsidRDefault="00A62C74" w:rsidP="0035691F">
      <w:pPr>
        <w:pStyle w:val="FootnoteText"/>
      </w:pPr>
      <w:r>
        <w:rPr>
          <w:rStyle w:val="FootnoteReference"/>
        </w:rPr>
        <w:footnoteRef/>
      </w:r>
      <w:r>
        <w:t xml:space="preserve"> </w:t>
      </w:r>
      <w:r>
        <w:tab/>
        <w:t xml:space="preserve">As noted in pt. II.E, </w:t>
      </w:r>
      <w:r w:rsidRPr="0096361A">
        <w:rPr>
          <w:i/>
          <w:iCs/>
        </w:rPr>
        <w:t>ante</w:t>
      </w:r>
      <w:r>
        <w:t xml:space="preserve">, Officer Meinhardt’s notice of appeal indicated that he was appealing from the September 17, </w:t>
      </w:r>
      <w:r>
        <w:t>2020 “judgment.”</w:t>
      </w:r>
    </w:p>
    <w:p w14:paraId="7CA31A6F" w14:textId="77777777" w:rsidR="008D408B" w:rsidRDefault="008D408B" w:rsidP="0035691F">
      <w:pPr>
        <w:pStyle w:val="FootnoteText"/>
      </w:pPr>
    </w:p>
  </w:footnote>
  <w:footnote w:id="26">
    <w:p w14:paraId="083EBADB" w14:textId="266E9BBE" w:rsidR="0035691F" w:rsidRDefault="00A62C74" w:rsidP="0035691F">
      <w:pPr>
        <w:pStyle w:val="FootnoteText"/>
      </w:pPr>
      <w:r>
        <w:rPr>
          <w:rStyle w:val="FootnoteReference"/>
        </w:rPr>
        <w:footnoteRef/>
      </w:r>
      <w:r>
        <w:t xml:space="preserve"> </w:t>
      </w:r>
      <w:r>
        <w:tab/>
        <w:t xml:space="preserve">In addition, the Board served </w:t>
      </w:r>
      <w:r w:rsidR="00681F3D">
        <w:t>n</w:t>
      </w:r>
      <w:r>
        <w:t xml:space="preserve">otice of </w:t>
      </w:r>
      <w:r w:rsidR="00681F3D">
        <w:t>e</w:t>
      </w:r>
      <w:r>
        <w:t xml:space="preserve">ntry of the August 6, 2020 judgment on August 14, 2020 (see pt. II.C, </w:t>
      </w:r>
      <w:r w:rsidRPr="001D79C0">
        <w:rPr>
          <w:i/>
          <w:iCs/>
        </w:rPr>
        <w:t>ante</w:t>
      </w:r>
      <w:r>
        <w:t>), thereby triggering the 60-day period under rule 8.104(a)(1)(B).  Because 60 days from August 14, 2020 was October 13,</w:t>
      </w:r>
      <w:r>
        <w:t xml:space="preserve"> 2020, Officer Meinhardt’s October 15, 2020 notice of appeal also is not timely filed under rule 8.104(a)(1)(B).</w:t>
      </w:r>
    </w:p>
    <w:p w14:paraId="69931529" w14:textId="49DE8DD7" w:rsidR="0035691F" w:rsidRDefault="00A62C74" w:rsidP="0035691F">
      <w:pPr>
        <w:pStyle w:val="FootnoteText"/>
      </w:pPr>
      <w:r>
        <w:tab/>
        <w:t xml:space="preserve">The sole argument that Officer Meinhardt offers in his supplemental brief on appeal is that the August 6 ruling is </w:t>
      </w:r>
      <w:r w:rsidRPr="001D79C0">
        <w:rPr>
          <w:i/>
          <w:iCs/>
        </w:rPr>
        <w:t>not</w:t>
      </w:r>
      <w:r>
        <w:t xml:space="preserve"> a final judgment.  Offi</w:t>
      </w:r>
      <w:r>
        <w:t xml:space="preserve">cer Meinhardt presents no argument that his appeal was timely filed, assuming that the August 6 ruling </w:t>
      </w:r>
      <w:r w:rsidRPr="001D79C0">
        <w:rPr>
          <w:i/>
          <w:iCs/>
        </w:rPr>
        <w:t>is</w:t>
      </w:r>
      <w:r>
        <w:t xml:space="preserve"> a final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6AD6" w14:textId="77777777" w:rsidR="00FE7840" w:rsidRDefault="00FE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69D" w14:textId="77777777" w:rsidR="00FE7840" w:rsidRDefault="00FE7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B374" w14:textId="77777777" w:rsidR="00FE7840" w:rsidRDefault="00FE7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1F"/>
    <w:rsid w:val="00000239"/>
    <w:rsid w:val="000003FC"/>
    <w:rsid w:val="00000EDC"/>
    <w:rsid w:val="00001673"/>
    <w:rsid w:val="00001B6F"/>
    <w:rsid w:val="00001EE9"/>
    <w:rsid w:val="0000252E"/>
    <w:rsid w:val="00003272"/>
    <w:rsid w:val="000035F8"/>
    <w:rsid w:val="00003616"/>
    <w:rsid w:val="00003B6C"/>
    <w:rsid w:val="00004228"/>
    <w:rsid w:val="0000435E"/>
    <w:rsid w:val="00004B3C"/>
    <w:rsid w:val="000071D2"/>
    <w:rsid w:val="000074A1"/>
    <w:rsid w:val="000077B2"/>
    <w:rsid w:val="00007934"/>
    <w:rsid w:val="00007B7B"/>
    <w:rsid w:val="00010013"/>
    <w:rsid w:val="000104AE"/>
    <w:rsid w:val="00011D50"/>
    <w:rsid w:val="0001240A"/>
    <w:rsid w:val="00012C77"/>
    <w:rsid w:val="00012D68"/>
    <w:rsid w:val="00013483"/>
    <w:rsid w:val="000146C8"/>
    <w:rsid w:val="000158CB"/>
    <w:rsid w:val="00016E26"/>
    <w:rsid w:val="000170C4"/>
    <w:rsid w:val="0001767B"/>
    <w:rsid w:val="00017E75"/>
    <w:rsid w:val="0002021C"/>
    <w:rsid w:val="000202D3"/>
    <w:rsid w:val="000210C2"/>
    <w:rsid w:val="000210D3"/>
    <w:rsid w:val="0002144A"/>
    <w:rsid w:val="000226C8"/>
    <w:rsid w:val="000233DE"/>
    <w:rsid w:val="000238FD"/>
    <w:rsid w:val="00024207"/>
    <w:rsid w:val="000248BD"/>
    <w:rsid w:val="00024CA3"/>
    <w:rsid w:val="000251D7"/>
    <w:rsid w:val="00025207"/>
    <w:rsid w:val="00025DAD"/>
    <w:rsid w:val="0002689D"/>
    <w:rsid w:val="00026A88"/>
    <w:rsid w:val="00027490"/>
    <w:rsid w:val="00027768"/>
    <w:rsid w:val="00027A78"/>
    <w:rsid w:val="0003032B"/>
    <w:rsid w:val="00030D3B"/>
    <w:rsid w:val="00031599"/>
    <w:rsid w:val="000315BA"/>
    <w:rsid w:val="000319DA"/>
    <w:rsid w:val="00031F4E"/>
    <w:rsid w:val="000325A2"/>
    <w:rsid w:val="0003360C"/>
    <w:rsid w:val="00034353"/>
    <w:rsid w:val="00034510"/>
    <w:rsid w:val="00034CC0"/>
    <w:rsid w:val="00035719"/>
    <w:rsid w:val="000361EB"/>
    <w:rsid w:val="00036244"/>
    <w:rsid w:val="00036306"/>
    <w:rsid w:val="000369FD"/>
    <w:rsid w:val="00037123"/>
    <w:rsid w:val="000374B7"/>
    <w:rsid w:val="000402B9"/>
    <w:rsid w:val="00041BFF"/>
    <w:rsid w:val="00041FD8"/>
    <w:rsid w:val="000425B7"/>
    <w:rsid w:val="000425F2"/>
    <w:rsid w:val="0004292E"/>
    <w:rsid w:val="00042E6E"/>
    <w:rsid w:val="00042FB4"/>
    <w:rsid w:val="0004311B"/>
    <w:rsid w:val="000433F4"/>
    <w:rsid w:val="00043D3A"/>
    <w:rsid w:val="00044125"/>
    <w:rsid w:val="0004470E"/>
    <w:rsid w:val="00045210"/>
    <w:rsid w:val="000462C5"/>
    <w:rsid w:val="000466D4"/>
    <w:rsid w:val="00047290"/>
    <w:rsid w:val="0004747E"/>
    <w:rsid w:val="00050A71"/>
    <w:rsid w:val="00051538"/>
    <w:rsid w:val="00051E21"/>
    <w:rsid w:val="0005203C"/>
    <w:rsid w:val="000522B0"/>
    <w:rsid w:val="000525C6"/>
    <w:rsid w:val="00052631"/>
    <w:rsid w:val="00052A4E"/>
    <w:rsid w:val="000537BA"/>
    <w:rsid w:val="00053868"/>
    <w:rsid w:val="00053B77"/>
    <w:rsid w:val="00053DCF"/>
    <w:rsid w:val="00053F17"/>
    <w:rsid w:val="000558EC"/>
    <w:rsid w:val="00055D13"/>
    <w:rsid w:val="000562C4"/>
    <w:rsid w:val="000567E5"/>
    <w:rsid w:val="00056E2F"/>
    <w:rsid w:val="0006003A"/>
    <w:rsid w:val="00060F09"/>
    <w:rsid w:val="000612B9"/>
    <w:rsid w:val="00061C63"/>
    <w:rsid w:val="00061E64"/>
    <w:rsid w:val="00062595"/>
    <w:rsid w:val="00062DFE"/>
    <w:rsid w:val="00063691"/>
    <w:rsid w:val="00064971"/>
    <w:rsid w:val="00064CF3"/>
    <w:rsid w:val="00064F71"/>
    <w:rsid w:val="00064FB5"/>
    <w:rsid w:val="00065B71"/>
    <w:rsid w:val="00065BBF"/>
    <w:rsid w:val="00065C1B"/>
    <w:rsid w:val="000665F1"/>
    <w:rsid w:val="000669AA"/>
    <w:rsid w:val="0006764D"/>
    <w:rsid w:val="00067EFD"/>
    <w:rsid w:val="00070DE6"/>
    <w:rsid w:val="00070E93"/>
    <w:rsid w:val="00070F17"/>
    <w:rsid w:val="00071016"/>
    <w:rsid w:val="0007219D"/>
    <w:rsid w:val="0007258D"/>
    <w:rsid w:val="0007328D"/>
    <w:rsid w:val="000747A1"/>
    <w:rsid w:val="00074DC4"/>
    <w:rsid w:val="00074E39"/>
    <w:rsid w:val="000751CD"/>
    <w:rsid w:val="00075CD3"/>
    <w:rsid w:val="000761BE"/>
    <w:rsid w:val="00076EC4"/>
    <w:rsid w:val="0007720E"/>
    <w:rsid w:val="00077405"/>
    <w:rsid w:val="00077AA2"/>
    <w:rsid w:val="00080A46"/>
    <w:rsid w:val="00080B42"/>
    <w:rsid w:val="00080D53"/>
    <w:rsid w:val="00081454"/>
    <w:rsid w:val="00083571"/>
    <w:rsid w:val="00083647"/>
    <w:rsid w:val="00084678"/>
    <w:rsid w:val="00084FCF"/>
    <w:rsid w:val="000851E2"/>
    <w:rsid w:val="000852DE"/>
    <w:rsid w:val="00085304"/>
    <w:rsid w:val="0008559D"/>
    <w:rsid w:val="000858F4"/>
    <w:rsid w:val="000859E0"/>
    <w:rsid w:val="00085CA9"/>
    <w:rsid w:val="00087A1F"/>
    <w:rsid w:val="00087AD9"/>
    <w:rsid w:val="00087BDF"/>
    <w:rsid w:val="0009097A"/>
    <w:rsid w:val="00090AC8"/>
    <w:rsid w:val="00090D3D"/>
    <w:rsid w:val="0009137F"/>
    <w:rsid w:val="000913AC"/>
    <w:rsid w:val="0009157F"/>
    <w:rsid w:val="00091C8F"/>
    <w:rsid w:val="0009250A"/>
    <w:rsid w:val="000945A5"/>
    <w:rsid w:val="0009478C"/>
    <w:rsid w:val="00094A03"/>
    <w:rsid w:val="000951A3"/>
    <w:rsid w:val="000959F3"/>
    <w:rsid w:val="0009609D"/>
    <w:rsid w:val="000978EB"/>
    <w:rsid w:val="000979D8"/>
    <w:rsid w:val="00097AA3"/>
    <w:rsid w:val="000A06FE"/>
    <w:rsid w:val="000A232F"/>
    <w:rsid w:val="000A2578"/>
    <w:rsid w:val="000A2DC0"/>
    <w:rsid w:val="000A2EB7"/>
    <w:rsid w:val="000A33D2"/>
    <w:rsid w:val="000A39CC"/>
    <w:rsid w:val="000A3B5E"/>
    <w:rsid w:val="000A3EF5"/>
    <w:rsid w:val="000A3F95"/>
    <w:rsid w:val="000A4A01"/>
    <w:rsid w:val="000A7362"/>
    <w:rsid w:val="000A7A7A"/>
    <w:rsid w:val="000B00A7"/>
    <w:rsid w:val="000B0275"/>
    <w:rsid w:val="000B0A7D"/>
    <w:rsid w:val="000B1971"/>
    <w:rsid w:val="000B1B25"/>
    <w:rsid w:val="000B23F3"/>
    <w:rsid w:val="000B272C"/>
    <w:rsid w:val="000B28A5"/>
    <w:rsid w:val="000B300B"/>
    <w:rsid w:val="000B338B"/>
    <w:rsid w:val="000B3887"/>
    <w:rsid w:val="000B4CAD"/>
    <w:rsid w:val="000B4CFC"/>
    <w:rsid w:val="000B53A4"/>
    <w:rsid w:val="000B5591"/>
    <w:rsid w:val="000B66E6"/>
    <w:rsid w:val="000B7573"/>
    <w:rsid w:val="000B7DF1"/>
    <w:rsid w:val="000B7F09"/>
    <w:rsid w:val="000C0252"/>
    <w:rsid w:val="000C0C60"/>
    <w:rsid w:val="000C0CF5"/>
    <w:rsid w:val="000C1318"/>
    <w:rsid w:val="000C2474"/>
    <w:rsid w:val="000C2E75"/>
    <w:rsid w:val="000C31FB"/>
    <w:rsid w:val="000C3307"/>
    <w:rsid w:val="000C40C5"/>
    <w:rsid w:val="000C4159"/>
    <w:rsid w:val="000C509F"/>
    <w:rsid w:val="000C527F"/>
    <w:rsid w:val="000C673E"/>
    <w:rsid w:val="000C6FC5"/>
    <w:rsid w:val="000C763A"/>
    <w:rsid w:val="000C7ACD"/>
    <w:rsid w:val="000D009F"/>
    <w:rsid w:val="000D04C0"/>
    <w:rsid w:val="000D05A6"/>
    <w:rsid w:val="000D0ACB"/>
    <w:rsid w:val="000D0E61"/>
    <w:rsid w:val="000D1EAE"/>
    <w:rsid w:val="000D2B94"/>
    <w:rsid w:val="000D333E"/>
    <w:rsid w:val="000D40A1"/>
    <w:rsid w:val="000D4594"/>
    <w:rsid w:val="000D4C0E"/>
    <w:rsid w:val="000D506E"/>
    <w:rsid w:val="000D55B6"/>
    <w:rsid w:val="000D5719"/>
    <w:rsid w:val="000D5E7A"/>
    <w:rsid w:val="000D639E"/>
    <w:rsid w:val="000D6C9F"/>
    <w:rsid w:val="000D6D4B"/>
    <w:rsid w:val="000D702C"/>
    <w:rsid w:val="000D7034"/>
    <w:rsid w:val="000D77EF"/>
    <w:rsid w:val="000D781D"/>
    <w:rsid w:val="000D7F72"/>
    <w:rsid w:val="000E025E"/>
    <w:rsid w:val="000E0494"/>
    <w:rsid w:val="000E133C"/>
    <w:rsid w:val="000E138B"/>
    <w:rsid w:val="000E13ED"/>
    <w:rsid w:val="000E1D14"/>
    <w:rsid w:val="000E1E23"/>
    <w:rsid w:val="000E23CC"/>
    <w:rsid w:val="000E244C"/>
    <w:rsid w:val="000E24C5"/>
    <w:rsid w:val="000E2C49"/>
    <w:rsid w:val="000E35A0"/>
    <w:rsid w:val="000E3861"/>
    <w:rsid w:val="000E4544"/>
    <w:rsid w:val="000E49FA"/>
    <w:rsid w:val="000E4BF0"/>
    <w:rsid w:val="000E4FE9"/>
    <w:rsid w:val="000E6731"/>
    <w:rsid w:val="000E673F"/>
    <w:rsid w:val="000E6C7A"/>
    <w:rsid w:val="000F0F53"/>
    <w:rsid w:val="000F14DA"/>
    <w:rsid w:val="000F15E2"/>
    <w:rsid w:val="000F1E61"/>
    <w:rsid w:val="000F2405"/>
    <w:rsid w:val="000F2A93"/>
    <w:rsid w:val="000F505A"/>
    <w:rsid w:val="000F55D2"/>
    <w:rsid w:val="000F55E4"/>
    <w:rsid w:val="000F65C3"/>
    <w:rsid w:val="000F6714"/>
    <w:rsid w:val="000F67EE"/>
    <w:rsid w:val="000F699B"/>
    <w:rsid w:val="000F6C1B"/>
    <w:rsid w:val="000F7023"/>
    <w:rsid w:val="000F73B7"/>
    <w:rsid w:val="000F7586"/>
    <w:rsid w:val="000F7B52"/>
    <w:rsid w:val="000F7B5A"/>
    <w:rsid w:val="00100661"/>
    <w:rsid w:val="00101A3F"/>
    <w:rsid w:val="00102509"/>
    <w:rsid w:val="00102891"/>
    <w:rsid w:val="00102EB4"/>
    <w:rsid w:val="00103207"/>
    <w:rsid w:val="00103F66"/>
    <w:rsid w:val="00106953"/>
    <w:rsid w:val="00107FA9"/>
    <w:rsid w:val="0011038B"/>
    <w:rsid w:val="00110CDF"/>
    <w:rsid w:val="0011111E"/>
    <w:rsid w:val="001116DC"/>
    <w:rsid w:val="00111B85"/>
    <w:rsid w:val="00111B8C"/>
    <w:rsid w:val="001120F0"/>
    <w:rsid w:val="001122B6"/>
    <w:rsid w:val="00112952"/>
    <w:rsid w:val="00113308"/>
    <w:rsid w:val="00113500"/>
    <w:rsid w:val="001137F2"/>
    <w:rsid w:val="00113853"/>
    <w:rsid w:val="00113A46"/>
    <w:rsid w:val="00113C86"/>
    <w:rsid w:val="00114FBA"/>
    <w:rsid w:val="0011557C"/>
    <w:rsid w:val="00115A2D"/>
    <w:rsid w:val="00115BCD"/>
    <w:rsid w:val="00115C57"/>
    <w:rsid w:val="00116686"/>
    <w:rsid w:val="00117491"/>
    <w:rsid w:val="001174D6"/>
    <w:rsid w:val="001179C8"/>
    <w:rsid w:val="00120486"/>
    <w:rsid w:val="001204A0"/>
    <w:rsid w:val="00120855"/>
    <w:rsid w:val="00121099"/>
    <w:rsid w:val="00121239"/>
    <w:rsid w:val="0012129B"/>
    <w:rsid w:val="00121F84"/>
    <w:rsid w:val="00122103"/>
    <w:rsid w:val="00122157"/>
    <w:rsid w:val="00122405"/>
    <w:rsid w:val="00122A5A"/>
    <w:rsid w:val="00122DAB"/>
    <w:rsid w:val="001235C3"/>
    <w:rsid w:val="0012395B"/>
    <w:rsid w:val="00124C7D"/>
    <w:rsid w:val="00124DE9"/>
    <w:rsid w:val="0012501E"/>
    <w:rsid w:val="001251BE"/>
    <w:rsid w:val="00125E28"/>
    <w:rsid w:val="001272D5"/>
    <w:rsid w:val="001273D2"/>
    <w:rsid w:val="00130372"/>
    <w:rsid w:val="00131427"/>
    <w:rsid w:val="00132EAC"/>
    <w:rsid w:val="0013308B"/>
    <w:rsid w:val="00133254"/>
    <w:rsid w:val="001333FD"/>
    <w:rsid w:val="00133CDC"/>
    <w:rsid w:val="0013490D"/>
    <w:rsid w:val="00134B7D"/>
    <w:rsid w:val="00134E35"/>
    <w:rsid w:val="001356CD"/>
    <w:rsid w:val="001359BF"/>
    <w:rsid w:val="00135A1E"/>
    <w:rsid w:val="00136BD6"/>
    <w:rsid w:val="00137FE0"/>
    <w:rsid w:val="00140603"/>
    <w:rsid w:val="001406EB"/>
    <w:rsid w:val="00140755"/>
    <w:rsid w:val="00140903"/>
    <w:rsid w:val="001409C6"/>
    <w:rsid w:val="00141733"/>
    <w:rsid w:val="0014288A"/>
    <w:rsid w:val="00142C22"/>
    <w:rsid w:val="001434DD"/>
    <w:rsid w:val="001438C4"/>
    <w:rsid w:val="00143CB5"/>
    <w:rsid w:val="00144CB7"/>
    <w:rsid w:val="001451A3"/>
    <w:rsid w:val="0014708D"/>
    <w:rsid w:val="0014719C"/>
    <w:rsid w:val="001479D0"/>
    <w:rsid w:val="001501E1"/>
    <w:rsid w:val="0015034A"/>
    <w:rsid w:val="00150782"/>
    <w:rsid w:val="0015093E"/>
    <w:rsid w:val="00150E2E"/>
    <w:rsid w:val="00151711"/>
    <w:rsid w:val="00151737"/>
    <w:rsid w:val="00151936"/>
    <w:rsid w:val="00151A92"/>
    <w:rsid w:val="00151C11"/>
    <w:rsid w:val="00151C74"/>
    <w:rsid w:val="00152992"/>
    <w:rsid w:val="001529B5"/>
    <w:rsid w:val="00152E30"/>
    <w:rsid w:val="00153FAD"/>
    <w:rsid w:val="0015415B"/>
    <w:rsid w:val="0015421C"/>
    <w:rsid w:val="00154487"/>
    <w:rsid w:val="0015454A"/>
    <w:rsid w:val="001548FC"/>
    <w:rsid w:val="00154DB9"/>
    <w:rsid w:val="00155CFC"/>
    <w:rsid w:val="001604D3"/>
    <w:rsid w:val="00161751"/>
    <w:rsid w:val="001619C2"/>
    <w:rsid w:val="00161E06"/>
    <w:rsid w:val="0016211D"/>
    <w:rsid w:val="00162FC1"/>
    <w:rsid w:val="00163500"/>
    <w:rsid w:val="00163ECB"/>
    <w:rsid w:val="00164F22"/>
    <w:rsid w:val="00165084"/>
    <w:rsid w:val="0016562A"/>
    <w:rsid w:val="0016668A"/>
    <w:rsid w:val="00166C8D"/>
    <w:rsid w:val="00166D2E"/>
    <w:rsid w:val="00167615"/>
    <w:rsid w:val="00170B8C"/>
    <w:rsid w:val="00170CF4"/>
    <w:rsid w:val="00170D5C"/>
    <w:rsid w:val="00170D7A"/>
    <w:rsid w:val="00171189"/>
    <w:rsid w:val="001720E1"/>
    <w:rsid w:val="0017269D"/>
    <w:rsid w:val="001726CE"/>
    <w:rsid w:val="00172734"/>
    <w:rsid w:val="0017336C"/>
    <w:rsid w:val="00174428"/>
    <w:rsid w:val="00174910"/>
    <w:rsid w:val="00174B00"/>
    <w:rsid w:val="00175175"/>
    <w:rsid w:val="001755DA"/>
    <w:rsid w:val="0017586B"/>
    <w:rsid w:val="00175BD0"/>
    <w:rsid w:val="00176602"/>
    <w:rsid w:val="00176F68"/>
    <w:rsid w:val="00177086"/>
    <w:rsid w:val="00180248"/>
    <w:rsid w:val="0018169B"/>
    <w:rsid w:val="00181B22"/>
    <w:rsid w:val="00182BFE"/>
    <w:rsid w:val="001833AA"/>
    <w:rsid w:val="00183ABA"/>
    <w:rsid w:val="00183E4D"/>
    <w:rsid w:val="0018497C"/>
    <w:rsid w:val="001850A0"/>
    <w:rsid w:val="00186001"/>
    <w:rsid w:val="00186B6A"/>
    <w:rsid w:val="00186E2D"/>
    <w:rsid w:val="00186F82"/>
    <w:rsid w:val="0018767D"/>
    <w:rsid w:val="00190F65"/>
    <w:rsid w:val="00190F9C"/>
    <w:rsid w:val="00190FE5"/>
    <w:rsid w:val="00191AAD"/>
    <w:rsid w:val="00191D60"/>
    <w:rsid w:val="00191F17"/>
    <w:rsid w:val="00193069"/>
    <w:rsid w:val="001932CA"/>
    <w:rsid w:val="00193C0B"/>
    <w:rsid w:val="00193E89"/>
    <w:rsid w:val="00195EBA"/>
    <w:rsid w:val="0019602A"/>
    <w:rsid w:val="00196857"/>
    <w:rsid w:val="001974FB"/>
    <w:rsid w:val="00197837"/>
    <w:rsid w:val="0019795D"/>
    <w:rsid w:val="00197EE8"/>
    <w:rsid w:val="001A0B87"/>
    <w:rsid w:val="001A129A"/>
    <w:rsid w:val="001A19DA"/>
    <w:rsid w:val="001A2115"/>
    <w:rsid w:val="001A22B9"/>
    <w:rsid w:val="001A2702"/>
    <w:rsid w:val="001A289D"/>
    <w:rsid w:val="001A2A07"/>
    <w:rsid w:val="001A3EE3"/>
    <w:rsid w:val="001A45B9"/>
    <w:rsid w:val="001A4C15"/>
    <w:rsid w:val="001A4CF7"/>
    <w:rsid w:val="001A5468"/>
    <w:rsid w:val="001A5B70"/>
    <w:rsid w:val="001A5D4C"/>
    <w:rsid w:val="001A5FE0"/>
    <w:rsid w:val="001A69F9"/>
    <w:rsid w:val="001A764F"/>
    <w:rsid w:val="001A77E8"/>
    <w:rsid w:val="001A7ED2"/>
    <w:rsid w:val="001B0858"/>
    <w:rsid w:val="001B0E13"/>
    <w:rsid w:val="001B146B"/>
    <w:rsid w:val="001B14A1"/>
    <w:rsid w:val="001B1EC5"/>
    <w:rsid w:val="001B2326"/>
    <w:rsid w:val="001B23CC"/>
    <w:rsid w:val="001B2D99"/>
    <w:rsid w:val="001B350B"/>
    <w:rsid w:val="001B3A53"/>
    <w:rsid w:val="001B3B51"/>
    <w:rsid w:val="001B3E13"/>
    <w:rsid w:val="001B4041"/>
    <w:rsid w:val="001B423A"/>
    <w:rsid w:val="001B45F2"/>
    <w:rsid w:val="001B4987"/>
    <w:rsid w:val="001B5141"/>
    <w:rsid w:val="001B5221"/>
    <w:rsid w:val="001B5364"/>
    <w:rsid w:val="001B5A23"/>
    <w:rsid w:val="001B5E2D"/>
    <w:rsid w:val="001B7936"/>
    <w:rsid w:val="001B7BEE"/>
    <w:rsid w:val="001C03F4"/>
    <w:rsid w:val="001C158A"/>
    <w:rsid w:val="001C15B8"/>
    <w:rsid w:val="001C1725"/>
    <w:rsid w:val="001C1931"/>
    <w:rsid w:val="001C1DEA"/>
    <w:rsid w:val="001C2045"/>
    <w:rsid w:val="001C31FD"/>
    <w:rsid w:val="001C3A6E"/>
    <w:rsid w:val="001C3D27"/>
    <w:rsid w:val="001C3DDC"/>
    <w:rsid w:val="001C427B"/>
    <w:rsid w:val="001C62CF"/>
    <w:rsid w:val="001C68C7"/>
    <w:rsid w:val="001C6E92"/>
    <w:rsid w:val="001C76B7"/>
    <w:rsid w:val="001C7CCD"/>
    <w:rsid w:val="001D00BA"/>
    <w:rsid w:val="001D0535"/>
    <w:rsid w:val="001D08B9"/>
    <w:rsid w:val="001D12A5"/>
    <w:rsid w:val="001D242C"/>
    <w:rsid w:val="001D327F"/>
    <w:rsid w:val="001D32C1"/>
    <w:rsid w:val="001D3B3D"/>
    <w:rsid w:val="001D4007"/>
    <w:rsid w:val="001D48AB"/>
    <w:rsid w:val="001D4CB4"/>
    <w:rsid w:val="001D4F35"/>
    <w:rsid w:val="001D52E6"/>
    <w:rsid w:val="001D56C3"/>
    <w:rsid w:val="001D596D"/>
    <w:rsid w:val="001D5D62"/>
    <w:rsid w:val="001D5F5A"/>
    <w:rsid w:val="001D6885"/>
    <w:rsid w:val="001D6913"/>
    <w:rsid w:val="001D6D4E"/>
    <w:rsid w:val="001D79C0"/>
    <w:rsid w:val="001D7B50"/>
    <w:rsid w:val="001E0034"/>
    <w:rsid w:val="001E0FD5"/>
    <w:rsid w:val="001E1F98"/>
    <w:rsid w:val="001E2131"/>
    <w:rsid w:val="001E223B"/>
    <w:rsid w:val="001E3324"/>
    <w:rsid w:val="001E413C"/>
    <w:rsid w:val="001E4BA8"/>
    <w:rsid w:val="001E5BEC"/>
    <w:rsid w:val="001E7FCA"/>
    <w:rsid w:val="001F01E1"/>
    <w:rsid w:val="001F1117"/>
    <w:rsid w:val="001F143B"/>
    <w:rsid w:val="001F18F5"/>
    <w:rsid w:val="001F19D4"/>
    <w:rsid w:val="001F1DD5"/>
    <w:rsid w:val="001F2C38"/>
    <w:rsid w:val="001F3E54"/>
    <w:rsid w:val="001F3F8C"/>
    <w:rsid w:val="001F4227"/>
    <w:rsid w:val="001F4EB7"/>
    <w:rsid w:val="001F59D7"/>
    <w:rsid w:val="001F5A65"/>
    <w:rsid w:val="002002A3"/>
    <w:rsid w:val="0020096D"/>
    <w:rsid w:val="002016CD"/>
    <w:rsid w:val="00201C3B"/>
    <w:rsid w:val="00201D83"/>
    <w:rsid w:val="00202497"/>
    <w:rsid w:val="002029FE"/>
    <w:rsid w:val="0020342B"/>
    <w:rsid w:val="002036BC"/>
    <w:rsid w:val="00203E1B"/>
    <w:rsid w:val="0020435A"/>
    <w:rsid w:val="00204E19"/>
    <w:rsid w:val="002052D7"/>
    <w:rsid w:val="00205541"/>
    <w:rsid w:val="00205A80"/>
    <w:rsid w:val="00206AD9"/>
    <w:rsid w:val="002079D1"/>
    <w:rsid w:val="00207B88"/>
    <w:rsid w:val="00207DC0"/>
    <w:rsid w:val="00210439"/>
    <w:rsid w:val="002108A6"/>
    <w:rsid w:val="00210DB2"/>
    <w:rsid w:val="002114E2"/>
    <w:rsid w:val="0021181E"/>
    <w:rsid w:val="002119A6"/>
    <w:rsid w:val="00212740"/>
    <w:rsid w:val="00212BA3"/>
    <w:rsid w:val="00213E42"/>
    <w:rsid w:val="002141A8"/>
    <w:rsid w:val="002148AC"/>
    <w:rsid w:val="00214A67"/>
    <w:rsid w:val="0021558E"/>
    <w:rsid w:val="002159EF"/>
    <w:rsid w:val="00215A38"/>
    <w:rsid w:val="00215B63"/>
    <w:rsid w:val="002160A7"/>
    <w:rsid w:val="0021679F"/>
    <w:rsid w:val="00216CA3"/>
    <w:rsid w:val="0021768E"/>
    <w:rsid w:val="00217715"/>
    <w:rsid w:val="00217D14"/>
    <w:rsid w:val="00217ED0"/>
    <w:rsid w:val="00220218"/>
    <w:rsid w:val="0022132F"/>
    <w:rsid w:val="00221849"/>
    <w:rsid w:val="00221ACE"/>
    <w:rsid w:val="00221AD2"/>
    <w:rsid w:val="00222475"/>
    <w:rsid w:val="00222EDF"/>
    <w:rsid w:val="00222EE5"/>
    <w:rsid w:val="00223178"/>
    <w:rsid w:val="002237FC"/>
    <w:rsid w:val="00223DE4"/>
    <w:rsid w:val="00223E1D"/>
    <w:rsid w:val="00223F57"/>
    <w:rsid w:val="0022542C"/>
    <w:rsid w:val="00225656"/>
    <w:rsid w:val="0022598F"/>
    <w:rsid w:val="002260C6"/>
    <w:rsid w:val="002268C0"/>
    <w:rsid w:val="002274D4"/>
    <w:rsid w:val="002305BA"/>
    <w:rsid w:val="0023074A"/>
    <w:rsid w:val="002309BE"/>
    <w:rsid w:val="002317EF"/>
    <w:rsid w:val="002325B9"/>
    <w:rsid w:val="002337A3"/>
    <w:rsid w:val="00233AB4"/>
    <w:rsid w:val="00233F70"/>
    <w:rsid w:val="002345A0"/>
    <w:rsid w:val="0023527D"/>
    <w:rsid w:val="00235991"/>
    <w:rsid w:val="0023599E"/>
    <w:rsid w:val="00235A60"/>
    <w:rsid w:val="00235EA9"/>
    <w:rsid w:val="00235FD3"/>
    <w:rsid w:val="0023630E"/>
    <w:rsid w:val="002364EE"/>
    <w:rsid w:val="002366AC"/>
    <w:rsid w:val="0023771E"/>
    <w:rsid w:val="00237CAB"/>
    <w:rsid w:val="002405CD"/>
    <w:rsid w:val="00240A87"/>
    <w:rsid w:val="00241950"/>
    <w:rsid w:val="00242063"/>
    <w:rsid w:val="00242F5F"/>
    <w:rsid w:val="002434F1"/>
    <w:rsid w:val="002435C2"/>
    <w:rsid w:val="00243D45"/>
    <w:rsid w:val="0024552B"/>
    <w:rsid w:val="002458DC"/>
    <w:rsid w:val="002463E4"/>
    <w:rsid w:val="002468A0"/>
    <w:rsid w:val="00246F92"/>
    <w:rsid w:val="002478B8"/>
    <w:rsid w:val="00250727"/>
    <w:rsid w:val="00250D75"/>
    <w:rsid w:val="0025107C"/>
    <w:rsid w:val="002511F3"/>
    <w:rsid w:val="0025120F"/>
    <w:rsid w:val="0025130E"/>
    <w:rsid w:val="00251568"/>
    <w:rsid w:val="00251A05"/>
    <w:rsid w:val="00253C14"/>
    <w:rsid w:val="002545B3"/>
    <w:rsid w:val="00254AD3"/>
    <w:rsid w:val="00254D68"/>
    <w:rsid w:val="002550B8"/>
    <w:rsid w:val="00255EFB"/>
    <w:rsid w:val="00256060"/>
    <w:rsid w:val="002579DA"/>
    <w:rsid w:val="00257E21"/>
    <w:rsid w:val="00260A27"/>
    <w:rsid w:val="00260F32"/>
    <w:rsid w:val="002612D5"/>
    <w:rsid w:val="0026147A"/>
    <w:rsid w:val="002615EF"/>
    <w:rsid w:val="0026166D"/>
    <w:rsid w:val="00261749"/>
    <w:rsid w:val="002617CF"/>
    <w:rsid w:val="00262765"/>
    <w:rsid w:val="00263AFB"/>
    <w:rsid w:val="00265121"/>
    <w:rsid w:val="0026578B"/>
    <w:rsid w:val="00266720"/>
    <w:rsid w:val="00266DEC"/>
    <w:rsid w:val="00266E72"/>
    <w:rsid w:val="002673E6"/>
    <w:rsid w:val="00267D50"/>
    <w:rsid w:val="002707FE"/>
    <w:rsid w:val="002710C1"/>
    <w:rsid w:val="00271462"/>
    <w:rsid w:val="00271C19"/>
    <w:rsid w:val="00271D53"/>
    <w:rsid w:val="00271E4E"/>
    <w:rsid w:val="00271F83"/>
    <w:rsid w:val="002721CD"/>
    <w:rsid w:val="00272542"/>
    <w:rsid w:val="00272609"/>
    <w:rsid w:val="00273062"/>
    <w:rsid w:val="0027330C"/>
    <w:rsid w:val="00273583"/>
    <w:rsid w:val="00275180"/>
    <w:rsid w:val="002754AE"/>
    <w:rsid w:val="0027669A"/>
    <w:rsid w:val="002777D9"/>
    <w:rsid w:val="00277906"/>
    <w:rsid w:val="002805B6"/>
    <w:rsid w:val="002825EC"/>
    <w:rsid w:val="00282BFA"/>
    <w:rsid w:val="00282DA5"/>
    <w:rsid w:val="002837EE"/>
    <w:rsid w:val="00283DDF"/>
    <w:rsid w:val="00284B30"/>
    <w:rsid w:val="00284CCF"/>
    <w:rsid w:val="002852F0"/>
    <w:rsid w:val="00286697"/>
    <w:rsid w:val="00286DEF"/>
    <w:rsid w:val="00287821"/>
    <w:rsid w:val="00287ED3"/>
    <w:rsid w:val="00290320"/>
    <w:rsid w:val="002904AC"/>
    <w:rsid w:val="00290ABC"/>
    <w:rsid w:val="002911BF"/>
    <w:rsid w:val="00291402"/>
    <w:rsid w:val="002915EA"/>
    <w:rsid w:val="00293406"/>
    <w:rsid w:val="00293778"/>
    <w:rsid w:val="002949CD"/>
    <w:rsid w:val="00294DE5"/>
    <w:rsid w:val="00295475"/>
    <w:rsid w:val="00295665"/>
    <w:rsid w:val="00295C04"/>
    <w:rsid w:val="00295D3F"/>
    <w:rsid w:val="00296E3E"/>
    <w:rsid w:val="00297A0A"/>
    <w:rsid w:val="00297E5C"/>
    <w:rsid w:val="002A0D9B"/>
    <w:rsid w:val="002A0F10"/>
    <w:rsid w:val="002A10AC"/>
    <w:rsid w:val="002A1BF5"/>
    <w:rsid w:val="002A1E5A"/>
    <w:rsid w:val="002A2134"/>
    <w:rsid w:val="002A224F"/>
    <w:rsid w:val="002A27E9"/>
    <w:rsid w:val="002A2884"/>
    <w:rsid w:val="002A2F20"/>
    <w:rsid w:val="002A3D37"/>
    <w:rsid w:val="002A3D68"/>
    <w:rsid w:val="002A4742"/>
    <w:rsid w:val="002A61B1"/>
    <w:rsid w:val="002A6540"/>
    <w:rsid w:val="002A693E"/>
    <w:rsid w:val="002A752A"/>
    <w:rsid w:val="002A7A01"/>
    <w:rsid w:val="002A7BAF"/>
    <w:rsid w:val="002A7E7F"/>
    <w:rsid w:val="002B09CE"/>
    <w:rsid w:val="002B1ED0"/>
    <w:rsid w:val="002B2227"/>
    <w:rsid w:val="002B284E"/>
    <w:rsid w:val="002B2892"/>
    <w:rsid w:val="002B3843"/>
    <w:rsid w:val="002B3A66"/>
    <w:rsid w:val="002B3CD7"/>
    <w:rsid w:val="002B4703"/>
    <w:rsid w:val="002B645C"/>
    <w:rsid w:val="002B6784"/>
    <w:rsid w:val="002B67EA"/>
    <w:rsid w:val="002B69E7"/>
    <w:rsid w:val="002B70A7"/>
    <w:rsid w:val="002B74F2"/>
    <w:rsid w:val="002B7820"/>
    <w:rsid w:val="002B7F3A"/>
    <w:rsid w:val="002C0739"/>
    <w:rsid w:val="002C080B"/>
    <w:rsid w:val="002C0D36"/>
    <w:rsid w:val="002C1266"/>
    <w:rsid w:val="002C1493"/>
    <w:rsid w:val="002C28B5"/>
    <w:rsid w:val="002C332F"/>
    <w:rsid w:val="002C3943"/>
    <w:rsid w:val="002C3E0E"/>
    <w:rsid w:val="002C46E0"/>
    <w:rsid w:val="002C476D"/>
    <w:rsid w:val="002C4C07"/>
    <w:rsid w:val="002C4D78"/>
    <w:rsid w:val="002C5023"/>
    <w:rsid w:val="002C5591"/>
    <w:rsid w:val="002C59A0"/>
    <w:rsid w:val="002C6005"/>
    <w:rsid w:val="002C6293"/>
    <w:rsid w:val="002C679D"/>
    <w:rsid w:val="002C6AD8"/>
    <w:rsid w:val="002C6FC7"/>
    <w:rsid w:val="002C7BA1"/>
    <w:rsid w:val="002D0410"/>
    <w:rsid w:val="002D0963"/>
    <w:rsid w:val="002D15E6"/>
    <w:rsid w:val="002D40B6"/>
    <w:rsid w:val="002D46D0"/>
    <w:rsid w:val="002D4B9E"/>
    <w:rsid w:val="002D62BF"/>
    <w:rsid w:val="002D6A9D"/>
    <w:rsid w:val="002D7195"/>
    <w:rsid w:val="002D7226"/>
    <w:rsid w:val="002E01C4"/>
    <w:rsid w:val="002E0E44"/>
    <w:rsid w:val="002E131D"/>
    <w:rsid w:val="002E195E"/>
    <w:rsid w:val="002E25FF"/>
    <w:rsid w:val="002E2819"/>
    <w:rsid w:val="002E3D1D"/>
    <w:rsid w:val="002E3EA2"/>
    <w:rsid w:val="002E4C77"/>
    <w:rsid w:val="002E5294"/>
    <w:rsid w:val="002E639C"/>
    <w:rsid w:val="002E6A69"/>
    <w:rsid w:val="002F0555"/>
    <w:rsid w:val="002F0749"/>
    <w:rsid w:val="002F081D"/>
    <w:rsid w:val="002F1210"/>
    <w:rsid w:val="002F13EC"/>
    <w:rsid w:val="002F15AD"/>
    <w:rsid w:val="002F194E"/>
    <w:rsid w:val="002F1DA6"/>
    <w:rsid w:val="002F1E3D"/>
    <w:rsid w:val="002F2298"/>
    <w:rsid w:val="002F2CA3"/>
    <w:rsid w:val="002F2D05"/>
    <w:rsid w:val="002F4115"/>
    <w:rsid w:val="002F4ACE"/>
    <w:rsid w:val="002F4F0E"/>
    <w:rsid w:val="002F520E"/>
    <w:rsid w:val="002F63EA"/>
    <w:rsid w:val="00300354"/>
    <w:rsid w:val="00300925"/>
    <w:rsid w:val="00300D37"/>
    <w:rsid w:val="003014F2"/>
    <w:rsid w:val="00301586"/>
    <w:rsid w:val="003015D1"/>
    <w:rsid w:val="0030162C"/>
    <w:rsid w:val="0030186D"/>
    <w:rsid w:val="00301949"/>
    <w:rsid w:val="003019E5"/>
    <w:rsid w:val="00301BA2"/>
    <w:rsid w:val="00301C22"/>
    <w:rsid w:val="003022CD"/>
    <w:rsid w:val="00302B03"/>
    <w:rsid w:val="00302B0E"/>
    <w:rsid w:val="00302C0D"/>
    <w:rsid w:val="00302DB6"/>
    <w:rsid w:val="003034CE"/>
    <w:rsid w:val="00303645"/>
    <w:rsid w:val="00303D46"/>
    <w:rsid w:val="00304393"/>
    <w:rsid w:val="0030502A"/>
    <w:rsid w:val="0030632C"/>
    <w:rsid w:val="00306C21"/>
    <w:rsid w:val="00306D49"/>
    <w:rsid w:val="00306ECD"/>
    <w:rsid w:val="00307029"/>
    <w:rsid w:val="00307737"/>
    <w:rsid w:val="00307CB7"/>
    <w:rsid w:val="00307D23"/>
    <w:rsid w:val="003103A7"/>
    <w:rsid w:val="003113EC"/>
    <w:rsid w:val="00311ABF"/>
    <w:rsid w:val="00312100"/>
    <w:rsid w:val="00312128"/>
    <w:rsid w:val="00312CC3"/>
    <w:rsid w:val="00312F57"/>
    <w:rsid w:val="00312F8C"/>
    <w:rsid w:val="003134DF"/>
    <w:rsid w:val="00313DED"/>
    <w:rsid w:val="00313E76"/>
    <w:rsid w:val="003143FA"/>
    <w:rsid w:val="00314D41"/>
    <w:rsid w:val="00315205"/>
    <w:rsid w:val="00315EF6"/>
    <w:rsid w:val="00316078"/>
    <w:rsid w:val="00316111"/>
    <w:rsid w:val="003169AD"/>
    <w:rsid w:val="00316F4B"/>
    <w:rsid w:val="00317377"/>
    <w:rsid w:val="00317569"/>
    <w:rsid w:val="00317AE3"/>
    <w:rsid w:val="00320084"/>
    <w:rsid w:val="00320B81"/>
    <w:rsid w:val="00320D2C"/>
    <w:rsid w:val="003218C4"/>
    <w:rsid w:val="00322CA2"/>
    <w:rsid w:val="00322F6A"/>
    <w:rsid w:val="003230D7"/>
    <w:rsid w:val="003237AB"/>
    <w:rsid w:val="003242BC"/>
    <w:rsid w:val="00324305"/>
    <w:rsid w:val="00324F93"/>
    <w:rsid w:val="00325835"/>
    <w:rsid w:val="0032660E"/>
    <w:rsid w:val="00326859"/>
    <w:rsid w:val="003270AD"/>
    <w:rsid w:val="00327C65"/>
    <w:rsid w:val="00330BB9"/>
    <w:rsid w:val="00330E0B"/>
    <w:rsid w:val="00330ED2"/>
    <w:rsid w:val="00331100"/>
    <w:rsid w:val="003315F7"/>
    <w:rsid w:val="003319AA"/>
    <w:rsid w:val="00331A7B"/>
    <w:rsid w:val="00331A95"/>
    <w:rsid w:val="00331BF8"/>
    <w:rsid w:val="00332688"/>
    <w:rsid w:val="00332C1C"/>
    <w:rsid w:val="003334D5"/>
    <w:rsid w:val="00333FFF"/>
    <w:rsid w:val="00334124"/>
    <w:rsid w:val="003347DE"/>
    <w:rsid w:val="00334D06"/>
    <w:rsid w:val="0033505F"/>
    <w:rsid w:val="00336285"/>
    <w:rsid w:val="003365A4"/>
    <w:rsid w:val="003373E3"/>
    <w:rsid w:val="0033783E"/>
    <w:rsid w:val="00337D88"/>
    <w:rsid w:val="00337DB7"/>
    <w:rsid w:val="00337EF7"/>
    <w:rsid w:val="0034025C"/>
    <w:rsid w:val="00340347"/>
    <w:rsid w:val="00340601"/>
    <w:rsid w:val="003411A2"/>
    <w:rsid w:val="0034324C"/>
    <w:rsid w:val="003436C6"/>
    <w:rsid w:val="00343F96"/>
    <w:rsid w:val="003449DF"/>
    <w:rsid w:val="00344A69"/>
    <w:rsid w:val="003452AF"/>
    <w:rsid w:val="003452F5"/>
    <w:rsid w:val="003453C2"/>
    <w:rsid w:val="00346BC1"/>
    <w:rsid w:val="003473A6"/>
    <w:rsid w:val="003477B9"/>
    <w:rsid w:val="00347FD9"/>
    <w:rsid w:val="00350D08"/>
    <w:rsid w:val="00352A7E"/>
    <w:rsid w:val="00353731"/>
    <w:rsid w:val="0035441A"/>
    <w:rsid w:val="00355ACB"/>
    <w:rsid w:val="00355D95"/>
    <w:rsid w:val="0035634A"/>
    <w:rsid w:val="003563AC"/>
    <w:rsid w:val="0035691F"/>
    <w:rsid w:val="00356D52"/>
    <w:rsid w:val="00356E19"/>
    <w:rsid w:val="003576DF"/>
    <w:rsid w:val="003577BE"/>
    <w:rsid w:val="003603A2"/>
    <w:rsid w:val="003615D2"/>
    <w:rsid w:val="003618A5"/>
    <w:rsid w:val="00361998"/>
    <w:rsid w:val="003623F5"/>
    <w:rsid w:val="003625C6"/>
    <w:rsid w:val="00362713"/>
    <w:rsid w:val="003631AE"/>
    <w:rsid w:val="003639B9"/>
    <w:rsid w:val="00363BB4"/>
    <w:rsid w:val="00363C1D"/>
    <w:rsid w:val="003642F4"/>
    <w:rsid w:val="00364B94"/>
    <w:rsid w:val="00364D05"/>
    <w:rsid w:val="00364DF6"/>
    <w:rsid w:val="00364ED7"/>
    <w:rsid w:val="00365470"/>
    <w:rsid w:val="00365556"/>
    <w:rsid w:val="003656C3"/>
    <w:rsid w:val="00366290"/>
    <w:rsid w:val="00366439"/>
    <w:rsid w:val="00366CE6"/>
    <w:rsid w:val="00367180"/>
    <w:rsid w:val="0036739D"/>
    <w:rsid w:val="0036755D"/>
    <w:rsid w:val="003675B2"/>
    <w:rsid w:val="00367612"/>
    <w:rsid w:val="003678BD"/>
    <w:rsid w:val="003678E8"/>
    <w:rsid w:val="00367B89"/>
    <w:rsid w:val="00367DE9"/>
    <w:rsid w:val="00370265"/>
    <w:rsid w:val="00370684"/>
    <w:rsid w:val="0037288F"/>
    <w:rsid w:val="00372B23"/>
    <w:rsid w:val="003730A6"/>
    <w:rsid w:val="00374157"/>
    <w:rsid w:val="00374B30"/>
    <w:rsid w:val="003769E9"/>
    <w:rsid w:val="00376BB4"/>
    <w:rsid w:val="00376C3E"/>
    <w:rsid w:val="00377068"/>
    <w:rsid w:val="0038023B"/>
    <w:rsid w:val="003805B2"/>
    <w:rsid w:val="00380A68"/>
    <w:rsid w:val="003814B0"/>
    <w:rsid w:val="00381B04"/>
    <w:rsid w:val="00381CA2"/>
    <w:rsid w:val="003829FB"/>
    <w:rsid w:val="003840BC"/>
    <w:rsid w:val="0038419C"/>
    <w:rsid w:val="0038487D"/>
    <w:rsid w:val="00384BDA"/>
    <w:rsid w:val="00384D1A"/>
    <w:rsid w:val="00385244"/>
    <w:rsid w:val="00385245"/>
    <w:rsid w:val="003852AF"/>
    <w:rsid w:val="00385392"/>
    <w:rsid w:val="00385914"/>
    <w:rsid w:val="003866FD"/>
    <w:rsid w:val="003869C4"/>
    <w:rsid w:val="00390023"/>
    <w:rsid w:val="003900B5"/>
    <w:rsid w:val="00390BF9"/>
    <w:rsid w:val="00391341"/>
    <w:rsid w:val="00391D61"/>
    <w:rsid w:val="00392160"/>
    <w:rsid w:val="00392CE1"/>
    <w:rsid w:val="00392F4A"/>
    <w:rsid w:val="00393474"/>
    <w:rsid w:val="00393AAA"/>
    <w:rsid w:val="00393BD3"/>
    <w:rsid w:val="00394571"/>
    <w:rsid w:val="00394C65"/>
    <w:rsid w:val="00394E09"/>
    <w:rsid w:val="00395063"/>
    <w:rsid w:val="00395A08"/>
    <w:rsid w:val="00395DEA"/>
    <w:rsid w:val="00395EB4"/>
    <w:rsid w:val="003960B7"/>
    <w:rsid w:val="00396232"/>
    <w:rsid w:val="00396C97"/>
    <w:rsid w:val="003970C6"/>
    <w:rsid w:val="00397B51"/>
    <w:rsid w:val="003A1021"/>
    <w:rsid w:val="003A1F82"/>
    <w:rsid w:val="003A2240"/>
    <w:rsid w:val="003A2FFD"/>
    <w:rsid w:val="003A318B"/>
    <w:rsid w:val="003A3196"/>
    <w:rsid w:val="003A38E7"/>
    <w:rsid w:val="003A3ACA"/>
    <w:rsid w:val="003A3C81"/>
    <w:rsid w:val="003A3D2E"/>
    <w:rsid w:val="003A4351"/>
    <w:rsid w:val="003A4624"/>
    <w:rsid w:val="003A4E1F"/>
    <w:rsid w:val="003A5E51"/>
    <w:rsid w:val="003A5FBC"/>
    <w:rsid w:val="003A7069"/>
    <w:rsid w:val="003A7198"/>
    <w:rsid w:val="003A7EC7"/>
    <w:rsid w:val="003B0162"/>
    <w:rsid w:val="003B0A91"/>
    <w:rsid w:val="003B0CAD"/>
    <w:rsid w:val="003B0CD4"/>
    <w:rsid w:val="003B1152"/>
    <w:rsid w:val="003B1E5C"/>
    <w:rsid w:val="003B30A4"/>
    <w:rsid w:val="003B3829"/>
    <w:rsid w:val="003B3F3C"/>
    <w:rsid w:val="003B46C6"/>
    <w:rsid w:val="003B49EF"/>
    <w:rsid w:val="003B4BF2"/>
    <w:rsid w:val="003B67A8"/>
    <w:rsid w:val="003B6CF3"/>
    <w:rsid w:val="003B7015"/>
    <w:rsid w:val="003B76EF"/>
    <w:rsid w:val="003B77D5"/>
    <w:rsid w:val="003C02B8"/>
    <w:rsid w:val="003C0CB8"/>
    <w:rsid w:val="003C0FD3"/>
    <w:rsid w:val="003C13F7"/>
    <w:rsid w:val="003C143C"/>
    <w:rsid w:val="003C221F"/>
    <w:rsid w:val="003C2357"/>
    <w:rsid w:val="003C29C8"/>
    <w:rsid w:val="003C3135"/>
    <w:rsid w:val="003C374A"/>
    <w:rsid w:val="003C58FF"/>
    <w:rsid w:val="003C640C"/>
    <w:rsid w:val="003C6DDB"/>
    <w:rsid w:val="003D0D94"/>
    <w:rsid w:val="003D14E0"/>
    <w:rsid w:val="003D190F"/>
    <w:rsid w:val="003D20A2"/>
    <w:rsid w:val="003D2161"/>
    <w:rsid w:val="003D2A34"/>
    <w:rsid w:val="003D3583"/>
    <w:rsid w:val="003D4C55"/>
    <w:rsid w:val="003D57A5"/>
    <w:rsid w:val="003D60CC"/>
    <w:rsid w:val="003D6366"/>
    <w:rsid w:val="003D647B"/>
    <w:rsid w:val="003D78D6"/>
    <w:rsid w:val="003D79E6"/>
    <w:rsid w:val="003D7EDD"/>
    <w:rsid w:val="003E0E37"/>
    <w:rsid w:val="003E16D7"/>
    <w:rsid w:val="003E18EA"/>
    <w:rsid w:val="003E1E3B"/>
    <w:rsid w:val="003E23B7"/>
    <w:rsid w:val="003E30AA"/>
    <w:rsid w:val="003E3568"/>
    <w:rsid w:val="003E36A7"/>
    <w:rsid w:val="003E3907"/>
    <w:rsid w:val="003E39A5"/>
    <w:rsid w:val="003E3CF8"/>
    <w:rsid w:val="003E3D39"/>
    <w:rsid w:val="003E3D3F"/>
    <w:rsid w:val="003E4981"/>
    <w:rsid w:val="003E4BCC"/>
    <w:rsid w:val="003E5FE3"/>
    <w:rsid w:val="003E60EC"/>
    <w:rsid w:val="003E6249"/>
    <w:rsid w:val="003E62B2"/>
    <w:rsid w:val="003E6CD9"/>
    <w:rsid w:val="003E6F06"/>
    <w:rsid w:val="003E74C4"/>
    <w:rsid w:val="003F05E1"/>
    <w:rsid w:val="003F1467"/>
    <w:rsid w:val="003F155B"/>
    <w:rsid w:val="003F1756"/>
    <w:rsid w:val="003F1D0A"/>
    <w:rsid w:val="003F20AF"/>
    <w:rsid w:val="003F2DDD"/>
    <w:rsid w:val="003F2E84"/>
    <w:rsid w:val="003F3037"/>
    <w:rsid w:val="003F31A6"/>
    <w:rsid w:val="003F4131"/>
    <w:rsid w:val="003F44F9"/>
    <w:rsid w:val="003F525A"/>
    <w:rsid w:val="003F525F"/>
    <w:rsid w:val="003F6AF3"/>
    <w:rsid w:val="003F6B90"/>
    <w:rsid w:val="0040066D"/>
    <w:rsid w:val="00400A09"/>
    <w:rsid w:val="00401059"/>
    <w:rsid w:val="004013C6"/>
    <w:rsid w:val="00401BC3"/>
    <w:rsid w:val="00403A46"/>
    <w:rsid w:val="00404576"/>
    <w:rsid w:val="00404EDC"/>
    <w:rsid w:val="00406EAC"/>
    <w:rsid w:val="0040702D"/>
    <w:rsid w:val="0040757D"/>
    <w:rsid w:val="004111F9"/>
    <w:rsid w:val="00411683"/>
    <w:rsid w:val="00412C57"/>
    <w:rsid w:val="00413193"/>
    <w:rsid w:val="0041330E"/>
    <w:rsid w:val="00414AA6"/>
    <w:rsid w:val="004152C8"/>
    <w:rsid w:val="00415B58"/>
    <w:rsid w:val="00415D65"/>
    <w:rsid w:val="00415D95"/>
    <w:rsid w:val="004162E8"/>
    <w:rsid w:val="0041699A"/>
    <w:rsid w:val="00416E3C"/>
    <w:rsid w:val="0041723A"/>
    <w:rsid w:val="00417278"/>
    <w:rsid w:val="00417DAD"/>
    <w:rsid w:val="0042055E"/>
    <w:rsid w:val="004207EB"/>
    <w:rsid w:val="004209CC"/>
    <w:rsid w:val="00420F6B"/>
    <w:rsid w:val="00421D20"/>
    <w:rsid w:val="0042273C"/>
    <w:rsid w:val="00422BB6"/>
    <w:rsid w:val="00422CA8"/>
    <w:rsid w:val="00422E45"/>
    <w:rsid w:val="00423357"/>
    <w:rsid w:val="004242CC"/>
    <w:rsid w:val="004257AE"/>
    <w:rsid w:val="00425D97"/>
    <w:rsid w:val="004274D3"/>
    <w:rsid w:val="0043009D"/>
    <w:rsid w:val="00430260"/>
    <w:rsid w:val="00430792"/>
    <w:rsid w:val="00431CC0"/>
    <w:rsid w:val="00431CE6"/>
    <w:rsid w:val="00432486"/>
    <w:rsid w:val="00432733"/>
    <w:rsid w:val="00432FD5"/>
    <w:rsid w:val="004334A5"/>
    <w:rsid w:val="00434988"/>
    <w:rsid w:val="00434C89"/>
    <w:rsid w:val="0043511B"/>
    <w:rsid w:val="004355D2"/>
    <w:rsid w:val="00437961"/>
    <w:rsid w:val="004405AB"/>
    <w:rsid w:val="00440683"/>
    <w:rsid w:val="0044074E"/>
    <w:rsid w:val="00440765"/>
    <w:rsid w:val="004409FB"/>
    <w:rsid w:val="00440BAD"/>
    <w:rsid w:val="004417B0"/>
    <w:rsid w:val="00441857"/>
    <w:rsid w:val="0044349A"/>
    <w:rsid w:val="0044473E"/>
    <w:rsid w:val="00445876"/>
    <w:rsid w:val="00445AE5"/>
    <w:rsid w:val="004463ED"/>
    <w:rsid w:val="00446747"/>
    <w:rsid w:val="0044693B"/>
    <w:rsid w:val="00446B9E"/>
    <w:rsid w:val="00447543"/>
    <w:rsid w:val="004477DE"/>
    <w:rsid w:val="00447809"/>
    <w:rsid w:val="00451182"/>
    <w:rsid w:val="0045123B"/>
    <w:rsid w:val="00451ACB"/>
    <w:rsid w:val="00451D40"/>
    <w:rsid w:val="004521CD"/>
    <w:rsid w:val="00452B42"/>
    <w:rsid w:val="0045323C"/>
    <w:rsid w:val="004538B1"/>
    <w:rsid w:val="00454482"/>
    <w:rsid w:val="00455EB2"/>
    <w:rsid w:val="00456A3E"/>
    <w:rsid w:val="004574AC"/>
    <w:rsid w:val="004576A3"/>
    <w:rsid w:val="00457915"/>
    <w:rsid w:val="00457A3B"/>
    <w:rsid w:val="00460048"/>
    <w:rsid w:val="00460390"/>
    <w:rsid w:val="004611DA"/>
    <w:rsid w:val="004616EE"/>
    <w:rsid w:val="004618AB"/>
    <w:rsid w:val="00461E69"/>
    <w:rsid w:val="004628BB"/>
    <w:rsid w:val="0046297F"/>
    <w:rsid w:val="00463C8D"/>
    <w:rsid w:val="00464393"/>
    <w:rsid w:val="004646EE"/>
    <w:rsid w:val="004657F1"/>
    <w:rsid w:val="00465B22"/>
    <w:rsid w:val="00466EAF"/>
    <w:rsid w:val="00466F52"/>
    <w:rsid w:val="00467322"/>
    <w:rsid w:val="00470443"/>
    <w:rsid w:val="004717C7"/>
    <w:rsid w:val="00471920"/>
    <w:rsid w:val="00471941"/>
    <w:rsid w:val="00471DBC"/>
    <w:rsid w:val="004723B9"/>
    <w:rsid w:val="00474E23"/>
    <w:rsid w:val="00476302"/>
    <w:rsid w:val="00476AAC"/>
    <w:rsid w:val="00477282"/>
    <w:rsid w:val="00477AD1"/>
    <w:rsid w:val="00477E93"/>
    <w:rsid w:val="0048042D"/>
    <w:rsid w:val="00480C40"/>
    <w:rsid w:val="00481112"/>
    <w:rsid w:val="00482033"/>
    <w:rsid w:val="00483AD3"/>
    <w:rsid w:val="0048467A"/>
    <w:rsid w:val="004847F8"/>
    <w:rsid w:val="00484972"/>
    <w:rsid w:val="00484B05"/>
    <w:rsid w:val="0048507D"/>
    <w:rsid w:val="00485464"/>
    <w:rsid w:val="00485481"/>
    <w:rsid w:val="00485D86"/>
    <w:rsid w:val="00485F0D"/>
    <w:rsid w:val="004861C8"/>
    <w:rsid w:val="004866C1"/>
    <w:rsid w:val="00486DCC"/>
    <w:rsid w:val="00487512"/>
    <w:rsid w:val="00487AB2"/>
    <w:rsid w:val="004905D6"/>
    <w:rsid w:val="004915DF"/>
    <w:rsid w:val="004916DB"/>
    <w:rsid w:val="00491AC4"/>
    <w:rsid w:val="00492465"/>
    <w:rsid w:val="00492801"/>
    <w:rsid w:val="00492A3D"/>
    <w:rsid w:val="0049336D"/>
    <w:rsid w:val="00493939"/>
    <w:rsid w:val="00493AFF"/>
    <w:rsid w:val="00494488"/>
    <w:rsid w:val="0049468E"/>
    <w:rsid w:val="00494948"/>
    <w:rsid w:val="00495475"/>
    <w:rsid w:val="00495ECD"/>
    <w:rsid w:val="00496EC5"/>
    <w:rsid w:val="00497296"/>
    <w:rsid w:val="00497A29"/>
    <w:rsid w:val="00497BD6"/>
    <w:rsid w:val="00497F1C"/>
    <w:rsid w:val="004A0B14"/>
    <w:rsid w:val="004A0B77"/>
    <w:rsid w:val="004A0BCF"/>
    <w:rsid w:val="004A10F5"/>
    <w:rsid w:val="004A1A28"/>
    <w:rsid w:val="004A1F57"/>
    <w:rsid w:val="004A2397"/>
    <w:rsid w:val="004A2842"/>
    <w:rsid w:val="004A3406"/>
    <w:rsid w:val="004A3846"/>
    <w:rsid w:val="004A41FF"/>
    <w:rsid w:val="004A478C"/>
    <w:rsid w:val="004A5019"/>
    <w:rsid w:val="004A5ABC"/>
    <w:rsid w:val="004A75FD"/>
    <w:rsid w:val="004B0A49"/>
    <w:rsid w:val="004B0B0F"/>
    <w:rsid w:val="004B10DB"/>
    <w:rsid w:val="004B23CF"/>
    <w:rsid w:val="004B283B"/>
    <w:rsid w:val="004B2AE0"/>
    <w:rsid w:val="004B2C1D"/>
    <w:rsid w:val="004B2C77"/>
    <w:rsid w:val="004B37CD"/>
    <w:rsid w:val="004B3904"/>
    <w:rsid w:val="004B3BF7"/>
    <w:rsid w:val="004B4682"/>
    <w:rsid w:val="004B4BCF"/>
    <w:rsid w:val="004B4ED9"/>
    <w:rsid w:val="004B5710"/>
    <w:rsid w:val="004B5E00"/>
    <w:rsid w:val="004B642B"/>
    <w:rsid w:val="004B6E92"/>
    <w:rsid w:val="004B75C2"/>
    <w:rsid w:val="004B7B80"/>
    <w:rsid w:val="004B7DBF"/>
    <w:rsid w:val="004B7F0B"/>
    <w:rsid w:val="004C0AB0"/>
    <w:rsid w:val="004C1E59"/>
    <w:rsid w:val="004C2272"/>
    <w:rsid w:val="004C2E65"/>
    <w:rsid w:val="004C38CE"/>
    <w:rsid w:val="004C3DC1"/>
    <w:rsid w:val="004C40ED"/>
    <w:rsid w:val="004C4A0F"/>
    <w:rsid w:val="004C52C7"/>
    <w:rsid w:val="004C5A76"/>
    <w:rsid w:val="004C5F27"/>
    <w:rsid w:val="004C6248"/>
    <w:rsid w:val="004C678A"/>
    <w:rsid w:val="004C6E31"/>
    <w:rsid w:val="004C7A9C"/>
    <w:rsid w:val="004D0792"/>
    <w:rsid w:val="004D07EE"/>
    <w:rsid w:val="004D0F7C"/>
    <w:rsid w:val="004D143E"/>
    <w:rsid w:val="004D335C"/>
    <w:rsid w:val="004D4FD0"/>
    <w:rsid w:val="004D5193"/>
    <w:rsid w:val="004D51CD"/>
    <w:rsid w:val="004D5261"/>
    <w:rsid w:val="004D5A9D"/>
    <w:rsid w:val="004D5C74"/>
    <w:rsid w:val="004D608A"/>
    <w:rsid w:val="004D6DD3"/>
    <w:rsid w:val="004D7222"/>
    <w:rsid w:val="004D722B"/>
    <w:rsid w:val="004E0F46"/>
    <w:rsid w:val="004E265E"/>
    <w:rsid w:val="004E3502"/>
    <w:rsid w:val="004E3BB9"/>
    <w:rsid w:val="004E4E28"/>
    <w:rsid w:val="004E567B"/>
    <w:rsid w:val="004E5946"/>
    <w:rsid w:val="004E5E98"/>
    <w:rsid w:val="004E6135"/>
    <w:rsid w:val="004E6292"/>
    <w:rsid w:val="004E6420"/>
    <w:rsid w:val="004E69B5"/>
    <w:rsid w:val="004E71A8"/>
    <w:rsid w:val="004F04A2"/>
    <w:rsid w:val="004F08D4"/>
    <w:rsid w:val="004F1280"/>
    <w:rsid w:val="004F27E3"/>
    <w:rsid w:val="004F34EF"/>
    <w:rsid w:val="004F35B0"/>
    <w:rsid w:val="004F47DD"/>
    <w:rsid w:val="004F5CB5"/>
    <w:rsid w:val="004F5DDD"/>
    <w:rsid w:val="004F6415"/>
    <w:rsid w:val="004F66CE"/>
    <w:rsid w:val="004F6A52"/>
    <w:rsid w:val="005001DB"/>
    <w:rsid w:val="005002F9"/>
    <w:rsid w:val="005006F4"/>
    <w:rsid w:val="005015DF"/>
    <w:rsid w:val="00501A18"/>
    <w:rsid w:val="00501ACA"/>
    <w:rsid w:val="005025FF"/>
    <w:rsid w:val="005031B1"/>
    <w:rsid w:val="00503211"/>
    <w:rsid w:val="00504ECB"/>
    <w:rsid w:val="00504ECF"/>
    <w:rsid w:val="005054DF"/>
    <w:rsid w:val="00505C47"/>
    <w:rsid w:val="00506992"/>
    <w:rsid w:val="00506D1D"/>
    <w:rsid w:val="005078D4"/>
    <w:rsid w:val="005101B7"/>
    <w:rsid w:val="00511E35"/>
    <w:rsid w:val="00511F49"/>
    <w:rsid w:val="00512696"/>
    <w:rsid w:val="005127AD"/>
    <w:rsid w:val="00513844"/>
    <w:rsid w:val="005147F6"/>
    <w:rsid w:val="005152C0"/>
    <w:rsid w:val="00515379"/>
    <w:rsid w:val="00516150"/>
    <w:rsid w:val="0051615A"/>
    <w:rsid w:val="005163F0"/>
    <w:rsid w:val="0051640B"/>
    <w:rsid w:val="00516BAD"/>
    <w:rsid w:val="00516FEC"/>
    <w:rsid w:val="00517DA3"/>
    <w:rsid w:val="005202B4"/>
    <w:rsid w:val="0052074A"/>
    <w:rsid w:val="00520769"/>
    <w:rsid w:val="00520C4F"/>
    <w:rsid w:val="00522894"/>
    <w:rsid w:val="00522B5F"/>
    <w:rsid w:val="00522BA6"/>
    <w:rsid w:val="005238D3"/>
    <w:rsid w:val="005244DC"/>
    <w:rsid w:val="005247AE"/>
    <w:rsid w:val="00524C6B"/>
    <w:rsid w:val="00524DCE"/>
    <w:rsid w:val="0052634D"/>
    <w:rsid w:val="0052640A"/>
    <w:rsid w:val="00527199"/>
    <w:rsid w:val="0052730E"/>
    <w:rsid w:val="00527C35"/>
    <w:rsid w:val="0053066C"/>
    <w:rsid w:val="00530C88"/>
    <w:rsid w:val="0053136E"/>
    <w:rsid w:val="0053154B"/>
    <w:rsid w:val="00531637"/>
    <w:rsid w:val="00531F40"/>
    <w:rsid w:val="00533EFA"/>
    <w:rsid w:val="0053490D"/>
    <w:rsid w:val="00534A48"/>
    <w:rsid w:val="00534B73"/>
    <w:rsid w:val="0053558D"/>
    <w:rsid w:val="005362CE"/>
    <w:rsid w:val="005365E1"/>
    <w:rsid w:val="005365E2"/>
    <w:rsid w:val="00537246"/>
    <w:rsid w:val="005372A8"/>
    <w:rsid w:val="0054058C"/>
    <w:rsid w:val="005417F5"/>
    <w:rsid w:val="00542300"/>
    <w:rsid w:val="005437A5"/>
    <w:rsid w:val="00543CD0"/>
    <w:rsid w:val="00544902"/>
    <w:rsid w:val="005449F6"/>
    <w:rsid w:val="00544A46"/>
    <w:rsid w:val="00544ABB"/>
    <w:rsid w:val="00544E38"/>
    <w:rsid w:val="00544FAD"/>
    <w:rsid w:val="005451F3"/>
    <w:rsid w:val="00545258"/>
    <w:rsid w:val="0054546A"/>
    <w:rsid w:val="00545DE4"/>
    <w:rsid w:val="00546301"/>
    <w:rsid w:val="005466EF"/>
    <w:rsid w:val="005468B3"/>
    <w:rsid w:val="005471EE"/>
    <w:rsid w:val="00547E3F"/>
    <w:rsid w:val="0055077C"/>
    <w:rsid w:val="00551427"/>
    <w:rsid w:val="00551A6A"/>
    <w:rsid w:val="00552AF4"/>
    <w:rsid w:val="00552C44"/>
    <w:rsid w:val="0055330A"/>
    <w:rsid w:val="00553658"/>
    <w:rsid w:val="0055464D"/>
    <w:rsid w:val="00554AE5"/>
    <w:rsid w:val="00554D5D"/>
    <w:rsid w:val="0055522B"/>
    <w:rsid w:val="00555567"/>
    <w:rsid w:val="005557EB"/>
    <w:rsid w:val="00556954"/>
    <w:rsid w:val="00556D91"/>
    <w:rsid w:val="00557805"/>
    <w:rsid w:val="005578E0"/>
    <w:rsid w:val="00560289"/>
    <w:rsid w:val="0056058F"/>
    <w:rsid w:val="00560858"/>
    <w:rsid w:val="00561851"/>
    <w:rsid w:val="00561BF7"/>
    <w:rsid w:val="00561CDC"/>
    <w:rsid w:val="00562308"/>
    <w:rsid w:val="00562843"/>
    <w:rsid w:val="00563BD6"/>
    <w:rsid w:val="00563C00"/>
    <w:rsid w:val="00563C2B"/>
    <w:rsid w:val="00564583"/>
    <w:rsid w:val="005647B6"/>
    <w:rsid w:val="00564A07"/>
    <w:rsid w:val="00564F3E"/>
    <w:rsid w:val="00565452"/>
    <w:rsid w:val="0056558A"/>
    <w:rsid w:val="005655FA"/>
    <w:rsid w:val="00565D40"/>
    <w:rsid w:val="005660DA"/>
    <w:rsid w:val="005664C8"/>
    <w:rsid w:val="0056666E"/>
    <w:rsid w:val="00566B24"/>
    <w:rsid w:val="0056726D"/>
    <w:rsid w:val="0056776D"/>
    <w:rsid w:val="005677F5"/>
    <w:rsid w:val="00567C54"/>
    <w:rsid w:val="0057094F"/>
    <w:rsid w:val="0057109B"/>
    <w:rsid w:val="00571AC1"/>
    <w:rsid w:val="00571B55"/>
    <w:rsid w:val="00571FC5"/>
    <w:rsid w:val="0057232D"/>
    <w:rsid w:val="005727C1"/>
    <w:rsid w:val="00572989"/>
    <w:rsid w:val="0057320A"/>
    <w:rsid w:val="005739E1"/>
    <w:rsid w:val="0057474D"/>
    <w:rsid w:val="00574A7C"/>
    <w:rsid w:val="00574B38"/>
    <w:rsid w:val="00574CC7"/>
    <w:rsid w:val="00574F44"/>
    <w:rsid w:val="0057565E"/>
    <w:rsid w:val="005772C8"/>
    <w:rsid w:val="00577D5C"/>
    <w:rsid w:val="00580456"/>
    <w:rsid w:val="00580C28"/>
    <w:rsid w:val="00581706"/>
    <w:rsid w:val="0058224B"/>
    <w:rsid w:val="005825EB"/>
    <w:rsid w:val="00582F3B"/>
    <w:rsid w:val="0058315F"/>
    <w:rsid w:val="00584153"/>
    <w:rsid w:val="00584337"/>
    <w:rsid w:val="005844C5"/>
    <w:rsid w:val="0058657A"/>
    <w:rsid w:val="005865C5"/>
    <w:rsid w:val="00586D5B"/>
    <w:rsid w:val="00586D71"/>
    <w:rsid w:val="00587279"/>
    <w:rsid w:val="0058772C"/>
    <w:rsid w:val="0058790C"/>
    <w:rsid w:val="00587CA7"/>
    <w:rsid w:val="00587D1C"/>
    <w:rsid w:val="005903CA"/>
    <w:rsid w:val="00590623"/>
    <w:rsid w:val="00590B6A"/>
    <w:rsid w:val="00590BFB"/>
    <w:rsid w:val="005918C2"/>
    <w:rsid w:val="005922FC"/>
    <w:rsid w:val="00592318"/>
    <w:rsid w:val="00592895"/>
    <w:rsid w:val="00593BC1"/>
    <w:rsid w:val="00594697"/>
    <w:rsid w:val="00594D16"/>
    <w:rsid w:val="00594E6E"/>
    <w:rsid w:val="005955A7"/>
    <w:rsid w:val="0059589B"/>
    <w:rsid w:val="005959B6"/>
    <w:rsid w:val="00595C3A"/>
    <w:rsid w:val="00596CF1"/>
    <w:rsid w:val="00596E9C"/>
    <w:rsid w:val="005971C8"/>
    <w:rsid w:val="00597283"/>
    <w:rsid w:val="005A03BC"/>
    <w:rsid w:val="005A04B1"/>
    <w:rsid w:val="005A06C6"/>
    <w:rsid w:val="005A07DB"/>
    <w:rsid w:val="005A0926"/>
    <w:rsid w:val="005A163E"/>
    <w:rsid w:val="005A2260"/>
    <w:rsid w:val="005A320E"/>
    <w:rsid w:val="005A375B"/>
    <w:rsid w:val="005A376B"/>
    <w:rsid w:val="005A405F"/>
    <w:rsid w:val="005A460D"/>
    <w:rsid w:val="005A4718"/>
    <w:rsid w:val="005A52CD"/>
    <w:rsid w:val="005A60E8"/>
    <w:rsid w:val="005A79C2"/>
    <w:rsid w:val="005B00D6"/>
    <w:rsid w:val="005B00E3"/>
    <w:rsid w:val="005B05C9"/>
    <w:rsid w:val="005B08F8"/>
    <w:rsid w:val="005B1172"/>
    <w:rsid w:val="005B19AA"/>
    <w:rsid w:val="005B290C"/>
    <w:rsid w:val="005B3325"/>
    <w:rsid w:val="005B3413"/>
    <w:rsid w:val="005B3BCE"/>
    <w:rsid w:val="005B3C17"/>
    <w:rsid w:val="005B4102"/>
    <w:rsid w:val="005B5141"/>
    <w:rsid w:val="005B60F8"/>
    <w:rsid w:val="005B6D9D"/>
    <w:rsid w:val="005B7649"/>
    <w:rsid w:val="005B7FC6"/>
    <w:rsid w:val="005C0AA2"/>
    <w:rsid w:val="005C1178"/>
    <w:rsid w:val="005C18AF"/>
    <w:rsid w:val="005C1E38"/>
    <w:rsid w:val="005C21C1"/>
    <w:rsid w:val="005C2369"/>
    <w:rsid w:val="005C27B9"/>
    <w:rsid w:val="005C2CEE"/>
    <w:rsid w:val="005C3494"/>
    <w:rsid w:val="005C3A38"/>
    <w:rsid w:val="005C4622"/>
    <w:rsid w:val="005C50E2"/>
    <w:rsid w:val="005C51D5"/>
    <w:rsid w:val="005C548A"/>
    <w:rsid w:val="005C5498"/>
    <w:rsid w:val="005C5613"/>
    <w:rsid w:val="005C5E4C"/>
    <w:rsid w:val="005C60F7"/>
    <w:rsid w:val="005C6637"/>
    <w:rsid w:val="005C6BEE"/>
    <w:rsid w:val="005C6C48"/>
    <w:rsid w:val="005C6D98"/>
    <w:rsid w:val="005C6EF0"/>
    <w:rsid w:val="005C7194"/>
    <w:rsid w:val="005C7447"/>
    <w:rsid w:val="005C77CA"/>
    <w:rsid w:val="005D029A"/>
    <w:rsid w:val="005D0D1D"/>
    <w:rsid w:val="005D0F36"/>
    <w:rsid w:val="005D1448"/>
    <w:rsid w:val="005D1D0F"/>
    <w:rsid w:val="005D2402"/>
    <w:rsid w:val="005D26EF"/>
    <w:rsid w:val="005D28DE"/>
    <w:rsid w:val="005D2E26"/>
    <w:rsid w:val="005D46FA"/>
    <w:rsid w:val="005D479A"/>
    <w:rsid w:val="005D549C"/>
    <w:rsid w:val="005D5956"/>
    <w:rsid w:val="005D648C"/>
    <w:rsid w:val="005D69FA"/>
    <w:rsid w:val="005D747F"/>
    <w:rsid w:val="005D7635"/>
    <w:rsid w:val="005D7F34"/>
    <w:rsid w:val="005E023E"/>
    <w:rsid w:val="005E0A38"/>
    <w:rsid w:val="005E1B76"/>
    <w:rsid w:val="005E1F07"/>
    <w:rsid w:val="005E2392"/>
    <w:rsid w:val="005E25CB"/>
    <w:rsid w:val="005E28D8"/>
    <w:rsid w:val="005E2E29"/>
    <w:rsid w:val="005E33A6"/>
    <w:rsid w:val="005E3B70"/>
    <w:rsid w:val="005E412C"/>
    <w:rsid w:val="005E420D"/>
    <w:rsid w:val="005E51F4"/>
    <w:rsid w:val="005E6373"/>
    <w:rsid w:val="005E64ED"/>
    <w:rsid w:val="005E6908"/>
    <w:rsid w:val="005E6946"/>
    <w:rsid w:val="005E6ACE"/>
    <w:rsid w:val="005E6CE6"/>
    <w:rsid w:val="005E7ADC"/>
    <w:rsid w:val="005F054D"/>
    <w:rsid w:val="005F0578"/>
    <w:rsid w:val="005F0A58"/>
    <w:rsid w:val="005F0F10"/>
    <w:rsid w:val="005F2708"/>
    <w:rsid w:val="005F36E8"/>
    <w:rsid w:val="005F3C3B"/>
    <w:rsid w:val="005F4118"/>
    <w:rsid w:val="005F455E"/>
    <w:rsid w:val="005F4575"/>
    <w:rsid w:val="005F45E4"/>
    <w:rsid w:val="005F5A52"/>
    <w:rsid w:val="005F5D25"/>
    <w:rsid w:val="005F6CCC"/>
    <w:rsid w:val="005F7511"/>
    <w:rsid w:val="0060021F"/>
    <w:rsid w:val="006002C8"/>
    <w:rsid w:val="0060033D"/>
    <w:rsid w:val="0060066E"/>
    <w:rsid w:val="00600CEB"/>
    <w:rsid w:val="00600F09"/>
    <w:rsid w:val="0060169E"/>
    <w:rsid w:val="0060176E"/>
    <w:rsid w:val="00601D06"/>
    <w:rsid w:val="006028A2"/>
    <w:rsid w:val="00602B8F"/>
    <w:rsid w:val="0060303C"/>
    <w:rsid w:val="0060330D"/>
    <w:rsid w:val="0060341F"/>
    <w:rsid w:val="00604360"/>
    <w:rsid w:val="00604796"/>
    <w:rsid w:val="00604AD9"/>
    <w:rsid w:val="00604D63"/>
    <w:rsid w:val="00605E48"/>
    <w:rsid w:val="006061F4"/>
    <w:rsid w:val="006069A7"/>
    <w:rsid w:val="006077CD"/>
    <w:rsid w:val="00607C95"/>
    <w:rsid w:val="006104C5"/>
    <w:rsid w:val="00612BA5"/>
    <w:rsid w:val="00613619"/>
    <w:rsid w:val="00613E03"/>
    <w:rsid w:val="00614128"/>
    <w:rsid w:val="00614474"/>
    <w:rsid w:val="00614B63"/>
    <w:rsid w:val="00614C55"/>
    <w:rsid w:val="00616383"/>
    <w:rsid w:val="00616441"/>
    <w:rsid w:val="00616BAB"/>
    <w:rsid w:val="00616BE5"/>
    <w:rsid w:val="00617063"/>
    <w:rsid w:val="00617429"/>
    <w:rsid w:val="00620424"/>
    <w:rsid w:val="00620D17"/>
    <w:rsid w:val="00621438"/>
    <w:rsid w:val="006215EF"/>
    <w:rsid w:val="006216EF"/>
    <w:rsid w:val="00621C79"/>
    <w:rsid w:val="006227A0"/>
    <w:rsid w:val="006229E5"/>
    <w:rsid w:val="00622F42"/>
    <w:rsid w:val="00622F6A"/>
    <w:rsid w:val="006237A6"/>
    <w:rsid w:val="00623823"/>
    <w:rsid w:val="00624FCB"/>
    <w:rsid w:val="00625A44"/>
    <w:rsid w:val="00626060"/>
    <w:rsid w:val="006266FD"/>
    <w:rsid w:val="00626F77"/>
    <w:rsid w:val="006270E2"/>
    <w:rsid w:val="00630375"/>
    <w:rsid w:val="00631EE5"/>
    <w:rsid w:val="00632037"/>
    <w:rsid w:val="0063247E"/>
    <w:rsid w:val="00632AC0"/>
    <w:rsid w:val="00632B7A"/>
    <w:rsid w:val="006343A2"/>
    <w:rsid w:val="006361E9"/>
    <w:rsid w:val="006363CD"/>
    <w:rsid w:val="00636514"/>
    <w:rsid w:val="00636751"/>
    <w:rsid w:val="006368B1"/>
    <w:rsid w:val="00636C19"/>
    <w:rsid w:val="006372A9"/>
    <w:rsid w:val="00637C56"/>
    <w:rsid w:val="00637DFE"/>
    <w:rsid w:val="0064000A"/>
    <w:rsid w:val="006407D3"/>
    <w:rsid w:val="00640B4D"/>
    <w:rsid w:val="006410CD"/>
    <w:rsid w:val="006414E1"/>
    <w:rsid w:val="006416E7"/>
    <w:rsid w:val="00641D9B"/>
    <w:rsid w:val="0064346B"/>
    <w:rsid w:val="006436B9"/>
    <w:rsid w:val="006437F1"/>
    <w:rsid w:val="00643EA7"/>
    <w:rsid w:val="0064429B"/>
    <w:rsid w:val="00644518"/>
    <w:rsid w:val="00644606"/>
    <w:rsid w:val="0064462C"/>
    <w:rsid w:val="006446CD"/>
    <w:rsid w:val="0064537D"/>
    <w:rsid w:val="006454FE"/>
    <w:rsid w:val="00645998"/>
    <w:rsid w:val="00645BEA"/>
    <w:rsid w:val="00646099"/>
    <w:rsid w:val="006461F4"/>
    <w:rsid w:val="006466DE"/>
    <w:rsid w:val="00646AD2"/>
    <w:rsid w:val="00646DD8"/>
    <w:rsid w:val="00647238"/>
    <w:rsid w:val="00647C2F"/>
    <w:rsid w:val="006507F7"/>
    <w:rsid w:val="00650EB6"/>
    <w:rsid w:val="006512C8"/>
    <w:rsid w:val="00652AC3"/>
    <w:rsid w:val="00652EFA"/>
    <w:rsid w:val="006533F0"/>
    <w:rsid w:val="006542F2"/>
    <w:rsid w:val="00654797"/>
    <w:rsid w:val="006552FD"/>
    <w:rsid w:val="006559E1"/>
    <w:rsid w:val="00656E01"/>
    <w:rsid w:val="00657908"/>
    <w:rsid w:val="00657F44"/>
    <w:rsid w:val="0066000F"/>
    <w:rsid w:val="00660A4B"/>
    <w:rsid w:val="00660A98"/>
    <w:rsid w:val="0066180D"/>
    <w:rsid w:val="00661B81"/>
    <w:rsid w:val="0066242A"/>
    <w:rsid w:val="00662EE9"/>
    <w:rsid w:val="00663084"/>
    <w:rsid w:val="00663202"/>
    <w:rsid w:val="00663228"/>
    <w:rsid w:val="006632A7"/>
    <w:rsid w:val="006637F7"/>
    <w:rsid w:val="006647A6"/>
    <w:rsid w:val="006647C2"/>
    <w:rsid w:val="006649C2"/>
    <w:rsid w:val="00664AEB"/>
    <w:rsid w:val="0066510D"/>
    <w:rsid w:val="006657E3"/>
    <w:rsid w:val="00665AAD"/>
    <w:rsid w:val="00666728"/>
    <w:rsid w:val="00667023"/>
    <w:rsid w:val="006673A2"/>
    <w:rsid w:val="006674AB"/>
    <w:rsid w:val="00670116"/>
    <w:rsid w:val="006702BB"/>
    <w:rsid w:val="00670404"/>
    <w:rsid w:val="00670EF5"/>
    <w:rsid w:val="00671A89"/>
    <w:rsid w:val="00671DDC"/>
    <w:rsid w:val="006722A0"/>
    <w:rsid w:val="00672940"/>
    <w:rsid w:val="00673150"/>
    <w:rsid w:val="00673955"/>
    <w:rsid w:val="00673D24"/>
    <w:rsid w:val="00673EEB"/>
    <w:rsid w:val="00674436"/>
    <w:rsid w:val="00674443"/>
    <w:rsid w:val="006751C9"/>
    <w:rsid w:val="00675237"/>
    <w:rsid w:val="0067528E"/>
    <w:rsid w:val="00675BB2"/>
    <w:rsid w:val="00676336"/>
    <w:rsid w:val="00676468"/>
    <w:rsid w:val="00676B3B"/>
    <w:rsid w:val="006773D6"/>
    <w:rsid w:val="00677857"/>
    <w:rsid w:val="00677A1F"/>
    <w:rsid w:val="006804F3"/>
    <w:rsid w:val="0068068F"/>
    <w:rsid w:val="00680794"/>
    <w:rsid w:val="00680C3A"/>
    <w:rsid w:val="00680F30"/>
    <w:rsid w:val="006814D2"/>
    <w:rsid w:val="006819A1"/>
    <w:rsid w:val="00681F3D"/>
    <w:rsid w:val="006821C5"/>
    <w:rsid w:val="00683035"/>
    <w:rsid w:val="006833DB"/>
    <w:rsid w:val="0068386B"/>
    <w:rsid w:val="006839DE"/>
    <w:rsid w:val="00683ADA"/>
    <w:rsid w:val="00683CD7"/>
    <w:rsid w:val="00684DCB"/>
    <w:rsid w:val="006855A8"/>
    <w:rsid w:val="00685728"/>
    <w:rsid w:val="006866D0"/>
    <w:rsid w:val="006866F1"/>
    <w:rsid w:val="006867D3"/>
    <w:rsid w:val="00686BAF"/>
    <w:rsid w:val="00686CC0"/>
    <w:rsid w:val="006872E2"/>
    <w:rsid w:val="0068775D"/>
    <w:rsid w:val="0068789E"/>
    <w:rsid w:val="00687F8A"/>
    <w:rsid w:val="006900C1"/>
    <w:rsid w:val="006903CF"/>
    <w:rsid w:val="0069060E"/>
    <w:rsid w:val="006912BA"/>
    <w:rsid w:val="0069136A"/>
    <w:rsid w:val="00691779"/>
    <w:rsid w:val="00691EDF"/>
    <w:rsid w:val="00691F1C"/>
    <w:rsid w:val="00694854"/>
    <w:rsid w:val="0069490F"/>
    <w:rsid w:val="00694C73"/>
    <w:rsid w:val="00695177"/>
    <w:rsid w:val="00696226"/>
    <w:rsid w:val="0069625F"/>
    <w:rsid w:val="00696E38"/>
    <w:rsid w:val="00697574"/>
    <w:rsid w:val="006A030F"/>
    <w:rsid w:val="006A0837"/>
    <w:rsid w:val="006A0A24"/>
    <w:rsid w:val="006A0CBE"/>
    <w:rsid w:val="006A1589"/>
    <w:rsid w:val="006A27B1"/>
    <w:rsid w:val="006A2ED2"/>
    <w:rsid w:val="006A3AEC"/>
    <w:rsid w:val="006A3D2A"/>
    <w:rsid w:val="006A5C3A"/>
    <w:rsid w:val="006A5E76"/>
    <w:rsid w:val="006A73CD"/>
    <w:rsid w:val="006A7ADD"/>
    <w:rsid w:val="006B055D"/>
    <w:rsid w:val="006B0C1D"/>
    <w:rsid w:val="006B0C45"/>
    <w:rsid w:val="006B2B20"/>
    <w:rsid w:val="006B32C5"/>
    <w:rsid w:val="006B360C"/>
    <w:rsid w:val="006B5924"/>
    <w:rsid w:val="006B5B99"/>
    <w:rsid w:val="006B63C0"/>
    <w:rsid w:val="006B69B4"/>
    <w:rsid w:val="006B72F0"/>
    <w:rsid w:val="006B752C"/>
    <w:rsid w:val="006B78A9"/>
    <w:rsid w:val="006C01BB"/>
    <w:rsid w:val="006C0E56"/>
    <w:rsid w:val="006C1372"/>
    <w:rsid w:val="006C1843"/>
    <w:rsid w:val="006C276F"/>
    <w:rsid w:val="006C28E9"/>
    <w:rsid w:val="006C2E6E"/>
    <w:rsid w:val="006C3FE0"/>
    <w:rsid w:val="006C47A8"/>
    <w:rsid w:val="006C4911"/>
    <w:rsid w:val="006C5E14"/>
    <w:rsid w:val="006C63FC"/>
    <w:rsid w:val="006C67A7"/>
    <w:rsid w:val="006C6CEB"/>
    <w:rsid w:val="006C6D74"/>
    <w:rsid w:val="006C7E6A"/>
    <w:rsid w:val="006D0305"/>
    <w:rsid w:val="006D0575"/>
    <w:rsid w:val="006D081E"/>
    <w:rsid w:val="006D0F78"/>
    <w:rsid w:val="006D169F"/>
    <w:rsid w:val="006D1E49"/>
    <w:rsid w:val="006D209B"/>
    <w:rsid w:val="006D21F8"/>
    <w:rsid w:val="006D226A"/>
    <w:rsid w:val="006D23C4"/>
    <w:rsid w:val="006D360C"/>
    <w:rsid w:val="006D393F"/>
    <w:rsid w:val="006D3E2A"/>
    <w:rsid w:val="006D4CEE"/>
    <w:rsid w:val="006D533A"/>
    <w:rsid w:val="006D565F"/>
    <w:rsid w:val="006D71F6"/>
    <w:rsid w:val="006D79DA"/>
    <w:rsid w:val="006D7A49"/>
    <w:rsid w:val="006E0786"/>
    <w:rsid w:val="006E0E54"/>
    <w:rsid w:val="006E0F86"/>
    <w:rsid w:val="006E2018"/>
    <w:rsid w:val="006E2695"/>
    <w:rsid w:val="006E26EA"/>
    <w:rsid w:val="006E27AB"/>
    <w:rsid w:val="006E29E0"/>
    <w:rsid w:val="006E2CE3"/>
    <w:rsid w:val="006E33B8"/>
    <w:rsid w:val="006E50EE"/>
    <w:rsid w:val="006E5326"/>
    <w:rsid w:val="006E68D9"/>
    <w:rsid w:val="006E78D0"/>
    <w:rsid w:val="006F024F"/>
    <w:rsid w:val="006F071E"/>
    <w:rsid w:val="006F129F"/>
    <w:rsid w:val="006F1A46"/>
    <w:rsid w:val="006F24E2"/>
    <w:rsid w:val="006F2BDC"/>
    <w:rsid w:val="006F2CD4"/>
    <w:rsid w:val="006F33AB"/>
    <w:rsid w:val="006F3769"/>
    <w:rsid w:val="006F38F7"/>
    <w:rsid w:val="006F3B61"/>
    <w:rsid w:val="006F40B1"/>
    <w:rsid w:val="006F4BC5"/>
    <w:rsid w:val="006F4C3C"/>
    <w:rsid w:val="006F4F65"/>
    <w:rsid w:val="006F5646"/>
    <w:rsid w:val="006F58F7"/>
    <w:rsid w:val="006F5F34"/>
    <w:rsid w:val="006F6282"/>
    <w:rsid w:val="006F633A"/>
    <w:rsid w:val="006F6ED6"/>
    <w:rsid w:val="006F73DC"/>
    <w:rsid w:val="006F73F0"/>
    <w:rsid w:val="006F7FA0"/>
    <w:rsid w:val="00700DDB"/>
    <w:rsid w:val="007017DA"/>
    <w:rsid w:val="007021B9"/>
    <w:rsid w:val="007025E1"/>
    <w:rsid w:val="00702948"/>
    <w:rsid w:val="00703670"/>
    <w:rsid w:val="00703A19"/>
    <w:rsid w:val="00703B2F"/>
    <w:rsid w:val="00704452"/>
    <w:rsid w:val="00704ED4"/>
    <w:rsid w:val="00705E0C"/>
    <w:rsid w:val="00706A66"/>
    <w:rsid w:val="00706DD7"/>
    <w:rsid w:val="0071050F"/>
    <w:rsid w:val="0071054C"/>
    <w:rsid w:val="007106BE"/>
    <w:rsid w:val="00711637"/>
    <w:rsid w:val="007120E4"/>
    <w:rsid w:val="00712BDA"/>
    <w:rsid w:val="00713C56"/>
    <w:rsid w:val="00713C5B"/>
    <w:rsid w:val="00713DC4"/>
    <w:rsid w:val="00713E1D"/>
    <w:rsid w:val="00714556"/>
    <w:rsid w:val="00714861"/>
    <w:rsid w:val="00715389"/>
    <w:rsid w:val="00716B2A"/>
    <w:rsid w:val="00717434"/>
    <w:rsid w:val="0071757D"/>
    <w:rsid w:val="00721FFE"/>
    <w:rsid w:val="007225FD"/>
    <w:rsid w:val="0072292B"/>
    <w:rsid w:val="00722C88"/>
    <w:rsid w:val="00723611"/>
    <w:rsid w:val="00723644"/>
    <w:rsid w:val="007240F7"/>
    <w:rsid w:val="007241C1"/>
    <w:rsid w:val="0072429C"/>
    <w:rsid w:val="00724330"/>
    <w:rsid w:val="00724B1C"/>
    <w:rsid w:val="00725199"/>
    <w:rsid w:val="00725BA0"/>
    <w:rsid w:val="00725F31"/>
    <w:rsid w:val="00726D42"/>
    <w:rsid w:val="0072753B"/>
    <w:rsid w:val="00730F64"/>
    <w:rsid w:val="007316E7"/>
    <w:rsid w:val="007322DB"/>
    <w:rsid w:val="00732650"/>
    <w:rsid w:val="00732684"/>
    <w:rsid w:val="007326D6"/>
    <w:rsid w:val="00732DA2"/>
    <w:rsid w:val="00733448"/>
    <w:rsid w:val="0073367B"/>
    <w:rsid w:val="00733743"/>
    <w:rsid w:val="00733B58"/>
    <w:rsid w:val="00734FF5"/>
    <w:rsid w:val="00735E42"/>
    <w:rsid w:val="00736207"/>
    <w:rsid w:val="00736312"/>
    <w:rsid w:val="007367FD"/>
    <w:rsid w:val="00736831"/>
    <w:rsid w:val="0073719D"/>
    <w:rsid w:val="00737ECE"/>
    <w:rsid w:val="00740D44"/>
    <w:rsid w:val="00741E8A"/>
    <w:rsid w:val="00743159"/>
    <w:rsid w:val="007437A5"/>
    <w:rsid w:val="00743B4C"/>
    <w:rsid w:val="00744A2D"/>
    <w:rsid w:val="00745F6E"/>
    <w:rsid w:val="007467F6"/>
    <w:rsid w:val="00746A0B"/>
    <w:rsid w:val="007471BB"/>
    <w:rsid w:val="007502CB"/>
    <w:rsid w:val="007502EB"/>
    <w:rsid w:val="007503BD"/>
    <w:rsid w:val="00750DAF"/>
    <w:rsid w:val="00750F17"/>
    <w:rsid w:val="00751E09"/>
    <w:rsid w:val="007520C6"/>
    <w:rsid w:val="007523A6"/>
    <w:rsid w:val="00752613"/>
    <w:rsid w:val="00753089"/>
    <w:rsid w:val="00753739"/>
    <w:rsid w:val="007538EA"/>
    <w:rsid w:val="00753C05"/>
    <w:rsid w:val="0075430C"/>
    <w:rsid w:val="0075475D"/>
    <w:rsid w:val="00754846"/>
    <w:rsid w:val="00755D7C"/>
    <w:rsid w:val="00756884"/>
    <w:rsid w:val="00756BCA"/>
    <w:rsid w:val="00757722"/>
    <w:rsid w:val="007601ED"/>
    <w:rsid w:val="00760A28"/>
    <w:rsid w:val="007614ED"/>
    <w:rsid w:val="0076168E"/>
    <w:rsid w:val="00761823"/>
    <w:rsid w:val="0076203F"/>
    <w:rsid w:val="00762676"/>
    <w:rsid w:val="00762B8D"/>
    <w:rsid w:val="00763061"/>
    <w:rsid w:val="00764C68"/>
    <w:rsid w:val="00765742"/>
    <w:rsid w:val="007657E0"/>
    <w:rsid w:val="007658C5"/>
    <w:rsid w:val="00765A16"/>
    <w:rsid w:val="0076662A"/>
    <w:rsid w:val="00766640"/>
    <w:rsid w:val="00767DEE"/>
    <w:rsid w:val="007706CE"/>
    <w:rsid w:val="00770AAD"/>
    <w:rsid w:val="00771389"/>
    <w:rsid w:val="00771D65"/>
    <w:rsid w:val="00772251"/>
    <w:rsid w:val="00772651"/>
    <w:rsid w:val="00772853"/>
    <w:rsid w:val="00772A98"/>
    <w:rsid w:val="007749B1"/>
    <w:rsid w:val="0077504F"/>
    <w:rsid w:val="007759FE"/>
    <w:rsid w:val="00775CDD"/>
    <w:rsid w:val="007762AC"/>
    <w:rsid w:val="00776613"/>
    <w:rsid w:val="007766C7"/>
    <w:rsid w:val="00780705"/>
    <w:rsid w:val="007811C3"/>
    <w:rsid w:val="00783322"/>
    <w:rsid w:val="00783741"/>
    <w:rsid w:val="007839A5"/>
    <w:rsid w:val="00783CE6"/>
    <w:rsid w:val="007840E5"/>
    <w:rsid w:val="007841D3"/>
    <w:rsid w:val="00784962"/>
    <w:rsid w:val="00784BEE"/>
    <w:rsid w:val="00785CE7"/>
    <w:rsid w:val="00786FAE"/>
    <w:rsid w:val="007871A1"/>
    <w:rsid w:val="007871D1"/>
    <w:rsid w:val="00787452"/>
    <w:rsid w:val="00787679"/>
    <w:rsid w:val="0078780A"/>
    <w:rsid w:val="00787B15"/>
    <w:rsid w:val="00790C11"/>
    <w:rsid w:val="00791789"/>
    <w:rsid w:val="00791C87"/>
    <w:rsid w:val="00792100"/>
    <w:rsid w:val="00793638"/>
    <w:rsid w:val="00793773"/>
    <w:rsid w:val="00793A06"/>
    <w:rsid w:val="007943D8"/>
    <w:rsid w:val="00794496"/>
    <w:rsid w:val="00795207"/>
    <w:rsid w:val="00795C3D"/>
    <w:rsid w:val="00796153"/>
    <w:rsid w:val="007973F9"/>
    <w:rsid w:val="00797BDA"/>
    <w:rsid w:val="00797DD9"/>
    <w:rsid w:val="007A0902"/>
    <w:rsid w:val="007A1D89"/>
    <w:rsid w:val="007A1E4E"/>
    <w:rsid w:val="007A2589"/>
    <w:rsid w:val="007A2E94"/>
    <w:rsid w:val="007A2F5D"/>
    <w:rsid w:val="007A325A"/>
    <w:rsid w:val="007A4250"/>
    <w:rsid w:val="007A45CA"/>
    <w:rsid w:val="007A4AAD"/>
    <w:rsid w:val="007A4C49"/>
    <w:rsid w:val="007A5AE3"/>
    <w:rsid w:val="007A5BC3"/>
    <w:rsid w:val="007A6B8F"/>
    <w:rsid w:val="007A7030"/>
    <w:rsid w:val="007A767F"/>
    <w:rsid w:val="007A76D8"/>
    <w:rsid w:val="007B00F5"/>
    <w:rsid w:val="007B032D"/>
    <w:rsid w:val="007B037A"/>
    <w:rsid w:val="007B057A"/>
    <w:rsid w:val="007B0F10"/>
    <w:rsid w:val="007B1659"/>
    <w:rsid w:val="007B1BA3"/>
    <w:rsid w:val="007B1D77"/>
    <w:rsid w:val="007B22EE"/>
    <w:rsid w:val="007B2612"/>
    <w:rsid w:val="007B28F2"/>
    <w:rsid w:val="007B296B"/>
    <w:rsid w:val="007B2ECA"/>
    <w:rsid w:val="007B3531"/>
    <w:rsid w:val="007B3FF9"/>
    <w:rsid w:val="007B4DD4"/>
    <w:rsid w:val="007B4E9A"/>
    <w:rsid w:val="007B555F"/>
    <w:rsid w:val="007B6A8F"/>
    <w:rsid w:val="007B7923"/>
    <w:rsid w:val="007B7972"/>
    <w:rsid w:val="007C0067"/>
    <w:rsid w:val="007C0A45"/>
    <w:rsid w:val="007C0BCE"/>
    <w:rsid w:val="007C0CCA"/>
    <w:rsid w:val="007C11C5"/>
    <w:rsid w:val="007C153B"/>
    <w:rsid w:val="007C264F"/>
    <w:rsid w:val="007C2D31"/>
    <w:rsid w:val="007C2D47"/>
    <w:rsid w:val="007C2F6B"/>
    <w:rsid w:val="007C41B3"/>
    <w:rsid w:val="007C42B5"/>
    <w:rsid w:val="007C48FB"/>
    <w:rsid w:val="007C5614"/>
    <w:rsid w:val="007C5BC3"/>
    <w:rsid w:val="007C6080"/>
    <w:rsid w:val="007C66DF"/>
    <w:rsid w:val="007C6C1A"/>
    <w:rsid w:val="007D0002"/>
    <w:rsid w:val="007D036F"/>
    <w:rsid w:val="007D0371"/>
    <w:rsid w:val="007D046D"/>
    <w:rsid w:val="007D06CD"/>
    <w:rsid w:val="007D206E"/>
    <w:rsid w:val="007D47A1"/>
    <w:rsid w:val="007D7EDE"/>
    <w:rsid w:val="007E05BD"/>
    <w:rsid w:val="007E11DE"/>
    <w:rsid w:val="007E12B0"/>
    <w:rsid w:val="007E14C2"/>
    <w:rsid w:val="007E18AB"/>
    <w:rsid w:val="007E1BC0"/>
    <w:rsid w:val="007E1F03"/>
    <w:rsid w:val="007E1FB3"/>
    <w:rsid w:val="007E213A"/>
    <w:rsid w:val="007E2211"/>
    <w:rsid w:val="007E3109"/>
    <w:rsid w:val="007E318C"/>
    <w:rsid w:val="007E3BA5"/>
    <w:rsid w:val="007E4409"/>
    <w:rsid w:val="007E4D86"/>
    <w:rsid w:val="007E539E"/>
    <w:rsid w:val="007E592F"/>
    <w:rsid w:val="007E5CBD"/>
    <w:rsid w:val="007E6161"/>
    <w:rsid w:val="007E7322"/>
    <w:rsid w:val="007F0624"/>
    <w:rsid w:val="007F06E0"/>
    <w:rsid w:val="007F0724"/>
    <w:rsid w:val="007F0A4A"/>
    <w:rsid w:val="007F0E02"/>
    <w:rsid w:val="007F1D3C"/>
    <w:rsid w:val="007F2393"/>
    <w:rsid w:val="007F3C58"/>
    <w:rsid w:val="007F4071"/>
    <w:rsid w:val="007F45E9"/>
    <w:rsid w:val="007F492E"/>
    <w:rsid w:val="007F5D8C"/>
    <w:rsid w:val="007F5F0F"/>
    <w:rsid w:val="007F7129"/>
    <w:rsid w:val="007F747E"/>
    <w:rsid w:val="007F74AA"/>
    <w:rsid w:val="007F7BC1"/>
    <w:rsid w:val="008017C0"/>
    <w:rsid w:val="00801980"/>
    <w:rsid w:val="00801C37"/>
    <w:rsid w:val="00801F27"/>
    <w:rsid w:val="00801F70"/>
    <w:rsid w:val="00802696"/>
    <w:rsid w:val="00804201"/>
    <w:rsid w:val="0080470C"/>
    <w:rsid w:val="00804EC0"/>
    <w:rsid w:val="008051A9"/>
    <w:rsid w:val="008051DE"/>
    <w:rsid w:val="00805850"/>
    <w:rsid w:val="00806315"/>
    <w:rsid w:val="008063E5"/>
    <w:rsid w:val="008069B7"/>
    <w:rsid w:val="00806FF9"/>
    <w:rsid w:val="00807673"/>
    <w:rsid w:val="00810D10"/>
    <w:rsid w:val="00811188"/>
    <w:rsid w:val="008120AD"/>
    <w:rsid w:val="00812219"/>
    <w:rsid w:val="008128E6"/>
    <w:rsid w:val="0081440B"/>
    <w:rsid w:val="0081441D"/>
    <w:rsid w:val="00814736"/>
    <w:rsid w:val="00814D14"/>
    <w:rsid w:val="00814EDF"/>
    <w:rsid w:val="00815371"/>
    <w:rsid w:val="00815B7E"/>
    <w:rsid w:val="00815C74"/>
    <w:rsid w:val="0081657E"/>
    <w:rsid w:val="00817081"/>
    <w:rsid w:val="00817106"/>
    <w:rsid w:val="00817830"/>
    <w:rsid w:val="00820D33"/>
    <w:rsid w:val="00820F2A"/>
    <w:rsid w:val="00821258"/>
    <w:rsid w:val="0082160C"/>
    <w:rsid w:val="00821A3C"/>
    <w:rsid w:val="008225E3"/>
    <w:rsid w:val="008226F5"/>
    <w:rsid w:val="00822717"/>
    <w:rsid w:val="0082326B"/>
    <w:rsid w:val="00823E5B"/>
    <w:rsid w:val="00826AFE"/>
    <w:rsid w:val="0082798A"/>
    <w:rsid w:val="00827B96"/>
    <w:rsid w:val="00827E17"/>
    <w:rsid w:val="0083011D"/>
    <w:rsid w:val="008303CA"/>
    <w:rsid w:val="00830B1D"/>
    <w:rsid w:val="00830C5B"/>
    <w:rsid w:val="0083100B"/>
    <w:rsid w:val="0083109B"/>
    <w:rsid w:val="00832191"/>
    <w:rsid w:val="00832B95"/>
    <w:rsid w:val="00832DF2"/>
    <w:rsid w:val="00833E54"/>
    <w:rsid w:val="00834664"/>
    <w:rsid w:val="0083488D"/>
    <w:rsid w:val="00834995"/>
    <w:rsid w:val="00834BB3"/>
    <w:rsid w:val="0083503A"/>
    <w:rsid w:val="00835A6C"/>
    <w:rsid w:val="00835AA3"/>
    <w:rsid w:val="0083616A"/>
    <w:rsid w:val="0083685E"/>
    <w:rsid w:val="00836975"/>
    <w:rsid w:val="008369D7"/>
    <w:rsid w:val="00836A04"/>
    <w:rsid w:val="008371B2"/>
    <w:rsid w:val="0083738A"/>
    <w:rsid w:val="00837587"/>
    <w:rsid w:val="00841220"/>
    <w:rsid w:val="0084130E"/>
    <w:rsid w:val="008419AB"/>
    <w:rsid w:val="00842671"/>
    <w:rsid w:val="0084295C"/>
    <w:rsid w:val="00842D82"/>
    <w:rsid w:val="008441B0"/>
    <w:rsid w:val="00844BE9"/>
    <w:rsid w:val="00845626"/>
    <w:rsid w:val="00845A49"/>
    <w:rsid w:val="00845D6D"/>
    <w:rsid w:val="00846851"/>
    <w:rsid w:val="008468B2"/>
    <w:rsid w:val="00846E77"/>
    <w:rsid w:val="0084737C"/>
    <w:rsid w:val="00847583"/>
    <w:rsid w:val="00847913"/>
    <w:rsid w:val="0085035B"/>
    <w:rsid w:val="008505D1"/>
    <w:rsid w:val="00850930"/>
    <w:rsid w:val="00850B87"/>
    <w:rsid w:val="008511A4"/>
    <w:rsid w:val="008513BA"/>
    <w:rsid w:val="00851743"/>
    <w:rsid w:val="00852904"/>
    <w:rsid w:val="00852E90"/>
    <w:rsid w:val="00852E9C"/>
    <w:rsid w:val="00853000"/>
    <w:rsid w:val="00853218"/>
    <w:rsid w:val="00853284"/>
    <w:rsid w:val="00853989"/>
    <w:rsid w:val="00853B4A"/>
    <w:rsid w:val="00853DD9"/>
    <w:rsid w:val="00853E2B"/>
    <w:rsid w:val="00854F2C"/>
    <w:rsid w:val="00855A3E"/>
    <w:rsid w:val="00855D9D"/>
    <w:rsid w:val="00855F36"/>
    <w:rsid w:val="0085644F"/>
    <w:rsid w:val="008564A8"/>
    <w:rsid w:val="0085774A"/>
    <w:rsid w:val="008606ED"/>
    <w:rsid w:val="008614AA"/>
    <w:rsid w:val="008619AC"/>
    <w:rsid w:val="00861A32"/>
    <w:rsid w:val="00861DC9"/>
    <w:rsid w:val="00862456"/>
    <w:rsid w:val="00863AB2"/>
    <w:rsid w:val="00864228"/>
    <w:rsid w:val="0086461A"/>
    <w:rsid w:val="00864A59"/>
    <w:rsid w:val="00864B2B"/>
    <w:rsid w:val="00865608"/>
    <w:rsid w:val="00865930"/>
    <w:rsid w:val="00865C28"/>
    <w:rsid w:val="00865D42"/>
    <w:rsid w:val="00865E89"/>
    <w:rsid w:val="00866504"/>
    <w:rsid w:val="008668A2"/>
    <w:rsid w:val="00866D02"/>
    <w:rsid w:val="00867AAC"/>
    <w:rsid w:val="0087006C"/>
    <w:rsid w:val="00870217"/>
    <w:rsid w:val="00870565"/>
    <w:rsid w:val="008709CC"/>
    <w:rsid w:val="008711D1"/>
    <w:rsid w:val="0087142B"/>
    <w:rsid w:val="00871E8C"/>
    <w:rsid w:val="008721E2"/>
    <w:rsid w:val="00873BF3"/>
    <w:rsid w:val="00873C25"/>
    <w:rsid w:val="00873EDD"/>
    <w:rsid w:val="00874BF1"/>
    <w:rsid w:val="00874D2E"/>
    <w:rsid w:val="00875308"/>
    <w:rsid w:val="00875DB1"/>
    <w:rsid w:val="00876053"/>
    <w:rsid w:val="00876171"/>
    <w:rsid w:val="00876361"/>
    <w:rsid w:val="00876B0E"/>
    <w:rsid w:val="00880487"/>
    <w:rsid w:val="00881236"/>
    <w:rsid w:val="008814D5"/>
    <w:rsid w:val="008817B8"/>
    <w:rsid w:val="008819F1"/>
    <w:rsid w:val="00881D01"/>
    <w:rsid w:val="00881EFD"/>
    <w:rsid w:val="008824B5"/>
    <w:rsid w:val="00882525"/>
    <w:rsid w:val="00883FE0"/>
    <w:rsid w:val="00884548"/>
    <w:rsid w:val="00885004"/>
    <w:rsid w:val="008853EF"/>
    <w:rsid w:val="00885888"/>
    <w:rsid w:val="00886742"/>
    <w:rsid w:val="00887708"/>
    <w:rsid w:val="008907B0"/>
    <w:rsid w:val="00890A0E"/>
    <w:rsid w:val="00890E65"/>
    <w:rsid w:val="00890E9C"/>
    <w:rsid w:val="00891154"/>
    <w:rsid w:val="0089177F"/>
    <w:rsid w:val="00891B5F"/>
    <w:rsid w:val="00891CD7"/>
    <w:rsid w:val="00892024"/>
    <w:rsid w:val="0089299E"/>
    <w:rsid w:val="00893251"/>
    <w:rsid w:val="00893347"/>
    <w:rsid w:val="008954F8"/>
    <w:rsid w:val="00895B27"/>
    <w:rsid w:val="00895C6E"/>
    <w:rsid w:val="00895E69"/>
    <w:rsid w:val="0089667F"/>
    <w:rsid w:val="00896882"/>
    <w:rsid w:val="0089699F"/>
    <w:rsid w:val="00896B17"/>
    <w:rsid w:val="00897112"/>
    <w:rsid w:val="0089720D"/>
    <w:rsid w:val="00897445"/>
    <w:rsid w:val="008A1D81"/>
    <w:rsid w:val="008A203D"/>
    <w:rsid w:val="008A2A2F"/>
    <w:rsid w:val="008A317C"/>
    <w:rsid w:val="008A35A9"/>
    <w:rsid w:val="008A36D8"/>
    <w:rsid w:val="008A4311"/>
    <w:rsid w:val="008A4527"/>
    <w:rsid w:val="008A5945"/>
    <w:rsid w:val="008A755F"/>
    <w:rsid w:val="008A7985"/>
    <w:rsid w:val="008B0001"/>
    <w:rsid w:val="008B0602"/>
    <w:rsid w:val="008B0B3A"/>
    <w:rsid w:val="008B25C3"/>
    <w:rsid w:val="008B31C0"/>
    <w:rsid w:val="008B3BF5"/>
    <w:rsid w:val="008B3C4B"/>
    <w:rsid w:val="008B3E9E"/>
    <w:rsid w:val="008B49B0"/>
    <w:rsid w:val="008B52A6"/>
    <w:rsid w:val="008B587F"/>
    <w:rsid w:val="008B6B0B"/>
    <w:rsid w:val="008B7936"/>
    <w:rsid w:val="008B7A43"/>
    <w:rsid w:val="008B7F95"/>
    <w:rsid w:val="008C05D2"/>
    <w:rsid w:val="008C1074"/>
    <w:rsid w:val="008C13B5"/>
    <w:rsid w:val="008C1883"/>
    <w:rsid w:val="008C2280"/>
    <w:rsid w:val="008C2997"/>
    <w:rsid w:val="008C2B33"/>
    <w:rsid w:val="008C2D39"/>
    <w:rsid w:val="008C31AA"/>
    <w:rsid w:val="008C3CE6"/>
    <w:rsid w:val="008C3FA5"/>
    <w:rsid w:val="008C4479"/>
    <w:rsid w:val="008C51C4"/>
    <w:rsid w:val="008C532F"/>
    <w:rsid w:val="008C5D17"/>
    <w:rsid w:val="008C65CA"/>
    <w:rsid w:val="008C6D7B"/>
    <w:rsid w:val="008C6F62"/>
    <w:rsid w:val="008C75D3"/>
    <w:rsid w:val="008C7DD3"/>
    <w:rsid w:val="008D0CB0"/>
    <w:rsid w:val="008D0E37"/>
    <w:rsid w:val="008D1009"/>
    <w:rsid w:val="008D1C44"/>
    <w:rsid w:val="008D20A7"/>
    <w:rsid w:val="008D2AF3"/>
    <w:rsid w:val="008D3BA4"/>
    <w:rsid w:val="008D403C"/>
    <w:rsid w:val="008D408B"/>
    <w:rsid w:val="008D40B8"/>
    <w:rsid w:val="008D50B0"/>
    <w:rsid w:val="008D53FB"/>
    <w:rsid w:val="008D5485"/>
    <w:rsid w:val="008D556B"/>
    <w:rsid w:val="008D7605"/>
    <w:rsid w:val="008E072B"/>
    <w:rsid w:val="008E07B5"/>
    <w:rsid w:val="008E23B1"/>
    <w:rsid w:val="008E2CED"/>
    <w:rsid w:val="008E35B2"/>
    <w:rsid w:val="008E3C34"/>
    <w:rsid w:val="008E52EA"/>
    <w:rsid w:val="008E544C"/>
    <w:rsid w:val="008E6E3A"/>
    <w:rsid w:val="008E7BA8"/>
    <w:rsid w:val="008E7D05"/>
    <w:rsid w:val="008F16F8"/>
    <w:rsid w:val="008F1EBA"/>
    <w:rsid w:val="008F1FE6"/>
    <w:rsid w:val="008F29F9"/>
    <w:rsid w:val="008F2A3C"/>
    <w:rsid w:val="008F2D84"/>
    <w:rsid w:val="008F323A"/>
    <w:rsid w:val="008F32C2"/>
    <w:rsid w:val="008F3F0B"/>
    <w:rsid w:val="008F4789"/>
    <w:rsid w:val="008F4C00"/>
    <w:rsid w:val="008F5FBB"/>
    <w:rsid w:val="008F61E1"/>
    <w:rsid w:val="008F6441"/>
    <w:rsid w:val="008F6B94"/>
    <w:rsid w:val="008F6C35"/>
    <w:rsid w:val="008F7971"/>
    <w:rsid w:val="0090013D"/>
    <w:rsid w:val="009009B3"/>
    <w:rsid w:val="009009F5"/>
    <w:rsid w:val="00900FD6"/>
    <w:rsid w:val="00901967"/>
    <w:rsid w:val="00901B86"/>
    <w:rsid w:val="00901E51"/>
    <w:rsid w:val="00902150"/>
    <w:rsid w:val="0090241E"/>
    <w:rsid w:val="00902E89"/>
    <w:rsid w:val="00903464"/>
    <w:rsid w:val="0090395A"/>
    <w:rsid w:val="0090428B"/>
    <w:rsid w:val="0090448B"/>
    <w:rsid w:val="0090494B"/>
    <w:rsid w:val="009058E2"/>
    <w:rsid w:val="00906374"/>
    <w:rsid w:val="00906C7D"/>
    <w:rsid w:val="00910B2A"/>
    <w:rsid w:val="00911275"/>
    <w:rsid w:val="009112C6"/>
    <w:rsid w:val="0091273F"/>
    <w:rsid w:val="009128ED"/>
    <w:rsid w:val="00912AB3"/>
    <w:rsid w:val="00912D93"/>
    <w:rsid w:val="00913B5F"/>
    <w:rsid w:val="009145FA"/>
    <w:rsid w:val="00914CEA"/>
    <w:rsid w:val="0091562B"/>
    <w:rsid w:val="00915811"/>
    <w:rsid w:val="009159EF"/>
    <w:rsid w:val="00916A94"/>
    <w:rsid w:val="00916F52"/>
    <w:rsid w:val="00920062"/>
    <w:rsid w:val="00921696"/>
    <w:rsid w:val="00922806"/>
    <w:rsid w:val="00922B1D"/>
    <w:rsid w:val="00922B30"/>
    <w:rsid w:val="00922BE8"/>
    <w:rsid w:val="00923787"/>
    <w:rsid w:val="009239F4"/>
    <w:rsid w:val="00923D0A"/>
    <w:rsid w:val="00923EE2"/>
    <w:rsid w:val="0092471C"/>
    <w:rsid w:val="00924817"/>
    <w:rsid w:val="00924BFB"/>
    <w:rsid w:val="00924E83"/>
    <w:rsid w:val="00925285"/>
    <w:rsid w:val="009266AD"/>
    <w:rsid w:val="009267E4"/>
    <w:rsid w:val="00926DED"/>
    <w:rsid w:val="00927036"/>
    <w:rsid w:val="009276EA"/>
    <w:rsid w:val="00927F0C"/>
    <w:rsid w:val="00931599"/>
    <w:rsid w:val="00932C06"/>
    <w:rsid w:val="00932C64"/>
    <w:rsid w:val="00933230"/>
    <w:rsid w:val="00933380"/>
    <w:rsid w:val="009337E6"/>
    <w:rsid w:val="00933A67"/>
    <w:rsid w:val="00933FB8"/>
    <w:rsid w:val="00935D0F"/>
    <w:rsid w:val="00935F9A"/>
    <w:rsid w:val="00936622"/>
    <w:rsid w:val="009372D4"/>
    <w:rsid w:val="00937CE9"/>
    <w:rsid w:val="00937DE8"/>
    <w:rsid w:val="00937E8B"/>
    <w:rsid w:val="009400FB"/>
    <w:rsid w:val="00940139"/>
    <w:rsid w:val="00940659"/>
    <w:rsid w:val="009414F9"/>
    <w:rsid w:val="009418F1"/>
    <w:rsid w:val="00942182"/>
    <w:rsid w:val="0094259E"/>
    <w:rsid w:val="00943474"/>
    <w:rsid w:val="0094353B"/>
    <w:rsid w:val="00943C1A"/>
    <w:rsid w:val="009446B3"/>
    <w:rsid w:val="0094570E"/>
    <w:rsid w:val="009457A7"/>
    <w:rsid w:val="00945915"/>
    <w:rsid w:val="00945BE2"/>
    <w:rsid w:val="00946428"/>
    <w:rsid w:val="0094714F"/>
    <w:rsid w:val="00947686"/>
    <w:rsid w:val="00947846"/>
    <w:rsid w:val="0094784F"/>
    <w:rsid w:val="00947C73"/>
    <w:rsid w:val="0095008A"/>
    <w:rsid w:val="00950332"/>
    <w:rsid w:val="00950720"/>
    <w:rsid w:val="00950EEE"/>
    <w:rsid w:val="00951303"/>
    <w:rsid w:val="009513AC"/>
    <w:rsid w:val="00952355"/>
    <w:rsid w:val="00952362"/>
    <w:rsid w:val="00952A96"/>
    <w:rsid w:val="0095304A"/>
    <w:rsid w:val="009534DA"/>
    <w:rsid w:val="0095476B"/>
    <w:rsid w:val="009549EC"/>
    <w:rsid w:val="00954D20"/>
    <w:rsid w:val="009554FA"/>
    <w:rsid w:val="00955638"/>
    <w:rsid w:val="00955A35"/>
    <w:rsid w:val="00955C8A"/>
    <w:rsid w:val="009566CD"/>
    <w:rsid w:val="0095671C"/>
    <w:rsid w:val="00956820"/>
    <w:rsid w:val="00956A06"/>
    <w:rsid w:val="00957199"/>
    <w:rsid w:val="00957827"/>
    <w:rsid w:val="00957953"/>
    <w:rsid w:val="00957FD7"/>
    <w:rsid w:val="0096070A"/>
    <w:rsid w:val="00960C35"/>
    <w:rsid w:val="00960FDE"/>
    <w:rsid w:val="009618FB"/>
    <w:rsid w:val="00963101"/>
    <w:rsid w:val="0096361A"/>
    <w:rsid w:val="0096363B"/>
    <w:rsid w:val="0096388B"/>
    <w:rsid w:val="00963C36"/>
    <w:rsid w:val="00964288"/>
    <w:rsid w:val="009651CE"/>
    <w:rsid w:val="009653FF"/>
    <w:rsid w:val="00966109"/>
    <w:rsid w:val="009667E6"/>
    <w:rsid w:val="00966DC7"/>
    <w:rsid w:val="0096702C"/>
    <w:rsid w:val="009674F9"/>
    <w:rsid w:val="00967BE9"/>
    <w:rsid w:val="00967C58"/>
    <w:rsid w:val="00967C59"/>
    <w:rsid w:val="00967C80"/>
    <w:rsid w:val="00970656"/>
    <w:rsid w:val="00970893"/>
    <w:rsid w:val="00970A7F"/>
    <w:rsid w:val="00970B05"/>
    <w:rsid w:val="00970F23"/>
    <w:rsid w:val="00971999"/>
    <w:rsid w:val="00973639"/>
    <w:rsid w:val="0097416E"/>
    <w:rsid w:val="00974374"/>
    <w:rsid w:val="009745AC"/>
    <w:rsid w:val="00975083"/>
    <w:rsid w:val="0097539C"/>
    <w:rsid w:val="00975C8C"/>
    <w:rsid w:val="00976058"/>
    <w:rsid w:val="00976087"/>
    <w:rsid w:val="0097674D"/>
    <w:rsid w:val="0097684E"/>
    <w:rsid w:val="00977D3B"/>
    <w:rsid w:val="009801EB"/>
    <w:rsid w:val="009804A6"/>
    <w:rsid w:val="00980C18"/>
    <w:rsid w:val="00981132"/>
    <w:rsid w:val="00981248"/>
    <w:rsid w:val="00981739"/>
    <w:rsid w:val="0098187C"/>
    <w:rsid w:val="009818E3"/>
    <w:rsid w:val="00981B5E"/>
    <w:rsid w:val="00981C3F"/>
    <w:rsid w:val="009821A0"/>
    <w:rsid w:val="0098254F"/>
    <w:rsid w:val="00983DBB"/>
    <w:rsid w:val="00985153"/>
    <w:rsid w:val="00985278"/>
    <w:rsid w:val="00986058"/>
    <w:rsid w:val="00986367"/>
    <w:rsid w:val="009867AB"/>
    <w:rsid w:val="00986B99"/>
    <w:rsid w:val="00990302"/>
    <w:rsid w:val="00990473"/>
    <w:rsid w:val="009907F3"/>
    <w:rsid w:val="00990B67"/>
    <w:rsid w:val="00990B77"/>
    <w:rsid w:val="00990CA6"/>
    <w:rsid w:val="00991336"/>
    <w:rsid w:val="009927ED"/>
    <w:rsid w:val="00992B61"/>
    <w:rsid w:val="00992FE9"/>
    <w:rsid w:val="0099361D"/>
    <w:rsid w:val="00993F5A"/>
    <w:rsid w:val="009943B0"/>
    <w:rsid w:val="0099466C"/>
    <w:rsid w:val="0099472D"/>
    <w:rsid w:val="00995680"/>
    <w:rsid w:val="00995897"/>
    <w:rsid w:val="009960E3"/>
    <w:rsid w:val="00996514"/>
    <w:rsid w:val="00996653"/>
    <w:rsid w:val="00996686"/>
    <w:rsid w:val="00996FEF"/>
    <w:rsid w:val="009972FC"/>
    <w:rsid w:val="009978B9"/>
    <w:rsid w:val="00997914"/>
    <w:rsid w:val="00997EB6"/>
    <w:rsid w:val="009A0265"/>
    <w:rsid w:val="009A03E5"/>
    <w:rsid w:val="009A0706"/>
    <w:rsid w:val="009A08AB"/>
    <w:rsid w:val="009A0967"/>
    <w:rsid w:val="009A196E"/>
    <w:rsid w:val="009A241C"/>
    <w:rsid w:val="009A2D8F"/>
    <w:rsid w:val="009A3154"/>
    <w:rsid w:val="009A3165"/>
    <w:rsid w:val="009A3312"/>
    <w:rsid w:val="009A42EF"/>
    <w:rsid w:val="009A4F82"/>
    <w:rsid w:val="009A51A4"/>
    <w:rsid w:val="009A5478"/>
    <w:rsid w:val="009A5B19"/>
    <w:rsid w:val="009A5B62"/>
    <w:rsid w:val="009A6A92"/>
    <w:rsid w:val="009A70DE"/>
    <w:rsid w:val="009A7454"/>
    <w:rsid w:val="009A7B26"/>
    <w:rsid w:val="009B088A"/>
    <w:rsid w:val="009B0BCC"/>
    <w:rsid w:val="009B14EE"/>
    <w:rsid w:val="009B2AFE"/>
    <w:rsid w:val="009B356A"/>
    <w:rsid w:val="009B3839"/>
    <w:rsid w:val="009B3B06"/>
    <w:rsid w:val="009B4A44"/>
    <w:rsid w:val="009B4F56"/>
    <w:rsid w:val="009B5111"/>
    <w:rsid w:val="009B61C7"/>
    <w:rsid w:val="009B6D6F"/>
    <w:rsid w:val="009B7103"/>
    <w:rsid w:val="009B756B"/>
    <w:rsid w:val="009C0233"/>
    <w:rsid w:val="009C0459"/>
    <w:rsid w:val="009C064A"/>
    <w:rsid w:val="009C12A2"/>
    <w:rsid w:val="009C1933"/>
    <w:rsid w:val="009C1B99"/>
    <w:rsid w:val="009C1F6F"/>
    <w:rsid w:val="009C22B1"/>
    <w:rsid w:val="009C2A27"/>
    <w:rsid w:val="009C32FD"/>
    <w:rsid w:val="009C37DC"/>
    <w:rsid w:val="009C38DB"/>
    <w:rsid w:val="009C41E1"/>
    <w:rsid w:val="009C59D6"/>
    <w:rsid w:val="009C605C"/>
    <w:rsid w:val="009C632C"/>
    <w:rsid w:val="009C67D6"/>
    <w:rsid w:val="009C67F4"/>
    <w:rsid w:val="009C6B76"/>
    <w:rsid w:val="009C7139"/>
    <w:rsid w:val="009C72B8"/>
    <w:rsid w:val="009C74FD"/>
    <w:rsid w:val="009D0B3E"/>
    <w:rsid w:val="009D116F"/>
    <w:rsid w:val="009D11AF"/>
    <w:rsid w:val="009D11F8"/>
    <w:rsid w:val="009D138C"/>
    <w:rsid w:val="009D1D2C"/>
    <w:rsid w:val="009D1DEE"/>
    <w:rsid w:val="009D1FD3"/>
    <w:rsid w:val="009D339B"/>
    <w:rsid w:val="009D41D2"/>
    <w:rsid w:val="009D4D93"/>
    <w:rsid w:val="009D5229"/>
    <w:rsid w:val="009D5907"/>
    <w:rsid w:val="009D5CD7"/>
    <w:rsid w:val="009D5CE3"/>
    <w:rsid w:val="009D627D"/>
    <w:rsid w:val="009D65A8"/>
    <w:rsid w:val="009D6605"/>
    <w:rsid w:val="009D691A"/>
    <w:rsid w:val="009D6F41"/>
    <w:rsid w:val="009D7129"/>
    <w:rsid w:val="009D724D"/>
    <w:rsid w:val="009D7432"/>
    <w:rsid w:val="009D76FA"/>
    <w:rsid w:val="009E0D47"/>
    <w:rsid w:val="009E0D56"/>
    <w:rsid w:val="009E12B3"/>
    <w:rsid w:val="009E1494"/>
    <w:rsid w:val="009E25D4"/>
    <w:rsid w:val="009E2712"/>
    <w:rsid w:val="009E29E1"/>
    <w:rsid w:val="009E2A39"/>
    <w:rsid w:val="009E2AD7"/>
    <w:rsid w:val="009E341E"/>
    <w:rsid w:val="009E374D"/>
    <w:rsid w:val="009E398D"/>
    <w:rsid w:val="009E3E23"/>
    <w:rsid w:val="009E414E"/>
    <w:rsid w:val="009E4920"/>
    <w:rsid w:val="009E5B54"/>
    <w:rsid w:val="009E6376"/>
    <w:rsid w:val="009E65BA"/>
    <w:rsid w:val="009E6D54"/>
    <w:rsid w:val="009E7EF5"/>
    <w:rsid w:val="009E7F0E"/>
    <w:rsid w:val="009F0C9F"/>
    <w:rsid w:val="009F0D93"/>
    <w:rsid w:val="009F1F99"/>
    <w:rsid w:val="009F33BA"/>
    <w:rsid w:val="009F351D"/>
    <w:rsid w:val="009F37F5"/>
    <w:rsid w:val="009F3CEC"/>
    <w:rsid w:val="009F5AEE"/>
    <w:rsid w:val="009F5E14"/>
    <w:rsid w:val="009F602E"/>
    <w:rsid w:val="009F6638"/>
    <w:rsid w:val="009F69E2"/>
    <w:rsid w:val="009F6BD2"/>
    <w:rsid w:val="009F7060"/>
    <w:rsid w:val="009F7222"/>
    <w:rsid w:val="00A00003"/>
    <w:rsid w:val="00A00583"/>
    <w:rsid w:val="00A0089C"/>
    <w:rsid w:val="00A00E21"/>
    <w:rsid w:val="00A01294"/>
    <w:rsid w:val="00A01F0E"/>
    <w:rsid w:val="00A02184"/>
    <w:rsid w:val="00A02186"/>
    <w:rsid w:val="00A025FE"/>
    <w:rsid w:val="00A02E22"/>
    <w:rsid w:val="00A035C8"/>
    <w:rsid w:val="00A03D30"/>
    <w:rsid w:val="00A04613"/>
    <w:rsid w:val="00A04B77"/>
    <w:rsid w:val="00A04D7D"/>
    <w:rsid w:val="00A05879"/>
    <w:rsid w:val="00A058A9"/>
    <w:rsid w:val="00A05C05"/>
    <w:rsid w:val="00A06058"/>
    <w:rsid w:val="00A065A5"/>
    <w:rsid w:val="00A0662A"/>
    <w:rsid w:val="00A06AE3"/>
    <w:rsid w:val="00A06E5A"/>
    <w:rsid w:val="00A0746D"/>
    <w:rsid w:val="00A107CF"/>
    <w:rsid w:val="00A10960"/>
    <w:rsid w:val="00A109BD"/>
    <w:rsid w:val="00A110FC"/>
    <w:rsid w:val="00A111ED"/>
    <w:rsid w:val="00A11FB8"/>
    <w:rsid w:val="00A122B9"/>
    <w:rsid w:val="00A1299A"/>
    <w:rsid w:val="00A1321B"/>
    <w:rsid w:val="00A13269"/>
    <w:rsid w:val="00A132E2"/>
    <w:rsid w:val="00A142D4"/>
    <w:rsid w:val="00A14CEE"/>
    <w:rsid w:val="00A14DAD"/>
    <w:rsid w:val="00A160C6"/>
    <w:rsid w:val="00A16A5D"/>
    <w:rsid w:val="00A17091"/>
    <w:rsid w:val="00A17356"/>
    <w:rsid w:val="00A17D7C"/>
    <w:rsid w:val="00A20311"/>
    <w:rsid w:val="00A20DED"/>
    <w:rsid w:val="00A21525"/>
    <w:rsid w:val="00A21C7C"/>
    <w:rsid w:val="00A2238E"/>
    <w:rsid w:val="00A22D8F"/>
    <w:rsid w:val="00A22F83"/>
    <w:rsid w:val="00A23C15"/>
    <w:rsid w:val="00A244FC"/>
    <w:rsid w:val="00A24DFA"/>
    <w:rsid w:val="00A258A8"/>
    <w:rsid w:val="00A25B54"/>
    <w:rsid w:val="00A2777C"/>
    <w:rsid w:val="00A30291"/>
    <w:rsid w:val="00A318CF"/>
    <w:rsid w:val="00A319AE"/>
    <w:rsid w:val="00A32511"/>
    <w:rsid w:val="00A33032"/>
    <w:rsid w:val="00A3359B"/>
    <w:rsid w:val="00A34383"/>
    <w:rsid w:val="00A34BBD"/>
    <w:rsid w:val="00A354DA"/>
    <w:rsid w:val="00A35E69"/>
    <w:rsid w:val="00A36E13"/>
    <w:rsid w:val="00A37018"/>
    <w:rsid w:val="00A370A6"/>
    <w:rsid w:val="00A37592"/>
    <w:rsid w:val="00A377C4"/>
    <w:rsid w:val="00A37E8C"/>
    <w:rsid w:val="00A410A8"/>
    <w:rsid w:val="00A41124"/>
    <w:rsid w:val="00A422ED"/>
    <w:rsid w:val="00A4238F"/>
    <w:rsid w:val="00A43D6E"/>
    <w:rsid w:val="00A43E2D"/>
    <w:rsid w:val="00A441EC"/>
    <w:rsid w:val="00A4449B"/>
    <w:rsid w:val="00A445ED"/>
    <w:rsid w:val="00A45057"/>
    <w:rsid w:val="00A45088"/>
    <w:rsid w:val="00A462CF"/>
    <w:rsid w:val="00A466EB"/>
    <w:rsid w:val="00A4709F"/>
    <w:rsid w:val="00A50B51"/>
    <w:rsid w:val="00A52271"/>
    <w:rsid w:val="00A53FC0"/>
    <w:rsid w:val="00A54779"/>
    <w:rsid w:val="00A5486D"/>
    <w:rsid w:val="00A55057"/>
    <w:rsid w:val="00A552C9"/>
    <w:rsid w:val="00A55858"/>
    <w:rsid w:val="00A56C3F"/>
    <w:rsid w:val="00A5773D"/>
    <w:rsid w:val="00A57752"/>
    <w:rsid w:val="00A57802"/>
    <w:rsid w:val="00A5787C"/>
    <w:rsid w:val="00A57921"/>
    <w:rsid w:val="00A57944"/>
    <w:rsid w:val="00A60E70"/>
    <w:rsid w:val="00A6166F"/>
    <w:rsid w:val="00A61976"/>
    <w:rsid w:val="00A61C7A"/>
    <w:rsid w:val="00A61FC6"/>
    <w:rsid w:val="00A6209C"/>
    <w:rsid w:val="00A622A1"/>
    <w:rsid w:val="00A62602"/>
    <w:rsid w:val="00A62C74"/>
    <w:rsid w:val="00A62D3A"/>
    <w:rsid w:val="00A62E3D"/>
    <w:rsid w:val="00A644F1"/>
    <w:rsid w:val="00A64B22"/>
    <w:rsid w:val="00A64ECF"/>
    <w:rsid w:val="00A653A7"/>
    <w:rsid w:val="00A656A9"/>
    <w:rsid w:val="00A65F5D"/>
    <w:rsid w:val="00A6623C"/>
    <w:rsid w:val="00A663B7"/>
    <w:rsid w:val="00A66778"/>
    <w:rsid w:val="00A667E4"/>
    <w:rsid w:val="00A66C80"/>
    <w:rsid w:val="00A70312"/>
    <w:rsid w:val="00A70571"/>
    <w:rsid w:val="00A70C2F"/>
    <w:rsid w:val="00A70C92"/>
    <w:rsid w:val="00A72134"/>
    <w:rsid w:val="00A723B8"/>
    <w:rsid w:val="00A731B1"/>
    <w:rsid w:val="00A743E7"/>
    <w:rsid w:val="00A747FD"/>
    <w:rsid w:val="00A74B90"/>
    <w:rsid w:val="00A74BA8"/>
    <w:rsid w:val="00A753EC"/>
    <w:rsid w:val="00A763AD"/>
    <w:rsid w:val="00A765AA"/>
    <w:rsid w:val="00A76787"/>
    <w:rsid w:val="00A76F5B"/>
    <w:rsid w:val="00A77247"/>
    <w:rsid w:val="00A77375"/>
    <w:rsid w:val="00A77FA9"/>
    <w:rsid w:val="00A8068A"/>
    <w:rsid w:val="00A80705"/>
    <w:rsid w:val="00A8120A"/>
    <w:rsid w:val="00A81D3A"/>
    <w:rsid w:val="00A81F20"/>
    <w:rsid w:val="00A8211D"/>
    <w:rsid w:val="00A82162"/>
    <w:rsid w:val="00A82975"/>
    <w:rsid w:val="00A82F71"/>
    <w:rsid w:val="00A83D6D"/>
    <w:rsid w:val="00A85D14"/>
    <w:rsid w:val="00A85E7C"/>
    <w:rsid w:val="00A86A67"/>
    <w:rsid w:val="00A87901"/>
    <w:rsid w:val="00A9048F"/>
    <w:rsid w:val="00A90705"/>
    <w:rsid w:val="00A9110C"/>
    <w:rsid w:val="00A91328"/>
    <w:rsid w:val="00A915CF"/>
    <w:rsid w:val="00A91E87"/>
    <w:rsid w:val="00A91FF7"/>
    <w:rsid w:val="00A92C93"/>
    <w:rsid w:val="00A93610"/>
    <w:rsid w:val="00A93A51"/>
    <w:rsid w:val="00A93AB2"/>
    <w:rsid w:val="00A93BCC"/>
    <w:rsid w:val="00A95296"/>
    <w:rsid w:val="00A95577"/>
    <w:rsid w:val="00A96EFE"/>
    <w:rsid w:val="00A978FD"/>
    <w:rsid w:val="00A97BE1"/>
    <w:rsid w:val="00AA0106"/>
    <w:rsid w:val="00AA0835"/>
    <w:rsid w:val="00AA0DE3"/>
    <w:rsid w:val="00AA0FBC"/>
    <w:rsid w:val="00AA13E4"/>
    <w:rsid w:val="00AA1A02"/>
    <w:rsid w:val="00AA1D8D"/>
    <w:rsid w:val="00AA25A3"/>
    <w:rsid w:val="00AA2795"/>
    <w:rsid w:val="00AA2A6A"/>
    <w:rsid w:val="00AA2E2F"/>
    <w:rsid w:val="00AA2FE2"/>
    <w:rsid w:val="00AA316A"/>
    <w:rsid w:val="00AA35E2"/>
    <w:rsid w:val="00AA3DA7"/>
    <w:rsid w:val="00AA44E1"/>
    <w:rsid w:val="00AA466D"/>
    <w:rsid w:val="00AA545F"/>
    <w:rsid w:val="00AA588C"/>
    <w:rsid w:val="00AA695F"/>
    <w:rsid w:val="00AB03F9"/>
    <w:rsid w:val="00AB0E02"/>
    <w:rsid w:val="00AB14A3"/>
    <w:rsid w:val="00AB1F0E"/>
    <w:rsid w:val="00AB2052"/>
    <w:rsid w:val="00AB2313"/>
    <w:rsid w:val="00AB2359"/>
    <w:rsid w:val="00AB2CC6"/>
    <w:rsid w:val="00AB3222"/>
    <w:rsid w:val="00AB3AAE"/>
    <w:rsid w:val="00AB4E97"/>
    <w:rsid w:val="00AB4F42"/>
    <w:rsid w:val="00AB5273"/>
    <w:rsid w:val="00AB6197"/>
    <w:rsid w:val="00AB64F5"/>
    <w:rsid w:val="00AB7456"/>
    <w:rsid w:val="00AB75B7"/>
    <w:rsid w:val="00AC175C"/>
    <w:rsid w:val="00AC18C6"/>
    <w:rsid w:val="00AC1A20"/>
    <w:rsid w:val="00AC1A7C"/>
    <w:rsid w:val="00AC4F8E"/>
    <w:rsid w:val="00AC5D82"/>
    <w:rsid w:val="00AC69C2"/>
    <w:rsid w:val="00AC70E9"/>
    <w:rsid w:val="00AC7870"/>
    <w:rsid w:val="00AC793F"/>
    <w:rsid w:val="00AC799E"/>
    <w:rsid w:val="00AC7FF8"/>
    <w:rsid w:val="00AD1070"/>
    <w:rsid w:val="00AD1333"/>
    <w:rsid w:val="00AD13EC"/>
    <w:rsid w:val="00AD2005"/>
    <w:rsid w:val="00AD2C31"/>
    <w:rsid w:val="00AD351F"/>
    <w:rsid w:val="00AD3BC1"/>
    <w:rsid w:val="00AD3F14"/>
    <w:rsid w:val="00AD5992"/>
    <w:rsid w:val="00AD5ADF"/>
    <w:rsid w:val="00AD7235"/>
    <w:rsid w:val="00AD78FF"/>
    <w:rsid w:val="00AD7B01"/>
    <w:rsid w:val="00AE028C"/>
    <w:rsid w:val="00AE060A"/>
    <w:rsid w:val="00AE071E"/>
    <w:rsid w:val="00AE0926"/>
    <w:rsid w:val="00AE0DEC"/>
    <w:rsid w:val="00AE0FD9"/>
    <w:rsid w:val="00AE130A"/>
    <w:rsid w:val="00AE2C80"/>
    <w:rsid w:val="00AE416C"/>
    <w:rsid w:val="00AE42D5"/>
    <w:rsid w:val="00AE4535"/>
    <w:rsid w:val="00AE4887"/>
    <w:rsid w:val="00AE53DA"/>
    <w:rsid w:val="00AE5577"/>
    <w:rsid w:val="00AE5591"/>
    <w:rsid w:val="00AE55EF"/>
    <w:rsid w:val="00AE5D3B"/>
    <w:rsid w:val="00AE60AA"/>
    <w:rsid w:val="00AE6441"/>
    <w:rsid w:val="00AE64B3"/>
    <w:rsid w:val="00AE7D42"/>
    <w:rsid w:val="00AF1B17"/>
    <w:rsid w:val="00AF235D"/>
    <w:rsid w:val="00AF2B15"/>
    <w:rsid w:val="00AF2EAA"/>
    <w:rsid w:val="00AF305B"/>
    <w:rsid w:val="00AF3326"/>
    <w:rsid w:val="00AF343C"/>
    <w:rsid w:val="00AF388B"/>
    <w:rsid w:val="00AF4501"/>
    <w:rsid w:val="00AF51D9"/>
    <w:rsid w:val="00AF5FD6"/>
    <w:rsid w:val="00AF65F6"/>
    <w:rsid w:val="00B0000C"/>
    <w:rsid w:val="00B00CA3"/>
    <w:rsid w:val="00B010AF"/>
    <w:rsid w:val="00B02AD3"/>
    <w:rsid w:val="00B03ECC"/>
    <w:rsid w:val="00B050F2"/>
    <w:rsid w:val="00B058DA"/>
    <w:rsid w:val="00B06377"/>
    <w:rsid w:val="00B0638A"/>
    <w:rsid w:val="00B06C5D"/>
    <w:rsid w:val="00B06D2A"/>
    <w:rsid w:val="00B07167"/>
    <w:rsid w:val="00B078A5"/>
    <w:rsid w:val="00B07A83"/>
    <w:rsid w:val="00B07DBF"/>
    <w:rsid w:val="00B07E8C"/>
    <w:rsid w:val="00B1015D"/>
    <w:rsid w:val="00B108A3"/>
    <w:rsid w:val="00B10C4F"/>
    <w:rsid w:val="00B12725"/>
    <w:rsid w:val="00B12BC2"/>
    <w:rsid w:val="00B14361"/>
    <w:rsid w:val="00B14AED"/>
    <w:rsid w:val="00B14D93"/>
    <w:rsid w:val="00B15315"/>
    <w:rsid w:val="00B1583F"/>
    <w:rsid w:val="00B160FC"/>
    <w:rsid w:val="00B176D5"/>
    <w:rsid w:val="00B17D41"/>
    <w:rsid w:val="00B17EE9"/>
    <w:rsid w:val="00B2037E"/>
    <w:rsid w:val="00B2094C"/>
    <w:rsid w:val="00B21A01"/>
    <w:rsid w:val="00B21D67"/>
    <w:rsid w:val="00B2253B"/>
    <w:rsid w:val="00B22EB7"/>
    <w:rsid w:val="00B232AB"/>
    <w:rsid w:val="00B23417"/>
    <w:rsid w:val="00B23848"/>
    <w:rsid w:val="00B24AF2"/>
    <w:rsid w:val="00B254B2"/>
    <w:rsid w:val="00B2593B"/>
    <w:rsid w:val="00B25A6E"/>
    <w:rsid w:val="00B2625A"/>
    <w:rsid w:val="00B26655"/>
    <w:rsid w:val="00B26C13"/>
    <w:rsid w:val="00B275F2"/>
    <w:rsid w:val="00B27630"/>
    <w:rsid w:val="00B2796E"/>
    <w:rsid w:val="00B300BF"/>
    <w:rsid w:val="00B30BDA"/>
    <w:rsid w:val="00B30CF7"/>
    <w:rsid w:val="00B30D94"/>
    <w:rsid w:val="00B31B6D"/>
    <w:rsid w:val="00B31FCF"/>
    <w:rsid w:val="00B32598"/>
    <w:rsid w:val="00B3264F"/>
    <w:rsid w:val="00B32AE1"/>
    <w:rsid w:val="00B32D6D"/>
    <w:rsid w:val="00B32E8D"/>
    <w:rsid w:val="00B33009"/>
    <w:rsid w:val="00B33BCD"/>
    <w:rsid w:val="00B33F4A"/>
    <w:rsid w:val="00B343C2"/>
    <w:rsid w:val="00B34656"/>
    <w:rsid w:val="00B34BC2"/>
    <w:rsid w:val="00B3589E"/>
    <w:rsid w:val="00B36439"/>
    <w:rsid w:val="00B36F38"/>
    <w:rsid w:val="00B37630"/>
    <w:rsid w:val="00B3772E"/>
    <w:rsid w:val="00B40334"/>
    <w:rsid w:val="00B40A8B"/>
    <w:rsid w:val="00B4121F"/>
    <w:rsid w:val="00B4170B"/>
    <w:rsid w:val="00B41718"/>
    <w:rsid w:val="00B41729"/>
    <w:rsid w:val="00B41B6A"/>
    <w:rsid w:val="00B42276"/>
    <w:rsid w:val="00B423B3"/>
    <w:rsid w:val="00B42D8A"/>
    <w:rsid w:val="00B43109"/>
    <w:rsid w:val="00B43D3F"/>
    <w:rsid w:val="00B44821"/>
    <w:rsid w:val="00B44AFC"/>
    <w:rsid w:val="00B450B6"/>
    <w:rsid w:val="00B45E20"/>
    <w:rsid w:val="00B4642B"/>
    <w:rsid w:val="00B46D42"/>
    <w:rsid w:val="00B46E56"/>
    <w:rsid w:val="00B477A7"/>
    <w:rsid w:val="00B504A6"/>
    <w:rsid w:val="00B50546"/>
    <w:rsid w:val="00B50614"/>
    <w:rsid w:val="00B51A67"/>
    <w:rsid w:val="00B51FC3"/>
    <w:rsid w:val="00B52249"/>
    <w:rsid w:val="00B531E9"/>
    <w:rsid w:val="00B5358D"/>
    <w:rsid w:val="00B5376A"/>
    <w:rsid w:val="00B54326"/>
    <w:rsid w:val="00B54991"/>
    <w:rsid w:val="00B550DE"/>
    <w:rsid w:val="00B5561D"/>
    <w:rsid w:val="00B56C13"/>
    <w:rsid w:val="00B57829"/>
    <w:rsid w:val="00B6104A"/>
    <w:rsid w:val="00B61212"/>
    <w:rsid w:val="00B6149C"/>
    <w:rsid w:val="00B614E7"/>
    <w:rsid w:val="00B616A3"/>
    <w:rsid w:val="00B61865"/>
    <w:rsid w:val="00B61B3F"/>
    <w:rsid w:val="00B625DB"/>
    <w:rsid w:val="00B62737"/>
    <w:rsid w:val="00B62DE5"/>
    <w:rsid w:val="00B63353"/>
    <w:rsid w:val="00B63B02"/>
    <w:rsid w:val="00B63F42"/>
    <w:rsid w:val="00B65161"/>
    <w:rsid w:val="00B656E9"/>
    <w:rsid w:val="00B65838"/>
    <w:rsid w:val="00B6611E"/>
    <w:rsid w:val="00B6630C"/>
    <w:rsid w:val="00B66A28"/>
    <w:rsid w:val="00B67701"/>
    <w:rsid w:val="00B70ADD"/>
    <w:rsid w:val="00B70C07"/>
    <w:rsid w:val="00B70F28"/>
    <w:rsid w:val="00B711B3"/>
    <w:rsid w:val="00B7168E"/>
    <w:rsid w:val="00B71DB2"/>
    <w:rsid w:val="00B72270"/>
    <w:rsid w:val="00B723B0"/>
    <w:rsid w:val="00B72B9B"/>
    <w:rsid w:val="00B7355F"/>
    <w:rsid w:val="00B73588"/>
    <w:rsid w:val="00B73789"/>
    <w:rsid w:val="00B73E60"/>
    <w:rsid w:val="00B7558F"/>
    <w:rsid w:val="00B75B4E"/>
    <w:rsid w:val="00B75D92"/>
    <w:rsid w:val="00B75F2D"/>
    <w:rsid w:val="00B778EF"/>
    <w:rsid w:val="00B77A20"/>
    <w:rsid w:val="00B77CD4"/>
    <w:rsid w:val="00B808C7"/>
    <w:rsid w:val="00B80B24"/>
    <w:rsid w:val="00B81852"/>
    <w:rsid w:val="00B81C83"/>
    <w:rsid w:val="00B828F1"/>
    <w:rsid w:val="00B82C1F"/>
    <w:rsid w:val="00B83516"/>
    <w:rsid w:val="00B83713"/>
    <w:rsid w:val="00B841C6"/>
    <w:rsid w:val="00B8456D"/>
    <w:rsid w:val="00B846FD"/>
    <w:rsid w:val="00B86CFA"/>
    <w:rsid w:val="00B8726C"/>
    <w:rsid w:val="00B87279"/>
    <w:rsid w:val="00B875E9"/>
    <w:rsid w:val="00B87808"/>
    <w:rsid w:val="00B87959"/>
    <w:rsid w:val="00B90DEA"/>
    <w:rsid w:val="00B9183D"/>
    <w:rsid w:val="00B91DB5"/>
    <w:rsid w:val="00B91E3A"/>
    <w:rsid w:val="00B91F72"/>
    <w:rsid w:val="00B929B6"/>
    <w:rsid w:val="00B939EE"/>
    <w:rsid w:val="00B93BF9"/>
    <w:rsid w:val="00B94235"/>
    <w:rsid w:val="00B94389"/>
    <w:rsid w:val="00B94932"/>
    <w:rsid w:val="00B9569A"/>
    <w:rsid w:val="00B965A5"/>
    <w:rsid w:val="00B969AD"/>
    <w:rsid w:val="00B96C3A"/>
    <w:rsid w:val="00B96EC1"/>
    <w:rsid w:val="00B972B8"/>
    <w:rsid w:val="00BA0F27"/>
    <w:rsid w:val="00BA11D4"/>
    <w:rsid w:val="00BA1301"/>
    <w:rsid w:val="00BA2242"/>
    <w:rsid w:val="00BA2393"/>
    <w:rsid w:val="00BA29F2"/>
    <w:rsid w:val="00BA2D25"/>
    <w:rsid w:val="00BA334B"/>
    <w:rsid w:val="00BA36DA"/>
    <w:rsid w:val="00BA3702"/>
    <w:rsid w:val="00BA3743"/>
    <w:rsid w:val="00BA43E2"/>
    <w:rsid w:val="00BA48C7"/>
    <w:rsid w:val="00BA5404"/>
    <w:rsid w:val="00BA5B01"/>
    <w:rsid w:val="00BA5C29"/>
    <w:rsid w:val="00BA5EC7"/>
    <w:rsid w:val="00BA5FCF"/>
    <w:rsid w:val="00BA65D9"/>
    <w:rsid w:val="00BA681A"/>
    <w:rsid w:val="00BA74B6"/>
    <w:rsid w:val="00BA7D8C"/>
    <w:rsid w:val="00BB01E1"/>
    <w:rsid w:val="00BB07A1"/>
    <w:rsid w:val="00BB18B5"/>
    <w:rsid w:val="00BB220E"/>
    <w:rsid w:val="00BB29E9"/>
    <w:rsid w:val="00BB2E9F"/>
    <w:rsid w:val="00BB2F2D"/>
    <w:rsid w:val="00BB374B"/>
    <w:rsid w:val="00BB3EA8"/>
    <w:rsid w:val="00BB4DD0"/>
    <w:rsid w:val="00BB535B"/>
    <w:rsid w:val="00BB5704"/>
    <w:rsid w:val="00BB585C"/>
    <w:rsid w:val="00BB5F95"/>
    <w:rsid w:val="00BB64C4"/>
    <w:rsid w:val="00BB67DB"/>
    <w:rsid w:val="00BB71D1"/>
    <w:rsid w:val="00BB72A9"/>
    <w:rsid w:val="00BC02D0"/>
    <w:rsid w:val="00BC0F67"/>
    <w:rsid w:val="00BC2010"/>
    <w:rsid w:val="00BC21EC"/>
    <w:rsid w:val="00BC257A"/>
    <w:rsid w:val="00BC266E"/>
    <w:rsid w:val="00BC27E7"/>
    <w:rsid w:val="00BC3655"/>
    <w:rsid w:val="00BC3F09"/>
    <w:rsid w:val="00BC4190"/>
    <w:rsid w:val="00BC435F"/>
    <w:rsid w:val="00BC557E"/>
    <w:rsid w:val="00BC573E"/>
    <w:rsid w:val="00BC6232"/>
    <w:rsid w:val="00BC6543"/>
    <w:rsid w:val="00BC6BB8"/>
    <w:rsid w:val="00BC78A4"/>
    <w:rsid w:val="00BC7A61"/>
    <w:rsid w:val="00BC7DCB"/>
    <w:rsid w:val="00BD021D"/>
    <w:rsid w:val="00BD0351"/>
    <w:rsid w:val="00BD043A"/>
    <w:rsid w:val="00BD1B84"/>
    <w:rsid w:val="00BD1FDE"/>
    <w:rsid w:val="00BD2435"/>
    <w:rsid w:val="00BD2DF8"/>
    <w:rsid w:val="00BD2FE0"/>
    <w:rsid w:val="00BD39B1"/>
    <w:rsid w:val="00BD3A08"/>
    <w:rsid w:val="00BD40D6"/>
    <w:rsid w:val="00BD557D"/>
    <w:rsid w:val="00BD5853"/>
    <w:rsid w:val="00BD5EEB"/>
    <w:rsid w:val="00BD6523"/>
    <w:rsid w:val="00BD70D7"/>
    <w:rsid w:val="00BD7242"/>
    <w:rsid w:val="00BE0C24"/>
    <w:rsid w:val="00BE0E81"/>
    <w:rsid w:val="00BE15A0"/>
    <w:rsid w:val="00BE1B7C"/>
    <w:rsid w:val="00BE248A"/>
    <w:rsid w:val="00BE24F5"/>
    <w:rsid w:val="00BE2B91"/>
    <w:rsid w:val="00BE2D5C"/>
    <w:rsid w:val="00BE33FC"/>
    <w:rsid w:val="00BE370A"/>
    <w:rsid w:val="00BE3BBF"/>
    <w:rsid w:val="00BE3D8B"/>
    <w:rsid w:val="00BE415B"/>
    <w:rsid w:val="00BE565C"/>
    <w:rsid w:val="00BE5672"/>
    <w:rsid w:val="00BE6EDF"/>
    <w:rsid w:val="00BE6F24"/>
    <w:rsid w:val="00BE7B7F"/>
    <w:rsid w:val="00BF0A06"/>
    <w:rsid w:val="00BF11C2"/>
    <w:rsid w:val="00BF1BE6"/>
    <w:rsid w:val="00BF1D5C"/>
    <w:rsid w:val="00BF1E91"/>
    <w:rsid w:val="00BF2012"/>
    <w:rsid w:val="00BF201B"/>
    <w:rsid w:val="00BF2170"/>
    <w:rsid w:val="00BF21E2"/>
    <w:rsid w:val="00BF2372"/>
    <w:rsid w:val="00BF28ED"/>
    <w:rsid w:val="00BF421E"/>
    <w:rsid w:val="00BF422F"/>
    <w:rsid w:val="00BF4326"/>
    <w:rsid w:val="00BF4A5F"/>
    <w:rsid w:val="00BF502C"/>
    <w:rsid w:val="00BF6276"/>
    <w:rsid w:val="00BF66CA"/>
    <w:rsid w:val="00BF7068"/>
    <w:rsid w:val="00BF7C56"/>
    <w:rsid w:val="00C011C2"/>
    <w:rsid w:val="00C015DD"/>
    <w:rsid w:val="00C016D5"/>
    <w:rsid w:val="00C0185E"/>
    <w:rsid w:val="00C02B75"/>
    <w:rsid w:val="00C02F67"/>
    <w:rsid w:val="00C034EF"/>
    <w:rsid w:val="00C03B79"/>
    <w:rsid w:val="00C04311"/>
    <w:rsid w:val="00C04A06"/>
    <w:rsid w:val="00C05243"/>
    <w:rsid w:val="00C05458"/>
    <w:rsid w:val="00C06CF8"/>
    <w:rsid w:val="00C07A36"/>
    <w:rsid w:val="00C07C35"/>
    <w:rsid w:val="00C10014"/>
    <w:rsid w:val="00C1089F"/>
    <w:rsid w:val="00C11546"/>
    <w:rsid w:val="00C116C7"/>
    <w:rsid w:val="00C11E32"/>
    <w:rsid w:val="00C12296"/>
    <w:rsid w:val="00C12425"/>
    <w:rsid w:val="00C133D7"/>
    <w:rsid w:val="00C13A06"/>
    <w:rsid w:val="00C156D6"/>
    <w:rsid w:val="00C15858"/>
    <w:rsid w:val="00C159C7"/>
    <w:rsid w:val="00C16359"/>
    <w:rsid w:val="00C17554"/>
    <w:rsid w:val="00C176D2"/>
    <w:rsid w:val="00C200C8"/>
    <w:rsid w:val="00C212E8"/>
    <w:rsid w:val="00C21E73"/>
    <w:rsid w:val="00C22663"/>
    <w:rsid w:val="00C22701"/>
    <w:rsid w:val="00C227E3"/>
    <w:rsid w:val="00C22CE5"/>
    <w:rsid w:val="00C23166"/>
    <w:rsid w:val="00C232C1"/>
    <w:rsid w:val="00C23AA0"/>
    <w:rsid w:val="00C23CD1"/>
    <w:rsid w:val="00C244DF"/>
    <w:rsid w:val="00C2471B"/>
    <w:rsid w:val="00C24D0B"/>
    <w:rsid w:val="00C2525F"/>
    <w:rsid w:val="00C252E0"/>
    <w:rsid w:val="00C253F9"/>
    <w:rsid w:val="00C25721"/>
    <w:rsid w:val="00C25831"/>
    <w:rsid w:val="00C25E51"/>
    <w:rsid w:val="00C26174"/>
    <w:rsid w:val="00C26A4C"/>
    <w:rsid w:val="00C26C36"/>
    <w:rsid w:val="00C275E7"/>
    <w:rsid w:val="00C30E53"/>
    <w:rsid w:val="00C3160E"/>
    <w:rsid w:val="00C31F62"/>
    <w:rsid w:val="00C321D8"/>
    <w:rsid w:val="00C323E9"/>
    <w:rsid w:val="00C32A7A"/>
    <w:rsid w:val="00C342B9"/>
    <w:rsid w:val="00C342EE"/>
    <w:rsid w:val="00C34C9A"/>
    <w:rsid w:val="00C35C05"/>
    <w:rsid w:val="00C3630F"/>
    <w:rsid w:val="00C365E8"/>
    <w:rsid w:val="00C36676"/>
    <w:rsid w:val="00C367E1"/>
    <w:rsid w:val="00C369AC"/>
    <w:rsid w:val="00C36CC3"/>
    <w:rsid w:val="00C36CDD"/>
    <w:rsid w:val="00C36DFF"/>
    <w:rsid w:val="00C3754D"/>
    <w:rsid w:val="00C40437"/>
    <w:rsid w:val="00C40744"/>
    <w:rsid w:val="00C40E14"/>
    <w:rsid w:val="00C4146D"/>
    <w:rsid w:val="00C42112"/>
    <w:rsid w:val="00C42F6B"/>
    <w:rsid w:val="00C4305E"/>
    <w:rsid w:val="00C43428"/>
    <w:rsid w:val="00C43BF2"/>
    <w:rsid w:val="00C43C9B"/>
    <w:rsid w:val="00C4413E"/>
    <w:rsid w:val="00C45D50"/>
    <w:rsid w:val="00C45FD3"/>
    <w:rsid w:val="00C464E4"/>
    <w:rsid w:val="00C46CEE"/>
    <w:rsid w:val="00C47588"/>
    <w:rsid w:val="00C47A46"/>
    <w:rsid w:val="00C5074C"/>
    <w:rsid w:val="00C5193B"/>
    <w:rsid w:val="00C52C07"/>
    <w:rsid w:val="00C52E6A"/>
    <w:rsid w:val="00C52F07"/>
    <w:rsid w:val="00C5381D"/>
    <w:rsid w:val="00C53982"/>
    <w:rsid w:val="00C539E7"/>
    <w:rsid w:val="00C5407D"/>
    <w:rsid w:val="00C54D96"/>
    <w:rsid w:val="00C54FEA"/>
    <w:rsid w:val="00C55494"/>
    <w:rsid w:val="00C556C4"/>
    <w:rsid w:val="00C56215"/>
    <w:rsid w:val="00C563C9"/>
    <w:rsid w:val="00C56517"/>
    <w:rsid w:val="00C56558"/>
    <w:rsid w:val="00C569B1"/>
    <w:rsid w:val="00C56A9F"/>
    <w:rsid w:val="00C570D1"/>
    <w:rsid w:val="00C57622"/>
    <w:rsid w:val="00C602C5"/>
    <w:rsid w:val="00C60985"/>
    <w:rsid w:val="00C61477"/>
    <w:rsid w:val="00C62010"/>
    <w:rsid w:val="00C63513"/>
    <w:rsid w:val="00C6397B"/>
    <w:rsid w:val="00C63D97"/>
    <w:rsid w:val="00C65263"/>
    <w:rsid w:val="00C653EE"/>
    <w:rsid w:val="00C65882"/>
    <w:rsid w:val="00C65919"/>
    <w:rsid w:val="00C666A7"/>
    <w:rsid w:val="00C66AA0"/>
    <w:rsid w:val="00C66DEB"/>
    <w:rsid w:val="00C66F0D"/>
    <w:rsid w:val="00C67784"/>
    <w:rsid w:val="00C67906"/>
    <w:rsid w:val="00C67EA8"/>
    <w:rsid w:val="00C67F4F"/>
    <w:rsid w:val="00C70086"/>
    <w:rsid w:val="00C708E8"/>
    <w:rsid w:val="00C70DF7"/>
    <w:rsid w:val="00C7116C"/>
    <w:rsid w:val="00C7168B"/>
    <w:rsid w:val="00C71BAB"/>
    <w:rsid w:val="00C720C7"/>
    <w:rsid w:val="00C72150"/>
    <w:rsid w:val="00C724DF"/>
    <w:rsid w:val="00C729BA"/>
    <w:rsid w:val="00C72D85"/>
    <w:rsid w:val="00C73D69"/>
    <w:rsid w:val="00C73E6D"/>
    <w:rsid w:val="00C74A81"/>
    <w:rsid w:val="00C74C35"/>
    <w:rsid w:val="00C74C69"/>
    <w:rsid w:val="00C74D4E"/>
    <w:rsid w:val="00C750A7"/>
    <w:rsid w:val="00C75789"/>
    <w:rsid w:val="00C75825"/>
    <w:rsid w:val="00C75E4B"/>
    <w:rsid w:val="00C76291"/>
    <w:rsid w:val="00C762F9"/>
    <w:rsid w:val="00C76AF0"/>
    <w:rsid w:val="00C77241"/>
    <w:rsid w:val="00C7753F"/>
    <w:rsid w:val="00C77A9B"/>
    <w:rsid w:val="00C804A1"/>
    <w:rsid w:val="00C80B2E"/>
    <w:rsid w:val="00C80F3E"/>
    <w:rsid w:val="00C81324"/>
    <w:rsid w:val="00C8142A"/>
    <w:rsid w:val="00C82B3D"/>
    <w:rsid w:val="00C8331C"/>
    <w:rsid w:val="00C83371"/>
    <w:rsid w:val="00C8343F"/>
    <w:rsid w:val="00C835F6"/>
    <w:rsid w:val="00C839AE"/>
    <w:rsid w:val="00C83EF0"/>
    <w:rsid w:val="00C84062"/>
    <w:rsid w:val="00C84146"/>
    <w:rsid w:val="00C84CB2"/>
    <w:rsid w:val="00C8526D"/>
    <w:rsid w:val="00C856C7"/>
    <w:rsid w:val="00C858C8"/>
    <w:rsid w:val="00C85A71"/>
    <w:rsid w:val="00C85E59"/>
    <w:rsid w:val="00C86B2F"/>
    <w:rsid w:val="00C86BCC"/>
    <w:rsid w:val="00C86DD2"/>
    <w:rsid w:val="00C876FF"/>
    <w:rsid w:val="00C87C76"/>
    <w:rsid w:val="00C87E66"/>
    <w:rsid w:val="00C87EBC"/>
    <w:rsid w:val="00C87F00"/>
    <w:rsid w:val="00C900E4"/>
    <w:rsid w:val="00C904D6"/>
    <w:rsid w:val="00C908AA"/>
    <w:rsid w:val="00C90C07"/>
    <w:rsid w:val="00C90C36"/>
    <w:rsid w:val="00C91788"/>
    <w:rsid w:val="00C91827"/>
    <w:rsid w:val="00C93085"/>
    <w:rsid w:val="00C93A2D"/>
    <w:rsid w:val="00C94326"/>
    <w:rsid w:val="00C94A5C"/>
    <w:rsid w:val="00C94C1F"/>
    <w:rsid w:val="00C95A7A"/>
    <w:rsid w:val="00C95F39"/>
    <w:rsid w:val="00C961D9"/>
    <w:rsid w:val="00C96774"/>
    <w:rsid w:val="00C969E9"/>
    <w:rsid w:val="00C971F2"/>
    <w:rsid w:val="00C973D2"/>
    <w:rsid w:val="00C976D1"/>
    <w:rsid w:val="00C97B12"/>
    <w:rsid w:val="00CA000A"/>
    <w:rsid w:val="00CA02E0"/>
    <w:rsid w:val="00CA05FA"/>
    <w:rsid w:val="00CA0841"/>
    <w:rsid w:val="00CA0AD6"/>
    <w:rsid w:val="00CA0F2F"/>
    <w:rsid w:val="00CA1313"/>
    <w:rsid w:val="00CA2CBB"/>
    <w:rsid w:val="00CA3EA5"/>
    <w:rsid w:val="00CA479A"/>
    <w:rsid w:val="00CA4C90"/>
    <w:rsid w:val="00CA4EDE"/>
    <w:rsid w:val="00CA4F19"/>
    <w:rsid w:val="00CA5AF0"/>
    <w:rsid w:val="00CA65E2"/>
    <w:rsid w:val="00CA6CE1"/>
    <w:rsid w:val="00CA7A9E"/>
    <w:rsid w:val="00CB0679"/>
    <w:rsid w:val="00CB067C"/>
    <w:rsid w:val="00CB16E6"/>
    <w:rsid w:val="00CB211C"/>
    <w:rsid w:val="00CB5332"/>
    <w:rsid w:val="00CB62A2"/>
    <w:rsid w:val="00CB6A2F"/>
    <w:rsid w:val="00CB7301"/>
    <w:rsid w:val="00CB74B0"/>
    <w:rsid w:val="00CB78A5"/>
    <w:rsid w:val="00CB7F7F"/>
    <w:rsid w:val="00CC0875"/>
    <w:rsid w:val="00CC0D4A"/>
    <w:rsid w:val="00CC1418"/>
    <w:rsid w:val="00CC19BE"/>
    <w:rsid w:val="00CC25FA"/>
    <w:rsid w:val="00CC2863"/>
    <w:rsid w:val="00CC2B23"/>
    <w:rsid w:val="00CC2DBC"/>
    <w:rsid w:val="00CC3258"/>
    <w:rsid w:val="00CC3518"/>
    <w:rsid w:val="00CC3986"/>
    <w:rsid w:val="00CC42A2"/>
    <w:rsid w:val="00CC4D10"/>
    <w:rsid w:val="00CC4D6C"/>
    <w:rsid w:val="00CC5116"/>
    <w:rsid w:val="00CC52BA"/>
    <w:rsid w:val="00CC555F"/>
    <w:rsid w:val="00CC5A42"/>
    <w:rsid w:val="00CC5CF3"/>
    <w:rsid w:val="00CC6505"/>
    <w:rsid w:val="00CC6875"/>
    <w:rsid w:val="00CC6A04"/>
    <w:rsid w:val="00CC6A1C"/>
    <w:rsid w:val="00CC6C48"/>
    <w:rsid w:val="00CC6E2B"/>
    <w:rsid w:val="00CC6E86"/>
    <w:rsid w:val="00CC708E"/>
    <w:rsid w:val="00CC7F53"/>
    <w:rsid w:val="00CD02B8"/>
    <w:rsid w:val="00CD0F4C"/>
    <w:rsid w:val="00CD1115"/>
    <w:rsid w:val="00CD112E"/>
    <w:rsid w:val="00CD1261"/>
    <w:rsid w:val="00CD182B"/>
    <w:rsid w:val="00CD2DF8"/>
    <w:rsid w:val="00CD31DC"/>
    <w:rsid w:val="00CD35BD"/>
    <w:rsid w:val="00CD3AA3"/>
    <w:rsid w:val="00CD3F9E"/>
    <w:rsid w:val="00CD40BA"/>
    <w:rsid w:val="00CD4D7F"/>
    <w:rsid w:val="00CD6439"/>
    <w:rsid w:val="00CD668A"/>
    <w:rsid w:val="00CD6A90"/>
    <w:rsid w:val="00CD7775"/>
    <w:rsid w:val="00CE0791"/>
    <w:rsid w:val="00CE17CB"/>
    <w:rsid w:val="00CE1891"/>
    <w:rsid w:val="00CE2440"/>
    <w:rsid w:val="00CE24F1"/>
    <w:rsid w:val="00CE282F"/>
    <w:rsid w:val="00CE2939"/>
    <w:rsid w:val="00CE34B4"/>
    <w:rsid w:val="00CE4688"/>
    <w:rsid w:val="00CE4E7D"/>
    <w:rsid w:val="00CE5149"/>
    <w:rsid w:val="00CE5495"/>
    <w:rsid w:val="00CE579A"/>
    <w:rsid w:val="00CE5B21"/>
    <w:rsid w:val="00CE5F29"/>
    <w:rsid w:val="00CE6132"/>
    <w:rsid w:val="00CE647D"/>
    <w:rsid w:val="00CE650D"/>
    <w:rsid w:val="00CE6D01"/>
    <w:rsid w:val="00CE71DA"/>
    <w:rsid w:val="00CE772B"/>
    <w:rsid w:val="00CF0A13"/>
    <w:rsid w:val="00CF0F35"/>
    <w:rsid w:val="00CF1699"/>
    <w:rsid w:val="00CF2020"/>
    <w:rsid w:val="00CF2AD7"/>
    <w:rsid w:val="00CF2D5D"/>
    <w:rsid w:val="00CF3A41"/>
    <w:rsid w:val="00CF3B7B"/>
    <w:rsid w:val="00CF3C18"/>
    <w:rsid w:val="00CF3EFB"/>
    <w:rsid w:val="00CF3EFD"/>
    <w:rsid w:val="00CF44B9"/>
    <w:rsid w:val="00CF4FAF"/>
    <w:rsid w:val="00CF5B57"/>
    <w:rsid w:val="00CF60B0"/>
    <w:rsid w:val="00CF6AE5"/>
    <w:rsid w:val="00CF6D79"/>
    <w:rsid w:val="00CF6F2A"/>
    <w:rsid w:val="00CF71E5"/>
    <w:rsid w:val="00CF75DF"/>
    <w:rsid w:val="00CF7F48"/>
    <w:rsid w:val="00D0020E"/>
    <w:rsid w:val="00D0058E"/>
    <w:rsid w:val="00D00988"/>
    <w:rsid w:val="00D012BF"/>
    <w:rsid w:val="00D01CDF"/>
    <w:rsid w:val="00D0249A"/>
    <w:rsid w:val="00D02D6A"/>
    <w:rsid w:val="00D035AA"/>
    <w:rsid w:val="00D03F04"/>
    <w:rsid w:val="00D04A71"/>
    <w:rsid w:val="00D069DF"/>
    <w:rsid w:val="00D070B5"/>
    <w:rsid w:val="00D07824"/>
    <w:rsid w:val="00D07858"/>
    <w:rsid w:val="00D07D3F"/>
    <w:rsid w:val="00D07FB7"/>
    <w:rsid w:val="00D10539"/>
    <w:rsid w:val="00D1055F"/>
    <w:rsid w:val="00D10DE6"/>
    <w:rsid w:val="00D1183E"/>
    <w:rsid w:val="00D11B92"/>
    <w:rsid w:val="00D11CFE"/>
    <w:rsid w:val="00D11E8A"/>
    <w:rsid w:val="00D124DB"/>
    <w:rsid w:val="00D1297A"/>
    <w:rsid w:val="00D131DF"/>
    <w:rsid w:val="00D1359F"/>
    <w:rsid w:val="00D1395D"/>
    <w:rsid w:val="00D13E49"/>
    <w:rsid w:val="00D141E2"/>
    <w:rsid w:val="00D14C26"/>
    <w:rsid w:val="00D14C9A"/>
    <w:rsid w:val="00D154B5"/>
    <w:rsid w:val="00D16D16"/>
    <w:rsid w:val="00D174E3"/>
    <w:rsid w:val="00D20187"/>
    <w:rsid w:val="00D201A3"/>
    <w:rsid w:val="00D20A3F"/>
    <w:rsid w:val="00D2142E"/>
    <w:rsid w:val="00D216A9"/>
    <w:rsid w:val="00D218EF"/>
    <w:rsid w:val="00D21B26"/>
    <w:rsid w:val="00D22D48"/>
    <w:rsid w:val="00D23106"/>
    <w:rsid w:val="00D232E1"/>
    <w:rsid w:val="00D241AD"/>
    <w:rsid w:val="00D242D1"/>
    <w:rsid w:val="00D24AB8"/>
    <w:rsid w:val="00D251A7"/>
    <w:rsid w:val="00D26793"/>
    <w:rsid w:val="00D26CDE"/>
    <w:rsid w:val="00D26EC0"/>
    <w:rsid w:val="00D27192"/>
    <w:rsid w:val="00D27D76"/>
    <w:rsid w:val="00D27DC0"/>
    <w:rsid w:val="00D30DB9"/>
    <w:rsid w:val="00D31DE4"/>
    <w:rsid w:val="00D324EB"/>
    <w:rsid w:val="00D3278F"/>
    <w:rsid w:val="00D334BE"/>
    <w:rsid w:val="00D334CD"/>
    <w:rsid w:val="00D334D4"/>
    <w:rsid w:val="00D3371E"/>
    <w:rsid w:val="00D33D1B"/>
    <w:rsid w:val="00D33E4C"/>
    <w:rsid w:val="00D3418E"/>
    <w:rsid w:val="00D34231"/>
    <w:rsid w:val="00D3464C"/>
    <w:rsid w:val="00D34AD3"/>
    <w:rsid w:val="00D34CB1"/>
    <w:rsid w:val="00D373D6"/>
    <w:rsid w:val="00D37C74"/>
    <w:rsid w:val="00D37D58"/>
    <w:rsid w:val="00D400A1"/>
    <w:rsid w:val="00D400BF"/>
    <w:rsid w:val="00D408D7"/>
    <w:rsid w:val="00D40FAA"/>
    <w:rsid w:val="00D415DD"/>
    <w:rsid w:val="00D4243D"/>
    <w:rsid w:val="00D432E9"/>
    <w:rsid w:val="00D43420"/>
    <w:rsid w:val="00D436B4"/>
    <w:rsid w:val="00D438B7"/>
    <w:rsid w:val="00D43C39"/>
    <w:rsid w:val="00D43DD1"/>
    <w:rsid w:val="00D44884"/>
    <w:rsid w:val="00D44DDC"/>
    <w:rsid w:val="00D45040"/>
    <w:rsid w:val="00D45B8B"/>
    <w:rsid w:val="00D468DF"/>
    <w:rsid w:val="00D46B7B"/>
    <w:rsid w:val="00D475F2"/>
    <w:rsid w:val="00D47B9D"/>
    <w:rsid w:val="00D5020F"/>
    <w:rsid w:val="00D50800"/>
    <w:rsid w:val="00D50A5E"/>
    <w:rsid w:val="00D50DA7"/>
    <w:rsid w:val="00D51097"/>
    <w:rsid w:val="00D51206"/>
    <w:rsid w:val="00D5143C"/>
    <w:rsid w:val="00D51579"/>
    <w:rsid w:val="00D52150"/>
    <w:rsid w:val="00D52349"/>
    <w:rsid w:val="00D52F16"/>
    <w:rsid w:val="00D53C5F"/>
    <w:rsid w:val="00D541C5"/>
    <w:rsid w:val="00D546A2"/>
    <w:rsid w:val="00D54783"/>
    <w:rsid w:val="00D54EB6"/>
    <w:rsid w:val="00D54EFF"/>
    <w:rsid w:val="00D552CB"/>
    <w:rsid w:val="00D55E4E"/>
    <w:rsid w:val="00D55FE1"/>
    <w:rsid w:val="00D560DA"/>
    <w:rsid w:val="00D56244"/>
    <w:rsid w:val="00D574CA"/>
    <w:rsid w:val="00D57C45"/>
    <w:rsid w:val="00D60471"/>
    <w:rsid w:val="00D6097B"/>
    <w:rsid w:val="00D60FD3"/>
    <w:rsid w:val="00D612EB"/>
    <w:rsid w:val="00D62A0B"/>
    <w:rsid w:val="00D62DCA"/>
    <w:rsid w:val="00D643CC"/>
    <w:rsid w:val="00D668E6"/>
    <w:rsid w:val="00D669FC"/>
    <w:rsid w:val="00D66DDE"/>
    <w:rsid w:val="00D66F5A"/>
    <w:rsid w:val="00D677EB"/>
    <w:rsid w:val="00D67951"/>
    <w:rsid w:val="00D700A1"/>
    <w:rsid w:val="00D70479"/>
    <w:rsid w:val="00D7329B"/>
    <w:rsid w:val="00D739CB"/>
    <w:rsid w:val="00D73B0E"/>
    <w:rsid w:val="00D73C36"/>
    <w:rsid w:val="00D74399"/>
    <w:rsid w:val="00D753A4"/>
    <w:rsid w:val="00D754F9"/>
    <w:rsid w:val="00D76E4D"/>
    <w:rsid w:val="00D81373"/>
    <w:rsid w:val="00D81E68"/>
    <w:rsid w:val="00D820F8"/>
    <w:rsid w:val="00D82A2A"/>
    <w:rsid w:val="00D83E20"/>
    <w:rsid w:val="00D8424B"/>
    <w:rsid w:val="00D843F2"/>
    <w:rsid w:val="00D851E3"/>
    <w:rsid w:val="00D85701"/>
    <w:rsid w:val="00D859A2"/>
    <w:rsid w:val="00D85A4C"/>
    <w:rsid w:val="00D85A69"/>
    <w:rsid w:val="00D85B4A"/>
    <w:rsid w:val="00D86153"/>
    <w:rsid w:val="00D87C1D"/>
    <w:rsid w:val="00D87E93"/>
    <w:rsid w:val="00D90387"/>
    <w:rsid w:val="00D90694"/>
    <w:rsid w:val="00D90F37"/>
    <w:rsid w:val="00D9178D"/>
    <w:rsid w:val="00D921A7"/>
    <w:rsid w:val="00D924A7"/>
    <w:rsid w:val="00D9259F"/>
    <w:rsid w:val="00D92D1A"/>
    <w:rsid w:val="00D92E2D"/>
    <w:rsid w:val="00D93031"/>
    <w:rsid w:val="00D94636"/>
    <w:rsid w:val="00D94DBA"/>
    <w:rsid w:val="00D951BB"/>
    <w:rsid w:val="00D954B6"/>
    <w:rsid w:val="00D9562B"/>
    <w:rsid w:val="00D95DC7"/>
    <w:rsid w:val="00D961FF"/>
    <w:rsid w:val="00D97EC6"/>
    <w:rsid w:val="00DA05CF"/>
    <w:rsid w:val="00DA0CF5"/>
    <w:rsid w:val="00DA1435"/>
    <w:rsid w:val="00DA23F7"/>
    <w:rsid w:val="00DA262A"/>
    <w:rsid w:val="00DA289A"/>
    <w:rsid w:val="00DA2EA9"/>
    <w:rsid w:val="00DA3632"/>
    <w:rsid w:val="00DA413E"/>
    <w:rsid w:val="00DA5DBE"/>
    <w:rsid w:val="00DA5E39"/>
    <w:rsid w:val="00DA5F65"/>
    <w:rsid w:val="00DA66DF"/>
    <w:rsid w:val="00DA6873"/>
    <w:rsid w:val="00DA7BA4"/>
    <w:rsid w:val="00DA7EB5"/>
    <w:rsid w:val="00DB0EAE"/>
    <w:rsid w:val="00DB134B"/>
    <w:rsid w:val="00DB1B90"/>
    <w:rsid w:val="00DB2322"/>
    <w:rsid w:val="00DB2678"/>
    <w:rsid w:val="00DB2A97"/>
    <w:rsid w:val="00DB2AED"/>
    <w:rsid w:val="00DB2E1E"/>
    <w:rsid w:val="00DB411A"/>
    <w:rsid w:val="00DB4A8E"/>
    <w:rsid w:val="00DB4AB2"/>
    <w:rsid w:val="00DB580B"/>
    <w:rsid w:val="00DB6072"/>
    <w:rsid w:val="00DB6385"/>
    <w:rsid w:val="00DB673F"/>
    <w:rsid w:val="00DB676E"/>
    <w:rsid w:val="00DB69C0"/>
    <w:rsid w:val="00DB6BFB"/>
    <w:rsid w:val="00DB7DF3"/>
    <w:rsid w:val="00DC0746"/>
    <w:rsid w:val="00DC090C"/>
    <w:rsid w:val="00DC0B95"/>
    <w:rsid w:val="00DC14C1"/>
    <w:rsid w:val="00DC1604"/>
    <w:rsid w:val="00DC190F"/>
    <w:rsid w:val="00DC2195"/>
    <w:rsid w:val="00DC229F"/>
    <w:rsid w:val="00DC3E08"/>
    <w:rsid w:val="00DC3FCC"/>
    <w:rsid w:val="00DC416A"/>
    <w:rsid w:val="00DC4234"/>
    <w:rsid w:val="00DC468F"/>
    <w:rsid w:val="00DC53D5"/>
    <w:rsid w:val="00DC5D1C"/>
    <w:rsid w:val="00DC6503"/>
    <w:rsid w:val="00DC6565"/>
    <w:rsid w:val="00DC67C8"/>
    <w:rsid w:val="00DC6FE0"/>
    <w:rsid w:val="00DC78E4"/>
    <w:rsid w:val="00DC7B9C"/>
    <w:rsid w:val="00DD0806"/>
    <w:rsid w:val="00DD0EE7"/>
    <w:rsid w:val="00DD2107"/>
    <w:rsid w:val="00DD21EC"/>
    <w:rsid w:val="00DD2B2D"/>
    <w:rsid w:val="00DD384B"/>
    <w:rsid w:val="00DD38DB"/>
    <w:rsid w:val="00DD3B13"/>
    <w:rsid w:val="00DD3C1F"/>
    <w:rsid w:val="00DD4309"/>
    <w:rsid w:val="00DD4524"/>
    <w:rsid w:val="00DD4689"/>
    <w:rsid w:val="00DD46A4"/>
    <w:rsid w:val="00DD482B"/>
    <w:rsid w:val="00DD5028"/>
    <w:rsid w:val="00DD5386"/>
    <w:rsid w:val="00DD596F"/>
    <w:rsid w:val="00DD61EF"/>
    <w:rsid w:val="00DD64C3"/>
    <w:rsid w:val="00DD68EA"/>
    <w:rsid w:val="00DD6FE9"/>
    <w:rsid w:val="00DD741E"/>
    <w:rsid w:val="00DD779C"/>
    <w:rsid w:val="00DE1804"/>
    <w:rsid w:val="00DE1900"/>
    <w:rsid w:val="00DE1C6B"/>
    <w:rsid w:val="00DE1FF5"/>
    <w:rsid w:val="00DE2314"/>
    <w:rsid w:val="00DE27CB"/>
    <w:rsid w:val="00DE2D4E"/>
    <w:rsid w:val="00DE41A5"/>
    <w:rsid w:val="00DE4770"/>
    <w:rsid w:val="00DE5866"/>
    <w:rsid w:val="00DE5949"/>
    <w:rsid w:val="00DE5DEB"/>
    <w:rsid w:val="00DE5E8A"/>
    <w:rsid w:val="00DE6081"/>
    <w:rsid w:val="00DE692F"/>
    <w:rsid w:val="00DE6ABA"/>
    <w:rsid w:val="00DE6E91"/>
    <w:rsid w:val="00DE7404"/>
    <w:rsid w:val="00DE7E1D"/>
    <w:rsid w:val="00DF0027"/>
    <w:rsid w:val="00DF07CE"/>
    <w:rsid w:val="00DF0CB3"/>
    <w:rsid w:val="00DF0F38"/>
    <w:rsid w:val="00DF10D7"/>
    <w:rsid w:val="00DF1202"/>
    <w:rsid w:val="00DF153C"/>
    <w:rsid w:val="00DF1DB3"/>
    <w:rsid w:val="00DF2FC4"/>
    <w:rsid w:val="00DF2FE6"/>
    <w:rsid w:val="00DF323A"/>
    <w:rsid w:val="00DF4255"/>
    <w:rsid w:val="00DF59A4"/>
    <w:rsid w:val="00DF6117"/>
    <w:rsid w:val="00DF629F"/>
    <w:rsid w:val="00DF7CFF"/>
    <w:rsid w:val="00E008DA"/>
    <w:rsid w:val="00E00F77"/>
    <w:rsid w:val="00E01900"/>
    <w:rsid w:val="00E02CB7"/>
    <w:rsid w:val="00E02ECB"/>
    <w:rsid w:val="00E03941"/>
    <w:rsid w:val="00E03B81"/>
    <w:rsid w:val="00E03E54"/>
    <w:rsid w:val="00E04904"/>
    <w:rsid w:val="00E05157"/>
    <w:rsid w:val="00E0580A"/>
    <w:rsid w:val="00E06406"/>
    <w:rsid w:val="00E06773"/>
    <w:rsid w:val="00E074FA"/>
    <w:rsid w:val="00E0768A"/>
    <w:rsid w:val="00E07EE7"/>
    <w:rsid w:val="00E10BB2"/>
    <w:rsid w:val="00E1109D"/>
    <w:rsid w:val="00E11440"/>
    <w:rsid w:val="00E120FE"/>
    <w:rsid w:val="00E124ED"/>
    <w:rsid w:val="00E12C3A"/>
    <w:rsid w:val="00E12E23"/>
    <w:rsid w:val="00E13278"/>
    <w:rsid w:val="00E133A6"/>
    <w:rsid w:val="00E133C1"/>
    <w:rsid w:val="00E13A50"/>
    <w:rsid w:val="00E13F73"/>
    <w:rsid w:val="00E13FA7"/>
    <w:rsid w:val="00E1404A"/>
    <w:rsid w:val="00E14084"/>
    <w:rsid w:val="00E15431"/>
    <w:rsid w:val="00E15CF9"/>
    <w:rsid w:val="00E1686F"/>
    <w:rsid w:val="00E16D40"/>
    <w:rsid w:val="00E16F76"/>
    <w:rsid w:val="00E17BAD"/>
    <w:rsid w:val="00E17CD8"/>
    <w:rsid w:val="00E20543"/>
    <w:rsid w:val="00E20F4A"/>
    <w:rsid w:val="00E22060"/>
    <w:rsid w:val="00E2264D"/>
    <w:rsid w:val="00E233CD"/>
    <w:rsid w:val="00E24779"/>
    <w:rsid w:val="00E24892"/>
    <w:rsid w:val="00E24DBD"/>
    <w:rsid w:val="00E257EE"/>
    <w:rsid w:val="00E261A9"/>
    <w:rsid w:val="00E26AD5"/>
    <w:rsid w:val="00E26C49"/>
    <w:rsid w:val="00E277B4"/>
    <w:rsid w:val="00E27CF1"/>
    <w:rsid w:val="00E27EA0"/>
    <w:rsid w:val="00E30099"/>
    <w:rsid w:val="00E30C2B"/>
    <w:rsid w:val="00E3171C"/>
    <w:rsid w:val="00E31CE8"/>
    <w:rsid w:val="00E3210C"/>
    <w:rsid w:val="00E32F4F"/>
    <w:rsid w:val="00E33173"/>
    <w:rsid w:val="00E33F32"/>
    <w:rsid w:val="00E35109"/>
    <w:rsid w:val="00E3533D"/>
    <w:rsid w:val="00E354AE"/>
    <w:rsid w:val="00E35B97"/>
    <w:rsid w:val="00E3642E"/>
    <w:rsid w:val="00E3678D"/>
    <w:rsid w:val="00E368E0"/>
    <w:rsid w:val="00E36CC2"/>
    <w:rsid w:val="00E372FF"/>
    <w:rsid w:val="00E37650"/>
    <w:rsid w:val="00E37821"/>
    <w:rsid w:val="00E37FAD"/>
    <w:rsid w:val="00E40065"/>
    <w:rsid w:val="00E4032B"/>
    <w:rsid w:val="00E404EC"/>
    <w:rsid w:val="00E40852"/>
    <w:rsid w:val="00E413C9"/>
    <w:rsid w:val="00E41D47"/>
    <w:rsid w:val="00E42BFE"/>
    <w:rsid w:val="00E431AB"/>
    <w:rsid w:val="00E434B5"/>
    <w:rsid w:val="00E43F45"/>
    <w:rsid w:val="00E44A0E"/>
    <w:rsid w:val="00E44F32"/>
    <w:rsid w:val="00E4535A"/>
    <w:rsid w:val="00E4551C"/>
    <w:rsid w:val="00E4594D"/>
    <w:rsid w:val="00E45C38"/>
    <w:rsid w:val="00E45D60"/>
    <w:rsid w:val="00E465E0"/>
    <w:rsid w:val="00E46C31"/>
    <w:rsid w:val="00E47489"/>
    <w:rsid w:val="00E475CB"/>
    <w:rsid w:val="00E4778D"/>
    <w:rsid w:val="00E502A4"/>
    <w:rsid w:val="00E5145A"/>
    <w:rsid w:val="00E51709"/>
    <w:rsid w:val="00E51EE2"/>
    <w:rsid w:val="00E51F10"/>
    <w:rsid w:val="00E52D99"/>
    <w:rsid w:val="00E53B4A"/>
    <w:rsid w:val="00E544BE"/>
    <w:rsid w:val="00E54519"/>
    <w:rsid w:val="00E54E36"/>
    <w:rsid w:val="00E550DF"/>
    <w:rsid w:val="00E55919"/>
    <w:rsid w:val="00E559CE"/>
    <w:rsid w:val="00E55B23"/>
    <w:rsid w:val="00E5760A"/>
    <w:rsid w:val="00E5797E"/>
    <w:rsid w:val="00E57E1D"/>
    <w:rsid w:val="00E60202"/>
    <w:rsid w:val="00E60529"/>
    <w:rsid w:val="00E60C55"/>
    <w:rsid w:val="00E611E6"/>
    <w:rsid w:val="00E61E31"/>
    <w:rsid w:val="00E62166"/>
    <w:rsid w:val="00E62AB8"/>
    <w:rsid w:val="00E62CF4"/>
    <w:rsid w:val="00E62E74"/>
    <w:rsid w:val="00E633AE"/>
    <w:rsid w:val="00E63EE9"/>
    <w:rsid w:val="00E64235"/>
    <w:rsid w:val="00E64774"/>
    <w:rsid w:val="00E647B8"/>
    <w:rsid w:val="00E64943"/>
    <w:rsid w:val="00E64AE8"/>
    <w:rsid w:val="00E65E26"/>
    <w:rsid w:val="00E66198"/>
    <w:rsid w:val="00E66AA4"/>
    <w:rsid w:val="00E66AEE"/>
    <w:rsid w:val="00E66C78"/>
    <w:rsid w:val="00E6735E"/>
    <w:rsid w:val="00E67611"/>
    <w:rsid w:val="00E677B4"/>
    <w:rsid w:val="00E67BA6"/>
    <w:rsid w:val="00E704FA"/>
    <w:rsid w:val="00E70E24"/>
    <w:rsid w:val="00E715A1"/>
    <w:rsid w:val="00E72690"/>
    <w:rsid w:val="00E72B2E"/>
    <w:rsid w:val="00E73A46"/>
    <w:rsid w:val="00E73C55"/>
    <w:rsid w:val="00E7405D"/>
    <w:rsid w:val="00E74E3F"/>
    <w:rsid w:val="00E751A5"/>
    <w:rsid w:val="00E752D2"/>
    <w:rsid w:val="00E75895"/>
    <w:rsid w:val="00E75E16"/>
    <w:rsid w:val="00E7662F"/>
    <w:rsid w:val="00E76C20"/>
    <w:rsid w:val="00E77144"/>
    <w:rsid w:val="00E779B7"/>
    <w:rsid w:val="00E77A0A"/>
    <w:rsid w:val="00E77F2C"/>
    <w:rsid w:val="00E8011D"/>
    <w:rsid w:val="00E81389"/>
    <w:rsid w:val="00E815E4"/>
    <w:rsid w:val="00E8161B"/>
    <w:rsid w:val="00E81C7D"/>
    <w:rsid w:val="00E81F0D"/>
    <w:rsid w:val="00E82854"/>
    <w:rsid w:val="00E83656"/>
    <w:rsid w:val="00E83B93"/>
    <w:rsid w:val="00E844B8"/>
    <w:rsid w:val="00E84A08"/>
    <w:rsid w:val="00E84D06"/>
    <w:rsid w:val="00E84D07"/>
    <w:rsid w:val="00E85904"/>
    <w:rsid w:val="00E869DA"/>
    <w:rsid w:val="00E91E80"/>
    <w:rsid w:val="00E9201C"/>
    <w:rsid w:val="00E921FD"/>
    <w:rsid w:val="00E9312A"/>
    <w:rsid w:val="00E93621"/>
    <w:rsid w:val="00E93CE4"/>
    <w:rsid w:val="00E94AB8"/>
    <w:rsid w:val="00E95195"/>
    <w:rsid w:val="00E95562"/>
    <w:rsid w:val="00E964E5"/>
    <w:rsid w:val="00E96BD6"/>
    <w:rsid w:val="00E96F91"/>
    <w:rsid w:val="00E97C28"/>
    <w:rsid w:val="00EA02E8"/>
    <w:rsid w:val="00EA0944"/>
    <w:rsid w:val="00EA11C9"/>
    <w:rsid w:val="00EA1380"/>
    <w:rsid w:val="00EA1560"/>
    <w:rsid w:val="00EA1719"/>
    <w:rsid w:val="00EA25E0"/>
    <w:rsid w:val="00EA2AC1"/>
    <w:rsid w:val="00EA30C6"/>
    <w:rsid w:val="00EA3FF4"/>
    <w:rsid w:val="00EA4E6A"/>
    <w:rsid w:val="00EA55A2"/>
    <w:rsid w:val="00EA5E1D"/>
    <w:rsid w:val="00EA77FB"/>
    <w:rsid w:val="00EA7A2E"/>
    <w:rsid w:val="00EB015E"/>
    <w:rsid w:val="00EB0666"/>
    <w:rsid w:val="00EB07DB"/>
    <w:rsid w:val="00EB0BCB"/>
    <w:rsid w:val="00EB0D0D"/>
    <w:rsid w:val="00EB0F6E"/>
    <w:rsid w:val="00EB11E3"/>
    <w:rsid w:val="00EB18DE"/>
    <w:rsid w:val="00EB252F"/>
    <w:rsid w:val="00EB2F55"/>
    <w:rsid w:val="00EB3155"/>
    <w:rsid w:val="00EB316C"/>
    <w:rsid w:val="00EB39B7"/>
    <w:rsid w:val="00EB4064"/>
    <w:rsid w:val="00EB4F4A"/>
    <w:rsid w:val="00EB5A79"/>
    <w:rsid w:val="00EB6418"/>
    <w:rsid w:val="00EB6618"/>
    <w:rsid w:val="00EB6716"/>
    <w:rsid w:val="00EB67BA"/>
    <w:rsid w:val="00EC0300"/>
    <w:rsid w:val="00EC0624"/>
    <w:rsid w:val="00EC0D1D"/>
    <w:rsid w:val="00EC22FF"/>
    <w:rsid w:val="00EC2AC0"/>
    <w:rsid w:val="00EC3709"/>
    <w:rsid w:val="00EC4270"/>
    <w:rsid w:val="00EC4F20"/>
    <w:rsid w:val="00EC5B91"/>
    <w:rsid w:val="00EC5D2B"/>
    <w:rsid w:val="00EC622C"/>
    <w:rsid w:val="00EC62CD"/>
    <w:rsid w:val="00EC671E"/>
    <w:rsid w:val="00EC6970"/>
    <w:rsid w:val="00EC7C7B"/>
    <w:rsid w:val="00EC7C8D"/>
    <w:rsid w:val="00ED036B"/>
    <w:rsid w:val="00ED0F59"/>
    <w:rsid w:val="00ED1316"/>
    <w:rsid w:val="00ED1851"/>
    <w:rsid w:val="00ED3928"/>
    <w:rsid w:val="00ED39E3"/>
    <w:rsid w:val="00ED3F69"/>
    <w:rsid w:val="00ED4B19"/>
    <w:rsid w:val="00ED6161"/>
    <w:rsid w:val="00ED64A2"/>
    <w:rsid w:val="00ED6C08"/>
    <w:rsid w:val="00ED74C3"/>
    <w:rsid w:val="00ED7821"/>
    <w:rsid w:val="00EE01CD"/>
    <w:rsid w:val="00EE024A"/>
    <w:rsid w:val="00EE0F41"/>
    <w:rsid w:val="00EE1128"/>
    <w:rsid w:val="00EE13FD"/>
    <w:rsid w:val="00EE1539"/>
    <w:rsid w:val="00EE19EA"/>
    <w:rsid w:val="00EE2821"/>
    <w:rsid w:val="00EE3428"/>
    <w:rsid w:val="00EE3577"/>
    <w:rsid w:val="00EE3CAD"/>
    <w:rsid w:val="00EE4083"/>
    <w:rsid w:val="00EE5906"/>
    <w:rsid w:val="00EE6951"/>
    <w:rsid w:val="00EE701F"/>
    <w:rsid w:val="00EE776B"/>
    <w:rsid w:val="00EE7E53"/>
    <w:rsid w:val="00EF04EE"/>
    <w:rsid w:val="00EF05B0"/>
    <w:rsid w:val="00EF0E05"/>
    <w:rsid w:val="00EF174D"/>
    <w:rsid w:val="00EF1871"/>
    <w:rsid w:val="00EF1FEB"/>
    <w:rsid w:val="00EF3404"/>
    <w:rsid w:val="00EF3B01"/>
    <w:rsid w:val="00EF46F4"/>
    <w:rsid w:val="00EF4796"/>
    <w:rsid w:val="00EF48AD"/>
    <w:rsid w:val="00EF4AD3"/>
    <w:rsid w:val="00EF5D80"/>
    <w:rsid w:val="00EF64D3"/>
    <w:rsid w:val="00EF683B"/>
    <w:rsid w:val="00EF6A87"/>
    <w:rsid w:val="00EF6B8D"/>
    <w:rsid w:val="00EF7405"/>
    <w:rsid w:val="00EF77DB"/>
    <w:rsid w:val="00EF7B65"/>
    <w:rsid w:val="00F00312"/>
    <w:rsid w:val="00F003AE"/>
    <w:rsid w:val="00F00CE3"/>
    <w:rsid w:val="00F00F29"/>
    <w:rsid w:val="00F01CE2"/>
    <w:rsid w:val="00F01D89"/>
    <w:rsid w:val="00F01E2D"/>
    <w:rsid w:val="00F0292E"/>
    <w:rsid w:val="00F02DBF"/>
    <w:rsid w:val="00F0345C"/>
    <w:rsid w:val="00F0345E"/>
    <w:rsid w:val="00F04955"/>
    <w:rsid w:val="00F04D74"/>
    <w:rsid w:val="00F052A0"/>
    <w:rsid w:val="00F05C8B"/>
    <w:rsid w:val="00F06899"/>
    <w:rsid w:val="00F0723C"/>
    <w:rsid w:val="00F07A64"/>
    <w:rsid w:val="00F115FD"/>
    <w:rsid w:val="00F11B6B"/>
    <w:rsid w:val="00F11CD5"/>
    <w:rsid w:val="00F122F9"/>
    <w:rsid w:val="00F12701"/>
    <w:rsid w:val="00F13407"/>
    <w:rsid w:val="00F13459"/>
    <w:rsid w:val="00F13462"/>
    <w:rsid w:val="00F137D8"/>
    <w:rsid w:val="00F13AB2"/>
    <w:rsid w:val="00F13AC8"/>
    <w:rsid w:val="00F14F49"/>
    <w:rsid w:val="00F14F9D"/>
    <w:rsid w:val="00F15501"/>
    <w:rsid w:val="00F16644"/>
    <w:rsid w:val="00F168B8"/>
    <w:rsid w:val="00F16BF4"/>
    <w:rsid w:val="00F17876"/>
    <w:rsid w:val="00F202D2"/>
    <w:rsid w:val="00F2044D"/>
    <w:rsid w:val="00F206A8"/>
    <w:rsid w:val="00F215E6"/>
    <w:rsid w:val="00F21FB9"/>
    <w:rsid w:val="00F22058"/>
    <w:rsid w:val="00F22E28"/>
    <w:rsid w:val="00F22E93"/>
    <w:rsid w:val="00F231FB"/>
    <w:rsid w:val="00F2416A"/>
    <w:rsid w:val="00F249D7"/>
    <w:rsid w:val="00F24FDF"/>
    <w:rsid w:val="00F25AEE"/>
    <w:rsid w:val="00F25BD9"/>
    <w:rsid w:val="00F2637B"/>
    <w:rsid w:val="00F26842"/>
    <w:rsid w:val="00F277A5"/>
    <w:rsid w:val="00F3053A"/>
    <w:rsid w:val="00F306EF"/>
    <w:rsid w:val="00F30992"/>
    <w:rsid w:val="00F30B16"/>
    <w:rsid w:val="00F31C60"/>
    <w:rsid w:val="00F32C8F"/>
    <w:rsid w:val="00F32CFC"/>
    <w:rsid w:val="00F333A2"/>
    <w:rsid w:val="00F3347B"/>
    <w:rsid w:val="00F33792"/>
    <w:rsid w:val="00F33A4F"/>
    <w:rsid w:val="00F34197"/>
    <w:rsid w:val="00F3477E"/>
    <w:rsid w:val="00F349DE"/>
    <w:rsid w:val="00F3576E"/>
    <w:rsid w:val="00F364D3"/>
    <w:rsid w:val="00F367A1"/>
    <w:rsid w:val="00F37463"/>
    <w:rsid w:val="00F376C0"/>
    <w:rsid w:val="00F37754"/>
    <w:rsid w:val="00F37A6A"/>
    <w:rsid w:val="00F408F4"/>
    <w:rsid w:val="00F40F90"/>
    <w:rsid w:val="00F41001"/>
    <w:rsid w:val="00F412AB"/>
    <w:rsid w:val="00F4239A"/>
    <w:rsid w:val="00F425CB"/>
    <w:rsid w:val="00F43171"/>
    <w:rsid w:val="00F43992"/>
    <w:rsid w:val="00F44FE9"/>
    <w:rsid w:val="00F4586E"/>
    <w:rsid w:val="00F467C5"/>
    <w:rsid w:val="00F46807"/>
    <w:rsid w:val="00F47535"/>
    <w:rsid w:val="00F47582"/>
    <w:rsid w:val="00F47E8D"/>
    <w:rsid w:val="00F503FB"/>
    <w:rsid w:val="00F505AE"/>
    <w:rsid w:val="00F50754"/>
    <w:rsid w:val="00F50FB1"/>
    <w:rsid w:val="00F5133E"/>
    <w:rsid w:val="00F513BF"/>
    <w:rsid w:val="00F526A8"/>
    <w:rsid w:val="00F52AD5"/>
    <w:rsid w:val="00F52CD5"/>
    <w:rsid w:val="00F530DF"/>
    <w:rsid w:val="00F531F9"/>
    <w:rsid w:val="00F535E5"/>
    <w:rsid w:val="00F5360F"/>
    <w:rsid w:val="00F53AC1"/>
    <w:rsid w:val="00F54593"/>
    <w:rsid w:val="00F548B6"/>
    <w:rsid w:val="00F5494B"/>
    <w:rsid w:val="00F54AB4"/>
    <w:rsid w:val="00F55C45"/>
    <w:rsid w:val="00F561E0"/>
    <w:rsid w:val="00F5637E"/>
    <w:rsid w:val="00F56467"/>
    <w:rsid w:val="00F566B1"/>
    <w:rsid w:val="00F566EF"/>
    <w:rsid w:val="00F56871"/>
    <w:rsid w:val="00F56A4F"/>
    <w:rsid w:val="00F57E3C"/>
    <w:rsid w:val="00F57EB1"/>
    <w:rsid w:val="00F600C7"/>
    <w:rsid w:val="00F601F8"/>
    <w:rsid w:val="00F60330"/>
    <w:rsid w:val="00F60410"/>
    <w:rsid w:val="00F60724"/>
    <w:rsid w:val="00F60AED"/>
    <w:rsid w:val="00F619AD"/>
    <w:rsid w:val="00F61C3E"/>
    <w:rsid w:val="00F625A9"/>
    <w:rsid w:val="00F62E49"/>
    <w:rsid w:val="00F63085"/>
    <w:rsid w:val="00F63A33"/>
    <w:rsid w:val="00F64786"/>
    <w:rsid w:val="00F65B7B"/>
    <w:rsid w:val="00F66116"/>
    <w:rsid w:val="00F6619B"/>
    <w:rsid w:val="00F664E9"/>
    <w:rsid w:val="00F66A0E"/>
    <w:rsid w:val="00F66CB1"/>
    <w:rsid w:val="00F67EB4"/>
    <w:rsid w:val="00F67FBA"/>
    <w:rsid w:val="00F709AB"/>
    <w:rsid w:val="00F70A2B"/>
    <w:rsid w:val="00F70A41"/>
    <w:rsid w:val="00F71AB9"/>
    <w:rsid w:val="00F725B9"/>
    <w:rsid w:val="00F72CF3"/>
    <w:rsid w:val="00F730BA"/>
    <w:rsid w:val="00F731F1"/>
    <w:rsid w:val="00F73656"/>
    <w:rsid w:val="00F73853"/>
    <w:rsid w:val="00F739F7"/>
    <w:rsid w:val="00F74140"/>
    <w:rsid w:val="00F751BA"/>
    <w:rsid w:val="00F75276"/>
    <w:rsid w:val="00F7549A"/>
    <w:rsid w:val="00F75C07"/>
    <w:rsid w:val="00F76650"/>
    <w:rsid w:val="00F76918"/>
    <w:rsid w:val="00F76B41"/>
    <w:rsid w:val="00F77F33"/>
    <w:rsid w:val="00F81628"/>
    <w:rsid w:val="00F817F2"/>
    <w:rsid w:val="00F81EA5"/>
    <w:rsid w:val="00F82000"/>
    <w:rsid w:val="00F82F37"/>
    <w:rsid w:val="00F83F13"/>
    <w:rsid w:val="00F83F87"/>
    <w:rsid w:val="00F83F93"/>
    <w:rsid w:val="00F8482D"/>
    <w:rsid w:val="00F85169"/>
    <w:rsid w:val="00F851D5"/>
    <w:rsid w:val="00F8594E"/>
    <w:rsid w:val="00F863E4"/>
    <w:rsid w:val="00F8713B"/>
    <w:rsid w:val="00F87DC7"/>
    <w:rsid w:val="00F90005"/>
    <w:rsid w:val="00F907AA"/>
    <w:rsid w:val="00F90BBF"/>
    <w:rsid w:val="00F90C0E"/>
    <w:rsid w:val="00F90F1D"/>
    <w:rsid w:val="00F90FED"/>
    <w:rsid w:val="00F9119A"/>
    <w:rsid w:val="00F911F2"/>
    <w:rsid w:val="00F915F2"/>
    <w:rsid w:val="00F91DF9"/>
    <w:rsid w:val="00F929FA"/>
    <w:rsid w:val="00F9372D"/>
    <w:rsid w:val="00F93999"/>
    <w:rsid w:val="00F93C8A"/>
    <w:rsid w:val="00F9454D"/>
    <w:rsid w:val="00F9481E"/>
    <w:rsid w:val="00F95999"/>
    <w:rsid w:val="00F95DCB"/>
    <w:rsid w:val="00F96D1D"/>
    <w:rsid w:val="00F97E33"/>
    <w:rsid w:val="00FA013A"/>
    <w:rsid w:val="00FA0152"/>
    <w:rsid w:val="00FA1C1B"/>
    <w:rsid w:val="00FA1D73"/>
    <w:rsid w:val="00FA1F78"/>
    <w:rsid w:val="00FA20F1"/>
    <w:rsid w:val="00FA22F3"/>
    <w:rsid w:val="00FA351C"/>
    <w:rsid w:val="00FA376A"/>
    <w:rsid w:val="00FA3CC0"/>
    <w:rsid w:val="00FA3CCE"/>
    <w:rsid w:val="00FA3E76"/>
    <w:rsid w:val="00FA4805"/>
    <w:rsid w:val="00FA4ACC"/>
    <w:rsid w:val="00FA4DA2"/>
    <w:rsid w:val="00FA5014"/>
    <w:rsid w:val="00FA52E1"/>
    <w:rsid w:val="00FA5686"/>
    <w:rsid w:val="00FA5A8E"/>
    <w:rsid w:val="00FA5BC8"/>
    <w:rsid w:val="00FA6786"/>
    <w:rsid w:val="00FA6981"/>
    <w:rsid w:val="00FA77AF"/>
    <w:rsid w:val="00FA79A1"/>
    <w:rsid w:val="00FA7B68"/>
    <w:rsid w:val="00FB058B"/>
    <w:rsid w:val="00FB0871"/>
    <w:rsid w:val="00FB0EE5"/>
    <w:rsid w:val="00FB164E"/>
    <w:rsid w:val="00FB185A"/>
    <w:rsid w:val="00FB23F7"/>
    <w:rsid w:val="00FB32BE"/>
    <w:rsid w:val="00FB366C"/>
    <w:rsid w:val="00FB40B9"/>
    <w:rsid w:val="00FB436E"/>
    <w:rsid w:val="00FB43B2"/>
    <w:rsid w:val="00FB44C4"/>
    <w:rsid w:val="00FB5942"/>
    <w:rsid w:val="00FB59B2"/>
    <w:rsid w:val="00FB6222"/>
    <w:rsid w:val="00FB628F"/>
    <w:rsid w:val="00FB6C0C"/>
    <w:rsid w:val="00FB7930"/>
    <w:rsid w:val="00FB7EEB"/>
    <w:rsid w:val="00FC00BA"/>
    <w:rsid w:val="00FC037A"/>
    <w:rsid w:val="00FC04B1"/>
    <w:rsid w:val="00FC191C"/>
    <w:rsid w:val="00FC2042"/>
    <w:rsid w:val="00FC2BA3"/>
    <w:rsid w:val="00FC2DDA"/>
    <w:rsid w:val="00FC39F5"/>
    <w:rsid w:val="00FC4B02"/>
    <w:rsid w:val="00FC5A41"/>
    <w:rsid w:val="00FC5D80"/>
    <w:rsid w:val="00FC6733"/>
    <w:rsid w:val="00FC6D0A"/>
    <w:rsid w:val="00FC79DF"/>
    <w:rsid w:val="00FD0A2E"/>
    <w:rsid w:val="00FD149C"/>
    <w:rsid w:val="00FD1795"/>
    <w:rsid w:val="00FD18C8"/>
    <w:rsid w:val="00FD1BB3"/>
    <w:rsid w:val="00FD2352"/>
    <w:rsid w:val="00FD3036"/>
    <w:rsid w:val="00FD4CF9"/>
    <w:rsid w:val="00FD5B52"/>
    <w:rsid w:val="00FD687D"/>
    <w:rsid w:val="00FD6B6D"/>
    <w:rsid w:val="00FD6F17"/>
    <w:rsid w:val="00FD7727"/>
    <w:rsid w:val="00FD7ECE"/>
    <w:rsid w:val="00FD7F1C"/>
    <w:rsid w:val="00FE0151"/>
    <w:rsid w:val="00FE0770"/>
    <w:rsid w:val="00FE0792"/>
    <w:rsid w:val="00FE1228"/>
    <w:rsid w:val="00FE1558"/>
    <w:rsid w:val="00FE193D"/>
    <w:rsid w:val="00FE2058"/>
    <w:rsid w:val="00FE31FF"/>
    <w:rsid w:val="00FE3A1B"/>
    <w:rsid w:val="00FE48AF"/>
    <w:rsid w:val="00FE4F40"/>
    <w:rsid w:val="00FE4FA4"/>
    <w:rsid w:val="00FE6730"/>
    <w:rsid w:val="00FE7840"/>
    <w:rsid w:val="00FF0E48"/>
    <w:rsid w:val="00FF1B14"/>
    <w:rsid w:val="00FF2159"/>
    <w:rsid w:val="00FF2194"/>
    <w:rsid w:val="00FF224C"/>
    <w:rsid w:val="00FF25C2"/>
    <w:rsid w:val="00FF2B65"/>
    <w:rsid w:val="00FF2BB5"/>
    <w:rsid w:val="00FF2F38"/>
    <w:rsid w:val="00FF342C"/>
    <w:rsid w:val="00FF414C"/>
    <w:rsid w:val="00FF50EC"/>
    <w:rsid w:val="00FF5171"/>
    <w:rsid w:val="00FF53B6"/>
    <w:rsid w:val="00FF6A0B"/>
    <w:rsid w:val="00FF6CEC"/>
    <w:rsid w:val="00FF7599"/>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38"/>
    <w:pPr>
      <w:tabs>
        <w:tab w:val="center" w:pos="4680"/>
        <w:tab w:val="right" w:pos="9360"/>
      </w:tabs>
      <w:spacing w:line="240" w:lineRule="auto"/>
    </w:pPr>
  </w:style>
  <w:style w:type="character" w:customStyle="1" w:styleId="HeaderChar">
    <w:name w:val="Header Char"/>
    <w:basedOn w:val="DefaultParagraphFont"/>
    <w:link w:val="Header"/>
    <w:uiPriority w:val="99"/>
    <w:rsid w:val="00793638"/>
  </w:style>
  <w:style w:type="paragraph" w:styleId="Footer">
    <w:name w:val="footer"/>
    <w:basedOn w:val="Normal"/>
    <w:link w:val="FooterChar"/>
    <w:uiPriority w:val="99"/>
    <w:unhideWhenUsed/>
    <w:rsid w:val="00793638"/>
    <w:pPr>
      <w:tabs>
        <w:tab w:val="center" w:pos="4680"/>
        <w:tab w:val="right" w:pos="9360"/>
      </w:tabs>
      <w:spacing w:line="240" w:lineRule="auto"/>
    </w:pPr>
  </w:style>
  <w:style w:type="character" w:customStyle="1" w:styleId="FooterChar">
    <w:name w:val="Footer Char"/>
    <w:basedOn w:val="DefaultParagraphFont"/>
    <w:link w:val="Footer"/>
    <w:uiPriority w:val="99"/>
    <w:rsid w:val="00793638"/>
  </w:style>
  <w:style w:type="character" w:styleId="FootnoteReference">
    <w:name w:val="footnote reference"/>
    <w:basedOn w:val="DefaultParagraphFont"/>
    <w:uiPriority w:val="99"/>
    <w:semiHidden/>
    <w:unhideWhenUsed/>
    <w:rsid w:val="00793638"/>
    <w:rPr>
      <w:rFonts w:ascii="Times New Roman" w:hAnsi="Times New Roman"/>
      <w:position w:val="6"/>
      <w:sz w:val="26"/>
      <w:vertAlign w:val="baseline"/>
    </w:rPr>
  </w:style>
  <w:style w:type="paragraph" w:styleId="FootnoteText">
    <w:name w:val="footnote text"/>
    <w:link w:val="FootnoteTextChar"/>
    <w:uiPriority w:val="99"/>
    <w:unhideWhenUsed/>
    <w:rsid w:val="00793638"/>
    <w:pPr>
      <w:spacing w:line="240" w:lineRule="auto"/>
    </w:pPr>
    <w:rPr>
      <w:szCs w:val="20"/>
    </w:rPr>
  </w:style>
  <w:style w:type="character" w:customStyle="1" w:styleId="FootnoteTextChar">
    <w:name w:val="Footnote Text Char"/>
    <w:basedOn w:val="DefaultParagraphFont"/>
    <w:link w:val="FootnoteText"/>
    <w:uiPriority w:val="99"/>
    <w:rsid w:val="00793638"/>
    <w:rPr>
      <w:szCs w:val="20"/>
    </w:rPr>
  </w:style>
  <w:style w:type="paragraph" w:customStyle="1" w:styleId="IndentedQuote">
    <w:name w:val="IndentedQuote"/>
    <w:basedOn w:val="Normal"/>
    <w:link w:val="IndentedQuoteChar"/>
    <w:rsid w:val="0035691F"/>
    <w:pPr>
      <w:spacing w:line="240" w:lineRule="auto"/>
      <w:ind w:left="1080" w:right="1080"/>
    </w:pPr>
  </w:style>
  <w:style w:type="character" w:customStyle="1" w:styleId="IndentedQuoteChar">
    <w:name w:val="IndentedQuote Char"/>
    <w:basedOn w:val="DefaultParagraphFont"/>
    <w:link w:val="IndentedQuote"/>
    <w:rsid w:val="0035691F"/>
  </w:style>
  <w:style w:type="character" w:styleId="Hyperlink">
    <w:name w:val="Hyperlink"/>
    <w:basedOn w:val="DefaultParagraphFont"/>
    <w:uiPriority w:val="99"/>
    <w:unhideWhenUsed/>
    <w:rsid w:val="0035691F"/>
    <w:rPr>
      <w:color w:val="0000FF" w:themeColor="hyperlink"/>
      <w:u w:val="single"/>
    </w:rPr>
  </w:style>
  <w:style w:type="character" w:customStyle="1" w:styleId="UnresolvedMention1">
    <w:name w:val="Unresolved Mention1"/>
    <w:basedOn w:val="DefaultParagraphFont"/>
    <w:uiPriority w:val="99"/>
    <w:semiHidden/>
    <w:unhideWhenUsed/>
    <w:rsid w:val="0035691F"/>
    <w:rPr>
      <w:color w:val="605E5C"/>
      <w:shd w:val="clear" w:color="auto" w:fill="E1DFDD"/>
    </w:rPr>
  </w:style>
  <w:style w:type="character" w:styleId="CommentReference">
    <w:name w:val="annotation reference"/>
    <w:basedOn w:val="DefaultParagraphFont"/>
    <w:uiPriority w:val="99"/>
    <w:semiHidden/>
    <w:unhideWhenUsed/>
    <w:rsid w:val="0035691F"/>
    <w:rPr>
      <w:sz w:val="18"/>
      <w:szCs w:val="18"/>
    </w:rPr>
  </w:style>
  <w:style w:type="paragraph" w:styleId="CommentText">
    <w:name w:val="annotation text"/>
    <w:basedOn w:val="Normal"/>
    <w:link w:val="CommentTextChar"/>
    <w:uiPriority w:val="99"/>
    <w:semiHidden/>
    <w:unhideWhenUsed/>
    <w:rsid w:val="0035691F"/>
    <w:pPr>
      <w:spacing w:line="240" w:lineRule="auto"/>
    </w:pPr>
    <w:rPr>
      <w:sz w:val="24"/>
      <w:szCs w:val="24"/>
    </w:rPr>
  </w:style>
  <w:style w:type="character" w:customStyle="1" w:styleId="CommentTextChar">
    <w:name w:val="Comment Text Char"/>
    <w:basedOn w:val="DefaultParagraphFont"/>
    <w:link w:val="CommentText"/>
    <w:uiPriority w:val="99"/>
    <w:semiHidden/>
    <w:rsid w:val="0035691F"/>
    <w:rPr>
      <w:sz w:val="24"/>
      <w:szCs w:val="24"/>
    </w:rPr>
  </w:style>
  <w:style w:type="paragraph" w:styleId="CommentSubject">
    <w:name w:val="annotation subject"/>
    <w:basedOn w:val="CommentText"/>
    <w:next w:val="CommentText"/>
    <w:link w:val="CommentSubjectChar"/>
    <w:uiPriority w:val="99"/>
    <w:semiHidden/>
    <w:unhideWhenUsed/>
    <w:rsid w:val="0035691F"/>
    <w:rPr>
      <w:b/>
      <w:bCs/>
      <w:sz w:val="20"/>
      <w:szCs w:val="20"/>
    </w:rPr>
  </w:style>
  <w:style w:type="character" w:customStyle="1" w:styleId="CommentSubjectChar">
    <w:name w:val="Comment Subject Char"/>
    <w:basedOn w:val="CommentTextChar"/>
    <w:link w:val="CommentSubject"/>
    <w:uiPriority w:val="99"/>
    <w:semiHidden/>
    <w:rsid w:val="0035691F"/>
    <w:rPr>
      <w:b/>
      <w:bCs/>
      <w:sz w:val="20"/>
      <w:szCs w:val="20"/>
    </w:rPr>
  </w:style>
  <w:style w:type="paragraph" w:styleId="BalloonText">
    <w:name w:val="Balloon Text"/>
    <w:basedOn w:val="Normal"/>
    <w:link w:val="BalloonTextChar"/>
    <w:uiPriority w:val="99"/>
    <w:semiHidden/>
    <w:unhideWhenUsed/>
    <w:rsid w:val="0035691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9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92522-91D9-48BE-9914-F9AC6274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8126</Words>
  <Characters>41398</Characters>
  <Application>Microsoft Office Word</Application>
  <DocSecurity>0</DocSecurity>
  <Lines>832</Lines>
  <Paragraphs>152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2022-06-16T22:42:00Z</dcterms:created>
  <dcterms:modified xsi:type="dcterms:W3CDTF">2022-06-16T22:42:00Z</dcterms:modified>
  <cp:category/>
</cp:coreProperties>
</file>