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44CE" w14:textId="7AA46C51" w:rsidR="00CE177E" w:rsidRPr="0046092B" w:rsidRDefault="00B029BA" w:rsidP="00FC28F7">
      <w:pPr>
        <w:spacing w:line="240" w:lineRule="auto"/>
        <w:jc w:val="center"/>
        <w:rPr>
          <w:rFonts w:ascii="Century Schoolbook" w:hAnsi="Century Schoolbook"/>
          <w:sz w:val="20"/>
        </w:rPr>
      </w:pPr>
      <w:r w:rsidRPr="0046092B">
        <w:rPr>
          <w:rFonts w:ascii="Century Schoolbook" w:hAnsi="Century Schoolbook"/>
          <w:sz w:val="20"/>
        </w:rPr>
        <w:t>Filed 10/18/22</w:t>
      </w:r>
      <w:r>
        <w:rPr>
          <w:rFonts w:ascii="Century Schoolbook" w:hAnsi="Century Schoolbook"/>
          <w:sz w:val="20"/>
        </w:rPr>
        <w:t>; on transfer</w:t>
      </w:r>
      <w:bookmarkStart w:id="0" w:name="_Hlk91684443"/>
      <w:r w:rsidR="00FC28F7" w:rsidRPr="00072A2A">
        <w:rPr>
          <w:rFonts w:ascii="Century Schoolbook" w:hAnsi="Century Schoolbook"/>
          <w:sz w:val="20"/>
        </w:rPr>
        <w:t>; REVIEW GRANTED.  See Cal. Rules of Court, rules 8.1105 and 8.1115 (and corresponding Comment, par. 2, concerning rule 8.1115(e)(3)).</w:t>
      </w:r>
      <w:bookmarkEnd w:id="0"/>
    </w:p>
    <w:p w14:paraId="21C8827B" w14:textId="77777777" w:rsidR="00CE177E" w:rsidRDefault="00B029BA" w:rsidP="00CE177E">
      <w:pPr>
        <w:spacing w:line="240" w:lineRule="auto"/>
        <w:rPr>
          <w:rFonts w:ascii="Century Schoolbook" w:hAnsi="Century Schoolbook"/>
        </w:rPr>
      </w:pPr>
    </w:p>
    <w:p w14:paraId="244274E3" w14:textId="77777777" w:rsidR="008C25AC" w:rsidRDefault="00B029BA" w:rsidP="007A7E7C">
      <w:pPr>
        <w:spacing w:line="240" w:lineRule="auto"/>
        <w:jc w:val="center"/>
        <w:rPr>
          <w:rFonts w:ascii="Century Schoolbook" w:hAnsi="Century Schoolbook"/>
        </w:rPr>
      </w:pPr>
      <w:r>
        <w:rPr>
          <w:rFonts w:ascii="Century Schoolbook" w:hAnsi="Century Schoolbook"/>
        </w:rPr>
        <w:t>CERTIFIED FOR PUBLICATION</w:t>
      </w:r>
    </w:p>
    <w:p w14:paraId="248AF7E4" w14:textId="77777777" w:rsidR="00BE39A8" w:rsidRDefault="00B029BA" w:rsidP="008C25AC">
      <w:pPr>
        <w:spacing w:line="240" w:lineRule="auto"/>
        <w:rPr>
          <w:rFonts w:ascii="Century Schoolbook" w:hAnsi="Century Schoolbook"/>
        </w:rPr>
      </w:pPr>
    </w:p>
    <w:p w14:paraId="0254ADFD" w14:textId="77777777" w:rsidR="008C25AC" w:rsidRDefault="00B029BA" w:rsidP="00BE39A8">
      <w:pPr>
        <w:spacing w:line="240" w:lineRule="auto"/>
        <w:rPr>
          <w:rFonts w:ascii="Century Schoolbook" w:hAnsi="Century Schoolbook"/>
        </w:rPr>
      </w:pPr>
    </w:p>
    <w:p w14:paraId="05A37351" w14:textId="77777777" w:rsidR="00A637F2" w:rsidRPr="00C65E6E" w:rsidRDefault="00B029BA" w:rsidP="00C65E6E">
      <w:pPr>
        <w:spacing w:line="240" w:lineRule="auto"/>
        <w:jc w:val="center"/>
        <w:rPr>
          <w:rFonts w:ascii="Century Schoolbook" w:hAnsi="Century Schoolbook"/>
        </w:rPr>
      </w:pPr>
      <w:r w:rsidRPr="00C65E6E">
        <w:rPr>
          <w:rFonts w:ascii="Century Schoolbook" w:hAnsi="Century Schoolbook"/>
        </w:rPr>
        <w:t>COURT OF APPEAL, FOURTH APPELLATE DISTRICT</w:t>
      </w:r>
    </w:p>
    <w:p w14:paraId="6A8BAAF0" w14:textId="77777777" w:rsidR="00C65E6E" w:rsidRPr="00C65E6E" w:rsidRDefault="00B029BA" w:rsidP="00C65E6E">
      <w:pPr>
        <w:spacing w:line="240" w:lineRule="auto"/>
        <w:jc w:val="center"/>
        <w:rPr>
          <w:rFonts w:ascii="Century Schoolbook" w:hAnsi="Century Schoolbook"/>
        </w:rPr>
      </w:pPr>
    </w:p>
    <w:p w14:paraId="0B29B916" w14:textId="77777777" w:rsidR="00C65E6E" w:rsidRPr="00C65E6E" w:rsidRDefault="00B029BA" w:rsidP="00C65E6E">
      <w:pPr>
        <w:spacing w:line="240" w:lineRule="auto"/>
        <w:jc w:val="center"/>
        <w:rPr>
          <w:rFonts w:ascii="Century Schoolbook" w:hAnsi="Century Schoolbook"/>
        </w:rPr>
      </w:pPr>
      <w:r w:rsidRPr="00C65E6E">
        <w:rPr>
          <w:rFonts w:ascii="Century Schoolbook" w:hAnsi="Century Schoolbook"/>
        </w:rPr>
        <w:t>DIVISION ONE</w:t>
      </w:r>
    </w:p>
    <w:p w14:paraId="5AAE2781" w14:textId="77777777" w:rsidR="00C65E6E" w:rsidRPr="00C65E6E" w:rsidRDefault="00B029BA" w:rsidP="00C65E6E">
      <w:pPr>
        <w:spacing w:line="240" w:lineRule="auto"/>
        <w:jc w:val="center"/>
        <w:rPr>
          <w:rFonts w:ascii="Century Schoolbook" w:hAnsi="Century Schoolbook"/>
        </w:rPr>
      </w:pPr>
    </w:p>
    <w:p w14:paraId="662E67A3" w14:textId="77777777" w:rsidR="00C65E6E" w:rsidRPr="00C65E6E" w:rsidRDefault="00B029BA" w:rsidP="00C65E6E">
      <w:pPr>
        <w:spacing w:line="240" w:lineRule="auto"/>
        <w:jc w:val="center"/>
        <w:rPr>
          <w:rFonts w:ascii="Century Schoolbook" w:hAnsi="Century Schoolbook"/>
        </w:rPr>
      </w:pPr>
      <w:r w:rsidRPr="00C65E6E">
        <w:rPr>
          <w:rFonts w:ascii="Century Schoolbook" w:hAnsi="Century Schoolbook"/>
        </w:rPr>
        <w:t>STATE OF CALIFORNIA</w:t>
      </w:r>
    </w:p>
    <w:p w14:paraId="1D4AC803" w14:textId="77777777" w:rsidR="00C65E6E" w:rsidRPr="00C65E6E" w:rsidRDefault="00B029BA" w:rsidP="00C65E6E">
      <w:pPr>
        <w:spacing w:line="240" w:lineRule="auto"/>
        <w:jc w:val="center"/>
        <w:rPr>
          <w:rFonts w:ascii="Century Schoolbook" w:hAnsi="Century Schoolbook"/>
        </w:rPr>
      </w:pPr>
    </w:p>
    <w:p w14:paraId="58E7CEDD" w14:textId="77777777" w:rsidR="00C65E6E" w:rsidRPr="00C65E6E" w:rsidRDefault="00B029BA" w:rsidP="00C65E6E">
      <w:pPr>
        <w:spacing w:line="240" w:lineRule="auto"/>
        <w:jc w:val="center"/>
        <w:rPr>
          <w:rFonts w:ascii="Century Schoolbook" w:hAnsi="Century Schoolbook"/>
        </w:rPr>
      </w:pPr>
    </w:p>
    <w:p w14:paraId="4FF7E1D4" w14:textId="77777777" w:rsidR="00C65E6E" w:rsidRPr="00C65E6E" w:rsidRDefault="00B029BA" w:rsidP="00C65E6E">
      <w:pPr>
        <w:spacing w:line="240" w:lineRule="auto"/>
        <w:jc w:val="center"/>
        <w:rPr>
          <w:rFonts w:ascii="Century Schoolbook" w:hAnsi="Century Schoolbook"/>
        </w:rPr>
      </w:pPr>
    </w:p>
    <w:tbl>
      <w:tblPr>
        <w:tblW w:w="9360" w:type="dxa"/>
        <w:tblLayout w:type="fixed"/>
        <w:tblLook w:val="0000" w:firstRow="0" w:lastRow="0" w:firstColumn="0" w:lastColumn="0" w:noHBand="0" w:noVBand="0"/>
      </w:tblPr>
      <w:tblGrid>
        <w:gridCol w:w="5040"/>
        <w:gridCol w:w="4320"/>
      </w:tblGrid>
      <w:tr w:rsidR="00E31401" w14:paraId="6F96486A" w14:textId="77777777" w:rsidTr="00C65E6E">
        <w:tc>
          <w:tcPr>
            <w:tcW w:w="5040" w:type="dxa"/>
            <w:tcBorders>
              <w:bottom w:val="single" w:sz="4" w:space="0" w:color="auto"/>
              <w:right w:val="single" w:sz="4" w:space="0" w:color="auto"/>
            </w:tcBorders>
            <w:shd w:val="clear" w:color="auto" w:fill="auto"/>
          </w:tcPr>
          <w:p w14:paraId="739F7148" w14:textId="77777777" w:rsidR="00C65E6E" w:rsidRPr="00C65E6E" w:rsidRDefault="00B029BA" w:rsidP="00C65E6E">
            <w:pPr>
              <w:spacing w:line="240" w:lineRule="auto"/>
              <w:rPr>
                <w:rFonts w:ascii="Century Schoolbook" w:hAnsi="Century Schoolbook"/>
              </w:rPr>
            </w:pPr>
            <w:r w:rsidRPr="00C65E6E">
              <w:rPr>
                <w:rFonts w:ascii="Century Schoolbook" w:hAnsi="Century Schoolbook"/>
              </w:rPr>
              <w:t xml:space="preserve">In re VICTOR </w:t>
            </w:r>
            <w:r>
              <w:rPr>
                <w:rFonts w:ascii="Century Schoolbook" w:hAnsi="Century Schoolbook"/>
              </w:rPr>
              <w:t xml:space="preserve">RAUL </w:t>
            </w:r>
            <w:r w:rsidRPr="00C65E6E">
              <w:rPr>
                <w:rFonts w:ascii="Century Schoolbook" w:hAnsi="Century Schoolbook"/>
              </w:rPr>
              <w:t>TELLEZ</w:t>
            </w:r>
          </w:p>
          <w:p w14:paraId="46C9CD3E" w14:textId="77777777" w:rsidR="00C65E6E" w:rsidRPr="00C65E6E" w:rsidRDefault="00B029BA" w:rsidP="00C65E6E">
            <w:pPr>
              <w:spacing w:line="240" w:lineRule="auto"/>
              <w:rPr>
                <w:rFonts w:ascii="Century Schoolbook" w:hAnsi="Century Schoolbook"/>
              </w:rPr>
            </w:pPr>
          </w:p>
          <w:p w14:paraId="46D3A78D" w14:textId="77777777" w:rsidR="00C65E6E" w:rsidRPr="00C65E6E" w:rsidRDefault="00B029BA" w:rsidP="00C65E6E">
            <w:pPr>
              <w:spacing w:line="240" w:lineRule="auto"/>
              <w:rPr>
                <w:rFonts w:ascii="Century Schoolbook" w:hAnsi="Century Schoolbook"/>
              </w:rPr>
            </w:pPr>
            <w:r w:rsidRPr="00C65E6E">
              <w:rPr>
                <w:rFonts w:ascii="Century Schoolbook" w:hAnsi="Century Schoolbook"/>
              </w:rPr>
              <w:t>on</w:t>
            </w:r>
          </w:p>
          <w:p w14:paraId="40CFB8DE" w14:textId="77777777" w:rsidR="00C65E6E" w:rsidRPr="00C65E6E" w:rsidRDefault="00B029BA" w:rsidP="00C65E6E">
            <w:pPr>
              <w:spacing w:line="240" w:lineRule="auto"/>
              <w:rPr>
                <w:rFonts w:ascii="Century Schoolbook" w:hAnsi="Century Schoolbook"/>
              </w:rPr>
            </w:pPr>
          </w:p>
          <w:p w14:paraId="7BF40505" w14:textId="77777777" w:rsidR="00C65E6E" w:rsidRPr="00C65E6E" w:rsidRDefault="00B029BA" w:rsidP="00C65E6E">
            <w:pPr>
              <w:spacing w:line="240" w:lineRule="auto"/>
              <w:rPr>
                <w:rFonts w:ascii="Century Schoolbook" w:hAnsi="Century Schoolbook"/>
              </w:rPr>
            </w:pPr>
            <w:r w:rsidRPr="00C65E6E">
              <w:rPr>
                <w:rFonts w:ascii="Century Schoolbook" w:hAnsi="Century Schoolbook"/>
              </w:rPr>
              <w:t>Habeas Corpus.</w:t>
            </w:r>
          </w:p>
          <w:p w14:paraId="5B7191FE" w14:textId="77777777" w:rsidR="00C65E6E" w:rsidRPr="00C65E6E" w:rsidRDefault="00B029BA" w:rsidP="00C65E6E">
            <w:pPr>
              <w:spacing w:line="240" w:lineRule="auto"/>
              <w:rPr>
                <w:rFonts w:ascii="Century Schoolbook" w:hAnsi="Century Schoolbook"/>
              </w:rPr>
            </w:pPr>
          </w:p>
        </w:tc>
        <w:tc>
          <w:tcPr>
            <w:tcW w:w="4320" w:type="dxa"/>
            <w:tcBorders>
              <w:left w:val="single" w:sz="4" w:space="0" w:color="auto"/>
            </w:tcBorders>
            <w:shd w:val="clear" w:color="auto" w:fill="auto"/>
          </w:tcPr>
          <w:p w14:paraId="2EFA9CCF" w14:textId="77777777" w:rsidR="00C65E6E" w:rsidRPr="00C65E6E" w:rsidRDefault="00B029BA" w:rsidP="00C65E6E">
            <w:pPr>
              <w:tabs>
                <w:tab w:val="left" w:pos="144"/>
              </w:tabs>
              <w:spacing w:line="240" w:lineRule="auto"/>
              <w:rPr>
                <w:rFonts w:ascii="Century Schoolbook" w:hAnsi="Century Schoolbook"/>
              </w:rPr>
            </w:pPr>
            <w:r w:rsidRPr="00C65E6E">
              <w:rPr>
                <w:rFonts w:ascii="Century Schoolbook" w:hAnsi="Century Schoolbook"/>
              </w:rPr>
              <w:t xml:space="preserve">  D079716</w:t>
            </w:r>
          </w:p>
          <w:p w14:paraId="5F5E7B60" w14:textId="77777777" w:rsidR="00C65E6E" w:rsidRPr="00C65E6E" w:rsidRDefault="00B029BA" w:rsidP="00C65E6E">
            <w:pPr>
              <w:tabs>
                <w:tab w:val="left" w:pos="144"/>
              </w:tabs>
              <w:spacing w:line="240" w:lineRule="auto"/>
              <w:rPr>
                <w:rFonts w:ascii="Century Schoolbook" w:hAnsi="Century Schoolbook"/>
              </w:rPr>
            </w:pPr>
          </w:p>
          <w:p w14:paraId="46B00B55" w14:textId="77777777" w:rsidR="00C65E6E" w:rsidRPr="00C65E6E" w:rsidRDefault="00B029BA" w:rsidP="00C65E6E">
            <w:pPr>
              <w:tabs>
                <w:tab w:val="left" w:pos="144"/>
              </w:tabs>
              <w:spacing w:line="240" w:lineRule="auto"/>
              <w:rPr>
                <w:rFonts w:ascii="Century Schoolbook" w:hAnsi="Century Schoolbook"/>
              </w:rPr>
            </w:pPr>
            <w:r w:rsidRPr="00C65E6E">
              <w:rPr>
                <w:rFonts w:ascii="Century Schoolbook" w:hAnsi="Century Schoolbook"/>
              </w:rPr>
              <w:t xml:space="preserve">  (San Diego County</w:t>
            </w:r>
          </w:p>
          <w:p w14:paraId="6AAFA693" w14:textId="77777777" w:rsidR="00C65E6E" w:rsidRPr="00C65E6E" w:rsidRDefault="00B029BA" w:rsidP="00C65E6E">
            <w:pPr>
              <w:tabs>
                <w:tab w:val="left" w:pos="144"/>
              </w:tabs>
              <w:spacing w:line="240" w:lineRule="auto"/>
              <w:rPr>
                <w:rFonts w:ascii="Century Schoolbook" w:hAnsi="Century Schoolbook"/>
              </w:rPr>
            </w:pPr>
            <w:r w:rsidRPr="00C65E6E">
              <w:rPr>
                <w:rFonts w:ascii="Century Schoolbook" w:hAnsi="Century Schoolbook"/>
              </w:rPr>
              <w:t xml:space="preserve">  Super. Ct. No. SCE369196)</w:t>
            </w:r>
          </w:p>
        </w:tc>
      </w:tr>
    </w:tbl>
    <w:p w14:paraId="736503BD" w14:textId="77777777" w:rsidR="00C65E6E" w:rsidRDefault="00B029BA" w:rsidP="00912117">
      <w:pPr>
        <w:spacing w:line="240" w:lineRule="auto"/>
        <w:rPr>
          <w:rFonts w:ascii="Century Schoolbook" w:hAnsi="Century Schoolbook"/>
        </w:rPr>
      </w:pPr>
    </w:p>
    <w:p w14:paraId="054D65F8" w14:textId="77777777" w:rsidR="00C65E6E" w:rsidRDefault="00B029BA" w:rsidP="00C65E6E">
      <w:pPr>
        <w:spacing w:line="360" w:lineRule="auto"/>
        <w:rPr>
          <w:rFonts w:ascii="Century Schoolbook" w:hAnsi="Century Schoolbook"/>
        </w:rPr>
      </w:pPr>
      <w:r>
        <w:rPr>
          <w:rFonts w:ascii="Century Schoolbook" w:hAnsi="Century Schoolbook"/>
        </w:rPr>
        <w:tab/>
        <w:t>ORIGINAL PROCEEDING in habeas corpus.  Petition denied.</w:t>
      </w:r>
    </w:p>
    <w:p w14:paraId="054D9BC3" w14:textId="77777777" w:rsidR="00C65E6E" w:rsidRPr="00C65E6E" w:rsidRDefault="00B029BA" w:rsidP="00C65E6E">
      <w:pPr>
        <w:spacing w:line="360" w:lineRule="auto"/>
        <w:rPr>
          <w:rFonts w:ascii="Century Schoolbook" w:hAnsi="Century Schoolbook"/>
        </w:rPr>
      </w:pPr>
      <w:r>
        <w:rPr>
          <w:rFonts w:ascii="Century Schoolbook" w:hAnsi="Century Schoolbook"/>
        </w:rPr>
        <w:tab/>
        <w:t>Megan Marcotte, Chief Deputy Alternate Public Defender, Vickie Fernandes, Gilson Gray and Anthony Parker, Deputy Alternate Public Defenders, for Petitioner.</w:t>
      </w:r>
    </w:p>
    <w:p w14:paraId="0D5D31F4" w14:textId="77777777" w:rsidR="00C65E6E" w:rsidRPr="00C65E6E" w:rsidRDefault="00B029BA" w:rsidP="00C65E6E">
      <w:pPr>
        <w:spacing w:line="360" w:lineRule="auto"/>
        <w:rPr>
          <w:rFonts w:ascii="Century Schoolbook" w:hAnsi="Century Schoolbook"/>
        </w:rPr>
      </w:pPr>
      <w:r>
        <w:rPr>
          <w:rFonts w:ascii="Century Schoolbook" w:hAnsi="Century Schoolbook"/>
        </w:rPr>
        <w:tab/>
        <w:t>Rob Bonta,</w:t>
      </w:r>
      <w:r>
        <w:rPr>
          <w:rFonts w:ascii="Century Schoolbook" w:hAnsi="Century Schoolbook"/>
        </w:rPr>
        <w:t xml:space="preserve"> Attorney General, Lance E. Winters, Chief Assistant Attorney General, Charles C. Ragland, Assistant Attorney General, Melissa Mandel, Nora Weyl, and Joy Utomi, Deputy Attorneys General, for Respondent.</w:t>
      </w:r>
    </w:p>
    <w:p w14:paraId="4B521443" w14:textId="77777777" w:rsidR="00C65E6E" w:rsidRDefault="00B029BA" w:rsidP="00CF0F39">
      <w:pPr>
        <w:spacing w:line="240" w:lineRule="auto"/>
        <w:rPr>
          <w:rFonts w:ascii="Century Schoolbook" w:hAnsi="Century Schoolbook"/>
        </w:rPr>
      </w:pPr>
    </w:p>
    <w:p w14:paraId="26E03824" w14:textId="77777777" w:rsidR="00C65E6E" w:rsidRDefault="00B029BA" w:rsidP="00C65E6E">
      <w:pPr>
        <w:spacing w:line="360" w:lineRule="auto"/>
        <w:rPr>
          <w:rFonts w:ascii="Century Schoolbook" w:hAnsi="Century Schoolbook"/>
        </w:rPr>
      </w:pPr>
      <w:r>
        <w:rPr>
          <w:rFonts w:ascii="Century Schoolbook" w:hAnsi="Century Schoolbook"/>
        </w:rPr>
        <w:tab/>
        <w:t xml:space="preserve">By petition for writ of habeas corpus, Victor Raul </w:t>
      </w:r>
      <w:r>
        <w:rPr>
          <w:rFonts w:ascii="Century Schoolbook" w:hAnsi="Century Schoolbook"/>
        </w:rPr>
        <w:t xml:space="preserve">Tellez asks this court to vacate his conviction based on a plea of guilty to committing a lewd and lascivious act on a child under the age of 14 years.  He complains his appointed counsel provided ineffective assistance by failing to advise him before the </w:t>
      </w:r>
      <w:r>
        <w:rPr>
          <w:rFonts w:ascii="Century Schoolbook" w:hAnsi="Century Schoolbook"/>
        </w:rPr>
        <w:t xml:space="preserve">plea that he could be subject to lifetime commitment as a sexually </w:t>
      </w:r>
      <w:r>
        <w:rPr>
          <w:rFonts w:ascii="Century Schoolbook" w:hAnsi="Century Schoolbook"/>
        </w:rPr>
        <w:lastRenderedPageBreak/>
        <w:t>violent predator after service of the prison term.  As we shall explain, Tellez has not stated a prima facie case for relief.  We therefore deny the petition.</w:t>
      </w:r>
    </w:p>
    <w:p w14:paraId="02D682D7" w14:textId="77777777" w:rsidR="00D120FF" w:rsidRDefault="00B029BA" w:rsidP="007325CC">
      <w:pPr>
        <w:keepNext/>
        <w:spacing w:line="360" w:lineRule="auto"/>
        <w:jc w:val="center"/>
        <w:rPr>
          <w:rFonts w:ascii="Century Schoolbook" w:hAnsi="Century Schoolbook"/>
        </w:rPr>
      </w:pPr>
      <w:r>
        <w:rPr>
          <w:rFonts w:ascii="Century Schoolbook" w:hAnsi="Century Schoolbook"/>
        </w:rPr>
        <w:t>I.</w:t>
      </w:r>
    </w:p>
    <w:p w14:paraId="7A6629B3" w14:textId="77777777" w:rsidR="00D120FF" w:rsidRDefault="00B029BA" w:rsidP="007325CC">
      <w:pPr>
        <w:keepNext/>
        <w:spacing w:line="360" w:lineRule="auto"/>
        <w:jc w:val="center"/>
        <w:rPr>
          <w:rFonts w:ascii="Century Schoolbook" w:hAnsi="Century Schoolbook"/>
        </w:rPr>
      </w:pPr>
      <w:r>
        <w:rPr>
          <w:rFonts w:ascii="Century Schoolbook" w:hAnsi="Century Schoolbook"/>
        </w:rPr>
        <w:t>BACKGROUND</w:t>
      </w:r>
    </w:p>
    <w:p w14:paraId="3C5AAFB1" w14:textId="77777777" w:rsidR="00D120FF" w:rsidRDefault="00B029BA" w:rsidP="00C65E6E">
      <w:pPr>
        <w:spacing w:line="360" w:lineRule="auto"/>
        <w:rPr>
          <w:rFonts w:ascii="Century Schoolbook" w:hAnsi="Century Schoolbook"/>
        </w:rPr>
      </w:pPr>
      <w:r>
        <w:rPr>
          <w:rFonts w:ascii="Century Schoolbook" w:hAnsi="Century Schoolbook"/>
        </w:rPr>
        <w:tab/>
      </w:r>
      <w:r w:rsidRPr="00D120FF">
        <w:rPr>
          <w:rFonts w:ascii="Century Schoolbook" w:hAnsi="Century Schoolbook"/>
        </w:rPr>
        <w:t xml:space="preserve">The People charged Tellez with three counts of committing a lewd </w:t>
      </w:r>
      <w:r>
        <w:rPr>
          <w:rFonts w:ascii="Century Schoolbook" w:hAnsi="Century Schoolbook"/>
        </w:rPr>
        <w:t>and</w:t>
      </w:r>
      <w:r w:rsidRPr="00D120FF">
        <w:rPr>
          <w:rFonts w:ascii="Century Schoolbook" w:hAnsi="Century Schoolbook"/>
        </w:rPr>
        <w:t xml:space="preserve"> lascivious act on a child under the age of 14 years (Pen. Code, § 288, subd. (a)), each of which involved a different victim.  Tellez pled guilty to one count, and as the factual basis fo</w:t>
      </w:r>
      <w:r w:rsidRPr="00D120FF">
        <w:rPr>
          <w:rFonts w:ascii="Century Schoolbook" w:hAnsi="Century Schoolbook"/>
        </w:rPr>
        <w:t xml:space="preserve">r the plea admitted he willfully touched </w:t>
      </w:r>
      <w:r>
        <w:rPr>
          <w:rFonts w:ascii="Century Schoolbook" w:hAnsi="Century Schoolbook"/>
        </w:rPr>
        <w:t xml:space="preserve">the back of </w:t>
      </w:r>
      <w:r w:rsidRPr="00D120FF">
        <w:rPr>
          <w:rFonts w:ascii="Century Schoolbook" w:hAnsi="Century Schoolbook"/>
        </w:rPr>
        <w:t xml:space="preserve">a child under the age of 14 years with the intent </w:t>
      </w:r>
      <w:r>
        <w:rPr>
          <w:rFonts w:ascii="Century Schoolbook" w:hAnsi="Century Schoolbook"/>
        </w:rPr>
        <w:t>to</w:t>
      </w:r>
      <w:r w:rsidRPr="00D120FF">
        <w:rPr>
          <w:rFonts w:ascii="Century Schoolbook" w:hAnsi="Century Schoolbook"/>
        </w:rPr>
        <w:t xml:space="preserve"> arous</w:t>
      </w:r>
      <w:r>
        <w:rPr>
          <w:rFonts w:ascii="Century Schoolbook" w:hAnsi="Century Schoolbook"/>
        </w:rPr>
        <w:t>e</w:t>
      </w:r>
      <w:r w:rsidRPr="00D120FF">
        <w:rPr>
          <w:rFonts w:ascii="Century Schoolbook" w:hAnsi="Century Schoolbook"/>
        </w:rPr>
        <w:t xml:space="preserve"> his</w:t>
      </w:r>
      <w:r>
        <w:rPr>
          <w:rFonts w:ascii="Century Schoolbook" w:hAnsi="Century Schoolbook"/>
        </w:rPr>
        <w:t xml:space="preserve"> own</w:t>
      </w:r>
      <w:r w:rsidRPr="00D120FF">
        <w:rPr>
          <w:rFonts w:ascii="Century Schoolbook" w:hAnsi="Century Schoolbook"/>
        </w:rPr>
        <w:t xml:space="preserve"> sexual desires.  He also stipulated to a three-year prison term.  In exchange, the People dismissed the two other counts.  The court im</w:t>
      </w:r>
      <w:r w:rsidRPr="00D120FF">
        <w:rPr>
          <w:rFonts w:ascii="Century Schoolbook" w:hAnsi="Century Schoolbook"/>
        </w:rPr>
        <w:t xml:space="preserve">posed the stipulated prison term on December 20, 2017. </w:t>
      </w:r>
    </w:p>
    <w:p w14:paraId="7E12E6D9" w14:textId="77777777" w:rsidR="00D120FF" w:rsidRPr="00D120FF" w:rsidRDefault="00B029BA" w:rsidP="00D120FF">
      <w:pPr>
        <w:spacing w:line="360" w:lineRule="auto"/>
        <w:rPr>
          <w:rFonts w:ascii="Century Schoolbook" w:hAnsi="Century Schoolbook"/>
        </w:rPr>
      </w:pPr>
      <w:r>
        <w:rPr>
          <w:rFonts w:ascii="Century Schoolbook" w:hAnsi="Century Schoolbook"/>
        </w:rPr>
        <w:tab/>
      </w:r>
      <w:r w:rsidRPr="00D120FF">
        <w:rPr>
          <w:rFonts w:ascii="Century Schoolbook" w:hAnsi="Century Schoolbook"/>
        </w:rPr>
        <w:t xml:space="preserve">Tellez was released </w:t>
      </w:r>
      <w:r>
        <w:rPr>
          <w:rFonts w:ascii="Century Schoolbook" w:hAnsi="Century Schoolbook"/>
        </w:rPr>
        <w:t xml:space="preserve">from prison on parole </w:t>
      </w:r>
      <w:r w:rsidRPr="00D120FF">
        <w:rPr>
          <w:rFonts w:ascii="Century Schoolbook" w:hAnsi="Century Schoolbook"/>
        </w:rPr>
        <w:t>on August 1, 2019</w:t>
      </w:r>
      <w:r>
        <w:rPr>
          <w:rFonts w:ascii="Century Schoolbook" w:hAnsi="Century Schoolbook"/>
        </w:rPr>
        <w:t xml:space="preserve">. </w:t>
      </w:r>
      <w:r w:rsidRPr="00D120FF">
        <w:rPr>
          <w:rFonts w:ascii="Century Schoolbook" w:hAnsi="Century Schoolbook"/>
        </w:rPr>
        <w:t xml:space="preserve"> </w:t>
      </w:r>
      <w:r>
        <w:rPr>
          <w:rFonts w:ascii="Century Schoolbook" w:hAnsi="Century Schoolbook"/>
        </w:rPr>
        <w:t xml:space="preserve">He </w:t>
      </w:r>
      <w:r w:rsidRPr="00D120FF">
        <w:rPr>
          <w:rFonts w:ascii="Century Schoolbook" w:hAnsi="Century Schoolbook"/>
        </w:rPr>
        <w:t xml:space="preserve">was immediately arrested </w:t>
      </w:r>
      <w:r>
        <w:rPr>
          <w:rFonts w:ascii="Century Schoolbook" w:hAnsi="Century Schoolbook"/>
        </w:rPr>
        <w:t>and</w:t>
      </w:r>
      <w:r w:rsidRPr="00D120FF">
        <w:rPr>
          <w:rFonts w:ascii="Century Schoolbook" w:hAnsi="Century Schoolbook"/>
        </w:rPr>
        <w:t xml:space="preserve"> </w:t>
      </w:r>
      <w:r>
        <w:rPr>
          <w:rFonts w:ascii="Century Schoolbook" w:hAnsi="Century Schoolbook"/>
        </w:rPr>
        <w:t xml:space="preserve">was </w:t>
      </w:r>
      <w:r w:rsidRPr="00D120FF">
        <w:rPr>
          <w:rFonts w:ascii="Century Schoolbook" w:hAnsi="Century Schoolbook"/>
        </w:rPr>
        <w:t>arraign</w:t>
      </w:r>
      <w:r>
        <w:rPr>
          <w:rFonts w:ascii="Century Schoolbook" w:hAnsi="Century Schoolbook"/>
        </w:rPr>
        <w:t>ed</w:t>
      </w:r>
      <w:r w:rsidRPr="00D120FF">
        <w:rPr>
          <w:rFonts w:ascii="Century Schoolbook" w:hAnsi="Century Schoolbook"/>
        </w:rPr>
        <w:t xml:space="preserve"> on a petition for involuntary commitment </w:t>
      </w:r>
      <w:r>
        <w:rPr>
          <w:rFonts w:ascii="Century Schoolbook" w:hAnsi="Century Schoolbook"/>
        </w:rPr>
        <w:t>under the</w:t>
      </w:r>
      <w:r w:rsidRPr="00D120FF">
        <w:rPr>
          <w:rFonts w:ascii="Century Schoolbook" w:hAnsi="Century Schoolbook"/>
        </w:rPr>
        <w:t xml:space="preserve"> </w:t>
      </w:r>
      <w:r>
        <w:rPr>
          <w:rFonts w:ascii="Century Schoolbook" w:hAnsi="Century Schoolbook"/>
        </w:rPr>
        <w:t>S</w:t>
      </w:r>
      <w:r w:rsidRPr="00D120FF">
        <w:rPr>
          <w:rFonts w:ascii="Century Schoolbook" w:hAnsi="Century Schoolbook"/>
        </w:rPr>
        <w:t xml:space="preserve">exually </w:t>
      </w:r>
      <w:r>
        <w:rPr>
          <w:rFonts w:ascii="Century Schoolbook" w:hAnsi="Century Schoolbook"/>
        </w:rPr>
        <w:t>V</w:t>
      </w:r>
      <w:r w:rsidRPr="00D120FF">
        <w:rPr>
          <w:rFonts w:ascii="Century Schoolbook" w:hAnsi="Century Schoolbook"/>
        </w:rPr>
        <w:t xml:space="preserve">iolent </w:t>
      </w:r>
      <w:r>
        <w:rPr>
          <w:rFonts w:ascii="Century Schoolbook" w:hAnsi="Century Schoolbook"/>
        </w:rPr>
        <w:t>P</w:t>
      </w:r>
      <w:r w:rsidRPr="00D120FF">
        <w:rPr>
          <w:rFonts w:ascii="Century Schoolbook" w:hAnsi="Century Schoolbook"/>
        </w:rPr>
        <w:t>redator</w:t>
      </w:r>
      <w:r>
        <w:rPr>
          <w:rFonts w:ascii="Century Schoolbook" w:hAnsi="Century Schoolbook"/>
        </w:rPr>
        <w:t xml:space="preserve"> Act</w:t>
      </w:r>
      <w:r w:rsidRPr="00D120FF">
        <w:rPr>
          <w:rFonts w:ascii="Century Schoolbook" w:hAnsi="Century Schoolbook"/>
        </w:rPr>
        <w:t xml:space="preserve"> (</w:t>
      </w:r>
      <w:r>
        <w:rPr>
          <w:rFonts w:ascii="Century Schoolbook" w:hAnsi="Century Schoolbook"/>
        </w:rPr>
        <w:t xml:space="preserve">SVPA; </w:t>
      </w:r>
      <w:r w:rsidRPr="00D120FF">
        <w:rPr>
          <w:rFonts w:ascii="Century Schoolbook" w:hAnsi="Century Schoolbook"/>
        </w:rPr>
        <w:t xml:space="preserve">Welf. &amp; Inst. Code, § 6600 et seq.) the following day.  Tellez remains in jail while the commitment proceedings are pending. </w:t>
      </w:r>
    </w:p>
    <w:p w14:paraId="362F12F6" w14:textId="77777777" w:rsidR="00D120FF" w:rsidRDefault="00B029BA" w:rsidP="00D120FF">
      <w:pPr>
        <w:spacing w:line="360" w:lineRule="auto"/>
        <w:rPr>
          <w:rFonts w:ascii="Century Schoolbook" w:hAnsi="Century Schoolbook"/>
        </w:rPr>
      </w:pPr>
      <w:r w:rsidRPr="00D120FF">
        <w:rPr>
          <w:rFonts w:ascii="Century Schoolbook" w:hAnsi="Century Schoolbook"/>
        </w:rPr>
        <w:tab/>
        <w:t>On March 2, 2021, Tellez filed in the superior court a petition for writ of habeas corpus alleging ineffective assistance o</w:t>
      </w:r>
      <w:r w:rsidRPr="00D120FF">
        <w:rPr>
          <w:rFonts w:ascii="Century Schoolbook" w:hAnsi="Century Schoolbook"/>
        </w:rPr>
        <w:t xml:space="preserve">f counsel.  </w:t>
      </w:r>
      <w:r>
        <w:rPr>
          <w:rFonts w:ascii="Century Schoolbook" w:hAnsi="Century Schoolbook"/>
        </w:rPr>
        <w:t>He</w:t>
      </w:r>
      <w:r w:rsidRPr="00D120FF">
        <w:rPr>
          <w:rFonts w:ascii="Century Schoolbook" w:hAnsi="Century Schoolbook"/>
        </w:rPr>
        <w:t xml:space="preserve"> alleged that as a result of inadequate investigation, counsel failed to obtain a potentially exculpatory psychological evaluation that when </w:t>
      </w:r>
      <w:r>
        <w:rPr>
          <w:rFonts w:ascii="Century Schoolbook" w:hAnsi="Century Schoolbook"/>
        </w:rPr>
        <w:t>he</w:t>
      </w:r>
      <w:r w:rsidRPr="00D120FF">
        <w:rPr>
          <w:rFonts w:ascii="Century Schoolbook" w:hAnsi="Century Schoolbook"/>
        </w:rPr>
        <w:t xml:space="preserve"> touched the victim he was too intoxicated to form the specific intent required for </w:t>
      </w:r>
      <w:r>
        <w:rPr>
          <w:rFonts w:ascii="Century Schoolbook" w:hAnsi="Century Schoolbook"/>
        </w:rPr>
        <w:t>conviction</w:t>
      </w:r>
      <w:r w:rsidRPr="00D120FF">
        <w:rPr>
          <w:rFonts w:ascii="Century Schoolbook" w:hAnsi="Century Schoolbook"/>
        </w:rPr>
        <w:t>.  Te</w:t>
      </w:r>
      <w:r w:rsidRPr="00D120FF">
        <w:rPr>
          <w:rFonts w:ascii="Century Schoolbook" w:hAnsi="Century Schoolbook"/>
        </w:rPr>
        <w:t xml:space="preserve">llez further alleged counsel was incompetent for failing to tell him that after release from prison he could be involuntarily committed for life </w:t>
      </w:r>
      <w:r>
        <w:rPr>
          <w:rFonts w:ascii="Century Schoolbook" w:hAnsi="Century Schoolbook"/>
        </w:rPr>
        <w:t>under the SVPA</w:t>
      </w:r>
      <w:r w:rsidRPr="00D120FF">
        <w:rPr>
          <w:rFonts w:ascii="Century Schoolbook" w:hAnsi="Century Schoolbook"/>
        </w:rPr>
        <w:t xml:space="preserve">.  Tellez </w:t>
      </w:r>
      <w:r>
        <w:rPr>
          <w:rFonts w:ascii="Century Schoolbook" w:hAnsi="Century Schoolbook"/>
        </w:rPr>
        <w:t>claimed</w:t>
      </w:r>
      <w:r w:rsidRPr="00D120FF">
        <w:rPr>
          <w:rFonts w:ascii="Century Schoolbook" w:hAnsi="Century Schoolbook"/>
        </w:rPr>
        <w:t xml:space="preserve"> he would not have pled guilty and would have go</w:t>
      </w:r>
      <w:r>
        <w:rPr>
          <w:rFonts w:ascii="Century Schoolbook" w:hAnsi="Century Schoolbook"/>
        </w:rPr>
        <w:t>ne</w:t>
      </w:r>
      <w:r w:rsidRPr="00D120FF">
        <w:rPr>
          <w:rFonts w:ascii="Century Schoolbook" w:hAnsi="Century Schoolbook"/>
        </w:rPr>
        <w:t xml:space="preserve"> to trial but for counsel’s de</w:t>
      </w:r>
      <w:r w:rsidRPr="00D120FF">
        <w:rPr>
          <w:rFonts w:ascii="Century Schoolbook" w:hAnsi="Century Schoolbook"/>
        </w:rPr>
        <w:t xml:space="preserve">ficient performance.  The superior court summarily denied the claim </w:t>
      </w:r>
      <w:r>
        <w:rPr>
          <w:rFonts w:ascii="Century Schoolbook" w:hAnsi="Century Schoolbook"/>
        </w:rPr>
        <w:t>of</w:t>
      </w:r>
      <w:r w:rsidRPr="00D120FF">
        <w:rPr>
          <w:rFonts w:ascii="Century Schoolbook" w:hAnsi="Century Schoolbook"/>
        </w:rPr>
        <w:t xml:space="preserve"> inadequate investigation as untimely; and, after issuing </w:t>
      </w:r>
      <w:r w:rsidRPr="00D120FF">
        <w:rPr>
          <w:rFonts w:ascii="Century Schoolbook" w:hAnsi="Century Schoolbook"/>
        </w:rPr>
        <w:lastRenderedPageBreak/>
        <w:t xml:space="preserve">an order to show cause on the claim </w:t>
      </w:r>
      <w:r>
        <w:rPr>
          <w:rFonts w:ascii="Century Schoolbook" w:hAnsi="Century Schoolbook"/>
        </w:rPr>
        <w:t>of</w:t>
      </w:r>
      <w:r w:rsidRPr="00D120FF">
        <w:rPr>
          <w:rFonts w:ascii="Century Schoolbook" w:hAnsi="Century Schoolbook"/>
        </w:rPr>
        <w:t xml:space="preserve"> failure to advise of the potential </w:t>
      </w:r>
      <w:r>
        <w:rPr>
          <w:rFonts w:ascii="Century Schoolbook" w:hAnsi="Century Schoolbook"/>
        </w:rPr>
        <w:t>SVPA</w:t>
      </w:r>
      <w:r w:rsidRPr="00D120FF">
        <w:rPr>
          <w:rFonts w:ascii="Century Schoolbook" w:hAnsi="Century Schoolbook"/>
        </w:rPr>
        <w:t xml:space="preserve"> </w:t>
      </w:r>
      <w:r>
        <w:rPr>
          <w:rFonts w:ascii="Century Schoolbook" w:hAnsi="Century Schoolbook"/>
        </w:rPr>
        <w:t xml:space="preserve">commitment </w:t>
      </w:r>
      <w:r w:rsidRPr="00D120FF">
        <w:rPr>
          <w:rFonts w:ascii="Century Schoolbook" w:hAnsi="Century Schoolbook"/>
        </w:rPr>
        <w:t xml:space="preserve">and receiving a </w:t>
      </w:r>
      <w:r>
        <w:rPr>
          <w:rFonts w:ascii="Century Schoolbook" w:hAnsi="Century Schoolbook"/>
        </w:rPr>
        <w:t>return</w:t>
      </w:r>
      <w:r w:rsidRPr="00D120FF">
        <w:rPr>
          <w:rFonts w:ascii="Century Schoolbook" w:hAnsi="Century Schoolbook"/>
        </w:rPr>
        <w:t xml:space="preserve"> from the </w:t>
      </w:r>
      <w:r>
        <w:rPr>
          <w:rFonts w:ascii="Century Schoolbook" w:hAnsi="Century Schoolbook"/>
        </w:rPr>
        <w:t>distri</w:t>
      </w:r>
      <w:r>
        <w:rPr>
          <w:rFonts w:ascii="Century Schoolbook" w:hAnsi="Century Schoolbook"/>
        </w:rPr>
        <w:t>ct attorney</w:t>
      </w:r>
      <w:r w:rsidRPr="00D120FF">
        <w:rPr>
          <w:rFonts w:ascii="Century Schoolbook" w:hAnsi="Century Schoolbook"/>
        </w:rPr>
        <w:t>, the court denied that claim as well.</w:t>
      </w:r>
    </w:p>
    <w:p w14:paraId="46F73238" w14:textId="77777777" w:rsidR="00313A05" w:rsidRDefault="00B029BA" w:rsidP="00313A05">
      <w:pPr>
        <w:spacing w:line="360" w:lineRule="auto"/>
        <w:rPr>
          <w:rFonts w:ascii="Century Schoolbook" w:hAnsi="Century Schoolbook"/>
        </w:rPr>
      </w:pPr>
      <w:r>
        <w:rPr>
          <w:rFonts w:ascii="Century Schoolbook" w:hAnsi="Century Schoolbook"/>
        </w:rPr>
        <w:tab/>
      </w:r>
      <w:r w:rsidRPr="00313A05">
        <w:rPr>
          <w:rFonts w:ascii="Century Schoolbook" w:hAnsi="Century Schoolbook"/>
        </w:rPr>
        <w:t xml:space="preserve">Tellez </w:t>
      </w:r>
      <w:r>
        <w:rPr>
          <w:rFonts w:ascii="Century Schoolbook" w:hAnsi="Century Schoolbook"/>
        </w:rPr>
        <w:t>continued to press his</w:t>
      </w:r>
      <w:r w:rsidRPr="00313A05">
        <w:rPr>
          <w:rFonts w:ascii="Century Schoolbook" w:hAnsi="Century Schoolbook"/>
        </w:rPr>
        <w:t xml:space="preserve"> claims of ineffective assistance of counsel </w:t>
      </w:r>
      <w:r>
        <w:rPr>
          <w:rFonts w:ascii="Century Schoolbook" w:hAnsi="Century Schoolbook"/>
        </w:rPr>
        <w:t>by filing a new petition for writ of habeas corpus in this court</w:t>
      </w:r>
      <w:r w:rsidRPr="00313A05">
        <w:rPr>
          <w:rFonts w:ascii="Century Schoolbook" w:hAnsi="Century Schoolbook"/>
        </w:rPr>
        <w:t xml:space="preserve">.  </w:t>
      </w:r>
      <w:r>
        <w:rPr>
          <w:rFonts w:ascii="Century Schoolbook" w:hAnsi="Century Schoolbook"/>
        </w:rPr>
        <w:t xml:space="preserve">We summarily denied the petition as procedurally barred and for </w:t>
      </w:r>
      <w:r>
        <w:rPr>
          <w:rFonts w:ascii="Century Schoolbook" w:hAnsi="Century Schoolbook"/>
        </w:rPr>
        <w:t xml:space="preserve">failure to state a prima facie case for relief.  The Supreme Court of California granted Tellez’s petition for review and transferred the matter to this court with directions to vacate our summary denial order and to issue an order directing the Secretary </w:t>
      </w:r>
      <w:r>
        <w:rPr>
          <w:rFonts w:ascii="Century Schoolbook" w:hAnsi="Century Schoolbook"/>
        </w:rPr>
        <w:t>of the Department of Corrections and Rehabilitation (the Secretary) “to show cause, why relief should not be granted on the ground trial counsel rendered ineffective assistance by failing to advise [Tellez] of the potential for commitment as a sexually vio</w:t>
      </w:r>
      <w:r>
        <w:rPr>
          <w:rFonts w:ascii="Century Schoolbook" w:hAnsi="Century Schoolbook"/>
        </w:rPr>
        <w:t xml:space="preserve">lent predator as a consequence of his plea.”  We complied, and the Secretary filed a return and Tellez a traverse. </w:t>
      </w:r>
    </w:p>
    <w:p w14:paraId="144E79CB" w14:textId="77777777" w:rsidR="00313A05" w:rsidRDefault="00B029BA" w:rsidP="007325CC">
      <w:pPr>
        <w:keepNext/>
        <w:spacing w:line="360" w:lineRule="auto"/>
        <w:jc w:val="center"/>
        <w:rPr>
          <w:rFonts w:ascii="Century Schoolbook" w:hAnsi="Century Schoolbook"/>
        </w:rPr>
      </w:pPr>
      <w:r>
        <w:rPr>
          <w:rFonts w:ascii="Century Schoolbook" w:hAnsi="Century Schoolbook"/>
        </w:rPr>
        <w:t>II.</w:t>
      </w:r>
    </w:p>
    <w:p w14:paraId="21A3265B" w14:textId="77777777" w:rsidR="007325CC" w:rsidRDefault="00B029BA" w:rsidP="007325CC">
      <w:pPr>
        <w:keepNext/>
        <w:spacing w:line="360" w:lineRule="auto"/>
        <w:jc w:val="center"/>
        <w:rPr>
          <w:rFonts w:ascii="Century Schoolbook" w:hAnsi="Century Schoolbook"/>
        </w:rPr>
      </w:pPr>
      <w:r>
        <w:rPr>
          <w:rFonts w:ascii="Century Schoolbook" w:hAnsi="Century Schoolbook"/>
        </w:rPr>
        <w:t>DISCUSSION</w:t>
      </w:r>
    </w:p>
    <w:p w14:paraId="0B034116" w14:textId="77777777" w:rsidR="009F0432" w:rsidRPr="009F0432" w:rsidRDefault="00B029BA" w:rsidP="009F0432">
      <w:pPr>
        <w:keepNext/>
        <w:spacing w:line="360" w:lineRule="auto"/>
        <w:rPr>
          <w:rFonts w:ascii="Century Schoolbook" w:hAnsi="Century Schoolbook"/>
          <w:i/>
          <w:iCs/>
        </w:rPr>
      </w:pPr>
      <w:r>
        <w:rPr>
          <w:rFonts w:ascii="Century Schoolbook" w:hAnsi="Century Schoolbook"/>
        </w:rPr>
        <w:t>A.</w:t>
      </w:r>
      <w:r>
        <w:rPr>
          <w:rFonts w:ascii="Century Schoolbook" w:hAnsi="Century Schoolbook"/>
        </w:rPr>
        <w:tab/>
      </w:r>
      <w:r>
        <w:rPr>
          <w:rFonts w:ascii="Century Schoolbook" w:hAnsi="Century Schoolbook"/>
          <w:i/>
          <w:iCs/>
        </w:rPr>
        <w:t>Parties’ Contentions</w:t>
      </w:r>
    </w:p>
    <w:p w14:paraId="16E49C2C" w14:textId="77777777" w:rsidR="00313A05" w:rsidRDefault="00B029BA" w:rsidP="00313A05">
      <w:pPr>
        <w:spacing w:line="360" w:lineRule="auto"/>
        <w:rPr>
          <w:rFonts w:ascii="Century Schoolbook" w:hAnsi="Century Schoolbook"/>
        </w:rPr>
      </w:pPr>
      <w:r>
        <w:rPr>
          <w:rFonts w:ascii="Century Schoolbook" w:hAnsi="Century Schoolbook"/>
        </w:rPr>
        <w:tab/>
        <w:t xml:space="preserve">Tellez contends his decision to waive his trial-related rights and plead guilty was not </w:t>
      </w:r>
      <w:r>
        <w:rPr>
          <w:rFonts w:ascii="Century Schoolbook" w:hAnsi="Century Schoolbook"/>
        </w:rPr>
        <w:t>knowing, intelligent, and voluntary, because counsel failed to tell him that by doing so he could be subject to lifetime commitment under the SVPA.  Analogizing to deportation as a consequence of a guilty plea by a noncitizen, Tellez contends an SVPA commi</w:t>
      </w:r>
      <w:r>
        <w:rPr>
          <w:rFonts w:ascii="Century Schoolbook" w:hAnsi="Century Schoolbook"/>
        </w:rPr>
        <w:t>tment is such “an extremely ‘serious sanction’ ” that counsel must advise the defendant of the possibility of its imposition before the defendant pleads guilty, and if counsel fails to do so the defendant may withdraw the plea.  He further contends that ha</w:t>
      </w:r>
      <w:r>
        <w:rPr>
          <w:rFonts w:ascii="Century Schoolbook" w:hAnsi="Century Schoolbook"/>
        </w:rPr>
        <w:t xml:space="preserve">d he </w:t>
      </w:r>
      <w:r>
        <w:rPr>
          <w:rFonts w:ascii="Century Schoolbook" w:hAnsi="Century Schoolbook"/>
        </w:rPr>
        <w:lastRenderedPageBreak/>
        <w:t>been advised of a possible SVPA commitment, he would not have pled guilty and would have proceeded to trial.  Tellez asks us to vacate his conviction.</w:t>
      </w:r>
      <w:r>
        <w:rPr>
          <w:rStyle w:val="FootnoteReference"/>
          <w:rFonts w:ascii="Century Schoolbook" w:hAnsi="Century Schoolbook"/>
        </w:rPr>
        <w:footnoteReference w:id="1"/>
      </w:r>
      <w:r>
        <w:rPr>
          <w:rFonts w:ascii="Century Schoolbook" w:hAnsi="Century Schoolbook"/>
        </w:rPr>
        <w:t xml:space="preserve"> </w:t>
      </w:r>
    </w:p>
    <w:p w14:paraId="5B47F9C8" w14:textId="77777777" w:rsidR="007B45B1" w:rsidRDefault="00B029BA" w:rsidP="00313A05">
      <w:pPr>
        <w:spacing w:line="360" w:lineRule="auto"/>
        <w:rPr>
          <w:rFonts w:ascii="Century Schoolbook" w:hAnsi="Century Schoolbook"/>
        </w:rPr>
      </w:pPr>
      <w:r>
        <w:rPr>
          <w:rFonts w:ascii="Century Schoolbook" w:hAnsi="Century Schoolbook"/>
        </w:rPr>
        <w:tab/>
        <w:t>The Secretary responds that the petition is procedurally barred because it is untimely and becau</w:t>
      </w:r>
      <w:r>
        <w:rPr>
          <w:rFonts w:ascii="Century Schoolbook" w:hAnsi="Century Schoolbook"/>
        </w:rPr>
        <w:t>se Tellez did not appeal the judgment of conviction and obtain the certificate of probable cause to attack the validity of the guilty plea required by Penal Code section 1237.5.</w:t>
      </w:r>
      <w:r>
        <w:rPr>
          <w:rStyle w:val="FootnoteReference"/>
          <w:rFonts w:ascii="Century Schoolbook" w:hAnsi="Century Schoolbook"/>
        </w:rPr>
        <w:footnoteReference w:id="2"/>
      </w:r>
      <w:r>
        <w:rPr>
          <w:rFonts w:ascii="Century Schoolbook" w:hAnsi="Century Schoolbook"/>
        </w:rPr>
        <w:t xml:space="preserve">  The Secretary further responds that, based on this court’s recent decision </w:t>
      </w:r>
      <w:r>
        <w:rPr>
          <w:rFonts w:ascii="Century Schoolbook" w:hAnsi="Century Schoolbook"/>
        </w:rPr>
        <w:t>that counsel had no duty to advise the defendant of the potential SVPA consequences of pleading guilty to felony indecent exposure (</w:t>
      </w:r>
      <w:r>
        <w:rPr>
          <w:rFonts w:ascii="Century Schoolbook" w:hAnsi="Century Schoolbook"/>
          <w:i/>
          <w:iCs/>
        </w:rPr>
        <w:t xml:space="preserve">People v. Codinha </w:t>
      </w:r>
      <w:r>
        <w:rPr>
          <w:rFonts w:ascii="Century Schoolbook" w:hAnsi="Century Schoolbook"/>
        </w:rPr>
        <w:t>(2021) 71 Cal.App.5th 1047 (</w:t>
      </w:r>
      <w:r>
        <w:rPr>
          <w:rFonts w:ascii="Century Schoolbook" w:hAnsi="Century Schoolbook"/>
          <w:i/>
          <w:iCs/>
        </w:rPr>
        <w:t>Codinha</w:t>
      </w:r>
      <w:r>
        <w:rPr>
          <w:rFonts w:ascii="Century Schoolbook" w:hAnsi="Century Schoolbook"/>
        </w:rPr>
        <w:t>)) and based on the lack of any independent objective corroborating evi</w:t>
      </w:r>
      <w:r>
        <w:rPr>
          <w:rFonts w:ascii="Century Schoolbook" w:hAnsi="Century Schoolbook"/>
        </w:rPr>
        <w:t xml:space="preserve">dence supporting Tellez’s claim he would not have pled guilty had counsel advised </w:t>
      </w:r>
      <w:r>
        <w:rPr>
          <w:rFonts w:ascii="Century Schoolbook" w:hAnsi="Century Schoolbook"/>
        </w:rPr>
        <w:lastRenderedPageBreak/>
        <w:t xml:space="preserve">him of those consequences, Tellez has not stated a prima facie case of ineffective assistance of counsel.  The Secretary urges us to deny the petition. </w:t>
      </w:r>
    </w:p>
    <w:p w14:paraId="73465787" w14:textId="77777777" w:rsidR="00B14020" w:rsidRPr="00313A05" w:rsidRDefault="00B029BA" w:rsidP="00313A05">
      <w:pPr>
        <w:spacing w:line="360" w:lineRule="auto"/>
        <w:rPr>
          <w:rFonts w:ascii="Century Schoolbook" w:hAnsi="Century Schoolbook"/>
        </w:rPr>
      </w:pPr>
      <w:r>
        <w:rPr>
          <w:rFonts w:ascii="Century Schoolbook" w:hAnsi="Century Schoolbook"/>
        </w:rPr>
        <w:tab/>
        <w:t>In reply, Tellez arg</w:t>
      </w:r>
      <w:r>
        <w:rPr>
          <w:rFonts w:ascii="Century Schoolbook" w:hAnsi="Century Schoolbook"/>
        </w:rPr>
        <w:t>ues his petition is not time-barred, because he did not unreasonably delay by seeking habeas corpus relief within 17 months of the appointment of current counsel.  On the merits, he again argues that as consequences of guilty pleas, SVPA commitment and dep</w:t>
      </w:r>
      <w:r>
        <w:rPr>
          <w:rFonts w:ascii="Century Schoolbook" w:hAnsi="Century Schoolbook"/>
        </w:rPr>
        <w:t xml:space="preserve">ortation are analogous; and since counsel must advise about potential deportation, counsel must also advise about potential SVPA commitment.  Tellez “recognizes the weight of the laboring oar in urging the Court to re-examine its decision [in </w:t>
      </w:r>
      <w:r>
        <w:rPr>
          <w:rFonts w:ascii="Century Schoolbook" w:hAnsi="Century Schoolbook"/>
          <w:i/>
          <w:iCs/>
        </w:rPr>
        <w:t>Codinha</w:t>
      </w:r>
      <w:r>
        <w:rPr>
          <w:rFonts w:ascii="Century Schoolbook" w:hAnsi="Century Schoolbook"/>
        </w:rPr>
        <w:t xml:space="preserve">, </w:t>
      </w:r>
      <w:r>
        <w:rPr>
          <w:rFonts w:ascii="Century Schoolbook" w:hAnsi="Century Schoolbook"/>
          <w:i/>
          <w:iCs/>
        </w:rPr>
        <w:t>supr</w:t>
      </w:r>
      <w:r>
        <w:rPr>
          <w:rFonts w:ascii="Century Schoolbook" w:hAnsi="Century Schoolbook"/>
          <w:i/>
          <w:iCs/>
        </w:rPr>
        <w:t>a</w:t>
      </w:r>
      <w:r>
        <w:rPr>
          <w:rFonts w:ascii="Century Schoolbook" w:hAnsi="Century Schoolbook"/>
        </w:rPr>
        <w:t xml:space="preserve">, 71 Cal.App.5th 1047] in a slightly different context.”  He suggests as bases for distinction that </w:t>
      </w:r>
      <w:r>
        <w:rPr>
          <w:rFonts w:ascii="Century Schoolbook" w:hAnsi="Century Schoolbook"/>
          <w:i/>
          <w:iCs/>
        </w:rPr>
        <w:t>Codinha</w:t>
      </w:r>
      <w:r>
        <w:rPr>
          <w:rFonts w:ascii="Century Schoolbook" w:hAnsi="Century Schoolbook"/>
        </w:rPr>
        <w:t xml:space="preserve"> relied on the absence of a statutory duty to advise of SVPA consequences whereas he argues the duty “is Constitutionally enmeshed in the 6</w:t>
      </w:r>
      <w:r w:rsidRPr="00303434">
        <w:rPr>
          <w:rFonts w:ascii="Century Schoolbook" w:hAnsi="Century Schoolbook"/>
          <w:vertAlign w:val="superscript"/>
        </w:rPr>
        <w:t>th</w:t>
      </w:r>
      <w:r>
        <w:rPr>
          <w:rFonts w:ascii="Century Schoolbook" w:hAnsi="Century Schoolbook"/>
        </w:rPr>
        <w:t xml:space="preserve"> Amendm</w:t>
      </w:r>
      <w:r>
        <w:rPr>
          <w:rFonts w:ascii="Century Schoolbook" w:hAnsi="Century Schoolbook"/>
        </w:rPr>
        <w:t xml:space="preserve">ent,” and that in </w:t>
      </w:r>
      <w:r>
        <w:rPr>
          <w:rFonts w:ascii="Century Schoolbook" w:hAnsi="Century Schoolbook"/>
          <w:i/>
          <w:iCs/>
        </w:rPr>
        <w:t xml:space="preserve">Codinha </w:t>
      </w:r>
      <w:r>
        <w:rPr>
          <w:rFonts w:ascii="Century Schoolbook" w:hAnsi="Century Schoolbook"/>
        </w:rPr>
        <w:t xml:space="preserve">the prospect of an SVPA commitment “remained in the realm of ‘possibility’ as a consequence” whereas in his case it is “presently occurring.” </w:t>
      </w:r>
    </w:p>
    <w:p w14:paraId="6C98C921" w14:textId="77777777" w:rsidR="00313A05" w:rsidRPr="005A5AA1" w:rsidRDefault="00B029BA" w:rsidP="00942181">
      <w:pPr>
        <w:keepNext/>
        <w:spacing w:line="360" w:lineRule="auto"/>
        <w:rPr>
          <w:rFonts w:ascii="Century Schoolbook" w:hAnsi="Century Schoolbook"/>
          <w:i/>
          <w:iCs/>
        </w:rPr>
      </w:pPr>
      <w:r>
        <w:rPr>
          <w:rFonts w:ascii="Century Schoolbook" w:hAnsi="Century Schoolbook"/>
        </w:rPr>
        <w:t>B.</w:t>
      </w:r>
      <w:r>
        <w:rPr>
          <w:rFonts w:ascii="Century Schoolbook" w:hAnsi="Century Schoolbook"/>
        </w:rPr>
        <w:tab/>
      </w:r>
      <w:r>
        <w:rPr>
          <w:rFonts w:ascii="Century Schoolbook" w:hAnsi="Century Schoolbook"/>
          <w:i/>
          <w:iCs/>
        </w:rPr>
        <w:t>Procedural Bars</w:t>
      </w:r>
    </w:p>
    <w:p w14:paraId="3C68F731" w14:textId="77777777" w:rsidR="005A5AA1" w:rsidRDefault="00B029BA" w:rsidP="005A5AA1">
      <w:pPr>
        <w:spacing w:line="360" w:lineRule="auto"/>
        <w:rPr>
          <w:rFonts w:ascii="Century Schoolbook" w:hAnsi="Century Schoolbook"/>
        </w:rPr>
      </w:pPr>
      <w:r>
        <w:rPr>
          <w:rFonts w:ascii="Century Schoolbook" w:hAnsi="Century Schoolbook"/>
        </w:rPr>
        <w:tab/>
        <w:t>As noted, the Secretary raises two procedural bars to consideration</w:t>
      </w:r>
      <w:r>
        <w:rPr>
          <w:rFonts w:ascii="Century Schoolbook" w:hAnsi="Century Schoolbook"/>
        </w:rPr>
        <w:t xml:space="preserve"> of the merits of Tellez’s claim that counsel was ineffective for failing to advise him of potential SVPA commitment:  untimeliness and noncompliance with Penal Code section 1237.5.  We decline to consider these procedural bars.  “</w:t>
      </w:r>
      <w:r w:rsidRPr="00667E78">
        <w:rPr>
          <w:rFonts w:ascii="Century Schoolbook" w:hAnsi="Century Schoolbook"/>
        </w:rPr>
        <w:t>Because the Supreme Court</w:t>
      </w:r>
      <w:r w:rsidRPr="00667E78">
        <w:rPr>
          <w:rFonts w:ascii="Century Schoolbook" w:hAnsi="Century Schoolbook"/>
        </w:rPr>
        <w:t xml:space="preserve"> transferred the case to us specifically to address the substantive issue</w:t>
      </w:r>
      <w:r>
        <w:rPr>
          <w:rFonts w:ascii="Century Schoolbook" w:hAnsi="Century Schoolbook"/>
        </w:rPr>
        <w:t xml:space="preserve">[ ] of whether [counsel was ineffective for failing to advise Tellez of the potential SVPA consequences of his guilty plea], </w:t>
      </w:r>
      <w:r w:rsidRPr="00667E78">
        <w:rPr>
          <w:rFonts w:ascii="Century Schoolbook" w:hAnsi="Century Schoolbook"/>
        </w:rPr>
        <w:t>and because the issuance of an order to show cause indicat</w:t>
      </w:r>
      <w:r w:rsidRPr="00667E78">
        <w:rPr>
          <w:rFonts w:ascii="Century Schoolbook" w:hAnsi="Century Schoolbook"/>
        </w:rPr>
        <w:t xml:space="preserve">es the Supreme Court has determined the claim is not procedurally barred </w:t>
      </w:r>
      <w:r>
        <w:rPr>
          <w:rFonts w:ascii="Century Schoolbook" w:hAnsi="Century Schoolbook"/>
        </w:rPr>
        <w:t>[citations]</w:t>
      </w:r>
      <w:r w:rsidRPr="00667E78">
        <w:rPr>
          <w:rFonts w:ascii="Century Schoolbook" w:hAnsi="Century Schoolbook"/>
        </w:rPr>
        <w:t>, we address the merits only.</w:t>
      </w:r>
      <w:r>
        <w:rPr>
          <w:rFonts w:ascii="Century Schoolbook" w:hAnsi="Century Schoolbook"/>
        </w:rPr>
        <w:t>”  (</w:t>
      </w:r>
      <w:r>
        <w:rPr>
          <w:rFonts w:ascii="Century Schoolbook" w:hAnsi="Century Schoolbook"/>
          <w:i/>
          <w:iCs/>
        </w:rPr>
        <w:t>In re Smith</w:t>
      </w:r>
      <w:r>
        <w:rPr>
          <w:rFonts w:ascii="Century Schoolbook" w:hAnsi="Century Schoolbook"/>
        </w:rPr>
        <w:t xml:space="preserve"> (2020) 49 Cal.App.5th 377, 386.)</w:t>
      </w:r>
    </w:p>
    <w:p w14:paraId="21DFE48D" w14:textId="77777777" w:rsidR="005A5AA1" w:rsidRDefault="00B029BA" w:rsidP="00942181">
      <w:pPr>
        <w:keepNext/>
        <w:spacing w:line="360" w:lineRule="auto"/>
        <w:rPr>
          <w:rFonts w:ascii="Century Schoolbook" w:hAnsi="Century Schoolbook"/>
        </w:rPr>
      </w:pPr>
      <w:r>
        <w:rPr>
          <w:rFonts w:ascii="Century Schoolbook" w:hAnsi="Century Schoolbook"/>
        </w:rPr>
        <w:lastRenderedPageBreak/>
        <w:t>C.</w:t>
      </w:r>
      <w:r>
        <w:rPr>
          <w:rFonts w:ascii="Century Schoolbook" w:hAnsi="Century Schoolbook"/>
        </w:rPr>
        <w:tab/>
      </w:r>
      <w:r>
        <w:rPr>
          <w:rFonts w:ascii="Century Schoolbook" w:hAnsi="Century Schoolbook"/>
          <w:i/>
          <w:iCs/>
        </w:rPr>
        <w:t>Merits</w:t>
      </w:r>
    </w:p>
    <w:p w14:paraId="254FAF38" w14:textId="77777777" w:rsidR="00942181" w:rsidRDefault="00B029BA" w:rsidP="00C65E6E">
      <w:pPr>
        <w:spacing w:line="360" w:lineRule="auto"/>
        <w:rPr>
          <w:rFonts w:ascii="Century Schoolbook" w:hAnsi="Century Schoolbook"/>
        </w:rPr>
      </w:pPr>
      <w:r>
        <w:rPr>
          <w:rFonts w:ascii="Century Schoolbook" w:hAnsi="Century Schoolbook"/>
        </w:rPr>
        <w:tab/>
        <w:t>We now turn to whether Tellez has made out a claim of ineffective assistance of cou</w:t>
      </w:r>
      <w:r>
        <w:rPr>
          <w:rFonts w:ascii="Century Schoolbook" w:hAnsi="Century Schoolbook"/>
        </w:rPr>
        <w:t xml:space="preserve">nsel entitling him to habeas corpus relief.  The federal and state Constitutions guarantee a criminal defendant the right to effective assistance of counsel.  (U.S. Const., 6th &amp; 14th Amends.; Cal. Const., art. I, § 15; </w:t>
      </w:r>
      <w:r>
        <w:rPr>
          <w:rFonts w:ascii="Century Schoolbook" w:hAnsi="Century Schoolbook"/>
          <w:i/>
          <w:iCs/>
        </w:rPr>
        <w:t xml:space="preserve">Strickland v. Washington </w:t>
      </w:r>
      <w:r>
        <w:rPr>
          <w:rFonts w:ascii="Century Schoolbook" w:hAnsi="Century Schoolbook"/>
        </w:rPr>
        <w:t xml:space="preserve">(1984) 466 </w:t>
      </w:r>
      <w:r>
        <w:rPr>
          <w:rFonts w:ascii="Century Schoolbook" w:hAnsi="Century Schoolbook"/>
        </w:rPr>
        <w:t>U.S. 668, 686 (</w:t>
      </w:r>
      <w:r>
        <w:rPr>
          <w:rFonts w:ascii="Century Schoolbook" w:hAnsi="Century Schoolbook"/>
          <w:i/>
          <w:iCs/>
        </w:rPr>
        <w:t>Strickland</w:t>
      </w:r>
      <w:r>
        <w:rPr>
          <w:rFonts w:ascii="Century Schoolbook" w:hAnsi="Century Schoolbook"/>
        </w:rPr>
        <w:t xml:space="preserve">); </w:t>
      </w:r>
      <w:r>
        <w:rPr>
          <w:rFonts w:ascii="Century Schoolbook" w:hAnsi="Century Schoolbook"/>
          <w:i/>
          <w:iCs/>
        </w:rPr>
        <w:t xml:space="preserve">People v. Ledesma </w:t>
      </w:r>
      <w:r>
        <w:rPr>
          <w:rFonts w:ascii="Century Schoolbook" w:hAnsi="Century Schoolbook"/>
        </w:rPr>
        <w:t>(1987) 43 Cal.3d 171, 215 (</w:t>
      </w:r>
      <w:r>
        <w:rPr>
          <w:rFonts w:ascii="Century Schoolbook" w:hAnsi="Century Schoolbook"/>
          <w:i/>
          <w:iCs/>
        </w:rPr>
        <w:t>Ledesma</w:t>
      </w:r>
      <w:r>
        <w:rPr>
          <w:rFonts w:ascii="Century Schoolbook" w:hAnsi="Century Schoolbook"/>
        </w:rPr>
        <w:t>).)  A defendant challenging a conviction on the ground that counsel was ineffective generally must show “counsel’s performance was deficient” and “the deficient performance pr</w:t>
      </w:r>
      <w:r>
        <w:rPr>
          <w:rFonts w:ascii="Century Schoolbook" w:hAnsi="Century Schoolbook"/>
        </w:rPr>
        <w:t>ejudiced the defense.”  (</w:t>
      </w:r>
      <w:r>
        <w:rPr>
          <w:rFonts w:ascii="Century Schoolbook" w:hAnsi="Century Schoolbook"/>
          <w:i/>
          <w:iCs/>
        </w:rPr>
        <w:t>Strickland</w:t>
      </w:r>
      <w:r>
        <w:rPr>
          <w:rFonts w:ascii="Century Schoolbook" w:hAnsi="Century Schoolbook"/>
        </w:rPr>
        <w:t xml:space="preserve">, at p. 687; accord, </w:t>
      </w:r>
      <w:r>
        <w:rPr>
          <w:rFonts w:ascii="Century Schoolbook" w:hAnsi="Century Schoolbook"/>
          <w:i/>
          <w:iCs/>
        </w:rPr>
        <w:t>Ledesma</w:t>
      </w:r>
      <w:r>
        <w:rPr>
          <w:rFonts w:ascii="Century Schoolbook" w:hAnsi="Century Schoolbook"/>
        </w:rPr>
        <w:t>, at pp. 216-217.)  In the context of a challenge to a conviction based on a guilty plea, the defendant must show “ ‘counsel’s representation fell below an objective standard of reasonableness’</w:t>
      </w:r>
      <w:r>
        <w:rPr>
          <w:rFonts w:ascii="Century Schoolbook" w:hAnsi="Century Schoolbook"/>
        </w:rPr>
        <w:t> ” and “there is a reasonable probability that, but for counsel’s errors, [the defendant] would not have pleaded guilty and would have insisted on going to trial.”  (</w:t>
      </w:r>
      <w:r>
        <w:rPr>
          <w:rFonts w:ascii="Century Schoolbook" w:hAnsi="Century Schoolbook"/>
          <w:i/>
          <w:iCs/>
        </w:rPr>
        <w:t xml:space="preserve">Hill v. Lockhart </w:t>
      </w:r>
      <w:r>
        <w:rPr>
          <w:rFonts w:ascii="Century Schoolbook" w:hAnsi="Century Schoolbook"/>
        </w:rPr>
        <w:t>(1985) 474 U.S. 52, 57, 59 (</w:t>
      </w:r>
      <w:r>
        <w:rPr>
          <w:rFonts w:ascii="Century Schoolbook" w:hAnsi="Century Schoolbook"/>
          <w:i/>
          <w:iCs/>
        </w:rPr>
        <w:t>Hill</w:t>
      </w:r>
      <w:r>
        <w:rPr>
          <w:rFonts w:ascii="Century Schoolbook" w:hAnsi="Century Schoolbook"/>
        </w:rPr>
        <w:t xml:space="preserve">); accord, </w:t>
      </w:r>
      <w:r>
        <w:rPr>
          <w:rFonts w:ascii="Century Schoolbook" w:hAnsi="Century Schoolbook"/>
          <w:i/>
          <w:iCs/>
        </w:rPr>
        <w:t xml:space="preserve">People v. DeJesus </w:t>
      </w:r>
      <w:r>
        <w:rPr>
          <w:rFonts w:ascii="Century Schoolbook" w:hAnsi="Century Schoolbook"/>
        </w:rPr>
        <w:t>(2019) 37 Cal.App.5th 1124, 1136 (</w:t>
      </w:r>
      <w:r>
        <w:rPr>
          <w:rFonts w:ascii="Century Schoolbook" w:hAnsi="Century Schoolbook"/>
          <w:i/>
          <w:iCs/>
        </w:rPr>
        <w:t>DeJesus</w:t>
      </w:r>
      <w:r>
        <w:rPr>
          <w:rFonts w:ascii="Century Schoolbook" w:hAnsi="Century Schoolbook"/>
        </w:rPr>
        <w:t xml:space="preserve">); </w:t>
      </w:r>
      <w:r>
        <w:rPr>
          <w:rFonts w:ascii="Century Schoolbook" w:hAnsi="Century Schoolbook"/>
          <w:i/>
          <w:iCs/>
        </w:rPr>
        <w:t xml:space="preserve">People v. Breslin </w:t>
      </w:r>
      <w:r>
        <w:rPr>
          <w:rFonts w:ascii="Century Schoolbook" w:hAnsi="Century Schoolbook"/>
        </w:rPr>
        <w:t>(2012) 205 Cal.App.4th 1409, 1420.)  As we discuss below, Tellez has established neither deficient performance nor prejudice.</w:t>
      </w:r>
    </w:p>
    <w:p w14:paraId="7D01C172" w14:textId="77777777" w:rsidR="0093163B" w:rsidRPr="0093163B" w:rsidRDefault="00B029BA" w:rsidP="00D05B57">
      <w:pPr>
        <w:keepNext/>
        <w:spacing w:line="360" w:lineRule="auto"/>
        <w:rPr>
          <w:rFonts w:ascii="Century Schoolbook" w:hAnsi="Century Schoolbook"/>
          <w:i/>
          <w:iCs/>
        </w:rPr>
      </w:pPr>
      <w:r>
        <w:rPr>
          <w:rFonts w:ascii="Century Schoolbook" w:hAnsi="Century Schoolbook"/>
        </w:rPr>
        <w:tab/>
        <w:t>1.</w:t>
      </w:r>
      <w:r>
        <w:rPr>
          <w:rFonts w:ascii="Century Schoolbook" w:hAnsi="Century Schoolbook"/>
        </w:rPr>
        <w:tab/>
      </w:r>
      <w:r>
        <w:rPr>
          <w:rFonts w:ascii="Century Schoolbook" w:hAnsi="Century Schoolbook"/>
          <w:i/>
          <w:iCs/>
        </w:rPr>
        <w:t>Deficient Performance</w:t>
      </w:r>
    </w:p>
    <w:p w14:paraId="476724E8" w14:textId="77777777" w:rsidR="0093163B" w:rsidRDefault="00B029BA" w:rsidP="00C65E6E">
      <w:pPr>
        <w:spacing w:line="360" w:lineRule="auto"/>
        <w:rPr>
          <w:rFonts w:ascii="Century Schoolbook" w:hAnsi="Century Schoolbook"/>
        </w:rPr>
      </w:pPr>
      <w:r>
        <w:rPr>
          <w:rFonts w:ascii="Century Schoolbook" w:hAnsi="Century Schoolbook"/>
        </w:rPr>
        <w:tab/>
        <w:t>The deficient performan</w:t>
      </w:r>
      <w:r>
        <w:rPr>
          <w:rFonts w:ascii="Century Schoolbook" w:hAnsi="Century Schoolbook"/>
        </w:rPr>
        <w:t>ce of which Tellez complains is counsel’s failure to tell him before he pled guilty that after service of the prison term he could be involuntarily committed as a sexually violent predator for life.  Tellez cites no directly on-point authority that counsel</w:t>
      </w:r>
      <w:r>
        <w:rPr>
          <w:rFonts w:ascii="Century Schoolbook" w:hAnsi="Century Schoolbook"/>
        </w:rPr>
        <w:t xml:space="preserve"> had a duty to advise him of that consequence.  He instead compares SVPA commitment to deportation as a serious consequence of a guilty plea and relies mainly on </w:t>
      </w:r>
      <w:r>
        <w:rPr>
          <w:rFonts w:ascii="Century Schoolbook" w:hAnsi="Century Schoolbook"/>
          <w:i/>
          <w:iCs/>
        </w:rPr>
        <w:t xml:space="preserve">Padilla v. Kentucky </w:t>
      </w:r>
      <w:r>
        <w:rPr>
          <w:rFonts w:ascii="Century Schoolbook" w:hAnsi="Century Schoolbook"/>
        </w:rPr>
        <w:t>(2010) 559 U.S. 356 (</w:t>
      </w:r>
      <w:r>
        <w:rPr>
          <w:rFonts w:ascii="Century Schoolbook" w:hAnsi="Century Schoolbook"/>
          <w:i/>
          <w:iCs/>
        </w:rPr>
        <w:t>Padilla</w:t>
      </w:r>
      <w:r>
        <w:rPr>
          <w:rFonts w:ascii="Century Schoolbook" w:hAnsi="Century Schoolbook"/>
        </w:rPr>
        <w:t>), which held counsel performed deficiently by</w:t>
      </w:r>
      <w:r>
        <w:rPr>
          <w:rFonts w:ascii="Century Schoolbook" w:hAnsi="Century Schoolbook"/>
        </w:rPr>
        <w:t xml:space="preserve"> failing to advise a noncitizen that his plea of guilty to transportation of a </w:t>
      </w:r>
      <w:r>
        <w:rPr>
          <w:rFonts w:ascii="Century Schoolbook" w:hAnsi="Century Schoolbook"/>
        </w:rPr>
        <w:lastRenderedPageBreak/>
        <w:t xml:space="preserve">large amount of marijuana would make him subject to automatic deportation.  Tellez acknowledges we found this comparison “inapt” in </w:t>
      </w:r>
      <w:r>
        <w:rPr>
          <w:rFonts w:ascii="Century Schoolbook" w:hAnsi="Century Schoolbook"/>
          <w:i/>
          <w:iCs/>
        </w:rPr>
        <w:t>Codinha</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71 Cal.App.5th at page 1065. </w:t>
      </w:r>
      <w:r>
        <w:rPr>
          <w:rFonts w:ascii="Century Schoolbook" w:hAnsi="Century Schoolbook"/>
        </w:rPr>
        <w:t xml:space="preserve"> We do so again in this case.</w:t>
      </w:r>
    </w:p>
    <w:p w14:paraId="5AFFA0BC" w14:textId="77777777" w:rsidR="00DD2328" w:rsidRDefault="00B029BA" w:rsidP="00C65E6E">
      <w:pPr>
        <w:spacing w:line="360" w:lineRule="auto"/>
        <w:rPr>
          <w:rFonts w:ascii="Century Schoolbook" w:hAnsi="Century Schoolbook"/>
        </w:rPr>
      </w:pPr>
      <w:r>
        <w:rPr>
          <w:rFonts w:ascii="Century Schoolbook" w:hAnsi="Century Schoolbook"/>
        </w:rPr>
        <w:tab/>
        <w:t xml:space="preserve">In </w:t>
      </w:r>
      <w:r>
        <w:rPr>
          <w:rFonts w:ascii="Century Schoolbook" w:hAnsi="Century Schoolbook"/>
          <w:i/>
          <w:iCs/>
        </w:rPr>
        <w:t>Padilla</w:t>
      </w:r>
      <w:r>
        <w:rPr>
          <w:rFonts w:ascii="Century Schoolbook" w:hAnsi="Century Schoolbook"/>
        </w:rPr>
        <w:t>, counsel advised the defendant to plead guilty and incorrectly advised him that he “ ‘ “did not have to worry about immigration status” ’ ” because he had been a lawful permanent resident of the United States for m</w:t>
      </w:r>
      <w:r>
        <w:rPr>
          <w:rFonts w:ascii="Century Schoolbook" w:hAnsi="Century Schoolbook"/>
        </w:rPr>
        <w:t>ore than 40 years.  (</w:t>
      </w:r>
      <w:r>
        <w:rPr>
          <w:rFonts w:ascii="Century Schoolbook" w:hAnsi="Century Schoolbook"/>
          <w:i/>
          <w:iCs/>
        </w:rPr>
        <w:t>Padilla</w:t>
      </w:r>
      <w:r>
        <w:rPr>
          <w:rFonts w:ascii="Century Schoolbook" w:hAnsi="Century Schoolbook"/>
        </w:rPr>
        <w:t xml:space="preserve">, </w:t>
      </w:r>
      <w:r>
        <w:rPr>
          <w:rFonts w:ascii="Century Schoolbook" w:hAnsi="Century Schoolbook"/>
          <w:i/>
          <w:iCs/>
        </w:rPr>
        <w:t>supra</w:t>
      </w:r>
      <w:r>
        <w:rPr>
          <w:rFonts w:ascii="Century Schoolbook" w:hAnsi="Century Schoolbook"/>
        </w:rPr>
        <w:t>, 559 U.S. at p. 359.)  Because “</w:t>
      </w:r>
      <w:r w:rsidRPr="000A3B62">
        <w:rPr>
          <w:rFonts w:ascii="Century Schoolbook" w:hAnsi="Century Schoolbook"/>
        </w:rPr>
        <w:t xml:space="preserve">the relevant immigration statute </w:t>
      </w:r>
      <w:r>
        <w:rPr>
          <w:rFonts w:ascii="Century Schoolbook" w:hAnsi="Century Schoolbook"/>
        </w:rPr>
        <w:t>[was]</w:t>
      </w:r>
      <w:r w:rsidRPr="000A3B62">
        <w:rPr>
          <w:rFonts w:ascii="Century Schoolbook" w:hAnsi="Century Schoolbook"/>
        </w:rPr>
        <w:t xml:space="preserve"> succinct, clear, and explicit in defining the removal consequence for Padilla</w:t>
      </w:r>
      <w:r>
        <w:rPr>
          <w:rFonts w:ascii="Century Schoolbook" w:hAnsi="Century Schoolbook"/>
        </w:rPr>
        <w:t>’</w:t>
      </w:r>
      <w:r w:rsidRPr="000A3B62">
        <w:rPr>
          <w:rFonts w:ascii="Century Schoolbook" w:hAnsi="Century Schoolbook"/>
        </w:rPr>
        <w:t>s conviction</w:t>
      </w:r>
      <w:r>
        <w:rPr>
          <w:rFonts w:ascii="Century Schoolbook" w:hAnsi="Century Schoolbook"/>
        </w:rPr>
        <w:t>” and “his deportation was presumptively mandatory,” the Un</w:t>
      </w:r>
      <w:r>
        <w:rPr>
          <w:rFonts w:ascii="Century Schoolbook" w:hAnsi="Century Schoolbook"/>
        </w:rPr>
        <w:t>ited States Supreme Court held that counsel had a duty to give correct advice and the failure to do so was constitutionally deficient performance.  (</w:t>
      </w:r>
      <w:r>
        <w:rPr>
          <w:rFonts w:ascii="Century Schoolbook" w:hAnsi="Century Schoolbook"/>
          <w:i/>
          <w:iCs/>
        </w:rPr>
        <w:t>Id.</w:t>
      </w:r>
      <w:r>
        <w:rPr>
          <w:rFonts w:ascii="Century Schoolbook" w:hAnsi="Century Schoolbook"/>
        </w:rPr>
        <w:t xml:space="preserve"> at pp. 368-369.)  In holding that “</w:t>
      </w:r>
      <w:r w:rsidRPr="000A3B62">
        <w:rPr>
          <w:rFonts w:ascii="Century Schoolbook" w:hAnsi="Century Schoolbook"/>
        </w:rPr>
        <w:t>counsel must inform her client whether his plea carries a risk of de</w:t>
      </w:r>
      <w:r w:rsidRPr="000A3B62">
        <w:rPr>
          <w:rFonts w:ascii="Century Schoolbook" w:hAnsi="Century Schoolbook"/>
        </w:rPr>
        <w:t>portation</w:t>
      </w:r>
      <w:r>
        <w:rPr>
          <w:rFonts w:ascii="Century Schoolbook" w:hAnsi="Century Schoolbook"/>
        </w:rPr>
        <w:t>,” the high court stated that its</w:t>
      </w:r>
      <w:r w:rsidRPr="000A3B62">
        <w:rPr>
          <w:rFonts w:ascii="Century Schoolbook" w:hAnsi="Century Schoolbook"/>
        </w:rPr>
        <w:t xml:space="preserve"> </w:t>
      </w:r>
      <w:r>
        <w:rPr>
          <w:rFonts w:ascii="Century Schoolbook" w:hAnsi="Century Schoolbook"/>
        </w:rPr>
        <w:t>“</w:t>
      </w:r>
      <w:r w:rsidRPr="000A3B62">
        <w:rPr>
          <w:rFonts w:ascii="Century Schoolbook" w:hAnsi="Century Schoolbook"/>
        </w:rPr>
        <w:t>longstanding Sixth Amendment precedents, the seriousness of deportation as a consequence of a criminal plea, and the concomitant impact of deportation on families living lawfully in this country demand no less.</w:t>
      </w:r>
      <w:r>
        <w:rPr>
          <w:rFonts w:ascii="Century Schoolbook" w:hAnsi="Century Schoolbook"/>
        </w:rPr>
        <w:t xml:space="preserve">” </w:t>
      </w:r>
      <w:r>
        <w:rPr>
          <w:rFonts w:ascii="Century Schoolbook" w:hAnsi="Century Schoolbook"/>
        </w:rPr>
        <w:t xml:space="preserve"> (</w:t>
      </w:r>
      <w:r>
        <w:rPr>
          <w:rFonts w:ascii="Century Schoolbook" w:hAnsi="Century Schoolbook"/>
          <w:i/>
          <w:iCs/>
        </w:rPr>
        <w:t>Padilla</w:t>
      </w:r>
      <w:r>
        <w:rPr>
          <w:rFonts w:ascii="Century Schoolbook" w:hAnsi="Century Schoolbook"/>
        </w:rPr>
        <w:t>, at p. 374.)</w:t>
      </w:r>
    </w:p>
    <w:p w14:paraId="1BC63EF1" w14:textId="77777777" w:rsidR="002C312F" w:rsidRDefault="00B029BA" w:rsidP="00C65E6E">
      <w:pPr>
        <w:spacing w:line="360" w:lineRule="auto"/>
        <w:rPr>
          <w:rFonts w:ascii="Century Schoolbook" w:hAnsi="Century Schoolbook"/>
        </w:rPr>
      </w:pPr>
      <w:r>
        <w:rPr>
          <w:rFonts w:ascii="Century Schoolbook" w:hAnsi="Century Schoolbook"/>
        </w:rPr>
        <w:tab/>
        <w:t xml:space="preserve">The Legislature codified the holding of </w:t>
      </w:r>
      <w:r>
        <w:rPr>
          <w:rFonts w:ascii="Century Schoolbook" w:hAnsi="Century Schoolbook"/>
          <w:i/>
          <w:iCs/>
        </w:rPr>
        <w:t>Padilla</w:t>
      </w:r>
      <w:r>
        <w:rPr>
          <w:rFonts w:ascii="Century Schoolbook" w:hAnsi="Century Schoolbook"/>
        </w:rPr>
        <w:t xml:space="preserve">, </w:t>
      </w:r>
      <w:r>
        <w:rPr>
          <w:rFonts w:ascii="Century Schoolbook" w:hAnsi="Century Schoolbook"/>
          <w:i/>
          <w:iCs/>
        </w:rPr>
        <w:t>supra</w:t>
      </w:r>
      <w:r>
        <w:rPr>
          <w:rFonts w:ascii="Century Schoolbook" w:hAnsi="Century Schoolbook"/>
        </w:rPr>
        <w:t>, 559 U.S. 356, in 2015 when it enacted a statute providing that “[d]efense counsel shall provide accurate and affirmative advice about the immigration consequences of a proposed</w:t>
      </w:r>
      <w:r>
        <w:rPr>
          <w:rFonts w:ascii="Century Schoolbook" w:hAnsi="Century Schoolbook"/>
        </w:rPr>
        <w:t xml:space="preserve"> disposition.”  (Pen. Code, § 1016.3, subd. (a); see </w:t>
      </w:r>
      <w:r>
        <w:rPr>
          <w:rFonts w:ascii="Century Schoolbook" w:hAnsi="Century Schoolbook"/>
          <w:i/>
          <w:iCs/>
        </w:rPr>
        <w:t>id.</w:t>
      </w:r>
      <w:r>
        <w:rPr>
          <w:rFonts w:ascii="Century Schoolbook" w:hAnsi="Century Schoolbook"/>
        </w:rPr>
        <w:t>, § 1016.2, subd. (h) [stating</w:t>
      </w:r>
      <w:r w:rsidRPr="00DD2328">
        <w:rPr>
          <w:rFonts w:ascii="Century Schoolbook" w:hAnsi="Century Schoolbook"/>
        </w:rPr>
        <w:t xml:space="preserve"> </w:t>
      </w:r>
      <w:r>
        <w:rPr>
          <w:rFonts w:ascii="Century Schoolbook" w:hAnsi="Century Schoolbook"/>
        </w:rPr>
        <w:t xml:space="preserve">legislative </w:t>
      </w:r>
      <w:r w:rsidRPr="00DD2328">
        <w:rPr>
          <w:rFonts w:ascii="Century Schoolbook" w:hAnsi="Century Schoolbook"/>
        </w:rPr>
        <w:t xml:space="preserve">intent to codify </w:t>
      </w:r>
      <w:r w:rsidRPr="00670645">
        <w:rPr>
          <w:rFonts w:ascii="Century Schoolbook" w:hAnsi="Century Schoolbook"/>
          <w:i/>
          <w:iCs/>
        </w:rPr>
        <w:t>Padilla</w:t>
      </w:r>
      <w:r>
        <w:rPr>
          <w:rFonts w:ascii="Century Schoolbook" w:hAnsi="Century Schoolbook"/>
        </w:rPr>
        <w:t xml:space="preserve">]; </w:t>
      </w:r>
      <w:r>
        <w:rPr>
          <w:rFonts w:ascii="Century Schoolbook" w:hAnsi="Century Schoolbook"/>
          <w:i/>
          <w:iCs/>
        </w:rPr>
        <w:t>Codinha</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71 Cal.App.5th at p. 1065 &amp; fns. 8 &amp; 9 [discussing codification of </w:t>
      </w:r>
      <w:r>
        <w:rPr>
          <w:rFonts w:ascii="Century Schoolbook" w:hAnsi="Century Schoolbook"/>
          <w:i/>
          <w:iCs/>
        </w:rPr>
        <w:t>Padilla</w:t>
      </w:r>
      <w:r>
        <w:rPr>
          <w:rFonts w:ascii="Century Schoolbook" w:hAnsi="Century Schoolbook"/>
        </w:rPr>
        <w:t xml:space="preserve">].)  As we explained in </w:t>
      </w:r>
      <w:r>
        <w:rPr>
          <w:rFonts w:ascii="Century Schoolbook" w:hAnsi="Century Schoolbook"/>
          <w:i/>
          <w:iCs/>
        </w:rPr>
        <w:t>Codinha</w:t>
      </w:r>
      <w:r>
        <w:rPr>
          <w:rFonts w:ascii="Century Schoolbook" w:hAnsi="Century Schoolbook"/>
        </w:rPr>
        <w:t>, however</w:t>
      </w:r>
      <w:r>
        <w:rPr>
          <w:rFonts w:ascii="Century Schoolbook" w:hAnsi="Century Schoolbook"/>
        </w:rPr>
        <w:t xml:space="preserve">, “[t]here </w:t>
      </w:r>
      <w:r w:rsidRPr="00F020A2">
        <w:rPr>
          <w:rFonts w:ascii="Century Schoolbook" w:hAnsi="Century Schoolbook"/>
        </w:rPr>
        <w:t>are no similar statutes or indications of a legislative intent that require defense counsel to advise their clients of</w:t>
      </w:r>
      <w:r>
        <w:rPr>
          <w:rFonts w:ascii="Century Schoolbook" w:hAnsi="Century Schoolbook"/>
        </w:rPr>
        <w:t xml:space="preserve"> </w:t>
      </w:r>
      <w:r w:rsidRPr="00F020A2">
        <w:rPr>
          <w:rFonts w:ascii="Century Schoolbook" w:hAnsi="Century Schoolbook"/>
        </w:rPr>
        <w:t>the potential SVP</w:t>
      </w:r>
      <w:r>
        <w:rPr>
          <w:rFonts w:ascii="Century Schoolbook" w:hAnsi="Century Schoolbook"/>
        </w:rPr>
        <w:t>[A]</w:t>
      </w:r>
      <w:r w:rsidRPr="00F020A2">
        <w:rPr>
          <w:rFonts w:ascii="Century Schoolbook" w:hAnsi="Century Schoolbook"/>
        </w:rPr>
        <w:t xml:space="preserve"> consequences of the clients</w:t>
      </w:r>
      <w:r>
        <w:rPr>
          <w:rFonts w:ascii="Century Schoolbook" w:hAnsi="Century Schoolbook"/>
        </w:rPr>
        <w:t>’</w:t>
      </w:r>
      <w:r w:rsidRPr="00F020A2">
        <w:rPr>
          <w:rFonts w:ascii="Century Schoolbook" w:hAnsi="Century Schoolbook"/>
        </w:rPr>
        <w:t xml:space="preserve"> guilty pleas.</w:t>
      </w:r>
      <w:r>
        <w:rPr>
          <w:rFonts w:ascii="Century Schoolbook" w:hAnsi="Century Schoolbook"/>
        </w:rPr>
        <w:t>”  (</w:t>
      </w:r>
      <w:r>
        <w:rPr>
          <w:rFonts w:ascii="Century Schoolbook" w:hAnsi="Century Schoolbook"/>
          <w:i/>
          <w:iCs/>
        </w:rPr>
        <w:t>Codinha</w:t>
      </w:r>
      <w:r>
        <w:rPr>
          <w:rFonts w:ascii="Century Schoolbook" w:hAnsi="Century Schoolbook"/>
        </w:rPr>
        <w:t>, at p. 1066.)</w:t>
      </w:r>
    </w:p>
    <w:p w14:paraId="1F695395" w14:textId="77777777" w:rsidR="00D05B57" w:rsidRDefault="00B029BA" w:rsidP="00C65E6E">
      <w:pPr>
        <w:spacing w:line="360" w:lineRule="auto"/>
        <w:rPr>
          <w:rFonts w:ascii="Century Schoolbook" w:hAnsi="Century Schoolbook"/>
        </w:rPr>
      </w:pPr>
      <w:r>
        <w:rPr>
          <w:rFonts w:ascii="Century Schoolbook" w:hAnsi="Century Schoolbook"/>
        </w:rPr>
        <w:lastRenderedPageBreak/>
        <w:tab/>
        <w:t xml:space="preserve">Tellez responds that “[his] </w:t>
      </w:r>
      <w:r>
        <w:rPr>
          <w:rFonts w:ascii="Century Schoolbook" w:hAnsi="Century Schoolbook"/>
        </w:rPr>
        <w:t>argument is not that there is a statutory duty, but that the duty to advise of the consequences of a[n] SVP[A] commitment is Constitutionally enmeshed in the 6</w:t>
      </w:r>
      <w:r w:rsidRPr="008B03C8">
        <w:rPr>
          <w:rFonts w:ascii="Century Schoolbook" w:hAnsi="Century Schoolbook"/>
          <w:vertAlign w:val="superscript"/>
        </w:rPr>
        <w:t>th</w:t>
      </w:r>
      <w:r>
        <w:rPr>
          <w:rFonts w:ascii="Century Schoolbook" w:hAnsi="Century Schoolbook"/>
        </w:rPr>
        <w:t xml:space="preserve"> Amendment.”  He contends “[a]ny lawyer who represents the accused must have meaningful disclos</w:t>
      </w:r>
      <w:r>
        <w:rPr>
          <w:rFonts w:ascii="Century Schoolbook" w:hAnsi="Century Schoolbook"/>
        </w:rPr>
        <w:t xml:space="preserve">ures and conversations with their clients as to the most important part of the penalty they may face,” and relies on </w:t>
      </w:r>
      <w:r>
        <w:rPr>
          <w:rFonts w:ascii="Century Schoolbook" w:hAnsi="Century Schoolbook"/>
          <w:i/>
          <w:iCs/>
        </w:rPr>
        <w:t xml:space="preserve">Padilla </w:t>
      </w:r>
      <w:r>
        <w:rPr>
          <w:rFonts w:ascii="Century Schoolbook" w:hAnsi="Century Schoolbook"/>
        </w:rPr>
        <w:t>and another case (</w:t>
      </w:r>
      <w:r>
        <w:rPr>
          <w:rFonts w:ascii="Century Schoolbook" w:hAnsi="Century Schoolbook"/>
          <w:i/>
          <w:iCs/>
        </w:rPr>
        <w:t xml:space="preserve">People v. Soriano </w:t>
      </w:r>
      <w:r>
        <w:rPr>
          <w:rFonts w:ascii="Century Schoolbook" w:hAnsi="Century Schoolbook"/>
        </w:rPr>
        <w:t>(1987) 194 Cal.App.3d 1470 (</w:t>
      </w:r>
      <w:r>
        <w:rPr>
          <w:rFonts w:ascii="Century Schoolbook" w:hAnsi="Century Schoolbook"/>
          <w:i/>
          <w:iCs/>
        </w:rPr>
        <w:t>Soriano</w:t>
      </w:r>
      <w:r>
        <w:rPr>
          <w:rFonts w:ascii="Century Schoolbook" w:hAnsi="Century Schoolbook"/>
        </w:rPr>
        <w:t>)) in which the courts ruled counsel performed deficiently b</w:t>
      </w:r>
      <w:r>
        <w:rPr>
          <w:rFonts w:ascii="Century Schoolbook" w:hAnsi="Century Schoolbook"/>
        </w:rPr>
        <w:t>y failing to advise noncitizens of the deportation consequences of their guilty pleas.  As we shall explain, we are not persuaded advisement of a potential SVPA commitment is constitutionally required.</w:t>
      </w:r>
    </w:p>
    <w:p w14:paraId="26B83F2A" w14:textId="77777777" w:rsidR="00D05B57" w:rsidRPr="00BB24A8" w:rsidRDefault="00B029BA" w:rsidP="00C65E6E">
      <w:pPr>
        <w:spacing w:line="360" w:lineRule="auto"/>
        <w:rPr>
          <w:rFonts w:ascii="Century Schoolbook" w:hAnsi="Century Schoolbook"/>
        </w:rPr>
      </w:pPr>
      <w:r>
        <w:rPr>
          <w:rFonts w:ascii="Century Schoolbook" w:hAnsi="Century Schoolbook"/>
        </w:rPr>
        <w:tab/>
        <w:t xml:space="preserve">In imposing a constitutional duty on defense counsel </w:t>
      </w:r>
      <w:r>
        <w:rPr>
          <w:rFonts w:ascii="Century Schoolbook" w:hAnsi="Century Schoolbook"/>
        </w:rPr>
        <w:t xml:space="preserve">to warn a noncitizen defendant about deportation as a consequence of a guilty plea in </w:t>
      </w:r>
      <w:r>
        <w:rPr>
          <w:rFonts w:ascii="Century Schoolbook" w:hAnsi="Century Schoolbook"/>
          <w:i/>
          <w:iCs/>
        </w:rPr>
        <w:t>Padilla</w:t>
      </w:r>
      <w:r>
        <w:rPr>
          <w:rFonts w:ascii="Century Schoolbook" w:hAnsi="Century Schoolbook"/>
        </w:rPr>
        <w:t>, the United States Supreme Court noted that “</w:t>
      </w:r>
      <w:r w:rsidRPr="003842C7">
        <w:rPr>
          <w:rFonts w:ascii="Century Schoolbook" w:hAnsi="Century Schoolbook"/>
        </w:rPr>
        <w:t xml:space="preserve">as a matter of federal law, deportation is an integral part—indeed, sometimes the most important part—of the penalty </w:t>
      </w:r>
      <w:r w:rsidRPr="003842C7">
        <w:rPr>
          <w:rFonts w:ascii="Century Schoolbook" w:hAnsi="Century Schoolbook"/>
        </w:rPr>
        <w:t>that may be imposed on noncitizen defendants who plead guilty to specified crimes.</w:t>
      </w:r>
      <w:r>
        <w:rPr>
          <w:rFonts w:ascii="Century Schoolbook" w:hAnsi="Century Schoolbook"/>
        </w:rPr>
        <w:t>”  (</w:t>
      </w:r>
      <w:r>
        <w:rPr>
          <w:rFonts w:ascii="Century Schoolbook" w:hAnsi="Century Schoolbook"/>
          <w:i/>
          <w:iCs/>
        </w:rPr>
        <w:t>Padilla</w:t>
      </w:r>
      <w:r>
        <w:rPr>
          <w:rFonts w:ascii="Century Schoolbook" w:hAnsi="Century Schoolbook"/>
        </w:rPr>
        <w:t xml:space="preserve">, </w:t>
      </w:r>
      <w:r>
        <w:rPr>
          <w:rFonts w:ascii="Century Schoolbook" w:hAnsi="Century Schoolbook"/>
          <w:i/>
          <w:iCs/>
        </w:rPr>
        <w:t>supra</w:t>
      </w:r>
      <w:r>
        <w:rPr>
          <w:rFonts w:ascii="Century Schoolbook" w:hAnsi="Century Schoolbook"/>
        </w:rPr>
        <w:t>, 559 U.S. at p. 364, fn. omitted.)  The high court went on to explain that because “deportation is a particularly severe ‘penalty’ ” that is “intimately re</w:t>
      </w:r>
      <w:r>
        <w:rPr>
          <w:rFonts w:ascii="Century Schoolbook" w:hAnsi="Century Schoolbook"/>
        </w:rPr>
        <w:t>lated to the criminal process” and is “nearly an automatic result for a broad class of noncitizen offenders,” the court found it “ ‘most difficult’ to divorce the penalty from the conviction in the deportation context.”  (</w:t>
      </w:r>
      <w:r>
        <w:rPr>
          <w:rFonts w:ascii="Century Schoolbook" w:hAnsi="Century Schoolbook"/>
          <w:i/>
          <w:iCs/>
        </w:rPr>
        <w:t>Id.</w:t>
      </w:r>
      <w:r>
        <w:rPr>
          <w:rFonts w:ascii="Century Schoolbook" w:hAnsi="Century Schoolbook"/>
        </w:rPr>
        <w:t xml:space="preserve"> at pp. 365-366.)  Citing stand</w:t>
      </w:r>
      <w:r>
        <w:rPr>
          <w:rFonts w:ascii="Century Schoolbook" w:hAnsi="Century Schoolbook"/>
        </w:rPr>
        <w:t>ards promulgated by the American Bar Association and other organizations, the high court also stated, “The weight of prevailing professional norms supports the view that counsel must advise her client regarding the risk of deportation.”  (</w:t>
      </w:r>
      <w:r>
        <w:rPr>
          <w:rFonts w:ascii="Century Schoolbook" w:hAnsi="Century Schoolbook"/>
          <w:i/>
          <w:iCs/>
        </w:rPr>
        <w:t>Id.</w:t>
      </w:r>
      <w:r>
        <w:rPr>
          <w:rFonts w:ascii="Century Schoolbook" w:hAnsi="Century Schoolbook"/>
        </w:rPr>
        <w:t xml:space="preserve"> at pp. 367-36</w:t>
      </w:r>
      <w:r>
        <w:rPr>
          <w:rFonts w:ascii="Century Schoolbook" w:hAnsi="Century Schoolbook"/>
        </w:rPr>
        <w:t xml:space="preserve">8.)  The high court further noted “the </w:t>
      </w:r>
      <w:r w:rsidRPr="00F37067">
        <w:rPr>
          <w:rFonts w:ascii="Century Schoolbook" w:hAnsi="Century Schoolbook"/>
        </w:rPr>
        <w:t xml:space="preserve">terms of the relevant immigration statute </w:t>
      </w:r>
      <w:r>
        <w:rPr>
          <w:rFonts w:ascii="Century Schoolbook" w:hAnsi="Century Schoolbook"/>
        </w:rPr>
        <w:t>[were]</w:t>
      </w:r>
      <w:r w:rsidRPr="00F37067">
        <w:rPr>
          <w:rFonts w:ascii="Century Schoolbook" w:hAnsi="Century Schoolbook"/>
        </w:rPr>
        <w:t xml:space="preserve"> succinct, clear, and explicit in </w:t>
      </w:r>
      <w:r w:rsidRPr="00F37067">
        <w:rPr>
          <w:rFonts w:ascii="Century Schoolbook" w:hAnsi="Century Schoolbook"/>
        </w:rPr>
        <w:lastRenderedPageBreak/>
        <w:t>defining the removal consequence for Padilla</w:t>
      </w:r>
      <w:r>
        <w:rPr>
          <w:rFonts w:ascii="Century Schoolbook" w:hAnsi="Century Schoolbook"/>
        </w:rPr>
        <w:t>’</w:t>
      </w:r>
      <w:r w:rsidRPr="00F37067">
        <w:rPr>
          <w:rFonts w:ascii="Century Schoolbook" w:hAnsi="Century Schoolbook"/>
        </w:rPr>
        <w:t>s conviction.</w:t>
      </w:r>
      <w:r>
        <w:rPr>
          <w:rFonts w:ascii="Century Schoolbook" w:hAnsi="Century Schoolbook"/>
        </w:rPr>
        <w:t>”  (</w:t>
      </w:r>
      <w:r>
        <w:rPr>
          <w:rFonts w:ascii="Century Schoolbook" w:hAnsi="Century Schoolbook"/>
          <w:i/>
          <w:iCs/>
        </w:rPr>
        <w:t>Id.</w:t>
      </w:r>
      <w:r>
        <w:rPr>
          <w:rFonts w:ascii="Century Schoolbook" w:hAnsi="Century Schoolbook"/>
        </w:rPr>
        <w:t xml:space="preserve"> at p. 368.)</w:t>
      </w:r>
      <w:r>
        <w:rPr>
          <w:rStyle w:val="FootnoteReference"/>
          <w:rFonts w:ascii="Century Schoolbook" w:hAnsi="Century Schoolbook"/>
        </w:rPr>
        <w:footnoteReference w:id="3"/>
      </w:r>
      <w:r>
        <w:rPr>
          <w:rFonts w:ascii="Century Schoolbook" w:hAnsi="Century Schoolbook"/>
        </w:rPr>
        <w:t xml:space="preserve">  The </w:t>
      </w:r>
      <w:r>
        <w:rPr>
          <w:rFonts w:ascii="Century Schoolbook" w:hAnsi="Century Schoolbook"/>
          <w:i/>
          <w:iCs/>
        </w:rPr>
        <w:t>Soriano</w:t>
      </w:r>
      <w:r>
        <w:rPr>
          <w:rFonts w:ascii="Century Schoolbook" w:hAnsi="Century Schoolbook"/>
        </w:rPr>
        <w:t xml:space="preserve"> court similarly relied on American Bar Association standards and the close and clear connection between conviction and deportability in requiring counsel to advise the defendant of the deportation consequences of the guilty plea.  (</w:t>
      </w:r>
      <w:r>
        <w:rPr>
          <w:rFonts w:ascii="Century Schoolbook" w:hAnsi="Century Schoolbook"/>
          <w:i/>
          <w:iCs/>
        </w:rPr>
        <w:t>Soriano</w:t>
      </w:r>
      <w:r>
        <w:rPr>
          <w:rFonts w:ascii="Century Schoolbook" w:hAnsi="Century Schoolbook"/>
        </w:rPr>
        <w:t xml:space="preserve">, </w:t>
      </w:r>
      <w:r>
        <w:rPr>
          <w:rFonts w:ascii="Century Schoolbook" w:hAnsi="Century Schoolbook"/>
          <w:i/>
          <w:iCs/>
        </w:rPr>
        <w:t>supra</w:t>
      </w:r>
      <w:r>
        <w:rPr>
          <w:rFonts w:ascii="Century Schoolbook" w:hAnsi="Century Schoolbook"/>
        </w:rPr>
        <w:t>, 194 Cal</w:t>
      </w:r>
      <w:r>
        <w:rPr>
          <w:rFonts w:ascii="Century Schoolbook" w:hAnsi="Century Schoolbook"/>
        </w:rPr>
        <w:t>.App.3d at pp. 1479-1482.)</w:t>
      </w:r>
    </w:p>
    <w:p w14:paraId="055C0567" w14:textId="77777777" w:rsidR="003842C7" w:rsidRPr="00E142E8" w:rsidRDefault="00B029BA" w:rsidP="00C65E6E">
      <w:pPr>
        <w:spacing w:line="360" w:lineRule="auto"/>
        <w:rPr>
          <w:rFonts w:ascii="Century Schoolbook" w:hAnsi="Century Schoolbook"/>
        </w:rPr>
      </w:pPr>
      <w:r>
        <w:rPr>
          <w:rFonts w:ascii="Century Schoolbook" w:hAnsi="Century Schoolbook"/>
        </w:rPr>
        <w:tab/>
        <w:t>These factors do not support imposition of a duty on counsel to advise a client that civil commitment under the SVPA is a potential consequence of a guilty plea to certain sex crimes.  “</w:t>
      </w:r>
      <w:r w:rsidRPr="000E422C">
        <w:rPr>
          <w:rFonts w:ascii="Century Schoolbook" w:hAnsi="Century Schoolbook"/>
        </w:rPr>
        <w:t>Unlike the</w:t>
      </w:r>
      <w:r>
        <w:rPr>
          <w:rFonts w:ascii="Century Schoolbook" w:hAnsi="Century Schoolbook"/>
        </w:rPr>
        <w:t xml:space="preserve"> </w:t>
      </w:r>
      <w:r w:rsidRPr="000E422C">
        <w:rPr>
          <w:rFonts w:ascii="Century Schoolbook" w:hAnsi="Century Schoolbook"/>
        </w:rPr>
        <w:t>potential immigration consequen</w:t>
      </w:r>
      <w:r w:rsidRPr="000E422C">
        <w:rPr>
          <w:rFonts w:ascii="Century Schoolbook" w:hAnsi="Century Schoolbook"/>
        </w:rPr>
        <w:t>ces for a noncitizen defendant convicted of certain crimes, potential SVP</w:t>
      </w:r>
      <w:r>
        <w:rPr>
          <w:rFonts w:ascii="Century Schoolbook" w:hAnsi="Century Schoolbook"/>
        </w:rPr>
        <w:t>[A]</w:t>
      </w:r>
      <w:r w:rsidRPr="000E422C">
        <w:rPr>
          <w:rFonts w:ascii="Century Schoolbook" w:hAnsi="Century Schoolbook"/>
        </w:rPr>
        <w:t xml:space="preserve"> consequences are neither </w:t>
      </w:r>
      <w:r>
        <w:rPr>
          <w:rFonts w:ascii="Century Schoolbook" w:hAnsi="Century Schoolbook"/>
        </w:rPr>
        <w:t>‘</w:t>
      </w:r>
      <w:r w:rsidRPr="000E422C">
        <w:rPr>
          <w:rFonts w:ascii="Century Schoolbook" w:hAnsi="Century Schoolbook"/>
        </w:rPr>
        <w:t>enmeshed</w:t>
      </w:r>
      <w:r>
        <w:rPr>
          <w:rFonts w:ascii="Century Schoolbook" w:hAnsi="Century Schoolbook"/>
        </w:rPr>
        <w:t>’</w:t>
      </w:r>
      <w:r w:rsidRPr="000E422C">
        <w:rPr>
          <w:rFonts w:ascii="Century Schoolbook" w:hAnsi="Century Schoolbook"/>
        </w:rPr>
        <w:t xml:space="preserve"> in and </w:t>
      </w:r>
      <w:r>
        <w:rPr>
          <w:rFonts w:ascii="Century Schoolbook" w:hAnsi="Century Schoolbook"/>
        </w:rPr>
        <w:t>‘</w:t>
      </w:r>
      <w:r w:rsidRPr="000E422C">
        <w:rPr>
          <w:rFonts w:ascii="Century Schoolbook" w:hAnsi="Century Schoolbook"/>
        </w:rPr>
        <w:t>intimately related to the criminal process</w:t>
      </w:r>
      <w:r>
        <w:rPr>
          <w:rFonts w:ascii="Century Schoolbook" w:hAnsi="Century Schoolbook"/>
        </w:rPr>
        <w:t>’</w:t>
      </w:r>
      <w:r w:rsidRPr="000E422C">
        <w:rPr>
          <w:rFonts w:ascii="Century Schoolbook" w:hAnsi="Century Schoolbook"/>
        </w:rPr>
        <w:t xml:space="preserve"> nor </w:t>
      </w:r>
      <w:r>
        <w:rPr>
          <w:rFonts w:ascii="Century Schoolbook" w:hAnsi="Century Schoolbook"/>
        </w:rPr>
        <w:t>‘</w:t>
      </w:r>
      <w:r w:rsidRPr="000E422C">
        <w:rPr>
          <w:rFonts w:ascii="Century Schoolbook" w:hAnsi="Century Schoolbook"/>
        </w:rPr>
        <w:t>nearly an automatic result</w:t>
      </w:r>
      <w:r>
        <w:rPr>
          <w:rFonts w:ascii="Century Schoolbook" w:hAnsi="Century Schoolbook"/>
        </w:rPr>
        <w:t>’</w:t>
      </w:r>
      <w:r w:rsidRPr="000E422C">
        <w:rPr>
          <w:rFonts w:ascii="Century Schoolbook" w:hAnsi="Century Schoolbook"/>
        </w:rPr>
        <w:t xml:space="preserve"> for many offenses.</w:t>
      </w:r>
      <w:r>
        <w:rPr>
          <w:rFonts w:ascii="Century Schoolbook" w:hAnsi="Century Schoolbook"/>
        </w:rPr>
        <w:t>”  (</w:t>
      </w:r>
      <w:r>
        <w:rPr>
          <w:rFonts w:ascii="Century Schoolbook" w:hAnsi="Century Schoolbook"/>
          <w:i/>
          <w:iCs/>
        </w:rPr>
        <w:t>Codinha</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71 </w:t>
      </w:r>
      <w:r>
        <w:rPr>
          <w:rFonts w:ascii="Century Schoolbook" w:hAnsi="Century Schoolbook"/>
        </w:rPr>
        <w:t>Cal.App.5th at p. 1069.)  Rather, commitment under the SVPA requires an additional, multistep process.  Prison officials first screen a person convicted of a qualifying sex crime to determine whether the person is likely a sexually violent predator.  (Welf</w:t>
      </w:r>
      <w:r>
        <w:rPr>
          <w:rFonts w:ascii="Century Schoolbook" w:hAnsi="Century Schoolbook"/>
        </w:rPr>
        <w:t>. &amp; Inst. Code, § 6601, subd. (b).)  If so, the person is referred for evaluation by two experts to determine whether the person has a mental disorder that makes the person likely to commit acts of sexual violence without appropriate treatment or confineme</w:t>
      </w:r>
      <w:r>
        <w:rPr>
          <w:rFonts w:ascii="Century Schoolbook" w:hAnsi="Century Schoolbook"/>
        </w:rPr>
        <w:t>nt.  (</w:t>
      </w:r>
      <w:r>
        <w:rPr>
          <w:rFonts w:ascii="Century Schoolbook" w:hAnsi="Century Schoolbook"/>
          <w:i/>
          <w:iCs/>
        </w:rPr>
        <w:t>Id.</w:t>
      </w:r>
      <w:r>
        <w:rPr>
          <w:rFonts w:ascii="Century Schoolbook" w:hAnsi="Century Schoolbook"/>
        </w:rPr>
        <w:t>, § 6601, subds. (d)-(f).)  If the two experts agree, a request that a petition for civil commitment be filed is sent to the designated counsel of the county where the person committed the sex crime.  (</w:t>
      </w:r>
      <w:r>
        <w:rPr>
          <w:rFonts w:ascii="Century Schoolbook" w:hAnsi="Century Schoolbook"/>
          <w:i/>
          <w:iCs/>
        </w:rPr>
        <w:t>Id.</w:t>
      </w:r>
      <w:r>
        <w:rPr>
          <w:rFonts w:ascii="Century Schoolbook" w:hAnsi="Century Schoolbook"/>
        </w:rPr>
        <w:t xml:space="preserve">, § 6601, subds. (d), (f), (h)(1), (i).)  </w:t>
      </w:r>
      <w:r>
        <w:rPr>
          <w:rFonts w:ascii="Century Schoolbook" w:hAnsi="Century Schoolbook"/>
        </w:rPr>
        <w:t xml:space="preserve">If the designated counsel agrees that commitment is appropriate, </w:t>
      </w:r>
      <w:r>
        <w:rPr>
          <w:rFonts w:ascii="Century Schoolbook" w:hAnsi="Century Schoolbook"/>
        </w:rPr>
        <w:lastRenderedPageBreak/>
        <w:t>counsel then files a petition in the superior court.  (</w:t>
      </w:r>
      <w:r>
        <w:rPr>
          <w:rFonts w:ascii="Century Schoolbook" w:hAnsi="Century Schoolbook"/>
          <w:i/>
          <w:iCs/>
        </w:rPr>
        <w:t>Id.</w:t>
      </w:r>
      <w:r>
        <w:rPr>
          <w:rFonts w:ascii="Century Schoolbook" w:hAnsi="Century Schoolbook"/>
        </w:rPr>
        <w:t xml:space="preserve">, § 6601, subd. (i).)  </w:t>
      </w:r>
      <w:r w:rsidRPr="00E142E8">
        <w:rPr>
          <w:rFonts w:ascii="Century Schoolbook" w:hAnsi="Century Schoolbook"/>
        </w:rPr>
        <w:t xml:space="preserve">If a petition is filed, the </w:t>
      </w:r>
      <w:r>
        <w:rPr>
          <w:rFonts w:ascii="Century Schoolbook" w:hAnsi="Century Schoolbook"/>
        </w:rPr>
        <w:t>court</w:t>
      </w:r>
      <w:r w:rsidRPr="00E142E8">
        <w:rPr>
          <w:rFonts w:ascii="Century Schoolbook" w:hAnsi="Century Schoolbook"/>
        </w:rPr>
        <w:t xml:space="preserve"> holds a hearing to determine </w:t>
      </w:r>
      <w:r>
        <w:rPr>
          <w:rFonts w:ascii="Century Schoolbook" w:hAnsi="Century Schoolbook"/>
        </w:rPr>
        <w:t>whether</w:t>
      </w:r>
      <w:r w:rsidRPr="00E142E8">
        <w:rPr>
          <w:rFonts w:ascii="Century Schoolbook" w:hAnsi="Century Schoolbook"/>
        </w:rPr>
        <w:t xml:space="preserve"> there is probable cause to believe the </w:t>
      </w:r>
      <w:r w:rsidRPr="00E142E8">
        <w:rPr>
          <w:rFonts w:ascii="Century Schoolbook" w:hAnsi="Century Schoolbook"/>
        </w:rPr>
        <w:t xml:space="preserve">person is likely to engage in sexually violent behavior. </w:t>
      </w:r>
      <w:r>
        <w:rPr>
          <w:rFonts w:ascii="Century Schoolbook" w:hAnsi="Century Schoolbook"/>
        </w:rPr>
        <w:t xml:space="preserve"> </w:t>
      </w:r>
      <w:r w:rsidRPr="00E142E8">
        <w:rPr>
          <w:rFonts w:ascii="Century Schoolbook" w:hAnsi="Century Schoolbook"/>
        </w:rPr>
        <w:t>(</w:t>
      </w:r>
      <w:r>
        <w:rPr>
          <w:rFonts w:ascii="Century Schoolbook" w:hAnsi="Century Schoolbook"/>
          <w:i/>
          <w:iCs/>
        </w:rPr>
        <w:t>Id.</w:t>
      </w:r>
      <w:r>
        <w:rPr>
          <w:rFonts w:ascii="Century Schoolbook" w:hAnsi="Century Schoolbook"/>
        </w:rPr>
        <w:t xml:space="preserve">, </w:t>
      </w:r>
      <w:r w:rsidRPr="00E142E8">
        <w:rPr>
          <w:rFonts w:ascii="Century Schoolbook" w:hAnsi="Century Schoolbook"/>
        </w:rPr>
        <w:t>§ 6602</w:t>
      </w:r>
      <w:r>
        <w:rPr>
          <w:rFonts w:ascii="Century Schoolbook" w:hAnsi="Century Schoolbook"/>
        </w:rPr>
        <w:t>, subd. (a)</w:t>
      </w:r>
      <w:r w:rsidRPr="00E142E8">
        <w:rPr>
          <w:rFonts w:ascii="Century Schoolbook" w:hAnsi="Century Schoolbook"/>
        </w:rPr>
        <w:t xml:space="preserve">.) </w:t>
      </w:r>
      <w:r>
        <w:rPr>
          <w:rFonts w:ascii="Century Schoolbook" w:hAnsi="Century Schoolbook"/>
        </w:rPr>
        <w:t xml:space="preserve"> </w:t>
      </w:r>
      <w:r w:rsidRPr="00E142E8">
        <w:rPr>
          <w:rFonts w:ascii="Century Schoolbook" w:hAnsi="Century Schoolbook"/>
        </w:rPr>
        <w:t xml:space="preserve">If </w:t>
      </w:r>
      <w:r>
        <w:rPr>
          <w:rFonts w:ascii="Century Schoolbook" w:hAnsi="Century Schoolbook"/>
        </w:rPr>
        <w:t xml:space="preserve">the court finds </w:t>
      </w:r>
      <w:r w:rsidRPr="00E142E8">
        <w:rPr>
          <w:rFonts w:ascii="Century Schoolbook" w:hAnsi="Century Schoolbook"/>
        </w:rPr>
        <w:t xml:space="preserve">probable cause, a trial is conducted </w:t>
      </w:r>
      <w:r>
        <w:rPr>
          <w:rFonts w:ascii="Century Schoolbook" w:hAnsi="Century Schoolbook"/>
        </w:rPr>
        <w:t xml:space="preserve">on </w:t>
      </w:r>
      <w:r w:rsidRPr="00E142E8">
        <w:rPr>
          <w:rFonts w:ascii="Century Schoolbook" w:hAnsi="Century Schoolbook"/>
        </w:rPr>
        <w:t xml:space="preserve">whether the person </w:t>
      </w:r>
      <w:r>
        <w:rPr>
          <w:rFonts w:ascii="Century Schoolbook" w:hAnsi="Century Schoolbook"/>
        </w:rPr>
        <w:t>has a</w:t>
      </w:r>
      <w:r w:rsidRPr="00E142E8">
        <w:rPr>
          <w:rFonts w:ascii="Century Schoolbook" w:hAnsi="Century Schoolbook"/>
        </w:rPr>
        <w:t xml:space="preserve"> mental disorder</w:t>
      </w:r>
      <w:r>
        <w:rPr>
          <w:rFonts w:ascii="Century Schoolbook" w:hAnsi="Century Schoolbook"/>
        </w:rPr>
        <w:t xml:space="preserve"> that makes the person </w:t>
      </w:r>
      <w:r w:rsidRPr="00E142E8">
        <w:rPr>
          <w:rFonts w:ascii="Century Schoolbook" w:hAnsi="Century Schoolbook"/>
        </w:rPr>
        <w:t>likely to engage in sexual</w:t>
      </w:r>
      <w:r>
        <w:rPr>
          <w:rFonts w:ascii="Century Schoolbook" w:hAnsi="Century Schoolbook"/>
        </w:rPr>
        <w:t>ly</w:t>
      </w:r>
      <w:r w:rsidRPr="00E142E8">
        <w:rPr>
          <w:rFonts w:ascii="Century Schoolbook" w:hAnsi="Century Schoolbook"/>
        </w:rPr>
        <w:t xml:space="preserve"> violen</w:t>
      </w:r>
      <w:r>
        <w:rPr>
          <w:rFonts w:ascii="Century Schoolbook" w:hAnsi="Century Schoolbook"/>
        </w:rPr>
        <w:t>t acts</w:t>
      </w:r>
      <w:r w:rsidRPr="00E142E8">
        <w:rPr>
          <w:rFonts w:ascii="Century Schoolbook" w:hAnsi="Century Schoolbook"/>
        </w:rPr>
        <w:t xml:space="preserve"> upon re</w:t>
      </w:r>
      <w:r w:rsidRPr="00E142E8">
        <w:rPr>
          <w:rFonts w:ascii="Century Schoolbook" w:hAnsi="Century Schoolbook"/>
        </w:rPr>
        <w:t xml:space="preserve">lease </w:t>
      </w:r>
      <w:r>
        <w:rPr>
          <w:rFonts w:ascii="Century Schoolbook" w:hAnsi="Century Schoolbook"/>
        </w:rPr>
        <w:t>from prison.</w:t>
      </w:r>
      <w:r w:rsidRPr="00E142E8">
        <w:rPr>
          <w:rFonts w:ascii="Century Schoolbook" w:hAnsi="Century Schoolbook"/>
        </w:rPr>
        <w:t xml:space="preserve"> </w:t>
      </w:r>
      <w:r>
        <w:rPr>
          <w:rFonts w:ascii="Century Schoolbook" w:hAnsi="Century Schoolbook"/>
        </w:rPr>
        <w:t xml:space="preserve"> </w:t>
      </w:r>
      <w:r w:rsidRPr="00E142E8">
        <w:rPr>
          <w:rFonts w:ascii="Century Schoolbook" w:hAnsi="Century Schoolbook"/>
        </w:rPr>
        <w:t>(</w:t>
      </w:r>
      <w:r>
        <w:rPr>
          <w:rFonts w:ascii="Century Schoolbook" w:hAnsi="Century Schoolbook"/>
          <w:i/>
          <w:iCs/>
        </w:rPr>
        <w:t>Ibid.</w:t>
      </w:r>
      <w:r w:rsidRPr="00E142E8">
        <w:rPr>
          <w:rFonts w:ascii="Century Schoolbook" w:hAnsi="Century Schoolbook"/>
        </w:rPr>
        <w:t>)</w:t>
      </w:r>
      <w:r>
        <w:rPr>
          <w:rFonts w:ascii="Century Schoolbook" w:hAnsi="Century Schoolbook"/>
        </w:rPr>
        <w:t xml:space="preserve">  The person has the right to a jury or court trial (</w:t>
      </w:r>
      <w:r>
        <w:rPr>
          <w:rFonts w:ascii="Century Schoolbook" w:hAnsi="Century Schoolbook"/>
          <w:i/>
          <w:iCs/>
        </w:rPr>
        <w:t>id.</w:t>
      </w:r>
      <w:r>
        <w:rPr>
          <w:rFonts w:ascii="Century Schoolbook" w:hAnsi="Century Schoolbook"/>
        </w:rPr>
        <w:t>, § 6603, subd. (a)), at which the trier of fact must find beyond a reasonable doubt that the person is a sexually violent predator in order to commit the person (</w:t>
      </w:r>
      <w:r>
        <w:rPr>
          <w:rFonts w:ascii="Century Schoolbook" w:hAnsi="Century Schoolbook"/>
          <w:i/>
          <w:iCs/>
        </w:rPr>
        <w:t>id.</w:t>
      </w:r>
      <w:r>
        <w:rPr>
          <w:rFonts w:ascii="Century Schoolbook" w:hAnsi="Century Schoolbook"/>
        </w:rPr>
        <w:t>, § 660</w:t>
      </w:r>
      <w:r>
        <w:rPr>
          <w:rFonts w:ascii="Century Schoolbook" w:hAnsi="Century Schoolbook"/>
        </w:rPr>
        <w:t>4).  Hence,</w:t>
      </w:r>
      <w:r w:rsidRPr="00240BEF">
        <w:rPr>
          <w:rFonts w:ascii="Century Schoolbook" w:hAnsi="Century Schoolbook"/>
        </w:rPr>
        <w:t xml:space="preserve"> a finding</w:t>
      </w:r>
      <w:r>
        <w:rPr>
          <w:rFonts w:ascii="Century Schoolbook" w:hAnsi="Century Schoolbook"/>
        </w:rPr>
        <w:t xml:space="preserve"> that Tellez is a sexually violent predator subject to civil commitment</w:t>
      </w:r>
      <w:r w:rsidRPr="00240BEF">
        <w:rPr>
          <w:rFonts w:ascii="Century Schoolbook" w:hAnsi="Century Schoolbook"/>
        </w:rPr>
        <w:t xml:space="preserve"> </w:t>
      </w:r>
      <w:r>
        <w:rPr>
          <w:rFonts w:ascii="Century Schoolbook" w:hAnsi="Century Schoolbook"/>
        </w:rPr>
        <w:t>“</w:t>
      </w:r>
      <w:r w:rsidRPr="00240BEF">
        <w:rPr>
          <w:rFonts w:ascii="Century Schoolbook" w:hAnsi="Century Schoolbook"/>
        </w:rPr>
        <w:t xml:space="preserve">would result only from new determinations years </w:t>
      </w:r>
      <w:r>
        <w:rPr>
          <w:rFonts w:ascii="Century Schoolbook" w:hAnsi="Century Schoolbook"/>
        </w:rPr>
        <w:t>[after his plea]</w:t>
      </w:r>
      <w:r w:rsidRPr="00240BEF">
        <w:rPr>
          <w:rFonts w:ascii="Century Schoolbook" w:hAnsi="Century Schoolbook"/>
        </w:rPr>
        <w:t xml:space="preserve"> of issues such as whether </w:t>
      </w:r>
      <w:r>
        <w:rPr>
          <w:rFonts w:ascii="Century Schoolbook" w:hAnsi="Century Schoolbook"/>
        </w:rPr>
        <w:t>[he]</w:t>
      </w:r>
      <w:r w:rsidRPr="00240BEF">
        <w:rPr>
          <w:rFonts w:ascii="Century Schoolbook" w:hAnsi="Century Schoolbook"/>
        </w:rPr>
        <w:t xml:space="preserve"> was</w:t>
      </w:r>
      <w:r>
        <w:rPr>
          <w:rFonts w:ascii="Century Schoolbook" w:hAnsi="Century Schoolbook"/>
        </w:rPr>
        <w:t xml:space="preserve"> </w:t>
      </w:r>
      <w:r w:rsidRPr="00240BEF">
        <w:rPr>
          <w:rFonts w:ascii="Century Schoolbook" w:hAnsi="Century Schoolbook"/>
          <w:i/>
          <w:iCs/>
        </w:rPr>
        <w:t>at that point</w:t>
      </w:r>
      <w:r>
        <w:rPr>
          <w:rFonts w:ascii="Century Schoolbook" w:hAnsi="Century Schoolbook"/>
        </w:rPr>
        <w:t xml:space="preserve"> </w:t>
      </w:r>
      <w:r w:rsidRPr="00240BEF">
        <w:rPr>
          <w:rFonts w:ascii="Century Schoolbook" w:hAnsi="Century Schoolbook"/>
        </w:rPr>
        <w:t xml:space="preserve">mentally disordered and likely to reoffend </w:t>
      </w:r>
      <w:r>
        <w:rPr>
          <w:rFonts w:ascii="Century Schoolbook" w:hAnsi="Century Schoolbook"/>
        </w:rPr>
        <w:t>[cita</w:t>
      </w:r>
      <w:r>
        <w:rPr>
          <w:rFonts w:ascii="Century Schoolbook" w:hAnsi="Century Schoolbook"/>
        </w:rPr>
        <w:t>tions]—</w:t>
      </w:r>
      <w:r w:rsidRPr="00240BEF">
        <w:rPr>
          <w:rFonts w:ascii="Century Schoolbook" w:hAnsi="Century Schoolbook"/>
        </w:rPr>
        <w:t xml:space="preserve">matters which </w:t>
      </w:r>
      <w:r>
        <w:rPr>
          <w:rFonts w:ascii="Century Schoolbook" w:hAnsi="Century Schoolbook"/>
        </w:rPr>
        <w:t>[were]</w:t>
      </w:r>
      <w:r w:rsidRPr="00240BEF">
        <w:rPr>
          <w:rFonts w:ascii="Century Schoolbook" w:hAnsi="Century Schoolbook"/>
        </w:rPr>
        <w:t xml:space="preserve"> not admitted by his plea.</w:t>
      </w:r>
      <w:r>
        <w:rPr>
          <w:rFonts w:ascii="Century Schoolbook" w:hAnsi="Century Schoolbook"/>
        </w:rPr>
        <w:t>”  (</w:t>
      </w:r>
      <w:r>
        <w:rPr>
          <w:rFonts w:ascii="Century Schoolbook" w:hAnsi="Century Schoolbook"/>
          <w:i/>
          <w:iCs/>
        </w:rPr>
        <w:t xml:space="preserve">People v. Moore </w:t>
      </w:r>
      <w:r>
        <w:rPr>
          <w:rFonts w:ascii="Century Schoolbook" w:hAnsi="Century Schoolbook"/>
        </w:rPr>
        <w:t xml:space="preserve">(1998) 69 Cal.App.4th 626, 632; accord, </w:t>
      </w:r>
      <w:r>
        <w:rPr>
          <w:rFonts w:ascii="Century Schoolbook" w:hAnsi="Century Schoolbook"/>
          <w:i/>
          <w:iCs/>
        </w:rPr>
        <w:t>Codinha</w:t>
      </w:r>
      <w:r>
        <w:rPr>
          <w:rFonts w:ascii="Century Schoolbook" w:hAnsi="Century Schoolbook"/>
        </w:rPr>
        <w:t xml:space="preserve">, at pp. 1067-1068.)  Unlike the deportation consequence at issue in </w:t>
      </w:r>
      <w:r w:rsidRPr="00C264BD">
        <w:rPr>
          <w:rFonts w:ascii="Century Schoolbook" w:hAnsi="Century Schoolbook"/>
          <w:i/>
          <w:iCs/>
        </w:rPr>
        <w:t>Padilla</w:t>
      </w:r>
      <w:r>
        <w:rPr>
          <w:rFonts w:ascii="Century Schoolbook" w:hAnsi="Century Schoolbook"/>
        </w:rPr>
        <w:t xml:space="preserve">, </w:t>
      </w:r>
      <w:r w:rsidRPr="00C264BD">
        <w:rPr>
          <w:rFonts w:ascii="Century Schoolbook" w:hAnsi="Century Schoolbook"/>
        </w:rPr>
        <w:t>an</w:t>
      </w:r>
      <w:r>
        <w:rPr>
          <w:rFonts w:ascii="Century Schoolbook" w:hAnsi="Century Schoolbook"/>
        </w:rPr>
        <w:t xml:space="preserve"> SVPA commitment is neither a “presumptively mandatory” consequence of a guilty plea nor “</w:t>
      </w:r>
      <w:r w:rsidRPr="00597688">
        <w:rPr>
          <w:rFonts w:ascii="Century Schoolbook" w:hAnsi="Century Schoolbook"/>
        </w:rPr>
        <w:t>nearly an automatic result</w:t>
      </w:r>
      <w:r>
        <w:rPr>
          <w:rFonts w:ascii="Century Schoolbook" w:hAnsi="Century Schoolbook"/>
        </w:rPr>
        <w:t>” of applying a “</w:t>
      </w:r>
      <w:r w:rsidRPr="00F37067">
        <w:rPr>
          <w:rFonts w:ascii="Century Schoolbook" w:hAnsi="Century Schoolbook"/>
        </w:rPr>
        <w:t>succinct, clear, and explicit</w:t>
      </w:r>
      <w:r>
        <w:rPr>
          <w:rFonts w:ascii="Century Schoolbook" w:hAnsi="Century Schoolbook"/>
        </w:rPr>
        <w:t>” statute to the plea.  (</w:t>
      </w:r>
      <w:r>
        <w:rPr>
          <w:rFonts w:ascii="Century Schoolbook" w:hAnsi="Century Schoolbook"/>
          <w:i/>
          <w:iCs/>
        </w:rPr>
        <w:t>Padilla</w:t>
      </w:r>
      <w:r>
        <w:rPr>
          <w:rFonts w:ascii="Century Schoolbook" w:hAnsi="Century Schoolbook"/>
        </w:rPr>
        <w:t xml:space="preserve">, </w:t>
      </w:r>
      <w:r>
        <w:rPr>
          <w:rFonts w:ascii="Century Schoolbook" w:hAnsi="Century Schoolbook"/>
          <w:i/>
          <w:iCs/>
        </w:rPr>
        <w:t>supra</w:t>
      </w:r>
      <w:r>
        <w:rPr>
          <w:rFonts w:ascii="Century Schoolbook" w:hAnsi="Century Schoolbook"/>
        </w:rPr>
        <w:t>, 559 U.S. at pp. 366, 368, 369.)</w:t>
      </w:r>
    </w:p>
    <w:p w14:paraId="3647FD69" w14:textId="77777777" w:rsidR="000D68E3" w:rsidRDefault="00B029BA" w:rsidP="00C65E6E">
      <w:pPr>
        <w:spacing w:line="360" w:lineRule="auto"/>
        <w:rPr>
          <w:rFonts w:ascii="Century Schoolbook" w:hAnsi="Century Schoolbook"/>
        </w:rPr>
      </w:pPr>
      <w:r>
        <w:rPr>
          <w:rFonts w:ascii="Century Schoolbook" w:hAnsi="Century Schoolbook"/>
        </w:rPr>
        <w:tab/>
        <w:t>It also does not app</w:t>
      </w:r>
      <w:r>
        <w:rPr>
          <w:rFonts w:ascii="Century Schoolbook" w:hAnsi="Century Schoolbook"/>
        </w:rPr>
        <w:t xml:space="preserve">ear “[t]he </w:t>
      </w:r>
      <w:r w:rsidRPr="00CD051D">
        <w:rPr>
          <w:rFonts w:ascii="Century Schoolbook" w:hAnsi="Century Schoolbook"/>
        </w:rPr>
        <w:t xml:space="preserve">weight of prevailing professional norms supports the view that counsel must advise her client regarding the risk of </w:t>
      </w:r>
      <w:r>
        <w:rPr>
          <w:rFonts w:ascii="Century Schoolbook" w:hAnsi="Century Schoolbook"/>
        </w:rPr>
        <w:t>[SVPA commitment].”  (</w:t>
      </w:r>
      <w:r>
        <w:rPr>
          <w:rFonts w:ascii="Century Schoolbook" w:hAnsi="Century Schoolbook"/>
          <w:i/>
          <w:iCs/>
        </w:rPr>
        <w:t>Padilla</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559 U.S. at p. 367.)  Tellez has cited no professional guidelines or other similar sources </w:t>
      </w:r>
      <w:r>
        <w:rPr>
          <w:rFonts w:ascii="Century Schoolbook" w:hAnsi="Century Schoolbook"/>
        </w:rPr>
        <w:t>supporting imposition of such a duty, even though it is his burden to show “counsel’s representation fell below an objective standard of reasonableness.”  (</w:t>
      </w:r>
      <w:r>
        <w:rPr>
          <w:rFonts w:ascii="Century Schoolbook" w:hAnsi="Century Schoolbook"/>
          <w:i/>
          <w:iCs/>
        </w:rPr>
        <w:t>Strickland</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466 U.S. at p. 688; accord, </w:t>
      </w:r>
      <w:r>
        <w:rPr>
          <w:rFonts w:ascii="Century Schoolbook" w:hAnsi="Century Schoolbook"/>
          <w:i/>
          <w:iCs/>
        </w:rPr>
        <w:t xml:space="preserve">In re Hernandez </w:t>
      </w:r>
      <w:r>
        <w:rPr>
          <w:rFonts w:ascii="Century Schoolbook" w:hAnsi="Century Schoolbook"/>
        </w:rPr>
        <w:t>(2019) 33 Cal.App.5th 530, 543.)  Our</w:t>
      </w:r>
      <w:r>
        <w:rPr>
          <w:rFonts w:ascii="Century Schoolbook" w:hAnsi="Century Schoolbook"/>
        </w:rPr>
        <w:t xml:space="preserve"> own independent research found no clear direction from professional organizations on the subject.  A guideline from the National Legal Aid and </w:t>
      </w:r>
      <w:r>
        <w:rPr>
          <w:rFonts w:ascii="Century Schoolbook" w:hAnsi="Century Schoolbook"/>
        </w:rPr>
        <w:lastRenderedPageBreak/>
        <w:t>Defender Association states</w:t>
      </w:r>
      <w:r w:rsidRPr="00E579A0">
        <w:rPr>
          <w:rFonts w:ascii="Century Schoolbook" w:hAnsi="Century Schoolbook"/>
        </w:rPr>
        <w:t xml:space="preserve"> that “counsel should be fully aware of, and make sure the client is fully aware of</w:t>
      </w:r>
      <w:r>
        <w:rPr>
          <w:rFonts w:ascii="Century Schoolbook" w:hAnsi="Century Schoolbook"/>
        </w:rPr>
        <w:t> .</w:t>
      </w:r>
      <w:r>
        <w:rPr>
          <w:rFonts w:ascii="Century Schoolbook" w:hAnsi="Century Schoolbook"/>
        </w:rPr>
        <w:t xml:space="preserve"> . . other </w:t>
      </w:r>
      <w:r w:rsidRPr="00E579A0">
        <w:rPr>
          <w:rFonts w:ascii="Century Schoolbook" w:hAnsi="Century Schoolbook"/>
        </w:rPr>
        <w:t>consequences of conviction such as deportation</w:t>
      </w:r>
      <w:r>
        <w:rPr>
          <w:rFonts w:ascii="Century Schoolbook" w:hAnsi="Century Schoolbook"/>
        </w:rPr>
        <w:t>,</w:t>
      </w:r>
      <w:r w:rsidRPr="00E579A0">
        <w:rPr>
          <w:rFonts w:ascii="Century Schoolbook" w:hAnsi="Century Schoolbook"/>
        </w:rPr>
        <w:t xml:space="preserve"> and civil disabilities.” </w:t>
      </w:r>
      <w:r>
        <w:rPr>
          <w:rFonts w:ascii="Century Schoolbook" w:hAnsi="Century Schoolbook"/>
        </w:rPr>
        <w:t xml:space="preserve"> </w:t>
      </w:r>
      <w:r w:rsidRPr="00E579A0">
        <w:rPr>
          <w:rFonts w:ascii="Century Schoolbook" w:hAnsi="Century Schoolbook"/>
        </w:rPr>
        <w:t>(NLADA, Performance Guidelines for Criminal Defense Representation (4th ed. 2006) Guideline 6.2(a)(3).)</w:t>
      </w:r>
      <w:r>
        <w:rPr>
          <w:rFonts w:ascii="Century Schoolbook" w:hAnsi="Century Schoolbook"/>
        </w:rPr>
        <w:t xml:space="preserve">  Deportation is specifically mentioned, but civil commitment as a s</w:t>
      </w:r>
      <w:r>
        <w:rPr>
          <w:rFonts w:ascii="Century Schoolbook" w:hAnsi="Century Schoolbook"/>
        </w:rPr>
        <w:t>exually violent predator is not.  A guideline from the American Bar Association states:  “</w:t>
      </w:r>
      <w:r w:rsidRPr="00FA7CA5">
        <w:rPr>
          <w:rFonts w:ascii="Century Schoolbook" w:hAnsi="Century Schoolbook"/>
        </w:rPr>
        <w:t>To the extent possible, defense counsel should determine and advise the defendant, sufficiently in advance of the entry of any plea, as to the possible collateral con</w:t>
      </w:r>
      <w:r w:rsidRPr="00FA7CA5">
        <w:rPr>
          <w:rFonts w:ascii="Century Schoolbook" w:hAnsi="Century Schoolbook"/>
        </w:rPr>
        <w:t>sequences that might ensue from entry of the contemplated plea.</w:t>
      </w:r>
      <w:r>
        <w:rPr>
          <w:rFonts w:ascii="Century Schoolbook" w:hAnsi="Century Schoolbook"/>
        </w:rPr>
        <w:t>”  (ABA Stds. for Crim. Justice (3d ed. 1999) std. 14-3.2(f), p. 116.)  The associated commentary asserts defense counsel should be aware of the collateral consequences of sex crime convictions</w:t>
      </w:r>
      <w:r>
        <w:rPr>
          <w:rFonts w:ascii="Century Schoolbook" w:hAnsi="Century Schoolbook"/>
        </w:rPr>
        <w:t>, because they are likely to carry “serious and wide-ranging collateral consequences.”  (</w:t>
      </w:r>
      <w:r>
        <w:rPr>
          <w:rFonts w:ascii="Century Schoolbook" w:hAnsi="Century Schoolbook"/>
          <w:i/>
          <w:iCs/>
        </w:rPr>
        <w:t>Id.</w:t>
      </w:r>
      <w:r>
        <w:rPr>
          <w:rFonts w:ascii="Century Schoolbook" w:hAnsi="Century Schoolbook"/>
        </w:rPr>
        <w:t>, com. to std. 14-3.2(f), p. 127.)  The commentary urges counsel to “be familiar with, and advise defendants of, all of the possible effects of conviction,” but ack</w:t>
      </w:r>
      <w:r>
        <w:rPr>
          <w:rFonts w:ascii="Century Schoolbook" w:hAnsi="Century Schoolbook"/>
        </w:rPr>
        <w:t>nowledges that courts do not require “an expansive debriefing” on “every likely effect of a plea in all circumstances.”  (</w:t>
      </w:r>
      <w:r>
        <w:rPr>
          <w:rFonts w:ascii="Century Schoolbook" w:hAnsi="Century Schoolbook"/>
          <w:i/>
          <w:iCs/>
        </w:rPr>
        <w:t>Id.</w:t>
      </w:r>
      <w:r>
        <w:rPr>
          <w:rFonts w:ascii="Century Schoolbook" w:hAnsi="Century Schoolbook"/>
        </w:rPr>
        <w:t>, com. to std. 14-3.2(f), p. 126.)  Instead, the commentary states, “[c]ourts generally distinguish between the ‘direct’ and ‘colla</w:t>
      </w:r>
      <w:r>
        <w:rPr>
          <w:rFonts w:ascii="Century Schoolbook" w:hAnsi="Century Schoolbook"/>
        </w:rPr>
        <w:t>teral’ consequences of a plea of guilty, holding that while the defendant must receive advice regarding the former, counsel’s and the court’s failure to consult with the defendant regarding the latter will not invalidate a plea.”  (</w:t>
      </w:r>
      <w:r>
        <w:rPr>
          <w:rFonts w:ascii="Century Schoolbook" w:hAnsi="Century Schoolbook"/>
          <w:i/>
          <w:iCs/>
        </w:rPr>
        <w:t>Id.</w:t>
      </w:r>
      <w:r>
        <w:rPr>
          <w:rFonts w:ascii="Century Schoolbook" w:hAnsi="Century Schoolbook"/>
        </w:rPr>
        <w:t>, com. to std. 14-3.2</w:t>
      </w:r>
      <w:r>
        <w:rPr>
          <w:rFonts w:ascii="Century Schoolbook" w:hAnsi="Century Schoolbook"/>
        </w:rPr>
        <w:t>(f), p. 126, fn. 25.)  Noting the lack of statutes or case law that might establish prevailing professional norms (</w:t>
      </w:r>
      <w:r>
        <w:rPr>
          <w:rFonts w:ascii="Century Schoolbook" w:hAnsi="Century Schoolbook"/>
          <w:i/>
          <w:iCs/>
        </w:rPr>
        <w:t>Codinha</w:t>
      </w:r>
      <w:r>
        <w:rPr>
          <w:rFonts w:ascii="Century Schoolbook" w:hAnsi="Century Schoolbook"/>
        </w:rPr>
        <w:t xml:space="preserve">, </w:t>
      </w:r>
      <w:r w:rsidRPr="00032B32">
        <w:rPr>
          <w:rFonts w:ascii="Century Schoolbook" w:hAnsi="Century Schoolbook"/>
          <w:i/>
          <w:iCs/>
        </w:rPr>
        <w:t>supra</w:t>
      </w:r>
      <w:r>
        <w:rPr>
          <w:rFonts w:ascii="Century Schoolbook" w:hAnsi="Century Schoolbook"/>
        </w:rPr>
        <w:t>, 71 Cal.App.5th at p. 1068) and mindful that “we must be especially careful about recognizing new grounds for attacking the va</w:t>
      </w:r>
      <w:r>
        <w:rPr>
          <w:rFonts w:ascii="Century Schoolbook" w:hAnsi="Century Schoolbook"/>
        </w:rPr>
        <w:t>lidity of guilty pleas” (</w:t>
      </w:r>
      <w:r>
        <w:rPr>
          <w:rFonts w:ascii="Century Schoolbook" w:hAnsi="Century Schoolbook"/>
          <w:i/>
          <w:iCs/>
        </w:rPr>
        <w:t>Padilla</w:t>
      </w:r>
      <w:r>
        <w:rPr>
          <w:rFonts w:ascii="Century Schoolbook" w:hAnsi="Century Schoolbook"/>
        </w:rPr>
        <w:t xml:space="preserve">, at p. 372; see </w:t>
      </w:r>
      <w:r>
        <w:rPr>
          <w:rFonts w:ascii="Century Schoolbook" w:hAnsi="Century Schoolbook"/>
          <w:i/>
          <w:iCs/>
        </w:rPr>
        <w:t>Codinha</w:t>
      </w:r>
      <w:r>
        <w:rPr>
          <w:rFonts w:ascii="Century Schoolbook" w:hAnsi="Century Schoolbook"/>
        </w:rPr>
        <w:t xml:space="preserve">, at p. 1069), in </w:t>
      </w:r>
      <w:r>
        <w:rPr>
          <w:rFonts w:ascii="Century Schoolbook" w:hAnsi="Century Schoolbook"/>
          <w:i/>
          <w:iCs/>
        </w:rPr>
        <w:t>Codinha</w:t>
      </w:r>
      <w:r>
        <w:rPr>
          <w:rFonts w:ascii="Century Schoolbook" w:hAnsi="Century Schoolbook"/>
        </w:rPr>
        <w:t xml:space="preserve"> we adhered to the established distinction between direct and collateral consequences of guilty </w:t>
      </w:r>
      <w:r>
        <w:rPr>
          <w:rFonts w:ascii="Century Schoolbook" w:hAnsi="Century Schoolbook"/>
        </w:rPr>
        <w:lastRenderedPageBreak/>
        <w:t>pleas</w:t>
      </w:r>
      <w:r>
        <w:rPr>
          <w:rFonts w:ascii="Century Schoolbook" w:hAnsi="Century Schoolbook"/>
          <w:i/>
          <w:iCs/>
        </w:rPr>
        <w:t xml:space="preserve"> </w:t>
      </w:r>
      <w:r>
        <w:rPr>
          <w:rFonts w:ascii="Century Schoolbook" w:hAnsi="Century Schoolbook"/>
        </w:rPr>
        <w:t xml:space="preserve">to conclude that “[f]ailure of </w:t>
      </w:r>
      <w:r w:rsidRPr="00675426">
        <w:rPr>
          <w:rFonts w:ascii="Century Schoolbook" w:hAnsi="Century Schoolbook"/>
        </w:rPr>
        <w:t>defense counsel to advise the defendant of</w:t>
      </w:r>
      <w:r w:rsidRPr="00675426">
        <w:rPr>
          <w:rFonts w:ascii="Century Schoolbook" w:hAnsi="Century Schoolbook"/>
        </w:rPr>
        <w:t xml:space="preserve"> even the serious consequences associated with civil commitment proceedings is not a basis on which to set aside a guilty plea</w:t>
      </w:r>
      <w:r>
        <w:rPr>
          <w:rFonts w:ascii="Century Schoolbook" w:hAnsi="Century Schoolbook"/>
        </w:rPr>
        <w:t>” (</w:t>
      </w:r>
      <w:r>
        <w:rPr>
          <w:rFonts w:ascii="Century Schoolbook" w:hAnsi="Century Schoolbook"/>
          <w:i/>
          <w:iCs/>
        </w:rPr>
        <w:t>Codinha</w:t>
      </w:r>
      <w:r>
        <w:rPr>
          <w:rFonts w:ascii="Century Schoolbook" w:hAnsi="Century Schoolbook"/>
        </w:rPr>
        <w:t xml:space="preserve">, </w:t>
      </w:r>
      <w:r w:rsidRPr="00032B32">
        <w:rPr>
          <w:rFonts w:ascii="Century Schoolbook" w:hAnsi="Century Schoolbook"/>
        </w:rPr>
        <w:t>at</w:t>
      </w:r>
      <w:r>
        <w:rPr>
          <w:rFonts w:ascii="Century Schoolbook" w:hAnsi="Century Schoolbook"/>
        </w:rPr>
        <w:t xml:space="preserve"> p. 1069).</w:t>
      </w:r>
      <w:r>
        <w:rPr>
          <w:rStyle w:val="FootnoteReference"/>
          <w:rFonts w:ascii="Century Schoolbook" w:hAnsi="Century Schoolbook"/>
        </w:rPr>
        <w:footnoteReference w:id="4"/>
      </w:r>
    </w:p>
    <w:p w14:paraId="02D17971" w14:textId="77777777" w:rsidR="00675426" w:rsidRPr="00797A58" w:rsidRDefault="00B029BA" w:rsidP="00C65E6E">
      <w:pPr>
        <w:spacing w:line="360" w:lineRule="auto"/>
        <w:rPr>
          <w:rFonts w:ascii="Century Schoolbook" w:hAnsi="Century Schoolbook"/>
        </w:rPr>
      </w:pPr>
      <w:r>
        <w:rPr>
          <w:rFonts w:ascii="Century Schoolbook" w:hAnsi="Century Schoolbook"/>
        </w:rPr>
        <w:tab/>
        <w:t xml:space="preserve">We adhere to our conclusion in this case and note that in doing so we agree with the majority of </w:t>
      </w:r>
      <w:r>
        <w:rPr>
          <w:rFonts w:ascii="Century Schoolbook" w:hAnsi="Century Schoolbook"/>
        </w:rPr>
        <w:t>courts in other jurisdictions that have ruled on the matter.  For example, the Missouri Court of Appeals repeatedly has held defense counsel has no duty to advise the defendant of the possibility of an SVPA commitment, because it is a collateral consequenc</w:t>
      </w:r>
      <w:r>
        <w:rPr>
          <w:rFonts w:ascii="Century Schoolbook" w:hAnsi="Century Schoolbook"/>
        </w:rPr>
        <w:t>e of a guilty plea.  (</w:t>
      </w:r>
      <w:r>
        <w:rPr>
          <w:rFonts w:ascii="Century Schoolbook" w:hAnsi="Century Schoolbook"/>
          <w:i/>
          <w:iCs/>
        </w:rPr>
        <w:t xml:space="preserve">Carter v. State </w:t>
      </w:r>
      <w:r>
        <w:rPr>
          <w:rFonts w:ascii="Century Schoolbook" w:hAnsi="Century Schoolbook"/>
        </w:rPr>
        <w:t xml:space="preserve">(Mo.Ct.App. 2007) 215 S.W.3d 206, 210-211; </w:t>
      </w:r>
      <w:r>
        <w:rPr>
          <w:rFonts w:ascii="Century Schoolbook" w:hAnsi="Century Schoolbook"/>
          <w:i/>
          <w:iCs/>
        </w:rPr>
        <w:t xml:space="preserve">Harris v. State </w:t>
      </w:r>
      <w:r>
        <w:rPr>
          <w:rFonts w:ascii="Century Schoolbook" w:hAnsi="Century Schoolbook"/>
        </w:rPr>
        <w:t xml:space="preserve">(Mo.Ct.App. 2006) 204 S.W.3d 371, 374-375; </w:t>
      </w:r>
      <w:r>
        <w:rPr>
          <w:rFonts w:ascii="Century Schoolbook" w:hAnsi="Century Schoolbook"/>
          <w:i/>
          <w:iCs/>
        </w:rPr>
        <w:t xml:space="preserve">Morales v. State </w:t>
      </w:r>
      <w:r>
        <w:rPr>
          <w:rFonts w:ascii="Century Schoolbook" w:hAnsi="Century Schoolbook"/>
        </w:rPr>
        <w:t>(Mo.Ct.App. 2003) 104 S.W.3d 432, 435-437.)  Earlier this year, the same court noted that unlike de</w:t>
      </w:r>
      <w:r>
        <w:rPr>
          <w:rFonts w:ascii="Century Schoolbook" w:hAnsi="Century Schoolbook"/>
        </w:rPr>
        <w:t>portation, civil commitment under the SVPA “is not ‘uniquely difficult’ to classify as direct or collateral” and is not “a ‘presumptively mandatory’ consequence” of a sex crime conviction, and therefore “ ‘[t]he well-established principle that plea counsel</w:t>
      </w:r>
      <w:r>
        <w:rPr>
          <w:rFonts w:ascii="Century Schoolbook" w:hAnsi="Century Schoolbook"/>
        </w:rPr>
        <w:t xml:space="preserve"> is not ineffective for failing to inform a defendant of the collateral consequences of a guilty plea is unaffected by </w:t>
      </w:r>
      <w:r>
        <w:rPr>
          <w:rFonts w:ascii="Century Schoolbook" w:hAnsi="Century Schoolbook"/>
          <w:i/>
          <w:iCs/>
        </w:rPr>
        <w:t>Padilla</w:t>
      </w:r>
      <w:r>
        <w:rPr>
          <w:rFonts w:ascii="Century Schoolbook" w:hAnsi="Century Schoolbook"/>
        </w:rPr>
        <w:t>.”  (</w:t>
      </w:r>
      <w:r>
        <w:rPr>
          <w:rFonts w:ascii="Century Schoolbook" w:hAnsi="Century Schoolbook"/>
          <w:i/>
          <w:iCs/>
        </w:rPr>
        <w:t xml:space="preserve">Fields v. State </w:t>
      </w:r>
      <w:r>
        <w:rPr>
          <w:rFonts w:ascii="Century Schoolbook" w:hAnsi="Century Schoolbook"/>
        </w:rPr>
        <w:t xml:space="preserve">(Mo.Ct.App. 2022) 642 S.W.3d 774, 778, 779.)  The Supreme Court of Wisconsin similarly “rel[ied] on the many </w:t>
      </w:r>
      <w:r>
        <w:rPr>
          <w:rFonts w:ascii="Century Schoolbook" w:hAnsi="Century Schoolbook"/>
        </w:rPr>
        <w:t xml:space="preserve">factors that differentiate the possibility of [an SVPA] commitment from the unique consequence of deportation,” including that commitment is not an automatic result of the guilty plea and serves a rehabilitative rather than a punitive </w:t>
      </w:r>
      <w:r>
        <w:rPr>
          <w:rFonts w:ascii="Century Schoolbook" w:hAnsi="Century Schoolbook"/>
        </w:rPr>
        <w:lastRenderedPageBreak/>
        <w:t xml:space="preserve">purpose, to conclude </w:t>
      </w:r>
      <w:r>
        <w:rPr>
          <w:rFonts w:ascii="Century Schoolbook" w:hAnsi="Century Schoolbook"/>
        </w:rPr>
        <w:t>that the “</w:t>
      </w:r>
      <w:r w:rsidRPr="000D2262">
        <w:rPr>
          <w:rFonts w:ascii="Century Schoolbook" w:hAnsi="Century Schoolbook"/>
        </w:rPr>
        <w:t>Sixth Amendment does not require defense counsel to inform a client about the possibility of civil commitment.</w:t>
      </w:r>
      <w:r>
        <w:rPr>
          <w:rFonts w:ascii="Century Schoolbook" w:hAnsi="Century Schoolbook"/>
        </w:rPr>
        <w:t>”  (</w:t>
      </w:r>
      <w:r w:rsidRPr="000D2262">
        <w:rPr>
          <w:rFonts w:ascii="Century Schoolbook" w:hAnsi="Century Schoolbook"/>
          <w:i/>
          <w:iCs/>
        </w:rPr>
        <w:t>State v. L</w:t>
      </w:r>
      <w:r>
        <w:rPr>
          <w:rFonts w:ascii="Century Schoolbook" w:hAnsi="Century Schoolbook"/>
          <w:i/>
          <w:iCs/>
        </w:rPr>
        <w:t>e</w:t>
      </w:r>
      <w:r w:rsidRPr="000D2262">
        <w:rPr>
          <w:rFonts w:ascii="Century Schoolbook" w:hAnsi="Century Schoolbook"/>
          <w:i/>
          <w:iCs/>
        </w:rPr>
        <w:t>Mere</w:t>
      </w:r>
      <w:r>
        <w:rPr>
          <w:rFonts w:ascii="Century Schoolbook" w:hAnsi="Century Schoolbook"/>
        </w:rPr>
        <w:t xml:space="preserve"> (Wis. 2016) 879 N.W.2d 580, 598-599.)  Other courts have reached the same conclusion for the same or similar reasons</w:t>
      </w:r>
      <w:r>
        <w:rPr>
          <w:rFonts w:ascii="Century Schoolbook" w:hAnsi="Century Schoolbook"/>
        </w:rPr>
        <w:t xml:space="preserve">.  (See, e.g., </w:t>
      </w:r>
      <w:r>
        <w:rPr>
          <w:rFonts w:ascii="Century Schoolbook" w:hAnsi="Century Schoolbook"/>
          <w:i/>
          <w:iCs/>
        </w:rPr>
        <w:t xml:space="preserve">Kim v. Director, Va. Dept. of Corrections </w:t>
      </w:r>
      <w:r>
        <w:rPr>
          <w:rFonts w:ascii="Century Schoolbook" w:hAnsi="Century Schoolbook"/>
        </w:rPr>
        <w:t xml:space="preserve">(E.D.Va. 2015) 103 F.Supp.3d 749, 755-758; </w:t>
      </w:r>
      <w:r>
        <w:rPr>
          <w:rFonts w:ascii="Century Schoolbook" w:hAnsi="Century Schoolbook"/>
          <w:i/>
          <w:iCs/>
        </w:rPr>
        <w:t xml:space="preserve">Watrous v. State </w:t>
      </w:r>
      <w:r>
        <w:rPr>
          <w:rFonts w:ascii="Century Schoolbook" w:hAnsi="Century Schoolbook"/>
        </w:rPr>
        <w:t xml:space="preserve">(Fla.Dist.Ct.App. 2001) 793 So.2d 6, 8-11; </w:t>
      </w:r>
      <w:r>
        <w:rPr>
          <w:rFonts w:ascii="Century Schoolbook" w:hAnsi="Century Schoolbook"/>
          <w:i/>
          <w:iCs/>
        </w:rPr>
        <w:t xml:space="preserve">Gully v. State </w:t>
      </w:r>
      <w:r>
        <w:rPr>
          <w:rFonts w:ascii="Century Schoolbook" w:hAnsi="Century Schoolbook"/>
        </w:rPr>
        <w:t xml:space="preserve">(Iowa Ct.App. 2002) 658 N.W.2d 114, 121; </w:t>
      </w:r>
      <w:r>
        <w:rPr>
          <w:rFonts w:ascii="Century Schoolbook" w:hAnsi="Century Schoolbook"/>
          <w:i/>
          <w:iCs/>
        </w:rPr>
        <w:t xml:space="preserve">Hamm v. State </w:t>
      </w:r>
      <w:r>
        <w:rPr>
          <w:rFonts w:ascii="Century Schoolbook" w:hAnsi="Century Schoolbook"/>
        </w:rPr>
        <w:t>(S.C. 2013) 744 S.E.2d 503</w:t>
      </w:r>
      <w:r>
        <w:rPr>
          <w:rFonts w:ascii="Century Schoolbook" w:hAnsi="Century Schoolbook"/>
        </w:rPr>
        <w:t xml:space="preserve">, 504-505; </w:t>
      </w:r>
      <w:r>
        <w:rPr>
          <w:rFonts w:ascii="Century Schoolbook" w:hAnsi="Century Schoolbook"/>
          <w:i/>
          <w:iCs/>
        </w:rPr>
        <w:t xml:space="preserve">Thomas v. State </w:t>
      </w:r>
      <w:r>
        <w:rPr>
          <w:rFonts w:ascii="Century Schoolbook" w:hAnsi="Century Schoolbook"/>
        </w:rPr>
        <w:t xml:space="preserve">(Tex.Ct.App. 2012) 365 S.W.3d 537, 542-544; see also </w:t>
      </w:r>
      <w:r>
        <w:rPr>
          <w:rFonts w:ascii="Century Schoolbook" w:hAnsi="Century Schoolbook"/>
          <w:i/>
          <w:iCs/>
        </w:rPr>
        <w:t xml:space="preserve">State v. Schaefer </w:t>
      </w:r>
      <w:r>
        <w:rPr>
          <w:rFonts w:ascii="Century Schoolbook" w:hAnsi="Century Schoolbook"/>
        </w:rPr>
        <w:t>(Kan. 2016) 385 P.3d 918, 927 [holding counsel was not ineffective for failing to advise defendant who pled guilty of potential SVPA commitment when it was “n</w:t>
      </w:r>
      <w:r>
        <w:rPr>
          <w:rFonts w:ascii="Century Schoolbook" w:hAnsi="Century Schoolbook"/>
        </w:rPr>
        <w:t>o more than a remote possibility,” but stating that on other facts probability of commitment may be high enough to impose duty].)</w:t>
      </w:r>
      <w:r>
        <w:rPr>
          <w:rStyle w:val="FootnoteReference"/>
          <w:rFonts w:ascii="Century Schoolbook" w:hAnsi="Century Schoolbook"/>
        </w:rPr>
        <w:footnoteReference w:id="5"/>
      </w:r>
      <w:r>
        <w:rPr>
          <w:rFonts w:ascii="Century Schoolbook" w:hAnsi="Century Schoolbook"/>
        </w:rPr>
        <w:t xml:space="preserve">  These cases support our conclusion in </w:t>
      </w:r>
      <w:r>
        <w:rPr>
          <w:rFonts w:ascii="Century Schoolbook" w:hAnsi="Century Schoolbook"/>
          <w:i/>
          <w:iCs/>
        </w:rPr>
        <w:t>Codinha</w:t>
      </w:r>
      <w:r>
        <w:rPr>
          <w:rFonts w:ascii="Century Schoolbook" w:hAnsi="Century Schoolbook"/>
        </w:rPr>
        <w:t xml:space="preserve"> that the failure of counsel to advise the defendant of the potential SVPA con</w:t>
      </w:r>
      <w:r>
        <w:rPr>
          <w:rFonts w:ascii="Century Schoolbook" w:hAnsi="Century Schoolbook"/>
        </w:rPr>
        <w:t xml:space="preserve">sequences </w:t>
      </w:r>
      <w:r>
        <w:rPr>
          <w:rFonts w:ascii="Century Schoolbook" w:hAnsi="Century Schoolbook"/>
        </w:rPr>
        <w:lastRenderedPageBreak/>
        <w:t>of his guilty plea did not violate prevailing professional norms.  (</w:t>
      </w:r>
      <w:r>
        <w:rPr>
          <w:rFonts w:ascii="Century Schoolbook" w:hAnsi="Century Schoolbook"/>
          <w:i/>
          <w:iCs/>
        </w:rPr>
        <w:t>Codinha</w:t>
      </w:r>
      <w:r>
        <w:rPr>
          <w:rFonts w:ascii="Century Schoolbook" w:hAnsi="Century Schoolbook"/>
        </w:rPr>
        <w:t xml:space="preserve">, </w:t>
      </w:r>
      <w:r>
        <w:rPr>
          <w:rFonts w:ascii="Century Schoolbook" w:hAnsi="Century Schoolbook"/>
          <w:i/>
          <w:iCs/>
        </w:rPr>
        <w:t>supra</w:t>
      </w:r>
      <w:r>
        <w:rPr>
          <w:rFonts w:ascii="Century Schoolbook" w:hAnsi="Century Schoolbook"/>
        </w:rPr>
        <w:t>, 71 Cal.App.5th at pp. 1068-1069.)</w:t>
      </w:r>
    </w:p>
    <w:p w14:paraId="392CA4CA" w14:textId="77777777" w:rsidR="002D1E23" w:rsidRPr="00655F61" w:rsidRDefault="00B029BA" w:rsidP="00C65E6E">
      <w:pPr>
        <w:spacing w:line="360" w:lineRule="auto"/>
        <w:rPr>
          <w:rFonts w:ascii="Century Schoolbook" w:hAnsi="Century Schoolbook"/>
        </w:rPr>
      </w:pPr>
      <w:r>
        <w:rPr>
          <w:rFonts w:ascii="Century Schoolbook" w:hAnsi="Century Schoolbook"/>
        </w:rPr>
        <w:tab/>
        <w:t xml:space="preserve">Tellez nevertheless urges us to re-examine our decision in </w:t>
      </w:r>
      <w:r>
        <w:rPr>
          <w:rFonts w:ascii="Century Schoolbook" w:hAnsi="Century Schoolbook"/>
          <w:i/>
          <w:iCs/>
        </w:rPr>
        <w:t>Codinha</w:t>
      </w:r>
      <w:r>
        <w:rPr>
          <w:rFonts w:ascii="Century Schoolbook" w:hAnsi="Century Schoolbook"/>
        </w:rPr>
        <w:t xml:space="preserve">, </w:t>
      </w:r>
      <w:r>
        <w:rPr>
          <w:rFonts w:ascii="Century Schoolbook" w:hAnsi="Century Schoolbook"/>
          <w:i/>
          <w:iCs/>
        </w:rPr>
        <w:t>supra</w:t>
      </w:r>
      <w:r>
        <w:rPr>
          <w:rFonts w:ascii="Century Schoolbook" w:hAnsi="Century Schoolbook"/>
        </w:rPr>
        <w:t>, 71 Cal.App.5th 1047, in what he calls “a slightly di</w:t>
      </w:r>
      <w:r>
        <w:rPr>
          <w:rFonts w:ascii="Century Schoolbook" w:hAnsi="Century Schoolbook"/>
        </w:rPr>
        <w:t xml:space="preserve">fferent context.”  He asserts that in </w:t>
      </w:r>
      <w:r>
        <w:rPr>
          <w:rFonts w:ascii="Century Schoolbook" w:hAnsi="Century Schoolbook"/>
          <w:i/>
          <w:iCs/>
        </w:rPr>
        <w:t>Codinha</w:t>
      </w:r>
      <w:r>
        <w:rPr>
          <w:rFonts w:ascii="Century Schoolbook" w:hAnsi="Century Schoolbook"/>
        </w:rPr>
        <w:t xml:space="preserve"> “the prospect of a[n] SVP[A] commitment remained in the realm of ‘possibility’ as a consequence,” because the defendant had not yet served his prison term, but in this case he has been released from prison and </w:t>
      </w:r>
      <w:r>
        <w:rPr>
          <w:rFonts w:ascii="Century Schoolbook" w:hAnsi="Century Schoolbook"/>
        </w:rPr>
        <w:t>“faces the very real prospect of a lifetime in a State hospital” based on the pending SVPA commitment proceeding against him.  This difference between the two cases does not affect our decision here.  “</w:t>
      </w:r>
      <w:r w:rsidRPr="00797A58">
        <w:rPr>
          <w:rFonts w:ascii="Century Schoolbook" w:hAnsi="Century Schoolbook"/>
        </w:rPr>
        <w:t>A fair assessment of attorney performance requires tha</w:t>
      </w:r>
      <w:r w:rsidRPr="00797A58">
        <w:rPr>
          <w:rFonts w:ascii="Century Schoolbook" w:hAnsi="Century Schoolbook"/>
        </w:rPr>
        <w:t>t every effort be made to eliminate the distorting effects of hindsight, to reconstruct the circumstances of counsel</w:t>
      </w:r>
      <w:r>
        <w:rPr>
          <w:rFonts w:ascii="Century Schoolbook" w:hAnsi="Century Schoolbook"/>
        </w:rPr>
        <w:t>’</w:t>
      </w:r>
      <w:r w:rsidRPr="00797A58">
        <w:rPr>
          <w:rFonts w:ascii="Century Schoolbook" w:hAnsi="Century Schoolbook"/>
        </w:rPr>
        <w:t>s challenged conduct, and to evaluate the conduct from counsel</w:t>
      </w:r>
      <w:r>
        <w:rPr>
          <w:rFonts w:ascii="Century Schoolbook" w:hAnsi="Century Schoolbook"/>
        </w:rPr>
        <w:t>’</w:t>
      </w:r>
      <w:r w:rsidRPr="00797A58">
        <w:rPr>
          <w:rFonts w:ascii="Century Schoolbook" w:hAnsi="Century Schoolbook"/>
        </w:rPr>
        <w:t xml:space="preserve">s perspective </w:t>
      </w:r>
      <w:r w:rsidRPr="00583D80">
        <w:rPr>
          <w:rFonts w:ascii="Century Schoolbook" w:hAnsi="Century Schoolbook"/>
          <w:i/>
          <w:iCs/>
        </w:rPr>
        <w:t>at the time</w:t>
      </w:r>
      <w:r w:rsidRPr="00797A58">
        <w:rPr>
          <w:rFonts w:ascii="Century Schoolbook" w:hAnsi="Century Schoolbook"/>
        </w:rPr>
        <w:t>.</w:t>
      </w:r>
      <w:r>
        <w:rPr>
          <w:rFonts w:ascii="Century Schoolbook" w:hAnsi="Century Schoolbook"/>
        </w:rPr>
        <w:t>”  (</w:t>
      </w:r>
      <w:r>
        <w:rPr>
          <w:rFonts w:ascii="Century Schoolbook" w:hAnsi="Century Schoolbook"/>
          <w:i/>
          <w:iCs/>
        </w:rPr>
        <w:t>Strickland</w:t>
      </w:r>
      <w:r>
        <w:rPr>
          <w:rFonts w:ascii="Century Schoolbook" w:hAnsi="Century Schoolbook"/>
        </w:rPr>
        <w:t xml:space="preserve">, </w:t>
      </w:r>
      <w:r>
        <w:rPr>
          <w:rFonts w:ascii="Century Schoolbook" w:hAnsi="Century Schoolbook"/>
          <w:i/>
          <w:iCs/>
        </w:rPr>
        <w:t>supra</w:t>
      </w:r>
      <w:r>
        <w:rPr>
          <w:rFonts w:ascii="Century Schoolbook" w:hAnsi="Century Schoolbook"/>
        </w:rPr>
        <w:t>, 466 U.S. at p. 689, italics</w:t>
      </w:r>
      <w:r>
        <w:rPr>
          <w:rFonts w:ascii="Century Schoolbook" w:hAnsi="Century Schoolbook"/>
        </w:rPr>
        <w:t xml:space="preserve"> added.)  “Thus, </w:t>
      </w:r>
      <w:r w:rsidRPr="00655F61">
        <w:rPr>
          <w:rFonts w:ascii="Century Schoolbook" w:hAnsi="Century Schoolbook"/>
        </w:rPr>
        <w:t>a court deciding an actual ineffectiveness claim must judge the reasonableness of counsel</w:t>
      </w:r>
      <w:r>
        <w:rPr>
          <w:rFonts w:ascii="Century Schoolbook" w:hAnsi="Century Schoolbook"/>
        </w:rPr>
        <w:t>’</w:t>
      </w:r>
      <w:r w:rsidRPr="00655F61">
        <w:rPr>
          <w:rFonts w:ascii="Century Schoolbook" w:hAnsi="Century Schoolbook"/>
        </w:rPr>
        <w:t xml:space="preserve">s challenged conduct on the facts of the particular case, </w:t>
      </w:r>
      <w:r w:rsidRPr="00655F61">
        <w:rPr>
          <w:rFonts w:ascii="Century Schoolbook" w:hAnsi="Century Schoolbook"/>
          <w:i/>
          <w:iCs/>
        </w:rPr>
        <w:t>viewed as of the time of counsel’s conduct</w:t>
      </w:r>
      <w:r w:rsidRPr="00655F61">
        <w:rPr>
          <w:rFonts w:ascii="Century Schoolbook" w:hAnsi="Century Schoolbook"/>
        </w:rPr>
        <w:t>.</w:t>
      </w:r>
      <w:r>
        <w:rPr>
          <w:rFonts w:ascii="Century Schoolbook" w:hAnsi="Century Schoolbook"/>
        </w:rPr>
        <w:t xml:space="preserve">”  </w:t>
      </w:r>
      <w:r w:rsidRPr="00CF0F39">
        <w:rPr>
          <w:rFonts w:ascii="Century Schoolbook" w:hAnsi="Century Schoolbook"/>
        </w:rPr>
        <w:t>(</w:t>
      </w:r>
      <w:r w:rsidRPr="00583D80">
        <w:rPr>
          <w:rFonts w:ascii="Century Schoolbook" w:hAnsi="Century Schoolbook"/>
          <w:i/>
          <w:iCs/>
        </w:rPr>
        <w:t>Id.</w:t>
      </w:r>
      <w:r>
        <w:rPr>
          <w:rFonts w:ascii="Century Schoolbook" w:hAnsi="Century Schoolbook"/>
        </w:rPr>
        <w:t xml:space="preserve"> at p. 690, italics added; accord, </w:t>
      </w:r>
      <w:r>
        <w:rPr>
          <w:rFonts w:ascii="Century Schoolbook" w:hAnsi="Century Schoolbook"/>
          <w:i/>
          <w:iCs/>
        </w:rPr>
        <w:t>Ledesma</w:t>
      </w:r>
      <w:r>
        <w:rPr>
          <w:rFonts w:ascii="Century Schoolbook" w:hAnsi="Century Schoolbook"/>
        </w:rPr>
        <w:t xml:space="preserve">, </w:t>
      </w:r>
      <w:r>
        <w:rPr>
          <w:rFonts w:ascii="Century Schoolbook" w:hAnsi="Century Schoolbook"/>
          <w:i/>
          <w:iCs/>
        </w:rPr>
        <w:t>supra</w:t>
      </w:r>
      <w:r>
        <w:rPr>
          <w:rFonts w:ascii="Century Schoolbook" w:hAnsi="Century Schoolbook"/>
        </w:rPr>
        <w:t>, 43 Cal.3d at p. 216 [court must “</w:t>
      </w:r>
      <w:r w:rsidRPr="00C82660">
        <w:rPr>
          <w:rFonts w:ascii="Century Schoolbook" w:hAnsi="Century Schoolbook"/>
        </w:rPr>
        <w:t>assess the reasonableness of counsel</w:t>
      </w:r>
      <w:r>
        <w:rPr>
          <w:rFonts w:ascii="Century Schoolbook" w:hAnsi="Century Schoolbook"/>
        </w:rPr>
        <w:t>’</w:t>
      </w:r>
      <w:r w:rsidRPr="00C82660">
        <w:rPr>
          <w:rFonts w:ascii="Century Schoolbook" w:hAnsi="Century Schoolbook"/>
        </w:rPr>
        <w:t>s</w:t>
      </w:r>
      <w:r>
        <w:rPr>
          <w:rFonts w:ascii="Century Schoolbook" w:hAnsi="Century Schoolbook"/>
        </w:rPr>
        <w:t xml:space="preserve"> </w:t>
      </w:r>
      <w:r w:rsidRPr="00C82660">
        <w:rPr>
          <w:rFonts w:ascii="Century Schoolbook" w:hAnsi="Century Schoolbook"/>
        </w:rPr>
        <w:t>acts or omissions</w:t>
      </w:r>
      <w:r>
        <w:rPr>
          <w:rFonts w:ascii="Century Schoolbook" w:hAnsi="Century Schoolbook"/>
        </w:rPr>
        <w:t xml:space="preserve"> . . . </w:t>
      </w:r>
      <w:r w:rsidRPr="00C82660">
        <w:rPr>
          <w:rFonts w:ascii="Century Schoolbook" w:hAnsi="Century Schoolbook"/>
        </w:rPr>
        <w:t>under the circumstances as they stood at the time that counsel acted or failed to act</w:t>
      </w:r>
      <w:r>
        <w:rPr>
          <w:rFonts w:ascii="Century Schoolbook" w:hAnsi="Century Schoolbook"/>
        </w:rPr>
        <w:t>”].)  As was the situati</w:t>
      </w:r>
      <w:r>
        <w:rPr>
          <w:rFonts w:ascii="Century Schoolbook" w:hAnsi="Century Schoolbook"/>
        </w:rPr>
        <w:t xml:space="preserve">on in </w:t>
      </w:r>
      <w:r>
        <w:rPr>
          <w:rFonts w:ascii="Century Schoolbook" w:hAnsi="Century Schoolbook"/>
          <w:i/>
          <w:iCs/>
        </w:rPr>
        <w:t>Codinha</w:t>
      </w:r>
      <w:r>
        <w:rPr>
          <w:rFonts w:ascii="Century Schoolbook" w:hAnsi="Century Schoolbook"/>
        </w:rPr>
        <w:t>,</w:t>
      </w:r>
      <w:r>
        <w:rPr>
          <w:rFonts w:ascii="Century Schoolbook" w:hAnsi="Century Schoolbook"/>
          <w:i/>
          <w:iCs/>
        </w:rPr>
        <w:t xml:space="preserve"> </w:t>
      </w:r>
      <w:r>
        <w:rPr>
          <w:rFonts w:ascii="Century Schoolbook" w:hAnsi="Century Schoolbook"/>
        </w:rPr>
        <w:t>when counsel here failed to advise the client that if he pled guilty he could be committed under the SVPA after he served his prison term, any such commitment would occur, if at all, years in the future and was far from certain.  Moreover, a</w:t>
      </w:r>
      <w:r>
        <w:rPr>
          <w:rFonts w:ascii="Century Schoolbook" w:hAnsi="Century Schoolbook"/>
        </w:rPr>
        <w:t xml:space="preserve">s we have discussed, the professional norms prevailing at the time of the plea did not clearly require counsel to give such advice and still do not do so.  The fact that Tellez </w:t>
      </w:r>
      <w:r w:rsidRPr="0083625C">
        <w:rPr>
          <w:rFonts w:ascii="Century Schoolbook" w:hAnsi="Century Schoolbook"/>
          <w:i/>
          <w:iCs/>
        </w:rPr>
        <w:t>now</w:t>
      </w:r>
      <w:r>
        <w:rPr>
          <w:rFonts w:ascii="Century Schoolbook" w:hAnsi="Century Schoolbook"/>
        </w:rPr>
        <w:t xml:space="preserve"> faces an SVPA commitment </w:t>
      </w:r>
      <w:r>
        <w:rPr>
          <w:rFonts w:ascii="Century Schoolbook" w:hAnsi="Century Schoolbook"/>
        </w:rPr>
        <w:lastRenderedPageBreak/>
        <w:t>proceeding therefore does not mean counsel perform</w:t>
      </w:r>
      <w:r>
        <w:rPr>
          <w:rFonts w:ascii="Century Schoolbook" w:hAnsi="Century Schoolbook"/>
        </w:rPr>
        <w:t xml:space="preserve">ed deficiently by failing to advise him of that potential consequence </w:t>
      </w:r>
      <w:r>
        <w:rPr>
          <w:rFonts w:ascii="Century Schoolbook" w:hAnsi="Century Schoolbook"/>
          <w:i/>
          <w:iCs/>
        </w:rPr>
        <w:t>when</w:t>
      </w:r>
      <w:r w:rsidRPr="0083625C">
        <w:rPr>
          <w:rFonts w:ascii="Century Schoolbook" w:hAnsi="Century Schoolbook"/>
          <w:i/>
          <w:iCs/>
        </w:rPr>
        <w:t xml:space="preserve"> </w:t>
      </w:r>
      <w:r>
        <w:rPr>
          <w:rFonts w:ascii="Century Schoolbook" w:hAnsi="Century Schoolbook"/>
          <w:i/>
          <w:iCs/>
        </w:rPr>
        <w:t>he pled</w:t>
      </w:r>
      <w:r w:rsidRPr="0083625C">
        <w:rPr>
          <w:rFonts w:ascii="Century Schoolbook" w:hAnsi="Century Schoolbook"/>
          <w:i/>
          <w:iCs/>
        </w:rPr>
        <w:t xml:space="preserve"> gu</w:t>
      </w:r>
      <w:r>
        <w:rPr>
          <w:rFonts w:ascii="Century Schoolbook" w:hAnsi="Century Schoolbook"/>
          <w:i/>
          <w:iCs/>
        </w:rPr>
        <w:t>i</w:t>
      </w:r>
      <w:r w:rsidRPr="0083625C">
        <w:rPr>
          <w:rFonts w:ascii="Century Schoolbook" w:hAnsi="Century Schoolbook"/>
          <w:i/>
          <w:iCs/>
        </w:rPr>
        <w:t>lty</w:t>
      </w:r>
      <w:r>
        <w:rPr>
          <w:rFonts w:ascii="Century Schoolbook" w:hAnsi="Century Schoolbook"/>
        </w:rPr>
        <w:t>.</w:t>
      </w:r>
    </w:p>
    <w:p w14:paraId="00BAB0D5" w14:textId="77777777" w:rsidR="00942181" w:rsidRPr="0093163B" w:rsidRDefault="00B029BA" w:rsidP="00637079">
      <w:pPr>
        <w:keepNext/>
        <w:spacing w:line="360" w:lineRule="auto"/>
        <w:rPr>
          <w:rFonts w:ascii="Century Schoolbook" w:hAnsi="Century Schoolbook"/>
        </w:rPr>
      </w:pPr>
      <w:r>
        <w:rPr>
          <w:rFonts w:ascii="Century Schoolbook" w:hAnsi="Century Schoolbook"/>
        </w:rPr>
        <w:tab/>
        <w:t>2.</w:t>
      </w:r>
      <w:r>
        <w:rPr>
          <w:rFonts w:ascii="Century Schoolbook" w:hAnsi="Century Schoolbook"/>
        </w:rPr>
        <w:tab/>
      </w:r>
      <w:r>
        <w:rPr>
          <w:rFonts w:ascii="Century Schoolbook" w:hAnsi="Century Schoolbook"/>
          <w:i/>
          <w:iCs/>
        </w:rPr>
        <w:t>Prejudice</w:t>
      </w:r>
    </w:p>
    <w:p w14:paraId="151E7E86" w14:textId="77777777" w:rsidR="002F7B8E" w:rsidRPr="002F7B8E" w:rsidRDefault="00B029BA" w:rsidP="00C65E6E">
      <w:pPr>
        <w:spacing w:line="360" w:lineRule="auto"/>
        <w:rPr>
          <w:rFonts w:ascii="Century Schoolbook" w:hAnsi="Century Schoolbook"/>
        </w:rPr>
      </w:pPr>
      <w:r>
        <w:rPr>
          <w:rFonts w:ascii="Century Schoolbook" w:hAnsi="Century Schoolbook"/>
        </w:rPr>
        <w:tab/>
        <w:t>We turn finally to the prejudice prong of Tellez’s claim of ineffective assistance of counsel.  Tellez bears the burden to show that had counsel advis</w:t>
      </w:r>
      <w:r>
        <w:rPr>
          <w:rFonts w:ascii="Century Schoolbook" w:hAnsi="Century Schoolbook"/>
        </w:rPr>
        <w:t>ed him of the potential SVPA commitment consequence before he pled guilty, he would not have done so and instead would have proceeded to trial.  (</w:t>
      </w:r>
      <w:r>
        <w:rPr>
          <w:rFonts w:ascii="Century Schoolbook" w:hAnsi="Century Schoolbook"/>
          <w:i/>
          <w:iCs/>
        </w:rPr>
        <w:t>Hill</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474 U.S. at p. 59; </w:t>
      </w:r>
      <w:r>
        <w:rPr>
          <w:rFonts w:ascii="Century Schoolbook" w:hAnsi="Century Schoolbook"/>
          <w:i/>
          <w:iCs/>
        </w:rPr>
        <w:t>DeJesus</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37 Cal.App.5th at p. 1136.)  The only evidence Tellez offered </w:t>
      </w:r>
      <w:r>
        <w:rPr>
          <w:rFonts w:ascii="Century Schoolbook" w:hAnsi="Century Schoolbook"/>
        </w:rPr>
        <w:t>concerning prejudice is his own declaration, in which he stated:  “Had my attorney told me about the possibility of lifetime incarceration as a sexually violent predator because of my guilty plea, I would not have pled guilty.”  Such a self-serving “</w:t>
      </w:r>
      <w:r w:rsidRPr="004877CB">
        <w:rPr>
          <w:rFonts w:ascii="Century Schoolbook" w:hAnsi="Century Schoolbook"/>
        </w:rPr>
        <w:t>allega</w:t>
      </w:r>
      <w:r w:rsidRPr="004877CB">
        <w:rPr>
          <w:rFonts w:ascii="Century Schoolbook" w:hAnsi="Century Schoolbook"/>
        </w:rPr>
        <w:t>tion that trial counsel failed to</w:t>
      </w:r>
      <w:r>
        <w:rPr>
          <w:rFonts w:ascii="Century Schoolbook" w:hAnsi="Century Schoolbook"/>
        </w:rPr>
        <w:t xml:space="preserve"> </w:t>
      </w:r>
      <w:r w:rsidRPr="004877CB">
        <w:rPr>
          <w:rFonts w:ascii="Century Schoolbook" w:hAnsi="Century Schoolbook"/>
        </w:rPr>
        <w:t xml:space="preserve">properly advise a defendant is meaningless unless there is objective corroborating evidence supporting </w:t>
      </w:r>
      <w:r>
        <w:rPr>
          <w:rFonts w:ascii="Century Schoolbook" w:hAnsi="Century Schoolbook"/>
        </w:rPr>
        <w:t>[the]</w:t>
      </w:r>
      <w:r w:rsidRPr="004877CB">
        <w:rPr>
          <w:rFonts w:ascii="Century Schoolbook" w:hAnsi="Century Schoolbook"/>
        </w:rPr>
        <w:t xml:space="preserve"> claimed failures.</w:t>
      </w:r>
      <w:r>
        <w:rPr>
          <w:rFonts w:ascii="Century Schoolbook" w:hAnsi="Century Schoolbook"/>
        </w:rPr>
        <w:t>”  (</w:t>
      </w:r>
      <w:r>
        <w:rPr>
          <w:rFonts w:ascii="Century Schoolbook" w:hAnsi="Century Schoolbook"/>
          <w:i/>
          <w:iCs/>
        </w:rPr>
        <w:t xml:space="preserve">People v. Cruz-Lopez </w:t>
      </w:r>
      <w:r>
        <w:rPr>
          <w:rFonts w:ascii="Century Schoolbook" w:hAnsi="Century Schoolbook"/>
        </w:rPr>
        <w:t>(2018) 27 Cal.App.5th 212, 223-224.)  “</w:t>
      </w:r>
      <w:r w:rsidRPr="00376932">
        <w:rPr>
          <w:rFonts w:ascii="Century Schoolbook" w:hAnsi="Century Schoolbook"/>
        </w:rPr>
        <w:t>Our Supreme Court has stated tha</w:t>
      </w:r>
      <w:r w:rsidRPr="00376932">
        <w:rPr>
          <w:rFonts w:ascii="Century Schoolbook" w:hAnsi="Century Schoolbook"/>
        </w:rPr>
        <w:t>t a defendant</w:t>
      </w:r>
      <w:r>
        <w:rPr>
          <w:rFonts w:ascii="Century Schoolbook" w:hAnsi="Century Schoolbook"/>
        </w:rPr>
        <w:t>’</w:t>
      </w:r>
      <w:r w:rsidRPr="00376932">
        <w:rPr>
          <w:rFonts w:ascii="Century Schoolbook" w:hAnsi="Century Schoolbook"/>
        </w:rPr>
        <w:t>s claim that</w:t>
      </w:r>
      <w:r>
        <w:rPr>
          <w:rFonts w:ascii="Century Schoolbook" w:hAnsi="Century Schoolbook"/>
        </w:rPr>
        <w:t xml:space="preserve"> ‘</w:t>
      </w:r>
      <w:r w:rsidRPr="00376932">
        <w:rPr>
          <w:rFonts w:ascii="Century Schoolbook" w:hAnsi="Century Schoolbook"/>
        </w:rPr>
        <w:t>he would not have pled guilty if given competent advice</w:t>
      </w:r>
      <w:r>
        <w:rPr>
          <w:rFonts w:ascii="Century Schoolbook" w:hAnsi="Century Schoolbook"/>
        </w:rPr>
        <w:t xml:space="preserve"> “</w:t>
      </w:r>
      <w:r w:rsidRPr="00376932">
        <w:rPr>
          <w:rFonts w:ascii="Century Schoolbook" w:hAnsi="Century Schoolbook"/>
        </w:rPr>
        <w:t>must be corroborated independently by objective evidence.</w:t>
      </w:r>
      <w:r>
        <w:rPr>
          <w:rFonts w:ascii="Century Schoolbook" w:hAnsi="Century Schoolbook"/>
        </w:rPr>
        <w:t>” </w:t>
      </w:r>
      <w:r w:rsidRPr="00376932">
        <w:rPr>
          <w:rFonts w:ascii="Century Schoolbook" w:hAnsi="Century Schoolbook"/>
        </w:rPr>
        <w:t>’ ”</w:t>
      </w:r>
      <w:r>
        <w:rPr>
          <w:rFonts w:ascii="Century Schoolbook" w:hAnsi="Century Schoolbook"/>
        </w:rPr>
        <w:t xml:space="preserve">  (</w:t>
      </w:r>
      <w:r>
        <w:rPr>
          <w:rFonts w:ascii="Century Schoolbook" w:hAnsi="Century Schoolbook"/>
          <w:i/>
          <w:iCs/>
        </w:rPr>
        <w:t xml:space="preserve">People v. Abdelsalam </w:t>
      </w:r>
      <w:r>
        <w:rPr>
          <w:rFonts w:ascii="Century Schoolbook" w:hAnsi="Century Schoolbook"/>
        </w:rPr>
        <w:t xml:space="preserve">(2022) 73 Cal.App.5th 654, 664; see </w:t>
      </w:r>
      <w:r>
        <w:rPr>
          <w:rFonts w:ascii="Century Schoolbook" w:hAnsi="Century Schoolbook"/>
          <w:i/>
          <w:iCs/>
        </w:rPr>
        <w:t xml:space="preserve">People v. Vivar </w:t>
      </w:r>
      <w:r>
        <w:rPr>
          <w:rFonts w:ascii="Century Schoolbook" w:hAnsi="Century Schoolbook"/>
        </w:rPr>
        <w:t xml:space="preserve">(2021) 11 Cal.5th 510, 530; </w:t>
      </w:r>
      <w:r>
        <w:rPr>
          <w:rFonts w:ascii="Century Schoolbook" w:hAnsi="Century Schoolbook"/>
          <w:i/>
          <w:iCs/>
        </w:rPr>
        <w:t xml:space="preserve">In re Resendiz </w:t>
      </w:r>
      <w:r>
        <w:rPr>
          <w:rFonts w:ascii="Century Schoolbook" w:hAnsi="Century Schoolbook"/>
        </w:rPr>
        <w:t xml:space="preserve">(2001) 25 Cal.4th 230, 253 (lead opn. of Werdegar, J.); </w:t>
      </w:r>
      <w:r>
        <w:rPr>
          <w:rFonts w:ascii="Century Schoolbook" w:hAnsi="Century Schoolbook"/>
          <w:i/>
          <w:iCs/>
        </w:rPr>
        <w:t xml:space="preserve">In re Alvernaz </w:t>
      </w:r>
      <w:r>
        <w:rPr>
          <w:rFonts w:ascii="Century Schoolbook" w:hAnsi="Century Schoolbook"/>
        </w:rPr>
        <w:t>(1992) 2 Cal.4th 924, 938.)  “A contrary holding would lead to an unchecked flow of easily fabricated claims.”  (</w:t>
      </w:r>
      <w:r>
        <w:rPr>
          <w:rFonts w:ascii="Century Schoolbook" w:hAnsi="Century Schoolbook"/>
          <w:i/>
          <w:iCs/>
        </w:rPr>
        <w:t>Alvernaz</w:t>
      </w:r>
      <w:r>
        <w:rPr>
          <w:rFonts w:ascii="Century Schoolbook" w:hAnsi="Century Schoolbook"/>
        </w:rPr>
        <w:t>, at p. 938.)  Tellez</w:t>
      </w:r>
      <w:r>
        <w:rPr>
          <w:rFonts w:ascii="Century Schoolbook" w:hAnsi="Century Schoolbook"/>
        </w:rPr>
        <w:t xml:space="preserve"> “</w:t>
      </w:r>
      <w:r w:rsidRPr="002F7B8E">
        <w:rPr>
          <w:rFonts w:ascii="Century Schoolbook" w:hAnsi="Century Schoolbook"/>
        </w:rPr>
        <w:t>offered no contemporaneous evidence such as an affidavit and/or testimony by trial counsel, or counsel</w:t>
      </w:r>
      <w:r>
        <w:rPr>
          <w:rFonts w:ascii="Century Schoolbook" w:hAnsi="Century Schoolbook"/>
        </w:rPr>
        <w:t>’</w:t>
      </w:r>
      <w:r w:rsidRPr="002F7B8E">
        <w:rPr>
          <w:rFonts w:ascii="Century Schoolbook" w:hAnsi="Century Schoolbook"/>
        </w:rPr>
        <w:t>s files, notes, or</w:t>
      </w:r>
      <w:r>
        <w:rPr>
          <w:rFonts w:ascii="Century Schoolbook" w:hAnsi="Century Schoolbook"/>
        </w:rPr>
        <w:t> . . . </w:t>
      </w:r>
      <w:r w:rsidRPr="002F7B8E">
        <w:rPr>
          <w:rFonts w:ascii="Century Schoolbook" w:hAnsi="Century Schoolbook"/>
        </w:rPr>
        <w:t>correspondence.</w:t>
      </w:r>
      <w:r>
        <w:rPr>
          <w:rFonts w:ascii="Century Schoolbook" w:hAnsi="Century Schoolbook"/>
        </w:rPr>
        <w:t>”  (</w:t>
      </w:r>
      <w:r>
        <w:rPr>
          <w:rFonts w:ascii="Century Schoolbook" w:hAnsi="Century Schoolbook"/>
          <w:i/>
          <w:iCs/>
        </w:rPr>
        <w:t>Abdelsalam</w:t>
      </w:r>
      <w:r>
        <w:rPr>
          <w:rFonts w:ascii="Century Schoolbook" w:hAnsi="Century Schoolbook"/>
        </w:rPr>
        <w:t>, at p. 664</w:t>
      </w:r>
      <w:r>
        <w:rPr>
          <w:rFonts w:ascii="Century Schoolbook" w:hAnsi="Century Schoolbook"/>
          <w:i/>
          <w:iCs/>
        </w:rPr>
        <w:t>.</w:t>
      </w:r>
      <w:r>
        <w:rPr>
          <w:rFonts w:ascii="Century Schoolbook" w:hAnsi="Century Schoolbook"/>
        </w:rPr>
        <w:t>)  We “ ‘may reject an assertion that is not supported by an explanation or other cor</w:t>
      </w:r>
      <w:r>
        <w:rPr>
          <w:rFonts w:ascii="Century Schoolbook" w:hAnsi="Century Schoolbook"/>
        </w:rPr>
        <w:t>roborating circumstances.’ ”  (</w:t>
      </w:r>
      <w:r>
        <w:rPr>
          <w:rFonts w:ascii="Century Schoolbook" w:hAnsi="Century Schoolbook"/>
          <w:i/>
          <w:iCs/>
        </w:rPr>
        <w:t>Ibid.</w:t>
      </w:r>
      <w:r>
        <w:rPr>
          <w:rFonts w:ascii="Century Schoolbook" w:hAnsi="Century Schoolbook"/>
        </w:rPr>
        <w:t>)</w:t>
      </w:r>
    </w:p>
    <w:p w14:paraId="4DE8956D" w14:textId="77777777" w:rsidR="00942181" w:rsidRDefault="00B029BA" w:rsidP="00942181">
      <w:pPr>
        <w:keepNext/>
        <w:spacing w:line="360" w:lineRule="auto"/>
        <w:jc w:val="center"/>
        <w:rPr>
          <w:rFonts w:ascii="Century Schoolbook" w:hAnsi="Century Schoolbook"/>
        </w:rPr>
      </w:pPr>
      <w:r>
        <w:rPr>
          <w:rFonts w:ascii="Century Schoolbook" w:hAnsi="Century Schoolbook"/>
        </w:rPr>
        <w:lastRenderedPageBreak/>
        <w:t>III.</w:t>
      </w:r>
    </w:p>
    <w:p w14:paraId="6EB94528" w14:textId="77777777" w:rsidR="00942181" w:rsidRDefault="00B029BA" w:rsidP="00942181">
      <w:pPr>
        <w:keepNext/>
        <w:spacing w:line="360" w:lineRule="auto"/>
        <w:jc w:val="center"/>
        <w:rPr>
          <w:rFonts w:ascii="Century Schoolbook" w:hAnsi="Century Schoolbook"/>
        </w:rPr>
      </w:pPr>
      <w:r>
        <w:rPr>
          <w:rFonts w:ascii="Century Schoolbook" w:hAnsi="Century Schoolbook"/>
        </w:rPr>
        <w:t>DISPOSITION</w:t>
      </w:r>
    </w:p>
    <w:p w14:paraId="549F0DDC" w14:textId="77777777" w:rsidR="00942181" w:rsidRDefault="00B029BA" w:rsidP="003A47FD">
      <w:pPr>
        <w:spacing w:line="360" w:lineRule="auto"/>
        <w:rPr>
          <w:rFonts w:ascii="Century Schoolbook" w:hAnsi="Century Schoolbook"/>
        </w:rPr>
      </w:pPr>
      <w:r>
        <w:rPr>
          <w:rFonts w:ascii="Century Schoolbook" w:hAnsi="Century Schoolbook"/>
        </w:rPr>
        <w:tab/>
        <w:t>The petition is denied.</w:t>
      </w:r>
    </w:p>
    <w:p w14:paraId="74E39459" w14:textId="77777777" w:rsidR="003A47FD" w:rsidRDefault="00B029BA" w:rsidP="003A47FD">
      <w:pPr>
        <w:spacing w:line="240" w:lineRule="auto"/>
        <w:rPr>
          <w:rFonts w:ascii="Century Schoolbook" w:hAnsi="Century Schoolbook"/>
        </w:rPr>
      </w:pPr>
    </w:p>
    <w:p w14:paraId="59BF1BF5" w14:textId="77777777" w:rsidR="003A47FD" w:rsidRDefault="00B029BA" w:rsidP="003A47FD">
      <w:pPr>
        <w:keepNext/>
        <w:spacing w:line="240" w:lineRule="auto"/>
        <w:jc w:val="right"/>
        <w:rPr>
          <w:rFonts w:ascii="Century Schoolbook" w:hAnsi="Century Schoolbook"/>
        </w:rPr>
      </w:pPr>
    </w:p>
    <w:p w14:paraId="13A06923" w14:textId="77777777" w:rsidR="003A47FD" w:rsidRDefault="00B029BA" w:rsidP="003A47FD">
      <w:pPr>
        <w:keepNext/>
        <w:spacing w:line="240" w:lineRule="auto"/>
        <w:jc w:val="right"/>
        <w:rPr>
          <w:rFonts w:ascii="Century Schoolbook" w:hAnsi="Century Schoolbook"/>
        </w:rPr>
      </w:pPr>
      <w:r>
        <w:rPr>
          <w:rFonts w:ascii="Century Schoolbook" w:hAnsi="Century Schoolbook"/>
        </w:rPr>
        <w:t>IRION, J.</w:t>
      </w:r>
    </w:p>
    <w:p w14:paraId="0BEE231C" w14:textId="77777777" w:rsidR="003A47FD" w:rsidRDefault="00B029BA" w:rsidP="003A47FD">
      <w:pPr>
        <w:keepNext/>
        <w:tabs>
          <w:tab w:val="right" w:pos="3600"/>
        </w:tabs>
        <w:spacing w:line="240" w:lineRule="auto"/>
        <w:rPr>
          <w:rFonts w:ascii="Century Schoolbook" w:hAnsi="Century Schoolbook"/>
        </w:rPr>
      </w:pPr>
    </w:p>
    <w:p w14:paraId="49C58FE9" w14:textId="77777777" w:rsidR="003A47FD" w:rsidRDefault="00B029BA" w:rsidP="003A47FD">
      <w:pPr>
        <w:keepNext/>
        <w:tabs>
          <w:tab w:val="right" w:pos="3600"/>
        </w:tabs>
        <w:spacing w:line="240" w:lineRule="auto"/>
        <w:rPr>
          <w:rFonts w:ascii="Century Schoolbook" w:hAnsi="Century Schoolbook"/>
        </w:rPr>
      </w:pPr>
      <w:r>
        <w:rPr>
          <w:rFonts w:ascii="Century Schoolbook" w:hAnsi="Century Schoolbook"/>
        </w:rPr>
        <w:t>WE CONCUR:</w:t>
      </w:r>
    </w:p>
    <w:p w14:paraId="3B2EB3F6" w14:textId="77777777" w:rsidR="003A47FD" w:rsidRDefault="00B029BA" w:rsidP="003A47FD">
      <w:pPr>
        <w:keepNext/>
        <w:tabs>
          <w:tab w:val="right" w:pos="3600"/>
        </w:tabs>
        <w:spacing w:line="240" w:lineRule="auto"/>
        <w:rPr>
          <w:rFonts w:ascii="Century Schoolbook" w:hAnsi="Century Schoolbook"/>
        </w:rPr>
      </w:pPr>
    </w:p>
    <w:p w14:paraId="09BAC7CD" w14:textId="77777777" w:rsidR="003A47FD" w:rsidRDefault="00B029BA" w:rsidP="003A47FD">
      <w:pPr>
        <w:keepNext/>
        <w:tabs>
          <w:tab w:val="right" w:pos="3600"/>
        </w:tabs>
        <w:spacing w:line="240" w:lineRule="auto"/>
        <w:rPr>
          <w:rFonts w:ascii="Century Schoolbook" w:hAnsi="Century Schoolbook"/>
        </w:rPr>
      </w:pPr>
    </w:p>
    <w:p w14:paraId="5D8FB85F" w14:textId="77777777" w:rsidR="003A47FD" w:rsidRDefault="00B029BA" w:rsidP="003A47FD">
      <w:pPr>
        <w:keepNext/>
        <w:tabs>
          <w:tab w:val="right" w:pos="3600"/>
        </w:tabs>
        <w:spacing w:line="240" w:lineRule="auto"/>
        <w:rPr>
          <w:rFonts w:ascii="Century Schoolbook" w:hAnsi="Century Schoolbook"/>
        </w:rPr>
      </w:pPr>
    </w:p>
    <w:p w14:paraId="6DA0F77D" w14:textId="77777777" w:rsidR="003A47FD" w:rsidRDefault="00B029BA" w:rsidP="003A47FD">
      <w:pPr>
        <w:keepNext/>
        <w:tabs>
          <w:tab w:val="right" w:pos="3600"/>
        </w:tabs>
        <w:spacing w:line="240" w:lineRule="auto"/>
        <w:rPr>
          <w:rFonts w:ascii="Century Schoolbook" w:hAnsi="Century Schoolbook"/>
        </w:rPr>
      </w:pPr>
    </w:p>
    <w:p w14:paraId="53437497" w14:textId="77777777" w:rsidR="003A47FD" w:rsidRDefault="00B029BA" w:rsidP="003A47FD">
      <w:pPr>
        <w:keepNext/>
        <w:tabs>
          <w:tab w:val="right" w:pos="3600"/>
        </w:tabs>
        <w:spacing w:line="240" w:lineRule="auto"/>
        <w:rPr>
          <w:rFonts w:ascii="Century Schoolbook" w:hAnsi="Century Schoolbook"/>
        </w:rPr>
      </w:pPr>
      <w:r>
        <w:rPr>
          <w:rFonts w:ascii="Century Schoolbook" w:hAnsi="Century Schoolbook"/>
        </w:rPr>
        <w:t>McCONNELL, P. J.</w:t>
      </w:r>
    </w:p>
    <w:p w14:paraId="5DDC9A33" w14:textId="77777777" w:rsidR="003A47FD" w:rsidRDefault="00B029BA" w:rsidP="003A47FD">
      <w:pPr>
        <w:keepNext/>
        <w:tabs>
          <w:tab w:val="right" w:pos="3600"/>
        </w:tabs>
        <w:spacing w:line="240" w:lineRule="auto"/>
        <w:rPr>
          <w:rFonts w:ascii="Century Schoolbook" w:hAnsi="Century Schoolbook"/>
        </w:rPr>
      </w:pPr>
    </w:p>
    <w:p w14:paraId="73146C18" w14:textId="77777777" w:rsidR="003A47FD" w:rsidRDefault="00B029BA" w:rsidP="003A47FD">
      <w:pPr>
        <w:keepNext/>
        <w:tabs>
          <w:tab w:val="right" w:pos="3600"/>
        </w:tabs>
        <w:spacing w:line="240" w:lineRule="auto"/>
        <w:rPr>
          <w:rFonts w:ascii="Century Schoolbook" w:hAnsi="Century Schoolbook"/>
        </w:rPr>
      </w:pPr>
    </w:p>
    <w:p w14:paraId="7183BF30" w14:textId="77777777" w:rsidR="003A47FD" w:rsidRDefault="00B029BA" w:rsidP="003A47FD">
      <w:pPr>
        <w:keepNext/>
        <w:tabs>
          <w:tab w:val="right" w:pos="3600"/>
        </w:tabs>
        <w:spacing w:line="240" w:lineRule="auto"/>
        <w:rPr>
          <w:rFonts w:ascii="Century Schoolbook" w:hAnsi="Century Schoolbook"/>
        </w:rPr>
      </w:pPr>
    </w:p>
    <w:p w14:paraId="664A98FC" w14:textId="77777777" w:rsidR="003A47FD" w:rsidRDefault="00B029BA" w:rsidP="003A47FD">
      <w:pPr>
        <w:keepNext/>
        <w:tabs>
          <w:tab w:val="right" w:pos="3600"/>
        </w:tabs>
        <w:spacing w:line="240" w:lineRule="auto"/>
        <w:rPr>
          <w:rFonts w:ascii="Century Schoolbook" w:hAnsi="Century Schoolbook"/>
        </w:rPr>
      </w:pPr>
    </w:p>
    <w:p w14:paraId="56DBE1D3" w14:textId="77777777" w:rsidR="003A47FD" w:rsidRDefault="00B029BA" w:rsidP="003A47FD">
      <w:pPr>
        <w:keepNext/>
        <w:tabs>
          <w:tab w:val="right" w:pos="3600"/>
        </w:tabs>
        <w:spacing w:line="240" w:lineRule="auto"/>
        <w:rPr>
          <w:rFonts w:ascii="Century Schoolbook" w:hAnsi="Century Schoolbook"/>
        </w:rPr>
      </w:pPr>
      <w:r>
        <w:rPr>
          <w:rFonts w:ascii="Century Schoolbook" w:hAnsi="Century Schoolbook"/>
        </w:rPr>
        <w:t>HUFFMAN, J.</w:t>
      </w:r>
    </w:p>
    <w:p w14:paraId="4C73332B" w14:textId="77777777" w:rsidR="003A47FD" w:rsidRPr="003A47FD" w:rsidRDefault="00B029BA" w:rsidP="00BC07F4">
      <w:pPr>
        <w:keepNext/>
        <w:tabs>
          <w:tab w:val="right" w:pos="3600"/>
        </w:tabs>
        <w:spacing w:line="240" w:lineRule="auto"/>
        <w:rPr>
          <w:rFonts w:ascii="Century Schoolbook" w:hAnsi="Century Schoolbook"/>
        </w:rPr>
      </w:pPr>
    </w:p>
    <w:sectPr w:rsidR="003A47FD" w:rsidRPr="003A47FD" w:rsidSect="003103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9C48" w14:textId="77777777" w:rsidR="00000000" w:rsidRDefault="00B029BA">
      <w:pPr>
        <w:spacing w:line="240" w:lineRule="auto"/>
      </w:pPr>
      <w:r>
        <w:separator/>
      </w:r>
    </w:p>
  </w:endnote>
  <w:endnote w:type="continuationSeparator" w:id="0">
    <w:p w14:paraId="01D3EAF6" w14:textId="77777777" w:rsidR="00000000" w:rsidRDefault="00B02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03A7" w14:textId="77777777" w:rsidR="00330C9C" w:rsidRDefault="00B0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7984"/>
      <w:docPartObj>
        <w:docPartGallery w:val="Page Numbers (Bottom of Page)"/>
        <w:docPartUnique/>
      </w:docPartObj>
    </w:sdtPr>
    <w:sdtEndPr/>
    <w:sdtContent>
      <w:p w14:paraId="45FA6024" w14:textId="77777777" w:rsidR="00310366" w:rsidRDefault="00B029BA">
        <w:pPr>
          <w:pStyle w:val="Footer"/>
          <w:jc w:val="center"/>
        </w:pPr>
        <w:r w:rsidRPr="00886523">
          <w:rPr>
            <w:rFonts w:ascii="Century Schoolbook" w:hAnsi="Century Schoolbook"/>
          </w:rPr>
          <w:fldChar w:fldCharType="begin"/>
        </w:r>
        <w:r w:rsidRPr="00886523">
          <w:rPr>
            <w:rFonts w:ascii="Century Schoolbook" w:hAnsi="Century Schoolbook"/>
          </w:rPr>
          <w:instrText xml:space="preserve"> PAGE   \* MERGEFORMAT </w:instrText>
        </w:r>
        <w:r w:rsidRPr="00886523">
          <w:rPr>
            <w:rFonts w:ascii="Century Schoolbook" w:hAnsi="Century Schoolbook"/>
          </w:rPr>
          <w:fldChar w:fldCharType="separate"/>
        </w:r>
        <w:r w:rsidRPr="00886523">
          <w:rPr>
            <w:rFonts w:ascii="Century Schoolbook" w:hAnsi="Century Schoolbook"/>
            <w:noProof/>
          </w:rPr>
          <w:t>1</w:t>
        </w:r>
        <w:r w:rsidRPr="00886523">
          <w:rPr>
            <w:rFonts w:ascii="Century Schoolbook" w:hAnsi="Century Schoolbook"/>
            <w:noProof/>
          </w:rPr>
          <w:fldChar w:fldCharType="end"/>
        </w:r>
      </w:p>
    </w:sdtContent>
  </w:sdt>
  <w:p w14:paraId="31472224" w14:textId="77777777" w:rsidR="00310366" w:rsidRDefault="00B0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466B" w14:textId="77777777" w:rsidR="00330C9C" w:rsidRDefault="00B0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D873" w14:textId="77777777" w:rsidR="00C65E6E" w:rsidRDefault="00B029BA" w:rsidP="00310366">
      <w:pPr>
        <w:spacing w:line="240" w:lineRule="auto"/>
      </w:pPr>
      <w:r>
        <w:separator/>
      </w:r>
    </w:p>
  </w:footnote>
  <w:footnote w:type="continuationSeparator" w:id="0">
    <w:p w14:paraId="6ED400EC" w14:textId="77777777" w:rsidR="00C65E6E" w:rsidRDefault="00B029BA" w:rsidP="00310366">
      <w:pPr>
        <w:spacing w:line="240" w:lineRule="auto"/>
      </w:pPr>
      <w:r>
        <w:continuationSeparator/>
      </w:r>
    </w:p>
  </w:footnote>
  <w:footnote w:id="1">
    <w:p w14:paraId="0B752740" w14:textId="77777777" w:rsidR="00776CEE" w:rsidRPr="00F020A2" w:rsidRDefault="00B029BA" w:rsidP="00BC07F4">
      <w:pPr>
        <w:pStyle w:val="FootnoteText"/>
        <w:spacing w:afterLines="100" w:after="240"/>
        <w:rPr>
          <w:rFonts w:ascii="Century Schoolbook" w:hAnsi="Century Schoolbook"/>
        </w:rPr>
      </w:pPr>
      <w:r w:rsidRPr="00776CEE">
        <w:rPr>
          <w:rStyle w:val="FootnoteReference"/>
          <w:rFonts w:ascii="Century Schoolbook" w:hAnsi="Century Schoolbook"/>
        </w:rPr>
        <w:footnoteRef/>
      </w:r>
      <w:r>
        <w:rPr>
          <w:rFonts w:ascii="Century Schoolbook" w:hAnsi="Century Schoolbook"/>
        </w:rPr>
        <w:t xml:space="preserve"> </w:t>
      </w:r>
      <w:r w:rsidRPr="00776CEE">
        <w:rPr>
          <w:rFonts w:ascii="Century Schoolbook" w:hAnsi="Century Schoolbook"/>
        </w:rPr>
        <w:tab/>
      </w:r>
      <w:r>
        <w:rPr>
          <w:rFonts w:ascii="Century Schoolbook" w:hAnsi="Century Schoolbook"/>
        </w:rPr>
        <w:t>The petition also included claims that counsel was ineffective for failing to conduct any pretrial investigation, failing to communicate with Tellez, and failing to obtain a psychological evaluation that allegedly would have shown he lacked criminal intent</w:t>
      </w:r>
      <w:r>
        <w:rPr>
          <w:rFonts w:ascii="Century Schoolbook" w:hAnsi="Century Schoolbook"/>
        </w:rPr>
        <w:t xml:space="preserve"> when he committed the lewd and lascivious act to which he pled guilty.  We rejected those claims in our initial order summarily denying the petition.  In vacating our order and directing us to issue an order to show cause, the Supreme Court of California </w:t>
      </w:r>
      <w:r>
        <w:rPr>
          <w:rFonts w:ascii="Century Schoolbook" w:hAnsi="Century Schoolbook"/>
        </w:rPr>
        <w:t>limited the order to show cause to the claim that counsel was ineffective for failing to advise Tellez that an SVPA commitment was a potential consequence of his guilty plea.  We therefore limit our discussion to that claim and again summarily deny Tellez’</w:t>
      </w:r>
      <w:r>
        <w:rPr>
          <w:rFonts w:ascii="Century Schoolbook" w:hAnsi="Century Schoolbook"/>
        </w:rPr>
        <w:t xml:space="preserve">s other claims.  (See </w:t>
      </w:r>
      <w:r>
        <w:rPr>
          <w:rFonts w:ascii="Century Schoolbook" w:hAnsi="Century Schoolbook"/>
          <w:i/>
          <w:iCs/>
        </w:rPr>
        <w:t xml:space="preserve">In re Price </w:t>
      </w:r>
      <w:r>
        <w:rPr>
          <w:rFonts w:ascii="Century Schoolbook" w:hAnsi="Century Schoolbook"/>
        </w:rPr>
        <w:t xml:space="preserve">(2011) 51 Cal.4th 547, 549 [by limiting order to show cause to single claim, Supreme Court implicitly determined petitioner failed to state prima facie case on other claims]; </w:t>
      </w:r>
      <w:r>
        <w:rPr>
          <w:rFonts w:ascii="Century Schoolbook" w:hAnsi="Century Schoolbook"/>
          <w:i/>
          <w:iCs/>
        </w:rPr>
        <w:t xml:space="preserve">People v. Duvall </w:t>
      </w:r>
      <w:r>
        <w:rPr>
          <w:rFonts w:ascii="Century Schoolbook" w:hAnsi="Century Schoolbook"/>
        </w:rPr>
        <w:t>(1995) 9 Cal.4th 464, 475 [cou</w:t>
      </w:r>
      <w:r>
        <w:rPr>
          <w:rFonts w:ascii="Century Schoolbook" w:hAnsi="Century Schoolbook"/>
        </w:rPr>
        <w:t>rt will summarily deny habeas corpus petition if no prima facie case is stated].)</w:t>
      </w:r>
    </w:p>
  </w:footnote>
  <w:footnote w:id="2">
    <w:p w14:paraId="286F816B" w14:textId="77777777" w:rsidR="000F07E7" w:rsidRPr="000F07E7" w:rsidRDefault="00B029BA" w:rsidP="000F07E7">
      <w:pPr>
        <w:pStyle w:val="FootnoteText"/>
        <w:rPr>
          <w:rFonts w:ascii="Century Schoolbook" w:hAnsi="Century Schoolbook"/>
        </w:rPr>
      </w:pPr>
      <w:r w:rsidRPr="000F07E7">
        <w:rPr>
          <w:rStyle w:val="FootnoteReference"/>
          <w:rFonts w:ascii="Century Schoolbook" w:hAnsi="Century Schoolbook"/>
        </w:rPr>
        <w:footnoteRef/>
      </w:r>
      <w:r>
        <w:rPr>
          <w:rFonts w:ascii="Century Schoolbook" w:hAnsi="Century Schoolbook"/>
        </w:rPr>
        <w:t xml:space="preserve"> </w:t>
      </w:r>
      <w:r w:rsidRPr="000F07E7">
        <w:rPr>
          <w:rFonts w:ascii="Century Schoolbook" w:hAnsi="Century Schoolbook"/>
        </w:rPr>
        <w:tab/>
        <w:t xml:space="preserve">Penal Code section 1237.5 requires a defendant </w:t>
      </w:r>
      <w:r>
        <w:rPr>
          <w:rFonts w:ascii="Century Schoolbook" w:hAnsi="Century Schoolbook"/>
        </w:rPr>
        <w:t xml:space="preserve">who wants to attack the validity of a guilty plea </w:t>
      </w:r>
      <w:r w:rsidRPr="000F07E7">
        <w:rPr>
          <w:rFonts w:ascii="Century Schoolbook" w:hAnsi="Century Schoolbook"/>
        </w:rPr>
        <w:t xml:space="preserve">to obtain </w:t>
      </w:r>
      <w:r>
        <w:rPr>
          <w:rFonts w:ascii="Century Schoolbook" w:hAnsi="Century Schoolbook"/>
        </w:rPr>
        <w:t>from the trial court</w:t>
      </w:r>
      <w:r w:rsidRPr="000F07E7">
        <w:rPr>
          <w:rFonts w:ascii="Century Schoolbook" w:hAnsi="Century Schoolbook"/>
        </w:rPr>
        <w:t xml:space="preserve"> a certificate of probable cause </w:t>
      </w:r>
      <w:r>
        <w:rPr>
          <w:rFonts w:ascii="Century Schoolbook" w:hAnsi="Century Schoolbook"/>
        </w:rPr>
        <w:t>for the app</w:t>
      </w:r>
      <w:r>
        <w:rPr>
          <w:rFonts w:ascii="Century Schoolbook" w:hAnsi="Century Schoolbook"/>
        </w:rPr>
        <w:t>eal.  “</w:t>
      </w:r>
      <w:r w:rsidRPr="000F07E7">
        <w:rPr>
          <w:rFonts w:ascii="Century Schoolbook" w:hAnsi="Century Schoolbook"/>
        </w:rPr>
        <w:t>A defendant who challenges the validity of such a plea on the ground that trial counsel rendered ineffective assistance in advice regarding the plea may not circumvent the requirements of</w:t>
      </w:r>
      <w:r>
        <w:rPr>
          <w:rFonts w:ascii="Century Schoolbook" w:hAnsi="Century Schoolbook"/>
        </w:rPr>
        <w:t xml:space="preserve"> section 1237.5 </w:t>
      </w:r>
      <w:r w:rsidRPr="000F07E7">
        <w:rPr>
          <w:rFonts w:ascii="Century Schoolbook" w:hAnsi="Century Schoolbook"/>
        </w:rPr>
        <w:t>by seeking a writ of</w:t>
      </w:r>
      <w:r>
        <w:rPr>
          <w:rFonts w:ascii="Century Schoolbook" w:hAnsi="Century Schoolbook"/>
        </w:rPr>
        <w:t xml:space="preserve"> </w:t>
      </w:r>
      <w:r w:rsidRPr="000F07E7">
        <w:rPr>
          <w:rFonts w:ascii="Century Schoolbook" w:hAnsi="Century Schoolbook"/>
        </w:rPr>
        <w:t>habeas</w:t>
      </w:r>
      <w:r>
        <w:rPr>
          <w:rFonts w:ascii="Century Schoolbook" w:hAnsi="Century Schoolbook"/>
        </w:rPr>
        <w:t xml:space="preserve"> </w:t>
      </w:r>
      <w:r w:rsidRPr="000F07E7">
        <w:rPr>
          <w:rFonts w:ascii="Century Schoolbook" w:hAnsi="Century Schoolbook"/>
        </w:rPr>
        <w:t>corpus.</w:t>
      </w:r>
      <w:r>
        <w:rPr>
          <w:rFonts w:ascii="Century Schoolbook" w:hAnsi="Century Schoolbook"/>
        </w:rPr>
        <w:t>”  (</w:t>
      </w:r>
      <w:r>
        <w:rPr>
          <w:rFonts w:ascii="Century Schoolbook" w:hAnsi="Century Schoolbook"/>
          <w:i/>
          <w:iCs/>
        </w:rPr>
        <w:t>In re C</w:t>
      </w:r>
      <w:r>
        <w:rPr>
          <w:rFonts w:ascii="Century Schoolbook" w:hAnsi="Century Schoolbook"/>
          <w:i/>
          <w:iCs/>
        </w:rPr>
        <w:t>havez</w:t>
      </w:r>
      <w:r>
        <w:rPr>
          <w:rFonts w:ascii="Century Schoolbook" w:hAnsi="Century Schoolbook"/>
        </w:rPr>
        <w:t xml:space="preserve"> (2003) 30 Cal.4th 643, 651.)</w:t>
      </w:r>
    </w:p>
  </w:footnote>
  <w:footnote w:id="3">
    <w:p w14:paraId="58C49E11" w14:textId="77777777" w:rsidR="00F37067" w:rsidRPr="00F37067" w:rsidRDefault="00B029BA">
      <w:pPr>
        <w:pStyle w:val="FootnoteText"/>
        <w:rPr>
          <w:rFonts w:ascii="Century Schoolbook" w:hAnsi="Century Schoolbook"/>
        </w:rPr>
      </w:pPr>
      <w:r w:rsidRPr="00F37067">
        <w:rPr>
          <w:rStyle w:val="FootnoteReference"/>
          <w:rFonts w:ascii="Century Schoolbook" w:hAnsi="Century Schoolbook"/>
        </w:rPr>
        <w:footnoteRef/>
      </w:r>
      <w:r>
        <w:rPr>
          <w:rFonts w:ascii="Century Schoolbook" w:hAnsi="Century Schoolbook"/>
        </w:rPr>
        <w:t xml:space="preserve"> </w:t>
      </w:r>
      <w:r w:rsidRPr="00F37067">
        <w:rPr>
          <w:rFonts w:ascii="Century Schoolbook" w:hAnsi="Century Schoolbook"/>
        </w:rPr>
        <w:tab/>
        <w:t xml:space="preserve">“Any alien who at any time after admission has been convicted of a violation of (or a conspiracy or attempt to violate) any law or regulation of a State, the United States or a foreign country relating to a controlled </w:t>
      </w:r>
      <w:r w:rsidRPr="00F37067">
        <w:rPr>
          <w:rFonts w:ascii="Century Schoolbook" w:hAnsi="Century Schoolbook"/>
        </w:rPr>
        <w:t>substance . . . , other than a single offense involving possession for one</w:t>
      </w:r>
      <w:r>
        <w:rPr>
          <w:rFonts w:ascii="Century Schoolbook" w:hAnsi="Century Schoolbook"/>
        </w:rPr>
        <w:t>’</w:t>
      </w:r>
      <w:r w:rsidRPr="00F37067">
        <w:rPr>
          <w:rFonts w:ascii="Century Schoolbook" w:hAnsi="Century Schoolbook"/>
        </w:rPr>
        <w:t>s own use of 30 grams or less of marijuana, is deportable.”</w:t>
      </w:r>
      <w:r>
        <w:rPr>
          <w:rFonts w:ascii="Century Schoolbook" w:hAnsi="Century Schoolbook"/>
        </w:rPr>
        <w:t xml:space="preserve">  (8 U.S.C. § 1227(a)(2)(B)(i), quoted in </w:t>
      </w:r>
      <w:r>
        <w:rPr>
          <w:rFonts w:ascii="Century Schoolbook" w:hAnsi="Century Schoolbook"/>
          <w:i/>
          <w:iCs/>
        </w:rPr>
        <w:t>Padilla</w:t>
      </w:r>
      <w:r>
        <w:rPr>
          <w:rFonts w:ascii="Century Schoolbook" w:hAnsi="Century Schoolbook"/>
        </w:rPr>
        <w:t xml:space="preserve">, </w:t>
      </w:r>
      <w:r>
        <w:rPr>
          <w:rFonts w:ascii="Century Schoolbook" w:hAnsi="Century Schoolbook"/>
          <w:i/>
          <w:iCs/>
        </w:rPr>
        <w:t>supra</w:t>
      </w:r>
      <w:r>
        <w:rPr>
          <w:rFonts w:ascii="Century Schoolbook" w:hAnsi="Century Schoolbook"/>
        </w:rPr>
        <w:t>, 559 U.S. at p. 368.)</w:t>
      </w:r>
    </w:p>
  </w:footnote>
  <w:footnote w:id="4">
    <w:p w14:paraId="09F0D4DC" w14:textId="77777777" w:rsidR="00A32ECE" w:rsidRPr="00CD185B" w:rsidRDefault="00B029BA" w:rsidP="00A32ECE">
      <w:pPr>
        <w:pStyle w:val="FootnoteText"/>
        <w:rPr>
          <w:rFonts w:ascii="Century Schoolbook" w:hAnsi="Century Schoolbook"/>
        </w:rPr>
      </w:pPr>
      <w:r w:rsidRPr="00675426">
        <w:rPr>
          <w:rStyle w:val="FootnoteReference"/>
          <w:rFonts w:ascii="Century Schoolbook" w:hAnsi="Century Schoolbook"/>
        </w:rPr>
        <w:footnoteRef/>
      </w:r>
      <w:r>
        <w:rPr>
          <w:rFonts w:ascii="Century Schoolbook" w:hAnsi="Century Schoolbook"/>
        </w:rPr>
        <w:t xml:space="preserve"> </w:t>
      </w:r>
      <w:r w:rsidRPr="00675426">
        <w:rPr>
          <w:rFonts w:ascii="Century Schoolbook" w:hAnsi="Century Schoolbook"/>
        </w:rPr>
        <w:tab/>
      </w:r>
      <w:r w:rsidRPr="00675426">
        <w:rPr>
          <w:rFonts w:ascii="Century Schoolbook" w:hAnsi="Century Schoolbook"/>
        </w:rPr>
        <w:t xml:space="preserve">The United States Supreme Court did not have to consider “[w]hether that distinction </w:t>
      </w:r>
      <w:r>
        <w:rPr>
          <w:rFonts w:ascii="Century Schoolbook" w:hAnsi="Century Schoolbook"/>
        </w:rPr>
        <w:t>[was]</w:t>
      </w:r>
      <w:r w:rsidRPr="00675426">
        <w:rPr>
          <w:rFonts w:ascii="Century Schoolbook" w:hAnsi="Century Schoolbook"/>
        </w:rPr>
        <w:t xml:space="preserve"> appropriate” in </w:t>
      </w:r>
      <w:r w:rsidRPr="00675426">
        <w:rPr>
          <w:rFonts w:ascii="Century Schoolbook" w:hAnsi="Century Schoolbook"/>
          <w:i/>
          <w:iCs/>
        </w:rPr>
        <w:t>Padilla</w:t>
      </w:r>
      <w:r w:rsidRPr="00675426">
        <w:rPr>
          <w:rFonts w:ascii="Century Schoolbook" w:hAnsi="Century Schoolbook"/>
        </w:rPr>
        <w:t xml:space="preserve"> “because of the unique nature of deportation.”  (</w:t>
      </w:r>
      <w:r w:rsidRPr="00675426">
        <w:rPr>
          <w:rFonts w:ascii="Century Schoolbook" w:hAnsi="Century Schoolbook"/>
          <w:i/>
          <w:iCs/>
        </w:rPr>
        <w:t>Padilla</w:t>
      </w:r>
      <w:r w:rsidRPr="00675426">
        <w:rPr>
          <w:rFonts w:ascii="Century Schoolbook" w:hAnsi="Century Schoolbook"/>
        </w:rPr>
        <w:t xml:space="preserve">, </w:t>
      </w:r>
      <w:r w:rsidRPr="00675426">
        <w:rPr>
          <w:rFonts w:ascii="Century Schoolbook" w:hAnsi="Century Schoolbook"/>
          <w:i/>
          <w:iCs/>
        </w:rPr>
        <w:t>supra</w:t>
      </w:r>
      <w:r w:rsidRPr="00675426">
        <w:rPr>
          <w:rFonts w:ascii="Century Schoolbook" w:hAnsi="Century Schoolbook"/>
        </w:rPr>
        <w:t>, 559 U.S. at p. 365.)</w:t>
      </w:r>
      <w:r>
        <w:rPr>
          <w:rFonts w:ascii="Century Schoolbook" w:hAnsi="Century Schoolbook"/>
        </w:rPr>
        <w:t xml:space="preserve">  “Even in </w:t>
      </w:r>
      <w:r>
        <w:rPr>
          <w:rFonts w:ascii="Century Schoolbook" w:hAnsi="Century Schoolbook"/>
          <w:i/>
          <w:iCs/>
        </w:rPr>
        <w:t>Padilla</w:t>
      </w:r>
      <w:r>
        <w:rPr>
          <w:rFonts w:ascii="Century Schoolbook" w:hAnsi="Century Schoolbook"/>
        </w:rPr>
        <w:t xml:space="preserve"> [the court] did </w:t>
      </w:r>
      <w:r w:rsidRPr="00CD185B">
        <w:rPr>
          <w:rFonts w:ascii="Century Schoolbook" w:hAnsi="Century Schoolbook"/>
        </w:rPr>
        <w:t>not eschew the direct</w:t>
      </w:r>
      <w:r w:rsidRPr="00CD185B">
        <w:rPr>
          <w:rFonts w:ascii="Century Schoolbook" w:hAnsi="Century Schoolbook"/>
        </w:rPr>
        <w:t>-collateral divide across the board</w:t>
      </w:r>
      <w:r>
        <w:rPr>
          <w:rFonts w:ascii="Century Schoolbook" w:hAnsi="Century Schoolbook"/>
        </w:rPr>
        <w:t xml:space="preserve">.  [Citation.]  </w:t>
      </w:r>
      <w:r w:rsidRPr="00CD185B">
        <w:rPr>
          <w:rFonts w:ascii="Century Schoolbook" w:hAnsi="Century Schoolbook"/>
        </w:rPr>
        <w:t xml:space="preserve">Rather, </w:t>
      </w:r>
      <w:r>
        <w:rPr>
          <w:rFonts w:ascii="Century Schoolbook" w:hAnsi="Century Schoolbook"/>
        </w:rPr>
        <w:t>[the court]</w:t>
      </w:r>
      <w:r w:rsidRPr="00CD185B">
        <w:rPr>
          <w:rFonts w:ascii="Century Schoolbook" w:hAnsi="Century Schoolbook"/>
        </w:rPr>
        <w:t xml:space="preserve"> relied on the special </w:t>
      </w:r>
      <w:r>
        <w:rPr>
          <w:rFonts w:ascii="Century Schoolbook" w:hAnsi="Century Schoolbook"/>
        </w:rPr>
        <w:t>‘</w:t>
      </w:r>
      <w:r w:rsidRPr="00CD185B">
        <w:rPr>
          <w:rFonts w:ascii="Century Schoolbook" w:hAnsi="Century Schoolbook"/>
        </w:rPr>
        <w:t>nature of deportation</w:t>
      </w:r>
      <w:r>
        <w:rPr>
          <w:rFonts w:ascii="Century Schoolbook" w:hAnsi="Century Schoolbook"/>
        </w:rPr>
        <w:t>’</w:t>
      </w:r>
      <w:r w:rsidRPr="00CD185B">
        <w:rPr>
          <w:rFonts w:ascii="Century Schoolbook" w:hAnsi="Century Schoolbook"/>
        </w:rPr>
        <w:t xml:space="preserve">—the severity of the penalty and the </w:t>
      </w:r>
      <w:r>
        <w:rPr>
          <w:rFonts w:ascii="Century Schoolbook" w:hAnsi="Century Schoolbook"/>
        </w:rPr>
        <w:t>‘</w:t>
      </w:r>
      <w:r w:rsidRPr="00CD185B">
        <w:rPr>
          <w:rFonts w:ascii="Century Schoolbook" w:hAnsi="Century Schoolbook"/>
        </w:rPr>
        <w:t>automatic</w:t>
      </w:r>
      <w:r>
        <w:rPr>
          <w:rFonts w:ascii="Century Schoolbook" w:hAnsi="Century Schoolbook"/>
        </w:rPr>
        <w:t>’</w:t>
      </w:r>
      <w:r w:rsidRPr="00CD185B">
        <w:rPr>
          <w:rFonts w:ascii="Century Schoolbook" w:hAnsi="Century Schoolbook"/>
        </w:rPr>
        <w:t xml:space="preserve"> way it follows from conviction—to show that </w:t>
      </w:r>
      <w:r>
        <w:rPr>
          <w:rFonts w:ascii="Century Schoolbook" w:hAnsi="Century Schoolbook"/>
        </w:rPr>
        <w:t>‘</w:t>
      </w:r>
      <w:r w:rsidRPr="00CD185B">
        <w:rPr>
          <w:rFonts w:ascii="Century Schoolbook" w:hAnsi="Century Schoolbook"/>
        </w:rPr>
        <w:t>[t]he collateral versus direct distinction [wa</w:t>
      </w:r>
      <w:r w:rsidRPr="00CD185B">
        <w:rPr>
          <w:rFonts w:ascii="Century Schoolbook" w:hAnsi="Century Schoolbook"/>
        </w:rPr>
        <w:t>s] ill-suited</w:t>
      </w:r>
      <w:r>
        <w:rPr>
          <w:rFonts w:ascii="Century Schoolbook" w:hAnsi="Century Schoolbook"/>
        </w:rPr>
        <w:t>’</w:t>
      </w:r>
      <w:r w:rsidRPr="00CD185B">
        <w:rPr>
          <w:rFonts w:ascii="Century Schoolbook" w:hAnsi="Century Schoolbook"/>
        </w:rPr>
        <w:t xml:space="preserve"> to dispose of Padilla</w:t>
      </w:r>
      <w:r>
        <w:rPr>
          <w:rFonts w:ascii="Century Schoolbook" w:hAnsi="Century Schoolbook"/>
        </w:rPr>
        <w:t>’</w:t>
      </w:r>
      <w:r w:rsidRPr="00CD185B">
        <w:rPr>
          <w:rFonts w:ascii="Century Schoolbook" w:hAnsi="Century Schoolbook"/>
        </w:rPr>
        <w:t>s claim.</w:t>
      </w:r>
      <w:r>
        <w:rPr>
          <w:rFonts w:ascii="Century Schoolbook" w:hAnsi="Century Schoolbook"/>
        </w:rPr>
        <w:t>”  (</w:t>
      </w:r>
      <w:r>
        <w:rPr>
          <w:rFonts w:ascii="Century Schoolbook" w:hAnsi="Century Schoolbook"/>
          <w:i/>
          <w:iCs/>
        </w:rPr>
        <w:t xml:space="preserve">Chaidez v. United States </w:t>
      </w:r>
      <w:r>
        <w:rPr>
          <w:rFonts w:ascii="Century Schoolbook" w:hAnsi="Century Schoolbook"/>
        </w:rPr>
        <w:t>(2013) 568 U.S. 342, 355.)</w:t>
      </w:r>
    </w:p>
  </w:footnote>
  <w:footnote w:id="5">
    <w:p w14:paraId="7722B7DD" w14:textId="77777777" w:rsidR="00A32ECE" w:rsidRPr="003D5D87" w:rsidRDefault="00B029BA">
      <w:pPr>
        <w:pStyle w:val="FootnoteText"/>
        <w:rPr>
          <w:rFonts w:ascii="Century Schoolbook" w:hAnsi="Century Schoolbook"/>
        </w:rPr>
      </w:pPr>
      <w:r w:rsidRPr="00DA07FC">
        <w:rPr>
          <w:rStyle w:val="FootnoteReference"/>
          <w:rFonts w:ascii="Century Schoolbook" w:hAnsi="Century Schoolbook"/>
        </w:rPr>
        <w:footnoteRef/>
      </w:r>
      <w:r>
        <w:rPr>
          <w:rFonts w:ascii="Century Schoolbook" w:hAnsi="Century Schoolbook"/>
        </w:rPr>
        <w:t xml:space="preserve"> </w:t>
      </w:r>
      <w:r w:rsidRPr="00DA07FC">
        <w:rPr>
          <w:rFonts w:ascii="Century Schoolbook" w:hAnsi="Century Schoolbook"/>
        </w:rPr>
        <w:tab/>
        <w:t>The highest court of at le</w:t>
      </w:r>
      <w:r>
        <w:rPr>
          <w:rFonts w:ascii="Century Schoolbook" w:hAnsi="Century Schoolbook"/>
        </w:rPr>
        <w:t>a</w:t>
      </w:r>
      <w:r w:rsidRPr="00DA07FC">
        <w:rPr>
          <w:rFonts w:ascii="Century Schoolbook" w:hAnsi="Century Schoolbook"/>
        </w:rPr>
        <w:t xml:space="preserve">st one state has held </w:t>
      </w:r>
      <w:r>
        <w:rPr>
          <w:rFonts w:ascii="Century Schoolbook" w:hAnsi="Century Schoolbook"/>
        </w:rPr>
        <w:t xml:space="preserve">that </w:t>
      </w:r>
      <w:r w:rsidRPr="00DA07FC">
        <w:rPr>
          <w:rFonts w:ascii="Century Schoolbook" w:hAnsi="Century Schoolbook"/>
        </w:rPr>
        <w:t>“defense counsel has a minimal duty to advise a defendant who pleads guilty to a triggering offens</w:t>
      </w:r>
      <w:r w:rsidRPr="00DA07FC">
        <w:rPr>
          <w:rFonts w:ascii="Century Schoolbook" w:hAnsi="Century Schoolbook"/>
        </w:rPr>
        <w:t>e subject to the provision of the Sexually Violent Persons Commitment Act that he will be evaluated for and may risk involuntary commitment after completing his prison term.</w:t>
      </w:r>
      <w:r>
        <w:rPr>
          <w:rFonts w:ascii="Century Schoolbook" w:hAnsi="Century Schoolbook"/>
        </w:rPr>
        <w:t>”  (</w:t>
      </w:r>
      <w:r>
        <w:rPr>
          <w:rFonts w:ascii="Century Schoolbook" w:hAnsi="Century Schoolbook"/>
          <w:i/>
          <w:iCs/>
        </w:rPr>
        <w:t xml:space="preserve">People v. Hughes </w:t>
      </w:r>
      <w:r>
        <w:rPr>
          <w:rFonts w:ascii="Century Schoolbook" w:hAnsi="Century Schoolbook"/>
        </w:rPr>
        <w:t xml:space="preserve">(Ill. 2012) 983 N.E.2d 439, 457.)  In imposing that duty, the </w:t>
      </w:r>
      <w:r>
        <w:rPr>
          <w:rFonts w:ascii="Century Schoolbook" w:hAnsi="Century Schoolbook"/>
        </w:rPr>
        <w:t>court reasoned that “</w:t>
      </w:r>
      <w:r w:rsidRPr="00DA07FC">
        <w:rPr>
          <w:rFonts w:ascii="Century Schoolbook" w:hAnsi="Century Schoolbook"/>
        </w:rPr>
        <w:t>where the consequence is severe, certain, and sufficiently enmeshed in the criminal process the sixth amendment right to counsel may give rise to a basis for withdrawing a plea.</w:t>
      </w:r>
      <w:r>
        <w:rPr>
          <w:rFonts w:ascii="Century Schoolbook" w:hAnsi="Century Schoolbook"/>
        </w:rPr>
        <w:t>”  (</w:t>
      </w:r>
      <w:r>
        <w:rPr>
          <w:rFonts w:ascii="Century Schoolbook" w:hAnsi="Century Schoolbook"/>
          <w:i/>
          <w:iCs/>
        </w:rPr>
        <w:t>Id.</w:t>
      </w:r>
      <w:r>
        <w:rPr>
          <w:rFonts w:ascii="Century Schoolbook" w:hAnsi="Century Schoolbook"/>
        </w:rPr>
        <w:t xml:space="preserve"> at p. 456.)  We agree an SVPA commitment may be a </w:t>
      </w:r>
      <w:r>
        <w:rPr>
          <w:rFonts w:ascii="Century Schoolbook" w:hAnsi="Century Schoolbook"/>
        </w:rPr>
        <w:t>“severe” consequence of pleading guilty to a qualifying sex crime, but as explained in the text, we disagree it is “certain” or “sufficiently enmeshed in the criminal process” such that it supports imposition of a constitutional duty on counsel to advise t</w:t>
      </w:r>
      <w:r>
        <w:rPr>
          <w:rFonts w:ascii="Century Schoolbook" w:hAnsi="Century Schoolbook"/>
        </w:rPr>
        <w:t xml:space="preserve">he defendant of the potential consequence before pleading guilty.  (See </w:t>
      </w:r>
      <w:r>
        <w:rPr>
          <w:rFonts w:ascii="Century Schoolbook" w:hAnsi="Century Schoolbook"/>
          <w:i/>
          <w:iCs/>
        </w:rPr>
        <w:t>Codinha</w:t>
      </w:r>
      <w:r>
        <w:rPr>
          <w:rFonts w:ascii="Century Schoolbook" w:hAnsi="Century Schoolbook"/>
        </w:rPr>
        <w:t xml:space="preserve">, </w:t>
      </w:r>
      <w:r>
        <w:rPr>
          <w:rFonts w:ascii="Century Schoolbook" w:hAnsi="Century Schoolbook"/>
          <w:i/>
          <w:iCs/>
        </w:rPr>
        <w:t>supra</w:t>
      </w:r>
      <w:r>
        <w:rPr>
          <w:rFonts w:ascii="Century Schoolbook" w:hAnsi="Century Schoolbook"/>
        </w:rPr>
        <w:t>, 71 Cal.App.5th at p. 1069 [“</w:t>
      </w:r>
      <w:r w:rsidRPr="003D5D87">
        <w:rPr>
          <w:rFonts w:ascii="Century Schoolbook" w:hAnsi="Century Schoolbook"/>
        </w:rPr>
        <w:t>potential SVP</w:t>
      </w:r>
      <w:r>
        <w:rPr>
          <w:rFonts w:ascii="Century Schoolbook" w:hAnsi="Century Schoolbook"/>
        </w:rPr>
        <w:t>[A]</w:t>
      </w:r>
      <w:r w:rsidRPr="003D5D87">
        <w:rPr>
          <w:rFonts w:ascii="Century Schoolbook" w:hAnsi="Century Schoolbook"/>
        </w:rPr>
        <w:t xml:space="preserve"> consequences are neither </w:t>
      </w:r>
      <w:r>
        <w:rPr>
          <w:rFonts w:ascii="Century Schoolbook" w:hAnsi="Century Schoolbook"/>
        </w:rPr>
        <w:t>‘</w:t>
      </w:r>
      <w:r w:rsidRPr="003D5D87">
        <w:rPr>
          <w:rFonts w:ascii="Century Schoolbook" w:hAnsi="Century Schoolbook"/>
        </w:rPr>
        <w:t>enmeshed</w:t>
      </w:r>
      <w:r>
        <w:rPr>
          <w:rFonts w:ascii="Century Schoolbook" w:hAnsi="Century Schoolbook"/>
        </w:rPr>
        <w:t>’</w:t>
      </w:r>
      <w:r w:rsidRPr="003D5D87">
        <w:rPr>
          <w:rFonts w:ascii="Century Schoolbook" w:hAnsi="Century Schoolbook"/>
        </w:rPr>
        <w:t xml:space="preserve"> in and </w:t>
      </w:r>
      <w:r>
        <w:rPr>
          <w:rFonts w:ascii="Century Schoolbook" w:hAnsi="Century Schoolbook"/>
        </w:rPr>
        <w:t>‘</w:t>
      </w:r>
      <w:r w:rsidRPr="003D5D87">
        <w:rPr>
          <w:rFonts w:ascii="Century Schoolbook" w:hAnsi="Century Schoolbook"/>
        </w:rPr>
        <w:t>intimately related to the criminal process</w:t>
      </w:r>
      <w:r>
        <w:rPr>
          <w:rFonts w:ascii="Century Schoolbook" w:hAnsi="Century Schoolbook"/>
        </w:rPr>
        <w:t>’</w:t>
      </w:r>
      <w:r w:rsidRPr="003D5D87">
        <w:rPr>
          <w:rFonts w:ascii="Century Schoolbook" w:hAnsi="Century Schoolbook"/>
        </w:rPr>
        <w:t xml:space="preserve"> nor </w:t>
      </w:r>
      <w:r>
        <w:rPr>
          <w:rFonts w:ascii="Century Schoolbook" w:hAnsi="Century Schoolbook"/>
        </w:rPr>
        <w:t>‘</w:t>
      </w:r>
      <w:r w:rsidRPr="003D5D87">
        <w:rPr>
          <w:rFonts w:ascii="Century Schoolbook" w:hAnsi="Century Schoolbook"/>
        </w:rPr>
        <w:t xml:space="preserve">nearly an automatic </w:t>
      </w:r>
      <w:r w:rsidRPr="003D5D87">
        <w:rPr>
          <w:rFonts w:ascii="Century Schoolbook" w:hAnsi="Century Schoolbook"/>
        </w:rPr>
        <w:t>result</w:t>
      </w:r>
      <w:r>
        <w:rPr>
          <w:rFonts w:ascii="Century Schoolbook" w:hAnsi="Century Schoolbook"/>
        </w:rPr>
        <w:t>’</w:t>
      </w:r>
      <w:r w:rsidRPr="003D5D87">
        <w:rPr>
          <w:rFonts w:ascii="Century Schoolbook" w:hAnsi="Century Schoolbook"/>
        </w:rPr>
        <w:t xml:space="preserve"> for many offenses</w:t>
      </w:r>
      <w:r>
        <w:rPr>
          <w:rFonts w:ascii="Century Schoolbook" w:hAnsi="Century Schoolbook"/>
        </w:rPr>
        <w:t xml:space="preserve">”]; </w:t>
      </w:r>
      <w:r>
        <w:rPr>
          <w:rFonts w:ascii="Century Schoolbook" w:hAnsi="Century Schoolbook"/>
          <w:i/>
          <w:iCs/>
        </w:rPr>
        <w:t>State v. LeMere</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879 N.W.2d at pp. 597-598 [disagreeing with </w:t>
      </w:r>
      <w:r>
        <w:rPr>
          <w:rFonts w:ascii="Century Schoolbook" w:hAnsi="Century Schoolbook"/>
          <w:i/>
          <w:iCs/>
        </w:rPr>
        <w:t>Hughes</w:t>
      </w:r>
      <w:r>
        <w:rPr>
          <w:rFonts w:ascii="Century Schoolbook" w:hAnsi="Century School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FAEB" w14:textId="77777777" w:rsidR="00330C9C" w:rsidRDefault="00B0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70E7" w14:textId="77777777" w:rsidR="00330C9C" w:rsidRDefault="00B0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1BAF" w14:textId="77777777" w:rsidR="00330C9C" w:rsidRDefault="00B0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01"/>
    <w:rsid w:val="00B029BA"/>
    <w:rsid w:val="00E31401"/>
    <w:rsid w:val="00FC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FC"/>
    <w:pPr>
      <w:tabs>
        <w:tab w:val="center" w:pos="4680"/>
        <w:tab w:val="right" w:pos="9360"/>
      </w:tabs>
      <w:spacing w:line="240" w:lineRule="auto"/>
    </w:pPr>
  </w:style>
  <w:style w:type="character" w:customStyle="1" w:styleId="HeaderChar">
    <w:name w:val="Header Char"/>
    <w:basedOn w:val="DefaultParagraphFont"/>
    <w:link w:val="Header"/>
    <w:uiPriority w:val="99"/>
    <w:rsid w:val="00892CFC"/>
  </w:style>
  <w:style w:type="paragraph" w:styleId="Footer">
    <w:name w:val="footer"/>
    <w:basedOn w:val="Normal"/>
    <w:link w:val="FooterChar"/>
    <w:uiPriority w:val="99"/>
    <w:unhideWhenUsed/>
    <w:rsid w:val="00892CFC"/>
    <w:pPr>
      <w:tabs>
        <w:tab w:val="center" w:pos="4680"/>
        <w:tab w:val="right" w:pos="9360"/>
      </w:tabs>
      <w:spacing w:line="240" w:lineRule="auto"/>
    </w:pPr>
  </w:style>
  <w:style w:type="character" w:customStyle="1" w:styleId="FooterChar">
    <w:name w:val="Footer Char"/>
    <w:basedOn w:val="DefaultParagraphFont"/>
    <w:link w:val="Footer"/>
    <w:uiPriority w:val="99"/>
    <w:rsid w:val="00892CFC"/>
  </w:style>
  <w:style w:type="character" w:styleId="FootnoteReference">
    <w:name w:val="footnote reference"/>
    <w:basedOn w:val="DefaultParagraphFont"/>
    <w:uiPriority w:val="99"/>
    <w:semiHidden/>
    <w:unhideWhenUsed/>
    <w:rsid w:val="00892CFC"/>
    <w:rPr>
      <w:rFonts w:ascii="Times New Roman" w:hAnsi="Times New Roman"/>
      <w:position w:val="6"/>
      <w:sz w:val="26"/>
      <w:vertAlign w:val="baseline"/>
    </w:rPr>
  </w:style>
  <w:style w:type="paragraph" w:styleId="FootnoteText">
    <w:name w:val="footnote text"/>
    <w:link w:val="FootnoteTextChar"/>
    <w:uiPriority w:val="99"/>
    <w:semiHidden/>
    <w:unhideWhenUsed/>
    <w:rsid w:val="00892CFC"/>
    <w:pPr>
      <w:spacing w:line="240" w:lineRule="auto"/>
    </w:pPr>
    <w:rPr>
      <w:szCs w:val="20"/>
    </w:rPr>
  </w:style>
  <w:style w:type="character" w:customStyle="1" w:styleId="FootnoteTextChar">
    <w:name w:val="Footnote Text Char"/>
    <w:basedOn w:val="DefaultParagraphFont"/>
    <w:link w:val="FootnoteText"/>
    <w:uiPriority w:val="99"/>
    <w:semiHidden/>
    <w:rsid w:val="00892CFC"/>
    <w:rPr>
      <w:szCs w:val="20"/>
    </w:rPr>
  </w:style>
  <w:style w:type="character" w:styleId="Hyperlink">
    <w:name w:val="Hyperlink"/>
    <w:basedOn w:val="DefaultParagraphFont"/>
    <w:uiPriority w:val="99"/>
    <w:unhideWhenUsed/>
    <w:rsid w:val="000F07E7"/>
    <w:rPr>
      <w:color w:val="0000FF" w:themeColor="hyperlink"/>
      <w:u w:val="single"/>
    </w:rPr>
  </w:style>
  <w:style w:type="character" w:customStyle="1" w:styleId="UnresolvedMention1">
    <w:name w:val="Unresolved Mention1"/>
    <w:basedOn w:val="DefaultParagraphFont"/>
    <w:uiPriority w:val="99"/>
    <w:semiHidden/>
    <w:unhideWhenUsed/>
    <w:rsid w:val="000F07E7"/>
    <w:rPr>
      <w:color w:val="605E5C"/>
      <w:shd w:val="clear" w:color="auto" w:fill="E1DFDD"/>
    </w:rPr>
  </w:style>
  <w:style w:type="character" w:styleId="FollowedHyperlink">
    <w:name w:val="FollowedHyperlink"/>
    <w:basedOn w:val="DefaultParagraphFont"/>
    <w:uiPriority w:val="99"/>
    <w:semiHidden/>
    <w:unhideWhenUsed/>
    <w:rsid w:val="003842C7"/>
    <w:rPr>
      <w:color w:val="800080" w:themeColor="followedHyperlink"/>
      <w:u w:val="single"/>
    </w:rPr>
  </w:style>
  <w:style w:type="character" w:styleId="CommentReference">
    <w:name w:val="annotation reference"/>
    <w:basedOn w:val="DefaultParagraphFont"/>
    <w:uiPriority w:val="99"/>
    <w:semiHidden/>
    <w:unhideWhenUsed/>
    <w:rsid w:val="001947E5"/>
    <w:rPr>
      <w:sz w:val="16"/>
      <w:szCs w:val="16"/>
    </w:rPr>
  </w:style>
  <w:style w:type="paragraph" w:styleId="CommentText">
    <w:name w:val="annotation text"/>
    <w:basedOn w:val="Normal"/>
    <w:link w:val="CommentTextChar"/>
    <w:uiPriority w:val="99"/>
    <w:semiHidden/>
    <w:unhideWhenUsed/>
    <w:rsid w:val="001947E5"/>
    <w:pPr>
      <w:spacing w:line="240" w:lineRule="auto"/>
    </w:pPr>
    <w:rPr>
      <w:sz w:val="20"/>
      <w:szCs w:val="20"/>
    </w:rPr>
  </w:style>
  <w:style w:type="character" w:customStyle="1" w:styleId="CommentTextChar">
    <w:name w:val="Comment Text Char"/>
    <w:basedOn w:val="DefaultParagraphFont"/>
    <w:link w:val="CommentText"/>
    <w:uiPriority w:val="99"/>
    <w:semiHidden/>
    <w:rsid w:val="001947E5"/>
    <w:rPr>
      <w:sz w:val="20"/>
      <w:szCs w:val="20"/>
    </w:rPr>
  </w:style>
  <w:style w:type="paragraph" w:styleId="CommentSubject">
    <w:name w:val="annotation subject"/>
    <w:basedOn w:val="CommentText"/>
    <w:next w:val="CommentText"/>
    <w:link w:val="CommentSubjectChar"/>
    <w:uiPriority w:val="99"/>
    <w:semiHidden/>
    <w:unhideWhenUsed/>
    <w:rsid w:val="001947E5"/>
    <w:rPr>
      <w:b/>
      <w:bCs/>
    </w:rPr>
  </w:style>
  <w:style w:type="character" w:customStyle="1" w:styleId="CommentSubjectChar">
    <w:name w:val="Comment Subject Char"/>
    <w:basedOn w:val="CommentTextChar"/>
    <w:link w:val="CommentSubject"/>
    <w:uiPriority w:val="99"/>
    <w:semiHidden/>
    <w:rsid w:val="001947E5"/>
    <w:rPr>
      <w:b/>
      <w:bCs/>
      <w:sz w:val="20"/>
      <w:szCs w:val="20"/>
    </w:rPr>
  </w:style>
  <w:style w:type="paragraph" w:styleId="Revision">
    <w:name w:val="Revision"/>
    <w:hidden/>
    <w:uiPriority w:val="99"/>
    <w:semiHidden/>
    <w:rsid w:val="001947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4047</Words>
  <Characters>21322</Characters>
  <Application>Microsoft Office Word</Application>
  <DocSecurity>0</DocSecurity>
  <Lines>392</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2023-01-23T16:45:00Z</dcterms:created>
  <dcterms:modified xsi:type="dcterms:W3CDTF">2023-01-23T16:45:00Z</dcterms:modified>
  <cp:category/>
</cp:coreProperties>
</file>