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A26C" w14:textId="7A9C7A6C" w:rsidR="00E2266A" w:rsidRPr="00E2266A" w:rsidRDefault="00E2266A" w:rsidP="00F152B0">
      <w:pPr>
        <w:spacing w:line="240" w:lineRule="auto"/>
        <w:jc w:val="center"/>
        <w:rPr>
          <w:bCs/>
          <w:sz w:val="20"/>
        </w:rPr>
      </w:pPr>
      <w:r w:rsidRPr="00E2266A">
        <w:rPr>
          <w:bCs/>
          <w:sz w:val="20"/>
        </w:rPr>
        <w:t>Filed 9/15/22</w:t>
      </w:r>
      <w:bookmarkStart w:id="0" w:name="_Hlk91684443"/>
      <w:r w:rsidR="00F152B0" w:rsidRPr="00354EC2">
        <w:rPr>
          <w:sz w:val="20"/>
        </w:rPr>
        <w:t>; REVIEW GRANTED.  See Cal. Rules of Court, rules 8.1105 and 8.1115 (and corresponding Comment, par. 2, concerning rule 8.1115(e)(3)).</w:t>
      </w:r>
      <w:bookmarkEnd w:id="0"/>
    </w:p>
    <w:p w14:paraId="1F69E364" w14:textId="3FF8FFE4" w:rsidR="008C1AAF" w:rsidRPr="006056AC" w:rsidRDefault="008C1AAF" w:rsidP="008C1AAF">
      <w:pPr>
        <w:spacing w:line="240" w:lineRule="auto"/>
        <w:rPr>
          <w:bCs/>
          <w:sz w:val="20"/>
        </w:rPr>
      </w:pPr>
      <w:r w:rsidRPr="006056AC">
        <w:rPr>
          <w:bCs/>
          <w:sz w:val="20"/>
        </w:rPr>
        <w:t>See Concurring Opinion</w:t>
      </w:r>
    </w:p>
    <w:p w14:paraId="47E810BA" w14:textId="77777777" w:rsidR="008C1AAF" w:rsidRDefault="008C1AAF" w:rsidP="002E666C">
      <w:pPr>
        <w:spacing w:line="240" w:lineRule="auto"/>
        <w:jc w:val="center"/>
        <w:rPr>
          <w:b/>
        </w:rPr>
      </w:pPr>
    </w:p>
    <w:p w14:paraId="6B116C26" w14:textId="3C454154" w:rsidR="00A10690" w:rsidRPr="002E666C" w:rsidRDefault="002E666C" w:rsidP="002E666C">
      <w:pPr>
        <w:spacing w:line="240" w:lineRule="auto"/>
        <w:jc w:val="center"/>
        <w:rPr>
          <w:b/>
        </w:rPr>
      </w:pPr>
      <w:r w:rsidRPr="002E666C">
        <w:rPr>
          <w:b/>
        </w:rPr>
        <w:t>CERTIFIED FOR PARTIAL PUBLICATION</w:t>
      </w:r>
      <w:r w:rsidRPr="002E666C">
        <w:rPr>
          <w:rStyle w:val="FootnoteReference"/>
          <w:b w:val="0"/>
        </w:rPr>
        <w:footnoteReference w:customMarkFollows="1" w:id="2"/>
        <w:t>*</w:t>
      </w:r>
    </w:p>
    <w:p w14:paraId="749774DD" w14:textId="716B2962" w:rsidR="002E666C" w:rsidRPr="002E666C" w:rsidRDefault="002E666C" w:rsidP="002E666C">
      <w:pPr>
        <w:spacing w:line="240" w:lineRule="auto"/>
        <w:jc w:val="center"/>
        <w:rPr>
          <w:b/>
        </w:rPr>
      </w:pPr>
    </w:p>
    <w:p w14:paraId="371F9268" w14:textId="31641BFD" w:rsidR="002E666C" w:rsidRPr="002E666C" w:rsidRDefault="002E666C" w:rsidP="002E666C">
      <w:pPr>
        <w:spacing w:line="240" w:lineRule="auto"/>
        <w:jc w:val="center"/>
        <w:rPr>
          <w:b/>
        </w:rPr>
      </w:pPr>
      <w:r w:rsidRPr="002E666C">
        <w:rPr>
          <w:b/>
        </w:rPr>
        <w:t>IN THE COURT OF APPEAL OF THE STATE OF CALIFORNIA</w:t>
      </w:r>
    </w:p>
    <w:p w14:paraId="68927706" w14:textId="55ED1145" w:rsidR="002E666C" w:rsidRPr="002E666C" w:rsidRDefault="002E666C" w:rsidP="002E666C">
      <w:pPr>
        <w:spacing w:line="240" w:lineRule="auto"/>
        <w:jc w:val="center"/>
        <w:rPr>
          <w:b/>
        </w:rPr>
      </w:pPr>
    </w:p>
    <w:p w14:paraId="02BC7A15" w14:textId="1C9216ED" w:rsidR="002E666C" w:rsidRPr="002E666C" w:rsidRDefault="002E666C" w:rsidP="002E666C">
      <w:pPr>
        <w:spacing w:line="240" w:lineRule="auto"/>
        <w:jc w:val="center"/>
        <w:rPr>
          <w:b/>
        </w:rPr>
      </w:pPr>
      <w:r w:rsidRPr="002E666C">
        <w:rPr>
          <w:b/>
        </w:rPr>
        <w:t>FOURTH APPELLATE DISTRICT</w:t>
      </w:r>
    </w:p>
    <w:p w14:paraId="2B863460" w14:textId="56941C24" w:rsidR="002E666C" w:rsidRPr="002E666C" w:rsidRDefault="002E666C" w:rsidP="002E666C">
      <w:pPr>
        <w:spacing w:line="240" w:lineRule="auto"/>
        <w:jc w:val="center"/>
        <w:rPr>
          <w:b/>
        </w:rPr>
      </w:pPr>
    </w:p>
    <w:p w14:paraId="6E795397" w14:textId="77777777" w:rsidR="002E666C" w:rsidRPr="002E666C" w:rsidRDefault="002E666C" w:rsidP="002E666C">
      <w:pPr>
        <w:spacing w:line="240" w:lineRule="auto"/>
        <w:jc w:val="center"/>
        <w:rPr>
          <w:b/>
        </w:rPr>
      </w:pPr>
      <w:r w:rsidRPr="002E666C">
        <w:rPr>
          <w:b/>
        </w:rPr>
        <w:t>DIVISION TWO</w:t>
      </w:r>
    </w:p>
    <w:p w14:paraId="0B08860B" w14:textId="3F88B122" w:rsidR="002E666C" w:rsidRPr="002E666C" w:rsidRDefault="002E666C" w:rsidP="002E666C">
      <w:pPr>
        <w:spacing w:line="240" w:lineRule="auto"/>
        <w:jc w:val="center"/>
      </w:pPr>
    </w:p>
    <w:p w14:paraId="55BAFA6E" w14:textId="01262B1A" w:rsidR="002E666C" w:rsidRPr="002E666C" w:rsidRDefault="002E666C" w:rsidP="002E666C">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E666C" w:rsidRPr="002E666C" w14:paraId="34379930" w14:textId="77777777" w:rsidTr="002E666C">
        <w:tc>
          <w:tcPr>
            <w:tcW w:w="4675" w:type="dxa"/>
            <w:tcBorders>
              <w:bottom w:val="single" w:sz="4" w:space="0" w:color="auto"/>
              <w:right w:val="single" w:sz="4" w:space="0" w:color="auto"/>
            </w:tcBorders>
            <w:shd w:val="clear" w:color="auto" w:fill="auto"/>
          </w:tcPr>
          <w:p w14:paraId="10A8D871" w14:textId="77777777" w:rsidR="002E666C" w:rsidRPr="002E666C" w:rsidRDefault="002E666C" w:rsidP="002E666C">
            <w:r w:rsidRPr="002E666C">
              <w:t>THE PEOPLE,</w:t>
            </w:r>
          </w:p>
          <w:p w14:paraId="3FEBF3DA" w14:textId="77777777" w:rsidR="002E666C" w:rsidRPr="002E666C" w:rsidRDefault="002E666C" w:rsidP="002E666C"/>
          <w:p w14:paraId="5400F2E8" w14:textId="77777777" w:rsidR="002E666C" w:rsidRPr="002E666C" w:rsidRDefault="002E666C" w:rsidP="002E666C">
            <w:r w:rsidRPr="002E666C">
              <w:tab/>
              <w:t>Plaintiff and Respondent,</w:t>
            </w:r>
          </w:p>
          <w:p w14:paraId="453C3C46" w14:textId="77777777" w:rsidR="002E666C" w:rsidRPr="002E666C" w:rsidRDefault="002E666C" w:rsidP="002E666C"/>
          <w:p w14:paraId="192C5FE6" w14:textId="77777777" w:rsidR="002E666C" w:rsidRPr="002E666C" w:rsidRDefault="002E666C" w:rsidP="002E666C">
            <w:r w:rsidRPr="002E666C">
              <w:t>v.</w:t>
            </w:r>
          </w:p>
          <w:p w14:paraId="6688C3AB" w14:textId="77777777" w:rsidR="002E666C" w:rsidRPr="002E666C" w:rsidRDefault="002E666C" w:rsidP="002E666C"/>
          <w:p w14:paraId="0C8D717A" w14:textId="25B55EFA" w:rsidR="002E666C" w:rsidRPr="002E666C" w:rsidRDefault="002E666C" w:rsidP="002E666C">
            <w:r w:rsidRPr="002E666C">
              <w:t>ERIC LAVELL FULLER</w:t>
            </w:r>
            <w:r>
              <w:t>,</w:t>
            </w:r>
            <w:r w:rsidRPr="002E666C">
              <w:t xml:space="preserve"> JR.</w:t>
            </w:r>
            <w:r>
              <w:t>, et al.,</w:t>
            </w:r>
          </w:p>
          <w:p w14:paraId="23EA3A23" w14:textId="77777777" w:rsidR="002E666C" w:rsidRPr="002E666C" w:rsidRDefault="002E666C" w:rsidP="002E666C"/>
          <w:p w14:paraId="20E8C71F" w14:textId="77777777" w:rsidR="002E666C" w:rsidRPr="002E666C" w:rsidRDefault="002E666C" w:rsidP="002E666C">
            <w:r w:rsidRPr="002E666C">
              <w:tab/>
              <w:t>Defendants and Appellants.</w:t>
            </w:r>
          </w:p>
          <w:p w14:paraId="27FC8872" w14:textId="279F2F5D" w:rsidR="002E666C" w:rsidRPr="002E666C" w:rsidRDefault="002E666C" w:rsidP="002E666C"/>
        </w:tc>
        <w:tc>
          <w:tcPr>
            <w:tcW w:w="4675" w:type="dxa"/>
            <w:tcBorders>
              <w:left w:val="single" w:sz="4" w:space="0" w:color="auto"/>
            </w:tcBorders>
            <w:shd w:val="clear" w:color="auto" w:fill="auto"/>
          </w:tcPr>
          <w:p w14:paraId="31FB2FE1" w14:textId="77777777" w:rsidR="002E666C" w:rsidRPr="002E666C" w:rsidRDefault="002E666C" w:rsidP="002E666C"/>
          <w:p w14:paraId="24E35A6C" w14:textId="77777777" w:rsidR="002E666C" w:rsidRPr="002E666C" w:rsidRDefault="002E666C" w:rsidP="002E666C"/>
          <w:p w14:paraId="328CC99A" w14:textId="77777777" w:rsidR="002E666C" w:rsidRPr="002E666C" w:rsidRDefault="002E666C" w:rsidP="002E666C">
            <w:r w:rsidRPr="002E666C">
              <w:tab/>
              <w:t>E071794</w:t>
            </w:r>
          </w:p>
          <w:p w14:paraId="6246D25B" w14:textId="77777777" w:rsidR="002E666C" w:rsidRPr="002E666C" w:rsidRDefault="002E666C" w:rsidP="002E666C"/>
          <w:p w14:paraId="43ED6F45" w14:textId="77777777" w:rsidR="002E666C" w:rsidRPr="002E666C" w:rsidRDefault="002E666C" w:rsidP="002E666C">
            <w:r w:rsidRPr="002E666C">
              <w:tab/>
              <w:t>(Super.Ct.No. RIF1701359)</w:t>
            </w:r>
          </w:p>
          <w:p w14:paraId="54B3B19C" w14:textId="77777777" w:rsidR="002E666C" w:rsidRPr="002E666C" w:rsidRDefault="002E666C" w:rsidP="002E666C"/>
          <w:p w14:paraId="27A60DD2" w14:textId="541100BE" w:rsidR="002E666C" w:rsidRPr="002E666C" w:rsidRDefault="002E666C" w:rsidP="002E666C">
            <w:r w:rsidRPr="002E666C">
              <w:tab/>
              <w:t>OPINION</w:t>
            </w:r>
            <w:r>
              <w:t xml:space="preserve"> ON TRANSFER</w:t>
            </w:r>
          </w:p>
          <w:p w14:paraId="1E0B57E4" w14:textId="10D3C7D6" w:rsidR="002E666C" w:rsidRPr="002E666C" w:rsidRDefault="002E666C" w:rsidP="002E666C"/>
        </w:tc>
      </w:tr>
    </w:tbl>
    <w:p w14:paraId="30502F75" w14:textId="286D0A28" w:rsidR="002E666C" w:rsidRPr="002E666C" w:rsidRDefault="002E666C" w:rsidP="002E666C">
      <w:pPr>
        <w:spacing w:line="480" w:lineRule="auto"/>
        <w:rPr>
          <w:b/>
          <w:bCs/>
        </w:rPr>
      </w:pPr>
    </w:p>
    <w:p w14:paraId="0820ECB1" w14:textId="42CC976E" w:rsidR="00A10690" w:rsidRPr="002E666C" w:rsidRDefault="00A10690" w:rsidP="00100A6B">
      <w:pPr>
        <w:rPr>
          <w:bCs/>
        </w:rPr>
      </w:pPr>
      <w:r w:rsidRPr="00A10690">
        <w:rPr>
          <w:b/>
        </w:rPr>
        <w:tab/>
      </w:r>
      <w:r w:rsidRPr="00A10690">
        <w:rPr>
          <w:bCs/>
        </w:rPr>
        <w:t xml:space="preserve">APPEAL from the Superior Court of Riverside County.  John D. Molloy, </w:t>
      </w:r>
      <w:r w:rsidR="0024747B">
        <w:rPr>
          <w:bCs/>
        </w:rPr>
        <w:t xml:space="preserve">and David A. Gunn, </w:t>
      </w:r>
      <w:r w:rsidRPr="00A10690">
        <w:rPr>
          <w:bCs/>
        </w:rPr>
        <w:t>Judge</w:t>
      </w:r>
      <w:r w:rsidR="0024747B">
        <w:rPr>
          <w:bCs/>
        </w:rPr>
        <w:t>s</w:t>
      </w:r>
      <w:r w:rsidRPr="00A10690">
        <w:rPr>
          <w:bCs/>
        </w:rPr>
        <w:t>.  Affirmed in part, vacated in part, and remanded with directions</w:t>
      </w:r>
      <w:r w:rsidRPr="002E666C">
        <w:rPr>
          <w:bCs/>
        </w:rPr>
        <w:t>.</w:t>
      </w:r>
    </w:p>
    <w:p w14:paraId="0A8424CE" w14:textId="03200CC4" w:rsidR="00A10690" w:rsidRPr="002E666C" w:rsidRDefault="00A10690" w:rsidP="00100A6B">
      <w:r w:rsidRPr="002E666C">
        <w:tab/>
        <w:t>David Zarmi for Defendant and Appellant Eric Lavell Fuller, Jr.</w:t>
      </w:r>
    </w:p>
    <w:p w14:paraId="298F8F2A" w14:textId="349A66ED" w:rsidR="00A10690" w:rsidRPr="002E666C" w:rsidRDefault="00A10690" w:rsidP="00100A6B">
      <w:r w:rsidRPr="002E666C">
        <w:tab/>
        <w:t>Steven A. Brody, under appointment by the Court of Appeal, for Defendant and Appellant Destinee Sharniele Tresvant.</w:t>
      </w:r>
    </w:p>
    <w:p w14:paraId="44CA4762" w14:textId="77777777" w:rsidR="00180482" w:rsidRDefault="00A10690" w:rsidP="00100A6B">
      <w:r w:rsidRPr="002E666C">
        <w:tab/>
        <w:t xml:space="preserve">Rob Bonta, Attorney General, Lance E. Winters, Chief Assistant Attorney General, Charles C. Ragland, Assistant Attorney General, A. Natasha Cortina, Jennifer B. </w:t>
      </w:r>
      <w:r w:rsidRPr="002E666C">
        <w:lastRenderedPageBreak/>
        <w:t>Truong, and Christine Y. Friedman, Deputy Attorneys General, for Plaintiff and Respondent.</w:t>
      </w:r>
    </w:p>
    <w:p w14:paraId="349B8961" w14:textId="3FAC01B5" w:rsidR="00D22B57" w:rsidRPr="00180482" w:rsidRDefault="00D22B57" w:rsidP="00100A6B">
      <w:pPr>
        <w:keepNext/>
        <w:keepLines/>
        <w:ind w:firstLine="720"/>
      </w:pPr>
      <w:r w:rsidRPr="002E666C">
        <w:t xml:space="preserve">In </w:t>
      </w:r>
      <w:r w:rsidRPr="002E666C">
        <w:rPr>
          <w:i/>
          <w:iCs/>
        </w:rPr>
        <w:t>People v. Tirado</w:t>
      </w:r>
      <w:r w:rsidRPr="002E666C">
        <w:t xml:space="preserve"> (2022) 12 Cal.5th 688</w:t>
      </w:r>
      <w:r w:rsidR="005900EB" w:rsidRPr="002E666C">
        <w:t>, 692</w:t>
      </w:r>
      <w:r w:rsidRPr="002E666C">
        <w:t xml:space="preserve"> (</w:t>
      </w:r>
      <w:r w:rsidRPr="002E666C">
        <w:rPr>
          <w:i/>
          <w:iCs/>
        </w:rPr>
        <w:t>Tirado</w:t>
      </w:r>
      <w:r w:rsidRPr="002E666C">
        <w:t xml:space="preserve">), the Supreme Court held that </w:t>
      </w:r>
      <w:r w:rsidR="005900EB" w:rsidRPr="002E666C">
        <w:t xml:space="preserve">when </w:t>
      </w:r>
      <w:r w:rsidRPr="002E666C">
        <w:t xml:space="preserve">a firearm enhancement under Penal Code section 12022.53 has been charged and found true, a sentencing court has discretion to strike the enhancement and impose an uncharged lesser included enhancement.  </w:t>
      </w:r>
      <w:r w:rsidR="005900EB" w:rsidRPr="002E666C">
        <w:t>(Undesignated statutory citations are to the Penal Code</w:t>
      </w:r>
      <w:r w:rsidRPr="002E666C">
        <w:t xml:space="preserve">.)  </w:t>
      </w:r>
      <w:r w:rsidR="005900EB" w:rsidRPr="002E666C">
        <w:t xml:space="preserve">On this appeal, the People argue that a sentencing court’s discretion under </w:t>
      </w:r>
      <w:r w:rsidR="005900EB" w:rsidRPr="002E666C">
        <w:rPr>
          <w:i/>
          <w:iCs/>
        </w:rPr>
        <w:t>Tirado</w:t>
      </w:r>
      <w:r w:rsidR="005900EB" w:rsidRPr="002E666C">
        <w:t xml:space="preserve"> is limited to imposing a lesser enhancement under section 12022.53, so a court </w:t>
      </w:r>
      <w:r w:rsidR="00FA4B78" w:rsidRPr="002E666C">
        <w:t>that</w:t>
      </w:r>
      <w:r w:rsidR="005900EB" w:rsidRPr="002E666C">
        <w:t xml:space="preserve"> strike</w:t>
      </w:r>
      <w:r w:rsidR="00FA4B78" w:rsidRPr="002E666C">
        <w:t>s</w:t>
      </w:r>
      <w:r w:rsidR="005900EB" w:rsidRPr="002E666C">
        <w:t xml:space="preserve"> an enhancement under section 12022.53 </w:t>
      </w:r>
      <w:r w:rsidR="00FA4B78" w:rsidRPr="002E666C">
        <w:t>cannot</w:t>
      </w:r>
      <w:r w:rsidR="005900EB" w:rsidRPr="002E666C">
        <w:t xml:space="preserve"> impose an uncharged lesser included enhancement under section 12022.5.  We disagree and hold that </w:t>
      </w:r>
      <w:r w:rsidR="00FA4B78" w:rsidRPr="002E666C">
        <w:t xml:space="preserve">under </w:t>
      </w:r>
      <w:r w:rsidR="00FA4B78" w:rsidRPr="002E666C">
        <w:rPr>
          <w:i/>
          <w:iCs/>
        </w:rPr>
        <w:t>Tirado</w:t>
      </w:r>
      <w:r w:rsidR="00FA4B78" w:rsidRPr="002E666C">
        <w:t xml:space="preserve"> the sentencing court may impose an uncharged lesser included enhancement under section 12022.5 after striking a greater enhancement under section 12022.53.</w:t>
      </w:r>
    </w:p>
    <w:p w14:paraId="71F2CA20" w14:textId="3E28EF6B" w:rsidR="005900EB" w:rsidRDefault="002E4379" w:rsidP="00100A6B">
      <w:pPr>
        <w:keepNext/>
        <w:keepLines/>
        <w:jc w:val="center"/>
      </w:pPr>
      <w:r>
        <w:t>BACKGROUND</w:t>
      </w:r>
    </w:p>
    <w:p w14:paraId="44BF8A23" w14:textId="7051172B" w:rsidR="00B74F4D" w:rsidRDefault="00D51365" w:rsidP="00100A6B">
      <w:pPr>
        <w:ind w:firstLine="720"/>
      </w:pPr>
      <w:r>
        <w:t xml:space="preserve">This appeal arises </w:t>
      </w:r>
      <w:r w:rsidR="002F734D">
        <w:t xml:space="preserve">from the </w:t>
      </w:r>
      <w:r w:rsidR="00FD24E5">
        <w:t xml:space="preserve">armed </w:t>
      </w:r>
      <w:r w:rsidR="002F734D">
        <w:t xml:space="preserve">robbery of a nail salon </w:t>
      </w:r>
      <w:r w:rsidR="00B05DE9">
        <w:t>followed by</w:t>
      </w:r>
      <w:r w:rsidR="002F734D">
        <w:t xml:space="preserve"> </w:t>
      </w:r>
      <w:r>
        <w:t>a high-speed pursuit of the perpetrators after they fled the scene</w:t>
      </w:r>
      <w:r w:rsidR="002F734D">
        <w:t>.</w:t>
      </w:r>
      <w:r w:rsidR="004945C3">
        <w:t xml:space="preserve">  </w:t>
      </w:r>
      <w:r w:rsidR="006F0157">
        <w:t xml:space="preserve">Victims identified Aaron Murl Moses, Jr., Eric Lavell Fuller, Jr., and </w:t>
      </w:r>
      <w:bookmarkStart w:id="1" w:name="_Hlk109725202"/>
      <w:r w:rsidR="006F0157">
        <w:t>Destinee Sharniele Tresvant</w:t>
      </w:r>
      <w:bookmarkEnd w:id="1"/>
      <w:r w:rsidR="006F0157">
        <w:t xml:space="preserve"> as </w:t>
      </w:r>
      <w:r w:rsidR="00084F4A">
        <w:t>three of</w:t>
      </w:r>
      <w:r w:rsidR="00F60197">
        <w:t xml:space="preserve"> the</w:t>
      </w:r>
      <w:r w:rsidR="00470A19">
        <w:t xml:space="preserve"> </w:t>
      </w:r>
      <w:r w:rsidR="00F60197">
        <w:t>perpetrators</w:t>
      </w:r>
      <w:r w:rsidR="00470A19">
        <w:t xml:space="preserve">.  </w:t>
      </w:r>
      <w:r>
        <w:t>A jury convicted Moses and</w:t>
      </w:r>
      <w:r w:rsidR="006F0157">
        <w:t xml:space="preserve"> </w:t>
      </w:r>
      <w:r>
        <w:t xml:space="preserve">Fuller of </w:t>
      </w:r>
      <w:r w:rsidR="00470A19">
        <w:t>numerous</w:t>
      </w:r>
      <w:r>
        <w:t xml:space="preserve"> offenses </w:t>
      </w:r>
      <w:r w:rsidR="00F60197">
        <w:t xml:space="preserve">arising from the incident </w:t>
      </w:r>
      <w:r>
        <w:t xml:space="preserve">and found </w:t>
      </w:r>
      <w:r w:rsidR="00084F4A">
        <w:t>related</w:t>
      </w:r>
      <w:r>
        <w:t xml:space="preserve"> </w:t>
      </w:r>
      <w:r w:rsidR="00AC086C">
        <w:t xml:space="preserve">firearm </w:t>
      </w:r>
      <w:r>
        <w:t>enhancements</w:t>
      </w:r>
      <w:r w:rsidR="00084F4A">
        <w:t xml:space="preserve"> true</w:t>
      </w:r>
      <w:r>
        <w:t xml:space="preserve">.  </w:t>
      </w:r>
      <w:r w:rsidR="000E067B">
        <w:t xml:space="preserve">Tresvant pleaded guilty </w:t>
      </w:r>
      <w:r w:rsidR="00AC086C">
        <w:t xml:space="preserve">after </w:t>
      </w:r>
      <w:r w:rsidR="000E067B">
        <w:t xml:space="preserve">the </w:t>
      </w:r>
      <w:r w:rsidR="000E067B">
        <w:lastRenderedPageBreak/>
        <w:t>trial court found her competent to stand trial and</w:t>
      </w:r>
      <w:r w:rsidR="00131CCF">
        <w:t xml:space="preserve"> found that she was ineligible for pretrial mental health diversion.</w:t>
      </w:r>
      <w:r w:rsidR="00BD0598">
        <w:rPr>
          <w:rStyle w:val="FootnoteReference"/>
        </w:rPr>
        <w:footnoteReference w:id="3"/>
      </w:r>
      <w:r w:rsidR="00487DFE">
        <w:t xml:space="preserve">  </w:t>
      </w:r>
    </w:p>
    <w:p w14:paraId="1B2E2E9E" w14:textId="39656C62" w:rsidR="0043074F" w:rsidRPr="002E666C" w:rsidRDefault="00D760D8" w:rsidP="00100A6B">
      <w:r>
        <w:tab/>
      </w:r>
      <w:r w:rsidR="009B59CA">
        <w:t xml:space="preserve">On appeal, </w:t>
      </w:r>
      <w:r w:rsidR="007E2AC0">
        <w:t xml:space="preserve">Tresvant argues that the trial court erred by directing a verdict against her in a competency </w:t>
      </w:r>
      <w:r w:rsidR="00D51365">
        <w:t xml:space="preserve">proceeding </w:t>
      </w:r>
      <w:r w:rsidR="007E2AC0">
        <w:t xml:space="preserve">and by failing thereafter to conclude that </w:t>
      </w:r>
      <w:r w:rsidR="00D51365">
        <w:t>she</w:t>
      </w:r>
      <w:r w:rsidR="007E2AC0">
        <w:t xml:space="preserve"> did not make a prima facie showing for </w:t>
      </w:r>
      <w:r w:rsidR="00D51365">
        <w:t xml:space="preserve">pretrial </w:t>
      </w:r>
      <w:r w:rsidR="007E2AC0">
        <w:t>mental health diversion</w:t>
      </w:r>
      <w:r w:rsidR="00D51365">
        <w:t xml:space="preserve"> under </w:t>
      </w:r>
      <w:bookmarkStart w:id="2" w:name="dabmci_44a9c0dc022e458a8642d7e9d71c1a53"/>
      <w:r w:rsidR="00D51365">
        <w:t>section 1001.36</w:t>
      </w:r>
      <w:bookmarkEnd w:id="2"/>
      <w:r w:rsidR="007E2AC0">
        <w:t xml:space="preserve">.  </w:t>
      </w:r>
      <w:r w:rsidR="007E2AC0" w:rsidRPr="002E666C">
        <w:t xml:space="preserve">Fuller and Tresvant argue that the trial court </w:t>
      </w:r>
      <w:r w:rsidR="00E078CE" w:rsidRPr="002E666C">
        <w:t>abused its discretion</w:t>
      </w:r>
      <w:r w:rsidR="007E2AC0" w:rsidRPr="002E666C">
        <w:t xml:space="preserve"> by failing to consider imposing </w:t>
      </w:r>
      <w:r w:rsidR="00084F4A" w:rsidRPr="002E666C">
        <w:t xml:space="preserve">uncharged </w:t>
      </w:r>
      <w:r w:rsidR="007E2AC0" w:rsidRPr="002E666C">
        <w:t>lesser included firearm enhancements</w:t>
      </w:r>
      <w:r w:rsidR="00BE2E79" w:rsidRPr="002E666C">
        <w:t xml:space="preserve"> under section 12022.5, subdivision (a) (section 12022.5(a))</w:t>
      </w:r>
      <w:r w:rsidR="00D52BEF" w:rsidRPr="002E666C">
        <w:t xml:space="preserve"> instead of imposing the charged enhancements under section 12022.53, subdivision (b) (section 12022.53(b))</w:t>
      </w:r>
      <w:r w:rsidR="00B752AC" w:rsidRPr="002E666C">
        <w:t xml:space="preserve">, and Tresvant argues that the trial court abused its discretion by failing to strike </w:t>
      </w:r>
      <w:r w:rsidR="00610574" w:rsidRPr="002E666C">
        <w:t xml:space="preserve">the </w:t>
      </w:r>
      <w:r w:rsidR="00B752AC" w:rsidRPr="002E666C">
        <w:t xml:space="preserve">enhancement.  </w:t>
      </w:r>
      <w:r w:rsidR="00E078CE" w:rsidRPr="002E666C">
        <w:t>Fuller also contend</w:t>
      </w:r>
      <w:r w:rsidR="008C447E" w:rsidRPr="002E666C">
        <w:t>s</w:t>
      </w:r>
      <w:r w:rsidR="00E078CE" w:rsidRPr="002E666C">
        <w:t xml:space="preserve"> that the trial court failed to consider </w:t>
      </w:r>
      <w:r w:rsidR="008C447E" w:rsidRPr="002E666C">
        <w:t>his</w:t>
      </w:r>
      <w:r w:rsidR="00E078CE" w:rsidRPr="002E666C">
        <w:t xml:space="preserve"> ability to pay various fines and fees.  Moses raise</w:t>
      </w:r>
      <w:r w:rsidR="00F03F69" w:rsidRPr="002E666C">
        <w:t>d</w:t>
      </w:r>
      <w:r w:rsidR="00E078CE" w:rsidRPr="002E666C">
        <w:t xml:space="preserve"> numerous </w:t>
      </w:r>
      <w:r w:rsidR="00084F4A" w:rsidRPr="002E666C">
        <w:t xml:space="preserve">sentencing </w:t>
      </w:r>
      <w:r w:rsidR="00E078CE" w:rsidRPr="002E666C">
        <w:t xml:space="preserve">issues.  </w:t>
      </w:r>
    </w:p>
    <w:p w14:paraId="770F52F9" w14:textId="2BEDE702" w:rsidR="00BA617C" w:rsidRPr="002E666C" w:rsidRDefault="0043074F" w:rsidP="00100A6B">
      <w:pPr>
        <w:ind w:firstLine="720"/>
      </w:pPr>
      <w:r w:rsidRPr="002E666C">
        <w:t xml:space="preserve">In a prior unpublished opinion, we vacated Moses’s sentence because we concluded </w:t>
      </w:r>
      <w:r w:rsidR="00F1332D" w:rsidRPr="002E666C">
        <w:t xml:space="preserve">that </w:t>
      </w:r>
      <w:r w:rsidRPr="002E666C">
        <w:t>it was unauthorized.</w:t>
      </w:r>
      <w:r w:rsidR="00AC086C" w:rsidRPr="002E666C">
        <w:t xml:space="preserve"> </w:t>
      </w:r>
      <w:r w:rsidRPr="002E666C">
        <w:t xml:space="preserve"> T</w:t>
      </w:r>
      <w:r w:rsidR="00AC086C" w:rsidRPr="002E666C">
        <w:t xml:space="preserve">he trial court failed to impose a sentence for each of </w:t>
      </w:r>
      <w:r w:rsidRPr="002E666C">
        <w:t>Moses’s</w:t>
      </w:r>
      <w:r w:rsidR="00AC086C" w:rsidRPr="002E666C">
        <w:t xml:space="preserve"> offenses. </w:t>
      </w:r>
      <w:r w:rsidR="00867927" w:rsidRPr="002E666C">
        <w:t xml:space="preserve"> (</w:t>
      </w:r>
      <w:r w:rsidR="00867927" w:rsidRPr="002E666C">
        <w:rPr>
          <w:i/>
          <w:iCs/>
        </w:rPr>
        <w:t>People v. Moses</w:t>
      </w:r>
      <w:r w:rsidR="00867927" w:rsidRPr="002E666C">
        <w:t xml:space="preserve"> (July 1, 2021, E071794) [nonpub.].)</w:t>
      </w:r>
      <w:r w:rsidR="00AC086C" w:rsidRPr="002E666C">
        <w:t xml:space="preserve"> </w:t>
      </w:r>
      <w:r w:rsidR="003C68C6" w:rsidRPr="002E666C">
        <w:t xml:space="preserve"> </w:t>
      </w:r>
      <w:r w:rsidR="00AC086C" w:rsidRPr="002E666C">
        <w:t>We consequently vacate</w:t>
      </w:r>
      <w:r w:rsidR="008675FC" w:rsidRPr="002E666C">
        <w:t>d</w:t>
      </w:r>
      <w:r w:rsidR="00AC086C" w:rsidRPr="002E666C">
        <w:t xml:space="preserve"> </w:t>
      </w:r>
      <w:r w:rsidR="000A748F" w:rsidRPr="002E666C">
        <w:t>Moses’s</w:t>
      </w:r>
      <w:r w:rsidR="00AC086C" w:rsidRPr="002E666C">
        <w:t xml:space="preserve"> sentence</w:t>
      </w:r>
      <w:r w:rsidR="008675FC" w:rsidRPr="002E666C">
        <w:t xml:space="preserve"> and</w:t>
      </w:r>
      <w:r w:rsidR="00AC086C" w:rsidRPr="002E666C">
        <w:t xml:space="preserve"> remand</w:t>
      </w:r>
      <w:r w:rsidRPr="002E666C">
        <w:t>ed the matter</w:t>
      </w:r>
      <w:r w:rsidR="00AC086C" w:rsidRPr="002E666C">
        <w:t xml:space="preserve"> for resentencing</w:t>
      </w:r>
      <w:r w:rsidR="00867927" w:rsidRPr="002E666C">
        <w:t>.</w:t>
      </w:r>
    </w:p>
    <w:p w14:paraId="0DD4107D" w14:textId="77777777" w:rsidR="00180482" w:rsidRDefault="00BA617C" w:rsidP="00100A6B">
      <w:pPr>
        <w:ind w:firstLine="720"/>
      </w:pPr>
      <w:r w:rsidRPr="002E666C">
        <w:t>The Supreme Court granted review</w:t>
      </w:r>
      <w:r w:rsidR="00F03F69" w:rsidRPr="002E666C">
        <w:t>, vacated our prior opinion, and</w:t>
      </w:r>
      <w:r w:rsidR="00FD5793" w:rsidRPr="002E666C">
        <w:t xml:space="preserve"> </w:t>
      </w:r>
      <w:r w:rsidR="001C7325" w:rsidRPr="002E666C">
        <w:t xml:space="preserve">transferred </w:t>
      </w:r>
      <w:r w:rsidR="00FD5793" w:rsidRPr="002E666C">
        <w:t xml:space="preserve">the </w:t>
      </w:r>
      <w:r w:rsidR="001C7325" w:rsidRPr="002E666C">
        <w:t>case of</w:t>
      </w:r>
      <w:r w:rsidR="008675FC" w:rsidRPr="002E666C">
        <w:t xml:space="preserve"> Fuller and Tresvant </w:t>
      </w:r>
      <w:r w:rsidR="00A54ABF" w:rsidRPr="002E666C">
        <w:t xml:space="preserve">(collectively, defendants) </w:t>
      </w:r>
      <w:r w:rsidR="001C7325" w:rsidRPr="002E666C">
        <w:t xml:space="preserve">back to us </w:t>
      </w:r>
      <w:r w:rsidR="00FD5793" w:rsidRPr="002E666C">
        <w:t>with</w:t>
      </w:r>
      <w:r w:rsidR="00F03F69" w:rsidRPr="002E666C">
        <w:t xml:space="preserve"> directions to reconsider </w:t>
      </w:r>
      <w:r w:rsidR="001C7325" w:rsidRPr="002E666C">
        <w:t xml:space="preserve">it </w:t>
      </w:r>
      <w:r w:rsidR="00F03F69" w:rsidRPr="002E666C">
        <w:t xml:space="preserve">in light of </w:t>
      </w:r>
      <w:r w:rsidR="00F03F69" w:rsidRPr="002E666C">
        <w:rPr>
          <w:i/>
          <w:iCs/>
        </w:rPr>
        <w:t>Tirado</w:t>
      </w:r>
      <w:r w:rsidR="00F03F69" w:rsidRPr="002E666C">
        <w:t>.</w:t>
      </w:r>
      <w:r w:rsidR="006E176D" w:rsidRPr="00180482">
        <w:t xml:space="preserve"> </w:t>
      </w:r>
      <w:r w:rsidR="00867927" w:rsidRPr="00180482">
        <w:t xml:space="preserve"> </w:t>
      </w:r>
      <w:r w:rsidR="00FA4B78" w:rsidRPr="002E666C">
        <w:t xml:space="preserve">Earlier, while </w:t>
      </w:r>
      <w:r w:rsidR="006B6DAF" w:rsidRPr="002E666C">
        <w:t>review was pending, the</w:t>
      </w:r>
      <w:r w:rsidR="00964FCE" w:rsidRPr="002E666C">
        <w:t xml:space="preserve"> Supreme Court </w:t>
      </w:r>
      <w:r w:rsidR="00964FCE" w:rsidRPr="002E666C">
        <w:lastRenderedPageBreak/>
        <w:t xml:space="preserve">severed Moses’s case, granted his request to dismiss review as to him, and remanded the matter </w:t>
      </w:r>
      <w:r w:rsidR="00E47D57" w:rsidRPr="002E666C">
        <w:t>with directions for</w:t>
      </w:r>
      <w:r w:rsidR="00964FCE" w:rsidRPr="002E666C">
        <w:t xml:space="preserve"> us to issue a remittitur as to</w:t>
      </w:r>
      <w:r w:rsidR="00E47D57" w:rsidRPr="002E666C">
        <w:t xml:space="preserve"> Moses</w:t>
      </w:r>
      <w:r w:rsidR="00964FCE" w:rsidRPr="002E666C">
        <w:t>, which we did.</w:t>
      </w:r>
      <w:r w:rsidR="006B6DAF" w:rsidRPr="002E666C">
        <w:rPr>
          <w:rStyle w:val="FootnoteReference"/>
        </w:rPr>
        <w:footnoteReference w:id="4"/>
      </w:r>
      <w:r w:rsidR="00867927" w:rsidRPr="002E666C">
        <w:t xml:space="preserve">  </w:t>
      </w:r>
      <w:r w:rsidR="00964FCE" w:rsidRPr="002E666C">
        <w:t xml:space="preserve">We </w:t>
      </w:r>
      <w:r w:rsidR="000E1365" w:rsidRPr="002E666C">
        <w:t>accordingly</w:t>
      </w:r>
      <w:r w:rsidR="00964FCE" w:rsidRPr="002E666C">
        <w:t xml:space="preserve"> do not address any issues concerning Moses in this </w:t>
      </w:r>
      <w:r w:rsidR="001C7325" w:rsidRPr="002E666C">
        <w:t>opinion</w:t>
      </w:r>
      <w:r w:rsidR="00964FCE" w:rsidRPr="002E666C">
        <w:t>.</w:t>
      </w:r>
      <w:r w:rsidR="00BC37CB" w:rsidRPr="002E666C">
        <w:t xml:space="preserve">  We also do not describe the underlying facts from the jury trial for Moses and Fuller, because the only issues we address as to Fuller pertain to sentencing issues that do not depend on those facts.</w:t>
      </w:r>
    </w:p>
    <w:p w14:paraId="7A9250CC" w14:textId="4D749DBC" w:rsidR="00A234CD" w:rsidRPr="002E666C" w:rsidRDefault="00DE62D8" w:rsidP="00100A6B">
      <w:pPr>
        <w:ind w:firstLine="720"/>
      </w:pPr>
      <w:r w:rsidRPr="002E666C">
        <w:t>On remand</w:t>
      </w:r>
      <w:r w:rsidR="001C7325" w:rsidRPr="002E666C">
        <w:t xml:space="preserve"> from the Supreme Court</w:t>
      </w:r>
      <w:r w:rsidRPr="002E666C">
        <w:t xml:space="preserve">, </w:t>
      </w:r>
      <w:r w:rsidR="00E47D57" w:rsidRPr="002E666C">
        <w:t xml:space="preserve">Fuller, Tresvant, and the People filed supplemental briefs concerning </w:t>
      </w:r>
      <w:r w:rsidR="00E47D57" w:rsidRPr="002E666C">
        <w:rPr>
          <w:i/>
          <w:iCs/>
        </w:rPr>
        <w:t>Tirado</w:t>
      </w:r>
      <w:r w:rsidR="00E47D57" w:rsidRPr="002E666C">
        <w:t>.</w:t>
      </w:r>
      <w:r w:rsidR="00A234CD" w:rsidRPr="002E666C">
        <w:t xml:space="preserve">  The People argue that </w:t>
      </w:r>
      <w:r w:rsidR="00A234CD" w:rsidRPr="002E666C">
        <w:rPr>
          <w:i/>
          <w:iCs/>
        </w:rPr>
        <w:t>Tirado</w:t>
      </w:r>
      <w:r w:rsidR="00A234CD" w:rsidRPr="002E666C">
        <w:t xml:space="preserve"> only authorizes a trial court to impose uncharged lesser enhancements included within</w:t>
      </w:r>
      <w:r w:rsidR="00BE2E79" w:rsidRPr="002E666C">
        <w:t xml:space="preserve"> section 12022.53, so it does not apply here.  </w:t>
      </w:r>
      <w:r w:rsidR="00DA3AD5" w:rsidRPr="002E666C">
        <w:t>Defendants disagree.</w:t>
      </w:r>
    </w:p>
    <w:p w14:paraId="62EFCCE3" w14:textId="1DB3DF60" w:rsidR="00400D9B" w:rsidRDefault="00976E79" w:rsidP="00100A6B">
      <w:pPr>
        <w:ind w:firstLine="720"/>
      </w:pPr>
      <w:r w:rsidRPr="002E666C">
        <w:t>W</w:t>
      </w:r>
      <w:r w:rsidR="00A3597D" w:rsidRPr="002E666C">
        <w:t>e</w:t>
      </w:r>
      <w:r w:rsidRPr="002E666C">
        <w:t xml:space="preserve"> also</w:t>
      </w:r>
      <w:r w:rsidR="00A3597D" w:rsidRPr="002E666C">
        <w:t xml:space="preserve"> asked </w:t>
      </w:r>
      <w:r w:rsidR="00370AD5" w:rsidRPr="002E666C">
        <w:t>the parties</w:t>
      </w:r>
      <w:r w:rsidR="00A3597D" w:rsidRPr="002E666C">
        <w:t xml:space="preserve"> to submit supplemental briefing on the effect of Senate Bill No. 567 (Senate Bill 567) (202</w:t>
      </w:r>
      <w:r w:rsidR="009D1A72" w:rsidRPr="002E666C">
        <w:t>1</w:t>
      </w:r>
      <w:r w:rsidR="00A3597D" w:rsidRPr="002E666C">
        <w:t>–202</w:t>
      </w:r>
      <w:r w:rsidR="009D1A72" w:rsidRPr="002E666C">
        <w:t>2</w:t>
      </w:r>
      <w:r w:rsidR="00A3597D" w:rsidRPr="002E666C">
        <w:t xml:space="preserve"> Reg. Sess.)</w:t>
      </w:r>
      <w:r w:rsidR="008675FC" w:rsidRPr="002E666C">
        <w:t xml:space="preserve"> on </w:t>
      </w:r>
      <w:r w:rsidR="00370AD5" w:rsidRPr="002E666C">
        <w:t>defendants’</w:t>
      </w:r>
      <w:r w:rsidR="008675FC" w:rsidRPr="002E666C">
        <w:t xml:space="preserve"> sentence</w:t>
      </w:r>
      <w:r w:rsidR="00370AD5" w:rsidRPr="002E666C">
        <w:t>s</w:t>
      </w:r>
      <w:r w:rsidR="00E47D57" w:rsidRPr="002E666C">
        <w:t xml:space="preserve">, which </w:t>
      </w:r>
      <w:r w:rsidR="00370AD5" w:rsidRPr="002E666C">
        <w:t>they</w:t>
      </w:r>
      <w:r w:rsidR="00E47D57" w:rsidRPr="002E666C">
        <w:t xml:space="preserve"> have done.</w:t>
      </w:r>
      <w:r w:rsidRPr="002E666C">
        <w:t xml:space="preserve">  </w:t>
      </w:r>
      <w:r w:rsidR="00BC37CB" w:rsidRPr="002E666C">
        <w:t xml:space="preserve">The </w:t>
      </w:r>
      <w:r w:rsidR="002E4379" w:rsidRPr="002E666C">
        <w:t>People concede</w:t>
      </w:r>
      <w:r w:rsidR="00BC37CB" w:rsidRPr="002E666C">
        <w:t xml:space="preserve"> that Senate Bill 567 applies retroactively to this case but argue that </w:t>
      </w:r>
      <w:r w:rsidR="002E4379" w:rsidRPr="002E666C">
        <w:t>remand is not warranted.  Again, defendant</w:t>
      </w:r>
      <w:r w:rsidR="003E14CF" w:rsidRPr="002E666C">
        <w:t>s</w:t>
      </w:r>
      <w:r w:rsidR="002E4379" w:rsidRPr="002E666C">
        <w:t xml:space="preserve"> disagree.</w:t>
      </w:r>
    </w:p>
    <w:p w14:paraId="6C840C8B" w14:textId="550C625F" w:rsidR="00501309" w:rsidRPr="007D5174" w:rsidRDefault="00501309" w:rsidP="00100A6B">
      <w:pPr>
        <w:pStyle w:val="ListParagraph"/>
        <w:keepNext/>
        <w:keepLines/>
        <w:numPr>
          <w:ilvl w:val="0"/>
          <w:numId w:val="14"/>
        </w:numPr>
        <w:ind w:left="360"/>
        <w:rPr>
          <w:i/>
          <w:iCs/>
        </w:rPr>
      </w:pPr>
      <w:r w:rsidRPr="007D5174">
        <w:rPr>
          <w:i/>
          <w:iCs/>
        </w:rPr>
        <w:lastRenderedPageBreak/>
        <w:t>Tresvant’s Competency to Stand Trial</w:t>
      </w:r>
    </w:p>
    <w:p w14:paraId="6CC55F69" w14:textId="6A241430" w:rsidR="00F14DFC" w:rsidRDefault="00EB25FC" w:rsidP="00100A6B">
      <w:pPr>
        <w:keepNext/>
        <w:keepLines/>
        <w:ind w:firstLine="720"/>
      </w:pPr>
      <w:r>
        <w:t xml:space="preserve">Before trial </w:t>
      </w:r>
      <w:r w:rsidR="0009040A">
        <w:t xml:space="preserve">commenced </w:t>
      </w:r>
      <w:r>
        <w:t xml:space="preserve">for all defendants, </w:t>
      </w:r>
      <w:r w:rsidR="00F14DFC">
        <w:t xml:space="preserve">Tresvant’s counsel expressed </w:t>
      </w:r>
      <w:r w:rsidR="009F028E">
        <w:t xml:space="preserve">doubt </w:t>
      </w:r>
      <w:r w:rsidR="00F14DFC">
        <w:t>about Tresvant’s competency</w:t>
      </w:r>
      <w:r w:rsidR="009F028E">
        <w:t>,</w:t>
      </w:r>
      <w:r w:rsidR="00F14DFC">
        <w:t xml:space="preserve"> </w:t>
      </w:r>
      <w:r w:rsidR="009F028E">
        <w:t>because</w:t>
      </w:r>
      <w:r w:rsidR="00F14DFC">
        <w:t xml:space="preserve"> Tresvant </w:t>
      </w:r>
      <w:r w:rsidR="009F028E">
        <w:t xml:space="preserve">had made statements </w:t>
      </w:r>
      <w:r w:rsidR="00F14DFC">
        <w:t>to counsel about the presence of FBI agents and people with a third eye in her cell.  The trial court suspended proceedings</w:t>
      </w:r>
      <w:r w:rsidR="00CE00E8">
        <w:t xml:space="preserve"> as to Tresvant</w:t>
      </w:r>
      <w:r w:rsidR="00F14DFC">
        <w:t xml:space="preserve">.  After Tresvant was examined by court-appointed medical professionals for the defense and the prosecution, </w:t>
      </w:r>
      <w:r w:rsidR="00514511">
        <w:t xml:space="preserve">the court held </w:t>
      </w:r>
      <w:r w:rsidR="00F14DFC">
        <w:t>a competency trial</w:t>
      </w:r>
      <w:r w:rsidR="002B7338">
        <w:t xml:space="preserve"> before a jury</w:t>
      </w:r>
      <w:r w:rsidR="00F14DFC" w:rsidRPr="00750181">
        <w:t>.</w:t>
      </w:r>
      <w:r w:rsidR="00F14DFC">
        <w:t xml:space="preserve"> </w:t>
      </w:r>
    </w:p>
    <w:p w14:paraId="679A22C9" w14:textId="19C66182" w:rsidR="00F14DFC" w:rsidRPr="00E65770" w:rsidRDefault="00F14DFC" w:rsidP="00100A6B">
      <w:pPr>
        <w:pStyle w:val="ListParagraph"/>
        <w:keepNext/>
        <w:keepLines/>
        <w:numPr>
          <w:ilvl w:val="0"/>
          <w:numId w:val="19"/>
        </w:numPr>
        <w:rPr>
          <w:i/>
          <w:iCs/>
        </w:rPr>
      </w:pPr>
      <w:r w:rsidRPr="007D5174">
        <w:rPr>
          <w:i/>
          <w:iCs/>
        </w:rPr>
        <w:t>Defense Evidence</w:t>
      </w:r>
    </w:p>
    <w:p w14:paraId="6AEA41F8" w14:textId="640AB4C8" w:rsidR="00F14DFC" w:rsidRDefault="00F14DFC" w:rsidP="00100A6B">
      <w:pPr>
        <w:ind w:firstLine="720"/>
      </w:pPr>
      <w:r>
        <w:t xml:space="preserve">The defense presented one witness, Dr. William </w:t>
      </w:r>
      <w:r w:rsidR="003D48A7">
        <w:t xml:space="preserve">H. </w:t>
      </w:r>
      <w:r>
        <w:t>Jones, Ph</w:t>
      </w:r>
      <w:r w:rsidR="003D48A7">
        <w:t>.</w:t>
      </w:r>
      <w:r>
        <w:t>D</w:t>
      </w:r>
      <w:r w:rsidR="003D48A7">
        <w:t>.</w:t>
      </w:r>
      <w:r>
        <w:t>, a court-appointed clinical psychologist who</w:t>
      </w:r>
      <w:r w:rsidR="002B7338">
        <w:t xml:space="preserve"> in October 2018</w:t>
      </w:r>
      <w:r>
        <w:t xml:space="preserve"> had </w:t>
      </w:r>
      <w:r w:rsidR="002B7338">
        <w:t xml:space="preserve">conducted a 90-minute evaluation of Tresvant for </w:t>
      </w:r>
      <w:r>
        <w:t xml:space="preserve">competency.  </w:t>
      </w:r>
      <w:r w:rsidR="00295C2A">
        <w:t xml:space="preserve">Dr. Jones reviewed Tresvant’s police records but did not review her mental health records from jail or her childhood medical records.  </w:t>
      </w:r>
      <w:r>
        <w:t xml:space="preserve">He questioned Tresvant about her family, education, relationships, employment history, medical history, and psychiatric history.  He also asked Tresvant questions designed to elicit information about her psychological functioning, how she thinks, and whether she was experiencing symptoms of emotional distress. </w:t>
      </w:r>
      <w:r w:rsidR="00E65770">
        <w:t xml:space="preserve"> </w:t>
      </w:r>
      <w:r w:rsidR="002B7338">
        <w:t>He further</w:t>
      </w:r>
      <w:r>
        <w:t xml:space="preserve"> questioned Tresvant about </w:t>
      </w:r>
      <w:bookmarkStart w:id="3" w:name="dabmq_0"/>
      <w:r>
        <w:t>“her understanding of the courtroom proceedings</w:t>
      </w:r>
      <w:r w:rsidR="002B7338">
        <w:t>,</w:t>
      </w:r>
      <w:r>
        <w:t>”</w:t>
      </w:r>
      <w:bookmarkEnd w:id="3"/>
      <w:r>
        <w:t xml:space="preserve"> </w:t>
      </w:r>
      <w:r w:rsidR="002B7338">
        <w:t>and he believed</w:t>
      </w:r>
      <w:r>
        <w:t xml:space="preserve"> that Tresvant “appear</w:t>
      </w:r>
      <w:r w:rsidR="002B5180">
        <w:t>[</w:t>
      </w:r>
      <w:r>
        <w:t>ed</w:t>
      </w:r>
      <w:r w:rsidR="002B5180">
        <w:t>]</w:t>
      </w:r>
      <w:r>
        <w:t xml:space="preserve"> to understand</w:t>
      </w:r>
      <w:r w:rsidR="002B5180">
        <w:t>”</w:t>
      </w:r>
      <w:r>
        <w:t xml:space="preserve"> that the purpose of the evaluation was to determine her competency.</w:t>
      </w:r>
    </w:p>
    <w:p w14:paraId="37F1A6A1" w14:textId="22D52B10" w:rsidR="00F14DFC" w:rsidRDefault="00F14DFC" w:rsidP="00100A6B">
      <w:r>
        <w:tab/>
        <w:t xml:space="preserve">Tresvant reported that as a child she had been treated for unspecified mental health issues.  When she was interviewed, Tresvant was taking two types of antidepressant </w:t>
      </w:r>
      <w:r>
        <w:lastRenderedPageBreak/>
        <w:t>medications.  Tresvant reported that she was experiencing auditory and visual hallucinations and that she had heard hallucinated voices since childhood</w:t>
      </w:r>
      <w:r w:rsidR="00617A25">
        <w:t xml:space="preserve"> but had not heard any hallucinated voices after she started taking medication in jail</w:t>
      </w:r>
      <w:r>
        <w:t xml:space="preserve">.  </w:t>
      </w:r>
      <w:r w:rsidR="00617A25">
        <w:t>She claimed that</w:t>
      </w:r>
      <w:r>
        <w:t xml:space="preserve"> the hallucinated voices distracted her and influenced her behavior.  Dr. Jones did not test Tresvant to determine if she was malingerin</w:t>
      </w:r>
      <w:r w:rsidR="00617A25">
        <w:t xml:space="preserve">g and </w:t>
      </w:r>
      <w:r>
        <w:t xml:space="preserve">did not consider </w:t>
      </w:r>
      <w:r w:rsidR="00617A25">
        <w:t>the inconsistencies in her interview</w:t>
      </w:r>
      <w:r>
        <w:t xml:space="preserve"> sufficient to conclude that </w:t>
      </w:r>
      <w:r w:rsidR="00617A25">
        <w:t>she was malingering</w:t>
      </w:r>
      <w:r>
        <w:t>.</w:t>
      </w:r>
    </w:p>
    <w:p w14:paraId="4C9238BE" w14:textId="66E1BC1C" w:rsidR="00F14DFC" w:rsidRPr="00697627" w:rsidRDefault="00F14DFC" w:rsidP="00100A6B">
      <w:pPr>
        <w:ind w:firstLine="720"/>
      </w:pPr>
      <w:r>
        <w:t>On the basis of his 90-minute evaluation of Tresvant, Dr. Jones concluded and summarized in a written report that Tresvant suffered from paranoid schizophrenia</w:t>
      </w:r>
      <w:r w:rsidR="00617A25">
        <w:t>,</w:t>
      </w:r>
      <w:r>
        <w:t xml:space="preserve"> was not competent to stand trial</w:t>
      </w:r>
      <w:r w:rsidR="00617A25">
        <w:t>,</w:t>
      </w:r>
      <w:r>
        <w:t xml:space="preserve"> and would not be able to assist her attorney in presenting a defense.</w:t>
      </w:r>
      <w:r w:rsidRPr="00697627">
        <w:t xml:space="preserve">  </w:t>
      </w:r>
    </w:p>
    <w:p w14:paraId="3F533266" w14:textId="2B59F967" w:rsidR="00030802" w:rsidRDefault="00F14DFC" w:rsidP="00100A6B">
      <w:r>
        <w:tab/>
        <w:t xml:space="preserve">On cross-examination, Dr. Jones testified that after preparing the report he changed his opinion about Tresvant’s competency to stand trial and whether she suffered from paranoid schizophrenia.  Before testifying, Dr. Jones reviewed Tresvant’s mental health records from jail and reports prepared by two other </w:t>
      </w:r>
      <w:r w:rsidR="007B2579">
        <w:t xml:space="preserve">mental health </w:t>
      </w:r>
      <w:r>
        <w:t xml:space="preserve">experts, </w:t>
      </w:r>
      <w:r w:rsidRPr="006F7B33">
        <w:t>Dr. David Walsh, Ph</w:t>
      </w:r>
      <w:r w:rsidR="00697627">
        <w:t>.</w:t>
      </w:r>
      <w:r w:rsidRPr="006F7B33">
        <w:t>D</w:t>
      </w:r>
      <w:r w:rsidR="00697627">
        <w:t>.</w:t>
      </w:r>
      <w:r w:rsidR="009F028E">
        <w:t>,</w:t>
      </w:r>
      <w:r w:rsidR="009F028E" w:rsidRPr="00B212DD">
        <w:t xml:space="preserve"> </w:t>
      </w:r>
      <w:r w:rsidR="007B2579">
        <w:t>and Dr. Michael E. Kania, Ph</w:t>
      </w:r>
      <w:r w:rsidR="00697627">
        <w:t>.</w:t>
      </w:r>
      <w:r w:rsidR="007B2579">
        <w:t>D</w:t>
      </w:r>
      <w:r w:rsidR="00697627">
        <w:t>.</w:t>
      </w:r>
      <w:r w:rsidR="009F028E">
        <w:t>,</w:t>
      </w:r>
      <w:r>
        <w:t xml:space="preserve"> who </w:t>
      </w:r>
      <w:r w:rsidR="007B2579">
        <w:t xml:space="preserve">had </w:t>
      </w:r>
      <w:r>
        <w:t xml:space="preserve">evaluated Tresvant before Dr. Jones.  </w:t>
      </w:r>
    </w:p>
    <w:p w14:paraId="37D5D220" w14:textId="6572948D" w:rsidR="009E346E" w:rsidRDefault="00030802" w:rsidP="00100A6B">
      <w:pPr>
        <w:ind w:firstLine="720"/>
      </w:pPr>
      <w:r>
        <w:t xml:space="preserve">In reviewing Tresvant’s medical records, </w:t>
      </w:r>
      <w:r w:rsidR="00F14DFC">
        <w:t xml:space="preserve">Dr. Jones learned that when Tresvant first spoke with mental health staff at jail </w:t>
      </w:r>
      <w:bookmarkStart w:id="4" w:name="dabmq_1"/>
      <w:r w:rsidR="00F14DFC">
        <w:t>“she did not report any voices.”</w:t>
      </w:r>
      <w:bookmarkEnd w:id="4"/>
      <w:r w:rsidR="00F14DFC">
        <w:t xml:space="preserve">  </w:t>
      </w:r>
      <w:r w:rsidR="0062643E">
        <w:t>Tresvant</w:t>
      </w:r>
      <w:r w:rsidR="00F14DFC">
        <w:t xml:space="preserve"> instead presented to </w:t>
      </w:r>
      <w:r w:rsidR="009212B8">
        <w:t>them</w:t>
      </w:r>
      <w:r w:rsidR="00F14DFC">
        <w:t xml:space="preserve"> as having anxiety and depression</w:t>
      </w:r>
      <w:r>
        <w:t xml:space="preserve"> and was diagnosed as suffering from </w:t>
      </w:r>
      <w:r w:rsidR="00D03AB6">
        <w:t>major depressive disorder</w:t>
      </w:r>
      <w:r w:rsidR="0062643E">
        <w:t xml:space="preserve"> of </w:t>
      </w:r>
      <w:r w:rsidR="009212B8">
        <w:t xml:space="preserve">an </w:t>
      </w:r>
      <w:r w:rsidR="0062643E">
        <w:t>unspecified degree—mild, moderate, or severe</w:t>
      </w:r>
      <w:r w:rsidR="00F14DFC">
        <w:t>.</w:t>
      </w:r>
      <w:r w:rsidR="00D03AB6">
        <w:t xml:space="preserve">  </w:t>
      </w:r>
      <w:r w:rsidR="00F14DFC">
        <w:t xml:space="preserve">Dr. Jones noted that </w:t>
      </w:r>
      <w:bookmarkStart w:id="5" w:name="dabmq_2"/>
      <w:r w:rsidR="00F14DFC">
        <w:t xml:space="preserve">“[t]here’s a type of severe depression in which a person may </w:t>
      </w:r>
      <w:r w:rsidR="00F14DFC">
        <w:lastRenderedPageBreak/>
        <w:t>hear hallucinated voices, but that was not indicated in [Tresvant’s] records.”</w:t>
      </w:r>
      <w:bookmarkEnd w:id="5"/>
      <w:r w:rsidR="009E346E">
        <w:t xml:space="preserve">  </w:t>
      </w:r>
      <w:r w:rsidR="00D03AB6">
        <w:t>In addition, it is possible that s</w:t>
      </w:r>
      <w:r w:rsidR="00006A1A">
        <w:t>omeone</w:t>
      </w:r>
      <w:r w:rsidR="009E346E">
        <w:t xml:space="preserve"> </w:t>
      </w:r>
      <w:r w:rsidR="00D03AB6">
        <w:t>suffering from</w:t>
      </w:r>
      <w:r w:rsidR="009E346E">
        <w:t xml:space="preserve"> severe major depressive disorder </w:t>
      </w:r>
      <w:r w:rsidR="009E346E" w:rsidRPr="00D03AB6">
        <w:t xml:space="preserve">could </w:t>
      </w:r>
      <w:r w:rsidR="009E346E">
        <w:t>suffer from hallucinations</w:t>
      </w:r>
      <w:r w:rsidR="00006A1A">
        <w:t>,</w:t>
      </w:r>
      <w:r w:rsidR="009E346E">
        <w:t xml:space="preserve"> </w:t>
      </w:r>
      <w:r w:rsidR="00006A1A">
        <w:t>and</w:t>
      </w:r>
      <w:r w:rsidR="009E346E">
        <w:t xml:space="preserve"> </w:t>
      </w:r>
      <w:bookmarkStart w:id="6" w:name="dabmq_3"/>
      <w:r w:rsidR="009E346E">
        <w:t>“depression, in some cases, could make a person incompetent.”</w:t>
      </w:r>
      <w:bookmarkEnd w:id="6"/>
    </w:p>
    <w:p w14:paraId="1AED5CE5" w14:textId="22DE2719" w:rsidR="009B348A" w:rsidRDefault="009212B8" w:rsidP="00100A6B">
      <w:pPr>
        <w:ind w:firstLine="720"/>
      </w:pPr>
      <w:r>
        <w:t>A few weeks</w:t>
      </w:r>
      <w:r w:rsidR="00F14DFC">
        <w:t xml:space="preserve"> before Dr. Jones evaluated Tresvant, Dr. Walsh evaluated her and reported that Tresvant </w:t>
      </w:r>
      <w:bookmarkStart w:id="7" w:name="dabmq_4"/>
      <w:r w:rsidR="00F14DFC">
        <w:t>“did not endorse or exhibit any symptoms of psychosis, mania, panic or intoxication.”</w:t>
      </w:r>
      <w:bookmarkEnd w:id="7"/>
      <w:r w:rsidR="00F14DFC">
        <w:t xml:space="preserve">  In reviewing the reports of Drs. Walsh and </w:t>
      </w:r>
      <w:r w:rsidR="00F14DFC" w:rsidRPr="009212B8">
        <w:t>Kania</w:t>
      </w:r>
      <w:r w:rsidR="00F14DFC">
        <w:t>, Dr. Jones was struck by the fact that Tresvant</w:t>
      </w:r>
      <w:r>
        <w:t xml:space="preserve"> had</w:t>
      </w:r>
      <w:r w:rsidR="00F14DFC">
        <w:t xml:space="preserve"> reported hallucinations to one of those doctors and not to the other.  </w:t>
      </w:r>
      <w:r w:rsidR="009B348A">
        <w:t xml:space="preserve">Having reviewed the additional material about Tresvant’s mental health, Dr. Jones reflected on cross-examination about how some of Tresvant’s claims of auditory and visual hallucinations to him had been “unusual” or “odd” and were not of the </w:t>
      </w:r>
      <w:r w:rsidR="00316280">
        <w:t xml:space="preserve">kind </w:t>
      </w:r>
      <w:r w:rsidR="009B348A">
        <w:t>typical</w:t>
      </w:r>
      <w:r w:rsidR="00316280">
        <w:t>ly</w:t>
      </w:r>
      <w:r w:rsidR="009B348A">
        <w:t xml:space="preserve"> reported by individuals suffering from paranoid schizophrenia.  Tresvant’s volunteering that the voices </w:t>
      </w:r>
      <w:bookmarkStart w:id="8" w:name="dabmq_5"/>
      <w:r w:rsidR="009B348A">
        <w:t>“never instructed her to hurt anybody else”</w:t>
      </w:r>
      <w:bookmarkEnd w:id="8"/>
      <w:r w:rsidR="009B348A">
        <w:t xml:space="preserve"> also was atypical, but </w:t>
      </w:r>
      <w:r>
        <w:t xml:space="preserve">he noted that </w:t>
      </w:r>
      <w:r w:rsidR="009B348A">
        <w:t xml:space="preserve">inmates who express that they might hurt someone else are housed differently in jail. </w:t>
      </w:r>
    </w:p>
    <w:p w14:paraId="30AC2A87" w14:textId="7F148F9B" w:rsidR="00F14DFC" w:rsidRDefault="009B348A" w:rsidP="00100A6B">
      <w:pPr>
        <w:ind w:firstLine="720"/>
      </w:pPr>
      <w:r>
        <w:t>Given</w:t>
      </w:r>
      <w:r w:rsidR="00F14DFC">
        <w:t xml:space="preserve"> the varia</w:t>
      </w:r>
      <w:r w:rsidR="00316280">
        <w:t>tion in</w:t>
      </w:r>
      <w:r w:rsidR="00F14DFC">
        <w:t xml:space="preserve"> Tresvant’s </w:t>
      </w:r>
      <w:r w:rsidR="00316280">
        <w:t xml:space="preserve">reports </w:t>
      </w:r>
      <w:r w:rsidR="00F14DFC">
        <w:t>of hallucinations, Dr. Jones found his conclusion that Tresvant experienced hallucinations to be “more questionable.”  On the basis of the inconsistent reporting of hallucinations to Drs. Walsh and Kania and to mental health staff</w:t>
      </w:r>
      <w:r w:rsidR="00295C2A">
        <w:t xml:space="preserve"> at jail</w:t>
      </w:r>
      <w:r w:rsidR="00F14DFC">
        <w:t xml:space="preserve">, Dr. Jones reported that he had become </w:t>
      </w:r>
      <w:bookmarkStart w:id="9" w:name="dabmq_6"/>
      <w:r w:rsidR="00F14DFC">
        <w:t>“doubtful about the schizophrenia conclusion,”</w:t>
      </w:r>
      <w:bookmarkEnd w:id="9"/>
      <w:r w:rsidR="00F14DFC">
        <w:t xml:space="preserve"> thinking it was “probably not correct.”  Dr. Jones opined that Tresvant suffered instead from depression and anxiety.  He doubted that Tresvant’s responses to him </w:t>
      </w:r>
      <w:r w:rsidR="00316280">
        <w:t>were</w:t>
      </w:r>
      <w:r w:rsidR="00F14DFC">
        <w:t xml:space="preserve"> accurate.  On the basis of </w:t>
      </w:r>
      <w:bookmarkStart w:id="10" w:name="dabmq_7"/>
      <w:r w:rsidR="00F14DFC">
        <w:t>“all the new information”</w:t>
      </w:r>
      <w:bookmarkEnd w:id="10"/>
      <w:r w:rsidR="00F14DFC">
        <w:t xml:space="preserve"> he had </w:t>
      </w:r>
      <w:r w:rsidR="00F14DFC">
        <w:lastRenderedPageBreak/>
        <w:t xml:space="preserve">obtained and reviewed, Dr. Jones opined that a </w:t>
      </w:r>
      <w:bookmarkStart w:id="11" w:name="dabmq_8"/>
      <w:r w:rsidR="00F14DFC">
        <w:t>“preponderance of the evidence supported”</w:t>
      </w:r>
      <w:bookmarkEnd w:id="11"/>
      <w:r w:rsidR="00F14DFC">
        <w:t xml:space="preserve"> </w:t>
      </w:r>
      <w:r w:rsidR="00316280">
        <w:t xml:space="preserve">the conclusion </w:t>
      </w:r>
      <w:r w:rsidR="00F14DFC">
        <w:t>that Tresvant was competent to stand trial.</w:t>
      </w:r>
    </w:p>
    <w:p w14:paraId="6F79F2E4" w14:textId="3E1E96B0" w:rsidR="00F14DFC" w:rsidRPr="007D5174" w:rsidRDefault="00F14DFC" w:rsidP="00100A6B">
      <w:pPr>
        <w:pStyle w:val="ListParagraph"/>
        <w:keepNext/>
        <w:keepLines/>
        <w:numPr>
          <w:ilvl w:val="0"/>
          <w:numId w:val="19"/>
        </w:numPr>
        <w:rPr>
          <w:i/>
          <w:iCs/>
        </w:rPr>
      </w:pPr>
      <w:r w:rsidRPr="007D5174">
        <w:rPr>
          <w:i/>
          <w:iCs/>
        </w:rPr>
        <w:t>Directed Verdict Motion</w:t>
      </w:r>
    </w:p>
    <w:p w14:paraId="4DC5B8F1" w14:textId="7E51E443" w:rsidR="006F79CF" w:rsidRPr="00697627" w:rsidRDefault="00F14DFC" w:rsidP="00100A6B">
      <w:pPr>
        <w:ind w:firstLine="720"/>
      </w:pPr>
      <w:r>
        <w:t xml:space="preserve">Following </w:t>
      </w:r>
      <w:r w:rsidR="006D0D1C">
        <w:t>the defense</w:t>
      </w:r>
      <w:r>
        <w:t xml:space="preserve"> case, the prosecutor orally moved for a directed verdict, arguing that there was not </w:t>
      </w:r>
      <w:bookmarkStart w:id="12" w:name="dabmq_9"/>
      <w:r w:rsidR="00697627">
        <w:t>“</w:t>
      </w:r>
      <w:r>
        <w:t>sufficient evidence to sustain a jury to find, even by a preponderance of the evidence, that the defendant is incompetent.”</w:t>
      </w:r>
      <w:bookmarkEnd w:id="12"/>
      <w:r>
        <w:t xml:space="preserve">  The court entertained argument from both parties and reserved ruling on the motion until after hearing the prosecution</w:t>
      </w:r>
      <w:r w:rsidR="00461BC7">
        <w:t>’s evidence</w:t>
      </w:r>
      <w:r>
        <w:t xml:space="preserve">.  </w:t>
      </w:r>
    </w:p>
    <w:p w14:paraId="03AB1832" w14:textId="708F4AED" w:rsidR="00F14DFC" w:rsidRDefault="00F14DFC" w:rsidP="00100A6B">
      <w:pPr>
        <w:pStyle w:val="ListParagraph"/>
        <w:keepNext/>
        <w:keepLines/>
        <w:numPr>
          <w:ilvl w:val="0"/>
          <w:numId w:val="19"/>
        </w:numPr>
      </w:pPr>
      <w:r w:rsidRPr="007D5174">
        <w:rPr>
          <w:i/>
          <w:iCs/>
        </w:rPr>
        <w:t>Prosecution Evidence</w:t>
      </w:r>
    </w:p>
    <w:p w14:paraId="55CBF22E" w14:textId="324759FD" w:rsidR="00F14DFC" w:rsidRPr="004B7CF6" w:rsidRDefault="00F14DFC" w:rsidP="00100A6B">
      <w:r>
        <w:tab/>
        <w:t>The prosecution called three witnesses</w:t>
      </w:r>
      <w:r w:rsidR="002C0721">
        <w:t xml:space="preserve">:  Dr. Walsh and </w:t>
      </w:r>
      <w:r>
        <w:t>two deputy probation officers who had interacted with Tresvant in juvenile hall.  Dr. Walsh opined that Tresvant was competent to stand trial</w:t>
      </w:r>
      <w:r w:rsidR="002C0721">
        <w:t>,</w:t>
      </w:r>
      <w:r>
        <w:t xml:space="preserve"> and </w:t>
      </w:r>
      <w:r w:rsidR="002C0721">
        <w:t xml:space="preserve">Dr. Walsh </w:t>
      </w:r>
      <w:r>
        <w:t xml:space="preserve">did not believe </w:t>
      </w:r>
      <w:r w:rsidR="006F79CF">
        <w:t xml:space="preserve">that </w:t>
      </w:r>
      <w:r w:rsidR="002C0721">
        <w:t xml:space="preserve">Tresvant </w:t>
      </w:r>
      <w:r>
        <w:t xml:space="preserve">suffered from any mental illness, including paranoid schizophrenia.  Tresvant did not exhibit </w:t>
      </w:r>
      <w:bookmarkStart w:id="13" w:name="dabmq_10"/>
      <w:r>
        <w:t>“any outward symptoms of mental illness,”</w:t>
      </w:r>
      <w:bookmarkEnd w:id="13"/>
      <w:r>
        <w:t xml:space="preserve"> psychosis, panic, or intoxication.  Dr. Walsh believed that Tresvant was being voluntarily evasive, a </w:t>
      </w:r>
      <w:r w:rsidR="002C0721">
        <w:t xml:space="preserve">conclusion </w:t>
      </w:r>
      <w:r>
        <w:t xml:space="preserve">he did not </w:t>
      </w:r>
      <w:r w:rsidR="002C0721">
        <w:t xml:space="preserve">reach </w:t>
      </w:r>
      <w:r>
        <w:t xml:space="preserve">lightly, and that any </w:t>
      </w:r>
      <w:r w:rsidR="002C0721">
        <w:t xml:space="preserve">symptoms of </w:t>
      </w:r>
      <w:r>
        <w:t xml:space="preserve">impairment she </w:t>
      </w:r>
      <w:r w:rsidR="00450F6E">
        <w:t xml:space="preserve">might have been </w:t>
      </w:r>
      <w:r>
        <w:t xml:space="preserve">displaying </w:t>
      </w:r>
      <w:r w:rsidR="00450F6E">
        <w:t xml:space="preserve">resulted from </w:t>
      </w:r>
      <w:r>
        <w:t>“an intentional strategy” and</w:t>
      </w:r>
      <w:r w:rsidR="00450F6E">
        <w:t xml:space="preserve"> were</w:t>
      </w:r>
      <w:r>
        <w:t xml:space="preserve"> </w:t>
      </w:r>
      <w:bookmarkStart w:id="14" w:name="dabmq_11"/>
      <w:r>
        <w:t>“not due to mental illness.”</w:t>
      </w:r>
      <w:bookmarkEnd w:id="14"/>
      <w:r>
        <w:t xml:space="preserve">  </w:t>
      </w:r>
      <w:r w:rsidR="00B32447">
        <w:t>Dr. Walsh knew that Tresvant was</w:t>
      </w:r>
      <w:r w:rsidR="002537E8">
        <w:t xml:space="preserve"> taking </w:t>
      </w:r>
      <w:r w:rsidR="00B32447">
        <w:t>antidepressant medication, which he explained is “relatively common” in jail.</w:t>
      </w:r>
    </w:p>
    <w:p w14:paraId="5F243A2C" w14:textId="084204AA" w:rsidR="00F14DFC" w:rsidRPr="00965CBF" w:rsidRDefault="0035101C" w:rsidP="00100A6B">
      <w:pPr>
        <w:ind w:firstLine="720"/>
      </w:pPr>
      <w:r>
        <w:t>In May 2017, a</w:t>
      </w:r>
      <w:r w:rsidRPr="00450F6E">
        <w:t xml:space="preserve">pproximately one month after the offenses </w:t>
      </w:r>
      <w:r w:rsidR="002C0721">
        <w:t>were</w:t>
      </w:r>
      <w:r w:rsidRPr="00450F6E">
        <w:t xml:space="preserve"> committed, </w:t>
      </w:r>
      <w:r w:rsidR="00F14DFC">
        <w:t xml:space="preserve">Deputy Probation Officer Colin Villiers interviewed Tresvant for the purpose of </w:t>
      </w:r>
      <w:r w:rsidR="00F14DFC">
        <w:lastRenderedPageBreak/>
        <w:t xml:space="preserve">preparing a juvenile fitness hearing report.  Officer Villiers questioned Tresvant about her mental health history, and </w:t>
      </w:r>
      <w:r w:rsidR="000978D4">
        <w:t>Tresvant</w:t>
      </w:r>
      <w:r w:rsidR="00F14DFC">
        <w:t xml:space="preserve"> said that she had never had any mental health treatment or counseling or been prescribed any psychotropic medication.  She </w:t>
      </w:r>
      <w:bookmarkStart w:id="15" w:name="dabmq_12"/>
      <w:r w:rsidR="00F14DFC">
        <w:t>“did not believe she needed counseling.”</w:t>
      </w:r>
      <w:bookmarkEnd w:id="15"/>
      <w:r w:rsidR="00F14DFC">
        <w:t xml:space="preserve">  Tresvant seemed </w:t>
      </w:r>
      <w:r w:rsidR="004B7CF6">
        <w:t>“</w:t>
      </w:r>
      <w:r w:rsidR="00F14DFC">
        <w:t xml:space="preserve">quite bright,” </w:t>
      </w:r>
      <w:bookmarkStart w:id="16" w:name="dabmq_13"/>
      <w:r w:rsidR="00F14DFC">
        <w:t>“pleasant, attentive, funny, [and] engaging.”</w:t>
      </w:r>
      <w:bookmarkEnd w:id="16"/>
      <w:r w:rsidR="00F14DFC">
        <w:t xml:space="preserve">  Supervising Probation Officer Todd Hough testified </w:t>
      </w:r>
      <w:r w:rsidR="00FD1E2B">
        <w:t xml:space="preserve">in 2017 </w:t>
      </w:r>
      <w:r w:rsidR="00F14DFC">
        <w:t>that while Tresvant was housed at the juvenile hall where he worked</w:t>
      </w:r>
      <w:r w:rsidR="000978D4">
        <w:t>,</w:t>
      </w:r>
      <w:r w:rsidR="00F14DFC">
        <w:t xml:space="preserve"> Tresvant</w:t>
      </w:r>
      <w:r w:rsidR="000978D4">
        <w:t xml:space="preserve"> was </w:t>
      </w:r>
      <w:bookmarkStart w:id="17" w:name="dabmq_14"/>
      <w:r w:rsidR="000978D4">
        <w:t>“</w:t>
      </w:r>
      <w:r w:rsidR="00F14DFC">
        <w:t>one of [the] top youth in the unit,</w:t>
      </w:r>
      <w:r w:rsidR="000978D4">
        <w:t>”</w:t>
      </w:r>
      <w:bookmarkEnd w:id="17"/>
      <w:r w:rsidR="000978D4">
        <w:t xml:space="preserve"> </w:t>
      </w:r>
      <w:r w:rsidR="00FD1E2B">
        <w:t>where</w:t>
      </w:r>
      <w:r w:rsidR="000978D4">
        <w:t xml:space="preserve"> she was considered a leader, was </w:t>
      </w:r>
      <w:r w:rsidR="00F14DFC">
        <w:t xml:space="preserve"> </w:t>
      </w:r>
      <w:bookmarkStart w:id="18" w:name="dabmq_15"/>
      <w:r w:rsidR="000978D4">
        <w:t>“</w:t>
      </w:r>
      <w:r w:rsidR="00F14DFC">
        <w:t>very respectful to staff,</w:t>
      </w:r>
      <w:r w:rsidR="000978D4">
        <w:t>”</w:t>
      </w:r>
      <w:bookmarkEnd w:id="18"/>
      <w:r w:rsidR="000978D4">
        <w:t xml:space="preserve"> </w:t>
      </w:r>
      <w:r w:rsidR="00F55042">
        <w:t>interacted well with her peers, and did well in school.</w:t>
      </w:r>
      <w:r w:rsidR="00F14DFC">
        <w:t xml:space="preserve">  </w:t>
      </w:r>
    </w:p>
    <w:p w14:paraId="6C5895FA" w14:textId="500998F7" w:rsidR="00F14DFC" w:rsidRPr="007D5174" w:rsidRDefault="00F14DFC" w:rsidP="00100A6B">
      <w:pPr>
        <w:pStyle w:val="ListParagraph"/>
        <w:keepNext/>
        <w:keepLines/>
        <w:numPr>
          <w:ilvl w:val="0"/>
          <w:numId w:val="19"/>
        </w:numPr>
        <w:rPr>
          <w:i/>
          <w:iCs/>
        </w:rPr>
      </w:pPr>
      <w:r w:rsidRPr="007D5174">
        <w:rPr>
          <w:i/>
          <w:iCs/>
        </w:rPr>
        <w:t>Directed Verdict</w:t>
      </w:r>
      <w:r w:rsidR="00752A1F" w:rsidRPr="007D5174">
        <w:rPr>
          <w:i/>
          <w:iCs/>
        </w:rPr>
        <w:t xml:space="preserve"> on Competency</w:t>
      </w:r>
    </w:p>
    <w:p w14:paraId="4BA92264" w14:textId="5951169D" w:rsidR="00752A1F" w:rsidRDefault="00F55042" w:rsidP="00100A6B">
      <w:pPr>
        <w:ind w:firstLine="720"/>
      </w:pPr>
      <w:r>
        <w:t>After</w:t>
      </w:r>
      <w:r w:rsidR="00680F6C">
        <w:t xml:space="preserve"> hearing the prosecution’s evidence, </w:t>
      </w:r>
      <w:r w:rsidR="001A1B4A">
        <w:t xml:space="preserve">the court concluded that Tresvant had not carried her burden of demonstrating by a preponderance of the evidence that she was incompetent to stand trial.  Finding there to be no substantial evidence to support a verdict that Tresvant was incompetent, the court directed the verdict against Tresvant and found her to be competent.  </w:t>
      </w:r>
    </w:p>
    <w:p w14:paraId="265DB1B2" w14:textId="0D68F641" w:rsidR="00895F0A" w:rsidRPr="00C557F5" w:rsidRDefault="005041DE" w:rsidP="00100A6B">
      <w:pPr>
        <w:pStyle w:val="ListParagraph"/>
        <w:keepNext/>
        <w:keepLines/>
        <w:numPr>
          <w:ilvl w:val="0"/>
          <w:numId w:val="14"/>
        </w:numPr>
        <w:ind w:left="360"/>
        <w:rPr>
          <w:i/>
          <w:iCs/>
        </w:rPr>
      </w:pPr>
      <w:r w:rsidRPr="00C557F5">
        <w:rPr>
          <w:i/>
          <w:iCs/>
        </w:rPr>
        <w:t xml:space="preserve">Pretrial Mental Health Diversion </w:t>
      </w:r>
      <w:r w:rsidR="001E70F3">
        <w:rPr>
          <w:i/>
          <w:iCs/>
        </w:rPr>
        <w:t xml:space="preserve">and </w:t>
      </w:r>
      <w:r w:rsidR="00F14DFC" w:rsidRPr="00C557F5">
        <w:rPr>
          <w:i/>
          <w:iCs/>
        </w:rPr>
        <w:t xml:space="preserve">Tresvant’s </w:t>
      </w:r>
      <w:r w:rsidR="001D060C">
        <w:rPr>
          <w:i/>
          <w:iCs/>
        </w:rPr>
        <w:t>Guilty Plea</w:t>
      </w:r>
      <w:r w:rsidR="00505981">
        <w:rPr>
          <w:i/>
          <w:iCs/>
        </w:rPr>
        <w:t xml:space="preserve"> </w:t>
      </w:r>
      <w:r w:rsidR="001D060C">
        <w:rPr>
          <w:i/>
          <w:iCs/>
        </w:rPr>
        <w:t>and Sentencing</w:t>
      </w:r>
    </w:p>
    <w:p w14:paraId="451DCC80" w14:textId="5B648284" w:rsidR="00025D0F" w:rsidRDefault="004426A3" w:rsidP="00100A6B">
      <w:pPr>
        <w:ind w:firstLine="720"/>
      </w:pPr>
      <w:r>
        <w:t>A</w:t>
      </w:r>
      <w:r w:rsidR="008E77AA">
        <w:t xml:space="preserve">fter the trial court found Tresvant competent to stand trial, </w:t>
      </w:r>
      <w:r w:rsidR="00C557F5">
        <w:t>Tresvant</w:t>
      </w:r>
      <w:r w:rsidR="00395AC9">
        <w:t xml:space="preserve"> filed two motions </w:t>
      </w:r>
      <w:r w:rsidR="00C557F5">
        <w:t>for pretrial mental health diversion</w:t>
      </w:r>
      <w:r w:rsidR="00395AC9">
        <w:t xml:space="preserve"> on the </w:t>
      </w:r>
      <w:r w:rsidR="006642FA">
        <w:t>ground that she</w:t>
      </w:r>
      <w:r w:rsidR="00395AC9">
        <w:t xml:space="preserve"> </w:t>
      </w:r>
      <w:r w:rsidR="006642FA">
        <w:t xml:space="preserve">suffers </w:t>
      </w:r>
      <w:r w:rsidR="00395AC9">
        <w:t>from major depressive disorder</w:t>
      </w:r>
      <w:r w:rsidR="00C557F5">
        <w:t xml:space="preserve">.  </w:t>
      </w:r>
      <w:r w:rsidR="00752A1F">
        <w:t>The trial court</w:t>
      </w:r>
      <w:r w:rsidR="00F2704B">
        <w:t xml:space="preserve"> conducted a hearing on the </w:t>
      </w:r>
      <w:r w:rsidR="006642FA">
        <w:t xml:space="preserve">motions </w:t>
      </w:r>
      <w:r w:rsidR="00F2704B">
        <w:t>and</w:t>
      </w:r>
      <w:r w:rsidR="00752A1F">
        <w:t xml:space="preserve"> </w:t>
      </w:r>
      <w:r w:rsidR="005041DE">
        <w:t xml:space="preserve">found that Tresvant did not make a prima facie showing of </w:t>
      </w:r>
      <w:r w:rsidR="00025D0F">
        <w:t>two of the</w:t>
      </w:r>
      <w:r w:rsidR="005041DE">
        <w:t xml:space="preserve"> </w:t>
      </w:r>
      <w:r w:rsidR="00E102B8">
        <w:t xml:space="preserve">eligibility </w:t>
      </w:r>
      <w:r w:rsidR="005041DE">
        <w:t>requirements for diversion.</w:t>
      </w:r>
      <w:r w:rsidR="000104BB">
        <w:t xml:space="preserve"> </w:t>
      </w:r>
      <w:r w:rsidR="00025D0F">
        <w:t xml:space="preserve"> </w:t>
      </w:r>
    </w:p>
    <w:p w14:paraId="1193896C" w14:textId="569F6E30" w:rsidR="00B36306" w:rsidRPr="002E666C" w:rsidRDefault="00B36306" w:rsidP="00100A6B">
      <w:pPr>
        <w:ind w:firstLine="720"/>
      </w:pPr>
      <w:r>
        <w:lastRenderedPageBreak/>
        <w:t xml:space="preserve">Tresvant thereafter </w:t>
      </w:r>
      <w:r w:rsidR="00E102B8">
        <w:t xml:space="preserve">pled </w:t>
      </w:r>
      <w:r>
        <w:t>guilty to five counts of robbery</w:t>
      </w:r>
      <w:r w:rsidR="001E70F3">
        <w:t xml:space="preserve"> (</w:t>
      </w:r>
      <w:r w:rsidR="00513172">
        <w:t>for five separate</w:t>
      </w:r>
      <w:r w:rsidR="001E70F3">
        <w:t xml:space="preserve"> victim</w:t>
      </w:r>
      <w:r w:rsidR="00513172">
        <w:t>s</w:t>
      </w:r>
      <w:r w:rsidR="001E70F3">
        <w:t>)</w:t>
      </w:r>
      <w:r>
        <w:t xml:space="preserve"> and to </w:t>
      </w:r>
      <w:r w:rsidR="00513172">
        <w:t>one count</w:t>
      </w:r>
      <w:r>
        <w:t xml:space="preserve"> of recklessly evading an officer</w:t>
      </w:r>
      <w:r w:rsidR="00960A7F">
        <w:t>, and she</w:t>
      </w:r>
      <w:r>
        <w:t xml:space="preserve"> admitted as true that she personally used a firearm in committing each of the five robbery offenses.  (§§ 211,</w:t>
      </w:r>
      <w:r w:rsidR="00E102B8">
        <w:t xml:space="preserve"> </w:t>
      </w:r>
      <w:r>
        <w:t xml:space="preserve">12022.53(b), 1192.7, subd. (c)(8); </w:t>
      </w:r>
      <w:bookmarkStart w:id="19" w:name="dabmci_9791680adb124f5c8a2664db8c3ef0d0"/>
      <w:r>
        <w:t>Veh. Code, § 2800.2</w:t>
      </w:r>
      <w:bookmarkEnd w:id="19"/>
      <w:r>
        <w:t xml:space="preserve">.)  </w:t>
      </w:r>
      <w:r w:rsidR="003239C0" w:rsidRPr="002E666C">
        <w:t>Tresvant was</w:t>
      </w:r>
      <w:r w:rsidR="00DD545E" w:rsidRPr="002E666C">
        <w:t xml:space="preserve"> 17 years old when </w:t>
      </w:r>
      <w:r w:rsidR="005822D7" w:rsidRPr="002E666C">
        <w:t xml:space="preserve">she committed </w:t>
      </w:r>
      <w:r w:rsidR="00DD545E" w:rsidRPr="002E666C">
        <w:t xml:space="preserve">the offenses.  </w:t>
      </w:r>
      <w:r w:rsidR="005F0EC8" w:rsidRPr="002E666C">
        <w:t>In sentencing Tresvant, the court recognized that she was young, had no prior record</w:t>
      </w:r>
      <w:r w:rsidR="004D2EDE" w:rsidRPr="002E666C">
        <w:t>, had a difficult childhood</w:t>
      </w:r>
      <w:r w:rsidR="003A10C5" w:rsidRPr="002E666C">
        <w:t>, and pled guilty</w:t>
      </w:r>
      <w:r w:rsidR="004D2EDE" w:rsidRPr="002E666C">
        <w:t xml:space="preserve">.  </w:t>
      </w:r>
      <w:r w:rsidR="00E84CF4" w:rsidRPr="002E666C">
        <w:t xml:space="preserve">In considering Tresvant’s age, the court took into account “the immaturity and </w:t>
      </w:r>
      <w:r w:rsidR="009D1A72" w:rsidRPr="002E666C">
        <w:t xml:space="preserve">the </w:t>
      </w:r>
      <w:r w:rsidR="00E84CF4" w:rsidRPr="002E666C">
        <w:t xml:space="preserve">impetuosity of </w:t>
      </w:r>
      <w:r w:rsidR="008C6FC7" w:rsidRPr="002E666C">
        <w:t xml:space="preserve">the </w:t>
      </w:r>
      <w:r w:rsidR="00E84CF4" w:rsidRPr="002E666C">
        <w:t>young folks</w:t>
      </w:r>
      <w:r w:rsidR="008C6FC7" w:rsidRPr="002E666C">
        <w:t xml:space="preserve"> to make stupid decisions.”  </w:t>
      </w:r>
      <w:r w:rsidR="004D2EDE" w:rsidRPr="002E666C">
        <w:t>The court weighed th</w:t>
      </w:r>
      <w:r w:rsidR="008C6FC7" w:rsidRPr="002E666C">
        <w:t>e mitigating</w:t>
      </w:r>
      <w:r w:rsidR="004D2EDE" w:rsidRPr="002E666C">
        <w:t xml:space="preserve"> circumstances against the </w:t>
      </w:r>
      <w:r w:rsidR="005822D7" w:rsidRPr="002E666C">
        <w:t xml:space="preserve">gravity of </w:t>
      </w:r>
      <w:r w:rsidR="004D2EDE" w:rsidRPr="002E666C">
        <w:t>offenses</w:t>
      </w:r>
      <w:r w:rsidR="005822D7" w:rsidRPr="002E666C">
        <w:t>,</w:t>
      </w:r>
      <w:r w:rsidR="004D2EDE" w:rsidRPr="002E666C">
        <w:t xml:space="preserve"> which resulted in people being “terrorized</w:t>
      </w:r>
      <w:r w:rsidR="005822D7" w:rsidRPr="002E666C">
        <w:t>,</w:t>
      </w:r>
      <w:r w:rsidR="004D2EDE" w:rsidRPr="002E666C">
        <w:t>”</w:t>
      </w:r>
      <w:r w:rsidR="003A10C5" w:rsidRPr="002E666C">
        <w:t xml:space="preserve"> and </w:t>
      </w:r>
      <w:r w:rsidR="005822D7" w:rsidRPr="002E666C">
        <w:t xml:space="preserve">the court </w:t>
      </w:r>
      <w:r w:rsidR="003A10C5" w:rsidRPr="002E666C">
        <w:t xml:space="preserve">indicated that there needed to be “serious consequences” for “terrorizing folks.”  </w:t>
      </w:r>
      <w:r w:rsidR="003239C0" w:rsidRPr="002E666C">
        <w:t xml:space="preserve">The court sentenced </w:t>
      </w:r>
      <w:r w:rsidR="00CA0DFB" w:rsidRPr="002E666C">
        <w:t>Tresvant</w:t>
      </w:r>
      <w:r w:rsidRPr="002E666C">
        <w:t xml:space="preserve"> to 14 years in state prison.  </w:t>
      </w:r>
      <w:r w:rsidR="003239C0" w:rsidRPr="002E666C">
        <w:t>For the first robbery offense (</w:t>
      </w:r>
      <w:r w:rsidR="00C85332" w:rsidRPr="002E666C">
        <w:t>count</w:t>
      </w:r>
      <w:r w:rsidR="00100A6B">
        <w:t> </w:t>
      </w:r>
      <w:r w:rsidR="003239C0" w:rsidRPr="002E666C">
        <w:t xml:space="preserve">1), the court sentenced </w:t>
      </w:r>
      <w:r w:rsidR="00CA0DFB" w:rsidRPr="002E666C">
        <w:t>her</w:t>
      </w:r>
      <w:r w:rsidR="003239C0" w:rsidRPr="002E666C">
        <w:t xml:space="preserve"> to the midterm sentence of three years.  </w:t>
      </w:r>
    </w:p>
    <w:p w14:paraId="7B78C076" w14:textId="079C9F2B" w:rsidR="00505981" w:rsidRPr="002E666C" w:rsidRDefault="00505981" w:rsidP="00100A6B">
      <w:pPr>
        <w:pStyle w:val="ListParagraph"/>
        <w:keepNext/>
        <w:keepLines/>
        <w:numPr>
          <w:ilvl w:val="0"/>
          <w:numId w:val="14"/>
        </w:numPr>
        <w:ind w:left="360"/>
        <w:rPr>
          <w:i/>
          <w:iCs/>
        </w:rPr>
      </w:pPr>
      <w:r w:rsidRPr="002E666C">
        <w:rPr>
          <w:i/>
          <w:iCs/>
        </w:rPr>
        <w:t>Fuller</w:t>
      </w:r>
      <w:r w:rsidR="00EC7E6D" w:rsidRPr="002E666C">
        <w:rPr>
          <w:i/>
          <w:iCs/>
        </w:rPr>
        <w:t>’s Convictions and Sentence</w:t>
      </w:r>
    </w:p>
    <w:p w14:paraId="4B2A6655" w14:textId="03251508" w:rsidR="0088046E" w:rsidRPr="001A387B" w:rsidRDefault="00177773" w:rsidP="00100A6B">
      <w:pPr>
        <w:ind w:firstLine="720"/>
      </w:pPr>
      <w:r w:rsidRPr="002E666C">
        <w:t xml:space="preserve">A jury convicted Fuller of five counts of robbery (one for each victim) and one count of recklessly evading an officer. </w:t>
      </w:r>
      <w:r w:rsidR="00960A7F" w:rsidRPr="002E666C">
        <w:t xml:space="preserve"> </w:t>
      </w:r>
      <w:r w:rsidRPr="002E666C">
        <w:t>(§</w:t>
      </w:r>
      <w:r w:rsidR="00960A7F" w:rsidRPr="002E666C">
        <w:t xml:space="preserve"> 211</w:t>
      </w:r>
      <w:r w:rsidRPr="002E666C">
        <w:t xml:space="preserve">; </w:t>
      </w:r>
      <w:bookmarkStart w:id="20" w:name="dabmci_ffd7e74c310b434486b8de166b71a1a0"/>
      <w:r w:rsidRPr="002E666C">
        <w:t>Veh. Code, § 2800.2</w:t>
      </w:r>
      <w:bookmarkEnd w:id="20"/>
      <w:r w:rsidRPr="002E666C">
        <w:t xml:space="preserve">.)  The jury found true that Fuller personally used a firearm in committing each of the robbery offenses.  (§§ 12022.53(b), 1192.7, subd. (c)(8).)  </w:t>
      </w:r>
      <w:r w:rsidR="002F4F80" w:rsidRPr="002E666C">
        <w:t>The jury deadlocked on great bodily injury enhancements associated with the first two robbery counts</w:t>
      </w:r>
      <w:r w:rsidR="009C1AAC" w:rsidRPr="002E666C">
        <w:t>, so the court declared a mistrial as to those allegations</w:t>
      </w:r>
      <w:r w:rsidR="002F4F80" w:rsidRPr="002E666C">
        <w:t>.  (§ 12022.7, subd. (a).)</w:t>
      </w:r>
      <w:r w:rsidR="0082182A" w:rsidRPr="001A387B">
        <w:t xml:space="preserve">  The court granted the People’s motion to dismiss those allegations.</w:t>
      </w:r>
      <w:r w:rsidR="009C1AAC" w:rsidRPr="001A387B">
        <w:t xml:space="preserve">  </w:t>
      </w:r>
      <w:r w:rsidR="00AA774D" w:rsidRPr="001A387B">
        <w:t xml:space="preserve">Fuller was </w:t>
      </w:r>
      <w:r w:rsidR="00F00DEE" w:rsidRPr="001A387B">
        <w:t>17 years old</w:t>
      </w:r>
      <w:r w:rsidR="00AA774D" w:rsidRPr="001A387B">
        <w:t xml:space="preserve"> when </w:t>
      </w:r>
      <w:r w:rsidR="005822D7" w:rsidRPr="001A387B">
        <w:t xml:space="preserve">he committed </w:t>
      </w:r>
      <w:r w:rsidR="00AA774D" w:rsidRPr="001A387B">
        <w:t xml:space="preserve">the offenses.  </w:t>
      </w:r>
    </w:p>
    <w:p w14:paraId="564A3799" w14:textId="59B94C5F" w:rsidR="0088046E" w:rsidRDefault="009C1AAC" w:rsidP="00100A6B">
      <w:pPr>
        <w:ind w:firstLine="720"/>
      </w:pPr>
      <w:r w:rsidRPr="001A387B">
        <w:lastRenderedPageBreak/>
        <w:t>After considering Fuller’s age and various aggravating circumstances, t</w:t>
      </w:r>
      <w:r w:rsidR="00960A7F" w:rsidRPr="001A387B">
        <w:t xml:space="preserve">he trial court imposed </w:t>
      </w:r>
      <w:r w:rsidR="00EC7E6D" w:rsidRPr="001A387B">
        <w:t xml:space="preserve">the upper term </w:t>
      </w:r>
      <w:r w:rsidR="00791E6A" w:rsidRPr="001A387B">
        <w:t xml:space="preserve">of five years </w:t>
      </w:r>
      <w:r w:rsidR="00F30E4A" w:rsidRPr="001A387B">
        <w:t xml:space="preserve">on </w:t>
      </w:r>
      <w:r w:rsidR="00C85332" w:rsidRPr="001A387B">
        <w:t xml:space="preserve">count </w:t>
      </w:r>
      <w:r w:rsidR="00EC7E6D" w:rsidRPr="001A387B">
        <w:t>1, the first robbery offense.</w:t>
      </w:r>
      <w:r w:rsidR="00100A6B">
        <w:t xml:space="preserve">  </w:t>
      </w:r>
      <w:r w:rsidR="00791E6A" w:rsidRPr="001A387B">
        <w:t>(§ 213, subd. (a)(2).)</w:t>
      </w:r>
      <w:r w:rsidR="005E1E0B" w:rsidRPr="001A387B">
        <w:t xml:space="preserve">  The court imposed </w:t>
      </w:r>
      <w:r w:rsidR="00960A7F" w:rsidRPr="001A387B">
        <w:t xml:space="preserve">consecutive sentences for all of the robbery offenses and </w:t>
      </w:r>
      <w:r w:rsidR="00E102B8" w:rsidRPr="001A387B">
        <w:t xml:space="preserve">declined </w:t>
      </w:r>
      <w:r w:rsidR="00960A7F" w:rsidRPr="001A387B">
        <w:t>to strike the firearm enhancement</w:t>
      </w:r>
      <w:r w:rsidRPr="001A387B">
        <w:t>s</w:t>
      </w:r>
      <w:r w:rsidR="00960A7F" w:rsidRPr="001A387B">
        <w:t>.</w:t>
      </w:r>
      <w:r w:rsidR="0088046E" w:rsidRPr="001A387B">
        <w:t xml:space="preserve">  </w:t>
      </w:r>
      <w:r w:rsidR="00825291" w:rsidRPr="001A387B">
        <w:t xml:space="preserve">With respect to the firearm enhancement associated with </w:t>
      </w:r>
      <w:r w:rsidR="00C85332" w:rsidRPr="001A387B">
        <w:t xml:space="preserve">count </w:t>
      </w:r>
      <w:r w:rsidR="00825291" w:rsidRPr="001A387B">
        <w:t>1, the court acknowledged that it had the discretion to strike the enhancement</w:t>
      </w:r>
      <w:r w:rsidR="00FA7FFA" w:rsidRPr="001A387B">
        <w:t xml:space="preserve"> but </w:t>
      </w:r>
      <w:r w:rsidR="005822D7" w:rsidRPr="001A387B">
        <w:t xml:space="preserve">declined </w:t>
      </w:r>
      <w:r w:rsidR="00FA7FFA" w:rsidRPr="001A387B">
        <w:t>to do so, explaining that “[t]his is exactly the type of case that falls squarely within the heart of what the [L]egislature was after when they enacted this statute.”</w:t>
      </w:r>
      <w:r w:rsidRPr="001A387B">
        <w:t xml:space="preserve">  </w:t>
      </w:r>
      <w:r w:rsidR="0088046E" w:rsidRPr="001A387B">
        <w:t>The court sentenced Fuller to 32 years and four months in state prison.</w:t>
      </w:r>
      <w:r w:rsidR="0088046E">
        <w:t xml:space="preserve">  </w:t>
      </w:r>
    </w:p>
    <w:p w14:paraId="054FDD11" w14:textId="69F40A74" w:rsidR="00C13DBC" w:rsidRDefault="001008CF" w:rsidP="00100A6B">
      <w:pPr>
        <w:keepNext/>
        <w:keepLines/>
        <w:jc w:val="center"/>
      </w:pPr>
      <w:r>
        <w:t>DISCUSSION</w:t>
      </w:r>
    </w:p>
    <w:p w14:paraId="649A888D" w14:textId="2B0D0823" w:rsidR="005041DE" w:rsidRPr="00AC3F65" w:rsidRDefault="005041DE" w:rsidP="00100A6B">
      <w:pPr>
        <w:pStyle w:val="ListParagraph"/>
        <w:keepNext/>
        <w:keepLines/>
        <w:numPr>
          <w:ilvl w:val="0"/>
          <w:numId w:val="20"/>
        </w:numPr>
        <w:ind w:left="360"/>
        <w:rPr>
          <w:i/>
          <w:iCs/>
        </w:rPr>
      </w:pPr>
      <w:r w:rsidRPr="00AC3F65">
        <w:rPr>
          <w:i/>
          <w:iCs/>
        </w:rPr>
        <w:t>Tresvant’s Competency to Stand Trial</w:t>
      </w:r>
    </w:p>
    <w:p w14:paraId="475C8D07" w14:textId="595E6EC3" w:rsidR="00FC0A71" w:rsidRDefault="00FC0A71" w:rsidP="00100A6B">
      <w:pPr>
        <w:ind w:firstLine="720"/>
      </w:pPr>
      <w:r>
        <w:t>Tresvant argues that the trial court erred by directing a verdict for the prosecution</w:t>
      </w:r>
      <w:r w:rsidR="001410DC">
        <w:t xml:space="preserve"> on her competency to stand trial</w:t>
      </w:r>
      <w:r>
        <w:t>.  She claims that there was substantial evidence from which a jury could have found her incompetent and that she is entitled to a new trial on her competency.  We are not persuaded.</w:t>
      </w:r>
    </w:p>
    <w:p w14:paraId="1A498B87" w14:textId="544AB3D6" w:rsidR="005041DE" w:rsidRPr="004B492A" w:rsidRDefault="005041DE" w:rsidP="00100A6B">
      <w:pPr>
        <w:ind w:firstLine="720"/>
      </w:pPr>
      <w:bookmarkStart w:id="21" w:name="dabmq_16"/>
      <w:r>
        <w:t>“</w:t>
      </w:r>
      <w:r w:rsidRPr="007C5074">
        <w:t xml:space="preserve">A person shall not be tried or adjudged to punishment </w:t>
      </w:r>
      <w:r>
        <w:t xml:space="preserve">. . . </w:t>
      </w:r>
      <w:r w:rsidRPr="007C5074">
        <w:t>while that person is mentally incompetent</w:t>
      </w:r>
      <w:r>
        <w:t>.”</w:t>
      </w:r>
      <w:bookmarkEnd w:id="21"/>
      <w:r>
        <w:t xml:space="preserve">  (§ 1367, subd. (a); </w:t>
      </w:r>
      <w:bookmarkStart w:id="22" w:name="dabmci_dea84608877244bead1ed15556b8701d"/>
      <w:r>
        <w:rPr>
          <w:i/>
          <w:iCs/>
        </w:rPr>
        <w:t>People v. Rogers</w:t>
      </w:r>
      <w:r>
        <w:t xml:space="preserve"> (2006) 39 Cal.4th 826, 846</w:t>
      </w:r>
      <w:bookmarkEnd w:id="22"/>
      <w:r>
        <w:t xml:space="preserve">.)  </w:t>
      </w:r>
      <w:bookmarkStart w:id="23" w:name="dabmq_17"/>
      <w:r>
        <w:t>“</w:t>
      </w:r>
      <w:r w:rsidRPr="007015ED">
        <w:t>A defendant is mentally incompetent if, as a result of a mental disorder or developmental disability, he or she is unable to understand the nature of the criminal proceedings or to assist counsel in the conduct of a defense in a rational manner.</w:t>
      </w:r>
      <w:r>
        <w:t>”</w:t>
      </w:r>
      <w:bookmarkEnd w:id="23"/>
      <w:r>
        <w:t xml:space="preserve">  (</w:t>
      </w:r>
      <w:bookmarkStart w:id="24" w:name="dabmci_f1e835ab058543108b6822cbe195fbfb"/>
      <w:r>
        <w:rPr>
          <w:i/>
          <w:iCs/>
        </w:rPr>
        <w:t>People v. Lawley</w:t>
      </w:r>
      <w:r>
        <w:t xml:space="preserve"> (2002) 27 Cal.4th 102, 131 (</w:t>
      </w:r>
      <w:r>
        <w:rPr>
          <w:i/>
          <w:iCs/>
        </w:rPr>
        <w:t>Lawley</w:t>
      </w:r>
      <w:r>
        <w:t>)</w:t>
      </w:r>
      <w:bookmarkEnd w:id="24"/>
      <w:r>
        <w:t>.)</w:t>
      </w:r>
      <w:r w:rsidR="00A52F74">
        <w:t xml:space="preserve">  </w:t>
      </w:r>
      <w:bookmarkStart w:id="25" w:name="dabmq_18"/>
      <w:r w:rsidR="00A52F74">
        <w:t>“</w:t>
      </w:r>
      <w:r w:rsidR="00A52F74" w:rsidRPr="00A52F74">
        <w:t xml:space="preserve">When the accused presents </w:t>
      </w:r>
      <w:r w:rsidR="00A52F74" w:rsidRPr="00A52F74">
        <w:lastRenderedPageBreak/>
        <w:t>substantial evidence of incompetence, due process requires that the trial court conduct a full competency hearing.</w:t>
      </w:r>
      <w:r w:rsidR="00A52F74">
        <w:t>”</w:t>
      </w:r>
      <w:bookmarkEnd w:id="25"/>
      <w:r w:rsidR="005F203F">
        <w:t xml:space="preserve">  </w:t>
      </w:r>
      <w:r w:rsidR="00A52F74">
        <w:t>(</w:t>
      </w:r>
      <w:bookmarkStart w:id="26" w:name="dabmci_92beb22bb08c468bac73259355be8241"/>
      <w:r w:rsidR="00A52F74">
        <w:rPr>
          <w:i/>
          <w:iCs/>
        </w:rPr>
        <w:t>Ibid.</w:t>
      </w:r>
      <w:bookmarkEnd w:id="26"/>
      <w:r w:rsidR="00A52F74">
        <w:t>;</w:t>
      </w:r>
      <w:r w:rsidR="00A52F74">
        <w:rPr>
          <w:i/>
          <w:iCs/>
        </w:rPr>
        <w:t xml:space="preserve"> </w:t>
      </w:r>
      <w:r>
        <w:t>§ 1368</w:t>
      </w:r>
      <w:r w:rsidRPr="0038522B">
        <w:t>.)</w:t>
      </w:r>
    </w:p>
    <w:p w14:paraId="127A6CD9" w14:textId="53791B73" w:rsidR="005041DE" w:rsidRDefault="005041DE" w:rsidP="00100A6B">
      <w:pPr>
        <w:ind w:firstLine="720"/>
      </w:pPr>
      <w:bookmarkStart w:id="27" w:name="dabmq_19"/>
      <w:r>
        <w:t>“</w:t>
      </w:r>
      <w:r w:rsidRPr="00FB5D2A">
        <w:t>A defendant is presumed competent unless the contrary is proven by a preponderance of the evidence</w:t>
      </w:r>
      <w:r>
        <w:t>,”</w:t>
      </w:r>
      <w:bookmarkEnd w:id="27"/>
      <w:r>
        <w:t xml:space="preserve">  (</w:t>
      </w:r>
      <w:bookmarkStart w:id="28" w:name="dabmci_fa07e0b6a39040ed8719e7c11e9ef5a0"/>
      <w:r>
        <w:rPr>
          <w:i/>
          <w:iCs/>
        </w:rPr>
        <w:t>Lawley</w:t>
      </w:r>
      <w:r>
        <w:t xml:space="preserve">, </w:t>
      </w:r>
      <w:r>
        <w:rPr>
          <w:i/>
          <w:iCs/>
        </w:rPr>
        <w:t>supra</w:t>
      </w:r>
      <w:r>
        <w:t>, 27 Cal.4th at p. 131</w:t>
      </w:r>
      <w:bookmarkEnd w:id="28"/>
      <w:r>
        <w:t xml:space="preserve">) </w:t>
      </w:r>
      <w:r w:rsidR="00A4198C">
        <w:t xml:space="preserve">and </w:t>
      </w:r>
      <w:r>
        <w:t xml:space="preserve">the defendant bears the burden of </w:t>
      </w:r>
      <w:r w:rsidR="00A4198C">
        <w:t xml:space="preserve">proof </w:t>
      </w:r>
      <w:r>
        <w:t>(</w:t>
      </w:r>
      <w:bookmarkStart w:id="29" w:name="dabmci_7bbfce3da83a4cb08b4393bfb0cc1605"/>
      <w:r>
        <w:rPr>
          <w:i/>
          <w:iCs/>
        </w:rPr>
        <w:t>People v. Mendoza</w:t>
      </w:r>
      <w:r>
        <w:t xml:space="preserve"> (2016) 62 Cal.4th 856, 871</w:t>
      </w:r>
      <w:bookmarkEnd w:id="29"/>
      <w:r>
        <w:t xml:space="preserve">). </w:t>
      </w:r>
      <w:r w:rsidR="0075563A">
        <w:t xml:space="preserve"> </w:t>
      </w:r>
      <w:r>
        <w:t>Upon commencement of the competency trial,</w:t>
      </w:r>
      <w:r w:rsidRPr="00B54923">
        <w:t xml:space="preserve"> </w:t>
      </w:r>
      <w:bookmarkStart w:id="30" w:name="dabmq_20"/>
      <w:r w:rsidRPr="00B54923">
        <w:t>“counsel for the defendant shall offer evidence in support of the allegation of mental incompetence</w:t>
      </w:r>
      <w:r w:rsidR="00A130C3">
        <w:t>,</w:t>
      </w:r>
      <w:r w:rsidRPr="00B54923">
        <w:t>”</w:t>
      </w:r>
      <w:bookmarkEnd w:id="30"/>
      <w:r w:rsidRPr="00B54923">
        <w:t xml:space="preserve"> </w:t>
      </w:r>
      <w:r w:rsidR="00A130C3">
        <w:t>and the prosecution follows by presenting its case.</w:t>
      </w:r>
      <w:r>
        <w:t xml:space="preserve"> </w:t>
      </w:r>
      <w:r w:rsidR="00A130C3">
        <w:t xml:space="preserve"> </w:t>
      </w:r>
      <w:r w:rsidRPr="00B54923">
        <w:t>(</w:t>
      </w:r>
      <w:r w:rsidR="00A130C3" w:rsidRPr="00B54923">
        <w:t>§</w:t>
      </w:r>
      <w:r w:rsidR="00A130C3">
        <w:t> </w:t>
      </w:r>
      <w:r w:rsidR="00A130C3" w:rsidRPr="00B54923">
        <w:t>1369, subd</w:t>
      </w:r>
      <w:r w:rsidR="00A130C3">
        <w:t>s</w:t>
      </w:r>
      <w:r w:rsidR="00A130C3" w:rsidRPr="00B54923">
        <w:t>. (b)(1)</w:t>
      </w:r>
      <w:r w:rsidR="00A130C3">
        <w:t>,</w:t>
      </w:r>
      <w:r w:rsidRPr="00B54923">
        <w:t xml:space="preserve"> (c).) </w:t>
      </w:r>
      <w:r>
        <w:t xml:space="preserve"> </w:t>
      </w:r>
    </w:p>
    <w:p w14:paraId="27D0A8F6" w14:textId="2FAD1B83" w:rsidR="005041DE" w:rsidRPr="00AA688D" w:rsidRDefault="005041DE" w:rsidP="00100A6B">
      <w:pPr>
        <w:ind w:firstLine="720"/>
      </w:pPr>
      <w:r>
        <w:t xml:space="preserve">Even though a competency hearing arises in the context of a criminal trial, the hearing </w:t>
      </w:r>
      <w:bookmarkStart w:id="31" w:name="dabmq_21"/>
      <w:r>
        <w:t>“</w:t>
      </w:r>
      <w:r w:rsidRPr="00A4541F">
        <w:t>is a special proceeding, governed generally by the rules applicable to civil proceedings.</w:t>
      </w:r>
      <w:r>
        <w:t>”</w:t>
      </w:r>
      <w:bookmarkEnd w:id="31"/>
      <w:r>
        <w:t xml:space="preserve">  (</w:t>
      </w:r>
      <w:bookmarkStart w:id="32" w:name="dabmci_48f1d96448d64cff89251e2a2e23d469"/>
      <w:r>
        <w:rPr>
          <w:i/>
          <w:iCs/>
        </w:rPr>
        <w:t>Lawley</w:t>
      </w:r>
      <w:r>
        <w:t xml:space="preserve">, </w:t>
      </w:r>
      <w:r>
        <w:rPr>
          <w:i/>
          <w:iCs/>
        </w:rPr>
        <w:t>supra</w:t>
      </w:r>
      <w:r>
        <w:t>, 27 Cal.4th at p. 131</w:t>
      </w:r>
      <w:bookmarkEnd w:id="32"/>
      <w:r>
        <w:t xml:space="preserve">; </w:t>
      </w:r>
      <w:bookmarkStart w:id="33" w:name="dabmci_f00a8de0f79f476fa7a0fcbaeef10411"/>
      <w:r w:rsidR="00807523">
        <w:rPr>
          <w:i/>
          <w:iCs/>
        </w:rPr>
        <w:t>People v. Lawson</w:t>
      </w:r>
      <w:r w:rsidR="00807523">
        <w:t xml:space="preserve"> (1918) 178 Cal. 722, 728</w:t>
      </w:r>
      <w:bookmarkEnd w:id="33"/>
      <w:r w:rsidR="00807523">
        <w:t xml:space="preserve">; see also </w:t>
      </w:r>
      <w:bookmarkStart w:id="34" w:name="dabmci_9723e3038a674593ad596c6c7de7c084"/>
      <w:r>
        <w:rPr>
          <w:i/>
          <w:iCs/>
        </w:rPr>
        <w:t>People v. Conrad</w:t>
      </w:r>
      <w:r>
        <w:t xml:space="preserve"> (198</w:t>
      </w:r>
      <w:r w:rsidR="00DC6143">
        <w:t>2</w:t>
      </w:r>
      <w:r>
        <w:t>) 132 Cal.App.3d 361, 374</w:t>
      </w:r>
      <w:r w:rsidR="00B05735">
        <w:t xml:space="preserve"> (</w:t>
      </w:r>
      <w:r w:rsidR="00B05735">
        <w:rPr>
          <w:i/>
          <w:iCs/>
        </w:rPr>
        <w:t>Conrad</w:t>
      </w:r>
      <w:r w:rsidR="00B05735">
        <w:t>)</w:t>
      </w:r>
      <w:bookmarkEnd w:id="34"/>
      <w:r>
        <w:t xml:space="preserve"> [affirming the trial court’s entry of judgment notwithstanding the verdict on the defendant’s competence]</w:t>
      </w:r>
      <w:r w:rsidR="00B05735">
        <w:t xml:space="preserve">; </w:t>
      </w:r>
      <w:bookmarkStart w:id="35" w:name="dabmci_97535736ee4f48e1bdb0aac6e7d836ce"/>
      <w:r w:rsidR="00B05735">
        <w:rPr>
          <w:i/>
          <w:iCs/>
        </w:rPr>
        <w:t>People v. Mapp</w:t>
      </w:r>
      <w:r w:rsidR="00B05735">
        <w:t xml:space="preserve"> (1983) 150 Cal.App.3d 346, 351, 353 (</w:t>
      </w:r>
      <w:r w:rsidR="00B05735">
        <w:rPr>
          <w:i/>
          <w:iCs/>
        </w:rPr>
        <w:t>Mapp</w:t>
      </w:r>
      <w:r w:rsidR="00B05735">
        <w:t>)</w:t>
      </w:r>
      <w:bookmarkEnd w:id="35"/>
      <w:r w:rsidR="00B05735">
        <w:t xml:space="preserve"> [relying on </w:t>
      </w:r>
      <w:bookmarkStart w:id="36" w:name="dabmci_dcb3cf742569474797d4e2860f64c162"/>
      <w:r w:rsidR="00B05735" w:rsidRPr="00B05735">
        <w:rPr>
          <w:i/>
          <w:iCs/>
        </w:rPr>
        <w:t>Conrad</w:t>
      </w:r>
      <w:bookmarkEnd w:id="36"/>
      <w:r w:rsidR="00B05735" w:rsidRPr="00B05735">
        <w:rPr>
          <w:i/>
          <w:iCs/>
        </w:rPr>
        <w:t xml:space="preserve"> </w:t>
      </w:r>
      <w:r w:rsidR="00321C0C">
        <w:t xml:space="preserve">in </w:t>
      </w:r>
      <w:r w:rsidR="003B526F">
        <w:t>affirming directed verdict for the prosecution in a proceeding regarding restoration of sanity</w:t>
      </w:r>
      <w:r w:rsidR="00321C0C">
        <w:t>]</w:t>
      </w:r>
      <w:r w:rsidR="003B526F">
        <w:t>.)</w:t>
      </w:r>
      <w:r>
        <w:t xml:space="preserve"> </w:t>
      </w:r>
      <w:r w:rsidR="003B526F">
        <w:t xml:space="preserve"> </w:t>
      </w:r>
      <w:bookmarkStart w:id="37" w:name="dabmci_3ffbedf7b47d40299abbd754906f091f"/>
      <w:r>
        <w:t>Code of Civil Procedure section 630</w:t>
      </w:r>
      <w:bookmarkEnd w:id="37"/>
      <w:r>
        <w:t xml:space="preserve"> provides that </w:t>
      </w:r>
      <w:bookmarkStart w:id="38" w:name="dabmq_22"/>
      <w:r>
        <w:t>“af</w:t>
      </w:r>
      <w:r w:rsidRPr="002341AD">
        <w:t>ter all parties have completed the presentation of all of their evidence in a trial by jury,</w:t>
      </w:r>
      <w:r>
        <w:t xml:space="preserve"> </w:t>
      </w:r>
      <w:r w:rsidRPr="002341AD">
        <w:t>any party may, without waiving his or her right to trial by jury in the event the motion is not granted, move for an order directing entry of a verdict in its favor</w:t>
      </w:r>
      <w:r>
        <w:t>.”</w:t>
      </w:r>
      <w:bookmarkEnd w:id="38"/>
      <w:r>
        <w:t xml:space="preserve">  (</w:t>
      </w:r>
      <w:bookmarkStart w:id="39" w:name="dabmci_56910786aa864474a0ae1f7523baad3d"/>
      <w:r>
        <w:t>Code Civ. Proc., § 630, subd. (a)</w:t>
      </w:r>
      <w:bookmarkEnd w:id="39"/>
      <w:r>
        <w:t xml:space="preserve">.)  </w:t>
      </w:r>
      <w:bookmarkStart w:id="40" w:name="dabmq_23"/>
      <w:r>
        <w:t>“</w:t>
      </w:r>
      <w:r w:rsidRPr="001257CC">
        <w:t xml:space="preserve">In considering whether there was error in granting of the directed verdict, we must view the evidence in the light most favorable to </w:t>
      </w:r>
      <w:r>
        <w:t>[Tresvant]</w:t>
      </w:r>
      <w:r w:rsidRPr="001257CC">
        <w:t xml:space="preserve"> and indulge </w:t>
      </w:r>
      <w:r w:rsidRPr="001257CC">
        <w:lastRenderedPageBreak/>
        <w:t xml:space="preserve">in every legitimate inference that may be drawn from the evidence in </w:t>
      </w:r>
      <w:r>
        <w:t>[her]</w:t>
      </w:r>
      <w:r w:rsidRPr="001257CC">
        <w:t xml:space="preserve"> favor and disregard conflicting evidence to determine whether there was evidence of sufficient substantiality to support a verdict</w:t>
      </w:r>
      <w:r>
        <w:t>”</w:t>
      </w:r>
      <w:bookmarkEnd w:id="40"/>
      <w:r>
        <w:t xml:space="preserve"> that she was not competent to stand trial.  (</w:t>
      </w:r>
      <w:bookmarkStart w:id="41" w:name="dabmci_12557c9f71634a8083d586a93879adbc"/>
      <w:r>
        <w:rPr>
          <w:i/>
          <w:iCs/>
        </w:rPr>
        <w:t>Mapp</w:t>
      </w:r>
      <w:r w:rsidR="003B526F">
        <w:t xml:space="preserve">, </w:t>
      </w:r>
      <w:r w:rsidR="003B526F">
        <w:rPr>
          <w:i/>
          <w:iCs/>
        </w:rPr>
        <w:t>supra</w:t>
      </w:r>
      <w:r w:rsidR="003B526F">
        <w:t>,</w:t>
      </w:r>
      <w:r>
        <w:t xml:space="preserve"> 150 Cal.App.3d </w:t>
      </w:r>
      <w:r w:rsidR="003B526F">
        <w:t>at p.</w:t>
      </w:r>
      <w:r>
        <w:t xml:space="preserve"> 351</w:t>
      </w:r>
      <w:bookmarkEnd w:id="41"/>
      <w:r>
        <w:t>.)</w:t>
      </w:r>
      <w:r w:rsidR="004D007F">
        <w:t xml:space="preserve">  </w:t>
      </w:r>
      <w:r w:rsidR="00AA688D">
        <w:t xml:space="preserve">To be substantial, evidence </w:t>
      </w:r>
      <w:bookmarkStart w:id="42" w:name="dabmq_24"/>
      <w:r w:rsidR="00AA688D">
        <w:t>“</w:t>
      </w:r>
      <w:r w:rsidR="00AA688D" w:rsidRPr="00AA688D">
        <w:t xml:space="preserve">must be </w:t>
      </w:r>
      <w:r w:rsidR="00AA688D">
        <w:t>‘</w:t>
      </w:r>
      <w:r w:rsidR="00AA688D" w:rsidRPr="00AA688D">
        <w:t>of ponderable legal significance . . . reasonable in nature, credible, and of solid value.</w:t>
      </w:r>
      <w:r w:rsidR="00AA688D">
        <w:t>’</w:t>
      </w:r>
      <w:r w:rsidR="00AA688D" w:rsidRPr="00AA688D">
        <w:t>”</w:t>
      </w:r>
      <w:bookmarkEnd w:id="42"/>
      <w:r w:rsidR="00AA688D">
        <w:t xml:space="preserve">  (</w:t>
      </w:r>
      <w:bookmarkStart w:id="43" w:name="dabmci_52608b5776134c949108343590de65f6"/>
      <w:r w:rsidR="00AA688D">
        <w:rPr>
          <w:i/>
          <w:iCs/>
        </w:rPr>
        <w:t>People v. Johnson</w:t>
      </w:r>
      <w:r w:rsidR="00AA688D">
        <w:t xml:space="preserve"> (1980) 26 Cal.3d 557, 576 (</w:t>
      </w:r>
      <w:r w:rsidR="00AA688D">
        <w:rPr>
          <w:i/>
          <w:iCs/>
        </w:rPr>
        <w:t>Johnson</w:t>
      </w:r>
      <w:r w:rsidR="00AA688D">
        <w:t>)</w:t>
      </w:r>
      <w:bookmarkEnd w:id="43"/>
      <w:r w:rsidR="00AA688D">
        <w:t xml:space="preserve">.)  </w:t>
      </w:r>
      <w:r>
        <w:t xml:space="preserve">We </w:t>
      </w:r>
      <w:r w:rsidR="00FC0A71">
        <w:t>independently review a</w:t>
      </w:r>
      <w:r>
        <w:t xml:space="preserve"> directed verdict.  (</w:t>
      </w:r>
      <w:bookmarkStart w:id="44" w:name="dabmci_96a7b0fb74864be0a810dc056f773167"/>
      <w:r>
        <w:rPr>
          <w:i/>
          <w:iCs/>
        </w:rPr>
        <w:t>Guillory v. Hill</w:t>
      </w:r>
      <w:r>
        <w:t xml:space="preserve"> (2015) 233 Cal.App.4th 240, 249</w:t>
      </w:r>
      <w:bookmarkEnd w:id="44"/>
      <w:r>
        <w:t xml:space="preserve">.)  </w:t>
      </w:r>
    </w:p>
    <w:p w14:paraId="6F4E2A7F" w14:textId="16CC0430" w:rsidR="00A52F74" w:rsidRDefault="005041DE" w:rsidP="00100A6B">
      <w:pPr>
        <w:ind w:firstLine="720"/>
      </w:pPr>
      <w:r>
        <w:t xml:space="preserve">Tresvant’s only witness was Dr. Jones, and he concluded that she was competent to stand trial.  In arguing that there was substantial evidence from which a jury could have concluded otherwise, Tresvant points to Dr. Jones’s initial conclusion that </w:t>
      </w:r>
      <w:r w:rsidR="00321C0C">
        <w:t xml:space="preserve">Tresvant </w:t>
      </w:r>
      <w:r>
        <w:t>was not competent to stand trial</w:t>
      </w:r>
      <w:r w:rsidR="00D945C0">
        <w:t>, which was based solely</w:t>
      </w:r>
      <w:r>
        <w:t xml:space="preserve"> on his interview of her.  </w:t>
      </w:r>
      <w:r w:rsidR="00D945C0">
        <w:t xml:space="preserve">Tresvant </w:t>
      </w:r>
      <w:r>
        <w:t xml:space="preserve">argues that the trial court improperly weighed the credibility of witnesses and was required to ignore Dr. Jones’s </w:t>
      </w:r>
      <w:r w:rsidR="00321C0C">
        <w:t xml:space="preserve">subsequent </w:t>
      </w:r>
      <w:r>
        <w:t xml:space="preserve">conclusion that she was competent to stand trial.  </w:t>
      </w:r>
      <w:r w:rsidR="00A4584B">
        <w:t xml:space="preserve">But this was not a situation </w:t>
      </w:r>
      <w:r w:rsidR="0094645C">
        <w:t>in which</w:t>
      </w:r>
      <w:r w:rsidR="000D58EC">
        <w:t xml:space="preserve"> </w:t>
      </w:r>
      <w:r w:rsidR="00A4584B">
        <w:t xml:space="preserve">competing </w:t>
      </w:r>
      <w:r w:rsidR="000D58EC">
        <w:t>experts reached different conclusion</w:t>
      </w:r>
      <w:r w:rsidR="00EE4E9B">
        <w:t>s</w:t>
      </w:r>
      <w:r w:rsidR="000D58EC">
        <w:t>, and</w:t>
      </w:r>
      <w:r w:rsidR="00520DE4">
        <w:t xml:space="preserve"> </w:t>
      </w:r>
      <w:r w:rsidR="00A4584B">
        <w:t xml:space="preserve">the trial court credited one expert opinion </w:t>
      </w:r>
      <w:r w:rsidR="000D58EC">
        <w:t>while</w:t>
      </w:r>
      <w:r w:rsidR="00A4584B">
        <w:t xml:space="preserve"> discredit</w:t>
      </w:r>
      <w:r w:rsidR="000D58EC">
        <w:t>ing</w:t>
      </w:r>
      <w:r w:rsidR="00A4584B">
        <w:t xml:space="preserve"> the other.  Instead, the </w:t>
      </w:r>
      <w:r w:rsidR="00A4584B">
        <w:rPr>
          <w:i/>
          <w:iCs/>
        </w:rPr>
        <w:t>same expert</w:t>
      </w:r>
      <w:r w:rsidR="00A4584B">
        <w:t xml:space="preserve"> withdrew his prior opinion and </w:t>
      </w:r>
      <w:r w:rsidR="00DB5FAE">
        <w:t>concluded that Tresvant was competent to stand trial.  Dr. Jones’s repudiation of his prior opinion</w:t>
      </w:r>
      <w:r w:rsidR="000D58EC">
        <w:t xml:space="preserve"> in the written report</w:t>
      </w:r>
      <w:r w:rsidR="00DB5FAE">
        <w:t xml:space="preserve"> </w:t>
      </w:r>
      <w:r w:rsidR="00FC24D0">
        <w:t>deprived that opinion</w:t>
      </w:r>
      <w:r w:rsidR="00730A9F">
        <w:t xml:space="preserve"> </w:t>
      </w:r>
      <w:r w:rsidR="00FC24D0">
        <w:t xml:space="preserve">of </w:t>
      </w:r>
      <w:r w:rsidR="00730A9F">
        <w:t xml:space="preserve">evidentiary value—that is, it was not </w:t>
      </w:r>
      <w:bookmarkStart w:id="45" w:name="dabmq_25"/>
      <w:r w:rsidR="00730A9F">
        <w:t>“‘</w:t>
      </w:r>
      <w:r w:rsidR="001B1A1E" w:rsidRPr="001B1A1E">
        <w:t>reasonable in nature, credible, and of solid value.</w:t>
      </w:r>
      <w:r w:rsidR="001B1A1E">
        <w:t>’</w:t>
      </w:r>
      <w:r w:rsidR="001B1A1E" w:rsidRPr="001B1A1E">
        <w:t>”</w:t>
      </w:r>
      <w:bookmarkEnd w:id="45"/>
      <w:r w:rsidR="001B1A1E">
        <w:t xml:space="preserve">  (</w:t>
      </w:r>
      <w:bookmarkStart w:id="46" w:name="dabmci_f1bef0e24ae447b5b846fa65eded182d"/>
      <w:r w:rsidR="00730A9F">
        <w:rPr>
          <w:i/>
          <w:iCs/>
        </w:rPr>
        <w:t>Johnson</w:t>
      </w:r>
      <w:r w:rsidR="00AA688D">
        <w:t xml:space="preserve">, </w:t>
      </w:r>
      <w:r w:rsidR="00AA688D" w:rsidRPr="00AA688D">
        <w:rPr>
          <w:i/>
          <w:iCs/>
        </w:rPr>
        <w:t>supra</w:t>
      </w:r>
      <w:r w:rsidR="00AA688D">
        <w:t xml:space="preserve">, </w:t>
      </w:r>
      <w:r w:rsidR="00730A9F" w:rsidRPr="00AA688D">
        <w:t>26</w:t>
      </w:r>
      <w:r w:rsidR="00730A9F">
        <w:t xml:space="preserve"> Cal.3d </w:t>
      </w:r>
      <w:r w:rsidR="00AA688D">
        <w:t>at p.</w:t>
      </w:r>
      <w:r w:rsidR="00730A9F">
        <w:t xml:space="preserve"> 576</w:t>
      </w:r>
      <w:bookmarkEnd w:id="46"/>
      <w:r w:rsidR="00730A9F">
        <w:t xml:space="preserve">.) </w:t>
      </w:r>
      <w:r w:rsidR="00AA688D">
        <w:t xml:space="preserve"> </w:t>
      </w:r>
      <w:r w:rsidR="00C45B59">
        <w:t xml:space="preserve">There </w:t>
      </w:r>
      <w:r w:rsidR="00FC24D0">
        <w:t>consequently</w:t>
      </w:r>
      <w:r w:rsidR="00C45B59">
        <w:t xml:space="preserve"> </w:t>
      </w:r>
      <w:r w:rsidR="00087410">
        <w:t>was no expert evidence that Tresvant was not competent to stand trial.</w:t>
      </w:r>
      <w:r w:rsidR="0038522B">
        <w:t xml:space="preserve">  </w:t>
      </w:r>
      <w:r w:rsidR="00FC24D0">
        <w:t>Thus</w:t>
      </w:r>
      <w:r w:rsidR="0038522B">
        <w:t xml:space="preserve">, viewing the </w:t>
      </w:r>
      <w:r w:rsidR="0038522B">
        <w:lastRenderedPageBreak/>
        <w:t xml:space="preserve">evidence in the light most favorable to Tresvant, the record does not contain </w:t>
      </w:r>
      <w:r w:rsidR="005F203F">
        <w:t xml:space="preserve">any evidence, let alone </w:t>
      </w:r>
      <w:r w:rsidR="0038522B">
        <w:t>substantial evidence</w:t>
      </w:r>
      <w:r w:rsidR="005F203F">
        <w:t>,</w:t>
      </w:r>
      <w:r w:rsidR="0038522B">
        <w:t xml:space="preserve"> that she was not competent to stand trial.</w:t>
      </w:r>
      <w:r w:rsidR="00087410">
        <w:t xml:space="preserve"> </w:t>
      </w:r>
    </w:p>
    <w:p w14:paraId="413A3DC5" w14:textId="4C930D7E" w:rsidR="003E343A" w:rsidRDefault="0038161A" w:rsidP="00100A6B">
      <w:pPr>
        <w:ind w:firstLine="720"/>
      </w:pPr>
      <w:r>
        <w:t>Because there was no evidence</w:t>
      </w:r>
      <w:r w:rsidR="003E343A">
        <w:t xml:space="preserve"> from which the jury could conclude that Tresvant was not competent to stand trial, we conclude that the trial court did not err by entering a directed verdict against Tresvant </w:t>
      </w:r>
      <w:r w:rsidR="001C2B06">
        <w:t>on her competency</w:t>
      </w:r>
      <w:r w:rsidR="003E343A">
        <w:t>.</w:t>
      </w:r>
    </w:p>
    <w:p w14:paraId="0113B068" w14:textId="7BA6C8FE" w:rsidR="002B3038" w:rsidRDefault="00AC2BA8" w:rsidP="00100A6B">
      <w:pPr>
        <w:pStyle w:val="ListParagraph"/>
        <w:keepNext/>
        <w:keepLines/>
        <w:numPr>
          <w:ilvl w:val="0"/>
          <w:numId w:val="20"/>
        </w:numPr>
        <w:ind w:left="360"/>
      </w:pPr>
      <w:r>
        <w:rPr>
          <w:i/>
          <w:iCs/>
        </w:rPr>
        <w:t xml:space="preserve">Pretrial </w:t>
      </w:r>
      <w:r w:rsidR="002B3038" w:rsidRPr="00AC2BA8">
        <w:rPr>
          <w:i/>
          <w:iCs/>
        </w:rPr>
        <w:t>Mental Health Diversion</w:t>
      </w:r>
      <w:r w:rsidRPr="00AC2BA8">
        <w:rPr>
          <w:i/>
          <w:iCs/>
        </w:rPr>
        <w:t xml:space="preserve"> for Tresvant </w:t>
      </w:r>
    </w:p>
    <w:p w14:paraId="6B632D44" w14:textId="34B3D0B3" w:rsidR="002B3038" w:rsidRDefault="002B3038" w:rsidP="00117B1C">
      <w:pPr>
        <w:ind w:firstLine="720"/>
      </w:pPr>
      <w:r>
        <w:t xml:space="preserve">Tresvant </w:t>
      </w:r>
      <w:r w:rsidR="001C2B06">
        <w:t xml:space="preserve">next </w:t>
      </w:r>
      <w:r>
        <w:t xml:space="preserve">argues that the trial court erred by concluding that she did not make a prima facie showing of eligibility for </w:t>
      </w:r>
      <w:r w:rsidR="001C2B06">
        <w:t xml:space="preserve">pretrial </w:t>
      </w:r>
      <w:r>
        <w:t xml:space="preserve">mental health diversion under section 1001.36.  We conclude that the trial court did not </w:t>
      </w:r>
      <w:r w:rsidRPr="00B6082B">
        <w:t>abuse its discretio</w:t>
      </w:r>
      <w:r w:rsidR="00617B93">
        <w:t>n</w:t>
      </w:r>
      <w:r w:rsidR="00B6082B">
        <w:t>.</w:t>
      </w:r>
    </w:p>
    <w:p w14:paraId="56CC7F57" w14:textId="568A976B" w:rsidR="002B3038" w:rsidRPr="00547BA3" w:rsidRDefault="002B3038" w:rsidP="00100A6B">
      <w:pPr>
        <w:pStyle w:val="ListParagraph"/>
        <w:keepNext/>
        <w:keepLines/>
        <w:numPr>
          <w:ilvl w:val="0"/>
          <w:numId w:val="21"/>
        </w:numPr>
        <w:rPr>
          <w:i/>
          <w:iCs/>
        </w:rPr>
      </w:pPr>
      <w:r w:rsidRPr="00547BA3">
        <w:rPr>
          <w:i/>
          <w:iCs/>
        </w:rPr>
        <w:t>Relevant Proceeding</w:t>
      </w:r>
    </w:p>
    <w:p w14:paraId="16ADE2A3" w14:textId="715A23FD" w:rsidR="00555965" w:rsidRPr="00DC6143" w:rsidRDefault="00E90300" w:rsidP="00117B1C">
      <w:pPr>
        <w:ind w:firstLine="720"/>
      </w:pPr>
      <w:r>
        <w:t>Attached to Tresvant’s</w:t>
      </w:r>
      <w:r w:rsidR="003F725B">
        <w:t xml:space="preserve"> second</w:t>
      </w:r>
      <w:r>
        <w:t xml:space="preserve"> motion for pretrial mental health diversion were the October 26, 2018, competency evaluation from Dr. Jones </w:t>
      </w:r>
      <w:r w:rsidR="00775D52" w:rsidRPr="00461BC7">
        <w:t>in which he had concluded she suffered from paranoid schizophrenia</w:t>
      </w:r>
      <w:r>
        <w:t xml:space="preserve">, her medical records from jail, </w:t>
      </w:r>
      <w:r w:rsidR="00555965">
        <w:t xml:space="preserve">various </w:t>
      </w:r>
      <w:r>
        <w:t>academic transcripts and certificates, and letters from friends</w:t>
      </w:r>
      <w:r w:rsidR="002D0841">
        <w:t xml:space="preserve"> and</w:t>
      </w:r>
      <w:r>
        <w:t xml:space="preserve"> family.  A California assemblyman who had known Tresvant her entire life described her as being </w:t>
      </w:r>
      <w:bookmarkStart w:id="47" w:name="dabmq_26"/>
      <w:r>
        <w:t>“a strong leader among her peers in the community.”</w:t>
      </w:r>
      <w:bookmarkEnd w:id="47"/>
      <w:r>
        <w:t xml:space="preserve">  </w:t>
      </w:r>
      <w:r w:rsidR="003F725B">
        <w:t xml:space="preserve">Someone else with an unspecified connection to Tresvant described </w:t>
      </w:r>
      <w:r w:rsidR="00EE4E9B">
        <w:t>her</w:t>
      </w:r>
      <w:r w:rsidR="003F725B">
        <w:t xml:space="preserve"> as “a born leader.”</w:t>
      </w:r>
      <w:r w:rsidR="00E46634">
        <w:t xml:space="preserve">  </w:t>
      </w:r>
      <w:r w:rsidR="00514CD2">
        <w:t xml:space="preserve">Others remarked on </w:t>
      </w:r>
      <w:r w:rsidR="002D0841">
        <w:t xml:space="preserve">her </w:t>
      </w:r>
      <w:r w:rsidR="00514CD2">
        <w:t>academic prowess</w:t>
      </w:r>
      <w:r w:rsidR="002D0841">
        <w:t>,</w:t>
      </w:r>
      <w:r w:rsidR="00514CD2">
        <w:t xml:space="preserve"> intelligence</w:t>
      </w:r>
      <w:r w:rsidR="002D0841">
        <w:t>, and strength</w:t>
      </w:r>
      <w:r w:rsidR="00514CD2">
        <w:t>.</w:t>
      </w:r>
    </w:p>
    <w:p w14:paraId="7E3E18B9" w14:textId="4137004F" w:rsidR="002B3038" w:rsidRDefault="002D0841" w:rsidP="00100A6B">
      <w:pPr>
        <w:ind w:firstLine="720"/>
      </w:pPr>
      <w:r>
        <w:t xml:space="preserve">Sometime after finding Tresvant competent to stand trial, the </w:t>
      </w:r>
      <w:r w:rsidR="00B6082B">
        <w:t xml:space="preserve">trial court held a hearing it described as </w:t>
      </w:r>
      <w:bookmarkStart w:id="48" w:name="dabmq_27"/>
      <w:r w:rsidR="00B6082B">
        <w:t>“a prima facie diversion hearing”</w:t>
      </w:r>
      <w:bookmarkEnd w:id="48"/>
      <w:r w:rsidR="00B6082B">
        <w:t xml:space="preserve"> under section 1001.36 to determine whether Tresvant had made a prima facie showing for </w:t>
      </w:r>
      <w:r w:rsidR="002B3141">
        <w:t xml:space="preserve">pretrial </w:t>
      </w:r>
      <w:r w:rsidR="00B6082B">
        <w:t xml:space="preserve">mental health </w:t>
      </w:r>
      <w:r w:rsidR="00B6082B">
        <w:lastRenderedPageBreak/>
        <w:t xml:space="preserve">diversion.  </w:t>
      </w:r>
      <w:r w:rsidR="00747ADD">
        <w:t>The</w:t>
      </w:r>
      <w:r w:rsidR="002B3038">
        <w:t xml:space="preserve"> trial court assumed for the sake of argument that Tresvant </w:t>
      </w:r>
      <w:r w:rsidR="00E03A3A">
        <w:t xml:space="preserve">had made a prima facie showing </w:t>
      </w:r>
      <w:r w:rsidR="002B3038">
        <w:t xml:space="preserve">that she </w:t>
      </w:r>
      <w:r w:rsidR="00E03A3A">
        <w:t xml:space="preserve">suffered </w:t>
      </w:r>
      <w:r w:rsidR="002B3038">
        <w:t>from</w:t>
      </w:r>
      <w:r w:rsidR="002B3141">
        <w:t xml:space="preserve"> a qualifying mental health disorder</w:t>
      </w:r>
      <w:r w:rsidR="00E03A3A">
        <w:t xml:space="preserve"> (namely, </w:t>
      </w:r>
      <w:r w:rsidR="002B3038">
        <w:t>major depressive disorder</w:t>
      </w:r>
      <w:r w:rsidR="00E03A3A">
        <w:t>)</w:t>
      </w:r>
      <w:r w:rsidR="002B3141">
        <w:t xml:space="preserve"> </w:t>
      </w:r>
      <w:r w:rsidR="002B3038">
        <w:t>and that the disorder was treatable.  But the trial court found that Tresvant had failed to make a prima facie showing</w:t>
      </w:r>
      <w:r w:rsidR="00CF22D0">
        <w:t xml:space="preserve"> </w:t>
      </w:r>
      <w:r w:rsidR="002B3038">
        <w:t xml:space="preserve">that she did not pose an unreasonable risk of danger to public safety </w:t>
      </w:r>
      <w:r w:rsidR="002B3141">
        <w:t xml:space="preserve">if treated </w:t>
      </w:r>
      <w:r w:rsidR="0076784A">
        <w:t xml:space="preserve">in the community </w:t>
      </w:r>
      <w:r w:rsidR="002B3038">
        <w:t>and that</w:t>
      </w:r>
      <w:r w:rsidR="002B3038" w:rsidRPr="00D903B3">
        <w:t xml:space="preserve"> </w:t>
      </w:r>
      <w:r w:rsidR="00CF22D0">
        <w:t>her</w:t>
      </w:r>
      <w:r w:rsidR="002B3038" w:rsidRPr="00D903B3">
        <w:t xml:space="preserve"> disorder played a significant role in the commission of the charged offense</w:t>
      </w:r>
      <w:r w:rsidR="002B3038">
        <w:t xml:space="preserve">. </w:t>
      </w:r>
    </w:p>
    <w:p w14:paraId="2F477588" w14:textId="0CD963B9" w:rsidR="002B3038" w:rsidRDefault="002B3038" w:rsidP="00100A6B">
      <w:pPr>
        <w:ind w:firstLine="720"/>
      </w:pPr>
      <w:r>
        <w:t xml:space="preserve">With respect to whether Tresvant’s major depressive </w:t>
      </w:r>
      <w:r w:rsidRPr="00D903B3">
        <w:t>disorder played a significant role in the commission of the charged offense</w:t>
      </w:r>
      <w:r w:rsidR="00763A5D">
        <w:t>s</w:t>
      </w:r>
      <w:r>
        <w:t xml:space="preserve">, defense counsel made an offer of proof that Dr. Jones would testify that </w:t>
      </w:r>
      <w:r w:rsidR="00E16FCD">
        <w:t xml:space="preserve">(1) </w:t>
      </w:r>
      <w:bookmarkStart w:id="49" w:name="dabmq_28"/>
      <w:r>
        <w:t>“he wrote in the report that her major depressive disorder influenced her, or somehow the condition allowed her to be manipulated to go into a vehicle where co-defendants were committing this robbery</w:t>
      </w:r>
      <w:r w:rsidR="00E16FCD">
        <w:t>,</w:t>
      </w:r>
      <w:r>
        <w:t>”</w:t>
      </w:r>
      <w:bookmarkEnd w:id="49"/>
      <w:r>
        <w:t xml:space="preserve"> </w:t>
      </w:r>
      <w:r w:rsidR="00E16FCD">
        <w:t xml:space="preserve">(2) </w:t>
      </w:r>
      <w:r>
        <w:t>Tresvant suffered from this condition when the robberies were committed</w:t>
      </w:r>
      <w:r w:rsidR="00E16FCD">
        <w:t>,</w:t>
      </w:r>
      <w:r>
        <w:t xml:space="preserve"> and </w:t>
      </w:r>
      <w:r w:rsidR="00E16FCD">
        <w:t xml:space="preserve">(3) </w:t>
      </w:r>
      <w:r>
        <w:t xml:space="preserve">people suffering from major depressive disorder are followers and not leaders.  The court accepted that there existed evidence that Tresvant was depressed after having been in custody for </w:t>
      </w:r>
      <w:r w:rsidR="00E16FCD">
        <w:t xml:space="preserve">over </w:t>
      </w:r>
      <w:r>
        <w:t xml:space="preserve">one year but </w:t>
      </w:r>
      <w:r w:rsidR="00763A5D">
        <w:t>concluded</w:t>
      </w:r>
      <w:r>
        <w:t xml:space="preserve"> there was </w:t>
      </w:r>
      <w:r w:rsidR="00763A5D">
        <w:t xml:space="preserve">no </w:t>
      </w:r>
      <w:r>
        <w:t xml:space="preserve">evidence that she suffered from depression when the crimes were committed.  The court explained, </w:t>
      </w:r>
      <w:bookmarkStart w:id="50" w:name="dabmq_29"/>
      <w:r>
        <w:t>“[t]here is no real indication, even from the doctor’s reports that I reviewed, that she was suffering from that type of condition based on responses from her family and friends at the time of the incident herself.”</w:t>
      </w:r>
      <w:bookmarkEnd w:id="50"/>
    </w:p>
    <w:p w14:paraId="0F249D0C" w14:textId="524F2EC7" w:rsidR="002B3038" w:rsidRPr="00775D52" w:rsidRDefault="002B3038" w:rsidP="00100A6B">
      <w:pPr>
        <w:pStyle w:val="ListParagraph"/>
        <w:keepNext/>
        <w:keepLines/>
        <w:numPr>
          <w:ilvl w:val="0"/>
          <w:numId w:val="21"/>
        </w:numPr>
        <w:rPr>
          <w:i/>
          <w:iCs/>
        </w:rPr>
      </w:pPr>
      <w:r w:rsidRPr="00775D52">
        <w:rPr>
          <w:i/>
          <w:iCs/>
        </w:rPr>
        <w:t>Analysis</w:t>
      </w:r>
    </w:p>
    <w:p w14:paraId="25100A1F" w14:textId="0AD362A3" w:rsidR="002B3038" w:rsidRDefault="002B3038" w:rsidP="00100A6B">
      <w:r>
        <w:tab/>
        <w:t>Section</w:t>
      </w:r>
      <w:r w:rsidRPr="00403386">
        <w:t xml:space="preserve"> 1001.36</w:t>
      </w:r>
      <w:r>
        <w:t xml:space="preserve"> provides that certain criminal</w:t>
      </w:r>
      <w:r w:rsidRPr="00403386">
        <w:t xml:space="preserve"> defendants suffering from </w:t>
      </w:r>
      <w:r>
        <w:t xml:space="preserve">qualifying </w:t>
      </w:r>
      <w:r w:rsidRPr="00403386">
        <w:t xml:space="preserve">mental disorders may be eligible for pretrial diversion, which </w:t>
      </w:r>
      <w:r>
        <w:t xml:space="preserve">the statute </w:t>
      </w:r>
      <w:r>
        <w:lastRenderedPageBreak/>
        <w:t>defines as</w:t>
      </w:r>
      <w:r w:rsidRPr="00403386">
        <w:t xml:space="preserve"> </w:t>
      </w:r>
      <w:bookmarkStart w:id="51" w:name="dabmq_30"/>
      <w:r w:rsidRPr="00403386">
        <w:t>“postponement of prosecution, either temporarily or permanently, at any point in the judicial process from the point at which the accused is charged until adjudication, to allow the defendant to undergo mental health treatment</w:t>
      </w:r>
      <w:r>
        <w:t>.</w:t>
      </w:r>
      <w:r w:rsidRPr="00403386">
        <w:t>”</w:t>
      </w:r>
      <w:bookmarkEnd w:id="51"/>
      <w:r>
        <w:t xml:space="preserve">  (§ 1001.36, subds. (a)-(c).)</w:t>
      </w:r>
      <w:r w:rsidRPr="00403386">
        <w:t xml:space="preserve"> </w:t>
      </w:r>
      <w:r>
        <w:t xml:space="preserve"> For defendants charged with a qualifying crime, </w:t>
      </w:r>
      <w:r w:rsidRPr="00D903B3">
        <w:t>a trial court may grant pretrial diversion</w:t>
      </w:r>
      <w:r>
        <w:t xml:space="preserve"> </w:t>
      </w:r>
      <w:r w:rsidRPr="00D903B3">
        <w:t>if all of the following</w:t>
      </w:r>
      <w:r w:rsidR="0022550F">
        <w:t xml:space="preserve"> requirements are met</w:t>
      </w:r>
      <w:r w:rsidRPr="00D903B3">
        <w:t xml:space="preserve">: </w:t>
      </w:r>
      <w:r w:rsidR="0022550F">
        <w:t xml:space="preserve"> </w:t>
      </w:r>
      <w:r w:rsidRPr="00D903B3">
        <w:t xml:space="preserve">(1) </w:t>
      </w:r>
      <w:r w:rsidR="0022550F">
        <w:t>T</w:t>
      </w:r>
      <w:r w:rsidR="0022550F" w:rsidRPr="00D903B3">
        <w:t>he</w:t>
      </w:r>
      <w:r w:rsidR="0022550F">
        <w:t xml:space="preserve"> </w:t>
      </w:r>
      <w:r w:rsidR="00A50454">
        <w:t>court is satisfied that the</w:t>
      </w:r>
      <w:r w:rsidRPr="00D903B3">
        <w:t xml:space="preserve"> defendant suffers from a qualifying mental disorder; </w:t>
      </w:r>
      <w:r w:rsidR="0076784A">
        <w:t>(2) the court is satisfied that</w:t>
      </w:r>
      <w:r w:rsidR="00A50454">
        <w:t xml:space="preserve"> </w:t>
      </w:r>
      <w:r w:rsidRPr="00D903B3">
        <w:t xml:space="preserve">the disorder played a significant role in the commission of the charged offense; (3) </w:t>
      </w:r>
      <w:r w:rsidR="00A50454">
        <w:t xml:space="preserve">a qualified mental health expert opines that </w:t>
      </w:r>
      <w:r w:rsidRPr="00D903B3">
        <w:t>the defendant</w:t>
      </w:r>
      <w:r>
        <w:t>’</w:t>
      </w:r>
      <w:r w:rsidRPr="00D903B3">
        <w:t>s symptoms will respond to mental health treatment</w:t>
      </w:r>
      <w:r w:rsidR="00A50454">
        <w:t xml:space="preserve">; </w:t>
      </w:r>
      <w:r w:rsidRPr="00D903B3">
        <w:t xml:space="preserve">(4) the defendant consents to diversion and waives his or her speedy trial right; (5) the defendant agrees to comply with treatment; and (6) the </w:t>
      </w:r>
      <w:r w:rsidR="00A50454">
        <w:t xml:space="preserve">court is satisfied that the </w:t>
      </w:r>
      <w:r w:rsidRPr="00D903B3">
        <w:t>defendant will not pose an unreasonable risk of danger to public safety if treated in the community.</w:t>
      </w:r>
      <w:r>
        <w:t xml:space="preserve">  (</w:t>
      </w:r>
      <w:r w:rsidR="00547AB1">
        <w:t xml:space="preserve">§ 1001.36, subd. (b)(A)-(F); </w:t>
      </w:r>
      <w:bookmarkStart w:id="52" w:name="dabmci_eff5a55214524fcd9504d43fe8efd24c"/>
      <w:r>
        <w:rPr>
          <w:i/>
          <w:iCs/>
        </w:rPr>
        <w:t>People v. Frahs</w:t>
      </w:r>
      <w:r>
        <w:t xml:space="preserve"> (2020) 9 Cal.5th 618, 626-627 (</w:t>
      </w:r>
      <w:r>
        <w:rPr>
          <w:i/>
          <w:iCs/>
        </w:rPr>
        <w:t>Frahs</w:t>
      </w:r>
      <w:r>
        <w:t>)</w:t>
      </w:r>
      <w:bookmarkEnd w:id="52"/>
      <w:r>
        <w:t xml:space="preserve">.)  </w:t>
      </w:r>
      <w:bookmarkStart w:id="53" w:name="dabmq_31"/>
      <w:r>
        <w:t>“</w:t>
      </w:r>
      <w:r w:rsidRPr="002B65BA">
        <w:t xml:space="preserve">If the defendant makes a prima facie showing that he or she meets all of the threshold eligibility requirements and the defendant and the offense are suitable for diversion, and the trial court is satisfied that the recommended program of mental health treatment will meet the specialized mental health treatment needs of the defendant, then the court may grant pretrial diversion. </w:t>
      </w:r>
      <w:r>
        <w:t xml:space="preserve"> </w:t>
      </w:r>
      <w:r w:rsidRPr="002B65BA">
        <w:t>(§ 1001.36, subds. (a), (b)(3) &amp; (c)(1).)</w:t>
      </w:r>
      <w:r>
        <w:t>”</w:t>
      </w:r>
      <w:bookmarkEnd w:id="53"/>
      <w:r>
        <w:t xml:space="preserve">  (</w:t>
      </w:r>
      <w:bookmarkStart w:id="54" w:name="dabmci_550d37aa12164ab2aa5d09cb1ef2d051"/>
      <w:r>
        <w:rPr>
          <w:i/>
          <w:iCs/>
        </w:rPr>
        <w:t>Frahs</w:t>
      </w:r>
      <w:r>
        <w:t xml:space="preserve">, </w:t>
      </w:r>
      <w:r>
        <w:rPr>
          <w:i/>
          <w:iCs/>
        </w:rPr>
        <w:t>supra</w:t>
      </w:r>
      <w:r>
        <w:t>, at p. 627</w:t>
      </w:r>
      <w:bookmarkEnd w:id="54"/>
      <w:r>
        <w:t xml:space="preserve">.)  </w:t>
      </w:r>
      <w:bookmarkStart w:id="55" w:name="dabmq_32"/>
      <w:r>
        <w:t>“</w:t>
      </w:r>
      <w:r w:rsidRPr="006A1CBE">
        <w:t xml:space="preserve">The hearing on the prima facie showing shall be informal and may proceed on offers of proof, reliable hearsay, and argument of counsel. </w:t>
      </w:r>
      <w:r>
        <w:t xml:space="preserve"> </w:t>
      </w:r>
      <w:r w:rsidRPr="006A1CBE">
        <w:t>If a prima facie showing is not made, the court may summarily deny the request for diversion or grant any other relief as may be deemed appropriate.</w:t>
      </w:r>
      <w:r>
        <w:t>”</w:t>
      </w:r>
      <w:bookmarkEnd w:id="55"/>
      <w:r>
        <w:t xml:space="preserve">  (§ 1001.36, subd. (b)(3).)</w:t>
      </w:r>
    </w:p>
    <w:p w14:paraId="73611DCD" w14:textId="27D3498C" w:rsidR="002B3038" w:rsidRPr="00DC6143" w:rsidRDefault="0022550F" w:rsidP="00117B1C">
      <w:pPr>
        <w:keepNext/>
        <w:keepLines/>
        <w:ind w:firstLine="720"/>
      </w:pPr>
      <w:r>
        <w:lastRenderedPageBreak/>
        <w:t xml:space="preserve">Diversion under </w:t>
      </w:r>
      <w:r w:rsidR="0012130D">
        <w:t xml:space="preserve">section 1001.36 </w:t>
      </w:r>
      <w:r>
        <w:t>is discretionary, not mandatory,</w:t>
      </w:r>
      <w:r w:rsidR="0012130D">
        <w:t xml:space="preserve"> even if all of the requirements are met</w:t>
      </w:r>
      <w:r>
        <w:t>.</w:t>
      </w:r>
      <w:r w:rsidR="0012130D">
        <w:t xml:space="preserve"> </w:t>
      </w:r>
      <w:r>
        <w:t xml:space="preserve"> </w:t>
      </w:r>
      <w:r w:rsidR="0012130D">
        <w:t xml:space="preserve">(§ 1001.36, subd. (a); </w:t>
      </w:r>
      <w:bookmarkStart w:id="56" w:name="dabmci_02681afca9e6418594277680052cddf2"/>
      <w:r w:rsidR="0012130D">
        <w:rPr>
          <w:i/>
          <w:iCs/>
        </w:rPr>
        <w:t>Frahs</w:t>
      </w:r>
      <w:r w:rsidR="0012130D">
        <w:t xml:space="preserve">, </w:t>
      </w:r>
      <w:r w:rsidR="0012130D">
        <w:rPr>
          <w:i/>
          <w:iCs/>
        </w:rPr>
        <w:t>supra</w:t>
      </w:r>
      <w:r w:rsidR="0012130D">
        <w:t>, 9 Cal.5th at p. 626</w:t>
      </w:r>
      <w:bookmarkEnd w:id="56"/>
      <w:r>
        <w:t>.</w:t>
      </w:r>
      <w:r w:rsidR="0012130D">
        <w:t>)</w:t>
      </w:r>
      <w:r w:rsidR="00415BE9">
        <w:t xml:space="preserve"> </w:t>
      </w:r>
      <w:r w:rsidR="0012130D">
        <w:t xml:space="preserve"> </w:t>
      </w:r>
      <w:r>
        <w:t>W</w:t>
      </w:r>
      <w:r w:rsidRPr="00B206BB">
        <w:t xml:space="preserve">e </w:t>
      </w:r>
      <w:r>
        <w:t xml:space="preserve">therefore </w:t>
      </w:r>
      <w:r w:rsidR="002B3038" w:rsidRPr="00B206BB">
        <w:t xml:space="preserve">review for abuse of discretion the trial court’s </w:t>
      </w:r>
      <w:r>
        <w:t>decision</w:t>
      </w:r>
      <w:r w:rsidR="002B3038">
        <w:t xml:space="preserve"> whether </w:t>
      </w:r>
      <w:r>
        <w:t>to grant a request for</w:t>
      </w:r>
      <w:r w:rsidR="00415BE9">
        <w:t xml:space="preserve"> </w:t>
      </w:r>
      <w:r w:rsidR="002B3038">
        <w:t>mental health diversion</w:t>
      </w:r>
      <w:r w:rsidR="00DD3C8A">
        <w:t>.</w:t>
      </w:r>
      <w:r w:rsidR="00F33C0A">
        <w:t xml:space="preserve"> </w:t>
      </w:r>
      <w:r w:rsidR="00DD3C8A">
        <w:t xml:space="preserve"> </w:t>
      </w:r>
      <w:r w:rsidR="00F33C0A">
        <w:t xml:space="preserve">(See </w:t>
      </w:r>
      <w:bookmarkStart w:id="57" w:name="dabmci_8897a95cbcd447239e73f375b66e4b47"/>
      <w:r w:rsidR="00F33C0A">
        <w:rPr>
          <w:i/>
          <w:iCs/>
        </w:rPr>
        <w:t>People v. Hall</w:t>
      </w:r>
      <w:r w:rsidR="00F33C0A">
        <w:t xml:space="preserve"> (2016) 247 Cal.App.4th 1255, 1264</w:t>
      </w:r>
      <w:r w:rsidR="009C5CA2">
        <w:t xml:space="preserve"> (</w:t>
      </w:r>
      <w:r w:rsidR="009C5CA2">
        <w:rPr>
          <w:i/>
          <w:iCs/>
        </w:rPr>
        <w:t>Hall</w:t>
      </w:r>
      <w:r w:rsidR="009C5CA2">
        <w:t>)</w:t>
      </w:r>
      <w:bookmarkEnd w:id="57"/>
      <w:r w:rsidR="009C5CA2">
        <w:t>.)</w:t>
      </w:r>
      <w:r w:rsidR="00DD3C8A">
        <w:t xml:space="preserve"> </w:t>
      </w:r>
    </w:p>
    <w:p w14:paraId="6FC139CE" w14:textId="2966DDD8" w:rsidR="002B3038" w:rsidRPr="00FC633E" w:rsidRDefault="002B3038" w:rsidP="00100A6B">
      <w:pPr>
        <w:ind w:firstLine="720"/>
      </w:pPr>
      <w:r>
        <w:t xml:space="preserve">Tresvant argues that we do not review for abuse of discretion the trial court’s determination of whether a defendant has made a prima facie showing of eligibility, arguing instead that she </w:t>
      </w:r>
      <w:bookmarkStart w:id="58" w:name="dabmq_33"/>
      <w:r>
        <w:t>“need only show the court erred in failing to apply the correct prima facie analysis to her showing of eligibility.”</w:t>
      </w:r>
      <w:bookmarkEnd w:id="58"/>
      <w:r>
        <w:t xml:space="preserve">  For the two factors on which the trial court based its determination</w:t>
      </w:r>
      <w:r w:rsidR="00DD3C8A">
        <w:t xml:space="preserve"> in this case</w:t>
      </w:r>
      <w:r>
        <w:t>,</w:t>
      </w:r>
      <w:r w:rsidR="00581D2A">
        <w:t xml:space="preserve"> </w:t>
      </w:r>
      <w:r>
        <w:t xml:space="preserve">we do not agree. </w:t>
      </w:r>
      <w:r w:rsidR="00AF1DFA">
        <w:t xml:space="preserve"> </w:t>
      </w:r>
      <w:r>
        <w:t xml:space="preserve">We review for abuse of discretion the trial court’s determination of whether </w:t>
      </w:r>
      <w:r w:rsidRPr="004F1572">
        <w:t>resentencing a petitioner</w:t>
      </w:r>
      <w:r>
        <w:t xml:space="preserve"> under section 1170.18</w:t>
      </w:r>
      <w:r w:rsidRPr="004F1572">
        <w:t xml:space="preserve"> </w:t>
      </w:r>
      <w:bookmarkStart w:id="59" w:name="dabmq_34"/>
      <w:r>
        <w:t>“</w:t>
      </w:r>
      <w:r w:rsidRPr="004F1572">
        <w:t>would pose an unreasonable risk of danger to public safety.</w:t>
      </w:r>
      <w:r>
        <w:t>”</w:t>
      </w:r>
      <w:bookmarkEnd w:id="59"/>
      <w:r>
        <w:t xml:space="preserve">  (</w:t>
      </w:r>
      <w:bookmarkStart w:id="60" w:name="dabmci_de28a139c73246e8ade8b02f8601f43e"/>
      <w:r>
        <w:rPr>
          <w:i/>
          <w:iCs/>
        </w:rPr>
        <w:t>People v. Jefferson</w:t>
      </w:r>
      <w:r>
        <w:t xml:space="preserve"> (2016) 1 Cal.App.5th 235, 24</w:t>
      </w:r>
      <w:r w:rsidR="001B08E1">
        <w:t>2</w:t>
      </w:r>
      <w:bookmarkEnd w:id="60"/>
      <w:r>
        <w:t xml:space="preserve">; </w:t>
      </w:r>
      <w:bookmarkStart w:id="61" w:name="dabmci_cceb8e94bba54a4bb6a8ab2f562b02db"/>
      <w:r>
        <w:rPr>
          <w:i/>
          <w:iCs/>
        </w:rPr>
        <w:t>Hall</w:t>
      </w:r>
      <w:r w:rsidR="009C5CA2">
        <w:t xml:space="preserve">, </w:t>
      </w:r>
      <w:r w:rsidR="009C5CA2" w:rsidRPr="009C5CA2">
        <w:rPr>
          <w:i/>
          <w:iCs/>
        </w:rPr>
        <w:t>supra</w:t>
      </w:r>
      <w:r w:rsidR="009C5CA2">
        <w:t xml:space="preserve">, </w:t>
      </w:r>
      <w:r w:rsidR="00DC6143">
        <w:t xml:space="preserve">247 Cal.App.4th </w:t>
      </w:r>
      <w:r w:rsidR="009C5CA2">
        <w:t xml:space="preserve">at pp. </w:t>
      </w:r>
      <w:r>
        <w:t>1263-1264</w:t>
      </w:r>
      <w:bookmarkEnd w:id="61"/>
      <w:r>
        <w:t xml:space="preserve">.)  </w:t>
      </w:r>
      <w:r w:rsidR="00AF1DFA">
        <w:t xml:space="preserve">Section 1001.36 </w:t>
      </w:r>
      <w:r w:rsidR="00D018A9">
        <w:t xml:space="preserve">expressly </w:t>
      </w:r>
      <w:r w:rsidR="00AF1DFA">
        <w:t xml:space="preserve">adopts the definition of </w:t>
      </w:r>
      <w:bookmarkStart w:id="62" w:name="dabmq_35"/>
      <w:r w:rsidR="00AF1DFA">
        <w:t>“unreasonable risk of danger to public safety”</w:t>
      </w:r>
      <w:bookmarkEnd w:id="62"/>
      <w:r w:rsidR="00AF1DFA">
        <w:t xml:space="preserve"> </w:t>
      </w:r>
      <w:r w:rsidR="00D018A9">
        <w:t xml:space="preserve">that is </w:t>
      </w:r>
      <w:r w:rsidR="00AF1DFA">
        <w:t xml:space="preserve">provided in </w:t>
      </w:r>
      <w:r w:rsidR="006276B9">
        <w:t>section 1170.18</w:t>
      </w:r>
      <w:r w:rsidR="00AF1DFA">
        <w:t>.  (§</w:t>
      </w:r>
      <w:r w:rsidR="00D018A9">
        <w:t> </w:t>
      </w:r>
      <w:r w:rsidR="00AF1DFA">
        <w:t xml:space="preserve">1001.36, subd. (b)(1)(F).)  </w:t>
      </w:r>
      <w:r>
        <w:t xml:space="preserve">Tresvant has not provided any reason </w:t>
      </w:r>
      <w:r w:rsidR="00B22CB7">
        <w:t xml:space="preserve">why </w:t>
      </w:r>
      <w:r>
        <w:t xml:space="preserve">a different standard of review </w:t>
      </w:r>
      <w:r w:rsidR="00B22CB7">
        <w:t>should apply</w:t>
      </w:r>
      <w:r>
        <w:t xml:space="preserve"> to reviewing the trial court’s determination of whether a defendant has made a prima facie showing regarding th</w:t>
      </w:r>
      <w:r w:rsidR="006276B9">
        <w:t>is identical factor in section 1001.36</w:t>
      </w:r>
      <w:r>
        <w:t xml:space="preserve">. </w:t>
      </w:r>
      <w:r w:rsidR="00AF1DFA">
        <w:t xml:space="preserve"> </w:t>
      </w:r>
      <w:r>
        <w:t xml:space="preserve">Likewise, </w:t>
      </w:r>
      <w:r w:rsidR="00B637A4">
        <w:t xml:space="preserve">the </w:t>
      </w:r>
      <w:r w:rsidR="00A262E6">
        <w:t xml:space="preserve">court’s determination of whether the court </w:t>
      </w:r>
      <w:bookmarkStart w:id="63" w:name="dabmq_36"/>
      <w:r w:rsidR="00A262E6">
        <w:t>“is satisfied</w:t>
      </w:r>
      <w:r w:rsidR="00E67DE3" w:rsidRPr="00E67DE3">
        <w:t xml:space="preserve"> that the defendant’s mental disorder was a significant factor in the commission of the charged offense</w:t>
      </w:r>
      <w:r w:rsidR="00A262E6">
        <w:t>”</w:t>
      </w:r>
      <w:bookmarkEnd w:id="63"/>
      <w:r w:rsidR="00B637A4">
        <w:t xml:space="preserve"> (§ 1001.36, subd. (b)(1)(B))</w:t>
      </w:r>
      <w:r w:rsidR="00E67DE3">
        <w:t xml:space="preserve"> appears to be inherently discretionary—the court must exercise its discretion to determine whether it </w:t>
      </w:r>
      <w:r w:rsidR="00E67DE3">
        <w:lastRenderedPageBreak/>
        <w:t>is “satisfied” that the role of the mental disorder was sufficiently “significant” to qualify.</w:t>
      </w:r>
      <w:r w:rsidR="00B637A4">
        <w:t xml:space="preserve">  </w:t>
      </w:r>
      <w:r w:rsidR="00E67DE3">
        <w:t>Because the trial court must exercise its discretion in making both of those determinations</w:t>
      </w:r>
      <w:r w:rsidR="00FB32A3">
        <w:t xml:space="preserve">, </w:t>
      </w:r>
      <w:r w:rsidR="00E6070D">
        <w:t xml:space="preserve">we review </w:t>
      </w:r>
      <w:r w:rsidR="00E67DE3">
        <w:t xml:space="preserve">them </w:t>
      </w:r>
      <w:r w:rsidR="00E6070D">
        <w:t>for abuse of discretion</w:t>
      </w:r>
      <w:r w:rsidR="00FB32A3">
        <w:t>.  (</w:t>
      </w:r>
      <w:bookmarkStart w:id="64" w:name="dabmci_a48ef22d29c34526b98be97b1647e6f6"/>
      <w:r w:rsidR="00FB32A3">
        <w:rPr>
          <w:i/>
          <w:iCs/>
        </w:rPr>
        <w:t>In re White</w:t>
      </w:r>
      <w:r w:rsidR="00FB32A3">
        <w:t xml:space="preserve"> (2020) 9 Cal.5th 455, 469</w:t>
      </w:r>
      <w:bookmarkEnd w:id="64"/>
      <w:r w:rsidR="00FB32A3">
        <w:t>.)</w:t>
      </w:r>
      <w:r w:rsidR="00FB32A3" w:rsidRPr="00DC6143">
        <w:t xml:space="preserve">  </w:t>
      </w:r>
      <w:r w:rsidR="0021665B">
        <w:t xml:space="preserve">At the same time, we recognize that </w:t>
      </w:r>
      <w:bookmarkStart w:id="65" w:name="dabmq_37"/>
      <w:r>
        <w:t>“‘</w:t>
      </w:r>
      <w:r w:rsidR="0021665B">
        <w:t>[a]</w:t>
      </w:r>
      <w:r w:rsidR="0021665B" w:rsidRPr="00844A9B">
        <w:t xml:space="preserve">n </w:t>
      </w:r>
      <w:r w:rsidRPr="00844A9B">
        <w:t>abuse of discretion is shown when the trial court applies the wrong legal standard</w:t>
      </w:r>
      <w:r>
        <w:t>’</w:t>
      </w:r>
      <w:r w:rsidRPr="00844A9B">
        <w:t>”</w:t>
      </w:r>
      <w:bookmarkEnd w:id="65"/>
      <w:r>
        <w:t xml:space="preserve"> (</w:t>
      </w:r>
      <w:bookmarkStart w:id="66" w:name="dabmci_75d99041508a4d96929777db1b9a4dfb"/>
      <w:r>
        <w:rPr>
          <w:i/>
          <w:iCs/>
        </w:rPr>
        <w:t>Hall</w:t>
      </w:r>
      <w:r>
        <w:t xml:space="preserve">, </w:t>
      </w:r>
      <w:r>
        <w:rPr>
          <w:i/>
          <w:iCs/>
        </w:rPr>
        <w:t>supra</w:t>
      </w:r>
      <w:r>
        <w:t>, at p. 1264</w:t>
      </w:r>
      <w:bookmarkEnd w:id="66"/>
      <w:r>
        <w:t>)</w:t>
      </w:r>
      <w:r w:rsidR="0021665B">
        <w:t>,</w:t>
      </w:r>
      <w:r w:rsidRPr="00DC6143">
        <w:t xml:space="preserve"> </w:t>
      </w:r>
      <w:r w:rsidR="0021665B">
        <w:t>and w</w:t>
      </w:r>
      <w:r w:rsidR="0021665B" w:rsidRPr="00C75C56">
        <w:t xml:space="preserve">e </w:t>
      </w:r>
      <w:r w:rsidRPr="00C75C56">
        <w:t>independently review questions of statutory interpretation</w:t>
      </w:r>
      <w:r>
        <w:t xml:space="preserve"> (</w:t>
      </w:r>
      <w:bookmarkStart w:id="67" w:name="dabmci_9b95d58fca76423baa24ae31f5f7d141"/>
      <w:r>
        <w:rPr>
          <w:i/>
          <w:iCs/>
        </w:rPr>
        <w:t>People v. Dimacali</w:t>
      </w:r>
      <w:r>
        <w:t xml:space="preserve"> (2019) 32 Cal.App.5th 822, 827</w:t>
      </w:r>
      <w:bookmarkEnd w:id="67"/>
      <w:r>
        <w:t>)</w:t>
      </w:r>
      <w:r w:rsidR="0021665B">
        <w:t>.</w:t>
      </w:r>
    </w:p>
    <w:p w14:paraId="502ADF1F" w14:textId="06B9E5C3" w:rsidR="00FC633E" w:rsidRDefault="002B3038" w:rsidP="00100A6B">
      <w:pPr>
        <w:ind w:firstLine="720"/>
      </w:pPr>
      <w:r>
        <w:t xml:space="preserve">Tresvant argues that </w:t>
      </w:r>
      <w:r w:rsidR="0021665B">
        <w:t>her offers of proof concerning Dr. Jones’s testimony constituted</w:t>
      </w:r>
      <w:r>
        <w:t xml:space="preserve"> a prima facie showing that her mental health disorder was a “significant factor” in </w:t>
      </w:r>
      <w:r w:rsidR="00E6070D">
        <w:t>her</w:t>
      </w:r>
      <w:r>
        <w:t xml:space="preserve"> </w:t>
      </w:r>
      <w:r w:rsidR="0021665B">
        <w:t xml:space="preserve">commission of </w:t>
      </w:r>
      <w:r w:rsidR="00E6070D">
        <w:t>the offenses</w:t>
      </w:r>
      <w:r>
        <w:t xml:space="preserve">. </w:t>
      </w:r>
      <w:r w:rsidR="00AF6D2B">
        <w:t xml:space="preserve"> </w:t>
      </w:r>
      <w:r>
        <w:t xml:space="preserve">She contends that at the prima facie showing stage the trial court was not allowed to consider anything except her uncontradicted evidence in determining whether she made a prima facie showing.  </w:t>
      </w:r>
      <w:r w:rsidR="0021665B">
        <w:t xml:space="preserve">In the context of this case, we </w:t>
      </w:r>
      <w:r>
        <w:t xml:space="preserve">do not agree.  </w:t>
      </w:r>
    </w:p>
    <w:p w14:paraId="72BB5706" w14:textId="24B0293B" w:rsidR="00D06645" w:rsidRPr="00B7526B" w:rsidRDefault="00C83627" w:rsidP="00100A6B">
      <w:pPr>
        <w:ind w:firstLine="720"/>
      </w:pPr>
      <w:r>
        <w:t>In general, a</w:t>
      </w:r>
      <w:r w:rsidRPr="00C6679E">
        <w:t xml:space="preserve"> </w:t>
      </w:r>
      <w:r w:rsidR="00D06645" w:rsidRPr="00C6679E">
        <w:t>prima facie showing</w:t>
      </w:r>
      <w:r w:rsidR="00D06645">
        <w:t xml:space="preserve"> </w:t>
      </w:r>
      <w:bookmarkStart w:id="68" w:name="dabmq_38"/>
      <w:r w:rsidR="00D06645">
        <w:t>“‘</w:t>
      </w:r>
      <w:r w:rsidR="00D06645" w:rsidRPr="00C6679E">
        <w:t>is one that is sufficient to support the position of the party in question.</w:t>
      </w:r>
      <w:r w:rsidR="00D06645">
        <w:t>’</w:t>
      </w:r>
      <w:r w:rsidR="00D06645" w:rsidRPr="00C6679E">
        <w:t>”</w:t>
      </w:r>
      <w:bookmarkEnd w:id="68"/>
      <w:r w:rsidR="00D06645" w:rsidRPr="00C6679E">
        <w:t xml:space="preserve"> </w:t>
      </w:r>
      <w:r w:rsidR="00D06645">
        <w:t xml:space="preserve"> (</w:t>
      </w:r>
      <w:bookmarkStart w:id="69" w:name="dabmci_5700c010083c4b2f9ed0dedd871b3dd1"/>
      <w:r w:rsidR="00D06645">
        <w:rPr>
          <w:i/>
          <w:iCs/>
        </w:rPr>
        <w:t>People v. Garcia</w:t>
      </w:r>
      <w:r w:rsidR="00D06645">
        <w:t xml:space="preserve"> (2020) 57 Cal.App.5th 100, 110</w:t>
      </w:r>
      <w:bookmarkEnd w:id="69"/>
      <w:r w:rsidR="00D06645">
        <w:t xml:space="preserve">; </w:t>
      </w:r>
      <w:bookmarkStart w:id="70" w:name="dabmci_153c31c6527f4ea19bb63629da9e7525"/>
      <w:r w:rsidR="00D06645">
        <w:rPr>
          <w:i/>
          <w:iCs/>
        </w:rPr>
        <w:t>People v. Law</w:t>
      </w:r>
      <w:r w:rsidR="00D06645">
        <w:t xml:space="preserve"> (2020) 48 Cal.App.5th 811, 820</w:t>
      </w:r>
      <w:bookmarkEnd w:id="70"/>
      <w:r w:rsidR="00D06645">
        <w:t xml:space="preserve">.)  </w:t>
      </w:r>
      <w:r w:rsidR="00467B69">
        <w:t xml:space="preserve">Prima facie evidence, however, </w:t>
      </w:r>
      <w:bookmarkStart w:id="71" w:name="dabmq_39"/>
      <w:r w:rsidR="007F4809">
        <w:t>“‘“</w:t>
      </w:r>
      <w:r w:rsidR="007F4809" w:rsidRPr="007F4809">
        <w:t xml:space="preserve">is that which suffices for the proof of a particular fact, until contradicted and overcome by other evidence. </w:t>
      </w:r>
      <w:r w:rsidR="007F4809">
        <w:t xml:space="preserve"> </w:t>
      </w:r>
      <w:r w:rsidR="007F4809" w:rsidRPr="007F4809">
        <w:t>It may, however, be contradicted, and other evidence is always admissible for that purpose.</w:t>
      </w:r>
      <w:r w:rsidR="007F4809">
        <w:t>”</w:t>
      </w:r>
      <w:bookmarkEnd w:id="71"/>
      <w:r w:rsidR="007F4809" w:rsidRPr="007F4809">
        <w:t>’</w:t>
      </w:r>
      <w:r w:rsidR="007F4809">
        <w:t>”</w:t>
      </w:r>
      <w:r w:rsidR="00B7526B">
        <w:t xml:space="preserve">  (</w:t>
      </w:r>
      <w:bookmarkStart w:id="72" w:name="dabmci_0092cdc24c1846ec83b448a0592eabbc"/>
      <w:r w:rsidR="00B7526B">
        <w:rPr>
          <w:i/>
          <w:iCs/>
        </w:rPr>
        <w:t>People v. Nunez</w:t>
      </w:r>
      <w:r w:rsidR="00B7526B">
        <w:t xml:space="preserve"> (2020) 57 Cal.App.5th 78,</w:t>
      </w:r>
      <w:r w:rsidR="00F61599">
        <w:t xml:space="preserve"> 88</w:t>
      </w:r>
      <w:bookmarkEnd w:id="72"/>
      <w:r w:rsidR="00B7526B">
        <w:t>, review granted</w:t>
      </w:r>
      <w:r w:rsidR="00467B69">
        <w:t xml:space="preserve"> </w:t>
      </w:r>
      <w:r w:rsidR="00DC6143">
        <w:t xml:space="preserve">Jan. 13, 2021, </w:t>
      </w:r>
      <w:r w:rsidR="00467B69">
        <w:t>S265918.)</w:t>
      </w:r>
    </w:p>
    <w:p w14:paraId="68452800" w14:textId="6A7BC40E" w:rsidR="002B3038" w:rsidRPr="00C07571" w:rsidRDefault="00C83627" w:rsidP="00117B1C">
      <w:pPr>
        <w:keepNext/>
        <w:keepLines/>
        <w:ind w:firstLine="720"/>
      </w:pPr>
      <w:r>
        <w:lastRenderedPageBreak/>
        <w:t>Nothing in</w:t>
      </w:r>
      <w:r w:rsidR="00C07571">
        <w:t xml:space="preserve"> the language of the statute</w:t>
      </w:r>
      <w:r w:rsidR="00467B69">
        <w:t xml:space="preserve"> </w:t>
      </w:r>
      <w:r w:rsidR="002B3038">
        <w:t>suggests that</w:t>
      </w:r>
      <w:r>
        <w:t>,</w:t>
      </w:r>
      <w:r w:rsidR="002B3038">
        <w:t xml:space="preserve"> in determining whether a defendant has made </w:t>
      </w:r>
      <w:r w:rsidR="004A02BD">
        <w:t>a</w:t>
      </w:r>
      <w:r w:rsidR="002B3038">
        <w:t xml:space="preserve"> </w:t>
      </w:r>
      <w:r w:rsidR="00C73883">
        <w:t>“</w:t>
      </w:r>
      <w:r w:rsidR="002B3038">
        <w:t>prima facie showing</w:t>
      </w:r>
      <w:r w:rsidR="00C73883">
        <w:t>”</w:t>
      </w:r>
      <w:r w:rsidR="002B3038">
        <w:t xml:space="preserve"> for eligibility</w:t>
      </w:r>
      <w:r>
        <w:t>,</w:t>
      </w:r>
      <w:r w:rsidR="002B3038">
        <w:t xml:space="preserve"> a trial court is </w:t>
      </w:r>
      <w:r>
        <w:t xml:space="preserve">required </w:t>
      </w:r>
      <w:r w:rsidR="002B3038">
        <w:t xml:space="preserve">to </w:t>
      </w:r>
      <w:r>
        <w:t xml:space="preserve">consider only </w:t>
      </w:r>
      <w:r w:rsidR="002B3038">
        <w:t xml:space="preserve">the defendant’s evidence.  </w:t>
      </w:r>
      <w:r w:rsidR="00FC633E">
        <w:t>The statute</w:t>
      </w:r>
      <w:r w:rsidR="00C07571">
        <w:t xml:space="preserve"> does not limit the court’s consideration of </w:t>
      </w:r>
      <w:bookmarkStart w:id="73" w:name="dabmq_40"/>
      <w:r w:rsidR="00C07571">
        <w:t>“</w:t>
      </w:r>
      <w:r w:rsidR="00C07571" w:rsidRPr="00C07571">
        <w:t>offers of proof, reliable hearsay, and argument of counsel</w:t>
      </w:r>
      <w:r w:rsidR="00C07571">
        <w:t>”</w:t>
      </w:r>
      <w:bookmarkEnd w:id="73"/>
      <w:r w:rsidR="00C07571">
        <w:t xml:space="preserve"> to those presented or made by the defense.  (§ 1001.36, subd. (b)(3).)</w:t>
      </w:r>
      <w:r w:rsidR="00B25E66">
        <w:t xml:space="preserve"> </w:t>
      </w:r>
      <w:r w:rsidR="00185A68">
        <w:t xml:space="preserve"> The Legislature knew how to and could have added limiting language to the statute if it desired </w:t>
      </w:r>
      <w:r w:rsidR="00F87C57">
        <w:t>such a</w:t>
      </w:r>
      <w:r w:rsidR="00185A68">
        <w:t xml:space="preserve"> limitation.  (</w:t>
      </w:r>
      <w:bookmarkStart w:id="74" w:name="dabmci_3fe8f056351644e3a6a289b7a12525a8"/>
      <w:r w:rsidR="00185A68">
        <w:rPr>
          <w:i/>
          <w:iCs/>
        </w:rPr>
        <w:t>People v. Albi</w:t>
      </w:r>
      <w:r w:rsidR="00D2761A">
        <w:rPr>
          <w:i/>
          <w:iCs/>
        </w:rPr>
        <w:t>l</w:t>
      </w:r>
      <w:r w:rsidR="00185A68">
        <w:rPr>
          <w:i/>
          <w:iCs/>
        </w:rPr>
        <w:t xml:space="preserve">lar </w:t>
      </w:r>
      <w:r w:rsidR="00185A68">
        <w:t>(2010) 51 Cal.4th 47, 57</w:t>
      </w:r>
      <w:bookmarkEnd w:id="74"/>
      <w:r w:rsidR="00185A68">
        <w:t xml:space="preserve">.)  </w:t>
      </w:r>
      <w:r w:rsidR="00F33C0A">
        <w:t>We</w:t>
      </w:r>
      <w:r w:rsidR="00B25E66">
        <w:t xml:space="preserve"> will not read </w:t>
      </w:r>
      <w:r w:rsidR="00F33C0A">
        <w:t>such</w:t>
      </w:r>
      <w:r w:rsidR="000C4FB5">
        <w:t xml:space="preserve"> </w:t>
      </w:r>
      <w:r w:rsidR="00B25E66">
        <w:t>limiting language into the statutory text.  (</w:t>
      </w:r>
      <w:bookmarkStart w:id="75" w:name="dabmci_6d78ef74505f40158a64061ce4ba21a3"/>
      <w:r w:rsidR="00B25E66">
        <w:rPr>
          <w:i/>
          <w:iCs/>
        </w:rPr>
        <w:t>Pacific Gas &amp; Electric Co. v. Superior Court</w:t>
      </w:r>
      <w:r w:rsidR="00B25E66">
        <w:t xml:space="preserve"> (2017) 10 Cal.App.5th </w:t>
      </w:r>
      <w:r w:rsidR="00310E4C">
        <w:t>5</w:t>
      </w:r>
      <w:r w:rsidR="00B25E66">
        <w:t xml:space="preserve">63, </w:t>
      </w:r>
      <w:r w:rsidR="00310E4C">
        <w:t>5</w:t>
      </w:r>
      <w:r w:rsidR="00B25E66">
        <w:t>71</w:t>
      </w:r>
      <w:bookmarkEnd w:id="75"/>
      <w:r w:rsidR="00B25E66">
        <w:t>.)</w:t>
      </w:r>
      <w:r w:rsidR="007C6224">
        <w:t xml:space="preserve"> </w:t>
      </w:r>
      <w:r w:rsidR="00B6061C">
        <w:t xml:space="preserve"> </w:t>
      </w:r>
      <w:r>
        <w:t xml:space="preserve">In the absence of </w:t>
      </w:r>
      <w:r w:rsidR="000C4FB5">
        <w:t>such an express limitation</w:t>
      </w:r>
      <w:r w:rsidR="00B6061C">
        <w:t>, we</w:t>
      </w:r>
      <w:r w:rsidR="002B3038">
        <w:t xml:space="preserve"> </w:t>
      </w:r>
      <w:r w:rsidR="007C6224">
        <w:t>conclude that</w:t>
      </w:r>
      <w:r w:rsidR="002B3038">
        <w:t xml:space="preserve"> the trial court is not limited to consideration of </w:t>
      </w:r>
      <w:r w:rsidR="00D915D1">
        <w:t xml:space="preserve">evidence, argument by counsel, and offers of proof made by the defendant </w:t>
      </w:r>
      <w:r w:rsidR="002B3038">
        <w:t xml:space="preserve">in determining whether the defendant has made a prima facie showing </w:t>
      </w:r>
      <w:r w:rsidR="002B3038" w:rsidRPr="00A266DA">
        <w:t>of eligibility for diversion</w:t>
      </w:r>
      <w:r w:rsidR="002B3038">
        <w:t>.</w:t>
      </w:r>
      <w:r w:rsidR="00B64393">
        <w:t xml:space="preserve">  </w:t>
      </w:r>
    </w:p>
    <w:p w14:paraId="401C7A57" w14:textId="25644442" w:rsidR="002B3038" w:rsidRDefault="002B3038" w:rsidP="00100A6B">
      <w:pPr>
        <w:ind w:firstLine="720"/>
      </w:pPr>
      <w:r>
        <w:t xml:space="preserve">Moreover, in the context of this case, </w:t>
      </w:r>
      <w:r w:rsidR="00B64393">
        <w:t xml:space="preserve">requiring the court to consider only Tresvant’s evidence and offers of proof </w:t>
      </w:r>
      <w:r>
        <w:t>would be particularly absurd</w:t>
      </w:r>
      <w:r w:rsidR="009751DB">
        <w:t>, given</w:t>
      </w:r>
      <w:r w:rsidR="00F80344">
        <w:t xml:space="preserve"> the </w:t>
      </w:r>
      <w:r w:rsidR="00504E2B">
        <w:t>evidence</w:t>
      </w:r>
      <w:r w:rsidR="00F80344">
        <w:t xml:space="preserve"> that</w:t>
      </w:r>
      <w:r w:rsidR="00504E2B">
        <w:t xml:space="preserve"> had already been introduced about Tresvant’s mental health in the competency proceeding.</w:t>
      </w:r>
      <w:r>
        <w:t xml:space="preserve"> </w:t>
      </w:r>
      <w:r w:rsidR="00504E2B">
        <w:t xml:space="preserve"> I</w:t>
      </w:r>
      <w:r w:rsidR="0021678C">
        <w:t xml:space="preserve">t would </w:t>
      </w:r>
      <w:r w:rsidR="009751DB">
        <w:t>make no sense</w:t>
      </w:r>
      <w:r w:rsidR="0021678C">
        <w:t xml:space="preserve"> to require the court to </w:t>
      </w:r>
      <w:r>
        <w:t xml:space="preserve">disregard </w:t>
      </w:r>
      <w:r w:rsidR="0021678C">
        <w:t>that</w:t>
      </w:r>
      <w:r>
        <w:t xml:space="preserve"> evidence</w:t>
      </w:r>
      <w:r w:rsidR="009751DB">
        <w:t>, find a prima facie case on that basis, set a further hearing on diversion, and then be confronted with the same evidence that the court knew about but deliberately ignored at the prima facie showing stage</w:t>
      </w:r>
      <w:r>
        <w:t xml:space="preserve">.  </w:t>
      </w:r>
      <w:r w:rsidR="009751DB">
        <w:t xml:space="preserve">Thus, in </w:t>
      </w:r>
      <w:r w:rsidR="002D7D64">
        <w:t>determining whether Tresvant made a prima facie showing, the trial court properly considered evidence outside of the offers of proof presented by Tresvant</w:t>
      </w:r>
      <w:r w:rsidR="009751DB">
        <w:t>.</w:t>
      </w:r>
      <w:r w:rsidR="002D7D64">
        <w:t xml:space="preserve"> </w:t>
      </w:r>
      <w:r w:rsidR="009751DB">
        <w:t xml:space="preserve"> The court</w:t>
      </w:r>
      <w:r w:rsidR="0021678C">
        <w:t xml:space="preserve"> did not </w:t>
      </w:r>
      <w:r>
        <w:t>appl</w:t>
      </w:r>
      <w:r w:rsidR="0021678C">
        <w:t>y</w:t>
      </w:r>
      <w:r>
        <w:t xml:space="preserve"> </w:t>
      </w:r>
      <w:r w:rsidR="0021678C">
        <w:t>an</w:t>
      </w:r>
      <w:r>
        <w:t xml:space="preserve"> </w:t>
      </w:r>
      <w:r w:rsidR="0021678C">
        <w:t>im</w:t>
      </w:r>
      <w:r>
        <w:t>proper analytical framework.</w:t>
      </w:r>
    </w:p>
    <w:p w14:paraId="03DDA490" w14:textId="26ADE66D" w:rsidR="00B44074" w:rsidRDefault="002B3038" w:rsidP="00117B1C">
      <w:pPr>
        <w:keepNext/>
        <w:keepLines/>
        <w:ind w:firstLine="720"/>
      </w:pPr>
      <w:r>
        <w:lastRenderedPageBreak/>
        <w:t xml:space="preserve">The trial court did not abuse its discretion </w:t>
      </w:r>
      <w:r w:rsidR="00FF10D8">
        <w:t>by</w:t>
      </w:r>
      <w:r>
        <w:t xml:space="preserve"> concluding that Tresvant did not make a prima facie showing that major depressive order </w:t>
      </w:r>
      <w:r w:rsidR="00F80344">
        <w:t>was a significant factor</w:t>
      </w:r>
      <w:r>
        <w:t xml:space="preserve"> in her commission of the offenses.  First, the offer of proof </w:t>
      </w:r>
      <w:r w:rsidR="00A74722">
        <w:t>that</w:t>
      </w:r>
      <w:r>
        <w:t xml:space="preserve"> Dr. Jones would testify </w:t>
      </w:r>
      <w:r w:rsidR="00A74722">
        <w:t>that he wrote</w:t>
      </w:r>
      <w:r>
        <w:t xml:space="preserve"> in his report </w:t>
      </w:r>
      <w:r w:rsidR="00A74722">
        <w:t xml:space="preserve">that </w:t>
      </w:r>
      <w:r w:rsidR="00DB6061">
        <w:t xml:space="preserve">Tresvant’s major depressive disorder </w:t>
      </w:r>
      <w:r w:rsidR="00A74722">
        <w:t xml:space="preserve">influenced </w:t>
      </w:r>
      <w:r w:rsidR="00DB6061">
        <w:t xml:space="preserve">her or somehow </w:t>
      </w:r>
      <w:bookmarkStart w:id="76" w:name="dabmq_41"/>
      <w:r w:rsidR="00DB6061">
        <w:t>“allow</w:t>
      </w:r>
      <w:r w:rsidR="00A74722">
        <w:t>ed</w:t>
      </w:r>
      <w:r w:rsidR="00DB6061">
        <w:t xml:space="preserve"> her to be manipulated to go into a vehicle where co-defendants were committing this robbery”</w:t>
      </w:r>
      <w:bookmarkEnd w:id="76"/>
      <w:r w:rsidR="00DB6061">
        <w:t xml:space="preserve"> is of n</w:t>
      </w:r>
      <w:r w:rsidR="006667E6">
        <w:t>egligible</w:t>
      </w:r>
      <w:r w:rsidR="00DB6061">
        <w:t xml:space="preserve"> value.  Dr. Jones’s report was submitted in support of Tresvant’s motion, and </w:t>
      </w:r>
      <w:r w:rsidR="00F80344">
        <w:t xml:space="preserve">in it </w:t>
      </w:r>
      <w:r w:rsidR="00DB6061">
        <w:t xml:space="preserve">he </w:t>
      </w:r>
      <w:r w:rsidR="006667E6">
        <w:t xml:space="preserve">concluded that </w:t>
      </w:r>
      <w:r w:rsidR="00F80344">
        <w:t>Tresvant</w:t>
      </w:r>
      <w:r w:rsidR="006667E6">
        <w:t xml:space="preserve"> suffered from paranoid schizophrenia and not major depressive disorder</w:t>
      </w:r>
      <w:r w:rsidR="00FF10D8">
        <w:t>, as proffered by defense counsel</w:t>
      </w:r>
      <w:r w:rsidR="006667E6">
        <w:t>.</w:t>
      </w:r>
      <w:r>
        <w:t xml:space="preserve"> </w:t>
      </w:r>
      <w:r w:rsidR="00117CE9">
        <w:t xml:space="preserve"> </w:t>
      </w:r>
      <w:r w:rsidR="00FF10D8">
        <w:t>Moreover, the paranoid schizophrenia diagnosis</w:t>
      </w:r>
      <w:r w:rsidR="004A75F0">
        <w:t xml:space="preserve"> (which </w:t>
      </w:r>
      <w:r w:rsidR="00CB198D">
        <w:t xml:space="preserve">Dr. Jones </w:t>
      </w:r>
      <w:r w:rsidR="004A75F0">
        <w:t>retracted</w:t>
      </w:r>
      <w:r w:rsidR="00F80344">
        <w:t xml:space="preserve"> </w:t>
      </w:r>
      <w:r w:rsidR="00CB198D">
        <w:t>at the competency trial</w:t>
      </w:r>
      <w:r w:rsidR="00F80344">
        <w:t xml:space="preserve">, as described </w:t>
      </w:r>
      <w:bookmarkStart w:id="77" w:name="dabmci_3678503d038b4bf28c59f177d9e244cb"/>
      <w:r w:rsidR="00F80344">
        <w:rPr>
          <w:i/>
          <w:iCs/>
        </w:rPr>
        <w:t>ante</w:t>
      </w:r>
      <w:r w:rsidR="004A75F0">
        <w:t>)</w:t>
      </w:r>
      <w:bookmarkEnd w:id="77"/>
      <w:r w:rsidR="00FF10D8">
        <w:t xml:space="preserve"> </w:t>
      </w:r>
      <w:r w:rsidR="00CB198D">
        <w:t>was the basis for the report’s statement</w:t>
      </w:r>
      <w:r w:rsidR="00117CE9">
        <w:t xml:space="preserve"> that Tresvant was a </w:t>
      </w:r>
      <w:bookmarkStart w:id="78" w:name="dabmq_42"/>
      <w:r w:rsidR="00117CE9">
        <w:t>“a very dependent and passive person who would be likely to blindly follow the suggestions of her attorney or peers.”</w:t>
      </w:r>
      <w:bookmarkEnd w:id="78"/>
      <w:r w:rsidR="00F6717A">
        <w:t xml:space="preserve">  The first offer of proof </w:t>
      </w:r>
      <w:r w:rsidR="00CB198D">
        <w:t xml:space="preserve">concerning </w:t>
      </w:r>
      <w:r w:rsidR="00F6717A">
        <w:t xml:space="preserve">Dr. Jones’s testimony </w:t>
      </w:r>
      <w:r w:rsidR="003C4351">
        <w:t xml:space="preserve">thus </w:t>
      </w:r>
      <w:r w:rsidR="00F6717A">
        <w:t xml:space="preserve">is </w:t>
      </w:r>
      <w:r w:rsidR="00CB198D">
        <w:t>conclusively refuted</w:t>
      </w:r>
      <w:r w:rsidR="00F6717A">
        <w:t xml:space="preserve"> by </w:t>
      </w:r>
      <w:r w:rsidR="00CB198D">
        <w:t xml:space="preserve">other </w:t>
      </w:r>
      <w:r w:rsidR="00F6717A">
        <w:t>evidence</w:t>
      </w:r>
      <w:r w:rsidR="00CB198D">
        <w:t xml:space="preserve"> Tresvant submitted with her motion</w:t>
      </w:r>
      <w:r w:rsidR="00F6717A">
        <w:t>.</w:t>
      </w:r>
    </w:p>
    <w:p w14:paraId="69CC14A7" w14:textId="0370FDD4" w:rsidR="009E3E34" w:rsidRDefault="002B3038" w:rsidP="00100A6B">
      <w:pPr>
        <w:ind w:firstLine="720"/>
      </w:pPr>
      <w:r>
        <w:t xml:space="preserve">Second, </w:t>
      </w:r>
      <w:r w:rsidR="009E3E34">
        <w:t xml:space="preserve">the </w:t>
      </w:r>
      <w:r w:rsidR="004A75F0">
        <w:t xml:space="preserve">remaining </w:t>
      </w:r>
      <w:r w:rsidR="009E3E34">
        <w:t>offer</w:t>
      </w:r>
      <w:r w:rsidR="004A75F0">
        <w:t>s</w:t>
      </w:r>
      <w:r w:rsidR="009E3E34">
        <w:t xml:space="preserve"> of proof </w:t>
      </w:r>
      <w:r w:rsidR="00303AE0">
        <w:t>concerning</w:t>
      </w:r>
      <w:r w:rsidR="009E3E34">
        <w:t xml:space="preserve"> Dr. Jones</w:t>
      </w:r>
      <w:r w:rsidR="00C0535E">
        <w:t>’s testimony</w:t>
      </w:r>
      <w:r w:rsidR="009E3E34">
        <w:t xml:space="preserve"> </w:t>
      </w:r>
      <w:r w:rsidR="004A75F0">
        <w:t xml:space="preserve">do not </w:t>
      </w:r>
      <w:r w:rsidR="00CB198D">
        <w:t>address</w:t>
      </w:r>
      <w:r w:rsidR="004A75F0">
        <w:t xml:space="preserve"> </w:t>
      </w:r>
      <w:r w:rsidR="004A75F0">
        <w:rPr>
          <w:i/>
          <w:iCs/>
        </w:rPr>
        <w:t>how</w:t>
      </w:r>
      <w:r w:rsidR="004A75F0">
        <w:t xml:space="preserve"> Tresvant’s mental disorder played a role in her </w:t>
      </w:r>
      <w:r w:rsidR="00CB198D">
        <w:t xml:space="preserve">commission of </w:t>
      </w:r>
      <w:r w:rsidR="004A75F0">
        <w:t>the offenses</w:t>
      </w:r>
      <w:r w:rsidR="00F6717A">
        <w:t xml:space="preserve">, let alone </w:t>
      </w:r>
      <w:r w:rsidR="003C4351">
        <w:t>the significance of that role</w:t>
      </w:r>
      <w:r w:rsidR="004A75F0">
        <w:t>.</w:t>
      </w:r>
      <w:r w:rsidR="006667E6">
        <w:t xml:space="preserve"> </w:t>
      </w:r>
      <w:r w:rsidR="004A75F0">
        <w:t xml:space="preserve"> </w:t>
      </w:r>
      <w:r w:rsidR="003C4351">
        <w:t xml:space="preserve">Aside from the </w:t>
      </w:r>
      <w:r w:rsidR="00CB198D">
        <w:t xml:space="preserve">statements </w:t>
      </w:r>
      <w:r w:rsidR="003C4351">
        <w:t>about what Dr. Jones had written in his report, t</w:t>
      </w:r>
      <w:r w:rsidR="004A75F0">
        <w:t xml:space="preserve">he offers of proof were that Dr. Jones would testify that </w:t>
      </w:r>
      <w:r w:rsidR="006667E6">
        <w:t>Tresvant suffered from major depressive disorder</w:t>
      </w:r>
      <w:r w:rsidR="00117CE9">
        <w:t xml:space="preserve"> when the robberies were committed and that people who suffer from major depressive disorder are followers and not leaders.</w:t>
      </w:r>
      <w:r w:rsidR="009E1B06">
        <w:t xml:space="preserve">  </w:t>
      </w:r>
      <w:r w:rsidR="00CB198D">
        <w:t>Evidence that a defendant</w:t>
      </w:r>
      <w:r w:rsidR="009E1B06">
        <w:t xml:space="preserve"> </w:t>
      </w:r>
      <w:r w:rsidR="00CB198D">
        <w:t xml:space="preserve">suffers </w:t>
      </w:r>
      <w:r w:rsidR="009E1B06">
        <w:t xml:space="preserve">from a mental disorder </w:t>
      </w:r>
      <w:r w:rsidR="00CB198D">
        <w:t xml:space="preserve">that </w:t>
      </w:r>
      <w:r w:rsidR="009E1B06">
        <w:t xml:space="preserve">generally </w:t>
      </w:r>
      <w:r w:rsidR="00CB198D">
        <w:t xml:space="preserve">tends </w:t>
      </w:r>
      <w:r w:rsidR="009E1B06">
        <w:t xml:space="preserve">to </w:t>
      </w:r>
      <w:r w:rsidR="00CB198D">
        <w:t xml:space="preserve">make </w:t>
      </w:r>
      <w:r w:rsidR="00CB198D">
        <w:lastRenderedPageBreak/>
        <w:t xml:space="preserve">someone </w:t>
      </w:r>
      <w:r w:rsidR="009E1B06">
        <w:t xml:space="preserve">a follower and not a leader does not </w:t>
      </w:r>
      <w:r w:rsidR="00CB198D">
        <w:t>show that</w:t>
      </w:r>
      <w:r w:rsidR="009E1B06">
        <w:t xml:space="preserve"> the disorder played a </w:t>
      </w:r>
      <w:r w:rsidR="009E1B06" w:rsidRPr="00D845F2">
        <w:t>significant role</w:t>
      </w:r>
      <w:r w:rsidR="009E1B06">
        <w:t xml:space="preserve"> </w:t>
      </w:r>
      <w:r w:rsidR="00C32483">
        <w:t xml:space="preserve">(or any role) </w:t>
      </w:r>
      <w:r w:rsidR="009E1B06">
        <w:t>in t</w:t>
      </w:r>
      <w:r w:rsidR="002D2991">
        <w:t xml:space="preserve">hat particular </w:t>
      </w:r>
      <w:r w:rsidR="00CB198D">
        <w:t xml:space="preserve">defendant’s commission of that </w:t>
      </w:r>
      <w:r w:rsidR="002D2991">
        <w:t xml:space="preserve">particular offense.  </w:t>
      </w:r>
      <w:r w:rsidR="00303AE0">
        <w:t>The evidence does not exclude the obvious possibility that leaders can suffer from major depression too, or that a person suffering from major depression who consequently tends to be a follower in some circumstances may also be a leader or coequal participant in others.  The offer of proof that Dr. Jones would testify that Tresvant suffers from major depression and that people who suffer from major depression tend to be followers rather than leaders thus does not constitute a prima facie showing that Tresvant’s alleged mental disorder played a significant role, or any role at all, in her commission of the offenses.</w:t>
      </w:r>
      <w:r w:rsidR="007A42B0">
        <w:t xml:space="preserve">  </w:t>
      </w:r>
      <w:r w:rsidR="00303AE0">
        <w:t>Therefore,</w:t>
      </w:r>
      <w:r w:rsidR="002D2991">
        <w:t xml:space="preserve"> even if the trial court </w:t>
      </w:r>
      <w:r w:rsidR="00303AE0">
        <w:t>were limited to considering</w:t>
      </w:r>
      <w:r w:rsidR="002D2991">
        <w:t xml:space="preserve"> Tresvant’s offers of proof, the trial court did not abuse its discretion by concluding that Tresvant did not make a prima facie showing that a mental disorder played a significant role in her </w:t>
      </w:r>
      <w:r w:rsidR="00303AE0">
        <w:t xml:space="preserve">commission </w:t>
      </w:r>
      <w:r w:rsidR="00F17159">
        <w:t xml:space="preserve">of </w:t>
      </w:r>
      <w:r w:rsidR="002D2991">
        <w:t>the offenses.</w:t>
      </w:r>
    </w:p>
    <w:p w14:paraId="4CA0024F" w14:textId="786D987E" w:rsidR="00561721" w:rsidRDefault="000A5CEB" w:rsidP="00100A6B">
      <w:pPr>
        <w:ind w:firstLine="720"/>
      </w:pPr>
      <w:r>
        <w:t>The evidence introduced at the competency trial further supports our conclusion that the trial court did not abuse its discretion.</w:t>
      </w:r>
      <w:r w:rsidR="002A3D78">
        <w:t xml:space="preserve">  </w:t>
      </w:r>
      <w:r>
        <w:t xml:space="preserve">At the competency trial, there </w:t>
      </w:r>
      <w:r w:rsidR="002B3038">
        <w:t xml:space="preserve">was no evidence that Tresvant was depressed </w:t>
      </w:r>
      <w:r w:rsidR="002B3038" w:rsidRPr="00531A40">
        <w:rPr>
          <w:i/>
          <w:iCs/>
        </w:rPr>
        <w:t>when she committed the offenses</w:t>
      </w:r>
      <w:r w:rsidR="002B3038">
        <w:t xml:space="preserve">.  </w:t>
      </w:r>
      <w:r w:rsidR="002A3D78">
        <w:t>Instead, the evidence</w:t>
      </w:r>
      <w:r w:rsidR="008C277E">
        <w:t xml:space="preserve"> showed that</w:t>
      </w:r>
      <w:r w:rsidR="002A3D78">
        <w:t xml:space="preserve"> she suffered from an unspecified degree of major depressive disorder while incarcerated</w:t>
      </w:r>
      <w:r w:rsidR="00B32447">
        <w:t xml:space="preserve">, which Dr. Walsh explained is common.  </w:t>
      </w:r>
      <w:r w:rsidR="007D5174">
        <w:t>The probation officers who</w:t>
      </w:r>
      <w:r w:rsidR="002B3038">
        <w:t xml:space="preserve"> interacted with </w:t>
      </w:r>
      <w:r w:rsidR="00B32447">
        <w:t>Tresvant</w:t>
      </w:r>
      <w:r w:rsidR="002B3038">
        <w:t xml:space="preserve"> around the time of her detentio</w:t>
      </w:r>
      <w:r w:rsidR="00531A40">
        <w:t>n (</w:t>
      </w:r>
      <w:r w:rsidR="006653A9">
        <w:t xml:space="preserve">immediately after </w:t>
      </w:r>
      <w:r w:rsidR="00531A40">
        <w:t>the robberies were committed)</w:t>
      </w:r>
      <w:r w:rsidR="0009384F">
        <w:t xml:space="preserve"> </w:t>
      </w:r>
      <w:r w:rsidR="007D5174">
        <w:t>described her as bright</w:t>
      </w:r>
      <w:r w:rsidR="00561721">
        <w:t>, engaged,</w:t>
      </w:r>
      <w:r w:rsidR="007D5174">
        <w:t xml:space="preserve"> and a leader.</w:t>
      </w:r>
      <w:r w:rsidR="00C50C08">
        <w:t xml:space="preserve">  </w:t>
      </w:r>
      <w:r w:rsidR="006653A9">
        <w:t xml:space="preserve">Those </w:t>
      </w:r>
      <w:r w:rsidR="00C50C08">
        <w:t>impressions were overwhelmingly supported by the referenc</w:t>
      </w:r>
      <w:r w:rsidR="003E55B2">
        <w:t>e letters Tresvant submitted</w:t>
      </w:r>
      <w:r w:rsidR="006653A9">
        <w:t>,</w:t>
      </w:r>
      <w:r w:rsidR="003E55B2">
        <w:t xml:space="preserve"> </w:t>
      </w:r>
      <w:r w:rsidR="003E55B2">
        <w:lastRenderedPageBreak/>
        <w:t xml:space="preserve">in which </w:t>
      </w:r>
      <w:r w:rsidR="00B90584">
        <w:t>numerous</w:t>
      </w:r>
      <w:r w:rsidR="003E55B2">
        <w:t xml:space="preserve"> people described her as </w:t>
      </w:r>
      <w:r w:rsidR="006653A9">
        <w:t xml:space="preserve">smart and </w:t>
      </w:r>
      <w:r w:rsidR="003E55B2">
        <w:t>a leader.  Moreover, w</w:t>
      </w:r>
      <w:r w:rsidR="002B3038">
        <w:t xml:space="preserve">hen she was evaluated for a juvenile fitness hearing one month after the offenses were committed, </w:t>
      </w:r>
      <w:r w:rsidR="008C277E">
        <w:t>Tresvant</w:t>
      </w:r>
      <w:r w:rsidR="002B3038">
        <w:t xml:space="preserve"> </w:t>
      </w:r>
      <w:r w:rsidR="006653A9">
        <w:t>told</w:t>
      </w:r>
      <w:r w:rsidR="008C277E">
        <w:t xml:space="preserve"> the probation officer</w:t>
      </w:r>
      <w:r w:rsidR="002B3038">
        <w:t xml:space="preserve"> that she did not have any mental health history and that she </w:t>
      </w:r>
      <w:bookmarkStart w:id="79" w:name="dabmq_43"/>
      <w:r w:rsidR="002B3038">
        <w:t>“did not believe she needed counseling.”</w:t>
      </w:r>
      <w:bookmarkEnd w:id="79"/>
      <w:r w:rsidR="002B3038">
        <w:t xml:space="preserve">  </w:t>
      </w:r>
      <w:r w:rsidR="00E43DDD">
        <w:t>Given all of that evidence, it was well within the trial court’s discretion to determine that there was no prima facie showing that at the time of the charged offenses Tresvant suffered from depression at all, let alone to such a degree that her depression played a significant role or any role in her commission of the offenses.</w:t>
      </w:r>
    </w:p>
    <w:p w14:paraId="22CD8B2D" w14:textId="3053B998" w:rsidR="00527DFF" w:rsidRDefault="004046AA" w:rsidP="00100A6B">
      <w:pPr>
        <w:ind w:firstLine="720"/>
      </w:pPr>
      <w:r>
        <w:t>For all of these reasons, we conclude that the trial court did not abuse its discretion by concluding that Tresvant failed to make a prima facie showing that</w:t>
      </w:r>
      <w:r w:rsidR="00561721">
        <w:t xml:space="preserve"> her</w:t>
      </w:r>
      <w:r>
        <w:t xml:space="preserve"> mental disorder </w:t>
      </w:r>
      <w:r w:rsidR="005727B6">
        <w:t>was not a</w:t>
      </w:r>
      <w:r>
        <w:t xml:space="preserve"> significant factor in the commission of the offenses.  Because a defendant is not statutorily eligible for pretrial mental health diversion unless all of the threshold criteria are met</w:t>
      </w:r>
      <w:r w:rsidR="00531A40">
        <w:t xml:space="preserve"> (§ 1001.36, subd. (b)(1))</w:t>
      </w:r>
      <w:r>
        <w:t>,</w:t>
      </w:r>
      <w:r w:rsidR="002B3038">
        <w:t xml:space="preserve"> we need not and do not decide whether the trial court abused its discretion </w:t>
      </w:r>
      <w:r w:rsidR="00561721">
        <w:t xml:space="preserve">by </w:t>
      </w:r>
      <w:r w:rsidR="002B3038">
        <w:t>concluding that Tresvant did not make a prima facie showing that she did not pose an unreasonable risk of danger to public safety.</w:t>
      </w:r>
    </w:p>
    <w:p w14:paraId="2AEFA93C" w14:textId="53F3A834" w:rsidR="00C917B5" w:rsidRPr="001A387B" w:rsidRDefault="00C917B5" w:rsidP="00117B1C">
      <w:pPr>
        <w:pStyle w:val="ListParagraph"/>
        <w:keepNext/>
        <w:keepLines/>
        <w:numPr>
          <w:ilvl w:val="0"/>
          <w:numId w:val="20"/>
        </w:numPr>
        <w:ind w:left="360"/>
        <w:rPr>
          <w:i/>
          <w:iCs/>
        </w:rPr>
      </w:pPr>
      <w:r w:rsidRPr="001A387B">
        <w:rPr>
          <w:i/>
          <w:iCs/>
        </w:rPr>
        <w:t>Senate Bill 567</w:t>
      </w:r>
    </w:p>
    <w:p w14:paraId="6671C69F" w14:textId="766E134B" w:rsidR="00E951AA" w:rsidRPr="001A387B" w:rsidRDefault="00E951AA" w:rsidP="00100A6B">
      <w:pPr>
        <w:ind w:firstLine="720"/>
      </w:pPr>
      <w:r w:rsidRPr="001A387B">
        <w:t xml:space="preserve">“Robbery of the second degree is punishable by imprisonment in the state prison for two, three, or five years.”  (§ 213, subd. (a)(2).)  Senate Bill 567 amended section 1170 to impose limits on a trial judge’s discretion in choosing between the low, middle, </w:t>
      </w:r>
      <w:r w:rsidR="00C85332" w:rsidRPr="001A387B">
        <w:t xml:space="preserve">and </w:t>
      </w:r>
      <w:r w:rsidRPr="001A387B">
        <w:t>upper term</w:t>
      </w:r>
      <w:r w:rsidR="00C85332" w:rsidRPr="001A387B">
        <w:t>s of a sentencing triad</w:t>
      </w:r>
      <w:r w:rsidRPr="001A387B">
        <w:t xml:space="preserve">.  (Stats. 2021, ch. 731.)  </w:t>
      </w:r>
    </w:p>
    <w:p w14:paraId="43AD65E1" w14:textId="72B0FA69" w:rsidR="00855275" w:rsidRPr="001A387B" w:rsidRDefault="00855275" w:rsidP="00117B1C">
      <w:pPr>
        <w:keepNext/>
        <w:keepLines/>
        <w:ind w:firstLine="720"/>
      </w:pPr>
      <w:r w:rsidRPr="001A387B">
        <w:lastRenderedPageBreak/>
        <w:t>Senate Bill 567 amended section 1170 effective January 1, 2022.</w:t>
      </w:r>
      <w:r w:rsidRPr="001A387B">
        <w:rPr>
          <w:rStyle w:val="FootnoteReference"/>
        </w:rPr>
        <w:footnoteReference w:id="5"/>
      </w:r>
      <w:r w:rsidRPr="001A387B">
        <w:t xml:space="preserve">  (Stats. 2021, ch. 731.)</w:t>
      </w:r>
      <w:r w:rsidRPr="00117B1C">
        <w:t xml:space="preserve">  </w:t>
      </w:r>
      <w:r w:rsidRPr="001A387B">
        <w:t xml:space="preserve">Before the amendments, if a statute prescribed a sentencing triad, the court had discretion to choose any one of the three terms.  (Stats. 2021, ch. 731; Former § 1170, subd. (b).)  When presented with such a choice now, the court must impose the low term if the defendant’s youth or another specified mitigating factor (such </w:t>
      </w:r>
      <w:r w:rsidR="00B45ABC" w:rsidRPr="001A387B">
        <w:t xml:space="preserve">as </w:t>
      </w:r>
      <w:r w:rsidRPr="001A387B">
        <w:t>the defendant’s experience of childhood trauma) was “a contributing factor in the commission of the offense,” “unless the court finds that the aggravating circumstances outweigh the mitigating circumstances that imposition of the lower term would be contrary to the interests of justice” (§ 1170, subd. (b)(6)(A)-(B))</w:t>
      </w:r>
      <w:r w:rsidR="002E4379" w:rsidRPr="001A387B">
        <w:t>.</w:t>
      </w:r>
      <w:r w:rsidRPr="001A387B">
        <w:t xml:space="preserve">  A defendant is considered a youth for purposes of this provision if the defendant was “under 26 years of age on the date the offense was committed.”  (§§ 1016.7, subd. (b), 1170, subd. (b)(6)(B).) </w:t>
      </w:r>
    </w:p>
    <w:p w14:paraId="027AFFA1" w14:textId="6E2A50E3" w:rsidR="00855275" w:rsidRPr="001A387B" w:rsidRDefault="00855275" w:rsidP="00100A6B">
      <w:pPr>
        <w:ind w:firstLine="720"/>
      </w:pPr>
      <w:r w:rsidRPr="001A387B">
        <w:t xml:space="preserve">In addition, section 1170 now provides that the upper term shall not be imposed unless the facts underlying the aggravating circumstances that would justify imposing the upper term are (1) stipulated to by the defendant, (2) found true by the trier of fact </w:t>
      </w:r>
      <w:r w:rsidRPr="001A387B">
        <w:lastRenderedPageBreak/>
        <w:t>beyond a reasonable doubt, or (3) based on prior convictions evidenced by a certified record of conviction.  (§ 1170, subd. (b)(2)-(3).)</w:t>
      </w:r>
    </w:p>
    <w:p w14:paraId="06E81F63" w14:textId="548493EA" w:rsidR="00C917B5" w:rsidRPr="001A387B" w:rsidRDefault="00527DFF" w:rsidP="00100A6B">
      <w:pPr>
        <w:ind w:firstLine="720"/>
      </w:pPr>
      <w:r w:rsidRPr="001A387B">
        <w:t>Defendants argue</w:t>
      </w:r>
      <w:r w:rsidR="00C917B5" w:rsidRPr="001A387B">
        <w:t xml:space="preserve"> that we must remand for resentencing because the trial court’s imposition of the upper term</w:t>
      </w:r>
      <w:r w:rsidRPr="001A387B">
        <w:t xml:space="preserve"> for Fuller </w:t>
      </w:r>
      <w:r w:rsidR="00E15AA1" w:rsidRPr="001A387B">
        <w:t xml:space="preserve">on </w:t>
      </w:r>
      <w:r w:rsidR="00C85332" w:rsidRPr="001A387B">
        <w:t xml:space="preserve">count </w:t>
      </w:r>
      <w:r w:rsidR="00E15AA1" w:rsidRPr="001A387B">
        <w:t xml:space="preserve">1 </w:t>
      </w:r>
      <w:r w:rsidRPr="001A387B">
        <w:t>and the midterm for Tresvant</w:t>
      </w:r>
      <w:r w:rsidR="00C917B5" w:rsidRPr="001A387B">
        <w:t xml:space="preserve"> on </w:t>
      </w:r>
      <w:r w:rsidR="00C85332" w:rsidRPr="001A387B">
        <w:t>count</w:t>
      </w:r>
      <w:r w:rsidR="00F30A9A">
        <w:t> </w:t>
      </w:r>
      <w:r w:rsidR="00C917B5" w:rsidRPr="001A387B">
        <w:t>1 d</w:t>
      </w:r>
      <w:r w:rsidRPr="001A387B">
        <w:t>oes</w:t>
      </w:r>
      <w:r w:rsidR="00C917B5" w:rsidRPr="001A387B">
        <w:t xml:space="preserve"> not satisfy the new requirements of </w:t>
      </w:r>
      <w:r w:rsidR="00855275" w:rsidRPr="001A387B">
        <w:t>amended</w:t>
      </w:r>
      <w:r w:rsidR="00C917B5" w:rsidRPr="001A387B">
        <w:t xml:space="preserve"> section 1170, which took effect while </w:t>
      </w:r>
      <w:r w:rsidR="004004C7" w:rsidRPr="001A387B">
        <w:t>their</w:t>
      </w:r>
      <w:r w:rsidR="00C917B5" w:rsidRPr="001A387B">
        <w:t xml:space="preserve"> appeal was pending. </w:t>
      </w:r>
      <w:r w:rsidR="00F30A9A">
        <w:t xml:space="preserve"> </w:t>
      </w:r>
      <w:r w:rsidR="00C917B5" w:rsidRPr="001A387B">
        <w:t>The People concede that Senate Bill 567 applies retroactively</w:t>
      </w:r>
      <w:r w:rsidR="002E4379" w:rsidRPr="001A387B">
        <w:t xml:space="preserve"> to this appeal</w:t>
      </w:r>
      <w:r w:rsidR="001A3986" w:rsidRPr="001A387B">
        <w:t>, and we agree.</w:t>
      </w:r>
      <w:r w:rsidR="00B52EA6" w:rsidRPr="001A387B">
        <w:t xml:space="preserve">  </w:t>
      </w:r>
      <w:r w:rsidR="00BC37CB" w:rsidRPr="001A387B">
        <w:rPr>
          <w:szCs w:val="26"/>
        </w:rPr>
        <w:t xml:space="preserve">(See, e.g., </w:t>
      </w:r>
      <w:r w:rsidR="00BC37CB" w:rsidRPr="001A387B">
        <w:rPr>
          <w:i/>
          <w:iCs/>
        </w:rPr>
        <w:t>People v. Flores</w:t>
      </w:r>
      <w:r w:rsidR="00BC37CB" w:rsidRPr="001A387B">
        <w:t xml:space="preserve"> (2022) 75 Cal.App.5th 495, 500; </w:t>
      </w:r>
      <w:r w:rsidR="00BC37CB" w:rsidRPr="001A387B">
        <w:rPr>
          <w:i/>
          <w:iCs/>
        </w:rPr>
        <w:t>People v. Garcia</w:t>
      </w:r>
      <w:r w:rsidR="00BC37CB" w:rsidRPr="001A387B">
        <w:t xml:space="preserve"> (2022) 76 Cal.App.5th 887, 902 (</w:t>
      </w:r>
      <w:r w:rsidR="00BC37CB" w:rsidRPr="001A387B">
        <w:rPr>
          <w:i/>
          <w:iCs/>
        </w:rPr>
        <w:t>Garcia</w:t>
      </w:r>
      <w:r w:rsidR="00BC37CB" w:rsidRPr="001A387B">
        <w:t>)</w:t>
      </w:r>
      <w:r w:rsidR="00BC37CB" w:rsidRPr="001A387B">
        <w:rPr>
          <w:szCs w:val="26"/>
        </w:rPr>
        <w:t>.)</w:t>
      </w:r>
    </w:p>
    <w:p w14:paraId="388776D9" w14:textId="58E8D925" w:rsidR="009E145F" w:rsidRPr="001A387B" w:rsidRDefault="001A100A" w:rsidP="00100A6B">
      <w:pPr>
        <w:ind w:firstLine="720"/>
      </w:pPr>
      <w:r w:rsidRPr="001A387B">
        <w:t xml:space="preserve">Both </w:t>
      </w:r>
      <w:r w:rsidR="009E145F" w:rsidRPr="001A387B">
        <w:t xml:space="preserve">Fuller and Tresvant were 17 years old when the offenses were committed. </w:t>
      </w:r>
      <w:r w:rsidR="00B40299" w:rsidRPr="001A387B">
        <w:t xml:space="preserve"> In sentencing defendants,</w:t>
      </w:r>
      <w:r w:rsidR="00D930AB" w:rsidRPr="001A387B">
        <w:t xml:space="preserve"> </w:t>
      </w:r>
      <w:r w:rsidR="00B40299" w:rsidRPr="001A387B">
        <w:t xml:space="preserve">the trial court </w:t>
      </w:r>
      <w:r w:rsidR="00E84CF4" w:rsidRPr="001A387B">
        <w:t>considered</w:t>
      </w:r>
      <w:r w:rsidR="00B40299" w:rsidRPr="001A387B">
        <w:t xml:space="preserve"> </w:t>
      </w:r>
      <w:r w:rsidR="0057360C" w:rsidRPr="001A387B">
        <w:t>defendants’ ages</w:t>
      </w:r>
      <w:r w:rsidR="00B40299" w:rsidRPr="001A387B">
        <w:t>.</w:t>
      </w:r>
      <w:r w:rsidR="00E31B59" w:rsidRPr="001A387B">
        <w:t xml:space="preserve">  But the</w:t>
      </w:r>
      <w:r w:rsidR="00D930AB" w:rsidRPr="001A387B">
        <w:t xml:space="preserve"> court </w:t>
      </w:r>
      <w:r w:rsidRPr="001A387B">
        <w:t>was not constrained by</w:t>
      </w:r>
      <w:r w:rsidR="00D930AB" w:rsidRPr="001A387B">
        <w:t xml:space="preserve"> Senate Bill 567’s amendments to section 1170</w:t>
      </w:r>
      <w:r w:rsidR="00934275" w:rsidRPr="001A387B">
        <w:t xml:space="preserve"> </w:t>
      </w:r>
      <w:r w:rsidR="00557C9D" w:rsidRPr="001A387B">
        <w:t>at sentencing</w:t>
      </w:r>
      <w:r w:rsidRPr="001A387B">
        <w:t>, because they did not yet exist</w:t>
      </w:r>
      <w:r w:rsidR="00934275" w:rsidRPr="001A387B">
        <w:t xml:space="preserve">.  Thus, </w:t>
      </w:r>
      <w:r w:rsidR="003108FE" w:rsidRPr="001A387B">
        <w:t xml:space="preserve">the court </w:t>
      </w:r>
      <w:r w:rsidRPr="001A387B">
        <w:t>was not bound by</w:t>
      </w:r>
      <w:r w:rsidR="003108FE" w:rsidRPr="001A387B">
        <w:t xml:space="preserve"> the </w:t>
      </w:r>
      <w:r w:rsidRPr="001A387B">
        <w:t>now-</w:t>
      </w:r>
      <w:r w:rsidR="003108FE" w:rsidRPr="001A387B">
        <w:t xml:space="preserve">governing presumption favoring </w:t>
      </w:r>
      <w:r w:rsidR="00855275" w:rsidRPr="001A387B">
        <w:t xml:space="preserve">imposition of </w:t>
      </w:r>
      <w:r w:rsidR="003108FE" w:rsidRPr="001A387B">
        <w:t>the low term if defendants’ ages contributed to the</w:t>
      </w:r>
      <w:r w:rsidRPr="001A387B">
        <w:t>ir</w:t>
      </w:r>
      <w:r w:rsidR="003108FE" w:rsidRPr="001A387B">
        <w:t xml:space="preserve"> commission of the offense</w:t>
      </w:r>
      <w:r w:rsidR="00363C18" w:rsidRPr="001A387B">
        <w:t>s</w:t>
      </w:r>
      <w:r w:rsidR="003108FE" w:rsidRPr="001A387B">
        <w:t xml:space="preserve"> </w:t>
      </w:r>
      <w:r w:rsidRPr="001A387B">
        <w:t>(§ </w:t>
      </w:r>
      <w:r w:rsidR="003108FE" w:rsidRPr="001A387B">
        <w:t>1170, subd. (b)(6)</w:t>
      </w:r>
      <w:r w:rsidR="00962048" w:rsidRPr="001A387B">
        <w:t>(B)</w:t>
      </w:r>
      <w:r w:rsidR="003108FE" w:rsidRPr="001A387B">
        <w:t>)</w:t>
      </w:r>
      <w:r w:rsidR="002E4379" w:rsidRPr="001A387B">
        <w:t>,</w:t>
      </w:r>
      <w:r w:rsidR="003108FE" w:rsidRPr="001A387B">
        <w:t xml:space="preserve"> </w:t>
      </w:r>
      <w:r w:rsidRPr="001A387B">
        <w:t>and</w:t>
      </w:r>
      <w:r w:rsidR="003108FE" w:rsidRPr="001A387B">
        <w:t xml:space="preserve"> </w:t>
      </w:r>
      <w:r w:rsidR="00934275" w:rsidRPr="001A387B">
        <w:t xml:space="preserve">the court </w:t>
      </w:r>
      <w:r w:rsidRPr="001A387B">
        <w:t xml:space="preserve">consequently </w:t>
      </w:r>
      <w:r w:rsidR="00934275" w:rsidRPr="001A387B">
        <w:t xml:space="preserve">did not </w:t>
      </w:r>
      <w:r w:rsidRPr="001A387B">
        <w:t>determine</w:t>
      </w:r>
      <w:r w:rsidR="00C84243" w:rsidRPr="001A387B">
        <w:t xml:space="preserve"> whether</w:t>
      </w:r>
      <w:r w:rsidR="00363C18" w:rsidRPr="001A387B">
        <w:t xml:space="preserve"> </w:t>
      </w:r>
      <w:r w:rsidRPr="001A387B">
        <w:t xml:space="preserve">their </w:t>
      </w:r>
      <w:r w:rsidR="00934275" w:rsidRPr="001A387B">
        <w:t xml:space="preserve">ages </w:t>
      </w:r>
      <w:r w:rsidRPr="001A387B">
        <w:t xml:space="preserve">did </w:t>
      </w:r>
      <w:r w:rsidR="00363C18" w:rsidRPr="001A387B">
        <w:t>contribute</w:t>
      </w:r>
      <w:r w:rsidR="00055099" w:rsidRPr="001A387B">
        <w:t>.</w:t>
      </w:r>
    </w:p>
    <w:p w14:paraId="31A53669" w14:textId="786CE5CC" w:rsidR="00C917B5" w:rsidRPr="001A387B" w:rsidRDefault="00720577" w:rsidP="00100A6B">
      <w:pPr>
        <w:ind w:firstLine="720"/>
      </w:pPr>
      <w:r w:rsidRPr="001A387B">
        <w:t>“When being sentenced, a defendant is entitled to decisions made by a court exercising informed discretion.”  (</w:t>
      </w:r>
      <w:r w:rsidRPr="001A387B">
        <w:rPr>
          <w:i/>
          <w:iCs/>
        </w:rPr>
        <w:t>Tirado</w:t>
      </w:r>
      <w:r w:rsidRPr="001A387B">
        <w:t xml:space="preserve">, </w:t>
      </w:r>
      <w:r w:rsidRPr="001A387B">
        <w:rPr>
          <w:i/>
          <w:iCs/>
        </w:rPr>
        <w:t>supra</w:t>
      </w:r>
      <w:r w:rsidRPr="001A387B">
        <w:t>, 12 Cal.5th at p. 694;</w:t>
      </w:r>
      <w:r w:rsidRPr="001A387B">
        <w:rPr>
          <w:i/>
          <w:iCs/>
        </w:rPr>
        <w:t xml:space="preserve"> </w:t>
      </w:r>
      <w:r w:rsidR="00C917B5" w:rsidRPr="001A387B">
        <w:rPr>
          <w:i/>
          <w:iCs/>
        </w:rPr>
        <w:t xml:space="preserve">People v. </w:t>
      </w:r>
      <w:r w:rsidR="009D1A72" w:rsidRPr="001A387B">
        <w:rPr>
          <w:i/>
          <w:iCs/>
        </w:rPr>
        <w:t>Flores</w:t>
      </w:r>
      <w:r w:rsidR="00C917B5" w:rsidRPr="001A387B">
        <w:t xml:space="preserve"> (2020) 9 Cal.5th 371, 431; </w:t>
      </w:r>
      <w:r w:rsidR="00C917B5" w:rsidRPr="001A387B">
        <w:rPr>
          <w:i/>
          <w:iCs/>
        </w:rPr>
        <w:t>People v. Gutierrez</w:t>
      </w:r>
      <w:r w:rsidR="00C917B5" w:rsidRPr="001A387B">
        <w:t xml:space="preserve"> (2014) 58 Cal.4th 1354, 1391.)  When, as here, the trial court did not have the benefit of ameliorative legislation affecting its sentencing discretion, “‘the appropriate remedy is to remand for resentencing unless the record </w:t>
      </w:r>
      <w:r w:rsidR="00F30A9A">
        <w:t>“</w:t>
      </w:r>
      <w:r w:rsidR="00C917B5" w:rsidRPr="001A387B">
        <w:t>clearly indicate[s]</w:t>
      </w:r>
      <w:r w:rsidR="00F30A9A">
        <w:t>”</w:t>
      </w:r>
      <w:r w:rsidR="00C917B5" w:rsidRPr="001A387B">
        <w:t xml:space="preserve"> that the trial court would have reached the same conclusion </w:t>
      </w:r>
      <w:r w:rsidR="00F30A9A">
        <w:lastRenderedPageBreak/>
        <w:t>“</w:t>
      </w:r>
      <w:r w:rsidR="00C917B5" w:rsidRPr="001A387B">
        <w:t>even if it had been aware that it had such discretion.”’”  (</w:t>
      </w:r>
      <w:r w:rsidR="008121C6" w:rsidRPr="001A387B">
        <w:rPr>
          <w:i/>
          <w:iCs/>
        </w:rPr>
        <w:t>Flores</w:t>
      </w:r>
      <w:r w:rsidR="00C917B5" w:rsidRPr="001A387B">
        <w:t xml:space="preserve">, </w:t>
      </w:r>
      <w:r w:rsidR="00C917B5" w:rsidRPr="001A387B">
        <w:rPr>
          <w:i/>
          <w:iCs/>
        </w:rPr>
        <w:t>supra</w:t>
      </w:r>
      <w:r w:rsidR="00C917B5" w:rsidRPr="001A387B">
        <w:t>, at p. 432</w:t>
      </w:r>
      <w:r w:rsidR="003108FE" w:rsidRPr="001A387B">
        <w:t xml:space="preserve">; </w:t>
      </w:r>
      <w:r w:rsidR="003108FE" w:rsidRPr="001A387B">
        <w:rPr>
          <w:i/>
          <w:iCs/>
        </w:rPr>
        <w:t>Gutierrez</w:t>
      </w:r>
      <w:r w:rsidR="003108FE" w:rsidRPr="001A387B">
        <w:t xml:space="preserve">, </w:t>
      </w:r>
      <w:r w:rsidR="003108FE" w:rsidRPr="001A387B">
        <w:rPr>
          <w:i/>
          <w:iCs/>
        </w:rPr>
        <w:t>supra</w:t>
      </w:r>
      <w:r w:rsidR="003108FE" w:rsidRPr="001A387B">
        <w:t>, at p. 1391</w:t>
      </w:r>
      <w:r w:rsidR="00C917B5" w:rsidRPr="001A387B">
        <w:t>.)</w:t>
      </w:r>
    </w:p>
    <w:p w14:paraId="2A25351C" w14:textId="6181FBAD" w:rsidR="00C917B5" w:rsidRPr="001A387B" w:rsidRDefault="00C917B5" w:rsidP="00100A6B">
      <w:pPr>
        <w:ind w:firstLine="720"/>
      </w:pPr>
      <w:r w:rsidRPr="001A387B">
        <w:t>We cannot say that the record clearly indicates that the trial court would impose the same sentence</w:t>
      </w:r>
      <w:r w:rsidR="006C035D" w:rsidRPr="001A387B">
        <w:t>s</w:t>
      </w:r>
      <w:r w:rsidRPr="001A387B">
        <w:t xml:space="preserve"> </w:t>
      </w:r>
      <w:r w:rsidR="00C84243" w:rsidRPr="001A387B">
        <w:t>given</w:t>
      </w:r>
      <w:r w:rsidRPr="001A387B">
        <w:t xml:space="preserve"> the new presumptions and criteria affecting its discretion in section 1170, subdivision (b).  </w:t>
      </w:r>
      <w:r w:rsidR="00CE1144" w:rsidRPr="001A387B">
        <w:t>In particular, w</w:t>
      </w:r>
      <w:r w:rsidRPr="001A387B">
        <w:t xml:space="preserve">e cannot say on this record whether the trial court would </w:t>
      </w:r>
      <w:r w:rsidR="00CA5C20" w:rsidRPr="001A387B">
        <w:t xml:space="preserve">conclude that defendants’ ages contributed to </w:t>
      </w:r>
      <w:r w:rsidR="007E4AEB" w:rsidRPr="001A387B">
        <w:t xml:space="preserve">their commission of </w:t>
      </w:r>
      <w:r w:rsidR="00CA5C20" w:rsidRPr="001A387B">
        <w:t xml:space="preserve">the offenses </w:t>
      </w:r>
      <w:r w:rsidR="00CE1144" w:rsidRPr="001A387B">
        <w:t xml:space="preserve">so as </w:t>
      </w:r>
      <w:r w:rsidR="00CA5C20" w:rsidRPr="001A387B">
        <w:t xml:space="preserve">to trigger the low term presumption in </w:t>
      </w:r>
      <w:r w:rsidRPr="001A387B">
        <w:t>subdivision (b)(6) of section 1170.  Moreover, we also cannot say with confidence what sentence</w:t>
      </w:r>
      <w:r w:rsidR="007C51A7" w:rsidRPr="001A387B">
        <w:t>s</w:t>
      </w:r>
      <w:r w:rsidRPr="001A387B">
        <w:t xml:space="preserve"> the court would impose </w:t>
      </w:r>
      <w:r w:rsidR="00FE292A" w:rsidRPr="001A387B">
        <w:t xml:space="preserve">if it applied </w:t>
      </w:r>
      <w:r w:rsidRPr="001A387B">
        <w:t xml:space="preserve">that presumption.  We consequently vacate Fuller’s upper term sentence on </w:t>
      </w:r>
      <w:r w:rsidR="00C85332" w:rsidRPr="001A387B">
        <w:t xml:space="preserve">count </w:t>
      </w:r>
      <w:r w:rsidRPr="001A387B">
        <w:t>1</w:t>
      </w:r>
      <w:r w:rsidR="00CA5C20" w:rsidRPr="001A387B">
        <w:t xml:space="preserve"> and </w:t>
      </w:r>
      <w:r w:rsidR="0057360C" w:rsidRPr="001A387B">
        <w:t xml:space="preserve">Tresvant’s middle term sentence on </w:t>
      </w:r>
      <w:r w:rsidR="00C85332" w:rsidRPr="001A387B">
        <w:t xml:space="preserve">count </w:t>
      </w:r>
      <w:r w:rsidR="0057360C" w:rsidRPr="001A387B">
        <w:t>1</w:t>
      </w:r>
      <w:r w:rsidRPr="001A387B">
        <w:t>.  (</w:t>
      </w:r>
      <w:r w:rsidRPr="001A387B">
        <w:rPr>
          <w:i/>
          <w:iCs/>
        </w:rPr>
        <w:t xml:space="preserve">People v. Flores </w:t>
      </w:r>
      <w:r w:rsidRPr="001A387B">
        <w:t xml:space="preserve">(2022) 73 Cal.App.5th 1032, 1039.)  </w:t>
      </w:r>
    </w:p>
    <w:p w14:paraId="42D720EF" w14:textId="77DF47D7" w:rsidR="00D90239" w:rsidRPr="001A387B" w:rsidRDefault="00DA3AD5" w:rsidP="00100A6B">
      <w:pPr>
        <w:ind w:firstLine="720"/>
      </w:pPr>
      <w:r w:rsidRPr="001A387B">
        <w:t xml:space="preserve">Because we are vacating defendants’ sentences on </w:t>
      </w:r>
      <w:r w:rsidR="00C85332" w:rsidRPr="001A387B">
        <w:t xml:space="preserve">count </w:t>
      </w:r>
      <w:r w:rsidRPr="001A387B">
        <w:t>1, defendants are entitled to a full resentencing.</w:t>
      </w:r>
      <w:r w:rsidR="00127277" w:rsidRPr="001A387B">
        <w:t xml:space="preserve">  (</w:t>
      </w:r>
      <w:r w:rsidR="00127277" w:rsidRPr="001A387B">
        <w:rPr>
          <w:i/>
          <w:iCs/>
        </w:rPr>
        <w:t>Gerson</w:t>
      </w:r>
      <w:r w:rsidR="00127277" w:rsidRPr="001A387B">
        <w:t xml:space="preserve">, </w:t>
      </w:r>
      <w:r w:rsidR="00127277" w:rsidRPr="001A387B">
        <w:rPr>
          <w:i/>
          <w:iCs/>
        </w:rPr>
        <w:t>supra</w:t>
      </w:r>
      <w:r w:rsidR="00127277" w:rsidRPr="001A387B">
        <w:t>, 80 Cal.App.5th at p. 1096.)</w:t>
      </w:r>
      <w:r w:rsidRPr="001A387B">
        <w:t xml:space="preserve">  </w:t>
      </w:r>
      <w:r w:rsidR="00690B5C" w:rsidRPr="001A387B">
        <w:t>Under the full resentencing rule, “when part of a sentence is stricken on review, on remand for resentencing ‘a full resentencing as to all counts is appropriate, so the trial court can exercise its sentencing discretion in light of the changed circumstances.’”  (</w:t>
      </w:r>
      <w:r w:rsidR="00690B5C" w:rsidRPr="001A387B">
        <w:rPr>
          <w:i/>
          <w:iCs/>
        </w:rPr>
        <w:t>People v. Buycks</w:t>
      </w:r>
      <w:r w:rsidR="00690B5C" w:rsidRPr="001A387B">
        <w:t xml:space="preserve"> (2018) 5 Cal.5th 857, 893; </w:t>
      </w:r>
      <w:r w:rsidR="00690B5C" w:rsidRPr="001A387B">
        <w:rPr>
          <w:i/>
          <w:iCs/>
        </w:rPr>
        <w:t>People v. Valenzuela</w:t>
      </w:r>
      <w:r w:rsidR="00690B5C" w:rsidRPr="001A387B">
        <w:t xml:space="preserve"> (2019) 7 Cal.5th 415, 424-425.)</w:t>
      </w:r>
      <w:r w:rsidR="00C84243" w:rsidRPr="001A387B">
        <w:t xml:space="preserve">  The trial court </w:t>
      </w:r>
      <w:r w:rsidR="00D90239" w:rsidRPr="001A387B">
        <w:t xml:space="preserve">thus </w:t>
      </w:r>
      <w:r w:rsidR="00C84243" w:rsidRPr="001A387B">
        <w:t>will have the opportunity to “revisit all of its sentencing choices</w:t>
      </w:r>
      <w:r w:rsidR="00C917B5" w:rsidRPr="001A387B">
        <w:t xml:space="preserve"> in light of the new legislation.”  (</w:t>
      </w:r>
      <w:r w:rsidR="00C917B5" w:rsidRPr="001A387B">
        <w:rPr>
          <w:i/>
          <w:iCs/>
        </w:rPr>
        <w:t>Garcia</w:t>
      </w:r>
      <w:r w:rsidR="00C917B5" w:rsidRPr="001A387B">
        <w:t xml:space="preserve">, </w:t>
      </w:r>
      <w:r w:rsidR="00C917B5" w:rsidRPr="001A387B">
        <w:rPr>
          <w:i/>
          <w:iCs/>
        </w:rPr>
        <w:t>supra</w:t>
      </w:r>
      <w:r w:rsidR="00C917B5" w:rsidRPr="001A387B">
        <w:t>, 76 Cal.App.5th at p. 902</w:t>
      </w:r>
      <w:r w:rsidR="00690B5C" w:rsidRPr="001A387B">
        <w:t>.)</w:t>
      </w:r>
      <w:r w:rsidR="00C917B5" w:rsidRPr="001A387B">
        <w:t xml:space="preserve">  </w:t>
      </w:r>
      <w:r w:rsidR="00D90239" w:rsidRPr="001A387B">
        <w:t>The sentences imposed on resentencing may not exceed the original aggregate sentences.  (</w:t>
      </w:r>
      <w:r w:rsidR="00D90239" w:rsidRPr="001A387B">
        <w:rPr>
          <w:i/>
          <w:iCs/>
        </w:rPr>
        <w:t xml:space="preserve">People v. </w:t>
      </w:r>
      <w:r w:rsidR="00D90239" w:rsidRPr="001A387B">
        <w:rPr>
          <w:i/>
          <w:iCs/>
        </w:rPr>
        <w:lastRenderedPageBreak/>
        <w:t>Jones</w:t>
      </w:r>
      <w:r w:rsidR="00D90239" w:rsidRPr="001A387B">
        <w:t xml:space="preserve"> (1994) 24 Cal.App.4th 1780, 1783-1784; </w:t>
      </w:r>
      <w:r w:rsidR="00D90239" w:rsidRPr="001A387B">
        <w:rPr>
          <w:i/>
          <w:iCs/>
        </w:rPr>
        <w:t>People v. Hanson</w:t>
      </w:r>
      <w:r w:rsidR="00D90239" w:rsidRPr="001A387B">
        <w:t xml:space="preserve"> (2000) 23 Cal.4th 355, 357-358.)  </w:t>
      </w:r>
    </w:p>
    <w:p w14:paraId="4783EB88" w14:textId="05DF1FCE" w:rsidR="00C917B5" w:rsidRPr="001A387B" w:rsidRDefault="00C917B5" w:rsidP="00100A6B">
      <w:pPr>
        <w:ind w:firstLine="720"/>
      </w:pPr>
      <w:r w:rsidRPr="001A387B">
        <w:t xml:space="preserve">We do not address </w:t>
      </w:r>
      <w:r w:rsidR="006C035D" w:rsidRPr="001A387B">
        <w:t>defendants’</w:t>
      </w:r>
      <w:r w:rsidRPr="001A387B">
        <w:t xml:space="preserve"> other claimed errors about sentencing because the trial court can address them at resentencing.</w:t>
      </w:r>
      <w:r w:rsidR="006C035D" w:rsidRPr="001A387B">
        <w:t xml:space="preserve">  </w:t>
      </w:r>
      <w:r w:rsidR="008C6FC7" w:rsidRPr="001A387B">
        <w:t xml:space="preserve">For example, </w:t>
      </w:r>
      <w:r w:rsidR="006C035D" w:rsidRPr="001A387B">
        <w:t>Fuller will have the opportunity to present evidence and argument concerning his ability to pay any fines, fees, and assessments.</w:t>
      </w:r>
      <w:r w:rsidR="00315A87" w:rsidRPr="001A387B">
        <w:t xml:space="preserve">  Tresvant will have the opportunity to reargue that her firearm enhancement should be stri</w:t>
      </w:r>
      <w:r w:rsidR="00557C9D" w:rsidRPr="001A387B">
        <w:t>c</w:t>
      </w:r>
      <w:r w:rsidR="00315A87" w:rsidRPr="001A387B">
        <w:t>ken</w:t>
      </w:r>
      <w:r w:rsidR="009E6630" w:rsidRPr="001A387B">
        <w:t xml:space="preserve"> and </w:t>
      </w:r>
      <w:r w:rsidR="00C44635" w:rsidRPr="001A387B">
        <w:t xml:space="preserve">to present evidence and </w:t>
      </w:r>
      <w:r w:rsidR="007E4AEB" w:rsidRPr="001A387B">
        <w:t xml:space="preserve">argument </w:t>
      </w:r>
      <w:r w:rsidR="009E6630" w:rsidRPr="001A387B">
        <w:t>about whether the low term presumption also appl</w:t>
      </w:r>
      <w:r w:rsidR="00A80E23" w:rsidRPr="001A387B">
        <w:t>ies</w:t>
      </w:r>
      <w:r w:rsidR="009E6630" w:rsidRPr="001A387B">
        <w:t xml:space="preserve"> because of childhood trauma.</w:t>
      </w:r>
      <w:r w:rsidR="006D1BF6" w:rsidRPr="001A387B">
        <w:t xml:space="preserve">  (§ 1170, subd. (b)(6)(A).)</w:t>
      </w:r>
      <w:r w:rsidR="00E15AA1" w:rsidRPr="001A387B">
        <w:t xml:space="preserve">  </w:t>
      </w:r>
      <w:r w:rsidRPr="001A387B">
        <w:t>Likewise, we do not address</w:t>
      </w:r>
      <w:r w:rsidR="006D1BF6" w:rsidRPr="001A387B">
        <w:t xml:space="preserve"> Fuller’s or</w:t>
      </w:r>
      <w:r w:rsidRPr="001A387B">
        <w:t xml:space="preserve"> the People’s arguments concerni</w:t>
      </w:r>
      <w:r w:rsidR="00671DDD" w:rsidRPr="001A387B">
        <w:t>ng</w:t>
      </w:r>
      <w:r w:rsidR="00A80E23" w:rsidRPr="001A387B">
        <w:t xml:space="preserve"> the</w:t>
      </w:r>
      <w:r w:rsidR="008A229B" w:rsidRPr="001A387B">
        <w:t xml:space="preserve"> amendments to</w:t>
      </w:r>
      <w:r w:rsidRPr="001A387B">
        <w:t xml:space="preserve"> subdivision (b)(2) of section 1170 </w:t>
      </w:r>
      <w:r w:rsidR="00FE292A" w:rsidRPr="001A387B">
        <w:t xml:space="preserve">and </w:t>
      </w:r>
      <w:r w:rsidR="00A80E23" w:rsidRPr="001A387B">
        <w:t>the court’s imposition of the</w:t>
      </w:r>
      <w:r w:rsidR="00315A87" w:rsidRPr="001A387B">
        <w:t xml:space="preserve"> upper term sentence</w:t>
      </w:r>
      <w:r w:rsidR="00671DDD" w:rsidRPr="001A387B">
        <w:t xml:space="preserve"> for </w:t>
      </w:r>
      <w:r w:rsidR="00C85332" w:rsidRPr="001A387B">
        <w:t xml:space="preserve">count </w:t>
      </w:r>
      <w:r w:rsidR="00671DDD" w:rsidRPr="001A387B">
        <w:t>1</w:t>
      </w:r>
      <w:r w:rsidR="00315A87" w:rsidRPr="001A387B">
        <w:t xml:space="preserve"> on Fuller</w:t>
      </w:r>
      <w:r w:rsidR="00E045AF" w:rsidRPr="001A387B">
        <w:t>.  If the court concludes</w:t>
      </w:r>
      <w:r w:rsidR="00713711" w:rsidRPr="001A387B">
        <w:t xml:space="preserve"> under subdivision (b)(6)(B) of section 1170</w:t>
      </w:r>
      <w:r w:rsidR="00E045AF" w:rsidRPr="001A387B">
        <w:t xml:space="preserve"> that Fuller should not be sentenced to the low term, the </w:t>
      </w:r>
      <w:r w:rsidR="00557C9D" w:rsidRPr="001A387B">
        <w:t xml:space="preserve">court </w:t>
      </w:r>
      <w:r w:rsidR="00E675DF" w:rsidRPr="001A387B">
        <w:t>can then</w:t>
      </w:r>
      <w:r w:rsidR="00557C9D" w:rsidRPr="001A387B">
        <w:t xml:space="preserve"> consider </w:t>
      </w:r>
      <w:r w:rsidR="00045B8A" w:rsidRPr="001A387B">
        <w:t xml:space="preserve">whether it should sentence Fuller to the upper term in light of </w:t>
      </w:r>
      <w:r w:rsidR="009978FB" w:rsidRPr="001A387B">
        <w:t>the new requirements</w:t>
      </w:r>
      <w:r w:rsidR="00045B8A" w:rsidRPr="001A387B">
        <w:t xml:space="preserve"> </w:t>
      </w:r>
      <w:r w:rsidR="009978FB" w:rsidRPr="001A387B">
        <w:t>of</w:t>
      </w:r>
      <w:r w:rsidR="00045B8A" w:rsidRPr="001A387B">
        <w:t xml:space="preserve"> subdivision (b)(2) of section 1170</w:t>
      </w:r>
      <w:r w:rsidR="00FE292A" w:rsidRPr="001A387B">
        <w:t xml:space="preserve">.  </w:t>
      </w:r>
    </w:p>
    <w:p w14:paraId="42BDD046" w14:textId="5CB6955E" w:rsidR="00D7002F" w:rsidRPr="001A387B" w:rsidRDefault="00D7002F" w:rsidP="00100A6B">
      <w:pPr>
        <w:pStyle w:val="ListParagraph"/>
        <w:keepNext/>
        <w:keepLines/>
        <w:numPr>
          <w:ilvl w:val="0"/>
          <w:numId w:val="20"/>
        </w:numPr>
        <w:ind w:left="360"/>
      </w:pPr>
      <w:r w:rsidRPr="001A387B">
        <w:rPr>
          <w:i/>
          <w:iCs/>
        </w:rPr>
        <w:t>Lesser Included Firearm Enhancement</w:t>
      </w:r>
      <w:r w:rsidR="0091426F" w:rsidRPr="001A387B">
        <w:rPr>
          <w:i/>
          <w:iCs/>
        </w:rPr>
        <w:t>s</w:t>
      </w:r>
      <w:r w:rsidRPr="001A387B">
        <w:rPr>
          <w:i/>
          <w:iCs/>
        </w:rPr>
        <w:t xml:space="preserve"> </w:t>
      </w:r>
    </w:p>
    <w:p w14:paraId="619B1941" w14:textId="4BD3F66B" w:rsidR="00EF007F" w:rsidRPr="001A387B" w:rsidRDefault="006C035D" w:rsidP="00100A6B">
      <w:pPr>
        <w:ind w:firstLine="720"/>
      </w:pPr>
      <w:r w:rsidRPr="001A387B">
        <w:t>Defendants</w:t>
      </w:r>
      <w:r w:rsidR="00EF007F" w:rsidRPr="001A387B">
        <w:t xml:space="preserve"> argue that the trial court erred by failing to </w:t>
      </w:r>
      <w:r w:rsidR="00EB700C" w:rsidRPr="001A387B">
        <w:t xml:space="preserve">consider </w:t>
      </w:r>
      <w:r w:rsidR="00EF007F" w:rsidRPr="001A387B">
        <w:t xml:space="preserve">imposing uncharged lesser included </w:t>
      </w:r>
      <w:r w:rsidR="00EB700C" w:rsidRPr="001A387B">
        <w:t xml:space="preserve">firearm </w:t>
      </w:r>
      <w:r w:rsidR="00EF007F" w:rsidRPr="001A387B">
        <w:t>enhancement</w:t>
      </w:r>
      <w:r w:rsidR="00EB700C" w:rsidRPr="001A387B">
        <w:t>s</w:t>
      </w:r>
      <w:r w:rsidR="00EF007F" w:rsidRPr="001A387B">
        <w:t xml:space="preserve"> under section 12022.5(a)</w:t>
      </w:r>
      <w:r w:rsidR="00D90239" w:rsidRPr="001A387B">
        <w:t xml:space="preserve"> rather than</w:t>
      </w:r>
      <w:r w:rsidR="00EB700C" w:rsidRPr="001A387B">
        <w:t xml:space="preserve"> imposing the </w:t>
      </w:r>
      <w:r w:rsidR="009D6403" w:rsidRPr="001A387B">
        <w:t xml:space="preserve">charged </w:t>
      </w:r>
      <w:r w:rsidR="00EB700C" w:rsidRPr="001A387B">
        <w:t>firearm enhancements under section 12022.53(b).</w:t>
      </w:r>
      <w:r w:rsidR="00F84FA1" w:rsidRPr="001A387B">
        <w:t xml:space="preserve">  </w:t>
      </w:r>
      <w:r w:rsidR="00EB700C" w:rsidRPr="001A387B">
        <w:t>In our prior opinion, w</w:t>
      </w:r>
      <w:r w:rsidR="00EF007F" w:rsidRPr="001A387B">
        <w:t xml:space="preserve">e </w:t>
      </w:r>
      <w:r w:rsidR="00EB700C" w:rsidRPr="001A387B">
        <w:t xml:space="preserve">rejected </w:t>
      </w:r>
      <w:r w:rsidR="00D35DFC" w:rsidRPr="001A387B">
        <w:t xml:space="preserve">that </w:t>
      </w:r>
      <w:r w:rsidR="00EB700C" w:rsidRPr="001A387B">
        <w:t>argument and</w:t>
      </w:r>
      <w:r w:rsidR="00EF007F" w:rsidRPr="001A387B">
        <w:t xml:space="preserve"> held that </w:t>
      </w:r>
      <w:r w:rsidR="00D35DFC" w:rsidRPr="001A387B">
        <w:t>the</w:t>
      </w:r>
      <w:r w:rsidR="00912357" w:rsidRPr="001A387B">
        <w:t xml:space="preserve"> court </w:t>
      </w:r>
      <w:r w:rsidR="00D35DFC" w:rsidRPr="001A387B">
        <w:t xml:space="preserve">was </w:t>
      </w:r>
      <w:r w:rsidR="00912357" w:rsidRPr="001A387B">
        <w:t xml:space="preserve">not </w:t>
      </w:r>
      <w:r w:rsidR="00D35DFC" w:rsidRPr="001A387B">
        <w:t xml:space="preserve">authorized </w:t>
      </w:r>
      <w:r w:rsidR="00912357" w:rsidRPr="001A387B">
        <w:t>to impose an uncharged lesser firearm enhancement.</w:t>
      </w:r>
      <w:r w:rsidR="00315A87" w:rsidRPr="001A387B">
        <w:t xml:space="preserve">  </w:t>
      </w:r>
      <w:r w:rsidR="008C6FC7" w:rsidRPr="001A387B">
        <w:t>(</w:t>
      </w:r>
      <w:r w:rsidR="008C6FC7" w:rsidRPr="001A387B">
        <w:rPr>
          <w:i/>
          <w:iCs/>
        </w:rPr>
        <w:t>People v. Moses</w:t>
      </w:r>
      <w:r w:rsidR="008C6FC7" w:rsidRPr="001A387B">
        <w:t xml:space="preserve"> (July 1, 2021, E071794) [nonpub.].)</w:t>
      </w:r>
      <w:r w:rsidR="00912357" w:rsidRPr="001A387B">
        <w:t xml:space="preserve">  The Supreme Court has</w:t>
      </w:r>
      <w:r w:rsidR="00EB700C" w:rsidRPr="001A387B">
        <w:t xml:space="preserve"> since</w:t>
      </w:r>
      <w:r w:rsidR="00912357" w:rsidRPr="001A387B">
        <w:t xml:space="preserve"> held to the contrary</w:t>
      </w:r>
      <w:r w:rsidR="00876CF2" w:rsidRPr="001A387B">
        <w:t xml:space="preserve"> in </w:t>
      </w:r>
      <w:r w:rsidR="00876CF2" w:rsidRPr="001A387B">
        <w:rPr>
          <w:i/>
          <w:iCs/>
        </w:rPr>
        <w:t>Tirado</w:t>
      </w:r>
      <w:r w:rsidR="00876CF2" w:rsidRPr="001A387B">
        <w:t xml:space="preserve">, </w:t>
      </w:r>
      <w:r w:rsidR="00876CF2" w:rsidRPr="001A387B">
        <w:rPr>
          <w:i/>
          <w:iCs/>
        </w:rPr>
        <w:t>supra</w:t>
      </w:r>
      <w:r w:rsidR="00876CF2" w:rsidRPr="001A387B">
        <w:t xml:space="preserve">, 12 </w:t>
      </w:r>
      <w:r w:rsidR="00876CF2" w:rsidRPr="001A387B">
        <w:lastRenderedPageBreak/>
        <w:t>Cal.5th 688</w:t>
      </w:r>
      <w:r w:rsidR="00324AEE" w:rsidRPr="001A387B">
        <w:t>, 692</w:t>
      </w:r>
      <w:r w:rsidR="00876CF2" w:rsidRPr="001A387B">
        <w:t>.</w:t>
      </w:r>
      <w:r w:rsidR="00912357" w:rsidRPr="001A387B">
        <w:t xml:space="preserve">  </w:t>
      </w:r>
      <w:r w:rsidR="00D35DFC" w:rsidRPr="001A387B">
        <w:t>T</w:t>
      </w:r>
      <w:r w:rsidR="004375D5" w:rsidRPr="001A387B">
        <w:t xml:space="preserve">he People </w:t>
      </w:r>
      <w:r w:rsidR="00D35DFC" w:rsidRPr="001A387B">
        <w:t xml:space="preserve">argue </w:t>
      </w:r>
      <w:r w:rsidR="004375D5" w:rsidRPr="001A387B">
        <w:t xml:space="preserve">that </w:t>
      </w:r>
      <w:r w:rsidR="004375D5" w:rsidRPr="001A387B">
        <w:rPr>
          <w:i/>
          <w:iCs/>
        </w:rPr>
        <w:t>Tirado</w:t>
      </w:r>
      <w:r w:rsidR="00285B6D" w:rsidRPr="001A387B">
        <w:t xml:space="preserve"> does not apply here because it</w:t>
      </w:r>
      <w:r w:rsidR="0012298F" w:rsidRPr="001A387B">
        <w:t xml:space="preserve"> </w:t>
      </w:r>
      <w:r w:rsidR="004375D5" w:rsidRPr="001A387B">
        <w:t xml:space="preserve">applies </w:t>
      </w:r>
      <w:r w:rsidR="00D35DFC" w:rsidRPr="001A387B">
        <w:t xml:space="preserve">only </w:t>
      </w:r>
      <w:r w:rsidR="004375D5" w:rsidRPr="001A387B">
        <w:t xml:space="preserve">to lesser enhancements </w:t>
      </w:r>
      <w:r w:rsidR="00D35DFC" w:rsidRPr="001A387B">
        <w:t>under</w:t>
      </w:r>
      <w:r w:rsidR="004375D5" w:rsidRPr="001A387B">
        <w:t xml:space="preserve"> section 12022.53</w:t>
      </w:r>
      <w:r w:rsidR="00D35DFC" w:rsidRPr="001A387B">
        <w:t>, but we disagree</w:t>
      </w:r>
      <w:r w:rsidR="00285B6D" w:rsidRPr="001A387B">
        <w:t xml:space="preserve">. </w:t>
      </w:r>
      <w:r w:rsidR="00CC19A0" w:rsidRPr="001A387B">
        <w:t xml:space="preserve"> </w:t>
      </w:r>
      <w:r w:rsidR="00713711" w:rsidRPr="001A387B">
        <w:t>Thus, o</w:t>
      </w:r>
      <w:r w:rsidR="00CC19A0" w:rsidRPr="001A387B">
        <w:t>n remand</w:t>
      </w:r>
      <w:r w:rsidR="00285B6D" w:rsidRPr="001A387B">
        <w:t>,</w:t>
      </w:r>
      <w:r w:rsidR="00CC19A0" w:rsidRPr="001A387B">
        <w:t xml:space="preserve"> the court may consider </w:t>
      </w:r>
      <w:r w:rsidR="00912357" w:rsidRPr="001A387B">
        <w:t>imposing uncharged lesser firearm enhancement</w:t>
      </w:r>
      <w:r w:rsidR="004375D5" w:rsidRPr="001A387B">
        <w:t>s</w:t>
      </w:r>
      <w:r w:rsidR="00EB700C" w:rsidRPr="001A387B">
        <w:t xml:space="preserve"> under section 12022.5</w:t>
      </w:r>
      <w:r w:rsidR="00370AD5" w:rsidRPr="001A387B">
        <w:t>(a)</w:t>
      </w:r>
      <w:r w:rsidR="00912357" w:rsidRPr="001A387B">
        <w:t>.</w:t>
      </w:r>
    </w:p>
    <w:p w14:paraId="4FF51E56" w14:textId="70094078" w:rsidR="00A77CA8" w:rsidRPr="001A387B" w:rsidRDefault="00A77CA8" w:rsidP="00100A6B">
      <w:pPr>
        <w:ind w:firstLine="720"/>
      </w:pPr>
      <w:r w:rsidRPr="001A387B">
        <w:t>Section 12022.5(a) provides that “any person who personally uses a firearm in the commission of a felony or attempted felony shall be punished by an additional and consecutive</w:t>
      </w:r>
      <w:r w:rsidR="00D35DFC" w:rsidRPr="001A387B">
        <w:t xml:space="preserve"> term of imprisonment in the state prison for 3, 4, or 10 years, </w:t>
      </w:r>
      <w:r w:rsidR="00696FFA" w:rsidRPr="001A387B">
        <w:t>unless use of a firearm is an element of that offense.”</w:t>
      </w:r>
    </w:p>
    <w:p w14:paraId="7CDABD66" w14:textId="1C435868" w:rsidR="007C51A7" w:rsidRPr="001A387B" w:rsidRDefault="00A77CA8" w:rsidP="00100A6B">
      <w:pPr>
        <w:ind w:firstLine="720"/>
      </w:pPr>
      <w:r w:rsidRPr="001A387B">
        <w:t xml:space="preserve">Section 12022.53 </w:t>
      </w:r>
      <w:r w:rsidR="00AB7A4C" w:rsidRPr="001A387B">
        <w:t xml:space="preserve">creates </w:t>
      </w:r>
      <w:r w:rsidRPr="001A387B">
        <w:t>“a tiered system of sentencing enhancements for specified felonies involving firearms.”  (</w:t>
      </w:r>
      <w:r w:rsidRPr="001A387B">
        <w:rPr>
          <w:i/>
          <w:iCs/>
        </w:rPr>
        <w:t>Tirado</w:t>
      </w:r>
      <w:r w:rsidRPr="001A387B">
        <w:t xml:space="preserve">, </w:t>
      </w:r>
      <w:r w:rsidRPr="001A387B">
        <w:rPr>
          <w:i/>
          <w:iCs/>
        </w:rPr>
        <w:t>supra</w:t>
      </w:r>
      <w:r w:rsidRPr="001A387B">
        <w:t xml:space="preserve">, 12 Cal.5th at p. 692.)  “Section 12022.53, subdivision (a) lists the felonies to which the section applies.  Section 12022.53(b) mandates the imposition of a 10-year enhancement for personal </w:t>
      </w:r>
      <w:r w:rsidRPr="001A387B">
        <w:rPr>
          <w:i/>
          <w:iCs/>
        </w:rPr>
        <w:t>use</w:t>
      </w:r>
      <w:r w:rsidRPr="001A387B">
        <w:t xml:space="preserve"> of a firearm in the commission of one of those felonies; section 12022.53</w:t>
      </w:r>
      <w:r w:rsidR="00315A87" w:rsidRPr="001A387B">
        <w:t xml:space="preserve">[, subdivision] </w:t>
      </w:r>
      <w:r w:rsidRPr="001A387B">
        <w:t xml:space="preserve">(c) mandates the imposition of a 20-year enhancement for personal and intentional </w:t>
      </w:r>
      <w:r w:rsidRPr="001A387B">
        <w:rPr>
          <w:i/>
          <w:iCs/>
        </w:rPr>
        <w:t>discharge</w:t>
      </w:r>
      <w:r w:rsidRPr="001A387B">
        <w:t xml:space="preserve"> of a firearm; and section 12022.53</w:t>
      </w:r>
      <w:r w:rsidR="00315A87" w:rsidRPr="001A387B">
        <w:t xml:space="preserve">[, subdivision] </w:t>
      </w:r>
      <w:r w:rsidRPr="001A387B">
        <w:t xml:space="preserve">(d) provides for a 25 year-to-life enhancement for personal and intentional discharge of a firearm </w:t>
      </w:r>
      <w:r w:rsidRPr="001A387B">
        <w:rPr>
          <w:i/>
          <w:iCs/>
        </w:rPr>
        <w:t>causing great bodily injury or death</w:t>
      </w:r>
      <w:r w:rsidRPr="001A387B">
        <w:t xml:space="preserve"> to a person other than an accomplice.”  (</w:t>
      </w:r>
      <w:r w:rsidRPr="001A387B">
        <w:rPr>
          <w:i/>
          <w:iCs/>
        </w:rPr>
        <w:t>Id.</w:t>
      </w:r>
      <w:r w:rsidRPr="001A387B">
        <w:t xml:space="preserve"> at p. 695.)</w:t>
      </w:r>
      <w:r w:rsidR="00696FFA" w:rsidRPr="001A387B">
        <w:t xml:space="preserve">  Subdivision (h) of section 12022.53 </w:t>
      </w:r>
      <w:r w:rsidR="007F1656" w:rsidRPr="001A387B">
        <w:t xml:space="preserve">provides that under section 1385 </w:t>
      </w:r>
      <w:r w:rsidR="00696FFA" w:rsidRPr="001A387B">
        <w:t xml:space="preserve">a court </w:t>
      </w:r>
      <w:r w:rsidR="007F1656" w:rsidRPr="001A387B">
        <w:t>may, “in the interest of justice,”</w:t>
      </w:r>
      <w:r w:rsidR="003B1223" w:rsidRPr="001A387B">
        <w:t xml:space="preserve"> “</w:t>
      </w:r>
      <w:r w:rsidR="00696FFA" w:rsidRPr="001A387B">
        <w:t>strike or dismiss an enhancement otherwise required to be imposed by this section.</w:t>
      </w:r>
      <w:r w:rsidR="005C7BDB" w:rsidRPr="001A387B">
        <w:t xml:space="preserve">”  Subdivision (j) of section 12022.53 provides:  “When an enhancement specified in this section has been admitted or found to be true, the court shall impose </w:t>
      </w:r>
      <w:r w:rsidR="005C7BDB" w:rsidRPr="001A387B">
        <w:lastRenderedPageBreak/>
        <w:t>punishment for that enhancement pursuant to this section rather than imposing punishment authorized under any other law, unless another enhancement provides for a greater penalty or a longer term of imprisonment.”</w:t>
      </w:r>
    </w:p>
    <w:p w14:paraId="0000EED1" w14:textId="41964F01" w:rsidR="003C7DD5" w:rsidRPr="001A387B" w:rsidRDefault="00BD6051" w:rsidP="00100A6B">
      <w:pPr>
        <w:ind w:firstLine="720"/>
      </w:pPr>
      <w:r w:rsidRPr="001A387B">
        <w:t xml:space="preserve">In </w:t>
      </w:r>
      <w:r w:rsidRPr="001A387B">
        <w:rPr>
          <w:i/>
          <w:iCs/>
        </w:rPr>
        <w:t>Tirado</w:t>
      </w:r>
      <w:r w:rsidRPr="001A387B">
        <w:t xml:space="preserve">, the </w:t>
      </w:r>
      <w:r w:rsidR="00E952D8" w:rsidRPr="001A387B">
        <w:t>jury found true</w:t>
      </w:r>
      <w:r w:rsidR="00645108" w:rsidRPr="001A387B">
        <w:t xml:space="preserve"> a</w:t>
      </w:r>
      <w:r w:rsidR="006A510D" w:rsidRPr="001A387B">
        <w:t xml:space="preserve"> firearm</w:t>
      </w:r>
      <w:r w:rsidR="00E952D8" w:rsidRPr="001A387B">
        <w:t xml:space="preserve"> enhancement </w:t>
      </w:r>
      <w:r w:rsidR="006A510D" w:rsidRPr="001A387B">
        <w:t>under section 12022.53, subdivision (d).  (</w:t>
      </w:r>
      <w:r w:rsidR="006A510D" w:rsidRPr="001A387B">
        <w:rPr>
          <w:i/>
          <w:iCs/>
        </w:rPr>
        <w:t>Tirado</w:t>
      </w:r>
      <w:r w:rsidR="006A510D" w:rsidRPr="001A387B">
        <w:t xml:space="preserve">, </w:t>
      </w:r>
      <w:r w:rsidR="003B1223" w:rsidRPr="001A387B">
        <w:rPr>
          <w:i/>
          <w:iCs/>
        </w:rPr>
        <w:t>supra</w:t>
      </w:r>
      <w:r w:rsidR="003B1223" w:rsidRPr="001A387B">
        <w:t xml:space="preserve">, 12 Cal.5th </w:t>
      </w:r>
      <w:r w:rsidR="006A510D" w:rsidRPr="001A387B">
        <w:t>at p. 693.)</w:t>
      </w:r>
      <w:r w:rsidR="00876CF2" w:rsidRPr="001A387B">
        <w:t xml:space="preserve">  The </w:t>
      </w:r>
      <w:r w:rsidR="00645108" w:rsidRPr="001A387B">
        <w:t>trial court denied the defendant’s motion to strike the enhancement.  (</w:t>
      </w:r>
      <w:r w:rsidR="00645108" w:rsidRPr="001A387B">
        <w:rPr>
          <w:i/>
          <w:iCs/>
        </w:rPr>
        <w:t>Id.</w:t>
      </w:r>
      <w:r w:rsidR="00645108" w:rsidRPr="001A387B">
        <w:t xml:space="preserve"> at p. 694.)  On appeal, the defendant argued that the trial court did not understand that it </w:t>
      </w:r>
      <w:r w:rsidR="00840E52" w:rsidRPr="001A387B">
        <w:t xml:space="preserve">also </w:t>
      </w:r>
      <w:r w:rsidR="00645108" w:rsidRPr="001A387B">
        <w:t>had the discretion</w:t>
      </w:r>
      <w:r w:rsidR="00FD1571" w:rsidRPr="001A387B">
        <w:t xml:space="preserve"> to impose a</w:t>
      </w:r>
      <w:r w:rsidR="007F1656" w:rsidRPr="001A387B">
        <w:t>n uncharged</w:t>
      </w:r>
      <w:r w:rsidR="00FD1571" w:rsidRPr="001A387B">
        <w:t xml:space="preserve"> lesser </w:t>
      </w:r>
      <w:r w:rsidR="007F1656" w:rsidRPr="001A387B">
        <w:t xml:space="preserve">included </w:t>
      </w:r>
      <w:r w:rsidR="00FD1571" w:rsidRPr="001A387B">
        <w:t xml:space="preserve">enhancement under subdivision (b) or (c) of section 12022.53. </w:t>
      </w:r>
      <w:r w:rsidR="00876CF2" w:rsidRPr="001A387B">
        <w:t xml:space="preserve"> </w:t>
      </w:r>
      <w:r w:rsidR="00FD1571" w:rsidRPr="001A387B">
        <w:t>(</w:t>
      </w:r>
      <w:r w:rsidR="00FD1571" w:rsidRPr="001A387B">
        <w:rPr>
          <w:i/>
          <w:iCs/>
        </w:rPr>
        <w:t>Tirado</w:t>
      </w:r>
      <w:r w:rsidR="00FD1571" w:rsidRPr="001A387B">
        <w:t>, at p. 694.)  The Court of Appeal</w:t>
      </w:r>
      <w:r w:rsidR="00982D9D" w:rsidRPr="001A387B">
        <w:t xml:space="preserve"> rejected the argument and</w:t>
      </w:r>
      <w:r w:rsidR="00FD1571" w:rsidRPr="001A387B">
        <w:t xml:space="preserve"> concluded that the trial court </w:t>
      </w:r>
      <w:r w:rsidR="00840E52" w:rsidRPr="001A387B">
        <w:t xml:space="preserve">was not </w:t>
      </w:r>
      <w:r w:rsidR="007F1656" w:rsidRPr="001A387B">
        <w:t>authorized to impose the lesser enhancement.  (</w:t>
      </w:r>
      <w:r w:rsidR="00324AEE" w:rsidRPr="001A387B">
        <w:rPr>
          <w:i/>
          <w:iCs/>
        </w:rPr>
        <w:t>Ibid.</w:t>
      </w:r>
      <w:r w:rsidR="007F1656" w:rsidRPr="001A387B">
        <w:t>)  A</w:t>
      </w:r>
      <w:r w:rsidR="00840E52" w:rsidRPr="001A387B">
        <w:t>nother Court of Appeal</w:t>
      </w:r>
      <w:r w:rsidR="007F1656" w:rsidRPr="001A387B">
        <w:t xml:space="preserve"> had previously reached the opposite conclusion. </w:t>
      </w:r>
      <w:r w:rsidR="00982D9D" w:rsidRPr="001A387B">
        <w:t xml:space="preserve"> </w:t>
      </w:r>
      <w:r w:rsidR="007F1656" w:rsidRPr="001A387B">
        <w:t>(</w:t>
      </w:r>
      <w:r w:rsidR="00982D9D" w:rsidRPr="001A387B">
        <w:rPr>
          <w:i/>
          <w:iCs/>
        </w:rPr>
        <w:t>People v. Morrison</w:t>
      </w:r>
      <w:r w:rsidR="00982D9D" w:rsidRPr="001A387B">
        <w:t xml:space="preserve"> (2019) 34 Cal.App.5th 217</w:t>
      </w:r>
      <w:r w:rsidR="00C92600" w:rsidRPr="001A387B">
        <w:t>, 222-223</w:t>
      </w:r>
      <w:r w:rsidR="003B1223" w:rsidRPr="001A387B">
        <w:t xml:space="preserve"> (</w:t>
      </w:r>
      <w:r w:rsidR="003B1223" w:rsidRPr="001A387B">
        <w:rPr>
          <w:i/>
          <w:iCs/>
        </w:rPr>
        <w:t>Morrison</w:t>
      </w:r>
      <w:r w:rsidR="003B1223" w:rsidRPr="001A387B">
        <w:t>)</w:t>
      </w:r>
      <w:r w:rsidR="00982D9D" w:rsidRPr="001A387B">
        <w:t>.</w:t>
      </w:r>
      <w:r w:rsidR="007F1656" w:rsidRPr="001A387B">
        <w:t>)</w:t>
      </w:r>
      <w:r w:rsidR="00193B71" w:rsidRPr="001A387B">
        <w:t xml:space="preserve"> </w:t>
      </w:r>
    </w:p>
    <w:p w14:paraId="430C882E" w14:textId="5EA33F9B" w:rsidR="00A46CE0" w:rsidRPr="001A387B" w:rsidRDefault="00982D9D" w:rsidP="00100A6B">
      <w:pPr>
        <w:ind w:firstLine="720"/>
      </w:pPr>
      <w:r w:rsidRPr="001A387B">
        <w:t>The Supreme Court</w:t>
      </w:r>
      <w:r w:rsidR="00193B71" w:rsidRPr="001A387B">
        <w:t xml:space="preserve"> </w:t>
      </w:r>
      <w:r w:rsidR="00840E52" w:rsidRPr="001A387B">
        <w:t xml:space="preserve">granted review to resolve the conflict and </w:t>
      </w:r>
      <w:r w:rsidR="00193B71" w:rsidRPr="001A387B">
        <w:t xml:space="preserve">agreed with </w:t>
      </w:r>
      <w:r w:rsidR="00193B71" w:rsidRPr="001A387B">
        <w:rPr>
          <w:i/>
          <w:iCs/>
        </w:rPr>
        <w:t>Morrison</w:t>
      </w:r>
      <w:r w:rsidR="003C7DD5" w:rsidRPr="001A387B">
        <w:t xml:space="preserve">, </w:t>
      </w:r>
      <w:r w:rsidR="003C7DD5" w:rsidRPr="001A387B">
        <w:rPr>
          <w:i/>
          <w:iCs/>
        </w:rPr>
        <w:t>supra</w:t>
      </w:r>
      <w:r w:rsidR="003C7DD5" w:rsidRPr="001A387B">
        <w:t>, 34 Cal.App.5th 217</w:t>
      </w:r>
      <w:r w:rsidR="00840E52" w:rsidRPr="001A387B">
        <w:t>.</w:t>
      </w:r>
      <w:r w:rsidR="00EA192A" w:rsidRPr="001A387B">
        <w:t xml:space="preserve"> </w:t>
      </w:r>
      <w:r w:rsidR="00840E52" w:rsidRPr="001A387B">
        <w:t xml:space="preserve"> </w:t>
      </w:r>
      <w:r w:rsidR="00EA192A" w:rsidRPr="001A387B">
        <w:t>(</w:t>
      </w:r>
      <w:r w:rsidR="00EA192A" w:rsidRPr="001A387B">
        <w:rPr>
          <w:i/>
          <w:iCs/>
        </w:rPr>
        <w:t>Tirado</w:t>
      </w:r>
      <w:r w:rsidR="00EA192A" w:rsidRPr="001A387B">
        <w:t xml:space="preserve">, </w:t>
      </w:r>
      <w:r w:rsidR="00EA192A" w:rsidRPr="001A387B">
        <w:rPr>
          <w:i/>
          <w:iCs/>
        </w:rPr>
        <w:t>supra</w:t>
      </w:r>
      <w:r w:rsidR="00EA192A" w:rsidRPr="001A387B">
        <w:t>, 12 Cal.5th at p. 697</w:t>
      </w:r>
      <w:r w:rsidR="00840E52" w:rsidRPr="001A387B">
        <w:t>.</w:t>
      </w:r>
      <w:r w:rsidR="00EA192A" w:rsidRPr="001A387B">
        <w:t xml:space="preserve">)  </w:t>
      </w:r>
      <w:r w:rsidR="00E664F1" w:rsidRPr="001A387B">
        <w:t xml:space="preserve">The Supreme Court </w:t>
      </w:r>
      <w:r w:rsidR="00EA192A" w:rsidRPr="001A387B">
        <w:t>“concluded that courts are not categorically prohibited from imposing uncharged enhancements and that the power to do so is not conditioned on the charged and adjudicated enhancement being legally or factually inapplicable</w:t>
      </w:r>
      <w:r w:rsidR="00E664F1" w:rsidRPr="001A387B">
        <w:t>.</w:t>
      </w:r>
      <w:r w:rsidR="00EA192A" w:rsidRPr="001A387B">
        <w:t xml:space="preserve">” </w:t>
      </w:r>
      <w:r w:rsidR="00E664F1" w:rsidRPr="001A387B">
        <w:t xml:space="preserve"> </w:t>
      </w:r>
      <w:r w:rsidR="00EA192A" w:rsidRPr="001A387B">
        <w:t>(</w:t>
      </w:r>
      <w:r w:rsidR="00E664F1" w:rsidRPr="001A387B">
        <w:rPr>
          <w:i/>
          <w:iCs/>
        </w:rPr>
        <w:t xml:space="preserve">Id. </w:t>
      </w:r>
      <w:r w:rsidR="00EA192A" w:rsidRPr="001A387B">
        <w:t>at p. 699).</w:t>
      </w:r>
      <w:r w:rsidR="003C7DD5" w:rsidRPr="001A387B">
        <w:t xml:space="preserve">  </w:t>
      </w:r>
      <w:r w:rsidR="003C7DD5" w:rsidRPr="001A387B">
        <w:rPr>
          <w:i/>
          <w:iCs/>
        </w:rPr>
        <w:t xml:space="preserve">Tirado </w:t>
      </w:r>
      <w:r w:rsidR="00525979" w:rsidRPr="001A387B">
        <w:t>held</w:t>
      </w:r>
      <w:r w:rsidR="007B1187" w:rsidRPr="001A387B">
        <w:t xml:space="preserve"> that even though “the prosecution did not specifically allege enhancements under section 12022.53(b) or </w:t>
      </w:r>
      <w:r w:rsidR="008121C6" w:rsidRPr="001A387B">
        <w:t xml:space="preserve">[subdivision] </w:t>
      </w:r>
      <w:r w:rsidR="007B1187" w:rsidRPr="001A387B">
        <w:t>(c), the trial court could impose those enhancements even when the section 12022.53</w:t>
      </w:r>
      <w:r w:rsidR="003B1223" w:rsidRPr="001A387B">
        <w:t xml:space="preserve">[, subdivision] </w:t>
      </w:r>
      <w:r w:rsidR="007B1187" w:rsidRPr="001A387B">
        <w:t>(d) enhancement was not legally or factually inapplicable.</w:t>
      </w:r>
      <w:r w:rsidR="00562F5D" w:rsidRPr="001A387B">
        <w:t>”  (</w:t>
      </w:r>
      <w:r w:rsidR="007D5C5C" w:rsidRPr="001A387B">
        <w:rPr>
          <w:i/>
          <w:iCs/>
        </w:rPr>
        <w:t>Id.</w:t>
      </w:r>
      <w:r w:rsidR="00562F5D" w:rsidRPr="001A387B">
        <w:t xml:space="preserve"> at p. 697.)  </w:t>
      </w:r>
      <w:r w:rsidR="00562F5D" w:rsidRPr="001A387B">
        <w:rPr>
          <w:i/>
          <w:iCs/>
        </w:rPr>
        <w:t>Tirado</w:t>
      </w:r>
      <w:r w:rsidR="00562F5D" w:rsidRPr="001A387B">
        <w:t xml:space="preserve"> found its conclusion supported </w:t>
      </w:r>
      <w:r w:rsidR="00562F5D" w:rsidRPr="001A387B">
        <w:lastRenderedPageBreak/>
        <w:t>by case law</w:t>
      </w:r>
      <w:r w:rsidR="00E664F1" w:rsidRPr="001A387B">
        <w:t xml:space="preserve"> concerning</w:t>
      </w:r>
      <w:r w:rsidR="00562F5D" w:rsidRPr="001A387B">
        <w:t xml:space="preserve"> </w:t>
      </w:r>
      <w:r w:rsidR="00E664F1" w:rsidRPr="001A387B">
        <w:t xml:space="preserve">a court’s general authority to impose a lesser uncharged enhancement and by the text of section 12022.53.  </w:t>
      </w:r>
      <w:r w:rsidR="00562F5D" w:rsidRPr="001A387B">
        <w:t>(</w:t>
      </w:r>
      <w:r w:rsidR="00562F5D" w:rsidRPr="001A387B">
        <w:rPr>
          <w:i/>
          <w:iCs/>
        </w:rPr>
        <w:t>Tirado</w:t>
      </w:r>
      <w:r w:rsidR="00562F5D" w:rsidRPr="001A387B">
        <w:t>, at p. 697.)</w:t>
      </w:r>
      <w:r w:rsidR="00A46CE0" w:rsidRPr="001A387B">
        <w:t xml:space="preserve">  </w:t>
      </w:r>
    </w:p>
    <w:p w14:paraId="5048CA3A" w14:textId="1DA155B1" w:rsidR="008046A5" w:rsidRPr="001A387B" w:rsidRDefault="00A46CE0" w:rsidP="00100A6B">
      <w:pPr>
        <w:ind w:firstLine="720"/>
      </w:pPr>
      <w:r w:rsidRPr="001A387B">
        <w:t xml:space="preserve">Looking to the relevant case law, </w:t>
      </w:r>
      <w:r w:rsidRPr="001A387B">
        <w:rPr>
          <w:i/>
          <w:iCs/>
        </w:rPr>
        <w:t>Tirado</w:t>
      </w:r>
      <w:r w:rsidRPr="001A387B">
        <w:t xml:space="preserve"> noted </w:t>
      </w:r>
      <w:r w:rsidR="00B83960" w:rsidRPr="001A387B">
        <w:t>its conclusion</w:t>
      </w:r>
      <w:r w:rsidR="00525979" w:rsidRPr="001A387B">
        <w:t xml:space="preserve"> is consistent</w:t>
      </w:r>
      <w:r w:rsidR="00B83960" w:rsidRPr="001A387B">
        <w:t xml:space="preserve"> with the general principle </w:t>
      </w:r>
      <w:r w:rsidRPr="001A387B">
        <w:t>“that a court is not categorically prohibited from imposing a lesser included, uncharged enhancement so long as the prosecution has charged the greater enhancement and the facts supporting imposition of the lesser enhancement have been alleged and found true.”  (</w:t>
      </w:r>
      <w:r w:rsidRPr="001A387B">
        <w:rPr>
          <w:i/>
          <w:iCs/>
        </w:rPr>
        <w:t>Tirado</w:t>
      </w:r>
      <w:r w:rsidRPr="001A387B">
        <w:t xml:space="preserve">, </w:t>
      </w:r>
      <w:r w:rsidRPr="001A387B">
        <w:rPr>
          <w:i/>
          <w:iCs/>
        </w:rPr>
        <w:t>supra</w:t>
      </w:r>
      <w:r w:rsidRPr="001A387B">
        <w:t>, 12 Cal.5th at p. 697.)</w:t>
      </w:r>
      <w:r w:rsidR="008C0F72" w:rsidRPr="001A387B">
        <w:t xml:space="preserve">  The </w:t>
      </w:r>
      <w:r w:rsidR="00E664F1" w:rsidRPr="001A387B">
        <w:t xml:space="preserve">Supreme </w:t>
      </w:r>
      <w:r w:rsidR="008C0F72" w:rsidRPr="001A387B">
        <w:t xml:space="preserve">Court </w:t>
      </w:r>
      <w:r w:rsidR="00FB57FA" w:rsidRPr="001A387B">
        <w:t xml:space="preserve">cited </w:t>
      </w:r>
      <w:r w:rsidR="00B83960" w:rsidRPr="001A387B">
        <w:rPr>
          <w:i/>
          <w:iCs/>
        </w:rPr>
        <w:t>People v. Strickland</w:t>
      </w:r>
      <w:r w:rsidR="00B83960" w:rsidRPr="001A387B">
        <w:t xml:space="preserve"> (1974) 11 Cal.3d 9</w:t>
      </w:r>
      <w:r w:rsidR="008121C6" w:rsidRPr="001A387B">
        <w:t>4</w:t>
      </w:r>
      <w:r w:rsidR="00B83960" w:rsidRPr="001A387B">
        <w:t>6</w:t>
      </w:r>
      <w:r w:rsidR="002F6329" w:rsidRPr="001A387B">
        <w:t xml:space="preserve"> </w:t>
      </w:r>
      <w:r w:rsidR="00B83960" w:rsidRPr="001A387B">
        <w:t xml:space="preserve">and </w:t>
      </w:r>
      <w:r w:rsidR="00B83960" w:rsidRPr="001A387B">
        <w:rPr>
          <w:i/>
          <w:iCs/>
        </w:rPr>
        <w:t>People v. Fialho</w:t>
      </w:r>
      <w:r w:rsidR="00B83960" w:rsidRPr="001A387B">
        <w:t xml:space="preserve"> (2014) 229 Cal.App.4th 1389</w:t>
      </w:r>
      <w:r w:rsidR="008046A5" w:rsidRPr="001A387B">
        <w:t xml:space="preserve"> (</w:t>
      </w:r>
      <w:r w:rsidR="008046A5" w:rsidRPr="001A387B">
        <w:rPr>
          <w:i/>
          <w:iCs/>
        </w:rPr>
        <w:t>Fialho</w:t>
      </w:r>
      <w:r w:rsidR="008046A5" w:rsidRPr="001A387B">
        <w:t>)</w:t>
      </w:r>
      <w:r w:rsidR="00FB57FA" w:rsidRPr="001A387B">
        <w:t>, among other cases,</w:t>
      </w:r>
      <w:r w:rsidR="008C0F72" w:rsidRPr="001A387B">
        <w:t xml:space="preserve"> </w:t>
      </w:r>
      <w:r w:rsidR="00B83960" w:rsidRPr="001A387B">
        <w:t xml:space="preserve">as </w:t>
      </w:r>
      <w:r w:rsidR="00FB57FA" w:rsidRPr="001A387B">
        <w:t>standing for that</w:t>
      </w:r>
      <w:r w:rsidR="00B83960" w:rsidRPr="001A387B">
        <w:t xml:space="preserve"> general</w:t>
      </w:r>
      <w:r w:rsidR="008C0F72" w:rsidRPr="001A387B">
        <w:t xml:space="preserve"> principl</w:t>
      </w:r>
      <w:r w:rsidR="00B83960" w:rsidRPr="001A387B">
        <w:t>e.</w:t>
      </w:r>
      <w:r w:rsidR="00A1557F" w:rsidRPr="001A387B">
        <w:t xml:space="preserve">  In </w:t>
      </w:r>
      <w:r w:rsidR="00A1557F" w:rsidRPr="001A387B">
        <w:rPr>
          <w:i/>
          <w:iCs/>
        </w:rPr>
        <w:t>Strickland</w:t>
      </w:r>
      <w:r w:rsidR="00A1557F" w:rsidRPr="001A387B">
        <w:t>, the Supreme Court held that a trial court could impose the lesser uncharged enhancement in section 12022 when the</w:t>
      </w:r>
      <w:r w:rsidR="00AD46BA" w:rsidRPr="001A387B">
        <w:t xml:space="preserve"> criteria for </w:t>
      </w:r>
      <w:r w:rsidR="002F6329" w:rsidRPr="001A387B">
        <w:t>the charged</w:t>
      </w:r>
      <w:r w:rsidR="00AD46BA" w:rsidRPr="001A387B">
        <w:t xml:space="preserve"> enhancement under section 12022.5 were not met.  (</w:t>
      </w:r>
      <w:r w:rsidR="00AD46BA" w:rsidRPr="001A387B">
        <w:rPr>
          <w:i/>
          <w:iCs/>
        </w:rPr>
        <w:t>Strickland</w:t>
      </w:r>
      <w:r w:rsidR="00AD46BA" w:rsidRPr="001A387B">
        <w:t xml:space="preserve">, </w:t>
      </w:r>
      <w:r w:rsidR="00AD46BA" w:rsidRPr="001A387B">
        <w:rPr>
          <w:i/>
          <w:iCs/>
        </w:rPr>
        <w:t>supra</w:t>
      </w:r>
      <w:r w:rsidR="00AD46BA" w:rsidRPr="001A387B">
        <w:t xml:space="preserve">, at p. 961; </w:t>
      </w:r>
      <w:r w:rsidR="00AD46BA" w:rsidRPr="001A387B">
        <w:rPr>
          <w:i/>
          <w:iCs/>
        </w:rPr>
        <w:t>Tirado</w:t>
      </w:r>
      <w:r w:rsidR="00AD46BA" w:rsidRPr="001A387B">
        <w:t xml:space="preserve">, at pp. 697-698.)  Relying on </w:t>
      </w:r>
      <w:r w:rsidR="00AD46BA" w:rsidRPr="001A387B">
        <w:rPr>
          <w:i/>
          <w:iCs/>
        </w:rPr>
        <w:t>Strickland</w:t>
      </w:r>
      <w:r w:rsidR="00AD46BA" w:rsidRPr="001A387B">
        <w:t xml:space="preserve">, the Court of Appeal in </w:t>
      </w:r>
      <w:r w:rsidR="00AD46BA" w:rsidRPr="001A387B">
        <w:rPr>
          <w:i/>
          <w:iCs/>
        </w:rPr>
        <w:t>Fialho</w:t>
      </w:r>
      <w:r w:rsidR="00AD46BA" w:rsidRPr="001A387B">
        <w:t xml:space="preserve"> held that</w:t>
      </w:r>
      <w:r w:rsidR="000644C6" w:rsidRPr="001A387B">
        <w:t xml:space="preserve"> the trial court did not err by imposing a lesser uncharged enhancement under section 12022.5(a) when the jury found true </w:t>
      </w:r>
      <w:r w:rsidR="006D294C" w:rsidRPr="001A387B">
        <w:t>an enhancement under section 12022.53, subdivision (d).  (</w:t>
      </w:r>
      <w:r w:rsidR="006D294C" w:rsidRPr="001A387B">
        <w:rPr>
          <w:i/>
          <w:iCs/>
        </w:rPr>
        <w:t>Fialho</w:t>
      </w:r>
      <w:r w:rsidR="006D294C" w:rsidRPr="001A387B">
        <w:t xml:space="preserve">, </w:t>
      </w:r>
      <w:r w:rsidR="006D294C" w:rsidRPr="001A387B">
        <w:rPr>
          <w:i/>
          <w:iCs/>
        </w:rPr>
        <w:t>supra</w:t>
      </w:r>
      <w:r w:rsidR="006D294C" w:rsidRPr="001A387B">
        <w:t>, at pp. 1395, 139</w:t>
      </w:r>
      <w:r w:rsidR="008121C6" w:rsidRPr="001A387B">
        <w:t>8</w:t>
      </w:r>
      <w:r w:rsidR="00A96F46" w:rsidRPr="001A387B">
        <w:t>-1399</w:t>
      </w:r>
      <w:r w:rsidR="006D294C" w:rsidRPr="001A387B">
        <w:t xml:space="preserve">; </w:t>
      </w:r>
      <w:r w:rsidR="006D294C" w:rsidRPr="001A387B">
        <w:rPr>
          <w:i/>
          <w:iCs/>
        </w:rPr>
        <w:t>Tirado</w:t>
      </w:r>
      <w:r w:rsidR="006D294C" w:rsidRPr="001A387B">
        <w:t xml:space="preserve">, at p. 698.)  </w:t>
      </w:r>
      <w:r w:rsidR="008046A5" w:rsidRPr="001A387B">
        <w:rPr>
          <w:i/>
          <w:iCs/>
        </w:rPr>
        <w:t>Tirado</w:t>
      </w:r>
      <w:r w:rsidR="008046A5" w:rsidRPr="001A387B">
        <w:t xml:space="preserve"> cited with approval </w:t>
      </w:r>
      <w:r w:rsidR="008046A5" w:rsidRPr="001A387B">
        <w:rPr>
          <w:i/>
          <w:iCs/>
        </w:rPr>
        <w:t>Fialho</w:t>
      </w:r>
      <w:r w:rsidR="008046A5" w:rsidRPr="001A387B">
        <w:t>’s reasoning that “[i]t would elevate form over substance” “to require ‘a specific lesser included enhancement code section [to] be pleaded before [the] lesser included enhancement can be imposed.’”  (</w:t>
      </w:r>
      <w:r w:rsidR="008046A5" w:rsidRPr="001A387B">
        <w:rPr>
          <w:i/>
          <w:iCs/>
        </w:rPr>
        <w:t>Tirado</w:t>
      </w:r>
      <w:r w:rsidR="008046A5" w:rsidRPr="001A387B">
        <w:t>, at p. 698.)</w:t>
      </w:r>
    </w:p>
    <w:p w14:paraId="22426170" w14:textId="2DCAAE95" w:rsidR="00642321" w:rsidRPr="001A387B" w:rsidRDefault="006D294C" w:rsidP="00100A6B">
      <w:pPr>
        <w:ind w:firstLine="720"/>
      </w:pPr>
      <w:r w:rsidRPr="001A387B">
        <w:rPr>
          <w:i/>
          <w:iCs/>
        </w:rPr>
        <w:t>Tirado</w:t>
      </w:r>
      <w:r w:rsidRPr="001A387B">
        <w:t xml:space="preserve"> rejected the </w:t>
      </w:r>
      <w:r w:rsidR="00C8511E" w:rsidRPr="001A387B">
        <w:t xml:space="preserve">appellate court’s </w:t>
      </w:r>
      <w:r w:rsidR="00FB57FA" w:rsidRPr="001A387B">
        <w:t xml:space="preserve">interpretation </w:t>
      </w:r>
      <w:r w:rsidR="00C8511E" w:rsidRPr="001A387B">
        <w:t>of</w:t>
      </w:r>
      <w:r w:rsidRPr="001A387B">
        <w:t xml:space="preserve"> </w:t>
      </w:r>
      <w:r w:rsidR="00FB57FA" w:rsidRPr="001A387B">
        <w:t xml:space="preserve">those </w:t>
      </w:r>
      <w:r w:rsidRPr="001A387B">
        <w:t xml:space="preserve">cases </w:t>
      </w:r>
      <w:r w:rsidR="00C8511E" w:rsidRPr="001A387B">
        <w:t xml:space="preserve">as </w:t>
      </w:r>
      <w:r w:rsidRPr="001A387B">
        <w:t>stand</w:t>
      </w:r>
      <w:r w:rsidR="00C8511E" w:rsidRPr="001A387B">
        <w:t>ing</w:t>
      </w:r>
      <w:r w:rsidRPr="001A387B">
        <w:t xml:space="preserve"> for the limited principle</w:t>
      </w:r>
      <w:r w:rsidR="00642321" w:rsidRPr="001A387B">
        <w:t xml:space="preserve"> that</w:t>
      </w:r>
      <w:r w:rsidR="00C8511E" w:rsidRPr="001A387B">
        <w:t xml:space="preserve"> a court could impose an uncharged lesser enhancement only </w:t>
      </w:r>
      <w:r w:rsidR="00C8511E" w:rsidRPr="001A387B">
        <w:lastRenderedPageBreak/>
        <w:t>when the greater enhancement was not</w:t>
      </w:r>
      <w:r w:rsidR="00B97292" w:rsidRPr="001A387B">
        <w:t xml:space="preserve"> factually or legally</w:t>
      </w:r>
      <w:r w:rsidR="00C8511E" w:rsidRPr="001A387B">
        <w:t xml:space="preserve"> supported.  (</w:t>
      </w:r>
      <w:r w:rsidR="00C8511E" w:rsidRPr="001A387B">
        <w:rPr>
          <w:i/>
          <w:iCs/>
        </w:rPr>
        <w:t>Tirado</w:t>
      </w:r>
      <w:r w:rsidR="00C8511E" w:rsidRPr="001A387B">
        <w:t xml:space="preserve">, </w:t>
      </w:r>
      <w:r w:rsidR="00C8511E" w:rsidRPr="001A387B">
        <w:rPr>
          <w:i/>
          <w:iCs/>
        </w:rPr>
        <w:t>supra</w:t>
      </w:r>
      <w:r w:rsidR="00C8511E" w:rsidRPr="001A387B">
        <w:t>, 12 Cal.5th at p. 699.)</w:t>
      </w:r>
      <w:r w:rsidR="006178ED" w:rsidRPr="001A387B">
        <w:t xml:space="preserve">  </w:t>
      </w:r>
      <w:r w:rsidR="006178ED" w:rsidRPr="001A387B">
        <w:rPr>
          <w:i/>
          <w:iCs/>
        </w:rPr>
        <w:t>Tirado</w:t>
      </w:r>
      <w:r w:rsidR="006178ED" w:rsidRPr="001A387B">
        <w:t xml:space="preserve"> explained that nothing in the cases “suggests that a trial court’s power to impose an uncharged enhancement is conditioned on the charged and adjudicated enhancement being inapplicable.  Under those cases, imposition of an uncharged enhancement is permitted so long as the facts supporting its imposition are alleged and found true.”  (</w:t>
      </w:r>
      <w:r w:rsidR="006178ED" w:rsidRPr="001A387B">
        <w:rPr>
          <w:i/>
          <w:iCs/>
        </w:rPr>
        <w:t>Ibid.</w:t>
      </w:r>
      <w:r w:rsidR="006178ED" w:rsidRPr="001A387B">
        <w:t>)</w:t>
      </w:r>
    </w:p>
    <w:p w14:paraId="6AAE5ED9" w14:textId="165DB8C4" w:rsidR="00B5183B" w:rsidRPr="001A387B" w:rsidRDefault="00EA192A" w:rsidP="00100A6B">
      <w:pPr>
        <w:ind w:firstLine="720"/>
      </w:pPr>
      <w:r w:rsidRPr="001A387B">
        <w:rPr>
          <w:i/>
          <w:iCs/>
        </w:rPr>
        <w:t>Tirado</w:t>
      </w:r>
      <w:r w:rsidRPr="001A387B">
        <w:t xml:space="preserve"> </w:t>
      </w:r>
      <w:r w:rsidR="00E0267C" w:rsidRPr="001A387B">
        <w:t xml:space="preserve">next </w:t>
      </w:r>
      <w:r w:rsidRPr="001A387B">
        <w:t>analyze</w:t>
      </w:r>
      <w:r w:rsidR="00744515" w:rsidRPr="001A387B">
        <w:t>d</w:t>
      </w:r>
      <w:r w:rsidRPr="001A387B">
        <w:t xml:space="preserve"> the language of section 12022.53 </w:t>
      </w:r>
      <w:r w:rsidR="00D92D42" w:rsidRPr="001A387B">
        <w:t xml:space="preserve">to determine </w:t>
      </w:r>
      <w:r w:rsidR="00E0267C" w:rsidRPr="001A387B">
        <w:t xml:space="preserve">whether </w:t>
      </w:r>
      <w:r w:rsidR="00D92D42" w:rsidRPr="001A387B">
        <w:t xml:space="preserve">the statute </w:t>
      </w:r>
      <w:r w:rsidR="00E0267C" w:rsidRPr="001A387B">
        <w:t xml:space="preserve">limits a court’s </w:t>
      </w:r>
      <w:r w:rsidR="0028025E" w:rsidRPr="001A387B">
        <w:t>discretion</w:t>
      </w:r>
      <w:r w:rsidR="00E0267C" w:rsidRPr="001A387B">
        <w:t xml:space="preserve"> to impose an uncharged lesser enhancement</w:t>
      </w:r>
      <w:r w:rsidR="0028025E" w:rsidRPr="001A387B">
        <w:t>.</w:t>
      </w:r>
      <w:r w:rsidR="00AE0400" w:rsidRPr="001A387B">
        <w:t xml:space="preserve">  The Supreme Court </w:t>
      </w:r>
      <w:r w:rsidRPr="001A387B">
        <w:t xml:space="preserve">concluded that </w:t>
      </w:r>
      <w:r w:rsidR="00E0267C" w:rsidRPr="001A387B">
        <w:t>it does not</w:t>
      </w:r>
      <w:r w:rsidR="00691C9A" w:rsidRPr="001A387B">
        <w:t>.</w:t>
      </w:r>
      <w:r w:rsidR="00597FA8" w:rsidRPr="001A387B">
        <w:t xml:space="preserve">  (</w:t>
      </w:r>
      <w:r w:rsidR="00597FA8" w:rsidRPr="001A387B">
        <w:rPr>
          <w:i/>
          <w:iCs/>
        </w:rPr>
        <w:t>Tirado</w:t>
      </w:r>
      <w:r w:rsidR="00597FA8" w:rsidRPr="001A387B">
        <w:t xml:space="preserve">, </w:t>
      </w:r>
      <w:r w:rsidR="00597FA8" w:rsidRPr="001A387B">
        <w:rPr>
          <w:i/>
          <w:iCs/>
        </w:rPr>
        <w:t>supra</w:t>
      </w:r>
      <w:r w:rsidR="00597FA8" w:rsidRPr="001A387B">
        <w:t>, 12 Cal.5th at pp. 699-700.)  The Supreme Court held:  “When an accusatory pleading alleges and the jury finds true the facts supporting a section 12022.53</w:t>
      </w:r>
      <w:r w:rsidR="0068179D" w:rsidRPr="001A387B">
        <w:t xml:space="preserve">[, subdivision] </w:t>
      </w:r>
      <w:r w:rsidR="00597FA8" w:rsidRPr="001A387B">
        <w:t>(d) enhancement, and the court determines that the section 12022.53</w:t>
      </w:r>
      <w:r w:rsidR="0068179D" w:rsidRPr="001A387B">
        <w:t xml:space="preserve">[, subdivision] </w:t>
      </w:r>
      <w:r w:rsidR="00597FA8" w:rsidRPr="001A387B">
        <w:t>(d) enhancement should be struck or dismissed under section 12022.53</w:t>
      </w:r>
      <w:r w:rsidR="0068179D" w:rsidRPr="001A387B">
        <w:t xml:space="preserve">[, subdivision] </w:t>
      </w:r>
      <w:r w:rsidR="00597FA8" w:rsidRPr="001A387B">
        <w:t>(h), the court may, under section 12022.53</w:t>
      </w:r>
      <w:r w:rsidR="0068179D" w:rsidRPr="001A387B">
        <w:t xml:space="preserve">[, subdivision] </w:t>
      </w:r>
      <w:r w:rsidR="00597FA8" w:rsidRPr="001A387B">
        <w:t xml:space="preserve">(j), impose an enhancement under section 12022.53(b) or </w:t>
      </w:r>
      <w:r w:rsidR="008121C6" w:rsidRPr="001A387B">
        <w:t xml:space="preserve">[subdivision] </w:t>
      </w:r>
      <w:r w:rsidR="00597FA8" w:rsidRPr="001A387B">
        <w:t>(c).”  (</w:t>
      </w:r>
      <w:r w:rsidR="00597FA8" w:rsidRPr="001A387B">
        <w:rPr>
          <w:i/>
          <w:iCs/>
        </w:rPr>
        <w:t>Id.</w:t>
      </w:r>
      <w:r w:rsidR="00597FA8" w:rsidRPr="001A387B">
        <w:t xml:space="preserve"> at p. 700.)</w:t>
      </w:r>
      <w:r w:rsidR="00B5183B" w:rsidRPr="001A387B">
        <w:t xml:space="preserve">  </w:t>
      </w:r>
      <w:r w:rsidR="00B5183B" w:rsidRPr="001A387B">
        <w:rPr>
          <w:i/>
          <w:iCs/>
        </w:rPr>
        <w:t xml:space="preserve">Tirado </w:t>
      </w:r>
      <w:r w:rsidR="00B5183B" w:rsidRPr="001A387B">
        <w:t xml:space="preserve">otherwise </w:t>
      </w:r>
      <w:r w:rsidR="00EE3D4B" w:rsidRPr="001A387B">
        <w:t>stated</w:t>
      </w:r>
      <w:r w:rsidR="00CC19A0" w:rsidRPr="001A387B">
        <w:t xml:space="preserve"> that</w:t>
      </w:r>
      <w:r w:rsidR="00B5183B" w:rsidRPr="001A387B">
        <w:t xml:space="preserve"> “the statutory framework permits a court to strike the section 12022.53</w:t>
      </w:r>
      <w:r w:rsidR="0068179D" w:rsidRPr="001A387B">
        <w:t xml:space="preserve">[, subdivision] </w:t>
      </w:r>
      <w:r w:rsidR="00B5183B" w:rsidRPr="001A387B">
        <w:t>(d) enhancement found true by the jury and to impose a lesser uncharged statutory enhancement instead.”</w:t>
      </w:r>
      <w:r w:rsidR="007B25BD" w:rsidRPr="001A387B">
        <w:t xml:space="preserve">  (</w:t>
      </w:r>
      <w:r w:rsidR="007B25BD" w:rsidRPr="001A387B">
        <w:rPr>
          <w:i/>
          <w:iCs/>
        </w:rPr>
        <w:t>Id.</w:t>
      </w:r>
      <w:r w:rsidR="007B25BD" w:rsidRPr="001A387B">
        <w:t xml:space="preserve"> at p.</w:t>
      </w:r>
      <w:r w:rsidR="00963649">
        <w:t> </w:t>
      </w:r>
      <w:r w:rsidR="007B25BD" w:rsidRPr="001A387B">
        <w:t>692.)</w:t>
      </w:r>
    </w:p>
    <w:p w14:paraId="6FA64D9C" w14:textId="19048B29" w:rsidR="00F754A2" w:rsidRPr="001A387B" w:rsidRDefault="007B25BD" w:rsidP="00100A6B">
      <w:pPr>
        <w:ind w:firstLine="720"/>
      </w:pPr>
      <w:r w:rsidRPr="001A387B">
        <w:t>The</w:t>
      </w:r>
      <w:r w:rsidR="00CB113E" w:rsidRPr="001A387B">
        <w:t xml:space="preserve"> </w:t>
      </w:r>
      <w:r w:rsidR="008B5749" w:rsidRPr="001A387B">
        <w:t xml:space="preserve">People argue that </w:t>
      </w:r>
      <w:r w:rsidR="008B5749" w:rsidRPr="001A387B">
        <w:rPr>
          <w:i/>
          <w:iCs/>
        </w:rPr>
        <w:t>Tirado</w:t>
      </w:r>
      <w:r w:rsidR="008B5749" w:rsidRPr="001A387B">
        <w:t xml:space="preserve"> stands for the narrow proposition that a trial court has discretion to impose </w:t>
      </w:r>
      <w:r w:rsidR="00510421" w:rsidRPr="001A387B">
        <w:t>uncharged enhancements under section 12022.53 and not those contained in other statutes, such as section 12022.5(a)</w:t>
      </w:r>
      <w:r w:rsidR="00F83695" w:rsidRPr="001A387B">
        <w:t xml:space="preserve">, which defendants argue is the </w:t>
      </w:r>
      <w:r w:rsidR="00F83695" w:rsidRPr="001A387B">
        <w:lastRenderedPageBreak/>
        <w:t xml:space="preserve">uncharged lesser the trial court should consider </w:t>
      </w:r>
      <w:r w:rsidR="0068179D" w:rsidRPr="001A387B">
        <w:t xml:space="preserve">imposing </w:t>
      </w:r>
      <w:r w:rsidR="00F83695" w:rsidRPr="001A387B">
        <w:t>here.</w:t>
      </w:r>
      <w:r w:rsidR="00F84FA1" w:rsidRPr="001A387B">
        <w:t xml:space="preserve"> </w:t>
      </w:r>
      <w:r w:rsidR="00F83695" w:rsidRPr="001A387B">
        <w:t xml:space="preserve"> We </w:t>
      </w:r>
      <w:r w:rsidR="005D05F4" w:rsidRPr="001A387B">
        <w:t xml:space="preserve">disagree with </w:t>
      </w:r>
      <w:r w:rsidR="0095692B" w:rsidRPr="001A387B">
        <w:t xml:space="preserve">the People’s characterization of </w:t>
      </w:r>
      <w:r w:rsidR="0095692B" w:rsidRPr="001A387B">
        <w:rPr>
          <w:i/>
          <w:iCs/>
        </w:rPr>
        <w:t>Tirado</w:t>
      </w:r>
      <w:r w:rsidR="0095692B" w:rsidRPr="001A387B">
        <w:t>.</w:t>
      </w:r>
    </w:p>
    <w:p w14:paraId="030E04D7" w14:textId="5E5B67EE" w:rsidR="00F83695" w:rsidRPr="001A387B" w:rsidRDefault="00F83695" w:rsidP="00100A6B">
      <w:pPr>
        <w:ind w:firstLine="720"/>
      </w:pPr>
      <w:r w:rsidRPr="001A387B">
        <w:t>To support the</w:t>
      </w:r>
      <w:r w:rsidR="00F754A2" w:rsidRPr="001A387B">
        <w:t>ir</w:t>
      </w:r>
      <w:r w:rsidRPr="001A387B">
        <w:t xml:space="preserve"> argument, the People rely on the language </w:t>
      </w:r>
      <w:r w:rsidR="00F754A2" w:rsidRPr="001A387B">
        <w:t xml:space="preserve">of </w:t>
      </w:r>
      <w:r w:rsidRPr="001A387B">
        <w:t>subdivision (j) of section 12022.53</w:t>
      </w:r>
      <w:r w:rsidR="00E70AFB" w:rsidRPr="001A387B">
        <w:t xml:space="preserve">, which provides that when an enhancement </w:t>
      </w:r>
      <w:r w:rsidR="00F754A2" w:rsidRPr="001A387B">
        <w:t>under</w:t>
      </w:r>
      <w:r w:rsidR="00E70AFB" w:rsidRPr="001A387B">
        <w:t xml:space="preserve"> section 12022.53 “has been admitted or found to be true, the court shall impose punishment for that enhancement pursuant to this section rather than imposing punishment authorized under any other law, unless another enhancement provides for a greater penalty or a longer term of imprisonment.”  </w:t>
      </w:r>
      <w:r w:rsidR="00A34480" w:rsidRPr="001A387B">
        <w:t>We agree that th</w:t>
      </w:r>
      <w:r w:rsidR="00B97292" w:rsidRPr="001A387B">
        <w:t>e</w:t>
      </w:r>
      <w:r w:rsidR="00A34480" w:rsidRPr="001A387B">
        <w:t xml:space="preserve"> </w:t>
      </w:r>
      <w:r w:rsidR="00AF1C2C" w:rsidRPr="001A387B">
        <w:t>text</w:t>
      </w:r>
      <w:r w:rsidR="00A34480" w:rsidRPr="001A387B">
        <w:t xml:space="preserve"> suggests that the only lesser enhancement that </w:t>
      </w:r>
      <w:r w:rsidR="005D05F4" w:rsidRPr="001A387B">
        <w:t>may be imposed</w:t>
      </w:r>
      <w:r w:rsidR="004A4F6D" w:rsidRPr="001A387B">
        <w:t xml:space="preserve"> when an enhancement under section 12022.53 has been found true </w:t>
      </w:r>
      <w:r w:rsidR="00F754A2" w:rsidRPr="001A387B">
        <w:t xml:space="preserve">would be </w:t>
      </w:r>
      <w:r w:rsidR="005D05F4" w:rsidRPr="001A387B">
        <w:t>another enhancement under</w:t>
      </w:r>
      <w:r w:rsidR="004A4F6D" w:rsidRPr="001A387B">
        <w:t xml:space="preserve"> section 12022.53.  But </w:t>
      </w:r>
      <w:r w:rsidR="004A4F6D" w:rsidRPr="001A387B">
        <w:rPr>
          <w:i/>
          <w:iCs/>
        </w:rPr>
        <w:t>Tirado</w:t>
      </w:r>
      <w:r w:rsidR="004A4F6D" w:rsidRPr="001A387B">
        <w:t xml:space="preserve"> </w:t>
      </w:r>
      <w:r w:rsidR="005D05F4" w:rsidRPr="001A387B">
        <w:t>held that (1) subdivision (j) of section 12022.53 does not limit a court’s discretion to impose uncharged lesser enhancements</w:t>
      </w:r>
      <w:r w:rsidR="00F754A2" w:rsidRPr="001A387B">
        <w:t xml:space="preserve"> (</w:t>
      </w:r>
      <w:r w:rsidR="00F754A2" w:rsidRPr="001A387B">
        <w:rPr>
          <w:i/>
          <w:iCs/>
        </w:rPr>
        <w:t>Tirado</w:t>
      </w:r>
      <w:r w:rsidR="00F754A2" w:rsidRPr="001A387B">
        <w:t>,</w:t>
      </w:r>
      <w:r w:rsidR="000F61DA" w:rsidRPr="001A387B">
        <w:t xml:space="preserve"> </w:t>
      </w:r>
      <w:r w:rsidR="000F61DA" w:rsidRPr="001A387B">
        <w:rPr>
          <w:i/>
          <w:iCs/>
        </w:rPr>
        <w:t>supra</w:t>
      </w:r>
      <w:r w:rsidR="000F61DA" w:rsidRPr="001A387B">
        <w:t>, 12 Cal.5th</w:t>
      </w:r>
      <w:r w:rsidR="00F754A2" w:rsidRPr="001A387B">
        <w:t xml:space="preserve"> at pp. 699-700)</w:t>
      </w:r>
      <w:r w:rsidR="005D05F4" w:rsidRPr="001A387B">
        <w:t xml:space="preserve">, and (2) </w:t>
      </w:r>
      <w:r w:rsidR="000D2682" w:rsidRPr="001A387B">
        <w:t>“imposition of an uncharged enhancement is permitted so long as the facts supporting its imposition are alleged and found true” (</w:t>
      </w:r>
      <w:r w:rsidR="00F754A2" w:rsidRPr="001A387B">
        <w:rPr>
          <w:i/>
          <w:iCs/>
        </w:rPr>
        <w:t>id.</w:t>
      </w:r>
      <w:r w:rsidR="000D2682" w:rsidRPr="001A387B">
        <w:t xml:space="preserve"> at p. 699)</w:t>
      </w:r>
      <w:r w:rsidR="00F754A2" w:rsidRPr="001A387B">
        <w:t>.</w:t>
      </w:r>
      <w:r w:rsidR="000D2682" w:rsidRPr="001A387B">
        <w:t xml:space="preserve">  Moreover, the Supreme Court discussed</w:t>
      </w:r>
      <w:r w:rsidR="00845C37" w:rsidRPr="001A387B">
        <w:t xml:space="preserve"> </w:t>
      </w:r>
      <w:r w:rsidR="00845C37" w:rsidRPr="001A387B">
        <w:rPr>
          <w:i/>
          <w:iCs/>
        </w:rPr>
        <w:t>Fialho</w:t>
      </w:r>
      <w:r w:rsidR="000D2682" w:rsidRPr="001A387B">
        <w:t xml:space="preserve"> </w:t>
      </w:r>
      <w:r w:rsidR="000F61DA" w:rsidRPr="001A387B">
        <w:t xml:space="preserve">with </w:t>
      </w:r>
      <w:r w:rsidR="000D2682" w:rsidRPr="001A387B">
        <w:t>approval</w:t>
      </w:r>
      <w:r w:rsidR="00845C37" w:rsidRPr="001A387B">
        <w:t>, and in that</w:t>
      </w:r>
      <w:r w:rsidR="000D2682" w:rsidRPr="001A387B">
        <w:t xml:space="preserve"> case an uncharged lesser enhancement under section 12022.5</w:t>
      </w:r>
      <w:r w:rsidR="000F61DA" w:rsidRPr="001A387B">
        <w:t>(a)</w:t>
      </w:r>
      <w:r w:rsidR="000D2682" w:rsidRPr="001A387B">
        <w:t xml:space="preserve"> was imposed after an enhancement under section 12022.53 was found true by the jury</w:t>
      </w:r>
      <w:r w:rsidR="000F61DA" w:rsidRPr="001A387B">
        <w:t>.</w:t>
      </w:r>
      <w:r w:rsidR="000D2682" w:rsidRPr="001A387B">
        <w:t xml:space="preserve"> </w:t>
      </w:r>
      <w:r w:rsidR="000F61DA" w:rsidRPr="001A387B">
        <w:t xml:space="preserve"> </w:t>
      </w:r>
      <w:r w:rsidR="000D2682" w:rsidRPr="001A387B">
        <w:t>(</w:t>
      </w:r>
      <w:r w:rsidR="000D2682" w:rsidRPr="001A387B">
        <w:rPr>
          <w:i/>
          <w:iCs/>
        </w:rPr>
        <w:t>Tirado</w:t>
      </w:r>
      <w:r w:rsidR="000D2682" w:rsidRPr="001A387B">
        <w:t>, at p. 698</w:t>
      </w:r>
      <w:r w:rsidR="00EB464F" w:rsidRPr="001A387B">
        <w:t xml:space="preserve">; </w:t>
      </w:r>
      <w:r w:rsidR="00EB464F" w:rsidRPr="001A387B">
        <w:rPr>
          <w:i/>
          <w:iCs/>
        </w:rPr>
        <w:t>Fialho</w:t>
      </w:r>
      <w:r w:rsidR="00EB464F" w:rsidRPr="001A387B">
        <w:t xml:space="preserve">, </w:t>
      </w:r>
      <w:r w:rsidR="00EB464F" w:rsidRPr="001A387B">
        <w:rPr>
          <w:i/>
          <w:iCs/>
        </w:rPr>
        <w:t>supra</w:t>
      </w:r>
      <w:r w:rsidR="00EB464F" w:rsidRPr="001A387B">
        <w:t>, 229 Cal.App.4th at pp. 1393-1394</w:t>
      </w:r>
      <w:r w:rsidR="000F61DA" w:rsidRPr="001A387B">
        <w:t>.</w:t>
      </w:r>
      <w:r w:rsidR="000D2682" w:rsidRPr="001A387B">
        <w:t>)</w:t>
      </w:r>
      <w:r w:rsidR="00845C37" w:rsidRPr="001A387B">
        <w:t xml:space="preserve">  In addition,</w:t>
      </w:r>
      <w:r w:rsidR="000D2682" w:rsidRPr="001A387B">
        <w:t xml:space="preserve"> the court rejected the People’s contention “that a trial court’s power to impose an uncharged enhancement is conditioned on the charged and adjudicated enhancement being inapplicable</w:t>
      </w:r>
      <w:r w:rsidR="00845C37" w:rsidRPr="001A387B">
        <w:t>.</w:t>
      </w:r>
      <w:r w:rsidR="000D2682" w:rsidRPr="001A387B">
        <w:t>”</w:t>
      </w:r>
      <w:r w:rsidR="00845C37" w:rsidRPr="001A387B">
        <w:t xml:space="preserve"> </w:t>
      </w:r>
      <w:r w:rsidR="000D2682" w:rsidRPr="001A387B">
        <w:t xml:space="preserve"> (</w:t>
      </w:r>
      <w:r w:rsidR="00EB464F" w:rsidRPr="001A387B">
        <w:rPr>
          <w:i/>
          <w:iCs/>
        </w:rPr>
        <w:t>Tirado</w:t>
      </w:r>
      <w:r w:rsidR="00EB464F" w:rsidRPr="001A387B">
        <w:t>,</w:t>
      </w:r>
      <w:r w:rsidR="000D2682" w:rsidRPr="001A387B">
        <w:t xml:space="preserve"> at p. 6</w:t>
      </w:r>
      <w:r w:rsidR="000F61DA" w:rsidRPr="001A387B">
        <w:t>99</w:t>
      </w:r>
      <w:r w:rsidR="00845C37" w:rsidRPr="001A387B">
        <w:t>.</w:t>
      </w:r>
      <w:r w:rsidR="000D2682" w:rsidRPr="001A387B">
        <w:t xml:space="preserve">)  </w:t>
      </w:r>
      <w:r w:rsidR="00F754A2" w:rsidRPr="001A387B">
        <w:t xml:space="preserve">For all of these reasons, we interpret </w:t>
      </w:r>
      <w:r w:rsidR="00F754A2" w:rsidRPr="001A387B">
        <w:rPr>
          <w:i/>
          <w:iCs/>
        </w:rPr>
        <w:t>Tirado</w:t>
      </w:r>
      <w:r w:rsidR="00F754A2" w:rsidRPr="001A387B">
        <w:t xml:space="preserve"> as standing for the proposition that when only an enhancement under section 12022.53 has </w:t>
      </w:r>
      <w:r w:rsidR="00F754A2" w:rsidRPr="001A387B">
        <w:lastRenderedPageBreak/>
        <w:t>been charged and found true, a sentencing court wishing to impose an uncharged lesser enhancement is not limited to lesser enhancements found within section 12022.53.  W</w:t>
      </w:r>
      <w:r w:rsidR="004A4F6D" w:rsidRPr="001A387B">
        <w:t>e are bound by Supreme Court precedent.</w:t>
      </w:r>
      <w:r w:rsidR="00AB3B9E" w:rsidRPr="001A387B">
        <w:t xml:space="preserve">  (</w:t>
      </w:r>
      <w:r w:rsidR="00AB3B9E" w:rsidRPr="001A387B">
        <w:rPr>
          <w:i/>
          <w:iCs/>
        </w:rPr>
        <w:t>Auto Equity Sales, Inc. v. Superior Court</w:t>
      </w:r>
      <w:r w:rsidR="00AB3B9E" w:rsidRPr="001A387B">
        <w:t xml:space="preserve"> (1962) 57 Cal.2d 450, 455.)</w:t>
      </w:r>
    </w:p>
    <w:p w14:paraId="2AED67D5" w14:textId="73AEEC9A" w:rsidR="00193B71" w:rsidRPr="001A387B" w:rsidRDefault="00845C37" w:rsidP="00100A6B">
      <w:pPr>
        <w:ind w:firstLine="720"/>
        <w:rPr>
          <w:b/>
          <w:bCs/>
        </w:rPr>
      </w:pPr>
      <w:r w:rsidRPr="001A387B">
        <w:t>T</w:t>
      </w:r>
      <w:r w:rsidR="00610469" w:rsidRPr="001A387B">
        <w:t xml:space="preserve">he People attempt to distinguish </w:t>
      </w:r>
      <w:r w:rsidR="00610469" w:rsidRPr="001A387B">
        <w:rPr>
          <w:i/>
          <w:iCs/>
        </w:rPr>
        <w:t>Fialho</w:t>
      </w:r>
      <w:r w:rsidR="00610469" w:rsidRPr="001A387B">
        <w:t xml:space="preserve">, </w:t>
      </w:r>
      <w:r w:rsidR="00610469" w:rsidRPr="001A387B">
        <w:rPr>
          <w:i/>
          <w:iCs/>
        </w:rPr>
        <w:t>supra</w:t>
      </w:r>
      <w:r w:rsidR="00610469" w:rsidRPr="001A387B">
        <w:t xml:space="preserve">, 229 Cal.App.4th 1389 as </w:t>
      </w:r>
      <w:r w:rsidR="00FC479B" w:rsidRPr="001A387B">
        <w:t>“only reaffirm[ing] the basic principles of notice and opportunity.”</w:t>
      </w:r>
      <w:r w:rsidR="00710078" w:rsidRPr="001A387B">
        <w:t xml:space="preserve">  </w:t>
      </w:r>
      <w:r w:rsidRPr="001A387B">
        <w:t>But</w:t>
      </w:r>
      <w:r w:rsidR="00710078" w:rsidRPr="001A387B">
        <w:t xml:space="preserve"> the Supreme Court’s </w:t>
      </w:r>
      <w:r w:rsidRPr="001A387B">
        <w:t xml:space="preserve">approving discussion </w:t>
      </w:r>
      <w:r w:rsidR="00710078" w:rsidRPr="001A387B">
        <w:t xml:space="preserve">of </w:t>
      </w:r>
      <w:r w:rsidR="00710078" w:rsidRPr="001A387B">
        <w:rPr>
          <w:i/>
          <w:iCs/>
        </w:rPr>
        <w:t>Fialho</w:t>
      </w:r>
      <w:r w:rsidR="00710078" w:rsidRPr="001A387B">
        <w:t xml:space="preserve"> </w:t>
      </w:r>
      <w:r w:rsidRPr="001A387B">
        <w:t xml:space="preserve">was not so limited.  Rather, the court described </w:t>
      </w:r>
      <w:r w:rsidRPr="001A387B">
        <w:rPr>
          <w:i/>
          <w:iCs/>
        </w:rPr>
        <w:t>Fialho</w:t>
      </w:r>
      <w:r w:rsidRPr="001A387B">
        <w:t xml:space="preserve"> </w:t>
      </w:r>
      <w:r w:rsidR="00710078" w:rsidRPr="001A387B">
        <w:t xml:space="preserve">as one of the cases </w:t>
      </w:r>
      <w:r w:rsidRPr="001A387B">
        <w:t>illustrating the broad</w:t>
      </w:r>
      <w:r w:rsidR="00710078" w:rsidRPr="001A387B">
        <w:t xml:space="preserve"> principle that </w:t>
      </w:r>
      <w:r w:rsidR="0078593E" w:rsidRPr="001A387B">
        <w:t>“courts are not categorically prohibited from imposing uncharged enhancements and that the power to do so is not conditioned on the charged and adjudicated enhancement being legally or factually inapplicable.”  (</w:t>
      </w:r>
      <w:r w:rsidR="0078593E" w:rsidRPr="001A387B">
        <w:rPr>
          <w:i/>
          <w:iCs/>
        </w:rPr>
        <w:t>Tirado</w:t>
      </w:r>
      <w:r w:rsidR="0078593E" w:rsidRPr="001A387B">
        <w:t xml:space="preserve">, </w:t>
      </w:r>
      <w:r w:rsidR="0078593E" w:rsidRPr="001A387B">
        <w:rPr>
          <w:i/>
          <w:iCs/>
        </w:rPr>
        <w:t>supra</w:t>
      </w:r>
      <w:r w:rsidR="0078593E" w:rsidRPr="001A387B">
        <w:t>, 12 Cal.5th at pp. 698-699.)</w:t>
      </w:r>
      <w:r w:rsidR="00104478" w:rsidRPr="001A387B">
        <w:t xml:space="preserve">  </w:t>
      </w:r>
    </w:p>
    <w:p w14:paraId="2C7F6CDF" w14:textId="18B7B34E" w:rsidR="00480664" w:rsidRPr="001A387B" w:rsidRDefault="00E36C38" w:rsidP="00100A6B">
      <w:pPr>
        <w:ind w:firstLine="720"/>
      </w:pPr>
      <w:r w:rsidRPr="001A387B">
        <w:t xml:space="preserve">Applying </w:t>
      </w:r>
      <w:r w:rsidRPr="001A387B">
        <w:rPr>
          <w:i/>
          <w:iCs/>
        </w:rPr>
        <w:t>Tirado</w:t>
      </w:r>
      <w:r w:rsidRPr="001A387B">
        <w:t>, we conclude that on remand the trial court may consider whether to strike defendants’ enhancements under section 12022.53(b) to impose lesser</w:t>
      </w:r>
      <w:r w:rsidR="00CC19A0" w:rsidRPr="001A387B">
        <w:t xml:space="preserve"> uncharged</w:t>
      </w:r>
      <w:r w:rsidRPr="001A387B">
        <w:t xml:space="preserve"> </w:t>
      </w:r>
      <w:r w:rsidR="00C917B5" w:rsidRPr="001A387B">
        <w:t>enhancement</w:t>
      </w:r>
      <w:r w:rsidR="00CC19A0" w:rsidRPr="001A387B">
        <w:t>s</w:t>
      </w:r>
      <w:r w:rsidR="00C917B5" w:rsidRPr="001A387B">
        <w:t xml:space="preserve"> under section 12022.5</w:t>
      </w:r>
      <w:r w:rsidR="00285B6D" w:rsidRPr="001A387B">
        <w:t>(a)</w:t>
      </w:r>
      <w:r w:rsidR="00C917B5" w:rsidRPr="001A387B">
        <w:t>.</w:t>
      </w:r>
      <w:r w:rsidR="007F56EC" w:rsidRPr="001A387B">
        <w:t xml:space="preserve">  </w:t>
      </w:r>
      <w:r w:rsidR="00480664" w:rsidRPr="001A387B">
        <w:t xml:space="preserve">Given our conclusion that remand for full resentencing is necessary in light of Senate Bill 567, we need not and do not address the People’s alternative argument that remand for the trial court to consider imposing </w:t>
      </w:r>
      <w:r w:rsidR="00845C37" w:rsidRPr="001A387B">
        <w:t xml:space="preserve">a </w:t>
      </w:r>
      <w:r w:rsidR="00480664" w:rsidRPr="001A387B">
        <w:t xml:space="preserve">lesser </w:t>
      </w:r>
      <w:r w:rsidR="00845C37" w:rsidRPr="001A387B">
        <w:t xml:space="preserve">firearm </w:t>
      </w:r>
      <w:r w:rsidR="00480664" w:rsidRPr="001A387B">
        <w:t>enhancement would be futile</w:t>
      </w:r>
      <w:r w:rsidR="00DE0210" w:rsidRPr="001A387B">
        <w:t xml:space="preserve"> because the record demonstrates that the trial court would not </w:t>
      </w:r>
      <w:r w:rsidR="00845C37" w:rsidRPr="001A387B">
        <w:t>do so</w:t>
      </w:r>
      <w:r w:rsidR="00DE0210" w:rsidRPr="001A387B">
        <w:t>.</w:t>
      </w:r>
    </w:p>
    <w:p w14:paraId="7D364546" w14:textId="79FC1DC7" w:rsidR="00375711" w:rsidRPr="001A387B" w:rsidRDefault="00375711" w:rsidP="00100A6B">
      <w:pPr>
        <w:keepNext/>
        <w:keepLines/>
        <w:jc w:val="center"/>
      </w:pPr>
      <w:r w:rsidRPr="001A387B">
        <w:lastRenderedPageBreak/>
        <w:t>DISPOSITION</w:t>
      </w:r>
    </w:p>
    <w:p w14:paraId="02248F2F" w14:textId="573A5C8F" w:rsidR="00C23252" w:rsidRDefault="00393B12" w:rsidP="00100A6B">
      <w:r w:rsidRPr="001A387B">
        <w:tab/>
      </w:r>
      <w:r w:rsidR="00BD7773" w:rsidRPr="001A387B">
        <w:t xml:space="preserve">We vacate defendants’ sentences on </w:t>
      </w:r>
      <w:r w:rsidR="00C85332" w:rsidRPr="001A387B">
        <w:t xml:space="preserve">count </w:t>
      </w:r>
      <w:r w:rsidR="00BD7773" w:rsidRPr="001A387B">
        <w:t xml:space="preserve">1.  The matter is remanded for resentencing of Fuller and Tresvant consistent with this opinion.  </w:t>
      </w:r>
      <w:r w:rsidR="00F22664" w:rsidRPr="001A387B">
        <w:t xml:space="preserve">In </w:t>
      </w:r>
      <w:r w:rsidR="004E60DD" w:rsidRPr="001A387B">
        <w:t>all other respects, the judgments are affirmed.</w:t>
      </w:r>
    </w:p>
    <w:p w14:paraId="7EC166AF" w14:textId="39E41ACC" w:rsidR="001A387B" w:rsidRDefault="001A387B" w:rsidP="00100A6B">
      <w:r>
        <w:tab/>
        <w:t>CERTIFIED FOR PARTIAL PUBLICATION</w:t>
      </w:r>
    </w:p>
    <w:p w14:paraId="2FF0F288" w14:textId="533F468E" w:rsidR="001A387B" w:rsidRDefault="001A387B" w:rsidP="00100A6B">
      <w:pPr>
        <w:pStyle w:val="SigPage1"/>
        <w:spacing w:line="600" w:lineRule="exact"/>
        <w:jc w:val="right"/>
      </w:pPr>
      <w:r>
        <w:rPr>
          <w:u w:val="single"/>
        </w:rPr>
        <w:t>MENETREZ</w:t>
      </w:r>
      <w:r>
        <w:rPr>
          <w:u w:val="single"/>
        </w:rPr>
        <w:tab/>
      </w:r>
    </w:p>
    <w:p w14:paraId="6D259EB0" w14:textId="27095048" w:rsidR="001A387B" w:rsidRDefault="001A387B" w:rsidP="001A387B">
      <w:pPr>
        <w:pStyle w:val="SigPage1"/>
        <w:jc w:val="right"/>
      </w:pPr>
      <w:r>
        <w:tab/>
        <w:t>J.</w:t>
      </w:r>
    </w:p>
    <w:p w14:paraId="2B5997C0" w14:textId="271F6011" w:rsidR="001A387B" w:rsidRDefault="001A387B" w:rsidP="001A387B">
      <w:pPr>
        <w:pStyle w:val="SigPage2"/>
      </w:pPr>
    </w:p>
    <w:p w14:paraId="79B5324E" w14:textId="3757DB23" w:rsidR="001A387B" w:rsidRDefault="001A387B" w:rsidP="001A387B">
      <w:pPr>
        <w:pStyle w:val="SigPage2"/>
      </w:pPr>
    </w:p>
    <w:p w14:paraId="407EB0D8" w14:textId="1065EFDC" w:rsidR="001A387B" w:rsidRDefault="00733CA8" w:rsidP="001A387B">
      <w:pPr>
        <w:pStyle w:val="SigPage2"/>
      </w:pPr>
      <w:r>
        <w:t>I</w:t>
      </w:r>
      <w:r w:rsidR="001A387B">
        <w:t xml:space="preserve"> concur:</w:t>
      </w:r>
    </w:p>
    <w:p w14:paraId="668E4A84" w14:textId="7BCD8D61" w:rsidR="001A387B" w:rsidRDefault="001A387B" w:rsidP="001A387B">
      <w:pPr>
        <w:pStyle w:val="SigPage2"/>
      </w:pPr>
    </w:p>
    <w:p w14:paraId="17B5C3DE" w14:textId="7C1D9F5B" w:rsidR="001A387B" w:rsidRDefault="00733CA8" w:rsidP="001A387B">
      <w:pPr>
        <w:pStyle w:val="SigPage2"/>
      </w:pPr>
      <w:r>
        <w:rPr>
          <w:u w:val="single"/>
        </w:rPr>
        <w:t>McKINSTER</w:t>
      </w:r>
      <w:r w:rsidR="001A387B">
        <w:rPr>
          <w:u w:val="single"/>
        </w:rPr>
        <w:tab/>
      </w:r>
    </w:p>
    <w:p w14:paraId="76FC1770" w14:textId="1B62538C" w:rsidR="001A387B" w:rsidRDefault="001A387B" w:rsidP="001A387B">
      <w:pPr>
        <w:pStyle w:val="SigPage2"/>
      </w:pPr>
      <w:r>
        <w:tab/>
        <w:t>J.</w:t>
      </w:r>
    </w:p>
    <w:p w14:paraId="21DC5DD7" w14:textId="2CD687EA" w:rsidR="001A387B" w:rsidRDefault="001A387B" w:rsidP="001A387B"/>
    <w:p w14:paraId="3D28D567" w14:textId="3D4CAE99" w:rsidR="008C1AAF" w:rsidRDefault="008C1AAF" w:rsidP="001A387B">
      <w:r>
        <w:br w:type="page"/>
      </w:r>
    </w:p>
    <w:p w14:paraId="4E59C069" w14:textId="77777777" w:rsidR="008C1AAF" w:rsidRDefault="008C1AAF" w:rsidP="001A387B">
      <w:pPr>
        <w:sectPr w:rsidR="008C1AAF" w:rsidSect="002E666C">
          <w:footerReference w:type="even" r:id="rId8"/>
          <w:footerReference w:type="default" r:id="rId9"/>
          <w:pgSz w:w="12240" w:h="15840"/>
          <w:pgMar w:top="1440" w:right="1440" w:bottom="1440" w:left="1440" w:header="720" w:footer="720" w:gutter="0"/>
          <w:cols w:space="720"/>
          <w:docGrid w:linePitch="354"/>
        </w:sectPr>
      </w:pPr>
    </w:p>
    <w:p w14:paraId="50C50BD3" w14:textId="77777777" w:rsidR="008C1AAF" w:rsidRDefault="008C1AAF" w:rsidP="008C1AAF">
      <w:pPr>
        <w:pStyle w:val="Draft"/>
        <w:spacing w:after="0" w:line="600" w:lineRule="exact"/>
        <w:ind w:firstLine="0"/>
        <w:rPr>
          <w:rFonts w:ascii="Times New Roman" w:hAnsi="Times New Roman"/>
          <w:sz w:val="26"/>
        </w:rPr>
      </w:pPr>
      <w:r>
        <w:rPr>
          <w:rFonts w:ascii="Times New Roman" w:hAnsi="Times New Roman"/>
          <w:sz w:val="26"/>
        </w:rPr>
        <w:lastRenderedPageBreak/>
        <w:t xml:space="preserve">[E071794, </w:t>
      </w:r>
      <w:r w:rsidRPr="00D95DBB">
        <w:rPr>
          <w:rFonts w:ascii="Times New Roman" w:hAnsi="Times New Roman"/>
          <w:i/>
          <w:iCs/>
          <w:sz w:val="26"/>
        </w:rPr>
        <w:t>The People v. Eric Lavell Fuller, Jr., et al</w:t>
      </w:r>
      <w:r>
        <w:rPr>
          <w:rFonts w:ascii="Times New Roman" w:hAnsi="Times New Roman"/>
          <w:sz w:val="26"/>
        </w:rPr>
        <w:t>.]</w:t>
      </w:r>
    </w:p>
    <w:p w14:paraId="32638F3F" w14:textId="77777777" w:rsidR="008C1AAF" w:rsidRDefault="008C1AAF" w:rsidP="008C1AAF">
      <w:pPr>
        <w:pStyle w:val="Draft"/>
        <w:spacing w:after="0" w:line="600" w:lineRule="exact"/>
        <w:rPr>
          <w:rFonts w:ascii="Times New Roman" w:hAnsi="Times New Roman"/>
          <w:sz w:val="26"/>
        </w:rPr>
      </w:pPr>
      <w:r>
        <w:rPr>
          <w:rFonts w:ascii="Times New Roman" w:hAnsi="Times New Roman"/>
          <w:sz w:val="26"/>
        </w:rPr>
        <w:t>RAMIREZ, P. J., Concurring.</w:t>
      </w:r>
    </w:p>
    <w:p w14:paraId="307B2573" w14:textId="7D4C97BC" w:rsidR="008C1AAF" w:rsidRPr="004A55C8" w:rsidRDefault="008C1AAF" w:rsidP="008C1AAF">
      <w:pPr>
        <w:pStyle w:val="Draft"/>
        <w:spacing w:after="0" w:line="600" w:lineRule="exact"/>
        <w:rPr>
          <w:rFonts w:ascii="Times New Roman" w:hAnsi="Times New Roman"/>
          <w:sz w:val="26"/>
        </w:rPr>
      </w:pPr>
      <w:r w:rsidRPr="004A55C8">
        <w:rPr>
          <w:rFonts w:ascii="Times New Roman" w:hAnsi="Times New Roman"/>
          <w:sz w:val="26"/>
        </w:rPr>
        <w:t>I concur in the judgment and in parts A, B, and C of the Discussion.  I also concur with the conclusion in part D that the trial court has discretion to reduce the charged enhancements under Penal Code section 12022.53, subdivision (b) to lesser included but uncharged enhancements under Penal Code section 12022.5, subdivision (a).</w:t>
      </w:r>
      <w:r w:rsidR="00733CA8">
        <w:rPr>
          <w:rStyle w:val="FootnoteReference"/>
        </w:rPr>
        <w:footnoteReference w:customMarkFollows="1" w:id="6"/>
        <w:t>1</w:t>
      </w:r>
      <w:r w:rsidRPr="004A55C8">
        <w:rPr>
          <w:rFonts w:ascii="Times New Roman" w:hAnsi="Times New Roman"/>
          <w:sz w:val="26"/>
        </w:rPr>
        <w:t xml:space="preserve">  However, I come to that conclusion, not for the reasons stated in the majority opinion, but as a matter of straightforward statutory interpretation.</w:t>
      </w:r>
    </w:p>
    <w:p w14:paraId="7F588424" w14:textId="77777777" w:rsidR="008C1AAF" w:rsidRPr="004A55C8" w:rsidRDefault="008C1AAF" w:rsidP="008C1AAF">
      <w:pPr>
        <w:pStyle w:val="Draft"/>
        <w:spacing w:after="0" w:line="600" w:lineRule="exact"/>
        <w:rPr>
          <w:rFonts w:ascii="Times New Roman" w:hAnsi="Times New Roman"/>
          <w:sz w:val="26"/>
        </w:rPr>
      </w:pPr>
      <w:r w:rsidRPr="004A55C8">
        <w:rPr>
          <w:rFonts w:ascii="Times New Roman" w:hAnsi="Times New Roman"/>
          <w:sz w:val="26"/>
        </w:rPr>
        <w:t>Section 12022.53 was originally enacted in 1997.  (Stats. 1997, ch. 503, § 3, pp. 3135-3138.)  Subdivision (j) was part of that original enactment.  (</w:t>
      </w:r>
      <w:r w:rsidRPr="004A55C8">
        <w:rPr>
          <w:rFonts w:ascii="Times New Roman" w:hAnsi="Times New Roman"/>
          <w:i/>
          <w:sz w:val="26"/>
        </w:rPr>
        <w:t>Ibid</w:t>
      </w:r>
      <w:r w:rsidRPr="004A55C8">
        <w:rPr>
          <w:rFonts w:ascii="Times New Roman" w:hAnsi="Times New Roman"/>
          <w:sz w:val="26"/>
        </w:rPr>
        <w:t>.)  It has been amended once; the amendment made minor wording changes but did not substantively change its meaning.  (Stats. 2006, ch. 901, § 11.1, p. 7077.)</w:t>
      </w:r>
    </w:p>
    <w:p w14:paraId="01D25158" w14:textId="77777777" w:rsidR="008C1AAF" w:rsidRPr="004A55C8" w:rsidRDefault="008C1AAF" w:rsidP="008C1AAF">
      <w:pPr>
        <w:pStyle w:val="Draft"/>
        <w:spacing w:after="0" w:line="600" w:lineRule="exact"/>
        <w:rPr>
          <w:rFonts w:ascii="Times New Roman" w:hAnsi="Times New Roman"/>
          <w:sz w:val="26"/>
        </w:rPr>
      </w:pPr>
      <w:r w:rsidRPr="004A55C8">
        <w:rPr>
          <w:rFonts w:ascii="Times New Roman" w:hAnsi="Times New Roman"/>
          <w:sz w:val="26"/>
        </w:rPr>
        <w:t xml:space="preserve">Subdivision (j) consists of two sentences.  The first sentence provides:  “For the penalties in this section to apply, the existence of any fact required under subdivision (b), (c), or (d) shall be alleged in the accusatory pleading and either admitted by the defendant in open court or found to be true by the trier of fact.”  The second sentence provides:  “When an enhancement specified in this section has been admitted or found to be true, the court shall impose punishment for that enhancement pursuant to this section rather </w:t>
      </w:r>
      <w:r w:rsidRPr="004A55C8">
        <w:rPr>
          <w:rFonts w:ascii="Times New Roman" w:hAnsi="Times New Roman"/>
          <w:sz w:val="26"/>
        </w:rPr>
        <w:lastRenderedPageBreak/>
        <w:t>than imposing punishment authorized under any other law, unless another enhancement provides for a greater penalty or a longer term of imprisonment.”</w:t>
      </w:r>
    </w:p>
    <w:p w14:paraId="7C873E9C" w14:textId="77777777" w:rsidR="008C1AAF" w:rsidRPr="004A55C8" w:rsidRDefault="008C1AAF" w:rsidP="008C1AAF">
      <w:pPr>
        <w:pStyle w:val="Draft"/>
        <w:spacing w:after="0" w:line="600" w:lineRule="exact"/>
        <w:rPr>
          <w:rFonts w:ascii="Times New Roman" w:hAnsi="Times New Roman"/>
          <w:sz w:val="26"/>
        </w:rPr>
      </w:pPr>
      <w:r w:rsidRPr="004A55C8">
        <w:rPr>
          <w:rFonts w:ascii="Times New Roman" w:hAnsi="Times New Roman"/>
          <w:sz w:val="26"/>
        </w:rPr>
        <w:t>Subdivision (h), in its current form, was enacted in 2017.  (Stats. 2017, ch. 682, § 2, p. 5106.)  As relevant here, it provides:  “The court may, in the interest of justice pursuant to Section 1385 and at the time of sentencing, strike or dismiss an enhancement otherwise required to be imposed by this section.”</w:t>
      </w:r>
    </w:p>
    <w:p w14:paraId="6B79D5DE" w14:textId="77777777" w:rsidR="008C1AAF" w:rsidRPr="004A55C8" w:rsidRDefault="008C1AAF" w:rsidP="008C1AAF">
      <w:pPr>
        <w:pStyle w:val="Draft"/>
        <w:spacing w:after="0" w:line="600" w:lineRule="exact"/>
        <w:rPr>
          <w:rFonts w:ascii="Times New Roman" w:hAnsi="Times New Roman"/>
          <w:sz w:val="26"/>
        </w:rPr>
      </w:pPr>
      <w:r w:rsidRPr="004A55C8">
        <w:rPr>
          <w:rFonts w:ascii="Times New Roman" w:hAnsi="Times New Roman"/>
          <w:sz w:val="26"/>
        </w:rPr>
        <w:t xml:space="preserve">In sum, then, the second sentence of subdivision (j) requires the court to “impose punishment . . . pursuant to this section . . . .”  Subdivision (h), however, allows a court to “strike or dismiss an enhancement </w:t>
      </w:r>
      <w:r w:rsidRPr="004A55C8">
        <w:rPr>
          <w:rFonts w:ascii="Times New Roman" w:hAnsi="Times New Roman"/>
          <w:i/>
          <w:sz w:val="26"/>
        </w:rPr>
        <w:t>otherwise required to be imposed by this section</w:t>
      </w:r>
      <w:r w:rsidRPr="004A55C8">
        <w:rPr>
          <w:rFonts w:ascii="Times New Roman" w:hAnsi="Times New Roman"/>
          <w:sz w:val="26"/>
        </w:rPr>
        <w:t>.”  (Italics added.)  Thus, subdivision (h) expressly overrides the second sentence of subdivision (j).</w:t>
      </w:r>
    </w:p>
    <w:p w14:paraId="3C0E857B" w14:textId="21947687" w:rsidR="008C1AAF" w:rsidRPr="004A55C8" w:rsidRDefault="008C1AAF" w:rsidP="008C1AAF">
      <w:pPr>
        <w:pStyle w:val="Draft"/>
        <w:spacing w:after="0" w:line="600" w:lineRule="exact"/>
        <w:rPr>
          <w:rFonts w:ascii="Times New Roman" w:hAnsi="Times New Roman"/>
          <w:sz w:val="26"/>
        </w:rPr>
      </w:pPr>
      <w:r w:rsidRPr="004A55C8">
        <w:rPr>
          <w:rFonts w:ascii="Times New Roman" w:hAnsi="Times New Roman"/>
          <w:sz w:val="26"/>
        </w:rPr>
        <w:t>I recognize that “</w:t>
      </w:r>
      <w:r w:rsidRPr="002E6A82">
        <w:rPr>
          <w:rFonts w:ascii="Times New Roman" w:hAnsi="Times New Roman"/>
          <w:iCs/>
          <w:sz w:val="26"/>
        </w:rPr>
        <w:t>[</w:t>
      </w:r>
      <w:r w:rsidRPr="004A55C8">
        <w:rPr>
          <w:rFonts w:ascii="Times New Roman" w:hAnsi="Times New Roman"/>
          <w:i/>
          <w:sz w:val="26"/>
        </w:rPr>
        <w:t>s</w:t>
      </w:r>
      <w:r w:rsidRPr="002E6A82">
        <w:rPr>
          <w:rFonts w:ascii="Times New Roman" w:hAnsi="Times New Roman"/>
          <w:iCs/>
          <w:sz w:val="26"/>
        </w:rPr>
        <w:t>]</w:t>
      </w:r>
      <w:r w:rsidRPr="004A55C8">
        <w:rPr>
          <w:rFonts w:ascii="Times New Roman" w:hAnsi="Times New Roman"/>
          <w:i/>
          <w:sz w:val="26"/>
        </w:rPr>
        <w:t>ection 12022.53(h)</w:t>
      </w:r>
      <w:r w:rsidRPr="004A55C8">
        <w:rPr>
          <w:rFonts w:ascii="Times New Roman" w:hAnsi="Times New Roman"/>
          <w:sz w:val="26"/>
        </w:rPr>
        <w:t xml:space="preserve"> does not authorize the </w:t>
      </w:r>
      <w:r w:rsidRPr="004A55C8">
        <w:rPr>
          <w:rFonts w:ascii="Times New Roman" w:hAnsi="Times New Roman"/>
          <w:i/>
          <w:sz w:val="26"/>
        </w:rPr>
        <w:t>imposition</w:t>
      </w:r>
      <w:r w:rsidRPr="004A55C8">
        <w:rPr>
          <w:rFonts w:ascii="Times New Roman" w:hAnsi="Times New Roman"/>
          <w:sz w:val="26"/>
        </w:rPr>
        <w:t xml:space="preserve"> of any of section 12022.53’s enhancements; it only authorizes a trial court to ‘</w:t>
      </w:r>
      <w:r w:rsidRPr="004A55C8">
        <w:rPr>
          <w:rFonts w:ascii="Times New Roman" w:hAnsi="Times New Roman"/>
          <w:i/>
          <w:sz w:val="26"/>
        </w:rPr>
        <w:t>strike or dismiss</w:t>
      </w:r>
      <w:r w:rsidRPr="004A55C8">
        <w:rPr>
          <w:rFonts w:ascii="Times New Roman" w:hAnsi="Times New Roman"/>
          <w:sz w:val="26"/>
        </w:rPr>
        <w:t xml:space="preserve"> an enhancement otherwise required to be imposed by this section.’  [Citation.]”  (</w:t>
      </w:r>
      <w:r w:rsidRPr="004A55C8">
        <w:rPr>
          <w:rFonts w:ascii="Times New Roman" w:hAnsi="Times New Roman"/>
          <w:i/>
          <w:sz w:val="26"/>
        </w:rPr>
        <w:t>People v. Tirado</w:t>
      </w:r>
      <w:r w:rsidRPr="004A55C8">
        <w:rPr>
          <w:rFonts w:ascii="Times New Roman" w:hAnsi="Times New Roman"/>
          <w:sz w:val="26"/>
        </w:rPr>
        <w:t xml:space="preserve"> (2022) 12 Cal.5th 688, 700, some italics added (</w:t>
      </w:r>
      <w:r w:rsidRPr="004A55C8">
        <w:rPr>
          <w:rFonts w:ascii="Times New Roman" w:hAnsi="Times New Roman"/>
          <w:i/>
          <w:sz w:val="26"/>
        </w:rPr>
        <w:t>Tirado</w:t>
      </w:r>
      <w:r w:rsidRPr="004A55C8">
        <w:rPr>
          <w:rFonts w:ascii="Times New Roman" w:hAnsi="Times New Roman"/>
          <w:sz w:val="26"/>
        </w:rPr>
        <w:t>).)  Rather, “</w:t>
      </w:r>
      <w:r w:rsidRPr="002E6A82">
        <w:rPr>
          <w:rFonts w:ascii="Times New Roman" w:hAnsi="Times New Roman"/>
          <w:iCs/>
          <w:sz w:val="26"/>
        </w:rPr>
        <w:t>[</w:t>
      </w:r>
      <w:r w:rsidRPr="004A55C8">
        <w:rPr>
          <w:rFonts w:ascii="Times New Roman" w:hAnsi="Times New Roman"/>
          <w:i/>
          <w:sz w:val="26"/>
        </w:rPr>
        <w:t>s</w:t>
      </w:r>
      <w:r w:rsidRPr="002E6A82">
        <w:rPr>
          <w:rFonts w:ascii="Times New Roman" w:hAnsi="Times New Roman"/>
          <w:iCs/>
          <w:sz w:val="26"/>
        </w:rPr>
        <w:t>]</w:t>
      </w:r>
      <w:r w:rsidRPr="004A55C8">
        <w:rPr>
          <w:rFonts w:ascii="Times New Roman" w:hAnsi="Times New Roman"/>
          <w:i/>
          <w:sz w:val="26"/>
        </w:rPr>
        <w:t>ection 12022.53(j)</w:t>
      </w:r>
      <w:r w:rsidRPr="004A55C8">
        <w:rPr>
          <w:rFonts w:ascii="Times New Roman" w:hAnsi="Times New Roman"/>
          <w:sz w:val="26"/>
        </w:rPr>
        <w:t xml:space="preserve"> is the subdivision that authorizes the imposition of enhancements under section 12022.53.  It provides that for the penalties in section 12022.53 to apply, the existence of any fact required by section 12022.53(b), (c), or (d) must be alleged in the accusatory pleading and admitted or found true.”  (</w:t>
      </w:r>
      <w:r w:rsidRPr="004A55C8">
        <w:rPr>
          <w:rFonts w:ascii="Times New Roman" w:hAnsi="Times New Roman"/>
          <w:i/>
          <w:sz w:val="26"/>
        </w:rPr>
        <w:t>Ibid</w:t>
      </w:r>
      <w:r w:rsidRPr="004A55C8">
        <w:rPr>
          <w:rFonts w:ascii="Times New Roman" w:hAnsi="Times New Roman"/>
          <w:sz w:val="26"/>
        </w:rPr>
        <w:t>., italics added.)</w:t>
      </w:r>
      <w:r w:rsidR="00733CA8">
        <w:rPr>
          <w:rStyle w:val="FootnoteReference"/>
        </w:rPr>
        <w:footnoteReference w:customMarkFollows="1" w:id="7"/>
        <w:t>2</w:t>
      </w:r>
    </w:p>
    <w:p w14:paraId="1423A5D0" w14:textId="77777777" w:rsidR="008C1AAF" w:rsidRPr="004A55C8" w:rsidRDefault="008C1AAF" w:rsidP="008C1AAF">
      <w:pPr>
        <w:pStyle w:val="Draft"/>
        <w:spacing w:after="0" w:line="600" w:lineRule="exact"/>
        <w:rPr>
          <w:rFonts w:ascii="Times New Roman" w:hAnsi="Times New Roman"/>
          <w:sz w:val="26"/>
        </w:rPr>
      </w:pPr>
      <w:r w:rsidRPr="004A55C8">
        <w:rPr>
          <w:rFonts w:ascii="Times New Roman" w:hAnsi="Times New Roman"/>
          <w:sz w:val="26"/>
        </w:rPr>
        <w:lastRenderedPageBreak/>
        <w:t xml:space="preserve">However, just as subdivisions (b), (c), and (d) provide that a defendant who meets their criteria “shall be punished” by a specified additional term, section 12022.5, subdivision (a) provides:  “[A]ny person who personally uses a firearm in the commission of a felony or attempted felony </w:t>
      </w:r>
      <w:r w:rsidRPr="004A55C8">
        <w:rPr>
          <w:rFonts w:ascii="Times New Roman" w:hAnsi="Times New Roman"/>
          <w:i/>
          <w:sz w:val="26"/>
        </w:rPr>
        <w:t>shall be punished</w:t>
      </w:r>
      <w:r w:rsidRPr="004A55C8">
        <w:rPr>
          <w:rFonts w:ascii="Times New Roman" w:hAnsi="Times New Roman"/>
          <w:sz w:val="26"/>
        </w:rPr>
        <w:t xml:space="preserve"> by an additional and consecutive term of imprisonment in the state prison for 3, 4, or 10 years . . . .”  (Italics added.)</w:t>
      </w:r>
    </w:p>
    <w:p w14:paraId="369CE625" w14:textId="77777777" w:rsidR="008C1AAF" w:rsidRPr="004A55C8" w:rsidRDefault="008C1AAF" w:rsidP="008C1AAF">
      <w:pPr>
        <w:pStyle w:val="Draft"/>
        <w:spacing w:after="0" w:line="600" w:lineRule="exact"/>
        <w:rPr>
          <w:rFonts w:ascii="Times New Roman" w:hAnsi="Times New Roman"/>
          <w:sz w:val="26"/>
        </w:rPr>
      </w:pPr>
      <w:r w:rsidRPr="004A55C8">
        <w:rPr>
          <w:rFonts w:ascii="Times New Roman" w:hAnsi="Times New Roman"/>
          <w:sz w:val="26"/>
        </w:rPr>
        <w:t>And just as the first sentence of subdivision (j) provides that the existence of any fact required under subdivision (b), (c), or (d) must be alleged and either admitted or found, section 1170.1, subdivision (e), provides:  “All enhancements shall be alleged in the accusatory pleading and either admitted by the defendant in open court or found to be true by the trier of fact.”  Indeed, the Supreme Court has observed that “subdivision (j) is simply a restatement of section 1170.1, subdivision (e) . . . .”  (</w:t>
      </w:r>
      <w:r w:rsidRPr="004A55C8">
        <w:rPr>
          <w:rFonts w:ascii="Times New Roman" w:hAnsi="Times New Roman"/>
          <w:i/>
          <w:sz w:val="26"/>
        </w:rPr>
        <w:t>People v. Garcia</w:t>
      </w:r>
      <w:r w:rsidRPr="004A55C8">
        <w:rPr>
          <w:rFonts w:ascii="Times New Roman" w:hAnsi="Times New Roman"/>
          <w:sz w:val="26"/>
        </w:rPr>
        <w:t xml:space="preserve"> (2002) 28 Cal.4th 1166, 1175; see also </w:t>
      </w:r>
      <w:r w:rsidRPr="004A55C8">
        <w:rPr>
          <w:rFonts w:ascii="Times New Roman" w:hAnsi="Times New Roman"/>
          <w:i/>
          <w:sz w:val="26"/>
        </w:rPr>
        <w:t>People v. Anderson</w:t>
      </w:r>
      <w:r w:rsidRPr="004A55C8">
        <w:rPr>
          <w:rFonts w:ascii="Times New Roman" w:hAnsi="Times New Roman"/>
          <w:sz w:val="26"/>
        </w:rPr>
        <w:t xml:space="preserve"> (2020) 9 Cal.5th 946, 953 [subdivision (j) “restates the same basic point” as section 1170.1, subdivision (e).”].)</w:t>
      </w:r>
    </w:p>
    <w:p w14:paraId="3C35DB27" w14:textId="77777777" w:rsidR="008C1AAF" w:rsidRPr="004A55C8" w:rsidRDefault="008C1AAF" w:rsidP="008C1AAF">
      <w:pPr>
        <w:pStyle w:val="Draft"/>
        <w:spacing w:after="0" w:line="600" w:lineRule="exact"/>
        <w:rPr>
          <w:rFonts w:ascii="Times New Roman" w:hAnsi="Times New Roman"/>
          <w:sz w:val="26"/>
        </w:rPr>
      </w:pPr>
      <w:r w:rsidRPr="004A55C8">
        <w:rPr>
          <w:rFonts w:ascii="Times New Roman" w:hAnsi="Times New Roman"/>
          <w:sz w:val="26"/>
        </w:rPr>
        <w:t xml:space="preserve">In other words, subdivision (h) authorizes a trial court to strike </w:t>
      </w:r>
      <w:r w:rsidRPr="004A55C8">
        <w:rPr>
          <w:rFonts w:ascii="Times New Roman" w:hAnsi="Times New Roman"/>
          <w:i/>
          <w:sz w:val="26"/>
        </w:rPr>
        <w:t>all</w:t>
      </w:r>
      <w:r w:rsidRPr="004A55C8">
        <w:rPr>
          <w:rFonts w:ascii="Times New Roman" w:hAnsi="Times New Roman"/>
          <w:sz w:val="26"/>
        </w:rPr>
        <w:t xml:space="preserve"> section 12022.53 enhancements, notwithstanding the second sentence of subdivision (j).  Then, once those have been stricken, section 1170.1, subdivision (e) authorizes the same court to impose an uncharged lesser included enhancement under section 12022.5, subdivision (a).</w:t>
      </w:r>
    </w:p>
    <w:p w14:paraId="79254C78" w14:textId="77777777" w:rsidR="008C1AAF" w:rsidRPr="004A55C8" w:rsidRDefault="008C1AAF" w:rsidP="008C1AAF">
      <w:pPr>
        <w:pStyle w:val="Draft"/>
        <w:spacing w:after="0" w:line="600" w:lineRule="exact"/>
        <w:rPr>
          <w:rFonts w:ascii="Times New Roman" w:hAnsi="Times New Roman"/>
          <w:sz w:val="26"/>
        </w:rPr>
      </w:pPr>
      <w:r w:rsidRPr="004A55C8">
        <w:rPr>
          <w:rFonts w:ascii="Times New Roman" w:hAnsi="Times New Roman"/>
          <w:sz w:val="26"/>
        </w:rPr>
        <w:t>The majority opinion similarly concludes that the second sentence of subdivision (j) is no obstacle, but for different reasons.  I find these reasons unpersuasive.</w:t>
      </w:r>
    </w:p>
    <w:p w14:paraId="26F3879D" w14:textId="77777777" w:rsidR="008C1AAF" w:rsidRPr="004A55C8" w:rsidRDefault="008C1AAF" w:rsidP="008C1AAF">
      <w:pPr>
        <w:pStyle w:val="Draft"/>
        <w:spacing w:after="0" w:line="600" w:lineRule="exact"/>
        <w:rPr>
          <w:rFonts w:ascii="Times New Roman" w:hAnsi="Times New Roman"/>
          <w:sz w:val="26"/>
        </w:rPr>
      </w:pPr>
      <w:r w:rsidRPr="004A55C8">
        <w:rPr>
          <w:rFonts w:ascii="Times New Roman" w:hAnsi="Times New Roman"/>
          <w:sz w:val="26"/>
        </w:rPr>
        <w:lastRenderedPageBreak/>
        <w:t>First, it says, “</w:t>
      </w:r>
      <w:r w:rsidRPr="004A55C8">
        <w:rPr>
          <w:rFonts w:ascii="Times New Roman" w:hAnsi="Times New Roman"/>
          <w:i/>
          <w:sz w:val="26"/>
        </w:rPr>
        <w:t>Tirado</w:t>
      </w:r>
      <w:r w:rsidRPr="004A55C8">
        <w:rPr>
          <w:rFonts w:ascii="Times New Roman" w:hAnsi="Times New Roman"/>
          <w:sz w:val="26"/>
        </w:rPr>
        <w:t xml:space="preserve"> held that . . . subdivision (j) . . . does not limit a court’s discretion to impose uncharged lesser enhancements (</w:t>
      </w:r>
      <w:r w:rsidRPr="004A55C8">
        <w:rPr>
          <w:rFonts w:ascii="Times New Roman" w:hAnsi="Times New Roman"/>
          <w:i/>
          <w:sz w:val="26"/>
        </w:rPr>
        <w:t>Tirado</w:t>
      </w:r>
      <w:r w:rsidRPr="004A55C8">
        <w:rPr>
          <w:rFonts w:ascii="Times New Roman" w:hAnsi="Times New Roman"/>
          <w:sz w:val="26"/>
        </w:rPr>
        <w:t xml:space="preserve">, </w:t>
      </w:r>
      <w:r w:rsidRPr="004A55C8">
        <w:rPr>
          <w:rFonts w:ascii="Times New Roman" w:hAnsi="Times New Roman"/>
          <w:i/>
          <w:sz w:val="26"/>
        </w:rPr>
        <w:t>supra</w:t>
      </w:r>
      <w:r w:rsidRPr="004A55C8">
        <w:rPr>
          <w:rFonts w:ascii="Times New Roman" w:hAnsi="Times New Roman"/>
          <w:sz w:val="26"/>
        </w:rPr>
        <w:t xml:space="preserve">, 12 Cal.5th at pp. 699-700) . . . .”  </w:t>
      </w:r>
      <w:r w:rsidRPr="00C26223">
        <w:rPr>
          <w:rFonts w:ascii="Times New Roman" w:hAnsi="Times New Roman"/>
          <w:sz w:val="26"/>
        </w:rPr>
        <w:t>(Maj. opn.</w:t>
      </w:r>
      <w:r w:rsidRPr="004A55C8">
        <w:rPr>
          <w:rFonts w:ascii="Times New Roman" w:hAnsi="Times New Roman"/>
          <w:sz w:val="26"/>
        </w:rPr>
        <w:t xml:space="preserve"> at p. 31.)  The cited portion of </w:t>
      </w:r>
      <w:r w:rsidRPr="004A55C8">
        <w:rPr>
          <w:rFonts w:ascii="Times New Roman" w:hAnsi="Times New Roman"/>
          <w:i/>
          <w:sz w:val="26"/>
        </w:rPr>
        <w:t>Tirado</w:t>
      </w:r>
      <w:r w:rsidRPr="004A55C8">
        <w:rPr>
          <w:rFonts w:ascii="Times New Roman" w:hAnsi="Times New Roman"/>
          <w:sz w:val="26"/>
        </w:rPr>
        <w:t xml:space="preserve">, however, was discussing the </w:t>
      </w:r>
      <w:r w:rsidRPr="004A55C8">
        <w:rPr>
          <w:rFonts w:ascii="Times New Roman" w:hAnsi="Times New Roman"/>
          <w:i/>
          <w:sz w:val="26"/>
        </w:rPr>
        <w:t>first sentence</w:t>
      </w:r>
      <w:r w:rsidRPr="004A55C8">
        <w:rPr>
          <w:rFonts w:ascii="Times New Roman" w:hAnsi="Times New Roman"/>
          <w:sz w:val="26"/>
        </w:rPr>
        <w:t xml:space="preserve"> of subdivision (j).  The only issue in </w:t>
      </w:r>
      <w:r w:rsidRPr="004A55C8">
        <w:rPr>
          <w:rFonts w:ascii="Times New Roman" w:hAnsi="Times New Roman"/>
          <w:i/>
          <w:sz w:val="26"/>
        </w:rPr>
        <w:t>Tirado</w:t>
      </w:r>
      <w:r w:rsidRPr="004A55C8">
        <w:rPr>
          <w:rFonts w:ascii="Times New Roman" w:hAnsi="Times New Roman"/>
          <w:sz w:val="26"/>
        </w:rPr>
        <w:t xml:space="preserve"> was whether a court could impose a lesser included enhancement under section 12022.53; the Supreme Court had no occasion to consider the effect of the </w:t>
      </w:r>
      <w:r w:rsidRPr="004A55C8">
        <w:rPr>
          <w:rFonts w:ascii="Times New Roman" w:hAnsi="Times New Roman"/>
          <w:i/>
          <w:sz w:val="26"/>
        </w:rPr>
        <w:t>second sentence</w:t>
      </w:r>
      <w:r w:rsidRPr="004A55C8">
        <w:rPr>
          <w:rFonts w:ascii="Times New Roman" w:hAnsi="Times New Roman"/>
          <w:sz w:val="26"/>
        </w:rPr>
        <w:t xml:space="preserve"> of subdivision (j).  “‘It is axiomatic that cases are not authority for propositions not considered.’  [Citation.]”  (</w:t>
      </w:r>
      <w:r w:rsidRPr="004A55C8">
        <w:rPr>
          <w:rFonts w:ascii="Times New Roman" w:hAnsi="Times New Roman"/>
          <w:i/>
          <w:sz w:val="26"/>
        </w:rPr>
        <w:t>People v. Jennings</w:t>
      </w:r>
      <w:r w:rsidRPr="004A55C8">
        <w:rPr>
          <w:rFonts w:ascii="Times New Roman" w:hAnsi="Times New Roman"/>
          <w:sz w:val="26"/>
        </w:rPr>
        <w:t xml:space="preserve"> (2010) 50 Cal.4th 616, 684.)</w:t>
      </w:r>
    </w:p>
    <w:p w14:paraId="67A65ACA" w14:textId="77777777" w:rsidR="008C1AAF" w:rsidRPr="004A55C8" w:rsidRDefault="008C1AAF" w:rsidP="008C1AAF">
      <w:pPr>
        <w:pStyle w:val="Draft"/>
        <w:spacing w:after="0" w:line="600" w:lineRule="exact"/>
        <w:rPr>
          <w:rFonts w:ascii="Times New Roman" w:hAnsi="Times New Roman"/>
          <w:sz w:val="26"/>
        </w:rPr>
      </w:pPr>
      <w:r w:rsidRPr="004A55C8">
        <w:rPr>
          <w:rFonts w:ascii="Times New Roman" w:hAnsi="Times New Roman"/>
          <w:sz w:val="26"/>
        </w:rPr>
        <w:t xml:space="preserve">Second, the majority opinion relies on </w:t>
      </w:r>
      <w:r w:rsidRPr="004A55C8">
        <w:rPr>
          <w:rFonts w:ascii="Times New Roman" w:hAnsi="Times New Roman"/>
          <w:i/>
          <w:sz w:val="26"/>
        </w:rPr>
        <w:t>People v. Fialho</w:t>
      </w:r>
      <w:r w:rsidRPr="004A55C8">
        <w:rPr>
          <w:rFonts w:ascii="Times New Roman" w:hAnsi="Times New Roman"/>
          <w:sz w:val="26"/>
        </w:rPr>
        <w:t xml:space="preserve"> (2014) 229 Cal.App.4th 1389.  (</w:t>
      </w:r>
      <w:r w:rsidRPr="00C26223">
        <w:rPr>
          <w:rFonts w:ascii="Times New Roman" w:hAnsi="Times New Roman"/>
          <w:sz w:val="26"/>
        </w:rPr>
        <w:t>Maj. opn.</w:t>
      </w:r>
      <w:r w:rsidRPr="004A55C8">
        <w:rPr>
          <w:rFonts w:ascii="Times New Roman" w:hAnsi="Times New Roman"/>
          <w:sz w:val="26"/>
        </w:rPr>
        <w:t xml:space="preserve"> at p. 31.)  There, the jury found true enhancements under subdivision (d); however, none of the section 12022.53 enhancements applied, because the defendant had been convicted of completed and attempted voluntary manslaughter, rather than murder.  (</w:t>
      </w:r>
      <w:r w:rsidRPr="004A55C8">
        <w:rPr>
          <w:rFonts w:ascii="Times New Roman" w:hAnsi="Times New Roman"/>
          <w:i/>
          <w:sz w:val="26"/>
        </w:rPr>
        <w:t xml:space="preserve">Fialho, supra, </w:t>
      </w:r>
      <w:r w:rsidRPr="004A55C8">
        <w:rPr>
          <w:rFonts w:ascii="Times New Roman" w:hAnsi="Times New Roman"/>
          <w:sz w:val="26"/>
        </w:rPr>
        <w:t>at pp. 1393-1395.)  The appellate court allowed the trial court to impose enhancements under section 12022.5, subdivision (a) instead.  (</w:t>
      </w:r>
      <w:r w:rsidRPr="004A55C8">
        <w:rPr>
          <w:rFonts w:ascii="Times New Roman" w:hAnsi="Times New Roman"/>
          <w:i/>
          <w:sz w:val="26"/>
        </w:rPr>
        <w:t xml:space="preserve">Fialho, supra, </w:t>
      </w:r>
      <w:r w:rsidRPr="004A55C8">
        <w:rPr>
          <w:rFonts w:ascii="Times New Roman" w:hAnsi="Times New Roman"/>
          <w:sz w:val="26"/>
        </w:rPr>
        <w:t xml:space="preserve">at pp. 1394-1399.)  </w:t>
      </w:r>
      <w:r w:rsidRPr="004A55C8">
        <w:rPr>
          <w:rFonts w:ascii="Times New Roman" w:hAnsi="Times New Roman"/>
          <w:i/>
          <w:sz w:val="26"/>
        </w:rPr>
        <w:t>Fialho</w:t>
      </w:r>
      <w:r w:rsidRPr="004A55C8">
        <w:rPr>
          <w:rFonts w:ascii="Times New Roman" w:hAnsi="Times New Roman"/>
          <w:sz w:val="26"/>
        </w:rPr>
        <w:t xml:space="preserve"> did not explain how this could be squared with the second sentence of subdivision (j).  Once again, cases are not authority for propositions not considered.  Possibly </w:t>
      </w:r>
      <w:r w:rsidRPr="004A55C8">
        <w:rPr>
          <w:rFonts w:ascii="Times New Roman" w:hAnsi="Times New Roman"/>
          <w:i/>
          <w:sz w:val="26"/>
        </w:rPr>
        <w:t>Fialho</w:t>
      </w:r>
      <w:r w:rsidRPr="004A55C8">
        <w:rPr>
          <w:rFonts w:ascii="Times New Roman" w:hAnsi="Times New Roman"/>
          <w:sz w:val="26"/>
        </w:rPr>
        <w:t xml:space="preserve"> did not see the second sentence of subdivision (j) as an obstacle because there, the subdivision (d) enhancements were invalid.  If so, it is hardly authority for disregarding subdivision (j) here.</w:t>
      </w:r>
    </w:p>
    <w:p w14:paraId="73F5DF88" w14:textId="77777777" w:rsidR="008C1AAF" w:rsidRPr="004A55C8" w:rsidRDefault="008C1AAF" w:rsidP="008C1AAF">
      <w:pPr>
        <w:pStyle w:val="Draft"/>
        <w:spacing w:after="0" w:line="600" w:lineRule="exact"/>
        <w:rPr>
          <w:rFonts w:ascii="Times New Roman" w:hAnsi="Times New Roman"/>
          <w:sz w:val="26"/>
        </w:rPr>
      </w:pPr>
      <w:r w:rsidRPr="004A55C8">
        <w:rPr>
          <w:rFonts w:ascii="Times New Roman" w:hAnsi="Times New Roman"/>
          <w:sz w:val="26"/>
        </w:rPr>
        <w:t>Third, the majority opinion says, “</w:t>
      </w:r>
      <w:r w:rsidRPr="004A55C8">
        <w:rPr>
          <w:rFonts w:ascii="Times New Roman" w:hAnsi="Times New Roman"/>
          <w:i/>
          <w:sz w:val="26"/>
        </w:rPr>
        <w:t>Tirado</w:t>
      </w:r>
      <w:r w:rsidRPr="004A55C8">
        <w:rPr>
          <w:rFonts w:ascii="Times New Roman" w:hAnsi="Times New Roman"/>
          <w:sz w:val="26"/>
        </w:rPr>
        <w:t xml:space="preserve"> held that . . . ‘imposition of an uncharged enhancement is permitted so long as the facts supporting its imposition are </w:t>
      </w:r>
      <w:r w:rsidRPr="004A55C8">
        <w:rPr>
          <w:rFonts w:ascii="Times New Roman" w:hAnsi="Times New Roman"/>
          <w:sz w:val="26"/>
        </w:rPr>
        <w:lastRenderedPageBreak/>
        <w:t>alleged and found true’ [</w:t>
      </w:r>
      <w:r>
        <w:rPr>
          <w:rFonts w:ascii="Times New Roman" w:hAnsi="Times New Roman"/>
          <w:sz w:val="26"/>
        </w:rPr>
        <w:t>c</w:t>
      </w:r>
      <w:r w:rsidRPr="004A55C8">
        <w:rPr>
          <w:rFonts w:ascii="Times New Roman" w:hAnsi="Times New Roman"/>
          <w:sz w:val="26"/>
        </w:rPr>
        <w:t>itation]</w:t>
      </w:r>
      <w:r>
        <w:rPr>
          <w:rFonts w:ascii="Times New Roman" w:hAnsi="Times New Roman"/>
          <w:sz w:val="26"/>
        </w:rPr>
        <w:t>.</w:t>
      </w:r>
      <w:r w:rsidRPr="004A55C8">
        <w:rPr>
          <w:rFonts w:ascii="Times New Roman" w:hAnsi="Times New Roman"/>
          <w:sz w:val="26"/>
        </w:rPr>
        <w:t>”  (</w:t>
      </w:r>
      <w:r w:rsidRPr="00C26223">
        <w:rPr>
          <w:rFonts w:ascii="Times New Roman" w:hAnsi="Times New Roman"/>
          <w:sz w:val="26"/>
        </w:rPr>
        <w:t>Maj. opn</w:t>
      </w:r>
      <w:r w:rsidRPr="004A55C8">
        <w:rPr>
          <w:rFonts w:ascii="Times New Roman" w:hAnsi="Times New Roman"/>
          <w:sz w:val="26"/>
        </w:rPr>
        <w:t xml:space="preserve">. at p. 31.)  This ignores </w:t>
      </w:r>
      <w:r w:rsidRPr="004A55C8">
        <w:rPr>
          <w:rFonts w:ascii="Times New Roman" w:hAnsi="Times New Roman"/>
          <w:i/>
          <w:sz w:val="26"/>
        </w:rPr>
        <w:t>Tirado</w:t>
      </w:r>
      <w:r w:rsidRPr="004A55C8">
        <w:rPr>
          <w:rFonts w:ascii="Times New Roman" w:hAnsi="Times New Roman"/>
          <w:sz w:val="26"/>
        </w:rPr>
        <w:t>’s statement that it is the first sentence of “</w:t>
      </w:r>
      <w:r w:rsidRPr="00C26223">
        <w:rPr>
          <w:rFonts w:ascii="Times New Roman" w:hAnsi="Times New Roman"/>
          <w:iCs/>
          <w:sz w:val="26"/>
        </w:rPr>
        <w:t>[</w:t>
      </w:r>
      <w:r w:rsidRPr="004A55C8">
        <w:rPr>
          <w:rFonts w:ascii="Times New Roman" w:hAnsi="Times New Roman"/>
          <w:i/>
          <w:sz w:val="26"/>
        </w:rPr>
        <w:t>s</w:t>
      </w:r>
      <w:r w:rsidRPr="00C26223">
        <w:rPr>
          <w:rFonts w:ascii="Times New Roman" w:hAnsi="Times New Roman"/>
          <w:iCs/>
          <w:sz w:val="26"/>
        </w:rPr>
        <w:t>]</w:t>
      </w:r>
      <w:r w:rsidRPr="004A55C8">
        <w:rPr>
          <w:rFonts w:ascii="Times New Roman" w:hAnsi="Times New Roman"/>
          <w:i/>
          <w:sz w:val="26"/>
        </w:rPr>
        <w:t>ection 12022.53(j)</w:t>
      </w:r>
      <w:r w:rsidRPr="004A55C8">
        <w:rPr>
          <w:rFonts w:ascii="Times New Roman" w:hAnsi="Times New Roman"/>
          <w:sz w:val="26"/>
        </w:rPr>
        <w:t xml:space="preserve"> . . . that authorizes the imposition of enhancements under section 12022.53.”  (</w:t>
      </w:r>
      <w:r w:rsidRPr="004A55C8">
        <w:rPr>
          <w:rFonts w:ascii="Times New Roman" w:hAnsi="Times New Roman"/>
          <w:i/>
          <w:sz w:val="26"/>
        </w:rPr>
        <w:t>Tirado</w:t>
      </w:r>
      <w:r w:rsidRPr="004A55C8">
        <w:rPr>
          <w:rFonts w:ascii="Times New Roman" w:hAnsi="Times New Roman"/>
          <w:sz w:val="26"/>
        </w:rPr>
        <w:t xml:space="preserve"> at p. 700.)  In our case, the first sentence of subdivision (j) does not apply; hence, it is necessary to find some other source of statutory authority.  As discussed, I find it in sections 12022.5 and 1170.1.</w:t>
      </w:r>
    </w:p>
    <w:p w14:paraId="3A8D50AE" w14:textId="77777777" w:rsidR="008C1AAF" w:rsidRDefault="008C1AAF" w:rsidP="008C1AAF">
      <w:pPr>
        <w:pStyle w:val="Draft"/>
        <w:spacing w:after="0" w:line="600" w:lineRule="exact"/>
        <w:rPr>
          <w:rFonts w:ascii="Times New Roman" w:hAnsi="Times New Roman"/>
          <w:sz w:val="26"/>
        </w:rPr>
      </w:pPr>
      <w:r w:rsidRPr="004A55C8">
        <w:rPr>
          <w:rFonts w:ascii="Times New Roman" w:hAnsi="Times New Roman"/>
          <w:sz w:val="26"/>
        </w:rPr>
        <w:t>I therefore write separately.</w:t>
      </w:r>
    </w:p>
    <w:p w14:paraId="5A5CE8D1" w14:textId="77777777" w:rsidR="008C1AAF" w:rsidRDefault="008C1AAF" w:rsidP="008C1AAF">
      <w:pPr>
        <w:pStyle w:val="SigPage1"/>
        <w:jc w:val="right"/>
      </w:pPr>
      <w:r>
        <w:rPr>
          <w:u w:val="single"/>
        </w:rPr>
        <w:t>RAMIREZ</w:t>
      </w:r>
      <w:r>
        <w:rPr>
          <w:u w:val="single"/>
        </w:rPr>
        <w:tab/>
      </w:r>
    </w:p>
    <w:p w14:paraId="395C9050" w14:textId="77777777" w:rsidR="008C1AAF" w:rsidRDefault="008C1AAF" w:rsidP="008C1AAF">
      <w:pPr>
        <w:pStyle w:val="SigPage1"/>
        <w:jc w:val="right"/>
      </w:pPr>
      <w:r>
        <w:tab/>
        <w:t>P. J.</w:t>
      </w:r>
    </w:p>
    <w:p w14:paraId="41D2E90A" w14:textId="77777777" w:rsidR="008C1AAF" w:rsidRPr="001A387B" w:rsidRDefault="008C1AAF" w:rsidP="001A387B"/>
    <w:sectPr w:rsidR="008C1AAF" w:rsidRPr="001A387B" w:rsidSect="008C1AAF">
      <w:footerReference w:type="default" r:id="rId10"/>
      <w:footerReference w:type="first" r:id="rId11"/>
      <w:footnotePr>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7EE8" w14:textId="77777777" w:rsidR="00AD5ADA" w:rsidRDefault="00AD5ADA" w:rsidP="002C6E61">
      <w:pPr>
        <w:spacing w:line="240" w:lineRule="auto"/>
      </w:pPr>
      <w:r>
        <w:separator/>
      </w:r>
    </w:p>
  </w:endnote>
  <w:endnote w:type="continuationSeparator" w:id="0">
    <w:p w14:paraId="2EAFF452" w14:textId="77777777" w:rsidR="00AD5ADA" w:rsidRDefault="00AD5ADA" w:rsidP="002C6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8DD8" w14:textId="34A96DDE" w:rsidR="00D3244B" w:rsidRDefault="00D3244B" w:rsidP="002E66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7314C">
      <w:rPr>
        <w:rStyle w:val="PageNumber"/>
        <w:noProof/>
      </w:rPr>
      <w:t>1</w:t>
    </w:r>
    <w:r>
      <w:rPr>
        <w:rStyle w:val="PageNumber"/>
      </w:rPr>
      <w:fldChar w:fldCharType="end"/>
    </w:r>
  </w:p>
  <w:p w14:paraId="374443E1" w14:textId="77777777" w:rsidR="00D3244B" w:rsidRDefault="00D3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336301"/>
      <w:docPartObj>
        <w:docPartGallery w:val="Page Numbers (Bottom of Page)"/>
        <w:docPartUnique/>
      </w:docPartObj>
    </w:sdtPr>
    <w:sdtEndPr>
      <w:rPr>
        <w:noProof/>
      </w:rPr>
    </w:sdtEndPr>
    <w:sdtContent>
      <w:p w14:paraId="3CEA4496" w14:textId="3A312F0D" w:rsidR="002E666C" w:rsidRDefault="002E66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000838"/>
      <w:docPartObj>
        <w:docPartGallery w:val="Page Numbers (Bottom of Page)"/>
        <w:docPartUnique/>
      </w:docPartObj>
    </w:sdtPr>
    <w:sdtEndPr>
      <w:rPr>
        <w:noProof/>
      </w:rPr>
    </w:sdtEndPr>
    <w:sdtContent>
      <w:p w14:paraId="3F433560" w14:textId="77777777" w:rsidR="00D85B1C" w:rsidRPr="00D85B1C" w:rsidRDefault="005A42B5">
        <w:pPr>
          <w:pStyle w:val="Footer"/>
          <w:jc w:val="center"/>
        </w:pPr>
        <w:r w:rsidRPr="00D85B1C">
          <w:fldChar w:fldCharType="begin"/>
        </w:r>
        <w:r w:rsidRPr="00D85B1C">
          <w:instrText xml:space="preserve"> PAGE   \* MERGEFORMAT </w:instrText>
        </w:r>
        <w:r w:rsidRPr="00D85B1C">
          <w:fldChar w:fldCharType="separate"/>
        </w:r>
        <w:r w:rsidRPr="00D85B1C">
          <w:rPr>
            <w:noProof/>
          </w:rPr>
          <w:t>2</w:t>
        </w:r>
        <w:r w:rsidRPr="00D85B1C">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439153"/>
      <w:docPartObj>
        <w:docPartGallery w:val="Page Numbers (Bottom of Page)"/>
        <w:docPartUnique/>
      </w:docPartObj>
    </w:sdtPr>
    <w:sdtEndPr>
      <w:rPr>
        <w:noProof/>
      </w:rPr>
    </w:sdtEndPr>
    <w:sdtContent>
      <w:p w14:paraId="15DFD464" w14:textId="77777777" w:rsidR="00D85B1C" w:rsidRPr="00D85B1C" w:rsidRDefault="005A42B5">
        <w:pPr>
          <w:pStyle w:val="Footer"/>
          <w:jc w:val="center"/>
        </w:pPr>
        <w:r w:rsidRPr="00D85B1C">
          <w:fldChar w:fldCharType="begin"/>
        </w:r>
        <w:r w:rsidRPr="00D85B1C">
          <w:instrText xml:space="preserve"> PAGE   \* MERGEFORMAT </w:instrText>
        </w:r>
        <w:r w:rsidRPr="00D85B1C">
          <w:fldChar w:fldCharType="separate"/>
        </w:r>
        <w:r w:rsidRPr="00D85B1C">
          <w:rPr>
            <w:noProof/>
          </w:rPr>
          <w:t>2</w:t>
        </w:r>
        <w:r w:rsidRPr="00D85B1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32C8" w14:textId="77777777" w:rsidR="00AD5ADA" w:rsidRDefault="00AD5ADA" w:rsidP="002C6E61">
      <w:pPr>
        <w:spacing w:line="240" w:lineRule="auto"/>
      </w:pPr>
      <w:r>
        <w:separator/>
      </w:r>
    </w:p>
  </w:footnote>
  <w:footnote w:type="continuationSeparator" w:id="0">
    <w:p w14:paraId="62F731E8" w14:textId="77777777" w:rsidR="00AD5ADA" w:rsidRDefault="00AD5ADA" w:rsidP="002C6E61">
      <w:pPr>
        <w:spacing w:line="240" w:lineRule="auto"/>
      </w:pPr>
      <w:r>
        <w:continuationSeparator/>
      </w:r>
    </w:p>
    <w:p w14:paraId="404282DF" w14:textId="77777777" w:rsidR="00AD5ADA" w:rsidRPr="002E666C" w:rsidRDefault="00AD5ADA" w:rsidP="002C6E61">
      <w:pPr>
        <w:spacing w:line="240" w:lineRule="auto"/>
        <w:rPr>
          <w:i/>
          <w:sz w:val="20"/>
        </w:rPr>
      </w:pPr>
      <w:r>
        <w:rPr>
          <w:i/>
          <w:sz w:val="20"/>
        </w:rPr>
        <w:t>[footnote continued from previous page]</w:t>
      </w:r>
    </w:p>
    <w:p w14:paraId="52A38CF0" w14:textId="77777777" w:rsidR="00AD5ADA" w:rsidRPr="002E666C" w:rsidRDefault="00AD5ADA" w:rsidP="002C6E61">
      <w:pPr>
        <w:spacing w:line="240" w:lineRule="auto"/>
        <w:rPr>
          <w:i/>
          <w:sz w:val="20"/>
        </w:rPr>
      </w:pPr>
      <w:r>
        <w:rPr>
          <w:i/>
          <w:sz w:val="20"/>
        </w:rPr>
        <w:t>[footnote continued from previous page]</w:t>
      </w:r>
    </w:p>
    <w:p w14:paraId="6762AA8D" w14:textId="77777777" w:rsidR="00AD5ADA" w:rsidRPr="00A10690" w:rsidRDefault="00AD5ADA" w:rsidP="002C6E61">
      <w:pPr>
        <w:spacing w:line="240" w:lineRule="auto"/>
        <w:rPr>
          <w:i/>
          <w:sz w:val="20"/>
        </w:rPr>
      </w:pPr>
      <w:r>
        <w:rPr>
          <w:i/>
          <w:sz w:val="20"/>
        </w:rPr>
        <w:t>[footnote continued from previous page]</w:t>
      </w:r>
    </w:p>
    <w:p w14:paraId="4F35DB7B" w14:textId="77777777" w:rsidR="00AD5ADA" w:rsidRPr="00A10690" w:rsidRDefault="00AD5ADA" w:rsidP="002C6E61">
      <w:pPr>
        <w:spacing w:line="240" w:lineRule="auto"/>
        <w:rPr>
          <w:i/>
          <w:sz w:val="20"/>
        </w:rPr>
      </w:pPr>
      <w:r>
        <w:rPr>
          <w:i/>
          <w:sz w:val="20"/>
        </w:rPr>
        <w:t>[footnote continued from previous page]</w:t>
      </w:r>
    </w:p>
    <w:p w14:paraId="6031EBFA" w14:textId="77777777" w:rsidR="00AD5ADA" w:rsidRPr="00A10690" w:rsidRDefault="00AD5ADA" w:rsidP="002C6E61">
      <w:pPr>
        <w:spacing w:line="240" w:lineRule="auto"/>
        <w:rPr>
          <w:i/>
          <w:sz w:val="20"/>
        </w:rPr>
      </w:pPr>
      <w:r>
        <w:rPr>
          <w:i/>
          <w:sz w:val="20"/>
        </w:rPr>
        <w:t>[footnote continued from previous page]</w:t>
      </w:r>
    </w:p>
    <w:p w14:paraId="7636BE0B" w14:textId="77777777" w:rsidR="00AD5ADA" w:rsidRPr="00D3244B" w:rsidRDefault="00AD5ADA" w:rsidP="002C6E61">
      <w:pPr>
        <w:spacing w:line="240" w:lineRule="auto"/>
        <w:rPr>
          <w:i/>
          <w:sz w:val="20"/>
        </w:rPr>
      </w:pPr>
      <w:r>
        <w:rPr>
          <w:i/>
          <w:sz w:val="20"/>
        </w:rPr>
        <w:t>[footnote continued from previous page]</w:t>
      </w:r>
    </w:p>
    <w:p w14:paraId="2D259F3D" w14:textId="77777777" w:rsidR="00AD5ADA" w:rsidRPr="00D3244B" w:rsidRDefault="00AD5ADA" w:rsidP="002C6E61">
      <w:pPr>
        <w:spacing w:line="240" w:lineRule="auto"/>
        <w:rPr>
          <w:i/>
          <w:sz w:val="20"/>
        </w:rPr>
      </w:pPr>
      <w:r>
        <w:rPr>
          <w:i/>
          <w:sz w:val="20"/>
        </w:rPr>
        <w:t>[footnote continued from previous page]</w:t>
      </w:r>
    </w:p>
  </w:footnote>
  <w:footnote w:type="continuationNotice" w:id="1">
    <w:p w14:paraId="0C079894" w14:textId="77777777" w:rsidR="00AD5ADA" w:rsidRPr="002E666C" w:rsidRDefault="00AD5ADA" w:rsidP="002E666C">
      <w:pPr>
        <w:pStyle w:val="Footer"/>
        <w:jc w:val="right"/>
        <w:rPr>
          <w:i/>
          <w:sz w:val="20"/>
        </w:rPr>
      </w:pPr>
      <w:r>
        <w:rPr>
          <w:i/>
          <w:sz w:val="20"/>
        </w:rPr>
        <w:t>[footnote continued on next page]</w:t>
      </w:r>
    </w:p>
  </w:footnote>
  <w:footnote w:id="2">
    <w:p w14:paraId="65ED281F" w14:textId="5077C4D8" w:rsidR="002E666C" w:rsidRDefault="002E666C">
      <w:pPr>
        <w:pStyle w:val="FootnoteText"/>
      </w:pPr>
      <w:r>
        <w:rPr>
          <w:rStyle w:val="FootnoteReference"/>
        </w:rPr>
        <w:t>*</w:t>
      </w:r>
      <w:r>
        <w:t xml:space="preserve"> Pursuant to California Rules of Court, rules 8.1105(b) and 8.1110, this opinion is certified for publication with the exception of part A of the Background and Parts A, B, and C of the Discussion.</w:t>
      </w:r>
    </w:p>
  </w:footnote>
  <w:footnote w:id="3">
    <w:p w14:paraId="1D233367" w14:textId="26B8834A" w:rsidR="00E23AF6" w:rsidRDefault="00E23AF6" w:rsidP="00AB3752">
      <w:pPr>
        <w:pStyle w:val="FootnoteText"/>
      </w:pPr>
      <w:r>
        <w:rPr>
          <w:rStyle w:val="FootnoteReference"/>
        </w:rPr>
        <w:footnoteRef/>
      </w:r>
      <w:r>
        <w:t xml:space="preserve"> </w:t>
      </w:r>
      <w:r>
        <w:tab/>
        <w:t xml:space="preserve">In addition, </w:t>
      </w:r>
      <w:r w:rsidR="00AB3752">
        <w:t>codefendants</w:t>
      </w:r>
      <w:r>
        <w:t xml:space="preserve"> Wensheila Marsha Swisher </w:t>
      </w:r>
      <w:r w:rsidR="00AB3752">
        <w:t xml:space="preserve">and Destin Carl Pipkins pled guilty before trial to various offenses, resulting in sentences of two years and 15 years in state prison.  </w:t>
      </w:r>
    </w:p>
  </w:footnote>
  <w:footnote w:id="4">
    <w:p w14:paraId="290534BF" w14:textId="7336EF5F" w:rsidR="006B6DAF" w:rsidRDefault="006B6DAF">
      <w:pPr>
        <w:pStyle w:val="FootnoteText"/>
      </w:pPr>
      <w:r>
        <w:rPr>
          <w:rStyle w:val="FootnoteReference"/>
        </w:rPr>
        <w:footnoteRef/>
      </w:r>
      <w:r>
        <w:t xml:space="preserve"> </w:t>
      </w:r>
      <w:r>
        <w:tab/>
      </w:r>
      <w:r w:rsidR="0080154B" w:rsidRPr="002E666C">
        <w:t>The</w:t>
      </w:r>
      <w:r w:rsidRPr="002E666C">
        <w:t xml:space="preserve"> Supreme Court dismissed review as to Moses before </w:t>
      </w:r>
      <w:r w:rsidR="000A44E1" w:rsidRPr="002E666C">
        <w:t xml:space="preserve">it vacated </w:t>
      </w:r>
      <w:r w:rsidRPr="002E666C">
        <w:t>our prior opinion</w:t>
      </w:r>
      <w:r w:rsidR="0080154B" w:rsidRPr="002E666C">
        <w:t>.</w:t>
      </w:r>
      <w:r w:rsidR="00A07A02" w:rsidRPr="002E666C">
        <w:t xml:space="preserve">  </w:t>
      </w:r>
      <w:r w:rsidR="007A3456" w:rsidRPr="002E666C">
        <w:t>We</w:t>
      </w:r>
      <w:r w:rsidR="0080154B" w:rsidRPr="002E666C">
        <w:t xml:space="preserve"> issued the remittitur </w:t>
      </w:r>
      <w:r w:rsidR="007A3456" w:rsidRPr="002E666C">
        <w:t xml:space="preserve">as to Moses </w:t>
      </w:r>
      <w:r w:rsidR="0080154B" w:rsidRPr="002E666C">
        <w:t xml:space="preserve">before the Supreme Court vacated </w:t>
      </w:r>
      <w:r w:rsidR="007A3456" w:rsidRPr="002E666C">
        <w:t>our</w:t>
      </w:r>
      <w:r w:rsidR="0080154B" w:rsidRPr="002E666C">
        <w:t xml:space="preserve"> prior opinion</w:t>
      </w:r>
      <w:r w:rsidR="007A3456" w:rsidRPr="002E666C">
        <w:t>.</w:t>
      </w:r>
      <w:r w:rsidR="00A07A02" w:rsidRPr="002E666C">
        <w:t xml:space="preserve"> </w:t>
      </w:r>
      <w:r w:rsidR="007A3456" w:rsidRPr="002E666C">
        <w:t xml:space="preserve"> We </w:t>
      </w:r>
      <w:r w:rsidR="00D76E27" w:rsidRPr="002E666C">
        <w:t xml:space="preserve">and the Supreme Court </w:t>
      </w:r>
      <w:r w:rsidR="007A3456" w:rsidRPr="002E666C">
        <w:t xml:space="preserve">therefore </w:t>
      </w:r>
      <w:r w:rsidR="00B62677" w:rsidRPr="002E666C">
        <w:t>lost jurisdiction over Moses’s case</w:t>
      </w:r>
      <w:r w:rsidR="007A3456" w:rsidRPr="002E666C">
        <w:t xml:space="preserve"> before the prior opinion was vacated</w:t>
      </w:r>
      <w:r w:rsidR="0080154B" w:rsidRPr="002E666C">
        <w:t xml:space="preserve">.  </w:t>
      </w:r>
      <w:r w:rsidR="00B62677" w:rsidRPr="002E666C">
        <w:t>(</w:t>
      </w:r>
      <w:r w:rsidR="007A3456" w:rsidRPr="002E666C">
        <w:t xml:space="preserve">See </w:t>
      </w:r>
      <w:r w:rsidR="00B62677" w:rsidRPr="002E666C">
        <w:rPr>
          <w:i/>
          <w:iCs/>
        </w:rPr>
        <w:t>In re Martin</w:t>
      </w:r>
      <w:r w:rsidR="00B62677" w:rsidRPr="002E666C">
        <w:t xml:space="preserve"> (1962) 58 Cal.2d 133, 138 [“the general rule is that an appellate court loses all control and jurisdiction over a cause after remittitur has been issued”].)</w:t>
      </w:r>
      <w:r w:rsidR="000A44E1" w:rsidRPr="002E666C">
        <w:t xml:space="preserve">  </w:t>
      </w:r>
      <w:r w:rsidR="001C7325" w:rsidRPr="002E666C">
        <w:t xml:space="preserve">Our </w:t>
      </w:r>
      <w:r w:rsidR="000A44E1" w:rsidRPr="002E666C">
        <w:t>prior opinion therefore was not vacated as to Moses.</w:t>
      </w:r>
      <w:r w:rsidR="00370AD5">
        <w:t xml:space="preserve">  </w:t>
      </w:r>
    </w:p>
  </w:footnote>
  <w:footnote w:id="5">
    <w:p w14:paraId="686E17BD" w14:textId="39626CF2" w:rsidR="00855275" w:rsidRDefault="00855275" w:rsidP="00855275">
      <w:pPr>
        <w:pStyle w:val="FootnoteText"/>
      </w:pPr>
      <w:r>
        <w:rPr>
          <w:rStyle w:val="FootnoteReference"/>
        </w:rPr>
        <w:footnoteRef/>
      </w:r>
      <w:r>
        <w:t xml:space="preserve"> </w:t>
      </w:r>
      <w:r w:rsidR="00F30A9A">
        <w:tab/>
      </w:r>
      <w:r w:rsidRPr="001A387B">
        <w:t>On October 8, 2021, the Governor signed into law three bills that amended section 1170:  Assembly Bill No. 124 (2021-2022 Reg. Sess.) (Stats. 2021, ch. 695, § 5), Assembly Bill No. 1540 (2021-2022 Reg. Sess.) (Stats. 2021, ch. 719, § 2), and Senate Bill 567 (Stats. 2021, ch. 731</w:t>
      </w:r>
      <w:r w:rsidR="009D1A72" w:rsidRPr="001A387B">
        <w:t xml:space="preserve">, § </w:t>
      </w:r>
      <w:r w:rsidR="00AB621B" w:rsidRPr="001A387B">
        <w:t>1.3</w:t>
      </w:r>
      <w:r w:rsidRPr="001A387B">
        <w:t xml:space="preserve">).  Senate Bill 567 has the highest chapter number, so we presume that it was the last enacted of the bills.  (Gov. Code, § 9510; </w:t>
      </w:r>
      <w:r w:rsidRPr="001A387B">
        <w:rPr>
          <w:i/>
          <w:iCs/>
        </w:rPr>
        <w:t>People v. Gerson</w:t>
      </w:r>
      <w:r w:rsidRPr="001A387B">
        <w:t xml:space="preserve"> (2022) 80 Cal.App.5th 1067, 1074, fn. 2 (</w:t>
      </w:r>
      <w:r w:rsidRPr="001A387B">
        <w:rPr>
          <w:i/>
          <w:iCs/>
        </w:rPr>
        <w:t>Gerson</w:t>
      </w:r>
      <w:r w:rsidRPr="001A387B">
        <w:t>).)  Senate Bill 567 incorporates the changes made to section 1170 by the other bills if all three bills were enacted and became effective on or before January 1, 2022, and Senate Bill 567 was the last enacted bill.  (Stats. 2021, ch. 731, §3(c).)  The conditions were satisfied.  Because Senate Bill 567 was enacted after the other two statutes, Senate Bill 567 became the operative legislation.  (Stats. 2021, ch. 731, §§ 1.3, 3(c); Gov. Code, § 9605, subdivision (b).)  We therefore refer to all of the changes made to section 1170 as deriving from Senate Bill 567.</w:t>
      </w:r>
    </w:p>
  </w:footnote>
  <w:footnote w:id="6">
    <w:p w14:paraId="52640D29" w14:textId="6025E08E" w:rsidR="00733CA8" w:rsidRPr="005F5279" w:rsidRDefault="00733CA8" w:rsidP="008C1AAF">
      <w:pPr>
        <w:pStyle w:val="DraftFootnote"/>
        <w:rPr>
          <w:rFonts w:ascii="Times New Roman" w:hAnsi="Times New Roman"/>
          <w:sz w:val="26"/>
        </w:rPr>
      </w:pPr>
      <w:r>
        <w:rPr>
          <w:rStyle w:val="FootnoteReference"/>
        </w:rPr>
        <w:t>1</w:t>
      </w:r>
      <w:r w:rsidRPr="005F5279">
        <w:rPr>
          <w:rFonts w:ascii="Times New Roman" w:hAnsi="Times New Roman"/>
          <w:sz w:val="26"/>
        </w:rPr>
        <w:tab/>
        <w:t>All further references to a section are to a section of the Penal Code.  All further references to a subdivision are to a subdivision of Penal Code section 12022.53, unless otherwise specified.</w:t>
      </w:r>
    </w:p>
  </w:footnote>
  <w:footnote w:id="7">
    <w:p w14:paraId="25935E46" w14:textId="247E757A" w:rsidR="00733CA8" w:rsidRPr="005F5279" w:rsidRDefault="00733CA8" w:rsidP="008C1AAF">
      <w:pPr>
        <w:pStyle w:val="DraftFootnote"/>
        <w:rPr>
          <w:rFonts w:ascii="Times New Roman" w:hAnsi="Times New Roman"/>
          <w:sz w:val="26"/>
        </w:rPr>
      </w:pPr>
      <w:r>
        <w:rPr>
          <w:rStyle w:val="FootnoteReference"/>
        </w:rPr>
        <w:t>2</w:t>
      </w:r>
      <w:r w:rsidRPr="005F5279">
        <w:rPr>
          <w:rFonts w:ascii="Times New Roman" w:hAnsi="Times New Roman"/>
          <w:sz w:val="26"/>
        </w:rPr>
        <w:tab/>
        <w:t xml:space="preserve">Significantly, </w:t>
      </w:r>
      <w:r w:rsidRPr="005F5279">
        <w:rPr>
          <w:rFonts w:ascii="Times New Roman" w:hAnsi="Times New Roman"/>
          <w:i/>
          <w:sz w:val="26"/>
        </w:rPr>
        <w:t>Tirado</w:t>
      </w:r>
      <w:r w:rsidRPr="005F5279">
        <w:rPr>
          <w:rFonts w:ascii="Times New Roman" w:hAnsi="Times New Roman"/>
          <w:sz w:val="26"/>
        </w:rPr>
        <w:t xml:space="preserve"> is talking </w:t>
      </w:r>
      <w:r>
        <w:rPr>
          <w:rFonts w:ascii="Times New Roman" w:hAnsi="Times New Roman"/>
          <w:sz w:val="26"/>
        </w:rPr>
        <w:t xml:space="preserve">here </w:t>
      </w:r>
      <w:r w:rsidRPr="005F5279">
        <w:rPr>
          <w:rFonts w:ascii="Times New Roman" w:hAnsi="Times New Roman"/>
          <w:sz w:val="26"/>
        </w:rPr>
        <w:t>about the first sentence of subdivision (j).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980"/>
    <w:multiLevelType w:val="hybridMultilevel"/>
    <w:tmpl w:val="118C8BA8"/>
    <w:lvl w:ilvl="0" w:tplc="52B66B5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41A"/>
    <w:multiLevelType w:val="hybridMultilevel"/>
    <w:tmpl w:val="990E5D4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5FAD"/>
    <w:multiLevelType w:val="hybridMultilevel"/>
    <w:tmpl w:val="DAD6BE68"/>
    <w:lvl w:ilvl="0" w:tplc="F154E09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50CE4"/>
    <w:multiLevelType w:val="hybridMultilevel"/>
    <w:tmpl w:val="BD4480F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D61DC"/>
    <w:multiLevelType w:val="hybridMultilevel"/>
    <w:tmpl w:val="08C022F8"/>
    <w:lvl w:ilvl="0" w:tplc="E2988B60">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450EC"/>
    <w:multiLevelType w:val="hybridMultilevel"/>
    <w:tmpl w:val="B34AD4C2"/>
    <w:lvl w:ilvl="0" w:tplc="9A6E0650">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E4DAF"/>
    <w:multiLevelType w:val="hybridMultilevel"/>
    <w:tmpl w:val="EEACE77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F2A35"/>
    <w:multiLevelType w:val="hybridMultilevel"/>
    <w:tmpl w:val="0B5AE6E4"/>
    <w:lvl w:ilvl="0" w:tplc="6EE47D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340885"/>
    <w:multiLevelType w:val="hybridMultilevel"/>
    <w:tmpl w:val="F834730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E2055"/>
    <w:multiLevelType w:val="hybridMultilevel"/>
    <w:tmpl w:val="0880740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61F65"/>
    <w:multiLevelType w:val="hybridMultilevel"/>
    <w:tmpl w:val="118C8BA8"/>
    <w:lvl w:ilvl="0" w:tplc="52B66B5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D7FD2"/>
    <w:multiLevelType w:val="hybridMultilevel"/>
    <w:tmpl w:val="EEACE77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75443"/>
    <w:multiLevelType w:val="hybridMultilevel"/>
    <w:tmpl w:val="128002A2"/>
    <w:lvl w:ilvl="0" w:tplc="41C827A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CA0DD0"/>
    <w:multiLevelType w:val="hybridMultilevel"/>
    <w:tmpl w:val="A1802EC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F07A3"/>
    <w:multiLevelType w:val="hybridMultilevel"/>
    <w:tmpl w:val="4380D90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E0155"/>
    <w:multiLevelType w:val="hybridMultilevel"/>
    <w:tmpl w:val="C3DAF6C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B3E4D"/>
    <w:multiLevelType w:val="hybridMultilevel"/>
    <w:tmpl w:val="AC420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E2CF9"/>
    <w:multiLevelType w:val="hybridMultilevel"/>
    <w:tmpl w:val="2D486A2A"/>
    <w:lvl w:ilvl="0" w:tplc="F13C328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6D66BD"/>
    <w:multiLevelType w:val="hybridMultilevel"/>
    <w:tmpl w:val="BE00B4CC"/>
    <w:lvl w:ilvl="0" w:tplc="905C9908">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65030"/>
    <w:multiLevelType w:val="hybridMultilevel"/>
    <w:tmpl w:val="600AF258"/>
    <w:lvl w:ilvl="0" w:tplc="4C5CCCC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197D5F"/>
    <w:multiLevelType w:val="hybridMultilevel"/>
    <w:tmpl w:val="118C8BA8"/>
    <w:lvl w:ilvl="0" w:tplc="52B66B5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404E8"/>
    <w:multiLevelType w:val="hybridMultilevel"/>
    <w:tmpl w:val="81E835D4"/>
    <w:lvl w:ilvl="0" w:tplc="4BB03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8"/>
  </w:num>
  <w:num w:numId="4">
    <w:abstractNumId w:val="1"/>
  </w:num>
  <w:num w:numId="5">
    <w:abstractNumId w:val="2"/>
  </w:num>
  <w:num w:numId="6">
    <w:abstractNumId w:val="4"/>
  </w:num>
  <w:num w:numId="7">
    <w:abstractNumId w:val="3"/>
  </w:num>
  <w:num w:numId="8">
    <w:abstractNumId w:val="8"/>
  </w:num>
  <w:num w:numId="9">
    <w:abstractNumId w:val="12"/>
  </w:num>
  <w:num w:numId="10">
    <w:abstractNumId w:val="14"/>
  </w:num>
  <w:num w:numId="11">
    <w:abstractNumId w:val="21"/>
  </w:num>
  <w:num w:numId="12">
    <w:abstractNumId w:val="5"/>
  </w:num>
  <w:num w:numId="13">
    <w:abstractNumId w:val="17"/>
  </w:num>
  <w:num w:numId="14">
    <w:abstractNumId w:val="13"/>
  </w:num>
  <w:num w:numId="15">
    <w:abstractNumId w:val="15"/>
  </w:num>
  <w:num w:numId="16">
    <w:abstractNumId w:val="10"/>
  </w:num>
  <w:num w:numId="17">
    <w:abstractNumId w:val="0"/>
  </w:num>
  <w:num w:numId="18">
    <w:abstractNumId w:val="20"/>
  </w:num>
  <w:num w:numId="19">
    <w:abstractNumId w:val="19"/>
  </w:num>
  <w:num w:numId="20">
    <w:abstractNumId w:val="11"/>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F0"/>
    <w:rsid w:val="00000F8E"/>
    <w:rsid w:val="000015E7"/>
    <w:rsid w:val="00001FED"/>
    <w:rsid w:val="000021A0"/>
    <w:rsid w:val="00002805"/>
    <w:rsid w:val="000029B2"/>
    <w:rsid w:val="00002CB2"/>
    <w:rsid w:val="00002FF1"/>
    <w:rsid w:val="0000397D"/>
    <w:rsid w:val="000041B3"/>
    <w:rsid w:val="00005238"/>
    <w:rsid w:val="00005479"/>
    <w:rsid w:val="000057A0"/>
    <w:rsid w:val="00005D3A"/>
    <w:rsid w:val="0000605B"/>
    <w:rsid w:val="00006120"/>
    <w:rsid w:val="000069A3"/>
    <w:rsid w:val="00006A1A"/>
    <w:rsid w:val="00007549"/>
    <w:rsid w:val="00007C71"/>
    <w:rsid w:val="00010071"/>
    <w:rsid w:val="00010231"/>
    <w:rsid w:val="000104BB"/>
    <w:rsid w:val="000106A6"/>
    <w:rsid w:val="000107D2"/>
    <w:rsid w:val="00010ABF"/>
    <w:rsid w:val="00010C55"/>
    <w:rsid w:val="00011167"/>
    <w:rsid w:val="0001250A"/>
    <w:rsid w:val="0001270C"/>
    <w:rsid w:val="00012F6D"/>
    <w:rsid w:val="00013F12"/>
    <w:rsid w:val="0001412F"/>
    <w:rsid w:val="0001426F"/>
    <w:rsid w:val="00014943"/>
    <w:rsid w:val="00014B63"/>
    <w:rsid w:val="00014D64"/>
    <w:rsid w:val="00014ED6"/>
    <w:rsid w:val="00015061"/>
    <w:rsid w:val="000155C5"/>
    <w:rsid w:val="00015890"/>
    <w:rsid w:val="00015EBA"/>
    <w:rsid w:val="00016559"/>
    <w:rsid w:val="0001665C"/>
    <w:rsid w:val="00016664"/>
    <w:rsid w:val="000176B4"/>
    <w:rsid w:val="0001794D"/>
    <w:rsid w:val="00017AD3"/>
    <w:rsid w:val="000202BC"/>
    <w:rsid w:val="000203CF"/>
    <w:rsid w:val="00020E12"/>
    <w:rsid w:val="00021384"/>
    <w:rsid w:val="000215CC"/>
    <w:rsid w:val="00021CBA"/>
    <w:rsid w:val="000235F8"/>
    <w:rsid w:val="00023ECF"/>
    <w:rsid w:val="000248A8"/>
    <w:rsid w:val="00024DD7"/>
    <w:rsid w:val="00025927"/>
    <w:rsid w:val="00025976"/>
    <w:rsid w:val="00025CD7"/>
    <w:rsid w:val="00025D0F"/>
    <w:rsid w:val="00026D01"/>
    <w:rsid w:val="000270FC"/>
    <w:rsid w:val="0002712D"/>
    <w:rsid w:val="000272C9"/>
    <w:rsid w:val="00027BDB"/>
    <w:rsid w:val="00030802"/>
    <w:rsid w:val="000318F5"/>
    <w:rsid w:val="00032FEA"/>
    <w:rsid w:val="00033476"/>
    <w:rsid w:val="000340B8"/>
    <w:rsid w:val="0003445E"/>
    <w:rsid w:val="000345E1"/>
    <w:rsid w:val="000348C3"/>
    <w:rsid w:val="00034C50"/>
    <w:rsid w:val="00034E9D"/>
    <w:rsid w:val="000355A9"/>
    <w:rsid w:val="000356F8"/>
    <w:rsid w:val="00035ECD"/>
    <w:rsid w:val="00036445"/>
    <w:rsid w:val="00036601"/>
    <w:rsid w:val="00036873"/>
    <w:rsid w:val="00036BF3"/>
    <w:rsid w:val="000372CD"/>
    <w:rsid w:val="00037601"/>
    <w:rsid w:val="000377E0"/>
    <w:rsid w:val="00037BD5"/>
    <w:rsid w:val="000402A9"/>
    <w:rsid w:val="0004154E"/>
    <w:rsid w:val="00041912"/>
    <w:rsid w:val="00041C5E"/>
    <w:rsid w:val="000420A8"/>
    <w:rsid w:val="000420D2"/>
    <w:rsid w:val="00042476"/>
    <w:rsid w:val="00042A36"/>
    <w:rsid w:val="00042B57"/>
    <w:rsid w:val="00042FB2"/>
    <w:rsid w:val="00043B55"/>
    <w:rsid w:val="00043D0B"/>
    <w:rsid w:val="00044A8C"/>
    <w:rsid w:val="00045088"/>
    <w:rsid w:val="00045222"/>
    <w:rsid w:val="000458B7"/>
    <w:rsid w:val="000459EA"/>
    <w:rsid w:val="00045B8A"/>
    <w:rsid w:val="00045F02"/>
    <w:rsid w:val="00046CD4"/>
    <w:rsid w:val="000471B4"/>
    <w:rsid w:val="0004755D"/>
    <w:rsid w:val="00047EAA"/>
    <w:rsid w:val="000503B2"/>
    <w:rsid w:val="00050431"/>
    <w:rsid w:val="0005061A"/>
    <w:rsid w:val="0005069F"/>
    <w:rsid w:val="00050D44"/>
    <w:rsid w:val="00050D7E"/>
    <w:rsid w:val="000510F0"/>
    <w:rsid w:val="000513CE"/>
    <w:rsid w:val="00051B6D"/>
    <w:rsid w:val="00052395"/>
    <w:rsid w:val="00052D3E"/>
    <w:rsid w:val="00052E69"/>
    <w:rsid w:val="00052EA2"/>
    <w:rsid w:val="000543E4"/>
    <w:rsid w:val="00054BD5"/>
    <w:rsid w:val="00054C3F"/>
    <w:rsid w:val="00054D78"/>
    <w:rsid w:val="00054DAB"/>
    <w:rsid w:val="00055099"/>
    <w:rsid w:val="00055111"/>
    <w:rsid w:val="000552F0"/>
    <w:rsid w:val="000553C9"/>
    <w:rsid w:val="00055806"/>
    <w:rsid w:val="00055A42"/>
    <w:rsid w:val="00055EAD"/>
    <w:rsid w:val="0005629C"/>
    <w:rsid w:val="00056A1B"/>
    <w:rsid w:val="000574B8"/>
    <w:rsid w:val="00057823"/>
    <w:rsid w:val="0006037F"/>
    <w:rsid w:val="000606FF"/>
    <w:rsid w:val="000612CA"/>
    <w:rsid w:val="000613B8"/>
    <w:rsid w:val="00061739"/>
    <w:rsid w:val="0006197D"/>
    <w:rsid w:val="000622B6"/>
    <w:rsid w:val="000623FB"/>
    <w:rsid w:val="00062415"/>
    <w:rsid w:val="000627BA"/>
    <w:rsid w:val="00062B15"/>
    <w:rsid w:val="0006302C"/>
    <w:rsid w:val="000644C6"/>
    <w:rsid w:val="00064AEB"/>
    <w:rsid w:val="00064B74"/>
    <w:rsid w:val="00064E3C"/>
    <w:rsid w:val="00065585"/>
    <w:rsid w:val="0006566B"/>
    <w:rsid w:val="000660B7"/>
    <w:rsid w:val="0006625E"/>
    <w:rsid w:val="00066F08"/>
    <w:rsid w:val="000671D6"/>
    <w:rsid w:val="000703A9"/>
    <w:rsid w:val="0007046B"/>
    <w:rsid w:val="00070982"/>
    <w:rsid w:val="00070BF3"/>
    <w:rsid w:val="00070D4A"/>
    <w:rsid w:val="000718CD"/>
    <w:rsid w:val="000719B0"/>
    <w:rsid w:val="00071CCC"/>
    <w:rsid w:val="00071D94"/>
    <w:rsid w:val="00072708"/>
    <w:rsid w:val="00072CA1"/>
    <w:rsid w:val="0007306B"/>
    <w:rsid w:val="0007310F"/>
    <w:rsid w:val="000745BC"/>
    <w:rsid w:val="00075A90"/>
    <w:rsid w:val="000762A1"/>
    <w:rsid w:val="00076324"/>
    <w:rsid w:val="00076B7A"/>
    <w:rsid w:val="00076DE1"/>
    <w:rsid w:val="000770AB"/>
    <w:rsid w:val="00077358"/>
    <w:rsid w:val="0007794A"/>
    <w:rsid w:val="00077A27"/>
    <w:rsid w:val="00077C73"/>
    <w:rsid w:val="00077EB2"/>
    <w:rsid w:val="0008045B"/>
    <w:rsid w:val="00080C17"/>
    <w:rsid w:val="00081144"/>
    <w:rsid w:val="00081263"/>
    <w:rsid w:val="000816DB"/>
    <w:rsid w:val="000824AF"/>
    <w:rsid w:val="00082B98"/>
    <w:rsid w:val="0008318D"/>
    <w:rsid w:val="0008395E"/>
    <w:rsid w:val="00083C25"/>
    <w:rsid w:val="00084232"/>
    <w:rsid w:val="00084A93"/>
    <w:rsid w:val="00084ABD"/>
    <w:rsid w:val="00084F4A"/>
    <w:rsid w:val="000851C6"/>
    <w:rsid w:val="00085E8E"/>
    <w:rsid w:val="000867C6"/>
    <w:rsid w:val="00086871"/>
    <w:rsid w:val="0008697E"/>
    <w:rsid w:val="0008716A"/>
    <w:rsid w:val="000873D1"/>
    <w:rsid w:val="00087410"/>
    <w:rsid w:val="00087D3F"/>
    <w:rsid w:val="000903F9"/>
    <w:rsid w:val="0009040A"/>
    <w:rsid w:val="000904AF"/>
    <w:rsid w:val="000909CF"/>
    <w:rsid w:val="0009109D"/>
    <w:rsid w:val="00091333"/>
    <w:rsid w:val="000919F5"/>
    <w:rsid w:val="000936B0"/>
    <w:rsid w:val="0009384F"/>
    <w:rsid w:val="00093A60"/>
    <w:rsid w:val="00093CED"/>
    <w:rsid w:val="000945D9"/>
    <w:rsid w:val="00094712"/>
    <w:rsid w:val="00094813"/>
    <w:rsid w:val="00094E9D"/>
    <w:rsid w:val="00094FEA"/>
    <w:rsid w:val="000965B7"/>
    <w:rsid w:val="000967AE"/>
    <w:rsid w:val="0009694F"/>
    <w:rsid w:val="00096B64"/>
    <w:rsid w:val="000978D4"/>
    <w:rsid w:val="000978FC"/>
    <w:rsid w:val="0009799D"/>
    <w:rsid w:val="00097A18"/>
    <w:rsid w:val="00097B84"/>
    <w:rsid w:val="00097DA3"/>
    <w:rsid w:val="000A056B"/>
    <w:rsid w:val="000A0673"/>
    <w:rsid w:val="000A0CDA"/>
    <w:rsid w:val="000A0FB2"/>
    <w:rsid w:val="000A1918"/>
    <w:rsid w:val="000A1AF1"/>
    <w:rsid w:val="000A283D"/>
    <w:rsid w:val="000A2854"/>
    <w:rsid w:val="000A36B1"/>
    <w:rsid w:val="000A3F39"/>
    <w:rsid w:val="000A44E1"/>
    <w:rsid w:val="000A4929"/>
    <w:rsid w:val="000A4E12"/>
    <w:rsid w:val="000A55E2"/>
    <w:rsid w:val="000A5CEB"/>
    <w:rsid w:val="000A6ECA"/>
    <w:rsid w:val="000A748F"/>
    <w:rsid w:val="000B0160"/>
    <w:rsid w:val="000B03E1"/>
    <w:rsid w:val="000B065F"/>
    <w:rsid w:val="000B0762"/>
    <w:rsid w:val="000B079C"/>
    <w:rsid w:val="000B0B72"/>
    <w:rsid w:val="000B0CDC"/>
    <w:rsid w:val="000B13CC"/>
    <w:rsid w:val="000B1475"/>
    <w:rsid w:val="000B1AA3"/>
    <w:rsid w:val="000B28F3"/>
    <w:rsid w:val="000B31C4"/>
    <w:rsid w:val="000B3908"/>
    <w:rsid w:val="000B3CB9"/>
    <w:rsid w:val="000B3CDE"/>
    <w:rsid w:val="000B429F"/>
    <w:rsid w:val="000B4332"/>
    <w:rsid w:val="000B46DC"/>
    <w:rsid w:val="000B4A28"/>
    <w:rsid w:val="000B4FD0"/>
    <w:rsid w:val="000B5273"/>
    <w:rsid w:val="000B598D"/>
    <w:rsid w:val="000B5F4D"/>
    <w:rsid w:val="000B603B"/>
    <w:rsid w:val="000B6105"/>
    <w:rsid w:val="000B6183"/>
    <w:rsid w:val="000B6231"/>
    <w:rsid w:val="000B63EC"/>
    <w:rsid w:val="000B6431"/>
    <w:rsid w:val="000B6737"/>
    <w:rsid w:val="000B6984"/>
    <w:rsid w:val="000B6C06"/>
    <w:rsid w:val="000B6E5D"/>
    <w:rsid w:val="000B6F21"/>
    <w:rsid w:val="000B7147"/>
    <w:rsid w:val="000B74B9"/>
    <w:rsid w:val="000B7790"/>
    <w:rsid w:val="000B792C"/>
    <w:rsid w:val="000B7BFE"/>
    <w:rsid w:val="000C0719"/>
    <w:rsid w:val="000C0C2C"/>
    <w:rsid w:val="000C21C5"/>
    <w:rsid w:val="000C2AF2"/>
    <w:rsid w:val="000C2B71"/>
    <w:rsid w:val="000C2DB5"/>
    <w:rsid w:val="000C3431"/>
    <w:rsid w:val="000C3BA2"/>
    <w:rsid w:val="000C3D8D"/>
    <w:rsid w:val="000C4031"/>
    <w:rsid w:val="000C4280"/>
    <w:rsid w:val="000C45ED"/>
    <w:rsid w:val="000C481D"/>
    <w:rsid w:val="000C4E06"/>
    <w:rsid w:val="000C4FB5"/>
    <w:rsid w:val="000C5984"/>
    <w:rsid w:val="000C59B1"/>
    <w:rsid w:val="000C5D95"/>
    <w:rsid w:val="000C5F06"/>
    <w:rsid w:val="000C5F40"/>
    <w:rsid w:val="000C6768"/>
    <w:rsid w:val="000C6A39"/>
    <w:rsid w:val="000C6BAD"/>
    <w:rsid w:val="000C6FD1"/>
    <w:rsid w:val="000C7232"/>
    <w:rsid w:val="000D05A8"/>
    <w:rsid w:val="000D1146"/>
    <w:rsid w:val="000D129E"/>
    <w:rsid w:val="000D2383"/>
    <w:rsid w:val="000D2513"/>
    <w:rsid w:val="000D25FD"/>
    <w:rsid w:val="000D2682"/>
    <w:rsid w:val="000D276B"/>
    <w:rsid w:val="000D3048"/>
    <w:rsid w:val="000D3B28"/>
    <w:rsid w:val="000D4AF1"/>
    <w:rsid w:val="000D503E"/>
    <w:rsid w:val="000D58EC"/>
    <w:rsid w:val="000D5A44"/>
    <w:rsid w:val="000D6365"/>
    <w:rsid w:val="000D6D93"/>
    <w:rsid w:val="000D70B4"/>
    <w:rsid w:val="000D7BCA"/>
    <w:rsid w:val="000E02DF"/>
    <w:rsid w:val="000E04B4"/>
    <w:rsid w:val="000E0676"/>
    <w:rsid w:val="000E067B"/>
    <w:rsid w:val="000E073A"/>
    <w:rsid w:val="000E0883"/>
    <w:rsid w:val="000E0D3F"/>
    <w:rsid w:val="000E1365"/>
    <w:rsid w:val="000E1953"/>
    <w:rsid w:val="000E1AE6"/>
    <w:rsid w:val="000E1CA7"/>
    <w:rsid w:val="000E1E53"/>
    <w:rsid w:val="000E1F3A"/>
    <w:rsid w:val="000E2106"/>
    <w:rsid w:val="000E21AA"/>
    <w:rsid w:val="000E22E6"/>
    <w:rsid w:val="000E2612"/>
    <w:rsid w:val="000E290F"/>
    <w:rsid w:val="000E2D8D"/>
    <w:rsid w:val="000E2E32"/>
    <w:rsid w:val="000E3566"/>
    <w:rsid w:val="000E3DDD"/>
    <w:rsid w:val="000E441C"/>
    <w:rsid w:val="000E44A1"/>
    <w:rsid w:val="000E46BB"/>
    <w:rsid w:val="000E4A3E"/>
    <w:rsid w:val="000E5229"/>
    <w:rsid w:val="000E5A58"/>
    <w:rsid w:val="000E5F5E"/>
    <w:rsid w:val="000E6002"/>
    <w:rsid w:val="000E603F"/>
    <w:rsid w:val="000E67A1"/>
    <w:rsid w:val="000E68DB"/>
    <w:rsid w:val="000E7B7B"/>
    <w:rsid w:val="000F04D7"/>
    <w:rsid w:val="000F0604"/>
    <w:rsid w:val="000F08BF"/>
    <w:rsid w:val="000F0C02"/>
    <w:rsid w:val="000F1442"/>
    <w:rsid w:val="000F1557"/>
    <w:rsid w:val="000F1A0A"/>
    <w:rsid w:val="000F1ADF"/>
    <w:rsid w:val="000F22C0"/>
    <w:rsid w:val="000F23A0"/>
    <w:rsid w:val="000F25E0"/>
    <w:rsid w:val="000F2855"/>
    <w:rsid w:val="000F2974"/>
    <w:rsid w:val="000F3E6A"/>
    <w:rsid w:val="000F4263"/>
    <w:rsid w:val="000F4BA2"/>
    <w:rsid w:val="000F4EFF"/>
    <w:rsid w:val="000F4F17"/>
    <w:rsid w:val="000F500E"/>
    <w:rsid w:val="000F504F"/>
    <w:rsid w:val="000F5BF2"/>
    <w:rsid w:val="000F5D58"/>
    <w:rsid w:val="000F61DA"/>
    <w:rsid w:val="000F6536"/>
    <w:rsid w:val="000F654B"/>
    <w:rsid w:val="000F743F"/>
    <w:rsid w:val="000F76E2"/>
    <w:rsid w:val="000F7872"/>
    <w:rsid w:val="001000FA"/>
    <w:rsid w:val="00100664"/>
    <w:rsid w:val="001008CF"/>
    <w:rsid w:val="00100A6B"/>
    <w:rsid w:val="00100CA7"/>
    <w:rsid w:val="00100F4E"/>
    <w:rsid w:val="0010175E"/>
    <w:rsid w:val="0010184F"/>
    <w:rsid w:val="00101C64"/>
    <w:rsid w:val="00101FC6"/>
    <w:rsid w:val="0010213C"/>
    <w:rsid w:val="00102203"/>
    <w:rsid w:val="0010298F"/>
    <w:rsid w:val="00102A26"/>
    <w:rsid w:val="00102EB9"/>
    <w:rsid w:val="0010343E"/>
    <w:rsid w:val="00104414"/>
    <w:rsid w:val="00104478"/>
    <w:rsid w:val="0010499D"/>
    <w:rsid w:val="00104EC8"/>
    <w:rsid w:val="00105000"/>
    <w:rsid w:val="0010519F"/>
    <w:rsid w:val="001058D6"/>
    <w:rsid w:val="00105B59"/>
    <w:rsid w:val="00105DE0"/>
    <w:rsid w:val="00106024"/>
    <w:rsid w:val="001060E2"/>
    <w:rsid w:val="00106B75"/>
    <w:rsid w:val="001071B6"/>
    <w:rsid w:val="0010750E"/>
    <w:rsid w:val="00110890"/>
    <w:rsid w:val="0011115E"/>
    <w:rsid w:val="00111439"/>
    <w:rsid w:val="00111A9C"/>
    <w:rsid w:val="00111E8D"/>
    <w:rsid w:val="00112959"/>
    <w:rsid w:val="00113CC4"/>
    <w:rsid w:val="0011438A"/>
    <w:rsid w:val="00114836"/>
    <w:rsid w:val="00114CF4"/>
    <w:rsid w:val="001150B3"/>
    <w:rsid w:val="001150C3"/>
    <w:rsid w:val="0011592B"/>
    <w:rsid w:val="0011627C"/>
    <w:rsid w:val="00116A83"/>
    <w:rsid w:val="00116D1A"/>
    <w:rsid w:val="00116D35"/>
    <w:rsid w:val="001170A1"/>
    <w:rsid w:val="001172CE"/>
    <w:rsid w:val="001175FC"/>
    <w:rsid w:val="00117820"/>
    <w:rsid w:val="00117B1C"/>
    <w:rsid w:val="00117CE9"/>
    <w:rsid w:val="00117D52"/>
    <w:rsid w:val="00120859"/>
    <w:rsid w:val="00120863"/>
    <w:rsid w:val="0012090C"/>
    <w:rsid w:val="00120E7B"/>
    <w:rsid w:val="00121290"/>
    <w:rsid w:val="0012130D"/>
    <w:rsid w:val="00121507"/>
    <w:rsid w:val="00121AA2"/>
    <w:rsid w:val="00121BDC"/>
    <w:rsid w:val="00121E02"/>
    <w:rsid w:val="001225A8"/>
    <w:rsid w:val="00122631"/>
    <w:rsid w:val="0012298F"/>
    <w:rsid w:val="00122BC1"/>
    <w:rsid w:val="00122FCD"/>
    <w:rsid w:val="001234CA"/>
    <w:rsid w:val="001242CA"/>
    <w:rsid w:val="001247E5"/>
    <w:rsid w:val="00124A3C"/>
    <w:rsid w:val="00124A64"/>
    <w:rsid w:val="00124B66"/>
    <w:rsid w:val="00125412"/>
    <w:rsid w:val="001257CC"/>
    <w:rsid w:val="00125C85"/>
    <w:rsid w:val="00125CA2"/>
    <w:rsid w:val="00125EC9"/>
    <w:rsid w:val="00126082"/>
    <w:rsid w:val="00126241"/>
    <w:rsid w:val="0012649D"/>
    <w:rsid w:val="00126C46"/>
    <w:rsid w:val="00127277"/>
    <w:rsid w:val="0012731D"/>
    <w:rsid w:val="00127CF8"/>
    <w:rsid w:val="00130D97"/>
    <w:rsid w:val="001310E8"/>
    <w:rsid w:val="00131169"/>
    <w:rsid w:val="001315E7"/>
    <w:rsid w:val="00131978"/>
    <w:rsid w:val="001319DD"/>
    <w:rsid w:val="00131CCF"/>
    <w:rsid w:val="00131EE4"/>
    <w:rsid w:val="001330E1"/>
    <w:rsid w:val="00133270"/>
    <w:rsid w:val="0013343F"/>
    <w:rsid w:val="00133722"/>
    <w:rsid w:val="00133741"/>
    <w:rsid w:val="00133FD5"/>
    <w:rsid w:val="00134064"/>
    <w:rsid w:val="00134088"/>
    <w:rsid w:val="001345FE"/>
    <w:rsid w:val="001355A4"/>
    <w:rsid w:val="001356C5"/>
    <w:rsid w:val="0013594E"/>
    <w:rsid w:val="00135DFC"/>
    <w:rsid w:val="001363F2"/>
    <w:rsid w:val="001365F0"/>
    <w:rsid w:val="00136B44"/>
    <w:rsid w:val="001370FB"/>
    <w:rsid w:val="001371CE"/>
    <w:rsid w:val="001373A1"/>
    <w:rsid w:val="001376F5"/>
    <w:rsid w:val="00140A9D"/>
    <w:rsid w:val="001410DC"/>
    <w:rsid w:val="00141322"/>
    <w:rsid w:val="00141B76"/>
    <w:rsid w:val="00141C84"/>
    <w:rsid w:val="00142647"/>
    <w:rsid w:val="00142649"/>
    <w:rsid w:val="001426EA"/>
    <w:rsid w:val="0014293D"/>
    <w:rsid w:val="00142DB2"/>
    <w:rsid w:val="001436BF"/>
    <w:rsid w:val="00143851"/>
    <w:rsid w:val="00143B96"/>
    <w:rsid w:val="00144380"/>
    <w:rsid w:val="00144485"/>
    <w:rsid w:val="00144801"/>
    <w:rsid w:val="00144E28"/>
    <w:rsid w:val="001451DC"/>
    <w:rsid w:val="001457E2"/>
    <w:rsid w:val="00145DAD"/>
    <w:rsid w:val="00145DB8"/>
    <w:rsid w:val="00145E00"/>
    <w:rsid w:val="00145FD6"/>
    <w:rsid w:val="0014600F"/>
    <w:rsid w:val="0014626A"/>
    <w:rsid w:val="0014633B"/>
    <w:rsid w:val="00146792"/>
    <w:rsid w:val="0014682B"/>
    <w:rsid w:val="0014724C"/>
    <w:rsid w:val="00147D5F"/>
    <w:rsid w:val="0015082A"/>
    <w:rsid w:val="0015099C"/>
    <w:rsid w:val="0015101F"/>
    <w:rsid w:val="00151760"/>
    <w:rsid w:val="00151A9F"/>
    <w:rsid w:val="00151F00"/>
    <w:rsid w:val="00151F64"/>
    <w:rsid w:val="001521BC"/>
    <w:rsid w:val="0015246A"/>
    <w:rsid w:val="00152748"/>
    <w:rsid w:val="00153109"/>
    <w:rsid w:val="001533B8"/>
    <w:rsid w:val="00153CD4"/>
    <w:rsid w:val="00153F15"/>
    <w:rsid w:val="00154C35"/>
    <w:rsid w:val="00154D4A"/>
    <w:rsid w:val="00155867"/>
    <w:rsid w:val="00156690"/>
    <w:rsid w:val="00156952"/>
    <w:rsid w:val="001574E1"/>
    <w:rsid w:val="0015795B"/>
    <w:rsid w:val="00157C67"/>
    <w:rsid w:val="00157EFB"/>
    <w:rsid w:val="00160218"/>
    <w:rsid w:val="001603B5"/>
    <w:rsid w:val="00160A27"/>
    <w:rsid w:val="00160A43"/>
    <w:rsid w:val="00161DE5"/>
    <w:rsid w:val="00162299"/>
    <w:rsid w:val="00162450"/>
    <w:rsid w:val="00162B25"/>
    <w:rsid w:val="001630E5"/>
    <w:rsid w:val="00163369"/>
    <w:rsid w:val="0016369F"/>
    <w:rsid w:val="001637CD"/>
    <w:rsid w:val="00164C06"/>
    <w:rsid w:val="00165046"/>
    <w:rsid w:val="0016538D"/>
    <w:rsid w:val="001653AD"/>
    <w:rsid w:val="001669D4"/>
    <w:rsid w:val="00166BB5"/>
    <w:rsid w:val="001672C8"/>
    <w:rsid w:val="001672CE"/>
    <w:rsid w:val="00167429"/>
    <w:rsid w:val="00167559"/>
    <w:rsid w:val="00167C4F"/>
    <w:rsid w:val="00167E10"/>
    <w:rsid w:val="0017066E"/>
    <w:rsid w:val="00170DB1"/>
    <w:rsid w:val="00171209"/>
    <w:rsid w:val="0017126C"/>
    <w:rsid w:val="001715B3"/>
    <w:rsid w:val="0017184A"/>
    <w:rsid w:val="00171907"/>
    <w:rsid w:val="00172134"/>
    <w:rsid w:val="00172617"/>
    <w:rsid w:val="0017314C"/>
    <w:rsid w:val="001741A3"/>
    <w:rsid w:val="001744D3"/>
    <w:rsid w:val="0017539A"/>
    <w:rsid w:val="00175A4E"/>
    <w:rsid w:val="001763B2"/>
    <w:rsid w:val="00176B76"/>
    <w:rsid w:val="00177584"/>
    <w:rsid w:val="00177773"/>
    <w:rsid w:val="00177C39"/>
    <w:rsid w:val="00177C7E"/>
    <w:rsid w:val="00177E3D"/>
    <w:rsid w:val="00180023"/>
    <w:rsid w:val="00180135"/>
    <w:rsid w:val="001802A9"/>
    <w:rsid w:val="00180482"/>
    <w:rsid w:val="00180F67"/>
    <w:rsid w:val="00181330"/>
    <w:rsid w:val="00181660"/>
    <w:rsid w:val="00181736"/>
    <w:rsid w:val="00181B0D"/>
    <w:rsid w:val="00181D71"/>
    <w:rsid w:val="001825C8"/>
    <w:rsid w:val="00182E07"/>
    <w:rsid w:val="00183052"/>
    <w:rsid w:val="001830C2"/>
    <w:rsid w:val="001834B8"/>
    <w:rsid w:val="001836C5"/>
    <w:rsid w:val="00183F8A"/>
    <w:rsid w:val="001843D7"/>
    <w:rsid w:val="00184B85"/>
    <w:rsid w:val="00185176"/>
    <w:rsid w:val="001852DC"/>
    <w:rsid w:val="00185A68"/>
    <w:rsid w:val="00185E1B"/>
    <w:rsid w:val="00185E83"/>
    <w:rsid w:val="00186733"/>
    <w:rsid w:val="00186A82"/>
    <w:rsid w:val="00186DD1"/>
    <w:rsid w:val="00187AFE"/>
    <w:rsid w:val="00187D74"/>
    <w:rsid w:val="00187DED"/>
    <w:rsid w:val="0019073F"/>
    <w:rsid w:val="0019077F"/>
    <w:rsid w:val="00190C5F"/>
    <w:rsid w:val="00190CFD"/>
    <w:rsid w:val="00190E9D"/>
    <w:rsid w:val="00191D51"/>
    <w:rsid w:val="00192E79"/>
    <w:rsid w:val="00192F10"/>
    <w:rsid w:val="00193244"/>
    <w:rsid w:val="00193270"/>
    <w:rsid w:val="00193362"/>
    <w:rsid w:val="00193623"/>
    <w:rsid w:val="00193B3B"/>
    <w:rsid w:val="00193B71"/>
    <w:rsid w:val="00193F81"/>
    <w:rsid w:val="00193FD9"/>
    <w:rsid w:val="00194AD5"/>
    <w:rsid w:val="00194BF9"/>
    <w:rsid w:val="00195159"/>
    <w:rsid w:val="0019547F"/>
    <w:rsid w:val="001954A7"/>
    <w:rsid w:val="00195AD1"/>
    <w:rsid w:val="00195B62"/>
    <w:rsid w:val="0019609F"/>
    <w:rsid w:val="0019618C"/>
    <w:rsid w:val="00196353"/>
    <w:rsid w:val="001963F7"/>
    <w:rsid w:val="00196612"/>
    <w:rsid w:val="001969AA"/>
    <w:rsid w:val="00196B95"/>
    <w:rsid w:val="00196C21"/>
    <w:rsid w:val="0019771D"/>
    <w:rsid w:val="001A0552"/>
    <w:rsid w:val="001A0A0E"/>
    <w:rsid w:val="001A100A"/>
    <w:rsid w:val="001A141B"/>
    <w:rsid w:val="001A17D4"/>
    <w:rsid w:val="001A1B4A"/>
    <w:rsid w:val="001A1DC5"/>
    <w:rsid w:val="001A21D1"/>
    <w:rsid w:val="001A29BD"/>
    <w:rsid w:val="001A3041"/>
    <w:rsid w:val="001A3485"/>
    <w:rsid w:val="001A387B"/>
    <w:rsid w:val="001A3986"/>
    <w:rsid w:val="001A3A6A"/>
    <w:rsid w:val="001A497E"/>
    <w:rsid w:val="001A4BDA"/>
    <w:rsid w:val="001A735F"/>
    <w:rsid w:val="001A743E"/>
    <w:rsid w:val="001A76A6"/>
    <w:rsid w:val="001A7C35"/>
    <w:rsid w:val="001B0217"/>
    <w:rsid w:val="001B08E1"/>
    <w:rsid w:val="001B0A5F"/>
    <w:rsid w:val="001B0F8B"/>
    <w:rsid w:val="001B10CB"/>
    <w:rsid w:val="001B1177"/>
    <w:rsid w:val="001B1308"/>
    <w:rsid w:val="001B14A8"/>
    <w:rsid w:val="001B1A1E"/>
    <w:rsid w:val="001B1B87"/>
    <w:rsid w:val="001B1FD4"/>
    <w:rsid w:val="001B2670"/>
    <w:rsid w:val="001B28C9"/>
    <w:rsid w:val="001B2C19"/>
    <w:rsid w:val="001B37F4"/>
    <w:rsid w:val="001B38D0"/>
    <w:rsid w:val="001B410D"/>
    <w:rsid w:val="001B4231"/>
    <w:rsid w:val="001B4B6C"/>
    <w:rsid w:val="001B548F"/>
    <w:rsid w:val="001B555C"/>
    <w:rsid w:val="001B5D65"/>
    <w:rsid w:val="001B60DE"/>
    <w:rsid w:val="001B6233"/>
    <w:rsid w:val="001B6C3A"/>
    <w:rsid w:val="001B6C9B"/>
    <w:rsid w:val="001B75A0"/>
    <w:rsid w:val="001B76A4"/>
    <w:rsid w:val="001C0DED"/>
    <w:rsid w:val="001C0F60"/>
    <w:rsid w:val="001C12AC"/>
    <w:rsid w:val="001C1A7E"/>
    <w:rsid w:val="001C20BF"/>
    <w:rsid w:val="001C211E"/>
    <w:rsid w:val="001C2992"/>
    <w:rsid w:val="001C2B06"/>
    <w:rsid w:val="001C2DB9"/>
    <w:rsid w:val="001C3557"/>
    <w:rsid w:val="001C398B"/>
    <w:rsid w:val="001C3B0B"/>
    <w:rsid w:val="001C3DA4"/>
    <w:rsid w:val="001C3EAF"/>
    <w:rsid w:val="001C3FEA"/>
    <w:rsid w:val="001C494B"/>
    <w:rsid w:val="001C498E"/>
    <w:rsid w:val="001C49AA"/>
    <w:rsid w:val="001C5DDF"/>
    <w:rsid w:val="001C5FF0"/>
    <w:rsid w:val="001C6013"/>
    <w:rsid w:val="001C64BF"/>
    <w:rsid w:val="001C6708"/>
    <w:rsid w:val="001C6766"/>
    <w:rsid w:val="001C6B72"/>
    <w:rsid w:val="001C6B79"/>
    <w:rsid w:val="001C6D1F"/>
    <w:rsid w:val="001C6E05"/>
    <w:rsid w:val="001C7325"/>
    <w:rsid w:val="001C7DA3"/>
    <w:rsid w:val="001D00B4"/>
    <w:rsid w:val="001D060C"/>
    <w:rsid w:val="001D0951"/>
    <w:rsid w:val="001D0A0D"/>
    <w:rsid w:val="001D0E4C"/>
    <w:rsid w:val="001D0F05"/>
    <w:rsid w:val="001D0F66"/>
    <w:rsid w:val="001D11FA"/>
    <w:rsid w:val="001D15C0"/>
    <w:rsid w:val="001D184F"/>
    <w:rsid w:val="001D1BC7"/>
    <w:rsid w:val="001D2476"/>
    <w:rsid w:val="001D2780"/>
    <w:rsid w:val="001D2A68"/>
    <w:rsid w:val="001D2DC9"/>
    <w:rsid w:val="001D33EE"/>
    <w:rsid w:val="001D3A1A"/>
    <w:rsid w:val="001D43C6"/>
    <w:rsid w:val="001D4584"/>
    <w:rsid w:val="001D514E"/>
    <w:rsid w:val="001D623A"/>
    <w:rsid w:val="001D6507"/>
    <w:rsid w:val="001D6FAF"/>
    <w:rsid w:val="001D7078"/>
    <w:rsid w:val="001D7280"/>
    <w:rsid w:val="001D7B76"/>
    <w:rsid w:val="001D7BFD"/>
    <w:rsid w:val="001D7D14"/>
    <w:rsid w:val="001E08DE"/>
    <w:rsid w:val="001E09D1"/>
    <w:rsid w:val="001E1B4C"/>
    <w:rsid w:val="001E2BF2"/>
    <w:rsid w:val="001E3E66"/>
    <w:rsid w:val="001E46D5"/>
    <w:rsid w:val="001E472F"/>
    <w:rsid w:val="001E499D"/>
    <w:rsid w:val="001E4B4C"/>
    <w:rsid w:val="001E5037"/>
    <w:rsid w:val="001E50D2"/>
    <w:rsid w:val="001E5528"/>
    <w:rsid w:val="001E557C"/>
    <w:rsid w:val="001E5F08"/>
    <w:rsid w:val="001E6568"/>
    <w:rsid w:val="001E70F3"/>
    <w:rsid w:val="001E71B2"/>
    <w:rsid w:val="001E7302"/>
    <w:rsid w:val="001E753F"/>
    <w:rsid w:val="001E7B85"/>
    <w:rsid w:val="001F08EC"/>
    <w:rsid w:val="001F0ADA"/>
    <w:rsid w:val="001F2017"/>
    <w:rsid w:val="001F2BBC"/>
    <w:rsid w:val="001F3395"/>
    <w:rsid w:val="001F36B3"/>
    <w:rsid w:val="001F3E8F"/>
    <w:rsid w:val="001F5784"/>
    <w:rsid w:val="001F59FD"/>
    <w:rsid w:val="001F5A3B"/>
    <w:rsid w:val="001F5CCA"/>
    <w:rsid w:val="001F6502"/>
    <w:rsid w:val="001F65A5"/>
    <w:rsid w:val="001F6B2A"/>
    <w:rsid w:val="001F7067"/>
    <w:rsid w:val="001F75F2"/>
    <w:rsid w:val="001F7930"/>
    <w:rsid w:val="001F7D7F"/>
    <w:rsid w:val="0020028F"/>
    <w:rsid w:val="00200484"/>
    <w:rsid w:val="0020091A"/>
    <w:rsid w:val="00200F32"/>
    <w:rsid w:val="002019FB"/>
    <w:rsid w:val="00201A5A"/>
    <w:rsid w:val="00201E58"/>
    <w:rsid w:val="00201EF3"/>
    <w:rsid w:val="00202156"/>
    <w:rsid w:val="00202418"/>
    <w:rsid w:val="00202D2A"/>
    <w:rsid w:val="00202E48"/>
    <w:rsid w:val="00203BF6"/>
    <w:rsid w:val="00204358"/>
    <w:rsid w:val="0020470C"/>
    <w:rsid w:val="002058A9"/>
    <w:rsid w:val="00205D22"/>
    <w:rsid w:val="002063E5"/>
    <w:rsid w:val="00206761"/>
    <w:rsid w:val="0020697F"/>
    <w:rsid w:val="00206ABC"/>
    <w:rsid w:val="00207B63"/>
    <w:rsid w:val="002103E5"/>
    <w:rsid w:val="00210424"/>
    <w:rsid w:val="00211550"/>
    <w:rsid w:val="00211645"/>
    <w:rsid w:val="00211AA7"/>
    <w:rsid w:val="00211AAD"/>
    <w:rsid w:val="00211ADF"/>
    <w:rsid w:val="00211E10"/>
    <w:rsid w:val="00211F02"/>
    <w:rsid w:val="00212472"/>
    <w:rsid w:val="002128AD"/>
    <w:rsid w:val="00212DCC"/>
    <w:rsid w:val="00213388"/>
    <w:rsid w:val="00214634"/>
    <w:rsid w:val="002149E2"/>
    <w:rsid w:val="00214F67"/>
    <w:rsid w:val="00215436"/>
    <w:rsid w:val="00215C67"/>
    <w:rsid w:val="0021610D"/>
    <w:rsid w:val="0021611C"/>
    <w:rsid w:val="002163FB"/>
    <w:rsid w:val="0021665B"/>
    <w:rsid w:val="0021678C"/>
    <w:rsid w:val="002168B5"/>
    <w:rsid w:val="0021691B"/>
    <w:rsid w:val="00216BEA"/>
    <w:rsid w:val="00216C7F"/>
    <w:rsid w:val="00216CB6"/>
    <w:rsid w:val="002177F8"/>
    <w:rsid w:val="00217C10"/>
    <w:rsid w:val="0022066B"/>
    <w:rsid w:val="00220857"/>
    <w:rsid w:val="002213CD"/>
    <w:rsid w:val="002218CD"/>
    <w:rsid w:val="00222C59"/>
    <w:rsid w:val="00222CE0"/>
    <w:rsid w:val="00222F4F"/>
    <w:rsid w:val="002238F1"/>
    <w:rsid w:val="00224BA3"/>
    <w:rsid w:val="00224CE7"/>
    <w:rsid w:val="0022550F"/>
    <w:rsid w:val="00225578"/>
    <w:rsid w:val="00225CFE"/>
    <w:rsid w:val="00226038"/>
    <w:rsid w:val="002265EE"/>
    <w:rsid w:val="0022669A"/>
    <w:rsid w:val="00226DD1"/>
    <w:rsid w:val="00226DF9"/>
    <w:rsid w:val="00226E3D"/>
    <w:rsid w:val="00226E61"/>
    <w:rsid w:val="00226ECB"/>
    <w:rsid w:val="00227858"/>
    <w:rsid w:val="00230733"/>
    <w:rsid w:val="00231228"/>
    <w:rsid w:val="00231410"/>
    <w:rsid w:val="00231480"/>
    <w:rsid w:val="002314C6"/>
    <w:rsid w:val="00231528"/>
    <w:rsid w:val="00232206"/>
    <w:rsid w:val="00232896"/>
    <w:rsid w:val="00232B2E"/>
    <w:rsid w:val="00232C83"/>
    <w:rsid w:val="00232CC1"/>
    <w:rsid w:val="00232F07"/>
    <w:rsid w:val="00233171"/>
    <w:rsid w:val="00233346"/>
    <w:rsid w:val="00233522"/>
    <w:rsid w:val="00233751"/>
    <w:rsid w:val="002337FE"/>
    <w:rsid w:val="00233879"/>
    <w:rsid w:val="0023393C"/>
    <w:rsid w:val="002339AE"/>
    <w:rsid w:val="0023414C"/>
    <w:rsid w:val="002341AD"/>
    <w:rsid w:val="002342D1"/>
    <w:rsid w:val="002342D8"/>
    <w:rsid w:val="00234479"/>
    <w:rsid w:val="00235AB1"/>
    <w:rsid w:val="00235C3A"/>
    <w:rsid w:val="00236262"/>
    <w:rsid w:val="002363A8"/>
    <w:rsid w:val="0023655C"/>
    <w:rsid w:val="00236708"/>
    <w:rsid w:val="00236C78"/>
    <w:rsid w:val="00237A43"/>
    <w:rsid w:val="00237BB4"/>
    <w:rsid w:val="00237E28"/>
    <w:rsid w:val="002411CA"/>
    <w:rsid w:val="0024188D"/>
    <w:rsid w:val="00241937"/>
    <w:rsid w:val="00241CF0"/>
    <w:rsid w:val="002421BB"/>
    <w:rsid w:val="002424CB"/>
    <w:rsid w:val="002427A0"/>
    <w:rsid w:val="00242A65"/>
    <w:rsid w:val="00242EC9"/>
    <w:rsid w:val="002438A5"/>
    <w:rsid w:val="00243DB8"/>
    <w:rsid w:val="002444EC"/>
    <w:rsid w:val="00244557"/>
    <w:rsid w:val="0024464A"/>
    <w:rsid w:val="002447D7"/>
    <w:rsid w:val="00244E8D"/>
    <w:rsid w:val="00245300"/>
    <w:rsid w:val="00245DAE"/>
    <w:rsid w:val="002468CC"/>
    <w:rsid w:val="0024699A"/>
    <w:rsid w:val="00246B63"/>
    <w:rsid w:val="0024747B"/>
    <w:rsid w:val="0024755F"/>
    <w:rsid w:val="002476BA"/>
    <w:rsid w:val="002477EE"/>
    <w:rsid w:val="00247C67"/>
    <w:rsid w:val="00250436"/>
    <w:rsid w:val="0025094E"/>
    <w:rsid w:val="00251358"/>
    <w:rsid w:val="0025180D"/>
    <w:rsid w:val="00251860"/>
    <w:rsid w:val="00251D24"/>
    <w:rsid w:val="00252262"/>
    <w:rsid w:val="00253375"/>
    <w:rsid w:val="002537E8"/>
    <w:rsid w:val="00253C8F"/>
    <w:rsid w:val="00253D6C"/>
    <w:rsid w:val="00253F36"/>
    <w:rsid w:val="002541A4"/>
    <w:rsid w:val="002542A6"/>
    <w:rsid w:val="00254612"/>
    <w:rsid w:val="00254836"/>
    <w:rsid w:val="00254B69"/>
    <w:rsid w:val="00254C20"/>
    <w:rsid w:val="00254E5E"/>
    <w:rsid w:val="00254F5B"/>
    <w:rsid w:val="002555C3"/>
    <w:rsid w:val="002556F6"/>
    <w:rsid w:val="0025598C"/>
    <w:rsid w:val="00255C9E"/>
    <w:rsid w:val="0025647C"/>
    <w:rsid w:val="0025666B"/>
    <w:rsid w:val="00256C9E"/>
    <w:rsid w:val="00256F22"/>
    <w:rsid w:val="002600C7"/>
    <w:rsid w:val="00260564"/>
    <w:rsid w:val="00260BC4"/>
    <w:rsid w:val="00260CF7"/>
    <w:rsid w:val="00260E90"/>
    <w:rsid w:val="00261543"/>
    <w:rsid w:val="0026158E"/>
    <w:rsid w:val="00261B56"/>
    <w:rsid w:val="00261C59"/>
    <w:rsid w:val="00261EC5"/>
    <w:rsid w:val="002628B1"/>
    <w:rsid w:val="0026372A"/>
    <w:rsid w:val="00263A74"/>
    <w:rsid w:val="00263BB6"/>
    <w:rsid w:val="00263E88"/>
    <w:rsid w:val="00264683"/>
    <w:rsid w:val="00264788"/>
    <w:rsid w:val="002651C1"/>
    <w:rsid w:val="00265572"/>
    <w:rsid w:val="00265670"/>
    <w:rsid w:val="0026674C"/>
    <w:rsid w:val="00266DEC"/>
    <w:rsid w:val="00266E30"/>
    <w:rsid w:val="00267619"/>
    <w:rsid w:val="00267E9E"/>
    <w:rsid w:val="002708FC"/>
    <w:rsid w:val="00270D8C"/>
    <w:rsid w:val="00271117"/>
    <w:rsid w:val="002714CD"/>
    <w:rsid w:val="002722F8"/>
    <w:rsid w:val="00272712"/>
    <w:rsid w:val="00273121"/>
    <w:rsid w:val="00273698"/>
    <w:rsid w:val="0027384F"/>
    <w:rsid w:val="0027394D"/>
    <w:rsid w:val="00273A4F"/>
    <w:rsid w:val="00273DF0"/>
    <w:rsid w:val="00274319"/>
    <w:rsid w:val="00274663"/>
    <w:rsid w:val="002746EF"/>
    <w:rsid w:val="0027595B"/>
    <w:rsid w:val="00275A3A"/>
    <w:rsid w:val="00275B31"/>
    <w:rsid w:val="00275E21"/>
    <w:rsid w:val="002765AA"/>
    <w:rsid w:val="00276986"/>
    <w:rsid w:val="00276F6C"/>
    <w:rsid w:val="00277194"/>
    <w:rsid w:val="0028025E"/>
    <w:rsid w:val="00280407"/>
    <w:rsid w:val="0028085D"/>
    <w:rsid w:val="00280EB4"/>
    <w:rsid w:val="0028187B"/>
    <w:rsid w:val="0028197F"/>
    <w:rsid w:val="00281E2F"/>
    <w:rsid w:val="002821D8"/>
    <w:rsid w:val="00282A2D"/>
    <w:rsid w:val="00283C1B"/>
    <w:rsid w:val="00283F95"/>
    <w:rsid w:val="002840E6"/>
    <w:rsid w:val="0028490A"/>
    <w:rsid w:val="00284ED9"/>
    <w:rsid w:val="00285830"/>
    <w:rsid w:val="00285B6D"/>
    <w:rsid w:val="00285EDC"/>
    <w:rsid w:val="00286152"/>
    <w:rsid w:val="00287469"/>
    <w:rsid w:val="00287470"/>
    <w:rsid w:val="0028776F"/>
    <w:rsid w:val="0028786D"/>
    <w:rsid w:val="0028790C"/>
    <w:rsid w:val="00287A42"/>
    <w:rsid w:val="00290009"/>
    <w:rsid w:val="00290680"/>
    <w:rsid w:val="00291035"/>
    <w:rsid w:val="00292181"/>
    <w:rsid w:val="0029235F"/>
    <w:rsid w:val="002925FF"/>
    <w:rsid w:val="0029282C"/>
    <w:rsid w:val="00293137"/>
    <w:rsid w:val="00293620"/>
    <w:rsid w:val="00293B18"/>
    <w:rsid w:val="00293B47"/>
    <w:rsid w:val="002943AE"/>
    <w:rsid w:val="002948C3"/>
    <w:rsid w:val="00294B1A"/>
    <w:rsid w:val="0029554B"/>
    <w:rsid w:val="00295867"/>
    <w:rsid w:val="00295A6B"/>
    <w:rsid w:val="00295C2A"/>
    <w:rsid w:val="00295CC8"/>
    <w:rsid w:val="00295D0A"/>
    <w:rsid w:val="002960DB"/>
    <w:rsid w:val="00296155"/>
    <w:rsid w:val="0029649B"/>
    <w:rsid w:val="002966BC"/>
    <w:rsid w:val="002966F9"/>
    <w:rsid w:val="00296820"/>
    <w:rsid w:val="00296BE9"/>
    <w:rsid w:val="00296F4E"/>
    <w:rsid w:val="00296F71"/>
    <w:rsid w:val="00296FD7"/>
    <w:rsid w:val="002972FC"/>
    <w:rsid w:val="002975D7"/>
    <w:rsid w:val="00297FB0"/>
    <w:rsid w:val="002A04FD"/>
    <w:rsid w:val="002A0AB0"/>
    <w:rsid w:val="002A14F6"/>
    <w:rsid w:val="002A1AE9"/>
    <w:rsid w:val="002A25B1"/>
    <w:rsid w:val="002A37B9"/>
    <w:rsid w:val="002A383E"/>
    <w:rsid w:val="002A3D78"/>
    <w:rsid w:val="002A3DC3"/>
    <w:rsid w:val="002A52B7"/>
    <w:rsid w:val="002A542E"/>
    <w:rsid w:val="002A576F"/>
    <w:rsid w:val="002A5D79"/>
    <w:rsid w:val="002A5F04"/>
    <w:rsid w:val="002A6982"/>
    <w:rsid w:val="002A7128"/>
    <w:rsid w:val="002A7129"/>
    <w:rsid w:val="002A74EE"/>
    <w:rsid w:val="002A77ED"/>
    <w:rsid w:val="002A7AC1"/>
    <w:rsid w:val="002A7B11"/>
    <w:rsid w:val="002B0F6D"/>
    <w:rsid w:val="002B12ED"/>
    <w:rsid w:val="002B23D8"/>
    <w:rsid w:val="002B265E"/>
    <w:rsid w:val="002B273A"/>
    <w:rsid w:val="002B2846"/>
    <w:rsid w:val="002B2F27"/>
    <w:rsid w:val="002B300B"/>
    <w:rsid w:val="002B3038"/>
    <w:rsid w:val="002B3141"/>
    <w:rsid w:val="002B32CD"/>
    <w:rsid w:val="002B34FC"/>
    <w:rsid w:val="002B36FC"/>
    <w:rsid w:val="002B3AF1"/>
    <w:rsid w:val="002B3C15"/>
    <w:rsid w:val="002B3F31"/>
    <w:rsid w:val="002B417B"/>
    <w:rsid w:val="002B42C1"/>
    <w:rsid w:val="002B478D"/>
    <w:rsid w:val="002B4AC5"/>
    <w:rsid w:val="002B5180"/>
    <w:rsid w:val="002B5778"/>
    <w:rsid w:val="002B597A"/>
    <w:rsid w:val="002B5F9C"/>
    <w:rsid w:val="002B6072"/>
    <w:rsid w:val="002B6BE0"/>
    <w:rsid w:val="002B7338"/>
    <w:rsid w:val="002B7808"/>
    <w:rsid w:val="002C0658"/>
    <w:rsid w:val="002C0721"/>
    <w:rsid w:val="002C0C91"/>
    <w:rsid w:val="002C0DB2"/>
    <w:rsid w:val="002C1104"/>
    <w:rsid w:val="002C11F8"/>
    <w:rsid w:val="002C204A"/>
    <w:rsid w:val="002C2249"/>
    <w:rsid w:val="002C2B29"/>
    <w:rsid w:val="002C2E61"/>
    <w:rsid w:val="002C2F21"/>
    <w:rsid w:val="002C3256"/>
    <w:rsid w:val="002C3E72"/>
    <w:rsid w:val="002C40D0"/>
    <w:rsid w:val="002C44A3"/>
    <w:rsid w:val="002C4CD4"/>
    <w:rsid w:val="002C53CC"/>
    <w:rsid w:val="002C5489"/>
    <w:rsid w:val="002C5E89"/>
    <w:rsid w:val="002C69F3"/>
    <w:rsid w:val="002C6C91"/>
    <w:rsid w:val="002C6CB8"/>
    <w:rsid w:val="002C6E61"/>
    <w:rsid w:val="002C710A"/>
    <w:rsid w:val="002C73E9"/>
    <w:rsid w:val="002C76A2"/>
    <w:rsid w:val="002C7A15"/>
    <w:rsid w:val="002D0175"/>
    <w:rsid w:val="002D0636"/>
    <w:rsid w:val="002D0841"/>
    <w:rsid w:val="002D11FC"/>
    <w:rsid w:val="002D1EE6"/>
    <w:rsid w:val="002D2795"/>
    <w:rsid w:val="002D2991"/>
    <w:rsid w:val="002D34CA"/>
    <w:rsid w:val="002D49DC"/>
    <w:rsid w:val="002D4EEC"/>
    <w:rsid w:val="002D59B2"/>
    <w:rsid w:val="002D5A46"/>
    <w:rsid w:val="002D5D3B"/>
    <w:rsid w:val="002D5DF5"/>
    <w:rsid w:val="002D6707"/>
    <w:rsid w:val="002D69AF"/>
    <w:rsid w:val="002D6AEF"/>
    <w:rsid w:val="002D7D64"/>
    <w:rsid w:val="002D7FAB"/>
    <w:rsid w:val="002E06F0"/>
    <w:rsid w:val="002E0751"/>
    <w:rsid w:val="002E07BC"/>
    <w:rsid w:val="002E0A6F"/>
    <w:rsid w:val="002E0AAC"/>
    <w:rsid w:val="002E0EB4"/>
    <w:rsid w:val="002E0EF9"/>
    <w:rsid w:val="002E0F12"/>
    <w:rsid w:val="002E0F2F"/>
    <w:rsid w:val="002E143D"/>
    <w:rsid w:val="002E15A1"/>
    <w:rsid w:val="002E15F7"/>
    <w:rsid w:val="002E1D9D"/>
    <w:rsid w:val="002E1F91"/>
    <w:rsid w:val="002E29FB"/>
    <w:rsid w:val="002E3257"/>
    <w:rsid w:val="002E33D3"/>
    <w:rsid w:val="002E3887"/>
    <w:rsid w:val="002E3999"/>
    <w:rsid w:val="002E39C5"/>
    <w:rsid w:val="002E3DCD"/>
    <w:rsid w:val="002E408C"/>
    <w:rsid w:val="002E4199"/>
    <w:rsid w:val="002E430D"/>
    <w:rsid w:val="002E4379"/>
    <w:rsid w:val="002E44CD"/>
    <w:rsid w:val="002E4EDF"/>
    <w:rsid w:val="002E53C7"/>
    <w:rsid w:val="002E575F"/>
    <w:rsid w:val="002E5820"/>
    <w:rsid w:val="002E5870"/>
    <w:rsid w:val="002E6281"/>
    <w:rsid w:val="002E628D"/>
    <w:rsid w:val="002E646F"/>
    <w:rsid w:val="002E666C"/>
    <w:rsid w:val="002E67C5"/>
    <w:rsid w:val="002E7524"/>
    <w:rsid w:val="002E79FB"/>
    <w:rsid w:val="002F0B57"/>
    <w:rsid w:val="002F0C33"/>
    <w:rsid w:val="002F137A"/>
    <w:rsid w:val="002F15A5"/>
    <w:rsid w:val="002F1E05"/>
    <w:rsid w:val="002F2AAA"/>
    <w:rsid w:val="002F3325"/>
    <w:rsid w:val="002F338F"/>
    <w:rsid w:val="002F3BFC"/>
    <w:rsid w:val="002F3C0A"/>
    <w:rsid w:val="002F4010"/>
    <w:rsid w:val="002F42DF"/>
    <w:rsid w:val="002F4834"/>
    <w:rsid w:val="002F4F80"/>
    <w:rsid w:val="002F5069"/>
    <w:rsid w:val="002F532D"/>
    <w:rsid w:val="002F5D21"/>
    <w:rsid w:val="002F6329"/>
    <w:rsid w:val="002F634D"/>
    <w:rsid w:val="002F68BC"/>
    <w:rsid w:val="002F70D6"/>
    <w:rsid w:val="002F7185"/>
    <w:rsid w:val="002F734D"/>
    <w:rsid w:val="002F769D"/>
    <w:rsid w:val="002F7883"/>
    <w:rsid w:val="0030038E"/>
    <w:rsid w:val="003006AD"/>
    <w:rsid w:val="00301EAC"/>
    <w:rsid w:val="00302034"/>
    <w:rsid w:val="00302624"/>
    <w:rsid w:val="0030296D"/>
    <w:rsid w:val="00302B64"/>
    <w:rsid w:val="00302B89"/>
    <w:rsid w:val="00303381"/>
    <w:rsid w:val="00303477"/>
    <w:rsid w:val="00303AE0"/>
    <w:rsid w:val="00303F81"/>
    <w:rsid w:val="00304320"/>
    <w:rsid w:val="00304894"/>
    <w:rsid w:val="00304EC0"/>
    <w:rsid w:val="00305093"/>
    <w:rsid w:val="003050DE"/>
    <w:rsid w:val="003053DE"/>
    <w:rsid w:val="003056A2"/>
    <w:rsid w:val="003056A5"/>
    <w:rsid w:val="0030574A"/>
    <w:rsid w:val="00305830"/>
    <w:rsid w:val="00306544"/>
    <w:rsid w:val="00306E99"/>
    <w:rsid w:val="00307239"/>
    <w:rsid w:val="00307D38"/>
    <w:rsid w:val="00307DC4"/>
    <w:rsid w:val="0031041C"/>
    <w:rsid w:val="0031076B"/>
    <w:rsid w:val="003108FE"/>
    <w:rsid w:val="00310B00"/>
    <w:rsid w:val="00310C6F"/>
    <w:rsid w:val="00310E4C"/>
    <w:rsid w:val="0031172A"/>
    <w:rsid w:val="0031175C"/>
    <w:rsid w:val="0031177A"/>
    <w:rsid w:val="00312430"/>
    <w:rsid w:val="00312691"/>
    <w:rsid w:val="00312AAF"/>
    <w:rsid w:val="00312B13"/>
    <w:rsid w:val="00312D08"/>
    <w:rsid w:val="00313DA2"/>
    <w:rsid w:val="00314415"/>
    <w:rsid w:val="003148E3"/>
    <w:rsid w:val="00314A84"/>
    <w:rsid w:val="00314A9B"/>
    <w:rsid w:val="00314F4E"/>
    <w:rsid w:val="00315A87"/>
    <w:rsid w:val="003161D8"/>
    <w:rsid w:val="00316280"/>
    <w:rsid w:val="0031633F"/>
    <w:rsid w:val="0031650E"/>
    <w:rsid w:val="00316DE5"/>
    <w:rsid w:val="00316F58"/>
    <w:rsid w:val="00317179"/>
    <w:rsid w:val="00317404"/>
    <w:rsid w:val="0031741D"/>
    <w:rsid w:val="003174F1"/>
    <w:rsid w:val="003175E1"/>
    <w:rsid w:val="00317E39"/>
    <w:rsid w:val="00317E9E"/>
    <w:rsid w:val="0032001F"/>
    <w:rsid w:val="00320029"/>
    <w:rsid w:val="00320D0B"/>
    <w:rsid w:val="003218CA"/>
    <w:rsid w:val="00321C0C"/>
    <w:rsid w:val="00321F87"/>
    <w:rsid w:val="00322239"/>
    <w:rsid w:val="003234D7"/>
    <w:rsid w:val="003239C0"/>
    <w:rsid w:val="0032402B"/>
    <w:rsid w:val="00324063"/>
    <w:rsid w:val="00324152"/>
    <w:rsid w:val="003243B9"/>
    <w:rsid w:val="00324561"/>
    <w:rsid w:val="003245ED"/>
    <w:rsid w:val="00324922"/>
    <w:rsid w:val="003249E8"/>
    <w:rsid w:val="00324AEE"/>
    <w:rsid w:val="003250C4"/>
    <w:rsid w:val="003256F9"/>
    <w:rsid w:val="003257D6"/>
    <w:rsid w:val="003258A9"/>
    <w:rsid w:val="003269C1"/>
    <w:rsid w:val="00326A5E"/>
    <w:rsid w:val="00326DFE"/>
    <w:rsid w:val="00326F86"/>
    <w:rsid w:val="003274EF"/>
    <w:rsid w:val="00327A71"/>
    <w:rsid w:val="00327D3F"/>
    <w:rsid w:val="00327DCD"/>
    <w:rsid w:val="00330605"/>
    <w:rsid w:val="00330CA5"/>
    <w:rsid w:val="003315DB"/>
    <w:rsid w:val="00331609"/>
    <w:rsid w:val="0033181A"/>
    <w:rsid w:val="00331990"/>
    <w:rsid w:val="00331F9C"/>
    <w:rsid w:val="0033246E"/>
    <w:rsid w:val="00332622"/>
    <w:rsid w:val="003328A2"/>
    <w:rsid w:val="003329B6"/>
    <w:rsid w:val="00332EFE"/>
    <w:rsid w:val="0033387B"/>
    <w:rsid w:val="00333B20"/>
    <w:rsid w:val="00333E87"/>
    <w:rsid w:val="00334348"/>
    <w:rsid w:val="0033470F"/>
    <w:rsid w:val="00334C71"/>
    <w:rsid w:val="0033511C"/>
    <w:rsid w:val="00335743"/>
    <w:rsid w:val="00336035"/>
    <w:rsid w:val="003364C8"/>
    <w:rsid w:val="00336BBE"/>
    <w:rsid w:val="00337397"/>
    <w:rsid w:val="00337987"/>
    <w:rsid w:val="00337E6A"/>
    <w:rsid w:val="00340033"/>
    <w:rsid w:val="00340D93"/>
    <w:rsid w:val="00340F9F"/>
    <w:rsid w:val="003415EC"/>
    <w:rsid w:val="00341908"/>
    <w:rsid w:val="00341B5A"/>
    <w:rsid w:val="00341EBB"/>
    <w:rsid w:val="003420EF"/>
    <w:rsid w:val="003427AA"/>
    <w:rsid w:val="00342A78"/>
    <w:rsid w:val="00342D21"/>
    <w:rsid w:val="00342D71"/>
    <w:rsid w:val="003433A7"/>
    <w:rsid w:val="003433FC"/>
    <w:rsid w:val="003438BA"/>
    <w:rsid w:val="00343DA8"/>
    <w:rsid w:val="00343E20"/>
    <w:rsid w:val="00343F93"/>
    <w:rsid w:val="00343FAF"/>
    <w:rsid w:val="00344910"/>
    <w:rsid w:val="00345172"/>
    <w:rsid w:val="00345EA5"/>
    <w:rsid w:val="003465C0"/>
    <w:rsid w:val="00346F7C"/>
    <w:rsid w:val="00347216"/>
    <w:rsid w:val="00347F9D"/>
    <w:rsid w:val="00350551"/>
    <w:rsid w:val="00350562"/>
    <w:rsid w:val="00350692"/>
    <w:rsid w:val="0035101C"/>
    <w:rsid w:val="0035112D"/>
    <w:rsid w:val="00351805"/>
    <w:rsid w:val="0035187C"/>
    <w:rsid w:val="003526F5"/>
    <w:rsid w:val="0035310C"/>
    <w:rsid w:val="00353421"/>
    <w:rsid w:val="00353784"/>
    <w:rsid w:val="00353A00"/>
    <w:rsid w:val="003541D1"/>
    <w:rsid w:val="0035470A"/>
    <w:rsid w:val="00355B1A"/>
    <w:rsid w:val="003561A8"/>
    <w:rsid w:val="00356DB2"/>
    <w:rsid w:val="00356FB8"/>
    <w:rsid w:val="0035705C"/>
    <w:rsid w:val="003572AA"/>
    <w:rsid w:val="003574DD"/>
    <w:rsid w:val="00357846"/>
    <w:rsid w:val="00357C98"/>
    <w:rsid w:val="00360116"/>
    <w:rsid w:val="003601F0"/>
    <w:rsid w:val="00360C5B"/>
    <w:rsid w:val="003612E5"/>
    <w:rsid w:val="00361661"/>
    <w:rsid w:val="00361A80"/>
    <w:rsid w:val="00361DA8"/>
    <w:rsid w:val="00362BC2"/>
    <w:rsid w:val="003633DB"/>
    <w:rsid w:val="003636A4"/>
    <w:rsid w:val="00363B46"/>
    <w:rsid w:val="00363BC9"/>
    <w:rsid w:val="00363C18"/>
    <w:rsid w:val="003641C6"/>
    <w:rsid w:val="0036460D"/>
    <w:rsid w:val="00364792"/>
    <w:rsid w:val="00364A09"/>
    <w:rsid w:val="003655CD"/>
    <w:rsid w:val="003660A5"/>
    <w:rsid w:val="00366320"/>
    <w:rsid w:val="00366DFD"/>
    <w:rsid w:val="00366E58"/>
    <w:rsid w:val="00367638"/>
    <w:rsid w:val="003677D9"/>
    <w:rsid w:val="00367BB4"/>
    <w:rsid w:val="00370282"/>
    <w:rsid w:val="003705AB"/>
    <w:rsid w:val="003705E4"/>
    <w:rsid w:val="00370AD5"/>
    <w:rsid w:val="00370B37"/>
    <w:rsid w:val="00370C6C"/>
    <w:rsid w:val="0037120B"/>
    <w:rsid w:val="00371A74"/>
    <w:rsid w:val="00371CDD"/>
    <w:rsid w:val="003725AF"/>
    <w:rsid w:val="003725FD"/>
    <w:rsid w:val="00372809"/>
    <w:rsid w:val="00373BA6"/>
    <w:rsid w:val="00375461"/>
    <w:rsid w:val="00375711"/>
    <w:rsid w:val="00375CA6"/>
    <w:rsid w:val="0037611B"/>
    <w:rsid w:val="003767BE"/>
    <w:rsid w:val="00377300"/>
    <w:rsid w:val="00377393"/>
    <w:rsid w:val="003777CD"/>
    <w:rsid w:val="003779E6"/>
    <w:rsid w:val="00377EE1"/>
    <w:rsid w:val="00380137"/>
    <w:rsid w:val="00380660"/>
    <w:rsid w:val="003806BE"/>
    <w:rsid w:val="003809F6"/>
    <w:rsid w:val="00380EB7"/>
    <w:rsid w:val="00381077"/>
    <w:rsid w:val="00381327"/>
    <w:rsid w:val="00381397"/>
    <w:rsid w:val="0038161A"/>
    <w:rsid w:val="003817E9"/>
    <w:rsid w:val="003818C6"/>
    <w:rsid w:val="00381F14"/>
    <w:rsid w:val="0038286E"/>
    <w:rsid w:val="0038289B"/>
    <w:rsid w:val="00383AF1"/>
    <w:rsid w:val="00383F4F"/>
    <w:rsid w:val="0038452B"/>
    <w:rsid w:val="0038522B"/>
    <w:rsid w:val="003852F1"/>
    <w:rsid w:val="00385326"/>
    <w:rsid w:val="003857C9"/>
    <w:rsid w:val="00386128"/>
    <w:rsid w:val="0038663C"/>
    <w:rsid w:val="003869D0"/>
    <w:rsid w:val="00386B99"/>
    <w:rsid w:val="00386DAF"/>
    <w:rsid w:val="003870F4"/>
    <w:rsid w:val="0038719A"/>
    <w:rsid w:val="003871C0"/>
    <w:rsid w:val="0038792E"/>
    <w:rsid w:val="00390530"/>
    <w:rsid w:val="00390E3F"/>
    <w:rsid w:val="003914BC"/>
    <w:rsid w:val="00391712"/>
    <w:rsid w:val="00391A18"/>
    <w:rsid w:val="00391B64"/>
    <w:rsid w:val="0039211C"/>
    <w:rsid w:val="00392453"/>
    <w:rsid w:val="00392566"/>
    <w:rsid w:val="00392597"/>
    <w:rsid w:val="00392A92"/>
    <w:rsid w:val="00392D46"/>
    <w:rsid w:val="00393032"/>
    <w:rsid w:val="003937A0"/>
    <w:rsid w:val="00393B12"/>
    <w:rsid w:val="00393FB3"/>
    <w:rsid w:val="00394064"/>
    <w:rsid w:val="00394A86"/>
    <w:rsid w:val="00394B7B"/>
    <w:rsid w:val="00394C30"/>
    <w:rsid w:val="00394F09"/>
    <w:rsid w:val="0039587F"/>
    <w:rsid w:val="003959ED"/>
    <w:rsid w:val="00395AC9"/>
    <w:rsid w:val="00395ADF"/>
    <w:rsid w:val="003966B8"/>
    <w:rsid w:val="00396839"/>
    <w:rsid w:val="0039691E"/>
    <w:rsid w:val="0039697E"/>
    <w:rsid w:val="00396C6B"/>
    <w:rsid w:val="00396E7B"/>
    <w:rsid w:val="00397828"/>
    <w:rsid w:val="003979A7"/>
    <w:rsid w:val="00397F48"/>
    <w:rsid w:val="003A0877"/>
    <w:rsid w:val="003A0B08"/>
    <w:rsid w:val="003A0B80"/>
    <w:rsid w:val="003A0BCD"/>
    <w:rsid w:val="003A0C61"/>
    <w:rsid w:val="003A10C5"/>
    <w:rsid w:val="003A1267"/>
    <w:rsid w:val="003A175F"/>
    <w:rsid w:val="003A19A9"/>
    <w:rsid w:val="003A1A74"/>
    <w:rsid w:val="003A1D21"/>
    <w:rsid w:val="003A2A01"/>
    <w:rsid w:val="003A2C0D"/>
    <w:rsid w:val="003A39F8"/>
    <w:rsid w:val="003A3B5E"/>
    <w:rsid w:val="003A3F69"/>
    <w:rsid w:val="003A4014"/>
    <w:rsid w:val="003A42DB"/>
    <w:rsid w:val="003A4AC0"/>
    <w:rsid w:val="003A4BC4"/>
    <w:rsid w:val="003A4CCE"/>
    <w:rsid w:val="003A503D"/>
    <w:rsid w:val="003A598C"/>
    <w:rsid w:val="003A59D3"/>
    <w:rsid w:val="003A5D96"/>
    <w:rsid w:val="003A5FD5"/>
    <w:rsid w:val="003A683D"/>
    <w:rsid w:val="003A6AF3"/>
    <w:rsid w:val="003A6DF6"/>
    <w:rsid w:val="003B06EB"/>
    <w:rsid w:val="003B0CA9"/>
    <w:rsid w:val="003B1223"/>
    <w:rsid w:val="003B18C9"/>
    <w:rsid w:val="003B1ADD"/>
    <w:rsid w:val="003B2C54"/>
    <w:rsid w:val="003B2FA5"/>
    <w:rsid w:val="003B3532"/>
    <w:rsid w:val="003B3E0E"/>
    <w:rsid w:val="003B49C2"/>
    <w:rsid w:val="003B526F"/>
    <w:rsid w:val="003B5E08"/>
    <w:rsid w:val="003B5E64"/>
    <w:rsid w:val="003B5EC7"/>
    <w:rsid w:val="003B68E0"/>
    <w:rsid w:val="003B6EC1"/>
    <w:rsid w:val="003C02E9"/>
    <w:rsid w:val="003C0B54"/>
    <w:rsid w:val="003C1003"/>
    <w:rsid w:val="003C13CA"/>
    <w:rsid w:val="003C167A"/>
    <w:rsid w:val="003C221E"/>
    <w:rsid w:val="003C2D65"/>
    <w:rsid w:val="003C3173"/>
    <w:rsid w:val="003C356E"/>
    <w:rsid w:val="003C3EE3"/>
    <w:rsid w:val="003C3F29"/>
    <w:rsid w:val="003C4351"/>
    <w:rsid w:val="003C48B7"/>
    <w:rsid w:val="003C577B"/>
    <w:rsid w:val="003C57B4"/>
    <w:rsid w:val="003C59DF"/>
    <w:rsid w:val="003C5AAD"/>
    <w:rsid w:val="003C5BAC"/>
    <w:rsid w:val="003C5C2D"/>
    <w:rsid w:val="003C61A4"/>
    <w:rsid w:val="003C6671"/>
    <w:rsid w:val="003C66E5"/>
    <w:rsid w:val="003C6772"/>
    <w:rsid w:val="003C68C6"/>
    <w:rsid w:val="003C6FEE"/>
    <w:rsid w:val="003C7676"/>
    <w:rsid w:val="003C797D"/>
    <w:rsid w:val="003C7DD5"/>
    <w:rsid w:val="003C7EE2"/>
    <w:rsid w:val="003D0511"/>
    <w:rsid w:val="003D0DDF"/>
    <w:rsid w:val="003D0EAA"/>
    <w:rsid w:val="003D16BF"/>
    <w:rsid w:val="003D1BC8"/>
    <w:rsid w:val="003D1C01"/>
    <w:rsid w:val="003D25B0"/>
    <w:rsid w:val="003D332D"/>
    <w:rsid w:val="003D36A6"/>
    <w:rsid w:val="003D3BA4"/>
    <w:rsid w:val="003D3CE4"/>
    <w:rsid w:val="003D3F82"/>
    <w:rsid w:val="003D3FCA"/>
    <w:rsid w:val="003D45D4"/>
    <w:rsid w:val="003D4657"/>
    <w:rsid w:val="003D48A7"/>
    <w:rsid w:val="003D52EA"/>
    <w:rsid w:val="003D5375"/>
    <w:rsid w:val="003D5669"/>
    <w:rsid w:val="003D57B1"/>
    <w:rsid w:val="003D5954"/>
    <w:rsid w:val="003D71F3"/>
    <w:rsid w:val="003D73F5"/>
    <w:rsid w:val="003D7484"/>
    <w:rsid w:val="003D77CA"/>
    <w:rsid w:val="003D7A3E"/>
    <w:rsid w:val="003E03BF"/>
    <w:rsid w:val="003E03DF"/>
    <w:rsid w:val="003E14CF"/>
    <w:rsid w:val="003E1690"/>
    <w:rsid w:val="003E2F55"/>
    <w:rsid w:val="003E30A2"/>
    <w:rsid w:val="003E3404"/>
    <w:rsid w:val="003E343A"/>
    <w:rsid w:val="003E40F3"/>
    <w:rsid w:val="003E417E"/>
    <w:rsid w:val="003E4977"/>
    <w:rsid w:val="003E4DD4"/>
    <w:rsid w:val="003E52F6"/>
    <w:rsid w:val="003E55B2"/>
    <w:rsid w:val="003E783C"/>
    <w:rsid w:val="003E7D02"/>
    <w:rsid w:val="003E7F22"/>
    <w:rsid w:val="003E7F8D"/>
    <w:rsid w:val="003F036E"/>
    <w:rsid w:val="003F09A4"/>
    <w:rsid w:val="003F143A"/>
    <w:rsid w:val="003F1AD8"/>
    <w:rsid w:val="003F1BD8"/>
    <w:rsid w:val="003F223A"/>
    <w:rsid w:val="003F2E16"/>
    <w:rsid w:val="003F2FDD"/>
    <w:rsid w:val="003F30C5"/>
    <w:rsid w:val="003F327F"/>
    <w:rsid w:val="003F35A0"/>
    <w:rsid w:val="003F3685"/>
    <w:rsid w:val="003F36E1"/>
    <w:rsid w:val="003F3714"/>
    <w:rsid w:val="003F3876"/>
    <w:rsid w:val="003F3C59"/>
    <w:rsid w:val="003F4B39"/>
    <w:rsid w:val="003F4CA0"/>
    <w:rsid w:val="003F50AA"/>
    <w:rsid w:val="003F5FF8"/>
    <w:rsid w:val="003F6E59"/>
    <w:rsid w:val="003F725B"/>
    <w:rsid w:val="003F7270"/>
    <w:rsid w:val="00400059"/>
    <w:rsid w:val="004004C7"/>
    <w:rsid w:val="00400731"/>
    <w:rsid w:val="00400828"/>
    <w:rsid w:val="00400A7E"/>
    <w:rsid w:val="00400D9B"/>
    <w:rsid w:val="00401C6D"/>
    <w:rsid w:val="00401CDA"/>
    <w:rsid w:val="00402284"/>
    <w:rsid w:val="00402AD7"/>
    <w:rsid w:val="00402B20"/>
    <w:rsid w:val="004031F9"/>
    <w:rsid w:val="0040357F"/>
    <w:rsid w:val="00404048"/>
    <w:rsid w:val="00404215"/>
    <w:rsid w:val="004042B3"/>
    <w:rsid w:val="00404467"/>
    <w:rsid w:val="004046AA"/>
    <w:rsid w:val="00404ACD"/>
    <w:rsid w:val="00404FD5"/>
    <w:rsid w:val="004056F1"/>
    <w:rsid w:val="0040587E"/>
    <w:rsid w:val="00405C1F"/>
    <w:rsid w:val="00405C3A"/>
    <w:rsid w:val="00406123"/>
    <w:rsid w:val="00406327"/>
    <w:rsid w:val="004067C0"/>
    <w:rsid w:val="004071DA"/>
    <w:rsid w:val="00407791"/>
    <w:rsid w:val="00407BEC"/>
    <w:rsid w:val="00407C2A"/>
    <w:rsid w:val="00407F24"/>
    <w:rsid w:val="00407FC2"/>
    <w:rsid w:val="00410138"/>
    <w:rsid w:val="004103E4"/>
    <w:rsid w:val="0041066C"/>
    <w:rsid w:val="0041150A"/>
    <w:rsid w:val="00411827"/>
    <w:rsid w:val="00411DDE"/>
    <w:rsid w:val="004127C8"/>
    <w:rsid w:val="00412C8B"/>
    <w:rsid w:val="00413BE5"/>
    <w:rsid w:val="004140C5"/>
    <w:rsid w:val="004142A8"/>
    <w:rsid w:val="004142FE"/>
    <w:rsid w:val="00414C61"/>
    <w:rsid w:val="00414FA8"/>
    <w:rsid w:val="004151B4"/>
    <w:rsid w:val="0041560C"/>
    <w:rsid w:val="0041566B"/>
    <w:rsid w:val="004158C6"/>
    <w:rsid w:val="00415BE9"/>
    <w:rsid w:val="00415E34"/>
    <w:rsid w:val="00416009"/>
    <w:rsid w:val="00416014"/>
    <w:rsid w:val="00416D6C"/>
    <w:rsid w:val="00417138"/>
    <w:rsid w:val="00420030"/>
    <w:rsid w:val="004213C3"/>
    <w:rsid w:val="004219A3"/>
    <w:rsid w:val="004220F9"/>
    <w:rsid w:val="00422124"/>
    <w:rsid w:val="00422201"/>
    <w:rsid w:val="004223F0"/>
    <w:rsid w:val="00422818"/>
    <w:rsid w:val="00422C01"/>
    <w:rsid w:val="004231ED"/>
    <w:rsid w:val="004233C8"/>
    <w:rsid w:val="00423847"/>
    <w:rsid w:val="00423863"/>
    <w:rsid w:val="00423D7A"/>
    <w:rsid w:val="00423EED"/>
    <w:rsid w:val="0042422F"/>
    <w:rsid w:val="00424247"/>
    <w:rsid w:val="004245D1"/>
    <w:rsid w:val="0042470D"/>
    <w:rsid w:val="00424AB6"/>
    <w:rsid w:val="00424D3C"/>
    <w:rsid w:val="004251D8"/>
    <w:rsid w:val="0042586D"/>
    <w:rsid w:val="00425AF9"/>
    <w:rsid w:val="00425FE4"/>
    <w:rsid w:val="004263A1"/>
    <w:rsid w:val="004269DD"/>
    <w:rsid w:val="004271B0"/>
    <w:rsid w:val="004276A8"/>
    <w:rsid w:val="00427A4D"/>
    <w:rsid w:val="004300E9"/>
    <w:rsid w:val="0043074F"/>
    <w:rsid w:val="00430AC6"/>
    <w:rsid w:val="00430CCA"/>
    <w:rsid w:val="004318EE"/>
    <w:rsid w:val="00433BA9"/>
    <w:rsid w:val="00433C64"/>
    <w:rsid w:val="00433FF6"/>
    <w:rsid w:val="0043423F"/>
    <w:rsid w:val="00434707"/>
    <w:rsid w:val="00434831"/>
    <w:rsid w:val="00435162"/>
    <w:rsid w:val="00435A99"/>
    <w:rsid w:val="00435FB2"/>
    <w:rsid w:val="00436DD3"/>
    <w:rsid w:val="00436E96"/>
    <w:rsid w:val="004372BF"/>
    <w:rsid w:val="004374FC"/>
    <w:rsid w:val="00437558"/>
    <w:rsid w:val="004375D5"/>
    <w:rsid w:val="004379AF"/>
    <w:rsid w:val="004379C0"/>
    <w:rsid w:val="00437FFB"/>
    <w:rsid w:val="00440413"/>
    <w:rsid w:val="0044085C"/>
    <w:rsid w:val="0044096C"/>
    <w:rsid w:val="00440B1A"/>
    <w:rsid w:val="00440CA0"/>
    <w:rsid w:val="00441CAF"/>
    <w:rsid w:val="004422F6"/>
    <w:rsid w:val="00442378"/>
    <w:rsid w:val="00442437"/>
    <w:rsid w:val="004426A3"/>
    <w:rsid w:val="00442BA7"/>
    <w:rsid w:val="00443066"/>
    <w:rsid w:val="004430D1"/>
    <w:rsid w:val="0044318B"/>
    <w:rsid w:val="004432A8"/>
    <w:rsid w:val="004436C2"/>
    <w:rsid w:val="0044426D"/>
    <w:rsid w:val="0044459C"/>
    <w:rsid w:val="00445855"/>
    <w:rsid w:val="004459BD"/>
    <w:rsid w:val="004459D9"/>
    <w:rsid w:val="0044663E"/>
    <w:rsid w:val="00446EAA"/>
    <w:rsid w:val="004478AB"/>
    <w:rsid w:val="00450208"/>
    <w:rsid w:val="0045044B"/>
    <w:rsid w:val="0045055F"/>
    <w:rsid w:val="00450ADC"/>
    <w:rsid w:val="00450DCE"/>
    <w:rsid w:val="00450F6E"/>
    <w:rsid w:val="004510F9"/>
    <w:rsid w:val="00451D16"/>
    <w:rsid w:val="004520E0"/>
    <w:rsid w:val="00452EC6"/>
    <w:rsid w:val="004532DB"/>
    <w:rsid w:val="004534C3"/>
    <w:rsid w:val="00453C9E"/>
    <w:rsid w:val="00454308"/>
    <w:rsid w:val="0045447B"/>
    <w:rsid w:val="00454C23"/>
    <w:rsid w:val="00454EC2"/>
    <w:rsid w:val="00454EC6"/>
    <w:rsid w:val="00455853"/>
    <w:rsid w:val="00455B24"/>
    <w:rsid w:val="00455EFB"/>
    <w:rsid w:val="00456001"/>
    <w:rsid w:val="004561F8"/>
    <w:rsid w:val="004569A4"/>
    <w:rsid w:val="00456FBE"/>
    <w:rsid w:val="0045710B"/>
    <w:rsid w:val="004576AE"/>
    <w:rsid w:val="00457CA3"/>
    <w:rsid w:val="00457E50"/>
    <w:rsid w:val="004602D1"/>
    <w:rsid w:val="0046064E"/>
    <w:rsid w:val="004610E6"/>
    <w:rsid w:val="00461BC7"/>
    <w:rsid w:val="00462397"/>
    <w:rsid w:val="004623EA"/>
    <w:rsid w:val="00462663"/>
    <w:rsid w:val="0046279E"/>
    <w:rsid w:val="00462D93"/>
    <w:rsid w:val="00462E9C"/>
    <w:rsid w:val="00462EAE"/>
    <w:rsid w:val="00463534"/>
    <w:rsid w:val="00463AD3"/>
    <w:rsid w:val="00464465"/>
    <w:rsid w:val="00464A85"/>
    <w:rsid w:val="004653E0"/>
    <w:rsid w:val="0046575C"/>
    <w:rsid w:val="00466AA9"/>
    <w:rsid w:val="00466ED8"/>
    <w:rsid w:val="00467105"/>
    <w:rsid w:val="00467292"/>
    <w:rsid w:val="004672C2"/>
    <w:rsid w:val="004673CD"/>
    <w:rsid w:val="00467624"/>
    <w:rsid w:val="0046782A"/>
    <w:rsid w:val="00467B69"/>
    <w:rsid w:val="00467C6C"/>
    <w:rsid w:val="00470A19"/>
    <w:rsid w:val="004713AD"/>
    <w:rsid w:val="0047159A"/>
    <w:rsid w:val="004718E3"/>
    <w:rsid w:val="00471E80"/>
    <w:rsid w:val="00472502"/>
    <w:rsid w:val="0047282E"/>
    <w:rsid w:val="00473123"/>
    <w:rsid w:val="0047385E"/>
    <w:rsid w:val="00473887"/>
    <w:rsid w:val="00473E67"/>
    <w:rsid w:val="00474052"/>
    <w:rsid w:val="004747C5"/>
    <w:rsid w:val="0047499A"/>
    <w:rsid w:val="004749BB"/>
    <w:rsid w:val="004749D0"/>
    <w:rsid w:val="00474ADE"/>
    <w:rsid w:val="00475449"/>
    <w:rsid w:val="0047555B"/>
    <w:rsid w:val="0047643E"/>
    <w:rsid w:val="00476458"/>
    <w:rsid w:val="004767FC"/>
    <w:rsid w:val="00476815"/>
    <w:rsid w:val="00476963"/>
    <w:rsid w:val="00476F32"/>
    <w:rsid w:val="004771E3"/>
    <w:rsid w:val="00477426"/>
    <w:rsid w:val="0047751D"/>
    <w:rsid w:val="00477B7D"/>
    <w:rsid w:val="00480064"/>
    <w:rsid w:val="004802E4"/>
    <w:rsid w:val="00480664"/>
    <w:rsid w:val="00480B2C"/>
    <w:rsid w:val="00480D56"/>
    <w:rsid w:val="00480DAC"/>
    <w:rsid w:val="004810F1"/>
    <w:rsid w:val="00481417"/>
    <w:rsid w:val="004816C1"/>
    <w:rsid w:val="00481E82"/>
    <w:rsid w:val="0048253A"/>
    <w:rsid w:val="004825E6"/>
    <w:rsid w:val="00482874"/>
    <w:rsid w:val="004829D1"/>
    <w:rsid w:val="00482B44"/>
    <w:rsid w:val="0048313B"/>
    <w:rsid w:val="004836DB"/>
    <w:rsid w:val="00484188"/>
    <w:rsid w:val="0048427E"/>
    <w:rsid w:val="004843AF"/>
    <w:rsid w:val="004848A5"/>
    <w:rsid w:val="00485259"/>
    <w:rsid w:val="00485706"/>
    <w:rsid w:val="0048570D"/>
    <w:rsid w:val="00486416"/>
    <w:rsid w:val="00486818"/>
    <w:rsid w:val="00486B87"/>
    <w:rsid w:val="00486C44"/>
    <w:rsid w:val="00487DFE"/>
    <w:rsid w:val="004905A1"/>
    <w:rsid w:val="00490639"/>
    <w:rsid w:val="00492696"/>
    <w:rsid w:val="00493278"/>
    <w:rsid w:val="004936D8"/>
    <w:rsid w:val="00493836"/>
    <w:rsid w:val="004939BF"/>
    <w:rsid w:val="0049410D"/>
    <w:rsid w:val="0049449B"/>
    <w:rsid w:val="004945C3"/>
    <w:rsid w:val="00495DDD"/>
    <w:rsid w:val="00496144"/>
    <w:rsid w:val="00496606"/>
    <w:rsid w:val="004968F6"/>
    <w:rsid w:val="0049711E"/>
    <w:rsid w:val="004976CC"/>
    <w:rsid w:val="004A0102"/>
    <w:rsid w:val="004A02BD"/>
    <w:rsid w:val="004A0590"/>
    <w:rsid w:val="004A0B04"/>
    <w:rsid w:val="004A0C2D"/>
    <w:rsid w:val="004A0DA8"/>
    <w:rsid w:val="004A13CE"/>
    <w:rsid w:val="004A2100"/>
    <w:rsid w:val="004A290E"/>
    <w:rsid w:val="004A3393"/>
    <w:rsid w:val="004A3789"/>
    <w:rsid w:val="004A4690"/>
    <w:rsid w:val="004A472D"/>
    <w:rsid w:val="004A4822"/>
    <w:rsid w:val="004A4F6D"/>
    <w:rsid w:val="004A525A"/>
    <w:rsid w:val="004A5431"/>
    <w:rsid w:val="004A5537"/>
    <w:rsid w:val="004A5650"/>
    <w:rsid w:val="004A582A"/>
    <w:rsid w:val="004A5BDA"/>
    <w:rsid w:val="004A612C"/>
    <w:rsid w:val="004A62D1"/>
    <w:rsid w:val="004A6CCF"/>
    <w:rsid w:val="004A7166"/>
    <w:rsid w:val="004A7503"/>
    <w:rsid w:val="004A75F0"/>
    <w:rsid w:val="004A76E1"/>
    <w:rsid w:val="004B0106"/>
    <w:rsid w:val="004B0557"/>
    <w:rsid w:val="004B0A07"/>
    <w:rsid w:val="004B0B87"/>
    <w:rsid w:val="004B0DBC"/>
    <w:rsid w:val="004B1109"/>
    <w:rsid w:val="004B11ED"/>
    <w:rsid w:val="004B15C9"/>
    <w:rsid w:val="004B18A9"/>
    <w:rsid w:val="004B18CB"/>
    <w:rsid w:val="004B1DC1"/>
    <w:rsid w:val="004B2BF9"/>
    <w:rsid w:val="004B2C13"/>
    <w:rsid w:val="004B2D92"/>
    <w:rsid w:val="004B2F0D"/>
    <w:rsid w:val="004B3028"/>
    <w:rsid w:val="004B308E"/>
    <w:rsid w:val="004B35EC"/>
    <w:rsid w:val="004B3636"/>
    <w:rsid w:val="004B38C2"/>
    <w:rsid w:val="004B38DE"/>
    <w:rsid w:val="004B3B20"/>
    <w:rsid w:val="004B3B64"/>
    <w:rsid w:val="004B492A"/>
    <w:rsid w:val="004B4B7F"/>
    <w:rsid w:val="004B5735"/>
    <w:rsid w:val="004B5F6E"/>
    <w:rsid w:val="004B62F9"/>
    <w:rsid w:val="004B6458"/>
    <w:rsid w:val="004B6843"/>
    <w:rsid w:val="004B6903"/>
    <w:rsid w:val="004B7665"/>
    <w:rsid w:val="004B7CF6"/>
    <w:rsid w:val="004B7D3B"/>
    <w:rsid w:val="004C0184"/>
    <w:rsid w:val="004C0A94"/>
    <w:rsid w:val="004C1173"/>
    <w:rsid w:val="004C1910"/>
    <w:rsid w:val="004C19D4"/>
    <w:rsid w:val="004C2A3E"/>
    <w:rsid w:val="004C35E5"/>
    <w:rsid w:val="004C3A75"/>
    <w:rsid w:val="004C3C0E"/>
    <w:rsid w:val="004C4287"/>
    <w:rsid w:val="004C45C4"/>
    <w:rsid w:val="004C46D9"/>
    <w:rsid w:val="004C4704"/>
    <w:rsid w:val="004C510A"/>
    <w:rsid w:val="004C526B"/>
    <w:rsid w:val="004C5E39"/>
    <w:rsid w:val="004C5E69"/>
    <w:rsid w:val="004C6412"/>
    <w:rsid w:val="004C6603"/>
    <w:rsid w:val="004C6D75"/>
    <w:rsid w:val="004C7984"/>
    <w:rsid w:val="004C79B1"/>
    <w:rsid w:val="004C7E1A"/>
    <w:rsid w:val="004D005D"/>
    <w:rsid w:val="004D007F"/>
    <w:rsid w:val="004D0108"/>
    <w:rsid w:val="004D086F"/>
    <w:rsid w:val="004D08D4"/>
    <w:rsid w:val="004D0F03"/>
    <w:rsid w:val="004D1069"/>
    <w:rsid w:val="004D15F0"/>
    <w:rsid w:val="004D1F25"/>
    <w:rsid w:val="004D2A82"/>
    <w:rsid w:val="004D2EDE"/>
    <w:rsid w:val="004D2F08"/>
    <w:rsid w:val="004D3608"/>
    <w:rsid w:val="004D42B8"/>
    <w:rsid w:val="004D4868"/>
    <w:rsid w:val="004D48F2"/>
    <w:rsid w:val="004D4BC2"/>
    <w:rsid w:val="004D5B36"/>
    <w:rsid w:val="004D5F80"/>
    <w:rsid w:val="004D6379"/>
    <w:rsid w:val="004D653E"/>
    <w:rsid w:val="004D7608"/>
    <w:rsid w:val="004D7ED0"/>
    <w:rsid w:val="004E0444"/>
    <w:rsid w:val="004E046D"/>
    <w:rsid w:val="004E0E64"/>
    <w:rsid w:val="004E1E63"/>
    <w:rsid w:val="004E2166"/>
    <w:rsid w:val="004E3121"/>
    <w:rsid w:val="004E358A"/>
    <w:rsid w:val="004E3C88"/>
    <w:rsid w:val="004E3FF0"/>
    <w:rsid w:val="004E4990"/>
    <w:rsid w:val="004E54A7"/>
    <w:rsid w:val="004E5B20"/>
    <w:rsid w:val="004E5EAE"/>
    <w:rsid w:val="004E60DD"/>
    <w:rsid w:val="004E6183"/>
    <w:rsid w:val="004E66BE"/>
    <w:rsid w:val="004E694E"/>
    <w:rsid w:val="004E69FC"/>
    <w:rsid w:val="004E766E"/>
    <w:rsid w:val="004E7A90"/>
    <w:rsid w:val="004E7D6C"/>
    <w:rsid w:val="004F03E5"/>
    <w:rsid w:val="004F0C0E"/>
    <w:rsid w:val="004F0CEF"/>
    <w:rsid w:val="004F1068"/>
    <w:rsid w:val="004F15A6"/>
    <w:rsid w:val="004F1716"/>
    <w:rsid w:val="004F2257"/>
    <w:rsid w:val="004F23E2"/>
    <w:rsid w:val="004F23E5"/>
    <w:rsid w:val="004F25CA"/>
    <w:rsid w:val="004F2942"/>
    <w:rsid w:val="004F2DE4"/>
    <w:rsid w:val="004F4414"/>
    <w:rsid w:val="004F46F0"/>
    <w:rsid w:val="004F6526"/>
    <w:rsid w:val="004F665A"/>
    <w:rsid w:val="004F682B"/>
    <w:rsid w:val="004F6E76"/>
    <w:rsid w:val="004F70D5"/>
    <w:rsid w:val="004F78A9"/>
    <w:rsid w:val="004F78DC"/>
    <w:rsid w:val="004F7B45"/>
    <w:rsid w:val="004F7F27"/>
    <w:rsid w:val="0050031B"/>
    <w:rsid w:val="00501309"/>
    <w:rsid w:val="0050236C"/>
    <w:rsid w:val="00502678"/>
    <w:rsid w:val="00502839"/>
    <w:rsid w:val="0050285E"/>
    <w:rsid w:val="0050303F"/>
    <w:rsid w:val="005034BB"/>
    <w:rsid w:val="00503CA5"/>
    <w:rsid w:val="005041DE"/>
    <w:rsid w:val="00504556"/>
    <w:rsid w:val="00504E2B"/>
    <w:rsid w:val="005052E2"/>
    <w:rsid w:val="0050538E"/>
    <w:rsid w:val="00505604"/>
    <w:rsid w:val="00505981"/>
    <w:rsid w:val="005059AB"/>
    <w:rsid w:val="00505F48"/>
    <w:rsid w:val="00506636"/>
    <w:rsid w:val="00506E49"/>
    <w:rsid w:val="00506F09"/>
    <w:rsid w:val="005071F8"/>
    <w:rsid w:val="00507940"/>
    <w:rsid w:val="005101E9"/>
    <w:rsid w:val="00510421"/>
    <w:rsid w:val="005111C8"/>
    <w:rsid w:val="00511B28"/>
    <w:rsid w:val="00511B96"/>
    <w:rsid w:val="0051205D"/>
    <w:rsid w:val="0051209F"/>
    <w:rsid w:val="00512E1A"/>
    <w:rsid w:val="00513172"/>
    <w:rsid w:val="005133AA"/>
    <w:rsid w:val="00513945"/>
    <w:rsid w:val="00513A49"/>
    <w:rsid w:val="00513A6E"/>
    <w:rsid w:val="00513D03"/>
    <w:rsid w:val="00513DB6"/>
    <w:rsid w:val="00513F6A"/>
    <w:rsid w:val="0051443C"/>
    <w:rsid w:val="00514511"/>
    <w:rsid w:val="00514CD2"/>
    <w:rsid w:val="00514D93"/>
    <w:rsid w:val="00514DC0"/>
    <w:rsid w:val="00516029"/>
    <w:rsid w:val="0051626C"/>
    <w:rsid w:val="005168DB"/>
    <w:rsid w:val="00516B67"/>
    <w:rsid w:val="00516E29"/>
    <w:rsid w:val="00516F6F"/>
    <w:rsid w:val="0051714C"/>
    <w:rsid w:val="00517661"/>
    <w:rsid w:val="00517750"/>
    <w:rsid w:val="00517A1B"/>
    <w:rsid w:val="00517F8A"/>
    <w:rsid w:val="005200AC"/>
    <w:rsid w:val="00520928"/>
    <w:rsid w:val="005209BE"/>
    <w:rsid w:val="00520B3C"/>
    <w:rsid w:val="00520DE4"/>
    <w:rsid w:val="005218CB"/>
    <w:rsid w:val="00521C4A"/>
    <w:rsid w:val="00522091"/>
    <w:rsid w:val="005223BB"/>
    <w:rsid w:val="00522A58"/>
    <w:rsid w:val="00522A9E"/>
    <w:rsid w:val="00522D08"/>
    <w:rsid w:val="00523FD2"/>
    <w:rsid w:val="00524776"/>
    <w:rsid w:val="00524DBF"/>
    <w:rsid w:val="00524FAE"/>
    <w:rsid w:val="005250BA"/>
    <w:rsid w:val="00525157"/>
    <w:rsid w:val="00525979"/>
    <w:rsid w:val="00525F2F"/>
    <w:rsid w:val="005262C1"/>
    <w:rsid w:val="005268C1"/>
    <w:rsid w:val="00527DFF"/>
    <w:rsid w:val="00527EC5"/>
    <w:rsid w:val="00530562"/>
    <w:rsid w:val="00531305"/>
    <w:rsid w:val="00531531"/>
    <w:rsid w:val="00531A40"/>
    <w:rsid w:val="00531B43"/>
    <w:rsid w:val="00531D52"/>
    <w:rsid w:val="00532EC5"/>
    <w:rsid w:val="00533B4A"/>
    <w:rsid w:val="005348A0"/>
    <w:rsid w:val="00534E0C"/>
    <w:rsid w:val="005351DB"/>
    <w:rsid w:val="00535944"/>
    <w:rsid w:val="00535AEA"/>
    <w:rsid w:val="00535B34"/>
    <w:rsid w:val="0053600A"/>
    <w:rsid w:val="00536676"/>
    <w:rsid w:val="00536904"/>
    <w:rsid w:val="00536AE7"/>
    <w:rsid w:val="00536AEB"/>
    <w:rsid w:val="00536E9A"/>
    <w:rsid w:val="005370CA"/>
    <w:rsid w:val="005371E8"/>
    <w:rsid w:val="005378A9"/>
    <w:rsid w:val="00537E09"/>
    <w:rsid w:val="00537E51"/>
    <w:rsid w:val="00540862"/>
    <w:rsid w:val="00540EB9"/>
    <w:rsid w:val="00541131"/>
    <w:rsid w:val="00542A35"/>
    <w:rsid w:val="00543264"/>
    <w:rsid w:val="00543330"/>
    <w:rsid w:val="00543398"/>
    <w:rsid w:val="005433B2"/>
    <w:rsid w:val="0054400B"/>
    <w:rsid w:val="00544106"/>
    <w:rsid w:val="0054411B"/>
    <w:rsid w:val="00544279"/>
    <w:rsid w:val="005451CD"/>
    <w:rsid w:val="0054547E"/>
    <w:rsid w:val="00545952"/>
    <w:rsid w:val="00545BBD"/>
    <w:rsid w:val="00546392"/>
    <w:rsid w:val="00546ECC"/>
    <w:rsid w:val="0054717A"/>
    <w:rsid w:val="00547AB1"/>
    <w:rsid w:val="00547BA3"/>
    <w:rsid w:val="00550172"/>
    <w:rsid w:val="00551189"/>
    <w:rsid w:val="005514FF"/>
    <w:rsid w:val="00551570"/>
    <w:rsid w:val="00551EEB"/>
    <w:rsid w:val="005520AB"/>
    <w:rsid w:val="00552A57"/>
    <w:rsid w:val="00553034"/>
    <w:rsid w:val="00554429"/>
    <w:rsid w:val="00554516"/>
    <w:rsid w:val="005547E7"/>
    <w:rsid w:val="00554C6E"/>
    <w:rsid w:val="005551D5"/>
    <w:rsid w:val="00555965"/>
    <w:rsid w:val="00555E63"/>
    <w:rsid w:val="00556166"/>
    <w:rsid w:val="005565E7"/>
    <w:rsid w:val="005568E8"/>
    <w:rsid w:val="00556E8E"/>
    <w:rsid w:val="00557773"/>
    <w:rsid w:val="00557C9D"/>
    <w:rsid w:val="00557CC9"/>
    <w:rsid w:val="00557F01"/>
    <w:rsid w:val="00557F58"/>
    <w:rsid w:val="00560E99"/>
    <w:rsid w:val="00561128"/>
    <w:rsid w:val="00561721"/>
    <w:rsid w:val="00561CD9"/>
    <w:rsid w:val="00561DB1"/>
    <w:rsid w:val="00562A9D"/>
    <w:rsid w:val="00562F5D"/>
    <w:rsid w:val="00562FF8"/>
    <w:rsid w:val="00563937"/>
    <w:rsid w:val="00563B5B"/>
    <w:rsid w:val="00563D14"/>
    <w:rsid w:val="00563D29"/>
    <w:rsid w:val="00564327"/>
    <w:rsid w:val="00564882"/>
    <w:rsid w:val="00564E18"/>
    <w:rsid w:val="00564F9F"/>
    <w:rsid w:val="00565004"/>
    <w:rsid w:val="00565A12"/>
    <w:rsid w:val="00565D58"/>
    <w:rsid w:val="00565EDE"/>
    <w:rsid w:val="00566307"/>
    <w:rsid w:val="00566544"/>
    <w:rsid w:val="0056673A"/>
    <w:rsid w:val="00567014"/>
    <w:rsid w:val="00567435"/>
    <w:rsid w:val="00567F4E"/>
    <w:rsid w:val="005701FC"/>
    <w:rsid w:val="00570340"/>
    <w:rsid w:val="00570344"/>
    <w:rsid w:val="00570394"/>
    <w:rsid w:val="00570CA5"/>
    <w:rsid w:val="00570CE9"/>
    <w:rsid w:val="00571035"/>
    <w:rsid w:val="00571A9C"/>
    <w:rsid w:val="00571B12"/>
    <w:rsid w:val="00571C1E"/>
    <w:rsid w:val="00571CF5"/>
    <w:rsid w:val="005727B6"/>
    <w:rsid w:val="005734E4"/>
    <w:rsid w:val="0057360C"/>
    <w:rsid w:val="00573F40"/>
    <w:rsid w:val="00574AC5"/>
    <w:rsid w:val="00575003"/>
    <w:rsid w:val="005755C4"/>
    <w:rsid w:val="00575FC0"/>
    <w:rsid w:val="0057630A"/>
    <w:rsid w:val="00576E81"/>
    <w:rsid w:val="00577057"/>
    <w:rsid w:val="0057722D"/>
    <w:rsid w:val="005773BE"/>
    <w:rsid w:val="00577605"/>
    <w:rsid w:val="00577768"/>
    <w:rsid w:val="005800BB"/>
    <w:rsid w:val="00580272"/>
    <w:rsid w:val="00580BF7"/>
    <w:rsid w:val="0058104A"/>
    <w:rsid w:val="0058188A"/>
    <w:rsid w:val="005819FE"/>
    <w:rsid w:val="00581D2A"/>
    <w:rsid w:val="00581E70"/>
    <w:rsid w:val="00581F89"/>
    <w:rsid w:val="00581FAC"/>
    <w:rsid w:val="005822D7"/>
    <w:rsid w:val="005822F8"/>
    <w:rsid w:val="00582C27"/>
    <w:rsid w:val="00582C29"/>
    <w:rsid w:val="0058306E"/>
    <w:rsid w:val="00583268"/>
    <w:rsid w:val="00583929"/>
    <w:rsid w:val="00583F36"/>
    <w:rsid w:val="0058442F"/>
    <w:rsid w:val="00584877"/>
    <w:rsid w:val="005849A5"/>
    <w:rsid w:val="00584F0A"/>
    <w:rsid w:val="00584F9C"/>
    <w:rsid w:val="00585045"/>
    <w:rsid w:val="00585B3D"/>
    <w:rsid w:val="00585DEF"/>
    <w:rsid w:val="005868CA"/>
    <w:rsid w:val="00586974"/>
    <w:rsid w:val="005869AF"/>
    <w:rsid w:val="00586B2B"/>
    <w:rsid w:val="00587177"/>
    <w:rsid w:val="005873A3"/>
    <w:rsid w:val="005900EB"/>
    <w:rsid w:val="0059038E"/>
    <w:rsid w:val="00590D0E"/>
    <w:rsid w:val="0059102A"/>
    <w:rsid w:val="005911D1"/>
    <w:rsid w:val="00591211"/>
    <w:rsid w:val="00591457"/>
    <w:rsid w:val="005914F9"/>
    <w:rsid w:val="005915DD"/>
    <w:rsid w:val="0059197C"/>
    <w:rsid w:val="00592030"/>
    <w:rsid w:val="00592899"/>
    <w:rsid w:val="00592C60"/>
    <w:rsid w:val="00593317"/>
    <w:rsid w:val="005934E5"/>
    <w:rsid w:val="00593D29"/>
    <w:rsid w:val="00594CEE"/>
    <w:rsid w:val="00595604"/>
    <w:rsid w:val="00595B45"/>
    <w:rsid w:val="00595F32"/>
    <w:rsid w:val="0059643F"/>
    <w:rsid w:val="00596ACC"/>
    <w:rsid w:val="0059730D"/>
    <w:rsid w:val="005974C7"/>
    <w:rsid w:val="005975CC"/>
    <w:rsid w:val="005978F3"/>
    <w:rsid w:val="00597FA8"/>
    <w:rsid w:val="00597FD1"/>
    <w:rsid w:val="005A0124"/>
    <w:rsid w:val="005A0472"/>
    <w:rsid w:val="005A04DA"/>
    <w:rsid w:val="005A05A5"/>
    <w:rsid w:val="005A13BD"/>
    <w:rsid w:val="005A171F"/>
    <w:rsid w:val="005A19E6"/>
    <w:rsid w:val="005A2AE2"/>
    <w:rsid w:val="005A323A"/>
    <w:rsid w:val="005A3274"/>
    <w:rsid w:val="005A3781"/>
    <w:rsid w:val="005A38AB"/>
    <w:rsid w:val="005A3995"/>
    <w:rsid w:val="005A3F72"/>
    <w:rsid w:val="005A40D9"/>
    <w:rsid w:val="005A42B5"/>
    <w:rsid w:val="005A458C"/>
    <w:rsid w:val="005A45AA"/>
    <w:rsid w:val="005A4686"/>
    <w:rsid w:val="005A479B"/>
    <w:rsid w:val="005A4D9A"/>
    <w:rsid w:val="005A4EB3"/>
    <w:rsid w:val="005A5411"/>
    <w:rsid w:val="005A5962"/>
    <w:rsid w:val="005A5C29"/>
    <w:rsid w:val="005A601F"/>
    <w:rsid w:val="005A61F6"/>
    <w:rsid w:val="005A63FF"/>
    <w:rsid w:val="005A679C"/>
    <w:rsid w:val="005A6A16"/>
    <w:rsid w:val="005A7580"/>
    <w:rsid w:val="005A7725"/>
    <w:rsid w:val="005A78AC"/>
    <w:rsid w:val="005A7CBD"/>
    <w:rsid w:val="005B068E"/>
    <w:rsid w:val="005B0759"/>
    <w:rsid w:val="005B106B"/>
    <w:rsid w:val="005B1237"/>
    <w:rsid w:val="005B1B08"/>
    <w:rsid w:val="005B1E88"/>
    <w:rsid w:val="005B2556"/>
    <w:rsid w:val="005B25A5"/>
    <w:rsid w:val="005B4025"/>
    <w:rsid w:val="005B454C"/>
    <w:rsid w:val="005B4943"/>
    <w:rsid w:val="005B4D65"/>
    <w:rsid w:val="005B5357"/>
    <w:rsid w:val="005B5F62"/>
    <w:rsid w:val="005B62F1"/>
    <w:rsid w:val="005B647C"/>
    <w:rsid w:val="005B6557"/>
    <w:rsid w:val="005B77B2"/>
    <w:rsid w:val="005B79A6"/>
    <w:rsid w:val="005B7AFF"/>
    <w:rsid w:val="005B7FF4"/>
    <w:rsid w:val="005C000E"/>
    <w:rsid w:val="005C0027"/>
    <w:rsid w:val="005C010B"/>
    <w:rsid w:val="005C087F"/>
    <w:rsid w:val="005C0F28"/>
    <w:rsid w:val="005C1392"/>
    <w:rsid w:val="005C16A5"/>
    <w:rsid w:val="005C1919"/>
    <w:rsid w:val="005C19C1"/>
    <w:rsid w:val="005C2C61"/>
    <w:rsid w:val="005C2F42"/>
    <w:rsid w:val="005C33CD"/>
    <w:rsid w:val="005C4179"/>
    <w:rsid w:val="005C47BF"/>
    <w:rsid w:val="005C4D8F"/>
    <w:rsid w:val="005C5102"/>
    <w:rsid w:val="005C5571"/>
    <w:rsid w:val="005C5B86"/>
    <w:rsid w:val="005C5BA1"/>
    <w:rsid w:val="005C5F58"/>
    <w:rsid w:val="005C6268"/>
    <w:rsid w:val="005C64AC"/>
    <w:rsid w:val="005C69BF"/>
    <w:rsid w:val="005C74A7"/>
    <w:rsid w:val="005C795A"/>
    <w:rsid w:val="005C7BDB"/>
    <w:rsid w:val="005D0306"/>
    <w:rsid w:val="005D0336"/>
    <w:rsid w:val="005D04D7"/>
    <w:rsid w:val="005D05F4"/>
    <w:rsid w:val="005D0DB6"/>
    <w:rsid w:val="005D0E0E"/>
    <w:rsid w:val="005D1E01"/>
    <w:rsid w:val="005D2191"/>
    <w:rsid w:val="005D2563"/>
    <w:rsid w:val="005D2688"/>
    <w:rsid w:val="005D26A3"/>
    <w:rsid w:val="005D27AB"/>
    <w:rsid w:val="005D2AD7"/>
    <w:rsid w:val="005D2DC8"/>
    <w:rsid w:val="005D39C4"/>
    <w:rsid w:val="005D3EB0"/>
    <w:rsid w:val="005D3ED8"/>
    <w:rsid w:val="005D42A2"/>
    <w:rsid w:val="005D42BA"/>
    <w:rsid w:val="005D445E"/>
    <w:rsid w:val="005D4E8A"/>
    <w:rsid w:val="005D52C6"/>
    <w:rsid w:val="005D557A"/>
    <w:rsid w:val="005D55E3"/>
    <w:rsid w:val="005D567A"/>
    <w:rsid w:val="005D5757"/>
    <w:rsid w:val="005D61C5"/>
    <w:rsid w:val="005D63E7"/>
    <w:rsid w:val="005D65AB"/>
    <w:rsid w:val="005D663C"/>
    <w:rsid w:val="005D677F"/>
    <w:rsid w:val="005D68C5"/>
    <w:rsid w:val="005D6929"/>
    <w:rsid w:val="005D6D5E"/>
    <w:rsid w:val="005D6DED"/>
    <w:rsid w:val="005D7432"/>
    <w:rsid w:val="005D7803"/>
    <w:rsid w:val="005D7B82"/>
    <w:rsid w:val="005D7F01"/>
    <w:rsid w:val="005E0E33"/>
    <w:rsid w:val="005E15AB"/>
    <w:rsid w:val="005E1AE6"/>
    <w:rsid w:val="005E1E0B"/>
    <w:rsid w:val="005E2AD1"/>
    <w:rsid w:val="005E307B"/>
    <w:rsid w:val="005E30AC"/>
    <w:rsid w:val="005E36C5"/>
    <w:rsid w:val="005E3B64"/>
    <w:rsid w:val="005E3CC5"/>
    <w:rsid w:val="005E5533"/>
    <w:rsid w:val="005E5609"/>
    <w:rsid w:val="005E5775"/>
    <w:rsid w:val="005E6F2E"/>
    <w:rsid w:val="005E6F52"/>
    <w:rsid w:val="005E7065"/>
    <w:rsid w:val="005E77AA"/>
    <w:rsid w:val="005E7CC9"/>
    <w:rsid w:val="005F016E"/>
    <w:rsid w:val="005F04EE"/>
    <w:rsid w:val="005F0678"/>
    <w:rsid w:val="005F0EC8"/>
    <w:rsid w:val="005F12FF"/>
    <w:rsid w:val="005F1699"/>
    <w:rsid w:val="005F1987"/>
    <w:rsid w:val="005F1BE8"/>
    <w:rsid w:val="005F203F"/>
    <w:rsid w:val="005F26A1"/>
    <w:rsid w:val="005F30D1"/>
    <w:rsid w:val="005F3555"/>
    <w:rsid w:val="005F39FA"/>
    <w:rsid w:val="005F3BEB"/>
    <w:rsid w:val="005F3D1C"/>
    <w:rsid w:val="005F4096"/>
    <w:rsid w:val="005F4281"/>
    <w:rsid w:val="005F4F89"/>
    <w:rsid w:val="005F5164"/>
    <w:rsid w:val="005F5307"/>
    <w:rsid w:val="005F54A6"/>
    <w:rsid w:val="005F56FD"/>
    <w:rsid w:val="005F6399"/>
    <w:rsid w:val="005F66A5"/>
    <w:rsid w:val="005F6EB7"/>
    <w:rsid w:val="005F7090"/>
    <w:rsid w:val="005F730F"/>
    <w:rsid w:val="005F747C"/>
    <w:rsid w:val="005F7832"/>
    <w:rsid w:val="005F7B08"/>
    <w:rsid w:val="00600000"/>
    <w:rsid w:val="00600A6A"/>
    <w:rsid w:val="00601BFB"/>
    <w:rsid w:val="00602BF5"/>
    <w:rsid w:val="00602DAB"/>
    <w:rsid w:val="00603124"/>
    <w:rsid w:val="00603373"/>
    <w:rsid w:val="00603516"/>
    <w:rsid w:val="006038C6"/>
    <w:rsid w:val="00603971"/>
    <w:rsid w:val="00603A95"/>
    <w:rsid w:val="0060540D"/>
    <w:rsid w:val="006056AC"/>
    <w:rsid w:val="00605D51"/>
    <w:rsid w:val="00605F8C"/>
    <w:rsid w:val="00606068"/>
    <w:rsid w:val="0060637A"/>
    <w:rsid w:val="006063D1"/>
    <w:rsid w:val="006067FF"/>
    <w:rsid w:val="0060701A"/>
    <w:rsid w:val="00610469"/>
    <w:rsid w:val="00610574"/>
    <w:rsid w:val="00610748"/>
    <w:rsid w:val="0061106B"/>
    <w:rsid w:val="0061169B"/>
    <w:rsid w:val="00611851"/>
    <w:rsid w:val="00611880"/>
    <w:rsid w:val="006119BF"/>
    <w:rsid w:val="00612060"/>
    <w:rsid w:val="006122F7"/>
    <w:rsid w:val="006125BE"/>
    <w:rsid w:val="00612614"/>
    <w:rsid w:val="00612E70"/>
    <w:rsid w:val="00612E74"/>
    <w:rsid w:val="00613449"/>
    <w:rsid w:val="0061393D"/>
    <w:rsid w:val="00614166"/>
    <w:rsid w:val="00614609"/>
    <w:rsid w:val="006147F0"/>
    <w:rsid w:val="00614935"/>
    <w:rsid w:val="00615961"/>
    <w:rsid w:val="00615B1B"/>
    <w:rsid w:val="00615CD1"/>
    <w:rsid w:val="006162CE"/>
    <w:rsid w:val="00616A35"/>
    <w:rsid w:val="00617161"/>
    <w:rsid w:val="0061786E"/>
    <w:rsid w:val="006178ED"/>
    <w:rsid w:val="00617A25"/>
    <w:rsid w:val="00617A7B"/>
    <w:rsid w:val="00617B93"/>
    <w:rsid w:val="00617F6D"/>
    <w:rsid w:val="006204B9"/>
    <w:rsid w:val="00620B83"/>
    <w:rsid w:val="00620FDB"/>
    <w:rsid w:val="0062151D"/>
    <w:rsid w:val="00621F31"/>
    <w:rsid w:val="006236D9"/>
    <w:rsid w:val="00623AE7"/>
    <w:rsid w:val="006241BE"/>
    <w:rsid w:val="00624BB5"/>
    <w:rsid w:val="0062585A"/>
    <w:rsid w:val="00625FBE"/>
    <w:rsid w:val="0062628D"/>
    <w:rsid w:val="006263D2"/>
    <w:rsid w:val="0062643E"/>
    <w:rsid w:val="006264E4"/>
    <w:rsid w:val="006266B2"/>
    <w:rsid w:val="0062695F"/>
    <w:rsid w:val="00626AF6"/>
    <w:rsid w:val="00626B00"/>
    <w:rsid w:val="006273C4"/>
    <w:rsid w:val="0062756E"/>
    <w:rsid w:val="00627624"/>
    <w:rsid w:val="006276B9"/>
    <w:rsid w:val="0063041B"/>
    <w:rsid w:val="00630EB6"/>
    <w:rsid w:val="00630EE4"/>
    <w:rsid w:val="006314AB"/>
    <w:rsid w:val="00631DAD"/>
    <w:rsid w:val="00632425"/>
    <w:rsid w:val="00633984"/>
    <w:rsid w:val="00633EA4"/>
    <w:rsid w:val="0063413A"/>
    <w:rsid w:val="006345D7"/>
    <w:rsid w:val="006346F0"/>
    <w:rsid w:val="00634961"/>
    <w:rsid w:val="00634AAE"/>
    <w:rsid w:val="00634ED5"/>
    <w:rsid w:val="00635150"/>
    <w:rsid w:val="00635168"/>
    <w:rsid w:val="00635255"/>
    <w:rsid w:val="0063544E"/>
    <w:rsid w:val="00635952"/>
    <w:rsid w:val="00635D58"/>
    <w:rsid w:val="00635E1B"/>
    <w:rsid w:val="00636913"/>
    <w:rsid w:val="00637DA5"/>
    <w:rsid w:val="00640694"/>
    <w:rsid w:val="006406AC"/>
    <w:rsid w:val="006407A5"/>
    <w:rsid w:val="006407DC"/>
    <w:rsid w:val="00641432"/>
    <w:rsid w:val="006415CB"/>
    <w:rsid w:val="00641967"/>
    <w:rsid w:val="0064218D"/>
    <w:rsid w:val="00642321"/>
    <w:rsid w:val="00642FB8"/>
    <w:rsid w:val="00642FD0"/>
    <w:rsid w:val="00643C2C"/>
    <w:rsid w:val="006440D1"/>
    <w:rsid w:val="00644251"/>
    <w:rsid w:val="00644312"/>
    <w:rsid w:val="00644439"/>
    <w:rsid w:val="00644752"/>
    <w:rsid w:val="00644DA4"/>
    <w:rsid w:val="00645089"/>
    <w:rsid w:val="00645108"/>
    <w:rsid w:val="0064513A"/>
    <w:rsid w:val="006455E1"/>
    <w:rsid w:val="00645629"/>
    <w:rsid w:val="00645893"/>
    <w:rsid w:val="00645ABC"/>
    <w:rsid w:val="00646356"/>
    <w:rsid w:val="006464FB"/>
    <w:rsid w:val="00646A43"/>
    <w:rsid w:val="0064755E"/>
    <w:rsid w:val="00647688"/>
    <w:rsid w:val="00647A62"/>
    <w:rsid w:val="00647DBD"/>
    <w:rsid w:val="00647E70"/>
    <w:rsid w:val="006504B2"/>
    <w:rsid w:val="00650694"/>
    <w:rsid w:val="00650B53"/>
    <w:rsid w:val="006516DB"/>
    <w:rsid w:val="00651748"/>
    <w:rsid w:val="00651954"/>
    <w:rsid w:val="00651C35"/>
    <w:rsid w:val="00651D3D"/>
    <w:rsid w:val="00653844"/>
    <w:rsid w:val="00653CA2"/>
    <w:rsid w:val="006541D6"/>
    <w:rsid w:val="00654506"/>
    <w:rsid w:val="0065489F"/>
    <w:rsid w:val="00654D33"/>
    <w:rsid w:val="00654F05"/>
    <w:rsid w:val="00655046"/>
    <w:rsid w:val="006558FD"/>
    <w:rsid w:val="00655935"/>
    <w:rsid w:val="00655B6E"/>
    <w:rsid w:val="00656538"/>
    <w:rsid w:val="00657077"/>
    <w:rsid w:val="00657EDB"/>
    <w:rsid w:val="0066098A"/>
    <w:rsid w:val="0066098E"/>
    <w:rsid w:val="00660F0A"/>
    <w:rsid w:val="006612B4"/>
    <w:rsid w:val="006615CC"/>
    <w:rsid w:val="00661692"/>
    <w:rsid w:val="00661918"/>
    <w:rsid w:val="006619EA"/>
    <w:rsid w:val="006622B0"/>
    <w:rsid w:val="00662E4F"/>
    <w:rsid w:val="00663633"/>
    <w:rsid w:val="006637EA"/>
    <w:rsid w:val="0066386D"/>
    <w:rsid w:val="00663976"/>
    <w:rsid w:val="006641EE"/>
    <w:rsid w:val="006642FA"/>
    <w:rsid w:val="00664614"/>
    <w:rsid w:val="0066466C"/>
    <w:rsid w:val="00664794"/>
    <w:rsid w:val="006647FB"/>
    <w:rsid w:val="0066482B"/>
    <w:rsid w:val="00664E30"/>
    <w:rsid w:val="006650F3"/>
    <w:rsid w:val="006653A9"/>
    <w:rsid w:val="00665856"/>
    <w:rsid w:val="00665F21"/>
    <w:rsid w:val="0066618C"/>
    <w:rsid w:val="00666422"/>
    <w:rsid w:val="006667E6"/>
    <w:rsid w:val="006669E1"/>
    <w:rsid w:val="00666D29"/>
    <w:rsid w:val="00666E5C"/>
    <w:rsid w:val="00667240"/>
    <w:rsid w:val="00667B6A"/>
    <w:rsid w:val="00667D54"/>
    <w:rsid w:val="0067009A"/>
    <w:rsid w:val="006704D1"/>
    <w:rsid w:val="00670C8F"/>
    <w:rsid w:val="00671264"/>
    <w:rsid w:val="00671513"/>
    <w:rsid w:val="00671595"/>
    <w:rsid w:val="006716B0"/>
    <w:rsid w:val="006717A8"/>
    <w:rsid w:val="00671CF7"/>
    <w:rsid w:val="00671D25"/>
    <w:rsid w:val="00671D62"/>
    <w:rsid w:val="00671DDD"/>
    <w:rsid w:val="00672266"/>
    <w:rsid w:val="0067246F"/>
    <w:rsid w:val="0067279F"/>
    <w:rsid w:val="00672F59"/>
    <w:rsid w:val="0067369D"/>
    <w:rsid w:val="00673C30"/>
    <w:rsid w:val="00673CD2"/>
    <w:rsid w:val="00674458"/>
    <w:rsid w:val="00674C41"/>
    <w:rsid w:val="00674E13"/>
    <w:rsid w:val="00674EAD"/>
    <w:rsid w:val="00675148"/>
    <w:rsid w:val="006759BA"/>
    <w:rsid w:val="00675D40"/>
    <w:rsid w:val="00676231"/>
    <w:rsid w:val="006765C0"/>
    <w:rsid w:val="0067663D"/>
    <w:rsid w:val="00676760"/>
    <w:rsid w:val="00677A20"/>
    <w:rsid w:val="0068003B"/>
    <w:rsid w:val="0068070C"/>
    <w:rsid w:val="00680F6C"/>
    <w:rsid w:val="00681241"/>
    <w:rsid w:val="006815B8"/>
    <w:rsid w:val="0068179D"/>
    <w:rsid w:val="0068187E"/>
    <w:rsid w:val="00681E9E"/>
    <w:rsid w:val="00682A2E"/>
    <w:rsid w:val="00682F8D"/>
    <w:rsid w:val="006831D2"/>
    <w:rsid w:val="006839EB"/>
    <w:rsid w:val="00683D6C"/>
    <w:rsid w:val="00684312"/>
    <w:rsid w:val="00684BB8"/>
    <w:rsid w:val="0068540F"/>
    <w:rsid w:val="006856E6"/>
    <w:rsid w:val="00685719"/>
    <w:rsid w:val="00685D3B"/>
    <w:rsid w:val="006862B8"/>
    <w:rsid w:val="006877CE"/>
    <w:rsid w:val="00687FAC"/>
    <w:rsid w:val="00690675"/>
    <w:rsid w:val="00690B24"/>
    <w:rsid w:val="00690B5C"/>
    <w:rsid w:val="00690D41"/>
    <w:rsid w:val="006910B0"/>
    <w:rsid w:val="006913F8"/>
    <w:rsid w:val="00691731"/>
    <w:rsid w:val="00691C47"/>
    <w:rsid w:val="00691C9A"/>
    <w:rsid w:val="006924B4"/>
    <w:rsid w:val="006925F0"/>
    <w:rsid w:val="00692732"/>
    <w:rsid w:val="00692949"/>
    <w:rsid w:val="00692D45"/>
    <w:rsid w:val="006930F2"/>
    <w:rsid w:val="006931AB"/>
    <w:rsid w:val="006936B8"/>
    <w:rsid w:val="006936EE"/>
    <w:rsid w:val="006937A4"/>
    <w:rsid w:val="00694765"/>
    <w:rsid w:val="00694855"/>
    <w:rsid w:val="00694D54"/>
    <w:rsid w:val="006950E4"/>
    <w:rsid w:val="0069512E"/>
    <w:rsid w:val="0069560C"/>
    <w:rsid w:val="00695C19"/>
    <w:rsid w:val="00696180"/>
    <w:rsid w:val="0069619B"/>
    <w:rsid w:val="00696286"/>
    <w:rsid w:val="006968B2"/>
    <w:rsid w:val="006969A6"/>
    <w:rsid w:val="006969CE"/>
    <w:rsid w:val="00696FFA"/>
    <w:rsid w:val="0069734E"/>
    <w:rsid w:val="006973CA"/>
    <w:rsid w:val="0069743D"/>
    <w:rsid w:val="00697627"/>
    <w:rsid w:val="00697DEE"/>
    <w:rsid w:val="006A0030"/>
    <w:rsid w:val="006A0110"/>
    <w:rsid w:val="006A01BA"/>
    <w:rsid w:val="006A07CE"/>
    <w:rsid w:val="006A07FC"/>
    <w:rsid w:val="006A09C7"/>
    <w:rsid w:val="006A09F8"/>
    <w:rsid w:val="006A0F2F"/>
    <w:rsid w:val="006A1324"/>
    <w:rsid w:val="006A1561"/>
    <w:rsid w:val="006A1745"/>
    <w:rsid w:val="006A2D0D"/>
    <w:rsid w:val="006A2F50"/>
    <w:rsid w:val="006A3160"/>
    <w:rsid w:val="006A34DF"/>
    <w:rsid w:val="006A3583"/>
    <w:rsid w:val="006A3B55"/>
    <w:rsid w:val="006A510D"/>
    <w:rsid w:val="006A525A"/>
    <w:rsid w:val="006A5A11"/>
    <w:rsid w:val="006A699F"/>
    <w:rsid w:val="006A6E93"/>
    <w:rsid w:val="006A711B"/>
    <w:rsid w:val="006A7554"/>
    <w:rsid w:val="006A7B60"/>
    <w:rsid w:val="006A7DA1"/>
    <w:rsid w:val="006B04D7"/>
    <w:rsid w:val="006B06BB"/>
    <w:rsid w:val="006B0B35"/>
    <w:rsid w:val="006B0E00"/>
    <w:rsid w:val="006B1583"/>
    <w:rsid w:val="006B199B"/>
    <w:rsid w:val="006B1B23"/>
    <w:rsid w:val="006B1CF2"/>
    <w:rsid w:val="006B23D6"/>
    <w:rsid w:val="006B26B6"/>
    <w:rsid w:val="006B2703"/>
    <w:rsid w:val="006B2794"/>
    <w:rsid w:val="006B2F17"/>
    <w:rsid w:val="006B34B2"/>
    <w:rsid w:val="006B39DD"/>
    <w:rsid w:val="006B3F62"/>
    <w:rsid w:val="006B4468"/>
    <w:rsid w:val="006B4624"/>
    <w:rsid w:val="006B4EBA"/>
    <w:rsid w:val="006B50A0"/>
    <w:rsid w:val="006B5112"/>
    <w:rsid w:val="006B56F3"/>
    <w:rsid w:val="006B5813"/>
    <w:rsid w:val="006B5C14"/>
    <w:rsid w:val="006B6463"/>
    <w:rsid w:val="006B658D"/>
    <w:rsid w:val="006B6DAF"/>
    <w:rsid w:val="006B70BB"/>
    <w:rsid w:val="006B71F5"/>
    <w:rsid w:val="006B7800"/>
    <w:rsid w:val="006B7A98"/>
    <w:rsid w:val="006B7D14"/>
    <w:rsid w:val="006C035D"/>
    <w:rsid w:val="006C0685"/>
    <w:rsid w:val="006C0AA6"/>
    <w:rsid w:val="006C16DF"/>
    <w:rsid w:val="006C181F"/>
    <w:rsid w:val="006C1BD0"/>
    <w:rsid w:val="006C2246"/>
    <w:rsid w:val="006C2DBE"/>
    <w:rsid w:val="006C2F41"/>
    <w:rsid w:val="006C30CE"/>
    <w:rsid w:val="006C3427"/>
    <w:rsid w:val="006C36F9"/>
    <w:rsid w:val="006C3D03"/>
    <w:rsid w:val="006C4959"/>
    <w:rsid w:val="006C564B"/>
    <w:rsid w:val="006C5C0B"/>
    <w:rsid w:val="006C5DF5"/>
    <w:rsid w:val="006C64D9"/>
    <w:rsid w:val="006C6BDD"/>
    <w:rsid w:val="006C6C14"/>
    <w:rsid w:val="006C6C45"/>
    <w:rsid w:val="006C6DFB"/>
    <w:rsid w:val="006C76F6"/>
    <w:rsid w:val="006D0154"/>
    <w:rsid w:val="006D0363"/>
    <w:rsid w:val="006D05BD"/>
    <w:rsid w:val="006D0886"/>
    <w:rsid w:val="006D0A54"/>
    <w:rsid w:val="006D0D1C"/>
    <w:rsid w:val="006D1482"/>
    <w:rsid w:val="006D1B66"/>
    <w:rsid w:val="006D1BF6"/>
    <w:rsid w:val="006D1D7B"/>
    <w:rsid w:val="006D2304"/>
    <w:rsid w:val="006D234C"/>
    <w:rsid w:val="006D294C"/>
    <w:rsid w:val="006D29BC"/>
    <w:rsid w:val="006D2B84"/>
    <w:rsid w:val="006D2E6B"/>
    <w:rsid w:val="006D397A"/>
    <w:rsid w:val="006D4027"/>
    <w:rsid w:val="006D43A3"/>
    <w:rsid w:val="006D5208"/>
    <w:rsid w:val="006D58EB"/>
    <w:rsid w:val="006D5D25"/>
    <w:rsid w:val="006D6253"/>
    <w:rsid w:val="006D63FB"/>
    <w:rsid w:val="006D6974"/>
    <w:rsid w:val="006D7384"/>
    <w:rsid w:val="006D7B71"/>
    <w:rsid w:val="006E08CC"/>
    <w:rsid w:val="006E0D3E"/>
    <w:rsid w:val="006E0E52"/>
    <w:rsid w:val="006E152E"/>
    <w:rsid w:val="006E176D"/>
    <w:rsid w:val="006E289E"/>
    <w:rsid w:val="006E34F7"/>
    <w:rsid w:val="006E43E1"/>
    <w:rsid w:val="006E454F"/>
    <w:rsid w:val="006E4DE8"/>
    <w:rsid w:val="006E4DFE"/>
    <w:rsid w:val="006E4E12"/>
    <w:rsid w:val="006E556B"/>
    <w:rsid w:val="006E5B7B"/>
    <w:rsid w:val="006E66D0"/>
    <w:rsid w:val="006E6AEE"/>
    <w:rsid w:val="006E70AC"/>
    <w:rsid w:val="006E714B"/>
    <w:rsid w:val="006E778D"/>
    <w:rsid w:val="006E7972"/>
    <w:rsid w:val="006E7AAB"/>
    <w:rsid w:val="006F0157"/>
    <w:rsid w:val="006F0BE0"/>
    <w:rsid w:val="006F0C6F"/>
    <w:rsid w:val="006F10E0"/>
    <w:rsid w:val="006F1515"/>
    <w:rsid w:val="006F19E8"/>
    <w:rsid w:val="006F1AFB"/>
    <w:rsid w:val="006F1B1E"/>
    <w:rsid w:val="006F29DE"/>
    <w:rsid w:val="006F2BCD"/>
    <w:rsid w:val="006F2DB4"/>
    <w:rsid w:val="006F3338"/>
    <w:rsid w:val="006F3522"/>
    <w:rsid w:val="006F3C15"/>
    <w:rsid w:val="006F3C7F"/>
    <w:rsid w:val="006F3DEB"/>
    <w:rsid w:val="006F47AC"/>
    <w:rsid w:val="006F51BF"/>
    <w:rsid w:val="006F5868"/>
    <w:rsid w:val="006F5C94"/>
    <w:rsid w:val="006F6027"/>
    <w:rsid w:val="006F6055"/>
    <w:rsid w:val="006F60A6"/>
    <w:rsid w:val="006F6164"/>
    <w:rsid w:val="006F620C"/>
    <w:rsid w:val="006F6344"/>
    <w:rsid w:val="006F73B6"/>
    <w:rsid w:val="006F78A8"/>
    <w:rsid w:val="006F79CF"/>
    <w:rsid w:val="006F7B33"/>
    <w:rsid w:val="006F7BAA"/>
    <w:rsid w:val="006F7F91"/>
    <w:rsid w:val="0070004E"/>
    <w:rsid w:val="00700289"/>
    <w:rsid w:val="007015ED"/>
    <w:rsid w:val="00701BC2"/>
    <w:rsid w:val="00701D4D"/>
    <w:rsid w:val="00701D53"/>
    <w:rsid w:val="00701E0C"/>
    <w:rsid w:val="00702078"/>
    <w:rsid w:val="00702735"/>
    <w:rsid w:val="00702BDD"/>
    <w:rsid w:val="00702FC0"/>
    <w:rsid w:val="00703029"/>
    <w:rsid w:val="007033DA"/>
    <w:rsid w:val="007037FA"/>
    <w:rsid w:val="00703DB9"/>
    <w:rsid w:val="007040C3"/>
    <w:rsid w:val="00704264"/>
    <w:rsid w:val="00704415"/>
    <w:rsid w:val="00704557"/>
    <w:rsid w:val="007048B4"/>
    <w:rsid w:val="007048E7"/>
    <w:rsid w:val="00704A8E"/>
    <w:rsid w:val="00704AB4"/>
    <w:rsid w:val="00704DD4"/>
    <w:rsid w:val="00705535"/>
    <w:rsid w:val="0070564B"/>
    <w:rsid w:val="00705D75"/>
    <w:rsid w:val="00705DD5"/>
    <w:rsid w:val="0070601B"/>
    <w:rsid w:val="007071A7"/>
    <w:rsid w:val="0070747E"/>
    <w:rsid w:val="0070753C"/>
    <w:rsid w:val="0070777E"/>
    <w:rsid w:val="007077FB"/>
    <w:rsid w:val="007079FB"/>
    <w:rsid w:val="00710078"/>
    <w:rsid w:val="0071022B"/>
    <w:rsid w:val="0071053E"/>
    <w:rsid w:val="00710591"/>
    <w:rsid w:val="0071123A"/>
    <w:rsid w:val="0071195E"/>
    <w:rsid w:val="0071251A"/>
    <w:rsid w:val="00712B4C"/>
    <w:rsid w:val="00712BD7"/>
    <w:rsid w:val="00712F4D"/>
    <w:rsid w:val="00713028"/>
    <w:rsid w:val="00713711"/>
    <w:rsid w:val="00713980"/>
    <w:rsid w:val="00713CD8"/>
    <w:rsid w:val="00713E31"/>
    <w:rsid w:val="007142A3"/>
    <w:rsid w:val="00714437"/>
    <w:rsid w:val="007153DA"/>
    <w:rsid w:val="00715C5A"/>
    <w:rsid w:val="00715E1F"/>
    <w:rsid w:val="00716D96"/>
    <w:rsid w:val="007177EB"/>
    <w:rsid w:val="007178E6"/>
    <w:rsid w:val="00717DCB"/>
    <w:rsid w:val="00720454"/>
    <w:rsid w:val="0072046D"/>
    <w:rsid w:val="00720577"/>
    <w:rsid w:val="007206C7"/>
    <w:rsid w:val="0072075B"/>
    <w:rsid w:val="00720B06"/>
    <w:rsid w:val="00720EB0"/>
    <w:rsid w:val="0072123E"/>
    <w:rsid w:val="00721ADE"/>
    <w:rsid w:val="00722477"/>
    <w:rsid w:val="00722541"/>
    <w:rsid w:val="007229E3"/>
    <w:rsid w:val="00722DA3"/>
    <w:rsid w:val="00722EA1"/>
    <w:rsid w:val="007231D0"/>
    <w:rsid w:val="007233D0"/>
    <w:rsid w:val="00723CF1"/>
    <w:rsid w:val="00723D0E"/>
    <w:rsid w:val="00723F74"/>
    <w:rsid w:val="00726981"/>
    <w:rsid w:val="00727793"/>
    <w:rsid w:val="007306F6"/>
    <w:rsid w:val="00730A9F"/>
    <w:rsid w:val="00730C25"/>
    <w:rsid w:val="00731262"/>
    <w:rsid w:val="0073135D"/>
    <w:rsid w:val="0073144D"/>
    <w:rsid w:val="00731DC1"/>
    <w:rsid w:val="0073277C"/>
    <w:rsid w:val="007328C0"/>
    <w:rsid w:val="00732C0D"/>
    <w:rsid w:val="00732DF7"/>
    <w:rsid w:val="00732F6B"/>
    <w:rsid w:val="00733002"/>
    <w:rsid w:val="00733388"/>
    <w:rsid w:val="00733CA8"/>
    <w:rsid w:val="007341F4"/>
    <w:rsid w:val="0073490A"/>
    <w:rsid w:val="00735119"/>
    <w:rsid w:val="007352AE"/>
    <w:rsid w:val="00735A6F"/>
    <w:rsid w:val="007360F5"/>
    <w:rsid w:val="00736429"/>
    <w:rsid w:val="007365BF"/>
    <w:rsid w:val="00736841"/>
    <w:rsid w:val="0073699D"/>
    <w:rsid w:val="00736CA7"/>
    <w:rsid w:val="00737753"/>
    <w:rsid w:val="00737DC4"/>
    <w:rsid w:val="0074033C"/>
    <w:rsid w:val="00740590"/>
    <w:rsid w:val="00740773"/>
    <w:rsid w:val="00740E46"/>
    <w:rsid w:val="0074199F"/>
    <w:rsid w:val="00741A11"/>
    <w:rsid w:val="00741AEE"/>
    <w:rsid w:val="00741ED5"/>
    <w:rsid w:val="00742438"/>
    <w:rsid w:val="007427DF"/>
    <w:rsid w:val="007427E1"/>
    <w:rsid w:val="00742D5B"/>
    <w:rsid w:val="00743397"/>
    <w:rsid w:val="007434F1"/>
    <w:rsid w:val="00743B3C"/>
    <w:rsid w:val="007440CD"/>
    <w:rsid w:val="00744317"/>
    <w:rsid w:val="007443E3"/>
    <w:rsid w:val="00744515"/>
    <w:rsid w:val="00744DB5"/>
    <w:rsid w:val="007452CA"/>
    <w:rsid w:val="0074545A"/>
    <w:rsid w:val="00745D8C"/>
    <w:rsid w:val="00745FF3"/>
    <w:rsid w:val="00746381"/>
    <w:rsid w:val="00746562"/>
    <w:rsid w:val="007466C6"/>
    <w:rsid w:val="00746A9B"/>
    <w:rsid w:val="00746E0C"/>
    <w:rsid w:val="0074740D"/>
    <w:rsid w:val="007479FA"/>
    <w:rsid w:val="00747ADD"/>
    <w:rsid w:val="00747FD6"/>
    <w:rsid w:val="00750181"/>
    <w:rsid w:val="0075048A"/>
    <w:rsid w:val="00750588"/>
    <w:rsid w:val="00752372"/>
    <w:rsid w:val="00752A1F"/>
    <w:rsid w:val="00752F39"/>
    <w:rsid w:val="00753FAA"/>
    <w:rsid w:val="0075429E"/>
    <w:rsid w:val="00754367"/>
    <w:rsid w:val="007545BA"/>
    <w:rsid w:val="007547C3"/>
    <w:rsid w:val="00754847"/>
    <w:rsid w:val="007548D5"/>
    <w:rsid w:val="00754B2D"/>
    <w:rsid w:val="00754FB5"/>
    <w:rsid w:val="0075563A"/>
    <w:rsid w:val="007558FD"/>
    <w:rsid w:val="007559C4"/>
    <w:rsid w:val="00755B7A"/>
    <w:rsid w:val="00755E38"/>
    <w:rsid w:val="007560E6"/>
    <w:rsid w:val="0075653C"/>
    <w:rsid w:val="00756F2A"/>
    <w:rsid w:val="007571D9"/>
    <w:rsid w:val="007572A6"/>
    <w:rsid w:val="007572E2"/>
    <w:rsid w:val="007573EA"/>
    <w:rsid w:val="0075742E"/>
    <w:rsid w:val="007579F0"/>
    <w:rsid w:val="00757C2D"/>
    <w:rsid w:val="0076018C"/>
    <w:rsid w:val="0076067D"/>
    <w:rsid w:val="00760913"/>
    <w:rsid w:val="00760BA4"/>
    <w:rsid w:val="00761357"/>
    <w:rsid w:val="00761636"/>
    <w:rsid w:val="00761991"/>
    <w:rsid w:val="00761CC6"/>
    <w:rsid w:val="00762190"/>
    <w:rsid w:val="007622AB"/>
    <w:rsid w:val="00762B11"/>
    <w:rsid w:val="007630D6"/>
    <w:rsid w:val="00763793"/>
    <w:rsid w:val="00763A5D"/>
    <w:rsid w:val="0076433C"/>
    <w:rsid w:val="00764772"/>
    <w:rsid w:val="00765F15"/>
    <w:rsid w:val="00765FAC"/>
    <w:rsid w:val="007664BC"/>
    <w:rsid w:val="0076651C"/>
    <w:rsid w:val="00767291"/>
    <w:rsid w:val="007673E0"/>
    <w:rsid w:val="0076750E"/>
    <w:rsid w:val="007676C9"/>
    <w:rsid w:val="00767810"/>
    <w:rsid w:val="0076784A"/>
    <w:rsid w:val="007700B4"/>
    <w:rsid w:val="007706B1"/>
    <w:rsid w:val="00770CAA"/>
    <w:rsid w:val="007713CE"/>
    <w:rsid w:val="007714FF"/>
    <w:rsid w:val="00771B39"/>
    <w:rsid w:val="00771F64"/>
    <w:rsid w:val="007721AD"/>
    <w:rsid w:val="0077231D"/>
    <w:rsid w:val="00772BED"/>
    <w:rsid w:val="00773072"/>
    <w:rsid w:val="007732F6"/>
    <w:rsid w:val="0077358D"/>
    <w:rsid w:val="00774F9B"/>
    <w:rsid w:val="00775031"/>
    <w:rsid w:val="0077563C"/>
    <w:rsid w:val="0077567D"/>
    <w:rsid w:val="007759C7"/>
    <w:rsid w:val="00775D52"/>
    <w:rsid w:val="007765A8"/>
    <w:rsid w:val="007767E0"/>
    <w:rsid w:val="007768DB"/>
    <w:rsid w:val="00776B8E"/>
    <w:rsid w:val="00776E41"/>
    <w:rsid w:val="00777696"/>
    <w:rsid w:val="0077788A"/>
    <w:rsid w:val="007806F5"/>
    <w:rsid w:val="00780977"/>
    <w:rsid w:val="00780B08"/>
    <w:rsid w:val="00780FDB"/>
    <w:rsid w:val="0078141A"/>
    <w:rsid w:val="00781810"/>
    <w:rsid w:val="00781D75"/>
    <w:rsid w:val="00781E65"/>
    <w:rsid w:val="007821AF"/>
    <w:rsid w:val="00782CEE"/>
    <w:rsid w:val="0078346A"/>
    <w:rsid w:val="00783CDF"/>
    <w:rsid w:val="00783F5F"/>
    <w:rsid w:val="00783F9E"/>
    <w:rsid w:val="00784350"/>
    <w:rsid w:val="0078470C"/>
    <w:rsid w:val="0078593E"/>
    <w:rsid w:val="0078603B"/>
    <w:rsid w:val="007862A4"/>
    <w:rsid w:val="00786A15"/>
    <w:rsid w:val="0078721D"/>
    <w:rsid w:val="00787673"/>
    <w:rsid w:val="00787893"/>
    <w:rsid w:val="007878CA"/>
    <w:rsid w:val="00787A74"/>
    <w:rsid w:val="00787B67"/>
    <w:rsid w:val="00787BD8"/>
    <w:rsid w:val="00787D3A"/>
    <w:rsid w:val="00790869"/>
    <w:rsid w:val="00790B06"/>
    <w:rsid w:val="00791902"/>
    <w:rsid w:val="00791E18"/>
    <w:rsid w:val="00791E6A"/>
    <w:rsid w:val="007922E7"/>
    <w:rsid w:val="007929EC"/>
    <w:rsid w:val="00792A9D"/>
    <w:rsid w:val="00792BDF"/>
    <w:rsid w:val="00793374"/>
    <w:rsid w:val="007934D8"/>
    <w:rsid w:val="00793867"/>
    <w:rsid w:val="00793C30"/>
    <w:rsid w:val="00793E64"/>
    <w:rsid w:val="007946BC"/>
    <w:rsid w:val="007949D1"/>
    <w:rsid w:val="00794D5B"/>
    <w:rsid w:val="0079516E"/>
    <w:rsid w:val="007952F5"/>
    <w:rsid w:val="00796143"/>
    <w:rsid w:val="00796794"/>
    <w:rsid w:val="00797144"/>
    <w:rsid w:val="00797D4A"/>
    <w:rsid w:val="007A0080"/>
    <w:rsid w:val="007A0757"/>
    <w:rsid w:val="007A0DA9"/>
    <w:rsid w:val="007A1060"/>
    <w:rsid w:val="007A1785"/>
    <w:rsid w:val="007A1A75"/>
    <w:rsid w:val="007A1E18"/>
    <w:rsid w:val="007A2071"/>
    <w:rsid w:val="007A22E2"/>
    <w:rsid w:val="007A2985"/>
    <w:rsid w:val="007A2B20"/>
    <w:rsid w:val="007A2CC5"/>
    <w:rsid w:val="007A3074"/>
    <w:rsid w:val="007A336C"/>
    <w:rsid w:val="007A3456"/>
    <w:rsid w:val="007A374D"/>
    <w:rsid w:val="007A3ABA"/>
    <w:rsid w:val="007A42B0"/>
    <w:rsid w:val="007A42EE"/>
    <w:rsid w:val="007A46FB"/>
    <w:rsid w:val="007A52AB"/>
    <w:rsid w:val="007A5933"/>
    <w:rsid w:val="007A628B"/>
    <w:rsid w:val="007A64D9"/>
    <w:rsid w:val="007A69EF"/>
    <w:rsid w:val="007A71D0"/>
    <w:rsid w:val="007A7C5D"/>
    <w:rsid w:val="007A7C65"/>
    <w:rsid w:val="007A7D45"/>
    <w:rsid w:val="007A7DB8"/>
    <w:rsid w:val="007A7F24"/>
    <w:rsid w:val="007B00EA"/>
    <w:rsid w:val="007B01E2"/>
    <w:rsid w:val="007B0250"/>
    <w:rsid w:val="007B02A8"/>
    <w:rsid w:val="007B0423"/>
    <w:rsid w:val="007B08B4"/>
    <w:rsid w:val="007B1187"/>
    <w:rsid w:val="007B11EE"/>
    <w:rsid w:val="007B1489"/>
    <w:rsid w:val="007B193D"/>
    <w:rsid w:val="007B2579"/>
    <w:rsid w:val="007B25BD"/>
    <w:rsid w:val="007B2914"/>
    <w:rsid w:val="007B2C36"/>
    <w:rsid w:val="007B2FEC"/>
    <w:rsid w:val="007B3BFC"/>
    <w:rsid w:val="007B3F83"/>
    <w:rsid w:val="007B4235"/>
    <w:rsid w:val="007B440A"/>
    <w:rsid w:val="007B453D"/>
    <w:rsid w:val="007B4B52"/>
    <w:rsid w:val="007B4CAA"/>
    <w:rsid w:val="007B5170"/>
    <w:rsid w:val="007B52F4"/>
    <w:rsid w:val="007B536B"/>
    <w:rsid w:val="007B539C"/>
    <w:rsid w:val="007B53E6"/>
    <w:rsid w:val="007B5978"/>
    <w:rsid w:val="007B5A00"/>
    <w:rsid w:val="007B6243"/>
    <w:rsid w:val="007B63F6"/>
    <w:rsid w:val="007B65E6"/>
    <w:rsid w:val="007B68C6"/>
    <w:rsid w:val="007B68F5"/>
    <w:rsid w:val="007B7466"/>
    <w:rsid w:val="007C0116"/>
    <w:rsid w:val="007C035A"/>
    <w:rsid w:val="007C04ED"/>
    <w:rsid w:val="007C076A"/>
    <w:rsid w:val="007C0809"/>
    <w:rsid w:val="007C0D57"/>
    <w:rsid w:val="007C0E87"/>
    <w:rsid w:val="007C0F3B"/>
    <w:rsid w:val="007C1687"/>
    <w:rsid w:val="007C1D11"/>
    <w:rsid w:val="007C1DE8"/>
    <w:rsid w:val="007C20FC"/>
    <w:rsid w:val="007C2AAF"/>
    <w:rsid w:val="007C35AD"/>
    <w:rsid w:val="007C3AE5"/>
    <w:rsid w:val="007C4029"/>
    <w:rsid w:val="007C416E"/>
    <w:rsid w:val="007C4781"/>
    <w:rsid w:val="007C489D"/>
    <w:rsid w:val="007C49F1"/>
    <w:rsid w:val="007C4FBC"/>
    <w:rsid w:val="007C4FE4"/>
    <w:rsid w:val="007C5074"/>
    <w:rsid w:val="007C51A7"/>
    <w:rsid w:val="007C5873"/>
    <w:rsid w:val="007C6084"/>
    <w:rsid w:val="007C6224"/>
    <w:rsid w:val="007C65EB"/>
    <w:rsid w:val="007C6AAF"/>
    <w:rsid w:val="007C6B01"/>
    <w:rsid w:val="007C6CA5"/>
    <w:rsid w:val="007C6D37"/>
    <w:rsid w:val="007C6EF8"/>
    <w:rsid w:val="007C6FD0"/>
    <w:rsid w:val="007C751B"/>
    <w:rsid w:val="007C7A41"/>
    <w:rsid w:val="007C7EAC"/>
    <w:rsid w:val="007D04CD"/>
    <w:rsid w:val="007D04EA"/>
    <w:rsid w:val="007D050B"/>
    <w:rsid w:val="007D06B5"/>
    <w:rsid w:val="007D1180"/>
    <w:rsid w:val="007D15D0"/>
    <w:rsid w:val="007D1CC3"/>
    <w:rsid w:val="007D1DAA"/>
    <w:rsid w:val="007D3363"/>
    <w:rsid w:val="007D37B6"/>
    <w:rsid w:val="007D3B7F"/>
    <w:rsid w:val="007D4466"/>
    <w:rsid w:val="007D46E9"/>
    <w:rsid w:val="007D4714"/>
    <w:rsid w:val="007D4D9A"/>
    <w:rsid w:val="007D4DEC"/>
    <w:rsid w:val="007D5034"/>
    <w:rsid w:val="007D5174"/>
    <w:rsid w:val="007D52B5"/>
    <w:rsid w:val="007D55F0"/>
    <w:rsid w:val="007D56DA"/>
    <w:rsid w:val="007D59FF"/>
    <w:rsid w:val="007D5C5C"/>
    <w:rsid w:val="007D65F6"/>
    <w:rsid w:val="007D68EB"/>
    <w:rsid w:val="007D724D"/>
    <w:rsid w:val="007D757B"/>
    <w:rsid w:val="007D7FF5"/>
    <w:rsid w:val="007E002A"/>
    <w:rsid w:val="007E048B"/>
    <w:rsid w:val="007E084E"/>
    <w:rsid w:val="007E0FF6"/>
    <w:rsid w:val="007E1A6D"/>
    <w:rsid w:val="007E1CB3"/>
    <w:rsid w:val="007E2076"/>
    <w:rsid w:val="007E2A73"/>
    <w:rsid w:val="007E2AC0"/>
    <w:rsid w:val="007E2B6F"/>
    <w:rsid w:val="007E2CB0"/>
    <w:rsid w:val="007E3039"/>
    <w:rsid w:val="007E34A9"/>
    <w:rsid w:val="007E38AB"/>
    <w:rsid w:val="007E3A74"/>
    <w:rsid w:val="007E4154"/>
    <w:rsid w:val="007E45AD"/>
    <w:rsid w:val="007E4AEB"/>
    <w:rsid w:val="007E4C8A"/>
    <w:rsid w:val="007E4F67"/>
    <w:rsid w:val="007E5596"/>
    <w:rsid w:val="007E621C"/>
    <w:rsid w:val="007E6940"/>
    <w:rsid w:val="007E6CCF"/>
    <w:rsid w:val="007E78F1"/>
    <w:rsid w:val="007E7D61"/>
    <w:rsid w:val="007F0927"/>
    <w:rsid w:val="007F0982"/>
    <w:rsid w:val="007F09E5"/>
    <w:rsid w:val="007F1656"/>
    <w:rsid w:val="007F1D58"/>
    <w:rsid w:val="007F2445"/>
    <w:rsid w:val="007F260E"/>
    <w:rsid w:val="007F26A0"/>
    <w:rsid w:val="007F2D1A"/>
    <w:rsid w:val="007F2F82"/>
    <w:rsid w:val="007F31C8"/>
    <w:rsid w:val="007F35D6"/>
    <w:rsid w:val="007F3AE8"/>
    <w:rsid w:val="007F3D39"/>
    <w:rsid w:val="007F4030"/>
    <w:rsid w:val="007F408D"/>
    <w:rsid w:val="007F4456"/>
    <w:rsid w:val="007F4809"/>
    <w:rsid w:val="007F51A1"/>
    <w:rsid w:val="007F51A4"/>
    <w:rsid w:val="007F5420"/>
    <w:rsid w:val="007F56EC"/>
    <w:rsid w:val="007F5CE3"/>
    <w:rsid w:val="007F5E7E"/>
    <w:rsid w:val="007F5F69"/>
    <w:rsid w:val="007F60E8"/>
    <w:rsid w:val="007F675A"/>
    <w:rsid w:val="007F6839"/>
    <w:rsid w:val="007F697C"/>
    <w:rsid w:val="007F775D"/>
    <w:rsid w:val="0080077A"/>
    <w:rsid w:val="008007E0"/>
    <w:rsid w:val="0080143A"/>
    <w:rsid w:val="0080154B"/>
    <w:rsid w:val="00801DB6"/>
    <w:rsid w:val="0080224A"/>
    <w:rsid w:val="0080237D"/>
    <w:rsid w:val="00802839"/>
    <w:rsid w:val="008028F3"/>
    <w:rsid w:val="00802A72"/>
    <w:rsid w:val="0080407D"/>
    <w:rsid w:val="008040F3"/>
    <w:rsid w:val="008043FA"/>
    <w:rsid w:val="008046A5"/>
    <w:rsid w:val="00804988"/>
    <w:rsid w:val="00804CDF"/>
    <w:rsid w:val="00804D0F"/>
    <w:rsid w:val="00804EE9"/>
    <w:rsid w:val="008052DB"/>
    <w:rsid w:val="00806682"/>
    <w:rsid w:val="0080674B"/>
    <w:rsid w:val="00807523"/>
    <w:rsid w:val="008076ED"/>
    <w:rsid w:val="00807F6D"/>
    <w:rsid w:val="00810F6E"/>
    <w:rsid w:val="00810FB3"/>
    <w:rsid w:val="00812057"/>
    <w:rsid w:val="008121C6"/>
    <w:rsid w:val="0081277F"/>
    <w:rsid w:val="00813092"/>
    <w:rsid w:val="00813679"/>
    <w:rsid w:val="00813BC0"/>
    <w:rsid w:val="00813BE0"/>
    <w:rsid w:val="00814668"/>
    <w:rsid w:val="00814AC5"/>
    <w:rsid w:val="00814B6B"/>
    <w:rsid w:val="00814FE8"/>
    <w:rsid w:val="00815602"/>
    <w:rsid w:val="008156A3"/>
    <w:rsid w:val="008157F7"/>
    <w:rsid w:val="00815BA8"/>
    <w:rsid w:val="00815D3A"/>
    <w:rsid w:val="00815F6A"/>
    <w:rsid w:val="008162CD"/>
    <w:rsid w:val="0081632B"/>
    <w:rsid w:val="00816A82"/>
    <w:rsid w:val="00817200"/>
    <w:rsid w:val="00820619"/>
    <w:rsid w:val="00820BBE"/>
    <w:rsid w:val="00820E14"/>
    <w:rsid w:val="008211BF"/>
    <w:rsid w:val="00821268"/>
    <w:rsid w:val="0082182A"/>
    <w:rsid w:val="00821CEE"/>
    <w:rsid w:val="00822220"/>
    <w:rsid w:val="0082266C"/>
    <w:rsid w:val="00822AE5"/>
    <w:rsid w:val="00822B63"/>
    <w:rsid w:val="00822D4B"/>
    <w:rsid w:val="00823325"/>
    <w:rsid w:val="00823580"/>
    <w:rsid w:val="00823D02"/>
    <w:rsid w:val="00823D9F"/>
    <w:rsid w:val="0082454B"/>
    <w:rsid w:val="00825291"/>
    <w:rsid w:val="008252A1"/>
    <w:rsid w:val="00825357"/>
    <w:rsid w:val="0082573F"/>
    <w:rsid w:val="00825892"/>
    <w:rsid w:val="008258E4"/>
    <w:rsid w:val="008260C4"/>
    <w:rsid w:val="00826101"/>
    <w:rsid w:val="00827DDF"/>
    <w:rsid w:val="00827F4B"/>
    <w:rsid w:val="0083045D"/>
    <w:rsid w:val="00830DBC"/>
    <w:rsid w:val="008310B6"/>
    <w:rsid w:val="00831CDE"/>
    <w:rsid w:val="00831DA2"/>
    <w:rsid w:val="008322D6"/>
    <w:rsid w:val="00832AC1"/>
    <w:rsid w:val="00832B5E"/>
    <w:rsid w:val="00833972"/>
    <w:rsid w:val="00833D67"/>
    <w:rsid w:val="008340CE"/>
    <w:rsid w:val="008346B8"/>
    <w:rsid w:val="00834813"/>
    <w:rsid w:val="00835214"/>
    <w:rsid w:val="00835511"/>
    <w:rsid w:val="00835514"/>
    <w:rsid w:val="008356D5"/>
    <w:rsid w:val="00835A43"/>
    <w:rsid w:val="00835BF7"/>
    <w:rsid w:val="00836A21"/>
    <w:rsid w:val="00836ADE"/>
    <w:rsid w:val="00836EE8"/>
    <w:rsid w:val="008371B7"/>
    <w:rsid w:val="00837C5A"/>
    <w:rsid w:val="00837FB7"/>
    <w:rsid w:val="0084058B"/>
    <w:rsid w:val="00840C5A"/>
    <w:rsid w:val="00840E52"/>
    <w:rsid w:val="00840F28"/>
    <w:rsid w:val="008411D7"/>
    <w:rsid w:val="00841926"/>
    <w:rsid w:val="00842F90"/>
    <w:rsid w:val="00843154"/>
    <w:rsid w:val="00843301"/>
    <w:rsid w:val="008438A8"/>
    <w:rsid w:val="00844218"/>
    <w:rsid w:val="008446E7"/>
    <w:rsid w:val="008447EE"/>
    <w:rsid w:val="0084490F"/>
    <w:rsid w:val="0084493F"/>
    <w:rsid w:val="00844BDB"/>
    <w:rsid w:val="00844C9E"/>
    <w:rsid w:val="00845C37"/>
    <w:rsid w:val="008473E2"/>
    <w:rsid w:val="008474B4"/>
    <w:rsid w:val="00850678"/>
    <w:rsid w:val="0085079C"/>
    <w:rsid w:val="008508D1"/>
    <w:rsid w:val="00850B79"/>
    <w:rsid w:val="00850C12"/>
    <w:rsid w:val="00850CA3"/>
    <w:rsid w:val="0085149F"/>
    <w:rsid w:val="00851C4C"/>
    <w:rsid w:val="00851CA5"/>
    <w:rsid w:val="00851D4B"/>
    <w:rsid w:val="00852050"/>
    <w:rsid w:val="0085222D"/>
    <w:rsid w:val="00852512"/>
    <w:rsid w:val="008529A7"/>
    <w:rsid w:val="00852B5A"/>
    <w:rsid w:val="00852BDE"/>
    <w:rsid w:val="00852BF4"/>
    <w:rsid w:val="008531D7"/>
    <w:rsid w:val="00853689"/>
    <w:rsid w:val="00853902"/>
    <w:rsid w:val="00854928"/>
    <w:rsid w:val="00854A46"/>
    <w:rsid w:val="00855275"/>
    <w:rsid w:val="00857B7B"/>
    <w:rsid w:val="008604C9"/>
    <w:rsid w:val="00860908"/>
    <w:rsid w:val="0086182D"/>
    <w:rsid w:val="00861CAE"/>
    <w:rsid w:val="00861D05"/>
    <w:rsid w:val="0086224F"/>
    <w:rsid w:val="00862DC6"/>
    <w:rsid w:val="00862E84"/>
    <w:rsid w:val="008632C7"/>
    <w:rsid w:val="00863A02"/>
    <w:rsid w:val="008643F3"/>
    <w:rsid w:val="00864DB8"/>
    <w:rsid w:val="00865875"/>
    <w:rsid w:val="00865B48"/>
    <w:rsid w:val="0086694F"/>
    <w:rsid w:val="00866AD3"/>
    <w:rsid w:val="00866C1E"/>
    <w:rsid w:val="008675FC"/>
    <w:rsid w:val="00867927"/>
    <w:rsid w:val="00867E50"/>
    <w:rsid w:val="008708C8"/>
    <w:rsid w:val="00870DA0"/>
    <w:rsid w:val="00870E89"/>
    <w:rsid w:val="00871640"/>
    <w:rsid w:val="00871675"/>
    <w:rsid w:val="00871C03"/>
    <w:rsid w:val="00871DBD"/>
    <w:rsid w:val="00871F4A"/>
    <w:rsid w:val="00872E99"/>
    <w:rsid w:val="00872EA2"/>
    <w:rsid w:val="00873303"/>
    <w:rsid w:val="0087333C"/>
    <w:rsid w:val="00873843"/>
    <w:rsid w:val="00873928"/>
    <w:rsid w:val="00873A8F"/>
    <w:rsid w:val="00873AF8"/>
    <w:rsid w:val="00873B95"/>
    <w:rsid w:val="00873BEA"/>
    <w:rsid w:val="0087413E"/>
    <w:rsid w:val="00874941"/>
    <w:rsid w:val="008756E0"/>
    <w:rsid w:val="0087579E"/>
    <w:rsid w:val="00875841"/>
    <w:rsid w:val="008759E5"/>
    <w:rsid w:val="00875C52"/>
    <w:rsid w:val="00875DDE"/>
    <w:rsid w:val="00876303"/>
    <w:rsid w:val="008766D8"/>
    <w:rsid w:val="00876B58"/>
    <w:rsid w:val="00876CF2"/>
    <w:rsid w:val="0087706A"/>
    <w:rsid w:val="00877559"/>
    <w:rsid w:val="00877E74"/>
    <w:rsid w:val="0088046E"/>
    <w:rsid w:val="00880568"/>
    <w:rsid w:val="00880667"/>
    <w:rsid w:val="0088071C"/>
    <w:rsid w:val="008809EB"/>
    <w:rsid w:val="00880BC1"/>
    <w:rsid w:val="00881463"/>
    <w:rsid w:val="00881EE8"/>
    <w:rsid w:val="0088205A"/>
    <w:rsid w:val="008828BA"/>
    <w:rsid w:val="00882A56"/>
    <w:rsid w:val="008838F6"/>
    <w:rsid w:val="0088392C"/>
    <w:rsid w:val="00883A3E"/>
    <w:rsid w:val="00884E59"/>
    <w:rsid w:val="00885124"/>
    <w:rsid w:val="008858AA"/>
    <w:rsid w:val="00885DB0"/>
    <w:rsid w:val="00886245"/>
    <w:rsid w:val="008871E4"/>
    <w:rsid w:val="008877DC"/>
    <w:rsid w:val="008879A4"/>
    <w:rsid w:val="00887DDA"/>
    <w:rsid w:val="0089004B"/>
    <w:rsid w:val="00890407"/>
    <w:rsid w:val="0089077B"/>
    <w:rsid w:val="00890E0D"/>
    <w:rsid w:val="00890FFE"/>
    <w:rsid w:val="00891674"/>
    <w:rsid w:val="008917EC"/>
    <w:rsid w:val="00891B68"/>
    <w:rsid w:val="00891F01"/>
    <w:rsid w:val="00892914"/>
    <w:rsid w:val="008930F9"/>
    <w:rsid w:val="0089375B"/>
    <w:rsid w:val="00893B2E"/>
    <w:rsid w:val="00893E20"/>
    <w:rsid w:val="00893FA3"/>
    <w:rsid w:val="008940E5"/>
    <w:rsid w:val="00894396"/>
    <w:rsid w:val="00894564"/>
    <w:rsid w:val="00894940"/>
    <w:rsid w:val="00894E55"/>
    <w:rsid w:val="00894FFA"/>
    <w:rsid w:val="00894FFF"/>
    <w:rsid w:val="00895F0A"/>
    <w:rsid w:val="00895F72"/>
    <w:rsid w:val="00895F9F"/>
    <w:rsid w:val="008960BD"/>
    <w:rsid w:val="0089637A"/>
    <w:rsid w:val="008964D5"/>
    <w:rsid w:val="0089686D"/>
    <w:rsid w:val="00897372"/>
    <w:rsid w:val="008976CD"/>
    <w:rsid w:val="008979E0"/>
    <w:rsid w:val="00897BD6"/>
    <w:rsid w:val="00897CB2"/>
    <w:rsid w:val="00897EB6"/>
    <w:rsid w:val="008A069A"/>
    <w:rsid w:val="008A08ED"/>
    <w:rsid w:val="008A0CDE"/>
    <w:rsid w:val="008A0ED0"/>
    <w:rsid w:val="008A1329"/>
    <w:rsid w:val="008A16EA"/>
    <w:rsid w:val="008A1B07"/>
    <w:rsid w:val="008A229B"/>
    <w:rsid w:val="008A2506"/>
    <w:rsid w:val="008A2A92"/>
    <w:rsid w:val="008A2E84"/>
    <w:rsid w:val="008A2F40"/>
    <w:rsid w:val="008A37C5"/>
    <w:rsid w:val="008A4025"/>
    <w:rsid w:val="008A4059"/>
    <w:rsid w:val="008A42F9"/>
    <w:rsid w:val="008A46E8"/>
    <w:rsid w:val="008A4A0E"/>
    <w:rsid w:val="008A628C"/>
    <w:rsid w:val="008A668F"/>
    <w:rsid w:val="008B006E"/>
    <w:rsid w:val="008B03F5"/>
    <w:rsid w:val="008B0E41"/>
    <w:rsid w:val="008B0F85"/>
    <w:rsid w:val="008B0FB7"/>
    <w:rsid w:val="008B1361"/>
    <w:rsid w:val="008B15F6"/>
    <w:rsid w:val="008B17E2"/>
    <w:rsid w:val="008B2166"/>
    <w:rsid w:val="008B2591"/>
    <w:rsid w:val="008B2ACC"/>
    <w:rsid w:val="008B2CC9"/>
    <w:rsid w:val="008B2E3C"/>
    <w:rsid w:val="008B33BD"/>
    <w:rsid w:val="008B3870"/>
    <w:rsid w:val="008B39BE"/>
    <w:rsid w:val="008B3DBB"/>
    <w:rsid w:val="008B3F6E"/>
    <w:rsid w:val="008B4E03"/>
    <w:rsid w:val="008B5380"/>
    <w:rsid w:val="008B56F0"/>
    <w:rsid w:val="008B5727"/>
    <w:rsid w:val="008B5749"/>
    <w:rsid w:val="008B5B78"/>
    <w:rsid w:val="008B669D"/>
    <w:rsid w:val="008B67A3"/>
    <w:rsid w:val="008B7327"/>
    <w:rsid w:val="008B77C2"/>
    <w:rsid w:val="008B7BF7"/>
    <w:rsid w:val="008B7F17"/>
    <w:rsid w:val="008C0020"/>
    <w:rsid w:val="008C0306"/>
    <w:rsid w:val="008C0317"/>
    <w:rsid w:val="008C0359"/>
    <w:rsid w:val="008C03B1"/>
    <w:rsid w:val="008C0541"/>
    <w:rsid w:val="008C0B46"/>
    <w:rsid w:val="008C0F72"/>
    <w:rsid w:val="008C1880"/>
    <w:rsid w:val="008C1AAF"/>
    <w:rsid w:val="008C1D8B"/>
    <w:rsid w:val="008C20E3"/>
    <w:rsid w:val="008C277E"/>
    <w:rsid w:val="008C2C2D"/>
    <w:rsid w:val="008C3050"/>
    <w:rsid w:val="008C34B0"/>
    <w:rsid w:val="008C375E"/>
    <w:rsid w:val="008C394D"/>
    <w:rsid w:val="008C401D"/>
    <w:rsid w:val="008C447E"/>
    <w:rsid w:val="008C48A2"/>
    <w:rsid w:val="008C4C89"/>
    <w:rsid w:val="008C57DF"/>
    <w:rsid w:val="008C6352"/>
    <w:rsid w:val="008C6FA4"/>
    <w:rsid w:val="008C6FC7"/>
    <w:rsid w:val="008C72AD"/>
    <w:rsid w:val="008C77AD"/>
    <w:rsid w:val="008D070D"/>
    <w:rsid w:val="008D0C4B"/>
    <w:rsid w:val="008D1AA1"/>
    <w:rsid w:val="008D1DB1"/>
    <w:rsid w:val="008D2419"/>
    <w:rsid w:val="008D2AFB"/>
    <w:rsid w:val="008D2C05"/>
    <w:rsid w:val="008D3D80"/>
    <w:rsid w:val="008D3E15"/>
    <w:rsid w:val="008D41D3"/>
    <w:rsid w:val="008D4843"/>
    <w:rsid w:val="008D4B96"/>
    <w:rsid w:val="008D53FB"/>
    <w:rsid w:val="008D58D7"/>
    <w:rsid w:val="008D5ADC"/>
    <w:rsid w:val="008D5D4B"/>
    <w:rsid w:val="008D6794"/>
    <w:rsid w:val="008D731C"/>
    <w:rsid w:val="008D74D7"/>
    <w:rsid w:val="008D7BC7"/>
    <w:rsid w:val="008E07CD"/>
    <w:rsid w:val="008E12F9"/>
    <w:rsid w:val="008E1611"/>
    <w:rsid w:val="008E1EB2"/>
    <w:rsid w:val="008E2DF9"/>
    <w:rsid w:val="008E3438"/>
    <w:rsid w:val="008E37F2"/>
    <w:rsid w:val="008E44AE"/>
    <w:rsid w:val="008E4873"/>
    <w:rsid w:val="008E5902"/>
    <w:rsid w:val="008E5D23"/>
    <w:rsid w:val="008E5D8F"/>
    <w:rsid w:val="008E5F12"/>
    <w:rsid w:val="008E7138"/>
    <w:rsid w:val="008E7710"/>
    <w:rsid w:val="008E77AA"/>
    <w:rsid w:val="008F031D"/>
    <w:rsid w:val="008F1528"/>
    <w:rsid w:val="008F21B0"/>
    <w:rsid w:val="008F2267"/>
    <w:rsid w:val="008F243A"/>
    <w:rsid w:val="008F289E"/>
    <w:rsid w:val="008F2929"/>
    <w:rsid w:val="008F2A91"/>
    <w:rsid w:val="008F2CB6"/>
    <w:rsid w:val="008F2D83"/>
    <w:rsid w:val="008F2D9F"/>
    <w:rsid w:val="008F4B44"/>
    <w:rsid w:val="008F4BCC"/>
    <w:rsid w:val="008F5086"/>
    <w:rsid w:val="008F5128"/>
    <w:rsid w:val="008F5529"/>
    <w:rsid w:val="008F5825"/>
    <w:rsid w:val="008F6030"/>
    <w:rsid w:val="008F68A9"/>
    <w:rsid w:val="008F6C88"/>
    <w:rsid w:val="008F6C90"/>
    <w:rsid w:val="008F77D7"/>
    <w:rsid w:val="009006D5"/>
    <w:rsid w:val="009007E2"/>
    <w:rsid w:val="00900908"/>
    <w:rsid w:val="00900D19"/>
    <w:rsid w:val="00900DE8"/>
    <w:rsid w:val="009012A5"/>
    <w:rsid w:val="009022B9"/>
    <w:rsid w:val="00902B42"/>
    <w:rsid w:val="0090303D"/>
    <w:rsid w:val="00903819"/>
    <w:rsid w:val="00903990"/>
    <w:rsid w:val="00903F52"/>
    <w:rsid w:val="009047DC"/>
    <w:rsid w:val="009048B1"/>
    <w:rsid w:val="00904D12"/>
    <w:rsid w:val="009050D2"/>
    <w:rsid w:val="00905281"/>
    <w:rsid w:val="009056DD"/>
    <w:rsid w:val="00905731"/>
    <w:rsid w:val="009059D0"/>
    <w:rsid w:val="0090624C"/>
    <w:rsid w:val="009064C1"/>
    <w:rsid w:val="009068B0"/>
    <w:rsid w:val="009068FA"/>
    <w:rsid w:val="00906C0D"/>
    <w:rsid w:val="00906FF5"/>
    <w:rsid w:val="009072C1"/>
    <w:rsid w:val="00907688"/>
    <w:rsid w:val="009077C3"/>
    <w:rsid w:val="0090790E"/>
    <w:rsid w:val="0090794A"/>
    <w:rsid w:val="0090798E"/>
    <w:rsid w:val="00907BFE"/>
    <w:rsid w:val="00907E79"/>
    <w:rsid w:val="00910BDC"/>
    <w:rsid w:val="009112AA"/>
    <w:rsid w:val="0091177E"/>
    <w:rsid w:val="00911802"/>
    <w:rsid w:val="00911B3C"/>
    <w:rsid w:val="00912357"/>
    <w:rsid w:val="0091257C"/>
    <w:rsid w:val="0091426F"/>
    <w:rsid w:val="00914392"/>
    <w:rsid w:val="00914AE0"/>
    <w:rsid w:val="00914C49"/>
    <w:rsid w:val="00914C61"/>
    <w:rsid w:val="00914F55"/>
    <w:rsid w:val="00915097"/>
    <w:rsid w:val="009156F1"/>
    <w:rsid w:val="00915E16"/>
    <w:rsid w:val="009161F1"/>
    <w:rsid w:val="0091637B"/>
    <w:rsid w:val="009166E6"/>
    <w:rsid w:val="00916ACF"/>
    <w:rsid w:val="00917358"/>
    <w:rsid w:val="00917D17"/>
    <w:rsid w:val="00920293"/>
    <w:rsid w:val="00920A8F"/>
    <w:rsid w:val="00921296"/>
    <w:rsid w:val="009212B8"/>
    <w:rsid w:val="00921319"/>
    <w:rsid w:val="009218C5"/>
    <w:rsid w:val="00921F3F"/>
    <w:rsid w:val="00922109"/>
    <w:rsid w:val="009224D2"/>
    <w:rsid w:val="009225EC"/>
    <w:rsid w:val="00922BF4"/>
    <w:rsid w:val="009243FF"/>
    <w:rsid w:val="00924BE2"/>
    <w:rsid w:val="009252FD"/>
    <w:rsid w:val="00925BDC"/>
    <w:rsid w:val="0092697E"/>
    <w:rsid w:val="00926A90"/>
    <w:rsid w:val="009270F9"/>
    <w:rsid w:val="009270FB"/>
    <w:rsid w:val="00927A2F"/>
    <w:rsid w:val="00927B19"/>
    <w:rsid w:val="009307AB"/>
    <w:rsid w:val="009310E6"/>
    <w:rsid w:val="009318DB"/>
    <w:rsid w:val="00931FDA"/>
    <w:rsid w:val="00933423"/>
    <w:rsid w:val="009336CD"/>
    <w:rsid w:val="00933850"/>
    <w:rsid w:val="009338D3"/>
    <w:rsid w:val="00934275"/>
    <w:rsid w:val="0093456F"/>
    <w:rsid w:val="009346AB"/>
    <w:rsid w:val="0093479A"/>
    <w:rsid w:val="009347E6"/>
    <w:rsid w:val="00934D72"/>
    <w:rsid w:val="00934E5D"/>
    <w:rsid w:val="00934FE1"/>
    <w:rsid w:val="00935209"/>
    <w:rsid w:val="00935405"/>
    <w:rsid w:val="00935748"/>
    <w:rsid w:val="0093587A"/>
    <w:rsid w:val="00935AED"/>
    <w:rsid w:val="00935D3B"/>
    <w:rsid w:val="00936098"/>
    <w:rsid w:val="009361FE"/>
    <w:rsid w:val="00936285"/>
    <w:rsid w:val="0093652B"/>
    <w:rsid w:val="00936671"/>
    <w:rsid w:val="00937482"/>
    <w:rsid w:val="00937508"/>
    <w:rsid w:val="00937987"/>
    <w:rsid w:val="00937A2A"/>
    <w:rsid w:val="00937F00"/>
    <w:rsid w:val="00937FBC"/>
    <w:rsid w:val="009400A4"/>
    <w:rsid w:val="00940128"/>
    <w:rsid w:val="009408A0"/>
    <w:rsid w:val="00941BDB"/>
    <w:rsid w:val="00941F50"/>
    <w:rsid w:val="0094236A"/>
    <w:rsid w:val="009427AF"/>
    <w:rsid w:val="00942B7E"/>
    <w:rsid w:val="00942CF9"/>
    <w:rsid w:val="00942E01"/>
    <w:rsid w:val="009432B2"/>
    <w:rsid w:val="0094337A"/>
    <w:rsid w:val="009443CC"/>
    <w:rsid w:val="009444FC"/>
    <w:rsid w:val="0094504E"/>
    <w:rsid w:val="009455AA"/>
    <w:rsid w:val="00945A20"/>
    <w:rsid w:val="00945ACB"/>
    <w:rsid w:val="00945E5B"/>
    <w:rsid w:val="00945EFA"/>
    <w:rsid w:val="0094645C"/>
    <w:rsid w:val="00946762"/>
    <w:rsid w:val="00946999"/>
    <w:rsid w:val="00946B59"/>
    <w:rsid w:val="009470F9"/>
    <w:rsid w:val="00947C99"/>
    <w:rsid w:val="00947D29"/>
    <w:rsid w:val="00947D42"/>
    <w:rsid w:val="009504B6"/>
    <w:rsid w:val="00950E02"/>
    <w:rsid w:val="009510D5"/>
    <w:rsid w:val="00951223"/>
    <w:rsid w:val="009517E2"/>
    <w:rsid w:val="00951D20"/>
    <w:rsid w:val="00952208"/>
    <w:rsid w:val="009529E2"/>
    <w:rsid w:val="00952BFB"/>
    <w:rsid w:val="00952C59"/>
    <w:rsid w:val="0095304B"/>
    <w:rsid w:val="0095376D"/>
    <w:rsid w:val="009538D3"/>
    <w:rsid w:val="009539BF"/>
    <w:rsid w:val="009545B1"/>
    <w:rsid w:val="00954734"/>
    <w:rsid w:val="00954A9A"/>
    <w:rsid w:val="00954B69"/>
    <w:rsid w:val="00954FD3"/>
    <w:rsid w:val="00955BB4"/>
    <w:rsid w:val="00955C4C"/>
    <w:rsid w:val="0095612A"/>
    <w:rsid w:val="0095692B"/>
    <w:rsid w:val="00957077"/>
    <w:rsid w:val="009574A4"/>
    <w:rsid w:val="00957823"/>
    <w:rsid w:val="009578C6"/>
    <w:rsid w:val="0095796E"/>
    <w:rsid w:val="0096046D"/>
    <w:rsid w:val="0096083A"/>
    <w:rsid w:val="00960A7F"/>
    <w:rsid w:val="00960EBA"/>
    <w:rsid w:val="0096196B"/>
    <w:rsid w:val="00961CDA"/>
    <w:rsid w:val="00962048"/>
    <w:rsid w:val="0096249E"/>
    <w:rsid w:val="009624AB"/>
    <w:rsid w:val="00962824"/>
    <w:rsid w:val="00963382"/>
    <w:rsid w:val="00963649"/>
    <w:rsid w:val="00963C73"/>
    <w:rsid w:val="00964098"/>
    <w:rsid w:val="009642E4"/>
    <w:rsid w:val="009644B7"/>
    <w:rsid w:val="0096451C"/>
    <w:rsid w:val="00964A77"/>
    <w:rsid w:val="00964A82"/>
    <w:rsid w:val="00964FCE"/>
    <w:rsid w:val="0096539C"/>
    <w:rsid w:val="00965AD1"/>
    <w:rsid w:val="00965EA4"/>
    <w:rsid w:val="00966549"/>
    <w:rsid w:val="009671A2"/>
    <w:rsid w:val="00967787"/>
    <w:rsid w:val="009678DE"/>
    <w:rsid w:val="00970440"/>
    <w:rsid w:val="00970BBD"/>
    <w:rsid w:val="00971189"/>
    <w:rsid w:val="009713FC"/>
    <w:rsid w:val="00971A9D"/>
    <w:rsid w:val="00971AAC"/>
    <w:rsid w:val="00971F95"/>
    <w:rsid w:val="0097219D"/>
    <w:rsid w:val="009722AE"/>
    <w:rsid w:val="00972CF7"/>
    <w:rsid w:val="00972E82"/>
    <w:rsid w:val="0097319C"/>
    <w:rsid w:val="009733BA"/>
    <w:rsid w:val="0097437B"/>
    <w:rsid w:val="00974AD0"/>
    <w:rsid w:val="00974E92"/>
    <w:rsid w:val="009751D2"/>
    <w:rsid w:val="009751DB"/>
    <w:rsid w:val="009756E6"/>
    <w:rsid w:val="0097584D"/>
    <w:rsid w:val="00975970"/>
    <w:rsid w:val="00975C43"/>
    <w:rsid w:val="00975CE5"/>
    <w:rsid w:val="00976447"/>
    <w:rsid w:val="00976751"/>
    <w:rsid w:val="00976E76"/>
    <w:rsid w:val="00976E79"/>
    <w:rsid w:val="00977C07"/>
    <w:rsid w:val="00977C6E"/>
    <w:rsid w:val="00977D8B"/>
    <w:rsid w:val="0098046E"/>
    <w:rsid w:val="009809F1"/>
    <w:rsid w:val="00980E7E"/>
    <w:rsid w:val="00981B2A"/>
    <w:rsid w:val="00981B43"/>
    <w:rsid w:val="00981FB9"/>
    <w:rsid w:val="009820DA"/>
    <w:rsid w:val="009820EF"/>
    <w:rsid w:val="009824A7"/>
    <w:rsid w:val="00982651"/>
    <w:rsid w:val="00982D9D"/>
    <w:rsid w:val="00983000"/>
    <w:rsid w:val="00983199"/>
    <w:rsid w:val="009836B1"/>
    <w:rsid w:val="0098472B"/>
    <w:rsid w:val="00984820"/>
    <w:rsid w:val="00985014"/>
    <w:rsid w:val="00985749"/>
    <w:rsid w:val="00986C21"/>
    <w:rsid w:val="00986C3D"/>
    <w:rsid w:val="009873F9"/>
    <w:rsid w:val="0098796A"/>
    <w:rsid w:val="00987A81"/>
    <w:rsid w:val="00987A93"/>
    <w:rsid w:val="00987E2B"/>
    <w:rsid w:val="0099082B"/>
    <w:rsid w:val="009908F7"/>
    <w:rsid w:val="00990DC5"/>
    <w:rsid w:val="00991963"/>
    <w:rsid w:val="00991B4C"/>
    <w:rsid w:val="00991C7C"/>
    <w:rsid w:val="009928FA"/>
    <w:rsid w:val="00992F77"/>
    <w:rsid w:val="009931AF"/>
    <w:rsid w:val="009931E2"/>
    <w:rsid w:val="00993285"/>
    <w:rsid w:val="00994741"/>
    <w:rsid w:val="0099479F"/>
    <w:rsid w:val="0099509F"/>
    <w:rsid w:val="00995315"/>
    <w:rsid w:val="009957B2"/>
    <w:rsid w:val="009964C8"/>
    <w:rsid w:val="009965AE"/>
    <w:rsid w:val="00996625"/>
    <w:rsid w:val="00996854"/>
    <w:rsid w:val="00996C76"/>
    <w:rsid w:val="009977F6"/>
    <w:rsid w:val="009978FB"/>
    <w:rsid w:val="00997AFA"/>
    <w:rsid w:val="009A01B9"/>
    <w:rsid w:val="009A1212"/>
    <w:rsid w:val="009A145F"/>
    <w:rsid w:val="009A1724"/>
    <w:rsid w:val="009A178C"/>
    <w:rsid w:val="009A1C4B"/>
    <w:rsid w:val="009A3206"/>
    <w:rsid w:val="009A3295"/>
    <w:rsid w:val="009A36F7"/>
    <w:rsid w:val="009A3CF7"/>
    <w:rsid w:val="009A3D1D"/>
    <w:rsid w:val="009A465F"/>
    <w:rsid w:val="009A47E2"/>
    <w:rsid w:val="009A52AC"/>
    <w:rsid w:val="009A5453"/>
    <w:rsid w:val="009A561D"/>
    <w:rsid w:val="009A5870"/>
    <w:rsid w:val="009A5AE7"/>
    <w:rsid w:val="009A5E9E"/>
    <w:rsid w:val="009A634B"/>
    <w:rsid w:val="009A70CE"/>
    <w:rsid w:val="009A7DEF"/>
    <w:rsid w:val="009B0844"/>
    <w:rsid w:val="009B1A8F"/>
    <w:rsid w:val="009B1AF0"/>
    <w:rsid w:val="009B1B58"/>
    <w:rsid w:val="009B1EED"/>
    <w:rsid w:val="009B211C"/>
    <w:rsid w:val="009B2C14"/>
    <w:rsid w:val="009B2E36"/>
    <w:rsid w:val="009B348A"/>
    <w:rsid w:val="009B356F"/>
    <w:rsid w:val="009B3AB2"/>
    <w:rsid w:val="009B3C3C"/>
    <w:rsid w:val="009B3F1F"/>
    <w:rsid w:val="009B5781"/>
    <w:rsid w:val="009B59CA"/>
    <w:rsid w:val="009B69C9"/>
    <w:rsid w:val="009B71B7"/>
    <w:rsid w:val="009B7CD1"/>
    <w:rsid w:val="009C000F"/>
    <w:rsid w:val="009C0062"/>
    <w:rsid w:val="009C0185"/>
    <w:rsid w:val="009C01F5"/>
    <w:rsid w:val="009C0411"/>
    <w:rsid w:val="009C063D"/>
    <w:rsid w:val="009C0CC7"/>
    <w:rsid w:val="009C1256"/>
    <w:rsid w:val="009C12D0"/>
    <w:rsid w:val="009C1824"/>
    <w:rsid w:val="009C1AAC"/>
    <w:rsid w:val="009C1E76"/>
    <w:rsid w:val="009C24D1"/>
    <w:rsid w:val="009C29E0"/>
    <w:rsid w:val="009C2C60"/>
    <w:rsid w:val="009C2FC4"/>
    <w:rsid w:val="009C3BBF"/>
    <w:rsid w:val="009C3CDF"/>
    <w:rsid w:val="009C407F"/>
    <w:rsid w:val="009C456C"/>
    <w:rsid w:val="009C4C54"/>
    <w:rsid w:val="009C4C70"/>
    <w:rsid w:val="009C53B4"/>
    <w:rsid w:val="009C583A"/>
    <w:rsid w:val="009C5CA2"/>
    <w:rsid w:val="009C5F2E"/>
    <w:rsid w:val="009C616A"/>
    <w:rsid w:val="009C62DD"/>
    <w:rsid w:val="009C69FF"/>
    <w:rsid w:val="009C6CED"/>
    <w:rsid w:val="009D0448"/>
    <w:rsid w:val="009D056C"/>
    <w:rsid w:val="009D05B2"/>
    <w:rsid w:val="009D08A2"/>
    <w:rsid w:val="009D0C0C"/>
    <w:rsid w:val="009D13D2"/>
    <w:rsid w:val="009D1A72"/>
    <w:rsid w:val="009D1BED"/>
    <w:rsid w:val="009D1C81"/>
    <w:rsid w:val="009D1D5E"/>
    <w:rsid w:val="009D1E6A"/>
    <w:rsid w:val="009D20F8"/>
    <w:rsid w:val="009D2295"/>
    <w:rsid w:val="009D2804"/>
    <w:rsid w:val="009D2B3D"/>
    <w:rsid w:val="009D33AC"/>
    <w:rsid w:val="009D38A0"/>
    <w:rsid w:val="009D390E"/>
    <w:rsid w:val="009D3C71"/>
    <w:rsid w:val="009D4936"/>
    <w:rsid w:val="009D4990"/>
    <w:rsid w:val="009D5882"/>
    <w:rsid w:val="009D5A65"/>
    <w:rsid w:val="009D5E21"/>
    <w:rsid w:val="009D6403"/>
    <w:rsid w:val="009D6B29"/>
    <w:rsid w:val="009D6BE6"/>
    <w:rsid w:val="009D6E74"/>
    <w:rsid w:val="009D7761"/>
    <w:rsid w:val="009D77C0"/>
    <w:rsid w:val="009D7A0D"/>
    <w:rsid w:val="009E02F4"/>
    <w:rsid w:val="009E145F"/>
    <w:rsid w:val="009E1705"/>
    <w:rsid w:val="009E1B06"/>
    <w:rsid w:val="009E1C2D"/>
    <w:rsid w:val="009E1D75"/>
    <w:rsid w:val="009E29F3"/>
    <w:rsid w:val="009E2DAE"/>
    <w:rsid w:val="009E2F81"/>
    <w:rsid w:val="009E3201"/>
    <w:rsid w:val="009E346E"/>
    <w:rsid w:val="009E397F"/>
    <w:rsid w:val="009E3E34"/>
    <w:rsid w:val="009E3F66"/>
    <w:rsid w:val="009E498C"/>
    <w:rsid w:val="009E5256"/>
    <w:rsid w:val="009E6165"/>
    <w:rsid w:val="009E6630"/>
    <w:rsid w:val="009E669C"/>
    <w:rsid w:val="009E78D5"/>
    <w:rsid w:val="009E79F0"/>
    <w:rsid w:val="009E7AF4"/>
    <w:rsid w:val="009F004E"/>
    <w:rsid w:val="009F028E"/>
    <w:rsid w:val="009F030E"/>
    <w:rsid w:val="009F0357"/>
    <w:rsid w:val="009F09CD"/>
    <w:rsid w:val="009F1E5A"/>
    <w:rsid w:val="009F203A"/>
    <w:rsid w:val="009F2329"/>
    <w:rsid w:val="009F26BB"/>
    <w:rsid w:val="009F2D31"/>
    <w:rsid w:val="009F2E07"/>
    <w:rsid w:val="009F3411"/>
    <w:rsid w:val="009F3742"/>
    <w:rsid w:val="009F40CB"/>
    <w:rsid w:val="009F436F"/>
    <w:rsid w:val="009F4E0F"/>
    <w:rsid w:val="009F4E20"/>
    <w:rsid w:val="009F50E3"/>
    <w:rsid w:val="009F57B0"/>
    <w:rsid w:val="009F5B7D"/>
    <w:rsid w:val="009F5E1E"/>
    <w:rsid w:val="009F6334"/>
    <w:rsid w:val="009F687F"/>
    <w:rsid w:val="009F69B9"/>
    <w:rsid w:val="009F7079"/>
    <w:rsid w:val="009F757F"/>
    <w:rsid w:val="009F7593"/>
    <w:rsid w:val="009F7AC7"/>
    <w:rsid w:val="009F7E27"/>
    <w:rsid w:val="00A001B1"/>
    <w:rsid w:val="00A00869"/>
    <w:rsid w:val="00A014FB"/>
    <w:rsid w:val="00A01519"/>
    <w:rsid w:val="00A01BEE"/>
    <w:rsid w:val="00A021E5"/>
    <w:rsid w:val="00A02269"/>
    <w:rsid w:val="00A025A1"/>
    <w:rsid w:val="00A02833"/>
    <w:rsid w:val="00A0329B"/>
    <w:rsid w:val="00A039A3"/>
    <w:rsid w:val="00A03E14"/>
    <w:rsid w:val="00A03FCC"/>
    <w:rsid w:val="00A044BA"/>
    <w:rsid w:val="00A047B7"/>
    <w:rsid w:val="00A0497F"/>
    <w:rsid w:val="00A05606"/>
    <w:rsid w:val="00A05888"/>
    <w:rsid w:val="00A05ADB"/>
    <w:rsid w:val="00A065D8"/>
    <w:rsid w:val="00A06644"/>
    <w:rsid w:val="00A0673A"/>
    <w:rsid w:val="00A06A6C"/>
    <w:rsid w:val="00A06DAA"/>
    <w:rsid w:val="00A06F18"/>
    <w:rsid w:val="00A0716F"/>
    <w:rsid w:val="00A0731B"/>
    <w:rsid w:val="00A07452"/>
    <w:rsid w:val="00A07687"/>
    <w:rsid w:val="00A079D3"/>
    <w:rsid w:val="00A07A02"/>
    <w:rsid w:val="00A10690"/>
    <w:rsid w:val="00A10781"/>
    <w:rsid w:val="00A10FAF"/>
    <w:rsid w:val="00A1129A"/>
    <w:rsid w:val="00A112C9"/>
    <w:rsid w:val="00A11450"/>
    <w:rsid w:val="00A114D3"/>
    <w:rsid w:val="00A115B7"/>
    <w:rsid w:val="00A11E4E"/>
    <w:rsid w:val="00A12D5C"/>
    <w:rsid w:val="00A130C3"/>
    <w:rsid w:val="00A130FE"/>
    <w:rsid w:val="00A13140"/>
    <w:rsid w:val="00A14025"/>
    <w:rsid w:val="00A14719"/>
    <w:rsid w:val="00A14912"/>
    <w:rsid w:val="00A149E0"/>
    <w:rsid w:val="00A14A3B"/>
    <w:rsid w:val="00A14B9E"/>
    <w:rsid w:val="00A14DCF"/>
    <w:rsid w:val="00A15420"/>
    <w:rsid w:val="00A15554"/>
    <w:rsid w:val="00A1557F"/>
    <w:rsid w:val="00A15D5A"/>
    <w:rsid w:val="00A16604"/>
    <w:rsid w:val="00A16624"/>
    <w:rsid w:val="00A16EEC"/>
    <w:rsid w:val="00A17913"/>
    <w:rsid w:val="00A17FAC"/>
    <w:rsid w:val="00A2013F"/>
    <w:rsid w:val="00A21216"/>
    <w:rsid w:val="00A21A53"/>
    <w:rsid w:val="00A21C24"/>
    <w:rsid w:val="00A2224C"/>
    <w:rsid w:val="00A224C7"/>
    <w:rsid w:val="00A22F18"/>
    <w:rsid w:val="00A23368"/>
    <w:rsid w:val="00A23436"/>
    <w:rsid w:val="00A234CD"/>
    <w:rsid w:val="00A2365E"/>
    <w:rsid w:val="00A23E4E"/>
    <w:rsid w:val="00A24318"/>
    <w:rsid w:val="00A2451E"/>
    <w:rsid w:val="00A24F6D"/>
    <w:rsid w:val="00A2520B"/>
    <w:rsid w:val="00A258A6"/>
    <w:rsid w:val="00A26075"/>
    <w:rsid w:val="00A26293"/>
    <w:rsid w:val="00A262E6"/>
    <w:rsid w:val="00A26DEE"/>
    <w:rsid w:val="00A2782E"/>
    <w:rsid w:val="00A278C0"/>
    <w:rsid w:val="00A278EB"/>
    <w:rsid w:val="00A27A5B"/>
    <w:rsid w:val="00A30064"/>
    <w:rsid w:val="00A30429"/>
    <w:rsid w:val="00A309E0"/>
    <w:rsid w:val="00A30CC5"/>
    <w:rsid w:val="00A310E1"/>
    <w:rsid w:val="00A316A4"/>
    <w:rsid w:val="00A3176F"/>
    <w:rsid w:val="00A317B0"/>
    <w:rsid w:val="00A31868"/>
    <w:rsid w:val="00A31CD4"/>
    <w:rsid w:val="00A3280D"/>
    <w:rsid w:val="00A32CCE"/>
    <w:rsid w:val="00A3319B"/>
    <w:rsid w:val="00A34304"/>
    <w:rsid w:val="00A34480"/>
    <w:rsid w:val="00A345DE"/>
    <w:rsid w:val="00A348DE"/>
    <w:rsid w:val="00A34D8E"/>
    <w:rsid w:val="00A34F6E"/>
    <w:rsid w:val="00A3509B"/>
    <w:rsid w:val="00A35684"/>
    <w:rsid w:val="00A357C7"/>
    <w:rsid w:val="00A3597D"/>
    <w:rsid w:val="00A3629C"/>
    <w:rsid w:val="00A36706"/>
    <w:rsid w:val="00A367ED"/>
    <w:rsid w:val="00A36D0D"/>
    <w:rsid w:val="00A36D0E"/>
    <w:rsid w:val="00A36E2A"/>
    <w:rsid w:val="00A373FE"/>
    <w:rsid w:val="00A376E8"/>
    <w:rsid w:val="00A37D86"/>
    <w:rsid w:val="00A37DF5"/>
    <w:rsid w:val="00A40F61"/>
    <w:rsid w:val="00A410E2"/>
    <w:rsid w:val="00A4122E"/>
    <w:rsid w:val="00A41352"/>
    <w:rsid w:val="00A4198C"/>
    <w:rsid w:val="00A41D2C"/>
    <w:rsid w:val="00A42696"/>
    <w:rsid w:val="00A42C21"/>
    <w:rsid w:val="00A433F9"/>
    <w:rsid w:val="00A4361B"/>
    <w:rsid w:val="00A43A42"/>
    <w:rsid w:val="00A43C73"/>
    <w:rsid w:val="00A43CEC"/>
    <w:rsid w:val="00A440E2"/>
    <w:rsid w:val="00A44469"/>
    <w:rsid w:val="00A44493"/>
    <w:rsid w:val="00A446BF"/>
    <w:rsid w:val="00A452CC"/>
    <w:rsid w:val="00A4541F"/>
    <w:rsid w:val="00A4557C"/>
    <w:rsid w:val="00A4584B"/>
    <w:rsid w:val="00A45DFB"/>
    <w:rsid w:val="00A463C8"/>
    <w:rsid w:val="00A469C3"/>
    <w:rsid w:val="00A46CE0"/>
    <w:rsid w:val="00A47429"/>
    <w:rsid w:val="00A47827"/>
    <w:rsid w:val="00A5000B"/>
    <w:rsid w:val="00A50399"/>
    <w:rsid w:val="00A50454"/>
    <w:rsid w:val="00A506B2"/>
    <w:rsid w:val="00A50700"/>
    <w:rsid w:val="00A5147B"/>
    <w:rsid w:val="00A51646"/>
    <w:rsid w:val="00A518DB"/>
    <w:rsid w:val="00A51B69"/>
    <w:rsid w:val="00A5243C"/>
    <w:rsid w:val="00A5280F"/>
    <w:rsid w:val="00A52F74"/>
    <w:rsid w:val="00A535AF"/>
    <w:rsid w:val="00A53B89"/>
    <w:rsid w:val="00A5451C"/>
    <w:rsid w:val="00A54ABF"/>
    <w:rsid w:val="00A55B30"/>
    <w:rsid w:val="00A55E53"/>
    <w:rsid w:val="00A55E6F"/>
    <w:rsid w:val="00A55FBE"/>
    <w:rsid w:val="00A56425"/>
    <w:rsid w:val="00A564C5"/>
    <w:rsid w:val="00A5658C"/>
    <w:rsid w:val="00A5664D"/>
    <w:rsid w:val="00A56BC5"/>
    <w:rsid w:val="00A5717A"/>
    <w:rsid w:val="00A577A3"/>
    <w:rsid w:val="00A57E20"/>
    <w:rsid w:val="00A605E7"/>
    <w:rsid w:val="00A610B5"/>
    <w:rsid w:val="00A615C9"/>
    <w:rsid w:val="00A620D3"/>
    <w:rsid w:val="00A628D4"/>
    <w:rsid w:val="00A6360C"/>
    <w:rsid w:val="00A63BCE"/>
    <w:rsid w:val="00A63E25"/>
    <w:rsid w:val="00A646B1"/>
    <w:rsid w:val="00A646FC"/>
    <w:rsid w:val="00A647BF"/>
    <w:rsid w:val="00A64A2E"/>
    <w:rsid w:val="00A6517D"/>
    <w:rsid w:val="00A657B6"/>
    <w:rsid w:val="00A65A4E"/>
    <w:rsid w:val="00A65BF8"/>
    <w:rsid w:val="00A65CD4"/>
    <w:rsid w:val="00A668D5"/>
    <w:rsid w:val="00A66912"/>
    <w:rsid w:val="00A66F38"/>
    <w:rsid w:val="00A67549"/>
    <w:rsid w:val="00A67748"/>
    <w:rsid w:val="00A6788E"/>
    <w:rsid w:val="00A67C3C"/>
    <w:rsid w:val="00A67C9A"/>
    <w:rsid w:val="00A70C24"/>
    <w:rsid w:val="00A70F4C"/>
    <w:rsid w:val="00A7154E"/>
    <w:rsid w:val="00A71736"/>
    <w:rsid w:val="00A7258C"/>
    <w:rsid w:val="00A72869"/>
    <w:rsid w:val="00A72913"/>
    <w:rsid w:val="00A72CF0"/>
    <w:rsid w:val="00A72E1E"/>
    <w:rsid w:val="00A72EA4"/>
    <w:rsid w:val="00A732C3"/>
    <w:rsid w:val="00A737A5"/>
    <w:rsid w:val="00A73942"/>
    <w:rsid w:val="00A73986"/>
    <w:rsid w:val="00A73C09"/>
    <w:rsid w:val="00A73CED"/>
    <w:rsid w:val="00A73E57"/>
    <w:rsid w:val="00A74722"/>
    <w:rsid w:val="00A74908"/>
    <w:rsid w:val="00A74C6A"/>
    <w:rsid w:val="00A7531E"/>
    <w:rsid w:val="00A7555A"/>
    <w:rsid w:val="00A762EF"/>
    <w:rsid w:val="00A76506"/>
    <w:rsid w:val="00A76AC4"/>
    <w:rsid w:val="00A76C8E"/>
    <w:rsid w:val="00A76FCC"/>
    <w:rsid w:val="00A77CA8"/>
    <w:rsid w:val="00A804AB"/>
    <w:rsid w:val="00A80553"/>
    <w:rsid w:val="00A80BA2"/>
    <w:rsid w:val="00A80E23"/>
    <w:rsid w:val="00A8121B"/>
    <w:rsid w:val="00A81540"/>
    <w:rsid w:val="00A81BB7"/>
    <w:rsid w:val="00A81DA0"/>
    <w:rsid w:val="00A8228E"/>
    <w:rsid w:val="00A823A6"/>
    <w:rsid w:val="00A824EF"/>
    <w:rsid w:val="00A83396"/>
    <w:rsid w:val="00A83FAE"/>
    <w:rsid w:val="00A8415E"/>
    <w:rsid w:val="00A851A4"/>
    <w:rsid w:val="00A8536C"/>
    <w:rsid w:val="00A857B5"/>
    <w:rsid w:val="00A85CDA"/>
    <w:rsid w:val="00A8605D"/>
    <w:rsid w:val="00A860A8"/>
    <w:rsid w:val="00A86B25"/>
    <w:rsid w:val="00A8700D"/>
    <w:rsid w:val="00A87492"/>
    <w:rsid w:val="00A87FEF"/>
    <w:rsid w:val="00A905CE"/>
    <w:rsid w:val="00A90CF4"/>
    <w:rsid w:val="00A91221"/>
    <w:rsid w:val="00A91599"/>
    <w:rsid w:val="00A918EC"/>
    <w:rsid w:val="00A9199B"/>
    <w:rsid w:val="00A91AAA"/>
    <w:rsid w:val="00A91CA1"/>
    <w:rsid w:val="00A9266D"/>
    <w:rsid w:val="00A92C43"/>
    <w:rsid w:val="00A92D47"/>
    <w:rsid w:val="00A92D97"/>
    <w:rsid w:val="00A92E30"/>
    <w:rsid w:val="00A92E48"/>
    <w:rsid w:val="00A92EEC"/>
    <w:rsid w:val="00A93611"/>
    <w:rsid w:val="00A93E64"/>
    <w:rsid w:val="00A93FC4"/>
    <w:rsid w:val="00A94243"/>
    <w:rsid w:val="00A94705"/>
    <w:rsid w:val="00A94E7A"/>
    <w:rsid w:val="00A952A9"/>
    <w:rsid w:val="00A9567F"/>
    <w:rsid w:val="00A95F53"/>
    <w:rsid w:val="00A962B2"/>
    <w:rsid w:val="00A9634D"/>
    <w:rsid w:val="00A96399"/>
    <w:rsid w:val="00A96928"/>
    <w:rsid w:val="00A96C29"/>
    <w:rsid w:val="00A96E08"/>
    <w:rsid w:val="00A96F46"/>
    <w:rsid w:val="00A97278"/>
    <w:rsid w:val="00A97383"/>
    <w:rsid w:val="00A97787"/>
    <w:rsid w:val="00AA016E"/>
    <w:rsid w:val="00AA03D6"/>
    <w:rsid w:val="00AA0B02"/>
    <w:rsid w:val="00AA16D2"/>
    <w:rsid w:val="00AA1B0C"/>
    <w:rsid w:val="00AA1C30"/>
    <w:rsid w:val="00AA2457"/>
    <w:rsid w:val="00AA345C"/>
    <w:rsid w:val="00AA39BD"/>
    <w:rsid w:val="00AA3A0B"/>
    <w:rsid w:val="00AA43A6"/>
    <w:rsid w:val="00AA4FFE"/>
    <w:rsid w:val="00AA5502"/>
    <w:rsid w:val="00AA5893"/>
    <w:rsid w:val="00AA5F80"/>
    <w:rsid w:val="00AA65BC"/>
    <w:rsid w:val="00AA6727"/>
    <w:rsid w:val="00AA688D"/>
    <w:rsid w:val="00AA6CCF"/>
    <w:rsid w:val="00AA72C8"/>
    <w:rsid w:val="00AA73EC"/>
    <w:rsid w:val="00AA774D"/>
    <w:rsid w:val="00AA7A10"/>
    <w:rsid w:val="00AA7A60"/>
    <w:rsid w:val="00AA7C21"/>
    <w:rsid w:val="00AA7FD2"/>
    <w:rsid w:val="00AB0514"/>
    <w:rsid w:val="00AB115F"/>
    <w:rsid w:val="00AB12CA"/>
    <w:rsid w:val="00AB12F5"/>
    <w:rsid w:val="00AB19A0"/>
    <w:rsid w:val="00AB1BBC"/>
    <w:rsid w:val="00AB263D"/>
    <w:rsid w:val="00AB2C79"/>
    <w:rsid w:val="00AB2D32"/>
    <w:rsid w:val="00AB2D3E"/>
    <w:rsid w:val="00AB32FB"/>
    <w:rsid w:val="00AB3752"/>
    <w:rsid w:val="00AB38CE"/>
    <w:rsid w:val="00AB3B8E"/>
    <w:rsid w:val="00AB3B9E"/>
    <w:rsid w:val="00AB423D"/>
    <w:rsid w:val="00AB42B9"/>
    <w:rsid w:val="00AB5317"/>
    <w:rsid w:val="00AB5337"/>
    <w:rsid w:val="00AB565F"/>
    <w:rsid w:val="00AB5749"/>
    <w:rsid w:val="00AB5A86"/>
    <w:rsid w:val="00AB621B"/>
    <w:rsid w:val="00AB63ED"/>
    <w:rsid w:val="00AB64A3"/>
    <w:rsid w:val="00AB658A"/>
    <w:rsid w:val="00AB6A8A"/>
    <w:rsid w:val="00AB6F5F"/>
    <w:rsid w:val="00AB723A"/>
    <w:rsid w:val="00AB7782"/>
    <w:rsid w:val="00AB7871"/>
    <w:rsid w:val="00AB78A1"/>
    <w:rsid w:val="00AB7A4C"/>
    <w:rsid w:val="00AB7E95"/>
    <w:rsid w:val="00AB7ED6"/>
    <w:rsid w:val="00AC060C"/>
    <w:rsid w:val="00AC086C"/>
    <w:rsid w:val="00AC0D91"/>
    <w:rsid w:val="00AC10C0"/>
    <w:rsid w:val="00AC165B"/>
    <w:rsid w:val="00AC1918"/>
    <w:rsid w:val="00AC1938"/>
    <w:rsid w:val="00AC19E8"/>
    <w:rsid w:val="00AC206C"/>
    <w:rsid w:val="00AC212B"/>
    <w:rsid w:val="00AC21C4"/>
    <w:rsid w:val="00AC2584"/>
    <w:rsid w:val="00AC2AB1"/>
    <w:rsid w:val="00AC2BA8"/>
    <w:rsid w:val="00AC396C"/>
    <w:rsid w:val="00AC3D12"/>
    <w:rsid w:val="00AC3DAA"/>
    <w:rsid w:val="00AC3F65"/>
    <w:rsid w:val="00AC40AD"/>
    <w:rsid w:val="00AC4376"/>
    <w:rsid w:val="00AC47D7"/>
    <w:rsid w:val="00AC495E"/>
    <w:rsid w:val="00AC6818"/>
    <w:rsid w:val="00AC6F7F"/>
    <w:rsid w:val="00AC70DF"/>
    <w:rsid w:val="00AC7747"/>
    <w:rsid w:val="00AC7C48"/>
    <w:rsid w:val="00AD14E0"/>
    <w:rsid w:val="00AD17E0"/>
    <w:rsid w:val="00AD1869"/>
    <w:rsid w:val="00AD1AE9"/>
    <w:rsid w:val="00AD1E44"/>
    <w:rsid w:val="00AD207F"/>
    <w:rsid w:val="00AD222E"/>
    <w:rsid w:val="00AD289B"/>
    <w:rsid w:val="00AD2A00"/>
    <w:rsid w:val="00AD2AAE"/>
    <w:rsid w:val="00AD2EA8"/>
    <w:rsid w:val="00AD37BD"/>
    <w:rsid w:val="00AD3C3E"/>
    <w:rsid w:val="00AD3EEF"/>
    <w:rsid w:val="00AD46BA"/>
    <w:rsid w:val="00AD47E4"/>
    <w:rsid w:val="00AD4CF3"/>
    <w:rsid w:val="00AD4EDA"/>
    <w:rsid w:val="00AD5ADA"/>
    <w:rsid w:val="00AD6441"/>
    <w:rsid w:val="00AD6988"/>
    <w:rsid w:val="00AD6B89"/>
    <w:rsid w:val="00AD6D5E"/>
    <w:rsid w:val="00AD74DD"/>
    <w:rsid w:val="00AD76FA"/>
    <w:rsid w:val="00AD78A6"/>
    <w:rsid w:val="00AE007F"/>
    <w:rsid w:val="00AE0339"/>
    <w:rsid w:val="00AE0400"/>
    <w:rsid w:val="00AE0996"/>
    <w:rsid w:val="00AE09A7"/>
    <w:rsid w:val="00AE09BC"/>
    <w:rsid w:val="00AE0B5E"/>
    <w:rsid w:val="00AE0CE5"/>
    <w:rsid w:val="00AE1388"/>
    <w:rsid w:val="00AE1692"/>
    <w:rsid w:val="00AE16C9"/>
    <w:rsid w:val="00AE1A2D"/>
    <w:rsid w:val="00AE2BE5"/>
    <w:rsid w:val="00AE3236"/>
    <w:rsid w:val="00AE332D"/>
    <w:rsid w:val="00AE357A"/>
    <w:rsid w:val="00AE3588"/>
    <w:rsid w:val="00AE36E7"/>
    <w:rsid w:val="00AE459F"/>
    <w:rsid w:val="00AE4E0C"/>
    <w:rsid w:val="00AE55E8"/>
    <w:rsid w:val="00AE5CB4"/>
    <w:rsid w:val="00AE5DA0"/>
    <w:rsid w:val="00AE5F6C"/>
    <w:rsid w:val="00AE6163"/>
    <w:rsid w:val="00AE65FB"/>
    <w:rsid w:val="00AE704C"/>
    <w:rsid w:val="00AE7151"/>
    <w:rsid w:val="00AE78B0"/>
    <w:rsid w:val="00AE7A14"/>
    <w:rsid w:val="00AF001C"/>
    <w:rsid w:val="00AF0B71"/>
    <w:rsid w:val="00AF10F6"/>
    <w:rsid w:val="00AF1C2C"/>
    <w:rsid w:val="00AF1D5D"/>
    <w:rsid w:val="00AF1DFA"/>
    <w:rsid w:val="00AF2152"/>
    <w:rsid w:val="00AF2CD2"/>
    <w:rsid w:val="00AF2FD9"/>
    <w:rsid w:val="00AF334B"/>
    <w:rsid w:val="00AF3C43"/>
    <w:rsid w:val="00AF41BD"/>
    <w:rsid w:val="00AF4538"/>
    <w:rsid w:val="00AF47BF"/>
    <w:rsid w:val="00AF4EE7"/>
    <w:rsid w:val="00AF50E7"/>
    <w:rsid w:val="00AF5109"/>
    <w:rsid w:val="00AF602B"/>
    <w:rsid w:val="00AF61D4"/>
    <w:rsid w:val="00AF692E"/>
    <w:rsid w:val="00AF6BAB"/>
    <w:rsid w:val="00AF6BF6"/>
    <w:rsid w:val="00AF6D28"/>
    <w:rsid w:val="00AF6D2B"/>
    <w:rsid w:val="00AF6E25"/>
    <w:rsid w:val="00AF7246"/>
    <w:rsid w:val="00AF7A93"/>
    <w:rsid w:val="00AF7E39"/>
    <w:rsid w:val="00B00035"/>
    <w:rsid w:val="00B00304"/>
    <w:rsid w:val="00B006E0"/>
    <w:rsid w:val="00B010D1"/>
    <w:rsid w:val="00B020F1"/>
    <w:rsid w:val="00B02343"/>
    <w:rsid w:val="00B02EA2"/>
    <w:rsid w:val="00B03A79"/>
    <w:rsid w:val="00B03DE2"/>
    <w:rsid w:val="00B03E10"/>
    <w:rsid w:val="00B044F8"/>
    <w:rsid w:val="00B0534A"/>
    <w:rsid w:val="00B05735"/>
    <w:rsid w:val="00B058A9"/>
    <w:rsid w:val="00B05A77"/>
    <w:rsid w:val="00B05D65"/>
    <w:rsid w:val="00B05DE9"/>
    <w:rsid w:val="00B06206"/>
    <w:rsid w:val="00B06276"/>
    <w:rsid w:val="00B06361"/>
    <w:rsid w:val="00B06557"/>
    <w:rsid w:val="00B06B02"/>
    <w:rsid w:val="00B10486"/>
    <w:rsid w:val="00B10547"/>
    <w:rsid w:val="00B1065E"/>
    <w:rsid w:val="00B10C69"/>
    <w:rsid w:val="00B10F6E"/>
    <w:rsid w:val="00B113EE"/>
    <w:rsid w:val="00B113F0"/>
    <w:rsid w:val="00B11F7A"/>
    <w:rsid w:val="00B1299F"/>
    <w:rsid w:val="00B130BA"/>
    <w:rsid w:val="00B137F5"/>
    <w:rsid w:val="00B13E2F"/>
    <w:rsid w:val="00B13F56"/>
    <w:rsid w:val="00B14231"/>
    <w:rsid w:val="00B156E4"/>
    <w:rsid w:val="00B15FBA"/>
    <w:rsid w:val="00B16272"/>
    <w:rsid w:val="00B169A4"/>
    <w:rsid w:val="00B1719C"/>
    <w:rsid w:val="00B17283"/>
    <w:rsid w:val="00B1783E"/>
    <w:rsid w:val="00B17E9F"/>
    <w:rsid w:val="00B17FAE"/>
    <w:rsid w:val="00B200E0"/>
    <w:rsid w:val="00B20C09"/>
    <w:rsid w:val="00B212DD"/>
    <w:rsid w:val="00B216C2"/>
    <w:rsid w:val="00B21DBD"/>
    <w:rsid w:val="00B21E3F"/>
    <w:rsid w:val="00B22638"/>
    <w:rsid w:val="00B22CB7"/>
    <w:rsid w:val="00B22E28"/>
    <w:rsid w:val="00B22F89"/>
    <w:rsid w:val="00B236DE"/>
    <w:rsid w:val="00B23897"/>
    <w:rsid w:val="00B23C26"/>
    <w:rsid w:val="00B23E89"/>
    <w:rsid w:val="00B2432F"/>
    <w:rsid w:val="00B24709"/>
    <w:rsid w:val="00B24A42"/>
    <w:rsid w:val="00B24EAB"/>
    <w:rsid w:val="00B257D7"/>
    <w:rsid w:val="00B25E66"/>
    <w:rsid w:val="00B26277"/>
    <w:rsid w:val="00B26376"/>
    <w:rsid w:val="00B264D3"/>
    <w:rsid w:val="00B26DE4"/>
    <w:rsid w:val="00B26FF7"/>
    <w:rsid w:val="00B270BC"/>
    <w:rsid w:val="00B2777D"/>
    <w:rsid w:val="00B27CA7"/>
    <w:rsid w:val="00B27DBE"/>
    <w:rsid w:val="00B30122"/>
    <w:rsid w:val="00B303BE"/>
    <w:rsid w:val="00B30404"/>
    <w:rsid w:val="00B30F8C"/>
    <w:rsid w:val="00B31063"/>
    <w:rsid w:val="00B3149C"/>
    <w:rsid w:val="00B315FB"/>
    <w:rsid w:val="00B318C5"/>
    <w:rsid w:val="00B3207B"/>
    <w:rsid w:val="00B32227"/>
    <w:rsid w:val="00B32447"/>
    <w:rsid w:val="00B32EE2"/>
    <w:rsid w:val="00B32EFA"/>
    <w:rsid w:val="00B34521"/>
    <w:rsid w:val="00B34542"/>
    <w:rsid w:val="00B34561"/>
    <w:rsid w:val="00B346B3"/>
    <w:rsid w:val="00B3502B"/>
    <w:rsid w:val="00B35725"/>
    <w:rsid w:val="00B35FE8"/>
    <w:rsid w:val="00B362AA"/>
    <w:rsid w:val="00B36306"/>
    <w:rsid w:val="00B37FA1"/>
    <w:rsid w:val="00B40299"/>
    <w:rsid w:val="00B40454"/>
    <w:rsid w:val="00B41595"/>
    <w:rsid w:val="00B4198E"/>
    <w:rsid w:val="00B41BBF"/>
    <w:rsid w:val="00B41DB6"/>
    <w:rsid w:val="00B41ECC"/>
    <w:rsid w:val="00B423E8"/>
    <w:rsid w:val="00B42D8F"/>
    <w:rsid w:val="00B43470"/>
    <w:rsid w:val="00B436D4"/>
    <w:rsid w:val="00B43984"/>
    <w:rsid w:val="00B43FD2"/>
    <w:rsid w:val="00B44074"/>
    <w:rsid w:val="00B44370"/>
    <w:rsid w:val="00B443BC"/>
    <w:rsid w:val="00B44AA7"/>
    <w:rsid w:val="00B44FA9"/>
    <w:rsid w:val="00B4564B"/>
    <w:rsid w:val="00B45ABC"/>
    <w:rsid w:val="00B45AF7"/>
    <w:rsid w:val="00B45ED5"/>
    <w:rsid w:val="00B466F3"/>
    <w:rsid w:val="00B46A63"/>
    <w:rsid w:val="00B47E96"/>
    <w:rsid w:val="00B50672"/>
    <w:rsid w:val="00B50DC4"/>
    <w:rsid w:val="00B511A5"/>
    <w:rsid w:val="00B5139A"/>
    <w:rsid w:val="00B513EA"/>
    <w:rsid w:val="00B515CB"/>
    <w:rsid w:val="00B516F2"/>
    <w:rsid w:val="00B5183B"/>
    <w:rsid w:val="00B51AB2"/>
    <w:rsid w:val="00B51C5D"/>
    <w:rsid w:val="00B51FD5"/>
    <w:rsid w:val="00B5223D"/>
    <w:rsid w:val="00B52401"/>
    <w:rsid w:val="00B52798"/>
    <w:rsid w:val="00B528BB"/>
    <w:rsid w:val="00B52998"/>
    <w:rsid w:val="00B52C54"/>
    <w:rsid w:val="00B52EA6"/>
    <w:rsid w:val="00B533E5"/>
    <w:rsid w:val="00B5398F"/>
    <w:rsid w:val="00B53D74"/>
    <w:rsid w:val="00B543B0"/>
    <w:rsid w:val="00B5443B"/>
    <w:rsid w:val="00B54923"/>
    <w:rsid w:val="00B552D2"/>
    <w:rsid w:val="00B55B2F"/>
    <w:rsid w:val="00B56247"/>
    <w:rsid w:val="00B5662E"/>
    <w:rsid w:val="00B567B6"/>
    <w:rsid w:val="00B5688D"/>
    <w:rsid w:val="00B56909"/>
    <w:rsid w:val="00B56C77"/>
    <w:rsid w:val="00B56EAA"/>
    <w:rsid w:val="00B5765D"/>
    <w:rsid w:val="00B57E98"/>
    <w:rsid w:val="00B57F39"/>
    <w:rsid w:val="00B6061C"/>
    <w:rsid w:val="00B6069B"/>
    <w:rsid w:val="00B6082B"/>
    <w:rsid w:val="00B60CB5"/>
    <w:rsid w:val="00B615BA"/>
    <w:rsid w:val="00B61655"/>
    <w:rsid w:val="00B61EF9"/>
    <w:rsid w:val="00B61FCC"/>
    <w:rsid w:val="00B62677"/>
    <w:rsid w:val="00B637A4"/>
    <w:rsid w:val="00B637FE"/>
    <w:rsid w:val="00B64068"/>
    <w:rsid w:val="00B64215"/>
    <w:rsid w:val="00B64393"/>
    <w:rsid w:val="00B64F79"/>
    <w:rsid w:val="00B65227"/>
    <w:rsid w:val="00B65A2C"/>
    <w:rsid w:val="00B65AFE"/>
    <w:rsid w:val="00B672CF"/>
    <w:rsid w:val="00B679E7"/>
    <w:rsid w:val="00B67D4E"/>
    <w:rsid w:val="00B7019F"/>
    <w:rsid w:val="00B70EBF"/>
    <w:rsid w:val="00B71403"/>
    <w:rsid w:val="00B7211E"/>
    <w:rsid w:val="00B72DCE"/>
    <w:rsid w:val="00B7307C"/>
    <w:rsid w:val="00B731D9"/>
    <w:rsid w:val="00B73422"/>
    <w:rsid w:val="00B73975"/>
    <w:rsid w:val="00B73C1D"/>
    <w:rsid w:val="00B74066"/>
    <w:rsid w:val="00B744EB"/>
    <w:rsid w:val="00B747CC"/>
    <w:rsid w:val="00B74C57"/>
    <w:rsid w:val="00B74F4D"/>
    <w:rsid w:val="00B7526B"/>
    <w:rsid w:val="00B752AC"/>
    <w:rsid w:val="00B75984"/>
    <w:rsid w:val="00B75FB9"/>
    <w:rsid w:val="00B76013"/>
    <w:rsid w:val="00B76B27"/>
    <w:rsid w:val="00B76DEE"/>
    <w:rsid w:val="00B774D9"/>
    <w:rsid w:val="00B80A6B"/>
    <w:rsid w:val="00B8192D"/>
    <w:rsid w:val="00B81F2B"/>
    <w:rsid w:val="00B81FC7"/>
    <w:rsid w:val="00B81FE5"/>
    <w:rsid w:val="00B82B08"/>
    <w:rsid w:val="00B83534"/>
    <w:rsid w:val="00B837C0"/>
    <w:rsid w:val="00B83907"/>
    <w:rsid w:val="00B8391F"/>
    <w:rsid w:val="00B83960"/>
    <w:rsid w:val="00B83D74"/>
    <w:rsid w:val="00B84568"/>
    <w:rsid w:val="00B8465F"/>
    <w:rsid w:val="00B847C7"/>
    <w:rsid w:val="00B851D2"/>
    <w:rsid w:val="00B85E19"/>
    <w:rsid w:val="00B85F70"/>
    <w:rsid w:val="00B85FA8"/>
    <w:rsid w:val="00B86024"/>
    <w:rsid w:val="00B86887"/>
    <w:rsid w:val="00B86B64"/>
    <w:rsid w:val="00B87210"/>
    <w:rsid w:val="00B87ACE"/>
    <w:rsid w:val="00B90371"/>
    <w:rsid w:val="00B90484"/>
    <w:rsid w:val="00B90562"/>
    <w:rsid w:val="00B90584"/>
    <w:rsid w:val="00B90658"/>
    <w:rsid w:val="00B90732"/>
    <w:rsid w:val="00B913F0"/>
    <w:rsid w:val="00B91F37"/>
    <w:rsid w:val="00B927F8"/>
    <w:rsid w:val="00B9288C"/>
    <w:rsid w:val="00B92F86"/>
    <w:rsid w:val="00B93668"/>
    <w:rsid w:val="00B94D7B"/>
    <w:rsid w:val="00B94DB7"/>
    <w:rsid w:val="00B954E1"/>
    <w:rsid w:val="00B957E8"/>
    <w:rsid w:val="00B95A0B"/>
    <w:rsid w:val="00B95D35"/>
    <w:rsid w:val="00B95EB3"/>
    <w:rsid w:val="00B9653E"/>
    <w:rsid w:val="00B96679"/>
    <w:rsid w:val="00B96BE0"/>
    <w:rsid w:val="00B96ED7"/>
    <w:rsid w:val="00B96FE2"/>
    <w:rsid w:val="00B97189"/>
    <w:rsid w:val="00B97292"/>
    <w:rsid w:val="00B97648"/>
    <w:rsid w:val="00B976D1"/>
    <w:rsid w:val="00B97A34"/>
    <w:rsid w:val="00B97E44"/>
    <w:rsid w:val="00BA0AF5"/>
    <w:rsid w:val="00BA0F7C"/>
    <w:rsid w:val="00BA19E8"/>
    <w:rsid w:val="00BA23F7"/>
    <w:rsid w:val="00BA2D66"/>
    <w:rsid w:val="00BA36D8"/>
    <w:rsid w:val="00BA3E80"/>
    <w:rsid w:val="00BA4123"/>
    <w:rsid w:val="00BA43C6"/>
    <w:rsid w:val="00BA45F7"/>
    <w:rsid w:val="00BA49DF"/>
    <w:rsid w:val="00BA4D30"/>
    <w:rsid w:val="00BA5057"/>
    <w:rsid w:val="00BA617C"/>
    <w:rsid w:val="00BA6190"/>
    <w:rsid w:val="00BA6F2F"/>
    <w:rsid w:val="00BA6F92"/>
    <w:rsid w:val="00BA7330"/>
    <w:rsid w:val="00BA7D8D"/>
    <w:rsid w:val="00BB01A8"/>
    <w:rsid w:val="00BB0BAC"/>
    <w:rsid w:val="00BB0D50"/>
    <w:rsid w:val="00BB0DDC"/>
    <w:rsid w:val="00BB10C9"/>
    <w:rsid w:val="00BB1318"/>
    <w:rsid w:val="00BB1560"/>
    <w:rsid w:val="00BB1861"/>
    <w:rsid w:val="00BB1F86"/>
    <w:rsid w:val="00BB2811"/>
    <w:rsid w:val="00BB2C6B"/>
    <w:rsid w:val="00BB386E"/>
    <w:rsid w:val="00BB3886"/>
    <w:rsid w:val="00BB39AA"/>
    <w:rsid w:val="00BB3A9C"/>
    <w:rsid w:val="00BB3D97"/>
    <w:rsid w:val="00BB3F13"/>
    <w:rsid w:val="00BB43DF"/>
    <w:rsid w:val="00BB4737"/>
    <w:rsid w:val="00BB5542"/>
    <w:rsid w:val="00BB5C2C"/>
    <w:rsid w:val="00BB6286"/>
    <w:rsid w:val="00BB671F"/>
    <w:rsid w:val="00BB6BA3"/>
    <w:rsid w:val="00BB6D26"/>
    <w:rsid w:val="00BB718B"/>
    <w:rsid w:val="00BB777E"/>
    <w:rsid w:val="00BB78EE"/>
    <w:rsid w:val="00BB7E54"/>
    <w:rsid w:val="00BC0F2C"/>
    <w:rsid w:val="00BC130C"/>
    <w:rsid w:val="00BC1ADC"/>
    <w:rsid w:val="00BC259A"/>
    <w:rsid w:val="00BC29AB"/>
    <w:rsid w:val="00BC29CD"/>
    <w:rsid w:val="00BC31B3"/>
    <w:rsid w:val="00BC3366"/>
    <w:rsid w:val="00BC343A"/>
    <w:rsid w:val="00BC37CB"/>
    <w:rsid w:val="00BC38DC"/>
    <w:rsid w:val="00BC3E66"/>
    <w:rsid w:val="00BC3E9A"/>
    <w:rsid w:val="00BC42FE"/>
    <w:rsid w:val="00BC440F"/>
    <w:rsid w:val="00BC4CAD"/>
    <w:rsid w:val="00BC5A82"/>
    <w:rsid w:val="00BC5C84"/>
    <w:rsid w:val="00BC5CF6"/>
    <w:rsid w:val="00BC6221"/>
    <w:rsid w:val="00BC6222"/>
    <w:rsid w:val="00BC6536"/>
    <w:rsid w:val="00BC6C7C"/>
    <w:rsid w:val="00BC6F91"/>
    <w:rsid w:val="00BC73B9"/>
    <w:rsid w:val="00BC7AA0"/>
    <w:rsid w:val="00BD0225"/>
    <w:rsid w:val="00BD0448"/>
    <w:rsid w:val="00BD04F5"/>
    <w:rsid w:val="00BD0598"/>
    <w:rsid w:val="00BD09F4"/>
    <w:rsid w:val="00BD13BA"/>
    <w:rsid w:val="00BD1CA4"/>
    <w:rsid w:val="00BD23D4"/>
    <w:rsid w:val="00BD298D"/>
    <w:rsid w:val="00BD29A9"/>
    <w:rsid w:val="00BD2BF0"/>
    <w:rsid w:val="00BD2CD5"/>
    <w:rsid w:val="00BD2DD6"/>
    <w:rsid w:val="00BD3076"/>
    <w:rsid w:val="00BD3764"/>
    <w:rsid w:val="00BD3A1E"/>
    <w:rsid w:val="00BD408A"/>
    <w:rsid w:val="00BD4494"/>
    <w:rsid w:val="00BD4682"/>
    <w:rsid w:val="00BD47F7"/>
    <w:rsid w:val="00BD4995"/>
    <w:rsid w:val="00BD4A67"/>
    <w:rsid w:val="00BD4B69"/>
    <w:rsid w:val="00BD5721"/>
    <w:rsid w:val="00BD5868"/>
    <w:rsid w:val="00BD6051"/>
    <w:rsid w:val="00BD6328"/>
    <w:rsid w:val="00BD6560"/>
    <w:rsid w:val="00BD758E"/>
    <w:rsid w:val="00BD760A"/>
    <w:rsid w:val="00BD7773"/>
    <w:rsid w:val="00BD7DCB"/>
    <w:rsid w:val="00BE1181"/>
    <w:rsid w:val="00BE19D3"/>
    <w:rsid w:val="00BE2CEE"/>
    <w:rsid w:val="00BE2E79"/>
    <w:rsid w:val="00BE3865"/>
    <w:rsid w:val="00BE3B8C"/>
    <w:rsid w:val="00BE3BF8"/>
    <w:rsid w:val="00BE3FF0"/>
    <w:rsid w:val="00BE414C"/>
    <w:rsid w:val="00BE4424"/>
    <w:rsid w:val="00BE453B"/>
    <w:rsid w:val="00BE4855"/>
    <w:rsid w:val="00BE4C91"/>
    <w:rsid w:val="00BE4D4A"/>
    <w:rsid w:val="00BE55F9"/>
    <w:rsid w:val="00BE5F6A"/>
    <w:rsid w:val="00BE60D1"/>
    <w:rsid w:val="00BE60E3"/>
    <w:rsid w:val="00BE6919"/>
    <w:rsid w:val="00BE6C2A"/>
    <w:rsid w:val="00BE7139"/>
    <w:rsid w:val="00BE7C41"/>
    <w:rsid w:val="00BF0EF0"/>
    <w:rsid w:val="00BF0FC9"/>
    <w:rsid w:val="00BF13DD"/>
    <w:rsid w:val="00BF15DC"/>
    <w:rsid w:val="00BF1695"/>
    <w:rsid w:val="00BF16CE"/>
    <w:rsid w:val="00BF1B4E"/>
    <w:rsid w:val="00BF2200"/>
    <w:rsid w:val="00BF2255"/>
    <w:rsid w:val="00BF234A"/>
    <w:rsid w:val="00BF2A11"/>
    <w:rsid w:val="00BF2D0D"/>
    <w:rsid w:val="00BF3737"/>
    <w:rsid w:val="00BF3C1F"/>
    <w:rsid w:val="00BF4053"/>
    <w:rsid w:val="00BF4E9D"/>
    <w:rsid w:val="00BF657A"/>
    <w:rsid w:val="00BF6847"/>
    <w:rsid w:val="00BF6B92"/>
    <w:rsid w:val="00BF77C9"/>
    <w:rsid w:val="00BF7C0A"/>
    <w:rsid w:val="00BF7E53"/>
    <w:rsid w:val="00C0141B"/>
    <w:rsid w:val="00C01BD6"/>
    <w:rsid w:val="00C01D85"/>
    <w:rsid w:val="00C01EC3"/>
    <w:rsid w:val="00C02221"/>
    <w:rsid w:val="00C03250"/>
    <w:rsid w:val="00C04B70"/>
    <w:rsid w:val="00C04F9C"/>
    <w:rsid w:val="00C0535E"/>
    <w:rsid w:val="00C05372"/>
    <w:rsid w:val="00C05675"/>
    <w:rsid w:val="00C056A8"/>
    <w:rsid w:val="00C056FA"/>
    <w:rsid w:val="00C061CA"/>
    <w:rsid w:val="00C0630A"/>
    <w:rsid w:val="00C06628"/>
    <w:rsid w:val="00C069AC"/>
    <w:rsid w:val="00C06BB4"/>
    <w:rsid w:val="00C06D03"/>
    <w:rsid w:val="00C06EC8"/>
    <w:rsid w:val="00C07571"/>
    <w:rsid w:val="00C07771"/>
    <w:rsid w:val="00C10165"/>
    <w:rsid w:val="00C10558"/>
    <w:rsid w:val="00C10FF3"/>
    <w:rsid w:val="00C1145C"/>
    <w:rsid w:val="00C1179D"/>
    <w:rsid w:val="00C11BCC"/>
    <w:rsid w:val="00C1255A"/>
    <w:rsid w:val="00C12670"/>
    <w:rsid w:val="00C12CD3"/>
    <w:rsid w:val="00C12E26"/>
    <w:rsid w:val="00C136ED"/>
    <w:rsid w:val="00C137E4"/>
    <w:rsid w:val="00C138C7"/>
    <w:rsid w:val="00C1392A"/>
    <w:rsid w:val="00C13CE1"/>
    <w:rsid w:val="00C13DA9"/>
    <w:rsid w:val="00C13DBC"/>
    <w:rsid w:val="00C144F3"/>
    <w:rsid w:val="00C14D0B"/>
    <w:rsid w:val="00C15916"/>
    <w:rsid w:val="00C15940"/>
    <w:rsid w:val="00C15A3F"/>
    <w:rsid w:val="00C15D61"/>
    <w:rsid w:val="00C160A1"/>
    <w:rsid w:val="00C1679E"/>
    <w:rsid w:val="00C169EA"/>
    <w:rsid w:val="00C16D79"/>
    <w:rsid w:val="00C1745F"/>
    <w:rsid w:val="00C17CD4"/>
    <w:rsid w:val="00C17F16"/>
    <w:rsid w:val="00C2017F"/>
    <w:rsid w:val="00C20A84"/>
    <w:rsid w:val="00C20E20"/>
    <w:rsid w:val="00C21D90"/>
    <w:rsid w:val="00C21F66"/>
    <w:rsid w:val="00C22272"/>
    <w:rsid w:val="00C223CB"/>
    <w:rsid w:val="00C228AB"/>
    <w:rsid w:val="00C228DB"/>
    <w:rsid w:val="00C2323A"/>
    <w:rsid w:val="00C23252"/>
    <w:rsid w:val="00C23A53"/>
    <w:rsid w:val="00C2454D"/>
    <w:rsid w:val="00C252DF"/>
    <w:rsid w:val="00C25B00"/>
    <w:rsid w:val="00C25DB8"/>
    <w:rsid w:val="00C25F42"/>
    <w:rsid w:val="00C26236"/>
    <w:rsid w:val="00C2668A"/>
    <w:rsid w:val="00C26A96"/>
    <w:rsid w:val="00C26B78"/>
    <w:rsid w:val="00C26E71"/>
    <w:rsid w:val="00C273ED"/>
    <w:rsid w:val="00C2798D"/>
    <w:rsid w:val="00C301D7"/>
    <w:rsid w:val="00C3025F"/>
    <w:rsid w:val="00C309E8"/>
    <w:rsid w:val="00C30B76"/>
    <w:rsid w:val="00C30E95"/>
    <w:rsid w:val="00C3169B"/>
    <w:rsid w:val="00C31923"/>
    <w:rsid w:val="00C31E61"/>
    <w:rsid w:val="00C31F16"/>
    <w:rsid w:val="00C32483"/>
    <w:rsid w:val="00C326D2"/>
    <w:rsid w:val="00C327A6"/>
    <w:rsid w:val="00C32F0E"/>
    <w:rsid w:val="00C3309A"/>
    <w:rsid w:val="00C33430"/>
    <w:rsid w:val="00C334F5"/>
    <w:rsid w:val="00C339CD"/>
    <w:rsid w:val="00C33E15"/>
    <w:rsid w:val="00C345C0"/>
    <w:rsid w:val="00C3465E"/>
    <w:rsid w:val="00C349CE"/>
    <w:rsid w:val="00C34E9B"/>
    <w:rsid w:val="00C3530B"/>
    <w:rsid w:val="00C35314"/>
    <w:rsid w:val="00C35455"/>
    <w:rsid w:val="00C3574B"/>
    <w:rsid w:val="00C35D3F"/>
    <w:rsid w:val="00C35F3E"/>
    <w:rsid w:val="00C361C6"/>
    <w:rsid w:val="00C36CDE"/>
    <w:rsid w:val="00C37415"/>
    <w:rsid w:val="00C37516"/>
    <w:rsid w:val="00C375C4"/>
    <w:rsid w:val="00C375ED"/>
    <w:rsid w:val="00C37DC3"/>
    <w:rsid w:val="00C37F4D"/>
    <w:rsid w:val="00C4045A"/>
    <w:rsid w:val="00C406E4"/>
    <w:rsid w:val="00C40926"/>
    <w:rsid w:val="00C409E3"/>
    <w:rsid w:val="00C40BBB"/>
    <w:rsid w:val="00C410C2"/>
    <w:rsid w:val="00C411AD"/>
    <w:rsid w:val="00C41779"/>
    <w:rsid w:val="00C42326"/>
    <w:rsid w:val="00C42432"/>
    <w:rsid w:val="00C43E9D"/>
    <w:rsid w:val="00C43F7D"/>
    <w:rsid w:val="00C44635"/>
    <w:rsid w:val="00C44A1B"/>
    <w:rsid w:val="00C44A79"/>
    <w:rsid w:val="00C4525E"/>
    <w:rsid w:val="00C452A6"/>
    <w:rsid w:val="00C45750"/>
    <w:rsid w:val="00C45B59"/>
    <w:rsid w:val="00C4619B"/>
    <w:rsid w:val="00C47301"/>
    <w:rsid w:val="00C475FD"/>
    <w:rsid w:val="00C47BA7"/>
    <w:rsid w:val="00C47D23"/>
    <w:rsid w:val="00C50428"/>
    <w:rsid w:val="00C506B9"/>
    <w:rsid w:val="00C50A07"/>
    <w:rsid w:val="00C50C08"/>
    <w:rsid w:val="00C50C37"/>
    <w:rsid w:val="00C51A2D"/>
    <w:rsid w:val="00C51FDC"/>
    <w:rsid w:val="00C52134"/>
    <w:rsid w:val="00C52160"/>
    <w:rsid w:val="00C52699"/>
    <w:rsid w:val="00C52BA8"/>
    <w:rsid w:val="00C5333F"/>
    <w:rsid w:val="00C53400"/>
    <w:rsid w:val="00C534A3"/>
    <w:rsid w:val="00C53FD3"/>
    <w:rsid w:val="00C542DF"/>
    <w:rsid w:val="00C54AE1"/>
    <w:rsid w:val="00C55724"/>
    <w:rsid w:val="00C557F5"/>
    <w:rsid w:val="00C55F0A"/>
    <w:rsid w:val="00C55F7E"/>
    <w:rsid w:val="00C56435"/>
    <w:rsid w:val="00C5667A"/>
    <w:rsid w:val="00C56FB3"/>
    <w:rsid w:val="00C57B46"/>
    <w:rsid w:val="00C57BD0"/>
    <w:rsid w:val="00C60AED"/>
    <w:rsid w:val="00C60FB9"/>
    <w:rsid w:val="00C61260"/>
    <w:rsid w:val="00C61472"/>
    <w:rsid w:val="00C619DF"/>
    <w:rsid w:val="00C61AC6"/>
    <w:rsid w:val="00C61D05"/>
    <w:rsid w:val="00C61E94"/>
    <w:rsid w:val="00C61FB3"/>
    <w:rsid w:val="00C626E0"/>
    <w:rsid w:val="00C62A61"/>
    <w:rsid w:val="00C62B2C"/>
    <w:rsid w:val="00C62E05"/>
    <w:rsid w:val="00C63382"/>
    <w:rsid w:val="00C63741"/>
    <w:rsid w:val="00C6385A"/>
    <w:rsid w:val="00C63A4E"/>
    <w:rsid w:val="00C63B0E"/>
    <w:rsid w:val="00C64370"/>
    <w:rsid w:val="00C6441B"/>
    <w:rsid w:val="00C645F6"/>
    <w:rsid w:val="00C6511C"/>
    <w:rsid w:val="00C654DD"/>
    <w:rsid w:val="00C65858"/>
    <w:rsid w:val="00C65A00"/>
    <w:rsid w:val="00C664F1"/>
    <w:rsid w:val="00C669F7"/>
    <w:rsid w:val="00C66B68"/>
    <w:rsid w:val="00C66D82"/>
    <w:rsid w:val="00C66F1D"/>
    <w:rsid w:val="00C672D3"/>
    <w:rsid w:val="00C673D4"/>
    <w:rsid w:val="00C676C0"/>
    <w:rsid w:val="00C706E4"/>
    <w:rsid w:val="00C70794"/>
    <w:rsid w:val="00C70B61"/>
    <w:rsid w:val="00C70D9F"/>
    <w:rsid w:val="00C710CA"/>
    <w:rsid w:val="00C71681"/>
    <w:rsid w:val="00C71ABB"/>
    <w:rsid w:val="00C720C3"/>
    <w:rsid w:val="00C72E2E"/>
    <w:rsid w:val="00C7370B"/>
    <w:rsid w:val="00C7375C"/>
    <w:rsid w:val="00C73883"/>
    <w:rsid w:val="00C73E42"/>
    <w:rsid w:val="00C74757"/>
    <w:rsid w:val="00C74923"/>
    <w:rsid w:val="00C76372"/>
    <w:rsid w:val="00C767EB"/>
    <w:rsid w:val="00C76A8E"/>
    <w:rsid w:val="00C76C7A"/>
    <w:rsid w:val="00C76F23"/>
    <w:rsid w:val="00C7733C"/>
    <w:rsid w:val="00C77574"/>
    <w:rsid w:val="00C80A0D"/>
    <w:rsid w:val="00C80CFE"/>
    <w:rsid w:val="00C80DEF"/>
    <w:rsid w:val="00C814E7"/>
    <w:rsid w:val="00C816AD"/>
    <w:rsid w:val="00C81AA6"/>
    <w:rsid w:val="00C827E0"/>
    <w:rsid w:val="00C82E00"/>
    <w:rsid w:val="00C82F6F"/>
    <w:rsid w:val="00C83130"/>
    <w:rsid w:val="00C833B4"/>
    <w:rsid w:val="00C83627"/>
    <w:rsid w:val="00C83ABB"/>
    <w:rsid w:val="00C83AC7"/>
    <w:rsid w:val="00C83F7D"/>
    <w:rsid w:val="00C84243"/>
    <w:rsid w:val="00C847E3"/>
    <w:rsid w:val="00C84C6D"/>
    <w:rsid w:val="00C8511E"/>
    <w:rsid w:val="00C85332"/>
    <w:rsid w:val="00C8570D"/>
    <w:rsid w:val="00C857FE"/>
    <w:rsid w:val="00C861BE"/>
    <w:rsid w:val="00C86333"/>
    <w:rsid w:val="00C86AFA"/>
    <w:rsid w:val="00C872EC"/>
    <w:rsid w:val="00C874D3"/>
    <w:rsid w:val="00C87673"/>
    <w:rsid w:val="00C87A9F"/>
    <w:rsid w:val="00C90ED2"/>
    <w:rsid w:val="00C91064"/>
    <w:rsid w:val="00C911A6"/>
    <w:rsid w:val="00C915AC"/>
    <w:rsid w:val="00C917B5"/>
    <w:rsid w:val="00C92316"/>
    <w:rsid w:val="00C92600"/>
    <w:rsid w:val="00C92614"/>
    <w:rsid w:val="00C927AC"/>
    <w:rsid w:val="00C92A47"/>
    <w:rsid w:val="00C92E62"/>
    <w:rsid w:val="00C93052"/>
    <w:rsid w:val="00C93442"/>
    <w:rsid w:val="00C9358B"/>
    <w:rsid w:val="00C93D2F"/>
    <w:rsid w:val="00C93EA2"/>
    <w:rsid w:val="00C93F1A"/>
    <w:rsid w:val="00C94410"/>
    <w:rsid w:val="00C948F1"/>
    <w:rsid w:val="00C94B4F"/>
    <w:rsid w:val="00C952D1"/>
    <w:rsid w:val="00C9557B"/>
    <w:rsid w:val="00C95592"/>
    <w:rsid w:val="00C96673"/>
    <w:rsid w:val="00C96A5D"/>
    <w:rsid w:val="00C9764B"/>
    <w:rsid w:val="00C97A99"/>
    <w:rsid w:val="00CA059D"/>
    <w:rsid w:val="00CA05D9"/>
    <w:rsid w:val="00CA0910"/>
    <w:rsid w:val="00CA0946"/>
    <w:rsid w:val="00CA0DFB"/>
    <w:rsid w:val="00CA1029"/>
    <w:rsid w:val="00CA1745"/>
    <w:rsid w:val="00CA1B97"/>
    <w:rsid w:val="00CA1BF8"/>
    <w:rsid w:val="00CA1DE1"/>
    <w:rsid w:val="00CA22C7"/>
    <w:rsid w:val="00CA25C2"/>
    <w:rsid w:val="00CA2637"/>
    <w:rsid w:val="00CA2A97"/>
    <w:rsid w:val="00CA2E78"/>
    <w:rsid w:val="00CA304B"/>
    <w:rsid w:val="00CA311D"/>
    <w:rsid w:val="00CA4AB3"/>
    <w:rsid w:val="00CA4B23"/>
    <w:rsid w:val="00CA4F52"/>
    <w:rsid w:val="00CA59FB"/>
    <w:rsid w:val="00CA5ADF"/>
    <w:rsid w:val="00CA5C20"/>
    <w:rsid w:val="00CA5D24"/>
    <w:rsid w:val="00CA624E"/>
    <w:rsid w:val="00CA68A5"/>
    <w:rsid w:val="00CA6A06"/>
    <w:rsid w:val="00CA79B0"/>
    <w:rsid w:val="00CB04F6"/>
    <w:rsid w:val="00CB07CD"/>
    <w:rsid w:val="00CB09CF"/>
    <w:rsid w:val="00CB113E"/>
    <w:rsid w:val="00CB1207"/>
    <w:rsid w:val="00CB190D"/>
    <w:rsid w:val="00CB198D"/>
    <w:rsid w:val="00CB1B6F"/>
    <w:rsid w:val="00CB1CD1"/>
    <w:rsid w:val="00CB1E8E"/>
    <w:rsid w:val="00CB1EE5"/>
    <w:rsid w:val="00CB254E"/>
    <w:rsid w:val="00CB3F7E"/>
    <w:rsid w:val="00CB44C2"/>
    <w:rsid w:val="00CB4651"/>
    <w:rsid w:val="00CB50E5"/>
    <w:rsid w:val="00CB6B6E"/>
    <w:rsid w:val="00CB7538"/>
    <w:rsid w:val="00CB7B70"/>
    <w:rsid w:val="00CB7EF2"/>
    <w:rsid w:val="00CC01F0"/>
    <w:rsid w:val="00CC139C"/>
    <w:rsid w:val="00CC19A0"/>
    <w:rsid w:val="00CC23B4"/>
    <w:rsid w:val="00CC2538"/>
    <w:rsid w:val="00CC291F"/>
    <w:rsid w:val="00CC2932"/>
    <w:rsid w:val="00CC2B3F"/>
    <w:rsid w:val="00CC2C35"/>
    <w:rsid w:val="00CC3659"/>
    <w:rsid w:val="00CC36BE"/>
    <w:rsid w:val="00CC3824"/>
    <w:rsid w:val="00CC3BBE"/>
    <w:rsid w:val="00CC4CCA"/>
    <w:rsid w:val="00CC5815"/>
    <w:rsid w:val="00CC5C5D"/>
    <w:rsid w:val="00CC639E"/>
    <w:rsid w:val="00CC671E"/>
    <w:rsid w:val="00CC6FA0"/>
    <w:rsid w:val="00CC7097"/>
    <w:rsid w:val="00CC74D2"/>
    <w:rsid w:val="00CD03FE"/>
    <w:rsid w:val="00CD0EED"/>
    <w:rsid w:val="00CD1026"/>
    <w:rsid w:val="00CD13BB"/>
    <w:rsid w:val="00CD16FB"/>
    <w:rsid w:val="00CD179C"/>
    <w:rsid w:val="00CD1AFA"/>
    <w:rsid w:val="00CD227B"/>
    <w:rsid w:val="00CD2854"/>
    <w:rsid w:val="00CD2939"/>
    <w:rsid w:val="00CD2B90"/>
    <w:rsid w:val="00CD43F1"/>
    <w:rsid w:val="00CD4FF7"/>
    <w:rsid w:val="00CD50FE"/>
    <w:rsid w:val="00CD59A0"/>
    <w:rsid w:val="00CD602C"/>
    <w:rsid w:val="00CD66E7"/>
    <w:rsid w:val="00CD6CD6"/>
    <w:rsid w:val="00CD7899"/>
    <w:rsid w:val="00CD7C6B"/>
    <w:rsid w:val="00CE00E8"/>
    <w:rsid w:val="00CE025C"/>
    <w:rsid w:val="00CE0652"/>
    <w:rsid w:val="00CE0BEE"/>
    <w:rsid w:val="00CE0D1F"/>
    <w:rsid w:val="00CE0FC0"/>
    <w:rsid w:val="00CE1144"/>
    <w:rsid w:val="00CE11CF"/>
    <w:rsid w:val="00CE1268"/>
    <w:rsid w:val="00CE2731"/>
    <w:rsid w:val="00CE2FA3"/>
    <w:rsid w:val="00CE2FA5"/>
    <w:rsid w:val="00CE33A0"/>
    <w:rsid w:val="00CE3A23"/>
    <w:rsid w:val="00CE3F44"/>
    <w:rsid w:val="00CE476F"/>
    <w:rsid w:val="00CE4AC0"/>
    <w:rsid w:val="00CE4F93"/>
    <w:rsid w:val="00CE51C0"/>
    <w:rsid w:val="00CE53BF"/>
    <w:rsid w:val="00CE56A7"/>
    <w:rsid w:val="00CE5A33"/>
    <w:rsid w:val="00CE5ACD"/>
    <w:rsid w:val="00CE5E13"/>
    <w:rsid w:val="00CE5F7C"/>
    <w:rsid w:val="00CE714D"/>
    <w:rsid w:val="00CF0109"/>
    <w:rsid w:val="00CF04FF"/>
    <w:rsid w:val="00CF0E87"/>
    <w:rsid w:val="00CF1459"/>
    <w:rsid w:val="00CF172A"/>
    <w:rsid w:val="00CF19C6"/>
    <w:rsid w:val="00CF1C78"/>
    <w:rsid w:val="00CF20AA"/>
    <w:rsid w:val="00CF22B6"/>
    <w:rsid w:val="00CF22D0"/>
    <w:rsid w:val="00CF2D29"/>
    <w:rsid w:val="00CF2E90"/>
    <w:rsid w:val="00CF3199"/>
    <w:rsid w:val="00CF32AB"/>
    <w:rsid w:val="00CF3BC9"/>
    <w:rsid w:val="00CF405D"/>
    <w:rsid w:val="00CF4627"/>
    <w:rsid w:val="00CF4A33"/>
    <w:rsid w:val="00CF4B1F"/>
    <w:rsid w:val="00CF4DAF"/>
    <w:rsid w:val="00CF527D"/>
    <w:rsid w:val="00CF54C4"/>
    <w:rsid w:val="00CF5FDC"/>
    <w:rsid w:val="00CF6390"/>
    <w:rsid w:val="00CF645C"/>
    <w:rsid w:val="00CF6AE3"/>
    <w:rsid w:val="00CF7406"/>
    <w:rsid w:val="00CF74E6"/>
    <w:rsid w:val="00CF7804"/>
    <w:rsid w:val="00CF7BB0"/>
    <w:rsid w:val="00D0003F"/>
    <w:rsid w:val="00D000C9"/>
    <w:rsid w:val="00D0090C"/>
    <w:rsid w:val="00D00935"/>
    <w:rsid w:val="00D009CC"/>
    <w:rsid w:val="00D00D91"/>
    <w:rsid w:val="00D01001"/>
    <w:rsid w:val="00D018A9"/>
    <w:rsid w:val="00D01A8F"/>
    <w:rsid w:val="00D01C70"/>
    <w:rsid w:val="00D01D3D"/>
    <w:rsid w:val="00D0264C"/>
    <w:rsid w:val="00D031E7"/>
    <w:rsid w:val="00D03869"/>
    <w:rsid w:val="00D03AB6"/>
    <w:rsid w:val="00D03BF4"/>
    <w:rsid w:val="00D04106"/>
    <w:rsid w:val="00D04497"/>
    <w:rsid w:val="00D04CE0"/>
    <w:rsid w:val="00D0523B"/>
    <w:rsid w:val="00D054B4"/>
    <w:rsid w:val="00D055F4"/>
    <w:rsid w:val="00D0603F"/>
    <w:rsid w:val="00D06645"/>
    <w:rsid w:val="00D06970"/>
    <w:rsid w:val="00D074FF"/>
    <w:rsid w:val="00D07787"/>
    <w:rsid w:val="00D10C22"/>
    <w:rsid w:val="00D10D53"/>
    <w:rsid w:val="00D10F4F"/>
    <w:rsid w:val="00D1104A"/>
    <w:rsid w:val="00D11561"/>
    <w:rsid w:val="00D1190F"/>
    <w:rsid w:val="00D11BFB"/>
    <w:rsid w:val="00D11E43"/>
    <w:rsid w:val="00D1242A"/>
    <w:rsid w:val="00D125E7"/>
    <w:rsid w:val="00D12A6E"/>
    <w:rsid w:val="00D12DDE"/>
    <w:rsid w:val="00D12E09"/>
    <w:rsid w:val="00D1315F"/>
    <w:rsid w:val="00D13582"/>
    <w:rsid w:val="00D13EBD"/>
    <w:rsid w:val="00D14465"/>
    <w:rsid w:val="00D15AC3"/>
    <w:rsid w:val="00D15D57"/>
    <w:rsid w:val="00D16184"/>
    <w:rsid w:val="00D1626F"/>
    <w:rsid w:val="00D17943"/>
    <w:rsid w:val="00D20141"/>
    <w:rsid w:val="00D204A9"/>
    <w:rsid w:val="00D204D4"/>
    <w:rsid w:val="00D205DF"/>
    <w:rsid w:val="00D2089D"/>
    <w:rsid w:val="00D20B48"/>
    <w:rsid w:val="00D215CB"/>
    <w:rsid w:val="00D21E91"/>
    <w:rsid w:val="00D223C7"/>
    <w:rsid w:val="00D229CE"/>
    <w:rsid w:val="00D22B57"/>
    <w:rsid w:val="00D22FDB"/>
    <w:rsid w:val="00D23585"/>
    <w:rsid w:val="00D23A65"/>
    <w:rsid w:val="00D24421"/>
    <w:rsid w:val="00D24428"/>
    <w:rsid w:val="00D24DA5"/>
    <w:rsid w:val="00D24DD2"/>
    <w:rsid w:val="00D2530F"/>
    <w:rsid w:val="00D25435"/>
    <w:rsid w:val="00D25560"/>
    <w:rsid w:val="00D259C7"/>
    <w:rsid w:val="00D25BEC"/>
    <w:rsid w:val="00D25FBD"/>
    <w:rsid w:val="00D2618A"/>
    <w:rsid w:val="00D2683A"/>
    <w:rsid w:val="00D269C7"/>
    <w:rsid w:val="00D269D5"/>
    <w:rsid w:val="00D2761A"/>
    <w:rsid w:val="00D27899"/>
    <w:rsid w:val="00D27DCD"/>
    <w:rsid w:val="00D3014F"/>
    <w:rsid w:val="00D30E9B"/>
    <w:rsid w:val="00D31091"/>
    <w:rsid w:val="00D3192B"/>
    <w:rsid w:val="00D31A29"/>
    <w:rsid w:val="00D31C65"/>
    <w:rsid w:val="00D31F10"/>
    <w:rsid w:val="00D3221D"/>
    <w:rsid w:val="00D32266"/>
    <w:rsid w:val="00D3244B"/>
    <w:rsid w:val="00D328AC"/>
    <w:rsid w:val="00D329EC"/>
    <w:rsid w:val="00D3335A"/>
    <w:rsid w:val="00D335F9"/>
    <w:rsid w:val="00D33819"/>
    <w:rsid w:val="00D33CE8"/>
    <w:rsid w:val="00D34514"/>
    <w:rsid w:val="00D34ECB"/>
    <w:rsid w:val="00D352C1"/>
    <w:rsid w:val="00D357EA"/>
    <w:rsid w:val="00D35868"/>
    <w:rsid w:val="00D35DFC"/>
    <w:rsid w:val="00D3745C"/>
    <w:rsid w:val="00D374FE"/>
    <w:rsid w:val="00D3750E"/>
    <w:rsid w:val="00D37A0C"/>
    <w:rsid w:val="00D400AA"/>
    <w:rsid w:val="00D401B0"/>
    <w:rsid w:val="00D4020F"/>
    <w:rsid w:val="00D414C8"/>
    <w:rsid w:val="00D4196B"/>
    <w:rsid w:val="00D42480"/>
    <w:rsid w:val="00D42493"/>
    <w:rsid w:val="00D4310E"/>
    <w:rsid w:val="00D43D40"/>
    <w:rsid w:val="00D44323"/>
    <w:rsid w:val="00D445EA"/>
    <w:rsid w:val="00D44B78"/>
    <w:rsid w:val="00D4529C"/>
    <w:rsid w:val="00D4569B"/>
    <w:rsid w:val="00D4569E"/>
    <w:rsid w:val="00D45F2D"/>
    <w:rsid w:val="00D461A5"/>
    <w:rsid w:val="00D4631C"/>
    <w:rsid w:val="00D4662F"/>
    <w:rsid w:val="00D46A14"/>
    <w:rsid w:val="00D46DBB"/>
    <w:rsid w:val="00D4711D"/>
    <w:rsid w:val="00D47DB9"/>
    <w:rsid w:val="00D501E7"/>
    <w:rsid w:val="00D504D7"/>
    <w:rsid w:val="00D50B61"/>
    <w:rsid w:val="00D50FA2"/>
    <w:rsid w:val="00D51365"/>
    <w:rsid w:val="00D51971"/>
    <w:rsid w:val="00D51B30"/>
    <w:rsid w:val="00D5251F"/>
    <w:rsid w:val="00D52815"/>
    <w:rsid w:val="00D52BEF"/>
    <w:rsid w:val="00D52E90"/>
    <w:rsid w:val="00D52EB3"/>
    <w:rsid w:val="00D531DC"/>
    <w:rsid w:val="00D532EC"/>
    <w:rsid w:val="00D53452"/>
    <w:rsid w:val="00D54242"/>
    <w:rsid w:val="00D55519"/>
    <w:rsid w:val="00D55645"/>
    <w:rsid w:val="00D55863"/>
    <w:rsid w:val="00D55B4C"/>
    <w:rsid w:val="00D55BD9"/>
    <w:rsid w:val="00D565E6"/>
    <w:rsid w:val="00D601C3"/>
    <w:rsid w:val="00D60566"/>
    <w:rsid w:val="00D62434"/>
    <w:rsid w:val="00D626FB"/>
    <w:rsid w:val="00D62957"/>
    <w:rsid w:val="00D62B9F"/>
    <w:rsid w:val="00D6372D"/>
    <w:rsid w:val="00D63795"/>
    <w:rsid w:val="00D63ED7"/>
    <w:rsid w:val="00D640A5"/>
    <w:rsid w:val="00D641C8"/>
    <w:rsid w:val="00D6453A"/>
    <w:rsid w:val="00D64616"/>
    <w:rsid w:val="00D6485E"/>
    <w:rsid w:val="00D64979"/>
    <w:rsid w:val="00D64DD9"/>
    <w:rsid w:val="00D65172"/>
    <w:rsid w:val="00D6525A"/>
    <w:rsid w:val="00D65400"/>
    <w:rsid w:val="00D6568C"/>
    <w:rsid w:val="00D65786"/>
    <w:rsid w:val="00D657FF"/>
    <w:rsid w:val="00D65EAA"/>
    <w:rsid w:val="00D661DF"/>
    <w:rsid w:val="00D66329"/>
    <w:rsid w:val="00D66536"/>
    <w:rsid w:val="00D66A7E"/>
    <w:rsid w:val="00D66CD3"/>
    <w:rsid w:val="00D67123"/>
    <w:rsid w:val="00D679C7"/>
    <w:rsid w:val="00D67AAB"/>
    <w:rsid w:val="00D7002F"/>
    <w:rsid w:val="00D707B6"/>
    <w:rsid w:val="00D70BA5"/>
    <w:rsid w:val="00D712E7"/>
    <w:rsid w:val="00D7131A"/>
    <w:rsid w:val="00D719D8"/>
    <w:rsid w:val="00D71AFC"/>
    <w:rsid w:val="00D729D3"/>
    <w:rsid w:val="00D729FA"/>
    <w:rsid w:val="00D72F29"/>
    <w:rsid w:val="00D733AC"/>
    <w:rsid w:val="00D734DD"/>
    <w:rsid w:val="00D736DB"/>
    <w:rsid w:val="00D73FE6"/>
    <w:rsid w:val="00D74A17"/>
    <w:rsid w:val="00D750F2"/>
    <w:rsid w:val="00D760D8"/>
    <w:rsid w:val="00D7622B"/>
    <w:rsid w:val="00D76483"/>
    <w:rsid w:val="00D76485"/>
    <w:rsid w:val="00D76E27"/>
    <w:rsid w:val="00D76FA0"/>
    <w:rsid w:val="00D776F0"/>
    <w:rsid w:val="00D804EB"/>
    <w:rsid w:val="00D80E12"/>
    <w:rsid w:val="00D80FFD"/>
    <w:rsid w:val="00D81121"/>
    <w:rsid w:val="00D8119B"/>
    <w:rsid w:val="00D81250"/>
    <w:rsid w:val="00D81928"/>
    <w:rsid w:val="00D81B7B"/>
    <w:rsid w:val="00D81BF6"/>
    <w:rsid w:val="00D81FD6"/>
    <w:rsid w:val="00D82C90"/>
    <w:rsid w:val="00D83617"/>
    <w:rsid w:val="00D838F2"/>
    <w:rsid w:val="00D84385"/>
    <w:rsid w:val="00D8448E"/>
    <w:rsid w:val="00D845F2"/>
    <w:rsid w:val="00D84A4C"/>
    <w:rsid w:val="00D84AB5"/>
    <w:rsid w:val="00D8595D"/>
    <w:rsid w:val="00D8595F"/>
    <w:rsid w:val="00D85FBB"/>
    <w:rsid w:val="00D860FE"/>
    <w:rsid w:val="00D86C6C"/>
    <w:rsid w:val="00D86D07"/>
    <w:rsid w:val="00D90239"/>
    <w:rsid w:val="00D90C0E"/>
    <w:rsid w:val="00D9113A"/>
    <w:rsid w:val="00D9147B"/>
    <w:rsid w:val="00D915D1"/>
    <w:rsid w:val="00D918AB"/>
    <w:rsid w:val="00D91B39"/>
    <w:rsid w:val="00D920B6"/>
    <w:rsid w:val="00D92CBC"/>
    <w:rsid w:val="00D92D42"/>
    <w:rsid w:val="00D92E7B"/>
    <w:rsid w:val="00D92F9A"/>
    <w:rsid w:val="00D930AB"/>
    <w:rsid w:val="00D9340C"/>
    <w:rsid w:val="00D937F4"/>
    <w:rsid w:val="00D94324"/>
    <w:rsid w:val="00D945C0"/>
    <w:rsid w:val="00D94A9A"/>
    <w:rsid w:val="00D94B0F"/>
    <w:rsid w:val="00D95547"/>
    <w:rsid w:val="00D955B7"/>
    <w:rsid w:val="00D9562A"/>
    <w:rsid w:val="00D95B97"/>
    <w:rsid w:val="00D95EC9"/>
    <w:rsid w:val="00D96CB2"/>
    <w:rsid w:val="00D96DFD"/>
    <w:rsid w:val="00D978CB"/>
    <w:rsid w:val="00D97B59"/>
    <w:rsid w:val="00DA0190"/>
    <w:rsid w:val="00DA0C61"/>
    <w:rsid w:val="00DA0D67"/>
    <w:rsid w:val="00DA1B90"/>
    <w:rsid w:val="00DA24F2"/>
    <w:rsid w:val="00DA2503"/>
    <w:rsid w:val="00DA315C"/>
    <w:rsid w:val="00DA3536"/>
    <w:rsid w:val="00DA3AD5"/>
    <w:rsid w:val="00DA3D14"/>
    <w:rsid w:val="00DA3E25"/>
    <w:rsid w:val="00DA3E71"/>
    <w:rsid w:val="00DA3ECE"/>
    <w:rsid w:val="00DA3F8A"/>
    <w:rsid w:val="00DA46BF"/>
    <w:rsid w:val="00DA477C"/>
    <w:rsid w:val="00DA47B2"/>
    <w:rsid w:val="00DA4BE9"/>
    <w:rsid w:val="00DA4F4E"/>
    <w:rsid w:val="00DA5105"/>
    <w:rsid w:val="00DA5A29"/>
    <w:rsid w:val="00DA5CC6"/>
    <w:rsid w:val="00DA5F49"/>
    <w:rsid w:val="00DA67C6"/>
    <w:rsid w:val="00DA6A62"/>
    <w:rsid w:val="00DA7554"/>
    <w:rsid w:val="00DA7FF9"/>
    <w:rsid w:val="00DB045A"/>
    <w:rsid w:val="00DB08C9"/>
    <w:rsid w:val="00DB0AE4"/>
    <w:rsid w:val="00DB0B47"/>
    <w:rsid w:val="00DB14E0"/>
    <w:rsid w:val="00DB14FB"/>
    <w:rsid w:val="00DB1E61"/>
    <w:rsid w:val="00DB1FAE"/>
    <w:rsid w:val="00DB2FD6"/>
    <w:rsid w:val="00DB3172"/>
    <w:rsid w:val="00DB34D8"/>
    <w:rsid w:val="00DB35B9"/>
    <w:rsid w:val="00DB37F9"/>
    <w:rsid w:val="00DB3B6D"/>
    <w:rsid w:val="00DB4794"/>
    <w:rsid w:val="00DB4ACD"/>
    <w:rsid w:val="00DB4AFA"/>
    <w:rsid w:val="00DB5149"/>
    <w:rsid w:val="00DB55C2"/>
    <w:rsid w:val="00DB5729"/>
    <w:rsid w:val="00DB57DB"/>
    <w:rsid w:val="00DB5CC7"/>
    <w:rsid w:val="00DB5FAE"/>
    <w:rsid w:val="00DB6061"/>
    <w:rsid w:val="00DB64B6"/>
    <w:rsid w:val="00DB670B"/>
    <w:rsid w:val="00DB6DEB"/>
    <w:rsid w:val="00DC07C8"/>
    <w:rsid w:val="00DC0CFF"/>
    <w:rsid w:val="00DC184E"/>
    <w:rsid w:val="00DC1D20"/>
    <w:rsid w:val="00DC2543"/>
    <w:rsid w:val="00DC34CD"/>
    <w:rsid w:val="00DC3A73"/>
    <w:rsid w:val="00DC3B34"/>
    <w:rsid w:val="00DC3B93"/>
    <w:rsid w:val="00DC3DFA"/>
    <w:rsid w:val="00DC4487"/>
    <w:rsid w:val="00DC4B5A"/>
    <w:rsid w:val="00DC5211"/>
    <w:rsid w:val="00DC53DD"/>
    <w:rsid w:val="00DC574F"/>
    <w:rsid w:val="00DC5AB5"/>
    <w:rsid w:val="00DC5B46"/>
    <w:rsid w:val="00DC5CBA"/>
    <w:rsid w:val="00DC6143"/>
    <w:rsid w:val="00DC6B89"/>
    <w:rsid w:val="00DC6C37"/>
    <w:rsid w:val="00DC6C84"/>
    <w:rsid w:val="00DC6F43"/>
    <w:rsid w:val="00DC6FE3"/>
    <w:rsid w:val="00DC7260"/>
    <w:rsid w:val="00DC730B"/>
    <w:rsid w:val="00DC7E09"/>
    <w:rsid w:val="00DD0745"/>
    <w:rsid w:val="00DD0D56"/>
    <w:rsid w:val="00DD1027"/>
    <w:rsid w:val="00DD10AF"/>
    <w:rsid w:val="00DD1974"/>
    <w:rsid w:val="00DD1CCC"/>
    <w:rsid w:val="00DD1CFD"/>
    <w:rsid w:val="00DD269D"/>
    <w:rsid w:val="00DD26E7"/>
    <w:rsid w:val="00DD2E59"/>
    <w:rsid w:val="00DD3484"/>
    <w:rsid w:val="00DD3C31"/>
    <w:rsid w:val="00DD3C8A"/>
    <w:rsid w:val="00DD3CF1"/>
    <w:rsid w:val="00DD486C"/>
    <w:rsid w:val="00DD545E"/>
    <w:rsid w:val="00DD5898"/>
    <w:rsid w:val="00DD731E"/>
    <w:rsid w:val="00DD74CB"/>
    <w:rsid w:val="00DD7524"/>
    <w:rsid w:val="00DD772A"/>
    <w:rsid w:val="00DD774A"/>
    <w:rsid w:val="00DD7C56"/>
    <w:rsid w:val="00DD7D4F"/>
    <w:rsid w:val="00DE0210"/>
    <w:rsid w:val="00DE059C"/>
    <w:rsid w:val="00DE1563"/>
    <w:rsid w:val="00DE2026"/>
    <w:rsid w:val="00DE243D"/>
    <w:rsid w:val="00DE26DB"/>
    <w:rsid w:val="00DE34F0"/>
    <w:rsid w:val="00DE363F"/>
    <w:rsid w:val="00DE36C1"/>
    <w:rsid w:val="00DE3D61"/>
    <w:rsid w:val="00DE3E7D"/>
    <w:rsid w:val="00DE406C"/>
    <w:rsid w:val="00DE49E5"/>
    <w:rsid w:val="00DE5062"/>
    <w:rsid w:val="00DE5AA1"/>
    <w:rsid w:val="00DE5BA8"/>
    <w:rsid w:val="00DE5E40"/>
    <w:rsid w:val="00DE6048"/>
    <w:rsid w:val="00DE62D8"/>
    <w:rsid w:val="00DE648F"/>
    <w:rsid w:val="00DE6F3C"/>
    <w:rsid w:val="00DE741D"/>
    <w:rsid w:val="00DE7C0E"/>
    <w:rsid w:val="00DE7E17"/>
    <w:rsid w:val="00DF0201"/>
    <w:rsid w:val="00DF03C7"/>
    <w:rsid w:val="00DF07FB"/>
    <w:rsid w:val="00DF0EFE"/>
    <w:rsid w:val="00DF10B5"/>
    <w:rsid w:val="00DF14BC"/>
    <w:rsid w:val="00DF15DB"/>
    <w:rsid w:val="00DF1879"/>
    <w:rsid w:val="00DF1CD0"/>
    <w:rsid w:val="00DF2256"/>
    <w:rsid w:val="00DF2480"/>
    <w:rsid w:val="00DF283F"/>
    <w:rsid w:val="00DF3AF1"/>
    <w:rsid w:val="00DF3D0D"/>
    <w:rsid w:val="00DF3DB0"/>
    <w:rsid w:val="00DF3F23"/>
    <w:rsid w:val="00DF3FA2"/>
    <w:rsid w:val="00DF569C"/>
    <w:rsid w:val="00DF5BEA"/>
    <w:rsid w:val="00DF60D7"/>
    <w:rsid w:val="00DF6A6B"/>
    <w:rsid w:val="00DF707F"/>
    <w:rsid w:val="00DF7138"/>
    <w:rsid w:val="00DF732F"/>
    <w:rsid w:val="00E006D9"/>
    <w:rsid w:val="00E00DFD"/>
    <w:rsid w:val="00E014AF"/>
    <w:rsid w:val="00E017DF"/>
    <w:rsid w:val="00E01891"/>
    <w:rsid w:val="00E01B5E"/>
    <w:rsid w:val="00E01E0E"/>
    <w:rsid w:val="00E0267C"/>
    <w:rsid w:val="00E02927"/>
    <w:rsid w:val="00E02F64"/>
    <w:rsid w:val="00E03407"/>
    <w:rsid w:val="00E034CD"/>
    <w:rsid w:val="00E036CB"/>
    <w:rsid w:val="00E0393E"/>
    <w:rsid w:val="00E03A3A"/>
    <w:rsid w:val="00E03DF9"/>
    <w:rsid w:val="00E04478"/>
    <w:rsid w:val="00E045AF"/>
    <w:rsid w:val="00E05D1F"/>
    <w:rsid w:val="00E05F7A"/>
    <w:rsid w:val="00E0642E"/>
    <w:rsid w:val="00E06569"/>
    <w:rsid w:val="00E07655"/>
    <w:rsid w:val="00E0784F"/>
    <w:rsid w:val="00E078CE"/>
    <w:rsid w:val="00E07A66"/>
    <w:rsid w:val="00E07D2B"/>
    <w:rsid w:val="00E102B8"/>
    <w:rsid w:val="00E10EAB"/>
    <w:rsid w:val="00E1155B"/>
    <w:rsid w:val="00E118F6"/>
    <w:rsid w:val="00E119AF"/>
    <w:rsid w:val="00E11C7C"/>
    <w:rsid w:val="00E11FD9"/>
    <w:rsid w:val="00E126FE"/>
    <w:rsid w:val="00E133B8"/>
    <w:rsid w:val="00E146FD"/>
    <w:rsid w:val="00E15229"/>
    <w:rsid w:val="00E15AA1"/>
    <w:rsid w:val="00E15D66"/>
    <w:rsid w:val="00E1617C"/>
    <w:rsid w:val="00E163EE"/>
    <w:rsid w:val="00E168D7"/>
    <w:rsid w:val="00E16E87"/>
    <w:rsid w:val="00E16FCD"/>
    <w:rsid w:val="00E1763F"/>
    <w:rsid w:val="00E17C16"/>
    <w:rsid w:val="00E17E1F"/>
    <w:rsid w:val="00E2003A"/>
    <w:rsid w:val="00E2026D"/>
    <w:rsid w:val="00E203E3"/>
    <w:rsid w:val="00E2075F"/>
    <w:rsid w:val="00E21442"/>
    <w:rsid w:val="00E21671"/>
    <w:rsid w:val="00E2181B"/>
    <w:rsid w:val="00E21934"/>
    <w:rsid w:val="00E21F99"/>
    <w:rsid w:val="00E2216A"/>
    <w:rsid w:val="00E223F4"/>
    <w:rsid w:val="00E2266A"/>
    <w:rsid w:val="00E22C58"/>
    <w:rsid w:val="00E22D3E"/>
    <w:rsid w:val="00E231A9"/>
    <w:rsid w:val="00E234E8"/>
    <w:rsid w:val="00E23AF6"/>
    <w:rsid w:val="00E24673"/>
    <w:rsid w:val="00E246E9"/>
    <w:rsid w:val="00E250D6"/>
    <w:rsid w:val="00E2548C"/>
    <w:rsid w:val="00E25A43"/>
    <w:rsid w:val="00E26792"/>
    <w:rsid w:val="00E269C6"/>
    <w:rsid w:val="00E274C5"/>
    <w:rsid w:val="00E27626"/>
    <w:rsid w:val="00E27B12"/>
    <w:rsid w:val="00E27C98"/>
    <w:rsid w:val="00E300A8"/>
    <w:rsid w:val="00E30555"/>
    <w:rsid w:val="00E30CB6"/>
    <w:rsid w:val="00E3106A"/>
    <w:rsid w:val="00E3116F"/>
    <w:rsid w:val="00E31B59"/>
    <w:rsid w:val="00E31FE1"/>
    <w:rsid w:val="00E326AC"/>
    <w:rsid w:val="00E329C5"/>
    <w:rsid w:val="00E32FC8"/>
    <w:rsid w:val="00E33CA9"/>
    <w:rsid w:val="00E34206"/>
    <w:rsid w:val="00E3455D"/>
    <w:rsid w:val="00E34832"/>
    <w:rsid w:val="00E348A9"/>
    <w:rsid w:val="00E34A09"/>
    <w:rsid w:val="00E34DFC"/>
    <w:rsid w:val="00E3585A"/>
    <w:rsid w:val="00E3586E"/>
    <w:rsid w:val="00E35887"/>
    <w:rsid w:val="00E3608C"/>
    <w:rsid w:val="00E36C38"/>
    <w:rsid w:val="00E36D74"/>
    <w:rsid w:val="00E36D99"/>
    <w:rsid w:val="00E37280"/>
    <w:rsid w:val="00E37BE3"/>
    <w:rsid w:val="00E37D4D"/>
    <w:rsid w:val="00E37DAE"/>
    <w:rsid w:val="00E40573"/>
    <w:rsid w:val="00E40A7A"/>
    <w:rsid w:val="00E40BE3"/>
    <w:rsid w:val="00E40F2C"/>
    <w:rsid w:val="00E40F5A"/>
    <w:rsid w:val="00E414C9"/>
    <w:rsid w:val="00E41534"/>
    <w:rsid w:val="00E415A3"/>
    <w:rsid w:val="00E41BB0"/>
    <w:rsid w:val="00E41DEA"/>
    <w:rsid w:val="00E41E1A"/>
    <w:rsid w:val="00E42BEC"/>
    <w:rsid w:val="00E42DF9"/>
    <w:rsid w:val="00E42FC1"/>
    <w:rsid w:val="00E43064"/>
    <w:rsid w:val="00E43236"/>
    <w:rsid w:val="00E436CC"/>
    <w:rsid w:val="00E43AA9"/>
    <w:rsid w:val="00E43D66"/>
    <w:rsid w:val="00E43DDD"/>
    <w:rsid w:val="00E440E4"/>
    <w:rsid w:val="00E440FB"/>
    <w:rsid w:val="00E4419E"/>
    <w:rsid w:val="00E4423A"/>
    <w:rsid w:val="00E446DC"/>
    <w:rsid w:val="00E45059"/>
    <w:rsid w:val="00E45F2D"/>
    <w:rsid w:val="00E4605A"/>
    <w:rsid w:val="00E46394"/>
    <w:rsid w:val="00E463F3"/>
    <w:rsid w:val="00E46467"/>
    <w:rsid w:val="00E4650B"/>
    <w:rsid w:val="00E46634"/>
    <w:rsid w:val="00E46A9B"/>
    <w:rsid w:val="00E46C5D"/>
    <w:rsid w:val="00E47131"/>
    <w:rsid w:val="00E471F1"/>
    <w:rsid w:val="00E4748E"/>
    <w:rsid w:val="00E47D57"/>
    <w:rsid w:val="00E50757"/>
    <w:rsid w:val="00E50F7C"/>
    <w:rsid w:val="00E51D5A"/>
    <w:rsid w:val="00E52414"/>
    <w:rsid w:val="00E52E03"/>
    <w:rsid w:val="00E52F86"/>
    <w:rsid w:val="00E532A8"/>
    <w:rsid w:val="00E5399C"/>
    <w:rsid w:val="00E542FF"/>
    <w:rsid w:val="00E544ED"/>
    <w:rsid w:val="00E55A52"/>
    <w:rsid w:val="00E55A70"/>
    <w:rsid w:val="00E560AE"/>
    <w:rsid w:val="00E56477"/>
    <w:rsid w:val="00E5683B"/>
    <w:rsid w:val="00E568C6"/>
    <w:rsid w:val="00E569A9"/>
    <w:rsid w:val="00E56D4B"/>
    <w:rsid w:val="00E572D7"/>
    <w:rsid w:val="00E57BEF"/>
    <w:rsid w:val="00E57F2C"/>
    <w:rsid w:val="00E601A0"/>
    <w:rsid w:val="00E60349"/>
    <w:rsid w:val="00E6070D"/>
    <w:rsid w:val="00E607FD"/>
    <w:rsid w:val="00E608DB"/>
    <w:rsid w:val="00E611AB"/>
    <w:rsid w:val="00E612B0"/>
    <w:rsid w:val="00E614EC"/>
    <w:rsid w:val="00E6192F"/>
    <w:rsid w:val="00E61A4F"/>
    <w:rsid w:val="00E61EBF"/>
    <w:rsid w:val="00E62A1C"/>
    <w:rsid w:val="00E634A0"/>
    <w:rsid w:val="00E6464A"/>
    <w:rsid w:val="00E64AE9"/>
    <w:rsid w:val="00E65007"/>
    <w:rsid w:val="00E651C2"/>
    <w:rsid w:val="00E65770"/>
    <w:rsid w:val="00E6597F"/>
    <w:rsid w:val="00E65C18"/>
    <w:rsid w:val="00E65D4F"/>
    <w:rsid w:val="00E66415"/>
    <w:rsid w:val="00E664DA"/>
    <w:rsid w:val="00E664F1"/>
    <w:rsid w:val="00E666D6"/>
    <w:rsid w:val="00E67226"/>
    <w:rsid w:val="00E673DB"/>
    <w:rsid w:val="00E675DF"/>
    <w:rsid w:val="00E6760E"/>
    <w:rsid w:val="00E6775E"/>
    <w:rsid w:val="00E6777B"/>
    <w:rsid w:val="00E67DE3"/>
    <w:rsid w:val="00E67F63"/>
    <w:rsid w:val="00E70397"/>
    <w:rsid w:val="00E706AC"/>
    <w:rsid w:val="00E70AFB"/>
    <w:rsid w:val="00E71919"/>
    <w:rsid w:val="00E71939"/>
    <w:rsid w:val="00E71D01"/>
    <w:rsid w:val="00E71E6F"/>
    <w:rsid w:val="00E72179"/>
    <w:rsid w:val="00E72913"/>
    <w:rsid w:val="00E72EE5"/>
    <w:rsid w:val="00E730BB"/>
    <w:rsid w:val="00E7367E"/>
    <w:rsid w:val="00E74120"/>
    <w:rsid w:val="00E749AA"/>
    <w:rsid w:val="00E7621B"/>
    <w:rsid w:val="00E76385"/>
    <w:rsid w:val="00E770DA"/>
    <w:rsid w:val="00E77CCE"/>
    <w:rsid w:val="00E807CB"/>
    <w:rsid w:val="00E80872"/>
    <w:rsid w:val="00E80BC2"/>
    <w:rsid w:val="00E81502"/>
    <w:rsid w:val="00E8190E"/>
    <w:rsid w:val="00E81BFF"/>
    <w:rsid w:val="00E825C1"/>
    <w:rsid w:val="00E827DB"/>
    <w:rsid w:val="00E82A44"/>
    <w:rsid w:val="00E83423"/>
    <w:rsid w:val="00E8347F"/>
    <w:rsid w:val="00E83531"/>
    <w:rsid w:val="00E8390B"/>
    <w:rsid w:val="00E83BC4"/>
    <w:rsid w:val="00E83FDA"/>
    <w:rsid w:val="00E84125"/>
    <w:rsid w:val="00E84297"/>
    <w:rsid w:val="00E8473A"/>
    <w:rsid w:val="00E84CF4"/>
    <w:rsid w:val="00E868D9"/>
    <w:rsid w:val="00E86929"/>
    <w:rsid w:val="00E86C12"/>
    <w:rsid w:val="00E86EB4"/>
    <w:rsid w:val="00E86F04"/>
    <w:rsid w:val="00E877F5"/>
    <w:rsid w:val="00E90300"/>
    <w:rsid w:val="00E90AA2"/>
    <w:rsid w:val="00E911F3"/>
    <w:rsid w:val="00E915C7"/>
    <w:rsid w:val="00E915E2"/>
    <w:rsid w:val="00E91D9D"/>
    <w:rsid w:val="00E91E89"/>
    <w:rsid w:val="00E927A6"/>
    <w:rsid w:val="00E935A9"/>
    <w:rsid w:val="00E935C7"/>
    <w:rsid w:val="00E93672"/>
    <w:rsid w:val="00E93EFC"/>
    <w:rsid w:val="00E94016"/>
    <w:rsid w:val="00E951AA"/>
    <w:rsid w:val="00E952D8"/>
    <w:rsid w:val="00E95D1C"/>
    <w:rsid w:val="00E964B2"/>
    <w:rsid w:val="00E97758"/>
    <w:rsid w:val="00E97A28"/>
    <w:rsid w:val="00E97B46"/>
    <w:rsid w:val="00EA02CF"/>
    <w:rsid w:val="00EA1212"/>
    <w:rsid w:val="00EA1640"/>
    <w:rsid w:val="00EA1868"/>
    <w:rsid w:val="00EA192A"/>
    <w:rsid w:val="00EA1EEF"/>
    <w:rsid w:val="00EA2010"/>
    <w:rsid w:val="00EA20A9"/>
    <w:rsid w:val="00EA2315"/>
    <w:rsid w:val="00EA2809"/>
    <w:rsid w:val="00EA2B86"/>
    <w:rsid w:val="00EA2E9C"/>
    <w:rsid w:val="00EA369E"/>
    <w:rsid w:val="00EA3882"/>
    <w:rsid w:val="00EA3BD6"/>
    <w:rsid w:val="00EA3FC7"/>
    <w:rsid w:val="00EA4192"/>
    <w:rsid w:val="00EA4207"/>
    <w:rsid w:val="00EA431D"/>
    <w:rsid w:val="00EA4970"/>
    <w:rsid w:val="00EA498C"/>
    <w:rsid w:val="00EA49DD"/>
    <w:rsid w:val="00EA4A46"/>
    <w:rsid w:val="00EA5075"/>
    <w:rsid w:val="00EA50F2"/>
    <w:rsid w:val="00EA5356"/>
    <w:rsid w:val="00EA6096"/>
    <w:rsid w:val="00EA6653"/>
    <w:rsid w:val="00EA69F7"/>
    <w:rsid w:val="00EA6CF6"/>
    <w:rsid w:val="00EA7B29"/>
    <w:rsid w:val="00EA7F57"/>
    <w:rsid w:val="00EB0BFC"/>
    <w:rsid w:val="00EB1408"/>
    <w:rsid w:val="00EB1D09"/>
    <w:rsid w:val="00EB1FD0"/>
    <w:rsid w:val="00EB2012"/>
    <w:rsid w:val="00EB249A"/>
    <w:rsid w:val="00EB25FC"/>
    <w:rsid w:val="00EB266F"/>
    <w:rsid w:val="00EB2D22"/>
    <w:rsid w:val="00EB37D1"/>
    <w:rsid w:val="00EB41FA"/>
    <w:rsid w:val="00EB45CF"/>
    <w:rsid w:val="00EB464F"/>
    <w:rsid w:val="00EB4842"/>
    <w:rsid w:val="00EB4A35"/>
    <w:rsid w:val="00EB53D6"/>
    <w:rsid w:val="00EB5625"/>
    <w:rsid w:val="00EB56B4"/>
    <w:rsid w:val="00EB57C1"/>
    <w:rsid w:val="00EB5D65"/>
    <w:rsid w:val="00EB6493"/>
    <w:rsid w:val="00EB700C"/>
    <w:rsid w:val="00EB73D4"/>
    <w:rsid w:val="00EB7CBE"/>
    <w:rsid w:val="00EC0099"/>
    <w:rsid w:val="00EC050D"/>
    <w:rsid w:val="00EC05BE"/>
    <w:rsid w:val="00EC06C6"/>
    <w:rsid w:val="00EC06E2"/>
    <w:rsid w:val="00EC1453"/>
    <w:rsid w:val="00EC168A"/>
    <w:rsid w:val="00EC2792"/>
    <w:rsid w:val="00EC321F"/>
    <w:rsid w:val="00EC3474"/>
    <w:rsid w:val="00EC3DAD"/>
    <w:rsid w:val="00EC4077"/>
    <w:rsid w:val="00EC44A1"/>
    <w:rsid w:val="00EC4806"/>
    <w:rsid w:val="00EC4EB0"/>
    <w:rsid w:val="00EC538F"/>
    <w:rsid w:val="00EC5A17"/>
    <w:rsid w:val="00EC5CDC"/>
    <w:rsid w:val="00EC5F6A"/>
    <w:rsid w:val="00EC61C8"/>
    <w:rsid w:val="00EC79AD"/>
    <w:rsid w:val="00EC7B6D"/>
    <w:rsid w:val="00EC7E6D"/>
    <w:rsid w:val="00ED0B85"/>
    <w:rsid w:val="00ED0E83"/>
    <w:rsid w:val="00ED1491"/>
    <w:rsid w:val="00ED15F6"/>
    <w:rsid w:val="00ED1F46"/>
    <w:rsid w:val="00ED22E2"/>
    <w:rsid w:val="00ED275B"/>
    <w:rsid w:val="00ED2D90"/>
    <w:rsid w:val="00ED37BF"/>
    <w:rsid w:val="00ED39B5"/>
    <w:rsid w:val="00ED3B7C"/>
    <w:rsid w:val="00ED40ED"/>
    <w:rsid w:val="00ED4370"/>
    <w:rsid w:val="00ED525D"/>
    <w:rsid w:val="00ED550B"/>
    <w:rsid w:val="00ED5671"/>
    <w:rsid w:val="00ED5731"/>
    <w:rsid w:val="00ED6002"/>
    <w:rsid w:val="00ED6632"/>
    <w:rsid w:val="00ED6FF8"/>
    <w:rsid w:val="00ED732C"/>
    <w:rsid w:val="00ED741E"/>
    <w:rsid w:val="00ED75A9"/>
    <w:rsid w:val="00ED7747"/>
    <w:rsid w:val="00ED7BA1"/>
    <w:rsid w:val="00ED7C3F"/>
    <w:rsid w:val="00EE03A5"/>
    <w:rsid w:val="00EE079E"/>
    <w:rsid w:val="00EE0A5F"/>
    <w:rsid w:val="00EE0B3C"/>
    <w:rsid w:val="00EE0DBE"/>
    <w:rsid w:val="00EE1036"/>
    <w:rsid w:val="00EE110F"/>
    <w:rsid w:val="00EE1375"/>
    <w:rsid w:val="00EE18AA"/>
    <w:rsid w:val="00EE1A3E"/>
    <w:rsid w:val="00EE20DA"/>
    <w:rsid w:val="00EE2738"/>
    <w:rsid w:val="00EE2EFB"/>
    <w:rsid w:val="00EE2FB2"/>
    <w:rsid w:val="00EE32D9"/>
    <w:rsid w:val="00EE3D4B"/>
    <w:rsid w:val="00EE3E0F"/>
    <w:rsid w:val="00EE3E58"/>
    <w:rsid w:val="00EE41D6"/>
    <w:rsid w:val="00EE4507"/>
    <w:rsid w:val="00EE47F7"/>
    <w:rsid w:val="00EE4CB9"/>
    <w:rsid w:val="00EE4E9B"/>
    <w:rsid w:val="00EE601F"/>
    <w:rsid w:val="00EE62D6"/>
    <w:rsid w:val="00EE6345"/>
    <w:rsid w:val="00EE721E"/>
    <w:rsid w:val="00EE72D1"/>
    <w:rsid w:val="00EE740A"/>
    <w:rsid w:val="00EE74D0"/>
    <w:rsid w:val="00EE7C82"/>
    <w:rsid w:val="00EE7E1A"/>
    <w:rsid w:val="00EE7FF9"/>
    <w:rsid w:val="00EF007F"/>
    <w:rsid w:val="00EF0FB0"/>
    <w:rsid w:val="00EF197F"/>
    <w:rsid w:val="00EF1B21"/>
    <w:rsid w:val="00EF1E87"/>
    <w:rsid w:val="00EF1FAE"/>
    <w:rsid w:val="00EF2BDA"/>
    <w:rsid w:val="00EF2F9E"/>
    <w:rsid w:val="00EF30F5"/>
    <w:rsid w:val="00EF443B"/>
    <w:rsid w:val="00EF4BD2"/>
    <w:rsid w:val="00EF4EEB"/>
    <w:rsid w:val="00EF62CB"/>
    <w:rsid w:val="00EF6643"/>
    <w:rsid w:val="00EF67E2"/>
    <w:rsid w:val="00EF6C7A"/>
    <w:rsid w:val="00EF6D69"/>
    <w:rsid w:val="00EF6D89"/>
    <w:rsid w:val="00EF7234"/>
    <w:rsid w:val="00EF7480"/>
    <w:rsid w:val="00EF7839"/>
    <w:rsid w:val="00EF7BD8"/>
    <w:rsid w:val="00F00231"/>
    <w:rsid w:val="00F002CF"/>
    <w:rsid w:val="00F0091D"/>
    <w:rsid w:val="00F00B5D"/>
    <w:rsid w:val="00F00D34"/>
    <w:rsid w:val="00F00DC0"/>
    <w:rsid w:val="00F00DEE"/>
    <w:rsid w:val="00F01C2E"/>
    <w:rsid w:val="00F01E48"/>
    <w:rsid w:val="00F02C74"/>
    <w:rsid w:val="00F02F48"/>
    <w:rsid w:val="00F036C4"/>
    <w:rsid w:val="00F03F69"/>
    <w:rsid w:val="00F048D2"/>
    <w:rsid w:val="00F04B1C"/>
    <w:rsid w:val="00F061E0"/>
    <w:rsid w:val="00F06BBE"/>
    <w:rsid w:val="00F075A8"/>
    <w:rsid w:val="00F101DC"/>
    <w:rsid w:val="00F10539"/>
    <w:rsid w:val="00F10774"/>
    <w:rsid w:val="00F10DC5"/>
    <w:rsid w:val="00F1130D"/>
    <w:rsid w:val="00F11702"/>
    <w:rsid w:val="00F11CFC"/>
    <w:rsid w:val="00F120AB"/>
    <w:rsid w:val="00F12E85"/>
    <w:rsid w:val="00F13074"/>
    <w:rsid w:val="00F1332D"/>
    <w:rsid w:val="00F134CD"/>
    <w:rsid w:val="00F135E5"/>
    <w:rsid w:val="00F13D5F"/>
    <w:rsid w:val="00F13E65"/>
    <w:rsid w:val="00F140A6"/>
    <w:rsid w:val="00F144C0"/>
    <w:rsid w:val="00F1461E"/>
    <w:rsid w:val="00F14BC9"/>
    <w:rsid w:val="00F14DFC"/>
    <w:rsid w:val="00F152B0"/>
    <w:rsid w:val="00F1578F"/>
    <w:rsid w:val="00F15CD3"/>
    <w:rsid w:val="00F1624C"/>
    <w:rsid w:val="00F166B8"/>
    <w:rsid w:val="00F167A0"/>
    <w:rsid w:val="00F16DDD"/>
    <w:rsid w:val="00F16F9E"/>
    <w:rsid w:val="00F17159"/>
    <w:rsid w:val="00F201D2"/>
    <w:rsid w:val="00F20289"/>
    <w:rsid w:val="00F20407"/>
    <w:rsid w:val="00F20EC9"/>
    <w:rsid w:val="00F21642"/>
    <w:rsid w:val="00F21C29"/>
    <w:rsid w:val="00F21E41"/>
    <w:rsid w:val="00F22664"/>
    <w:rsid w:val="00F22A65"/>
    <w:rsid w:val="00F22B98"/>
    <w:rsid w:val="00F23593"/>
    <w:rsid w:val="00F23C39"/>
    <w:rsid w:val="00F23D3E"/>
    <w:rsid w:val="00F24476"/>
    <w:rsid w:val="00F247EF"/>
    <w:rsid w:val="00F25053"/>
    <w:rsid w:val="00F25318"/>
    <w:rsid w:val="00F259DF"/>
    <w:rsid w:val="00F2681C"/>
    <w:rsid w:val="00F268F2"/>
    <w:rsid w:val="00F2704B"/>
    <w:rsid w:val="00F2707F"/>
    <w:rsid w:val="00F2749B"/>
    <w:rsid w:val="00F27BC8"/>
    <w:rsid w:val="00F3026A"/>
    <w:rsid w:val="00F30408"/>
    <w:rsid w:val="00F3088C"/>
    <w:rsid w:val="00F30A9A"/>
    <w:rsid w:val="00F30B7C"/>
    <w:rsid w:val="00F30E4A"/>
    <w:rsid w:val="00F31CAF"/>
    <w:rsid w:val="00F32333"/>
    <w:rsid w:val="00F3233C"/>
    <w:rsid w:val="00F32B65"/>
    <w:rsid w:val="00F32D8E"/>
    <w:rsid w:val="00F32EB6"/>
    <w:rsid w:val="00F32EF4"/>
    <w:rsid w:val="00F331A5"/>
    <w:rsid w:val="00F33723"/>
    <w:rsid w:val="00F33C0A"/>
    <w:rsid w:val="00F33D49"/>
    <w:rsid w:val="00F3413C"/>
    <w:rsid w:val="00F351DA"/>
    <w:rsid w:val="00F359E6"/>
    <w:rsid w:val="00F36340"/>
    <w:rsid w:val="00F36506"/>
    <w:rsid w:val="00F369A5"/>
    <w:rsid w:val="00F36FA3"/>
    <w:rsid w:val="00F3765E"/>
    <w:rsid w:val="00F37AC0"/>
    <w:rsid w:val="00F37CC8"/>
    <w:rsid w:val="00F37ED7"/>
    <w:rsid w:val="00F40666"/>
    <w:rsid w:val="00F410C8"/>
    <w:rsid w:val="00F411ED"/>
    <w:rsid w:val="00F4148C"/>
    <w:rsid w:val="00F41520"/>
    <w:rsid w:val="00F418BA"/>
    <w:rsid w:val="00F41BE7"/>
    <w:rsid w:val="00F41F6C"/>
    <w:rsid w:val="00F422AC"/>
    <w:rsid w:val="00F428B2"/>
    <w:rsid w:val="00F42D76"/>
    <w:rsid w:val="00F42F42"/>
    <w:rsid w:val="00F42FA7"/>
    <w:rsid w:val="00F430FB"/>
    <w:rsid w:val="00F4351E"/>
    <w:rsid w:val="00F4389C"/>
    <w:rsid w:val="00F443DF"/>
    <w:rsid w:val="00F44AC5"/>
    <w:rsid w:val="00F44C56"/>
    <w:rsid w:val="00F45070"/>
    <w:rsid w:val="00F4532B"/>
    <w:rsid w:val="00F46297"/>
    <w:rsid w:val="00F4636A"/>
    <w:rsid w:val="00F47152"/>
    <w:rsid w:val="00F47603"/>
    <w:rsid w:val="00F50B56"/>
    <w:rsid w:val="00F50B67"/>
    <w:rsid w:val="00F50F7B"/>
    <w:rsid w:val="00F510C7"/>
    <w:rsid w:val="00F5112A"/>
    <w:rsid w:val="00F515E7"/>
    <w:rsid w:val="00F5168A"/>
    <w:rsid w:val="00F51A19"/>
    <w:rsid w:val="00F52481"/>
    <w:rsid w:val="00F526F4"/>
    <w:rsid w:val="00F533A3"/>
    <w:rsid w:val="00F55042"/>
    <w:rsid w:val="00F55361"/>
    <w:rsid w:val="00F55DD2"/>
    <w:rsid w:val="00F561AF"/>
    <w:rsid w:val="00F575A8"/>
    <w:rsid w:val="00F577F2"/>
    <w:rsid w:val="00F57802"/>
    <w:rsid w:val="00F60197"/>
    <w:rsid w:val="00F60C47"/>
    <w:rsid w:val="00F61599"/>
    <w:rsid w:val="00F61D16"/>
    <w:rsid w:val="00F61D4C"/>
    <w:rsid w:val="00F62697"/>
    <w:rsid w:val="00F626B2"/>
    <w:rsid w:val="00F62812"/>
    <w:rsid w:val="00F629E8"/>
    <w:rsid w:val="00F62FB0"/>
    <w:rsid w:val="00F6479C"/>
    <w:rsid w:val="00F64E9D"/>
    <w:rsid w:val="00F64EA0"/>
    <w:rsid w:val="00F65B1A"/>
    <w:rsid w:val="00F65E95"/>
    <w:rsid w:val="00F664E0"/>
    <w:rsid w:val="00F669A9"/>
    <w:rsid w:val="00F66AC0"/>
    <w:rsid w:val="00F66B17"/>
    <w:rsid w:val="00F6717A"/>
    <w:rsid w:val="00F674A8"/>
    <w:rsid w:val="00F67675"/>
    <w:rsid w:val="00F676FB"/>
    <w:rsid w:val="00F67CD1"/>
    <w:rsid w:val="00F70315"/>
    <w:rsid w:val="00F7076E"/>
    <w:rsid w:val="00F708AD"/>
    <w:rsid w:val="00F7145C"/>
    <w:rsid w:val="00F718B1"/>
    <w:rsid w:val="00F71A77"/>
    <w:rsid w:val="00F71F3B"/>
    <w:rsid w:val="00F72328"/>
    <w:rsid w:val="00F726CB"/>
    <w:rsid w:val="00F72773"/>
    <w:rsid w:val="00F72D1B"/>
    <w:rsid w:val="00F73DBD"/>
    <w:rsid w:val="00F73F01"/>
    <w:rsid w:val="00F74163"/>
    <w:rsid w:val="00F7493D"/>
    <w:rsid w:val="00F749A0"/>
    <w:rsid w:val="00F749F6"/>
    <w:rsid w:val="00F74CB9"/>
    <w:rsid w:val="00F752C3"/>
    <w:rsid w:val="00F754A2"/>
    <w:rsid w:val="00F7580C"/>
    <w:rsid w:val="00F75E67"/>
    <w:rsid w:val="00F769ED"/>
    <w:rsid w:val="00F76A70"/>
    <w:rsid w:val="00F773F6"/>
    <w:rsid w:val="00F77E3C"/>
    <w:rsid w:val="00F80267"/>
    <w:rsid w:val="00F80344"/>
    <w:rsid w:val="00F80BA1"/>
    <w:rsid w:val="00F80BB1"/>
    <w:rsid w:val="00F8148E"/>
    <w:rsid w:val="00F82050"/>
    <w:rsid w:val="00F82858"/>
    <w:rsid w:val="00F82B35"/>
    <w:rsid w:val="00F82E19"/>
    <w:rsid w:val="00F83423"/>
    <w:rsid w:val="00F83695"/>
    <w:rsid w:val="00F83D72"/>
    <w:rsid w:val="00F84728"/>
    <w:rsid w:val="00F84FA1"/>
    <w:rsid w:val="00F85442"/>
    <w:rsid w:val="00F8549E"/>
    <w:rsid w:val="00F854C2"/>
    <w:rsid w:val="00F85CE2"/>
    <w:rsid w:val="00F870AC"/>
    <w:rsid w:val="00F875F8"/>
    <w:rsid w:val="00F878CD"/>
    <w:rsid w:val="00F87C57"/>
    <w:rsid w:val="00F87FD7"/>
    <w:rsid w:val="00F90139"/>
    <w:rsid w:val="00F90366"/>
    <w:rsid w:val="00F90626"/>
    <w:rsid w:val="00F92613"/>
    <w:rsid w:val="00F92FCF"/>
    <w:rsid w:val="00F93161"/>
    <w:rsid w:val="00F93358"/>
    <w:rsid w:val="00F93475"/>
    <w:rsid w:val="00F9354D"/>
    <w:rsid w:val="00F949A7"/>
    <w:rsid w:val="00F94BF3"/>
    <w:rsid w:val="00F94FFE"/>
    <w:rsid w:val="00F95030"/>
    <w:rsid w:val="00F95A69"/>
    <w:rsid w:val="00F95AD2"/>
    <w:rsid w:val="00F95D0A"/>
    <w:rsid w:val="00F96137"/>
    <w:rsid w:val="00F965BE"/>
    <w:rsid w:val="00F974F6"/>
    <w:rsid w:val="00F97706"/>
    <w:rsid w:val="00FA0224"/>
    <w:rsid w:val="00FA0D30"/>
    <w:rsid w:val="00FA0D63"/>
    <w:rsid w:val="00FA0D7B"/>
    <w:rsid w:val="00FA108E"/>
    <w:rsid w:val="00FA1A65"/>
    <w:rsid w:val="00FA1D84"/>
    <w:rsid w:val="00FA1DBF"/>
    <w:rsid w:val="00FA2275"/>
    <w:rsid w:val="00FA23EF"/>
    <w:rsid w:val="00FA2A30"/>
    <w:rsid w:val="00FA2BA7"/>
    <w:rsid w:val="00FA2BCE"/>
    <w:rsid w:val="00FA3053"/>
    <w:rsid w:val="00FA336F"/>
    <w:rsid w:val="00FA355B"/>
    <w:rsid w:val="00FA3584"/>
    <w:rsid w:val="00FA373D"/>
    <w:rsid w:val="00FA377A"/>
    <w:rsid w:val="00FA3C94"/>
    <w:rsid w:val="00FA4074"/>
    <w:rsid w:val="00FA4134"/>
    <w:rsid w:val="00FA41A1"/>
    <w:rsid w:val="00FA453E"/>
    <w:rsid w:val="00FA4953"/>
    <w:rsid w:val="00FA49B1"/>
    <w:rsid w:val="00FA4A2F"/>
    <w:rsid w:val="00FA4B78"/>
    <w:rsid w:val="00FA51D6"/>
    <w:rsid w:val="00FA54A1"/>
    <w:rsid w:val="00FA551F"/>
    <w:rsid w:val="00FA6258"/>
    <w:rsid w:val="00FA6513"/>
    <w:rsid w:val="00FA6E8F"/>
    <w:rsid w:val="00FA7956"/>
    <w:rsid w:val="00FA7FFA"/>
    <w:rsid w:val="00FB035A"/>
    <w:rsid w:val="00FB0BF3"/>
    <w:rsid w:val="00FB0CA7"/>
    <w:rsid w:val="00FB1158"/>
    <w:rsid w:val="00FB1526"/>
    <w:rsid w:val="00FB2A87"/>
    <w:rsid w:val="00FB2E4A"/>
    <w:rsid w:val="00FB316E"/>
    <w:rsid w:val="00FB31C5"/>
    <w:rsid w:val="00FB32A3"/>
    <w:rsid w:val="00FB3495"/>
    <w:rsid w:val="00FB3D25"/>
    <w:rsid w:val="00FB4063"/>
    <w:rsid w:val="00FB43E8"/>
    <w:rsid w:val="00FB4460"/>
    <w:rsid w:val="00FB4B0B"/>
    <w:rsid w:val="00FB4ED0"/>
    <w:rsid w:val="00FB530F"/>
    <w:rsid w:val="00FB57FA"/>
    <w:rsid w:val="00FB5D2A"/>
    <w:rsid w:val="00FB5E04"/>
    <w:rsid w:val="00FB60B7"/>
    <w:rsid w:val="00FC0A71"/>
    <w:rsid w:val="00FC0ED8"/>
    <w:rsid w:val="00FC1022"/>
    <w:rsid w:val="00FC12E1"/>
    <w:rsid w:val="00FC1D17"/>
    <w:rsid w:val="00FC24D0"/>
    <w:rsid w:val="00FC257E"/>
    <w:rsid w:val="00FC2684"/>
    <w:rsid w:val="00FC2BC9"/>
    <w:rsid w:val="00FC3514"/>
    <w:rsid w:val="00FC359B"/>
    <w:rsid w:val="00FC3AE8"/>
    <w:rsid w:val="00FC3D35"/>
    <w:rsid w:val="00FC4317"/>
    <w:rsid w:val="00FC4339"/>
    <w:rsid w:val="00FC4795"/>
    <w:rsid w:val="00FC479B"/>
    <w:rsid w:val="00FC47D9"/>
    <w:rsid w:val="00FC5549"/>
    <w:rsid w:val="00FC5EF0"/>
    <w:rsid w:val="00FC633E"/>
    <w:rsid w:val="00FC6761"/>
    <w:rsid w:val="00FC706A"/>
    <w:rsid w:val="00FD0436"/>
    <w:rsid w:val="00FD0676"/>
    <w:rsid w:val="00FD0A8C"/>
    <w:rsid w:val="00FD0D12"/>
    <w:rsid w:val="00FD1571"/>
    <w:rsid w:val="00FD1C48"/>
    <w:rsid w:val="00FD1E2B"/>
    <w:rsid w:val="00FD24E5"/>
    <w:rsid w:val="00FD266E"/>
    <w:rsid w:val="00FD2944"/>
    <w:rsid w:val="00FD33CF"/>
    <w:rsid w:val="00FD3567"/>
    <w:rsid w:val="00FD3690"/>
    <w:rsid w:val="00FD38D1"/>
    <w:rsid w:val="00FD3AFE"/>
    <w:rsid w:val="00FD4169"/>
    <w:rsid w:val="00FD41C0"/>
    <w:rsid w:val="00FD491D"/>
    <w:rsid w:val="00FD4C8A"/>
    <w:rsid w:val="00FD5283"/>
    <w:rsid w:val="00FD53B9"/>
    <w:rsid w:val="00FD5793"/>
    <w:rsid w:val="00FD6593"/>
    <w:rsid w:val="00FD6C99"/>
    <w:rsid w:val="00FD6E97"/>
    <w:rsid w:val="00FD715D"/>
    <w:rsid w:val="00FD7737"/>
    <w:rsid w:val="00FD7802"/>
    <w:rsid w:val="00FD799D"/>
    <w:rsid w:val="00FD7A59"/>
    <w:rsid w:val="00FD7FF4"/>
    <w:rsid w:val="00FE0493"/>
    <w:rsid w:val="00FE066F"/>
    <w:rsid w:val="00FE085D"/>
    <w:rsid w:val="00FE158A"/>
    <w:rsid w:val="00FE2312"/>
    <w:rsid w:val="00FE292A"/>
    <w:rsid w:val="00FE324D"/>
    <w:rsid w:val="00FE37B0"/>
    <w:rsid w:val="00FE37E4"/>
    <w:rsid w:val="00FE3A5F"/>
    <w:rsid w:val="00FE3DAF"/>
    <w:rsid w:val="00FE41AF"/>
    <w:rsid w:val="00FE42FD"/>
    <w:rsid w:val="00FE451D"/>
    <w:rsid w:val="00FE4936"/>
    <w:rsid w:val="00FE5666"/>
    <w:rsid w:val="00FE571E"/>
    <w:rsid w:val="00FE5F50"/>
    <w:rsid w:val="00FE6068"/>
    <w:rsid w:val="00FE6140"/>
    <w:rsid w:val="00FE6696"/>
    <w:rsid w:val="00FE6906"/>
    <w:rsid w:val="00FE7219"/>
    <w:rsid w:val="00FE7482"/>
    <w:rsid w:val="00FE7544"/>
    <w:rsid w:val="00FE795A"/>
    <w:rsid w:val="00FF0216"/>
    <w:rsid w:val="00FF0AEA"/>
    <w:rsid w:val="00FF0B38"/>
    <w:rsid w:val="00FF10D8"/>
    <w:rsid w:val="00FF1C92"/>
    <w:rsid w:val="00FF1DF1"/>
    <w:rsid w:val="00FF1EBC"/>
    <w:rsid w:val="00FF2853"/>
    <w:rsid w:val="00FF2A83"/>
    <w:rsid w:val="00FF3918"/>
    <w:rsid w:val="00FF3A4B"/>
    <w:rsid w:val="00FF3A8E"/>
    <w:rsid w:val="00FF3E4C"/>
    <w:rsid w:val="00FF4408"/>
    <w:rsid w:val="00FF4696"/>
    <w:rsid w:val="00FF470A"/>
    <w:rsid w:val="00FF4DEC"/>
    <w:rsid w:val="00FF58E6"/>
    <w:rsid w:val="00FF6669"/>
    <w:rsid w:val="00FF6D3B"/>
    <w:rsid w:val="00FF7E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4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600" w:lineRule="exact"/>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97FB0"/>
    <w:pPr>
      <w:overflowPunct w:val="0"/>
      <w:autoSpaceDE w:val="0"/>
      <w:autoSpaceDN w:val="0"/>
      <w:adjustRightInd w:val="0"/>
      <w:textAlignment w:val="baseline"/>
    </w:pPr>
    <w:rPr>
      <w:sz w:val="26"/>
    </w:rPr>
  </w:style>
  <w:style w:type="paragraph" w:styleId="Heading2">
    <w:name w:val="heading 2"/>
    <w:basedOn w:val="Normal"/>
    <w:next w:val="Normal"/>
    <w:link w:val="Heading2Char"/>
    <w:rsid w:val="00AE0CE5"/>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rsid w:val="00AE0CE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uiPriority w:val="99"/>
    <w:rsid w:val="002C6E61"/>
    <w:pPr>
      <w:spacing w:line="240" w:lineRule="auto"/>
    </w:pPr>
  </w:style>
  <w:style w:type="character" w:customStyle="1" w:styleId="FootnoteTextChar">
    <w:name w:val="Footnote Text Char"/>
    <w:basedOn w:val="DefaultParagraphFont"/>
    <w:link w:val="FootnoteText"/>
    <w:uiPriority w:val="99"/>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Header">
    <w:name w:val="header"/>
    <w:basedOn w:val="Normal"/>
    <w:link w:val="HeaderChar"/>
    <w:uiPriority w:val="99"/>
    <w:unhideWhenUsed/>
    <w:rsid w:val="009A47E2"/>
    <w:pPr>
      <w:tabs>
        <w:tab w:val="center" w:pos="4680"/>
        <w:tab w:val="right" w:pos="9360"/>
      </w:tabs>
      <w:spacing w:line="240" w:lineRule="auto"/>
    </w:pPr>
  </w:style>
  <w:style w:type="character" w:customStyle="1" w:styleId="HeaderChar">
    <w:name w:val="Header Char"/>
    <w:basedOn w:val="DefaultParagraphFont"/>
    <w:link w:val="Header"/>
    <w:uiPriority w:val="99"/>
    <w:rsid w:val="009A47E2"/>
    <w:rPr>
      <w:sz w:val="26"/>
    </w:rPr>
  </w:style>
  <w:style w:type="paragraph" w:styleId="Footer">
    <w:name w:val="footer"/>
    <w:basedOn w:val="Normal"/>
    <w:link w:val="FooterChar"/>
    <w:uiPriority w:val="99"/>
    <w:unhideWhenUsed/>
    <w:rsid w:val="009A47E2"/>
    <w:pPr>
      <w:tabs>
        <w:tab w:val="center" w:pos="4680"/>
        <w:tab w:val="right" w:pos="9360"/>
      </w:tabs>
      <w:spacing w:line="240" w:lineRule="auto"/>
    </w:pPr>
  </w:style>
  <w:style w:type="character" w:customStyle="1" w:styleId="FooterChar">
    <w:name w:val="Footer Char"/>
    <w:basedOn w:val="DefaultParagraphFont"/>
    <w:link w:val="Footer"/>
    <w:uiPriority w:val="99"/>
    <w:rsid w:val="009A47E2"/>
    <w:rPr>
      <w:sz w:val="26"/>
    </w:rPr>
  </w:style>
  <w:style w:type="paragraph" w:styleId="ListParagraph">
    <w:name w:val="List Paragraph"/>
    <w:basedOn w:val="Normal"/>
    <w:uiPriority w:val="34"/>
    <w:qFormat/>
    <w:rsid w:val="001C6D1F"/>
    <w:pPr>
      <w:ind w:left="720"/>
      <w:contextualSpacing/>
    </w:pPr>
  </w:style>
  <w:style w:type="paragraph" w:styleId="BodyText">
    <w:name w:val="Body Text"/>
    <w:basedOn w:val="Normal"/>
    <w:link w:val="BodyTextChar"/>
    <w:uiPriority w:val="1"/>
    <w:qFormat/>
    <w:rsid w:val="006F60A6"/>
    <w:pPr>
      <w:widowControl w:val="0"/>
      <w:overflowPunct/>
      <w:adjustRightInd/>
      <w:spacing w:line="240" w:lineRule="auto"/>
      <w:textAlignment w:val="auto"/>
    </w:pPr>
    <w:rPr>
      <w:szCs w:val="26"/>
      <w:lang w:bidi="en-US"/>
    </w:rPr>
  </w:style>
  <w:style w:type="character" w:customStyle="1" w:styleId="BodyTextChar">
    <w:name w:val="Body Text Char"/>
    <w:basedOn w:val="DefaultParagraphFont"/>
    <w:link w:val="BodyText"/>
    <w:uiPriority w:val="1"/>
    <w:rsid w:val="006F60A6"/>
    <w:rPr>
      <w:sz w:val="26"/>
      <w:szCs w:val="26"/>
      <w:lang w:bidi="en-US"/>
    </w:rPr>
  </w:style>
  <w:style w:type="paragraph" w:styleId="BalloonText">
    <w:name w:val="Balloon Text"/>
    <w:basedOn w:val="Normal"/>
    <w:link w:val="BalloonTextChar"/>
    <w:unhideWhenUsed/>
    <w:rsid w:val="00A91A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91AAA"/>
    <w:rPr>
      <w:rFonts w:ascii="Segoe UI" w:hAnsi="Segoe UI" w:cs="Segoe UI"/>
      <w:sz w:val="18"/>
      <w:szCs w:val="18"/>
    </w:rPr>
  </w:style>
  <w:style w:type="character" w:styleId="PageNumber">
    <w:name w:val="page number"/>
    <w:basedOn w:val="DefaultParagraphFont"/>
    <w:unhideWhenUsed/>
    <w:rsid w:val="00A91AAA"/>
  </w:style>
  <w:style w:type="character" w:styleId="Hyperlink">
    <w:name w:val="Hyperlink"/>
    <w:basedOn w:val="DefaultParagraphFont"/>
    <w:uiPriority w:val="99"/>
    <w:rsid w:val="00EF2F9E"/>
    <w:rPr>
      <w:color w:val="0000FF"/>
      <w:u w:val="single"/>
    </w:rPr>
  </w:style>
  <w:style w:type="character" w:styleId="Emphasis">
    <w:name w:val="Emphasis"/>
    <w:basedOn w:val="DefaultParagraphFont"/>
    <w:uiPriority w:val="20"/>
    <w:rsid w:val="00EF2F9E"/>
    <w:rPr>
      <w:i/>
    </w:rPr>
  </w:style>
  <w:style w:type="character" w:customStyle="1" w:styleId="cosearchtermcoconcept2730multicolor--default">
    <w:name w:val="co_searchterm co_concept_27_30 multicolor--default"/>
    <w:basedOn w:val="DefaultParagraphFont"/>
    <w:rsid w:val="00EF2F9E"/>
  </w:style>
  <w:style w:type="character" w:customStyle="1" w:styleId="cosearchtermcoconcept4652multicolor--default">
    <w:name w:val="co_searchterm co_concept_46_52 multicolor--default"/>
    <w:basedOn w:val="DefaultParagraphFont"/>
    <w:rsid w:val="00EF2F9E"/>
  </w:style>
  <w:style w:type="character" w:customStyle="1" w:styleId="cosearchtermcoconcept5052coconcept4652multicolor--default">
    <w:name w:val="co_searchterm co_concept_50_52 co_concept_46_52 multicolor--default"/>
    <w:basedOn w:val="DefaultParagraphFont"/>
    <w:rsid w:val="00EF2F9E"/>
  </w:style>
  <w:style w:type="character" w:customStyle="1" w:styleId="cosearchtermcoconcept5462multicolor--default">
    <w:name w:val="co_searchterm co_concept_54_62 multicolor--default"/>
    <w:basedOn w:val="DefaultParagraphFont"/>
    <w:rsid w:val="00EF2F9E"/>
  </w:style>
  <w:style w:type="character" w:customStyle="1" w:styleId="cosearchtermcoconcept1724multicolor--default">
    <w:name w:val="co_searchterm co_concept_17_24 multicolor--default"/>
    <w:basedOn w:val="DefaultParagraphFont"/>
    <w:rsid w:val="005915DD"/>
  </w:style>
  <w:style w:type="character" w:customStyle="1" w:styleId="Heading3Char">
    <w:name w:val="Heading 3 Char"/>
    <w:basedOn w:val="DefaultParagraphFont"/>
    <w:link w:val="Heading3"/>
    <w:rsid w:val="00AE0CE5"/>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AE0CE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D9340C"/>
    <w:rPr>
      <w:sz w:val="16"/>
      <w:szCs w:val="16"/>
    </w:rPr>
  </w:style>
  <w:style w:type="paragraph" w:styleId="CommentText">
    <w:name w:val="annotation text"/>
    <w:basedOn w:val="Normal"/>
    <w:link w:val="CommentTextChar"/>
    <w:semiHidden/>
    <w:unhideWhenUsed/>
    <w:rsid w:val="00D9340C"/>
    <w:pPr>
      <w:spacing w:line="240" w:lineRule="auto"/>
    </w:pPr>
    <w:rPr>
      <w:sz w:val="20"/>
      <w:szCs w:val="20"/>
    </w:rPr>
  </w:style>
  <w:style w:type="character" w:customStyle="1" w:styleId="CommentTextChar">
    <w:name w:val="Comment Text Char"/>
    <w:basedOn w:val="DefaultParagraphFont"/>
    <w:link w:val="CommentText"/>
    <w:semiHidden/>
    <w:rsid w:val="00D9340C"/>
    <w:rPr>
      <w:sz w:val="20"/>
      <w:szCs w:val="20"/>
    </w:rPr>
  </w:style>
  <w:style w:type="paragraph" w:styleId="CommentSubject">
    <w:name w:val="annotation subject"/>
    <w:basedOn w:val="CommentText"/>
    <w:next w:val="CommentText"/>
    <w:link w:val="CommentSubjectChar"/>
    <w:semiHidden/>
    <w:unhideWhenUsed/>
    <w:rsid w:val="00D9340C"/>
    <w:rPr>
      <w:b/>
      <w:bCs/>
    </w:rPr>
  </w:style>
  <w:style w:type="character" w:customStyle="1" w:styleId="CommentSubjectChar">
    <w:name w:val="Comment Subject Char"/>
    <w:basedOn w:val="CommentTextChar"/>
    <w:link w:val="CommentSubject"/>
    <w:semiHidden/>
    <w:rsid w:val="00D9340C"/>
    <w:rPr>
      <w:b/>
      <w:bCs/>
      <w:sz w:val="20"/>
      <w:szCs w:val="20"/>
    </w:rPr>
  </w:style>
  <w:style w:type="table" w:styleId="TableGrid">
    <w:name w:val="Table Grid"/>
    <w:basedOn w:val="TableNormal"/>
    <w:rsid w:val="00D324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Page1">
    <w:name w:val="Sig.Page.1"/>
    <w:basedOn w:val="Normal"/>
    <w:link w:val="SigPage1Char"/>
    <w:rsid w:val="001F5CCA"/>
    <w:pPr>
      <w:tabs>
        <w:tab w:val="left" w:pos="2880"/>
      </w:tabs>
      <w:spacing w:line="240" w:lineRule="auto"/>
    </w:pPr>
  </w:style>
  <w:style w:type="character" w:customStyle="1" w:styleId="SigPage1Char">
    <w:name w:val="Sig.Page.1 Char"/>
    <w:basedOn w:val="DefaultParagraphFont"/>
    <w:link w:val="SigPage1"/>
    <w:rsid w:val="001F5CCA"/>
    <w:rPr>
      <w:sz w:val="26"/>
    </w:rPr>
  </w:style>
  <w:style w:type="paragraph" w:customStyle="1" w:styleId="SigPage2">
    <w:name w:val="Sig.Page.2"/>
    <w:basedOn w:val="Normal"/>
    <w:link w:val="SigPage2Char"/>
    <w:rsid w:val="001F5CCA"/>
    <w:pPr>
      <w:tabs>
        <w:tab w:val="right" w:pos="2880"/>
      </w:tabs>
      <w:spacing w:line="240" w:lineRule="auto"/>
    </w:pPr>
  </w:style>
  <w:style w:type="character" w:customStyle="1" w:styleId="SigPage2Char">
    <w:name w:val="Sig.Page.2 Char"/>
    <w:basedOn w:val="DefaultParagraphFont"/>
    <w:link w:val="SigPage2"/>
    <w:rsid w:val="001F5CCA"/>
    <w:rPr>
      <w:sz w:val="26"/>
    </w:rPr>
  </w:style>
  <w:style w:type="paragraph" w:customStyle="1" w:styleId="Draft">
    <w:name w:val="Draft"/>
    <w:basedOn w:val="Normal"/>
    <w:link w:val="DraftChar"/>
    <w:rsid w:val="008C1AAF"/>
    <w:pPr>
      <w:spacing w:after="120" w:line="240" w:lineRule="auto"/>
      <w:ind w:firstLine="720"/>
    </w:pPr>
    <w:rPr>
      <w:rFonts w:ascii="Courier New" w:hAnsi="Courier New"/>
      <w:sz w:val="24"/>
    </w:rPr>
  </w:style>
  <w:style w:type="paragraph" w:customStyle="1" w:styleId="DraftFootnote">
    <w:name w:val="Draft Footnote"/>
    <w:basedOn w:val="Normal"/>
    <w:rsid w:val="008C1AAF"/>
    <w:pPr>
      <w:spacing w:after="240" w:line="240" w:lineRule="auto"/>
      <w:ind w:firstLine="720"/>
    </w:pPr>
    <w:rPr>
      <w:rFonts w:ascii="Courier New" w:hAnsi="Courier New"/>
      <w:sz w:val="24"/>
    </w:rPr>
  </w:style>
  <w:style w:type="character" w:customStyle="1" w:styleId="DraftChar">
    <w:name w:val="Draft Char"/>
    <w:basedOn w:val="DefaultParagraphFont"/>
    <w:link w:val="Draft"/>
    <w:rsid w:val="008C1AA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2382">
      <w:bodyDiv w:val="1"/>
      <w:marLeft w:val="0"/>
      <w:marRight w:val="0"/>
      <w:marTop w:val="0"/>
      <w:marBottom w:val="0"/>
      <w:divBdr>
        <w:top w:val="none" w:sz="0" w:space="0" w:color="auto"/>
        <w:left w:val="none" w:sz="0" w:space="0" w:color="auto"/>
        <w:bottom w:val="none" w:sz="0" w:space="0" w:color="auto"/>
        <w:right w:val="none" w:sz="0" w:space="0" w:color="auto"/>
      </w:divBdr>
    </w:div>
    <w:div w:id="232855598">
      <w:bodyDiv w:val="1"/>
      <w:marLeft w:val="0"/>
      <w:marRight w:val="0"/>
      <w:marTop w:val="0"/>
      <w:marBottom w:val="0"/>
      <w:divBdr>
        <w:top w:val="none" w:sz="0" w:space="0" w:color="auto"/>
        <w:left w:val="none" w:sz="0" w:space="0" w:color="auto"/>
        <w:bottom w:val="none" w:sz="0" w:space="0" w:color="auto"/>
        <w:right w:val="none" w:sz="0" w:space="0" w:color="auto"/>
      </w:divBdr>
    </w:div>
    <w:div w:id="724644417">
      <w:bodyDiv w:val="1"/>
      <w:marLeft w:val="0"/>
      <w:marRight w:val="0"/>
      <w:marTop w:val="0"/>
      <w:marBottom w:val="0"/>
      <w:divBdr>
        <w:top w:val="none" w:sz="0" w:space="0" w:color="auto"/>
        <w:left w:val="none" w:sz="0" w:space="0" w:color="auto"/>
        <w:bottom w:val="none" w:sz="0" w:space="0" w:color="auto"/>
        <w:right w:val="none" w:sz="0" w:space="0" w:color="auto"/>
      </w:divBdr>
    </w:div>
    <w:div w:id="1227103948">
      <w:bodyDiv w:val="1"/>
      <w:marLeft w:val="0"/>
      <w:marRight w:val="0"/>
      <w:marTop w:val="0"/>
      <w:marBottom w:val="0"/>
      <w:divBdr>
        <w:top w:val="none" w:sz="0" w:space="0" w:color="auto"/>
        <w:left w:val="none" w:sz="0" w:space="0" w:color="auto"/>
        <w:bottom w:val="none" w:sz="0" w:space="0" w:color="auto"/>
        <w:right w:val="none" w:sz="0" w:space="0" w:color="auto"/>
      </w:divBdr>
    </w:div>
    <w:div w:id="1389570038">
      <w:bodyDiv w:val="1"/>
      <w:marLeft w:val="0"/>
      <w:marRight w:val="0"/>
      <w:marTop w:val="0"/>
      <w:marBottom w:val="0"/>
      <w:divBdr>
        <w:top w:val="none" w:sz="0" w:space="0" w:color="auto"/>
        <w:left w:val="none" w:sz="0" w:space="0" w:color="auto"/>
        <w:bottom w:val="none" w:sz="0" w:space="0" w:color="auto"/>
        <w:right w:val="none" w:sz="0" w:space="0" w:color="auto"/>
      </w:divBdr>
      <w:divsChild>
        <w:div w:id="1880432127">
          <w:marLeft w:val="0"/>
          <w:marRight w:val="0"/>
          <w:marTop w:val="0"/>
          <w:marBottom w:val="0"/>
          <w:divBdr>
            <w:top w:val="none" w:sz="0" w:space="0" w:color="auto"/>
            <w:left w:val="none" w:sz="0" w:space="0" w:color="auto"/>
            <w:bottom w:val="none" w:sz="0" w:space="0" w:color="auto"/>
            <w:right w:val="none" w:sz="0" w:space="0" w:color="auto"/>
          </w:divBdr>
        </w:div>
      </w:divsChild>
    </w:div>
    <w:div w:id="15281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6A84-B274-4D0C-AF42-A2DD63D3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9047</Words>
  <Characters>48533</Characters>
  <Application>Microsoft Office Word</Application>
  <DocSecurity>0</DocSecurity>
  <Lines>766</Lines>
  <Paragraphs>124</Paragraphs>
  <ScaleCrop>false</ScaleCrop>
  <Manager/>
  <Company/>
  <LinksUpToDate>false</LinksUpToDate>
  <CharactersWithSpaces>57834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2022-11-23T15:56:00Z</dcterms:created>
  <dcterms:modified xsi:type="dcterms:W3CDTF">2022-11-23T15:56:00Z</dcterms:modified>
  <cp:category/>
</cp:coreProperties>
</file>