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57997" w14:textId="0EE4D655" w:rsidR="00C619F9" w:rsidRPr="00A555BB" w:rsidRDefault="00C75871" w:rsidP="00C75871">
      <w:pPr>
        <w:spacing w:line="240" w:lineRule="auto"/>
        <w:jc w:val="center"/>
        <w:rPr>
          <w:bCs/>
          <w:sz w:val="20"/>
        </w:rPr>
      </w:pPr>
      <w:r w:rsidRPr="00A555BB">
        <w:rPr>
          <w:bCs/>
          <w:sz w:val="20"/>
        </w:rPr>
        <w:t>Filed 3/23/23</w:t>
      </w:r>
      <w:r w:rsidR="008B2C79" w:rsidRPr="008B2C79">
        <w:rPr>
          <w:bCs/>
          <w:sz w:val="20"/>
        </w:rPr>
        <w:t>; Certified for Publication 4/</w:t>
      </w:r>
      <w:r w:rsidR="008B2C79">
        <w:rPr>
          <w:bCs/>
          <w:sz w:val="20"/>
        </w:rPr>
        <w:t>11</w:t>
      </w:r>
      <w:r w:rsidR="008B2C79" w:rsidRPr="008B2C79">
        <w:rPr>
          <w:bCs/>
          <w:sz w:val="20"/>
        </w:rPr>
        <w:t>/23 (order attached)</w:t>
      </w:r>
      <w:r w:rsidRPr="00C75871">
        <w:rPr>
          <w:bCs/>
          <w:sz w:val="20"/>
        </w:rPr>
        <w:t>; REVIEW GRANTED.  See Cal. Rules of Court, rules 8.1105 and 8.1115 (and corresponding Comment, par. 2, concerning rule 8.1115(e)(3)).</w:t>
      </w:r>
    </w:p>
    <w:p w14:paraId="773E62EE" w14:textId="77777777" w:rsidR="008B2C79" w:rsidRDefault="008B2C79" w:rsidP="005D4945">
      <w:pPr>
        <w:spacing w:line="240" w:lineRule="auto"/>
        <w:jc w:val="center"/>
        <w:rPr>
          <w:b/>
        </w:rPr>
      </w:pPr>
    </w:p>
    <w:p w14:paraId="7DD2E8A0" w14:textId="77777777" w:rsidR="008B2C79" w:rsidRDefault="008B2C79" w:rsidP="005D4945">
      <w:pPr>
        <w:spacing w:line="240" w:lineRule="auto"/>
        <w:jc w:val="center"/>
        <w:rPr>
          <w:b/>
        </w:rPr>
      </w:pPr>
    </w:p>
    <w:p w14:paraId="0E6A2C56" w14:textId="77777777" w:rsidR="008B2C79" w:rsidRDefault="008B2C79" w:rsidP="005D4945">
      <w:pPr>
        <w:spacing w:line="240" w:lineRule="auto"/>
        <w:jc w:val="center"/>
        <w:rPr>
          <w:b/>
        </w:rPr>
      </w:pPr>
    </w:p>
    <w:p w14:paraId="469C1982" w14:textId="77777777" w:rsidR="008B2C79" w:rsidRDefault="008B2C79" w:rsidP="005D4945">
      <w:pPr>
        <w:spacing w:line="240" w:lineRule="auto"/>
        <w:jc w:val="center"/>
        <w:rPr>
          <w:b/>
        </w:rPr>
      </w:pPr>
    </w:p>
    <w:p w14:paraId="087366A6" w14:textId="1A338C5A" w:rsidR="005D4945" w:rsidRDefault="00C75871" w:rsidP="005D4945">
      <w:pPr>
        <w:spacing w:line="240" w:lineRule="auto"/>
        <w:jc w:val="center"/>
        <w:rPr>
          <w:b/>
        </w:rPr>
      </w:pPr>
      <w:r>
        <w:rPr>
          <w:b/>
        </w:rPr>
        <w:t>IN THE COURT OF APPEAL OF THE STATE OF CALIFORNIA</w:t>
      </w:r>
    </w:p>
    <w:p w14:paraId="27E51A57" w14:textId="1B3056CC" w:rsidR="005D4945" w:rsidRDefault="005D4945" w:rsidP="005D4945">
      <w:pPr>
        <w:spacing w:line="240" w:lineRule="auto"/>
        <w:jc w:val="center"/>
        <w:rPr>
          <w:b/>
        </w:rPr>
      </w:pPr>
    </w:p>
    <w:p w14:paraId="287E85C3" w14:textId="21339A7B" w:rsidR="005D4945" w:rsidRDefault="00C75871" w:rsidP="005D4945">
      <w:pPr>
        <w:spacing w:line="240" w:lineRule="auto"/>
        <w:jc w:val="center"/>
        <w:rPr>
          <w:b/>
        </w:rPr>
      </w:pPr>
      <w:r>
        <w:rPr>
          <w:b/>
        </w:rPr>
        <w:t>FOURTH APPELLATE DISTRICT</w:t>
      </w:r>
    </w:p>
    <w:p w14:paraId="53BA1369" w14:textId="24877BDD" w:rsidR="005D4945" w:rsidRDefault="005D4945" w:rsidP="005D4945">
      <w:pPr>
        <w:spacing w:line="240" w:lineRule="auto"/>
        <w:jc w:val="center"/>
        <w:rPr>
          <w:b/>
        </w:rPr>
      </w:pPr>
    </w:p>
    <w:p w14:paraId="5053DDA3" w14:textId="77777777" w:rsidR="005D4945" w:rsidRDefault="00C75871" w:rsidP="005D4945">
      <w:pPr>
        <w:spacing w:line="240" w:lineRule="auto"/>
        <w:jc w:val="center"/>
        <w:rPr>
          <w:b/>
        </w:rPr>
      </w:pPr>
      <w:r>
        <w:rPr>
          <w:b/>
        </w:rPr>
        <w:t>DIVISION TWO</w:t>
      </w:r>
    </w:p>
    <w:p w14:paraId="7CA78328" w14:textId="3C6AA27D" w:rsidR="005D4945" w:rsidRDefault="005D4945" w:rsidP="005D4945">
      <w:pPr>
        <w:spacing w:line="240" w:lineRule="auto"/>
        <w:jc w:val="center"/>
      </w:pPr>
    </w:p>
    <w:p w14:paraId="61E85AF1" w14:textId="29F5BEF9" w:rsidR="005D4945" w:rsidRDefault="005D4945" w:rsidP="005D4945">
      <w:pPr>
        <w:spacing w:line="240" w:lineRule="auto"/>
        <w:jc w:val="center"/>
      </w:pPr>
    </w:p>
    <w:p w14:paraId="53AC0DC1" w14:textId="0A9880E7" w:rsidR="005D4945" w:rsidRDefault="005D4945" w:rsidP="005D4945">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A04F6" w14:paraId="5D4A05DF" w14:textId="77777777" w:rsidTr="005D4945">
        <w:tc>
          <w:tcPr>
            <w:tcW w:w="4675" w:type="dxa"/>
            <w:tcBorders>
              <w:bottom w:val="single" w:sz="4" w:space="0" w:color="auto"/>
              <w:right w:val="single" w:sz="4" w:space="0" w:color="auto"/>
            </w:tcBorders>
            <w:shd w:val="clear" w:color="auto" w:fill="auto"/>
          </w:tcPr>
          <w:p w14:paraId="06BDFFA6" w14:textId="7BD013D3" w:rsidR="005D4945" w:rsidRDefault="00C75871" w:rsidP="005D4945">
            <w:r>
              <w:t>In re T.A., a Person Coming Under the Juvenile Court Law.</w:t>
            </w:r>
          </w:p>
        </w:tc>
        <w:tc>
          <w:tcPr>
            <w:tcW w:w="4675" w:type="dxa"/>
            <w:tcBorders>
              <w:left w:val="single" w:sz="4" w:space="0" w:color="auto"/>
            </w:tcBorders>
            <w:shd w:val="clear" w:color="auto" w:fill="auto"/>
          </w:tcPr>
          <w:p w14:paraId="42053834" w14:textId="77777777" w:rsidR="005D4945" w:rsidRDefault="005D4945" w:rsidP="005D4945"/>
        </w:tc>
      </w:tr>
      <w:tr w:rsidR="00DA04F6" w14:paraId="74201BA3" w14:textId="77777777" w:rsidTr="005D4945">
        <w:tc>
          <w:tcPr>
            <w:tcW w:w="4675" w:type="dxa"/>
            <w:tcBorders>
              <w:bottom w:val="single" w:sz="4" w:space="0" w:color="auto"/>
              <w:right w:val="single" w:sz="4" w:space="0" w:color="auto"/>
            </w:tcBorders>
            <w:shd w:val="clear" w:color="auto" w:fill="auto"/>
          </w:tcPr>
          <w:p w14:paraId="0B892C50" w14:textId="77777777" w:rsidR="005D4945" w:rsidRDefault="005D4945" w:rsidP="005D4945"/>
          <w:p w14:paraId="12FCFB06" w14:textId="77777777" w:rsidR="005D4945" w:rsidRDefault="00C75871" w:rsidP="005D4945">
            <w:r>
              <w:t>THE PEOPLE,</w:t>
            </w:r>
          </w:p>
          <w:p w14:paraId="67C51ACE" w14:textId="77777777" w:rsidR="005D4945" w:rsidRDefault="005D4945" w:rsidP="005D4945"/>
          <w:p w14:paraId="50971DCD" w14:textId="77777777" w:rsidR="005D4945" w:rsidRDefault="00C75871" w:rsidP="005D4945">
            <w:r>
              <w:tab/>
            </w:r>
            <w:r>
              <w:t>Plaintiff and Respondent,</w:t>
            </w:r>
          </w:p>
          <w:p w14:paraId="6CF22EDC" w14:textId="77777777" w:rsidR="005D4945" w:rsidRDefault="005D4945" w:rsidP="005D4945"/>
          <w:p w14:paraId="0E378A73" w14:textId="77777777" w:rsidR="005D4945" w:rsidRDefault="00C75871" w:rsidP="005D4945">
            <w:r>
              <w:t>v.</w:t>
            </w:r>
          </w:p>
          <w:p w14:paraId="0635C491" w14:textId="77777777" w:rsidR="005D4945" w:rsidRDefault="005D4945" w:rsidP="005D4945"/>
          <w:p w14:paraId="0634B427" w14:textId="77777777" w:rsidR="005D4945" w:rsidRDefault="00C75871" w:rsidP="005D4945">
            <w:r>
              <w:t>T.A.,</w:t>
            </w:r>
          </w:p>
          <w:p w14:paraId="45DD7DB5" w14:textId="77777777" w:rsidR="005D4945" w:rsidRDefault="005D4945" w:rsidP="005D4945"/>
          <w:p w14:paraId="476BD11A" w14:textId="77777777" w:rsidR="005D4945" w:rsidRDefault="00C75871" w:rsidP="005D4945">
            <w:r>
              <w:tab/>
              <w:t>Defendant and Appellant.</w:t>
            </w:r>
          </w:p>
          <w:p w14:paraId="5001F372" w14:textId="69283AFC" w:rsidR="005D4945" w:rsidRDefault="005D4945" w:rsidP="005D4945"/>
        </w:tc>
        <w:tc>
          <w:tcPr>
            <w:tcW w:w="4675" w:type="dxa"/>
            <w:tcBorders>
              <w:left w:val="single" w:sz="4" w:space="0" w:color="auto"/>
            </w:tcBorders>
            <w:shd w:val="clear" w:color="auto" w:fill="auto"/>
          </w:tcPr>
          <w:p w14:paraId="0B807B68" w14:textId="77777777" w:rsidR="005D4945" w:rsidRDefault="005D4945" w:rsidP="005D4945"/>
          <w:p w14:paraId="4F69E792" w14:textId="77777777" w:rsidR="005D4945" w:rsidRDefault="005D4945" w:rsidP="005D4945"/>
          <w:p w14:paraId="6EF314EC" w14:textId="77777777" w:rsidR="005D4945" w:rsidRDefault="00C75871" w:rsidP="005D4945">
            <w:r>
              <w:tab/>
              <w:t>E079346</w:t>
            </w:r>
          </w:p>
          <w:p w14:paraId="24B43991" w14:textId="77777777" w:rsidR="005D4945" w:rsidRDefault="005D4945" w:rsidP="005D4945"/>
          <w:p w14:paraId="370C4091" w14:textId="77777777" w:rsidR="005D4945" w:rsidRDefault="00C75871" w:rsidP="005D4945">
            <w:r>
              <w:tab/>
              <w:t>(</w:t>
            </w:r>
            <w:proofErr w:type="spellStart"/>
            <w:r>
              <w:t>Super.Ct.No</w:t>
            </w:r>
            <w:proofErr w:type="spellEnd"/>
            <w:r>
              <w:t>. J286190)</w:t>
            </w:r>
          </w:p>
          <w:p w14:paraId="1C19628B" w14:textId="77777777" w:rsidR="005D4945" w:rsidRDefault="005D4945" w:rsidP="005D4945"/>
          <w:p w14:paraId="5D47F271" w14:textId="73C61E45" w:rsidR="005D4945" w:rsidRDefault="00C75871" w:rsidP="005D4945">
            <w:r>
              <w:tab/>
              <w:t>OPINION</w:t>
            </w:r>
          </w:p>
          <w:p w14:paraId="75E52DEF" w14:textId="5C199A79" w:rsidR="005D4945" w:rsidRDefault="005D4945" w:rsidP="005D4945"/>
        </w:tc>
      </w:tr>
    </w:tbl>
    <w:p w14:paraId="1105377F" w14:textId="1ED772E2" w:rsidR="005D4945" w:rsidRDefault="00C75871" w:rsidP="00186DEC">
      <w:pPr>
        <w:rPr>
          <w:szCs w:val="26"/>
        </w:rPr>
      </w:pPr>
      <w:r w:rsidRPr="00186DEC">
        <w:rPr>
          <w:szCs w:val="26"/>
        </w:rPr>
        <w:tab/>
        <w:t xml:space="preserve">APPEAL from the Superior Court of San Bernardino County.  </w:t>
      </w:r>
      <w:r w:rsidR="00583FE3">
        <w:rPr>
          <w:szCs w:val="26"/>
        </w:rPr>
        <w:t>Br</w:t>
      </w:r>
      <w:r w:rsidR="00A42DF9">
        <w:rPr>
          <w:szCs w:val="26"/>
        </w:rPr>
        <w:t>y</w:t>
      </w:r>
      <w:r w:rsidR="00583FE3">
        <w:rPr>
          <w:szCs w:val="26"/>
        </w:rPr>
        <w:t xml:space="preserve">an K. </w:t>
      </w:r>
      <w:proofErr w:type="spellStart"/>
      <w:r w:rsidR="00583FE3">
        <w:rPr>
          <w:szCs w:val="26"/>
        </w:rPr>
        <w:t>Stodghill</w:t>
      </w:r>
      <w:proofErr w:type="spellEnd"/>
      <w:r w:rsidR="00583FE3">
        <w:rPr>
          <w:szCs w:val="26"/>
        </w:rPr>
        <w:t xml:space="preserve">, Judge.  </w:t>
      </w:r>
      <w:r w:rsidR="00704B77" w:rsidRPr="00186DEC">
        <w:rPr>
          <w:szCs w:val="26"/>
        </w:rPr>
        <w:t>Affirmed.</w:t>
      </w:r>
    </w:p>
    <w:p w14:paraId="26C4D926" w14:textId="4F1DCAE3" w:rsidR="00583FE3" w:rsidRDefault="00C75871" w:rsidP="00186DEC">
      <w:pPr>
        <w:rPr>
          <w:szCs w:val="26"/>
        </w:rPr>
      </w:pPr>
      <w:r>
        <w:rPr>
          <w:szCs w:val="26"/>
        </w:rPr>
        <w:tab/>
        <w:t xml:space="preserve">Arielle Bases, under appointment by the </w:t>
      </w:r>
      <w:r>
        <w:rPr>
          <w:szCs w:val="26"/>
        </w:rPr>
        <w:t>Court of Appeal, for Defendant and Appellant.</w:t>
      </w:r>
    </w:p>
    <w:p w14:paraId="206A14AB" w14:textId="44FD4613" w:rsidR="00583FE3" w:rsidRPr="00186DEC" w:rsidRDefault="00C75871" w:rsidP="00186DEC">
      <w:pPr>
        <w:rPr>
          <w:szCs w:val="26"/>
        </w:rPr>
      </w:pPr>
      <w:r>
        <w:rPr>
          <w:szCs w:val="26"/>
        </w:rPr>
        <w:tab/>
        <w:t xml:space="preserve">Rob Bonta, Attorney General, Lance E. Winters, Chief Assistant Attorney General, Charles C. Ragland, Assistant Attorney General, Melissa A. Mandel and Joseph C. </w:t>
      </w:r>
      <w:proofErr w:type="spellStart"/>
      <w:r>
        <w:rPr>
          <w:szCs w:val="26"/>
        </w:rPr>
        <w:t>Anagnos</w:t>
      </w:r>
      <w:proofErr w:type="spellEnd"/>
      <w:r>
        <w:rPr>
          <w:szCs w:val="26"/>
        </w:rPr>
        <w:t>, Deputy Attorneys General, for Plaintiff</w:t>
      </w:r>
      <w:r>
        <w:rPr>
          <w:szCs w:val="26"/>
        </w:rPr>
        <w:t xml:space="preserve"> and Respondent.</w:t>
      </w:r>
    </w:p>
    <w:p w14:paraId="62A5E393" w14:textId="74E048B1" w:rsidR="001473FC" w:rsidRPr="00186DEC" w:rsidRDefault="00C75871" w:rsidP="00186DEC">
      <w:pPr>
        <w:rPr>
          <w:szCs w:val="26"/>
        </w:rPr>
      </w:pPr>
      <w:r w:rsidRPr="00186DEC">
        <w:rPr>
          <w:szCs w:val="26"/>
        </w:rPr>
        <w:lastRenderedPageBreak/>
        <w:tab/>
        <w:t xml:space="preserve">In May 2022, the juvenile court granted a motion to transfer defendant minor T.A. from juvenile court to a court of criminal jurisdiction.  T.A. argues we must remand so the juvenile court can reconsider its ruling </w:t>
      </w:r>
      <w:proofErr w:type="gramStart"/>
      <w:r w:rsidRPr="00186DEC">
        <w:rPr>
          <w:szCs w:val="26"/>
        </w:rPr>
        <w:t>in light of</w:t>
      </w:r>
      <w:proofErr w:type="gramEnd"/>
      <w:r w:rsidRPr="00186DEC">
        <w:rPr>
          <w:szCs w:val="26"/>
        </w:rPr>
        <w:t xml:space="preserve"> recent amel</w:t>
      </w:r>
      <w:r w:rsidRPr="00186DEC">
        <w:rPr>
          <w:szCs w:val="26"/>
        </w:rPr>
        <w:t xml:space="preserve">iorative changes to the law enacted by Assembly Bill No. 2361 (2021-2022 Reg. Sess.) (Assembly Bill 2361).  The </w:t>
      </w:r>
      <w:r w:rsidR="0013530E" w:rsidRPr="00186DEC">
        <w:rPr>
          <w:szCs w:val="26"/>
        </w:rPr>
        <w:t>People concede that the changes apply retroactively to a minor, like T.A., whose case was not final when they took effect.  Nevertheless, the People argue, no remand is necessary here because</w:t>
      </w:r>
      <w:r w:rsidR="00BC7DC9" w:rsidRPr="00186DEC">
        <w:rPr>
          <w:szCs w:val="26"/>
        </w:rPr>
        <w:t xml:space="preserve"> there is no reasonable probability</w:t>
      </w:r>
      <w:r w:rsidR="0013530E" w:rsidRPr="00186DEC">
        <w:rPr>
          <w:szCs w:val="26"/>
        </w:rPr>
        <w:t xml:space="preserve"> the juvenile court would have reached </w:t>
      </w:r>
      <w:r w:rsidR="00BC7DC9" w:rsidRPr="00186DEC">
        <w:rPr>
          <w:szCs w:val="26"/>
        </w:rPr>
        <w:t>a different</w:t>
      </w:r>
      <w:r w:rsidR="0013530E" w:rsidRPr="00186DEC">
        <w:rPr>
          <w:szCs w:val="26"/>
        </w:rPr>
        <w:t xml:space="preserve"> result under the amended law.  </w:t>
      </w:r>
      <w:r w:rsidR="00BC7DC9" w:rsidRPr="00186DEC">
        <w:rPr>
          <w:szCs w:val="26"/>
        </w:rPr>
        <w:t>We agree with the People and therefore affirm.</w:t>
      </w:r>
    </w:p>
    <w:p w14:paraId="6FA4A12F" w14:textId="0E7EF2BD" w:rsidR="001473FC" w:rsidRPr="00186DEC" w:rsidRDefault="00C75871" w:rsidP="00186DEC">
      <w:pPr>
        <w:keepNext/>
        <w:keepLines/>
        <w:jc w:val="center"/>
        <w:rPr>
          <w:szCs w:val="26"/>
        </w:rPr>
      </w:pPr>
      <w:r w:rsidRPr="00186DEC">
        <w:rPr>
          <w:szCs w:val="26"/>
        </w:rPr>
        <w:t>I. BACKGROUND</w:t>
      </w:r>
    </w:p>
    <w:p w14:paraId="2279BC48" w14:textId="66E2A525" w:rsidR="001473FC" w:rsidRPr="00186DEC" w:rsidRDefault="00C75871" w:rsidP="00186DEC">
      <w:pPr>
        <w:rPr>
          <w:szCs w:val="26"/>
        </w:rPr>
      </w:pPr>
      <w:r w:rsidRPr="00186DEC">
        <w:rPr>
          <w:szCs w:val="26"/>
        </w:rPr>
        <w:tab/>
        <w:t xml:space="preserve">T.A. (born 1995) was </w:t>
      </w:r>
      <w:r w:rsidRPr="00186DEC">
        <w:rPr>
          <w:szCs w:val="26"/>
        </w:rPr>
        <w:t xml:space="preserve">tried and convicted in adult court of a </w:t>
      </w:r>
      <w:proofErr w:type="gramStart"/>
      <w:r w:rsidRPr="00186DEC">
        <w:rPr>
          <w:szCs w:val="26"/>
        </w:rPr>
        <w:t>second degree</w:t>
      </w:r>
      <w:proofErr w:type="gramEnd"/>
      <w:r w:rsidRPr="00186DEC">
        <w:rPr>
          <w:szCs w:val="26"/>
        </w:rPr>
        <w:t xml:space="preserve"> murder committed in 2012, as well as gang and firearms enhancements of that charge.</w:t>
      </w:r>
      <w:r w:rsidR="00D83A52" w:rsidRPr="00186DEC">
        <w:rPr>
          <w:szCs w:val="26"/>
        </w:rPr>
        <w:t xml:space="preserve">  In 2018, he was sentenced to a prison term of 40 years to life.</w:t>
      </w:r>
    </w:p>
    <w:p w14:paraId="2A15119D" w14:textId="202FC13C" w:rsidR="00D83A52" w:rsidRPr="00186DEC" w:rsidRDefault="00C75871" w:rsidP="00186DEC">
      <w:pPr>
        <w:rPr>
          <w:szCs w:val="26"/>
        </w:rPr>
      </w:pPr>
      <w:r w:rsidRPr="00186DEC">
        <w:rPr>
          <w:szCs w:val="26"/>
        </w:rPr>
        <w:tab/>
        <w:t xml:space="preserve">In </w:t>
      </w:r>
      <w:r w:rsidR="00A7785B" w:rsidRPr="00186DEC">
        <w:rPr>
          <w:szCs w:val="26"/>
        </w:rPr>
        <w:t xml:space="preserve">an </w:t>
      </w:r>
      <w:r w:rsidRPr="00186DEC">
        <w:rPr>
          <w:szCs w:val="26"/>
        </w:rPr>
        <w:t>April 2020</w:t>
      </w:r>
      <w:r w:rsidR="00A7785B" w:rsidRPr="00186DEC">
        <w:rPr>
          <w:szCs w:val="26"/>
        </w:rPr>
        <w:t xml:space="preserve"> </w:t>
      </w:r>
      <w:r w:rsidRPr="00186DEC">
        <w:rPr>
          <w:szCs w:val="26"/>
        </w:rPr>
        <w:t>unpublished opinion, Division One o</w:t>
      </w:r>
      <w:r w:rsidRPr="00186DEC">
        <w:rPr>
          <w:szCs w:val="26"/>
        </w:rPr>
        <w:t>f this court conditionally reversed the judgment and remanded for a transfer hearing</w:t>
      </w:r>
      <w:r w:rsidR="002C7907" w:rsidRPr="00186DEC">
        <w:rPr>
          <w:szCs w:val="26"/>
        </w:rPr>
        <w:t xml:space="preserve"> </w:t>
      </w:r>
      <w:proofErr w:type="gramStart"/>
      <w:r w:rsidR="002C7907" w:rsidRPr="00186DEC">
        <w:rPr>
          <w:szCs w:val="26"/>
        </w:rPr>
        <w:t>in light of</w:t>
      </w:r>
      <w:proofErr w:type="gramEnd"/>
      <w:r w:rsidR="002C7907" w:rsidRPr="00186DEC">
        <w:rPr>
          <w:szCs w:val="26"/>
        </w:rPr>
        <w:t xml:space="preserve"> Proposition 57 and California Supreme Court authority.  (See </w:t>
      </w:r>
      <w:r w:rsidR="002C7907" w:rsidRPr="00186DEC">
        <w:rPr>
          <w:i/>
          <w:iCs/>
          <w:szCs w:val="26"/>
        </w:rPr>
        <w:t>People v. Superior Court (Lara)</w:t>
      </w:r>
      <w:r w:rsidR="002C7907" w:rsidRPr="00186DEC">
        <w:rPr>
          <w:szCs w:val="26"/>
        </w:rPr>
        <w:t xml:space="preserve"> (2018) 4 Cal.5th</w:t>
      </w:r>
      <w:r w:rsidR="00280969" w:rsidRPr="00186DEC">
        <w:rPr>
          <w:szCs w:val="26"/>
        </w:rPr>
        <w:t xml:space="preserve"> 299, </w:t>
      </w:r>
      <w:r w:rsidR="002C7907" w:rsidRPr="00186DEC">
        <w:rPr>
          <w:szCs w:val="26"/>
        </w:rPr>
        <w:t>303-304</w:t>
      </w:r>
      <w:r w:rsidR="00280969" w:rsidRPr="00186DEC">
        <w:rPr>
          <w:szCs w:val="26"/>
        </w:rPr>
        <w:t xml:space="preserve"> (</w:t>
      </w:r>
      <w:r w:rsidR="00280969" w:rsidRPr="00186DEC">
        <w:rPr>
          <w:i/>
          <w:iCs/>
          <w:szCs w:val="26"/>
        </w:rPr>
        <w:t>Lara</w:t>
      </w:r>
      <w:r w:rsidR="00280969" w:rsidRPr="00186DEC">
        <w:rPr>
          <w:szCs w:val="26"/>
        </w:rPr>
        <w:t>)</w:t>
      </w:r>
      <w:r w:rsidR="002C7907" w:rsidRPr="00186DEC">
        <w:rPr>
          <w:szCs w:val="26"/>
        </w:rPr>
        <w:t xml:space="preserve"> [</w:t>
      </w:r>
      <w:r w:rsidR="00280969" w:rsidRPr="00186DEC">
        <w:rPr>
          <w:szCs w:val="26"/>
        </w:rPr>
        <w:t>Proposition 57 applies retroactively to non-final cases</w:t>
      </w:r>
      <w:r w:rsidR="002C7907" w:rsidRPr="00186DEC">
        <w:rPr>
          <w:szCs w:val="26"/>
        </w:rPr>
        <w:t>].)</w:t>
      </w:r>
    </w:p>
    <w:p w14:paraId="24A077C4" w14:textId="1FE66040" w:rsidR="001C7C78" w:rsidRPr="00186DEC" w:rsidRDefault="00C75871" w:rsidP="00186DEC">
      <w:pPr>
        <w:rPr>
          <w:szCs w:val="26"/>
        </w:rPr>
      </w:pPr>
      <w:r w:rsidRPr="00186DEC">
        <w:rPr>
          <w:szCs w:val="26"/>
        </w:rPr>
        <w:tab/>
      </w:r>
      <w:r w:rsidR="002F1FB7" w:rsidRPr="00186DEC">
        <w:rPr>
          <w:szCs w:val="26"/>
        </w:rPr>
        <w:t>I</w:t>
      </w:r>
      <w:r w:rsidRPr="00186DEC">
        <w:rPr>
          <w:szCs w:val="26"/>
        </w:rPr>
        <w:t>n May 2022,</w:t>
      </w:r>
      <w:r w:rsidR="002F1FB7" w:rsidRPr="00186DEC">
        <w:rPr>
          <w:szCs w:val="26"/>
        </w:rPr>
        <w:t xml:space="preserve"> after</w:t>
      </w:r>
      <w:r w:rsidR="00A47CD3" w:rsidRPr="00186DEC">
        <w:rPr>
          <w:szCs w:val="26"/>
        </w:rPr>
        <w:t xml:space="preserve"> a </w:t>
      </w:r>
      <w:r w:rsidR="002F1FB7" w:rsidRPr="00186DEC">
        <w:rPr>
          <w:szCs w:val="26"/>
        </w:rPr>
        <w:t>hearing,</w:t>
      </w:r>
      <w:r w:rsidRPr="00186DEC">
        <w:rPr>
          <w:szCs w:val="26"/>
        </w:rPr>
        <w:t xml:space="preserve"> the juvenile court granted the People’s motion to transfer </w:t>
      </w:r>
      <w:r w:rsidR="00FA1C7C" w:rsidRPr="00186DEC">
        <w:rPr>
          <w:szCs w:val="26"/>
        </w:rPr>
        <w:t>T.A.</w:t>
      </w:r>
      <w:r w:rsidRPr="00186DEC">
        <w:rPr>
          <w:szCs w:val="26"/>
        </w:rPr>
        <w:t xml:space="preserve"> back to adult court</w:t>
      </w:r>
      <w:r w:rsidR="002F1FB7" w:rsidRPr="00186DEC">
        <w:rPr>
          <w:szCs w:val="26"/>
        </w:rPr>
        <w:t xml:space="preserve"> and</w:t>
      </w:r>
      <w:r w:rsidRPr="00186DEC">
        <w:rPr>
          <w:szCs w:val="26"/>
        </w:rPr>
        <w:t xml:space="preserve"> </w:t>
      </w:r>
      <w:r w:rsidR="002F1FB7" w:rsidRPr="00186DEC">
        <w:rPr>
          <w:szCs w:val="26"/>
        </w:rPr>
        <w:t>reinstated</w:t>
      </w:r>
      <w:r w:rsidRPr="00186DEC">
        <w:rPr>
          <w:szCs w:val="26"/>
        </w:rPr>
        <w:t xml:space="preserve"> the judgment.</w:t>
      </w:r>
      <w:r w:rsidR="00610292" w:rsidRPr="00186DEC">
        <w:rPr>
          <w:szCs w:val="26"/>
        </w:rPr>
        <w:t xml:space="preserve">  We discuss the juvenile court’s lengthy explanation of its decision below.</w:t>
      </w:r>
    </w:p>
    <w:p w14:paraId="375CEE17" w14:textId="5FF1CAEE" w:rsidR="001473FC" w:rsidRPr="00186DEC" w:rsidRDefault="00C75871" w:rsidP="00186DEC">
      <w:pPr>
        <w:rPr>
          <w:szCs w:val="26"/>
        </w:rPr>
      </w:pPr>
      <w:r w:rsidRPr="00186DEC">
        <w:rPr>
          <w:szCs w:val="26"/>
        </w:rPr>
        <w:lastRenderedPageBreak/>
        <w:tab/>
        <w:t>In S</w:t>
      </w:r>
      <w:r w:rsidRPr="00186DEC">
        <w:rPr>
          <w:szCs w:val="26"/>
        </w:rPr>
        <w:t>eptember 2022, the Governor signed Assembly Bill 2361</w:t>
      </w:r>
      <w:r w:rsidR="00573124" w:rsidRPr="00186DEC">
        <w:rPr>
          <w:szCs w:val="26"/>
        </w:rPr>
        <w:t xml:space="preserve">, </w:t>
      </w:r>
      <w:r w:rsidR="00B06D64" w:rsidRPr="00186DEC">
        <w:rPr>
          <w:szCs w:val="26"/>
        </w:rPr>
        <w:t>which</w:t>
      </w:r>
      <w:r w:rsidR="00573124" w:rsidRPr="00186DEC">
        <w:rPr>
          <w:szCs w:val="26"/>
        </w:rPr>
        <w:t xml:space="preserve"> went into effect on January 1, 2023.  (Cal. Const., art. IV, § 8, </w:t>
      </w:r>
      <w:proofErr w:type="spellStart"/>
      <w:r w:rsidR="00573124" w:rsidRPr="00186DEC">
        <w:rPr>
          <w:szCs w:val="26"/>
        </w:rPr>
        <w:t>subd</w:t>
      </w:r>
      <w:proofErr w:type="spellEnd"/>
      <w:r w:rsidR="00573124" w:rsidRPr="00186DEC">
        <w:rPr>
          <w:szCs w:val="26"/>
        </w:rPr>
        <w:t xml:space="preserve">. (c); Gov. Code, § 9600, </w:t>
      </w:r>
      <w:proofErr w:type="spellStart"/>
      <w:r w:rsidR="00573124" w:rsidRPr="00186DEC">
        <w:rPr>
          <w:szCs w:val="26"/>
        </w:rPr>
        <w:t>subd</w:t>
      </w:r>
      <w:proofErr w:type="spellEnd"/>
      <w:r w:rsidR="00573124" w:rsidRPr="00186DEC">
        <w:rPr>
          <w:szCs w:val="26"/>
        </w:rPr>
        <w:t>. (a).)</w:t>
      </w:r>
      <w:r w:rsidR="00573124" w:rsidRPr="00186DEC">
        <w:rPr>
          <w:szCs w:val="26"/>
        </w:rPr>
        <w:tab/>
      </w:r>
    </w:p>
    <w:p w14:paraId="60E8AE25" w14:textId="04E53078" w:rsidR="001473FC" w:rsidRPr="00186DEC" w:rsidRDefault="00C75871" w:rsidP="00186DEC">
      <w:pPr>
        <w:keepNext/>
        <w:jc w:val="center"/>
        <w:rPr>
          <w:szCs w:val="26"/>
        </w:rPr>
      </w:pPr>
      <w:r w:rsidRPr="00186DEC">
        <w:rPr>
          <w:szCs w:val="26"/>
        </w:rPr>
        <w:t>II. DISCUSSION</w:t>
      </w:r>
    </w:p>
    <w:p w14:paraId="43816063" w14:textId="336ECBEE" w:rsidR="00FE7A10" w:rsidRPr="00186DEC" w:rsidRDefault="00C75871" w:rsidP="00186DEC">
      <w:pPr>
        <w:keepNext/>
        <w:rPr>
          <w:szCs w:val="26"/>
        </w:rPr>
      </w:pPr>
      <w:r w:rsidRPr="00186DEC">
        <w:rPr>
          <w:szCs w:val="26"/>
        </w:rPr>
        <w:t xml:space="preserve">A. </w:t>
      </w:r>
      <w:r w:rsidRPr="00186DEC">
        <w:rPr>
          <w:i/>
          <w:iCs/>
          <w:szCs w:val="26"/>
        </w:rPr>
        <w:t>Retroactivity</w:t>
      </w:r>
      <w:r w:rsidR="002F1FB7" w:rsidRPr="00186DEC">
        <w:rPr>
          <w:szCs w:val="26"/>
        </w:rPr>
        <w:tab/>
      </w:r>
    </w:p>
    <w:p w14:paraId="15FECCAE" w14:textId="6C66EC3A" w:rsidR="001473FC" w:rsidRPr="00186DEC" w:rsidRDefault="00C75871" w:rsidP="00186DEC">
      <w:pPr>
        <w:ind w:firstLine="720"/>
        <w:rPr>
          <w:szCs w:val="26"/>
        </w:rPr>
      </w:pPr>
      <w:r w:rsidRPr="00186DEC">
        <w:rPr>
          <w:szCs w:val="26"/>
        </w:rPr>
        <w:t xml:space="preserve">T.A. argues Assembly Bill 2361’s amendments to Welfare and Institutions Code section 707 are ameliorative and that he is entitled to have those changes apply to him retroactively.  </w:t>
      </w:r>
      <w:r w:rsidR="00FA1C7C" w:rsidRPr="00186DEC">
        <w:rPr>
          <w:szCs w:val="26"/>
        </w:rPr>
        <w:t>The People agree</w:t>
      </w:r>
      <w:r w:rsidR="00FE7A10" w:rsidRPr="00186DEC">
        <w:rPr>
          <w:szCs w:val="26"/>
        </w:rPr>
        <w:t>, as do we.</w:t>
      </w:r>
    </w:p>
    <w:p w14:paraId="3EA8C782" w14:textId="64160352" w:rsidR="00187A8B" w:rsidRPr="00186DEC" w:rsidRDefault="00C75871" w:rsidP="00186DEC">
      <w:pPr>
        <w:rPr>
          <w:szCs w:val="26"/>
        </w:rPr>
      </w:pPr>
      <w:r w:rsidRPr="00186DEC">
        <w:rPr>
          <w:szCs w:val="26"/>
        </w:rPr>
        <w:tab/>
        <w:t>Welfare and Institutions Code section 707 gove</w:t>
      </w:r>
      <w:r w:rsidRPr="00186DEC">
        <w:rPr>
          <w:szCs w:val="26"/>
        </w:rPr>
        <w:t>rns the procedures for transferring a minor from juvenile court to a court of criminal jurisdiction.  Before Assembly Bill 2361, the prosecution had the burden of establishing by a preponderance of the evidence that the minor was not suitable for rehabilit</w:t>
      </w:r>
      <w:r w:rsidRPr="00186DEC">
        <w:rPr>
          <w:szCs w:val="26"/>
        </w:rPr>
        <w:t>ation under the juvenile court system.  (</w:t>
      </w:r>
      <w:r w:rsidRPr="00186DEC">
        <w:rPr>
          <w:i/>
          <w:iCs/>
          <w:szCs w:val="26"/>
        </w:rPr>
        <w:t>Kevin P. v. Superior Court</w:t>
      </w:r>
      <w:r w:rsidRPr="00186DEC">
        <w:rPr>
          <w:szCs w:val="26"/>
        </w:rPr>
        <w:t xml:space="preserve"> (2020) 57 Cal.App.5th 173, 186.)  Assembly </w:t>
      </w:r>
      <w:r w:rsidR="00D45338" w:rsidRPr="00186DEC">
        <w:rPr>
          <w:szCs w:val="26"/>
        </w:rPr>
        <w:t xml:space="preserve">Bill 2361 raised that burden of proof to the clear and convincing evidence standard.  (Stats. 2022, </w:t>
      </w:r>
      <w:proofErr w:type="spellStart"/>
      <w:r w:rsidR="00D45338" w:rsidRPr="00186DEC">
        <w:rPr>
          <w:szCs w:val="26"/>
        </w:rPr>
        <w:t>ch.</w:t>
      </w:r>
      <w:proofErr w:type="spellEnd"/>
      <w:r w:rsidR="00D45338" w:rsidRPr="00186DEC">
        <w:rPr>
          <w:szCs w:val="26"/>
        </w:rPr>
        <w:t xml:space="preserve"> 330, § 1; </w:t>
      </w:r>
      <w:proofErr w:type="spellStart"/>
      <w:r w:rsidRPr="00186DEC">
        <w:rPr>
          <w:szCs w:val="26"/>
        </w:rPr>
        <w:t>Welf</w:t>
      </w:r>
      <w:proofErr w:type="spellEnd"/>
      <w:r w:rsidRPr="00186DEC">
        <w:rPr>
          <w:szCs w:val="26"/>
        </w:rPr>
        <w:t>. &amp; Inst. Code, §</w:t>
      </w:r>
      <w:r w:rsidR="00D45338" w:rsidRPr="00186DEC">
        <w:rPr>
          <w:szCs w:val="26"/>
        </w:rPr>
        <w:t xml:space="preserve"> 707, </w:t>
      </w:r>
      <w:proofErr w:type="spellStart"/>
      <w:r w:rsidR="00D45338" w:rsidRPr="00186DEC">
        <w:rPr>
          <w:szCs w:val="26"/>
        </w:rPr>
        <w:t>subd</w:t>
      </w:r>
      <w:proofErr w:type="spellEnd"/>
      <w:r w:rsidR="00D45338" w:rsidRPr="00186DEC">
        <w:rPr>
          <w:szCs w:val="26"/>
        </w:rPr>
        <w:t>. (a)(3).)</w:t>
      </w:r>
      <w:r w:rsidRPr="00186DEC">
        <w:rPr>
          <w:szCs w:val="26"/>
        </w:rPr>
        <w:t xml:space="preserve">  Assembly Bill 2361 also amended Welfare and Institutions Code section 707 to require that the juvenile court’s on-the-record explanation for any decision to transfer “include the reasons supporting the court’s finding that the minor is not amen</w:t>
      </w:r>
      <w:r w:rsidRPr="00186DEC">
        <w:rPr>
          <w:szCs w:val="26"/>
        </w:rPr>
        <w:t>able to rehabilitation while under the jurisdiction of the juvenile court.”  (Stats. 2022,</w:t>
      </w:r>
      <w:r w:rsidR="00C86077">
        <w:rPr>
          <w:szCs w:val="26"/>
        </w:rPr>
        <w:t xml:space="preserve"> </w:t>
      </w:r>
      <w:proofErr w:type="spellStart"/>
      <w:r w:rsidRPr="00186DEC">
        <w:rPr>
          <w:szCs w:val="26"/>
        </w:rPr>
        <w:t>ch.</w:t>
      </w:r>
      <w:proofErr w:type="spellEnd"/>
      <w:r w:rsidRPr="00186DEC">
        <w:rPr>
          <w:szCs w:val="26"/>
        </w:rPr>
        <w:t xml:space="preserve"> 330, § 1; </w:t>
      </w:r>
      <w:proofErr w:type="spellStart"/>
      <w:r w:rsidRPr="00186DEC">
        <w:rPr>
          <w:szCs w:val="26"/>
        </w:rPr>
        <w:t>Welf</w:t>
      </w:r>
      <w:proofErr w:type="spellEnd"/>
      <w:r w:rsidRPr="00186DEC">
        <w:rPr>
          <w:szCs w:val="26"/>
        </w:rPr>
        <w:t xml:space="preserve">. &amp; Inst. Code, § 707, </w:t>
      </w:r>
      <w:proofErr w:type="spellStart"/>
      <w:r w:rsidRPr="00186DEC">
        <w:rPr>
          <w:szCs w:val="26"/>
        </w:rPr>
        <w:t>subd</w:t>
      </w:r>
      <w:proofErr w:type="spellEnd"/>
      <w:r w:rsidRPr="00186DEC">
        <w:rPr>
          <w:szCs w:val="26"/>
        </w:rPr>
        <w:t xml:space="preserve">. (a)(3).)  </w:t>
      </w:r>
    </w:p>
    <w:p w14:paraId="1985FBBB" w14:textId="3B8A4B43" w:rsidR="00FE7A10" w:rsidRPr="00186DEC" w:rsidRDefault="00C75871" w:rsidP="00186DEC">
      <w:pPr>
        <w:rPr>
          <w:szCs w:val="26"/>
        </w:rPr>
      </w:pPr>
      <w:r w:rsidRPr="00186DEC">
        <w:rPr>
          <w:szCs w:val="26"/>
        </w:rPr>
        <w:tab/>
      </w:r>
      <w:r w:rsidR="00280969" w:rsidRPr="00186DEC">
        <w:rPr>
          <w:szCs w:val="26"/>
        </w:rPr>
        <w:t xml:space="preserve">In general, ameliorative criminal legislation applies to all non-final judgments.  (See </w:t>
      </w:r>
      <w:r w:rsidR="00280969" w:rsidRPr="00186DEC">
        <w:rPr>
          <w:i/>
          <w:iCs/>
          <w:szCs w:val="26"/>
        </w:rPr>
        <w:t>In re Estrada</w:t>
      </w:r>
      <w:r w:rsidR="00280969" w:rsidRPr="00186DEC">
        <w:rPr>
          <w:szCs w:val="26"/>
        </w:rPr>
        <w:t xml:space="preserve"> (1965) 63 Cal.2d 740, 748.)  In </w:t>
      </w:r>
      <w:r w:rsidR="00280969" w:rsidRPr="00186DEC">
        <w:rPr>
          <w:i/>
          <w:iCs/>
          <w:szCs w:val="26"/>
        </w:rPr>
        <w:t>Lara</w:t>
      </w:r>
      <w:r w:rsidR="00280969" w:rsidRPr="00186DEC">
        <w:rPr>
          <w:szCs w:val="26"/>
        </w:rPr>
        <w:t xml:space="preserve">, </w:t>
      </w:r>
      <w:r w:rsidR="00280969" w:rsidRPr="00186DEC">
        <w:rPr>
          <w:i/>
          <w:iCs/>
          <w:szCs w:val="26"/>
        </w:rPr>
        <w:t>supra</w:t>
      </w:r>
      <w:r w:rsidR="00280969" w:rsidRPr="00186DEC">
        <w:rPr>
          <w:szCs w:val="26"/>
        </w:rPr>
        <w:t xml:space="preserve">, 4 Cal.5th at p. 299, the </w:t>
      </w:r>
      <w:r w:rsidR="00280969" w:rsidRPr="00186DEC">
        <w:rPr>
          <w:szCs w:val="26"/>
        </w:rPr>
        <w:lastRenderedPageBreak/>
        <w:t>California Supreme Court considered whether this general principle applied to Proposition 57, which prohibited prosecutors from charging juveniles with crimes directly in adult court and placed the burden of proof on prosecutors at transfer hearings.  (</w:t>
      </w:r>
      <w:r w:rsidR="00C86077">
        <w:rPr>
          <w:i/>
          <w:iCs/>
          <w:szCs w:val="26"/>
        </w:rPr>
        <w:t>Lara</w:t>
      </w:r>
      <w:r w:rsidR="00C86077" w:rsidRPr="00DE12E4">
        <w:rPr>
          <w:szCs w:val="26"/>
        </w:rPr>
        <w:t>,</w:t>
      </w:r>
      <w:r w:rsidR="00280969" w:rsidRPr="00186DEC">
        <w:rPr>
          <w:szCs w:val="26"/>
        </w:rPr>
        <w:t xml:space="preserve"> at p. 303.)  The court concluded that while “</w:t>
      </w:r>
      <w:r w:rsidR="00280969" w:rsidRPr="00186DEC">
        <w:rPr>
          <w:i/>
          <w:iCs/>
          <w:szCs w:val="26"/>
        </w:rPr>
        <w:t>Estrada</w:t>
      </w:r>
      <w:r w:rsidR="00280969" w:rsidRPr="00186DEC">
        <w:rPr>
          <w:szCs w:val="26"/>
        </w:rPr>
        <w:t xml:space="preserve"> is not directly on point; ... its rationale does apply.”  (</w:t>
      </w:r>
      <w:r w:rsidR="00280969" w:rsidRPr="00186DEC">
        <w:rPr>
          <w:i/>
          <w:iCs/>
          <w:szCs w:val="26"/>
        </w:rPr>
        <w:t>Ibid</w:t>
      </w:r>
      <w:r w:rsidR="00280969" w:rsidRPr="00186DEC">
        <w:rPr>
          <w:szCs w:val="26"/>
        </w:rPr>
        <w:t xml:space="preserve">.)  The court reasoned that “[t]he possibility of being treated as a juvenile in juvenile court—where rehabilitation is the goal—rather than being tried and sentenced as an adult can result in dramatically different and more lenient treatment,” and concluded “[f]or this reason, </w:t>
      </w:r>
      <w:r w:rsidR="00280969" w:rsidRPr="00186DEC">
        <w:rPr>
          <w:i/>
          <w:iCs/>
          <w:szCs w:val="26"/>
        </w:rPr>
        <w:t>Estrada</w:t>
      </w:r>
      <w:r w:rsidR="00280969" w:rsidRPr="00186DEC">
        <w:rPr>
          <w:szCs w:val="26"/>
        </w:rPr>
        <w:t>’s inference of retroactivity applies.”  (</w:t>
      </w:r>
      <w:r w:rsidR="00280969" w:rsidRPr="00186DEC">
        <w:rPr>
          <w:i/>
          <w:iCs/>
          <w:szCs w:val="26"/>
        </w:rPr>
        <w:t>Ibid.</w:t>
      </w:r>
      <w:r w:rsidR="00280969" w:rsidRPr="00186DEC">
        <w:rPr>
          <w:szCs w:val="26"/>
        </w:rPr>
        <w:t>)</w:t>
      </w:r>
    </w:p>
    <w:p w14:paraId="62558D2F" w14:textId="39AFF34F" w:rsidR="00280969" w:rsidRPr="00186DEC" w:rsidRDefault="00C75871" w:rsidP="00186DEC">
      <w:pPr>
        <w:rPr>
          <w:szCs w:val="26"/>
        </w:rPr>
      </w:pPr>
      <w:r w:rsidRPr="00186DEC">
        <w:rPr>
          <w:szCs w:val="26"/>
        </w:rPr>
        <w:tab/>
        <w:t xml:space="preserve">As of this writing, no published case has considered whether </w:t>
      </w:r>
      <w:r w:rsidRPr="00186DEC">
        <w:rPr>
          <w:i/>
          <w:iCs/>
          <w:szCs w:val="26"/>
        </w:rPr>
        <w:t>Lara</w:t>
      </w:r>
      <w:r w:rsidRPr="00186DEC">
        <w:rPr>
          <w:szCs w:val="26"/>
        </w:rPr>
        <w:t xml:space="preserve">’s reasoning also applies to Assembly Bill 2361.  </w:t>
      </w:r>
      <w:r w:rsidR="00573124" w:rsidRPr="00186DEC">
        <w:rPr>
          <w:szCs w:val="26"/>
        </w:rPr>
        <w:t xml:space="preserve">The parties agree, as do we, that </w:t>
      </w:r>
      <w:r w:rsidRPr="00186DEC">
        <w:rPr>
          <w:szCs w:val="26"/>
        </w:rPr>
        <w:t>that it does.  Like Proposition 57, Assembly Bill 2361 raises the burden of proof for transferring</w:t>
      </w:r>
      <w:r w:rsidRPr="00186DEC">
        <w:rPr>
          <w:szCs w:val="26"/>
        </w:rPr>
        <w:t xml:space="preserve"> a juvenile to adult criminal court, among other changes.  Thus, Assembly Bill 2361, like Proposition 57, “reduces the possible punishment for a class of persons, namely juveniles.”  (</w:t>
      </w:r>
      <w:r w:rsidRPr="00186DEC">
        <w:rPr>
          <w:i/>
          <w:iCs/>
          <w:szCs w:val="26"/>
        </w:rPr>
        <w:t>Lara</w:t>
      </w:r>
      <w:r w:rsidRPr="00186DEC">
        <w:rPr>
          <w:szCs w:val="26"/>
        </w:rPr>
        <w:t xml:space="preserve">, </w:t>
      </w:r>
      <w:r w:rsidRPr="00186DEC">
        <w:rPr>
          <w:i/>
          <w:iCs/>
          <w:szCs w:val="26"/>
        </w:rPr>
        <w:t>supra</w:t>
      </w:r>
      <w:r w:rsidRPr="00186DEC">
        <w:rPr>
          <w:szCs w:val="26"/>
        </w:rPr>
        <w:t>, 4 Cal.5th at p. 303.)</w:t>
      </w:r>
    </w:p>
    <w:p w14:paraId="61CD9EC6" w14:textId="43762773" w:rsidR="00280969" w:rsidRPr="00186DEC" w:rsidRDefault="00C75871" w:rsidP="00186DEC">
      <w:pPr>
        <w:rPr>
          <w:szCs w:val="26"/>
        </w:rPr>
      </w:pPr>
      <w:r w:rsidRPr="00186DEC">
        <w:rPr>
          <w:szCs w:val="26"/>
        </w:rPr>
        <w:tab/>
        <w:t xml:space="preserve">The presumption of </w:t>
      </w:r>
      <w:r w:rsidRPr="00186DEC">
        <w:rPr>
          <w:szCs w:val="26"/>
        </w:rPr>
        <w:t>retroactivity “‘“applies to any such proceeding which, at the time of the supervening legislation, has not yet reached final disposition in the highest court authorized to review it.”’”  (</w:t>
      </w:r>
      <w:r w:rsidRPr="00186DEC">
        <w:rPr>
          <w:i/>
          <w:iCs/>
          <w:szCs w:val="26"/>
        </w:rPr>
        <w:t>People v. McKenzie</w:t>
      </w:r>
      <w:r w:rsidRPr="00186DEC">
        <w:rPr>
          <w:szCs w:val="26"/>
        </w:rPr>
        <w:t xml:space="preserve"> (2020) 9 Cal.5th </w:t>
      </w:r>
      <w:r w:rsidR="00C86077">
        <w:rPr>
          <w:szCs w:val="26"/>
        </w:rPr>
        <w:t>40</w:t>
      </w:r>
      <w:r w:rsidRPr="00186DEC">
        <w:rPr>
          <w:szCs w:val="26"/>
        </w:rPr>
        <w:t>, 45.)</w:t>
      </w:r>
      <w:r w:rsidR="00573124" w:rsidRPr="00186DEC">
        <w:rPr>
          <w:szCs w:val="26"/>
        </w:rPr>
        <w:t xml:space="preserve">  Assembly Bill 2361 has now gone into effect</w:t>
      </w:r>
      <w:r w:rsidR="00EF5D44" w:rsidRPr="00186DEC">
        <w:rPr>
          <w:szCs w:val="26"/>
        </w:rPr>
        <w:t xml:space="preserve">, and </w:t>
      </w:r>
      <w:proofErr w:type="spellStart"/>
      <w:r w:rsidR="00EF5D44" w:rsidRPr="00186DEC">
        <w:rPr>
          <w:szCs w:val="26"/>
        </w:rPr>
        <w:t>T.A.’s</w:t>
      </w:r>
      <w:proofErr w:type="spellEnd"/>
      <w:r w:rsidR="00EF5D44" w:rsidRPr="00186DEC">
        <w:rPr>
          <w:szCs w:val="26"/>
        </w:rPr>
        <w:t xml:space="preserve"> case is not final</w:t>
      </w:r>
      <w:r w:rsidR="00573124" w:rsidRPr="00186DEC">
        <w:rPr>
          <w:szCs w:val="26"/>
        </w:rPr>
        <w:t xml:space="preserve">.  </w:t>
      </w:r>
      <w:r w:rsidR="00EF5D44" w:rsidRPr="00186DEC">
        <w:rPr>
          <w:szCs w:val="26"/>
        </w:rPr>
        <w:t>He</w:t>
      </w:r>
      <w:r w:rsidR="00573124" w:rsidRPr="00186DEC">
        <w:rPr>
          <w:szCs w:val="26"/>
        </w:rPr>
        <w:t xml:space="preserve"> is therefore entitled to Assembly Bill 2361’s ameliorative benefits.</w:t>
      </w:r>
    </w:p>
    <w:p w14:paraId="02A675E4" w14:textId="26A12EA0" w:rsidR="00FA1C7C" w:rsidRPr="00186DEC" w:rsidRDefault="00C75871" w:rsidP="002B0570">
      <w:pPr>
        <w:keepNext/>
        <w:keepLines/>
        <w:rPr>
          <w:szCs w:val="26"/>
        </w:rPr>
      </w:pPr>
      <w:r w:rsidRPr="00186DEC">
        <w:rPr>
          <w:szCs w:val="26"/>
        </w:rPr>
        <w:lastRenderedPageBreak/>
        <w:t xml:space="preserve">B. </w:t>
      </w:r>
      <w:r w:rsidRPr="00186DEC">
        <w:rPr>
          <w:i/>
          <w:iCs/>
          <w:szCs w:val="26"/>
        </w:rPr>
        <w:t>Remand</w:t>
      </w:r>
    </w:p>
    <w:p w14:paraId="24493F7B" w14:textId="66E52AAC" w:rsidR="000B04DF" w:rsidRPr="00186DEC" w:rsidRDefault="00C75871" w:rsidP="00186DEC">
      <w:pPr>
        <w:rPr>
          <w:szCs w:val="26"/>
        </w:rPr>
      </w:pPr>
      <w:r w:rsidRPr="00186DEC">
        <w:rPr>
          <w:szCs w:val="26"/>
        </w:rPr>
        <w:tab/>
      </w:r>
      <w:r w:rsidR="00A90485" w:rsidRPr="00186DEC">
        <w:rPr>
          <w:szCs w:val="26"/>
        </w:rPr>
        <w:t>T.A. argues that remand is necessary to allow the juvenile court to consider</w:t>
      </w:r>
      <w:r w:rsidR="00236BE1" w:rsidRPr="00186DEC">
        <w:rPr>
          <w:szCs w:val="26"/>
        </w:rPr>
        <w:t xml:space="preserve"> the transfer motion</w:t>
      </w:r>
      <w:r w:rsidR="00A90485" w:rsidRPr="00186DEC">
        <w:rPr>
          <w:szCs w:val="26"/>
        </w:rPr>
        <w:t xml:space="preserve"> under the newly applicable clear and convincing standard</w:t>
      </w:r>
      <w:r w:rsidR="00236BE1" w:rsidRPr="00186DEC">
        <w:rPr>
          <w:szCs w:val="26"/>
        </w:rPr>
        <w:t xml:space="preserve"> of proof</w:t>
      </w:r>
      <w:r w:rsidR="00A90485" w:rsidRPr="00186DEC">
        <w:rPr>
          <w:szCs w:val="26"/>
        </w:rPr>
        <w:t>.</w:t>
      </w:r>
      <w:r w:rsidR="00236BE1" w:rsidRPr="00186DEC">
        <w:rPr>
          <w:szCs w:val="26"/>
        </w:rPr>
        <w:t xml:space="preserve">  The People </w:t>
      </w:r>
      <w:r w:rsidRPr="00186DEC">
        <w:rPr>
          <w:szCs w:val="26"/>
        </w:rPr>
        <w:t>disagree, as do we.</w:t>
      </w:r>
    </w:p>
    <w:p w14:paraId="289E6F36" w14:textId="7FB61DA2" w:rsidR="00610292" w:rsidRPr="00186DEC" w:rsidRDefault="00C75871" w:rsidP="00186DEC">
      <w:pPr>
        <w:rPr>
          <w:szCs w:val="26"/>
        </w:rPr>
      </w:pPr>
      <w:r w:rsidRPr="00186DEC">
        <w:rPr>
          <w:szCs w:val="26"/>
        </w:rPr>
        <w:tab/>
        <w:t>In deciding whether a minor should be transferred to a court of criminal jurisdiction, the juvenile court is required to consider five criteria: (1) “[t]he degree of criminal sop</w:t>
      </w:r>
      <w:r w:rsidRPr="00186DEC">
        <w:rPr>
          <w:szCs w:val="26"/>
        </w:rPr>
        <w:t>histication exhibited by the minor”; (2) “[w]</w:t>
      </w:r>
      <w:proofErr w:type="spellStart"/>
      <w:r w:rsidRPr="00186DEC">
        <w:rPr>
          <w:szCs w:val="26"/>
        </w:rPr>
        <w:t>hether</w:t>
      </w:r>
      <w:proofErr w:type="spellEnd"/>
      <w:r w:rsidRPr="00186DEC">
        <w:rPr>
          <w:szCs w:val="26"/>
        </w:rPr>
        <w:t xml:space="preserve"> the minor can be rehabilitated prior to the expiration of the juvenile court’s jurisdiction”; (3) “[t]he minor’s previous delinquent history”; (4) “[s]</w:t>
      </w:r>
      <w:proofErr w:type="spellStart"/>
      <w:r w:rsidRPr="00186DEC">
        <w:rPr>
          <w:szCs w:val="26"/>
        </w:rPr>
        <w:t>uccess</w:t>
      </w:r>
      <w:proofErr w:type="spellEnd"/>
      <w:r w:rsidRPr="00186DEC">
        <w:rPr>
          <w:szCs w:val="26"/>
        </w:rPr>
        <w:t xml:space="preserve"> of previous attempts by the juvenile court to </w:t>
      </w:r>
      <w:r w:rsidRPr="00186DEC">
        <w:rPr>
          <w:szCs w:val="26"/>
        </w:rPr>
        <w:t>rehabilitate the minor”; and (5) “[t]he circumstances and gravity of the offense alleged in the petition to have been committed by the minor.”  (</w:t>
      </w:r>
      <w:proofErr w:type="spellStart"/>
      <w:r w:rsidRPr="00186DEC">
        <w:rPr>
          <w:szCs w:val="26"/>
        </w:rPr>
        <w:t>Welf</w:t>
      </w:r>
      <w:proofErr w:type="spellEnd"/>
      <w:r w:rsidRPr="00186DEC">
        <w:rPr>
          <w:szCs w:val="26"/>
        </w:rPr>
        <w:t xml:space="preserve">. &amp; Inst. Code, § 707, </w:t>
      </w:r>
      <w:proofErr w:type="spellStart"/>
      <w:r w:rsidRPr="00186DEC">
        <w:rPr>
          <w:szCs w:val="26"/>
        </w:rPr>
        <w:t>subd</w:t>
      </w:r>
      <w:proofErr w:type="spellEnd"/>
      <w:r w:rsidRPr="00186DEC">
        <w:rPr>
          <w:szCs w:val="26"/>
        </w:rPr>
        <w:t xml:space="preserve">. </w:t>
      </w:r>
      <w:r w:rsidR="00514093" w:rsidRPr="00186DEC">
        <w:rPr>
          <w:szCs w:val="26"/>
        </w:rPr>
        <w:t>(a)</w:t>
      </w:r>
      <w:r w:rsidRPr="00186DEC">
        <w:rPr>
          <w:szCs w:val="26"/>
        </w:rPr>
        <w:t>(3)(A)-(E).)</w:t>
      </w:r>
      <w:r w:rsidR="001804A9" w:rsidRPr="00186DEC">
        <w:rPr>
          <w:szCs w:val="26"/>
        </w:rPr>
        <w:t xml:space="preserve">  Applying these factors, the juvenile court makes a factual finding of whether the People have demonstrated that “the minor is not amenable to rehabilitation while under the jurisdiction of the juvenile court.”  (</w:t>
      </w:r>
      <w:r w:rsidR="001804A9" w:rsidRPr="00186DEC">
        <w:rPr>
          <w:i/>
          <w:iCs/>
          <w:szCs w:val="26"/>
        </w:rPr>
        <w:t>Id.</w:t>
      </w:r>
      <w:r w:rsidR="001804A9" w:rsidRPr="00186DEC">
        <w:rPr>
          <w:szCs w:val="26"/>
        </w:rPr>
        <w:t xml:space="preserve">, </w:t>
      </w:r>
      <w:proofErr w:type="spellStart"/>
      <w:r w:rsidR="001804A9" w:rsidRPr="00186DEC">
        <w:rPr>
          <w:szCs w:val="26"/>
        </w:rPr>
        <w:t>subd</w:t>
      </w:r>
      <w:proofErr w:type="spellEnd"/>
      <w:r w:rsidR="001804A9" w:rsidRPr="00186DEC">
        <w:rPr>
          <w:szCs w:val="26"/>
        </w:rPr>
        <w:t xml:space="preserve">. </w:t>
      </w:r>
      <w:r w:rsidR="00C86077">
        <w:rPr>
          <w:szCs w:val="26"/>
        </w:rPr>
        <w:t>(a)</w:t>
      </w:r>
      <w:r w:rsidR="001804A9" w:rsidRPr="00186DEC">
        <w:rPr>
          <w:szCs w:val="26"/>
        </w:rPr>
        <w:t>(3).)</w:t>
      </w:r>
    </w:p>
    <w:p w14:paraId="18DBCFED" w14:textId="640728A0" w:rsidR="00853753" w:rsidRPr="00186DEC" w:rsidRDefault="00C75871" w:rsidP="00186DEC">
      <w:pPr>
        <w:rPr>
          <w:szCs w:val="26"/>
        </w:rPr>
      </w:pPr>
      <w:r w:rsidRPr="00186DEC">
        <w:rPr>
          <w:szCs w:val="26"/>
        </w:rPr>
        <w:tab/>
      </w:r>
      <w:r w:rsidR="008F623B" w:rsidRPr="00186DEC">
        <w:rPr>
          <w:szCs w:val="26"/>
        </w:rPr>
        <w:t xml:space="preserve">After Assembly Bill 2361, </w:t>
      </w:r>
      <w:r w:rsidR="001804A9" w:rsidRPr="00186DEC">
        <w:rPr>
          <w:szCs w:val="26"/>
        </w:rPr>
        <w:t>this factual finding</w:t>
      </w:r>
      <w:r w:rsidR="007A5F44" w:rsidRPr="00186DEC">
        <w:rPr>
          <w:szCs w:val="26"/>
        </w:rPr>
        <w:t xml:space="preserve"> must be made</w:t>
      </w:r>
      <w:r w:rsidR="001804A9" w:rsidRPr="00186DEC">
        <w:rPr>
          <w:szCs w:val="26"/>
        </w:rPr>
        <w:t xml:space="preserve"> “</w:t>
      </w:r>
      <w:r w:rsidR="007A5F44" w:rsidRPr="00186DEC">
        <w:rPr>
          <w:szCs w:val="26"/>
        </w:rPr>
        <w:t xml:space="preserve">by </w:t>
      </w:r>
      <w:r w:rsidR="001804A9" w:rsidRPr="00186DEC">
        <w:rPr>
          <w:szCs w:val="26"/>
        </w:rPr>
        <w:t>clear and convincing evidence</w:t>
      </w:r>
      <w:r w:rsidR="008F623B" w:rsidRPr="00186DEC">
        <w:rPr>
          <w:szCs w:val="26"/>
        </w:rPr>
        <w:t>.</w:t>
      </w:r>
      <w:r w:rsidR="001804A9" w:rsidRPr="00186DEC">
        <w:rPr>
          <w:szCs w:val="26"/>
        </w:rPr>
        <w:t>”</w:t>
      </w:r>
      <w:r w:rsidR="008F623B" w:rsidRPr="00186DEC">
        <w:rPr>
          <w:szCs w:val="26"/>
        </w:rPr>
        <w:t xml:space="preserve">  (</w:t>
      </w:r>
      <w:proofErr w:type="spellStart"/>
      <w:r w:rsidR="008F623B" w:rsidRPr="00186DEC">
        <w:rPr>
          <w:szCs w:val="26"/>
        </w:rPr>
        <w:t>Welf</w:t>
      </w:r>
      <w:proofErr w:type="spellEnd"/>
      <w:r w:rsidR="008F623B" w:rsidRPr="00186DEC">
        <w:rPr>
          <w:szCs w:val="26"/>
        </w:rPr>
        <w:t xml:space="preserve">. &amp; Inst. Code, § 707, </w:t>
      </w:r>
      <w:proofErr w:type="spellStart"/>
      <w:r w:rsidR="008F623B" w:rsidRPr="00186DEC">
        <w:rPr>
          <w:szCs w:val="26"/>
        </w:rPr>
        <w:t>subd</w:t>
      </w:r>
      <w:proofErr w:type="spellEnd"/>
      <w:r w:rsidR="008F623B" w:rsidRPr="00186DEC">
        <w:rPr>
          <w:szCs w:val="26"/>
        </w:rPr>
        <w:t>. (a)(3).)</w:t>
      </w:r>
      <w:r w:rsidR="005B43CC" w:rsidRPr="00186DEC">
        <w:rPr>
          <w:szCs w:val="26"/>
        </w:rPr>
        <w:t xml:space="preserve">  The </w:t>
      </w:r>
      <w:r w:rsidR="002E26CA" w:rsidRPr="00186DEC">
        <w:rPr>
          <w:szCs w:val="26"/>
        </w:rPr>
        <w:t>juvenile</w:t>
      </w:r>
      <w:r w:rsidR="005B43CC" w:rsidRPr="00186DEC">
        <w:rPr>
          <w:szCs w:val="26"/>
        </w:rPr>
        <w:t xml:space="preserve"> court</w:t>
      </w:r>
      <w:r w:rsidR="00D81310" w:rsidRPr="00186DEC">
        <w:rPr>
          <w:szCs w:val="26"/>
        </w:rPr>
        <w:t xml:space="preserve"> </w:t>
      </w:r>
      <w:r w:rsidR="002E26CA" w:rsidRPr="00186DEC">
        <w:rPr>
          <w:szCs w:val="26"/>
        </w:rPr>
        <w:t>applied</w:t>
      </w:r>
      <w:r w:rsidR="005B43CC" w:rsidRPr="00186DEC">
        <w:rPr>
          <w:szCs w:val="26"/>
        </w:rPr>
        <w:t xml:space="preserve"> the preponderance of the evidence standard.  (See </w:t>
      </w:r>
      <w:r w:rsidR="005B43CC" w:rsidRPr="00186DEC">
        <w:rPr>
          <w:i/>
          <w:iCs/>
          <w:szCs w:val="26"/>
        </w:rPr>
        <w:t>Kevin P.</w:t>
      </w:r>
      <w:r w:rsidR="005B43CC" w:rsidRPr="00186DEC">
        <w:rPr>
          <w:szCs w:val="26"/>
        </w:rPr>
        <w:t xml:space="preserve">, </w:t>
      </w:r>
      <w:r w:rsidR="005B43CC" w:rsidRPr="00186DEC">
        <w:rPr>
          <w:i/>
          <w:iCs/>
          <w:szCs w:val="26"/>
        </w:rPr>
        <w:t>supra</w:t>
      </w:r>
      <w:r w:rsidR="005B43CC" w:rsidRPr="00186DEC">
        <w:rPr>
          <w:szCs w:val="26"/>
        </w:rPr>
        <w:t>, 57 Cal.App.5th at p. 186.)</w:t>
      </w:r>
      <w:r w:rsidRPr="00186DEC">
        <w:rPr>
          <w:szCs w:val="26"/>
        </w:rPr>
        <w:t xml:space="preserve">  “The standard of proof known as clear and convincing evidence deman</w:t>
      </w:r>
      <w:r w:rsidRPr="00186DEC">
        <w:rPr>
          <w:szCs w:val="26"/>
        </w:rPr>
        <w:t xml:space="preserve">ds a degree of certainty greater than that involved with the preponderance standard, but less than what is required by the standard of proof beyond a reasonable </w:t>
      </w:r>
      <w:r w:rsidRPr="00186DEC">
        <w:rPr>
          <w:szCs w:val="26"/>
        </w:rPr>
        <w:lastRenderedPageBreak/>
        <w:t>doubt.  This intermediate standard ‘requires a finding of high probability.’”  (</w:t>
      </w:r>
      <w:r w:rsidR="002E26CA" w:rsidRPr="00186DEC">
        <w:rPr>
          <w:i/>
          <w:iCs/>
          <w:szCs w:val="26"/>
        </w:rPr>
        <w:t>Conservatorship of O.B.</w:t>
      </w:r>
      <w:r w:rsidR="002E26CA" w:rsidRPr="00186DEC">
        <w:rPr>
          <w:szCs w:val="26"/>
        </w:rPr>
        <w:t xml:space="preserve"> (2020) 9 Cal.5th 989, 998.)</w:t>
      </w:r>
      <w:r w:rsidR="00D81310" w:rsidRPr="00186DEC">
        <w:rPr>
          <w:szCs w:val="26"/>
        </w:rPr>
        <w:t xml:space="preserve">  </w:t>
      </w:r>
    </w:p>
    <w:p w14:paraId="05E61466" w14:textId="6AD270FC" w:rsidR="007A5F44" w:rsidRPr="00186DEC" w:rsidRDefault="00C75871" w:rsidP="00186DEC">
      <w:pPr>
        <w:ind w:firstLine="720"/>
        <w:rPr>
          <w:szCs w:val="26"/>
        </w:rPr>
      </w:pPr>
      <w:r w:rsidRPr="00186DEC">
        <w:rPr>
          <w:szCs w:val="26"/>
        </w:rPr>
        <w:t>We must determine</w:t>
      </w:r>
      <w:r w:rsidR="001804A9" w:rsidRPr="00186DEC">
        <w:rPr>
          <w:szCs w:val="26"/>
        </w:rPr>
        <w:t xml:space="preserve"> whether th</w:t>
      </w:r>
      <w:r w:rsidR="00853753" w:rsidRPr="00186DEC">
        <w:rPr>
          <w:szCs w:val="26"/>
        </w:rPr>
        <w:t xml:space="preserve">e </w:t>
      </w:r>
      <w:r w:rsidRPr="00186DEC">
        <w:rPr>
          <w:szCs w:val="26"/>
        </w:rPr>
        <w:t>juvenile</w:t>
      </w:r>
      <w:r w:rsidR="00853753" w:rsidRPr="00186DEC">
        <w:rPr>
          <w:szCs w:val="26"/>
        </w:rPr>
        <w:t xml:space="preserve"> court’s</w:t>
      </w:r>
      <w:r w:rsidR="001804A9" w:rsidRPr="00186DEC">
        <w:rPr>
          <w:szCs w:val="26"/>
        </w:rPr>
        <w:t xml:space="preserve"> </w:t>
      </w:r>
      <w:r w:rsidR="00853753" w:rsidRPr="00186DEC">
        <w:rPr>
          <w:szCs w:val="26"/>
        </w:rPr>
        <w:t xml:space="preserve">application of a lesser burden of proof </w:t>
      </w:r>
      <w:r w:rsidR="00BA1A09" w:rsidRPr="00186DEC">
        <w:rPr>
          <w:szCs w:val="26"/>
        </w:rPr>
        <w:t xml:space="preserve">than is now required </w:t>
      </w:r>
      <w:r w:rsidR="00CE04FC" w:rsidRPr="00186DEC">
        <w:rPr>
          <w:szCs w:val="26"/>
        </w:rPr>
        <w:t>constitutes</w:t>
      </w:r>
      <w:r w:rsidR="001804A9" w:rsidRPr="00186DEC">
        <w:rPr>
          <w:szCs w:val="26"/>
        </w:rPr>
        <w:t xml:space="preserve"> harmless error.</w:t>
      </w:r>
      <w:r>
        <w:rPr>
          <w:rStyle w:val="FootnoteReference"/>
          <w:sz w:val="26"/>
          <w:szCs w:val="26"/>
          <w:vertAlign w:val="superscript"/>
        </w:rPr>
        <w:footnoteReference w:id="2"/>
      </w:r>
      <w:r w:rsidR="00853753" w:rsidRPr="00186DEC">
        <w:rPr>
          <w:szCs w:val="26"/>
        </w:rPr>
        <w:t xml:space="preserve">  </w:t>
      </w:r>
      <w:r w:rsidR="0065073B" w:rsidRPr="00186DEC">
        <w:rPr>
          <w:szCs w:val="26"/>
        </w:rPr>
        <w:t>Where</w:t>
      </w:r>
      <w:r w:rsidR="00230BF1" w:rsidRPr="00186DEC">
        <w:rPr>
          <w:szCs w:val="26"/>
        </w:rPr>
        <w:t xml:space="preserve"> federal constitutional rights </w:t>
      </w:r>
      <w:r w:rsidR="0065073B" w:rsidRPr="00186DEC">
        <w:rPr>
          <w:szCs w:val="26"/>
        </w:rPr>
        <w:t>are</w:t>
      </w:r>
      <w:r w:rsidR="00230BF1" w:rsidRPr="00186DEC">
        <w:rPr>
          <w:szCs w:val="26"/>
        </w:rPr>
        <w:t xml:space="preserve"> implicated,</w:t>
      </w:r>
      <w:r w:rsidR="0025698B" w:rsidRPr="00186DEC">
        <w:rPr>
          <w:szCs w:val="26"/>
        </w:rPr>
        <w:t xml:space="preserve"> the People must show that</w:t>
      </w:r>
      <w:r w:rsidR="00230BF1" w:rsidRPr="00186DEC">
        <w:rPr>
          <w:szCs w:val="26"/>
        </w:rPr>
        <w:t xml:space="preserve"> </w:t>
      </w:r>
      <w:r w:rsidR="00922BD6" w:rsidRPr="00186DEC">
        <w:rPr>
          <w:szCs w:val="26"/>
        </w:rPr>
        <w:t xml:space="preserve">a fact finder’s </w:t>
      </w:r>
      <w:r w:rsidR="00230BF1" w:rsidRPr="00186DEC">
        <w:rPr>
          <w:szCs w:val="26"/>
        </w:rPr>
        <w:t>application of a</w:t>
      </w:r>
      <w:r w:rsidR="00853753" w:rsidRPr="00186DEC">
        <w:rPr>
          <w:szCs w:val="26"/>
        </w:rPr>
        <w:t>n incorrect and</w:t>
      </w:r>
      <w:r w:rsidR="00230BF1" w:rsidRPr="00186DEC">
        <w:rPr>
          <w:szCs w:val="26"/>
        </w:rPr>
        <w:t xml:space="preserve"> lesser burden of proof</w:t>
      </w:r>
      <w:r w:rsidR="0025698B" w:rsidRPr="00186DEC">
        <w:rPr>
          <w:szCs w:val="26"/>
        </w:rPr>
        <w:t xml:space="preserve"> was</w:t>
      </w:r>
      <w:r w:rsidR="00230BF1" w:rsidRPr="00186DEC">
        <w:rPr>
          <w:szCs w:val="26"/>
        </w:rPr>
        <w:t xml:space="preserve"> </w:t>
      </w:r>
      <w:r w:rsidR="00335C38" w:rsidRPr="00186DEC">
        <w:rPr>
          <w:szCs w:val="26"/>
        </w:rPr>
        <w:t xml:space="preserve">harmless </w:t>
      </w:r>
      <w:r w:rsidR="00230BF1" w:rsidRPr="00186DEC">
        <w:rPr>
          <w:szCs w:val="26"/>
        </w:rPr>
        <w:t xml:space="preserve">beyond a reasonable doubt </w:t>
      </w:r>
      <w:r w:rsidR="0025698B" w:rsidRPr="00186DEC">
        <w:rPr>
          <w:szCs w:val="26"/>
        </w:rPr>
        <w:t>per</w:t>
      </w:r>
      <w:r w:rsidR="00230BF1" w:rsidRPr="00186DEC">
        <w:rPr>
          <w:szCs w:val="26"/>
        </w:rPr>
        <w:t xml:space="preserve"> </w:t>
      </w:r>
      <w:r w:rsidR="00230BF1" w:rsidRPr="00186DEC">
        <w:rPr>
          <w:i/>
          <w:iCs/>
          <w:szCs w:val="26"/>
        </w:rPr>
        <w:t>Chapman v. California</w:t>
      </w:r>
      <w:r w:rsidR="00230BF1" w:rsidRPr="00186DEC">
        <w:rPr>
          <w:szCs w:val="26"/>
        </w:rPr>
        <w:t xml:space="preserve"> (1967) 386 U.S. 18, 24</w:t>
      </w:r>
      <w:r w:rsidR="006330D9" w:rsidRPr="00186DEC">
        <w:rPr>
          <w:szCs w:val="26"/>
        </w:rPr>
        <w:t xml:space="preserve"> (</w:t>
      </w:r>
      <w:r w:rsidR="006330D9" w:rsidRPr="00186DEC">
        <w:rPr>
          <w:i/>
          <w:iCs/>
          <w:szCs w:val="26"/>
        </w:rPr>
        <w:t>Chapman</w:t>
      </w:r>
      <w:r w:rsidR="006330D9" w:rsidRPr="00186DEC">
        <w:rPr>
          <w:szCs w:val="26"/>
        </w:rPr>
        <w:t>)</w:t>
      </w:r>
      <w:r w:rsidR="00230BF1" w:rsidRPr="00186DEC">
        <w:rPr>
          <w:szCs w:val="26"/>
        </w:rPr>
        <w:t xml:space="preserve">.  (See, e.g., </w:t>
      </w:r>
      <w:r w:rsidR="00230BF1" w:rsidRPr="00186DEC">
        <w:rPr>
          <w:i/>
          <w:iCs/>
          <w:szCs w:val="26"/>
        </w:rPr>
        <w:t>People v. Hurtado</w:t>
      </w:r>
      <w:r w:rsidR="00230BF1" w:rsidRPr="00186DEC">
        <w:rPr>
          <w:szCs w:val="26"/>
        </w:rPr>
        <w:t xml:space="preserve"> (2002) 28 Cal.4th 1179, 1193-1194</w:t>
      </w:r>
      <w:r w:rsidR="0065073B" w:rsidRPr="00186DEC">
        <w:rPr>
          <w:szCs w:val="26"/>
        </w:rPr>
        <w:t xml:space="preserve"> [failure to instruct jury on burden of proof in commitment proceedings under Sexually Violent Predatory Act</w:t>
      </w:r>
      <w:r w:rsidR="00671310" w:rsidRPr="00186DEC">
        <w:rPr>
          <w:szCs w:val="26"/>
        </w:rPr>
        <w:t>]</w:t>
      </w:r>
      <w:r w:rsidR="0065073B" w:rsidRPr="00186DEC">
        <w:rPr>
          <w:szCs w:val="26"/>
        </w:rPr>
        <w:t>.)</w:t>
      </w:r>
      <w:r w:rsidR="00D81310" w:rsidRPr="00186DEC">
        <w:rPr>
          <w:szCs w:val="26"/>
        </w:rPr>
        <w:t xml:space="preserve">  </w:t>
      </w:r>
      <w:r w:rsidR="00853753" w:rsidRPr="00186DEC">
        <w:rPr>
          <w:szCs w:val="26"/>
        </w:rPr>
        <w:t>C</w:t>
      </w:r>
      <w:r w:rsidR="00D81310" w:rsidRPr="00186DEC">
        <w:rPr>
          <w:szCs w:val="26"/>
        </w:rPr>
        <w:t>onstitutional rights are not implicated, however</w:t>
      </w:r>
      <w:r w:rsidR="00853753" w:rsidRPr="00186DEC">
        <w:rPr>
          <w:szCs w:val="26"/>
        </w:rPr>
        <w:t>, by the purely statutory requirement that the juvenile court apply the clear and convincing standard to transfer motions</w:t>
      </w:r>
      <w:r w:rsidR="00671310" w:rsidRPr="00186DEC">
        <w:rPr>
          <w:szCs w:val="26"/>
        </w:rPr>
        <w:t xml:space="preserve"> under Welfare and Institutions Code section 707</w:t>
      </w:r>
      <w:r w:rsidR="00853753" w:rsidRPr="00186DEC">
        <w:rPr>
          <w:szCs w:val="26"/>
        </w:rPr>
        <w:t>.</w:t>
      </w:r>
      <w:r w:rsidRPr="00186DEC">
        <w:rPr>
          <w:szCs w:val="26"/>
        </w:rPr>
        <w:t xml:space="preserve">  Thus, the appropriate harmlessness standard is that of </w:t>
      </w:r>
      <w:r w:rsidRPr="00186DEC">
        <w:rPr>
          <w:i/>
          <w:iCs/>
          <w:szCs w:val="26"/>
        </w:rPr>
        <w:t>People v. Watson</w:t>
      </w:r>
      <w:r w:rsidRPr="00186DEC">
        <w:rPr>
          <w:szCs w:val="26"/>
        </w:rPr>
        <w:t xml:space="preserve"> (1956) 46 Cal.2d 818, 836-837 (</w:t>
      </w:r>
      <w:r w:rsidRPr="00186DEC">
        <w:rPr>
          <w:i/>
          <w:iCs/>
          <w:szCs w:val="26"/>
        </w:rPr>
        <w:t>Watson</w:t>
      </w:r>
      <w:r w:rsidRPr="00186DEC">
        <w:rPr>
          <w:szCs w:val="26"/>
        </w:rPr>
        <w:t xml:space="preserve">).  (See </w:t>
      </w:r>
      <w:r w:rsidRPr="00186DEC">
        <w:rPr>
          <w:i/>
          <w:iCs/>
          <w:szCs w:val="26"/>
        </w:rPr>
        <w:t>People v. Gonzalez</w:t>
      </w:r>
      <w:r w:rsidRPr="00186DEC">
        <w:rPr>
          <w:szCs w:val="26"/>
        </w:rPr>
        <w:t xml:space="preserve"> (2018) </w:t>
      </w:r>
      <w:r w:rsidRPr="00186DEC">
        <w:rPr>
          <w:szCs w:val="26"/>
        </w:rPr>
        <w:t>5 Cal.5th 186, 195 (</w:t>
      </w:r>
      <w:r w:rsidRPr="00186DEC">
        <w:rPr>
          <w:i/>
          <w:iCs/>
          <w:szCs w:val="26"/>
        </w:rPr>
        <w:t>Gonzalez</w:t>
      </w:r>
      <w:r w:rsidRPr="00186DEC">
        <w:rPr>
          <w:szCs w:val="26"/>
        </w:rPr>
        <w:t xml:space="preserve">) [“We evaluate nonstructural state law error under the harmlessness standard set forth in </w:t>
      </w:r>
      <w:r w:rsidRPr="00186DEC">
        <w:rPr>
          <w:i/>
          <w:iCs/>
          <w:szCs w:val="26"/>
        </w:rPr>
        <w:t>Watson</w:t>
      </w:r>
      <w:r w:rsidR="00BC7DC9" w:rsidRPr="00186DEC">
        <w:rPr>
          <w:szCs w:val="26"/>
        </w:rPr>
        <w:t> </w:t>
      </w:r>
      <w:r w:rsidRPr="00186DEC">
        <w:rPr>
          <w:szCs w:val="26"/>
        </w:rPr>
        <w:t>. . . .”]</w:t>
      </w:r>
      <w:r w:rsidR="00321E4A" w:rsidRPr="00186DEC">
        <w:rPr>
          <w:szCs w:val="26"/>
        </w:rPr>
        <w:t xml:space="preserve">; </w:t>
      </w:r>
      <w:r w:rsidR="00321E4A" w:rsidRPr="00186DEC">
        <w:rPr>
          <w:i/>
          <w:iCs/>
          <w:szCs w:val="26"/>
        </w:rPr>
        <w:t>Conservatorship of Maria B.</w:t>
      </w:r>
      <w:r w:rsidR="00321E4A" w:rsidRPr="00186DEC">
        <w:rPr>
          <w:szCs w:val="26"/>
        </w:rPr>
        <w:t xml:space="preserve"> (2013) 218 Cal.App.4th 514, 533 [in a different context, applying </w:t>
      </w:r>
      <w:r w:rsidR="00201A30" w:rsidRPr="00186DEC">
        <w:rPr>
          <w:i/>
          <w:iCs/>
          <w:szCs w:val="26"/>
        </w:rPr>
        <w:t>Watson</w:t>
      </w:r>
      <w:r w:rsidR="00201A30" w:rsidRPr="00186DEC">
        <w:rPr>
          <w:szCs w:val="26"/>
        </w:rPr>
        <w:t xml:space="preserve"> to erroneous use of the preponderance of the evidence standard instead of clear and convincing evidence, where the higher standard was required by state law</w:t>
      </w:r>
      <w:r w:rsidR="00321E4A" w:rsidRPr="00186DEC">
        <w:rPr>
          <w:szCs w:val="26"/>
        </w:rPr>
        <w:t xml:space="preserve">].)  “[The </w:t>
      </w:r>
      <w:r w:rsidR="00321E4A" w:rsidRPr="00186DEC">
        <w:rPr>
          <w:i/>
          <w:iCs/>
          <w:szCs w:val="26"/>
        </w:rPr>
        <w:t>Watson</w:t>
      </w:r>
      <w:r w:rsidR="00321E4A" w:rsidRPr="00186DEC">
        <w:rPr>
          <w:szCs w:val="26"/>
        </w:rPr>
        <w:t xml:space="preserve">] standard requires us to evaluate whether the defendant has demonstrated that it is ‘“reasonably probable that a result more </w:t>
      </w:r>
      <w:r w:rsidR="00321E4A" w:rsidRPr="00186DEC">
        <w:rPr>
          <w:szCs w:val="26"/>
        </w:rPr>
        <w:lastRenderedPageBreak/>
        <w:t>favorable to the appealing party would have been reached in the absence of the error.”’”  (</w:t>
      </w:r>
      <w:r w:rsidR="00321E4A" w:rsidRPr="00186DEC">
        <w:rPr>
          <w:i/>
          <w:iCs/>
          <w:szCs w:val="26"/>
        </w:rPr>
        <w:t>Gonzalez</w:t>
      </w:r>
      <w:r w:rsidR="00321E4A" w:rsidRPr="00186DEC">
        <w:rPr>
          <w:szCs w:val="26"/>
        </w:rPr>
        <w:t xml:space="preserve">, at p. 195, quoting </w:t>
      </w:r>
      <w:r w:rsidR="00321E4A" w:rsidRPr="00186DEC">
        <w:rPr>
          <w:i/>
          <w:iCs/>
          <w:szCs w:val="26"/>
        </w:rPr>
        <w:t>Watson</w:t>
      </w:r>
      <w:r w:rsidR="00321E4A" w:rsidRPr="00186DEC">
        <w:rPr>
          <w:szCs w:val="26"/>
        </w:rPr>
        <w:t>, at p. 837.)</w:t>
      </w:r>
    </w:p>
    <w:p w14:paraId="66F84BAD" w14:textId="01AE76DE" w:rsidR="0025208F" w:rsidRPr="00186DEC" w:rsidRDefault="00C75871" w:rsidP="00186DEC">
      <w:pPr>
        <w:ind w:firstLine="720"/>
        <w:rPr>
          <w:szCs w:val="26"/>
        </w:rPr>
      </w:pPr>
      <w:r w:rsidRPr="00186DEC">
        <w:rPr>
          <w:szCs w:val="26"/>
        </w:rPr>
        <w:t>T.A. proposes that instead we should apply the harmless error analysis a</w:t>
      </w:r>
      <w:r w:rsidRPr="00186DEC">
        <w:rPr>
          <w:szCs w:val="26"/>
        </w:rPr>
        <w:t xml:space="preserve">rticulated in </w:t>
      </w:r>
      <w:r w:rsidRPr="00186DEC">
        <w:rPr>
          <w:i/>
          <w:iCs/>
          <w:szCs w:val="26"/>
        </w:rPr>
        <w:t>People v. Gutierrez</w:t>
      </w:r>
      <w:r w:rsidRPr="00186DEC">
        <w:rPr>
          <w:szCs w:val="26"/>
        </w:rPr>
        <w:t xml:space="preserve"> (2014) 58 Cal.4th 1354 (</w:t>
      </w:r>
      <w:r w:rsidRPr="00186DEC">
        <w:rPr>
          <w:i/>
          <w:iCs/>
          <w:szCs w:val="26"/>
        </w:rPr>
        <w:t>Gutierrez</w:t>
      </w:r>
      <w:r w:rsidRPr="00186DEC">
        <w:rPr>
          <w:szCs w:val="26"/>
        </w:rPr>
        <w:t>).</w:t>
      </w:r>
      <w:r w:rsidR="006330D9" w:rsidRPr="00186DEC">
        <w:rPr>
          <w:szCs w:val="26"/>
        </w:rPr>
        <w:t xml:space="preserve">  In that case, our Supreme Court considered whether a retroactive change in the trial court’s sentencing discretion required remand for resentencing.  (</w:t>
      </w:r>
      <w:r w:rsidR="006330D9" w:rsidRPr="00186DEC">
        <w:rPr>
          <w:i/>
          <w:iCs/>
          <w:szCs w:val="26"/>
        </w:rPr>
        <w:t>Id.</w:t>
      </w:r>
      <w:r w:rsidR="006330D9" w:rsidRPr="00186DEC">
        <w:rPr>
          <w:szCs w:val="26"/>
        </w:rPr>
        <w:t xml:space="preserve"> at p. 1360</w:t>
      </w:r>
      <w:proofErr w:type="gramStart"/>
      <w:r w:rsidR="006330D9" w:rsidRPr="00186DEC">
        <w:rPr>
          <w:szCs w:val="26"/>
        </w:rPr>
        <w:t>}  The</w:t>
      </w:r>
      <w:proofErr w:type="gramEnd"/>
      <w:r w:rsidR="001917A7" w:rsidRPr="00186DEC">
        <w:rPr>
          <w:szCs w:val="26"/>
        </w:rPr>
        <w:t xml:space="preserve"> court</w:t>
      </w:r>
      <w:r w:rsidR="006330D9" w:rsidRPr="00186DEC">
        <w:rPr>
          <w:szCs w:val="26"/>
        </w:rPr>
        <w:t xml:space="preserve"> concluded that “the appropriate remedy is to remand for resentencing unless the record ‘clearly indicate[s]’ that the trial court would have reached the same conclusion ‘even if it had been aware that it had such discretion.’”  (</w:t>
      </w:r>
      <w:r w:rsidR="006330D9" w:rsidRPr="00186DEC">
        <w:rPr>
          <w:i/>
          <w:iCs/>
          <w:szCs w:val="26"/>
        </w:rPr>
        <w:t>Id.</w:t>
      </w:r>
      <w:r w:rsidR="006330D9" w:rsidRPr="00186DEC">
        <w:rPr>
          <w:szCs w:val="26"/>
        </w:rPr>
        <w:t xml:space="preserve"> at p. 1391.)  </w:t>
      </w:r>
    </w:p>
    <w:p w14:paraId="3DC557A3" w14:textId="7B61007B" w:rsidR="0025208F" w:rsidRPr="00186DEC" w:rsidRDefault="00C75871" w:rsidP="00186DEC">
      <w:pPr>
        <w:ind w:firstLine="720"/>
        <w:rPr>
          <w:szCs w:val="26"/>
        </w:rPr>
      </w:pPr>
      <w:r w:rsidRPr="00186DEC">
        <w:rPr>
          <w:szCs w:val="26"/>
        </w:rPr>
        <w:t>We are not pers</w:t>
      </w:r>
      <w:r w:rsidRPr="00186DEC">
        <w:rPr>
          <w:szCs w:val="26"/>
        </w:rPr>
        <w:t xml:space="preserve">uaded that the </w:t>
      </w:r>
      <w:r w:rsidRPr="00186DEC">
        <w:rPr>
          <w:i/>
          <w:iCs/>
          <w:szCs w:val="26"/>
        </w:rPr>
        <w:t>Gutierrez</w:t>
      </w:r>
      <w:r w:rsidRPr="00186DEC">
        <w:rPr>
          <w:szCs w:val="26"/>
        </w:rPr>
        <w:t xml:space="preserve"> </w:t>
      </w:r>
      <w:r w:rsidR="004A01E0" w:rsidRPr="00186DEC">
        <w:rPr>
          <w:szCs w:val="26"/>
        </w:rPr>
        <w:t xml:space="preserve">clear indication </w:t>
      </w:r>
      <w:r w:rsidRPr="00186DEC">
        <w:rPr>
          <w:szCs w:val="26"/>
        </w:rPr>
        <w:t>standard applies here.</w:t>
      </w:r>
      <w:r w:rsidR="004A01E0" w:rsidRPr="00186DEC">
        <w:rPr>
          <w:szCs w:val="26"/>
        </w:rPr>
        <w:t xml:space="preserve">  When a change in the law bestows new sentencing discretion on a trial court, the appellate court may have no relevant record to review, as the trial court would not yet have exercised its discretion.  The clear indication standard consequently requires an affirmance to be grounded in record evidence, rather than in speculation.</w:t>
      </w:r>
    </w:p>
    <w:p w14:paraId="78531D56" w14:textId="46FB58EA" w:rsidR="004A01E0" w:rsidRPr="00186DEC" w:rsidRDefault="00C75871" w:rsidP="00186DEC">
      <w:pPr>
        <w:ind w:firstLine="720"/>
        <w:rPr>
          <w:szCs w:val="26"/>
        </w:rPr>
      </w:pPr>
      <w:r w:rsidRPr="00186DEC">
        <w:rPr>
          <w:szCs w:val="26"/>
        </w:rPr>
        <w:t xml:space="preserve">Here, in contrast, the trial court </w:t>
      </w:r>
      <w:r w:rsidR="000F17B8" w:rsidRPr="00186DEC">
        <w:rPr>
          <w:szCs w:val="26"/>
        </w:rPr>
        <w:t>decided the People’s transfer motion</w:t>
      </w:r>
      <w:r w:rsidRPr="00186DEC">
        <w:rPr>
          <w:szCs w:val="26"/>
        </w:rPr>
        <w:t xml:space="preserve"> based on </w:t>
      </w:r>
      <w:r w:rsidR="003F63F7" w:rsidRPr="00186DEC">
        <w:rPr>
          <w:szCs w:val="26"/>
        </w:rPr>
        <w:t xml:space="preserve">record </w:t>
      </w:r>
      <w:r w:rsidRPr="00186DEC">
        <w:rPr>
          <w:szCs w:val="26"/>
        </w:rPr>
        <w:t>evidence.</w:t>
      </w:r>
      <w:r w:rsidR="000F17B8" w:rsidRPr="00186DEC">
        <w:rPr>
          <w:szCs w:val="26"/>
        </w:rPr>
        <w:t xml:space="preserve">  </w:t>
      </w:r>
      <w:r w:rsidRPr="00186DEC">
        <w:rPr>
          <w:szCs w:val="26"/>
        </w:rPr>
        <w:t>Our question is w</w:t>
      </w:r>
      <w:r w:rsidRPr="00186DEC">
        <w:rPr>
          <w:szCs w:val="26"/>
        </w:rPr>
        <w:t xml:space="preserve">hether the trial court would make the same decision, based on the same evidence, but under the higher standard of </w:t>
      </w:r>
      <w:r w:rsidR="000F17B8" w:rsidRPr="00186DEC">
        <w:rPr>
          <w:szCs w:val="26"/>
        </w:rPr>
        <w:t>proof</w:t>
      </w:r>
      <w:r w:rsidRPr="00186DEC">
        <w:rPr>
          <w:szCs w:val="26"/>
        </w:rPr>
        <w:t xml:space="preserve"> required by Assembly Bill 2361.  In </w:t>
      </w:r>
      <w:r w:rsidR="000F17B8" w:rsidRPr="00186DEC">
        <w:rPr>
          <w:szCs w:val="26"/>
        </w:rPr>
        <w:t>such a</w:t>
      </w:r>
      <w:r w:rsidRPr="00186DEC">
        <w:rPr>
          <w:szCs w:val="26"/>
        </w:rPr>
        <w:t xml:space="preserve"> circumstance, </w:t>
      </w:r>
      <w:r w:rsidR="000F17B8" w:rsidRPr="00186DEC">
        <w:rPr>
          <w:szCs w:val="26"/>
        </w:rPr>
        <w:t>the clear indication standard does not apply</w:t>
      </w:r>
      <w:r w:rsidRPr="00186DEC">
        <w:rPr>
          <w:szCs w:val="26"/>
        </w:rPr>
        <w:t xml:space="preserve">.  (See </w:t>
      </w:r>
      <w:r w:rsidRPr="00186DEC">
        <w:rPr>
          <w:i/>
          <w:iCs/>
          <w:szCs w:val="26"/>
        </w:rPr>
        <w:t xml:space="preserve">People v. </w:t>
      </w:r>
      <w:proofErr w:type="spellStart"/>
      <w:r w:rsidRPr="00186DEC">
        <w:rPr>
          <w:i/>
          <w:iCs/>
          <w:szCs w:val="26"/>
        </w:rPr>
        <w:t>McDaniels</w:t>
      </w:r>
      <w:proofErr w:type="spellEnd"/>
      <w:r w:rsidRPr="00186DEC">
        <w:rPr>
          <w:szCs w:val="26"/>
        </w:rPr>
        <w:t xml:space="preserve"> (2018) </w:t>
      </w:r>
      <w:r w:rsidRPr="00186DEC">
        <w:rPr>
          <w:szCs w:val="26"/>
        </w:rPr>
        <w:t>22 Cal.App.5th 420, 426</w:t>
      </w:r>
      <w:r w:rsidR="000F17B8" w:rsidRPr="00186DEC">
        <w:rPr>
          <w:szCs w:val="26"/>
        </w:rPr>
        <w:t xml:space="preserve"> [clear indication standard inapplicable to deciding whether a court “is likely to repeat a choice it already made”].)  Like most harmlessness inquiries, review of </w:t>
      </w:r>
      <w:r w:rsidR="003F63F7" w:rsidRPr="00186DEC">
        <w:rPr>
          <w:szCs w:val="26"/>
        </w:rPr>
        <w:t xml:space="preserve">whether the court would make the same </w:t>
      </w:r>
      <w:r w:rsidR="003F63F7" w:rsidRPr="00186DEC">
        <w:rPr>
          <w:szCs w:val="26"/>
        </w:rPr>
        <w:lastRenderedPageBreak/>
        <w:t>decision, based on the same evidence but under a new standard,</w:t>
      </w:r>
      <w:r w:rsidR="000F17B8" w:rsidRPr="00186DEC">
        <w:rPr>
          <w:szCs w:val="26"/>
        </w:rPr>
        <w:t xml:space="preserve"> </w:t>
      </w:r>
      <w:r w:rsidR="003F63F7" w:rsidRPr="00186DEC">
        <w:rPr>
          <w:szCs w:val="26"/>
        </w:rPr>
        <w:t>“involves some degree of conjecture</w:t>
      </w:r>
      <w:r w:rsidR="000F17B8" w:rsidRPr="00186DEC">
        <w:rPr>
          <w:szCs w:val="26"/>
        </w:rPr>
        <w:t>.</w:t>
      </w:r>
      <w:r w:rsidR="003F63F7" w:rsidRPr="00186DEC">
        <w:rPr>
          <w:szCs w:val="26"/>
        </w:rPr>
        <w:t>”  (</w:t>
      </w:r>
      <w:r w:rsidR="003F63F7" w:rsidRPr="00186DEC">
        <w:rPr>
          <w:i/>
          <w:iCs/>
          <w:szCs w:val="26"/>
        </w:rPr>
        <w:t>Ibid.</w:t>
      </w:r>
      <w:r w:rsidR="003F63F7" w:rsidRPr="00186DEC">
        <w:rPr>
          <w:szCs w:val="26"/>
        </w:rPr>
        <w:t>)</w:t>
      </w:r>
      <w:r w:rsidR="000F17B8" w:rsidRPr="00186DEC">
        <w:rPr>
          <w:szCs w:val="26"/>
        </w:rPr>
        <w:t xml:space="preserve">  But it is not so speculative as deciding in the first instance how the trial court would have exercised its discretion</w:t>
      </w:r>
      <w:r w:rsidR="003F63F7" w:rsidRPr="00186DEC">
        <w:rPr>
          <w:szCs w:val="26"/>
        </w:rPr>
        <w:t xml:space="preserve"> if it had known it had</w:t>
      </w:r>
      <w:r w:rsidR="000F17B8" w:rsidRPr="00186DEC">
        <w:rPr>
          <w:szCs w:val="26"/>
        </w:rPr>
        <w:t xml:space="preserve"> the authority to make a discretionary choice.</w:t>
      </w:r>
      <w:r w:rsidR="003F63F7" w:rsidRPr="00186DEC">
        <w:rPr>
          <w:szCs w:val="26"/>
        </w:rPr>
        <w:t xml:space="preserve">  (</w:t>
      </w:r>
      <w:r w:rsidR="003F63F7" w:rsidRPr="00186DEC">
        <w:rPr>
          <w:i/>
          <w:iCs/>
          <w:szCs w:val="26"/>
        </w:rPr>
        <w:t>Ibid.</w:t>
      </w:r>
      <w:r w:rsidR="003F63F7" w:rsidRPr="00186DEC">
        <w:rPr>
          <w:szCs w:val="26"/>
        </w:rPr>
        <w:t>)</w:t>
      </w:r>
      <w:r w:rsidR="000F17B8" w:rsidRPr="00186DEC">
        <w:rPr>
          <w:szCs w:val="26"/>
        </w:rPr>
        <w:t xml:space="preserve">  As such, the </w:t>
      </w:r>
      <w:r w:rsidR="000F17B8" w:rsidRPr="00186DEC">
        <w:rPr>
          <w:i/>
          <w:iCs/>
          <w:szCs w:val="26"/>
        </w:rPr>
        <w:t>Watson</w:t>
      </w:r>
      <w:r w:rsidR="000F17B8" w:rsidRPr="00186DEC">
        <w:rPr>
          <w:szCs w:val="26"/>
        </w:rPr>
        <w:t xml:space="preserve"> standard is appropriate. </w:t>
      </w:r>
    </w:p>
    <w:p w14:paraId="5129F867" w14:textId="76A79B8E" w:rsidR="00B05B60" w:rsidRPr="00186DEC" w:rsidRDefault="00C75871" w:rsidP="00186DEC">
      <w:pPr>
        <w:ind w:firstLine="720"/>
        <w:rPr>
          <w:szCs w:val="26"/>
        </w:rPr>
      </w:pPr>
      <w:r w:rsidRPr="00186DEC">
        <w:rPr>
          <w:szCs w:val="26"/>
        </w:rPr>
        <w:t xml:space="preserve">Applying </w:t>
      </w:r>
      <w:r w:rsidRPr="00186DEC">
        <w:rPr>
          <w:i/>
          <w:iCs/>
          <w:szCs w:val="26"/>
        </w:rPr>
        <w:t>W</w:t>
      </w:r>
      <w:r w:rsidRPr="00186DEC">
        <w:rPr>
          <w:i/>
          <w:iCs/>
          <w:szCs w:val="26"/>
        </w:rPr>
        <w:t>atson</w:t>
      </w:r>
      <w:r w:rsidRPr="00186DEC">
        <w:rPr>
          <w:szCs w:val="26"/>
        </w:rPr>
        <w:t>, we do not find it reasonably probable that the juvenile court would have reached a different decision under the clear and convincing standard of proof.  The juvenile court’s detailed discussion of its reasoning acknowledged that a few factors weighe</w:t>
      </w:r>
      <w:r w:rsidRPr="00186DEC">
        <w:rPr>
          <w:szCs w:val="26"/>
        </w:rPr>
        <w:t xml:space="preserve">d to some extent in </w:t>
      </w:r>
      <w:proofErr w:type="spellStart"/>
      <w:r w:rsidRPr="00186DEC">
        <w:rPr>
          <w:szCs w:val="26"/>
        </w:rPr>
        <w:t>T.A.’s</w:t>
      </w:r>
      <w:proofErr w:type="spellEnd"/>
      <w:r w:rsidRPr="00186DEC">
        <w:rPr>
          <w:szCs w:val="26"/>
        </w:rPr>
        <w:t xml:space="preserve"> favor</w:t>
      </w:r>
      <w:r w:rsidR="003D1FE2" w:rsidRPr="00186DEC">
        <w:rPr>
          <w:szCs w:val="26"/>
        </w:rPr>
        <w:t xml:space="preserve">.  T.A. had no previous criminal </w:t>
      </w:r>
      <w:r w:rsidR="00514093" w:rsidRPr="00186DEC">
        <w:rPr>
          <w:szCs w:val="26"/>
        </w:rPr>
        <w:t xml:space="preserve">or delinquent </w:t>
      </w:r>
      <w:r w:rsidR="003D1FE2" w:rsidRPr="00186DEC">
        <w:rPr>
          <w:szCs w:val="26"/>
        </w:rPr>
        <w:t>history, and thus there had also been no previous attempts to rehabilitate him.</w:t>
      </w:r>
      <w:r w:rsidR="00514093" w:rsidRPr="00186DEC">
        <w:rPr>
          <w:szCs w:val="26"/>
        </w:rPr>
        <w:t xml:space="preserve">  (See </w:t>
      </w:r>
      <w:proofErr w:type="spellStart"/>
      <w:r w:rsidR="00514093" w:rsidRPr="00186DEC">
        <w:rPr>
          <w:szCs w:val="26"/>
        </w:rPr>
        <w:t>Welf</w:t>
      </w:r>
      <w:proofErr w:type="spellEnd"/>
      <w:r w:rsidR="00514093" w:rsidRPr="00186DEC">
        <w:rPr>
          <w:szCs w:val="26"/>
        </w:rPr>
        <w:t xml:space="preserve">. &amp; Inst. Code, § 707, </w:t>
      </w:r>
      <w:proofErr w:type="spellStart"/>
      <w:r w:rsidR="00514093" w:rsidRPr="00186DEC">
        <w:rPr>
          <w:szCs w:val="26"/>
        </w:rPr>
        <w:t>subd</w:t>
      </w:r>
      <w:proofErr w:type="spellEnd"/>
      <w:r w:rsidR="00514093" w:rsidRPr="00186DEC">
        <w:rPr>
          <w:szCs w:val="26"/>
        </w:rPr>
        <w:t>.</w:t>
      </w:r>
      <w:r w:rsidR="006F14AA" w:rsidRPr="00186DEC">
        <w:rPr>
          <w:szCs w:val="26"/>
        </w:rPr>
        <w:t xml:space="preserve"> </w:t>
      </w:r>
      <w:r w:rsidR="00514093" w:rsidRPr="00186DEC">
        <w:rPr>
          <w:szCs w:val="26"/>
        </w:rPr>
        <w:t>(a)(3)(C), (D).)</w:t>
      </w:r>
      <w:r w:rsidR="00CE2BEF" w:rsidRPr="00186DEC">
        <w:rPr>
          <w:szCs w:val="26"/>
        </w:rPr>
        <w:t xml:space="preserve">  There was also evidence of “several mental health issues as a child that progressed into [</w:t>
      </w:r>
      <w:proofErr w:type="spellStart"/>
      <w:r w:rsidR="00CE2BEF" w:rsidRPr="00186DEC">
        <w:rPr>
          <w:szCs w:val="26"/>
        </w:rPr>
        <w:t>T.A.’s</w:t>
      </w:r>
      <w:proofErr w:type="spellEnd"/>
      <w:r w:rsidR="00CE2BEF" w:rsidRPr="00186DEC">
        <w:rPr>
          <w:szCs w:val="26"/>
        </w:rPr>
        <w:t xml:space="preserve">] adulthood,” which the juvenile court found “must have impacted his overall cognitive functioning” and tended to suggest he </w:t>
      </w:r>
      <w:r w:rsidR="005F19B9" w:rsidRPr="00186DEC">
        <w:rPr>
          <w:szCs w:val="26"/>
        </w:rPr>
        <w:t>might be</w:t>
      </w:r>
      <w:r w:rsidR="00CE2BEF" w:rsidRPr="00186DEC">
        <w:rPr>
          <w:szCs w:val="26"/>
        </w:rPr>
        <w:t xml:space="preserve"> less criminally sophisticated.  (See </w:t>
      </w:r>
      <w:proofErr w:type="spellStart"/>
      <w:r w:rsidR="00CE2BEF" w:rsidRPr="00186DEC">
        <w:rPr>
          <w:szCs w:val="26"/>
        </w:rPr>
        <w:t>Welf</w:t>
      </w:r>
      <w:proofErr w:type="spellEnd"/>
      <w:r w:rsidR="00CE2BEF" w:rsidRPr="00186DEC">
        <w:rPr>
          <w:szCs w:val="26"/>
        </w:rPr>
        <w:t xml:space="preserve">. &amp; Inst. Code, § 707, </w:t>
      </w:r>
      <w:proofErr w:type="spellStart"/>
      <w:r w:rsidR="00CE2BEF" w:rsidRPr="00186DEC">
        <w:rPr>
          <w:szCs w:val="26"/>
        </w:rPr>
        <w:t>subd</w:t>
      </w:r>
      <w:proofErr w:type="spellEnd"/>
      <w:r w:rsidR="00CE2BEF" w:rsidRPr="00186DEC">
        <w:rPr>
          <w:szCs w:val="26"/>
        </w:rPr>
        <w:t>. (a)(3)(A).)</w:t>
      </w:r>
      <w:r w:rsidRPr="00186DEC">
        <w:rPr>
          <w:szCs w:val="26"/>
        </w:rPr>
        <w:t xml:space="preserve">  </w:t>
      </w:r>
    </w:p>
    <w:p w14:paraId="51A2D914" w14:textId="06570F13" w:rsidR="00C262E2" w:rsidRPr="00186DEC" w:rsidRDefault="00C75871" w:rsidP="00186DEC">
      <w:pPr>
        <w:ind w:firstLine="720"/>
        <w:rPr>
          <w:szCs w:val="26"/>
        </w:rPr>
      </w:pPr>
      <w:r w:rsidRPr="00186DEC">
        <w:rPr>
          <w:szCs w:val="26"/>
        </w:rPr>
        <w:t>Nevertheless, the juvenile court also found that o</w:t>
      </w:r>
      <w:r w:rsidR="00B05B60" w:rsidRPr="00186DEC">
        <w:rPr>
          <w:szCs w:val="26"/>
        </w:rPr>
        <w:t>ther evidence weighed heavily against a finding that T.A. was amenable to rehabilitation under the jurisdiction</w:t>
      </w:r>
      <w:r w:rsidR="00D12B29" w:rsidRPr="00186DEC">
        <w:rPr>
          <w:szCs w:val="26"/>
        </w:rPr>
        <w:t xml:space="preserve"> of the juvenile court</w:t>
      </w:r>
      <w:r w:rsidR="00B05B60" w:rsidRPr="00186DEC">
        <w:rPr>
          <w:szCs w:val="26"/>
        </w:rPr>
        <w:t xml:space="preserve">.  </w:t>
      </w:r>
      <w:r w:rsidR="00201A30" w:rsidRPr="00186DEC">
        <w:rPr>
          <w:szCs w:val="26"/>
        </w:rPr>
        <w:t>The circumstances of t</w:t>
      </w:r>
      <w:r w:rsidR="00B05B60" w:rsidRPr="00186DEC">
        <w:rPr>
          <w:szCs w:val="26"/>
        </w:rPr>
        <w:t xml:space="preserve">he crime itself suggested that T.A. “possessed a high level of criminal sophistication at the time of the shooting,” regardless of his previously clean record and mental health issues.  The murder had been committed by </w:t>
      </w:r>
      <w:proofErr w:type="spellStart"/>
      <w:r w:rsidR="00B05B60" w:rsidRPr="00186DEC">
        <w:rPr>
          <w:szCs w:val="26"/>
        </w:rPr>
        <w:t>T.A.’s</w:t>
      </w:r>
      <w:proofErr w:type="spellEnd"/>
      <w:r w:rsidR="00B05B60" w:rsidRPr="00186DEC">
        <w:rPr>
          <w:szCs w:val="26"/>
        </w:rPr>
        <w:t xml:space="preserve"> codefendant using a stolen gun procured by T.A. and provided to </w:t>
      </w:r>
      <w:r w:rsidR="00D12B29" w:rsidRPr="00186DEC">
        <w:rPr>
          <w:szCs w:val="26"/>
        </w:rPr>
        <w:t>the</w:t>
      </w:r>
      <w:r w:rsidR="00B05B60" w:rsidRPr="00186DEC">
        <w:rPr>
          <w:szCs w:val="26"/>
        </w:rPr>
        <w:t xml:space="preserve"> </w:t>
      </w:r>
      <w:r w:rsidRPr="00186DEC">
        <w:rPr>
          <w:szCs w:val="26"/>
        </w:rPr>
        <w:t>shooter</w:t>
      </w:r>
      <w:r w:rsidR="00B05B60" w:rsidRPr="00186DEC">
        <w:rPr>
          <w:szCs w:val="26"/>
        </w:rPr>
        <w:t>, who did not otherwise have access to a gun.</w:t>
      </w:r>
      <w:r w:rsidR="00201A30" w:rsidRPr="00186DEC">
        <w:rPr>
          <w:szCs w:val="26"/>
        </w:rPr>
        <w:t xml:space="preserve">  Evidence that T.A. and his codefendant</w:t>
      </w:r>
      <w:r w:rsidRPr="00186DEC">
        <w:rPr>
          <w:szCs w:val="26"/>
        </w:rPr>
        <w:t>s</w:t>
      </w:r>
      <w:r w:rsidR="00201A30" w:rsidRPr="00186DEC">
        <w:rPr>
          <w:szCs w:val="26"/>
        </w:rPr>
        <w:t xml:space="preserve"> had planned at least an assault, if not a murder, for days prior to the shooting, a</w:t>
      </w:r>
      <w:r w:rsidRPr="00186DEC">
        <w:rPr>
          <w:szCs w:val="26"/>
        </w:rPr>
        <w:t xml:space="preserve">s well as their </w:t>
      </w:r>
      <w:r w:rsidRPr="00186DEC">
        <w:rPr>
          <w:szCs w:val="26"/>
        </w:rPr>
        <w:lastRenderedPageBreak/>
        <w:t xml:space="preserve">efforts to avoid capture after the shooting, supported </w:t>
      </w:r>
      <w:r w:rsidRPr="00186DEC">
        <w:rPr>
          <w:szCs w:val="26"/>
        </w:rPr>
        <w:t>the conclusion that “the shooting was not impromptu” and “evidence[d] [</w:t>
      </w:r>
      <w:proofErr w:type="spellStart"/>
      <w:r w:rsidRPr="00186DEC">
        <w:rPr>
          <w:szCs w:val="26"/>
        </w:rPr>
        <w:t>T.A.’s</w:t>
      </w:r>
      <w:proofErr w:type="spellEnd"/>
      <w:r w:rsidRPr="00186DEC">
        <w:rPr>
          <w:szCs w:val="26"/>
        </w:rPr>
        <w:t>] callous and criminally advanced mindset.”</w:t>
      </w:r>
      <w:r w:rsidR="00DC225A" w:rsidRPr="00186DEC">
        <w:rPr>
          <w:szCs w:val="26"/>
        </w:rPr>
        <w:t xml:space="preserve">  Moreover, there was some evidence that </w:t>
      </w:r>
      <w:proofErr w:type="spellStart"/>
      <w:r w:rsidR="00DC225A" w:rsidRPr="00186DEC">
        <w:rPr>
          <w:szCs w:val="26"/>
        </w:rPr>
        <w:t>T.A.’s</w:t>
      </w:r>
      <w:proofErr w:type="spellEnd"/>
      <w:r w:rsidR="00DC225A" w:rsidRPr="00186DEC">
        <w:rPr>
          <w:szCs w:val="26"/>
        </w:rPr>
        <w:t xml:space="preserve"> current behavior included “malingering his mental health symptoms.”</w:t>
      </w:r>
      <w:r w:rsidRPr="00186DEC">
        <w:rPr>
          <w:szCs w:val="26"/>
        </w:rPr>
        <w:t xml:space="preserve">  In sum, the juvenil</w:t>
      </w:r>
      <w:r w:rsidRPr="00186DEC">
        <w:rPr>
          <w:szCs w:val="26"/>
        </w:rPr>
        <w:t>e court found it “clear that despite his lack of criminal history and despite his mental health issues, [T.A.] possessed a substantial degree of criminal sophistication,” so that factor supported a finding that he “is not fit for the juvenile court and sho</w:t>
      </w:r>
      <w:r w:rsidRPr="00186DEC">
        <w:rPr>
          <w:szCs w:val="26"/>
        </w:rPr>
        <w:t>uld be transferred to adult court.”</w:t>
      </w:r>
    </w:p>
    <w:p w14:paraId="55AFA1E1" w14:textId="4EA56098" w:rsidR="00013D58" w:rsidRPr="00186DEC" w:rsidRDefault="00C75871" w:rsidP="00186DEC">
      <w:pPr>
        <w:ind w:firstLine="720"/>
        <w:rPr>
          <w:szCs w:val="26"/>
        </w:rPr>
      </w:pPr>
      <w:r w:rsidRPr="00186DEC">
        <w:rPr>
          <w:szCs w:val="26"/>
        </w:rPr>
        <w:t xml:space="preserve">The juvenile court also found that the evidence weighed “heavily” in favor of the conclusion that T.A. could not be rehabilitated prior to expiration of the juvenile court’s jurisdiction.  (See </w:t>
      </w:r>
      <w:proofErr w:type="spellStart"/>
      <w:r w:rsidRPr="00186DEC">
        <w:rPr>
          <w:szCs w:val="26"/>
        </w:rPr>
        <w:t>Welf</w:t>
      </w:r>
      <w:proofErr w:type="spellEnd"/>
      <w:r w:rsidRPr="00186DEC">
        <w:rPr>
          <w:szCs w:val="26"/>
        </w:rPr>
        <w:t xml:space="preserve">. &amp; Inst. Code, § </w:t>
      </w:r>
      <w:r w:rsidRPr="00186DEC">
        <w:rPr>
          <w:szCs w:val="26"/>
        </w:rPr>
        <w:t xml:space="preserve">707, </w:t>
      </w:r>
      <w:proofErr w:type="spellStart"/>
      <w:r w:rsidRPr="00186DEC">
        <w:rPr>
          <w:szCs w:val="26"/>
        </w:rPr>
        <w:t>subd</w:t>
      </w:r>
      <w:proofErr w:type="spellEnd"/>
      <w:r w:rsidRPr="00186DEC">
        <w:rPr>
          <w:szCs w:val="26"/>
        </w:rPr>
        <w:t>. (a)(3)(B).)</w:t>
      </w:r>
      <w:r w:rsidR="00C94598" w:rsidRPr="00186DEC">
        <w:rPr>
          <w:szCs w:val="26"/>
        </w:rPr>
        <w:t xml:space="preserve">  </w:t>
      </w:r>
      <w:r w:rsidR="00A82289" w:rsidRPr="00186DEC">
        <w:rPr>
          <w:szCs w:val="26"/>
        </w:rPr>
        <w:t>J</w:t>
      </w:r>
      <w:r w:rsidR="00C94598" w:rsidRPr="00186DEC">
        <w:rPr>
          <w:szCs w:val="26"/>
        </w:rPr>
        <w:t>uvenile court</w:t>
      </w:r>
      <w:r w:rsidR="00A82289" w:rsidRPr="00186DEC">
        <w:rPr>
          <w:szCs w:val="26"/>
        </w:rPr>
        <w:t xml:space="preserve"> jurisdiction over T.A. </w:t>
      </w:r>
      <w:r w:rsidR="00C94598" w:rsidRPr="00186DEC">
        <w:rPr>
          <w:szCs w:val="26"/>
        </w:rPr>
        <w:t xml:space="preserve">could </w:t>
      </w:r>
      <w:r w:rsidR="00A82289" w:rsidRPr="00186DEC">
        <w:rPr>
          <w:szCs w:val="26"/>
        </w:rPr>
        <w:t>be extended</w:t>
      </w:r>
      <w:r w:rsidR="00C94598" w:rsidRPr="00186DEC">
        <w:rPr>
          <w:szCs w:val="26"/>
        </w:rPr>
        <w:t xml:space="preserve"> for no more than two years after commitment to a youth facility, since he was 26 years old at the time of the transfer hearing.  (See </w:t>
      </w:r>
      <w:proofErr w:type="spellStart"/>
      <w:r w:rsidR="00C94598" w:rsidRPr="00186DEC">
        <w:rPr>
          <w:szCs w:val="26"/>
        </w:rPr>
        <w:t>Welf</w:t>
      </w:r>
      <w:proofErr w:type="spellEnd"/>
      <w:r w:rsidR="00C94598" w:rsidRPr="00186DEC">
        <w:rPr>
          <w:szCs w:val="26"/>
        </w:rPr>
        <w:t xml:space="preserve">. &amp; Inst. Code, § 607, </w:t>
      </w:r>
      <w:proofErr w:type="spellStart"/>
      <w:r w:rsidR="00C94598" w:rsidRPr="00186DEC">
        <w:rPr>
          <w:szCs w:val="26"/>
        </w:rPr>
        <w:t>subd</w:t>
      </w:r>
      <w:proofErr w:type="spellEnd"/>
      <w:r w:rsidR="00C94598" w:rsidRPr="00186DEC">
        <w:rPr>
          <w:szCs w:val="26"/>
        </w:rPr>
        <w:t>. (c).)</w:t>
      </w:r>
      <w:r w:rsidRPr="00186DEC">
        <w:rPr>
          <w:szCs w:val="26"/>
        </w:rPr>
        <w:t xml:space="preserve">  </w:t>
      </w:r>
      <w:r w:rsidR="00C94598" w:rsidRPr="00186DEC">
        <w:rPr>
          <w:szCs w:val="26"/>
        </w:rPr>
        <w:t>He</w:t>
      </w:r>
      <w:r w:rsidRPr="00186DEC">
        <w:rPr>
          <w:szCs w:val="26"/>
        </w:rPr>
        <w:t xml:space="preserve"> had already been incarcerated for most of a decade</w:t>
      </w:r>
      <w:r w:rsidR="00C94598" w:rsidRPr="00186DEC">
        <w:rPr>
          <w:szCs w:val="26"/>
        </w:rPr>
        <w:t>.</w:t>
      </w:r>
      <w:r w:rsidR="00075296" w:rsidRPr="00186DEC">
        <w:rPr>
          <w:szCs w:val="26"/>
        </w:rPr>
        <w:t xml:space="preserve">  Although </w:t>
      </w:r>
      <w:r w:rsidR="00A82289" w:rsidRPr="00186DEC">
        <w:rPr>
          <w:szCs w:val="26"/>
        </w:rPr>
        <w:t>he</w:t>
      </w:r>
      <w:r w:rsidR="00075296" w:rsidRPr="00186DEC">
        <w:rPr>
          <w:szCs w:val="26"/>
        </w:rPr>
        <w:t xml:space="preserve"> earned his GED in 2013, he had not participated in any educational services or job training since then.</w:t>
      </w:r>
      <w:r w:rsidR="00F81117" w:rsidRPr="00186DEC">
        <w:rPr>
          <w:szCs w:val="26"/>
        </w:rPr>
        <w:t xml:space="preserve">  </w:t>
      </w:r>
      <w:r w:rsidR="00075296" w:rsidRPr="00186DEC">
        <w:rPr>
          <w:szCs w:val="26"/>
        </w:rPr>
        <w:t>He had, however,</w:t>
      </w:r>
      <w:r w:rsidR="00F81117" w:rsidRPr="00186DEC">
        <w:rPr>
          <w:szCs w:val="26"/>
        </w:rPr>
        <w:t xml:space="preserve"> </w:t>
      </w:r>
      <w:r w:rsidR="00075296" w:rsidRPr="00186DEC">
        <w:rPr>
          <w:szCs w:val="26"/>
        </w:rPr>
        <w:t xml:space="preserve">repeatedly engaged in violent behavior towards both other inmates and prison staff, including a battery causing serious bodily injury to a peace officer.  In 2020, he had pleaded guilty of two counts of resisting a peace officer, receiving a three-year prison term.  The probation officer who supervises the most restrictive available juvenile program opined that </w:t>
      </w:r>
      <w:r w:rsidR="00A82289" w:rsidRPr="00186DEC">
        <w:rPr>
          <w:szCs w:val="26"/>
        </w:rPr>
        <w:t xml:space="preserve">they “would not be able to provide services that [T.A.] would need to rehabilitate as an adult,” and that she would “fear for the safety of the youth [at the program] if [T.A.] was to be placed there, as well </w:t>
      </w:r>
      <w:r w:rsidR="00A82289" w:rsidRPr="00186DEC">
        <w:rPr>
          <w:szCs w:val="26"/>
        </w:rPr>
        <w:lastRenderedPageBreak/>
        <w:t>as for the safety of the custody officers.”</w:t>
      </w:r>
      <w:r w:rsidR="00075296" w:rsidRPr="00186DEC">
        <w:rPr>
          <w:szCs w:val="26"/>
        </w:rPr>
        <w:t xml:space="preserve">  </w:t>
      </w:r>
      <w:r w:rsidR="00A82289" w:rsidRPr="00186DEC">
        <w:rPr>
          <w:szCs w:val="26"/>
        </w:rPr>
        <w:t xml:space="preserve">During the transfer hearing, </w:t>
      </w:r>
      <w:proofErr w:type="spellStart"/>
      <w:r w:rsidR="00A82289" w:rsidRPr="00186DEC">
        <w:rPr>
          <w:szCs w:val="26"/>
        </w:rPr>
        <w:t>T.A.’s</w:t>
      </w:r>
      <w:proofErr w:type="spellEnd"/>
      <w:r w:rsidR="00A82289" w:rsidRPr="00186DEC">
        <w:rPr>
          <w:szCs w:val="26"/>
        </w:rPr>
        <w:t xml:space="preserve"> behavior was so disruptive and noncompliant that the court ordered he attend the hearing by video, and even then, sometimes his microphone had to be muted.</w:t>
      </w:r>
      <w:r w:rsidR="00A24CE2" w:rsidRPr="00186DEC">
        <w:rPr>
          <w:szCs w:val="26"/>
        </w:rPr>
        <w:t xml:space="preserve">  The juvenile court opined that it “cannot conclude that he will miraculously begin to rehabilitate now if he remains in the juvenile court.”</w:t>
      </w:r>
    </w:p>
    <w:p w14:paraId="730EDF3C" w14:textId="661BADC9" w:rsidR="00A24CE2" w:rsidRPr="00186DEC" w:rsidRDefault="00C75871" w:rsidP="00186DEC">
      <w:pPr>
        <w:ind w:firstLine="720"/>
        <w:rPr>
          <w:szCs w:val="26"/>
        </w:rPr>
      </w:pPr>
      <w:r w:rsidRPr="00186DEC">
        <w:rPr>
          <w:szCs w:val="26"/>
        </w:rPr>
        <w:t xml:space="preserve">Finally, </w:t>
      </w:r>
      <w:r w:rsidR="00D35B78" w:rsidRPr="00186DEC">
        <w:rPr>
          <w:szCs w:val="26"/>
        </w:rPr>
        <w:t xml:space="preserve">the juvenile court found </w:t>
      </w:r>
      <w:r w:rsidRPr="00186DEC">
        <w:rPr>
          <w:szCs w:val="26"/>
        </w:rPr>
        <w:t>the circumstances and gravity of the offense also weighed “heavily in favor of a finding that [T.A.] is no</w:t>
      </w:r>
      <w:r w:rsidRPr="00186DEC">
        <w:rPr>
          <w:szCs w:val="26"/>
        </w:rPr>
        <w:t>t suitable for the juvenile court.”</w:t>
      </w:r>
      <w:r w:rsidR="00D35B78" w:rsidRPr="00186DEC">
        <w:rPr>
          <w:szCs w:val="26"/>
        </w:rPr>
        <w:t xml:space="preserve">  (See </w:t>
      </w:r>
      <w:proofErr w:type="spellStart"/>
      <w:r w:rsidR="00D35B78" w:rsidRPr="00186DEC">
        <w:rPr>
          <w:szCs w:val="26"/>
        </w:rPr>
        <w:t>Welf</w:t>
      </w:r>
      <w:proofErr w:type="spellEnd"/>
      <w:r w:rsidR="00D35B78" w:rsidRPr="00186DEC">
        <w:rPr>
          <w:szCs w:val="26"/>
        </w:rPr>
        <w:t xml:space="preserve">. &amp; Inst. Code, § 707, </w:t>
      </w:r>
      <w:proofErr w:type="spellStart"/>
      <w:r w:rsidR="00D35B78" w:rsidRPr="00186DEC">
        <w:rPr>
          <w:szCs w:val="26"/>
        </w:rPr>
        <w:t>subd</w:t>
      </w:r>
      <w:proofErr w:type="spellEnd"/>
      <w:r w:rsidR="00D35B78" w:rsidRPr="00186DEC">
        <w:rPr>
          <w:szCs w:val="26"/>
        </w:rPr>
        <w:t xml:space="preserve">. (a)(3)(E).)  T.A. and his codefendants had “approached the victim </w:t>
      </w:r>
      <w:proofErr w:type="spellStart"/>
      <w:r w:rsidR="00D35B78" w:rsidRPr="00186DEC">
        <w:rPr>
          <w:szCs w:val="26"/>
        </w:rPr>
        <w:t>en</w:t>
      </w:r>
      <w:proofErr w:type="spellEnd"/>
      <w:r w:rsidR="00D35B78" w:rsidRPr="00186DEC">
        <w:rPr>
          <w:szCs w:val="26"/>
        </w:rPr>
        <w:t xml:space="preserve"> masse and confronted him,” and the victim was </w:t>
      </w:r>
      <w:r w:rsidR="006F14AA" w:rsidRPr="00186DEC">
        <w:rPr>
          <w:szCs w:val="26"/>
        </w:rPr>
        <w:t>“</w:t>
      </w:r>
      <w:r w:rsidR="00D35B78" w:rsidRPr="00186DEC">
        <w:rPr>
          <w:szCs w:val="26"/>
        </w:rPr>
        <w:t>alone and unarmed.”</w:t>
      </w:r>
      <w:r w:rsidR="000E5A91" w:rsidRPr="00186DEC">
        <w:rPr>
          <w:szCs w:val="26"/>
        </w:rPr>
        <w:t xml:space="preserve">  The victim had responded to being confronted “in a defiant but non-violent manner.”  </w:t>
      </w:r>
      <w:r w:rsidRPr="00186DEC">
        <w:rPr>
          <w:szCs w:val="26"/>
        </w:rPr>
        <w:t xml:space="preserve">Although T.A. was not the </w:t>
      </w:r>
      <w:r w:rsidR="00D35B78" w:rsidRPr="00186DEC">
        <w:rPr>
          <w:szCs w:val="26"/>
        </w:rPr>
        <w:t>actual killer, he provided a gun to the shooter, and he “intended the result, took steps to insure it would transpire, and may have even preplanned it.”</w:t>
      </w:r>
      <w:r w:rsidR="000E5A91" w:rsidRPr="00186DEC">
        <w:rPr>
          <w:szCs w:val="26"/>
        </w:rPr>
        <w:t xml:space="preserve">  After the shooting, T.A. and his codefendants took “calculated steps to avoid capture” and “showed no regard or concern for the victim.”  The juvenile court commented that “[t]here is no graver circumstance than one involving a stolen life,” that the victim “is dead and he shouldn’t be,” and that T.A. was “responsible for that loss.”</w:t>
      </w:r>
    </w:p>
    <w:p w14:paraId="1ED4C2B7" w14:textId="4EE6E38B" w:rsidR="0092114D" w:rsidRPr="00186DEC" w:rsidRDefault="00C75871" w:rsidP="00186DEC">
      <w:pPr>
        <w:ind w:firstLine="720"/>
        <w:rPr>
          <w:szCs w:val="26"/>
        </w:rPr>
      </w:pPr>
      <w:r w:rsidRPr="00186DEC">
        <w:rPr>
          <w:szCs w:val="26"/>
        </w:rPr>
        <w:t>After weighing all the relevant factors, the juvenile court found “that on balance, the statutory criteria weigh heavily in favor of the conclusion that the minor is not amenable to juvenile court services and t</w:t>
      </w:r>
      <w:r w:rsidRPr="00186DEC">
        <w:rPr>
          <w:szCs w:val="26"/>
        </w:rPr>
        <w:t>herefore should be transferred back to a court of criminal jurisdiction.”</w:t>
      </w:r>
    </w:p>
    <w:p w14:paraId="70AF6960" w14:textId="1271332D" w:rsidR="00704B77" w:rsidRPr="00186DEC" w:rsidRDefault="00C75871" w:rsidP="00186DEC">
      <w:pPr>
        <w:ind w:firstLine="720"/>
        <w:rPr>
          <w:szCs w:val="26"/>
        </w:rPr>
      </w:pPr>
      <w:r w:rsidRPr="00186DEC">
        <w:rPr>
          <w:szCs w:val="26"/>
        </w:rPr>
        <w:lastRenderedPageBreak/>
        <w:t xml:space="preserve">Given the juvenile court’s </w:t>
      </w:r>
      <w:r w:rsidR="0092114D" w:rsidRPr="00186DEC">
        <w:rPr>
          <w:szCs w:val="26"/>
        </w:rPr>
        <w:t>reasoning</w:t>
      </w:r>
      <w:r w:rsidRPr="00186DEC">
        <w:rPr>
          <w:szCs w:val="26"/>
        </w:rPr>
        <w:t>, we do not find it plausible, let alone reasonably likely, that the court’s decision would have been any different had it applied the clear and c</w:t>
      </w:r>
      <w:r w:rsidRPr="00186DEC">
        <w:rPr>
          <w:szCs w:val="26"/>
        </w:rPr>
        <w:t xml:space="preserve">onvincing evidence </w:t>
      </w:r>
      <w:r w:rsidR="00DC225A" w:rsidRPr="00186DEC">
        <w:rPr>
          <w:szCs w:val="26"/>
        </w:rPr>
        <w:t>standard</w:t>
      </w:r>
      <w:r w:rsidR="007E10BA" w:rsidRPr="00186DEC">
        <w:rPr>
          <w:szCs w:val="26"/>
        </w:rPr>
        <w:t xml:space="preserve"> required by current law</w:t>
      </w:r>
      <w:r w:rsidRPr="00186DEC">
        <w:rPr>
          <w:szCs w:val="26"/>
        </w:rPr>
        <w:t>.</w:t>
      </w:r>
      <w:r w:rsidR="0092114D" w:rsidRPr="00186DEC">
        <w:rPr>
          <w:szCs w:val="26"/>
        </w:rPr>
        <w:t xml:space="preserve">  </w:t>
      </w:r>
      <w:r w:rsidRPr="00186DEC">
        <w:rPr>
          <w:szCs w:val="26"/>
        </w:rPr>
        <w:t xml:space="preserve">Nothing in the juvenile court’s </w:t>
      </w:r>
      <w:r w:rsidR="0092114D" w:rsidRPr="00186DEC">
        <w:rPr>
          <w:szCs w:val="26"/>
        </w:rPr>
        <w:t>comments</w:t>
      </w:r>
      <w:r w:rsidRPr="00186DEC">
        <w:rPr>
          <w:szCs w:val="26"/>
        </w:rPr>
        <w:t xml:space="preserve"> suggests that </w:t>
      </w:r>
      <w:r w:rsidR="0092114D" w:rsidRPr="00186DEC">
        <w:rPr>
          <w:szCs w:val="26"/>
        </w:rPr>
        <w:t xml:space="preserve">it found </w:t>
      </w:r>
      <w:r w:rsidRPr="00186DEC">
        <w:rPr>
          <w:szCs w:val="26"/>
        </w:rPr>
        <w:t xml:space="preserve">this </w:t>
      </w:r>
      <w:r w:rsidR="0092114D" w:rsidRPr="00186DEC">
        <w:rPr>
          <w:szCs w:val="26"/>
        </w:rPr>
        <w:t xml:space="preserve">decision to be </w:t>
      </w:r>
      <w:r w:rsidRPr="00186DEC">
        <w:rPr>
          <w:szCs w:val="26"/>
        </w:rPr>
        <w:t>a close call, either in terms of determining the facts or weighing the applicable factors against one another, s</w:t>
      </w:r>
      <w:r w:rsidR="0092114D" w:rsidRPr="00186DEC">
        <w:rPr>
          <w:szCs w:val="26"/>
        </w:rPr>
        <w:t>o that</w:t>
      </w:r>
      <w:r w:rsidRPr="00186DEC">
        <w:rPr>
          <w:szCs w:val="26"/>
        </w:rPr>
        <w:t xml:space="preserve"> that the precise standard of review applied might have made a difference.</w:t>
      </w:r>
      <w:r w:rsidR="0092114D" w:rsidRPr="00186DEC">
        <w:rPr>
          <w:szCs w:val="26"/>
        </w:rPr>
        <w:t xml:space="preserve">  As such, even though Assembly Bill 2361 applies retroactively to </w:t>
      </w:r>
      <w:proofErr w:type="spellStart"/>
      <w:r w:rsidR="0092114D" w:rsidRPr="00186DEC">
        <w:rPr>
          <w:szCs w:val="26"/>
        </w:rPr>
        <w:t>T.A.’s</w:t>
      </w:r>
      <w:proofErr w:type="spellEnd"/>
      <w:r w:rsidR="0092114D" w:rsidRPr="00186DEC">
        <w:rPr>
          <w:szCs w:val="26"/>
        </w:rPr>
        <w:t xml:space="preserve"> case, he has not demonstrated that remand</w:t>
      </w:r>
      <w:r w:rsidR="00BC7DC9" w:rsidRPr="00186DEC">
        <w:rPr>
          <w:szCs w:val="26"/>
        </w:rPr>
        <w:t xml:space="preserve"> </w:t>
      </w:r>
      <w:r w:rsidR="0092114D" w:rsidRPr="00186DEC">
        <w:rPr>
          <w:szCs w:val="26"/>
        </w:rPr>
        <w:t>for the juvenile court to reconsider its decision under the amended law</w:t>
      </w:r>
      <w:r w:rsidR="00BC7DC9" w:rsidRPr="00186DEC">
        <w:rPr>
          <w:szCs w:val="26"/>
        </w:rPr>
        <w:t xml:space="preserve"> would be appropriate.</w:t>
      </w:r>
    </w:p>
    <w:p w14:paraId="5492C307" w14:textId="3EBFEEA6" w:rsidR="001473FC" w:rsidRPr="00186DEC" w:rsidRDefault="00C75871" w:rsidP="00186DEC">
      <w:pPr>
        <w:keepNext/>
        <w:keepLines/>
        <w:jc w:val="center"/>
        <w:rPr>
          <w:szCs w:val="26"/>
        </w:rPr>
      </w:pPr>
      <w:r w:rsidRPr="00186DEC">
        <w:rPr>
          <w:szCs w:val="26"/>
        </w:rPr>
        <w:t>III. DISPOSITION</w:t>
      </w:r>
    </w:p>
    <w:p w14:paraId="22790071" w14:textId="1A5D9D39" w:rsidR="005D4945" w:rsidRDefault="00C75871" w:rsidP="00186DEC">
      <w:pPr>
        <w:rPr>
          <w:szCs w:val="26"/>
        </w:rPr>
      </w:pPr>
      <w:r w:rsidRPr="00186DEC">
        <w:rPr>
          <w:szCs w:val="26"/>
        </w:rPr>
        <w:tab/>
        <w:t>The juvenile court’s order granting the People’s transfer motion and reinstating the judgment is affirmed.</w:t>
      </w:r>
    </w:p>
    <w:p w14:paraId="14655AD1" w14:textId="3B7EEECE" w:rsidR="005063A2" w:rsidRDefault="00C75871" w:rsidP="00186DEC">
      <w:pPr>
        <w:rPr>
          <w:szCs w:val="26"/>
        </w:rPr>
      </w:pPr>
      <w:r>
        <w:rPr>
          <w:szCs w:val="26"/>
        </w:rPr>
        <w:tab/>
      </w:r>
    </w:p>
    <w:p w14:paraId="675A2D1C" w14:textId="77777777" w:rsidR="000E1084" w:rsidRDefault="000E1084" w:rsidP="00186DEC">
      <w:pPr>
        <w:rPr>
          <w:szCs w:val="26"/>
        </w:rPr>
      </w:pPr>
    </w:p>
    <w:p w14:paraId="2C8EC1A0" w14:textId="0E5AF596" w:rsidR="00710C1C" w:rsidRDefault="00C75871" w:rsidP="00710C1C">
      <w:pPr>
        <w:pStyle w:val="SigPage1"/>
        <w:jc w:val="right"/>
      </w:pPr>
      <w:r>
        <w:rPr>
          <w:u w:val="single"/>
        </w:rPr>
        <w:t>RAPHAEL</w:t>
      </w:r>
      <w:r>
        <w:rPr>
          <w:u w:val="single"/>
        </w:rPr>
        <w:tab/>
      </w:r>
    </w:p>
    <w:p w14:paraId="181B782D" w14:textId="139B7943" w:rsidR="00710C1C" w:rsidRDefault="00C75871" w:rsidP="00710C1C">
      <w:pPr>
        <w:pStyle w:val="SigPage1"/>
        <w:jc w:val="right"/>
      </w:pPr>
      <w:r>
        <w:tab/>
        <w:t>J.</w:t>
      </w:r>
    </w:p>
    <w:p w14:paraId="140B31ED" w14:textId="0C870840" w:rsidR="00710C1C" w:rsidRDefault="00710C1C" w:rsidP="00710C1C">
      <w:pPr>
        <w:pStyle w:val="SigPage2"/>
      </w:pPr>
    </w:p>
    <w:p w14:paraId="335426BD" w14:textId="5B278468" w:rsidR="00710C1C" w:rsidRDefault="00C75871" w:rsidP="00710C1C">
      <w:pPr>
        <w:pStyle w:val="SigPage2"/>
      </w:pPr>
      <w:r>
        <w:t>We concur:</w:t>
      </w:r>
    </w:p>
    <w:p w14:paraId="160F68CB" w14:textId="6833F382" w:rsidR="00710C1C" w:rsidRDefault="00710C1C" w:rsidP="00710C1C">
      <w:pPr>
        <w:pStyle w:val="SigPage2"/>
      </w:pPr>
    </w:p>
    <w:p w14:paraId="2C11B22C" w14:textId="2A4381B6" w:rsidR="00710C1C" w:rsidRDefault="00C75871" w:rsidP="00710C1C">
      <w:pPr>
        <w:pStyle w:val="SigPage2"/>
      </w:pPr>
      <w:proofErr w:type="spellStart"/>
      <w:r w:rsidRPr="000E1084">
        <w:rPr>
          <w:u w:val="single"/>
        </w:rPr>
        <w:t>McKINSTER</w:t>
      </w:r>
      <w:proofErr w:type="spellEnd"/>
      <w:r>
        <w:rPr>
          <w:u w:val="single"/>
        </w:rPr>
        <w:tab/>
      </w:r>
    </w:p>
    <w:p w14:paraId="44BF2DBE" w14:textId="091FB631" w:rsidR="000E1084" w:rsidRDefault="00C75871" w:rsidP="00710C1C">
      <w:pPr>
        <w:pStyle w:val="SigPage2"/>
      </w:pPr>
      <w:r>
        <w:tab/>
      </w:r>
      <w:r w:rsidR="003C413C">
        <w:t xml:space="preserve">Acting P. </w:t>
      </w:r>
      <w:r>
        <w:t>J.</w:t>
      </w:r>
    </w:p>
    <w:p w14:paraId="7770242C" w14:textId="77777777" w:rsidR="000E1084" w:rsidRDefault="000E1084" w:rsidP="00710C1C">
      <w:pPr>
        <w:pStyle w:val="SigPage2"/>
      </w:pPr>
    </w:p>
    <w:p w14:paraId="3E17838C" w14:textId="6D3F355C" w:rsidR="00710C1C" w:rsidRDefault="00C75871" w:rsidP="00710C1C">
      <w:pPr>
        <w:pStyle w:val="SigPage2"/>
      </w:pPr>
      <w:r w:rsidRPr="000E1084">
        <w:rPr>
          <w:u w:val="single"/>
        </w:rPr>
        <w:t>MILLER</w:t>
      </w:r>
      <w:r>
        <w:rPr>
          <w:u w:val="single"/>
        </w:rPr>
        <w:tab/>
      </w:r>
    </w:p>
    <w:p w14:paraId="0771916E" w14:textId="28654C4F" w:rsidR="00710C1C" w:rsidRDefault="00C75871" w:rsidP="00710C1C">
      <w:pPr>
        <w:pStyle w:val="SigPage2"/>
      </w:pPr>
      <w:r>
        <w:tab/>
        <w:t>J.</w:t>
      </w:r>
    </w:p>
    <w:p w14:paraId="248579B3" w14:textId="77777777" w:rsidR="008B2C79" w:rsidRDefault="008B2C79" w:rsidP="00710C1C">
      <w:pPr>
        <w:sectPr w:rsidR="008B2C79" w:rsidSect="005D494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54"/>
        </w:sectPr>
      </w:pPr>
    </w:p>
    <w:p w14:paraId="013C9727" w14:textId="77777777" w:rsidR="008B2C79" w:rsidRPr="00E41CEB" w:rsidRDefault="00C75871" w:rsidP="008B2C79">
      <w:pPr>
        <w:spacing w:line="240" w:lineRule="auto"/>
        <w:rPr>
          <w:bCs/>
          <w:sz w:val="20"/>
        </w:rPr>
      </w:pPr>
      <w:r w:rsidRPr="00E41CEB">
        <w:rPr>
          <w:bCs/>
          <w:sz w:val="20"/>
        </w:rPr>
        <w:lastRenderedPageBreak/>
        <w:t>Filed 4/11/23</w:t>
      </w:r>
    </w:p>
    <w:p w14:paraId="0C7F7230" w14:textId="77777777" w:rsidR="008B2C79" w:rsidRDefault="00C75871" w:rsidP="008B2C79">
      <w:pPr>
        <w:spacing w:line="240" w:lineRule="auto"/>
        <w:jc w:val="center"/>
        <w:rPr>
          <w:b/>
        </w:rPr>
      </w:pPr>
      <w:r>
        <w:rPr>
          <w:b/>
        </w:rPr>
        <w:t>CERTIFIED FOR PUBLICATION</w:t>
      </w:r>
    </w:p>
    <w:p w14:paraId="104C45B4" w14:textId="77777777" w:rsidR="008B2C79" w:rsidRDefault="008B2C79" w:rsidP="008B2C79">
      <w:pPr>
        <w:spacing w:line="20" w:lineRule="exact"/>
      </w:pPr>
    </w:p>
    <w:p w14:paraId="591AB416" w14:textId="77777777" w:rsidR="008B2C79" w:rsidRPr="00EA31EF" w:rsidRDefault="008B2C79" w:rsidP="008B2C79">
      <w:pPr>
        <w:spacing w:line="240" w:lineRule="auto"/>
        <w:jc w:val="center"/>
        <w:rPr>
          <w:b/>
          <w:bCs/>
        </w:rPr>
      </w:pPr>
    </w:p>
    <w:p w14:paraId="707BA032" w14:textId="77777777" w:rsidR="008B2C79" w:rsidRDefault="00C75871" w:rsidP="008B2C79">
      <w:pPr>
        <w:spacing w:line="240" w:lineRule="auto"/>
        <w:jc w:val="center"/>
        <w:rPr>
          <w:b/>
        </w:rPr>
      </w:pPr>
      <w:r>
        <w:rPr>
          <w:b/>
        </w:rPr>
        <w:t>IN THE COURT OF APPEAL OF THE STATE OF CALIFORNIA</w:t>
      </w:r>
    </w:p>
    <w:p w14:paraId="51BD8B69" w14:textId="77777777" w:rsidR="008B2C79" w:rsidRDefault="008B2C79" w:rsidP="008B2C79">
      <w:pPr>
        <w:spacing w:line="240" w:lineRule="auto"/>
        <w:jc w:val="center"/>
        <w:rPr>
          <w:b/>
        </w:rPr>
      </w:pPr>
    </w:p>
    <w:p w14:paraId="6F9A0EB0" w14:textId="77777777" w:rsidR="008B2C79" w:rsidRDefault="00C75871" w:rsidP="008B2C79">
      <w:pPr>
        <w:spacing w:line="240" w:lineRule="auto"/>
        <w:jc w:val="center"/>
        <w:rPr>
          <w:b/>
        </w:rPr>
      </w:pPr>
      <w:r>
        <w:rPr>
          <w:b/>
        </w:rPr>
        <w:t>FOURTH APPELLATE DISTRICT</w:t>
      </w:r>
    </w:p>
    <w:p w14:paraId="04326416" w14:textId="77777777" w:rsidR="008B2C79" w:rsidRDefault="008B2C79" w:rsidP="008B2C79">
      <w:pPr>
        <w:spacing w:line="240" w:lineRule="auto"/>
        <w:jc w:val="center"/>
        <w:rPr>
          <w:b/>
        </w:rPr>
      </w:pPr>
    </w:p>
    <w:p w14:paraId="1C365412" w14:textId="77777777" w:rsidR="008B2C79" w:rsidRDefault="00C75871" w:rsidP="008B2C79">
      <w:pPr>
        <w:spacing w:line="240" w:lineRule="auto"/>
        <w:jc w:val="center"/>
        <w:rPr>
          <w:b/>
        </w:rPr>
      </w:pPr>
      <w:r>
        <w:rPr>
          <w:b/>
        </w:rPr>
        <w:t>DIVISION TWO</w:t>
      </w:r>
    </w:p>
    <w:p w14:paraId="6B43F33B" w14:textId="77777777" w:rsidR="008B2C79" w:rsidRDefault="008B2C79" w:rsidP="008B2C79">
      <w:pPr>
        <w:spacing w:line="240" w:lineRule="auto"/>
        <w:jc w:val="center"/>
      </w:pPr>
    </w:p>
    <w:p w14:paraId="28D6FD38" w14:textId="77777777" w:rsidR="008B2C79" w:rsidRDefault="008B2C79" w:rsidP="008B2C79">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A04F6" w14:paraId="45FBDC3E" w14:textId="77777777" w:rsidTr="00293D42">
        <w:tc>
          <w:tcPr>
            <w:tcW w:w="4675" w:type="dxa"/>
            <w:tcBorders>
              <w:bottom w:val="single" w:sz="4" w:space="0" w:color="auto"/>
              <w:right w:val="single" w:sz="4" w:space="0" w:color="auto"/>
            </w:tcBorders>
            <w:shd w:val="clear" w:color="auto" w:fill="auto"/>
          </w:tcPr>
          <w:p w14:paraId="5ABD1EA4" w14:textId="77777777" w:rsidR="008B2C79" w:rsidRDefault="00C75871" w:rsidP="00293D42">
            <w:r>
              <w:t>In re T.A., a Person Coming Under the Juvenile Court Law.</w:t>
            </w:r>
          </w:p>
        </w:tc>
        <w:tc>
          <w:tcPr>
            <w:tcW w:w="4675" w:type="dxa"/>
            <w:tcBorders>
              <w:left w:val="single" w:sz="4" w:space="0" w:color="auto"/>
            </w:tcBorders>
            <w:shd w:val="clear" w:color="auto" w:fill="auto"/>
          </w:tcPr>
          <w:p w14:paraId="244D567E" w14:textId="77777777" w:rsidR="008B2C79" w:rsidRDefault="008B2C79" w:rsidP="00293D42"/>
        </w:tc>
      </w:tr>
      <w:tr w:rsidR="00DA04F6" w14:paraId="660ABF69" w14:textId="77777777" w:rsidTr="00293D42">
        <w:tc>
          <w:tcPr>
            <w:tcW w:w="4675" w:type="dxa"/>
            <w:tcBorders>
              <w:bottom w:val="single" w:sz="4" w:space="0" w:color="auto"/>
              <w:right w:val="single" w:sz="4" w:space="0" w:color="auto"/>
            </w:tcBorders>
            <w:shd w:val="clear" w:color="auto" w:fill="auto"/>
          </w:tcPr>
          <w:p w14:paraId="6A3D0067" w14:textId="77777777" w:rsidR="008B2C79" w:rsidRDefault="008B2C79" w:rsidP="00293D42"/>
          <w:p w14:paraId="41454D01" w14:textId="77777777" w:rsidR="008B2C79" w:rsidRDefault="00C75871" w:rsidP="00293D42">
            <w:r>
              <w:t>THE PEOPLE,</w:t>
            </w:r>
          </w:p>
          <w:p w14:paraId="1AA7F42F" w14:textId="77777777" w:rsidR="008B2C79" w:rsidRDefault="008B2C79" w:rsidP="00293D42"/>
          <w:p w14:paraId="384F7A3A" w14:textId="77777777" w:rsidR="008B2C79" w:rsidRDefault="00C75871" w:rsidP="00293D42">
            <w:r>
              <w:tab/>
            </w:r>
            <w:r>
              <w:t>Plaintiff and Respondent,</w:t>
            </w:r>
          </w:p>
          <w:p w14:paraId="5C10E407" w14:textId="77777777" w:rsidR="008B2C79" w:rsidRDefault="008B2C79" w:rsidP="00293D42"/>
          <w:p w14:paraId="0F08BC09" w14:textId="77777777" w:rsidR="008B2C79" w:rsidRDefault="00C75871" w:rsidP="00293D42">
            <w:r>
              <w:t>v.</w:t>
            </w:r>
          </w:p>
          <w:p w14:paraId="5D22506D" w14:textId="77777777" w:rsidR="008B2C79" w:rsidRDefault="008B2C79" w:rsidP="00293D42"/>
          <w:p w14:paraId="0874576B" w14:textId="77777777" w:rsidR="008B2C79" w:rsidRDefault="00C75871" w:rsidP="00293D42">
            <w:r>
              <w:t>T.A.,</w:t>
            </w:r>
          </w:p>
          <w:p w14:paraId="724A53F9" w14:textId="77777777" w:rsidR="008B2C79" w:rsidRDefault="008B2C79" w:rsidP="00293D42"/>
          <w:p w14:paraId="288468D3" w14:textId="77777777" w:rsidR="008B2C79" w:rsidRDefault="00C75871" w:rsidP="00293D42">
            <w:r>
              <w:tab/>
              <w:t>Defendant and Appellant.</w:t>
            </w:r>
          </w:p>
          <w:p w14:paraId="7AB639BF" w14:textId="77777777" w:rsidR="008B2C79" w:rsidRDefault="008B2C79" w:rsidP="00293D42"/>
        </w:tc>
        <w:tc>
          <w:tcPr>
            <w:tcW w:w="4675" w:type="dxa"/>
            <w:tcBorders>
              <w:left w:val="single" w:sz="4" w:space="0" w:color="auto"/>
            </w:tcBorders>
            <w:shd w:val="clear" w:color="auto" w:fill="auto"/>
          </w:tcPr>
          <w:p w14:paraId="3BD23F16" w14:textId="77777777" w:rsidR="008B2C79" w:rsidRDefault="008B2C79" w:rsidP="00293D42"/>
          <w:p w14:paraId="0BCAFBA6" w14:textId="77777777" w:rsidR="008B2C79" w:rsidRDefault="008B2C79" w:rsidP="00293D42"/>
          <w:p w14:paraId="0524BBD1" w14:textId="77777777" w:rsidR="008B2C79" w:rsidRDefault="00C75871" w:rsidP="00293D42">
            <w:r>
              <w:tab/>
              <w:t>E079346</w:t>
            </w:r>
          </w:p>
          <w:p w14:paraId="6D45F05A" w14:textId="77777777" w:rsidR="008B2C79" w:rsidRDefault="008B2C79" w:rsidP="00293D42"/>
          <w:p w14:paraId="2F22AC13" w14:textId="77777777" w:rsidR="008B2C79" w:rsidRDefault="00C75871" w:rsidP="00293D42">
            <w:r>
              <w:tab/>
              <w:t>(</w:t>
            </w:r>
            <w:proofErr w:type="spellStart"/>
            <w:r>
              <w:t>Super.Ct.No</w:t>
            </w:r>
            <w:proofErr w:type="spellEnd"/>
            <w:r>
              <w:t>. J286190)</w:t>
            </w:r>
          </w:p>
          <w:p w14:paraId="603026A6" w14:textId="77777777" w:rsidR="008B2C79" w:rsidRDefault="008B2C79" w:rsidP="00293D42"/>
          <w:p w14:paraId="32478EAA" w14:textId="77777777" w:rsidR="008B2C79" w:rsidRDefault="00C75871" w:rsidP="00293D42">
            <w:pPr>
              <w:ind w:left="704"/>
            </w:pPr>
            <w:r>
              <w:tab/>
              <w:t>ORDER CERTIFYING OPINION FOR PUBLICATION</w:t>
            </w:r>
          </w:p>
          <w:p w14:paraId="7E38D9DC" w14:textId="77777777" w:rsidR="008B2C79" w:rsidRDefault="008B2C79" w:rsidP="00293D42"/>
        </w:tc>
      </w:tr>
    </w:tbl>
    <w:p w14:paraId="455E0DF7" w14:textId="77777777" w:rsidR="008B2C79" w:rsidRDefault="00C75871" w:rsidP="008B2C79">
      <w:pPr>
        <w:spacing w:line="240" w:lineRule="auto"/>
        <w:rPr>
          <w:szCs w:val="26"/>
        </w:rPr>
      </w:pPr>
      <w:r w:rsidRPr="00186DEC">
        <w:rPr>
          <w:szCs w:val="26"/>
        </w:rPr>
        <w:tab/>
      </w:r>
    </w:p>
    <w:p w14:paraId="444A8902" w14:textId="77777777" w:rsidR="008B2C79" w:rsidRDefault="00C75871" w:rsidP="008B2C79">
      <w:pPr>
        <w:spacing w:line="240" w:lineRule="auto"/>
        <w:ind w:firstLine="720"/>
        <w:rPr>
          <w:szCs w:val="26"/>
        </w:rPr>
      </w:pPr>
      <w:r>
        <w:rPr>
          <w:szCs w:val="26"/>
        </w:rPr>
        <w:t xml:space="preserve">Request having been made to this court pursuant to California Rules of Court, rule 8.1120(a) for </w:t>
      </w:r>
      <w:r>
        <w:rPr>
          <w:szCs w:val="26"/>
        </w:rPr>
        <w:t xml:space="preserve">publication of a nonpublished opinion heretofore filed in the above-entitled matter on April 7, 2023, and it </w:t>
      </w:r>
      <w:proofErr w:type="gramStart"/>
      <w:r>
        <w:rPr>
          <w:szCs w:val="26"/>
        </w:rPr>
        <w:t>appearing</w:t>
      </w:r>
      <w:proofErr w:type="gramEnd"/>
      <w:r>
        <w:rPr>
          <w:szCs w:val="26"/>
        </w:rPr>
        <w:t xml:space="preserve"> that the opinion meets the standard for publication as specified in California Rules of Court, rule 8.1105(c),</w:t>
      </w:r>
    </w:p>
    <w:p w14:paraId="7A76E81E" w14:textId="77777777" w:rsidR="008B2C79" w:rsidRDefault="008B2C79" w:rsidP="008B2C79">
      <w:pPr>
        <w:spacing w:line="240" w:lineRule="auto"/>
        <w:rPr>
          <w:szCs w:val="26"/>
        </w:rPr>
      </w:pPr>
    </w:p>
    <w:p w14:paraId="3EB3B14C" w14:textId="77777777" w:rsidR="008B2C79" w:rsidRDefault="00C75871" w:rsidP="008B2C79">
      <w:pPr>
        <w:spacing w:line="240" w:lineRule="auto"/>
        <w:rPr>
          <w:szCs w:val="26"/>
        </w:rPr>
      </w:pPr>
      <w:r>
        <w:rPr>
          <w:szCs w:val="26"/>
        </w:rPr>
        <w:tab/>
        <w:t xml:space="preserve">IT IS ORDERED that said </w:t>
      </w:r>
      <w:r>
        <w:rPr>
          <w:szCs w:val="26"/>
        </w:rPr>
        <w:t>opinion be certified for publication pursuant to California Rules of Court, rule 8.1105(b). The opinion filed in this matter on March 23, 2023, is certified for publication.</w:t>
      </w:r>
    </w:p>
    <w:p w14:paraId="0EA587C1" w14:textId="77777777" w:rsidR="008B2C79" w:rsidRPr="00186DEC" w:rsidRDefault="00C75871" w:rsidP="008B2C79">
      <w:pPr>
        <w:rPr>
          <w:szCs w:val="26"/>
        </w:rPr>
      </w:pPr>
      <w:r>
        <w:rPr>
          <w:szCs w:val="26"/>
        </w:rPr>
        <w:tab/>
        <w:t>CERTIFIED FOR PUBLICATION</w:t>
      </w:r>
    </w:p>
    <w:p w14:paraId="7F55B41A" w14:textId="77777777" w:rsidR="008B2C79" w:rsidRDefault="00C75871" w:rsidP="008B2C79">
      <w:pPr>
        <w:pStyle w:val="SigPage1"/>
        <w:jc w:val="right"/>
      </w:pPr>
      <w:r>
        <w:rPr>
          <w:u w:val="single"/>
        </w:rPr>
        <w:t>RAPHAEL</w:t>
      </w:r>
      <w:r>
        <w:rPr>
          <w:u w:val="single"/>
        </w:rPr>
        <w:tab/>
      </w:r>
    </w:p>
    <w:p w14:paraId="15EB441B" w14:textId="77777777" w:rsidR="008B2C79" w:rsidRDefault="00C75871" w:rsidP="008B2C79">
      <w:pPr>
        <w:pStyle w:val="SigPage1"/>
        <w:jc w:val="right"/>
      </w:pPr>
      <w:r>
        <w:tab/>
        <w:t>J.</w:t>
      </w:r>
    </w:p>
    <w:p w14:paraId="7DA0809E" w14:textId="77777777" w:rsidR="008B2C79" w:rsidRDefault="00C75871" w:rsidP="008B2C79">
      <w:pPr>
        <w:pStyle w:val="SigPage2"/>
      </w:pPr>
      <w:r>
        <w:t>We concur:</w:t>
      </w:r>
    </w:p>
    <w:p w14:paraId="1173322D" w14:textId="77777777" w:rsidR="008B2C79" w:rsidRDefault="008B2C79" w:rsidP="008B2C79">
      <w:pPr>
        <w:pStyle w:val="SigPage2"/>
      </w:pPr>
    </w:p>
    <w:p w14:paraId="0B5896BB" w14:textId="77777777" w:rsidR="008B2C79" w:rsidRDefault="00C75871" w:rsidP="008B2C79">
      <w:pPr>
        <w:pStyle w:val="SigPage2"/>
      </w:pPr>
      <w:proofErr w:type="spellStart"/>
      <w:r w:rsidRPr="000E1084">
        <w:rPr>
          <w:u w:val="single"/>
        </w:rPr>
        <w:t>McKINSTER</w:t>
      </w:r>
      <w:proofErr w:type="spellEnd"/>
      <w:r>
        <w:rPr>
          <w:u w:val="single"/>
        </w:rPr>
        <w:tab/>
      </w:r>
    </w:p>
    <w:p w14:paraId="609B481E" w14:textId="77777777" w:rsidR="008B2C79" w:rsidRDefault="00C75871" w:rsidP="008B2C79">
      <w:pPr>
        <w:pStyle w:val="SigPage2"/>
      </w:pPr>
      <w:r>
        <w:tab/>
        <w:t>Acting P. J.</w:t>
      </w:r>
    </w:p>
    <w:p w14:paraId="402A8BFA" w14:textId="77777777" w:rsidR="008B2C79" w:rsidRDefault="008B2C79" w:rsidP="008B2C79">
      <w:pPr>
        <w:pStyle w:val="SigPage2"/>
      </w:pPr>
    </w:p>
    <w:p w14:paraId="3B48D0EF" w14:textId="77777777" w:rsidR="008B2C79" w:rsidRDefault="00C75871" w:rsidP="008B2C79">
      <w:pPr>
        <w:pStyle w:val="SigPage2"/>
      </w:pPr>
      <w:r w:rsidRPr="000E1084">
        <w:rPr>
          <w:u w:val="single"/>
        </w:rPr>
        <w:t>MILLER</w:t>
      </w:r>
      <w:r>
        <w:rPr>
          <w:u w:val="single"/>
        </w:rPr>
        <w:tab/>
      </w:r>
    </w:p>
    <w:p w14:paraId="512D49D7" w14:textId="1C5E63F9" w:rsidR="00710C1C" w:rsidRPr="00710C1C" w:rsidRDefault="00C75871" w:rsidP="008B2C79">
      <w:pPr>
        <w:pStyle w:val="SigPage2"/>
      </w:pPr>
      <w:r>
        <w:tab/>
        <w:t>J.</w:t>
      </w:r>
    </w:p>
    <w:sectPr w:rsidR="00710C1C" w:rsidRPr="00710C1C" w:rsidSect="008B2C7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3556" w14:textId="77777777" w:rsidR="00000000" w:rsidRDefault="00C75871">
      <w:pPr>
        <w:spacing w:line="240" w:lineRule="auto"/>
      </w:pPr>
      <w:r>
        <w:separator/>
      </w:r>
    </w:p>
  </w:endnote>
  <w:endnote w:type="continuationSeparator" w:id="0">
    <w:p w14:paraId="60BCCF6D" w14:textId="77777777" w:rsidR="00000000" w:rsidRDefault="00C75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D0F1" w14:textId="6C2DFE3A" w:rsidR="005D4945" w:rsidRDefault="00C75871" w:rsidP="001C60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B2C79">
      <w:rPr>
        <w:rStyle w:val="PageNumber"/>
        <w:noProof/>
      </w:rPr>
      <w:t>11</w:t>
    </w:r>
    <w:r>
      <w:rPr>
        <w:rStyle w:val="PageNumber"/>
      </w:rPr>
      <w:fldChar w:fldCharType="end"/>
    </w:r>
  </w:p>
  <w:p w14:paraId="6AA2DD11" w14:textId="77777777" w:rsidR="005D4945" w:rsidRDefault="005D4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6440" w14:textId="0DBDAFAC" w:rsidR="005D4945" w:rsidRDefault="00C75871" w:rsidP="001C60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F37784" w14:textId="77777777" w:rsidR="005D4945" w:rsidRDefault="005D4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E53F" w14:textId="77777777" w:rsidR="00AE692B" w:rsidRDefault="00AE69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02C7" w14:textId="77777777" w:rsidR="005D4945" w:rsidRDefault="00C75871" w:rsidP="001C60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1DCA87B4" w14:textId="77777777" w:rsidR="005D4945" w:rsidRDefault="005D49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2695" w14:textId="77777777" w:rsidR="005D4945" w:rsidRDefault="00C75871" w:rsidP="001C60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7E252E" w14:textId="77777777" w:rsidR="005D4945" w:rsidRDefault="005D494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FB4" w14:textId="77777777" w:rsidR="00CA5EE4" w:rsidRDefault="00CA5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D547" w14:textId="77777777" w:rsidR="008076B5" w:rsidRDefault="00C75871" w:rsidP="002C6E61">
      <w:pPr>
        <w:spacing w:line="240" w:lineRule="auto"/>
      </w:pPr>
      <w:r>
        <w:separator/>
      </w:r>
    </w:p>
  </w:footnote>
  <w:footnote w:type="continuationSeparator" w:id="0">
    <w:p w14:paraId="6B2F6042" w14:textId="77777777" w:rsidR="008076B5" w:rsidRDefault="00C75871" w:rsidP="002C6E61">
      <w:pPr>
        <w:spacing w:line="240" w:lineRule="auto"/>
      </w:pPr>
      <w:r>
        <w:continuationSeparator/>
      </w:r>
    </w:p>
    <w:p w14:paraId="138CBE7D" w14:textId="77777777" w:rsidR="008076B5" w:rsidRPr="005D4945" w:rsidRDefault="00C75871" w:rsidP="002C6E61">
      <w:pPr>
        <w:spacing w:line="240" w:lineRule="auto"/>
        <w:rPr>
          <w:i/>
          <w:sz w:val="20"/>
        </w:rPr>
      </w:pPr>
      <w:r>
        <w:rPr>
          <w:i/>
          <w:sz w:val="20"/>
        </w:rPr>
        <w:t>[footnote continued from previous page]</w:t>
      </w:r>
    </w:p>
    <w:p w14:paraId="1974744A" w14:textId="77777777" w:rsidR="008076B5" w:rsidRPr="005D4945" w:rsidRDefault="00C75871" w:rsidP="002C6E61">
      <w:pPr>
        <w:spacing w:line="240" w:lineRule="auto"/>
        <w:rPr>
          <w:i/>
          <w:sz w:val="20"/>
        </w:rPr>
      </w:pPr>
      <w:r>
        <w:rPr>
          <w:i/>
          <w:sz w:val="20"/>
        </w:rPr>
        <w:t>[footnote continued from previous page]</w:t>
      </w:r>
    </w:p>
  </w:footnote>
  <w:footnote w:type="continuationNotice" w:id="1">
    <w:p w14:paraId="7EB99AFA" w14:textId="77777777" w:rsidR="008076B5" w:rsidRPr="005D4945" w:rsidRDefault="00C75871" w:rsidP="005D4945">
      <w:pPr>
        <w:pStyle w:val="Footer"/>
        <w:jc w:val="right"/>
        <w:rPr>
          <w:i/>
          <w:sz w:val="20"/>
        </w:rPr>
      </w:pPr>
      <w:r>
        <w:rPr>
          <w:i/>
          <w:sz w:val="20"/>
        </w:rPr>
        <w:t xml:space="preserve">[footnote </w:t>
      </w:r>
      <w:proofErr w:type="gramStart"/>
      <w:r>
        <w:rPr>
          <w:i/>
          <w:sz w:val="20"/>
        </w:rPr>
        <w:t>continued on</w:t>
      </w:r>
      <w:proofErr w:type="gramEnd"/>
      <w:r>
        <w:rPr>
          <w:i/>
          <w:sz w:val="20"/>
        </w:rPr>
        <w:t xml:space="preserve"> next page]</w:t>
      </w:r>
    </w:p>
  </w:footnote>
  <w:footnote w:id="2">
    <w:p w14:paraId="4D1069DF" w14:textId="14A07460" w:rsidR="001804A9" w:rsidRDefault="00C75871" w:rsidP="00186DEC">
      <w:pPr>
        <w:pStyle w:val="FootnoteText"/>
        <w:ind w:firstLine="720"/>
      </w:pPr>
      <w:r w:rsidRPr="00186DEC">
        <w:rPr>
          <w:rStyle w:val="FootnoteReference"/>
          <w:sz w:val="26"/>
          <w:szCs w:val="26"/>
          <w:vertAlign w:val="superscript"/>
        </w:rPr>
        <w:footnoteRef/>
      </w:r>
      <w:r>
        <w:t xml:space="preserve"> </w:t>
      </w:r>
      <w:r w:rsidR="00186DEC">
        <w:t xml:space="preserve"> </w:t>
      </w:r>
      <w:r>
        <w:t xml:space="preserve">Of course, our use of the term “error” </w:t>
      </w:r>
      <w:r w:rsidR="00853753">
        <w:t xml:space="preserve">here </w:t>
      </w:r>
      <w:r>
        <w:t xml:space="preserve">does not imply that the trial court did </w:t>
      </w:r>
      <w:r>
        <w:t>anything improper</w:t>
      </w:r>
      <w:r w:rsidR="009862C7">
        <w:t>, as</w:t>
      </w:r>
      <w:r w:rsidR="00BC7DC9">
        <w:t xml:space="preserve"> </w:t>
      </w:r>
      <w:r w:rsidR="00671310">
        <w:t>it</w:t>
      </w:r>
      <w:r>
        <w:t xml:space="preserve"> applied the</w:t>
      </w:r>
      <w:r w:rsidR="009862C7">
        <w:t xml:space="preserve"> legally</w:t>
      </w:r>
      <w:r>
        <w:t xml:space="preserve"> correct standard at the time</w:t>
      </w:r>
      <w:r w:rsidR="00853753">
        <w:t>.  I</w:t>
      </w:r>
      <w:r>
        <w:t>ts analysis became erroneous</w:t>
      </w:r>
      <w:r w:rsidR="00BA1A09">
        <w:t xml:space="preserve"> </w:t>
      </w:r>
      <w:r>
        <w:t>due to</w:t>
      </w:r>
      <w:r w:rsidR="00BD0B7E">
        <w:t xml:space="preserve"> Assembly Bill 2361’s</w:t>
      </w:r>
      <w:r>
        <w:t xml:space="preserve"> </w:t>
      </w:r>
      <w:r w:rsidR="00BD0B7E">
        <w:t xml:space="preserve">retroactive </w:t>
      </w:r>
      <w:r>
        <w:t xml:space="preserve">change in the law.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ECFB" w14:textId="77777777" w:rsidR="00AE692B" w:rsidRDefault="00AE6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812E" w14:textId="77777777" w:rsidR="00AE692B" w:rsidRDefault="00AE6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4712" w14:textId="77777777" w:rsidR="00AE692B" w:rsidRDefault="00AE69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65B5" w14:textId="77777777" w:rsidR="00CA5EE4" w:rsidRDefault="00CA5E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E3AF" w14:textId="77777777" w:rsidR="00CA5EE4" w:rsidRDefault="00CA5E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DA54" w14:textId="77777777" w:rsidR="00CA5EE4" w:rsidRDefault="00CA5E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45"/>
    <w:rsid w:val="00000F8E"/>
    <w:rsid w:val="00013D58"/>
    <w:rsid w:val="00014943"/>
    <w:rsid w:val="00015890"/>
    <w:rsid w:val="000202BC"/>
    <w:rsid w:val="00034C50"/>
    <w:rsid w:val="00041912"/>
    <w:rsid w:val="00044764"/>
    <w:rsid w:val="000471B4"/>
    <w:rsid w:val="0005069F"/>
    <w:rsid w:val="000519AB"/>
    <w:rsid w:val="00054D78"/>
    <w:rsid w:val="000660B7"/>
    <w:rsid w:val="00075296"/>
    <w:rsid w:val="00076A13"/>
    <w:rsid w:val="00093CED"/>
    <w:rsid w:val="000B04DF"/>
    <w:rsid w:val="000D1DDD"/>
    <w:rsid w:val="000E04B4"/>
    <w:rsid w:val="000E1084"/>
    <w:rsid w:val="000E5A91"/>
    <w:rsid w:val="000F17B8"/>
    <w:rsid w:val="000F2855"/>
    <w:rsid w:val="000F4263"/>
    <w:rsid w:val="000F4682"/>
    <w:rsid w:val="000F6B78"/>
    <w:rsid w:val="0010175E"/>
    <w:rsid w:val="00111A9C"/>
    <w:rsid w:val="00111E8D"/>
    <w:rsid w:val="00120859"/>
    <w:rsid w:val="0013530E"/>
    <w:rsid w:val="001426EA"/>
    <w:rsid w:val="00145E00"/>
    <w:rsid w:val="001473FC"/>
    <w:rsid w:val="00153109"/>
    <w:rsid w:val="00157EFB"/>
    <w:rsid w:val="00162299"/>
    <w:rsid w:val="001804A9"/>
    <w:rsid w:val="001843D7"/>
    <w:rsid w:val="00185E1B"/>
    <w:rsid w:val="00186DEC"/>
    <w:rsid w:val="00187A8B"/>
    <w:rsid w:val="00190CFD"/>
    <w:rsid w:val="001917A7"/>
    <w:rsid w:val="00193B3B"/>
    <w:rsid w:val="001B4B6C"/>
    <w:rsid w:val="001C3DA4"/>
    <w:rsid w:val="001C6001"/>
    <w:rsid w:val="001C7C78"/>
    <w:rsid w:val="001E499D"/>
    <w:rsid w:val="00201A30"/>
    <w:rsid w:val="00230BF1"/>
    <w:rsid w:val="00236708"/>
    <w:rsid w:val="00236BE1"/>
    <w:rsid w:val="002468CC"/>
    <w:rsid w:val="0025208F"/>
    <w:rsid w:val="0025698B"/>
    <w:rsid w:val="0026674C"/>
    <w:rsid w:val="00280969"/>
    <w:rsid w:val="0028187B"/>
    <w:rsid w:val="00285830"/>
    <w:rsid w:val="00293D42"/>
    <w:rsid w:val="002960DB"/>
    <w:rsid w:val="00296820"/>
    <w:rsid w:val="00297FB0"/>
    <w:rsid w:val="002B0570"/>
    <w:rsid w:val="002B32CD"/>
    <w:rsid w:val="002B7808"/>
    <w:rsid w:val="002C204A"/>
    <w:rsid w:val="002C6E61"/>
    <w:rsid w:val="002C7907"/>
    <w:rsid w:val="002C7A15"/>
    <w:rsid w:val="002D4B55"/>
    <w:rsid w:val="002D59C2"/>
    <w:rsid w:val="002E26CA"/>
    <w:rsid w:val="002E575F"/>
    <w:rsid w:val="002F1FB7"/>
    <w:rsid w:val="002F3BFC"/>
    <w:rsid w:val="00305AB8"/>
    <w:rsid w:val="00314A9B"/>
    <w:rsid w:val="003161D8"/>
    <w:rsid w:val="00321E4A"/>
    <w:rsid w:val="0033387B"/>
    <w:rsid w:val="00334554"/>
    <w:rsid w:val="00335C38"/>
    <w:rsid w:val="00341B5A"/>
    <w:rsid w:val="00347F9D"/>
    <w:rsid w:val="0035413E"/>
    <w:rsid w:val="00380660"/>
    <w:rsid w:val="0039504F"/>
    <w:rsid w:val="003A5D96"/>
    <w:rsid w:val="003B68E0"/>
    <w:rsid w:val="003C413C"/>
    <w:rsid w:val="003C4817"/>
    <w:rsid w:val="003D1FE2"/>
    <w:rsid w:val="003D45D4"/>
    <w:rsid w:val="003E03DF"/>
    <w:rsid w:val="003E52F6"/>
    <w:rsid w:val="003F63F7"/>
    <w:rsid w:val="00402B20"/>
    <w:rsid w:val="004142FE"/>
    <w:rsid w:val="0041670C"/>
    <w:rsid w:val="00417138"/>
    <w:rsid w:val="0042265C"/>
    <w:rsid w:val="0044096C"/>
    <w:rsid w:val="0044318B"/>
    <w:rsid w:val="0045055F"/>
    <w:rsid w:val="0045710B"/>
    <w:rsid w:val="004976CC"/>
    <w:rsid w:val="004A01E0"/>
    <w:rsid w:val="004C09F4"/>
    <w:rsid w:val="004C1173"/>
    <w:rsid w:val="004D2FDD"/>
    <w:rsid w:val="004D4868"/>
    <w:rsid w:val="004F1716"/>
    <w:rsid w:val="005063A2"/>
    <w:rsid w:val="00514093"/>
    <w:rsid w:val="0051714C"/>
    <w:rsid w:val="00530562"/>
    <w:rsid w:val="005408FF"/>
    <w:rsid w:val="00544B87"/>
    <w:rsid w:val="00553034"/>
    <w:rsid w:val="00573124"/>
    <w:rsid w:val="00583FE3"/>
    <w:rsid w:val="0059197C"/>
    <w:rsid w:val="005A5411"/>
    <w:rsid w:val="005B068E"/>
    <w:rsid w:val="005B0759"/>
    <w:rsid w:val="005B1B08"/>
    <w:rsid w:val="005B25A5"/>
    <w:rsid w:val="005B43CC"/>
    <w:rsid w:val="005B6557"/>
    <w:rsid w:val="005D4945"/>
    <w:rsid w:val="005F19B9"/>
    <w:rsid w:val="005F30D1"/>
    <w:rsid w:val="00600000"/>
    <w:rsid w:val="00610292"/>
    <w:rsid w:val="006330D9"/>
    <w:rsid w:val="00633EA4"/>
    <w:rsid w:val="0065073B"/>
    <w:rsid w:val="00651748"/>
    <w:rsid w:val="00654900"/>
    <w:rsid w:val="0066482B"/>
    <w:rsid w:val="00671310"/>
    <w:rsid w:val="006717A8"/>
    <w:rsid w:val="006B6463"/>
    <w:rsid w:val="006D397A"/>
    <w:rsid w:val="006E66D0"/>
    <w:rsid w:val="006F14AA"/>
    <w:rsid w:val="006F7BAA"/>
    <w:rsid w:val="00704B77"/>
    <w:rsid w:val="00710C1C"/>
    <w:rsid w:val="00713EA8"/>
    <w:rsid w:val="007365BF"/>
    <w:rsid w:val="00743B3C"/>
    <w:rsid w:val="007443E3"/>
    <w:rsid w:val="00754FB5"/>
    <w:rsid w:val="007559C4"/>
    <w:rsid w:val="00755B7A"/>
    <w:rsid w:val="007571D9"/>
    <w:rsid w:val="007630D6"/>
    <w:rsid w:val="00771B39"/>
    <w:rsid w:val="00781E65"/>
    <w:rsid w:val="00783F5F"/>
    <w:rsid w:val="007934D8"/>
    <w:rsid w:val="007A5F44"/>
    <w:rsid w:val="007B45A8"/>
    <w:rsid w:val="007B63F6"/>
    <w:rsid w:val="007B65E6"/>
    <w:rsid w:val="007C751B"/>
    <w:rsid w:val="007E10BA"/>
    <w:rsid w:val="007E4C8A"/>
    <w:rsid w:val="007F6EA4"/>
    <w:rsid w:val="008007E0"/>
    <w:rsid w:val="0080674B"/>
    <w:rsid w:val="008076B5"/>
    <w:rsid w:val="00814AC5"/>
    <w:rsid w:val="00827B87"/>
    <w:rsid w:val="00831DA2"/>
    <w:rsid w:val="00835514"/>
    <w:rsid w:val="00850B79"/>
    <w:rsid w:val="00853753"/>
    <w:rsid w:val="00864DB8"/>
    <w:rsid w:val="00865CF4"/>
    <w:rsid w:val="00873A8F"/>
    <w:rsid w:val="008964D5"/>
    <w:rsid w:val="008B2166"/>
    <w:rsid w:val="008B2C79"/>
    <w:rsid w:val="008B669D"/>
    <w:rsid w:val="008D674A"/>
    <w:rsid w:val="008D731C"/>
    <w:rsid w:val="008E44AE"/>
    <w:rsid w:val="008F093C"/>
    <w:rsid w:val="008F5128"/>
    <w:rsid w:val="008F623B"/>
    <w:rsid w:val="009068B0"/>
    <w:rsid w:val="0092114D"/>
    <w:rsid w:val="00922BD6"/>
    <w:rsid w:val="009346AB"/>
    <w:rsid w:val="00937FBC"/>
    <w:rsid w:val="00947D29"/>
    <w:rsid w:val="00957077"/>
    <w:rsid w:val="009574A4"/>
    <w:rsid w:val="009671A2"/>
    <w:rsid w:val="00981B2A"/>
    <w:rsid w:val="009862C7"/>
    <w:rsid w:val="0098723A"/>
    <w:rsid w:val="009977F6"/>
    <w:rsid w:val="009A52AC"/>
    <w:rsid w:val="009C3BBF"/>
    <w:rsid w:val="009C53B4"/>
    <w:rsid w:val="009E78D5"/>
    <w:rsid w:val="009F3411"/>
    <w:rsid w:val="00A1031F"/>
    <w:rsid w:val="00A24CE2"/>
    <w:rsid w:val="00A34F6E"/>
    <w:rsid w:val="00A3509B"/>
    <w:rsid w:val="00A37D86"/>
    <w:rsid w:val="00A42DF9"/>
    <w:rsid w:val="00A47CD3"/>
    <w:rsid w:val="00A50399"/>
    <w:rsid w:val="00A555BB"/>
    <w:rsid w:val="00A5664D"/>
    <w:rsid w:val="00A67748"/>
    <w:rsid w:val="00A7154E"/>
    <w:rsid w:val="00A76C62"/>
    <w:rsid w:val="00A7785B"/>
    <w:rsid w:val="00A82289"/>
    <w:rsid w:val="00A8700D"/>
    <w:rsid w:val="00A90485"/>
    <w:rsid w:val="00A9634D"/>
    <w:rsid w:val="00AA7A60"/>
    <w:rsid w:val="00AC165A"/>
    <w:rsid w:val="00AD2AAE"/>
    <w:rsid w:val="00AE692B"/>
    <w:rsid w:val="00B05B60"/>
    <w:rsid w:val="00B06D64"/>
    <w:rsid w:val="00B236DE"/>
    <w:rsid w:val="00B23E89"/>
    <w:rsid w:val="00B26DE4"/>
    <w:rsid w:val="00B303BE"/>
    <w:rsid w:val="00B4543E"/>
    <w:rsid w:val="00B4690C"/>
    <w:rsid w:val="00B50672"/>
    <w:rsid w:val="00B51AB2"/>
    <w:rsid w:val="00B5765D"/>
    <w:rsid w:val="00B57E98"/>
    <w:rsid w:val="00B73C1D"/>
    <w:rsid w:val="00B74413"/>
    <w:rsid w:val="00B80176"/>
    <w:rsid w:val="00B81FE5"/>
    <w:rsid w:val="00B86887"/>
    <w:rsid w:val="00B90658"/>
    <w:rsid w:val="00BA0F7C"/>
    <w:rsid w:val="00BA1A09"/>
    <w:rsid w:val="00BA6F2F"/>
    <w:rsid w:val="00BB1861"/>
    <w:rsid w:val="00BB1F86"/>
    <w:rsid w:val="00BC5C84"/>
    <w:rsid w:val="00BC7DC9"/>
    <w:rsid w:val="00BD0B7E"/>
    <w:rsid w:val="00BD4995"/>
    <w:rsid w:val="00BE19D3"/>
    <w:rsid w:val="00BE3FF0"/>
    <w:rsid w:val="00BF4E9D"/>
    <w:rsid w:val="00C05372"/>
    <w:rsid w:val="00C128C4"/>
    <w:rsid w:val="00C12E26"/>
    <w:rsid w:val="00C23A53"/>
    <w:rsid w:val="00C262E2"/>
    <w:rsid w:val="00C41502"/>
    <w:rsid w:val="00C42432"/>
    <w:rsid w:val="00C51FDC"/>
    <w:rsid w:val="00C57BD0"/>
    <w:rsid w:val="00C619DF"/>
    <w:rsid w:val="00C619F9"/>
    <w:rsid w:val="00C75871"/>
    <w:rsid w:val="00C847E3"/>
    <w:rsid w:val="00C86077"/>
    <w:rsid w:val="00C94598"/>
    <w:rsid w:val="00C9764B"/>
    <w:rsid w:val="00CA5EE4"/>
    <w:rsid w:val="00CB7538"/>
    <w:rsid w:val="00CD7228"/>
    <w:rsid w:val="00CE04FC"/>
    <w:rsid w:val="00CE2BEF"/>
    <w:rsid w:val="00CF2E90"/>
    <w:rsid w:val="00CF645C"/>
    <w:rsid w:val="00D00FAC"/>
    <w:rsid w:val="00D12B29"/>
    <w:rsid w:val="00D22FDB"/>
    <w:rsid w:val="00D35B78"/>
    <w:rsid w:val="00D414C8"/>
    <w:rsid w:val="00D4240E"/>
    <w:rsid w:val="00D45338"/>
    <w:rsid w:val="00D50FA2"/>
    <w:rsid w:val="00D51B7B"/>
    <w:rsid w:val="00D53725"/>
    <w:rsid w:val="00D55BD9"/>
    <w:rsid w:val="00D707B6"/>
    <w:rsid w:val="00D81310"/>
    <w:rsid w:val="00D83A52"/>
    <w:rsid w:val="00D8595F"/>
    <w:rsid w:val="00D920B6"/>
    <w:rsid w:val="00DA04F6"/>
    <w:rsid w:val="00DA3D14"/>
    <w:rsid w:val="00DC225A"/>
    <w:rsid w:val="00DD3484"/>
    <w:rsid w:val="00DD70F6"/>
    <w:rsid w:val="00DE12E4"/>
    <w:rsid w:val="00DF2480"/>
    <w:rsid w:val="00E124F6"/>
    <w:rsid w:val="00E41CEB"/>
    <w:rsid w:val="00E42711"/>
    <w:rsid w:val="00E45F2D"/>
    <w:rsid w:val="00E46A9B"/>
    <w:rsid w:val="00E74774"/>
    <w:rsid w:val="00E8473A"/>
    <w:rsid w:val="00E927A6"/>
    <w:rsid w:val="00EA31EF"/>
    <w:rsid w:val="00EA6096"/>
    <w:rsid w:val="00EB266F"/>
    <w:rsid w:val="00EC7C6C"/>
    <w:rsid w:val="00ED3B7C"/>
    <w:rsid w:val="00EE079E"/>
    <w:rsid w:val="00EF1FAE"/>
    <w:rsid w:val="00EF5D44"/>
    <w:rsid w:val="00F00231"/>
    <w:rsid w:val="00F1077C"/>
    <w:rsid w:val="00F1130D"/>
    <w:rsid w:val="00F21642"/>
    <w:rsid w:val="00F2707F"/>
    <w:rsid w:val="00F279D7"/>
    <w:rsid w:val="00F55361"/>
    <w:rsid w:val="00F81117"/>
    <w:rsid w:val="00F8436D"/>
    <w:rsid w:val="00F90366"/>
    <w:rsid w:val="00FA1C7C"/>
    <w:rsid w:val="00FA2BCE"/>
    <w:rsid w:val="00FA3C94"/>
    <w:rsid w:val="00FA40DB"/>
    <w:rsid w:val="00FA41A1"/>
    <w:rsid w:val="00FD41C0"/>
    <w:rsid w:val="00FD4913"/>
    <w:rsid w:val="00FD7FF4"/>
    <w:rsid w:val="00FE42FD"/>
    <w:rsid w:val="00FE6A83"/>
    <w:rsid w:val="00FE7A10"/>
    <w:rsid w:val="00FF3E4C"/>
    <w:rsid w:val="00FF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19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600" w:lineRule="exact"/>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7FB0"/>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rsid w:val="003B68E0"/>
    <w:pPr>
      <w:framePr w:w="7920" w:h="1980" w:hRule="exact" w:hSpace="180" w:wrap="auto" w:hAnchor="page" w:xAlign="center" w:yAlign="bottom"/>
      <w:ind w:left="2880"/>
    </w:pPr>
    <w:rPr>
      <w:sz w:val="26"/>
      <w:szCs w:val="26"/>
    </w:rPr>
  </w:style>
  <w:style w:type="paragraph" w:styleId="FootnoteText">
    <w:name w:val="footnote text"/>
    <w:basedOn w:val="Normal"/>
    <w:link w:val="FootnoteTextChar"/>
    <w:rsid w:val="002C6E61"/>
    <w:pPr>
      <w:spacing w:line="240" w:lineRule="auto"/>
    </w:pPr>
  </w:style>
  <w:style w:type="character" w:customStyle="1" w:styleId="FootnoteTextChar">
    <w:name w:val="Footnote Text Char"/>
    <w:basedOn w:val="DefaultParagraphFont"/>
    <w:link w:val="FootnoteText"/>
    <w:rsid w:val="002C6E61"/>
    <w:rPr>
      <w:sz w:val="26"/>
    </w:rPr>
  </w:style>
  <w:style w:type="character" w:styleId="FootnoteReference">
    <w:name w:val="footnote reference"/>
    <w:basedOn w:val="DefaultParagraphFont"/>
    <w:rsid w:val="002960DB"/>
    <w:rPr>
      <w:rFonts w:ascii="Times New Roman" w:hAnsi="Times New Roman"/>
      <w:b/>
      <w:kern w:val="0"/>
      <w:position w:val="8"/>
      <w:sz w:val="20"/>
      <w:vertAlign w:val="baseline"/>
    </w:rPr>
  </w:style>
  <w:style w:type="paragraph" w:styleId="Header">
    <w:name w:val="header"/>
    <w:basedOn w:val="Normal"/>
    <w:link w:val="HeaderChar"/>
    <w:unhideWhenUsed/>
    <w:rsid w:val="005D4945"/>
    <w:pPr>
      <w:tabs>
        <w:tab w:val="center" w:pos="4680"/>
        <w:tab w:val="right" w:pos="9360"/>
      </w:tabs>
      <w:spacing w:line="240" w:lineRule="auto"/>
    </w:pPr>
  </w:style>
  <w:style w:type="character" w:customStyle="1" w:styleId="HeaderChar">
    <w:name w:val="Header Char"/>
    <w:basedOn w:val="DefaultParagraphFont"/>
    <w:link w:val="Header"/>
    <w:rsid w:val="005D4945"/>
    <w:rPr>
      <w:sz w:val="26"/>
    </w:rPr>
  </w:style>
  <w:style w:type="paragraph" w:styleId="Footer">
    <w:name w:val="footer"/>
    <w:basedOn w:val="Normal"/>
    <w:link w:val="FooterChar"/>
    <w:unhideWhenUsed/>
    <w:rsid w:val="005D4945"/>
    <w:pPr>
      <w:tabs>
        <w:tab w:val="center" w:pos="4680"/>
        <w:tab w:val="right" w:pos="9360"/>
      </w:tabs>
      <w:spacing w:line="240" w:lineRule="auto"/>
    </w:pPr>
  </w:style>
  <w:style w:type="character" w:customStyle="1" w:styleId="FooterChar">
    <w:name w:val="Footer Char"/>
    <w:basedOn w:val="DefaultParagraphFont"/>
    <w:link w:val="Footer"/>
    <w:rsid w:val="005D4945"/>
    <w:rPr>
      <w:sz w:val="26"/>
    </w:rPr>
  </w:style>
  <w:style w:type="character" w:styleId="PageNumber">
    <w:name w:val="page number"/>
    <w:basedOn w:val="DefaultParagraphFont"/>
    <w:semiHidden/>
    <w:unhideWhenUsed/>
    <w:rsid w:val="005D4945"/>
  </w:style>
  <w:style w:type="table" w:styleId="TableGrid">
    <w:name w:val="Table Grid"/>
    <w:basedOn w:val="TableNormal"/>
    <w:rsid w:val="005D49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093C"/>
    <w:pPr>
      <w:spacing w:line="240" w:lineRule="auto"/>
    </w:pPr>
    <w:rPr>
      <w:sz w:val="26"/>
    </w:rPr>
  </w:style>
  <w:style w:type="paragraph" w:customStyle="1" w:styleId="SigPage1">
    <w:name w:val="Sig.Page.1"/>
    <w:basedOn w:val="Normal"/>
    <w:link w:val="SigPage1Char"/>
    <w:rsid w:val="00710C1C"/>
    <w:pPr>
      <w:tabs>
        <w:tab w:val="left" w:pos="2880"/>
      </w:tabs>
      <w:spacing w:line="240" w:lineRule="auto"/>
    </w:pPr>
    <w:rPr>
      <w:szCs w:val="26"/>
    </w:rPr>
  </w:style>
  <w:style w:type="character" w:customStyle="1" w:styleId="SigPage1Char">
    <w:name w:val="Sig.Page.1 Char"/>
    <w:basedOn w:val="DefaultParagraphFont"/>
    <w:link w:val="SigPage1"/>
    <w:rsid w:val="00710C1C"/>
    <w:rPr>
      <w:sz w:val="26"/>
      <w:szCs w:val="26"/>
    </w:rPr>
  </w:style>
  <w:style w:type="paragraph" w:customStyle="1" w:styleId="SigPage2">
    <w:name w:val="Sig.Page.2"/>
    <w:basedOn w:val="Normal"/>
    <w:link w:val="SigPage2Char"/>
    <w:rsid w:val="00710C1C"/>
    <w:pPr>
      <w:tabs>
        <w:tab w:val="right" w:pos="2880"/>
      </w:tabs>
      <w:spacing w:line="240" w:lineRule="auto"/>
    </w:pPr>
    <w:rPr>
      <w:szCs w:val="26"/>
    </w:rPr>
  </w:style>
  <w:style w:type="character" w:customStyle="1" w:styleId="SigPage2Char">
    <w:name w:val="Sig.Page.2 Char"/>
    <w:basedOn w:val="DefaultParagraphFont"/>
    <w:link w:val="SigPage2"/>
    <w:rsid w:val="00710C1C"/>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0edb573-6690-4eac-94e5-5eba1acbb3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FDDFA3DD6BB4F908AF7FF3D2C7754" ma:contentTypeVersion="12" ma:contentTypeDescription="Create a new document." ma:contentTypeScope="" ma:versionID="70489d4e617357dc5aca4cc3881d0cc8">
  <xsd:schema xmlns:xsd="http://www.w3.org/2001/XMLSchema" xmlns:xs="http://www.w3.org/2001/XMLSchema" xmlns:p="http://schemas.microsoft.com/office/2006/metadata/properties" xmlns:ns3="40edb573-6690-4eac-94e5-5eba1acbb3b9" xmlns:ns4="9a80d663-422e-4d37-8a54-9c1e1eed4887" targetNamespace="http://schemas.microsoft.com/office/2006/metadata/properties" ma:root="true" ma:fieldsID="44b1e8edcfb86ef80c8f80eefbde7dfd" ns3:_="" ns4:_="">
    <xsd:import namespace="40edb573-6690-4eac-94e5-5eba1acbb3b9"/>
    <xsd:import namespace="9a80d663-422e-4d37-8a54-9c1e1eed48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db573-6690-4eac-94e5-5eba1acbb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80d663-422e-4d37-8a54-9c1e1eed4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6543-40BF-4238-ABA1-62F3225074D2}">
  <ds:schemaRefs>
    <ds:schemaRef ds:uri="http://schemas.microsoft.com/office/2006/metadata/properties"/>
    <ds:schemaRef ds:uri="http://schemas.microsoft.com/office/infopath/2007/PartnerControls"/>
    <ds:schemaRef ds:uri="40edb573-6690-4eac-94e5-5eba1acbb3b9"/>
  </ds:schemaRefs>
</ds:datastoreItem>
</file>

<file path=customXml/itemProps2.xml><?xml version="1.0" encoding="utf-8"?>
<ds:datastoreItem xmlns:ds="http://schemas.openxmlformats.org/officeDocument/2006/customXml" ds:itemID="{610CD303-CEB4-4195-B247-238A15F97FCC}">
  <ds:schemaRefs>
    <ds:schemaRef ds:uri="http://schemas.microsoft.com/sharepoint/v3/contenttype/forms"/>
  </ds:schemaRefs>
</ds:datastoreItem>
</file>

<file path=customXml/itemProps3.xml><?xml version="1.0" encoding="utf-8"?>
<ds:datastoreItem xmlns:ds="http://schemas.openxmlformats.org/officeDocument/2006/customXml" ds:itemID="{7EF6C9EE-D677-49C0-9FC8-0052F5161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db573-6690-4eac-94e5-5eba1acbb3b9"/>
    <ds:schemaRef ds:uri="9a80d663-422e-4d37-8a54-9c1e1eed4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56351-0C5D-4002-BAA9-97BB7154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2767</Words>
  <Characters>14834</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2023-07-31T19:43:00Z</dcterms:created>
  <dcterms:modified xsi:type="dcterms:W3CDTF">2023-07-31T19:43:00Z</dcterms:modified>
</cp:coreProperties>
</file>