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7FAB0" w14:textId="7746C28B" w:rsidR="009E1E49" w:rsidRPr="000A5319" w:rsidRDefault="00E502BC" w:rsidP="008E5E7C">
      <w:pPr>
        <w:spacing w:line="240" w:lineRule="auto"/>
        <w:jc w:val="center"/>
        <w:rPr>
          <w:sz w:val="20"/>
        </w:rPr>
      </w:pPr>
      <w:bookmarkStart w:id="0" w:name="PublicationStatus"/>
      <w:r>
        <w:rPr>
          <w:sz w:val="20"/>
        </w:rPr>
        <w:t>Filed 7/27/21</w:t>
      </w:r>
      <w:bookmarkStart w:id="1" w:name="_Hlk87882676"/>
      <w:r w:rsidR="008E5E7C" w:rsidRPr="003C1C96">
        <w:rPr>
          <w:sz w:val="20"/>
        </w:rPr>
        <w:t>; REVIEW GRANTED.  See Cal. Rules of Court, rules 8.1105 and 8.1115 (and corresponding Comment, par. 2, concerning rule 8.1115(e)(3)).</w:t>
      </w:r>
      <w:bookmarkEnd w:id="1"/>
    </w:p>
    <w:p w14:paraId="2797D08C" w14:textId="77777777" w:rsidR="009E1E49" w:rsidRDefault="009E1E49" w:rsidP="002B1E4F">
      <w:pPr>
        <w:spacing w:line="240" w:lineRule="auto"/>
        <w:jc w:val="center"/>
        <w:rPr>
          <w:b/>
          <w:u w:val="single"/>
        </w:rPr>
      </w:pPr>
    </w:p>
    <w:p w14:paraId="5278E911" w14:textId="77777777" w:rsidR="009E1E49" w:rsidRDefault="009E1E49" w:rsidP="002B1E4F">
      <w:pPr>
        <w:spacing w:line="240" w:lineRule="auto"/>
        <w:jc w:val="center"/>
        <w:rPr>
          <w:b/>
          <w:u w:val="single"/>
        </w:rPr>
      </w:pPr>
    </w:p>
    <w:p w14:paraId="15AEDF44" w14:textId="77777777" w:rsidR="009E1E49" w:rsidRDefault="009E1E49" w:rsidP="002B1E4F">
      <w:pPr>
        <w:spacing w:line="240" w:lineRule="auto"/>
        <w:jc w:val="center"/>
        <w:rPr>
          <w:b/>
          <w:u w:val="single"/>
        </w:rPr>
      </w:pPr>
    </w:p>
    <w:p w14:paraId="346F0BC7" w14:textId="03921150" w:rsidR="00483240" w:rsidRDefault="00E502BC" w:rsidP="002B1E4F">
      <w:pPr>
        <w:spacing w:line="240" w:lineRule="auto"/>
        <w:jc w:val="center"/>
        <w:rPr>
          <w:rStyle w:val="FootnoteReference"/>
          <w:b w:val="0"/>
        </w:rPr>
      </w:pPr>
      <w:r>
        <w:rPr>
          <w:b/>
          <w:u w:val="single"/>
        </w:rPr>
        <w:t>CERTIFIED FOR PARTIAL PUBLICATION</w:t>
      </w:r>
      <w:r>
        <w:rPr>
          <w:rStyle w:val="FootnoteReference"/>
          <w:b w:val="0"/>
        </w:rPr>
        <w:footnoteReference w:customMarkFollows="1" w:id="1"/>
        <w:t>*</w:t>
      </w:r>
      <w:bookmarkEnd w:id="0"/>
    </w:p>
    <w:p w14:paraId="27526274" w14:textId="1E97C74C" w:rsidR="002B1E4F" w:rsidRDefault="002B1E4F" w:rsidP="002B1E4F">
      <w:pPr>
        <w:spacing w:line="240" w:lineRule="auto"/>
        <w:jc w:val="center"/>
      </w:pPr>
    </w:p>
    <w:p w14:paraId="3FC56934" w14:textId="29C419C3" w:rsidR="002B1E4F" w:rsidRDefault="00E502BC" w:rsidP="002B1E4F">
      <w:pPr>
        <w:spacing w:before="240" w:line="240" w:lineRule="auto"/>
        <w:jc w:val="center"/>
      </w:pPr>
      <w:r>
        <w:t>IN THE COURT OF APPEAL OF THE STATE OF CALIFORNIA</w:t>
      </w:r>
    </w:p>
    <w:p w14:paraId="631D194A" w14:textId="7A06BF7B" w:rsidR="002B1E4F" w:rsidRDefault="00E502BC" w:rsidP="002B1E4F">
      <w:pPr>
        <w:spacing w:before="240" w:line="240" w:lineRule="auto"/>
        <w:jc w:val="center"/>
      </w:pPr>
      <w:r>
        <w:t>FIFTH APPELLATE DISTRICT</w:t>
      </w:r>
    </w:p>
    <w:p w14:paraId="6FECCB24" w14:textId="6A3A0ED9" w:rsidR="002B1E4F" w:rsidRDefault="002B1E4F" w:rsidP="002B1E4F">
      <w:pPr>
        <w:spacing w:line="240" w:lineRule="auto"/>
        <w:jc w:val="center"/>
      </w:pPr>
    </w:p>
    <w:tbl>
      <w:tblPr>
        <w:tblW w:w="9504" w:type="dxa"/>
        <w:tblLayout w:type="fixed"/>
        <w:tblLook w:val="0000" w:firstRow="0" w:lastRow="0" w:firstColumn="0" w:lastColumn="0" w:noHBand="0" w:noVBand="0"/>
      </w:tblPr>
      <w:tblGrid>
        <w:gridCol w:w="5400"/>
        <w:gridCol w:w="4104"/>
      </w:tblGrid>
      <w:tr w:rsidR="000B42E2" w14:paraId="1E8E7F0F" w14:textId="77777777" w:rsidTr="00483240">
        <w:tc>
          <w:tcPr>
            <w:tcW w:w="5400" w:type="dxa"/>
            <w:tcBorders>
              <w:bottom w:val="single" w:sz="6" w:space="0" w:color="auto"/>
              <w:right w:val="single" w:sz="6" w:space="0" w:color="auto"/>
            </w:tcBorders>
            <w:shd w:val="clear" w:color="auto" w:fill="auto"/>
          </w:tcPr>
          <w:p w14:paraId="23239E19" w14:textId="77777777" w:rsidR="00483240" w:rsidRDefault="00E502BC" w:rsidP="00483240">
            <w:pPr>
              <w:spacing w:line="240" w:lineRule="auto"/>
            </w:pPr>
            <w:r>
              <w:t>THE PEOPLE,</w:t>
            </w:r>
          </w:p>
          <w:p w14:paraId="2874DF87" w14:textId="77777777" w:rsidR="00483240" w:rsidRDefault="00483240" w:rsidP="00483240">
            <w:pPr>
              <w:spacing w:line="240" w:lineRule="auto"/>
            </w:pPr>
          </w:p>
          <w:p w14:paraId="26B00B98" w14:textId="77777777" w:rsidR="00483240" w:rsidRDefault="00E502BC" w:rsidP="00483240">
            <w:pPr>
              <w:spacing w:line="240" w:lineRule="auto"/>
              <w:ind w:left="720"/>
            </w:pPr>
            <w:r>
              <w:t>Plaintiff and Respondent,</w:t>
            </w:r>
          </w:p>
          <w:p w14:paraId="4AB99FFC" w14:textId="77777777" w:rsidR="00483240" w:rsidRDefault="00483240" w:rsidP="00483240">
            <w:pPr>
              <w:spacing w:line="240" w:lineRule="auto"/>
            </w:pPr>
          </w:p>
          <w:p w14:paraId="4E3B5140" w14:textId="77777777" w:rsidR="00483240" w:rsidRDefault="00E502BC" w:rsidP="00483240">
            <w:pPr>
              <w:spacing w:line="240" w:lineRule="auto"/>
            </w:pPr>
            <w:r>
              <w:tab/>
            </w:r>
            <w:r>
              <w:tab/>
              <w:t>v.</w:t>
            </w:r>
          </w:p>
          <w:p w14:paraId="54A8E1C2" w14:textId="77777777" w:rsidR="00483240" w:rsidRDefault="00483240" w:rsidP="00483240">
            <w:pPr>
              <w:spacing w:line="240" w:lineRule="auto"/>
            </w:pPr>
          </w:p>
          <w:p w14:paraId="6DE9C3B0" w14:textId="243443E8" w:rsidR="00483240" w:rsidRDefault="00E502BC" w:rsidP="00483240">
            <w:pPr>
              <w:spacing w:line="240" w:lineRule="auto"/>
            </w:pPr>
            <w:r>
              <w:t>GUILLERMO VASQUEZ et al.,</w:t>
            </w:r>
          </w:p>
          <w:p w14:paraId="3C052C93" w14:textId="77777777" w:rsidR="00483240" w:rsidRDefault="00483240" w:rsidP="00483240">
            <w:pPr>
              <w:spacing w:line="240" w:lineRule="auto"/>
            </w:pPr>
          </w:p>
          <w:p w14:paraId="2D8BE423" w14:textId="77777777" w:rsidR="00483240" w:rsidRDefault="00E502BC" w:rsidP="00483240">
            <w:pPr>
              <w:spacing w:line="240" w:lineRule="auto"/>
              <w:ind w:left="720"/>
            </w:pPr>
            <w:r>
              <w:t>Defendants and Appellants.</w:t>
            </w:r>
          </w:p>
          <w:p w14:paraId="6ABBD94C" w14:textId="77777777" w:rsidR="00483240" w:rsidRDefault="00483240" w:rsidP="00483240">
            <w:pPr>
              <w:spacing w:line="240" w:lineRule="auto"/>
            </w:pPr>
          </w:p>
        </w:tc>
        <w:tc>
          <w:tcPr>
            <w:tcW w:w="4104" w:type="dxa"/>
            <w:tcBorders>
              <w:left w:val="single" w:sz="6" w:space="0" w:color="auto"/>
            </w:tcBorders>
          </w:tcPr>
          <w:p w14:paraId="438C167F" w14:textId="77777777" w:rsidR="00483240" w:rsidRDefault="00483240" w:rsidP="00483240">
            <w:pPr>
              <w:spacing w:line="240" w:lineRule="auto"/>
              <w:jc w:val="center"/>
            </w:pPr>
          </w:p>
          <w:p w14:paraId="7047D077" w14:textId="77777777" w:rsidR="00483240" w:rsidRDefault="00E502BC" w:rsidP="00483240">
            <w:pPr>
              <w:spacing w:line="240" w:lineRule="auto"/>
              <w:jc w:val="center"/>
            </w:pPr>
            <w:r>
              <w:t>F078228</w:t>
            </w:r>
          </w:p>
          <w:p w14:paraId="0E154644" w14:textId="77777777" w:rsidR="00483240" w:rsidRDefault="00483240" w:rsidP="00483240">
            <w:pPr>
              <w:spacing w:line="240" w:lineRule="auto"/>
              <w:jc w:val="center"/>
            </w:pPr>
          </w:p>
          <w:p w14:paraId="61355ADE" w14:textId="11180A77" w:rsidR="00483240" w:rsidRDefault="00E502BC" w:rsidP="00483240">
            <w:pPr>
              <w:spacing w:line="240" w:lineRule="auto"/>
              <w:jc w:val="center"/>
            </w:pPr>
            <w:r>
              <w:t>(</w:t>
            </w:r>
            <w:r w:rsidR="002B1E4F">
              <w:t xml:space="preserve">Kern </w:t>
            </w:r>
            <w:r>
              <w:t>Super. Ct. No. BF167343A)</w:t>
            </w:r>
          </w:p>
          <w:p w14:paraId="56EBF161" w14:textId="77777777" w:rsidR="00483240" w:rsidRDefault="00483240" w:rsidP="00483240">
            <w:pPr>
              <w:spacing w:line="240" w:lineRule="auto"/>
              <w:jc w:val="center"/>
            </w:pPr>
          </w:p>
          <w:p w14:paraId="3498044F" w14:textId="77777777" w:rsidR="00483240" w:rsidRDefault="00483240" w:rsidP="00483240">
            <w:pPr>
              <w:spacing w:line="240" w:lineRule="auto"/>
              <w:jc w:val="center"/>
            </w:pPr>
          </w:p>
          <w:p w14:paraId="46EA1E05" w14:textId="3A2AFFB1" w:rsidR="00483240" w:rsidRPr="002B1E4F" w:rsidRDefault="00E502BC" w:rsidP="00483240">
            <w:pPr>
              <w:spacing w:line="240" w:lineRule="auto"/>
              <w:jc w:val="center"/>
              <w:rPr>
                <w:sz w:val="30"/>
              </w:rPr>
            </w:pPr>
            <w:r w:rsidRPr="002B1E4F">
              <w:rPr>
                <w:b/>
                <w:sz w:val="30"/>
              </w:rPr>
              <w:t>OPINION</w:t>
            </w:r>
          </w:p>
        </w:tc>
      </w:tr>
    </w:tbl>
    <w:p w14:paraId="44C02119" w14:textId="77777777" w:rsidR="002B1E4F" w:rsidRDefault="002B1E4F" w:rsidP="00483240"/>
    <w:p w14:paraId="1C1A80A8" w14:textId="36E6866F" w:rsidR="00483240" w:rsidRDefault="00E502BC" w:rsidP="00483240">
      <w:r>
        <w:tab/>
        <w:t>APPEAL from a judgment of the Superior Court of Kern County.  Kenn</w:t>
      </w:r>
      <w:r w:rsidR="00792D50">
        <w:t>e</w:t>
      </w:r>
      <w:r>
        <w:t>th C. Twisselman II, Judge.</w:t>
      </w:r>
    </w:p>
    <w:p w14:paraId="3FC67842" w14:textId="633129C6" w:rsidR="00483240" w:rsidRDefault="00E502BC" w:rsidP="00483240">
      <w:r>
        <w:tab/>
        <w:t>Jeffrey S. Kross, under appointment by the Court of Appeal, for Guillermo Vasquez, Defendant and Appellant.</w:t>
      </w:r>
    </w:p>
    <w:p w14:paraId="701C7495" w14:textId="5BB58D5F" w:rsidR="00483240" w:rsidRDefault="00E502BC" w:rsidP="00483240">
      <w:r>
        <w:tab/>
        <w:t>Benjamin Owe</w:t>
      </w:r>
      <w:r>
        <w:t>ns, under appointment by the Court of Appeal, for Nicky Diaz Carrillo, Defendant and Appellant.</w:t>
      </w:r>
    </w:p>
    <w:p w14:paraId="3C0063E7" w14:textId="24D55A1C" w:rsidR="00483240" w:rsidRDefault="00E502BC" w:rsidP="00483240">
      <w:r>
        <w:tab/>
        <w:t xml:space="preserve">Xavier Becerra, Attorney General, Michael P. Farrell, Assistant Attorney General, Julie A. Hokans and Jessica C. Leal, Deputy Attorneys General, for Plaintiff </w:t>
      </w:r>
      <w:r>
        <w:t>and Respondent.</w:t>
      </w:r>
    </w:p>
    <w:p w14:paraId="76056C48" w14:textId="22F5598C" w:rsidR="00483240" w:rsidRDefault="00E502BC" w:rsidP="00483240">
      <w:pPr>
        <w:jc w:val="center"/>
      </w:pPr>
      <w:r>
        <w:t>-ooOoo-</w:t>
      </w:r>
    </w:p>
    <w:p w14:paraId="38EFA701" w14:textId="2644DE9E" w:rsidR="00483240" w:rsidRDefault="00E502BC" w:rsidP="00483240">
      <w:r>
        <w:br w:type="page"/>
      </w:r>
      <w:r>
        <w:lastRenderedPageBreak/>
        <w:tab/>
        <w:t>In an information filed January 16, 2018, the Kern County District Attorney charged defendants Guillermo Vasquez and Nicky Diaz Carrillo with first degree murder (count 1; Pen. Code, §§ 187, subd. (a), 189, subd. (a))</w:t>
      </w:r>
      <w:r>
        <w:rPr>
          <w:rStyle w:val="FootnoteReference"/>
        </w:rPr>
        <w:footnoteReference w:id="2"/>
      </w:r>
      <w:r>
        <w:t xml:space="preserve"> and assaul</w:t>
      </w:r>
      <w:r>
        <w:t>t with a firearm (count 2; § 245, subd. (a)(2).)</w:t>
      </w:r>
      <w:r>
        <w:rPr>
          <w:rStyle w:val="FootnoteReference"/>
        </w:rPr>
        <w:footnoteReference w:id="3"/>
      </w:r>
      <w:r>
        <w:t xml:space="preserve">  As to both defendants, the information also alleged that a principal discharged a firearm during the commission of the murder, proximately causing death to a nonaccomplice (§ 12022.53, subds. (d) &amp; (e)(1)</w:t>
      </w:r>
      <w:r>
        <w:t>.)  The information further alleged both defendants were active gang participants who carried out the murder to further the activities of the criminal street gang.  (§ 190.2, subd. (a)(22).)  The information also alleged that both defendants committed both</w:t>
      </w:r>
      <w:r>
        <w:t xml:space="preserve"> offenses “for the benefit of, at the direction of, or in association with Sure</w:t>
      </w:r>
      <w:r w:rsidR="00572295">
        <w:t>[ñ]</w:t>
      </w:r>
      <w:r>
        <w:t>os</w:t>
      </w:r>
      <w:r>
        <w:rPr>
          <w:sz w:val="28"/>
          <w:szCs w:val="22"/>
        </w:rPr>
        <w:t>, a criminal street gang, with the specific intent to promote, further or assist in criminal conduct by gang members.”  (</w:t>
      </w:r>
      <w:r>
        <w:t xml:space="preserve">§ 186.22, subd. (b)(1).)  Finally, the </w:t>
      </w:r>
      <w:r>
        <w:t>information alleged three enhancements under section 667.5, subdivision (b) against Vasquez, asserting he had committed a felony offense within five years of being released from a prison term.  (§ 667.5, subd. (b).)</w:t>
      </w:r>
    </w:p>
    <w:p w14:paraId="5CE694B9" w14:textId="53BAB2D9" w:rsidR="00483240" w:rsidRDefault="00E502BC" w:rsidP="00483240">
      <w:r>
        <w:tab/>
        <w:t>Trial was trifurcated into the followin</w:t>
      </w:r>
      <w:r>
        <w:t>g proceedings:  trial of the murder charge and personal firearm use enhancement (§ 12022.53, subd. (d)); trial of the gang enhancements under sections 186.22</w:t>
      </w:r>
      <w:r>
        <w:rPr>
          <w:rStyle w:val="FootnoteReference"/>
        </w:rPr>
        <w:footnoteReference w:id="4"/>
      </w:r>
      <w:r>
        <w:t xml:space="preserve"> and the use of a firearm by a principal enhancement (§ 12022.53, subds. (d) &amp; (e)); and trial of Vasquez’s three prison priors. </w:t>
      </w:r>
      <w:r w:rsidR="00572295">
        <w:t xml:space="preserve"> </w:t>
      </w:r>
      <w:r>
        <w:t>In the first proceeding, a jury convicted defendants of first degree murder, and found the personal firearm use enhancement to</w:t>
      </w:r>
      <w:r>
        <w:t xml:space="preserve"> be true as to both defendants.</w:t>
      </w:r>
      <w:r>
        <w:rPr>
          <w:rStyle w:val="FootnoteReference"/>
        </w:rPr>
        <w:footnoteReference w:id="5"/>
      </w:r>
      <w:r>
        <w:t xml:space="preserve">  In the second </w:t>
      </w:r>
      <w:r>
        <w:lastRenderedPageBreak/>
        <w:t>proceeding, the jury found true the gang enhancement (§</w:t>
      </w:r>
      <w:r w:rsidR="000741CB">
        <w:t> </w:t>
      </w:r>
      <w:r>
        <w:t>186.22, subd.</w:t>
      </w:r>
      <w:r w:rsidR="000741CB">
        <w:t> </w:t>
      </w:r>
      <w:r>
        <w:t>(b)(1)) and the discharge of a firearm by a principal causing death enhancement (§</w:t>
      </w:r>
      <w:r w:rsidR="000741CB">
        <w:t> </w:t>
      </w:r>
      <w:r>
        <w:t>12022.53, subd</w:t>
      </w:r>
      <w:r w:rsidR="000741CB">
        <w:t>s</w:t>
      </w:r>
      <w:r>
        <w:t>.</w:t>
      </w:r>
      <w:r w:rsidR="000741CB">
        <w:t> </w:t>
      </w:r>
      <w:r>
        <w:t xml:space="preserve">(d) &amp; (e)(1)) as to both defendants. </w:t>
      </w:r>
      <w:r>
        <w:t xml:space="preserve"> Finally, in the third proceeding, the court found true the prior prison term allegations against Vasquez.</w:t>
      </w:r>
    </w:p>
    <w:p w14:paraId="14E4625D" w14:textId="21CAA1C7" w:rsidR="00483240" w:rsidRDefault="00E502BC" w:rsidP="00483240">
      <w:pPr>
        <w:ind w:firstLine="720"/>
      </w:pPr>
      <w:r>
        <w:t>The court sentenced Vasquez to 25</w:t>
      </w:r>
      <w:r w:rsidR="000741CB">
        <w:t xml:space="preserve"> </w:t>
      </w:r>
      <w:r>
        <w:t>years</w:t>
      </w:r>
      <w:r w:rsidR="000741CB">
        <w:t xml:space="preserve"> </w:t>
      </w:r>
      <w:r>
        <w:t>to</w:t>
      </w:r>
      <w:r w:rsidR="000741CB">
        <w:t xml:space="preserve"> </w:t>
      </w:r>
      <w:r>
        <w:t>life in prison, plus 25</w:t>
      </w:r>
      <w:r w:rsidR="000741CB">
        <w:t xml:space="preserve"> </w:t>
      </w:r>
      <w:r>
        <w:t>years</w:t>
      </w:r>
      <w:r w:rsidR="000741CB">
        <w:t xml:space="preserve"> </w:t>
      </w:r>
      <w:r>
        <w:t>to</w:t>
      </w:r>
      <w:r w:rsidR="000741CB">
        <w:t xml:space="preserve"> </w:t>
      </w:r>
      <w:r>
        <w:t>life (§</w:t>
      </w:r>
      <w:r w:rsidR="000741CB">
        <w:t> </w:t>
      </w:r>
      <w:r>
        <w:t>12022.53, subds.</w:t>
      </w:r>
      <w:r w:rsidR="000741CB">
        <w:t> </w:t>
      </w:r>
      <w:r>
        <w:t>(d) &amp; (e)(1)), plus three years (§</w:t>
      </w:r>
      <w:r w:rsidR="000741CB">
        <w:t> </w:t>
      </w:r>
      <w:r>
        <w:t>667.5, subd.</w:t>
      </w:r>
      <w:r w:rsidR="000741CB">
        <w:t> </w:t>
      </w:r>
      <w:r>
        <w:t>(b).)  The court sentenced Carrillo to 25</w:t>
      </w:r>
      <w:r w:rsidR="000741CB">
        <w:t xml:space="preserve"> </w:t>
      </w:r>
      <w:r>
        <w:t>years</w:t>
      </w:r>
      <w:r w:rsidR="000741CB">
        <w:t xml:space="preserve"> </w:t>
      </w:r>
      <w:r>
        <w:t>to</w:t>
      </w:r>
      <w:r w:rsidR="000741CB">
        <w:t xml:space="preserve"> </w:t>
      </w:r>
      <w:r>
        <w:t>life, plus 25</w:t>
      </w:r>
      <w:r w:rsidR="000741CB">
        <w:t xml:space="preserve"> </w:t>
      </w:r>
      <w:r>
        <w:t>years</w:t>
      </w:r>
      <w:r w:rsidR="000741CB">
        <w:t xml:space="preserve"> </w:t>
      </w:r>
      <w:r>
        <w:t>to</w:t>
      </w:r>
      <w:r w:rsidR="000741CB">
        <w:t xml:space="preserve"> </w:t>
      </w:r>
      <w:r>
        <w:t>life (§</w:t>
      </w:r>
      <w:r w:rsidR="000741CB">
        <w:t> </w:t>
      </w:r>
      <w:r>
        <w:t>12022.53, subds.</w:t>
      </w:r>
      <w:r w:rsidR="000741CB">
        <w:t> </w:t>
      </w:r>
      <w:r>
        <w:t>(d) &amp; (e)(1)).  Both defendants appeal.</w:t>
      </w:r>
    </w:p>
    <w:p w14:paraId="189E4581" w14:textId="77777777" w:rsidR="00483240" w:rsidRPr="0014131C" w:rsidRDefault="00E502BC" w:rsidP="00483240">
      <w:pPr>
        <w:jc w:val="center"/>
        <w:rPr>
          <w:b/>
          <w:bCs/>
        </w:rPr>
      </w:pPr>
      <w:r w:rsidRPr="0014131C">
        <w:rPr>
          <w:b/>
          <w:bCs/>
        </w:rPr>
        <w:t>FACTS</w:t>
      </w:r>
    </w:p>
    <w:p w14:paraId="0ADD36CA" w14:textId="58F3FB7C" w:rsidR="00483240" w:rsidRPr="000741CB" w:rsidRDefault="00E502BC" w:rsidP="000741CB">
      <w:pPr>
        <w:pStyle w:val="ListParagraph"/>
        <w:keepNext/>
        <w:numPr>
          <w:ilvl w:val="0"/>
          <w:numId w:val="4"/>
        </w:numPr>
        <w:ind w:left="720"/>
        <w:rPr>
          <w:b/>
          <w:bCs/>
        </w:rPr>
      </w:pPr>
      <w:r w:rsidRPr="000741CB">
        <w:rPr>
          <w:b/>
          <w:bCs/>
        </w:rPr>
        <w:t>Phase One of Trial</w:t>
      </w:r>
    </w:p>
    <w:p w14:paraId="638B9D73" w14:textId="53FF8ACB" w:rsidR="00483240" w:rsidRDefault="00E502BC" w:rsidP="00483240">
      <w:pPr>
        <w:ind w:firstLine="720"/>
      </w:pPr>
      <w:r>
        <w:t>The Residence Motel in Bakersfield is a known hot spot for criminal activity.  It is bounded</w:t>
      </w:r>
      <w:r>
        <w:t xml:space="preserve"> by Eureka Avenue to the </w:t>
      </w:r>
      <w:r w:rsidR="00FD6326">
        <w:t>n</w:t>
      </w:r>
      <w:r>
        <w:t xml:space="preserve">orth; Truxtun Avenue to the </w:t>
      </w:r>
      <w:r w:rsidR="00F10D02">
        <w:t>s</w:t>
      </w:r>
      <w:r>
        <w:t xml:space="preserve">outh; and Union Avenue to the </w:t>
      </w:r>
      <w:r w:rsidR="00F10D02">
        <w:t>w</w:t>
      </w:r>
      <w:r>
        <w:t>est.</w:t>
      </w:r>
    </w:p>
    <w:p w14:paraId="7E243C36" w14:textId="05C0F78C" w:rsidR="00483240" w:rsidRDefault="00E502BC" w:rsidP="00483240">
      <w:pPr>
        <w:ind w:firstLine="720"/>
      </w:pPr>
      <w:r>
        <w:t>Motel surveillance footage showed Francisco Amavisca wandering around the motel premises through the early evening of February 18, 2017.  The footage also shows defe</w:t>
      </w:r>
      <w:r>
        <w:t>ndant Carrillo going to various locations on the premises of the Residence Motel that day.  At one point, Carrillo knocked on the door of room 245.</w:t>
      </w:r>
    </w:p>
    <w:p w14:paraId="4F26D1FC" w14:textId="2834F12F" w:rsidR="00483240" w:rsidRDefault="00E502BC" w:rsidP="00483240">
      <w:pPr>
        <w:ind w:firstLine="720"/>
      </w:pPr>
      <w:r>
        <w:t xml:space="preserve">The prosecution’s theory was that defendants shot Amavisca on the motel grounds at 7:14 p.m.  About </w:t>
      </w:r>
      <w:r w:rsidR="000741CB">
        <w:t>16</w:t>
      </w:r>
      <w:r>
        <w:t xml:space="preserve"> minut</w:t>
      </w:r>
      <w:r>
        <w:t>es prior to the shooting, defendant Vasquez arrived at the motel.  At 7:14 p.m.</w:t>
      </w:r>
      <w:r w:rsidR="000741CB">
        <w:t>,</w:t>
      </w:r>
      <w:r>
        <w:rPr>
          <w:rStyle w:val="FootnoteReference"/>
        </w:rPr>
        <w:footnoteReference w:id="6"/>
      </w:r>
      <w:r w:rsidR="000741CB">
        <w:t xml:space="preserve"> </w:t>
      </w:r>
      <w:r>
        <w:t xml:space="preserve">surveillance footage shows Vasquez walking out of the main gate.  The jersey he was wearing was pulled up over his head.  Following closely behind was Carrillo, </w:t>
      </w:r>
      <w:r>
        <w:t>wearing a mask.  The two made their way along the exterior of the motel</w:t>
      </w:r>
      <w:r w:rsidR="000741CB">
        <w:t>,</w:t>
      </w:r>
      <w:r>
        <w:t xml:space="preserve"> first heading north (near Union Ave)</w:t>
      </w:r>
      <w:r w:rsidR="000741CB">
        <w:t>,</w:t>
      </w:r>
      <w:r>
        <w:t xml:space="preserve"> then east (near Eureka Street).</w:t>
      </w:r>
    </w:p>
    <w:p w14:paraId="1F529FD1" w14:textId="7896439E" w:rsidR="00483240" w:rsidRDefault="00E502BC" w:rsidP="00483240">
      <w:pPr>
        <w:ind w:firstLine="720"/>
      </w:pPr>
      <w:r>
        <w:lastRenderedPageBreak/>
        <w:t>At 7:14</w:t>
      </w:r>
      <w:r w:rsidR="000741CB">
        <w:t>:</w:t>
      </w:r>
      <w:r>
        <w:t>58, they leave the field of view of a surveillance camera in the direction of a stairwell on the north si</w:t>
      </w:r>
      <w:r>
        <w:t xml:space="preserve">de of the motel. </w:t>
      </w:r>
      <w:r w:rsidR="000741CB">
        <w:t xml:space="preserve"> </w:t>
      </w:r>
      <w:r>
        <w:t>A second or two later, Amavisca came running into view of the camera from defendants’ location.  Amavisca ran down Union Avenue before collapsing.  Amavisca bled to death from a gunshot wound that perforated his femoral artery.  Various b</w:t>
      </w:r>
      <w:r>
        <w:t>ystanders reported hearing four to five gunshots</w:t>
      </w:r>
      <w:r w:rsidR="000741CB">
        <w:t>.</w:t>
      </w:r>
    </w:p>
    <w:p w14:paraId="3FC9E4A6" w14:textId="0DF10E4C" w:rsidR="00483240" w:rsidRDefault="00E502BC" w:rsidP="00483240">
      <w:pPr>
        <w:ind w:firstLine="720"/>
      </w:pPr>
      <w:r>
        <w:t>Defendants went up the stairs and headed towards room 245.  They crouched below a partial wall as they approached the room.  They entered room 245 shortly after 7:15 p.m.</w:t>
      </w:r>
    </w:p>
    <w:p w14:paraId="3F559856" w14:textId="1854ED1B" w:rsidR="00483240" w:rsidRDefault="00E502BC" w:rsidP="00483240">
      <w:pPr>
        <w:ind w:firstLine="720"/>
      </w:pPr>
      <w:r>
        <w:t>Police arrived at the room about 16</w:t>
      </w:r>
      <w:r>
        <w:t xml:space="preserve"> minutes later.  Carrillo was in room 245 along with a woman and a child.  On the bed was a gray sweatshirt and blue jeans, identical to what Carrillo was wearing in the surveillance videos.  Underneath a sofa cushion was a black ski mask. </w:t>
      </w:r>
      <w:r w:rsidRPr="00A37784">
        <w:t xml:space="preserve"> </w:t>
      </w:r>
      <w:r>
        <w:t>DNA from the sw</w:t>
      </w:r>
      <w:r>
        <w:t>eatshirt and mask matched Carrillo.</w:t>
      </w:r>
    </w:p>
    <w:p w14:paraId="51C1E186" w14:textId="43E7FA5E" w:rsidR="00483240" w:rsidRDefault="00E502BC" w:rsidP="00483240">
      <w:pPr>
        <w:ind w:firstLine="720"/>
      </w:pPr>
      <w:r>
        <w:t>Vasquez was not in room 245 when police arrived.  From the time defendants entered room 245 until police arrived, surveillance cameras showed that no one left through the front door of the room.  However, from the back w</w:t>
      </w:r>
      <w:r>
        <w:t>indows of room 245, it is possible to step onto a flat roof nearby.  Police officers exited room 245 via a back window onto the flat roof and found a black grocery bag with six spent rounds of .357</w:t>
      </w:r>
      <w:r w:rsidR="000741CB">
        <w:t>-caliber</w:t>
      </w:r>
      <w:r>
        <w:t xml:space="preserve"> ammunition.</w:t>
      </w:r>
    </w:p>
    <w:p w14:paraId="15F5BA0F" w14:textId="12A2F981" w:rsidR="00483240" w:rsidRDefault="00E502BC" w:rsidP="00483240">
      <w:pPr>
        <w:ind w:firstLine="720"/>
      </w:pPr>
      <w:r>
        <w:t xml:space="preserve">Hours later, officers </w:t>
      </w:r>
      <w:r w:rsidR="00F10D02">
        <w:t>entered</w:t>
      </w:r>
      <w:r>
        <w:t xml:space="preserve"> room 200</w:t>
      </w:r>
      <w:r>
        <w:t>.  The door was ajar</w:t>
      </w:r>
      <w:r w:rsidR="000741CB">
        <w:t>,</w:t>
      </w:r>
      <w:r>
        <w:t xml:space="preserve"> but no</w:t>
      </w:r>
      <w:r w:rsidR="000741CB">
        <w:t xml:space="preserve"> </w:t>
      </w:r>
      <w:r>
        <w:t xml:space="preserve">one was inside.  Inside the room, police found a disconnected security camera that resembled the security cameras on the motel premises.  Inside the room’s </w:t>
      </w:r>
      <w:r w:rsidR="000741CB">
        <w:t>air conditioning</w:t>
      </w:r>
      <w:r>
        <w:t xml:space="preserve"> unit, officers found a .357</w:t>
      </w:r>
      <w:r w:rsidR="000741CB">
        <w:t>-caliber</w:t>
      </w:r>
      <w:r>
        <w:t xml:space="preserve"> revolver.  The fir</w:t>
      </w:r>
      <w:r>
        <w:t xml:space="preserve">earm was capable of being loaded with </w:t>
      </w:r>
      <w:r w:rsidR="000741CB">
        <w:t>seven</w:t>
      </w:r>
      <w:r>
        <w:t xml:space="preserve"> bullets.  There was a single live bullet in the revolver when it was found by police.</w:t>
      </w:r>
    </w:p>
    <w:p w14:paraId="0EEF85E7" w14:textId="0C7E8AE6" w:rsidR="00483240" w:rsidRDefault="00E502BC" w:rsidP="00483240">
      <w:pPr>
        <w:ind w:firstLine="720"/>
      </w:pPr>
      <w:r>
        <w:lastRenderedPageBreak/>
        <w:t xml:space="preserve">Officers also found a Pittsburgh Steelers jersey on the bed, and a drawstring backpack on the floor.  The drawstring backpack </w:t>
      </w:r>
      <w:r>
        <w:t>had .357-caliber ammunition inside and a mask.  They also found a Visa</w:t>
      </w:r>
      <w:r w:rsidR="00F10D02">
        <w:t xml:space="preserve"> </w:t>
      </w:r>
      <w:r>
        <w:t>card with the name Yvette Garcia.</w:t>
      </w:r>
      <w:r>
        <w:rPr>
          <w:rStyle w:val="FootnoteReference"/>
        </w:rPr>
        <w:footnoteReference w:id="7"/>
      </w:r>
    </w:p>
    <w:p w14:paraId="15F0A817" w14:textId="7EA8FE04" w:rsidR="00483240" w:rsidRDefault="00E502BC" w:rsidP="00483240">
      <w:pPr>
        <w:ind w:firstLine="720"/>
      </w:pPr>
      <w:r>
        <w:t>Vasquez’s DNA matched DNA on the revolver, the jersey, and the mask found in the drawstring backpack.</w:t>
      </w:r>
    </w:p>
    <w:p w14:paraId="4C6D4489" w14:textId="2AE38483" w:rsidR="00483240" w:rsidRPr="00F1083F" w:rsidRDefault="00E502BC" w:rsidP="00483240">
      <w:pPr>
        <w:ind w:firstLine="720"/>
        <w:rPr>
          <w:szCs w:val="26"/>
        </w:rPr>
      </w:pPr>
      <w:r w:rsidRPr="00F1083F">
        <w:rPr>
          <w:szCs w:val="26"/>
        </w:rPr>
        <w:t>Police located Vasquez the next day at a reside</w:t>
      </w:r>
      <w:r w:rsidRPr="00F1083F">
        <w:rPr>
          <w:szCs w:val="26"/>
        </w:rPr>
        <w:t>nce on East 3rd Street in Bakersfield.  Yvette Garcia was also at the residence.  Inside a bedroom, officers located the key to room 200 of the Residence Motel.  Officers also located a bag of .357</w:t>
      </w:r>
      <w:r w:rsidR="000741CB" w:rsidRPr="00F1083F">
        <w:rPr>
          <w:szCs w:val="26"/>
        </w:rPr>
        <w:t>-caliber</w:t>
      </w:r>
      <w:r w:rsidRPr="00F1083F">
        <w:rPr>
          <w:szCs w:val="26"/>
        </w:rPr>
        <w:t xml:space="preserve"> ammunition at the home.</w:t>
      </w:r>
    </w:p>
    <w:p w14:paraId="16EB0EDE" w14:textId="229B1A62" w:rsidR="00483240" w:rsidRPr="00F1083F" w:rsidRDefault="00E502BC" w:rsidP="00483240">
      <w:pPr>
        <w:ind w:firstLine="720"/>
        <w:rPr>
          <w:szCs w:val="26"/>
        </w:rPr>
      </w:pPr>
      <w:r w:rsidRPr="00F1083F">
        <w:rPr>
          <w:szCs w:val="26"/>
        </w:rPr>
        <w:t>Officers interrogated Carr</w:t>
      </w:r>
      <w:r w:rsidRPr="00F1083F">
        <w:rPr>
          <w:szCs w:val="26"/>
        </w:rPr>
        <w:t xml:space="preserve">illo </w:t>
      </w:r>
      <w:r w:rsidR="00225BBB" w:rsidRPr="00F1083F">
        <w:rPr>
          <w:szCs w:val="26"/>
        </w:rPr>
        <w:t>o</w:t>
      </w:r>
      <w:r w:rsidRPr="00F1083F">
        <w:rPr>
          <w:szCs w:val="26"/>
        </w:rPr>
        <w:t xml:space="preserve">n the evening of February 18.  Carrillo identified himself in still shots from the surveillance video of the Residence Motel.  Carrillo said he had been watching the baby in the motel room when he heard gun shots.  Carrillo claimed he had nothing to </w:t>
      </w:r>
      <w:r w:rsidRPr="00F1083F">
        <w:rPr>
          <w:szCs w:val="26"/>
        </w:rPr>
        <w:t>do with the shooting.</w:t>
      </w:r>
    </w:p>
    <w:p w14:paraId="52A61EFB" w14:textId="0755094D" w:rsidR="00483240" w:rsidRPr="00F1083F" w:rsidRDefault="00E502BC" w:rsidP="00483240">
      <w:pPr>
        <w:ind w:firstLine="720"/>
        <w:rPr>
          <w:szCs w:val="26"/>
        </w:rPr>
      </w:pPr>
      <w:r w:rsidRPr="00F1083F">
        <w:rPr>
          <w:szCs w:val="26"/>
        </w:rPr>
        <w:t>After hearing this evidence, the jury returned guilty verdict</w:t>
      </w:r>
      <w:r w:rsidR="00140CD0" w:rsidRPr="00F1083F">
        <w:rPr>
          <w:szCs w:val="26"/>
        </w:rPr>
        <w:t>s</w:t>
      </w:r>
      <w:r w:rsidRPr="00F1083F">
        <w:rPr>
          <w:szCs w:val="26"/>
        </w:rPr>
        <w:t xml:space="preserve"> on count 1, and true findings as to premeditation/deliberation (</w:t>
      </w:r>
      <w:r w:rsidR="000741CB" w:rsidRPr="00F1083F">
        <w:rPr>
          <w:szCs w:val="26"/>
        </w:rPr>
        <w:t>§ </w:t>
      </w:r>
      <w:r w:rsidRPr="00F1083F">
        <w:rPr>
          <w:szCs w:val="26"/>
        </w:rPr>
        <w:t>189), and the personal firearm use resulting in great bodily injury or death enhancement (</w:t>
      </w:r>
      <w:r w:rsidR="000741CB" w:rsidRPr="00F1083F">
        <w:rPr>
          <w:szCs w:val="26"/>
        </w:rPr>
        <w:t>§ </w:t>
      </w:r>
      <w:r w:rsidRPr="00F1083F">
        <w:rPr>
          <w:szCs w:val="26"/>
        </w:rPr>
        <w:t>12022.53, sub</w:t>
      </w:r>
      <w:r w:rsidRPr="00F1083F">
        <w:rPr>
          <w:szCs w:val="26"/>
        </w:rPr>
        <w:t>d.</w:t>
      </w:r>
      <w:r w:rsidR="000741CB" w:rsidRPr="00F1083F">
        <w:rPr>
          <w:szCs w:val="26"/>
        </w:rPr>
        <w:t> </w:t>
      </w:r>
      <w:r w:rsidRPr="00F1083F">
        <w:rPr>
          <w:szCs w:val="26"/>
        </w:rPr>
        <w:t>(d))</w:t>
      </w:r>
      <w:r w:rsidR="00140CD0" w:rsidRPr="00F1083F">
        <w:rPr>
          <w:szCs w:val="26"/>
        </w:rPr>
        <w:t xml:space="preserve"> as to both defendants.</w:t>
      </w:r>
    </w:p>
    <w:p w14:paraId="49FF7633" w14:textId="77777777" w:rsidR="00483240" w:rsidRPr="00F1083F" w:rsidRDefault="00E502BC" w:rsidP="000741CB">
      <w:pPr>
        <w:pStyle w:val="ListParagraph"/>
        <w:keepNext/>
        <w:numPr>
          <w:ilvl w:val="0"/>
          <w:numId w:val="4"/>
        </w:numPr>
        <w:ind w:left="720"/>
        <w:rPr>
          <w:b/>
          <w:bCs/>
          <w:szCs w:val="26"/>
        </w:rPr>
      </w:pPr>
      <w:r w:rsidRPr="00F1083F">
        <w:rPr>
          <w:b/>
          <w:bCs/>
          <w:szCs w:val="26"/>
        </w:rPr>
        <w:t>Phase Two of Trial</w:t>
      </w:r>
    </w:p>
    <w:p w14:paraId="68665565" w14:textId="0BFDC3A3" w:rsidR="00483240" w:rsidRPr="00F1083F" w:rsidRDefault="00E502BC" w:rsidP="00483240">
      <w:pPr>
        <w:ind w:firstLine="720"/>
        <w:rPr>
          <w:szCs w:val="26"/>
        </w:rPr>
      </w:pPr>
      <w:r w:rsidRPr="00F1083F">
        <w:rPr>
          <w:szCs w:val="26"/>
        </w:rPr>
        <w:t>After the verdicts from the first phase were recorded, the second phase of the trial began.  This phase pertained to the gang enhancement (</w:t>
      </w:r>
      <w:r w:rsidR="000741CB" w:rsidRPr="00F1083F">
        <w:rPr>
          <w:szCs w:val="26"/>
        </w:rPr>
        <w:t>§ </w:t>
      </w:r>
      <w:r w:rsidRPr="00F1083F">
        <w:rPr>
          <w:szCs w:val="26"/>
        </w:rPr>
        <w:t>186.22, subd.</w:t>
      </w:r>
      <w:r w:rsidR="000741CB" w:rsidRPr="00F1083F">
        <w:rPr>
          <w:szCs w:val="26"/>
        </w:rPr>
        <w:t> </w:t>
      </w:r>
      <w:r w:rsidRPr="00F1083F">
        <w:rPr>
          <w:szCs w:val="26"/>
        </w:rPr>
        <w:t xml:space="preserve">(b)(1)) and the use of a firearm by a </w:t>
      </w:r>
      <w:r w:rsidRPr="00F1083F">
        <w:rPr>
          <w:szCs w:val="26"/>
        </w:rPr>
        <w:t>principal enhancement (</w:t>
      </w:r>
      <w:r w:rsidR="000741CB" w:rsidRPr="00F1083F">
        <w:rPr>
          <w:szCs w:val="26"/>
        </w:rPr>
        <w:t>§ </w:t>
      </w:r>
      <w:r w:rsidRPr="00F1083F">
        <w:rPr>
          <w:szCs w:val="26"/>
        </w:rPr>
        <w:t>12022.53, subds.</w:t>
      </w:r>
      <w:r w:rsidR="000741CB" w:rsidRPr="00F1083F">
        <w:rPr>
          <w:szCs w:val="26"/>
        </w:rPr>
        <w:t> </w:t>
      </w:r>
      <w:r w:rsidRPr="00F1083F">
        <w:rPr>
          <w:szCs w:val="26"/>
        </w:rPr>
        <w:t>(d) &amp; (e)(1).)</w:t>
      </w:r>
    </w:p>
    <w:p w14:paraId="38E6FFD9" w14:textId="2E33AEEB" w:rsidR="00483240" w:rsidRPr="00F1083F" w:rsidRDefault="00E502BC" w:rsidP="000741CB">
      <w:pPr>
        <w:pStyle w:val="ListParagraph"/>
        <w:keepNext/>
        <w:numPr>
          <w:ilvl w:val="0"/>
          <w:numId w:val="5"/>
        </w:numPr>
        <w:ind w:left="1440" w:hanging="720"/>
        <w:rPr>
          <w:b/>
          <w:bCs/>
          <w:i/>
          <w:iCs/>
          <w:szCs w:val="26"/>
        </w:rPr>
      </w:pPr>
      <w:r w:rsidRPr="00F1083F">
        <w:rPr>
          <w:b/>
          <w:bCs/>
          <w:i/>
          <w:iCs/>
          <w:szCs w:val="26"/>
        </w:rPr>
        <w:t>Prosecution Gang Expert</w:t>
      </w:r>
      <w:r w:rsidR="000741CB" w:rsidRPr="00F1083F">
        <w:rPr>
          <w:b/>
          <w:bCs/>
          <w:i/>
          <w:iCs/>
          <w:szCs w:val="26"/>
        </w:rPr>
        <w:t xml:space="preserve"> – </w:t>
      </w:r>
      <w:r w:rsidRPr="00F1083F">
        <w:rPr>
          <w:b/>
          <w:bCs/>
          <w:i/>
          <w:iCs/>
          <w:szCs w:val="26"/>
        </w:rPr>
        <w:t>Officer Barajas</w:t>
      </w:r>
    </w:p>
    <w:p w14:paraId="10F200DA" w14:textId="3988B4BA" w:rsidR="00483240" w:rsidRPr="00F1083F" w:rsidRDefault="00E502BC" w:rsidP="00483240">
      <w:pPr>
        <w:ind w:firstLine="720"/>
        <w:rPr>
          <w:szCs w:val="26"/>
        </w:rPr>
      </w:pPr>
      <w:r w:rsidRPr="00F1083F">
        <w:rPr>
          <w:szCs w:val="26"/>
        </w:rPr>
        <w:t xml:space="preserve">Officer Barajas testified as the prosecution’s gang expert. </w:t>
      </w:r>
      <w:r w:rsidR="000741CB" w:rsidRPr="00F1083F">
        <w:rPr>
          <w:szCs w:val="26"/>
        </w:rPr>
        <w:t xml:space="preserve"> </w:t>
      </w:r>
      <w:r w:rsidRPr="00F1083F">
        <w:rPr>
          <w:szCs w:val="26"/>
        </w:rPr>
        <w:t xml:space="preserve">Barajas testified about several topics, including gang structure and hierarchy. </w:t>
      </w:r>
      <w:r w:rsidR="000741CB" w:rsidRPr="00F1083F">
        <w:rPr>
          <w:szCs w:val="26"/>
        </w:rPr>
        <w:t xml:space="preserve"> </w:t>
      </w:r>
      <w:r w:rsidRPr="00F1083F">
        <w:rPr>
          <w:szCs w:val="26"/>
        </w:rPr>
        <w:t>Barajas explained that the Mexican Mafia was originally a prison gang.  The Mexican Mafia “spills out into the streets</w:t>
      </w:r>
      <w:r w:rsidR="000741CB" w:rsidRPr="00F1083F">
        <w:rPr>
          <w:szCs w:val="26"/>
        </w:rPr>
        <w:t xml:space="preserve"> … </w:t>
      </w:r>
      <w:r w:rsidRPr="00F1083F">
        <w:rPr>
          <w:szCs w:val="26"/>
        </w:rPr>
        <w:t>through the Sure</w:t>
      </w:r>
      <w:r w:rsidR="00F5777D" w:rsidRPr="00F1083F">
        <w:rPr>
          <w:szCs w:val="26"/>
        </w:rPr>
        <w:t>[ñ]</w:t>
      </w:r>
      <w:r w:rsidRPr="00F1083F">
        <w:rPr>
          <w:szCs w:val="26"/>
        </w:rPr>
        <w:t>os.”  The Mexican Mafia has created</w:t>
      </w:r>
      <w:r w:rsidRPr="00F1083F">
        <w:rPr>
          <w:szCs w:val="26"/>
        </w:rPr>
        <w:t xml:space="preserve"> a gang structure, using </w:t>
      </w:r>
      <w:r w:rsidRPr="00F1083F">
        <w:rPr>
          <w:szCs w:val="26"/>
        </w:rPr>
        <w:lastRenderedPageBreak/>
        <w:t>Sure</w:t>
      </w:r>
      <w:r w:rsidR="00F5777D" w:rsidRPr="00F1083F">
        <w:rPr>
          <w:szCs w:val="26"/>
        </w:rPr>
        <w:t>ñ</w:t>
      </w:r>
      <w:r w:rsidRPr="00F1083F">
        <w:rPr>
          <w:szCs w:val="26"/>
        </w:rPr>
        <w:t>os as their “foot soldiers.”  At the top is a group of Mexican Mafia members referred to as the “Mesa” or “the table.”  They have monthly meetings, usually on the 13th of every month.  This group then puts out “orders” that go</w:t>
      </w:r>
      <w:r w:rsidRPr="00F1083F">
        <w:rPr>
          <w:szCs w:val="26"/>
        </w:rPr>
        <w:t xml:space="preserve"> down to the Sure</w:t>
      </w:r>
      <w:r w:rsidR="00F5777D" w:rsidRPr="00F1083F">
        <w:rPr>
          <w:szCs w:val="26"/>
        </w:rPr>
        <w:t>ñ</w:t>
      </w:r>
      <w:r w:rsidRPr="00F1083F">
        <w:rPr>
          <w:szCs w:val="26"/>
        </w:rPr>
        <w:t>os.  The local, Kern County Sure</w:t>
      </w:r>
      <w:r w:rsidR="00F5777D" w:rsidRPr="00F1083F">
        <w:rPr>
          <w:szCs w:val="26"/>
        </w:rPr>
        <w:t>ñ</w:t>
      </w:r>
      <w:r w:rsidRPr="00F1083F">
        <w:rPr>
          <w:szCs w:val="26"/>
        </w:rPr>
        <w:t>o gangs also have monthly meetings.</w:t>
      </w:r>
    </w:p>
    <w:p w14:paraId="2F175695" w14:textId="44F6188D" w:rsidR="00483240" w:rsidRPr="00F1083F" w:rsidRDefault="00E502BC" w:rsidP="00483240">
      <w:pPr>
        <w:ind w:firstLine="720"/>
        <w:rPr>
          <w:szCs w:val="26"/>
        </w:rPr>
      </w:pPr>
      <w:r w:rsidRPr="00F1083F">
        <w:rPr>
          <w:szCs w:val="26"/>
        </w:rPr>
        <w:t>The Mexican Mafia also “taxes” the Sure</w:t>
      </w:r>
      <w:r w:rsidR="00F5777D" w:rsidRPr="00F1083F">
        <w:rPr>
          <w:szCs w:val="26"/>
        </w:rPr>
        <w:t>ñ</w:t>
      </w:r>
      <w:r w:rsidRPr="00F1083F">
        <w:rPr>
          <w:szCs w:val="26"/>
        </w:rPr>
        <w:t>os.  For example, if a member of a Sure</w:t>
      </w:r>
      <w:r w:rsidR="00F5777D" w:rsidRPr="00F1083F">
        <w:rPr>
          <w:szCs w:val="26"/>
        </w:rPr>
        <w:t>ñ</w:t>
      </w:r>
      <w:r w:rsidRPr="00F1083F">
        <w:rPr>
          <w:szCs w:val="26"/>
        </w:rPr>
        <w:t>o subset is given the ability to sell drugs in a particular area, he must pay “taxes” tha</w:t>
      </w:r>
      <w:r w:rsidRPr="00F1083F">
        <w:rPr>
          <w:szCs w:val="26"/>
        </w:rPr>
        <w:t>t eventually go to members of the Mexican Mafia.</w:t>
      </w:r>
    </w:p>
    <w:p w14:paraId="2D614C20" w14:textId="161093A5" w:rsidR="00483240" w:rsidRPr="00F1083F" w:rsidRDefault="00E502BC" w:rsidP="00483240">
      <w:pPr>
        <w:ind w:firstLine="720"/>
        <w:rPr>
          <w:szCs w:val="26"/>
        </w:rPr>
      </w:pPr>
      <w:r w:rsidRPr="00F1083F">
        <w:rPr>
          <w:szCs w:val="26"/>
        </w:rPr>
        <w:t>In Bakersfield, the Sure</w:t>
      </w:r>
      <w:r w:rsidR="00F5777D" w:rsidRPr="00F1083F">
        <w:rPr>
          <w:szCs w:val="26"/>
        </w:rPr>
        <w:t>ñ</w:t>
      </w:r>
      <w:r w:rsidRPr="00F1083F">
        <w:rPr>
          <w:szCs w:val="26"/>
        </w:rPr>
        <w:t>o gang has several “subsets.”  A subset is a “smaller kind of clique” under the “umbrella” of the Sure</w:t>
      </w:r>
      <w:r w:rsidR="00F5777D" w:rsidRPr="00F1083F">
        <w:rPr>
          <w:szCs w:val="26"/>
        </w:rPr>
        <w:t>ñ</w:t>
      </w:r>
      <w:r w:rsidRPr="00F1083F">
        <w:rPr>
          <w:szCs w:val="26"/>
        </w:rPr>
        <w:t>os.  Sure</w:t>
      </w:r>
      <w:r w:rsidR="00F5777D" w:rsidRPr="00F1083F">
        <w:rPr>
          <w:szCs w:val="26"/>
        </w:rPr>
        <w:t>ñ</w:t>
      </w:r>
      <w:r w:rsidRPr="00F1083F">
        <w:rPr>
          <w:szCs w:val="26"/>
        </w:rPr>
        <w:t>o subsets in Bakersfield include the Varrio Bakers, Colonia Bakers, W</w:t>
      </w:r>
      <w:r w:rsidRPr="00F1083F">
        <w:rPr>
          <w:szCs w:val="26"/>
        </w:rPr>
        <w:t>est Side Bakers, East Side Bakers, South Side Bakers, Okie Bakers, Loma Bakers, and Uptown Bakers.  Members of different subsets commit crimes together.  Occasionally, subsets will have feuds with one another.</w:t>
      </w:r>
    </w:p>
    <w:p w14:paraId="08B231BC" w14:textId="1E6F9EDA" w:rsidR="00483240" w:rsidRPr="00F1083F" w:rsidRDefault="00E502BC" w:rsidP="00483240">
      <w:pPr>
        <w:ind w:firstLine="720"/>
        <w:rPr>
          <w:szCs w:val="26"/>
        </w:rPr>
      </w:pPr>
      <w:r w:rsidRPr="00F1083F">
        <w:rPr>
          <w:szCs w:val="26"/>
        </w:rPr>
        <w:t>All Sure</w:t>
      </w:r>
      <w:r w:rsidR="00F5777D" w:rsidRPr="00F1083F">
        <w:rPr>
          <w:szCs w:val="26"/>
        </w:rPr>
        <w:t>ñ</w:t>
      </w:r>
      <w:r w:rsidRPr="00F1083F">
        <w:rPr>
          <w:szCs w:val="26"/>
        </w:rPr>
        <w:t>o gangs are associated with the Mexic</w:t>
      </w:r>
      <w:r w:rsidRPr="00F1083F">
        <w:rPr>
          <w:szCs w:val="26"/>
        </w:rPr>
        <w:t xml:space="preserve">an Mafia. </w:t>
      </w:r>
      <w:r w:rsidR="00B805B0">
        <w:rPr>
          <w:szCs w:val="26"/>
        </w:rPr>
        <w:t xml:space="preserve"> </w:t>
      </w:r>
      <w:r w:rsidRPr="00F1083F">
        <w:rPr>
          <w:szCs w:val="26"/>
        </w:rPr>
        <w:t>Sure</w:t>
      </w:r>
      <w:r w:rsidR="00F5777D" w:rsidRPr="00F1083F">
        <w:rPr>
          <w:szCs w:val="26"/>
        </w:rPr>
        <w:t>ñ</w:t>
      </w:r>
      <w:r w:rsidRPr="00F1083F">
        <w:rPr>
          <w:szCs w:val="26"/>
        </w:rPr>
        <w:t>o gang members pay homage to Mexican Mafia by getting tattoos associated with the number 13.</w:t>
      </w:r>
      <w:r>
        <w:rPr>
          <w:rStyle w:val="FootnoteReference"/>
        </w:rPr>
        <w:footnoteReference w:id="8"/>
      </w:r>
    </w:p>
    <w:p w14:paraId="372A9F10" w14:textId="62B36810" w:rsidR="00483240" w:rsidRPr="00F1083F" w:rsidRDefault="00E502BC" w:rsidP="00483240">
      <w:pPr>
        <w:ind w:firstLine="720"/>
        <w:rPr>
          <w:szCs w:val="26"/>
        </w:rPr>
      </w:pPr>
      <w:r w:rsidRPr="00F1083F">
        <w:rPr>
          <w:szCs w:val="26"/>
        </w:rPr>
        <w:t>The “big gang rival” of the Sure</w:t>
      </w:r>
      <w:r w:rsidR="00F5777D" w:rsidRPr="00F1083F">
        <w:rPr>
          <w:szCs w:val="26"/>
        </w:rPr>
        <w:t>ñ</w:t>
      </w:r>
      <w:r w:rsidRPr="00F1083F">
        <w:rPr>
          <w:szCs w:val="26"/>
        </w:rPr>
        <w:t>os are the Nort</w:t>
      </w:r>
      <w:r w:rsidR="00F5777D" w:rsidRPr="00F1083F">
        <w:rPr>
          <w:szCs w:val="26"/>
        </w:rPr>
        <w:t>eñ</w:t>
      </w:r>
      <w:r w:rsidRPr="00F1083F">
        <w:rPr>
          <w:szCs w:val="26"/>
        </w:rPr>
        <w:t xml:space="preserve">os. </w:t>
      </w:r>
      <w:r w:rsidR="00B805B0">
        <w:rPr>
          <w:szCs w:val="26"/>
        </w:rPr>
        <w:t xml:space="preserve"> </w:t>
      </w:r>
      <w:r w:rsidRPr="00F1083F">
        <w:rPr>
          <w:szCs w:val="26"/>
        </w:rPr>
        <w:t>Generally, everything south of Delano is Sure</w:t>
      </w:r>
      <w:r w:rsidR="00F5777D" w:rsidRPr="00F1083F">
        <w:rPr>
          <w:szCs w:val="26"/>
        </w:rPr>
        <w:t>ñ</w:t>
      </w:r>
      <w:r w:rsidRPr="00F1083F">
        <w:rPr>
          <w:szCs w:val="26"/>
        </w:rPr>
        <w:t xml:space="preserve">o territory; and everything north of Delano </w:t>
      </w:r>
      <w:r w:rsidRPr="00F1083F">
        <w:rPr>
          <w:szCs w:val="26"/>
        </w:rPr>
        <w:t>is Norte</w:t>
      </w:r>
      <w:r w:rsidR="00F5777D" w:rsidRPr="00F1083F">
        <w:rPr>
          <w:szCs w:val="26"/>
        </w:rPr>
        <w:t>ñ</w:t>
      </w:r>
      <w:r w:rsidRPr="00F1083F">
        <w:rPr>
          <w:szCs w:val="26"/>
        </w:rPr>
        <w:t>o territory.  The Residence Motel is in Sure</w:t>
      </w:r>
      <w:r w:rsidR="00F5777D" w:rsidRPr="00F1083F">
        <w:rPr>
          <w:szCs w:val="26"/>
        </w:rPr>
        <w:t>ñ</w:t>
      </w:r>
      <w:r w:rsidRPr="00F1083F">
        <w:rPr>
          <w:szCs w:val="26"/>
        </w:rPr>
        <w:t>o territory.  It is a “melting pot” for various Sure</w:t>
      </w:r>
      <w:r w:rsidR="00F5777D" w:rsidRPr="00F1083F">
        <w:rPr>
          <w:szCs w:val="26"/>
        </w:rPr>
        <w:t>ñ</w:t>
      </w:r>
      <w:r w:rsidRPr="00F1083F">
        <w:rPr>
          <w:szCs w:val="26"/>
        </w:rPr>
        <w:t>o subsets.</w:t>
      </w:r>
    </w:p>
    <w:p w14:paraId="7924F144" w14:textId="79287FA5" w:rsidR="00483240" w:rsidRPr="00F1083F" w:rsidRDefault="00E502BC" w:rsidP="00483240">
      <w:pPr>
        <w:ind w:firstLine="720"/>
        <w:rPr>
          <w:szCs w:val="26"/>
        </w:rPr>
      </w:pPr>
      <w:r w:rsidRPr="00F1083F">
        <w:rPr>
          <w:szCs w:val="26"/>
        </w:rPr>
        <w:t>Navy blue is the Sure</w:t>
      </w:r>
      <w:r w:rsidR="00F5777D" w:rsidRPr="00F1083F">
        <w:rPr>
          <w:szCs w:val="26"/>
        </w:rPr>
        <w:t>ñ</w:t>
      </w:r>
      <w:r w:rsidRPr="00F1083F">
        <w:rPr>
          <w:szCs w:val="26"/>
        </w:rPr>
        <w:t xml:space="preserve">o gang’s color.  </w:t>
      </w:r>
      <w:r w:rsidR="00FD6326" w:rsidRPr="00F1083F">
        <w:rPr>
          <w:szCs w:val="26"/>
        </w:rPr>
        <w:t>The primary color of the West Side Bakers subset is turquoise.</w:t>
      </w:r>
    </w:p>
    <w:p w14:paraId="1948B059" w14:textId="2878DD61" w:rsidR="00483240" w:rsidRPr="00F1083F" w:rsidRDefault="00E502BC" w:rsidP="003B5078">
      <w:pPr>
        <w:pStyle w:val="ListParagraph"/>
        <w:keepNext/>
        <w:numPr>
          <w:ilvl w:val="0"/>
          <w:numId w:val="5"/>
        </w:numPr>
        <w:ind w:left="1440" w:hanging="720"/>
        <w:rPr>
          <w:b/>
          <w:bCs/>
          <w:i/>
          <w:iCs/>
          <w:szCs w:val="26"/>
        </w:rPr>
      </w:pPr>
      <w:r w:rsidRPr="00F1083F">
        <w:rPr>
          <w:b/>
          <w:bCs/>
          <w:i/>
          <w:iCs/>
          <w:szCs w:val="26"/>
        </w:rPr>
        <w:t>Predicate Offenses</w:t>
      </w:r>
    </w:p>
    <w:p w14:paraId="14A1F684" w14:textId="53A3748A" w:rsidR="00483240" w:rsidRPr="00F1083F" w:rsidRDefault="00E502BC" w:rsidP="00483240">
      <w:pPr>
        <w:ind w:firstLine="720"/>
        <w:rPr>
          <w:szCs w:val="26"/>
        </w:rPr>
      </w:pPr>
      <w:r w:rsidRPr="00F1083F">
        <w:rPr>
          <w:szCs w:val="26"/>
        </w:rPr>
        <w:t xml:space="preserve">Officer </w:t>
      </w:r>
      <w:r w:rsidRPr="00F1083F">
        <w:rPr>
          <w:szCs w:val="26"/>
        </w:rPr>
        <w:t>Baraj</w:t>
      </w:r>
      <w:r w:rsidR="00F5777D" w:rsidRPr="00F1083F">
        <w:rPr>
          <w:szCs w:val="26"/>
        </w:rPr>
        <w:t>a</w:t>
      </w:r>
      <w:r w:rsidRPr="00F1083F">
        <w:rPr>
          <w:szCs w:val="26"/>
        </w:rPr>
        <w:t xml:space="preserve">s testified that an individual named Jimmy Ramirez was involved in a court case arising out of an incident that occurred on December 6, 2014. </w:t>
      </w:r>
      <w:r w:rsidR="00B805B0">
        <w:rPr>
          <w:szCs w:val="26"/>
        </w:rPr>
        <w:t xml:space="preserve"> </w:t>
      </w:r>
      <w:r w:rsidRPr="00F1083F">
        <w:rPr>
          <w:szCs w:val="26"/>
        </w:rPr>
        <w:t>Barajas opined that Ramirez is</w:t>
      </w:r>
      <w:r w:rsidR="00F5777D" w:rsidRPr="00F1083F">
        <w:rPr>
          <w:szCs w:val="26"/>
        </w:rPr>
        <w:t>,</w:t>
      </w:r>
      <w:r w:rsidRPr="00F1083F">
        <w:rPr>
          <w:szCs w:val="26"/>
        </w:rPr>
        <w:t xml:space="preserve"> and was</w:t>
      </w:r>
      <w:r w:rsidR="00F5777D" w:rsidRPr="00F1083F">
        <w:rPr>
          <w:szCs w:val="26"/>
        </w:rPr>
        <w:t>,</w:t>
      </w:r>
      <w:r w:rsidRPr="00F1083F">
        <w:rPr>
          <w:szCs w:val="26"/>
        </w:rPr>
        <w:t xml:space="preserve"> an active Sure</w:t>
      </w:r>
      <w:r w:rsidR="00F5777D" w:rsidRPr="00F1083F">
        <w:rPr>
          <w:szCs w:val="26"/>
        </w:rPr>
        <w:t>ñ</w:t>
      </w:r>
      <w:r w:rsidRPr="00F1083F">
        <w:rPr>
          <w:szCs w:val="26"/>
        </w:rPr>
        <w:t>o gang member and also belonged to the West Side Ba</w:t>
      </w:r>
      <w:r w:rsidRPr="00F1083F">
        <w:rPr>
          <w:szCs w:val="26"/>
        </w:rPr>
        <w:t>kers subset.</w:t>
      </w:r>
    </w:p>
    <w:p w14:paraId="247AD190" w14:textId="7C403BD3" w:rsidR="00483240" w:rsidRPr="00F1083F" w:rsidRDefault="00E502BC" w:rsidP="00483240">
      <w:pPr>
        <w:ind w:firstLine="720"/>
        <w:rPr>
          <w:szCs w:val="26"/>
        </w:rPr>
      </w:pPr>
      <w:r w:rsidRPr="00F1083F">
        <w:rPr>
          <w:szCs w:val="26"/>
        </w:rPr>
        <w:lastRenderedPageBreak/>
        <w:t xml:space="preserve">An individual named George Mendoza was involved in a court case arising out of an incident that occurred on May 23, 2012. </w:t>
      </w:r>
      <w:r w:rsidR="00B805B0">
        <w:rPr>
          <w:szCs w:val="26"/>
        </w:rPr>
        <w:t xml:space="preserve"> </w:t>
      </w:r>
      <w:r w:rsidR="00F5777D" w:rsidRPr="00F1083F">
        <w:rPr>
          <w:szCs w:val="26"/>
        </w:rPr>
        <w:t xml:space="preserve">Officer </w:t>
      </w:r>
      <w:r w:rsidRPr="00F1083F">
        <w:rPr>
          <w:szCs w:val="26"/>
        </w:rPr>
        <w:t>Barajas opined that Mendoza is a member of the Sure</w:t>
      </w:r>
      <w:r w:rsidR="00F5777D" w:rsidRPr="00F1083F">
        <w:rPr>
          <w:szCs w:val="26"/>
        </w:rPr>
        <w:t>ñ</w:t>
      </w:r>
      <w:r w:rsidRPr="00F1083F">
        <w:rPr>
          <w:szCs w:val="26"/>
        </w:rPr>
        <w:t>o criminal street gang.</w:t>
      </w:r>
    </w:p>
    <w:p w14:paraId="16C65037" w14:textId="3908C6B9" w:rsidR="00483240" w:rsidRPr="00F1083F" w:rsidRDefault="00E502BC" w:rsidP="00483240">
      <w:pPr>
        <w:ind w:firstLine="720"/>
        <w:rPr>
          <w:szCs w:val="26"/>
        </w:rPr>
      </w:pPr>
      <w:r w:rsidRPr="00F1083F">
        <w:rPr>
          <w:szCs w:val="26"/>
        </w:rPr>
        <w:t>Officer Barajas also opined that Vas</w:t>
      </w:r>
      <w:r w:rsidRPr="00F1083F">
        <w:rPr>
          <w:szCs w:val="26"/>
        </w:rPr>
        <w:t>quez was an active member of the Sureños on February 18, 2017.</w:t>
      </w:r>
    </w:p>
    <w:p w14:paraId="51000BB8" w14:textId="0AA679E4" w:rsidR="00483240" w:rsidRPr="00F1083F" w:rsidRDefault="00E502BC" w:rsidP="003B5078">
      <w:pPr>
        <w:pStyle w:val="ListParagraph"/>
        <w:keepNext/>
        <w:numPr>
          <w:ilvl w:val="0"/>
          <w:numId w:val="5"/>
        </w:numPr>
        <w:ind w:left="1440" w:hanging="720"/>
        <w:rPr>
          <w:b/>
          <w:bCs/>
          <w:i/>
          <w:iCs/>
          <w:szCs w:val="26"/>
        </w:rPr>
      </w:pPr>
      <w:r w:rsidRPr="00F1083F">
        <w:rPr>
          <w:b/>
          <w:bCs/>
          <w:i/>
          <w:iCs/>
          <w:szCs w:val="26"/>
        </w:rPr>
        <w:t>Primary Activities</w:t>
      </w:r>
    </w:p>
    <w:p w14:paraId="09CE8576" w14:textId="7BBF4A52" w:rsidR="00483240" w:rsidRPr="00F1083F" w:rsidRDefault="00E502BC" w:rsidP="00483240">
      <w:pPr>
        <w:ind w:firstLine="720"/>
        <w:rPr>
          <w:szCs w:val="26"/>
        </w:rPr>
      </w:pPr>
      <w:r w:rsidRPr="00F1083F">
        <w:rPr>
          <w:szCs w:val="26"/>
        </w:rPr>
        <w:t>The primary activities of the Sure</w:t>
      </w:r>
      <w:r w:rsidR="00F5777D" w:rsidRPr="00F1083F">
        <w:rPr>
          <w:szCs w:val="26"/>
        </w:rPr>
        <w:t>ñ</w:t>
      </w:r>
      <w:r w:rsidRPr="00F1083F">
        <w:rPr>
          <w:szCs w:val="26"/>
        </w:rPr>
        <w:t>os are narcotics sales, prostitutions, homicide, murder for hire, robberies, burglaries, and “the list goes on.”</w:t>
      </w:r>
    </w:p>
    <w:p w14:paraId="52E2BDC2" w14:textId="56C61DD0" w:rsidR="00483240" w:rsidRPr="00F1083F" w:rsidRDefault="00E502BC" w:rsidP="003B5078">
      <w:pPr>
        <w:pStyle w:val="ListParagraph"/>
        <w:keepNext/>
        <w:numPr>
          <w:ilvl w:val="0"/>
          <w:numId w:val="5"/>
        </w:numPr>
        <w:ind w:left="1440" w:hanging="720"/>
        <w:rPr>
          <w:b/>
          <w:bCs/>
          <w:i/>
          <w:iCs/>
          <w:szCs w:val="26"/>
        </w:rPr>
      </w:pPr>
      <w:r w:rsidRPr="00F1083F">
        <w:rPr>
          <w:b/>
          <w:bCs/>
          <w:i/>
          <w:iCs/>
          <w:szCs w:val="26"/>
        </w:rPr>
        <w:t>Gang Evidence Concerning D</w:t>
      </w:r>
      <w:r w:rsidRPr="00F1083F">
        <w:rPr>
          <w:b/>
          <w:bCs/>
          <w:i/>
          <w:iCs/>
          <w:szCs w:val="26"/>
        </w:rPr>
        <w:t>efendant Vasquez</w:t>
      </w:r>
    </w:p>
    <w:p w14:paraId="5F9696AA" w14:textId="259474A4" w:rsidR="00483240" w:rsidRPr="00F1083F" w:rsidRDefault="00E502BC" w:rsidP="00C67067">
      <w:pPr>
        <w:pStyle w:val="ListParagraph"/>
        <w:keepNext/>
        <w:numPr>
          <w:ilvl w:val="0"/>
          <w:numId w:val="6"/>
        </w:numPr>
        <w:ind w:left="2160" w:hanging="720"/>
        <w:rPr>
          <w:b/>
          <w:bCs/>
          <w:szCs w:val="26"/>
        </w:rPr>
      </w:pPr>
      <w:r w:rsidRPr="00F1083F">
        <w:rPr>
          <w:b/>
          <w:bCs/>
          <w:szCs w:val="26"/>
        </w:rPr>
        <w:t xml:space="preserve">Prior Contacts with Law Enforcement </w:t>
      </w:r>
    </w:p>
    <w:p w14:paraId="2F1ED3C5" w14:textId="536537A1" w:rsidR="00483240" w:rsidRPr="00F1083F" w:rsidRDefault="00E502BC" w:rsidP="00483240">
      <w:pPr>
        <w:ind w:firstLine="720"/>
        <w:rPr>
          <w:szCs w:val="26"/>
        </w:rPr>
      </w:pPr>
      <w:r w:rsidRPr="00F1083F">
        <w:rPr>
          <w:szCs w:val="26"/>
        </w:rPr>
        <w:t>Officer Harless testified that he went to Vasquez’s residence on October 9, 2010, as part of his police duties.  A picture was found</w:t>
      </w:r>
      <w:r w:rsidR="00F5777D" w:rsidRPr="00F1083F">
        <w:rPr>
          <w:szCs w:val="26"/>
        </w:rPr>
        <w:t>,</w:t>
      </w:r>
      <w:r w:rsidRPr="00F1083F">
        <w:rPr>
          <w:szCs w:val="26"/>
        </w:rPr>
        <w:t xml:space="preserve"> under a mattress, depicting Vasquez holding a firearm.  Another indi</w:t>
      </w:r>
      <w:r w:rsidRPr="00F1083F">
        <w:rPr>
          <w:szCs w:val="26"/>
        </w:rPr>
        <w:t>vidual in the photo was wearing a hat with the letters “VB” on the front, and a third individual was holding his hands in the shape of a “V.”  Officer Barajas testified that the “V” hand symbol stood for “Varrio Bakers.”</w:t>
      </w:r>
    </w:p>
    <w:p w14:paraId="4CAF0881" w14:textId="4CB4E29A" w:rsidR="00483240" w:rsidRPr="00F1083F" w:rsidRDefault="00E502BC" w:rsidP="00483240">
      <w:pPr>
        <w:ind w:firstLine="720"/>
        <w:rPr>
          <w:szCs w:val="26"/>
        </w:rPr>
      </w:pPr>
      <w:r w:rsidRPr="00F1083F">
        <w:rPr>
          <w:szCs w:val="26"/>
        </w:rPr>
        <w:t xml:space="preserve">Officer Jones testified that </w:t>
      </w:r>
      <w:r w:rsidR="00F5777D" w:rsidRPr="00F1083F">
        <w:rPr>
          <w:szCs w:val="26"/>
        </w:rPr>
        <w:t xml:space="preserve">he </w:t>
      </w:r>
      <w:r w:rsidRPr="00F1083F">
        <w:rPr>
          <w:szCs w:val="26"/>
        </w:rPr>
        <w:t>con</w:t>
      </w:r>
      <w:r w:rsidRPr="00F1083F">
        <w:rPr>
          <w:szCs w:val="26"/>
        </w:rPr>
        <w:t>ducted a vehicle stop on April 14, 2013.  Vasquez was driving the vehicle.  Yvette Garcia was in the passenger seat.  Underneath the driver’s seat was a .22</w:t>
      </w:r>
      <w:r w:rsidR="00F5777D" w:rsidRPr="00F1083F">
        <w:rPr>
          <w:szCs w:val="26"/>
        </w:rPr>
        <w:t>-</w:t>
      </w:r>
      <w:r w:rsidRPr="00F1083F">
        <w:rPr>
          <w:szCs w:val="26"/>
        </w:rPr>
        <w:t>caliber revolver.</w:t>
      </w:r>
    </w:p>
    <w:p w14:paraId="71E611D4" w14:textId="295DBB93" w:rsidR="00483240" w:rsidRPr="00F1083F" w:rsidRDefault="00E502BC" w:rsidP="00C67067">
      <w:pPr>
        <w:pStyle w:val="ListParagraph"/>
        <w:keepNext/>
        <w:numPr>
          <w:ilvl w:val="0"/>
          <w:numId w:val="6"/>
        </w:numPr>
        <w:ind w:left="2160" w:hanging="720"/>
        <w:rPr>
          <w:b/>
          <w:bCs/>
          <w:szCs w:val="26"/>
        </w:rPr>
      </w:pPr>
      <w:r w:rsidRPr="00F1083F">
        <w:rPr>
          <w:b/>
          <w:bCs/>
          <w:szCs w:val="26"/>
        </w:rPr>
        <w:t>Vasquez’s Tattoos</w:t>
      </w:r>
    </w:p>
    <w:p w14:paraId="2246F179" w14:textId="4F24BADC" w:rsidR="00483240" w:rsidRPr="00F1083F" w:rsidRDefault="00E502BC" w:rsidP="00483240">
      <w:pPr>
        <w:ind w:firstLine="720"/>
        <w:rPr>
          <w:szCs w:val="26"/>
        </w:rPr>
      </w:pPr>
      <w:r w:rsidRPr="00F1083F">
        <w:rPr>
          <w:szCs w:val="26"/>
        </w:rPr>
        <w:t>Vasquez has a tattoo on the top of his back that says, “Varrio”</w:t>
      </w:r>
      <w:r w:rsidRPr="00F1083F">
        <w:rPr>
          <w:szCs w:val="26"/>
        </w:rPr>
        <w:t xml:space="preserve"> which is Spanish for neighborhood.  Vasquez also has a tattoo that says, “BKS,” which stands for “Bakers.”  Vasquez has another tattoo that says, “Lil Lokos” which is a smaller clique within the Varrio Bakers.  This is a common tattoo on Sure</w:t>
      </w:r>
      <w:r w:rsidR="00F5777D" w:rsidRPr="00F1083F">
        <w:rPr>
          <w:szCs w:val="26"/>
        </w:rPr>
        <w:t>ñ</w:t>
      </w:r>
      <w:r w:rsidRPr="00F1083F">
        <w:rPr>
          <w:szCs w:val="26"/>
        </w:rPr>
        <w:t>o gang membe</w:t>
      </w:r>
      <w:r w:rsidRPr="00F1083F">
        <w:rPr>
          <w:szCs w:val="26"/>
        </w:rPr>
        <w:t>rs.  Above his left eye, Vasquez has a tattoo that reads, “VBKS” which stands for “Varrio Bakers.”</w:t>
      </w:r>
    </w:p>
    <w:p w14:paraId="167CD221" w14:textId="39E0424F" w:rsidR="005B4D36" w:rsidRPr="00F1083F" w:rsidRDefault="00E502BC" w:rsidP="00483240">
      <w:pPr>
        <w:ind w:firstLine="720"/>
        <w:rPr>
          <w:szCs w:val="26"/>
        </w:rPr>
      </w:pPr>
      <w:r w:rsidRPr="00F1083F">
        <w:rPr>
          <w:szCs w:val="26"/>
        </w:rPr>
        <w:t>There exists a picture showing Vasquez also had the three-dot tattoo, which is a “commonality across all Sure[ñ]os.”</w:t>
      </w:r>
    </w:p>
    <w:p w14:paraId="16AA6163" w14:textId="40364B4A" w:rsidR="00483240" w:rsidRPr="00F1083F" w:rsidRDefault="00E502BC" w:rsidP="00483240">
      <w:pPr>
        <w:ind w:firstLine="720"/>
        <w:rPr>
          <w:szCs w:val="26"/>
        </w:rPr>
      </w:pPr>
      <w:r w:rsidRPr="00F1083F">
        <w:rPr>
          <w:szCs w:val="26"/>
        </w:rPr>
        <w:lastRenderedPageBreak/>
        <w:t xml:space="preserve">Officer Barajas testified that you </w:t>
      </w:r>
      <w:r w:rsidRPr="00F1083F">
        <w:rPr>
          <w:szCs w:val="26"/>
        </w:rPr>
        <w:t>would never see a nongang member with tattoos like Vasquez’s.</w:t>
      </w:r>
    </w:p>
    <w:p w14:paraId="2166CFCF" w14:textId="29F61368" w:rsidR="00483240" w:rsidRPr="00F1083F" w:rsidRDefault="00E502BC" w:rsidP="00C67067">
      <w:pPr>
        <w:pStyle w:val="ListParagraph"/>
        <w:keepNext/>
        <w:numPr>
          <w:ilvl w:val="0"/>
          <w:numId w:val="6"/>
        </w:numPr>
        <w:ind w:left="2160" w:hanging="720"/>
        <w:rPr>
          <w:b/>
          <w:bCs/>
          <w:szCs w:val="26"/>
        </w:rPr>
      </w:pPr>
      <w:r w:rsidRPr="00F1083F">
        <w:rPr>
          <w:b/>
          <w:bCs/>
          <w:szCs w:val="26"/>
        </w:rPr>
        <w:t>Gang Evidence Concerning Defendant Carrillo</w:t>
      </w:r>
    </w:p>
    <w:p w14:paraId="003EFE90" w14:textId="381F480A" w:rsidR="00483240" w:rsidRPr="00F1083F" w:rsidRDefault="00E502BC" w:rsidP="00483240">
      <w:pPr>
        <w:ind w:firstLine="720"/>
        <w:rPr>
          <w:szCs w:val="26"/>
        </w:rPr>
      </w:pPr>
      <w:r w:rsidRPr="00F1083F">
        <w:rPr>
          <w:szCs w:val="26"/>
        </w:rPr>
        <w:t>Officer Harless testified that on October 29, 2011, he stopped a vehicle in which Carrillo was riding as a passenger.  Both Carrillo and the driver we</w:t>
      </w:r>
      <w:r w:rsidRPr="00F1083F">
        <w:rPr>
          <w:szCs w:val="26"/>
        </w:rPr>
        <w:t xml:space="preserve">re wearing baseball caps with the letter, “W.”  Carrillo told Harless he </w:t>
      </w:r>
      <w:r w:rsidR="00F5777D" w:rsidRPr="00F1083F">
        <w:rPr>
          <w:szCs w:val="26"/>
        </w:rPr>
        <w:t>was</w:t>
      </w:r>
      <w:r w:rsidRPr="00F1083F">
        <w:rPr>
          <w:szCs w:val="26"/>
        </w:rPr>
        <w:t xml:space="preserve"> a member of the West Side Bakers.</w:t>
      </w:r>
    </w:p>
    <w:p w14:paraId="0BB87CEF" w14:textId="03500B59" w:rsidR="00483240" w:rsidRPr="00F1083F" w:rsidRDefault="00E502BC" w:rsidP="00483240">
      <w:pPr>
        <w:ind w:firstLine="720"/>
        <w:rPr>
          <w:szCs w:val="26"/>
        </w:rPr>
      </w:pPr>
      <w:r w:rsidRPr="00F1083F">
        <w:rPr>
          <w:szCs w:val="26"/>
        </w:rPr>
        <w:t xml:space="preserve">Sergeant Wood testified that on May 12, 2011, he contacted Carrillo and informed him of his </w:t>
      </w:r>
      <w:r w:rsidRPr="00F1083F">
        <w:rPr>
          <w:i/>
          <w:iCs/>
          <w:szCs w:val="26"/>
        </w:rPr>
        <w:t>Miranda</w:t>
      </w:r>
      <w:r>
        <w:rPr>
          <w:rStyle w:val="FootnoteReference"/>
        </w:rPr>
        <w:footnoteReference w:id="9"/>
      </w:r>
      <w:r w:rsidRPr="00F1083F">
        <w:rPr>
          <w:szCs w:val="26"/>
        </w:rPr>
        <w:t xml:space="preserve"> rights.  Carrillo was wearing a baseball cap with the letter, “W.”  Carrillo initially said he wore the hat because he liked the design.  Carrillo later admitted that the “W” on the hat stood for West Side Bakers.</w:t>
      </w:r>
    </w:p>
    <w:p w14:paraId="3F9D8D28" w14:textId="253C2F5A" w:rsidR="00483240" w:rsidRPr="00F1083F" w:rsidRDefault="00E502BC" w:rsidP="00483240">
      <w:pPr>
        <w:ind w:firstLine="720"/>
        <w:rPr>
          <w:szCs w:val="26"/>
        </w:rPr>
      </w:pPr>
      <w:r w:rsidRPr="00F1083F">
        <w:rPr>
          <w:szCs w:val="26"/>
        </w:rPr>
        <w:t xml:space="preserve">Officer Harless again contacted Carrillo </w:t>
      </w:r>
      <w:r w:rsidRPr="00F1083F">
        <w:rPr>
          <w:szCs w:val="26"/>
        </w:rPr>
        <w:t xml:space="preserve">on January 31, 2012.  Carrillo was wearing a turquoise shirt and a baseball cap with the letter, “W.”  Carrillo again mentioned that he </w:t>
      </w:r>
      <w:r w:rsidR="005B4D36" w:rsidRPr="00F1083F">
        <w:rPr>
          <w:szCs w:val="26"/>
        </w:rPr>
        <w:t>was</w:t>
      </w:r>
      <w:r w:rsidRPr="00F1083F">
        <w:rPr>
          <w:szCs w:val="26"/>
        </w:rPr>
        <w:t xml:space="preserve"> a member of the West Side Bakers.</w:t>
      </w:r>
    </w:p>
    <w:p w14:paraId="1A3CFF75" w14:textId="6E5C8CF8" w:rsidR="00483240" w:rsidRPr="00F1083F" w:rsidRDefault="00E502BC" w:rsidP="00483240">
      <w:pPr>
        <w:ind w:firstLine="720"/>
        <w:rPr>
          <w:szCs w:val="26"/>
        </w:rPr>
      </w:pPr>
      <w:r w:rsidRPr="00F1083F">
        <w:rPr>
          <w:szCs w:val="26"/>
        </w:rPr>
        <w:t>Officer Benavente testified that he contacted Carrillo on September 3, 2015.  Bena</w:t>
      </w:r>
      <w:r w:rsidRPr="00F1083F">
        <w:rPr>
          <w:szCs w:val="26"/>
        </w:rPr>
        <w:t>vente observed that Carrillo had the letters, “WSB,” on his right cheek.  Carrillo said the acronym stood for West Side Bakers.</w:t>
      </w:r>
    </w:p>
    <w:p w14:paraId="3120DE15" w14:textId="7A48FB8F" w:rsidR="00483240" w:rsidRPr="00F1083F" w:rsidRDefault="00E502BC" w:rsidP="00C67067">
      <w:pPr>
        <w:pStyle w:val="ListParagraph"/>
        <w:keepNext/>
        <w:numPr>
          <w:ilvl w:val="0"/>
          <w:numId w:val="6"/>
        </w:numPr>
        <w:ind w:left="2160" w:hanging="720"/>
        <w:rPr>
          <w:b/>
          <w:bCs/>
          <w:szCs w:val="26"/>
        </w:rPr>
      </w:pPr>
      <w:r w:rsidRPr="00F1083F">
        <w:rPr>
          <w:b/>
          <w:bCs/>
          <w:szCs w:val="26"/>
        </w:rPr>
        <w:t>Carrillo’s Tattoos</w:t>
      </w:r>
    </w:p>
    <w:p w14:paraId="54F49668" w14:textId="2073B05D" w:rsidR="00483240" w:rsidRPr="00F1083F" w:rsidRDefault="00E502BC" w:rsidP="00483240">
      <w:pPr>
        <w:ind w:firstLine="720"/>
        <w:rPr>
          <w:szCs w:val="26"/>
        </w:rPr>
      </w:pPr>
      <w:r w:rsidRPr="00F1083F">
        <w:rPr>
          <w:szCs w:val="26"/>
        </w:rPr>
        <w:t xml:space="preserve">Carrillo has tattoos reading, “KC,” “VB,” “WS,” “V,” and “S.” </w:t>
      </w:r>
      <w:r w:rsidR="00B805B0">
        <w:rPr>
          <w:szCs w:val="26"/>
        </w:rPr>
        <w:t xml:space="preserve"> </w:t>
      </w:r>
      <w:r w:rsidRPr="00F1083F">
        <w:rPr>
          <w:szCs w:val="26"/>
        </w:rPr>
        <w:t>“KC” stands for Kern County; “WS” stands for W</w:t>
      </w:r>
      <w:r w:rsidRPr="00F1083F">
        <w:rPr>
          <w:szCs w:val="26"/>
        </w:rPr>
        <w:t>est Side; “V” stands for Varrio; “S” stands for South or “Sur.”</w:t>
      </w:r>
    </w:p>
    <w:p w14:paraId="463AF843" w14:textId="3B1D2C7D" w:rsidR="00483240" w:rsidRPr="00F1083F" w:rsidRDefault="00E502BC" w:rsidP="00483240">
      <w:pPr>
        <w:ind w:firstLine="720"/>
        <w:rPr>
          <w:szCs w:val="26"/>
        </w:rPr>
      </w:pPr>
      <w:r w:rsidRPr="00F1083F">
        <w:rPr>
          <w:szCs w:val="26"/>
        </w:rPr>
        <w:t>Carrillo also has a tattoo of three dots</w:t>
      </w:r>
    </w:p>
    <w:p w14:paraId="5F52EC11" w14:textId="38AA7ED0" w:rsidR="00483240" w:rsidRPr="00F1083F" w:rsidRDefault="00E502BC" w:rsidP="00483240">
      <w:pPr>
        <w:ind w:firstLine="720"/>
        <w:rPr>
          <w:szCs w:val="26"/>
        </w:rPr>
      </w:pPr>
      <w:r w:rsidRPr="00F1083F">
        <w:rPr>
          <w:szCs w:val="26"/>
        </w:rPr>
        <w:t>Carrillo also has a tattoo of a large “V” with the letters “arrio” inside.  When “you put it together, you have Varrio.”</w:t>
      </w:r>
    </w:p>
    <w:p w14:paraId="0B373E31" w14:textId="544006C7" w:rsidR="00483240" w:rsidRPr="00F1083F" w:rsidRDefault="00E502BC" w:rsidP="00483240">
      <w:pPr>
        <w:ind w:firstLine="720"/>
        <w:rPr>
          <w:szCs w:val="26"/>
        </w:rPr>
      </w:pPr>
      <w:r w:rsidRPr="00F1083F">
        <w:rPr>
          <w:szCs w:val="26"/>
        </w:rPr>
        <w:lastRenderedPageBreak/>
        <w:t>Based on Officer Barajas’s exp</w:t>
      </w:r>
      <w:r w:rsidRPr="00F1083F">
        <w:rPr>
          <w:szCs w:val="26"/>
        </w:rPr>
        <w:t>erience and training, Carrillo’s tattoos are consistent with membership in the Sure</w:t>
      </w:r>
      <w:r w:rsidR="005B4D36" w:rsidRPr="00F1083F">
        <w:rPr>
          <w:szCs w:val="26"/>
        </w:rPr>
        <w:t>ñ</w:t>
      </w:r>
      <w:r w:rsidRPr="00F1083F">
        <w:rPr>
          <w:szCs w:val="26"/>
        </w:rPr>
        <w:t>o gang.</w:t>
      </w:r>
    </w:p>
    <w:p w14:paraId="6159947F" w14:textId="4D5CA32C" w:rsidR="00483240" w:rsidRPr="00F1083F" w:rsidRDefault="00E502BC" w:rsidP="00483240">
      <w:pPr>
        <w:ind w:firstLine="720"/>
        <w:rPr>
          <w:szCs w:val="26"/>
        </w:rPr>
      </w:pPr>
      <w:r w:rsidRPr="00F1083F">
        <w:rPr>
          <w:szCs w:val="26"/>
        </w:rPr>
        <w:t>Officer Barajas testified that while he was taking pictures of his tattoos, Carrillo asked, “You guys take pictures of nongang ones too[?]”</w:t>
      </w:r>
    </w:p>
    <w:p w14:paraId="44A2BCE7" w14:textId="3846F464" w:rsidR="00483240" w:rsidRPr="00F1083F" w:rsidRDefault="00E502BC" w:rsidP="00C67067">
      <w:pPr>
        <w:pStyle w:val="ListParagraph"/>
        <w:keepNext/>
        <w:numPr>
          <w:ilvl w:val="0"/>
          <w:numId w:val="6"/>
        </w:numPr>
        <w:ind w:left="2160" w:hanging="720"/>
        <w:rPr>
          <w:rFonts w:asciiTheme="minorHAnsi" w:hAnsiTheme="minorHAnsi" w:cstheme="minorHAnsi"/>
          <w:b/>
          <w:bCs/>
          <w:szCs w:val="26"/>
        </w:rPr>
      </w:pPr>
      <w:r w:rsidRPr="00F1083F">
        <w:rPr>
          <w:rFonts w:asciiTheme="minorHAnsi" w:hAnsiTheme="minorHAnsi" w:cstheme="minorHAnsi"/>
          <w:b/>
          <w:bCs/>
          <w:szCs w:val="26"/>
        </w:rPr>
        <w:t>Gang Membership</w:t>
      </w:r>
    </w:p>
    <w:p w14:paraId="3235D1EB" w14:textId="0837DB5E"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Officer </w:t>
      </w:r>
      <w:r w:rsidRPr="00F1083F">
        <w:rPr>
          <w:rFonts w:asciiTheme="minorHAnsi" w:hAnsiTheme="minorHAnsi" w:cstheme="minorHAnsi"/>
          <w:szCs w:val="26"/>
        </w:rPr>
        <w:t>Barajas testified that, in his opinion, Carrillo was a member of the Sure</w:t>
      </w:r>
      <w:r w:rsidR="005B4D36" w:rsidRPr="00F1083F">
        <w:rPr>
          <w:rFonts w:asciiTheme="minorHAnsi" w:hAnsiTheme="minorHAnsi" w:cstheme="minorHAnsi"/>
          <w:szCs w:val="26"/>
        </w:rPr>
        <w:t>ñ</w:t>
      </w:r>
      <w:r w:rsidRPr="00F1083F">
        <w:rPr>
          <w:rFonts w:asciiTheme="minorHAnsi" w:hAnsiTheme="minorHAnsi" w:cstheme="minorHAnsi"/>
          <w:szCs w:val="26"/>
        </w:rPr>
        <w:t>o gang on February 18, 2017.  Officer Barajas’s opinion was based on prior police contacts, gang apparel, self-admissions, and tattoos.</w:t>
      </w:r>
    </w:p>
    <w:p w14:paraId="55C302B4" w14:textId="19FE4E6A"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Officer Barajas also opined that </w:t>
      </w:r>
      <w:r w:rsidRPr="00F1083F">
        <w:rPr>
          <w:rFonts w:asciiTheme="minorHAnsi" w:hAnsiTheme="minorHAnsi" w:cstheme="minorHAnsi"/>
          <w:szCs w:val="26"/>
        </w:rPr>
        <w:t>Vasquez was an active member of the Sure</w:t>
      </w:r>
      <w:r w:rsidR="005B4D36" w:rsidRPr="00F1083F">
        <w:rPr>
          <w:rFonts w:asciiTheme="minorHAnsi" w:hAnsiTheme="minorHAnsi" w:cstheme="minorHAnsi"/>
          <w:szCs w:val="26"/>
        </w:rPr>
        <w:t>ñ</w:t>
      </w:r>
      <w:r w:rsidRPr="00F1083F">
        <w:rPr>
          <w:rFonts w:asciiTheme="minorHAnsi" w:hAnsiTheme="minorHAnsi" w:cstheme="minorHAnsi"/>
          <w:szCs w:val="26"/>
        </w:rPr>
        <w:t>os on February 18, 2017.  That opinion was based on the surveillance video, tattoos, prior contacts, and prior weapons possession.</w:t>
      </w:r>
    </w:p>
    <w:p w14:paraId="354BA788" w14:textId="627F057D"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The prosecutor presented Officer Barajas with a hypothetical that matched the prosec</w:t>
      </w:r>
      <w:r w:rsidRPr="00F1083F">
        <w:rPr>
          <w:rFonts w:asciiTheme="minorHAnsi" w:hAnsiTheme="minorHAnsi" w:cstheme="minorHAnsi"/>
          <w:szCs w:val="26"/>
        </w:rPr>
        <w:t>ution’s theory of what the evidence showed.  Barajas opined that such a crime would have been committed for the benefit of, at the direction of, and in association with a street gang.  Since there were two Sure</w:t>
      </w:r>
      <w:r w:rsidR="005B4D36" w:rsidRPr="00F1083F">
        <w:rPr>
          <w:rFonts w:asciiTheme="minorHAnsi" w:hAnsiTheme="minorHAnsi" w:cstheme="minorHAnsi"/>
          <w:szCs w:val="26"/>
        </w:rPr>
        <w:t>ñ</w:t>
      </w:r>
      <w:r w:rsidRPr="00F1083F">
        <w:rPr>
          <w:rFonts w:asciiTheme="minorHAnsi" w:hAnsiTheme="minorHAnsi" w:cstheme="minorHAnsi"/>
          <w:szCs w:val="26"/>
        </w:rPr>
        <w:t>o gang members involved, the nonshooter can c</w:t>
      </w:r>
      <w:r w:rsidRPr="00F1083F">
        <w:rPr>
          <w:rFonts w:asciiTheme="minorHAnsi" w:hAnsiTheme="minorHAnsi" w:cstheme="minorHAnsi"/>
          <w:szCs w:val="26"/>
        </w:rPr>
        <w:t>onfirm to other Sure</w:t>
      </w:r>
      <w:r w:rsidR="005B4D36" w:rsidRPr="00F1083F">
        <w:rPr>
          <w:rFonts w:asciiTheme="minorHAnsi" w:hAnsiTheme="minorHAnsi" w:cstheme="minorHAnsi"/>
          <w:szCs w:val="26"/>
        </w:rPr>
        <w:t>ñ</w:t>
      </w:r>
      <w:r w:rsidRPr="00F1083F">
        <w:rPr>
          <w:rFonts w:asciiTheme="minorHAnsi" w:hAnsiTheme="minorHAnsi" w:cstheme="minorHAnsi"/>
          <w:szCs w:val="26"/>
        </w:rPr>
        <w:t>o gang members that the shooter had in fact followed through.  The location also benefits the gang because it demonstrates that gang members are not afraid to shoot in a public place.  Finally, it demonstrates that the shooter was will</w:t>
      </w:r>
      <w:r w:rsidRPr="00F1083F">
        <w:rPr>
          <w:rFonts w:asciiTheme="minorHAnsi" w:hAnsiTheme="minorHAnsi" w:cstheme="minorHAnsi"/>
          <w:szCs w:val="26"/>
        </w:rPr>
        <w:t>ing to kill for the gang.</w:t>
      </w:r>
    </w:p>
    <w:p w14:paraId="3266D4B7" w14:textId="58D9844C"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The “in association” prong is also satisfied because the two gang members were “together” when they committed the crime.</w:t>
      </w:r>
    </w:p>
    <w:p w14:paraId="2DFB2ED2" w14:textId="4A4D86A0" w:rsidR="00483240" w:rsidRPr="00F1083F" w:rsidRDefault="00E502BC" w:rsidP="003B5078">
      <w:pPr>
        <w:pStyle w:val="ListParagraph"/>
        <w:keepNext/>
        <w:numPr>
          <w:ilvl w:val="0"/>
          <w:numId w:val="5"/>
        </w:numPr>
        <w:ind w:left="1440" w:hanging="720"/>
        <w:rPr>
          <w:rFonts w:asciiTheme="minorHAnsi" w:hAnsiTheme="minorHAnsi" w:cstheme="minorHAnsi"/>
          <w:b/>
          <w:bCs/>
          <w:i/>
          <w:iCs/>
          <w:szCs w:val="26"/>
        </w:rPr>
      </w:pPr>
      <w:r w:rsidRPr="00F1083F">
        <w:rPr>
          <w:rFonts w:asciiTheme="minorHAnsi" w:hAnsiTheme="minorHAnsi" w:cstheme="minorHAnsi"/>
          <w:b/>
          <w:bCs/>
          <w:i/>
          <w:iCs/>
          <w:szCs w:val="26"/>
        </w:rPr>
        <w:t>Defense Gang Expert</w:t>
      </w:r>
      <w:r w:rsidR="003B5078" w:rsidRPr="00F1083F">
        <w:rPr>
          <w:rFonts w:asciiTheme="minorHAnsi" w:hAnsiTheme="minorHAnsi" w:cstheme="minorHAnsi"/>
          <w:b/>
          <w:bCs/>
          <w:i/>
          <w:iCs/>
          <w:szCs w:val="26"/>
        </w:rPr>
        <w:t xml:space="preserve"> – </w:t>
      </w:r>
      <w:r w:rsidRPr="00F1083F">
        <w:rPr>
          <w:rFonts w:asciiTheme="minorHAnsi" w:hAnsiTheme="minorHAnsi" w:cstheme="minorHAnsi"/>
          <w:b/>
          <w:bCs/>
          <w:i/>
          <w:iCs/>
          <w:szCs w:val="26"/>
        </w:rPr>
        <w:t>Dr. Jesse De La Cruz</w:t>
      </w:r>
    </w:p>
    <w:p w14:paraId="18400CED" w14:textId="13DCECF2"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Dr. Jesse De La Cruz testified as a gang expert for the defense.  </w:t>
      </w:r>
      <w:r w:rsidR="003B5078" w:rsidRPr="00F1083F">
        <w:rPr>
          <w:rFonts w:asciiTheme="minorHAnsi" w:hAnsiTheme="minorHAnsi" w:cstheme="minorHAnsi"/>
          <w:szCs w:val="26"/>
        </w:rPr>
        <w:t xml:space="preserve">Dr. </w:t>
      </w:r>
      <w:r w:rsidRPr="00F1083F">
        <w:rPr>
          <w:rFonts w:asciiTheme="minorHAnsi" w:hAnsiTheme="minorHAnsi" w:cstheme="minorHAnsi"/>
          <w:szCs w:val="26"/>
        </w:rPr>
        <w:t>De La Cruz has a doctoral degree in education</w:t>
      </w:r>
      <w:r w:rsidR="003B5078" w:rsidRPr="00F1083F">
        <w:rPr>
          <w:rFonts w:asciiTheme="minorHAnsi" w:hAnsiTheme="minorHAnsi" w:cstheme="minorHAnsi"/>
          <w:szCs w:val="26"/>
        </w:rPr>
        <w:t xml:space="preserve"> and</w:t>
      </w:r>
      <w:r w:rsidRPr="00F1083F">
        <w:rPr>
          <w:rFonts w:asciiTheme="minorHAnsi" w:hAnsiTheme="minorHAnsi" w:cstheme="minorHAnsi"/>
          <w:szCs w:val="26"/>
        </w:rPr>
        <w:t xml:space="preserve"> is a former member of the Nuestra Familia prison gang.</w:t>
      </w:r>
    </w:p>
    <w:p w14:paraId="6C3CA362" w14:textId="0B2479CB"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When gang member</w:t>
      </w:r>
      <w:r w:rsidR="0003249E" w:rsidRPr="00F1083F">
        <w:rPr>
          <w:rFonts w:asciiTheme="minorHAnsi" w:hAnsiTheme="minorHAnsi" w:cstheme="minorHAnsi"/>
          <w:szCs w:val="26"/>
        </w:rPr>
        <w:t>s</w:t>
      </w:r>
      <w:r w:rsidRPr="00F1083F">
        <w:rPr>
          <w:rFonts w:asciiTheme="minorHAnsi" w:hAnsiTheme="minorHAnsi" w:cstheme="minorHAnsi"/>
          <w:szCs w:val="26"/>
        </w:rPr>
        <w:t xml:space="preserve"> from Southern California go</w:t>
      </w:r>
      <w:r w:rsidR="00140CD0" w:rsidRPr="00F1083F">
        <w:rPr>
          <w:rFonts w:asciiTheme="minorHAnsi" w:hAnsiTheme="minorHAnsi" w:cstheme="minorHAnsi"/>
          <w:szCs w:val="26"/>
        </w:rPr>
        <w:t xml:space="preserve"> </w:t>
      </w:r>
      <w:r w:rsidRPr="00F1083F">
        <w:rPr>
          <w:rFonts w:asciiTheme="minorHAnsi" w:hAnsiTheme="minorHAnsi" w:cstheme="minorHAnsi"/>
          <w:szCs w:val="26"/>
        </w:rPr>
        <w:t>to prison, they are “automatically under the umbrella of the Mexican Mafia.”  “Same thing with Norte</w:t>
      </w:r>
      <w:r w:rsidR="003B5078" w:rsidRPr="00F1083F">
        <w:rPr>
          <w:rFonts w:asciiTheme="minorHAnsi" w:hAnsiTheme="minorHAnsi" w:cstheme="minorHAnsi"/>
          <w:szCs w:val="26"/>
        </w:rPr>
        <w:t>ñ</w:t>
      </w:r>
      <w:r w:rsidRPr="00F1083F">
        <w:rPr>
          <w:rFonts w:asciiTheme="minorHAnsi" w:hAnsiTheme="minorHAnsi" w:cstheme="minorHAnsi"/>
          <w:szCs w:val="26"/>
        </w:rPr>
        <w:t xml:space="preserve">os or </w:t>
      </w:r>
      <w:r w:rsidRPr="00F1083F">
        <w:rPr>
          <w:rFonts w:asciiTheme="minorHAnsi" w:hAnsiTheme="minorHAnsi" w:cstheme="minorHAnsi"/>
          <w:szCs w:val="26"/>
        </w:rPr>
        <w:lastRenderedPageBreak/>
        <w:t>Northerners,” who automatically “become under the umbrella of the Nuestra Familia.”  Whatever “street gang” you belonged to “is no longer applicable.”</w:t>
      </w:r>
    </w:p>
    <w:p w14:paraId="6D54C4C9" w14:textId="62404488"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Dr. De La Cruz opined that Officer</w:t>
      </w:r>
      <w:r w:rsidR="003B5078" w:rsidRPr="00F1083F">
        <w:rPr>
          <w:rFonts w:asciiTheme="minorHAnsi" w:hAnsiTheme="minorHAnsi" w:cstheme="minorHAnsi"/>
          <w:szCs w:val="26"/>
        </w:rPr>
        <w:t xml:space="preserve"> </w:t>
      </w:r>
      <w:r w:rsidRPr="00F1083F">
        <w:rPr>
          <w:rFonts w:asciiTheme="minorHAnsi" w:hAnsiTheme="minorHAnsi" w:cstheme="minorHAnsi"/>
          <w:szCs w:val="26"/>
        </w:rPr>
        <w:t>Barajas’s opinion expressed at the preliminary hearing was not c</w:t>
      </w:r>
      <w:r w:rsidRPr="00F1083F">
        <w:rPr>
          <w:rFonts w:asciiTheme="minorHAnsi" w:hAnsiTheme="minorHAnsi" w:cstheme="minorHAnsi"/>
          <w:szCs w:val="26"/>
        </w:rPr>
        <w:t xml:space="preserve">onnected to the evidence in this case.  In determining whether a crime was done for the benefit of, in association with, or at the direction of a gang, Dr. De La Cruz looks at several factors.  </w:t>
      </w:r>
      <w:r w:rsidR="003B5078" w:rsidRPr="00F1083F">
        <w:rPr>
          <w:rFonts w:asciiTheme="minorHAnsi" w:hAnsiTheme="minorHAnsi" w:cstheme="minorHAnsi"/>
          <w:szCs w:val="26"/>
        </w:rPr>
        <w:t>Dr. </w:t>
      </w:r>
      <w:r w:rsidRPr="00F1083F">
        <w:rPr>
          <w:rFonts w:asciiTheme="minorHAnsi" w:hAnsiTheme="minorHAnsi" w:cstheme="minorHAnsi"/>
          <w:szCs w:val="26"/>
        </w:rPr>
        <w:t>De La Cruz considers whether the participants “throw or ye</w:t>
      </w:r>
      <w:r w:rsidRPr="00F1083F">
        <w:rPr>
          <w:rFonts w:asciiTheme="minorHAnsi" w:hAnsiTheme="minorHAnsi" w:cstheme="minorHAnsi"/>
          <w:szCs w:val="26"/>
        </w:rPr>
        <w:t>ll out any gang slogans</w:t>
      </w:r>
      <w:r w:rsidR="003B5078" w:rsidRPr="00F1083F">
        <w:rPr>
          <w:rFonts w:asciiTheme="minorHAnsi" w:hAnsiTheme="minorHAnsi" w:cstheme="minorHAnsi"/>
          <w:szCs w:val="26"/>
        </w:rPr>
        <w:t>;</w:t>
      </w:r>
      <w:r w:rsidRPr="00F1083F">
        <w:rPr>
          <w:rFonts w:asciiTheme="minorHAnsi" w:hAnsiTheme="minorHAnsi" w:cstheme="minorHAnsi"/>
          <w:szCs w:val="26"/>
        </w:rPr>
        <w:t>” use gang signs; wear clothing associated with gangs; send text messages relating to the gang; or make gang-related posts on social media.</w:t>
      </w:r>
      <w:r w:rsidR="00B805B0">
        <w:rPr>
          <w:rFonts w:asciiTheme="minorHAnsi" w:hAnsiTheme="minorHAnsi" w:cstheme="minorHAnsi"/>
          <w:szCs w:val="26"/>
        </w:rPr>
        <w:t xml:space="preserve"> </w:t>
      </w:r>
      <w:r w:rsidRPr="00F1083F">
        <w:rPr>
          <w:rFonts w:asciiTheme="minorHAnsi" w:hAnsiTheme="minorHAnsi" w:cstheme="minorHAnsi"/>
          <w:szCs w:val="26"/>
        </w:rPr>
        <w:t xml:space="preserve"> Dr.</w:t>
      </w:r>
      <w:r w:rsidR="003B5078" w:rsidRPr="00F1083F">
        <w:rPr>
          <w:rFonts w:asciiTheme="minorHAnsi" w:hAnsiTheme="minorHAnsi" w:cstheme="minorHAnsi"/>
          <w:szCs w:val="26"/>
        </w:rPr>
        <w:t> </w:t>
      </w:r>
      <w:r w:rsidRPr="00F1083F">
        <w:rPr>
          <w:rFonts w:asciiTheme="minorHAnsi" w:hAnsiTheme="minorHAnsi" w:cstheme="minorHAnsi"/>
          <w:szCs w:val="26"/>
        </w:rPr>
        <w:t xml:space="preserve">De La Cruz testified that he did not find any of these factors present in the </w:t>
      </w:r>
      <w:r w:rsidRPr="00F1083F">
        <w:rPr>
          <w:rFonts w:asciiTheme="minorHAnsi" w:hAnsiTheme="minorHAnsi" w:cstheme="minorHAnsi"/>
          <w:szCs w:val="26"/>
        </w:rPr>
        <w:t>current case.  However, Dr. De La Cruz conceded the factors are not required under the law.</w:t>
      </w:r>
    </w:p>
    <w:p w14:paraId="680E394B" w14:textId="559BE31D"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Dr. De La Cruz testified it is possible for gang members to commit crimes that are not gang</w:t>
      </w:r>
      <w:r w:rsidR="003B5078" w:rsidRPr="00F1083F">
        <w:rPr>
          <w:rFonts w:asciiTheme="minorHAnsi" w:hAnsiTheme="minorHAnsi" w:cstheme="minorHAnsi"/>
          <w:szCs w:val="26"/>
        </w:rPr>
        <w:t xml:space="preserve"> </w:t>
      </w:r>
      <w:r w:rsidRPr="00F1083F">
        <w:rPr>
          <w:rFonts w:asciiTheme="minorHAnsi" w:hAnsiTheme="minorHAnsi" w:cstheme="minorHAnsi"/>
          <w:szCs w:val="26"/>
        </w:rPr>
        <w:t>related.  Dr. De La Cruz testified that he himself had committed several</w:t>
      </w:r>
      <w:r w:rsidRPr="00F1083F">
        <w:rPr>
          <w:rFonts w:asciiTheme="minorHAnsi" w:hAnsiTheme="minorHAnsi" w:cstheme="minorHAnsi"/>
          <w:szCs w:val="26"/>
        </w:rPr>
        <w:t xml:space="preserve"> crimes, some related to the gang and others unrelated.</w:t>
      </w:r>
    </w:p>
    <w:p w14:paraId="04B8F034" w14:textId="2FC69487"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Dr. De La Cruz testified that a person may be a member of a Sure</w:t>
      </w:r>
      <w:r w:rsidR="003B5078" w:rsidRPr="00F1083F">
        <w:rPr>
          <w:rFonts w:asciiTheme="minorHAnsi" w:hAnsiTheme="minorHAnsi" w:cstheme="minorHAnsi"/>
          <w:szCs w:val="26"/>
        </w:rPr>
        <w:t>ñ</w:t>
      </w:r>
      <w:r w:rsidRPr="00F1083F">
        <w:rPr>
          <w:rFonts w:asciiTheme="minorHAnsi" w:hAnsiTheme="minorHAnsi" w:cstheme="minorHAnsi"/>
          <w:szCs w:val="26"/>
        </w:rPr>
        <w:t>o subset without being a Sure</w:t>
      </w:r>
      <w:r w:rsidR="003B5078" w:rsidRPr="00F1083F">
        <w:rPr>
          <w:rFonts w:asciiTheme="minorHAnsi" w:hAnsiTheme="minorHAnsi" w:cstheme="minorHAnsi"/>
          <w:szCs w:val="26"/>
        </w:rPr>
        <w:t>ñ</w:t>
      </w:r>
      <w:r w:rsidRPr="00F1083F">
        <w:rPr>
          <w:rFonts w:asciiTheme="minorHAnsi" w:hAnsiTheme="minorHAnsi" w:cstheme="minorHAnsi"/>
          <w:szCs w:val="26"/>
        </w:rPr>
        <w:t>o.  Alternatively, a person can be in a subset and the Sure</w:t>
      </w:r>
      <w:r w:rsidR="003B5078" w:rsidRPr="00F1083F">
        <w:rPr>
          <w:rFonts w:asciiTheme="minorHAnsi" w:hAnsiTheme="minorHAnsi" w:cstheme="minorHAnsi"/>
          <w:szCs w:val="26"/>
        </w:rPr>
        <w:t>ñ</w:t>
      </w:r>
      <w:r w:rsidRPr="00F1083F">
        <w:rPr>
          <w:rFonts w:asciiTheme="minorHAnsi" w:hAnsiTheme="minorHAnsi" w:cstheme="minorHAnsi"/>
          <w:szCs w:val="26"/>
        </w:rPr>
        <w:t>o gang itself.</w:t>
      </w:r>
    </w:p>
    <w:p w14:paraId="45E3BB54" w14:textId="77777777" w:rsidR="00483240" w:rsidRPr="00F1083F" w:rsidRDefault="00E502BC" w:rsidP="003B5078">
      <w:pPr>
        <w:keepNext/>
        <w:jc w:val="center"/>
        <w:rPr>
          <w:rFonts w:asciiTheme="minorHAnsi" w:hAnsiTheme="minorHAnsi" w:cstheme="minorHAnsi"/>
          <w:b/>
          <w:bCs/>
          <w:szCs w:val="26"/>
        </w:rPr>
      </w:pPr>
      <w:r w:rsidRPr="00F1083F">
        <w:rPr>
          <w:rFonts w:asciiTheme="minorHAnsi" w:hAnsiTheme="minorHAnsi" w:cstheme="minorHAnsi"/>
          <w:b/>
          <w:bCs/>
          <w:szCs w:val="26"/>
        </w:rPr>
        <w:t>DISCUSSION</w:t>
      </w:r>
    </w:p>
    <w:p w14:paraId="410B69C3" w14:textId="1D4FBCB4" w:rsidR="00483240" w:rsidRPr="00F1083F" w:rsidRDefault="00E502BC" w:rsidP="003B5078">
      <w:pPr>
        <w:pStyle w:val="ListParagraph"/>
        <w:numPr>
          <w:ilvl w:val="0"/>
          <w:numId w:val="2"/>
        </w:numPr>
        <w:spacing w:before="240" w:line="240" w:lineRule="auto"/>
        <w:ind w:left="720"/>
        <w:contextualSpacing w:val="0"/>
        <w:rPr>
          <w:rFonts w:asciiTheme="minorHAnsi" w:hAnsiTheme="minorHAnsi" w:cstheme="minorHAnsi"/>
          <w:b/>
          <w:bCs/>
          <w:szCs w:val="26"/>
        </w:rPr>
      </w:pPr>
      <w:r w:rsidRPr="00F1083F">
        <w:rPr>
          <w:rFonts w:asciiTheme="minorHAnsi" w:hAnsiTheme="minorHAnsi" w:cstheme="minorHAnsi"/>
          <w:b/>
          <w:bCs/>
          <w:szCs w:val="26"/>
        </w:rPr>
        <w:t>Prosecution was not Required to Show Connection Between Sure</w:t>
      </w:r>
      <w:r w:rsidR="003B5078" w:rsidRPr="00F1083F">
        <w:rPr>
          <w:rFonts w:asciiTheme="minorHAnsi" w:hAnsiTheme="minorHAnsi" w:cstheme="minorHAnsi"/>
          <w:b/>
          <w:bCs/>
          <w:szCs w:val="26"/>
        </w:rPr>
        <w:t>ñ</w:t>
      </w:r>
      <w:r w:rsidRPr="00F1083F">
        <w:rPr>
          <w:rFonts w:asciiTheme="minorHAnsi" w:hAnsiTheme="minorHAnsi" w:cstheme="minorHAnsi"/>
          <w:b/>
          <w:bCs/>
          <w:szCs w:val="26"/>
        </w:rPr>
        <w:t>o Subsets</w:t>
      </w:r>
    </w:p>
    <w:p w14:paraId="6DE54683" w14:textId="77777777" w:rsidR="00483240" w:rsidRPr="00F1083F" w:rsidRDefault="00E502BC" w:rsidP="003B5078">
      <w:pPr>
        <w:pStyle w:val="ListParagraph"/>
        <w:keepNext/>
        <w:numPr>
          <w:ilvl w:val="0"/>
          <w:numId w:val="3"/>
        </w:numPr>
        <w:ind w:left="1440" w:hanging="720"/>
        <w:rPr>
          <w:rFonts w:asciiTheme="minorHAnsi" w:hAnsiTheme="minorHAnsi" w:cstheme="minorHAnsi"/>
          <w:b/>
          <w:bCs/>
          <w:i/>
          <w:iCs/>
          <w:szCs w:val="26"/>
        </w:rPr>
      </w:pPr>
      <w:r w:rsidRPr="00F1083F">
        <w:rPr>
          <w:rFonts w:asciiTheme="minorHAnsi" w:hAnsiTheme="minorHAnsi" w:cstheme="minorHAnsi"/>
          <w:b/>
          <w:bCs/>
          <w:i/>
          <w:iCs/>
          <w:szCs w:val="26"/>
        </w:rPr>
        <w:t>Introduction</w:t>
      </w:r>
    </w:p>
    <w:p w14:paraId="0FCF0648" w14:textId="5CCD5E33"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Carrillo argues the gang enhancement was not supported by substantial evidence.</w:t>
      </w:r>
      <w:r>
        <w:rPr>
          <w:rStyle w:val="FootnoteReference"/>
          <w:rFonts w:asciiTheme="minorHAnsi" w:hAnsiTheme="minorHAnsi" w:cstheme="minorHAnsi"/>
        </w:rPr>
        <w:footnoteReference w:id="10"/>
      </w:r>
      <w:r w:rsidRPr="00F1083F">
        <w:rPr>
          <w:rFonts w:asciiTheme="minorHAnsi" w:hAnsiTheme="minorHAnsi" w:cstheme="minorHAnsi"/>
          <w:szCs w:val="26"/>
        </w:rPr>
        <w:t xml:space="preserve"> </w:t>
      </w:r>
      <w:r w:rsidR="003B5078" w:rsidRPr="00F1083F">
        <w:rPr>
          <w:rFonts w:asciiTheme="minorHAnsi" w:hAnsiTheme="minorHAnsi" w:cstheme="minorHAnsi"/>
          <w:szCs w:val="26"/>
        </w:rPr>
        <w:t xml:space="preserve"> </w:t>
      </w:r>
      <w:r w:rsidRPr="00F1083F">
        <w:rPr>
          <w:rFonts w:asciiTheme="minorHAnsi" w:hAnsiTheme="minorHAnsi" w:cstheme="minorHAnsi"/>
          <w:szCs w:val="26"/>
        </w:rPr>
        <w:t>Specifically, he argues that “because the government’s theory was that the gang appellant</w:t>
      </w:r>
      <w:r w:rsidRPr="00F1083F">
        <w:rPr>
          <w:rFonts w:asciiTheme="minorHAnsi" w:hAnsiTheme="minorHAnsi" w:cstheme="minorHAnsi"/>
          <w:szCs w:val="26"/>
        </w:rPr>
        <w:t>s benefitted for purposes of the enhancement was the broader Sure</w:t>
      </w:r>
      <w:r w:rsidR="003B5078" w:rsidRPr="00F1083F">
        <w:rPr>
          <w:rFonts w:asciiTheme="minorHAnsi" w:hAnsiTheme="minorHAnsi" w:cstheme="minorHAnsi"/>
          <w:szCs w:val="26"/>
        </w:rPr>
        <w:t>[ñ]</w:t>
      </w:r>
      <w:r w:rsidRPr="00F1083F">
        <w:rPr>
          <w:rFonts w:asciiTheme="minorHAnsi" w:hAnsiTheme="minorHAnsi" w:cstheme="minorHAnsi"/>
          <w:szCs w:val="26"/>
        </w:rPr>
        <w:t xml:space="preserve">os gang, under </w:t>
      </w:r>
      <w:r w:rsidR="00914248" w:rsidRPr="00F1083F">
        <w:rPr>
          <w:rFonts w:asciiTheme="minorHAnsi" w:hAnsiTheme="minorHAnsi" w:cstheme="minorHAnsi"/>
          <w:szCs w:val="26"/>
        </w:rPr>
        <w:t>[</w:t>
      </w:r>
      <w:r w:rsidR="00914248" w:rsidRPr="00F1083F">
        <w:rPr>
          <w:rFonts w:asciiTheme="minorHAnsi" w:hAnsiTheme="minorHAnsi" w:cstheme="minorHAnsi"/>
          <w:i/>
          <w:iCs/>
          <w:szCs w:val="26"/>
        </w:rPr>
        <w:t>People v.</w:t>
      </w:r>
      <w:r w:rsidR="00914248" w:rsidRPr="00F1083F">
        <w:rPr>
          <w:rFonts w:asciiTheme="minorHAnsi" w:hAnsiTheme="minorHAnsi" w:cstheme="minorHAnsi"/>
          <w:szCs w:val="26"/>
        </w:rPr>
        <w:t xml:space="preserve">] </w:t>
      </w:r>
      <w:r w:rsidRPr="00F1083F">
        <w:rPr>
          <w:rFonts w:asciiTheme="minorHAnsi" w:hAnsiTheme="minorHAnsi" w:cstheme="minorHAnsi"/>
          <w:i/>
          <w:iCs/>
          <w:szCs w:val="26"/>
        </w:rPr>
        <w:t xml:space="preserve">Prunty </w:t>
      </w:r>
      <w:r w:rsidR="00914248" w:rsidRPr="00F1083F">
        <w:rPr>
          <w:rFonts w:asciiTheme="minorHAnsi" w:hAnsiTheme="minorHAnsi" w:cstheme="minorHAnsi"/>
          <w:szCs w:val="26"/>
        </w:rPr>
        <w:t>[(2015) 62 Cal.4th 59 (</w:t>
      </w:r>
      <w:r w:rsidR="00914248" w:rsidRPr="00F1083F">
        <w:rPr>
          <w:rFonts w:asciiTheme="minorHAnsi" w:hAnsiTheme="minorHAnsi" w:cstheme="minorHAnsi"/>
          <w:i/>
          <w:iCs/>
          <w:szCs w:val="26"/>
        </w:rPr>
        <w:t>Prunty</w:t>
      </w:r>
      <w:r w:rsidR="00914248" w:rsidRPr="00F1083F">
        <w:rPr>
          <w:rFonts w:asciiTheme="minorHAnsi" w:hAnsiTheme="minorHAnsi" w:cstheme="minorHAnsi"/>
          <w:szCs w:val="26"/>
        </w:rPr>
        <w:t xml:space="preserve">),] </w:t>
      </w:r>
      <w:r w:rsidRPr="00F1083F">
        <w:rPr>
          <w:rFonts w:asciiTheme="minorHAnsi" w:hAnsiTheme="minorHAnsi" w:cstheme="minorHAnsi"/>
          <w:szCs w:val="26"/>
        </w:rPr>
        <w:t>it had to show a connection between the local subsets and the Sure</w:t>
      </w:r>
      <w:r w:rsidR="003B5078" w:rsidRPr="00F1083F">
        <w:rPr>
          <w:rFonts w:asciiTheme="minorHAnsi" w:hAnsiTheme="minorHAnsi" w:cstheme="minorHAnsi"/>
          <w:szCs w:val="26"/>
        </w:rPr>
        <w:t>[ñ]</w:t>
      </w:r>
      <w:r w:rsidRPr="00F1083F">
        <w:rPr>
          <w:rFonts w:asciiTheme="minorHAnsi" w:hAnsiTheme="minorHAnsi" w:cstheme="minorHAnsi"/>
          <w:szCs w:val="26"/>
        </w:rPr>
        <w:t xml:space="preserve">os.”  Carrillo contends the prosecution failed to </w:t>
      </w:r>
      <w:r w:rsidRPr="00F1083F">
        <w:rPr>
          <w:rFonts w:asciiTheme="minorHAnsi" w:hAnsiTheme="minorHAnsi" w:cstheme="minorHAnsi"/>
          <w:szCs w:val="26"/>
        </w:rPr>
        <w:t>show this requisite connection.</w:t>
      </w:r>
    </w:p>
    <w:p w14:paraId="1430A0D8" w14:textId="785068F5" w:rsidR="00483240" w:rsidRPr="00F1083F" w:rsidRDefault="00E502BC" w:rsidP="00483240">
      <w:pPr>
        <w:rPr>
          <w:rFonts w:asciiTheme="minorHAnsi" w:hAnsiTheme="minorHAnsi" w:cstheme="minorHAnsi"/>
          <w:szCs w:val="26"/>
        </w:rPr>
      </w:pPr>
      <w:r w:rsidRPr="00F1083F">
        <w:rPr>
          <w:rFonts w:asciiTheme="minorHAnsi" w:hAnsiTheme="minorHAnsi" w:cstheme="minorHAnsi"/>
          <w:szCs w:val="26"/>
        </w:rPr>
        <w:lastRenderedPageBreak/>
        <w:tab/>
        <w:t xml:space="preserve">As we will explain, Carrillo’s legal premise is flawed. </w:t>
      </w:r>
      <w:r w:rsidR="003B5078" w:rsidRPr="00F1083F">
        <w:rPr>
          <w:rFonts w:asciiTheme="minorHAnsi" w:hAnsiTheme="minorHAnsi" w:cstheme="minorHAnsi"/>
          <w:szCs w:val="26"/>
        </w:rPr>
        <w:t xml:space="preserve"> </w:t>
      </w:r>
      <w:r w:rsidRPr="00F1083F">
        <w:rPr>
          <w:rFonts w:asciiTheme="minorHAnsi" w:hAnsiTheme="minorHAnsi" w:cstheme="minorHAnsi"/>
          <w:szCs w:val="26"/>
        </w:rPr>
        <w:t>The prosecution did not have to show a connection between the subsets and the broader Sure</w:t>
      </w:r>
      <w:r w:rsidR="003B5078" w:rsidRPr="00F1083F">
        <w:rPr>
          <w:rFonts w:asciiTheme="minorHAnsi" w:hAnsiTheme="minorHAnsi" w:cstheme="minorHAnsi"/>
          <w:szCs w:val="26"/>
        </w:rPr>
        <w:t>ñ</w:t>
      </w:r>
      <w:r w:rsidRPr="00F1083F">
        <w:rPr>
          <w:rFonts w:asciiTheme="minorHAnsi" w:hAnsiTheme="minorHAnsi" w:cstheme="minorHAnsi"/>
          <w:szCs w:val="26"/>
        </w:rPr>
        <w:t>o gang, so long as it otherwise showed that the group defendant acted in as</w:t>
      </w:r>
      <w:r w:rsidRPr="00F1083F">
        <w:rPr>
          <w:rFonts w:asciiTheme="minorHAnsi" w:hAnsiTheme="minorHAnsi" w:cstheme="minorHAnsi"/>
          <w:szCs w:val="26"/>
        </w:rPr>
        <w:t xml:space="preserve">sociation with, “the group that committed the predicate offenses, and the group whose primary activities are introduced, is one and the same.” </w:t>
      </w:r>
      <w:r w:rsidR="003B5078" w:rsidRPr="00F1083F">
        <w:rPr>
          <w:rFonts w:asciiTheme="minorHAnsi" w:hAnsiTheme="minorHAnsi" w:cstheme="minorHAnsi"/>
          <w:szCs w:val="26"/>
        </w:rPr>
        <w:t xml:space="preserve"> </w:t>
      </w:r>
      <w:r w:rsidRPr="00F1083F">
        <w:rPr>
          <w:rFonts w:asciiTheme="minorHAnsi" w:hAnsiTheme="minorHAnsi" w:cstheme="minorHAnsi"/>
          <w:szCs w:val="26"/>
        </w:rPr>
        <w:t>(</w:t>
      </w:r>
      <w:r w:rsidRPr="00F1083F">
        <w:rPr>
          <w:rFonts w:asciiTheme="minorHAnsi" w:hAnsiTheme="minorHAnsi" w:cstheme="minorHAnsi"/>
          <w:i/>
          <w:iCs/>
          <w:szCs w:val="26"/>
        </w:rPr>
        <w:t>Prunty</w:t>
      </w:r>
      <w:r w:rsidRPr="00F1083F">
        <w:rPr>
          <w:rFonts w:asciiTheme="minorHAnsi" w:hAnsiTheme="minorHAnsi" w:cstheme="minorHAnsi"/>
          <w:szCs w:val="26"/>
        </w:rPr>
        <w:t xml:space="preserve">, </w:t>
      </w:r>
      <w:r w:rsidR="00914248" w:rsidRPr="00F1083F">
        <w:rPr>
          <w:rFonts w:asciiTheme="minorHAnsi" w:hAnsiTheme="minorHAnsi" w:cstheme="minorHAnsi"/>
          <w:i/>
          <w:iCs/>
          <w:szCs w:val="26"/>
        </w:rPr>
        <w:t>supra</w:t>
      </w:r>
      <w:r w:rsidR="00914248" w:rsidRPr="00F1083F">
        <w:rPr>
          <w:rFonts w:asciiTheme="minorHAnsi" w:hAnsiTheme="minorHAnsi" w:cstheme="minorHAnsi"/>
          <w:szCs w:val="26"/>
        </w:rPr>
        <w:t xml:space="preserve">, 62 Cal.4th </w:t>
      </w:r>
      <w:r w:rsidRPr="00F1083F">
        <w:rPr>
          <w:rFonts w:asciiTheme="minorHAnsi" w:hAnsiTheme="minorHAnsi" w:cstheme="minorHAnsi"/>
          <w:szCs w:val="26"/>
        </w:rPr>
        <w:t>at p.</w:t>
      </w:r>
      <w:r w:rsidR="003B5078" w:rsidRPr="00F1083F">
        <w:rPr>
          <w:rFonts w:asciiTheme="minorHAnsi" w:hAnsiTheme="minorHAnsi" w:cstheme="minorHAnsi"/>
          <w:szCs w:val="26"/>
        </w:rPr>
        <w:t> </w:t>
      </w:r>
      <w:r w:rsidRPr="00F1083F">
        <w:rPr>
          <w:rFonts w:asciiTheme="minorHAnsi" w:hAnsiTheme="minorHAnsi" w:cstheme="minorHAnsi"/>
          <w:szCs w:val="26"/>
        </w:rPr>
        <w:t xml:space="preserve">81.) </w:t>
      </w:r>
      <w:r w:rsidR="003B5078" w:rsidRPr="00F1083F">
        <w:rPr>
          <w:rFonts w:asciiTheme="minorHAnsi" w:hAnsiTheme="minorHAnsi" w:cstheme="minorHAnsi"/>
          <w:szCs w:val="26"/>
        </w:rPr>
        <w:t xml:space="preserve"> </w:t>
      </w:r>
      <w:r w:rsidRPr="00F1083F">
        <w:rPr>
          <w:rFonts w:asciiTheme="minorHAnsi" w:hAnsiTheme="minorHAnsi" w:cstheme="minorHAnsi"/>
          <w:szCs w:val="26"/>
        </w:rPr>
        <w:t xml:space="preserve">Because the prosecution showed that the </w:t>
      </w:r>
      <w:r w:rsidRPr="00F1083F">
        <w:rPr>
          <w:rFonts w:asciiTheme="minorHAnsi" w:hAnsiTheme="minorHAnsi" w:cstheme="minorHAnsi"/>
          <w:i/>
          <w:iCs/>
          <w:szCs w:val="26"/>
        </w:rPr>
        <w:t>broader</w:t>
      </w:r>
      <w:r w:rsidRPr="00F1083F">
        <w:rPr>
          <w:rFonts w:asciiTheme="minorHAnsi" w:hAnsiTheme="minorHAnsi" w:cstheme="minorHAnsi"/>
          <w:szCs w:val="26"/>
        </w:rPr>
        <w:t xml:space="preserve"> Sure</w:t>
      </w:r>
      <w:r w:rsidR="003B5078" w:rsidRPr="00F1083F">
        <w:rPr>
          <w:rFonts w:asciiTheme="minorHAnsi" w:hAnsiTheme="minorHAnsi" w:cstheme="minorHAnsi"/>
          <w:szCs w:val="26"/>
        </w:rPr>
        <w:t>ñ</w:t>
      </w:r>
      <w:r w:rsidRPr="00F1083F">
        <w:rPr>
          <w:rFonts w:asciiTheme="minorHAnsi" w:hAnsiTheme="minorHAnsi" w:cstheme="minorHAnsi"/>
          <w:szCs w:val="26"/>
        </w:rPr>
        <w:t>o gang satisfied all</w:t>
      </w:r>
      <w:r w:rsidRPr="00F1083F">
        <w:rPr>
          <w:rFonts w:asciiTheme="minorHAnsi" w:hAnsiTheme="minorHAnsi" w:cstheme="minorHAnsi"/>
          <w:szCs w:val="26"/>
        </w:rPr>
        <w:t xml:space="preserve"> three, it need not show a connection between subsets.</w:t>
      </w:r>
      <w:r w:rsidR="003B5078" w:rsidRPr="00F1083F">
        <w:rPr>
          <w:rFonts w:asciiTheme="minorHAnsi" w:hAnsiTheme="minorHAnsi" w:cstheme="minorHAnsi"/>
          <w:szCs w:val="26"/>
        </w:rPr>
        <w:t xml:space="preserve"> </w:t>
      </w:r>
      <w:r w:rsidRPr="00F1083F">
        <w:rPr>
          <w:rFonts w:asciiTheme="minorHAnsi" w:hAnsiTheme="minorHAnsi" w:cstheme="minorHAnsi"/>
          <w:szCs w:val="26"/>
        </w:rPr>
        <w:t xml:space="preserve"> (See, e.g., </w:t>
      </w:r>
      <w:r w:rsidRPr="00F1083F">
        <w:rPr>
          <w:rFonts w:asciiTheme="minorHAnsi" w:hAnsiTheme="minorHAnsi" w:cstheme="minorHAnsi"/>
          <w:i/>
          <w:iCs/>
          <w:szCs w:val="26"/>
        </w:rPr>
        <w:t>People v. Pettie</w:t>
      </w:r>
      <w:r w:rsidRPr="00F1083F">
        <w:rPr>
          <w:rFonts w:asciiTheme="minorHAnsi" w:hAnsiTheme="minorHAnsi" w:cstheme="minorHAnsi"/>
          <w:szCs w:val="26"/>
        </w:rPr>
        <w:t xml:space="preserve"> (2017) 16 Cal.App.5th 23, 49–50.)</w:t>
      </w:r>
      <w:r w:rsidR="003B5078" w:rsidRPr="00F1083F">
        <w:rPr>
          <w:rFonts w:asciiTheme="minorHAnsi" w:hAnsiTheme="minorHAnsi" w:cstheme="minorHAnsi"/>
          <w:szCs w:val="26"/>
        </w:rPr>
        <w:t xml:space="preserve"> </w:t>
      </w:r>
      <w:r w:rsidRPr="00F1083F">
        <w:rPr>
          <w:rFonts w:asciiTheme="minorHAnsi" w:hAnsiTheme="minorHAnsi" w:cstheme="minorHAnsi"/>
          <w:szCs w:val="26"/>
        </w:rPr>
        <w:t xml:space="preserve"> We reject defendants</w:t>
      </w:r>
      <w:r w:rsidR="00572295">
        <w:rPr>
          <w:rFonts w:asciiTheme="minorHAnsi" w:hAnsiTheme="minorHAnsi" w:cstheme="minorHAnsi"/>
          <w:szCs w:val="26"/>
        </w:rPr>
        <w:t>’</w:t>
      </w:r>
      <w:r w:rsidRPr="00F1083F">
        <w:rPr>
          <w:rFonts w:asciiTheme="minorHAnsi" w:hAnsiTheme="minorHAnsi" w:cstheme="minorHAnsi"/>
          <w:szCs w:val="26"/>
        </w:rPr>
        <w:t xml:space="preserve"> challenge.</w:t>
      </w:r>
    </w:p>
    <w:p w14:paraId="28974A26" w14:textId="77777777" w:rsidR="00483240" w:rsidRPr="00F1083F" w:rsidRDefault="00E502BC" w:rsidP="003B5078">
      <w:pPr>
        <w:pStyle w:val="ListParagraph"/>
        <w:keepNext/>
        <w:numPr>
          <w:ilvl w:val="0"/>
          <w:numId w:val="3"/>
        </w:numPr>
        <w:ind w:left="1440" w:hanging="720"/>
        <w:rPr>
          <w:rFonts w:asciiTheme="minorHAnsi" w:hAnsiTheme="minorHAnsi" w:cstheme="minorHAnsi"/>
          <w:b/>
          <w:bCs/>
          <w:i/>
          <w:iCs/>
          <w:szCs w:val="26"/>
        </w:rPr>
      </w:pPr>
      <w:r w:rsidRPr="00F1083F">
        <w:rPr>
          <w:rFonts w:asciiTheme="minorHAnsi" w:hAnsiTheme="minorHAnsi" w:cstheme="minorHAnsi"/>
          <w:b/>
          <w:bCs/>
          <w:i/>
          <w:iCs/>
          <w:szCs w:val="26"/>
        </w:rPr>
        <w:t>Law</w:t>
      </w:r>
    </w:p>
    <w:p w14:paraId="4F0458D0" w14:textId="3DA44AC0" w:rsidR="00483240" w:rsidRPr="00F1083F" w:rsidRDefault="00E502BC" w:rsidP="00483240">
      <w:pPr>
        <w:rPr>
          <w:rFonts w:asciiTheme="minorHAnsi" w:hAnsiTheme="minorHAnsi" w:cstheme="minorHAnsi"/>
          <w:szCs w:val="26"/>
        </w:rPr>
      </w:pPr>
      <w:r w:rsidRPr="00F1083F">
        <w:rPr>
          <w:rFonts w:asciiTheme="minorHAnsi" w:hAnsiTheme="minorHAnsi" w:cstheme="minorHAnsi"/>
          <w:i/>
          <w:iCs/>
          <w:szCs w:val="26"/>
        </w:rPr>
        <w:tab/>
      </w:r>
      <w:r w:rsidRPr="00F1083F">
        <w:rPr>
          <w:rFonts w:asciiTheme="minorHAnsi" w:hAnsiTheme="minorHAnsi" w:cstheme="minorHAnsi"/>
          <w:szCs w:val="26"/>
        </w:rPr>
        <w:t>To establish the existence of a gang under the Street Terrorism Enforcement and Protection Act, al</w:t>
      </w:r>
      <w:r w:rsidRPr="00F1083F">
        <w:rPr>
          <w:rFonts w:asciiTheme="minorHAnsi" w:hAnsiTheme="minorHAnsi" w:cstheme="minorHAnsi"/>
          <w:szCs w:val="26"/>
        </w:rPr>
        <w:t>so known as the STEP Act (§</w:t>
      </w:r>
      <w:r w:rsidR="003B5078" w:rsidRPr="00F1083F">
        <w:rPr>
          <w:rFonts w:asciiTheme="minorHAnsi" w:hAnsiTheme="minorHAnsi" w:cstheme="minorHAnsi"/>
          <w:szCs w:val="26"/>
        </w:rPr>
        <w:t> </w:t>
      </w:r>
      <w:r w:rsidRPr="00F1083F">
        <w:rPr>
          <w:rFonts w:asciiTheme="minorHAnsi" w:hAnsiTheme="minorHAnsi" w:cstheme="minorHAnsi"/>
          <w:szCs w:val="26"/>
        </w:rPr>
        <w:t>186.20 et seq.), “the prosecution must prove that the gang (1)</w:t>
      </w:r>
      <w:r w:rsidR="003B5078" w:rsidRPr="00F1083F">
        <w:rPr>
          <w:rFonts w:asciiTheme="minorHAnsi" w:hAnsiTheme="minorHAnsi" w:cstheme="minorHAnsi"/>
          <w:szCs w:val="26"/>
        </w:rPr>
        <w:t> </w:t>
      </w:r>
      <w:r w:rsidRPr="00F1083F">
        <w:rPr>
          <w:rFonts w:asciiTheme="minorHAnsi" w:hAnsiTheme="minorHAnsi" w:cstheme="minorHAnsi"/>
          <w:szCs w:val="26"/>
        </w:rPr>
        <w:t>is an ongoing association of three or more persons with a common name or common identifying sign or symbol; (2)</w:t>
      </w:r>
      <w:r w:rsidR="003B5078" w:rsidRPr="00F1083F">
        <w:rPr>
          <w:rFonts w:asciiTheme="minorHAnsi" w:hAnsiTheme="minorHAnsi" w:cstheme="minorHAnsi"/>
          <w:szCs w:val="26"/>
        </w:rPr>
        <w:t> </w:t>
      </w:r>
      <w:r w:rsidRPr="00F1083F">
        <w:rPr>
          <w:rFonts w:asciiTheme="minorHAnsi" w:hAnsiTheme="minorHAnsi" w:cstheme="minorHAnsi"/>
          <w:szCs w:val="26"/>
        </w:rPr>
        <w:t xml:space="preserve">has as one of its primary activities the </w:t>
      </w:r>
      <w:r w:rsidRPr="00F1083F">
        <w:rPr>
          <w:rFonts w:asciiTheme="minorHAnsi" w:hAnsiTheme="minorHAnsi" w:cstheme="minorHAnsi"/>
          <w:szCs w:val="26"/>
        </w:rPr>
        <w:t>commission of one or more of the criminal acts enumerated in the statute; and (3)</w:t>
      </w:r>
      <w:r w:rsidR="003B5078" w:rsidRPr="00F1083F">
        <w:rPr>
          <w:rFonts w:asciiTheme="minorHAnsi" w:hAnsiTheme="minorHAnsi" w:cstheme="minorHAnsi"/>
          <w:szCs w:val="26"/>
        </w:rPr>
        <w:t> </w:t>
      </w:r>
      <w:r w:rsidRPr="00F1083F">
        <w:rPr>
          <w:rFonts w:asciiTheme="minorHAnsi" w:hAnsiTheme="minorHAnsi" w:cstheme="minorHAnsi"/>
          <w:szCs w:val="26"/>
        </w:rPr>
        <w:t xml:space="preserve">includes members who either individually or collectively have engaged in a ‘pattern of criminal gang activity’ by committing, attempting to commit, or soliciting </w:t>
      </w:r>
      <w:r w:rsidRPr="00F1083F">
        <w:rPr>
          <w:rFonts w:asciiTheme="minorHAnsi" w:hAnsiTheme="minorHAnsi" w:cstheme="minorHAnsi"/>
          <w:i/>
          <w:iCs/>
          <w:szCs w:val="26"/>
        </w:rPr>
        <w:t>two or more</w:t>
      </w:r>
      <w:r w:rsidRPr="00F1083F">
        <w:rPr>
          <w:rFonts w:asciiTheme="minorHAnsi" w:hAnsiTheme="minorHAnsi" w:cstheme="minorHAnsi"/>
          <w:szCs w:val="26"/>
        </w:rPr>
        <w:t xml:space="preserve"> </w:t>
      </w:r>
      <w:r w:rsidRPr="00F1083F">
        <w:rPr>
          <w:rFonts w:asciiTheme="minorHAnsi" w:hAnsiTheme="minorHAnsi" w:cstheme="minorHAnsi"/>
          <w:szCs w:val="26"/>
        </w:rPr>
        <w:t>of the enumerated offenses (the so-called ‘predicate offenses’) during the statutorily defined period.</w:t>
      </w:r>
      <w:r w:rsidR="003B5078" w:rsidRPr="00F1083F">
        <w:rPr>
          <w:rFonts w:asciiTheme="minorHAnsi" w:hAnsiTheme="minorHAnsi" w:cstheme="minorHAnsi"/>
          <w:szCs w:val="26"/>
        </w:rPr>
        <w:t xml:space="preserve"> </w:t>
      </w:r>
      <w:r w:rsidRPr="00F1083F">
        <w:rPr>
          <w:rFonts w:asciiTheme="minorHAnsi" w:hAnsiTheme="minorHAnsi" w:cstheme="minorHAnsi"/>
          <w:szCs w:val="26"/>
        </w:rPr>
        <w:t xml:space="preserve"> [Citation.]” </w:t>
      </w:r>
      <w:r w:rsidR="003B5078" w:rsidRPr="00F1083F">
        <w:rPr>
          <w:rFonts w:asciiTheme="minorHAnsi" w:hAnsiTheme="minorHAnsi" w:cstheme="minorHAnsi"/>
          <w:szCs w:val="26"/>
        </w:rPr>
        <w:t xml:space="preserve"> </w:t>
      </w:r>
      <w:r w:rsidRPr="00F1083F">
        <w:rPr>
          <w:rFonts w:asciiTheme="minorHAnsi" w:hAnsiTheme="minorHAnsi" w:cstheme="minorHAnsi"/>
          <w:szCs w:val="26"/>
        </w:rPr>
        <w:t>(</w:t>
      </w:r>
      <w:r w:rsidRPr="00F1083F">
        <w:rPr>
          <w:rFonts w:asciiTheme="minorHAnsi" w:hAnsiTheme="minorHAnsi" w:cstheme="minorHAnsi"/>
          <w:i/>
          <w:iCs/>
          <w:szCs w:val="26"/>
        </w:rPr>
        <w:t>People v. Gardeley</w:t>
      </w:r>
      <w:r w:rsidRPr="00F1083F">
        <w:rPr>
          <w:rFonts w:asciiTheme="minorHAnsi" w:hAnsiTheme="minorHAnsi" w:cstheme="minorHAnsi"/>
          <w:szCs w:val="26"/>
        </w:rPr>
        <w:t xml:space="preserve"> (1996) 14 Cal.4th 605, 617</w:t>
      </w:r>
      <w:r w:rsidR="003B5078" w:rsidRPr="00F1083F">
        <w:rPr>
          <w:rFonts w:asciiTheme="minorHAnsi" w:hAnsiTheme="minorHAnsi" w:cstheme="minorHAnsi"/>
          <w:szCs w:val="26"/>
        </w:rPr>
        <w:t xml:space="preserve"> </w:t>
      </w:r>
      <w:r w:rsidRPr="00F1083F">
        <w:rPr>
          <w:rFonts w:asciiTheme="minorHAnsi" w:hAnsiTheme="minorHAnsi" w:cstheme="minorHAnsi"/>
          <w:szCs w:val="26"/>
        </w:rPr>
        <w:t>(</w:t>
      </w:r>
      <w:r w:rsidRPr="00F1083F">
        <w:rPr>
          <w:rFonts w:asciiTheme="minorHAnsi" w:hAnsiTheme="minorHAnsi" w:cstheme="minorHAnsi"/>
          <w:i/>
          <w:iCs/>
          <w:szCs w:val="26"/>
        </w:rPr>
        <w:t>Gardeley</w:t>
      </w:r>
      <w:r w:rsidRPr="00F1083F">
        <w:rPr>
          <w:rFonts w:asciiTheme="minorHAnsi" w:hAnsiTheme="minorHAnsi" w:cstheme="minorHAnsi"/>
          <w:szCs w:val="26"/>
        </w:rPr>
        <w:t xml:space="preserve">), disapproved on other grounds in </w:t>
      </w:r>
      <w:r w:rsidRPr="00F1083F">
        <w:rPr>
          <w:rFonts w:asciiTheme="minorHAnsi" w:hAnsiTheme="minorHAnsi" w:cstheme="minorHAnsi"/>
          <w:i/>
          <w:iCs/>
          <w:szCs w:val="26"/>
        </w:rPr>
        <w:t>People v. Sanchez</w:t>
      </w:r>
      <w:r w:rsidRPr="00F1083F">
        <w:rPr>
          <w:rFonts w:asciiTheme="minorHAnsi" w:hAnsiTheme="minorHAnsi" w:cstheme="minorHAnsi"/>
          <w:szCs w:val="26"/>
        </w:rPr>
        <w:t xml:space="preserve"> (2016) 63 Cal.4th 665, 686, f</w:t>
      </w:r>
      <w:r w:rsidRPr="00F1083F">
        <w:rPr>
          <w:rFonts w:asciiTheme="minorHAnsi" w:hAnsiTheme="minorHAnsi" w:cstheme="minorHAnsi"/>
          <w:szCs w:val="26"/>
        </w:rPr>
        <w:t>n.</w:t>
      </w:r>
      <w:r w:rsidR="003B5078" w:rsidRPr="00F1083F">
        <w:rPr>
          <w:rFonts w:asciiTheme="minorHAnsi" w:hAnsiTheme="minorHAnsi" w:cstheme="minorHAnsi"/>
          <w:szCs w:val="26"/>
        </w:rPr>
        <w:t> </w:t>
      </w:r>
      <w:r w:rsidRPr="00F1083F">
        <w:rPr>
          <w:rFonts w:asciiTheme="minorHAnsi" w:hAnsiTheme="minorHAnsi" w:cstheme="minorHAnsi"/>
          <w:szCs w:val="26"/>
        </w:rPr>
        <w:t>13.)</w:t>
      </w:r>
    </w:p>
    <w:p w14:paraId="74D00890" w14:textId="0DA121EA"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To establish the gang enhancement, the prosecution must then show that the relevant crimes were “committed ‘for the benefit of, at the direction of, or in association with’</w:t>
      </w:r>
      <w:r w:rsidR="003B5078" w:rsidRPr="00F1083F">
        <w:rPr>
          <w:rFonts w:asciiTheme="minorHAnsi" w:hAnsiTheme="minorHAnsi" w:cstheme="minorHAnsi"/>
          <w:szCs w:val="26"/>
        </w:rPr>
        <w:t> </w:t>
      </w:r>
      <w:r w:rsidRPr="00F1083F">
        <w:rPr>
          <w:rFonts w:asciiTheme="minorHAnsi" w:hAnsiTheme="minorHAnsi" w:cstheme="minorHAnsi"/>
          <w:szCs w:val="26"/>
        </w:rPr>
        <w:t xml:space="preserve">” the criminal street gang. </w:t>
      </w:r>
      <w:r w:rsidR="003B5078" w:rsidRPr="00F1083F">
        <w:rPr>
          <w:rFonts w:asciiTheme="minorHAnsi" w:hAnsiTheme="minorHAnsi" w:cstheme="minorHAnsi"/>
          <w:szCs w:val="26"/>
        </w:rPr>
        <w:t xml:space="preserve"> </w:t>
      </w:r>
      <w:r w:rsidRPr="00F1083F">
        <w:rPr>
          <w:rFonts w:asciiTheme="minorHAnsi" w:hAnsiTheme="minorHAnsi" w:cstheme="minorHAnsi"/>
          <w:szCs w:val="26"/>
        </w:rPr>
        <w:t>(</w:t>
      </w:r>
      <w:r w:rsidRPr="00F1083F">
        <w:rPr>
          <w:rFonts w:asciiTheme="minorHAnsi" w:hAnsiTheme="minorHAnsi" w:cstheme="minorHAnsi"/>
          <w:i/>
          <w:iCs/>
          <w:szCs w:val="26"/>
        </w:rPr>
        <w:t>Gardeley</w:t>
      </w:r>
      <w:r w:rsidRPr="00F1083F">
        <w:rPr>
          <w:rFonts w:asciiTheme="minorHAnsi" w:hAnsiTheme="minorHAnsi" w:cstheme="minorHAnsi"/>
          <w:szCs w:val="26"/>
        </w:rPr>
        <w:t xml:space="preserve">, </w:t>
      </w:r>
      <w:r w:rsidRPr="00F1083F">
        <w:rPr>
          <w:rFonts w:asciiTheme="minorHAnsi" w:hAnsiTheme="minorHAnsi" w:cstheme="minorHAnsi"/>
          <w:i/>
          <w:iCs/>
          <w:szCs w:val="26"/>
        </w:rPr>
        <w:t>supra</w:t>
      </w:r>
      <w:r w:rsidRPr="00F1083F">
        <w:rPr>
          <w:rFonts w:asciiTheme="minorHAnsi" w:hAnsiTheme="minorHAnsi" w:cstheme="minorHAnsi"/>
          <w:szCs w:val="26"/>
        </w:rPr>
        <w:t>, 14 Cal.4th at pp</w:t>
      </w:r>
      <w:r w:rsidR="003B5078" w:rsidRPr="00F1083F">
        <w:rPr>
          <w:rFonts w:asciiTheme="minorHAnsi" w:hAnsiTheme="minorHAnsi" w:cstheme="minorHAnsi"/>
          <w:szCs w:val="26"/>
        </w:rPr>
        <w:t>. </w:t>
      </w:r>
      <w:r w:rsidRPr="00F1083F">
        <w:rPr>
          <w:rFonts w:asciiTheme="minorHAnsi" w:hAnsiTheme="minorHAnsi" w:cstheme="minorHAnsi"/>
          <w:szCs w:val="26"/>
        </w:rPr>
        <w:t xml:space="preserve"> 609–610.)</w:t>
      </w:r>
    </w:p>
    <w:p w14:paraId="6BE576D1" w14:textId="486EEE6A" w:rsidR="00483240" w:rsidRPr="00F1083F" w:rsidRDefault="00E502BC" w:rsidP="003B5078">
      <w:pPr>
        <w:pStyle w:val="ListParagraph"/>
        <w:keepNext/>
        <w:numPr>
          <w:ilvl w:val="0"/>
          <w:numId w:val="3"/>
        </w:numPr>
        <w:ind w:left="1440" w:hanging="720"/>
        <w:rPr>
          <w:rFonts w:asciiTheme="minorHAnsi" w:hAnsiTheme="minorHAnsi" w:cstheme="minorHAnsi"/>
          <w:b/>
          <w:bCs/>
          <w:i/>
          <w:iCs/>
          <w:szCs w:val="26"/>
        </w:rPr>
      </w:pPr>
      <w:r w:rsidRPr="00F1083F">
        <w:rPr>
          <w:rFonts w:asciiTheme="minorHAnsi" w:hAnsiTheme="minorHAnsi" w:cstheme="minorHAnsi"/>
          <w:b/>
          <w:bCs/>
          <w:i/>
          <w:iCs/>
          <w:szCs w:val="26"/>
        </w:rPr>
        <w:t>The Sameness Requirement</w:t>
      </w:r>
    </w:p>
    <w:p w14:paraId="5D0C2F87" w14:textId="460BA478"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The definition of a “gang” and the elements of the gang enhancement converge in an obvious, but important way. </w:t>
      </w:r>
      <w:r w:rsidR="003B5078" w:rsidRPr="00F1083F">
        <w:rPr>
          <w:rFonts w:asciiTheme="minorHAnsi" w:hAnsiTheme="minorHAnsi" w:cstheme="minorHAnsi"/>
          <w:szCs w:val="26"/>
        </w:rPr>
        <w:t xml:space="preserve"> </w:t>
      </w:r>
      <w:r w:rsidRPr="00F1083F">
        <w:rPr>
          <w:rFonts w:asciiTheme="minorHAnsi" w:hAnsiTheme="minorHAnsi" w:cstheme="minorHAnsi"/>
          <w:szCs w:val="26"/>
        </w:rPr>
        <w:t xml:space="preserve">“[T]he prosecution must show that the group the </w:t>
      </w:r>
      <w:r w:rsidRPr="00F1083F">
        <w:rPr>
          <w:rFonts w:asciiTheme="minorHAnsi" w:hAnsiTheme="minorHAnsi" w:cstheme="minorHAnsi"/>
          <w:szCs w:val="26"/>
        </w:rPr>
        <w:lastRenderedPageBreak/>
        <w:t>defendant acted to benefit</w:t>
      </w:r>
      <w:r w:rsidR="003B5078" w:rsidRPr="00F1083F">
        <w:rPr>
          <w:rFonts w:asciiTheme="minorHAnsi" w:hAnsiTheme="minorHAnsi" w:cstheme="minorHAnsi"/>
          <w:szCs w:val="26"/>
        </w:rPr>
        <w:t>,</w:t>
      </w:r>
      <w:r w:rsidRPr="00F1083F">
        <w:rPr>
          <w:rFonts w:asciiTheme="minorHAnsi" w:hAnsiTheme="minorHAnsi" w:cstheme="minorHAnsi"/>
          <w:szCs w:val="26"/>
          <w:vertAlign w:val="superscript"/>
        </w:rPr>
        <w:t>[</w:t>
      </w:r>
      <w:r>
        <w:rPr>
          <w:rStyle w:val="FootnoteReference"/>
          <w:rFonts w:asciiTheme="minorHAnsi" w:hAnsiTheme="minorHAnsi" w:cstheme="minorHAnsi"/>
        </w:rPr>
        <w:footnoteReference w:id="11"/>
      </w:r>
      <w:r w:rsidRPr="00F1083F">
        <w:rPr>
          <w:rFonts w:asciiTheme="minorHAnsi" w:hAnsiTheme="minorHAnsi" w:cstheme="minorHAnsi"/>
          <w:szCs w:val="26"/>
          <w:vertAlign w:val="superscript"/>
        </w:rPr>
        <w:t>]</w:t>
      </w:r>
      <w:r w:rsidRPr="00F1083F">
        <w:rPr>
          <w:rFonts w:asciiTheme="minorHAnsi" w:hAnsiTheme="minorHAnsi" w:cstheme="minorHAnsi"/>
          <w:szCs w:val="26"/>
        </w:rPr>
        <w:t xml:space="preserve"> the group that committed the predicate</w:t>
      </w:r>
      <w:r w:rsidRPr="00F1083F">
        <w:rPr>
          <w:rFonts w:asciiTheme="minorHAnsi" w:hAnsiTheme="minorHAnsi" w:cstheme="minorHAnsi"/>
          <w:szCs w:val="26"/>
        </w:rPr>
        <w:t xml:space="preserve"> offenses, and the group whose primary activities are introduced, is one and the same.”</w:t>
      </w:r>
      <w:r w:rsidR="003B5078" w:rsidRPr="00F1083F">
        <w:rPr>
          <w:rFonts w:asciiTheme="minorHAnsi" w:hAnsiTheme="minorHAnsi" w:cstheme="minorHAnsi"/>
          <w:szCs w:val="26"/>
        </w:rPr>
        <w:t xml:space="preserve"> </w:t>
      </w:r>
      <w:r w:rsidRPr="00F1083F">
        <w:rPr>
          <w:rFonts w:asciiTheme="minorHAnsi" w:hAnsiTheme="minorHAnsi" w:cstheme="minorHAnsi"/>
          <w:szCs w:val="26"/>
        </w:rPr>
        <w:t xml:space="preserve"> (</w:t>
      </w:r>
      <w:r w:rsidRPr="00F1083F">
        <w:rPr>
          <w:rFonts w:asciiTheme="minorHAnsi" w:hAnsiTheme="minorHAnsi" w:cstheme="minorHAnsi"/>
          <w:i/>
          <w:iCs/>
          <w:szCs w:val="26"/>
        </w:rPr>
        <w:t>Prunty</w:t>
      </w:r>
      <w:r w:rsidR="00914248" w:rsidRPr="00F1083F">
        <w:rPr>
          <w:rFonts w:asciiTheme="minorHAnsi" w:hAnsiTheme="minorHAnsi" w:cstheme="minorHAnsi"/>
          <w:szCs w:val="26"/>
        </w:rPr>
        <w:t xml:space="preserve">, </w:t>
      </w:r>
      <w:r w:rsidR="00914248" w:rsidRPr="00F1083F">
        <w:rPr>
          <w:rFonts w:asciiTheme="minorHAnsi" w:hAnsiTheme="minorHAnsi" w:cstheme="minorHAnsi"/>
          <w:i/>
          <w:iCs/>
          <w:szCs w:val="26"/>
        </w:rPr>
        <w:t>supra</w:t>
      </w:r>
      <w:r w:rsidR="00914248" w:rsidRPr="00F1083F">
        <w:rPr>
          <w:rFonts w:asciiTheme="minorHAnsi" w:hAnsiTheme="minorHAnsi" w:cstheme="minorHAnsi"/>
          <w:szCs w:val="26"/>
        </w:rPr>
        <w:t xml:space="preserve">, </w:t>
      </w:r>
      <w:r w:rsidRPr="00F1083F">
        <w:rPr>
          <w:rFonts w:asciiTheme="minorHAnsi" w:hAnsiTheme="minorHAnsi" w:cstheme="minorHAnsi"/>
          <w:szCs w:val="26"/>
        </w:rPr>
        <w:t xml:space="preserve">62 Cal.4th </w:t>
      </w:r>
      <w:r w:rsidR="00914248" w:rsidRPr="00F1083F">
        <w:rPr>
          <w:rFonts w:asciiTheme="minorHAnsi" w:hAnsiTheme="minorHAnsi" w:cstheme="minorHAnsi"/>
          <w:szCs w:val="26"/>
        </w:rPr>
        <w:t>at p. </w:t>
      </w:r>
      <w:r w:rsidRPr="00F1083F">
        <w:rPr>
          <w:rFonts w:asciiTheme="minorHAnsi" w:hAnsiTheme="minorHAnsi" w:cstheme="minorHAnsi"/>
          <w:szCs w:val="26"/>
        </w:rPr>
        <w:t xml:space="preserve">81; see also </w:t>
      </w:r>
      <w:r w:rsidRPr="00F1083F">
        <w:rPr>
          <w:rFonts w:asciiTheme="minorHAnsi" w:hAnsiTheme="minorHAnsi" w:cstheme="minorHAnsi"/>
          <w:i/>
          <w:iCs/>
          <w:szCs w:val="26"/>
        </w:rPr>
        <w:t>id</w:t>
      </w:r>
      <w:r w:rsidRPr="00F1083F">
        <w:rPr>
          <w:rFonts w:asciiTheme="minorHAnsi" w:hAnsiTheme="minorHAnsi" w:cstheme="minorHAnsi"/>
          <w:szCs w:val="26"/>
        </w:rPr>
        <w:t>. at p.</w:t>
      </w:r>
      <w:r w:rsidR="00914248" w:rsidRPr="00F1083F">
        <w:rPr>
          <w:rFonts w:asciiTheme="minorHAnsi" w:hAnsiTheme="minorHAnsi" w:cstheme="minorHAnsi"/>
          <w:szCs w:val="26"/>
        </w:rPr>
        <w:t> </w:t>
      </w:r>
      <w:r w:rsidRPr="00F1083F">
        <w:rPr>
          <w:rFonts w:asciiTheme="minorHAnsi" w:hAnsiTheme="minorHAnsi" w:cstheme="minorHAnsi"/>
          <w:szCs w:val="26"/>
        </w:rPr>
        <w:t>75.)</w:t>
      </w:r>
      <w:r w:rsidR="00914248" w:rsidRPr="00F1083F">
        <w:rPr>
          <w:rFonts w:asciiTheme="minorHAnsi" w:hAnsiTheme="minorHAnsi" w:cstheme="minorHAnsi"/>
          <w:szCs w:val="26"/>
        </w:rPr>
        <w:t xml:space="preserve"> </w:t>
      </w:r>
      <w:r w:rsidRPr="00F1083F">
        <w:rPr>
          <w:rFonts w:asciiTheme="minorHAnsi" w:hAnsiTheme="minorHAnsi" w:cstheme="minorHAnsi"/>
          <w:szCs w:val="26"/>
        </w:rPr>
        <w:t xml:space="preserve"> This is referred to as the “</w:t>
      </w:r>
      <w:r w:rsidR="00914248" w:rsidRPr="00F1083F">
        <w:rPr>
          <w:rFonts w:asciiTheme="minorHAnsi" w:hAnsiTheme="minorHAnsi" w:cstheme="minorHAnsi"/>
          <w:szCs w:val="26"/>
        </w:rPr>
        <w:t> </w:t>
      </w:r>
      <w:r w:rsidRPr="00F1083F">
        <w:rPr>
          <w:rFonts w:asciiTheme="minorHAnsi" w:hAnsiTheme="minorHAnsi" w:cstheme="minorHAnsi"/>
          <w:szCs w:val="26"/>
        </w:rPr>
        <w:t xml:space="preserve">‘sameness’ requirement.” </w:t>
      </w:r>
      <w:r w:rsidR="00914248" w:rsidRPr="00F1083F">
        <w:rPr>
          <w:rFonts w:asciiTheme="minorHAnsi" w:hAnsiTheme="minorHAnsi" w:cstheme="minorHAnsi"/>
          <w:szCs w:val="26"/>
        </w:rPr>
        <w:t xml:space="preserve"> </w:t>
      </w:r>
      <w:r w:rsidRPr="00F1083F">
        <w:rPr>
          <w:rFonts w:asciiTheme="minorHAnsi" w:hAnsiTheme="minorHAnsi" w:cstheme="minorHAnsi"/>
          <w:szCs w:val="26"/>
        </w:rPr>
        <w:t>(</w:t>
      </w:r>
      <w:r w:rsidRPr="00F1083F">
        <w:rPr>
          <w:rFonts w:asciiTheme="minorHAnsi" w:hAnsiTheme="minorHAnsi" w:cstheme="minorHAnsi"/>
          <w:i/>
          <w:iCs/>
          <w:szCs w:val="26"/>
        </w:rPr>
        <w:t>Id</w:t>
      </w:r>
      <w:r w:rsidRPr="00F1083F">
        <w:rPr>
          <w:rFonts w:asciiTheme="minorHAnsi" w:hAnsiTheme="minorHAnsi" w:cstheme="minorHAnsi"/>
          <w:szCs w:val="26"/>
        </w:rPr>
        <w:t>. at pp.</w:t>
      </w:r>
      <w:r w:rsidR="00914248" w:rsidRPr="00F1083F">
        <w:rPr>
          <w:rFonts w:asciiTheme="minorHAnsi" w:hAnsiTheme="minorHAnsi" w:cstheme="minorHAnsi"/>
          <w:szCs w:val="26"/>
        </w:rPr>
        <w:t> </w:t>
      </w:r>
      <w:r w:rsidRPr="00F1083F">
        <w:rPr>
          <w:rFonts w:asciiTheme="minorHAnsi" w:hAnsiTheme="minorHAnsi" w:cstheme="minorHAnsi"/>
          <w:szCs w:val="26"/>
        </w:rPr>
        <w:t>76, 81.)</w:t>
      </w:r>
    </w:p>
    <w:p w14:paraId="378834C5" w14:textId="742FD645"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Satisfying this </w:t>
      </w:r>
      <w:r w:rsidRPr="00F1083F">
        <w:rPr>
          <w:rFonts w:asciiTheme="minorHAnsi" w:hAnsiTheme="minorHAnsi" w:cstheme="minorHAnsi"/>
          <w:szCs w:val="26"/>
        </w:rPr>
        <w:t>requirement is often straightforward because “many gang-related prosecutions involve the conduct of discrete criminal street gangs and do not turn on the relationship between alleged gang subsets.</w:t>
      </w:r>
      <w:r w:rsidR="00F1083F" w:rsidRPr="00F1083F">
        <w:rPr>
          <w:rFonts w:asciiTheme="minorHAnsi" w:hAnsiTheme="minorHAnsi" w:cstheme="minorHAnsi"/>
          <w:szCs w:val="26"/>
        </w:rPr>
        <w:t xml:space="preserve">  [Citations.]</w:t>
      </w:r>
      <w:r w:rsidRPr="00F1083F">
        <w:rPr>
          <w:rFonts w:asciiTheme="minorHAnsi" w:hAnsiTheme="minorHAnsi" w:cstheme="minorHAnsi"/>
          <w:szCs w:val="26"/>
        </w:rPr>
        <w:t>”</w:t>
      </w:r>
      <w:r w:rsidR="00914248" w:rsidRPr="00F1083F">
        <w:rPr>
          <w:rFonts w:asciiTheme="minorHAnsi" w:hAnsiTheme="minorHAnsi" w:cstheme="minorHAnsi"/>
          <w:szCs w:val="26"/>
        </w:rPr>
        <w:t xml:space="preserve"> </w:t>
      </w:r>
      <w:r w:rsidRPr="00F1083F">
        <w:rPr>
          <w:rFonts w:asciiTheme="minorHAnsi" w:hAnsiTheme="minorHAnsi" w:cstheme="minorHAnsi"/>
          <w:szCs w:val="26"/>
        </w:rPr>
        <w:t xml:space="preserve"> (</w:t>
      </w:r>
      <w:r w:rsidRPr="00F1083F">
        <w:rPr>
          <w:rFonts w:asciiTheme="minorHAnsi" w:hAnsiTheme="minorHAnsi" w:cstheme="minorHAnsi"/>
          <w:i/>
          <w:iCs/>
          <w:szCs w:val="26"/>
        </w:rPr>
        <w:t>Prunty</w:t>
      </w:r>
      <w:r w:rsidRPr="00F1083F">
        <w:rPr>
          <w:rFonts w:asciiTheme="minorHAnsi" w:hAnsiTheme="minorHAnsi" w:cstheme="minorHAnsi"/>
          <w:szCs w:val="26"/>
        </w:rPr>
        <w:t xml:space="preserve">, </w:t>
      </w:r>
      <w:r w:rsidRPr="00F1083F">
        <w:rPr>
          <w:rFonts w:asciiTheme="minorHAnsi" w:hAnsiTheme="minorHAnsi" w:cstheme="minorHAnsi"/>
          <w:i/>
          <w:iCs/>
          <w:szCs w:val="26"/>
        </w:rPr>
        <w:t>supra</w:t>
      </w:r>
      <w:r w:rsidRPr="00F1083F">
        <w:rPr>
          <w:rFonts w:asciiTheme="minorHAnsi" w:hAnsiTheme="minorHAnsi" w:cstheme="minorHAnsi"/>
          <w:szCs w:val="26"/>
        </w:rPr>
        <w:t>, 62 Cal.4th at p.</w:t>
      </w:r>
      <w:r w:rsidR="00914248" w:rsidRPr="00F1083F">
        <w:rPr>
          <w:rFonts w:asciiTheme="minorHAnsi" w:hAnsiTheme="minorHAnsi" w:cstheme="minorHAnsi"/>
          <w:szCs w:val="26"/>
        </w:rPr>
        <w:t> </w:t>
      </w:r>
      <w:r w:rsidRPr="00F1083F">
        <w:rPr>
          <w:rFonts w:asciiTheme="minorHAnsi" w:hAnsiTheme="minorHAnsi" w:cstheme="minorHAnsi"/>
          <w:szCs w:val="26"/>
        </w:rPr>
        <w:t>80.)</w:t>
      </w:r>
    </w:p>
    <w:p w14:paraId="7F5D4487" w14:textId="23C9C91A"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Howev</w:t>
      </w:r>
      <w:r w:rsidRPr="00F1083F">
        <w:rPr>
          <w:rFonts w:asciiTheme="minorHAnsi" w:hAnsiTheme="minorHAnsi" w:cstheme="minorHAnsi"/>
          <w:szCs w:val="26"/>
        </w:rPr>
        <w:t>er, a different circumstance is presented when “when the prosecution seeks to prove the street gang enhancement by showing a defendant committed a felony to benefit a given gang, but establishes the commission of the required predicate offenses with eviden</w:t>
      </w:r>
      <w:r w:rsidRPr="00F1083F">
        <w:rPr>
          <w:rFonts w:asciiTheme="minorHAnsi" w:hAnsiTheme="minorHAnsi" w:cstheme="minorHAnsi"/>
          <w:szCs w:val="26"/>
        </w:rPr>
        <w:t>ce of crimes committed by members of the gang’s alleged subsets</w:t>
      </w:r>
      <w:r w:rsidR="00F1083F" w:rsidRPr="00F1083F">
        <w:rPr>
          <w:rFonts w:asciiTheme="minorHAnsi" w:hAnsiTheme="minorHAnsi" w:cstheme="minorHAnsi"/>
          <w:szCs w:val="26"/>
        </w:rPr>
        <w:t> ….</w:t>
      </w:r>
      <w:r w:rsidRPr="00F1083F">
        <w:rPr>
          <w:rFonts w:asciiTheme="minorHAnsi" w:hAnsiTheme="minorHAnsi" w:cstheme="minorHAnsi"/>
          <w:szCs w:val="26"/>
        </w:rPr>
        <w:t xml:space="preserve">” </w:t>
      </w:r>
      <w:r w:rsidR="00914248" w:rsidRPr="00F1083F">
        <w:rPr>
          <w:rFonts w:asciiTheme="minorHAnsi" w:hAnsiTheme="minorHAnsi" w:cstheme="minorHAnsi"/>
          <w:szCs w:val="26"/>
        </w:rPr>
        <w:t xml:space="preserve"> </w:t>
      </w:r>
      <w:r w:rsidRPr="00F1083F">
        <w:rPr>
          <w:rFonts w:asciiTheme="minorHAnsi" w:hAnsiTheme="minorHAnsi" w:cstheme="minorHAnsi"/>
          <w:szCs w:val="26"/>
        </w:rPr>
        <w:t>(</w:t>
      </w:r>
      <w:r w:rsidRPr="00F1083F">
        <w:rPr>
          <w:rFonts w:asciiTheme="minorHAnsi" w:hAnsiTheme="minorHAnsi" w:cstheme="minorHAnsi"/>
          <w:i/>
          <w:iCs/>
          <w:szCs w:val="26"/>
        </w:rPr>
        <w:t>Prunty</w:t>
      </w:r>
      <w:r w:rsidRPr="00F1083F">
        <w:rPr>
          <w:rFonts w:asciiTheme="minorHAnsi" w:hAnsiTheme="minorHAnsi" w:cstheme="minorHAnsi"/>
          <w:szCs w:val="26"/>
        </w:rPr>
        <w:t xml:space="preserve">, </w:t>
      </w:r>
      <w:r w:rsidRPr="00F1083F">
        <w:rPr>
          <w:rFonts w:asciiTheme="minorHAnsi" w:hAnsiTheme="minorHAnsi" w:cstheme="minorHAnsi"/>
          <w:i/>
          <w:iCs/>
          <w:szCs w:val="26"/>
        </w:rPr>
        <w:t>supra</w:t>
      </w:r>
      <w:r w:rsidRPr="00F1083F">
        <w:rPr>
          <w:rFonts w:asciiTheme="minorHAnsi" w:hAnsiTheme="minorHAnsi" w:cstheme="minorHAnsi"/>
          <w:szCs w:val="26"/>
        </w:rPr>
        <w:t>, 62 Cal.4th at pp.</w:t>
      </w:r>
      <w:r w:rsidR="00914248" w:rsidRPr="00F1083F">
        <w:rPr>
          <w:rFonts w:asciiTheme="minorHAnsi" w:hAnsiTheme="minorHAnsi" w:cstheme="minorHAnsi"/>
          <w:szCs w:val="26"/>
        </w:rPr>
        <w:t> </w:t>
      </w:r>
      <w:r w:rsidRPr="00F1083F">
        <w:rPr>
          <w:rFonts w:asciiTheme="minorHAnsi" w:hAnsiTheme="minorHAnsi" w:cstheme="minorHAnsi"/>
          <w:szCs w:val="26"/>
        </w:rPr>
        <w:t>67</w:t>
      </w:r>
      <w:r w:rsidR="00914248" w:rsidRPr="00F1083F">
        <w:rPr>
          <w:rFonts w:asciiTheme="minorHAnsi" w:hAnsiTheme="minorHAnsi" w:cstheme="minorHAnsi"/>
          <w:szCs w:val="26"/>
        </w:rPr>
        <w:t>–</w:t>
      </w:r>
      <w:r w:rsidRPr="00F1083F">
        <w:rPr>
          <w:rFonts w:asciiTheme="minorHAnsi" w:hAnsiTheme="minorHAnsi" w:cstheme="minorHAnsi"/>
          <w:szCs w:val="26"/>
        </w:rPr>
        <w:t xml:space="preserve">68.)  In that situation, “it must prove a connection between the gang and the subsets.” </w:t>
      </w:r>
      <w:r w:rsidR="00914248" w:rsidRPr="00F1083F">
        <w:rPr>
          <w:rFonts w:asciiTheme="minorHAnsi" w:hAnsiTheme="minorHAnsi" w:cstheme="minorHAnsi"/>
          <w:szCs w:val="26"/>
        </w:rPr>
        <w:t xml:space="preserve"> </w:t>
      </w:r>
      <w:r w:rsidRPr="00F1083F">
        <w:rPr>
          <w:rFonts w:asciiTheme="minorHAnsi" w:hAnsiTheme="minorHAnsi" w:cstheme="minorHAnsi"/>
          <w:szCs w:val="26"/>
        </w:rPr>
        <w:t>(</w:t>
      </w:r>
      <w:r w:rsidR="00914248" w:rsidRPr="00F1083F">
        <w:rPr>
          <w:rFonts w:asciiTheme="minorHAnsi" w:hAnsiTheme="minorHAnsi" w:cstheme="minorHAnsi"/>
          <w:i/>
          <w:iCs/>
          <w:szCs w:val="26"/>
        </w:rPr>
        <w:t>Id</w:t>
      </w:r>
      <w:r w:rsidR="00914248" w:rsidRPr="00F1083F">
        <w:rPr>
          <w:rFonts w:asciiTheme="minorHAnsi" w:hAnsiTheme="minorHAnsi" w:cstheme="minorHAnsi"/>
          <w:szCs w:val="26"/>
        </w:rPr>
        <w:t xml:space="preserve">. </w:t>
      </w:r>
      <w:r w:rsidRPr="00F1083F">
        <w:rPr>
          <w:rFonts w:asciiTheme="minorHAnsi" w:hAnsiTheme="minorHAnsi" w:cstheme="minorHAnsi"/>
          <w:szCs w:val="26"/>
        </w:rPr>
        <w:t>at p.</w:t>
      </w:r>
      <w:r w:rsidR="00914248" w:rsidRPr="00F1083F">
        <w:rPr>
          <w:rFonts w:asciiTheme="minorHAnsi" w:hAnsiTheme="minorHAnsi" w:cstheme="minorHAnsi"/>
          <w:szCs w:val="26"/>
        </w:rPr>
        <w:t> </w:t>
      </w:r>
      <w:r w:rsidRPr="00F1083F">
        <w:rPr>
          <w:rFonts w:asciiTheme="minorHAnsi" w:hAnsiTheme="minorHAnsi" w:cstheme="minorHAnsi"/>
          <w:szCs w:val="26"/>
        </w:rPr>
        <w:t xml:space="preserve">68.) </w:t>
      </w:r>
      <w:r w:rsidR="00914248" w:rsidRPr="00F1083F">
        <w:rPr>
          <w:rFonts w:asciiTheme="minorHAnsi" w:hAnsiTheme="minorHAnsi" w:cstheme="minorHAnsi"/>
          <w:szCs w:val="26"/>
        </w:rPr>
        <w:t xml:space="preserve"> </w:t>
      </w:r>
      <w:r w:rsidRPr="00F1083F">
        <w:rPr>
          <w:rFonts w:asciiTheme="minorHAnsi" w:hAnsiTheme="minorHAnsi" w:cstheme="minorHAnsi"/>
          <w:szCs w:val="26"/>
        </w:rPr>
        <w:t>This “connection” evidence is necessary to s</w:t>
      </w:r>
      <w:r w:rsidRPr="00F1083F">
        <w:rPr>
          <w:rFonts w:asciiTheme="minorHAnsi" w:hAnsiTheme="minorHAnsi" w:cstheme="minorHAnsi"/>
          <w:szCs w:val="26"/>
        </w:rPr>
        <w:t xml:space="preserve">atisfy the sameness requirement because it shows “the groups in fact constitute the same </w:t>
      </w:r>
      <w:r w:rsidR="00914248" w:rsidRPr="00F1083F">
        <w:rPr>
          <w:rFonts w:asciiTheme="minorHAnsi" w:hAnsiTheme="minorHAnsi" w:cstheme="minorHAnsi"/>
          <w:szCs w:val="26"/>
        </w:rPr>
        <w:t>‘</w:t>
      </w:r>
      <w:r w:rsidRPr="00F1083F">
        <w:rPr>
          <w:rFonts w:asciiTheme="minorHAnsi" w:hAnsiTheme="minorHAnsi" w:cstheme="minorHAnsi"/>
          <w:szCs w:val="26"/>
        </w:rPr>
        <w:t>criminal street gang.</w:t>
      </w:r>
      <w:r w:rsidR="00914248" w:rsidRPr="00F1083F">
        <w:rPr>
          <w:rFonts w:asciiTheme="minorHAnsi" w:hAnsiTheme="minorHAnsi" w:cstheme="minorHAnsi"/>
          <w:szCs w:val="26"/>
        </w:rPr>
        <w:t>’ </w:t>
      </w:r>
      <w:r w:rsidRPr="00F1083F">
        <w:rPr>
          <w:rFonts w:asciiTheme="minorHAnsi" w:hAnsiTheme="minorHAnsi" w:cstheme="minorHAnsi"/>
          <w:szCs w:val="26"/>
        </w:rPr>
        <w:t xml:space="preserve">” </w:t>
      </w:r>
      <w:r w:rsidR="00914248" w:rsidRPr="00F1083F">
        <w:rPr>
          <w:rFonts w:asciiTheme="minorHAnsi" w:hAnsiTheme="minorHAnsi" w:cstheme="minorHAnsi"/>
          <w:szCs w:val="26"/>
        </w:rPr>
        <w:t xml:space="preserve"> </w:t>
      </w:r>
      <w:r w:rsidRPr="00F1083F">
        <w:rPr>
          <w:rFonts w:asciiTheme="minorHAnsi" w:hAnsiTheme="minorHAnsi" w:cstheme="minorHAnsi"/>
          <w:szCs w:val="26"/>
        </w:rPr>
        <w:t>(</w:t>
      </w:r>
      <w:r w:rsidR="00914248" w:rsidRPr="00F1083F">
        <w:rPr>
          <w:rFonts w:asciiTheme="minorHAnsi" w:hAnsiTheme="minorHAnsi" w:cstheme="minorHAnsi"/>
          <w:i/>
          <w:iCs/>
          <w:szCs w:val="26"/>
        </w:rPr>
        <w:t>Id</w:t>
      </w:r>
      <w:r w:rsidR="00914248" w:rsidRPr="00F1083F">
        <w:rPr>
          <w:rFonts w:asciiTheme="minorHAnsi" w:hAnsiTheme="minorHAnsi" w:cstheme="minorHAnsi"/>
          <w:szCs w:val="26"/>
        </w:rPr>
        <w:t>.</w:t>
      </w:r>
      <w:r w:rsidRPr="00F1083F">
        <w:rPr>
          <w:rFonts w:asciiTheme="minorHAnsi" w:hAnsiTheme="minorHAnsi" w:cstheme="minorHAnsi"/>
          <w:szCs w:val="26"/>
        </w:rPr>
        <w:t xml:space="preserve"> at p.</w:t>
      </w:r>
      <w:r w:rsidR="00914248" w:rsidRPr="00F1083F">
        <w:rPr>
          <w:rFonts w:asciiTheme="minorHAnsi" w:hAnsiTheme="minorHAnsi" w:cstheme="minorHAnsi"/>
          <w:szCs w:val="26"/>
        </w:rPr>
        <w:t> </w:t>
      </w:r>
      <w:r w:rsidRPr="00F1083F">
        <w:rPr>
          <w:rFonts w:asciiTheme="minorHAnsi" w:hAnsiTheme="minorHAnsi" w:cstheme="minorHAnsi"/>
          <w:szCs w:val="26"/>
        </w:rPr>
        <w:t xml:space="preserve">79.)  </w:t>
      </w:r>
    </w:p>
    <w:p w14:paraId="381ADC84" w14:textId="720C0B43"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But there is no need to show that various gangs or subsets should be treated as one group, when there is a single group that, </w:t>
      </w:r>
      <w:r w:rsidRPr="00F1083F">
        <w:rPr>
          <w:rFonts w:asciiTheme="minorHAnsi" w:hAnsiTheme="minorHAnsi" w:cstheme="minorHAnsi"/>
          <w:i/>
          <w:iCs/>
          <w:szCs w:val="26"/>
        </w:rPr>
        <w:t>itself</w:t>
      </w:r>
      <w:r w:rsidRPr="00F1083F">
        <w:rPr>
          <w:rFonts w:asciiTheme="minorHAnsi" w:hAnsiTheme="minorHAnsi" w:cstheme="minorHAnsi"/>
          <w:szCs w:val="26"/>
        </w:rPr>
        <w:t>,</w:t>
      </w:r>
      <w:r w:rsidRPr="00F1083F">
        <w:rPr>
          <w:rFonts w:asciiTheme="minorHAnsi" w:hAnsiTheme="minorHAnsi" w:cstheme="minorHAnsi"/>
          <w:i/>
          <w:iCs/>
          <w:szCs w:val="26"/>
        </w:rPr>
        <w:t xml:space="preserve"> </w:t>
      </w:r>
      <w:r w:rsidRPr="00F1083F">
        <w:rPr>
          <w:rFonts w:asciiTheme="minorHAnsi" w:hAnsiTheme="minorHAnsi" w:cstheme="minorHAnsi"/>
          <w:szCs w:val="26"/>
        </w:rPr>
        <w:t>satisfies all aspects of the sameness requirement.</w:t>
      </w:r>
      <w:r w:rsidR="00914248" w:rsidRPr="00F1083F">
        <w:rPr>
          <w:rFonts w:asciiTheme="minorHAnsi" w:hAnsiTheme="minorHAnsi" w:cstheme="minorHAnsi"/>
          <w:szCs w:val="26"/>
        </w:rPr>
        <w:t xml:space="preserve"> </w:t>
      </w:r>
      <w:r w:rsidRPr="00F1083F">
        <w:rPr>
          <w:rFonts w:asciiTheme="minorHAnsi" w:hAnsiTheme="minorHAnsi" w:cstheme="minorHAnsi"/>
          <w:szCs w:val="26"/>
        </w:rPr>
        <w:t xml:space="preserve"> (See </w:t>
      </w:r>
      <w:r w:rsidRPr="00F1083F">
        <w:rPr>
          <w:rFonts w:asciiTheme="minorHAnsi" w:hAnsiTheme="minorHAnsi" w:cstheme="minorHAnsi"/>
          <w:i/>
          <w:iCs/>
          <w:szCs w:val="26"/>
        </w:rPr>
        <w:t>People v. Pettie</w:t>
      </w:r>
      <w:r w:rsidR="00914248" w:rsidRPr="00F1083F">
        <w:rPr>
          <w:rFonts w:asciiTheme="minorHAnsi" w:hAnsiTheme="minorHAnsi" w:cstheme="minorHAnsi"/>
          <w:i/>
          <w:iCs/>
          <w:szCs w:val="26"/>
        </w:rPr>
        <w:t>, supra</w:t>
      </w:r>
      <w:r w:rsidR="00914248" w:rsidRPr="00F1083F">
        <w:rPr>
          <w:rFonts w:asciiTheme="minorHAnsi" w:hAnsiTheme="minorHAnsi" w:cstheme="minorHAnsi"/>
          <w:szCs w:val="26"/>
        </w:rPr>
        <w:t>,</w:t>
      </w:r>
      <w:r w:rsidRPr="00F1083F">
        <w:rPr>
          <w:rFonts w:asciiTheme="minorHAnsi" w:hAnsiTheme="minorHAnsi" w:cstheme="minorHAnsi"/>
          <w:szCs w:val="26"/>
        </w:rPr>
        <w:t xml:space="preserve"> </w:t>
      </w:r>
      <w:r w:rsidR="00914248" w:rsidRPr="00F1083F">
        <w:rPr>
          <w:rFonts w:asciiTheme="minorHAnsi" w:hAnsiTheme="minorHAnsi" w:cstheme="minorHAnsi"/>
          <w:szCs w:val="26"/>
        </w:rPr>
        <w:t>1</w:t>
      </w:r>
      <w:r w:rsidRPr="00F1083F">
        <w:rPr>
          <w:rFonts w:asciiTheme="minorHAnsi" w:hAnsiTheme="minorHAnsi" w:cstheme="minorHAnsi"/>
          <w:szCs w:val="26"/>
        </w:rPr>
        <w:t xml:space="preserve">6 Cal.App.5th </w:t>
      </w:r>
      <w:r w:rsidR="00914248" w:rsidRPr="00F1083F">
        <w:rPr>
          <w:rFonts w:asciiTheme="minorHAnsi" w:hAnsiTheme="minorHAnsi" w:cstheme="minorHAnsi"/>
          <w:szCs w:val="26"/>
        </w:rPr>
        <w:t>at pp. </w:t>
      </w:r>
      <w:r w:rsidRPr="00F1083F">
        <w:rPr>
          <w:rFonts w:asciiTheme="minorHAnsi" w:hAnsiTheme="minorHAnsi" w:cstheme="minorHAnsi"/>
          <w:szCs w:val="26"/>
        </w:rPr>
        <w:t>49–50</w:t>
      </w:r>
      <w:r w:rsidR="00914248" w:rsidRPr="00F1083F">
        <w:rPr>
          <w:rFonts w:asciiTheme="minorHAnsi" w:hAnsiTheme="minorHAnsi" w:cstheme="minorHAnsi"/>
          <w:szCs w:val="26"/>
        </w:rPr>
        <w:t>; s</w:t>
      </w:r>
      <w:r w:rsidRPr="00F1083F">
        <w:rPr>
          <w:rFonts w:asciiTheme="minorHAnsi" w:hAnsiTheme="minorHAnsi" w:cstheme="minorHAnsi"/>
          <w:szCs w:val="26"/>
        </w:rPr>
        <w:t xml:space="preserve">ee also </w:t>
      </w:r>
      <w:r w:rsidRPr="00F1083F">
        <w:rPr>
          <w:rFonts w:asciiTheme="minorHAnsi" w:hAnsiTheme="minorHAnsi" w:cstheme="minorHAnsi"/>
          <w:i/>
          <w:iCs/>
          <w:szCs w:val="26"/>
        </w:rPr>
        <w:t>Pr</w:t>
      </w:r>
      <w:r w:rsidRPr="00F1083F">
        <w:rPr>
          <w:rFonts w:asciiTheme="minorHAnsi" w:hAnsiTheme="minorHAnsi" w:cstheme="minorHAnsi"/>
          <w:i/>
          <w:iCs/>
          <w:szCs w:val="26"/>
        </w:rPr>
        <w:t>unty</w:t>
      </w:r>
      <w:r w:rsidR="00914248" w:rsidRPr="00F1083F">
        <w:rPr>
          <w:rFonts w:asciiTheme="minorHAnsi" w:hAnsiTheme="minorHAnsi" w:cstheme="minorHAnsi"/>
          <w:szCs w:val="26"/>
        </w:rPr>
        <w:t xml:space="preserve">, </w:t>
      </w:r>
      <w:r w:rsidR="00914248" w:rsidRPr="00F1083F">
        <w:rPr>
          <w:rFonts w:asciiTheme="minorHAnsi" w:hAnsiTheme="minorHAnsi" w:cstheme="minorHAnsi"/>
          <w:i/>
          <w:iCs/>
          <w:szCs w:val="26"/>
        </w:rPr>
        <w:t>supra</w:t>
      </w:r>
      <w:r w:rsidR="00914248" w:rsidRPr="00F1083F">
        <w:rPr>
          <w:rFonts w:asciiTheme="minorHAnsi" w:hAnsiTheme="minorHAnsi" w:cstheme="minorHAnsi"/>
          <w:szCs w:val="26"/>
        </w:rPr>
        <w:t>, 62 Cal.4th</w:t>
      </w:r>
      <w:r w:rsidRPr="00F1083F">
        <w:rPr>
          <w:rFonts w:asciiTheme="minorHAnsi" w:hAnsiTheme="minorHAnsi" w:cstheme="minorHAnsi"/>
          <w:i/>
          <w:iCs/>
          <w:szCs w:val="26"/>
        </w:rPr>
        <w:t xml:space="preserve"> </w:t>
      </w:r>
      <w:r w:rsidRPr="00F1083F">
        <w:rPr>
          <w:rFonts w:asciiTheme="minorHAnsi" w:hAnsiTheme="minorHAnsi" w:cstheme="minorHAnsi"/>
          <w:szCs w:val="26"/>
        </w:rPr>
        <w:t>at p.</w:t>
      </w:r>
      <w:r w:rsidR="00914248" w:rsidRPr="00F1083F">
        <w:rPr>
          <w:rFonts w:asciiTheme="minorHAnsi" w:hAnsiTheme="minorHAnsi" w:cstheme="minorHAnsi"/>
          <w:szCs w:val="26"/>
        </w:rPr>
        <w:t> </w:t>
      </w:r>
      <w:r w:rsidRPr="00F1083F">
        <w:rPr>
          <w:rFonts w:asciiTheme="minorHAnsi" w:hAnsiTheme="minorHAnsi" w:cstheme="minorHAnsi"/>
          <w:szCs w:val="26"/>
        </w:rPr>
        <w:t>80.)</w:t>
      </w:r>
    </w:p>
    <w:p w14:paraId="798A75F6" w14:textId="776C163E" w:rsidR="00483240" w:rsidRPr="00F1083F" w:rsidRDefault="00E502BC" w:rsidP="00914248">
      <w:pPr>
        <w:pStyle w:val="ListParagraph"/>
        <w:keepNext/>
        <w:numPr>
          <w:ilvl w:val="0"/>
          <w:numId w:val="3"/>
        </w:numPr>
        <w:ind w:left="1440" w:hanging="720"/>
        <w:rPr>
          <w:rFonts w:asciiTheme="minorHAnsi" w:hAnsiTheme="minorHAnsi" w:cstheme="minorHAnsi"/>
          <w:b/>
          <w:bCs/>
          <w:i/>
          <w:iCs/>
          <w:szCs w:val="26"/>
        </w:rPr>
      </w:pPr>
      <w:r w:rsidRPr="00F1083F">
        <w:rPr>
          <w:rFonts w:asciiTheme="minorHAnsi" w:hAnsiTheme="minorHAnsi" w:cstheme="minorHAnsi"/>
          <w:b/>
          <w:bCs/>
          <w:i/>
          <w:iCs/>
          <w:szCs w:val="26"/>
        </w:rPr>
        <w:t>Gang Organization</w:t>
      </w:r>
    </w:p>
    <w:p w14:paraId="4FDC5F8B" w14:textId="44C2FB39" w:rsidR="00483240" w:rsidRPr="00F1083F" w:rsidRDefault="00E502BC" w:rsidP="00D74717">
      <w:pPr>
        <w:ind w:firstLine="720"/>
        <w:rPr>
          <w:rFonts w:asciiTheme="minorHAnsi" w:hAnsiTheme="minorHAnsi" w:cstheme="minorHAnsi"/>
          <w:szCs w:val="26"/>
        </w:rPr>
      </w:pPr>
      <w:r w:rsidRPr="00F1083F">
        <w:rPr>
          <w:rFonts w:asciiTheme="minorHAnsi" w:hAnsiTheme="minorHAnsi" w:cstheme="minorHAnsi"/>
          <w:szCs w:val="26"/>
        </w:rPr>
        <w:t xml:space="preserve">Some gangs have associational or even hierarchal relationships to other groups or gangs. </w:t>
      </w:r>
      <w:r w:rsidR="00914248" w:rsidRPr="00F1083F">
        <w:rPr>
          <w:rFonts w:asciiTheme="minorHAnsi" w:hAnsiTheme="minorHAnsi" w:cstheme="minorHAnsi"/>
          <w:szCs w:val="26"/>
        </w:rPr>
        <w:t xml:space="preserve"> </w:t>
      </w:r>
      <w:r w:rsidRPr="00F1083F">
        <w:rPr>
          <w:rFonts w:asciiTheme="minorHAnsi" w:hAnsiTheme="minorHAnsi" w:cstheme="minorHAnsi"/>
          <w:szCs w:val="26"/>
        </w:rPr>
        <w:t>For example, experts testified in the present case that the Mexican Mafia prison gang issues orders and imposes “</w:t>
      </w:r>
      <w:r w:rsidRPr="00F1083F">
        <w:rPr>
          <w:rFonts w:asciiTheme="minorHAnsi" w:hAnsiTheme="minorHAnsi" w:cstheme="minorHAnsi"/>
          <w:szCs w:val="26"/>
        </w:rPr>
        <w:t>taxes” on the Sure</w:t>
      </w:r>
      <w:r w:rsidR="00914248" w:rsidRPr="00F1083F">
        <w:rPr>
          <w:rFonts w:asciiTheme="minorHAnsi" w:hAnsiTheme="minorHAnsi" w:cstheme="minorHAnsi"/>
          <w:szCs w:val="26"/>
        </w:rPr>
        <w:t>ñ</w:t>
      </w:r>
      <w:r w:rsidRPr="00F1083F">
        <w:rPr>
          <w:rFonts w:asciiTheme="minorHAnsi" w:hAnsiTheme="minorHAnsi" w:cstheme="minorHAnsi"/>
          <w:szCs w:val="26"/>
        </w:rPr>
        <w:t xml:space="preserve">o gang. </w:t>
      </w:r>
      <w:r w:rsidR="00914248" w:rsidRPr="00F1083F">
        <w:rPr>
          <w:rFonts w:asciiTheme="minorHAnsi" w:hAnsiTheme="minorHAnsi" w:cstheme="minorHAnsi"/>
          <w:szCs w:val="26"/>
        </w:rPr>
        <w:t xml:space="preserve"> </w:t>
      </w:r>
      <w:r w:rsidRPr="00F1083F">
        <w:rPr>
          <w:rFonts w:asciiTheme="minorHAnsi" w:hAnsiTheme="minorHAnsi" w:cstheme="minorHAnsi"/>
          <w:szCs w:val="26"/>
        </w:rPr>
        <w:t>The Sure</w:t>
      </w:r>
      <w:r w:rsidR="00914248" w:rsidRPr="00F1083F">
        <w:rPr>
          <w:rFonts w:asciiTheme="minorHAnsi" w:hAnsiTheme="minorHAnsi" w:cstheme="minorHAnsi"/>
          <w:szCs w:val="26"/>
        </w:rPr>
        <w:t>ñ</w:t>
      </w:r>
      <w:r w:rsidRPr="00F1083F">
        <w:rPr>
          <w:rFonts w:asciiTheme="minorHAnsi" w:hAnsiTheme="minorHAnsi" w:cstheme="minorHAnsi"/>
          <w:szCs w:val="26"/>
        </w:rPr>
        <w:t>o gang is itself an “umbrella” gang over several cliques or subset gangs.</w:t>
      </w:r>
    </w:p>
    <w:p w14:paraId="544A3707" w14:textId="63753D2B" w:rsidR="00483240" w:rsidRPr="00F1083F" w:rsidRDefault="00E502BC" w:rsidP="00914248">
      <w:pPr>
        <w:ind w:firstLine="720"/>
        <w:rPr>
          <w:rFonts w:asciiTheme="minorHAnsi" w:hAnsiTheme="minorHAnsi" w:cstheme="minorHAnsi"/>
          <w:szCs w:val="26"/>
        </w:rPr>
      </w:pPr>
      <w:r w:rsidRPr="00F1083F">
        <w:rPr>
          <w:rFonts w:asciiTheme="minorHAnsi" w:hAnsiTheme="minorHAnsi" w:cstheme="minorHAnsi"/>
          <w:szCs w:val="26"/>
        </w:rPr>
        <w:lastRenderedPageBreak/>
        <w:t>Similarly, the rival prison gang, Nu</w:t>
      </w:r>
      <w:r w:rsidR="00E748DB" w:rsidRPr="00F1083F">
        <w:rPr>
          <w:rFonts w:asciiTheme="minorHAnsi" w:hAnsiTheme="minorHAnsi" w:cstheme="minorHAnsi"/>
          <w:szCs w:val="26"/>
        </w:rPr>
        <w:t>e</w:t>
      </w:r>
      <w:r w:rsidRPr="00F1083F">
        <w:rPr>
          <w:rFonts w:asciiTheme="minorHAnsi" w:hAnsiTheme="minorHAnsi" w:cstheme="minorHAnsi"/>
          <w:szCs w:val="26"/>
        </w:rPr>
        <w:t>stra Familia is an umbrella gang over the Norte</w:t>
      </w:r>
      <w:r w:rsidR="00914248" w:rsidRPr="00F1083F">
        <w:rPr>
          <w:rFonts w:asciiTheme="minorHAnsi" w:hAnsiTheme="minorHAnsi" w:cstheme="minorHAnsi"/>
          <w:szCs w:val="26"/>
        </w:rPr>
        <w:t>ñ</w:t>
      </w:r>
      <w:r w:rsidRPr="00F1083F">
        <w:rPr>
          <w:rFonts w:asciiTheme="minorHAnsi" w:hAnsiTheme="minorHAnsi" w:cstheme="minorHAnsi"/>
          <w:szCs w:val="26"/>
        </w:rPr>
        <w:t>os.</w:t>
      </w:r>
    </w:p>
    <w:p w14:paraId="3E2DF816" w14:textId="5AC63BB1" w:rsidR="00483240" w:rsidRPr="00F1083F" w:rsidRDefault="00E502BC" w:rsidP="00E748DB">
      <w:pPr>
        <w:pStyle w:val="ListParagraph"/>
        <w:keepNext/>
        <w:numPr>
          <w:ilvl w:val="0"/>
          <w:numId w:val="3"/>
        </w:numPr>
        <w:ind w:left="1440" w:hanging="720"/>
        <w:rPr>
          <w:rFonts w:asciiTheme="minorHAnsi" w:hAnsiTheme="minorHAnsi" w:cstheme="minorHAnsi"/>
          <w:b/>
          <w:bCs/>
          <w:i/>
          <w:iCs/>
          <w:szCs w:val="26"/>
        </w:rPr>
      </w:pPr>
      <w:r w:rsidRPr="00F1083F">
        <w:rPr>
          <w:rFonts w:asciiTheme="minorHAnsi" w:hAnsiTheme="minorHAnsi" w:cstheme="minorHAnsi"/>
          <w:b/>
          <w:bCs/>
          <w:i/>
          <w:iCs/>
          <w:szCs w:val="26"/>
        </w:rPr>
        <w:t>Gang Membership</w:t>
      </w:r>
    </w:p>
    <w:p w14:paraId="04933717" w14:textId="0F358B23" w:rsidR="00483240" w:rsidRPr="00F1083F" w:rsidRDefault="00E502BC" w:rsidP="00483240">
      <w:pPr>
        <w:rPr>
          <w:rFonts w:asciiTheme="minorHAnsi" w:hAnsiTheme="minorHAnsi" w:cstheme="minorHAnsi"/>
          <w:szCs w:val="26"/>
        </w:rPr>
      </w:pPr>
      <w:r w:rsidRPr="00F1083F">
        <w:rPr>
          <w:rFonts w:asciiTheme="minorHAnsi" w:hAnsiTheme="minorHAnsi" w:cstheme="minorHAnsi"/>
          <w:szCs w:val="26"/>
        </w:rPr>
        <w:tab/>
      </w:r>
      <w:r w:rsidRPr="00F1083F">
        <w:rPr>
          <w:rFonts w:asciiTheme="minorHAnsi" w:hAnsiTheme="minorHAnsi" w:cstheme="minorHAnsi"/>
          <w:szCs w:val="26"/>
        </w:rPr>
        <w:t xml:space="preserve">However, while some subset gangs fall under the organizational umbrella of a larger gang, not every member of the subset gang is necessarily a member of the larger, umbrella gang. </w:t>
      </w:r>
      <w:r w:rsidR="00E748DB" w:rsidRPr="00F1083F">
        <w:rPr>
          <w:rFonts w:asciiTheme="minorHAnsi" w:hAnsiTheme="minorHAnsi" w:cstheme="minorHAnsi"/>
          <w:szCs w:val="26"/>
        </w:rPr>
        <w:t xml:space="preserve"> </w:t>
      </w:r>
      <w:r w:rsidRPr="00F1083F">
        <w:rPr>
          <w:rFonts w:asciiTheme="minorHAnsi" w:hAnsiTheme="minorHAnsi" w:cstheme="minorHAnsi"/>
          <w:szCs w:val="26"/>
        </w:rPr>
        <w:t xml:space="preserve">Indeed, an individual’s gang membership may take one of several forms. </w:t>
      </w:r>
      <w:r w:rsidR="00E748DB" w:rsidRPr="00F1083F">
        <w:rPr>
          <w:rFonts w:asciiTheme="minorHAnsi" w:hAnsiTheme="minorHAnsi" w:cstheme="minorHAnsi"/>
          <w:szCs w:val="26"/>
        </w:rPr>
        <w:t xml:space="preserve"> </w:t>
      </w:r>
      <w:r w:rsidRPr="00F1083F">
        <w:rPr>
          <w:rFonts w:asciiTheme="minorHAnsi" w:hAnsiTheme="minorHAnsi" w:cstheme="minorHAnsi"/>
          <w:szCs w:val="26"/>
        </w:rPr>
        <w:t>The individual may (1)</w:t>
      </w:r>
      <w:r w:rsidR="00E748DB" w:rsidRPr="00F1083F">
        <w:rPr>
          <w:rFonts w:asciiTheme="minorHAnsi" w:hAnsiTheme="minorHAnsi" w:cstheme="minorHAnsi"/>
          <w:szCs w:val="26"/>
        </w:rPr>
        <w:t> </w:t>
      </w:r>
      <w:r w:rsidRPr="00F1083F">
        <w:rPr>
          <w:rFonts w:asciiTheme="minorHAnsi" w:hAnsiTheme="minorHAnsi" w:cstheme="minorHAnsi"/>
          <w:szCs w:val="26"/>
        </w:rPr>
        <w:t>only be a member of a subset; (2)</w:t>
      </w:r>
      <w:r w:rsidR="00E748DB" w:rsidRPr="00F1083F">
        <w:rPr>
          <w:rFonts w:asciiTheme="minorHAnsi" w:hAnsiTheme="minorHAnsi" w:cstheme="minorHAnsi"/>
          <w:szCs w:val="26"/>
        </w:rPr>
        <w:t> </w:t>
      </w:r>
      <w:r w:rsidRPr="00F1083F">
        <w:rPr>
          <w:rFonts w:asciiTheme="minorHAnsi" w:hAnsiTheme="minorHAnsi" w:cstheme="minorHAnsi"/>
          <w:szCs w:val="26"/>
        </w:rPr>
        <w:t>only be a member of an umbrella gang; or (3)</w:t>
      </w:r>
      <w:r w:rsidR="00E748DB" w:rsidRPr="00F1083F">
        <w:rPr>
          <w:rFonts w:asciiTheme="minorHAnsi" w:hAnsiTheme="minorHAnsi" w:cstheme="minorHAnsi"/>
          <w:szCs w:val="26"/>
        </w:rPr>
        <w:t> </w:t>
      </w:r>
      <w:r w:rsidRPr="00F1083F">
        <w:rPr>
          <w:rFonts w:asciiTheme="minorHAnsi" w:hAnsiTheme="minorHAnsi" w:cstheme="minorHAnsi"/>
          <w:szCs w:val="26"/>
        </w:rPr>
        <w:t xml:space="preserve">be a member of both a subset and an umbrella gang. </w:t>
      </w:r>
      <w:r w:rsidR="00E748DB" w:rsidRPr="00F1083F">
        <w:rPr>
          <w:rFonts w:asciiTheme="minorHAnsi" w:hAnsiTheme="minorHAnsi" w:cstheme="minorHAnsi"/>
          <w:szCs w:val="26"/>
        </w:rPr>
        <w:t xml:space="preserve"> </w:t>
      </w:r>
      <w:r w:rsidRPr="00F1083F">
        <w:rPr>
          <w:rFonts w:asciiTheme="minorHAnsi" w:hAnsiTheme="minorHAnsi" w:cstheme="minorHAnsi"/>
          <w:szCs w:val="26"/>
        </w:rPr>
        <w:t>For example, Dr. De La Cruz was a member of the Nuestra Familia prison gang, but not a member of the N</w:t>
      </w:r>
      <w:r w:rsidRPr="00F1083F">
        <w:rPr>
          <w:rFonts w:asciiTheme="minorHAnsi" w:hAnsiTheme="minorHAnsi" w:cstheme="minorHAnsi"/>
          <w:szCs w:val="26"/>
        </w:rPr>
        <w:t>orte</w:t>
      </w:r>
      <w:r w:rsidR="00E748DB" w:rsidRPr="00F1083F">
        <w:rPr>
          <w:rFonts w:asciiTheme="minorHAnsi" w:hAnsiTheme="minorHAnsi" w:cstheme="minorHAnsi"/>
          <w:szCs w:val="26"/>
        </w:rPr>
        <w:t>ñ</w:t>
      </w:r>
      <w:r w:rsidRPr="00F1083F">
        <w:rPr>
          <w:rFonts w:asciiTheme="minorHAnsi" w:hAnsiTheme="minorHAnsi" w:cstheme="minorHAnsi"/>
          <w:szCs w:val="26"/>
        </w:rPr>
        <w:t xml:space="preserve">o street gang.  The predicate offenders in </w:t>
      </w:r>
      <w:r w:rsidRPr="00F1083F">
        <w:rPr>
          <w:rFonts w:asciiTheme="minorHAnsi" w:hAnsiTheme="minorHAnsi" w:cstheme="minorHAnsi"/>
          <w:i/>
          <w:iCs/>
          <w:szCs w:val="26"/>
        </w:rPr>
        <w:t>Prunty</w:t>
      </w:r>
      <w:r w:rsidRPr="00F1083F">
        <w:rPr>
          <w:rFonts w:asciiTheme="minorHAnsi" w:hAnsiTheme="minorHAnsi" w:cstheme="minorHAnsi"/>
          <w:szCs w:val="26"/>
        </w:rPr>
        <w:t xml:space="preserve"> were members of a subset gang but not the umbrella gang</w:t>
      </w:r>
      <w:r>
        <w:rPr>
          <w:rStyle w:val="FootnoteReference"/>
          <w:rFonts w:asciiTheme="minorHAnsi" w:hAnsiTheme="minorHAnsi" w:cstheme="minorHAnsi"/>
        </w:rPr>
        <w:footnoteReference w:id="12"/>
      </w:r>
      <w:r w:rsidRPr="00F1083F">
        <w:rPr>
          <w:rFonts w:asciiTheme="minorHAnsi" w:hAnsiTheme="minorHAnsi" w:cstheme="minorHAnsi"/>
          <w:szCs w:val="26"/>
        </w:rPr>
        <w:t xml:space="preserve"> (</w:t>
      </w:r>
      <w:r w:rsidRPr="00F1083F">
        <w:rPr>
          <w:rFonts w:asciiTheme="minorHAnsi" w:hAnsiTheme="minorHAnsi" w:cstheme="minorHAnsi"/>
          <w:i/>
          <w:iCs/>
          <w:szCs w:val="26"/>
        </w:rPr>
        <w:t>Prunty</w:t>
      </w:r>
      <w:r w:rsidRPr="00F1083F">
        <w:rPr>
          <w:rFonts w:asciiTheme="minorHAnsi" w:hAnsiTheme="minorHAnsi" w:cstheme="minorHAnsi"/>
          <w:szCs w:val="26"/>
        </w:rPr>
        <w:t xml:space="preserve">, </w:t>
      </w:r>
      <w:r w:rsidRPr="00F1083F">
        <w:rPr>
          <w:rFonts w:asciiTheme="minorHAnsi" w:hAnsiTheme="minorHAnsi" w:cstheme="minorHAnsi"/>
          <w:i/>
          <w:iCs/>
          <w:szCs w:val="26"/>
        </w:rPr>
        <w:t>supra</w:t>
      </w:r>
      <w:r w:rsidRPr="00F1083F">
        <w:rPr>
          <w:rFonts w:asciiTheme="minorHAnsi" w:hAnsiTheme="minorHAnsi" w:cstheme="minorHAnsi"/>
          <w:szCs w:val="26"/>
        </w:rPr>
        <w:t>, 62 Cal.4th at pp.</w:t>
      </w:r>
      <w:r w:rsidR="00E748DB" w:rsidRPr="00F1083F">
        <w:rPr>
          <w:rFonts w:asciiTheme="minorHAnsi" w:hAnsiTheme="minorHAnsi" w:cstheme="minorHAnsi"/>
          <w:szCs w:val="26"/>
        </w:rPr>
        <w:t> </w:t>
      </w:r>
      <w:r w:rsidRPr="00F1083F">
        <w:rPr>
          <w:rFonts w:asciiTheme="minorHAnsi" w:hAnsiTheme="minorHAnsi" w:cstheme="minorHAnsi"/>
          <w:szCs w:val="26"/>
        </w:rPr>
        <w:t>82</w:t>
      </w:r>
      <w:r w:rsidR="00E748DB" w:rsidRPr="00F1083F">
        <w:rPr>
          <w:rFonts w:asciiTheme="minorHAnsi" w:hAnsiTheme="minorHAnsi" w:cstheme="minorHAnsi"/>
          <w:szCs w:val="26"/>
        </w:rPr>
        <w:t>–</w:t>
      </w:r>
      <w:r w:rsidRPr="00F1083F">
        <w:rPr>
          <w:rFonts w:asciiTheme="minorHAnsi" w:hAnsiTheme="minorHAnsi" w:cstheme="minorHAnsi"/>
          <w:szCs w:val="26"/>
        </w:rPr>
        <w:t>83)</w:t>
      </w:r>
      <w:r w:rsidR="003E2EDE" w:rsidRPr="00F1083F">
        <w:rPr>
          <w:rFonts w:asciiTheme="minorHAnsi" w:hAnsiTheme="minorHAnsi" w:cstheme="minorHAnsi"/>
          <w:szCs w:val="26"/>
        </w:rPr>
        <w:t>, w</w:t>
      </w:r>
      <w:r w:rsidRPr="00F1083F">
        <w:rPr>
          <w:rFonts w:asciiTheme="minorHAnsi" w:hAnsiTheme="minorHAnsi" w:cstheme="minorHAnsi"/>
          <w:szCs w:val="26"/>
        </w:rPr>
        <w:t xml:space="preserve">hile Prunty himself belonged to </w:t>
      </w:r>
      <w:r w:rsidRPr="00F1083F">
        <w:rPr>
          <w:rFonts w:asciiTheme="minorHAnsi" w:hAnsiTheme="minorHAnsi" w:cstheme="minorHAnsi"/>
          <w:i/>
          <w:iCs/>
          <w:szCs w:val="26"/>
        </w:rPr>
        <w:t xml:space="preserve">both </w:t>
      </w:r>
      <w:r w:rsidRPr="00F1083F">
        <w:rPr>
          <w:rFonts w:asciiTheme="minorHAnsi" w:hAnsiTheme="minorHAnsi" w:cstheme="minorHAnsi"/>
          <w:szCs w:val="26"/>
        </w:rPr>
        <w:t>the subset gang and the broader umbrella gang (</w:t>
      </w:r>
      <w:r w:rsidR="00F1083F" w:rsidRPr="00F1083F">
        <w:rPr>
          <w:rFonts w:asciiTheme="minorHAnsi" w:hAnsiTheme="minorHAnsi" w:cstheme="minorHAnsi"/>
          <w:i/>
          <w:iCs/>
          <w:szCs w:val="26"/>
        </w:rPr>
        <w:t>ibid</w:t>
      </w:r>
      <w:r w:rsidR="00F1083F" w:rsidRPr="00F1083F">
        <w:rPr>
          <w:rFonts w:asciiTheme="minorHAnsi" w:hAnsiTheme="minorHAnsi" w:cstheme="minorHAnsi"/>
          <w:szCs w:val="26"/>
        </w:rPr>
        <w:t xml:space="preserve">. </w:t>
      </w:r>
      <w:r w:rsidRPr="00F1083F">
        <w:rPr>
          <w:rFonts w:asciiTheme="minorHAnsi" w:hAnsiTheme="minorHAnsi" w:cstheme="minorHAnsi"/>
          <w:szCs w:val="26"/>
        </w:rPr>
        <w:t>[Prunty be</w:t>
      </w:r>
      <w:r w:rsidRPr="00F1083F">
        <w:rPr>
          <w:rFonts w:asciiTheme="minorHAnsi" w:hAnsiTheme="minorHAnsi" w:cstheme="minorHAnsi"/>
          <w:szCs w:val="26"/>
        </w:rPr>
        <w:t>longed to subset and umbrella gang, in contrast to predicate offenders who only belonged to subset])</w:t>
      </w:r>
      <w:r w:rsidR="003E2EDE" w:rsidRPr="00F1083F">
        <w:rPr>
          <w:rFonts w:asciiTheme="minorHAnsi" w:hAnsiTheme="minorHAnsi" w:cstheme="minorHAnsi"/>
          <w:szCs w:val="26"/>
        </w:rPr>
        <w:t>.</w:t>
      </w:r>
    </w:p>
    <w:p w14:paraId="1EB531B1" w14:textId="1B85B1D5"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The problem that arose in </w:t>
      </w:r>
      <w:r w:rsidRPr="00F1083F">
        <w:rPr>
          <w:rFonts w:asciiTheme="minorHAnsi" w:hAnsiTheme="minorHAnsi" w:cstheme="minorHAnsi"/>
          <w:i/>
          <w:iCs/>
          <w:szCs w:val="26"/>
        </w:rPr>
        <w:t>Prunty</w:t>
      </w:r>
      <w:r w:rsidRPr="00F1083F">
        <w:rPr>
          <w:rFonts w:asciiTheme="minorHAnsi" w:hAnsiTheme="minorHAnsi" w:cstheme="minorHAnsi"/>
          <w:szCs w:val="26"/>
        </w:rPr>
        <w:t xml:space="preserve"> </w:t>
      </w:r>
      <w:r w:rsidR="00F1083F" w:rsidRPr="00F1083F">
        <w:rPr>
          <w:rFonts w:asciiTheme="minorHAnsi" w:hAnsiTheme="minorHAnsi" w:cstheme="minorHAnsi"/>
          <w:szCs w:val="26"/>
        </w:rPr>
        <w:t>was</w:t>
      </w:r>
      <w:r w:rsidRPr="00F1083F">
        <w:rPr>
          <w:rFonts w:asciiTheme="minorHAnsi" w:hAnsiTheme="minorHAnsi" w:cstheme="minorHAnsi"/>
          <w:szCs w:val="26"/>
        </w:rPr>
        <w:t xml:space="preserve"> that the defendant belonged to the umbrella Norte</w:t>
      </w:r>
      <w:r w:rsidR="003E2EDE" w:rsidRPr="00F1083F">
        <w:rPr>
          <w:rFonts w:asciiTheme="minorHAnsi" w:hAnsiTheme="minorHAnsi" w:cstheme="minorHAnsi"/>
          <w:szCs w:val="26"/>
        </w:rPr>
        <w:t>ñ</w:t>
      </w:r>
      <w:r w:rsidRPr="00F1083F">
        <w:rPr>
          <w:rFonts w:asciiTheme="minorHAnsi" w:hAnsiTheme="minorHAnsi" w:cstheme="minorHAnsi"/>
          <w:szCs w:val="26"/>
        </w:rPr>
        <w:t xml:space="preserve">o gang, but the predicate offenders belonged only to subset gangs. </w:t>
      </w:r>
      <w:r w:rsidR="003E2EDE" w:rsidRPr="00F1083F">
        <w:rPr>
          <w:rFonts w:asciiTheme="minorHAnsi" w:hAnsiTheme="minorHAnsi" w:cstheme="minorHAnsi"/>
          <w:szCs w:val="26"/>
        </w:rPr>
        <w:t xml:space="preserve"> </w:t>
      </w:r>
      <w:r w:rsidRPr="00F1083F">
        <w:rPr>
          <w:rFonts w:asciiTheme="minorHAnsi" w:hAnsiTheme="minorHAnsi" w:cstheme="minorHAnsi"/>
          <w:szCs w:val="26"/>
        </w:rPr>
        <w:t xml:space="preserve">(See </w:t>
      </w:r>
      <w:r w:rsidRPr="00F1083F">
        <w:rPr>
          <w:rFonts w:asciiTheme="minorHAnsi" w:hAnsiTheme="minorHAnsi" w:cstheme="minorHAnsi"/>
          <w:i/>
          <w:iCs/>
          <w:szCs w:val="26"/>
        </w:rPr>
        <w:t>Prunty</w:t>
      </w:r>
      <w:r w:rsidRPr="00F1083F">
        <w:rPr>
          <w:rFonts w:asciiTheme="minorHAnsi" w:hAnsiTheme="minorHAnsi" w:cstheme="minorHAnsi"/>
          <w:szCs w:val="26"/>
        </w:rPr>
        <w:t xml:space="preserve">, </w:t>
      </w:r>
      <w:r w:rsidRPr="00F1083F">
        <w:rPr>
          <w:rFonts w:asciiTheme="minorHAnsi" w:hAnsiTheme="minorHAnsi" w:cstheme="minorHAnsi"/>
          <w:i/>
          <w:iCs/>
          <w:szCs w:val="26"/>
        </w:rPr>
        <w:t>supra</w:t>
      </w:r>
      <w:r w:rsidRPr="00F1083F">
        <w:rPr>
          <w:rFonts w:asciiTheme="minorHAnsi" w:hAnsiTheme="minorHAnsi" w:cstheme="minorHAnsi"/>
          <w:szCs w:val="26"/>
        </w:rPr>
        <w:t>, 62 Cal.4th at pp.</w:t>
      </w:r>
      <w:r w:rsidR="003E2EDE" w:rsidRPr="00F1083F">
        <w:rPr>
          <w:rFonts w:asciiTheme="minorHAnsi" w:hAnsiTheme="minorHAnsi" w:cstheme="minorHAnsi"/>
          <w:szCs w:val="26"/>
        </w:rPr>
        <w:t> </w:t>
      </w:r>
      <w:r w:rsidRPr="00F1083F">
        <w:rPr>
          <w:rFonts w:asciiTheme="minorHAnsi" w:hAnsiTheme="minorHAnsi" w:cstheme="minorHAnsi"/>
          <w:szCs w:val="26"/>
        </w:rPr>
        <w:t>82</w:t>
      </w:r>
      <w:r w:rsidR="003E2EDE" w:rsidRPr="00F1083F">
        <w:rPr>
          <w:rFonts w:asciiTheme="minorHAnsi" w:hAnsiTheme="minorHAnsi" w:cstheme="minorHAnsi"/>
          <w:szCs w:val="26"/>
        </w:rPr>
        <w:t>–</w:t>
      </w:r>
      <w:r w:rsidRPr="00F1083F">
        <w:rPr>
          <w:rFonts w:asciiTheme="minorHAnsi" w:hAnsiTheme="minorHAnsi" w:cstheme="minorHAnsi"/>
          <w:szCs w:val="26"/>
        </w:rPr>
        <w:t xml:space="preserve">83.) </w:t>
      </w:r>
      <w:r w:rsidR="003E2EDE" w:rsidRPr="00F1083F">
        <w:rPr>
          <w:rFonts w:asciiTheme="minorHAnsi" w:hAnsiTheme="minorHAnsi" w:cstheme="minorHAnsi"/>
          <w:szCs w:val="26"/>
        </w:rPr>
        <w:t xml:space="preserve"> </w:t>
      </w:r>
      <w:r w:rsidRPr="00F1083F">
        <w:rPr>
          <w:rFonts w:asciiTheme="minorHAnsi" w:hAnsiTheme="minorHAnsi" w:cstheme="minorHAnsi"/>
          <w:szCs w:val="26"/>
        </w:rPr>
        <w:t>This discrepancy raised questions about the sameness requirement, because “the group the defendant acted to benefit” and “the group that committed the predicate offenses” must be “one and the same.”</w:t>
      </w:r>
      <w:r>
        <w:rPr>
          <w:rStyle w:val="FootnoteReference"/>
          <w:rFonts w:asciiTheme="minorHAnsi" w:hAnsiTheme="minorHAnsi" w:cstheme="minorHAnsi"/>
        </w:rPr>
        <w:footnoteReference w:id="13"/>
      </w:r>
      <w:r w:rsidRPr="00F1083F">
        <w:rPr>
          <w:rFonts w:asciiTheme="minorHAnsi" w:hAnsiTheme="minorHAnsi" w:cstheme="minorHAnsi"/>
          <w:szCs w:val="26"/>
        </w:rPr>
        <w:t xml:space="preserve"> </w:t>
      </w:r>
      <w:r w:rsidR="003E2EDE" w:rsidRPr="00F1083F">
        <w:rPr>
          <w:rFonts w:asciiTheme="minorHAnsi" w:hAnsiTheme="minorHAnsi" w:cstheme="minorHAnsi"/>
          <w:szCs w:val="26"/>
        </w:rPr>
        <w:t xml:space="preserve"> </w:t>
      </w:r>
      <w:r w:rsidRPr="00F1083F">
        <w:rPr>
          <w:rFonts w:asciiTheme="minorHAnsi" w:hAnsiTheme="minorHAnsi" w:cstheme="minorHAnsi"/>
          <w:szCs w:val="26"/>
        </w:rPr>
        <w:t>(</w:t>
      </w:r>
      <w:r w:rsidR="003E2EDE" w:rsidRPr="00F1083F">
        <w:rPr>
          <w:rFonts w:asciiTheme="minorHAnsi" w:hAnsiTheme="minorHAnsi" w:cstheme="minorHAnsi"/>
          <w:i/>
          <w:iCs/>
          <w:szCs w:val="26"/>
        </w:rPr>
        <w:t>Id</w:t>
      </w:r>
      <w:r w:rsidR="003E2EDE" w:rsidRPr="00F1083F">
        <w:rPr>
          <w:rFonts w:asciiTheme="minorHAnsi" w:hAnsiTheme="minorHAnsi" w:cstheme="minorHAnsi"/>
          <w:szCs w:val="26"/>
        </w:rPr>
        <w:t xml:space="preserve">. </w:t>
      </w:r>
      <w:r w:rsidRPr="00F1083F">
        <w:rPr>
          <w:rFonts w:asciiTheme="minorHAnsi" w:hAnsiTheme="minorHAnsi" w:cstheme="minorHAnsi"/>
          <w:szCs w:val="26"/>
        </w:rPr>
        <w:t>at p.</w:t>
      </w:r>
      <w:r w:rsidR="003E2EDE" w:rsidRPr="00F1083F">
        <w:rPr>
          <w:rFonts w:asciiTheme="minorHAnsi" w:hAnsiTheme="minorHAnsi" w:cstheme="minorHAnsi"/>
          <w:szCs w:val="26"/>
        </w:rPr>
        <w:t> </w:t>
      </w:r>
      <w:r w:rsidRPr="00F1083F">
        <w:rPr>
          <w:rFonts w:asciiTheme="minorHAnsi" w:hAnsiTheme="minorHAnsi" w:cstheme="minorHAnsi"/>
          <w:szCs w:val="26"/>
        </w:rPr>
        <w:t xml:space="preserve">81.) </w:t>
      </w:r>
    </w:p>
    <w:p w14:paraId="28401FF4" w14:textId="7ADEA5FA"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However, this problem does not arise when the defendant seeks to benefit, associates with, or acts under the direction of a particular gang</w:t>
      </w:r>
      <w:r w:rsidR="003E2EDE" w:rsidRPr="00F1083F">
        <w:rPr>
          <w:rFonts w:asciiTheme="minorHAnsi" w:hAnsiTheme="minorHAnsi" w:cstheme="minorHAnsi"/>
          <w:szCs w:val="26"/>
        </w:rPr>
        <w:t>,</w:t>
      </w:r>
      <w:r w:rsidRPr="00F1083F">
        <w:rPr>
          <w:rFonts w:asciiTheme="minorHAnsi" w:hAnsiTheme="minorHAnsi" w:cstheme="minorHAnsi"/>
          <w:szCs w:val="26"/>
        </w:rPr>
        <w:t xml:space="preserve"> </w:t>
      </w:r>
      <w:r w:rsidRPr="00F1083F">
        <w:rPr>
          <w:rFonts w:asciiTheme="minorHAnsi" w:hAnsiTheme="minorHAnsi" w:cstheme="minorHAnsi"/>
          <w:i/>
          <w:iCs/>
          <w:szCs w:val="26"/>
        </w:rPr>
        <w:t>and the predicate offenders are members of the same gang</w:t>
      </w:r>
      <w:r w:rsidRPr="00F1083F">
        <w:rPr>
          <w:rFonts w:asciiTheme="minorHAnsi" w:hAnsiTheme="minorHAnsi" w:cstheme="minorHAnsi"/>
          <w:szCs w:val="26"/>
        </w:rPr>
        <w:t xml:space="preserve">. </w:t>
      </w:r>
      <w:r w:rsidR="003E2EDE" w:rsidRPr="00F1083F">
        <w:rPr>
          <w:rFonts w:asciiTheme="minorHAnsi" w:hAnsiTheme="minorHAnsi" w:cstheme="minorHAnsi"/>
          <w:szCs w:val="26"/>
        </w:rPr>
        <w:t xml:space="preserve"> </w:t>
      </w:r>
      <w:r w:rsidRPr="00F1083F">
        <w:rPr>
          <w:rFonts w:asciiTheme="minorHAnsi" w:hAnsiTheme="minorHAnsi" w:cstheme="minorHAnsi"/>
          <w:szCs w:val="26"/>
        </w:rPr>
        <w:t>In that circumstance, the sameness require</w:t>
      </w:r>
      <w:r w:rsidRPr="00F1083F">
        <w:rPr>
          <w:rFonts w:asciiTheme="minorHAnsi" w:hAnsiTheme="minorHAnsi" w:cstheme="minorHAnsi"/>
          <w:szCs w:val="26"/>
        </w:rPr>
        <w:t xml:space="preserve">ment is satisfied tautologically. </w:t>
      </w:r>
      <w:r w:rsidR="003E2EDE" w:rsidRPr="00F1083F">
        <w:rPr>
          <w:rFonts w:asciiTheme="minorHAnsi" w:hAnsiTheme="minorHAnsi" w:cstheme="minorHAnsi"/>
          <w:szCs w:val="26"/>
        </w:rPr>
        <w:t xml:space="preserve"> </w:t>
      </w:r>
      <w:r w:rsidRPr="00F1083F">
        <w:rPr>
          <w:rFonts w:asciiTheme="minorHAnsi" w:hAnsiTheme="minorHAnsi" w:cstheme="minorHAnsi"/>
          <w:szCs w:val="26"/>
        </w:rPr>
        <w:t xml:space="preserve">Thus, when a defendant commits a crime to benefit an </w:t>
      </w:r>
      <w:r w:rsidRPr="00F1083F">
        <w:rPr>
          <w:rFonts w:asciiTheme="minorHAnsi" w:hAnsiTheme="minorHAnsi" w:cstheme="minorHAnsi"/>
          <w:szCs w:val="26"/>
        </w:rPr>
        <w:lastRenderedPageBreak/>
        <w:t>umbrella gang, and the umbrella gang in question satisfies the primary activities and predicate offense requirements, it is not necessary to establish any connection be</w:t>
      </w:r>
      <w:r w:rsidRPr="00F1083F">
        <w:rPr>
          <w:rFonts w:asciiTheme="minorHAnsi" w:hAnsiTheme="minorHAnsi" w:cstheme="minorHAnsi"/>
          <w:szCs w:val="26"/>
        </w:rPr>
        <w:t xml:space="preserve">tween subsets of the umbrella gang. </w:t>
      </w:r>
      <w:r w:rsidR="003E2EDE" w:rsidRPr="00F1083F">
        <w:rPr>
          <w:rFonts w:asciiTheme="minorHAnsi" w:hAnsiTheme="minorHAnsi" w:cstheme="minorHAnsi"/>
          <w:szCs w:val="26"/>
        </w:rPr>
        <w:t xml:space="preserve"> </w:t>
      </w:r>
      <w:r w:rsidRPr="00F1083F">
        <w:rPr>
          <w:rFonts w:asciiTheme="minorHAnsi" w:hAnsiTheme="minorHAnsi" w:cstheme="minorHAnsi"/>
          <w:szCs w:val="26"/>
        </w:rPr>
        <w:t>(</w:t>
      </w:r>
      <w:r w:rsidRPr="00F1083F">
        <w:rPr>
          <w:rFonts w:asciiTheme="minorHAnsi" w:hAnsiTheme="minorHAnsi" w:cstheme="minorHAnsi"/>
          <w:i/>
          <w:iCs/>
          <w:szCs w:val="26"/>
        </w:rPr>
        <w:t>People v. Pettie</w:t>
      </w:r>
      <w:r w:rsidR="003E2EDE" w:rsidRPr="00F1083F">
        <w:rPr>
          <w:rFonts w:asciiTheme="minorHAnsi" w:hAnsiTheme="minorHAnsi" w:cstheme="minorHAnsi"/>
          <w:szCs w:val="26"/>
        </w:rPr>
        <w:t xml:space="preserve">, </w:t>
      </w:r>
      <w:r w:rsidR="003E2EDE" w:rsidRPr="00F1083F">
        <w:rPr>
          <w:rFonts w:asciiTheme="minorHAnsi" w:hAnsiTheme="minorHAnsi" w:cstheme="minorHAnsi"/>
          <w:i/>
          <w:iCs/>
          <w:szCs w:val="26"/>
        </w:rPr>
        <w:t>supra</w:t>
      </w:r>
      <w:r w:rsidR="003E2EDE" w:rsidRPr="00F1083F">
        <w:rPr>
          <w:rFonts w:asciiTheme="minorHAnsi" w:hAnsiTheme="minorHAnsi" w:cstheme="minorHAnsi"/>
          <w:szCs w:val="26"/>
        </w:rPr>
        <w:t xml:space="preserve">, </w:t>
      </w:r>
      <w:r w:rsidRPr="00F1083F">
        <w:rPr>
          <w:rFonts w:asciiTheme="minorHAnsi" w:hAnsiTheme="minorHAnsi" w:cstheme="minorHAnsi"/>
          <w:szCs w:val="26"/>
        </w:rPr>
        <w:t xml:space="preserve">16 Cal.App.5th </w:t>
      </w:r>
      <w:r w:rsidR="003E2EDE" w:rsidRPr="00F1083F">
        <w:rPr>
          <w:rFonts w:asciiTheme="minorHAnsi" w:hAnsiTheme="minorHAnsi" w:cstheme="minorHAnsi"/>
          <w:szCs w:val="26"/>
        </w:rPr>
        <w:t>at pp. </w:t>
      </w:r>
      <w:r w:rsidRPr="00F1083F">
        <w:rPr>
          <w:rFonts w:asciiTheme="minorHAnsi" w:hAnsiTheme="minorHAnsi" w:cstheme="minorHAnsi"/>
          <w:szCs w:val="26"/>
        </w:rPr>
        <w:t>49–50.)</w:t>
      </w:r>
    </w:p>
    <w:p w14:paraId="3F16A683" w14:textId="2030FBC4"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Similarly, as </w:t>
      </w:r>
      <w:r w:rsidRPr="00F1083F">
        <w:rPr>
          <w:rFonts w:asciiTheme="minorHAnsi" w:hAnsiTheme="minorHAnsi" w:cstheme="minorHAnsi"/>
          <w:i/>
          <w:iCs/>
          <w:szCs w:val="26"/>
        </w:rPr>
        <w:t>Prunty</w:t>
      </w:r>
      <w:r w:rsidRPr="00F1083F">
        <w:rPr>
          <w:rFonts w:asciiTheme="minorHAnsi" w:hAnsiTheme="minorHAnsi" w:cstheme="minorHAnsi"/>
          <w:szCs w:val="26"/>
        </w:rPr>
        <w:t xml:space="preserve"> itself explains, “when a defendant commits a crime to benefit a particular subset, and the prosecution can show that </w:t>
      </w:r>
      <w:r w:rsidRPr="00F1083F">
        <w:rPr>
          <w:rFonts w:asciiTheme="minorHAnsi" w:hAnsiTheme="minorHAnsi" w:cstheme="minorHAnsi"/>
          <w:i/>
          <w:iCs/>
          <w:szCs w:val="26"/>
        </w:rPr>
        <w:t>the subset in question</w:t>
      </w:r>
      <w:r w:rsidRPr="00F1083F">
        <w:rPr>
          <w:rFonts w:asciiTheme="minorHAnsi" w:hAnsiTheme="minorHAnsi" w:cstheme="minorHAnsi"/>
          <w:szCs w:val="26"/>
        </w:rPr>
        <w:t xml:space="preserve"> sa</w:t>
      </w:r>
      <w:r w:rsidRPr="00F1083F">
        <w:rPr>
          <w:rFonts w:asciiTheme="minorHAnsi" w:hAnsiTheme="minorHAnsi" w:cstheme="minorHAnsi"/>
          <w:szCs w:val="26"/>
        </w:rPr>
        <w:t xml:space="preserve">tisfies the primary activities and predicate offense requirements, </w:t>
      </w:r>
      <w:r w:rsidRPr="00F1083F">
        <w:rPr>
          <w:rFonts w:asciiTheme="minorHAnsi" w:hAnsiTheme="minorHAnsi" w:cstheme="minorHAnsi"/>
          <w:i/>
          <w:iCs/>
          <w:szCs w:val="26"/>
        </w:rPr>
        <w:t>there will be no need to link together the activities of various alleged cliques</w:t>
      </w:r>
      <w:r w:rsidRPr="00F1083F">
        <w:rPr>
          <w:rFonts w:asciiTheme="minorHAnsi" w:hAnsiTheme="minorHAnsi" w:cstheme="minorHAnsi"/>
          <w:szCs w:val="26"/>
        </w:rPr>
        <w:t>; nor is there likely to be uncertainty about what the relevant ‘criminal street gang’ is.</w:t>
      </w:r>
      <w:r w:rsidR="003E2EDE" w:rsidRPr="00F1083F">
        <w:rPr>
          <w:rFonts w:asciiTheme="minorHAnsi" w:hAnsiTheme="minorHAnsi" w:cstheme="minorHAnsi"/>
          <w:szCs w:val="26"/>
        </w:rPr>
        <w:t xml:space="preserve"> </w:t>
      </w:r>
      <w:r w:rsidRPr="00F1083F">
        <w:rPr>
          <w:rFonts w:asciiTheme="minorHAnsi" w:hAnsiTheme="minorHAnsi" w:cstheme="minorHAnsi"/>
          <w:szCs w:val="26"/>
        </w:rPr>
        <w:t xml:space="preserve"> Indeed, [Supreme </w:t>
      </w:r>
      <w:r w:rsidRPr="00F1083F">
        <w:rPr>
          <w:rFonts w:asciiTheme="minorHAnsi" w:hAnsiTheme="minorHAnsi" w:cstheme="minorHAnsi"/>
          <w:szCs w:val="26"/>
        </w:rPr>
        <w:t xml:space="preserve">Court] cases suggest that many gang-related prosecutions involve the conduct of discrete criminal street gangs and do not turn on the relationship between alleged gang subsets. </w:t>
      </w:r>
      <w:r w:rsidR="003E2EDE" w:rsidRPr="00F1083F">
        <w:rPr>
          <w:rFonts w:asciiTheme="minorHAnsi" w:hAnsiTheme="minorHAnsi" w:cstheme="minorHAnsi"/>
          <w:szCs w:val="26"/>
        </w:rPr>
        <w:t xml:space="preserve"> </w:t>
      </w:r>
      <w:r w:rsidRPr="00F1083F">
        <w:rPr>
          <w:rFonts w:asciiTheme="minorHAnsi" w:hAnsiTheme="minorHAnsi" w:cstheme="minorHAnsi"/>
          <w:szCs w:val="26"/>
        </w:rPr>
        <w:t>[Citations.]”</w:t>
      </w:r>
      <w:r w:rsidR="003E2EDE" w:rsidRPr="00F1083F">
        <w:rPr>
          <w:rFonts w:asciiTheme="minorHAnsi" w:hAnsiTheme="minorHAnsi" w:cstheme="minorHAnsi"/>
          <w:szCs w:val="26"/>
        </w:rPr>
        <w:t xml:space="preserve"> </w:t>
      </w:r>
      <w:r w:rsidRPr="00F1083F">
        <w:rPr>
          <w:rFonts w:asciiTheme="minorHAnsi" w:hAnsiTheme="minorHAnsi" w:cstheme="minorHAnsi"/>
          <w:szCs w:val="26"/>
        </w:rPr>
        <w:t xml:space="preserve"> (</w:t>
      </w:r>
      <w:r w:rsidR="003E2EDE" w:rsidRPr="00F1083F">
        <w:rPr>
          <w:rFonts w:asciiTheme="minorHAnsi" w:hAnsiTheme="minorHAnsi" w:cstheme="minorHAnsi"/>
          <w:i/>
          <w:iCs/>
          <w:szCs w:val="26"/>
        </w:rPr>
        <w:t>Prunty</w:t>
      </w:r>
      <w:r w:rsidR="003E2EDE" w:rsidRPr="00F1083F">
        <w:rPr>
          <w:rFonts w:asciiTheme="minorHAnsi" w:hAnsiTheme="minorHAnsi" w:cstheme="minorHAnsi"/>
          <w:szCs w:val="26"/>
        </w:rPr>
        <w:t xml:space="preserve">, </w:t>
      </w:r>
      <w:r w:rsidR="003E2EDE" w:rsidRPr="00F1083F">
        <w:rPr>
          <w:rFonts w:asciiTheme="minorHAnsi" w:hAnsiTheme="minorHAnsi" w:cstheme="minorHAnsi"/>
          <w:i/>
          <w:iCs/>
          <w:szCs w:val="26"/>
        </w:rPr>
        <w:t>supra</w:t>
      </w:r>
      <w:r w:rsidR="003E2EDE" w:rsidRPr="00F1083F">
        <w:rPr>
          <w:rFonts w:asciiTheme="minorHAnsi" w:hAnsiTheme="minorHAnsi" w:cstheme="minorHAnsi"/>
          <w:szCs w:val="26"/>
        </w:rPr>
        <w:t>, 62 Cal.4th at p. 80</w:t>
      </w:r>
      <w:r w:rsidRPr="00F1083F">
        <w:rPr>
          <w:rFonts w:asciiTheme="minorHAnsi" w:hAnsiTheme="minorHAnsi" w:cstheme="minorHAnsi"/>
          <w:szCs w:val="26"/>
        </w:rPr>
        <w:t xml:space="preserve">, italics added.) </w:t>
      </w:r>
    </w:p>
    <w:p w14:paraId="62FEC562" w14:textId="68F046A7"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Thus, it </w:t>
      </w:r>
      <w:r w:rsidRPr="00F1083F">
        <w:rPr>
          <w:rFonts w:asciiTheme="minorHAnsi" w:hAnsiTheme="minorHAnsi" w:cstheme="minorHAnsi"/>
          <w:szCs w:val="26"/>
        </w:rPr>
        <w:t>is clear there are multiple ways to satisfy the sameness requirement, depending on the circumstances of the case.</w:t>
      </w:r>
      <w:r w:rsidR="003E2EDE" w:rsidRPr="00F1083F">
        <w:rPr>
          <w:rFonts w:asciiTheme="minorHAnsi" w:hAnsiTheme="minorHAnsi" w:cstheme="minorHAnsi"/>
          <w:szCs w:val="26"/>
        </w:rPr>
        <w:t xml:space="preserve"> </w:t>
      </w:r>
      <w:r w:rsidRPr="00F1083F">
        <w:rPr>
          <w:rFonts w:asciiTheme="minorHAnsi" w:hAnsiTheme="minorHAnsi" w:cstheme="minorHAnsi"/>
          <w:szCs w:val="26"/>
        </w:rPr>
        <w:t xml:space="preserve"> First, the prosecution can establish that the defendant sought to benefit an umbrella or subset gang, and members of the </w:t>
      </w:r>
      <w:r w:rsidRPr="00F1083F">
        <w:rPr>
          <w:rFonts w:asciiTheme="minorHAnsi" w:hAnsiTheme="minorHAnsi" w:cstheme="minorHAnsi"/>
          <w:i/>
          <w:iCs/>
          <w:szCs w:val="26"/>
        </w:rPr>
        <w:t>same</w:t>
      </w:r>
      <w:r w:rsidRPr="00F1083F">
        <w:rPr>
          <w:rFonts w:asciiTheme="minorHAnsi" w:hAnsiTheme="minorHAnsi" w:cstheme="minorHAnsi"/>
          <w:szCs w:val="26"/>
        </w:rPr>
        <w:t xml:space="preserve"> umbrella or sub</w:t>
      </w:r>
      <w:r w:rsidRPr="00F1083F">
        <w:rPr>
          <w:rFonts w:asciiTheme="minorHAnsi" w:hAnsiTheme="minorHAnsi" w:cstheme="minorHAnsi"/>
          <w:szCs w:val="26"/>
        </w:rPr>
        <w:t>set gang also committed the requisite predicate offenses/primary activities.</w:t>
      </w:r>
      <w:r w:rsidR="003E2EDE" w:rsidRPr="00F1083F">
        <w:rPr>
          <w:rFonts w:asciiTheme="minorHAnsi" w:hAnsiTheme="minorHAnsi" w:cstheme="minorHAnsi"/>
          <w:szCs w:val="26"/>
        </w:rPr>
        <w:t xml:space="preserve"> </w:t>
      </w:r>
      <w:r w:rsidRPr="00F1083F">
        <w:rPr>
          <w:rFonts w:asciiTheme="minorHAnsi" w:hAnsiTheme="minorHAnsi" w:cstheme="minorHAnsi"/>
          <w:szCs w:val="26"/>
        </w:rPr>
        <w:t xml:space="preserve"> (See </w:t>
      </w:r>
      <w:r w:rsidRPr="00F1083F">
        <w:rPr>
          <w:rFonts w:asciiTheme="minorHAnsi" w:hAnsiTheme="minorHAnsi" w:cstheme="minorHAnsi"/>
          <w:i/>
          <w:iCs/>
          <w:szCs w:val="26"/>
        </w:rPr>
        <w:t>People v. Pettie</w:t>
      </w:r>
      <w:r w:rsidRPr="00F1083F">
        <w:rPr>
          <w:rFonts w:asciiTheme="minorHAnsi" w:hAnsiTheme="minorHAnsi" w:cstheme="minorHAnsi"/>
          <w:szCs w:val="26"/>
        </w:rPr>
        <w:t xml:space="preserve">, </w:t>
      </w:r>
      <w:r w:rsidRPr="00F1083F">
        <w:rPr>
          <w:rFonts w:asciiTheme="minorHAnsi" w:hAnsiTheme="minorHAnsi" w:cstheme="minorHAnsi"/>
          <w:i/>
          <w:iCs/>
          <w:szCs w:val="26"/>
        </w:rPr>
        <w:t>supra</w:t>
      </w:r>
      <w:r w:rsidRPr="00F1083F">
        <w:rPr>
          <w:rFonts w:asciiTheme="minorHAnsi" w:hAnsiTheme="minorHAnsi" w:cstheme="minorHAnsi"/>
          <w:szCs w:val="26"/>
        </w:rPr>
        <w:t>, 16 Cal.App.5th at pp.</w:t>
      </w:r>
      <w:r w:rsidR="003E2EDE" w:rsidRPr="00F1083F">
        <w:rPr>
          <w:rFonts w:asciiTheme="minorHAnsi" w:hAnsiTheme="minorHAnsi" w:cstheme="minorHAnsi"/>
          <w:szCs w:val="26"/>
        </w:rPr>
        <w:t> </w:t>
      </w:r>
      <w:r w:rsidRPr="00F1083F">
        <w:rPr>
          <w:rFonts w:asciiTheme="minorHAnsi" w:hAnsiTheme="minorHAnsi" w:cstheme="minorHAnsi"/>
          <w:szCs w:val="26"/>
        </w:rPr>
        <w:t xml:space="preserve">49–50; see also </w:t>
      </w:r>
      <w:r w:rsidRPr="00F1083F">
        <w:rPr>
          <w:rFonts w:asciiTheme="minorHAnsi" w:hAnsiTheme="minorHAnsi" w:cstheme="minorHAnsi"/>
          <w:i/>
          <w:iCs/>
          <w:szCs w:val="26"/>
        </w:rPr>
        <w:t>People v. Ewing</w:t>
      </w:r>
      <w:r w:rsidR="003E2EDE" w:rsidRPr="00F1083F">
        <w:rPr>
          <w:rFonts w:asciiTheme="minorHAnsi" w:hAnsiTheme="minorHAnsi" w:cstheme="minorHAnsi"/>
          <w:szCs w:val="26"/>
        </w:rPr>
        <w:t xml:space="preserve"> (2016)</w:t>
      </w:r>
      <w:r w:rsidRPr="00F1083F">
        <w:rPr>
          <w:rFonts w:asciiTheme="minorHAnsi" w:hAnsiTheme="minorHAnsi" w:cstheme="minorHAnsi"/>
          <w:szCs w:val="26"/>
        </w:rPr>
        <w:t xml:space="preserve"> 244 Cal.App.4th </w:t>
      </w:r>
      <w:r w:rsidR="003E2EDE" w:rsidRPr="00F1083F">
        <w:rPr>
          <w:rFonts w:asciiTheme="minorHAnsi" w:hAnsiTheme="minorHAnsi" w:cstheme="minorHAnsi"/>
          <w:szCs w:val="26"/>
        </w:rPr>
        <w:t xml:space="preserve">359, </w:t>
      </w:r>
      <w:r w:rsidRPr="00F1083F">
        <w:rPr>
          <w:rFonts w:asciiTheme="minorHAnsi" w:hAnsiTheme="minorHAnsi" w:cstheme="minorHAnsi"/>
          <w:szCs w:val="26"/>
        </w:rPr>
        <w:t xml:space="preserve">372–373.) </w:t>
      </w:r>
      <w:r w:rsidR="003E2EDE" w:rsidRPr="00F1083F">
        <w:rPr>
          <w:rFonts w:asciiTheme="minorHAnsi" w:hAnsiTheme="minorHAnsi" w:cstheme="minorHAnsi"/>
          <w:szCs w:val="26"/>
        </w:rPr>
        <w:t xml:space="preserve"> </w:t>
      </w:r>
      <w:r w:rsidRPr="00F1083F">
        <w:rPr>
          <w:rFonts w:asciiTheme="minorHAnsi" w:hAnsiTheme="minorHAnsi" w:cstheme="minorHAnsi"/>
          <w:szCs w:val="26"/>
        </w:rPr>
        <w:t>Alternatively, the prosecution can introduce evidence t</w:t>
      </w:r>
      <w:r w:rsidRPr="00F1083F">
        <w:rPr>
          <w:rFonts w:asciiTheme="minorHAnsi" w:hAnsiTheme="minorHAnsi" w:cstheme="minorHAnsi"/>
          <w:szCs w:val="26"/>
        </w:rPr>
        <w:t xml:space="preserve">he defendant sought to benefit an umbrella gang, plus evidence that </w:t>
      </w:r>
      <w:r w:rsidRPr="00F1083F">
        <w:rPr>
          <w:rFonts w:asciiTheme="minorHAnsi" w:hAnsiTheme="minorHAnsi" w:cstheme="minorHAnsi"/>
          <w:i/>
          <w:iCs/>
          <w:szCs w:val="26"/>
        </w:rPr>
        <w:t>another</w:t>
      </w:r>
      <w:r w:rsidRPr="00F1083F">
        <w:rPr>
          <w:rFonts w:asciiTheme="minorHAnsi" w:hAnsiTheme="minorHAnsi" w:cstheme="minorHAnsi"/>
          <w:szCs w:val="26"/>
        </w:rPr>
        <w:t xml:space="preserve"> gang/subset committed the predicate offenses/primary activities, plus evidence showing a sufficient associational connection between the umbrella gang and the other gang/subset. </w:t>
      </w:r>
      <w:r w:rsidR="003E2EDE" w:rsidRPr="00F1083F">
        <w:rPr>
          <w:rFonts w:asciiTheme="minorHAnsi" w:hAnsiTheme="minorHAnsi" w:cstheme="minorHAnsi"/>
          <w:szCs w:val="26"/>
        </w:rPr>
        <w:t xml:space="preserve"> </w:t>
      </w:r>
      <w:r w:rsidRPr="00F1083F">
        <w:rPr>
          <w:rFonts w:asciiTheme="minorHAnsi" w:hAnsiTheme="minorHAnsi" w:cstheme="minorHAnsi"/>
          <w:szCs w:val="26"/>
        </w:rPr>
        <w:t>(</w:t>
      </w:r>
      <w:r w:rsidRPr="00F1083F">
        <w:rPr>
          <w:rFonts w:asciiTheme="minorHAnsi" w:hAnsiTheme="minorHAnsi" w:cstheme="minorHAnsi"/>
          <w:i/>
          <w:iCs/>
          <w:szCs w:val="26"/>
        </w:rPr>
        <w:t>Prunty</w:t>
      </w:r>
      <w:r w:rsidRPr="00F1083F">
        <w:rPr>
          <w:rFonts w:asciiTheme="minorHAnsi" w:hAnsiTheme="minorHAnsi" w:cstheme="minorHAnsi"/>
          <w:szCs w:val="26"/>
        </w:rPr>
        <w:t xml:space="preserve">, </w:t>
      </w:r>
      <w:r w:rsidRPr="00F1083F">
        <w:rPr>
          <w:rFonts w:asciiTheme="minorHAnsi" w:hAnsiTheme="minorHAnsi" w:cstheme="minorHAnsi"/>
          <w:i/>
          <w:iCs/>
          <w:szCs w:val="26"/>
        </w:rPr>
        <w:t>supra</w:t>
      </w:r>
      <w:r w:rsidRPr="00F1083F">
        <w:rPr>
          <w:rFonts w:asciiTheme="minorHAnsi" w:hAnsiTheme="minorHAnsi" w:cstheme="minorHAnsi"/>
          <w:szCs w:val="26"/>
        </w:rPr>
        <w:t xml:space="preserve">, </w:t>
      </w:r>
      <w:r w:rsidR="00F1083F" w:rsidRPr="00F1083F">
        <w:rPr>
          <w:rFonts w:asciiTheme="minorHAnsi" w:hAnsiTheme="minorHAnsi" w:cstheme="minorHAnsi"/>
          <w:szCs w:val="26"/>
        </w:rPr>
        <w:t xml:space="preserve">62 Cal.4th </w:t>
      </w:r>
      <w:r w:rsidRPr="00F1083F">
        <w:rPr>
          <w:rFonts w:asciiTheme="minorHAnsi" w:hAnsiTheme="minorHAnsi" w:cstheme="minorHAnsi"/>
          <w:szCs w:val="26"/>
        </w:rPr>
        <w:t>at p.</w:t>
      </w:r>
      <w:r w:rsidR="003E2EDE" w:rsidRPr="00F1083F">
        <w:rPr>
          <w:rFonts w:asciiTheme="minorHAnsi" w:hAnsiTheme="minorHAnsi" w:cstheme="minorHAnsi"/>
          <w:szCs w:val="26"/>
        </w:rPr>
        <w:t> </w:t>
      </w:r>
      <w:r w:rsidRPr="00F1083F">
        <w:rPr>
          <w:rFonts w:asciiTheme="minorHAnsi" w:hAnsiTheme="minorHAnsi" w:cstheme="minorHAnsi"/>
          <w:szCs w:val="26"/>
        </w:rPr>
        <w:t>82</w:t>
      </w:r>
      <w:r w:rsidR="000B0861" w:rsidRPr="00F1083F">
        <w:rPr>
          <w:rFonts w:asciiTheme="minorHAnsi" w:hAnsiTheme="minorHAnsi" w:cstheme="minorHAnsi"/>
          <w:szCs w:val="26"/>
        </w:rPr>
        <w:t>.</w:t>
      </w:r>
      <w:r w:rsidRPr="00F1083F">
        <w:rPr>
          <w:rFonts w:asciiTheme="minorHAnsi" w:hAnsiTheme="minorHAnsi" w:cstheme="minorHAnsi"/>
          <w:szCs w:val="26"/>
        </w:rPr>
        <w:t xml:space="preserve">) </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The sameness requirement is satisfied by </w:t>
      </w:r>
      <w:r w:rsidRPr="00F1083F">
        <w:rPr>
          <w:rFonts w:asciiTheme="minorHAnsi" w:hAnsiTheme="minorHAnsi" w:cstheme="minorHAnsi"/>
          <w:i/>
          <w:iCs/>
          <w:szCs w:val="26"/>
        </w:rPr>
        <w:t>either</w:t>
      </w:r>
      <w:r w:rsidRPr="00F1083F">
        <w:rPr>
          <w:rFonts w:asciiTheme="minorHAnsi" w:hAnsiTheme="minorHAnsi" w:cstheme="minorHAnsi"/>
          <w:szCs w:val="26"/>
        </w:rPr>
        <w:t xml:space="preserve"> approach. </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Meaning, if the prosecution does the former, it need not do the latter. </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In other words, the associational evidence described in </w:t>
      </w:r>
      <w:r w:rsidRPr="00F1083F">
        <w:rPr>
          <w:rFonts w:asciiTheme="minorHAnsi" w:hAnsiTheme="minorHAnsi" w:cstheme="minorHAnsi"/>
          <w:i/>
          <w:iCs/>
          <w:szCs w:val="26"/>
        </w:rPr>
        <w:t>Prunty</w:t>
      </w:r>
      <w:r w:rsidRPr="00F1083F">
        <w:rPr>
          <w:rFonts w:asciiTheme="minorHAnsi" w:hAnsiTheme="minorHAnsi" w:cstheme="minorHAnsi"/>
          <w:szCs w:val="26"/>
        </w:rPr>
        <w:t xml:space="preserve"> is not required in ever</w:t>
      </w:r>
      <w:r w:rsidRPr="00F1083F">
        <w:rPr>
          <w:rFonts w:asciiTheme="minorHAnsi" w:hAnsiTheme="minorHAnsi" w:cstheme="minorHAnsi"/>
          <w:szCs w:val="26"/>
        </w:rPr>
        <w:t>y case.</w:t>
      </w:r>
    </w:p>
    <w:p w14:paraId="62E7199D" w14:textId="77777777" w:rsidR="00483240" w:rsidRPr="00F1083F" w:rsidRDefault="00E502BC" w:rsidP="000B0861">
      <w:pPr>
        <w:pStyle w:val="ListParagraph"/>
        <w:keepNext/>
        <w:numPr>
          <w:ilvl w:val="0"/>
          <w:numId w:val="3"/>
        </w:numPr>
        <w:ind w:left="1440" w:hanging="720"/>
        <w:rPr>
          <w:rFonts w:asciiTheme="minorHAnsi" w:hAnsiTheme="minorHAnsi" w:cstheme="minorHAnsi"/>
          <w:b/>
          <w:bCs/>
          <w:i/>
          <w:iCs/>
          <w:szCs w:val="26"/>
        </w:rPr>
      </w:pPr>
      <w:r w:rsidRPr="00F1083F">
        <w:rPr>
          <w:rFonts w:asciiTheme="minorHAnsi" w:hAnsiTheme="minorHAnsi" w:cstheme="minorHAnsi"/>
          <w:b/>
          <w:bCs/>
          <w:i/>
          <w:iCs/>
          <w:szCs w:val="26"/>
        </w:rPr>
        <w:t>Application</w:t>
      </w:r>
    </w:p>
    <w:p w14:paraId="56CE9425" w14:textId="23C036F7"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Here, there is no violation of the sameness requirement because there was substantial evidence that the gang whose members Carrillo acted in association with</w:t>
      </w:r>
      <w:r w:rsidR="00C737E5" w:rsidRPr="00F1083F">
        <w:rPr>
          <w:rFonts w:asciiTheme="minorHAnsi" w:hAnsiTheme="minorHAnsi" w:cstheme="minorHAnsi"/>
          <w:szCs w:val="26"/>
        </w:rPr>
        <w:t>,</w:t>
      </w:r>
      <w:r w:rsidRPr="00F1083F">
        <w:rPr>
          <w:rFonts w:asciiTheme="minorHAnsi" w:hAnsiTheme="minorHAnsi" w:cstheme="minorHAnsi"/>
          <w:szCs w:val="26"/>
        </w:rPr>
        <w:t xml:space="preserve"> the </w:t>
      </w:r>
      <w:r w:rsidRPr="00F1083F">
        <w:rPr>
          <w:rFonts w:asciiTheme="minorHAnsi" w:hAnsiTheme="minorHAnsi" w:cstheme="minorHAnsi"/>
          <w:szCs w:val="26"/>
        </w:rPr>
        <w:lastRenderedPageBreak/>
        <w:t>gang whose members committed the predicate offenses</w:t>
      </w:r>
      <w:r w:rsidR="00C737E5" w:rsidRPr="00F1083F">
        <w:rPr>
          <w:rFonts w:asciiTheme="minorHAnsi" w:hAnsiTheme="minorHAnsi" w:cstheme="minorHAnsi"/>
          <w:szCs w:val="26"/>
        </w:rPr>
        <w:t>,</w:t>
      </w:r>
      <w:r w:rsidRPr="00F1083F">
        <w:rPr>
          <w:rFonts w:asciiTheme="minorHAnsi" w:hAnsiTheme="minorHAnsi" w:cstheme="minorHAnsi"/>
          <w:szCs w:val="26"/>
        </w:rPr>
        <w:t xml:space="preserve"> and the gang whose p</w:t>
      </w:r>
      <w:r w:rsidRPr="00F1083F">
        <w:rPr>
          <w:rFonts w:asciiTheme="minorHAnsi" w:hAnsiTheme="minorHAnsi" w:cstheme="minorHAnsi"/>
          <w:szCs w:val="26"/>
        </w:rPr>
        <w:t>rimary activities were established by expert testimony is one and the same: the broader Sure</w:t>
      </w:r>
      <w:r w:rsidR="000B0861" w:rsidRPr="00F1083F">
        <w:rPr>
          <w:rFonts w:asciiTheme="minorHAnsi" w:hAnsiTheme="minorHAnsi" w:cstheme="minorHAnsi"/>
          <w:szCs w:val="26"/>
        </w:rPr>
        <w:t>ñ</w:t>
      </w:r>
      <w:r w:rsidRPr="00F1083F">
        <w:rPr>
          <w:rFonts w:asciiTheme="minorHAnsi" w:hAnsiTheme="minorHAnsi" w:cstheme="minorHAnsi"/>
          <w:szCs w:val="26"/>
        </w:rPr>
        <w:t>o gang.</w:t>
      </w:r>
      <w:r>
        <w:rPr>
          <w:rStyle w:val="FootnoteReference"/>
          <w:rFonts w:asciiTheme="minorHAnsi" w:hAnsiTheme="minorHAnsi" w:cstheme="minorHAnsi"/>
        </w:rPr>
        <w:footnoteReference w:id="14"/>
      </w:r>
    </w:p>
    <w:p w14:paraId="4E162FCC" w14:textId="7F6F7C66"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Carrillo points out that there was evidence he and Vasquez were members of different Sure</w:t>
      </w:r>
      <w:r w:rsidR="000B0861" w:rsidRPr="00F1083F">
        <w:rPr>
          <w:rFonts w:asciiTheme="minorHAnsi" w:hAnsiTheme="minorHAnsi" w:cstheme="minorHAnsi"/>
          <w:szCs w:val="26"/>
        </w:rPr>
        <w:t>ñ</w:t>
      </w:r>
      <w:r w:rsidRPr="00F1083F">
        <w:rPr>
          <w:rFonts w:asciiTheme="minorHAnsi" w:hAnsiTheme="minorHAnsi" w:cstheme="minorHAnsi"/>
          <w:szCs w:val="26"/>
        </w:rPr>
        <w:t>o subsets.  Indeed, if this was the only evidence of their gang</w:t>
      </w:r>
      <w:r w:rsidRPr="00F1083F">
        <w:rPr>
          <w:rFonts w:asciiTheme="minorHAnsi" w:hAnsiTheme="minorHAnsi" w:cstheme="minorHAnsi"/>
          <w:szCs w:val="26"/>
        </w:rPr>
        <w:t xml:space="preserve"> membership, the prosecution likely would have needed to produce the associational evidence described in </w:t>
      </w:r>
      <w:r w:rsidRPr="00F1083F">
        <w:rPr>
          <w:rFonts w:asciiTheme="minorHAnsi" w:hAnsiTheme="minorHAnsi" w:cstheme="minorHAnsi"/>
          <w:i/>
          <w:iCs/>
          <w:szCs w:val="26"/>
        </w:rPr>
        <w:t>Prunty</w:t>
      </w:r>
      <w:r w:rsidRPr="00F1083F">
        <w:rPr>
          <w:rFonts w:asciiTheme="minorHAnsi" w:hAnsiTheme="minorHAnsi" w:cstheme="minorHAnsi"/>
          <w:szCs w:val="26"/>
        </w:rPr>
        <w:t xml:space="preserve">. </w:t>
      </w:r>
      <w:r w:rsidR="000B0861" w:rsidRPr="00F1083F">
        <w:rPr>
          <w:rFonts w:asciiTheme="minorHAnsi" w:hAnsiTheme="minorHAnsi" w:cstheme="minorHAnsi"/>
          <w:szCs w:val="26"/>
        </w:rPr>
        <w:t xml:space="preserve"> </w:t>
      </w:r>
      <w:r w:rsidRPr="00F1083F">
        <w:rPr>
          <w:rFonts w:asciiTheme="minorHAnsi" w:hAnsiTheme="minorHAnsi" w:cstheme="minorHAnsi"/>
          <w:szCs w:val="26"/>
        </w:rPr>
        <w:t>However, the evidence also showed that, in addition to his membership in a subset, Carrillo was also a member of the umbrella Sure</w:t>
      </w:r>
      <w:r w:rsidR="000B0861" w:rsidRPr="00F1083F">
        <w:rPr>
          <w:rFonts w:asciiTheme="minorHAnsi" w:hAnsiTheme="minorHAnsi" w:cstheme="minorHAnsi"/>
          <w:szCs w:val="26"/>
        </w:rPr>
        <w:t>ñ</w:t>
      </w:r>
      <w:r w:rsidRPr="00F1083F">
        <w:rPr>
          <w:rFonts w:asciiTheme="minorHAnsi" w:hAnsiTheme="minorHAnsi" w:cstheme="minorHAnsi"/>
          <w:szCs w:val="26"/>
        </w:rPr>
        <w:t xml:space="preserve">o </w:t>
      </w:r>
      <w:r w:rsidRPr="00F1083F">
        <w:rPr>
          <w:rFonts w:asciiTheme="minorHAnsi" w:hAnsiTheme="minorHAnsi" w:cstheme="minorHAnsi"/>
          <w:szCs w:val="26"/>
        </w:rPr>
        <w:t>gang.</w:t>
      </w:r>
    </w:p>
    <w:p w14:paraId="44349594" w14:textId="1D03995A"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Carrillo argues there was no evidence he was a Sure</w:t>
      </w:r>
      <w:r w:rsidR="000B0861" w:rsidRPr="00F1083F">
        <w:rPr>
          <w:rFonts w:asciiTheme="minorHAnsi" w:hAnsiTheme="minorHAnsi" w:cstheme="minorHAnsi"/>
          <w:szCs w:val="26"/>
        </w:rPr>
        <w:t>ñ</w:t>
      </w:r>
      <w:r w:rsidRPr="00F1083F">
        <w:rPr>
          <w:rFonts w:asciiTheme="minorHAnsi" w:hAnsiTheme="minorHAnsi" w:cstheme="minorHAnsi"/>
          <w:szCs w:val="26"/>
        </w:rPr>
        <w:t>o.  However, there was clear evidence Carrillo was a Sure</w:t>
      </w:r>
      <w:r w:rsidR="000B0861" w:rsidRPr="00F1083F">
        <w:rPr>
          <w:rFonts w:asciiTheme="minorHAnsi" w:hAnsiTheme="minorHAnsi" w:cstheme="minorHAnsi"/>
          <w:szCs w:val="26"/>
        </w:rPr>
        <w:t>ñ</w:t>
      </w:r>
      <w:r w:rsidRPr="00F1083F">
        <w:rPr>
          <w:rFonts w:asciiTheme="minorHAnsi" w:hAnsiTheme="minorHAnsi" w:cstheme="minorHAnsi"/>
          <w:szCs w:val="26"/>
        </w:rPr>
        <w:t xml:space="preserve">o: </w:t>
      </w:r>
      <w:r w:rsidR="000B0861" w:rsidRPr="00F1083F">
        <w:rPr>
          <w:rFonts w:asciiTheme="minorHAnsi" w:hAnsiTheme="minorHAnsi" w:cstheme="minorHAnsi"/>
          <w:szCs w:val="26"/>
        </w:rPr>
        <w:t xml:space="preserve"> </w:t>
      </w:r>
      <w:r w:rsidRPr="00F1083F">
        <w:rPr>
          <w:rFonts w:asciiTheme="minorHAnsi" w:hAnsiTheme="minorHAnsi" w:cstheme="minorHAnsi"/>
          <w:szCs w:val="26"/>
        </w:rPr>
        <w:t>Officer Barajas’s expert opinion that Carrillo was a Sure</w:t>
      </w:r>
      <w:r w:rsidR="000B0861" w:rsidRPr="00F1083F">
        <w:rPr>
          <w:rFonts w:asciiTheme="minorHAnsi" w:hAnsiTheme="minorHAnsi" w:cstheme="minorHAnsi"/>
          <w:szCs w:val="26"/>
        </w:rPr>
        <w:t>ñ</w:t>
      </w:r>
      <w:r w:rsidRPr="00F1083F">
        <w:rPr>
          <w:rFonts w:asciiTheme="minorHAnsi" w:hAnsiTheme="minorHAnsi" w:cstheme="minorHAnsi"/>
          <w:szCs w:val="26"/>
        </w:rPr>
        <w:t>o.</w:t>
      </w:r>
    </w:p>
    <w:p w14:paraId="305B1AE5" w14:textId="0A00033F"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Carrillo goes on to suggests Officer Barajas’s opinion that he was a Sure</w:t>
      </w:r>
      <w:r w:rsidR="000B0861" w:rsidRPr="00F1083F">
        <w:rPr>
          <w:rFonts w:asciiTheme="minorHAnsi" w:hAnsiTheme="minorHAnsi" w:cstheme="minorHAnsi"/>
          <w:szCs w:val="26"/>
        </w:rPr>
        <w:t>ñ</w:t>
      </w:r>
      <w:r w:rsidRPr="00F1083F">
        <w:rPr>
          <w:rFonts w:asciiTheme="minorHAnsi" w:hAnsiTheme="minorHAnsi" w:cstheme="minorHAnsi"/>
          <w:szCs w:val="26"/>
        </w:rPr>
        <w:t>o</w:t>
      </w:r>
      <w:r w:rsidRPr="00F1083F">
        <w:rPr>
          <w:rFonts w:asciiTheme="minorHAnsi" w:hAnsiTheme="minorHAnsi" w:cstheme="minorHAnsi"/>
          <w:szCs w:val="26"/>
        </w:rPr>
        <w:t xml:space="preserve"> lacked foundational evidentiary support.  We disagree. </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Carrillo had several gang-related tattoos. </w:t>
      </w:r>
      <w:r w:rsidR="000B0861" w:rsidRPr="00F1083F">
        <w:rPr>
          <w:rFonts w:asciiTheme="minorHAnsi" w:hAnsiTheme="minorHAnsi" w:cstheme="minorHAnsi"/>
          <w:szCs w:val="26"/>
        </w:rPr>
        <w:t xml:space="preserve"> </w:t>
      </w:r>
      <w:r w:rsidRPr="00F1083F">
        <w:rPr>
          <w:rFonts w:asciiTheme="minorHAnsi" w:hAnsiTheme="minorHAnsi" w:cstheme="minorHAnsi"/>
          <w:szCs w:val="26"/>
        </w:rPr>
        <w:t>While some were associated with the West Side Bakers subset, others were associated with the broader Sure</w:t>
      </w:r>
      <w:r w:rsidR="000B0861" w:rsidRPr="00F1083F">
        <w:rPr>
          <w:rFonts w:asciiTheme="minorHAnsi" w:hAnsiTheme="minorHAnsi" w:cstheme="minorHAnsi"/>
          <w:szCs w:val="26"/>
        </w:rPr>
        <w:t>ñ</w:t>
      </w:r>
      <w:r w:rsidRPr="00F1083F">
        <w:rPr>
          <w:rFonts w:asciiTheme="minorHAnsi" w:hAnsiTheme="minorHAnsi" w:cstheme="minorHAnsi"/>
          <w:szCs w:val="26"/>
        </w:rPr>
        <w:t>o gang. Carrillo had a tattoo of three dots, whic</w:t>
      </w:r>
      <w:r w:rsidRPr="00F1083F">
        <w:rPr>
          <w:rFonts w:asciiTheme="minorHAnsi" w:hAnsiTheme="minorHAnsi" w:cstheme="minorHAnsi"/>
          <w:szCs w:val="26"/>
        </w:rPr>
        <w:t>h is a tattoo associated with the Sure</w:t>
      </w:r>
      <w:r w:rsidR="000B0861" w:rsidRPr="00F1083F">
        <w:rPr>
          <w:rFonts w:asciiTheme="minorHAnsi" w:hAnsiTheme="minorHAnsi" w:cstheme="minorHAnsi"/>
          <w:szCs w:val="26"/>
        </w:rPr>
        <w:t>ñ</w:t>
      </w:r>
      <w:r w:rsidRPr="00F1083F">
        <w:rPr>
          <w:rFonts w:asciiTheme="minorHAnsi" w:hAnsiTheme="minorHAnsi" w:cstheme="minorHAnsi"/>
          <w:szCs w:val="26"/>
        </w:rPr>
        <w:t>o gang.  Carrillo also had a tattoo with the letters, “KC,” which is also associated with the Sure</w:t>
      </w:r>
      <w:r w:rsidR="000B0861" w:rsidRPr="00F1083F">
        <w:rPr>
          <w:rFonts w:asciiTheme="minorHAnsi" w:hAnsiTheme="minorHAnsi" w:cstheme="minorHAnsi"/>
          <w:szCs w:val="26"/>
        </w:rPr>
        <w:t>ñ</w:t>
      </w:r>
      <w:r w:rsidRPr="00F1083F">
        <w:rPr>
          <w:rFonts w:asciiTheme="minorHAnsi" w:hAnsiTheme="minorHAnsi" w:cstheme="minorHAnsi"/>
          <w:szCs w:val="26"/>
        </w:rPr>
        <w:t>o gang.  Finally, Carrillo had a tattoo of the letter “S,” which stood for “South” or “Sur.”</w:t>
      </w:r>
    </w:p>
    <w:p w14:paraId="32238BA6" w14:textId="075B77BF" w:rsidR="00483240" w:rsidRPr="00F1083F" w:rsidRDefault="00E502BC" w:rsidP="000B0861">
      <w:pPr>
        <w:pStyle w:val="ListParagraph"/>
        <w:keepNext/>
        <w:numPr>
          <w:ilvl w:val="0"/>
          <w:numId w:val="2"/>
        </w:numPr>
        <w:ind w:left="720"/>
        <w:rPr>
          <w:rFonts w:asciiTheme="minorHAnsi" w:hAnsiTheme="minorHAnsi" w:cstheme="minorHAnsi"/>
          <w:b/>
          <w:bCs/>
          <w:szCs w:val="26"/>
        </w:rPr>
      </w:pPr>
      <w:r w:rsidRPr="00F1083F">
        <w:rPr>
          <w:rFonts w:asciiTheme="minorHAnsi" w:hAnsiTheme="minorHAnsi" w:cstheme="minorHAnsi"/>
          <w:b/>
          <w:bCs/>
          <w:szCs w:val="26"/>
        </w:rPr>
        <w:t>Substantial Evidence Supp</w:t>
      </w:r>
      <w:r w:rsidRPr="00F1083F">
        <w:rPr>
          <w:rFonts w:asciiTheme="minorHAnsi" w:hAnsiTheme="minorHAnsi" w:cstheme="minorHAnsi"/>
          <w:b/>
          <w:bCs/>
          <w:szCs w:val="26"/>
        </w:rPr>
        <w:t>orted the Gang Findings</w:t>
      </w:r>
      <w:r>
        <w:rPr>
          <w:rStyle w:val="FootnoteReference"/>
          <w:rFonts w:ascii="Symbol" w:hAnsi="Symbol" w:cstheme="minorHAnsi"/>
          <w:b w:val="0"/>
          <w:bCs/>
        </w:rPr>
        <w:footnoteReference w:customMarkFollows="1" w:id="15"/>
        <w:sym w:font="Symbol" w:char="F02A"/>
      </w:r>
    </w:p>
    <w:p w14:paraId="18B12B96" w14:textId="511DB10B"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Vasquez argues there is insufficient evidence to support the gang findings necessary for the enhancements under section 186.22, subdivision (b) and 12022.53, subdivision (e)(1). </w:t>
      </w:r>
      <w:r w:rsidR="000B0861" w:rsidRPr="00F1083F">
        <w:rPr>
          <w:rFonts w:asciiTheme="minorHAnsi" w:hAnsiTheme="minorHAnsi" w:cstheme="minorHAnsi"/>
          <w:szCs w:val="26"/>
        </w:rPr>
        <w:t xml:space="preserve"> </w:t>
      </w:r>
      <w:r w:rsidRPr="00F1083F">
        <w:rPr>
          <w:rFonts w:asciiTheme="minorHAnsi" w:hAnsiTheme="minorHAnsi" w:cstheme="minorHAnsi"/>
          <w:szCs w:val="26"/>
        </w:rPr>
        <w:t>We disagree.</w:t>
      </w:r>
    </w:p>
    <w:p w14:paraId="5FE1C985" w14:textId="7A42BB44"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lastRenderedPageBreak/>
        <w:t>“In considering a challenge to the suf</w:t>
      </w:r>
      <w:r w:rsidRPr="00F1083F">
        <w:rPr>
          <w:rFonts w:asciiTheme="minorHAnsi" w:hAnsiTheme="minorHAnsi" w:cstheme="minorHAnsi"/>
          <w:szCs w:val="26"/>
        </w:rPr>
        <w:t>ficiency of the evidence to support an enhancement, we review the entire record in the light most favorable to the judgment to determine whether it contains substantial evidence</w:t>
      </w:r>
      <w:r w:rsidR="000B0861" w:rsidRPr="00F1083F">
        <w:rPr>
          <w:rFonts w:asciiTheme="minorHAnsi" w:hAnsiTheme="minorHAnsi" w:cstheme="minorHAnsi"/>
          <w:szCs w:val="26"/>
        </w:rPr>
        <w:t xml:space="preserve"> – </w:t>
      </w:r>
      <w:r w:rsidRPr="00F1083F">
        <w:rPr>
          <w:rFonts w:asciiTheme="minorHAnsi" w:hAnsiTheme="minorHAnsi" w:cstheme="minorHAnsi"/>
          <w:szCs w:val="26"/>
        </w:rPr>
        <w:t>that is, evidence that is reasonable, credible, and of solid value</w:t>
      </w:r>
      <w:r w:rsidR="000B0861" w:rsidRPr="00F1083F">
        <w:rPr>
          <w:rFonts w:asciiTheme="minorHAnsi" w:hAnsiTheme="minorHAnsi" w:cstheme="minorHAnsi"/>
          <w:szCs w:val="26"/>
        </w:rPr>
        <w:t xml:space="preserve"> – </w:t>
      </w:r>
      <w:r w:rsidRPr="00F1083F">
        <w:rPr>
          <w:rFonts w:asciiTheme="minorHAnsi" w:hAnsiTheme="minorHAnsi" w:cstheme="minorHAnsi"/>
          <w:szCs w:val="26"/>
        </w:rPr>
        <w:t>from wh</w:t>
      </w:r>
      <w:r w:rsidRPr="00F1083F">
        <w:rPr>
          <w:rFonts w:asciiTheme="minorHAnsi" w:hAnsiTheme="minorHAnsi" w:cstheme="minorHAnsi"/>
          <w:szCs w:val="26"/>
        </w:rPr>
        <w:t xml:space="preserve">ich a reasonable trier of fact could find the defendant guilty beyond a reasonable doubt. </w:t>
      </w:r>
      <w:r w:rsidR="000B0861" w:rsidRPr="00F1083F">
        <w:rPr>
          <w:rFonts w:asciiTheme="minorHAnsi" w:hAnsiTheme="minorHAnsi" w:cstheme="minorHAnsi"/>
          <w:szCs w:val="26"/>
        </w:rPr>
        <w:t xml:space="preserve"> </w:t>
      </w:r>
      <w:r w:rsidRPr="00F1083F">
        <w:rPr>
          <w:rFonts w:asciiTheme="minorHAnsi" w:hAnsiTheme="minorHAnsi" w:cstheme="minorHAnsi"/>
          <w:szCs w:val="26"/>
        </w:rPr>
        <w:t>[Citation.]</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We presume every fact in support of the judgment the trier of fact could have reasonably deduced from the evidence.</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[Citation.]</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If the circumstances r</w:t>
      </w:r>
      <w:r w:rsidRPr="00F1083F">
        <w:rPr>
          <w:rFonts w:asciiTheme="minorHAnsi" w:hAnsiTheme="minorHAnsi" w:cstheme="minorHAnsi"/>
          <w:szCs w:val="26"/>
        </w:rPr>
        <w:t>easonably justify the trier of fact</w:t>
      </w:r>
      <w:r w:rsidR="000B0861" w:rsidRPr="00F1083F">
        <w:rPr>
          <w:rFonts w:asciiTheme="minorHAnsi" w:hAnsiTheme="minorHAnsi" w:cstheme="minorHAnsi"/>
          <w:szCs w:val="26"/>
        </w:rPr>
        <w:t>’</w:t>
      </w:r>
      <w:r w:rsidRPr="00F1083F">
        <w:rPr>
          <w:rFonts w:asciiTheme="minorHAnsi" w:hAnsiTheme="minorHAnsi" w:cstheme="minorHAnsi"/>
          <w:szCs w:val="26"/>
        </w:rPr>
        <w:t xml:space="preserve">s findings, reversal of the judgment is not warranted simply because the circumstances might also reasonably be reconciled with a contrary finding. </w:t>
      </w:r>
      <w:r w:rsidR="000B0861" w:rsidRPr="00F1083F">
        <w:rPr>
          <w:rFonts w:asciiTheme="minorHAnsi" w:hAnsiTheme="minorHAnsi" w:cstheme="minorHAnsi"/>
          <w:szCs w:val="26"/>
        </w:rPr>
        <w:t xml:space="preserve"> </w:t>
      </w:r>
      <w:r w:rsidRPr="00F1083F">
        <w:rPr>
          <w:rFonts w:asciiTheme="minorHAnsi" w:hAnsiTheme="minorHAnsi" w:cstheme="minorHAnsi"/>
          <w:szCs w:val="26"/>
        </w:rPr>
        <w:t>[Citation.]</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w:t>
      </w:r>
      <w:r w:rsidR="000B0861" w:rsidRPr="00F1083F">
        <w:rPr>
          <w:rFonts w:asciiTheme="minorHAnsi" w:hAnsiTheme="minorHAnsi" w:cstheme="minorHAnsi"/>
          <w:szCs w:val="26"/>
        </w:rPr>
        <w:t>‘</w:t>
      </w:r>
      <w:r w:rsidRPr="00F1083F">
        <w:rPr>
          <w:rFonts w:asciiTheme="minorHAnsi" w:hAnsiTheme="minorHAnsi" w:cstheme="minorHAnsi"/>
          <w:szCs w:val="26"/>
        </w:rPr>
        <w:t>A reviewing court neither reweighs evidence nor reevaluat</w:t>
      </w:r>
      <w:r w:rsidRPr="00F1083F">
        <w:rPr>
          <w:rFonts w:asciiTheme="minorHAnsi" w:hAnsiTheme="minorHAnsi" w:cstheme="minorHAnsi"/>
          <w:szCs w:val="26"/>
        </w:rPr>
        <w:t>es a witness</w:t>
      </w:r>
      <w:r w:rsidR="000B0861" w:rsidRPr="00F1083F">
        <w:rPr>
          <w:rFonts w:asciiTheme="minorHAnsi" w:hAnsiTheme="minorHAnsi" w:cstheme="minorHAnsi"/>
          <w:szCs w:val="26"/>
        </w:rPr>
        <w:t>’</w:t>
      </w:r>
      <w:r w:rsidRPr="00F1083F">
        <w:rPr>
          <w:rFonts w:asciiTheme="minorHAnsi" w:hAnsiTheme="minorHAnsi" w:cstheme="minorHAnsi"/>
          <w:szCs w:val="26"/>
        </w:rPr>
        <w:t>s credibility.</w:t>
      </w:r>
      <w:r w:rsidR="000B0861" w:rsidRPr="00F1083F">
        <w:rPr>
          <w:rFonts w:asciiTheme="minorHAnsi" w:hAnsiTheme="minorHAnsi" w:cstheme="minorHAnsi"/>
          <w:szCs w:val="26"/>
        </w:rPr>
        <w:t>’</w:t>
      </w:r>
      <w:r w:rsidR="00F1083F" w:rsidRPr="00F1083F">
        <w:rPr>
          <w:rFonts w:asciiTheme="minorHAnsi" w:hAnsiTheme="minorHAnsi" w:cstheme="minorHAnsi"/>
          <w:szCs w:val="26"/>
        </w:rPr>
        <w:t xml:space="preserve">  [Citation.]</w:t>
      </w:r>
      <w:r w:rsidRPr="00F1083F">
        <w:rPr>
          <w:rFonts w:asciiTheme="minorHAnsi" w:hAnsiTheme="minorHAnsi" w:cstheme="minorHAnsi"/>
          <w:szCs w:val="26"/>
        </w:rPr>
        <w:t>”</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w:t>
      </w:r>
      <w:r w:rsidRPr="00F1083F">
        <w:rPr>
          <w:rFonts w:asciiTheme="minorHAnsi" w:hAnsiTheme="minorHAnsi" w:cstheme="minorHAnsi"/>
          <w:i/>
          <w:iCs/>
          <w:szCs w:val="26"/>
        </w:rPr>
        <w:t xml:space="preserve">People v. Albillar </w:t>
      </w:r>
      <w:r w:rsidRPr="00F1083F">
        <w:rPr>
          <w:rFonts w:asciiTheme="minorHAnsi" w:hAnsiTheme="minorHAnsi" w:cstheme="minorHAnsi"/>
          <w:szCs w:val="26"/>
        </w:rPr>
        <w:t>(2010) 51 Cal.4th 47, 59</w:t>
      </w:r>
      <w:r w:rsidR="000B0861" w:rsidRPr="00F1083F">
        <w:rPr>
          <w:rFonts w:asciiTheme="minorHAnsi" w:hAnsiTheme="minorHAnsi" w:cstheme="minorHAnsi"/>
          <w:szCs w:val="26"/>
        </w:rPr>
        <w:t>–</w:t>
      </w:r>
      <w:r w:rsidRPr="00F1083F">
        <w:rPr>
          <w:rFonts w:asciiTheme="minorHAnsi" w:hAnsiTheme="minorHAnsi" w:cstheme="minorHAnsi"/>
          <w:szCs w:val="26"/>
        </w:rPr>
        <w:t>60.)</w:t>
      </w:r>
    </w:p>
    <w:p w14:paraId="73FCDDB6" w14:textId="0E536E44"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“There are two prongs to the gang enhancement under section 186.22, subdivision (b)(1). </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[Citation.] </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The first prong requires that the prosecution prove the underlying felony was </w:t>
      </w:r>
      <w:r w:rsidR="000B0861" w:rsidRPr="00F1083F">
        <w:rPr>
          <w:rFonts w:asciiTheme="minorHAnsi" w:hAnsiTheme="minorHAnsi" w:cstheme="minorHAnsi"/>
          <w:szCs w:val="26"/>
        </w:rPr>
        <w:t>‘</w:t>
      </w:r>
      <w:r w:rsidRPr="00F1083F">
        <w:rPr>
          <w:rFonts w:asciiTheme="minorHAnsi" w:hAnsiTheme="minorHAnsi" w:cstheme="minorHAnsi"/>
          <w:szCs w:val="26"/>
        </w:rPr>
        <w:t>gang related.</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[Citations.] </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The second prong </w:t>
      </w:r>
      <w:r w:rsidR="000B0861" w:rsidRPr="00F1083F">
        <w:rPr>
          <w:rFonts w:asciiTheme="minorHAnsi" w:hAnsiTheme="minorHAnsi" w:cstheme="minorHAnsi"/>
          <w:szCs w:val="26"/>
        </w:rPr>
        <w:t>‘</w:t>
      </w:r>
      <w:r w:rsidRPr="00F1083F">
        <w:rPr>
          <w:rFonts w:asciiTheme="minorHAnsi" w:hAnsiTheme="minorHAnsi" w:cstheme="minorHAnsi"/>
          <w:szCs w:val="26"/>
        </w:rPr>
        <w:t>requires that a defendant c</w:t>
      </w:r>
      <w:r w:rsidRPr="00F1083F">
        <w:rPr>
          <w:rFonts w:asciiTheme="minorHAnsi" w:hAnsiTheme="minorHAnsi" w:cstheme="minorHAnsi"/>
          <w:szCs w:val="26"/>
        </w:rPr>
        <w:t xml:space="preserve">ommit the gang-related felony </w:t>
      </w:r>
      <w:r w:rsidR="000B0861" w:rsidRPr="00F1083F">
        <w:rPr>
          <w:rFonts w:asciiTheme="minorHAnsi" w:hAnsiTheme="minorHAnsi" w:cstheme="minorHAnsi"/>
          <w:szCs w:val="26"/>
        </w:rPr>
        <w:t>“</w:t>
      </w:r>
      <w:r w:rsidRPr="00F1083F">
        <w:rPr>
          <w:rFonts w:asciiTheme="minorHAnsi" w:hAnsiTheme="minorHAnsi" w:cstheme="minorHAnsi"/>
          <w:szCs w:val="26"/>
        </w:rPr>
        <w:t>with the specific intent to promote, further, or assist in any criminal conduct by gang members.</w:t>
      </w:r>
      <w:r w:rsidR="000B0861" w:rsidRPr="00F1083F">
        <w:rPr>
          <w:rFonts w:asciiTheme="minorHAnsi" w:hAnsiTheme="minorHAnsi" w:cstheme="minorHAnsi"/>
          <w:szCs w:val="26"/>
        </w:rPr>
        <w:t>” ’</w:t>
      </w:r>
      <w:r w:rsidR="00F1083F" w:rsidRPr="00F1083F">
        <w:rPr>
          <w:rFonts w:asciiTheme="minorHAnsi" w:hAnsiTheme="minorHAnsi" w:cstheme="minorHAnsi"/>
          <w:szCs w:val="26"/>
        </w:rPr>
        <w:t xml:space="preserve">  </w:t>
      </w:r>
      <w:r w:rsidRPr="00F1083F">
        <w:rPr>
          <w:rFonts w:asciiTheme="minorHAnsi" w:hAnsiTheme="minorHAnsi" w:cstheme="minorHAnsi"/>
          <w:szCs w:val="26"/>
        </w:rPr>
        <w:t xml:space="preserve">[Citations.]” </w:t>
      </w:r>
      <w:r w:rsidR="000B0861" w:rsidRPr="00F1083F">
        <w:rPr>
          <w:rFonts w:asciiTheme="minorHAnsi" w:hAnsiTheme="minorHAnsi" w:cstheme="minorHAnsi"/>
          <w:szCs w:val="26"/>
        </w:rPr>
        <w:t xml:space="preserve"> </w:t>
      </w:r>
      <w:r w:rsidRPr="00F1083F">
        <w:rPr>
          <w:rFonts w:asciiTheme="minorHAnsi" w:hAnsiTheme="minorHAnsi" w:cstheme="minorHAnsi"/>
          <w:szCs w:val="26"/>
        </w:rPr>
        <w:t>(</w:t>
      </w:r>
      <w:r w:rsidRPr="00F1083F">
        <w:rPr>
          <w:rFonts w:asciiTheme="minorHAnsi" w:hAnsiTheme="minorHAnsi" w:cstheme="minorHAnsi"/>
          <w:i/>
          <w:iCs/>
          <w:szCs w:val="26"/>
        </w:rPr>
        <w:t xml:space="preserve">People v. Weddington </w:t>
      </w:r>
      <w:r w:rsidRPr="00F1083F">
        <w:rPr>
          <w:rFonts w:asciiTheme="minorHAnsi" w:hAnsiTheme="minorHAnsi" w:cstheme="minorHAnsi"/>
          <w:szCs w:val="26"/>
        </w:rPr>
        <w:t>(2016) 246 Cal.App.4th 468, 484</w:t>
      </w:r>
      <w:r w:rsidR="00F1083F" w:rsidRPr="00F1083F">
        <w:rPr>
          <w:rFonts w:asciiTheme="minorHAnsi" w:hAnsiTheme="minorHAnsi" w:cstheme="minorHAnsi"/>
          <w:szCs w:val="26"/>
        </w:rPr>
        <w:t>, fn. omitted</w:t>
      </w:r>
      <w:r w:rsidR="000B0861" w:rsidRPr="00F1083F">
        <w:rPr>
          <w:rFonts w:asciiTheme="minorHAnsi" w:hAnsiTheme="minorHAnsi" w:cstheme="minorHAnsi"/>
          <w:szCs w:val="26"/>
        </w:rPr>
        <w:t xml:space="preserve"> (</w:t>
      </w:r>
      <w:r w:rsidR="000B0861" w:rsidRPr="00F1083F">
        <w:rPr>
          <w:rFonts w:asciiTheme="minorHAnsi" w:hAnsiTheme="minorHAnsi" w:cstheme="minorHAnsi"/>
          <w:i/>
          <w:iCs/>
          <w:szCs w:val="26"/>
        </w:rPr>
        <w:t>Weddington</w:t>
      </w:r>
      <w:r w:rsidR="000B0861" w:rsidRPr="00F1083F">
        <w:rPr>
          <w:rFonts w:asciiTheme="minorHAnsi" w:hAnsiTheme="minorHAnsi" w:cstheme="minorHAnsi"/>
          <w:szCs w:val="26"/>
        </w:rPr>
        <w:t>)</w:t>
      </w:r>
      <w:r w:rsidRPr="00F1083F">
        <w:rPr>
          <w:rFonts w:asciiTheme="minorHAnsi" w:hAnsiTheme="minorHAnsi" w:cstheme="minorHAnsi"/>
          <w:szCs w:val="26"/>
        </w:rPr>
        <w:t>.)</w:t>
      </w:r>
    </w:p>
    <w:p w14:paraId="46D28C9F" w14:textId="778C5A1A" w:rsidR="00483240" w:rsidRPr="00F1083F" w:rsidRDefault="00E502BC" w:rsidP="000B0861">
      <w:pPr>
        <w:pStyle w:val="ListParagraph"/>
        <w:keepNext/>
        <w:numPr>
          <w:ilvl w:val="0"/>
          <w:numId w:val="7"/>
        </w:numPr>
        <w:ind w:left="1440" w:hanging="720"/>
        <w:rPr>
          <w:rFonts w:asciiTheme="minorHAnsi" w:hAnsiTheme="minorHAnsi" w:cstheme="minorHAnsi"/>
          <w:b/>
          <w:bCs/>
          <w:i/>
          <w:iCs/>
          <w:szCs w:val="26"/>
        </w:rPr>
      </w:pPr>
      <w:r w:rsidRPr="00F1083F">
        <w:rPr>
          <w:rFonts w:asciiTheme="minorHAnsi" w:hAnsiTheme="minorHAnsi" w:cstheme="minorHAnsi"/>
          <w:b/>
          <w:bCs/>
          <w:i/>
          <w:iCs/>
          <w:szCs w:val="26"/>
        </w:rPr>
        <w:t>First Prong</w:t>
      </w:r>
      <w:r w:rsidR="000B0861" w:rsidRPr="00F1083F">
        <w:rPr>
          <w:rFonts w:asciiTheme="minorHAnsi" w:hAnsiTheme="minorHAnsi" w:cstheme="minorHAnsi"/>
          <w:b/>
          <w:bCs/>
          <w:i/>
          <w:iCs/>
          <w:szCs w:val="26"/>
        </w:rPr>
        <w:t xml:space="preserve"> – </w:t>
      </w:r>
      <w:r w:rsidRPr="00F1083F">
        <w:rPr>
          <w:rFonts w:asciiTheme="minorHAnsi" w:hAnsiTheme="minorHAnsi" w:cstheme="minorHAnsi"/>
          <w:b/>
          <w:bCs/>
          <w:i/>
          <w:iCs/>
          <w:szCs w:val="26"/>
        </w:rPr>
        <w:t>Gang-relatedness</w:t>
      </w:r>
    </w:p>
    <w:p w14:paraId="16699332" w14:textId="6A837997"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“Section 186.22, subdivision (b)(1) provides three alternatives for establishing the first prong</w:t>
      </w:r>
      <w:r w:rsidR="000B0861" w:rsidRPr="00F1083F">
        <w:rPr>
          <w:rFonts w:asciiTheme="minorHAnsi" w:hAnsiTheme="minorHAnsi" w:cstheme="minorHAnsi"/>
          <w:szCs w:val="26"/>
        </w:rPr>
        <w:t xml:space="preserve"> – </w:t>
      </w:r>
      <w:r w:rsidRPr="00F1083F">
        <w:rPr>
          <w:rFonts w:asciiTheme="minorHAnsi" w:hAnsiTheme="minorHAnsi" w:cstheme="minorHAnsi"/>
          <w:szCs w:val="26"/>
        </w:rPr>
        <w:t xml:space="preserve">that the underlying offense was </w:t>
      </w:r>
      <w:r w:rsidR="00F1083F" w:rsidRPr="00F1083F">
        <w:rPr>
          <w:rFonts w:asciiTheme="minorHAnsi" w:hAnsiTheme="minorHAnsi" w:cstheme="minorHAnsi"/>
          <w:szCs w:val="26"/>
        </w:rPr>
        <w:t>‘</w:t>
      </w:r>
      <w:r w:rsidRPr="00F1083F">
        <w:rPr>
          <w:rFonts w:asciiTheme="minorHAnsi" w:hAnsiTheme="minorHAnsi" w:cstheme="minorHAnsi"/>
          <w:szCs w:val="26"/>
        </w:rPr>
        <w:t>gang related.</w:t>
      </w:r>
      <w:r w:rsidR="00F1083F" w:rsidRPr="00F1083F">
        <w:rPr>
          <w:rFonts w:asciiTheme="minorHAnsi" w:hAnsiTheme="minorHAnsi" w:cstheme="minorHAnsi"/>
          <w:szCs w:val="26"/>
        </w:rPr>
        <w:t>’</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The offense may be committed (1)</w:t>
      </w:r>
      <w:r w:rsidR="000B0861" w:rsidRPr="00F1083F">
        <w:rPr>
          <w:rFonts w:asciiTheme="minorHAnsi" w:hAnsiTheme="minorHAnsi" w:cstheme="minorHAnsi"/>
          <w:szCs w:val="26"/>
        </w:rPr>
        <w:t> </w:t>
      </w:r>
      <w:r w:rsidRPr="00F1083F">
        <w:rPr>
          <w:rFonts w:asciiTheme="minorHAnsi" w:hAnsiTheme="minorHAnsi" w:cstheme="minorHAnsi"/>
          <w:szCs w:val="26"/>
        </w:rPr>
        <w:t>for the benefit of a gang; (2)</w:t>
      </w:r>
      <w:r w:rsidR="000B0861" w:rsidRPr="00F1083F">
        <w:rPr>
          <w:rFonts w:asciiTheme="minorHAnsi" w:hAnsiTheme="minorHAnsi" w:cstheme="minorHAnsi"/>
          <w:szCs w:val="26"/>
        </w:rPr>
        <w:t> </w:t>
      </w:r>
      <w:r w:rsidRPr="00F1083F">
        <w:rPr>
          <w:rFonts w:asciiTheme="minorHAnsi" w:hAnsiTheme="minorHAnsi" w:cstheme="minorHAnsi"/>
          <w:szCs w:val="26"/>
        </w:rPr>
        <w:t xml:space="preserve">at the direction of a gang; </w:t>
      </w:r>
      <w:r w:rsidRPr="00F1083F">
        <w:rPr>
          <w:rFonts w:asciiTheme="minorHAnsi" w:hAnsiTheme="minorHAnsi" w:cstheme="minorHAnsi"/>
          <w:i/>
          <w:iCs/>
          <w:szCs w:val="26"/>
        </w:rPr>
        <w:t>or</w:t>
      </w:r>
      <w:r w:rsidRPr="00F1083F">
        <w:rPr>
          <w:rFonts w:asciiTheme="minorHAnsi" w:hAnsiTheme="minorHAnsi" w:cstheme="minorHAnsi"/>
          <w:szCs w:val="26"/>
        </w:rPr>
        <w:t xml:space="preserve"> (3)</w:t>
      </w:r>
      <w:r w:rsidR="000B0861" w:rsidRPr="00F1083F">
        <w:rPr>
          <w:rFonts w:asciiTheme="minorHAnsi" w:hAnsiTheme="minorHAnsi" w:cstheme="minorHAnsi"/>
          <w:szCs w:val="26"/>
        </w:rPr>
        <w:t> </w:t>
      </w:r>
      <w:r w:rsidRPr="00F1083F">
        <w:rPr>
          <w:rFonts w:asciiTheme="minorHAnsi" w:hAnsiTheme="minorHAnsi" w:cstheme="minorHAnsi"/>
          <w:szCs w:val="26"/>
        </w:rPr>
        <w:t xml:space="preserve">in association with a gang. </w:t>
      </w:r>
      <w:r w:rsidR="000B0861" w:rsidRPr="00F1083F">
        <w:rPr>
          <w:rFonts w:asciiTheme="minorHAnsi" w:hAnsiTheme="minorHAnsi" w:cstheme="minorHAnsi"/>
          <w:szCs w:val="26"/>
        </w:rPr>
        <w:t xml:space="preserve"> </w:t>
      </w:r>
      <w:r w:rsidRPr="00F1083F">
        <w:rPr>
          <w:rFonts w:asciiTheme="minorHAnsi" w:hAnsiTheme="minorHAnsi" w:cstheme="minorHAnsi"/>
          <w:szCs w:val="26"/>
        </w:rPr>
        <w:t>[Citation.]</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Because the first prong is worded in the disjunctive, a gang enhancement may be imposed without evidence of any benefit to the gang so long as the crime was committed in associati</w:t>
      </w:r>
      <w:r w:rsidRPr="00F1083F">
        <w:rPr>
          <w:rFonts w:asciiTheme="minorHAnsi" w:hAnsiTheme="minorHAnsi" w:cstheme="minorHAnsi"/>
          <w:szCs w:val="26"/>
        </w:rPr>
        <w:t xml:space="preserve">on with or at the direction of another gang member. </w:t>
      </w:r>
      <w:r w:rsidR="000B0861" w:rsidRPr="00F1083F">
        <w:rPr>
          <w:rFonts w:asciiTheme="minorHAnsi" w:hAnsiTheme="minorHAnsi" w:cstheme="minorHAnsi"/>
          <w:szCs w:val="26"/>
        </w:rPr>
        <w:t xml:space="preserve"> </w:t>
      </w:r>
      <w:r w:rsidRPr="00F1083F">
        <w:rPr>
          <w:rFonts w:asciiTheme="minorHAnsi" w:hAnsiTheme="minorHAnsi" w:cstheme="minorHAnsi"/>
          <w:szCs w:val="26"/>
        </w:rPr>
        <w:t>[Citations.]</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The first prong therefore may be established with substantial evidence that two or more gang members committed the crime together, unless there is </w:t>
      </w:r>
      <w:r w:rsidRPr="00F1083F">
        <w:rPr>
          <w:rFonts w:asciiTheme="minorHAnsi" w:hAnsiTheme="minorHAnsi" w:cstheme="minorHAnsi"/>
          <w:szCs w:val="26"/>
        </w:rPr>
        <w:lastRenderedPageBreak/>
        <w:t xml:space="preserve">evidence that they were </w:t>
      </w:r>
      <w:r w:rsidR="000B0861" w:rsidRPr="00F1083F">
        <w:rPr>
          <w:rFonts w:asciiTheme="minorHAnsi" w:hAnsiTheme="minorHAnsi" w:cstheme="minorHAnsi"/>
          <w:szCs w:val="26"/>
        </w:rPr>
        <w:t>‘</w:t>
      </w:r>
      <w:r w:rsidRPr="00F1083F">
        <w:rPr>
          <w:rFonts w:asciiTheme="minorHAnsi" w:hAnsiTheme="minorHAnsi" w:cstheme="minorHAnsi"/>
          <w:szCs w:val="26"/>
        </w:rPr>
        <w:t>on a frolic and d</w:t>
      </w:r>
      <w:r w:rsidRPr="00F1083F">
        <w:rPr>
          <w:rFonts w:asciiTheme="minorHAnsi" w:hAnsiTheme="minorHAnsi" w:cstheme="minorHAnsi"/>
          <w:szCs w:val="26"/>
        </w:rPr>
        <w:t>etour unrelated to the gang.</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[Citations.]”</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w:t>
      </w:r>
      <w:r w:rsidRPr="00F1083F">
        <w:rPr>
          <w:rFonts w:asciiTheme="minorHAnsi" w:hAnsiTheme="minorHAnsi" w:cstheme="minorHAnsi"/>
          <w:i/>
          <w:iCs/>
          <w:szCs w:val="26"/>
        </w:rPr>
        <w:t>Weddington</w:t>
      </w:r>
      <w:r w:rsidRPr="00F1083F">
        <w:rPr>
          <w:rFonts w:asciiTheme="minorHAnsi" w:hAnsiTheme="minorHAnsi" w:cstheme="minorHAnsi"/>
          <w:szCs w:val="26"/>
        </w:rPr>
        <w:t xml:space="preserve">, </w:t>
      </w:r>
      <w:r w:rsidRPr="00F1083F">
        <w:rPr>
          <w:rFonts w:asciiTheme="minorHAnsi" w:hAnsiTheme="minorHAnsi" w:cstheme="minorHAnsi"/>
          <w:i/>
          <w:iCs/>
          <w:szCs w:val="26"/>
        </w:rPr>
        <w:t>supra</w:t>
      </w:r>
      <w:r w:rsidRPr="00F1083F">
        <w:rPr>
          <w:rFonts w:asciiTheme="minorHAnsi" w:hAnsiTheme="minorHAnsi" w:cstheme="minorHAnsi"/>
          <w:szCs w:val="26"/>
        </w:rPr>
        <w:t>, 246 Cal.App.4th at p.</w:t>
      </w:r>
      <w:r w:rsidR="000B0861" w:rsidRPr="00F1083F">
        <w:rPr>
          <w:rFonts w:asciiTheme="minorHAnsi" w:hAnsiTheme="minorHAnsi" w:cstheme="minorHAnsi"/>
          <w:szCs w:val="26"/>
        </w:rPr>
        <w:t> </w:t>
      </w:r>
      <w:r w:rsidRPr="00F1083F">
        <w:rPr>
          <w:rFonts w:asciiTheme="minorHAnsi" w:hAnsiTheme="minorHAnsi" w:cstheme="minorHAnsi"/>
          <w:szCs w:val="26"/>
        </w:rPr>
        <w:t>484.)</w:t>
      </w:r>
    </w:p>
    <w:p w14:paraId="6B409A10" w14:textId="721306E1"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Here, there was clearly evidence that two or more gang members committed the crime together. </w:t>
      </w:r>
      <w:r w:rsidR="000B0861" w:rsidRPr="00F1083F">
        <w:rPr>
          <w:rFonts w:asciiTheme="minorHAnsi" w:hAnsiTheme="minorHAnsi" w:cstheme="minorHAnsi"/>
          <w:szCs w:val="26"/>
        </w:rPr>
        <w:t xml:space="preserve"> </w:t>
      </w:r>
      <w:r w:rsidRPr="00F1083F">
        <w:rPr>
          <w:rFonts w:asciiTheme="minorHAnsi" w:hAnsiTheme="minorHAnsi" w:cstheme="minorHAnsi"/>
          <w:szCs w:val="26"/>
        </w:rPr>
        <w:t>Officer Barajas opined that Vasquez and Carrillo are both gang membe</w:t>
      </w:r>
      <w:r w:rsidRPr="00F1083F">
        <w:rPr>
          <w:rFonts w:asciiTheme="minorHAnsi" w:hAnsiTheme="minorHAnsi" w:cstheme="minorHAnsi"/>
          <w:szCs w:val="26"/>
        </w:rPr>
        <w:t>rs.</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Surveillance video showed Vasquez and Carrillo, shortly before the shooting, walking towards the eventual murder scene near each other, while obscuring their appearance (i.e., Carrillo was wearing a mask; Vasquez pulled his jersey up around his head).</w:t>
      </w:r>
      <w:r w:rsidRPr="00F1083F">
        <w:rPr>
          <w:rFonts w:asciiTheme="minorHAnsi" w:hAnsiTheme="minorHAnsi" w:cstheme="minorHAnsi"/>
          <w:szCs w:val="26"/>
        </w:rPr>
        <w:t xml:space="preserve"> </w:t>
      </w:r>
      <w:r w:rsidR="000B0861" w:rsidRPr="00F1083F">
        <w:rPr>
          <w:rFonts w:asciiTheme="minorHAnsi" w:hAnsiTheme="minorHAnsi" w:cstheme="minorHAnsi"/>
          <w:szCs w:val="26"/>
        </w:rPr>
        <w:t xml:space="preserve"> </w:t>
      </w:r>
      <w:r w:rsidRPr="00F1083F">
        <w:rPr>
          <w:rFonts w:asciiTheme="minorHAnsi" w:hAnsiTheme="minorHAnsi" w:cstheme="minorHAnsi"/>
          <w:szCs w:val="26"/>
        </w:rPr>
        <w:t>Surveillance video also showed Vasquez and Carrillo quickly making their way to the same motel room after the shooting.</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Because there is substantial evidence that two or more gang members committed the crime together, and the crime was not shown to be a</w:t>
      </w:r>
      <w:r w:rsidRPr="00F1083F">
        <w:rPr>
          <w:rFonts w:asciiTheme="minorHAnsi" w:hAnsiTheme="minorHAnsi" w:cstheme="minorHAnsi"/>
          <w:szCs w:val="26"/>
        </w:rPr>
        <w:t xml:space="preserve"> frolic and detour, the first prong is satisfied.</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(See </w:t>
      </w:r>
      <w:r w:rsidRPr="00F1083F">
        <w:rPr>
          <w:rFonts w:asciiTheme="minorHAnsi" w:hAnsiTheme="minorHAnsi" w:cstheme="minorHAnsi"/>
          <w:i/>
          <w:iCs/>
          <w:szCs w:val="26"/>
        </w:rPr>
        <w:t>Weddington</w:t>
      </w:r>
      <w:r w:rsidRPr="00F1083F">
        <w:rPr>
          <w:rFonts w:asciiTheme="minorHAnsi" w:hAnsiTheme="minorHAnsi" w:cstheme="minorHAnsi"/>
          <w:szCs w:val="26"/>
        </w:rPr>
        <w:t xml:space="preserve">, </w:t>
      </w:r>
      <w:r w:rsidRPr="00F1083F">
        <w:rPr>
          <w:rFonts w:asciiTheme="minorHAnsi" w:hAnsiTheme="minorHAnsi" w:cstheme="minorHAnsi"/>
          <w:i/>
          <w:iCs/>
          <w:szCs w:val="26"/>
        </w:rPr>
        <w:t>supra</w:t>
      </w:r>
      <w:r w:rsidRPr="00F1083F">
        <w:rPr>
          <w:rFonts w:asciiTheme="minorHAnsi" w:hAnsiTheme="minorHAnsi" w:cstheme="minorHAnsi"/>
          <w:szCs w:val="26"/>
        </w:rPr>
        <w:t>, 246 Cal.App.4th at p.</w:t>
      </w:r>
      <w:r w:rsidR="000B0861" w:rsidRPr="00F1083F">
        <w:rPr>
          <w:rFonts w:asciiTheme="minorHAnsi" w:hAnsiTheme="minorHAnsi" w:cstheme="minorHAnsi"/>
          <w:szCs w:val="26"/>
        </w:rPr>
        <w:t> </w:t>
      </w:r>
      <w:r w:rsidRPr="00F1083F">
        <w:rPr>
          <w:rFonts w:asciiTheme="minorHAnsi" w:hAnsiTheme="minorHAnsi" w:cstheme="minorHAnsi"/>
          <w:szCs w:val="26"/>
        </w:rPr>
        <w:t>484.)</w:t>
      </w:r>
    </w:p>
    <w:p w14:paraId="28633ACB" w14:textId="36BE5030"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It is true that some factors that generally tend to show a crime was committed for the benefit of a gang were not present here, such as gang slogans, sig</w:t>
      </w:r>
      <w:r w:rsidRPr="00F1083F">
        <w:rPr>
          <w:rFonts w:asciiTheme="minorHAnsi" w:hAnsiTheme="minorHAnsi" w:cstheme="minorHAnsi"/>
          <w:szCs w:val="26"/>
        </w:rPr>
        <w:t xml:space="preserve">ns or clothing. </w:t>
      </w:r>
      <w:r w:rsidR="00211438">
        <w:rPr>
          <w:rFonts w:asciiTheme="minorHAnsi" w:hAnsiTheme="minorHAnsi" w:cstheme="minorHAnsi"/>
          <w:szCs w:val="26"/>
        </w:rPr>
        <w:t xml:space="preserve"> </w:t>
      </w:r>
      <w:r w:rsidRPr="00F1083F">
        <w:rPr>
          <w:rFonts w:asciiTheme="minorHAnsi" w:hAnsiTheme="minorHAnsi" w:cstheme="minorHAnsi"/>
          <w:szCs w:val="26"/>
        </w:rPr>
        <w:t>Similarly, Vasquez argues the crime was in a dark area of the hotel, which was located in “relatively neutral [gang] territory.”</w:t>
      </w:r>
      <w:r>
        <w:rPr>
          <w:rStyle w:val="FootnoteReference"/>
          <w:rFonts w:asciiTheme="minorHAnsi" w:hAnsiTheme="minorHAnsi" w:cstheme="minorHAnsi"/>
        </w:rPr>
        <w:footnoteReference w:id="16"/>
      </w:r>
      <w:r w:rsidRPr="00F1083F">
        <w:rPr>
          <w:rFonts w:asciiTheme="minorHAnsi" w:hAnsiTheme="minorHAnsi" w:cstheme="minorHAnsi"/>
          <w:szCs w:val="26"/>
        </w:rPr>
        <w:t xml:space="preserve">  Indeed, these factors are relevant to ascertaining whether the crime was committed </w:t>
      </w:r>
      <w:r w:rsidRPr="00F1083F">
        <w:rPr>
          <w:rFonts w:asciiTheme="minorHAnsi" w:hAnsiTheme="minorHAnsi" w:cstheme="minorHAnsi"/>
          <w:i/>
          <w:iCs/>
          <w:szCs w:val="26"/>
        </w:rPr>
        <w:t>for the benefit</w:t>
      </w:r>
      <w:r w:rsidRPr="00F1083F">
        <w:rPr>
          <w:rFonts w:asciiTheme="minorHAnsi" w:hAnsiTheme="minorHAnsi" w:cstheme="minorHAnsi"/>
          <w:szCs w:val="26"/>
        </w:rPr>
        <w:t xml:space="preserve"> of a gan</w:t>
      </w:r>
      <w:r w:rsidRPr="00F1083F">
        <w:rPr>
          <w:rFonts w:asciiTheme="minorHAnsi" w:hAnsiTheme="minorHAnsi" w:cstheme="minorHAnsi"/>
          <w:szCs w:val="26"/>
        </w:rPr>
        <w:t xml:space="preserve">g. </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However, they do not undermine the evidence that the crime was committed by two gang members working </w:t>
      </w:r>
      <w:r w:rsidRPr="00F1083F">
        <w:rPr>
          <w:rFonts w:asciiTheme="minorHAnsi" w:hAnsiTheme="minorHAnsi" w:cstheme="minorHAnsi"/>
          <w:i/>
          <w:iCs/>
          <w:szCs w:val="26"/>
        </w:rPr>
        <w:t>in association</w:t>
      </w:r>
      <w:r w:rsidRPr="00F1083F">
        <w:rPr>
          <w:rFonts w:asciiTheme="minorHAnsi" w:hAnsiTheme="minorHAnsi" w:cstheme="minorHAnsi"/>
          <w:szCs w:val="26"/>
        </w:rPr>
        <w:t xml:space="preserve">. </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And since </w:t>
      </w:r>
      <w:r w:rsidRPr="00F1083F">
        <w:rPr>
          <w:rFonts w:asciiTheme="minorHAnsi" w:hAnsiTheme="minorHAnsi" w:cstheme="minorHAnsi"/>
          <w:i/>
          <w:iCs/>
          <w:szCs w:val="26"/>
        </w:rPr>
        <w:t>either</w:t>
      </w:r>
      <w:r w:rsidRPr="00F1083F">
        <w:rPr>
          <w:rFonts w:asciiTheme="minorHAnsi" w:hAnsiTheme="minorHAnsi" w:cstheme="minorHAnsi"/>
          <w:szCs w:val="26"/>
        </w:rPr>
        <w:t xml:space="preserve"> is sufficient to show gang-relatedness, “a gang enhancement may be imposed without evidence of any benefit to the gang so long as the crime was committed in association with … another gang member.</w:t>
      </w:r>
      <w:r w:rsidR="00F1083F" w:rsidRPr="00F1083F">
        <w:rPr>
          <w:rFonts w:asciiTheme="minorHAnsi" w:hAnsiTheme="minorHAnsi" w:cstheme="minorHAnsi"/>
          <w:szCs w:val="26"/>
        </w:rPr>
        <w:t xml:space="preserve">  [Citations.]</w:t>
      </w:r>
      <w:r w:rsidRPr="00F1083F">
        <w:rPr>
          <w:rFonts w:asciiTheme="minorHAnsi" w:hAnsiTheme="minorHAnsi" w:cstheme="minorHAnsi"/>
          <w:szCs w:val="26"/>
        </w:rPr>
        <w:t>”</w:t>
      </w:r>
      <w:r w:rsidR="000B0861" w:rsidRPr="00F1083F">
        <w:rPr>
          <w:rFonts w:asciiTheme="minorHAnsi" w:hAnsiTheme="minorHAnsi" w:cstheme="minorHAnsi"/>
          <w:szCs w:val="26"/>
        </w:rPr>
        <w:t xml:space="preserve"> </w:t>
      </w:r>
      <w:r w:rsidRPr="00F1083F">
        <w:rPr>
          <w:rFonts w:asciiTheme="minorHAnsi" w:hAnsiTheme="minorHAnsi" w:cstheme="minorHAnsi"/>
          <w:szCs w:val="26"/>
        </w:rPr>
        <w:t xml:space="preserve"> (</w:t>
      </w:r>
      <w:r w:rsidRPr="00F1083F">
        <w:rPr>
          <w:rFonts w:asciiTheme="minorHAnsi" w:hAnsiTheme="minorHAnsi" w:cstheme="minorHAnsi"/>
          <w:i/>
          <w:iCs/>
          <w:szCs w:val="26"/>
        </w:rPr>
        <w:t>Weddington</w:t>
      </w:r>
      <w:r w:rsidR="000B0861" w:rsidRPr="00F1083F">
        <w:rPr>
          <w:rFonts w:asciiTheme="minorHAnsi" w:hAnsiTheme="minorHAnsi" w:cstheme="minorHAnsi"/>
          <w:szCs w:val="26"/>
        </w:rPr>
        <w:t xml:space="preserve">, </w:t>
      </w:r>
      <w:r w:rsidR="000B0861" w:rsidRPr="00F1083F">
        <w:rPr>
          <w:rFonts w:asciiTheme="minorHAnsi" w:hAnsiTheme="minorHAnsi" w:cstheme="minorHAnsi"/>
          <w:i/>
          <w:iCs/>
          <w:szCs w:val="26"/>
        </w:rPr>
        <w:t>supra</w:t>
      </w:r>
      <w:r w:rsidR="000B0861" w:rsidRPr="00F1083F">
        <w:rPr>
          <w:rFonts w:asciiTheme="minorHAnsi" w:hAnsiTheme="minorHAnsi" w:cstheme="minorHAnsi"/>
          <w:szCs w:val="26"/>
        </w:rPr>
        <w:t>, 246 Cal.App.4th at</w:t>
      </w:r>
      <w:r w:rsidRPr="00F1083F">
        <w:rPr>
          <w:rFonts w:asciiTheme="minorHAnsi" w:hAnsiTheme="minorHAnsi" w:cstheme="minorHAnsi"/>
          <w:szCs w:val="26"/>
        </w:rPr>
        <w:t xml:space="preserve"> p.</w:t>
      </w:r>
      <w:r w:rsidR="000B0861" w:rsidRPr="00F1083F">
        <w:rPr>
          <w:rFonts w:asciiTheme="minorHAnsi" w:hAnsiTheme="minorHAnsi" w:cstheme="minorHAnsi"/>
          <w:szCs w:val="26"/>
        </w:rPr>
        <w:t> </w:t>
      </w:r>
      <w:r w:rsidRPr="00F1083F">
        <w:rPr>
          <w:rFonts w:asciiTheme="minorHAnsi" w:hAnsiTheme="minorHAnsi" w:cstheme="minorHAnsi"/>
          <w:szCs w:val="26"/>
        </w:rPr>
        <w:t>484.)</w:t>
      </w:r>
      <w:r>
        <w:rPr>
          <w:rStyle w:val="FootnoteReference"/>
          <w:rFonts w:asciiTheme="minorHAnsi" w:hAnsiTheme="minorHAnsi" w:cstheme="minorHAnsi"/>
        </w:rPr>
        <w:footnoteReference w:id="17"/>
      </w:r>
    </w:p>
    <w:p w14:paraId="01D355A4" w14:textId="0A4C932E" w:rsidR="00483240" w:rsidRPr="00F1083F" w:rsidRDefault="00E502BC" w:rsidP="000B0861">
      <w:pPr>
        <w:pStyle w:val="ListParagraph"/>
        <w:keepNext/>
        <w:numPr>
          <w:ilvl w:val="0"/>
          <w:numId w:val="7"/>
        </w:numPr>
        <w:ind w:left="1440" w:hanging="720"/>
        <w:rPr>
          <w:rFonts w:asciiTheme="minorHAnsi" w:hAnsiTheme="minorHAnsi" w:cstheme="minorHAnsi"/>
          <w:b/>
          <w:bCs/>
          <w:i/>
          <w:iCs/>
          <w:szCs w:val="26"/>
        </w:rPr>
      </w:pPr>
      <w:r w:rsidRPr="00F1083F">
        <w:rPr>
          <w:rFonts w:asciiTheme="minorHAnsi" w:hAnsiTheme="minorHAnsi" w:cstheme="minorHAnsi"/>
          <w:b/>
          <w:bCs/>
          <w:i/>
          <w:iCs/>
          <w:szCs w:val="26"/>
        </w:rPr>
        <w:lastRenderedPageBreak/>
        <w:t>Second Prong</w:t>
      </w:r>
      <w:r w:rsidR="00676EE5" w:rsidRPr="00F1083F">
        <w:rPr>
          <w:rFonts w:asciiTheme="minorHAnsi" w:hAnsiTheme="minorHAnsi" w:cstheme="minorHAnsi"/>
          <w:b/>
          <w:bCs/>
          <w:i/>
          <w:iCs/>
          <w:szCs w:val="26"/>
        </w:rPr>
        <w:t xml:space="preserve"> – </w:t>
      </w:r>
      <w:r w:rsidRPr="00F1083F">
        <w:rPr>
          <w:rFonts w:asciiTheme="minorHAnsi" w:hAnsiTheme="minorHAnsi" w:cstheme="minorHAnsi"/>
          <w:b/>
          <w:bCs/>
          <w:i/>
          <w:iCs/>
          <w:szCs w:val="26"/>
        </w:rPr>
        <w:t>Specific Intent</w:t>
      </w:r>
    </w:p>
    <w:p w14:paraId="43C0AC19" w14:textId="1000AB02" w:rsidR="000C7BC1"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The fact that Carrillo and Vasquez – two gang members – came together to commit a crime also satisfies the second prong that the defendant have the specific intent to “</w:t>
      </w:r>
      <w:r w:rsidR="00F1083F" w:rsidRPr="00F1083F">
        <w:rPr>
          <w:rFonts w:asciiTheme="minorHAnsi" w:hAnsiTheme="minorHAnsi" w:cstheme="minorHAnsi"/>
          <w:szCs w:val="26"/>
        </w:rPr>
        <w:t> ‘</w:t>
      </w:r>
      <w:r w:rsidRPr="00F1083F">
        <w:rPr>
          <w:rFonts w:asciiTheme="minorHAnsi" w:hAnsiTheme="minorHAnsi" w:cstheme="minorHAnsi"/>
          <w:szCs w:val="26"/>
        </w:rPr>
        <w:t>promote, further or assist in any criminal cond</w:t>
      </w:r>
      <w:r w:rsidRPr="00F1083F">
        <w:rPr>
          <w:rFonts w:asciiTheme="minorHAnsi" w:hAnsiTheme="minorHAnsi" w:cstheme="minorHAnsi"/>
          <w:szCs w:val="26"/>
        </w:rPr>
        <w:t>uct by gang members.</w:t>
      </w:r>
      <w:r w:rsidR="00F1083F" w:rsidRPr="00F1083F">
        <w:rPr>
          <w:rFonts w:asciiTheme="minorHAnsi" w:hAnsiTheme="minorHAnsi" w:cstheme="minorHAnsi"/>
          <w:szCs w:val="26"/>
        </w:rPr>
        <w:t xml:space="preserve">’  [Citations.]” </w:t>
      </w:r>
      <w:r w:rsidRPr="00F1083F">
        <w:rPr>
          <w:rFonts w:asciiTheme="minorHAnsi" w:hAnsiTheme="minorHAnsi" w:cstheme="minorHAnsi"/>
          <w:szCs w:val="26"/>
        </w:rPr>
        <w:t xml:space="preserve"> (See </w:t>
      </w:r>
      <w:r w:rsidRPr="00F1083F">
        <w:rPr>
          <w:rFonts w:asciiTheme="minorHAnsi" w:hAnsiTheme="minorHAnsi" w:cstheme="minorHAnsi"/>
          <w:i/>
          <w:iCs/>
          <w:szCs w:val="26"/>
        </w:rPr>
        <w:t>Weddington</w:t>
      </w:r>
      <w:r w:rsidR="00676EE5" w:rsidRPr="00F1083F">
        <w:rPr>
          <w:rFonts w:asciiTheme="minorHAnsi" w:hAnsiTheme="minorHAnsi" w:cstheme="minorHAnsi"/>
          <w:szCs w:val="26"/>
        </w:rPr>
        <w:t xml:space="preserve">, </w:t>
      </w:r>
      <w:r w:rsidR="00676EE5" w:rsidRPr="00F1083F">
        <w:rPr>
          <w:rFonts w:asciiTheme="minorHAnsi" w:hAnsiTheme="minorHAnsi" w:cstheme="minorHAnsi"/>
          <w:i/>
          <w:iCs/>
          <w:szCs w:val="26"/>
        </w:rPr>
        <w:t>supra</w:t>
      </w:r>
      <w:r w:rsidR="00676EE5" w:rsidRPr="00F1083F">
        <w:rPr>
          <w:rFonts w:asciiTheme="minorHAnsi" w:hAnsiTheme="minorHAnsi" w:cstheme="minorHAnsi"/>
          <w:szCs w:val="26"/>
        </w:rPr>
        <w:t xml:space="preserve">, 246 Cal.App.4th </w:t>
      </w:r>
      <w:r w:rsidRPr="00F1083F">
        <w:rPr>
          <w:rFonts w:asciiTheme="minorHAnsi" w:hAnsiTheme="minorHAnsi" w:cstheme="minorHAnsi"/>
          <w:szCs w:val="26"/>
        </w:rPr>
        <w:t>at p.</w:t>
      </w:r>
      <w:r w:rsidR="00676EE5" w:rsidRPr="00F1083F">
        <w:rPr>
          <w:rFonts w:asciiTheme="minorHAnsi" w:hAnsiTheme="minorHAnsi" w:cstheme="minorHAnsi"/>
          <w:szCs w:val="26"/>
        </w:rPr>
        <w:t> </w:t>
      </w:r>
      <w:r w:rsidRPr="00F1083F">
        <w:rPr>
          <w:rFonts w:asciiTheme="minorHAnsi" w:hAnsiTheme="minorHAnsi" w:cstheme="minorHAnsi"/>
          <w:szCs w:val="26"/>
        </w:rPr>
        <w:t xml:space="preserve">485.) </w:t>
      </w:r>
      <w:r w:rsidR="00676EE5" w:rsidRPr="00F1083F">
        <w:rPr>
          <w:rFonts w:asciiTheme="minorHAnsi" w:hAnsiTheme="minorHAnsi" w:cstheme="minorHAnsi"/>
          <w:szCs w:val="26"/>
        </w:rPr>
        <w:t xml:space="preserve"> </w:t>
      </w:r>
      <w:r w:rsidRPr="00F1083F">
        <w:rPr>
          <w:rFonts w:asciiTheme="minorHAnsi" w:hAnsiTheme="minorHAnsi" w:cstheme="minorHAnsi"/>
          <w:szCs w:val="26"/>
        </w:rPr>
        <w:t xml:space="preserve">“[I]f substantial evidence establishes that the defendant intended to and did commit the charged felony with known members of a gang, the jury may fairly infer </w:t>
      </w:r>
      <w:r w:rsidRPr="00F1083F">
        <w:rPr>
          <w:rFonts w:asciiTheme="minorHAnsi" w:hAnsiTheme="minorHAnsi" w:cstheme="minorHAnsi"/>
          <w:szCs w:val="26"/>
        </w:rPr>
        <w:t>that the defendant had the specific intent to promote, further, or assist criminal conduct by those gang members.”</w:t>
      </w:r>
      <w:r w:rsidR="00676EE5" w:rsidRPr="00F1083F">
        <w:rPr>
          <w:rFonts w:asciiTheme="minorHAnsi" w:hAnsiTheme="minorHAnsi" w:cstheme="minorHAnsi"/>
          <w:szCs w:val="26"/>
        </w:rPr>
        <w:t xml:space="preserve"> </w:t>
      </w:r>
      <w:r w:rsidRPr="00F1083F">
        <w:rPr>
          <w:rFonts w:asciiTheme="minorHAnsi" w:hAnsiTheme="minorHAnsi" w:cstheme="minorHAnsi"/>
          <w:szCs w:val="26"/>
        </w:rPr>
        <w:t xml:space="preserve"> (</w:t>
      </w:r>
      <w:r w:rsidRPr="00F1083F">
        <w:rPr>
          <w:rFonts w:asciiTheme="minorHAnsi" w:hAnsiTheme="minorHAnsi" w:cstheme="minorHAnsi"/>
          <w:i/>
          <w:iCs/>
          <w:szCs w:val="26"/>
        </w:rPr>
        <w:t>People v. Albillar</w:t>
      </w:r>
      <w:r w:rsidR="00676EE5" w:rsidRPr="00F1083F">
        <w:rPr>
          <w:rFonts w:asciiTheme="minorHAnsi" w:hAnsiTheme="minorHAnsi" w:cstheme="minorHAnsi"/>
          <w:szCs w:val="26"/>
        </w:rPr>
        <w:t xml:space="preserve">, </w:t>
      </w:r>
      <w:r w:rsidR="00676EE5" w:rsidRPr="00F1083F">
        <w:rPr>
          <w:rFonts w:asciiTheme="minorHAnsi" w:hAnsiTheme="minorHAnsi" w:cstheme="minorHAnsi"/>
          <w:i/>
          <w:iCs/>
          <w:szCs w:val="26"/>
        </w:rPr>
        <w:t>supra</w:t>
      </w:r>
      <w:r w:rsidR="00676EE5" w:rsidRPr="00F1083F">
        <w:rPr>
          <w:rFonts w:asciiTheme="minorHAnsi" w:hAnsiTheme="minorHAnsi" w:cstheme="minorHAnsi"/>
          <w:szCs w:val="26"/>
        </w:rPr>
        <w:t xml:space="preserve">, </w:t>
      </w:r>
      <w:r w:rsidRPr="00F1083F">
        <w:rPr>
          <w:rFonts w:asciiTheme="minorHAnsi" w:hAnsiTheme="minorHAnsi" w:cstheme="minorHAnsi"/>
          <w:szCs w:val="26"/>
        </w:rPr>
        <w:t>51 Cal.</w:t>
      </w:r>
      <w:r w:rsidR="00676EE5" w:rsidRPr="00F1083F">
        <w:rPr>
          <w:rFonts w:asciiTheme="minorHAnsi" w:hAnsiTheme="minorHAnsi" w:cstheme="minorHAnsi"/>
          <w:szCs w:val="26"/>
        </w:rPr>
        <w:t>4th at p. </w:t>
      </w:r>
      <w:r w:rsidRPr="00F1083F">
        <w:rPr>
          <w:rFonts w:asciiTheme="minorHAnsi" w:hAnsiTheme="minorHAnsi" w:cstheme="minorHAnsi"/>
          <w:szCs w:val="26"/>
        </w:rPr>
        <w:t xml:space="preserve">68.) </w:t>
      </w:r>
      <w:r w:rsidR="00676EE5" w:rsidRPr="00F1083F">
        <w:rPr>
          <w:rFonts w:asciiTheme="minorHAnsi" w:hAnsiTheme="minorHAnsi" w:cstheme="minorHAnsi"/>
          <w:szCs w:val="26"/>
        </w:rPr>
        <w:t xml:space="preserve"> </w:t>
      </w:r>
    </w:p>
    <w:p w14:paraId="23892A87" w14:textId="1E333A73"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Here, there is evidence the defendants intended to and did commit the charged felony (i.</w:t>
      </w:r>
      <w:r w:rsidRPr="00F1083F">
        <w:rPr>
          <w:rFonts w:asciiTheme="minorHAnsi" w:hAnsiTheme="minorHAnsi" w:cstheme="minorHAnsi"/>
          <w:szCs w:val="26"/>
        </w:rPr>
        <w:t xml:space="preserve">e., murder) with known members of a gang (i.e., each other). </w:t>
      </w:r>
      <w:r w:rsidR="005F5456" w:rsidRPr="00F1083F">
        <w:rPr>
          <w:rFonts w:asciiTheme="minorHAnsi" w:hAnsiTheme="minorHAnsi" w:cstheme="minorHAnsi"/>
          <w:szCs w:val="26"/>
        </w:rPr>
        <w:t xml:space="preserve"> </w:t>
      </w:r>
      <w:r w:rsidRPr="00F1083F">
        <w:rPr>
          <w:rFonts w:asciiTheme="minorHAnsi" w:hAnsiTheme="minorHAnsi" w:cstheme="minorHAnsi"/>
          <w:szCs w:val="26"/>
        </w:rPr>
        <w:t>As a result, the jury was free to infer each defendant specifically intended to promote, further or assist the criminal conduct of a gang member (i.e., the other defendant).</w:t>
      </w:r>
    </w:p>
    <w:p w14:paraId="5E9D1342" w14:textId="31EC931F" w:rsidR="00483240" w:rsidRPr="00F1083F" w:rsidRDefault="00E502BC" w:rsidP="00676EE5">
      <w:pPr>
        <w:pStyle w:val="ListParagraph"/>
        <w:numPr>
          <w:ilvl w:val="0"/>
          <w:numId w:val="2"/>
        </w:numPr>
        <w:spacing w:before="240" w:line="240" w:lineRule="auto"/>
        <w:ind w:left="720"/>
        <w:contextualSpacing w:val="0"/>
        <w:rPr>
          <w:rFonts w:asciiTheme="minorHAnsi" w:hAnsiTheme="minorHAnsi" w:cstheme="minorHAnsi"/>
          <w:b/>
          <w:bCs/>
          <w:szCs w:val="26"/>
        </w:rPr>
      </w:pPr>
      <w:bookmarkStart w:id="2" w:name="_Hlk77164596"/>
      <w:r w:rsidRPr="00F1083F">
        <w:rPr>
          <w:rFonts w:asciiTheme="minorHAnsi" w:hAnsiTheme="minorHAnsi" w:cstheme="minorHAnsi"/>
          <w:b/>
          <w:bCs/>
          <w:szCs w:val="26"/>
        </w:rPr>
        <w:t>Vasquez Not Entitled</w:t>
      </w:r>
      <w:r w:rsidRPr="00F1083F">
        <w:rPr>
          <w:rFonts w:asciiTheme="minorHAnsi" w:hAnsiTheme="minorHAnsi" w:cstheme="minorHAnsi"/>
          <w:b/>
          <w:bCs/>
          <w:szCs w:val="26"/>
        </w:rPr>
        <w:t xml:space="preserve"> to Relief on Claim of Error Regarding Ability</w:t>
      </w:r>
      <w:r w:rsidR="00137A63" w:rsidRPr="00F1083F">
        <w:rPr>
          <w:rFonts w:asciiTheme="minorHAnsi" w:hAnsiTheme="minorHAnsi" w:cstheme="minorHAnsi"/>
          <w:b/>
          <w:bCs/>
          <w:szCs w:val="26"/>
        </w:rPr>
        <w:t xml:space="preserve"> </w:t>
      </w:r>
      <w:r w:rsidRPr="00F1083F">
        <w:rPr>
          <w:rFonts w:asciiTheme="minorHAnsi" w:hAnsiTheme="minorHAnsi" w:cstheme="minorHAnsi"/>
          <w:b/>
          <w:bCs/>
          <w:szCs w:val="26"/>
        </w:rPr>
        <w:t>to</w:t>
      </w:r>
      <w:r w:rsidR="00137A63" w:rsidRPr="00F1083F">
        <w:rPr>
          <w:rFonts w:asciiTheme="minorHAnsi" w:hAnsiTheme="minorHAnsi" w:cstheme="minorHAnsi"/>
          <w:b/>
          <w:bCs/>
          <w:szCs w:val="26"/>
        </w:rPr>
        <w:t xml:space="preserve"> </w:t>
      </w:r>
      <w:r w:rsidRPr="00F1083F">
        <w:rPr>
          <w:rFonts w:asciiTheme="minorHAnsi" w:hAnsiTheme="minorHAnsi" w:cstheme="minorHAnsi"/>
          <w:b/>
          <w:bCs/>
          <w:szCs w:val="26"/>
        </w:rPr>
        <w:t>Pay</w:t>
      </w:r>
      <w:r>
        <w:rPr>
          <w:rStyle w:val="FootnoteReference"/>
          <w:rFonts w:ascii="Symbol" w:hAnsi="Symbol" w:cstheme="minorHAnsi"/>
          <w:b w:val="0"/>
          <w:bCs/>
        </w:rPr>
        <w:footnoteReference w:customMarkFollows="1" w:id="18"/>
        <w:sym w:font="Symbol" w:char="F02A"/>
      </w:r>
    </w:p>
    <w:p w14:paraId="4AF8C2DD" w14:textId="081590FE"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In his opening brief, Vasquez argued the court violated his due process by imposing restitution</w:t>
      </w:r>
      <w:r w:rsidR="002D3A38" w:rsidRPr="00F1083F">
        <w:rPr>
          <w:rFonts w:asciiTheme="minorHAnsi" w:hAnsiTheme="minorHAnsi" w:cstheme="minorHAnsi"/>
          <w:szCs w:val="26"/>
        </w:rPr>
        <w:t xml:space="preserve"> in an amount to be determined, a $300 restitution fine (§</w:t>
      </w:r>
      <w:r w:rsidR="005F5456" w:rsidRPr="00F1083F">
        <w:rPr>
          <w:rFonts w:asciiTheme="minorHAnsi" w:hAnsiTheme="minorHAnsi" w:cstheme="minorHAnsi"/>
          <w:szCs w:val="26"/>
        </w:rPr>
        <w:t> </w:t>
      </w:r>
      <w:r w:rsidR="002D3A38" w:rsidRPr="00F1083F">
        <w:rPr>
          <w:rFonts w:asciiTheme="minorHAnsi" w:hAnsiTheme="minorHAnsi" w:cstheme="minorHAnsi"/>
          <w:szCs w:val="26"/>
        </w:rPr>
        <w:t>1202.4, subd.</w:t>
      </w:r>
      <w:r w:rsidR="005F5456" w:rsidRPr="00F1083F">
        <w:rPr>
          <w:rFonts w:asciiTheme="minorHAnsi" w:hAnsiTheme="minorHAnsi" w:cstheme="minorHAnsi"/>
          <w:szCs w:val="26"/>
        </w:rPr>
        <w:t> </w:t>
      </w:r>
      <w:r w:rsidR="002D3A38" w:rsidRPr="00F1083F">
        <w:rPr>
          <w:rFonts w:asciiTheme="minorHAnsi" w:hAnsiTheme="minorHAnsi" w:cstheme="minorHAnsi"/>
          <w:szCs w:val="26"/>
        </w:rPr>
        <w:t>(b)), a $40 court operations fee (§</w:t>
      </w:r>
      <w:r w:rsidR="005F5456" w:rsidRPr="00F1083F">
        <w:rPr>
          <w:rFonts w:asciiTheme="minorHAnsi" w:hAnsiTheme="minorHAnsi" w:cstheme="minorHAnsi"/>
          <w:szCs w:val="26"/>
        </w:rPr>
        <w:t> </w:t>
      </w:r>
      <w:r w:rsidR="002D3A38" w:rsidRPr="00F1083F">
        <w:rPr>
          <w:rFonts w:asciiTheme="minorHAnsi" w:hAnsiTheme="minorHAnsi" w:cstheme="minorHAnsi"/>
          <w:szCs w:val="26"/>
        </w:rPr>
        <w:t>1465.8) and a $30 criminal conviction assessment fee (Gov. Code</w:t>
      </w:r>
      <w:r w:rsidR="005F5456" w:rsidRPr="00F1083F">
        <w:rPr>
          <w:rFonts w:asciiTheme="minorHAnsi" w:hAnsiTheme="minorHAnsi" w:cstheme="minorHAnsi"/>
          <w:szCs w:val="26"/>
        </w:rPr>
        <w:t>,</w:t>
      </w:r>
      <w:r w:rsidR="002D3A38" w:rsidRPr="00F1083F">
        <w:rPr>
          <w:rFonts w:asciiTheme="minorHAnsi" w:hAnsiTheme="minorHAnsi" w:cstheme="minorHAnsi"/>
          <w:szCs w:val="26"/>
        </w:rPr>
        <w:t xml:space="preserve"> §</w:t>
      </w:r>
      <w:r w:rsidR="005F5456" w:rsidRPr="00F1083F">
        <w:rPr>
          <w:rFonts w:asciiTheme="minorHAnsi" w:hAnsiTheme="minorHAnsi" w:cstheme="minorHAnsi"/>
          <w:szCs w:val="26"/>
        </w:rPr>
        <w:t> </w:t>
      </w:r>
      <w:r w:rsidR="002D3A38" w:rsidRPr="00F1083F">
        <w:rPr>
          <w:rFonts w:asciiTheme="minorHAnsi" w:hAnsiTheme="minorHAnsi" w:cstheme="minorHAnsi"/>
          <w:szCs w:val="26"/>
        </w:rPr>
        <w:t>70373)</w:t>
      </w:r>
      <w:r w:rsidRPr="00F1083F">
        <w:rPr>
          <w:rFonts w:asciiTheme="minorHAnsi" w:hAnsiTheme="minorHAnsi" w:cstheme="minorHAnsi"/>
          <w:szCs w:val="26"/>
        </w:rPr>
        <w:t xml:space="preserve"> without any finding he had the ability to pay.  He acknowledge</w:t>
      </w:r>
      <w:r w:rsidR="002D3A38" w:rsidRPr="00F1083F">
        <w:rPr>
          <w:rFonts w:asciiTheme="minorHAnsi" w:hAnsiTheme="minorHAnsi" w:cstheme="minorHAnsi"/>
          <w:szCs w:val="26"/>
        </w:rPr>
        <w:t>s</w:t>
      </w:r>
      <w:r w:rsidRPr="00F1083F">
        <w:rPr>
          <w:rFonts w:asciiTheme="minorHAnsi" w:hAnsiTheme="minorHAnsi" w:cstheme="minorHAnsi"/>
          <w:szCs w:val="26"/>
        </w:rPr>
        <w:t xml:space="preserve"> that he did not offer an objection in the trial court.</w:t>
      </w:r>
    </w:p>
    <w:p w14:paraId="3A8963C6" w14:textId="389457AF" w:rsidR="004D1D91" w:rsidRPr="00F1083F" w:rsidRDefault="00E502BC" w:rsidP="00137A63">
      <w:pPr>
        <w:pStyle w:val="ListParagraph"/>
        <w:keepNext/>
        <w:numPr>
          <w:ilvl w:val="0"/>
          <w:numId w:val="10"/>
        </w:numPr>
        <w:ind w:left="1440" w:hanging="720"/>
        <w:rPr>
          <w:rFonts w:asciiTheme="minorHAnsi" w:hAnsiTheme="minorHAnsi" w:cstheme="minorHAnsi"/>
          <w:b/>
          <w:bCs/>
          <w:i/>
          <w:iCs/>
          <w:szCs w:val="26"/>
        </w:rPr>
      </w:pPr>
      <w:r w:rsidRPr="00F1083F">
        <w:rPr>
          <w:rFonts w:asciiTheme="minorHAnsi" w:hAnsiTheme="minorHAnsi" w:cstheme="minorHAnsi"/>
          <w:b/>
          <w:bCs/>
          <w:i/>
          <w:iCs/>
          <w:szCs w:val="26"/>
        </w:rPr>
        <w:t>Vasquez’s Due Process Claim Lacks Merit</w:t>
      </w:r>
    </w:p>
    <w:p w14:paraId="445863BD" w14:textId="38CEC975"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After</w:t>
      </w:r>
      <w:r w:rsidRPr="00F1083F">
        <w:rPr>
          <w:rFonts w:asciiTheme="minorHAnsi" w:hAnsiTheme="minorHAnsi" w:cstheme="minorHAnsi"/>
          <w:szCs w:val="26"/>
        </w:rPr>
        <w:t xml:space="preserve"> Vasquez filed his opening brief, this court decided </w:t>
      </w:r>
      <w:r w:rsidRPr="00F1083F">
        <w:rPr>
          <w:rFonts w:asciiTheme="minorHAnsi" w:hAnsiTheme="minorHAnsi" w:cstheme="minorHAnsi"/>
          <w:i/>
          <w:iCs/>
          <w:szCs w:val="26"/>
        </w:rPr>
        <w:t xml:space="preserve">People v. Aviles </w:t>
      </w:r>
      <w:r w:rsidRPr="00F1083F">
        <w:rPr>
          <w:rFonts w:asciiTheme="minorHAnsi" w:hAnsiTheme="minorHAnsi" w:cstheme="minorHAnsi"/>
          <w:szCs w:val="26"/>
        </w:rPr>
        <w:t xml:space="preserve">(2019) 39 Cal.App.5th 1055. </w:t>
      </w:r>
      <w:r w:rsidR="00676EE5" w:rsidRPr="00F1083F">
        <w:rPr>
          <w:rFonts w:asciiTheme="minorHAnsi" w:hAnsiTheme="minorHAnsi" w:cstheme="minorHAnsi"/>
          <w:szCs w:val="26"/>
        </w:rPr>
        <w:t xml:space="preserve"> </w:t>
      </w:r>
      <w:r w:rsidRPr="00F1083F">
        <w:rPr>
          <w:rFonts w:asciiTheme="minorHAnsi" w:hAnsiTheme="minorHAnsi" w:cstheme="minorHAnsi"/>
          <w:szCs w:val="26"/>
        </w:rPr>
        <w:t xml:space="preserve">In that case, we held that due process does not afford a defendant a </w:t>
      </w:r>
      <w:r w:rsidRPr="00F1083F">
        <w:rPr>
          <w:rFonts w:asciiTheme="minorHAnsi" w:hAnsiTheme="minorHAnsi" w:cstheme="minorHAnsi"/>
          <w:szCs w:val="26"/>
        </w:rPr>
        <w:lastRenderedPageBreak/>
        <w:t>preassessment ability-to-pay hearing before a trial court imposes fines and fees.</w:t>
      </w:r>
      <w:r>
        <w:rPr>
          <w:rStyle w:val="FootnoteReference"/>
          <w:rFonts w:asciiTheme="minorHAnsi" w:hAnsiTheme="minorHAnsi" w:cstheme="minorHAnsi"/>
        </w:rPr>
        <w:footnoteReference w:id="19"/>
      </w:r>
      <w:r w:rsidR="00676EE5" w:rsidRPr="00F1083F">
        <w:rPr>
          <w:rFonts w:asciiTheme="minorHAnsi" w:hAnsiTheme="minorHAnsi" w:cstheme="minorHAnsi"/>
          <w:szCs w:val="26"/>
        </w:rPr>
        <w:t xml:space="preserve"> </w:t>
      </w:r>
      <w:r w:rsidRPr="00F1083F">
        <w:rPr>
          <w:rFonts w:asciiTheme="minorHAnsi" w:hAnsiTheme="minorHAnsi" w:cstheme="minorHAnsi"/>
          <w:szCs w:val="26"/>
        </w:rPr>
        <w:t xml:space="preserve"> (Se</w:t>
      </w:r>
      <w:r w:rsidRPr="00F1083F">
        <w:rPr>
          <w:rFonts w:asciiTheme="minorHAnsi" w:hAnsiTheme="minorHAnsi" w:cstheme="minorHAnsi"/>
          <w:szCs w:val="26"/>
        </w:rPr>
        <w:t xml:space="preserve">e </w:t>
      </w:r>
      <w:r w:rsidR="00676EE5" w:rsidRPr="00F1083F">
        <w:rPr>
          <w:rFonts w:asciiTheme="minorHAnsi" w:hAnsiTheme="minorHAnsi" w:cstheme="minorHAnsi"/>
          <w:i/>
          <w:iCs/>
          <w:szCs w:val="26"/>
        </w:rPr>
        <w:t>id</w:t>
      </w:r>
      <w:r w:rsidR="00676EE5" w:rsidRPr="00F1083F">
        <w:rPr>
          <w:rFonts w:asciiTheme="minorHAnsi" w:hAnsiTheme="minorHAnsi" w:cstheme="minorHAnsi"/>
          <w:szCs w:val="26"/>
        </w:rPr>
        <w:t>.</w:t>
      </w:r>
      <w:r w:rsidRPr="00F1083F">
        <w:rPr>
          <w:rFonts w:asciiTheme="minorHAnsi" w:hAnsiTheme="minorHAnsi" w:cstheme="minorHAnsi"/>
          <w:szCs w:val="26"/>
        </w:rPr>
        <w:t xml:space="preserve"> at pp.</w:t>
      </w:r>
      <w:r w:rsidR="00676EE5" w:rsidRPr="00F1083F">
        <w:rPr>
          <w:rFonts w:asciiTheme="minorHAnsi" w:hAnsiTheme="minorHAnsi" w:cstheme="minorHAnsi"/>
          <w:szCs w:val="26"/>
        </w:rPr>
        <w:t> </w:t>
      </w:r>
      <w:r w:rsidRPr="00F1083F">
        <w:rPr>
          <w:rFonts w:asciiTheme="minorHAnsi" w:hAnsiTheme="minorHAnsi" w:cstheme="minorHAnsi"/>
          <w:szCs w:val="26"/>
        </w:rPr>
        <w:t>1068</w:t>
      </w:r>
      <w:r w:rsidR="00676EE5" w:rsidRPr="00F1083F">
        <w:rPr>
          <w:rFonts w:asciiTheme="minorHAnsi" w:hAnsiTheme="minorHAnsi" w:cstheme="minorHAnsi"/>
          <w:szCs w:val="26"/>
        </w:rPr>
        <w:t>–</w:t>
      </w:r>
      <w:r w:rsidRPr="00F1083F">
        <w:rPr>
          <w:rFonts w:asciiTheme="minorHAnsi" w:hAnsiTheme="minorHAnsi" w:cstheme="minorHAnsi"/>
          <w:szCs w:val="26"/>
        </w:rPr>
        <w:t xml:space="preserve">1069.) </w:t>
      </w:r>
      <w:r w:rsidR="00676EE5" w:rsidRPr="00F1083F">
        <w:rPr>
          <w:rFonts w:asciiTheme="minorHAnsi" w:hAnsiTheme="minorHAnsi" w:cstheme="minorHAnsi"/>
          <w:szCs w:val="26"/>
        </w:rPr>
        <w:t xml:space="preserve"> </w:t>
      </w:r>
      <w:r w:rsidRPr="00F1083F">
        <w:rPr>
          <w:rFonts w:asciiTheme="minorHAnsi" w:hAnsiTheme="minorHAnsi" w:cstheme="minorHAnsi"/>
          <w:szCs w:val="26"/>
        </w:rPr>
        <w:t>In his reply brief, Vasquez acknowledges the holding</w:t>
      </w:r>
      <w:r w:rsidR="002D3A38" w:rsidRPr="00F1083F">
        <w:rPr>
          <w:rFonts w:asciiTheme="minorHAnsi" w:hAnsiTheme="minorHAnsi" w:cstheme="minorHAnsi"/>
          <w:szCs w:val="26"/>
        </w:rPr>
        <w:t xml:space="preserve"> of </w:t>
      </w:r>
      <w:r w:rsidR="002D3A38" w:rsidRPr="00F1083F">
        <w:rPr>
          <w:rFonts w:asciiTheme="minorHAnsi" w:hAnsiTheme="minorHAnsi" w:cstheme="minorHAnsi"/>
          <w:i/>
          <w:iCs/>
          <w:szCs w:val="26"/>
        </w:rPr>
        <w:t>Aviles</w:t>
      </w:r>
      <w:r w:rsidRPr="00F1083F">
        <w:rPr>
          <w:rFonts w:asciiTheme="minorHAnsi" w:hAnsiTheme="minorHAnsi" w:cstheme="minorHAnsi"/>
          <w:szCs w:val="26"/>
        </w:rPr>
        <w:t xml:space="preserve"> and simply states he wishes to “preserve this issue” in case the Supreme Court decides differently in the future. </w:t>
      </w:r>
    </w:p>
    <w:p w14:paraId="0DF72021" w14:textId="4B910BDC" w:rsidR="00483240" w:rsidRPr="00F1083F" w:rsidRDefault="00E502BC" w:rsidP="004D1D91">
      <w:pPr>
        <w:ind w:firstLine="720"/>
        <w:rPr>
          <w:rFonts w:asciiTheme="minorHAnsi" w:hAnsiTheme="minorHAnsi" w:cstheme="minorHAnsi"/>
          <w:szCs w:val="26"/>
        </w:rPr>
      </w:pPr>
      <w:r w:rsidRPr="00F1083F">
        <w:rPr>
          <w:rFonts w:asciiTheme="minorHAnsi" w:hAnsiTheme="minorHAnsi" w:cstheme="minorHAnsi"/>
          <w:szCs w:val="26"/>
        </w:rPr>
        <w:t xml:space="preserve">We reject </w:t>
      </w:r>
      <w:r w:rsidR="002D3A38" w:rsidRPr="00F1083F">
        <w:rPr>
          <w:rFonts w:asciiTheme="minorHAnsi" w:hAnsiTheme="minorHAnsi" w:cstheme="minorHAnsi"/>
          <w:szCs w:val="26"/>
        </w:rPr>
        <w:t>Vasquez</w:t>
      </w:r>
      <w:r w:rsidRPr="00F1083F">
        <w:rPr>
          <w:rFonts w:asciiTheme="minorHAnsi" w:hAnsiTheme="minorHAnsi" w:cstheme="minorHAnsi"/>
          <w:szCs w:val="26"/>
        </w:rPr>
        <w:t>’s due process claim because “</w:t>
      </w:r>
      <w:r w:rsidR="00F1083F" w:rsidRPr="00F1083F">
        <w:rPr>
          <w:rFonts w:asciiTheme="minorHAnsi" w:hAnsiTheme="minorHAnsi" w:cstheme="minorHAnsi"/>
          <w:szCs w:val="26"/>
        </w:rPr>
        <w:t> ‘</w:t>
      </w:r>
      <w:r w:rsidRPr="00F1083F">
        <w:rPr>
          <w:rFonts w:asciiTheme="minorHAnsi" w:hAnsiTheme="minorHAnsi" w:cstheme="minorHAnsi"/>
          <w:szCs w:val="26"/>
        </w:rPr>
        <w:t xml:space="preserve">general </w:t>
      </w:r>
      <w:r w:rsidR="00F1083F" w:rsidRPr="00F1083F">
        <w:rPr>
          <w:rFonts w:asciiTheme="minorHAnsi" w:hAnsiTheme="minorHAnsi" w:cstheme="minorHAnsi"/>
          <w:szCs w:val="26"/>
        </w:rPr>
        <w:t>“</w:t>
      </w:r>
      <w:r w:rsidRPr="00F1083F">
        <w:rPr>
          <w:rFonts w:asciiTheme="minorHAnsi" w:hAnsiTheme="minorHAnsi" w:cstheme="minorHAnsi"/>
          <w:szCs w:val="26"/>
        </w:rPr>
        <w:t>fairness</w:t>
      </w:r>
      <w:r w:rsidR="00F1083F" w:rsidRPr="00F1083F">
        <w:rPr>
          <w:rFonts w:asciiTheme="minorHAnsi" w:hAnsiTheme="minorHAnsi" w:cstheme="minorHAnsi"/>
          <w:szCs w:val="26"/>
        </w:rPr>
        <w:t>”</w:t>
      </w:r>
      <w:r w:rsidRPr="00F1083F">
        <w:rPr>
          <w:rFonts w:asciiTheme="minorHAnsi" w:hAnsiTheme="minorHAnsi" w:cstheme="minorHAnsi"/>
          <w:szCs w:val="26"/>
        </w:rPr>
        <w:t xml:space="preserve"> grounds of due process and/or equal protection principles do not afford a defendant a preassessment ability-to-pay hearing before a trial court imposes fines and fees on him or her.</w:t>
      </w:r>
      <w:r w:rsidR="00F1083F" w:rsidRPr="00F1083F">
        <w:rPr>
          <w:rFonts w:asciiTheme="minorHAnsi" w:hAnsiTheme="minorHAnsi" w:cstheme="minorHAnsi"/>
          <w:szCs w:val="26"/>
        </w:rPr>
        <w:t>’  [Citations.]”</w:t>
      </w:r>
      <w:r w:rsidRPr="00F1083F">
        <w:rPr>
          <w:rFonts w:asciiTheme="minorHAnsi" w:hAnsiTheme="minorHAnsi" w:cstheme="minorHAnsi"/>
          <w:szCs w:val="26"/>
        </w:rPr>
        <w:t xml:space="preserve"> </w:t>
      </w:r>
      <w:r w:rsidR="005F5456" w:rsidRPr="00F1083F">
        <w:rPr>
          <w:rFonts w:asciiTheme="minorHAnsi" w:hAnsiTheme="minorHAnsi" w:cstheme="minorHAnsi"/>
          <w:szCs w:val="26"/>
        </w:rPr>
        <w:t xml:space="preserve"> </w:t>
      </w:r>
      <w:r w:rsidR="00C737E5" w:rsidRPr="00F1083F">
        <w:rPr>
          <w:rFonts w:asciiTheme="minorHAnsi" w:hAnsiTheme="minorHAnsi" w:cstheme="minorHAnsi"/>
          <w:szCs w:val="26"/>
        </w:rPr>
        <w:t>(</w:t>
      </w:r>
      <w:r w:rsidR="00C737E5" w:rsidRPr="00F1083F">
        <w:rPr>
          <w:rFonts w:asciiTheme="minorHAnsi" w:hAnsiTheme="minorHAnsi" w:cstheme="minorHAnsi"/>
          <w:i/>
          <w:iCs/>
          <w:szCs w:val="26"/>
        </w:rPr>
        <w:t>Aviles</w:t>
      </w:r>
      <w:r w:rsidR="00C737E5" w:rsidRPr="00F1083F">
        <w:rPr>
          <w:rFonts w:asciiTheme="minorHAnsi" w:hAnsiTheme="minorHAnsi" w:cstheme="minorHAnsi"/>
          <w:szCs w:val="26"/>
        </w:rPr>
        <w:t xml:space="preserve">, </w:t>
      </w:r>
      <w:r w:rsidR="00C737E5" w:rsidRPr="00F1083F">
        <w:rPr>
          <w:rFonts w:asciiTheme="minorHAnsi" w:hAnsiTheme="minorHAnsi" w:cstheme="minorHAnsi"/>
          <w:i/>
          <w:iCs/>
          <w:szCs w:val="26"/>
        </w:rPr>
        <w:t>supra</w:t>
      </w:r>
      <w:r w:rsidR="00C737E5" w:rsidRPr="00F1083F">
        <w:rPr>
          <w:rFonts w:asciiTheme="minorHAnsi" w:hAnsiTheme="minorHAnsi" w:cstheme="minorHAnsi"/>
          <w:szCs w:val="26"/>
        </w:rPr>
        <w:t>, 39 Cal.App.5th at p.</w:t>
      </w:r>
      <w:r w:rsidR="005F5456" w:rsidRPr="00F1083F">
        <w:rPr>
          <w:rFonts w:asciiTheme="minorHAnsi" w:hAnsiTheme="minorHAnsi" w:cstheme="minorHAnsi"/>
          <w:szCs w:val="26"/>
        </w:rPr>
        <w:t> </w:t>
      </w:r>
      <w:r w:rsidR="00C737E5" w:rsidRPr="00F1083F">
        <w:rPr>
          <w:rFonts w:asciiTheme="minorHAnsi" w:hAnsiTheme="minorHAnsi" w:cstheme="minorHAnsi"/>
          <w:szCs w:val="26"/>
        </w:rPr>
        <w:t>1068.)</w:t>
      </w:r>
      <w:r>
        <w:rPr>
          <w:rStyle w:val="FootnoteReference"/>
          <w:rFonts w:asciiTheme="minorHAnsi" w:hAnsiTheme="minorHAnsi" w:cstheme="minorHAnsi"/>
        </w:rPr>
        <w:footnoteReference w:id="20"/>
      </w:r>
      <w:r w:rsidR="004D1D91" w:rsidRPr="00F1083F">
        <w:rPr>
          <w:rFonts w:asciiTheme="minorHAnsi" w:hAnsiTheme="minorHAnsi" w:cstheme="minorHAnsi"/>
          <w:szCs w:val="26"/>
        </w:rPr>
        <w:t xml:space="preserve"> </w:t>
      </w:r>
    </w:p>
    <w:p w14:paraId="192F81BD" w14:textId="47D3BFC1" w:rsidR="004D1D91" w:rsidRPr="00F1083F" w:rsidRDefault="00E502BC" w:rsidP="00F1083F">
      <w:pPr>
        <w:pStyle w:val="ListParagraph"/>
        <w:keepNext/>
        <w:numPr>
          <w:ilvl w:val="0"/>
          <w:numId w:val="10"/>
        </w:numPr>
        <w:ind w:left="1440" w:hanging="720"/>
        <w:rPr>
          <w:rFonts w:asciiTheme="minorHAnsi" w:hAnsiTheme="minorHAnsi" w:cstheme="minorHAnsi"/>
          <w:b/>
          <w:bCs/>
          <w:i/>
          <w:iCs/>
          <w:szCs w:val="26"/>
        </w:rPr>
      </w:pPr>
      <w:r w:rsidRPr="00F1083F">
        <w:rPr>
          <w:rFonts w:asciiTheme="minorHAnsi" w:hAnsiTheme="minorHAnsi" w:cstheme="minorHAnsi"/>
          <w:b/>
          <w:bCs/>
          <w:i/>
          <w:iCs/>
          <w:szCs w:val="26"/>
        </w:rPr>
        <w:t xml:space="preserve">No Violation of the Excessive Fines Clause </w:t>
      </w:r>
      <w:r w:rsidR="00F1083F">
        <w:rPr>
          <w:rFonts w:asciiTheme="minorHAnsi" w:hAnsiTheme="minorHAnsi" w:cstheme="minorHAnsi"/>
          <w:b/>
          <w:bCs/>
          <w:i/>
          <w:iCs/>
          <w:szCs w:val="26"/>
        </w:rPr>
        <w:t>H</w:t>
      </w:r>
      <w:r w:rsidRPr="00F1083F">
        <w:rPr>
          <w:rFonts w:asciiTheme="minorHAnsi" w:hAnsiTheme="minorHAnsi" w:cstheme="minorHAnsi"/>
          <w:b/>
          <w:bCs/>
          <w:i/>
          <w:iCs/>
          <w:szCs w:val="26"/>
        </w:rPr>
        <w:t>as Been Shown</w:t>
      </w:r>
    </w:p>
    <w:p w14:paraId="47B5CC77" w14:textId="2E561A95" w:rsidR="002D3A38"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 xml:space="preserve">Vasquez does not appear to make any claim under the </w:t>
      </w:r>
      <w:r w:rsidR="005F5456" w:rsidRPr="00F1083F">
        <w:rPr>
          <w:rFonts w:asciiTheme="minorHAnsi" w:hAnsiTheme="minorHAnsi" w:cstheme="minorHAnsi"/>
          <w:szCs w:val="26"/>
        </w:rPr>
        <w:t>e</w:t>
      </w:r>
      <w:r w:rsidRPr="00F1083F">
        <w:rPr>
          <w:rFonts w:asciiTheme="minorHAnsi" w:hAnsiTheme="minorHAnsi" w:cstheme="minorHAnsi"/>
          <w:szCs w:val="26"/>
        </w:rPr>
        <w:t xml:space="preserve">xcessive </w:t>
      </w:r>
      <w:r w:rsidR="005F5456" w:rsidRPr="00F1083F">
        <w:rPr>
          <w:rFonts w:asciiTheme="minorHAnsi" w:hAnsiTheme="minorHAnsi" w:cstheme="minorHAnsi"/>
          <w:szCs w:val="26"/>
        </w:rPr>
        <w:t>f</w:t>
      </w:r>
      <w:r w:rsidRPr="00F1083F">
        <w:rPr>
          <w:rFonts w:asciiTheme="minorHAnsi" w:hAnsiTheme="minorHAnsi" w:cstheme="minorHAnsi"/>
          <w:szCs w:val="26"/>
        </w:rPr>
        <w:t>ines clause.</w:t>
      </w:r>
      <w:r>
        <w:rPr>
          <w:rStyle w:val="FootnoteReference"/>
          <w:rFonts w:asciiTheme="minorHAnsi" w:hAnsiTheme="minorHAnsi" w:cstheme="minorHAnsi"/>
        </w:rPr>
        <w:footnoteReference w:id="21"/>
      </w:r>
      <w:r w:rsidRPr="00F1083F">
        <w:rPr>
          <w:rFonts w:asciiTheme="minorHAnsi" w:hAnsiTheme="minorHAnsi" w:cstheme="minorHAnsi"/>
          <w:szCs w:val="26"/>
        </w:rPr>
        <w:t xml:space="preserve"> </w:t>
      </w:r>
      <w:r w:rsidR="005F5456" w:rsidRPr="00F1083F">
        <w:rPr>
          <w:rFonts w:asciiTheme="minorHAnsi" w:hAnsiTheme="minorHAnsi" w:cstheme="minorHAnsi"/>
          <w:szCs w:val="26"/>
        </w:rPr>
        <w:t xml:space="preserve"> </w:t>
      </w:r>
      <w:r w:rsidRPr="00F1083F">
        <w:rPr>
          <w:rFonts w:asciiTheme="minorHAnsi" w:hAnsiTheme="minorHAnsi" w:cstheme="minorHAnsi"/>
          <w:szCs w:val="26"/>
        </w:rPr>
        <w:t xml:space="preserve">If he had, we would reject it. </w:t>
      </w:r>
    </w:p>
    <w:p w14:paraId="31F70B9A" w14:textId="2C4CB338" w:rsidR="002D3A38" w:rsidRPr="00F1083F" w:rsidRDefault="00E502BC" w:rsidP="004D1D91">
      <w:pPr>
        <w:ind w:firstLine="720"/>
        <w:rPr>
          <w:rFonts w:asciiTheme="minorHAnsi" w:hAnsiTheme="minorHAnsi" w:cstheme="minorHAnsi"/>
          <w:szCs w:val="26"/>
        </w:rPr>
      </w:pPr>
      <w:r w:rsidRPr="00F1083F">
        <w:rPr>
          <w:rFonts w:asciiTheme="minorHAnsi" w:hAnsiTheme="minorHAnsi" w:cstheme="minorHAnsi"/>
          <w:szCs w:val="26"/>
        </w:rPr>
        <w:t xml:space="preserve">If the aggregate amount of fines, fees and assessments are not grossly disproportionate to the defendant’s level of culpability and harm caused, there is no violation of the </w:t>
      </w:r>
      <w:r w:rsidR="005F5456" w:rsidRPr="00F1083F">
        <w:rPr>
          <w:rFonts w:asciiTheme="minorHAnsi" w:hAnsiTheme="minorHAnsi" w:cstheme="minorHAnsi"/>
          <w:szCs w:val="26"/>
        </w:rPr>
        <w:t>e</w:t>
      </w:r>
      <w:r w:rsidRPr="00F1083F">
        <w:rPr>
          <w:rFonts w:asciiTheme="minorHAnsi" w:hAnsiTheme="minorHAnsi" w:cstheme="minorHAnsi"/>
          <w:szCs w:val="26"/>
        </w:rPr>
        <w:t xml:space="preserve">xcessive </w:t>
      </w:r>
      <w:r w:rsidR="005F5456" w:rsidRPr="00F1083F">
        <w:rPr>
          <w:rFonts w:asciiTheme="minorHAnsi" w:hAnsiTheme="minorHAnsi" w:cstheme="minorHAnsi"/>
          <w:szCs w:val="26"/>
        </w:rPr>
        <w:t>f</w:t>
      </w:r>
      <w:r w:rsidRPr="00F1083F">
        <w:rPr>
          <w:rFonts w:asciiTheme="minorHAnsi" w:hAnsiTheme="minorHAnsi" w:cstheme="minorHAnsi"/>
          <w:szCs w:val="26"/>
        </w:rPr>
        <w:t xml:space="preserve">ines clause. </w:t>
      </w:r>
      <w:r w:rsidR="005F5456" w:rsidRPr="00F1083F">
        <w:rPr>
          <w:rFonts w:asciiTheme="minorHAnsi" w:hAnsiTheme="minorHAnsi" w:cstheme="minorHAnsi"/>
          <w:szCs w:val="26"/>
        </w:rPr>
        <w:t xml:space="preserve"> </w:t>
      </w:r>
      <w:r w:rsidRPr="00F1083F">
        <w:rPr>
          <w:rFonts w:asciiTheme="minorHAnsi" w:hAnsiTheme="minorHAnsi" w:cstheme="minorHAnsi"/>
          <w:szCs w:val="26"/>
        </w:rPr>
        <w:t xml:space="preserve">(See, e.g., </w:t>
      </w:r>
      <w:r w:rsidRPr="00F1083F">
        <w:rPr>
          <w:rFonts w:asciiTheme="minorHAnsi" w:hAnsiTheme="minorHAnsi" w:cstheme="minorHAnsi"/>
          <w:i/>
          <w:iCs/>
          <w:szCs w:val="26"/>
        </w:rPr>
        <w:t>Aviles</w:t>
      </w:r>
      <w:r w:rsidRPr="00F1083F">
        <w:rPr>
          <w:rFonts w:asciiTheme="minorHAnsi" w:hAnsiTheme="minorHAnsi" w:cstheme="minorHAnsi"/>
          <w:szCs w:val="26"/>
        </w:rPr>
        <w:t xml:space="preserve">, </w:t>
      </w:r>
      <w:r w:rsidRPr="00F1083F">
        <w:rPr>
          <w:rFonts w:asciiTheme="minorHAnsi" w:hAnsiTheme="minorHAnsi" w:cstheme="minorHAnsi"/>
          <w:i/>
          <w:iCs/>
          <w:szCs w:val="26"/>
        </w:rPr>
        <w:t>supra</w:t>
      </w:r>
      <w:r w:rsidRPr="00F1083F">
        <w:rPr>
          <w:rFonts w:asciiTheme="minorHAnsi" w:hAnsiTheme="minorHAnsi" w:cstheme="minorHAnsi"/>
          <w:szCs w:val="26"/>
        </w:rPr>
        <w:t>, 39 Cal.App.5th at p.</w:t>
      </w:r>
      <w:r w:rsidR="005F5456" w:rsidRPr="00F1083F">
        <w:rPr>
          <w:rFonts w:asciiTheme="minorHAnsi" w:hAnsiTheme="minorHAnsi" w:cstheme="minorHAnsi"/>
          <w:szCs w:val="26"/>
        </w:rPr>
        <w:t> </w:t>
      </w:r>
      <w:r w:rsidRPr="00F1083F">
        <w:rPr>
          <w:rFonts w:asciiTheme="minorHAnsi" w:hAnsiTheme="minorHAnsi" w:cstheme="minorHAnsi"/>
          <w:szCs w:val="26"/>
        </w:rPr>
        <w:t xml:space="preserve">1072.) </w:t>
      </w:r>
      <w:r w:rsidR="005F5456" w:rsidRPr="00F1083F">
        <w:rPr>
          <w:rFonts w:asciiTheme="minorHAnsi" w:hAnsiTheme="minorHAnsi" w:cstheme="minorHAnsi"/>
          <w:szCs w:val="26"/>
        </w:rPr>
        <w:t xml:space="preserve"> </w:t>
      </w:r>
      <w:r w:rsidRPr="00F1083F">
        <w:rPr>
          <w:rFonts w:asciiTheme="minorHAnsi" w:hAnsiTheme="minorHAnsi" w:cstheme="minorHAnsi"/>
          <w:szCs w:val="26"/>
        </w:rPr>
        <w:t>H</w:t>
      </w:r>
      <w:r w:rsidRPr="00F1083F">
        <w:rPr>
          <w:rFonts w:asciiTheme="minorHAnsi" w:hAnsiTheme="minorHAnsi" w:cstheme="minorHAnsi"/>
          <w:szCs w:val="26"/>
        </w:rPr>
        <w:t xml:space="preserve">ere, the total of the restitution fine, court operations fee and conviction assessment fee was $370. </w:t>
      </w:r>
      <w:r w:rsidR="005F5456" w:rsidRPr="00F1083F">
        <w:rPr>
          <w:rFonts w:asciiTheme="minorHAnsi" w:hAnsiTheme="minorHAnsi" w:cstheme="minorHAnsi"/>
          <w:szCs w:val="26"/>
        </w:rPr>
        <w:t xml:space="preserve"> </w:t>
      </w:r>
      <w:r w:rsidRPr="00F1083F">
        <w:rPr>
          <w:rFonts w:asciiTheme="minorHAnsi" w:hAnsiTheme="minorHAnsi" w:cstheme="minorHAnsi"/>
          <w:szCs w:val="26"/>
        </w:rPr>
        <w:t xml:space="preserve">In contrast, Vasquez’s culpability is substantial. </w:t>
      </w:r>
      <w:r w:rsidR="005F5456" w:rsidRPr="00F1083F">
        <w:rPr>
          <w:rFonts w:asciiTheme="minorHAnsi" w:hAnsiTheme="minorHAnsi" w:cstheme="minorHAnsi"/>
          <w:szCs w:val="26"/>
        </w:rPr>
        <w:t xml:space="preserve"> </w:t>
      </w:r>
      <w:r w:rsidRPr="00F1083F">
        <w:rPr>
          <w:rFonts w:asciiTheme="minorHAnsi" w:hAnsiTheme="minorHAnsi" w:cstheme="minorHAnsi"/>
          <w:szCs w:val="26"/>
        </w:rPr>
        <w:t>A jury found he committed murder, and did so for the benefit of, at the direction of, or in associatio</w:t>
      </w:r>
      <w:r w:rsidRPr="00F1083F">
        <w:rPr>
          <w:rFonts w:asciiTheme="minorHAnsi" w:hAnsiTheme="minorHAnsi" w:cstheme="minorHAnsi"/>
          <w:szCs w:val="26"/>
        </w:rPr>
        <w:t xml:space="preserve">n with a criminal street gang. </w:t>
      </w:r>
      <w:r w:rsidR="005F5456" w:rsidRPr="00F1083F">
        <w:rPr>
          <w:rFonts w:asciiTheme="minorHAnsi" w:hAnsiTheme="minorHAnsi" w:cstheme="minorHAnsi"/>
          <w:szCs w:val="26"/>
        </w:rPr>
        <w:t xml:space="preserve"> </w:t>
      </w:r>
      <w:r w:rsidRPr="00F1083F">
        <w:rPr>
          <w:rFonts w:asciiTheme="minorHAnsi" w:hAnsiTheme="minorHAnsi" w:cstheme="minorHAnsi"/>
          <w:szCs w:val="26"/>
        </w:rPr>
        <w:t>We conclude this level of culpability “</w:t>
      </w:r>
      <w:r w:rsidR="00F1083F" w:rsidRPr="00F1083F">
        <w:rPr>
          <w:rFonts w:asciiTheme="minorHAnsi" w:hAnsiTheme="minorHAnsi" w:cstheme="minorHAnsi"/>
          <w:szCs w:val="26"/>
        </w:rPr>
        <w:t> ‘</w:t>
      </w:r>
      <w:r w:rsidRPr="00F1083F">
        <w:rPr>
          <w:rFonts w:asciiTheme="minorHAnsi" w:hAnsiTheme="minorHAnsi" w:cstheme="minorHAnsi"/>
          <w:szCs w:val="26"/>
        </w:rPr>
        <w:t>amply justifies the amount at issue.</w:t>
      </w:r>
      <w:r w:rsidR="00F1083F" w:rsidRPr="00F1083F">
        <w:rPr>
          <w:rFonts w:asciiTheme="minorHAnsi" w:hAnsiTheme="minorHAnsi" w:cstheme="minorHAnsi"/>
          <w:szCs w:val="26"/>
        </w:rPr>
        <w:t>’  [Citation.]</w:t>
      </w:r>
      <w:r w:rsidRPr="00F1083F">
        <w:rPr>
          <w:rFonts w:asciiTheme="minorHAnsi" w:hAnsiTheme="minorHAnsi" w:cstheme="minorHAnsi"/>
          <w:szCs w:val="26"/>
        </w:rPr>
        <w:t xml:space="preserve">” </w:t>
      </w:r>
      <w:r w:rsidR="005F5456" w:rsidRPr="00F1083F">
        <w:rPr>
          <w:rFonts w:asciiTheme="minorHAnsi" w:hAnsiTheme="minorHAnsi" w:cstheme="minorHAnsi"/>
          <w:szCs w:val="26"/>
        </w:rPr>
        <w:t xml:space="preserve"> </w:t>
      </w:r>
      <w:r w:rsidRPr="00F1083F">
        <w:rPr>
          <w:rFonts w:asciiTheme="minorHAnsi" w:hAnsiTheme="minorHAnsi" w:cstheme="minorHAnsi"/>
          <w:szCs w:val="26"/>
        </w:rPr>
        <w:t>(</w:t>
      </w:r>
      <w:r w:rsidRPr="00F1083F">
        <w:rPr>
          <w:rFonts w:asciiTheme="minorHAnsi" w:hAnsiTheme="minorHAnsi" w:cstheme="minorHAnsi"/>
          <w:i/>
          <w:iCs/>
          <w:szCs w:val="26"/>
        </w:rPr>
        <w:t>Aviles</w:t>
      </w:r>
      <w:r w:rsidRPr="00F1083F">
        <w:rPr>
          <w:rFonts w:asciiTheme="minorHAnsi" w:hAnsiTheme="minorHAnsi" w:cstheme="minorHAnsi"/>
          <w:szCs w:val="26"/>
        </w:rPr>
        <w:t xml:space="preserve">, </w:t>
      </w:r>
      <w:r w:rsidRPr="00F1083F">
        <w:rPr>
          <w:rFonts w:asciiTheme="minorHAnsi" w:hAnsiTheme="minorHAnsi" w:cstheme="minorHAnsi"/>
          <w:i/>
          <w:iCs/>
          <w:szCs w:val="26"/>
        </w:rPr>
        <w:t>supra</w:t>
      </w:r>
      <w:r w:rsidRPr="00F1083F">
        <w:rPr>
          <w:rFonts w:asciiTheme="minorHAnsi" w:hAnsiTheme="minorHAnsi" w:cstheme="minorHAnsi"/>
          <w:szCs w:val="26"/>
        </w:rPr>
        <w:t>, 39 Cal.App.5th at p.</w:t>
      </w:r>
      <w:r w:rsidR="005F5456" w:rsidRPr="00F1083F">
        <w:rPr>
          <w:rFonts w:asciiTheme="minorHAnsi" w:hAnsiTheme="minorHAnsi" w:cstheme="minorHAnsi"/>
          <w:szCs w:val="26"/>
        </w:rPr>
        <w:t> </w:t>
      </w:r>
      <w:r w:rsidRPr="00F1083F">
        <w:rPr>
          <w:rFonts w:asciiTheme="minorHAnsi" w:hAnsiTheme="minorHAnsi" w:cstheme="minorHAnsi"/>
          <w:szCs w:val="26"/>
        </w:rPr>
        <w:t>1070.)</w:t>
      </w:r>
      <w:r w:rsidR="000C7BC1" w:rsidRPr="00F1083F">
        <w:rPr>
          <w:rFonts w:asciiTheme="minorHAnsi" w:hAnsiTheme="minorHAnsi" w:cstheme="minorHAnsi"/>
          <w:szCs w:val="26"/>
        </w:rPr>
        <w:t xml:space="preserve"> And no </w:t>
      </w:r>
      <w:r w:rsidR="000C7BC1" w:rsidRPr="00F1083F">
        <w:rPr>
          <w:rFonts w:asciiTheme="minorHAnsi" w:hAnsiTheme="minorHAnsi" w:cstheme="minorHAnsi"/>
          <w:szCs w:val="26"/>
        </w:rPr>
        <w:lastRenderedPageBreak/>
        <w:t xml:space="preserve">showing has been made that defendants lack </w:t>
      </w:r>
      <w:r w:rsidR="00634DDD" w:rsidRPr="00F1083F">
        <w:rPr>
          <w:rFonts w:asciiTheme="minorHAnsi" w:hAnsiTheme="minorHAnsi" w:cstheme="minorHAnsi"/>
          <w:szCs w:val="26"/>
        </w:rPr>
        <w:t>the future ability to pay the relatively modest fines and fees.</w:t>
      </w:r>
    </w:p>
    <w:p w14:paraId="24E6C682" w14:textId="77777777" w:rsidR="00CA4136" w:rsidRPr="00F1083F" w:rsidRDefault="00E502BC" w:rsidP="00211438">
      <w:pPr>
        <w:pStyle w:val="ListParagraph"/>
        <w:keepNext/>
        <w:contextualSpacing w:val="0"/>
        <w:rPr>
          <w:rFonts w:asciiTheme="minorHAnsi" w:hAnsiTheme="minorHAnsi" w:cstheme="minorHAnsi"/>
          <w:b/>
          <w:bCs/>
          <w:szCs w:val="26"/>
        </w:rPr>
      </w:pPr>
      <w:r w:rsidRPr="00F1083F">
        <w:rPr>
          <w:rFonts w:asciiTheme="minorHAnsi" w:hAnsiTheme="minorHAnsi" w:cstheme="minorHAnsi"/>
          <w:szCs w:val="26"/>
        </w:rPr>
        <w:t>Consequently, we reject defendants’ claims.</w:t>
      </w:r>
      <w:bookmarkEnd w:id="2"/>
    </w:p>
    <w:p w14:paraId="5C344F4B" w14:textId="74E8C560" w:rsidR="00483240" w:rsidRPr="00F1083F" w:rsidRDefault="00E502BC" w:rsidP="00137A63">
      <w:pPr>
        <w:pStyle w:val="ListParagraph"/>
        <w:keepNext/>
        <w:numPr>
          <w:ilvl w:val="0"/>
          <w:numId w:val="2"/>
        </w:numPr>
        <w:spacing w:before="240" w:line="240" w:lineRule="auto"/>
        <w:ind w:left="720"/>
        <w:contextualSpacing w:val="0"/>
        <w:rPr>
          <w:rFonts w:asciiTheme="minorHAnsi" w:hAnsiTheme="minorHAnsi" w:cstheme="minorHAnsi"/>
          <w:b/>
          <w:bCs/>
          <w:szCs w:val="26"/>
        </w:rPr>
      </w:pPr>
      <w:r w:rsidRPr="00F1083F">
        <w:rPr>
          <w:rFonts w:asciiTheme="minorHAnsi" w:hAnsiTheme="minorHAnsi" w:cstheme="minorHAnsi"/>
          <w:b/>
          <w:bCs/>
          <w:szCs w:val="26"/>
        </w:rPr>
        <w:t>We Accept the Attorney General’s Concession that Vasquez is Entitled to Relief Under S</w:t>
      </w:r>
      <w:r w:rsidR="00676EE5" w:rsidRPr="00F1083F">
        <w:rPr>
          <w:rFonts w:asciiTheme="minorHAnsi" w:hAnsiTheme="minorHAnsi" w:cstheme="minorHAnsi"/>
          <w:b/>
          <w:bCs/>
          <w:szCs w:val="26"/>
        </w:rPr>
        <w:t xml:space="preserve">enate </w:t>
      </w:r>
      <w:r w:rsidRPr="00F1083F">
        <w:rPr>
          <w:rFonts w:asciiTheme="minorHAnsi" w:hAnsiTheme="minorHAnsi" w:cstheme="minorHAnsi"/>
          <w:b/>
          <w:bCs/>
          <w:szCs w:val="26"/>
        </w:rPr>
        <w:t>B</w:t>
      </w:r>
      <w:r w:rsidR="00676EE5" w:rsidRPr="00F1083F">
        <w:rPr>
          <w:rFonts w:asciiTheme="minorHAnsi" w:hAnsiTheme="minorHAnsi" w:cstheme="minorHAnsi"/>
          <w:b/>
          <w:bCs/>
          <w:szCs w:val="26"/>
        </w:rPr>
        <w:t>ill No.</w:t>
      </w:r>
      <w:r w:rsidRPr="00F1083F">
        <w:rPr>
          <w:rFonts w:asciiTheme="minorHAnsi" w:hAnsiTheme="minorHAnsi" w:cstheme="minorHAnsi"/>
          <w:b/>
          <w:bCs/>
          <w:szCs w:val="26"/>
        </w:rPr>
        <w:t xml:space="preserve"> 136</w:t>
      </w:r>
    </w:p>
    <w:p w14:paraId="5DD2D3F9" w14:textId="33553461"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In supplemental briefing, Vasquez argues he is entitled to retroactive re</w:t>
      </w:r>
      <w:r w:rsidRPr="00F1083F">
        <w:rPr>
          <w:rFonts w:asciiTheme="minorHAnsi" w:hAnsiTheme="minorHAnsi" w:cstheme="minorHAnsi"/>
          <w:szCs w:val="26"/>
        </w:rPr>
        <w:t xml:space="preserve">lief under </w:t>
      </w:r>
      <w:r w:rsidR="00676EE5" w:rsidRPr="00F1083F">
        <w:rPr>
          <w:rFonts w:asciiTheme="minorHAnsi" w:hAnsiTheme="minorHAnsi" w:cstheme="minorHAnsi"/>
          <w:szCs w:val="26"/>
        </w:rPr>
        <w:t>Senate Bill No. </w:t>
      </w:r>
      <w:r w:rsidRPr="00F1083F">
        <w:rPr>
          <w:rFonts w:asciiTheme="minorHAnsi" w:hAnsiTheme="minorHAnsi" w:cstheme="minorHAnsi"/>
          <w:szCs w:val="26"/>
        </w:rPr>
        <w:t xml:space="preserve">136. </w:t>
      </w:r>
      <w:r w:rsidR="00676EE5" w:rsidRPr="00F1083F">
        <w:rPr>
          <w:rFonts w:asciiTheme="minorHAnsi" w:hAnsiTheme="minorHAnsi" w:cstheme="minorHAnsi"/>
          <w:szCs w:val="26"/>
        </w:rPr>
        <w:t xml:space="preserve"> (2019</w:t>
      </w:r>
      <w:r w:rsidR="0057797C" w:rsidRPr="00F1083F">
        <w:rPr>
          <w:rFonts w:asciiTheme="minorHAnsi" w:hAnsiTheme="minorHAnsi" w:cstheme="minorHAnsi"/>
          <w:szCs w:val="26"/>
        </w:rPr>
        <w:t>–</w:t>
      </w:r>
      <w:r w:rsidR="00676EE5" w:rsidRPr="00F1083F">
        <w:rPr>
          <w:rFonts w:asciiTheme="minorHAnsi" w:hAnsiTheme="minorHAnsi" w:cstheme="minorHAnsi"/>
          <w:szCs w:val="26"/>
        </w:rPr>
        <w:t xml:space="preserve">2020 Reg. Sess.)  </w:t>
      </w:r>
      <w:r w:rsidRPr="00F1083F">
        <w:rPr>
          <w:rFonts w:asciiTheme="minorHAnsi" w:hAnsiTheme="minorHAnsi" w:cstheme="minorHAnsi"/>
          <w:szCs w:val="26"/>
        </w:rPr>
        <w:t>The Attorney General agrees that Vasquez is entitled to the benefits of this legislation.</w:t>
      </w:r>
    </w:p>
    <w:p w14:paraId="7C1AEE97" w14:textId="5FAE9FC2" w:rsidR="00483240" w:rsidRPr="00F1083F" w:rsidRDefault="00E502BC" w:rsidP="00483240">
      <w:pPr>
        <w:ind w:firstLine="720"/>
        <w:rPr>
          <w:rFonts w:asciiTheme="minorHAnsi" w:hAnsiTheme="minorHAnsi" w:cstheme="minorHAnsi"/>
          <w:szCs w:val="26"/>
        </w:rPr>
      </w:pPr>
      <w:r w:rsidRPr="00F1083F">
        <w:rPr>
          <w:rFonts w:asciiTheme="minorHAnsi" w:hAnsiTheme="minorHAnsi" w:cstheme="minorHAnsi"/>
          <w:szCs w:val="26"/>
        </w:rPr>
        <w:t>Because Vasquez’s prior prison terms were not imposed for sexually violent offenses, the one-year prison term</w:t>
      </w:r>
      <w:r w:rsidRPr="00F1083F">
        <w:rPr>
          <w:rFonts w:asciiTheme="minorHAnsi" w:hAnsiTheme="minorHAnsi" w:cstheme="minorHAnsi"/>
          <w:szCs w:val="26"/>
        </w:rPr>
        <w:t xml:space="preserve"> enhancements can no longer be applied to him under S</w:t>
      </w:r>
      <w:r w:rsidR="00676EE5" w:rsidRPr="00F1083F">
        <w:rPr>
          <w:rFonts w:asciiTheme="minorHAnsi" w:hAnsiTheme="minorHAnsi" w:cstheme="minorHAnsi"/>
          <w:szCs w:val="26"/>
        </w:rPr>
        <w:t>enate Bill</w:t>
      </w:r>
      <w:r w:rsidRPr="00F1083F">
        <w:rPr>
          <w:rFonts w:asciiTheme="minorHAnsi" w:hAnsiTheme="minorHAnsi" w:cstheme="minorHAnsi"/>
          <w:szCs w:val="26"/>
        </w:rPr>
        <w:t xml:space="preserve"> </w:t>
      </w:r>
      <w:r w:rsidR="00676EE5" w:rsidRPr="00F1083F">
        <w:rPr>
          <w:rFonts w:asciiTheme="minorHAnsi" w:hAnsiTheme="minorHAnsi" w:cstheme="minorHAnsi"/>
          <w:szCs w:val="26"/>
        </w:rPr>
        <w:t>No. </w:t>
      </w:r>
      <w:r w:rsidRPr="00F1083F">
        <w:rPr>
          <w:rFonts w:asciiTheme="minorHAnsi" w:hAnsiTheme="minorHAnsi" w:cstheme="minorHAnsi"/>
          <w:szCs w:val="26"/>
        </w:rPr>
        <w:t>136.</w:t>
      </w:r>
      <w:r w:rsidR="00676EE5" w:rsidRPr="00F1083F">
        <w:rPr>
          <w:rFonts w:asciiTheme="minorHAnsi" w:hAnsiTheme="minorHAnsi" w:cstheme="minorHAnsi"/>
          <w:szCs w:val="26"/>
        </w:rPr>
        <w:t xml:space="preserve"> </w:t>
      </w:r>
      <w:r w:rsidRPr="00F1083F">
        <w:rPr>
          <w:rFonts w:asciiTheme="minorHAnsi" w:hAnsiTheme="minorHAnsi" w:cstheme="minorHAnsi"/>
          <w:szCs w:val="26"/>
        </w:rPr>
        <w:t xml:space="preserve"> (See </w:t>
      </w:r>
      <w:r w:rsidRPr="00F1083F">
        <w:rPr>
          <w:rFonts w:asciiTheme="minorHAnsi" w:hAnsiTheme="minorHAnsi" w:cstheme="minorHAnsi"/>
          <w:i/>
          <w:iCs/>
          <w:szCs w:val="26"/>
        </w:rPr>
        <w:t xml:space="preserve">People v. Gastelum </w:t>
      </w:r>
      <w:r w:rsidRPr="00F1083F">
        <w:rPr>
          <w:rFonts w:asciiTheme="minorHAnsi" w:hAnsiTheme="minorHAnsi" w:cstheme="minorHAnsi"/>
          <w:szCs w:val="26"/>
        </w:rPr>
        <w:t xml:space="preserve">(2020) 45 Cal.App.5th 757, 772.) </w:t>
      </w:r>
      <w:r w:rsidR="0057797C" w:rsidRPr="00F1083F">
        <w:rPr>
          <w:rFonts w:asciiTheme="minorHAnsi" w:hAnsiTheme="minorHAnsi" w:cstheme="minorHAnsi"/>
          <w:szCs w:val="26"/>
        </w:rPr>
        <w:t xml:space="preserve"> </w:t>
      </w:r>
      <w:r w:rsidRPr="00F1083F">
        <w:rPr>
          <w:rFonts w:asciiTheme="minorHAnsi" w:hAnsiTheme="minorHAnsi" w:cstheme="minorHAnsi"/>
          <w:szCs w:val="26"/>
        </w:rPr>
        <w:t>Therefore, we accept the Attorney General’s concession.</w:t>
      </w:r>
    </w:p>
    <w:p w14:paraId="30400FB7" w14:textId="77777777" w:rsidR="00483240" w:rsidRPr="00F1083F" w:rsidRDefault="00E502BC" w:rsidP="00676EE5">
      <w:pPr>
        <w:keepNext/>
        <w:jc w:val="center"/>
        <w:rPr>
          <w:rFonts w:asciiTheme="minorHAnsi" w:hAnsiTheme="minorHAnsi" w:cstheme="minorHAnsi"/>
          <w:b/>
          <w:bCs/>
          <w:szCs w:val="26"/>
        </w:rPr>
      </w:pPr>
      <w:r w:rsidRPr="00F1083F">
        <w:rPr>
          <w:rFonts w:asciiTheme="minorHAnsi" w:hAnsiTheme="minorHAnsi" w:cstheme="minorHAnsi"/>
          <w:b/>
          <w:bCs/>
          <w:szCs w:val="26"/>
        </w:rPr>
        <w:t>DISPOSITION</w:t>
      </w:r>
    </w:p>
    <w:p w14:paraId="24A7B8DF" w14:textId="72F75A66" w:rsidR="00483240" w:rsidRPr="00F1083F" w:rsidRDefault="00E502BC" w:rsidP="00483240">
      <w:pPr>
        <w:rPr>
          <w:rFonts w:asciiTheme="minorHAnsi" w:hAnsiTheme="minorHAnsi" w:cstheme="minorHAnsi"/>
          <w:szCs w:val="26"/>
        </w:rPr>
      </w:pPr>
      <w:r w:rsidRPr="00F1083F">
        <w:rPr>
          <w:rFonts w:asciiTheme="minorHAnsi" w:hAnsiTheme="minorHAnsi" w:cstheme="minorHAnsi"/>
          <w:szCs w:val="26"/>
        </w:rPr>
        <w:tab/>
        <w:t>The judgment is modified as to defendant Guillermo Vasq</w:t>
      </w:r>
      <w:r w:rsidRPr="00F1083F">
        <w:rPr>
          <w:rFonts w:asciiTheme="minorHAnsi" w:hAnsiTheme="minorHAnsi" w:cstheme="minorHAnsi"/>
          <w:szCs w:val="26"/>
        </w:rPr>
        <w:t xml:space="preserve">uez to reflect that the three, one-year prison term enhancements imposed under former section 667.5, subdivision (b) are stricken. </w:t>
      </w:r>
      <w:r w:rsidR="00676EE5" w:rsidRPr="00F1083F">
        <w:rPr>
          <w:rFonts w:asciiTheme="minorHAnsi" w:hAnsiTheme="minorHAnsi" w:cstheme="minorHAnsi"/>
          <w:szCs w:val="26"/>
        </w:rPr>
        <w:t xml:space="preserve"> </w:t>
      </w:r>
      <w:r w:rsidR="009F7242" w:rsidRPr="00F1083F">
        <w:rPr>
          <w:rFonts w:asciiTheme="minorHAnsi" w:hAnsiTheme="minorHAnsi" w:cstheme="minorHAnsi"/>
          <w:szCs w:val="26"/>
        </w:rPr>
        <w:t>As s</w:t>
      </w:r>
      <w:r w:rsidRPr="00F1083F">
        <w:rPr>
          <w:rFonts w:asciiTheme="minorHAnsi" w:hAnsiTheme="minorHAnsi" w:cstheme="minorHAnsi"/>
          <w:szCs w:val="26"/>
        </w:rPr>
        <w:t xml:space="preserve">o modified, the judgment as to Vasquez is affirmed. </w:t>
      </w:r>
      <w:r w:rsidR="00676EE5" w:rsidRPr="00F1083F">
        <w:rPr>
          <w:rFonts w:asciiTheme="minorHAnsi" w:hAnsiTheme="minorHAnsi" w:cstheme="minorHAnsi"/>
          <w:szCs w:val="26"/>
        </w:rPr>
        <w:t xml:space="preserve"> </w:t>
      </w:r>
      <w:r w:rsidRPr="00F1083F">
        <w:rPr>
          <w:rFonts w:asciiTheme="minorHAnsi" w:hAnsiTheme="minorHAnsi" w:cstheme="minorHAnsi"/>
          <w:szCs w:val="26"/>
        </w:rPr>
        <w:t xml:space="preserve">The trial court is directed to prepare an amended abstract of </w:t>
      </w:r>
      <w:r w:rsidRPr="00F1083F">
        <w:rPr>
          <w:rFonts w:asciiTheme="minorHAnsi" w:hAnsiTheme="minorHAnsi" w:cstheme="minorHAnsi"/>
          <w:szCs w:val="26"/>
        </w:rPr>
        <w:t>judgment and forward it to appropriate parties and entities.</w:t>
      </w:r>
    </w:p>
    <w:p w14:paraId="516C113C" w14:textId="0014B3F7" w:rsidR="00483240" w:rsidRDefault="00E502BC" w:rsidP="00483240">
      <w:pPr>
        <w:rPr>
          <w:rFonts w:asciiTheme="minorHAnsi" w:hAnsiTheme="minorHAnsi" w:cstheme="minorHAnsi"/>
          <w:szCs w:val="26"/>
        </w:rPr>
      </w:pPr>
      <w:r w:rsidRPr="00F1083F">
        <w:rPr>
          <w:rFonts w:asciiTheme="minorHAnsi" w:hAnsiTheme="minorHAnsi" w:cstheme="minorHAnsi"/>
          <w:szCs w:val="26"/>
        </w:rPr>
        <w:tab/>
        <w:t>The judgment as to defendant Nicky Carrillo is affirmed.</w:t>
      </w:r>
    </w:p>
    <w:p w14:paraId="3548C6C0" w14:textId="2252371F" w:rsidR="009E1E49" w:rsidRDefault="009E1E49" w:rsidP="009E1E49">
      <w:pPr>
        <w:spacing w:line="240" w:lineRule="auto"/>
        <w:rPr>
          <w:rFonts w:asciiTheme="minorHAnsi" w:hAnsiTheme="minorHAnsi" w:cstheme="minorHAnsi"/>
          <w:szCs w:val="26"/>
        </w:rPr>
      </w:pPr>
    </w:p>
    <w:p w14:paraId="471969D7" w14:textId="34FE452F" w:rsidR="009E1E49" w:rsidRDefault="009E1E49" w:rsidP="009E1E49">
      <w:pPr>
        <w:spacing w:line="240" w:lineRule="auto"/>
        <w:rPr>
          <w:rFonts w:asciiTheme="minorHAnsi" w:hAnsiTheme="minorHAnsi" w:cstheme="minorHAnsi"/>
          <w:szCs w:val="26"/>
        </w:rPr>
      </w:pPr>
    </w:p>
    <w:p w14:paraId="59F8E3B6" w14:textId="79EC689B" w:rsidR="009E1E49" w:rsidRDefault="00E502BC" w:rsidP="009E1E49">
      <w:pPr>
        <w:keepNext/>
        <w:tabs>
          <w:tab w:val="left" w:pos="6480"/>
          <w:tab w:val="left" w:pos="9360"/>
        </w:tabs>
        <w:spacing w:line="240" w:lineRule="auto"/>
      </w:pPr>
      <w:r>
        <w:tab/>
      </w:r>
      <w:r>
        <w:tab/>
      </w:r>
    </w:p>
    <w:p w14:paraId="7D760E45" w14:textId="40EF7A2D" w:rsidR="009E1E49" w:rsidRDefault="00E502BC" w:rsidP="009E1E49">
      <w:pPr>
        <w:keepNext/>
        <w:tabs>
          <w:tab w:val="left" w:pos="6480"/>
          <w:tab w:val="left" w:pos="9360"/>
        </w:tabs>
        <w:spacing w:line="240" w:lineRule="auto"/>
        <w:jc w:val="right"/>
      </w:pPr>
      <w:r>
        <w:t>POOCHIGIAN, J.</w:t>
      </w:r>
    </w:p>
    <w:p w14:paraId="3E2EF91A" w14:textId="5B9862D7" w:rsidR="009E1E49" w:rsidRDefault="00E502BC" w:rsidP="009E1E49">
      <w:pPr>
        <w:keepNext/>
        <w:tabs>
          <w:tab w:val="left" w:pos="2880"/>
        </w:tabs>
        <w:spacing w:line="240" w:lineRule="auto"/>
      </w:pPr>
      <w:r>
        <w:t>I CONCUR:</w:t>
      </w:r>
    </w:p>
    <w:p w14:paraId="4860A352" w14:textId="3E666891" w:rsidR="009E1E49" w:rsidRDefault="009E1E49" w:rsidP="009E1E49">
      <w:pPr>
        <w:keepNext/>
        <w:tabs>
          <w:tab w:val="left" w:pos="2880"/>
        </w:tabs>
        <w:spacing w:line="240" w:lineRule="auto"/>
      </w:pPr>
    </w:p>
    <w:p w14:paraId="79C64C1A" w14:textId="476281F2" w:rsidR="009E1E49" w:rsidRDefault="009E1E49" w:rsidP="009E1E49">
      <w:pPr>
        <w:keepNext/>
        <w:tabs>
          <w:tab w:val="left" w:pos="2880"/>
        </w:tabs>
        <w:spacing w:line="240" w:lineRule="auto"/>
      </w:pPr>
    </w:p>
    <w:p w14:paraId="29200E89" w14:textId="4FAD1E8B" w:rsidR="009E1E49" w:rsidRDefault="00E502BC" w:rsidP="009E1E49">
      <w:pPr>
        <w:keepNext/>
        <w:tabs>
          <w:tab w:val="left" w:pos="2880"/>
        </w:tabs>
        <w:spacing w:line="240" w:lineRule="auto"/>
      </w:pPr>
      <w:r>
        <w:tab/>
      </w:r>
    </w:p>
    <w:p w14:paraId="49C2CA80" w14:textId="77777777" w:rsidR="009E1E49" w:rsidRDefault="00E502BC" w:rsidP="009E1E49">
      <w:pPr>
        <w:keepNext/>
        <w:tabs>
          <w:tab w:val="left" w:pos="2880"/>
        </w:tabs>
        <w:spacing w:line="240" w:lineRule="auto"/>
        <w:sectPr w:rsidR="009E1E49" w:rsidSect="002B1E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pPr>
      <w:r>
        <w:t>LEVY, Acting P.J.</w:t>
      </w:r>
    </w:p>
    <w:p w14:paraId="0B21523A" w14:textId="06E38499" w:rsidR="009E1E49" w:rsidRDefault="00E502BC" w:rsidP="0039134D">
      <w:pPr>
        <w:rPr>
          <w:b/>
          <w:bCs/>
          <w:szCs w:val="26"/>
        </w:rPr>
      </w:pPr>
      <w:r w:rsidRPr="00114223">
        <w:rPr>
          <w:b/>
          <w:bCs/>
          <w:szCs w:val="26"/>
        </w:rPr>
        <w:lastRenderedPageBreak/>
        <w:t>D</w:t>
      </w:r>
      <w:r w:rsidRPr="00114223">
        <w:rPr>
          <w:b/>
          <w:bCs/>
          <w:smallCaps/>
          <w:szCs w:val="26"/>
        </w:rPr>
        <w:t>e</w:t>
      </w:r>
      <w:r w:rsidRPr="00114223">
        <w:rPr>
          <w:b/>
          <w:bCs/>
          <w:szCs w:val="26"/>
        </w:rPr>
        <w:t xml:space="preserve"> SANTOS, J., Concurring and</w:t>
      </w:r>
      <w:r>
        <w:rPr>
          <w:b/>
          <w:bCs/>
          <w:szCs w:val="26"/>
        </w:rPr>
        <w:t xml:space="preserve"> Dissenting</w:t>
      </w:r>
      <w:r>
        <w:rPr>
          <w:rStyle w:val="FootnoteReference"/>
          <w:rFonts w:ascii="Symbol" w:hAnsi="Symbol"/>
          <w:b w:val="0"/>
          <w:bCs/>
          <w:szCs w:val="26"/>
        </w:rPr>
        <w:footnoteReference w:customMarkFollows="1" w:id="22"/>
        <w:sym w:font="Symbol" w:char="F02A"/>
      </w:r>
    </w:p>
    <w:p w14:paraId="185C3F42" w14:textId="77777777" w:rsidR="009E1E49" w:rsidRPr="0039134D" w:rsidRDefault="009E1E49" w:rsidP="0039134D">
      <w:pPr>
        <w:rPr>
          <w:szCs w:val="26"/>
        </w:rPr>
      </w:pPr>
    </w:p>
    <w:p w14:paraId="25F385B2" w14:textId="77777777" w:rsidR="009E1E49" w:rsidRPr="0039134D" w:rsidRDefault="00E502BC" w:rsidP="00925092">
      <w:pPr>
        <w:ind w:firstLine="720"/>
        <w:rPr>
          <w:szCs w:val="26"/>
        </w:rPr>
      </w:pPr>
      <w:r w:rsidRPr="0039134D">
        <w:rPr>
          <w:szCs w:val="26"/>
        </w:rPr>
        <w:t>I agree with the majority</w:t>
      </w:r>
      <w:r>
        <w:rPr>
          <w:szCs w:val="26"/>
        </w:rPr>
        <w:t xml:space="preserve"> opinion</w:t>
      </w:r>
      <w:r w:rsidRPr="0039134D">
        <w:rPr>
          <w:szCs w:val="26"/>
        </w:rPr>
        <w:t xml:space="preserve"> in all respects but one.  I would remand to </w:t>
      </w:r>
      <w:r>
        <w:rPr>
          <w:szCs w:val="26"/>
        </w:rPr>
        <w:t>allow</w:t>
      </w:r>
      <w:r w:rsidRPr="0039134D">
        <w:rPr>
          <w:szCs w:val="26"/>
        </w:rPr>
        <w:t xml:space="preserve"> appellants the opportunity to raise the issue of their inability to pay the fines and </w:t>
      </w:r>
      <w:r>
        <w:rPr>
          <w:szCs w:val="26"/>
        </w:rPr>
        <w:t>court assessments</w:t>
      </w:r>
      <w:r w:rsidRPr="0039134D">
        <w:rPr>
          <w:szCs w:val="26"/>
        </w:rPr>
        <w:t xml:space="preserve"> imposed, in accordance with this court’s decision in </w:t>
      </w:r>
      <w:r w:rsidRPr="0039134D">
        <w:rPr>
          <w:i/>
          <w:iCs/>
          <w:szCs w:val="26"/>
        </w:rPr>
        <w:t xml:space="preserve">People v. Montes </w:t>
      </w:r>
      <w:r w:rsidRPr="0039134D">
        <w:rPr>
          <w:szCs w:val="26"/>
        </w:rPr>
        <w:t>(2021) 59 Cal.App.5th 1107 (</w:t>
      </w:r>
      <w:r w:rsidRPr="0039134D">
        <w:rPr>
          <w:i/>
          <w:iCs/>
          <w:szCs w:val="26"/>
        </w:rPr>
        <w:t>Montes</w:t>
      </w:r>
      <w:r w:rsidRPr="0039134D">
        <w:rPr>
          <w:szCs w:val="26"/>
        </w:rPr>
        <w:t xml:space="preserve">). </w:t>
      </w:r>
      <w:r w:rsidRPr="0039134D">
        <w:rPr>
          <w:i/>
          <w:iCs/>
          <w:szCs w:val="26"/>
        </w:rPr>
        <w:t xml:space="preserve"> </w:t>
      </w:r>
      <w:r w:rsidRPr="0039134D">
        <w:rPr>
          <w:szCs w:val="26"/>
        </w:rPr>
        <w:t xml:space="preserve">I would not find </w:t>
      </w:r>
      <w:r>
        <w:rPr>
          <w:szCs w:val="26"/>
        </w:rPr>
        <w:t>appellants’</w:t>
      </w:r>
      <w:r w:rsidRPr="0039134D">
        <w:rPr>
          <w:szCs w:val="26"/>
        </w:rPr>
        <w:t xml:space="preserve"> claims forfeit</w:t>
      </w:r>
      <w:r w:rsidRPr="0039134D">
        <w:rPr>
          <w:szCs w:val="26"/>
        </w:rPr>
        <w:t xml:space="preserve">ed by the failure to object below, as I believe </w:t>
      </w:r>
      <w:r w:rsidRPr="0039134D">
        <w:rPr>
          <w:i/>
          <w:iCs/>
          <w:szCs w:val="26"/>
        </w:rPr>
        <w:t>People v. Dueñas</w:t>
      </w:r>
      <w:r w:rsidRPr="0039134D">
        <w:rPr>
          <w:szCs w:val="26"/>
        </w:rPr>
        <w:t xml:space="preserve"> (2019) 30 Cal.App.5th 1157 (</w:t>
      </w:r>
      <w:r w:rsidRPr="0039134D">
        <w:rPr>
          <w:i/>
          <w:iCs/>
          <w:szCs w:val="26"/>
        </w:rPr>
        <w:t>Dueñas</w:t>
      </w:r>
      <w:r w:rsidRPr="0039134D">
        <w:rPr>
          <w:szCs w:val="26"/>
        </w:rPr>
        <w:t>) constituted a marked departure from existing law</w:t>
      </w:r>
      <w:r>
        <w:rPr>
          <w:szCs w:val="26"/>
        </w:rPr>
        <w:t>; in addition,</w:t>
      </w:r>
      <w:r w:rsidRPr="0039134D">
        <w:rPr>
          <w:szCs w:val="26"/>
        </w:rPr>
        <w:t xml:space="preserve"> because the </w:t>
      </w:r>
      <w:r>
        <w:rPr>
          <w:szCs w:val="26"/>
        </w:rPr>
        <w:t>court imposed the minimum restitution fine</w:t>
      </w:r>
      <w:r w:rsidRPr="0039134D">
        <w:rPr>
          <w:szCs w:val="26"/>
        </w:rPr>
        <w:t>, appellants had no statutory basis on</w:t>
      </w:r>
      <w:r w:rsidRPr="0039134D">
        <w:rPr>
          <w:szCs w:val="26"/>
        </w:rPr>
        <w:t xml:space="preserve"> which to </w:t>
      </w:r>
      <w:r>
        <w:rPr>
          <w:szCs w:val="26"/>
        </w:rPr>
        <w:t>make an ability-to-pay objection</w:t>
      </w:r>
      <w:r w:rsidRPr="0039134D">
        <w:rPr>
          <w:szCs w:val="26"/>
        </w:rPr>
        <w:t xml:space="preserve"> at the time of sentencing.  (</w:t>
      </w:r>
      <w:r>
        <w:rPr>
          <w:szCs w:val="26"/>
        </w:rPr>
        <w:t>Pen. Code, § 1202.4, subd. (c); s</w:t>
      </w:r>
      <w:r w:rsidRPr="0039134D">
        <w:rPr>
          <w:szCs w:val="26"/>
        </w:rPr>
        <w:t xml:space="preserve">ee </w:t>
      </w:r>
      <w:r w:rsidRPr="0039134D">
        <w:rPr>
          <w:i/>
          <w:iCs/>
          <w:szCs w:val="26"/>
        </w:rPr>
        <w:t>Montes</w:t>
      </w:r>
      <w:r>
        <w:rPr>
          <w:szCs w:val="26"/>
        </w:rPr>
        <w:t>,</w:t>
      </w:r>
      <w:r w:rsidRPr="0039134D">
        <w:rPr>
          <w:szCs w:val="26"/>
        </w:rPr>
        <w:t xml:space="preserve"> at p</w:t>
      </w:r>
      <w:r>
        <w:rPr>
          <w:szCs w:val="26"/>
        </w:rPr>
        <w:t>p</w:t>
      </w:r>
      <w:r w:rsidRPr="0039134D">
        <w:rPr>
          <w:szCs w:val="26"/>
        </w:rPr>
        <w:t>. 1119</w:t>
      </w:r>
      <w:r>
        <w:rPr>
          <w:szCs w:val="26"/>
        </w:rPr>
        <w:t>‒</w:t>
      </w:r>
      <w:r w:rsidRPr="0039134D">
        <w:rPr>
          <w:szCs w:val="26"/>
        </w:rPr>
        <w:t xml:space="preserve">1120.)  </w:t>
      </w:r>
      <w:r>
        <w:rPr>
          <w:szCs w:val="26"/>
        </w:rPr>
        <w:t>Because I do not believe the issue was forfeited, and because</w:t>
      </w:r>
      <w:r w:rsidRPr="0039134D">
        <w:rPr>
          <w:szCs w:val="26"/>
        </w:rPr>
        <w:t xml:space="preserve"> the parties here did not have the benefit of </w:t>
      </w:r>
      <w:r w:rsidRPr="0039134D">
        <w:rPr>
          <w:i/>
          <w:iCs/>
          <w:szCs w:val="26"/>
        </w:rPr>
        <w:t>Dueñas</w:t>
      </w:r>
      <w:r w:rsidRPr="0039134D">
        <w:rPr>
          <w:szCs w:val="26"/>
        </w:rPr>
        <w:t xml:space="preserve"> at the</w:t>
      </w:r>
      <w:r w:rsidRPr="0039134D">
        <w:rPr>
          <w:szCs w:val="26"/>
        </w:rPr>
        <w:t xml:space="preserve"> time of sentencing, I believe the record is insufficient for us to address </w:t>
      </w:r>
      <w:r>
        <w:rPr>
          <w:szCs w:val="26"/>
        </w:rPr>
        <w:t>appellants’</w:t>
      </w:r>
      <w:r w:rsidRPr="0039134D">
        <w:rPr>
          <w:szCs w:val="26"/>
        </w:rPr>
        <w:t xml:space="preserve"> claims</w:t>
      </w:r>
      <w:r>
        <w:rPr>
          <w:szCs w:val="26"/>
        </w:rPr>
        <w:t xml:space="preserve"> regarding the fines and court assessments</w:t>
      </w:r>
      <w:r w:rsidRPr="0039134D">
        <w:rPr>
          <w:szCs w:val="26"/>
        </w:rPr>
        <w:t>.</w:t>
      </w:r>
      <w:r>
        <w:rPr>
          <w:szCs w:val="26"/>
        </w:rPr>
        <w:t xml:space="preserve"> </w:t>
      </w:r>
      <w:r w:rsidRPr="0039134D">
        <w:rPr>
          <w:szCs w:val="26"/>
        </w:rPr>
        <w:t xml:space="preserve"> (See </w:t>
      </w:r>
      <w:r>
        <w:rPr>
          <w:i/>
          <w:iCs/>
          <w:szCs w:val="26"/>
        </w:rPr>
        <w:t>Montes</w:t>
      </w:r>
      <w:r>
        <w:rPr>
          <w:szCs w:val="26"/>
        </w:rPr>
        <w:t>,</w:t>
      </w:r>
      <w:r w:rsidRPr="0039134D">
        <w:rPr>
          <w:szCs w:val="26"/>
        </w:rPr>
        <w:t xml:space="preserve"> at p. 1121.)  Therefore, I </w:t>
      </w:r>
      <w:r>
        <w:rPr>
          <w:szCs w:val="26"/>
        </w:rPr>
        <w:t>would</w:t>
      </w:r>
      <w:r w:rsidRPr="0039134D">
        <w:rPr>
          <w:szCs w:val="26"/>
        </w:rPr>
        <w:t xml:space="preserve"> </w:t>
      </w:r>
      <w:r>
        <w:rPr>
          <w:szCs w:val="26"/>
        </w:rPr>
        <w:t>remand the matter</w:t>
      </w:r>
      <w:r w:rsidRPr="0039134D">
        <w:rPr>
          <w:szCs w:val="26"/>
        </w:rPr>
        <w:t xml:space="preserve"> to allow </w:t>
      </w:r>
      <w:r>
        <w:rPr>
          <w:szCs w:val="26"/>
        </w:rPr>
        <w:t>appellants</w:t>
      </w:r>
      <w:r w:rsidRPr="0039134D">
        <w:rPr>
          <w:szCs w:val="26"/>
        </w:rPr>
        <w:t xml:space="preserve"> to raise the issue, while bearing</w:t>
      </w:r>
      <w:r w:rsidRPr="0039134D">
        <w:rPr>
          <w:szCs w:val="26"/>
        </w:rPr>
        <w:t xml:space="preserve"> the burden of “both demonstrating a harm of constitutional magnitude and making a record regarding [their] alleged inability to pay the restitution fine and court assessments.”</w:t>
      </w:r>
      <w:r>
        <w:rPr>
          <w:szCs w:val="26"/>
        </w:rPr>
        <w:t xml:space="preserve"> </w:t>
      </w:r>
      <w:r w:rsidRPr="0039134D">
        <w:rPr>
          <w:szCs w:val="26"/>
        </w:rPr>
        <w:t xml:space="preserve"> (</w:t>
      </w:r>
      <w:r w:rsidRPr="0039134D">
        <w:rPr>
          <w:i/>
          <w:iCs/>
          <w:szCs w:val="26"/>
        </w:rPr>
        <w:t>I</w:t>
      </w:r>
      <w:r>
        <w:rPr>
          <w:i/>
          <w:iCs/>
          <w:szCs w:val="26"/>
        </w:rPr>
        <w:t>bi</w:t>
      </w:r>
      <w:r w:rsidRPr="0039134D">
        <w:rPr>
          <w:i/>
          <w:iCs/>
          <w:szCs w:val="26"/>
        </w:rPr>
        <w:t>d</w:t>
      </w:r>
      <w:r w:rsidRPr="0039134D">
        <w:rPr>
          <w:szCs w:val="26"/>
        </w:rPr>
        <w:t xml:space="preserve">.)  </w:t>
      </w:r>
    </w:p>
    <w:p w14:paraId="0A5CB26B" w14:textId="571C2A05" w:rsidR="009E1E49" w:rsidRDefault="009E1E49" w:rsidP="009E1E49">
      <w:pPr>
        <w:spacing w:line="240" w:lineRule="auto"/>
      </w:pPr>
    </w:p>
    <w:p w14:paraId="6E84F534" w14:textId="7DBFC199" w:rsidR="009E1E49" w:rsidRDefault="009E1E49" w:rsidP="009E1E49">
      <w:pPr>
        <w:spacing w:line="240" w:lineRule="auto"/>
      </w:pPr>
    </w:p>
    <w:p w14:paraId="40731892" w14:textId="77777777" w:rsidR="009E1E49" w:rsidRDefault="009E1E49" w:rsidP="009E1E49">
      <w:pPr>
        <w:spacing w:line="240" w:lineRule="auto"/>
      </w:pPr>
    </w:p>
    <w:p w14:paraId="3F799EE6" w14:textId="1A827AF9" w:rsidR="009E1E49" w:rsidRDefault="00E502BC" w:rsidP="009E1E49">
      <w:pPr>
        <w:keepNext/>
        <w:tabs>
          <w:tab w:val="left" w:pos="2880"/>
        </w:tabs>
        <w:spacing w:line="240" w:lineRule="auto"/>
        <w:jc w:val="right"/>
      </w:pPr>
      <w:r>
        <w:t>DE SANTOS, J.</w:t>
      </w:r>
    </w:p>
    <w:sectPr w:rsidR="009E1E49" w:rsidSect="009E1E49">
      <w:footerReference w:type="first" r:id="rId14"/>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BC87" w14:textId="77777777" w:rsidR="00000000" w:rsidRDefault="00E502BC">
      <w:pPr>
        <w:spacing w:line="240" w:lineRule="auto"/>
      </w:pPr>
      <w:r>
        <w:separator/>
      </w:r>
    </w:p>
  </w:endnote>
  <w:endnote w:type="continuationSeparator" w:id="0">
    <w:p w14:paraId="1761994F" w14:textId="77777777" w:rsidR="00000000" w:rsidRDefault="00E50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1996" w14:textId="77777777" w:rsidR="009E5BA9" w:rsidRDefault="009E5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998D" w14:textId="77777777" w:rsidR="000B0861" w:rsidRDefault="00E502BC" w:rsidP="00483240">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9062" w14:textId="1FE23ADD" w:rsidR="009E1E49" w:rsidRPr="009E1E49" w:rsidRDefault="00E502BC" w:rsidP="009E1E49">
    <w:pPr>
      <w:pStyle w:val="Footer"/>
      <w:jc w:val="center"/>
      <w:rPr>
        <w:b/>
        <w:bCs/>
      </w:rPr>
    </w:pPr>
    <w:r>
      <w:rPr>
        <w:b/>
        <w:bCs/>
      </w:rPr>
      <w:t>SEE CONCURRING AND DISSENTING OPINION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89A2" w14:textId="69DAF726" w:rsidR="009E1E49" w:rsidRPr="009E1E49" w:rsidRDefault="009E1E49" w:rsidP="009E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7DAD8" w14:textId="77777777" w:rsidR="006C5AE3" w:rsidRDefault="00E502BC" w:rsidP="00483240">
      <w:pPr>
        <w:spacing w:line="240" w:lineRule="auto"/>
      </w:pPr>
      <w:r>
        <w:separator/>
      </w:r>
    </w:p>
  </w:footnote>
  <w:footnote w:type="continuationSeparator" w:id="0">
    <w:p w14:paraId="6F46794D" w14:textId="77777777" w:rsidR="006C5AE3" w:rsidRDefault="00E502BC" w:rsidP="00483240">
      <w:pPr>
        <w:spacing w:line="240" w:lineRule="auto"/>
      </w:pPr>
      <w:r>
        <w:continuationSeparator/>
      </w:r>
    </w:p>
  </w:footnote>
  <w:footnote w:id="1">
    <w:p w14:paraId="1ACAEE48" w14:textId="5121E022" w:rsidR="002B1E4F" w:rsidRDefault="00E502BC" w:rsidP="002B1E4F">
      <w:pPr>
        <w:pStyle w:val="FootnoteText"/>
        <w:ind w:firstLine="720"/>
      </w:pPr>
      <w:r>
        <w:rPr>
          <w:rStyle w:val="FootnoteReference"/>
        </w:rPr>
        <w:t>*</w:t>
      </w:r>
      <w:r>
        <w:t xml:space="preserve"> Pursuant to California Rules of Court, rul</w:t>
      </w:r>
      <w:r>
        <w:t>es 8.1105(b) and 8.1110, this opinion is certified for publication with the exception of parts II. and III. of the Discussion</w:t>
      </w:r>
      <w:r w:rsidR="00046285">
        <w:t xml:space="preserve"> </w:t>
      </w:r>
      <w:r w:rsidR="00046285" w:rsidRPr="00854166">
        <w:t>and the concurring and dissenting opinion</w:t>
      </w:r>
      <w:r w:rsidRPr="00854166">
        <w:t>.</w:t>
      </w:r>
    </w:p>
  </w:footnote>
  <w:footnote w:id="2">
    <w:p w14:paraId="1F7AABFA" w14:textId="6C48CA1F" w:rsidR="000B0861" w:rsidRDefault="00E502BC" w:rsidP="00483240">
      <w:pPr>
        <w:pStyle w:val="FootnoteText"/>
        <w:ind w:firstLine="720"/>
      </w:pPr>
      <w:r>
        <w:rPr>
          <w:rStyle w:val="FootnoteReference"/>
        </w:rPr>
        <w:footnoteRef/>
      </w:r>
      <w:r>
        <w:t xml:space="preserve"> All further statutory references are to the Penal Code unless otherwise stated.</w:t>
      </w:r>
    </w:p>
  </w:footnote>
  <w:footnote w:id="3">
    <w:p w14:paraId="190808FD" w14:textId="37CF471E" w:rsidR="000B0861" w:rsidRDefault="00E502BC" w:rsidP="00483240">
      <w:pPr>
        <w:pStyle w:val="FootnoteText"/>
        <w:ind w:firstLine="720"/>
      </w:pPr>
      <w:r>
        <w:rPr>
          <w:rStyle w:val="FootnoteReference"/>
        </w:rPr>
        <w:footnoteRef/>
      </w:r>
      <w:r>
        <w:t xml:space="preserve"> Count 2 was later dismissed at the prosecutor’s request.</w:t>
      </w:r>
    </w:p>
  </w:footnote>
  <w:footnote w:id="4">
    <w:p w14:paraId="644D8C6D" w14:textId="76C12AD6" w:rsidR="000B0861" w:rsidRDefault="00E502BC" w:rsidP="00483240">
      <w:pPr>
        <w:pStyle w:val="FootnoteText"/>
        <w:ind w:firstLine="720"/>
      </w:pPr>
      <w:r>
        <w:rPr>
          <w:rStyle w:val="FootnoteReference"/>
        </w:rPr>
        <w:footnoteRef/>
      </w:r>
      <w:r>
        <w:t xml:space="preserve"> Initially this portion of trial was to also resolve the allegation under section 190.2, but that allegation was la</w:t>
      </w:r>
      <w:r>
        <w:t>ter dismissed at the prosecutor’s request.</w:t>
      </w:r>
    </w:p>
  </w:footnote>
  <w:footnote w:id="5">
    <w:p w14:paraId="0E112C7C" w14:textId="2EAF2294" w:rsidR="000B0861" w:rsidRDefault="00E502BC" w:rsidP="00483240">
      <w:pPr>
        <w:spacing w:line="240" w:lineRule="auto"/>
        <w:ind w:firstLine="720"/>
      </w:pPr>
      <w:r>
        <w:rPr>
          <w:rStyle w:val="FootnoteReference"/>
        </w:rPr>
        <w:footnoteRef/>
      </w:r>
      <w:r>
        <w:t xml:space="preserve"> At the court’s prompting, the parties stipulated that the court would “dismiss” and strike the jury’s “finding” that both defendants </w:t>
      </w:r>
      <w:r w:rsidRPr="009C14D6">
        <w:rPr>
          <w:i/>
          <w:iCs/>
        </w:rPr>
        <w:t>personally</w:t>
      </w:r>
      <w:r>
        <w:t xml:space="preserve"> discharged a firearm causing death.  The stipulation was based on an agreement that there was not substantial e</w:t>
      </w:r>
      <w:r>
        <w:t xml:space="preserve">vidence that </w:t>
      </w:r>
      <w:r>
        <w:rPr>
          <w:i/>
          <w:iCs/>
        </w:rPr>
        <w:t>each</w:t>
      </w:r>
      <w:r>
        <w:t xml:space="preserve"> of the defendants personally discharged a firearm causing death.  However, the court still sentenced defendants on the use of a firearm by a principal enhancement.  (See § 12022.53, subd. (e)(1).)</w:t>
      </w:r>
    </w:p>
  </w:footnote>
  <w:footnote w:id="6">
    <w:p w14:paraId="43E44054" w14:textId="77777777" w:rsidR="000B0861" w:rsidRDefault="00E502BC" w:rsidP="000741CB">
      <w:pPr>
        <w:pStyle w:val="FootnoteText"/>
        <w:ind w:firstLine="720"/>
      </w:pPr>
      <w:r>
        <w:rPr>
          <w:rStyle w:val="FootnoteReference"/>
        </w:rPr>
        <w:footnoteRef/>
      </w:r>
      <w:r>
        <w:t xml:space="preserve"> According to the surveillance video’s t</w:t>
      </w:r>
      <w:r>
        <w:t>imestamp.</w:t>
      </w:r>
    </w:p>
  </w:footnote>
  <w:footnote w:id="7">
    <w:p w14:paraId="2684A198" w14:textId="072B5474" w:rsidR="000B0861" w:rsidRDefault="00E502BC" w:rsidP="000741CB">
      <w:pPr>
        <w:pStyle w:val="FootnoteText"/>
        <w:ind w:firstLine="720"/>
      </w:pPr>
      <w:r>
        <w:rPr>
          <w:rStyle w:val="FootnoteReference"/>
        </w:rPr>
        <w:footnoteRef/>
      </w:r>
      <w:r>
        <w:t xml:space="preserve"> </w:t>
      </w:r>
      <w:r w:rsidRPr="00F1083F">
        <w:rPr>
          <w:szCs w:val="26"/>
        </w:rPr>
        <w:t>Years prior, Vasquez was pulled over by police.  Yvette Garcia was his passenger.</w:t>
      </w:r>
    </w:p>
  </w:footnote>
  <w:footnote w:id="8">
    <w:p w14:paraId="49381E35" w14:textId="6A92A644" w:rsidR="000B0861" w:rsidRDefault="00E502BC" w:rsidP="00F5777D">
      <w:pPr>
        <w:pStyle w:val="FootnoteText"/>
        <w:ind w:firstLine="720"/>
      </w:pPr>
      <w:r>
        <w:rPr>
          <w:rStyle w:val="FootnoteReference"/>
        </w:rPr>
        <w:footnoteRef/>
      </w:r>
      <w:r>
        <w:t xml:space="preserve"> “M” is the thirteenth letter of the alphabet.</w:t>
      </w:r>
    </w:p>
  </w:footnote>
  <w:footnote w:id="9">
    <w:p w14:paraId="089AFFD0" w14:textId="2EC24A06" w:rsidR="000B0861" w:rsidRPr="00F5777D" w:rsidRDefault="00E502BC" w:rsidP="00F5777D">
      <w:pPr>
        <w:pStyle w:val="FootnoteText"/>
        <w:ind w:firstLine="720"/>
      </w:pPr>
      <w:r>
        <w:rPr>
          <w:rStyle w:val="FootnoteReference"/>
        </w:rPr>
        <w:footnoteRef/>
      </w:r>
      <w:r>
        <w:t xml:space="preserve"> </w:t>
      </w:r>
      <w:r>
        <w:rPr>
          <w:i/>
          <w:iCs/>
        </w:rPr>
        <w:t xml:space="preserve">Miranda v. Arizona </w:t>
      </w:r>
      <w:r>
        <w:t>(1966) 384 U.S. 436.</w:t>
      </w:r>
    </w:p>
  </w:footnote>
  <w:footnote w:id="10">
    <w:p w14:paraId="55D30D6E" w14:textId="77777777" w:rsidR="000B0861" w:rsidRDefault="00E502BC" w:rsidP="003B5078">
      <w:pPr>
        <w:pStyle w:val="FootnoteText"/>
        <w:ind w:firstLine="720"/>
      </w:pPr>
      <w:r>
        <w:rPr>
          <w:rStyle w:val="FootnoteReference"/>
        </w:rPr>
        <w:footnoteRef/>
      </w:r>
      <w:r>
        <w:t xml:space="preserve"> Vasquez joins in Carrillo’s argument.</w:t>
      </w:r>
    </w:p>
  </w:footnote>
  <w:footnote w:id="11">
    <w:p w14:paraId="1CB72A4D" w14:textId="7C6AD764" w:rsidR="000B0861" w:rsidRPr="007D3DE6" w:rsidRDefault="00E502BC" w:rsidP="00914248">
      <w:pPr>
        <w:pStyle w:val="FootnoteText"/>
        <w:ind w:firstLine="720"/>
      </w:pPr>
      <w:r>
        <w:rPr>
          <w:rStyle w:val="FootnoteReference"/>
        </w:rPr>
        <w:footnoteRef/>
      </w:r>
      <w:r>
        <w:t xml:space="preserve"> “… </w:t>
      </w:r>
      <w:r w:rsidR="00F1083F">
        <w:t>[]</w:t>
      </w:r>
      <w:r>
        <w:t>or</w:t>
      </w:r>
      <w:r w:rsidRPr="007D3DE6">
        <w:t xml:space="preserve"> which directed or asso</w:t>
      </w:r>
      <w:r w:rsidRPr="007D3DE6">
        <w:t>ciated with the defendant in connection with the crime</w:t>
      </w:r>
      <w:r w:rsidR="00F1083F">
        <w:t>[]</w:t>
      </w:r>
      <w:r>
        <w:t>.”  (</w:t>
      </w:r>
      <w:r>
        <w:rPr>
          <w:i/>
          <w:iCs/>
        </w:rPr>
        <w:t>Prunty</w:t>
      </w:r>
      <w:r>
        <w:t xml:space="preserve">, </w:t>
      </w:r>
      <w:r>
        <w:rPr>
          <w:i/>
          <w:iCs/>
        </w:rPr>
        <w:t>supra</w:t>
      </w:r>
      <w:r>
        <w:t>, 62 Cal.4th at pp. 80–81.)</w:t>
      </w:r>
    </w:p>
  </w:footnote>
  <w:footnote w:id="12">
    <w:p w14:paraId="39DE90AF" w14:textId="4E356EDE" w:rsidR="000B0861" w:rsidRDefault="00E502BC" w:rsidP="003E2EDE">
      <w:pPr>
        <w:pStyle w:val="FootnoteText"/>
        <w:ind w:firstLine="720"/>
      </w:pPr>
      <w:r>
        <w:rPr>
          <w:rStyle w:val="FootnoteReference"/>
        </w:rPr>
        <w:footnoteRef/>
      </w:r>
      <w:r>
        <w:t xml:space="preserve"> </w:t>
      </w:r>
      <w:r w:rsidRPr="00B805B0">
        <w:rPr>
          <w:szCs w:val="26"/>
        </w:rPr>
        <w:t>Similarly, Dr. De La Cruz testified that not all members of subsets “partake in the actual Sure[ñ]o umbrella unless they choose to.”</w:t>
      </w:r>
    </w:p>
  </w:footnote>
  <w:footnote w:id="13">
    <w:p w14:paraId="2A6152B5" w14:textId="6F512A77" w:rsidR="000B0861" w:rsidRPr="00211438" w:rsidRDefault="00E502BC" w:rsidP="003E2EDE">
      <w:pPr>
        <w:pStyle w:val="FootnoteText"/>
        <w:ind w:firstLine="720"/>
        <w:rPr>
          <w:szCs w:val="26"/>
        </w:rPr>
      </w:pPr>
      <w:r>
        <w:rPr>
          <w:rStyle w:val="FootnoteReference"/>
        </w:rPr>
        <w:footnoteRef/>
      </w:r>
      <w:r>
        <w:t xml:space="preserve"> </w:t>
      </w:r>
      <w:r w:rsidRPr="00211438">
        <w:rPr>
          <w:szCs w:val="26"/>
        </w:rPr>
        <w:t>The prosecution c</w:t>
      </w:r>
      <w:r w:rsidRPr="00211438">
        <w:rPr>
          <w:szCs w:val="26"/>
        </w:rPr>
        <w:t xml:space="preserve">ould have prevailed nonetheless if it had shown that the various groups were so organizationally connected that they were realistically a single gang.  (See </w:t>
      </w:r>
      <w:r w:rsidRPr="00211438">
        <w:rPr>
          <w:i/>
          <w:iCs/>
          <w:szCs w:val="26"/>
        </w:rPr>
        <w:t>Prunty</w:t>
      </w:r>
      <w:r w:rsidRPr="00211438">
        <w:rPr>
          <w:szCs w:val="26"/>
        </w:rPr>
        <w:t xml:space="preserve">, </w:t>
      </w:r>
      <w:r w:rsidR="00F1083F" w:rsidRPr="00211438">
        <w:rPr>
          <w:i/>
          <w:iCs/>
          <w:szCs w:val="26"/>
        </w:rPr>
        <w:t>supra</w:t>
      </w:r>
      <w:r w:rsidR="00F1083F" w:rsidRPr="00211438">
        <w:rPr>
          <w:szCs w:val="26"/>
        </w:rPr>
        <w:t xml:space="preserve">, </w:t>
      </w:r>
      <w:r w:rsidRPr="00211438">
        <w:rPr>
          <w:szCs w:val="26"/>
        </w:rPr>
        <w:t>62 Cal.4th at pp. 79–80.)</w:t>
      </w:r>
    </w:p>
  </w:footnote>
  <w:footnote w:id="14">
    <w:p w14:paraId="72AEA804" w14:textId="79FCA3E6" w:rsidR="000B0861" w:rsidRPr="00C96210" w:rsidRDefault="00E502BC" w:rsidP="000B0861">
      <w:pPr>
        <w:pStyle w:val="FootnoteText"/>
        <w:ind w:firstLine="720"/>
      </w:pPr>
      <w:r>
        <w:rPr>
          <w:rStyle w:val="FootnoteReference"/>
        </w:rPr>
        <w:footnoteRef/>
      </w:r>
      <w:r>
        <w:t xml:space="preserve"> Carrillo very may well have been acting to benefit his specific subset as well. But since the sameness requirement was satisfied through the Sureño gang, it is immaterial that defendants may </w:t>
      </w:r>
      <w:r>
        <w:rPr>
          <w:i/>
          <w:iCs/>
        </w:rPr>
        <w:t xml:space="preserve">also </w:t>
      </w:r>
      <w:r>
        <w:t>have sought to benefit their respective subsets as well.</w:t>
      </w:r>
    </w:p>
  </w:footnote>
  <w:footnote w:id="15">
    <w:p w14:paraId="5B0D9DBF" w14:textId="630C9FFF" w:rsidR="00137A63" w:rsidRPr="00137A63" w:rsidRDefault="00E502BC" w:rsidP="00137A63">
      <w:pPr>
        <w:pStyle w:val="FootnoteText"/>
        <w:ind w:firstLine="720"/>
      </w:pPr>
      <w:r w:rsidRPr="00137A63">
        <w:rPr>
          <w:rStyle w:val="FootnoteReference"/>
          <w:rFonts w:ascii="Symbol" w:hAnsi="Symbol"/>
        </w:rPr>
        <w:sym w:font="Symbol" w:char="F02A"/>
      </w:r>
      <w:r>
        <w:t xml:space="preserve"> </w:t>
      </w:r>
      <w:r>
        <w:t xml:space="preserve">See footnote, </w:t>
      </w:r>
      <w:r>
        <w:rPr>
          <w:i/>
          <w:iCs/>
        </w:rPr>
        <w:t>ante</w:t>
      </w:r>
      <w:r>
        <w:t>, page 1.</w:t>
      </w:r>
    </w:p>
  </w:footnote>
  <w:footnote w:id="16">
    <w:p w14:paraId="31709F7C" w14:textId="52A4C597" w:rsidR="000B0861" w:rsidRDefault="00E502BC" w:rsidP="000B0861">
      <w:pPr>
        <w:pStyle w:val="FootnoteText"/>
        <w:ind w:firstLine="720"/>
      </w:pPr>
      <w:r>
        <w:rPr>
          <w:rStyle w:val="FootnoteReference"/>
        </w:rPr>
        <w:footnoteRef/>
      </w:r>
      <w:r>
        <w:t xml:space="preserve"> While Officer Barajas described the area as a “melting pot” – he meant a “melting pot” of Sureño subsets.  He clearly testified the motel was in Sureño territory.</w:t>
      </w:r>
    </w:p>
  </w:footnote>
  <w:footnote w:id="17">
    <w:p w14:paraId="48A31F9A" w14:textId="715C035B" w:rsidR="000B0861" w:rsidRDefault="00E502BC" w:rsidP="00676EE5">
      <w:pPr>
        <w:pStyle w:val="FootnoteText"/>
        <w:ind w:firstLine="720"/>
      </w:pPr>
      <w:r>
        <w:rPr>
          <w:rStyle w:val="FootnoteReference"/>
        </w:rPr>
        <w:footnoteRef/>
      </w:r>
      <w:r>
        <w:t xml:space="preserve"> The present case is distinguishable from </w:t>
      </w:r>
      <w:r>
        <w:rPr>
          <w:i/>
          <w:iCs/>
        </w:rPr>
        <w:t xml:space="preserve">People v. Perez </w:t>
      </w:r>
      <w:r>
        <w:t>(201</w:t>
      </w:r>
      <w:r>
        <w:t>7) 18 Cal.App.5th 598, because the defendant in that case was not acting in association with other gang members.</w:t>
      </w:r>
      <w:r w:rsidR="00676EE5">
        <w:t xml:space="preserve"> </w:t>
      </w:r>
      <w:r>
        <w:t xml:space="preserve"> (See </w:t>
      </w:r>
      <w:r w:rsidR="00676EE5" w:rsidRPr="00676EE5">
        <w:rPr>
          <w:i/>
          <w:iCs/>
        </w:rPr>
        <w:t>id</w:t>
      </w:r>
      <w:r w:rsidR="00676EE5">
        <w:t>. at p. </w:t>
      </w:r>
      <w:r w:rsidRPr="00676EE5">
        <w:t>613</w:t>
      </w:r>
      <w:r>
        <w:t xml:space="preserve"> [no evidence defendant’s companions were gang</w:t>
      </w:r>
      <w:r w:rsidR="00676EE5">
        <w:t xml:space="preserve"> </w:t>
      </w:r>
      <w:r>
        <w:t>members</w:t>
      </w:r>
      <w:r w:rsidR="00676EE5">
        <w:t>,</w:t>
      </w:r>
      <w:r>
        <w:t xml:space="preserve"> or that they were present for/assisted with the shooting].)</w:t>
      </w:r>
    </w:p>
    <w:p w14:paraId="350042B1" w14:textId="28941D7F" w:rsidR="000B0861" w:rsidRPr="00D634DC" w:rsidRDefault="00E502BC" w:rsidP="00676EE5">
      <w:pPr>
        <w:pStyle w:val="FootnoteText"/>
        <w:ind w:firstLine="720"/>
      </w:pPr>
      <w:r>
        <w:t xml:space="preserve">Because </w:t>
      </w:r>
      <w:r>
        <w:t>there is sufficient evidence the crime was committed in “association” with other gang members, we need not address whether there was also sufficient evidence the crime was committed for the benefit of or at the direction of a gang.</w:t>
      </w:r>
    </w:p>
  </w:footnote>
  <w:footnote w:id="18">
    <w:p w14:paraId="6FCA3CB9" w14:textId="32405937" w:rsidR="00137A63" w:rsidRPr="00137A63" w:rsidRDefault="00E502BC" w:rsidP="00137A63">
      <w:pPr>
        <w:pStyle w:val="FootnoteText"/>
        <w:ind w:firstLine="720"/>
      </w:pPr>
      <w:r w:rsidRPr="00137A63">
        <w:rPr>
          <w:rStyle w:val="FootnoteReference"/>
          <w:rFonts w:ascii="Symbol" w:hAnsi="Symbol"/>
        </w:rPr>
        <w:sym w:font="Symbol" w:char="F02A"/>
      </w:r>
      <w:r>
        <w:t xml:space="preserve"> See footnote, </w:t>
      </w:r>
      <w:r>
        <w:rPr>
          <w:i/>
          <w:iCs/>
        </w:rPr>
        <w:t>ante</w:t>
      </w:r>
      <w:r>
        <w:t>, pa</w:t>
      </w:r>
      <w:r>
        <w:t>ge 1.</w:t>
      </w:r>
    </w:p>
  </w:footnote>
  <w:footnote w:id="19">
    <w:p w14:paraId="5E14BE64" w14:textId="5F59A807" w:rsidR="00C737E5" w:rsidRPr="00F1083F" w:rsidRDefault="00E502BC" w:rsidP="00137A63">
      <w:pPr>
        <w:pStyle w:val="FootnoteText"/>
        <w:ind w:firstLine="720"/>
        <w:rPr>
          <w:szCs w:val="26"/>
        </w:rPr>
      </w:pPr>
      <w:r>
        <w:rPr>
          <w:rStyle w:val="FootnoteReference"/>
        </w:rPr>
        <w:footnoteRef/>
      </w:r>
      <w:r>
        <w:t xml:space="preserve"> </w:t>
      </w:r>
      <w:r w:rsidRPr="00F1083F">
        <w:rPr>
          <w:szCs w:val="26"/>
        </w:rPr>
        <w:t xml:space="preserve">We also held that a lack of objection forfeits the ability-to-pay issue on appeal.  (See </w:t>
      </w:r>
      <w:r w:rsidR="00F1083F" w:rsidRPr="00F1083F">
        <w:rPr>
          <w:i/>
          <w:iCs/>
          <w:szCs w:val="26"/>
        </w:rPr>
        <w:t>Aviles</w:t>
      </w:r>
      <w:r w:rsidR="00F1083F" w:rsidRPr="00F1083F">
        <w:rPr>
          <w:szCs w:val="26"/>
        </w:rPr>
        <w:t xml:space="preserve">, </w:t>
      </w:r>
      <w:r w:rsidR="00F1083F" w:rsidRPr="00F1083F">
        <w:rPr>
          <w:i/>
          <w:iCs/>
          <w:szCs w:val="26"/>
        </w:rPr>
        <w:t>supra</w:t>
      </w:r>
      <w:r w:rsidR="00F1083F" w:rsidRPr="00F1083F">
        <w:rPr>
          <w:szCs w:val="26"/>
        </w:rPr>
        <w:t>, 39 Cal.App.5th</w:t>
      </w:r>
      <w:r w:rsidRPr="00F1083F">
        <w:rPr>
          <w:szCs w:val="26"/>
        </w:rPr>
        <w:t xml:space="preserve"> at pp. 1073–1075.)  </w:t>
      </w:r>
    </w:p>
  </w:footnote>
  <w:footnote w:id="20">
    <w:p w14:paraId="3C98D336" w14:textId="41C24CA4" w:rsidR="004D1D91" w:rsidRPr="00F1083F" w:rsidRDefault="00E502BC" w:rsidP="00137A63">
      <w:pPr>
        <w:pStyle w:val="FootnoteText"/>
        <w:ind w:firstLine="720"/>
        <w:rPr>
          <w:szCs w:val="26"/>
        </w:rPr>
      </w:pPr>
      <w:r>
        <w:rPr>
          <w:rStyle w:val="FootnoteReference"/>
        </w:rPr>
        <w:footnoteRef/>
      </w:r>
      <w:r>
        <w:t xml:space="preserve"> </w:t>
      </w:r>
      <w:r w:rsidRPr="00F1083F">
        <w:rPr>
          <w:szCs w:val="26"/>
        </w:rPr>
        <w:t>We reject Carrillo’s purported joinder on this issue for the same reason.</w:t>
      </w:r>
    </w:p>
  </w:footnote>
  <w:footnote w:id="21">
    <w:p w14:paraId="41261799" w14:textId="3F92F6E3" w:rsidR="000C7BC1" w:rsidRDefault="00E502BC" w:rsidP="00137A63">
      <w:pPr>
        <w:pStyle w:val="FootnoteText"/>
        <w:ind w:firstLine="720"/>
      </w:pPr>
      <w:r>
        <w:rPr>
          <w:rStyle w:val="FootnoteReference"/>
        </w:rPr>
        <w:footnoteRef/>
      </w:r>
      <w:r>
        <w:t xml:space="preserve"> Because Carrillo </w:t>
      </w:r>
      <w:r w:rsidR="008C3FF5">
        <w:t xml:space="preserve">simply </w:t>
      </w:r>
      <w:r>
        <w:t>purport</w:t>
      </w:r>
      <w:r w:rsidR="008C3FF5">
        <w:t>s</w:t>
      </w:r>
      <w:r>
        <w:t xml:space="preserve"> to join in portions of Vasquez’s opening brief, including the ability-to-pay claim, it likewise appears Carrillo </w:t>
      </w:r>
      <w:r w:rsidR="008C3FF5">
        <w:t>has made</w:t>
      </w:r>
      <w:r>
        <w:t xml:space="preserve"> no claim under the </w:t>
      </w:r>
      <w:r w:rsidR="005F5456">
        <w:t>e</w:t>
      </w:r>
      <w:r>
        <w:t xml:space="preserve">xcessive </w:t>
      </w:r>
      <w:r w:rsidR="005F5456">
        <w:t>f</w:t>
      </w:r>
      <w:r>
        <w:t xml:space="preserve">ines clause. </w:t>
      </w:r>
      <w:r w:rsidR="005F5456">
        <w:t xml:space="preserve"> </w:t>
      </w:r>
      <w:r>
        <w:t>If he had desired to do so, it would have required an ex</w:t>
      </w:r>
      <w:r>
        <w:t xml:space="preserve">planation as to how the factors that govern application of the </w:t>
      </w:r>
      <w:r w:rsidR="005F5456">
        <w:t>e</w:t>
      </w:r>
      <w:r>
        <w:t xml:space="preserve">xcessive </w:t>
      </w:r>
      <w:r w:rsidR="005F5456">
        <w:t>f</w:t>
      </w:r>
      <w:r>
        <w:t xml:space="preserve">ines clause relate to his specific circumstances. </w:t>
      </w:r>
      <w:r w:rsidR="005F5456">
        <w:t xml:space="preserve"> </w:t>
      </w:r>
      <w:r>
        <w:t xml:space="preserve">He has failed to do that. </w:t>
      </w:r>
      <w:r w:rsidR="005F5456">
        <w:t xml:space="preserve"> </w:t>
      </w:r>
      <w:r>
        <w:t>To the extent Carrillo offers the identical arguments as Vasquez, we reject them for the same reasons as</w:t>
      </w:r>
      <w:r>
        <w:t xml:space="preserve"> we reject Vasquez’s.</w:t>
      </w:r>
    </w:p>
  </w:footnote>
  <w:footnote w:id="22">
    <w:p w14:paraId="616290DC" w14:textId="6EF8ED75" w:rsidR="00046285" w:rsidRPr="00046285" w:rsidRDefault="00E502BC" w:rsidP="00046285">
      <w:pPr>
        <w:pStyle w:val="FootnoteText"/>
        <w:ind w:firstLine="720"/>
      </w:pPr>
      <w:r w:rsidRPr="00854166">
        <w:rPr>
          <w:rStyle w:val="FootnoteReference"/>
          <w:rFonts w:ascii="Symbol" w:hAnsi="Symbol"/>
        </w:rPr>
        <w:sym w:font="Symbol" w:char="F02A"/>
      </w:r>
      <w:r w:rsidRPr="00854166">
        <w:t xml:space="preserve"> See footnote, </w:t>
      </w:r>
      <w:r w:rsidRPr="00854166">
        <w:rPr>
          <w:i/>
          <w:iCs/>
        </w:rPr>
        <w:t>ante</w:t>
      </w:r>
      <w:r w:rsidRPr="00854166">
        <w:t>, page 1 of the majority opinion.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9AE4" w14:textId="77777777" w:rsidR="009E5BA9" w:rsidRDefault="009E5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70A" w14:textId="77777777" w:rsidR="009E5BA9" w:rsidRDefault="009E5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428E" w14:textId="77777777" w:rsidR="009E5BA9" w:rsidRDefault="009E5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027D2D17"/>
    <w:multiLevelType w:val="hybridMultilevel"/>
    <w:tmpl w:val="FF0AE2D4"/>
    <w:lvl w:ilvl="0" w:tplc="5002CBB4">
      <w:start w:val="1"/>
      <w:numFmt w:val="upperLetter"/>
      <w:lvlText w:val="%1."/>
      <w:lvlJc w:val="left"/>
      <w:pPr>
        <w:ind w:left="1080" w:hanging="360"/>
      </w:pPr>
      <w:rPr>
        <w:rFonts w:hint="default"/>
        <w:i w:val="0"/>
        <w:iCs w:val="0"/>
      </w:rPr>
    </w:lvl>
    <w:lvl w:ilvl="1" w:tplc="777AF5AA" w:tentative="1">
      <w:start w:val="1"/>
      <w:numFmt w:val="lowerLetter"/>
      <w:lvlText w:val="%2."/>
      <w:lvlJc w:val="left"/>
      <w:pPr>
        <w:ind w:left="1800" w:hanging="360"/>
      </w:pPr>
    </w:lvl>
    <w:lvl w:ilvl="2" w:tplc="397817C8" w:tentative="1">
      <w:start w:val="1"/>
      <w:numFmt w:val="lowerRoman"/>
      <w:lvlText w:val="%3."/>
      <w:lvlJc w:val="right"/>
      <w:pPr>
        <w:ind w:left="2520" w:hanging="180"/>
      </w:pPr>
    </w:lvl>
    <w:lvl w:ilvl="3" w:tplc="BA0CE8B0" w:tentative="1">
      <w:start w:val="1"/>
      <w:numFmt w:val="decimal"/>
      <w:lvlText w:val="%4."/>
      <w:lvlJc w:val="left"/>
      <w:pPr>
        <w:ind w:left="3240" w:hanging="360"/>
      </w:pPr>
    </w:lvl>
    <w:lvl w:ilvl="4" w:tplc="2826A8B0" w:tentative="1">
      <w:start w:val="1"/>
      <w:numFmt w:val="lowerLetter"/>
      <w:lvlText w:val="%5."/>
      <w:lvlJc w:val="left"/>
      <w:pPr>
        <w:ind w:left="3960" w:hanging="360"/>
      </w:pPr>
    </w:lvl>
    <w:lvl w:ilvl="5" w:tplc="E488B7B0" w:tentative="1">
      <w:start w:val="1"/>
      <w:numFmt w:val="lowerRoman"/>
      <w:lvlText w:val="%6."/>
      <w:lvlJc w:val="right"/>
      <w:pPr>
        <w:ind w:left="4680" w:hanging="180"/>
      </w:pPr>
    </w:lvl>
    <w:lvl w:ilvl="6" w:tplc="7A023A34" w:tentative="1">
      <w:start w:val="1"/>
      <w:numFmt w:val="decimal"/>
      <w:lvlText w:val="%7."/>
      <w:lvlJc w:val="left"/>
      <w:pPr>
        <w:ind w:left="5400" w:hanging="360"/>
      </w:pPr>
    </w:lvl>
    <w:lvl w:ilvl="7" w:tplc="41BC1FB4" w:tentative="1">
      <w:start w:val="1"/>
      <w:numFmt w:val="lowerLetter"/>
      <w:lvlText w:val="%8."/>
      <w:lvlJc w:val="left"/>
      <w:pPr>
        <w:ind w:left="6120" w:hanging="360"/>
      </w:pPr>
    </w:lvl>
    <w:lvl w:ilvl="8" w:tplc="AC7E0288" w:tentative="1">
      <w:start w:val="1"/>
      <w:numFmt w:val="lowerRoman"/>
      <w:lvlText w:val="%9."/>
      <w:lvlJc w:val="right"/>
      <w:pPr>
        <w:ind w:left="6840" w:hanging="180"/>
      </w:pPr>
    </w:lvl>
  </w:abstractNum>
  <w:abstractNum w:abstractNumId="2" w15:restartNumberingAfterBreak="0">
    <w:nsid w:val="16B67E76"/>
    <w:multiLevelType w:val="hybridMultilevel"/>
    <w:tmpl w:val="D7FC5D74"/>
    <w:lvl w:ilvl="0" w:tplc="5BFE80A0">
      <w:start w:val="1"/>
      <w:numFmt w:val="decimal"/>
      <w:lvlText w:val="%1."/>
      <w:lvlJc w:val="left"/>
      <w:pPr>
        <w:ind w:left="720" w:hanging="360"/>
      </w:pPr>
      <w:rPr>
        <w:rFonts w:hint="default"/>
      </w:rPr>
    </w:lvl>
    <w:lvl w:ilvl="1" w:tplc="ECF86714" w:tentative="1">
      <w:start w:val="1"/>
      <w:numFmt w:val="lowerLetter"/>
      <w:lvlText w:val="%2."/>
      <w:lvlJc w:val="left"/>
      <w:pPr>
        <w:ind w:left="1440" w:hanging="360"/>
      </w:pPr>
    </w:lvl>
    <w:lvl w:ilvl="2" w:tplc="053ACF86" w:tentative="1">
      <w:start w:val="1"/>
      <w:numFmt w:val="lowerRoman"/>
      <w:lvlText w:val="%3."/>
      <w:lvlJc w:val="right"/>
      <w:pPr>
        <w:ind w:left="2160" w:hanging="180"/>
      </w:pPr>
    </w:lvl>
    <w:lvl w:ilvl="3" w:tplc="C9926B60" w:tentative="1">
      <w:start w:val="1"/>
      <w:numFmt w:val="decimal"/>
      <w:lvlText w:val="%4."/>
      <w:lvlJc w:val="left"/>
      <w:pPr>
        <w:ind w:left="2880" w:hanging="360"/>
      </w:pPr>
    </w:lvl>
    <w:lvl w:ilvl="4" w:tplc="DAE8B9C0" w:tentative="1">
      <w:start w:val="1"/>
      <w:numFmt w:val="lowerLetter"/>
      <w:lvlText w:val="%5."/>
      <w:lvlJc w:val="left"/>
      <w:pPr>
        <w:ind w:left="3600" w:hanging="360"/>
      </w:pPr>
    </w:lvl>
    <w:lvl w:ilvl="5" w:tplc="92F8A550" w:tentative="1">
      <w:start w:val="1"/>
      <w:numFmt w:val="lowerRoman"/>
      <w:lvlText w:val="%6."/>
      <w:lvlJc w:val="right"/>
      <w:pPr>
        <w:ind w:left="4320" w:hanging="180"/>
      </w:pPr>
    </w:lvl>
    <w:lvl w:ilvl="6" w:tplc="84A6674A" w:tentative="1">
      <w:start w:val="1"/>
      <w:numFmt w:val="decimal"/>
      <w:lvlText w:val="%7."/>
      <w:lvlJc w:val="left"/>
      <w:pPr>
        <w:ind w:left="5040" w:hanging="360"/>
      </w:pPr>
    </w:lvl>
    <w:lvl w:ilvl="7" w:tplc="034265B8" w:tentative="1">
      <w:start w:val="1"/>
      <w:numFmt w:val="lowerLetter"/>
      <w:lvlText w:val="%8."/>
      <w:lvlJc w:val="left"/>
      <w:pPr>
        <w:ind w:left="5760" w:hanging="360"/>
      </w:pPr>
    </w:lvl>
    <w:lvl w:ilvl="8" w:tplc="B0B245D2" w:tentative="1">
      <w:start w:val="1"/>
      <w:numFmt w:val="lowerRoman"/>
      <w:lvlText w:val="%9."/>
      <w:lvlJc w:val="right"/>
      <w:pPr>
        <w:ind w:left="6480" w:hanging="180"/>
      </w:pPr>
    </w:lvl>
  </w:abstractNum>
  <w:abstractNum w:abstractNumId="3" w15:restartNumberingAfterBreak="0">
    <w:nsid w:val="2DF41F1B"/>
    <w:multiLevelType w:val="hybridMultilevel"/>
    <w:tmpl w:val="6F16141A"/>
    <w:lvl w:ilvl="0" w:tplc="1C22AE80">
      <w:start w:val="1"/>
      <w:numFmt w:val="upperLetter"/>
      <w:lvlText w:val="%1."/>
      <w:lvlJc w:val="left"/>
      <w:pPr>
        <w:ind w:left="1080" w:hanging="360"/>
      </w:pPr>
      <w:rPr>
        <w:rFonts w:hint="default"/>
        <w:i w:val="0"/>
        <w:iCs w:val="0"/>
      </w:rPr>
    </w:lvl>
    <w:lvl w:ilvl="1" w:tplc="EDBAB7C2" w:tentative="1">
      <w:start w:val="1"/>
      <w:numFmt w:val="lowerLetter"/>
      <w:lvlText w:val="%2."/>
      <w:lvlJc w:val="left"/>
      <w:pPr>
        <w:ind w:left="1800" w:hanging="360"/>
      </w:pPr>
    </w:lvl>
    <w:lvl w:ilvl="2" w:tplc="4522AEBE" w:tentative="1">
      <w:start w:val="1"/>
      <w:numFmt w:val="lowerRoman"/>
      <w:lvlText w:val="%3."/>
      <w:lvlJc w:val="right"/>
      <w:pPr>
        <w:ind w:left="2520" w:hanging="180"/>
      </w:pPr>
    </w:lvl>
    <w:lvl w:ilvl="3" w:tplc="3D427350" w:tentative="1">
      <w:start w:val="1"/>
      <w:numFmt w:val="decimal"/>
      <w:lvlText w:val="%4."/>
      <w:lvlJc w:val="left"/>
      <w:pPr>
        <w:ind w:left="3240" w:hanging="360"/>
      </w:pPr>
    </w:lvl>
    <w:lvl w:ilvl="4" w:tplc="396C5562" w:tentative="1">
      <w:start w:val="1"/>
      <w:numFmt w:val="lowerLetter"/>
      <w:lvlText w:val="%5."/>
      <w:lvlJc w:val="left"/>
      <w:pPr>
        <w:ind w:left="3960" w:hanging="360"/>
      </w:pPr>
    </w:lvl>
    <w:lvl w:ilvl="5" w:tplc="0BC85CA6" w:tentative="1">
      <w:start w:val="1"/>
      <w:numFmt w:val="lowerRoman"/>
      <w:lvlText w:val="%6."/>
      <w:lvlJc w:val="right"/>
      <w:pPr>
        <w:ind w:left="4680" w:hanging="180"/>
      </w:pPr>
    </w:lvl>
    <w:lvl w:ilvl="6" w:tplc="D3842A7C" w:tentative="1">
      <w:start w:val="1"/>
      <w:numFmt w:val="decimal"/>
      <w:lvlText w:val="%7."/>
      <w:lvlJc w:val="left"/>
      <w:pPr>
        <w:ind w:left="5400" w:hanging="360"/>
      </w:pPr>
    </w:lvl>
    <w:lvl w:ilvl="7" w:tplc="4CA84E8C" w:tentative="1">
      <w:start w:val="1"/>
      <w:numFmt w:val="lowerLetter"/>
      <w:lvlText w:val="%8."/>
      <w:lvlJc w:val="left"/>
      <w:pPr>
        <w:ind w:left="6120" w:hanging="360"/>
      </w:pPr>
    </w:lvl>
    <w:lvl w:ilvl="8" w:tplc="AA480B34" w:tentative="1">
      <w:start w:val="1"/>
      <w:numFmt w:val="lowerRoman"/>
      <w:lvlText w:val="%9."/>
      <w:lvlJc w:val="right"/>
      <w:pPr>
        <w:ind w:left="6840" w:hanging="180"/>
      </w:pPr>
    </w:lvl>
  </w:abstractNum>
  <w:abstractNum w:abstractNumId="4" w15:restartNumberingAfterBreak="0">
    <w:nsid w:val="30212BF9"/>
    <w:multiLevelType w:val="hybridMultilevel"/>
    <w:tmpl w:val="459A7E9A"/>
    <w:lvl w:ilvl="0" w:tplc="8A66F17A">
      <w:start w:val="1"/>
      <w:numFmt w:val="upperLetter"/>
      <w:lvlText w:val="%1."/>
      <w:lvlJc w:val="left"/>
      <w:pPr>
        <w:ind w:left="1080" w:hanging="360"/>
      </w:pPr>
      <w:rPr>
        <w:rFonts w:hint="default"/>
        <w:i w:val="0"/>
        <w:iCs w:val="0"/>
      </w:rPr>
    </w:lvl>
    <w:lvl w:ilvl="1" w:tplc="616A9678" w:tentative="1">
      <w:start w:val="1"/>
      <w:numFmt w:val="lowerLetter"/>
      <w:lvlText w:val="%2."/>
      <w:lvlJc w:val="left"/>
      <w:pPr>
        <w:ind w:left="1800" w:hanging="360"/>
      </w:pPr>
    </w:lvl>
    <w:lvl w:ilvl="2" w:tplc="1912396C" w:tentative="1">
      <w:start w:val="1"/>
      <w:numFmt w:val="lowerRoman"/>
      <w:lvlText w:val="%3."/>
      <w:lvlJc w:val="right"/>
      <w:pPr>
        <w:ind w:left="2520" w:hanging="180"/>
      </w:pPr>
    </w:lvl>
    <w:lvl w:ilvl="3" w:tplc="3A6A7D14" w:tentative="1">
      <w:start w:val="1"/>
      <w:numFmt w:val="decimal"/>
      <w:lvlText w:val="%4."/>
      <w:lvlJc w:val="left"/>
      <w:pPr>
        <w:ind w:left="3240" w:hanging="360"/>
      </w:pPr>
    </w:lvl>
    <w:lvl w:ilvl="4" w:tplc="E6EC9E6C" w:tentative="1">
      <w:start w:val="1"/>
      <w:numFmt w:val="lowerLetter"/>
      <w:lvlText w:val="%5."/>
      <w:lvlJc w:val="left"/>
      <w:pPr>
        <w:ind w:left="3960" w:hanging="360"/>
      </w:pPr>
    </w:lvl>
    <w:lvl w:ilvl="5" w:tplc="342E3CBE" w:tentative="1">
      <w:start w:val="1"/>
      <w:numFmt w:val="lowerRoman"/>
      <w:lvlText w:val="%6."/>
      <w:lvlJc w:val="right"/>
      <w:pPr>
        <w:ind w:left="4680" w:hanging="180"/>
      </w:pPr>
    </w:lvl>
    <w:lvl w:ilvl="6" w:tplc="BD4A5886" w:tentative="1">
      <w:start w:val="1"/>
      <w:numFmt w:val="decimal"/>
      <w:lvlText w:val="%7."/>
      <w:lvlJc w:val="left"/>
      <w:pPr>
        <w:ind w:left="5400" w:hanging="360"/>
      </w:pPr>
    </w:lvl>
    <w:lvl w:ilvl="7" w:tplc="9E34D666" w:tentative="1">
      <w:start w:val="1"/>
      <w:numFmt w:val="lowerLetter"/>
      <w:lvlText w:val="%8."/>
      <w:lvlJc w:val="left"/>
      <w:pPr>
        <w:ind w:left="6120" w:hanging="360"/>
      </w:pPr>
    </w:lvl>
    <w:lvl w:ilvl="8" w:tplc="B0F4FED4" w:tentative="1">
      <w:start w:val="1"/>
      <w:numFmt w:val="lowerRoman"/>
      <w:lvlText w:val="%9."/>
      <w:lvlJc w:val="right"/>
      <w:pPr>
        <w:ind w:left="6840" w:hanging="180"/>
      </w:pPr>
    </w:lvl>
  </w:abstractNum>
  <w:abstractNum w:abstractNumId="5" w15:restartNumberingAfterBreak="0">
    <w:nsid w:val="35011845"/>
    <w:multiLevelType w:val="hybridMultilevel"/>
    <w:tmpl w:val="E1A40DDE"/>
    <w:lvl w:ilvl="0" w:tplc="32AC7AE2">
      <w:start w:val="1"/>
      <w:numFmt w:val="upperRoman"/>
      <w:lvlText w:val="%1."/>
      <w:lvlJc w:val="left"/>
      <w:pPr>
        <w:ind w:left="1440" w:hanging="720"/>
      </w:pPr>
      <w:rPr>
        <w:rFonts w:hint="default"/>
      </w:rPr>
    </w:lvl>
    <w:lvl w:ilvl="1" w:tplc="B7049B84" w:tentative="1">
      <w:start w:val="1"/>
      <w:numFmt w:val="lowerLetter"/>
      <w:lvlText w:val="%2."/>
      <w:lvlJc w:val="left"/>
      <w:pPr>
        <w:ind w:left="1800" w:hanging="360"/>
      </w:pPr>
    </w:lvl>
    <w:lvl w:ilvl="2" w:tplc="BDE6A9E0" w:tentative="1">
      <w:start w:val="1"/>
      <w:numFmt w:val="lowerRoman"/>
      <w:lvlText w:val="%3."/>
      <w:lvlJc w:val="right"/>
      <w:pPr>
        <w:ind w:left="2520" w:hanging="180"/>
      </w:pPr>
    </w:lvl>
    <w:lvl w:ilvl="3" w:tplc="A66858A0" w:tentative="1">
      <w:start w:val="1"/>
      <w:numFmt w:val="decimal"/>
      <w:lvlText w:val="%4."/>
      <w:lvlJc w:val="left"/>
      <w:pPr>
        <w:ind w:left="3240" w:hanging="360"/>
      </w:pPr>
    </w:lvl>
    <w:lvl w:ilvl="4" w:tplc="4C1884B8" w:tentative="1">
      <w:start w:val="1"/>
      <w:numFmt w:val="lowerLetter"/>
      <w:lvlText w:val="%5."/>
      <w:lvlJc w:val="left"/>
      <w:pPr>
        <w:ind w:left="3960" w:hanging="360"/>
      </w:pPr>
    </w:lvl>
    <w:lvl w:ilvl="5" w:tplc="EBCA57E0" w:tentative="1">
      <w:start w:val="1"/>
      <w:numFmt w:val="lowerRoman"/>
      <w:lvlText w:val="%6."/>
      <w:lvlJc w:val="right"/>
      <w:pPr>
        <w:ind w:left="4680" w:hanging="180"/>
      </w:pPr>
    </w:lvl>
    <w:lvl w:ilvl="6" w:tplc="B6CC3246" w:tentative="1">
      <w:start w:val="1"/>
      <w:numFmt w:val="decimal"/>
      <w:lvlText w:val="%7."/>
      <w:lvlJc w:val="left"/>
      <w:pPr>
        <w:ind w:left="5400" w:hanging="360"/>
      </w:pPr>
    </w:lvl>
    <w:lvl w:ilvl="7" w:tplc="EF80ADFC" w:tentative="1">
      <w:start w:val="1"/>
      <w:numFmt w:val="lowerLetter"/>
      <w:lvlText w:val="%8."/>
      <w:lvlJc w:val="left"/>
      <w:pPr>
        <w:ind w:left="6120" w:hanging="360"/>
      </w:pPr>
    </w:lvl>
    <w:lvl w:ilvl="8" w:tplc="18803C04" w:tentative="1">
      <w:start w:val="1"/>
      <w:numFmt w:val="lowerRoman"/>
      <w:lvlText w:val="%9."/>
      <w:lvlJc w:val="right"/>
      <w:pPr>
        <w:ind w:left="6840" w:hanging="180"/>
      </w:pPr>
    </w:lvl>
  </w:abstractNum>
  <w:abstractNum w:abstractNumId="6" w15:restartNumberingAfterBreak="0">
    <w:nsid w:val="4B4A2B75"/>
    <w:multiLevelType w:val="hybridMultilevel"/>
    <w:tmpl w:val="1B2CE0DC"/>
    <w:lvl w:ilvl="0" w:tplc="2452A326">
      <w:start w:val="1"/>
      <w:numFmt w:val="decimal"/>
      <w:lvlText w:val="%1."/>
      <w:lvlJc w:val="left"/>
      <w:pPr>
        <w:ind w:left="2520" w:hanging="360"/>
      </w:pPr>
      <w:rPr>
        <w:rFonts w:hint="default"/>
        <w:i w:val="0"/>
        <w:iCs/>
      </w:rPr>
    </w:lvl>
    <w:lvl w:ilvl="1" w:tplc="832CBDF2" w:tentative="1">
      <w:start w:val="1"/>
      <w:numFmt w:val="lowerLetter"/>
      <w:lvlText w:val="%2."/>
      <w:lvlJc w:val="left"/>
      <w:pPr>
        <w:ind w:left="3240" w:hanging="360"/>
      </w:pPr>
    </w:lvl>
    <w:lvl w:ilvl="2" w:tplc="831C40E6" w:tentative="1">
      <w:start w:val="1"/>
      <w:numFmt w:val="lowerRoman"/>
      <w:lvlText w:val="%3."/>
      <w:lvlJc w:val="right"/>
      <w:pPr>
        <w:ind w:left="3960" w:hanging="180"/>
      </w:pPr>
    </w:lvl>
    <w:lvl w:ilvl="3" w:tplc="0BE6BBC0" w:tentative="1">
      <w:start w:val="1"/>
      <w:numFmt w:val="decimal"/>
      <w:lvlText w:val="%4."/>
      <w:lvlJc w:val="left"/>
      <w:pPr>
        <w:ind w:left="4680" w:hanging="360"/>
      </w:pPr>
    </w:lvl>
    <w:lvl w:ilvl="4" w:tplc="6CEAA4CA" w:tentative="1">
      <w:start w:val="1"/>
      <w:numFmt w:val="lowerLetter"/>
      <w:lvlText w:val="%5."/>
      <w:lvlJc w:val="left"/>
      <w:pPr>
        <w:ind w:left="5400" w:hanging="360"/>
      </w:pPr>
    </w:lvl>
    <w:lvl w:ilvl="5" w:tplc="5B0EBFC4" w:tentative="1">
      <w:start w:val="1"/>
      <w:numFmt w:val="lowerRoman"/>
      <w:lvlText w:val="%6."/>
      <w:lvlJc w:val="right"/>
      <w:pPr>
        <w:ind w:left="6120" w:hanging="180"/>
      </w:pPr>
    </w:lvl>
    <w:lvl w:ilvl="6" w:tplc="4DD8D13C" w:tentative="1">
      <w:start w:val="1"/>
      <w:numFmt w:val="decimal"/>
      <w:lvlText w:val="%7."/>
      <w:lvlJc w:val="left"/>
      <w:pPr>
        <w:ind w:left="6840" w:hanging="360"/>
      </w:pPr>
    </w:lvl>
    <w:lvl w:ilvl="7" w:tplc="7A7ED380" w:tentative="1">
      <w:start w:val="1"/>
      <w:numFmt w:val="lowerLetter"/>
      <w:lvlText w:val="%8."/>
      <w:lvlJc w:val="left"/>
      <w:pPr>
        <w:ind w:left="7560" w:hanging="360"/>
      </w:pPr>
    </w:lvl>
    <w:lvl w:ilvl="8" w:tplc="6D364D28" w:tentative="1">
      <w:start w:val="1"/>
      <w:numFmt w:val="lowerRoman"/>
      <w:lvlText w:val="%9."/>
      <w:lvlJc w:val="right"/>
      <w:pPr>
        <w:ind w:left="8280" w:hanging="180"/>
      </w:pPr>
    </w:lvl>
  </w:abstractNum>
  <w:abstractNum w:abstractNumId="7" w15:restartNumberingAfterBreak="0">
    <w:nsid w:val="4EFE22FD"/>
    <w:multiLevelType w:val="hybridMultilevel"/>
    <w:tmpl w:val="3FF8A0EA"/>
    <w:lvl w:ilvl="0" w:tplc="B7907FEE">
      <w:start w:val="1"/>
      <w:numFmt w:val="upperRoman"/>
      <w:lvlText w:val="%1."/>
      <w:lvlJc w:val="left"/>
      <w:pPr>
        <w:ind w:left="1440" w:hanging="720"/>
      </w:pPr>
      <w:rPr>
        <w:rFonts w:hint="default"/>
      </w:rPr>
    </w:lvl>
    <w:lvl w:ilvl="1" w:tplc="400802F8" w:tentative="1">
      <w:start w:val="1"/>
      <w:numFmt w:val="lowerLetter"/>
      <w:lvlText w:val="%2."/>
      <w:lvlJc w:val="left"/>
      <w:pPr>
        <w:ind w:left="1800" w:hanging="360"/>
      </w:pPr>
    </w:lvl>
    <w:lvl w:ilvl="2" w:tplc="2494BE4C" w:tentative="1">
      <w:start w:val="1"/>
      <w:numFmt w:val="lowerRoman"/>
      <w:lvlText w:val="%3."/>
      <w:lvlJc w:val="right"/>
      <w:pPr>
        <w:ind w:left="2520" w:hanging="180"/>
      </w:pPr>
    </w:lvl>
    <w:lvl w:ilvl="3" w:tplc="20A4B90C" w:tentative="1">
      <w:start w:val="1"/>
      <w:numFmt w:val="decimal"/>
      <w:lvlText w:val="%4."/>
      <w:lvlJc w:val="left"/>
      <w:pPr>
        <w:ind w:left="3240" w:hanging="360"/>
      </w:pPr>
    </w:lvl>
    <w:lvl w:ilvl="4" w:tplc="9A5EA7D6" w:tentative="1">
      <w:start w:val="1"/>
      <w:numFmt w:val="lowerLetter"/>
      <w:lvlText w:val="%5."/>
      <w:lvlJc w:val="left"/>
      <w:pPr>
        <w:ind w:left="3960" w:hanging="360"/>
      </w:pPr>
    </w:lvl>
    <w:lvl w:ilvl="5" w:tplc="706A1BF2" w:tentative="1">
      <w:start w:val="1"/>
      <w:numFmt w:val="lowerRoman"/>
      <w:lvlText w:val="%6."/>
      <w:lvlJc w:val="right"/>
      <w:pPr>
        <w:ind w:left="4680" w:hanging="180"/>
      </w:pPr>
    </w:lvl>
    <w:lvl w:ilvl="6" w:tplc="9ABE10EC" w:tentative="1">
      <w:start w:val="1"/>
      <w:numFmt w:val="decimal"/>
      <w:lvlText w:val="%7."/>
      <w:lvlJc w:val="left"/>
      <w:pPr>
        <w:ind w:left="5400" w:hanging="360"/>
      </w:pPr>
    </w:lvl>
    <w:lvl w:ilvl="7" w:tplc="8730E1BC" w:tentative="1">
      <w:start w:val="1"/>
      <w:numFmt w:val="lowerLetter"/>
      <w:lvlText w:val="%8."/>
      <w:lvlJc w:val="left"/>
      <w:pPr>
        <w:ind w:left="6120" w:hanging="360"/>
      </w:pPr>
    </w:lvl>
    <w:lvl w:ilvl="8" w:tplc="A4500CB6" w:tentative="1">
      <w:start w:val="1"/>
      <w:numFmt w:val="lowerRoman"/>
      <w:lvlText w:val="%9."/>
      <w:lvlJc w:val="right"/>
      <w:pPr>
        <w:ind w:left="6840" w:hanging="180"/>
      </w:pPr>
    </w:lvl>
  </w:abstractNum>
  <w:abstractNum w:abstractNumId="8" w15:restartNumberingAfterBreak="0">
    <w:nsid w:val="72AC122F"/>
    <w:multiLevelType w:val="hybridMultilevel"/>
    <w:tmpl w:val="4A7A9F1C"/>
    <w:lvl w:ilvl="0" w:tplc="5194186A">
      <w:start w:val="1"/>
      <w:numFmt w:val="upperLetter"/>
      <w:lvlText w:val="%1."/>
      <w:lvlJc w:val="left"/>
      <w:pPr>
        <w:ind w:left="1710" w:hanging="360"/>
      </w:pPr>
      <w:rPr>
        <w:rFonts w:hint="default"/>
        <w:i w:val="0"/>
      </w:rPr>
    </w:lvl>
    <w:lvl w:ilvl="1" w:tplc="E23E0806" w:tentative="1">
      <w:start w:val="1"/>
      <w:numFmt w:val="lowerLetter"/>
      <w:lvlText w:val="%2."/>
      <w:lvlJc w:val="left"/>
      <w:pPr>
        <w:ind w:left="2520" w:hanging="360"/>
      </w:pPr>
    </w:lvl>
    <w:lvl w:ilvl="2" w:tplc="30CEDB30" w:tentative="1">
      <w:start w:val="1"/>
      <w:numFmt w:val="lowerRoman"/>
      <w:lvlText w:val="%3."/>
      <w:lvlJc w:val="right"/>
      <w:pPr>
        <w:ind w:left="3240" w:hanging="180"/>
      </w:pPr>
    </w:lvl>
    <w:lvl w:ilvl="3" w:tplc="7AE4EE2A" w:tentative="1">
      <w:start w:val="1"/>
      <w:numFmt w:val="decimal"/>
      <w:lvlText w:val="%4."/>
      <w:lvlJc w:val="left"/>
      <w:pPr>
        <w:ind w:left="3960" w:hanging="360"/>
      </w:pPr>
    </w:lvl>
    <w:lvl w:ilvl="4" w:tplc="6620792C" w:tentative="1">
      <w:start w:val="1"/>
      <w:numFmt w:val="lowerLetter"/>
      <w:lvlText w:val="%5."/>
      <w:lvlJc w:val="left"/>
      <w:pPr>
        <w:ind w:left="4680" w:hanging="360"/>
      </w:pPr>
    </w:lvl>
    <w:lvl w:ilvl="5" w:tplc="32A43478" w:tentative="1">
      <w:start w:val="1"/>
      <w:numFmt w:val="lowerRoman"/>
      <w:lvlText w:val="%6."/>
      <w:lvlJc w:val="right"/>
      <w:pPr>
        <w:ind w:left="5400" w:hanging="180"/>
      </w:pPr>
    </w:lvl>
    <w:lvl w:ilvl="6" w:tplc="528C3978" w:tentative="1">
      <w:start w:val="1"/>
      <w:numFmt w:val="decimal"/>
      <w:lvlText w:val="%7."/>
      <w:lvlJc w:val="left"/>
      <w:pPr>
        <w:ind w:left="6120" w:hanging="360"/>
      </w:pPr>
    </w:lvl>
    <w:lvl w:ilvl="7" w:tplc="FE06CDA4" w:tentative="1">
      <w:start w:val="1"/>
      <w:numFmt w:val="lowerLetter"/>
      <w:lvlText w:val="%8."/>
      <w:lvlJc w:val="left"/>
      <w:pPr>
        <w:ind w:left="6840" w:hanging="360"/>
      </w:pPr>
    </w:lvl>
    <w:lvl w:ilvl="8" w:tplc="8F728BE2" w:tentative="1">
      <w:start w:val="1"/>
      <w:numFmt w:val="lowerRoman"/>
      <w:lvlText w:val="%9."/>
      <w:lvlJc w:val="right"/>
      <w:pPr>
        <w:ind w:left="7560" w:hanging="180"/>
      </w:pPr>
    </w:lvl>
  </w:abstractNum>
  <w:abstractNum w:abstractNumId="9" w15:restartNumberingAfterBreak="0">
    <w:nsid w:val="7AF67539"/>
    <w:multiLevelType w:val="hybridMultilevel"/>
    <w:tmpl w:val="798696A4"/>
    <w:lvl w:ilvl="0" w:tplc="16227B8C">
      <w:start w:val="1"/>
      <w:numFmt w:val="upperRoman"/>
      <w:lvlText w:val="%1."/>
      <w:lvlJc w:val="left"/>
      <w:pPr>
        <w:ind w:left="1440" w:hanging="720"/>
      </w:pPr>
      <w:rPr>
        <w:rFonts w:hint="default"/>
      </w:rPr>
    </w:lvl>
    <w:lvl w:ilvl="1" w:tplc="299CAE1E" w:tentative="1">
      <w:start w:val="1"/>
      <w:numFmt w:val="lowerLetter"/>
      <w:lvlText w:val="%2."/>
      <w:lvlJc w:val="left"/>
      <w:pPr>
        <w:ind w:left="1800" w:hanging="360"/>
      </w:pPr>
    </w:lvl>
    <w:lvl w:ilvl="2" w:tplc="4306C546" w:tentative="1">
      <w:start w:val="1"/>
      <w:numFmt w:val="lowerRoman"/>
      <w:lvlText w:val="%3."/>
      <w:lvlJc w:val="right"/>
      <w:pPr>
        <w:ind w:left="2520" w:hanging="180"/>
      </w:pPr>
    </w:lvl>
    <w:lvl w:ilvl="3" w:tplc="AC68B784" w:tentative="1">
      <w:start w:val="1"/>
      <w:numFmt w:val="decimal"/>
      <w:lvlText w:val="%4."/>
      <w:lvlJc w:val="left"/>
      <w:pPr>
        <w:ind w:left="3240" w:hanging="360"/>
      </w:pPr>
    </w:lvl>
    <w:lvl w:ilvl="4" w:tplc="E3E6A802" w:tentative="1">
      <w:start w:val="1"/>
      <w:numFmt w:val="lowerLetter"/>
      <w:lvlText w:val="%5."/>
      <w:lvlJc w:val="left"/>
      <w:pPr>
        <w:ind w:left="3960" w:hanging="360"/>
      </w:pPr>
    </w:lvl>
    <w:lvl w:ilvl="5" w:tplc="C9D0B636" w:tentative="1">
      <w:start w:val="1"/>
      <w:numFmt w:val="lowerRoman"/>
      <w:lvlText w:val="%6."/>
      <w:lvlJc w:val="right"/>
      <w:pPr>
        <w:ind w:left="4680" w:hanging="180"/>
      </w:pPr>
    </w:lvl>
    <w:lvl w:ilvl="6" w:tplc="D3365A64" w:tentative="1">
      <w:start w:val="1"/>
      <w:numFmt w:val="decimal"/>
      <w:lvlText w:val="%7."/>
      <w:lvlJc w:val="left"/>
      <w:pPr>
        <w:ind w:left="5400" w:hanging="360"/>
      </w:pPr>
    </w:lvl>
    <w:lvl w:ilvl="7" w:tplc="495CDA00" w:tentative="1">
      <w:start w:val="1"/>
      <w:numFmt w:val="lowerLetter"/>
      <w:lvlText w:val="%8."/>
      <w:lvlJc w:val="left"/>
      <w:pPr>
        <w:ind w:left="6120" w:hanging="360"/>
      </w:pPr>
    </w:lvl>
    <w:lvl w:ilvl="8" w:tplc="DF80D5D8"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9"/>
  </w:num>
  <w:num w:numId="5">
    <w:abstractNumId w:val="8"/>
  </w:num>
  <w:num w:numId="6">
    <w:abstractNumId w:val="6"/>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40"/>
    <w:rsid w:val="0003249E"/>
    <w:rsid w:val="00046285"/>
    <w:rsid w:val="000741CB"/>
    <w:rsid w:val="000A5319"/>
    <w:rsid w:val="000B0861"/>
    <w:rsid w:val="000B42E2"/>
    <w:rsid w:val="000C7BC1"/>
    <w:rsid w:val="00106B31"/>
    <w:rsid w:val="00114223"/>
    <w:rsid w:val="00137A63"/>
    <w:rsid w:val="00140CD0"/>
    <w:rsid w:val="0014131C"/>
    <w:rsid w:val="00211438"/>
    <w:rsid w:val="00225BBB"/>
    <w:rsid w:val="002B1E4F"/>
    <w:rsid w:val="002D3A38"/>
    <w:rsid w:val="0035254A"/>
    <w:rsid w:val="0039134D"/>
    <w:rsid w:val="003B5078"/>
    <w:rsid w:val="003E2EDE"/>
    <w:rsid w:val="00432E0C"/>
    <w:rsid w:val="00434F8C"/>
    <w:rsid w:val="00483240"/>
    <w:rsid w:val="004C1EB0"/>
    <w:rsid w:val="004D1D91"/>
    <w:rsid w:val="00526FBE"/>
    <w:rsid w:val="00572295"/>
    <w:rsid w:val="0057797C"/>
    <w:rsid w:val="005A0478"/>
    <w:rsid w:val="005B4D36"/>
    <w:rsid w:val="005F5456"/>
    <w:rsid w:val="00634DDD"/>
    <w:rsid w:val="00676EE5"/>
    <w:rsid w:val="006C5AE3"/>
    <w:rsid w:val="00792D50"/>
    <w:rsid w:val="007C3372"/>
    <w:rsid w:val="007D3DE6"/>
    <w:rsid w:val="00854166"/>
    <w:rsid w:val="008C3FF5"/>
    <w:rsid w:val="008E5E7C"/>
    <w:rsid w:val="00914248"/>
    <w:rsid w:val="00925092"/>
    <w:rsid w:val="00985A72"/>
    <w:rsid w:val="009C14D6"/>
    <w:rsid w:val="009E1E49"/>
    <w:rsid w:val="009E5BA9"/>
    <w:rsid w:val="009F7242"/>
    <w:rsid w:val="00A064DF"/>
    <w:rsid w:val="00A37784"/>
    <w:rsid w:val="00A72AA1"/>
    <w:rsid w:val="00AB08F8"/>
    <w:rsid w:val="00B63AF2"/>
    <w:rsid w:val="00B805B0"/>
    <w:rsid w:val="00C67067"/>
    <w:rsid w:val="00C737E5"/>
    <w:rsid w:val="00C86AE2"/>
    <w:rsid w:val="00C96210"/>
    <w:rsid w:val="00CA4136"/>
    <w:rsid w:val="00CA73E2"/>
    <w:rsid w:val="00D634DC"/>
    <w:rsid w:val="00D74717"/>
    <w:rsid w:val="00E502BC"/>
    <w:rsid w:val="00E748DB"/>
    <w:rsid w:val="00F1083F"/>
    <w:rsid w:val="00F10D02"/>
    <w:rsid w:val="00F5777D"/>
    <w:rsid w:val="00F95EB7"/>
    <w:rsid w:val="00FD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F8"/>
    <w:pPr>
      <w:spacing w:line="480" w:lineRule="atLeast"/>
    </w:pPr>
    <w:rPr>
      <w:rFonts w:ascii="Times New Roman" w:hAnsi="Times New Roman"/>
      <w:szCs w:val="20"/>
    </w:rPr>
  </w:style>
  <w:style w:type="paragraph" w:styleId="Heading1">
    <w:name w:val="heading 1"/>
    <w:basedOn w:val="Normal"/>
    <w:next w:val="Normal"/>
    <w:link w:val="Heading1Char"/>
    <w:qFormat/>
    <w:rsid w:val="00AB08F8"/>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AB08F8"/>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AB08F8"/>
    <w:pPr>
      <w:keepNext/>
      <w:spacing w:before="240" w:after="60"/>
      <w:outlineLvl w:val="2"/>
    </w:pPr>
    <w:rPr>
      <w:b/>
    </w:rPr>
  </w:style>
  <w:style w:type="paragraph" w:styleId="Heading4">
    <w:name w:val="heading 4"/>
    <w:basedOn w:val="Normal"/>
    <w:next w:val="Normal"/>
    <w:link w:val="Heading4Char"/>
    <w:qFormat/>
    <w:rsid w:val="00AB08F8"/>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AB08F8"/>
    <w:pPr>
      <w:spacing w:before="240" w:after="60"/>
      <w:outlineLvl w:val="4"/>
    </w:pPr>
    <w:rPr>
      <w:sz w:val="22"/>
    </w:rPr>
  </w:style>
  <w:style w:type="paragraph" w:styleId="Heading6">
    <w:name w:val="heading 6"/>
    <w:basedOn w:val="Normal"/>
    <w:next w:val="Normal"/>
    <w:link w:val="Heading6Char"/>
    <w:uiPriority w:val="9"/>
    <w:semiHidden/>
    <w:unhideWhenUsed/>
    <w:qFormat/>
    <w:rsid w:val="00AB08F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B08F8"/>
    <w:pPr>
      <w:spacing w:before="240" w:after="60"/>
      <w:outlineLvl w:val="6"/>
    </w:pPr>
    <w:rPr>
      <w:sz w:val="24"/>
    </w:rPr>
  </w:style>
  <w:style w:type="paragraph" w:styleId="Heading8">
    <w:name w:val="heading 8"/>
    <w:basedOn w:val="Normal"/>
    <w:next w:val="Normal"/>
    <w:link w:val="Heading8Char"/>
    <w:uiPriority w:val="9"/>
    <w:semiHidden/>
    <w:unhideWhenUsed/>
    <w:qFormat/>
    <w:rsid w:val="00AB08F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B08F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8F8"/>
    <w:rPr>
      <w:rFonts w:ascii="Times New Roman" w:eastAsia="Times New Roman" w:hAnsi="Times New Roman"/>
      <w:b/>
      <w:szCs w:val="20"/>
    </w:rPr>
  </w:style>
  <w:style w:type="character" w:customStyle="1" w:styleId="Heading2Char">
    <w:name w:val="Heading 2 Char"/>
    <w:basedOn w:val="DefaultParagraphFont"/>
    <w:link w:val="Heading2"/>
    <w:rsid w:val="00AB08F8"/>
    <w:rPr>
      <w:rFonts w:ascii="Times New Roman" w:eastAsia="Times New Roman" w:hAnsi="Times New Roman"/>
      <w:b/>
      <w:szCs w:val="20"/>
    </w:rPr>
  </w:style>
  <w:style w:type="character" w:customStyle="1" w:styleId="Heading3Char">
    <w:name w:val="Heading 3 Char"/>
    <w:basedOn w:val="DefaultParagraphFont"/>
    <w:link w:val="Heading3"/>
    <w:rsid w:val="00AB08F8"/>
    <w:rPr>
      <w:rFonts w:ascii="Times New Roman" w:eastAsia="Times New Roman" w:hAnsi="Times New Roman"/>
      <w:b/>
      <w:szCs w:val="20"/>
    </w:rPr>
  </w:style>
  <w:style w:type="character" w:customStyle="1" w:styleId="Heading4Char">
    <w:name w:val="Heading 4 Char"/>
    <w:basedOn w:val="DefaultParagraphFont"/>
    <w:link w:val="Heading4"/>
    <w:rsid w:val="00AB08F8"/>
    <w:rPr>
      <w:rFonts w:ascii="Times New Roman" w:eastAsia="Times New Roman" w:hAnsi="Times New Roman"/>
      <w:b/>
      <w:szCs w:val="20"/>
    </w:rPr>
  </w:style>
  <w:style w:type="character" w:customStyle="1" w:styleId="Heading5Char">
    <w:name w:val="Heading 5 Char"/>
    <w:basedOn w:val="DefaultParagraphFont"/>
    <w:link w:val="Heading5"/>
    <w:rsid w:val="00AB08F8"/>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AB08F8"/>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B08F8"/>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B08F8"/>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B08F8"/>
    <w:rPr>
      <w:rFonts w:asciiTheme="majorHAnsi" w:eastAsiaTheme="majorEastAsia" w:hAnsiTheme="majorHAnsi"/>
    </w:rPr>
  </w:style>
  <w:style w:type="paragraph" w:styleId="Title">
    <w:name w:val="Title"/>
    <w:basedOn w:val="Normal"/>
    <w:link w:val="TitleChar"/>
    <w:qFormat/>
    <w:rsid w:val="00AB08F8"/>
    <w:pPr>
      <w:keepNext/>
      <w:keepLines/>
      <w:jc w:val="center"/>
      <w:outlineLvl w:val="0"/>
    </w:pPr>
    <w:rPr>
      <w:b/>
      <w:caps/>
    </w:rPr>
  </w:style>
  <w:style w:type="character" w:customStyle="1" w:styleId="TitleChar">
    <w:name w:val="Title Char"/>
    <w:basedOn w:val="DefaultParagraphFont"/>
    <w:link w:val="Title"/>
    <w:rsid w:val="00AB08F8"/>
    <w:rPr>
      <w:rFonts w:ascii="Times New Roman" w:eastAsia="Times New Roman" w:hAnsi="Times New Roman"/>
      <w:b/>
      <w:caps/>
      <w:szCs w:val="20"/>
    </w:rPr>
  </w:style>
  <w:style w:type="paragraph" w:styleId="Subtitle">
    <w:name w:val="Subtitle"/>
    <w:basedOn w:val="Normal"/>
    <w:next w:val="Normal"/>
    <w:link w:val="SubtitleChar"/>
    <w:uiPriority w:val="11"/>
    <w:qFormat/>
    <w:rsid w:val="00AB08F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B08F8"/>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AB08F8"/>
    <w:pPr>
      <w:outlineLvl w:val="9"/>
    </w:pPr>
  </w:style>
  <w:style w:type="character" w:styleId="Strong">
    <w:name w:val="Strong"/>
    <w:basedOn w:val="DefaultParagraphFont"/>
    <w:uiPriority w:val="22"/>
    <w:rsid w:val="00AB08F8"/>
    <w:rPr>
      <w:b/>
      <w:bCs/>
    </w:rPr>
  </w:style>
  <w:style w:type="character" w:styleId="Emphasis">
    <w:name w:val="Emphasis"/>
    <w:basedOn w:val="DefaultParagraphFont"/>
    <w:uiPriority w:val="20"/>
    <w:rsid w:val="00AB08F8"/>
    <w:rPr>
      <w:rFonts w:asciiTheme="minorHAnsi" w:hAnsiTheme="minorHAnsi"/>
      <w:b/>
      <w:i/>
      <w:iCs/>
    </w:rPr>
  </w:style>
  <w:style w:type="paragraph" w:styleId="NoSpacing">
    <w:name w:val="No Spacing"/>
    <w:basedOn w:val="Normal"/>
    <w:uiPriority w:val="1"/>
    <w:rsid w:val="00AB08F8"/>
    <w:rPr>
      <w:szCs w:val="32"/>
    </w:rPr>
  </w:style>
  <w:style w:type="paragraph" w:styleId="ListParagraph">
    <w:name w:val="List Paragraph"/>
    <w:basedOn w:val="Normal"/>
    <w:uiPriority w:val="34"/>
    <w:rsid w:val="00AB08F8"/>
    <w:pPr>
      <w:ind w:left="720"/>
      <w:contextualSpacing/>
    </w:pPr>
  </w:style>
  <w:style w:type="paragraph" w:styleId="Quote">
    <w:name w:val="Quote"/>
    <w:basedOn w:val="Normal"/>
    <w:next w:val="Normal"/>
    <w:link w:val="QuoteChar"/>
    <w:uiPriority w:val="29"/>
    <w:rsid w:val="00AB08F8"/>
    <w:rPr>
      <w:i/>
    </w:rPr>
  </w:style>
  <w:style w:type="character" w:customStyle="1" w:styleId="QuoteChar">
    <w:name w:val="Quote Char"/>
    <w:basedOn w:val="DefaultParagraphFont"/>
    <w:link w:val="Quote"/>
    <w:uiPriority w:val="29"/>
    <w:rsid w:val="00AB08F8"/>
    <w:rPr>
      <w:rFonts w:ascii="Times New Roman" w:eastAsia="Times New Roman" w:hAnsi="Times New Roman"/>
      <w:i/>
      <w:szCs w:val="20"/>
    </w:rPr>
  </w:style>
  <w:style w:type="paragraph" w:styleId="IntenseQuote">
    <w:name w:val="Intense Quote"/>
    <w:basedOn w:val="Normal"/>
    <w:next w:val="Normal"/>
    <w:link w:val="IntenseQuoteChar"/>
    <w:uiPriority w:val="30"/>
    <w:rsid w:val="00AB08F8"/>
    <w:pPr>
      <w:ind w:left="720" w:right="720"/>
    </w:pPr>
    <w:rPr>
      <w:b/>
      <w:i/>
      <w:szCs w:val="22"/>
    </w:rPr>
  </w:style>
  <w:style w:type="character" w:customStyle="1" w:styleId="IntenseQuoteChar">
    <w:name w:val="Intense Quote Char"/>
    <w:basedOn w:val="DefaultParagraphFont"/>
    <w:link w:val="IntenseQuote"/>
    <w:uiPriority w:val="30"/>
    <w:rsid w:val="00AB08F8"/>
    <w:rPr>
      <w:rFonts w:ascii="Times New Roman" w:eastAsia="Times New Roman" w:hAnsi="Times New Roman"/>
      <w:b/>
      <w:i/>
      <w:szCs w:val="22"/>
    </w:rPr>
  </w:style>
  <w:style w:type="character" w:styleId="SubtleEmphasis">
    <w:name w:val="Subtle Emphasis"/>
    <w:uiPriority w:val="19"/>
    <w:rsid w:val="00AB08F8"/>
    <w:rPr>
      <w:i/>
      <w:color w:val="5A5A5A" w:themeColor="text1" w:themeTint="A5"/>
    </w:rPr>
  </w:style>
  <w:style w:type="character" w:styleId="IntenseEmphasis">
    <w:name w:val="Intense Emphasis"/>
    <w:basedOn w:val="DefaultParagraphFont"/>
    <w:uiPriority w:val="21"/>
    <w:rsid w:val="00AB08F8"/>
    <w:rPr>
      <w:b/>
      <w:i/>
      <w:sz w:val="24"/>
      <w:szCs w:val="24"/>
      <w:u w:val="single"/>
    </w:rPr>
  </w:style>
  <w:style w:type="character" w:styleId="SubtleReference">
    <w:name w:val="Subtle Reference"/>
    <w:basedOn w:val="DefaultParagraphFont"/>
    <w:uiPriority w:val="31"/>
    <w:rsid w:val="00AB08F8"/>
    <w:rPr>
      <w:sz w:val="24"/>
      <w:szCs w:val="24"/>
      <w:u w:val="single"/>
    </w:rPr>
  </w:style>
  <w:style w:type="character" w:styleId="IntenseReference">
    <w:name w:val="Intense Reference"/>
    <w:basedOn w:val="DefaultParagraphFont"/>
    <w:uiPriority w:val="32"/>
    <w:rsid w:val="00AB08F8"/>
    <w:rPr>
      <w:b/>
      <w:sz w:val="24"/>
      <w:u w:val="single"/>
    </w:rPr>
  </w:style>
  <w:style w:type="character" w:styleId="BookTitle">
    <w:name w:val="Book Title"/>
    <w:basedOn w:val="DefaultParagraphFont"/>
    <w:uiPriority w:val="33"/>
    <w:rsid w:val="00AB08F8"/>
    <w:rPr>
      <w:rFonts w:asciiTheme="majorHAnsi" w:eastAsiaTheme="majorEastAsia" w:hAnsiTheme="majorHAnsi"/>
      <w:b/>
      <w:i/>
      <w:sz w:val="24"/>
      <w:szCs w:val="24"/>
    </w:rPr>
  </w:style>
  <w:style w:type="paragraph" w:styleId="EnvelopeAddress">
    <w:name w:val="envelope address"/>
    <w:basedOn w:val="Normal"/>
    <w:rsid w:val="00AB08F8"/>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AB08F8"/>
    <w:pPr>
      <w:spacing w:line="240" w:lineRule="atLeast"/>
    </w:pPr>
    <w:rPr>
      <w:rFonts w:ascii="Arial" w:hAnsi="Arial"/>
      <w:sz w:val="20"/>
    </w:rPr>
  </w:style>
  <w:style w:type="paragraph" w:styleId="Footer">
    <w:name w:val="footer"/>
    <w:basedOn w:val="Normal"/>
    <w:link w:val="FooterChar"/>
    <w:rsid w:val="00AB08F8"/>
    <w:pPr>
      <w:tabs>
        <w:tab w:val="center" w:pos="4320"/>
        <w:tab w:val="right" w:pos="8640"/>
      </w:tabs>
    </w:pPr>
  </w:style>
  <w:style w:type="character" w:customStyle="1" w:styleId="FooterChar">
    <w:name w:val="Footer Char"/>
    <w:basedOn w:val="DefaultParagraphFont"/>
    <w:link w:val="Footer"/>
    <w:rsid w:val="00AB08F8"/>
    <w:rPr>
      <w:rFonts w:ascii="Times New Roman" w:eastAsia="Times New Roman" w:hAnsi="Times New Roman"/>
      <w:szCs w:val="20"/>
    </w:rPr>
  </w:style>
  <w:style w:type="character" w:styleId="FootnoteReference">
    <w:name w:val="footnote reference"/>
    <w:basedOn w:val="DefaultParagraphFont"/>
    <w:rsid w:val="00AB08F8"/>
    <w:rPr>
      <w:b/>
      <w:position w:val="8"/>
      <w:sz w:val="20"/>
      <w:vertAlign w:val="baseline"/>
    </w:rPr>
  </w:style>
  <w:style w:type="paragraph" w:styleId="FootnoteText">
    <w:name w:val="footnote text"/>
    <w:basedOn w:val="Normal"/>
    <w:link w:val="FootnoteTextChar"/>
    <w:rsid w:val="00AB08F8"/>
    <w:pPr>
      <w:spacing w:after="120" w:line="240" w:lineRule="auto"/>
    </w:pPr>
  </w:style>
  <w:style w:type="character" w:customStyle="1" w:styleId="FootnoteTextChar">
    <w:name w:val="Footnote Text Char"/>
    <w:basedOn w:val="DefaultParagraphFont"/>
    <w:link w:val="FootnoteText"/>
    <w:rsid w:val="00AB08F8"/>
    <w:rPr>
      <w:rFonts w:ascii="Times New Roman" w:eastAsia="Times New Roman" w:hAnsi="Times New Roman"/>
      <w:szCs w:val="20"/>
    </w:rPr>
  </w:style>
  <w:style w:type="paragraph" w:styleId="Header">
    <w:name w:val="header"/>
    <w:basedOn w:val="Normal"/>
    <w:link w:val="HeaderChar"/>
    <w:rsid w:val="00AB08F8"/>
    <w:pPr>
      <w:tabs>
        <w:tab w:val="center" w:pos="4320"/>
        <w:tab w:val="right" w:pos="8640"/>
      </w:tabs>
    </w:pPr>
  </w:style>
  <w:style w:type="character" w:customStyle="1" w:styleId="HeaderChar">
    <w:name w:val="Header Char"/>
    <w:basedOn w:val="DefaultParagraphFont"/>
    <w:link w:val="Header"/>
    <w:rsid w:val="00AB08F8"/>
    <w:rPr>
      <w:rFonts w:ascii="Times New Roman" w:eastAsia="Times New Roman" w:hAnsi="Times New Roman"/>
      <w:szCs w:val="20"/>
    </w:rPr>
  </w:style>
  <w:style w:type="paragraph" w:customStyle="1" w:styleId="IndentedQuote">
    <w:name w:val="IndentedQuote"/>
    <w:basedOn w:val="Normal"/>
    <w:rsid w:val="00AB08F8"/>
    <w:pPr>
      <w:spacing w:line="260" w:lineRule="exact"/>
      <w:ind w:left="1080" w:right="1080"/>
    </w:pPr>
  </w:style>
  <w:style w:type="paragraph" w:styleId="MacroText">
    <w:name w:val="macro"/>
    <w:link w:val="MacroTextChar"/>
    <w:semiHidden/>
    <w:rsid w:val="00AB08F8"/>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AB08F8"/>
    <w:rPr>
      <w:rFonts w:ascii="Courier New" w:eastAsia="Times New Roman" w:hAnsi="Courier New"/>
      <w:sz w:val="20"/>
      <w:szCs w:val="20"/>
    </w:rPr>
  </w:style>
  <w:style w:type="character" w:styleId="PageNumber">
    <w:name w:val="page number"/>
    <w:basedOn w:val="DefaultParagraphFont"/>
    <w:rsid w:val="00AB08F8"/>
  </w:style>
  <w:style w:type="paragraph" w:styleId="BodyText">
    <w:name w:val="Body Text"/>
    <w:basedOn w:val="Normal"/>
    <w:link w:val="BodyTextChar"/>
    <w:rsid w:val="00AB08F8"/>
    <w:pPr>
      <w:spacing w:after="120"/>
    </w:pPr>
  </w:style>
  <w:style w:type="character" w:customStyle="1" w:styleId="BodyTextChar">
    <w:name w:val="Body Text Char"/>
    <w:basedOn w:val="DefaultParagraphFont"/>
    <w:link w:val="BodyText"/>
    <w:rsid w:val="00AB08F8"/>
    <w:rPr>
      <w:rFonts w:ascii="Times New Roman" w:eastAsia="Times New Roman" w:hAnsi="Times New Roman"/>
      <w:szCs w:val="20"/>
    </w:rPr>
  </w:style>
  <w:style w:type="paragraph" w:styleId="Closing">
    <w:name w:val="Closing"/>
    <w:basedOn w:val="BodyText"/>
    <w:link w:val="ClosingChar"/>
    <w:rsid w:val="00AB08F8"/>
    <w:pPr>
      <w:keepNext/>
      <w:spacing w:after="160" w:line="240" w:lineRule="auto"/>
      <w:ind w:left="5040"/>
    </w:pPr>
    <w:rPr>
      <w:sz w:val="24"/>
    </w:rPr>
  </w:style>
  <w:style w:type="character" w:customStyle="1" w:styleId="ClosingChar">
    <w:name w:val="Closing Char"/>
    <w:basedOn w:val="DefaultParagraphFont"/>
    <w:link w:val="Closing"/>
    <w:rsid w:val="00AB08F8"/>
    <w:rPr>
      <w:rFonts w:ascii="Times New Roman" w:eastAsia="Times New Roman" w:hAnsi="Times New Roman"/>
      <w:sz w:val="24"/>
      <w:szCs w:val="20"/>
    </w:rPr>
  </w:style>
  <w:style w:type="paragraph" w:styleId="CommentText">
    <w:name w:val="annotation text"/>
    <w:basedOn w:val="Normal"/>
    <w:link w:val="CommentTextChar"/>
    <w:semiHidden/>
    <w:rsid w:val="00AB08F8"/>
    <w:rPr>
      <w:sz w:val="20"/>
    </w:rPr>
  </w:style>
  <w:style w:type="character" w:customStyle="1" w:styleId="CommentTextChar">
    <w:name w:val="Comment Text Char"/>
    <w:basedOn w:val="DefaultParagraphFont"/>
    <w:link w:val="CommentText"/>
    <w:semiHidden/>
    <w:rsid w:val="00AB08F8"/>
    <w:rPr>
      <w:rFonts w:ascii="Times New Roman" w:eastAsia="Times New Roman" w:hAnsi="Times New Roman"/>
      <w:sz w:val="20"/>
      <w:szCs w:val="20"/>
    </w:rPr>
  </w:style>
  <w:style w:type="paragraph" w:customStyle="1" w:styleId="CoSigners">
    <w:name w:val="CoSigners"/>
    <w:basedOn w:val="Normal"/>
    <w:rsid w:val="00AB08F8"/>
    <w:pPr>
      <w:tabs>
        <w:tab w:val="left" w:pos="5760"/>
      </w:tabs>
      <w:spacing w:line="240" w:lineRule="auto"/>
    </w:pPr>
  </w:style>
  <w:style w:type="paragraph" w:customStyle="1" w:styleId="CourierNormal">
    <w:name w:val="CourierNormal"/>
    <w:basedOn w:val="Normal"/>
    <w:rsid w:val="00AB08F8"/>
  </w:style>
  <w:style w:type="paragraph" w:customStyle="1" w:styleId="DateNameAttySec">
    <w:name w:val="Date/Name/Atty/Sec"/>
    <w:basedOn w:val="Normal"/>
    <w:rsid w:val="00AB08F8"/>
    <w:pPr>
      <w:spacing w:line="240" w:lineRule="auto"/>
      <w:ind w:left="5760" w:hanging="360"/>
    </w:pPr>
  </w:style>
  <w:style w:type="paragraph" w:styleId="DocumentMap">
    <w:name w:val="Document Map"/>
    <w:basedOn w:val="Normal"/>
    <w:link w:val="DocumentMapChar"/>
    <w:semiHidden/>
    <w:rsid w:val="00AB08F8"/>
    <w:pPr>
      <w:shd w:val="clear" w:color="auto" w:fill="000080"/>
    </w:pPr>
    <w:rPr>
      <w:rFonts w:ascii="Tahoma" w:hAnsi="Tahoma"/>
    </w:rPr>
  </w:style>
  <w:style w:type="character" w:customStyle="1" w:styleId="DocumentMapChar">
    <w:name w:val="Document Map Char"/>
    <w:basedOn w:val="DefaultParagraphFont"/>
    <w:link w:val="DocumentMap"/>
    <w:semiHidden/>
    <w:rsid w:val="00AB08F8"/>
    <w:rPr>
      <w:rFonts w:ascii="Tahoma" w:eastAsia="Times New Roman" w:hAnsi="Tahoma"/>
      <w:szCs w:val="20"/>
      <w:shd w:val="clear" w:color="auto" w:fill="000080"/>
    </w:rPr>
  </w:style>
  <w:style w:type="paragraph" w:customStyle="1" w:styleId="Enclosure">
    <w:name w:val="Enclosure"/>
    <w:basedOn w:val="BodyText"/>
    <w:next w:val="Normal"/>
    <w:rsid w:val="00AB08F8"/>
    <w:pPr>
      <w:keepLines/>
      <w:spacing w:after="160" w:line="240" w:lineRule="auto"/>
    </w:pPr>
    <w:rPr>
      <w:rFonts w:ascii="Garamond" w:hAnsi="Garamond"/>
      <w:sz w:val="24"/>
    </w:rPr>
  </w:style>
  <w:style w:type="paragraph" w:customStyle="1" w:styleId="IndentedQuote0">
    <w:name w:val="Indented Quote"/>
    <w:basedOn w:val="Normal"/>
    <w:rsid w:val="00AB08F8"/>
    <w:pPr>
      <w:spacing w:before="240" w:line="240" w:lineRule="auto"/>
      <w:ind w:left="720" w:right="720"/>
    </w:pPr>
  </w:style>
  <w:style w:type="paragraph" w:customStyle="1" w:styleId="InsideAddress">
    <w:name w:val="InsideAddress"/>
    <w:basedOn w:val="Normal"/>
    <w:rsid w:val="00AB08F8"/>
    <w:pPr>
      <w:spacing w:before="360"/>
    </w:pPr>
    <w:rPr>
      <w:sz w:val="24"/>
    </w:rPr>
  </w:style>
  <w:style w:type="paragraph" w:styleId="List3">
    <w:name w:val="List 3"/>
    <w:basedOn w:val="Normal"/>
    <w:rsid w:val="00AB08F8"/>
    <w:pPr>
      <w:spacing w:line="240" w:lineRule="atLeast"/>
      <w:ind w:left="1080" w:hanging="360"/>
    </w:pPr>
  </w:style>
  <w:style w:type="paragraph" w:styleId="ListNumber3">
    <w:name w:val="List Number 3"/>
    <w:basedOn w:val="Normal"/>
    <w:rsid w:val="00AB08F8"/>
    <w:pPr>
      <w:numPr>
        <w:numId w:val="1"/>
      </w:numPr>
      <w:spacing w:line="240" w:lineRule="atLeast"/>
    </w:pPr>
  </w:style>
  <w:style w:type="paragraph" w:styleId="PlainText">
    <w:name w:val="Plain Text"/>
    <w:basedOn w:val="Normal"/>
    <w:link w:val="PlainTextChar"/>
    <w:rsid w:val="00AB08F8"/>
    <w:pPr>
      <w:spacing w:line="240" w:lineRule="atLeast"/>
    </w:pPr>
    <w:rPr>
      <w:rFonts w:ascii="Arial" w:hAnsi="Arial"/>
      <w:sz w:val="20"/>
    </w:rPr>
  </w:style>
  <w:style w:type="character" w:customStyle="1" w:styleId="PlainTextChar">
    <w:name w:val="Plain Text Char"/>
    <w:basedOn w:val="DefaultParagraphFont"/>
    <w:link w:val="PlainText"/>
    <w:rsid w:val="00AB08F8"/>
    <w:rPr>
      <w:rFonts w:ascii="Arial" w:eastAsia="Times New Roman" w:hAnsi="Arial"/>
      <w:sz w:val="20"/>
      <w:szCs w:val="20"/>
    </w:rPr>
  </w:style>
  <w:style w:type="paragraph" w:customStyle="1" w:styleId="Separator">
    <w:name w:val="Separator"/>
    <w:basedOn w:val="Normal"/>
    <w:rsid w:val="00AB08F8"/>
    <w:pPr>
      <w:spacing w:line="240" w:lineRule="atLeast"/>
    </w:pPr>
    <w:rPr>
      <w:sz w:val="24"/>
    </w:rPr>
  </w:style>
  <w:style w:type="paragraph" w:customStyle="1" w:styleId="Sidehead">
    <w:name w:val="Sidehead"/>
    <w:basedOn w:val="Normal"/>
    <w:rsid w:val="00AB08F8"/>
    <w:pPr>
      <w:keepNext/>
    </w:pPr>
    <w:rPr>
      <w:b/>
      <w:smallCaps/>
    </w:rPr>
  </w:style>
  <w:style w:type="paragraph" w:styleId="Signature">
    <w:name w:val="Signature"/>
    <w:basedOn w:val="Normal"/>
    <w:link w:val="SignatureChar"/>
    <w:rsid w:val="00AB08F8"/>
    <w:pPr>
      <w:ind w:left="4320"/>
    </w:pPr>
  </w:style>
  <w:style w:type="character" w:customStyle="1" w:styleId="SignatureChar">
    <w:name w:val="Signature Char"/>
    <w:basedOn w:val="DefaultParagraphFont"/>
    <w:link w:val="Signature"/>
    <w:rsid w:val="00AB08F8"/>
    <w:rPr>
      <w:rFonts w:ascii="Times New Roman" w:eastAsia="Times New Roman" w:hAnsi="Times New Roman"/>
      <w:szCs w:val="20"/>
    </w:rPr>
  </w:style>
  <w:style w:type="paragraph" w:customStyle="1" w:styleId="SignatureName">
    <w:name w:val="Signature Name"/>
    <w:basedOn w:val="Signature"/>
    <w:next w:val="Normal"/>
    <w:rsid w:val="00AB08F8"/>
  </w:style>
  <w:style w:type="paragraph" w:customStyle="1" w:styleId="ToJustices">
    <w:name w:val="ToJustices"/>
    <w:basedOn w:val="Normal"/>
    <w:rsid w:val="00AB08F8"/>
    <w:pPr>
      <w:tabs>
        <w:tab w:val="left" w:pos="5400"/>
      </w:tabs>
      <w:spacing w:line="240" w:lineRule="auto"/>
    </w:pPr>
  </w:style>
  <w:style w:type="paragraph" w:styleId="BalloonText">
    <w:name w:val="Balloon Text"/>
    <w:basedOn w:val="Normal"/>
    <w:link w:val="BalloonTextChar"/>
    <w:uiPriority w:val="99"/>
    <w:semiHidden/>
    <w:unhideWhenUsed/>
    <w:rsid w:val="00FD63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26"/>
    <w:rPr>
      <w:rFonts w:ascii="Segoe UI" w:hAnsi="Segoe UI" w:cs="Segoe UI"/>
      <w:sz w:val="18"/>
      <w:szCs w:val="18"/>
    </w:rPr>
  </w:style>
  <w:style w:type="character" w:styleId="CommentReference">
    <w:name w:val="annotation reference"/>
    <w:basedOn w:val="DefaultParagraphFont"/>
    <w:uiPriority w:val="99"/>
    <w:semiHidden/>
    <w:unhideWhenUsed/>
    <w:rsid w:val="00FD6326"/>
    <w:rPr>
      <w:sz w:val="16"/>
      <w:szCs w:val="16"/>
    </w:rPr>
  </w:style>
  <w:style w:type="paragraph" w:styleId="CommentSubject">
    <w:name w:val="annotation subject"/>
    <w:basedOn w:val="CommentText"/>
    <w:next w:val="CommentText"/>
    <w:link w:val="CommentSubjectChar"/>
    <w:uiPriority w:val="99"/>
    <w:semiHidden/>
    <w:unhideWhenUsed/>
    <w:rsid w:val="00FD6326"/>
    <w:pPr>
      <w:spacing w:line="240" w:lineRule="auto"/>
    </w:pPr>
    <w:rPr>
      <w:b/>
      <w:bCs/>
    </w:rPr>
  </w:style>
  <w:style w:type="character" w:customStyle="1" w:styleId="CommentSubjectChar">
    <w:name w:val="Comment Subject Char"/>
    <w:basedOn w:val="CommentTextChar"/>
    <w:link w:val="CommentSubject"/>
    <w:uiPriority w:val="99"/>
    <w:semiHidden/>
    <w:rsid w:val="00FD6326"/>
    <w:rPr>
      <w:rFonts w:ascii="Times New Roman" w:eastAsia="Times New Roman" w:hAnsi="Times New Roman"/>
      <w:b/>
      <w:bCs/>
      <w:sz w:val="20"/>
      <w:szCs w:val="20"/>
    </w:rPr>
  </w:style>
  <w:style w:type="paragraph" w:styleId="Revision">
    <w:name w:val="Revision"/>
    <w:hidden/>
    <w:uiPriority w:val="99"/>
    <w:semiHidden/>
    <w:rsid w:val="00FD6326"/>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B4DB-44D1-4393-8D1C-43FBD8B8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5690</Words>
  <Characters>29345</Characters>
  <Application>Microsoft Office Word</Application>
  <DocSecurity>0</DocSecurity>
  <Lines>517</Lines>
  <Paragraphs>139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2021-11-15T23:43:00Z</dcterms:created>
  <dcterms:modified xsi:type="dcterms:W3CDTF">2021-11-15T23:43:00Z</dcterms:modified>
  <cp:category/>
</cp:coreProperties>
</file>