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3D953" w14:textId="22D9CE94" w:rsidR="00A84B93" w:rsidRPr="006437D2" w:rsidRDefault="00C235F7" w:rsidP="00F45DED">
      <w:pPr>
        <w:jc w:val="center"/>
        <w:rPr>
          <w:sz w:val="20"/>
        </w:rPr>
      </w:pPr>
      <w:r w:rsidRPr="006437D2">
        <w:rPr>
          <w:sz w:val="20"/>
        </w:rPr>
        <w:t>Filed 3</w:t>
      </w:r>
      <w:r w:rsidR="006437D2" w:rsidRPr="006437D2">
        <w:rPr>
          <w:sz w:val="20"/>
        </w:rPr>
        <w:t>/</w:t>
      </w:r>
      <w:r w:rsidRPr="006437D2">
        <w:rPr>
          <w:sz w:val="20"/>
        </w:rPr>
        <w:t>9</w:t>
      </w:r>
      <w:r w:rsidR="006437D2" w:rsidRPr="006437D2">
        <w:rPr>
          <w:sz w:val="20"/>
        </w:rPr>
        <w:t>/</w:t>
      </w:r>
      <w:r w:rsidRPr="006437D2">
        <w:rPr>
          <w:sz w:val="20"/>
        </w:rPr>
        <w:t>22</w:t>
      </w:r>
      <w:bookmarkStart w:id="0" w:name="_Hlk91684443"/>
      <w:r w:rsidR="00F45DED" w:rsidRPr="00640187">
        <w:rPr>
          <w:sz w:val="20"/>
        </w:rPr>
        <w:t>; REVIEW GRANTED.  See Cal. Rules of Court, rules 8.1105 and 8.1115 (and corresponding Comment, par. 2, concerning rule 8.1115(e)(3)).</w:t>
      </w:r>
      <w:bookmarkEnd w:id="0"/>
    </w:p>
    <w:p w14:paraId="65AD4187" w14:textId="77777777" w:rsidR="00773354" w:rsidRDefault="00773354" w:rsidP="00A84B93"/>
    <w:p w14:paraId="7686ECF5" w14:textId="3CE07E03" w:rsidR="00A84B93" w:rsidRDefault="00A84B93" w:rsidP="00A84B93"/>
    <w:p w14:paraId="0B4F055F" w14:textId="77777777" w:rsidR="00773354" w:rsidRDefault="00773354" w:rsidP="00A84B93"/>
    <w:p w14:paraId="773ED2FC" w14:textId="77777777" w:rsidR="00773354" w:rsidRDefault="00C235F7" w:rsidP="00773354">
      <w:pPr>
        <w:jc w:val="center"/>
      </w:pPr>
      <w:r>
        <w:rPr>
          <w:b/>
        </w:rPr>
        <w:t>CERTIFIED FOR PUBLICATION</w:t>
      </w:r>
    </w:p>
    <w:p w14:paraId="4030F912" w14:textId="77777777" w:rsidR="00773354" w:rsidRDefault="00773354" w:rsidP="00773354">
      <w:pPr>
        <w:jc w:val="center"/>
      </w:pPr>
    </w:p>
    <w:p w14:paraId="31CFF431" w14:textId="77777777" w:rsidR="00773354" w:rsidRDefault="00C235F7" w:rsidP="00773354">
      <w:pPr>
        <w:jc w:val="center"/>
      </w:pPr>
      <w:r>
        <w:t>IN THE COURT OF APPEAL OF THE STATE OF CALIFORNIA</w:t>
      </w:r>
    </w:p>
    <w:p w14:paraId="11D7CEAD" w14:textId="77777777" w:rsidR="00773354" w:rsidRDefault="00773354" w:rsidP="00773354">
      <w:pPr>
        <w:jc w:val="center"/>
      </w:pPr>
    </w:p>
    <w:p w14:paraId="1F207248" w14:textId="77777777" w:rsidR="00773354" w:rsidRDefault="00C235F7" w:rsidP="00773354">
      <w:pPr>
        <w:jc w:val="center"/>
      </w:pPr>
      <w:r>
        <w:t>FOURTH APPELLATE DISTRICT</w:t>
      </w:r>
    </w:p>
    <w:p w14:paraId="3ACCE6CF" w14:textId="77777777" w:rsidR="00773354" w:rsidRDefault="00773354" w:rsidP="00773354">
      <w:pPr>
        <w:jc w:val="center"/>
      </w:pPr>
    </w:p>
    <w:p w14:paraId="61BF64F2" w14:textId="77777777" w:rsidR="00773354" w:rsidRDefault="00C235F7" w:rsidP="00773354">
      <w:pPr>
        <w:jc w:val="center"/>
      </w:pPr>
      <w:r>
        <w:t>DIVISION THREE</w:t>
      </w:r>
    </w:p>
    <w:p w14:paraId="06907847" w14:textId="77777777" w:rsidR="00773354" w:rsidRDefault="00773354" w:rsidP="00773354">
      <w:pPr>
        <w:jc w:val="center"/>
      </w:pPr>
    </w:p>
    <w:p w14:paraId="24711534" w14:textId="77777777" w:rsidR="00A84B93" w:rsidRDefault="00A84B93" w:rsidP="00A84B93">
      <w:pPr>
        <w:jc w:val="center"/>
      </w:pPr>
    </w:p>
    <w:p w14:paraId="21472164" w14:textId="77777777" w:rsidR="00A84B93" w:rsidRDefault="00A84B93" w:rsidP="00A84B93">
      <w:pPr>
        <w:jc w:val="center"/>
      </w:pPr>
    </w:p>
    <w:tbl>
      <w:tblPr>
        <w:tblW w:w="0" w:type="auto"/>
        <w:tblLayout w:type="fixed"/>
        <w:tblLook w:val="0000" w:firstRow="0" w:lastRow="0" w:firstColumn="0" w:lastColumn="0" w:noHBand="0" w:noVBand="0"/>
      </w:tblPr>
      <w:tblGrid>
        <w:gridCol w:w="4788"/>
        <w:gridCol w:w="4788"/>
      </w:tblGrid>
      <w:tr w:rsidR="00CD13D1" w14:paraId="78613FD0" w14:textId="77777777" w:rsidTr="00A84B93">
        <w:tc>
          <w:tcPr>
            <w:tcW w:w="4788" w:type="dxa"/>
            <w:tcBorders>
              <w:bottom w:val="single" w:sz="4" w:space="0" w:color="auto"/>
              <w:right w:val="single" w:sz="4" w:space="0" w:color="auto"/>
            </w:tcBorders>
            <w:shd w:val="clear" w:color="auto" w:fill="auto"/>
          </w:tcPr>
          <w:p w14:paraId="40D8C754" w14:textId="77777777" w:rsidR="00A84B93" w:rsidRDefault="00C235F7" w:rsidP="00A84B93">
            <w:r>
              <w:t>THE PEOPLE,</w:t>
            </w:r>
          </w:p>
          <w:p w14:paraId="5763BEBA" w14:textId="77777777" w:rsidR="00A84B93" w:rsidRDefault="00A84B93" w:rsidP="00A84B93"/>
          <w:p w14:paraId="2898BDEA" w14:textId="77777777" w:rsidR="00A84B93" w:rsidRDefault="00C235F7" w:rsidP="00A84B93">
            <w:r>
              <w:t xml:space="preserve">      Plaintiff and Respondent,</w:t>
            </w:r>
          </w:p>
          <w:p w14:paraId="06BA7368" w14:textId="77777777" w:rsidR="00A84B93" w:rsidRDefault="00A84B93" w:rsidP="00A84B93"/>
          <w:p w14:paraId="39EA1581" w14:textId="77777777" w:rsidR="00A84B93" w:rsidRDefault="00C235F7" w:rsidP="00A84B93">
            <w:r>
              <w:tab/>
              <w:t>v.</w:t>
            </w:r>
          </w:p>
          <w:p w14:paraId="6447BC98" w14:textId="77777777" w:rsidR="00A84B93" w:rsidRDefault="00A84B93" w:rsidP="00A84B93"/>
          <w:p w14:paraId="2F1AFF0B" w14:textId="77777777" w:rsidR="00A84B93" w:rsidRDefault="00C235F7" w:rsidP="00A84B93">
            <w:r>
              <w:t>HECTOR GENARO PACHECO,</w:t>
            </w:r>
          </w:p>
          <w:p w14:paraId="39B70B15" w14:textId="77777777" w:rsidR="00A84B93" w:rsidRDefault="00A84B93" w:rsidP="00A84B93"/>
          <w:p w14:paraId="3E310669" w14:textId="77777777" w:rsidR="00A84B93" w:rsidRDefault="00C235F7" w:rsidP="00A84B93">
            <w:r>
              <w:t xml:space="preserve">      Defendant and Appellant.</w:t>
            </w:r>
          </w:p>
          <w:p w14:paraId="79CFC58E" w14:textId="77777777" w:rsidR="00A84B93" w:rsidRDefault="00A84B93" w:rsidP="00A84B93"/>
        </w:tc>
        <w:tc>
          <w:tcPr>
            <w:tcW w:w="4788" w:type="dxa"/>
            <w:tcBorders>
              <w:left w:val="single" w:sz="4" w:space="0" w:color="auto"/>
            </w:tcBorders>
            <w:shd w:val="clear" w:color="auto" w:fill="auto"/>
          </w:tcPr>
          <w:p w14:paraId="32DAC981" w14:textId="77777777" w:rsidR="00A84B93" w:rsidRDefault="00A84B93" w:rsidP="00A84B93"/>
          <w:p w14:paraId="0E712984" w14:textId="77777777" w:rsidR="00A84B93" w:rsidRDefault="00A84B93" w:rsidP="00A84B93"/>
          <w:p w14:paraId="265263A7" w14:textId="77777777" w:rsidR="00A84B93" w:rsidRDefault="00C235F7" w:rsidP="00A84B93">
            <w:r>
              <w:t xml:space="preserve">         G059940</w:t>
            </w:r>
          </w:p>
          <w:p w14:paraId="41C5C812" w14:textId="77777777" w:rsidR="00A84B93" w:rsidRDefault="00A84B93" w:rsidP="00A84B93"/>
          <w:p w14:paraId="5B99428A" w14:textId="77777777" w:rsidR="00A84B93" w:rsidRDefault="00C235F7" w:rsidP="00A84B93">
            <w:r>
              <w:t xml:space="preserve">         (Super. Ct. No. 08WF0147)</w:t>
            </w:r>
          </w:p>
          <w:p w14:paraId="219A8678" w14:textId="77777777" w:rsidR="00A84B93" w:rsidRDefault="00A84B93" w:rsidP="00A84B93"/>
          <w:p w14:paraId="4025775F" w14:textId="77777777" w:rsidR="00A84B93" w:rsidRDefault="00C235F7" w:rsidP="00A84B93">
            <w:r>
              <w:t xml:space="preserve">         O P I N I O N</w:t>
            </w:r>
          </w:p>
        </w:tc>
      </w:tr>
    </w:tbl>
    <w:p w14:paraId="45DA19A1" w14:textId="77777777" w:rsidR="00A84B93" w:rsidRDefault="00A84B93" w:rsidP="00A84B93">
      <w:pPr>
        <w:tabs>
          <w:tab w:val="left" w:pos="1440"/>
          <w:tab w:val="left" w:pos="2880"/>
          <w:tab w:val="left" w:pos="4320"/>
          <w:tab w:val="left" w:pos="5760"/>
          <w:tab w:val="left" w:pos="7200"/>
          <w:tab w:val="left" w:pos="8640"/>
        </w:tabs>
        <w:spacing w:line="480" w:lineRule="atLeast"/>
      </w:pPr>
    </w:p>
    <w:p w14:paraId="5B16141F" w14:textId="7E691154" w:rsidR="00A84B93" w:rsidRDefault="00C235F7" w:rsidP="00A84B93">
      <w:pPr>
        <w:tabs>
          <w:tab w:val="left" w:pos="1440"/>
          <w:tab w:val="left" w:pos="2880"/>
          <w:tab w:val="left" w:pos="4320"/>
          <w:tab w:val="left" w:pos="5760"/>
          <w:tab w:val="left" w:pos="7200"/>
          <w:tab w:val="left" w:pos="8640"/>
        </w:tabs>
        <w:spacing w:line="480" w:lineRule="atLeast"/>
      </w:pPr>
      <w:r>
        <w:tab/>
      </w:r>
      <w:r>
        <w:t xml:space="preserve">Appeal from an order of the Superior Court of Orange County, Michael A. Leversen, Judge.  </w:t>
      </w:r>
      <w:r w:rsidR="00F32CAB">
        <w:t xml:space="preserve">Reversed and remanded with </w:t>
      </w:r>
      <w:r w:rsidR="008A4C56">
        <w:t>directions</w:t>
      </w:r>
      <w:r>
        <w:t>.</w:t>
      </w:r>
    </w:p>
    <w:p w14:paraId="790ED2E8" w14:textId="77777777" w:rsidR="00A84B93" w:rsidRDefault="00C235F7" w:rsidP="00A84B93">
      <w:pPr>
        <w:tabs>
          <w:tab w:val="left" w:pos="1440"/>
          <w:tab w:val="left" w:pos="2880"/>
          <w:tab w:val="left" w:pos="4320"/>
          <w:tab w:val="left" w:pos="5760"/>
          <w:tab w:val="left" w:pos="7200"/>
          <w:tab w:val="left" w:pos="8640"/>
        </w:tabs>
        <w:spacing w:line="480" w:lineRule="atLeast"/>
      </w:pPr>
      <w:r>
        <w:tab/>
        <w:t>Susan L. Jordan, under appointment by the Court of Appeal, for Defendant and Appellant.</w:t>
      </w:r>
    </w:p>
    <w:p w14:paraId="48BE12D4" w14:textId="60BD3E20" w:rsidR="00A84B93" w:rsidRDefault="00C235F7" w:rsidP="00A84B93">
      <w:pPr>
        <w:tabs>
          <w:tab w:val="left" w:pos="1440"/>
          <w:tab w:val="left" w:pos="2880"/>
          <w:tab w:val="left" w:pos="4320"/>
          <w:tab w:val="left" w:pos="5760"/>
          <w:tab w:val="left" w:pos="7200"/>
          <w:tab w:val="left" w:pos="8640"/>
        </w:tabs>
        <w:spacing w:line="480" w:lineRule="atLeast"/>
      </w:pPr>
      <w:r>
        <w:tab/>
        <w:t>Rob Bonta, Attorney General, Lance E.</w:t>
      </w:r>
      <w:r>
        <w:t xml:space="preserve"> Winters, Chief Assistant Attorney General, Julie L. Garland, Assistant Attorney General, Arlene A. Sevidal, Lynne G. McGinnis and Susan Elizabeth Miller, Deputy Attorneys General, for Plaintiff and Respondent.</w:t>
      </w:r>
    </w:p>
    <w:p w14:paraId="09C71130" w14:textId="59C11E9F" w:rsidR="00A84B93" w:rsidRDefault="00C235F7" w:rsidP="00F90490">
      <w:pPr>
        <w:tabs>
          <w:tab w:val="left" w:pos="1440"/>
          <w:tab w:val="left" w:leader="underscore" w:pos="5040"/>
        </w:tabs>
        <w:spacing w:line="480" w:lineRule="atLeast"/>
        <w:jc w:val="center"/>
      </w:pPr>
      <w:r>
        <w:t>*                *                *</w:t>
      </w:r>
    </w:p>
    <w:p w14:paraId="60C0AF19" w14:textId="5B0A3D27" w:rsidR="00F90490" w:rsidRDefault="00C235F7">
      <w:r>
        <w:br w:type="page"/>
      </w:r>
    </w:p>
    <w:p w14:paraId="11E5B4E5" w14:textId="0F9B39DA" w:rsidR="001774B9" w:rsidRDefault="00C235F7" w:rsidP="00FC7FD6">
      <w:pPr>
        <w:widowControl w:val="0"/>
        <w:tabs>
          <w:tab w:val="left" w:pos="1440"/>
          <w:tab w:val="left" w:leader="underscore" w:pos="5040"/>
        </w:tabs>
        <w:spacing w:line="480" w:lineRule="atLeast"/>
      </w:pPr>
      <w:r>
        <w:lastRenderedPageBreak/>
        <w:tab/>
      </w:r>
      <w:r w:rsidR="00D45CBB">
        <w:t xml:space="preserve">In </w:t>
      </w:r>
      <w:r w:rsidR="00656A65">
        <w:t>2008, d</w:t>
      </w:r>
      <w:r>
        <w:t xml:space="preserve">efendant Hector Genaro Pacheco </w:t>
      </w:r>
      <w:r w:rsidR="00311293">
        <w:t xml:space="preserve">and </w:t>
      </w:r>
      <w:r w:rsidR="00110478">
        <w:t xml:space="preserve">other gang members </w:t>
      </w:r>
      <w:r w:rsidR="00311293">
        <w:t xml:space="preserve">jumped </w:t>
      </w:r>
      <w:r w:rsidR="00675458">
        <w:t>two people</w:t>
      </w:r>
      <w:r w:rsidR="00D1628C">
        <w:t>.  O</w:t>
      </w:r>
      <w:r w:rsidR="00656A65">
        <w:t xml:space="preserve">ne victim </w:t>
      </w:r>
      <w:r w:rsidR="009C5CE1">
        <w:t>died</w:t>
      </w:r>
      <w:r w:rsidR="00F330F8">
        <w:t>, the other survived</w:t>
      </w:r>
      <w:r w:rsidR="00656A65">
        <w:t xml:space="preserve">.  </w:t>
      </w:r>
      <w:r>
        <w:t xml:space="preserve">A jury found Pacheco guilty of </w:t>
      </w:r>
      <w:r w:rsidR="008C314E">
        <w:t xml:space="preserve">first degree </w:t>
      </w:r>
      <w:r>
        <w:t>murder</w:t>
      </w:r>
      <w:r w:rsidR="002003A5">
        <w:t xml:space="preserve"> as an aider and abettor</w:t>
      </w:r>
      <w:r>
        <w:t xml:space="preserve">, attempted murder, </w:t>
      </w:r>
      <w:r w:rsidR="00102073">
        <w:t xml:space="preserve">and </w:t>
      </w:r>
      <w:r w:rsidR="00A13206">
        <w:t>gang participation</w:t>
      </w:r>
      <w:r w:rsidR="00102073">
        <w:t xml:space="preserve">.  The jury also found true </w:t>
      </w:r>
      <w:r>
        <w:t>a gang special circum</w:t>
      </w:r>
      <w:r w:rsidR="00893F4E">
        <w:t>stance</w:t>
      </w:r>
      <w:r w:rsidR="002003A5">
        <w:t xml:space="preserve"> sentencing enhancement</w:t>
      </w:r>
      <w:r w:rsidR="00CF29FC">
        <w:t>.</w:t>
      </w:r>
    </w:p>
    <w:p w14:paraId="7456DDD1" w14:textId="54460A53" w:rsidR="00110478" w:rsidRDefault="00C235F7" w:rsidP="00FC7FD6">
      <w:pPr>
        <w:widowControl w:val="0"/>
        <w:tabs>
          <w:tab w:val="left" w:pos="1440"/>
          <w:tab w:val="left" w:leader="underscore" w:pos="5040"/>
        </w:tabs>
        <w:spacing w:line="480" w:lineRule="atLeast"/>
      </w:pPr>
      <w:r>
        <w:tab/>
      </w:r>
      <w:r w:rsidR="00F330F8">
        <w:t xml:space="preserve">In 2019, </w:t>
      </w:r>
      <w:r>
        <w:t xml:space="preserve">Pacheco filed </w:t>
      </w:r>
      <w:r w:rsidR="00205700">
        <w:t xml:space="preserve">a </w:t>
      </w:r>
      <w:r w:rsidR="0036477F">
        <w:t xml:space="preserve">Penal Code </w:t>
      </w:r>
      <w:r w:rsidR="006572D5">
        <w:t xml:space="preserve">section 1170.95 </w:t>
      </w:r>
      <w:r>
        <w:t>petition seeking to vacate his murder conviction</w:t>
      </w:r>
      <w:r w:rsidR="00D45CBB">
        <w:t>.</w:t>
      </w:r>
      <w:r>
        <w:rPr>
          <w:rStyle w:val="FootnoteReference"/>
        </w:rPr>
        <w:footnoteReference w:id="1"/>
      </w:r>
      <w:r w:rsidR="006572D5">
        <w:t xml:space="preserve">  </w:t>
      </w:r>
      <w:r w:rsidR="00D45CBB">
        <w:t>T</w:t>
      </w:r>
      <w:r w:rsidR="000C726B">
        <w:t xml:space="preserve">he </w:t>
      </w:r>
      <w:r w:rsidR="00675458">
        <w:t xml:space="preserve">trial </w:t>
      </w:r>
      <w:r w:rsidR="000C726B">
        <w:t xml:space="preserve">court </w:t>
      </w:r>
      <w:r w:rsidR="00441C94">
        <w:t xml:space="preserve">denied </w:t>
      </w:r>
      <w:r w:rsidR="00742988">
        <w:t xml:space="preserve">the </w:t>
      </w:r>
      <w:r w:rsidR="00441C94">
        <w:t>petition</w:t>
      </w:r>
      <w:r w:rsidR="00285E87">
        <w:t xml:space="preserve"> at the prima facie stage</w:t>
      </w:r>
      <w:r w:rsidR="00E606B6">
        <w:t>.</w:t>
      </w:r>
    </w:p>
    <w:p w14:paraId="617484B7" w14:textId="52AA1EE7" w:rsidR="009C1B2E" w:rsidRPr="00833888" w:rsidRDefault="00C235F7" w:rsidP="00FC7FD6">
      <w:pPr>
        <w:widowControl w:val="0"/>
        <w:tabs>
          <w:tab w:val="left" w:pos="1440"/>
          <w:tab w:val="left" w:leader="underscore" w:pos="5040"/>
        </w:tabs>
        <w:spacing w:line="480" w:lineRule="atLeast"/>
      </w:pPr>
      <w:r>
        <w:tab/>
      </w:r>
      <w:r w:rsidRPr="00833888">
        <w:t>On appeal, t</w:t>
      </w:r>
      <w:r w:rsidR="00AA358B" w:rsidRPr="00833888">
        <w:t xml:space="preserve">he Attorney General argues the jury’s true finding on the gang special circumstance instruction </w:t>
      </w:r>
      <w:r w:rsidRPr="00833888">
        <w:t xml:space="preserve">causes </w:t>
      </w:r>
      <w:r w:rsidR="00AA358B" w:rsidRPr="00833888">
        <w:t>P</w:t>
      </w:r>
      <w:r w:rsidR="00B903FC" w:rsidRPr="00833888">
        <w:t xml:space="preserve">acheco </w:t>
      </w:r>
      <w:r w:rsidRPr="00833888">
        <w:t xml:space="preserve">to be </w:t>
      </w:r>
      <w:r w:rsidR="00AA358B" w:rsidRPr="00833888">
        <w:t xml:space="preserve">ineligible for relief under section 1170.95 as a matter of law.  </w:t>
      </w:r>
      <w:r w:rsidRPr="00833888">
        <w:t>We disagree.</w:t>
      </w:r>
    </w:p>
    <w:p w14:paraId="5EFBE976" w14:textId="30B7C401" w:rsidR="001A2C6C" w:rsidRDefault="00C235F7" w:rsidP="00FC7FD6">
      <w:pPr>
        <w:widowControl w:val="0"/>
        <w:tabs>
          <w:tab w:val="left" w:pos="1440"/>
          <w:tab w:val="left" w:leader="underscore" w:pos="5040"/>
        </w:tabs>
        <w:spacing w:line="480" w:lineRule="atLeast"/>
      </w:pPr>
      <w:r w:rsidRPr="00833888">
        <w:tab/>
        <w:t>T</w:t>
      </w:r>
      <w:r w:rsidR="00661440" w:rsidRPr="00833888">
        <w:t xml:space="preserve">he </w:t>
      </w:r>
      <w:r w:rsidRPr="00833888">
        <w:t>trial court inst</w:t>
      </w:r>
      <w:r w:rsidRPr="00833888">
        <w:t xml:space="preserve">ructed the jury on the natural and probable consequences theory, which is no longer a valid theory of murder liability.  </w:t>
      </w:r>
      <w:r w:rsidR="0061290C">
        <w:t>While t</w:t>
      </w:r>
      <w:r>
        <w:t xml:space="preserve">he </w:t>
      </w:r>
      <w:r w:rsidR="00742988">
        <w:t xml:space="preserve">gang special circumstance </w:t>
      </w:r>
      <w:r w:rsidR="0036477F">
        <w:t>instruction</w:t>
      </w:r>
      <w:r>
        <w:t xml:space="preserve"> told the </w:t>
      </w:r>
      <w:r w:rsidR="00C7662C">
        <w:t xml:space="preserve">jurors </w:t>
      </w:r>
      <w:r>
        <w:t xml:space="preserve">they needed to find </w:t>
      </w:r>
      <w:r w:rsidR="00C7662C">
        <w:t>Pacheco ha</w:t>
      </w:r>
      <w:r w:rsidR="003273A5">
        <w:t xml:space="preserve">d </w:t>
      </w:r>
      <w:r w:rsidR="00820E39">
        <w:t>the requisite intent</w:t>
      </w:r>
      <w:r w:rsidR="00E42B8E">
        <w:t xml:space="preserve"> </w:t>
      </w:r>
      <w:r w:rsidR="0036477F">
        <w:t xml:space="preserve">to kill </w:t>
      </w:r>
      <w:r w:rsidR="00E42B8E">
        <w:t>(</w:t>
      </w:r>
      <w:r w:rsidR="00773354">
        <w:t xml:space="preserve">the </w:t>
      </w:r>
      <w:r w:rsidR="00E42B8E">
        <w:t>mens rea)</w:t>
      </w:r>
      <w:r w:rsidR="0061290C">
        <w:t xml:space="preserve">, the </w:t>
      </w:r>
      <w:r>
        <w:t xml:space="preserve">instruction </w:t>
      </w:r>
      <w:r w:rsidR="00FC7FD6">
        <w:t>d</w:t>
      </w:r>
      <w:r>
        <w:t xml:space="preserve">id not require the jurors to find </w:t>
      </w:r>
      <w:r w:rsidR="00426588">
        <w:t xml:space="preserve">that </w:t>
      </w:r>
      <w:r w:rsidR="00780A49">
        <w:t xml:space="preserve">Pacheco </w:t>
      </w:r>
      <w:r w:rsidR="009D1E11">
        <w:t xml:space="preserve">directly aided and abetted the target crime of murder </w:t>
      </w:r>
      <w:r w:rsidR="00E42B8E">
        <w:t>(</w:t>
      </w:r>
      <w:r w:rsidR="00773354">
        <w:t xml:space="preserve">the </w:t>
      </w:r>
      <w:r w:rsidR="00E42B8E">
        <w:t>actus reus)</w:t>
      </w:r>
      <w:r w:rsidR="00370264">
        <w:t xml:space="preserve">.  </w:t>
      </w:r>
      <w:r w:rsidR="00205700">
        <w:t>Th</w:t>
      </w:r>
      <w:r w:rsidR="0061290C">
        <w:t>erefore</w:t>
      </w:r>
      <w:r w:rsidR="00205700">
        <w:t xml:space="preserve">, </w:t>
      </w:r>
      <w:r w:rsidR="002003A5">
        <w:t>w</w:t>
      </w:r>
      <w:r w:rsidR="00B922A4">
        <w:t xml:space="preserve">ithout </w:t>
      </w:r>
      <w:r w:rsidR="0061290C">
        <w:t xml:space="preserve">weighing </w:t>
      </w:r>
      <w:r w:rsidR="008702F6">
        <w:t>the evidenc</w:t>
      </w:r>
      <w:r w:rsidR="0011378A">
        <w:t>e</w:t>
      </w:r>
      <w:r w:rsidR="008702F6">
        <w:t xml:space="preserve">, </w:t>
      </w:r>
      <w:r w:rsidR="00D1628C">
        <w:t xml:space="preserve">the </w:t>
      </w:r>
      <w:r w:rsidR="0061290C">
        <w:t xml:space="preserve">jury’s true finding on the gang special circumstance </w:t>
      </w:r>
      <w:r w:rsidR="000B409C">
        <w:t xml:space="preserve">does not </w:t>
      </w:r>
      <w:r w:rsidR="002E7A9F">
        <w:t xml:space="preserve">conclusively </w:t>
      </w:r>
      <w:r w:rsidR="00FC7FD6">
        <w:t xml:space="preserve">establish </w:t>
      </w:r>
      <w:r w:rsidR="00D1628C">
        <w:t xml:space="preserve">Pacheco </w:t>
      </w:r>
      <w:r>
        <w:t xml:space="preserve">could be found guilty of murder under current law (that </w:t>
      </w:r>
      <w:r w:rsidR="00644698">
        <w:t xml:space="preserve">he had the intent to kill, </w:t>
      </w:r>
      <w:r w:rsidR="00644698" w:rsidRPr="00644698">
        <w:rPr>
          <w:i/>
          <w:iCs/>
        </w:rPr>
        <w:t>and</w:t>
      </w:r>
      <w:r w:rsidR="00644698">
        <w:t xml:space="preserve"> </w:t>
      </w:r>
      <w:r>
        <w:t xml:space="preserve">he </w:t>
      </w:r>
      <w:r w:rsidR="009D1E11">
        <w:t xml:space="preserve">directly aided and abetted the </w:t>
      </w:r>
      <w:r w:rsidR="00FC7FD6">
        <w:t xml:space="preserve">target crime of </w:t>
      </w:r>
      <w:r w:rsidR="002003A5">
        <w:t>murder</w:t>
      </w:r>
      <w:r>
        <w:t>)</w:t>
      </w:r>
      <w:r w:rsidR="00D1628C">
        <w:t>.</w:t>
      </w:r>
    </w:p>
    <w:p w14:paraId="30BCD6E0" w14:textId="0F288EF7" w:rsidR="00D1628C" w:rsidRDefault="00C235F7" w:rsidP="00FC7FD6">
      <w:pPr>
        <w:widowControl w:val="0"/>
        <w:tabs>
          <w:tab w:val="left" w:pos="1440"/>
          <w:tab w:val="left" w:leader="underscore" w:pos="5040"/>
        </w:tabs>
        <w:spacing w:line="480" w:lineRule="atLeast"/>
      </w:pPr>
      <w:r>
        <w:tab/>
      </w:r>
      <w:r w:rsidR="00D21A77">
        <w:t xml:space="preserve">Thus, we reverse the </w:t>
      </w:r>
      <w:r w:rsidR="00CA38BD">
        <w:t xml:space="preserve">trial </w:t>
      </w:r>
      <w:r w:rsidR="00D21A77">
        <w:t>court</w:t>
      </w:r>
      <w:r w:rsidR="00886444">
        <w:t>’</w:t>
      </w:r>
      <w:r w:rsidR="00D21A77">
        <w:t xml:space="preserve">s </w:t>
      </w:r>
      <w:r w:rsidR="00CA38BD">
        <w:t xml:space="preserve">summary denial of </w:t>
      </w:r>
      <w:r w:rsidR="00D21A77">
        <w:t>Pacheco</w:t>
      </w:r>
      <w:r w:rsidR="00886444">
        <w:t>’</w:t>
      </w:r>
      <w:r w:rsidR="003273A5">
        <w:t xml:space="preserve">s section 1170.95 petition.  </w:t>
      </w:r>
      <w:r w:rsidR="00D4702B">
        <w:t>On remand, t</w:t>
      </w:r>
      <w:r w:rsidR="003273A5">
        <w:t xml:space="preserve">he court is </w:t>
      </w:r>
      <w:r w:rsidR="008A4C56">
        <w:t>directed</w:t>
      </w:r>
      <w:r w:rsidR="00D4702B">
        <w:t xml:space="preserve"> </w:t>
      </w:r>
      <w:r w:rsidR="003273A5">
        <w:t xml:space="preserve">to issue an order to show cause </w:t>
      </w:r>
      <w:r w:rsidR="00DA1E85">
        <w:t xml:space="preserve">(OSC) </w:t>
      </w:r>
      <w:r w:rsidR="003273A5">
        <w:t>and</w:t>
      </w:r>
      <w:r>
        <w:t xml:space="preserve"> </w:t>
      </w:r>
      <w:r w:rsidR="003273A5">
        <w:t>to conduct an evidentiary hearing</w:t>
      </w:r>
      <w:r w:rsidR="004B5B16">
        <w:t xml:space="preserve"> as to the murder charge</w:t>
      </w:r>
      <w:r w:rsidR="003273A5">
        <w:t>.</w:t>
      </w:r>
    </w:p>
    <w:p w14:paraId="68ED97C7" w14:textId="079139AD" w:rsidR="00742988" w:rsidRDefault="00C235F7" w:rsidP="00FC7FD6">
      <w:pPr>
        <w:widowControl w:val="0"/>
        <w:tabs>
          <w:tab w:val="left" w:pos="1440"/>
          <w:tab w:val="left" w:leader="underscore" w:pos="5040"/>
        </w:tabs>
        <w:spacing w:line="480" w:lineRule="atLeast"/>
      </w:pPr>
      <w:r>
        <w:tab/>
      </w:r>
      <w:r w:rsidR="00F330F8">
        <w:t xml:space="preserve">Effective January 1, 2022, </w:t>
      </w:r>
      <w:r w:rsidR="00165F62">
        <w:t xml:space="preserve">the Legislature </w:t>
      </w:r>
      <w:r w:rsidR="00EA7151">
        <w:t xml:space="preserve">included </w:t>
      </w:r>
      <w:r w:rsidR="00F330F8">
        <w:t xml:space="preserve">attempted murder </w:t>
      </w:r>
      <w:r w:rsidR="0061290C">
        <w:t xml:space="preserve">under </w:t>
      </w:r>
      <w:r w:rsidR="00F330F8">
        <w:t xml:space="preserve">section 1170.95.  </w:t>
      </w:r>
      <w:r w:rsidR="00906473" w:rsidRPr="005D4B5A">
        <w:t>(Sen. Bill No. 775 (2021-2022 Reg. Sess.); Stats</w:t>
      </w:r>
      <w:r w:rsidR="008A4C56">
        <w:t xml:space="preserve">. </w:t>
      </w:r>
      <w:r w:rsidR="00906473" w:rsidRPr="005D4B5A">
        <w:t xml:space="preserve">2021, ch. 551, § 2.)  </w:t>
      </w:r>
      <w:r w:rsidR="00F330F8">
        <w:t>Pacheco</w:t>
      </w:r>
      <w:r w:rsidR="002C3508">
        <w:t xml:space="preserve"> has</w:t>
      </w:r>
      <w:r w:rsidR="00426588">
        <w:t xml:space="preserve"> </w:t>
      </w:r>
      <w:r w:rsidR="002C3508">
        <w:t>informed th</w:t>
      </w:r>
      <w:r w:rsidR="0052339C">
        <w:t>is</w:t>
      </w:r>
      <w:r w:rsidR="002C3508">
        <w:t xml:space="preserve"> court he </w:t>
      </w:r>
      <w:r w:rsidR="00426588">
        <w:t xml:space="preserve">is filing a separate petition to </w:t>
      </w:r>
      <w:r w:rsidR="002C3508">
        <w:t xml:space="preserve">address his </w:t>
      </w:r>
      <w:r w:rsidR="00F330F8">
        <w:t xml:space="preserve">attempted murder </w:t>
      </w:r>
      <w:r w:rsidR="00165F62">
        <w:t>conviction</w:t>
      </w:r>
      <w:r w:rsidR="002C3508">
        <w:t xml:space="preserve">, so we will not be addressing </w:t>
      </w:r>
      <w:r w:rsidR="0061290C">
        <w:t xml:space="preserve">that </w:t>
      </w:r>
      <w:r w:rsidR="00426588">
        <w:t xml:space="preserve">conviction </w:t>
      </w:r>
      <w:r w:rsidR="002C3508">
        <w:t>in this appeal</w:t>
      </w:r>
      <w:r w:rsidR="00F330F8">
        <w:t>.</w:t>
      </w:r>
    </w:p>
    <w:p w14:paraId="3E2C4207" w14:textId="77777777" w:rsidR="00CF29FC" w:rsidRDefault="00C235F7" w:rsidP="00FC7FD6">
      <w:pPr>
        <w:widowControl w:val="0"/>
        <w:tabs>
          <w:tab w:val="left" w:pos="1440"/>
          <w:tab w:val="left" w:leader="underscore" w:pos="5040"/>
        </w:tabs>
        <w:spacing w:line="480" w:lineRule="atLeast"/>
        <w:jc w:val="center"/>
      </w:pPr>
      <w:r>
        <w:lastRenderedPageBreak/>
        <w:t>I</w:t>
      </w:r>
    </w:p>
    <w:p w14:paraId="52AE5596" w14:textId="50CC06C3" w:rsidR="00F503F9" w:rsidRDefault="00C235F7" w:rsidP="00FC7FD6">
      <w:pPr>
        <w:widowControl w:val="0"/>
        <w:tabs>
          <w:tab w:val="left" w:pos="1440"/>
          <w:tab w:val="left" w:leader="underscore" w:pos="5040"/>
        </w:tabs>
        <w:spacing w:line="480" w:lineRule="atLeast"/>
        <w:jc w:val="center"/>
      </w:pPr>
      <w:r>
        <w:t>FACTS AND PROCEDURAL BACKGROUND</w:t>
      </w:r>
    </w:p>
    <w:p w14:paraId="573CDBD6" w14:textId="3B193D86" w:rsidR="001774B9" w:rsidRDefault="00C235F7" w:rsidP="00FC7FD6">
      <w:pPr>
        <w:widowControl w:val="0"/>
        <w:tabs>
          <w:tab w:val="left" w:pos="1440"/>
          <w:tab w:val="left" w:leader="underscore" w:pos="5040"/>
        </w:tabs>
        <w:spacing w:line="480" w:lineRule="atLeast"/>
      </w:pPr>
      <w:r>
        <w:tab/>
      </w:r>
      <w:r w:rsidR="00F02F27">
        <w:t>In 2008,</w:t>
      </w:r>
      <w:r w:rsidR="004B5B16">
        <w:t xml:space="preserve"> </w:t>
      </w:r>
      <w:r w:rsidR="00F02F27">
        <w:t xml:space="preserve">Pacheco </w:t>
      </w:r>
      <w:r w:rsidR="00825163">
        <w:t xml:space="preserve">(then 14 years old) </w:t>
      </w:r>
      <w:r w:rsidR="00F02F27">
        <w:t xml:space="preserve">and </w:t>
      </w:r>
      <w:r w:rsidR="00E606B6">
        <w:t xml:space="preserve">his fellow </w:t>
      </w:r>
      <w:r w:rsidR="00F02F27">
        <w:t xml:space="preserve">gang members jumped two suspected rival gang members.  </w:t>
      </w:r>
      <w:r w:rsidR="00764446">
        <w:t>Abraham Sanchez</w:t>
      </w:r>
      <w:r w:rsidR="00825163">
        <w:t xml:space="preserve"> was shot and killed; </w:t>
      </w:r>
      <w:r w:rsidR="00E978F2">
        <w:t xml:space="preserve">the </w:t>
      </w:r>
      <w:r w:rsidR="00165F62">
        <w:t xml:space="preserve">other </w:t>
      </w:r>
      <w:r w:rsidR="00F02F27">
        <w:t>victim</w:t>
      </w:r>
      <w:r w:rsidR="00825163">
        <w:t xml:space="preserve"> was stabbed</w:t>
      </w:r>
      <w:r w:rsidR="00293E1C">
        <w:t xml:space="preserve"> and survived</w:t>
      </w:r>
      <w:r w:rsidR="00F02F27">
        <w:t>.</w:t>
      </w:r>
    </w:p>
    <w:p w14:paraId="0FC9E869" w14:textId="220ADB05" w:rsidR="00813FA8" w:rsidRDefault="00C235F7" w:rsidP="00FC7FD6">
      <w:pPr>
        <w:widowControl w:val="0"/>
        <w:tabs>
          <w:tab w:val="left" w:pos="1440"/>
          <w:tab w:val="left" w:leader="underscore" w:pos="5040"/>
        </w:tabs>
        <w:spacing w:line="480" w:lineRule="atLeast"/>
      </w:pPr>
      <w:r>
        <w:tab/>
        <w:t>In 2010, a jury convicted Pac</w:t>
      </w:r>
      <w:r>
        <w:t xml:space="preserve">heco </w:t>
      </w:r>
      <w:r w:rsidR="00A0350B">
        <w:t xml:space="preserve">and </w:t>
      </w:r>
      <w:r w:rsidR="00E505B4">
        <w:t xml:space="preserve">two </w:t>
      </w:r>
      <w:r w:rsidR="00226F38">
        <w:t>codefendant</w:t>
      </w:r>
      <w:r w:rsidR="00E505B4">
        <w:t>s</w:t>
      </w:r>
      <w:r w:rsidR="00226F38">
        <w:t xml:space="preserve"> o</w:t>
      </w:r>
      <w:r w:rsidR="00165F62">
        <w:t>f</w:t>
      </w:r>
      <w:r w:rsidR="00D4702B">
        <w:t xml:space="preserve"> </w:t>
      </w:r>
      <w:r w:rsidR="002D1128">
        <w:t>first degree</w:t>
      </w:r>
      <w:r w:rsidR="001C53AF">
        <w:t xml:space="preserve"> </w:t>
      </w:r>
      <w:r w:rsidR="00352675">
        <w:t xml:space="preserve">murder, </w:t>
      </w:r>
      <w:r w:rsidR="00DE1B63">
        <w:t xml:space="preserve">attempted murder, and </w:t>
      </w:r>
      <w:r w:rsidR="009A1864">
        <w:t xml:space="preserve">active </w:t>
      </w:r>
      <w:r w:rsidR="00DE1B63">
        <w:t xml:space="preserve">gang participation.  The jury found </w:t>
      </w:r>
      <w:r w:rsidR="00A0350B">
        <w:t xml:space="preserve">Pacheco </w:t>
      </w:r>
      <w:r w:rsidR="00DE1B63">
        <w:t xml:space="preserve">committed </w:t>
      </w:r>
      <w:r w:rsidR="00825163">
        <w:t xml:space="preserve">the </w:t>
      </w:r>
      <w:r w:rsidR="00A0350B">
        <w:t xml:space="preserve">murder and </w:t>
      </w:r>
      <w:r w:rsidR="009E1283">
        <w:t xml:space="preserve">the </w:t>
      </w:r>
      <w:r w:rsidR="00A0350B">
        <w:t xml:space="preserve">attempted murder </w:t>
      </w:r>
      <w:r w:rsidR="00DE1B63">
        <w:t xml:space="preserve">for the benefit of a gang, </w:t>
      </w:r>
      <w:r w:rsidR="00CF239E">
        <w:t>he v</w:t>
      </w:r>
      <w:r w:rsidR="00DE1B63">
        <w:t>icariously discharged a firearm</w:t>
      </w:r>
      <w:r w:rsidR="00825163">
        <w:t xml:space="preserve"> as to the murder</w:t>
      </w:r>
      <w:r w:rsidR="00DE1B63">
        <w:t xml:space="preserve">, and </w:t>
      </w:r>
      <w:r w:rsidR="00CF239E">
        <w:t xml:space="preserve">he </w:t>
      </w:r>
      <w:r w:rsidR="00DE1B63">
        <w:t>premeditat</w:t>
      </w:r>
      <w:r w:rsidR="00B56BCF">
        <w:t xml:space="preserve">ed </w:t>
      </w:r>
      <w:r w:rsidR="00DE1B63">
        <w:t>and deliberat</w:t>
      </w:r>
      <w:r w:rsidR="00B56BCF">
        <w:t xml:space="preserve">ed </w:t>
      </w:r>
      <w:r w:rsidR="006964DC">
        <w:t>as to</w:t>
      </w:r>
      <w:r w:rsidR="00DE1B63">
        <w:t xml:space="preserve"> the attempted murder.  The jury also found true a special circumstance</w:t>
      </w:r>
      <w:r w:rsidR="00334D09">
        <w:t xml:space="preserve"> </w:t>
      </w:r>
      <w:r w:rsidR="00FE6FEF">
        <w:t>enhancement</w:t>
      </w:r>
      <w:r w:rsidR="00DE1B63">
        <w:t xml:space="preserve">:  </w:t>
      </w:r>
      <w:r w:rsidR="00B56BCF">
        <w:t xml:space="preserve">Pacheco </w:t>
      </w:r>
      <w:r w:rsidR="00DE1B63">
        <w:t xml:space="preserve">committed </w:t>
      </w:r>
      <w:r w:rsidR="00A0350B">
        <w:t xml:space="preserve">the murder </w:t>
      </w:r>
      <w:r w:rsidR="00DE1B63">
        <w:t>for a criminal street gang purpose.</w:t>
      </w:r>
    </w:p>
    <w:p w14:paraId="538607E2" w14:textId="2B86BA68" w:rsidR="00F25436" w:rsidRDefault="00C235F7" w:rsidP="00FC7FD6">
      <w:pPr>
        <w:widowControl w:val="0"/>
        <w:tabs>
          <w:tab w:val="left" w:pos="1440"/>
          <w:tab w:val="left" w:leader="underscore" w:pos="5040"/>
        </w:tabs>
        <w:spacing w:line="480" w:lineRule="atLeast"/>
      </w:pPr>
      <w:r>
        <w:tab/>
      </w:r>
      <w:r w:rsidR="004B5B16">
        <w:t xml:space="preserve">The </w:t>
      </w:r>
      <w:r w:rsidR="008A4C56">
        <w:t xml:space="preserve">trial </w:t>
      </w:r>
      <w:r w:rsidR="004B5B16">
        <w:t xml:space="preserve">court </w:t>
      </w:r>
      <w:r w:rsidR="00750248">
        <w:t>s</w:t>
      </w:r>
      <w:r w:rsidR="004B5B16">
        <w:t>entence</w:t>
      </w:r>
      <w:r w:rsidR="00352675">
        <w:t xml:space="preserve">d Pacheco to a term </w:t>
      </w:r>
      <w:r w:rsidR="004B5B16">
        <w:t xml:space="preserve">of 50 years to life, plus a consecutive </w:t>
      </w:r>
      <w:r w:rsidR="00441C94">
        <w:t>life term</w:t>
      </w:r>
      <w:r w:rsidR="004B5B16">
        <w:t xml:space="preserve">.  </w:t>
      </w:r>
      <w:r w:rsidR="00E14641">
        <w:t>T</w:t>
      </w:r>
      <w:r w:rsidR="00A05007">
        <w:t>his court affirmed</w:t>
      </w:r>
      <w:r w:rsidR="00BC6D7B">
        <w:t xml:space="preserve"> the judgment</w:t>
      </w:r>
      <w:r w:rsidR="00151307">
        <w:t xml:space="preserve"> on appeal</w:t>
      </w:r>
      <w:r w:rsidR="00757694">
        <w:t>.</w:t>
      </w:r>
      <w:r>
        <w:t xml:space="preserve">  (</w:t>
      </w:r>
      <w:r w:rsidRPr="00A0350B">
        <w:rPr>
          <w:i/>
          <w:iCs/>
        </w:rPr>
        <w:t>People v. Pacheco</w:t>
      </w:r>
      <w:r>
        <w:t xml:space="preserve"> </w:t>
      </w:r>
      <w:r w:rsidR="008A4C56" w:rsidRPr="008A4C56">
        <w:rPr>
          <w:i/>
          <w:iCs/>
        </w:rPr>
        <w:t>et al.</w:t>
      </w:r>
      <w:r w:rsidR="008A4C56">
        <w:t xml:space="preserve"> </w:t>
      </w:r>
      <w:r>
        <w:t>(Jan. 30, 2012, G044200) [nonpub. opn.].)</w:t>
      </w:r>
    </w:p>
    <w:p w14:paraId="028166C9" w14:textId="6AA9F9E6" w:rsidR="004A216B" w:rsidRDefault="00C235F7" w:rsidP="00FC7FD6">
      <w:pPr>
        <w:widowControl w:val="0"/>
        <w:tabs>
          <w:tab w:val="left" w:pos="1440"/>
          <w:tab w:val="left" w:leader="underscore" w:pos="5040"/>
        </w:tabs>
        <w:spacing w:line="480" w:lineRule="atLeast"/>
      </w:pPr>
      <w:r>
        <w:tab/>
        <w:t xml:space="preserve">In 2020, </w:t>
      </w:r>
      <w:r w:rsidR="004B5B16">
        <w:t xml:space="preserve">Pacheco filed a section 1170.95 petition seeking to vacate his murder conviction and </w:t>
      </w:r>
      <w:r w:rsidR="00EB30D2">
        <w:t xml:space="preserve">to </w:t>
      </w:r>
      <w:r w:rsidR="004B5B16">
        <w:t>be resentenced.  The trial court denied the petition</w:t>
      </w:r>
      <w:r w:rsidR="00C15DA7">
        <w:t xml:space="preserve">, finding </w:t>
      </w:r>
      <w:r w:rsidR="00BC6D7B">
        <w:t xml:space="preserve">the enabling legislation </w:t>
      </w:r>
      <w:r w:rsidR="00151307">
        <w:t xml:space="preserve">was </w:t>
      </w:r>
      <w:r w:rsidR="004B5B16">
        <w:t xml:space="preserve">unconstitutional.  This court reversed and remanded.  </w:t>
      </w:r>
      <w:r>
        <w:t>(</w:t>
      </w:r>
      <w:r w:rsidRPr="00E14641">
        <w:rPr>
          <w:i/>
          <w:iCs/>
        </w:rPr>
        <w:t>P</w:t>
      </w:r>
      <w:r w:rsidRPr="004A216B">
        <w:rPr>
          <w:i/>
          <w:iCs/>
        </w:rPr>
        <w:t>eople v. Pacheco</w:t>
      </w:r>
      <w:r>
        <w:t xml:space="preserve"> (Jul</w:t>
      </w:r>
      <w:r>
        <w:t>y 7, 2020, G058362) [nonpub. opn.].)</w:t>
      </w:r>
    </w:p>
    <w:p w14:paraId="1557E278" w14:textId="563E8046" w:rsidR="00AC4C15" w:rsidRDefault="00C235F7" w:rsidP="00FC7FD6">
      <w:pPr>
        <w:widowControl w:val="0"/>
        <w:tabs>
          <w:tab w:val="left" w:pos="1440"/>
          <w:tab w:val="left" w:leader="underscore" w:pos="5040"/>
        </w:tabs>
        <w:spacing w:line="480" w:lineRule="atLeast"/>
      </w:pPr>
      <w:r>
        <w:tab/>
        <w:t>I</w:t>
      </w:r>
      <w:r w:rsidR="006377EF">
        <w:t>n 2021,</w:t>
      </w:r>
      <w:r w:rsidR="009F3BF9">
        <w:t xml:space="preserve"> </w:t>
      </w:r>
      <w:r w:rsidR="006377EF">
        <w:t xml:space="preserve">the trial court </w:t>
      </w:r>
      <w:r w:rsidR="00C15DA7">
        <w:t xml:space="preserve">denied </w:t>
      </w:r>
      <w:r w:rsidR="00977E38">
        <w:t>Pacheco</w:t>
      </w:r>
      <w:r w:rsidR="00886444">
        <w:t>’</w:t>
      </w:r>
      <w:r w:rsidR="00977E38">
        <w:t xml:space="preserve">s </w:t>
      </w:r>
      <w:r w:rsidR="00441C94">
        <w:t xml:space="preserve">section 1170.95 </w:t>
      </w:r>
      <w:r w:rsidR="006377EF">
        <w:t>petition</w:t>
      </w:r>
      <w:r w:rsidR="00C15DA7">
        <w:t xml:space="preserve"> </w:t>
      </w:r>
      <w:r>
        <w:t xml:space="preserve">at the prima facie stage:  </w:t>
      </w:r>
      <w:r w:rsidR="009F3BF9">
        <w:t>“In finding the defendant guilty of first-degree murder and the special circumstance to be true, the jury found the defendant acted with the intent to kill.  Finding the defendant acted with the intent to kill would allow the petitioner to be convicted of first- or second-degree murder notwithstanding the changes to section 188 and 189 made effective January 1, 2019.</w:t>
      </w:r>
      <w:r w:rsidR="00030FB0">
        <w:t xml:space="preserve">  </w:t>
      </w:r>
      <w:r w:rsidR="009F3BF9">
        <w:t>Thus, the petitioner is not eligible for relief from his murder conviction under 1170.95.”</w:t>
      </w:r>
      <w:r>
        <w:t xml:space="preserve">  Pacheco filed an appeal.</w:t>
      </w:r>
    </w:p>
    <w:p w14:paraId="76955A01" w14:textId="40624B84" w:rsidR="008A0C67" w:rsidRDefault="00C235F7" w:rsidP="00FC7FD6">
      <w:pPr>
        <w:widowControl w:val="0"/>
        <w:tabs>
          <w:tab w:val="left" w:pos="1440"/>
          <w:tab w:val="left" w:leader="underscore" w:pos="5040"/>
        </w:tabs>
        <w:spacing w:line="480" w:lineRule="atLeast"/>
        <w:jc w:val="center"/>
      </w:pPr>
      <w:r>
        <w:lastRenderedPageBreak/>
        <w:t>II</w:t>
      </w:r>
    </w:p>
    <w:p w14:paraId="6D68D35C" w14:textId="2B15F550" w:rsidR="00886444" w:rsidRDefault="00C235F7" w:rsidP="00FC7FD6">
      <w:pPr>
        <w:widowControl w:val="0"/>
        <w:tabs>
          <w:tab w:val="left" w:pos="1440"/>
          <w:tab w:val="left" w:leader="underscore" w:pos="5040"/>
        </w:tabs>
        <w:spacing w:line="480" w:lineRule="atLeast"/>
        <w:jc w:val="center"/>
      </w:pPr>
      <w:r>
        <w:t>DISCUSSION</w:t>
      </w:r>
    </w:p>
    <w:p w14:paraId="5C1B6A75" w14:textId="116B9AB6" w:rsidR="00BF5A02" w:rsidRDefault="00C235F7" w:rsidP="00FC7FD6">
      <w:pPr>
        <w:widowControl w:val="0"/>
        <w:tabs>
          <w:tab w:val="left" w:pos="1440"/>
          <w:tab w:val="left" w:leader="underscore" w:pos="5040"/>
        </w:tabs>
        <w:spacing w:line="480" w:lineRule="atLeast"/>
      </w:pPr>
      <w:r>
        <w:tab/>
        <w:t xml:space="preserve">The trial court denied </w:t>
      </w:r>
      <w:r w:rsidR="002775E0">
        <w:t>Pacheco’s se</w:t>
      </w:r>
      <w:r>
        <w:t>ction 1170.95 petition at the prima facie stage</w:t>
      </w:r>
      <w:r w:rsidR="000D3417">
        <w:t xml:space="preserve"> after reviewing </w:t>
      </w:r>
      <w:r w:rsidR="00151307">
        <w:t xml:space="preserve">the </w:t>
      </w:r>
      <w:r w:rsidR="002775E0">
        <w:t xml:space="preserve">underlying </w:t>
      </w:r>
      <w:r w:rsidR="000D3417">
        <w:t>record of conviction</w:t>
      </w:r>
      <w:r w:rsidR="00B91C92">
        <w:t xml:space="preserve"> and </w:t>
      </w:r>
      <w:r w:rsidR="003B2272">
        <w:t xml:space="preserve">concluding </w:t>
      </w:r>
      <w:r w:rsidR="00151307">
        <w:t xml:space="preserve">Pacheco </w:t>
      </w:r>
      <w:r w:rsidR="00F46487">
        <w:t>was</w:t>
      </w:r>
      <w:r w:rsidR="00884F56">
        <w:t xml:space="preserve"> precluded from </w:t>
      </w:r>
      <w:r>
        <w:t xml:space="preserve">relief as a matter of law.  “This is a purely legal conclusion, which we review de novo.”  (See </w:t>
      </w:r>
      <w:r>
        <w:rPr>
          <w:i/>
          <w:iCs/>
        </w:rPr>
        <w:t>People v. Murillo</w:t>
      </w:r>
      <w:r>
        <w:t xml:space="preserve"> (2020) 54 Cal.App.5th 160, 167.)</w:t>
      </w:r>
    </w:p>
    <w:p w14:paraId="21B15472" w14:textId="4D4C5ECA" w:rsidR="00566B04" w:rsidRDefault="00C235F7" w:rsidP="00FC7FD6">
      <w:pPr>
        <w:widowControl w:val="0"/>
        <w:tabs>
          <w:tab w:val="left" w:pos="1440"/>
          <w:tab w:val="left" w:leader="underscore" w:pos="5040"/>
        </w:tabs>
        <w:spacing w:line="480" w:lineRule="atLeast"/>
      </w:pPr>
      <w:r>
        <w:tab/>
      </w:r>
      <w:r>
        <w:t xml:space="preserve">In the remainder of this discussion, we will:  A) review </w:t>
      </w:r>
      <w:r w:rsidR="002D255E">
        <w:t xml:space="preserve">applicable </w:t>
      </w:r>
      <w:r>
        <w:t>principles</w:t>
      </w:r>
      <w:r w:rsidR="002D255E">
        <w:t xml:space="preserve"> of law</w:t>
      </w:r>
      <w:r>
        <w:t xml:space="preserve">; B) summarize the relevant portions of Pacheco’s record of conviction; and C) analyze the </w:t>
      </w:r>
      <w:r w:rsidR="002D255E">
        <w:t xml:space="preserve">applicable </w:t>
      </w:r>
      <w:r>
        <w:t xml:space="preserve">law as applied to the </w:t>
      </w:r>
      <w:r w:rsidR="007F1EC8">
        <w:t xml:space="preserve">relevant </w:t>
      </w:r>
      <w:r>
        <w:t>facts.</w:t>
      </w:r>
    </w:p>
    <w:p w14:paraId="17575353" w14:textId="0C245B1E" w:rsidR="00566B04" w:rsidRDefault="00566B04" w:rsidP="00FC7FD6">
      <w:pPr>
        <w:widowControl w:val="0"/>
        <w:tabs>
          <w:tab w:val="left" w:pos="1440"/>
          <w:tab w:val="left" w:leader="underscore" w:pos="5040"/>
        </w:tabs>
        <w:spacing w:line="480" w:lineRule="atLeast"/>
      </w:pPr>
    </w:p>
    <w:p w14:paraId="69C837B5" w14:textId="67D55B81" w:rsidR="00566B04" w:rsidRPr="00794E8E" w:rsidRDefault="00C235F7" w:rsidP="00FC7FD6">
      <w:pPr>
        <w:widowControl w:val="0"/>
        <w:tabs>
          <w:tab w:val="left" w:pos="1440"/>
          <w:tab w:val="left" w:leader="underscore" w:pos="5040"/>
        </w:tabs>
        <w:spacing w:line="480" w:lineRule="atLeast"/>
        <w:rPr>
          <w:i/>
          <w:iCs/>
        </w:rPr>
      </w:pPr>
      <w:r w:rsidRPr="00794E8E">
        <w:rPr>
          <w:i/>
          <w:iCs/>
        </w:rPr>
        <w:t xml:space="preserve">A.  </w:t>
      </w:r>
      <w:r w:rsidR="002D255E">
        <w:rPr>
          <w:i/>
          <w:iCs/>
        </w:rPr>
        <w:t xml:space="preserve">Applicable </w:t>
      </w:r>
      <w:r w:rsidR="007F1EC8">
        <w:rPr>
          <w:i/>
          <w:iCs/>
        </w:rPr>
        <w:t>Principles</w:t>
      </w:r>
      <w:r w:rsidR="002D255E">
        <w:rPr>
          <w:i/>
          <w:iCs/>
        </w:rPr>
        <w:t xml:space="preserve"> of Law</w:t>
      </w:r>
    </w:p>
    <w:p w14:paraId="4A0022C4" w14:textId="48AE19EB" w:rsidR="007A508B" w:rsidRDefault="00C235F7" w:rsidP="00FC7FD6">
      <w:pPr>
        <w:widowControl w:val="0"/>
        <w:tabs>
          <w:tab w:val="left" w:pos="1440"/>
          <w:tab w:val="left" w:leader="underscore" w:pos="5040"/>
        </w:tabs>
        <w:spacing w:line="480" w:lineRule="atLeast"/>
      </w:pPr>
      <w:r>
        <w:tab/>
        <w:t>Generally, a person may be liable for a crime as a direct perpetrator or as an aider and abettor.  (§ 31.)  A</w:t>
      </w:r>
      <w:r w:rsidR="00FE542C">
        <w:t xml:space="preserve">n aider and abettor </w:t>
      </w:r>
      <w:r>
        <w:t xml:space="preserve">can be held liable for crimes </w:t>
      </w:r>
      <w:r w:rsidR="00FE542C">
        <w:t xml:space="preserve">that were </w:t>
      </w:r>
      <w:r>
        <w:t>intentionally aided and abetted (target offenses); a</w:t>
      </w:r>
      <w:r w:rsidR="00FE542C">
        <w:t xml:space="preserve">n aider and abettor </w:t>
      </w:r>
      <w:r w:rsidR="003C23C8">
        <w:t xml:space="preserve">could </w:t>
      </w:r>
      <w:r>
        <w:t xml:space="preserve">also </w:t>
      </w:r>
      <w:r>
        <w:t xml:space="preserve">be held liable for </w:t>
      </w:r>
      <w:r w:rsidR="00FE542C">
        <w:t xml:space="preserve">any </w:t>
      </w:r>
      <w:r>
        <w:t>crimes that were not intended but were reasonably foreseeable (nontarget offenses).  (</w:t>
      </w:r>
      <w:r w:rsidRPr="00F46487">
        <w:rPr>
          <w:i/>
          <w:iCs/>
        </w:rPr>
        <w:t>People v. Laster</w:t>
      </w:r>
      <w:r>
        <w:t xml:space="preserve"> (1997) 52 Cal.App.4th 1450, 1462-1463.)  </w:t>
      </w:r>
      <w:r w:rsidR="000D40D4">
        <w:t>L</w:t>
      </w:r>
      <w:r>
        <w:t>iability for intentional, target offenses is known as “direct” aider and abettor liabili</w:t>
      </w:r>
      <w:r>
        <w:t>ty; liability for unintentional, nontarget offenses is known as the ““‘natural and probable consequences” doctrine.’”  (</w:t>
      </w:r>
      <w:r w:rsidRPr="00794E8E">
        <w:rPr>
          <w:i/>
          <w:iCs/>
        </w:rPr>
        <w:t>People v. Montes</w:t>
      </w:r>
      <w:r>
        <w:t xml:space="preserve"> (1999) 74 Cal.App.4th 1050, 1055.)</w:t>
      </w:r>
    </w:p>
    <w:p w14:paraId="4B155BAB" w14:textId="2F0EF8A4" w:rsidR="00B56BCF" w:rsidRDefault="00C235F7" w:rsidP="00FC7FD6">
      <w:pPr>
        <w:widowControl w:val="0"/>
        <w:tabs>
          <w:tab w:val="left" w:pos="1440"/>
          <w:tab w:val="left" w:leader="underscore" w:pos="5040"/>
        </w:tabs>
        <w:spacing w:line="480" w:lineRule="atLeast"/>
      </w:pPr>
      <w:r>
        <w:tab/>
        <w:t xml:space="preserve">Effective </w:t>
      </w:r>
      <w:r w:rsidR="00BC386F">
        <w:t xml:space="preserve">January </w:t>
      </w:r>
      <w:r w:rsidR="00833668">
        <w:t xml:space="preserve">1, </w:t>
      </w:r>
      <w:r>
        <w:t xml:space="preserve">2019, the Legislature enacted Senate Bill No. 1437 (2017-2018 </w:t>
      </w:r>
      <w:r>
        <w:t>Reg. Sess.) “to amend the felony murder rule and the natural and probable consequences doctrine, as it relates to murder, to ensure that murder liability is not imposed on a person who is not the actual killer, did not act with the intent to kill, or was n</w:t>
      </w:r>
      <w:r>
        <w:t>ot a major participant in the underlying felony who acted with reckless indifference to human life.”  (Stats. 2018, ch. 1015, § 1, subd. (f).)</w:t>
      </w:r>
      <w:r w:rsidR="00373338">
        <w:t xml:space="preserve">  </w:t>
      </w:r>
      <w:r w:rsidR="00C92681">
        <w:t>“</w:t>
      </w:r>
      <w:r w:rsidR="00631DEE">
        <w:t xml:space="preserve">Through the passage of Senate Bill </w:t>
      </w:r>
      <w:r w:rsidR="00631DEE">
        <w:lastRenderedPageBreak/>
        <w:t>1437 the Legislature effectively eliminated the natural and probable consequences doctrine as it relates to murder convictions, and reduced the scope of the felony-murder rule.”  (</w:t>
      </w:r>
      <w:r w:rsidR="00631DEE" w:rsidRPr="0018152C">
        <w:rPr>
          <w:i/>
          <w:iCs/>
        </w:rPr>
        <w:t>People v. Prado</w:t>
      </w:r>
      <w:r w:rsidR="00631DEE">
        <w:t xml:space="preserve"> (2020) 49 Cal.App.5th 480, 487.)</w:t>
      </w:r>
    </w:p>
    <w:p w14:paraId="7938B632" w14:textId="2D0A8B6A" w:rsidR="00ED3CA2" w:rsidRDefault="00C235F7" w:rsidP="00FC7FD6">
      <w:pPr>
        <w:widowControl w:val="0"/>
        <w:tabs>
          <w:tab w:val="left" w:pos="1440"/>
          <w:tab w:val="left" w:leader="underscore" w:pos="5040"/>
        </w:tabs>
        <w:spacing w:line="480" w:lineRule="atLeast"/>
      </w:pPr>
      <w:r>
        <w:tab/>
      </w:r>
      <w:r w:rsidR="00F61182">
        <w:t>Although</w:t>
      </w:r>
      <w:r w:rsidR="00FD42F0">
        <w:t xml:space="preserve"> a</w:t>
      </w:r>
      <w:r w:rsidR="00EB30D2">
        <w:t xml:space="preserve">n accomplice </w:t>
      </w:r>
      <w:r w:rsidR="00FD42F0">
        <w:t xml:space="preserve">can no longer be convicted </w:t>
      </w:r>
      <w:r w:rsidR="0023205A">
        <w:t xml:space="preserve">of murder </w:t>
      </w:r>
      <w:r w:rsidR="00FD42F0">
        <w:t xml:space="preserve">under </w:t>
      </w:r>
      <w:r w:rsidR="00F61182">
        <w:t xml:space="preserve">the natural and probable </w:t>
      </w:r>
      <w:r w:rsidR="00FD42F0">
        <w:t>consequences theory, a</w:t>
      </w:r>
      <w:r w:rsidR="00EB30D2">
        <w:t xml:space="preserve">n accomplice </w:t>
      </w:r>
      <w:r w:rsidR="000C7037">
        <w:t>can still be</w:t>
      </w:r>
      <w:r w:rsidR="00FD42F0">
        <w:t xml:space="preserve"> convicted </w:t>
      </w:r>
      <w:r w:rsidR="00FE6FEF">
        <w:t>of m</w:t>
      </w:r>
      <w:r w:rsidR="00151307">
        <w:t>urder as a</w:t>
      </w:r>
      <w:r w:rsidR="00AD0E85">
        <w:t xml:space="preserve"> </w:t>
      </w:r>
      <w:r w:rsidR="00FD42F0">
        <w:t>d</w:t>
      </w:r>
      <w:r w:rsidR="00C92681">
        <w:t>irect aider and abettor</w:t>
      </w:r>
      <w:r w:rsidR="00FD42F0">
        <w:t xml:space="preserve">.  </w:t>
      </w:r>
      <w:r w:rsidR="00AD0E85">
        <w:t xml:space="preserve">(§§ 188, 189.)  </w:t>
      </w:r>
      <w:r w:rsidR="00175517">
        <w:t>“Murder is the unlawful killing of a human being</w:t>
      </w:r>
      <w:r w:rsidR="003C23C8">
        <w:t xml:space="preserve"> . . . </w:t>
      </w:r>
      <w:r w:rsidR="00175517">
        <w:t xml:space="preserve">with malice aforethought.”  (§ 187.)  </w:t>
      </w:r>
      <w:r>
        <w:t>“</w:t>
      </w:r>
      <w:r w:rsidRPr="00ED3CA2">
        <w:t xml:space="preserve">If it is shown that the killing resulted from an </w:t>
      </w:r>
      <w:r w:rsidRPr="00ED3CA2">
        <w:t>intentional act with express or implied malice</w:t>
      </w:r>
      <w:r>
        <w:t xml:space="preserve"> . . . </w:t>
      </w:r>
      <w:r w:rsidRPr="00ED3CA2">
        <w:t>no other mental state need be shown to establish the mental state of malice aforethought.</w:t>
      </w:r>
      <w:r>
        <w:t xml:space="preserve">”  (§ 188, </w:t>
      </w:r>
      <w:r w:rsidR="00F25436">
        <w:t>s</w:t>
      </w:r>
      <w:r>
        <w:t>ubd. (b).)</w:t>
      </w:r>
    </w:p>
    <w:p w14:paraId="1204F48C" w14:textId="14871CAB" w:rsidR="00B56BCF" w:rsidRDefault="00C235F7" w:rsidP="00FC7FD6">
      <w:pPr>
        <w:widowControl w:val="0"/>
        <w:tabs>
          <w:tab w:val="left" w:pos="1440"/>
          <w:tab w:val="left" w:leader="underscore" w:pos="5040"/>
        </w:tabs>
        <w:spacing w:line="480" w:lineRule="atLeast"/>
      </w:pPr>
      <w:r>
        <w:tab/>
      </w:r>
      <w:r w:rsidR="00B21974">
        <w:t xml:space="preserve">Under a direct aider and abettor </w:t>
      </w:r>
      <w:r w:rsidR="00E64BFE">
        <w:t xml:space="preserve">liability </w:t>
      </w:r>
      <w:r w:rsidR="00B21974">
        <w:t xml:space="preserve">theory, </w:t>
      </w:r>
      <w:r>
        <w:t xml:space="preserve">the prosecution </w:t>
      </w:r>
      <w:r w:rsidR="00B21974">
        <w:t>must prove</w:t>
      </w:r>
      <w:r>
        <w:t xml:space="preserve"> </w:t>
      </w:r>
      <w:r w:rsidR="00A01428">
        <w:t xml:space="preserve">the </w:t>
      </w:r>
      <w:r w:rsidR="00AD0E85">
        <w:t xml:space="preserve">person who is not the actual killer </w:t>
      </w:r>
      <w:r w:rsidR="00B21974">
        <w:t xml:space="preserve">“engaged in the requisite acts and had the requisite intent” to </w:t>
      </w:r>
      <w:r w:rsidR="0023205A">
        <w:t xml:space="preserve">aid and abet </w:t>
      </w:r>
      <w:r w:rsidR="00B21974" w:rsidRPr="007A508B">
        <w:t xml:space="preserve">the </w:t>
      </w:r>
      <w:r w:rsidR="009860D3">
        <w:t xml:space="preserve">target </w:t>
      </w:r>
      <w:r w:rsidR="00AD0E85">
        <w:t xml:space="preserve">crime of </w:t>
      </w:r>
      <w:r w:rsidR="00B21974" w:rsidRPr="007A508B">
        <w:t>murder</w:t>
      </w:r>
      <w:r w:rsidR="00B21974">
        <w:t>.  (</w:t>
      </w:r>
      <w:r w:rsidR="00175517">
        <w:t xml:space="preserve">See </w:t>
      </w:r>
      <w:r w:rsidRPr="00BB5D0A">
        <w:rPr>
          <w:i/>
          <w:iCs/>
        </w:rPr>
        <w:t>People v. Duchine (</w:t>
      </w:r>
      <w:r>
        <w:t>2021) 60 Cal.App.5th 798, 815.)</w:t>
      </w:r>
      <w:r w:rsidR="0023205A">
        <w:t xml:space="preserve">  A direct aider and abettor’s “guilt is based on a combination of the direct perpetrator’s acts and the aider and abettor’s </w:t>
      </w:r>
      <w:r w:rsidR="0023205A" w:rsidRPr="0023205A">
        <w:rPr>
          <w:i/>
          <w:iCs/>
        </w:rPr>
        <w:t>own</w:t>
      </w:r>
      <w:r w:rsidR="0023205A">
        <w:t xml:space="preserve"> acts and </w:t>
      </w:r>
      <w:r w:rsidR="0023205A" w:rsidRPr="0023205A">
        <w:rPr>
          <w:i/>
          <w:iCs/>
        </w:rPr>
        <w:t>own</w:t>
      </w:r>
      <w:r w:rsidR="0023205A">
        <w:t xml:space="preserve"> mental state.”  (</w:t>
      </w:r>
      <w:r w:rsidR="0023205A" w:rsidRPr="0023205A">
        <w:rPr>
          <w:i/>
          <w:iCs/>
        </w:rPr>
        <w:t>People v. McCoy</w:t>
      </w:r>
      <w:r w:rsidR="0023205A">
        <w:t xml:space="preserve"> (2001) 25 Cal.4th 1111, </w:t>
      </w:r>
      <w:r w:rsidR="008A4C56">
        <w:t>1116-</w:t>
      </w:r>
      <w:r w:rsidR="0023205A">
        <w:t>1117.)</w:t>
      </w:r>
    </w:p>
    <w:p w14:paraId="5F2361FD" w14:textId="53047472" w:rsidR="00BF5A02" w:rsidRDefault="00C235F7" w:rsidP="00FC7FD6">
      <w:pPr>
        <w:widowControl w:val="0"/>
        <w:tabs>
          <w:tab w:val="left" w:pos="1440"/>
          <w:tab w:val="left" w:leader="underscore" w:pos="5040"/>
        </w:tabs>
        <w:spacing w:line="480" w:lineRule="atLeast"/>
      </w:pPr>
      <w:r>
        <w:tab/>
        <w:t>Th</w:t>
      </w:r>
      <w:r w:rsidR="00DD64D5">
        <w:t xml:space="preserve">e </w:t>
      </w:r>
      <w:r>
        <w:t xml:space="preserve">Legislature also enacted </w:t>
      </w:r>
      <w:r w:rsidRPr="00630FFB">
        <w:t>section 1170.95</w:t>
      </w:r>
      <w:r>
        <w:t>, which provides a procedure for a person convicted of murder</w:t>
      </w:r>
      <w:r w:rsidR="00B91C92">
        <w:t xml:space="preserve"> (and now </w:t>
      </w:r>
      <w:r>
        <w:t>attempted murder</w:t>
      </w:r>
      <w:r w:rsidR="00B91C92">
        <w:t xml:space="preserve"> and </w:t>
      </w:r>
      <w:r>
        <w:t>manslaughter</w:t>
      </w:r>
      <w:r w:rsidR="00B91C92">
        <w:t xml:space="preserve">) </w:t>
      </w:r>
      <w:r w:rsidR="00287941">
        <w:t xml:space="preserve">under a </w:t>
      </w:r>
      <w:r w:rsidR="007A508B">
        <w:t xml:space="preserve">no longer valid </w:t>
      </w:r>
      <w:r w:rsidR="00287941">
        <w:t xml:space="preserve">legal theory </w:t>
      </w:r>
      <w:r>
        <w:t xml:space="preserve">to file a petition for relief.  </w:t>
      </w:r>
      <w:r w:rsidRPr="00ED4426">
        <w:t xml:space="preserve">If the court determines the petitioner has made </w:t>
      </w:r>
      <w:r w:rsidR="00287941">
        <w:t xml:space="preserve">the required </w:t>
      </w:r>
      <w:r w:rsidR="00287941" w:rsidRPr="00ED4426">
        <w:t>prima facie</w:t>
      </w:r>
      <w:r w:rsidRPr="00ED4426">
        <w:t xml:space="preserve"> showing, </w:t>
      </w:r>
      <w:r w:rsidR="007431C0">
        <w:t xml:space="preserve">the court </w:t>
      </w:r>
      <w:r w:rsidRPr="00ED4426">
        <w:t xml:space="preserve">must issue an </w:t>
      </w:r>
      <w:r>
        <w:t>OSC</w:t>
      </w:r>
      <w:r w:rsidRPr="00ED4426">
        <w:t xml:space="preserve">. </w:t>
      </w:r>
      <w:r>
        <w:t xml:space="preserve"> </w:t>
      </w:r>
      <w:r w:rsidRPr="00ED4426">
        <w:t>(§</w:t>
      </w:r>
      <w:r>
        <w:t> </w:t>
      </w:r>
      <w:r w:rsidRPr="00ED4426">
        <w:t>1170.95, subd. (c).)</w:t>
      </w:r>
      <w:r>
        <w:t xml:space="preserve">  </w:t>
      </w:r>
      <w:r w:rsidRPr="00ED4426">
        <w:t>If the</w:t>
      </w:r>
      <w:r w:rsidR="00E64BFE">
        <w:t xml:space="preserve"> parties do not </w:t>
      </w:r>
      <w:r w:rsidRPr="00ED4426">
        <w:t>stipulat</w:t>
      </w:r>
      <w:r w:rsidR="00E64BFE">
        <w:t xml:space="preserve">e </w:t>
      </w:r>
      <w:r w:rsidR="00DD4DC8">
        <w:t xml:space="preserve">the </w:t>
      </w:r>
      <w:r w:rsidRPr="00ED4426">
        <w:t>petitioner is entitled to relief, the court must hold a</w:t>
      </w:r>
      <w:r>
        <w:t xml:space="preserve">n evidentiary </w:t>
      </w:r>
      <w:r w:rsidRPr="00ED4426">
        <w:t>hearing</w:t>
      </w:r>
      <w:r>
        <w:t>.  I</w:t>
      </w:r>
      <w:r w:rsidRPr="00ED4426">
        <w:t>f the prosecution fails to prove petitioner</w:t>
      </w:r>
      <w:r>
        <w:t>’</w:t>
      </w:r>
      <w:r w:rsidRPr="00ED4426">
        <w:t xml:space="preserve">s ineligibility for relief beyond a reasonable doubt, </w:t>
      </w:r>
      <w:r>
        <w:t xml:space="preserve">the court must </w:t>
      </w:r>
      <w:r w:rsidRPr="00ED4426">
        <w:t>vacate</w:t>
      </w:r>
      <w:r>
        <w:t xml:space="preserve"> </w:t>
      </w:r>
      <w:r w:rsidRPr="00ED4426">
        <w:t>petitioner</w:t>
      </w:r>
      <w:r>
        <w:t>’</w:t>
      </w:r>
      <w:r w:rsidRPr="00ED4426">
        <w:t xml:space="preserve">s </w:t>
      </w:r>
      <w:r w:rsidR="00C64861">
        <w:t xml:space="preserve">invalid </w:t>
      </w:r>
      <w:r w:rsidRPr="00ED4426">
        <w:t>convi</w:t>
      </w:r>
      <w:r w:rsidRPr="00ED4426">
        <w:t>ction</w:t>
      </w:r>
      <w:r>
        <w:t xml:space="preserve"> and resentence </w:t>
      </w:r>
      <w:r w:rsidR="00287941">
        <w:t xml:space="preserve">the petitioner </w:t>
      </w:r>
      <w:r>
        <w:t xml:space="preserve">accordingly.  </w:t>
      </w:r>
      <w:r w:rsidRPr="00ED4426">
        <w:t>(§ 1170.95, subd. (d)</w:t>
      </w:r>
      <w:r w:rsidR="008A4C56">
        <w:t>(3)</w:t>
      </w:r>
      <w:r w:rsidRPr="00ED4426">
        <w:t>.)</w:t>
      </w:r>
    </w:p>
    <w:p w14:paraId="73835BE9" w14:textId="08933E20" w:rsidR="003B4339" w:rsidRDefault="00C235F7" w:rsidP="00FC7FD6">
      <w:pPr>
        <w:widowControl w:val="0"/>
        <w:tabs>
          <w:tab w:val="left" w:pos="1440"/>
          <w:tab w:val="left" w:leader="underscore" w:pos="5040"/>
          <w:tab w:val="left" w:pos="5490"/>
        </w:tabs>
        <w:spacing w:line="480" w:lineRule="atLeast"/>
      </w:pPr>
      <w:r>
        <w:tab/>
      </w:r>
      <w:r w:rsidRPr="003B4339">
        <w:t>A prima facie showing requires</w:t>
      </w:r>
      <w:r w:rsidR="00041E07">
        <w:t xml:space="preserve"> the petitioner to </w:t>
      </w:r>
      <w:r w:rsidR="002E12FD">
        <w:t xml:space="preserve">submit a declaration </w:t>
      </w:r>
      <w:r w:rsidR="00DD4DC8">
        <w:t>as to</w:t>
      </w:r>
      <w:r w:rsidR="002E12FD">
        <w:t xml:space="preserve"> the following</w:t>
      </w:r>
      <w:r w:rsidRPr="003B4339">
        <w:t xml:space="preserve">: </w:t>
      </w:r>
      <w:r>
        <w:t xml:space="preserve"> </w:t>
      </w:r>
      <w:r w:rsidR="00E32393">
        <w:t xml:space="preserve">“(1) A complaint, information, or indictment was filed against the </w:t>
      </w:r>
      <w:r w:rsidR="00E32393">
        <w:lastRenderedPageBreak/>
        <w:t>petitioner that allowed the prosecution to proceed under a theory of felony murder, murder under the natural and probable consequences doctrine or other theory under which malice is imputed to a person based solely on that person’s participation in a crime, or attempted murder under the natural and probable consequences doctrine.”  [¶]  (2) The petitioner was convicted of murder, attempted murder, or manslaughter following a trial or accepted a plea offer in lieu of a trial at which the petitioner could have been convicted of murder or attempted murder.  [¶]  (3) The petitioner could not presently be convicted of murder or attempted murder because of changes to Section 188 or 189 made effective January 1, 2019.”</w:t>
      </w:r>
      <w:r w:rsidRPr="003B4339">
        <w:t xml:space="preserve"> </w:t>
      </w:r>
      <w:r>
        <w:t xml:space="preserve"> </w:t>
      </w:r>
      <w:r w:rsidRPr="003B4339">
        <w:t>(§ 1170.95, subd. (a)(1)-(3).)</w:t>
      </w:r>
    </w:p>
    <w:p w14:paraId="2830C559" w14:textId="36CBE043" w:rsidR="00DC614F" w:rsidRDefault="00C235F7" w:rsidP="00FC7FD6">
      <w:pPr>
        <w:widowControl w:val="0"/>
        <w:tabs>
          <w:tab w:val="left" w:pos="1440"/>
          <w:tab w:val="left" w:leader="underscore" w:pos="5040"/>
          <w:tab w:val="left" w:pos="5490"/>
        </w:tabs>
        <w:spacing w:line="480" w:lineRule="atLeast"/>
      </w:pPr>
      <w:r>
        <w:tab/>
      </w:r>
      <w:r w:rsidR="00BF5A02">
        <w:t xml:space="preserve">“The record of conviction will necessarily inform the trial court’s prima facie inquiry . . . , allowing the court to distinguish petitions with </w:t>
      </w:r>
      <w:r w:rsidR="00BF5A02" w:rsidRPr="003B4339">
        <w:t>potential merit</w:t>
      </w:r>
      <w:r w:rsidR="00BF5A02">
        <w:t xml:space="preserve"> from those that are clearly meritless.</w:t>
      </w:r>
      <w:r w:rsidR="002E12FD">
        <w:t xml:space="preserve">”  </w:t>
      </w:r>
      <w:r w:rsidR="00BF5A02">
        <w:t>(</w:t>
      </w:r>
      <w:r w:rsidR="00EC6137" w:rsidRPr="00EC6137">
        <w:rPr>
          <w:i/>
          <w:iCs/>
        </w:rPr>
        <w:t>People v.</w:t>
      </w:r>
      <w:r w:rsidR="00EC6137">
        <w:t xml:space="preserve"> </w:t>
      </w:r>
      <w:r w:rsidR="00BF5A02" w:rsidRPr="009E7F43">
        <w:rPr>
          <w:i/>
          <w:iCs/>
        </w:rPr>
        <w:t>Lewis</w:t>
      </w:r>
      <w:r w:rsidR="00EC6137">
        <w:t xml:space="preserve"> (2021) </w:t>
      </w:r>
      <w:r w:rsidR="00BF5A02">
        <w:t xml:space="preserve">11 Cal.5th </w:t>
      </w:r>
      <w:r w:rsidR="00EC6137">
        <w:t xml:space="preserve">952, </w:t>
      </w:r>
      <w:r w:rsidR="00BF5A02">
        <w:t>971.)</w:t>
      </w:r>
      <w:r>
        <w:t xml:space="preserve">  </w:t>
      </w:r>
      <w:r w:rsidR="005763A8">
        <w:t xml:space="preserve">At the </w:t>
      </w:r>
      <w:r>
        <w:t xml:space="preserve">prima facie </w:t>
      </w:r>
      <w:r w:rsidR="005763A8">
        <w:t xml:space="preserve">stage, the trial court’s </w:t>
      </w:r>
      <w:r>
        <w:t>inquiry “</w:t>
      </w:r>
      <w:r w:rsidRPr="003B4339">
        <w:t>is limited to readily ascertainable facts from the record (such as the crime of conviction), rather than factfinding involving the weighing of evidence or the exercise of discretion (such as determining whether</w:t>
      </w:r>
      <w:r w:rsidRPr="003B4339">
        <w:t xml:space="preserve"> the petitioner showed reckless indifference to human life in the commission of the crime).” </w:t>
      </w:r>
      <w:r>
        <w:t xml:space="preserve"> </w:t>
      </w:r>
      <w:r w:rsidRPr="003B4339">
        <w:t>(</w:t>
      </w:r>
      <w:r w:rsidRPr="003B4339">
        <w:rPr>
          <w:i/>
          <w:iCs/>
        </w:rPr>
        <w:t>People v. Drayton</w:t>
      </w:r>
      <w:r w:rsidRPr="003B4339">
        <w:t xml:space="preserve"> (2020) 47 Cal.App.5th 965, 980.) </w:t>
      </w:r>
      <w:r>
        <w:t xml:space="preserve"> </w:t>
      </w:r>
      <w:r w:rsidRPr="003B4339">
        <w:t xml:space="preserve">“If, accepting the facts asserted in the petition as true, the petitioner would be entitled to relief </w:t>
      </w:r>
      <w:r w:rsidR="005763A8">
        <w:t xml:space="preserve">. . . </w:t>
      </w:r>
      <w:r w:rsidRPr="003B4339">
        <w:t>,</w:t>
      </w:r>
      <w:r w:rsidRPr="003B4339">
        <w:t xml:space="preserve"> then the trial court should issue an order to show cause.” </w:t>
      </w:r>
      <w:r w:rsidR="005763A8">
        <w:t xml:space="preserve"> </w:t>
      </w:r>
      <w:r w:rsidRPr="003B4339">
        <w:t>(</w:t>
      </w:r>
      <w:r w:rsidRPr="005763A8">
        <w:rPr>
          <w:i/>
          <w:iCs/>
        </w:rPr>
        <w:t>Id</w:t>
      </w:r>
      <w:r w:rsidRPr="003B4339">
        <w:t>. at pp. 980-981.)</w:t>
      </w:r>
    </w:p>
    <w:p w14:paraId="0470D6A2" w14:textId="004B25EF" w:rsidR="00886444" w:rsidRDefault="00886444" w:rsidP="00FC7FD6">
      <w:pPr>
        <w:widowControl w:val="0"/>
        <w:tabs>
          <w:tab w:val="left" w:pos="1440"/>
          <w:tab w:val="left" w:leader="underscore" w:pos="5040"/>
          <w:tab w:val="left" w:pos="5490"/>
        </w:tabs>
        <w:spacing w:line="480" w:lineRule="atLeast"/>
      </w:pPr>
    </w:p>
    <w:p w14:paraId="285E6A48" w14:textId="68BB1AAA" w:rsidR="00F32CAB" w:rsidRPr="007C7AC3" w:rsidRDefault="00C235F7" w:rsidP="00FC7FD6">
      <w:pPr>
        <w:widowControl w:val="0"/>
        <w:tabs>
          <w:tab w:val="left" w:pos="1440"/>
          <w:tab w:val="left" w:leader="underscore" w:pos="5040"/>
          <w:tab w:val="left" w:pos="5490"/>
        </w:tabs>
        <w:spacing w:line="480" w:lineRule="atLeast"/>
        <w:rPr>
          <w:i/>
          <w:iCs/>
        </w:rPr>
      </w:pPr>
      <w:r w:rsidRPr="007C7AC3">
        <w:rPr>
          <w:i/>
          <w:iCs/>
        </w:rPr>
        <w:t xml:space="preserve">B. </w:t>
      </w:r>
      <w:r w:rsidR="007F1EC8">
        <w:rPr>
          <w:i/>
          <w:iCs/>
        </w:rPr>
        <w:t xml:space="preserve"> </w:t>
      </w:r>
      <w:r>
        <w:rPr>
          <w:i/>
          <w:iCs/>
        </w:rPr>
        <w:t xml:space="preserve">Pacheco’s </w:t>
      </w:r>
      <w:r w:rsidRPr="007C7AC3">
        <w:rPr>
          <w:i/>
          <w:iCs/>
        </w:rPr>
        <w:t>Record of Conviction</w:t>
      </w:r>
    </w:p>
    <w:p w14:paraId="4920064D" w14:textId="25B0DF3B" w:rsidR="00F32CAB" w:rsidRDefault="00C235F7" w:rsidP="00FC7FD6">
      <w:pPr>
        <w:widowControl w:val="0"/>
        <w:tabs>
          <w:tab w:val="left" w:pos="1440"/>
          <w:tab w:val="left" w:leader="underscore" w:pos="5040"/>
          <w:tab w:val="left" w:pos="5490"/>
        </w:tabs>
        <w:spacing w:line="480" w:lineRule="atLeast"/>
      </w:pPr>
      <w:r>
        <w:tab/>
      </w:r>
      <w:r w:rsidR="00BC19B8">
        <w:t xml:space="preserve">During Pacheco’s trial, the court instructed on aiding and abetting </w:t>
      </w:r>
      <w:r w:rsidR="002D255E">
        <w:t>concepts</w:t>
      </w:r>
      <w:r w:rsidR="00DD64D5">
        <w:t xml:space="preserve">, </w:t>
      </w:r>
      <w:r w:rsidR="00A01428">
        <w:t xml:space="preserve">in part, </w:t>
      </w:r>
      <w:r>
        <w:t>as follows:  “A person may be guilty of a crime i</w:t>
      </w:r>
      <w:r>
        <w:t xml:space="preserve">n two ways.  One, he may have directly committed the crime.  I will call that person the perpetrator.  Two, he may have aided and abetted a perpetrator, who directly committed the crime.  A person is guilty of </w:t>
      </w:r>
      <w:r>
        <w:lastRenderedPageBreak/>
        <w:t>the crime whether he committed it personally o</w:t>
      </w:r>
      <w:r>
        <w:t>r aided and abetted the perpetrator who committed it.</w:t>
      </w:r>
      <w:r w:rsidR="006E69D9">
        <w:t xml:space="preserve"> </w:t>
      </w:r>
      <w:r>
        <w:t xml:space="preserve"> [¶]</w:t>
      </w:r>
      <w:r w:rsidR="006E69D9">
        <w:t xml:space="preserve"> </w:t>
      </w:r>
      <w:r>
        <w:t xml:space="preserve"> </w:t>
      </w:r>
      <w:r w:rsidRPr="00374587">
        <w:t>Under some specific circumstances,</w:t>
      </w:r>
      <w:r w:rsidRPr="00DB2130">
        <w:rPr>
          <w:i/>
          <w:iCs/>
        </w:rPr>
        <w:t xml:space="preserve"> if the evidence establishes aiding and abetting of one crime, a person may also be found guilty of other crimes that occurred during the commission of the first </w:t>
      </w:r>
      <w:r w:rsidRPr="00DB2130">
        <w:rPr>
          <w:i/>
          <w:iCs/>
        </w:rPr>
        <w:t>crime</w:t>
      </w:r>
      <w:r>
        <w:t>.”  (CALCRIM No. 400, italics added</w:t>
      </w:r>
      <w:r w:rsidR="008A4C56">
        <w:t>.</w:t>
      </w:r>
      <w:r>
        <w:t>)</w:t>
      </w:r>
    </w:p>
    <w:p w14:paraId="6C9E9003" w14:textId="23CE2B4A" w:rsidR="00F32CAB" w:rsidRDefault="00C235F7" w:rsidP="00FC7FD6">
      <w:pPr>
        <w:widowControl w:val="0"/>
        <w:tabs>
          <w:tab w:val="left" w:pos="1440"/>
          <w:tab w:val="left" w:leader="underscore" w:pos="5040"/>
          <w:tab w:val="left" w:pos="5490"/>
        </w:tabs>
        <w:spacing w:line="480" w:lineRule="atLeast"/>
      </w:pPr>
      <w:r>
        <w:tab/>
        <w:t>“</w:t>
      </w:r>
      <w:r w:rsidRPr="00DB2130">
        <w:t>To prove that the defendant is guilty of</w:t>
      </w:r>
      <w:r>
        <w:t xml:space="preserve"> </w:t>
      </w:r>
      <w:r w:rsidRPr="00DB2130">
        <w:t>a crime based on aiding and abetting that crime, the People must prove that:</w:t>
      </w:r>
      <w:r w:rsidR="006E69D9">
        <w:t xml:space="preserve"> </w:t>
      </w:r>
      <w:r w:rsidRPr="00DB2130">
        <w:t xml:space="preserve"> </w:t>
      </w:r>
      <w:r>
        <w:t>[¶]</w:t>
      </w:r>
      <w:r w:rsidR="006E69D9">
        <w:t xml:space="preserve"> </w:t>
      </w:r>
      <w:r>
        <w:t xml:space="preserve"> </w:t>
      </w:r>
      <w:r w:rsidRPr="00DB2130">
        <w:t>1. The perpetrator committed the crime;</w:t>
      </w:r>
      <w:r>
        <w:t xml:space="preserve"> </w:t>
      </w:r>
      <w:r w:rsidR="006E69D9">
        <w:t xml:space="preserve"> </w:t>
      </w:r>
      <w:r>
        <w:t>[¶]</w:t>
      </w:r>
      <w:r w:rsidR="006E69D9">
        <w:t xml:space="preserve"> </w:t>
      </w:r>
      <w:r>
        <w:t xml:space="preserve"> </w:t>
      </w:r>
      <w:r w:rsidRPr="00DB2130">
        <w:t xml:space="preserve">2. The defendant knew that the perpetrator intended to commit the crime; </w:t>
      </w:r>
      <w:r w:rsidR="006E69D9">
        <w:t xml:space="preserve"> </w:t>
      </w:r>
      <w:r>
        <w:t xml:space="preserve">[¶] </w:t>
      </w:r>
      <w:r w:rsidR="006E69D9">
        <w:t xml:space="preserve"> </w:t>
      </w:r>
      <w:r w:rsidRPr="00DB2130">
        <w:t>3. Before or during the commission of</w:t>
      </w:r>
      <w:r>
        <w:t xml:space="preserve"> </w:t>
      </w:r>
      <w:r w:rsidRPr="00DB2130">
        <w:t xml:space="preserve">the crime, the defendant intended to aid and abet the perpetrator in committing the crime; </w:t>
      </w:r>
      <w:r w:rsidR="006E69D9">
        <w:t xml:space="preserve"> </w:t>
      </w:r>
      <w:r w:rsidR="008A4C56">
        <w:t xml:space="preserve">[¶] </w:t>
      </w:r>
      <w:r w:rsidR="006E69D9">
        <w:t xml:space="preserve"> </w:t>
      </w:r>
      <w:r w:rsidRPr="00DB2130">
        <w:t xml:space="preserve">AND </w:t>
      </w:r>
      <w:r w:rsidR="006E69D9">
        <w:t xml:space="preserve"> </w:t>
      </w:r>
      <w:r>
        <w:t>[¶]</w:t>
      </w:r>
      <w:r w:rsidR="006E69D9">
        <w:t xml:space="preserve"> </w:t>
      </w:r>
      <w:r>
        <w:t xml:space="preserve"> </w:t>
      </w:r>
      <w:r w:rsidRPr="00DB2130">
        <w:t>4. The defendant</w:t>
      </w:r>
      <w:r>
        <w:t>’</w:t>
      </w:r>
      <w:r w:rsidRPr="00DB2130">
        <w:t>s words or cond</w:t>
      </w:r>
      <w:r w:rsidRPr="00DB2130">
        <w:t>uct did in fact aid and abet the perpetrator’s commission of</w:t>
      </w:r>
      <w:r>
        <w:t xml:space="preserve"> </w:t>
      </w:r>
      <w:r w:rsidRPr="00DB2130">
        <w:t>th</w:t>
      </w:r>
      <w:r>
        <w:t xml:space="preserve">e </w:t>
      </w:r>
      <w:r w:rsidRPr="00DB2130">
        <w:t xml:space="preserve">crime. </w:t>
      </w:r>
      <w:r>
        <w:t xml:space="preserve"> </w:t>
      </w:r>
      <w:r w:rsidRPr="00DB2130">
        <w:t xml:space="preserve">Someone aids and abets a crime </w:t>
      </w:r>
      <w:r>
        <w:t xml:space="preserve">if he </w:t>
      </w:r>
      <w:r w:rsidRPr="00DB2130">
        <w:t>knows of</w:t>
      </w:r>
      <w:r>
        <w:t xml:space="preserve"> </w:t>
      </w:r>
      <w:r w:rsidRPr="00DB2130">
        <w:t>the perpetrator</w:t>
      </w:r>
      <w:r>
        <w:t>’</w:t>
      </w:r>
      <w:r w:rsidRPr="00DB2130">
        <w:t>s unlawful p</w:t>
      </w:r>
      <w:r>
        <w:t xml:space="preserve">urpose </w:t>
      </w:r>
      <w:r w:rsidRPr="00DB2130">
        <w:t>and he specifically intends to, and does in fact, aid, facilitate, promote, encourage, or instigate th</w:t>
      </w:r>
      <w:r w:rsidRPr="00DB2130">
        <w:t>e perpetrator’s commission of</w:t>
      </w:r>
      <w:r>
        <w:t xml:space="preserve"> </w:t>
      </w:r>
      <w:r w:rsidRPr="002E12FD">
        <w:t>that crime</w:t>
      </w:r>
      <w:r w:rsidRPr="00DB2130">
        <w:t>.</w:t>
      </w:r>
      <w:r w:rsidR="00DD64D5">
        <w:t xml:space="preserve"> </w:t>
      </w:r>
      <w:r w:rsidR="006E69D9">
        <w:t xml:space="preserve"> </w:t>
      </w:r>
      <w:r w:rsidR="00DD64D5">
        <w:t xml:space="preserve">[¶] </w:t>
      </w:r>
      <w:r w:rsidR="006E69D9">
        <w:t xml:space="preserve"> </w:t>
      </w:r>
      <w:r w:rsidR="00DD64D5" w:rsidRPr="00DD64D5">
        <w:t>If all of these requirements are proved, the defendant does not need to actually have been present when the crime was committed to be guilty as an aider and abettor.</w:t>
      </w:r>
      <w:r>
        <w:t xml:space="preserve">”  </w:t>
      </w:r>
      <w:r w:rsidRPr="00374587">
        <w:t>(CALCRIM No. 40</w:t>
      </w:r>
      <w:r>
        <w:t>1</w:t>
      </w:r>
      <w:r w:rsidR="002E12FD">
        <w:t>.</w:t>
      </w:r>
      <w:r w:rsidRPr="00374587">
        <w:t>)</w:t>
      </w:r>
    </w:p>
    <w:p w14:paraId="1A07AD57" w14:textId="0D70AEBB" w:rsidR="00F32CAB" w:rsidRDefault="00C235F7" w:rsidP="00FC7FD6">
      <w:pPr>
        <w:widowControl w:val="0"/>
        <w:tabs>
          <w:tab w:val="left" w:pos="1440"/>
          <w:tab w:val="left" w:leader="underscore" w:pos="5040"/>
          <w:tab w:val="left" w:pos="5490"/>
        </w:tabs>
        <w:spacing w:line="480" w:lineRule="atLeast"/>
      </w:pPr>
      <w:r>
        <w:tab/>
      </w:r>
      <w:r w:rsidR="000D40D4">
        <w:t xml:space="preserve">The court also instructed on the natural and probable consequences theory:  </w:t>
      </w:r>
      <w:r>
        <w:t>“</w:t>
      </w:r>
      <w:r w:rsidRPr="00374587">
        <w:t>Before you may decide whether a defendant is guilty of</w:t>
      </w:r>
      <w:r>
        <w:t xml:space="preserve"> </w:t>
      </w:r>
      <w:r w:rsidRPr="00374587">
        <w:t>murder or attempted murder, you must decide whether he is guilty of</w:t>
      </w:r>
      <w:r>
        <w:t xml:space="preserve"> </w:t>
      </w:r>
      <w:r w:rsidRPr="00374587">
        <w:t>assault with a deadly weapon, assault or disturbing the peace by challenging</w:t>
      </w:r>
      <w:r w:rsidRPr="00374587">
        <w:t xml:space="preserve"> another person to fight.</w:t>
      </w:r>
      <w:r>
        <w:t xml:space="preserve"> </w:t>
      </w:r>
      <w:r w:rsidR="00EE66AA">
        <w:t xml:space="preserve"> </w:t>
      </w:r>
      <w:r>
        <w:t xml:space="preserve">[¶] </w:t>
      </w:r>
      <w:r w:rsidR="006E69D9">
        <w:t xml:space="preserve"> </w:t>
      </w:r>
      <w:r w:rsidRPr="00374587">
        <w:t>To prove that the defendant is guilty of</w:t>
      </w:r>
      <w:r>
        <w:t xml:space="preserve"> </w:t>
      </w:r>
      <w:r w:rsidRPr="00374587">
        <w:t>murder</w:t>
      </w:r>
      <w:r>
        <w:t xml:space="preserve"> </w:t>
      </w:r>
      <w:r w:rsidRPr="00374587">
        <w:t xml:space="preserve">or attempted murder under this theory, the People must prove that: </w:t>
      </w:r>
      <w:r w:rsidR="006E69D9">
        <w:t xml:space="preserve"> </w:t>
      </w:r>
      <w:r>
        <w:t xml:space="preserve">[¶] </w:t>
      </w:r>
      <w:r w:rsidR="006E69D9">
        <w:t xml:space="preserve"> </w:t>
      </w:r>
      <w:r w:rsidRPr="00374587">
        <w:t xml:space="preserve">1. The defendant is guilty of assault with a deadly weapon, assault or disturbing the peace; </w:t>
      </w:r>
      <w:r w:rsidR="006E69D9">
        <w:t xml:space="preserve"> </w:t>
      </w:r>
      <w:r>
        <w:t xml:space="preserve">[¶] </w:t>
      </w:r>
      <w:r w:rsidR="006E69D9">
        <w:t xml:space="preserve"> </w:t>
      </w:r>
      <w:r w:rsidRPr="00374587">
        <w:t>2. D</w:t>
      </w:r>
      <w:r w:rsidRPr="00374587">
        <w:t>uring the commission of</w:t>
      </w:r>
      <w:r>
        <w:t xml:space="preserve"> </w:t>
      </w:r>
      <w:r w:rsidRPr="00374587">
        <w:t>the crime of</w:t>
      </w:r>
      <w:r>
        <w:t xml:space="preserve"> </w:t>
      </w:r>
      <w:r w:rsidRPr="00374587">
        <w:t>assault with a deadly weapon, assault or disturbing the peace a co-participant in that crime committed the crime of</w:t>
      </w:r>
      <w:r>
        <w:t xml:space="preserve"> </w:t>
      </w:r>
      <w:r w:rsidRPr="00374587">
        <w:t xml:space="preserve">murder or attempted murder; </w:t>
      </w:r>
      <w:r w:rsidR="006E69D9">
        <w:t xml:space="preserve"> </w:t>
      </w:r>
      <w:r>
        <w:t>[¶]</w:t>
      </w:r>
      <w:r w:rsidR="006E69D9">
        <w:t xml:space="preserve"> </w:t>
      </w:r>
      <w:r>
        <w:t xml:space="preserve"> </w:t>
      </w:r>
      <w:r w:rsidRPr="00374587">
        <w:t xml:space="preserve">AND </w:t>
      </w:r>
      <w:r w:rsidR="006E69D9">
        <w:t xml:space="preserve"> </w:t>
      </w:r>
      <w:r>
        <w:t xml:space="preserve">[¶] </w:t>
      </w:r>
      <w:r w:rsidR="006E69D9">
        <w:t xml:space="preserve"> </w:t>
      </w:r>
      <w:r w:rsidRPr="00374587">
        <w:t>3. Under all of</w:t>
      </w:r>
      <w:r>
        <w:t xml:space="preserve"> </w:t>
      </w:r>
      <w:r w:rsidRPr="00374587">
        <w:t xml:space="preserve">the circumstances, a reasonable </w:t>
      </w:r>
      <w:r w:rsidRPr="00374587">
        <w:t>person in the defendant</w:t>
      </w:r>
      <w:r>
        <w:t>’</w:t>
      </w:r>
      <w:r w:rsidRPr="00374587">
        <w:t>s position would have known that the commission of</w:t>
      </w:r>
      <w:r>
        <w:t xml:space="preserve"> </w:t>
      </w:r>
      <w:r w:rsidRPr="00374587">
        <w:lastRenderedPageBreak/>
        <w:t>murder or attempted murder was a natural and probable consequence of</w:t>
      </w:r>
      <w:r>
        <w:t xml:space="preserve"> </w:t>
      </w:r>
      <w:r w:rsidRPr="00374587">
        <w:t>the commission of</w:t>
      </w:r>
      <w:r>
        <w:t xml:space="preserve"> </w:t>
      </w:r>
      <w:r w:rsidRPr="00374587">
        <w:t>the crime of assault with a deadly weapon, assault or disturbing the peace.</w:t>
      </w:r>
      <w:r>
        <w:t xml:space="preserve">”  </w:t>
      </w:r>
      <w:r w:rsidRPr="00374587">
        <w:t>(CALCRIM No. 40</w:t>
      </w:r>
      <w:r w:rsidR="00CB3F95">
        <w:t>3</w:t>
      </w:r>
      <w:r>
        <w:t>.)</w:t>
      </w:r>
    </w:p>
    <w:p w14:paraId="005B3B69" w14:textId="29D95B66" w:rsidR="00FB2371" w:rsidRDefault="00C235F7" w:rsidP="00FC7FD6">
      <w:pPr>
        <w:widowControl w:val="0"/>
        <w:tabs>
          <w:tab w:val="left" w:pos="1440"/>
          <w:tab w:val="left" w:leader="underscore" w:pos="5040"/>
          <w:tab w:val="left" w:pos="5490"/>
        </w:tabs>
        <w:spacing w:line="480" w:lineRule="atLeast"/>
      </w:pPr>
      <w:r>
        <w:tab/>
        <w:t>During closing argument, the prosecut</w:t>
      </w:r>
      <w:r w:rsidR="004218FD">
        <w:t xml:space="preserve">or </w:t>
      </w:r>
      <w:r w:rsidR="00D115E3">
        <w:t xml:space="preserve">told </w:t>
      </w:r>
      <w:r w:rsidR="004218FD">
        <w:t>the jury there were multiple “</w:t>
      </w:r>
      <w:r w:rsidR="001C53AF">
        <w:t xml:space="preserve">different </w:t>
      </w:r>
      <w:r>
        <w:t>ways that you get to a verdict of guilty of murder in this case</w:t>
      </w:r>
      <w:r w:rsidR="00D115E3">
        <w:t xml:space="preserve">. </w:t>
      </w:r>
      <w:r w:rsidR="006E69D9">
        <w:t xml:space="preserve"> </w:t>
      </w:r>
      <w:r w:rsidR="00D115E3">
        <w:t>[¶]</w:t>
      </w:r>
      <w:r w:rsidR="006E69D9">
        <w:t xml:space="preserve"> </w:t>
      </w:r>
      <w:r w:rsidR="00EE66AA">
        <w:t xml:space="preserve"> </w:t>
      </w:r>
      <w:r w:rsidR="00D115E3">
        <w:t xml:space="preserve">One is intentionally committed a murder.  Another is if you aid and abet the murder.  Another is if you commit an assault with a deadly weapon.  But you don’t even have to do that.  You can aid and abet an assault.”  The prosecutor </w:t>
      </w:r>
      <w:r w:rsidR="00672AEB">
        <w:t>later argued</w:t>
      </w:r>
      <w:r w:rsidR="008230E5">
        <w:t xml:space="preserve">, </w:t>
      </w:r>
      <w:r w:rsidR="00A743C9">
        <w:t>“all we have to prove is the defendant is guilty of assault with a deadly weapon, simple assault, or disturbing the peace, and during the commission of that, a co-participant committed the crime of murder or attempted murder.  And under the circumstances a reasonable person in the defendant’s position would have known that the commission of murder, attempted murder was a natural and probable consequence of the commission of either an assault with a deadly weapon, an assault, or a challenge to fight.”</w:t>
      </w:r>
    </w:p>
    <w:p w14:paraId="45A516E4" w14:textId="77777777" w:rsidR="00E200EB" w:rsidRDefault="00E200EB" w:rsidP="00FC7FD6">
      <w:pPr>
        <w:widowControl w:val="0"/>
        <w:tabs>
          <w:tab w:val="left" w:pos="1440"/>
          <w:tab w:val="left" w:leader="underscore" w:pos="5040"/>
          <w:tab w:val="left" w:pos="5490"/>
        </w:tabs>
        <w:spacing w:line="480" w:lineRule="atLeast"/>
        <w:rPr>
          <w:i/>
          <w:iCs/>
        </w:rPr>
      </w:pPr>
    </w:p>
    <w:p w14:paraId="7CA511DA" w14:textId="6CA6A5D6" w:rsidR="00E14641" w:rsidRPr="00E14641" w:rsidRDefault="00C235F7" w:rsidP="00FC7FD6">
      <w:pPr>
        <w:widowControl w:val="0"/>
        <w:tabs>
          <w:tab w:val="left" w:pos="1440"/>
          <w:tab w:val="left" w:leader="underscore" w:pos="5040"/>
        </w:tabs>
        <w:spacing w:line="480" w:lineRule="atLeast"/>
        <w:rPr>
          <w:i/>
          <w:iCs/>
        </w:rPr>
      </w:pPr>
      <w:r w:rsidRPr="00E14641">
        <w:rPr>
          <w:i/>
          <w:iCs/>
        </w:rPr>
        <w:t>C.  Analysis and Application</w:t>
      </w:r>
    </w:p>
    <w:p w14:paraId="4A213AB6" w14:textId="11493B69" w:rsidR="007F6FC7" w:rsidRDefault="00C235F7" w:rsidP="00FC7FD6">
      <w:pPr>
        <w:widowControl w:val="0"/>
        <w:tabs>
          <w:tab w:val="left" w:pos="1440"/>
          <w:tab w:val="left" w:leader="underscore" w:pos="5040"/>
          <w:tab w:val="left" w:pos="5490"/>
        </w:tabs>
        <w:spacing w:line="480" w:lineRule="atLeast"/>
      </w:pPr>
      <w:r>
        <w:tab/>
      </w:r>
      <w:r w:rsidR="007371B8">
        <w:t xml:space="preserve">In Pacheco’s section 1170.95 petition, he </w:t>
      </w:r>
      <w:r w:rsidR="00EF27FF">
        <w:t>averred</w:t>
      </w:r>
      <w:r w:rsidR="007371B8">
        <w:t>:  “1. A complaint, information, or indictment was filed against me that allowed the prosecution to proceed under a theory of felony murder or murder under the natural and probable consequences doctrine.</w:t>
      </w:r>
      <w:r>
        <w:t xml:space="preserve">  [¶]  </w:t>
      </w:r>
      <w:r w:rsidR="007371B8">
        <w:t>2a. At trial, I was convicted of 1st or 2nd degree murder pursuant to the felony murder rule or the natural and probable consequences doctrine</w:t>
      </w:r>
      <w:r>
        <w:t xml:space="preserve">. </w:t>
      </w:r>
      <w:r w:rsidR="006E69D9">
        <w:t xml:space="preserve"> </w:t>
      </w:r>
      <w:r w:rsidR="008A4C56">
        <w:t>[¶]</w:t>
      </w:r>
      <w:r w:rsidR="006E69D9">
        <w:t xml:space="preserve"> </w:t>
      </w:r>
      <w:r w:rsidR="008A4C56">
        <w:t xml:space="preserve"> </w:t>
      </w:r>
      <w:r>
        <w:t>. . .  [¶]  3. I could not now be convicted of 1st or 2nd degree murder because of changes made to Penal Code § § 188 and 189, effective January 1,2019.”</w:t>
      </w:r>
    </w:p>
    <w:p w14:paraId="6A62EFA0" w14:textId="7E6B7649" w:rsidR="007371B8" w:rsidRDefault="00C235F7" w:rsidP="00FC7FD6">
      <w:pPr>
        <w:widowControl w:val="0"/>
        <w:tabs>
          <w:tab w:val="left" w:pos="1440"/>
          <w:tab w:val="left" w:leader="underscore" w:pos="5040"/>
          <w:tab w:val="left" w:pos="5490"/>
        </w:tabs>
        <w:spacing w:line="480" w:lineRule="atLeast"/>
      </w:pPr>
      <w:r>
        <w:tab/>
      </w:r>
      <w:r w:rsidR="004B08A2">
        <w:t xml:space="preserve">Here, </w:t>
      </w:r>
      <w:r w:rsidR="00FC7FD6">
        <w:t xml:space="preserve">under the prima facie test, </w:t>
      </w:r>
      <w:r w:rsidR="004B08A2" w:rsidRPr="003B4339">
        <w:t xml:space="preserve">accepting the facts asserted in </w:t>
      </w:r>
      <w:r w:rsidR="00FC7FD6">
        <w:t xml:space="preserve">Pacheco’s </w:t>
      </w:r>
      <w:r w:rsidR="004B08A2">
        <w:t>section 1170.95 pet</w:t>
      </w:r>
      <w:r w:rsidR="004B08A2" w:rsidRPr="003B4339">
        <w:t xml:space="preserve">ition as true, </w:t>
      </w:r>
      <w:r w:rsidR="00FC7FD6">
        <w:t xml:space="preserve">he </w:t>
      </w:r>
      <w:r w:rsidR="004B08A2" w:rsidRPr="003B4339">
        <w:t>would be entitled to relief</w:t>
      </w:r>
      <w:r w:rsidR="00FC7FD6">
        <w:t xml:space="preserve">.  </w:t>
      </w:r>
      <w:r w:rsidR="004B08A2" w:rsidRPr="003B4339">
        <w:t xml:space="preserve"> </w:t>
      </w:r>
      <w:r>
        <w:t xml:space="preserve">(See </w:t>
      </w:r>
      <w:r w:rsidRPr="008A2C5E">
        <w:rPr>
          <w:i/>
          <w:iCs/>
        </w:rPr>
        <w:t>Lewis</w:t>
      </w:r>
      <w:r>
        <w:t xml:space="preserve">, </w:t>
      </w:r>
      <w:r w:rsidRPr="008A2C5E">
        <w:rPr>
          <w:i/>
          <w:iCs/>
        </w:rPr>
        <w:t>supra</w:t>
      </w:r>
      <w:r>
        <w:t xml:space="preserve">, 11 </w:t>
      </w:r>
      <w:r>
        <w:lastRenderedPageBreak/>
        <w:t xml:space="preserve">Cal.5th at p. 971.)  </w:t>
      </w:r>
      <w:r w:rsidR="00C64861">
        <w:t>Further</w:t>
      </w:r>
      <w:r w:rsidR="00E31142">
        <w:t xml:space="preserve">, </w:t>
      </w:r>
      <w:r>
        <w:t xml:space="preserve">the </w:t>
      </w:r>
      <w:r w:rsidR="00E31142">
        <w:t xml:space="preserve">record of conviction supports </w:t>
      </w:r>
      <w:r w:rsidR="00EF27FF">
        <w:t xml:space="preserve">Pacheco’s </w:t>
      </w:r>
      <w:r w:rsidR="009755D4">
        <w:t>averments</w:t>
      </w:r>
      <w:r w:rsidR="00E31142">
        <w:t xml:space="preserve">.  </w:t>
      </w:r>
      <w:r w:rsidR="007B32CA">
        <w:t>T</w:t>
      </w:r>
      <w:r w:rsidR="00E31142">
        <w:t xml:space="preserve">he </w:t>
      </w:r>
      <w:r w:rsidR="009B2804">
        <w:t xml:space="preserve">trial </w:t>
      </w:r>
      <w:r w:rsidR="00030FB0">
        <w:t xml:space="preserve">court </w:t>
      </w:r>
      <w:r w:rsidR="00E31142">
        <w:t xml:space="preserve">instructed </w:t>
      </w:r>
      <w:r w:rsidR="004218FD">
        <w:t xml:space="preserve">the jury </w:t>
      </w:r>
      <w:r w:rsidR="00E31142">
        <w:t xml:space="preserve">on the natural probable consequences theory.  </w:t>
      </w:r>
      <w:r w:rsidR="0011378A">
        <w:t xml:space="preserve">And the </w:t>
      </w:r>
      <w:r w:rsidR="004218FD">
        <w:t>p</w:t>
      </w:r>
      <w:r w:rsidR="0011378A">
        <w:t>rosecut</w:t>
      </w:r>
      <w:r w:rsidR="004218FD">
        <w:t xml:space="preserve">ion argued the natural and probable consequences theory </w:t>
      </w:r>
      <w:r w:rsidR="009B2804">
        <w:t xml:space="preserve">to the jury </w:t>
      </w:r>
      <w:r w:rsidR="001C53AF">
        <w:t xml:space="preserve">as one of multiple </w:t>
      </w:r>
      <w:r w:rsidR="00672AEB">
        <w:t>theories</w:t>
      </w:r>
      <w:r w:rsidR="00E505B4">
        <w:t xml:space="preserve"> in order </w:t>
      </w:r>
      <w:r w:rsidR="001C53AF">
        <w:t xml:space="preserve">to </w:t>
      </w:r>
      <w:r w:rsidR="00672AEB">
        <w:t>prove</w:t>
      </w:r>
      <w:r w:rsidR="001C53AF">
        <w:t xml:space="preserve"> Pacheco’s guilt for the crime of murder</w:t>
      </w:r>
      <w:r w:rsidR="007F6FC7">
        <w:t>.</w:t>
      </w:r>
    </w:p>
    <w:p w14:paraId="07B38DF1" w14:textId="3053CE47" w:rsidR="00886444" w:rsidRDefault="00C235F7" w:rsidP="00FC7FD6">
      <w:pPr>
        <w:widowControl w:val="0"/>
        <w:tabs>
          <w:tab w:val="left" w:pos="1440"/>
          <w:tab w:val="left" w:leader="underscore" w:pos="5040"/>
          <w:tab w:val="left" w:pos="5490"/>
        </w:tabs>
        <w:spacing w:line="480" w:lineRule="atLeast"/>
      </w:pPr>
      <w:r>
        <w:tab/>
        <w:t xml:space="preserve">Thus, the trial </w:t>
      </w:r>
      <w:r w:rsidR="008A4C56">
        <w:t xml:space="preserve">court </w:t>
      </w:r>
      <w:r>
        <w:t xml:space="preserve">erred by summarily denying </w:t>
      </w:r>
      <w:r w:rsidR="007F6FC7">
        <w:t xml:space="preserve">Pacheco’s </w:t>
      </w:r>
      <w:r>
        <w:t>section 1170.95 petition</w:t>
      </w:r>
      <w:r w:rsidR="003A64CB">
        <w:t xml:space="preserve"> at the prima facie stage</w:t>
      </w:r>
      <w:r>
        <w:t xml:space="preserve">.  On remand, we </w:t>
      </w:r>
      <w:r w:rsidR="008A4C56">
        <w:t>direct</w:t>
      </w:r>
      <w:r w:rsidR="003A64CB">
        <w:t xml:space="preserve"> </w:t>
      </w:r>
      <w:r>
        <w:t>the court to issue an OSC and to conduct a</w:t>
      </w:r>
      <w:r w:rsidR="003A64CB">
        <w:t xml:space="preserve"> </w:t>
      </w:r>
      <w:r>
        <w:t>hearing</w:t>
      </w:r>
      <w:r w:rsidR="009B2804">
        <w:t xml:space="preserve">, </w:t>
      </w:r>
      <w:r>
        <w:t>as provided for in the statute.  (See § 1170.95, subd. (</w:t>
      </w:r>
      <w:r w:rsidR="008A4C56">
        <w:t>d</w:t>
      </w:r>
      <w:r>
        <w:t>).)</w:t>
      </w:r>
      <w:r w:rsidRPr="000072A3">
        <w:rPr>
          <w:rStyle w:val="FootnoteReference"/>
        </w:rPr>
        <w:t xml:space="preserve"> </w:t>
      </w:r>
    </w:p>
    <w:p w14:paraId="55DD6A41" w14:textId="3440F906" w:rsidR="00642B09" w:rsidRDefault="00C235F7" w:rsidP="00FC7FD6">
      <w:pPr>
        <w:widowControl w:val="0"/>
        <w:tabs>
          <w:tab w:val="left" w:pos="1440"/>
          <w:tab w:val="left" w:leader="underscore" w:pos="5040"/>
          <w:tab w:val="left" w:pos="5490"/>
        </w:tabs>
        <w:spacing w:line="480" w:lineRule="atLeast"/>
      </w:pPr>
      <w:r>
        <w:tab/>
        <w:t>The Attorney General argues</w:t>
      </w:r>
      <w:r>
        <w:t xml:space="preserve"> “</w:t>
      </w:r>
      <w:r w:rsidR="005319EE">
        <w:t xml:space="preserve">in finding the special circumstance allegations to be true, the jury necessarily concluded </w:t>
      </w:r>
      <w:r w:rsidR="008A4C56">
        <w:t xml:space="preserve">that </w:t>
      </w:r>
      <w:r w:rsidR="003A64CB">
        <w:t xml:space="preserve">[Pacheco] </w:t>
      </w:r>
      <w:r w:rsidR="005319EE">
        <w:t xml:space="preserve">personally harbored malice </w:t>
      </w:r>
      <w:r w:rsidR="003A64CB">
        <w:t xml:space="preserve">. . . . </w:t>
      </w:r>
      <w:r w:rsidR="008A4C56">
        <w:t>[Citation.]</w:t>
      </w:r>
      <w:r w:rsidR="003A64CB">
        <w:t xml:space="preserve">  </w:t>
      </w:r>
      <w:r w:rsidR="005319EE">
        <w:t xml:space="preserve">In reaching this true finding, [Pacheco’s] jury had to find ‘[t]he defendant had the intent to kill at the time of the killing.’  </w:t>
      </w:r>
      <w:r w:rsidR="008A4C56">
        <w:t xml:space="preserve">[Citation.]  </w:t>
      </w:r>
      <w:r w:rsidR="005319EE">
        <w:t>Such undisturbed findings preclude resentencing for [Pacheco] under section 1170.95.”</w:t>
      </w:r>
      <w:r w:rsidR="0001316B" w:rsidRPr="0001316B">
        <w:rPr>
          <w:rStyle w:val="FootnoteReference"/>
        </w:rPr>
        <w:t xml:space="preserve"> </w:t>
      </w:r>
      <w:r>
        <w:rPr>
          <w:rStyle w:val="FootnoteReference"/>
        </w:rPr>
        <w:footnoteReference w:id="2"/>
      </w:r>
      <w:r w:rsidR="0001316B">
        <w:t xml:space="preserve">  </w:t>
      </w:r>
      <w:r w:rsidR="00EF27FF">
        <w:t>We disagree.</w:t>
      </w:r>
    </w:p>
    <w:p w14:paraId="03159B96" w14:textId="2D63817A" w:rsidR="00B80FAA" w:rsidRDefault="00C235F7" w:rsidP="00FC7FD6">
      <w:pPr>
        <w:widowControl w:val="0"/>
        <w:tabs>
          <w:tab w:val="left" w:pos="1440"/>
          <w:tab w:val="left" w:leader="underscore" w:pos="5040"/>
          <w:tab w:val="left" w:pos="5490"/>
        </w:tabs>
        <w:spacing w:line="480" w:lineRule="atLeast"/>
      </w:pPr>
      <w:r>
        <w:tab/>
      </w:r>
      <w:r w:rsidR="00A06215">
        <w:t xml:space="preserve">“Except for strict liability offenses, every crime has two components: </w:t>
      </w:r>
      <w:r w:rsidR="00965254">
        <w:t xml:space="preserve"> (</w:t>
      </w:r>
      <w:r w:rsidR="00A06215">
        <w:t>1)</w:t>
      </w:r>
      <w:r w:rsidR="00965254">
        <w:t> </w:t>
      </w:r>
      <w:r w:rsidR="00A06215">
        <w:t xml:space="preserve">an act or omission, sometimes called the actus reus; and (2) a necessary mental state, sometimes called the mens rea.  [Citations.]  This principle applies to aiding and abetting liability as well as direct liability. </w:t>
      </w:r>
      <w:r w:rsidR="00960F3C">
        <w:t xml:space="preserve"> A</w:t>
      </w:r>
      <w:r w:rsidR="00A06215">
        <w:t xml:space="preserve">n aider and abettor must do something </w:t>
      </w:r>
      <w:r w:rsidR="00A06215" w:rsidRPr="00A06215">
        <w:rPr>
          <w:i/>
          <w:iCs/>
        </w:rPr>
        <w:t xml:space="preserve">and </w:t>
      </w:r>
      <w:r w:rsidR="00A06215">
        <w:t>have a certain mental state.”  (</w:t>
      </w:r>
      <w:r w:rsidR="009E4D5A" w:rsidRPr="009E4D5A">
        <w:rPr>
          <w:i/>
          <w:iCs/>
        </w:rPr>
        <w:t>People v.</w:t>
      </w:r>
      <w:r w:rsidR="009E4D5A">
        <w:t xml:space="preserve"> </w:t>
      </w:r>
      <w:r w:rsidR="00A06215" w:rsidRPr="00A06215">
        <w:rPr>
          <w:i/>
          <w:iCs/>
        </w:rPr>
        <w:t>McCoy</w:t>
      </w:r>
      <w:r w:rsidR="00C64861">
        <w:t xml:space="preserve">, </w:t>
      </w:r>
      <w:r w:rsidR="00C64861" w:rsidRPr="00C64861">
        <w:rPr>
          <w:i/>
          <w:iCs/>
        </w:rPr>
        <w:t>supra</w:t>
      </w:r>
      <w:r w:rsidR="00C64861">
        <w:t xml:space="preserve">, </w:t>
      </w:r>
      <w:r w:rsidR="00A06215">
        <w:t xml:space="preserve">25 Cal.4th </w:t>
      </w:r>
      <w:r w:rsidR="00C64861">
        <w:t xml:space="preserve">at p. </w:t>
      </w:r>
      <w:r w:rsidR="00A06215">
        <w:t>1117.)</w:t>
      </w:r>
    </w:p>
    <w:p w14:paraId="73478E28" w14:textId="6EFE74F3" w:rsidR="00AC3AB9" w:rsidRDefault="00C235F7" w:rsidP="00FC7FD6">
      <w:pPr>
        <w:widowControl w:val="0"/>
        <w:tabs>
          <w:tab w:val="left" w:pos="1440"/>
          <w:tab w:val="left" w:leader="underscore" w:pos="5040"/>
          <w:tab w:val="left" w:pos="5490"/>
        </w:tabs>
        <w:spacing w:line="480" w:lineRule="atLeast"/>
      </w:pPr>
      <w:r>
        <w:tab/>
        <w:t xml:space="preserve">“Thus, proof of [direct] aider and abettor liability requires proof in three distinct areas:  (a) the </w:t>
      </w:r>
      <w:r>
        <w:t xml:space="preserve">direct perpetrator’s actus reus—a crime committed by the direct </w:t>
      </w:r>
      <w:r>
        <w:lastRenderedPageBreak/>
        <w:t>perpetrator, (b) the aider and abettor’s mens rea—knowledge of the direct perpetrator’s unlawful intent and an intent to assist in achieving those unlawful ends, and (c) the aider and abettor’</w:t>
      </w:r>
      <w:r>
        <w:t>s actus reus—conduct by the aider and abettor that in fact assists the achievement of the crime.”  (</w:t>
      </w:r>
      <w:r w:rsidRPr="00AC3AB9">
        <w:rPr>
          <w:i/>
          <w:iCs/>
        </w:rPr>
        <w:t>People v. Perez</w:t>
      </w:r>
      <w:r>
        <w:t xml:space="preserve"> (2005) 35 Cal.4th 1219, 1225.)</w:t>
      </w:r>
    </w:p>
    <w:p w14:paraId="5E91FCB2" w14:textId="72687911" w:rsidR="005319EE" w:rsidRDefault="00C235F7" w:rsidP="00FC7FD6">
      <w:pPr>
        <w:widowControl w:val="0"/>
        <w:tabs>
          <w:tab w:val="left" w:pos="1440"/>
          <w:tab w:val="left" w:leader="underscore" w:pos="5040"/>
          <w:tab w:val="left" w:pos="5490"/>
        </w:tabs>
        <w:spacing w:line="480" w:lineRule="atLeast"/>
      </w:pPr>
      <w:r>
        <w:tab/>
      </w:r>
      <w:r w:rsidR="00DA1E85">
        <w:t>In this case</w:t>
      </w:r>
      <w:r w:rsidR="00DD4DC8">
        <w:t>, a</w:t>
      </w:r>
      <w:r>
        <w:t>s to the gang special circumstance</w:t>
      </w:r>
      <w:r w:rsidR="00AC3AB9">
        <w:t>, the trial court instructed the jury</w:t>
      </w:r>
      <w:r w:rsidR="00F6305B">
        <w:t xml:space="preserve">, in </w:t>
      </w:r>
      <w:r w:rsidR="00C2426B">
        <w:t xml:space="preserve">relevant </w:t>
      </w:r>
      <w:r w:rsidR="00F6305B">
        <w:t xml:space="preserve">part, </w:t>
      </w:r>
      <w:r>
        <w:t>as</w:t>
      </w:r>
      <w:r>
        <w:t xml:space="preserve"> follows:</w:t>
      </w:r>
      <w:r w:rsidR="00B80FAA">
        <w:t xml:space="preserve">  </w:t>
      </w:r>
      <w:r w:rsidR="00764446">
        <w:t>“The defendant is charged with the special circumstance of committing murder while an active participant in a criminal street gang</w:t>
      </w:r>
      <w:r w:rsidR="00A63326">
        <w:t>.</w:t>
      </w:r>
      <w:r w:rsidR="00965254">
        <w:t> </w:t>
      </w:r>
      <w:r w:rsidR="00A63326">
        <w:t>.</w:t>
      </w:r>
      <w:r w:rsidR="00965254">
        <w:t> </w:t>
      </w:r>
      <w:r w:rsidR="00A63326">
        <w:t>.</w:t>
      </w:r>
      <w:r w:rsidR="00965254">
        <w:t> </w:t>
      </w:r>
      <w:r w:rsidR="00A63326">
        <w:t>.</w:t>
      </w:r>
      <w:r w:rsidR="00965254">
        <w:t> </w:t>
      </w:r>
      <w:r w:rsidR="00764446">
        <w:t xml:space="preserve">  </w:t>
      </w:r>
      <w:r w:rsidR="008A4C56">
        <w:t>[¶]</w:t>
      </w:r>
      <w:r w:rsidR="00965254">
        <w:t xml:space="preserve"> </w:t>
      </w:r>
      <w:r w:rsidR="008A4C56">
        <w:t xml:space="preserve"> </w:t>
      </w:r>
      <w:r w:rsidR="00764446">
        <w:t xml:space="preserve">To prove that this special circumstance is true, the People must prove that:  [¶]  1. </w:t>
      </w:r>
      <w:r w:rsidR="00764446" w:rsidRPr="00161A02">
        <w:rPr>
          <w:i/>
          <w:iCs/>
        </w:rPr>
        <w:t xml:space="preserve">A </w:t>
      </w:r>
      <w:r w:rsidR="00764446" w:rsidRPr="009755D4">
        <w:rPr>
          <w:i/>
          <w:iCs/>
        </w:rPr>
        <w:t xml:space="preserve">perpetrator </w:t>
      </w:r>
      <w:r w:rsidR="00764446">
        <w:t xml:space="preserve">intentionally killed Abraham Sanchez; </w:t>
      </w:r>
      <w:r w:rsidR="003A64CB">
        <w:t xml:space="preserve"> [¶]  </w:t>
      </w:r>
      <w:r w:rsidR="00764446">
        <w:t>2. At the time of</w:t>
      </w:r>
      <w:r w:rsidR="003A64CB">
        <w:t xml:space="preserve"> </w:t>
      </w:r>
      <w:r w:rsidR="00764446">
        <w:t xml:space="preserve">the killing, </w:t>
      </w:r>
      <w:r w:rsidR="00764446" w:rsidRPr="00161A02">
        <w:rPr>
          <w:i/>
          <w:iCs/>
        </w:rPr>
        <w:t>the defendant</w:t>
      </w:r>
      <w:r w:rsidR="00764446">
        <w:t xml:space="preserve"> was an active participant in a criminal street gang; </w:t>
      </w:r>
      <w:r w:rsidR="003A64CB">
        <w:t xml:space="preserve"> [¶]  </w:t>
      </w:r>
      <w:r w:rsidR="00764446">
        <w:t xml:space="preserve">3. </w:t>
      </w:r>
      <w:r w:rsidR="00764446" w:rsidRPr="00161A02">
        <w:rPr>
          <w:i/>
          <w:iCs/>
        </w:rPr>
        <w:t>The defendant</w:t>
      </w:r>
      <w:r w:rsidR="00764446">
        <w:t xml:space="preserve"> knew that members of</w:t>
      </w:r>
      <w:r w:rsidR="003A64CB">
        <w:t xml:space="preserve"> </w:t>
      </w:r>
      <w:r w:rsidR="00764446">
        <w:t>the gang engage in or have engaged in a pattern of</w:t>
      </w:r>
      <w:r w:rsidR="003A64CB">
        <w:t xml:space="preserve"> </w:t>
      </w:r>
      <w:r w:rsidR="00764446">
        <w:t xml:space="preserve">criminal gang activity; </w:t>
      </w:r>
      <w:r w:rsidR="003A64CB">
        <w:t xml:space="preserve"> [¶] </w:t>
      </w:r>
      <w:r w:rsidR="00965254">
        <w:t xml:space="preserve"> </w:t>
      </w:r>
      <w:r w:rsidR="00764446">
        <w:t>4. The murder was carried out to further the activities of</w:t>
      </w:r>
      <w:r w:rsidR="003A64CB">
        <w:t xml:space="preserve"> </w:t>
      </w:r>
      <w:r w:rsidR="00764446">
        <w:t xml:space="preserve">the criminal street gang; </w:t>
      </w:r>
      <w:r w:rsidR="003A64CB">
        <w:t xml:space="preserve"> [¶] </w:t>
      </w:r>
      <w:r w:rsidR="00965254">
        <w:t xml:space="preserve"> </w:t>
      </w:r>
      <w:r w:rsidR="00764446">
        <w:t xml:space="preserve">AND </w:t>
      </w:r>
      <w:r w:rsidR="003A64CB">
        <w:t xml:space="preserve"> [¶]  5</w:t>
      </w:r>
      <w:r w:rsidR="00764446">
        <w:t xml:space="preserve">. </w:t>
      </w:r>
      <w:r w:rsidR="00764446" w:rsidRPr="00D32166">
        <w:rPr>
          <w:i/>
          <w:iCs/>
        </w:rPr>
        <w:t>The defendant had the intent to kill at the time of</w:t>
      </w:r>
      <w:r w:rsidR="003A64CB" w:rsidRPr="00D32166">
        <w:rPr>
          <w:i/>
          <w:iCs/>
        </w:rPr>
        <w:t xml:space="preserve"> </w:t>
      </w:r>
      <w:r w:rsidR="00764446" w:rsidRPr="00D32166">
        <w:rPr>
          <w:i/>
          <w:iCs/>
        </w:rPr>
        <w:t>the killing</w:t>
      </w:r>
      <w:r w:rsidR="00764446">
        <w:t>.</w:t>
      </w:r>
      <w:r w:rsidR="003A64CB">
        <w:t>”</w:t>
      </w:r>
      <w:r w:rsidR="00965254">
        <w:t xml:space="preserve"> </w:t>
      </w:r>
      <w:r w:rsidR="00D32166">
        <w:t xml:space="preserve"> (CALCRIM No. 736, italics added.)</w:t>
      </w:r>
    </w:p>
    <w:p w14:paraId="64595169" w14:textId="69EA57E2" w:rsidR="00AA15EC" w:rsidRDefault="00C235F7" w:rsidP="00FC7FD6">
      <w:pPr>
        <w:widowControl w:val="0"/>
        <w:tabs>
          <w:tab w:val="left" w:pos="1440"/>
          <w:tab w:val="left" w:leader="underscore" w:pos="5040"/>
          <w:tab w:val="left" w:pos="5490"/>
        </w:tabs>
        <w:spacing w:line="480" w:lineRule="atLeast"/>
      </w:pPr>
      <w:r>
        <w:tab/>
      </w:r>
      <w:r w:rsidR="00EE66AA">
        <w:t xml:space="preserve">Here, the jury’s </w:t>
      </w:r>
      <w:r w:rsidR="00A63326">
        <w:t xml:space="preserve">true finding on the gang special circumstance </w:t>
      </w:r>
      <w:r w:rsidR="009E4D5A">
        <w:t xml:space="preserve">certainly </w:t>
      </w:r>
      <w:r w:rsidR="00A63326">
        <w:t>establishes Pacheco</w:t>
      </w:r>
      <w:r w:rsidR="00CB41DD">
        <w:t xml:space="preserve"> </w:t>
      </w:r>
      <w:r w:rsidR="008422AB">
        <w:t>inten</w:t>
      </w:r>
      <w:r w:rsidR="00F87094">
        <w:t xml:space="preserve">ded </w:t>
      </w:r>
      <w:r w:rsidR="00F6305B">
        <w:t>to kill Abraham Sanchez</w:t>
      </w:r>
      <w:r w:rsidR="00A63326">
        <w:t xml:space="preserve"> at the time of </w:t>
      </w:r>
      <w:r w:rsidR="009755D4">
        <w:t xml:space="preserve">his </w:t>
      </w:r>
      <w:r w:rsidR="00A63326">
        <w:t>killing</w:t>
      </w:r>
      <w:r w:rsidR="000077EA">
        <w:t xml:space="preserve"> (the mens rea)</w:t>
      </w:r>
      <w:r w:rsidR="00D32166">
        <w:t xml:space="preserve">.  </w:t>
      </w:r>
      <w:r w:rsidR="00A63326">
        <w:t xml:space="preserve">But the </w:t>
      </w:r>
      <w:r w:rsidR="00DD7925">
        <w:t xml:space="preserve">gang circumstance instruction </w:t>
      </w:r>
      <w:r w:rsidR="007F7D92">
        <w:t xml:space="preserve">does </w:t>
      </w:r>
      <w:r w:rsidR="00CB41DD">
        <w:t>not establish</w:t>
      </w:r>
      <w:r w:rsidR="009B2804">
        <w:t>—</w:t>
      </w:r>
      <w:r w:rsidR="007F7D92">
        <w:t>as a matter of law</w:t>
      </w:r>
      <w:r w:rsidR="009B2804">
        <w:t>—</w:t>
      </w:r>
      <w:r w:rsidR="007F7D92">
        <w:t xml:space="preserve">that </w:t>
      </w:r>
      <w:r w:rsidR="00CB41DD">
        <w:t>Pacheco</w:t>
      </w:r>
      <w:r w:rsidR="00D32DAA">
        <w:t xml:space="preserve"> </w:t>
      </w:r>
      <w:r w:rsidR="00F55442" w:rsidRPr="00F87094">
        <w:rPr>
          <w:i/>
          <w:iCs/>
        </w:rPr>
        <w:t xml:space="preserve">directly </w:t>
      </w:r>
      <w:r w:rsidR="00F6305B" w:rsidRPr="00F87094">
        <w:rPr>
          <w:i/>
          <w:iCs/>
        </w:rPr>
        <w:t>aid</w:t>
      </w:r>
      <w:r w:rsidR="00F26147" w:rsidRPr="00F87094">
        <w:rPr>
          <w:i/>
          <w:iCs/>
        </w:rPr>
        <w:t>ed</w:t>
      </w:r>
      <w:r w:rsidR="00F6305B" w:rsidRPr="00F87094">
        <w:rPr>
          <w:i/>
          <w:iCs/>
        </w:rPr>
        <w:t xml:space="preserve"> and abet</w:t>
      </w:r>
      <w:r w:rsidR="00F26147" w:rsidRPr="00F87094">
        <w:rPr>
          <w:i/>
          <w:iCs/>
        </w:rPr>
        <w:t>ted</w:t>
      </w:r>
      <w:r w:rsidR="00F6305B">
        <w:t xml:space="preserve"> </w:t>
      </w:r>
      <w:r w:rsidR="008422AB">
        <w:t xml:space="preserve">the </w:t>
      </w:r>
      <w:r w:rsidR="009755D4">
        <w:t xml:space="preserve">killing </w:t>
      </w:r>
      <w:r w:rsidR="001F0EF6">
        <w:t>of Sanchez</w:t>
      </w:r>
      <w:r w:rsidR="00960216">
        <w:t xml:space="preserve"> (the actus reus)</w:t>
      </w:r>
      <w:r w:rsidR="001F0EF6">
        <w:t>.</w:t>
      </w:r>
      <w:r w:rsidR="008422AB">
        <w:t xml:space="preserve">  </w:t>
      </w:r>
      <w:r w:rsidR="00D32DAA">
        <w:t xml:space="preserve">In other words, </w:t>
      </w:r>
      <w:r w:rsidR="007F7D92">
        <w:t xml:space="preserve">without </w:t>
      </w:r>
      <w:r w:rsidR="00C05641" w:rsidRPr="003B4339">
        <w:t xml:space="preserve">weighing </w:t>
      </w:r>
      <w:r w:rsidR="00C05641">
        <w:t xml:space="preserve">the </w:t>
      </w:r>
      <w:r w:rsidR="00C05641" w:rsidRPr="003B4339">
        <w:t>evidence</w:t>
      </w:r>
      <w:r w:rsidR="00C05641">
        <w:t xml:space="preserve">, </w:t>
      </w:r>
      <w:r w:rsidR="003D35D6">
        <w:t xml:space="preserve">it is possible Pacheco intended to kill, but </w:t>
      </w:r>
      <w:r w:rsidR="00F55442">
        <w:t xml:space="preserve">he </w:t>
      </w:r>
      <w:r w:rsidR="00373099">
        <w:t>did</w:t>
      </w:r>
      <w:r w:rsidR="003D35D6">
        <w:t xml:space="preserve"> nothing to </w:t>
      </w:r>
      <w:r w:rsidR="00822DEB">
        <w:t xml:space="preserve">directly </w:t>
      </w:r>
      <w:r w:rsidR="00DF6614">
        <w:t>“</w:t>
      </w:r>
      <w:r w:rsidR="00DF6614" w:rsidRPr="00DB2130">
        <w:t>aid, facilitate, promote, encourage, or instigate</w:t>
      </w:r>
      <w:r w:rsidR="00DF6614">
        <w:t xml:space="preserve">” </w:t>
      </w:r>
      <w:r w:rsidR="003D35D6">
        <w:t xml:space="preserve">the </w:t>
      </w:r>
      <w:r w:rsidR="00F87094">
        <w:t>target crime of murder</w:t>
      </w:r>
      <w:r w:rsidR="003D35D6">
        <w:t>.</w:t>
      </w:r>
      <w:r w:rsidR="00883854">
        <w:t xml:space="preserve">  </w:t>
      </w:r>
      <w:r w:rsidR="00DF6614">
        <w:t>(See CALCRIM No. 401.)</w:t>
      </w:r>
    </w:p>
    <w:p w14:paraId="0BD3C3D5" w14:textId="1B9D8DCD" w:rsidR="002A50B4" w:rsidRDefault="00C235F7" w:rsidP="00FC7FD6">
      <w:pPr>
        <w:widowControl w:val="0"/>
        <w:tabs>
          <w:tab w:val="left" w:pos="1440"/>
          <w:tab w:val="left" w:leader="underscore" w:pos="5040"/>
          <w:tab w:val="left" w:pos="5490"/>
        </w:tabs>
        <w:spacing w:line="480" w:lineRule="atLeast"/>
      </w:pPr>
      <w:r>
        <w:tab/>
      </w:r>
      <w:r w:rsidR="000077EA">
        <w:t>C</w:t>
      </w:r>
      <w:r w:rsidR="00D32DAA">
        <w:t xml:space="preserve">ritical to </w:t>
      </w:r>
      <w:r w:rsidR="00677227">
        <w:t xml:space="preserve">our </w:t>
      </w:r>
      <w:r w:rsidR="00D32DAA">
        <w:t xml:space="preserve">analysis is </w:t>
      </w:r>
      <w:r w:rsidR="007F7D92">
        <w:t xml:space="preserve">that </w:t>
      </w:r>
      <w:r w:rsidR="003D35D6">
        <w:t>t</w:t>
      </w:r>
      <w:r w:rsidR="000C3FE3">
        <w:t xml:space="preserve">he </w:t>
      </w:r>
      <w:r w:rsidR="000D18F9">
        <w:t xml:space="preserve">court </w:t>
      </w:r>
      <w:r w:rsidR="000C3FE3">
        <w:t>instructed</w:t>
      </w:r>
      <w:r w:rsidR="00960216">
        <w:t xml:space="preserve"> </w:t>
      </w:r>
      <w:r w:rsidR="000D18F9">
        <w:t xml:space="preserve">the jurors </w:t>
      </w:r>
      <w:r w:rsidR="000C3FE3">
        <w:t xml:space="preserve">they could find Pacheco guilty of murder if he aided and abetted </w:t>
      </w:r>
      <w:r w:rsidR="000D18F9">
        <w:t xml:space="preserve">one of </w:t>
      </w:r>
      <w:r w:rsidR="000C3FE3">
        <w:t xml:space="preserve">the </w:t>
      </w:r>
      <w:r w:rsidR="00F87094">
        <w:t xml:space="preserve">three </w:t>
      </w:r>
      <w:r w:rsidR="00960216">
        <w:t xml:space="preserve">target </w:t>
      </w:r>
      <w:r w:rsidR="000C3FE3">
        <w:t xml:space="preserve">crimes </w:t>
      </w:r>
      <w:r w:rsidR="00960216">
        <w:t>(</w:t>
      </w:r>
      <w:r w:rsidR="000C3FE3" w:rsidRPr="00374587">
        <w:t>assault with a deadly weapon, assault</w:t>
      </w:r>
      <w:r w:rsidR="008422AB">
        <w:t xml:space="preserve">, </w:t>
      </w:r>
      <w:r w:rsidR="000C3FE3" w:rsidRPr="00374587">
        <w:t>or disturbing the peace</w:t>
      </w:r>
      <w:r w:rsidR="00960216">
        <w:t>) and the nontarget crime (murder) was a natural and probable consequence</w:t>
      </w:r>
      <w:r w:rsidR="001D3EE4">
        <w:t xml:space="preserve"> of </w:t>
      </w:r>
      <w:r w:rsidR="00677227">
        <w:t xml:space="preserve">one of </w:t>
      </w:r>
      <w:r w:rsidR="001D3EE4">
        <w:t>the target crime</w:t>
      </w:r>
      <w:r w:rsidR="003D35D6">
        <w:t>s</w:t>
      </w:r>
      <w:r w:rsidR="00960216">
        <w:t>.</w:t>
      </w:r>
      <w:r w:rsidR="00243112">
        <w:t xml:space="preserve">  </w:t>
      </w:r>
      <w:r w:rsidR="00677227">
        <w:t xml:space="preserve">(See CALRIM Nos. </w:t>
      </w:r>
      <w:r w:rsidR="00677227">
        <w:lastRenderedPageBreak/>
        <w:t>400, 401.)</w:t>
      </w:r>
      <w:r w:rsidR="00965254">
        <w:t xml:space="preserve"> </w:t>
      </w:r>
      <w:r w:rsidR="0011378A">
        <w:t xml:space="preserve"> Therefore</w:t>
      </w:r>
      <w:r w:rsidR="001D3EE4">
        <w:t xml:space="preserve">, </w:t>
      </w:r>
      <w:r w:rsidR="000077EA">
        <w:t xml:space="preserve">the </w:t>
      </w:r>
      <w:r w:rsidR="00A44D6C">
        <w:t xml:space="preserve">jury </w:t>
      </w:r>
      <w:r w:rsidR="000D18F9">
        <w:t xml:space="preserve">could have </w:t>
      </w:r>
      <w:r w:rsidR="009F0766">
        <w:t xml:space="preserve">potentially </w:t>
      </w:r>
      <w:r w:rsidR="000D18F9">
        <w:t xml:space="preserve">found Pacheco </w:t>
      </w:r>
      <w:r w:rsidR="009E3A6B">
        <w:t>intended</w:t>
      </w:r>
      <w:r w:rsidR="000D18F9">
        <w:t xml:space="preserve"> to kill Sanchez</w:t>
      </w:r>
      <w:r w:rsidR="00243112">
        <w:t xml:space="preserve"> </w:t>
      </w:r>
      <w:r w:rsidR="00D32DAA">
        <w:t xml:space="preserve">under the gang special circumstance </w:t>
      </w:r>
      <w:r w:rsidR="000C3AE6">
        <w:t>enhancement</w:t>
      </w:r>
      <w:r w:rsidR="00677227">
        <w:t xml:space="preserve"> (the mens rea)</w:t>
      </w:r>
      <w:r w:rsidR="00D32DAA">
        <w:t xml:space="preserve">, </w:t>
      </w:r>
      <w:r w:rsidR="000D18F9">
        <w:t xml:space="preserve">but </w:t>
      </w:r>
      <w:r w:rsidR="00DA1E85">
        <w:t>under t</w:t>
      </w:r>
      <w:r w:rsidR="000D18F9">
        <w:t xml:space="preserve">he natural and probable consequence </w:t>
      </w:r>
      <w:r w:rsidR="00672AEB">
        <w:t>theory</w:t>
      </w:r>
      <w:r w:rsidR="000D18F9">
        <w:t xml:space="preserve">, Pacheco only </w:t>
      </w:r>
      <w:r w:rsidR="00B80FAA">
        <w:t xml:space="preserve">actually </w:t>
      </w:r>
      <w:r w:rsidR="000D18F9">
        <w:t xml:space="preserve">aided and abetted </w:t>
      </w:r>
      <w:r w:rsidR="008F0BDE">
        <w:t xml:space="preserve">the </w:t>
      </w:r>
      <w:r w:rsidR="00F87094">
        <w:t xml:space="preserve">nontarget </w:t>
      </w:r>
      <w:r w:rsidR="008F0BDE">
        <w:t xml:space="preserve">crime </w:t>
      </w:r>
      <w:r w:rsidR="00DA3CF5">
        <w:t xml:space="preserve">of </w:t>
      </w:r>
      <w:r w:rsidR="008F0BDE">
        <w:t>disturbing the peace</w:t>
      </w:r>
      <w:r w:rsidR="00677227">
        <w:t xml:space="preserve"> (the actus reus)</w:t>
      </w:r>
      <w:r w:rsidR="008422AB">
        <w:t xml:space="preserve">.  </w:t>
      </w:r>
      <w:r>
        <w:t xml:space="preserve">(See </w:t>
      </w:r>
      <w:r w:rsidRPr="009E7F43">
        <w:rPr>
          <w:i/>
          <w:iCs/>
        </w:rPr>
        <w:t>Lewis</w:t>
      </w:r>
      <w:r>
        <w:t xml:space="preserve">, </w:t>
      </w:r>
      <w:r w:rsidRPr="009E7F43">
        <w:rPr>
          <w:i/>
          <w:iCs/>
        </w:rPr>
        <w:t>supra</w:t>
      </w:r>
      <w:r>
        <w:t>, 11 Cal.5th at p. 971, italics added</w:t>
      </w:r>
      <w:r w:rsidR="008A4C56">
        <w:t xml:space="preserve"> </w:t>
      </w:r>
      <w:r>
        <w:t>[“The record of conviction will necessarily inform the trial court’s prima facie inquiry . . . , allowing the court t</w:t>
      </w:r>
      <w:r>
        <w:t xml:space="preserve">o distinguish petitions with </w:t>
      </w:r>
      <w:r w:rsidRPr="009E7F43">
        <w:rPr>
          <w:i/>
          <w:iCs/>
        </w:rPr>
        <w:t>potential merit</w:t>
      </w:r>
      <w:r>
        <w:t xml:space="preserve"> from those that are clearly meritless”].)</w:t>
      </w:r>
    </w:p>
    <w:p w14:paraId="425B3043" w14:textId="5B1BF7F9" w:rsidR="00F87094" w:rsidRDefault="00C235F7" w:rsidP="00FC7FD6">
      <w:pPr>
        <w:widowControl w:val="0"/>
        <w:tabs>
          <w:tab w:val="left" w:pos="1440"/>
          <w:tab w:val="left" w:leader="underscore" w:pos="5040"/>
        </w:tabs>
        <w:spacing w:line="480" w:lineRule="atLeast"/>
      </w:pPr>
      <w:r>
        <w:tab/>
      </w:r>
      <w:r w:rsidR="000077EA">
        <w:t>To reiterate and conclude</w:t>
      </w:r>
      <w:r w:rsidR="00773354">
        <w:t xml:space="preserve">, </w:t>
      </w:r>
      <w:r w:rsidR="009D704B">
        <w:t xml:space="preserve">at least at the prima facie stage, </w:t>
      </w:r>
      <w:r w:rsidR="0008273A">
        <w:t xml:space="preserve">Pacheco’s </w:t>
      </w:r>
      <w:r>
        <w:t xml:space="preserve">gang special circumstance </w:t>
      </w:r>
      <w:r w:rsidR="0008273A">
        <w:t xml:space="preserve">enhancement </w:t>
      </w:r>
      <w:r>
        <w:t>do</w:t>
      </w:r>
      <w:r w:rsidR="00DD7925">
        <w:t xml:space="preserve">es </w:t>
      </w:r>
      <w:r>
        <w:t xml:space="preserve">not </w:t>
      </w:r>
      <w:r w:rsidR="009D704B">
        <w:t xml:space="preserve">establish as a matter of law </w:t>
      </w:r>
      <w:r w:rsidR="0008273A">
        <w:t xml:space="preserve">that </w:t>
      </w:r>
      <w:r w:rsidR="009D704B">
        <w:t xml:space="preserve">Pacheco had </w:t>
      </w:r>
      <w:r w:rsidR="00243112">
        <w:t xml:space="preserve">both </w:t>
      </w:r>
      <w:r w:rsidR="0005552C">
        <w:t>“had the requisite intent” (the mens rea)</w:t>
      </w:r>
      <w:r w:rsidR="00677227">
        <w:t xml:space="preserve">, </w:t>
      </w:r>
      <w:r w:rsidR="0005552C">
        <w:t xml:space="preserve">and </w:t>
      </w:r>
      <w:r w:rsidR="00773354">
        <w:t xml:space="preserve">he </w:t>
      </w:r>
      <w:r w:rsidR="0005552C">
        <w:t>“engaged in the requisite acts” (the actus reus)</w:t>
      </w:r>
      <w:r w:rsidR="00677227">
        <w:t>,</w:t>
      </w:r>
      <w:r w:rsidR="0005552C">
        <w:t xml:space="preserve"> to </w:t>
      </w:r>
      <w:r w:rsidR="009D704B">
        <w:t xml:space="preserve">prove </w:t>
      </w:r>
      <w:r w:rsidR="00EE66AA">
        <w:t>he</w:t>
      </w:r>
      <w:r w:rsidR="009D704B">
        <w:t xml:space="preserve"> </w:t>
      </w:r>
      <w:r w:rsidR="00DA3CF5">
        <w:t xml:space="preserve">directly </w:t>
      </w:r>
      <w:r w:rsidR="0005552C">
        <w:t>aide</w:t>
      </w:r>
      <w:r w:rsidR="00DA3CF5">
        <w:t>d</w:t>
      </w:r>
      <w:r w:rsidR="0005552C">
        <w:t xml:space="preserve"> and abett</w:t>
      </w:r>
      <w:r w:rsidR="00DA3CF5">
        <w:t xml:space="preserve">ed the </w:t>
      </w:r>
      <w:r w:rsidR="00F64783">
        <w:t xml:space="preserve">target </w:t>
      </w:r>
      <w:r w:rsidR="00773354">
        <w:t>crime of murder</w:t>
      </w:r>
      <w:r w:rsidR="0005552C">
        <w:t>.</w:t>
      </w:r>
      <w:r w:rsidR="00F64783">
        <w:t xml:space="preserve">  </w:t>
      </w:r>
      <w:r w:rsidR="0005552C">
        <w:t xml:space="preserve">(See </w:t>
      </w:r>
      <w:r w:rsidR="0005552C" w:rsidRPr="00BB5D0A">
        <w:rPr>
          <w:i/>
          <w:iCs/>
        </w:rPr>
        <w:t>People v. Duchine</w:t>
      </w:r>
      <w:r w:rsidR="0005552C" w:rsidRPr="00965254">
        <w:t>,</w:t>
      </w:r>
      <w:r w:rsidR="0005552C">
        <w:rPr>
          <w:i/>
          <w:iCs/>
        </w:rPr>
        <w:t xml:space="preserve"> supra</w:t>
      </w:r>
      <w:r w:rsidR="0005552C" w:rsidRPr="00965254">
        <w:rPr>
          <w:i/>
          <w:iCs/>
        </w:rPr>
        <w:t>,</w:t>
      </w:r>
      <w:r w:rsidR="0005552C">
        <w:rPr>
          <w:i/>
          <w:iCs/>
        </w:rPr>
        <w:t xml:space="preserve"> </w:t>
      </w:r>
      <w:r w:rsidR="0005552C">
        <w:t xml:space="preserve">60 Cal.App.5th </w:t>
      </w:r>
      <w:r w:rsidR="008A4C56">
        <w:t>798</w:t>
      </w:r>
      <w:r w:rsidR="0005552C">
        <w:t>.)</w:t>
      </w:r>
    </w:p>
    <w:p w14:paraId="7A2DFF82" w14:textId="525AEE35" w:rsidR="00965254" w:rsidRDefault="00C235F7" w:rsidP="00FC7FD6">
      <w:pPr>
        <w:widowControl w:val="0"/>
        <w:tabs>
          <w:tab w:val="left" w:pos="1440"/>
          <w:tab w:val="left" w:leader="underscore" w:pos="5040"/>
        </w:tabs>
        <w:spacing w:line="480" w:lineRule="atLeast"/>
      </w:pPr>
      <w:r>
        <w:tab/>
      </w:r>
      <w:r w:rsidR="00F64783">
        <w:t>Th</w:t>
      </w:r>
      <w:r w:rsidR="009860D3">
        <w:t>us</w:t>
      </w:r>
      <w:r w:rsidR="00F64783">
        <w:t xml:space="preserve">, </w:t>
      </w:r>
      <w:r w:rsidR="009860D3">
        <w:t xml:space="preserve">the trial court is required to issue an </w:t>
      </w:r>
      <w:r w:rsidR="008A4C56">
        <w:t>OSC</w:t>
      </w:r>
      <w:r w:rsidR="009860D3">
        <w:t xml:space="preserve">, and </w:t>
      </w:r>
      <w:r w:rsidR="00F64783">
        <w:t>Pacheco is entitled to an evidentiary hearing</w:t>
      </w:r>
      <w:r>
        <w:t xml:space="preserve"> </w:t>
      </w:r>
      <w:r w:rsidR="005D4B5A">
        <w:t xml:space="preserve">on remand </w:t>
      </w:r>
      <w:r>
        <w:t>as to</w:t>
      </w:r>
      <w:r w:rsidR="009F6109">
        <w:t xml:space="preserve"> his </w:t>
      </w:r>
      <w:r>
        <w:t>murde</w:t>
      </w:r>
      <w:r w:rsidR="007D01A7">
        <w:t>r c</w:t>
      </w:r>
      <w:r w:rsidR="00A275B1">
        <w:t>onviction</w:t>
      </w:r>
      <w:r w:rsidR="00F64783">
        <w:t>.</w:t>
      </w:r>
      <w:r>
        <w:rPr>
          <w:rStyle w:val="FootnoteReference"/>
        </w:rPr>
        <w:footnoteReference w:id="3"/>
      </w:r>
    </w:p>
    <w:p w14:paraId="05713E8D" w14:textId="77777777" w:rsidR="00965254" w:rsidRDefault="00C235F7" w:rsidP="00FC7FD6">
      <w:pPr>
        <w:widowControl w:val="0"/>
      </w:pPr>
      <w:r>
        <w:br w:type="page"/>
      </w:r>
    </w:p>
    <w:p w14:paraId="246197AB" w14:textId="411FDF65" w:rsidR="00886444" w:rsidRDefault="00C235F7" w:rsidP="00886444">
      <w:pPr>
        <w:tabs>
          <w:tab w:val="left" w:pos="1440"/>
          <w:tab w:val="left" w:leader="underscore" w:pos="5040"/>
        </w:tabs>
        <w:spacing w:line="480" w:lineRule="atLeast"/>
        <w:jc w:val="center"/>
      </w:pPr>
      <w:r>
        <w:lastRenderedPageBreak/>
        <w:t>III</w:t>
      </w:r>
    </w:p>
    <w:p w14:paraId="59513223" w14:textId="5DDA8CAF" w:rsidR="00886444" w:rsidRDefault="00C235F7" w:rsidP="00886444">
      <w:pPr>
        <w:tabs>
          <w:tab w:val="left" w:pos="1440"/>
          <w:tab w:val="left" w:leader="underscore" w:pos="5040"/>
        </w:tabs>
        <w:spacing w:line="480" w:lineRule="atLeast"/>
        <w:jc w:val="center"/>
      </w:pPr>
      <w:r>
        <w:t>DISPOSITION</w:t>
      </w:r>
    </w:p>
    <w:p w14:paraId="24540DE9" w14:textId="4F4EF1D1" w:rsidR="00886444" w:rsidRDefault="00C235F7">
      <w:pPr>
        <w:tabs>
          <w:tab w:val="left" w:pos="1440"/>
          <w:tab w:val="left" w:leader="underscore" w:pos="5040"/>
        </w:tabs>
        <w:spacing w:line="480" w:lineRule="atLeast"/>
      </w:pPr>
      <w:r>
        <w:tab/>
        <w:t>The trial court</w:t>
      </w:r>
      <w:r w:rsidR="0005552C">
        <w:t xml:space="preserve">’s order denying </w:t>
      </w:r>
      <w:r w:rsidR="004F476C">
        <w:t xml:space="preserve">Pacheco’s </w:t>
      </w:r>
      <w:r w:rsidR="000F147D">
        <w:t xml:space="preserve">section 1170.95 petition </w:t>
      </w:r>
      <w:r>
        <w:t>is reversed.</w:t>
      </w:r>
      <w:r w:rsidR="0005552C">
        <w:t xml:space="preserve">  On remand, the court is directed to </w:t>
      </w:r>
      <w:r w:rsidR="000F147D">
        <w:t xml:space="preserve">issue an </w:t>
      </w:r>
      <w:r w:rsidR="00D6611A">
        <w:t xml:space="preserve">OSC </w:t>
      </w:r>
      <w:r w:rsidR="000F147D">
        <w:t xml:space="preserve">and </w:t>
      </w:r>
      <w:r w:rsidR="00D6611A">
        <w:t xml:space="preserve">to </w:t>
      </w:r>
      <w:r w:rsidR="000F147D">
        <w:t>conduct a</w:t>
      </w:r>
      <w:r w:rsidR="009E732B">
        <w:t xml:space="preserve"> </w:t>
      </w:r>
      <w:r w:rsidR="000F147D">
        <w:t xml:space="preserve">hearing as to </w:t>
      </w:r>
      <w:r w:rsidR="00466A5F">
        <w:t>the</w:t>
      </w:r>
      <w:r w:rsidR="00D6611A">
        <w:t xml:space="preserve"> </w:t>
      </w:r>
      <w:r w:rsidR="000F147D">
        <w:t xml:space="preserve">murder conviction.  </w:t>
      </w:r>
    </w:p>
    <w:p w14:paraId="693BDEAC" w14:textId="647962CA" w:rsidR="00886444" w:rsidRDefault="00886444" w:rsidP="00886444">
      <w:pPr>
        <w:keepNext/>
        <w:tabs>
          <w:tab w:val="left" w:pos="5040"/>
        </w:tabs>
      </w:pPr>
    </w:p>
    <w:p w14:paraId="6AE52624" w14:textId="71F2BC08" w:rsidR="00886444" w:rsidRDefault="00886444" w:rsidP="00886444">
      <w:pPr>
        <w:keepNext/>
        <w:tabs>
          <w:tab w:val="left" w:pos="5040"/>
        </w:tabs>
      </w:pPr>
    </w:p>
    <w:p w14:paraId="526D4D23" w14:textId="4E23866A" w:rsidR="00886444" w:rsidRDefault="00886444" w:rsidP="00886444">
      <w:pPr>
        <w:keepNext/>
        <w:tabs>
          <w:tab w:val="left" w:pos="5040"/>
        </w:tabs>
      </w:pPr>
    </w:p>
    <w:p w14:paraId="494D83CE" w14:textId="1E92DBBC" w:rsidR="00886444" w:rsidRDefault="00C235F7" w:rsidP="00886444">
      <w:pPr>
        <w:keepNext/>
        <w:tabs>
          <w:tab w:val="left" w:pos="5040"/>
        </w:tabs>
      </w:pPr>
      <w:r>
        <w:tab/>
        <w:t>MOORE, J.</w:t>
      </w:r>
    </w:p>
    <w:p w14:paraId="03046EC7" w14:textId="5C1A739A" w:rsidR="00886444" w:rsidRDefault="00886444" w:rsidP="00886444">
      <w:pPr>
        <w:keepNext/>
        <w:tabs>
          <w:tab w:val="left" w:pos="5040"/>
        </w:tabs>
      </w:pPr>
    </w:p>
    <w:p w14:paraId="7DD1B455" w14:textId="2EB6E0B8" w:rsidR="00886444" w:rsidRDefault="00C235F7" w:rsidP="00886444">
      <w:pPr>
        <w:keepNext/>
        <w:tabs>
          <w:tab w:val="left" w:pos="5040"/>
        </w:tabs>
      </w:pPr>
      <w:r>
        <w:t>WE CONCUR:</w:t>
      </w:r>
    </w:p>
    <w:p w14:paraId="38D7C6B0" w14:textId="48EE3198" w:rsidR="00886444" w:rsidRDefault="00886444" w:rsidP="00886444">
      <w:pPr>
        <w:keepNext/>
        <w:tabs>
          <w:tab w:val="left" w:pos="5040"/>
        </w:tabs>
      </w:pPr>
    </w:p>
    <w:p w14:paraId="74F15E05" w14:textId="6AB0E2CB" w:rsidR="00886444" w:rsidRDefault="00886444" w:rsidP="00886444">
      <w:pPr>
        <w:keepNext/>
        <w:tabs>
          <w:tab w:val="left" w:pos="5040"/>
        </w:tabs>
      </w:pPr>
    </w:p>
    <w:p w14:paraId="1EF9850D" w14:textId="43E85D02" w:rsidR="00886444" w:rsidRDefault="00886444" w:rsidP="00886444">
      <w:pPr>
        <w:keepNext/>
        <w:tabs>
          <w:tab w:val="left" w:pos="5040"/>
        </w:tabs>
      </w:pPr>
    </w:p>
    <w:p w14:paraId="0567EEEB" w14:textId="1EB4A386" w:rsidR="00886444" w:rsidRDefault="00C235F7" w:rsidP="00886444">
      <w:pPr>
        <w:keepNext/>
        <w:tabs>
          <w:tab w:val="left" w:pos="5040"/>
        </w:tabs>
      </w:pPr>
      <w:r>
        <w:t>O’LEARY, P. J.</w:t>
      </w:r>
    </w:p>
    <w:p w14:paraId="654C8B45" w14:textId="4487CC01" w:rsidR="00886444" w:rsidRDefault="00886444" w:rsidP="00886444">
      <w:pPr>
        <w:keepNext/>
        <w:tabs>
          <w:tab w:val="left" w:pos="5040"/>
        </w:tabs>
      </w:pPr>
    </w:p>
    <w:p w14:paraId="28AA1875" w14:textId="20790F08" w:rsidR="00886444" w:rsidRDefault="00886444" w:rsidP="00886444">
      <w:pPr>
        <w:keepNext/>
        <w:tabs>
          <w:tab w:val="left" w:pos="5040"/>
        </w:tabs>
      </w:pPr>
    </w:p>
    <w:p w14:paraId="5F42672B" w14:textId="44450106" w:rsidR="00886444" w:rsidRDefault="00886444" w:rsidP="00886444">
      <w:pPr>
        <w:keepNext/>
        <w:tabs>
          <w:tab w:val="left" w:pos="5040"/>
        </w:tabs>
      </w:pPr>
    </w:p>
    <w:p w14:paraId="7AF4803C" w14:textId="4F8E8EF4" w:rsidR="00F02F27" w:rsidRDefault="00C235F7" w:rsidP="00594B14">
      <w:pPr>
        <w:keepNext/>
        <w:tabs>
          <w:tab w:val="left" w:pos="5040"/>
        </w:tabs>
      </w:pPr>
      <w:r>
        <w:t>BEDSWORTH, J.</w:t>
      </w:r>
    </w:p>
    <w:sectPr w:rsidR="00F02F27" w:rsidSect="00A84B9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51C9D" w14:textId="77777777" w:rsidR="00000000" w:rsidRDefault="00C235F7">
      <w:r>
        <w:separator/>
      </w:r>
    </w:p>
  </w:endnote>
  <w:endnote w:type="continuationSeparator" w:id="0">
    <w:p w14:paraId="26F95792" w14:textId="77777777" w:rsidR="00000000" w:rsidRDefault="00C23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B34D8" w14:textId="712E6949" w:rsidR="00A84B93" w:rsidRDefault="00C235F7" w:rsidP="004E7DB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p w14:paraId="14273B42" w14:textId="77777777" w:rsidR="00A84B93" w:rsidRDefault="00A84B93">
    <w:pPr>
      <w:pStyle w:val="Footer"/>
    </w:pPr>
  </w:p>
  <w:p w14:paraId="61150901" w14:textId="77777777" w:rsidR="00F136A0" w:rsidRDefault="00F136A0"/>
  <w:p w14:paraId="133CB186" w14:textId="77777777" w:rsidR="00F136A0" w:rsidRDefault="00F136A0"/>
  <w:p w14:paraId="5308FE80" w14:textId="77777777" w:rsidR="004C310F" w:rsidRDefault="004C31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EEBF" w14:textId="0821588C" w:rsidR="00A84B93" w:rsidRDefault="00C235F7" w:rsidP="004E7DB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448E4E3" w14:textId="77777777" w:rsidR="00A84B93" w:rsidRDefault="00A84B93">
    <w:pPr>
      <w:pStyle w:val="Footer"/>
    </w:pPr>
  </w:p>
  <w:p w14:paraId="2D5F8358" w14:textId="77777777" w:rsidR="00F136A0" w:rsidRDefault="00F136A0"/>
  <w:p w14:paraId="4B592D7B" w14:textId="77777777" w:rsidR="00F136A0" w:rsidRDefault="00F136A0"/>
  <w:p w14:paraId="646DA880" w14:textId="77777777" w:rsidR="004C310F" w:rsidRDefault="004C310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36605" w14:textId="77777777" w:rsidR="00A2300A" w:rsidRDefault="00A23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F59C0" w14:textId="77777777" w:rsidR="005A6F57" w:rsidRDefault="00C235F7" w:rsidP="00A84B93">
      <w:r>
        <w:separator/>
      </w:r>
    </w:p>
  </w:footnote>
  <w:footnote w:type="continuationSeparator" w:id="0">
    <w:p w14:paraId="0191115C" w14:textId="77777777" w:rsidR="005A6F57" w:rsidRDefault="00C235F7" w:rsidP="00A84B93">
      <w:r>
        <w:continuationSeparator/>
      </w:r>
    </w:p>
  </w:footnote>
  <w:footnote w:id="1">
    <w:p w14:paraId="626B6AA3" w14:textId="012AED89" w:rsidR="0036477F" w:rsidRDefault="00C235F7" w:rsidP="0036477F">
      <w:pPr>
        <w:pStyle w:val="FootnoteText"/>
      </w:pPr>
      <w:r>
        <w:rPr>
          <w:rStyle w:val="FootnoteReference"/>
        </w:rPr>
        <w:footnoteRef/>
      </w:r>
      <w:r>
        <w:t xml:space="preserve"> Further undesignated statutory references are to the Penal Code.</w:t>
      </w:r>
    </w:p>
  </w:footnote>
  <w:footnote w:id="2">
    <w:p w14:paraId="60257306" w14:textId="027AF508" w:rsidR="0001316B" w:rsidRPr="009867B3" w:rsidRDefault="00C235F7" w:rsidP="0001316B">
      <w:pPr>
        <w:pStyle w:val="FootnoteText"/>
      </w:pPr>
      <w:r>
        <w:rPr>
          <w:rStyle w:val="FootnoteReference"/>
        </w:rPr>
        <w:footnoteRef/>
      </w:r>
      <w:r>
        <w:t xml:space="preserve"> </w:t>
      </w:r>
      <w:r w:rsidRPr="009867B3">
        <w:t xml:space="preserve">The Attorney General did not argue on appeal that the </w:t>
      </w:r>
      <w:r>
        <w:t xml:space="preserve">jury’s </w:t>
      </w:r>
      <w:r w:rsidRPr="009867B3">
        <w:t xml:space="preserve">first degree murder </w:t>
      </w:r>
      <w:r>
        <w:t xml:space="preserve">finding (premeditation and deliberation), or the related jury </w:t>
      </w:r>
      <w:r w:rsidRPr="009867B3">
        <w:t>instruction (CALCRIM No. 521)</w:t>
      </w:r>
      <w:r>
        <w:t>,</w:t>
      </w:r>
      <w:r w:rsidRPr="009867B3">
        <w:t xml:space="preserve"> </w:t>
      </w:r>
      <w:r>
        <w:t xml:space="preserve">causes </w:t>
      </w:r>
      <w:r w:rsidRPr="009867B3">
        <w:t xml:space="preserve">Pacheco </w:t>
      </w:r>
      <w:r>
        <w:t xml:space="preserve">to be </w:t>
      </w:r>
      <w:r w:rsidRPr="009867B3">
        <w:t>ineligible for relief under section 1170.95 as a matter of law.  Therefore, that potential argument has been forfeited</w:t>
      </w:r>
      <w:r>
        <w:t xml:space="preserve"> on appeal</w:t>
      </w:r>
      <w:r w:rsidRPr="009867B3">
        <w:t xml:space="preserve">.  (See </w:t>
      </w:r>
      <w:r w:rsidRPr="009867B3">
        <w:rPr>
          <w:i/>
          <w:iCs/>
        </w:rPr>
        <w:t>People</w:t>
      </w:r>
      <w:r w:rsidRPr="009867B3">
        <w:rPr>
          <w:i/>
          <w:iCs/>
        </w:rPr>
        <w:t xml:space="preserve"> v. Barnett</w:t>
      </w:r>
      <w:r w:rsidRPr="009867B3">
        <w:t xml:space="preserve"> (1998) 17 Cal.4th 1044, </w:t>
      </w:r>
      <w:r w:rsidR="00C41085">
        <w:t>1181-</w:t>
      </w:r>
      <w:r w:rsidRPr="009867B3">
        <w:t xml:space="preserve">1182 [the failure to support claim with adequate argument forfeits the claim as not properly raised]; </w:t>
      </w:r>
      <w:r w:rsidRPr="009867B3">
        <w:rPr>
          <w:i/>
          <w:iCs/>
        </w:rPr>
        <w:t>Jones v. Superior Court</w:t>
      </w:r>
      <w:r w:rsidRPr="009867B3">
        <w:t xml:space="preserve"> (1994) 26 Cal.App.4th 92, 99 [“Issues do not have a life of their own: if they are not ra</w:t>
      </w:r>
      <w:r w:rsidRPr="009867B3">
        <w:t>ised or supported by argument  or citation to authority, we consider the issues waived”].)</w:t>
      </w:r>
    </w:p>
  </w:footnote>
  <w:footnote w:id="3">
    <w:p w14:paraId="0AA641CE" w14:textId="652DF503" w:rsidR="0008273A" w:rsidRDefault="00C235F7" w:rsidP="00BF6FE0">
      <w:pPr>
        <w:pStyle w:val="FootnoteText"/>
      </w:pPr>
      <w:r>
        <w:rPr>
          <w:rStyle w:val="FootnoteReference"/>
        </w:rPr>
        <w:footnoteRef/>
      </w:r>
      <w:r>
        <w:t xml:space="preserve"> </w:t>
      </w:r>
      <w:r w:rsidR="00BF6FE0">
        <w:t xml:space="preserve">“At the hearing to determine whether the petitioner is entitled to relief, the burden of proof shall be on the prosecution to prove, beyond a reasonable doubt, that the petitioner is guilty of murder or attempted murder under California law as amended by the changes to Section 188 or 189 made effective January 1, 2019.  The admission of evidence in the hearing shall be governed by the Evidence Code, except that the court may consider evidence previously admitted at any prior hearing or trial that is admissible under current law, including witness testimony, stipulated evidence, and matters judicially noticed.  The court may also consider </w:t>
      </w:r>
      <w:r w:rsidR="00BF6FE0" w:rsidRPr="00BF6FE0">
        <w:rPr>
          <w:i/>
          <w:iCs/>
        </w:rPr>
        <w:t xml:space="preserve">the procedural history of the case </w:t>
      </w:r>
      <w:r w:rsidR="00BF6FE0">
        <w:t>recited in any prior appellate opinion.”  (§ 1170.95, subd. (d)(3).)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2CE16" w14:textId="77777777" w:rsidR="00A2300A" w:rsidRDefault="00A230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AACC5" w14:textId="77777777" w:rsidR="00A2300A" w:rsidRDefault="00A230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C4B75" w14:textId="77777777" w:rsidR="00A2300A" w:rsidRDefault="00A230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B93"/>
    <w:rsid w:val="000072A3"/>
    <w:rsid w:val="000077EA"/>
    <w:rsid w:val="0001316B"/>
    <w:rsid w:val="00030FB0"/>
    <w:rsid w:val="00036785"/>
    <w:rsid w:val="00041E07"/>
    <w:rsid w:val="0005552C"/>
    <w:rsid w:val="00081045"/>
    <w:rsid w:val="00082420"/>
    <w:rsid w:val="0008273A"/>
    <w:rsid w:val="00091C67"/>
    <w:rsid w:val="000A0293"/>
    <w:rsid w:val="000B409C"/>
    <w:rsid w:val="000C3AE6"/>
    <w:rsid w:val="000C3FE3"/>
    <w:rsid w:val="000C7037"/>
    <w:rsid w:val="000C726B"/>
    <w:rsid w:val="000D18F9"/>
    <w:rsid w:val="000D2501"/>
    <w:rsid w:val="000D3417"/>
    <w:rsid w:val="000D40D4"/>
    <w:rsid w:val="000D6609"/>
    <w:rsid w:val="000F147D"/>
    <w:rsid w:val="000F1F39"/>
    <w:rsid w:val="00102073"/>
    <w:rsid w:val="00110478"/>
    <w:rsid w:val="0011378A"/>
    <w:rsid w:val="001148B1"/>
    <w:rsid w:val="00125BA2"/>
    <w:rsid w:val="0013160F"/>
    <w:rsid w:val="00135DE0"/>
    <w:rsid w:val="00151307"/>
    <w:rsid w:val="00156412"/>
    <w:rsid w:val="00161A02"/>
    <w:rsid w:val="00165F62"/>
    <w:rsid w:val="00167DF3"/>
    <w:rsid w:val="00175517"/>
    <w:rsid w:val="001774B9"/>
    <w:rsid w:val="0018152C"/>
    <w:rsid w:val="0018200C"/>
    <w:rsid w:val="00182331"/>
    <w:rsid w:val="001A2C6C"/>
    <w:rsid w:val="001A6AAB"/>
    <w:rsid w:val="001B2273"/>
    <w:rsid w:val="001C53AF"/>
    <w:rsid w:val="001D3EE4"/>
    <w:rsid w:val="001D4D88"/>
    <w:rsid w:val="001E212D"/>
    <w:rsid w:val="001E3F7D"/>
    <w:rsid w:val="001F0EF6"/>
    <w:rsid w:val="001F230E"/>
    <w:rsid w:val="001F2D39"/>
    <w:rsid w:val="002003A5"/>
    <w:rsid w:val="0020298A"/>
    <w:rsid w:val="00202C6D"/>
    <w:rsid w:val="00205700"/>
    <w:rsid w:val="00215547"/>
    <w:rsid w:val="0022562A"/>
    <w:rsid w:val="0022608E"/>
    <w:rsid w:val="00226F38"/>
    <w:rsid w:val="0023205A"/>
    <w:rsid w:val="00243112"/>
    <w:rsid w:val="002775E0"/>
    <w:rsid w:val="00285E87"/>
    <w:rsid w:val="00287941"/>
    <w:rsid w:val="00293E1C"/>
    <w:rsid w:val="002A50B4"/>
    <w:rsid w:val="002B432C"/>
    <w:rsid w:val="002C2173"/>
    <w:rsid w:val="002C3508"/>
    <w:rsid w:val="002D1128"/>
    <w:rsid w:val="002D255E"/>
    <w:rsid w:val="002E12FD"/>
    <w:rsid w:val="002E1791"/>
    <w:rsid w:val="002E3ADE"/>
    <w:rsid w:val="002E73FA"/>
    <w:rsid w:val="002E7A9F"/>
    <w:rsid w:val="002F5018"/>
    <w:rsid w:val="0030268C"/>
    <w:rsid w:val="00311064"/>
    <w:rsid w:val="00311293"/>
    <w:rsid w:val="00315705"/>
    <w:rsid w:val="0032110F"/>
    <w:rsid w:val="003273A5"/>
    <w:rsid w:val="00334D09"/>
    <w:rsid w:val="00334DDA"/>
    <w:rsid w:val="00344245"/>
    <w:rsid w:val="00352675"/>
    <w:rsid w:val="00355B32"/>
    <w:rsid w:val="0036477F"/>
    <w:rsid w:val="003667B2"/>
    <w:rsid w:val="00370264"/>
    <w:rsid w:val="00373099"/>
    <w:rsid w:val="00373338"/>
    <w:rsid w:val="00374587"/>
    <w:rsid w:val="00380F5A"/>
    <w:rsid w:val="00385AF2"/>
    <w:rsid w:val="003A64CB"/>
    <w:rsid w:val="003B2272"/>
    <w:rsid w:val="003B4339"/>
    <w:rsid w:val="003C23C8"/>
    <w:rsid w:val="003D35D6"/>
    <w:rsid w:val="0040034F"/>
    <w:rsid w:val="00420676"/>
    <w:rsid w:val="004218FD"/>
    <w:rsid w:val="00426588"/>
    <w:rsid w:val="00427805"/>
    <w:rsid w:val="00441C94"/>
    <w:rsid w:val="0045030B"/>
    <w:rsid w:val="00455254"/>
    <w:rsid w:val="00466A5F"/>
    <w:rsid w:val="00492AFC"/>
    <w:rsid w:val="00493C62"/>
    <w:rsid w:val="004A11B2"/>
    <w:rsid w:val="004A216B"/>
    <w:rsid w:val="004B08A2"/>
    <w:rsid w:val="004B5B16"/>
    <w:rsid w:val="004C310F"/>
    <w:rsid w:val="004D1FC8"/>
    <w:rsid w:val="004D4F17"/>
    <w:rsid w:val="004E7DBC"/>
    <w:rsid w:val="004F1175"/>
    <w:rsid w:val="004F476C"/>
    <w:rsid w:val="00503D8B"/>
    <w:rsid w:val="0050440B"/>
    <w:rsid w:val="0052060B"/>
    <w:rsid w:val="005217BB"/>
    <w:rsid w:val="00521C60"/>
    <w:rsid w:val="0052339C"/>
    <w:rsid w:val="005319EE"/>
    <w:rsid w:val="005470AE"/>
    <w:rsid w:val="0055595D"/>
    <w:rsid w:val="00561859"/>
    <w:rsid w:val="00566B04"/>
    <w:rsid w:val="00570219"/>
    <w:rsid w:val="005763A8"/>
    <w:rsid w:val="00594934"/>
    <w:rsid w:val="00594B14"/>
    <w:rsid w:val="005A18C3"/>
    <w:rsid w:val="005A5774"/>
    <w:rsid w:val="005A6F57"/>
    <w:rsid w:val="005B1051"/>
    <w:rsid w:val="005C3017"/>
    <w:rsid w:val="005C589F"/>
    <w:rsid w:val="005C6B0C"/>
    <w:rsid w:val="005D33C4"/>
    <w:rsid w:val="005D4B5A"/>
    <w:rsid w:val="005E0810"/>
    <w:rsid w:val="0061290C"/>
    <w:rsid w:val="00612AD7"/>
    <w:rsid w:val="00616891"/>
    <w:rsid w:val="00630FFB"/>
    <w:rsid w:val="00631DEE"/>
    <w:rsid w:val="00632897"/>
    <w:rsid w:val="0063322A"/>
    <w:rsid w:val="00637572"/>
    <w:rsid w:val="006377EF"/>
    <w:rsid w:val="00642B09"/>
    <w:rsid w:val="006437D2"/>
    <w:rsid w:val="00644698"/>
    <w:rsid w:val="0065015E"/>
    <w:rsid w:val="00655811"/>
    <w:rsid w:val="00656A65"/>
    <w:rsid w:val="006572D5"/>
    <w:rsid w:val="00661440"/>
    <w:rsid w:val="00672AEB"/>
    <w:rsid w:val="00675458"/>
    <w:rsid w:val="00677227"/>
    <w:rsid w:val="006964DC"/>
    <w:rsid w:val="006B6D1F"/>
    <w:rsid w:val="006E69D9"/>
    <w:rsid w:val="006F2881"/>
    <w:rsid w:val="006F339F"/>
    <w:rsid w:val="006F6A30"/>
    <w:rsid w:val="006F6A55"/>
    <w:rsid w:val="007212B0"/>
    <w:rsid w:val="00724CE6"/>
    <w:rsid w:val="0073542B"/>
    <w:rsid w:val="007371B8"/>
    <w:rsid w:val="00742988"/>
    <w:rsid w:val="007431C0"/>
    <w:rsid w:val="00750248"/>
    <w:rsid w:val="00757694"/>
    <w:rsid w:val="007616C9"/>
    <w:rsid w:val="00764446"/>
    <w:rsid w:val="00767EDB"/>
    <w:rsid w:val="00773354"/>
    <w:rsid w:val="00777555"/>
    <w:rsid w:val="00780A49"/>
    <w:rsid w:val="00793C35"/>
    <w:rsid w:val="00794E8E"/>
    <w:rsid w:val="007A508B"/>
    <w:rsid w:val="007A7FB9"/>
    <w:rsid w:val="007B32CA"/>
    <w:rsid w:val="007C7AC3"/>
    <w:rsid w:val="007D01A7"/>
    <w:rsid w:val="007D03B2"/>
    <w:rsid w:val="007D1005"/>
    <w:rsid w:val="007D5A22"/>
    <w:rsid w:val="007D5C3A"/>
    <w:rsid w:val="007D7700"/>
    <w:rsid w:val="007F1EC8"/>
    <w:rsid w:val="007F6FC7"/>
    <w:rsid w:val="007F7D92"/>
    <w:rsid w:val="00803885"/>
    <w:rsid w:val="00804168"/>
    <w:rsid w:val="008070E5"/>
    <w:rsid w:val="00810F2C"/>
    <w:rsid w:val="00813FA8"/>
    <w:rsid w:val="008170EB"/>
    <w:rsid w:val="00820E39"/>
    <w:rsid w:val="00822DEB"/>
    <w:rsid w:val="008230E5"/>
    <w:rsid w:val="00825163"/>
    <w:rsid w:val="00833668"/>
    <w:rsid w:val="00833888"/>
    <w:rsid w:val="008422AB"/>
    <w:rsid w:val="00846243"/>
    <w:rsid w:val="008702F6"/>
    <w:rsid w:val="00883854"/>
    <w:rsid w:val="00884F56"/>
    <w:rsid w:val="00886444"/>
    <w:rsid w:val="00893F4E"/>
    <w:rsid w:val="008A0C67"/>
    <w:rsid w:val="008A2C5E"/>
    <w:rsid w:val="008A4C56"/>
    <w:rsid w:val="008C314E"/>
    <w:rsid w:val="008F0BDE"/>
    <w:rsid w:val="008F373A"/>
    <w:rsid w:val="0090018E"/>
    <w:rsid w:val="00906473"/>
    <w:rsid w:val="00914A92"/>
    <w:rsid w:val="00935FEB"/>
    <w:rsid w:val="00936629"/>
    <w:rsid w:val="00941721"/>
    <w:rsid w:val="00944802"/>
    <w:rsid w:val="00960216"/>
    <w:rsid w:val="00960F3C"/>
    <w:rsid w:val="00965254"/>
    <w:rsid w:val="00973F34"/>
    <w:rsid w:val="009755D4"/>
    <w:rsid w:val="00977E38"/>
    <w:rsid w:val="009860D3"/>
    <w:rsid w:val="009867B3"/>
    <w:rsid w:val="00992461"/>
    <w:rsid w:val="0099459D"/>
    <w:rsid w:val="009A1864"/>
    <w:rsid w:val="009B054A"/>
    <w:rsid w:val="009B2804"/>
    <w:rsid w:val="009C1B2E"/>
    <w:rsid w:val="009C5CE1"/>
    <w:rsid w:val="009D1E11"/>
    <w:rsid w:val="009D704B"/>
    <w:rsid w:val="009E0B25"/>
    <w:rsid w:val="009E1283"/>
    <w:rsid w:val="009E315F"/>
    <w:rsid w:val="009E3A6B"/>
    <w:rsid w:val="009E4D5A"/>
    <w:rsid w:val="009E732B"/>
    <w:rsid w:val="009E7F43"/>
    <w:rsid w:val="009F03D3"/>
    <w:rsid w:val="009F0766"/>
    <w:rsid w:val="009F3BF9"/>
    <w:rsid w:val="009F6109"/>
    <w:rsid w:val="00A00665"/>
    <w:rsid w:val="00A01428"/>
    <w:rsid w:val="00A0350B"/>
    <w:rsid w:val="00A03D3A"/>
    <w:rsid w:val="00A05007"/>
    <w:rsid w:val="00A06215"/>
    <w:rsid w:val="00A13206"/>
    <w:rsid w:val="00A20648"/>
    <w:rsid w:val="00A22878"/>
    <w:rsid w:val="00A2300A"/>
    <w:rsid w:val="00A275B1"/>
    <w:rsid w:val="00A44D6C"/>
    <w:rsid w:val="00A50488"/>
    <w:rsid w:val="00A63326"/>
    <w:rsid w:val="00A63797"/>
    <w:rsid w:val="00A64902"/>
    <w:rsid w:val="00A70105"/>
    <w:rsid w:val="00A743C9"/>
    <w:rsid w:val="00A77506"/>
    <w:rsid w:val="00A84B93"/>
    <w:rsid w:val="00A91515"/>
    <w:rsid w:val="00AA15EC"/>
    <w:rsid w:val="00AA19A7"/>
    <w:rsid w:val="00AA358B"/>
    <w:rsid w:val="00AB0A84"/>
    <w:rsid w:val="00AC3AB9"/>
    <w:rsid w:val="00AC4C15"/>
    <w:rsid w:val="00AD0E85"/>
    <w:rsid w:val="00AE0019"/>
    <w:rsid w:val="00AE42FE"/>
    <w:rsid w:val="00AF047A"/>
    <w:rsid w:val="00B1142A"/>
    <w:rsid w:val="00B131B3"/>
    <w:rsid w:val="00B21974"/>
    <w:rsid w:val="00B21FE8"/>
    <w:rsid w:val="00B24A1D"/>
    <w:rsid w:val="00B26432"/>
    <w:rsid w:val="00B31303"/>
    <w:rsid w:val="00B35CDF"/>
    <w:rsid w:val="00B54D82"/>
    <w:rsid w:val="00B56BCF"/>
    <w:rsid w:val="00B57F87"/>
    <w:rsid w:val="00B73A9C"/>
    <w:rsid w:val="00B803C7"/>
    <w:rsid w:val="00B80FAA"/>
    <w:rsid w:val="00B8538C"/>
    <w:rsid w:val="00B903FC"/>
    <w:rsid w:val="00B91C92"/>
    <w:rsid w:val="00B922A4"/>
    <w:rsid w:val="00B9590C"/>
    <w:rsid w:val="00B968B9"/>
    <w:rsid w:val="00B97148"/>
    <w:rsid w:val="00BB5D0A"/>
    <w:rsid w:val="00BC19B8"/>
    <w:rsid w:val="00BC386F"/>
    <w:rsid w:val="00BC6D7B"/>
    <w:rsid w:val="00BD04C5"/>
    <w:rsid w:val="00BF0D86"/>
    <w:rsid w:val="00BF3BD5"/>
    <w:rsid w:val="00BF5A02"/>
    <w:rsid w:val="00BF6FE0"/>
    <w:rsid w:val="00C05641"/>
    <w:rsid w:val="00C15DA7"/>
    <w:rsid w:val="00C235F7"/>
    <w:rsid w:val="00C2426B"/>
    <w:rsid w:val="00C358AF"/>
    <w:rsid w:val="00C36D3F"/>
    <w:rsid w:val="00C41085"/>
    <w:rsid w:val="00C43A38"/>
    <w:rsid w:val="00C5484A"/>
    <w:rsid w:val="00C64861"/>
    <w:rsid w:val="00C67527"/>
    <w:rsid w:val="00C7662C"/>
    <w:rsid w:val="00C8643D"/>
    <w:rsid w:val="00C92681"/>
    <w:rsid w:val="00CA38BD"/>
    <w:rsid w:val="00CB3F95"/>
    <w:rsid w:val="00CB41DD"/>
    <w:rsid w:val="00CC114B"/>
    <w:rsid w:val="00CC3F3F"/>
    <w:rsid w:val="00CD13D1"/>
    <w:rsid w:val="00CE286F"/>
    <w:rsid w:val="00CE6079"/>
    <w:rsid w:val="00CE733B"/>
    <w:rsid w:val="00CF239E"/>
    <w:rsid w:val="00CF29FC"/>
    <w:rsid w:val="00D06ED3"/>
    <w:rsid w:val="00D115E3"/>
    <w:rsid w:val="00D1628C"/>
    <w:rsid w:val="00D21A77"/>
    <w:rsid w:val="00D24325"/>
    <w:rsid w:val="00D32166"/>
    <w:rsid w:val="00D32DAA"/>
    <w:rsid w:val="00D45CBB"/>
    <w:rsid w:val="00D46EEB"/>
    <w:rsid w:val="00D4702B"/>
    <w:rsid w:val="00D63868"/>
    <w:rsid w:val="00D6611A"/>
    <w:rsid w:val="00D8754B"/>
    <w:rsid w:val="00D93F35"/>
    <w:rsid w:val="00DA1E85"/>
    <w:rsid w:val="00DA30AC"/>
    <w:rsid w:val="00DA3CF5"/>
    <w:rsid w:val="00DB2130"/>
    <w:rsid w:val="00DB3155"/>
    <w:rsid w:val="00DC2302"/>
    <w:rsid w:val="00DC614F"/>
    <w:rsid w:val="00DD4DC8"/>
    <w:rsid w:val="00DD64D5"/>
    <w:rsid w:val="00DD7925"/>
    <w:rsid w:val="00DE1B63"/>
    <w:rsid w:val="00DF2404"/>
    <w:rsid w:val="00DF6614"/>
    <w:rsid w:val="00E14641"/>
    <w:rsid w:val="00E1736B"/>
    <w:rsid w:val="00E200EB"/>
    <w:rsid w:val="00E31142"/>
    <w:rsid w:val="00E32393"/>
    <w:rsid w:val="00E32532"/>
    <w:rsid w:val="00E42B8E"/>
    <w:rsid w:val="00E505B4"/>
    <w:rsid w:val="00E514F4"/>
    <w:rsid w:val="00E606B6"/>
    <w:rsid w:val="00E64BFE"/>
    <w:rsid w:val="00E86182"/>
    <w:rsid w:val="00E9213E"/>
    <w:rsid w:val="00E95D0C"/>
    <w:rsid w:val="00E97429"/>
    <w:rsid w:val="00E978F2"/>
    <w:rsid w:val="00EA512A"/>
    <w:rsid w:val="00EA6482"/>
    <w:rsid w:val="00EA7151"/>
    <w:rsid w:val="00EB30D2"/>
    <w:rsid w:val="00EB7038"/>
    <w:rsid w:val="00EC6137"/>
    <w:rsid w:val="00EC6865"/>
    <w:rsid w:val="00ED3CA2"/>
    <w:rsid w:val="00ED4426"/>
    <w:rsid w:val="00ED657B"/>
    <w:rsid w:val="00EE4215"/>
    <w:rsid w:val="00EE66AA"/>
    <w:rsid w:val="00EF27FF"/>
    <w:rsid w:val="00F02F27"/>
    <w:rsid w:val="00F128DC"/>
    <w:rsid w:val="00F136A0"/>
    <w:rsid w:val="00F17D8F"/>
    <w:rsid w:val="00F24217"/>
    <w:rsid w:val="00F25436"/>
    <w:rsid w:val="00F26147"/>
    <w:rsid w:val="00F267A1"/>
    <w:rsid w:val="00F32CAB"/>
    <w:rsid w:val="00F330F8"/>
    <w:rsid w:val="00F34C0E"/>
    <w:rsid w:val="00F3616B"/>
    <w:rsid w:val="00F45DED"/>
    <w:rsid w:val="00F46487"/>
    <w:rsid w:val="00F46A82"/>
    <w:rsid w:val="00F503F9"/>
    <w:rsid w:val="00F55442"/>
    <w:rsid w:val="00F55B82"/>
    <w:rsid w:val="00F61182"/>
    <w:rsid w:val="00F6305B"/>
    <w:rsid w:val="00F63388"/>
    <w:rsid w:val="00F64783"/>
    <w:rsid w:val="00F71127"/>
    <w:rsid w:val="00F72F3F"/>
    <w:rsid w:val="00F77CA6"/>
    <w:rsid w:val="00F87094"/>
    <w:rsid w:val="00F90490"/>
    <w:rsid w:val="00F936AC"/>
    <w:rsid w:val="00FB2371"/>
    <w:rsid w:val="00FC763D"/>
    <w:rsid w:val="00FC7FD6"/>
    <w:rsid w:val="00FD42F0"/>
    <w:rsid w:val="00FE542C"/>
    <w:rsid w:val="00FE6FEF"/>
    <w:rsid w:val="00FF4B75"/>
    <w:rsid w:val="00FF7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6"/>
        <w:szCs w:val="26"/>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B75"/>
    <w:rPr>
      <w:rFonts w:ascii="Times New Roman" w:hAnsi="Times New Roman"/>
      <w:szCs w:val="20"/>
      <w:lang w:bidi="ar-SA"/>
    </w:rPr>
  </w:style>
  <w:style w:type="paragraph" w:styleId="Heading1">
    <w:name w:val="heading 1"/>
    <w:basedOn w:val="Normal"/>
    <w:next w:val="Normal"/>
    <w:link w:val="Heading1Char"/>
    <w:uiPriority w:val="9"/>
    <w:qFormat/>
    <w:rsid w:val="00DC230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DC230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DC2302"/>
    <w:pPr>
      <w:keepNext/>
      <w:spacing w:before="240" w:after="60"/>
      <w:outlineLvl w:val="2"/>
    </w:pPr>
    <w:rPr>
      <w:rFonts w:asciiTheme="majorHAnsi" w:eastAsiaTheme="majorEastAsia" w:hAnsiTheme="majorHAnsi"/>
      <w:b/>
      <w:bCs/>
      <w:szCs w:val="26"/>
    </w:rPr>
  </w:style>
  <w:style w:type="paragraph" w:styleId="Heading4">
    <w:name w:val="heading 4"/>
    <w:basedOn w:val="Normal"/>
    <w:next w:val="Normal"/>
    <w:link w:val="Heading4Char"/>
    <w:uiPriority w:val="9"/>
    <w:semiHidden/>
    <w:unhideWhenUsed/>
    <w:rsid w:val="00DC230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rsid w:val="00DC2302"/>
    <w:pPr>
      <w:spacing w:before="240" w:after="60"/>
      <w:outlineLvl w:val="4"/>
    </w:pPr>
    <w:rPr>
      <w:b/>
      <w:bCs/>
      <w:i/>
      <w:iCs/>
      <w:szCs w:val="26"/>
    </w:rPr>
  </w:style>
  <w:style w:type="paragraph" w:styleId="Heading6">
    <w:name w:val="heading 6"/>
    <w:basedOn w:val="Normal"/>
    <w:next w:val="Normal"/>
    <w:link w:val="Heading6Char"/>
    <w:uiPriority w:val="9"/>
    <w:semiHidden/>
    <w:unhideWhenUsed/>
    <w:qFormat/>
    <w:rsid w:val="00DC2302"/>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DC2302"/>
    <w:pPr>
      <w:spacing w:before="240" w:after="60"/>
      <w:outlineLvl w:val="6"/>
    </w:pPr>
    <w:rPr>
      <w:sz w:val="24"/>
    </w:rPr>
  </w:style>
  <w:style w:type="paragraph" w:styleId="Heading8">
    <w:name w:val="heading 8"/>
    <w:basedOn w:val="Normal"/>
    <w:next w:val="Normal"/>
    <w:link w:val="Heading8Char"/>
    <w:uiPriority w:val="9"/>
    <w:semiHidden/>
    <w:unhideWhenUsed/>
    <w:qFormat/>
    <w:rsid w:val="00DC2302"/>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DC2302"/>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302"/>
    <w:rPr>
      <w:rFonts w:asciiTheme="majorHAnsi" w:eastAsiaTheme="majorEastAsia" w:hAnsiTheme="majorHAnsi"/>
      <w:b/>
      <w:bCs/>
      <w:kern w:val="32"/>
      <w:sz w:val="32"/>
      <w:szCs w:val="32"/>
      <w:lang w:bidi="ar-SA"/>
    </w:rPr>
  </w:style>
  <w:style w:type="character" w:customStyle="1" w:styleId="Heading2Char">
    <w:name w:val="Heading 2 Char"/>
    <w:basedOn w:val="DefaultParagraphFont"/>
    <w:link w:val="Heading2"/>
    <w:uiPriority w:val="9"/>
    <w:rsid w:val="00DC2302"/>
    <w:rPr>
      <w:rFonts w:asciiTheme="majorHAnsi" w:eastAsiaTheme="majorEastAsia" w:hAnsiTheme="majorHAnsi"/>
      <w:b/>
      <w:bCs/>
      <w:i/>
      <w:iCs/>
      <w:sz w:val="28"/>
      <w:szCs w:val="28"/>
      <w:lang w:bidi="ar-SA"/>
    </w:rPr>
  </w:style>
  <w:style w:type="character" w:customStyle="1" w:styleId="Heading3Char">
    <w:name w:val="Heading 3 Char"/>
    <w:basedOn w:val="DefaultParagraphFont"/>
    <w:link w:val="Heading3"/>
    <w:uiPriority w:val="9"/>
    <w:rsid w:val="00DC2302"/>
    <w:rPr>
      <w:rFonts w:asciiTheme="majorHAnsi" w:eastAsiaTheme="majorEastAsia" w:hAnsiTheme="majorHAnsi"/>
      <w:b/>
      <w:bCs/>
      <w:lang w:bidi="ar-SA"/>
    </w:rPr>
  </w:style>
  <w:style w:type="character" w:customStyle="1" w:styleId="Heading6Char">
    <w:name w:val="Heading 6 Char"/>
    <w:basedOn w:val="DefaultParagraphFont"/>
    <w:link w:val="Heading6"/>
    <w:uiPriority w:val="9"/>
    <w:semiHidden/>
    <w:rsid w:val="00DC2302"/>
    <w:rPr>
      <w:rFonts w:ascii="Times New Roman" w:eastAsia="Times New Roman" w:hAnsi="Times New Roman"/>
      <w:b/>
      <w:bCs/>
      <w:lang w:bidi="ar-SA"/>
    </w:rPr>
  </w:style>
  <w:style w:type="character" w:customStyle="1" w:styleId="Heading7Char">
    <w:name w:val="Heading 7 Char"/>
    <w:basedOn w:val="DefaultParagraphFont"/>
    <w:link w:val="Heading7"/>
    <w:uiPriority w:val="9"/>
    <w:semiHidden/>
    <w:rsid w:val="00DC2302"/>
    <w:rPr>
      <w:rFonts w:ascii="Times New Roman" w:eastAsia="Times New Roman" w:hAnsi="Times New Roman"/>
      <w:sz w:val="24"/>
      <w:szCs w:val="20"/>
      <w:lang w:bidi="ar-SA"/>
    </w:rPr>
  </w:style>
  <w:style w:type="character" w:customStyle="1" w:styleId="Heading8Char">
    <w:name w:val="Heading 8 Char"/>
    <w:basedOn w:val="DefaultParagraphFont"/>
    <w:link w:val="Heading8"/>
    <w:uiPriority w:val="9"/>
    <w:semiHidden/>
    <w:rsid w:val="00DC2302"/>
    <w:rPr>
      <w:rFonts w:ascii="Times New Roman" w:eastAsia="Times New Roman" w:hAnsi="Times New Roman"/>
      <w:i/>
      <w:iCs/>
      <w:sz w:val="24"/>
      <w:szCs w:val="20"/>
      <w:lang w:bidi="ar-SA"/>
    </w:rPr>
  </w:style>
  <w:style w:type="character" w:customStyle="1" w:styleId="Heading9Char">
    <w:name w:val="Heading 9 Char"/>
    <w:basedOn w:val="DefaultParagraphFont"/>
    <w:link w:val="Heading9"/>
    <w:uiPriority w:val="9"/>
    <w:semiHidden/>
    <w:rsid w:val="00DC2302"/>
    <w:rPr>
      <w:rFonts w:asciiTheme="majorHAnsi" w:eastAsiaTheme="majorEastAsia" w:hAnsiTheme="majorHAnsi"/>
      <w:lang w:bidi="ar-SA"/>
    </w:rPr>
  </w:style>
  <w:style w:type="paragraph" w:styleId="Title">
    <w:name w:val="Title"/>
    <w:basedOn w:val="Normal"/>
    <w:next w:val="Normal"/>
    <w:link w:val="TitleChar"/>
    <w:uiPriority w:val="10"/>
    <w:qFormat/>
    <w:rsid w:val="00DC230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2302"/>
    <w:rPr>
      <w:rFonts w:asciiTheme="majorHAnsi" w:eastAsiaTheme="majorEastAsia" w:hAnsiTheme="majorHAnsi"/>
      <w:b/>
      <w:bCs/>
      <w:kern w:val="28"/>
      <w:sz w:val="32"/>
      <w:szCs w:val="32"/>
      <w:lang w:bidi="ar-SA"/>
    </w:rPr>
  </w:style>
  <w:style w:type="paragraph" w:styleId="Subtitle">
    <w:name w:val="Subtitle"/>
    <w:basedOn w:val="Normal"/>
    <w:next w:val="Normal"/>
    <w:link w:val="SubtitleChar"/>
    <w:uiPriority w:val="11"/>
    <w:qFormat/>
    <w:rsid w:val="00DC2302"/>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DC2302"/>
    <w:rPr>
      <w:rFonts w:asciiTheme="majorHAnsi" w:eastAsiaTheme="majorEastAsia" w:hAnsiTheme="majorHAnsi"/>
      <w:sz w:val="24"/>
      <w:szCs w:val="20"/>
      <w:lang w:bidi="ar-SA"/>
    </w:rPr>
  </w:style>
  <w:style w:type="paragraph" w:styleId="TOCHeading">
    <w:name w:val="TOC Heading"/>
    <w:basedOn w:val="Heading1"/>
    <w:next w:val="Normal"/>
    <w:uiPriority w:val="39"/>
    <w:semiHidden/>
    <w:unhideWhenUsed/>
    <w:qFormat/>
    <w:rsid w:val="00DC2302"/>
    <w:pPr>
      <w:outlineLvl w:val="9"/>
    </w:pPr>
  </w:style>
  <w:style w:type="character" w:customStyle="1" w:styleId="Heading4Char">
    <w:name w:val="Heading 4 Char"/>
    <w:basedOn w:val="DefaultParagraphFont"/>
    <w:link w:val="Heading4"/>
    <w:uiPriority w:val="9"/>
    <w:semiHidden/>
    <w:rsid w:val="00DC2302"/>
    <w:rPr>
      <w:rFonts w:ascii="Times New Roman" w:eastAsia="Times New Roman" w:hAnsi="Times New Roman"/>
      <w:b/>
      <w:bCs/>
      <w:sz w:val="28"/>
      <w:szCs w:val="28"/>
      <w:lang w:bidi="ar-SA"/>
    </w:rPr>
  </w:style>
  <w:style w:type="character" w:customStyle="1" w:styleId="Heading5Char">
    <w:name w:val="Heading 5 Char"/>
    <w:basedOn w:val="DefaultParagraphFont"/>
    <w:link w:val="Heading5"/>
    <w:uiPriority w:val="9"/>
    <w:semiHidden/>
    <w:rsid w:val="00DC2302"/>
    <w:rPr>
      <w:rFonts w:ascii="Times New Roman" w:eastAsia="Times New Roman" w:hAnsi="Times New Roman"/>
      <w:b/>
      <w:bCs/>
      <w:i/>
      <w:iCs/>
      <w:lang w:bidi="ar-SA"/>
    </w:rPr>
  </w:style>
  <w:style w:type="character" w:styleId="Strong">
    <w:name w:val="Strong"/>
    <w:basedOn w:val="DefaultParagraphFont"/>
    <w:uiPriority w:val="22"/>
    <w:rsid w:val="00DC2302"/>
    <w:rPr>
      <w:b/>
      <w:bCs/>
    </w:rPr>
  </w:style>
  <w:style w:type="character" w:styleId="Emphasis">
    <w:name w:val="Emphasis"/>
    <w:basedOn w:val="DefaultParagraphFont"/>
    <w:uiPriority w:val="20"/>
    <w:qFormat/>
    <w:rsid w:val="00DC2302"/>
    <w:rPr>
      <w:rFonts w:asciiTheme="minorHAnsi" w:hAnsiTheme="minorHAnsi"/>
      <w:b/>
      <w:i/>
      <w:iCs/>
    </w:rPr>
  </w:style>
  <w:style w:type="paragraph" w:styleId="NoSpacing">
    <w:name w:val="No Spacing"/>
    <w:basedOn w:val="Normal"/>
    <w:uiPriority w:val="1"/>
    <w:rsid w:val="00DC2302"/>
    <w:rPr>
      <w:szCs w:val="32"/>
    </w:rPr>
  </w:style>
  <w:style w:type="paragraph" w:styleId="ListParagraph">
    <w:name w:val="List Paragraph"/>
    <w:basedOn w:val="Normal"/>
    <w:uiPriority w:val="34"/>
    <w:rsid w:val="00DC2302"/>
    <w:pPr>
      <w:ind w:left="720"/>
      <w:contextualSpacing/>
    </w:pPr>
  </w:style>
  <w:style w:type="paragraph" w:styleId="Quote">
    <w:name w:val="Quote"/>
    <w:basedOn w:val="Normal"/>
    <w:next w:val="Normal"/>
    <w:link w:val="QuoteChar"/>
    <w:uiPriority w:val="29"/>
    <w:rsid w:val="00DC2302"/>
    <w:rPr>
      <w:i/>
    </w:rPr>
  </w:style>
  <w:style w:type="character" w:customStyle="1" w:styleId="QuoteChar">
    <w:name w:val="Quote Char"/>
    <w:basedOn w:val="DefaultParagraphFont"/>
    <w:link w:val="Quote"/>
    <w:uiPriority w:val="29"/>
    <w:rsid w:val="00DC2302"/>
    <w:rPr>
      <w:rFonts w:ascii="Times New Roman" w:eastAsia="Times New Roman" w:hAnsi="Times New Roman"/>
      <w:i/>
      <w:szCs w:val="20"/>
      <w:lang w:bidi="ar-SA"/>
    </w:rPr>
  </w:style>
  <w:style w:type="paragraph" w:styleId="IntenseQuote">
    <w:name w:val="Intense Quote"/>
    <w:basedOn w:val="Normal"/>
    <w:next w:val="Normal"/>
    <w:link w:val="IntenseQuoteChar"/>
    <w:uiPriority w:val="30"/>
    <w:rsid w:val="00DC2302"/>
    <w:pPr>
      <w:ind w:left="720" w:right="720"/>
    </w:pPr>
    <w:rPr>
      <w:b/>
      <w:i/>
      <w:szCs w:val="22"/>
    </w:rPr>
  </w:style>
  <w:style w:type="character" w:customStyle="1" w:styleId="IntenseQuoteChar">
    <w:name w:val="Intense Quote Char"/>
    <w:basedOn w:val="DefaultParagraphFont"/>
    <w:link w:val="IntenseQuote"/>
    <w:uiPriority w:val="30"/>
    <w:rsid w:val="00DC2302"/>
    <w:rPr>
      <w:rFonts w:ascii="Times New Roman" w:eastAsia="Times New Roman" w:hAnsi="Times New Roman"/>
      <w:b/>
      <w:i/>
      <w:szCs w:val="22"/>
      <w:lang w:bidi="ar-SA"/>
    </w:rPr>
  </w:style>
  <w:style w:type="character" w:styleId="SubtleEmphasis">
    <w:name w:val="Subtle Emphasis"/>
    <w:uiPriority w:val="19"/>
    <w:rsid w:val="00DC2302"/>
    <w:rPr>
      <w:i/>
      <w:color w:val="5A5A5A" w:themeColor="text1" w:themeTint="A5"/>
    </w:rPr>
  </w:style>
  <w:style w:type="character" w:styleId="IntenseEmphasis">
    <w:name w:val="Intense Emphasis"/>
    <w:basedOn w:val="DefaultParagraphFont"/>
    <w:uiPriority w:val="21"/>
    <w:rsid w:val="00DC2302"/>
    <w:rPr>
      <w:b/>
      <w:i/>
      <w:sz w:val="24"/>
      <w:szCs w:val="24"/>
      <w:u w:val="single"/>
    </w:rPr>
  </w:style>
  <w:style w:type="character" w:styleId="SubtleReference">
    <w:name w:val="Subtle Reference"/>
    <w:basedOn w:val="DefaultParagraphFont"/>
    <w:uiPriority w:val="31"/>
    <w:rsid w:val="00DC2302"/>
    <w:rPr>
      <w:sz w:val="24"/>
      <w:szCs w:val="24"/>
      <w:u w:val="single"/>
    </w:rPr>
  </w:style>
  <w:style w:type="character" w:styleId="IntenseReference">
    <w:name w:val="Intense Reference"/>
    <w:basedOn w:val="DefaultParagraphFont"/>
    <w:uiPriority w:val="32"/>
    <w:rsid w:val="00DC2302"/>
    <w:rPr>
      <w:b/>
      <w:sz w:val="24"/>
      <w:u w:val="single"/>
    </w:rPr>
  </w:style>
  <w:style w:type="character" w:styleId="BookTitle">
    <w:name w:val="Book Title"/>
    <w:basedOn w:val="DefaultParagraphFont"/>
    <w:uiPriority w:val="33"/>
    <w:rsid w:val="00DC2302"/>
    <w:rPr>
      <w:rFonts w:asciiTheme="majorHAnsi" w:eastAsiaTheme="majorEastAsia" w:hAnsiTheme="majorHAnsi"/>
      <w:b/>
      <w:i/>
      <w:sz w:val="24"/>
      <w:szCs w:val="24"/>
    </w:rPr>
  </w:style>
  <w:style w:type="paragraph" w:styleId="EnvelopeAddress">
    <w:name w:val="envelope address"/>
    <w:basedOn w:val="Normal"/>
    <w:rsid w:val="00DC2302"/>
    <w:pPr>
      <w:framePr w:w="7920" w:h="1980" w:hRule="exact" w:hSpace="180" w:wrap="auto" w:hAnchor="page" w:xAlign="center" w:yAlign="bottom"/>
      <w:ind w:left="2880"/>
    </w:pPr>
  </w:style>
  <w:style w:type="paragraph" w:styleId="EnvelopeReturn">
    <w:name w:val="envelope return"/>
    <w:basedOn w:val="Normal"/>
    <w:rsid w:val="00DC2302"/>
  </w:style>
  <w:style w:type="paragraph" w:styleId="Footer">
    <w:name w:val="footer"/>
    <w:basedOn w:val="Normal"/>
    <w:link w:val="FooterChar"/>
    <w:rsid w:val="00DC2302"/>
    <w:pPr>
      <w:tabs>
        <w:tab w:val="center" w:pos="4320"/>
        <w:tab w:val="right" w:pos="8640"/>
      </w:tabs>
      <w:spacing w:line="520" w:lineRule="exact"/>
    </w:pPr>
  </w:style>
  <w:style w:type="character" w:customStyle="1" w:styleId="FooterChar">
    <w:name w:val="Footer Char"/>
    <w:basedOn w:val="DefaultParagraphFont"/>
    <w:link w:val="Footer"/>
    <w:rsid w:val="00DC2302"/>
    <w:rPr>
      <w:rFonts w:ascii="Times New Roman" w:eastAsia="Times New Roman" w:hAnsi="Times New Roman"/>
      <w:szCs w:val="20"/>
      <w:lang w:bidi="ar-SA"/>
    </w:rPr>
  </w:style>
  <w:style w:type="character" w:styleId="FootnoteReference">
    <w:name w:val="footnote reference"/>
    <w:basedOn w:val="DefaultParagraphFont"/>
    <w:rsid w:val="00FF4B75"/>
    <w:rPr>
      <w:rFonts w:ascii="Times New Roman" w:hAnsi="Times New Roman"/>
      <w:b w:val="0"/>
      <w:color w:val="auto"/>
      <w:position w:val="6"/>
      <w:sz w:val="26"/>
      <w:vertAlign w:val="superscript"/>
    </w:rPr>
  </w:style>
  <w:style w:type="paragraph" w:styleId="FootnoteText">
    <w:name w:val="footnote text"/>
    <w:basedOn w:val="Normal"/>
    <w:link w:val="FootnoteTextChar"/>
    <w:rsid w:val="00DC2302"/>
    <w:pPr>
      <w:keepLines/>
      <w:widowControl w:val="0"/>
    </w:pPr>
  </w:style>
  <w:style w:type="character" w:customStyle="1" w:styleId="FootnoteTextChar">
    <w:name w:val="Footnote Text Char"/>
    <w:basedOn w:val="DefaultParagraphFont"/>
    <w:link w:val="FootnoteText"/>
    <w:rsid w:val="00DC2302"/>
    <w:rPr>
      <w:rFonts w:ascii="Times New Roman" w:eastAsia="Times New Roman" w:hAnsi="Times New Roman"/>
      <w:szCs w:val="20"/>
      <w:lang w:bidi="ar-SA"/>
    </w:rPr>
  </w:style>
  <w:style w:type="paragraph" w:styleId="Header">
    <w:name w:val="header"/>
    <w:basedOn w:val="Normal"/>
    <w:link w:val="HeaderChar"/>
    <w:rsid w:val="00DC2302"/>
    <w:pPr>
      <w:tabs>
        <w:tab w:val="center" w:pos="4320"/>
        <w:tab w:val="right" w:pos="8640"/>
      </w:tabs>
    </w:pPr>
  </w:style>
  <w:style w:type="character" w:customStyle="1" w:styleId="HeaderChar">
    <w:name w:val="Header Char"/>
    <w:basedOn w:val="DefaultParagraphFont"/>
    <w:link w:val="Header"/>
    <w:rsid w:val="00DC2302"/>
    <w:rPr>
      <w:rFonts w:ascii="Times New Roman" w:eastAsia="Times New Roman" w:hAnsi="Times New Roman"/>
      <w:szCs w:val="20"/>
      <w:lang w:bidi="ar-SA"/>
    </w:rPr>
  </w:style>
  <w:style w:type="paragraph" w:customStyle="1" w:styleId="IndentedQuote">
    <w:name w:val="IndentedQuote"/>
    <w:basedOn w:val="Normal"/>
    <w:rsid w:val="00DC2302"/>
    <w:pPr>
      <w:spacing w:line="260" w:lineRule="exact"/>
      <w:ind w:left="1080" w:right="1080"/>
    </w:pPr>
  </w:style>
  <w:style w:type="paragraph" w:styleId="MacroText">
    <w:name w:val="macro"/>
    <w:link w:val="MacroTextChar"/>
    <w:semiHidden/>
    <w:rsid w:val="00DC2302"/>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2"/>
      <w:szCs w:val="20"/>
      <w:lang w:bidi="ar-SA"/>
    </w:rPr>
  </w:style>
  <w:style w:type="character" w:customStyle="1" w:styleId="MacroTextChar">
    <w:name w:val="Macro Text Char"/>
    <w:basedOn w:val="DefaultParagraphFont"/>
    <w:link w:val="MacroText"/>
    <w:semiHidden/>
    <w:rsid w:val="00DC2302"/>
    <w:rPr>
      <w:rFonts w:ascii="Times New Roman" w:eastAsia="Times New Roman" w:hAnsi="Times New Roman"/>
      <w:sz w:val="22"/>
      <w:szCs w:val="20"/>
      <w:lang w:bidi="ar-SA"/>
    </w:rPr>
  </w:style>
  <w:style w:type="character" w:styleId="PageNumber">
    <w:name w:val="page number"/>
    <w:basedOn w:val="DefaultParagraphFont"/>
    <w:rsid w:val="00DC2302"/>
  </w:style>
  <w:style w:type="character" w:styleId="Hyperlink">
    <w:name w:val="Hyperlink"/>
    <w:basedOn w:val="DefaultParagraphFont"/>
    <w:uiPriority w:val="99"/>
    <w:semiHidden/>
    <w:unhideWhenUsed/>
    <w:rsid w:val="000C70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5C1F68FB6B4A4CB0DE6791E8DBB4A5" ma:contentTypeVersion="7" ma:contentTypeDescription="Create a new document." ma:contentTypeScope="" ma:versionID="c1ee8ccf3ad6e2c5dc78e103c0214fc6">
  <xsd:schema xmlns:xsd="http://www.w3.org/2001/XMLSchema" xmlns:xs="http://www.w3.org/2001/XMLSchema" xmlns:p="http://schemas.microsoft.com/office/2006/metadata/properties" xmlns:ns3="684edeff-1c3d-4b30-a75a-e774788842a3" xmlns:ns4="5df15748-f8ee-4424-9620-e1ad337b9db2" targetNamespace="http://schemas.microsoft.com/office/2006/metadata/properties" ma:root="true" ma:fieldsID="3b48c9759c3a366a8b0a10d6576d0ffe" ns3:_="" ns4:_="">
    <xsd:import namespace="684edeff-1c3d-4b30-a75a-e774788842a3"/>
    <xsd:import namespace="5df15748-f8ee-4424-9620-e1ad337b9db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edeff-1c3d-4b30-a75a-e77478884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f15748-f8ee-4424-9620-e1ad337b9d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00FD5-FBBE-4890-A77E-89E327DA5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edeff-1c3d-4b30-a75a-e774788842a3"/>
    <ds:schemaRef ds:uri="5df15748-f8ee-4424-9620-e1ad337b9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422A10-F897-47A9-BE10-76B11904658F}">
  <ds:schemaRefs>
    <ds:schemaRef ds:uri="http://schemas.microsoft.com/sharepoint/v3/contenttype/forms"/>
  </ds:schemaRefs>
</ds:datastoreItem>
</file>

<file path=customXml/itemProps3.xml><?xml version="1.0" encoding="utf-8"?>
<ds:datastoreItem xmlns:ds="http://schemas.openxmlformats.org/officeDocument/2006/customXml" ds:itemID="{872BB63E-1207-42C2-98FC-8D55B8A841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1F8E90-1BFF-4CA2-8150-438C7B6CD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3167</Words>
  <Characters>16150</Characters>
  <Application>Microsoft Office Word</Application>
  <DocSecurity>0</DocSecurity>
  <Lines>295</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19515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2022-05-23T21:08:00Z</dcterms:created>
  <dcterms:modified xsi:type="dcterms:W3CDTF">2022-05-23T21:08:00Z</dcterms:modified>
  <cp:category/>
</cp:coreProperties>
</file>