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EEEB" w14:textId="4F5D305D" w:rsidR="00197CE5" w:rsidRPr="004E0F0A" w:rsidRDefault="00183C76" w:rsidP="007C2722">
      <w:pPr>
        <w:spacing w:line="240" w:lineRule="auto"/>
        <w:jc w:val="center"/>
        <w:rPr>
          <w:bCs/>
          <w:sz w:val="20"/>
          <w:szCs w:val="20"/>
        </w:rPr>
      </w:pPr>
      <w:r w:rsidRPr="004E0F0A">
        <w:rPr>
          <w:bCs/>
          <w:sz w:val="20"/>
          <w:szCs w:val="20"/>
        </w:rPr>
        <w:t>F</w:t>
      </w:r>
      <w:r w:rsidR="004E0F0A">
        <w:rPr>
          <w:bCs/>
          <w:sz w:val="20"/>
          <w:szCs w:val="20"/>
        </w:rPr>
        <w:t>iled</w:t>
      </w:r>
      <w:r w:rsidRPr="004E0F0A">
        <w:rPr>
          <w:bCs/>
          <w:sz w:val="20"/>
          <w:szCs w:val="20"/>
        </w:rPr>
        <w:t xml:space="preserve"> 4/15/22</w:t>
      </w:r>
      <w:bookmarkStart w:id="0" w:name="_Hlk91684443"/>
      <w:r w:rsidR="007C2722" w:rsidRPr="00822666">
        <w:rPr>
          <w:sz w:val="20"/>
        </w:rPr>
        <w:t>; REVIEW GRANTED.  See Cal. Rules of Court, rules 8.1105 and 8.1115 (and corresponding Comment, par. 2, concerning rule 8.1115(e)(3)).</w:t>
      </w:r>
      <w:bookmarkEnd w:id="0"/>
    </w:p>
    <w:p w14:paraId="3416B392" w14:textId="23BE57F4" w:rsidR="002C0B33" w:rsidRDefault="00970254" w:rsidP="002C0B33">
      <w:pPr>
        <w:spacing w:line="240" w:lineRule="auto"/>
        <w:jc w:val="center"/>
        <w:rPr>
          <w:b/>
        </w:rPr>
      </w:pPr>
      <w:r>
        <w:rPr>
          <w:b/>
        </w:rPr>
        <w:t>CERTIFIED FOR</w:t>
      </w:r>
      <w:r w:rsidR="002C0B33">
        <w:rPr>
          <w:b/>
        </w:rPr>
        <w:t xml:space="preserve"> </w:t>
      </w:r>
      <w:r>
        <w:rPr>
          <w:b/>
        </w:rPr>
        <w:t>PUBLICATION</w:t>
      </w:r>
    </w:p>
    <w:p w14:paraId="201DC66F" w14:textId="77777777" w:rsidR="00911B5A" w:rsidRDefault="00911B5A" w:rsidP="00911B5A">
      <w:pPr>
        <w:spacing w:line="240" w:lineRule="auto"/>
      </w:pPr>
    </w:p>
    <w:p w14:paraId="315259FB" w14:textId="77777777" w:rsidR="00911B5A" w:rsidRDefault="00911B5A" w:rsidP="00911B5A">
      <w:pPr>
        <w:spacing w:line="240" w:lineRule="auto"/>
        <w:jc w:val="center"/>
      </w:pPr>
      <w:r>
        <w:t>IN THE COURT OF APPEAL OF THE STATE OF CALIFORNIA</w:t>
      </w:r>
    </w:p>
    <w:p w14:paraId="3F52BADD" w14:textId="77777777" w:rsidR="00911B5A" w:rsidRDefault="00911B5A" w:rsidP="00911B5A">
      <w:pPr>
        <w:spacing w:line="240" w:lineRule="auto"/>
        <w:jc w:val="center"/>
      </w:pPr>
    </w:p>
    <w:p w14:paraId="63D79177" w14:textId="77777777" w:rsidR="00911B5A" w:rsidRDefault="00911B5A" w:rsidP="00911B5A">
      <w:pPr>
        <w:spacing w:line="240" w:lineRule="auto"/>
        <w:jc w:val="center"/>
      </w:pPr>
      <w:r>
        <w:t>SIXTH APPELLATE DISTRICT</w:t>
      </w:r>
    </w:p>
    <w:p w14:paraId="5FF4729F" w14:textId="77777777" w:rsidR="00911B5A" w:rsidRDefault="00911B5A" w:rsidP="00911B5A">
      <w:pPr>
        <w:spacing w:line="240" w:lineRule="auto"/>
        <w:jc w:val="center"/>
      </w:pPr>
    </w:p>
    <w:p w14:paraId="3FDE2949" w14:textId="77777777" w:rsidR="00911B5A" w:rsidRDefault="00911B5A" w:rsidP="00911B5A">
      <w:pPr>
        <w:spacing w:line="240" w:lineRule="auto"/>
        <w:jc w:val="center"/>
      </w:pPr>
    </w:p>
    <w:tbl>
      <w:tblPr>
        <w:tblW w:w="0" w:type="auto"/>
        <w:tblLayout w:type="fixed"/>
        <w:tblLook w:val="0000" w:firstRow="0" w:lastRow="0" w:firstColumn="0" w:lastColumn="0" w:noHBand="0" w:noVBand="0"/>
      </w:tblPr>
      <w:tblGrid>
        <w:gridCol w:w="4788"/>
        <w:gridCol w:w="4788"/>
      </w:tblGrid>
      <w:tr w:rsidR="00911B5A" w14:paraId="2375E97F" w14:textId="77777777" w:rsidTr="00911B5A">
        <w:tc>
          <w:tcPr>
            <w:tcW w:w="4788" w:type="dxa"/>
            <w:tcBorders>
              <w:bottom w:val="single" w:sz="4" w:space="0" w:color="auto"/>
              <w:right w:val="single" w:sz="4" w:space="0" w:color="auto"/>
            </w:tcBorders>
            <w:shd w:val="clear" w:color="auto" w:fill="auto"/>
          </w:tcPr>
          <w:p w14:paraId="48E2A219" w14:textId="77777777" w:rsidR="00911B5A" w:rsidRDefault="00911B5A" w:rsidP="00911B5A">
            <w:pPr>
              <w:spacing w:line="240" w:lineRule="auto"/>
            </w:pPr>
            <w:r>
              <w:t>THE PEOPLE,</w:t>
            </w:r>
          </w:p>
          <w:p w14:paraId="397164FC" w14:textId="77777777" w:rsidR="00911B5A" w:rsidRDefault="00911B5A" w:rsidP="00911B5A">
            <w:pPr>
              <w:spacing w:line="240" w:lineRule="auto"/>
            </w:pPr>
          </w:p>
          <w:p w14:paraId="4E3BF176" w14:textId="77777777" w:rsidR="00911B5A" w:rsidRDefault="00911B5A" w:rsidP="00911B5A">
            <w:pPr>
              <w:spacing w:line="240" w:lineRule="auto"/>
              <w:ind w:left="720"/>
            </w:pPr>
            <w:r>
              <w:t>Plaintiff and Respondent,</w:t>
            </w:r>
          </w:p>
          <w:p w14:paraId="6CAB1481" w14:textId="77777777" w:rsidR="00911B5A" w:rsidRDefault="00911B5A" w:rsidP="00911B5A">
            <w:pPr>
              <w:spacing w:line="240" w:lineRule="auto"/>
              <w:ind w:left="720"/>
            </w:pPr>
          </w:p>
          <w:p w14:paraId="7A3E947E" w14:textId="77777777" w:rsidR="00911B5A" w:rsidRDefault="00911B5A" w:rsidP="00911B5A">
            <w:pPr>
              <w:spacing w:line="240" w:lineRule="auto"/>
              <w:ind w:left="720"/>
            </w:pPr>
            <w:r>
              <w:t>v.</w:t>
            </w:r>
          </w:p>
          <w:p w14:paraId="4DD39AE3" w14:textId="77777777" w:rsidR="00911B5A" w:rsidRDefault="00911B5A" w:rsidP="00911B5A">
            <w:pPr>
              <w:spacing w:line="240" w:lineRule="auto"/>
            </w:pPr>
          </w:p>
          <w:p w14:paraId="49E9CCB5" w14:textId="3479F525" w:rsidR="00911B5A" w:rsidRDefault="00380183" w:rsidP="00911B5A">
            <w:pPr>
              <w:spacing w:line="240" w:lineRule="auto"/>
            </w:pPr>
            <w:r>
              <w:t>FRANCISCO BURGOS et al.</w:t>
            </w:r>
            <w:r w:rsidR="00911B5A">
              <w:t>,</w:t>
            </w:r>
          </w:p>
          <w:p w14:paraId="295F1838" w14:textId="77777777" w:rsidR="00911B5A" w:rsidRDefault="00911B5A" w:rsidP="00911B5A">
            <w:pPr>
              <w:spacing w:line="240" w:lineRule="auto"/>
            </w:pPr>
          </w:p>
          <w:p w14:paraId="4030D55D" w14:textId="33BD1176" w:rsidR="00911B5A" w:rsidRDefault="00911B5A" w:rsidP="00911B5A">
            <w:pPr>
              <w:spacing w:line="240" w:lineRule="auto"/>
              <w:ind w:left="720"/>
            </w:pPr>
            <w:r>
              <w:t>Defendant</w:t>
            </w:r>
            <w:r w:rsidR="00380183">
              <w:t>s</w:t>
            </w:r>
            <w:r>
              <w:t xml:space="preserve"> and Appellant</w:t>
            </w:r>
            <w:r w:rsidR="00380183">
              <w:t>s</w:t>
            </w:r>
            <w:r>
              <w:t>.</w:t>
            </w:r>
          </w:p>
          <w:p w14:paraId="2C763364" w14:textId="77777777" w:rsidR="00911B5A" w:rsidRDefault="00911B5A" w:rsidP="00911B5A">
            <w:pPr>
              <w:spacing w:line="240" w:lineRule="auto"/>
            </w:pPr>
          </w:p>
        </w:tc>
        <w:tc>
          <w:tcPr>
            <w:tcW w:w="4788" w:type="dxa"/>
            <w:tcBorders>
              <w:left w:val="single" w:sz="4" w:space="0" w:color="auto"/>
            </w:tcBorders>
            <w:shd w:val="clear" w:color="auto" w:fill="auto"/>
          </w:tcPr>
          <w:p w14:paraId="4D9E5EAA" w14:textId="3D6EA0F6" w:rsidR="00911B5A" w:rsidRDefault="00717E31" w:rsidP="00911B5A">
            <w:pPr>
              <w:spacing w:line="240" w:lineRule="auto"/>
            </w:pPr>
            <w:r>
              <w:t xml:space="preserve">      H0</w:t>
            </w:r>
            <w:r w:rsidR="0001035F">
              <w:t>4</w:t>
            </w:r>
            <w:r w:rsidR="00F41517">
              <w:t>5212</w:t>
            </w:r>
          </w:p>
          <w:p w14:paraId="4FA289B5" w14:textId="77777777" w:rsidR="00911B5A" w:rsidRDefault="00717E31" w:rsidP="00911B5A">
            <w:pPr>
              <w:spacing w:line="240" w:lineRule="auto"/>
            </w:pPr>
            <w:r>
              <w:t xml:space="preserve">     (Santa Clara</w:t>
            </w:r>
            <w:r w:rsidR="00911B5A">
              <w:t xml:space="preserve"> County</w:t>
            </w:r>
          </w:p>
          <w:p w14:paraId="2989B873" w14:textId="327E69ED" w:rsidR="00911B5A" w:rsidRDefault="00717E31" w:rsidP="00911B5A">
            <w:pPr>
              <w:spacing w:line="240" w:lineRule="auto"/>
            </w:pPr>
            <w:r>
              <w:t xml:space="preserve">      Super. Ct. No</w:t>
            </w:r>
            <w:r w:rsidR="00F97E69">
              <w:t>s</w:t>
            </w:r>
            <w:r w:rsidR="0001035F">
              <w:t>.</w:t>
            </w:r>
            <w:r w:rsidR="00F41517">
              <w:t xml:space="preserve"> C1518795</w:t>
            </w:r>
            <w:r w:rsidR="00F97E69">
              <w:t>, C1756994</w:t>
            </w:r>
            <w:r w:rsidR="00911B5A">
              <w:t>)</w:t>
            </w:r>
          </w:p>
        </w:tc>
      </w:tr>
    </w:tbl>
    <w:p w14:paraId="41988301" w14:textId="74470C35" w:rsidR="00750975" w:rsidRDefault="00E86224" w:rsidP="004B224F">
      <w:r>
        <w:tab/>
        <w:t>Th</w:t>
      </w:r>
      <w:r w:rsidR="001245A4">
        <w:t>is case concerns the retroactivity of</w:t>
      </w:r>
      <w:r>
        <w:t xml:space="preserve"> Assembly Bill No. 333 </w:t>
      </w:r>
      <w:r w:rsidR="00EE0870" w:rsidRPr="00EE0870">
        <w:t xml:space="preserve">(2021–2022 Reg. Sess.) </w:t>
      </w:r>
      <w:r w:rsidR="008E4390">
        <w:t>(Assembly Bill 333)</w:t>
      </w:r>
      <w:r w:rsidR="0021753F">
        <w:t>, which</w:t>
      </w:r>
      <w:r w:rsidR="008E4390">
        <w:t xml:space="preserve"> </w:t>
      </w:r>
      <w:r w:rsidR="00055329">
        <w:t>made</w:t>
      </w:r>
      <w:r w:rsidR="008E4390">
        <w:t xml:space="preserve"> numerous changes to the law </w:t>
      </w:r>
      <w:r w:rsidR="00B62C16">
        <w:t>governing</w:t>
      </w:r>
      <w:r w:rsidR="008E4390">
        <w:t xml:space="preserve"> gang-related offenses</w:t>
      </w:r>
      <w:r w:rsidR="00055329">
        <w:t xml:space="preserve">.  </w:t>
      </w:r>
      <w:r w:rsidR="007059B6">
        <w:t>A jury found</w:t>
      </w:r>
      <w:bookmarkStart w:id="1" w:name="_Hlk81297956"/>
      <w:r w:rsidR="004546FD">
        <w:t xml:space="preserve"> </w:t>
      </w:r>
      <w:r w:rsidR="00812C43">
        <w:t xml:space="preserve">appellants Francisco Burgos, James Daniel Richardson, and Damon Stevenson Jr. guilty </w:t>
      </w:r>
      <w:r w:rsidR="00DE438E">
        <w:t>of second degree robbery</w:t>
      </w:r>
      <w:r w:rsidR="0021753F">
        <w:t xml:space="preserve"> </w:t>
      </w:r>
      <w:r w:rsidR="00916179">
        <w:t>with</w:t>
      </w:r>
      <w:r w:rsidR="00750975">
        <w:t xml:space="preserve"> true findings on</w:t>
      </w:r>
      <w:r w:rsidR="00916179">
        <w:t xml:space="preserve"> </w:t>
      </w:r>
      <w:r w:rsidR="00CF371C">
        <w:t>gang enhancements</w:t>
      </w:r>
      <w:r w:rsidR="00042D6E">
        <w:t xml:space="preserve">.  </w:t>
      </w:r>
      <w:r w:rsidR="006A4873">
        <w:t>The trial court</w:t>
      </w:r>
      <w:r w:rsidR="0021753F">
        <w:t xml:space="preserve"> sentenced each appellant to 21 years in prison</w:t>
      </w:r>
      <w:r w:rsidR="004E7F2F">
        <w:t>.</w:t>
      </w:r>
      <w:r w:rsidR="00362441">
        <w:t xml:space="preserve">  </w:t>
      </w:r>
    </w:p>
    <w:p w14:paraId="1F8A90CA" w14:textId="1B97DFE0" w:rsidR="00970254" w:rsidRDefault="00750975" w:rsidP="004B224F">
      <w:r>
        <w:tab/>
      </w:r>
      <w:r w:rsidR="006A4873">
        <w:t xml:space="preserve">Appellants raise numerous claims including </w:t>
      </w:r>
      <w:r w:rsidR="00F8212F">
        <w:t>in</w:t>
      </w:r>
      <w:r w:rsidR="006A4873">
        <w:t>sufficien</w:t>
      </w:r>
      <w:r w:rsidR="00D94A64">
        <w:t>t evidence</w:t>
      </w:r>
      <w:r w:rsidR="00970254">
        <w:t xml:space="preserve"> and the retroactiv</w:t>
      </w:r>
      <w:r w:rsidR="00D94A64">
        <w:t>ity</w:t>
      </w:r>
      <w:r w:rsidR="00970254">
        <w:t xml:space="preserve"> of Assembly Bill 333</w:t>
      </w:r>
      <w:r w:rsidR="004546FD">
        <w:t xml:space="preserve">.  The Attorney General concedes Assembly Bill 333 </w:t>
      </w:r>
      <w:r w:rsidR="00F36608">
        <w:t xml:space="preserve">is </w:t>
      </w:r>
      <w:r w:rsidR="004546FD">
        <w:t xml:space="preserve">retroactive insofar as it amended the requirements </w:t>
      </w:r>
      <w:r w:rsidR="00347F51">
        <w:t xml:space="preserve">for proving a </w:t>
      </w:r>
      <w:r w:rsidR="004546FD">
        <w:t>gang enhancement</w:t>
      </w:r>
      <w:r w:rsidR="00362441">
        <w:t xml:space="preserve">. </w:t>
      </w:r>
      <w:r w:rsidR="004546FD">
        <w:t xml:space="preserve"> </w:t>
      </w:r>
      <w:r w:rsidR="00C5557D">
        <w:t>But h</w:t>
      </w:r>
      <w:r w:rsidR="00F36608">
        <w:t xml:space="preserve">e </w:t>
      </w:r>
      <w:r w:rsidR="00670451">
        <w:t>contends</w:t>
      </w:r>
      <w:r w:rsidR="00C5557D">
        <w:t xml:space="preserve"> </w:t>
      </w:r>
      <w:r w:rsidR="00280C76">
        <w:t>the</w:t>
      </w:r>
      <w:r w:rsidR="00F36608">
        <w:t xml:space="preserve"> </w:t>
      </w:r>
      <w:r w:rsidR="004546FD">
        <w:t xml:space="preserve">section </w:t>
      </w:r>
      <w:r w:rsidR="00F36608">
        <w:t>of the bill add</w:t>
      </w:r>
      <w:r w:rsidR="00280C76">
        <w:t>ing</w:t>
      </w:r>
      <w:r w:rsidR="00F36608">
        <w:t xml:space="preserve"> </w:t>
      </w:r>
      <w:r w:rsidR="004546FD">
        <w:t>Penal Code section 1109</w:t>
      </w:r>
      <w:r w:rsidR="00362441">
        <w:t xml:space="preserve"> </w:t>
      </w:r>
      <w:r w:rsidR="00280C76">
        <w:t>(</w:t>
      </w:r>
      <w:r w:rsidR="00817D85">
        <w:t xml:space="preserve">allowing </w:t>
      </w:r>
      <w:r w:rsidR="00C5557D">
        <w:t xml:space="preserve">the </w:t>
      </w:r>
      <w:r w:rsidR="00D80E8C">
        <w:t xml:space="preserve">defense </w:t>
      </w:r>
      <w:r w:rsidR="00817D85">
        <w:t xml:space="preserve">to </w:t>
      </w:r>
      <w:r w:rsidR="00C5557D">
        <w:t>request</w:t>
      </w:r>
      <w:r w:rsidR="00D80E8C">
        <w:t xml:space="preserve"> a</w:t>
      </w:r>
      <w:r w:rsidR="00362441">
        <w:t xml:space="preserve"> bifurcated trial on </w:t>
      </w:r>
      <w:r w:rsidR="00D80E8C">
        <w:t xml:space="preserve">a </w:t>
      </w:r>
      <w:r w:rsidR="00744734">
        <w:t xml:space="preserve">gang </w:t>
      </w:r>
      <w:r w:rsidR="00362441">
        <w:t>enhancement</w:t>
      </w:r>
      <w:r w:rsidR="00280C76">
        <w:t>)</w:t>
      </w:r>
      <w:r w:rsidR="004546FD">
        <w:t xml:space="preserve"> does not apply retroactively.</w:t>
      </w:r>
    </w:p>
    <w:p w14:paraId="5B7FB10C" w14:textId="71BC3C23" w:rsidR="007235EC" w:rsidRDefault="004546FD" w:rsidP="00911B5A">
      <w:r>
        <w:tab/>
      </w:r>
      <w:r w:rsidR="009740E8">
        <w:t xml:space="preserve">We conclude the evidence was sufficient to support the convictions.  </w:t>
      </w:r>
      <w:r w:rsidR="00F36608">
        <w:t xml:space="preserve">We </w:t>
      </w:r>
      <w:r>
        <w:t xml:space="preserve">hold Assembly Bill 333 </w:t>
      </w:r>
      <w:r w:rsidR="00F36608">
        <w:t xml:space="preserve">applies retroactively, and we conclude there </w:t>
      </w:r>
      <w:r w:rsidR="00362441">
        <w:t xml:space="preserve">are no grounds for treating </w:t>
      </w:r>
      <w:r w:rsidR="00F36608">
        <w:t xml:space="preserve">one section of the bill </w:t>
      </w:r>
      <w:r w:rsidR="00362441">
        <w:t>as prospective-only</w:t>
      </w:r>
      <w:r w:rsidR="00F36608">
        <w:t>.</w:t>
      </w:r>
      <w:r w:rsidR="009728A6">
        <w:t xml:space="preserve">  Therefore, Penal Code section 1109 also operates retroactively.</w:t>
      </w:r>
      <w:r w:rsidR="00F36608">
        <w:t xml:space="preserve">  </w:t>
      </w:r>
      <w:r w:rsidR="00642755">
        <w:t xml:space="preserve">We will reverse the judgments of conviction, </w:t>
      </w:r>
      <w:r w:rsidR="00E41B00">
        <w:t>vacate the gang enhancements</w:t>
      </w:r>
      <w:r w:rsidR="00642755">
        <w:t>,</w:t>
      </w:r>
      <w:r w:rsidR="00E41B00">
        <w:t xml:space="preserve"> and remand to the trial court.</w:t>
      </w:r>
      <w:bookmarkEnd w:id="1"/>
      <w:r w:rsidR="00642755">
        <w:t xml:space="preserve">  </w:t>
      </w:r>
      <w:r w:rsidR="00593E9D">
        <w:t xml:space="preserve"> </w:t>
      </w:r>
    </w:p>
    <w:p w14:paraId="34F314AF" w14:textId="5C28F443" w:rsidR="007D4ADB" w:rsidRDefault="007235EC" w:rsidP="00911B5A">
      <w:r>
        <w:lastRenderedPageBreak/>
        <w:tab/>
      </w:r>
      <w:r w:rsidR="009740E8">
        <w:t xml:space="preserve">Appellants raise numerous other claims </w:t>
      </w:r>
      <w:r w:rsidR="008854B4">
        <w:t>including</w:t>
      </w:r>
      <w:r w:rsidR="009740E8">
        <w:t xml:space="preserve"> evidentiary error, instructional error, and ineffective assistance</w:t>
      </w:r>
      <w:r w:rsidR="00662995">
        <w:t xml:space="preserve"> of counsel</w:t>
      </w:r>
      <w:r w:rsidR="009740E8">
        <w:t>, but we do not reach those claims.</w:t>
      </w:r>
      <w:r w:rsidR="00D879FF">
        <w:rPr>
          <w:rStyle w:val="FootnoteReference"/>
        </w:rPr>
        <w:footnoteReference w:id="1"/>
      </w:r>
    </w:p>
    <w:p w14:paraId="6C6D5936" w14:textId="77777777" w:rsidR="00911B5A" w:rsidRPr="00161EF9" w:rsidRDefault="00161EF9" w:rsidP="00161EF9">
      <w:pPr>
        <w:pStyle w:val="ListParagraph"/>
        <w:numPr>
          <w:ilvl w:val="0"/>
          <w:numId w:val="1"/>
        </w:numPr>
        <w:jc w:val="center"/>
        <w:rPr>
          <w:b/>
          <w:smallCaps/>
        </w:rPr>
      </w:pPr>
      <w:r w:rsidRPr="00161EF9">
        <w:rPr>
          <w:b/>
          <w:smallCaps/>
        </w:rPr>
        <w:t>Factual and Procedural Background</w:t>
      </w:r>
    </w:p>
    <w:p w14:paraId="7DFAD9E7" w14:textId="77777777" w:rsidR="005612C1" w:rsidRPr="00347B21" w:rsidRDefault="005612C1" w:rsidP="005612C1">
      <w:pPr>
        <w:pStyle w:val="ListParagraph"/>
        <w:numPr>
          <w:ilvl w:val="0"/>
          <w:numId w:val="5"/>
        </w:numPr>
        <w:rPr>
          <w:b/>
          <w:bCs/>
          <w:i/>
          <w:iCs/>
        </w:rPr>
      </w:pPr>
      <w:r w:rsidRPr="00347B21">
        <w:rPr>
          <w:b/>
          <w:bCs/>
          <w:i/>
          <w:iCs/>
        </w:rPr>
        <w:t>Procedural Background</w:t>
      </w:r>
    </w:p>
    <w:p w14:paraId="382B437E" w14:textId="13B0A17A" w:rsidR="00BD4452" w:rsidRDefault="00347B21" w:rsidP="00347B21">
      <w:r>
        <w:tab/>
      </w:r>
      <w:r w:rsidR="00A67752">
        <w:t xml:space="preserve">The prosecution charged </w:t>
      </w:r>
      <w:r>
        <w:t xml:space="preserve">each </w:t>
      </w:r>
      <w:r w:rsidR="007F1755">
        <w:t>appellant</w:t>
      </w:r>
      <w:r w:rsidR="00A67752">
        <w:t xml:space="preserve"> with two counts </w:t>
      </w:r>
      <w:r>
        <w:t>of second degree robbery.</w:t>
      </w:r>
      <w:r w:rsidR="0083299A">
        <w:t xml:space="preserve"> </w:t>
      </w:r>
      <w:r>
        <w:t xml:space="preserve"> (Pen. Code, §</w:t>
      </w:r>
      <w:r w:rsidR="00320A00">
        <w:t>§ 211, 212.5, subd. (c).</w:t>
      </w:r>
      <w:r>
        <w:t xml:space="preserve">) </w:t>
      </w:r>
      <w:r w:rsidR="00DF3840">
        <w:t xml:space="preserve"> </w:t>
      </w:r>
      <w:r w:rsidR="00B8257C">
        <w:t>As to</w:t>
      </w:r>
      <w:r w:rsidR="00E7046D">
        <w:t xml:space="preserve"> each count</w:t>
      </w:r>
      <w:r w:rsidR="00B8257C">
        <w:t xml:space="preserve"> and defendant</w:t>
      </w:r>
      <w:r w:rsidR="00E7046D">
        <w:t xml:space="preserve">, the prosecution alleged </w:t>
      </w:r>
      <w:r w:rsidR="00E7046D" w:rsidRPr="00E7046D">
        <w:t>that a princip</w:t>
      </w:r>
      <w:r w:rsidR="00EA76FA">
        <w:t>al</w:t>
      </w:r>
      <w:r w:rsidR="00E7046D" w:rsidRPr="00E7046D">
        <w:t xml:space="preserve"> personally used a firearm in the commission of the </w:t>
      </w:r>
      <w:r w:rsidR="00B8257C">
        <w:t>offense</w:t>
      </w:r>
      <w:r w:rsidR="00E7046D" w:rsidRPr="00E7046D">
        <w:t xml:space="preserve"> (</w:t>
      </w:r>
      <w:r w:rsidR="007020B3">
        <w:t xml:space="preserve">Pen. Code, </w:t>
      </w:r>
      <w:r w:rsidR="00E7046D" w:rsidRPr="00E7046D">
        <w:t xml:space="preserve">§ 12022.53, subds. (b) &amp; (e)(1)), and that the </w:t>
      </w:r>
      <w:r w:rsidR="005D4949">
        <w:t xml:space="preserve">offense was committed for the benefit of, at the direction of, and in association with a criminal street gang </w:t>
      </w:r>
      <w:r w:rsidR="00E7046D" w:rsidRPr="00E7046D">
        <w:t>(</w:t>
      </w:r>
      <w:r w:rsidR="007020B3">
        <w:t xml:space="preserve">Pen. Code, </w:t>
      </w:r>
      <w:r w:rsidR="00E7046D" w:rsidRPr="00E7046D">
        <w:t>§</w:t>
      </w:r>
      <w:r w:rsidR="00466386">
        <w:t> </w:t>
      </w:r>
      <w:r w:rsidR="00E7046D" w:rsidRPr="00E7046D">
        <w:t>186.22, subd. (b)(1)(C)).</w:t>
      </w:r>
      <w:r w:rsidR="0024752E">
        <w:t xml:space="preserve">  The prosecution further alleged each defendant had been convicted of prior serious felony offenses (</w:t>
      </w:r>
      <w:r w:rsidR="007020B3">
        <w:t xml:space="preserve">Pen. Code, </w:t>
      </w:r>
      <w:bookmarkStart w:id="2" w:name="_Hlk95413094"/>
      <w:r w:rsidR="00BA12CB">
        <w:t>§</w:t>
      </w:r>
      <w:bookmarkEnd w:id="2"/>
      <w:r w:rsidR="003B663E">
        <w:t xml:space="preserve">§ </w:t>
      </w:r>
      <w:r w:rsidR="0024752E">
        <w:t>667, subds. (a), (b)-(i)</w:t>
      </w:r>
      <w:r w:rsidR="00BA12CB">
        <w:t>, 1170.12).  As to Burgos, the prosecution alleged he had served a prior prison term (</w:t>
      </w:r>
      <w:r w:rsidR="001E2259">
        <w:t xml:space="preserve">Pen. Code, </w:t>
      </w:r>
      <w:r w:rsidR="00BA12CB">
        <w:t>§</w:t>
      </w:r>
      <w:r w:rsidR="003952DC">
        <w:t> </w:t>
      </w:r>
      <w:r w:rsidR="00BA12CB">
        <w:t>667.5, subd. (b)</w:t>
      </w:r>
      <w:r w:rsidR="00273018">
        <w:t>).</w:t>
      </w:r>
      <w:r w:rsidR="00A25C14">
        <w:t xml:space="preserve">  As to Stevenson, the prosecution alleged he was on felony probation at the time of the offenses.</w:t>
      </w:r>
      <w:r w:rsidR="00D6701D">
        <w:t xml:space="preserve"> </w:t>
      </w:r>
      <w:r w:rsidR="00A25C14">
        <w:t xml:space="preserve"> (</w:t>
      </w:r>
      <w:r w:rsidR="007020B3">
        <w:t xml:space="preserve">Pen. Code, </w:t>
      </w:r>
      <w:r w:rsidR="00A25C14">
        <w:t>§ 1203, subd. (k).)</w:t>
      </w:r>
    </w:p>
    <w:p w14:paraId="2107D77A" w14:textId="1540827A" w:rsidR="005C3C08" w:rsidRDefault="005C3C08" w:rsidP="00347B21">
      <w:r>
        <w:tab/>
        <w:t>The prosecution also charged codefendants Derrik Lozano and Gregory Byrd with the same offenses.</w:t>
      </w:r>
      <w:r w:rsidR="008803C7">
        <w:t xml:space="preserve"> </w:t>
      </w:r>
      <w:r w:rsidR="00DF3840">
        <w:t xml:space="preserve"> </w:t>
      </w:r>
      <w:r w:rsidR="00812D31">
        <w:t xml:space="preserve">Before trial, Lozano </w:t>
      </w:r>
      <w:r w:rsidR="00677F0D">
        <w:t xml:space="preserve">agreed </w:t>
      </w:r>
      <w:r w:rsidR="00812D31">
        <w:t>to plead guilty</w:t>
      </w:r>
      <w:r w:rsidR="00677F0D">
        <w:t xml:space="preserve"> to one count of second degree robbery and active participation in a criminal street gang</w:t>
      </w:r>
      <w:r w:rsidR="00812D31">
        <w:t xml:space="preserve"> </w:t>
      </w:r>
      <w:r w:rsidR="00472F18">
        <w:t xml:space="preserve">in exchange for a stipulated sentence of three years. </w:t>
      </w:r>
      <w:r w:rsidR="00DF3840">
        <w:t xml:space="preserve"> </w:t>
      </w:r>
    </w:p>
    <w:p w14:paraId="0987D172" w14:textId="2B7F1648" w:rsidR="00A25C14" w:rsidRDefault="00A25C14" w:rsidP="00347B21">
      <w:r>
        <w:tab/>
      </w:r>
      <w:r w:rsidR="009845AE">
        <w:t>Trial began in January 2017</w:t>
      </w:r>
      <w:r w:rsidR="003758CB">
        <w:t>, and the jury reached verdicts in March 2017</w:t>
      </w:r>
      <w:r w:rsidR="009845AE">
        <w:t xml:space="preserve">.  </w:t>
      </w:r>
      <w:r w:rsidR="009A5D00">
        <w:t xml:space="preserve">The jury found </w:t>
      </w:r>
      <w:r w:rsidR="002A76AC">
        <w:t>Burgos, Richardson, and Stevenson</w:t>
      </w:r>
      <w:r w:rsidR="009A5D00">
        <w:t xml:space="preserve"> guilty on both counts and found true the gang allegations.</w:t>
      </w:r>
      <w:r w:rsidR="00E12418">
        <w:t xml:space="preserve"> </w:t>
      </w:r>
      <w:r w:rsidR="00DF3840">
        <w:t xml:space="preserve"> </w:t>
      </w:r>
      <w:r w:rsidR="00E12418">
        <w:t>The jury hung on the firearm allegations</w:t>
      </w:r>
      <w:r w:rsidR="009752D9">
        <w:t xml:space="preserve"> and</w:t>
      </w:r>
      <w:r w:rsidR="002A76AC">
        <w:t xml:space="preserve"> found Byrd not guilty on </w:t>
      </w:r>
      <w:r w:rsidR="009752D9">
        <w:t>both</w:t>
      </w:r>
      <w:r w:rsidR="002A76AC">
        <w:t xml:space="preserve"> counts.</w:t>
      </w:r>
      <w:r w:rsidR="009752D9">
        <w:t xml:space="preserve"> </w:t>
      </w:r>
      <w:r w:rsidR="00DF3840">
        <w:t xml:space="preserve"> </w:t>
      </w:r>
      <w:r w:rsidR="00BD2E30">
        <w:t>After a bench trial, the court found true the prior conviction allegations as to Burgos and Stevenson.</w:t>
      </w:r>
      <w:r w:rsidR="00B77305">
        <w:t xml:space="preserve"> </w:t>
      </w:r>
      <w:r w:rsidR="00DF3840">
        <w:t xml:space="preserve"> </w:t>
      </w:r>
      <w:r w:rsidR="002E7706">
        <w:t xml:space="preserve">Richardson admitted his prior conviction. </w:t>
      </w:r>
      <w:r w:rsidR="00DF3840">
        <w:t xml:space="preserve"> </w:t>
      </w:r>
    </w:p>
    <w:p w14:paraId="51E75EA0" w14:textId="431565B2" w:rsidR="00D81D76" w:rsidRDefault="00AB0E10" w:rsidP="00CD7104">
      <w:r>
        <w:lastRenderedPageBreak/>
        <w:tab/>
        <w:t>As to each defendant, the trial court imposed an aggregate term of 21 years, consisting of six years for robbery, 10 years for the gang enhancement</w:t>
      </w:r>
      <w:r w:rsidR="00396E9F">
        <w:t>s</w:t>
      </w:r>
      <w:r>
        <w:t xml:space="preserve">, and five years for the prior felony offenses. </w:t>
      </w:r>
    </w:p>
    <w:p w14:paraId="0558C563" w14:textId="48D31C86" w:rsidR="007E737D" w:rsidRPr="00FE7601" w:rsidRDefault="007E737D" w:rsidP="007E737D">
      <w:pPr>
        <w:pStyle w:val="ListParagraph"/>
        <w:numPr>
          <w:ilvl w:val="0"/>
          <w:numId w:val="5"/>
        </w:numPr>
        <w:rPr>
          <w:b/>
          <w:bCs/>
          <w:i/>
          <w:iCs/>
        </w:rPr>
      </w:pPr>
      <w:r w:rsidRPr="00FE7601">
        <w:rPr>
          <w:b/>
          <w:bCs/>
          <w:i/>
          <w:iCs/>
        </w:rPr>
        <w:t>Facts of the Offense</w:t>
      </w:r>
    </w:p>
    <w:p w14:paraId="20CAAFAF" w14:textId="4202D368" w:rsidR="00D10890" w:rsidRDefault="00FE7601" w:rsidP="00A92557">
      <w:r>
        <w:tab/>
        <w:t>The prosecution alleged appellants were members of the Crip criminal street gang who robbed two men at gunpoint</w:t>
      </w:r>
      <w:r w:rsidR="00AC4C1B">
        <w:t xml:space="preserve"> </w:t>
      </w:r>
      <w:r w:rsidR="00B46DF2">
        <w:t xml:space="preserve">in San Jose </w:t>
      </w:r>
      <w:r w:rsidR="00AC4C1B">
        <w:t>on August 29, 2015</w:t>
      </w:r>
      <w:r>
        <w:t>.</w:t>
      </w:r>
      <w:r w:rsidR="00A754F1">
        <w:rPr>
          <w:rStyle w:val="FootnoteReference"/>
        </w:rPr>
        <w:footnoteReference w:id="2"/>
      </w:r>
      <w:r w:rsidR="003447E7">
        <w:t xml:space="preserve">  The victims were </w:t>
      </w:r>
      <w:r w:rsidR="00A53A5D">
        <w:t>Gabriel Cortez and Danny Rodriguez.  Rodriguez had no arms.</w:t>
      </w:r>
      <w:r w:rsidR="00224DE1">
        <w:t xml:space="preserve"> </w:t>
      </w:r>
      <w:r w:rsidR="008109C7">
        <w:t xml:space="preserve"> </w:t>
      </w:r>
      <w:r w:rsidR="00DA052F">
        <w:t xml:space="preserve">The victims told police a group of four to six men </w:t>
      </w:r>
      <w:r w:rsidR="001C2C27">
        <w:t xml:space="preserve">with a gun </w:t>
      </w:r>
      <w:r w:rsidR="00DA052F">
        <w:t xml:space="preserve">approached them, </w:t>
      </w:r>
      <w:r w:rsidR="00C45CD5">
        <w:t>asked about their gang status</w:t>
      </w:r>
      <w:r w:rsidR="00DA052F">
        <w:t xml:space="preserve">, and took their phones and wallets. </w:t>
      </w:r>
      <w:r w:rsidR="008109C7">
        <w:t xml:space="preserve"> </w:t>
      </w:r>
      <w:r w:rsidR="00DA052F">
        <w:t>The prosecution a</w:t>
      </w:r>
      <w:r w:rsidR="00723EC2">
        <w:t>lleged</w:t>
      </w:r>
      <w:r w:rsidR="00DA052F">
        <w:t xml:space="preserve"> that the robbers </w:t>
      </w:r>
      <w:r w:rsidR="00723EC2">
        <w:t>consisted of the three appellants</w:t>
      </w:r>
      <w:r w:rsidR="001C2C27">
        <w:t xml:space="preserve"> together with</w:t>
      </w:r>
      <w:r w:rsidR="00723EC2">
        <w:t xml:space="preserve"> Gregory Byrd and Derrik Lozano.</w:t>
      </w:r>
    </w:p>
    <w:p w14:paraId="20937286" w14:textId="5FFC57FB" w:rsidR="00323204" w:rsidRDefault="00355846" w:rsidP="00FE7601">
      <w:r>
        <w:tab/>
        <w:t>At the time of the offense, Byrd lived in an apartment at a complex</w:t>
      </w:r>
      <w:r w:rsidR="00104DEC">
        <w:t xml:space="preserve"> near Bowling Green</w:t>
      </w:r>
      <w:r w:rsidR="00122D60">
        <w:t xml:space="preserve"> Drive</w:t>
      </w:r>
      <w:r w:rsidR="00104DEC">
        <w:t xml:space="preserve"> and King</w:t>
      </w:r>
      <w:r>
        <w:t xml:space="preserve"> </w:t>
      </w:r>
      <w:r w:rsidR="00122D60">
        <w:t xml:space="preserve">Road </w:t>
      </w:r>
      <w:r>
        <w:t xml:space="preserve">in </w:t>
      </w:r>
      <w:r w:rsidR="009D3A81">
        <w:t>San Jose.</w:t>
      </w:r>
      <w:r w:rsidR="008109C7">
        <w:t xml:space="preserve"> </w:t>
      </w:r>
      <w:r w:rsidR="005B6A98">
        <w:t xml:space="preserve"> </w:t>
      </w:r>
      <w:r w:rsidR="002B72F2">
        <w:t>He testified that a</w:t>
      </w:r>
      <w:r w:rsidR="005B6A98">
        <w:t xml:space="preserve">round </w:t>
      </w:r>
      <w:r w:rsidR="002B72F2">
        <w:t xml:space="preserve">9:30 or </w:t>
      </w:r>
      <w:r w:rsidR="005B6A98">
        <w:t xml:space="preserve">10:00 p.m. on the night of the robbery, Byrd, Lozano, and appellants were at the </w:t>
      </w:r>
      <w:r w:rsidR="002B72F2">
        <w:t xml:space="preserve">apartment </w:t>
      </w:r>
      <w:r w:rsidR="005B6A98">
        <w:t>complex.</w:t>
      </w:r>
      <w:r w:rsidR="008109C7">
        <w:t xml:space="preserve"> </w:t>
      </w:r>
      <w:r w:rsidR="005573FA">
        <w:t xml:space="preserve"> At some point after midnight, appellants and Lozano left to go to the store. </w:t>
      </w:r>
      <w:r w:rsidR="008109C7">
        <w:t xml:space="preserve"> </w:t>
      </w:r>
      <w:r w:rsidR="00715307">
        <w:t xml:space="preserve">Byrd testified that they came back to the apartment about 15 minutes later. </w:t>
      </w:r>
      <w:r w:rsidR="008109C7">
        <w:t xml:space="preserve"> </w:t>
      </w:r>
      <w:r w:rsidR="007E081F">
        <w:t>Between 12:08 and 12:28 a.m., at a 7-Eleven near the location of the robbery, video cameras recorded appellants and Lozano inside the store.</w:t>
      </w:r>
      <w:r w:rsidR="00694E86">
        <w:t xml:space="preserve"> </w:t>
      </w:r>
    </w:p>
    <w:p w14:paraId="28CA575F" w14:textId="6D0E2349" w:rsidR="00694E86" w:rsidRDefault="00694E86" w:rsidP="00FE7601">
      <w:r>
        <w:tab/>
      </w:r>
      <w:r w:rsidR="00006263">
        <w:t xml:space="preserve">Just before the robbery, </w:t>
      </w:r>
      <w:r w:rsidR="009951A1">
        <w:t xml:space="preserve">Rodriguez and Cortez were eating at a Chinese restaurant nearby.  </w:t>
      </w:r>
      <w:r w:rsidR="00A11B76">
        <w:t xml:space="preserve">Around midnight, they left the restaurant and were walking </w:t>
      </w:r>
      <w:r w:rsidR="003F44D4">
        <w:t xml:space="preserve">near </w:t>
      </w:r>
      <w:r w:rsidR="00A11B76">
        <w:t>the 7-Eleven when</w:t>
      </w:r>
      <w:r w:rsidR="003E7FD8">
        <w:t xml:space="preserve"> a</w:t>
      </w:r>
      <w:r w:rsidR="00CD03AB">
        <w:t xml:space="preserve"> group of men approached them</w:t>
      </w:r>
      <w:r w:rsidR="00B65664">
        <w:t xml:space="preserve"> from the direction of the</w:t>
      </w:r>
      <w:r w:rsidR="00885827">
        <w:t xml:space="preserve"> store</w:t>
      </w:r>
      <w:r w:rsidR="00CD03AB">
        <w:t>.</w:t>
      </w:r>
      <w:r w:rsidR="00A11B76">
        <w:t xml:space="preserve"> </w:t>
      </w:r>
      <w:r w:rsidR="008109C7">
        <w:t xml:space="preserve"> </w:t>
      </w:r>
      <w:r w:rsidR="003E7FD8">
        <w:t>Rodriguez later told police it was a group of five or six</w:t>
      </w:r>
      <w:r w:rsidR="00A85D69">
        <w:t xml:space="preserve"> men</w:t>
      </w:r>
      <w:r w:rsidR="003E7FD8">
        <w:t xml:space="preserve">. </w:t>
      </w:r>
      <w:r w:rsidR="008109C7">
        <w:t xml:space="preserve"> </w:t>
      </w:r>
      <w:r w:rsidR="006D2A2E" w:rsidRPr="006D2A2E">
        <w:t xml:space="preserve">Cortez </w:t>
      </w:r>
      <w:r w:rsidR="006D2A2E">
        <w:t xml:space="preserve">later told police </w:t>
      </w:r>
      <w:r w:rsidR="006D2A2E" w:rsidRPr="006D2A2E">
        <w:t xml:space="preserve">there were </w:t>
      </w:r>
      <w:r w:rsidR="006D2A2E">
        <w:t xml:space="preserve">maybe </w:t>
      </w:r>
      <w:r w:rsidR="006D2A2E" w:rsidRPr="006D2A2E">
        <w:t xml:space="preserve">four or five men in the group. </w:t>
      </w:r>
      <w:r w:rsidR="008109C7">
        <w:t xml:space="preserve"> </w:t>
      </w:r>
      <w:r w:rsidR="0068196B">
        <w:t xml:space="preserve">The men were wearing </w:t>
      </w:r>
      <w:r w:rsidR="0068196B" w:rsidRPr="0068196B">
        <w:t xml:space="preserve">black or dark blue clothing. </w:t>
      </w:r>
      <w:r w:rsidR="0068196B">
        <w:t xml:space="preserve"> </w:t>
      </w:r>
      <w:r w:rsidR="006F5F58">
        <w:t>Rodriguez told police they all wore plain t-shirt</w:t>
      </w:r>
      <w:r w:rsidR="00235326">
        <w:t>s</w:t>
      </w:r>
      <w:r w:rsidR="006F5F58">
        <w:t xml:space="preserve"> with no writing on them.</w:t>
      </w:r>
    </w:p>
    <w:p w14:paraId="32B34125" w14:textId="3D4F8C77" w:rsidR="008E5B49" w:rsidRDefault="006B21F9" w:rsidP="00FE7601">
      <w:r>
        <w:tab/>
        <w:t>T</w:t>
      </w:r>
      <w:r w:rsidR="008E5B49" w:rsidRPr="008E5B49">
        <w:t xml:space="preserve">he men </w:t>
      </w:r>
      <w:r>
        <w:t xml:space="preserve">started </w:t>
      </w:r>
      <w:r w:rsidR="008E5B49" w:rsidRPr="008E5B49">
        <w:t>ask</w:t>
      </w:r>
      <w:r>
        <w:t>ing</w:t>
      </w:r>
      <w:r w:rsidR="008E5B49" w:rsidRPr="008E5B49">
        <w:t xml:space="preserve"> Rodriguez and Cortez</w:t>
      </w:r>
      <w:r>
        <w:t xml:space="preserve"> where they were from</w:t>
      </w:r>
      <w:r w:rsidR="00B90CF3">
        <w:t xml:space="preserve"> and </w:t>
      </w:r>
      <w:r w:rsidR="0094186B">
        <w:t>whether</w:t>
      </w:r>
      <w:r w:rsidR="00B90CF3">
        <w:t xml:space="preserve"> they “banged</w:t>
      </w:r>
      <w:r w:rsidR="0094186B">
        <w:t>.</w:t>
      </w:r>
      <w:r w:rsidR="00B90CF3">
        <w:t>”</w:t>
      </w:r>
      <w:r>
        <w:t xml:space="preserve"> </w:t>
      </w:r>
      <w:r w:rsidR="008109C7">
        <w:t xml:space="preserve"> </w:t>
      </w:r>
      <w:r w:rsidR="0024275F">
        <w:t xml:space="preserve">The victims </w:t>
      </w:r>
      <w:r>
        <w:t xml:space="preserve">responded that they were from “right here,” and the men </w:t>
      </w:r>
      <w:r>
        <w:lastRenderedPageBreak/>
        <w:t>asked them</w:t>
      </w:r>
      <w:r w:rsidR="008E5B49" w:rsidRPr="008E5B49">
        <w:t xml:space="preserve"> whether they were from “Meadowfair</w:t>
      </w:r>
      <w:r w:rsidR="00B90CF3">
        <w:t>.</w:t>
      </w:r>
      <w:r w:rsidR="008E5B49" w:rsidRPr="008E5B49">
        <w:t>”</w:t>
      </w:r>
      <w:r w:rsidR="008109C7">
        <w:t xml:space="preserve"> </w:t>
      </w:r>
      <w:r w:rsidR="008E5B49" w:rsidRPr="008E5B49">
        <w:t xml:space="preserve"> </w:t>
      </w:r>
      <w:r>
        <w:t>One of the men</w:t>
      </w:r>
      <w:r w:rsidR="00C00AA5">
        <w:t xml:space="preserve"> asserted</w:t>
      </w:r>
      <w:r>
        <w:t>, “Well, we’re Crip.”</w:t>
      </w:r>
      <w:r w:rsidR="008109C7">
        <w:t xml:space="preserve"> </w:t>
      </w:r>
      <w:r w:rsidR="0024275F">
        <w:t xml:space="preserve"> It appeared to Rodri</w:t>
      </w:r>
      <w:r w:rsidR="00C8321B">
        <w:t>g</w:t>
      </w:r>
      <w:r w:rsidR="0024275F">
        <w:t>uez that the men were about to let them go when the biggest man in the group asked the victims what they had in their pockets.</w:t>
      </w:r>
      <w:r w:rsidR="00D915CE">
        <w:t xml:space="preserve">  The man pulled up his shirt to reveal a gun, pulled down a ski mask, and told the victims to empty their pockets.</w:t>
      </w:r>
      <w:r w:rsidR="008109C7">
        <w:t xml:space="preserve"> </w:t>
      </w:r>
      <w:r w:rsidR="00F37A4C">
        <w:t xml:space="preserve"> Rodriguez responded, “Bro’, I don’t even have arms.  I can’t.  You know I can’t.” </w:t>
      </w:r>
      <w:r w:rsidR="008109C7">
        <w:t xml:space="preserve"> </w:t>
      </w:r>
      <w:r w:rsidR="00BD5434">
        <w:t xml:space="preserve">The man approached Rodriguez, pulled out his wallet and phone, and opened the wallet, whereupon </w:t>
      </w:r>
      <w:r w:rsidR="00253946">
        <w:t>the man</w:t>
      </w:r>
      <w:r w:rsidR="00BD5434">
        <w:t xml:space="preserve"> saw it was empty.  The man dropped the wallet but kept the phone.  </w:t>
      </w:r>
      <w:r w:rsidR="00684E9A">
        <w:t>Someone pointed a gun in Cortez’s face and</w:t>
      </w:r>
      <w:r w:rsidR="00D915CE">
        <w:t xml:space="preserve"> </w:t>
      </w:r>
      <w:r w:rsidR="00684E9A">
        <w:t xml:space="preserve">took his wallet and phone out of his pockets. </w:t>
      </w:r>
      <w:r w:rsidR="008109C7">
        <w:t xml:space="preserve"> </w:t>
      </w:r>
      <w:r w:rsidR="00185B49">
        <w:t>Cortez had about $250 in his wallet.</w:t>
      </w:r>
      <w:r w:rsidR="008109C7">
        <w:t xml:space="preserve"> </w:t>
      </w:r>
      <w:r w:rsidR="00185B49">
        <w:t xml:space="preserve"> </w:t>
      </w:r>
      <w:r w:rsidR="001679B4">
        <w:t>One of the men then told the victims, “See that guy with the gun . . . . you guys go</w:t>
      </w:r>
      <w:r w:rsidR="00652EDF">
        <w:t>t</w:t>
      </w:r>
      <w:r w:rsidR="001679B4">
        <w:t xml:space="preserve"> 30 seconds to get out of my face.”  </w:t>
      </w:r>
    </w:p>
    <w:p w14:paraId="27A5CF03" w14:textId="3B25744B" w:rsidR="004D3158" w:rsidRDefault="004D3158" w:rsidP="00FE7601">
      <w:r>
        <w:tab/>
        <w:t>After the robbery, the victims ran to Cortez’s home and Rodriguez called his father</w:t>
      </w:r>
      <w:r w:rsidR="00225E7F">
        <w:t xml:space="preserve"> to come pick him (Rodriguez) up</w:t>
      </w:r>
      <w:r>
        <w:t>.</w:t>
      </w:r>
      <w:r w:rsidR="008109C7">
        <w:t xml:space="preserve"> </w:t>
      </w:r>
      <w:r w:rsidR="00AD245F">
        <w:t xml:space="preserve"> Rodriguez told his father that a group of men with a gun had robbed him (Rodriguez) and Cortez</w:t>
      </w:r>
      <w:r w:rsidR="000A7372">
        <w:t>, taking their wallets and phones</w:t>
      </w:r>
      <w:r w:rsidR="00AD245F">
        <w:t xml:space="preserve">. </w:t>
      </w:r>
      <w:r w:rsidR="008109C7">
        <w:t xml:space="preserve"> </w:t>
      </w:r>
      <w:r w:rsidR="00B00EA8">
        <w:t xml:space="preserve">As </w:t>
      </w:r>
      <w:r w:rsidR="00623E8F">
        <w:t xml:space="preserve">Rodriguez’s </w:t>
      </w:r>
      <w:r w:rsidR="00B00EA8">
        <w:t xml:space="preserve">father was driving him home, Rodriguez saw the men who robbed him standing on the corner </w:t>
      </w:r>
      <w:r w:rsidR="00B00EA8" w:rsidRPr="00B00EA8">
        <w:t>of Bowling Green Drive and King Road</w:t>
      </w:r>
      <w:r w:rsidR="00B00EA8">
        <w:t>.</w:t>
      </w:r>
      <w:r w:rsidR="008109C7">
        <w:t xml:space="preserve"> </w:t>
      </w:r>
      <w:r w:rsidR="00B00EA8">
        <w:t xml:space="preserve"> </w:t>
      </w:r>
      <w:r w:rsidR="00186E64">
        <w:t xml:space="preserve">When Rodriguez and his father reached their home, the father called 911 and they reported the robbery.  The father told the 911 operator his son had been robbed by five black men with a gun 15 minutes earlier, and that three of the robbers had been at the corner </w:t>
      </w:r>
      <w:r w:rsidR="00186E64" w:rsidRPr="00B00EA8">
        <w:t>of Bowling Green Drive and King Road</w:t>
      </w:r>
      <w:r w:rsidR="00186E64">
        <w:t xml:space="preserve"> five minutes earlier.</w:t>
      </w:r>
      <w:r w:rsidR="00FB113E">
        <w:t xml:space="preserve"> </w:t>
      </w:r>
    </w:p>
    <w:p w14:paraId="5B1DC44F" w14:textId="0A561BBB" w:rsidR="00B678EC" w:rsidRDefault="00B678EC" w:rsidP="006E2433">
      <w:r>
        <w:tab/>
        <w:t xml:space="preserve">Police arrived at the apartment complex at </w:t>
      </w:r>
      <w:r w:rsidRPr="00B00EA8">
        <w:t>Bowling Green Drive and King Road</w:t>
      </w:r>
      <w:r>
        <w:t xml:space="preserve"> </w:t>
      </w:r>
      <w:r w:rsidR="00E95860">
        <w:t xml:space="preserve">around </w:t>
      </w:r>
      <w:r>
        <w:t xml:space="preserve">1:00 a.m. </w:t>
      </w:r>
      <w:r w:rsidR="00002982">
        <w:t xml:space="preserve"> </w:t>
      </w:r>
      <w:r w:rsidR="00BB3AA4">
        <w:t xml:space="preserve">The location was about 50 to 100 yards from the 7-Eleven.  </w:t>
      </w:r>
      <w:r w:rsidR="00002982">
        <w:t>As they pulled up, the</w:t>
      </w:r>
      <w:r w:rsidR="00BB3AA4">
        <w:t xml:space="preserve"> police</w:t>
      </w:r>
      <w:r w:rsidR="00002982">
        <w:t xml:space="preserve"> saw three black men standing near the apartment comple</w:t>
      </w:r>
      <w:r w:rsidR="003F4DF7">
        <w:t>x</w:t>
      </w:r>
      <w:r w:rsidR="00002982">
        <w:t xml:space="preserve">. </w:t>
      </w:r>
      <w:r w:rsidR="006E2433">
        <w:t xml:space="preserve"> One of the men was wearing a “very, very noticeable teal shirt,” or a “bright teal” or turquoise shirt.</w:t>
      </w:r>
      <w:r w:rsidR="008109C7">
        <w:t xml:space="preserve"> </w:t>
      </w:r>
      <w:r w:rsidR="00002982">
        <w:t xml:space="preserve"> </w:t>
      </w:r>
      <w:r w:rsidR="00BB3AA4">
        <w:t xml:space="preserve">The three men immediately started running into the apartment complex.  </w:t>
      </w:r>
    </w:p>
    <w:p w14:paraId="78866F49" w14:textId="100A4BED" w:rsidR="00FC4810" w:rsidRDefault="00FC4810" w:rsidP="00FE7601">
      <w:r>
        <w:tab/>
      </w:r>
      <w:r w:rsidR="00557CBE">
        <w:t>The police set up a perimeter</w:t>
      </w:r>
      <w:r w:rsidR="00B9554B">
        <w:t xml:space="preserve"> around the apartment complex</w:t>
      </w:r>
      <w:r w:rsidR="00557CBE">
        <w:t xml:space="preserve"> and watched the exits</w:t>
      </w:r>
      <w:r w:rsidR="000C7E7F">
        <w:t xml:space="preserve"> to ensure nobody else went in or out</w:t>
      </w:r>
      <w:r w:rsidR="00557CBE">
        <w:t>.</w:t>
      </w:r>
      <w:r w:rsidR="008109C7">
        <w:t xml:space="preserve"> </w:t>
      </w:r>
      <w:r w:rsidR="00557CBE">
        <w:t xml:space="preserve"> </w:t>
      </w:r>
      <w:r w:rsidR="00F969E5">
        <w:t>They saw Byrd standing on a</w:t>
      </w:r>
      <w:r w:rsidR="003B6DCC">
        <w:t xml:space="preserve"> </w:t>
      </w:r>
      <w:r w:rsidR="008D1982">
        <w:t>second-</w:t>
      </w:r>
      <w:r w:rsidR="003B6DCC">
        <w:t>floor</w:t>
      </w:r>
      <w:r w:rsidR="00F969E5">
        <w:t xml:space="preserve"> balcony “kind of . . . peeking out.” </w:t>
      </w:r>
      <w:r w:rsidR="008109C7">
        <w:t xml:space="preserve"> </w:t>
      </w:r>
      <w:r w:rsidR="00723180">
        <w:t>About 25 minutes</w:t>
      </w:r>
      <w:r w:rsidR="000C7E7F">
        <w:t xml:space="preserve"> after police saw the three men run into the </w:t>
      </w:r>
      <w:r w:rsidR="000C7E7F">
        <w:lastRenderedPageBreak/>
        <w:t>apartment complex</w:t>
      </w:r>
      <w:r w:rsidR="00723180">
        <w:t xml:space="preserve">, Byrd came out </w:t>
      </w:r>
      <w:r w:rsidR="000C7E7F">
        <w:t xml:space="preserve">of </w:t>
      </w:r>
      <w:r w:rsidR="00723180">
        <w:t xml:space="preserve">the complex </w:t>
      </w:r>
      <w:r w:rsidR="007C16A8">
        <w:t xml:space="preserve">and contacted the police. </w:t>
      </w:r>
      <w:r w:rsidR="00182701">
        <w:t xml:space="preserve"> He told the police he wanted to move his car, which was parked in a fire lane, so that it would not get towed. </w:t>
      </w:r>
      <w:r w:rsidR="008109C7">
        <w:t xml:space="preserve"> </w:t>
      </w:r>
      <w:r w:rsidR="004E0254">
        <w:t xml:space="preserve">Police later determined the car was owned by </w:t>
      </w:r>
      <w:r w:rsidR="00F2418F">
        <w:t xml:space="preserve">Lozano’s girlfriend, </w:t>
      </w:r>
      <w:r w:rsidR="004E0254">
        <w:t xml:space="preserve">Cynthia Capito, who </w:t>
      </w:r>
      <w:r w:rsidR="00BB5FF2">
        <w:t xml:space="preserve">was outside </w:t>
      </w:r>
      <w:r w:rsidR="004E0254">
        <w:t xml:space="preserve">the apartment complex. </w:t>
      </w:r>
      <w:r w:rsidR="00BB5FF2">
        <w:t xml:space="preserve"> </w:t>
      </w:r>
      <w:r w:rsidR="00DF790A">
        <w:t xml:space="preserve">At some point, </w:t>
      </w:r>
      <w:r w:rsidR="00BB5FF2">
        <w:t>Capito consented to a search of the car</w:t>
      </w:r>
      <w:r w:rsidR="00DF790A">
        <w:t>, and the police found Rodriguez’s stolen phone inside it.</w:t>
      </w:r>
      <w:r w:rsidR="002045F8">
        <w:t xml:space="preserve"> </w:t>
      </w:r>
    </w:p>
    <w:p w14:paraId="1D2B131D" w14:textId="2B4BD3F0" w:rsidR="00B531EE" w:rsidRDefault="00B531EE" w:rsidP="00FE7601">
      <w:r>
        <w:tab/>
        <w:t>The police detained Byrd</w:t>
      </w:r>
      <w:r w:rsidR="00DB5D92">
        <w:t xml:space="preserve"> and conducted an in-field </w:t>
      </w:r>
      <w:r w:rsidR="00A34A21">
        <w:t>showup</w:t>
      </w:r>
      <w:r w:rsidR="001C7503">
        <w:t xml:space="preserve"> of Byrd</w:t>
      </w:r>
      <w:r w:rsidR="00DB5D92">
        <w:t xml:space="preserve"> </w:t>
      </w:r>
      <w:r w:rsidR="001C7503">
        <w:t xml:space="preserve">for </w:t>
      </w:r>
      <w:r w:rsidR="00DB5D92">
        <w:t>Rodriguez</w:t>
      </w:r>
      <w:r>
        <w:t>.</w:t>
      </w:r>
      <w:r w:rsidR="00FD4FB6">
        <w:t xml:space="preserve"> </w:t>
      </w:r>
      <w:r w:rsidR="00DB5D92">
        <w:t xml:space="preserve"> Rodriguez </w:t>
      </w:r>
      <w:r w:rsidR="005E631A">
        <w:t xml:space="preserve">positively </w:t>
      </w:r>
      <w:r w:rsidR="00DB5D92">
        <w:t>identified Byrd</w:t>
      </w:r>
      <w:r w:rsidR="00D83CFC">
        <w:t xml:space="preserve"> as the </w:t>
      </w:r>
      <w:r w:rsidR="00ED6430">
        <w:t xml:space="preserve">robber with the gun and </w:t>
      </w:r>
      <w:r w:rsidR="00282F78">
        <w:t xml:space="preserve">described him as the </w:t>
      </w:r>
      <w:r w:rsidR="00ED6430">
        <w:t>main suspect</w:t>
      </w:r>
      <w:r w:rsidR="00DB5D92">
        <w:t>.</w:t>
      </w:r>
    </w:p>
    <w:p w14:paraId="5573DBFA" w14:textId="73838222" w:rsidR="00D82C94" w:rsidRDefault="00D82C94" w:rsidP="00FE7601">
      <w:r>
        <w:tab/>
        <w:t xml:space="preserve">Shortly thereafter, </w:t>
      </w:r>
      <w:r w:rsidR="00901E55">
        <w:t>the police took appellants</w:t>
      </w:r>
      <w:r w:rsidR="00162FBD">
        <w:t xml:space="preserve">, </w:t>
      </w:r>
      <w:r w:rsidR="00901E55">
        <w:t>Lozano</w:t>
      </w:r>
      <w:r w:rsidR="00162FBD">
        <w:t xml:space="preserve">, and </w:t>
      </w:r>
      <w:r w:rsidR="006C01E4">
        <w:t xml:space="preserve">another man named </w:t>
      </w:r>
      <w:r w:rsidR="00162FBD">
        <w:t>Ke</w:t>
      </w:r>
      <w:r w:rsidR="006C01E4">
        <w:t>i</w:t>
      </w:r>
      <w:r w:rsidR="00162FBD">
        <w:t>son Hames</w:t>
      </w:r>
      <w:r w:rsidR="00901E55">
        <w:t xml:space="preserve"> out of Byrd’s apartment.</w:t>
      </w:r>
      <w:r w:rsidR="00FD4FB6">
        <w:t xml:space="preserve"> </w:t>
      </w:r>
      <w:r w:rsidR="001317C6">
        <w:t xml:space="preserve"> The police conducted in-field </w:t>
      </w:r>
      <w:r w:rsidR="00A34A21">
        <w:t>showup</w:t>
      </w:r>
      <w:r w:rsidR="001317C6">
        <w:t>s of each person for Rodriguez</w:t>
      </w:r>
      <w:r w:rsidR="006C01E4">
        <w:t xml:space="preserve"> one at a time</w:t>
      </w:r>
      <w:r w:rsidR="001317C6">
        <w:t xml:space="preserve">.  </w:t>
      </w:r>
      <w:r w:rsidR="00AC416E">
        <w:t>First, the police showed Hames to Rodriguez, but Rodriguez did not recognize him.</w:t>
      </w:r>
      <w:r w:rsidR="00FD4FB6">
        <w:t xml:space="preserve"> </w:t>
      </w:r>
      <w:r w:rsidR="00AC416E">
        <w:t xml:space="preserve"> </w:t>
      </w:r>
      <w:r w:rsidR="00772170">
        <w:t xml:space="preserve">Next, they showed Stevenson to Rodriguez.  Rodriguez recognized him as being present during the robbery. </w:t>
      </w:r>
      <w:r w:rsidR="00FD4FB6">
        <w:t xml:space="preserve"> </w:t>
      </w:r>
      <w:r w:rsidR="00772170">
        <w:t>After the police then showed Burgos to Rodriguez, however, he said Burgos looked similar to Stevenson, and he could not be sure about either of them.</w:t>
      </w:r>
      <w:r w:rsidR="00FD4FB6">
        <w:t xml:space="preserve"> </w:t>
      </w:r>
      <w:r w:rsidR="00ED01EB">
        <w:t xml:space="preserve"> The police showed him Lozano next, and Rodriguez said he did not recognize him.  Finally, they showed him Richardson, and Rodriguez said he was</w:t>
      </w:r>
      <w:r w:rsidR="00ED464E">
        <w:t xml:space="preserve"> not</w:t>
      </w:r>
      <w:r w:rsidR="00ED01EB">
        <w:t xml:space="preserve"> a participant.</w:t>
      </w:r>
      <w:r w:rsidR="00FD4FB6">
        <w:t xml:space="preserve">  </w:t>
      </w:r>
    </w:p>
    <w:p w14:paraId="49DF1C7A" w14:textId="02CD72DE" w:rsidR="004C5ACA" w:rsidRDefault="004C5ACA" w:rsidP="00FE7601">
      <w:r>
        <w:tab/>
        <w:t xml:space="preserve">The police then conducted in-field </w:t>
      </w:r>
      <w:r w:rsidR="00A34A21">
        <w:t>showup</w:t>
      </w:r>
      <w:r>
        <w:t>s with Cortez and showed him Lozano, Stevenson, Burgos,</w:t>
      </w:r>
      <w:r w:rsidR="003544D9">
        <w:t xml:space="preserve"> Richardson,</w:t>
      </w:r>
      <w:r>
        <w:t xml:space="preserve"> and Hames.</w:t>
      </w:r>
      <w:r w:rsidR="002358E5">
        <w:t xml:space="preserve">  They did not show him Byrd.</w:t>
      </w:r>
      <w:r>
        <w:t xml:space="preserve">  </w:t>
      </w:r>
      <w:r w:rsidR="003544D9">
        <w:t xml:space="preserve">An audio recording of the </w:t>
      </w:r>
      <w:r w:rsidR="00A34A21">
        <w:t>showup</w:t>
      </w:r>
      <w:r w:rsidR="003544D9">
        <w:t xml:space="preserve"> conflicts with police testimony </w:t>
      </w:r>
      <w:r w:rsidR="00C31C03">
        <w:t xml:space="preserve">about the order in which the suspects were shown to Cortez.  The audio transcript appears to show Lozano was presented first, and Cortez identified him as the person who “dug inside my pocket.”  </w:t>
      </w:r>
      <w:r w:rsidR="00B83DC9">
        <w:t>N</w:t>
      </w:r>
      <w:r w:rsidR="00B83DC9" w:rsidRPr="00B83DC9">
        <w:t>ext</w:t>
      </w:r>
      <w:r w:rsidR="00B83DC9">
        <w:t>, Cortez</w:t>
      </w:r>
      <w:r w:rsidR="00B83DC9" w:rsidRPr="00B83DC9">
        <w:t xml:space="preserve"> identified</w:t>
      </w:r>
      <w:r w:rsidR="00B83DC9">
        <w:t xml:space="preserve"> </w:t>
      </w:r>
      <w:r w:rsidR="00B83DC9" w:rsidRPr="00B83DC9">
        <w:t>Stevenson as</w:t>
      </w:r>
      <w:r w:rsidR="00B83DC9">
        <w:t xml:space="preserve"> </w:t>
      </w:r>
      <w:r w:rsidR="0047347D">
        <w:t>“kind of”</w:t>
      </w:r>
      <w:r w:rsidR="00B83DC9">
        <w:t xml:space="preserve"> familiar</w:t>
      </w:r>
      <w:r w:rsidR="0047347D">
        <w:t>.</w:t>
      </w:r>
      <w:r w:rsidR="00FD4FB6">
        <w:t xml:space="preserve">  </w:t>
      </w:r>
      <w:r w:rsidR="0047347D">
        <w:t xml:space="preserve">Cortez </w:t>
      </w:r>
      <w:r w:rsidR="00B83DC9">
        <w:t xml:space="preserve">said he </w:t>
      </w:r>
      <w:r w:rsidR="0047347D">
        <w:t xml:space="preserve">thought Stevenson </w:t>
      </w:r>
      <w:r w:rsidR="002358E5">
        <w:t>“</w:t>
      </w:r>
      <w:r w:rsidR="00B83DC9">
        <w:t>was</w:t>
      </w:r>
      <w:r w:rsidR="00B83DC9" w:rsidRPr="00B83DC9">
        <w:t xml:space="preserve"> just there”</w:t>
      </w:r>
      <w:r w:rsidR="0047347D">
        <w:t xml:space="preserve"> and did not touch Cortez, but Cortez felt a little threatened by his presence. </w:t>
      </w:r>
      <w:r w:rsidR="00FD4FB6">
        <w:t xml:space="preserve"> </w:t>
      </w:r>
      <w:r w:rsidR="00611550">
        <w:t xml:space="preserve">The officer who conducted the </w:t>
      </w:r>
      <w:r w:rsidR="00A34A21">
        <w:t>showup</w:t>
      </w:r>
      <w:r w:rsidR="00611550">
        <w:t xml:space="preserve"> testified that Cortez was presented with Stevenson first, and that Cortez said Stevenson was the one who went through his pockets.</w:t>
      </w:r>
      <w:r w:rsidR="00FD4FB6">
        <w:t xml:space="preserve">  </w:t>
      </w:r>
      <w:r w:rsidR="002358E5">
        <w:t xml:space="preserve">The officer testified that Cortez said Lozano “was just present” and did not do </w:t>
      </w:r>
      <w:r w:rsidR="002358E5">
        <w:lastRenderedPageBreak/>
        <w:t xml:space="preserve">anything. </w:t>
      </w:r>
      <w:r w:rsidR="00FD4FB6">
        <w:t xml:space="preserve"> </w:t>
      </w:r>
      <w:r w:rsidR="001D0EFF">
        <w:t>Cortez identified Burgos as “the one who took my wallet.”</w:t>
      </w:r>
      <w:r w:rsidR="00FD4FB6">
        <w:t xml:space="preserve"> </w:t>
      </w:r>
      <w:r w:rsidR="001D0EFF">
        <w:t xml:space="preserve"> When the officer asked Cortez if he was positive Burgos </w:t>
      </w:r>
      <w:r w:rsidR="002F2A07">
        <w:t xml:space="preserve">was the one who </w:t>
      </w:r>
      <w:r w:rsidR="001D0EFF">
        <w:t xml:space="preserve">took his wallet, Cortez responded, “Oh, yeah.” </w:t>
      </w:r>
      <w:r w:rsidR="00FD4FB6">
        <w:t xml:space="preserve"> </w:t>
      </w:r>
      <w:r w:rsidR="005636F1">
        <w:t xml:space="preserve">When Cortez was shown Richardson, he said Richardson was the one who told them to empty their pockets and that </w:t>
      </w:r>
      <w:r w:rsidR="00306F05">
        <w:t>Richardson had also put his hands in Cortez’s pockets.</w:t>
      </w:r>
      <w:r w:rsidR="00FD4FB6">
        <w:t xml:space="preserve"> </w:t>
      </w:r>
      <w:r w:rsidR="00306F05">
        <w:t xml:space="preserve"> Cortez did not recognize Hames. </w:t>
      </w:r>
      <w:r w:rsidR="00FD4FB6">
        <w:t xml:space="preserve"> </w:t>
      </w:r>
    </w:p>
    <w:p w14:paraId="65B76FD1" w14:textId="735EC119" w:rsidR="00965CC0" w:rsidRDefault="00965CC0" w:rsidP="00FE7601">
      <w:r>
        <w:tab/>
        <w:t xml:space="preserve">Neither victim identified any of the defendants at trial.  When the prosecutor asked Rodriguez </w:t>
      </w:r>
      <w:r w:rsidR="00A52EFF">
        <w:t>whether</w:t>
      </w:r>
      <w:r>
        <w:t xml:space="preserve"> it would refresh his recollection to view a transcript of his in-field </w:t>
      </w:r>
      <w:r w:rsidR="00A34A21">
        <w:t>showup</w:t>
      </w:r>
      <w:r>
        <w:t>, Rodriguez responded</w:t>
      </w:r>
      <w:r w:rsidR="00EC7ADE">
        <w:t xml:space="preserve"> in the negative</w:t>
      </w:r>
      <w:r w:rsidR="006540CA">
        <w:t>,</w:t>
      </w:r>
      <w:r>
        <w:t xml:space="preserve"> </w:t>
      </w:r>
      <w:r w:rsidR="00A7053D">
        <w:t>adding</w:t>
      </w:r>
      <w:r>
        <w:t xml:space="preserve">, “I don’t want to remember.” </w:t>
      </w:r>
      <w:r w:rsidR="00FD4FB6">
        <w:t xml:space="preserve"> </w:t>
      </w:r>
      <w:r w:rsidR="00A52EFF">
        <w:t xml:space="preserve">When asked about details of the robbery and what he had told the police, Rodriguez repeatedly responded, “I don’t know,” or “I don’t remember.” </w:t>
      </w:r>
      <w:r w:rsidR="00FD4FB6">
        <w:t xml:space="preserve"> </w:t>
      </w:r>
      <w:r w:rsidR="007453A4">
        <w:t xml:space="preserve">Cortez also testified that he was unable to recall details of the robbery.  He testified that he had been intoxicated, having taken two Xanax pills, drinking for several hours, and smoking concentrated marijuana on the </w:t>
      </w:r>
      <w:r w:rsidR="0082685D">
        <w:t>night</w:t>
      </w:r>
      <w:r w:rsidR="007453A4">
        <w:t xml:space="preserve"> of the robbery. </w:t>
      </w:r>
      <w:r w:rsidR="00FD4FB6">
        <w:t xml:space="preserve"> </w:t>
      </w:r>
    </w:p>
    <w:p w14:paraId="021F2E9D" w14:textId="7A63026A" w:rsidR="00803BCD" w:rsidRDefault="00935B5F" w:rsidP="00FE7601">
      <w:r>
        <w:tab/>
        <w:t xml:space="preserve">In a search of Byrd’s apartment, the police found Cortez’s stolen phone inside a backpack. </w:t>
      </w:r>
      <w:r w:rsidR="00FD4FB6">
        <w:t xml:space="preserve"> </w:t>
      </w:r>
      <w:r w:rsidR="0022577B">
        <w:t xml:space="preserve">They also found a blue t-shirt that appeared to be the same shirt police saw on one of the men standing outside the apartment complex when the police first arrived. </w:t>
      </w:r>
      <w:r w:rsidR="00FD4FB6">
        <w:t xml:space="preserve"> </w:t>
      </w:r>
      <w:r w:rsidR="0026551F">
        <w:t xml:space="preserve">Appellants, Lozano, and Byrd were all </w:t>
      </w:r>
      <w:r w:rsidR="0026551F" w:rsidRPr="0026551F">
        <w:t xml:space="preserve">excluded as potential contributors to DNA recovered from the t-shirt. </w:t>
      </w:r>
      <w:r w:rsidR="00FD4FB6">
        <w:t xml:space="preserve"> </w:t>
      </w:r>
      <w:r w:rsidR="008707CC">
        <w:t>On Rodrigue</w:t>
      </w:r>
      <w:r w:rsidR="0026551F">
        <w:t>z</w:t>
      </w:r>
      <w:r w:rsidR="008707CC">
        <w:t xml:space="preserve">’s stolen phone, found in Capito’s car, the police found a fingerprint that matched Lozano’s fingerprints. </w:t>
      </w:r>
    </w:p>
    <w:p w14:paraId="34260547" w14:textId="77777777" w:rsidR="001D055F" w:rsidRPr="00BE2FA1" w:rsidRDefault="00BE2FA1" w:rsidP="00BE2FA1">
      <w:pPr>
        <w:pStyle w:val="ListParagraph"/>
        <w:numPr>
          <w:ilvl w:val="0"/>
          <w:numId w:val="1"/>
        </w:numPr>
        <w:jc w:val="center"/>
        <w:rPr>
          <w:b/>
          <w:smallCaps/>
        </w:rPr>
      </w:pPr>
      <w:r w:rsidRPr="00BE2FA1">
        <w:rPr>
          <w:b/>
          <w:smallCaps/>
        </w:rPr>
        <w:t>Discussion</w:t>
      </w:r>
    </w:p>
    <w:p w14:paraId="31A556E0" w14:textId="6A8E6D2B" w:rsidR="004B224F" w:rsidRPr="007F1755" w:rsidRDefault="00965CFE" w:rsidP="00965CFE">
      <w:pPr>
        <w:pStyle w:val="ListParagraph"/>
        <w:numPr>
          <w:ilvl w:val="0"/>
          <w:numId w:val="6"/>
        </w:numPr>
        <w:rPr>
          <w:b/>
          <w:bCs/>
          <w:i/>
          <w:iCs/>
        </w:rPr>
      </w:pPr>
      <w:r w:rsidRPr="007F1755">
        <w:rPr>
          <w:b/>
          <w:bCs/>
          <w:i/>
          <w:iCs/>
        </w:rPr>
        <w:t>Sufficiency of the Evidence Supporting the Robbery Convictions</w:t>
      </w:r>
    </w:p>
    <w:p w14:paraId="2F02A04D" w14:textId="7A2F7605" w:rsidR="00322077" w:rsidRDefault="007F1755" w:rsidP="007F1755">
      <w:pPr>
        <w:spacing w:line="480" w:lineRule="exact"/>
      </w:pPr>
      <w:r>
        <w:tab/>
      </w:r>
      <w:r w:rsidR="00965CFE">
        <w:t xml:space="preserve">All three </w:t>
      </w:r>
      <w:r>
        <w:t>appellants contend the evidence was insufficient to support the robbery convictions.</w:t>
      </w:r>
      <w:r w:rsidR="002975CC">
        <w:t xml:space="preserve">  Richardson and Burgos argue the evidence was insufficient to support the identification of them as the robbers. </w:t>
      </w:r>
      <w:r w:rsidR="00FD4FB6">
        <w:t xml:space="preserve"> </w:t>
      </w:r>
      <w:r w:rsidR="00DC4559">
        <w:t xml:space="preserve">Stevenson </w:t>
      </w:r>
      <w:r w:rsidR="003035F8">
        <w:t>concedes substantial evidence shows he was present during the robbery, but he argues the evidence was insufficient to show he directly participated in the robbery or aided and abetted it.</w:t>
      </w:r>
      <w:r w:rsidR="00FD4FB6">
        <w:t xml:space="preserve">  </w:t>
      </w:r>
      <w:r w:rsidR="009A6AF2">
        <w:t xml:space="preserve">The Attorney General contends the evidence was sufficient to support the identification of Richardson and </w:t>
      </w:r>
      <w:r w:rsidR="009A6AF2">
        <w:lastRenderedPageBreak/>
        <w:t>Burgos because Cortez identified them as robbers, and because the overall fact</w:t>
      </w:r>
      <w:r w:rsidR="00ED475C">
        <w:t xml:space="preserve"> </w:t>
      </w:r>
      <w:r w:rsidR="009A6AF2">
        <w:t xml:space="preserve">pattern corroborates that finding. </w:t>
      </w:r>
      <w:r w:rsidR="00FD4FB6">
        <w:t xml:space="preserve"> </w:t>
      </w:r>
      <w:r w:rsidR="009A6AF2">
        <w:t xml:space="preserve">As to Stevenson, the Attorney General contends the evidence was sufficient to show he aided and abetted the robbery or conspired with the others in its commission. </w:t>
      </w:r>
    </w:p>
    <w:p w14:paraId="47BDDBDB" w14:textId="6FF5B705" w:rsidR="009A6AF2" w:rsidRPr="009A6AF2" w:rsidRDefault="009A6AF2" w:rsidP="009A6AF2">
      <w:pPr>
        <w:pStyle w:val="ListParagraph"/>
        <w:numPr>
          <w:ilvl w:val="0"/>
          <w:numId w:val="7"/>
        </w:numPr>
        <w:spacing w:line="480" w:lineRule="exact"/>
        <w:rPr>
          <w:b/>
          <w:bCs/>
          <w:i/>
          <w:iCs/>
        </w:rPr>
      </w:pPr>
      <w:r w:rsidRPr="009A6AF2">
        <w:rPr>
          <w:b/>
          <w:bCs/>
          <w:i/>
          <w:iCs/>
        </w:rPr>
        <w:t>Legal Principles</w:t>
      </w:r>
    </w:p>
    <w:p w14:paraId="741BD72E" w14:textId="43190871" w:rsidR="00965CFE" w:rsidRDefault="009A6AF2" w:rsidP="00996CBC">
      <w:pPr>
        <w:spacing w:line="480" w:lineRule="exact"/>
      </w:pPr>
      <w:r>
        <w:tab/>
      </w:r>
      <w:r w:rsidR="00A20071" w:rsidRPr="00A20071">
        <w:t>“To assess the evidence’s sufficiency, we review the whole record to determine whether any rational trier of fact could have found the essential elements of the crime or special circumstances beyond a reasonable doubt.”  (</w:t>
      </w:r>
      <w:r w:rsidR="00A20071" w:rsidRPr="00A20071">
        <w:rPr>
          <w:i/>
          <w:iCs/>
        </w:rPr>
        <w:t>People v. Zamudio</w:t>
      </w:r>
      <w:r w:rsidR="00A20071" w:rsidRPr="00A20071">
        <w:t xml:space="preserve"> (2008) 43 Cal.4th 327, 357, citing </w:t>
      </w:r>
      <w:r w:rsidR="00A20071" w:rsidRPr="00A20071">
        <w:rPr>
          <w:i/>
          <w:iCs/>
        </w:rPr>
        <w:t>People v. Maury</w:t>
      </w:r>
      <w:r w:rsidR="00A20071" w:rsidRPr="00A20071">
        <w:t xml:space="preserve"> (2003) 30 Cal.4th 342, 403.)  The record must disclose substantial evidence to support the verdict such that a reasonable trier of fact could find the defendant guilty beyond a reasonable doubt.  (</w:t>
      </w:r>
      <w:r w:rsidR="00A20071" w:rsidRPr="00A20071">
        <w:rPr>
          <w:i/>
          <w:iCs/>
        </w:rPr>
        <w:t>Ibid.</w:t>
      </w:r>
      <w:r w:rsidR="00A20071" w:rsidRPr="00A20071">
        <w:t>)  The substantial evidence must be reasonable, credible, and of solid value.  (</w:t>
      </w:r>
      <w:r w:rsidR="00A20071" w:rsidRPr="00A20071">
        <w:rPr>
          <w:i/>
          <w:iCs/>
        </w:rPr>
        <w:t>Ibid.</w:t>
      </w:r>
      <w:r w:rsidR="00A20071" w:rsidRPr="00A20071">
        <w:t>)  We review the evidence “in the light most favorable to the prosecution and presume in support of the judgment the existence of every fact the jury could reasonably have deduced from the evidence.”  (</w:t>
      </w:r>
      <w:r w:rsidR="00A20071" w:rsidRPr="00A20071">
        <w:rPr>
          <w:i/>
          <w:iCs/>
        </w:rPr>
        <w:t>Ibid.</w:t>
      </w:r>
      <w:r w:rsidR="00A20071" w:rsidRPr="00A20071">
        <w:t xml:space="preserve">) </w:t>
      </w:r>
      <w:r w:rsidR="00A20071">
        <w:t xml:space="preserve"> </w:t>
      </w:r>
      <w:r w:rsidR="00A20071" w:rsidRPr="00A20071">
        <w:t>“A reversal for insufficient evidence ‘is unwarranted unless it appears that upon no hypothesis whatever is there sufficient substantial evidence to support’ the jury’s verdict.”  (</w:t>
      </w:r>
      <w:r w:rsidR="00A20071" w:rsidRPr="00A20071">
        <w:rPr>
          <w:i/>
          <w:iCs/>
        </w:rPr>
        <w:t>Ibid.</w:t>
      </w:r>
      <w:r w:rsidR="00A20071" w:rsidRPr="00A20071">
        <w:t>)  The standard is the same under both the California Constitution and the federal Constitution.  (</w:t>
      </w:r>
      <w:r w:rsidR="00A20071" w:rsidRPr="00A20071">
        <w:rPr>
          <w:i/>
          <w:iCs/>
        </w:rPr>
        <w:t>People v. Jimenez</w:t>
      </w:r>
      <w:r w:rsidR="00A20071" w:rsidRPr="00A20071">
        <w:t xml:space="preserve"> (2019) 35 Cal.App.5th 373, 392.)</w:t>
      </w:r>
    </w:p>
    <w:p w14:paraId="3265A1FB" w14:textId="6A2521E5" w:rsidR="00E55E7E" w:rsidRPr="00E55E7E" w:rsidRDefault="00E55E7E" w:rsidP="00E55E7E">
      <w:pPr>
        <w:pStyle w:val="ListParagraph"/>
        <w:numPr>
          <w:ilvl w:val="0"/>
          <w:numId w:val="7"/>
        </w:numPr>
        <w:spacing w:line="480" w:lineRule="exact"/>
        <w:rPr>
          <w:b/>
          <w:bCs/>
          <w:i/>
          <w:iCs/>
        </w:rPr>
      </w:pPr>
      <w:r w:rsidRPr="00E55E7E">
        <w:rPr>
          <w:b/>
          <w:bCs/>
          <w:i/>
          <w:iCs/>
        </w:rPr>
        <w:t>Substantial Evidence Supports the Robbery Convictions</w:t>
      </w:r>
    </w:p>
    <w:p w14:paraId="2D9249F9" w14:textId="17D6613D" w:rsidR="00E55E7E" w:rsidRDefault="00C62D48" w:rsidP="00C62D48">
      <w:pPr>
        <w:spacing w:line="480" w:lineRule="exact"/>
      </w:pPr>
      <w:r>
        <w:tab/>
        <w:t xml:space="preserve">Richardson and Burgos challenge the sufficiency of the evidence supporting the identification of them as </w:t>
      </w:r>
      <w:r w:rsidR="00027658">
        <w:t xml:space="preserve">the </w:t>
      </w:r>
      <w:r>
        <w:t>robbers.  They characterize the identification</w:t>
      </w:r>
      <w:r w:rsidR="00B61D39">
        <w:t xml:space="preserve"> by Cortez</w:t>
      </w:r>
      <w:r>
        <w:t xml:space="preserve"> as</w:t>
      </w:r>
      <w:r w:rsidR="00B61D39">
        <w:t xml:space="preserve"> uncorroborated</w:t>
      </w:r>
      <w:r w:rsidR="009962D0">
        <w:t>;</w:t>
      </w:r>
      <w:r w:rsidR="006C5A11">
        <w:t xml:space="preserve"> they point to conflicting testimony</w:t>
      </w:r>
      <w:r w:rsidR="009962D0">
        <w:t>;</w:t>
      </w:r>
      <w:r w:rsidR="00B61D39">
        <w:t xml:space="preserve"> and</w:t>
      </w:r>
      <w:r w:rsidR="001A1FFD">
        <w:t xml:space="preserve"> they argue the substantial evidence standard of review allows us to reject the evidence as too weak to sustain their convictions.</w:t>
      </w:r>
    </w:p>
    <w:p w14:paraId="0C5425CA" w14:textId="09CFA092" w:rsidR="001A1FFD" w:rsidRDefault="001A1FFD" w:rsidP="00C62D48">
      <w:pPr>
        <w:spacing w:line="480" w:lineRule="exact"/>
      </w:pPr>
      <w:r>
        <w:tab/>
      </w:r>
      <w:r w:rsidR="002C031A">
        <w:t xml:space="preserve">We are not persuaded.  </w:t>
      </w:r>
      <w:r w:rsidR="00B15F01">
        <w:t xml:space="preserve">Even if we rejected the Cortez identification as </w:t>
      </w:r>
      <w:r w:rsidR="007C0904">
        <w:t>in</w:t>
      </w:r>
      <w:r w:rsidR="00B15F01">
        <w:t xml:space="preserve">sufficient evidence </w:t>
      </w:r>
      <w:r w:rsidR="007C0904">
        <w:t>when considered in isolation</w:t>
      </w:r>
      <w:r w:rsidR="00B15F01">
        <w:t xml:space="preserve">, </w:t>
      </w:r>
      <w:r w:rsidR="00AE05BF">
        <w:t>other</w:t>
      </w:r>
      <w:r w:rsidR="00B15F01">
        <w:t xml:space="preserve"> </w:t>
      </w:r>
      <w:r w:rsidR="00F77340">
        <w:t>facts</w:t>
      </w:r>
      <w:r w:rsidR="00B15F01">
        <w:t xml:space="preserve"> </w:t>
      </w:r>
      <w:r w:rsidR="00AE05BF">
        <w:t xml:space="preserve">presented </w:t>
      </w:r>
      <w:r w:rsidR="00B15F01">
        <w:t xml:space="preserve">at trial </w:t>
      </w:r>
      <w:r w:rsidR="00F77340">
        <w:t>comprised</w:t>
      </w:r>
      <w:r w:rsidR="00B15F01">
        <w:t xml:space="preserve"> </w:t>
      </w:r>
      <w:r w:rsidR="007C0904">
        <w:t>additional</w:t>
      </w:r>
      <w:r w:rsidR="00B15F01">
        <w:t xml:space="preserve"> circumstantial evidence</w:t>
      </w:r>
      <w:r w:rsidR="007C0904">
        <w:t xml:space="preserve"> sufficient to</w:t>
      </w:r>
      <w:r w:rsidR="00B15F01">
        <w:t xml:space="preserve"> support the jury’s finding.</w:t>
      </w:r>
      <w:r w:rsidR="007C0904">
        <w:t xml:space="preserve">  </w:t>
      </w:r>
      <w:r w:rsidR="00D23F05">
        <w:t xml:space="preserve">The evidence showed </w:t>
      </w:r>
      <w:r w:rsidR="001B250F">
        <w:t xml:space="preserve">all </w:t>
      </w:r>
      <w:r w:rsidR="001B250F">
        <w:lastRenderedPageBreak/>
        <w:t>three appellants</w:t>
      </w:r>
      <w:r w:rsidR="00A42452">
        <w:t>—who were Crip gang members—w</w:t>
      </w:r>
      <w:r w:rsidR="00D23F05">
        <w:t xml:space="preserve">ere together at Byrd’s apartment complex before the robbery, and video camera evidence showed </w:t>
      </w:r>
      <w:r w:rsidR="001B250F">
        <w:t>them at the nearby 7-Eleven right around the time of the robbery.</w:t>
      </w:r>
      <w:r w:rsidR="000E7624">
        <w:t xml:space="preserve">  They were seen together again in Byrd’s apartment after the robbery</w:t>
      </w:r>
      <w:r w:rsidR="006076CA">
        <w:t>, and Cortez’s stolen phone was found in the apartment</w:t>
      </w:r>
      <w:r w:rsidR="000E7624">
        <w:t>.</w:t>
      </w:r>
      <w:r w:rsidR="00272B90">
        <w:t xml:space="preserve">  Appellants were also seen together with Lozano, and Rodriguez’s stolen phone was found in Lozano’s girlfriend’s car.  Viewing this record as a whole, </w:t>
      </w:r>
      <w:r w:rsidR="008251FD">
        <w:t>together with Cortez’s identification, t</w:t>
      </w:r>
      <w:r w:rsidR="00272B90">
        <w:t>he evidence was sufficient for a</w:t>
      </w:r>
      <w:r w:rsidR="00E23B10">
        <w:t xml:space="preserve"> </w:t>
      </w:r>
      <w:r w:rsidR="00272B90">
        <w:t>reasonable jury to find beyond a reasonable doubt that appellants were the robbers.</w:t>
      </w:r>
    </w:p>
    <w:p w14:paraId="210B18E4" w14:textId="3F4303B5" w:rsidR="00513BC3" w:rsidRDefault="00513BC3" w:rsidP="00C62D48">
      <w:pPr>
        <w:spacing w:line="480" w:lineRule="exact"/>
      </w:pPr>
      <w:r>
        <w:tab/>
        <w:t>Stevenson does not dispute that he was present during the robbery, but he argues the evidence was insufficient to find he actively participated in the crime</w:t>
      </w:r>
      <w:r w:rsidR="009118D0">
        <w:t>, or that he aided and abetted it</w:t>
      </w:r>
      <w:r>
        <w:t>.</w:t>
      </w:r>
      <w:r w:rsidR="009118D0">
        <w:t xml:space="preserve"> </w:t>
      </w:r>
      <w:r w:rsidR="00FD4FB6">
        <w:t xml:space="preserve"> </w:t>
      </w:r>
      <w:r w:rsidR="00F947F8">
        <w:t xml:space="preserve">He points out that Cortez </w:t>
      </w:r>
      <w:r w:rsidR="00D21E06">
        <w:t>said</w:t>
      </w:r>
      <w:r w:rsidR="00F947F8">
        <w:t xml:space="preserve"> the person he identified as Stevenson did nothing during the robbery apart from being present.  </w:t>
      </w:r>
      <w:r w:rsidR="00895DA5">
        <w:t xml:space="preserve">The Attorney General argues the evidence showed Stevenson aided and abetted the robbery or conspired with the others in its commission. </w:t>
      </w:r>
    </w:p>
    <w:p w14:paraId="5E796680" w14:textId="0C51BAFA" w:rsidR="003619B3" w:rsidRDefault="009D4F1E" w:rsidP="003D6D4A">
      <w:pPr>
        <w:spacing w:line="480" w:lineRule="exact"/>
      </w:pPr>
      <w:r>
        <w:tab/>
      </w:r>
      <w:r w:rsidR="00101ACC">
        <w:t>“[A] person aids and abets the commission of a crime when he or she, acting with (1) knowledge of the unlawful purpose of the perpetrator; and (2) the intent or purpose of committing, encouraging, or facilitating the commission of the offense, (3) by act or advice aids, promotes, encourages or instigates, the commission of the crime.”  (</w:t>
      </w:r>
      <w:r w:rsidR="00101ACC" w:rsidRPr="00101ACC">
        <w:rPr>
          <w:i/>
          <w:iCs/>
        </w:rPr>
        <w:t>People v. Beeman</w:t>
      </w:r>
      <w:r w:rsidR="00101ACC">
        <w:t xml:space="preserve"> (1984) 35 Cal.3d 547, 561.)</w:t>
      </w:r>
      <w:r w:rsidR="003619B3">
        <w:t xml:space="preserve">  </w:t>
      </w:r>
      <w:r w:rsidR="001D1041">
        <w:t>“ ‘Mere presence at the scene of a crime which does not itself assist its commission or mere knowledge that a crime is being committed and the failure to prevent it does not amount to aiding and abetting.’  [Citations.]  ‘To be liable for a crime as an abettor, the accused must have instigated or advised the commission of the crime or have been present for the purpose of assisting the crime.  He must share the criminal intent with which the crime was committed.  Neither his mere presence at the scene of the crime nor his failure, through fear, to prevent a crime establishes, without more, that an accused was an abettor.’ </w:t>
      </w:r>
      <w:r w:rsidR="00FD4FB6">
        <w:t xml:space="preserve"> </w:t>
      </w:r>
      <w:r w:rsidR="001D1041">
        <w:t>[Citation.]”  (</w:t>
      </w:r>
      <w:r w:rsidR="001D1041" w:rsidRPr="009E6223">
        <w:rPr>
          <w:i/>
          <w:iCs/>
        </w:rPr>
        <w:t>People v. Pettie</w:t>
      </w:r>
      <w:r w:rsidR="001D1041">
        <w:t xml:space="preserve"> (2017) 16 Cal.App.5th 23, 57-58</w:t>
      </w:r>
      <w:r w:rsidR="00BA297D">
        <w:t xml:space="preserve"> (</w:t>
      </w:r>
      <w:r w:rsidR="00BA297D" w:rsidRPr="00BA297D">
        <w:rPr>
          <w:i/>
          <w:iCs/>
        </w:rPr>
        <w:t>Pettie</w:t>
      </w:r>
      <w:r w:rsidR="00BA297D">
        <w:t>)</w:t>
      </w:r>
      <w:r w:rsidR="001D1041">
        <w:t>.)</w:t>
      </w:r>
      <w:r w:rsidR="00FD4FB6">
        <w:t xml:space="preserve"> </w:t>
      </w:r>
      <w:r w:rsidR="002C6C37">
        <w:t xml:space="preserve"> “[F]</w:t>
      </w:r>
      <w:r w:rsidR="002C6C37" w:rsidRPr="002C6C37">
        <w:t xml:space="preserve">actors for determining aiding and abetting </w:t>
      </w:r>
      <w:r w:rsidR="002C6C37" w:rsidRPr="002C6C37">
        <w:lastRenderedPageBreak/>
        <w:t>of a robbery include presence at the scene of the crime, companionship, and conduct before and after the crime, including flight.</w:t>
      </w:r>
      <w:r w:rsidR="002C6C37">
        <w:t>”</w:t>
      </w:r>
      <w:r w:rsidR="003D6D4A">
        <w:t xml:space="preserve">  (</w:t>
      </w:r>
      <w:r w:rsidR="003D6D4A" w:rsidRPr="003D6D4A">
        <w:rPr>
          <w:i/>
          <w:iCs/>
        </w:rPr>
        <w:t>People v. Haynes</w:t>
      </w:r>
      <w:r w:rsidR="003D6D4A">
        <w:t xml:space="preserve"> (1998) 61 Cal.App.4th 1282, 1294.)</w:t>
      </w:r>
    </w:p>
    <w:p w14:paraId="20310701" w14:textId="3701E1AC" w:rsidR="006C44B3" w:rsidRDefault="00536173" w:rsidP="00167148">
      <w:pPr>
        <w:spacing w:line="480" w:lineRule="exact"/>
      </w:pPr>
      <w:r>
        <w:tab/>
        <w:t>The record holds evidence of several fact</w:t>
      </w:r>
      <w:r w:rsidR="00934838">
        <w:t>ors</w:t>
      </w:r>
      <w:r>
        <w:t xml:space="preserve"> from which a reasonabl</w:t>
      </w:r>
      <w:r w:rsidR="00FC20B7">
        <w:t>e</w:t>
      </w:r>
      <w:r>
        <w:t xml:space="preserve"> jur</w:t>
      </w:r>
      <w:r w:rsidR="00FC20B7">
        <w:t>or</w:t>
      </w:r>
      <w:r>
        <w:t xml:space="preserve"> could infer guilt on a theory of aiding and abetting or conspiracy.</w:t>
      </w:r>
      <w:r w:rsidR="00F93D42">
        <w:t xml:space="preserve">  </w:t>
      </w:r>
      <w:r w:rsidR="00934838">
        <w:t>As the Attorney General points out, Stevenson was a “continuous constituent” of the group that committed the robbery—before, during, and after the offense</w:t>
      </w:r>
      <w:r w:rsidR="005139D5">
        <w:t>, as the group moved from the apartment complex and the 7-Eleven and then back to the apartment complex again afterwards.</w:t>
      </w:r>
      <w:r w:rsidR="00B84214">
        <w:t xml:space="preserve">  Rodriguez told police that the group approached him and Cortez together just before initiating the robbery. </w:t>
      </w:r>
      <w:r w:rsidR="00FD4FB6">
        <w:t xml:space="preserve"> </w:t>
      </w:r>
      <w:r w:rsidR="008E6A11">
        <w:t xml:space="preserve">The jury could reasonably infer that Stevenson intended to participate </w:t>
      </w:r>
      <w:r w:rsidR="00187188">
        <w:t xml:space="preserve">in </w:t>
      </w:r>
      <w:r w:rsidR="008E6A11">
        <w:t>a “show of force” as one member of the larger group outnumbering the victims.</w:t>
      </w:r>
      <w:r w:rsidR="00193AF3">
        <w:t xml:space="preserve">  </w:t>
      </w:r>
      <w:r w:rsidR="00F62EC9">
        <w:t>(</w:t>
      </w:r>
      <w:r w:rsidR="00193AF3">
        <w:t xml:space="preserve">See </w:t>
      </w:r>
      <w:r w:rsidR="00F62EC9" w:rsidRPr="00F62EC9">
        <w:rPr>
          <w:i/>
          <w:iCs/>
        </w:rPr>
        <w:t>In re Juan G</w:t>
      </w:r>
      <w:r w:rsidR="00F62EC9">
        <w:t>. (2003) 112 Cal.App.4th 1, 5 [reasonable to infer minor aided, promoted, and encouraged robbery based on his prior companionship, presence at crime scene, proximity to victim, and flight from th</w:t>
      </w:r>
      <w:r w:rsidR="009D3359">
        <w:t xml:space="preserve">e </w:t>
      </w:r>
      <w:r w:rsidR="00F62EC9">
        <w:t>scene]</w:t>
      </w:r>
      <w:r w:rsidR="00167148">
        <w:t xml:space="preserve">; </w:t>
      </w:r>
      <w:r w:rsidR="00167148" w:rsidRPr="00167148">
        <w:rPr>
          <w:i/>
          <w:iCs/>
        </w:rPr>
        <w:t>People v. Campbell</w:t>
      </w:r>
      <w:r w:rsidR="00167148">
        <w:t xml:space="preserve"> (1994) 25 Cal.App.4th 402, 409</w:t>
      </w:r>
      <w:r w:rsidR="006C6F3E">
        <w:t>-410</w:t>
      </w:r>
      <w:r w:rsidR="00167148">
        <w:t xml:space="preserve"> [</w:t>
      </w:r>
      <w:r w:rsidR="00056030">
        <w:t xml:space="preserve">reasonable to infer aiding and abetting where defendant approached victims together </w:t>
      </w:r>
      <w:r w:rsidR="005F10D6">
        <w:t xml:space="preserve">with </w:t>
      </w:r>
      <w:r w:rsidR="00056030">
        <w:t>codefendant and remained present in fro</w:t>
      </w:r>
      <w:r w:rsidR="005F10D6">
        <w:t>nt</w:t>
      </w:r>
      <w:r w:rsidR="00056030">
        <w:t xml:space="preserve"> of victims while codefendant used </w:t>
      </w:r>
      <w:r w:rsidR="00C62221">
        <w:t xml:space="preserve">a </w:t>
      </w:r>
      <w:r w:rsidR="00056030">
        <w:t>firearm to rob them</w:t>
      </w:r>
      <w:r w:rsidR="00167148">
        <w:t>]</w:t>
      </w:r>
      <w:r w:rsidR="00193AF3">
        <w:t xml:space="preserve">; </w:t>
      </w:r>
      <w:r w:rsidR="00193AF3" w:rsidRPr="00193AF3">
        <w:rPr>
          <w:i/>
          <w:iCs/>
        </w:rPr>
        <w:t>In re Lynette G.</w:t>
      </w:r>
      <w:r w:rsidR="00193AF3">
        <w:t xml:space="preserve"> (1976) 54 Cal.App.3d 1087, 1095 [similar facts].</w:t>
      </w:r>
      <w:r w:rsidR="00F62EC9">
        <w:t>)</w:t>
      </w:r>
      <w:r w:rsidR="00F07509">
        <w:t xml:space="preserve">  </w:t>
      </w:r>
    </w:p>
    <w:p w14:paraId="48BA3E63" w14:textId="5542203C" w:rsidR="00F62EC9" w:rsidRDefault="006C44B3" w:rsidP="00A9445A">
      <w:pPr>
        <w:spacing w:line="480" w:lineRule="exact"/>
      </w:pPr>
      <w:r>
        <w:tab/>
      </w:r>
      <w:r w:rsidR="00E63BEB">
        <w:t>Furthermore, t</w:t>
      </w:r>
      <w:r w:rsidR="00F07509">
        <w:t>he</w:t>
      </w:r>
      <w:r>
        <w:t xml:space="preserve"> prosecution’s gang expert testified </w:t>
      </w:r>
      <w:r w:rsidR="00257597">
        <w:t xml:space="preserve">that </w:t>
      </w:r>
      <w:r>
        <w:t>being a member of a Crip gang involved a tacit agreement to commit violence and assist or join in on acts of violence.</w:t>
      </w:r>
      <w:r w:rsidR="00FD4FB6">
        <w:t xml:space="preserve"> </w:t>
      </w:r>
      <w:r>
        <w:t xml:space="preserve"> Thus, the </w:t>
      </w:r>
      <w:r w:rsidR="00F07509">
        <w:t xml:space="preserve">fact that appellants were all members of the same </w:t>
      </w:r>
      <w:r>
        <w:t xml:space="preserve">Crip </w:t>
      </w:r>
      <w:r w:rsidR="00F07509">
        <w:t>gang</w:t>
      </w:r>
      <w:r w:rsidR="00E63BEB">
        <w:t>, when considered together with the evidence of Stevenson’s conduct before, during, and after the crime,</w:t>
      </w:r>
      <w:r w:rsidR="00F07509">
        <w:t xml:space="preserve"> would support an inference that</w:t>
      </w:r>
      <w:r>
        <w:t xml:space="preserve"> he </w:t>
      </w:r>
      <w:r w:rsidR="00AC47F9">
        <w:t xml:space="preserve">intentionally </w:t>
      </w:r>
      <w:r>
        <w:t>aid</w:t>
      </w:r>
      <w:r w:rsidR="00AC47F9">
        <w:t>ed</w:t>
      </w:r>
      <w:r>
        <w:t xml:space="preserve"> and abet</w:t>
      </w:r>
      <w:r w:rsidR="00AC47F9">
        <w:t>ted</w:t>
      </w:r>
      <w:r>
        <w:t xml:space="preserve"> the robbery</w:t>
      </w:r>
      <w:r w:rsidR="00A2060F">
        <w:t>.</w:t>
      </w:r>
      <w:r w:rsidR="00A9445A">
        <w:t xml:space="preserve">  (See </w:t>
      </w:r>
      <w:r w:rsidR="00A9445A" w:rsidRPr="00A9445A">
        <w:rPr>
          <w:i/>
          <w:iCs/>
        </w:rPr>
        <w:t>Pettie</w:t>
      </w:r>
      <w:r w:rsidR="00A9445A">
        <w:t xml:space="preserve">, </w:t>
      </w:r>
      <w:r w:rsidR="00A9445A" w:rsidRPr="00A9445A">
        <w:rPr>
          <w:i/>
          <w:iCs/>
        </w:rPr>
        <w:t>supra</w:t>
      </w:r>
      <w:r w:rsidR="00A9445A">
        <w:t xml:space="preserve">, 16 Cal.App.5th </w:t>
      </w:r>
      <w:r w:rsidR="008D1982">
        <w:t>at p.</w:t>
      </w:r>
      <w:r w:rsidR="00A9445A">
        <w:t xml:space="preserve"> 59 [reasonable to infer aiding and abetting based on defendant’s presence during attempted murder together with gang expert’s testimony that gang members were expected to assist in assaults]; </w:t>
      </w:r>
      <w:r w:rsidR="00A9445A" w:rsidRPr="00A9445A">
        <w:rPr>
          <w:i/>
          <w:iCs/>
        </w:rPr>
        <w:t>People v. Morales</w:t>
      </w:r>
      <w:r w:rsidR="00A9445A">
        <w:t xml:space="preserve"> (2003) 112 Cal.App.4th 1176, 1198 [reasonable to infer gang-related intent].)</w:t>
      </w:r>
    </w:p>
    <w:p w14:paraId="0B4F8CCA" w14:textId="2DC38DFC" w:rsidR="0038538C" w:rsidRDefault="008B615B" w:rsidP="00F22A3F">
      <w:pPr>
        <w:spacing w:line="480" w:lineRule="exact"/>
        <w:rPr>
          <w:szCs w:val="26"/>
        </w:rPr>
      </w:pPr>
      <w:r>
        <w:lastRenderedPageBreak/>
        <w:tab/>
        <w:t xml:space="preserve">For the reasons above, we conclude the evidence was sufficient to support the robbery convictions </w:t>
      </w:r>
      <w:r w:rsidR="004B1F72">
        <w:t xml:space="preserve">of </w:t>
      </w:r>
      <w:r>
        <w:t>all three appellants.</w:t>
      </w:r>
    </w:p>
    <w:p w14:paraId="2B277F3C" w14:textId="11DEA2C6" w:rsidR="00DA6106" w:rsidRPr="0027666D" w:rsidRDefault="00DA6106" w:rsidP="00DA6106">
      <w:pPr>
        <w:pStyle w:val="ListParagraph"/>
        <w:numPr>
          <w:ilvl w:val="0"/>
          <w:numId w:val="6"/>
        </w:numPr>
        <w:rPr>
          <w:b/>
          <w:bCs/>
          <w:i/>
          <w:iCs/>
          <w:szCs w:val="26"/>
        </w:rPr>
      </w:pPr>
      <w:r w:rsidRPr="0027666D">
        <w:rPr>
          <w:b/>
          <w:bCs/>
          <w:i/>
          <w:iCs/>
          <w:szCs w:val="26"/>
        </w:rPr>
        <w:t>The Effect of Assembly Bill No. 333</w:t>
      </w:r>
    </w:p>
    <w:p w14:paraId="742C5131" w14:textId="6D45EF84" w:rsidR="00F26796" w:rsidRDefault="00DA6106" w:rsidP="00DA6106">
      <w:pPr>
        <w:rPr>
          <w:szCs w:val="26"/>
        </w:rPr>
      </w:pPr>
      <w:r>
        <w:rPr>
          <w:szCs w:val="26"/>
        </w:rPr>
        <w:tab/>
      </w:r>
      <w:r w:rsidRPr="00DA6106">
        <w:rPr>
          <w:szCs w:val="26"/>
        </w:rPr>
        <w:t>Effective January 1, 2022, Assembly Bill 333</w:t>
      </w:r>
      <w:r w:rsidR="00E9176A">
        <w:rPr>
          <w:szCs w:val="26"/>
        </w:rPr>
        <w:t xml:space="preserve"> </w:t>
      </w:r>
      <w:r w:rsidR="00F26796">
        <w:rPr>
          <w:szCs w:val="26"/>
        </w:rPr>
        <w:t xml:space="preserve">substantially changed the law governing gang-related offenses.  </w:t>
      </w:r>
      <w:r w:rsidR="00842FA9">
        <w:rPr>
          <w:szCs w:val="26"/>
        </w:rPr>
        <w:t>Assembly Bill 333</w:t>
      </w:r>
      <w:r w:rsidR="00F26796">
        <w:rPr>
          <w:szCs w:val="26"/>
        </w:rPr>
        <w:t xml:space="preserve"> amended </w:t>
      </w:r>
      <w:r w:rsidR="007020B3">
        <w:rPr>
          <w:szCs w:val="26"/>
        </w:rPr>
        <w:t xml:space="preserve">Penal Code </w:t>
      </w:r>
      <w:r w:rsidR="00F26796">
        <w:rPr>
          <w:szCs w:val="26"/>
        </w:rPr>
        <w:t>section 186.22 in several ways</w:t>
      </w:r>
      <w:r w:rsidR="004108D8">
        <w:rPr>
          <w:szCs w:val="26"/>
        </w:rPr>
        <w:t>, requiring a</w:t>
      </w:r>
      <w:r w:rsidR="00F26796">
        <w:rPr>
          <w:szCs w:val="26"/>
        </w:rPr>
        <w:t xml:space="preserve"> more stringent showing to prove a gang enhancement</w:t>
      </w:r>
      <w:r w:rsidR="004108D8">
        <w:rPr>
          <w:szCs w:val="26"/>
        </w:rPr>
        <w:t xml:space="preserve">. </w:t>
      </w:r>
      <w:r w:rsidR="00F26796">
        <w:rPr>
          <w:szCs w:val="26"/>
        </w:rPr>
        <w:t xml:space="preserve"> </w:t>
      </w:r>
      <w:r w:rsidR="004108D8">
        <w:rPr>
          <w:szCs w:val="26"/>
        </w:rPr>
        <w:t xml:space="preserve">Assembly Bill </w:t>
      </w:r>
      <w:r w:rsidR="007F036E">
        <w:rPr>
          <w:szCs w:val="26"/>
        </w:rPr>
        <w:t xml:space="preserve">333 </w:t>
      </w:r>
      <w:r w:rsidR="004108D8">
        <w:rPr>
          <w:szCs w:val="26"/>
        </w:rPr>
        <w:t xml:space="preserve">also </w:t>
      </w:r>
      <w:r w:rsidR="00F26796">
        <w:rPr>
          <w:szCs w:val="26"/>
        </w:rPr>
        <w:t>added</w:t>
      </w:r>
      <w:r w:rsidR="007020B3">
        <w:rPr>
          <w:szCs w:val="26"/>
        </w:rPr>
        <w:t xml:space="preserve"> Penal Code</w:t>
      </w:r>
      <w:r w:rsidR="00F26796">
        <w:rPr>
          <w:szCs w:val="26"/>
        </w:rPr>
        <w:t xml:space="preserve"> section 1109, which allows the defense to request a bifurcated trial on gang enhancements.</w:t>
      </w:r>
    </w:p>
    <w:p w14:paraId="12A8B7ED" w14:textId="3BB7B2BA" w:rsidR="00182F01" w:rsidRDefault="00F26796" w:rsidP="00DA6106">
      <w:pPr>
        <w:rPr>
          <w:szCs w:val="26"/>
        </w:rPr>
      </w:pPr>
      <w:r>
        <w:rPr>
          <w:szCs w:val="26"/>
        </w:rPr>
        <w:tab/>
      </w:r>
      <w:r w:rsidR="009C76B3">
        <w:rPr>
          <w:szCs w:val="26"/>
        </w:rPr>
        <w:t>Appellants</w:t>
      </w:r>
      <w:r w:rsidR="00674603">
        <w:rPr>
          <w:szCs w:val="26"/>
        </w:rPr>
        <w:t xml:space="preserve"> contend </w:t>
      </w:r>
      <w:r w:rsidR="00DE5C1F">
        <w:rPr>
          <w:szCs w:val="26"/>
        </w:rPr>
        <w:t>they are entitled to retroactive application of</w:t>
      </w:r>
      <w:r>
        <w:rPr>
          <w:szCs w:val="26"/>
        </w:rPr>
        <w:t xml:space="preserve"> Assembly Bill 333, and they argue their underlying convictions as well as the gang enhancements must be vacated</w:t>
      </w:r>
      <w:r w:rsidR="003830CD">
        <w:rPr>
          <w:szCs w:val="26"/>
        </w:rPr>
        <w:t xml:space="preserve">. </w:t>
      </w:r>
      <w:r w:rsidR="00B536BA">
        <w:rPr>
          <w:szCs w:val="26"/>
        </w:rPr>
        <w:t xml:space="preserve"> The Attorney General concedes th</w:t>
      </w:r>
      <w:r w:rsidR="00137C34">
        <w:rPr>
          <w:szCs w:val="26"/>
        </w:rPr>
        <w:t>at the portions of the bill amending</w:t>
      </w:r>
      <w:r w:rsidR="007020B3">
        <w:rPr>
          <w:szCs w:val="26"/>
        </w:rPr>
        <w:t xml:space="preserve"> Penal Code</w:t>
      </w:r>
      <w:r w:rsidR="00B536BA">
        <w:rPr>
          <w:szCs w:val="26"/>
        </w:rPr>
        <w:t xml:space="preserve"> section 186.22 appl</w:t>
      </w:r>
      <w:r w:rsidR="00137C34">
        <w:rPr>
          <w:szCs w:val="26"/>
        </w:rPr>
        <w:t>y</w:t>
      </w:r>
      <w:r w:rsidR="00B536BA">
        <w:rPr>
          <w:szCs w:val="26"/>
        </w:rPr>
        <w:t xml:space="preserve"> retroactively</w:t>
      </w:r>
      <w:r w:rsidR="00036757">
        <w:rPr>
          <w:szCs w:val="26"/>
        </w:rPr>
        <w:t>, such that the gang enhancements should be vacated and the matter</w:t>
      </w:r>
      <w:r w:rsidR="00B536BA">
        <w:rPr>
          <w:szCs w:val="26"/>
        </w:rPr>
        <w:t xml:space="preserve"> remand</w:t>
      </w:r>
      <w:r w:rsidR="00036757">
        <w:rPr>
          <w:szCs w:val="26"/>
        </w:rPr>
        <w:t>ed</w:t>
      </w:r>
      <w:r w:rsidR="00B536BA">
        <w:rPr>
          <w:szCs w:val="26"/>
        </w:rPr>
        <w:t>.</w:t>
      </w:r>
      <w:r w:rsidR="00FD4FB6">
        <w:rPr>
          <w:szCs w:val="26"/>
        </w:rPr>
        <w:t xml:space="preserve"> </w:t>
      </w:r>
      <w:r w:rsidR="00B536BA">
        <w:rPr>
          <w:szCs w:val="26"/>
        </w:rPr>
        <w:t xml:space="preserve"> </w:t>
      </w:r>
      <w:r w:rsidR="00CE0303">
        <w:rPr>
          <w:szCs w:val="26"/>
        </w:rPr>
        <w:t>Appellants</w:t>
      </w:r>
      <w:r w:rsidR="00B536BA">
        <w:rPr>
          <w:szCs w:val="26"/>
        </w:rPr>
        <w:t xml:space="preserve"> </w:t>
      </w:r>
      <w:r w:rsidR="00182F01">
        <w:rPr>
          <w:szCs w:val="26"/>
        </w:rPr>
        <w:t xml:space="preserve">contend </w:t>
      </w:r>
      <w:r w:rsidR="0038007C">
        <w:rPr>
          <w:szCs w:val="26"/>
        </w:rPr>
        <w:t>we must reverse the robbery convictions as well</w:t>
      </w:r>
      <w:r w:rsidR="00182F01">
        <w:rPr>
          <w:szCs w:val="26"/>
        </w:rPr>
        <w:t xml:space="preserve"> because </w:t>
      </w:r>
      <w:r w:rsidR="0038007C">
        <w:rPr>
          <w:szCs w:val="26"/>
        </w:rPr>
        <w:t xml:space="preserve">the new </w:t>
      </w:r>
      <w:r w:rsidR="007020B3">
        <w:rPr>
          <w:szCs w:val="26"/>
        </w:rPr>
        <w:t xml:space="preserve">Penal Code </w:t>
      </w:r>
      <w:r w:rsidR="00B536BA">
        <w:rPr>
          <w:szCs w:val="26"/>
        </w:rPr>
        <w:t>section 1109 allow</w:t>
      </w:r>
      <w:r w:rsidR="0038007C">
        <w:rPr>
          <w:szCs w:val="26"/>
        </w:rPr>
        <w:t>s</w:t>
      </w:r>
      <w:r w:rsidR="00B536BA">
        <w:rPr>
          <w:szCs w:val="26"/>
        </w:rPr>
        <w:t xml:space="preserve"> for bifurcated trials on gang enhancements, and the trial in this case was not bifurcated. </w:t>
      </w:r>
      <w:r w:rsidR="00FD4FB6">
        <w:rPr>
          <w:szCs w:val="26"/>
        </w:rPr>
        <w:t xml:space="preserve"> </w:t>
      </w:r>
      <w:r w:rsidR="00B536BA">
        <w:rPr>
          <w:szCs w:val="26"/>
        </w:rPr>
        <w:t>The Att</w:t>
      </w:r>
      <w:r w:rsidR="00CB4C88">
        <w:rPr>
          <w:szCs w:val="26"/>
        </w:rPr>
        <w:t>orney</w:t>
      </w:r>
      <w:r w:rsidR="00C73580">
        <w:rPr>
          <w:szCs w:val="26"/>
        </w:rPr>
        <w:t xml:space="preserve"> General</w:t>
      </w:r>
      <w:r w:rsidR="00CB4C88">
        <w:rPr>
          <w:szCs w:val="26"/>
        </w:rPr>
        <w:t xml:space="preserve"> argues appellants are not entitled to retroactive application of </w:t>
      </w:r>
      <w:r w:rsidR="00FE7FCE">
        <w:rPr>
          <w:szCs w:val="26"/>
        </w:rPr>
        <w:t xml:space="preserve">Penal Code </w:t>
      </w:r>
      <w:r w:rsidR="00CB4C88">
        <w:rPr>
          <w:szCs w:val="26"/>
        </w:rPr>
        <w:t>section 1109.</w:t>
      </w:r>
    </w:p>
    <w:p w14:paraId="697C6ACD" w14:textId="5781CD93" w:rsidR="003C78FD" w:rsidRDefault="003C78FD" w:rsidP="00DA6106">
      <w:pPr>
        <w:rPr>
          <w:szCs w:val="26"/>
        </w:rPr>
      </w:pPr>
      <w:r>
        <w:rPr>
          <w:szCs w:val="26"/>
        </w:rPr>
        <w:tab/>
        <w:t xml:space="preserve">For the reasons below, we conclude Assembly Bill 333 applies retroactively, including </w:t>
      </w:r>
      <w:r w:rsidR="001662C1">
        <w:rPr>
          <w:szCs w:val="26"/>
        </w:rPr>
        <w:t>the section that added</w:t>
      </w:r>
      <w:r>
        <w:rPr>
          <w:szCs w:val="26"/>
        </w:rPr>
        <w:t xml:space="preserve"> </w:t>
      </w:r>
      <w:r w:rsidR="007020B3">
        <w:rPr>
          <w:szCs w:val="26"/>
        </w:rPr>
        <w:t xml:space="preserve">Penal Code </w:t>
      </w:r>
      <w:r>
        <w:rPr>
          <w:szCs w:val="26"/>
        </w:rPr>
        <w:t>section 1109.  We further conclude this requires us to vacate the convictions and remand the matter for possible retrial.</w:t>
      </w:r>
    </w:p>
    <w:p w14:paraId="08896F0F" w14:textId="42E54539" w:rsidR="00BE7CD1" w:rsidRPr="00BE7CD1" w:rsidRDefault="00BE7CD1" w:rsidP="00BE7CD1">
      <w:pPr>
        <w:pStyle w:val="ListParagraph"/>
        <w:numPr>
          <w:ilvl w:val="0"/>
          <w:numId w:val="16"/>
        </w:numPr>
        <w:rPr>
          <w:b/>
          <w:bCs/>
          <w:i/>
          <w:iCs/>
          <w:szCs w:val="26"/>
        </w:rPr>
      </w:pPr>
      <w:r w:rsidRPr="00BE7CD1">
        <w:rPr>
          <w:b/>
          <w:bCs/>
          <w:i/>
          <w:iCs/>
          <w:szCs w:val="26"/>
        </w:rPr>
        <w:t>Legal Background</w:t>
      </w:r>
    </w:p>
    <w:p w14:paraId="7B831707" w14:textId="77777777" w:rsidR="00364AF9" w:rsidRDefault="00F060D7" w:rsidP="00DA6106">
      <w:pPr>
        <w:rPr>
          <w:szCs w:val="26"/>
        </w:rPr>
      </w:pPr>
      <w:r>
        <w:rPr>
          <w:szCs w:val="26"/>
        </w:rPr>
        <w:tab/>
      </w:r>
      <w:r w:rsidR="007020B3">
        <w:rPr>
          <w:szCs w:val="26"/>
        </w:rPr>
        <w:t>Penal Code s</w:t>
      </w:r>
      <w:r>
        <w:rPr>
          <w:szCs w:val="26"/>
        </w:rPr>
        <w:t xml:space="preserve">ection 186.22 sets forth an enhanced punishment for a felony “committed </w:t>
      </w:r>
      <w:r w:rsidRPr="00DA6106">
        <w:rPr>
          <w:szCs w:val="26"/>
        </w:rPr>
        <w:t>for the benefit of, at the direction of, or in association with a criminal street gang, with the specific intent to promote, further, or assist in criminal conduct by gang members</w:t>
      </w:r>
      <w:r w:rsidR="0053073E">
        <w:rPr>
          <w:szCs w:val="26"/>
        </w:rPr>
        <w:t>.</w:t>
      </w:r>
      <w:r>
        <w:rPr>
          <w:szCs w:val="26"/>
        </w:rPr>
        <w:t>”  (</w:t>
      </w:r>
      <w:r w:rsidR="007020B3">
        <w:t xml:space="preserve">Pen. Code, </w:t>
      </w:r>
      <w:r w:rsidRPr="00DA6106">
        <w:rPr>
          <w:szCs w:val="26"/>
        </w:rPr>
        <w:t>§</w:t>
      </w:r>
      <w:r w:rsidR="005A7CA8">
        <w:rPr>
          <w:szCs w:val="26"/>
        </w:rPr>
        <w:t> </w:t>
      </w:r>
      <w:r w:rsidRPr="00DA6106">
        <w:rPr>
          <w:szCs w:val="26"/>
        </w:rPr>
        <w:t>186.22</w:t>
      </w:r>
      <w:r>
        <w:rPr>
          <w:szCs w:val="26"/>
        </w:rPr>
        <w:t>, subd. (b)(1).)</w:t>
      </w:r>
      <w:r w:rsidR="0022364B">
        <w:rPr>
          <w:rStyle w:val="FootnoteReference"/>
          <w:szCs w:val="26"/>
        </w:rPr>
        <w:footnoteReference w:id="3"/>
      </w:r>
      <w:r w:rsidR="001522A3">
        <w:rPr>
          <w:szCs w:val="26"/>
        </w:rPr>
        <w:t xml:space="preserve">  </w:t>
      </w:r>
      <w:r w:rsidR="00EB72BD" w:rsidRPr="00EB72BD">
        <w:rPr>
          <w:szCs w:val="26"/>
        </w:rPr>
        <w:t xml:space="preserve">A “criminal street gang” is “any </w:t>
      </w:r>
      <w:r w:rsidR="00EB72BD" w:rsidRPr="00EB72BD">
        <w:rPr>
          <w:szCs w:val="26"/>
        </w:rPr>
        <w:lastRenderedPageBreak/>
        <w:t xml:space="preserve">ongoing organization, association, or group of three or more persons, whether formal or informal, having as one of its primary activities the commission of one or more [enumerated criminal acts], having a common name or common identifying sign or symbol, and whose members individually or collectively engage in, or have engaged in, a pattern of criminal gang activity.” </w:t>
      </w:r>
      <w:r w:rsidR="00EB72BD">
        <w:rPr>
          <w:szCs w:val="26"/>
        </w:rPr>
        <w:t xml:space="preserve"> </w:t>
      </w:r>
      <w:r w:rsidR="00EB72BD" w:rsidRPr="00EB72BD">
        <w:rPr>
          <w:szCs w:val="26"/>
        </w:rPr>
        <w:t>(</w:t>
      </w:r>
      <w:r w:rsidR="00EB72BD" w:rsidRPr="00EB72BD">
        <w:rPr>
          <w:i/>
          <w:iCs/>
          <w:szCs w:val="26"/>
        </w:rPr>
        <w:t>Id.</w:t>
      </w:r>
      <w:r w:rsidR="00EB72BD" w:rsidRPr="00EB72BD">
        <w:rPr>
          <w:szCs w:val="26"/>
        </w:rPr>
        <w:t xml:space="preserve">, subd. (f).) </w:t>
      </w:r>
      <w:r w:rsidR="00EB72BD">
        <w:rPr>
          <w:szCs w:val="26"/>
        </w:rPr>
        <w:t xml:space="preserve"> </w:t>
      </w:r>
    </w:p>
    <w:p w14:paraId="4455638B" w14:textId="6E8F6C2B" w:rsidR="006A57A2" w:rsidRDefault="00364AF9" w:rsidP="00DA6106">
      <w:pPr>
        <w:rPr>
          <w:szCs w:val="26"/>
        </w:rPr>
      </w:pPr>
      <w:r>
        <w:rPr>
          <w:szCs w:val="26"/>
        </w:rPr>
        <w:tab/>
      </w:r>
      <w:r w:rsidR="00EB72BD" w:rsidRPr="00EB72BD">
        <w:rPr>
          <w:szCs w:val="26"/>
        </w:rPr>
        <w:t>Assembly Bill 333 narrow</w:t>
      </w:r>
      <w:r w:rsidR="00EB72BD">
        <w:rPr>
          <w:szCs w:val="26"/>
        </w:rPr>
        <w:t>ed</w:t>
      </w:r>
      <w:r w:rsidR="00EB72BD" w:rsidRPr="00EB72BD">
        <w:rPr>
          <w:szCs w:val="26"/>
        </w:rPr>
        <w:t xml:space="preserve"> the definition of “criminal street gang” to “an ongoing, organized association or group of three or more persons, whether formal or informal, having as one of its primary activities the commission of one or more [enumerated criminal acts], having a common name or common identifying sign or symbol, and whose members collectively engage in, or have engaged in, a pattern of criminal gang activity.”</w:t>
      </w:r>
      <w:r w:rsidR="00EB72BD">
        <w:rPr>
          <w:szCs w:val="26"/>
        </w:rPr>
        <w:t xml:space="preserve"> </w:t>
      </w:r>
      <w:r w:rsidR="00EB72BD" w:rsidRPr="00EB72BD">
        <w:rPr>
          <w:szCs w:val="26"/>
        </w:rPr>
        <w:t xml:space="preserve"> (</w:t>
      </w:r>
      <w:r>
        <w:t xml:space="preserve">Pen. Code, </w:t>
      </w:r>
      <w:r w:rsidR="00EB72BD" w:rsidRPr="00EB72BD">
        <w:rPr>
          <w:szCs w:val="26"/>
        </w:rPr>
        <w:t>§ 186.22, subd. (f).)</w:t>
      </w:r>
      <w:r w:rsidR="009E2E5F">
        <w:rPr>
          <w:szCs w:val="26"/>
        </w:rPr>
        <w:t xml:space="preserve">  </w:t>
      </w:r>
    </w:p>
    <w:p w14:paraId="7E35BCBD" w14:textId="75A6F6CA" w:rsidR="00494557" w:rsidRDefault="006A57A2" w:rsidP="00DA6106">
      <w:pPr>
        <w:rPr>
          <w:szCs w:val="26"/>
        </w:rPr>
      </w:pPr>
      <w:r>
        <w:rPr>
          <w:szCs w:val="26"/>
        </w:rPr>
        <w:tab/>
        <w:t xml:space="preserve">The revised statute </w:t>
      </w:r>
      <w:r w:rsidR="00D426BD">
        <w:rPr>
          <w:szCs w:val="26"/>
        </w:rPr>
        <w:t xml:space="preserve">also </w:t>
      </w:r>
      <w:r>
        <w:rPr>
          <w:szCs w:val="26"/>
        </w:rPr>
        <w:t>requires additional proof regarding the predicate offenses</w:t>
      </w:r>
      <w:r w:rsidR="00494557">
        <w:rPr>
          <w:szCs w:val="26"/>
        </w:rPr>
        <w:t xml:space="preserve"> that make up a </w:t>
      </w:r>
      <w:r w:rsidR="00494557" w:rsidRPr="00D426BD">
        <w:rPr>
          <w:szCs w:val="26"/>
        </w:rPr>
        <w:t>“pattern of gang activity</w:t>
      </w:r>
      <w:r w:rsidR="00494557">
        <w:rPr>
          <w:szCs w:val="26"/>
        </w:rPr>
        <w:t xml:space="preserve">” as follows: </w:t>
      </w:r>
      <w:r w:rsidRPr="006A57A2">
        <w:rPr>
          <w:szCs w:val="26"/>
        </w:rPr>
        <w:t xml:space="preserve"> (1) the offenses must have “commonly benefited a criminal street gang” where the “common benefit .</w:t>
      </w:r>
      <w:r w:rsidR="00E631D9">
        <w:rPr>
          <w:szCs w:val="26"/>
        </w:rPr>
        <w:t xml:space="preserve"> </w:t>
      </w:r>
      <w:r w:rsidRPr="006A57A2">
        <w:rPr>
          <w:szCs w:val="26"/>
        </w:rPr>
        <w:t>.</w:t>
      </w:r>
      <w:r w:rsidR="00E631D9">
        <w:rPr>
          <w:szCs w:val="26"/>
        </w:rPr>
        <w:t xml:space="preserve"> </w:t>
      </w:r>
      <w:r w:rsidRPr="006A57A2">
        <w:rPr>
          <w:szCs w:val="26"/>
        </w:rPr>
        <w:t xml:space="preserve">. is more than reputational”; (2) the last predicate offense must have occurred within three years of the date of the currently charged offense; </w:t>
      </w:r>
      <w:r w:rsidR="009B644C">
        <w:rPr>
          <w:szCs w:val="26"/>
        </w:rPr>
        <w:t xml:space="preserve">and </w:t>
      </w:r>
      <w:r w:rsidRPr="006A57A2">
        <w:rPr>
          <w:szCs w:val="26"/>
        </w:rPr>
        <w:t>(3) the predicate offenses must be committed on separate occasions or by two or more gang members, as opposed to persons.</w:t>
      </w:r>
      <w:r w:rsidR="00D426BD">
        <w:rPr>
          <w:szCs w:val="26"/>
        </w:rPr>
        <w:t xml:space="preserve"> </w:t>
      </w:r>
      <w:r w:rsidRPr="006A57A2">
        <w:rPr>
          <w:szCs w:val="26"/>
        </w:rPr>
        <w:t xml:space="preserve"> (</w:t>
      </w:r>
      <w:r w:rsidR="00364AF9">
        <w:t xml:space="preserve">Pen. Code, </w:t>
      </w:r>
      <w:r w:rsidRPr="006A57A2">
        <w:rPr>
          <w:szCs w:val="26"/>
        </w:rPr>
        <w:t>§</w:t>
      </w:r>
      <w:r w:rsidR="00364030">
        <w:rPr>
          <w:szCs w:val="26"/>
        </w:rPr>
        <w:t> </w:t>
      </w:r>
      <w:r w:rsidRPr="006A57A2">
        <w:rPr>
          <w:szCs w:val="26"/>
        </w:rPr>
        <w:t xml:space="preserve">186.22, subd. (e)(1).) </w:t>
      </w:r>
      <w:r w:rsidR="00D426BD">
        <w:rPr>
          <w:szCs w:val="26"/>
        </w:rPr>
        <w:t xml:space="preserve"> </w:t>
      </w:r>
      <w:r w:rsidR="00494557">
        <w:rPr>
          <w:szCs w:val="26"/>
        </w:rPr>
        <w:t>Courts had construed the prior version of the statute to allow the currently charged offense to be used as a predicate offense, but the revis</w:t>
      </w:r>
      <w:r w:rsidR="00B91212">
        <w:rPr>
          <w:szCs w:val="26"/>
        </w:rPr>
        <w:t>ed statute</w:t>
      </w:r>
      <w:r w:rsidR="00494557">
        <w:rPr>
          <w:szCs w:val="26"/>
        </w:rPr>
        <w:t xml:space="preserve"> provides that</w:t>
      </w:r>
      <w:r w:rsidR="00494557" w:rsidRPr="009E2E5F">
        <w:rPr>
          <w:szCs w:val="26"/>
        </w:rPr>
        <w:t xml:space="preserve"> the currently charged offense cannot be used as a predicate offense. </w:t>
      </w:r>
      <w:r w:rsidR="00494557">
        <w:rPr>
          <w:szCs w:val="26"/>
        </w:rPr>
        <w:t xml:space="preserve"> </w:t>
      </w:r>
      <w:r w:rsidR="00494557" w:rsidRPr="009E2E5F">
        <w:rPr>
          <w:szCs w:val="26"/>
        </w:rPr>
        <w:t>(</w:t>
      </w:r>
      <w:r w:rsidR="00364AF9">
        <w:t xml:space="preserve">Pen. Code, </w:t>
      </w:r>
      <w:r w:rsidR="00494557" w:rsidRPr="00EB72BD">
        <w:rPr>
          <w:szCs w:val="26"/>
        </w:rPr>
        <w:t>§</w:t>
      </w:r>
      <w:r w:rsidR="00225C08">
        <w:rPr>
          <w:szCs w:val="26"/>
        </w:rPr>
        <w:t> </w:t>
      </w:r>
      <w:r w:rsidR="00494557" w:rsidRPr="00EB72BD">
        <w:rPr>
          <w:szCs w:val="26"/>
        </w:rPr>
        <w:t>186.22</w:t>
      </w:r>
      <w:r w:rsidR="00494557" w:rsidRPr="009E2E5F">
        <w:rPr>
          <w:szCs w:val="26"/>
        </w:rPr>
        <w:t>, subd. (e)(2).)</w:t>
      </w:r>
      <w:r w:rsidR="00494557">
        <w:rPr>
          <w:szCs w:val="26"/>
        </w:rPr>
        <w:t xml:space="preserve">  </w:t>
      </w:r>
    </w:p>
    <w:p w14:paraId="14F724FD" w14:textId="383B22D7" w:rsidR="006A57A2" w:rsidRDefault="00494557" w:rsidP="00DA6106">
      <w:pPr>
        <w:rPr>
          <w:szCs w:val="26"/>
        </w:rPr>
      </w:pPr>
      <w:r>
        <w:rPr>
          <w:szCs w:val="26"/>
        </w:rPr>
        <w:tab/>
      </w:r>
      <w:r w:rsidR="006A57A2" w:rsidRPr="006A57A2">
        <w:rPr>
          <w:szCs w:val="26"/>
        </w:rPr>
        <w:t xml:space="preserve">With respect to </w:t>
      </w:r>
      <w:r w:rsidR="00D426BD">
        <w:rPr>
          <w:szCs w:val="26"/>
        </w:rPr>
        <w:t xml:space="preserve">the </w:t>
      </w:r>
      <w:r w:rsidR="005862CA">
        <w:rPr>
          <w:szCs w:val="26"/>
        </w:rPr>
        <w:t>“</w:t>
      </w:r>
      <w:r w:rsidR="006A57A2" w:rsidRPr="006A57A2">
        <w:rPr>
          <w:szCs w:val="26"/>
        </w:rPr>
        <w:t>common benefit,</w:t>
      </w:r>
      <w:r w:rsidR="005862CA">
        <w:rPr>
          <w:szCs w:val="26"/>
        </w:rPr>
        <w:t>”</w:t>
      </w:r>
      <w:r w:rsidR="00952A7F">
        <w:rPr>
          <w:szCs w:val="26"/>
        </w:rPr>
        <w:t xml:space="preserve"> the statute provides that</w:t>
      </w:r>
      <w:r w:rsidR="006A57A2" w:rsidRPr="006A57A2">
        <w:rPr>
          <w:szCs w:val="26"/>
        </w:rPr>
        <w:t xml:space="preserve"> “</w:t>
      </w:r>
      <w:r w:rsidR="00D426BD">
        <w:rPr>
          <w:szCs w:val="26"/>
        </w:rPr>
        <w:t>t</w:t>
      </w:r>
      <w:r w:rsidR="006A57A2" w:rsidRPr="006A57A2">
        <w:rPr>
          <w:szCs w:val="26"/>
        </w:rPr>
        <w:t xml:space="preserve">o benefit, promote, further, or assist means to provide a common benefit to members of a gang where the common benefit is more than reputational. </w:t>
      </w:r>
      <w:r w:rsidR="00D426BD">
        <w:rPr>
          <w:szCs w:val="26"/>
        </w:rPr>
        <w:t xml:space="preserve"> </w:t>
      </w:r>
      <w:r w:rsidR="006A57A2" w:rsidRPr="006A57A2">
        <w:rPr>
          <w:szCs w:val="26"/>
        </w:rPr>
        <w:t xml:space="preserve">Examples of a common benefit that are more than reputational may include, but are not limited to, financial gain or motivation, retaliation, targeting a perceived or actual gang rival, or intimidation or </w:t>
      </w:r>
      <w:r w:rsidR="006A57A2" w:rsidRPr="006A57A2">
        <w:rPr>
          <w:szCs w:val="26"/>
        </w:rPr>
        <w:lastRenderedPageBreak/>
        <w:t>silencing of a potential current or previous witness or informant.”</w:t>
      </w:r>
      <w:r w:rsidR="00D426BD">
        <w:rPr>
          <w:szCs w:val="26"/>
        </w:rPr>
        <w:t xml:space="preserve"> </w:t>
      </w:r>
      <w:r w:rsidR="006A57A2" w:rsidRPr="006A57A2">
        <w:rPr>
          <w:szCs w:val="26"/>
        </w:rPr>
        <w:t xml:space="preserve"> (</w:t>
      </w:r>
      <w:r w:rsidR="00364AF9">
        <w:t xml:space="preserve">Pen. Code, </w:t>
      </w:r>
      <w:r w:rsidR="006A57A2" w:rsidRPr="006A57A2">
        <w:rPr>
          <w:szCs w:val="26"/>
        </w:rPr>
        <w:t>§</w:t>
      </w:r>
      <w:r w:rsidR="009E08E8">
        <w:rPr>
          <w:szCs w:val="26"/>
        </w:rPr>
        <w:t> </w:t>
      </w:r>
      <w:r w:rsidR="006A57A2" w:rsidRPr="006A57A2">
        <w:rPr>
          <w:szCs w:val="26"/>
        </w:rPr>
        <w:t>186.22, subd. (g).)</w:t>
      </w:r>
    </w:p>
    <w:p w14:paraId="570962EC" w14:textId="069941DE" w:rsidR="00BC157E" w:rsidRDefault="00BC157E" w:rsidP="00DA6106">
      <w:pPr>
        <w:rPr>
          <w:szCs w:val="26"/>
        </w:rPr>
      </w:pPr>
      <w:r>
        <w:rPr>
          <w:szCs w:val="26"/>
        </w:rPr>
        <w:tab/>
        <w:t xml:space="preserve">Assembly Bill 333 also added </w:t>
      </w:r>
      <w:r w:rsidR="00364AF9">
        <w:rPr>
          <w:szCs w:val="26"/>
        </w:rPr>
        <w:t xml:space="preserve">Penal Code </w:t>
      </w:r>
      <w:r>
        <w:rPr>
          <w:szCs w:val="26"/>
        </w:rPr>
        <w:t>section 1109</w:t>
      </w:r>
      <w:r w:rsidR="00B11224">
        <w:rPr>
          <w:szCs w:val="26"/>
        </w:rPr>
        <w:t>, requiring trial courts to conduct a bifurcated trial on gang enhancements if the defense requests one</w:t>
      </w:r>
      <w:r w:rsidR="00742C2E">
        <w:rPr>
          <w:szCs w:val="26"/>
        </w:rPr>
        <w:t>.</w:t>
      </w:r>
      <w:r w:rsidR="00B11224">
        <w:rPr>
          <w:szCs w:val="26"/>
        </w:rPr>
        <w:t xml:space="preserve"> </w:t>
      </w:r>
      <w:r w:rsidR="00742C2E">
        <w:rPr>
          <w:szCs w:val="26"/>
        </w:rPr>
        <w:t xml:space="preserve"> </w:t>
      </w:r>
      <w:r w:rsidR="00742C2E" w:rsidRPr="00742C2E">
        <w:rPr>
          <w:szCs w:val="26"/>
        </w:rPr>
        <w:t>(</w:t>
      </w:r>
      <w:r w:rsidR="00364AF9">
        <w:t xml:space="preserve">Pen. Code, </w:t>
      </w:r>
      <w:r w:rsidR="00F96704">
        <w:rPr>
          <w:szCs w:val="26"/>
        </w:rPr>
        <w:t>§</w:t>
      </w:r>
      <w:r w:rsidR="00E42594">
        <w:rPr>
          <w:szCs w:val="26"/>
        </w:rPr>
        <w:t> </w:t>
      </w:r>
      <w:r w:rsidR="00F96704">
        <w:rPr>
          <w:szCs w:val="26"/>
        </w:rPr>
        <w:t xml:space="preserve">1109, subd. (a); </w:t>
      </w:r>
      <w:r w:rsidR="00742C2E" w:rsidRPr="00742C2E">
        <w:rPr>
          <w:szCs w:val="26"/>
        </w:rPr>
        <w:t>Stats. 2021, ch. 699, § 5, eff. Jan. 1, 2022.)</w:t>
      </w:r>
      <w:r w:rsidR="00242F9E">
        <w:rPr>
          <w:szCs w:val="26"/>
        </w:rPr>
        <w:t xml:space="preserve">  The defendant’s guilt on the underlying offense must first be determined, and a trial on the gang enhancement is held only if the defendant is first found guilty of the underlying offense.  (</w:t>
      </w:r>
      <w:r w:rsidR="00364AF9">
        <w:t xml:space="preserve">Pen. Code, </w:t>
      </w:r>
      <w:r w:rsidR="00242F9E">
        <w:rPr>
          <w:szCs w:val="26"/>
        </w:rPr>
        <w:t>§</w:t>
      </w:r>
      <w:r w:rsidR="00364AF9">
        <w:rPr>
          <w:szCs w:val="26"/>
        </w:rPr>
        <w:t> </w:t>
      </w:r>
      <w:r w:rsidR="00242F9E">
        <w:rPr>
          <w:szCs w:val="26"/>
        </w:rPr>
        <w:t>1109, subds. (a)(1) &amp; (a)(2).)</w:t>
      </w:r>
    </w:p>
    <w:p w14:paraId="4E18F64C" w14:textId="60B757F0" w:rsidR="00494557" w:rsidRPr="007D4E13" w:rsidRDefault="00494557" w:rsidP="00494557">
      <w:pPr>
        <w:pStyle w:val="ListParagraph"/>
        <w:numPr>
          <w:ilvl w:val="0"/>
          <w:numId w:val="16"/>
        </w:numPr>
        <w:rPr>
          <w:b/>
          <w:bCs/>
          <w:i/>
          <w:iCs/>
          <w:szCs w:val="26"/>
        </w:rPr>
      </w:pPr>
      <w:r w:rsidRPr="007D4E13">
        <w:rPr>
          <w:b/>
          <w:bCs/>
          <w:i/>
          <w:iCs/>
          <w:szCs w:val="26"/>
        </w:rPr>
        <w:t>Factual Background</w:t>
      </w:r>
    </w:p>
    <w:p w14:paraId="251732BD" w14:textId="6D65E692" w:rsidR="00DA6106" w:rsidRDefault="00182F01" w:rsidP="00DA6106">
      <w:pPr>
        <w:rPr>
          <w:szCs w:val="26"/>
        </w:rPr>
      </w:pPr>
      <w:r>
        <w:rPr>
          <w:szCs w:val="26"/>
        </w:rPr>
        <w:tab/>
      </w:r>
      <w:r w:rsidR="007D4E13" w:rsidRPr="007D4E13">
        <w:rPr>
          <w:szCs w:val="26"/>
        </w:rPr>
        <w:t xml:space="preserve">Investigator Michael Whittington </w:t>
      </w:r>
      <w:r w:rsidR="007D4E13">
        <w:rPr>
          <w:szCs w:val="26"/>
        </w:rPr>
        <w:t>testified as the prosecution’s gang expert.</w:t>
      </w:r>
      <w:r w:rsidR="00604D1B">
        <w:rPr>
          <w:szCs w:val="26"/>
        </w:rPr>
        <w:t xml:space="preserve">  </w:t>
      </w:r>
      <w:r w:rsidR="00F50442">
        <w:rPr>
          <w:szCs w:val="26"/>
        </w:rPr>
        <w:t xml:space="preserve">He opined that Crip gangs are </w:t>
      </w:r>
      <w:r w:rsidR="00F50442" w:rsidRPr="00F50442">
        <w:rPr>
          <w:szCs w:val="26"/>
        </w:rPr>
        <w:t>criminal street gangs</w:t>
      </w:r>
      <w:r w:rsidR="00F50442">
        <w:rPr>
          <w:szCs w:val="26"/>
        </w:rPr>
        <w:t xml:space="preserve"> whose </w:t>
      </w:r>
      <w:r w:rsidR="00F50442" w:rsidRPr="00F50442">
        <w:rPr>
          <w:szCs w:val="26"/>
        </w:rPr>
        <w:t xml:space="preserve">primary activities include robbery, felony assault, and illegal weapon possession. </w:t>
      </w:r>
      <w:r w:rsidR="00E631D9">
        <w:rPr>
          <w:szCs w:val="26"/>
        </w:rPr>
        <w:t xml:space="preserve"> </w:t>
      </w:r>
      <w:r w:rsidR="00F50442" w:rsidRPr="00F50442">
        <w:rPr>
          <w:szCs w:val="26"/>
        </w:rPr>
        <w:t>The</w:t>
      </w:r>
      <w:r w:rsidR="008A27F0">
        <w:rPr>
          <w:szCs w:val="26"/>
        </w:rPr>
        <w:t xml:space="preserve">ir </w:t>
      </w:r>
      <w:r w:rsidR="008A27F0" w:rsidRPr="008A27F0">
        <w:rPr>
          <w:szCs w:val="26"/>
        </w:rPr>
        <w:t xml:space="preserve">territory </w:t>
      </w:r>
      <w:r w:rsidR="008A27F0">
        <w:rPr>
          <w:szCs w:val="26"/>
        </w:rPr>
        <w:t xml:space="preserve">included the area </w:t>
      </w:r>
      <w:r w:rsidR="008A27F0" w:rsidRPr="008A27F0">
        <w:rPr>
          <w:szCs w:val="26"/>
        </w:rPr>
        <w:t>near</w:t>
      </w:r>
      <w:r w:rsidR="008A27F0">
        <w:rPr>
          <w:szCs w:val="26"/>
        </w:rPr>
        <w:t xml:space="preserve"> the robbery</w:t>
      </w:r>
      <w:r w:rsidR="008A27F0" w:rsidRPr="008A27F0">
        <w:rPr>
          <w:szCs w:val="26"/>
        </w:rPr>
        <w:t>.</w:t>
      </w:r>
      <w:r w:rsidR="00E631D9">
        <w:rPr>
          <w:szCs w:val="26"/>
        </w:rPr>
        <w:t xml:space="preserve"> </w:t>
      </w:r>
      <w:r w:rsidR="00062054">
        <w:rPr>
          <w:szCs w:val="26"/>
        </w:rPr>
        <w:t xml:space="preserve"> “Varrio Meadowfair”</w:t>
      </w:r>
      <w:r w:rsidR="0083466D">
        <w:rPr>
          <w:szCs w:val="26"/>
        </w:rPr>
        <w:t xml:space="preserve"> is</w:t>
      </w:r>
      <w:r w:rsidR="00062054">
        <w:rPr>
          <w:szCs w:val="26"/>
        </w:rPr>
        <w:t xml:space="preserve"> the name of a rival Norteño gang that is active near the area of the robbery.</w:t>
      </w:r>
      <w:r w:rsidR="00E631D9">
        <w:rPr>
          <w:szCs w:val="26"/>
        </w:rPr>
        <w:t xml:space="preserve"> </w:t>
      </w:r>
      <w:r w:rsidR="0088699B">
        <w:rPr>
          <w:szCs w:val="26"/>
        </w:rPr>
        <w:t xml:space="preserve"> Whittington opined that appellants </w:t>
      </w:r>
      <w:r w:rsidR="0088699B" w:rsidRPr="0088699B">
        <w:rPr>
          <w:szCs w:val="26"/>
        </w:rPr>
        <w:t xml:space="preserve">and Lozano were Crip gang members. </w:t>
      </w:r>
      <w:r w:rsidR="00E631D9">
        <w:rPr>
          <w:szCs w:val="26"/>
        </w:rPr>
        <w:t xml:space="preserve"> </w:t>
      </w:r>
      <w:r w:rsidR="005B2058">
        <w:rPr>
          <w:szCs w:val="26"/>
        </w:rPr>
        <w:t xml:space="preserve">Whittington testified that a robbery like the one committed here would be </w:t>
      </w:r>
      <w:r w:rsidR="005B2058" w:rsidRPr="005B2058">
        <w:rPr>
          <w:szCs w:val="26"/>
        </w:rPr>
        <w:t>perpetrated at the direction of, and for the benefit of, the Crip gang.</w:t>
      </w:r>
      <w:r w:rsidR="005B2058">
        <w:rPr>
          <w:szCs w:val="26"/>
        </w:rPr>
        <w:t xml:space="preserve"> </w:t>
      </w:r>
      <w:r w:rsidR="00E631D9">
        <w:rPr>
          <w:szCs w:val="26"/>
        </w:rPr>
        <w:t xml:space="preserve"> </w:t>
      </w:r>
    </w:p>
    <w:p w14:paraId="0A0EFBAA" w14:textId="68D1707B" w:rsidR="005B2058" w:rsidRDefault="005B2058" w:rsidP="00AC4FDB">
      <w:pPr>
        <w:rPr>
          <w:szCs w:val="26"/>
        </w:rPr>
      </w:pPr>
      <w:r>
        <w:rPr>
          <w:szCs w:val="26"/>
        </w:rPr>
        <w:tab/>
      </w:r>
      <w:r w:rsidR="00FC70EB">
        <w:rPr>
          <w:szCs w:val="26"/>
        </w:rPr>
        <w:t>To prove the predicate offenses, the prosecution introduced evidence of four prior offenses in addition to the current robbery:  (1) a</w:t>
      </w:r>
      <w:r w:rsidR="00FC70EB" w:rsidRPr="00FC70EB">
        <w:rPr>
          <w:szCs w:val="26"/>
        </w:rPr>
        <w:t>ttempted robbery by Latwan Langston in 2010</w:t>
      </w:r>
      <w:r w:rsidR="00FC70EB">
        <w:rPr>
          <w:szCs w:val="26"/>
        </w:rPr>
        <w:t xml:space="preserve">; </w:t>
      </w:r>
      <w:r w:rsidR="00CE66E1">
        <w:rPr>
          <w:szCs w:val="26"/>
        </w:rPr>
        <w:t>(2) a</w:t>
      </w:r>
      <w:r w:rsidR="00CE66E1" w:rsidRPr="00CE66E1">
        <w:rPr>
          <w:szCs w:val="26"/>
        </w:rPr>
        <w:t>ssault with a deadly weapon by Darius McNary in 2013</w:t>
      </w:r>
      <w:r w:rsidR="00CE66E1">
        <w:rPr>
          <w:szCs w:val="26"/>
        </w:rPr>
        <w:t>; (3) i</w:t>
      </w:r>
      <w:r w:rsidR="00CE66E1" w:rsidRPr="00CE66E1">
        <w:rPr>
          <w:szCs w:val="26"/>
        </w:rPr>
        <w:t>llegal gun possession by Troy Giamona in 2013</w:t>
      </w:r>
      <w:r w:rsidR="00CE66E1">
        <w:rPr>
          <w:szCs w:val="26"/>
        </w:rPr>
        <w:t>; and (4) u</w:t>
      </w:r>
      <w:r w:rsidR="00CE66E1" w:rsidRPr="00CE66E1">
        <w:rPr>
          <w:szCs w:val="26"/>
        </w:rPr>
        <w:t>nlawful possession of a loaded unlicensed gun by Stevenson in 2014</w:t>
      </w:r>
      <w:r w:rsidR="00CE66E1">
        <w:rPr>
          <w:szCs w:val="26"/>
        </w:rPr>
        <w:t>.</w:t>
      </w:r>
      <w:r w:rsidR="00E631D9">
        <w:rPr>
          <w:szCs w:val="26"/>
        </w:rPr>
        <w:t xml:space="preserve"> </w:t>
      </w:r>
      <w:r w:rsidR="00CE66E1">
        <w:rPr>
          <w:szCs w:val="26"/>
        </w:rPr>
        <w:t xml:space="preserve"> The prosecution proved the </w:t>
      </w:r>
      <w:r w:rsidR="00B41ADB">
        <w:rPr>
          <w:szCs w:val="26"/>
        </w:rPr>
        <w:t xml:space="preserve">predicate </w:t>
      </w:r>
      <w:r w:rsidR="00CE66E1">
        <w:rPr>
          <w:szCs w:val="26"/>
        </w:rPr>
        <w:t>offenses with certified records of conviction</w:t>
      </w:r>
      <w:r w:rsidR="00B41ADB">
        <w:rPr>
          <w:szCs w:val="26"/>
        </w:rPr>
        <w:t>, and Whittington testified that the offenders were Crip gang members</w:t>
      </w:r>
      <w:r w:rsidR="00CE66E1">
        <w:rPr>
          <w:szCs w:val="26"/>
        </w:rPr>
        <w:t xml:space="preserve">. </w:t>
      </w:r>
      <w:r w:rsidR="004D5AF5">
        <w:rPr>
          <w:szCs w:val="26"/>
        </w:rPr>
        <w:t xml:space="preserve"> Except for </w:t>
      </w:r>
      <w:r w:rsidR="00AC4FDB">
        <w:rPr>
          <w:szCs w:val="26"/>
        </w:rPr>
        <w:t>Stevenson’s prior gun possession and the current offense, the prosecution presented little or no evidence concerning the facts and circumstances of the predicate offenses.</w:t>
      </w:r>
    </w:p>
    <w:p w14:paraId="45D500EA" w14:textId="1790EFDF" w:rsidR="00183C76" w:rsidRDefault="00183C76" w:rsidP="00AC4FDB">
      <w:pPr>
        <w:rPr>
          <w:szCs w:val="26"/>
        </w:rPr>
      </w:pPr>
    </w:p>
    <w:p w14:paraId="2E4EEFD7" w14:textId="77777777" w:rsidR="00183C76" w:rsidRDefault="00183C76" w:rsidP="00AC4FDB">
      <w:pPr>
        <w:rPr>
          <w:szCs w:val="26"/>
        </w:rPr>
      </w:pPr>
    </w:p>
    <w:p w14:paraId="3E90DCEF" w14:textId="7EAB7FD2" w:rsidR="00C64937" w:rsidRPr="00C64937" w:rsidRDefault="00C64937" w:rsidP="00C64937">
      <w:pPr>
        <w:pStyle w:val="ListParagraph"/>
        <w:numPr>
          <w:ilvl w:val="0"/>
          <w:numId w:val="16"/>
        </w:numPr>
        <w:rPr>
          <w:b/>
          <w:bCs/>
          <w:i/>
          <w:iCs/>
          <w:szCs w:val="26"/>
        </w:rPr>
      </w:pPr>
      <w:r w:rsidRPr="00C64937">
        <w:rPr>
          <w:b/>
          <w:bCs/>
          <w:i/>
          <w:iCs/>
          <w:szCs w:val="26"/>
        </w:rPr>
        <w:lastRenderedPageBreak/>
        <w:t xml:space="preserve">Assembly Bill No. 333 </w:t>
      </w:r>
      <w:r w:rsidR="004126D4">
        <w:rPr>
          <w:b/>
          <w:bCs/>
          <w:i/>
          <w:iCs/>
          <w:szCs w:val="26"/>
        </w:rPr>
        <w:t>Applies Retroactively</w:t>
      </w:r>
    </w:p>
    <w:p w14:paraId="0C5206A7" w14:textId="13E400F8" w:rsidR="007A20F2" w:rsidRDefault="007A20F2" w:rsidP="00DA6106">
      <w:pPr>
        <w:rPr>
          <w:szCs w:val="26"/>
        </w:rPr>
      </w:pPr>
      <w:r>
        <w:rPr>
          <w:szCs w:val="26"/>
        </w:rPr>
        <w:tab/>
      </w:r>
      <w:r w:rsidR="00AC48A6">
        <w:rPr>
          <w:szCs w:val="26"/>
        </w:rPr>
        <w:t xml:space="preserve">Appellants contend they are entitled to the retroactive application of the revised </w:t>
      </w:r>
      <w:r w:rsidR="009F6138">
        <w:rPr>
          <w:szCs w:val="26"/>
        </w:rPr>
        <w:t xml:space="preserve">Penal Code </w:t>
      </w:r>
      <w:r w:rsidR="00AC48A6">
        <w:rPr>
          <w:szCs w:val="26"/>
        </w:rPr>
        <w:t>section 186.22 as effected by Assembly Bill</w:t>
      </w:r>
      <w:r w:rsidR="00A30D8B">
        <w:rPr>
          <w:szCs w:val="26"/>
        </w:rPr>
        <w:t xml:space="preserve"> </w:t>
      </w:r>
      <w:r w:rsidR="00AC48A6">
        <w:rPr>
          <w:szCs w:val="26"/>
        </w:rPr>
        <w:t>333.</w:t>
      </w:r>
      <w:r w:rsidR="00E631D9">
        <w:rPr>
          <w:szCs w:val="26"/>
        </w:rPr>
        <w:t xml:space="preserve"> </w:t>
      </w:r>
      <w:r w:rsidR="00AC48A6">
        <w:rPr>
          <w:szCs w:val="26"/>
        </w:rPr>
        <w:t xml:space="preserve"> They argue that the gang enhancements must be stricken because the prosecution failed to present sufficient evidence to prove all the elements of the enhancements under the revised statute.</w:t>
      </w:r>
      <w:r w:rsidR="00166A8C">
        <w:rPr>
          <w:szCs w:val="26"/>
        </w:rPr>
        <w:t xml:space="preserve">  The Attorney General concedes that appellants are entitled to retroactive application of Assembly Bill 333 insofar as it</w:t>
      </w:r>
      <w:r w:rsidR="000840B9">
        <w:rPr>
          <w:szCs w:val="26"/>
        </w:rPr>
        <w:t xml:space="preserve"> changed the evidentiary requirements for gang enhancements</w:t>
      </w:r>
      <w:r w:rsidR="00166A8C">
        <w:rPr>
          <w:szCs w:val="26"/>
        </w:rPr>
        <w:t>.</w:t>
      </w:r>
      <w:r w:rsidR="00E631D9">
        <w:rPr>
          <w:szCs w:val="26"/>
        </w:rPr>
        <w:t xml:space="preserve"> </w:t>
      </w:r>
      <w:r w:rsidR="00166A8C">
        <w:rPr>
          <w:szCs w:val="26"/>
        </w:rPr>
        <w:t xml:space="preserve"> The Attorney General disputes that insufficiency of the evidence is the proper legal framework for analyzing the issue, but he concedes the enhancements must be vacated.  He argues we should remand the matter to give the prosecution the opportunity to prove the enhancements under the revised statute</w:t>
      </w:r>
      <w:r w:rsidR="00ED388A">
        <w:rPr>
          <w:szCs w:val="26"/>
        </w:rPr>
        <w:t xml:space="preserve"> while leaving the robbery convictions intact</w:t>
      </w:r>
      <w:r w:rsidR="00166A8C">
        <w:rPr>
          <w:szCs w:val="26"/>
        </w:rPr>
        <w:t>.</w:t>
      </w:r>
    </w:p>
    <w:p w14:paraId="5866EC43" w14:textId="3BB24CFB" w:rsidR="00166A8C" w:rsidRDefault="00166A8C" w:rsidP="0025438A">
      <w:pPr>
        <w:rPr>
          <w:szCs w:val="26"/>
        </w:rPr>
      </w:pPr>
      <w:r>
        <w:rPr>
          <w:szCs w:val="26"/>
        </w:rPr>
        <w:tab/>
        <w:t>We accept the Attorney General’s concession regarding the retroactive application</w:t>
      </w:r>
      <w:r w:rsidR="00F444C8">
        <w:rPr>
          <w:szCs w:val="26"/>
        </w:rPr>
        <w:t xml:space="preserve"> of the revised Penal Code section 186.22</w:t>
      </w:r>
      <w:r>
        <w:rPr>
          <w:szCs w:val="26"/>
        </w:rPr>
        <w:t xml:space="preserve">.  </w:t>
      </w:r>
      <w:r w:rsidR="00684F2C">
        <w:rPr>
          <w:szCs w:val="26"/>
        </w:rPr>
        <w:t xml:space="preserve">The Court of Appeal for the Second District recently reached this conclusion in </w:t>
      </w:r>
      <w:r w:rsidR="00684F2C" w:rsidRPr="004646E1">
        <w:rPr>
          <w:i/>
          <w:iCs/>
          <w:szCs w:val="26"/>
        </w:rPr>
        <w:t>People v. Lopez</w:t>
      </w:r>
      <w:r w:rsidR="00684F2C" w:rsidRPr="00684F2C">
        <w:rPr>
          <w:szCs w:val="26"/>
        </w:rPr>
        <w:t xml:space="preserve"> (2021) 73 Cal.App.5th 327</w:t>
      </w:r>
      <w:r w:rsidR="004646E1">
        <w:rPr>
          <w:szCs w:val="26"/>
        </w:rPr>
        <w:t xml:space="preserve"> (</w:t>
      </w:r>
      <w:r w:rsidR="004646E1" w:rsidRPr="004646E1">
        <w:rPr>
          <w:i/>
          <w:iCs/>
          <w:szCs w:val="26"/>
        </w:rPr>
        <w:t>Lopez</w:t>
      </w:r>
      <w:r w:rsidR="004646E1">
        <w:rPr>
          <w:szCs w:val="26"/>
        </w:rPr>
        <w:t>).</w:t>
      </w:r>
      <w:r w:rsidR="004E3963">
        <w:rPr>
          <w:szCs w:val="26"/>
        </w:rPr>
        <w:t xml:space="preserve"> </w:t>
      </w:r>
      <w:r w:rsidR="00A055B7">
        <w:rPr>
          <w:szCs w:val="26"/>
        </w:rPr>
        <w:t xml:space="preserve"> </w:t>
      </w:r>
      <w:r w:rsidR="0025438A">
        <w:rPr>
          <w:szCs w:val="26"/>
        </w:rPr>
        <w:t>“</w:t>
      </w:r>
      <w:r w:rsidR="0025438A" w:rsidRPr="0025438A">
        <w:rPr>
          <w:szCs w:val="26"/>
        </w:rPr>
        <w:t xml:space="preserve">As Assembly Bill 333 increases the threshold for conviction of the section 186.22 offense and the imposition of the enhancement, we agree with Lopez and the People that Lopez is entitled to the benefit of this change in the law. </w:t>
      </w:r>
      <w:r w:rsidR="0025438A">
        <w:rPr>
          <w:szCs w:val="26"/>
        </w:rPr>
        <w:t xml:space="preserve"> ‘</w:t>
      </w:r>
      <w:r w:rsidR="0025438A" w:rsidRPr="0025438A">
        <w:rPr>
          <w:szCs w:val="26"/>
        </w:rPr>
        <w:t>[A] defendant is entitled to the benefit of an amendment to an enhancement statute, adding a new element to the enhancement, where the statutory change becomes effective while the case was on appeal, and the Legislature did not preclude its effect to pending case.</w:t>
      </w:r>
      <w:r w:rsidR="0025438A">
        <w:rPr>
          <w:szCs w:val="26"/>
        </w:rPr>
        <w:t>’  [Citation.]”</w:t>
      </w:r>
      <w:r w:rsidR="0025438A" w:rsidRPr="0025438A">
        <w:rPr>
          <w:szCs w:val="26"/>
        </w:rPr>
        <w:t xml:space="preserve"> </w:t>
      </w:r>
      <w:r w:rsidR="0025438A">
        <w:rPr>
          <w:szCs w:val="26"/>
        </w:rPr>
        <w:t xml:space="preserve"> (</w:t>
      </w:r>
      <w:r w:rsidR="0025438A" w:rsidRPr="0025438A">
        <w:rPr>
          <w:i/>
          <w:iCs/>
          <w:szCs w:val="26"/>
        </w:rPr>
        <w:t>Id.</w:t>
      </w:r>
      <w:r w:rsidR="0025438A">
        <w:rPr>
          <w:szCs w:val="26"/>
        </w:rPr>
        <w:t xml:space="preserve"> at p.</w:t>
      </w:r>
      <w:r w:rsidR="00EE1B98">
        <w:rPr>
          <w:szCs w:val="26"/>
        </w:rPr>
        <w:t xml:space="preserve"> </w:t>
      </w:r>
      <w:r w:rsidR="00280976">
        <w:rPr>
          <w:szCs w:val="26"/>
        </w:rPr>
        <w:t>344</w:t>
      </w:r>
      <w:r w:rsidR="0025438A">
        <w:rPr>
          <w:szCs w:val="26"/>
        </w:rPr>
        <w:t>.</w:t>
      </w:r>
      <w:r w:rsidR="0025438A" w:rsidRPr="0025438A">
        <w:rPr>
          <w:szCs w:val="26"/>
        </w:rPr>
        <w:t>)</w:t>
      </w:r>
      <w:r w:rsidR="0025438A">
        <w:rPr>
          <w:szCs w:val="26"/>
        </w:rPr>
        <w:t xml:space="preserve">  We agree with the analysis in </w:t>
      </w:r>
      <w:r w:rsidR="0025438A" w:rsidRPr="0025438A">
        <w:rPr>
          <w:i/>
          <w:iCs/>
          <w:szCs w:val="26"/>
        </w:rPr>
        <w:t>Lopez</w:t>
      </w:r>
      <w:r w:rsidR="0025438A">
        <w:rPr>
          <w:szCs w:val="26"/>
        </w:rPr>
        <w:t xml:space="preserve"> and we apply its holding here.</w:t>
      </w:r>
    </w:p>
    <w:p w14:paraId="54340880" w14:textId="656F4A6F" w:rsidR="004849E5" w:rsidRDefault="0025438A" w:rsidP="0025438A">
      <w:pPr>
        <w:rPr>
          <w:szCs w:val="26"/>
        </w:rPr>
      </w:pPr>
      <w:r>
        <w:rPr>
          <w:szCs w:val="26"/>
        </w:rPr>
        <w:tab/>
        <w:t xml:space="preserve">We also accept the Attorney General’s concession that this requires us </w:t>
      </w:r>
      <w:r w:rsidR="0049559F">
        <w:rPr>
          <w:szCs w:val="26"/>
        </w:rPr>
        <w:t xml:space="preserve">to vacate the gang enhancements. </w:t>
      </w:r>
      <w:r w:rsidR="00A95C3B">
        <w:rPr>
          <w:szCs w:val="26"/>
        </w:rPr>
        <w:t xml:space="preserve"> First, the prosecution used the current offense to prove one of the predicate offenses; the revised statute prohibits this. </w:t>
      </w:r>
      <w:r w:rsidR="00E671D0">
        <w:rPr>
          <w:szCs w:val="26"/>
        </w:rPr>
        <w:t xml:space="preserve"> </w:t>
      </w:r>
      <w:r w:rsidR="00E671D0" w:rsidRPr="009E2E5F">
        <w:rPr>
          <w:szCs w:val="26"/>
        </w:rPr>
        <w:t>(</w:t>
      </w:r>
      <w:r w:rsidR="009F6138">
        <w:t xml:space="preserve">Pen. Code, </w:t>
      </w:r>
      <w:r w:rsidR="00E671D0" w:rsidRPr="00EB72BD">
        <w:rPr>
          <w:szCs w:val="26"/>
        </w:rPr>
        <w:t>§ 186.22</w:t>
      </w:r>
      <w:r w:rsidR="00E671D0" w:rsidRPr="009E2E5F">
        <w:rPr>
          <w:szCs w:val="26"/>
        </w:rPr>
        <w:t>, subd. (e)(2).)</w:t>
      </w:r>
      <w:r w:rsidR="00E671D0">
        <w:rPr>
          <w:szCs w:val="26"/>
        </w:rPr>
        <w:t xml:space="preserve"> </w:t>
      </w:r>
      <w:r w:rsidR="00A95C3B">
        <w:rPr>
          <w:szCs w:val="26"/>
        </w:rPr>
        <w:t xml:space="preserve"> Second, the prosecution did not present evidence that any of the offenses </w:t>
      </w:r>
      <w:r w:rsidR="00A95C3B">
        <w:rPr>
          <w:szCs w:val="26"/>
        </w:rPr>
        <w:lastRenderedPageBreak/>
        <w:t>benefitted the gang in a way that was “more than reputational.”</w:t>
      </w:r>
      <w:r w:rsidR="0027341D">
        <w:rPr>
          <w:szCs w:val="26"/>
        </w:rPr>
        <w:t xml:space="preserve">  </w:t>
      </w:r>
      <w:r w:rsidR="0027341D" w:rsidRPr="0027341D">
        <w:rPr>
          <w:szCs w:val="26"/>
        </w:rPr>
        <w:t>(</w:t>
      </w:r>
      <w:r w:rsidR="009F6138">
        <w:t xml:space="preserve">Pen. Code, </w:t>
      </w:r>
      <w:r w:rsidR="0027341D" w:rsidRPr="0027341D">
        <w:rPr>
          <w:szCs w:val="26"/>
        </w:rPr>
        <w:t>§ 186.22, subd. (g)</w:t>
      </w:r>
      <w:r w:rsidR="0027341D">
        <w:rPr>
          <w:szCs w:val="26"/>
        </w:rPr>
        <w:t>.)</w:t>
      </w:r>
      <w:r w:rsidR="0010710C">
        <w:rPr>
          <w:szCs w:val="26"/>
        </w:rPr>
        <w:t xml:space="preserve">  </w:t>
      </w:r>
    </w:p>
    <w:p w14:paraId="0B900878" w14:textId="259BB500" w:rsidR="0025438A" w:rsidRDefault="004849E5" w:rsidP="0025438A">
      <w:pPr>
        <w:rPr>
          <w:szCs w:val="26"/>
        </w:rPr>
      </w:pPr>
      <w:r>
        <w:rPr>
          <w:szCs w:val="26"/>
        </w:rPr>
        <w:tab/>
      </w:r>
      <w:r w:rsidR="0010710C">
        <w:rPr>
          <w:szCs w:val="26"/>
        </w:rPr>
        <w:t>The Attorney General argues that insufficiency of the evidence is not the proper analytic framework, but he concedes the proof is not in the record.  Insofar as a finding of insufficient evidence would implicate appellants’ double jeopardy</w:t>
      </w:r>
      <w:r w:rsidR="00F93F3F">
        <w:rPr>
          <w:szCs w:val="26"/>
        </w:rPr>
        <w:t xml:space="preserve"> rights</w:t>
      </w:r>
      <w:r w:rsidR="0010710C">
        <w:rPr>
          <w:szCs w:val="26"/>
        </w:rPr>
        <w:t xml:space="preserve">, the Attorney General’s </w:t>
      </w:r>
      <w:r w:rsidR="002060CE">
        <w:rPr>
          <w:szCs w:val="26"/>
        </w:rPr>
        <w:t xml:space="preserve">point is </w:t>
      </w:r>
      <w:r w:rsidR="0010710C">
        <w:rPr>
          <w:szCs w:val="26"/>
        </w:rPr>
        <w:t>well-taken.</w:t>
      </w:r>
      <w:r w:rsidR="002060CE">
        <w:rPr>
          <w:szCs w:val="26"/>
        </w:rPr>
        <w:t xml:space="preserve">  “</w:t>
      </w:r>
      <w:r w:rsidR="002060CE">
        <w:t>Where, as here, evidence is not introduced at trial because the law at that time would have rendered it irrelevant, the remand to prove that element is proper and the reviewing court does not treat the issue as one of sufficiency of the evidence.</w:t>
      </w:r>
      <w:r w:rsidR="00EE1B98">
        <w:t xml:space="preserve"> </w:t>
      </w:r>
      <w:r w:rsidR="002060CE">
        <w:t xml:space="preserve"> [Citation.]”  (</w:t>
      </w:r>
      <w:r w:rsidR="002060CE" w:rsidRPr="002060CE">
        <w:rPr>
          <w:i/>
          <w:iCs/>
        </w:rPr>
        <w:t xml:space="preserve">People v. Figueroa </w:t>
      </w:r>
      <w:r w:rsidR="002060CE">
        <w:t>(1993) 20 Cal.App.4th 65, 72 (</w:t>
      </w:r>
      <w:r w:rsidR="002060CE" w:rsidRPr="002060CE">
        <w:rPr>
          <w:i/>
          <w:iCs/>
        </w:rPr>
        <w:t>Figuero</w:t>
      </w:r>
      <w:r w:rsidR="002060CE">
        <w:rPr>
          <w:i/>
          <w:iCs/>
        </w:rPr>
        <w:t>a</w:t>
      </w:r>
      <w:r w:rsidR="002060CE">
        <w:t>).)  In any event</w:t>
      </w:r>
      <w:r w:rsidR="00936B18">
        <w:t>,</w:t>
      </w:r>
      <w:r w:rsidR="002060CE">
        <w:t xml:space="preserve"> the proper remedy is to vacate the gang enhancements and remand the matter to allow the prosecution the opportunity for a retrial.  (</w:t>
      </w:r>
      <w:r w:rsidR="002060CE" w:rsidRPr="002060CE">
        <w:rPr>
          <w:i/>
          <w:iCs/>
        </w:rPr>
        <w:t>Lopez</w:t>
      </w:r>
      <w:r w:rsidR="002060CE">
        <w:t xml:space="preserve">, </w:t>
      </w:r>
      <w:r w:rsidR="002060CE" w:rsidRPr="002060CE">
        <w:rPr>
          <w:i/>
          <w:iCs/>
        </w:rPr>
        <w:t>supra</w:t>
      </w:r>
      <w:r w:rsidR="002060CE">
        <w:t xml:space="preserve">, 73 Cal.App.5th at </w:t>
      </w:r>
      <w:r w:rsidR="00603155">
        <w:t>p.</w:t>
      </w:r>
      <w:r w:rsidR="00F85668">
        <w:t xml:space="preserve"> 346</w:t>
      </w:r>
      <w:r w:rsidR="002060CE">
        <w:t xml:space="preserve">; </w:t>
      </w:r>
      <w:r w:rsidR="002060CE" w:rsidRPr="002060CE">
        <w:rPr>
          <w:i/>
          <w:iCs/>
        </w:rPr>
        <w:t>Figuero</w:t>
      </w:r>
      <w:r w:rsidR="002060CE">
        <w:rPr>
          <w:i/>
          <w:iCs/>
        </w:rPr>
        <w:t>a</w:t>
      </w:r>
      <w:r w:rsidR="002060CE">
        <w:t>, at p. 71.)</w:t>
      </w:r>
      <w:r w:rsidR="00A76F5C">
        <w:rPr>
          <w:rStyle w:val="FootnoteReference"/>
        </w:rPr>
        <w:footnoteReference w:id="4"/>
      </w:r>
    </w:p>
    <w:p w14:paraId="3D5C6FAF" w14:textId="4D1A59DD" w:rsidR="00166A8C" w:rsidRPr="006C004F" w:rsidRDefault="006C004F" w:rsidP="006C004F">
      <w:pPr>
        <w:pStyle w:val="ListParagraph"/>
        <w:numPr>
          <w:ilvl w:val="0"/>
          <w:numId w:val="16"/>
        </w:numPr>
        <w:rPr>
          <w:b/>
          <w:bCs/>
          <w:i/>
          <w:iCs/>
          <w:szCs w:val="26"/>
        </w:rPr>
      </w:pPr>
      <w:r w:rsidRPr="006C004F">
        <w:rPr>
          <w:b/>
          <w:bCs/>
          <w:i/>
          <w:iCs/>
          <w:szCs w:val="26"/>
        </w:rPr>
        <w:t>Penal Code Section 1109 Appl</w:t>
      </w:r>
      <w:r w:rsidR="00E81B22">
        <w:rPr>
          <w:b/>
          <w:bCs/>
          <w:i/>
          <w:iCs/>
          <w:szCs w:val="26"/>
        </w:rPr>
        <w:t>ies</w:t>
      </w:r>
      <w:r w:rsidRPr="006C004F">
        <w:rPr>
          <w:b/>
          <w:bCs/>
          <w:i/>
          <w:iCs/>
          <w:szCs w:val="26"/>
        </w:rPr>
        <w:t xml:space="preserve"> Retroactively</w:t>
      </w:r>
    </w:p>
    <w:p w14:paraId="4373CC22" w14:textId="4EB69037" w:rsidR="00F635C8" w:rsidRDefault="006C004F" w:rsidP="00A1711A">
      <w:pPr>
        <w:rPr>
          <w:szCs w:val="26"/>
        </w:rPr>
      </w:pPr>
      <w:r>
        <w:rPr>
          <w:szCs w:val="26"/>
        </w:rPr>
        <w:tab/>
        <w:t xml:space="preserve">Appellants further argue they are entitled to the retroactive application of the newly enacted </w:t>
      </w:r>
      <w:r w:rsidR="009F6138">
        <w:rPr>
          <w:szCs w:val="26"/>
        </w:rPr>
        <w:t xml:space="preserve">Penal Code </w:t>
      </w:r>
      <w:r>
        <w:rPr>
          <w:szCs w:val="26"/>
        </w:rPr>
        <w:t>section 1109.</w:t>
      </w:r>
      <w:r w:rsidR="0013166A">
        <w:rPr>
          <w:szCs w:val="26"/>
        </w:rPr>
        <w:t xml:space="preserve"> </w:t>
      </w:r>
      <w:r w:rsidR="00C8287D">
        <w:rPr>
          <w:szCs w:val="26"/>
        </w:rPr>
        <w:t xml:space="preserve"> </w:t>
      </w:r>
      <w:r w:rsidR="00A34C66">
        <w:rPr>
          <w:szCs w:val="26"/>
        </w:rPr>
        <w:t xml:space="preserve">They argue </w:t>
      </w:r>
      <w:r w:rsidR="009F6138">
        <w:rPr>
          <w:szCs w:val="26"/>
        </w:rPr>
        <w:t xml:space="preserve">this </w:t>
      </w:r>
      <w:r w:rsidR="009827C5">
        <w:rPr>
          <w:szCs w:val="26"/>
        </w:rPr>
        <w:t>requires us to vacate their convictions on counts 1 and 2 and remand for a new trial on those counts</w:t>
      </w:r>
      <w:r w:rsidR="00E718E5">
        <w:rPr>
          <w:szCs w:val="26"/>
        </w:rPr>
        <w:t>, with a bifurcated trial on the gang enhancements if they request it</w:t>
      </w:r>
      <w:r w:rsidR="009827C5">
        <w:rPr>
          <w:szCs w:val="26"/>
        </w:rPr>
        <w:t>.</w:t>
      </w:r>
      <w:r w:rsidR="00C24EBC">
        <w:rPr>
          <w:szCs w:val="26"/>
        </w:rPr>
        <w:t xml:space="preserve">  The Attorney General contends </w:t>
      </w:r>
      <w:r w:rsidR="009F6138">
        <w:rPr>
          <w:szCs w:val="26"/>
        </w:rPr>
        <w:t xml:space="preserve">Penal Code </w:t>
      </w:r>
      <w:r w:rsidR="00C24EBC">
        <w:rPr>
          <w:szCs w:val="26"/>
        </w:rPr>
        <w:t>section 1109 does not apply retroactively, such that appellants’ convictions on the robbery counts must remain intact.</w:t>
      </w:r>
    </w:p>
    <w:p w14:paraId="2932FD91" w14:textId="3BC239D9" w:rsidR="00C95BC0" w:rsidRDefault="00F635C8" w:rsidP="007A457A">
      <w:pPr>
        <w:rPr>
          <w:szCs w:val="26"/>
        </w:rPr>
      </w:pPr>
      <w:r>
        <w:rPr>
          <w:szCs w:val="26"/>
        </w:rPr>
        <w:tab/>
      </w:r>
      <w:r w:rsidR="00282CE4">
        <w:rPr>
          <w:szCs w:val="26"/>
        </w:rPr>
        <w:t xml:space="preserve">Appellants </w:t>
      </w:r>
      <w:r w:rsidR="00CC314D">
        <w:rPr>
          <w:szCs w:val="26"/>
        </w:rPr>
        <w:t xml:space="preserve">contend </w:t>
      </w:r>
      <w:r w:rsidR="009F6138">
        <w:rPr>
          <w:szCs w:val="26"/>
        </w:rPr>
        <w:t xml:space="preserve">Penal Code </w:t>
      </w:r>
      <w:r w:rsidR="00CC314D">
        <w:rPr>
          <w:szCs w:val="26"/>
        </w:rPr>
        <w:t xml:space="preserve">section 1109 applies retroactively under </w:t>
      </w:r>
      <w:r w:rsidR="00CC314D" w:rsidRPr="00CC314D">
        <w:rPr>
          <w:i/>
          <w:iCs/>
          <w:szCs w:val="26"/>
        </w:rPr>
        <w:t>In re Estrada</w:t>
      </w:r>
      <w:r w:rsidR="00CC314D" w:rsidRPr="00CC314D">
        <w:rPr>
          <w:szCs w:val="26"/>
        </w:rPr>
        <w:t xml:space="preserve"> (1965) 63 Cal.2d 740 (</w:t>
      </w:r>
      <w:r w:rsidR="00CC314D" w:rsidRPr="00CC314D">
        <w:rPr>
          <w:i/>
          <w:iCs/>
          <w:szCs w:val="26"/>
        </w:rPr>
        <w:t>Estrada</w:t>
      </w:r>
      <w:r w:rsidR="00CC314D" w:rsidRPr="00CC314D">
        <w:rPr>
          <w:szCs w:val="26"/>
        </w:rPr>
        <w:t>).</w:t>
      </w:r>
      <w:r w:rsidR="009E0A20">
        <w:rPr>
          <w:szCs w:val="26"/>
        </w:rPr>
        <w:t xml:space="preserve"> </w:t>
      </w:r>
      <w:r w:rsidR="00A1711A">
        <w:rPr>
          <w:szCs w:val="26"/>
        </w:rPr>
        <w:t xml:space="preserve"> Under </w:t>
      </w:r>
      <w:r w:rsidR="00A1711A" w:rsidRPr="00A1711A">
        <w:rPr>
          <w:i/>
          <w:iCs/>
          <w:szCs w:val="26"/>
        </w:rPr>
        <w:t>Estrada</w:t>
      </w:r>
      <w:r w:rsidR="00A1711A">
        <w:rPr>
          <w:szCs w:val="26"/>
        </w:rPr>
        <w:t xml:space="preserve">, the question is whether the Legislature intended for the amendment to apply retroactively </w:t>
      </w:r>
      <w:r w:rsidR="0047422A">
        <w:rPr>
          <w:szCs w:val="26"/>
        </w:rPr>
        <w:t xml:space="preserve">even without </w:t>
      </w:r>
      <w:r w:rsidR="00A1711A">
        <w:rPr>
          <w:szCs w:val="26"/>
        </w:rPr>
        <w:t xml:space="preserve">an express statement to that effect. </w:t>
      </w:r>
      <w:r w:rsidR="009E0A20">
        <w:rPr>
          <w:szCs w:val="26"/>
        </w:rPr>
        <w:t xml:space="preserve"> </w:t>
      </w:r>
      <w:r w:rsidR="009E0A20" w:rsidRPr="009E0A20">
        <w:rPr>
          <w:szCs w:val="26"/>
        </w:rPr>
        <w:t xml:space="preserve">“When the Legislature amends a statute so as to lessen the punishment[,] it has obviously expressly determined that its former penalty was too severe and that a lighter punishment is proper as punishment for the commission of the </w:t>
      </w:r>
      <w:r w:rsidR="009E0A20" w:rsidRPr="009E0A20">
        <w:rPr>
          <w:szCs w:val="26"/>
        </w:rPr>
        <w:lastRenderedPageBreak/>
        <w:t xml:space="preserve">prohibited act.” </w:t>
      </w:r>
      <w:r w:rsidR="009E0A20">
        <w:rPr>
          <w:szCs w:val="26"/>
        </w:rPr>
        <w:t xml:space="preserve"> </w:t>
      </w:r>
      <w:r w:rsidR="009E0A20" w:rsidRPr="009E0A20">
        <w:rPr>
          <w:szCs w:val="26"/>
        </w:rPr>
        <w:t>(</w:t>
      </w:r>
      <w:r w:rsidR="009E0A20" w:rsidRPr="009E0A20">
        <w:rPr>
          <w:i/>
          <w:iCs/>
          <w:szCs w:val="26"/>
        </w:rPr>
        <w:t>Id.</w:t>
      </w:r>
      <w:r w:rsidR="009E0A20" w:rsidRPr="009E0A20">
        <w:rPr>
          <w:szCs w:val="26"/>
        </w:rPr>
        <w:t xml:space="preserve"> at p. 745</w:t>
      </w:r>
      <w:r w:rsidR="009E0A20">
        <w:rPr>
          <w:szCs w:val="26"/>
        </w:rPr>
        <w:t>.)</w:t>
      </w:r>
      <w:r w:rsidR="00A1711A">
        <w:rPr>
          <w:szCs w:val="26"/>
        </w:rPr>
        <w:t xml:space="preserve">  </w:t>
      </w:r>
      <w:r w:rsidR="00A1711A" w:rsidRPr="00A1711A">
        <w:rPr>
          <w:i/>
          <w:iCs/>
          <w:szCs w:val="26"/>
        </w:rPr>
        <w:t>Estrada</w:t>
      </w:r>
      <w:r w:rsidR="00A1711A">
        <w:rPr>
          <w:szCs w:val="26"/>
        </w:rPr>
        <w:t xml:space="preserve"> “</w:t>
      </w:r>
      <w:r w:rsidR="00A1711A" w:rsidRPr="00A1711A">
        <w:rPr>
          <w:szCs w:val="26"/>
        </w:rPr>
        <w:t>stand</w:t>
      </w:r>
      <w:r w:rsidR="0056443B">
        <w:rPr>
          <w:szCs w:val="26"/>
        </w:rPr>
        <w:t>[s]</w:t>
      </w:r>
      <w:r w:rsidR="00A1711A" w:rsidRPr="00A1711A">
        <w:rPr>
          <w:szCs w:val="26"/>
        </w:rPr>
        <w:t xml:space="preserve"> for the proposition that (i) in the absence of a contrary indication of legislative intent, (ii)</w:t>
      </w:r>
      <w:r w:rsidR="00A1711A">
        <w:rPr>
          <w:szCs w:val="26"/>
        </w:rPr>
        <w:t> </w:t>
      </w:r>
      <w:r w:rsidR="00A1711A" w:rsidRPr="00A1711A">
        <w:rPr>
          <w:szCs w:val="26"/>
        </w:rPr>
        <w:t>legislation that ameliorates punishment (iii) applies to all cases that are not yet final as of the legislation</w:t>
      </w:r>
      <w:r w:rsidR="00A1711A">
        <w:rPr>
          <w:szCs w:val="26"/>
        </w:rPr>
        <w:t>’</w:t>
      </w:r>
      <w:r w:rsidR="00A1711A" w:rsidRPr="00A1711A">
        <w:rPr>
          <w:szCs w:val="26"/>
        </w:rPr>
        <w:t>s effective date.</w:t>
      </w:r>
      <w:r w:rsidR="00A1711A">
        <w:rPr>
          <w:szCs w:val="26"/>
        </w:rPr>
        <w:t>”  (</w:t>
      </w:r>
      <w:r w:rsidR="00A1711A" w:rsidRPr="00A1711A">
        <w:rPr>
          <w:i/>
          <w:iCs/>
          <w:szCs w:val="26"/>
        </w:rPr>
        <w:t>People v. Esquivel</w:t>
      </w:r>
      <w:r w:rsidR="00A1711A" w:rsidRPr="00A1711A">
        <w:rPr>
          <w:szCs w:val="26"/>
        </w:rPr>
        <w:t xml:space="preserve"> (2021) 11 Cal.5th 671, 675</w:t>
      </w:r>
      <w:r w:rsidR="00A1711A">
        <w:rPr>
          <w:szCs w:val="26"/>
        </w:rPr>
        <w:t>.)</w:t>
      </w:r>
    </w:p>
    <w:p w14:paraId="69DAACD6" w14:textId="277FD61C" w:rsidR="008A75D6" w:rsidRDefault="000D2917" w:rsidP="007A457A">
      <w:r>
        <w:rPr>
          <w:szCs w:val="26"/>
        </w:rPr>
        <w:tab/>
      </w:r>
      <w:r w:rsidR="00445F2B">
        <w:rPr>
          <w:szCs w:val="26"/>
        </w:rPr>
        <w:t xml:space="preserve">In its earliest applications, the </w:t>
      </w:r>
      <w:r w:rsidR="00445F2B" w:rsidRPr="00445F2B">
        <w:rPr>
          <w:i/>
          <w:iCs/>
          <w:szCs w:val="26"/>
        </w:rPr>
        <w:t>Estrada</w:t>
      </w:r>
      <w:r w:rsidR="00445F2B">
        <w:rPr>
          <w:szCs w:val="26"/>
        </w:rPr>
        <w:t xml:space="preserve"> rule applied to </w:t>
      </w:r>
      <w:r w:rsidR="008A75D6">
        <w:rPr>
          <w:szCs w:val="26"/>
        </w:rPr>
        <w:t xml:space="preserve">new laws </w:t>
      </w:r>
      <w:r w:rsidR="00445F2B">
        <w:rPr>
          <w:szCs w:val="26"/>
        </w:rPr>
        <w:t xml:space="preserve">that expressly reduced the punishment for an offense or eliminated criminal penalties for certain conduct.  </w:t>
      </w:r>
      <w:r w:rsidR="00445F2B" w:rsidRPr="00445F2B">
        <w:rPr>
          <w:i/>
          <w:iCs/>
          <w:szCs w:val="26"/>
        </w:rPr>
        <w:t>Estrada</w:t>
      </w:r>
      <w:r w:rsidR="00445F2B">
        <w:rPr>
          <w:szCs w:val="26"/>
        </w:rPr>
        <w:t xml:space="preserve">, for example, </w:t>
      </w:r>
      <w:r w:rsidR="00D72EB6">
        <w:rPr>
          <w:szCs w:val="26"/>
        </w:rPr>
        <w:t>gave retroactive application to a</w:t>
      </w:r>
      <w:r w:rsidR="00445F2B">
        <w:rPr>
          <w:szCs w:val="26"/>
        </w:rPr>
        <w:t xml:space="preserve"> statutory amendment that reduced the term of imprisonment and time to parole eligibility for </w:t>
      </w:r>
      <w:r w:rsidR="006727D6">
        <w:rPr>
          <w:szCs w:val="26"/>
        </w:rPr>
        <w:t xml:space="preserve">a nonviolent attempt to </w:t>
      </w:r>
      <w:r w:rsidR="00445F2B">
        <w:rPr>
          <w:szCs w:val="26"/>
        </w:rPr>
        <w:t>escape</w:t>
      </w:r>
      <w:r w:rsidR="006727D6">
        <w:rPr>
          <w:szCs w:val="26"/>
        </w:rPr>
        <w:t xml:space="preserve"> from prison</w:t>
      </w:r>
      <w:r w:rsidR="00445F2B">
        <w:rPr>
          <w:szCs w:val="26"/>
        </w:rPr>
        <w:t>.</w:t>
      </w:r>
      <w:r w:rsidR="006727D6">
        <w:rPr>
          <w:szCs w:val="26"/>
        </w:rPr>
        <w:t xml:space="preserve">  </w:t>
      </w:r>
      <w:r w:rsidR="006727D6">
        <w:t>(</w:t>
      </w:r>
      <w:r w:rsidR="006727D6" w:rsidRPr="006727D6">
        <w:rPr>
          <w:i/>
          <w:iCs/>
        </w:rPr>
        <w:t>Estrada</w:t>
      </w:r>
      <w:r w:rsidR="006727D6">
        <w:t xml:space="preserve">, </w:t>
      </w:r>
      <w:r w:rsidR="006727D6" w:rsidRPr="006727D6">
        <w:rPr>
          <w:i/>
          <w:iCs/>
        </w:rPr>
        <w:t>supra</w:t>
      </w:r>
      <w:r w:rsidR="006727D6">
        <w:t>, 63 Cal.2d at p. 743.)</w:t>
      </w:r>
      <w:r w:rsidR="00D72EB6">
        <w:t xml:space="preserve">  The California Supreme Court then applied the </w:t>
      </w:r>
      <w:r w:rsidR="00D72EB6" w:rsidRPr="00D72EB6">
        <w:rPr>
          <w:i/>
          <w:iCs/>
        </w:rPr>
        <w:t>Estrada</w:t>
      </w:r>
      <w:r w:rsidR="00D72EB6">
        <w:t xml:space="preserve"> rule to a statutory amendment that </w:t>
      </w:r>
      <w:r w:rsidR="00382E7E">
        <w:t xml:space="preserve">merely </w:t>
      </w:r>
      <w:r w:rsidR="00D72EB6">
        <w:t xml:space="preserve">gave trial courts the </w:t>
      </w:r>
      <w:r w:rsidR="00D72EB6" w:rsidRPr="00382E7E">
        <w:rPr>
          <w:i/>
          <w:iCs/>
        </w:rPr>
        <w:t>discretion</w:t>
      </w:r>
      <w:r w:rsidR="00D72EB6">
        <w:t xml:space="preserve"> to reduce an offense to a misdemeanor.  (</w:t>
      </w:r>
      <w:r w:rsidR="00D72EB6" w:rsidRPr="00D72EB6">
        <w:rPr>
          <w:i/>
          <w:iCs/>
        </w:rPr>
        <w:t>People v. Francis</w:t>
      </w:r>
      <w:r w:rsidR="00D72EB6">
        <w:t xml:space="preserve"> (1969) 71 Cal.2d 66</w:t>
      </w:r>
      <w:r w:rsidR="00382E7E">
        <w:t xml:space="preserve">.)  </w:t>
      </w:r>
      <w:r w:rsidR="008A75D6" w:rsidRPr="00AF1198">
        <w:t xml:space="preserve">The </w:t>
      </w:r>
      <w:r w:rsidR="00B1743D" w:rsidRPr="00AF1198">
        <w:t xml:space="preserve">Supreme </w:t>
      </w:r>
      <w:r w:rsidR="008A75D6" w:rsidRPr="00AF1198">
        <w:t>Court</w:t>
      </w:r>
      <w:r w:rsidR="008A75D6">
        <w:t xml:space="preserve"> then applied </w:t>
      </w:r>
      <w:r w:rsidR="008A75D6" w:rsidRPr="008A75D6">
        <w:rPr>
          <w:i/>
          <w:iCs/>
        </w:rPr>
        <w:t>Estrada</w:t>
      </w:r>
      <w:r w:rsidR="008A75D6">
        <w:t xml:space="preserve"> to a new law that created an affirmative defense to the transportation of marijuana.  (</w:t>
      </w:r>
      <w:r w:rsidR="008A75D6" w:rsidRPr="008A75D6">
        <w:rPr>
          <w:i/>
          <w:iCs/>
        </w:rPr>
        <w:t>People v. Wright</w:t>
      </w:r>
      <w:r w:rsidR="008A75D6">
        <w:t xml:space="preserve"> (2006) 40 Cal.4th 81.)  These </w:t>
      </w:r>
      <w:r w:rsidR="00080665">
        <w:t xml:space="preserve">later </w:t>
      </w:r>
      <w:r w:rsidR="008A75D6">
        <w:t xml:space="preserve">cases showed that the </w:t>
      </w:r>
      <w:r w:rsidR="008A75D6" w:rsidRPr="008A75D6">
        <w:rPr>
          <w:i/>
          <w:iCs/>
        </w:rPr>
        <w:t>Estrada</w:t>
      </w:r>
      <w:r w:rsidR="008A75D6">
        <w:t xml:space="preserve"> rule may apply to a change in the law even where the defendants in question are not expressly given a lesser punishment as a result of retroactive application.</w:t>
      </w:r>
    </w:p>
    <w:p w14:paraId="0280ED77" w14:textId="13374A7C" w:rsidR="000D2917" w:rsidRDefault="008A75D6" w:rsidP="007A457A">
      <w:r>
        <w:tab/>
      </w:r>
      <w:r w:rsidR="005040DC">
        <w:t>More recently</w:t>
      </w:r>
      <w:r w:rsidR="00D72C8E">
        <w:rPr>
          <w:szCs w:val="26"/>
        </w:rPr>
        <w:t xml:space="preserve">, the California Supreme Court has </w:t>
      </w:r>
      <w:r>
        <w:rPr>
          <w:szCs w:val="26"/>
        </w:rPr>
        <w:t>clarified</w:t>
      </w:r>
      <w:r w:rsidR="00D72C8E">
        <w:rPr>
          <w:szCs w:val="26"/>
        </w:rPr>
        <w:t xml:space="preserve"> the scope of the </w:t>
      </w:r>
      <w:r w:rsidR="00D72C8E" w:rsidRPr="00D72C8E">
        <w:rPr>
          <w:i/>
          <w:iCs/>
          <w:szCs w:val="26"/>
        </w:rPr>
        <w:t>Estrada</w:t>
      </w:r>
      <w:r w:rsidR="00D72C8E">
        <w:rPr>
          <w:szCs w:val="26"/>
        </w:rPr>
        <w:t xml:space="preserve"> rule, </w:t>
      </w:r>
      <w:r w:rsidR="00C72C17">
        <w:rPr>
          <w:szCs w:val="26"/>
        </w:rPr>
        <w:t xml:space="preserve">expressly </w:t>
      </w:r>
      <w:r w:rsidR="00D72C8E">
        <w:rPr>
          <w:szCs w:val="26"/>
        </w:rPr>
        <w:t xml:space="preserve">holding that a </w:t>
      </w:r>
      <w:r>
        <w:rPr>
          <w:szCs w:val="26"/>
        </w:rPr>
        <w:t xml:space="preserve">new </w:t>
      </w:r>
      <w:r w:rsidR="000D2917">
        <w:rPr>
          <w:szCs w:val="26"/>
        </w:rPr>
        <w:t xml:space="preserve">statute may </w:t>
      </w:r>
      <w:r w:rsidR="00D72C8E">
        <w:rPr>
          <w:szCs w:val="26"/>
        </w:rPr>
        <w:t>apply</w:t>
      </w:r>
      <w:r w:rsidR="000D2917">
        <w:rPr>
          <w:szCs w:val="26"/>
        </w:rPr>
        <w:t xml:space="preserve"> retroactive</w:t>
      </w:r>
      <w:r w:rsidR="00D72C8E">
        <w:rPr>
          <w:szCs w:val="26"/>
        </w:rPr>
        <w:t>ly</w:t>
      </w:r>
      <w:r w:rsidR="000D2917">
        <w:rPr>
          <w:szCs w:val="26"/>
        </w:rPr>
        <w:t xml:space="preserve"> even if </w:t>
      </w:r>
      <w:r w:rsidR="00902F55">
        <w:rPr>
          <w:szCs w:val="26"/>
        </w:rPr>
        <w:t>it</w:t>
      </w:r>
      <w:r w:rsidR="00B67B7D">
        <w:rPr>
          <w:szCs w:val="26"/>
        </w:rPr>
        <w:t xml:space="preserve"> concerns purely procedural changes that</w:t>
      </w:r>
      <w:r w:rsidR="00902F55">
        <w:rPr>
          <w:szCs w:val="26"/>
        </w:rPr>
        <w:t xml:space="preserve"> do not </w:t>
      </w:r>
      <w:r>
        <w:rPr>
          <w:szCs w:val="26"/>
        </w:rPr>
        <w:t xml:space="preserve">directly </w:t>
      </w:r>
      <w:r w:rsidR="00902F55">
        <w:rPr>
          <w:szCs w:val="26"/>
        </w:rPr>
        <w:t>reduce the punishment for a crime.  (</w:t>
      </w:r>
      <w:r w:rsidR="00902F55" w:rsidRPr="00902F55">
        <w:rPr>
          <w:i/>
          <w:iCs/>
        </w:rPr>
        <w:t>People v. Superior Court</w:t>
      </w:r>
      <w:r w:rsidR="00902F55">
        <w:t xml:space="preserve"> (</w:t>
      </w:r>
      <w:r w:rsidR="00902F55" w:rsidRPr="00902F55">
        <w:rPr>
          <w:i/>
          <w:iCs/>
        </w:rPr>
        <w:t>Lara</w:t>
      </w:r>
      <w:r w:rsidR="00902F55">
        <w:t>) (2018) 4 Cal.5th 299, 303</w:t>
      </w:r>
      <w:r w:rsidR="00E63E92">
        <w:t xml:space="preserve"> [Proposition 57 applied retroactively even though it did not reduce the punishment for a crime</w:t>
      </w:r>
      <w:r w:rsidR="00E63E92" w:rsidRPr="00E63E92">
        <w:t>]</w:t>
      </w:r>
      <w:r w:rsidR="00902F55">
        <w:t>.)</w:t>
      </w:r>
      <w:r w:rsidR="00B7207A">
        <w:t xml:space="preserve">  In </w:t>
      </w:r>
      <w:r w:rsidR="00B7207A" w:rsidRPr="00B7207A">
        <w:rPr>
          <w:i/>
          <w:iCs/>
        </w:rPr>
        <w:t>Lara</w:t>
      </w:r>
      <w:r w:rsidR="00B7207A">
        <w:t xml:space="preserve">, the Supreme Court considered the retroactivity of Proposition 57—a purely procedural change in the law that prohibited prosecutors from charging juveniles with crimes directly in adult court.  </w:t>
      </w:r>
      <w:r w:rsidR="00B7207A" w:rsidRPr="00AF1198">
        <w:t>The</w:t>
      </w:r>
      <w:r w:rsidR="00B1743D" w:rsidRPr="00AF1198">
        <w:t xml:space="preserve"> Supreme</w:t>
      </w:r>
      <w:r w:rsidR="00B7207A" w:rsidRPr="00AF1198">
        <w:t xml:space="preserve"> </w:t>
      </w:r>
      <w:r w:rsidR="00B1743D" w:rsidRPr="00AF1198">
        <w:t>C</w:t>
      </w:r>
      <w:r w:rsidR="00B7207A" w:rsidRPr="00AF1198">
        <w:t>ourt</w:t>
      </w:r>
      <w:r w:rsidR="00B7207A">
        <w:t xml:space="preserve"> recognized that the rationale of </w:t>
      </w:r>
      <w:r w:rsidR="00B7207A" w:rsidRPr="00B7207A">
        <w:rPr>
          <w:i/>
          <w:iCs/>
        </w:rPr>
        <w:t>Estrada</w:t>
      </w:r>
      <w:r w:rsidR="00B7207A">
        <w:t xml:space="preserve"> applied because the </w:t>
      </w:r>
      <w:r>
        <w:t xml:space="preserve">mere </w:t>
      </w:r>
      <w:r w:rsidR="00B7207A">
        <w:t xml:space="preserve">possibility of being treated as a juvenile in juvenile court could result in </w:t>
      </w:r>
      <w:r w:rsidR="009F6138">
        <w:t xml:space="preserve">more </w:t>
      </w:r>
      <w:r w:rsidR="00B7207A">
        <w:t xml:space="preserve">lenient treatment.  The </w:t>
      </w:r>
      <w:r w:rsidR="00F577AC">
        <w:t>Supreme C</w:t>
      </w:r>
      <w:r w:rsidR="00B7207A">
        <w:t xml:space="preserve">ourt thereby held Proposition 57 was </w:t>
      </w:r>
      <w:r w:rsidR="00B7207A">
        <w:lastRenderedPageBreak/>
        <w:t>retroactive because it “</w:t>
      </w:r>
      <w:r w:rsidR="00B7207A" w:rsidRPr="00934505">
        <w:t>reduce</w:t>
      </w:r>
      <w:r w:rsidR="00B7207A">
        <w:t>[d]</w:t>
      </w:r>
      <w:r w:rsidR="00B7207A" w:rsidRPr="00934505">
        <w:t xml:space="preserve"> the possible punishment for a class of persons, namely juveniles.</w:t>
      </w:r>
      <w:r w:rsidR="00B7207A">
        <w:t>”  (</w:t>
      </w:r>
      <w:r w:rsidR="00B7207A" w:rsidRPr="00B7207A">
        <w:rPr>
          <w:i/>
          <w:iCs/>
        </w:rPr>
        <w:t>Ibid.</w:t>
      </w:r>
      <w:r w:rsidR="00B7207A">
        <w:t>)</w:t>
      </w:r>
    </w:p>
    <w:p w14:paraId="0FFFD4A5" w14:textId="6CC775AE" w:rsidR="00F274ED" w:rsidRDefault="00B7207A" w:rsidP="007A457A">
      <w:r>
        <w:tab/>
      </w:r>
      <w:r w:rsidR="00475D6A">
        <w:t xml:space="preserve">The </w:t>
      </w:r>
      <w:r w:rsidR="00B1743D">
        <w:t>Supreme C</w:t>
      </w:r>
      <w:r w:rsidR="00475D6A">
        <w:t xml:space="preserve">ourt </w:t>
      </w:r>
      <w:r w:rsidR="00DF73A9">
        <w:t xml:space="preserve">then </w:t>
      </w:r>
      <w:r w:rsidR="00475D6A">
        <w:t>applied th</w:t>
      </w:r>
      <w:r w:rsidR="00DF73A9">
        <w:t>is holding</w:t>
      </w:r>
      <w:r w:rsidR="00475D6A">
        <w:t xml:space="preserve"> </w:t>
      </w:r>
      <w:r>
        <w:t xml:space="preserve">in </w:t>
      </w:r>
      <w:r w:rsidR="00475D6A" w:rsidRPr="00475D6A">
        <w:rPr>
          <w:i/>
          <w:iCs/>
        </w:rPr>
        <w:t>People v. Frahs</w:t>
      </w:r>
      <w:r w:rsidR="00475D6A">
        <w:t xml:space="preserve"> (2020) 9 Cal.5th 618 (</w:t>
      </w:r>
      <w:r w:rsidR="00475D6A" w:rsidRPr="00475D6A">
        <w:rPr>
          <w:i/>
          <w:iCs/>
        </w:rPr>
        <w:t>Frahs</w:t>
      </w:r>
      <w:r w:rsidR="00475D6A">
        <w:t>).</w:t>
      </w:r>
      <w:r w:rsidR="00527B1F">
        <w:t xml:space="preserve">  In </w:t>
      </w:r>
      <w:r w:rsidR="00527B1F" w:rsidRPr="00527B1F">
        <w:rPr>
          <w:i/>
          <w:iCs/>
        </w:rPr>
        <w:t>Frahs</w:t>
      </w:r>
      <w:r w:rsidR="00527B1F">
        <w:t xml:space="preserve">, the </w:t>
      </w:r>
      <w:r w:rsidR="007D6A04">
        <w:t>Supreme C</w:t>
      </w:r>
      <w:r w:rsidR="00527B1F">
        <w:t xml:space="preserve">ourt considered the retroactivity of </w:t>
      </w:r>
      <w:r w:rsidR="00BE5CDE">
        <w:t>a new law that created a pretrial diversion program for certain defendants with mental health disorders.</w:t>
      </w:r>
      <w:r w:rsidR="00DF73A9">
        <w:t xml:space="preserve">  The </w:t>
      </w:r>
      <w:r w:rsidR="00640A0B">
        <w:t>Supreme C</w:t>
      </w:r>
      <w:r w:rsidR="00DF73A9">
        <w:t>ourt concluded the change was retroactive because the new law “</w:t>
      </w:r>
      <w:r w:rsidR="00DF73A9" w:rsidRPr="00DF73A9">
        <w:t>by design and function provides a possible ameliorating benefit for a class of persons — namely, certain defendants with mental disorder</w:t>
      </w:r>
      <w:r w:rsidR="00DF73A9">
        <w:t>s . . . .”  (</w:t>
      </w:r>
      <w:r w:rsidR="00DF73A9" w:rsidRPr="00DF73A9">
        <w:rPr>
          <w:i/>
          <w:iCs/>
        </w:rPr>
        <w:t>Id.</w:t>
      </w:r>
      <w:r w:rsidR="00DF73A9">
        <w:t xml:space="preserve"> at p. 624.)  </w:t>
      </w:r>
      <w:r w:rsidR="00DF73A9" w:rsidRPr="00DF73A9">
        <w:rPr>
          <w:i/>
          <w:iCs/>
        </w:rPr>
        <w:t>Frahs</w:t>
      </w:r>
      <w:r w:rsidR="00DF73A9">
        <w:t xml:space="preserve"> thereby reiterated the principle that a statute that</w:t>
      </w:r>
      <w:r w:rsidR="007E4A58">
        <w:t xml:space="preserve"> </w:t>
      </w:r>
      <w:r w:rsidR="00DF73A9">
        <w:t xml:space="preserve">provides a </w:t>
      </w:r>
      <w:r w:rsidR="007E4A58" w:rsidRPr="00BA24EB">
        <w:t>“</w:t>
      </w:r>
      <w:r w:rsidR="00BA24EB" w:rsidRPr="00BA24EB">
        <w:t>possible benefit to a class of criminal defendants”</w:t>
      </w:r>
      <w:r w:rsidR="00BA24EB">
        <w:t xml:space="preserve"> </w:t>
      </w:r>
      <w:r w:rsidR="00DF73A9">
        <w:t>should be applied retroactively</w:t>
      </w:r>
      <w:r w:rsidR="00E15DEC">
        <w:t xml:space="preserve"> </w:t>
      </w:r>
      <w:r w:rsidR="00153E28">
        <w:t>in the absence of</w:t>
      </w:r>
      <w:r w:rsidR="00847215">
        <w:t xml:space="preserve"> </w:t>
      </w:r>
      <w:r w:rsidR="00E15DEC">
        <w:t>a</w:t>
      </w:r>
      <w:r w:rsidR="00BA24EB">
        <w:t>n express savings clause limiting the statute to prospective-only application</w:t>
      </w:r>
      <w:r w:rsidR="00DF73A9">
        <w:t>.</w:t>
      </w:r>
      <w:r w:rsidR="00BA24EB">
        <w:t xml:space="preserve">  (</w:t>
      </w:r>
      <w:r w:rsidR="00BA24EB" w:rsidRPr="00BA24EB">
        <w:rPr>
          <w:i/>
          <w:iCs/>
        </w:rPr>
        <w:t>Id.</w:t>
      </w:r>
      <w:r w:rsidR="00BA24EB">
        <w:t xml:space="preserve"> at p. 631.)</w:t>
      </w:r>
      <w:r w:rsidR="00F274ED">
        <w:t xml:space="preserve">  </w:t>
      </w:r>
    </w:p>
    <w:p w14:paraId="642B7255" w14:textId="17E8941D" w:rsidR="003D7789" w:rsidRDefault="00F274ED" w:rsidP="007A457A">
      <w:r>
        <w:tab/>
        <w:t xml:space="preserve">Here, as in </w:t>
      </w:r>
      <w:r w:rsidRPr="00F274ED">
        <w:rPr>
          <w:i/>
          <w:iCs/>
        </w:rPr>
        <w:t>Frahs</w:t>
      </w:r>
      <w:r>
        <w:t xml:space="preserve">, </w:t>
      </w:r>
      <w:r w:rsidR="004775C5">
        <w:t xml:space="preserve">the Legislature made no statements in Assembly Bill 333 indicating prospective-only application.  The question then is whether the change in law </w:t>
      </w:r>
      <w:r w:rsidR="004775C5" w:rsidRPr="00934505">
        <w:t>reduce</w:t>
      </w:r>
      <w:r w:rsidR="00D80D37">
        <w:t>s</w:t>
      </w:r>
      <w:r w:rsidR="004775C5" w:rsidRPr="00934505">
        <w:t xml:space="preserve"> the possible punishment for a class of persons</w:t>
      </w:r>
      <w:r w:rsidR="004775C5">
        <w:t xml:space="preserve"> or provide</w:t>
      </w:r>
      <w:r w:rsidR="00D80D37">
        <w:t>s</w:t>
      </w:r>
      <w:r w:rsidR="004775C5">
        <w:t xml:space="preserve"> a possible </w:t>
      </w:r>
      <w:r w:rsidR="00760FD7">
        <w:t xml:space="preserve">ameliorating </w:t>
      </w:r>
      <w:r w:rsidR="004775C5">
        <w:t>benefit to a class of criminal defendants.</w:t>
      </w:r>
      <w:r w:rsidR="008A75D6">
        <w:t xml:space="preserve">  As explained below, Assembly Bill 333 meets these criteria for retroactive application.</w:t>
      </w:r>
    </w:p>
    <w:p w14:paraId="346AA0AD" w14:textId="25321E3D" w:rsidR="00E92E41" w:rsidRDefault="004775C5" w:rsidP="00D9787C">
      <w:pPr>
        <w:rPr>
          <w:szCs w:val="26"/>
        </w:rPr>
      </w:pPr>
      <w:r>
        <w:tab/>
      </w:r>
      <w:r w:rsidR="00B7269E">
        <w:t>First, the plain language of Penal Code section 1109 makes it applicable to a distinct class of defendants—those charged with gang enhancements</w:t>
      </w:r>
      <w:r w:rsidR="00CB4421">
        <w:t xml:space="preserve"> </w:t>
      </w:r>
      <w:r w:rsidR="00CB4421" w:rsidRPr="00CB4421">
        <w:t xml:space="preserve">under </w:t>
      </w:r>
      <w:r w:rsidR="00CB4421" w:rsidRPr="00AF1198">
        <w:t>subdivision</w:t>
      </w:r>
      <w:r w:rsidR="00CB4421" w:rsidRPr="00CB4421">
        <w:t xml:space="preserve"> (b) or (d) of </w:t>
      </w:r>
      <w:r w:rsidR="00CB4421">
        <w:t>Penal Code s</w:t>
      </w:r>
      <w:r w:rsidR="00CB4421" w:rsidRPr="00CB4421">
        <w:t>ection 186.22</w:t>
      </w:r>
      <w:r w:rsidR="00B7269E">
        <w:t>.</w:t>
      </w:r>
      <w:r w:rsidR="007E2713">
        <w:t xml:space="preserve">  (Pen. Code, §</w:t>
      </w:r>
      <w:r w:rsidR="00B7269E">
        <w:t xml:space="preserve"> </w:t>
      </w:r>
      <w:r w:rsidR="007E2713">
        <w:t xml:space="preserve">1109, subd. (a).)  </w:t>
      </w:r>
      <w:r w:rsidR="00B7269E">
        <w:t xml:space="preserve">But the legislative findings in Assembly Bill 333 also </w:t>
      </w:r>
      <w:r w:rsidR="007263BF">
        <w:t>show</w:t>
      </w:r>
      <w:r w:rsidR="00B7269E">
        <w:t xml:space="preserve"> the Legislature intended to reduce punishment </w:t>
      </w:r>
      <w:r w:rsidR="00C6104D" w:rsidRPr="001B4E1C">
        <w:t xml:space="preserve">specifically for </w:t>
      </w:r>
      <w:r w:rsidR="00D80D37" w:rsidRPr="001B4E1C">
        <w:t>people of color</w:t>
      </w:r>
      <w:r w:rsidR="00C6104D">
        <w:t>—</w:t>
      </w:r>
      <w:r w:rsidR="00B177F9">
        <w:t>who overwhelmingly comprise the</w:t>
      </w:r>
      <w:r w:rsidR="00EA0881">
        <w:t xml:space="preserve"> class of defendants</w:t>
      </w:r>
      <w:r w:rsidR="00B177F9">
        <w:t xml:space="preserve"> charged with gang enhancements</w:t>
      </w:r>
      <w:r w:rsidR="00D80D37">
        <w:t>.</w:t>
      </w:r>
      <w:r w:rsidR="00EC4095">
        <w:t xml:space="preserve">  </w:t>
      </w:r>
      <w:r w:rsidR="00834F34">
        <w:t>T</w:t>
      </w:r>
      <w:r w:rsidR="00EC4095">
        <w:t xml:space="preserve">he </w:t>
      </w:r>
      <w:r w:rsidR="007263BF">
        <w:t>l</w:t>
      </w:r>
      <w:r w:rsidR="00EC4095">
        <w:t>egislat</w:t>
      </w:r>
      <w:r w:rsidR="00805E0C">
        <w:t xml:space="preserve">ive findings </w:t>
      </w:r>
      <w:r w:rsidR="005657ED">
        <w:t>show</w:t>
      </w:r>
      <w:r w:rsidR="00EC4095">
        <w:t xml:space="preserve"> this was </w:t>
      </w:r>
      <w:r w:rsidR="00C14532">
        <w:t>a</w:t>
      </w:r>
      <w:r w:rsidR="00EC4095">
        <w:t xml:space="preserve"> </w:t>
      </w:r>
      <w:r w:rsidR="00C14532">
        <w:t xml:space="preserve">central </w:t>
      </w:r>
      <w:r w:rsidR="003D337D">
        <w:t>motivation for</w:t>
      </w:r>
      <w:r w:rsidR="00EC4095">
        <w:t xml:space="preserve"> the bill</w:t>
      </w:r>
      <w:r w:rsidR="00842356">
        <w:t>:</w:t>
      </w:r>
      <w:r w:rsidR="00EC4095">
        <w:t xml:space="preserve"> </w:t>
      </w:r>
      <w:r w:rsidR="00805E0C">
        <w:t xml:space="preserve"> </w:t>
      </w:r>
      <w:r w:rsidR="00842356">
        <w:t xml:space="preserve">“The gang enhancement statute is applied inconsistently against people of color, creating a racial disparity.” </w:t>
      </w:r>
      <w:r w:rsidR="00AE2B02">
        <w:t xml:space="preserve"> </w:t>
      </w:r>
      <w:r w:rsidR="00842356" w:rsidRPr="00C423A9">
        <w:rPr>
          <w:szCs w:val="26"/>
        </w:rPr>
        <w:t>(</w:t>
      </w:r>
      <w:r w:rsidR="00842356">
        <w:rPr>
          <w:szCs w:val="26"/>
        </w:rPr>
        <w:t xml:space="preserve">Assembly Bill </w:t>
      </w:r>
      <w:r w:rsidR="00842356" w:rsidRPr="00C423A9">
        <w:rPr>
          <w:szCs w:val="26"/>
        </w:rPr>
        <w:t>333, §</w:t>
      </w:r>
      <w:r w:rsidR="00842356">
        <w:rPr>
          <w:szCs w:val="26"/>
        </w:rPr>
        <w:t> </w:t>
      </w:r>
      <w:r w:rsidR="00842356" w:rsidRPr="00C423A9">
        <w:rPr>
          <w:szCs w:val="26"/>
        </w:rPr>
        <w:t>2, subd. (</w:t>
      </w:r>
      <w:r w:rsidR="00842356">
        <w:rPr>
          <w:szCs w:val="26"/>
        </w:rPr>
        <w:t>d)(1).)</w:t>
      </w:r>
      <w:r w:rsidR="0028635A">
        <w:rPr>
          <w:szCs w:val="26"/>
        </w:rPr>
        <w:t xml:space="preserve">  “</w:t>
      </w:r>
      <w:r w:rsidR="0028635A" w:rsidRPr="0028635A">
        <w:rPr>
          <w:szCs w:val="26"/>
        </w:rPr>
        <w:t>In Los Angeles alone, the state’s largest jurisdiction, over 98 percent of people sentenced to prison</w:t>
      </w:r>
      <w:r w:rsidR="0028635A">
        <w:rPr>
          <w:szCs w:val="26"/>
        </w:rPr>
        <w:t xml:space="preserve"> </w:t>
      </w:r>
      <w:r w:rsidR="0028635A" w:rsidRPr="0028635A">
        <w:rPr>
          <w:szCs w:val="26"/>
        </w:rPr>
        <w:t>for a gang enhancement are people of color</w:t>
      </w:r>
      <w:r w:rsidR="0028635A">
        <w:rPr>
          <w:szCs w:val="26"/>
        </w:rPr>
        <w:t>.”  (</w:t>
      </w:r>
      <w:r w:rsidR="0028635A" w:rsidRPr="00E11593">
        <w:rPr>
          <w:i/>
          <w:iCs/>
          <w:szCs w:val="26"/>
        </w:rPr>
        <w:t>Id.</w:t>
      </w:r>
      <w:r w:rsidR="0028635A">
        <w:rPr>
          <w:szCs w:val="26"/>
        </w:rPr>
        <w:t xml:space="preserve">, § 2, subd. (d)(4).)  </w:t>
      </w:r>
    </w:p>
    <w:p w14:paraId="7E0BAA09" w14:textId="0AEB795A" w:rsidR="00D80D37" w:rsidRPr="001A55A1" w:rsidRDefault="00E92E41" w:rsidP="00D9787C">
      <w:r>
        <w:rPr>
          <w:szCs w:val="26"/>
        </w:rPr>
        <w:lastRenderedPageBreak/>
        <w:tab/>
      </w:r>
      <w:r w:rsidR="00E11593">
        <w:rPr>
          <w:szCs w:val="26"/>
        </w:rPr>
        <w:t xml:space="preserve">The Legislature further </w:t>
      </w:r>
      <w:r w:rsidR="003240A8">
        <w:rPr>
          <w:szCs w:val="26"/>
        </w:rPr>
        <w:t xml:space="preserve">found </w:t>
      </w:r>
      <w:r w:rsidR="00E11593">
        <w:rPr>
          <w:szCs w:val="26"/>
        </w:rPr>
        <w:t>that people of color suffer a disproportion</w:t>
      </w:r>
      <w:r w:rsidR="00200305">
        <w:rPr>
          <w:szCs w:val="26"/>
        </w:rPr>
        <w:t>ate</w:t>
      </w:r>
      <w:r w:rsidR="00E11593">
        <w:rPr>
          <w:szCs w:val="26"/>
        </w:rPr>
        <w:t xml:space="preserve"> degree of </w:t>
      </w:r>
      <w:r w:rsidR="00E11593" w:rsidRPr="00E11593">
        <w:rPr>
          <w:i/>
          <w:iCs/>
          <w:szCs w:val="26"/>
        </w:rPr>
        <w:t>punishment</w:t>
      </w:r>
      <w:r w:rsidR="00E11593">
        <w:rPr>
          <w:szCs w:val="26"/>
        </w:rPr>
        <w:t xml:space="preserve"> as a result of this disparity:  </w:t>
      </w:r>
      <w:r w:rsidR="00200305">
        <w:rPr>
          <w:szCs w:val="26"/>
        </w:rPr>
        <w:t>“</w:t>
      </w:r>
      <w:r w:rsidR="00200305" w:rsidRPr="00200305">
        <w:rPr>
          <w:szCs w:val="26"/>
        </w:rPr>
        <w:t>Current gang enhancement statutes criminalize entire neighborhoods historically impacted by poverty,</w:t>
      </w:r>
      <w:r w:rsidR="00200305">
        <w:rPr>
          <w:szCs w:val="26"/>
        </w:rPr>
        <w:t xml:space="preserve"> </w:t>
      </w:r>
      <w:r w:rsidR="00200305" w:rsidRPr="00200305">
        <w:rPr>
          <w:szCs w:val="26"/>
        </w:rPr>
        <w:t xml:space="preserve">racial inequality, and mass incarceration as they </w:t>
      </w:r>
      <w:r w:rsidR="00200305" w:rsidRPr="001B4E1C">
        <w:rPr>
          <w:szCs w:val="26"/>
        </w:rPr>
        <w:t>punish people based on their cultural identity</w:t>
      </w:r>
      <w:r w:rsidR="00200305" w:rsidRPr="00200305">
        <w:rPr>
          <w:szCs w:val="26"/>
        </w:rPr>
        <w:t>, who</w:t>
      </w:r>
      <w:r w:rsidR="00200305">
        <w:rPr>
          <w:szCs w:val="26"/>
        </w:rPr>
        <w:t xml:space="preserve"> </w:t>
      </w:r>
      <w:r w:rsidR="00200305" w:rsidRPr="00200305">
        <w:rPr>
          <w:szCs w:val="26"/>
        </w:rPr>
        <w:t>they know, and where they live.</w:t>
      </w:r>
      <w:r w:rsidR="00200305">
        <w:rPr>
          <w:szCs w:val="26"/>
        </w:rPr>
        <w:t>”  (</w:t>
      </w:r>
      <w:r w:rsidR="00200305" w:rsidRPr="00E11593">
        <w:rPr>
          <w:i/>
          <w:iCs/>
          <w:szCs w:val="26"/>
        </w:rPr>
        <w:t>Id.</w:t>
      </w:r>
      <w:r w:rsidR="00200305">
        <w:rPr>
          <w:szCs w:val="26"/>
        </w:rPr>
        <w:t xml:space="preserve">, § 2, subd. (a).)  </w:t>
      </w:r>
      <w:r w:rsidR="00597FCE">
        <w:rPr>
          <w:szCs w:val="26"/>
        </w:rPr>
        <w:t>“</w:t>
      </w:r>
      <w:r w:rsidR="00597FCE" w:rsidRPr="00597FCE">
        <w:rPr>
          <w:szCs w:val="26"/>
        </w:rPr>
        <w:t>Being designated as a gang member or associate negatively impacts a person’s criminal legal system</w:t>
      </w:r>
      <w:r w:rsidR="00597FCE">
        <w:rPr>
          <w:szCs w:val="26"/>
        </w:rPr>
        <w:t xml:space="preserve"> </w:t>
      </w:r>
      <w:r w:rsidR="00597FCE" w:rsidRPr="00597FCE">
        <w:rPr>
          <w:szCs w:val="26"/>
        </w:rPr>
        <w:t xml:space="preserve">contact from start to finish by hindering pretrial release, influencing </w:t>
      </w:r>
      <w:r w:rsidR="00597FCE" w:rsidRPr="001B4E1C">
        <w:rPr>
          <w:szCs w:val="26"/>
        </w:rPr>
        <w:t>sentencing, incarceration, parole</w:t>
      </w:r>
      <w:r w:rsidR="00597FCE" w:rsidRPr="00597FCE">
        <w:rPr>
          <w:i/>
          <w:iCs/>
          <w:szCs w:val="26"/>
        </w:rPr>
        <w:t>,</w:t>
      </w:r>
      <w:r>
        <w:rPr>
          <w:i/>
          <w:iCs/>
          <w:szCs w:val="26"/>
        </w:rPr>
        <w:t xml:space="preserve"> </w:t>
      </w:r>
      <w:r w:rsidR="00597FCE" w:rsidRPr="00E92E41">
        <w:rPr>
          <w:szCs w:val="26"/>
        </w:rPr>
        <w:t>and reentry, and can lead to deportation</w:t>
      </w:r>
      <w:r w:rsidR="00597FCE" w:rsidRPr="00597FCE">
        <w:rPr>
          <w:szCs w:val="26"/>
        </w:rPr>
        <w:t>.</w:t>
      </w:r>
      <w:r w:rsidR="00597FCE">
        <w:rPr>
          <w:szCs w:val="26"/>
        </w:rPr>
        <w:t>”  (</w:t>
      </w:r>
      <w:r w:rsidR="00597FCE" w:rsidRPr="00E11593">
        <w:rPr>
          <w:i/>
          <w:iCs/>
          <w:szCs w:val="26"/>
        </w:rPr>
        <w:t>Id.</w:t>
      </w:r>
      <w:r w:rsidR="00597FCE">
        <w:rPr>
          <w:szCs w:val="26"/>
        </w:rPr>
        <w:t>, § 2, subd. (b).)</w:t>
      </w:r>
      <w:r w:rsidR="00D9787C">
        <w:rPr>
          <w:szCs w:val="26"/>
        </w:rPr>
        <w:t xml:space="preserve">  “</w:t>
      </w:r>
      <w:r w:rsidR="00D9787C" w:rsidRPr="00D9787C">
        <w:rPr>
          <w:szCs w:val="26"/>
        </w:rPr>
        <w:t>The current statute disproportionately impacts communities of color, making the statute one of the</w:t>
      </w:r>
      <w:r w:rsidR="00D9787C">
        <w:rPr>
          <w:szCs w:val="26"/>
        </w:rPr>
        <w:t xml:space="preserve"> </w:t>
      </w:r>
      <w:r w:rsidR="00D9787C" w:rsidRPr="00D9787C">
        <w:rPr>
          <w:szCs w:val="26"/>
        </w:rPr>
        <w:t xml:space="preserve">largest disparate racial impact statutes that imposes </w:t>
      </w:r>
      <w:r w:rsidR="00D9787C" w:rsidRPr="001B4E1C">
        <w:rPr>
          <w:szCs w:val="26"/>
        </w:rPr>
        <w:t>criminal punishments</w:t>
      </w:r>
      <w:r w:rsidR="00D9787C" w:rsidRPr="00D9787C">
        <w:rPr>
          <w:szCs w:val="26"/>
        </w:rPr>
        <w:t>.</w:t>
      </w:r>
      <w:r w:rsidR="00D9787C">
        <w:rPr>
          <w:szCs w:val="26"/>
        </w:rPr>
        <w:t>”  (</w:t>
      </w:r>
      <w:r w:rsidR="00D9787C" w:rsidRPr="00E11593">
        <w:rPr>
          <w:i/>
          <w:iCs/>
          <w:szCs w:val="26"/>
        </w:rPr>
        <w:t>Id.</w:t>
      </w:r>
      <w:r w:rsidR="00D9787C">
        <w:rPr>
          <w:szCs w:val="26"/>
        </w:rPr>
        <w:t>, §</w:t>
      </w:r>
      <w:r w:rsidR="007B7FE8">
        <w:rPr>
          <w:szCs w:val="26"/>
        </w:rPr>
        <w:t> </w:t>
      </w:r>
      <w:r w:rsidR="00D9787C">
        <w:rPr>
          <w:szCs w:val="26"/>
        </w:rPr>
        <w:t>2, subd. (d)(2).)</w:t>
      </w:r>
      <w:r w:rsidR="001071C8">
        <w:rPr>
          <w:szCs w:val="26"/>
        </w:rPr>
        <w:t xml:space="preserve">  These statements make clear that </w:t>
      </w:r>
      <w:r w:rsidR="00834F34">
        <w:rPr>
          <w:szCs w:val="26"/>
        </w:rPr>
        <w:t xml:space="preserve">one of the Legislature’s foremost reasons for enacting Assembly Bill 333 was to </w:t>
      </w:r>
      <w:r w:rsidR="001071C8">
        <w:rPr>
          <w:szCs w:val="26"/>
        </w:rPr>
        <w:t>ameliorat</w:t>
      </w:r>
      <w:r w:rsidR="00834F34">
        <w:rPr>
          <w:szCs w:val="26"/>
        </w:rPr>
        <w:t>e</w:t>
      </w:r>
      <w:r w:rsidR="00841323">
        <w:rPr>
          <w:szCs w:val="26"/>
        </w:rPr>
        <w:t xml:space="preserve"> the disparate </w:t>
      </w:r>
      <w:r w:rsidR="00834F34">
        <w:rPr>
          <w:szCs w:val="26"/>
        </w:rPr>
        <w:t xml:space="preserve">levels of </w:t>
      </w:r>
      <w:r w:rsidR="001071C8">
        <w:rPr>
          <w:szCs w:val="26"/>
        </w:rPr>
        <w:t>punishment</w:t>
      </w:r>
      <w:r w:rsidR="00841323">
        <w:rPr>
          <w:szCs w:val="26"/>
        </w:rPr>
        <w:t xml:space="preserve"> suffered by</w:t>
      </w:r>
      <w:r w:rsidR="001071C8">
        <w:rPr>
          <w:szCs w:val="26"/>
        </w:rPr>
        <w:t xml:space="preserve"> people of colo</w:t>
      </w:r>
      <w:r w:rsidR="00834F34">
        <w:rPr>
          <w:szCs w:val="26"/>
        </w:rPr>
        <w:t>r.</w:t>
      </w:r>
    </w:p>
    <w:p w14:paraId="2A15B32A" w14:textId="195F6F88" w:rsidR="00B75489" w:rsidRDefault="004005F6" w:rsidP="007A457A">
      <w:pPr>
        <w:rPr>
          <w:szCs w:val="26"/>
        </w:rPr>
      </w:pPr>
      <w:r>
        <w:rPr>
          <w:szCs w:val="26"/>
        </w:rPr>
        <w:tab/>
      </w:r>
      <w:r w:rsidR="00E92E41">
        <w:rPr>
          <w:szCs w:val="26"/>
        </w:rPr>
        <w:t>The dissent and the Attorney General point out that under section 3 of the Penal Code, “</w:t>
      </w:r>
      <w:r w:rsidR="00E92E41" w:rsidRPr="00E92E41">
        <w:rPr>
          <w:szCs w:val="26"/>
        </w:rPr>
        <w:t xml:space="preserve">No part of </w:t>
      </w:r>
      <w:r w:rsidR="00E92E41">
        <w:rPr>
          <w:szCs w:val="26"/>
        </w:rPr>
        <w:t>[the Penal Code]</w:t>
      </w:r>
      <w:r w:rsidR="00E92E41" w:rsidRPr="00E92E41">
        <w:rPr>
          <w:szCs w:val="26"/>
        </w:rPr>
        <w:t xml:space="preserve"> is retroactive, unless expressly so declared</w:t>
      </w:r>
      <w:r w:rsidR="00E92E41">
        <w:rPr>
          <w:szCs w:val="26"/>
        </w:rPr>
        <w:t xml:space="preserve">.”  But the Attorney General concedes that Assembly Bill 333 operates retroactively insofar as it amended </w:t>
      </w:r>
      <w:r w:rsidR="003F7915">
        <w:rPr>
          <w:szCs w:val="26"/>
        </w:rPr>
        <w:t xml:space="preserve">Penal Code </w:t>
      </w:r>
      <w:r w:rsidR="00C21AFA">
        <w:rPr>
          <w:szCs w:val="26"/>
        </w:rPr>
        <w:t>section 186.22</w:t>
      </w:r>
      <w:r w:rsidR="00E92E41">
        <w:rPr>
          <w:szCs w:val="26"/>
        </w:rPr>
        <w:t xml:space="preserve">.  The Attorney General argues nonetheless that the section of the bill adding Penal Code section 1109 should be </w:t>
      </w:r>
      <w:r w:rsidR="00752169">
        <w:rPr>
          <w:szCs w:val="26"/>
        </w:rPr>
        <w:t>considered</w:t>
      </w:r>
      <w:r w:rsidR="00E92E41">
        <w:rPr>
          <w:szCs w:val="26"/>
        </w:rPr>
        <w:t xml:space="preserve"> </w:t>
      </w:r>
      <w:r w:rsidR="00752169">
        <w:rPr>
          <w:szCs w:val="26"/>
        </w:rPr>
        <w:t>in isolation</w:t>
      </w:r>
      <w:r w:rsidR="00E92E41">
        <w:rPr>
          <w:szCs w:val="26"/>
        </w:rPr>
        <w:t xml:space="preserve"> from the rest of the bill</w:t>
      </w:r>
      <w:r w:rsidR="00B75489">
        <w:rPr>
          <w:szCs w:val="26"/>
        </w:rPr>
        <w:t>.  The dissent and the Attorney General</w:t>
      </w:r>
      <w:r w:rsidR="00C21AFA">
        <w:rPr>
          <w:szCs w:val="26"/>
        </w:rPr>
        <w:t xml:space="preserve"> </w:t>
      </w:r>
      <w:r>
        <w:rPr>
          <w:szCs w:val="26"/>
        </w:rPr>
        <w:t>characteriz</w:t>
      </w:r>
      <w:r w:rsidR="00C21AFA">
        <w:rPr>
          <w:szCs w:val="26"/>
        </w:rPr>
        <w:t>e</w:t>
      </w:r>
      <w:r>
        <w:rPr>
          <w:szCs w:val="26"/>
        </w:rPr>
        <w:t xml:space="preserve"> </w:t>
      </w:r>
      <w:r w:rsidR="00DF7CB7">
        <w:rPr>
          <w:szCs w:val="26"/>
        </w:rPr>
        <w:t>the new bifurcation rule</w:t>
      </w:r>
      <w:r w:rsidR="003F7915">
        <w:rPr>
          <w:szCs w:val="26"/>
        </w:rPr>
        <w:t xml:space="preserve"> </w:t>
      </w:r>
      <w:r w:rsidR="00C95BC0">
        <w:rPr>
          <w:szCs w:val="26"/>
        </w:rPr>
        <w:t>as a “prophylactic rule of criminal procedure” designed to enhance the fairness of proceedings</w:t>
      </w:r>
      <w:r w:rsidR="004B6925">
        <w:rPr>
          <w:szCs w:val="26"/>
        </w:rPr>
        <w:t>,</w:t>
      </w:r>
      <w:r w:rsidR="00C95BC0">
        <w:rPr>
          <w:szCs w:val="26"/>
        </w:rPr>
        <w:t xml:space="preserve"> not to ameliorate punishment as defined under </w:t>
      </w:r>
      <w:r w:rsidR="00C95BC0" w:rsidRPr="00742EF3">
        <w:rPr>
          <w:i/>
          <w:iCs/>
          <w:szCs w:val="26"/>
        </w:rPr>
        <w:t>Estrada</w:t>
      </w:r>
      <w:r w:rsidR="00C95BC0">
        <w:rPr>
          <w:szCs w:val="26"/>
        </w:rPr>
        <w:t xml:space="preserve">. </w:t>
      </w:r>
      <w:r w:rsidR="00C8287D">
        <w:rPr>
          <w:szCs w:val="26"/>
        </w:rPr>
        <w:t xml:space="preserve"> </w:t>
      </w:r>
      <w:r w:rsidR="00C95BC0">
        <w:rPr>
          <w:szCs w:val="26"/>
        </w:rPr>
        <w:t xml:space="preserve">But the </w:t>
      </w:r>
      <w:r w:rsidR="000E1683">
        <w:rPr>
          <w:szCs w:val="26"/>
        </w:rPr>
        <w:t>l</w:t>
      </w:r>
      <w:r w:rsidR="00C95BC0">
        <w:rPr>
          <w:szCs w:val="26"/>
        </w:rPr>
        <w:t>egislative findings expressly disprove this</w:t>
      </w:r>
      <w:r w:rsidR="005D390D">
        <w:rPr>
          <w:szCs w:val="26"/>
        </w:rPr>
        <w:t xml:space="preserve"> assertion</w:t>
      </w:r>
      <w:r w:rsidR="00303EE3">
        <w:rPr>
          <w:szCs w:val="26"/>
        </w:rPr>
        <w:t xml:space="preserve">, as they repeatedly </w:t>
      </w:r>
      <w:r w:rsidR="005D390D">
        <w:rPr>
          <w:szCs w:val="26"/>
        </w:rPr>
        <w:t>cite</w:t>
      </w:r>
      <w:r w:rsidR="00303EE3">
        <w:rPr>
          <w:szCs w:val="26"/>
        </w:rPr>
        <w:t xml:space="preserve"> the disparate levels of punishment suffered by people of color under the old law</w:t>
      </w:r>
      <w:r w:rsidR="00C95BC0">
        <w:rPr>
          <w:szCs w:val="26"/>
        </w:rPr>
        <w:t xml:space="preserve">.  </w:t>
      </w:r>
    </w:p>
    <w:p w14:paraId="5419ED0C" w14:textId="472DE45F" w:rsidR="00D95B47" w:rsidRDefault="00B75489" w:rsidP="007A457A">
      <w:pPr>
        <w:rPr>
          <w:szCs w:val="26"/>
        </w:rPr>
      </w:pPr>
      <w:r>
        <w:rPr>
          <w:szCs w:val="26"/>
        </w:rPr>
        <w:tab/>
      </w:r>
      <w:r w:rsidR="00A54062">
        <w:rPr>
          <w:szCs w:val="26"/>
        </w:rPr>
        <w:t>The findings further establish that the bifurcation of gang enhancements at trial is intended to ameliorate th</w:t>
      </w:r>
      <w:r w:rsidR="00D95B47">
        <w:rPr>
          <w:szCs w:val="26"/>
        </w:rPr>
        <w:t>e</w:t>
      </w:r>
      <w:r w:rsidR="00A54062">
        <w:rPr>
          <w:szCs w:val="26"/>
        </w:rPr>
        <w:t xml:space="preserve"> </w:t>
      </w:r>
      <w:r w:rsidR="00BB1636">
        <w:rPr>
          <w:szCs w:val="26"/>
        </w:rPr>
        <w:t xml:space="preserve">prejudicial </w:t>
      </w:r>
      <w:r w:rsidR="00A54062">
        <w:rPr>
          <w:szCs w:val="26"/>
        </w:rPr>
        <w:t>impact</w:t>
      </w:r>
      <w:r w:rsidR="00D95B47">
        <w:rPr>
          <w:szCs w:val="26"/>
        </w:rPr>
        <w:t xml:space="preserve"> of trying enhancement</w:t>
      </w:r>
      <w:r w:rsidR="00A479C8">
        <w:rPr>
          <w:szCs w:val="26"/>
        </w:rPr>
        <w:t>s</w:t>
      </w:r>
      <w:r w:rsidR="00D95B47">
        <w:rPr>
          <w:szCs w:val="26"/>
        </w:rPr>
        <w:t xml:space="preserve"> together with the offense</w:t>
      </w:r>
      <w:r w:rsidR="00A54062">
        <w:rPr>
          <w:szCs w:val="26"/>
        </w:rPr>
        <w:t>.</w:t>
      </w:r>
      <w:r w:rsidR="00CB403B">
        <w:rPr>
          <w:szCs w:val="26"/>
        </w:rPr>
        <w:t xml:space="preserve">  “</w:t>
      </w:r>
      <w:r w:rsidR="00CB403B" w:rsidRPr="00CB403B">
        <w:rPr>
          <w:szCs w:val="26"/>
        </w:rPr>
        <w:t>Bifurcation of trials where gang evidence is alleged can help reduce its harmful and prejudicial impact.</w:t>
      </w:r>
      <w:r w:rsidR="00CB403B">
        <w:rPr>
          <w:szCs w:val="26"/>
        </w:rPr>
        <w:t xml:space="preserve">”  </w:t>
      </w:r>
      <w:r w:rsidR="00EE2BE3" w:rsidRPr="00C423A9">
        <w:rPr>
          <w:szCs w:val="26"/>
        </w:rPr>
        <w:t>(</w:t>
      </w:r>
      <w:r w:rsidR="00EE2BE3">
        <w:rPr>
          <w:szCs w:val="26"/>
        </w:rPr>
        <w:t xml:space="preserve">Assembly Bill </w:t>
      </w:r>
      <w:r w:rsidR="00EE2BE3" w:rsidRPr="00C423A9">
        <w:rPr>
          <w:szCs w:val="26"/>
        </w:rPr>
        <w:t>333, §</w:t>
      </w:r>
      <w:r w:rsidR="00EE2BE3">
        <w:rPr>
          <w:szCs w:val="26"/>
        </w:rPr>
        <w:t> </w:t>
      </w:r>
      <w:r w:rsidR="00EE2BE3" w:rsidRPr="00C423A9">
        <w:rPr>
          <w:szCs w:val="26"/>
        </w:rPr>
        <w:t>2, subd. (</w:t>
      </w:r>
      <w:r w:rsidR="00EE2BE3">
        <w:rPr>
          <w:szCs w:val="26"/>
        </w:rPr>
        <w:t>f).)</w:t>
      </w:r>
      <w:r w:rsidR="000857F4">
        <w:rPr>
          <w:szCs w:val="26"/>
        </w:rPr>
        <w:t xml:space="preserve">  “</w:t>
      </w:r>
      <w:r w:rsidR="000857F4" w:rsidRPr="000857F4">
        <w:rPr>
          <w:szCs w:val="26"/>
        </w:rPr>
        <w:t xml:space="preserve">Gang enhancement </w:t>
      </w:r>
      <w:r w:rsidR="000857F4" w:rsidRPr="000857F4">
        <w:rPr>
          <w:szCs w:val="26"/>
        </w:rPr>
        <w:lastRenderedPageBreak/>
        <w:t>evidence can be unreliable and prejudicial to a jury because it is lumped into</w:t>
      </w:r>
      <w:r w:rsidR="000857F4">
        <w:rPr>
          <w:szCs w:val="26"/>
        </w:rPr>
        <w:t xml:space="preserve"> </w:t>
      </w:r>
      <w:r w:rsidR="000857F4" w:rsidRPr="000857F4">
        <w:rPr>
          <w:szCs w:val="26"/>
        </w:rPr>
        <w:t>evidence of</w:t>
      </w:r>
      <w:r w:rsidR="000857F4">
        <w:rPr>
          <w:szCs w:val="26"/>
        </w:rPr>
        <w:t xml:space="preserve"> </w:t>
      </w:r>
      <w:r w:rsidR="000857F4" w:rsidRPr="000857F4">
        <w:rPr>
          <w:szCs w:val="26"/>
        </w:rPr>
        <w:t>the underlying charges which further perpetuates unfair prejudice in juries and</w:t>
      </w:r>
      <w:r w:rsidR="000857F4">
        <w:rPr>
          <w:szCs w:val="26"/>
        </w:rPr>
        <w:t xml:space="preserve"> </w:t>
      </w:r>
      <w:r w:rsidR="000857F4" w:rsidRPr="000857F4">
        <w:rPr>
          <w:szCs w:val="26"/>
        </w:rPr>
        <w:t>convictions of innocent people.</w:t>
      </w:r>
      <w:r w:rsidR="000857F4">
        <w:rPr>
          <w:szCs w:val="26"/>
        </w:rPr>
        <w:t xml:space="preserve">”  </w:t>
      </w:r>
      <w:r w:rsidR="000857F4" w:rsidRPr="00C423A9">
        <w:rPr>
          <w:szCs w:val="26"/>
        </w:rPr>
        <w:t>(</w:t>
      </w:r>
      <w:r w:rsidR="00754ABB" w:rsidRPr="00754ABB">
        <w:rPr>
          <w:i/>
          <w:iCs/>
          <w:szCs w:val="26"/>
        </w:rPr>
        <w:t>Id.</w:t>
      </w:r>
      <w:r w:rsidR="000857F4" w:rsidRPr="00C423A9">
        <w:rPr>
          <w:szCs w:val="26"/>
        </w:rPr>
        <w:t>, §</w:t>
      </w:r>
      <w:r w:rsidR="000857F4">
        <w:rPr>
          <w:szCs w:val="26"/>
        </w:rPr>
        <w:t> </w:t>
      </w:r>
      <w:r w:rsidR="000857F4" w:rsidRPr="00C423A9">
        <w:rPr>
          <w:szCs w:val="26"/>
        </w:rPr>
        <w:t>2, subd. (</w:t>
      </w:r>
      <w:r w:rsidR="000857F4">
        <w:rPr>
          <w:szCs w:val="26"/>
        </w:rPr>
        <w:t>d)(1).)</w:t>
      </w:r>
      <w:r w:rsidR="00EE2BE3">
        <w:rPr>
          <w:szCs w:val="26"/>
        </w:rPr>
        <w:t xml:space="preserve">  “</w:t>
      </w:r>
      <w:r w:rsidR="00EE2BE3" w:rsidRPr="00EE2BE3">
        <w:rPr>
          <w:szCs w:val="26"/>
        </w:rPr>
        <w:t xml:space="preserve">California courts have long recognized how prejudicial gang evidence is. </w:t>
      </w:r>
      <w:r w:rsidR="00EE2BE3">
        <w:rPr>
          <w:szCs w:val="26"/>
        </w:rPr>
        <w:t xml:space="preserve"> [Citation.]  </w:t>
      </w:r>
      <w:r w:rsidR="00EE2BE3" w:rsidRPr="00EE2BE3">
        <w:rPr>
          <w:szCs w:val="26"/>
        </w:rPr>
        <w:t>Studies suggest that allowing a jury to hear the kind of evidence that</w:t>
      </w:r>
      <w:r w:rsidR="00EE2BE3">
        <w:rPr>
          <w:szCs w:val="26"/>
        </w:rPr>
        <w:t xml:space="preserve"> </w:t>
      </w:r>
      <w:r w:rsidR="00EE2BE3" w:rsidRPr="00EE2BE3">
        <w:rPr>
          <w:szCs w:val="26"/>
        </w:rPr>
        <w:t>supports a gang enhancement before it has decided whether the defendant is guilty or not may lead to</w:t>
      </w:r>
      <w:r w:rsidR="00EE2BE3">
        <w:rPr>
          <w:szCs w:val="26"/>
        </w:rPr>
        <w:t xml:space="preserve"> </w:t>
      </w:r>
      <w:r w:rsidR="00EE2BE3" w:rsidRPr="00EE2BE3">
        <w:rPr>
          <w:szCs w:val="26"/>
        </w:rPr>
        <w:t xml:space="preserve">wrongful convictions. </w:t>
      </w:r>
      <w:r w:rsidR="00EE2BE3">
        <w:rPr>
          <w:szCs w:val="26"/>
        </w:rPr>
        <w:t xml:space="preserve"> [Citations.]</w:t>
      </w:r>
      <w:r w:rsidR="00D95B47">
        <w:rPr>
          <w:szCs w:val="26"/>
        </w:rPr>
        <w:t xml:space="preserve">”  </w:t>
      </w:r>
      <w:r w:rsidR="00D95B47" w:rsidRPr="00C423A9">
        <w:rPr>
          <w:szCs w:val="26"/>
        </w:rPr>
        <w:t>(</w:t>
      </w:r>
      <w:r w:rsidR="00D95B47" w:rsidRPr="00754ABB">
        <w:rPr>
          <w:i/>
          <w:iCs/>
          <w:szCs w:val="26"/>
        </w:rPr>
        <w:t>Id.</w:t>
      </w:r>
      <w:r w:rsidR="00D95B47" w:rsidRPr="00C423A9">
        <w:rPr>
          <w:szCs w:val="26"/>
        </w:rPr>
        <w:t>, §</w:t>
      </w:r>
      <w:r w:rsidR="00D95B47">
        <w:rPr>
          <w:szCs w:val="26"/>
        </w:rPr>
        <w:t> </w:t>
      </w:r>
      <w:r w:rsidR="00D95B47" w:rsidRPr="00C423A9">
        <w:rPr>
          <w:szCs w:val="26"/>
        </w:rPr>
        <w:t>2, subd. (</w:t>
      </w:r>
      <w:r w:rsidR="00D95B47">
        <w:rPr>
          <w:szCs w:val="26"/>
        </w:rPr>
        <w:t xml:space="preserve">e).)  In other words, one of the ameliorative effects of </w:t>
      </w:r>
      <w:r w:rsidR="001B13C5">
        <w:rPr>
          <w:szCs w:val="26"/>
        </w:rPr>
        <w:t xml:space="preserve">bifurcation is that some defendants will actually be </w:t>
      </w:r>
      <w:r w:rsidR="001B13C5" w:rsidRPr="001B13C5">
        <w:rPr>
          <w:i/>
          <w:iCs/>
          <w:szCs w:val="26"/>
        </w:rPr>
        <w:t>acquitted</w:t>
      </w:r>
      <w:r w:rsidR="001B13C5">
        <w:rPr>
          <w:szCs w:val="26"/>
        </w:rPr>
        <w:t xml:space="preserve"> of the underlying offense</w:t>
      </w:r>
      <w:r w:rsidR="00D95B47">
        <w:rPr>
          <w:szCs w:val="26"/>
        </w:rPr>
        <w:t xml:space="preserve"> </w:t>
      </w:r>
      <w:r w:rsidR="001B13C5">
        <w:rPr>
          <w:szCs w:val="26"/>
        </w:rPr>
        <w:t>absent the prejudicial impact of gang evidence</w:t>
      </w:r>
      <w:r w:rsidR="00D95B47">
        <w:rPr>
          <w:szCs w:val="26"/>
        </w:rPr>
        <w:t xml:space="preserve">.  </w:t>
      </w:r>
      <w:r w:rsidR="001B13C5">
        <w:rPr>
          <w:szCs w:val="26"/>
        </w:rPr>
        <w:t xml:space="preserve">This increased possibility of acquittal—which necessarily reduces possible punishment—is sufficient to trigger retroactivity under the </w:t>
      </w:r>
      <w:r w:rsidR="001B13C5" w:rsidRPr="001B13C5">
        <w:rPr>
          <w:i/>
          <w:iCs/>
          <w:szCs w:val="26"/>
        </w:rPr>
        <w:t>Estrada</w:t>
      </w:r>
      <w:r w:rsidR="001B13C5">
        <w:rPr>
          <w:szCs w:val="26"/>
        </w:rPr>
        <w:t xml:space="preserve"> rule.</w:t>
      </w:r>
    </w:p>
    <w:p w14:paraId="2D633939" w14:textId="3AFA74B8" w:rsidR="00D8308B" w:rsidRDefault="001B13C5" w:rsidP="007A457A">
      <w:pPr>
        <w:rPr>
          <w:szCs w:val="26"/>
        </w:rPr>
      </w:pPr>
      <w:r>
        <w:rPr>
          <w:szCs w:val="26"/>
        </w:rPr>
        <w:tab/>
        <w:t>The increase</w:t>
      </w:r>
      <w:r w:rsidR="00D54BCD">
        <w:rPr>
          <w:szCs w:val="26"/>
        </w:rPr>
        <w:t>d</w:t>
      </w:r>
      <w:r>
        <w:rPr>
          <w:szCs w:val="26"/>
        </w:rPr>
        <w:t xml:space="preserve"> likelihood of acquittal at trial</w:t>
      </w:r>
      <w:r w:rsidR="003419FC">
        <w:rPr>
          <w:szCs w:val="26"/>
        </w:rPr>
        <w:t xml:space="preserve"> is</w:t>
      </w:r>
      <w:r>
        <w:rPr>
          <w:szCs w:val="26"/>
        </w:rPr>
        <w:t xml:space="preserve"> not the only ameliorative effect of bifurcation.  The Legislature further found, “</w:t>
      </w:r>
      <w:r w:rsidR="00EE2BE3" w:rsidRPr="00EE2BE3">
        <w:rPr>
          <w:szCs w:val="26"/>
        </w:rPr>
        <w:t>The mere specter of gang enhancements pressures defendants to accept</w:t>
      </w:r>
      <w:r w:rsidR="00EE2BE3">
        <w:rPr>
          <w:szCs w:val="26"/>
        </w:rPr>
        <w:t xml:space="preserve"> </w:t>
      </w:r>
      <w:r w:rsidR="00EE2BE3" w:rsidRPr="00EE2BE3">
        <w:rPr>
          <w:szCs w:val="26"/>
        </w:rPr>
        <w:t xml:space="preserve">unfavorable plea deals rather than risk a trial filled with prejudicial evidence and a </w:t>
      </w:r>
      <w:r w:rsidR="00EE2BE3" w:rsidRPr="001B4E1C">
        <w:rPr>
          <w:szCs w:val="26"/>
        </w:rPr>
        <w:t>substantially longer sentence</w:t>
      </w:r>
      <w:r w:rsidR="00EE2BE3" w:rsidRPr="00EE2BE3">
        <w:rPr>
          <w:szCs w:val="26"/>
        </w:rPr>
        <w:t>.</w:t>
      </w:r>
      <w:r w:rsidR="00EE2BE3">
        <w:rPr>
          <w:szCs w:val="26"/>
        </w:rPr>
        <w:t xml:space="preserve">”  </w:t>
      </w:r>
      <w:r w:rsidR="00754ABB" w:rsidRPr="00C423A9">
        <w:rPr>
          <w:szCs w:val="26"/>
        </w:rPr>
        <w:t>(</w:t>
      </w:r>
      <w:r w:rsidR="00754ABB" w:rsidRPr="00754ABB">
        <w:rPr>
          <w:i/>
          <w:iCs/>
          <w:szCs w:val="26"/>
        </w:rPr>
        <w:t>Id.</w:t>
      </w:r>
      <w:r w:rsidR="00754ABB" w:rsidRPr="00C423A9">
        <w:rPr>
          <w:szCs w:val="26"/>
        </w:rPr>
        <w:t>, §</w:t>
      </w:r>
      <w:r w:rsidR="00754ABB">
        <w:rPr>
          <w:szCs w:val="26"/>
        </w:rPr>
        <w:t> </w:t>
      </w:r>
      <w:r w:rsidR="00754ABB" w:rsidRPr="00C423A9">
        <w:rPr>
          <w:szCs w:val="26"/>
        </w:rPr>
        <w:t>2, subd. (</w:t>
      </w:r>
      <w:r w:rsidR="00754ABB">
        <w:rPr>
          <w:szCs w:val="26"/>
        </w:rPr>
        <w:t>e).)  By</w:t>
      </w:r>
      <w:r w:rsidR="008048D4">
        <w:rPr>
          <w:szCs w:val="26"/>
        </w:rPr>
        <w:t xml:space="preserve"> reducing </w:t>
      </w:r>
      <w:r w:rsidR="00754ABB">
        <w:rPr>
          <w:szCs w:val="26"/>
        </w:rPr>
        <w:t xml:space="preserve">the pressure to </w:t>
      </w:r>
      <w:r w:rsidR="008048D4">
        <w:rPr>
          <w:szCs w:val="26"/>
        </w:rPr>
        <w:t xml:space="preserve">accept </w:t>
      </w:r>
      <w:r w:rsidR="00754ABB">
        <w:rPr>
          <w:szCs w:val="26"/>
        </w:rPr>
        <w:t xml:space="preserve">longer sentences, </w:t>
      </w:r>
      <w:r w:rsidR="003F7915">
        <w:rPr>
          <w:szCs w:val="26"/>
        </w:rPr>
        <w:t xml:space="preserve">the new </w:t>
      </w:r>
      <w:r w:rsidR="00754ABB">
        <w:rPr>
          <w:szCs w:val="26"/>
        </w:rPr>
        <w:t xml:space="preserve">bifurcation </w:t>
      </w:r>
      <w:r w:rsidR="00BF152A">
        <w:rPr>
          <w:szCs w:val="26"/>
        </w:rPr>
        <w:t>statute</w:t>
      </w:r>
      <w:r w:rsidR="00754ABB">
        <w:rPr>
          <w:szCs w:val="26"/>
        </w:rPr>
        <w:t xml:space="preserve"> will necessarily </w:t>
      </w:r>
      <w:r w:rsidR="008048D4" w:rsidRPr="00934505">
        <w:t xml:space="preserve">reduce </w:t>
      </w:r>
      <w:r>
        <w:t xml:space="preserve">the degree of </w:t>
      </w:r>
      <w:r w:rsidR="008048D4" w:rsidRPr="00934505">
        <w:t>punishment</w:t>
      </w:r>
      <w:r>
        <w:t xml:space="preserve"> for </w:t>
      </w:r>
      <w:r w:rsidR="00BD68EA">
        <w:t>many</w:t>
      </w:r>
      <w:r>
        <w:t xml:space="preserve"> defendants</w:t>
      </w:r>
      <w:r w:rsidR="00187188">
        <w:t xml:space="preserve"> charged with gang enhancements</w:t>
      </w:r>
      <w:r w:rsidR="009851FD">
        <w:t>, even if they never have to invoke its prophylactic protections at trial</w:t>
      </w:r>
      <w:r w:rsidR="002F3499">
        <w:rPr>
          <w:szCs w:val="26"/>
        </w:rPr>
        <w:t>.</w:t>
      </w:r>
      <w:r w:rsidR="008048D4">
        <w:rPr>
          <w:szCs w:val="26"/>
        </w:rPr>
        <w:t xml:space="preserve">  </w:t>
      </w:r>
      <w:r w:rsidR="00584777">
        <w:rPr>
          <w:szCs w:val="26"/>
        </w:rPr>
        <w:t>Thus, e</w:t>
      </w:r>
      <w:r w:rsidR="008048D4">
        <w:rPr>
          <w:szCs w:val="26"/>
        </w:rPr>
        <w:t>ven considered in isolation</w:t>
      </w:r>
      <w:r w:rsidR="00187188">
        <w:rPr>
          <w:szCs w:val="26"/>
        </w:rPr>
        <w:t xml:space="preserve"> from the remainder of the amendments in A</w:t>
      </w:r>
      <w:r w:rsidR="00AE67FE">
        <w:rPr>
          <w:szCs w:val="26"/>
        </w:rPr>
        <w:t xml:space="preserve">ssembly </w:t>
      </w:r>
      <w:r w:rsidR="00187188">
        <w:rPr>
          <w:szCs w:val="26"/>
        </w:rPr>
        <w:t>B</w:t>
      </w:r>
      <w:r w:rsidR="00AE67FE">
        <w:rPr>
          <w:szCs w:val="26"/>
        </w:rPr>
        <w:t>ill</w:t>
      </w:r>
      <w:r w:rsidR="00187188">
        <w:rPr>
          <w:szCs w:val="26"/>
        </w:rPr>
        <w:t xml:space="preserve"> 333</w:t>
      </w:r>
      <w:r w:rsidR="008048D4">
        <w:rPr>
          <w:szCs w:val="26"/>
        </w:rPr>
        <w:t>,</w:t>
      </w:r>
      <w:r w:rsidR="001161E5">
        <w:rPr>
          <w:szCs w:val="26"/>
        </w:rPr>
        <w:t xml:space="preserve"> </w:t>
      </w:r>
      <w:r w:rsidR="008048D4">
        <w:rPr>
          <w:szCs w:val="26"/>
        </w:rPr>
        <w:t xml:space="preserve">the addition of </w:t>
      </w:r>
      <w:r w:rsidR="003F7915">
        <w:rPr>
          <w:szCs w:val="26"/>
        </w:rPr>
        <w:t xml:space="preserve">Penal Code </w:t>
      </w:r>
      <w:r w:rsidR="008048D4">
        <w:rPr>
          <w:szCs w:val="26"/>
        </w:rPr>
        <w:t xml:space="preserve">section 1109 requires retroactive application under </w:t>
      </w:r>
      <w:r w:rsidR="008048D4" w:rsidRPr="008048D4">
        <w:rPr>
          <w:i/>
          <w:iCs/>
          <w:szCs w:val="26"/>
        </w:rPr>
        <w:t>Estrada</w:t>
      </w:r>
      <w:r w:rsidR="008048D4">
        <w:rPr>
          <w:szCs w:val="26"/>
        </w:rPr>
        <w:t>.</w:t>
      </w:r>
    </w:p>
    <w:p w14:paraId="0F43DB98" w14:textId="79941AA9" w:rsidR="004702ED" w:rsidRDefault="00D8308B" w:rsidP="009E1C6F">
      <w:pPr>
        <w:rPr>
          <w:szCs w:val="26"/>
        </w:rPr>
      </w:pPr>
      <w:r>
        <w:rPr>
          <w:szCs w:val="26"/>
        </w:rPr>
        <w:tab/>
      </w:r>
      <w:r w:rsidR="00303EE3">
        <w:rPr>
          <w:szCs w:val="26"/>
        </w:rPr>
        <w:t xml:space="preserve">Furthermore, we </w:t>
      </w:r>
      <w:r w:rsidR="008048D4">
        <w:rPr>
          <w:szCs w:val="26"/>
        </w:rPr>
        <w:t xml:space="preserve">reject </w:t>
      </w:r>
      <w:r w:rsidR="00303EE3">
        <w:rPr>
          <w:szCs w:val="26"/>
        </w:rPr>
        <w:t>the a</w:t>
      </w:r>
      <w:r w:rsidR="008048D4">
        <w:rPr>
          <w:szCs w:val="26"/>
        </w:rPr>
        <w:t>rgument</w:t>
      </w:r>
      <w:r w:rsidR="00303EE3">
        <w:rPr>
          <w:szCs w:val="26"/>
        </w:rPr>
        <w:t xml:space="preserve"> that different parts of Assembly Bill 333 should be treated differently under </w:t>
      </w:r>
      <w:r w:rsidR="00303EE3" w:rsidRPr="00303EE3">
        <w:rPr>
          <w:i/>
          <w:iCs/>
          <w:szCs w:val="26"/>
        </w:rPr>
        <w:t>Estrada</w:t>
      </w:r>
      <w:r w:rsidR="006513EE">
        <w:rPr>
          <w:szCs w:val="26"/>
        </w:rPr>
        <w:t>.</w:t>
      </w:r>
      <w:r w:rsidR="00303EE3">
        <w:rPr>
          <w:szCs w:val="26"/>
        </w:rPr>
        <w:t xml:space="preserve">  The Legislature could have added an express savings clause carv</w:t>
      </w:r>
      <w:r w:rsidR="00AF47C9">
        <w:rPr>
          <w:szCs w:val="26"/>
        </w:rPr>
        <w:t>ing</w:t>
      </w:r>
      <w:r w:rsidR="00303EE3">
        <w:rPr>
          <w:szCs w:val="26"/>
        </w:rPr>
        <w:t xml:space="preserve"> out </w:t>
      </w:r>
      <w:r w:rsidR="00AF47C9">
        <w:rPr>
          <w:szCs w:val="26"/>
        </w:rPr>
        <w:t>a</w:t>
      </w:r>
      <w:r w:rsidR="00303EE3">
        <w:rPr>
          <w:szCs w:val="26"/>
        </w:rPr>
        <w:t xml:space="preserve"> section of the bill as prospective-only, but there is no</w:t>
      </w:r>
      <w:r w:rsidR="00AF47C9">
        <w:rPr>
          <w:szCs w:val="26"/>
        </w:rPr>
        <w:t xml:space="preserve"> such clause, and no</w:t>
      </w:r>
      <w:r w:rsidR="00303EE3">
        <w:rPr>
          <w:szCs w:val="26"/>
        </w:rPr>
        <w:t xml:space="preserve"> indication</w:t>
      </w:r>
      <w:r w:rsidR="00AF47C9">
        <w:rPr>
          <w:szCs w:val="26"/>
        </w:rPr>
        <w:t xml:space="preserve"> of</w:t>
      </w:r>
      <w:r w:rsidR="00BF47A2">
        <w:rPr>
          <w:szCs w:val="26"/>
        </w:rPr>
        <w:t xml:space="preserve"> </w:t>
      </w:r>
      <w:r w:rsidR="005941A4">
        <w:rPr>
          <w:szCs w:val="26"/>
        </w:rPr>
        <w:t xml:space="preserve">any </w:t>
      </w:r>
      <w:r w:rsidR="00BF47A2">
        <w:rPr>
          <w:szCs w:val="26"/>
        </w:rPr>
        <w:t xml:space="preserve">such </w:t>
      </w:r>
      <w:r w:rsidR="00AF47C9">
        <w:rPr>
          <w:szCs w:val="26"/>
        </w:rPr>
        <w:t>intent</w:t>
      </w:r>
      <w:r w:rsidR="00303EE3">
        <w:rPr>
          <w:szCs w:val="26"/>
        </w:rPr>
        <w:t>.</w:t>
      </w:r>
      <w:r w:rsidR="006513EE">
        <w:rPr>
          <w:szCs w:val="26"/>
        </w:rPr>
        <w:t xml:space="preserve">  </w:t>
      </w:r>
      <w:r w:rsidR="004702ED">
        <w:rPr>
          <w:szCs w:val="26"/>
        </w:rPr>
        <w:t xml:space="preserve">To the contrary, the </w:t>
      </w:r>
      <w:r w:rsidR="00F81821">
        <w:rPr>
          <w:szCs w:val="26"/>
        </w:rPr>
        <w:t xml:space="preserve">legislative </w:t>
      </w:r>
      <w:r w:rsidR="004702ED">
        <w:rPr>
          <w:szCs w:val="26"/>
        </w:rPr>
        <w:t xml:space="preserve">findings setting forth the </w:t>
      </w:r>
      <w:r w:rsidR="00213E7F">
        <w:rPr>
          <w:szCs w:val="26"/>
        </w:rPr>
        <w:t xml:space="preserve">ameliorative </w:t>
      </w:r>
      <w:r w:rsidR="004702ED">
        <w:rPr>
          <w:szCs w:val="26"/>
        </w:rPr>
        <w:t>purposes of the bill apply to the</w:t>
      </w:r>
      <w:r w:rsidR="00DB716E">
        <w:rPr>
          <w:szCs w:val="26"/>
        </w:rPr>
        <w:t xml:space="preserve"> entire</w:t>
      </w:r>
      <w:r w:rsidR="004702ED">
        <w:rPr>
          <w:szCs w:val="26"/>
        </w:rPr>
        <w:t xml:space="preserve"> bill</w:t>
      </w:r>
      <w:r w:rsidR="00783B09">
        <w:rPr>
          <w:szCs w:val="26"/>
        </w:rPr>
        <w:t>,</w:t>
      </w:r>
      <w:r w:rsidR="004702ED">
        <w:rPr>
          <w:szCs w:val="26"/>
        </w:rPr>
        <w:t xml:space="preserve"> and </w:t>
      </w:r>
      <w:r w:rsidR="00783B09">
        <w:rPr>
          <w:szCs w:val="26"/>
        </w:rPr>
        <w:t xml:space="preserve">they </w:t>
      </w:r>
      <w:r w:rsidR="004702ED">
        <w:rPr>
          <w:szCs w:val="26"/>
        </w:rPr>
        <w:t>specifically address the reasons for the new bifurcation rules.</w:t>
      </w:r>
    </w:p>
    <w:p w14:paraId="7EC39C0F" w14:textId="194A6BE7" w:rsidR="00FA3E09" w:rsidRDefault="004702ED" w:rsidP="009E1C6F">
      <w:pPr>
        <w:rPr>
          <w:szCs w:val="26"/>
        </w:rPr>
      </w:pPr>
      <w:r>
        <w:rPr>
          <w:szCs w:val="26"/>
        </w:rPr>
        <w:lastRenderedPageBreak/>
        <w:tab/>
      </w:r>
      <w:r w:rsidR="00CB7BEC">
        <w:rPr>
          <w:szCs w:val="26"/>
        </w:rPr>
        <w:t>Moreover, a</w:t>
      </w:r>
      <w:r w:rsidR="00303EE3">
        <w:rPr>
          <w:szCs w:val="26"/>
        </w:rPr>
        <w:t>s the</w:t>
      </w:r>
      <w:r w:rsidR="000B15AE">
        <w:rPr>
          <w:szCs w:val="26"/>
        </w:rPr>
        <w:t xml:space="preserve"> Supreme Court observed in</w:t>
      </w:r>
      <w:r w:rsidR="00303EE3">
        <w:rPr>
          <w:szCs w:val="26"/>
        </w:rPr>
        <w:t xml:space="preserve"> </w:t>
      </w:r>
      <w:r w:rsidR="009F26E3" w:rsidRPr="009F26E3">
        <w:rPr>
          <w:i/>
          <w:iCs/>
          <w:szCs w:val="26"/>
        </w:rPr>
        <w:t>Frahs</w:t>
      </w:r>
      <w:r w:rsidR="00303EE3">
        <w:rPr>
          <w:szCs w:val="26"/>
        </w:rPr>
        <w:t>, the Legislature was aware</w:t>
      </w:r>
      <w:r w:rsidR="006513EE">
        <w:rPr>
          <w:szCs w:val="26"/>
        </w:rPr>
        <w:t xml:space="preserve"> of</w:t>
      </w:r>
      <w:r w:rsidR="00303EE3">
        <w:rPr>
          <w:szCs w:val="26"/>
        </w:rPr>
        <w:t xml:space="preserve"> </w:t>
      </w:r>
      <w:r w:rsidR="006513EE" w:rsidRPr="006513EE">
        <w:rPr>
          <w:i/>
          <w:iCs/>
          <w:szCs w:val="26"/>
        </w:rPr>
        <w:t>Lara</w:t>
      </w:r>
      <w:r w:rsidR="006513EE">
        <w:rPr>
          <w:szCs w:val="26"/>
        </w:rPr>
        <w:t xml:space="preserve">’s holding that </w:t>
      </w:r>
      <w:r w:rsidR="00D8308B">
        <w:rPr>
          <w:szCs w:val="26"/>
        </w:rPr>
        <w:t xml:space="preserve">a </w:t>
      </w:r>
      <w:r w:rsidR="006513EE">
        <w:rPr>
          <w:szCs w:val="26"/>
        </w:rPr>
        <w:t xml:space="preserve">statute possibly reducing punishment for a class of persons would apply retroactively.  </w:t>
      </w:r>
      <w:r w:rsidR="009E1C6F">
        <w:rPr>
          <w:szCs w:val="26"/>
        </w:rPr>
        <w:t>“[T]</w:t>
      </w:r>
      <w:r w:rsidR="009E1C6F" w:rsidRPr="009E1C6F">
        <w:rPr>
          <w:szCs w:val="26"/>
        </w:rPr>
        <w:t xml:space="preserve">he Legislature </w:t>
      </w:r>
      <w:r w:rsidR="009E1C6F">
        <w:rPr>
          <w:szCs w:val="26"/>
        </w:rPr>
        <w:t>‘</w:t>
      </w:r>
      <w:r w:rsidR="009E1C6F" w:rsidRPr="009E1C6F">
        <w:rPr>
          <w:szCs w:val="26"/>
        </w:rPr>
        <w:t>is deemed to be aware of existing laws and judicial constructions in effect at the time legislation is enacted.</w:t>
      </w:r>
      <w:r w:rsidR="009E1C6F">
        <w:rPr>
          <w:szCs w:val="26"/>
        </w:rPr>
        <w:t>’  [Citation.]”  (</w:t>
      </w:r>
      <w:r w:rsidR="009E1C6F" w:rsidRPr="009E1C6F">
        <w:rPr>
          <w:i/>
          <w:iCs/>
          <w:szCs w:val="26"/>
        </w:rPr>
        <w:t>Frahs</w:t>
      </w:r>
      <w:r w:rsidR="009E1C6F">
        <w:rPr>
          <w:szCs w:val="26"/>
        </w:rPr>
        <w:t xml:space="preserve">, </w:t>
      </w:r>
      <w:r w:rsidR="004B4748" w:rsidRPr="004B4748">
        <w:rPr>
          <w:i/>
          <w:iCs/>
          <w:szCs w:val="26"/>
        </w:rPr>
        <w:t>supra</w:t>
      </w:r>
      <w:r w:rsidR="004B4748">
        <w:rPr>
          <w:szCs w:val="26"/>
        </w:rPr>
        <w:t xml:space="preserve">, 9 Cal.5th </w:t>
      </w:r>
      <w:r w:rsidR="009E1C6F">
        <w:rPr>
          <w:szCs w:val="26"/>
        </w:rPr>
        <w:t>at p.</w:t>
      </w:r>
      <w:r w:rsidR="009E1C6F" w:rsidRPr="009E1C6F">
        <w:rPr>
          <w:szCs w:val="26"/>
        </w:rPr>
        <w:t xml:space="preserve"> 634</w:t>
      </w:r>
      <w:r w:rsidR="009E1C6F">
        <w:rPr>
          <w:szCs w:val="26"/>
        </w:rPr>
        <w:t>.)  “[T]</w:t>
      </w:r>
      <w:r w:rsidR="009E1C6F" w:rsidRPr="009E1C6F">
        <w:rPr>
          <w:szCs w:val="26"/>
        </w:rPr>
        <w:t xml:space="preserve">o rebut </w:t>
      </w:r>
      <w:r w:rsidR="009E1C6F" w:rsidRPr="009E1C6F">
        <w:rPr>
          <w:i/>
          <w:iCs/>
          <w:szCs w:val="26"/>
        </w:rPr>
        <w:t>Estrada</w:t>
      </w:r>
      <w:r w:rsidR="009E1C6F" w:rsidRPr="009E1C6F">
        <w:rPr>
          <w:szCs w:val="26"/>
        </w:rPr>
        <w:t xml:space="preserve">’s inference of retroactivity concerning ameliorative statutes, the Legislature must </w:t>
      </w:r>
      <w:r w:rsidR="009E1C6F">
        <w:rPr>
          <w:szCs w:val="26"/>
        </w:rPr>
        <w:t>‘</w:t>
      </w:r>
      <w:r w:rsidR="009E1C6F" w:rsidRPr="009E1C6F">
        <w:rPr>
          <w:szCs w:val="26"/>
        </w:rPr>
        <w:t>demonstrate its intention with sufficient clarity that a reviewing court can discern and effectuate it.</w:t>
      </w:r>
      <w:r w:rsidR="009E1C6F">
        <w:rPr>
          <w:szCs w:val="26"/>
        </w:rPr>
        <w:t>’ </w:t>
      </w:r>
      <w:r w:rsidR="00906F62">
        <w:rPr>
          <w:szCs w:val="26"/>
        </w:rPr>
        <w:t xml:space="preserve"> </w:t>
      </w:r>
      <w:r w:rsidR="009E1C6F">
        <w:rPr>
          <w:szCs w:val="26"/>
        </w:rPr>
        <w:t>[Citation.]”  (</w:t>
      </w:r>
      <w:r w:rsidR="009E1C6F" w:rsidRPr="009E1C6F">
        <w:rPr>
          <w:i/>
          <w:iCs/>
          <w:szCs w:val="26"/>
        </w:rPr>
        <w:t>Ibid.</w:t>
      </w:r>
      <w:r w:rsidR="009E1C6F">
        <w:rPr>
          <w:szCs w:val="26"/>
        </w:rPr>
        <w:t xml:space="preserve">) </w:t>
      </w:r>
      <w:r w:rsidR="003553D0">
        <w:rPr>
          <w:szCs w:val="26"/>
        </w:rPr>
        <w:t xml:space="preserve"> Thus, if the Legislature “</w:t>
      </w:r>
      <w:r w:rsidR="003553D0" w:rsidRPr="003553D0">
        <w:rPr>
          <w:szCs w:val="26"/>
        </w:rPr>
        <w:t xml:space="preserve">did not want the statute to apply retroactively to nonfinal judgments, it needed to clearly and directly indicate such intent in order to rebut </w:t>
      </w:r>
      <w:r w:rsidR="003553D0" w:rsidRPr="003553D0">
        <w:rPr>
          <w:i/>
          <w:iCs/>
          <w:szCs w:val="26"/>
        </w:rPr>
        <w:t>Estrada</w:t>
      </w:r>
      <w:r w:rsidR="003553D0" w:rsidRPr="003553D0">
        <w:rPr>
          <w:szCs w:val="26"/>
        </w:rPr>
        <w:t>’s inference of retroactivity.</w:t>
      </w:r>
      <w:r w:rsidR="003553D0">
        <w:rPr>
          <w:szCs w:val="26"/>
        </w:rPr>
        <w:t xml:space="preserve">” </w:t>
      </w:r>
      <w:r w:rsidR="004B4748">
        <w:rPr>
          <w:szCs w:val="26"/>
        </w:rPr>
        <w:t xml:space="preserve"> (</w:t>
      </w:r>
      <w:r w:rsidR="004B4748" w:rsidRPr="004B4748">
        <w:rPr>
          <w:i/>
          <w:iCs/>
          <w:szCs w:val="26"/>
        </w:rPr>
        <w:t>Id.</w:t>
      </w:r>
      <w:r w:rsidR="004B4748">
        <w:rPr>
          <w:szCs w:val="26"/>
        </w:rPr>
        <w:t xml:space="preserve"> at p. 635</w:t>
      </w:r>
      <w:r w:rsidR="00D8308B">
        <w:rPr>
          <w:szCs w:val="26"/>
        </w:rPr>
        <w:t>.</w:t>
      </w:r>
      <w:r w:rsidR="004B4748">
        <w:rPr>
          <w:szCs w:val="26"/>
        </w:rPr>
        <w:t>)</w:t>
      </w:r>
      <w:r w:rsidR="001E0521">
        <w:rPr>
          <w:szCs w:val="26"/>
        </w:rPr>
        <w:t xml:space="preserve">  This </w:t>
      </w:r>
      <w:r w:rsidR="0019343A">
        <w:rPr>
          <w:szCs w:val="26"/>
        </w:rPr>
        <w:t>admonition</w:t>
      </w:r>
      <w:r w:rsidR="001E0521">
        <w:rPr>
          <w:szCs w:val="26"/>
        </w:rPr>
        <w:t xml:space="preserve"> </w:t>
      </w:r>
      <w:r w:rsidR="0019343A">
        <w:rPr>
          <w:szCs w:val="26"/>
        </w:rPr>
        <w:t xml:space="preserve">carries </w:t>
      </w:r>
      <w:r w:rsidR="001E0521">
        <w:rPr>
          <w:szCs w:val="26"/>
        </w:rPr>
        <w:t xml:space="preserve">even greater weight here. </w:t>
      </w:r>
      <w:r w:rsidR="00D8308B">
        <w:rPr>
          <w:szCs w:val="26"/>
        </w:rPr>
        <w:t xml:space="preserve"> </w:t>
      </w:r>
      <w:r w:rsidR="009E1C6F">
        <w:rPr>
          <w:szCs w:val="26"/>
        </w:rPr>
        <w:t xml:space="preserve">It would be especially incongruous for the Legislature to </w:t>
      </w:r>
      <w:r w:rsidR="00FA3E09">
        <w:rPr>
          <w:szCs w:val="26"/>
        </w:rPr>
        <w:t xml:space="preserve">make one isolated section of </w:t>
      </w:r>
      <w:r w:rsidR="00724B73">
        <w:rPr>
          <w:szCs w:val="26"/>
        </w:rPr>
        <w:t>a</w:t>
      </w:r>
      <w:r w:rsidR="00FA3E09">
        <w:rPr>
          <w:szCs w:val="26"/>
        </w:rPr>
        <w:t xml:space="preserve"> bill prospective</w:t>
      </w:r>
      <w:r w:rsidR="00110BEA">
        <w:rPr>
          <w:szCs w:val="26"/>
        </w:rPr>
        <w:t>-only</w:t>
      </w:r>
      <w:r w:rsidR="00FA3E09">
        <w:rPr>
          <w:szCs w:val="26"/>
        </w:rPr>
        <w:t xml:space="preserve"> </w:t>
      </w:r>
      <w:r w:rsidR="009E1C6F">
        <w:rPr>
          <w:szCs w:val="26"/>
        </w:rPr>
        <w:t>without stating so expressly</w:t>
      </w:r>
      <w:r w:rsidR="007C4BBC">
        <w:rPr>
          <w:szCs w:val="26"/>
        </w:rPr>
        <w:t>,</w:t>
      </w:r>
      <w:r w:rsidR="00FA3E09">
        <w:rPr>
          <w:szCs w:val="26"/>
        </w:rPr>
        <w:t xml:space="preserve"> expect</w:t>
      </w:r>
      <w:r w:rsidR="007C4BBC">
        <w:rPr>
          <w:szCs w:val="26"/>
        </w:rPr>
        <w:t>ing</w:t>
      </w:r>
      <w:r w:rsidR="00FA3E09">
        <w:rPr>
          <w:szCs w:val="26"/>
        </w:rPr>
        <w:t xml:space="preserve"> </w:t>
      </w:r>
      <w:r w:rsidR="00F55C5C">
        <w:rPr>
          <w:szCs w:val="26"/>
        </w:rPr>
        <w:t xml:space="preserve">instead that </w:t>
      </w:r>
      <w:r w:rsidR="002D32DD">
        <w:rPr>
          <w:szCs w:val="26"/>
        </w:rPr>
        <w:t>a</w:t>
      </w:r>
      <w:r w:rsidR="00FA3E09">
        <w:rPr>
          <w:szCs w:val="26"/>
        </w:rPr>
        <w:t xml:space="preserve"> court </w:t>
      </w:r>
      <w:r w:rsidR="00F55C5C">
        <w:rPr>
          <w:szCs w:val="26"/>
        </w:rPr>
        <w:t>would</w:t>
      </w:r>
      <w:r w:rsidR="00454D7C">
        <w:rPr>
          <w:szCs w:val="26"/>
        </w:rPr>
        <w:t xml:space="preserve"> somehow</w:t>
      </w:r>
      <w:r w:rsidR="00FA3E09">
        <w:rPr>
          <w:szCs w:val="26"/>
        </w:rPr>
        <w:t xml:space="preserve"> discern this anomaly.</w:t>
      </w:r>
    </w:p>
    <w:p w14:paraId="0E9AC564" w14:textId="2018634A" w:rsidR="002D32DD" w:rsidRDefault="00FA3E09" w:rsidP="009E1C6F">
      <w:pPr>
        <w:rPr>
          <w:szCs w:val="26"/>
        </w:rPr>
      </w:pPr>
      <w:r>
        <w:rPr>
          <w:szCs w:val="26"/>
        </w:rPr>
        <w:tab/>
        <w:t xml:space="preserve">For the reasons above, we conclude Assembly Bill 333 operates retroactively, including </w:t>
      </w:r>
      <w:r w:rsidR="00CF100A">
        <w:rPr>
          <w:szCs w:val="26"/>
        </w:rPr>
        <w:t>the</w:t>
      </w:r>
      <w:r>
        <w:rPr>
          <w:szCs w:val="26"/>
        </w:rPr>
        <w:t xml:space="preserve"> </w:t>
      </w:r>
      <w:r w:rsidR="00321C94">
        <w:rPr>
          <w:szCs w:val="26"/>
        </w:rPr>
        <w:t xml:space="preserve">section that </w:t>
      </w:r>
      <w:r>
        <w:rPr>
          <w:szCs w:val="26"/>
        </w:rPr>
        <w:t>add</w:t>
      </w:r>
      <w:r w:rsidR="00321C94">
        <w:rPr>
          <w:szCs w:val="26"/>
        </w:rPr>
        <w:t>ed</w:t>
      </w:r>
      <w:r>
        <w:rPr>
          <w:szCs w:val="26"/>
        </w:rPr>
        <w:t xml:space="preserve"> </w:t>
      </w:r>
      <w:r w:rsidR="00B52485">
        <w:rPr>
          <w:szCs w:val="26"/>
        </w:rPr>
        <w:t xml:space="preserve">Penal Code </w:t>
      </w:r>
      <w:r>
        <w:rPr>
          <w:szCs w:val="26"/>
        </w:rPr>
        <w:t>section 1109.</w:t>
      </w:r>
      <w:r w:rsidR="00D114B1">
        <w:rPr>
          <w:szCs w:val="26"/>
        </w:rPr>
        <w:t xml:space="preserve"> </w:t>
      </w:r>
      <w:r w:rsidR="000A32B8">
        <w:rPr>
          <w:szCs w:val="26"/>
        </w:rPr>
        <w:t xml:space="preserve"> Because appellants’ convictions are not yet final, they are entitled to the benefit of the changes in the law.  </w:t>
      </w:r>
    </w:p>
    <w:p w14:paraId="60EFE79A" w14:textId="26696797" w:rsidR="009C2D66" w:rsidRDefault="000A32B8" w:rsidP="00A30D6E">
      <w:pPr>
        <w:rPr>
          <w:szCs w:val="26"/>
        </w:rPr>
      </w:pPr>
      <w:r>
        <w:rPr>
          <w:szCs w:val="26"/>
        </w:rPr>
        <w:tab/>
        <w:t xml:space="preserve">The case law does not clearly establish whether or how harmless error analysis applies in this instance.  </w:t>
      </w:r>
      <w:r w:rsidR="00E961D8">
        <w:rPr>
          <w:szCs w:val="26"/>
        </w:rPr>
        <w:t>It is difficult to determine how the outcome of the trial would have been affected if it had been bifurcated to try the gang enhancement</w:t>
      </w:r>
      <w:r w:rsidR="006A30B1">
        <w:rPr>
          <w:szCs w:val="26"/>
        </w:rPr>
        <w:t>s</w:t>
      </w:r>
      <w:r w:rsidR="00E961D8">
        <w:rPr>
          <w:szCs w:val="26"/>
        </w:rPr>
        <w:t xml:space="preserve"> separately; </w:t>
      </w:r>
      <w:r w:rsidR="006A30B1">
        <w:rPr>
          <w:szCs w:val="26"/>
        </w:rPr>
        <w:t xml:space="preserve">the </w:t>
      </w:r>
      <w:r w:rsidR="00E961D8">
        <w:rPr>
          <w:szCs w:val="26"/>
        </w:rPr>
        <w:t xml:space="preserve">nature of the proceeding would have been entirely different.  This </w:t>
      </w:r>
      <w:r w:rsidR="002B3F40">
        <w:rPr>
          <w:szCs w:val="26"/>
        </w:rPr>
        <w:t>circumstance</w:t>
      </w:r>
      <w:r w:rsidR="00E961D8">
        <w:rPr>
          <w:szCs w:val="26"/>
        </w:rPr>
        <w:t xml:space="preserve"> likely</w:t>
      </w:r>
      <w:r w:rsidR="00A30D6E">
        <w:rPr>
          <w:szCs w:val="26"/>
        </w:rPr>
        <w:t xml:space="preserve"> constitutes “structural error” because it</w:t>
      </w:r>
      <w:r w:rsidR="00E961D8">
        <w:rPr>
          <w:szCs w:val="26"/>
        </w:rPr>
        <w:t xml:space="preserve"> “def[ies] analysis by harmless-error standards.”  (</w:t>
      </w:r>
      <w:r w:rsidR="00E961D8" w:rsidRPr="00E961D8">
        <w:rPr>
          <w:i/>
          <w:iCs/>
          <w:szCs w:val="26"/>
        </w:rPr>
        <w:t>Arizona v. Fulminante</w:t>
      </w:r>
      <w:r w:rsidR="00E961D8" w:rsidRPr="00E961D8">
        <w:rPr>
          <w:szCs w:val="26"/>
        </w:rPr>
        <w:t xml:space="preserve"> (1991) 499 U.S. 279, 280</w:t>
      </w:r>
      <w:r w:rsidR="00E961D8">
        <w:rPr>
          <w:szCs w:val="26"/>
        </w:rPr>
        <w:t xml:space="preserve">.) </w:t>
      </w:r>
      <w:r w:rsidR="00A30D6E">
        <w:rPr>
          <w:szCs w:val="26"/>
        </w:rPr>
        <w:t xml:space="preserve"> “[T]</w:t>
      </w:r>
      <w:r w:rsidR="00A30D6E" w:rsidRPr="00A30D6E">
        <w:rPr>
          <w:szCs w:val="26"/>
        </w:rPr>
        <w:t>he defining</w:t>
      </w:r>
      <w:r w:rsidR="002348F5">
        <w:rPr>
          <w:szCs w:val="26"/>
        </w:rPr>
        <w:t xml:space="preserve"> </w:t>
      </w:r>
      <w:r w:rsidR="00A30D6E" w:rsidRPr="00A30D6E">
        <w:rPr>
          <w:szCs w:val="26"/>
        </w:rPr>
        <w:t xml:space="preserve">feature of a structural error is that it </w:t>
      </w:r>
      <w:r w:rsidR="00A30D6E">
        <w:rPr>
          <w:szCs w:val="26"/>
        </w:rPr>
        <w:t>‘</w:t>
      </w:r>
      <w:r w:rsidR="00A30D6E" w:rsidRPr="00A30D6E">
        <w:rPr>
          <w:szCs w:val="26"/>
        </w:rPr>
        <w:t>affect[s] the framework within which the trial proceeds,</w:t>
      </w:r>
      <w:r w:rsidR="00A30D6E">
        <w:rPr>
          <w:szCs w:val="26"/>
        </w:rPr>
        <w:t>’</w:t>
      </w:r>
      <w:r w:rsidR="00A30D6E" w:rsidRPr="00A30D6E">
        <w:rPr>
          <w:szCs w:val="26"/>
        </w:rPr>
        <w:t xml:space="preserve"> rather than being “simply an error in the trial process itself.”</w:t>
      </w:r>
      <w:r w:rsidR="00A30D6E">
        <w:rPr>
          <w:szCs w:val="26"/>
        </w:rPr>
        <w:t xml:space="preserve">  (</w:t>
      </w:r>
      <w:r w:rsidR="00A30D6E" w:rsidRPr="00A30D6E">
        <w:rPr>
          <w:i/>
          <w:iCs/>
          <w:szCs w:val="26"/>
        </w:rPr>
        <w:t>Weaver v. Massachusetts</w:t>
      </w:r>
      <w:r w:rsidR="00A30D6E" w:rsidRPr="00A30D6E">
        <w:rPr>
          <w:szCs w:val="26"/>
        </w:rPr>
        <w:t xml:space="preserve"> (2017) 137 S.Ct. 1899, 1907</w:t>
      </w:r>
      <w:r w:rsidR="00A30D6E">
        <w:rPr>
          <w:szCs w:val="26"/>
        </w:rPr>
        <w:t>.)</w:t>
      </w:r>
      <w:r w:rsidR="00540AC9">
        <w:rPr>
          <w:szCs w:val="26"/>
        </w:rPr>
        <w:t xml:space="preserve">  </w:t>
      </w:r>
      <w:r w:rsidR="004F79AA">
        <w:rPr>
          <w:szCs w:val="26"/>
        </w:rPr>
        <w:t>Bifurcation necessarily affects the “ ‘framework within which the trial proceeds.’ ”  (</w:t>
      </w:r>
      <w:r w:rsidR="004F79AA" w:rsidRPr="004F79AA">
        <w:rPr>
          <w:i/>
          <w:iCs/>
          <w:szCs w:val="26"/>
        </w:rPr>
        <w:t>Ibid.</w:t>
      </w:r>
      <w:r w:rsidR="004F79AA">
        <w:rPr>
          <w:szCs w:val="26"/>
        </w:rPr>
        <w:t>)</w:t>
      </w:r>
      <w:r w:rsidR="00942CEA">
        <w:rPr>
          <w:szCs w:val="26"/>
        </w:rPr>
        <w:t xml:space="preserve">  And as explained above, the legislative findings in Assembly Bill 333 underscore the inherently prejudicial nature of gang evidence.</w:t>
      </w:r>
    </w:p>
    <w:p w14:paraId="4AA81A2D" w14:textId="2568A5B7" w:rsidR="000D4778" w:rsidRPr="000D4778" w:rsidRDefault="009C2D66" w:rsidP="000D4778">
      <w:pPr>
        <w:rPr>
          <w:szCs w:val="26"/>
        </w:rPr>
      </w:pPr>
      <w:r>
        <w:rPr>
          <w:szCs w:val="26"/>
        </w:rPr>
        <w:lastRenderedPageBreak/>
        <w:tab/>
      </w:r>
      <w:r w:rsidR="00405980">
        <w:rPr>
          <w:szCs w:val="26"/>
        </w:rPr>
        <w:t>Even i</w:t>
      </w:r>
      <w:r w:rsidR="00540AC9">
        <w:rPr>
          <w:szCs w:val="26"/>
        </w:rPr>
        <w:t>f harmless error analysis is amenable, it is not clear whether we should apply the federal or state law standard.</w:t>
      </w:r>
      <w:r w:rsidR="00145FF5">
        <w:rPr>
          <w:szCs w:val="26"/>
        </w:rPr>
        <w:t xml:space="preserve"> </w:t>
      </w:r>
      <w:r w:rsidR="00720E2A">
        <w:rPr>
          <w:szCs w:val="26"/>
        </w:rPr>
        <w:t xml:space="preserve"> </w:t>
      </w:r>
      <w:r w:rsidR="00720E2A" w:rsidRPr="00AE006D">
        <w:rPr>
          <w:szCs w:val="26"/>
        </w:rPr>
        <w:t>(</w:t>
      </w:r>
      <w:r w:rsidR="00405980">
        <w:rPr>
          <w:szCs w:val="26"/>
        </w:rPr>
        <w:t>Compare</w:t>
      </w:r>
      <w:r w:rsidR="00720E2A" w:rsidRPr="00AE006D">
        <w:rPr>
          <w:szCs w:val="26"/>
        </w:rPr>
        <w:t xml:space="preserve"> </w:t>
      </w:r>
      <w:r w:rsidR="00720E2A" w:rsidRPr="00AE006D">
        <w:rPr>
          <w:i/>
          <w:iCs/>
          <w:szCs w:val="26"/>
        </w:rPr>
        <w:t>People v. Watson</w:t>
      </w:r>
      <w:r w:rsidR="00720E2A">
        <w:rPr>
          <w:szCs w:val="26"/>
        </w:rPr>
        <w:t xml:space="preserve"> (1956)</w:t>
      </w:r>
      <w:r w:rsidR="00720E2A" w:rsidRPr="00AE006D">
        <w:rPr>
          <w:szCs w:val="26"/>
        </w:rPr>
        <w:t xml:space="preserve"> 46 Cal.2d </w:t>
      </w:r>
      <w:r w:rsidR="00720E2A">
        <w:rPr>
          <w:szCs w:val="26"/>
        </w:rPr>
        <w:t>818,</w:t>
      </w:r>
      <w:r w:rsidR="00720E2A" w:rsidRPr="00AE006D">
        <w:rPr>
          <w:szCs w:val="26"/>
        </w:rPr>
        <w:t xml:space="preserve"> 836 [reasonable probability of a more favorable result absent the error]</w:t>
      </w:r>
      <w:r w:rsidR="007A21AE">
        <w:rPr>
          <w:szCs w:val="26"/>
        </w:rPr>
        <w:t xml:space="preserve"> with</w:t>
      </w:r>
      <w:r w:rsidR="00720E2A" w:rsidRPr="00AE006D">
        <w:rPr>
          <w:szCs w:val="26"/>
        </w:rPr>
        <w:t xml:space="preserve"> </w:t>
      </w:r>
      <w:r w:rsidR="00720E2A" w:rsidRPr="00720E2A">
        <w:rPr>
          <w:i/>
          <w:iCs/>
          <w:szCs w:val="26"/>
        </w:rPr>
        <w:t>Chapman v. California</w:t>
      </w:r>
      <w:r w:rsidR="00720E2A">
        <w:rPr>
          <w:szCs w:val="26"/>
        </w:rPr>
        <w:t xml:space="preserve"> (1967)</w:t>
      </w:r>
      <w:r w:rsidR="00720E2A" w:rsidRPr="00AE006D">
        <w:rPr>
          <w:szCs w:val="26"/>
        </w:rPr>
        <w:t xml:space="preserve"> 386 U.S. </w:t>
      </w:r>
      <w:r w:rsidR="00720E2A">
        <w:rPr>
          <w:szCs w:val="26"/>
        </w:rPr>
        <w:t>18,</w:t>
      </w:r>
      <w:r w:rsidR="00720E2A" w:rsidRPr="00AE006D">
        <w:rPr>
          <w:szCs w:val="26"/>
        </w:rPr>
        <w:t xml:space="preserve"> 24 [error must be harmless beyond a reasonable doubt].)</w:t>
      </w:r>
      <w:r w:rsidR="00145FF5">
        <w:rPr>
          <w:szCs w:val="26"/>
        </w:rPr>
        <w:t xml:space="preserve"> </w:t>
      </w:r>
      <w:r w:rsidR="007A21AE">
        <w:rPr>
          <w:szCs w:val="26"/>
        </w:rPr>
        <w:t xml:space="preserve"> </w:t>
      </w:r>
      <w:r w:rsidR="00145FF5">
        <w:rPr>
          <w:szCs w:val="26"/>
        </w:rPr>
        <w:t xml:space="preserve">The California Supreme Court considered but did not decide this issue in </w:t>
      </w:r>
      <w:r w:rsidR="00145FF5" w:rsidRPr="00145FF5">
        <w:rPr>
          <w:i/>
          <w:iCs/>
          <w:szCs w:val="26"/>
        </w:rPr>
        <w:t>People v. Wright</w:t>
      </w:r>
      <w:r w:rsidR="00145FF5" w:rsidRPr="00145FF5">
        <w:rPr>
          <w:szCs w:val="26"/>
        </w:rPr>
        <w:t xml:space="preserve"> (2006) 40 Cal.4th 81</w:t>
      </w:r>
      <w:r w:rsidR="00145FF5">
        <w:rPr>
          <w:szCs w:val="26"/>
        </w:rPr>
        <w:t xml:space="preserve"> (</w:t>
      </w:r>
      <w:r w:rsidR="00145FF5" w:rsidRPr="00145FF5">
        <w:rPr>
          <w:i/>
          <w:iCs/>
          <w:szCs w:val="26"/>
        </w:rPr>
        <w:t>Wright</w:t>
      </w:r>
      <w:r w:rsidR="00145FF5">
        <w:rPr>
          <w:szCs w:val="26"/>
        </w:rPr>
        <w:t xml:space="preserve">).  In </w:t>
      </w:r>
      <w:r w:rsidR="00145FF5" w:rsidRPr="00145FF5">
        <w:rPr>
          <w:i/>
          <w:iCs/>
          <w:szCs w:val="26"/>
        </w:rPr>
        <w:t>Wright</w:t>
      </w:r>
      <w:r w:rsidR="00145FF5">
        <w:rPr>
          <w:szCs w:val="26"/>
        </w:rPr>
        <w:t xml:space="preserve">, the </w:t>
      </w:r>
      <w:r w:rsidR="00B429B0">
        <w:rPr>
          <w:szCs w:val="26"/>
        </w:rPr>
        <w:t>Supreme C</w:t>
      </w:r>
      <w:r w:rsidR="00145FF5">
        <w:rPr>
          <w:szCs w:val="26"/>
        </w:rPr>
        <w:t xml:space="preserve">ourt held that a new law providing an affirmative defense for transportation of </w:t>
      </w:r>
      <w:r w:rsidR="000D4778">
        <w:rPr>
          <w:szCs w:val="26"/>
        </w:rPr>
        <w:t xml:space="preserve">medical </w:t>
      </w:r>
      <w:r w:rsidR="00145FF5">
        <w:rPr>
          <w:szCs w:val="26"/>
        </w:rPr>
        <w:t>marijuana applied retroactively</w:t>
      </w:r>
      <w:r w:rsidR="000D4778">
        <w:rPr>
          <w:szCs w:val="26"/>
        </w:rPr>
        <w:t>, and that the defendant was entitled to a jury instruction on it</w:t>
      </w:r>
      <w:r w:rsidR="00145FF5">
        <w:rPr>
          <w:szCs w:val="26"/>
        </w:rPr>
        <w:t>.</w:t>
      </w:r>
      <w:r w:rsidR="000D4778">
        <w:rPr>
          <w:szCs w:val="26"/>
        </w:rPr>
        <w:t xml:space="preserve">  (</w:t>
      </w:r>
      <w:r w:rsidR="000D4778" w:rsidRPr="000D4778">
        <w:rPr>
          <w:i/>
          <w:iCs/>
          <w:szCs w:val="26"/>
        </w:rPr>
        <w:t>Id.</w:t>
      </w:r>
      <w:r w:rsidR="000D4778">
        <w:rPr>
          <w:szCs w:val="26"/>
        </w:rPr>
        <w:t xml:space="preserve"> at p. 98.)  The </w:t>
      </w:r>
      <w:r w:rsidR="00B429B0">
        <w:rPr>
          <w:szCs w:val="26"/>
        </w:rPr>
        <w:t>Supreme C</w:t>
      </w:r>
      <w:r w:rsidR="000D4778">
        <w:rPr>
          <w:szCs w:val="26"/>
        </w:rPr>
        <w:t>ourt applied a harmless error analysis but found it unnecessary to decide which standard applied because the error was harmless under either the federal or state law standard.  (</w:t>
      </w:r>
      <w:r w:rsidR="000D4778" w:rsidRPr="000D4778">
        <w:rPr>
          <w:i/>
          <w:iCs/>
          <w:szCs w:val="26"/>
        </w:rPr>
        <w:t>Ibid.</w:t>
      </w:r>
      <w:r w:rsidR="000D4778">
        <w:rPr>
          <w:szCs w:val="26"/>
        </w:rPr>
        <w:t>)</w:t>
      </w:r>
    </w:p>
    <w:p w14:paraId="2E0108EA" w14:textId="34409144" w:rsidR="000D4778" w:rsidRPr="000D4778" w:rsidRDefault="000D4778" w:rsidP="000D4778">
      <w:pPr>
        <w:rPr>
          <w:szCs w:val="26"/>
        </w:rPr>
      </w:pPr>
      <w:r>
        <w:rPr>
          <w:szCs w:val="26"/>
        </w:rPr>
        <w:tab/>
        <w:t>A single instructional error</w:t>
      </w:r>
      <w:r w:rsidR="00720E2A">
        <w:rPr>
          <w:szCs w:val="26"/>
        </w:rPr>
        <w:t xml:space="preserve"> of the kind considered in </w:t>
      </w:r>
      <w:r w:rsidR="00720E2A" w:rsidRPr="00720E2A">
        <w:rPr>
          <w:i/>
          <w:iCs/>
          <w:szCs w:val="26"/>
        </w:rPr>
        <w:t>Wright</w:t>
      </w:r>
      <w:r>
        <w:rPr>
          <w:szCs w:val="26"/>
        </w:rPr>
        <w:t xml:space="preserve"> is far more </w:t>
      </w:r>
      <w:r w:rsidR="002D5BA6">
        <w:rPr>
          <w:szCs w:val="26"/>
        </w:rPr>
        <w:t xml:space="preserve">susceptible </w:t>
      </w:r>
      <w:r>
        <w:rPr>
          <w:szCs w:val="26"/>
        </w:rPr>
        <w:t>to harmless error analysis than the failure to bifurcate a trial on gang enhancements.  Even assuming we must assess prejudice, however, we conclude appellants suffered prejudice under either the federal or state law standard.</w:t>
      </w:r>
      <w:r w:rsidR="0016687A">
        <w:rPr>
          <w:szCs w:val="26"/>
        </w:rPr>
        <w:t xml:space="preserve">  First, the evidence identifying them as the robbers was not overwhelming.</w:t>
      </w:r>
      <w:r w:rsidR="004A684B">
        <w:rPr>
          <w:szCs w:val="26"/>
        </w:rPr>
        <w:t xml:space="preserve">  </w:t>
      </w:r>
      <w:r w:rsidR="0016687A">
        <w:rPr>
          <w:szCs w:val="26"/>
        </w:rPr>
        <w:t xml:space="preserve">As set forth in detail above, </w:t>
      </w:r>
      <w:r w:rsidR="004A684B">
        <w:rPr>
          <w:szCs w:val="26"/>
        </w:rPr>
        <w:t>neither victim identified any of the appellants at trial, and the evidence of their in-field identifications was somewhat muddled.  The victims described four to six men involved.  One of the charged men (Lozano) pleaded guilty before trial without identifying anyone else, and another one of the defendants (Byrd) was acquitted.  While the 7-Eleven videos put appellants near the scene of the robbery, th</w:t>
      </w:r>
      <w:r w:rsidR="00687768">
        <w:rPr>
          <w:szCs w:val="26"/>
        </w:rPr>
        <w:t>e evidence did not show them</w:t>
      </w:r>
      <w:r w:rsidR="004A684B">
        <w:rPr>
          <w:szCs w:val="26"/>
        </w:rPr>
        <w:t xml:space="preserve"> committ</w:t>
      </w:r>
      <w:r w:rsidR="00687768">
        <w:rPr>
          <w:szCs w:val="26"/>
        </w:rPr>
        <w:t>ing</w:t>
      </w:r>
      <w:r w:rsidR="004A684B">
        <w:rPr>
          <w:szCs w:val="26"/>
        </w:rPr>
        <w:t xml:space="preserve"> the crime.  Similarly, the fact that stolen evidence was found in Byrd’s apartment did not establish which of the persons inside the apartment actually stole it.</w:t>
      </w:r>
      <w:r w:rsidR="00A978E4">
        <w:rPr>
          <w:szCs w:val="26"/>
        </w:rPr>
        <w:t xml:space="preserve"> </w:t>
      </w:r>
      <w:r w:rsidR="00B76250">
        <w:rPr>
          <w:szCs w:val="26"/>
        </w:rPr>
        <w:t xml:space="preserve"> And Richardson presented plausible evidence that he had been mistaken for Keison Hames, another one of the persons found inside the apartment. </w:t>
      </w:r>
      <w:r w:rsidR="00A978E4">
        <w:rPr>
          <w:szCs w:val="26"/>
        </w:rPr>
        <w:t xml:space="preserve"> </w:t>
      </w:r>
      <w:r w:rsidR="00A36807">
        <w:rPr>
          <w:szCs w:val="26"/>
        </w:rPr>
        <w:t>Given</w:t>
      </w:r>
      <w:r w:rsidR="00B76250">
        <w:rPr>
          <w:szCs w:val="26"/>
        </w:rPr>
        <w:t xml:space="preserve"> this evidence, it is likely the jury relied on evidence of appellants’ gang membership in considering the identity issues.  </w:t>
      </w:r>
      <w:r w:rsidR="00A978E4">
        <w:rPr>
          <w:szCs w:val="26"/>
        </w:rPr>
        <w:t xml:space="preserve">Finally, there was no clear evidence that Stevenson </w:t>
      </w:r>
      <w:r w:rsidR="00A978E4">
        <w:rPr>
          <w:szCs w:val="26"/>
        </w:rPr>
        <w:lastRenderedPageBreak/>
        <w:t xml:space="preserve">actually did anything during the robbery apart from being present.  As we </w:t>
      </w:r>
      <w:r w:rsidR="00B5166B">
        <w:rPr>
          <w:szCs w:val="26"/>
        </w:rPr>
        <w:t>state</w:t>
      </w:r>
      <w:r w:rsidR="00A978E4">
        <w:rPr>
          <w:szCs w:val="26"/>
        </w:rPr>
        <w:t xml:space="preserve"> above, the jury likely relied on his gang affiliation to infer he aided and abetted </w:t>
      </w:r>
      <w:r w:rsidR="00B76250">
        <w:rPr>
          <w:szCs w:val="26"/>
        </w:rPr>
        <w:t>the robbery</w:t>
      </w:r>
      <w:r w:rsidR="00A978E4">
        <w:rPr>
          <w:szCs w:val="26"/>
        </w:rPr>
        <w:t xml:space="preserve">.  </w:t>
      </w:r>
    </w:p>
    <w:p w14:paraId="0393DFE2" w14:textId="4FC3401A" w:rsidR="00965CFE" w:rsidRDefault="00C95BC0" w:rsidP="0060236A">
      <w:pPr>
        <w:rPr>
          <w:szCs w:val="26"/>
        </w:rPr>
      </w:pPr>
      <w:r>
        <w:rPr>
          <w:szCs w:val="26"/>
        </w:rPr>
        <w:tab/>
      </w:r>
      <w:r w:rsidR="006701BE">
        <w:rPr>
          <w:szCs w:val="26"/>
        </w:rPr>
        <w:t>For all these reasons, we will reverse the robbery convictions, vacate the gang enhancement</w:t>
      </w:r>
      <w:r w:rsidR="001F51E7">
        <w:rPr>
          <w:szCs w:val="26"/>
        </w:rPr>
        <w:t>s</w:t>
      </w:r>
      <w:r w:rsidR="006701BE">
        <w:rPr>
          <w:szCs w:val="26"/>
        </w:rPr>
        <w:t>, and remand to the trial court for possible retrial under the new laws.</w:t>
      </w:r>
    </w:p>
    <w:p w14:paraId="12CC640C" w14:textId="77777777" w:rsidR="007A3462" w:rsidRPr="00EA6D98" w:rsidRDefault="007A3462" w:rsidP="007A3462">
      <w:pPr>
        <w:pStyle w:val="ListParagraph"/>
        <w:numPr>
          <w:ilvl w:val="0"/>
          <w:numId w:val="1"/>
        </w:numPr>
        <w:spacing w:line="480" w:lineRule="exact"/>
        <w:jc w:val="center"/>
        <w:rPr>
          <w:b/>
          <w:smallCaps/>
          <w:szCs w:val="26"/>
        </w:rPr>
      </w:pPr>
      <w:r w:rsidRPr="00EA6D98">
        <w:rPr>
          <w:b/>
          <w:smallCaps/>
          <w:szCs w:val="26"/>
        </w:rPr>
        <w:t>Disposition</w:t>
      </w:r>
    </w:p>
    <w:p w14:paraId="2131A5B5" w14:textId="38B92929" w:rsidR="001628EB" w:rsidRDefault="008D1AD9" w:rsidP="001628EB">
      <w:pPr>
        <w:spacing w:line="480" w:lineRule="exact"/>
        <w:rPr>
          <w:szCs w:val="26"/>
        </w:rPr>
      </w:pPr>
      <w:r w:rsidRPr="00EA6D98">
        <w:rPr>
          <w:szCs w:val="26"/>
        </w:rPr>
        <w:tab/>
      </w:r>
      <w:r w:rsidR="0060236A">
        <w:rPr>
          <w:szCs w:val="26"/>
        </w:rPr>
        <w:t>The judgment</w:t>
      </w:r>
      <w:r w:rsidR="006701BE">
        <w:rPr>
          <w:szCs w:val="26"/>
        </w:rPr>
        <w:t>s of conviction</w:t>
      </w:r>
      <w:r w:rsidR="0060236A">
        <w:rPr>
          <w:szCs w:val="26"/>
        </w:rPr>
        <w:t xml:space="preserve"> </w:t>
      </w:r>
      <w:r w:rsidR="006701BE">
        <w:rPr>
          <w:szCs w:val="26"/>
        </w:rPr>
        <w:t>are</w:t>
      </w:r>
      <w:r w:rsidR="0060236A">
        <w:rPr>
          <w:szCs w:val="26"/>
        </w:rPr>
        <w:t xml:space="preserve"> reversed,</w:t>
      </w:r>
      <w:r w:rsidR="006701BE">
        <w:rPr>
          <w:szCs w:val="26"/>
        </w:rPr>
        <w:t xml:space="preserve"> and</w:t>
      </w:r>
      <w:r w:rsidR="0060236A">
        <w:rPr>
          <w:szCs w:val="26"/>
        </w:rPr>
        <w:t xml:space="preserve"> </w:t>
      </w:r>
      <w:r w:rsidR="007E3942">
        <w:rPr>
          <w:szCs w:val="26"/>
        </w:rPr>
        <w:t xml:space="preserve">the </w:t>
      </w:r>
      <w:r w:rsidR="00CB2101">
        <w:rPr>
          <w:szCs w:val="26"/>
        </w:rPr>
        <w:t xml:space="preserve">true findings on all gang-related </w:t>
      </w:r>
      <w:r w:rsidR="007E3942">
        <w:rPr>
          <w:szCs w:val="26"/>
        </w:rPr>
        <w:t>allegations under Penal Code section 186.22 are vacated.</w:t>
      </w:r>
      <w:r w:rsidR="00CB2101">
        <w:rPr>
          <w:szCs w:val="26"/>
        </w:rPr>
        <w:t xml:space="preserve">  </w:t>
      </w:r>
      <w:r w:rsidR="007E3942">
        <w:rPr>
          <w:szCs w:val="26"/>
        </w:rPr>
        <w:t>The matter is remanded to the trial court for further proceedings.</w:t>
      </w:r>
    </w:p>
    <w:p w14:paraId="685AC0F0" w14:textId="77777777" w:rsidR="001628EB" w:rsidRDefault="001628EB" w:rsidP="001628EB">
      <w:pPr>
        <w:spacing w:line="480" w:lineRule="exact"/>
        <w:rPr>
          <w:szCs w:val="26"/>
        </w:rPr>
        <w:sectPr w:rsidR="001628EB" w:rsidSect="0061370F">
          <w:footerReference w:type="default" r:id="rId8"/>
          <w:pgSz w:w="12240" w:h="15840"/>
          <w:pgMar w:top="1440" w:right="1440" w:bottom="1440" w:left="1440" w:header="720" w:footer="720" w:gutter="0"/>
          <w:cols w:space="720"/>
          <w:titlePg/>
          <w:docGrid w:linePitch="360"/>
        </w:sectPr>
      </w:pPr>
    </w:p>
    <w:p w14:paraId="5EA602F5" w14:textId="77777777" w:rsidR="0018775E" w:rsidRPr="0018775E" w:rsidRDefault="0018775E" w:rsidP="0018775E">
      <w:pPr>
        <w:spacing w:line="240" w:lineRule="auto"/>
        <w:rPr>
          <w:rFonts w:eastAsia="Times New Roman"/>
          <w:kern w:val="2"/>
          <w:szCs w:val="20"/>
          <w:lang w:bidi="ar-SA"/>
        </w:rPr>
      </w:pPr>
      <w:bookmarkStart w:id="3" w:name="_Hlk92701360"/>
    </w:p>
    <w:p w14:paraId="21CC5B41" w14:textId="77777777" w:rsidR="0018775E" w:rsidRPr="0018775E" w:rsidRDefault="0018775E" w:rsidP="0018775E">
      <w:pPr>
        <w:spacing w:line="240" w:lineRule="auto"/>
        <w:rPr>
          <w:rFonts w:eastAsia="Times New Roman"/>
          <w:kern w:val="2"/>
          <w:szCs w:val="20"/>
          <w:lang w:bidi="ar-SA"/>
        </w:rPr>
      </w:pPr>
      <w:r w:rsidRPr="0018775E">
        <w:rPr>
          <w:rFonts w:eastAsia="Times New Roman"/>
          <w:kern w:val="2"/>
          <w:szCs w:val="20"/>
          <w:lang w:bidi="ar-SA"/>
        </w:rPr>
        <w:tab/>
      </w:r>
      <w:r w:rsidRPr="0018775E">
        <w:rPr>
          <w:rFonts w:eastAsia="Times New Roman"/>
          <w:kern w:val="2"/>
          <w:szCs w:val="20"/>
          <w:lang w:bidi="ar-SA"/>
        </w:rPr>
        <w:tab/>
      </w:r>
      <w:r w:rsidRPr="0018775E">
        <w:rPr>
          <w:rFonts w:eastAsia="Times New Roman"/>
          <w:kern w:val="2"/>
          <w:szCs w:val="20"/>
          <w:lang w:bidi="ar-SA"/>
        </w:rPr>
        <w:tab/>
      </w:r>
      <w:r w:rsidRPr="0018775E">
        <w:rPr>
          <w:rFonts w:eastAsia="Times New Roman"/>
          <w:kern w:val="2"/>
          <w:szCs w:val="20"/>
          <w:lang w:bidi="ar-SA"/>
        </w:rPr>
        <w:tab/>
      </w:r>
      <w:r w:rsidRPr="0018775E">
        <w:rPr>
          <w:rFonts w:eastAsia="Times New Roman"/>
          <w:kern w:val="2"/>
          <w:szCs w:val="20"/>
          <w:lang w:bidi="ar-SA"/>
        </w:rPr>
        <w:tab/>
        <w:t>_______________________________</w:t>
      </w:r>
    </w:p>
    <w:p w14:paraId="37D595D2" w14:textId="77777777" w:rsidR="0018775E" w:rsidRPr="0018775E" w:rsidRDefault="0018775E" w:rsidP="0018775E">
      <w:pPr>
        <w:spacing w:line="240" w:lineRule="auto"/>
        <w:rPr>
          <w:rFonts w:eastAsia="Times New Roman"/>
          <w:kern w:val="2"/>
          <w:szCs w:val="20"/>
          <w:lang w:bidi="ar-SA"/>
        </w:rPr>
      </w:pPr>
      <w:r w:rsidRPr="0018775E">
        <w:rPr>
          <w:rFonts w:eastAsia="Times New Roman"/>
          <w:kern w:val="2"/>
          <w:szCs w:val="20"/>
          <w:lang w:bidi="ar-SA"/>
        </w:rPr>
        <w:tab/>
      </w:r>
      <w:r w:rsidRPr="0018775E">
        <w:rPr>
          <w:rFonts w:eastAsia="Times New Roman"/>
          <w:kern w:val="2"/>
          <w:szCs w:val="20"/>
          <w:lang w:bidi="ar-SA"/>
        </w:rPr>
        <w:tab/>
      </w:r>
      <w:r w:rsidRPr="0018775E">
        <w:rPr>
          <w:rFonts w:eastAsia="Times New Roman"/>
          <w:kern w:val="2"/>
          <w:szCs w:val="20"/>
          <w:lang w:bidi="ar-SA"/>
        </w:rPr>
        <w:tab/>
      </w:r>
      <w:r w:rsidRPr="0018775E">
        <w:rPr>
          <w:rFonts w:eastAsia="Times New Roman"/>
          <w:kern w:val="2"/>
          <w:szCs w:val="20"/>
          <w:lang w:bidi="ar-SA"/>
        </w:rPr>
        <w:tab/>
      </w:r>
      <w:r w:rsidRPr="0018775E">
        <w:rPr>
          <w:rFonts w:eastAsia="Times New Roman"/>
          <w:kern w:val="2"/>
          <w:szCs w:val="20"/>
          <w:lang w:bidi="ar-SA"/>
        </w:rPr>
        <w:tab/>
        <w:t>Greenwood, P. J.</w:t>
      </w:r>
    </w:p>
    <w:p w14:paraId="17E15E87" w14:textId="77777777" w:rsidR="0018775E" w:rsidRPr="0018775E" w:rsidRDefault="0018775E" w:rsidP="0018775E">
      <w:pPr>
        <w:spacing w:line="240" w:lineRule="auto"/>
        <w:rPr>
          <w:rFonts w:eastAsia="Times New Roman"/>
          <w:kern w:val="2"/>
          <w:szCs w:val="20"/>
          <w:lang w:bidi="ar-SA"/>
        </w:rPr>
      </w:pPr>
    </w:p>
    <w:p w14:paraId="3BF40E3A" w14:textId="77777777" w:rsidR="0018775E" w:rsidRPr="0018775E" w:rsidRDefault="0018775E" w:rsidP="0018775E">
      <w:pPr>
        <w:spacing w:line="240" w:lineRule="auto"/>
        <w:rPr>
          <w:rFonts w:eastAsia="Times New Roman"/>
          <w:kern w:val="2"/>
          <w:szCs w:val="20"/>
          <w:lang w:bidi="ar-SA"/>
        </w:rPr>
      </w:pPr>
    </w:p>
    <w:p w14:paraId="1CD28EDB" w14:textId="77777777" w:rsidR="0018775E" w:rsidRPr="0018775E" w:rsidRDefault="0018775E" w:rsidP="0018775E">
      <w:pPr>
        <w:spacing w:line="240" w:lineRule="auto"/>
        <w:rPr>
          <w:rFonts w:eastAsia="Times New Roman"/>
          <w:kern w:val="2"/>
          <w:szCs w:val="20"/>
          <w:lang w:bidi="ar-SA"/>
        </w:rPr>
      </w:pPr>
    </w:p>
    <w:p w14:paraId="54BF1B7C" w14:textId="77777777" w:rsidR="0018775E" w:rsidRPr="0018775E" w:rsidRDefault="0018775E" w:rsidP="0018775E">
      <w:pPr>
        <w:spacing w:line="240" w:lineRule="auto"/>
        <w:rPr>
          <w:rFonts w:eastAsia="Times New Roman"/>
          <w:kern w:val="2"/>
          <w:szCs w:val="20"/>
          <w:lang w:bidi="ar-SA"/>
        </w:rPr>
      </w:pPr>
    </w:p>
    <w:p w14:paraId="428E392A" w14:textId="77777777" w:rsidR="0018775E" w:rsidRPr="0018775E" w:rsidRDefault="0018775E" w:rsidP="0018775E">
      <w:pPr>
        <w:spacing w:line="240" w:lineRule="auto"/>
        <w:rPr>
          <w:rFonts w:eastAsia="Times New Roman"/>
          <w:kern w:val="2"/>
          <w:szCs w:val="20"/>
          <w:lang w:bidi="ar-SA"/>
        </w:rPr>
      </w:pPr>
      <w:r w:rsidRPr="0018775E">
        <w:rPr>
          <w:rFonts w:eastAsia="Times New Roman"/>
          <w:kern w:val="2"/>
          <w:szCs w:val="20"/>
          <w:lang w:bidi="ar-SA"/>
        </w:rPr>
        <w:t>I CONCUR:</w:t>
      </w:r>
    </w:p>
    <w:p w14:paraId="6533E748" w14:textId="77777777" w:rsidR="0018775E" w:rsidRPr="0018775E" w:rsidRDefault="0018775E" w:rsidP="0018775E">
      <w:pPr>
        <w:spacing w:line="240" w:lineRule="auto"/>
        <w:rPr>
          <w:rFonts w:eastAsia="Times New Roman"/>
          <w:kern w:val="2"/>
          <w:szCs w:val="20"/>
          <w:lang w:bidi="ar-SA"/>
        </w:rPr>
      </w:pPr>
    </w:p>
    <w:p w14:paraId="133CABFF" w14:textId="77777777" w:rsidR="0018775E" w:rsidRPr="0018775E" w:rsidRDefault="0018775E" w:rsidP="0018775E">
      <w:pPr>
        <w:spacing w:line="240" w:lineRule="auto"/>
        <w:rPr>
          <w:rFonts w:eastAsia="Times New Roman"/>
          <w:kern w:val="2"/>
          <w:szCs w:val="20"/>
          <w:lang w:bidi="ar-SA"/>
        </w:rPr>
      </w:pPr>
    </w:p>
    <w:p w14:paraId="199F0C43" w14:textId="77777777" w:rsidR="0018775E" w:rsidRPr="0018775E" w:rsidRDefault="0018775E" w:rsidP="0018775E">
      <w:pPr>
        <w:spacing w:line="240" w:lineRule="auto"/>
        <w:rPr>
          <w:rFonts w:eastAsia="Times New Roman"/>
          <w:kern w:val="2"/>
          <w:szCs w:val="20"/>
          <w:lang w:bidi="ar-SA"/>
        </w:rPr>
      </w:pPr>
    </w:p>
    <w:p w14:paraId="05A629C7" w14:textId="77777777" w:rsidR="0018775E" w:rsidRPr="0018775E" w:rsidRDefault="0018775E" w:rsidP="0018775E">
      <w:pPr>
        <w:spacing w:line="240" w:lineRule="auto"/>
        <w:rPr>
          <w:rFonts w:eastAsia="Times New Roman"/>
          <w:kern w:val="2"/>
          <w:szCs w:val="20"/>
          <w:lang w:bidi="ar-SA"/>
        </w:rPr>
      </w:pPr>
    </w:p>
    <w:p w14:paraId="529D7D0D" w14:textId="77777777" w:rsidR="0018775E" w:rsidRPr="0018775E" w:rsidRDefault="0018775E" w:rsidP="0018775E">
      <w:pPr>
        <w:spacing w:line="240" w:lineRule="auto"/>
        <w:rPr>
          <w:rFonts w:eastAsia="Times New Roman"/>
          <w:kern w:val="2"/>
          <w:szCs w:val="20"/>
          <w:lang w:bidi="ar-SA"/>
        </w:rPr>
      </w:pPr>
    </w:p>
    <w:p w14:paraId="7ED339AE" w14:textId="77777777" w:rsidR="0018775E" w:rsidRPr="0018775E" w:rsidRDefault="0018775E" w:rsidP="0018775E">
      <w:pPr>
        <w:spacing w:line="240" w:lineRule="auto"/>
        <w:rPr>
          <w:rFonts w:eastAsia="Times New Roman"/>
          <w:kern w:val="2"/>
          <w:szCs w:val="20"/>
          <w:lang w:bidi="ar-SA"/>
        </w:rPr>
      </w:pPr>
    </w:p>
    <w:p w14:paraId="0858BFE0" w14:textId="77777777" w:rsidR="0018775E" w:rsidRPr="0018775E" w:rsidRDefault="0018775E" w:rsidP="0018775E">
      <w:pPr>
        <w:spacing w:line="240" w:lineRule="auto"/>
        <w:rPr>
          <w:rFonts w:eastAsia="Times New Roman"/>
          <w:kern w:val="2"/>
          <w:szCs w:val="20"/>
          <w:lang w:bidi="ar-SA"/>
        </w:rPr>
      </w:pPr>
      <w:r w:rsidRPr="0018775E">
        <w:rPr>
          <w:rFonts w:eastAsia="Times New Roman"/>
          <w:kern w:val="2"/>
          <w:szCs w:val="20"/>
          <w:lang w:bidi="ar-SA"/>
        </w:rPr>
        <w:t>________________________________</w:t>
      </w:r>
    </w:p>
    <w:p w14:paraId="4FC5AAFF" w14:textId="77777777" w:rsidR="0018775E" w:rsidRPr="0018775E" w:rsidRDefault="0018775E" w:rsidP="0018775E">
      <w:pPr>
        <w:spacing w:line="240" w:lineRule="auto"/>
        <w:rPr>
          <w:rFonts w:eastAsia="Times New Roman"/>
          <w:kern w:val="2"/>
          <w:szCs w:val="20"/>
          <w:lang w:bidi="ar-SA"/>
        </w:rPr>
      </w:pPr>
      <w:r w:rsidRPr="0018775E">
        <w:rPr>
          <w:rFonts w:eastAsia="Times New Roman"/>
          <w:szCs w:val="20"/>
          <w:lang w:bidi="ar-SA"/>
        </w:rPr>
        <w:t>Grover,</w:t>
      </w:r>
      <w:r w:rsidRPr="0018775E">
        <w:rPr>
          <w:rFonts w:eastAsia="Times New Roman"/>
          <w:kern w:val="2"/>
          <w:szCs w:val="20"/>
          <w:lang w:bidi="ar-SA"/>
        </w:rPr>
        <w:t xml:space="preserve"> J.</w:t>
      </w:r>
    </w:p>
    <w:p w14:paraId="6D3DE26F" w14:textId="77777777" w:rsidR="0018775E" w:rsidRPr="0018775E" w:rsidRDefault="0018775E" w:rsidP="0018775E">
      <w:pPr>
        <w:spacing w:line="240" w:lineRule="auto"/>
        <w:rPr>
          <w:rFonts w:eastAsia="Times New Roman"/>
          <w:kern w:val="2"/>
          <w:szCs w:val="20"/>
          <w:lang w:bidi="ar-SA"/>
        </w:rPr>
      </w:pPr>
    </w:p>
    <w:p w14:paraId="7A24A871" w14:textId="77777777" w:rsidR="0018775E" w:rsidRPr="0018775E" w:rsidRDefault="0018775E" w:rsidP="0018775E">
      <w:pPr>
        <w:spacing w:line="240" w:lineRule="auto"/>
        <w:rPr>
          <w:rFonts w:eastAsia="Times New Roman"/>
          <w:kern w:val="2"/>
          <w:szCs w:val="20"/>
          <w:lang w:bidi="ar-SA"/>
        </w:rPr>
      </w:pPr>
    </w:p>
    <w:p w14:paraId="6B5EFB72" w14:textId="77777777" w:rsidR="0018775E" w:rsidRPr="0018775E" w:rsidRDefault="0018775E" w:rsidP="0018775E">
      <w:pPr>
        <w:spacing w:line="240" w:lineRule="auto"/>
        <w:rPr>
          <w:rFonts w:eastAsia="Times New Roman"/>
          <w:kern w:val="2"/>
          <w:szCs w:val="20"/>
          <w:lang w:bidi="ar-SA"/>
        </w:rPr>
      </w:pPr>
    </w:p>
    <w:p w14:paraId="35E1431E" w14:textId="77777777" w:rsidR="0018775E" w:rsidRPr="0018775E" w:rsidRDefault="0018775E" w:rsidP="0018775E">
      <w:pPr>
        <w:spacing w:line="240" w:lineRule="auto"/>
        <w:rPr>
          <w:rFonts w:eastAsia="Times New Roman"/>
          <w:kern w:val="2"/>
          <w:szCs w:val="20"/>
          <w:lang w:bidi="ar-SA"/>
        </w:rPr>
      </w:pPr>
    </w:p>
    <w:p w14:paraId="1DD8B5BC" w14:textId="77777777" w:rsidR="0018775E" w:rsidRPr="0018775E" w:rsidRDefault="0018775E" w:rsidP="0018775E">
      <w:pPr>
        <w:spacing w:line="240" w:lineRule="auto"/>
        <w:rPr>
          <w:rFonts w:eastAsia="Times New Roman"/>
          <w:kern w:val="2"/>
          <w:szCs w:val="20"/>
          <w:lang w:bidi="ar-SA"/>
        </w:rPr>
      </w:pPr>
    </w:p>
    <w:p w14:paraId="1DC0ACFD" w14:textId="77777777" w:rsidR="0018775E" w:rsidRPr="0018775E" w:rsidRDefault="0018775E" w:rsidP="0018775E">
      <w:pPr>
        <w:spacing w:line="240" w:lineRule="auto"/>
        <w:rPr>
          <w:rFonts w:eastAsia="Times New Roman"/>
          <w:kern w:val="2"/>
          <w:szCs w:val="20"/>
          <w:lang w:bidi="ar-SA"/>
        </w:rPr>
      </w:pPr>
    </w:p>
    <w:p w14:paraId="03B92887" w14:textId="77777777" w:rsidR="0018775E" w:rsidRPr="0018775E" w:rsidRDefault="0018775E" w:rsidP="0018775E">
      <w:pPr>
        <w:spacing w:line="240" w:lineRule="auto"/>
        <w:rPr>
          <w:rFonts w:eastAsia="Times New Roman"/>
          <w:kern w:val="2"/>
          <w:szCs w:val="20"/>
          <w:lang w:bidi="ar-SA"/>
        </w:rPr>
      </w:pPr>
    </w:p>
    <w:p w14:paraId="71546283" w14:textId="77777777" w:rsidR="0018775E" w:rsidRPr="0018775E" w:rsidRDefault="0018775E" w:rsidP="0018775E">
      <w:pPr>
        <w:spacing w:line="240" w:lineRule="auto"/>
        <w:rPr>
          <w:rFonts w:eastAsia="Times New Roman"/>
          <w:kern w:val="2"/>
          <w:szCs w:val="20"/>
          <w:lang w:bidi="ar-SA"/>
        </w:rPr>
      </w:pPr>
    </w:p>
    <w:p w14:paraId="4D542085" w14:textId="77777777" w:rsidR="0018775E" w:rsidRPr="0018775E" w:rsidRDefault="0018775E" w:rsidP="0018775E">
      <w:pPr>
        <w:spacing w:line="240" w:lineRule="auto"/>
        <w:rPr>
          <w:rFonts w:eastAsia="Times New Roman"/>
          <w:kern w:val="2"/>
          <w:szCs w:val="20"/>
          <w:lang w:bidi="ar-SA"/>
        </w:rPr>
      </w:pPr>
    </w:p>
    <w:p w14:paraId="2F705B92" w14:textId="77777777" w:rsidR="0018775E" w:rsidRPr="0018775E" w:rsidRDefault="0018775E" w:rsidP="0018775E">
      <w:pPr>
        <w:spacing w:line="240" w:lineRule="auto"/>
        <w:rPr>
          <w:rFonts w:eastAsia="Times New Roman"/>
          <w:kern w:val="2"/>
          <w:szCs w:val="20"/>
          <w:lang w:bidi="ar-SA"/>
        </w:rPr>
      </w:pPr>
    </w:p>
    <w:p w14:paraId="0475ADEF" w14:textId="77777777" w:rsidR="0018775E" w:rsidRPr="0018775E" w:rsidRDefault="0018775E" w:rsidP="0018775E">
      <w:pPr>
        <w:spacing w:line="240" w:lineRule="auto"/>
        <w:rPr>
          <w:rFonts w:eastAsia="Times New Roman"/>
          <w:kern w:val="2"/>
          <w:szCs w:val="20"/>
          <w:lang w:bidi="ar-SA"/>
        </w:rPr>
      </w:pPr>
    </w:p>
    <w:p w14:paraId="319E5EA6" w14:textId="77777777" w:rsidR="0018775E" w:rsidRPr="0018775E" w:rsidRDefault="0018775E" w:rsidP="0018775E">
      <w:pPr>
        <w:spacing w:line="240" w:lineRule="auto"/>
        <w:rPr>
          <w:rFonts w:eastAsia="Times New Roman"/>
          <w:kern w:val="2"/>
          <w:szCs w:val="20"/>
          <w:lang w:bidi="ar-SA"/>
        </w:rPr>
      </w:pPr>
    </w:p>
    <w:p w14:paraId="23A1E252" w14:textId="77777777" w:rsidR="0018775E" w:rsidRPr="0018775E" w:rsidRDefault="0018775E" w:rsidP="0018775E">
      <w:pPr>
        <w:spacing w:line="240" w:lineRule="auto"/>
        <w:rPr>
          <w:rFonts w:eastAsia="Times New Roman"/>
          <w:kern w:val="2"/>
          <w:szCs w:val="20"/>
          <w:lang w:bidi="ar-SA"/>
        </w:rPr>
      </w:pPr>
    </w:p>
    <w:p w14:paraId="1474195E" w14:textId="77777777" w:rsidR="0018775E" w:rsidRPr="0018775E" w:rsidRDefault="0018775E" w:rsidP="0018775E">
      <w:pPr>
        <w:spacing w:line="240" w:lineRule="auto"/>
        <w:rPr>
          <w:rFonts w:eastAsia="Times New Roman"/>
          <w:kern w:val="2"/>
          <w:szCs w:val="20"/>
          <w:lang w:bidi="ar-SA"/>
        </w:rPr>
      </w:pPr>
    </w:p>
    <w:p w14:paraId="44FDD9C1" w14:textId="77777777" w:rsidR="0018775E" w:rsidRPr="0018775E" w:rsidRDefault="0018775E" w:rsidP="0018775E">
      <w:pPr>
        <w:spacing w:line="240" w:lineRule="auto"/>
        <w:rPr>
          <w:rFonts w:eastAsia="Times New Roman"/>
          <w:kern w:val="2"/>
          <w:szCs w:val="20"/>
          <w:lang w:bidi="ar-SA"/>
        </w:rPr>
      </w:pPr>
    </w:p>
    <w:p w14:paraId="59979A34" w14:textId="77777777" w:rsidR="0018775E" w:rsidRPr="0018775E" w:rsidRDefault="0018775E" w:rsidP="0018775E">
      <w:pPr>
        <w:spacing w:line="240" w:lineRule="auto"/>
        <w:rPr>
          <w:rFonts w:eastAsia="Times New Roman"/>
          <w:kern w:val="2"/>
          <w:szCs w:val="20"/>
          <w:lang w:bidi="ar-SA"/>
        </w:rPr>
      </w:pPr>
    </w:p>
    <w:p w14:paraId="2803959C" w14:textId="77777777" w:rsidR="0018775E" w:rsidRPr="0018775E" w:rsidRDefault="0018775E" w:rsidP="0018775E">
      <w:pPr>
        <w:spacing w:line="240" w:lineRule="auto"/>
        <w:rPr>
          <w:rFonts w:eastAsia="Times New Roman"/>
          <w:kern w:val="2"/>
          <w:szCs w:val="20"/>
          <w:lang w:bidi="ar-SA"/>
        </w:rPr>
      </w:pPr>
    </w:p>
    <w:p w14:paraId="2C8F378C" w14:textId="77777777" w:rsidR="0018775E" w:rsidRPr="0018775E" w:rsidRDefault="0018775E" w:rsidP="0018775E">
      <w:pPr>
        <w:spacing w:line="240" w:lineRule="auto"/>
        <w:rPr>
          <w:rFonts w:eastAsia="Times New Roman"/>
          <w:kern w:val="2"/>
          <w:szCs w:val="20"/>
          <w:lang w:bidi="ar-SA"/>
        </w:rPr>
      </w:pPr>
    </w:p>
    <w:p w14:paraId="0D52C057" w14:textId="77777777" w:rsidR="0018775E" w:rsidRPr="0018775E" w:rsidRDefault="0018775E" w:rsidP="0018775E">
      <w:pPr>
        <w:spacing w:line="240" w:lineRule="auto"/>
        <w:rPr>
          <w:rFonts w:eastAsia="Times New Roman"/>
          <w:kern w:val="2"/>
          <w:szCs w:val="20"/>
          <w:lang w:bidi="ar-SA"/>
        </w:rPr>
      </w:pPr>
    </w:p>
    <w:p w14:paraId="3AA99236" w14:textId="77777777" w:rsidR="0018775E" w:rsidRPr="0018775E" w:rsidRDefault="0018775E" w:rsidP="0018775E">
      <w:pPr>
        <w:spacing w:line="240" w:lineRule="auto"/>
        <w:rPr>
          <w:rFonts w:eastAsia="Times New Roman"/>
          <w:kern w:val="2"/>
          <w:szCs w:val="20"/>
          <w:lang w:bidi="ar-SA"/>
        </w:rPr>
      </w:pPr>
    </w:p>
    <w:p w14:paraId="165AFBD5" w14:textId="77777777" w:rsidR="0018775E" w:rsidRPr="0018775E" w:rsidRDefault="0018775E" w:rsidP="0018775E">
      <w:pPr>
        <w:spacing w:line="240" w:lineRule="auto"/>
        <w:rPr>
          <w:szCs w:val="22"/>
          <w:lang w:bidi="ar-SA"/>
        </w:rPr>
      </w:pPr>
      <w:r w:rsidRPr="0018775E">
        <w:rPr>
          <w:szCs w:val="22"/>
          <w:lang w:bidi="ar-SA"/>
        </w:rPr>
        <w:t>People v. Burgos et al.</w:t>
      </w:r>
    </w:p>
    <w:p w14:paraId="3B7BE888" w14:textId="77777777" w:rsidR="0018775E" w:rsidRPr="0018775E" w:rsidRDefault="0018775E" w:rsidP="0018775E">
      <w:pPr>
        <w:spacing w:line="240" w:lineRule="auto"/>
        <w:rPr>
          <w:szCs w:val="22"/>
          <w:lang w:bidi="ar-SA"/>
        </w:rPr>
      </w:pPr>
      <w:r w:rsidRPr="0018775E">
        <w:rPr>
          <w:szCs w:val="22"/>
          <w:lang w:bidi="ar-SA"/>
        </w:rPr>
        <w:t>H04</w:t>
      </w:r>
      <w:bookmarkEnd w:id="3"/>
      <w:r w:rsidRPr="0018775E">
        <w:rPr>
          <w:szCs w:val="22"/>
          <w:lang w:bidi="ar-SA"/>
        </w:rPr>
        <w:t>5212</w:t>
      </w:r>
    </w:p>
    <w:p w14:paraId="6DAD5EB9" w14:textId="77777777" w:rsidR="001628EB" w:rsidRDefault="001628EB" w:rsidP="001628EB">
      <w:pPr>
        <w:spacing w:line="480" w:lineRule="exact"/>
        <w:rPr>
          <w:szCs w:val="26"/>
        </w:rPr>
        <w:sectPr w:rsidR="001628EB" w:rsidSect="0061370F">
          <w:pgSz w:w="12240" w:h="15840"/>
          <w:pgMar w:top="1440" w:right="1440" w:bottom="1440" w:left="1440" w:header="720" w:footer="720" w:gutter="0"/>
          <w:cols w:space="720"/>
          <w:titlePg/>
          <w:docGrid w:linePitch="360"/>
        </w:sectPr>
      </w:pPr>
    </w:p>
    <w:p w14:paraId="1EF9A94D" w14:textId="77777777" w:rsidR="0018775E" w:rsidRPr="0018775E" w:rsidRDefault="0018775E" w:rsidP="0018775E">
      <w:pPr>
        <w:tabs>
          <w:tab w:val="clear" w:pos="720"/>
          <w:tab w:val="left" w:pos="1152"/>
        </w:tabs>
        <w:spacing w:line="240" w:lineRule="atLeast"/>
        <w:rPr>
          <w:rFonts w:eastAsia="Times New Roman"/>
          <w:b/>
          <w:szCs w:val="20"/>
          <w:lang w:bidi="ar-SA"/>
        </w:rPr>
      </w:pPr>
      <w:r w:rsidRPr="0018775E">
        <w:rPr>
          <w:rFonts w:eastAsia="Times New Roman"/>
          <w:b/>
          <w:sz w:val="36"/>
          <w:szCs w:val="20"/>
          <w:lang w:bidi="ar-SA"/>
        </w:rPr>
        <w:lastRenderedPageBreak/>
        <w:t>Elia, J., Dissenting</w:t>
      </w:r>
    </w:p>
    <w:p w14:paraId="6AE0A8E4" w14:textId="77777777" w:rsidR="0018775E" w:rsidRPr="0018775E" w:rsidRDefault="0018775E" w:rsidP="0018775E">
      <w:pPr>
        <w:tabs>
          <w:tab w:val="clear" w:pos="720"/>
          <w:tab w:val="left" w:pos="1152"/>
        </w:tabs>
        <w:spacing w:line="240" w:lineRule="atLeast"/>
        <w:rPr>
          <w:rFonts w:eastAsia="Times New Roman"/>
          <w:szCs w:val="20"/>
          <w:u w:val="single"/>
          <w:lang w:bidi="ar-SA"/>
        </w:rPr>
      </w:pPr>
      <w:r w:rsidRPr="0018775E">
        <w:rPr>
          <w:rFonts w:eastAsia="Times New Roman"/>
          <w:szCs w:val="20"/>
          <w:u w:val="single"/>
          <w:lang w:bidi="ar-SA"/>
        </w:rPr>
        <w:t xml:space="preserve">                 </w:t>
      </w:r>
    </w:p>
    <w:p w14:paraId="47BC1C54"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I respectfully disagree with the majority opinion’s conclusion that Penal Code section 1109’s</w:t>
      </w:r>
      <w:r w:rsidRPr="0018775E">
        <w:rPr>
          <w:rFonts w:eastAsia="Times New Roman"/>
          <w:b/>
          <w:position w:val="6"/>
          <w:szCs w:val="20"/>
          <w:vertAlign w:val="superscript"/>
          <w:lang w:bidi="ar-SA"/>
        </w:rPr>
        <w:footnoteReference w:id="5"/>
      </w:r>
      <w:r w:rsidRPr="0018775E">
        <w:rPr>
          <w:rFonts w:eastAsia="Times New Roman"/>
          <w:szCs w:val="20"/>
          <w:lang w:bidi="ar-SA"/>
        </w:rPr>
        <w:t xml:space="preserve"> bifurcation provisions are retroactively applicable under </w:t>
      </w:r>
      <w:r w:rsidRPr="0018775E">
        <w:rPr>
          <w:rFonts w:eastAsia="Times New Roman"/>
          <w:i/>
          <w:szCs w:val="20"/>
          <w:lang w:bidi="ar-SA"/>
        </w:rPr>
        <w:t>In re Estrada</w:t>
      </w:r>
      <w:r w:rsidRPr="0018775E">
        <w:rPr>
          <w:rFonts w:eastAsia="Times New Roman"/>
          <w:szCs w:val="20"/>
          <w:lang w:bidi="ar-SA"/>
        </w:rPr>
        <w:t xml:space="preserve"> (1965) 63 Cal.2d 740 to defendants who were tried prior to section 1109’s enactment.  In my view, section 1109 is not an </w:t>
      </w:r>
      <w:r w:rsidRPr="0018775E">
        <w:rPr>
          <w:rFonts w:eastAsia="Times New Roman"/>
          <w:i/>
          <w:iCs/>
          <w:szCs w:val="20"/>
          <w:lang w:bidi="ar-SA"/>
        </w:rPr>
        <w:t>ameliorative</w:t>
      </w:r>
      <w:r w:rsidRPr="0018775E">
        <w:rPr>
          <w:rFonts w:eastAsia="Times New Roman"/>
          <w:szCs w:val="20"/>
          <w:lang w:bidi="ar-SA"/>
        </w:rPr>
        <w:t xml:space="preserve"> statute within the meaning of the </w:t>
      </w:r>
      <w:r w:rsidRPr="0018775E">
        <w:rPr>
          <w:rFonts w:eastAsia="Times New Roman"/>
          <w:i/>
          <w:iCs/>
          <w:szCs w:val="20"/>
          <w:lang w:bidi="ar-SA"/>
        </w:rPr>
        <w:t>Estrada</w:t>
      </w:r>
      <w:r w:rsidRPr="0018775E">
        <w:rPr>
          <w:rFonts w:eastAsia="Times New Roman"/>
          <w:szCs w:val="20"/>
          <w:lang w:bidi="ar-SA"/>
        </w:rPr>
        <w:t xml:space="preserve"> rule, and therefore it is subject to the </w:t>
      </w:r>
      <w:r w:rsidRPr="0018775E">
        <w:rPr>
          <w:rFonts w:eastAsia="Times New Roman"/>
          <w:i/>
          <w:iCs/>
          <w:szCs w:val="20"/>
          <w:lang w:bidi="ar-SA"/>
        </w:rPr>
        <w:t>general rule</w:t>
      </w:r>
      <w:r w:rsidRPr="0018775E">
        <w:rPr>
          <w:rFonts w:eastAsia="Times New Roman"/>
          <w:szCs w:val="20"/>
          <w:lang w:bidi="ar-SA"/>
        </w:rPr>
        <w:t xml:space="preserve"> that Penal Code provisions are presumed to be prospective only.  The legislative history of section 1109 is consistent with this presumption, so I would conclude that section 1109 is not retroactive.   </w:t>
      </w:r>
    </w:p>
    <w:p w14:paraId="169792C4" w14:textId="77777777" w:rsidR="0018775E" w:rsidRPr="0018775E" w:rsidRDefault="0018775E" w:rsidP="0018775E">
      <w:pPr>
        <w:tabs>
          <w:tab w:val="clear" w:pos="720"/>
        </w:tabs>
        <w:rPr>
          <w:rFonts w:eastAsia="Times New Roman"/>
          <w:szCs w:val="20"/>
          <w:lang w:val="en" w:bidi="ar-SA"/>
        </w:rPr>
      </w:pPr>
      <w:r w:rsidRPr="0018775E">
        <w:rPr>
          <w:rFonts w:eastAsia="Times New Roman"/>
          <w:szCs w:val="20"/>
          <w:lang w:bidi="ar-SA"/>
        </w:rPr>
        <w:tab/>
        <w:t xml:space="preserve">Assembly Bill No. 333 (2021-2022 Reg. Sess.) amended section 186.22 and enacted section 1109.  Section 1109, which took effect on January 1, 2022, provides:  </w:t>
      </w:r>
      <w:r w:rsidRPr="0018775E">
        <w:rPr>
          <w:rFonts w:eastAsia="Times New Roman"/>
          <w:szCs w:val="20"/>
          <w:lang w:val="en" w:bidi="ar-SA"/>
        </w:rPr>
        <w:t xml:space="preserve">“(a) If requested by the defense, a case in which a gang enhancement is charged under subdivision (b) or (d) of Section 186.22 shall be tried in separate phases as follows:  [¶]  (1) The question of the defendant’s guilt of the underlying offense shall be first determined.  [¶]  (2) If the defendant is found guilty of the underlying offense and there is an allegation of an enhancement under subdivision (b) or (d) of Section 186.22, there shall be further proceedings to the trier of fact on the question of the truth of the enhancement.  Allegations that the underlying offense was committed for the benefit of, at the direction of, or in association with, a criminal street gang and that the underlying offense was committed with the specific intent to promote, further, or assist in criminal conduct by gang members shall be proved by direct or circumstantial evidence.  [¶]  (b) If a defendant is charged with a violation of subdivision (a) of Section 186.22, this count shall be tried separately from all other counts that do not otherwise require gang evidence as an element of the crime. </w:t>
      </w:r>
      <w:r w:rsidRPr="0018775E">
        <w:rPr>
          <w:rFonts w:eastAsia="Times New Roman"/>
          <w:szCs w:val="20"/>
          <w:lang w:bidi="ar-SA"/>
        </w:rPr>
        <w:t xml:space="preserve"> </w:t>
      </w:r>
      <w:r w:rsidRPr="0018775E">
        <w:rPr>
          <w:rFonts w:eastAsia="Times New Roman"/>
          <w:szCs w:val="20"/>
          <w:lang w:val="en" w:bidi="ar-SA"/>
        </w:rPr>
        <w:t xml:space="preserve">This charge may be tried </w:t>
      </w:r>
      <w:r w:rsidRPr="0018775E">
        <w:rPr>
          <w:rFonts w:eastAsia="Times New Roman"/>
          <w:szCs w:val="20"/>
          <w:lang w:val="en" w:bidi="ar-SA"/>
        </w:rPr>
        <w:lastRenderedPageBreak/>
        <w:t xml:space="preserve">in the same proceeding with an allegation of an enhancement under subdivision (b) or (d) of Section 186.22.”  </w:t>
      </w:r>
    </w:p>
    <w:p w14:paraId="4FE63149"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val="en" w:bidi="ar-SA"/>
        </w:rPr>
        <w:tab/>
        <w:t xml:space="preserve">Assembly Bill No. 333 was accompanied by a litany of legislative findings concerning both section 186.22 and section 1109.  Three of these findings are pertinent here:  (1) “According to the Committee on Revision of the Penal Code’s 2020 report:  [¶] . . . [¶] . . . </w:t>
      </w:r>
      <w:r w:rsidRPr="0018775E">
        <w:rPr>
          <w:rFonts w:eastAsia="Times New Roman"/>
          <w:szCs w:val="20"/>
          <w:lang w:bidi="ar-SA"/>
        </w:rPr>
        <w:t>Gang enhancement evidence can be unreliable and prejudicial to a jury because it is lumped into evidence of the underlying charges which further perpetuates unfair prejudice in juries and convictions of innocent people” (Stats. 2021, ch. 699, § 2, subd. (d)(6)); (2) “Studies suggest that allowing a jury to hear the kind of evidence that supports a gang enhancement before it has decided whether the defendant is guilty or not may lead to wrongful convictions.  [Citations.]  The mere specter of gang enhancements pressures defendants to accept unfavorable plea deals rather than risk a trial filled with prejudicial evidence and a substantially longer sentence” (</w:t>
      </w:r>
      <w:r w:rsidRPr="0018775E">
        <w:rPr>
          <w:rFonts w:eastAsia="Times New Roman"/>
          <w:i/>
          <w:iCs/>
          <w:szCs w:val="20"/>
          <w:lang w:bidi="ar-SA"/>
        </w:rPr>
        <w:t>Id.</w:t>
      </w:r>
      <w:r w:rsidRPr="0018775E">
        <w:rPr>
          <w:rFonts w:eastAsia="Times New Roman"/>
          <w:szCs w:val="20"/>
          <w:lang w:bidi="ar-SA"/>
        </w:rPr>
        <w:t>, § 2, subd. (e)); and (3) “Bifurcation of trials where gang evidence is alleged can help reduce its harmful and prejudicial impact” (</w:t>
      </w:r>
      <w:r w:rsidRPr="0018775E">
        <w:rPr>
          <w:rFonts w:eastAsia="Times New Roman"/>
          <w:i/>
          <w:iCs/>
          <w:szCs w:val="20"/>
          <w:lang w:bidi="ar-SA"/>
        </w:rPr>
        <w:t>Id.</w:t>
      </w:r>
      <w:r w:rsidRPr="0018775E">
        <w:rPr>
          <w:rFonts w:eastAsia="Times New Roman"/>
          <w:szCs w:val="20"/>
          <w:lang w:bidi="ar-SA"/>
        </w:rPr>
        <w:t xml:space="preserve">, § 2, subd. (f)).  In sum, the Legislature found that studies and reports had expressed concerns about the potential prejudice that could arise from trying gang enhancement allegations jointly with substantive offenses and expressed the belief that bifurcation could help reduce the risk of prejudice.  </w:t>
      </w:r>
    </w:p>
    <w:p w14:paraId="4CFD8D51"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Assembly Bill No. 333’s legislative history reflects the Legislature’s understanding of how existing law had addressed the potential prejudice from joint trial of gang enhancements and substantive offenses.  Trial courts had been granted “broad authority” to “grant bifurcation when requested” where gang evidence might be prejudicial to the defendant in the trial of the substantive offenses.  However, the Legislature understood that such requests were “rarely granted” because efficiency concerns weighed against bifurcation.  (Assem. Com. on Public Safety, Rep. on Assem. Bill No. 333 (2021-2022 Reg. Sess.) as amended March 30, 2021, pp. 3, 5, 6.)  </w:t>
      </w:r>
      <w:r w:rsidRPr="0018775E">
        <w:rPr>
          <w:rFonts w:eastAsia="Times New Roman"/>
          <w:szCs w:val="20"/>
          <w:lang w:bidi="ar-SA"/>
        </w:rPr>
        <w:lastRenderedPageBreak/>
        <w:t>The Committee on Revision of the Penal Code had observed that at least three other states required gang enhancement allegations to be bifurcated at trial.  (</w:t>
      </w:r>
      <w:r w:rsidRPr="0018775E">
        <w:rPr>
          <w:rFonts w:eastAsia="Times New Roman"/>
          <w:i/>
          <w:iCs/>
          <w:szCs w:val="20"/>
          <w:lang w:bidi="ar-SA"/>
        </w:rPr>
        <w:t>Id.</w:t>
      </w:r>
      <w:r w:rsidRPr="0018775E">
        <w:rPr>
          <w:rFonts w:eastAsia="Times New Roman"/>
          <w:szCs w:val="20"/>
          <w:lang w:bidi="ar-SA"/>
        </w:rPr>
        <w:t xml:space="preserve"> at p. 7.)  The purpose of section 1109 was to prevent “highly prejudicial ‘gang evidence’ ” from being presented to a jury before it decided whether the defendant was guilty of the substantive offenses.  (Assem. Com. on Public Safety, Rep. on Assem. Bill No. 333, </w:t>
      </w:r>
      <w:r w:rsidRPr="0018775E">
        <w:rPr>
          <w:rFonts w:eastAsia="Times New Roman"/>
          <w:i/>
          <w:iCs/>
          <w:szCs w:val="20"/>
          <w:lang w:bidi="ar-SA"/>
        </w:rPr>
        <w:t>supra</w:t>
      </w:r>
      <w:r w:rsidRPr="0018775E">
        <w:rPr>
          <w:rFonts w:eastAsia="Times New Roman"/>
          <w:szCs w:val="20"/>
          <w:lang w:bidi="ar-SA"/>
        </w:rPr>
        <w:t xml:space="preserve">, as amended March 30, 2021, p. 9.)  The Legislature acknowledged concerns about the additional burden that section 1109 would place on judicial resources.  (Assem. Com. on Public Safety, Rep. on Assem. Bill No. 333, </w:t>
      </w:r>
      <w:r w:rsidRPr="0018775E">
        <w:rPr>
          <w:rFonts w:eastAsia="Times New Roman"/>
          <w:i/>
          <w:iCs/>
          <w:szCs w:val="20"/>
          <w:lang w:bidi="ar-SA"/>
        </w:rPr>
        <w:t>supra</w:t>
      </w:r>
      <w:r w:rsidRPr="0018775E">
        <w:rPr>
          <w:rFonts w:eastAsia="Times New Roman"/>
          <w:szCs w:val="20"/>
          <w:lang w:bidi="ar-SA"/>
        </w:rPr>
        <w:t xml:space="preserve">, as amended March 30, 2021, p. 11.)  It relied on a fiscal analysis of the bifurcation provisions in section 1109 that was based on the assumption that the provisions would apply only prospectively.  (Sen. Com. on Appropriations, Analysis of Assem. Bill No. 333 (2021-2022 Reg. Sess.) as amended July 13, 2021, p. 3.)  </w:t>
      </w:r>
    </w:p>
    <w:p w14:paraId="3623476D"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Assembly Bill No. 333 did not expressly address whether any of its provisions were intended to apply retroactively or only prospectively.  “Generally, statutes are presumed to apply only prospectively.  [Citation.]  However, this presumption is a canon of statutory interpretation rather than a constitutional mandate.  [Citation.]  Accordingly, ‘the Legislature can ordinarily enact laws that apply retroactively, either explicitly or by implication.’  [Citation.]  Courts look to the Legislature’s intent in order to determine if a law is meant to apply retroactively.  [Citation.]  [¶]  In </w:t>
      </w:r>
      <w:r w:rsidRPr="0018775E">
        <w:rPr>
          <w:rFonts w:eastAsia="Times New Roman"/>
          <w:i/>
          <w:iCs/>
          <w:szCs w:val="20"/>
          <w:lang w:bidi="ar-SA"/>
        </w:rPr>
        <w:t>Estrada</w:t>
      </w:r>
      <w:r w:rsidRPr="0018775E">
        <w:rPr>
          <w:rFonts w:eastAsia="Times New Roman"/>
          <w:szCs w:val="20"/>
          <w:lang w:bidi="ar-SA"/>
        </w:rPr>
        <w:t xml:space="preserve"> . . . , [the California Supreme Court] held that amendatory statutes that </w:t>
      </w:r>
      <w:r w:rsidRPr="0018775E">
        <w:rPr>
          <w:rFonts w:eastAsia="Times New Roman"/>
          <w:i/>
          <w:iCs/>
          <w:szCs w:val="20"/>
          <w:lang w:bidi="ar-SA"/>
        </w:rPr>
        <w:t>lessen the punishment for criminal conduct</w:t>
      </w:r>
      <w:r w:rsidRPr="0018775E">
        <w:rPr>
          <w:rFonts w:eastAsia="Times New Roman"/>
          <w:szCs w:val="20"/>
          <w:lang w:bidi="ar-SA"/>
        </w:rPr>
        <w:t xml:space="preserve"> are ordinarily intended to apply retroactively.”  (</w:t>
      </w:r>
      <w:r w:rsidRPr="0018775E">
        <w:rPr>
          <w:rFonts w:eastAsia="Times New Roman"/>
          <w:i/>
          <w:iCs/>
          <w:szCs w:val="20"/>
          <w:lang w:bidi="ar-SA"/>
        </w:rPr>
        <w:t>People v. Frahs</w:t>
      </w:r>
      <w:r w:rsidRPr="0018775E">
        <w:rPr>
          <w:rFonts w:eastAsia="Times New Roman"/>
          <w:szCs w:val="20"/>
          <w:lang w:bidi="ar-SA"/>
        </w:rPr>
        <w:t> (2020) 9 Cal.5th 618, 627, italics added.)  “ ‘This intent seems obvious, because to hold otherwise would be to conclude that the Legislature was motivated by a desire for vengeance, a conclusion not permitted in view of modern theories of penology.’ ”  (</w:t>
      </w:r>
      <w:r w:rsidRPr="0018775E">
        <w:rPr>
          <w:rFonts w:eastAsia="Times New Roman"/>
          <w:i/>
          <w:iCs/>
          <w:szCs w:val="20"/>
          <w:lang w:bidi="ar-SA"/>
        </w:rPr>
        <w:t>Id</w:t>
      </w:r>
      <w:r w:rsidRPr="0018775E">
        <w:rPr>
          <w:rFonts w:eastAsia="Times New Roman"/>
          <w:szCs w:val="20"/>
          <w:lang w:bidi="ar-SA"/>
        </w:rPr>
        <w:t>. at p. 628.)</w:t>
      </w:r>
    </w:p>
    <w:p w14:paraId="0277E2C3"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“[The California Supreme Court has] applied </w:t>
      </w:r>
      <w:r w:rsidRPr="0018775E">
        <w:rPr>
          <w:rFonts w:eastAsia="Times New Roman"/>
          <w:i/>
          <w:iCs/>
          <w:szCs w:val="20"/>
          <w:lang w:bidi="ar-SA"/>
        </w:rPr>
        <w:t>Estrada</w:t>
      </w:r>
      <w:r w:rsidRPr="0018775E">
        <w:rPr>
          <w:rFonts w:eastAsia="Times New Roman"/>
          <w:szCs w:val="20"/>
          <w:lang w:bidi="ar-SA"/>
        </w:rPr>
        <w:t xml:space="preserve">’s inference of retroactivity to statutes governing penalty enhancements, as well as statutes governing </w:t>
      </w:r>
      <w:r w:rsidRPr="0018775E">
        <w:rPr>
          <w:rFonts w:eastAsia="Times New Roman"/>
          <w:szCs w:val="20"/>
          <w:lang w:bidi="ar-SA"/>
        </w:rPr>
        <w:lastRenderedPageBreak/>
        <w:t>substantive offenses.”  (</w:t>
      </w:r>
      <w:r w:rsidRPr="0018775E">
        <w:rPr>
          <w:rFonts w:eastAsia="Times New Roman"/>
          <w:i/>
          <w:iCs/>
          <w:szCs w:val="20"/>
          <w:lang w:bidi="ar-SA"/>
        </w:rPr>
        <w:t>Frahs</w:t>
      </w:r>
      <w:r w:rsidRPr="0018775E">
        <w:rPr>
          <w:rFonts w:eastAsia="Times New Roman"/>
          <w:szCs w:val="20"/>
          <w:lang w:bidi="ar-SA"/>
        </w:rPr>
        <w:t xml:space="preserve">, </w:t>
      </w:r>
      <w:r w:rsidRPr="0018775E">
        <w:rPr>
          <w:rFonts w:eastAsia="Times New Roman"/>
          <w:i/>
          <w:iCs/>
          <w:szCs w:val="20"/>
          <w:lang w:bidi="ar-SA"/>
        </w:rPr>
        <w:t>supra</w:t>
      </w:r>
      <w:r w:rsidRPr="0018775E">
        <w:rPr>
          <w:rFonts w:eastAsia="Times New Roman"/>
          <w:szCs w:val="20"/>
          <w:lang w:bidi="ar-SA"/>
        </w:rPr>
        <w:t>, 9 Cal.5th at p. 628.)  It has “also applied the </w:t>
      </w:r>
      <w:r w:rsidRPr="0018775E">
        <w:rPr>
          <w:rFonts w:eastAsia="Times New Roman"/>
          <w:i/>
          <w:iCs/>
          <w:szCs w:val="20"/>
          <w:lang w:bidi="ar-SA"/>
        </w:rPr>
        <w:t>Estrada</w:t>
      </w:r>
      <w:r w:rsidRPr="0018775E">
        <w:rPr>
          <w:rFonts w:eastAsia="Times New Roman"/>
          <w:szCs w:val="20"/>
          <w:lang w:bidi="ar-SA"/>
        </w:rPr>
        <w:t> rule to statutes that merely made a reduced punishment </w:t>
      </w:r>
      <w:r w:rsidRPr="0018775E">
        <w:rPr>
          <w:rFonts w:eastAsia="Times New Roman"/>
          <w:i/>
          <w:iCs/>
          <w:szCs w:val="20"/>
          <w:lang w:bidi="ar-SA"/>
        </w:rPr>
        <w:t>possible</w:t>
      </w:r>
      <w:r w:rsidRPr="0018775E">
        <w:rPr>
          <w:rFonts w:eastAsia="Times New Roman"/>
          <w:szCs w:val="20"/>
          <w:lang w:bidi="ar-SA"/>
        </w:rPr>
        <w:t>” by granting a court discretion to impose a lesser punishment.  (</w:t>
      </w:r>
      <w:r w:rsidRPr="0018775E">
        <w:rPr>
          <w:rFonts w:eastAsia="Times New Roman"/>
          <w:i/>
          <w:iCs/>
          <w:szCs w:val="20"/>
          <w:lang w:bidi="ar-SA"/>
        </w:rPr>
        <w:t>Id.</w:t>
      </w:r>
      <w:r w:rsidRPr="0018775E">
        <w:rPr>
          <w:rFonts w:eastAsia="Times New Roman"/>
          <w:szCs w:val="20"/>
          <w:lang w:bidi="ar-SA"/>
        </w:rPr>
        <w:t xml:space="preserve"> at p. 629.)  And the court has applied the </w:t>
      </w:r>
      <w:r w:rsidRPr="0018775E">
        <w:rPr>
          <w:rFonts w:eastAsia="Times New Roman"/>
          <w:i/>
          <w:iCs/>
          <w:szCs w:val="20"/>
          <w:lang w:bidi="ar-SA"/>
        </w:rPr>
        <w:t>Estrada</w:t>
      </w:r>
      <w:r w:rsidRPr="0018775E">
        <w:rPr>
          <w:rFonts w:eastAsia="Times New Roman"/>
          <w:szCs w:val="20"/>
          <w:lang w:bidi="ar-SA"/>
        </w:rPr>
        <w:t xml:space="preserve"> rule to statutes that made a reduced punishment possible for a “ ‘class of persons.’ ”  (</w:t>
      </w:r>
      <w:r w:rsidRPr="0018775E">
        <w:rPr>
          <w:rFonts w:eastAsia="Times New Roman"/>
          <w:i/>
          <w:iCs/>
          <w:szCs w:val="20"/>
          <w:lang w:bidi="ar-SA"/>
        </w:rPr>
        <w:t>Frahs</w:t>
      </w:r>
      <w:r w:rsidRPr="0018775E">
        <w:rPr>
          <w:rFonts w:eastAsia="Times New Roman"/>
          <w:szCs w:val="20"/>
          <w:lang w:bidi="ar-SA"/>
        </w:rPr>
        <w:t>, at p. 629</w:t>
      </w:r>
      <w:r w:rsidRPr="0018775E">
        <w:rPr>
          <w:rFonts w:eastAsia="Times New Roman"/>
          <w:i/>
          <w:iCs/>
          <w:szCs w:val="20"/>
          <w:lang w:bidi="ar-SA"/>
        </w:rPr>
        <w:t>.</w:t>
      </w:r>
      <w:r w:rsidRPr="0018775E">
        <w:rPr>
          <w:rFonts w:eastAsia="Times New Roman"/>
          <w:szCs w:val="20"/>
          <w:lang w:bidi="ar-SA"/>
        </w:rPr>
        <w:t xml:space="preserve">)  The </w:t>
      </w:r>
      <w:r w:rsidRPr="0018775E">
        <w:rPr>
          <w:rFonts w:eastAsia="Times New Roman"/>
          <w:i/>
          <w:iCs/>
          <w:szCs w:val="20"/>
          <w:lang w:bidi="ar-SA"/>
        </w:rPr>
        <w:t>Estrada</w:t>
      </w:r>
      <w:r w:rsidRPr="0018775E">
        <w:rPr>
          <w:rFonts w:eastAsia="Times New Roman"/>
          <w:szCs w:val="20"/>
          <w:lang w:bidi="ar-SA"/>
        </w:rPr>
        <w:t xml:space="preserve"> rule also has been applied to a statute expanding a defense to a crime.  (</w:t>
      </w:r>
      <w:r w:rsidRPr="0018775E">
        <w:rPr>
          <w:rFonts w:eastAsia="Times New Roman"/>
          <w:i/>
          <w:iCs/>
          <w:szCs w:val="20"/>
          <w:lang w:bidi="ar-SA"/>
        </w:rPr>
        <w:t>People v. Wright</w:t>
      </w:r>
      <w:r w:rsidRPr="0018775E">
        <w:rPr>
          <w:rFonts w:eastAsia="Times New Roman"/>
          <w:szCs w:val="20"/>
          <w:lang w:bidi="ar-SA"/>
        </w:rPr>
        <w:t xml:space="preserve"> (2006) 40 Cal.4th 81, 95.)  All of these applications of the </w:t>
      </w:r>
      <w:r w:rsidRPr="0018775E">
        <w:rPr>
          <w:rFonts w:eastAsia="Times New Roman"/>
          <w:i/>
          <w:iCs/>
          <w:szCs w:val="20"/>
          <w:lang w:bidi="ar-SA"/>
        </w:rPr>
        <w:t>Estrada</w:t>
      </w:r>
      <w:r w:rsidRPr="0018775E">
        <w:rPr>
          <w:rFonts w:eastAsia="Times New Roman"/>
          <w:szCs w:val="20"/>
          <w:lang w:bidi="ar-SA"/>
        </w:rPr>
        <w:t xml:space="preserve"> rule were facially “ameliorative” because they either reduced the punishment or created discretion to reduce the punishment for a criminal offense, or narrowed the scope of criminal liability.</w:t>
      </w:r>
    </w:p>
    <w:p w14:paraId="4C43153A"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In </w:t>
      </w:r>
      <w:r w:rsidRPr="0018775E">
        <w:rPr>
          <w:rFonts w:eastAsia="Times New Roman"/>
          <w:i/>
          <w:iCs/>
          <w:szCs w:val="20"/>
          <w:lang w:bidi="ar-SA"/>
        </w:rPr>
        <w:t>Frahs</w:t>
      </w:r>
      <w:r w:rsidRPr="0018775E">
        <w:rPr>
          <w:rFonts w:eastAsia="Times New Roman"/>
          <w:szCs w:val="20"/>
          <w:lang w:bidi="ar-SA"/>
        </w:rPr>
        <w:t xml:space="preserve">, the California Supreme Court applied the </w:t>
      </w:r>
      <w:r w:rsidRPr="0018775E">
        <w:rPr>
          <w:rFonts w:eastAsia="Times New Roman"/>
          <w:i/>
          <w:iCs/>
          <w:szCs w:val="20"/>
          <w:lang w:bidi="ar-SA"/>
        </w:rPr>
        <w:t>Estrada</w:t>
      </w:r>
      <w:r w:rsidRPr="0018775E">
        <w:rPr>
          <w:rFonts w:eastAsia="Times New Roman"/>
          <w:szCs w:val="20"/>
          <w:lang w:bidi="ar-SA"/>
        </w:rPr>
        <w:t xml:space="preserve"> rule to a newly enacted mental health diversion statute that provided eligible defendants with the possible opportunity to avoid penal consequences entirely if they successfully completed diversion.  (</w:t>
      </w:r>
      <w:r w:rsidRPr="0018775E">
        <w:rPr>
          <w:rFonts w:eastAsia="Times New Roman"/>
          <w:i/>
          <w:iCs/>
          <w:szCs w:val="20"/>
          <w:lang w:bidi="ar-SA"/>
        </w:rPr>
        <w:t>Frahs</w:t>
      </w:r>
      <w:r w:rsidRPr="0018775E">
        <w:rPr>
          <w:rFonts w:eastAsia="Times New Roman"/>
          <w:szCs w:val="20"/>
          <w:lang w:bidi="ar-SA"/>
        </w:rPr>
        <w:t xml:space="preserve">, </w:t>
      </w:r>
      <w:r w:rsidRPr="0018775E">
        <w:rPr>
          <w:rFonts w:eastAsia="Times New Roman"/>
          <w:i/>
          <w:iCs/>
          <w:szCs w:val="20"/>
          <w:lang w:bidi="ar-SA"/>
        </w:rPr>
        <w:t>supra</w:t>
      </w:r>
      <w:r w:rsidRPr="0018775E">
        <w:rPr>
          <w:rFonts w:eastAsia="Times New Roman"/>
          <w:szCs w:val="20"/>
          <w:lang w:bidi="ar-SA"/>
        </w:rPr>
        <w:t xml:space="preserve">, 9 Cal.5th at p. 631.)  It was undisputed in </w:t>
      </w:r>
      <w:r w:rsidRPr="0018775E">
        <w:rPr>
          <w:rFonts w:eastAsia="Times New Roman"/>
          <w:i/>
          <w:iCs/>
          <w:szCs w:val="20"/>
          <w:lang w:bidi="ar-SA"/>
        </w:rPr>
        <w:t>Frahs</w:t>
      </w:r>
      <w:r w:rsidRPr="0018775E">
        <w:rPr>
          <w:rFonts w:eastAsia="Times New Roman"/>
          <w:szCs w:val="20"/>
          <w:lang w:bidi="ar-SA"/>
        </w:rPr>
        <w:t xml:space="preserve"> that the diversion statute was “ameliorative” because it potentially eliminated punishment for an offense.  (</w:t>
      </w:r>
      <w:r w:rsidRPr="0018775E">
        <w:rPr>
          <w:rFonts w:eastAsia="Times New Roman"/>
          <w:i/>
          <w:iCs/>
          <w:szCs w:val="20"/>
          <w:lang w:bidi="ar-SA"/>
        </w:rPr>
        <w:t>Ibid.</w:t>
      </w:r>
      <w:r w:rsidRPr="0018775E">
        <w:rPr>
          <w:rFonts w:eastAsia="Times New Roman"/>
          <w:szCs w:val="20"/>
          <w:lang w:bidi="ar-SA"/>
        </w:rPr>
        <w:t xml:space="preserve">)  Similarly, in </w:t>
      </w:r>
      <w:r w:rsidRPr="0018775E">
        <w:rPr>
          <w:rFonts w:eastAsia="Times New Roman"/>
          <w:i/>
          <w:iCs/>
          <w:szCs w:val="20"/>
          <w:lang w:bidi="ar-SA"/>
        </w:rPr>
        <w:t>People v. Superior Court (Lara)</w:t>
      </w:r>
      <w:r w:rsidRPr="0018775E">
        <w:rPr>
          <w:rFonts w:eastAsia="Times New Roman"/>
          <w:szCs w:val="20"/>
          <w:lang w:bidi="ar-SA"/>
        </w:rPr>
        <w:t> (2018) 4 Cal.5th 299 (</w:t>
      </w:r>
      <w:r w:rsidRPr="0018775E">
        <w:rPr>
          <w:rFonts w:eastAsia="Times New Roman"/>
          <w:i/>
          <w:iCs/>
          <w:szCs w:val="20"/>
          <w:lang w:bidi="ar-SA"/>
        </w:rPr>
        <w:t>Lara</w:t>
      </w:r>
      <w:r w:rsidRPr="0018775E">
        <w:rPr>
          <w:rFonts w:eastAsia="Times New Roman"/>
          <w:szCs w:val="20"/>
          <w:lang w:bidi="ar-SA"/>
        </w:rPr>
        <w:t xml:space="preserve">), the California Supreme Court applied the </w:t>
      </w:r>
      <w:r w:rsidRPr="0018775E">
        <w:rPr>
          <w:rFonts w:eastAsia="Times New Roman"/>
          <w:i/>
          <w:iCs/>
          <w:szCs w:val="20"/>
          <w:lang w:bidi="ar-SA"/>
        </w:rPr>
        <w:t>Estrada</w:t>
      </w:r>
      <w:r w:rsidRPr="0018775E">
        <w:rPr>
          <w:rFonts w:eastAsia="Times New Roman"/>
          <w:szCs w:val="20"/>
          <w:lang w:bidi="ar-SA"/>
        </w:rPr>
        <w:t xml:space="preserve"> rule to an initiative measure that granted courts discretion to bar adult criminal proceedings, and their attendant criminal punishment, for certain juveniles and to require instead that they be subjected solely to juvenile court proceedings, which precluded criminal punishment.  As the court noted in </w:t>
      </w:r>
      <w:r w:rsidRPr="0018775E">
        <w:rPr>
          <w:rFonts w:eastAsia="Times New Roman"/>
          <w:i/>
          <w:iCs/>
          <w:szCs w:val="20"/>
          <w:lang w:bidi="ar-SA"/>
        </w:rPr>
        <w:t>Lara</w:t>
      </w:r>
      <w:r w:rsidRPr="0018775E">
        <w:rPr>
          <w:rFonts w:eastAsia="Times New Roman"/>
          <w:szCs w:val="20"/>
          <w:lang w:bidi="ar-SA"/>
        </w:rPr>
        <w:t>, “Proposition 57 did not ameliorate the punishment, or possible punishment, for a particular crime; rather, it ameliorated the possible punishment for a class of persons, namely juveniles.  But the same inference of retroactivity should apply.”  (</w:t>
      </w:r>
      <w:r w:rsidRPr="0018775E">
        <w:rPr>
          <w:rFonts w:eastAsia="Times New Roman"/>
          <w:i/>
          <w:iCs/>
          <w:szCs w:val="20"/>
          <w:lang w:bidi="ar-SA"/>
        </w:rPr>
        <w:t>Lara</w:t>
      </w:r>
      <w:r w:rsidRPr="0018775E">
        <w:rPr>
          <w:rFonts w:eastAsia="Times New Roman"/>
          <w:szCs w:val="20"/>
          <w:lang w:bidi="ar-SA"/>
        </w:rPr>
        <w:t xml:space="preserve">, at p. 308.)  </w:t>
      </w:r>
    </w:p>
    <w:p w14:paraId="4492295D"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Defendants, citing </w:t>
      </w:r>
      <w:r w:rsidRPr="0018775E">
        <w:rPr>
          <w:rFonts w:eastAsia="Times New Roman"/>
          <w:i/>
          <w:iCs/>
          <w:szCs w:val="20"/>
          <w:lang w:bidi="ar-SA"/>
        </w:rPr>
        <w:t>Estrada</w:t>
      </w:r>
      <w:r w:rsidRPr="0018775E">
        <w:rPr>
          <w:rFonts w:eastAsia="Times New Roman"/>
          <w:szCs w:val="20"/>
          <w:lang w:bidi="ar-SA"/>
        </w:rPr>
        <w:t xml:space="preserve">, </w:t>
      </w:r>
      <w:r w:rsidRPr="0018775E">
        <w:rPr>
          <w:rFonts w:eastAsia="Times New Roman"/>
          <w:i/>
          <w:iCs/>
          <w:szCs w:val="20"/>
          <w:lang w:bidi="ar-SA"/>
        </w:rPr>
        <w:t>Frahs</w:t>
      </w:r>
      <w:r w:rsidRPr="0018775E">
        <w:rPr>
          <w:rFonts w:eastAsia="Times New Roman"/>
          <w:szCs w:val="20"/>
          <w:lang w:bidi="ar-SA"/>
        </w:rPr>
        <w:t xml:space="preserve">, and </w:t>
      </w:r>
      <w:r w:rsidRPr="0018775E">
        <w:rPr>
          <w:rFonts w:eastAsia="Times New Roman"/>
          <w:i/>
          <w:iCs/>
          <w:szCs w:val="20"/>
          <w:lang w:bidi="ar-SA"/>
        </w:rPr>
        <w:t>Lara</w:t>
      </w:r>
      <w:r w:rsidRPr="0018775E">
        <w:rPr>
          <w:rFonts w:eastAsia="Times New Roman"/>
          <w:szCs w:val="20"/>
          <w:lang w:bidi="ar-SA"/>
        </w:rPr>
        <w:t xml:space="preserve">, claim that the </w:t>
      </w:r>
      <w:r w:rsidRPr="0018775E">
        <w:rPr>
          <w:rFonts w:eastAsia="Times New Roman"/>
          <w:i/>
          <w:iCs/>
          <w:szCs w:val="20"/>
          <w:lang w:bidi="ar-SA"/>
        </w:rPr>
        <w:t>Estrada</w:t>
      </w:r>
      <w:r w:rsidRPr="0018775E">
        <w:rPr>
          <w:rFonts w:eastAsia="Times New Roman"/>
          <w:szCs w:val="20"/>
          <w:lang w:bidi="ar-SA"/>
        </w:rPr>
        <w:t xml:space="preserve"> rule applies here.  However, none of those cases or any other has ever applied the </w:t>
      </w:r>
      <w:r w:rsidRPr="0018775E">
        <w:rPr>
          <w:rFonts w:eastAsia="Times New Roman"/>
          <w:i/>
          <w:iCs/>
          <w:szCs w:val="20"/>
          <w:lang w:bidi="ar-SA"/>
        </w:rPr>
        <w:t>Estrada</w:t>
      </w:r>
      <w:r w:rsidRPr="0018775E">
        <w:rPr>
          <w:rFonts w:eastAsia="Times New Roman"/>
          <w:szCs w:val="20"/>
          <w:lang w:bidi="ar-SA"/>
        </w:rPr>
        <w:t xml:space="preserve"> rule to a statute, like section 1109, that does not alter the punishment for an offense, make a lesser punishment possible, or change the elements of an offense or a defense.  Section </w:t>
      </w:r>
      <w:r w:rsidRPr="0018775E">
        <w:rPr>
          <w:rFonts w:eastAsia="Times New Roman"/>
          <w:szCs w:val="20"/>
          <w:lang w:bidi="ar-SA"/>
        </w:rPr>
        <w:lastRenderedPageBreak/>
        <w:t xml:space="preserve">1109, unlike all of the amendatory statutes to which the </w:t>
      </w:r>
      <w:r w:rsidRPr="0018775E">
        <w:rPr>
          <w:rFonts w:eastAsia="Times New Roman"/>
          <w:i/>
          <w:iCs/>
          <w:szCs w:val="20"/>
          <w:lang w:bidi="ar-SA"/>
        </w:rPr>
        <w:t>Estrada</w:t>
      </w:r>
      <w:r w:rsidRPr="0018775E">
        <w:rPr>
          <w:rFonts w:eastAsia="Times New Roman"/>
          <w:szCs w:val="20"/>
          <w:lang w:bidi="ar-SA"/>
        </w:rPr>
        <w:t xml:space="preserve"> rule has been applied, is a prophylactic rule of criminal procedure expressly intended to employ new procedures aimed at enhancing the fairness of future criminal proceedings.  It makes no change to any crime or defense and makes no change to any punishment provision, and it does not create the possibility of lesser punishment or any other “ameliorative” benefit from which it could be inferred that failing to extend that benefit retroactively must have been motivated by a “desire for vengeance.”  (</w:t>
      </w:r>
      <w:r w:rsidRPr="0018775E">
        <w:rPr>
          <w:rFonts w:eastAsia="Times New Roman"/>
          <w:i/>
          <w:iCs/>
          <w:szCs w:val="20"/>
          <w:lang w:bidi="ar-SA"/>
        </w:rPr>
        <w:t>Frahs</w:t>
      </w:r>
      <w:r w:rsidRPr="0018775E">
        <w:rPr>
          <w:rFonts w:eastAsia="Times New Roman"/>
          <w:szCs w:val="20"/>
          <w:lang w:bidi="ar-SA"/>
        </w:rPr>
        <w:t xml:space="preserve">, </w:t>
      </w:r>
      <w:r w:rsidRPr="0018775E">
        <w:rPr>
          <w:rFonts w:eastAsia="Times New Roman"/>
          <w:i/>
          <w:iCs/>
          <w:szCs w:val="20"/>
          <w:lang w:bidi="ar-SA"/>
        </w:rPr>
        <w:t>supra</w:t>
      </w:r>
      <w:r w:rsidRPr="0018775E">
        <w:rPr>
          <w:rFonts w:eastAsia="Times New Roman"/>
          <w:szCs w:val="20"/>
          <w:lang w:bidi="ar-SA"/>
        </w:rPr>
        <w:t>, 9 Cal.5th at p. 628.)</w:t>
      </w:r>
    </w:p>
    <w:p w14:paraId="3649B6B8"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The majority opinion mischaracterizes the California Supreme Court’s decision in </w:t>
      </w:r>
      <w:r w:rsidRPr="0018775E">
        <w:rPr>
          <w:rFonts w:eastAsia="Times New Roman"/>
          <w:i/>
          <w:iCs/>
          <w:szCs w:val="20"/>
          <w:lang w:bidi="ar-SA"/>
        </w:rPr>
        <w:t>Lara</w:t>
      </w:r>
      <w:r w:rsidRPr="0018775E">
        <w:rPr>
          <w:rFonts w:eastAsia="Times New Roman"/>
          <w:szCs w:val="20"/>
          <w:lang w:bidi="ar-SA"/>
        </w:rPr>
        <w:t xml:space="preserve"> as extending the </w:t>
      </w:r>
      <w:r w:rsidRPr="0018775E">
        <w:rPr>
          <w:rFonts w:eastAsia="Times New Roman"/>
          <w:i/>
          <w:iCs/>
          <w:szCs w:val="20"/>
          <w:lang w:bidi="ar-SA"/>
        </w:rPr>
        <w:t>Estrada</w:t>
      </w:r>
      <w:r w:rsidRPr="0018775E">
        <w:rPr>
          <w:rFonts w:eastAsia="Times New Roman"/>
          <w:szCs w:val="20"/>
          <w:lang w:bidi="ar-SA"/>
        </w:rPr>
        <w:t xml:space="preserve"> rule to “purely procedural changes that do not directly reduce the punishment for a crime.”  (Maj. opn., </w:t>
      </w:r>
      <w:r w:rsidRPr="0018775E">
        <w:rPr>
          <w:rFonts w:eastAsia="Times New Roman"/>
          <w:i/>
          <w:iCs/>
          <w:szCs w:val="20"/>
          <w:lang w:bidi="ar-SA"/>
        </w:rPr>
        <w:t>ante</w:t>
      </w:r>
      <w:r w:rsidRPr="0018775E">
        <w:rPr>
          <w:rFonts w:eastAsia="Times New Roman"/>
          <w:szCs w:val="20"/>
          <w:lang w:bidi="ar-SA"/>
        </w:rPr>
        <w:t xml:space="preserve">, at p. 15.)  Proposition 57 did not make “purely procedural changes,” but instead “directly” provided for the potential substitution of a juvenile disposition for any criminal punishment.  This was not a “purely procedural” change.  Section 1109, on the other hand, makes a “purely procedural” change to a trial procedure that will not have any impact “directly” or indirectly on </w:t>
      </w:r>
      <w:r w:rsidRPr="0018775E">
        <w:rPr>
          <w:rFonts w:eastAsia="Times New Roman"/>
          <w:i/>
          <w:iCs/>
          <w:szCs w:val="20"/>
          <w:lang w:bidi="ar-SA"/>
        </w:rPr>
        <w:t>punishment</w:t>
      </w:r>
      <w:r w:rsidRPr="0018775E">
        <w:rPr>
          <w:rFonts w:eastAsia="Times New Roman"/>
          <w:szCs w:val="20"/>
          <w:lang w:bidi="ar-SA"/>
        </w:rPr>
        <w:t xml:space="preserve">.  While section 1109 clearly applies to a class of defendants, those facing gang enhancement allegations, and was intended to promote fairness and reduce the potential for prejudice, the same could be said for virtually any procedural change, and the bifurcation provisions themselves do not reduce punishment or create the possibility of reduced punishment.  Nothing about the bifurcation provisions suggests that failing to extend them </w:t>
      </w:r>
      <w:r w:rsidRPr="0018775E">
        <w:rPr>
          <w:rFonts w:eastAsia="Times New Roman"/>
          <w:i/>
          <w:iCs/>
          <w:szCs w:val="20"/>
          <w:lang w:bidi="ar-SA"/>
        </w:rPr>
        <w:t>retroactively</w:t>
      </w:r>
      <w:r w:rsidRPr="0018775E">
        <w:rPr>
          <w:rFonts w:eastAsia="Times New Roman"/>
          <w:szCs w:val="20"/>
          <w:lang w:bidi="ar-SA"/>
        </w:rPr>
        <w:t xml:space="preserve"> could be attributed only to a desire for vengeance, the rationale behind the </w:t>
      </w:r>
      <w:r w:rsidRPr="0018775E">
        <w:rPr>
          <w:rFonts w:eastAsia="Times New Roman"/>
          <w:i/>
          <w:iCs/>
          <w:szCs w:val="20"/>
          <w:lang w:bidi="ar-SA"/>
        </w:rPr>
        <w:t>Estrada</w:t>
      </w:r>
      <w:r w:rsidRPr="0018775E">
        <w:rPr>
          <w:rFonts w:eastAsia="Times New Roman"/>
          <w:szCs w:val="20"/>
          <w:lang w:bidi="ar-SA"/>
        </w:rPr>
        <w:t xml:space="preserve"> rule.  The majority opinion’s mere speculation that a defendant might be acquitted if the gang allegations are bifurcated does not bring section 1109’s bifurcation provisions within the </w:t>
      </w:r>
      <w:r w:rsidRPr="0018775E">
        <w:rPr>
          <w:rFonts w:eastAsia="Times New Roman"/>
          <w:i/>
          <w:iCs/>
          <w:szCs w:val="20"/>
          <w:lang w:bidi="ar-SA"/>
        </w:rPr>
        <w:t>Estrada</w:t>
      </w:r>
      <w:r w:rsidRPr="0018775E">
        <w:rPr>
          <w:rFonts w:eastAsia="Times New Roman"/>
          <w:szCs w:val="20"/>
          <w:lang w:bidi="ar-SA"/>
        </w:rPr>
        <w:t xml:space="preserve"> rule.  (Maj. opn., </w:t>
      </w:r>
      <w:r w:rsidRPr="0018775E">
        <w:rPr>
          <w:rFonts w:eastAsia="Times New Roman"/>
          <w:i/>
          <w:iCs/>
          <w:szCs w:val="20"/>
          <w:lang w:bidi="ar-SA"/>
        </w:rPr>
        <w:t>ante</w:t>
      </w:r>
      <w:r w:rsidRPr="0018775E">
        <w:rPr>
          <w:rFonts w:eastAsia="Times New Roman"/>
          <w:szCs w:val="20"/>
          <w:lang w:bidi="ar-SA"/>
        </w:rPr>
        <w:t xml:space="preserve">, at p. 18) </w:t>
      </w:r>
    </w:p>
    <w:p w14:paraId="44F373D4"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The majority opinion gives short shrift to the fact that the </w:t>
      </w:r>
      <w:r w:rsidRPr="0018775E">
        <w:rPr>
          <w:rFonts w:eastAsia="Times New Roman"/>
          <w:i/>
          <w:iCs/>
          <w:szCs w:val="20"/>
          <w:lang w:bidi="ar-SA"/>
        </w:rPr>
        <w:t>Estrada</w:t>
      </w:r>
      <w:r w:rsidRPr="0018775E">
        <w:rPr>
          <w:rFonts w:eastAsia="Times New Roman"/>
          <w:szCs w:val="20"/>
          <w:lang w:bidi="ar-SA"/>
        </w:rPr>
        <w:t xml:space="preserve"> rule is an exception to the general rule.  “No part of [the Penal Code] is retroactive, unless </w:t>
      </w:r>
      <w:r w:rsidRPr="0018775E">
        <w:rPr>
          <w:rFonts w:eastAsia="Times New Roman"/>
          <w:szCs w:val="20"/>
          <w:lang w:bidi="ar-SA"/>
        </w:rPr>
        <w:lastRenderedPageBreak/>
        <w:t xml:space="preserve">expressly so declared.”  (§ 3.)  Thus, the default presumption, unless the </w:t>
      </w:r>
      <w:r w:rsidRPr="0018775E">
        <w:rPr>
          <w:rFonts w:eastAsia="Times New Roman"/>
          <w:i/>
          <w:iCs/>
          <w:szCs w:val="20"/>
          <w:lang w:bidi="ar-SA"/>
        </w:rPr>
        <w:t>Estrada</w:t>
      </w:r>
      <w:r w:rsidRPr="0018775E">
        <w:rPr>
          <w:rFonts w:eastAsia="Times New Roman"/>
          <w:szCs w:val="20"/>
          <w:lang w:bidi="ar-SA"/>
        </w:rPr>
        <w:t xml:space="preserve"> rule applies, is that a new law is </w:t>
      </w:r>
      <w:r w:rsidRPr="0018775E">
        <w:rPr>
          <w:rFonts w:eastAsia="Times New Roman"/>
          <w:i/>
          <w:iCs/>
          <w:szCs w:val="20"/>
          <w:lang w:bidi="ar-SA"/>
        </w:rPr>
        <w:t>not retroactive</w:t>
      </w:r>
      <w:r w:rsidRPr="0018775E">
        <w:rPr>
          <w:rFonts w:eastAsia="Times New Roman"/>
          <w:szCs w:val="20"/>
          <w:lang w:bidi="ar-SA"/>
        </w:rPr>
        <w:t xml:space="preserve">.  The </w:t>
      </w:r>
      <w:r w:rsidRPr="0018775E">
        <w:rPr>
          <w:rFonts w:eastAsia="Times New Roman"/>
          <w:i/>
          <w:iCs/>
          <w:szCs w:val="20"/>
          <w:lang w:bidi="ar-SA"/>
        </w:rPr>
        <w:t>Estrada</w:t>
      </w:r>
      <w:r w:rsidRPr="0018775E">
        <w:rPr>
          <w:rFonts w:eastAsia="Times New Roman"/>
          <w:szCs w:val="20"/>
          <w:lang w:bidi="ar-SA"/>
        </w:rPr>
        <w:t xml:space="preserve"> rule applies </w:t>
      </w:r>
      <w:r w:rsidRPr="0018775E">
        <w:rPr>
          <w:rFonts w:eastAsia="Times New Roman"/>
          <w:i/>
          <w:iCs/>
          <w:szCs w:val="20"/>
          <w:lang w:bidi="ar-SA"/>
        </w:rPr>
        <w:t>only</w:t>
      </w:r>
      <w:r w:rsidRPr="0018775E">
        <w:rPr>
          <w:rFonts w:eastAsia="Times New Roman"/>
          <w:szCs w:val="20"/>
          <w:lang w:bidi="ar-SA"/>
        </w:rPr>
        <w:t xml:space="preserve"> where the new law is “ameliorative” of criminal liability or punishment.  The general rule of prospectivity applies here because nothing in section 1109 is ameliorative of criminal liability or punishment.  Indeed, the Legislature’s express findings and the legislative history affirmatively demonstrate that section 1109 was intended to have a prophylactic effect at future criminal proceedings by mandating new procedures that were designed to reduce the risk of prejudice.  The majority opinion cites no authority for applying the </w:t>
      </w:r>
      <w:r w:rsidRPr="0018775E">
        <w:rPr>
          <w:rFonts w:eastAsia="Times New Roman"/>
          <w:i/>
          <w:iCs/>
          <w:szCs w:val="20"/>
          <w:lang w:bidi="ar-SA"/>
        </w:rPr>
        <w:t>Estrada</w:t>
      </w:r>
      <w:r w:rsidRPr="0018775E">
        <w:rPr>
          <w:rFonts w:eastAsia="Times New Roman"/>
          <w:szCs w:val="20"/>
          <w:lang w:bidi="ar-SA"/>
        </w:rPr>
        <w:t xml:space="preserve"> rule to a new law of this type.  Hence, the general rule applies, and section 1109 is presumptively </w:t>
      </w:r>
      <w:r w:rsidRPr="0018775E">
        <w:rPr>
          <w:rFonts w:eastAsia="Times New Roman"/>
          <w:i/>
          <w:iCs/>
          <w:szCs w:val="20"/>
          <w:lang w:bidi="ar-SA"/>
        </w:rPr>
        <w:t>not</w:t>
      </w:r>
      <w:r w:rsidRPr="0018775E">
        <w:rPr>
          <w:rFonts w:eastAsia="Times New Roman"/>
          <w:szCs w:val="20"/>
          <w:lang w:bidi="ar-SA"/>
        </w:rPr>
        <w:t xml:space="preserve"> retroactive.  </w:t>
      </w:r>
    </w:p>
    <w:p w14:paraId="4AAF74B1"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The majority opinion proclaims that “the legislative findings . . . show the Legislature intended to reduce punishment specifically for people of color.”  (Maj. opn., </w:t>
      </w:r>
      <w:r w:rsidRPr="0018775E">
        <w:rPr>
          <w:rFonts w:eastAsia="Times New Roman"/>
          <w:i/>
          <w:iCs/>
          <w:szCs w:val="20"/>
          <w:lang w:bidi="ar-SA"/>
        </w:rPr>
        <w:t>ante</w:t>
      </w:r>
      <w:r w:rsidRPr="0018775E">
        <w:rPr>
          <w:rFonts w:eastAsia="Times New Roman"/>
          <w:szCs w:val="20"/>
          <w:lang w:bidi="ar-SA"/>
        </w:rPr>
        <w:t xml:space="preserve">, at p. 16.)  It also reasons that “[b]y reducing the pressure to accept longer sentences, the new bifurcation statute will necessarily reduce the degree of punishment for” defendants charged with gang enhancements.  (Maj. opn., </w:t>
      </w:r>
      <w:r w:rsidRPr="0018775E">
        <w:rPr>
          <w:rFonts w:eastAsia="Times New Roman"/>
          <w:i/>
          <w:iCs/>
          <w:szCs w:val="20"/>
          <w:lang w:bidi="ar-SA"/>
        </w:rPr>
        <w:t>ante</w:t>
      </w:r>
      <w:r w:rsidRPr="0018775E">
        <w:rPr>
          <w:rFonts w:eastAsia="Times New Roman"/>
          <w:szCs w:val="20"/>
          <w:lang w:bidi="ar-SA"/>
        </w:rPr>
        <w:t xml:space="preserve">, at p. 18.)  In addition, the majority opinion rejects any approach that would separately analyze the retroactivity of each amendatory statute contained in a single legislative bill.  (Maj. opn., </w:t>
      </w:r>
      <w:r w:rsidRPr="0018775E">
        <w:rPr>
          <w:rFonts w:eastAsia="Times New Roman"/>
          <w:i/>
          <w:iCs/>
          <w:szCs w:val="20"/>
          <w:lang w:bidi="ar-SA"/>
        </w:rPr>
        <w:t>ante</w:t>
      </w:r>
      <w:r w:rsidRPr="0018775E">
        <w:rPr>
          <w:rFonts w:eastAsia="Times New Roman"/>
          <w:szCs w:val="20"/>
          <w:lang w:bidi="ar-SA"/>
        </w:rPr>
        <w:t xml:space="preserve">, at p. 18.) </w:t>
      </w:r>
    </w:p>
    <w:p w14:paraId="481C7AA0"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I disagree with these unsupported claims.  While the amendments to section 186.22 are indisputably ameliorative, since they narrow the scope of criminal liability, the majority opinion offers no substantive explanation for why the retroactivity of each amendatory statute in a single legislative bill should not be separately analyzed.</w:t>
      </w:r>
      <w:r w:rsidRPr="0018775E">
        <w:rPr>
          <w:rFonts w:eastAsia="Times New Roman"/>
          <w:b/>
          <w:position w:val="6"/>
          <w:szCs w:val="20"/>
          <w:vertAlign w:val="superscript"/>
          <w:lang w:bidi="ar-SA"/>
        </w:rPr>
        <w:footnoteReference w:id="6"/>
      </w:r>
      <w:r w:rsidRPr="0018775E">
        <w:rPr>
          <w:rFonts w:eastAsia="Times New Roman"/>
          <w:szCs w:val="20"/>
          <w:lang w:bidi="ar-SA"/>
        </w:rPr>
        <w:t xml:space="preserve">  </w:t>
      </w:r>
      <w:r w:rsidRPr="0018775E">
        <w:rPr>
          <w:rFonts w:eastAsia="Times New Roman"/>
          <w:szCs w:val="20"/>
          <w:lang w:bidi="ar-SA"/>
        </w:rPr>
        <w:lastRenderedPageBreak/>
        <w:t xml:space="preserve">Many legislative bills amend numerous (sometimes hundreds of) statutes, and whether a specific amendatory statute is subject to the </w:t>
      </w:r>
      <w:r w:rsidRPr="0018775E">
        <w:rPr>
          <w:rFonts w:eastAsia="Times New Roman"/>
          <w:i/>
          <w:iCs/>
          <w:szCs w:val="20"/>
          <w:lang w:bidi="ar-SA"/>
        </w:rPr>
        <w:t>Estrada</w:t>
      </w:r>
      <w:r w:rsidRPr="0018775E">
        <w:rPr>
          <w:rFonts w:eastAsia="Times New Roman"/>
          <w:szCs w:val="20"/>
          <w:lang w:bidi="ar-SA"/>
        </w:rPr>
        <w:t xml:space="preserve"> rule depends on the nature of the amendment, not the mere fact that the amendment was enacted in the company of other amendments in a single legislative bill.  The majority opinion’s claim that section 1109 “necessarily reduce[s] the degree of punishment” finds no support in section 1109’s provisions, in the Legislature’s findings, or in the legislative history.  Although the Legislature expressly intended section 1109 to enhance the fairness of future proceedings, there is a manifest distinction between the Legislature’s creation of new criminal procedures designed to enhance fairness and its enactment of provisions that reduce the possibility of punishment.  The underlying rationale for the </w:t>
      </w:r>
      <w:r w:rsidRPr="0018775E">
        <w:rPr>
          <w:rFonts w:eastAsia="Times New Roman"/>
          <w:i/>
          <w:iCs/>
          <w:szCs w:val="20"/>
          <w:lang w:bidi="ar-SA"/>
        </w:rPr>
        <w:t>Estrada</w:t>
      </w:r>
      <w:r w:rsidRPr="0018775E">
        <w:rPr>
          <w:rFonts w:eastAsia="Times New Roman"/>
          <w:szCs w:val="20"/>
          <w:lang w:bidi="ar-SA"/>
        </w:rPr>
        <w:t xml:space="preserve"> rule is to avoid the inference that the Legislature was bent on vengeance.  No such inference arises from the nonretroactivity of section 1109’s provisions.  Instead, the Legislature has clearly decided that these new procedures offer a better way to avoid the risk of undue prejudice than the previous procedures of discretionary bifurcation coupled with restrictive jury instructions.  The majority opinion’s attempt to expand the </w:t>
      </w:r>
      <w:r w:rsidRPr="0018775E">
        <w:rPr>
          <w:rFonts w:eastAsia="Times New Roman"/>
          <w:i/>
          <w:iCs/>
          <w:szCs w:val="20"/>
          <w:lang w:bidi="ar-SA"/>
        </w:rPr>
        <w:t>Estrada</w:t>
      </w:r>
      <w:r w:rsidRPr="0018775E">
        <w:rPr>
          <w:rFonts w:eastAsia="Times New Roman"/>
          <w:szCs w:val="20"/>
          <w:lang w:bidi="ar-SA"/>
        </w:rPr>
        <w:t xml:space="preserve"> rule beyond its rationale would permit the exception to swallow the general rule of nonretroactivity.</w:t>
      </w:r>
    </w:p>
    <w:p w14:paraId="07991B2E"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Defendants assert, but do not substantively develop, a claim that it would be a violation of equal protection to fail to apply section 1109 retroactively.  “ ‘ “ ‘The concept of the equal protection of the laws compels recognition of the proposition that persons similarly situated with respect to the legitimate purpose of the law receive like treatment.’ ” ’  [Citation.] . . . ‘[T]he first prerequisite to a meritorious claim under the equal protection clause is a showing that the state has adopted a classification that affects two or more </w:t>
      </w:r>
      <w:r w:rsidRPr="0018775E">
        <w:rPr>
          <w:rFonts w:eastAsia="Times New Roman"/>
          <w:i/>
          <w:iCs/>
          <w:szCs w:val="20"/>
          <w:lang w:bidi="ar-SA"/>
        </w:rPr>
        <w:t>similarly situated</w:t>
      </w:r>
      <w:r w:rsidRPr="0018775E">
        <w:rPr>
          <w:rFonts w:eastAsia="Times New Roman"/>
          <w:szCs w:val="20"/>
          <w:lang w:bidi="ar-SA"/>
        </w:rPr>
        <w:t xml:space="preserve"> groups in an unequal manner.’  [Citation.]  The use of the term ‘similarly situated’ in this context refers only to the fact that ‘ “[t]he Constitution does not require things which are different in fact or opinion to be treated in law as though they were the same.” . . . ’  [Citation.]  There is always some </w:t>
      </w:r>
      <w:r w:rsidRPr="0018775E">
        <w:rPr>
          <w:rFonts w:eastAsia="Times New Roman"/>
          <w:szCs w:val="20"/>
          <w:lang w:bidi="ar-SA"/>
        </w:rPr>
        <w:lastRenderedPageBreak/>
        <w:t>difference between the two groups which a law treats in an unequal manner since an equal protection claim necessarily asserts that the law in some way distinguishes between the two groups.  Thus, an equal protection claim cannot be resolved by simply observing that the members of group A have distinguishing characteristic X while the members of group B lack this characteristic.  The ‘similarly situated’ prerequisite simply means that an equal protection claim cannot succeed, and does not require further analysis, unless there is some showing that the two groups are sufficiently similar with respect to the purpose of the law in question that some level of scrutiny is required in order to determine whether the distinction is justified.”  (</w:t>
      </w:r>
      <w:r w:rsidRPr="0018775E">
        <w:rPr>
          <w:rFonts w:eastAsia="Times New Roman"/>
          <w:i/>
          <w:iCs/>
          <w:szCs w:val="20"/>
          <w:lang w:bidi="ar-SA"/>
        </w:rPr>
        <w:t>People v. Nguyen</w:t>
      </w:r>
      <w:r w:rsidRPr="0018775E">
        <w:rPr>
          <w:rFonts w:eastAsia="Times New Roman"/>
          <w:szCs w:val="20"/>
          <w:lang w:bidi="ar-SA"/>
        </w:rPr>
        <w:t xml:space="preserve"> (1997) 54 Cal.App.4th 705, 714.)  </w:t>
      </w:r>
    </w:p>
    <w:p w14:paraId="17B45907" w14:textId="77777777" w:rsidR="0018775E" w:rsidRPr="0018775E" w:rsidRDefault="0018775E" w:rsidP="0018775E">
      <w:pPr>
        <w:tabs>
          <w:tab w:val="clear" w:pos="720"/>
        </w:tabs>
        <w:rPr>
          <w:rFonts w:eastAsia="Times New Roman"/>
          <w:szCs w:val="20"/>
          <w:lang w:bidi="ar-SA"/>
        </w:rPr>
      </w:pPr>
      <w:r w:rsidRPr="0018775E">
        <w:rPr>
          <w:rFonts w:eastAsia="Times New Roman"/>
          <w:szCs w:val="20"/>
          <w:lang w:bidi="ar-SA"/>
        </w:rPr>
        <w:tab/>
        <w:t xml:space="preserve">Defendants make no showing that they are similarly situated to those who have </w:t>
      </w:r>
      <w:r w:rsidRPr="0018775E">
        <w:rPr>
          <w:rFonts w:eastAsia="Times New Roman"/>
          <w:i/>
          <w:iCs/>
          <w:szCs w:val="20"/>
          <w:lang w:bidi="ar-SA"/>
        </w:rPr>
        <w:t>not yet been tried</w:t>
      </w:r>
      <w:r w:rsidRPr="0018775E">
        <w:rPr>
          <w:rFonts w:eastAsia="Times New Roman"/>
          <w:szCs w:val="20"/>
          <w:lang w:bidi="ar-SA"/>
        </w:rPr>
        <w:t xml:space="preserve"> with respect to the purpose of section 1109.  Since section 1109 creates a new prophylactic procedural rule intended to avoid risks associated with unbifurcated trials, those who have already been tried are not similarly situated to those who have not been tried with respect to the reduction of those risks.  These risks were managed by a different mechanism, jury instructions, at defendants’ trial, and defendants do not argue that these instructions were inadequate.  Because defendants are not similarly situated to future defendants who will be tried under section 1109’s procedures, no further equal protection analysis is warranted.  In any case, the Legislature had an obvious rational basis for distinguishing between those who have already been tried and those who have not.  The preservation of judicial resources alone justifies the differential treatment.  Requiring retrial of the substantive offenses in every case in which there were gang allegations would be both disruptive and wasteful of judicial resources precisely at a time when those resources are in short supply.  I would find no equal protection violation. </w:t>
      </w:r>
    </w:p>
    <w:p w14:paraId="7CC8268C" w14:textId="77777777" w:rsidR="0018775E" w:rsidRPr="0018775E" w:rsidRDefault="0018775E" w:rsidP="0018775E">
      <w:pPr>
        <w:tabs>
          <w:tab w:val="clear" w:pos="720"/>
        </w:tabs>
        <w:rPr>
          <w:rFonts w:eastAsia="Times New Roman"/>
          <w:szCs w:val="20"/>
          <w:lang w:bidi="ar-SA"/>
        </w:rPr>
        <w:sectPr w:rsidR="0018775E" w:rsidRPr="0018775E" w:rsidSect="0018775E">
          <w:footerReference w:type="even" r:id="rId9"/>
          <w:footerReference w:type="default" r:id="rId10"/>
          <w:footnotePr>
            <w:numRestart w:val="eachSect"/>
          </w:footnotePr>
          <w:pgSz w:w="12240" w:h="15840"/>
          <w:pgMar w:top="1440" w:right="1584" w:bottom="1440" w:left="1584" w:header="720" w:footer="720" w:gutter="0"/>
          <w:paperSrc w:first="1" w:other="1"/>
          <w:pgNumType w:start="1"/>
          <w:cols w:space="720"/>
          <w:titlePg/>
        </w:sectPr>
      </w:pPr>
      <w:r w:rsidRPr="0018775E">
        <w:rPr>
          <w:rFonts w:eastAsia="Times New Roman"/>
          <w:szCs w:val="20"/>
          <w:lang w:bidi="ar-SA"/>
        </w:rPr>
        <w:tab/>
        <w:t xml:space="preserve">Because I disagree with the majority opinion’s determination that section 1109 is retroactive, I respectfully dissent from the majority opinion’s conclusion that </w:t>
      </w:r>
      <w:r w:rsidRPr="0018775E">
        <w:rPr>
          <w:rFonts w:eastAsia="Times New Roman"/>
          <w:szCs w:val="20"/>
          <w:lang w:bidi="ar-SA"/>
        </w:rPr>
        <w:lastRenderedPageBreak/>
        <w:t xml:space="preserve">defendants’ convictions on the substantive counts cannot be upheld and that the case must be remanded for possible retrial of the substantive counts.  I would remand for a possible retrial of the gang enhancements only. </w:t>
      </w:r>
    </w:p>
    <w:p w14:paraId="257BD43A" w14:textId="77777777" w:rsidR="0018775E" w:rsidRPr="0018775E" w:rsidRDefault="0018775E" w:rsidP="0018775E">
      <w:pPr>
        <w:tabs>
          <w:tab w:val="clear" w:pos="720"/>
        </w:tabs>
        <w:spacing w:line="240" w:lineRule="auto"/>
        <w:rPr>
          <w:rFonts w:eastAsia="Times New Roman"/>
          <w:szCs w:val="20"/>
          <w:lang w:bidi="ar-SA"/>
        </w:rPr>
      </w:pPr>
    </w:p>
    <w:p w14:paraId="1A898938" w14:textId="77777777" w:rsidR="0018775E" w:rsidRPr="0018775E" w:rsidRDefault="0018775E" w:rsidP="0018775E">
      <w:pPr>
        <w:tabs>
          <w:tab w:val="clear" w:pos="720"/>
        </w:tabs>
        <w:spacing w:line="240" w:lineRule="auto"/>
        <w:rPr>
          <w:rFonts w:eastAsia="Times New Roman"/>
          <w:szCs w:val="20"/>
          <w:lang w:bidi="ar-SA"/>
        </w:rPr>
      </w:pPr>
    </w:p>
    <w:p w14:paraId="2961DC26" w14:textId="77777777" w:rsidR="0018775E" w:rsidRPr="0018775E" w:rsidRDefault="0018775E" w:rsidP="0018775E">
      <w:pPr>
        <w:tabs>
          <w:tab w:val="clear" w:pos="720"/>
        </w:tabs>
        <w:spacing w:line="240" w:lineRule="auto"/>
        <w:rPr>
          <w:rFonts w:eastAsia="Times New Roman"/>
          <w:szCs w:val="20"/>
          <w:lang w:bidi="ar-SA"/>
        </w:rPr>
      </w:pPr>
    </w:p>
    <w:p w14:paraId="2A475720" w14:textId="77777777" w:rsidR="0018775E" w:rsidRPr="0018775E" w:rsidRDefault="0018775E" w:rsidP="0018775E">
      <w:pPr>
        <w:tabs>
          <w:tab w:val="clear" w:pos="720"/>
        </w:tabs>
        <w:spacing w:line="240" w:lineRule="auto"/>
        <w:rPr>
          <w:rFonts w:eastAsia="Times New Roman"/>
          <w:szCs w:val="20"/>
          <w:lang w:bidi="ar-SA"/>
        </w:rPr>
      </w:pPr>
    </w:p>
    <w:p w14:paraId="0DE63EBE" w14:textId="77777777" w:rsidR="0018775E" w:rsidRPr="0018775E" w:rsidRDefault="0018775E" w:rsidP="0018775E">
      <w:pPr>
        <w:tabs>
          <w:tab w:val="clear" w:pos="720"/>
        </w:tabs>
        <w:spacing w:line="240" w:lineRule="auto"/>
        <w:rPr>
          <w:rFonts w:eastAsia="Times New Roman"/>
          <w:szCs w:val="20"/>
          <w:lang w:bidi="ar-SA"/>
        </w:rPr>
      </w:pP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t>_______________________________</w:t>
      </w:r>
    </w:p>
    <w:p w14:paraId="5501C9E0" w14:textId="77777777" w:rsidR="0018775E" w:rsidRPr="0018775E" w:rsidRDefault="0018775E" w:rsidP="0018775E">
      <w:pPr>
        <w:tabs>
          <w:tab w:val="clear" w:pos="720"/>
        </w:tabs>
        <w:spacing w:line="240" w:lineRule="auto"/>
        <w:rPr>
          <w:rFonts w:eastAsia="Times New Roman"/>
          <w:szCs w:val="20"/>
          <w:lang w:bidi="ar-SA"/>
        </w:rPr>
      </w:pP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r>
      <w:r w:rsidRPr="0018775E">
        <w:rPr>
          <w:rFonts w:eastAsia="Times New Roman"/>
          <w:szCs w:val="20"/>
          <w:lang w:bidi="ar-SA"/>
        </w:rPr>
        <w:tab/>
        <w:t>ELIA, J.</w:t>
      </w:r>
    </w:p>
    <w:p w14:paraId="40AA81D3" w14:textId="77777777" w:rsidR="0018775E" w:rsidRPr="0018775E" w:rsidRDefault="0018775E" w:rsidP="0018775E">
      <w:pPr>
        <w:tabs>
          <w:tab w:val="clear" w:pos="720"/>
        </w:tabs>
        <w:spacing w:line="240" w:lineRule="auto"/>
        <w:rPr>
          <w:rFonts w:eastAsia="Times New Roman"/>
          <w:szCs w:val="20"/>
          <w:lang w:bidi="ar-SA"/>
        </w:rPr>
      </w:pPr>
    </w:p>
    <w:p w14:paraId="68434142" w14:textId="77777777" w:rsidR="0018775E" w:rsidRPr="0018775E" w:rsidRDefault="0018775E" w:rsidP="0018775E">
      <w:pPr>
        <w:tabs>
          <w:tab w:val="clear" w:pos="720"/>
        </w:tabs>
        <w:spacing w:line="240" w:lineRule="auto"/>
        <w:rPr>
          <w:rFonts w:eastAsia="Times New Roman"/>
          <w:szCs w:val="20"/>
          <w:lang w:bidi="ar-SA"/>
        </w:rPr>
      </w:pPr>
    </w:p>
    <w:p w14:paraId="772B775C" w14:textId="77777777" w:rsidR="0018775E" w:rsidRPr="0018775E" w:rsidRDefault="0018775E" w:rsidP="0018775E">
      <w:pPr>
        <w:tabs>
          <w:tab w:val="clear" w:pos="720"/>
        </w:tabs>
        <w:spacing w:line="240" w:lineRule="auto"/>
        <w:rPr>
          <w:rFonts w:eastAsia="Times New Roman"/>
          <w:szCs w:val="20"/>
          <w:lang w:bidi="ar-SA"/>
        </w:rPr>
      </w:pPr>
    </w:p>
    <w:p w14:paraId="598F0453" w14:textId="77777777" w:rsidR="0018775E" w:rsidRPr="0018775E" w:rsidRDefault="0018775E" w:rsidP="0018775E">
      <w:pPr>
        <w:tabs>
          <w:tab w:val="clear" w:pos="720"/>
        </w:tabs>
        <w:spacing w:line="240" w:lineRule="auto"/>
        <w:rPr>
          <w:rFonts w:eastAsia="Times New Roman"/>
          <w:szCs w:val="20"/>
          <w:lang w:bidi="ar-SA"/>
        </w:rPr>
      </w:pPr>
    </w:p>
    <w:p w14:paraId="5EA5C063" w14:textId="77777777" w:rsidR="0018775E" w:rsidRPr="0018775E" w:rsidRDefault="0018775E" w:rsidP="0018775E">
      <w:pPr>
        <w:tabs>
          <w:tab w:val="clear" w:pos="720"/>
        </w:tabs>
        <w:spacing w:line="240" w:lineRule="auto"/>
        <w:rPr>
          <w:rFonts w:eastAsia="Times New Roman"/>
          <w:szCs w:val="20"/>
          <w:lang w:bidi="ar-SA"/>
        </w:rPr>
      </w:pPr>
    </w:p>
    <w:p w14:paraId="17D286CF" w14:textId="77777777" w:rsidR="0018775E" w:rsidRPr="0018775E" w:rsidRDefault="0018775E" w:rsidP="0018775E">
      <w:pPr>
        <w:tabs>
          <w:tab w:val="clear" w:pos="720"/>
        </w:tabs>
        <w:spacing w:line="240" w:lineRule="auto"/>
        <w:rPr>
          <w:rFonts w:eastAsia="Times New Roman"/>
          <w:szCs w:val="20"/>
          <w:lang w:bidi="ar-SA"/>
        </w:rPr>
      </w:pPr>
    </w:p>
    <w:p w14:paraId="028A7BCF" w14:textId="77777777" w:rsidR="0018775E" w:rsidRPr="0018775E" w:rsidRDefault="0018775E" w:rsidP="0018775E">
      <w:pPr>
        <w:tabs>
          <w:tab w:val="clear" w:pos="720"/>
        </w:tabs>
        <w:spacing w:line="240" w:lineRule="auto"/>
        <w:rPr>
          <w:rFonts w:eastAsia="Times New Roman"/>
          <w:szCs w:val="20"/>
          <w:lang w:bidi="ar-SA"/>
        </w:rPr>
      </w:pPr>
    </w:p>
    <w:p w14:paraId="15BC680D" w14:textId="77777777" w:rsidR="0018775E" w:rsidRPr="0018775E" w:rsidRDefault="0018775E" w:rsidP="0018775E">
      <w:pPr>
        <w:tabs>
          <w:tab w:val="clear" w:pos="720"/>
        </w:tabs>
        <w:spacing w:line="240" w:lineRule="auto"/>
        <w:rPr>
          <w:rFonts w:eastAsia="Times New Roman"/>
          <w:szCs w:val="20"/>
          <w:lang w:bidi="ar-SA"/>
        </w:rPr>
      </w:pPr>
    </w:p>
    <w:p w14:paraId="77F088DF" w14:textId="77777777" w:rsidR="0018775E" w:rsidRPr="0018775E" w:rsidRDefault="0018775E" w:rsidP="0018775E">
      <w:pPr>
        <w:tabs>
          <w:tab w:val="clear" w:pos="720"/>
        </w:tabs>
        <w:spacing w:line="240" w:lineRule="auto"/>
        <w:rPr>
          <w:rFonts w:eastAsia="Times New Roman"/>
          <w:szCs w:val="20"/>
          <w:lang w:bidi="ar-SA"/>
        </w:rPr>
      </w:pPr>
    </w:p>
    <w:p w14:paraId="61BFD529" w14:textId="77777777" w:rsidR="0018775E" w:rsidRPr="0018775E" w:rsidRDefault="0018775E" w:rsidP="0018775E">
      <w:pPr>
        <w:tabs>
          <w:tab w:val="clear" w:pos="720"/>
        </w:tabs>
        <w:spacing w:line="240" w:lineRule="auto"/>
        <w:rPr>
          <w:rFonts w:eastAsia="Times New Roman"/>
          <w:szCs w:val="20"/>
          <w:lang w:bidi="ar-SA"/>
        </w:rPr>
      </w:pPr>
    </w:p>
    <w:p w14:paraId="1761735E" w14:textId="77777777" w:rsidR="0018775E" w:rsidRPr="0018775E" w:rsidRDefault="0018775E" w:rsidP="0018775E">
      <w:pPr>
        <w:tabs>
          <w:tab w:val="clear" w:pos="720"/>
        </w:tabs>
        <w:spacing w:line="240" w:lineRule="auto"/>
        <w:rPr>
          <w:rFonts w:eastAsia="Times New Roman"/>
          <w:szCs w:val="20"/>
          <w:lang w:bidi="ar-SA"/>
        </w:rPr>
      </w:pPr>
    </w:p>
    <w:p w14:paraId="5F09FC0A" w14:textId="7C6FEC88" w:rsidR="0018775E" w:rsidRDefault="0018775E" w:rsidP="0018775E">
      <w:pPr>
        <w:tabs>
          <w:tab w:val="clear" w:pos="720"/>
        </w:tabs>
        <w:spacing w:line="240" w:lineRule="auto"/>
        <w:rPr>
          <w:rFonts w:eastAsia="Times New Roman"/>
          <w:szCs w:val="20"/>
          <w:lang w:bidi="ar-SA"/>
        </w:rPr>
      </w:pPr>
    </w:p>
    <w:p w14:paraId="6CD20A46" w14:textId="50E11CC9" w:rsidR="0018775E" w:rsidRDefault="0018775E" w:rsidP="0018775E">
      <w:pPr>
        <w:tabs>
          <w:tab w:val="clear" w:pos="720"/>
        </w:tabs>
        <w:spacing w:line="240" w:lineRule="auto"/>
        <w:rPr>
          <w:rFonts w:eastAsia="Times New Roman"/>
          <w:szCs w:val="20"/>
          <w:lang w:bidi="ar-SA"/>
        </w:rPr>
      </w:pPr>
    </w:p>
    <w:p w14:paraId="671A2083" w14:textId="705E2518" w:rsidR="0018775E" w:rsidRDefault="0018775E" w:rsidP="0018775E">
      <w:pPr>
        <w:tabs>
          <w:tab w:val="clear" w:pos="720"/>
        </w:tabs>
        <w:spacing w:line="240" w:lineRule="auto"/>
        <w:rPr>
          <w:rFonts w:eastAsia="Times New Roman"/>
          <w:szCs w:val="20"/>
          <w:lang w:bidi="ar-SA"/>
        </w:rPr>
      </w:pPr>
    </w:p>
    <w:p w14:paraId="66C1EBF3" w14:textId="3885A836" w:rsidR="0018775E" w:rsidRDefault="0018775E" w:rsidP="0018775E">
      <w:pPr>
        <w:tabs>
          <w:tab w:val="clear" w:pos="720"/>
        </w:tabs>
        <w:spacing w:line="240" w:lineRule="auto"/>
        <w:rPr>
          <w:rFonts w:eastAsia="Times New Roman"/>
          <w:szCs w:val="20"/>
          <w:lang w:bidi="ar-SA"/>
        </w:rPr>
      </w:pPr>
    </w:p>
    <w:p w14:paraId="7A92FEC6" w14:textId="7444E5FE" w:rsidR="0018775E" w:rsidRDefault="0018775E" w:rsidP="0018775E">
      <w:pPr>
        <w:tabs>
          <w:tab w:val="clear" w:pos="720"/>
        </w:tabs>
        <w:spacing w:line="240" w:lineRule="auto"/>
        <w:rPr>
          <w:rFonts w:eastAsia="Times New Roman"/>
          <w:szCs w:val="20"/>
          <w:lang w:bidi="ar-SA"/>
        </w:rPr>
      </w:pPr>
    </w:p>
    <w:p w14:paraId="1238290D" w14:textId="0F8BA13B" w:rsidR="0018775E" w:rsidRDefault="0018775E" w:rsidP="0018775E">
      <w:pPr>
        <w:tabs>
          <w:tab w:val="clear" w:pos="720"/>
        </w:tabs>
        <w:spacing w:line="240" w:lineRule="auto"/>
        <w:rPr>
          <w:rFonts w:eastAsia="Times New Roman"/>
          <w:szCs w:val="20"/>
          <w:lang w:bidi="ar-SA"/>
        </w:rPr>
      </w:pPr>
    </w:p>
    <w:p w14:paraId="7AB50F2D" w14:textId="0F141AC6" w:rsidR="0018775E" w:rsidRDefault="0018775E" w:rsidP="0018775E">
      <w:pPr>
        <w:tabs>
          <w:tab w:val="clear" w:pos="720"/>
        </w:tabs>
        <w:spacing w:line="240" w:lineRule="auto"/>
        <w:rPr>
          <w:rFonts w:eastAsia="Times New Roman"/>
          <w:szCs w:val="20"/>
          <w:lang w:bidi="ar-SA"/>
        </w:rPr>
      </w:pPr>
    </w:p>
    <w:p w14:paraId="1153E74A" w14:textId="5ADCAEB0" w:rsidR="0018775E" w:rsidRDefault="0018775E" w:rsidP="0018775E">
      <w:pPr>
        <w:tabs>
          <w:tab w:val="clear" w:pos="720"/>
        </w:tabs>
        <w:spacing w:line="240" w:lineRule="auto"/>
        <w:rPr>
          <w:rFonts w:eastAsia="Times New Roman"/>
          <w:szCs w:val="20"/>
          <w:lang w:bidi="ar-SA"/>
        </w:rPr>
      </w:pPr>
    </w:p>
    <w:p w14:paraId="5F26879A" w14:textId="642D0DD6" w:rsidR="0018775E" w:rsidRDefault="0018775E" w:rsidP="0018775E">
      <w:pPr>
        <w:tabs>
          <w:tab w:val="clear" w:pos="720"/>
        </w:tabs>
        <w:spacing w:line="240" w:lineRule="auto"/>
        <w:rPr>
          <w:rFonts w:eastAsia="Times New Roman"/>
          <w:szCs w:val="20"/>
          <w:lang w:bidi="ar-SA"/>
        </w:rPr>
      </w:pPr>
    </w:p>
    <w:p w14:paraId="2F78C45A" w14:textId="471182F7" w:rsidR="0018775E" w:rsidRDefault="0018775E" w:rsidP="0018775E">
      <w:pPr>
        <w:tabs>
          <w:tab w:val="clear" w:pos="720"/>
        </w:tabs>
        <w:spacing w:line="240" w:lineRule="auto"/>
        <w:rPr>
          <w:rFonts w:eastAsia="Times New Roman"/>
          <w:szCs w:val="20"/>
          <w:lang w:bidi="ar-SA"/>
        </w:rPr>
      </w:pPr>
    </w:p>
    <w:p w14:paraId="05DA2882" w14:textId="1D50B07C" w:rsidR="0018775E" w:rsidRDefault="0018775E" w:rsidP="0018775E">
      <w:pPr>
        <w:tabs>
          <w:tab w:val="clear" w:pos="720"/>
        </w:tabs>
        <w:spacing w:line="240" w:lineRule="auto"/>
        <w:rPr>
          <w:rFonts w:eastAsia="Times New Roman"/>
          <w:szCs w:val="20"/>
          <w:lang w:bidi="ar-SA"/>
        </w:rPr>
      </w:pPr>
    </w:p>
    <w:p w14:paraId="3B8F53CC" w14:textId="048E8F48" w:rsidR="0018775E" w:rsidRDefault="0018775E" w:rsidP="0018775E">
      <w:pPr>
        <w:tabs>
          <w:tab w:val="clear" w:pos="720"/>
        </w:tabs>
        <w:spacing w:line="240" w:lineRule="auto"/>
        <w:rPr>
          <w:rFonts w:eastAsia="Times New Roman"/>
          <w:szCs w:val="20"/>
          <w:lang w:bidi="ar-SA"/>
        </w:rPr>
      </w:pPr>
    </w:p>
    <w:p w14:paraId="6C1B6C49" w14:textId="73161006" w:rsidR="0018775E" w:rsidRDefault="0018775E" w:rsidP="0018775E">
      <w:pPr>
        <w:tabs>
          <w:tab w:val="clear" w:pos="720"/>
        </w:tabs>
        <w:spacing w:line="240" w:lineRule="auto"/>
        <w:rPr>
          <w:rFonts w:eastAsia="Times New Roman"/>
          <w:szCs w:val="20"/>
          <w:lang w:bidi="ar-SA"/>
        </w:rPr>
      </w:pPr>
    </w:p>
    <w:p w14:paraId="30719869" w14:textId="10F0D315" w:rsidR="0018775E" w:rsidRDefault="0018775E" w:rsidP="0018775E">
      <w:pPr>
        <w:tabs>
          <w:tab w:val="clear" w:pos="720"/>
        </w:tabs>
        <w:spacing w:line="240" w:lineRule="auto"/>
        <w:rPr>
          <w:rFonts w:eastAsia="Times New Roman"/>
          <w:szCs w:val="20"/>
          <w:lang w:bidi="ar-SA"/>
        </w:rPr>
      </w:pPr>
    </w:p>
    <w:p w14:paraId="01DE856E" w14:textId="50B1744C" w:rsidR="0018775E" w:rsidRDefault="0018775E" w:rsidP="0018775E">
      <w:pPr>
        <w:tabs>
          <w:tab w:val="clear" w:pos="720"/>
        </w:tabs>
        <w:spacing w:line="240" w:lineRule="auto"/>
        <w:rPr>
          <w:rFonts w:eastAsia="Times New Roman"/>
          <w:szCs w:val="20"/>
          <w:lang w:bidi="ar-SA"/>
        </w:rPr>
      </w:pPr>
    </w:p>
    <w:p w14:paraId="42C76F50" w14:textId="78062986" w:rsidR="0018775E" w:rsidRDefault="0018775E" w:rsidP="0018775E">
      <w:pPr>
        <w:tabs>
          <w:tab w:val="clear" w:pos="720"/>
        </w:tabs>
        <w:spacing w:line="240" w:lineRule="auto"/>
        <w:rPr>
          <w:rFonts w:eastAsia="Times New Roman"/>
          <w:szCs w:val="20"/>
          <w:lang w:bidi="ar-SA"/>
        </w:rPr>
      </w:pPr>
    </w:p>
    <w:p w14:paraId="1F73F53D" w14:textId="3E93ECDE" w:rsidR="0018775E" w:rsidRDefault="0018775E" w:rsidP="0018775E">
      <w:pPr>
        <w:tabs>
          <w:tab w:val="clear" w:pos="720"/>
        </w:tabs>
        <w:spacing w:line="240" w:lineRule="auto"/>
        <w:rPr>
          <w:rFonts w:eastAsia="Times New Roman"/>
          <w:szCs w:val="20"/>
          <w:lang w:bidi="ar-SA"/>
        </w:rPr>
      </w:pPr>
    </w:p>
    <w:p w14:paraId="4BF2D3F8" w14:textId="3DBAAA55" w:rsidR="0018775E" w:rsidRDefault="0018775E" w:rsidP="0018775E">
      <w:pPr>
        <w:tabs>
          <w:tab w:val="clear" w:pos="720"/>
        </w:tabs>
        <w:spacing w:line="240" w:lineRule="auto"/>
        <w:rPr>
          <w:rFonts w:eastAsia="Times New Roman"/>
          <w:szCs w:val="20"/>
          <w:lang w:bidi="ar-SA"/>
        </w:rPr>
      </w:pPr>
    </w:p>
    <w:p w14:paraId="3D256588" w14:textId="77777777" w:rsidR="0018775E" w:rsidRPr="0018775E" w:rsidRDefault="0018775E" w:rsidP="0018775E">
      <w:pPr>
        <w:tabs>
          <w:tab w:val="clear" w:pos="720"/>
        </w:tabs>
        <w:spacing w:line="240" w:lineRule="auto"/>
        <w:rPr>
          <w:rFonts w:eastAsia="Times New Roman"/>
          <w:szCs w:val="20"/>
          <w:lang w:bidi="ar-SA"/>
        </w:rPr>
      </w:pPr>
    </w:p>
    <w:p w14:paraId="1D16F2E3" w14:textId="77777777" w:rsidR="0018775E" w:rsidRPr="0018775E" w:rsidRDefault="0018775E" w:rsidP="0018775E">
      <w:pPr>
        <w:tabs>
          <w:tab w:val="clear" w:pos="720"/>
        </w:tabs>
        <w:spacing w:line="240" w:lineRule="auto"/>
        <w:rPr>
          <w:rFonts w:eastAsia="Times New Roman"/>
          <w:i/>
          <w:iCs/>
          <w:szCs w:val="20"/>
          <w:lang w:bidi="ar-SA"/>
        </w:rPr>
      </w:pPr>
      <w:r w:rsidRPr="0018775E">
        <w:rPr>
          <w:rFonts w:eastAsia="Times New Roman"/>
          <w:i/>
          <w:iCs/>
          <w:szCs w:val="20"/>
          <w:lang w:bidi="ar-SA"/>
        </w:rPr>
        <w:t>People v. Burgos et al.</w:t>
      </w:r>
    </w:p>
    <w:p w14:paraId="10939F17" w14:textId="1470AD7C" w:rsidR="0018775E" w:rsidRPr="0018775E" w:rsidRDefault="0018775E" w:rsidP="0018775E">
      <w:pPr>
        <w:tabs>
          <w:tab w:val="clear" w:pos="720"/>
        </w:tabs>
        <w:spacing w:line="240" w:lineRule="auto"/>
        <w:rPr>
          <w:rFonts w:eastAsia="Times New Roman"/>
          <w:szCs w:val="20"/>
          <w:lang w:bidi="ar-SA"/>
        </w:rPr>
      </w:pPr>
      <w:r w:rsidRPr="0018775E">
        <w:rPr>
          <w:rFonts w:eastAsia="Times New Roman"/>
          <w:szCs w:val="20"/>
          <w:lang w:bidi="ar-SA"/>
        </w:rPr>
        <w:t>H045212</w:t>
      </w:r>
    </w:p>
    <w:p w14:paraId="0A4AE2D7" w14:textId="77777777" w:rsidR="0018775E" w:rsidRPr="0018775E" w:rsidRDefault="0018775E" w:rsidP="0018775E">
      <w:pPr>
        <w:tabs>
          <w:tab w:val="clear" w:pos="720"/>
        </w:tabs>
        <w:spacing w:line="240" w:lineRule="auto"/>
        <w:rPr>
          <w:rFonts w:eastAsia="Times New Roman"/>
          <w:szCs w:val="20"/>
          <w:lang w:bidi="ar-SA"/>
        </w:rPr>
      </w:pPr>
    </w:p>
    <w:p w14:paraId="1EEB9DF2" w14:textId="77777777" w:rsidR="00021482" w:rsidRDefault="00021482" w:rsidP="001628EB">
      <w:pPr>
        <w:spacing w:line="480" w:lineRule="exact"/>
        <w:rPr>
          <w:szCs w:val="26"/>
        </w:rPr>
        <w:sectPr w:rsidR="00021482" w:rsidSect="0061370F">
          <w:pgSz w:w="12240" w:h="15840"/>
          <w:pgMar w:top="1440" w:right="1440" w:bottom="1440" w:left="1440" w:header="720" w:footer="720" w:gutter="0"/>
          <w:cols w:space="720"/>
          <w:titlePg/>
          <w:docGrid w:linePitch="360"/>
        </w:sectPr>
      </w:pPr>
    </w:p>
    <w:tbl>
      <w:tblPr>
        <w:tblW w:w="9576" w:type="dxa"/>
        <w:tblLayout w:type="fixed"/>
        <w:tblLook w:val="0000" w:firstRow="0" w:lastRow="0" w:firstColumn="0" w:lastColumn="0" w:noHBand="0" w:noVBand="0"/>
      </w:tblPr>
      <w:tblGrid>
        <w:gridCol w:w="4788"/>
        <w:gridCol w:w="4788"/>
      </w:tblGrid>
      <w:tr w:rsidR="00021482" w:rsidRPr="00021482" w14:paraId="7A245858" w14:textId="77777777" w:rsidTr="006F60B0">
        <w:tc>
          <w:tcPr>
            <w:tcW w:w="4788" w:type="dxa"/>
          </w:tcPr>
          <w:p w14:paraId="4A4D9A30" w14:textId="77777777" w:rsidR="00021482" w:rsidRPr="00021482" w:rsidRDefault="00021482" w:rsidP="00021482">
            <w:pPr>
              <w:tabs>
                <w:tab w:val="clear" w:pos="720"/>
              </w:tabs>
              <w:spacing w:line="240" w:lineRule="auto"/>
              <w:rPr>
                <w:rFonts w:eastAsia="Times New Roman"/>
                <w:szCs w:val="20"/>
                <w:lang w:bidi="ar-SA"/>
              </w:rPr>
            </w:pPr>
            <w:bookmarkStart w:id="4" w:name="_Hlk3887996"/>
            <w:bookmarkStart w:id="5" w:name="_Hlk4570632"/>
            <w:bookmarkStart w:id="6" w:name="_Hlk4570677"/>
            <w:bookmarkStart w:id="7" w:name="_Hlk21512350"/>
            <w:r w:rsidRPr="00021482">
              <w:rPr>
                <w:rFonts w:eastAsia="Times New Roman"/>
                <w:szCs w:val="20"/>
                <w:lang w:bidi="ar-SA"/>
              </w:rPr>
              <w:lastRenderedPageBreak/>
              <w:t>Trial Court:</w:t>
            </w:r>
          </w:p>
        </w:tc>
        <w:tc>
          <w:tcPr>
            <w:tcW w:w="4788" w:type="dxa"/>
          </w:tcPr>
          <w:p w14:paraId="1E210FDC"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Santa Clara County Superior Court</w:t>
            </w:r>
          </w:p>
          <w:p w14:paraId="756A3E64"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 xml:space="preserve">Superior Court Nos.: </w:t>
            </w:r>
            <w:r w:rsidRPr="00021482">
              <w:rPr>
                <w:rFonts w:eastAsia="Times New Roman"/>
                <w:szCs w:val="20"/>
                <w:lang w:bidi="ar-SA"/>
              </w:rPr>
              <w:t>C1518795 &amp; C1756994</w:t>
            </w:r>
          </w:p>
          <w:p w14:paraId="07E86982" w14:textId="77777777" w:rsidR="00021482" w:rsidRPr="00021482" w:rsidRDefault="00021482" w:rsidP="00021482">
            <w:pPr>
              <w:tabs>
                <w:tab w:val="clear" w:pos="720"/>
              </w:tabs>
              <w:spacing w:line="240" w:lineRule="auto"/>
              <w:rPr>
                <w:rFonts w:eastAsia="Times New Roman"/>
                <w:szCs w:val="26"/>
                <w:lang w:bidi="ar-SA"/>
              </w:rPr>
            </w:pPr>
          </w:p>
        </w:tc>
      </w:tr>
      <w:tr w:rsidR="00021482" w:rsidRPr="00021482" w14:paraId="3F91D6D8" w14:textId="77777777" w:rsidTr="006F60B0">
        <w:tc>
          <w:tcPr>
            <w:tcW w:w="4788" w:type="dxa"/>
          </w:tcPr>
          <w:p w14:paraId="5F5E2A0B"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Trial Judges:</w:t>
            </w:r>
          </w:p>
        </w:tc>
        <w:tc>
          <w:tcPr>
            <w:tcW w:w="4788" w:type="dxa"/>
          </w:tcPr>
          <w:p w14:paraId="3A7FCE6C"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The Honorable Cynthia A. Sevely,</w:t>
            </w:r>
          </w:p>
          <w:p w14:paraId="541EEAB0"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The Honorable Helen E. Williams</w:t>
            </w:r>
          </w:p>
          <w:p w14:paraId="411E3987" w14:textId="77777777" w:rsidR="00021482" w:rsidRPr="00021482" w:rsidRDefault="00021482" w:rsidP="00021482">
            <w:pPr>
              <w:tabs>
                <w:tab w:val="clear" w:pos="720"/>
              </w:tabs>
              <w:spacing w:line="240" w:lineRule="auto"/>
              <w:rPr>
                <w:rFonts w:eastAsia="Times New Roman"/>
                <w:szCs w:val="26"/>
                <w:lang w:bidi="ar-SA"/>
              </w:rPr>
            </w:pPr>
          </w:p>
        </w:tc>
      </w:tr>
    </w:tbl>
    <w:p w14:paraId="58EBFE66" w14:textId="77777777" w:rsidR="00021482" w:rsidRPr="00021482" w:rsidRDefault="00021482" w:rsidP="00021482">
      <w:pPr>
        <w:tabs>
          <w:tab w:val="clear" w:pos="720"/>
        </w:tabs>
        <w:spacing w:line="240" w:lineRule="auto"/>
        <w:rPr>
          <w:rFonts w:eastAsia="Times New Roman"/>
          <w:color w:val="000000"/>
          <w:szCs w:val="26"/>
          <w:lang w:bidi="ar-SA"/>
        </w:rPr>
      </w:pPr>
      <w:bookmarkStart w:id="8" w:name="_Hlk100308697"/>
      <w:bookmarkEnd w:id="4"/>
      <w:bookmarkEnd w:id="5"/>
      <w:bookmarkEnd w:id="6"/>
      <w:r w:rsidRPr="00021482">
        <w:rPr>
          <w:rFonts w:eastAsia="Times New Roman"/>
          <w:szCs w:val="26"/>
          <w:lang w:bidi="ar-SA"/>
        </w:rPr>
        <w:t>Attorneys for Defendant and Appellant</w:t>
      </w:r>
      <w:r w:rsidRPr="00021482">
        <w:rPr>
          <w:rFonts w:eastAsia="Times New Roman"/>
          <w:szCs w:val="26"/>
          <w:lang w:bidi="ar-SA"/>
        </w:rPr>
        <w:tab/>
      </w:r>
      <w:r w:rsidRPr="00021482">
        <w:rPr>
          <w:rFonts w:eastAsia="Times New Roman"/>
          <w:szCs w:val="26"/>
          <w:lang w:bidi="ar-SA"/>
        </w:rPr>
        <w:tab/>
        <w:t xml:space="preserve">Laurie Wilmore </w:t>
      </w:r>
    </w:p>
    <w:p w14:paraId="708B7867"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6"/>
          <w:lang w:bidi="ar-SA"/>
        </w:rPr>
        <w:t>FRANCISCO BURGOS:</w:t>
      </w:r>
      <w:bookmarkStart w:id="9" w:name="_Hlk100307071"/>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0"/>
          <w:lang w:bidi="ar-SA"/>
        </w:rPr>
        <w:t xml:space="preserve">under appointment by the Court </w:t>
      </w:r>
    </w:p>
    <w:p w14:paraId="3196F018" w14:textId="77777777" w:rsidR="00021482" w:rsidRPr="00021482" w:rsidRDefault="00021482" w:rsidP="00021482">
      <w:pPr>
        <w:tabs>
          <w:tab w:val="clear" w:pos="720"/>
        </w:tabs>
        <w:spacing w:line="240" w:lineRule="auto"/>
        <w:ind w:left="4320" w:firstLine="720"/>
        <w:rPr>
          <w:rFonts w:eastAsia="Times New Roman"/>
          <w:szCs w:val="26"/>
          <w:lang w:bidi="ar-SA"/>
        </w:rPr>
      </w:pPr>
      <w:r w:rsidRPr="00021482">
        <w:rPr>
          <w:rFonts w:eastAsia="Times New Roman"/>
          <w:szCs w:val="20"/>
          <w:lang w:bidi="ar-SA"/>
        </w:rPr>
        <w:t>of Appeal for Appellant</w:t>
      </w:r>
    </w:p>
    <w:bookmarkEnd w:id="8"/>
    <w:p w14:paraId="0685991F" w14:textId="77777777" w:rsidR="00021482" w:rsidRPr="00021482" w:rsidRDefault="00021482" w:rsidP="00021482">
      <w:pPr>
        <w:tabs>
          <w:tab w:val="clear" w:pos="720"/>
        </w:tabs>
        <w:spacing w:line="240" w:lineRule="auto"/>
        <w:ind w:left="4320" w:firstLine="720"/>
        <w:rPr>
          <w:rFonts w:eastAsia="Times New Roman"/>
          <w:szCs w:val="26"/>
          <w:lang w:bidi="ar-SA"/>
        </w:rPr>
      </w:pPr>
    </w:p>
    <w:bookmarkEnd w:id="9"/>
    <w:p w14:paraId="4E4FE9EA"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t>Conrad Petermann</w:t>
      </w:r>
    </w:p>
    <w:p w14:paraId="6ACDA3ED" w14:textId="77777777" w:rsidR="00021482" w:rsidRPr="00021482" w:rsidRDefault="00021482" w:rsidP="00021482">
      <w:pPr>
        <w:tabs>
          <w:tab w:val="clear" w:pos="720"/>
        </w:tabs>
        <w:spacing w:line="240" w:lineRule="auto"/>
        <w:ind w:left="4320" w:firstLine="720"/>
        <w:rPr>
          <w:rFonts w:eastAsia="Times New Roman"/>
          <w:szCs w:val="26"/>
          <w:lang w:bidi="ar-SA"/>
        </w:rPr>
      </w:pPr>
      <w:r w:rsidRPr="00021482">
        <w:rPr>
          <w:rFonts w:eastAsia="Times New Roman"/>
          <w:szCs w:val="26"/>
          <w:lang w:bidi="ar-SA"/>
        </w:rPr>
        <w:t xml:space="preserve">under appointment by the Court </w:t>
      </w:r>
    </w:p>
    <w:p w14:paraId="6E16A6D8" w14:textId="77777777" w:rsidR="00021482" w:rsidRPr="00021482" w:rsidRDefault="00021482" w:rsidP="00021482">
      <w:pPr>
        <w:tabs>
          <w:tab w:val="clear" w:pos="720"/>
        </w:tabs>
        <w:spacing w:line="240" w:lineRule="auto"/>
        <w:ind w:left="4320" w:firstLine="720"/>
        <w:rPr>
          <w:rFonts w:eastAsia="Times New Roman"/>
          <w:szCs w:val="26"/>
          <w:lang w:bidi="ar-SA"/>
        </w:rPr>
      </w:pPr>
      <w:r w:rsidRPr="00021482">
        <w:rPr>
          <w:rFonts w:eastAsia="Times New Roman"/>
          <w:szCs w:val="26"/>
          <w:lang w:bidi="ar-SA"/>
        </w:rPr>
        <w:t>of Appeal for Appellant</w:t>
      </w:r>
    </w:p>
    <w:p w14:paraId="760B8E19" w14:textId="77777777" w:rsidR="00021482" w:rsidRPr="00021482" w:rsidRDefault="00021482" w:rsidP="00021482">
      <w:pPr>
        <w:tabs>
          <w:tab w:val="clear" w:pos="720"/>
        </w:tabs>
        <w:spacing w:line="240" w:lineRule="auto"/>
        <w:rPr>
          <w:rFonts w:eastAsia="Times New Roman"/>
          <w:szCs w:val="26"/>
          <w:lang w:bidi="ar-SA"/>
        </w:rPr>
      </w:pPr>
    </w:p>
    <w:p w14:paraId="345748FF" w14:textId="77777777" w:rsidR="00021482" w:rsidRPr="00021482" w:rsidRDefault="00021482" w:rsidP="00021482">
      <w:pPr>
        <w:tabs>
          <w:tab w:val="clear" w:pos="720"/>
        </w:tabs>
        <w:spacing w:line="240" w:lineRule="auto"/>
        <w:rPr>
          <w:rFonts w:eastAsia="Times New Roman"/>
          <w:color w:val="000000"/>
          <w:szCs w:val="26"/>
          <w:lang w:bidi="ar-SA"/>
        </w:rPr>
      </w:pPr>
      <w:bookmarkStart w:id="10" w:name="_Hlk100309004"/>
      <w:r w:rsidRPr="00021482">
        <w:rPr>
          <w:rFonts w:eastAsia="Times New Roman"/>
          <w:szCs w:val="26"/>
          <w:lang w:bidi="ar-SA"/>
        </w:rPr>
        <w:t>Attorneys for Defendant and Appellant</w:t>
      </w:r>
      <w:r w:rsidRPr="00021482">
        <w:rPr>
          <w:rFonts w:eastAsia="Times New Roman"/>
          <w:szCs w:val="26"/>
          <w:lang w:bidi="ar-SA"/>
        </w:rPr>
        <w:tab/>
      </w:r>
      <w:r w:rsidRPr="00021482">
        <w:rPr>
          <w:rFonts w:eastAsia="Times New Roman"/>
          <w:szCs w:val="26"/>
          <w:lang w:bidi="ar-SA"/>
        </w:rPr>
        <w:tab/>
        <w:t>Jean M. Marinovich</w:t>
      </w:r>
    </w:p>
    <w:p w14:paraId="1398387B"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6"/>
          <w:lang w:bidi="ar-SA"/>
        </w:rPr>
        <w:t>DAMON STEVENSON, JR.:</w:t>
      </w:r>
      <w:bookmarkEnd w:id="10"/>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bookmarkStart w:id="11" w:name="_Hlk100309105"/>
      <w:r w:rsidRPr="00021482">
        <w:rPr>
          <w:rFonts w:eastAsia="Times New Roman"/>
          <w:szCs w:val="20"/>
          <w:lang w:bidi="ar-SA"/>
        </w:rPr>
        <w:t xml:space="preserve">under appointment by the Court </w:t>
      </w:r>
    </w:p>
    <w:p w14:paraId="51BB71FE" w14:textId="77777777" w:rsidR="00021482" w:rsidRPr="00021482" w:rsidRDefault="00021482" w:rsidP="00021482">
      <w:pPr>
        <w:tabs>
          <w:tab w:val="clear" w:pos="720"/>
        </w:tabs>
        <w:spacing w:line="240" w:lineRule="auto"/>
        <w:ind w:left="4320" w:firstLine="720"/>
        <w:rPr>
          <w:rFonts w:eastAsia="Times New Roman"/>
          <w:szCs w:val="20"/>
          <w:lang w:bidi="ar-SA"/>
        </w:rPr>
      </w:pPr>
      <w:r w:rsidRPr="00021482">
        <w:rPr>
          <w:rFonts w:eastAsia="Times New Roman"/>
          <w:szCs w:val="20"/>
          <w:lang w:bidi="ar-SA"/>
        </w:rPr>
        <w:t>of Appeal for Appellant</w:t>
      </w:r>
    </w:p>
    <w:bookmarkEnd w:id="11"/>
    <w:p w14:paraId="1F10F6AA" w14:textId="77777777" w:rsidR="00021482" w:rsidRPr="00021482" w:rsidRDefault="00021482" w:rsidP="00021482">
      <w:pPr>
        <w:tabs>
          <w:tab w:val="clear" w:pos="720"/>
        </w:tabs>
        <w:spacing w:line="240" w:lineRule="auto"/>
        <w:ind w:left="4320" w:firstLine="720"/>
        <w:rPr>
          <w:rFonts w:eastAsia="Times New Roman"/>
          <w:szCs w:val="26"/>
          <w:lang w:bidi="ar-SA"/>
        </w:rPr>
      </w:pPr>
    </w:p>
    <w:p w14:paraId="68D3A5FB"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Attorneys for Defendant and Appellant</w:t>
      </w:r>
      <w:r w:rsidRPr="00021482">
        <w:rPr>
          <w:rFonts w:eastAsia="Times New Roman"/>
          <w:szCs w:val="26"/>
          <w:lang w:bidi="ar-SA"/>
        </w:rPr>
        <w:tab/>
      </w:r>
      <w:r w:rsidRPr="00021482">
        <w:rPr>
          <w:rFonts w:eastAsia="Times New Roman"/>
          <w:szCs w:val="26"/>
          <w:lang w:bidi="ar-SA"/>
        </w:rPr>
        <w:tab/>
        <w:t>Solomon R. Wollack</w:t>
      </w:r>
    </w:p>
    <w:p w14:paraId="1A93804D"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JAMES RICHARDSON:</w:t>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t xml:space="preserve">under appointment by the Court </w:t>
      </w:r>
    </w:p>
    <w:p w14:paraId="27ADD5F4" w14:textId="77777777" w:rsidR="00021482" w:rsidRPr="00021482" w:rsidRDefault="00021482" w:rsidP="00021482">
      <w:pPr>
        <w:tabs>
          <w:tab w:val="clear" w:pos="720"/>
        </w:tabs>
        <w:spacing w:line="240" w:lineRule="auto"/>
        <w:ind w:left="4320" w:firstLine="720"/>
        <w:rPr>
          <w:rFonts w:eastAsia="Times New Roman"/>
          <w:szCs w:val="26"/>
          <w:lang w:bidi="ar-SA"/>
        </w:rPr>
      </w:pPr>
      <w:r w:rsidRPr="00021482">
        <w:rPr>
          <w:rFonts w:eastAsia="Times New Roman"/>
          <w:szCs w:val="26"/>
          <w:lang w:bidi="ar-SA"/>
        </w:rPr>
        <w:t>of Appeal for Appellant</w:t>
      </w:r>
    </w:p>
    <w:p w14:paraId="52F5AC29" w14:textId="77777777" w:rsidR="00021482" w:rsidRPr="00021482" w:rsidRDefault="00021482" w:rsidP="00021482">
      <w:pPr>
        <w:tabs>
          <w:tab w:val="clear" w:pos="720"/>
        </w:tabs>
        <w:spacing w:line="240" w:lineRule="auto"/>
        <w:ind w:left="1440" w:firstLine="720"/>
        <w:rPr>
          <w:rFonts w:eastAsia="Times New Roman"/>
          <w:szCs w:val="26"/>
          <w:lang w:bidi="ar-SA"/>
        </w:rPr>
      </w:pP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p>
    <w:p w14:paraId="35DA756A"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p>
    <w:p w14:paraId="18D73927"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6"/>
          <w:lang w:bidi="ar-SA"/>
        </w:rPr>
        <w:t xml:space="preserve">Attorneys for Plaintiff and Respondent </w:t>
      </w:r>
      <w:r w:rsidRPr="00021482">
        <w:rPr>
          <w:rFonts w:eastAsia="Times New Roman"/>
          <w:szCs w:val="26"/>
          <w:lang w:bidi="ar-SA"/>
        </w:rPr>
        <w:tab/>
      </w:r>
      <w:r w:rsidRPr="00021482">
        <w:rPr>
          <w:rFonts w:eastAsia="Times New Roman"/>
          <w:szCs w:val="26"/>
          <w:lang w:bidi="ar-SA"/>
        </w:rPr>
        <w:tab/>
      </w:r>
      <w:r w:rsidRPr="00021482">
        <w:rPr>
          <w:rFonts w:eastAsia="Times New Roman"/>
          <w:szCs w:val="20"/>
          <w:lang w:bidi="ar-SA"/>
        </w:rPr>
        <w:t>Rob Bonta,</w:t>
      </w:r>
    </w:p>
    <w:p w14:paraId="13B85840"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 xml:space="preserve">THE PEOPLE: </w:t>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t>Attorney General of California</w:t>
      </w:r>
    </w:p>
    <w:p w14:paraId="221E42E1" w14:textId="77777777" w:rsidR="00021482" w:rsidRPr="00021482" w:rsidRDefault="00021482" w:rsidP="00021482">
      <w:pPr>
        <w:tabs>
          <w:tab w:val="clear" w:pos="720"/>
        </w:tabs>
        <w:spacing w:line="240" w:lineRule="auto"/>
        <w:rPr>
          <w:rFonts w:eastAsia="Times New Roman"/>
          <w:szCs w:val="20"/>
          <w:lang w:bidi="ar-SA"/>
        </w:rPr>
      </w:pPr>
    </w:p>
    <w:p w14:paraId="7DF86AFB"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t>Lance E. Winters,</w:t>
      </w:r>
    </w:p>
    <w:p w14:paraId="3E2D16B2"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t>Chief Assistant Attorney General</w:t>
      </w:r>
    </w:p>
    <w:p w14:paraId="62CC79B6"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p>
    <w:p w14:paraId="59662D28"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t>Jeffrey M. Laurence,</w:t>
      </w:r>
    </w:p>
    <w:p w14:paraId="3FDF42E7"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t>Senior Assistant Attorney General</w:t>
      </w:r>
    </w:p>
    <w:p w14:paraId="73167CEB" w14:textId="77777777" w:rsidR="00021482" w:rsidRPr="00021482" w:rsidRDefault="00021482" w:rsidP="00021482">
      <w:pPr>
        <w:tabs>
          <w:tab w:val="clear" w:pos="720"/>
        </w:tabs>
        <w:spacing w:line="240" w:lineRule="auto"/>
        <w:rPr>
          <w:rFonts w:eastAsia="Times New Roman"/>
          <w:szCs w:val="20"/>
          <w:lang w:bidi="ar-SA"/>
        </w:rPr>
      </w:pP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p>
    <w:p w14:paraId="40C33DE1"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szCs w:val="20"/>
          <w:lang w:bidi="ar-SA"/>
        </w:rPr>
        <w:tab/>
      </w:r>
      <w:r w:rsidRPr="00021482">
        <w:rPr>
          <w:rFonts w:eastAsia="Times New Roman"/>
          <w:color w:val="000000"/>
          <w:szCs w:val="26"/>
          <w:lang w:bidi="ar-SA"/>
        </w:rPr>
        <w:t>Alice B. Lustre</w:t>
      </w:r>
      <w:r w:rsidRPr="00021482">
        <w:rPr>
          <w:rFonts w:eastAsia="Times New Roman"/>
          <w:szCs w:val="26"/>
          <w:lang w:bidi="ar-SA"/>
        </w:rPr>
        <w:t>,</w:t>
      </w:r>
    </w:p>
    <w:p w14:paraId="1D29B9FB"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t xml:space="preserve">Supervising Deputy Attorney </w:t>
      </w:r>
    </w:p>
    <w:p w14:paraId="64D09278"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t>General</w:t>
      </w:r>
    </w:p>
    <w:p w14:paraId="308FFFF4" w14:textId="77777777" w:rsidR="00021482" w:rsidRPr="00021482" w:rsidRDefault="00021482" w:rsidP="00021482">
      <w:pPr>
        <w:tabs>
          <w:tab w:val="clear" w:pos="720"/>
        </w:tabs>
        <w:spacing w:line="240" w:lineRule="auto"/>
        <w:rPr>
          <w:rFonts w:eastAsia="Times New Roman"/>
          <w:szCs w:val="26"/>
          <w:lang w:bidi="ar-SA"/>
        </w:rPr>
      </w:pPr>
    </w:p>
    <w:p w14:paraId="1F5AFEDF"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color w:val="000000"/>
          <w:szCs w:val="26"/>
          <w:lang w:bidi="ar-SA"/>
        </w:rPr>
        <w:t>John Michael Chamberlain</w:t>
      </w:r>
    </w:p>
    <w:p w14:paraId="00F07294"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r>
      <w:r w:rsidRPr="00021482">
        <w:rPr>
          <w:rFonts w:eastAsia="Times New Roman"/>
          <w:szCs w:val="26"/>
          <w:lang w:bidi="ar-SA"/>
        </w:rPr>
        <w:tab/>
        <w:t>Deputy Attorney General</w:t>
      </w:r>
    </w:p>
    <w:p w14:paraId="236848C5" w14:textId="77777777" w:rsidR="00021482" w:rsidRPr="00021482" w:rsidRDefault="00021482" w:rsidP="00021482">
      <w:pPr>
        <w:tabs>
          <w:tab w:val="clear" w:pos="720"/>
        </w:tabs>
        <w:spacing w:line="240" w:lineRule="auto"/>
        <w:rPr>
          <w:rFonts w:eastAsia="Times New Roman"/>
          <w:szCs w:val="26"/>
          <w:lang w:bidi="ar-SA"/>
        </w:rPr>
      </w:pPr>
    </w:p>
    <w:p w14:paraId="72BC7F76" w14:textId="77777777" w:rsidR="00021482" w:rsidRPr="00021482" w:rsidRDefault="00021482" w:rsidP="00021482">
      <w:pPr>
        <w:tabs>
          <w:tab w:val="clear" w:pos="720"/>
        </w:tabs>
        <w:spacing w:line="240" w:lineRule="auto"/>
        <w:rPr>
          <w:rFonts w:eastAsia="Times New Roman"/>
          <w:szCs w:val="26"/>
          <w:lang w:bidi="ar-SA"/>
        </w:rPr>
      </w:pPr>
      <w:r w:rsidRPr="00021482">
        <w:rPr>
          <w:rFonts w:eastAsia="Times New Roman"/>
          <w:szCs w:val="26"/>
          <w:lang w:bidi="ar-SA"/>
        </w:rPr>
        <w:t>People v. Burgos et al.</w:t>
      </w:r>
    </w:p>
    <w:p w14:paraId="326CCE01" w14:textId="3A85D190" w:rsidR="001628EB" w:rsidRDefault="00021482" w:rsidP="00021482">
      <w:pPr>
        <w:tabs>
          <w:tab w:val="clear" w:pos="720"/>
        </w:tabs>
        <w:spacing w:line="240" w:lineRule="auto"/>
        <w:rPr>
          <w:szCs w:val="26"/>
        </w:rPr>
      </w:pPr>
      <w:r w:rsidRPr="00021482">
        <w:rPr>
          <w:rFonts w:eastAsia="Times New Roman"/>
          <w:szCs w:val="26"/>
          <w:lang w:bidi="ar-SA"/>
        </w:rPr>
        <w:t>H04</w:t>
      </w:r>
      <w:bookmarkEnd w:id="7"/>
      <w:r w:rsidRPr="00021482">
        <w:rPr>
          <w:rFonts w:eastAsia="Times New Roman"/>
          <w:szCs w:val="26"/>
          <w:lang w:bidi="ar-SA"/>
        </w:rPr>
        <w:t>5212</w:t>
      </w:r>
    </w:p>
    <w:sectPr w:rsidR="001628EB" w:rsidSect="0061370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4B59" w14:textId="77777777" w:rsidR="00412CDF" w:rsidRDefault="00412CDF" w:rsidP="00C02F0C">
      <w:pPr>
        <w:spacing w:line="240" w:lineRule="auto"/>
      </w:pPr>
      <w:r>
        <w:separator/>
      </w:r>
    </w:p>
  </w:endnote>
  <w:endnote w:type="continuationSeparator" w:id="0">
    <w:p w14:paraId="614834F4" w14:textId="77777777" w:rsidR="00412CDF" w:rsidRDefault="00412CDF" w:rsidP="00C02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11808"/>
      <w:docPartObj>
        <w:docPartGallery w:val="Page Numbers (Bottom of Page)"/>
        <w:docPartUnique/>
      </w:docPartObj>
    </w:sdtPr>
    <w:sdtEndPr/>
    <w:sdtContent>
      <w:p w14:paraId="65E8D356" w14:textId="6DE6DF6C" w:rsidR="008E702B" w:rsidRDefault="001E2ACA" w:rsidP="009D5A99">
        <w:pPr>
          <w:pStyle w:val="Footer"/>
          <w:jc w:val="center"/>
        </w:pPr>
        <w:r>
          <w:fldChar w:fldCharType="begin"/>
        </w:r>
        <w:r>
          <w:instrText xml:space="preserve"> PAGE   \* MERGEFORMAT </w:instrText>
        </w:r>
        <w:r>
          <w:fldChar w:fldCharType="separate"/>
        </w:r>
        <w:r w:rsidR="00452A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1F9D" w14:textId="77777777" w:rsidR="0018775E" w:rsidRDefault="0018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9A9F2" w14:textId="77777777" w:rsidR="0018775E" w:rsidRDefault="00187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18E4" w14:textId="77777777" w:rsidR="0018775E" w:rsidRDefault="0018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929CF66" w14:textId="77777777" w:rsidR="0018775E" w:rsidRDefault="001877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11CC" w14:textId="77777777" w:rsidR="00412CDF" w:rsidRDefault="00412CDF" w:rsidP="00C02F0C">
      <w:pPr>
        <w:spacing w:line="240" w:lineRule="auto"/>
      </w:pPr>
      <w:r>
        <w:separator/>
      </w:r>
    </w:p>
  </w:footnote>
  <w:footnote w:type="continuationSeparator" w:id="0">
    <w:p w14:paraId="15ACDE93" w14:textId="77777777" w:rsidR="00412CDF" w:rsidRDefault="00412CDF" w:rsidP="00C02F0C">
      <w:pPr>
        <w:spacing w:line="240" w:lineRule="auto"/>
      </w:pPr>
      <w:r>
        <w:continuationSeparator/>
      </w:r>
    </w:p>
  </w:footnote>
  <w:footnote w:id="1">
    <w:p w14:paraId="14EA59EC" w14:textId="64790EBE" w:rsidR="00D879FF" w:rsidRDefault="00D879FF" w:rsidP="009779A0">
      <w:pPr>
        <w:pStyle w:val="FootnoteText"/>
        <w:spacing w:line="240" w:lineRule="auto"/>
      </w:pPr>
      <w:r>
        <w:tab/>
      </w:r>
      <w:r>
        <w:rPr>
          <w:rStyle w:val="FootnoteReference"/>
        </w:rPr>
        <w:footnoteRef/>
      </w:r>
      <w:r>
        <w:t xml:space="preserve"> Richardson </w:t>
      </w:r>
      <w:r w:rsidR="009779A0" w:rsidRPr="001C563B">
        <w:t>also petitions this court for a writ of habeas corpus.  (</w:t>
      </w:r>
      <w:r w:rsidR="009779A0">
        <w:rPr>
          <w:i/>
        </w:rPr>
        <w:t>In re Richardson</w:t>
      </w:r>
      <w:r w:rsidR="009779A0">
        <w:t xml:space="preserve">, </w:t>
      </w:r>
      <w:r w:rsidR="009779A0" w:rsidRPr="00CC3476">
        <w:t>H04</w:t>
      </w:r>
      <w:r w:rsidR="009E2646">
        <w:t>7955</w:t>
      </w:r>
      <w:r w:rsidR="009779A0">
        <w:t>.)  We deny his</w:t>
      </w:r>
      <w:r w:rsidR="009779A0" w:rsidRPr="001C563B">
        <w:t xml:space="preserve"> petition </w:t>
      </w:r>
      <w:r w:rsidR="009779A0">
        <w:t xml:space="preserve">as moot </w:t>
      </w:r>
      <w:r w:rsidR="009779A0" w:rsidRPr="001C563B">
        <w:t>in a separate order on this date.</w:t>
      </w:r>
    </w:p>
  </w:footnote>
  <w:footnote w:id="2">
    <w:p w14:paraId="590F8A9B" w14:textId="16DEF852" w:rsidR="00A754F1" w:rsidRDefault="00A754F1" w:rsidP="003B663E">
      <w:pPr>
        <w:pStyle w:val="FootnoteText"/>
        <w:spacing w:line="240" w:lineRule="auto"/>
      </w:pPr>
      <w:r>
        <w:tab/>
      </w:r>
      <w:r>
        <w:rPr>
          <w:rStyle w:val="FootnoteReference"/>
        </w:rPr>
        <w:footnoteRef/>
      </w:r>
      <w:r>
        <w:t xml:space="preserve"> Section</w:t>
      </w:r>
      <w:r w:rsidR="00E3545A">
        <w:t xml:space="preserve"> II.B.2 </w:t>
      </w:r>
      <w:r>
        <w:t xml:space="preserve">below sets forth the evidence of </w:t>
      </w:r>
      <w:r w:rsidR="000B76A3">
        <w:t xml:space="preserve">the </w:t>
      </w:r>
      <w:r>
        <w:t>gang</w:t>
      </w:r>
      <w:r w:rsidR="000B76A3">
        <w:t xml:space="preserve"> allegations</w:t>
      </w:r>
      <w:r>
        <w:t>.</w:t>
      </w:r>
    </w:p>
  </w:footnote>
  <w:footnote w:id="3">
    <w:p w14:paraId="0C773330" w14:textId="6AD7435C" w:rsidR="0022364B" w:rsidRDefault="0022364B" w:rsidP="009D5A99">
      <w:pPr>
        <w:pStyle w:val="FootnoteText"/>
        <w:spacing w:line="240" w:lineRule="auto"/>
      </w:pPr>
      <w:r>
        <w:tab/>
      </w:r>
      <w:r>
        <w:rPr>
          <w:rStyle w:val="FootnoteReference"/>
        </w:rPr>
        <w:footnoteRef/>
      </w:r>
      <w:r>
        <w:t xml:space="preserve"> All references are to the revised statute.</w:t>
      </w:r>
    </w:p>
  </w:footnote>
  <w:footnote w:id="4">
    <w:p w14:paraId="1B2222CA" w14:textId="2580F5C4" w:rsidR="00A76F5C" w:rsidRDefault="00A76F5C" w:rsidP="00A76F5C">
      <w:pPr>
        <w:pStyle w:val="FootnoteText"/>
        <w:spacing w:line="240" w:lineRule="auto"/>
      </w:pPr>
      <w:r>
        <w:tab/>
      </w:r>
      <w:r>
        <w:rPr>
          <w:rStyle w:val="FootnoteReference"/>
        </w:rPr>
        <w:footnoteRef/>
      </w:r>
      <w:r>
        <w:t xml:space="preserve"> Accordingly, we do not address appellants’ claim that the trial court failed to properly instruct the jury on the elements as defined by the revised statute.</w:t>
      </w:r>
    </w:p>
  </w:footnote>
  <w:footnote w:id="5">
    <w:p w14:paraId="75ED0F65" w14:textId="77777777" w:rsidR="0018775E" w:rsidRDefault="0018775E" w:rsidP="00A6155D">
      <w:pPr>
        <w:pStyle w:val="FootnoteText"/>
        <w:spacing w:line="240" w:lineRule="auto"/>
      </w:pPr>
      <w:r>
        <w:tab/>
      </w:r>
      <w:r w:rsidRPr="0018775E">
        <w:rPr>
          <w:rStyle w:val="FootnoteReference"/>
          <w:b/>
          <w:bCs/>
        </w:rPr>
        <w:footnoteRef/>
      </w:r>
      <w:r>
        <w:t xml:space="preserve"> All statutory references are to the Penal Code.</w:t>
      </w:r>
    </w:p>
  </w:footnote>
  <w:footnote w:id="6">
    <w:p w14:paraId="227485DC" w14:textId="77777777" w:rsidR="0018775E" w:rsidRDefault="0018775E" w:rsidP="0018775E">
      <w:pPr>
        <w:pStyle w:val="FootnoteText"/>
        <w:spacing w:line="240" w:lineRule="auto"/>
      </w:pPr>
      <w:r>
        <w:tab/>
      </w:r>
      <w:r w:rsidRPr="0018775E">
        <w:rPr>
          <w:rStyle w:val="FootnoteReference"/>
          <w:b/>
          <w:bCs/>
        </w:rPr>
        <w:footnoteRef/>
      </w:r>
      <w:r>
        <w:t xml:space="preserve"> </w:t>
      </w:r>
      <w:r w:rsidRPr="00656D80">
        <w:t xml:space="preserve">Defendants also contend that the </w:t>
      </w:r>
      <w:r w:rsidRPr="00656D80">
        <w:rPr>
          <w:i/>
          <w:iCs/>
        </w:rPr>
        <w:t>Estrada</w:t>
      </w:r>
      <w:r w:rsidRPr="00656D80">
        <w:t xml:space="preserve"> rule cannot apply to one section of a legislative bill but not to another, but they </w:t>
      </w:r>
      <w:r>
        <w:t xml:space="preserve">too </w:t>
      </w:r>
      <w:r w:rsidRPr="00656D80">
        <w:t xml:space="preserve">offer no authority for this proposition.  The </w:t>
      </w:r>
      <w:r w:rsidRPr="00656D80">
        <w:rPr>
          <w:i/>
          <w:iCs/>
        </w:rPr>
        <w:t>Estrada</w:t>
      </w:r>
      <w:r w:rsidRPr="00656D80">
        <w:t xml:space="preserve"> rule depends on whether a particular amendatory statute is ameliorative.  Here, a single legislative bill contained both an amendatory statute that was ameliorative and one that was not.  I reject the proposition that the </w:t>
      </w:r>
      <w:r w:rsidRPr="00656D80">
        <w:rPr>
          <w:i/>
          <w:iCs/>
        </w:rPr>
        <w:t>Estrada</w:t>
      </w:r>
      <w:r w:rsidRPr="00656D80">
        <w:t xml:space="preserve"> rule must apply to both or neither.  As always, application of the </w:t>
      </w:r>
      <w:r w:rsidRPr="00656D80">
        <w:rPr>
          <w:i/>
          <w:iCs/>
        </w:rPr>
        <w:t>Estrada</w:t>
      </w:r>
      <w:r w:rsidRPr="00656D80">
        <w:t xml:space="preserve"> rule depends on whether the amendment is ameliorative.  Section 1109 is not.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BC4"/>
    <w:multiLevelType w:val="hybridMultilevel"/>
    <w:tmpl w:val="CF8E108A"/>
    <w:lvl w:ilvl="0" w:tplc="560E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34A9A"/>
    <w:multiLevelType w:val="hybridMultilevel"/>
    <w:tmpl w:val="B7F832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44869"/>
    <w:multiLevelType w:val="hybridMultilevel"/>
    <w:tmpl w:val="E4E6E662"/>
    <w:lvl w:ilvl="0" w:tplc="8E607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149B0"/>
    <w:multiLevelType w:val="hybridMultilevel"/>
    <w:tmpl w:val="C212E6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2B0CD1"/>
    <w:multiLevelType w:val="hybridMultilevel"/>
    <w:tmpl w:val="E72AE1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985035"/>
    <w:multiLevelType w:val="hybridMultilevel"/>
    <w:tmpl w:val="1960C240"/>
    <w:lvl w:ilvl="0" w:tplc="48B0D6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BE3540"/>
    <w:multiLevelType w:val="hybridMultilevel"/>
    <w:tmpl w:val="9D0C59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EE235E"/>
    <w:multiLevelType w:val="hybridMultilevel"/>
    <w:tmpl w:val="24ECD8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5E75E8"/>
    <w:multiLevelType w:val="hybridMultilevel"/>
    <w:tmpl w:val="3CFE5886"/>
    <w:lvl w:ilvl="0" w:tplc="693E11D8">
      <w:start w:val="1"/>
      <w:numFmt w:val="decimal"/>
      <w:lvlText w:val="%1."/>
      <w:lvlJc w:val="left"/>
      <w:pPr>
        <w:ind w:left="1085" w:hanging="360"/>
      </w:pPr>
      <w:rPr>
        <w:rFonts w:hint="default"/>
        <w:i w:val="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15:restartNumberingAfterBreak="0">
    <w:nsid w:val="4EB36718"/>
    <w:multiLevelType w:val="hybridMultilevel"/>
    <w:tmpl w:val="257C8D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DC00C8"/>
    <w:multiLevelType w:val="hybridMultilevel"/>
    <w:tmpl w:val="51F218C6"/>
    <w:lvl w:ilvl="0" w:tplc="E9D63F9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15824"/>
    <w:multiLevelType w:val="hybridMultilevel"/>
    <w:tmpl w:val="49BE944E"/>
    <w:lvl w:ilvl="0" w:tplc="6A501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92DE4"/>
    <w:multiLevelType w:val="hybridMultilevel"/>
    <w:tmpl w:val="93E64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F48F1"/>
    <w:multiLevelType w:val="hybridMultilevel"/>
    <w:tmpl w:val="B15CAA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ED0654"/>
    <w:multiLevelType w:val="hybridMultilevel"/>
    <w:tmpl w:val="51F218C6"/>
    <w:lvl w:ilvl="0" w:tplc="E9D63F9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E3512"/>
    <w:multiLevelType w:val="hybridMultilevel"/>
    <w:tmpl w:val="92F2CCB4"/>
    <w:lvl w:ilvl="0" w:tplc="C2363D3A">
      <w:start w:val="1"/>
      <w:numFmt w:val="upperLetter"/>
      <w:lvlText w:val="%1."/>
      <w:lvlJc w:val="left"/>
      <w:pPr>
        <w:ind w:left="720" w:hanging="360"/>
      </w:pPr>
      <w:rPr>
        <w:rFonts w:hint="default"/>
        <w:b/>
        <w:bCs/>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8"/>
  </w:num>
  <w:num w:numId="5">
    <w:abstractNumId w:val="12"/>
  </w:num>
  <w:num w:numId="6">
    <w:abstractNumId w:val="15"/>
  </w:num>
  <w:num w:numId="7">
    <w:abstractNumId w:val="4"/>
  </w:num>
  <w:num w:numId="8">
    <w:abstractNumId w:val="6"/>
  </w:num>
  <w:num w:numId="9">
    <w:abstractNumId w:val="2"/>
  </w:num>
  <w:num w:numId="10">
    <w:abstractNumId w:val="9"/>
  </w:num>
  <w:num w:numId="11">
    <w:abstractNumId w:val="7"/>
  </w:num>
  <w:num w:numId="12">
    <w:abstractNumId w:val="5"/>
  </w:num>
  <w:num w:numId="13">
    <w:abstractNumId w:val="3"/>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5A"/>
    <w:rsid w:val="0000077E"/>
    <w:rsid w:val="00000C3D"/>
    <w:rsid w:val="00001587"/>
    <w:rsid w:val="00002982"/>
    <w:rsid w:val="00004096"/>
    <w:rsid w:val="00004390"/>
    <w:rsid w:val="00004450"/>
    <w:rsid w:val="00004725"/>
    <w:rsid w:val="00004848"/>
    <w:rsid w:val="00006263"/>
    <w:rsid w:val="0001035F"/>
    <w:rsid w:val="000105B5"/>
    <w:rsid w:val="00010CAD"/>
    <w:rsid w:val="00010EC6"/>
    <w:rsid w:val="000126E1"/>
    <w:rsid w:val="000132DE"/>
    <w:rsid w:val="00013948"/>
    <w:rsid w:val="00014AC1"/>
    <w:rsid w:val="00014C74"/>
    <w:rsid w:val="00015219"/>
    <w:rsid w:val="00015C39"/>
    <w:rsid w:val="00016199"/>
    <w:rsid w:val="00016F83"/>
    <w:rsid w:val="00020599"/>
    <w:rsid w:val="00020C1D"/>
    <w:rsid w:val="00021482"/>
    <w:rsid w:val="00021953"/>
    <w:rsid w:val="00021AB7"/>
    <w:rsid w:val="00021FE4"/>
    <w:rsid w:val="00022F8C"/>
    <w:rsid w:val="0002400C"/>
    <w:rsid w:val="00024570"/>
    <w:rsid w:val="000247BD"/>
    <w:rsid w:val="00024B23"/>
    <w:rsid w:val="000258EA"/>
    <w:rsid w:val="00025F0A"/>
    <w:rsid w:val="00026472"/>
    <w:rsid w:val="000271C2"/>
    <w:rsid w:val="00027658"/>
    <w:rsid w:val="00027D47"/>
    <w:rsid w:val="000309D7"/>
    <w:rsid w:val="00031108"/>
    <w:rsid w:val="0003201E"/>
    <w:rsid w:val="00032B1D"/>
    <w:rsid w:val="00032D27"/>
    <w:rsid w:val="000337BF"/>
    <w:rsid w:val="00033D37"/>
    <w:rsid w:val="00035873"/>
    <w:rsid w:val="00035E33"/>
    <w:rsid w:val="00036757"/>
    <w:rsid w:val="00036FAF"/>
    <w:rsid w:val="00036FE4"/>
    <w:rsid w:val="000378C5"/>
    <w:rsid w:val="00037DCC"/>
    <w:rsid w:val="00040123"/>
    <w:rsid w:val="00040309"/>
    <w:rsid w:val="00040A5C"/>
    <w:rsid w:val="000422DC"/>
    <w:rsid w:val="00042C59"/>
    <w:rsid w:val="00042D6E"/>
    <w:rsid w:val="000430E1"/>
    <w:rsid w:val="00043564"/>
    <w:rsid w:val="00043FF6"/>
    <w:rsid w:val="0004562D"/>
    <w:rsid w:val="000464A6"/>
    <w:rsid w:val="000468FD"/>
    <w:rsid w:val="00046C30"/>
    <w:rsid w:val="00047037"/>
    <w:rsid w:val="00047F05"/>
    <w:rsid w:val="00050950"/>
    <w:rsid w:val="00051AAA"/>
    <w:rsid w:val="00051D91"/>
    <w:rsid w:val="0005284B"/>
    <w:rsid w:val="00054F24"/>
    <w:rsid w:val="00055329"/>
    <w:rsid w:val="00056030"/>
    <w:rsid w:val="00056786"/>
    <w:rsid w:val="00056D03"/>
    <w:rsid w:val="00057630"/>
    <w:rsid w:val="00060037"/>
    <w:rsid w:val="00060B8F"/>
    <w:rsid w:val="00060BA8"/>
    <w:rsid w:val="000616F0"/>
    <w:rsid w:val="0006183D"/>
    <w:rsid w:val="00062054"/>
    <w:rsid w:val="00063042"/>
    <w:rsid w:val="00063D3A"/>
    <w:rsid w:val="00065072"/>
    <w:rsid w:val="00065E9D"/>
    <w:rsid w:val="0006656F"/>
    <w:rsid w:val="00067775"/>
    <w:rsid w:val="00070709"/>
    <w:rsid w:val="00071E4E"/>
    <w:rsid w:val="000731DF"/>
    <w:rsid w:val="000746C5"/>
    <w:rsid w:val="000748CF"/>
    <w:rsid w:val="00075DA4"/>
    <w:rsid w:val="00076285"/>
    <w:rsid w:val="00076300"/>
    <w:rsid w:val="00076FD5"/>
    <w:rsid w:val="00077291"/>
    <w:rsid w:val="00080665"/>
    <w:rsid w:val="0008066D"/>
    <w:rsid w:val="0008190B"/>
    <w:rsid w:val="00081925"/>
    <w:rsid w:val="00081F34"/>
    <w:rsid w:val="000829EB"/>
    <w:rsid w:val="00082C27"/>
    <w:rsid w:val="00082FB6"/>
    <w:rsid w:val="00083B36"/>
    <w:rsid w:val="000840B9"/>
    <w:rsid w:val="00084738"/>
    <w:rsid w:val="000857F4"/>
    <w:rsid w:val="00085B49"/>
    <w:rsid w:val="00085D4F"/>
    <w:rsid w:val="00086BBD"/>
    <w:rsid w:val="000870E0"/>
    <w:rsid w:val="000917F2"/>
    <w:rsid w:val="00091C5C"/>
    <w:rsid w:val="0009218F"/>
    <w:rsid w:val="00092DF5"/>
    <w:rsid w:val="00094FE3"/>
    <w:rsid w:val="000974F8"/>
    <w:rsid w:val="00097FFB"/>
    <w:rsid w:val="000A0B5E"/>
    <w:rsid w:val="000A1150"/>
    <w:rsid w:val="000A13A3"/>
    <w:rsid w:val="000A1668"/>
    <w:rsid w:val="000A2AA3"/>
    <w:rsid w:val="000A32B8"/>
    <w:rsid w:val="000A5430"/>
    <w:rsid w:val="000A59D9"/>
    <w:rsid w:val="000A5A04"/>
    <w:rsid w:val="000A5A8B"/>
    <w:rsid w:val="000A5CBB"/>
    <w:rsid w:val="000A5CE6"/>
    <w:rsid w:val="000A6478"/>
    <w:rsid w:val="000A6717"/>
    <w:rsid w:val="000A68D8"/>
    <w:rsid w:val="000A6CC2"/>
    <w:rsid w:val="000A71A3"/>
    <w:rsid w:val="000A7372"/>
    <w:rsid w:val="000B0CD3"/>
    <w:rsid w:val="000B15AE"/>
    <w:rsid w:val="000B353C"/>
    <w:rsid w:val="000B4388"/>
    <w:rsid w:val="000B43DC"/>
    <w:rsid w:val="000B46A8"/>
    <w:rsid w:val="000B49B5"/>
    <w:rsid w:val="000B4C66"/>
    <w:rsid w:val="000B5241"/>
    <w:rsid w:val="000B5DD7"/>
    <w:rsid w:val="000B68A0"/>
    <w:rsid w:val="000B6D24"/>
    <w:rsid w:val="000B7482"/>
    <w:rsid w:val="000B76A3"/>
    <w:rsid w:val="000B7942"/>
    <w:rsid w:val="000B7F10"/>
    <w:rsid w:val="000C0DFF"/>
    <w:rsid w:val="000C26DF"/>
    <w:rsid w:val="000C2824"/>
    <w:rsid w:val="000C336F"/>
    <w:rsid w:val="000C377E"/>
    <w:rsid w:val="000C4264"/>
    <w:rsid w:val="000C4A7E"/>
    <w:rsid w:val="000C4E19"/>
    <w:rsid w:val="000C5583"/>
    <w:rsid w:val="000C63FF"/>
    <w:rsid w:val="000C7E7F"/>
    <w:rsid w:val="000D0E31"/>
    <w:rsid w:val="000D1018"/>
    <w:rsid w:val="000D1163"/>
    <w:rsid w:val="000D14A4"/>
    <w:rsid w:val="000D2351"/>
    <w:rsid w:val="000D257C"/>
    <w:rsid w:val="000D2917"/>
    <w:rsid w:val="000D2B33"/>
    <w:rsid w:val="000D34CD"/>
    <w:rsid w:val="000D3FD6"/>
    <w:rsid w:val="000D4651"/>
    <w:rsid w:val="000D4778"/>
    <w:rsid w:val="000D4AF1"/>
    <w:rsid w:val="000D4DA6"/>
    <w:rsid w:val="000D4E17"/>
    <w:rsid w:val="000D548A"/>
    <w:rsid w:val="000D6E04"/>
    <w:rsid w:val="000D7585"/>
    <w:rsid w:val="000D75AF"/>
    <w:rsid w:val="000D7733"/>
    <w:rsid w:val="000D7862"/>
    <w:rsid w:val="000E04BF"/>
    <w:rsid w:val="000E078B"/>
    <w:rsid w:val="000E0EF1"/>
    <w:rsid w:val="000E1683"/>
    <w:rsid w:val="000E18EB"/>
    <w:rsid w:val="000E2274"/>
    <w:rsid w:val="000E3292"/>
    <w:rsid w:val="000E33E5"/>
    <w:rsid w:val="000E4F3B"/>
    <w:rsid w:val="000E660B"/>
    <w:rsid w:val="000E6B86"/>
    <w:rsid w:val="000E747B"/>
    <w:rsid w:val="000E7624"/>
    <w:rsid w:val="000F00AD"/>
    <w:rsid w:val="000F0433"/>
    <w:rsid w:val="000F05B1"/>
    <w:rsid w:val="000F131E"/>
    <w:rsid w:val="000F14AA"/>
    <w:rsid w:val="000F2117"/>
    <w:rsid w:val="000F24ED"/>
    <w:rsid w:val="000F3C2D"/>
    <w:rsid w:val="000F4AD6"/>
    <w:rsid w:val="000F557B"/>
    <w:rsid w:val="000F6218"/>
    <w:rsid w:val="000F6282"/>
    <w:rsid w:val="000F6C3C"/>
    <w:rsid w:val="000F6EB6"/>
    <w:rsid w:val="000F71DA"/>
    <w:rsid w:val="000F72EB"/>
    <w:rsid w:val="000F7F1A"/>
    <w:rsid w:val="001011D4"/>
    <w:rsid w:val="00101407"/>
    <w:rsid w:val="00101433"/>
    <w:rsid w:val="00101ACC"/>
    <w:rsid w:val="00102167"/>
    <w:rsid w:val="00102748"/>
    <w:rsid w:val="001034B0"/>
    <w:rsid w:val="00103C19"/>
    <w:rsid w:val="001049AA"/>
    <w:rsid w:val="00104DEC"/>
    <w:rsid w:val="0010688E"/>
    <w:rsid w:val="00106AC1"/>
    <w:rsid w:val="0010710C"/>
    <w:rsid w:val="001071C8"/>
    <w:rsid w:val="00107247"/>
    <w:rsid w:val="00107268"/>
    <w:rsid w:val="00107873"/>
    <w:rsid w:val="0011087C"/>
    <w:rsid w:val="00110BEA"/>
    <w:rsid w:val="00110F06"/>
    <w:rsid w:val="00111F91"/>
    <w:rsid w:val="001121F4"/>
    <w:rsid w:val="001123E0"/>
    <w:rsid w:val="00112A46"/>
    <w:rsid w:val="00112E8F"/>
    <w:rsid w:val="00112FF1"/>
    <w:rsid w:val="0011322D"/>
    <w:rsid w:val="001135F5"/>
    <w:rsid w:val="0011485E"/>
    <w:rsid w:val="00114BF4"/>
    <w:rsid w:val="001161E5"/>
    <w:rsid w:val="001168B8"/>
    <w:rsid w:val="001171B7"/>
    <w:rsid w:val="00117594"/>
    <w:rsid w:val="0012253D"/>
    <w:rsid w:val="00122823"/>
    <w:rsid w:val="00122D60"/>
    <w:rsid w:val="00123167"/>
    <w:rsid w:val="001241BC"/>
    <w:rsid w:val="001245A4"/>
    <w:rsid w:val="00125278"/>
    <w:rsid w:val="00125FE6"/>
    <w:rsid w:val="0013060F"/>
    <w:rsid w:val="00131649"/>
    <w:rsid w:val="0013166A"/>
    <w:rsid w:val="001317C6"/>
    <w:rsid w:val="00131985"/>
    <w:rsid w:val="00131AC1"/>
    <w:rsid w:val="001321F3"/>
    <w:rsid w:val="00132487"/>
    <w:rsid w:val="00132A19"/>
    <w:rsid w:val="001333BC"/>
    <w:rsid w:val="00133CE9"/>
    <w:rsid w:val="001349CE"/>
    <w:rsid w:val="00135605"/>
    <w:rsid w:val="0013609C"/>
    <w:rsid w:val="00137BAF"/>
    <w:rsid w:val="00137C34"/>
    <w:rsid w:val="00140BDD"/>
    <w:rsid w:val="00141B90"/>
    <w:rsid w:val="00141D47"/>
    <w:rsid w:val="00141E7C"/>
    <w:rsid w:val="001437B2"/>
    <w:rsid w:val="00144F05"/>
    <w:rsid w:val="00145016"/>
    <w:rsid w:val="0014568E"/>
    <w:rsid w:val="00145B67"/>
    <w:rsid w:val="00145E9A"/>
    <w:rsid w:val="00145FF5"/>
    <w:rsid w:val="001463EC"/>
    <w:rsid w:val="00146AA3"/>
    <w:rsid w:val="0014719C"/>
    <w:rsid w:val="00147211"/>
    <w:rsid w:val="00147E71"/>
    <w:rsid w:val="0015071F"/>
    <w:rsid w:val="00150E23"/>
    <w:rsid w:val="001522A3"/>
    <w:rsid w:val="0015235F"/>
    <w:rsid w:val="00153336"/>
    <w:rsid w:val="00153353"/>
    <w:rsid w:val="001539D1"/>
    <w:rsid w:val="00153D66"/>
    <w:rsid w:val="00153DCA"/>
    <w:rsid w:val="00153E28"/>
    <w:rsid w:val="00154D31"/>
    <w:rsid w:val="00154FB2"/>
    <w:rsid w:val="001551B3"/>
    <w:rsid w:val="00155425"/>
    <w:rsid w:val="00156133"/>
    <w:rsid w:val="001566A9"/>
    <w:rsid w:val="001572E1"/>
    <w:rsid w:val="001574DF"/>
    <w:rsid w:val="00157B5A"/>
    <w:rsid w:val="001600FA"/>
    <w:rsid w:val="001608B0"/>
    <w:rsid w:val="00160B3D"/>
    <w:rsid w:val="00161040"/>
    <w:rsid w:val="00161411"/>
    <w:rsid w:val="00161461"/>
    <w:rsid w:val="001614F3"/>
    <w:rsid w:val="0016160F"/>
    <w:rsid w:val="001616DC"/>
    <w:rsid w:val="00161EF9"/>
    <w:rsid w:val="001628EB"/>
    <w:rsid w:val="00162FBD"/>
    <w:rsid w:val="001633BE"/>
    <w:rsid w:val="001636F7"/>
    <w:rsid w:val="001637B5"/>
    <w:rsid w:val="0016392A"/>
    <w:rsid w:val="00163D1C"/>
    <w:rsid w:val="00164433"/>
    <w:rsid w:val="00164996"/>
    <w:rsid w:val="001651AB"/>
    <w:rsid w:val="00165D87"/>
    <w:rsid w:val="001662C1"/>
    <w:rsid w:val="00166742"/>
    <w:rsid w:val="0016687A"/>
    <w:rsid w:val="00166A8C"/>
    <w:rsid w:val="00167148"/>
    <w:rsid w:val="001679B4"/>
    <w:rsid w:val="001707D9"/>
    <w:rsid w:val="001711DA"/>
    <w:rsid w:val="001718CE"/>
    <w:rsid w:val="0017264E"/>
    <w:rsid w:val="001731F2"/>
    <w:rsid w:val="00173BED"/>
    <w:rsid w:val="001740BB"/>
    <w:rsid w:val="001747E4"/>
    <w:rsid w:val="00174F67"/>
    <w:rsid w:val="00175610"/>
    <w:rsid w:val="00177312"/>
    <w:rsid w:val="00180572"/>
    <w:rsid w:val="001809C5"/>
    <w:rsid w:val="00180B1D"/>
    <w:rsid w:val="00181C4C"/>
    <w:rsid w:val="00182204"/>
    <w:rsid w:val="00182701"/>
    <w:rsid w:val="00182AF2"/>
    <w:rsid w:val="00182F01"/>
    <w:rsid w:val="00182F25"/>
    <w:rsid w:val="00183485"/>
    <w:rsid w:val="00183C76"/>
    <w:rsid w:val="00184EDA"/>
    <w:rsid w:val="00185B49"/>
    <w:rsid w:val="00186E64"/>
    <w:rsid w:val="00187081"/>
    <w:rsid w:val="00187188"/>
    <w:rsid w:val="0018775E"/>
    <w:rsid w:val="00187D61"/>
    <w:rsid w:val="00187F86"/>
    <w:rsid w:val="0019137B"/>
    <w:rsid w:val="001929DB"/>
    <w:rsid w:val="00193435"/>
    <w:rsid w:val="0019343A"/>
    <w:rsid w:val="00193867"/>
    <w:rsid w:val="00193AF3"/>
    <w:rsid w:val="00194957"/>
    <w:rsid w:val="0019518C"/>
    <w:rsid w:val="00195E54"/>
    <w:rsid w:val="00196DDD"/>
    <w:rsid w:val="00197CE5"/>
    <w:rsid w:val="00197FD5"/>
    <w:rsid w:val="001A0180"/>
    <w:rsid w:val="001A1E22"/>
    <w:rsid w:val="001A1FFD"/>
    <w:rsid w:val="001A2E63"/>
    <w:rsid w:val="001A38B0"/>
    <w:rsid w:val="001A392F"/>
    <w:rsid w:val="001A4633"/>
    <w:rsid w:val="001A542A"/>
    <w:rsid w:val="001A55A1"/>
    <w:rsid w:val="001A561C"/>
    <w:rsid w:val="001A7037"/>
    <w:rsid w:val="001A71EC"/>
    <w:rsid w:val="001A73F8"/>
    <w:rsid w:val="001A7B39"/>
    <w:rsid w:val="001A7BB9"/>
    <w:rsid w:val="001B041B"/>
    <w:rsid w:val="001B0DAD"/>
    <w:rsid w:val="001B1098"/>
    <w:rsid w:val="001B13C5"/>
    <w:rsid w:val="001B19C8"/>
    <w:rsid w:val="001B1CE0"/>
    <w:rsid w:val="001B250F"/>
    <w:rsid w:val="001B2763"/>
    <w:rsid w:val="001B496F"/>
    <w:rsid w:val="001B4E1C"/>
    <w:rsid w:val="001B5608"/>
    <w:rsid w:val="001B5E83"/>
    <w:rsid w:val="001B6E36"/>
    <w:rsid w:val="001B7335"/>
    <w:rsid w:val="001B7377"/>
    <w:rsid w:val="001C0F28"/>
    <w:rsid w:val="001C22AD"/>
    <w:rsid w:val="001C2B81"/>
    <w:rsid w:val="001C2C27"/>
    <w:rsid w:val="001C2F28"/>
    <w:rsid w:val="001C4092"/>
    <w:rsid w:val="001C45F4"/>
    <w:rsid w:val="001C537B"/>
    <w:rsid w:val="001C54BC"/>
    <w:rsid w:val="001C5517"/>
    <w:rsid w:val="001C5649"/>
    <w:rsid w:val="001C5A0A"/>
    <w:rsid w:val="001C5B51"/>
    <w:rsid w:val="001C6D02"/>
    <w:rsid w:val="001C7500"/>
    <w:rsid w:val="001C7503"/>
    <w:rsid w:val="001C799F"/>
    <w:rsid w:val="001C7CE4"/>
    <w:rsid w:val="001D021C"/>
    <w:rsid w:val="001D046C"/>
    <w:rsid w:val="001D055F"/>
    <w:rsid w:val="001D0DA7"/>
    <w:rsid w:val="001D0EFF"/>
    <w:rsid w:val="001D1041"/>
    <w:rsid w:val="001D107A"/>
    <w:rsid w:val="001D22B5"/>
    <w:rsid w:val="001D2F5C"/>
    <w:rsid w:val="001D3F50"/>
    <w:rsid w:val="001D4222"/>
    <w:rsid w:val="001D5E31"/>
    <w:rsid w:val="001D6A06"/>
    <w:rsid w:val="001D6EEA"/>
    <w:rsid w:val="001D75C5"/>
    <w:rsid w:val="001E0344"/>
    <w:rsid w:val="001E0521"/>
    <w:rsid w:val="001E2259"/>
    <w:rsid w:val="001E25F9"/>
    <w:rsid w:val="001E2ACA"/>
    <w:rsid w:val="001E2FE0"/>
    <w:rsid w:val="001E43C1"/>
    <w:rsid w:val="001E6D78"/>
    <w:rsid w:val="001E6DCC"/>
    <w:rsid w:val="001E6FB8"/>
    <w:rsid w:val="001E7597"/>
    <w:rsid w:val="001E76C5"/>
    <w:rsid w:val="001E77D7"/>
    <w:rsid w:val="001F0D1D"/>
    <w:rsid w:val="001F1230"/>
    <w:rsid w:val="001F1C5A"/>
    <w:rsid w:val="001F2141"/>
    <w:rsid w:val="001F2E58"/>
    <w:rsid w:val="001F37D6"/>
    <w:rsid w:val="001F3967"/>
    <w:rsid w:val="001F451B"/>
    <w:rsid w:val="001F46B7"/>
    <w:rsid w:val="001F4761"/>
    <w:rsid w:val="001F4E3E"/>
    <w:rsid w:val="001F51A6"/>
    <w:rsid w:val="001F51E7"/>
    <w:rsid w:val="001F5E75"/>
    <w:rsid w:val="001F72BB"/>
    <w:rsid w:val="001F7558"/>
    <w:rsid w:val="001F779D"/>
    <w:rsid w:val="001F7B13"/>
    <w:rsid w:val="00200305"/>
    <w:rsid w:val="0020047E"/>
    <w:rsid w:val="00200DA1"/>
    <w:rsid w:val="00201818"/>
    <w:rsid w:val="0020198B"/>
    <w:rsid w:val="00201D0F"/>
    <w:rsid w:val="002022AA"/>
    <w:rsid w:val="002045F8"/>
    <w:rsid w:val="00204CE0"/>
    <w:rsid w:val="00205A49"/>
    <w:rsid w:val="002060CE"/>
    <w:rsid w:val="00206206"/>
    <w:rsid w:val="002077F7"/>
    <w:rsid w:val="0021034D"/>
    <w:rsid w:val="00211374"/>
    <w:rsid w:val="00211B5A"/>
    <w:rsid w:val="0021206E"/>
    <w:rsid w:val="0021256C"/>
    <w:rsid w:val="00212970"/>
    <w:rsid w:val="00212BB7"/>
    <w:rsid w:val="00213E7F"/>
    <w:rsid w:val="002140D8"/>
    <w:rsid w:val="00214916"/>
    <w:rsid w:val="00215A4D"/>
    <w:rsid w:val="00216751"/>
    <w:rsid w:val="00216880"/>
    <w:rsid w:val="00217392"/>
    <w:rsid w:val="0021753F"/>
    <w:rsid w:val="00220E55"/>
    <w:rsid w:val="002222F2"/>
    <w:rsid w:val="00222579"/>
    <w:rsid w:val="00223061"/>
    <w:rsid w:val="0022364B"/>
    <w:rsid w:val="00224AFD"/>
    <w:rsid w:val="00224DE1"/>
    <w:rsid w:val="00224F39"/>
    <w:rsid w:val="0022577B"/>
    <w:rsid w:val="0022589B"/>
    <w:rsid w:val="00225B44"/>
    <w:rsid w:val="00225C08"/>
    <w:rsid w:val="00225E7F"/>
    <w:rsid w:val="00230116"/>
    <w:rsid w:val="00230269"/>
    <w:rsid w:val="00230345"/>
    <w:rsid w:val="00231600"/>
    <w:rsid w:val="00231BB1"/>
    <w:rsid w:val="00231E75"/>
    <w:rsid w:val="00232128"/>
    <w:rsid w:val="00232549"/>
    <w:rsid w:val="002336F5"/>
    <w:rsid w:val="002348B5"/>
    <w:rsid w:val="002348F5"/>
    <w:rsid w:val="00235326"/>
    <w:rsid w:val="002358E5"/>
    <w:rsid w:val="0023601B"/>
    <w:rsid w:val="002365BF"/>
    <w:rsid w:val="00236BAA"/>
    <w:rsid w:val="002377B7"/>
    <w:rsid w:val="002405DD"/>
    <w:rsid w:val="0024072A"/>
    <w:rsid w:val="00242722"/>
    <w:rsid w:val="0024275F"/>
    <w:rsid w:val="00242F9E"/>
    <w:rsid w:val="0024579D"/>
    <w:rsid w:val="0024618B"/>
    <w:rsid w:val="00246D8A"/>
    <w:rsid w:val="0024752E"/>
    <w:rsid w:val="00247EA1"/>
    <w:rsid w:val="00250281"/>
    <w:rsid w:val="0025073E"/>
    <w:rsid w:val="00252661"/>
    <w:rsid w:val="00252E2A"/>
    <w:rsid w:val="00252FCB"/>
    <w:rsid w:val="002536FC"/>
    <w:rsid w:val="00253946"/>
    <w:rsid w:val="002542FB"/>
    <w:rsid w:val="0025438A"/>
    <w:rsid w:val="002561E6"/>
    <w:rsid w:val="0025680B"/>
    <w:rsid w:val="00257597"/>
    <w:rsid w:val="00260345"/>
    <w:rsid w:val="0026062E"/>
    <w:rsid w:val="00260B50"/>
    <w:rsid w:val="002613A2"/>
    <w:rsid w:val="002613E8"/>
    <w:rsid w:val="00262F25"/>
    <w:rsid w:val="00263A7C"/>
    <w:rsid w:val="0026409B"/>
    <w:rsid w:val="0026445F"/>
    <w:rsid w:val="00265478"/>
    <w:rsid w:val="00265518"/>
    <w:rsid w:val="0026551F"/>
    <w:rsid w:val="0026645E"/>
    <w:rsid w:val="00266641"/>
    <w:rsid w:val="002702B5"/>
    <w:rsid w:val="00270FC5"/>
    <w:rsid w:val="002710FA"/>
    <w:rsid w:val="002719EE"/>
    <w:rsid w:val="00272815"/>
    <w:rsid w:val="00272B90"/>
    <w:rsid w:val="00272C8A"/>
    <w:rsid w:val="00272F5A"/>
    <w:rsid w:val="00273018"/>
    <w:rsid w:val="002731A1"/>
    <w:rsid w:val="0027341D"/>
    <w:rsid w:val="00273AC9"/>
    <w:rsid w:val="00273D52"/>
    <w:rsid w:val="0027552E"/>
    <w:rsid w:val="002758EA"/>
    <w:rsid w:val="00276148"/>
    <w:rsid w:val="002764D6"/>
    <w:rsid w:val="0027666D"/>
    <w:rsid w:val="00277849"/>
    <w:rsid w:val="0028022D"/>
    <w:rsid w:val="00280687"/>
    <w:rsid w:val="0028074B"/>
    <w:rsid w:val="00280976"/>
    <w:rsid w:val="00280C76"/>
    <w:rsid w:val="00281039"/>
    <w:rsid w:val="002813D1"/>
    <w:rsid w:val="00281EB6"/>
    <w:rsid w:val="00281EDE"/>
    <w:rsid w:val="002825FB"/>
    <w:rsid w:val="002826B8"/>
    <w:rsid w:val="00282CE4"/>
    <w:rsid w:val="00282F78"/>
    <w:rsid w:val="00283877"/>
    <w:rsid w:val="00283C88"/>
    <w:rsid w:val="00283F2B"/>
    <w:rsid w:val="0028427F"/>
    <w:rsid w:val="0028635A"/>
    <w:rsid w:val="002907D6"/>
    <w:rsid w:val="00290A97"/>
    <w:rsid w:val="00291377"/>
    <w:rsid w:val="00291C74"/>
    <w:rsid w:val="00294100"/>
    <w:rsid w:val="00295213"/>
    <w:rsid w:val="0029608F"/>
    <w:rsid w:val="002960B0"/>
    <w:rsid w:val="00296267"/>
    <w:rsid w:val="00296577"/>
    <w:rsid w:val="00296C16"/>
    <w:rsid w:val="00296D14"/>
    <w:rsid w:val="002975CC"/>
    <w:rsid w:val="00297F44"/>
    <w:rsid w:val="002A02EB"/>
    <w:rsid w:val="002A075E"/>
    <w:rsid w:val="002A07D2"/>
    <w:rsid w:val="002A13F8"/>
    <w:rsid w:val="002A1C6F"/>
    <w:rsid w:val="002A2A1F"/>
    <w:rsid w:val="002A2A7B"/>
    <w:rsid w:val="002A3DDF"/>
    <w:rsid w:val="002A45F1"/>
    <w:rsid w:val="002A521B"/>
    <w:rsid w:val="002A6445"/>
    <w:rsid w:val="002A6AB0"/>
    <w:rsid w:val="002A6AEA"/>
    <w:rsid w:val="002A6C2D"/>
    <w:rsid w:val="002A6C92"/>
    <w:rsid w:val="002A70C2"/>
    <w:rsid w:val="002A76AC"/>
    <w:rsid w:val="002A7937"/>
    <w:rsid w:val="002B0817"/>
    <w:rsid w:val="002B1927"/>
    <w:rsid w:val="002B2A4B"/>
    <w:rsid w:val="002B2DBD"/>
    <w:rsid w:val="002B3F40"/>
    <w:rsid w:val="002B583A"/>
    <w:rsid w:val="002B5F3F"/>
    <w:rsid w:val="002B5F49"/>
    <w:rsid w:val="002B664A"/>
    <w:rsid w:val="002B6D87"/>
    <w:rsid w:val="002B72F2"/>
    <w:rsid w:val="002B7DF7"/>
    <w:rsid w:val="002C0229"/>
    <w:rsid w:val="002C031A"/>
    <w:rsid w:val="002C0B33"/>
    <w:rsid w:val="002C0EEE"/>
    <w:rsid w:val="002C1424"/>
    <w:rsid w:val="002C1E96"/>
    <w:rsid w:val="002C2085"/>
    <w:rsid w:val="002C2AF4"/>
    <w:rsid w:val="002C4F1B"/>
    <w:rsid w:val="002C52C7"/>
    <w:rsid w:val="002C6680"/>
    <w:rsid w:val="002C6C37"/>
    <w:rsid w:val="002C7138"/>
    <w:rsid w:val="002C738C"/>
    <w:rsid w:val="002C7701"/>
    <w:rsid w:val="002D0D29"/>
    <w:rsid w:val="002D0DA2"/>
    <w:rsid w:val="002D1836"/>
    <w:rsid w:val="002D2323"/>
    <w:rsid w:val="002D28D0"/>
    <w:rsid w:val="002D2AFF"/>
    <w:rsid w:val="002D32DD"/>
    <w:rsid w:val="002D3F92"/>
    <w:rsid w:val="002D5115"/>
    <w:rsid w:val="002D58A9"/>
    <w:rsid w:val="002D5BA6"/>
    <w:rsid w:val="002D74F3"/>
    <w:rsid w:val="002E00F5"/>
    <w:rsid w:val="002E0368"/>
    <w:rsid w:val="002E2178"/>
    <w:rsid w:val="002E25BB"/>
    <w:rsid w:val="002E4A37"/>
    <w:rsid w:val="002E5489"/>
    <w:rsid w:val="002E565E"/>
    <w:rsid w:val="002E5842"/>
    <w:rsid w:val="002E6502"/>
    <w:rsid w:val="002E7706"/>
    <w:rsid w:val="002E7879"/>
    <w:rsid w:val="002E7C27"/>
    <w:rsid w:val="002F04E5"/>
    <w:rsid w:val="002F19AC"/>
    <w:rsid w:val="002F1C9F"/>
    <w:rsid w:val="002F1F2A"/>
    <w:rsid w:val="002F23EF"/>
    <w:rsid w:val="002F2A07"/>
    <w:rsid w:val="002F2BDC"/>
    <w:rsid w:val="002F3499"/>
    <w:rsid w:val="002F4049"/>
    <w:rsid w:val="002F4C5B"/>
    <w:rsid w:val="002F677D"/>
    <w:rsid w:val="0030033D"/>
    <w:rsid w:val="003013F1"/>
    <w:rsid w:val="00302D10"/>
    <w:rsid w:val="00303151"/>
    <w:rsid w:val="003033E0"/>
    <w:rsid w:val="003035F8"/>
    <w:rsid w:val="003038C1"/>
    <w:rsid w:val="00303EE3"/>
    <w:rsid w:val="00304943"/>
    <w:rsid w:val="00304957"/>
    <w:rsid w:val="003049CD"/>
    <w:rsid w:val="00304FCE"/>
    <w:rsid w:val="00305834"/>
    <w:rsid w:val="00305C14"/>
    <w:rsid w:val="00306B6A"/>
    <w:rsid w:val="00306F05"/>
    <w:rsid w:val="00307320"/>
    <w:rsid w:val="003102AD"/>
    <w:rsid w:val="00312841"/>
    <w:rsid w:val="00312F82"/>
    <w:rsid w:val="00312F9C"/>
    <w:rsid w:val="00313D25"/>
    <w:rsid w:val="00314655"/>
    <w:rsid w:val="00315626"/>
    <w:rsid w:val="00316191"/>
    <w:rsid w:val="0031627D"/>
    <w:rsid w:val="00316434"/>
    <w:rsid w:val="00316CFF"/>
    <w:rsid w:val="00316E25"/>
    <w:rsid w:val="003170D3"/>
    <w:rsid w:val="003171E8"/>
    <w:rsid w:val="00317BD6"/>
    <w:rsid w:val="00320927"/>
    <w:rsid w:val="00320A00"/>
    <w:rsid w:val="003216F3"/>
    <w:rsid w:val="00321C94"/>
    <w:rsid w:val="00322077"/>
    <w:rsid w:val="00322E1C"/>
    <w:rsid w:val="00323204"/>
    <w:rsid w:val="003240A8"/>
    <w:rsid w:val="0032723F"/>
    <w:rsid w:val="00332EA8"/>
    <w:rsid w:val="003343AF"/>
    <w:rsid w:val="00334750"/>
    <w:rsid w:val="00335589"/>
    <w:rsid w:val="00335DBB"/>
    <w:rsid w:val="0033723A"/>
    <w:rsid w:val="00337B47"/>
    <w:rsid w:val="003408C6"/>
    <w:rsid w:val="0034096D"/>
    <w:rsid w:val="00340BFA"/>
    <w:rsid w:val="003411B7"/>
    <w:rsid w:val="00341976"/>
    <w:rsid w:val="003419FC"/>
    <w:rsid w:val="003429B3"/>
    <w:rsid w:val="0034355B"/>
    <w:rsid w:val="00343CF5"/>
    <w:rsid w:val="00343F76"/>
    <w:rsid w:val="003440B7"/>
    <w:rsid w:val="003444F3"/>
    <w:rsid w:val="00344634"/>
    <w:rsid w:val="003447E7"/>
    <w:rsid w:val="00344AFF"/>
    <w:rsid w:val="0034513D"/>
    <w:rsid w:val="00346043"/>
    <w:rsid w:val="0034626F"/>
    <w:rsid w:val="003464F5"/>
    <w:rsid w:val="00346BA4"/>
    <w:rsid w:val="00346FF4"/>
    <w:rsid w:val="003470E9"/>
    <w:rsid w:val="00347158"/>
    <w:rsid w:val="00347365"/>
    <w:rsid w:val="00347B21"/>
    <w:rsid w:val="00347F51"/>
    <w:rsid w:val="003503CD"/>
    <w:rsid w:val="0035073A"/>
    <w:rsid w:val="0035095C"/>
    <w:rsid w:val="003510FF"/>
    <w:rsid w:val="00351A97"/>
    <w:rsid w:val="0035210A"/>
    <w:rsid w:val="00352B21"/>
    <w:rsid w:val="003544D9"/>
    <w:rsid w:val="003545D0"/>
    <w:rsid w:val="00354B2E"/>
    <w:rsid w:val="003553D0"/>
    <w:rsid w:val="0035567C"/>
    <w:rsid w:val="00355846"/>
    <w:rsid w:val="003564A9"/>
    <w:rsid w:val="003568E9"/>
    <w:rsid w:val="00356995"/>
    <w:rsid w:val="00356EE5"/>
    <w:rsid w:val="0035748C"/>
    <w:rsid w:val="00357753"/>
    <w:rsid w:val="00360797"/>
    <w:rsid w:val="00360BAF"/>
    <w:rsid w:val="003619B3"/>
    <w:rsid w:val="003623F9"/>
    <w:rsid w:val="00362441"/>
    <w:rsid w:val="003628CC"/>
    <w:rsid w:val="00362B28"/>
    <w:rsid w:val="00362B6F"/>
    <w:rsid w:val="00362D3C"/>
    <w:rsid w:val="00363995"/>
    <w:rsid w:val="00363E9A"/>
    <w:rsid w:val="00364030"/>
    <w:rsid w:val="0036404F"/>
    <w:rsid w:val="00364056"/>
    <w:rsid w:val="00364206"/>
    <w:rsid w:val="00364AF9"/>
    <w:rsid w:val="003652B3"/>
    <w:rsid w:val="003655D5"/>
    <w:rsid w:val="0036591B"/>
    <w:rsid w:val="00365F2F"/>
    <w:rsid w:val="00366427"/>
    <w:rsid w:val="003679E3"/>
    <w:rsid w:val="00370475"/>
    <w:rsid w:val="00370533"/>
    <w:rsid w:val="003705A8"/>
    <w:rsid w:val="00370B07"/>
    <w:rsid w:val="00370B1A"/>
    <w:rsid w:val="00371F94"/>
    <w:rsid w:val="0037243B"/>
    <w:rsid w:val="00372C01"/>
    <w:rsid w:val="00373950"/>
    <w:rsid w:val="00373F0E"/>
    <w:rsid w:val="00374780"/>
    <w:rsid w:val="003758CB"/>
    <w:rsid w:val="00375D9B"/>
    <w:rsid w:val="00375EEB"/>
    <w:rsid w:val="00376193"/>
    <w:rsid w:val="00376738"/>
    <w:rsid w:val="00377EAD"/>
    <w:rsid w:val="0038007C"/>
    <w:rsid w:val="00380183"/>
    <w:rsid w:val="00380B24"/>
    <w:rsid w:val="00381665"/>
    <w:rsid w:val="003823D2"/>
    <w:rsid w:val="00382A1B"/>
    <w:rsid w:val="00382D1B"/>
    <w:rsid w:val="00382DAE"/>
    <w:rsid w:val="00382E7E"/>
    <w:rsid w:val="003830CD"/>
    <w:rsid w:val="00383F03"/>
    <w:rsid w:val="00384354"/>
    <w:rsid w:val="00384E00"/>
    <w:rsid w:val="0038527D"/>
    <w:rsid w:val="0038538C"/>
    <w:rsid w:val="00385886"/>
    <w:rsid w:val="00385DB6"/>
    <w:rsid w:val="00386FCE"/>
    <w:rsid w:val="003874D7"/>
    <w:rsid w:val="00387501"/>
    <w:rsid w:val="00387D5A"/>
    <w:rsid w:val="00387ECC"/>
    <w:rsid w:val="003920D6"/>
    <w:rsid w:val="003921FE"/>
    <w:rsid w:val="003945D0"/>
    <w:rsid w:val="00394A4A"/>
    <w:rsid w:val="00394A8A"/>
    <w:rsid w:val="003952DC"/>
    <w:rsid w:val="0039593A"/>
    <w:rsid w:val="00396E9F"/>
    <w:rsid w:val="00396F96"/>
    <w:rsid w:val="00396FF8"/>
    <w:rsid w:val="003A04A5"/>
    <w:rsid w:val="003A04BC"/>
    <w:rsid w:val="003A07B6"/>
    <w:rsid w:val="003A08A6"/>
    <w:rsid w:val="003A0EA5"/>
    <w:rsid w:val="003A0EAF"/>
    <w:rsid w:val="003A13C8"/>
    <w:rsid w:val="003A3C1F"/>
    <w:rsid w:val="003A42DE"/>
    <w:rsid w:val="003A6F9D"/>
    <w:rsid w:val="003B008C"/>
    <w:rsid w:val="003B229B"/>
    <w:rsid w:val="003B2832"/>
    <w:rsid w:val="003B2977"/>
    <w:rsid w:val="003B2988"/>
    <w:rsid w:val="003B31B1"/>
    <w:rsid w:val="003B38E8"/>
    <w:rsid w:val="003B399C"/>
    <w:rsid w:val="003B4116"/>
    <w:rsid w:val="003B43A8"/>
    <w:rsid w:val="003B4DC7"/>
    <w:rsid w:val="003B53F1"/>
    <w:rsid w:val="003B5837"/>
    <w:rsid w:val="003B61F2"/>
    <w:rsid w:val="003B65CD"/>
    <w:rsid w:val="003B663E"/>
    <w:rsid w:val="003B6DCC"/>
    <w:rsid w:val="003B6EFC"/>
    <w:rsid w:val="003B7083"/>
    <w:rsid w:val="003B73F3"/>
    <w:rsid w:val="003B7874"/>
    <w:rsid w:val="003B7967"/>
    <w:rsid w:val="003B7C16"/>
    <w:rsid w:val="003B7FB9"/>
    <w:rsid w:val="003C1002"/>
    <w:rsid w:val="003C2A52"/>
    <w:rsid w:val="003C2D15"/>
    <w:rsid w:val="003C2D4B"/>
    <w:rsid w:val="003C2D77"/>
    <w:rsid w:val="003C527C"/>
    <w:rsid w:val="003C59D9"/>
    <w:rsid w:val="003C5D91"/>
    <w:rsid w:val="003C5E87"/>
    <w:rsid w:val="003C668E"/>
    <w:rsid w:val="003C701A"/>
    <w:rsid w:val="003C78FD"/>
    <w:rsid w:val="003C79B6"/>
    <w:rsid w:val="003C7EFB"/>
    <w:rsid w:val="003D0D4A"/>
    <w:rsid w:val="003D0FB9"/>
    <w:rsid w:val="003D2148"/>
    <w:rsid w:val="003D298A"/>
    <w:rsid w:val="003D337D"/>
    <w:rsid w:val="003D3973"/>
    <w:rsid w:val="003D3BB3"/>
    <w:rsid w:val="003D40BD"/>
    <w:rsid w:val="003D4A37"/>
    <w:rsid w:val="003D4CDB"/>
    <w:rsid w:val="003D5496"/>
    <w:rsid w:val="003D60D4"/>
    <w:rsid w:val="003D6A21"/>
    <w:rsid w:val="003D6D4A"/>
    <w:rsid w:val="003D6FFC"/>
    <w:rsid w:val="003D7789"/>
    <w:rsid w:val="003D7E19"/>
    <w:rsid w:val="003E0BD3"/>
    <w:rsid w:val="003E1737"/>
    <w:rsid w:val="003E18A3"/>
    <w:rsid w:val="003E2E07"/>
    <w:rsid w:val="003E2E73"/>
    <w:rsid w:val="003E5156"/>
    <w:rsid w:val="003E5F6B"/>
    <w:rsid w:val="003E60AA"/>
    <w:rsid w:val="003E63A7"/>
    <w:rsid w:val="003E6DF3"/>
    <w:rsid w:val="003E7EBB"/>
    <w:rsid w:val="003E7F96"/>
    <w:rsid w:val="003E7FD8"/>
    <w:rsid w:val="003F2180"/>
    <w:rsid w:val="003F2401"/>
    <w:rsid w:val="003F379B"/>
    <w:rsid w:val="003F383F"/>
    <w:rsid w:val="003F44D4"/>
    <w:rsid w:val="003F4DF7"/>
    <w:rsid w:val="003F52DD"/>
    <w:rsid w:val="003F55E5"/>
    <w:rsid w:val="003F5E78"/>
    <w:rsid w:val="003F6539"/>
    <w:rsid w:val="003F6CB9"/>
    <w:rsid w:val="003F6D6D"/>
    <w:rsid w:val="003F7067"/>
    <w:rsid w:val="003F7915"/>
    <w:rsid w:val="004005F6"/>
    <w:rsid w:val="00401974"/>
    <w:rsid w:val="00401C5B"/>
    <w:rsid w:val="00402E4F"/>
    <w:rsid w:val="00403343"/>
    <w:rsid w:val="00403DBA"/>
    <w:rsid w:val="00404405"/>
    <w:rsid w:val="00404E04"/>
    <w:rsid w:val="0040506C"/>
    <w:rsid w:val="00405980"/>
    <w:rsid w:val="004069E7"/>
    <w:rsid w:val="00407021"/>
    <w:rsid w:val="0040714D"/>
    <w:rsid w:val="00407316"/>
    <w:rsid w:val="00407368"/>
    <w:rsid w:val="004074AD"/>
    <w:rsid w:val="004077CE"/>
    <w:rsid w:val="004079DA"/>
    <w:rsid w:val="004103A2"/>
    <w:rsid w:val="004108D8"/>
    <w:rsid w:val="00410E1E"/>
    <w:rsid w:val="00410EEE"/>
    <w:rsid w:val="00411278"/>
    <w:rsid w:val="00411293"/>
    <w:rsid w:val="004120E1"/>
    <w:rsid w:val="004126D4"/>
    <w:rsid w:val="00412998"/>
    <w:rsid w:val="00412C5C"/>
    <w:rsid w:val="00412CDF"/>
    <w:rsid w:val="00413451"/>
    <w:rsid w:val="00413625"/>
    <w:rsid w:val="00413738"/>
    <w:rsid w:val="00413E1F"/>
    <w:rsid w:val="004145C1"/>
    <w:rsid w:val="00414EF7"/>
    <w:rsid w:val="00415724"/>
    <w:rsid w:val="00416D85"/>
    <w:rsid w:val="00416DC7"/>
    <w:rsid w:val="00417123"/>
    <w:rsid w:val="004179E3"/>
    <w:rsid w:val="00420260"/>
    <w:rsid w:val="00420A01"/>
    <w:rsid w:val="00420D40"/>
    <w:rsid w:val="004213CB"/>
    <w:rsid w:val="00421855"/>
    <w:rsid w:val="00421933"/>
    <w:rsid w:val="00421A0F"/>
    <w:rsid w:val="00421B03"/>
    <w:rsid w:val="00421C18"/>
    <w:rsid w:val="00421C95"/>
    <w:rsid w:val="00422AD5"/>
    <w:rsid w:val="00423007"/>
    <w:rsid w:val="00423E74"/>
    <w:rsid w:val="00424970"/>
    <w:rsid w:val="00425A15"/>
    <w:rsid w:val="0042601F"/>
    <w:rsid w:val="0042728A"/>
    <w:rsid w:val="0043044B"/>
    <w:rsid w:val="004316EE"/>
    <w:rsid w:val="004320E7"/>
    <w:rsid w:val="00433050"/>
    <w:rsid w:val="0043324A"/>
    <w:rsid w:val="00433AB4"/>
    <w:rsid w:val="004349C9"/>
    <w:rsid w:val="004354DA"/>
    <w:rsid w:val="00435A76"/>
    <w:rsid w:val="00435ACE"/>
    <w:rsid w:val="0043615C"/>
    <w:rsid w:val="0043621F"/>
    <w:rsid w:val="00437B83"/>
    <w:rsid w:val="00440B3C"/>
    <w:rsid w:val="00440F8C"/>
    <w:rsid w:val="00441126"/>
    <w:rsid w:val="00441648"/>
    <w:rsid w:val="004418E5"/>
    <w:rsid w:val="00441EA4"/>
    <w:rsid w:val="00443537"/>
    <w:rsid w:val="00443EA1"/>
    <w:rsid w:val="0044482C"/>
    <w:rsid w:val="00444D6F"/>
    <w:rsid w:val="00445F2B"/>
    <w:rsid w:val="00446E1C"/>
    <w:rsid w:val="004472FE"/>
    <w:rsid w:val="00447E66"/>
    <w:rsid w:val="004507D6"/>
    <w:rsid w:val="004509E5"/>
    <w:rsid w:val="00450D33"/>
    <w:rsid w:val="00451571"/>
    <w:rsid w:val="004517E6"/>
    <w:rsid w:val="00451F7E"/>
    <w:rsid w:val="00452AD0"/>
    <w:rsid w:val="00452B80"/>
    <w:rsid w:val="004532BA"/>
    <w:rsid w:val="004537DE"/>
    <w:rsid w:val="00453AA9"/>
    <w:rsid w:val="00453FFB"/>
    <w:rsid w:val="004546FD"/>
    <w:rsid w:val="00454D7C"/>
    <w:rsid w:val="004552EB"/>
    <w:rsid w:val="004553F6"/>
    <w:rsid w:val="0045544B"/>
    <w:rsid w:val="00455E65"/>
    <w:rsid w:val="00456105"/>
    <w:rsid w:val="00456A5B"/>
    <w:rsid w:val="00457A7F"/>
    <w:rsid w:val="00457D75"/>
    <w:rsid w:val="004603A9"/>
    <w:rsid w:val="004612A3"/>
    <w:rsid w:val="00461CE6"/>
    <w:rsid w:val="004628C6"/>
    <w:rsid w:val="00462E2D"/>
    <w:rsid w:val="004635F2"/>
    <w:rsid w:val="00463DEC"/>
    <w:rsid w:val="004646E1"/>
    <w:rsid w:val="00465017"/>
    <w:rsid w:val="00465DCD"/>
    <w:rsid w:val="00466386"/>
    <w:rsid w:val="00466547"/>
    <w:rsid w:val="0046726F"/>
    <w:rsid w:val="004672B0"/>
    <w:rsid w:val="00467A0B"/>
    <w:rsid w:val="004702ED"/>
    <w:rsid w:val="00470681"/>
    <w:rsid w:val="00471264"/>
    <w:rsid w:val="00472117"/>
    <w:rsid w:val="0047251E"/>
    <w:rsid w:val="00472CDF"/>
    <w:rsid w:val="00472F18"/>
    <w:rsid w:val="00472F9D"/>
    <w:rsid w:val="0047347D"/>
    <w:rsid w:val="00474207"/>
    <w:rsid w:val="0047422A"/>
    <w:rsid w:val="0047447B"/>
    <w:rsid w:val="004752F2"/>
    <w:rsid w:val="00475D6A"/>
    <w:rsid w:val="00476821"/>
    <w:rsid w:val="004770BB"/>
    <w:rsid w:val="0047718E"/>
    <w:rsid w:val="004775C5"/>
    <w:rsid w:val="00481140"/>
    <w:rsid w:val="00481EA9"/>
    <w:rsid w:val="004821D8"/>
    <w:rsid w:val="004825E1"/>
    <w:rsid w:val="0048479E"/>
    <w:rsid w:val="00484987"/>
    <w:rsid w:val="004849E5"/>
    <w:rsid w:val="0048571A"/>
    <w:rsid w:val="00485C9B"/>
    <w:rsid w:val="00485D6C"/>
    <w:rsid w:val="00485DCD"/>
    <w:rsid w:val="00486484"/>
    <w:rsid w:val="004868CD"/>
    <w:rsid w:val="00487772"/>
    <w:rsid w:val="00487BB7"/>
    <w:rsid w:val="00487F9D"/>
    <w:rsid w:val="00487FF1"/>
    <w:rsid w:val="004903E7"/>
    <w:rsid w:val="004903F3"/>
    <w:rsid w:val="004905DE"/>
    <w:rsid w:val="00490FC7"/>
    <w:rsid w:val="004920BB"/>
    <w:rsid w:val="004926A0"/>
    <w:rsid w:val="00493081"/>
    <w:rsid w:val="00493D96"/>
    <w:rsid w:val="00494557"/>
    <w:rsid w:val="00494839"/>
    <w:rsid w:val="0049559F"/>
    <w:rsid w:val="0049567B"/>
    <w:rsid w:val="00495C42"/>
    <w:rsid w:val="0049687E"/>
    <w:rsid w:val="00497314"/>
    <w:rsid w:val="00497E7D"/>
    <w:rsid w:val="004A127B"/>
    <w:rsid w:val="004A191E"/>
    <w:rsid w:val="004A197E"/>
    <w:rsid w:val="004A1CEA"/>
    <w:rsid w:val="004A2466"/>
    <w:rsid w:val="004A2FCF"/>
    <w:rsid w:val="004A31AD"/>
    <w:rsid w:val="004A3995"/>
    <w:rsid w:val="004A432F"/>
    <w:rsid w:val="004A434C"/>
    <w:rsid w:val="004A43B2"/>
    <w:rsid w:val="004A4787"/>
    <w:rsid w:val="004A684B"/>
    <w:rsid w:val="004A69E8"/>
    <w:rsid w:val="004A7249"/>
    <w:rsid w:val="004A7C05"/>
    <w:rsid w:val="004B13F5"/>
    <w:rsid w:val="004B153D"/>
    <w:rsid w:val="004B161D"/>
    <w:rsid w:val="004B1F72"/>
    <w:rsid w:val="004B224F"/>
    <w:rsid w:val="004B400A"/>
    <w:rsid w:val="004B4748"/>
    <w:rsid w:val="004B486D"/>
    <w:rsid w:val="004B6925"/>
    <w:rsid w:val="004B7ABB"/>
    <w:rsid w:val="004B7AF3"/>
    <w:rsid w:val="004C05C9"/>
    <w:rsid w:val="004C0946"/>
    <w:rsid w:val="004C1E88"/>
    <w:rsid w:val="004C2391"/>
    <w:rsid w:val="004C2D19"/>
    <w:rsid w:val="004C3200"/>
    <w:rsid w:val="004C3D3F"/>
    <w:rsid w:val="004C3E25"/>
    <w:rsid w:val="004C4B78"/>
    <w:rsid w:val="004C4F19"/>
    <w:rsid w:val="004C50E7"/>
    <w:rsid w:val="004C52FB"/>
    <w:rsid w:val="004C5446"/>
    <w:rsid w:val="004C5ACA"/>
    <w:rsid w:val="004C5D5A"/>
    <w:rsid w:val="004C6D15"/>
    <w:rsid w:val="004C7808"/>
    <w:rsid w:val="004C7A8D"/>
    <w:rsid w:val="004D0140"/>
    <w:rsid w:val="004D041F"/>
    <w:rsid w:val="004D0CF5"/>
    <w:rsid w:val="004D13EA"/>
    <w:rsid w:val="004D28B1"/>
    <w:rsid w:val="004D2EFD"/>
    <w:rsid w:val="004D3158"/>
    <w:rsid w:val="004D3EB4"/>
    <w:rsid w:val="004D3FEC"/>
    <w:rsid w:val="004D4227"/>
    <w:rsid w:val="004D43DD"/>
    <w:rsid w:val="004D4977"/>
    <w:rsid w:val="004D4B27"/>
    <w:rsid w:val="004D4E22"/>
    <w:rsid w:val="004D4F3D"/>
    <w:rsid w:val="004D53CF"/>
    <w:rsid w:val="004D5AF5"/>
    <w:rsid w:val="004D716F"/>
    <w:rsid w:val="004D7559"/>
    <w:rsid w:val="004D7C9B"/>
    <w:rsid w:val="004E0254"/>
    <w:rsid w:val="004E038D"/>
    <w:rsid w:val="004E06D9"/>
    <w:rsid w:val="004E080C"/>
    <w:rsid w:val="004E08BF"/>
    <w:rsid w:val="004E0F0A"/>
    <w:rsid w:val="004E2A81"/>
    <w:rsid w:val="004E2D9B"/>
    <w:rsid w:val="004E2F3F"/>
    <w:rsid w:val="004E305B"/>
    <w:rsid w:val="004E3764"/>
    <w:rsid w:val="004E388A"/>
    <w:rsid w:val="004E3963"/>
    <w:rsid w:val="004E4863"/>
    <w:rsid w:val="004E58C5"/>
    <w:rsid w:val="004E5989"/>
    <w:rsid w:val="004E5AF4"/>
    <w:rsid w:val="004E7F2F"/>
    <w:rsid w:val="004E7F9E"/>
    <w:rsid w:val="004F0BE3"/>
    <w:rsid w:val="004F1453"/>
    <w:rsid w:val="004F1E65"/>
    <w:rsid w:val="004F2301"/>
    <w:rsid w:val="004F3A14"/>
    <w:rsid w:val="004F3A38"/>
    <w:rsid w:val="004F4863"/>
    <w:rsid w:val="004F4DDD"/>
    <w:rsid w:val="004F514D"/>
    <w:rsid w:val="004F556B"/>
    <w:rsid w:val="004F5E0E"/>
    <w:rsid w:val="004F6098"/>
    <w:rsid w:val="004F6A78"/>
    <w:rsid w:val="004F6B6A"/>
    <w:rsid w:val="004F6BD7"/>
    <w:rsid w:val="004F6E83"/>
    <w:rsid w:val="004F718E"/>
    <w:rsid w:val="004F79AA"/>
    <w:rsid w:val="004F79B2"/>
    <w:rsid w:val="0050269B"/>
    <w:rsid w:val="005040DC"/>
    <w:rsid w:val="00504453"/>
    <w:rsid w:val="005045C9"/>
    <w:rsid w:val="00504DA6"/>
    <w:rsid w:val="00505C40"/>
    <w:rsid w:val="00510E4E"/>
    <w:rsid w:val="005124F7"/>
    <w:rsid w:val="00512649"/>
    <w:rsid w:val="0051273B"/>
    <w:rsid w:val="005139D5"/>
    <w:rsid w:val="00513BC3"/>
    <w:rsid w:val="005141B5"/>
    <w:rsid w:val="0051465A"/>
    <w:rsid w:val="00514801"/>
    <w:rsid w:val="005205D9"/>
    <w:rsid w:val="005206A7"/>
    <w:rsid w:val="00522295"/>
    <w:rsid w:val="005238DD"/>
    <w:rsid w:val="0052403F"/>
    <w:rsid w:val="00525297"/>
    <w:rsid w:val="0052535A"/>
    <w:rsid w:val="00525B72"/>
    <w:rsid w:val="00527553"/>
    <w:rsid w:val="00527B1F"/>
    <w:rsid w:val="00527F2C"/>
    <w:rsid w:val="005304F0"/>
    <w:rsid w:val="0053073E"/>
    <w:rsid w:val="005323F0"/>
    <w:rsid w:val="005338A7"/>
    <w:rsid w:val="00534390"/>
    <w:rsid w:val="0053493E"/>
    <w:rsid w:val="00534BEE"/>
    <w:rsid w:val="00534D46"/>
    <w:rsid w:val="00534E31"/>
    <w:rsid w:val="00534FEB"/>
    <w:rsid w:val="005352F2"/>
    <w:rsid w:val="005353A2"/>
    <w:rsid w:val="00535506"/>
    <w:rsid w:val="00536167"/>
    <w:rsid w:val="00536173"/>
    <w:rsid w:val="0053672F"/>
    <w:rsid w:val="00536CAD"/>
    <w:rsid w:val="00537208"/>
    <w:rsid w:val="00537B6B"/>
    <w:rsid w:val="00540587"/>
    <w:rsid w:val="0054058B"/>
    <w:rsid w:val="00540AC9"/>
    <w:rsid w:val="00540AD2"/>
    <w:rsid w:val="005413CD"/>
    <w:rsid w:val="00541726"/>
    <w:rsid w:val="00541C0A"/>
    <w:rsid w:val="0054264B"/>
    <w:rsid w:val="00543EB7"/>
    <w:rsid w:val="00544189"/>
    <w:rsid w:val="00544441"/>
    <w:rsid w:val="005447B7"/>
    <w:rsid w:val="00544955"/>
    <w:rsid w:val="00544A0E"/>
    <w:rsid w:val="005459AD"/>
    <w:rsid w:val="005470EE"/>
    <w:rsid w:val="005477DA"/>
    <w:rsid w:val="00547C51"/>
    <w:rsid w:val="0055018A"/>
    <w:rsid w:val="00550266"/>
    <w:rsid w:val="00551D9A"/>
    <w:rsid w:val="00552E16"/>
    <w:rsid w:val="0055363C"/>
    <w:rsid w:val="00553813"/>
    <w:rsid w:val="00553D28"/>
    <w:rsid w:val="005544B5"/>
    <w:rsid w:val="00555953"/>
    <w:rsid w:val="00555E23"/>
    <w:rsid w:val="00555E73"/>
    <w:rsid w:val="00556F97"/>
    <w:rsid w:val="005570A6"/>
    <w:rsid w:val="005570F0"/>
    <w:rsid w:val="005573FA"/>
    <w:rsid w:val="005578A1"/>
    <w:rsid w:val="00557CBE"/>
    <w:rsid w:val="005608AC"/>
    <w:rsid w:val="00560C96"/>
    <w:rsid w:val="00560E77"/>
    <w:rsid w:val="005612C1"/>
    <w:rsid w:val="005613D2"/>
    <w:rsid w:val="00561B47"/>
    <w:rsid w:val="005636F1"/>
    <w:rsid w:val="00564313"/>
    <w:rsid w:val="0056443B"/>
    <w:rsid w:val="00564C88"/>
    <w:rsid w:val="005653CB"/>
    <w:rsid w:val="0056549B"/>
    <w:rsid w:val="005657ED"/>
    <w:rsid w:val="005666A7"/>
    <w:rsid w:val="00566A4F"/>
    <w:rsid w:val="00566B58"/>
    <w:rsid w:val="00567393"/>
    <w:rsid w:val="005703B9"/>
    <w:rsid w:val="005707D0"/>
    <w:rsid w:val="0057100C"/>
    <w:rsid w:val="005712D9"/>
    <w:rsid w:val="00571B55"/>
    <w:rsid w:val="00573881"/>
    <w:rsid w:val="005739EE"/>
    <w:rsid w:val="0057489A"/>
    <w:rsid w:val="00575456"/>
    <w:rsid w:val="00576D1C"/>
    <w:rsid w:val="00577796"/>
    <w:rsid w:val="005809C5"/>
    <w:rsid w:val="00581A7F"/>
    <w:rsid w:val="00583247"/>
    <w:rsid w:val="00584777"/>
    <w:rsid w:val="00584D19"/>
    <w:rsid w:val="005853EE"/>
    <w:rsid w:val="005858C7"/>
    <w:rsid w:val="00586127"/>
    <w:rsid w:val="005862CA"/>
    <w:rsid w:val="00586908"/>
    <w:rsid w:val="00587B69"/>
    <w:rsid w:val="00587E12"/>
    <w:rsid w:val="005903B7"/>
    <w:rsid w:val="0059060A"/>
    <w:rsid w:val="0059065F"/>
    <w:rsid w:val="00590F3C"/>
    <w:rsid w:val="00591098"/>
    <w:rsid w:val="00591927"/>
    <w:rsid w:val="005923F5"/>
    <w:rsid w:val="00592C01"/>
    <w:rsid w:val="00592C57"/>
    <w:rsid w:val="00593060"/>
    <w:rsid w:val="00593E9D"/>
    <w:rsid w:val="005941A4"/>
    <w:rsid w:val="005951D8"/>
    <w:rsid w:val="0059575B"/>
    <w:rsid w:val="0059597B"/>
    <w:rsid w:val="00595ED2"/>
    <w:rsid w:val="00596262"/>
    <w:rsid w:val="00596C15"/>
    <w:rsid w:val="005976DE"/>
    <w:rsid w:val="00597AE2"/>
    <w:rsid w:val="00597FCE"/>
    <w:rsid w:val="005A01CE"/>
    <w:rsid w:val="005A0BE9"/>
    <w:rsid w:val="005A137A"/>
    <w:rsid w:val="005A22A8"/>
    <w:rsid w:val="005A2B26"/>
    <w:rsid w:val="005A2B3C"/>
    <w:rsid w:val="005A34AE"/>
    <w:rsid w:val="005A45B4"/>
    <w:rsid w:val="005A5D86"/>
    <w:rsid w:val="005A5F2A"/>
    <w:rsid w:val="005A6256"/>
    <w:rsid w:val="005A6B35"/>
    <w:rsid w:val="005A7CA8"/>
    <w:rsid w:val="005A7CC9"/>
    <w:rsid w:val="005B0877"/>
    <w:rsid w:val="005B14E4"/>
    <w:rsid w:val="005B153F"/>
    <w:rsid w:val="005B1813"/>
    <w:rsid w:val="005B1ADB"/>
    <w:rsid w:val="005B1E50"/>
    <w:rsid w:val="005B2058"/>
    <w:rsid w:val="005B20F7"/>
    <w:rsid w:val="005B326D"/>
    <w:rsid w:val="005B3C62"/>
    <w:rsid w:val="005B4FCB"/>
    <w:rsid w:val="005B5046"/>
    <w:rsid w:val="005B604A"/>
    <w:rsid w:val="005B6A98"/>
    <w:rsid w:val="005B75E5"/>
    <w:rsid w:val="005B7BD8"/>
    <w:rsid w:val="005C14EE"/>
    <w:rsid w:val="005C1983"/>
    <w:rsid w:val="005C1E45"/>
    <w:rsid w:val="005C2003"/>
    <w:rsid w:val="005C2399"/>
    <w:rsid w:val="005C2AA1"/>
    <w:rsid w:val="005C3206"/>
    <w:rsid w:val="005C3377"/>
    <w:rsid w:val="005C3C08"/>
    <w:rsid w:val="005C405F"/>
    <w:rsid w:val="005C4256"/>
    <w:rsid w:val="005C454B"/>
    <w:rsid w:val="005C5E16"/>
    <w:rsid w:val="005C60A2"/>
    <w:rsid w:val="005C74D3"/>
    <w:rsid w:val="005C7547"/>
    <w:rsid w:val="005C78A3"/>
    <w:rsid w:val="005C7E51"/>
    <w:rsid w:val="005D03BB"/>
    <w:rsid w:val="005D049C"/>
    <w:rsid w:val="005D0727"/>
    <w:rsid w:val="005D0FCB"/>
    <w:rsid w:val="005D1CCE"/>
    <w:rsid w:val="005D2872"/>
    <w:rsid w:val="005D2CAB"/>
    <w:rsid w:val="005D2E21"/>
    <w:rsid w:val="005D390D"/>
    <w:rsid w:val="005D4949"/>
    <w:rsid w:val="005D5DCE"/>
    <w:rsid w:val="005D7311"/>
    <w:rsid w:val="005D7680"/>
    <w:rsid w:val="005D7882"/>
    <w:rsid w:val="005D7A09"/>
    <w:rsid w:val="005E0381"/>
    <w:rsid w:val="005E19FE"/>
    <w:rsid w:val="005E2B65"/>
    <w:rsid w:val="005E5296"/>
    <w:rsid w:val="005E5CF2"/>
    <w:rsid w:val="005E62ED"/>
    <w:rsid w:val="005E631A"/>
    <w:rsid w:val="005E634D"/>
    <w:rsid w:val="005E6978"/>
    <w:rsid w:val="005E6CAC"/>
    <w:rsid w:val="005E7AE1"/>
    <w:rsid w:val="005F0FE2"/>
    <w:rsid w:val="005F10D6"/>
    <w:rsid w:val="005F1821"/>
    <w:rsid w:val="005F29E9"/>
    <w:rsid w:val="005F3510"/>
    <w:rsid w:val="005F3A08"/>
    <w:rsid w:val="005F3B39"/>
    <w:rsid w:val="005F4334"/>
    <w:rsid w:val="005F481E"/>
    <w:rsid w:val="005F5067"/>
    <w:rsid w:val="005F790A"/>
    <w:rsid w:val="00600DC0"/>
    <w:rsid w:val="00600F23"/>
    <w:rsid w:val="00601597"/>
    <w:rsid w:val="00601A9B"/>
    <w:rsid w:val="0060236A"/>
    <w:rsid w:val="00603155"/>
    <w:rsid w:val="006042A6"/>
    <w:rsid w:val="00604431"/>
    <w:rsid w:val="00604D1B"/>
    <w:rsid w:val="00604DDE"/>
    <w:rsid w:val="00606BD9"/>
    <w:rsid w:val="00606F85"/>
    <w:rsid w:val="006076CA"/>
    <w:rsid w:val="0061064E"/>
    <w:rsid w:val="00611550"/>
    <w:rsid w:val="00611AFC"/>
    <w:rsid w:val="00613311"/>
    <w:rsid w:val="0061370F"/>
    <w:rsid w:val="00613845"/>
    <w:rsid w:val="00613C9C"/>
    <w:rsid w:val="0061411D"/>
    <w:rsid w:val="0061507A"/>
    <w:rsid w:val="006206C5"/>
    <w:rsid w:val="006210FF"/>
    <w:rsid w:val="00621351"/>
    <w:rsid w:val="006227EB"/>
    <w:rsid w:val="00623E8F"/>
    <w:rsid w:val="00624900"/>
    <w:rsid w:val="006255A6"/>
    <w:rsid w:val="006258D5"/>
    <w:rsid w:val="00626C47"/>
    <w:rsid w:val="00626F22"/>
    <w:rsid w:val="006276EF"/>
    <w:rsid w:val="00630129"/>
    <w:rsid w:val="006306C6"/>
    <w:rsid w:val="00630AA3"/>
    <w:rsid w:val="00630E3F"/>
    <w:rsid w:val="006321E0"/>
    <w:rsid w:val="00632569"/>
    <w:rsid w:val="00634A30"/>
    <w:rsid w:val="00635449"/>
    <w:rsid w:val="00635527"/>
    <w:rsid w:val="00635799"/>
    <w:rsid w:val="00635EC4"/>
    <w:rsid w:val="006376A5"/>
    <w:rsid w:val="00637C69"/>
    <w:rsid w:val="0064025A"/>
    <w:rsid w:val="00640826"/>
    <w:rsid w:val="00640A0B"/>
    <w:rsid w:val="00641256"/>
    <w:rsid w:val="006415DA"/>
    <w:rsid w:val="006415FB"/>
    <w:rsid w:val="00641683"/>
    <w:rsid w:val="00641AE6"/>
    <w:rsid w:val="00642755"/>
    <w:rsid w:val="00644367"/>
    <w:rsid w:val="00644F95"/>
    <w:rsid w:val="00645399"/>
    <w:rsid w:val="0064581E"/>
    <w:rsid w:val="0064611B"/>
    <w:rsid w:val="00646799"/>
    <w:rsid w:val="0064696C"/>
    <w:rsid w:val="00646C2C"/>
    <w:rsid w:val="006471E1"/>
    <w:rsid w:val="00647927"/>
    <w:rsid w:val="006479D1"/>
    <w:rsid w:val="006502B6"/>
    <w:rsid w:val="0065124E"/>
    <w:rsid w:val="006513EE"/>
    <w:rsid w:val="00651622"/>
    <w:rsid w:val="006518B6"/>
    <w:rsid w:val="00651D39"/>
    <w:rsid w:val="00651E9F"/>
    <w:rsid w:val="006528CC"/>
    <w:rsid w:val="00652DC5"/>
    <w:rsid w:val="00652EDF"/>
    <w:rsid w:val="006540CA"/>
    <w:rsid w:val="0065436A"/>
    <w:rsid w:val="00654420"/>
    <w:rsid w:val="0065478B"/>
    <w:rsid w:val="00654863"/>
    <w:rsid w:val="00654865"/>
    <w:rsid w:val="0065522F"/>
    <w:rsid w:val="0065526A"/>
    <w:rsid w:val="00655B59"/>
    <w:rsid w:val="00655F02"/>
    <w:rsid w:val="0065671A"/>
    <w:rsid w:val="00657155"/>
    <w:rsid w:val="0065743B"/>
    <w:rsid w:val="00660066"/>
    <w:rsid w:val="006605A2"/>
    <w:rsid w:val="006605C3"/>
    <w:rsid w:val="00662244"/>
    <w:rsid w:val="00662995"/>
    <w:rsid w:val="00663B9A"/>
    <w:rsid w:val="00663CB9"/>
    <w:rsid w:val="0066414C"/>
    <w:rsid w:val="00664745"/>
    <w:rsid w:val="00665A3E"/>
    <w:rsid w:val="00665F5B"/>
    <w:rsid w:val="00666B7A"/>
    <w:rsid w:val="00666FF1"/>
    <w:rsid w:val="00667919"/>
    <w:rsid w:val="006701BE"/>
    <w:rsid w:val="00670451"/>
    <w:rsid w:val="00670655"/>
    <w:rsid w:val="006708D7"/>
    <w:rsid w:val="00671026"/>
    <w:rsid w:val="006717EC"/>
    <w:rsid w:val="006721B2"/>
    <w:rsid w:val="006727D6"/>
    <w:rsid w:val="006731CF"/>
    <w:rsid w:val="00673E67"/>
    <w:rsid w:val="0067433F"/>
    <w:rsid w:val="00674603"/>
    <w:rsid w:val="006759F6"/>
    <w:rsid w:val="00675BF6"/>
    <w:rsid w:val="00675E97"/>
    <w:rsid w:val="00677F0D"/>
    <w:rsid w:val="0068085A"/>
    <w:rsid w:val="0068196B"/>
    <w:rsid w:val="0068351B"/>
    <w:rsid w:val="00683586"/>
    <w:rsid w:val="0068394F"/>
    <w:rsid w:val="00684BE4"/>
    <w:rsid w:val="00684E9A"/>
    <w:rsid w:val="00684F2C"/>
    <w:rsid w:val="006855EA"/>
    <w:rsid w:val="006858D7"/>
    <w:rsid w:val="00685A21"/>
    <w:rsid w:val="006863C3"/>
    <w:rsid w:val="00687768"/>
    <w:rsid w:val="00690031"/>
    <w:rsid w:val="00690A70"/>
    <w:rsid w:val="00691023"/>
    <w:rsid w:val="00691967"/>
    <w:rsid w:val="00691A9D"/>
    <w:rsid w:val="00692659"/>
    <w:rsid w:val="006929C9"/>
    <w:rsid w:val="0069358D"/>
    <w:rsid w:val="006936FD"/>
    <w:rsid w:val="00693E85"/>
    <w:rsid w:val="00693FCA"/>
    <w:rsid w:val="00694E86"/>
    <w:rsid w:val="0069532D"/>
    <w:rsid w:val="00695C30"/>
    <w:rsid w:val="00695E21"/>
    <w:rsid w:val="006966D6"/>
    <w:rsid w:val="006974D6"/>
    <w:rsid w:val="0069794F"/>
    <w:rsid w:val="006A0072"/>
    <w:rsid w:val="006A013A"/>
    <w:rsid w:val="006A05FA"/>
    <w:rsid w:val="006A07BC"/>
    <w:rsid w:val="006A0B50"/>
    <w:rsid w:val="006A0BCA"/>
    <w:rsid w:val="006A1D5C"/>
    <w:rsid w:val="006A25EC"/>
    <w:rsid w:val="006A2682"/>
    <w:rsid w:val="006A280B"/>
    <w:rsid w:val="006A296D"/>
    <w:rsid w:val="006A2E71"/>
    <w:rsid w:val="006A30B1"/>
    <w:rsid w:val="006A35DF"/>
    <w:rsid w:val="006A428B"/>
    <w:rsid w:val="006A4299"/>
    <w:rsid w:val="006A4873"/>
    <w:rsid w:val="006A555F"/>
    <w:rsid w:val="006A57A2"/>
    <w:rsid w:val="006A6EBD"/>
    <w:rsid w:val="006B21F9"/>
    <w:rsid w:val="006B2B07"/>
    <w:rsid w:val="006B3305"/>
    <w:rsid w:val="006B36CD"/>
    <w:rsid w:val="006B3BD2"/>
    <w:rsid w:val="006B3DC0"/>
    <w:rsid w:val="006B45DC"/>
    <w:rsid w:val="006B4734"/>
    <w:rsid w:val="006B57DD"/>
    <w:rsid w:val="006B58EF"/>
    <w:rsid w:val="006B61D9"/>
    <w:rsid w:val="006B628D"/>
    <w:rsid w:val="006B6410"/>
    <w:rsid w:val="006B72C4"/>
    <w:rsid w:val="006C004F"/>
    <w:rsid w:val="006C01E4"/>
    <w:rsid w:val="006C071B"/>
    <w:rsid w:val="006C1189"/>
    <w:rsid w:val="006C1657"/>
    <w:rsid w:val="006C233A"/>
    <w:rsid w:val="006C29B6"/>
    <w:rsid w:val="006C308E"/>
    <w:rsid w:val="006C3186"/>
    <w:rsid w:val="006C44B3"/>
    <w:rsid w:val="006C4961"/>
    <w:rsid w:val="006C4AFB"/>
    <w:rsid w:val="006C4D7E"/>
    <w:rsid w:val="006C5A11"/>
    <w:rsid w:val="006C6401"/>
    <w:rsid w:val="006C6C9B"/>
    <w:rsid w:val="006C6F3E"/>
    <w:rsid w:val="006C71DE"/>
    <w:rsid w:val="006C764F"/>
    <w:rsid w:val="006C7B2B"/>
    <w:rsid w:val="006D1738"/>
    <w:rsid w:val="006D2182"/>
    <w:rsid w:val="006D2442"/>
    <w:rsid w:val="006D2668"/>
    <w:rsid w:val="006D2747"/>
    <w:rsid w:val="006D2A2E"/>
    <w:rsid w:val="006D3C6D"/>
    <w:rsid w:val="006D3D45"/>
    <w:rsid w:val="006D55D8"/>
    <w:rsid w:val="006D5D92"/>
    <w:rsid w:val="006D6E0C"/>
    <w:rsid w:val="006E0D84"/>
    <w:rsid w:val="006E11D4"/>
    <w:rsid w:val="006E1282"/>
    <w:rsid w:val="006E12D3"/>
    <w:rsid w:val="006E133F"/>
    <w:rsid w:val="006E1868"/>
    <w:rsid w:val="006E2433"/>
    <w:rsid w:val="006E38DF"/>
    <w:rsid w:val="006E3901"/>
    <w:rsid w:val="006E3A3F"/>
    <w:rsid w:val="006E3F85"/>
    <w:rsid w:val="006E4A65"/>
    <w:rsid w:val="006E4E94"/>
    <w:rsid w:val="006E53CB"/>
    <w:rsid w:val="006E5F2F"/>
    <w:rsid w:val="006E6E51"/>
    <w:rsid w:val="006E6F96"/>
    <w:rsid w:val="006F3ABE"/>
    <w:rsid w:val="006F4574"/>
    <w:rsid w:val="006F5C20"/>
    <w:rsid w:val="006F5E54"/>
    <w:rsid w:val="006F5F58"/>
    <w:rsid w:val="006F5F9C"/>
    <w:rsid w:val="006F621F"/>
    <w:rsid w:val="006F6E47"/>
    <w:rsid w:val="006F7509"/>
    <w:rsid w:val="006F7E86"/>
    <w:rsid w:val="00700220"/>
    <w:rsid w:val="00700524"/>
    <w:rsid w:val="007007C0"/>
    <w:rsid w:val="00701CC6"/>
    <w:rsid w:val="007020B3"/>
    <w:rsid w:val="007022B5"/>
    <w:rsid w:val="00702AE8"/>
    <w:rsid w:val="00703C81"/>
    <w:rsid w:val="00704301"/>
    <w:rsid w:val="00704A81"/>
    <w:rsid w:val="00705549"/>
    <w:rsid w:val="007055AF"/>
    <w:rsid w:val="007059B6"/>
    <w:rsid w:val="007078F1"/>
    <w:rsid w:val="007111D0"/>
    <w:rsid w:val="0071182B"/>
    <w:rsid w:val="00711C26"/>
    <w:rsid w:val="0071203A"/>
    <w:rsid w:val="007121F7"/>
    <w:rsid w:val="00712477"/>
    <w:rsid w:val="00712C39"/>
    <w:rsid w:val="00712DE7"/>
    <w:rsid w:val="00713B12"/>
    <w:rsid w:val="00713E59"/>
    <w:rsid w:val="00714306"/>
    <w:rsid w:val="00714C95"/>
    <w:rsid w:val="00715208"/>
    <w:rsid w:val="00715307"/>
    <w:rsid w:val="00715425"/>
    <w:rsid w:val="00715EFE"/>
    <w:rsid w:val="00716AE9"/>
    <w:rsid w:val="00717AB8"/>
    <w:rsid w:val="00717E31"/>
    <w:rsid w:val="00720E0E"/>
    <w:rsid w:val="00720E2A"/>
    <w:rsid w:val="00722F84"/>
    <w:rsid w:val="00723180"/>
    <w:rsid w:val="007235EC"/>
    <w:rsid w:val="00723ACF"/>
    <w:rsid w:val="00723E53"/>
    <w:rsid w:val="00723EC2"/>
    <w:rsid w:val="00724152"/>
    <w:rsid w:val="00724168"/>
    <w:rsid w:val="007241B8"/>
    <w:rsid w:val="00724318"/>
    <w:rsid w:val="00724B73"/>
    <w:rsid w:val="0072590B"/>
    <w:rsid w:val="007263BF"/>
    <w:rsid w:val="00726CB6"/>
    <w:rsid w:val="00726F44"/>
    <w:rsid w:val="00727243"/>
    <w:rsid w:val="007307B6"/>
    <w:rsid w:val="007310BC"/>
    <w:rsid w:val="00732244"/>
    <w:rsid w:val="00732719"/>
    <w:rsid w:val="00732FA6"/>
    <w:rsid w:val="00733E3F"/>
    <w:rsid w:val="007340B9"/>
    <w:rsid w:val="007342B5"/>
    <w:rsid w:val="00736DAC"/>
    <w:rsid w:val="00741283"/>
    <w:rsid w:val="0074135C"/>
    <w:rsid w:val="007413A8"/>
    <w:rsid w:val="00742546"/>
    <w:rsid w:val="00742C2E"/>
    <w:rsid w:val="00742D45"/>
    <w:rsid w:val="00742EF3"/>
    <w:rsid w:val="00743314"/>
    <w:rsid w:val="007433CC"/>
    <w:rsid w:val="00743750"/>
    <w:rsid w:val="00744734"/>
    <w:rsid w:val="00744D25"/>
    <w:rsid w:val="007453A4"/>
    <w:rsid w:val="007457B9"/>
    <w:rsid w:val="007457FE"/>
    <w:rsid w:val="0074590F"/>
    <w:rsid w:val="00745931"/>
    <w:rsid w:val="007459DD"/>
    <w:rsid w:val="007465AE"/>
    <w:rsid w:val="007466D4"/>
    <w:rsid w:val="00747B03"/>
    <w:rsid w:val="00747C8F"/>
    <w:rsid w:val="007508FC"/>
    <w:rsid w:val="00750975"/>
    <w:rsid w:val="0075175A"/>
    <w:rsid w:val="0075181F"/>
    <w:rsid w:val="00751E49"/>
    <w:rsid w:val="00752169"/>
    <w:rsid w:val="007523BD"/>
    <w:rsid w:val="00752AA6"/>
    <w:rsid w:val="0075314F"/>
    <w:rsid w:val="007534C8"/>
    <w:rsid w:val="00753AF4"/>
    <w:rsid w:val="00753B42"/>
    <w:rsid w:val="00754721"/>
    <w:rsid w:val="00754ABB"/>
    <w:rsid w:val="00755B60"/>
    <w:rsid w:val="00756051"/>
    <w:rsid w:val="007563A6"/>
    <w:rsid w:val="00756F49"/>
    <w:rsid w:val="007570B5"/>
    <w:rsid w:val="007575F7"/>
    <w:rsid w:val="00757A7D"/>
    <w:rsid w:val="00757D44"/>
    <w:rsid w:val="00757E7B"/>
    <w:rsid w:val="00760056"/>
    <w:rsid w:val="00760C55"/>
    <w:rsid w:val="00760FD7"/>
    <w:rsid w:val="007619E1"/>
    <w:rsid w:val="00763842"/>
    <w:rsid w:val="00764241"/>
    <w:rsid w:val="00765496"/>
    <w:rsid w:val="00767B9F"/>
    <w:rsid w:val="007714E2"/>
    <w:rsid w:val="00771FD8"/>
    <w:rsid w:val="0077203C"/>
    <w:rsid w:val="00772170"/>
    <w:rsid w:val="00773A90"/>
    <w:rsid w:val="00773F80"/>
    <w:rsid w:val="0077486E"/>
    <w:rsid w:val="00775725"/>
    <w:rsid w:val="00775B9F"/>
    <w:rsid w:val="00775DF6"/>
    <w:rsid w:val="00775E6F"/>
    <w:rsid w:val="00780F64"/>
    <w:rsid w:val="00781A78"/>
    <w:rsid w:val="00782184"/>
    <w:rsid w:val="00782430"/>
    <w:rsid w:val="00782EDF"/>
    <w:rsid w:val="007832D6"/>
    <w:rsid w:val="00783B09"/>
    <w:rsid w:val="00783FE2"/>
    <w:rsid w:val="007842B5"/>
    <w:rsid w:val="007845C7"/>
    <w:rsid w:val="007856F0"/>
    <w:rsid w:val="00785CD7"/>
    <w:rsid w:val="00786A08"/>
    <w:rsid w:val="00787E08"/>
    <w:rsid w:val="007902ED"/>
    <w:rsid w:val="00790DC8"/>
    <w:rsid w:val="00791C30"/>
    <w:rsid w:val="007920C1"/>
    <w:rsid w:val="0079333F"/>
    <w:rsid w:val="00793570"/>
    <w:rsid w:val="007943E8"/>
    <w:rsid w:val="00794FEE"/>
    <w:rsid w:val="00795FD8"/>
    <w:rsid w:val="007A1758"/>
    <w:rsid w:val="007A199C"/>
    <w:rsid w:val="007A1BEB"/>
    <w:rsid w:val="007A20E7"/>
    <w:rsid w:val="007A20F2"/>
    <w:rsid w:val="007A21AE"/>
    <w:rsid w:val="007A3462"/>
    <w:rsid w:val="007A38B7"/>
    <w:rsid w:val="007A4133"/>
    <w:rsid w:val="007A43CB"/>
    <w:rsid w:val="007A457A"/>
    <w:rsid w:val="007A498D"/>
    <w:rsid w:val="007A4F13"/>
    <w:rsid w:val="007A54B6"/>
    <w:rsid w:val="007A57FF"/>
    <w:rsid w:val="007A6702"/>
    <w:rsid w:val="007A73E1"/>
    <w:rsid w:val="007A7A15"/>
    <w:rsid w:val="007B17F3"/>
    <w:rsid w:val="007B1885"/>
    <w:rsid w:val="007B2C92"/>
    <w:rsid w:val="007B2CB4"/>
    <w:rsid w:val="007B2E5C"/>
    <w:rsid w:val="007B3626"/>
    <w:rsid w:val="007B44EE"/>
    <w:rsid w:val="007B47DA"/>
    <w:rsid w:val="007B5451"/>
    <w:rsid w:val="007B56AC"/>
    <w:rsid w:val="007B664A"/>
    <w:rsid w:val="007B677E"/>
    <w:rsid w:val="007B6C58"/>
    <w:rsid w:val="007B730E"/>
    <w:rsid w:val="007B73FE"/>
    <w:rsid w:val="007B7A05"/>
    <w:rsid w:val="007B7FE8"/>
    <w:rsid w:val="007C08F6"/>
    <w:rsid w:val="007C0904"/>
    <w:rsid w:val="007C16A8"/>
    <w:rsid w:val="007C2722"/>
    <w:rsid w:val="007C3366"/>
    <w:rsid w:val="007C4318"/>
    <w:rsid w:val="007C49BA"/>
    <w:rsid w:val="007C4BBC"/>
    <w:rsid w:val="007C5789"/>
    <w:rsid w:val="007C5CBC"/>
    <w:rsid w:val="007C6FB6"/>
    <w:rsid w:val="007C72E1"/>
    <w:rsid w:val="007C791B"/>
    <w:rsid w:val="007C7F5A"/>
    <w:rsid w:val="007D0F82"/>
    <w:rsid w:val="007D146D"/>
    <w:rsid w:val="007D1FFA"/>
    <w:rsid w:val="007D22BB"/>
    <w:rsid w:val="007D2571"/>
    <w:rsid w:val="007D2CC4"/>
    <w:rsid w:val="007D375C"/>
    <w:rsid w:val="007D4ADB"/>
    <w:rsid w:val="007D4E13"/>
    <w:rsid w:val="007D6029"/>
    <w:rsid w:val="007D6A04"/>
    <w:rsid w:val="007D6EAC"/>
    <w:rsid w:val="007D735B"/>
    <w:rsid w:val="007D73FB"/>
    <w:rsid w:val="007D7C3D"/>
    <w:rsid w:val="007E081F"/>
    <w:rsid w:val="007E0D8F"/>
    <w:rsid w:val="007E0FD7"/>
    <w:rsid w:val="007E1F4C"/>
    <w:rsid w:val="007E2713"/>
    <w:rsid w:val="007E3942"/>
    <w:rsid w:val="007E3960"/>
    <w:rsid w:val="007E3A2D"/>
    <w:rsid w:val="007E3EC8"/>
    <w:rsid w:val="007E4057"/>
    <w:rsid w:val="007E44B9"/>
    <w:rsid w:val="007E4A58"/>
    <w:rsid w:val="007E4BE8"/>
    <w:rsid w:val="007E4E16"/>
    <w:rsid w:val="007E60E9"/>
    <w:rsid w:val="007E649B"/>
    <w:rsid w:val="007E6806"/>
    <w:rsid w:val="007E6A2E"/>
    <w:rsid w:val="007E6C6D"/>
    <w:rsid w:val="007E737D"/>
    <w:rsid w:val="007F036E"/>
    <w:rsid w:val="007F0582"/>
    <w:rsid w:val="007F05C0"/>
    <w:rsid w:val="007F08CD"/>
    <w:rsid w:val="007F1755"/>
    <w:rsid w:val="007F26F1"/>
    <w:rsid w:val="007F2FE3"/>
    <w:rsid w:val="007F35D0"/>
    <w:rsid w:val="007F3A0A"/>
    <w:rsid w:val="007F3D79"/>
    <w:rsid w:val="007F42DA"/>
    <w:rsid w:val="008013E6"/>
    <w:rsid w:val="00801605"/>
    <w:rsid w:val="008018CB"/>
    <w:rsid w:val="008019D9"/>
    <w:rsid w:val="00801FB8"/>
    <w:rsid w:val="0080232B"/>
    <w:rsid w:val="00802367"/>
    <w:rsid w:val="00802745"/>
    <w:rsid w:val="00803425"/>
    <w:rsid w:val="00803BCD"/>
    <w:rsid w:val="008048D4"/>
    <w:rsid w:val="00804FE1"/>
    <w:rsid w:val="0080541A"/>
    <w:rsid w:val="00805830"/>
    <w:rsid w:val="00805E0C"/>
    <w:rsid w:val="0080610B"/>
    <w:rsid w:val="008101A0"/>
    <w:rsid w:val="0081091E"/>
    <w:rsid w:val="008109C7"/>
    <w:rsid w:val="00810BD9"/>
    <w:rsid w:val="008117C2"/>
    <w:rsid w:val="0081195E"/>
    <w:rsid w:val="00812005"/>
    <w:rsid w:val="0081207A"/>
    <w:rsid w:val="008121D0"/>
    <w:rsid w:val="00812B0E"/>
    <w:rsid w:val="00812C43"/>
    <w:rsid w:val="00812D31"/>
    <w:rsid w:val="00815BB9"/>
    <w:rsid w:val="00816A67"/>
    <w:rsid w:val="008176ED"/>
    <w:rsid w:val="00817D85"/>
    <w:rsid w:val="0082170B"/>
    <w:rsid w:val="00821BE3"/>
    <w:rsid w:val="00821C6E"/>
    <w:rsid w:val="00821DF7"/>
    <w:rsid w:val="00821FBE"/>
    <w:rsid w:val="008234DC"/>
    <w:rsid w:val="008237F3"/>
    <w:rsid w:val="00823EDF"/>
    <w:rsid w:val="0082489A"/>
    <w:rsid w:val="00824A4D"/>
    <w:rsid w:val="008251FD"/>
    <w:rsid w:val="0082685D"/>
    <w:rsid w:val="00826B2D"/>
    <w:rsid w:val="00827455"/>
    <w:rsid w:val="00827BCC"/>
    <w:rsid w:val="00830E16"/>
    <w:rsid w:val="0083197D"/>
    <w:rsid w:val="00831E50"/>
    <w:rsid w:val="00831F5A"/>
    <w:rsid w:val="008325BE"/>
    <w:rsid w:val="0083299A"/>
    <w:rsid w:val="00832BFB"/>
    <w:rsid w:val="008333F3"/>
    <w:rsid w:val="0083466D"/>
    <w:rsid w:val="00834F34"/>
    <w:rsid w:val="00835553"/>
    <w:rsid w:val="0083659C"/>
    <w:rsid w:val="00836AAC"/>
    <w:rsid w:val="00841323"/>
    <w:rsid w:val="0084182D"/>
    <w:rsid w:val="008420CC"/>
    <w:rsid w:val="00842148"/>
    <w:rsid w:val="008421A0"/>
    <w:rsid w:val="008421EB"/>
    <w:rsid w:val="00842356"/>
    <w:rsid w:val="00842921"/>
    <w:rsid w:val="00842B46"/>
    <w:rsid w:val="00842FA9"/>
    <w:rsid w:val="00843698"/>
    <w:rsid w:val="00843AB6"/>
    <w:rsid w:val="00843DDD"/>
    <w:rsid w:val="00844435"/>
    <w:rsid w:val="00844E42"/>
    <w:rsid w:val="00845140"/>
    <w:rsid w:val="00845201"/>
    <w:rsid w:val="00845B54"/>
    <w:rsid w:val="00847215"/>
    <w:rsid w:val="008474D0"/>
    <w:rsid w:val="008475B0"/>
    <w:rsid w:val="008526E2"/>
    <w:rsid w:val="008526FF"/>
    <w:rsid w:val="00853D3A"/>
    <w:rsid w:val="00853F97"/>
    <w:rsid w:val="00854D79"/>
    <w:rsid w:val="00854F87"/>
    <w:rsid w:val="008562BB"/>
    <w:rsid w:val="0086024C"/>
    <w:rsid w:val="0086078C"/>
    <w:rsid w:val="00862EF6"/>
    <w:rsid w:val="00862F61"/>
    <w:rsid w:val="00863A38"/>
    <w:rsid w:val="00864202"/>
    <w:rsid w:val="00864804"/>
    <w:rsid w:val="00864C81"/>
    <w:rsid w:val="00864F64"/>
    <w:rsid w:val="00864FA1"/>
    <w:rsid w:val="00865749"/>
    <w:rsid w:val="00865CAD"/>
    <w:rsid w:val="0086773A"/>
    <w:rsid w:val="00867977"/>
    <w:rsid w:val="008707CC"/>
    <w:rsid w:val="008712E2"/>
    <w:rsid w:val="0087132E"/>
    <w:rsid w:val="008720AF"/>
    <w:rsid w:val="008732DB"/>
    <w:rsid w:val="0087384D"/>
    <w:rsid w:val="008739B7"/>
    <w:rsid w:val="0087436A"/>
    <w:rsid w:val="00874537"/>
    <w:rsid w:val="00874CFA"/>
    <w:rsid w:val="00875A7E"/>
    <w:rsid w:val="00875ADC"/>
    <w:rsid w:val="00875F54"/>
    <w:rsid w:val="00876680"/>
    <w:rsid w:val="0087694F"/>
    <w:rsid w:val="00876E3E"/>
    <w:rsid w:val="00877160"/>
    <w:rsid w:val="008774B6"/>
    <w:rsid w:val="008803C7"/>
    <w:rsid w:val="0088085F"/>
    <w:rsid w:val="008815C8"/>
    <w:rsid w:val="00881789"/>
    <w:rsid w:val="00881FE7"/>
    <w:rsid w:val="008827C4"/>
    <w:rsid w:val="00882B51"/>
    <w:rsid w:val="00882F03"/>
    <w:rsid w:val="00883AD9"/>
    <w:rsid w:val="008854B4"/>
    <w:rsid w:val="00885827"/>
    <w:rsid w:val="008861E0"/>
    <w:rsid w:val="00886540"/>
    <w:rsid w:val="00886759"/>
    <w:rsid w:val="0088699B"/>
    <w:rsid w:val="00887D64"/>
    <w:rsid w:val="00890324"/>
    <w:rsid w:val="00890A82"/>
    <w:rsid w:val="00891E14"/>
    <w:rsid w:val="00891F29"/>
    <w:rsid w:val="0089243D"/>
    <w:rsid w:val="00892689"/>
    <w:rsid w:val="00892C87"/>
    <w:rsid w:val="00893503"/>
    <w:rsid w:val="00894511"/>
    <w:rsid w:val="00894F26"/>
    <w:rsid w:val="008954D5"/>
    <w:rsid w:val="008959BF"/>
    <w:rsid w:val="00895DA5"/>
    <w:rsid w:val="00896AFE"/>
    <w:rsid w:val="008970FD"/>
    <w:rsid w:val="00897CD2"/>
    <w:rsid w:val="008A0425"/>
    <w:rsid w:val="008A0CA5"/>
    <w:rsid w:val="008A16A0"/>
    <w:rsid w:val="008A1748"/>
    <w:rsid w:val="008A1766"/>
    <w:rsid w:val="008A17F9"/>
    <w:rsid w:val="008A1930"/>
    <w:rsid w:val="008A27F0"/>
    <w:rsid w:val="008A2D2C"/>
    <w:rsid w:val="008A34F3"/>
    <w:rsid w:val="008A36E6"/>
    <w:rsid w:val="008A37A1"/>
    <w:rsid w:val="008A3B2A"/>
    <w:rsid w:val="008A55D3"/>
    <w:rsid w:val="008A5708"/>
    <w:rsid w:val="008A5E43"/>
    <w:rsid w:val="008A75D6"/>
    <w:rsid w:val="008A7ECE"/>
    <w:rsid w:val="008B0C97"/>
    <w:rsid w:val="008B0E6C"/>
    <w:rsid w:val="008B0EF9"/>
    <w:rsid w:val="008B108E"/>
    <w:rsid w:val="008B114E"/>
    <w:rsid w:val="008B11CF"/>
    <w:rsid w:val="008B1234"/>
    <w:rsid w:val="008B15FB"/>
    <w:rsid w:val="008B177B"/>
    <w:rsid w:val="008B1A12"/>
    <w:rsid w:val="008B3533"/>
    <w:rsid w:val="008B4047"/>
    <w:rsid w:val="008B44FA"/>
    <w:rsid w:val="008B5702"/>
    <w:rsid w:val="008B5FF0"/>
    <w:rsid w:val="008B615B"/>
    <w:rsid w:val="008B660B"/>
    <w:rsid w:val="008B7720"/>
    <w:rsid w:val="008B7736"/>
    <w:rsid w:val="008B7924"/>
    <w:rsid w:val="008C09E5"/>
    <w:rsid w:val="008C0A1F"/>
    <w:rsid w:val="008C0A66"/>
    <w:rsid w:val="008C1E57"/>
    <w:rsid w:val="008C2A88"/>
    <w:rsid w:val="008C2FC5"/>
    <w:rsid w:val="008C3151"/>
    <w:rsid w:val="008C3B32"/>
    <w:rsid w:val="008C3B47"/>
    <w:rsid w:val="008C417D"/>
    <w:rsid w:val="008C4B68"/>
    <w:rsid w:val="008C4CD6"/>
    <w:rsid w:val="008C5045"/>
    <w:rsid w:val="008C529A"/>
    <w:rsid w:val="008C5369"/>
    <w:rsid w:val="008C53D3"/>
    <w:rsid w:val="008C629C"/>
    <w:rsid w:val="008C68C2"/>
    <w:rsid w:val="008C7871"/>
    <w:rsid w:val="008C7E65"/>
    <w:rsid w:val="008D0308"/>
    <w:rsid w:val="008D06CD"/>
    <w:rsid w:val="008D0864"/>
    <w:rsid w:val="008D08C1"/>
    <w:rsid w:val="008D100E"/>
    <w:rsid w:val="008D1464"/>
    <w:rsid w:val="008D1982"/>
    <w:rsid w:val="008D1AD9"/>
    <w:rsid w:val="008D26F6"/>
    <w:rsid w:val="008D448F"/>
    <w:rsid w:val="008D4686"/>
    <w:rsid w:val="008D5491"/>
    <w:rsid w:val="008D5CB5"/>
    <w:rsid w:val="008D692C"/>
    <w:rsid w:val="008D6ED2"/>
    <w:rsid w:val="008E0127"/>
    <w:rsid w:val="008E0469"/>
    <w:rsid w:val="008E0679"/>
    <w:rsid w:val="008E0887"/>
    <w:rsid w:val="008E2010"/>
    <w:rsid w:val="008E2A3D"/>
    <w:rsid w:val="008E2BCF"/>
    <w:rsid w:val="008E2C0A"/>
    <w:rsid w:val="008E3C85"/>
    <w:rsid w:val="008E4390"/>
    <w:rsid w:val="008E5B49"/>
    <w:rsid w:val="008E5D1C"/>
    <w:rsid w:val="008E5DDA"/>
    <w:rsid w:val="008E6187"/>
    <w:rsid w:val="008E6A11"/>
    <w:rsid w:val="008E6CEE"/>
    <w:rsid w:val="008E702B"/>
    <w:rsid w:val="008E7187"/>
    <w:rsid w:val="008E7369"/>
    <w:rsid w:val="008E7C3D"/>
    <w:rsid w:val="008F11A0"/>
    <w:rsid w:val="008F1230"/>
    <w:rsid w:val="008F1752"/>
    <w:rsid w:val="008F1950"/>
    <w:rsid w:val="008F1B0D"/>
    <w:rsid w:val="008F251C"/>
    <w:rsid w:val="008F2891"/>
    <w:rsid w:val="008F28EF"/>
    <w:rsid w:val="008F3D0A"/>
    <w:rsid w:val="008F413A"/>
    <w:rsid w:val="008F577D"/>
    <w:rsid w:val="008F6643"/>
    <w:rsid w:val="008F6934"/>
    <w:rsid w:val="008F77BB"/>
    <w:rsid w:val="008F77C3"/>
    <w:rsid w:val="008F7E4F"/>
    <w:rsid w:val="00901E55"/>
    <w:rsid w:val="00902F55"/>
    <w:rsid w:val="00902FDC"/>
    <w:rsid w:val="0090441B"/>
    <w:rsid w:val="009045EE"/>
    <w:rsid w:val="00904BAF"/>
    <w:rsid w:val="0090519D"/>
    <w:rsid w:val="0090647C"/>
    <w:rsid w:val="00906C10"/>
    <w:rsid w:val="00906F62"/>
    <w:rsid w:val="00907336"/>
    <w:rsid w:val="009076BC"/>
    <w:rsid w:val="00907A66"/>
    <w:rsid w:val="00910C50"/>
    <w:rsid w:val="009118D0"/>
    <w:rsid w:val="00911B5A"/>
    <w:rsid w:val="0091288D"/>
    <w:rsid w:val="0091424A"/>
    <w:rsid w:val="009152E7"/>
    <w:rsid w:val="00915F43"/>
    <w:rsid w:val="00916179"/>
    <w:rsid w:val="00917929"/>
    <w:rsid w:val="00921E2F"/>
    <w:rsid w:val="0092323A"/>
    <w:rsid w:val="009238B7"/>
    <w:rsid w:val="00923919"/>
    <w:rsid w:val="00924460"/>
    <w:rsid w:val="009248F8"/>
    <w:rsid w:val="0092540D"/>
    <w:rsid w:val="00926504"/>
    <w:rsid w:val="009269EF"/>
    <w:rsid w:val="00930B96"/>
    <w:rsid w:val="009313C3"/>
    <w:rsid w:val="009319C8"/>
    <w:rsid w:val="00931AE8"/>
    <w:rsid w:val="00931BCD"/>
    <w:rsid w:val="00932334"/>
    <w:rsid w:val="00932CF7"/>
    <w:rsid w:val="0093311A"/>
    <w:rsid w:val="00933A3F"/>
    <w:rsid w:val="00934838"/>
    <w:rsid w:val="00935487"/>
    <w:rsid w:val="00935B5F"/>
    <w:rsid w:val="00936216"/>
    <w:rsid w:val="009366E2"/>
    <w:rsid w:val="00936B18"/>
    <w:rsid w:val="00936B36"/>
    <w:rsid w:val="009374D1"/>
    <w:rsid w:val="00940355"/>
    <w:rsid w:val="009405CD"/>
    <w:rsid w:val="0094186B"/>
    <w:rsid w:val="00942938"/>
    <w:rsid w:val="00942C15"/>
    <w:rsid w:val="00942CEA"/>
    <w:rsid w:val="00943AD2"/>
    <w:rsid w:val="00944228"/>
    <w:rsid w:val="009443D0"/>
    <w:rsid w:val="00944A39"/>
    <w:rsid w:val="00946846"/>
    <w:rsid w:val="0094684B"/>
    <w:rsid w:val="00946B80"/>
    <w:rsid w:val="00947F70"/>
    <w:rsid w:val="0095069C"/>
    <w:rsid w:val="009509D0"/>
    <w:rsid w:val="00951DC3"/>
    <w:rsid w:val="00952A7F"/>
    <w:rsid w:val="0095311B"/>
    <w:rsid w:val="00954F35"/>
    <w:rsid w:val="00954F83"/>
    <w:rsid w:val="00955D5E"/>
    <w:rsid w:val="00956BE0"/>
    <w:rsid w:val="00957740"/>
    <w:rsid w:val="00960353"/>
    <w:rsid w:val="00963C7F"/>
    <w:rsid w:val="00963DA3"/>
    <w:rsid w:val="009648A7"/>
    <w:rsid w:val="00965249"/>
    <w:rsid w:val="00965552"/>
    <w:rsid w:val="00965CC0"/>
    <w:rsid w:val="00965CFE"/>
    <w:rsid w:val="00965F9A"/>
    <w:rsid w:val="00970254"/>
    <w:rsid w:val="00971097"/>
    <w:rsid w:val="00971835"/>
    <w:rsid w:val="0097184A"/>
    <w:rsid w:val="009721A9"/>
    <w:rsid w:val="009728A6"/>
    <w:rsid w:val="00973808"/>
    <w:rsid w:val="009740E8"/>
    <w:rsid w:val="00974152"/>
    <w:rsid w:val="0097503D"/>
    <w:rsid w:val="009752D9"/>
    <w:rsid w:val="00975AB6"/>
    <w:rsid w:val="009768D9"/>
    <w:rsid w:val="00976C9B"/>
    <w:rsid w:val="00976E6C"/>
    <w:rsid w:val="00976E99"/>
    <w:rsid w:val="009774D8"/>
    <w:rsid w:val="009779A0"/>
    <w:rsid w:val="00977C2C"/>
    <w:rsid w:val="00982484"/>
    <w:rsid w:val="009827C5"/>
    <w:rsid w:val="00983136"/>
    <w:rsid w:val="0098329E"/>
    <w:rsid w:val="009845AE"/>
    <w:rsid w:val="00984C94"/>
    <w:rsid w:val="009851FD"/>
    <w:rsid w:val="00985760"/>
    <w:rsid w:val="0098679E"/>
    <w:rsid w:val="00986980"/>
    <w:rsid w:val="00986A80"/>
    <w:rsid w:val="00987CE8"/>
    <w:rsid w:val="00987D6D"/>
    <w:rsid w:val="00990D07"/>
    <w:rsid w:val="0099114E"/>
    <w:rsid w:val="00991292"/>
    <w:rsid w:val="00991FC9"/>
    <w:rsid w:val="00992CD1"/>
    <w:rsid w:val="00992D7B"/>
    <w:rsid w:val="00993E13"/>
    <w:rsid w:val="009943EA"/>
    <w:rsid w:val="00994EC6"/>
    <w:rsid w:val="009951A1"/>
    <w:rsid w:val="00995257"/>
    <w:rsid w:val="00995814"/>
    <w:rsid w:val="00995D2B"/>
    <w:rsid w:val="009962D0"/>
    <w:rsid w:val="00996CBC"/>
    <w:rsid w:val="00997721"/>
    <w:rsid w:val="009978D1"/>
    <w:rsid w:val="00997B40"/>
    <w:rsid w:val="009A0B68"/>
    <w:rsid w:val="009A29F4"/>
    <w:rsid w:val="009A3013"/>
    <w:rsid w:val="009A38F2"/>
    <w:rsid w:val="009A3C06"/>
    <w:rsid w:val="009A49C2"/>
    <w:rsid w:val="009A57FE"/>
    <w:rsid w:val="009A5BE4"/>
    <w:rsid w:val="009A5D00"/>
    <w:rsid w:val="009A6AF2"/>
    <w:rsid w:val="009A72A3"/>
    <w:rsid w:val="009A7D3B"/>
    <w:rsid w:val="009B00D2"/>
    <w:rsid w:val="009B0A0C"/>
    <w:rsid w:val="009B0BA3"/>
    <w:rsid w:val="009B0CE6"/>
    <w:rsid w:val="009B10DF"/>
    <w:rsid w:val="009B1D8C"/>
    <w:rsid w:val="009B239E"/>
    <w:rsid w:val="009B2761"/>
    <w:rsid w:val="009B383C"/>
    <w:rsid w:val="009B3968"/>
    <w:rsid w:val="009B3EA9"/>
    <w:rsid w:val="009B514E"/>
    <w:rsid w:val="009B5244"/>
    <w:rsid w:val="009B52E5"/>
    <w:rsid w:val="009B5731"/>
    <w:rsid w:val="009B57A8"/>
    <w:rsid w:val="009B62B5"/>
    <w:rsid w:val="009B644C"/>
    <w:rsid w:val="009B6D68"/>
    <w:rsid w:val="009B7632"/>
    <w:rsid w:val="009B774C"/>
    <w:rsid w:val="009C01A6"/>
    <w:rsid w:val="009C0359"/>
    <w:rsid w:val="009C0D30"/>
    <w:rsid w:val="009C224C"/>
    <w:rsid w:val="009C288F"/>
    <w:rsid w:val="009C2D66"/>
    <w:rsid w:val="009C3030"/>
    <w:rsid w:val="009C33F2"/>
    <w:rsid w:val="009C37CA"/>
    <w:rsid w:val="009C4412"/>
    <w:rsid w:val="009C4A55"/>
    <w:rsid w:val="009C4AAF"/>
    <w:rsid w:val="009C589B"/>
    <w:rsid w:val="009C62DA"/>
    <w:rsid w:val="009C720B"/>
    <w:rsid w:val="009C76B3"/>
    <w:rsid w:val="009C7A80"/>
    <w:rsid w:val="009C7EA3"/>
    <w:rsid w:val="009C7ED5"/>
    <w:rsid w:val="009D030D"/>
    <w:rsid w:val="009D0BB7"/>
    <w:rsid w:val="009D0FC0"/>
    <w:rsid w:val="009D13EB"/>
    <w:rsid w:val="009D1634"/>
    <w:rsid w:val="009D24AC"/>
    <w:rsid w:val="009D285B"/>
    <w:rsid w:val="009D28A3"/>
    <w:rsid w:val="009D3359"/>
    <w:rsid w:val="009D36C9"/>
    <w:rsid w:val="009D3A81"/>
    <w:rsid w:val="009D3CD5"/>
    <w:rsid w:val="009D4350"/>
    <w:rsid w:val="009D4E40"/>
    <w:rsid w:val="009D4F1E"/>
    <w:rsid w:val="009D5A99"/>
    <w:rsid w:val="009D5C2A"/>
    <w:rsid w:val="009D69A1"/>
    <w:rsid w:val="009D7074"/>
    <w:rsid w:val="009D74EB"/>
    <w:rsid w:val="009E08E8"/>
    <w:rsid w:val="009E0A20"/>
    <w:rsid w:val="009E1C6F"/>
    <w:rsid w:val="009E2646"/>
    <w:rsid w:val="009E29FF"/>
    <w:rsid w:val="009E2ABC"/>
    <w:rsid w:val="009E2E5F"/>
    <w:rsid w:val="009E44B2"/>
    <w:rsid w:val="009E5558"/>
    <w:rsid w:val="009E5795"/>
    <w:rsid w:val="009E58B5"/>
    <w:rsid w:val="009E6223"/>
    <w:rsid w:val="009E6EB6"/>
    <w:rsid w:val="009E7629"/>
    <w:rsid w:val="009F01D9"/>
    <w:rsid w:val="009F1485"/>
    <w:rsid w:val="009F1793"/>
    <w:rsid w:val="009F17FA"/>
    <w:rsid w:val="009F1A96"/>
    <w:rsid w:val="009F25FC"/>
    <w:rsid w:val="009F26E3"/>
    <w:rsid w:val="009F2FAF"/>
    <w:rsid w:val="009F31D9"/>
    <w:rsid w:val="009F36AD"/>
    <w:rsid w:val="009F3A88"/>
    <w:rsid w:val="009F3C51"/>
    <w:rsid w:val="009F3EE4"/>
    <w:rsid w:val="009F5969"/>
    <w:rsid w:val="009F5B2B"/>
    <w:rsid w:val="009F5F3B"/>
    <w:rsid w:val="009F6138"/>
    <w:rsid w:val="009F619B"/>
    <w:rsid w:val="009F6320"/>
    <w:rsid w:val="009F660C"/>
    <w:rsid w:val="009F684D"/>
    <w:rsid w:val="009F6894"/>
    <w:rsid w:val="009F6E25"/>
    <w:rsid w:val="009F7387"/>
    <w:rsid w:val="00A000B0"/>
    <w:rsid w:val="00A00D96"/>
    <w:rsid w:val="00A00EB0"/>
    <w:rsid w:val="00A01A5A"/>
    <w:rsid w:val="00A0285D"/>
    <w:rsid w:val="00A031ED"/>
    <w:rsid w:val="00A032A3"/>
    <w:rsid w:val="00A03748"/>
    <w:rsid w:val="00A04A43"/>
    <w:rsid w:val="00A04CA6"/>
    <w:rsid w:val="00A04EB0"/>
    <w:rsid w:val="00A055B7"/>
    <w:rsid w:val="00A06A2D"/>
    <w:rsid w:val="00A06B73"/>
    <w:rsid w:val="00A06B85"/>
    <w:rsid w:val="00A07F89"/>
    <w:rsid w:val="00A103A1"/>
    <w:rsid w:val="00A10959"/>
    <w:rsid w:val="00A10A9A"/>
    <w:rsid w:val="00A11B76"/>
    <w:rsid w:val="00A14094"/>
    <w:rsid w:val="00A1543E"/>
    <w:rsid w:val="00A15EC0"/>
    <w:rsid w:val="00A162A6"/>
    <w:rsid w:val="00A164DD"/>
    <w:rsid w:val="00A16B9F"/>
    <w:rsid w:val="00A16FDA"/>
    <w:rsid w:val="00A1711A"/>
    <w:rsid w:val="00A17723"/>
    <w:rsid w:val="00A20071"/>
    <w:rsid w:val="00A20270"/>
    <w:rsid w:val="00A2060F"/>
    <w:rsid w:val="00A21A1E"/>
    <w:rsid w:val="00A21CA7"/>
    <w:rsid w:val="00A223CF"/>
    <w:rsid w:val="00A23B7B"/>
    <w:rsid w:val="00A23B98"/>
    <w:rsid w:val="00A23C55"/>
    <w:rsid w:val="00A24025"/>
    <w:rsid w:val="00A24177"/>
    <w:rsid w:val="00A248E2"/>
    <w:rsid w:val="00A256EA"/>
    <w:rsid w:val="00A25C14"/>
    <w:rsid w:val="00A26990"/>
    <w:rsid w:val="00A275EE"/>
    <w:rsid w:val="00A3063E"/>
    <w:rsid w:val="00A30D6E"/>
    <w:rsid w:val="00A30D8B"/>
    <w:rsid w:val="00A31253"/>
    <w:rsid w:val="00A314DE"/>
    <w:rsid w:val="00A31558"/>
    <w:rsid w:val="00A31BC7"/>
    <w:rsid w:val="00A31C2C"/>
    <w:rsid w:val="00A3200F"/>
    <w:rsid w:val="00A334CD"/>
    <w:rsid w:val="00A34A21"/>
    <w:rsid w:val="00A34C66"/>
    <w:rsid w:val="00A351A4"/>
    <w:rsid w:val="00A35CBC"/>
    <w:rsid w:val="00A35DB0"/>
    <w:rsid w:val="00A36792"/>
    <w:rsid w:val="00A36807"/>
    <w:rsid w:val="00A368FC"/>
    <w:rsid w:val="00A36917"/>
    <w:rsid w:val="00A37261"/>
    <w:rsid w:val="00A37D6F"/>
    <w:rsid w:val="00A407AF"/>
    <w:rsid w:val="00A40CF5"/>
    <w:rsid w:val="00A41A61"/>
    <w:rsid w:val="00A42345"/>
    <w:rsid w:val="00A42452"/>
    <w:rsid w:val="00A42B06"/>
    <w:rsid w:val="00A42DE4"/>
    <w:rsid w:val="00A4317C"/>
    <w:rsid w:val="00A43487"/>
    <w:rsid w:val="00A434E9"/>
    <w:rsid w:val="00A4358B"/>
    <w:rsid w:val="00A4418C"/>
    <w:rsid w:val="00A445F1"/>
    <w:rsid w:val="00A456F1"/>
    <w:rsid w:val="00A45F51"/>
    <w:rsid w:val="00A472D3"/>
    <w:rsid w:val="00A472F8"/>
    <w:rsid w:val="00A474C4"/>
    <w:rsid w:val="00A479C8"/>
    <w:rsid w:val="00A5002B"/>
    <w:rsid w:val="00A50D04"/>
    <w:rsid w:val="00A51D6C"/>
    <w:rsid w:val="00A51F7F"/>
    <w:rsid w:val="00A524CE"/>
    <w:rsid w:val="00A5255B"/>
    <w:rsid w:val="00A52EFF"/>
    <w:rsid w:val="00A53A5D"/>
    <w:rsid w:val="00A53EB5"/>
    <w:rsid w:val="00A54062"/>
    <w:rsid w:val="00A54540"/>
    <w:rsid w:val="00A55F86"/>
    <w:rsid w:val="00A56A8C"/>
    <w:rsid w:val="00A56E5C"/>
    <w:rsid w:val="00A57234"/>
    <w:rsid w:val="00A57989"/>
    <w:rsid w:val="00A601C1"/>
    <w:rsid w:val="00A61123"/>
    <w:rsid w:val="00A6155D"/>
    <w:rsid w:val="00A61814"/>
    <w:rsid w:val="00A61B9F"/>
    <w:rsid w:val="00A61E98"/>
    <w:rsid w:val="00A62A9E"/>
    <w:rsid w:val="00A63F08"/>
    <w:rsid w:val="00A6570A"/>
    <w:rsid w:val="00A66AA8"/>
    <w:rsid w:val="00A672F1"/>
    <w:rsid w:val="00A674ED"/>
    <w:rsid w:val="00A675F8"/>
    <w:rsid w:val="00A67752"/>
    <w:rsid w:val="00A678BA"/>
    <w:rsid w:val="00A7053D"/>
    <w:rsid w:val="00A71CC3"/>
    <w:rsid w:val="00A71E56"/>
    <w:rsid w:val="00A71E86"/>
    <w:rsid w:val="00A725CD"/>
    <w:rsid w:val="00A72BBF"/>
    <w:rsid w:val="00A731A3"/>
    <w:rsid w:val="00A74A74"/>
    <w:rsid w:val="00A754F1"/>
    <w:rsid w:val="00A76ABA"/>
    <w:rsid w:val="00A76F5C"/>
    <w:rsid w:val="00A802F2"/>
    <w:rsid w:val="00A8047C"/>
    <w:rsid w:val="00A80696"/>
    <w:rsid w:val="00A80C9A"/>
    <w:rsid w:val="00A81001"/>
    <w:rsid w:val="00A810B2"/>
    <w:rsid w:val="00A8267A"/>
    <w:rsid w:val="00A83D09"/>
    <w:rsid w:val="00A83E98"/>
    <w:rsid w:val="00A84001"/>
    <w:rsid w:val="00A84C69"/>
    <w:rsid w:val="00A85075"/>
    <w:rsid w:val="00A85D69"/>
    <w:rsid w:val="00A86447"/>
    <w:rsid w:val="00A86470"/>
    <w:rsid w:val="00A8669C"/>
    <w:rsid w:val="00A866C6"/>
    <w:rsid w:val="00A90705"/>
    <w:rsid w:val="00A92557"/>
    <w:rsid w:val="00A93364"/>
    <w:rsid w:val="00A9363D"/>
    <w:rsid w:val="00A9365B"/>
    <w:rsid w:val="00A93754"/>
    <w:rsid w:val="00A938F1"/>
    <w:rsid w:val="00A9445A"/>
    <w:rsid w:val="00A947AF"/>
    <w:rsid w:val="00A9519C"/>
    <w:rsid w:val="00A951F3"/>
    <w:rsid w:val="00A956D5"/>
    <w:rsid w:val="00A95C3B"/>
    <w:rsid w:val="00A95E97"/>
    <w:rsid w:val="00A95EF9"/>
    <w:rsid w:val="00A978E4"/>
    <w:rsid w:val="00AA20D4"/>
    <w:rsid w:val="00AA26F8"/>
    <w:rsid w:val="00AA2DBB"/>
    <w:rsid w:val="00AA32EF"/>
    <w:rsid w:val="00AA3EFF"/>
    <w:rsid w:val="00AA559C"/>
    <w:rsid w:val="00AA5BC2"/>
    <w:rsid w:val="00AA7919"/>
    <w:rsid w:val="00AB0851"/>
    <w:rsid w:val="00AB0E10"/>
    <w:rsid w:val="00AB11F2"/>
    <w:rsid w:val="00AB1A00"/>
    <w:rsid w:val="00AB1EA0"/>
    <w:rsid w:val="00AB2B44"/>
    <w:rsid w:val="00AB2C2D"/>
    <w:rsid w:val="00AB3849"/>
    <w:rsid w:val="00AB4941"/>
    <w:rsid w:val="00AB4F81"/>
    <w:rsid w:val="00AB5B91"/>
    <w:rsid w:val="00AB5D72"/>
    <w:rsid w:val="00AB5E9B"/>
    <w:rsid w:val="00AB7394"/>
    <w:rsid w:val="00AB7A26"/>
    <w:rsid w:val="00AB7AD2"/>
    <w:rsid w:val="00AC0D66"/>
    <w:rsid w:val="00AC2CD8"/>
    <w:rsid w:val="00AC3856"/>
    <w:rsid w:val="00AC3B5E"/>
    <w:rsid w:val="00AC3D83"/>
    <w:rsid w:val="00AC416E"/>
    <w:rsid w:val="00AC47F9"/>
    <w:rsid w:val="00AC48A6"/>
    <w:rsid w:val="00AC49CC"/>
    <w:rsid w:val="00AC4C1B"/>
    <w:rsid w:val="00AC4C96"/>
    <w:rsid w:val="00AC4D4B"/>
    <w:rsid w:val="00AC4FDB"/>
    <w:rsid w:val="00AC5020"/>
    <w:rsid w:val="00AC5723"/>
    <w:rsid w:val="00AC5A00"/>
    <w:rsid w:val="00AC6880"/>
    <w:rsid w:val="00AC6CAA"/>
    <w:rsid w:val="00AC6FF4"/>
    <w:rsid w:val="00AD0457"/>
    <w:rsid w:val="00AD11B2"/>
    <w:rsid w:val="00AD245F"/>
    <w:rsid w:val="00AD24FB"/>
    <w:rsid w:val="00AD2544"/>
    <w:rsid w:val="00AD28BF"/>
    <w:rsid w:val="00AD5522"/>
    <w:rsid w:val="00AD6FE9"/>
    <w:rsid w:val="00AD7331"/>
    <w:rsid w:val="00AE006D"/>
    <w:rsid w:val="00AE0271"/>
    <w:rsid w:val="00AE05BF"/>
    <w:rsid w:val="00AE0D48"/>
    <w:rsid w:val="00AE1454"/>
    <w:rsid w:val="00AE1586"/>
    <w:rsid w:val="00AE1A61"/>
    <w:rsid w:val="00AE22F8"/>
    <w:rsid w:val="00AE24D1"/>
    <w:rsid w:val="00AE2B02"/>
    <w:rsid w:val="00AE3109"/>
    <w:rsid w:val="00AE32BB"/>
    <w:rsid w:val="00AE38E5"/>
    <w:rsid w:val="00AE3AAB"/>
    <w:rsid w:val="00AE40A5"/>
    <w:rsid w:val="00AE4DE2"/>
    <w:rsid w:val="00AE515A"/>
    <w:rsid w:val="00AE6543"/>
    <w:rsid w:val="00AE67FE"/>
    <w:rsid w:val="00AF015B"/>
    <w:rsid w:val="00AF05C2"/>
    <w:rsid w:val="00AF0882"/>
    <w:rsid w:val="00AF1198"/>
    <w:rsid w:val="00AF1FD1"/>
    <w:rsid w:val="00AF2110"/>
    <w:rsid w:val="00AF23AC"/>
    <w:rsid w:val="00AF270D"/>
    <w:rsid w:val="00AF3216"/>
    <w:rsid w:val="00AF32FF"/>
    <w:rsid w:val="00AF35EF"/>
    <w:rsid w:val="00AF425D"/>
    <w:rsid w:val="00AF466F"/>
    <w:rsid w:val="00AF47C9"/>
    <w:rsid w:val="00AF4900"/>
    <w:rsid w:val="00AF4B9F"/>
    <w:rsid w:val="00AF67F1"/>
    <w:rsid w:val="00AF71C2"/>
    <w:rsid w:val="00AF71D7"/>
    <w:rsid w:val="00AF7ADF"/>
    <w:rsid w:val="00AF7E60"/>
    <w:rsid w:val="00B0077B"/>
    <w:rsid w:val="00B00E62"/>
    <w:rsid w:val="00B00EA8"/>
    <w:rsid w:val="00B011F8"/>
    <w:rsid w:val="00B01BEE"/>
    <w:rsid w:val="00B02514"/>
    <w:rsid w:val="00B035BD"/>
    <w:rsid w:val="00B035CB"/>
    <w:rsid w:val="00B0384B"/>
    <w:rsid w:val="00B03E56"/>
    <w:rsid w:val="00B052B7"/>
    <w:rsid w:val="00B05B7A"/>
    <w:rsid w:val="00B05BB7"/>
    <w:rsid w:val="00B05F9E"/>
    <w:rsid w:val="00B07CB2"/>
    <w:rsid w:val="00B07EB8"/>
    <w:rsid w:val="00B10131"/>
    <w:rsid w:val="00B102D5"/>
    <w:rsid w:val="00B10B1B"/>
    <w:rsid w:val="00B10F9D"/>
    <w:rsid w:val="00B11224"/>
    <w:rsid w:val="00B13238"/>
    <w:rsid w:val="00B13524"/>
    <w:rsid w:val="00B14017"/>
    <w:rsid w:val="00B15160"/>
    <w:rsid w:val="00B15A2E"/>
    <w:rsid w:val="00B15F01"/>
    <w:rsid w:val="00B16C5E"/>
    <w:rsid w:val="00B16FD0"/>
    <w:rsid w:val="00B1743D"/>
    <w:rsid w:val="00B177F9"/>
    <w:rsid w:val="00B1799D"/>
    <w:rsid w:val="00B17F7A"/>
    <w:rsid w:val="00B211C5"/>
    <w:rsid w:val="00B22087"/>
    <w:rsid w:val="00B22DE5"/>
    <w:rsid w:val="00B230CE"/>
    <w:rsid w:val="00B23A20"/>
    <w:rsid w:val="00B23E2E"/>
    <w:rsid w:val="00B24A70"/>
    <w:rsid w:val="00B2566D"/>
    <w:rsid w:val="00B25C2C"/>
    <w:rsid w:val="00B26C4E"/>
    <w:rsid w:val="00B274CC"/>
    <w:rsid w:val="00B27A7A"/>
    <w:rsid w:val="00B27DDF"/>
    <w:rsid w:val="00B30018"/>
    <w:rsid w:val="00B30CE1"/>
    <w:rsid w:val="00B31041"/>
    <w:rsid w:val="00B31B98"/>
    <w:rsid w:val="00B32346"/>
    <w:rsid w:val="00B324EF"/>
    <w:rsid w:val="00B32524"/>
    <w:rsid w:val="00B32B16"/>
    <w:rsid w:val="00B345C2"/>
    <w:rsid w:val="00B34830"/>
    <w:rsid w:val="00B35942"/>
    <w:rsid w:val="00B36AD5"/>
    <w:rsid w:val="00B37657"/>
    <w:rsid w:val="00B379AB"/>
    <w:rsid w:val="00B40BC8"/>
    <w:rsid w:val="00B4148E"/>
    <w:rsid w:val="00B41A99"/>
    <w:rsid w:val="00B41ADB"/>
    <w:rsid w:val="00B429B0"/>
    <w:rsid w:val="00B42D66"/>
    <w:rsid w:val="00B43348"/>
    <w:rsid w:val="00B448D8"/>
    <w:rsid w:val="00B44A61"/>
    <w:rsid w:val="00B44E9E"/>
    <w:rsid w:val="00B45EB7"/>
    <w:rsid w:val="00B462B9"/>
    <w:rsid w:val="00B463E7"/>
    <w:rsid w:val="00B467AF"/>
    <w:rsid w:val="00B46C9F"/>
    <w:rsid w:val="00B46DF2"/>
    <w:rsid w:val="00B5009A"/>
    <w:rsid w:val="00B502E6"/>
    <w:rsid w:val="00B5057E"/>
    <w:rsid w:val="00B51180"/>
    <w:rsid w:val="00B5166B"/>
    <w:rsid w:val="00B51D0D"/>
    <w:rsid w:val="00B52485"/>
    <w:rsid w:val="00B531EE"/>
    <w:rsid w:val="00B53236"/>
    <w:rsid w:val="00B536BA"/>
    <w:rsid w:val="00B5479C"/>
    <w:rsid w:val="00B55B4B"/>
    <w:rsid w:val="00B55CE1"/>
    <w:rsid w:val="00B55F1B"/>
    <w:rsid w:val="00B56E68"/>
    <w:rsid w:val="00B57688"/>
    <w:rsid w:val="00B57F80"/>
    <w:rsid w:val="00B57FA6"/>
    <w:rsid w:val="00B6132F"/>
    <w:rsid w:val="00B61D39"/>
    <w:rsid w:val="00B62AE2"/>
    <w:rsid w:val="00B62BA4"/>
    <w:rsid w:val="00B62C16"/>
    <w:rsid w:val="00B63555"/>
    <w:rsid w:val="00B64528"/>
    <w:rsid w:val="00B64D91"/>
    <w:rsid w:val="00B654AB"/>
    <w:rsid w:val="00B65664"/>
    <w:rsid w:val="00B678EC"/>
    <w:rsid w:val="00B67B7D"/>
    <w:rsid w:val="00B67E23"/>
    <w:rsid w:val="00B700E1"/>
    <w:rsid w:val="00B715D8"/>
    <w:rsid w:val="00B7174E"/>
    <w:rsid w:val="00B7207A"/>
    <w:rsid w:val="00B7269E"/>
    <w:rsid w:val="00B72B8E"/>
    <w:rsid w:val="00B74A52"/>
    <w:rsid w:val="00B74F9F"/>
    <w:rsid w:val="00B75154"/>
    <w:rsid w:val="00B751EB"/>
    <w:rsid w:val="00B75489"/>
    <w:rsid w:val="00B76195"/>
    <w:rsid w:val="00B76250"/>
    <w:rsid w:val="00B77305"/>
    <w:rsid w:val="00B81922"/>
    <w:rsid w:val="00B81FC0"/>
    <w:rsid w:val="00B8257C"/>
    <w:rsid w:val="00B82608"/>
    <w:rsid w:val="00B8369B"/>
    <w:rsid w:val="00B8377F"/>
    <w:rsid w:val="00B83C82"/>
    <w:rsid w:val="00B83D21"/>
    <w:rsid w:val="00B83DC9"/>
    <w:rsid w:val="00B84214"/>
    <w:rsid w:val="00B8583E"/>
    <w:rsid w:val="00B8643F"/>
    <w:rsid w:val="00B86736"/>
    <w:rsid w:val="00B875DA"/>
    <w:rsid w:val="00B87A8B"/>
    <w:rsid w:val="00B9012E"/>
    <w:rsid w:val="00B90CF3"/>
    <w:rsid w:val="00B91212"/>
    <w:rsid w:val="00B928F0"/>
    <w:rsid w:val="00B92BC8"/>
    <w:rsid w:val="00B92E04"/>
    <w:rsid w:val="00B93820"/>
    <w:rsid w:val="00B93EF3"/>
    <w:rsid w:val="00B9454D"/>
    <w:rsid w:val="00B94EC6"/>
    <w:rsid w:val="00B95173"/>
    <w:rsid w:val="00B9554B"/>
    <w:rsid w:val="00B96A08"/>
    <w:rsid w:val="00B96AB7"/>
    <w:rsid w:val="00B97D10"/>
    <w:rsid w:val="00BA0646"/>
    <w:rsid w:val="00BA12CB"/>
    <w:rsid w:val="00BA166C"/>
    <w:rsid w:val="00BA24EB"/>
    <w:rsid w:val="00BA297D"/>
    <w:rsid w:val="00BA4FA6"/>
    <w:rsid w:val="00BA6C6A"/>
    <w:rsid w:val="00BA7F66"/>
    <w:rsid w:val="00BB040D"/>
    <w:rsid w:val="00BB0465"/>
    <w:rsid w:val="00BB10B7"/>
    <w:rsid w:val="00BB1636"/>
    <w:rsid w:val="00BB19F4"/>
    <w:rsid w:val="00BB1A5F"/>
    <w:rsid w:val="00BB1BA8"/>
    <w:rsid w:val="00BB2E76"/>
    <w:rsid w:val="00BB38A9"/>
    <w:rsid w:val="00BB38D6"/>
    <w:rsid w:val="00BB3AA4"/>
    <w:rsid w:val="00BB4986"/>
    <w:rsid w:val="00BB4DC9"/>
    <w:rsid w:val="00BB5D65"/>
    <w:rsid w:val="00BB5FF2"/>
    <w:rsid w:val="00BB6675"/>
    <w:rsid w:val="00BB67D6"/>
    <w:rsid w:val="00BB6D68"/>
    <w:rsid w:val="00BB6F66"/>
    <w:rsid w:val="00BB7174"/>
    <w:rsid w:val="00BC01E4"/>
    <w:rsid w:val="00BC0728"/>
    <w:rsid w:val="00BC0DDF"/>
    <w:rsid w:val="00BC1108"/>
    <w:rsid w:val="00BC157E"/>
    <w:rsid w:val="00BC1AF6"/>
    <w:rsid w:val="00BC2758"/>
    <w:rsid w:val="00BC2E2A"/>
    <w:rsid w:val="00BC4B11"/>
    <w:rsid w:val="00BC573F"/>
    <w:rsid w:val="00BC6088"/>
    <w:rsid w:val="00BC610A"/>
    <w:rsid w:val="00BC624A"/>
    <w:rsid w:val="00BC6B7A"/>
    <w:rsid w:val="00BC6B9E"/>
    <w:rsid w:val="00BC7865"/>
    <w:rsid w:val="00BD1214"/>
    <w:rsid w:val="00BD19A9"/>
    <w:rsid w:val="00BD1FB8"/>
    <w:rsid w:val="00BD218D"/>
    <w:rsid w:val="00BD2B6C"/>
    <w:rsid w:val="00BD2E30"/>
    <w:rsid w:val="00BD3F53"/>
    <w:rsid w:val="00BD4265"/>
    <w:rsid w:val="00BD43DC"/>
    <w:rsid w:val="00BD4452"/>
    <w:rsid w:val="00BD5434"/>
    <w:rsid w:val="00BD591C"/>
    <w:rsid w:val="00BD68EA"/>
    <w:rsid w:val="00BD7842"/>
    <w:rsid w:val="00BE05C8"/>
    <w:rsid w:val="00BE0B7F"/>
    <w:rsid w:val="00BE0F9F"/>
    <w:rsid w:val="00BE130F"/>
    <w:rsid w:val="00BE1527"/>
    <w:rsid w:val="00BE15EB"/>
    <w:rsid w:val="00BE2FA1"/>
    <w:rsid w:val="00BE4F34"/>
    <w:rsid w:val="00BE52BB"/>
    <w:rsid w:val="00BE5A70"/>
    <w:rsid w:val="00BE5CDE"/>
    <w:rsid w:val="00BE5D7B"/>
    <w:rsid w:val="00BE6308"/>
    <w:rsid w:val="00BE7685"/>
    <w:rsid w:val="00BE7CD1"/>
    <w:rsid w:val="00BF0A70"/>
    <w:rsid w:val="00BF0CA6"/>
    <w:rsid w:val="00BF139C"/>
    <w:rsid w:val="00BF152A"/>
    <w:rsid w:val="00BF2477"/>
    <w:rsid w:val="00BF24CF"/>
    <w:rsid w:val="00BF2749"/>
    <w:rsid w:val="00BF3131"/>
    <w:rsid w:val="00BF3F25"/>
    <w:rsid w:val="00BF4305"/>
    <w:rsid w:val="00BF458B"/>
    <w:rsid w:val="00BF47A2"/>
    <w:rsid w:val="00BF48F1"/>
    <w:rsid w:val="00BF4C8E"/>
    <w:rsid w:val="00BF4F9D"/>
    <w:rsid w:val="00BF58D3"/>
    <w:rsid w:val="00BF68C3"/>
    <w:rsid w:val="00BF6F70"/>
    <w:rsid w:val="00BF772E"/>
    <w:rsid w:val="00C005D7"/>
    <w:rsid w:val="00C0088E"/>
    <w:rsid w:val="00C00AA5"/>
    <w:rsid w:val="00C0150E"/>
    <w:rsid w:val="00C0249D"/>
    <w:rsid w:val="00C02F0C"/>
    <w:rsid w:val="00C033F0"/>
    <w:rsid w:val="00C038D8"/>
    <w:rsid w:val="00C03974"/>
    <w:rsid w:val="00C03B9E"/>
    <w:rsid w:val="00C041CF"/>
    <w:rsid w:val="00C04332"/>
    <w:rsid w:val="00C05038"/>
    <w:rsid w:val="00C0645D"/>
    <w:rsid w:val="00C064D1"/>
    <w:rsid w:val="00C068E8"/>
    <w:rsid w:val="00C110A7"/>
    <w:rsid w:val="00C11BA6"/>
    <w:rsid w:val="00C12B8B"/>
    <w:rsid w:val="00C14532"/>
    <w:rsid w:val="00C15B97"/>
    <w:rsid w:val="00C15C96"/>
    <w:rsid w:val="00C16629"/>
    <w:rsid w:val="00C176C4"/>
    <w:rsid w:val="00C1774C"/>
    <w:rsid w:val="00C17AD4"/>
    <w:rsid w:val="00C212D3"/>
    <w:rsid w:val="00C21339"/>
    <w:rsid w:val="00C21572"/>
    <w:rsid w:val="00C21AFA"/>
    <w:rsid w:val="00C21BCA"/>
    <w:rsid w:val="00C22DB1"/>
    <w:rsid w:val="00C2323D"/>
    <w:rsid w:val="00C24EBC"/>
    <w:rsid w:val="00C26503"/>
    <w:rsid w:val="00C30529"/>
    <w:rsid w:val="00C3089E"/>
    <w:rsid w:val="00C31033"/>
    <w:rsid w:val="00C3133F"/>
    <w:rsid w:val="00C319BA"/>
    <w:rsid w:val="00C319FA"/>
    <w:rsid w:val="00C31C03"/>
    <w:rsid w:val="00C3382D"/>
    <w:rsid w:val="00C33E5A"/>
    <w:rsid w:val="00C345BA"/>
    <w:rsid w:val="00C35633"/>
    <w:rsid w:val="00C37EAC"/>
    <w:rsid w:val="00C4195B"/>
    <w:rsid w:val="00C41B13"/>
    <w:rsid w:val="00C42067"/>
    <w:rsid w:val="00C42176"/>
    <w:rsid w:val="00C42254"/>
    <w:rsid w:val="00C423A9"/>
    <w:rsid w:val="00C43486"/>
    <w:rsid w:val="00C436D7"/>
    <w:rsid w:val="00C44DDF"/>
    <w:rsid w:val="00C44E09"/>
    <w:rsid w:val="00C45CD5"/>
    <w:rsid w:val="00C46A13"/>
    <w:rsid w:val="00C46A87"/>
    <w:rsid w:val="00C4754A"/>
    <w:rsid w:val="00C50900"/>
    <w:rsid w:val="00C50D23"/>
    <w:rsid w:val="00C530DB"/>
    <w:rsid w:val="00C534FC"/>
    <w:rsid w:val="00C537C0"/>
    <w:rsid w:val="00C53E75"/>
    <w:rsid w:val="00C54A8C"/>
    <w:rsid w:val="00C54BEA"/>
    <w:rsid w:val="00C5528A"/>
    <w:rsid w:val="00C5557D"/>
    <w:rsid w:val="00C55D9E"/>
    <w:rsid w:val="00C560BB"/>
    <w:rsid w:val="00C56191"/>
    <w:rsid w:val="00C5667F"/>
    <w:rsid w:val="00C57FDD"/>
    <w:rsid w:val="00C60024"/>
    <w:rsid w:val="00C60B4C"/>
    <w:rsid w:val="00C60D7D"/>
    <w:rsid w:val="00C6104D"/>
    <w:rsid w:val="00C61323"/>
    <w:rsid w:val="00C621B9"/>
    <w:rsid w:val="00C62221"/>
    <w:rsid w:val="00C62D48"/>
    <w:rsid w:val="00C62FB6"/>
    <w:rsid w:val="00C63F63"/>
    <w:rsid w:val="00C63FEA"/>
    <w:rsid w:val="00C640E9"/>
    <w:rsid w:val="00C64440"/>
    <w:rsid w:val="00C64937"/>
    <w:rsid w:val="00C655F2"/>
    <w:rsid w:val="00C666B5"/>
    <w:rsid w:val="00C66C35"/>
    <w:rsid w:val="00C67078"/>
    <w:rsid w:val="00C67100"/>
    <w:rsid w:val="00C67B32"/>
    <w:rsid w:val="00C701C1"/>
    <w:rsid w:val="00C71CF8"/>
    <w:rsid w:val="00C720ED"/>
    <w:rsid w:val="00C72448"/>
    <w:rsid w:val="00C727B8"/>
    <w:rsid w:val="00C72A4E"/>
    <w:rsid w:val="00C72A7A"/>
    <w:rsid w:val="00C72C17"/>
    <w:rsid w:val="00C73580"/>
    <w:rsid w:val="00C73735"/>
    <w:rsid w:val="00C73A55"/>
    <w:rsid w:val="00C73EA1"/>
    <w:rsid w:val="00C745DB"/>
    <w:rsid w:val="00C771FB"/>
    <w:rsid w:val="00C8011F"/>
    <w:rsid w:val="00C8095F"/>
    <w:rsid w:val="00C81225"/>
    <w:rsid w:val="00C82136"/>
    <w:rsid w:val="00C82167"/>
    <w:rsid w:val="00C82195"/>
    <w:rsid w:val="00C82233"/>
    <w:rsid w:val="00C825C6"/>
    <w:rsid w:val="00C8287D"/>
    <w:rsid w:val="00C8321B"/>
    <w:rsid w:val="00C847DE"/>
    <w:rsid w:val="00C848BE"/>
    <w:rsid w:val="00C85007"/>
    <w:rsid w:val="00C85889"/>
    <w:rsid w:val="00C85E9C"/>
    <w:rsid w:val="00C8638D"/>
    <w:rsid w:val="00C86D78"/>
    <w:rsid w:val="00C872A7"/>
    <w:rsid w:val="00C915B2"/>
    <w:rsid w:val="00C9178E"/>
    <w:rsid w:val="00C91D1C"/>
    <w:rsid w:val="00C92F6F"/>
    <w:rsid w:val="00C930BC"/>
    <w:rsid w:val="00C9318F"/>
    <w:rsid w:val="00C93DA5"/>
    <w:rsid w:val="00C9415B"/>
    <w:rsid w:val="00C94540"/>
    <w:rsid w:val="00C945F3"/>
    <w:rsid w:val="00C95B53"/>
    <w:rsid w:val="00C95BC0"/>
    <w:rsid w:val="00C9626D"/>
    <w:rsid w:val="00C967CB"/>
    <w:rsid w:val="00CA0382"/>
    <w:rsid w:val="00CA0838"/>
    <w:rsid w:val="00CA09D0"/>
    <w:rsid w:val="00CA12CA"/>
    <w:rsid w:val="00CA13E6"/>
    <w:rsid w:val="00CA1401"/>
    <w:rsid w:val="00CA162D"/>
    <w:rsid w:val="00CA1B62"/>
    <w:rsid w:val="00CA2595"/>
    <w:rsid w:val="00CA2691"/>
    <w:rsid w:val="00CA2FB7"/>
    <w:rsid w:val="00CA3E41"/>
    <w:rsid w:val="00CA51DF"/>
    <w:rsid w:val="00CA53DC"/>
    <w:rsid w:val="00CA5945"/>
    <w:rsid w:val="00CA59CC"/>
    <w:rsid w:val="00CA6C77"/>
    <w:rsid w:val="00CB08E8"/>
    <w:rsid w:val="00CB14BA"/>
    <w:rsid w:val="00CB1BE3"/>
    <w:rsid w:val="00CB2101"/>
    <w:rsid w:val="00CB254E"/>
    <w:rsid w:val="00CB32AF"/>
    <w:rsid w:val="00CB403B"/>
    <w:rsid w:val="00CB4421"/>
    <w:rsid w:val="00CB4C88"/>
    <w:rsid w:val="00CB4EBD"/>
    <w:rsid w:val="00CB5035"/>
    <w:rsid w:val="00CB5CE9"/>
    <w:rsid w:val="00CB5DF1"/>
    <w:rsid w:val="00CB637C"/>
    <w:rsid w:val="00CB63E9"/>
    <w:rsid w:val="00CB6E30"/>
    <w:rsid w:val="00CB7073"/>
    <w:rsid w:val="00CB7BEC"/>
    <w:rsid w:val="00CB7F75"/>
    <w:rsid w:val="00CC0405"/>
    <w:rsid w:val="00CC13CF"/>
    <w:rsid w:val="00CC253D"/>
    <w:rsid w:val="00CC314D"/>
    <w:rsid w:val="00CC3C1D"/>
    <w:rsid w:val="00CC3FA7"/>
    <w:rsid w:val="00CC5450"/>
    <w:rsid w:val="00CC56B5"/>
    <w:rsid w:val="00CC57A7"/>
    <w:rsid w:val="00CC5ED1"/>
    <w:rsid w:val="00CC6001"/>
    <w:rsid w:val="00CC603D"/>
    <w:rsid w:val="00CC6C41"/>
    <w:rsid w:val="00CC6CB9"/>
    <w:rsid w:val="00CC6F57"/>
    <w:rsid w:val="00CC71EE"/>
    <w:rsid w:val="00CC7C23"/>
    <w:rsid w:val="00CD03AB"/>
    <w:rsid w:val="00CD17C8"/>
    <w:rsid w:val="00CD1BDC"/>
    <w:rsid w:val="00CD2DE3"/>
    <w:rsid w:val="00CD33C3"/>
    <w:rsid w:val="00CD4649"/>
    <w:rsid w:val="00CD4A5C"/>
    <w:rsid w:val="00CD5276"/>
    <w:rsid w:val="00CD67DB"/>
    <w:rsid w:val="00CD7104"/>
    <w:rsid w:val="00CD79D9"/>
    <w:rsid w:val="00CE0303"/>
    <w:rsid w:val="00CE0559"/>
    <w:rsid w:val="00CE08F2"/>
    <w:rsid w:val="00CE1601"/>
    <w:rsid w:val="00CE1A59"/>
    <w:rsid w:val="00CE217A"/>
    <w:rsid w:val="00CE2616"/>
    <w:rsid w:val="00CE26A5"/>
    <w:rsid w:val="00CE3DF7"/>
    <w:rsid w:val="00CE4174"/>
    <w:rsid w:val="00CE41FB"/>
    <w:rsid w:val="00CE55FC"/>
    <w:rsid w:val="00CE61D7"/>
    <w:rsid w:val="00CE66E1"/>
    <w:rsid w:val="00CE6F53"/>
    <w:rsid w:val="00CE72EB"/>
    <w:rsid w:val="00CE79BA"/>
    <w:rsid w:val="00CF0150"/>
    <w:rsid w:val="00CF0A78"/>
    <w:rsid w:val="00CF100A"/>
    <w:rsid w:val="00CF16F7"/>
    <w:rsid w:val="00CF2945"/>
    <w:rsid w:val="00CF2A5A"/>
    <w:rsid w:val="00CF371C"/>
    <w:rsid w:val="00CF42D9"/>
    <w:rsid w:val="00CF4BEA"/>
    <w:rsid w:val="00CF4EE4"/>
    <w:rsid w:val="00CF54EA"/>
    <w:rsid w:val="00CF5A41"/>
    <w:rsid w:val="00CF6170"/>
    <w:rsid w:val="00CF6518"/>
    <w:rsid w:val="00CF6DC2"/>
    <w:rsid w:val="00CF7015"/>
    <w:rsid w:val="00CF704D"/>
    <w:rsid w:val="00CF7BE7"/>
    <w:rsid w:val="00CF7CF5"/>
    <w:rsid w:val="00CF7D23"/>
    <w:rsid w:val="00D00D6B"/>
    <w:rsid w:val="00D00F6B"/>
    <w:rsid w:val="00D0161E"/>
    <w:rsid w:val="00D01ABB"/>
    <w:rsid w:val="00D01C8F"/>
    <w:rsid w:val="00D024A8"/>
    <w:rsid w:val="00D025A4"/>
    <w:rsid w:val="00D02C97"/>
    <w:rsid w:val="00D02D18"/>
    <w:rsid w:val="00D02F9F"/>
    <w:rsid w:val="00D044DD"/>
    <w:rsid w:val="00D04B3E"/>
    <w:rsid w:val="00D05478"/>
    <w:rsid w:val="00D060CB"/>
    <w:rsid w:val="00D0622A"/>
    <w:rsid w:val="00D06AB4"/>
    <w:rsid w:val="00D078EA"/>
    <w:rsid w:val="00D07A2C"/>
    <w:rsid w:val="00D104CB"/>
    <w:rsid w:val="00D10890"/>
    <w:rsid w:val="00D10D85"/>
    <w:rsid w:val="00D114B1"/>
    <w:rsid w:val="00D11EB8"/>
    <w:rsid w:val="00D12E85"/>
    <w:rsid w:val="00D137F4"/>
    <w:rsid w:val="00D13D8A"/>
    <w:rsid w:val="00D14D46"/>
    <w:rsid w:val="00D1700A"/>
    <w:rsid w:val="00D171BB"/>
    <w:rsid w:val="00D20251"/>
    <w:rsid w:val="00D21E06"/>
    <w:rsid w:val="00D22E55"/>
    <w:rsid w:val="00D2343B"/>
    <w:rsid w:val="00D23954"/>
    <w:rsid w:val="00D23F05"/>
    <w:rsid w:val="00D24119"/>
    <w:rsid w:val="00D244F0"/>
    <w:rsid w:val="00D26203"/>
    <w:rsid w:val="00D27FFC"/>
    <w:rsid w:val="00D30454"/>
    <w:rsid w:val="00D30540"/>
    <w:rsid w:val="00D316A7"/>
    <w:rsid w:val="00D3172C"/>
    <w:rsid w:val="00D31CA8"/>
    <w:rsid w:val="00D32932"/>
    <w:rsid w:val="00D32A6D"/>
    <w:rsid w:val="00D33212"/>
    <w:rsid w:val="00D33A58"/>
    <w:rsid w:val="00D33EE0"/>
    <w:rsid w:val="00D34477"/>
    <w:rsid w:val="00D36367"/>
    <w:rsid w:val="00D36F45"/>
    <w:rsid w:val="00D37807"/>
    <w:rsid w:val="00D40A1A"/>
    <w:rsid w:val="00D40AF5"/>
    <w:rsid w:val="00D40EE5"/>
    <w:rsid w:val="00D4222F"/>
    <w:rsid w:val="00D426BD"/>
    <w:rsid w:val="00D429FA"/>
    <w:rsid w:val="00D42C62"/>
    <w:rsid w:val="00D4370F"/>
    <w:rsid w:val="00D43A48"/>
    <w:rsid w:val="00D43AA5"/>
    <w:rsid w:val="00D443F1"/>
    <w:rsid w:val="00D44A25"/>
    <w:rsid w:val="00D44C14"/>
    <w:rsid w:val="00D45A41"/>
    <w:rsid w:val="00D45B12"/>
    <w:rsid w:val="00D466B5"/>
    <w:rsid w:val="00D47F71"/>
    <w:rsid w:val="00D47FDA"/>
    <w:rsid w:val="00D50857"/>
    <w:rsid w:val="00D50C13"/>
    <w:rsid w:val="00D50D19"/>
    <w:rsid w:val="00D510FC"/>
    <w:rsid w:val="00D51A77"/>
    <w:rsid w:val="00D51D9E"/>
    <w:rsid w:val="00D51F7C"/>
    <w:rsid w:val="00D52257"/>
    <w:rsid w:val="00D52279"/>
    <w:rsid w:val="00D53B3C"/>
    <w:rsid w:val="00D5406D"/>
    <w:rsid w:val="00D546CC"/>
    <w:rsid w:val="00D54BCD"/>
    <w:rsid w:val="00D55E52"/>
    <w:rsid w:val="00D5619D"/>
    <w:rsid w:val="00D57BC1"/>
    <w:rsid w:val="00D6017D"/>
    <w:rsid w:val="00D60D38"/>
    <w:rsid w:val="00D60F50"/>
    <w:rsid w:val="00D6133F"/>
    <w:rsid w:val="00D61F12"/>
    <w:rsid w:val="00D620D1"/>
    <w:rsid w:val="00D622A2"/>
    <w:rsid w:val="00D62846"/>
    <w:rsid w:val="00D62A83"/>
    <w:rsid w:val="00D62D51"/>
    <w:rsid w:val="00D63AC5"/>
    <w:rsid w:val="00D6701D"/>
    <w:rsid w:val="00D70CC4"/>
    <w:rsid w:val="00D710CA"/>
    <w:rsid w:val="00D71372"/>
    <w:rsid w:val="00D713DE"/>
    <w:rsid w:val="00D723E2"/>
    <w:rsid w:val="00D72C03"/>
    <w:rsid w:val="00D72C8E"/>
    <w:rsid w:val="00D72D7A"/>
    <w:rsid w:val="00D72EB6"/>
    <w:rsid w:val="00D73540"/>
    <w:rsid w:val="00D73B23"/>
    <w:rsid w:val="00D74558"/>
    <w:rsid w:val="00D745B3"/>
    <w:rsid w:val="00D74A0E"/>
    <w:rsid w:val="00D74B02"/>
    <w:rsid w:val="00D75531"/>
    <w:rsid w:val="00D757A0"/>
    <w:rsid w:val="00D76E43"/>
    <w:rsid w:val="00D770D7"/>
    <w:rsid w:val="00D77125"/>
    <w:rsid w:val="00D7719B"/>
    <w:rsid w:val="00D80153"/>
    <w:rsid w:val="00D80D37"/>
    <w:rsid w:val="00D80E8C"/>
    <w:rsid w:val="00D813CE"/>
    <w:rsid w:val="00D816FA"/>
    <w:rsid w:val="00D81D76"/>
    <w:rsid w:val="00D8215B"/>
    <w:rsid w:val="00D82C94"/>
    <w:rsid w:val="00D8308B"/>
    <w:rsid w:val="00D837E2"/>
    <w:rsid w:val="00D83CFC"/>
    <w:rsid w:val="00D83F43"/>
    <w:rsid w:val="00D8439A"/>
    <w:rsid w:val="00D876AE"/>
    <w:rsid w:val="00D879FF"/>
    <w:rsid w:val="00D87A0A"/>
    <w:rsid w:val="00D915CE"/>
    <w:rsid w:val="00D93050"/>
    <w:rsid w:val="00D94A64"/>
    <w:rsid w:val="00D94B43"/>
    <w:rsid w:val="00D94BC9"/>
    <w:rsid w:val="00D94FF0"/>
    <w:rsid w:val="00D95353"/>
    <w:rsid w:val="00D9568A"/>
    <w:rsid w:val="00D95B47"/>
    <w:rsid w:val="00D95EB9"/>
    <w:rsid w:val="00D9624C"/>
    <w:rsid w:val="00D96CD3"/>
    <w:rsid w:val="00D9787C"/>
    <w:rsid w:val="00DA01BF"/>
    <w:rsid w:val="00DA030C"/>
    <w:rsid w:val="00DA052F"/>
    <w:rsid w:val="00DA0E4D"/>
    <w:rsid w:val="00DA0E56"/>
    <w:rsid w:val="00DA1C27"/>
    <w:rsid w:val="00DA24BA"/>
    <w:rsid w:val="00DA2D2C"/>
    <w:rsid w:val="00DA30D4"/>
    <w:rsid w:val="00DA3476"/>
    <w:rsid w:val="00DA386A"/>
    <w:rsid w:val="00DA3F74"/>
    <w:rsid w:val="00DA4190"/>
    <w:rsid w:val="00DA591A"/>
    <w:rsid w:val="00DA6106"/>
    <w:rsid w:val="00DA6580"/>
    <w:rsid w:val="00DA7715"/>
    <w:rsid w:val="00DB0774"/>
    <w:rsid w:val="00DB0FAF"/>
    <w:rsid w:val="00DB0FBA"/>
    <w:rsid w:val="00DB1830"/>
    <w:rsid w:val="00DB1965"/>
    <w:rsid w:val="00DB1F80"/>
    <w:rsid w:val="00DB2F61"/>
    <w:rsid w:val="00DB3990"/>
    <w:rsid w:val="00DB4771"/>
    <w:rsid w:val="00DB4BFE"/>
    <w:rsid w:val="00DB5D92"/>
    <w:rsid w:val="00DB68F4"/>
    <w:rsid w:val="00DB703B"/>
    <w:rsid w:val="00DB716E"/>
    <w:rsid w:val="00DB7EFC"/>
    <w:rsid w:val="00DB7F96"/>
    <w:rsid w:val="00DC008B"/>
    <w:rsid w:val="00DC01A8"/>
    <w:rsid w:val="00DC087B"/>
    <w:rsid w:val="00DC0DC2"/>
    <w:rsid w:val="00DC183B"/>
    <w:rsid w:val="00DC19C9"/>
    <w:rsid w:val="00DC22EA"/>
    <w:rsid w:val="00DC2E6B"/>
    <w:rsid w:val="00DC2F87"/>
    <w:rsid w:val="00DC329C"/>
    <w:rsid w:val="00DC395F"/>
    <w:rsid w:val="00DC411F"/>
    <w:rsid w:val="00DC41CA"/>
    <w:rsid w:val="00DC4387"/>
    <w:rsid w:val="00DC4559"/>
    <w:rsid w:val="00DC5920"/>
    <w:rsid w:val="00DC5FE7"/>
    <w:rsid w:val="00DC6504"/>
    <w:rsid w:val="00DC7A5B"/>
    <w:rsid w:val="00DC7C23"/>
    <w:rsid w:val="00DC7EE7"/>
    <w:rsid w:val="00DD018A"/>
    <w:rsid w:val="00DD05C9"/>
    <w:rsid w:val="00DD071D"/>
    <w:rsid w:val="00DD295E"/>
    <w:rsid w:val="00DD3D7F"/>
    <w:rsid w:val="00DD3F50"/>
    <w:rsid w:val="00DD4041"/>
    <w:rsid w:val="00DD438B"/>
    <w:rsid w:val="00DD49D5"/>
    <w:rsid w:val="00DD4AE7"/>
    <w:rsid w:val="00DD4DDC"/>
    <w:rsid w:val="00DD5701"/>
    <w:rsid w:val="00DD5FB8"/>
    <w:rsid w:val="00DD7905"/>
    <w:rsid w:val="00DE051D"/>
    <w:rsid w:val="00DE08FB"/>
    <w:rsid w:val="00DE0D71"/>
    <w:rsid w:val="00DE0DB6"/>
    <w:rsid w:val="00DE1BE5"/>
    <w:rsid w:val="00DE202A"/>
    <w:rsid w:val="00DE21F9"/>
    <w:rsid w:val="00DE2547"/>
    <w:rsid w:val="00DE254E"/>
    <w:rsid w:val="00DE35D2"/>
    <w:rsid w:val="00DE438E"/>
    <w:rsid w:val="00DE4F7D"/>
    <w:rsid w:val="00DE52C9"/>
    <w:rsid w:val="00DE5C1F"/>
    <w:rsid w:val="00DE66AE"/>
    <w:rsid w:val="00DE67A9"/>
    <w:rsid w:val="00DE6ACF"/>
    <w:rsid w:val="00DE75CD"/>
    <w:rsid w:val="00DE7A36"/>
    <w:rsid w:val="00DF029E"/>
    <w:rsid w:val="00DF271D"/>
    <w:rsid w:val="00DF3840"/>
    <w:rsid w:val="00DF4169"/>
    <w:rsid w:val="00DF4218"/>
    <w:rsid w:val="00DF4283"/>
    <w:rsid w:val="00DF5A76"/>
    <w:rsid w:val="00DF6AC1"/>
    <w:rsid w:val="00DF73A9"/>
    <w:rsid w:val="00DF790A"/>
    <w:rsid w:val="00DF7B2F"/>
    <w:rsid w:val="00DF7BFF"/>
    <w:rsid w:val="00DF7CB7"/>
    <w:rsid w:val="00E00897"/>
    <w:rsid w:val="00E00B39"/>
    <w:rsid w:val="00E01E71"/>
    <w:rsid w:val="00E02915"/>
    <w:rsid w:val="00E03313"/>
    <w:rsid w:val="00E036E7"/>
    <w:rsid w:val="00E039AF"/>
    <w:rsid w:val="00E0487F"/>
    <w:rsid w:val="00E056A3"/>
    <w:rsid w:val="00E05B8F"/>
    <w:rsid w:val="00E060DE"/>
    <w:rsid w:val="00E06369"/>
    <w:rsid w:val="00E108D9"/>
    <w:rsid w:val="00E112A5"/>
    <w:rsid w:val="00E11593"/>
    <w:rsid w:val="00E12418"/>
    <w:rsid w:val="00E12763"/>
    <w:rsid w:val="00E1405B"/>
    <w:rsid w:val="00E14B6A"/>
    <w:rsid w:val="00E14E8D"/>
    <w:rsid w:val="00E1534D"/>
    <w:rsid w:val="00E15488"/>
    <w:rsid w:val="00E15C2E"/>
    <w:rsid w:val="00E15DEC"/>
    <w:rsid w:val="00E16625"/>
    <w:rsid w:val="00E16FEA"/>
    <w:rsid w:val="00E17480"/>
    <w:rsid w:val="00E17DE3"/>
    <w:rsid w:val="00E2053A"/>
    <w:rsid w:val="00E223B8"/>
    <w:rsid w:val="00E2293E"/>
    <w:rsid w:val="00E2307C"/>
    <w:rsid w:val="00E23B10"/>
    <w:rsid w:val="00E24263"/>
    <w:rsid w:val="00E249C1"/>
    <w:rsid w:val="00E24A77"/>
    <w:rsid w:val="00E2556D"/>
    <w:rsid w:val="00E265DF"/>
    <w:rsid w:val="00E2672C"/>
    <w:rsid w:val="00E26861"/>
    <w:rsid w:val="00E26AFE"/>
    <w:rsid w:val="00E26F6F"/>
    <w:rsid w:val="00E275DE"/>
    <w:rsid w:val="00E27C51"/>
    <w:rsid w:val="00E302C4"/>
    <w:rsid w:val="00E30517"/>
    <w:rsid w:val="00E31C67"/>
    <w:rsid w:val="00E320EF"/>
    <w:rsid w:val="00E32D71"/>
    <w:rsid w:val="00E32DD0"/>
    <w:rsid w:val="00E339A0"/>
    <w:rsid w:val="00E34AAE"/>
    <w:rsid w:val="00E3545A"/>
    <w:rsid w:val="00E356F6"/>
    <w:rsid w:val="00E35FA6"/>
    <w:rsid w:val="00E361DB"/>
    <w:rsid w:val="00E362CD"/>
    <w:rsid w:val="00E36C2B"/>
    <w:rsid w:val="00E36E9E"/>
    <w:rsid w:val="00E40D58"/>
    <w:rsid w:val="00E41063"/>
    <w:rsid w:val="00E41343"/>
    <w:rsid w:val="00E41749"/>
    <w:rsid w:val="00E4187E"/>
    <w:rsid w:val="00E41A4A"/>
    <w:rsid w:val="00E41B00"/>
    <w:rsid w:val="00E41BED"/>
    <w:rsid w:val="00E41E4E"/>
    <w:rsid w:val="00E423B2"/>
    <w:rsid w:val="00E42564"/>
    <w:rsid w:val="00E42594"/>
    <w:rsid w:val="00E43326"/>
    <w:rsid w:val="00E451D1"/>
    <w:rsid w:val="00E45330"/>
    <w:rsid w:val="00E45DDA"/>
    <w:rsid w:val="00E46538"/>
    <w:rsid w:val="00E46A69"/>
    <w:rsid w:val="00E46E4F"/>
    <w:rsid w:val="00E47087"/>
    <w:rsid w:val="00E4783D"/>
    <w:rsid w:val="00E47CCC"/>
    <w:rsid w:val="00E502CC"/>
    <w:rsid w:val="00E504BA"/>
    <w:rsid w:val="00E50DEB"/>
    <w:rsid w:val="00E51C25"/>
    <w:rsid w:val="00E5317F"/>
    <w:rsid w:val="00E53AC8"/>
    <w:rsid w:val="00E53F0F"/>
    <w:rsid w:val="00E53F9B"/>
    <w:rsid w:val="00E5412F"/>
    <w:rsid w:val="00E550B4"/>
    <w:rsid w:val="00E55176"/>
    <w:rsid w:val="00E55E7E"/>
    <w:rsid w:val="00E56F95"/>
    <w:rsid w:val="00E573C7"/>
    <w:rsid w:val="00E60923"/>
    <w:rsid w:val="00E61D5C"/>
    <w:rsid w:val="00E62242"/>
    <w:rsid w:val="00E631D9"/>
    <w:rsid w:val="00E63BEB"/>
    <w:rsid w:val="00E63E92"/>
    <w:rsid w:val="00E64AF5"/>
    <w:rsid w:val="00E671D0"/>
    <w:rsid w:val="00E67263"/>
    <w:rsid w:val="00E67ECB"/>
    <w:rsid w:val="00E7046D"/>
    <w:rsid w:val="00E71258"/>
    <w:rsid w:val="00E718E5"/>
    <w:rsid w:val="00E733F3"/>
    <w:rsid w:val="00E73416"/>
    <w:rsid w:val="00E74067"/>
    <w:rsid w:val="00E75422"/>
    <w:rsid w:val="00E75BF2"/>
    <w:rsid w:val="00E75CC9"/>
    <w:rsid w:val="00E75DDA"/>
    <w:rsid w:val="00E765A7"/>
    <w:rsid w:val="00E77BBD"/>
    <w:rsid w:val="00E77C0E"/>
    <w:rsid w:val="00E81B22"/>
    <w:rsid w:val="00E81F2C"/>
    <w:rsid w:val="00E8285E"/>
    <w:rsid w:val="00E82A71"/>
    <w:rsid w:val="00E832D4"/>
    <w:rsid w:val="00E835E3"/>
    <w:rsid w:val="00E83617"/>
    <w:rsid w:val="00E83A6C"/>
    <w:rsid w:val="00E83CCC"/>
    <w:rsid w:val="00E842BC"/>
    <w:rsid w:val="00E84B97"/>
    <w:rsid w:val="00E86224"/>
    <w:rsid w:val="00E8629E"/>
    <w:rsid w:val="00E877A4"/>
    <w:rsid w:val="00E87BC8"/>
    <w:rsid w:val="00E87C38"/>
    <w:rsid w:val="00E87C8E"/>
    <w:rsid w:val="00E904D9"/>
    <w:rsid w:val="00E90700"/>
    <w:rsid w:val="00E90CD2"/>
    <w:rsid w:val="00E9176A"/>
    <w:rsid w:val="00E91B28"/>
    <w:rsid w:val="00E92E41"/>
    <w:rsid w:val="00E92EFB"/>
    <w:rsid w:val="00E93035"/>
    <w:rsid w:val="00E934C0"/>
    <w:rsid w:val="00E9391D"/>
    <w:rsid w:val="00E93A27"/>
    <w:rsid w:val="00E93CC3"/>
    <w:rsid w:val="00E941C4"/>
    <w:rsid w:val="00E95860"/>
    <w:rsid w:val="00E95987"/>
    <w:rsid w:val="00E95B64"/>
    <w:rsid w:val="00E961BC"/>
    <w:rsid w:val="00E961D8"/>
    <w:rsid w:val="00E96738"/>
    <w:rsid w:val="00E96D36"/>
    <w:rsid w:val="00E96D8B"/>
    <w:rsid w:val="00EA0881"/>
    <w:rsid w:val="00EA0B97"/>
    <w:rsid w:val="00EA0EF4"/>
    <w:rsid w:val="00EA27D4"/>
    <w:rsid w:val="00EA2D07"/>
    <w:rsid w:val="00EA3A20"/>
    <w:rsid w:val="00EA41D6"/>
    <w:rsid w:val="00EA684C"/>
    <w:rsid w:val="00EA6D98"/>
    <w:rsid w:val="00EA7141"/>
    <w:rsid w:val="00EA769D"/>
    <w:rsid w:val="00EA76FA"/>
    <w:rsid w:val="00EA7D32"/>
    <w:rsid w:val="00EB04CA"/>
    <w:rsid w:val="00EB1043"/>
    <w:rsid w:val="00EB2683"/>
    <w:rsid w:val="00EB4458"/>
    <w:rsid w:val="00EB4B65"/>
    <w:rsid w:val="00EB58E2"/>
    <w:rsid w:val="00EB5A15"/>
    <w:rsid w:val="00EB5F4D"/>
    <w:rsid w:val="00EB68BF"/>
    <w:rsid w:val="00EB6AE1"/>
    <w:rsid w:val="00EB6F26"/>
    <w:rsid w:val="00EB6FE5"/>
    <w:rsid w:val="00EB72BD"/>
    <w:rsid w:val="00EB7A59"/>
    <w:rsid w:val="00EC1C6C"/>
    <w:rsid w:val="00EC3175"/>
    <w:rsid w:val="00EC3349"/>
    <w:rsid w:val="00EC3857"/>
    <w:rsid w:val="00EC4095"/>
    <w:rsid w:val="00EC4E3B"/>
    <w:rsid w:val="00EC5624"/>
    <w:rsid w:val="00EC570C"/>
    <w:rsid w:val="00EC6722"/>
    <w:rsid w:val="00EC7009"/>
    <w:rsid w:val="00EC723F"/>
    <w:rsid w:val="00EC775D"/>
    <w:rsid w:val="00EC7ADE"/>
    <w:rsid w:val="00EC7BCE"/>
    <w:rsid w:val="00ED01EB"/>
    <w:rsid w:val="00ED05A5"/>
    <w:rsid w:val="00ED0E6B"/>
    <w:rsid w:val="00ED1610"/>
    <w:rsid w:val="00ED1619"/>
    <w:rsid w:val="00ED16E1"/>
    <w:rsid w:val="00ED1C0F"/>
    <w:rsid w:val="00ED23E5"/>
    <w:rsid w:val="00ED2F55"/>
    <w:rsid w:val="00ED388A"/>
    <w:rsid w:val="00ED464E"/>
    <w:rsid w:val="00ED475C"/>
    <w:rsid w:val="00ED4A6B"/>
    <w:rsid w:val="00ED4F21"/>
    <w:rsid w:val="00ED538D"/>
    <w:rsid w:val="00ED6430"/>
    <w:rsid w:val="00ED663C"/>
    <w:rsid w:val="00ED6A68"/>
    <w:rsid w:val="00ED7014"/>
    <w:rsid w:val="00ED7562"/>
    <w:rsid w:val="00ED7DA3"/>
    <w:rsid w:val="00ED7F92"/>
    <w:rsid w:val="00EE0870"/>
    <w:rsid w:val="00EE088E"/>
    <w:rsid w:val="00EE0B87"/>
    <w:rsid w:val="00EE10A3"/>
    <w:rsid w:val="00EE114C"/>
    <w:rsid w:val="00EE1B98"/>
    <w:rsid w:val="00EE2BE3"/>
    <w:rsid w:val="00EE2E1E"/>
    <w:rsid w:val="00EE5DB1"/>
    <w:rsid w:val="00EE636D"/>
    <w:rsid w:val="00EE6DD2"/>
    <w:rsid w:val="00EE6F97"/>
    <w:rsid w:val="00EE7DED"/>
    <w:rsid w:val="00EF0072"/>
    <w:rsid w:val="00EF100A"/>
    <w:rsid w:val="00EF1DA7"/>
    <w:rsid w:val="00EF2EEE"/>
    <w:rsid w:val="00EF38B8"/>
    <w:rsid w:val="00EF3B66"/>
    <w:rsid w:val="00EF5411"/>
    <w:rsid w:val="00EF68E2"/>
    <w:rsid w:val="00EF6C2B"/>
    <w:rsid w:val="00EF7355"/>
    <w:rsid w:val="00EF73A2"/>
    <w:rsid w:val="00F0032A"/>
    <w:rsid w:val="00F00357"/>
    <w:rsid w:val="00F0053D"/>
    <w:rsid w:val="00F01344"/>
    <w:rsid w:val="00F0210B"/>
    <w:rsid w:val="00F02AC8"/>
    <w:rsid w:val="00F03092"/>
    <w:rsid w:val="00F039E9"/>
    <w:rsid w:val="00F03AAE"/>
    <w:rsid w:val="00F03DCC"/>
    <w:rsid w:val="00F052BA"/>
    <w:rsid w:val="00F060D7"/>
    <w:rsid w:val="00F06246"/>
    <w:rsid w:val="00F06729"/>
    <w:rsid w:val="00F06847"/>
    <w:rsid w:val="00F069B7"/>
    <w:rsid w:val="00F06E6A"/>
    <w:rsid w:val="00F07509"/>
    <w:rsid w:val="00F07CBE"/>
    <w:rsid w:val="00F10194"/>
    <w:rsid w:val="00F12676"/>
    <w:rsid w:val="00F12CD8"/>
    <w:rsid w:val="00F12DB9"/>
    <w:rsid w:val="00F12E0D"/>
    <w:rsid w:val="00F130CA"/>
    <w:rsid w:val="00F13FEC"/>
    <w:rsid w:val="00F1436B"/>
    <w:rsid w:val="00F14670"/>
    <w:rsid w:val="00F14A8A"/>
    <w:rsid w:val="00F14E8E"/>
    <w:rsid w:val="00F15149"/>
    <w:rsid w:val="00F15BD5"/>
    <w:rsid w:val="00F16F03"/>
    <w:rsid w:val="00F17138"/>
    <w:rsid w:val="00F17E17"/>
    <w:rsid w:val="00F17FC0"/>
    <w:rsid w:val="00F20A9D"/>
    <w:rsid w:val="00F21050"/>
    <w:rsid w:val="00F2254C"/>
    <w:rsid w:val="00F2293D"/>
    <w:rsid w:val="00F22A3F"/>
    <w:rsid w:val="00F234E3"/>
    <w:rsid w:val="00F2418F"/>
    <w:rsid w:val="00F256E6"/>
    <w:rsid w:val="00F25C87"/>
    <w:rsid w:val="00F263C1"/>
    <w:rsid w:val="00F26796"/>
    <w:rsid w:val="00F274ED"/>
    <w:rsid w:val="00F27D80"/>
    <w:rsid w:val="00F301FE"/>
    <w:rsid w:val="00F302A6"/>
    <w:rsid w:val="00F303E7"/>
    <w:rsid w:val="00F30529"/>
    <w:rsid w:val="00F3090C"/>
    <w:rsid w:val="00F319A4"/>
    <w:rsid w:val="00F31C4B"/>
    <w:rsid w:val="00F324CD"/>
    <w:rsid w:val="00F3278C"/>
    <w:rsid w:val="00F344C3"/>
    <w:rsid w:val="00F344DC"/>
    <w:rsid w:val="00F34C38"/>
    <w:rsid w:val="00F34F3F"/>
    <w:rsid w:val="00F35948"/>
    <w:rsid w:val="00F35991"/>
    <w:rsid w:val="00F36608"/>
    <w:rsid w:val="00F3683B"/>
    <w:rsid w:val="00F37632"/>
    <w:rsid w:val="00F37A4C"/>
    <w:rsid w:val="00F37B96"/>
    <w:rsid w:val="00F37BEF"/>
    <w:rsid w:val="00F37DC7"/>
    <w:rsid w:val="00F37F42"/>
    <w:rsid w:val="00F40A52"/>
    <w:rsid w:val="00F41517"/>
    <w:rsid w:val="00F41BCA"/>
    <w:rsid w:val="00F429A8"/>
    <w:rsid w:val="00F42A8E"/>
    <w:rsid w:val="00F43C17"/>
    <w:rsid w:val="00F443A8"/>
    <w:rsid w:val="00F444C8"/>
    <w:rsid w:val="00F45178"/>
    <w:rsid w:val="00F453E6"/>
    <w:rsid w:val="00F45D19"/>
    <w:rsid w:val="00F46620"/>
    <w:rsid w:val="00F4779C"/>
    <w:rsid w:val="00F47D2D"/>
    <w:rsid w:val="00F501AF"/>
    <w:rsid w:val="00F50442"/>
    <w:rsid w:val="00F506F0"/>
    <w:rsid w:val="00F50C4C"/>
    <w:rsid w:val="00F51A98"/>
    <w:rsid w:val="00F5209C"/>
    <w:rsid w:val="00F52373"/>
    <w:rsid w:val="00F5278C"/>
    <w:rsid w:val="00F529C7"/>
    <w:rsid w:val="00F53018"/>
    <w:rsid w:val="00F53C75"/>
    <w:rsid w:val="00F53FEC"/>
    <w:rsid w:val="00F54244"/>
    <w:rsid w:val="00F5527D"/>
    <w:rsid w:val="00F55C5C"/>
    <w:rsid w:val="00F563F0"/>
    <w:rsid w:val="00F567FA"/>
    <w:rsid w:val="00F56D5C"/>
    <w:rsid w:val="00F577AC"/>
    <w:rsid w:val="00F60CD6"/>
    <w:rsid w:val="00F61A0B"/>
    <w:rsid w:val="00F6211B"/>
    <w:rsid w:val="00F62CC8"/>
    <w:rsid w:val="00F62EC9"/>
    <w:rsid w:val="00F62FB0"/>
    <w:rsid w:val="00F635C8"/>
    <w:rsid w:val="00F63945"/>
    <w:rsid w:val="00F63C38"/>
    <w:rsid w:val="00F662B7"/>
    <w:rsid w:val="00F66599"/>
    <w:rsid w:val="00F6666D"/>
    <w:rsid w:val="00F67340"/>
    <w:rsid w:val="00F6749E"/>
    <w:rsid w:val="00F70584"/>
    <w:rsid w:val="00F7151A"/>
    <w:rsid w:val="00F71C9F"/>
    <w:rsid w:val="00F72639"/>
    <w:rsid w:val="00F729F6"/>
    <w:rsid w:val="00F737DE"/>
    <w:rsid w:val="00F73F0D"/>
    <w:rsid w:val="00F73F47"/>
    <w:rsid w:val="00F74142"/>
    <w:rsid w:val="00F74449"/>
    <w:rsid w:val="00F74C14"/>
    <w:rsid w:val="00F75870"/>
    <w:rsid w:val="00F76130"/>
    <w:rsid w:val="00F76292"/>
    <w:rsid w:val="00F766B4"/>
    <w:rsid w:val="00F76C2F"/>
    <w:rsid w:val="00F77340"/>
    <w:rsid w:val="00F77BC9"/>
    <w:rsid w:val="00F81144"/>
    <w:rsid w:val="00F81821"/>
    <w:rsid w:val="00F81987"/>
    <w:rsid w:val="00F82032"/>
    <w:rsid w:val="00F8212F"/>
    <w:rsid w:val="00F8251B"/>
    <w:rsid w:val="00F8277B"/>
    <w:rsid w:val="00F8537E"/>
    <w:rsid w:val="00F85668"/>
    <w:rsid w:val="00F85907"/>
    <w:rsid w:val="00F86C9D"/>
    <w:rsid w:val="00F87284"/>
    <w:rsid w:val="00F877EB"/>
    <w:rsid w:val="00F879EA"/>
    <w:rsid w:val="00F900AB"/>
    <w:rsid w:val="00F902C2"/>
    <w:rsid w:val="00F9034B"/>
    <w:rsid w:val="00F903C6"/>
    <w:rsid w:val="00F9181F"/>
    <w:rsid w:val="00F92AAA"/>
    <w:rsid w:val="00F92D26"/>
    <w:rsid w:val="00F939CF"/>
    <w:rsid w:val="00F93D42"/>
    <w:rsid w:val="00F93F3F"/>
    <w:rsid w:val="00F947F8"/>
    <w:rsid w:val="00F94E61"/>
    <w:rsid w:val="00F957BE"/>
    <w:rsid w:val="00F95A1F"/>
    <w:rsid w:val="00F95F34"/>
    <w:rsid w:val="00F9638C"/>
    <w:rsid w:val="00F96704"/>
    <w:rsid w:val="00F969E5"/>
    <w:rsid w:val="00F96A93"/>
    <w:rsid w:val="00F96BCA"/>
    <w:rsid w:val="00F97294"/>
    <w:rsid w:val="00F97795"/>
    <w:rsid w:val="00F97E69"/>
    <w:rsid w:val="00FA0DB5"/>
    <w:rsid w:val="00FA115A"/>
    <w:rsid w:val="00FA197A"/>
    <w:rsid w:val="00FA2869"/>
    <w:rsid w:val="00FA3260"/>
    <w:rsid w:val="00FA352D"/>
    <w:rsid w:val="00FA3CC6"/>
    <w:rsid w:val="00FA3E09"/>
    <w:rsid w:val="00FA5B7D"/>
    <w:rsid w:val="00FA6053"/>
    <w:rsid w:val="00FA632B"/>
    <w:rsid w:val="00FA76CB"/>
    <w:rsid w:val="00FA799A"/>
    <w:rsid w:val="00FB0120"/>
    <w:rsid w:val="00FB0D12"/>
    <w:rsid w:val="00FB113E"/>
    <w:rsid w:val="00FB2B6C"/>
    <w:rsid w:val="00FB3A78"/>
    <w:rsid w:val="00FB40F5"/>
    <w:rsid w:val="00FB4BD2"/>
    <w:rsid w:val="00FB4DEF"/>
    <w:rsid w:val="00FB546A"/>
    <w:rsid w:val="00FB551B"/>
    <w:rsid w:val="00FB59D7"/>
    <w:rsid w:val="00FB6446"/>
    <w:rsid w:val="00FB6ABF"/>
    <w:rsid w:val="00FB6CF2"/>
    <w:rsid w:val="00FB6F58"/>
    <w:rsid w:val="00FB713C"/>
    <w:rsid w:val="00FB7AF7"/>
    <w:rsid w:val="00FB7DDA"/>
    <w:rsid w:val="00FC00D3"/>
    <w:rsid w:val="00FC0541"/>
    <w:rsid w:val="00FC0BA7"/>
    <w:rsid w:val="00FC130E"/>
    <w:rsid w:val="00FC18C5"/>
    <w:rsid w:val="00FC20B7"/>
    <w:rsid w:val="00FC2A5F"/>
    <w:rsid w:val="00FC2CCA"/>
    <w:rsid w:val="00FC30B0"/>
    <w:rsid w:val="00FC3E78"/>
    <w:rsid w:val="00FC3FAC"/>
    <w:rsid w:val="00FC4243"/>
    <w:rsid w:val="00FC4648"/>
    <w:rsid w:val="00FC4810"/>
    <w:rsid w:val="00FC48B4"/>
    <w:rsid w:val="00FC4EA6"/>
    <w:rsid w:val="00FC54D0"/>
    <w:rsid w:val="00FC5C1B"/>
    <w:rsid w:val="00FC608E"/>
    <w:rsid w:val="00FC6402"/>
    <w:rsid w:val="00FC645A"/>
    <w:rsid w:val="00FC70EB"/>
    <w:rsid w:val="00FC7319"/>
    <w:rsid w:val="00FC737C"/>
    <w:rsid w:val="00FC77FE"/>
    <w:rsid w:val="00FD0C36"/>
    <w:rsid w:val="00FD0F56"/>
    <w:rsid w:val="00FD1188"/>
    <w:rsid w:val="00FD1B26"/>
    <w:rsid w:val="00FD2D04"/>
    <w:rsid w:val="00FD30E4"/>
    <w:rsid w:val="00FD4735"/>
    <w:rsid w:val="00FD4FB6"/>
    <w:rsid w:val="00FD6E76"/>
    <w:rsid w:val="00FD7A51"/>
    <w:rsid w:val="00FE04F3"/>
    <w:rsid w:val="00FE0A40"/>
    <w:rsid w:val="00FE11B1"/>
    <w:rsid w:val="00FE199C"/>
    <w:rsid w:val="00FE1A4B"/>
    <w:rsid w:val="00FE21BC"/>
    <w:rsid w:val="00FE24B2"/>
    <w:rsid w:val="00FE250C"/>
    <w:rsid w:val="00FE371A"/>
    <w:rsid w:val="00FE3B1D"/>
    <w:rsid w:val="00FE3ED3"/>
    <w:rsid w:val="00FE42CB"/>
    <w:rsid w:val="00FE4F8E"/>
    <w:rsid w:val="00FE50FF"/>
    <w:rsid w:val="00FE5AF3"/>
    <w:rsid w:val="00FE64FB"/>
    <w:rsid w:val="00FE6CE7"/>
    <w:rsid w:val="00FE7601"/>
    <w:rsid w:val="00FE7FCE"/>
    <w:rsid w:val="00FF0054"/>
    <w:rsid w:val="00FF13F2"/>
    <w:rsid w:val="00FF16F4"/>
    <w:rsid w:val="00FF32B0"/>
    <w:rsid w:val="00FF4485"/>
    <w:rsid w:val="00FF4FA2"/>
    <w:rsid w:val="00FF510F"/>
    <w:rsid w:val="00FF5F29"/>
    <w:rsid w:val="00FF6B36"/>
    <w:rsid w:val="00FF71EE"/>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45"/>
    <w:pPr>
      <w:tabs>
        <w:tab w:val="left" w:pos="720"/>
      </w:tabs>
      <w:spacing w:line="480" w:lineRule="atLeast"/>
    </w:pPr>
  </w:style>
  <w:style w:type="paragraph" w:styleId="Heading1">
    <w:name w:val="heading 1"/>
    <w:basedOn w:val="Normal"/>
    <w:next w:val="Normal"/>
    <w:link w:val="Heading1Char"/>
    <w:uiPriority w:val="9"/>
    <w:qFormat/>
    <w:rsid w:val="006D3D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D3D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D3D45"/>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6D3D4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6D3D45"/>
    <w:pPr>
      <w:spacing w:before="240" w:after="60"/>
      <w:outlineLvl w:val="6"/>
    </w:pPr>
    <w:rPr>
      <w:sz w:val="24"/>
    </w:rPr>
  </w:style>
  <w:style w:type="paragraph" w:styleId="Heading8">
    <w:name w:val="heading 8"/>
    <w:basedOn w:val="Normal"/>
    <w:next w:val="Normal"/>
    <w:link w:val="Heading8Char"/>
    <w:uiPriority w:val="9"/>
    <w:semiHidden/>
    <w:unhideWhenUsed/>
    <w:qFormat/>
    <w:rsid w:val="006D3D4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6D3D4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3D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D3D4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D3D45"/>
    <w:rPr>
      <w:b/>
      <w:bCs/>
    </w:rPr>
  </w:style>
  <w:style w:type="character" w:customStyle="1" w:styleId="Heading7Char">
    <w:name w:val="Heading 7 Char"/>
    <w:basedOn w:val="DefaultParagraphFont"/>
    <w:link w:val="Heading7"/>
    <w:uiPriority w:val="9"/>
    <w:semiHidden/>
    <w:rsid w:val="006D3D45"/>
    <w:rPr>
      <w:sz w:val="24"/>
      <w:szCs w:val="24"/>
    </w:rPr>
  </w:style>
  <w:style w:type="character" w:customStyle="1" w:styleId="Heading8Char">
    <w:name w:val="Heading 8 Char"/>
    <w:basedOn w:val="DefaultParagraphFont"/>
    <w:link w:val="Heading8"/>
    <w:uiPriority w:val="9"/>
    <w:semiHidden/>
    <w:rsid w:val="006D3D45"/>
    <w:rPr>
      <w:i/>
      <w:iCs/>
      <w:sz w:val="24"/>
      <w:szCs w:val="24"/>
    </w:rPr>
  </w:style>
  <w:style w:type="character" w:customStyle="1" w:styleId="Heading9Char">
    <w:name w:val="Heading 9 Char"/>
    <w:basedOn w:val="DefaultParagraphFont"/>
    <w:link w:val="Heading9"/>
    <w:uiPriority w:val="9"/>
    <w:semiHidden/>
    <w:rsid w:val="006D3D45"/>
    <w:rPr>
      <w:rFonts w:asciiTheme="majorHAnsi" w:eastAsiaTheme="majorEastAsia" w:hAnsiTheme="majorHAnsi"/>
    </w:rPr>
  </w:style>
  <w:style w:type="paragraph" w:styleId="Title">
    <w:name w:val="Title"/>
    <w:basedOn w:val="Normal"/>
    <w:next w:val="Normal"/>
    <w:link w:val="TitleChar"/>
    <w:uiPriority w:val="10"/>
    <w:qFormat/>
    <w:rsid w:val="006D3D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3D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3D4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6D3D4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D3D45"/>
    <w:pPr>
      <w:outlineLvl w:val="9"/>
    </w:pPr>
  </w:style>
  <w:style w:type="paragraph" w:styleId="FootnoteText">
    <w:name w:val="footnote text"/>
    <w:basedOn w:val="Normal"/>
    <w:link w:val="FootnoteTextChar"/>
    <w:uiPriority w:val="99"/>
    <w:unhideWhenUsed/>
    <w:rsid w:val="00911B5A"/>
    <w:rPr>
      <w:szCs w:val="20"/>
    </w:rPr>
  </w:style>
  <w:style w:type="character" w:customStyle="1" w:styleId="FootnoteTextChar">
    <w:name w:val="Footnote Text Char"/>
    <w:basedOn w:val="DefaultParagraphFont"/>
    <w:link w:val="FootnoteText"/>
    <w:uiPriority w:val="99"/>
    <w:rsid w:val="00911B5A"/>
    <w:rPr>
      <w:szCs w:val="20"/>
    </w:rPr>
  </w:style>
  <w:style w:type="character" w:styleId="FootnoteReference">
    <w:name w:val="footnote reference"/>
    <w:basedOn w:val="DefaultParagraphFont"/>
    <w:uiPriority w:val="99"/>
    <w:semiHidden/>
    <w:unhideWhenUsed/>
    <w:rsid w:val="00C02F0C"/>
    <w:rPr>
      <w:vertAlign w:val="superscript"/>
    </w:rPr>
  </w:style>
  <w:style w:type="paragraph" w:styleId="Header">
    <w:name w:val="header"/>
    <w:basedOn w:val="Normal"/>
    <w:link w:val="HeaderChar"/>
    <w:uiPriority w:val="99"/>
    <w:unhideWhenUsed/>
    <w:rsid w:val="0061370F"/>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1370F"/>
  </w:style>
  <w:style w:type="paragraph" w:styleId="Footer">
    <w:name w:val="footer"/>
    <w:basedOn w:val="Normal"/>
    <w:link w:val="FooterChar"/>
    <w:uiPriority w:val="99"/>
    <w:unhideWhenUsed/>
    <w:rsid w:val="0061370F"/>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1370F"/>
  </w:style>
  <w:style w:type="character" w:styleId="Emphasis">
    <w:name w:val="Emphasis"/>
    <w:basedOn w:val="DefaultParagraphFont"/>
    <w:uiPriority w:val="20"/>
    <w:qFormat/>
    <w:rsid w:val="008A34F3"/>
    <w:rPr>
      <w:i/>
      <w:iCs/>
    </w:rPr>
  </w:style>
  <w:style w:type="character" w:styleId="Hyperlink">
    <w:name w:val="Hyperlink"/>
    <w:basedOn w:val="DefaultParagraphFont"/>
    <w:uiPriority w:val="99"/>
    <w:semiHidden/>
    <w:unhideWhenUsed/>
    <w:rsid w:val="00435A76"/>
    <w:rPr>
      <w:strike w:val="0"/>
      <w:dstrike w:val="0"/>
      <w:color w:val="145DA4"/>
      <w:u w:val="none"/>
      <w:effect w:val="none"/>
    </w:rPr>
  </w:style>
  <w:style w:type="character" w:customStyle="1" w:styleId="costarpage2">
    <w:name w:val="co_starpage2"/>
    <w:basedOn w:val="DefaultParagraphFont"/>
    <w:rsid w:val="00435A76"/>
  </w:style>
  <w:style w:type="character" w:customStyle="1" w:styleId="costarpage">
    <w:name w:val="co_starpage"/>
    <w:basedOn w:val="DefaultParagraphFont"/>
    <w:rsid w:val="003440B7"/>
  </w:style>
  <w:style w:type="paragraph" w:styleId="ListParagraph">
    <w:name w:val="List Paragraph"/>
    <w:basedOn w:val="Normal"/>
    <w:uiPriority w:val="34"/>
    <w:rsid w:val="00161EF9"/>
    <w:pPr>
      <w:ind w:left="720"/>
      <w:contextualSpacing/>
    </w:pPr>
  </w:style>
  <w:style w:type="paragraph" w:styleId="BodyTextIndent2">
    <w:name w:val="Body Text Indent 2"/>
    <w:basedOn w:val="Normal"/>
    <w:link w:val="BodyTextIndent2Char"/>
    <w:rsid w:val="00810BD9"/>
    <w:pPr>
      <w:ind w:firstLine="720"/>
    </w:pPr>
    <w:rPr>
      <w:rFonts w:eastAsia="Times New Roman"/>
      <w:szCs w:val="20"/>
      <w:lang w:bidi="ar-SA"/>
    </w:rPr>
  </w:style>
  <w:style w:type="character" w:customStyle="1" w:styleId="BodyTextIndent2Char">
    <w:name w:val="Body Text Indent 2 Char"/>
    <w:basedOn w:val="DefaultParagraphFont"/>
    <w:link w:val="BodyTextIndent2"/>
    <w:rsid w:val="00810BD9"/>
    <w:rPr>
      <w:rFonts w:eastAsia="Times New Roman"/>
      <w:szCs w:val="20"/>
      <w:lang w:bidi="ar-SA"/>
    </w:rPr>
  </w:style>
  <w:style w:type="paragraph" w:styleId="BalloonText">
    <w:name w:val="Balloon Text"/>
    <w:basedOn w:val="Normal"/>
    <w:link w:val="BalloonTextChar"/>
    <w:uiPriority w:val="99"/>
    <w:semiHidden/>
    <w:unhideWhenUsed/>
    <w:rsid w:val="00832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9A"/>
    <w:rPr>
      <w:rFonts w:ascii="Tahoma" w:hAnsi="Tahoma" w:cs="Tahoma"/>
      <w:sz w:val="16"/>
      <w:szCs w:val="16"/>
    </w:rPr>
  </w:style>
  <w:style w:type="character" w:styleId="CommentReference">
    <w:name w:val="annotation reference"/>
    <w:basedOn w:val="DefaultParagraphFont"/>
    <w:uiPriority w:val="99"/>
    <w:semiHidden/>
    <w:unhideWhenUsed/>
    <w:rsid w:val="008E702B"/>
    <w:rPr>
      <w:sz w:val="16"/>
      <w:szCs w:val="16"/>
    </w:rPr>
  </w:style>
  <w:style w:type="paragraph" w:styleId="CommentText">
    <w:name w:val="annotation text"/>
    <w:basedOn w:val="Normal"/>
    <w:link w:val="CommentTextChar"/>
    <w:uiPriority w:val="99"/>
    <w:semiHidden/>
    <w:unhideWhenUsed/>
    <w:rsid w:val="008E702B"/>
    <w:pPr>
      <w:spacing w:line="240" w:lineRule="auto"/>
    </w:pPr>
    <w:rPr>
      <w:sz w:val="20"/>
      <w:szCs w:val="20"/>
    </w:rPr>
  </w:style>
  <w:style w:type="character" w:customStyle="1" w:styleId="CommentTextChar">
    <w:name w:val="Comment Text Char"/>
    <w:basedOn w:val="DefaultParagraphFont"/>
    <w:link w:val="CommentText"/>
    <w:uiPriority w:val="99"/>
    <w:semiHidden/>
    <w:rsid w:val="008E702B"/>
    <w:rPr>
      <w:sz w:val="20"/>
      <w:szCs w:val="20"/>
    </w:rPr>
  </w:style>
  <w:style w:type="paragraph" w:styleId="CommentSubject">
    <w:name w:val="annotation subject"/>
    <w:basedOn w:val="CommentText"/>
    <w:next w:val="CommentText"/>
    <w:link w:val="CommentSubjectChar"/>
    <w:uiPriority w:val="99"/>
    <w:semiHidden/>
    <w:unhideWhenUsed/>
    <w:rsid w:val="008E702B"/>
    <w:rPr>
      <w:b/>
      <w:bCs/>
    </w:rPr>
  </w:style>
  <w:style w:type="character" w:customStyle="1" w:styleId="CommentSubjectChar">
    <w:name w:val="Comment Subject Char"/>
    <w:basedOn w:val="CommentTextChar"/>
    <w:link w:val="CommentSubject"/>
    <w:uiPriority w:val="99"/>
    <w:semiHidden/>
    <w:rsid w:val="008E702B"/>
    <w:rPr>
      <w:b/>
      <w:bCs/>
      <w:sz w:val="20"/>
      <w:szCs w:val="20"/>
    </w:rPr>
  </w:style>
  <w:style w:type="paragraph" w:styleId="Revision">
    <w:name w:val="Revision"/>
    <w:hidden/>
    <w:uiPriority w:val="99"/>
    <w:semiHidden/>
    <w:rsid w:val="002D5BA6"/>
  </w:style>
  <w:style w:type="character" w:styleId="PageNumber">
    <w:name w:val="page number"/>
    <w:basedOn w:val="DefaultParagraphFont"/>
    <w:rsid w:val="0018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945">
      <w:bodyDiv w:val="1"/>
      <w:marLeft w:val="0"/>
      <w:marRight w:val="0"/>
      <w:marTop w:val="0"/>
      <w:marBottom w:val="0"/>
      <w:divBdr>
        <w:top w:val="none" w:sz="0" w:space="0" w:color="auto"/>
        <w:left w:val="none" w:sz="0" w:space="0" w:color="auto"/>
        <w:bottom w:val="none" w:sz="0" w:space="0" w:color="auto"/>
        <w:right w:val="none" w:sz="0" w:space="0" w:color="auto"/>
      </w:divBdr>
      <w:divsChild>
        <w:div w:id="936212502">
          <w:marLeft w:val="0"/>
          <w:marRight w:val="0"/>
          <w:marTop w:val="0"/>
          <w:marBottom w:val="0"/>
          <w:divBdr>
            <w:top w:val="none" w:sz="0" w:space="0" w:color="auto"/>
            <w:left w:val="none" w:sz="0" w:space="0" w:color="auto"/>
            <w:bottom w:val="none" w:sz="0" w:space="0" w:color="auto"/>
            <w:right w:val="none" w:sz="0" w:space="0" w:color="auto"/>
          </w:divBdr>
        </w:div>
      </w:divsChild>
    </w:div>
    <w:div w:id="25952735">
      <w:bodyDiv w:val="1"/>
      <w:marLeft w:val="0"/>
      <w:marRight w:val="0"/>
      <w:marTop w:val="0"/>
      <w:marBottom w:val="0"/>
      <w:divBdr>
        <w:top w:val="none" w:sz="0" w:space="0" w:color="auto"/>
        <w:left w:val="none" w:sz="0" w:space="0" w:color="auto"/>
        <w:bottom w:val="none" w:sz="0" w:space="0" w:color="auto"/>
        <w:right w:val="none" w:sz="0" w:space="0" w:color="auto"/>
      </w:divBdr>
      <w:divsChild>
        <w:div w:id="1282690844">
          <w:marLeft w:val="0"/>
          <w:marRight w:val="0"/>
          <w:marTop w:val="0"/>
          <w:marBottom w:val="0"/>
          <w:divBdr>
            <w:top w:val="none" w:sz="0" w:space="0" w:color="auto"/>
            <w:left w:val="none" w:sz="0" w:space="0" w:color="auto"/>
            <w:bottom w:val="none" w:sz="0" w:space="0" w:color="auto"/>
            <w:right w:val="none" w:sz="0" w:space="0" w:color="auto"/>
          </w:divBdr>
        </w:div>
      </w:divsChild>
    </w:div>
    <w:div w:id="67312075">
      <w:bodyDiv w:val="1"/>
      <w:marLeft w:val="0"/>
      <w:marRight w:val="0"/>
      <w:marTop w:val="0"/>
      <w:marBottom w:val="0"/>
      <w:divBdr>
        <w:top w:val="none" w:sz="0" w:space="0" w:color="auto"/>
        <w:left w:val="none" w:sz="0" w:space="0" w:color="auto"/>
        <w:bottom w:val="none" w:sz="0" w:space="0" w:color="auto"/>
        <w:right w:val="none" w:sz="0" w:space="0" w:color="auto"/>
      </w:divBdr>
      <w:divsChild>
        <w:div w:id="1818297134">
          <w:marLeft w:val="0"/>
          <w:marRight w:val="0"/>
          <w:marTop w:val="0"/>
          <w:marBottom w:val="0"/>
          <w:divBdr>
            <w:top w:val="none" w:sz="0" w:space="0" w:color="auto"/>
            <w:left w:val="none" w:sz="0" w:space="0" w:color="auto"/>
            <w:bottom w:val="none" w:sz="0" w:space="0" w:color="auto"/>
            <w:right w:val="none" w:sz="0" w:space="0" w:color="auto"/>
          </w:divBdr>
        </w:div>
      </w:divsChild>
    </w:div>
    <w:div w:id="73750272">
      <w:bodyDiv w:val="1"/>
      <w:marLeft w:val="0"/>
      <w:marRight w:val="0"/>
      <w:marTop w:val="0"/>
      <w:marBottom w:val="0"/>
      <w:divBdr>
        <w:top w:val="none" w:sz="0" w:space="0" w:color="auto"/>
        <w:left w:val="none" w:sz="0" w:space="0" w:color="auto"/>
        <w:bottom w:val="none" w:sz="0" w:space="0" w:color="auto"/>
        <w:right w:val="none" w:sz="0" w:space="0" w:color="auto"/>
      </w:divBdr>
      <w:divsChild>
        <w:div w:id="1290478708">
          <w:marLeft w:val="0"/>
          <w:marRight w:val="0"/>
          <w:marTop w:val="0"/>
          <w:marBottom w:val="0"/>
          <w:divBdr>
            <w:top w:val="none" w:sz="0" w:space="0" w:color="auto"/>
            <w:left w:val="none" w:sz="0" w:space="0" w:color="auto"/>
            <w:bottom w:val="none" w:sz="0" w:space="0" w:color="auto"/>
            <w:right w:val="none" w:sz="0" w:space="0" w:color="auto"/>
          </w:divBdr>
        </w:div>
      </w:divsChild>
    </w:div>
    <w:div w:id="81875698">
      <w:bodyDiv w:val="1"/>
      <w:marLeft w:val="0"/>
      <w:marRight w:val="0"/>
      <w:marTop w:val="0"/>
      <w:marBottom w:val="0"/>
      <w:divBdr>
        <w:top w:val="none" w:sz="0" w:space="0" w:color="auto"/>
        <w:left w:val="none" w:sz="0" w:space="0" w:color="auto"/>
        <w:bottom w:val="none" w:sz="0" w:space="0" w:color="auto"/>
        <w:right w:val="none" w:sz="0" w:space="0" w:color="auto"/>
      </w:divBdr>
      <w:divsChild>
        <w:div w:id="1115908700">
          <w:marLeft w:val="0"/>
          <w:marRight w:val="0"/>
          <w:marTop w:val="0"/>
          <w:marBottom w:val="0"/>
          <w:divBdr>
            <w:top w:val="none" w:sz="0" w:space="0" w:color="auto"/>
            <w:left w:val="none" w:sz="0" w:space="0" w:color="auto"/>
            <w:bottom w:val="none" w:sz="0" w:space="0" w:color="auto"/>
            <w:right w:val="none" w:sz="0" w:space="0" w:color="auto"/>
          </w:divBdr>
        </w:div>
      </w:divsChild>
    </w:div>
    <w:div w:id="131563130">
      <w:bodyDiv w:val="1"/>
      <w:marLeft w:val="0"/>
      <w:marRight w:val="0"/>
      <w:marTop w:val="0"/>
      <w:marBottom w:val="0"/>
      <w:divBdr>
        <w:top w:val="none" w:sz="0" w:space="0" w:color="auto"/>
        <w:left w:val="none" w:sz="0" w:space="0" w:color="auto"/>
        <w:bottom w:val="none" w:sz="0" w:space="0" w:color="auto"/>
        <w:right w:val="none" w:sz="0" w:space="0" w:color="auto"/>
      </w:divBdr>
      <w:divsChild>
        <w:div w:id="1033191599">
          <w:marLeft w:val="0"/>
          <w:marRight w:val="0"/>
          <w:marTop w:val="0"/>
          <w:marBottom w:val="0"/>
          <w:divBdr>
            <w:top w:val="none" w:sz="0" w:space="0" w:color="auto"/>
            <w:left w:val="none" w:sz="0" w:space="0" w:color="auto"/>
            <w:bottom w:val="none" w:sz="0" w:space="0" w:color="auto"/>
            <w:right w:val="none" w:sz="0" w:space="0" w:color="auto"/>
          </w:divBdr>
          <w:divsChild>
            <w:div w:id="1061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150">
      <w:bodyDiv w:val="1"/>
      <w:marLeft w:val="0"/>
      <w:marRight w:val="0"/>
      <w:marTop w:val="0"/>
      <w:marBottom w:val="0"/>
      <w:divBdr>
        <w:top w:val="none" w:sz="0" w:space="0" w:color="auto"/>
        <w:left w:val="none" w:sz="0" w:space="0" w:color="auto"/>
        <w:bottom w:val="none" w:sz="0" w:space="0" w:color="auto"/>
        <w:right w:val="none" w:sz="0" w:space="0" w:color="auto"/>
      </w:divBdr>
      <w:divsChild>
        <w:div w:id="515047678">
          <w:marLeft w:val="0"/>
          <w:marRight w:val="0"/>
          <w:marTop w:val="0"/>
          <w:marBottom w:val="0"/>
          <w:divBdr>
            <w:top w:val="none" w:sz="0" w:space="0" w:color="auto"/>
            <w:left w:val="none" w:sz="0" w:space="0" w:color="auto"/>
            <w:bottom w:val="none" w:sz="0" w:space="0" w:color="auto"/>
            <w:right w:val="none" w:sz="0" w:space="0" w:color="auto"/>
          </w:divBdr>
          <w:divsChild>
            <w:div w:id="18313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3655">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0">
          <w:marLeft w:val="0"/>
          <w:marRight w:val="0"/>
          <w:marTop w:val="0"/>
          <w:marBottom w:val="0"/>
          <w:divBdr>
            <w:top w:val="none" w:sz="0" w:space="0" w:color="auto"/>
            <w:left w:val="none" w:sz="0" w:space="0" w:color="auto"/>
            <w:bottom w:val="none" w:sz="0" w:space="0" w:color="auto"/>
            <w:right w:val="none" w:sz="0" w:space="0" w:color="auto"/>
          </w:divBdr>
          <w:divsChild>
            <w:div w:id="8543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102">
      <w:bodyDiv w:val="1"/>
      <w:marLeft w:val="0"/>
      <w:marRight w:val="0"/>
      <w:marTop w:val="0"/>
      <w:marBottom w:val="0"/>
      <w:divBdr>
        <w:top w:val="none" w:sz="0" w:space="0" w:color="auto"/>
        <w:left w:val="none" w:sz="0" w:space="0" w:color="auto"/>
        <w:bottom w:val="none" w:sz="0" w:space="0" w:color="auto"/>
        <w:right w:val="none" w:sz="0" w:space="0" w:color="auto"/>
      </w:divBdr>
      <w:divsChild>
        <w:div w:id="2058583593">
          <w:marLeft w:val="0"/>
          <w:marRight w:val="0"/>
          <w:marTop w:val="0"/>
          <w:marBottom w:val="0"/>
          <w:divBdr>
            <w:top w:val="none" w:sz="0" w:space="0" w:color="auto"/>
            <w:left w:val="single" w:sz="6" w:space="0" w:color="BBBBBB"/>
            <w:bottom w:val="single" w:sz="6" w:space="0" w:color="BBBBBB"/>
            <w:right w:val="single" w:sz="6" w:space="0" w:color="BBBBBB"/>
          </w:divBdr>
          <w:divsChild>
            <w:div w:id="1121416340">
              <w:marLeft w:val="0"/>
              <w:marRight w:val="0"/>
              <w:marTop w:val="0"/>
              <w:marBottom w:val="0"/>
              <w:divBdr>
                <w:top w:val="none" w:sz="0" w:space="0" w:color="auto"/>
                <w:left w:val="none" w:sz="0" w:space="0" w:color="auto"/>
                <w:bottom w:val="none" w:sz="0" w:space="0" w:color="auto"/>
                <w:right w:val="none" w:sz="0" w:space="0" w:color="auto"/>
              </w:divBdr>
              <w:divsChild>
                <w:div w:id="1717200064">
                  <w:marLeft w:val="0"/>
                  <w:marRight w:val="0"/>
                  <w:marTop w:val="0"/>
                  <w:marBottom w:val="0"/>
                  <w:divBdr>
                    <w:top w:val="none" w:sz="0" w:space="0" w:color="auto"/>
                    <w:left w:val="none" w:sz="0" w:space="0" w:color="auto"/>
                    <w:bottom w:val="none" w:sz="0" w:space="0" w:color="auto"/>
                    <w:right w:val="none" w:sz="0" w:space="0" w:color="auto"/>
                  </w:divBdr>
                  <w:divsChild>
                    <w:div w:id="2139492946">
                      <w:marLeft w:val="0"/>
                      <w:marRight w:val="0"/>
                      <w:marTop w:val="0"/>
                      <w:marBottom w:val="0"/>
                      <w:divBdr>
                        <w:top w:val="none" w:sz="0" w:space="0" w:color="auto"/>
                        <w:left w:val="none" w:sz="0" w:space="0" w:color="auto"/>
                        <w:bottom w:val="none" w:sz="0" w:space="0" w:color="auto"/>
                        <w:right w:val="none" w:sz="0" w:space="0" w:color="auto"/>
                      </w:divBdr>
                      <w:divsChild>
                        <w:div w:id="256447322">
                          <w:marLeft w:val="0"/>
                          <w:marRight w:val="0"/>
                          <w:marTop w:val="0"/>
                          <w:marBottom w:val="0"/>
                          <w:divBdr>
                            <w:top w:val="none" w:sz="0" w:space="0" w:color="auto"/>
                            <w:left w:val="none" w:sz="0" w:space="0" w:color="auto"/>
                            <w:bottom w:val="none" w:sz="0" w:space="0" w:color="auto"/>
                            <w:right w:val="none" w:sz="0" w:space="0" w:color="auto"/>
                          </w:divBdr>
                          <w:divsChild>
                            <w:div w:id="881213211">
                              <w:marLeft w:val="0"/>
                              <w:marRight w:val="0"/>
                              <w:marTop w:val="0"/>
                              <w:marBottom w:val="0"/>
                              <w:divBdr>
                                <w:top w:val="none" w:sz="0" w:space="0" w:color="auto"/>
                                <w:left w:val="none" w:sz="0" w:space="0" w:color="auto"/>
                                <w:bottom w:val="none" w:sz="0" w:space="0" w:color="auto"/>
                                <w:right w:val="none" w:sz="0" w:space="0" w:color="auto"/>
                              </w:divBdr>
                              <w:divsChild>
                                <w:div w:id="1895577168">
                                  <w:marLeft w:val="0"/>
                                  <w:marRight w:val="0"/>
                                  <w:marTop w:val="0"/>
                                  <w:marBottom w:val="0"/>
                                  <w:divBdr>
                                    <w:top w:val="none" w:sz="0" w:space="0" w:color="auto"/>
                                    <w:left w:val="none" w:sz="0" w:space="0" w:color="auto"/>
                                    <w:bottom w:val="none" w:sz="0" w:space="0" w:color="auto"/>
                                    <w:right w:val="none" w:sz="0" w:space="0" w:color="auto"/>
                                  </w:divBdr>
                                  <w:divsChild>
                                    <w:div w:id="41027684">
                                      <w:marLeft w:val="0"/>
                                      <w:marRight w:val="0"/>
                                      <w:marTop w:val="0"/>
                                      <w:marBottom w:val="0"/>
                                      <w:divBdr>
                                        <w:top w:val="none" w:sz="0" w:space="0" w:color="auto"/>
                                        <w:left w:val="none" w:sz="0" w:space="0" w:color="auto"/>
                                        <w:bottom w:val="none" w:sz="0" w:space="0" w:color="auto"/>
                                        <w:right w:val="none" w:sz="0" w:space="0" w:color="auto"/>
                                      </w:divBdr>
                                      <w:divsChild>
                                        <w:div w:id="2005937902">
                                          <w:marLeft w:val="1266"/>
                                          <w:marRight w:val="1266"/>
                                          <w:marTop w:val="0"/>
                                          <w:marBottom w:val="0"/>
                                          <w:divBdr>
                                            <w:top w:val="none" w:sz="0" w:space="0" w:color="auto"/>
                                            <w:left w:val="none" w:sz="0" w:space="0" w:color="auto"/>
                                            <w:bottom w:val="none" w:sz="0" w:space="0" w:color="auto"/>
                                            <w:right w:val="none" w:sz="0" w:space="0" w:color="auto"/>
                                          </w:divBdr>
                                          <w:divsChild>
                                            <w:div w:id="388577297">
                                              <w:marLeft w:val="0"/>
                                              <w:marRight w:val="0"/>
                                              <w:marTop w:val="0"/>
                                              <w:marBottom w:val="0"/>
                                              <w:divBdr>
                                                <w:top w:val="none" w:sz="0" w:space="0" w:color="auto"/>
                                                <w:left w:val="none" w:sz="0" w:space="0" w:color="auto"/>
                                                <w:bottom w:val="none" w:sz="0" w:space="0" w:color="auto"/>
                                                <w:right w:val="none" w:sz="0" w:space="0" w:color="auto"/>
                                              </w:divBdr>
                                              <w:divsChild>
                                                <w:div w:id="1539708596">
                                                  <w:marLeft w:val="0"/>
                                                  <w:marRight w:val="0"/>
                                                  <w:marTop w:val="0"/>
                                                  <w:marBottom w:val="0"/>
                                                  <w:divBdr>
                                                    <w:top w:val="none" w:sz="0" w:space="0" w:color="auto"/>
                                                    <w:left w:val="none" w:sz="0" w:space="0" w:color="auto"/>
                                                    <w:bottom w:val="none" w:sz="0" w:space="0" w:color="auto"/>
                                                    <w:right w:val="none" w:sz="0" w:space="0" w:color="auto"/>
                                                  </w:divBdr>
                                                  <w:divsChild>
                                                    <w:div w:id="2025789160">
                                                      <w:marLeft w:val="0"/>
                                                      <w:marRight w:val="0"/>
                                                      <w:marTop w:val="0"/>
                                                      <w:marBottom w:val="0"/>
                                                      <w:divBdr>
                                                        <w:top w:val="none" w:sz="0" w:space="0" w:color="auto"/>
                                                        <w:left w:val="none" w:sz="0" w:space="0" w:color="auto"/>
                                                        <w:bottom w:val="none" w:sz="0" w:space="0" w:color="auto"/>
                                                        <w:right w:val="none" w:sz="0" w:space="0" w:color="auto"/>
                                                      </w:divBdr>
                                                      <w:divsChild>
                                                        <w:div w:id="208541294">
                                                          <w:marLeft w:val="0"/>
                                                          <w:marRight w:val="0"/>
                                                          <w:marTop w:val="0"/>
                                                          <w:marBottom w:val="0"/>
                                                          <w:divBdr>
                                                            <w:top w:val="none" w:sz="0" w:space="0" w:color="auto"/>
                                                            <w:left w:val="none" w:sz="0" w:space="0" w:color="auto"/>
                                                            <w:bottom w:val="none" w:sz="0" w:space="0" w:color="auto"/>
                                                            <w:right w:val="none" w:sz="0" w:space="0" w:color="auto"/>
                                                          </w:divBdr>
                                                          <w:divsChild>
                                                            <w:div w:id="1744991404">
                                                              <w:marLeft w:val="0"/>
                                                              <w:marRight w:val="0"/>
                                                              <w:marTop w:val="0"/>
                                                              <w:marBottom w:val="0"/>
                                                              <w:divBdr>
                                                                <w:top w:val="none" w:sz="0" w:space="0" w:color="auto"/>
                                                                <w:left w:val="none" w:sz="0" w:space="0" w:color="auto"/>
                                                                <w:bottom w:val="none" w:sz="0" w:space="0" w:color="auto"/>
                                                                <w:right w:val="none" w:sz="0" w:space="0" w:color="auto"/>
                                                              </w:divBdr>
                                                              <w:divsChild>
                                                                <w:div w:id="827553446">
                                                                  <w:marLeft w:val="0"/>
                                                                  <w:marRight w:val="0"/>
                                                                  <w:marTop w:val="0"/>
                                                                  <w:marBottom w:val="0"/>
                                                                  <w:divBdr>
                                                                    <w:top w:val="none" w:sz="0" w:space="0" w:color="auto"/>
                                                                    <w:left w:val="none" w:sz="0" w:space="0" w:color="auto"/>
                                                                    <w:bottom w:val="none" w:sz="0" w:space="0" w:color="auto"/>
                                                                    <w:right w:val="none" w:sz="0" w:space="0" w:color="auto"/>
                                                                  </w:divBdr>
                                                                  <w:divsChild>
                                                                    <w:div w:id="115607794">
                                                                      <w:marLeft w:val="0"/>
                                                                      <w:marRight w:val="0"/>
                                                                      <w:marTop w:val="0"/>
                                                                      <w:marBottom w:val="0"/>
                                                                      <w:divBdr>
                                                                        <w:top w:val="none" w:sz="0" w:space="0" w:color="auto"/>
                                                                        <w:left w:val="none" w:sz="0" w:space="0" w:color="auto"/>
                                                                        <w:bottom w:val="none" w:sz="0" w:space="0" w:color="auto"/>
                                                                        <w:right w:val="none" w:sz="0" w:space="0" w:color="auto"/>
                                                                      </w:divBdr>
                                                                      <w:divsChild>
                                                                        <w:div w:id="517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1607">
      <w:bodyDiv w:val="1"/>
      <w:marLeft w:val="0"/>
      <w:marRight w:val="0"/>
      <w:marTop w:val="0"/>
      <w:marBottom w:val="0"/>
      <w:divBdr>
        <w:top w:val="none" w:sz="0" w:space="0" w:color="auto"/>
        <w:left w:val="none" w:sz="0" w:space="0" w:color="auto"/>
        <w:bottom w:val="none" w:sz="0" w:space="0" w:color="auto"/>
        <w:right w:val="none" w:sz="0" w:space="0" w:color="auto"/>
      </w:divBdr>
      <w:divsChild>
        <w:div w:id="946234796">
          <w:marLeft w:val="0"/>
          <w:marRight w:val="0"/>
          <w:marTop w:val="0"/>
          <w:marBottom w:val="0"/>
          <w:divBdr>
            <w:top w:val="none" w:sz="0" w:space="0" w:color="auto"/>
            <w:left w:val="none" w:sz="0" w:space="0" w:color="auto"/>
            <w:bottom w:val="none" w:sz="0" w:space="0" w:color="auto"/>
            <w:right w:val="none" w:sz="0" w:space="0" w:color="auto"/>
          </w:divBdr>
        </w:div>
      </w:divsChild>
    </w:div>
    <w:div w:id="224726244">
      <w:bodyDiv w:val="1"/>
      <w:marLeft w:val="0"/>
      <w:marRight w:val="0"/>
      <w:marTop w:val="0"/>
      <w:marBottom w:val="0"/>
      <w:divBdr>
        <w:top w:val="none" w:sz="0" w:space="0" w:color="auto"/>
        <w:left w:val="none" w:sz="0" w:space="0" w:color="auto"/>
        <w:bottom w:val="none" w:sz="0" w:space="0" w:color="auto"/>
        <w:right w:val="none" w:sz="0" w:space="0" w:color="auto"/>
      </w:divBdr>
      <w:divsChild>
        <w:div w:id="2092577415">
          <w:marLeft w:val="0"/>
          <w:marRight w:val="0"/>
          <w:marTop w:val="0"/>
          <w:marBottom w:val="0"/>
          <w:divBdr>
            <w:top w:val="none" w:sz="0" w:space="0" w:color="auto"/>
            <w:left w:val="none" w:sz="0" w:space="0" w:color="auto"/>
            <w:bottom w:val="none" w:sz="0" w:space="0" w:color="auto"/>
            <w:right w:val="none" w:sz="0" w:space="0" w:color="auto"/>
          </w:divBdr>
        </w:div>
      </w:divsChild>
    </w:div>
    <w:div w:id="290408729">
      <w:bodyDiv w:val="1"/>
      <w:marLeft w:val="0"/>
      <w:marRight w:val="0"/>
      <w:marTop w:val="0"/>
      <w:marBottom w:val="0"/>
      <w:divBdr>
        <w:top w:val="none" w:sz="0" w:space="0" w:color="auto"/>
        <w:left w:val="none" w:sz="0" w:space="0" w:color="auto"/>
        <w:bottom w:val="none" w:sz="0" w:space="0" w:color="auto"/>
        <w:right w:val="none" w:sz="0" w:space="0" w:color="auto"/>
      </w:divBdr>
      <w:divsChild>
        <w:div w:id="647635460">
          <w:marLeft w:val="0"/>
          <w:marRight w:val="0"/>
          <w:marTop w:val="0"/>
          <w:marBottom w:val="0"/>
          <w:divBdr>
            <w:top w:val="none" w:sz="0" w:space="0" w:color="auto"/>
            <w:left w:val="none" w:sz="0" w:space="0" w:color="auto"/>
            <w:bottom w:val="none" w:sz="0" w:space="0" w:color="auto"/>
            <w:right w:val="none" w:sz="0" w:space="0" w:color="auto"/>
          </w:divBdr>
        </w:div>
      </w:divsChild>
    </w:div>
    <w:div w:id="298340261">
      <w:bodyDiv w:val="1"/>
      <w:marLeft w:val="0"/>
      <w:marRight w:val="0"/>
      <w:marTop w:val="0"/>
      <w:marBottom w:val="0"/>
      <w:divBdr>
        <w:top w:val="none" w:sz="0" w:space="0" w:color="auto"/>
        <w:left w:val="none" w:sz="0" w:space="0" w:color="auto"/>
        <w:bottom w:val="none" w:sz="0" w:space="0" w:color="auto"/>
        <w:right w:val="none" w:sz="0" w:space="0" w:color="auto"/>
      </w:divBdr>
      <w:divsChild>
        <w:div w:id="56361608">
          <w:marLeft w:val="0"/>
          <w:marRight w:val="0"/>
          <w:marTop w:val="0"/>
          <w:marBottom w:val="0"/>
          <w:divBdr>
            <w:top w:val="none" w:sz="0" w:space="0" w:color="auto"/>
            <w:left w:val="none" w:sz="0" w:space="0" w:color="auto"/>
            <w:bottom w:val="none" w:sz="0" w:space="0" w:color="auto"/>
            <w:right w:val="none" w:sz="0" w:space="0" w:color="auto"/>
          </w:divBdr>
        </w:div>
      </w:divsChild>
    </w:div>
    <w:div w:id="330446579">
      <w:bodyDiv w:val="1"/>
      <w:marLeft w:val="0"/>
      <w:marRight w:val="0"/>
      <w:marTop w:val="0"/>
      <w:marBottom w:val="0"/>
      <w:divBdr>
        <w:top w:val="none" w:sz="0" w:space="0" w:color="auto"/>
        <w:left w:val="none" w:sz="0" w:space="0" w:color="auto"/>
        <w:bottom w:val="none" w:sz="0" w:space="0" w:color="auto"/>
        <w:right w:val="none" w:sz="0" w:space="0" w:color="auto"/>
      </w:divBdr>
      <w:divsChild>
        <w:div w:id="1068722250">
          <w:marLeft w:val="0"/>
          <w:marRight w:val="0"/>
          <w:marTop w:val="0"/>
          <w:marBottom w:val="0"/>
          <w:divBdr>
            <w:top w:val="none" w:sz="0" w:space="0" w:color="auto"/>
            <w:left w:val="none" w:sz="0" w:space="0" w:color="auto"/>
            <w:bottom w:val="none" w:sz="0" w:space="0" w:color="auto"/>
            <w:right w:val="none" w:sz="0" w:space="0" w:color="auto"/>
          </w:divBdr>
        </w:div>
      </w:divsChild>
    </w:div>
    <w:div w:id="337267491">
      <w:bodyDiv w:val="1"/>
      <w:marLeft w:val="0"/>
      <w:marRight w:val="0"/>
      <w:marTop w:val="0"/>
      <w:marBottom w:val="0"/>
      <w:divBdr>
        <w:top w:val="none" w:sz="0" w:space="0" w:color="auto"/>
        <w:left w:val="none" w:sz="0" w:space="0" w:color="auto"/>
        <w:bottom w:val="none" w:sz="0" w:space="0" w:color="auto"/>
        <w:right w:val="none" w:sz="0" w:space="0" w:color="auto"/>
      </w:divBdr>
      <w:divsChild>
        <w:div w:id="26805135">
          <w:marLeft w:val="0"/>
          <w:marRight w:val="0"/>
          <w:marTop w:val="0"/>
          <w:marBottom w:val="0"/>
          <w:divBdr>
            <w:top w:val="none" w:sz="0" w:space="0" w:color="auto"/>
            <w:left w:val="none" w:sz="0" w:space="0" w:color="auto"/>
            <w:bottom w:val="none" w:sz="0" w:space="0" w:color="auto"/>
            <w:right w:val="none" w:sz="0" w:space="0" w:color="auto"/>
          </w:divBdr>
        </w:div>
      </w:divsChild>
    </w:div>
    <w:div w:id="366760540">
      <w:bodyDiv w:val="1"/>
      <w:marLeft w:val="0"/>
      <w:marRight w:val="0"/>
      <w:marTop w:val="0"/>
      <w:marBottom w:val="0"/>
      <w:divBdr>
        <w:top w:val="none" w:sz="0" w:space="0" w:color="auto"/>
        <w:left w:val="none" w:sz="0" w:space="0" w:color="auto"/>
        <w:bottom w:val="none" w:sz="0" w:space="0" w:color="auto"/>
        <w:right w:val="none" w:sz="0" w:space="0" w:color="auto"/>
      </w:divBdr>
      <w:divsChild>
        <w:div w:id="730466255">
          <w:marLeft w:val="0"/>
          <w:marRight w:val="0"/>
          <w:marTop w:val="0"/>
          <w:marBottom w:val="0"/>
          <w:divBdr>
            <w:top w:val="none" w:sz="0" w:space="0" w:color="auto"/>
            <w:left w:val="none" w:sz="0" w:space="0" w:color="auto"/>
            <w:bottom w:val="none" w:sz="0" w:space="0" w:color="auto"/>
            <w:right w:val="none" w:sz="0" w:space="0" w:color="auto"/>
          </w:divBdr>
        </w:div>
      </w:divsChild>
    </w:div>
    <w:div w:id="446849215">
      <w:bodyDiv w:val="1"/>
      <w:marLeft w:val="0"/>
      <w:marRight w:val="0"/>
      <w:marTop w:val="0"/>
      <w:marBottom w:val="0"/>
      <w:divBdr>
        <w:top w:val="none" w:sz="0" w:space="0" w:color="auto"/>
        <w:left w:val="none" w:sz="0" w:space="0" w:color="auto"/>
        <w:bottom w:val="none" w:sz="0" w:space="0" w:color="auto"/>
        <w:right w:val="none" w:sz="0" w:space="0" w:color="auto"/>
      </w:divBdr>
      <w:divsChild>
        <w:div w:id="1740518694">
          <w:marLeft w:val="0"/>
          <w:marRight w:val="0"/>
          <w:marTop w:val="0"/>
          <w:marBottom w:val="0"/>
          <w:divBdr>
            <w:top w:val="none" w:sz="0" w:space="0" w:color="auto"/>
            <w:left w:val="none" w:sz="0" w:space="0" w:color="auto"/>
            <w:bottom w:val="none" w:sz="0" w:space="0" w:color="auto"/>
            <w:right w:val="none" w:sz="0" w:space="0" w:color="auto"/>
          </w:divBdr>
          <w:divsChild>
            <w:div w:id="17320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768">
      <w:bodyDiv w:val="1"/>
      <w:marLeft w:val="0"/>
      <w:marRight w:val="0"/>
      <w:marTop w:val="0"/>
      <w:marBottom w:val="0"/>
      <w:divBdr>
        <w:top w:val="none" w:sz="0" w:space="0" w:color="auto"/>
        <w:left w:val="none" w:sz="0" w:space="0" w:color="auto"/>
        <w:bottom w:val="none" w:sz="0" w:space="0" w:color="auto"/>
        <w:right w:val="none" w:sz="0" w:space="0" w:color="auto"/>
      </w:divBdr>
      <w:divsChild>
        <w:div w:id="1271933979">
          <w:marLeft w:val="0"/>
          <w:marRight w:val="0"/>
          <w:marTop w:val="0"/>
          <w:marBottom w:val="0"/>
          <w:divBdr>
            <w:top w:val="none" w:sz="0" w:space="0" w:color="auto"/>
            <w:left w:val="none" w:sz="0" w:space="0" w:color="auto"/>
            <w:bottom w:val="none" w:sz="0" w:space="0" w:color="auto"/>
            <w:right w:val="none" w:sz="0" w:space="0" w:color="auto"/>
          </w:divBdr>
        </w:div>
      </w:divsChild>
    </w:div>
    <w:div w:id="502747834">
      <w:bodyDiv w:val="1"/>
      <w:marLeft w:val="0"/>
      <w:marRight w:val="0"/>
      <w:marTop w:val="0"/>
      <w:marBottom w:val="0"/>
      <w:divBdr>
        <w:top w:val="none" w:sz="0" w:space="0" w:color="auto"/>
        <w:left w:val="none" w:sz="0" w:space="0" w:color="auto"/>
        <w:bottom w:val="none" w:sz="0" w:space="0" w:color="auto"/>
        <w:right w:val="none" w:sz="0" w:space="0" w:color="auto"/>
      </w:divBdr>
      <w:divsChild>
        <w:div w:id="153381482">
          <w:marLeft w:val="0"/>
          <w:marRight w:val="0"/>
          <w:marTop w:val="0"/>
          <w:marBottom w:val="0"/>
          <w:divBdr>
            <w:top w:val="none" w:sz="0" w:space="0" w:color="auto"/>
            <w:left w:val="none" w:sz="0" w:space="0" w:color="auto"/>
            <w:bottom w:val="none" w:sz="0" w:space="0" w:color="auto"/>
            <w:right w:val="none" w:sz="0" w:space="0" w:color="auto"/>
          </w:divBdr>
          <w:divsChild>
            <w:div w:id="14060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7616">
      <w:bodyDiv w:val="1"/>
      <w:marLeft w:val="0"/>
      <w:marRight w:val="0"/>
      <w:marTop w:val="0"/>
      <w:marBottom w:val="0"/>
      <w:divBdr>
        <w:top w:val="none" w:sz="0" w:space="0" w:color="auto"/>
        <w:left w:val="none" w:sz="0" w:space="0" w:color="auto"/>
        <w:bottom w:val="none" w:sz="0" w:space="0" w:color="auto"/>
        <w:right w:val="none" w:sz="0" w:space="0" w:color="auto"/>
      </w:divBdr>
      <w:divsChild>
        <w:div w:id="1694114829">
          <w:marLeft w:val="0"/>
          <w:marRight w:val="0"/>
          <w:marTop w:val="0"/>
          <w:marBottom w:val="0"/>
          <w:divBdr>
            <w:top w:val="none" w:sz="0" w:space="0" w:color="auto"/>
            <w:left w:val="none" w:sz="0" w:space="0" w:color="auto"/>
            <w:bottom w:val="none" w:sz="0" w:space="0" w:color="auto"/>
            <w:right w:val="none" w:sz="0" w:space="0" w:color="auto"/>
          </w:divBdr>
          <w:divsChild>
            <w:div w:id="190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50659">
      <w:bodyDiv w:val="1"/>
      <w:marLeft w:val="0"/>
      <w:marRight w:val="0"/>
      <w:marTop w:val="0"/>
      <w:marBottom w:val="0"/>
      <w:divBdr>
        <w:top w:val="none" w:sz="0" w:space="0" w:color="auto"/>
        <w:left w:val="none" w:sz="0" w:space="0" w:color="auto"/>
        <w:bottom w:val="none" w:sz="0" w:space="0" w:color="auto"/>
        <w:right w:val="none" w:sz="0" w:space="0" w:color="auto"/>
      </w:divBdr>
      <w:divsChild>
        <w:div w:id="1192572439">
          <w:marLeft w:val="0"/>
          <w:marRight w:val="0"/>
          <w:marTop w:val="0"/>
          <w:marBottom w:val="0"/>
          <w:divBdr>
            <w:top w:val="none" w:sz="0" w:space="0" w:color="auto"/>
            <w:left w:val="none" w:sz="0" w:space="0" w:color="auto"/>
            <w:bottom w:val="none" w:sz="0" w:space="0" w:color="auto"/>
            <w:right w:val="none" w:sz="0" w:space="0" w:color="auto"/>
          </w:divBdr>
        </w:div>
      </w:divsChild>
    </w:div>
    <w:div w:id="514030202">
      <w:bodyDiv w:val="1"/>
      <w:marLeft w:val="0"/>
      <w:marRight w:val="0"/>
      <w:marTop w:val="0"/>
      <w:marBottom w:val="0"/>
      <w:divBdr>
        <w:top w:val="none" w:sz="0" w:space="0" w:color="auto"/>
        <w:left w:val="none" w:sz="0" w:space="0" w:color="auto"/>
        <w:bottom w:val="none" w:sz="0" w:space="0" w:color="auto"/>
        <w:right w:val="none" w:sz="0" w:space="0" w:color="auto"/>
      </w:divBdr>
      <w:divsChild>
        <w:div w:id="296035902">
          <w:marLeft w:val="0"/>
          <w:marRight w:val="0"/>
          <w:marTop w:val="0"/>
          <w:marBottom w:val="0"/>
          <w:divBdr>
            <w:top w:val="none" w:sz="0" w:space="0" w:color="auto"/>
            <w:left w:val="none" w:sz="0" w:space="0" w:color="auto"/>
            <w:bottom w:val="none" w:sz="0" w:space="0" w:color="auto"/>
            <w:right w:val="none" w:sz="0" w:space="0" w:color="auto"/>
          </w:divBdr>
        </w:div>
      </w:divsChild>
    </w:div>
    <w:div w:id="558201582">
      <w:bodyDiv w:val="1"/>
      <w:marLeft w:val="0"/>
      <w:marRight w:val="0"/>
      <w:marTop w:val="0"/>
      <w:marBottom w:val="0"/>
      <w:divBdr>
        <w:top w:val="none" w:sz="0" w:space="0" w:color="auto"/>
        <w:left w:val="none" w:sz="0" w:space="0" w:color="auto"/>
        <w:bottom w:val="none" w:sz="0" w:space="0" w:color="auto"/>
        <w:right w:val="none" w:sz="0" w:space="0" w:color="auto"/>
      </w:divBdr>
      <w:divsChild>
        <w:div w:id="1368262774">
          <w:marLeft w:val="0"/>
          <w:marRight w:val="0"/>
          <w:marTop w:val="0"/>
          <w:marBottom w:val="0"/>
          <w:divBdr>
            <w:top w:val="none" w:sz="0" w:space="0" w:color="auto"/>
            <w:left w:val="none" w:sz="0" w:space="0" w:color="auto"/>
            <w:bottom w:val="none" w:sz="0" w:space="0" w:color="auto"/>
            <w:right w:val="none" w:sz="0" w:space="0" w:color="auto"/>
          </w:divBdr>
          <w:divsChild>
            <w:div w:id="16238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2329">
      <w:bodyDiv w:val="1"/>
      <w:marLeft w:val="0"/>
      <w:marRight w:val="0"/>
      <w:marTop w:val="0"/>
      <w:marBottom w:val="0"/>
      <w:divBdr>
        <w:top w:val="none" w:sz="0" w:space="0" w:color="auto"/>
        <w:left w:val="none" w:sz="0" w:space="0" w:color="auto"/>
        <w:bottom w:val="none" w:sz="0" w:space="0" w:color="auto"/>
        <w:right w:val="none" w:sz="0" w:space="0" w:color="auto"/>
      </w:divBdr>
      <w:divsChild>
        <w:div w:id="1642466362">
          <w:marLeft w:val="0"/>
          <w:marRight w:val="0"/>
          <w:marTop w:val="0"/>
          <w:marBottom w:val="0"/>
          <w:divBdr>
            <w:top w:val="none" w:sz="0" w:space="0" w:color="auto"/>
            <w:left w:val="none" w:sz="0" w:space="0" w:color="auto"/>
            <w:bottom w:val="none" w:sz="0" w:space="0" w:color="auto"/>
            <w:right w:val="none" w:sz="0" w:space="0" w:color="auto"/>
          </w:divBdr>
        </w:div>
      </w:divsChild>
    </w:div>
    <w:div w:id="625744010">
      <w:bodyDiv w:val="1"/>
      <w:marLeft w:val="0"/>
      <w:marRight w:val="0"/>
      <w:marTop w:val="0"/>
      <w:marBottom w:val="0"/>
      <w:divBdr>
        <w:top w:val="none" w:sz="0" w:space="0" w:color="auto"/>
        <w:left w:val="none" w:sz="0" w:space="0" w:color="auto"/>
        <w:bottom w:val="none" w:sz="0" w:space="0" w:color="auto"/>
        <w:right w:val="none" w:sz="0" w:space="0" w:color="auto"/>
      </w:divBdr>
      <w:divsChild>
        <w:div w:id="63769341">
          <w:marLeft w:val="0"/>
          <w:marRight w:val="0"/>
          <w:marTop w:val="0"/>
          <w:marBottom w:val="0"/>
          <w:divBdr>
            <w:top w:val="none" w:sz="0" w:space="0" w:color="auto"/>
            <w:left w:val="none" w:sz="0" w:space="0" w:color="auto"/>
            <w:bottom w:val="none" w:sz="0" w:space="0" w:color="auto"/>
            <w:right w:val="none" w:sz="0" w:space="0" w:color="auto"/>
          </w:divBdr>
        </w:div>
      </w:divsChild>
    </w:div>
    <w:div w:id="633829167">
      <w:bodyDiv w:val="1"/>
      <w:marLeft w:val="0"/>
      <w:marRight w:val="0"/>
      <w:marTop w:val="0"/>
      <w:marBottom w:val="0"/>
      <w:divBdr>
        <w:top w:val="none" w:sz="0" w:space="0" w:color="auto"/>
        <w:left w:val="none" w:sz="0" w:space="0" w:color="auto"/>
        <w:bottom w:val="none" w:sz="0" w:space="0" w:color="auto"/>
        <w:right w:val="none" w:sz="0" w:space="0" w:color="auto"/>
      </w:divBdr>
      <w:divsChild>
        <w:div w:id="1316956260">
          <w:marLeft w:val="0"/>
          <w:marRight w:val="0"/>
          <w:marTop w:val="0"/>
          <w:marBottom w:val="0"/>
          <w:divBdr>
            <w:top w:val="none" w:sz="0" w:space="0" w:color="auto"/>
            <w:left w:val="none" w:sz="0" w:space="0" w:color="auto"/>
            <w:bottom w:val="none" w:sz="0" w:space="0" w:color="auto"/>
            <w:right w:val="none" w:sz="0" w:space="0" w:color="auto"/>
          </w:divBdr>
          <w:divsChild>
            <w:div w:id="14237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073">
      <w:bodyDiv w:val="1"/>
      <w:marLeft w:val="0"/>
      <w:marRight w:val="0"/>
      <w:marTop w:val="0"/>
      <w:marBottom w:val="0"/>
      <w:divBdr>
        <w:top w:val="none" w:sz="0" w:space="0" w:color="auto"/>
        <w:left w:val="none" w:sz="0" w:space="0" w:color="auto"/>
        <w:bottom w:val="none" w:sz="0" w:space="0" w:color="auto"/>
        <w:right w:val="none" w:sz="0" w:space="0" w:color="auto"/>
      </w:divBdr>
      <w:divsChild>
        <w:div w:id="418453527">
          <w:marLeft w:val="0"/>
          <w:marRight w:val="0"/>
          <w:marTop w:val="0"/>
          <w:marBottom w:val="0"/>
          <w:divBdr>
            <w:top w:val="none" w:sz="0" w:space="0" w:color="auto"/>
            <w:left w:val="none" w:sz="0" w:space="0" w:color="auto"/>
            <w:bottom w:val="none" w:sz="0" w:space="0" w:color="auto"/>
            <w:right w:val="none" w:sz="0" w:space="0" w:color="auto"/>
          </w:divBdr>
        </w:div>
      </w:divsChild>
    </w:div>
    <w:div w:id="668141789">
      <w:bodyDiv w:val="1"/>
      <w:marLeft w:val="0"/>
      <w:marRight w:val="0"/>
      <w:marTop w:val="0"/>
      <w:marBottom w:val="0"/>
      <w:divBdr>
        <w:top w:val="none" w:sz="0" w:space="0" w:color="auto"/>
        <w:left w:val="none" w:sz="0" w:space="0" w:color="auto"/>
        <w:bottom w:val="none" w:sz="0" w:space="0" w:color="auto"/>
        <w:right w:val="none" w:sz="0" w:space="0" w:color="auto"/>
      </w:divBdr>
      <w:divsChild>
        <w:div w:id="1087651872">
          <w:marLeft w:val="0"/>
          <w:marRight w:val="0"/>
          <w:marTop w:val="0"/>
          <w:marBottom w:val="0"/>
          <w:divBdr>
            <w:top w:val="none" w:sz="0" w:space="0" w:color="auto"/>
            <w:left w:val="none" w:sz="0" w:space="0" w:color="auto"/>
            <w:bottom w:val="none" w:sz="0" w:space="0" w:color="auto"/>
            <w:right w:val="none" w:sz="0" w:space="0" w:color="auto"/>
          </w:divBdr>
        </w:div>
      </w:divsChild>
    </w:div>
    <w:div w:id="677578203">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2">
          <w:marLeft w:val="0"/>
          <w:marRight w:val="0"/>
          <w:marTop w:val="0"/>
          <w:marBottom w:val="0"/>
          <w:divBdr>
            <w:top w:val="none" w:sz="0" w:space="0" w:color="auto"/>
            <w:left w:val="none" w:sz="0" w:space="0" w:color="auto"/>
            <w:bottom w:val="none" w:sz="0" w:space="0" w:color="auto"/>
            <w:right w:val="none" w:sz="0" w:space="0" w:color="auto"/>
          </w:divBdr>
        </w:div>
      </w:divsChild>
    </w:div>
    <w:div w:id="719129109">
      <w:bodyDiv w:val="1"/>
      <w:marLeft w:val="0"/>
      <w:marRight w:val="0"/>
      <w:marTop w:val="0"/>
      <w:marBottom w:val="0"/>
      <w:divBdr>
        <w:top w:val="none" w:sz="0" w:space="0" w:color="auto"/>
        <w:left w:val="none" w:sz="0" w:space="0" w:color="auto"/>
        <w:bottom w:val="none" w:sz="0" w:space="0" w:color="auto"/>
        <w:right w:val="none" w:sz="0" w:space="0" w:color="auto"/>
      </w:divBdr>
    </w:div>
    <w:div w:id="747460166">
      <w:bodyDiv w:val="1"/>
      <w:marLeft w:val="0"/>
      <w:marRight w:val="0"/>
      <w:marTop w:val="0"/>
      <w:marBottom w:val="0"/>
      <w:divBdr>
        <w:top w:val="none" w:sz="0" w:space="0" w:color="auto"/>
        <w:left w:val="none" w:sz="0" w:space="0" w:color="auto"/>
        <w:bottom w:val="none" w:sz="0" w:space="0" w:color="auto"/>
        <w:right w:val="none" w:sz="0" w:space="0" w:color="auto"/>
      </w:divBdr>
      <w:divsChild>
        <w:div w:id="1812018688">
          <w:marLeft w:val="0"/>
          <w:marRight w:val="0"/>
          <w:marTop w:val="0"/>
          <w:marBottom w:val="0"/>
          <w:divBdr>
            <w:top w:val="none" w:sz="0" w:space="0" w:color="auto"/>
            <w:left w:val="none" w:sz="0" w:space="0" w:color="auto"/>
            <w:bottom w:val="none" w:sz="0" w:space="0" w:color="auto"/>
            <w:right w:val="none" w:sz="0" w:space="0" w:color="auto"/>
          </w:divBdr>
        </w:div>
      </w:divsChild>
    </w:div>
    <w:div w:id="758915037">
      <w:bodyDiv w:val="1"/>
      <w:marLeft w:val="0"/>
      <w:marRight w:val="0"/>
      <w:marTop w:val="0"/>
      <w:marBottom w:val="0"/>
      <w:divBdr>
        <w:top w:val="none" w:sz="0" w:space="0" w:color="auto"/>
        <w:left w:val="none" w:sz="0" w:space="0" w:color="auto"/>
        <w:bottom w:val="none" w:sz="0" w:space="0" w:color="auto"/>
        <w:right w:val="none" w:sz="0" w:space="0" w:color="auto"/>
      </w:divBdr>
      <w:divsChild>
        <w:div w:id="1982804960">
          <w:marLeft w:val="0"/>
          <w:marRight w:val="0"/>
          <w:marTop w:val="0"/>
          <w:marBottom w:val="0"/>
          <w:divBdr>
            <w:top w:val="none" w:sz="0" w:space="0" w:color="auto"/>
            <w:left w:val="none" w:sz="0" w:space="0" w:color="auto"/>
            <w:bottom w:val="none" w:sz="0" w:space="0" w:color="auto"/>
            <w:right w:val="none" w:sz="0" w:space="0" w:color="auto"/>
          </w:divBdr>
        </w:div>
      </w:divsChild>
    </w:div>
    <w:div w:id="803888528">
      <w:bodyDiv w:val="1"/>
      <w:marLeft w:val="0"/>
      <w:marRight w:val="0"/>
      <w:marTop w:val="0"/>
      <w:marBottom w:val="0"/>
      <w:divBdr>
        <w:top w:val="none" w:sz="0" w:space="0" w:color="auto"/>
        <w:left w:val="none" w:sz="0" w:space="0" w:color="auto"/>
        <w:bottom w:val="none" w:sz="0" w:space="0" w:color="auto"/>
        <w:right w:val="none" w:sz="0" w:space="0" w:color="auto"/>
      </w:divBdr>
      <w:divsChild>
        <w:div w:id="650138464">
          <w:marLeft w:val="0"/>
          <w:marRight w:val="0"/>
          <w:marTop w:val="0"/>
          <w:marBottom w:val="0"/>
          <w:divBdr>
            <w:top w:val="none" w:sz="0" w:space="0" w:color="auto"/>
            <w:left w:val="none" w:sz="0" w:space="0" w:color="auto"/>
            <w:bottom w:val="none" w:sz="0" w:space="0" w:color="auto"/>
            <w:right w:val="none" w:sz="0" w:space="0" w:color="auto"/>
          </w:divBdr>
          <w:divsChild>
            <w:div w:id="2112237716">
              <w:marLeft w:val="0"/>
              <w:marRight w:val="0"/>
              <w:marTop w:val="0"/>
              <w:marBottom w:val="0"/>
              <w:divBdr>
                <w:top w:val="none" w:sz="0" w:space="0" w:color="auto"/>
                <w:left w:val="none" w:sz="0" w:space="0" w:color="auto"/>
                <w:bottom w:val="none" w:sz="0" w:space="0" w:color="auto"/>
                <w:right w:val="none" w:sz="0" w:space="0" w:color="auto"/>
              </w:divBdr>
            </w:div>
          </w:divsChild>
        </w:div>
        <w:div w:id="1410545112">
          <w:marLeft w:val="0"/>
          <w:marRight w:val="0"/>
          <w:marTop w:val="0"/>
          <w:marBottom w:val="0"/>
          <w:divBdr>
            <w:top w:val="none" w:sz="0" w:space="0" w:color="auto"/>
            <w:left w:val="none" w:sz="0" w:space="0" w:color="auto"/>
            <w:bottom w:val="none" w:sz="0" w:space="0" w:color="auto"/>
            <w:right w:val="none" w:sz="0" w:space="0" w:color="auto"/>
          </w:divBdr>
          <w:divsChild>
            <w:div w:id="5845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4788">
      <w:bodyDiv w:val="1"/>
      <w:marLeft w:val="0"/>
      <w:marRight w:val="0"/>
      <w:marTop w:val="0"/>
      <w:marBottom w:val="0"/>
      <w:divBdr>
        <w:top w:val="none" w:sz="0" w:space="0" w:color="auto"/>
        <w:left w:val="none" w:sz="0" w:space="0" w:color="auto"/>
        <w:bottom w:val="none" w:sz="0" w:space="0" w:color="auto"/>
        <w:right w:val="none" w:sz="0" w:space="0" w:color="auto"/>
      </w:divBdr>
      <w:divsChild>
        <w:div w:id="1408191965">
          <w:marLeft w:val="0"/>
          <w:marRight w:val="0"/>
          <w:marTop w:val="0"/>
          <w:marBottom w:val="0"/>
          <w:divBdr>
            <w:top w:val="none" w:sz="0" w:space="0" w:color="auto"/>
            <w:left w:val="none" w:sz="0" w:space="0" w:color="auto"/>
            <w:bottom w:val="none" w:sz="0" w:space="0" w:color="auto"/>
            <w:right w:val="none" w:sz="0" w:space="0" w:color="auto"/>
          </w:divBdr>
        </w:div>
      </w:divsChild>
    </w:div>
    <w:div w:id="827670551">
      <w:bodyDiv w:val="1"/>
      <w:marLeft w:val="0"/>
      <w:marRight w:val="0"/>
      <w:marTop w:val="0"/>
      <w:marBottom w:val="0"/>
      <w:divBdr>
        <w:top w:val="none" w:sz="0" w:space="0" w:color="auto"/>
        <w:left w:val="none" w:sz="0" w:space="0" w:color="auto"/>
        <w:bottom w:val="none" w:sz="0" w:space="0" w:color="auto"/>
        <w:right w:val="none" w:sz="0" w:space="0" w:color="auto"/>
      </w:divBdr>
      <w:divsChild>
        <w:div w:id="249975230">
          <w:marLeft w:val="0"/>
          <w:marRight w:val="0"/>
          <w:marTop w:val="0"/>
          <w:marBottom w:val="0"/>
          <w:divBdr>
            <w:top w:val="none" w:sz="0" w:space="0" w:color="auto"/>
            <w:left w:val="none" w:sz="0" w:space="0" w:color="auto"/>
            <w:bottom w:val="none" w:sz="0" w:space="0" w:color="auto"/>
            <w:right w:val="none" w:sz="0" w:space="0" w:color="auto"/>
          </w:divBdr>
          <w:divsChild>
            <w:div w:id="928197699">
              <w:marLeft w:val="0"/>
              <w:marRight w:val="0"/>
              <w:marTop w:val="0"/>
              <w:marBottom w:val="0"/>
              <w:divBdr>
                <w:top w:val="none" w:sz="0" w:space="0" w:color="auto"/>
                <w:left w:val="none" w:sz="0" w:space="0" w:color="auto"/>
                <w:bottom w:val="none" w:sz="0" w:space="0" w:color="auto"/>
                <w:right w:val="none" w:sz="0" w:space="0" w:color="auto"/>
              </w:divBdr>
            </w:div>
          </w:divsChild>
        </w:div>
        <w:div w:id="179710517">
          <w:marLeft w:val="0"/>
          <w:marRight w:val="0"/>
          <w:marTop w:val="0"/>
          <w:marBottom w:val="0"/>
          <w:divBdr>
            <w:top w:val="none" w:sz="0" w:space="0" w:color="auto"/>
            <w:left w:val="none" w:sz="0" w:space="0" w:color="auto"/>
            <w:bottom w:val="none" w:sz="0" w:space="0" w:color="auto"/>
            <w:right w:val="none" w:sz="0" w:space="0" w:color="auto"/>
          </w:divBdr>
          <w:divsChild>
            <w:div w:id="178201369">
              <w:marLeft w:val="0"/>
              <w:marRight w:val="0"/>
              <w:marTop w:val="0"/>
              <w:marBottom w:val="0"/>
              <w:divBdr>
                <w:top w:val="none" w:sz="0" w:space="0" w:color="auto"/>
                <w:left w:val="none" w:sz="0" w:space="0" w:color="auto"/>
                <w:bottom w:val="none" w:sz="0" w:space="0" w:color="auto"/>
                <w:right w:val="none" w:sz="0" w:space="0" w:color="auto"/>
              </w:divBdr>
            </w:div>
          </w:divsChild>
        </w:div>
        <w:div w:id="618031793">
          <w:marLeft w:val="0"/>
          <w:marRight w:val="0"/>
          <w:marTop w:val="0"/>
          <w:marBottom w:val="0"/>
          <w:divBdr>
            <w:top w:val="none" w:sz="0" w:space="0" w:color="auto"/>
            <w:left w:val="none" w:sz="0" w:space="0" w:color="auto"/>
            <w:bottom w:val="none" w:sz="0" w:space="0" w:color="auto"/>
            <w:right w:val="none" w:sz="0" w:space="0" w:color="auto"/>
          </w:divBdr>
          <w:divsChild>
            <w:div w:id="10033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7575">
      <w:bodyDiv w:val="1"/>
      <w:marLeft w:val="0"/>
      <w:marRight w:val="0"/>
      <w:marTop w:val="0"/>
      <w:marBottom w:val="0"/>
      <w:divBdr>
        <w:top w:val="none" w:sz="0" w:space="0" w:color="auto"/>
        <w:left w:val="none" w:sz="0" w:space="0" w:color="auto"/>
        <w:bottom w:val="none" w:sz="0" w:space="0" w:color="auto"/>
        <w:right w:val="none" w:sz="0" w:space="0" w:color="auto"/>
      </w:divBdr>
      <w:divsChild>
        <w:div w:id="1908345851">
          <w:marLeft w:val="0"/>
          <w:marRight w:val="0"/>
          <w:marTop w:val="0"/>
          <w:marBottom w:val="0"/>
          <w:divBdr>
            <w:top w:val="none" w:sz="0" w:space="0" w:color="auto"/>
            <w:left w:val="none" w:sz="0" w:space="0" w:color="auto"/>
            <w:bottom w:val="none" w:sz="0" w:space="0" w:color="auto"/>
            <w:right w:val="none" w:sz="0" w:space="0" w:color="auto"/>
          </w:divBdr>
        </w:div>
      </w:divsChild>
    </w:div>
    <w:div w:id="852720648">
      <w:bodyDiv w:val="1"/>
      <w:marLeft w:val="0"/>
      <w:marRight w:val="0"/>
      <w:marTop w:val="0"/>
      <w:marBottom w:val="0"/>
      <w:divBdr>
        <w:top w:val="none" w:sz="0" w:space="0" w:color="auto"/>
        <w:left w:val="none" w:sz="0" w:space="0" w:color="auto"/>
        <w:bottom w:val="none" w:sz="0" w:space="0" w:color="auto"/>
        <w:right w:val="none" w:sz="0" w:space="0" w:color="auto"/>
      </w:divBdr>
      <w:divsChild>
        <w:div w:id="2014525408">
          <w:marLeft w:val="0"/>
          <w:marRight w:val="0"/>
          <w:marTop w:val="0"/>
          <w:marBottom w:val="0"/>
          <w:divBdr>
            <w:top w:val="none" w:sz="0" w:space="0" w:color="auto"/>
            <w:left w:val="none" w:sz="0" w:space="0" w:color="auto"/>
            <w:bottom w:val="none" w:sz="0" w:space="0" w:color="auto"/>
            <w:right w:val="none" w:sz="0" w:space="0" w:color="auto"/>
          </w:divBdr>
        </w:div>
      </w:divsChild>
    </w:div>
    <w:div w:id="874461140">
      <w:bodyDiv w:val="1"/>
      <w:marLeft w:val="0"/>
      <w:marRight w:val="0"/>
      <w:marTop w:val="0"/>
      <w:marBottom w:val="0"/>
      <w:divBdr>
        <w:top w:val="none" w:sz="0" w:space="0" w:color="auto"/>
        <w:left w:val="none" w:sz="0" w:space="0" w:color="auto"/>
        <w:bottom w:val="none" w:sz="0" w:space="0" w:color="auto"/>
        <w:right w:val="none" w:sz="0" w:space="0" w:color="auto"/>
      </w:divBdr>
      <w:divsChild>
        <w:div w:id="72820690">
          <w:marLeft w:val="0"/>
          <w:marRight w:val="0"/>
          <w:marTop w:val="0"/>
          <w:marBottom w:val="0"/>
          <w:divBdr>
            <w:top w:val="none" w:sz="0" w:space="0" w:color="auto"/>
            <w:left w:val="none" w:sz="0" w:space="0" w:color="auto"/>
            <w:bottom w:val="none" w:sz="0" w:space="0" w:color="auto"/>
            <w:right w:val="none" w:sz="0" w:space="0" w:color="auto"/>
          </w:divBdr>
        </w:div>
      </w:divsChild>
    </w:div>
    <w:div w:id="877282531">
      <w:bodyDiv w:val="1"/>
      <w:marLeft w:val="0"/>
      <w:marRight w:val="0"/>
      <w:marTop w:val="0"/>
      <w:marBottom w:val="0"/>
      <w:divBdr>
        <w:top w:val="none" w:sz="0" w:space="0" w:color="auto"/>
        <w:left w:val="none" w:sz="0" w:space="0" w:color="auto"/>
        <w:bottom w:val="none" w:sz="0" w:space="0" w:color="auto"/>
        <w:right w:val="none" w:sz="0" w:space="0" w:color="auto"/>
      </w:divBdr>
      <w:divsChild>
        <w:div w:id="1910841578">
          <w:marLeft w:val="0"/>
          <w:marRight w:val="0"/>
          <w:marTop w:val="0"/>
          <w:marBottom w:val="0"/>
          <w:divBdr>
            <w:top w:val="none" w:sz="0" w:space="0" w:color="auto"/>
            <w:left w:val="none" w:sz="0" w:space="0" w:color="auto"/>
            <w:bottom w:val="none" w:sz="0" w:space="0" w:color="auto"/>
            <w:right w:val="none" w:sz="0" w:space="0" w:color="auto"/>
          </w:divBdr>
        </w:div>
      </w:divsChild>
    </w:div>
    <w:div w:id="925530404">
      <w:bodyDiv w:val="1"/>
      <w:marLeft w:val="0"/>
      <w:marRight w:val="0"/>
      <w:marTop w:val="0"/>
      <w:marBottom w:val="0"/>
      <w:divBdr>
        <w:top w:val="none" w:sz="0" w:space="0" w:color="auto"/>
        <w:left w:val="none" w:sz="0" w:space="0" w:color="auto"/>
        <w:bottom w:val="none" w:sz="0" w:space="0" w:color="auto"/>
        <w:right w:val="none" w:sz="0" w:space="0" w:color="auto"/>
      </w:divBdr>
      <w:divsChild>
        <w:div w:id="655651452">
          <w:marLeft w:val="0"/>
          <w:marRight w:val="0"/>
          <w:marTop w:val="0"/>
          <w:marBottom w:val="0"/>
          <w:divBdr>
            <w:top w:val="none" w:sz="0" w:space="0" w:color="auto"/>
            <w:left w:val="none" w:sz="0" w:space="0" w:color="auto"/>
            <w:bottom w:val="none" w:sz="0" w:space="0" w:color="auto"/>
            <w:right w:val="none" w:sz="0" w:space="0" w:color="auto"/>
          </w:divBdr>
        </w:div>
      </w:divsChild>
    </w:div>
    <w:div w:id="937717776">
      <w:bodyDiv w:val="1"/>
      <w:marLeft w:val="0"/>
      <w:marRight w:val="0"/>
      <w:marTop w:val="0"/>
      <w:marBottom w:val="0"/>
      <w:divBdr>
        <w:top w:val="none" w:sz="0" w:space="0" w:color="auto"/>
        <w:left w:val="none" w:sz="0" w:space="0" w:color="auto"/>
        <w:bottom w:val="none" w:sz="0" w:space="0" w:color="auto"/>
        <w:right w:val="none" w:sz="0" w:space="0" w:color="auto"/>
      </w:divBdr>
      <w:divsChild>
        <w:div w:id="840849859">
          <w:marLeft w:val="0"/>
          <w:marRight w:val="0"/>
          <w:marTop w:val="0"/>
          <w:marBottom w:val="0"/>
          <w:divBdr>
            <w:top w:val="none" w:sz="0" w:space="0" w:color="auto"/>
            <w:left w:val="none" w:sz="0" w:space="0" w:color="auto"/>
            <w:bottom w:val="none" w:sz="0" w:space="0" w:color="auto"/>
            <w:right w:val="none" w:sz="0" w:space="0" w:color="auto"/>
          </w:divBdr>
        </w:div>
      </w:divsChild>
    </w:div>
    <w:div w:id="948782210">
      <w:bodyDiv w:val="1"/>
      <w:marLeft w:val="0"/>
      <w:marRight w:val="0"/>
      <w:marTop w:val="0"/>
      <w:marBottom w:val="0"/>
      <w:divBdr>
        <w:top w:val="none" w:sz="0" w:space="0" w:color="auto"/>
        <w:left w:val="none" w:sz="0" w:space="0" w:color="auto"/>
        <w:bottom w:val="none" w:sz="0" w:space="0" w:color="auto"/>
        <w:right w:val="none" w:sz="0" w:space="0" w:color="auto"/>
      </w:divBdr>
      <w:divsChild>
        <w:div w:id="194464988">
          <w:marLeft w:val="0"/>
          <w:marRight w:val="0"/>
          <w:marTop w:val="0"/>
          <w:marBottom w:val="0"/>
          <w:divBdr>
            <w:top w:val="none" w:sz="0" w:space="0" w:color="auto"/>
            <w:left w:val="none" w:sz="0" w:space="0" w:color="auto"/>
            <w:bottom w:val="none" w:sz="0" w:space="0" w:color="auto"/>
            <w:right w:val="none" w:sz="0" w:space="0" w:color="auto"/>
          </w:divBdr>
        </w:div>
      </w:divsChild>
    </w:div>
    <w:div w:id="998341013">
      <w:bodyDiv w:val="1"/>
      <w:marLeft w:val="0"/>
      <w:marRight w:val="0"/>
      <w:marTop w:val="0"/>
      <w:marBottom w:val="0"/>
      <w:divBdr>
        <w:top w:val="none" w:sz="0" w:space="0" w:color="auto"/>
        <w:left w:val="none" w:sz="0" w:space="0" w:color="auto"/>
        <w:bottom w:val="none" w:sz="0" w:space="0" w:color="auto"/>
        <w:right w:val="none" w:sz="0" w:space="0" w:color="auto"/>
      </w:divBdr>
      <w:divsChild>
        <w:div w:id="1751921149">
          <w:marLeft w:val="0"/>
          <w:marRight w:val="0"/>
          <w:marTop w:val="0"/>
          <w:marBottom w:val="0"/>
          <w:divBdr>
            <w:top w:val="none" w:sz="0" w:space="0" w:color="auto"/>
            <w:left w:val="none" w:sz="0" w:space="0" w:color="auto"/>
            <w:bottom w:val="none" w:sz="0" w:space="0" w:color="auto"/>
            <w:right w:val="none" w:sz="0" w:space="0" w:color="auto"/>
          </w:divBdr>
          <w:divsChild>
            <w:div w:id="98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7343">
      <w:bodyDiv w:val="1"/>
      <w:marLeft w:val="0"/>
      <w:marRight w:val="0"/>
      <w:marTop w:val="0"/>
      <w:marBottom w:val="0"/>
      <w:divBdr>
        <w:top w:val="none" w:sz="0" w:space="0" w:color="auto"/>
        <w:left w:val="none" w:sz="0" w:space="0" w:color="auto"/>
        <w:bottom w:val="none" w:sz="0" w:space="0" w:color="auto"/>
        <w:right w:val="none" w:sz="0" w:space="0" w:color="auto"/>
      </w:divBdr>
      <w:divsChild>
        <w:div w:id="1284922566">
          <w:marLeft w:val="0"/>
          <w:marRight w:val="0"/>
          <w:marTop w:val="0"/>
          <w:marBottom w:val="0"/>
          <w:divBdr>
            <w:top w:val="none" w:sz="0" w:space="0" w:color="auto"/>
            <w:left w:val="none" w:sz="0" w:space="0" w:color="auto"/>
            <w:bottom w:val="none" w:sz="0" w:space="0" w:color="auto"/>
            <w:right w:val="none" w:sz="0" w:space="0" w:color="auto"/>
          </w:divBdr>
          <w:divsChild>
            <w:div w:id="1747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0623">
      <w:bodyDiv w:val="1"/>
      <w:marLeft w:val="0"/>
      <w:marRight w:val="0"/>
      <w:marTop w:val="0"/>
      <w:marBottom w:val="0"/>
      <w:divBdr>
        <w:top w:val="none" w:sz="0" w:space="0" w:color="auto"/>
        <w:left w:val="none" w:sz="0" w:space="0" w:color="auto"/>
        <w:bottom w:val="none" w:sz="0" w:space="0" w:color="auto"/>
        <w:right w:val="none" w:sz="0" w:space="0" w:color="auto"/>
      </w:divBdr>
      <w:divsChild>
        <w:div w:id="403144151">
          <w:marLeft w:val="0"/>
          <w:marRight w:val="0"/>
          <w:marTop w:val="0"/>
          <w:marBottom w:val="0"/>
          <w:divBdr>
            <w:top w:val="none" w:sz="0" w:space="0" w:color="auto"/>
            <w:left w:val="none" w:sz="0" w:space="0" w:color="auto"/>
            <w:bottom w:val="none" w:sz="0" w:space="0" w:color="auto"/>
            <w:right w:val="none" w:sz="0" w:space="0" w:color="auto"/>
          </w:divBdr>
          <w:divsChild>
            <w:div w:id="18679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046173410">
          <w:marLeft w:val="0"/>
          <w:marRight w:val="0"/>
          <w:marTop w:val="0"/>
          <w:marBottom w:val="0"/>
          <w:divBdr>
            <w:top w:val="none" w:sz="0" w:space="0" w:color="auto"/>
            <w:left w:val="none" w:sz="0" w:space="0" w:color="auto"/>
            <w:bottom w:val="none" w:sz="0" w:space="0" w:color="auto"/>
            <w:right w:val="none" w:sz="0" w:space="0" w:color="auto"/>
          </w:divBdr>
        </w:div>
      </w:divsChild>
    </w:div>
    <w:div w:id="1091394245">
      <w:bodyDiv w:val="1"/>
      <w:marLeft w:val="0"/>
      <w:marRight w:val="0"/>
      <w:marTop w:val="0"/>
      <w:marBottom w:val="0"/>
      <w:divBdr>
        <w:top w:val="none" w:sz="0" w:space="0" w:color="auto"/>
        <w:left w:val="none" w:sz="0" w:space="0" w:color="auto"/>
        <w:bottom w:val="none" w:sz="0" w:space="0" w:color="auto"/>
        <w:right w:val="none" w:sz="0" w:space="0" w:color="auto"/>
      </w:divBdr>
      <w:divsChild>
        <w:div w:id="2063168989">
          <w:marLeft w:val="0"/>
          <w:marRight w:val="0"/>
          <w:marTop w:val="0"/>
          <w:marBottom w:val="0"/>
          <w:divBdr>
            <w:top w:val="none" w:sz="0" w:space="0" w:color="auto"/>
            <w:left w:val="none" w:sz="0" w:space="0" w:color="auto"/>
            <w:bottom w:val="none" w:sz="0" w:space="0" w:color="auto"/>
            <w:right w:val="none" w:sz="0" w:space="0" w:color="auto"/>
          </w:divBdr>
        </w:div>
      </w:divsChild>
    </w:div>
    <w:div w:id="1111709900">
      <w:bodyDiv w:val="1"/>
      <w:marLeft w:val="0"/>
      <w:marRight w:val="0"/>
      <w:marTop w:val="0"/>
      <w:marBottom w:val="0"/>
      <w:divBdr>
        <w:top w:val="none" w:sz="0" w:space="0" w:color="auto"/>
        <w:left w:val="none" w:sz="0" w:space="0" w:color="auto"/>
        <w:bottom w:val="none" w:sz="0" w:space="0" w:color="auto"/>
        <w:right w:val="none" w:sz="0" w:space="0" w:color="auto"/>
      </w:divBdr>
      <w:divsChild>
        <w:div w:id="2111267642">
          <w:marLeft w:val="0"/>
          <w:marRight w:val="0"/>
          <w:marTop w:val="0"/>
          <w:marBottom w:val="0"/>
          <w:divBdr>
            <w:top w:val="none" w:sz="0" w:space="0" w:color="auto"/>
            <w:left w:val="none" w:sz="0" w:space="0" w:color="auto"/>
            <w:bottom w:val="none" w:sz="0" w:space="0" w:color="auto"/>
            <w:right w:val="none" w:sz="0" w:space="0" w:color="auto"/>
          </w:divBdr>
          <w:divsChild>
            <w:div w:id="1565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457">
      <w:bodyDiv w:val="1"/>
      <w:marLeft w:val="0"/>
      <w:marRight w:val="0"/>
      <w:marTop w:val="0"/>
      <w:marBottom w:val="0"/>
      <w:divBdr>
        <w:top w:val="none" w:sz="0" w:space="0" w:color="auto"/>
        <w:left w:val="none" w:sz="0" w:space="0" w:color="auto"/>
        <w:bottom w:val="none" w:sz="0" w:space="0" w:color="auto"/>
        <w:right w:val="none" w:sz="0" w:space="0" w:color="auto"/>
      </w:divBdr>
      <w:divsChild>
        <w:div w:id="1672902970">
          <w:marLeft w:val="0"/>
          <w:marRight w:val="0"/>
          <w:marTop w:val="0"/>
          <w:marBottom w:val="0"/>
          <w:divBdr>
            <w:top w:val="none" w:sz="0" w:space="0" w:color="auto"/>
            <w:left w:val="none" w:sz="0" w:space="0" w:color="auto"/>
            <w:bottom w:val="none" w:sz="0" w:space="0" w:color="auto"/>
            <w:right w:val="none" w:sz="0" w:space="0" w:color="auto"/>
          </w:divBdr>
        </w:div>
      </w:divsChild>
    </w:div>
    <w:div w:id="1144665798">
      <w:bodyDiv w:val="1"/>
      <w:marLeft w:val="0"/>
      <w:marRight w:val="0"/>
      <w:marTop w:val="0"/>
      <w:marBottom w:val="0"/>
      <w:divBdr>
        <w:top w:val="none" w:sz="0" w:space="0" w:color="auto"/>
        <w:left w:val="none" w:sz="0" w:space="0" w:color="auto"/>
        <w:bottom w:val="none" w:sz="0" w:space="0" w:color="auto"/>
        <w:right w:val="none" w:sz="0" w:space="0" w:color="auto"/>
      </w:divBdr>
      <w:divsChild>
        <w:div w:id="7561221">
          <w:marLeft w:val="0"/>
          <w:marRight w:val="0"/>
          <w:marTop w:val="0"/>
          <w:marBottom w:val="0"/>
          <w:divBdr>
            <w:top w:val="none" w:sz="0" w:space="0" w:color="auto"/>
            <w:left w:val="none" w:sz="0" w:space="0" w:color="auto"/>
            <w:bottom w:val="none" w:sz="0" w:space="0" w:color="auto"/>
            <w:right w:val="none" w:sz="0" w:space="0" w:color="auto"/>
          </w:divBdr>
        </w:div>
      </w:divsChild>
    </w:div>
    <w:div w:id="1166166895">
      <w:bodyDiv w:val="1"/>
      <w:marLeft w:val="0"/>
      <w:marRight w:val="0"/>
      <w:marTop w:val="0"/>
      <w:marBottom w:val="0"/>
      <w:divBdr>
        <w:top w:val="none" w:sz="0" w:space="0" w:color="auto"/>
        <w:left w:val="none" w:sz="0" w:space="0" w:color="auto"/>
        <w:bottom w:val="none" w:sz="0" w:space="0" w:color="auto"/>
        <w:right w:val="none" w:sz="0" w:space="0" w:color="auto"/>
      </w:divBdr>
      <w:divsChild>
        <w:div w:id="1737437399">
          <w:marLeft w:val="0"/>
          <w:marRight w:val="0"/>
          <w:marTop w:val="0"/>
          <w:marBottom w:val="0"/>
          <w:divBdr>
            <w:top w:val="none" w:sz="0" w:space="0" w:color="auto"/>
            <w:left w:val="none" w:sz="0" w:space="0" w:color="auto"/>
            <w:bottom w:val="none" w:sz="0" w:space="0" w:color="auto"/>
            <w:right w:val="none" w:sz="0" w:space="0" w:color="auto"/>
          </w:divBdr>
        </w:div>
      </w:divsChild>
    </w:div>
    <w:div w:id="1175221394">
      <w:bodyDiv w:val="1"/>
      <w:marLeft w:val="0"/>
      <w:marRight w:val="0"/>
      <w:marTop w:val="0"/>
      <w:marBottom w:val="0"/>
      <w:divBdr>
        <w:top w:val="none" w:sz="0" w:space="0" w:color="auto"/>
        <w:left w:val="none" w:sz="0" w:space="0" w:color="auto"/>
        <w:bottom w:val="none" w:sz="0" w:space="0" w:color="auto"/>
        <w:right w:val="none" w:sz="0" w:space="0" w:color="auto"/>
      </w:divBdr>
      <w:divsChild>
        <w:div w:id="1129009740">
          <w:marLeft w:val="0"/>
          <w:marRight w:val="0"/>
          <w:marTop w:val="0"/>
          <w:marBottom w:val="0"/>
          <w:divBdr>
            <w:top w:val="none" w:sz="0" w:space="0" w:color="auto"/>
            <w:left w:val="none" w:sz="0" w:space="0" w:color="auto"/>
            <w:bottom w:val="none" w:sz="0" w:space="0" w:color="auto"/>
            <w:right w:val="none" w:sz="0" w:space="0" w:color="auto"/>
          </w:divBdr>
          <w:divsChild>
            <w:div w:id="11951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4190">
      <w:bodyDiv w:val="1"/>
      <w:marLeft w:val="0"/>
      <w:marRight w:val="0"/>
      <w:marTop w:val="0"/>
      <w:marBottom w:val="0"/>
      <w:divBdr>
        <w:top w:val="none" w:sz="0" w:space="0" w:color="auto"/>
        <w:left w:val="none" w:sz="0" w:space="0" w:color="auto"/>
        <w:bottom w:val="none" w:sz="0" w:space="0" w:color="auto"/>
        <w:right w:val="none" w:sz="0" w:space="0" w:color="auto"/>
      </w:divBdr>
      <w:divsChild>
        <w:div w:id="844325910">
          <w:marLeft w:val="0"/>
          <w:marRight w:val="0"/>
          <w:marTop w:val="0"/>
          <w:marBottom w:val="0"/>
          <w:divBdr>
            <w:top w:val="none" w:sz="0" w:space="0" w:color="auto"/>
            <w:left w:val="none" w:sz="0" w:space="0" w:color="auto"/>
            <w:bottom w:val="none" w:sz="0" w:space="0" w:color="auto"/>
            <w:right w:val="none" w:sz="0" w:space="0" w:color="auto"/>
          </w:divBdr>
        </w:div>
      </w:divsChild>
    </w:div>
    <w:div w:id="1238176991">
      <w:bodyDiv w:val="1"/>
      <w:marLeft w:val="0"/>
      <w:marRight w:val="0"/>
      <w:marTop w:val="0"/>
      <w:marBottom w:val="0"/>
      <w:divBdr>
        <w:top w:val="none" w:sz="0" w:space="0" w:color="auto"/>
        <w:left w:val="none" w:sz="0" w:space="0" w:color="auto"/>
        <w:bottom w:val="none" w:sz="0" w:space="0" w:color="auto"/>
        <w:right w:val="none" w:sz="0" w:space="0" w:color="auto"/>
      </w:divBdr>
      <w:divsChild>
        <w:div w:id="1565683632">
          <w:marLeft w:val="0"/>
          <w:marRight w:val="0"/>
          <w:marTop w:val="0"/>
          <w:marBottom w:val="0"/>
          <w:divBdr>
            <w:top w:val="none" w:sz="0" w:space="0" w:color="auto"/>
            <w:left w:val="none" w:sz="0" w:space="0" w:color="auto"/>
            <w:bottom w:val="none" w:sz="0" w:space="0" w:color="auto"/>
            <w:right w:val="none" w:sz="0" w:space="0" w:color="auto"/>
          </w:divBdr>
        </w:div>
      </w:divsChild>
    </w:div>
    <w:div w:id="1274361253">
      <w:bodyDiv w:val="1"/>
      <w:marLeft w:val="0"/>
      <w:marRight w:val="0"/>
      <w:marTop w:val="0"/>
      <w:marBottom w:val="0"/>
      <w:divBdr>
        <w:top w:val="none" w:sz="0" w:space="0" w:color="auto"/>
        <w:left w:val="none" w:sz="0" w:space="0" w:color="auto"/>
        <w:bottom w:val="none" w:sz="0" w:space="0" w:color="auto"/>
        <w:right w:val="none" w:sz="0" w:space="0" w:color="auto"/>
      </w:divBdr>
      <w:divsChild>
        <w:div w:id="74672965">
          <w:marLeft w:val="0"/>
          <w:marRight w:val="0"/>
          <w:marTop w:val="0"/>
          <w:marBottom w:val="0"/>
          <w:divBdr>
            <w:top w:val="none" w:sz="0" w:space="0" w:color="auto"/>
            <w:left w:val="none" w:sz="0" w:space="0" w:color="auto"/>
            <w:bottom w:val="none" w:sz="0" w:space="0" w:color="auto"/>
            <w:right w:val="none" w:sz="0" w:space="0" w:color="auto"/>
          </w:divBdr>
        </w:div>
      </w:divsChild>
    </w:div>
    <w:div w:id="1286040844">
      <w:bodyDiv w:val="1"/>
      <w:marLeft w:val="0"/>
      <w:marRight w:val="0"/>
      <w:marTop w:val="0"/>
      <w:marBottom w:val="0"/>
      <w:divBdr>
        <w:top w:val="none" w:sz="0" w:space="0" w:color="auto"/>
        <w:left w:val="none" w:sz="0" w:space="0" w:color="auto"/>
        <w:bottom w:val="none" w:sz="0" w:space="0" w:color="auto"/>
        <w:right w:val="none" w:sz="0" w:space="0" w:color="auto"/>
      </w:divBdr>
      <w:divsChild>
        <w:div w:id="2043089439">
          <w:marLeft w:val="0"/>
          <w:marRight w:val="0"/>
          <w:marTop w:val="0"/>
          <w:marBottom w:val="0"/>
          <w:divBdr>
            <w:top w:val="none" w:sz="0" w:space="0" w:color="auto"/>
            <w:left w:val="none" w:sz="0" w:space="0" w:color="auto"/>
            <w:bottom w:val="none" w:sz="0" w:space="0" w:color="auto"/>
            <w:right w:val="none" w:sz="0" w:space="0" w:color="auto"/>
          </w:divBdr>
        </w:div>
      </w:divsChild>
    </w:div>
    <w:div w:id="1287733521">
      <w:bodyDiv w:val="1"/>
      <w:marLeft w:val="0"/>
      <w:marRight w:val="0"/>
      <w:marTop w:val="0"/>
      <w:marBottom w:val="0"/>
      <w:divBdr>
        <w:top w:val="none" w:sz="0" w:space="0" w:color="auto"/>
        <w:left w:val="none" w:sz="0" w:space="0" w:color="auto"/>
        <w:bottom w:val="none" w:sz="0" w:space="0" w:color="auto"/>
        <w:right w:val="none" w:sz="0" w:space="0" w:color="auto"/>
      </w:divBdr>
      <w:divsChild>
        <w:div w:id="1406881766">
          <w:marLeft w:val="0"/>
          <w:marRight w:val="0"/>
          <w:marTop w:val="0"/>
          <w:marBottom w:val="0"/>
          <w:divBdr>
            <w:top w:val="none" w:sz="0" w:space="0" w:color="auto"/>
            <w:left w:val="none" w:sz="0" w:space="0" w:color="auto"/>
            <w:bottom w:val="none" w:sz="0" w:space="0" w:color="auto"/>
            <w:right w:val="none" w:sz="0" w:space="0" w:color="auto"/>
          </w:divBdr>
        </w:div>
      </w:divsChild>
    </w:div>
    <w:div w:id="1288244112">
      <w:bodyDiv w:val="1"/>
      <w:marLeft w:val="0"/>
      <w:marRight w:val="0"/>
      <w:marTop w:val="0"/>
      <w:marBottom w:val="0"/>
      <w:divBdr>
        <w:top w:val="none" w:sz="0" w:space="0" w:color="auto"/>
        <w:left w:val="none" w:sz="0" w:space="0" w:color="auto"/>
        <w:bottom w:val="none" w:sz="0" w:space="0" w:color="auto"/>
        <w:right w:val="none" w:sz="0" w:space="0" w:color="auto"/>
      </w:divBdr>
      <w:divsChild>
        <w:div w:id="500511539">
          <w:marLeft w:val="0"/>
          <w:marRight w:val="0"/>
          <w:marTop w:val="0"/>
          <w:marBottom w:val="0"/>
          <w:divBdr>
            <w:top w:val="none" w:sz="0" w:space="0" w:color="auto"/>
            <w:left w:val="none" w:sz="0" w:space="0" w:color="auto"/>
            <w:bottom w:val="none" w:sz="0" w:space="0" w:color="auto"/>
            <w:right w:val="none" w:sz="0" w:space="0" w:color="auto"/>
          </w:divBdr>
        </w:div>
      </w:divsChild>
    </w:div>
    <w:div w:id="1302232098">
      <w:bodyDiv w:val="1"/>
      <w:marLeft w:val="0"/>
      <w:marRight w:val="0"/>
      <w:marTop w:val="0"/>
      <w:marBottom w:val="0"/>
      <w:divBdr>
        <w:top w:val="none" w:sz="0" w:space="0" w:color="auto"/>
        <w:left w:val="none" w:sz="0" w:space="0" w:color="auto"/>
        <w:bottom w:val="none" w:sz="0" w:space="0" w:color="auto"/>
        <w:right w:val="none" w:sz="0" w:space="0" w:color="auto"/>
      </w:divBdr>
      <w:divsChild>
        <w:div w:id="432282668">
          <w:marLeft w:val="0"/>
          <w:marRight w:val="0"/>
          <w:marTop w:val="0"/>
          <w:marBottom w:val="0"/>
          <w:divBdr>
            <w:top w:val="none" w:sz="0" w:space="0" w:color="auto"/>
            <w:left w:val="none" w:sz="0" w:space="0" w:color="auto"/>
            <w:bottom w:val="none" w:sz="0" w:space="0" w:color="auto"/>
            <w:right w:val="none" w:sz="0" w:space="0" w:color="auto"/>
          </w:divBdr>
        </w:div>
      </w:divsChild>
    </w:div>
    <w:div w:id="1345665895">
      <w:bodyDiv w:val="1"/>
      <w:marLeft w:val="0"/>
      <w:marRight w:val="0"/>
      <w:marTop w:val="0"/>
      <w:marBottom w:val="0"/>
      <w:divBdr>
        <w:top w:val="none" w:sz="0" w:space="0" w:color="auto"/>
        <w:left w:val="none" w:sz="0" w:space="0" w:color="auto"/>
        <w:bottom w:val="none" w:sz="0" w:space="0" w:color="auto"/>
        <w:right w:val="none" w:sz="0" w:space="0" w:color="auto"/>
      </w:divBdr>
      <w:divsChild>
        <w:div w:id="1715039602">
          <w:marLeft w:val="0"/>
          <w:marRight w:val="0"/>
          <w:marTop w:val="0"/>
          <w:marBottom w:val="0"/>
          <w:divBdr>
            <w:top w:val="none" w:sz="0" w:space="0" w:color="auto"/>
            <w:left w:val="none" w:sz="0" w:space="0" w:color="auto"/>
            <w:bottom w:val="none" w:sz="0" w:space="0" w:color="auto"/>
            <w:right w:val="none" w:sz="0" w:space="0" w:color="auto"/>
          </w:divBdr>
        </w:div>
      </w:divsChild>
    </w:div>
    <w:div w:id="1357466004">
      <w:bodyDiv w:val="1"/>
      <w:marLeft w:val="0"/>
      <w:marRight w:val="0"/>
      <w:marTop w:val="0"/>
      <w:marBottom w:val="0"/>
      <w:divBdr>
        <w:top w:val="none" w:sz="0" w:space="0" w:color="auto"/>
        <w:left w:val="none" w:sz="0" w:space="0" w:color="auto"/>
        <w:bottom w:val="none" w:sz="0" w:space="0" w:color="auto"/>
        <w:right w:val="none" w:sz="0" w:space="0" w:color="auto"/>
      </w:divBdr>
      <w:divsChild>
        <w:div w:id="774789879">
          <w:marLeft w:val="0"/>
          <w:marRight w:val="0"/>
          <w:marTop w:val="0"/>
          <w:marBottom w:val="0"/>
          <w:divBdr>
            <w:top w:val="none" w:sz="0" w:space="0" w:color="auto"/>
            <w:left w:val="none" w:sz="0" w:space="0" w:color="auto"/>
            <w:bottom w:val="none" w:sz="0" w:space="0" w:color="auto"/>
            <w:right w:val="none" w:sz="0" w:space="0" w:color="auto"/>
          </w:divBdr>
        </w:div>
      </w:divsChild>
    </w:div>
    <w:div w:id="1378159850">
      <w:bodyDiv w:val="1"/>
      <w:marLeft w:val="0"/>
      <w:marRight w:val="0"/>
      <w:marTop w:val="0"/>
      <w:marBottom w:val="0"/>
      <w:divBdr>
        <w:top w:val="none" w:sz="0" w:space="0" w:color="auto"/>
        <w:left w:val="none" w:sz="0" w:space="0" w:color="auto"/>
        <w:bottom w:val="none" w:sz="0" w:space="0" w:color="auto"/>
        <w:right w:val="none" w:sz="0" w:space="0" w:color="auto"/>
      </w:divBdr>
      <w:divsChild>
        <w:div w:id="1392266461">
          <w:marLeft w:val="0"/>
          <w:marRight w:val="0"/>
          <w:marTop w:val="0"/>
          <w:marBottom w:val="0"/>
          <w:divBdr>
            <w:top w:val="none" w:sz="0" w:space="0" w:color="auto"/>
            <w:left w:val="single" w:sz="6" w:space="0" w:color="BBBBBB"/>
            <w:bottom w:val="single" w:sz="6" w:space="0" w:color="BBBBBB"/>
            <w:right w:val="single" w:sz="6" w:space="0" w:color="BBBBBB"/>
          </w:divBdr>
          <w:divsChild>
            <w:div w:id="2052462479">
              <w:marLeft w:val="0"/>
              <w:marRight w:val="0"/>
              <w:marTop w:val="0"/>
              <w:marBottom w:val="0"/>
              <w:divBdr>
                <w:top w:val="none" w:sz="0" w:space="0" w:color="auto"/>
                <w:left w:val="none" w:sz="0" w:space="0" w:color="auto"/>
                <w:bottom w:val="none" w:sz="0" w:space="0" w:color="auto"/>
                <w:right w:val="none" w:sz="0" w:space="0" w:color="auto"/>
              </w:divBdr>
              <w:divsChild>
                <w:div w:id="711002559">
                  <w:marLeft w:val="0"/>
                  <w:marRight w:val="0"/>
                  <w:marTop w:val="0"/>
                  <w:marBottom w:val="0"/>
                  <w:divBdr>
                    <w:top w:val="none" w:sz="0" w:space="0" w:color="auto"/>
                    <w:left w:val="none" w:sz="0" w:space="0" w:color="auto"/>
                    <w:bottom w:val="none" w:sz="0" w:space="0" w:color="auto"/>
                    <w:right w:val="none" w:sz="0" w:space="0" w:color="auto"/>
                  </w:divBdr>
                  <w:divsChild>
                    <w:div w:id="1162283533">
                      <w:marLeft w:val="0"/>
                      <w:marRight w:val="0"/>
                      <w:marTop w:val="0"/>
                      <w:marBottom w:val="0"/>
                      <w:divBdr>
                        <w:top w:val="none" w:sz="0" w:space="0" w:color="auto"/>
                        <w:left w:val="none" w:sz="0" w:space="0" w:color="auto"/>
                        <w:bottom w:val="none" w:sz="0" w:space="0" w:color="auto"/>
                        <w:right w:val="none" w:sz="0" w:space="0" w:color="auto"/>
                      </w:divBdr>
                      <w:divsChild>
                        <w:div w:id="1325666030">
                          <w:marLeft w:val="0"/>
                          <w:marRight w:val="0"/>
                          <w:marTop w:val="0"/>
                          <w:marBottom w:val="0"/>
                          <w:divBdr>
                            <w:top w:val="none" w:sz="0" w:space="0" w:color="auto"/>
                            <w:left w:val="none" w:sz="0" w:space="0" w:color="auto"/>
                            <w:bottom w:val="none" w:sz="0" w:space="0" w:color="auto"/>
                            <w:right w:val="none" w:sz="0" w:space="0" w:color="auto"/>
                          </w:divBdr>
                          <w:divsChild>
                            <w:div w:id="828792213">
                              <w:marLeft w:val="0"/>
                              <w:marRight w:val="0"/>
                              <w:marTop w:val="0"/>
                              <w:marBottom w:val="0"/>
                              <w:divBdr>
                                <w:top w:val="none" w:sz="0" w:space="0" w:color="auto"/>
                                <w:left w:val="none" w:sz="0" w:space="0" w:color="auto"/>
                                <w:bottom w:val="none" w:sz="0" w:space="0" w:color="auto"/>
                                <w:right w:val="none" w:sz="0" w:space="0" w:color="auto"/>
                              </w:divBdr>
                              <w:divsChild>
                                <w:div w:id="467478629">
                                  <w:marLeft w:val="0"/>
                                  <w:marRight w:val="0"/>
                                  <w:marTop w:val="0"/>
                                  <w:marBottom w:val="0"/>
                                  <w:divBdr>
                                    <w:top w:val="none" w:sz="0" w:space="0" w:color="auto"/>
                                    <w:left w:val="none" w:sz="0" w:space="0" w:color="auto"/>
                                    <w:bottom w:val="none" w:sz="0" w:space="0" w:color="auto"/>
                                    <w:right w:val="none" w:sz="0" w:space="0" w:color="auto"/>
                                  </w:divBdr>
                                  <w:divsChild>
                                    <w:div w:id="2054378579">
                                      <w:marLeft w:val="0"/>
                                      <w:marRight w:val="0"/>
                                      <w:marTop w:val="0"/>
                                      <w:marBottom w:val="0"/>
                                      <w:divBdr>
                                        <w:top w:val="none" w:sz="0" w:space="0" w:color="auto"/>
                                        <w:left w:val="none" w:sz="0" w:space="0" w:color="auto"/>
                                        <w:bottom w:val="none" w:sz="0" w:space="0" w:color="auto"/>
                                        <w:right w:val="none" w:sz="0" w:space="0" w:color="auto"/>
                                      </w:divBdr>
                                      <w:divsChild>
                                        <w:div w:id="911935992">
                                          <w:marLeft w:val="1266"/>
                                          <w:marRight w:val="1266"/>
                                          <w:marTop w:val="0"/>
                                          <w:marBottom w:val="0"/>
                                          <w:divBdr>
                                            <w:top w:val="none" w:sz="0" w:space="0" w:color="auto"/>
                                            <w:left w:val="none" w:sz="0" w:space="0" w:color="auto"/>
                                            <w:bottom w:val="none" w:sz="0" w:space="0" w:color="auto"/>
                                            <w:right w:val="none" w:sz="0" w:space="0" w:color="auto"/>
                                          </w:divBdr>
                                          <w:divsChild>
                                            <w:div w:id="1650748935">
                                              <w:marLeft w:val="0"/>
                                              <w:marRight w:val="0"/>
                                              <w:marTop w:val="0"/>
                                              <w:marBottom w:val="0"/>
                                              <w:divBdr>
                                                <w:top w:val="none" w:sz="0" w:space="0" w:color="auto"/>
                                                <w:left w:val="none" w:sz="0" w:space="0" w:color="auto"/>
                                                <w:bottom w:val="none" w:sz="0" w:space="0" w:color="auto"/>
                                                <w:right w:val="none" w:sz="0" w:space="0" w:color="auto"/>
                                              </w:divBdr>
                                              <w:divsChild>
                                                <w:div w:id="1494566856">
                                                  <w:marLeft w:val="0"/>
                                                  <w:marRight w:val="0"/>
                                                  <w:marTop w:val="0"/>
                                                  <w:marBottom w:val="0"/>
                                                  <w:divBdr>
                                                    <w:top w:val="none" w:sz="0" w:space="0" w:color="auto"/>
                                                    <w:left w:val="none" w:sz="0" w:space="0" w:color="auto"/>
                                                    <w:bottom w:val="none" w:sz="0" w:space="0" w:color="auto"/>
                                                    <w:right w:val="none" w:sz="0" w:space="0" w:color="auto"/>
                                                  </w:divBdr>
                                                  <w:divsChild>
                                                    <w:div w:id="28339650">
                                                      <w:marLeft w:val="0"/>
                                                      <w:marRight w:val="0"/>
                                                      <w:marTop w:val="0"/>
                                                      <w:marBottom w:val="0"/>
                                                      <w:divBdr>
                                                        <w:top w:val="none" w:sz="0" w:space="0" w:color="auto"/>
                                                        <w:left w:val="none" w:sz="0" w:space="0" w:color="auto"/>
                                                        <w:bottom w:val="none" w:sz="0" w:space="0" w:color="auto"/>
                                                        <w:right w:val="none" w:sz="0" w:space="0" w:color="auto"/>
                                                      </w:divBdr>
                                                      <w:divsChild>
                                                        <w:div w:id="475297774">
                                                          <w:marLeft w:val="0"/>
                                                          <w:marRight w:val="0"/>
                                                          <w:marTop w:val="0"/>
                                                          <w:marBottom w:val="0"/>
                                                          <w:divBdr>
                                                            <w:top w:val="none" w:sz="0" w:space="0" w:color="auto"/>
                                                            <w:left w:val="none" w:sz="0" w:space="0" w:color="auto"/>
                                                            <w:bottom w:val="none" w:sz="0" w:space="0" w:color="auto"/>
                                                            <w:right w:val="none" w:sz="0" w:space="0" w:color="auto"/>
                                                          </w:divBdr>
                                                          <w:divsChild>
                                                            <w:div w:id="142084581">
                                                              <w:marLeft w:val="0"/>
                                                              <w:marRight w:val="0"/>
                                                              <w:marTop w:val="0"/>
                                                              <w:marBottom w:val="0"/>
                                                              <w:divBdr>
                                                                <w:top w:val="none" w:sz="0" w:space="0" w:color="auto"/>
                                                                <w:left w:val="none" w:sz="0" w:space="0" w:color="auto"/>
                                                                <w:bottom w:val="none" w:sz="0" w:space="0" w:color="auto"/>
                                                                <w:right w:val="none" w:sz="0" w:space="0" w:color="auto"/>
                                                              </w:divBdr>
                                                              <w:divsChild>
                                                                <w:div w:id="1392197950">
                                                                  <w:marLeft w:val="0"/>
                                                                  <w:marRight w:val="0"/>
                                                                  <w:marTop w:val="0"/>
                                                                  <w:marBottom w:val="0"/>
                                                                  <w:divBdr>
                                                                    <w:top w:val="none" w:sz="0" w:space="0" w:color="auto"/>
                                                                    <w:left w:val="none" w:sz="0" w:space="0" w:color="auto"/>
                                                                    <w:bottom w:val="none" w:sz="0" w:space="0" w:color="auto"/>
                                                                    <w:right w:val="none" w:sz="0" w:space="0" w:color="auto"/>
                                                                  </w:divBdr>
                                                                  <w:divsChild>
                                                                    <w:div w:id="1751852871">
                                                                      <w:marLeft w:val="0"/>
                                                                      <w:marRight w:val="0"/>
                                                                      <w:marTop w:val="0"/>
                                                                      <w:marBottom w:val="0"/>
                                                                      <w:divBdr>
                                                                        <w:top w:val="none" w:sz="0" w:space="0" w:color="auto"/>
                                                                        <w:left w:val="none" w:sz="0" w:space="0" w:color="auto"/>
                                                                        <w:bottom w:val="none" w:sz="0" w:space="0" w:color="auto"/>
                                                                        <w:right w:val="none" w:sz="0" w:space="0" w:color="auto"/>
                                                                      </w:divBdr>
                                                                      <w:divsChild>
                                                                        <w:div w:id="5538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8022">
      <w:bodyDiv w:val="1"/>
      <w:marLeft w:val="0"/>
      <w:marRight w:val="0"/>
      <w:marTop w:val="0"/>
      <w:marBottom w:val="0"/>
      <w:divBdr>
        <w:top w:val="none" w:sz="0" w:space="0" w:color="auto"/>
        <w:left w:val="none" w:sz="0" w:space="0" w:color="auto"/>
        <w:bottom w:val="none" w:sz="0" w:space="0" w:color="auto"/>
        <w:right w:val="none" w:sz="0" w:space="0" w:color="auto"/>
      </w:divBdr>
      <w:divsChild>
        <w:div w:id="1116171577">
          <w:marLeft w:val="0"/>
          <w:marRight w:val="0"/>
          <w:marTop w:val="0"/>
          <w:marBottom w:val="0"/>
          <w:divBdr>
            <w:top w:val="none" w:sz="0" w:space="0" w:color="auto"/>
            <w:left w:val="none" w:sz="0" w:space="0" w:color="auto"/>
            <w:bottom w:val="none" w:sz="0" w:space="0" w:color="auto"/>
            <w:right w:val="none" w:sz="0" w:space="0" w:color="auto"/>
          </w:divBdr>
          <w:divsChild>
            <w:div w:id="743379917">
              <w:marLeft w:val="0"/>
              <w:marRight w:val="0"/>
              <w:marTop w:val="0"/>
              <w:marBottom w:val="0"/>
              <w:divBdr>
                <w:top w:val="none" w:sz="0" w:space="0" w:color="auto"/>
                <w:left w:val="none" w:sz="0" w:space="0" w:color="auto"/>
                <w:bottom w:val="none" w:sz="0" w:space="0" w:color="auto"/>
                <w:right w:val="none" w:sz="0" w:space="0" w:color="auto"/>
              </w:divBdr>
            </w:div>
            <w:div w:id="881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8200">
      <w:bodyDiv w:val="1"/>
      <w:marLeft w:val="0"/>
      <w:marRight w:val="0"/>
      <w:marTop w:val="0"/>
      <w:marBottom w:val="0"/>
      <w:divBdr>
        <w:top w:val="none" w:sz="0" w:space="0" w:color="auto"/>
        <w:left w:val="none" w:sz="0" w:space="0" w:color="auto"/>
        <w:bottom w:val="none" w:sz="0" w:space="0" w:color="auto"/>
        <w:right w:val="none" w:sz="0" w:space="0" w:color="auto"/>
      </w:divBdr>
      <w:divsChild>
        <w:div w:id="257950379">
          <w:marLeft w:val="0"/>
          <w:marRight w:val="0"/>
          <w:marTop w:val="0"/>
          <w:marBottom w:val="0"/>
          <w:divBdr>
            <w:top w:val="none" w:sz="0" w:space="0" w:color="auto"/>
            <w:left w:val="none" w:sz="0" w:space="0" w:color="auto"/>
            <w:bottom w:val="none" w:sz="0" w:space="0" w:color="auto"/>
            <w:right w:val="none" w:sz="0" w:space="0" w:color="auto"/>
          </w:divBdr>
        </w:div>
      </w:divsChild>
    </w:div>
    <w:div w:id="1415587828">
      <w:bodyDiv w:val="1"/>
      <w:marLeft w:val="0"/>
      <w:marRight w:val="0"/>
      <w:marTop w:val="0"/>
      <w:marBottom w:val="0"/>
      <w:divBdr>
        <w:top w:val="none" w:sz="0" w:space="0" w:color="auto"/>
        <w:left w:val="none" w:sz="0" w:space="0" w:color="auto"/>
        <w:bottom w:val="none" w:sz="0" w:space="0" w:color="auto"/>
        <w:right w:val="none" w:sz="0" w:space="0" w:color="auto"/>
      </w:divBdr>
      <w:divsChild>
        <w:div w:id="1176575193">
          <w:marLeft w:val="0"/>
          <w:marRight w:val="0"/>
          <w:marTop w:val="0"/>
          <w:marBottom w:val="0"/>
          <w:divBdr>
            <w:top w:val="none" w:sz="0" w:space="0" w:color="auto"/>
            <w:left w:val="none" w:sz="0" w:space="0" w:color="auto"/>
            <w:bottom w:val="none" w:sz="0" w:space="0" w:color="auto"/>
            <w:right w:val="none" w:sz="0" w:space="0" w:color="auto"/>
          </w:divBdr>
        </w:div>
      </w:divsChild>
    </w:div>
    <w:div w:id="1473983653">
      <w:bodyDiv w:val="1"/>
      <w:marLeft w:val="0"/>
      <w:marRight w:val="0"/>
      <w:marTop w:val="0"/>
      <w:marBottom w:val="0"/>
      <w:divBdr>
        <w:top w:val="none" w:sz="0" w:space="0" w:color="auto"/>
        <w:left w:val="none" w:sz="0" w:space="0" w:color="auto"/>
        <w:bottom w:val="none" w:sz="0" w:space="0" w:color="auto"/>
        <w:right w:val="none" w:sz="0" w:space="0" w:color="auto"/>
      </w:divBdr>
      <w:divsChild>
        <w:div w:id="516625285">
          <w:marLeft w:val="0"/>
          <w:marRight w:val="0"/>
          <w:marTop w:val="0"/>
          <w:marBottom w:val="0"/>
          <w:divBdr>
            <w:top w:val="none" w:sz="0" w:space="0" w:color="auto"/>
            <w:left w:val="none" w:sz="0" w:space="0" w:color="auto"/>
            <w:bottom w:val="none" w:sz="0" w:space="0" w:color="auto"/>
            <w:right w:val="none" w:sz="0" w:space="0" w:color="auto"/>
          </w:divBdr>
        </w:div>
      </w:divsChild>
    </w:div>
    <w:div w:id="1488939611">
      <w:bodyDiv w:val="1"/>
      <w:marLeft w:val="0"/>
      <w:marRight w:val="0"/>
      <w:marTop w:val="0"/>
      <w:marBottom w:val="0"/>
      <w:divBdr>
        <w:top w:val="none" w:sz="0" w:space="0" w:color="auto"/>
        <w:left w:val="none" w:sz="0" w:space="0" w:color="auto"/>
        <w:bottom w:val="none" w:sz="0" w:space="0" w:color="auto"/>
        <w:right w:val="none" w:sz="0" w:space="0" w:color="auto"/>
      </w:divBdr>
      <w:divsChild>
        <w:div w:id="517550216">
          <w:marLeft w:val="0"/>
          <w:marRight w:val="0"/>
          <w:marTop w:val="0"/>
          <w:marBottom w:val="0"/>
          <w:divBdr>
            <w:top w:val="none" w:sz="0" w:space="0" w:color="auto"/>
            <w:left w:val="none" w:sz="0" w:space="0" w:color="auto"/>
            <w:bottom w:val="none" w:sz="0" w:space="0" w:color="auto"/>
            <w:right w:val="none" w:sz="0" w:space="0" w:color="auto"/>
          </w:divBdr>
        </w:div>
      </w:divsChild>
    </w:div>
    <w:div w:id="1526215262">
      <w:bodyDiv w:val="1"/>
      <w:marLeft w:val="0"/>
      <w:marRight w:val="0"/>
      <w:marTop w:val="0"/>
      <w:marBottom w:val="0"/>
      <w:divBdr>
        <w:top w:val="none" w:sz="0" w:space="0" w:color="auto"/>
        <w:left w:val="none" w:sz="0" w:space="0" w:color="auto"/>
        <w:bottom w:val="none" w:sz="0" w:space="0" w:color="auto"/>
        <w:right w:val="none" w:sz="0" w:space="0" w:color="auto"/>
      </w:divBdr>
      <w:divsChild>
        <w:div w:id="1216626591">
          <w:marLeft w:val="0"/>
          <w:marRight w:val="0"/>
          <w:marTop w:val="0"/>
          <w:marBottom w:val="0"/>
          <w:divBdr>
            <w:top w:val="none" w:sz="0" w:space="0" w:color="auto"/>
            <w:left w:val="none" w:sz="0" w:space="0" w:color="auto"/>
            <w:bottom w:val="none" w:sz="0" w:space="0" w:color="auto"/>
            <w:right w:val="none" w:sz="0" w:space="0" w:color="auto"/>
          </w:divBdr>
        </w:div>
      </w:divsChild>
    </w:div>
    <w:div w:id="1531140997">
      <w:bodyDiv w:val="1"/>
      <w:marLeft w:val="0"/>
      <w:marRight w:val="0"/>
      <w:marTop w:val="0"/>
      <w:marBottom w:val="0"/>
      <w:divBdr>
        <w:top w:val="none" w:sz="0" w:space="0" w:color="auto"/>
        <w:left w:val="none" w:sz="0" w:space="0" w:color="auto"/>
        <w:bottom w:val="none" w:sz="0" w:space="0" w:color="auto"/>
        <w:right w:val="none" w:sz="0" w:space="0" w:color="auto"/>
      </w:divBdr>
      <w:divsChild>
        <w:div w:id="1951736396">
          <w:marLeft w:val="0"/>
          <w:marRight w:val="0"/>
          <w:marTop w:val="0"/>
          <w:marBottom w:val="0"/>
          <w:divBdr>
            <w:top w:val="none" w:sz="0" w:space="0" w:color="auto"/>
            <w:left w:val="none" w:sz="0" w:space="0" w:color="auto"/>
            <w:bottom w:val="none" w:sz="0" w:space="0" w:color="auto"/>
            <w:right w:val="none" w:sz="0" w:space="0" w:color="auto"/>
          </w:divBdr>
        </w:div>
      </w:divsChild>
    </w:div>
    <w:div w:id="1543902997">
      <w:bodyDiv w:val="1"/>
      <w:marLeft w:val="0"/>
      <w:marRight w:val="0"/>
      <w:marTop w:val="0"/>
      <w:marBottom w:val="0"/>
      <w:divBdr>
        <w:top w:val="none" w:sz="0" w:space="0" w:color="auto"/>
        <w:left w:val="none" w:sz="0" w:space="0" w:color="auto"/>
        <w:bottom w:val="none" w:sz="0" w:space="0" w:color="auto"/>
        <w:right w:val="none" w:sz="0" w:space="0" w:color="auto"/>
      </w:divBdr>
      <w:divsChild>
        <w:div w:id="1715931960">
          <w:marLeft w:val="0"/>
          <w:marRight w:val="0"/>
          <w:marTop w:val="0"/>
          <w:marBottom w:val="0"/>
          <w:divBdr>
            <w:top w:val="none" w:sz="0" w:space="0" w:color="auto"/>
            <w:left w:val="none" w:sz="0" w:space="0" w:color="auto"/>
            <w:bottom w:val="none" w:sz="0" w:space="0" w:color="auto"/>
            <w:right w:val="none" w:sz="0" w:space="0" w:color="auto"/>
          </w:divBdr>
        </w:div>
      </w:divsChild>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sChild>
        <w:div w:id="1505314823">
          <w:marLeft w:val="0"/>
          <w:marRight w:val="0"/>
          <w:marTop w:val="0"/>
          <w:marBottom w:val="0"/>
          <w:divBdr>
            <w:top w:val="none" w:sz="0" w:space="0" w:color="auto"/>
            <w:left w:val="none" w:sz="0" w:space="0" w:color="auto"/>
            <w:bottom w:val="none" w:sz="0" w:space="0" w:color="auto"/>
            <w:right w:val="none" w:sz="0" w:space="0" w:color="auto"/>
          </w:divBdr>
        </w:div>
      </w:divsChild>
    </w:div>
    <w:div w:id="1574314813">
      <w:bodyDiv w:val="1"/>
      <w:marLeft w:val="0"/>
      <w:marRight w:val="0"/>
      <w:marTop w:val="0"/>
      <w:marBottom w:val="0"/>
      <w:divBdr>
        <w:top w:val="none" w:sz="0" w:space="0" w:color="auto"/>
        <w:left w:val="none" w:sz="0" w:space="0" w:color="auto"/>
        <w:bottom w:val="none" w:sz="0" w:space="0" w:color="auto"/>
        <w:right w:val="none" w:sz="0" w:space="0" w:color="auto"/>
      </w:divBdr>
      <w:divsChild>
        <w:div w:id="2058386333">
          <w:marLeft w:val="0"/>
          <w:marRight w:val="0"/>
          <w:marTop w:val="0"/>
          <w:marBottom w:val="0"/>
          <w:divBdr>
            <w:top w:val="none" w:sz="0" w:space="0" w:color="auto"/>
            <w:left w:val="none" w:sz="0" w:space="0" w:color="auto"/>
            <w:bottom w:val="none" w:sz="0" w:space="0" w:color="auto"/>
            <w:right w:val="none" w:sz="0" w:space="0" w:color="auto"/>
          </w:divBdr>
        </w:div>
      </w:divsChild>
    </w:div>
    <w:div w:id="1583370942">
      <w:bodyDiv w:val="1"/>
      <w:marLeft w:val="0"/>
      <w:marRight w:val="0"/>
      <w:marTop w:val="0"/>
      <w:marBottom w:val="0"/>
      <w:divBdr>
        <w:top w:val="none" w:sz="0" w:space="0" w:color="auto"/>
        <w:left w:val="none" w:sz="0" w:space="0" w:color="auto"/>
        <w:bottom w:val="none" w:sz="0" w:space="0" w:color="auto"/>
        <w:right w:val="none" w:sz="0" w:space="0" w:color="auto"/>
      </w:divBdr>
      <w:divsChild>
        <w:div w:id="1450321842">
          <w:marLeft w:val="0"/>
          <w:marRight w:val="0"/>
          <w:marTop w:val="0"/>
          <w:marBottom w:val="0"/>
          <w:divBdr>
            <w:top w:val="none" w:sz="0" w:space="0" w:color="auto"/>
            <w:left w:val="none" w:sz="0" w:space="0" w:color="auto"/>
            <w:bottom w:val="none" w:sz="0" w:space="0" w:color="auto"/>
            <w:right w:val="none" w:sz="0" w:space="0" w:color="auto"/>
          </w:divBdr>
        </w:div>
      </w:divsChild>
    </w:div>
    <w:div w:id="1602447213">
      <w:bodyDiv w:val="1"/>
      <w:marLeft w:val="0"/>
      <w:marRight w:val="0"/>
      <w:marTop w:val="0"/>
      <w:marBottom w:val="0"/>
      <w:divBdr>
        <w:top w:val="none" w:sz="0" w:space="0" w:color="auto"/>
        <w:left w:val="none" w:sz="0" w:space="0" w:color="auto"/>
        <w:bottom w:val="none" w:sz="0" w:space="0" w:color="auto"/>
        <w:right w:val="none" w:sz="0" w:space="0" w:color="auto"/>
      </w:divBdr>
      <w:divsChild>
        <w:div w:id="1923639559">
          <w:marLeft w:val="0"/>
          <w:marRight w:val="0"/>
          <w:marTop w:val="0"/>
          <w:marBottom w:val="0"/>
          <w:divBdr>
            <w:top w:val="none" w:sz="0" w:space="0" w:color="auto"/>
            <w:left w:val="none" w:sz="0" w:space="0" w:color="auto"/>
            <w:bottom w:val="none" w:sz="0" w:space="0" w:color="auto"/>
            <w:right w:val="none" w:sz="0" w:space="0" w:color="auto"/>
          </w:divBdr>
        </w:div>
      </w:divsChild>
    </w:div>
    <w:div w:id="1665934626">
      <w:bodyDiv w:val="1"/>
      <w:marLeft w:val="0"/>
      <w:marRight w:val="0"/>
      <w:marTop w:val="0"/>
      <w:marBottom w:val="0"/>
      <w:divBdr>
        <w:top w:val="none" w:sz="0" w:space="0" w:color="auto"/>
        <w:left w:val="none" w:sz="0" w:space="0" w:color="auto"/>
        <w:bottom w:val="none" w:sz="0" w:space="0" w:color="auto"/>
        <w:right w:val="none" w:sz="0" w:space="0" w:color="auto"/>
      </w:divBdr>
      <w:divsChild>
        <w:div w:id="1103451885">
          <w:marLeft w:val="0"/>
          <w:marRight w:val="0"/>
          <w:marTop w:val="0"/>
          <w:marBottom w:val="0"/>
          <w:divBdr>
            <w:top w:val="none" w:sz="0" w:space="0" w:color="auto"/>
            <w:left w:val="none" w:sz="0" w:space="0" w:color="auto"/>
            <w:bottom w:val="none" w:sz="0" w:space="0" w:color="auto"/>
            <w:right w:val="none" w:sz="0" w:space="0" w:color="auto"/>
          </w:divBdr>
        </w:div>
      </w:divsChild>
    </w:div>
    <w:div w:id="1735928919">
      <w:bodyDiv w:val="1"/>
      <w:marLeft w:val="0"/>
      <w:marRight w:val="0"/>
      <w:marTop w:val="0"/>
      <w:marBottom w:val="0"/>
      <w:divBdr>
        <w:top w:val="none" w:sz="0" w:space="0" w:color="auto"/>
        <w:left w:val="none" w:sz="0" w:space="0" w:color="auto"/>
        <w:bottom w:val="none" w:sz="0" w:space="0" w:color="auto"/>
        <w:right w:val="none" w:sz="0" w:space="0" w:color="auto"/>
      </w:divBdr>
      <w:divsChild>
        <w:div w:id="763962984">
          <w:marLeft w:val="0"/>
          <w:marRight w:val="0"/>
          <w:marTop w:val="0"/>
          <w:marBottom w:val="0"/>
          <w:divBdr>
            <w:top w:val="none" w:sz="0" w:space="0" w:color="auto"/>
            <w:left w:val="none" w:sz="0" w:space="0" w:color="auto"/>
            <w:bottom w:val="none" w:sz="0" w:space="0" w:color="auto"/>
            <w:right w:val="none" w:sz="0" w:space="0" w:color="auto"/>
          </w:divBdr>
        </w:div>
      </w:divsChild>
    </w:div>
    <w:div w:id="1741177246">
      <w:bodyDiv w:val="1"/>
      <w:marLeft w:val="0"/>
      <w:marRight w:val="0"/>
      <w:marTop w:val="0"/>
      <w:marBottom w:val="0"/>
      <w:divBdr>
        <w:top w:val="none" w:sz="0" w:space="0" w:color="auto"/>
        <w:left w:val="none" w:sz="0" w:space="0" w:color="auto"/>
        <w:bottom w:val="none" w:sz="0" w:space="0" w:color="auto"/>
        <w:right w:val="none" w:sz="0" w:space="0" w:color="auto"/>
      </w:divBdr>
      <w:divsChild>
        <w:div w:id="1482580061">
          <w:marLeft w:val="0"/>
          <w:marRight w:val="0"/>
          <w:marTop w:val="0"/>
          <w:marBottom w:val="0"/>
          <w:divBdr>
            <w:top w:val="none" w:sz="0" w:space="0" w:color="auto"/>
            <w:left w:val="none" w:sz="0" w:space="0" w:color="auto"/>
            <w:bottom w:val="none" w:sz="0" w:space="0" w:color="auto"/>
            <w:right w:val="none" w:sz="0" w:space="0" w:color="auto"/>
          </w:divBdr>
        </w:div>
      </w:divsChild>
    </w:div>
    <w:div w:id="1741950343">
      <w:bodyDiv w:val="1"/>
      <w:marLeft w:val="0"/>
      <w:marRight w:val="0"/>
      <w:marTop w:val="0"/>
      <w:marBottom w:val="0"/>
      <w:divBdr>
        <w:top w:val="none" w:sz="0" w:space="0" w:color="auto"/>
        <w:left w:val="none" w:sz="0" w:space="0" w:color="auto"/>
        <w:bottom w:val="none" w:sz="0" w:space="0" w:color="auto"/>
        <w:right w:val="none" w:sz="0" w:space="0" w:color="auto"/>
      </w:divBdr>
      <w:divsChild>
        <w:div w:id="1313753566">
          <w:marLeft w:val="0"/>
          <w:marRight w:val="0"/>
          <w:marTop w:val="0"/>
          <w:marBottom w:val="0"/>
          <w:divBdr>
            <w:top w:val="none" w:sz="0" w:space="0" w:color="auto"/>
            <w:left w:val="none" w:sz="0" w:space="0" w:color="auto"/>
            <w:bottom w:val="none" w:sz="0" w:space="0" w:color="auto"/>
            <w:right w:val="none" w:sz="0" w:space="0" w:color="auto"/>
          </w:divBdr>
          <w:divsChild>
            <w:div w:id="1176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8558">
      <w:bodyDiv w:val="1"/>
      <w:marLeft w:val="0"/>
      <w:marRight w:val="0"/>
      <w:marTop w:val="0"/>
      <w:marBottom w:val="0"/>
      <w:divBdr>
        <w:top w:val="none" w:sz="0" w:space="0" w:color="auto"/>
        <w:left w:val="none" w:sz="0" w:space="0" w:color="auto"/>
        <w:bottom w:val="none" w:sz="0" w:space="0" w:color="auto"/>
        <w:right w:val="none" w:sz="0" w:space="0" w:color="auto"/>
      </w:divBdr>
      <w:divsChild>
        <w:div w:id="802306008">
          <w:marLeft w:val="0"/>
          <w:marRight w:val="0"/>
          <w:marTop w:val="0"/>
          <w:marBottom w:val="0"/>
          <w:divBdr>
            <w:top w:val="none" w:sz="0" w:space="0" w:color="auto"/>
            <w:left w:val="none" w:sz="0" w:space="0" w:color="auto"/>
            <w:bottom w:val="none" w:sz="0" w:space="0" w:color="auto"/>
            <w:right w:val="none" w:sz="0" w:space="0" w:color="auto"/>
          </w:divBdr>
          <w:divsChild>
            <w:div w:id="1785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830">
      <w:bodyDiv w:val="1"/>
      <w:marLeft w:val="0"/>
      <w:marRight w:val="0"/>
      <w:marTop w:val="0"/>
      <w:marBottom w:val="0"/>
      <w:divBdr>
        <w:top w:val="none" w:sz="0" w:space="0" w:color="auto"/>
        <w:left w:val="none" w:sz="0" w:space="0" w:color="auto"/>
        <w:bottom w:val="none" w:sz="0" w:space="0" w:color="auto"/>
        <w:right w:val="none" w:sz="0" w:space="0" w:color="auto"/>
      </w:divBdr>
      <w:divsChild>
        <w:div w:id="2056082674">
          <w:marLeft w:val="0"/>
          <w:marRight w:val="0"/>
          <w:marTop w:val="0"/>
          <w:marBottom w:val="0"/>
          <w:divBdr>
            <w:top w:val="none" w:sz="0" w:space="0" w:color="auto"/>
            <w:left w:val="none" w:sz="0" w:space="0" w:color="auto"/>
            <w:bottom w:val="none" w:sz="0" w:space="0" w:color="auto"/>
            <w:right w:val="none" w:sz="0" w:space="0" w:color="auto"/>
          </w:divBdr>
        </w:div>
      </w:divsChild>
    </w:div>
    <w:div w:id="1790975872">
      <w:bodyDiv w:val="1"/>
      <w:marLeft w:val="0"/>
      <w:marRight w:val="0"/>
      <w:marTop w:val="0"/>
      <w:marBottom w:val="0"/>
      <w:divBdr>
        <w:top w:val="none" w:sz="0" w:space="0" w:color="auto"/>
        <w:left w:val="none" w:sz="0" w:space="0" w:color="auto"/>
        <w:bottom w:val="none" w:sz="0" w:space="0" w:color="auto"/>
        <w:right w:val="none" w:sz="0" w:space="0" w:color="auto"/>
      </w:divBdr>
      <w:divsChild>
        <w:div w:id="1849707411">
          <w:marLeft w:val="0"/>
          <w:marRight w:val="0"/>
          <w:marTop w:val="0"/>
          <w:marBottom w:val="0"/>
          <w:divBdr>
            <w:top w:val="none" w:sz="0" w:space="0" w:color="auto"/>
            <w:left w:val="none" w:sz="0" w:space="0" w:color="auto"/>
            <w:bottom w:val="none" w:sz="0" w:space="0" w:color="auto"/>
            <w:right w:val="none" w:sz="0" w:space="0" w:color="auto"/>
          </w:divBdr>
          <w:divsChild>
            <w:div w:id="491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732">
      <w:bodyDiv w:val="1"/>
      <w:marLeft w:val="0"/>
      <w:marRight w:val="0"/>
      <w:marTop w:val="0"/>
      <w:marBottom w:val="0"/>
      <w:divBdr>
        <w:top w:val="none" w:sz="0" w:space="0" w:color="auto"/>
        <w:left w:val="none" w:sz="0" w:space="0" w:color="auto"/>
        <w:bottom w:val="none" w:sz="0" w:space="0" w:color="auto"/>
        <w:right w:val="none" w:sz="0" w:space="0" w:color="auto"/>
      </w:divBdr>
      <w:divsChild>
        <w:div w:id="1818297744">
          <w:marLeft w:val="0"/>
          <w:marRight w:val="0"/>
          <w:marTop w:val="0"/>
          <w:marBottom w:val="0"/>
          <w:divBdr>
            <w:top w:val="none" w:sz="0" w:space="0" w:color="auto"/>
            <w:left w:val="none" w:sz="0" w:space="0" w:color="auto"/>
            <w:bottom w:val="none" w:sz="0" w:space="0" w:color="auto"/>
            <w:right w:val="none" w:sz="0" w:space="0" w:color="auto"/>
          </w:divBdr>
          <w:divsChild>
            <w:div w:id="16781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3970">
      <w:bodyDiv w:val="1"/>
      <w:marLeft w:val="0"/>
      <w:marRight w:val="0"/>
      <w:marTop w:val="0"/>
      <w:marBottom w:val="0"/>
      <w:divBdr>
        <w:top w:val="none" w:sz="0" w:space="0" w:color="auto"/>
        <w:left w:val="none" w:sz="0" w:space="0" w:color="auto"/>
        <w:bottom w:val="none" w:sz="0" w:space="0" w:color="auto"/>
        <w:right w:val="none" w:sz="0" w:space="0" w:color="auto"/>
      </w:divBdr>
      <w:divsChild>
        <w:div w:id="1824665056">
          <w:marLeft w:val="0"/>
          <w:marRight w:val="0"/>
          <w:marTop w:val="0"/>
          <w:marBottom w:val="0"/>
          <w:divBdr>
            <w:top w:val="none" w:sz="0" w:space="0" w:color="auto"/>
            <w:left w:val="none" w:sz="0" w:space="0" w:color="auto"/>
            <w:bottom w:val="none" w:sz="0" w:space="0" w:color="auto"/>
            <w:right w:val="none" w:sz="0" w:space="0" w:color="auto"/>
          </w:divBdr>
        </w:div>
      </w:divsChild>
    </w:div>
    <w:div w:id="1874615288">
      <w:bodyDiv w:val="1"/>
      <w:marLeft w:val="0"/>
      <w:marRight w:val="0"/>
      <w:marTop w:val="0"/>
      <w:marBottom w:val="0"/>
      <w:divBdr>
        <w:top w:val="none" w:sz="0" w:space="0" w:color="auto"/>
        <w:left w:val="none" w:sz="0" w:space="0" w:color="auto"/>
        <w:bottom w:val="none" w:sz="0" w:space="0" w:color="auto"/>
        <w:right w:val="none" w:sz="0" w:space="0" w:color="auto"/>
      </w:divBdr>
      <w:divsChild>
        <w:div w:id="710231972">
          <w:marLeft w:val="0"/>
          <w:marRight w:val="0"/>
          <w:marTop w:val="0"/>
          <w:marBottom w:val="0"/>
          <w:divBdr>
            <w:top w:val="none" w:sz="0" w:space="0" w:color="auto"/>
            <w:left w:val="none" w:sz="0" w:space="0" w:color="auto"/>
            <w:bottom w:val="none" w:sz="0" w:space="0" w:color="auto"/>
            <w:right w:val="none" w:sz="0" w:space="0" w:color="auto"/>
          </w:divBdr>
        </w:div>
      </w:divsChild>
    </w:div>
    <w:div w:id="1882009881">
      <w:bodyDiv w:val="1"/>
      <w:marLeft w:val="0"/>
      <w:marRight w:val="0"/>
      <w:marTop w:val="0"/>
      <w:marBottom w:val="0"/>
      <w:divBdr>
        <w:top w:val="none" w:sz="0" w:space="0" w:color="auto"/>
        <w:left w:val="none" w:sz="0" w:space="0" w:color="auto"/>
        <w:bottom w:val="none" w:sz="0" w:space="0" w:color="auto"/>
        <w:right w:val="none" w:sz="0" w:space="0" w:color="auto"/>
      </w:divBdr>
      <w:divsChild>
        <w:div w:id="1024399548">
          <w:marLeft w:val="0"/>
          <w:marRight w:val="0"/>
          <w:marTop w:val="0"/>
          <w:marBottom w:val="0"/>
          <w:divBdr>
            <w:top w:val="none" w:sz="0" w:space="0" w:color="auto"/>
            <w:left w:val="none" w:sz="0" w:space="0" w:color="auto"/>
            <w:bottom w:val="none" w:sz="0" w:space="0" w:color="auto"/>
            <w:right w:val="none" w:sz="0" w:space="0" w:color="auto"/>
          </w:divBdr>
        </w:div>
      </w:divsChild>
    </w:div>
    <w:div w:id="1914974835">
      <w:bodyDiv w:val="1"/>
      <w:marLeft w:val="0"/>
      <w:marRight w:val="0"/>
      <w:marTop w:val="0"/>
      <w:marBottom w:val="0"/>
      <w:divBdr>
        <w:top w:val="none" w:sz="0" w:space="0" w:color="auto"/>
        <w:left w:val="none" w:sz="0" w:space="0" w:color="auto"/>
        <w:bottom w:val="none" w:sz="0" w:space="0" w:color="auto"/>
        <w:right w:val="none" w:sz="0" w:space="0" w:color="auto"/>
      </w:divBdr>
      <w:divsChild>
        <w:div w:id="557742905">
          <w:marLeft w:val="0"/>
          <w:marRight w:val="0"/>
          <w:marTop w:val="0"/>
          <w:marBottom w:val="0"/>
          <w:divBdr>
            <w:top w:val="none" w:sz="0" w:space="0" w:color="auto"/>
            <w:left w:val="none" w:sz="0" w:space="0" w:color="auto"/>
            <w:bottom w:val="none" w:sz="0" w:space="0" w:color="auto"/>
            <w:right w:val="none" w:sz="0" w:space="0" w:color="auto"/>
          </w:divBdr>
        </w:div>
      </w:divsChild>
    </w:div>
    <w:div w:id="1935825230">
      <w:bodyDiv w:val="1"/>
      <w:marLeft w:val="0"/>
      <w:marRight w:val="0"/>
      <w:marTop w:val="0"/>
      <w:marBottom w:val="0"/>
      <w:divBdr>
        <w:top w:val="none" w:sz="0" w:space="0" w:color="auto"/>
        <w:left w:val="none" w:sz="0" w:space="0" w:color="auto"/>
        <w:bottom w:val="none" w:sz="0" w:space="0" w:color="auto"/>
        <w:right w:val="none" w:sz="0" w:space="0" w:color="auto"/>
      </w:divBdr>
    </w:div>
    <w:div w:id="1941444506">
      <w:bodyDiv w:val="1"/>
      <w:marLeft w:val="0"/>
      <w:marRight w:val="0"/>
      <w:marTop w:val="0"/>
      <w:marBottom w:val="0"/>
      <w:divBdr>
        <w:top w:val="none" w:sz="0" w:space="0" w:color="auto"/>
        <w:left w:val="none" w:sz="0" w:space="0" w:color="auto"/>
        <w:bottom w:val="none" w:sz="0" w:space="0" w:color="auto"/>
        <w:right w:val="none" w:sz="0" w:space="0" w:color="auto"/>
      </w:divBdr>
      <w:divsChild>
        <w:div w:id="115608940">
          <w:marLeft w:val="0"/>
          <w:marRight w:val="0"/>
          <w:marTop w:val="0"/>
          <w:marBottom w:val="0"/>
          <w:divBdr>
            <w:top w:val="none" w:sz="0" w:space="0" w:color="auto"/>
            <w:left w:val="none" w:sz="0" w:space="0" w:color="auto"/>
            <w:bottom w:val="none" w:sz="0" w:space="0" w:color="auto"/>
            <w:right w:val="none" w:sz="0" w:space="0" w:color="auto"/>
          </w:divBdr>
        </w:div>
      </w:divsChild>
    </w:div>
    <w:div w:id="1973703640">
      <w:bodyDiv w:val="1"/>
      <w:marLeft w:val="0"/>
      <w:marRight w:val="0"/>
      <w:marTop w:val="0"/>
      <w:marBottom w:val="0"/>
      <w:divBdr>
        <w:top w:val="none" w:sz="0" w:space="0" w:color="auto"/>
        <w:left w:val="none" w:sz="0" w:space="0" w:color="auto"/>
        <w:bottom w:val="none" w:sz="0" w:space="0" w:color="auto"/>
        <w:right w:val="none" w:sz="0" w:space="0" w:color="auto"/>
      </w:divBdr>
      <w:divsChild>
        <w:div w:id="741606346">
          <w:marLeft w:val="0"/>
          <w:marRight w:val="0"/>
          <w:marTop w:val="0"/>
          <w:marBottom w:val="0"/>
          <w:divBdr>
            <w:top w:val="none" w:sz="0" w:space="0" w:color="auto"/>
            <w:left w:val="none" w:sz="0" w:space="0" w:color="auto"/>
            <w:bottom w:val="none" w:sz="0" w:space="0" w:color="auto"/>
            <w:right w:val="none" w:sz="0" w:space="0" w:color="auto"/>
          </w:divBdr>
          <w:divsChild>
            <w:div w:id="964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8848">
      <w:bodyDiv w:val="1"/>
      <w:marLeft w:val="0"/>
      <w:marRight w:val="0"/>
      <w:marTop w:val="0"/>
      <w:marBottom w:val="0"/>
      <w:divBdr>
        <w:top w:val="none" w:sz="0" w:space="0" w:color="auto"/>
        <w:left w:val="none" w:sz="0" w:space="0" w:color="auto"/>
        <w:bottom w:val="none" w:sz="0" w:space="0" w:color="auto"/>
        <w:right w:val="none" w:sz="0" w:space="0" w:color="auto"/>
      </w:divBdr>
      <w:divsChild>
        <w:div w:id="234703039">
          <w:marLeft w:val="0"/>
          <w:marRight w:val="0"/>
          <w:marTop w:val="0"/>
          <w:marBottom w:val="0"/>
          <w:divBdr>
            <w:top w:val="none" w:sz="0" w:space="0" w:color="auto"/>
            <w:left w:val="none" w:sz="0" w:space="0" w:color="auto"/>
            <w:bottom w:val="none" w:sz="0" w:space="0" w:color="auto"/>
            <w:right w:val="none" w:sz="0" w:space="0" w:color="auto"/>
          </w:divBdr>
        </w:div>
      </w:divsChild>
    </w:div>
    <w:div w:id="1984692832">
      <w:bodyDiv w:val="1"/>
      <w:marLeft w:val="0"/>
      <w:marRight w:val="0"/>
      <w:marTop w:val="0"/>
      <w:marBottom w:val="0"/>
      <w:divBdr>
        <w:top w:val="none" w:sz="0" w:space="0" w:color="auto"/>
        <w:left w:val="none" w:sz="0" w:space="0" w:color="auto"/>
        <w:bottom w:val="none" w:sz="0" w:space="0" w:color="auto"/>
        <w:right w:val="none" w:sz="0" w:space="0" w:color="auto"/>
      </w:divBdr>
      <w:divsChild>
        <w:div w:id="451635020">
          <w:marLeft w:val="0"/>
          <w:marRight w:val="0"/>
          <w:marTop w:val="0"/>
          <w:marBottom w:val="0"/>
          <w:divBdr>
            <w:top w:val="none" w:sz="0" w:space="0" w:color="auto"/>
            <w:left w:val="none" w:sz="0" w:space="0" w:color="auto"/>
            <w:bottom w:val="none" w:sz="0" w:space="0" w:color="auto"/>
            <w:right w:val="none" w:sz="0" w:space="0" w:color="auto"/>
          </w:divBdr>
          <w:divsChild>
            <w:div w:id="18670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3189">
      <w:bodyDiv w:val="1"/>
      <w:marLeft w:val="0"/>
      <w:marRight w:val="0"/>
      <w:marTop w:val="0"/>
      <w:marBottom w:val="0"/>
      <w:divBdr>
        <w:top w:val="none" w:sz="0" w:space="0" w:color="auto"/>
        <w:left w:val="none" w:sz="0" w:space="0" w:color="auto"/>
        <w:bottom w:val="none" w:sz="0" w:space="0" w:color="auto"/>
        <w:right w:val="none" w:sz="0" w:space="0" w:color="auto"/>
      </w:divBdr>
      <w:divsChild>
        <w:div w:id="1895970816">
          <w:marLeft w:val="0"/>
          <w:marRight w:val="0"/>
          <w:marTop w:val="0"/>
          <w:marBottom w:val="0"/>
          <w:divBdr>
            <w:top w:val="none" w:sz="0" w:space="0" w:color="auto"/>
            <w:left w:val="none" w:sz="0" w:space="0" w:color="auto"/>
            <w:bottom w:val="none" w:sz="0" w:space="0" w:color="auto"/>
            <w:right w:val="none" w:sz="0" w:space="0" w:color="auto"/>
          </w:divBdr>
        </w:div>
      </w:divsChild>
    </w:div>
    <w:div w:id="1998261785">
      <w:bodyDiv w:val="1"/>
      <w:marLeft w:val="0"/>
      <w:marRight w:val="0"/>
      <w:marTop w:val="0"/>
      <w:marBottom w:val="0"/>
      <w:divBdr>
        <w:top w:val="none" w:sz="0" w:space="0" w:color="auto"/>
        <w:left w:val="none" w:sz="0" w:space="0" w:color="auto"/>
        <w:bottom w:val="none" w:sz="0" w:space="0" w:color="auto"/>
        <w:right w:val="none" w:sz="0" w:space="0" w:color="auto"/>
      </w:divBdr>
      <w:divsChild>
        <w:div w:id="1082945357">
          <w:marLeft w:val="0"/>
          <w:marRight w:val="0"/>
          <w:marTop w:val="0"/>
          <w:marBottom w:val="0"/>
          <w:divBdr>
            <w:top w:val="none" w:sz="0" w:space="0" w:color="auto"/>
            <w:left w:val="none" w:sz="0" w:space="0" w:color="auto"/>
            <w:bottom w:val="none" w:sz="0" w:space="0" w:color="auto"/>
            <w:right w:val="none" w:sz="0" w:space="0" w:color="auto"/>
          </w:divBdr>
        </w:div>
      </w:divsChild>
    </w:div>
    <w:div w:id="2006978684">
      <w:bodyDiv w:val="1"/>
      <w:marLeft w:val="0"/>
      <w:marRight w:val="0"/>
      <w:marTop w:val="0"/>
      <w:marBottom w:val="0"/>
      <w:divBdr>
        <w:top w:val="none" w:sz="0" w:space="0" w:color="auto"/>
        <w:left w:val="none" w:sz="0" w:space="0" w:color="auto"/>
        <w:bottom w:val="none" w:sz="0" w:space="0" w:color="auto"/>
        <w:right w:val="none" w:sz="0" w:space="0" w:color="auto"/>
      </w:divBdr>
      <w:divsChild>
        <w:div w:id="1031027602">
          <w:marLeft w:val="0"/>
          <w:marRight w:val="0"/>
          <w:marTop w:val="0"/>
          <w:marBottom w:val="0"/>
          <w:divBdr>
            <w:top w:val="none" w:sz="0" w:space="0" w:color="auto"/>
            <w:left w:val="none" w:sz="0" w:space="0" w:color="auto"/>
            <w:bottom w:val="none" w:sz="0" w:space="0" w:color="auto"/>
            <w:right w:val="none" w:sz="0" w:space="0" w:color="auto"/>
          </w:divBdr>
        </w:div>
      </w:divsChild>
    </w:div>
    <w:div w:id="2026200571">
      <w:bodyDiv w:val="1"/>
      <w:marLeft w:val="0"/>
      <w:marRight w:val="0"/>
      <w:marTop w:val="0"/>
      <w:marBottom w:val="0"/>
      <w:divBdr>
        <w:top w:val="none" w:sz="0" w:space="0" w:color="auto"/>
        <w:left w:val="none" w:sz="0" w:space="0" w:color="auto"/>
        <w:bottom w:val="none" w:sz="0" w:space="0" w:color="auto"/>
        <w:right w:val="none" w:sz="0" w:space="0" w:color="auto"/>
      </w:divBdr>
      <w:divsChild>
        <w:div w:id="977340653">
          <w:marLeft w:val="0"/>
          <w:marRight w:val="0"/>
          <w:marTop w:val="0"/>
          <w:marBottom w:val="0"/>
          <w:divBdr>
            <w:top w:val="none" w:sz="0" w:space="0" w:color="auto"/>
            <w:left w:val="none" w:sz="0" w:space="0" w:color="auto"/>
            <w:bottom w:val="none" w:sz="0" w:space="0" w:color="auto"/>
            <w:right w:val="none" w:sz="0" w:space="0" w:color="auto"/>
          </w:divBdr>
        </w:div>
      </w:divsChild>
    </w:div>
    <w:div w:id="2080399106">
      <w:bodyDiv w:val="1"/>
      <w:marLeft w:val="0"/>
      <w:marRight w:val="0"/>
      <w:marTop w:val="0"/>
      <w:marBottom w:val="0"/>
      <w:divBdr>
        <w:top w:val="none" w:sz="0" w:space="0" w:color="auto"/>
        <w:left w:val="none" w:sz="0" w:space="0" w:color="auto"/>
        <w:bottom w:val="none" w:sz="0" w:space="0" w:color="auto"/>
        <w:right w:val="none" w:sz="0" w:space="0" w:color="auto"/>
      </w:divBdr>
      <w:divsChild>
        <w:div w:id="1087464004">
          <w:marLeft w:val="0"/>
          <w:marRight w:val="0"/>
          <w:marTop w:val="0"/>
          <w:marBottom w:val="0"/>
          <w:divBdr>
            <w:top w:val="none" w:sz="0" w:space="0" w:color="auto"/>
            <w:left w:val="none" w:sz="0" w:space="0" w:color="auto"/>
            <w:bottom w:val="none" w:sz="0" w:space="0" w:color="auto"/>
            <w:right w:val="none" w:sz="0" w:space="0" w:color="auto"/>
          </w:divBdr>
        </w:div>
      </w:divsChild>
    </w:div>
    <w:div w:id="2105804075">
      <w:bodyDiv w:val="1"/>
      <w:marLeft w:val="0"/>
      <w:marRight w:val="0"/>
      <w:marTop w:val="0"/>
      <w:marBottom w:val="0"/>
      <w:divBdr>
        <w:top w:val="none" w:sz="0" w:space="0" w:color="auto"/>
        <w:left w:val="none" w:sz="0" w:space="0" w:color="auto"/>
        <w:bottom w:val="none" w:sz="0" w:space="0" w:color="auto"/>
        <w:right w:val="none" w:sz="0" w:space="0" w:color="auto"/>
      </w:divBdr>
      <w:divsChild>
        <w:div w:id="897285492">
          <w:marLeft w:val="0"/>
          <w:marRight w:val="0"/>
          <w:marTop w:val="0"/>
          <w:marBottom w:val="0"/>
          <w:divBdr>
            <w:top w:val="none" w:sz="0" w:space="0" w:color="auto"/>
            <w:left w:val="none" w:sz="0" w:space="0" w:color="auto"/>
            <w:bottom w:val="none" w:sz="0" w:space="0" w:color="auto"/>
            <w:right w:val="none" w:sz="0" w:space="0" w:color="auto"/>
          </w:divBdr>
        </w:div>
      </w:divsChild>
    </w:div>
    <w:div w:id="2127461229">
      <w:bodyDiv w:val="1"/>
      <w:marLeft w:val="0"/>
      <w:marRight w:val="0"/>
      <w:marTop w:val="0"/>
      <w:marBottom w:val="0"/>
      <w:divBdr>
        <w:top w:val="none" w:sz="0" w:space="0" w:color="auto"/>
        <w:left w:val="none" w:sz="0" w:space="0" w:color="auto"/>
        <w:bottom w:val="none" w:sz="0" w:space="0" w:color="auto"/>
        <w:right w:val="none" w:sz="0" w:space="0" w:color="auto"/>
      </w:divBdr>
      <w:divsChild>
        <w:div w:id="1538852738">
          <w:marLeft w:val="0"/>
          <w:marRight w:val="0"/>
          <w:marTop w:val="0"/>
          <w:marBottom w:val="0"/>
          <w:divBdr>
            <w:top w:val="none" w:sz="0" w:space="0" w:color="auto"/>
            <w:left w:val="none" w:sz="0" w:space="0" w:color="auto"/>
            <w:bottom w:val="none" w:sz="0" w:space="0" w:color="auto"/>
            <w:right w:val="none" w:sz="0" w:space="0" w:color="auto"/>
          </w:divBdr>
        </w:div>
      </w:divsChild>
    </w:div>
    <w:div w:id="2137915889">
      <w:bodyDiv w:val="1"/>
      <w:marLeft w:val="0"/>
      <w:marRight w:val="0"/>
      <w:marTop w:val="0"/>
      <w:marBottom w:val="0"/>
      <w:divBdr>
        <w:top w:val="none" w:sz="0" w:space="0" w:color="auto"/>
        <w:left w:val="none" w:sz="0" w:space="0" w:color="auto"/>
        <w:bottom w:val="none" w:sz="0" w:space="0" w:color="auto"/>
        <w:right w:val="none" w:sz="0" w:space="0" w:color="auto"/>
      </w:divBdr>
      <w:divsChild>
        <w:div w:id="1218014396">
          <w:marLeft w:val="0"/>
          <w:marRight w:val="0"/>
          <w:marTop w:val="0"/>
          <w:marBottom w:val="0"/>
          <w:divBdr>
            <w:top w:val="none" w:sz="0" w:space="0" w:color="auto"/>
            <w:left w:val="none" w:sz="0" w:space="0" w:color="auto"/>
            <w:bottom w:val="none" w:sz="0" w:space="0" w:color="auto"/>
            <w:right w:val="none" w:sz="0" w:space="0" w:color="auto"/>
          </w:divBdr>
        </w:div>
      </w:divsChild>
    </w:div>
    <w:div w:id="2138990010">
      <w:bodyDiv w:val="1"/>
      <w:marLeft w:val="0"/>
      <w:marRight w:val="0"/>
      <w:marTop w:val="0"/>
      <w:marBottom w:val="0"/>
      <w:divBdr>
        <w:top w:val="none" w:sz="0" w:space="0" w:color="auto"/>
        <w:left w:val="none" w:sz="0" w:space="0" w:color="auto"/>
        <w:bottom w:val="none" w:sz="0" w:space="0" w:color="auto"/>
        <w:right w:val="none" w:sz="0" w:space="0" w:color="auto"/>
      </w:divBdr>
      <w:divsChild>
        <w:div w:id="87230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41B70-441D-4375-89D7-3F40209B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9480</Words>
  <Characters>50441</Characters>
  <Application>Microsoft Office Word</Application>
  <DocSecurity>0</DocSecurity>
  <Lines>881</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2022-04-15T19:57:00Z</cp:lastPrinted>
  <dcterms:created xsi:type="dcterms:W3CDTF">2022-07-18T17:39:00Z</dcterms:created>
  <dcterms:modified xsi:type="dcterms:W3CDTF">2022-07-18T17:39:00Z</dcterms:modified>
  <cp:category/>
</cp:coreProperties>
</file>