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0CC" w:rsidRDefault="005300CC" w:rsidP="005300CC">
      <w:r>
        <w:rPr>
          <w:sz w:val="20"/>
          <w:szCs w:val="20"/>
          <w:shd w:val="clear" w:color="auto" w:fill="FFFFFF"/>
        </w:rPr>
        <w:t>Filed 10/28/19</w:t>
      </w:r>
      <w:bookmarkStart w:id="0" w:name="_Hlk31282897"/>
      <w:r w:rsidRPr="00AB21C6">
        <w:rPr>
          <w:sz w:val="20"/>
        </w:rPr>
        <w:t>; THE SUPREME COURT OF CALIFORNIA HAS GRANTED REVIEW</w:t>
      </w:r>
    </w:p>
    <w:p w:rsidR="00F9402C" w:rsidRDefault="005300CC" w:rsidP="00F9402C">
      <w:pPr>
        <w:spacing w:line="240" w:lineRule="auto"/>
        <w:jc w:val="center"/>
      </w:pPr>
      <w:bookmarkStart w:id="1" w:name="_GoBack"/>
      <w:bookmarkEnd w:id="0"/>
      <w:bookmarkEnd w:id="1"/>
      <w:r>
        <w:t>CERTIFIED FOR PUBLICATION</w:t>
      </w:r>
    </w:p>
    <w:p w:rsidR="00F9402C" w:rsidRDefault="005300CC" w:rsidP="00B5437D">
      <w:pPr>
        <w:spacing w:line="240" w:lineRule="auto"/>
        <w:jc w:val="center"/>
        <w:rPr>
          <w:shd w:val="clear" w:color="auto" w:fill="FFFFFF"/>
        </w:rPr>
      </w:pPr>
    </w:p>
    <w:p w:rsidR="009140A6" w:rsidRPr="0008328C" w:rsidRDefault="005300CC" w:rsidP="00B5437D">
      <w:pPr>
        <w:spacing w:line="240" w:lineRule="auto"/>
        <w:jc w:val="center"/>
        <w:rPr>
          <w:shd w:val="clear" w:color="auto" w:fill="FFFFFF"/>
        </w:rPr>
      </w:pPr>
      <w:r w:rsidRPr="0008328C">
        <w:rPr>
          <w:shd w:val="clear" w:color="auto" w:fill="FFFFFF"/>
        </w:rPr>
        <w:t>IN THE COURT OF APPEAL OF THE STATE OF CALIFORNIA</w:t>
      </w:r>
    </w:p>
    <w:p w:rsidR="009140A6" w:rsidRPr="0008328C" w:rsidRDefault="005300CC" w:rsidP="00B5437D">
      <w:pPr>
        <w:spacing w:line="240" w:lineRule="auto"/>
        <w:jc w:val="center"/>
        <w:rPr>
          <w:shd w:val="clear" w:color="auto" w:fill="FFFFFF"/>
        </w:rPr>
      </w:pPr>
    </w:p>
    <w:p w:rsidR="009140A6" w:rsidRPr="0008328C" w:rsidRDefault="005300CC" w:rsidP="00B5437D">
      <w:pPr>
        <w:spacing w:line="240" w:lineRule="auto"/>
        <w:jc w:val="center"/>
        <w:rPr>
          <w:shd w:val="clear" w:color="auto" w:fill="FFFFFF"/>
        </w:rPr>
      </w:pPr>
      <w:r w:rsidRPr="0008328C">
        <w:rPr>
          <w:shd w:val="clear" w:color="auto" w:fill="FFFFFF"/>
        </w:rPr>
        <w:t>SIXTH APPELLATE DISTRICT</w:t>
      </w:r>
    </w:p>
    <w:p w:rsidR="009140A6" w:rsidRPr="0008328C" w:rsidRDefault="005300CC" w:rsidP="00B5437D">
      <w:pPr>
        <w:spacing w:line="240" w:lineRule="auto"/>
        <w:jc w:val="center"/>
        <w:rPr>
          <w:shd w:val="clear" w:color="auto" w:fill="FFFFFF"/>
        </w:rPr>
      </w:pPr>
    </w:p>
    <w:tbl>
      <w:tblPr>
        <w:tblW w:w="0" w:type="auto"/>
        <w:tblLayout w:type="fixed"/>
        <w:tblLook w:val="0000" w:firstRow="0" w:lastRow="0" w:firstColumn="0" w:lastColumn="0" w:noHBand="0" w:noVBand="0"/>
      </w:tblPr>
      <w:tblGrid>
        <w:gridCol w:w="4680"/>
        <w:gridCol w:w="4680"/>
      </w:tblGrid>
      <w:tr w:rsidR="00890F0D" w:rsidTr="009140A6">
        <w:tc>
          <w:tcPr>
            <w:tcW w:w="4680" w:type="dxa"/>
            <w:tcBorders>
              <w:bottom w:val="single" w:sz="4" w:space="0" w:color="auto"/>
              <w:right w:val="single" w:sz="4" w:space="0" w:color="auto"/>
            </w:tcBorders>
            <w:shd w:val="clear" w:color="auto" w:fill="auto"/>
          </w:tcPr>
          <w:p w:rsidR="009140A6" w:rsidRPr="0008328C" w:rsidRDefault="005300CC" w:rsidP="00B5437D">
            <w:pPr>
              <w:spacing w:line="240" w:lineRule="auto"/>
              <w:rPr>
                <w:shd w:val="clear" w:color="auto" w:fill="FFFFFF"/>
              </w:rPr>
            </w:pPr>
            <w:r w:rsidRPr="0008328C">
              <w:rPr>
                <w:shd w:val="clear" w:color="auto" w:fill="FFFFFF"/>
              </w:rPr>
              <w:t>THE PEOPLE,</w:t>
            </w:r>
          </w:p>
          <w:p w:rsidR="009140A6" w:rsidRPr="0008328C" w:rsidRDefault="005300CC" w:rsidP="00B5437D">
            <w:pPr>
              <w:spacing w:line="240" w:lineRule="auto"/>
              <w:rPr>
                <w:shd w:val="clear" w:color="auto" w:fill="FFFFFF"/>
              </w:rPr>
            </w:pPr>
          </w:p>
          <w:p w:rsidR="009140A6" w:rsidRPr="0008328C" w:rsidRDefault="005300CC" w:rsidP="00B5437D">
            <w:pPr>
              <w:spacing w:line="240" w:lineRule="auto"/>
              <w:ind w:left="720"/>
              <w:rPr>
                <w:shd w:val="clear" w:color="auto" w:fill="FFFFFF"/>
              </w:rPr>
            </w:pPr>
            <w:r w:rsidRPr="0008328C">
              <w:rPr>
                <w:shd w:val="clear" w:color="auto" w:fill="FFFFFF"/>
              </w:rPr>
              <w:t>Plaintiff and Respondent,</w:t>
            </w:r>
          </w:p>
          <w:p w:rsidR="009140A6" w:rsidRPr="0008328C" w:rsidRDefault="005300CC" w:rsidP="00B5437D">
            <w:pPr>
              <w:spacing w:line="240" w:lineRule="auto"/>
              <w:ind w:left="720"/>
              <w:rPr>
                <w:shd w:val="clear" w:color="auto" w:fill="FFFFFF"/>
              </w:rPr>
            </w:pPr>
          </w:p>
          <w:p w:rsidR="009140A6" w:rsidRPr="0008328C" w:rsidRDefault="005300CC" w:rsidP="00B5437D">
            <w:pPr>
              <w:spacing w:line="240" w:lineRule="auto"/>
              <w:ind w:left="720"/>
              <w:rPr>
                <w:shd w:val="clear" w:color="auto" w:fill="FFFFFF"/>
              </w:rPr>
            </w:pPr>
            <w:r w:rsidRPr="0008328C">
              <w:rPr>
                <w:shd w:val="clear" w:color="auto" w:fill="FFFFFF"/>
              </w:rPr>
              <w:t>v.</w:t>
            </w:r>
          </w:p>
          <w:p w:rsidR="009140A6" w:rsidRPr="0008328C" w:rsidRDefault="005300CC" w:rsidP="00B5437D">
            <w:pPr>
              <w:spacing w:line="240" w:lineRule="auto"/>
              <w:rPr>
                <w:shd w:val="clear" w:color="auto" w:fill="FFFFFF"/>
              </w:rPr>
            </w:pPr>
          </w:p>
          <w:p w:rsidR="009140A6" w:rsidRPr="0008328C" w:rsidRDefault="005300CC" w:rsidP="00B5437D">
            <w:pPr>
              <w:spacing w:line="240" w:lineRule="auto"/>
              <w:rPr>
                <w:shd w:val="clear" w:color="auto" w:fill="FFFFFF"/>
              </w:rPr>
            </w:pPr>
            <w:r w:rsidRPr="0008328C">
              <w:rPr>
                <w:shd w:val="clear" w:color="auto" w:fill="FFFFFF"/>
              </w:rPr>
              <w:t>MUHAMMAD KHAN,</w:t>
            </w:r>
          </w:p>
          <w:p w:rsidR="009140A6" w:rsidRPr="0008328C" w:rsidRDefault="005300CC" w:rsidP="00B5437D">
            <w:pPr>
              <w:spacing w:line="240" w:lineRule="auto"/>
              <w:rPr>
                <w:shd w:val="clear" w:color="auto" w:fill="FFFFFF"/>
              </w:rPr>
            </w:pPr>
          </w:p>
          <w:p w:rsidR="009140A6" w:rsidRPr="0008328C" w:rsidRDefault="005300CC" w:rsidP="00B5437D">
            <w:pPr>
              <w:spacing w:line="240" w:lineRule="auto"/>
              <w:ind w:left="720"/>
              <w:rPr>
                <w:shd w:val="clear" w:color="auto" w:fill="FFFFFF"/>
              </w:rPr>
            </w:pPr>
            <w:r w:rsidRPr="0008328C">
              <w:rPr>
                <w:shd w:val="clear" w:color="auto" w:fill="FFFFFF"/>
              </w:rPr>
              <w:t>Defendant and Appellant.</w:t>
            </w:r>
          </w:p>
          <w:p w:rsidR="009140A6" w:rsidRPr="0008328C" w:rsidRDefault="005300CC" w:rsidP="00B5437D">
            <w:pPr>
              <w:spacing w:line="240" w:lineRule="auto"/>
              <w:rPr>
                <w:shd w:val="clear" w:color="auto" w:fill="FFFFFF"/>
              </w:rPr>
            </w:pPr>
          </w:p>
        </w:tc>
        <w:tc>
          <w:tcPr>
            <w:tcW w:w="4680" w:type="dxa"/>
            <w:tcBorders>
              <w:left w:val="single" w:sz="4" w:space="0" w:color="auto"/>
            </w:tcBorders>
            <w:shd w:val="clear" w:color="auto" w:fill="auto"/>
          </w:tcPr>
          <w:p w:rsidR="009140A6" w:rsidRPr="0008328C" w:rsidRDefault="005300CC" w:rsidP="00B5437D">
            <w:pPr>
              <w:spacing w:line="240" w:lineRule="auto"/>
              <w:rPr>
                <w:shd w:val="clear" w:color="auto" w:fill="FFFFFF"/>
              </w:rPr>
            </w:pPr>
            <w:r w:rsidRPr="0008328C">
              <w:rPr>
                <w:shd w:val="clear" w:color="auto" w:fill="FFFFFF"/>
              </w:rPr>
              <w:t xml:space="preserve">      H045524</w:t>
            </w:r>
          </w:p>
          <w:p w:rsidR="009140A6" w:rsidRPr="0008328C" w:rsidRDefault="005300CC" w:rsidP="00B5437D">
            <w:pPr>
              <w:spacing w:line="240" w:lineRule="auto"/>
              <w:rPr>
                <w:shd w:val="clear" w:color="auto" w:fill="FFFFFF"/>
              </w:rPr>
            </w:pPr>
            <w:r w:rsidRPr="0008328C">
              <w:rPr>
                <w:shd w:val="clear" w:color="auto" w:fill="FFFFFF"/>
              </w:rPr>
              <w:t xml:space="preserve">     (Santa Clara County</w:t>
            </w:r>
          </w:p>
          <w:p w:rsidR="009140A6" w:rsidRPr="0008328C" w:rsidRDefault="005300CC" w:rsidP="00B5437D">
            <w:pPr>
              <w:spacing w:line="240" w:lineRule="auto"/>
              <w:rPr>
                <w:shd w:val="clear" w:color="auto" w:fill="FFFFFF"/>
              </w:rPr>
            </w:pPr>
            <w:r w:rsidRPr="0008328C">
              <w:rPr>
                <w:shd w:val="clear" w:color="auto" w:fill="FFFFFF"/>
              </w:rPr>
              <w:t xml:space="preserve">      Super. Ct. No. B1683806)</w:t>
            </w:r>
          </w:p>
        </w:tc>
      </w:tr>
    </w:tbl>
    <w:p w:rsidR="00485E53" w:rsidRPr="0008328C" w:rsidRDefault="005300CC" w:rsidP="0008328C">
      <w:pPr>
        <w:rPr>
          <w:color w:val="000000"/>
          <w:shd w:val="clear" w:color="auto" w:fill="FFFFFF"/>
        </w:rPr>
      </w:pPr>
      <w:r w:rsidRPr="0008328C">
        <w:rPr>
          <w:color w:val="000000"/>
          <w:shd w:val="clear" w:color="auto" w:fill="FFFFFF"/>
        </w:rPr>
        <w:tab/>
        <w:t>Following a trial, a jury found defendant Muhammad Kahn guilty of arson of an inhabited structure (Pen. Code, § 451, subd. (b)).</w:t>
      </w:r>
      <w:r>
        <w:rPr>
          <w:rStyle w:val="FootnoteReference"/>
          <w:b/>
          <w:color w:val="000000"/>
          <w:shd w:val="clear" w:color="auto" w:fill="FFFFFF"/>
        </w:rPr>
        <w:footnoteReference w:id="1"/>
      </w:r>
      <w:r w:rsidRPr="0008328C">
        <w:rPr>
          <w:color w:val="000000"/>
          <w:shd w:val="clear" w:color="auto" w:fill="FFFFFF"/>
        </w:rPr>
        <w:t xml:space="preserve">  The jury found true </w:t>
      </w:r>
      <w:r>
        <w:rPr>
          <w:color w:val="000000"/>
          <w:shd w:val="clear" w:color="auto" w:fill="FFFFFF"/>
        </w:rPr>
        <w:t xml:space="preserve">an enhancement allegation </w:t>
      </w:r>
      <w:r w:rsidRPr="0008328C">
        <w:rPr>
          <w:color w:val="000000"/>
          <w:shd w:val="clear" w:color="auto" w:fill="FFFFFF"/>
        </w:rPr>
        <w:t xml:space="preserve">that </w:t>
      </w:r>
      <w:r>
        <w:rPr>
          <w:color w:val="000000"/>
          <w:shd w:val="clear" w:color="auto" w:fill="FFFFFF"/>
        </w:rPr>
        <w:t xml:space="preserve">he committed the arson by use of </w:t>
      </w:r>
      <w:r w:rsidRPr="0008328C">
        <w:rPr>
          <w:color w:val="000000"/>
          <w:shd w:val="clear" w:color="auto" w:fill="FFFFFF"/>
        </w:rPr>
        <w:t xml:space="preserve">a device designed to accelerate the fire (§ 451.1, subd. (a)(5)).  </w:t>
      </w:r>
      <w:r>
        <w:rPr>
          <w:color w:val="000000"/>
          <w:shd w:val="clear" w:color="auto" w:fill="FFFFFF"/>
        </w:rPr>
        <w:t xml:space="preserve">Defendant was sentenced to </w:t>
      </w:r>
      <w:r w:rsidRPr="0008328C">
        <w:rPr>
          <w:color w:val="000000"/>
          <w:shd w:val="clear" w:color="auto" w:fill="FFFFFF"/>
        </w:rPr>
        <w:t xml:space="preserve">a total term of nine years, which consisted of </w:t>
      </w:r>
      <w:r>
        <w:rPr>
          <w:color w:val="000000"/>
          <w:shd w:val="clear" w:color="auto" w:fill="FFFFFF"/>
        </w:rPr>
        <w:t xml:space="preserve">a </w:t>
      </w:r>
      <w:r w:rsidRPr="0008328C">
        <w:rPr>
          <w:color w:val="000000"/>
          <w:shd w:val="clear" w:color="auto" w:fill="FFFFFF"/>
        </w:rPr>
        <w:t xml:space="preserve">five-year term on the </w:t>
      </w:r>
      <w:r>
        <w:rPr>
          <w:color w:val="000000"/>
          <w:shd w:val="clear" w:color="auto" w:fill="FFFFFF"/>
        </w:rPr>
        <w:t>arson</w:t>
      </w:r>
      <w:r w:rsidRPr="0008328C">
        <w:rPr>
          <w:color w:val="000000"/>
          <w:shd w:val="clear" w:color="auto" w:fill="FFFFFF"/>
        </w:rPr>
        <w:t xml:space="preserve"> and a four-year enhan</w:t>
      </w:r>
      <w:r w:rsidRPr="0008328C">
        <w:rPr>
          <w:color w:val="000000"/>
          <w:shd w:val="clear" w:color="auto" w:fill="FFFFFF"/>
        </w:rPr>
        <w:t>cement.</w:t>
      </w:r>
    </w:p>
    <w:p w:rsidR="00B825F8" w:rsidRPr="0008328C" w:rsidRDefault="005300CC" w:rsidP="0008328C">
      <w:pPr>
        <w:ind w:firstLine="720"/>
        <w:rPr>
          <w:color w:val="000000"/>
          <w:shd w:val="clear" w:color="auto" w:fill="FFFFFF"/>
        </w:rPr>
      </w:pPr>
      <w:r w:rsidRPr="0008328C">
        <w:rPr>
          <w:color w:val="000000"/>
          <w:shd w:val="clear" w:color="auto" w:fill="FFFFFF"/>
        </w:rPr>
        <w:t>On appeal, defendant challenges the trial court’s denial of his motion to suppress</w:t>
      </w:r>
      <w:r>
        <w:rPr>
          <w:color w:val="000000"/>
          <w:shd w:val="clear" w:color="auto" w:fill="FFFFFF"/>
        </w:rPr>
        <w:t xml:space="preserve"> evidence obtained through a warrant to search his home</w:t>
      </w:r>
      <w:r w:rsidRPr="0008328C">
        <w:rPr>
          <w:color w:val="000000"/>
          <w:shd w:val="clear" w:color="auto" w:fill="FFFFFF"/>
        </w:rPr>
        <w:t xml:space="preserve">.  He contends that the trial court erred because </w:t>
      </w:r>
      <w:r>
        <w:rPr>
          <w:color w:val="000000"/>
          <w:shd w:val="clear" w:color="auto" w:fill="FFFFFF"/>
        </w:rPr>
        <w:t xml:space="preserve">(1) </w:t>
      </w:r>
      <w:r w:rsidRPr="0008328C">
        <w:rPr>
          <w:color w:val="000000"/>
          <w:shd w:val="clear" w:color="auto" w:fill="FFFFFF"/>
        </w:rPr>
        <w:t xml:space="preserve">the </w:t>
      </w:r>
      <w:r>
        <w:rPr>
          <w:color w:val="000000"/>
          <w:shd w:val="clear" w:color="auto" w:fill="FFFFFF"/>
        </w:rPr>
        <w:t xml:space="preserve">warrant </w:t>
      </w:r>
      <w:r w:rsidRPr="0008328C">
        <w:rPr>
          <w:color w:val="000000"/>
          <w:shd w:val="clear" w:color="auto" w:fill="FFFFFF"/>
        </w:rPr>
        <w:t>affidavit</w:t>
      </w:r>
      <w:r>
        <w:rPr>
          <w:color w:val="000000"/>
          <w:shd w:val="clear" w:color="auto" w:fill="FFFFFF"/>
        </w:rPr>
        <w:t xml:space="preserve"> </w:t>
      </w:r>
      <w:r w:rsidRPr="0008328C">
        <w:rPr>
          <w:color w:val="000000"/>
          <w:shd w:val="clear" w:color="auto" w:fill="FFFFFF"/>
        </w:rPr>
        <w:t xml:space="preserve">did not present a substantial basis for </w:t>
      </w:r>
      <w:r>
        <w:rPr>
          <w:color w:val="000000"/>
          <w:shd w:val="clear" w:color="auto" w:fill="FFFFFF"/>
        </w:rPr>
        <w:t xml:space="preserve">a finding of </w:t>
      </w:r>
      <w:r w:rsidRPr="0008328C">
        <w:rPr>
          <w:color w:val="000000"/>
          <w:shd w:val="clear" w:color="auto" w:fill="FFFFFF"/>
        </w:rPr>
        <w:t xml:space="preserve">probable cause and </w:t>
      </w:r>
      <w:r>
        <w:rPr>
          <w:color w:val="000000"/>
          <w:shd w:val="clear" w:color="auto" w:fill="FFFFFF"/>
        </w:rPr>
        <w:t xml:space="preserve">(2) </w:t>
      </w:r>
      <w:r w:rsidRPr="0008328C">
        <w:rPr>
          <w:color w:val="000000"/>
          <w:shd w:val="clear" w:color="auto" w:fill="FFFFFF"/>
        </w:rPr>
        <w:t xml:space="preserve">the good-faith exception to </w:t>
      </w:r>
      <w:r>
        <w:rPr>
          <w:color w:val="000000"/>
          <w:shd w:val="clear" w:color="auto" w:fill="FFFFFF"/>
        </w:rPr>
        <w:t xml:space="preserve">the </w:t>
      </w:r>
      <w:r w:rsidRPr="0008328C">
        <w:rPr>
          <w:color w:val="000000"/>
          <w:shd w:val="clear" w:color="auto" w:fill="FFFFFF"/>
        </w:rPr>
        <w:t xml:space="preserve">exclusionary rule </w:t>
      </w:r>
      <w:r>
        <w:rPr>
          <w:color w:val="000000"/>
          <w:shd w:val="clear" w:color="auto" w:fill="FFFFFF"/>
        </w:rPr>
        <w:t>did not apply</w:t>
      </w:r>
      <w:r w:rsidRPr="0008328C">
        <w:rPr>
          <w:color w:val="000000"/>
          <w:shd w:val="clear" w:color="auto" w:fill="FFFFFF"/>
        </w:rPr>
        <w:t xml:space="preserve">.  Defendant also asserts that under </w:t>
      </w:r>
      <w:r>
        <w:rPr>
          <w:color w:val="000000"/>
          <w:shd w:val="clear" w:color="auto" w:fill="FFFFFF"/>
        </w:rPr>
        <w:t xml:space="preserve">the reasoning of </w:t>
      </w:r>
      <w:r w:rsidRPr="0008328C">
        <w:rPr>
          <w:i/>
          <w:color w:val="000000"/>
          <w:shd w:val="clear" w:color="auto" w:fill="FFFFFF"/>
        </w:rPr>
        <w:t>In re Estrada</w:t>
      </w:r>
      <w:r w:rsidRPr="0008328C">
        <w:rPr>
          <w:color w:val="000000"/>
          <w:shd w:val="clear" w:color="auto" w:fill="FFFFFF"/>
        </w:rPr>
        <w:t xml:space="preserve"> (1965) 63 Cal.2d 740 (</w:t>
      </w:r>
      <w:r w:rsidRPr="0008328C">
        <w:rPr>
          <w:i/>
          <w:color w:val="000000"/>
          <w:shd w:val="clear" w:color="auto" w:fill="FFFFFF"/>
        </w:rPr>
        <w:t>Estrada</w:t>
      </w:r>
      <w:r w:rsidRPr="0008328C">
        <w:rPr>
          <w:color w:val="000000"/>
          <w:shd w:val="clear" w:color="auto" w:fill="FFFFFF"/>
        </w:rPr>
        <w:t>), this court must r</w:t>
      </w:r>
      <w:r w:rsidRPr="0008328C">
        <w:rPr>
          <w:color w:val="000000"/>
          <w:shd w:val="clear" w:color="auto" w:fill="FFFFFF"/>
        </w:rPr>
        <w:t>emand this case so that the trial court may order pretrial diversion for treatment of his mental health condition pursuant</w:t>
      </w:r>
      <w:r>
        <w:rPr>
          <w:color w:val="000000"/>
          <w:shd w:val="clear" w:color="auto" w:fill="FFFFFF"/>
        </w:rPr>
        <w:t xml:space="preserve"> to</w:t>
      </w:r>
      <w:r w:rsidRPr="0008328C">
        <w:rPr>
          <w:color w:val="000000"/>
          <w:shd w:val="clear" w:color="auto" w:fill="FFFFFF"/>
        </w:rPr>
        <w:t xml:space="preserve"> section 1001.36</w:t>
      </w:r>
      <w:r>
        <w:rPr>
          <w:color w:val="000000"/>
          <w:shd w:val="clear" w:color="auto" w:fill="FFFFFF"/>
        </w:rPr>
        <w:t>, which went into effect while his appeal was pending</w:t>
      </w:r>
      <w:r w:rsidRPr="0008328C">
        <w:rPr>
          <w:color w:val="000000"/>
          <w:shd w:val="clear" w:color="auto" w:fill="FFFFFF"/>
        </w:rPr>
        <w:t>.</w:t>
      </w:r>
    </w:p>
    <w:p w:rsidR="00713C53" w:rsidRPr="0008328C" w:rsidRDefault="005300CC" w:rsidP="0008328C">
      <w:pPr>
        <w:rPr>
          <w:color w:val="000000"/>
          <w:shd w:val="clear" w:color="auto" w:fill="FFFFFF"/>
        </w:rPr>
      </w:pPr>
      <w:r w:rsidRPr="0008328C">
        <w:rPr>
          <w:color w:val="000000"/>
          <w:shd w:val="clear" w:color="auto" w:fill="FFFFFF"/>
        </w:rPr>
        <w:lastRenderedPageBreak/>
        <w:tab/>
        <w:t xml:space="preserve">We </w:t>
      </w:r>
      <w:r>
        <w:rPr>
          <w:color w:val="000000"/>
          <w:shd w:val="clear" w:color="auto" w:fill="FFFFFF"/>
        </w:rPr>
        <w:t>find his contentions without merit.  Based on legislativ</w:t>
      </w:r>
      <w:r>
        <w:rPr>
          <w:color w:val="000000"/>
          <w:shd w:val="clear" w:color="auto" w:fill="FFFFFF"/>
        </w:rPr>
        <w:t>e history, we conclude that section 1001.36, which authorizes pretrial diversion for mental health treatment, does not retroactively apply to defendant, who had been found guilty following a jury trial and is serving his sentence.  Accordingly, we affirm t</w:t>
      </w:r>
      <w:r>
        <w:rPr>
          <w:color w:val="000000"/>
          <w:shd w:val="clear" w:color="auto" w:fill="FFFFFF"/>
        </w:rPr>
        <w:t>he judgment</w:t>
      </w:r>
      <w:r w:rsidRPr="0008328C">
        <w:rPr>
          <w:color w:val="000000"/>
          <w:shd w:val="clear" w:color="auto" w:fill="FFFFFF"/>
        </w:rPr>
        <w:t>.</w:t>
      </w:r>
    </w:p>
    <w:p w:rsidR="00713C53" w:rsidRPr="0008328C" w:rsidRDefault="005300CC" w:rsidP="0008328C">
      <w:pPr>
        <w:keepNext/>
        <w:jc w:val="center"/>
        <w:rPr>
          <w:color w:val="000000"/>
          <w:shd w:val="clear" w:color="auto" w:fill="FFFFFF"/>
        </w:rPr>
      </w:pPr>
      <w:r w:rsidRPr="0008328C">
        <w:rPr>
          <w:color w:val="000000"/>
          <w:shd w:val="clear" w:color="auto" w:fill="FFFFFF"/>
        </w:rPr>
        <w:t>I</w:t>
      </w:r>
    </w:p>
    <w:p w:rsidR="00B825F8" w:rsidRPr="0008328C" w:rsidRDefault="005300CC" w:rsidP="0008328C">
      <w:pPr>
        <w:keepNext/>
        <w:jc w:val="center"/>
        <w:rPr>
          <w:i/>
          <w:color w:val="000000"/>
          <w:shd w:val="clear" w:color="auto" w:fill="FFFFFF"/>
        </w:rPr>
      </w:pPr>
      <w:r w:rsidRPr="0008328C">
        <w:rPr>
          <w:i/>
          <w:color w:val="000000"/>
          <w:shd w:val="clear" w:color="auto" w:fill="FFFFFF"/>
        </w:rPr>
        <w:t>Evidence</w:t>
      </w:r>
    </w:p>
    <w:p w:rsidR="00742572" w:rsidRPr="0008328C" w:rsidRDefault="005300CC" w:rsidP="0008328C">
      <w:pPr>
        <w:keepNext/>
        <w:rPr>
          <w:i/>
          <w:color w:val="000000"/>
          <w:shd w:val="clear" w:color="auto" w:fill="FFFFFF"/>
        </w:rPr>
      </w:pPr>
      <w:r w:rsidRPr="0008328C">
        <w:rPr>
          <w:color w:val="000000"/>
          <w:shd w:val="clear" w:color="auto" w:fill="FFFFFF"/>
        </w:rPr>
        <w:t xml:space="preserve">A.  </w:t>
      </w:r>
      <w:r w:rsidRPr="0008328C">
        <w:rPr>
          <w:i/>
          <w:color w:val="000000"/>
          <w:shd w:val="clear" w:color="auto" w:fill="FFFFFF"/>
        </w:rPr>
        <w:t>The Prosecution’s Case-in-Chief</w:t>
      </w:r>
    </w:p>
    <w:p w:rsidR="000F1984" w:rsidRPr="0008328C" w:rsidRDefault="005300CC" w:rsidP="0008328C">
      <w:pPr>
        <w:keepNext/>
        <w:rPr>
          <w:i/>
          <w:color w:val="000000"/>
          <w:shd w:val="clear" w:color="auto" w:fill="FFFFFF"/>
        </w:rPr>
      </w:pPr>
      <w:r w:rsidRPr="0008328C">
        <w:rPr>
          <w:i/>
          <w:color w:val="000000"/>
          <w:shd w:val="clear" w:color="auto" w:fill="FFFFFF"/>
        </w:rPr>
        <w:t>The Relationship of Defendant and S</w:t>
      </w:r>
      <w:r w:rsidRPr="009A00EB">
        <w:rPr>
          <w:color w:val="000000"/>
          <w:shd w:val="clear" w:color="auto" w:fill="FFFFFF"/>
        </w:rPr>
        <w:t>.</w:t>
      </w:r>
      <w:r w:rsidRPr="0008328C">
        <w:rPr>
          <w:i/>
          <w:color w:val="000000"/>
          <w:shd w:val="clear" w:color="auto" w:fill="FFFFFF"/>
        </w:rPr>
        <w:t>S</w:t>
      </w:r>
      <w:r w:rsidRPr="009A00EB">
        <w:rPr>
          <w:color w:val="000000"/>
          <w:shd w:val="clear" w:color="auto" w:fill="FFFFFF"/>
        </w:rPr>
        <w:t>.</w:t>
      </w:r>
    </w:p>
    <w:p w:rsidR="000F1984" w:rsidRPr="0008328C" w:rsidRDefault="005300CC" w:rsidP="0008328C">
      <w:pPr>
        <w:ind w:firstLine="720"/>
        <w:rPr>
          <w:color w:val="000000"/>
          <w:shd w:val="clear" w:color="auto" w:fill="FFFFFF"/>
        </w:rPr>
      </w:pPr>
      <w:r w:rsidRPr="0008328C">
        <w:rPr>
          <w:color w:val="000000"/>
          <w:shd w:val="clear" w:color="auto" w:fill="FFFFFF"/>
        </w:rPr>
        <w:t xml:space="preserve">S.S. met defendant in approximately late 2013 when S.S. was working for SAP as part of its start-up-focus program and defendant was an </w:t>
      </w:r>
      <w:r>
        <w:rPr>
          <w:color w:val="000000"/>
          <w:shd w:val="clear" w:color="auto" w:fill="FFFFFF"/>
        </w:rPr>
        <w:t xml:space="preserve">SAP </w:t>
      </w:r>
      <w:r w:rsidRPr="0008328C">
        <w:rPr>
          <w:color w:val="000000"/>
          <w:shd w:val="clear" w:color="auto" w:fill="FFFFFF"/>
        </w:rPr>
        <w:t xml:space="preserve">intern.  </w:t>
      </w:r>
      <w:r>
        <w:rPr>
          <w:color w:val="000000"/>
          <w:shd w:val="clear" w:color="auto" w:fill="FFFFFF"/>
        </w:rPr>
        <w:t>Later, when S.S. was</w:t>
      </w:r>
      <w:r w:rsidRPr="0008328C">
        <w:rPr>
          <w:color w:val="000000"/>
          <w:shd w:val="clear" w:color="auto" w:fill="FFFFFF"/>
        </w:rPr>
        <w:t xml:space="preserve"> vice president of innovations, S.S. was responsible for getting Hana</w:t>
      </w:r>
      <w:r>
        <w:rPr>
          <w:color w:val="000000"/>
          <w:shd w:val="clear" w:color="auto" w:fill="FFFFFF"/>
        </w:rPr>
        <w:t>H</w:t>
      </w:r>
      <w:r w:rsidRPr="0008328C">
        <w:rPr>
          <w:color w:val="000000"/>
          <w:shd w:val="clear" w:color="auto" w:fill="FFFFFF"/>
        </w:rPr>
        <w:t xml:space="preserve">aus, </w:t>
      </w:r>
      <w:r>
        <w:rPr>
          <w:color w:val="000000"/>
          <w:shd w:val="clear" w:color="auto" w:fill="FFFFFF"/>
        </w:rPr>
        <w:t xml:space="preserve">which was </w:t>
      </w:r>
      <w:r w:rsidRPr="0008328C">
        <w:rPr>
          <w:color w:val="000000"/>
          <w:shd w:val="clear" w:color="auto" w:fill="FFFFFF"/>
        </w:rPr>
        <w:t>a w</w:t>
      </w:r>
      <w:r w:rsidRPr="0008328C">
        <w:rPr>
          <w:color w:val="000000"/>
          <w:shd w:val="clear" w:color="auto" w:fill="FFFFFF"/>
        </w:rPr>
        <w:t>ork space that was “anchored by a coffee shop in downtown Palo Alto,” up and running.  Hana</w:t>
      </w:r>
      <w:r>
        <w:rPr>
          <w:color w:val="000000"/>
          <w:shd w:val="clear" w:color="auto" w:fill="FFFFFF"/>
        </w:rPr>
        <w:t>H</w:t>
      </w:r>
      <w:r w:rsidRPr="0008328C">
        <w:rPr>
          <w:color w:val="000000"/>
          <w:shd w:val="clear" w:color="auto" w:fill="FFFFFF"/>
        </w:rPr>
        <w:t>aus was a vision of an SAP founder</w:t>
      </w:r>
      <w:r>
        <w:rPr>
          <w:color w:val="000000"/>
          <w:shd w:val="clear" w:color="auto" w:fill="FFFFFF"/>
        </w:rPr>
        <w:t xml:space="preserve">.  It </w:t>
      </w:r>
      <w:r w:rsidRPr="0008328C">
        <w:rPr>
          <w:color w:val="000000"/>
          <w:shd w:val="clear" w:color="auto" w:fill="FFFFFF"/>
        </w:rPr>
        <w:t xml:space="preserve">was meant </w:t>
      </w:r>
      <w:r>
        <w:rPr>
          <w:color w:val="000000"/>
          <w:shd w:val="clear" w:color="auto" w:fill="FFFFFF"/>
        </w:rPr>
        <w:t xml:space="preserve">to serve </w:t>
      </w:r>
      <w:r w:rsidRPr="0008328C">
        <w:rPr>
          <w:color w:val="000000"/>
          <w:shd w:val="clear" w:color="auto" w:fill="FFFFFF"/>
        </w:rPr>
        <w:t xml:space="preserve">“the broader entrepreneurial community of Palo Alto” </w:t>
      </w:r>
      <w:r>
        <w:rPr>
          <w:color w:val="000000"/>
          <w:shd w:val="clear" w:color="auto" w:fill="FFFFFF"/>
        </w:rPr>
        <w:t xml:space="preserve">and be a place </w:t>
      </w:r>
      <w:r w:rsidRPr="0008328C">
        <w:rPr>
          <w:color w:val="000000"/>
          <w:shd w:val="clear" w:color="auto" w:fill="FFFFFF"/>
        </w:rPr>
        <w:t>“to hang out and work and be producti</w:t>
      </w:r>
      <w:r w:rsidRPr="0008328C">
        <w:rPr>
          <w:color w:val="000000"/>
          <w:shd w:val="clear" w:color="auto" w:fill="FFFFFF"/>
        </w:rPr>
        <w:t>ve.”</w:t>
      </w:r>
    </w:p>
    <w:p w:rsidR="000F1984" w:rsidRPr="0008328C" w:rsidRDefault="005300CC" w:rsidP="0008328C">
      <w:pPr>
        <w:ind w:firstLine="720"/>
        <w:rPr>
          <w:color w:val="000000"/>
          <w:shd w:val="clear" w:color="auto" w:fill="FFFFFF"/>
        </w:rPr>
      </w:pPr>
      <w:r w:rsidRPr="0008328C">
        <w:rPr>
          <w:color w:val="000000"/>
          <w:shd w:val="clear" w:color="auto" w:fill="FFFFFF"/>
        </w:rPr>
        <w:t>In approximately March of 2014, S.S. advertised the position of Hana</w:t>
      </w:r>
      <w:r>
        <w:rPr>
          <w:color w:val="000000"/>
          <w:shd w:val="clear" w:color="auto" w:fill="FFFFFF"/>
        </w:rPr>
        <w:t>H</w:t>
      </w:r>
      <w:r w:rsidRPr="0008328C">
        <w:rPr>
          <w:color w:val="000000"/>
          <w:shd w:val="clear" w:color="auto" w:fill="FFFFFF"/>
        </w:rPr>
        <w:t xml:space="preserve">aus manager, and defendant expressed an interest in the job.  Because defendant had done “a pretty good job” </w:t>
      </w:r>
      <w:r>
        <w:rPr>
          <w:color w:val="000000"/>
          <w:shd w:val="clear" w:color="auto" w:fill="FFFFFF"/>
        </w:rPr>
        <w:t xml:space="preserve">as an intern </w:t>
      </w:r>
      <w:r w:rsidRPr="0008328C">
        <w:rPr>
          <w:color w:val="000000"/>
          <w:shd w:val="clear" w:color="auto" w:fill="FFFFFF"/>
        </w:rPr>
        <w:t>on the projects he had done for S.S. in 2013, S.S. had “no p</w:t>
      </w:r>
      <w:r w:rsidRPr="0008328C">
        <w:rPr>
          <w:color w:val="000000"/>
          <w:shd w:val="clear" w:color="auto" w:fill="FFFFFF"/>
        </w:rPr>
        <w:t>roblem” bringing defendant into the Hana</w:t>
      </w:r>
      <w:r>
        <w:rPr>
          <w:color w:val="000000"/>
          <w:shd w:val="clear" w:color="auto" w:fill="FFFFFF"/>
        </w:rPr>
        <w:t>H</w:t>
      </w:r>
      <w:r w:rsidRPr="0008328C">
        <w:rPr>
          <w:color w:val="000000"/>
          <w:shd w:val="clear" w:color="auto" w:fill="FFFFFF"/>
        </w:rPr>
        <w:t>aus project.</w:t>
      </w:r>
    </w:p>
    <w:p w:rsidR="000F1984" w:rsidRPr="0008328C" w:rsidRDefault="005300CC" w:rsidP="0008328C">
      <w:pPr>
        <w:ind w:firstLine="720"/>
        <w:rPr>
          <w:color w:val="000000"/>
          <w:shd w:val="clear" w:color="auto" w:fill="FFFFFF"/>
        </w:rPr>
      </w:pPr>
      <w:r w:rsidRPr="0008328C">
        <w:rPr>
          <w:color w:val="000000"/>
          <w:shd w:val="clear" w:color="auto" w:fill="FFFFFF"/>
        </w:rPr>
        <w:t>On April 1, 2014, defendant began working as the manager of HanaHaus; he reported to S.S.  During the planning and construction phases, defendant performed his duties extremely well.  Defendant helped S</w:t>
      </w:r>
      <w:r w:rsidRPr="0008328C">
        <w:rPr>
          <w:color w:val="000000"/>
          <w:shd w:val="clear" w:color="auto" w:fill="FFFFFF"/>
        </w:rPr>
        <w:t>.S. interact with contractors, architects, and people in the Palo Alto community.</w:t>
      </w:r>
    </w:p>
    <w:p w:rsidR="000F1984" w:rsidRPr="0008328C" w:rsidRDefault="005300CC" w:rsidP="0008328C">
      <w:pPr>
        <w:ind w:firstLine="720"/>
        <w:rPr>
          <w:color w:val="000000"/>
          <w:shd w:val="clear" w:color="auto" w:fill="FFFFFF"/>
        </w:rPr>
      </w:pPr>
      <w:r w:rsidRPr="0008328C">
        <w:rPr>
          <w:color w:val="000000"/>
          <w:shd w:val="clear" w:color="auto" w:fill="FFFFFF"/>
        </w:rPr>
        <w:t>Defendant</w:t>
      </w:r>
      <w:r>
        <w:rPr>
          <w:color w:val="000000"/>
          <w:shd w:val="clear" w:color="auto" w:fill="FFFFFF"/>
        </w:rPr>
        <w:t xml:space="preserve"> went</w:t>
      </w:r>
      <w:r w:rsidRPr="0008328C">
        <w:rPr>
          <w:color w:val="000000"/>
          <w:shd w:val="clear" w:color="auto" w:fill="FFFFFF"/>
        </w:rPr>
        <w:t xml:space="preserve"> to S.S.’s house on</w:t>
      </w:r>
      <w:r>
        <w:rPr>
          <w:color w:val="000000"/>
          <w:shd w:val="clear" w:color="auto" w:fill="FFFFFF"/>
        </w:rPr>
        <w:t xml:space="preserve"> at</w:t>
      </w:r>
      <w:r w:rsidRPr="0008328C">
        <w:rPr>
          <w:color w:val="000000"/>
          <w:shd w:val="clear" w:color="auto" w:fill="FFFFFF"/>
        </w:rPr>
        <w:t xml:space="preserve"> least one occasion.  </w:t>
      </w:r>
      <w:r>
        <w:rPr>
          <w:color w:val="000000"/>
          <w:shd w:val="clear" w:color="auto" w:fill="FFFFFF"/>
        </w:rPr>
        <w:t xml:space="preserve">In that instance, </w:t>
      </w:r>
      <w:r w:rsidRPr="0008328C">
        <w:rPr>
          <w:color w:val="000000"/>
          <w:shd w:val="clear" w:color="auto" w:fill="FFFFFF"/>
        </w:rPr>
        <w:t xml:space="preserve">S.S. had brought defendant over to his house because he was lending bicycles </w:t>
      </w:r>
      <w:r>
        <w:rPr>
          <w:color w:val="000000"/>
          <w:shd w:val="clear" w:color="auto" w:fill="FFFFFF"/>
        </w:rPr>
        <w:t xml:space="preserve">to </w:t>
      </w:r>
      <w:r w:rsidRPr="0008328C">
        <w:rPr>
          <w:color w:val="000000"/>
          <w:shd w:val="clear" w:color="auto" w:fill="FFFFFF"/>
        </w:rPr>
        <w:t>defendant</w:t>
      </w:r>
      <w:r>
        <w:rPr>
          <w:color w:val="000000"/>
          <w:shd w:val="clear" w:color="auto" w:fill="FFFFFF"/>
        </w:rPr>
        <w:t xml:space="preserve">’s </w:t>
      </w:r>
      <w:r w:rsidRPr="0008328C">
        <w:rPr>
          <w:color w:val="000000"/>
          <w:shd w:val="clear" w:color="auto" w:fill="FFFFFF"/>
        </w:rPr>
        <w:t>sister</w:t>
      </w:r>
      <w:r w:rsidRPr="0008328C">
        <w:rPr>
          <w:color w:val="000000"/>
          <w:shd w:val="clear" w:color="auto" w:fill="FFFFFF"/>
        </w:rPr>
        <w:t>s</w:t>
      </w:r>
      <w:r>
        <w:rPr>
          <w:color w:val="000000"/>
          <w:shd w:val="clear" w:color="auto" w:fill="FFFFFF"/>
        </w:rPr>
        <w:t xml:space="preserve">, </w:t>
      </w:r>
      <w:r w:rsidRPr="0008328C">
        <w:rPr>
          <w:color w:val="000000"/>
          <w:shd w:val="clear" w:color="auto" w:fill="FFFFFF"/>
        </w:rPr>
        <w:t xml:space="preserve">who were visiting from the </w:t>
      </w:r>
      <w:r>
        <w:rPr>
          <w:color w:val="000000"/>
          <w:shd w:val="clear" w:color="auto" w:fill="FFFFFF"/>
        </w:rPr>
        <w:t>E</w:t>
      </w:r>
      <w:r w:rsidRPr="0008328C">
        <w:rPr>
          <w:color w:val="000000"/>
          <w:shd w:val="clear" w:color="auto" w:fill="FFFFFF"/>
        </w:rPr>
        <w:t xml:space="preserve">ast </w:t>
      </w:r>
      <w:r>
        <w:rPr>
          <w:color w:val="000000"/>
          <w:shd w:val="clear" w:color="auto" w:fill="FFFFFF"/>
        </w:rPr>
        <w:t>C</w:t>
      </w:r>
      <w:r w:rsidRPr="0008328C">
        <w:rPr>
          <w:color w:val="000000"/>
          <w:shd w:val="clear" w:color="auto" w:fill="FFFFFF"/>
        </w:rPr>
        <w:t xml:space="preserve">oast.  S.S. and defendant loaded the bicycles in </w:t>
      </w:r>
      <w:r w:rsidRPr="0008328C">
        <w:rPr>
          <w:color w:val="000000"/>
          <w:shd w:val="clear" w:color="auto" w:fill="FFFFFF"/>
        </w:rPr>
        <w:lastRenderedPageBreak/>
        <w:t xml:space="preserve">S.S.’s car and took them over to defendant’s apartment. </w:t>
      </w:r>
      <w:r>
        <w:rPr>
          <w:color w:val="000000"/>
          <w:shd w:val="clear" w:color="auto" w:fill="FFFFFF"/>
        </w:rPr>
        <w:t xml:space="preserve"> </w:t>
      </w:r>
      <w:r w:rsidRPr="0008328C">
        <w:rPr>
          <w:color w:val="000000"/>
          <w:shd w:val="clear" w:color="auto" w:fill="FFFFFF"/>
        </w:rPr>
        <w:t>S.S. believed that defendant had come over to his house one other time, but S.S. could not recall the circumstance</w:t>
      </w:r>
      <w:r w:rsidRPr="0008328C">
        <w:rPr>
          <w:color w:val="000000"/>
          <w:shd w:val="clear" w:color="auto" w:fill="FFFFFF"/>
        </w:rPr>
        <w:t>s.</w:t>
      </w:r>
    </w:p>
    <w:p w:rsidR="000F1984" w:rsidRPr="0008328C" w:rsidRDefault="005300CC" w:rsidP="0008328C">
      <w:pPr>
        <w:ind w:firstLine="720"/>
        <w:rPr>
          <w:color w:val="000000"/>
          <w:shd w:val="clear" w:color="auto" w:fill="FFFFFF"/>
        </w:rPr>
      </w:pPr>
      <w:r w:rsidRPr="0008328C">
        <w:rPr>
          <w:color w:val="000000"/>
          <w:shd w:val="clear" w:color="auto" w:fill="FFFFFF"/>
        </w:rPr>
        <w:t>S.S. gave defendant a performance review for 2014.  He rated defendant “outstanding” in five of 14 categories and “successful” in the remaining categories.  In the category of “teamwork,” which refers to “getting along with</w:t>
      </w:r>
      <w:r>
        <w:rPr>
          <w:color w:val="000000"/>
          <w:shd w:val="clear" w:color="auto" w:fill="FFFFFF"/>
        </w:rPr>
        <w:t> </w:t>
      </w:r>
      <w:r w:rsidRPr="0008328C">
        <w:rPr>
          <w:color w:val="000000"/>
          <w:shd w:val="clear" w:color="auto" w:fill="FFFFFF"/>
        </w:rPr>
        <w:t>. . . fellow team members,” d</w:t>
      </w:r>
      <w:r w:rsidRPr="0008328C">
        <w:rPr>
          <w:color w:val="000000"/>
          <w:shd w:val="clear" w:color="auto" w:fill="FFFFFF"/>
        </w:rPr>
        <w:t xml:space="preserve">efendant </w:t>
      </w:r>
      <w:r>
        <w:rPr>
          <w:color w:val="000000"/>
          <w:shd w:val="clear" w:color="auto" w:fill="FFFFFF"/>
        </w:rPr>
        <w:t xml:space="preserve">received an excellent rating </w:t>
      </w:r>
      <w:r w:rsidRPr="0008328C">
        <w:rPr>
          <w:color w:val="000000"/>
          <w:shd w:val="clear" w:color="auto" w:fill="FFFFFF"/>
        </w:rPr>
        <w:t>for 2014.</w:t>
      </w:r>
    </w:p>
    <w:p w:rsidR="000F1984" w:rsidRPr="0008328C" w:rsidRDefault="005300CC" w:rsidP="0008328C">
      <w:pPr>
        <w:ind w:firstLine="720"/>
        <w:rPr>
          <w:color w:val="000000"/>
          <w:shd w:val="clear" w:color="auto" w:fill="FFFFFF"/>
        </w:rPr>
      </w:pPr>
      <w:r w:rsidRPr="0008328C">
        <w:rPr>
          <w:color w:val="000000"/>
          <w:shd w:val="clear" w:color="auto" w:fill="FFFFFF"/>
        </w:rPr>
        <w:t>In 2014 or as late as January 2015, S.S. wrote a recommendation for defendant in support of his graduate school application.</w:t>
      </w:r>
    </w:p>
    <w:p w:rsidR="000F1984" w:rsidRPr="0008328C" w:rsidRDefault="005300CC" w:rsidP="0008328C">
      <w:pPr>
        <w:ind w:firstLine="720"/>
        <w:rPr>
          <w:color w:val="000000"/>
          <w:shd w:val="clear" w:color="auto" w:fill="FFFFFF"/>
        </w:rPr>
      </w:pPr>
      <w:r w:rsidRPr="0008328C">
        <w:rPr>
          <w:color w:val="000000"/>
          <w:shd w:val="clear" w:color="auto" w:fill="FFFFFF"/>
        </w:rPr>
        <w:t xml:space="preserve">Defendant’s job performance began to “drop quite a bit” as they got close to </w:t>
      </w:r>
      <w:r>
        <w:rPr>
          <w:color w:val="000000"/>
          <w:shd w:val="clear" w:color="auto" w:fill="FFFFFF"/>
        </w:rPr>
        <w:t>the la</w:t>
      </w:r>
      <w:r>
        <w:rPr>
          <w:color w:val="000000"/>
          <w:shd w:val="clear" w:color="auto" w:fill="FFFFFF"/>
        </w:rPr>
        <w:t xml:space="preserve">unch of </w:t>
      </w:r>
      <w:r w:rsidRPr="0008328C">
        <w:rPr>
          <w:color w:val="000000"/>
          <w:shd w:val="clear" w:color="auto" w:fill="FFFFFF"/>
        </w:rPr>
        <w:t>Han</w:t>
      </w:r>
      <w:r>
        <w:rPr>
          <w:color w:val="000000"/>
          <w:shd w:val="clear" w:color="auto" w:fill="FFFFFF"/>
        </w:rPr>
        <w:t>a</w:t>
      </w:r>
      <w:r w:rsidRPr="0008328C">
        <w:rPr>
          <w:color w:val="000000"/>
          <w:shd w:val="clear" w:color="auto" w:fill="FFFFFF"/>
        </w:rPr>
        <w:t>Haus.  HanaHaus opened in March 2015.  After Hana</w:t>
      </w:r>
      <w:r>
        <w:rPr>
          <w:color w:val="000000"/>
          <w:shd w:val="clear" w:color="auto" w:fill="FFFFFF"/>
        </w:rPr>
        <w:t>H</w:t>
      </w:r>
      <w:r w:rsidRPr="0008328C">
        <w:rPr>
          <w:color w:val="000000"/>
          <w:shd w:val="clear" w:color="auto" w:fill="FFFFFF"/>
        </w:rPr>
        <w:t>aus was up and running, S.S. took on the additional responsibility of strategic product development at SAP.</w:t>
      </w:r>
    </w:p>
    <w:p w:rsidR="000F1984" w:rsidRPr="0008328C" w:rsidRDefault="005300CC" w:rsidP="0008328C">
      <w:pPr>
        <w:ind w:firstLine="720"/>
        <w:rPr>
          <w:color w:val="000000"/>
          <w:shd w:val="clear" w:color="auto" w:fill="FFFFFF"/>
        </w:rPr>
      </w:pPr>
      <w:r w:rsidRPr="0008328C">
        <w:rPr>
          <w:color w:val="000000"/>
          <w:shd w:val="clear" w:color="auto" w:fill="FFFFFF"/>
        </w:rPr>
        <w:t xml:space="preserve">HanaHaus operated </w:t>
      </w:r>
      <w:r>
        <w:rPr>
          <w:color w:val="000000"/>
          <w:shd w:val="clear" w:color="auto" w:fill="FFFFFF"/>
        </w:rPr>
        <w:t xml:space="preserve">with the support of </w:t>
      </w:r>
      <w:r w:rsidRPr="0008328C">
        <w:rPr>
          <w:color w:val="000000"/>
          <w:shd w:val="clear" w:color="auto" w:fill="FFFFFF"/>
        </w:rPr>
        <w:t>four or five outside contractors.  Blue Bottle C</w:t>
      </w:r>
      <w:r w:rsidRPr="0008328C">
        <w:rPr>
          <w:color w:val="000000"/>
          <w:shd w:val="clear" w:color="auto" w:fill="FFFFFF"/>
        </w:rPr>
        <w:t xml:space="preserve">offee ran the coffee shop.  Defendant’s managerial duties required him </w:t>
      </w:r>
      <w:r>
        <w:rPr>
          <w:color w:val="000000"/>
          <w:shd w:val="clear" w:color="auto" w:fill="FFFFFF"/>
        </w:rPr>
        <w:t xml:space="preserve">to </w:t>
      </w:r>
      <w:r w:rsidRPr="0008328C">
        <w:rPr>
          <w:color w:val="000000"/>
          <w:shd w:val="clear" w:color="auto" w:fill="FFFFFF"/>
        </w:rPr>
        <w:t>be physically present to run HanaHaus’s “day-to-day operations</w:t>
      </w:r>
      <w:r>
        <w:rPr>
          <w:color w:val="000000"/>
          <w:shd w:val="clear" w:color="auto" w:fill="FFFFFF"/>
        </w:rPr>
        <w:t>.</w:t>
      </w:r>
      <w:r w:rsidRPr="0008328C">
        <w:rPr>
          <w:color w:val="000000"/>
          <w:shd w:val="clear" w:color="auto" w:fill="FFFFFF"/>
        </w:rPr>
        <w:t>”</w:t>
      </w:r>
      <w:r>
        <w:rPr>
          <w:color w:val="000000"/>
          <w:shd w:val="clear" w:color="auto" w:fill="FFFFFF"/>
        </w:rPr>
        <w:t xml:space="preserve"> </w:t>
      </w:r>
      <w:r w:rsidRPr="0008328C">
        <w:rPr>
          <w:color w:val="000000"/>
          <w:shd w:val="clear" w:color="auto" w:fill="FFFFFF"/>
        </w:rPr>
        <w:t xml:space="preserve"> </w:t>
      </w:r>
      <w:r>
        <w:rPr>
          <w:color w:val="000000"/>
          <w:shd w:val="clear" w:color="auto" w:fill="FFFFFF"/>
        </w:rPr>
        <w:t xml:space="preserve">His </w:t>
      </w:r>
      <w:r w:rsidRPr="0008328C">
        <w:rPr>
          <w:color w:val="000000"/>
          <w:shd w:val="clear" w:color="auto" w:fill="FFFFFF"/>
        </w:rPr>
        <w:t>duties included ensuring that the contractors “performed their jobs well”</w:t>
      </w:r>
      <w:r>
        <w:rPr>
          <w:color w:val="000000"/>
          <w:shd w:val="clear" w:color="auto" w:fill="FFFFFF"/>
        </w:rPr>
        <w:t xml:space="preserve"> and managing </w:t>
      </w:r>
      <w:r w:rsidRPr="0008328C">
        <w:rPr>
          <w:color w:val="000000"/>
          <w:shd w:val="clear" w:color="auto" w:fill="FFFFFF"/>
        </w:rPr>
        <w:t xml:space="preserve">reservations for the </w:t>
      </w:r>
      <w:r w:rsidRPr="0008328C">
        <w:rPr>
          <w:color w:val="000000"/>
          <w:shd w:val="clear" w:color="auto" w:fill="FFFFFF"/>
        </w:rPr>
        <w:t>workspace</w:t>
      </w:r>
      <w:r>
        <w:rPr>
          <w:color w:val="000000"/>
          <w:shd w:val="clear" w:color="auto" w:fill="FFFFFF"/>
        </w:rPr>
        <w:t>.</w:t>
      </w:r>
    </w:p>
    <w:p w:rsidR="000F1984" w:rsidRPr="0008328C" w:rsidRDefault="005300CC" w:rsidP="0008328C">
      <w:pPr>
        <w:ind w:firstLine="720"/>
        <w:rPr>
          <w:color w:val="000000"/>
          <w:shd w:val="clear" w:color="auto" w:fill="FFFFFF"/>
        </w:rPr>
      </w:pPr>
      <w:r w:rsidRPr="0008328C">
        <w:rPr>
          <w:color w:val="000000"/>
          <w:shd w:val="clear" w:color="auto" w:fill="FFFFFF"/>
        </w:rPr>
        <w:t xml:space="preserve">As </w:t>
      </w:r>
      <w:r>
        <w:rPr>
          <w:color w:val="000000"/>
          <w:shd w:val="clear" w:color="auto" w:fill="FFFFFF"/>
        </w:rPr>
        <w:t xml:space="preserve">the </w:t>
      </w:r>
      <w:r w:rsidRPr="0008328C">
        <w:rPr>
          <w:color w:val="000000"/>
          <w:shd w:val="clear" w:color="auto" w:fill="FFFFFF"/>
        </w:rPr>
        <w:t xml:space="preserve">manager, defendant </w:t>
      </w:r>
      <w:r>
        <w:rPr>
          <w:color w:val="000000"/>
          <w:shd w:val="clear" w:color="auto" w:fill="FFFFFF"/>
        </w:rPr>
        <w:t xml:space="preserve">was also responsible for handling </w:t>
      </w:r>
      <w:r w:rsidRPr="0008328C">
        <w:rPr>
          <w:color w:val="000000"/>
          <w:shd w:val="clear" w:color="auto" w:fill="FFFFFF"/>
        </w:rPr>
        <w:t>social media</w:t>
      </w:r>
      <w:r>
        <w:rPr>
          <w:color w:val="000000"/>
          <w:shd w:val="clear" w:color="auto" w:fill="FFFFFF"/>
        </w:rPr>
        <w:t xml:space="preserve"> for HanaHaus</w:t>
      </w:r>
      <w:r w:rsidRPr="0008328C">
        <w:rPr>
          <w:color w:val="000000"/>
          <w:shd w:val="clear" w:color="auto" w:fill="FFFFFF"/>
        </w:rPr>
        <w:t xml:space="preserve">, </w:t>
      </w:r>
      <w:r>
        <w:rPr>
          <w:color w:val="000000"/>
          <w:shd w:val="clear" w:color="auto" w:fill="FFFFFF"/>
        </w:rPr>
        <w:t>including</w:t>
      </w:r>
      <w:r w:rsidRPr="0008328C">
        <w:rPr>
          <w:color w:val="000000"/>
          <w:shd w:val="clear" w:color="auto" w:fill="FFFFFF"/>
        </w:rPr>
        <w:t xml:space="preserve"> </w:t>
      </w:r>
      <w:r>
        <w:rPr>
          <w:color w:val="000000"/>
          <w:shd w:val="clear" w:color="auto" w:fill="FFFFFF"/>
        </w:rPr>
        <w:t xml:space="preserve">posts on </w:t>
      </w:r>
      <w:r w:rsidRPr="0008328C">
        <w:rPr>
          <w:color w:val="000000"/>
          <w:shd w:val="clear" w:color="auto" w:fill="FFFFFF"/>
        </w:rPr>
        <w:t>Twitter, Facebook</w:t>
      </w:r>
      <w:r>
        <w:rPr>
          <w:color w:val="000000"/>
          <w:shd w:val="clear" w:color="auto" w:fill="FFFFFF"/>
        </w:rPr>
        <w:t xml:space="preserve">, </w:t>
      </w:r>
      <w:r w:rsidRPr="0008328C">
        <w:rPr>
          <w:color w:val="000000"/>
          <w:shd w:val="clear" w:color="auto" w:fill="FFFFFF"/>
        </w:rPr>
        <w:t>and Instagram.  Defendant was supposed to create “a marketing and communications buzz” and broadly communicate informati</w:t>
      </w:r>
      <w:r w:rsidRPr="0008328C">
        <w:rPr>
          <w:color w:val="000000"/>
          <w:shd w:val="clear" w:color="auto" w:fill="FFFFFF"/>
        </w:rPr>
        <w:t>on about HanaHaus.  He had exclusive control of HanaHaus’s social media accounts.</w:t>
      </w:r>
    </w:p>
    <w:p w:rsidR="000F1984" w:rsidRPr="0008328C" w:rsidRDefault="005300CC" w:rsidP="0008328C">
      <w:pPr>
        <w:ind w:firstLine="720"/>
        <w:rPr>
          <w:color w:val="000000"/>
          <w:shd w:val="clear" w:color="auto" w:fill="FFFFFF"/>
        </w:rPr>
      </w:pPr>
      <w:r w:rsidRPr="0008328C">
        <w:rPr>
          <w:color w:val="000000"/>
          <w:shd w:val="clear" w:color="auto" w:fill="FFFFFF"/>
        </w:rPr>
        <w:t>After HanaHaus opened, his performance “really started to go down</w:t>
      </w:r>
      <w:r>
        <w:rPr>
          <w:color w:val="000000"/>
          <w:shd w:val="clear" w:color="auto" w:fill="FFFFFF"/>
        </w:rPr>
        <w:t>,” according to S.S.</w:t>
      </w:r>
      <w:r w:rsidRPr="0008328C">
        <w:rPr>
          <w:color w:val="000000"/>
          <w:shd w:val="clear" w:color="auto" w:fill="FFFFFF"/>
        </w:rPr>
        <w:t xml:space="preserve">  Defendant had “many, many absences,” and when asked about his absences, defendant often</w:t>
      </w:r>
      <w:r w:rsidRPr="0008328C">
        <w:rPr>
          <w:color w:val="000000"/>
          <w:shd w:val="clear" w:color="auto" w:fill="FFFFFF"/>
        </w:rPr>
        <w:t xml:space="preserve"> </w:t>
      </w:r>
      <w:r>
        <w:rPr>
          <w:color w:val="000000"/>
          <w:shd w:val="clear" w:color="auto" w:fill="FFFFFF"/>
        </w:rPr>
        <w:t xml:space="preserve">gave </w:t>
      </w:r>
      <w:r w:rsidRPr="0008328C">
        <w:rPr>
          <w:color w:val="000000"/>
          <w:shd w:val="clear" w:color="auto" w:fill="FFFFFF"/>
        </w:rPr>
        <w:t xml:space="preserve">medical reasons for them.  Defendant also disappeared from work during the day without </w:t>
      </w:r>
      <w:r>
        <w:rPr>
          <w:color w:val="000000"/>
          <w:shd w:val="clear" w:color="auto" w:fill="FFFFFF"/>
        </w:rPr>
        <w:t xml:space="preserve">telling </w:t>
      </w:r>
      <w:r w:rsidRPr="0008328C">
        <w:rPr>
          <w:color w:val="000000"/>
          <w:shd w:val="clear" w:color="auto" w:fill="FFFFFF"/>
        </w:rPr>
        <w:t>S.S. or anyone else at HanaHaus</w:t>
      </w:r>
      <w:r>
        <w:rPr>
          <w:color w:val="000000"/>
          <w:shd w:val="clear" w:color="auto" w:fill="FFFFFF"/>
        </w:rPr>
        <w:t xml:space="preserve"> that he was leaving</w:t>
      </w:r>
      <w:r w:rsidRPr="0008328C">
        <w:rPr>
          <w:color w:val="000000"/>
          <w:shd w:val="clear" w:color="auto" w:fill="FFFFFF"/>
        </w:rPr>
        <w:t xml:space="preserve">.  S.S.’s relationship with defendant became frayed because S.S. had his “broader responsibilities” </w:t>
      </w:r>
      <w:r>
        <w:rPr>
          <w:color w:val="000000"/>
          <w:shd w:val="clear" w:color="auto" w:fill="FFFFFF"/>
        </w:rPr>
        <w:t>in a</w:t>
      </w:r>
      <w:r>
        <w:rPr>
          <w:color w:val="000000"/>
          <w:shd w:val="clear" w:color="auto" w:fill="FFFFFF"/>
        </w:rPr>
        <w:t xml:space="preserve">ddition to his </w:t>
      </w:r>
      <w:r w:rsidRPr="0008328C">
        <w:rPr>
          <w:color w:val="000000"/>
          <w:shd w:val="clear" w:color="auto" w:fill="FFFFFF"/>
        </w:rPr>
        <w:t>responsibility “to run Hana</w:t>
      </w:r>
      <w:r>
        <w:rPr>
          <w:color w:val="000000"/>
          <w:shd w:val="clear" w:color="auto" w:fill="FFFFFF"/>
        </w:rPr>
        <w:t>H</w:t>
      </w:r>
      <w:r w:rsidRPr="0008328C">
        <w:rPr>
          <w:color w:val="000000"/>
          <w:shd w:val="clear" w:color="auto" w:fill="FFFFFF"/>
        </w:rPr>
        <w:t>aus efficiently.”</w:t>
      </w:r>
    </w:p>
    <w:p w:rsidR="000F1984" w:rsidRPr="0008328C" w:rsidRDefault="005300CC" w:rsidP="0008328C">
      <w:pPr>
        <w:ind w:firstLine="720"/>
        <w:rPr>
          <w:color w:val="000000"/>
          <w:shd w:val="clear" w:color="auto" w:fill="FFFFFF"/>
        </w:rPr>
      </w:pPr>
      <w:r w:rsidRPr="0008328C">
        <w:rPr>
          <w:color w:val="000000"/>
          <w:shd w:val="clear" w:color="auto" w:fill="FFFFFF"/>
        </w:rPr>
        <w:t xml:space="preserve">S.S. </w:t>
      </w:r>
      <w:r>
        <w:rPr>
          <w:color w:val="000000"/>
          <w:shd w:val="clear" w:color="auto" w:fill="FFFFFF"/>
        </w:rPr>
        <w:t xml:space="preserve">had received </w:t>
      </w:r>
      <w:r w:rsidRPr="0008328C">
        <w:rPr>
          <w:color w:val="000000"/>
          <w:shd w:val="clear" w:color="auto" w:fill="FFFFFF"/>
        </w:rPr>
        <w:t>complaints about defendant</w:t>
      </w:r>
      <w:r>
        <w:rPr>
          <w:color w:val="000000"/>
          <w:shd w:val="clear" w:color="auto" w:fill="FFFFFF"/>
        </w:rPr>
        <w:t>’s behavior</w:t>
      </w:r>
      <w:r w:rsidRPr="0008328C">
        <w:rPr>
          <w:color w:val="000000"/>
          <w:shd w:val="clear" w:color="auto" w:fill="FFFFFF"/>
        </w:rPr>
        <w:t xml:space="preserve"> from</w:t>
      </w:r>
      <w:r>
        <w:rPr>
          <w:color w:val="000000"/>
          <w:shd w:val="clear" w:color="auto" w:fill="FFFFFF"/>
        </w:rPr>
        <w:t xml:space="preserve"> his other </w:t>
      </w:r>
      <w:r w:rsidRPr="0008328C">
        <w:rPr>
          <w:color w:val="000000"/>
          <w:shd w:val="clear" w:color="auto" w:fill="FFFFFF"/>
        </w:rPr>
        <w:t xml:space="preserve">HanaHaus staff.  One complaint was that defendant </w:t>
      </w:r>
      <w:r>
        <w:rPr>
          <w:color w:val="000000"/>
          <w:shd w:val="clear" w:color="auto" w:fill="FFFFFF"/>
        </w:rPr>
        <w:t xml:space="preserve">allowed </w:t>
      </w:r>
      <w:r w:rsidRPr="0008328C">
        <w:rPr>
          <w:color w:val="000000"/>
          <w:shd w:val="clear" w:color="auto" w:fill="FFFFFF"/>
        </w:rPr>
        <w:t>people</w:t>
      </w:r>
      <w:r>
        <w:rPr>
          <w:color w:val="000000"/>
          <w:shd w:val="clear" w:color="auto" w:fill="FFFFFF"/>
        </w:rPr>
        <w:t xml:space="preserve"> that</w:t>
      </w:r>
      <w:r w:rsidRPr="0008328C">
        <w:rPr>
          <w:color w:val="000000"/>
          <w:shd w:val="clear" w:color="auto" w:fill="FFFFFF"/>
        </w:rPr>
        <w:t xml:space="preserve"> he knew </w:t>
      </w:r>
      <w:r>
        <w:rPr>
          <w:color w:val="000000"/>
          <w:shd w:val="clear" w:color="auto" w:fill="FFFFFF"/>
        </w:rPr>
        <w:t xml:space="preserve">to use </w:t>
      </w:r>
      <w:r w:rsidRPr="0008328C">
        <w:rPr>
          <w:color w:val="000000"/>
          <w:shd w:val="clear" w:color="auto" w:fill="FFFFFF"/>
        </w:rPr>
        <w:t>HanaHaus without a reservation and with</w:t>
      </w:r>
      <w:r w:rsidRPr="0008328C">
        <w:rPr>
          <w:color w:val="000000"/>
          <w:shd w:val="clear" w:color="auto" w:fill="FFFFFF"/>
        </w:rPr>
        <w:t>out paying.</w:t>
      </w:r>
    </w:p>
    <w:p w:rsidR="000F1984" w:rsidRPr="0008328C" w:rsidRDefault="005300CC" w:rsidP="0008328C">
      <w:pPr>
        <w:ind w:firstLine="720"/>
        <w:rPr>
          <w:color w:val="000000"/>
          <w:shd w:val="clear" w:color="auto" w:fill="FFFFFF"/>
        </w:rPr>
      </w:pPr>
      <w:r>
        <w:rPr>
          <w:color w:val="000000"/>
          <w:shd w:val="clear" w:color="auto" w:fill="FFFFFF"/>
        </w:rPr>
        <w:t>Nevertheless, i</w:t>
      </w:r>
      <w:r w:rsidRPr="0008328C">
        <w:rPr>
          <w:color w:val="000000"/>
          <w:shd w:val="clear" w:color="auto" w:fill="FFFFFF"/>
        </w:rPr>
        <w:t>n April of 2015</w:t>
      </w:r>
      <w:r>
        <w:rPr>
          <w:color w:val="000000"/>
          <w:shd w:val="clear" w:color="auto" w:fill="FFFFFF"/>
        </w:rPr>
        <w:t xml:space="preserve">, </w:t>
      </w:r>
      <w:r w:rsidRPr="0008328C">
        <w:rPr>
          <w:color w:val="000000"/>
          <w:shd w:val="clear" w:color="auto" w:fill="FFFFFF"/>
        </w:rPr>
        <w:t>S.S. signed</w:t>
      </w:r>
      <w:r>
        <w:rPr>
          <w:color w:val="000000"/>
          <w:shd w:val="clear" w:color="auto" w:fill="FFFFFF"/>
        </w:rPr>
        <w:t xml:space="preserve"> off on defendant’s </w:t>
      </w:r>
      <w:r w:rsidRPr="0008328C">
        <w:rPr>
          <w:color w:val="000000"/>
          <w:shd w:val="clear" w:color="auto" w:fill="FFFFFF"/>
        </w:rPr>
        <w:t>raise and promotion</w:t>
      </w:r>
      <w:r>
        <w:rPr>
          <w:color w:val="000000"/>
          <w:shd w:val="clear" w:color="auto" w:fill="FFFFFF"/>
        </w:rPr>
        <w:t xml:space="preserve"> b</w:t>
      </w:r>
      <w:r w:rsidRPr="0008328C">
        <w:rPr>
          <w:color w:val="000000"/>
          <w:shd w:val="clear" w:color="auto" w:fill="FFFFFF"/>
        </w:rPr>
        <w:t xml:space="preserve">ased on </w:t>
      </w:r>
      <w:r>
        <w:rPr>
          <w:color w:val="000000"/>
          <w:shd w:val="clear" w:color="auto" w:fill="FFFFFF"/>
        </w:rPr>
        <w:t xml:space="preserve">defendant’s 2014 </w:t>
      </w:r>
      <w:r w:rsidRPr="0008328C">
        <w:rPr>
          <w:color w:val="000000"/>
          <w:shd w:val="clear" w:color="auto" w:fill="FFFFFF"/>
        </w:rPr>
        <w:t>performance.  At</w:t>
      </w:r>
      <w:r>
        <w:rPr>
          <w:color w:val="000000"/>
          <w:shd w:val="clear" w:color="auto" w:fill="FFFFFF"/>
        </w:rPr>
        <w:t xml:space="preserve"> trial, S.S. explained that i</w:t>
      </w:r>
      <w:r w:rsidRPr="0008328C">
        <w:rPr>
          <w:color w:val="000000"/>
          <w:shd w:val="clear" w:color="auto" w:fill="FFFFFF"/>
        </w:rPr>
        <w:t xml:space="preserve">t took about four months </w:t>
      </w:r>
      <w:r>
        <w:rPr>
          <w:color w:val="000000"/>
          <w:shd w:val="clear" w:color="auto" w:fill="FFFFFF"/>
        </w:rPr>
        <w:t xml:space="preserve">for SAP </w:t>
      </w:r>
      <w:r w:rsidRPr="0008328C">
        <w:rPr>
          <w:color w:val="000000"/>
          <w:shd w:val="clear" w:color="auto" w:fill="FFFFFF"/>
        </w:rPr>
        <w:t xml:space="preserve">management </w:t>
      </w:r>
      <w:r>
        <w:rPr>
          <w:color w:val="000000"/>
          <w:shd w:val="clear" w:color="auto" w:fill="FFFFFF"/>
        </w:rPr>
        <w:t>to approve recommendations</w:t>
      </w:r>
      <w:r w:rsidRPr="0008328C">
        <w:rPr>
          <w:color w:val="000000"/>
          <w:shd w:val="clear" w:color="auto" w:fill="FFFFFF"/>
        </w:rPr>
        <w:t xml:space="preserve"> based </w:t>
      </w:r>
      <w:r>
        <w:rPr>
          <w:color w:val="000000"/>
          <w:shd w:val="clear" w:color="auto" w:fill="FFFFFF"/>
        </w:rPr>
        <w:t xml:space="preserve">on the </w:t>
      </w:r>
      <w:r>
        <w:rPr>
          <w:color w:val="000000"/>
          <w:shd w:val="clear" w:color="auto" w:fill="FFFFFF"/>
        </w:rPr>
        <w:t>prior year’s</w:t>
      </w:r>
      <w:r w:rsidRPr="0008328C">
        <w:rPr>
          <w:color w:val="000000"/>
          <w:shd w:val="clear" w:color="auto" w:fill="FFFFFF"/>
        </w:rPr>
        <w:t xml:space="preserve"> evaluation.</w:t>
      </w:r>
    </w:p>
    <w:p w:rsidR="000F1984" w:rsidRPr="0008328C" w:rsidRDefault="005300CC" w:rsidP="0008328C">
      <w:pPr>
        <w:ind w:firstLine="720"/>
        <w:rPr>
          <w:color w:val="000000"/>
          <w:shd w:val="clear" w:color="auto" w:fill="FFFFFF"/>
        </w:rPr>
      </w:pPr>
      <w:r w:rsidRPr="0008328C">
        <w:rPr>
          <w:color w:val="000000"/>
          <w:shd w:val="clear" w:color="auto" w:fill="FFFFFF"/>
        </w:rPr>
        <w:t xml:space="preserve">S.S. informed </w:t>
      </w:r>
      <w:r>
        <w:rPr>
          <w:color w:val="000000"/>
          <w:shd w:val="clear" w:color="auto" w:fill="FFFFFF"/>
        </w:rPr>
        <w:t>“</w:t>
      </w:r>
      <w:r w:rsidRPr="0008328C">
        <w:rPr>
          <w:color w:val="000000"/>
          <w:shd w:val="clear" w:color="auto" w:fill="FFFFFF"/>
        </w:rPr>
        <w:t>HR</w:t>
      </w:r>
      <w:r>
        <w:rPr>
          <w:color w:val="000000"/>
          <w:shd w:val="clear" w:color="auto" w:fill="FFFFFF"/>
        </w:rPr>
        <w:t>”</w:t>
      </w:r>
      <w:r w:rsidRPr="0008328C">
        <w:rPr>
          <w:color w:val="000000"/>
          <w:shd w:val="clear" w:color="auto" w:fill="FFFFFF"/>
        </w:rPr>
        <w:t xml:space="preserve"> that defendant was taking long sick leaves and not showing up for work.  In 2015, S.S. gave defendant a memo, dated May 19, 2015, </w:t>
      </w:r>
      <w:r>
        <w:rPr>
          <w:color w:val="000000"/>
          <w:shd w:val="clear" w:color="auto" w:fill="FFFFFF"/>
        </w:rPr>
        <w:t xml:space="preserve">that </w:t>
      </w:r>
      <w:r w:rsidRPr="0008328C">
        <w:rPr>
          <w:color w:val="000000"/>
          <w:shd w:val="clear" w:color="auto" w:fill="FFFFFF"/>
        </w:rPr>
        <w:t>document</w:t>
      </w:r>
      <w:r>
        <w:rPr>
          <w:color w:val="000000"/>
          <w:shd w:val="clear" w:color="auto" w:fill="FFFFFF"/>
        </w:rPr>
        <w:t xml:space="preserve">ed defendant’s </w:t>
      </w:r>
      <w:r w:rsidRPr="0008328C">
        <w:rPr>
          <w:color w:val="000000"/>
          <w:shd w:val="clear" w:color="auto" w:fill="FFFFFF"/>
        </w:rPr>
        <w:t>deficient performance, and S.S. then discussed the mem</w:t>
      </w:r>
      <w:r w:rsidRPr="0008328C">
        <w:rPr>
          <w:color w:val="000000"/>
          <w:shd w:val="clear" w:color="auto" w:fill="FFFFFF"/>
        </w:rPr>
        <w:t>o in person with defendant while an HR manager was on the phone.  The memo</w:t>
      </w:r>
      <w:r>
        <w:rPr>
          <w:color w:val="000000"/>
          <w:shd w:val="clear" w:color="auto" w:fill="FFFFFF"/>
        </w:rPr>
        <w:t xml:space="preserve"> also addressed </w:t>
      </w:r>
      <w:r w:rsidRPr="0008328C">
        <w:rPr>
          <w:color w:val="000000"/>
          <w:shd w:val="clear" w:color="auto" w:fill="FFFFFF"/>
        </w:rPr>
        <w:t xml:space="preserve">improper charges </w:t>
      </w:r>
      <w:r>
        <w:rPr>
          <w:color w:val="000000"/>
          <w:shd w:val="clear" w:color="auto" w:fill="FFFFFF"/>
        </w:rPr>
        <w:t xml:space="preserve">that defendant had </w:t>
      </w:r>
      <w:r w:rsidRPr="0008328C">
        <w:rPr>
          <w:color w:val="000000"/>
          <w:shd w:val="clear" w:color="auto" w:fill="FFFFFF"/>
        </w:rPr>
        <w:t>incurred on an SAP credit card, including “a very high Uber receipt</w:t>
      </w:r>
      <w:r>
        <w:rPr>
          <w:color w:val="000000"/>
          <w:shd w:val="clear" w:color="auto" w:fill="FFFFFF"/>
        </w:rPr>
        <w:t>.</w:t>
      </w:r>
      <w:r w:rsidRPr="0008328C">
        <w:rPr>
          <w:color w:val="000000"/>
          <w:shd w:val="clear" w:color="auto" w:fill="FFFFFF"/>
        </w:rPr>
        <w:t xml:space="preserve">”  S.S. went over </w:t>
      </w:r>
      <w:r>
        <w:rPr>
          <w:color w:val="000000"/>
          <w:shd w:val="clear" w:color="auto" w:fill="FFFFFF"/>
        </w:rPr>
        <w:t>a three-month</w:t>
      </w:r>
      <w:r w:rsidRPr="0008328C">
        <w:rPr>
          <w:color w:val="000000"/>
          <w:shd w:val="clear" w:color="auto" w:fill="FFFFFF"/>
        </w:rPr>
        <w:t xml:space="preserve"> performance plan for defendant.  It specified tasks</w:t>
      </w:r>
      <w:r>
        <w:rPr>
          <w:color w:val="000000"/>
          <w:shd w:val="clear" w:color="auto" w:fill="FFFFFF"/>
        </w:rPr>
        <w:t xml:space="preserve"> to be done by certain dates </w:t>
      </w:r>
      <w:r w:rsidRPr="0008328C">
        <w:rPr>
          <w:color w:val="000000"/>
          <w:shd w:val="clear" w:color="auto" w:fill="FFFFFF"/>
        </w:rPr>
        <w:t xml:space="preserve">and provided </w:t>
      </w:r>
      <w:r>
        <w:rPr>
          <w:color w:val="000000"/>
          <w:shd w:val="clear" w:color="auto" w:fill="FFFFFF"/>
        </w:rPr>
        <w:t xml:space="preserve">for </w:t>
      </w:r>
      <w:r w:rsidRPr="0008328C">
        <w:rPr>
          <w:color w:val="000000"/>
          <w:shd w:val="clear" w:color="auto" w:fill="FFFFFF"/>
        </w:rPr>
        <w:t>weekly follow</w:t>
      </w:r>
      <w:r>
        <w:rPr>
          <w:color w:val="000000"/>
          <w:shd w:val="clear" w:color="auto" w:fill="FFFFFF"/>
        </w:rPr>
        <w:noBreakHyphen/>
      </w:r>
      <w:r w:rsidRPr="0008328C">
        <w:rPr>
          <w:color w:val="000000"/>
          <w:shd w:val="clear" w:color="auto" w:fill="FFFFFF"/>
        </w:rPr>
        <w:t>up</w:t>
      </w:r>
      <w:r>
        <w:rPr>
          <w:color w:val="000000"/>
          <w:shd w:val="clear" w:color="auto" w:fill="FFFFFF"/>
        </w:rPr>
        <w:t>s</w:t>
      </w:r>
      <w:r w:rsidRPr="0008328C">
        <w:rPr>
          <w:color w:val="000000"/>
          <w:shd w:val="clear" w:color="auto" w:fill="FFFFFF"/>
        </w:rPr>
        <w:t>.</w:t>
      </w:r>
      <w:r>
        <w:rPr>
          <w:color w:val="000000"/>
          <w:shd w:val="clear" w:color="auto" w:fill="FFFFFF"/>
        </w:rPr>
        <w:t xml:space="preserve">  </w:t>
      </w:r>
      <w:r w:rsidRPr="0008328C">
        <w:rPr>
          <w:color w:val="000000"/>
          <w:shd w:val="clear" w:color="auto" w:fill="FFFFFF"/>
        </w:rPr>
        <w:t>The HR manager asked defendant to read the memo</w:t>
      </w:r>
      <w:r>
        <w:rPr>
          <w:color w:val="000000"/>
          <w:shd w:val="clear" w:color="auto" w:fill="FFFFFF"/>
        </w:rPr>
        <w:t xml:space="preserve"> and</w:t>
      </w:r>
      <w:r w:rsidRPr="0008328C">
        <w:rPr>
          <w:color w:val="000000"/>
          <w:shd w:val="clear" w:color="auto" w:fill="FFFFFF"/>
        </w:rPr>
        <w:t xml:space="preserve"> sign it</w:t>
      </w:r>
      <w:r>
        <w:rPr>
          <w:color w:val="000000"/>
          <w:shd w:val="clear" w:color="auto" w:fill="FFFFFF"/>
        </w:rPr>
        <w:t>, but defendant never signed it</w:t>
      </w:r>
      <w:r w:rsidRPr="0008328C">
        <w:rPr>
          <w:color w:val="000000"/>
          <w:shd w:val="clear" w:color="auto" w:fill="FFFFFF"/>
        </w:rPr>
        <w:t>.</w:t>
      </w:r>
    </w:p>
    <w:p w:rsidR="003D4767" w:rsidRDefault="005300CC" w:rsidP="00264D7A">
      <w:pPr>
        <w:ind w:firstLine="720"/>
        <w:rPr>
          <w:color w:val="000000"/>
          <w:shd w:val="clear" w:color="auto" w:fill="FFFFFF"/>
        </w:rPr>
      </w:pPr>
      <w:r w:rsidRPr="0008328C">
        <w:rPr>
          <w:color w:val="000000"/>
          <w:shd w:val="clear" w:color="auto" w:fill="FFFFFF"/>
        </w:rPr>
        <w:t>Defendant</w:t>
      </w:r>
      <w:r>
        <w:rPr>
          <w:color w:val="000000"/>
          <w:shd w:val="clear" w:color="auto" w:fill="FFFFFF"/>
        </w:rPr>
        <w:t xml:space="preserve">’s </w:t>
      </w:r>
      <w:r w:rsidRPr="0008328C">
        <w:rPr>
          <w:color w:val="000000"/>
          <w:shd w:val="clear" w:color="auto" w:fill="FFFFFF"/>
        </w:rPr>
        <w:t xml:space="preserve">job performance did not improve.  </w:t>
      </w:r>
      <w:r w:rsidRPr="0008328C">
        <w:rPr>
          <w:color w:val="000000"/>
          <w:shd w:val="clear" w:color="auto" w:fill="FFFFFF"/>
        </w:rPr>
        <w:t xml:space="preserve">Defendant continued to take unapproved </w:t>
      </w:r>
      <w:r>
        <w:rPr>
          <w:color w:val="000000"/>
          <w:shd w:val="clear" w:color="auto" w:fill="FFFFFF"/>
        </w:rPr>
        <w:t>l</w:t>
      </w:r>
      <w:r w:rsidRPr="0008328C">
        <w:rPr>
          <w:color w:val="000000"/>
          <w:shd w:val="clear" w:color="auto" w:fill="FFFFFF"/>
        </w:rPr>
        <w:t>eaves</w:t>
      </w:r>
      <w:r>
        <w:rPr>
          <w:color w:val="000000"/>
          <w:shd w:val="clear" w:color="auto" w:fill="FFFFFF"/>
        </w:rPr>
        <w:t xml:space="preserve"> and vacation time</w:t>
      </w:r>
      <w:r w:rsidRPr="0008328C">
        <w:rPr>
          <w:color w:val="000000"/>
          <w:shd w:val="clear" w:color="auto" w:fill="FFFFFF"/>
        </w:rPr>
        <w:t xml:space="preserve">.  </w:t>
      </w:r>
      <w:r>
        <w:rPr>
          <w:color w:val="000000"/>
          <w:shd w:val="clear" w:color="auto" w:fill="FFFFFF"/>
        </w:rPr>
        <w:t>W</w:t>
      </w:r>
      <w:r w:rsidRPr="0008328C">
        <w:rPr>
          <w:color w:val="000000"/>
          <w:shd w:val="clear" w:color="auto" w:fill="FFFFFF"/>
        </w:rPr>
        <w:t>h</w:t>
      </w:r>
      <w:r>
        <w:rPr>
          <w:color w:val="000000"/>
          <w:shd w:val="clear" w:color="auto" w:fill="FFFFFF"/>
        </w:rPr>
        <w:t>ile s</w:t>
      </w:r>
      <w:r w:rsidRPr="0008328C">
        <w:rPr>
          <w:color w:val="000000"/>
          <w:shd w:val="clear" w:color="auto" w:fill="FFFFFF"/>
        </w:rPr>
        <w:t>upposedly on leave</w:t>
      </w:r>
      <w:r>
        <w:rPr>
          <w:color w:val="000000"/>
          <w:shd w:val="clear" w:color="auto" w:fill="FFFFFF"/>
        </w:rPr>
        <w:t>, defendant</w:t>
      </w:r>
      <w:r w:rsidRPr="0008328C">
        <w:rPr>
          <w:color w:val="000000"/>
          <w:shd w:val="clear" w:color="auto" w:fill="FFFFFF"/>
        </w:rPr>
        <w:t xml:space="preserve"> showed up for at least one event hosted at HanaHaus.</w:t>
      </w:r>
      <w:r>
        <w:rPr>
          <w:color w:val="000000"/>
          <w:shd w:val="clear" w:color="auto" w:fill="FFFFFF"/>
        </w:rPr>
        <w:t xml:space="preserve">  </w:t>
      </w:r>
      <w:r w:rsidRPr="0008328C">
        <w:rPr>
          <w:color w:val="000000"/>
          <w:shd w:val="clear" w:color="auto" w:fill="FFFFFF"/>
        </w:rPr>
        <w:t>In September or October of 2015, S.S. personally informed defendant that he could not be at HanaHau</w:t>
      </w:r>
      <w:r w:rsidRPr="0008328C">
        <w:rPr>
          <w:color w:val="000000"/>
          <w:shd w:val="clear" w:color="auto" w:fill="FFFFFF"/>
        </w:rPr>
        <w:t xml:space="preserve">s </w:t>
      </w:r>
      <w:r>
        <w:rPr>
          <w:color w:val="000000"/>
          <w:shd w:val="clear" w:color="auto" w:fill="FFFFFF"/>
        </w:rPr>
        <w:t xml:space="preserve">while </w:t>
      </w:r>
      <w:r w:rsidRPr="0008328C">
        <w:rPr>
          <w:color w:val="000000"/>
          <w:shd w:val="clear" w:color="auto" w:fill="FFFFFF"/>
        </w:rPr>
        <w:t>on sick leave.  Defendant told S.S., “This is a public place” and “I can come and go as I please.”  S.S. thought defendant’s attitude was “[v]ery aggressive” and “[v]ery arrogant.”  The staff reported to S.S. that defendant was at HanaHaus three or</w:t>
      </w:r>
      <w:r w:rsidRPr="0008328C">
        <w:rPr>
          <w:color w:val="000000"/>
          <w:shd w:val="clear" w:color="auto" w:fill="FFFFFF"/>
        </w:rPr>
        <w:t xml:space="preserve"> four times.  S.S. met defendant there and asked him to leave a couple of times.  Defendant did not appear </w:t>
      </w:r>
      <w:r>
        <w:rPr>
          <w:color w:val="000000"/>
          <w:shd w:val="clear" w:color="auto" w:fill="FFFFFF"/>
        </w:rPr>
        <w:t xml:space="preserve">to be </w:t>
      </w:r>
      <w:r w:rsidRPr="0008328C">
        <w:rPr>
          <w:color w:val="000000"/>
          <w:shd w:val="clear" w:color="auto" w:fill="FFFFFF"/>
        </w:rPr>
        <w:t>sick on those occasions.</w:t>
      </w:r>
      <w:r>
        <w:rPr>
          <w:color w:val="000000"/>
          <w:shd w:val="clear" w:color="auto" w:fill="FFFFFF"/>
        </w:rPr>
        <w:t xml:space="preserve">  Defendant did not work most of the time </w:t>
      </w:r>
      <w:r w:rsidRPr="0008328C">
        <w:rPr>
          <w:color w:val="000000"/>
          <w:shd w:val="clear" w:color="auto" w:fill="FFFFFF"/>
        </w:rPr>
        <w:t xml:space="preserve">between the end of October 2015 </w:t>
      </w:r>
      <w:r>
        <w:rPr>
          <w:color w:val="000000"/>
          <w:shd w:val="clear" w:color="auto" w:fill="FFFFFF"/>
        </w:rPr>
        <w:t>and</w:t>
      </w:r>
      <w:r w:rsidRPr="0008328C">
        <w:rPr>
          <w:color w:val="000000"/>
          <w:shd w:val="clear" w:color="auto" w:fill="FFFFFF"/>
        </w:rPr>
        <w:t xml:space="preserve"> Thanksgiving.</w:t>
      </w:r>
    </w:p>
    <w:p w:rsidR="000F1984" w:rsidRPr="0008328C" w:rsidRDefault="005300CC" w:rsidP="00264D7A">
      <w:pPr>
        <w:ind w:firstLine="720"/>
        <w:rPr>
          <w:color w:val="000000"/>
          <w:shd w:val="clear" w:color="auto" w:fill="FFFFFF"/>
        </w:rPr>
      </w:pPr>
      <w:r>
        <w:rPr>
          <w:color w:val="000000"/>
          <w:shd w:val="clear" w:color="auto" w:fill="FFFFFF"/>
        </w:rPr>
        <w:t>O</w:t>
      </w:r>
      <w:r w:rsidRPr="0008328C">
        <w:rPr>
          <w:color w:val="000000"/>
          <w:shd w:val="clear" w:color="auto" w:fill="FFFFFF"/>
        </w:rPr>
        <w:t>n November 26, 2015,</w:t>
      </w:r>
      <w:r>
        <w:rPr>
          <w:color w:val="000000"/>
          <w:shd w:val="clear" w:color="auto" w:fill="FFFFFF"/>
        </w:rPr>
        <w:t xml:space="preserve"> at </w:t>
      </w:r>
      <w:r w:rsidRPr="0008328C">
        <w:rPr>
          <w:color w:val="000000"/>
          <w:shd w:val="clear" w:color="auto" w:fill="FFFFFF"/>
        </w:rPr>
        <w:t>ap</w:t>
      </w:r>
      <w:r w:rsidRPr="0008328C">
        <w:rPr>
          <w:color w:val="000000"/>
          <w:shd w:val="clear" w:color="auto" w:fill="FFFFFF"/>
        </w:rPr>
        <w:t xml:space="preserve">proximately 2:00 a.m. </w:t>
      </w:r>
      <w:r>
        <w:rPr>
          <w:color w:val="000000"/>
          <w:shd w:val="clear" w:color="auto" w:fill="FFFFFF"/>
        </w:rPr>
        <w:t xml:space="preserve">California time, </w:t>
      </w:r>
      <w:r w:rsidRPr="0008328C">
        <w:rPr>
          <w:color w:val="000000"/>
          <w:shd w:val="clear" w:color="auto" w:fill="FFFFFF"/>
        </w:rPr>
        <w:t>S.S.</w:t>
      </w:r>
      <w:r>
        <w:rPr>
          <w:color w:val="000000"/>
          <w:shd w:val="clear" w:color="auto" w:fill="FFFFFF"/>
        </w:rPr>
        <w:t>, who was traveling abroad,</w:t>
      </w:r>
      <w:r w:rsidRPr="0008328C">
        <w:rPr>
          <w:color w:val="000000"/>
          <w:shd w:val="clear" w:color="auto" w:fill="FFFFFF"/>
        </w:rPr>
        <w:t xml:space="preserve"> received a phone call from the security company responsible for HanaHaus’s alarm system.  </w:t>
      </w:r>
      <w:r>
        <w:rPr>
          <w:color w:val="000000"/>
          <w:shd w:val="clear" w:color="auto" w:fill="FFFFFF"/>
        </w:rPr>
        <w:t xml:space="preserve"> S.S. learned that </w:t>
      </w:r>
      <w:r w:rsidRPr="0008328C">
        <w:rPr>
          <w:color w:val="000000"/>
          <w:shd w:val="clear" w:color="auto" w:fill="FFFFFF"/>
        </w:rPr>
        <w:t xml:space="preserve">there </w:t>
      </w:r>
      <w:r>
        <w:rPr>
          <w:color w:val="000000"/>
          <w:shd w:val="clear" w:color="auto" w:fill="FFFFFF"/>
        </w:rPr>
        <w:t xml:space="preserve">had been </w:t>
      </w:r>
      <w:r w:rsidRPr="0008328C">
        <w:rPr>
          <w:color w:val="000000"/>
          <w:shd w:val="clear" w:color="auto" w:fill="FFFFFF"/>
        </w:rPr>
        <w:t xml:space="preserve">a possible break-in </w:t>
      </w:r>
      <w:r>
        <w:rPr>
          <w:color w:val="000000"/>
          <w:shd w:val="clear" w:color="auto" w:fill="FFFFFF"/>
        </w:rPr>
        <w:t xml:space="preserve">and that a sensor had indicated </w:t>
      </w:r>
      <w:r w:rsidRPr="0008328C">
        <w:rPr>
          <w:color w:val="000000"/>
          <w:shd w:val="clear" w:color="auto" w:fill="FFFFFF"/>
        </w:rPr>
        <w:t>“door ope</w:t>
      </w:r>
      <w:r w:rsidRPr="0008328C">
        <w:rPr>
          <w:color w:val="000000"/>
          <w:shd w:val="clear" w:color="auto" w:fill="FFFFFF"/>
        </w:rPr>
        <w:t>n</w:t>
      </w:r>
      <w:r>
        <w:rPr>
          <w:color w:val="000000"/>
          <w:shd w:val="clear" w:color="auto" w:fill="FFFFFF"/>
        </w:rPr>
        <w:t xml:space="preserve">,” but </w:t>
      </w:r>
      <w:r w:rsidRPr="0008328C">
        <w:rPr>
          <w:color w:val="000000"/>
          <w:shd w:val="clear" w:color="auto" w:fill="FFFFFF"/>
        </w:rPr>
        <w:t xml:space="preserve">not </w:t>
      </w:r>
      <w:r>
        <w:rPr>
          <w:color w:val="000000"/>
          <w:shd w:val="clear" w:color="auto" w:fill="FFFFFF"/>
        </w:rPr>
        <w:t>“</w:t>
      </w:r>
      <w:r w:rsidRPr="0008328C">
        <w:rPr>
          <w:color w:val="000000"/>
          <w:shd w:val="clear" w:color="auto" w:fill="FFFFFF"/>
        </w:rPr>
        <w:t>glass breaking.</w:t>
      </w:r>
      <w:r>
        <w:rPr>
          <w:color w:val="000000"/>
          <w:shd w:val="clear" w:color="auto" w:fill="FFFFFF"/>
        </w:rPr>
        <w:t>”</w:t>
      </w:r>
      <w:r w:rsidRPr="0008328C">
        <w:rPr>
          <w:color w:val="000000"/>
          <w:shd w:val="clear" w:color="auto" w:fill="FFFFFF"/>
        </w:rPr>
        <w:t xml:space="preserve">  S.S. </w:t>
      </w:r>
      <w:r>
        <w:rPr>
          <w:color w:val="000000"/>
          <w:shd w:val="clear" w:color="auto" w:fill="FFFFFF"/>
        </w:rPr>
        <w:t xml:space="preserve">inferred </w:t>
      </w:r>
      <w:r w:rsidRPr="0008328C">
        <w:rPr>
          <w:color w:val="000000"/>
          <w:shd w:val="clear" w:color="auto" w:fill="FFFFFF"/>
        </w:rPr>
        <w:t>that someone with a key who did not know the alarm code had gone into HanaHaus.</w:t>
      </w:r>
      <w:r>
        <w:rPr>
          <w:color w:val="000000"/>
          <w:shd w:val="clear" w:color="auto" w:fill="FFFFFF"/>
        </w:rPr>
        <w:t xml:space="preserve">  Only S.S. and </w:t>
      </w:r>
      <w:r w:rsidRPr="0008328C">
        <w:rPr>
          <w:color w:val="000000"/>
          <w:shd w:val="clear" w:color="auto" w:fill="FFFFFF"/>
        </w:rPr>
        <w:t>those who had to</w:t>
      </w:r>
      <w:r>
        <w:rPr>
          <w:color w:val="000000"/>
          <w:shd w:val="clear" w:color="auto" w:fill="FFFFFF"/>
        </w:rPr>
        <w:t xml:space="preserve"> enter</w:t>
      </w:r>
      <w:r w:rsidRPr="0008328C">
        <w:rPr>
          <w:color w:val="000000"/>
          <w:shd w:val="clear" w:color="auto" w:fill="FFFFFF"/>
        </w:rPr>
        <w:t xml:space="preserve"> Hana</w:t>
      </w:r>
      <w:r>
        <w:rPr>
          <w:color w:val="000000"/>
          <w:shd w:val="clear" w:color="auto" w:fill="FFFFFF"/>
        </w:rPr>
        <w:t>H</w:t>
      </w:r>
      <w:r w:rsidRPr="0008328C">
        <w:rPr>
          <w:color w:val="000000"/>
          <w:shd w:val="clear" w:color="auto" w:fill="FFFFFF"/>
        </w:rPr>
        <w:t xml:space="preserve">aus </w:t>
      </w:r>
      <w:r>
        <w:rPr>
          <w:color w:val="000000"/>
          <w:shd w:val="clear" w:color="auto" w:fill="FFFFFF"/>
        </w:rPr>
        <w:t>after closing</w:t>
      </w:r>
      <w:r w:rsidRPr="0008328C">
        <w:rPr>
          <w:color w:val="000000"/>
          <w:shd w:val="clear" w:color="auto" w:fill="FFFFFF"/>
        </w:rPr>
        <w:t>, such as delivery personnel for Blue Bottle</w:t>
      </w:r>
      <w:r>
        <w:rPr>
          <w:color w:val="000000"/>
          <w:shd w:val="clear" w:color="auto" w:fill="FFFFFF"/>
        </w:rPr>
        <w:t xml:space="preserve">, had the security code </w:t>
      </w:r>
      <w:r>
        <w:rPr>
          <w:color w:val="000000"/>
          <w:shd w:val="clear" w:color="auto" w:fill="FFFFFF"/>
        </w:rPr>
        <w:t>for the alarm system</w:t>
      </w:r>
      <w:r w:rsidRPr="0008328C">
        <w:rPr>
          <w:color w:val="000000"/>
          <w:shd w:val="clear" w:color="auto" w:fill="FFFFFF"/>
        </w:rPr>
        <w:t>.</w:t>
      </w:r>
      <w:r>
        <w:rPr>
          <w:color w:val="000000"/>
          <w:shd w:val="clear" w:color="auto" w:fill="FFFFFF"/>
        </w:rPr>
        <w:t xml:space="preserve">  </w:t>
      </w:r>
      <w:r w:rsidRPr="0008328C">
        <w:rPr>
          <w:color w:val="000000"/>
          <w:shd w:val="clear" w:color="auto" w:fill="FFFFFF"/>
        </w:rPr>
        <w:t>Defendant, as the manager of Hana</w:t>
      </w:r>
      <w:r>
        <w:rPr>
          <w:color w:val="000000"/>
          <w:shd w:val="clear" w:color="auto" w:fill="FFFFFF"/>
        </w:rPr>
        <w:t>H</w:t>
      </w:r>
      <w:r w:rsidRPr="0008328C">
        <w:rPr>
          <w:color w:val="000000"/>
          <w:shd w:val="clear" w:color="auto" w:fill="FFFFFF"/>
        </w:rPr>
        <w:t>aus, had “full clearance to come and go” as he pleased</w:t>
      </w:r>
      <w:r>
        <w:rPr>
          <w:color w:val="000000"/>
          <w:shd w:val="clear" w:color="auto" w:fill="FFFFFF"/>
        </w:rPr>
        <w:t xml:space="preserve"> during open hours, but he did not have the security code</w:t>
      </w:r>
      <w:r w:rsidRPr="0008328C">
        <w:rPr>
          <w:color w:val="000000"/>
          <w:shd w:val="clear" w:color="auto" w:fill="FFFFFF"/>
        </w:rPr>
        <w:t>.</w:t>
      </w:r>
    </w:p>
    <w:p w:rsidR="009B28F7" w:rsidRDefault="005300CC" w:rsidP="0008328C">
      <w:pPr>
        <w:ind w:firstLine="720"/>
        <w:rPr>
          <w:color w:val="000000"/>
          <w:shd w:val="clear" w:color="auto" w:fill="FFFFFF"/>
        </w:rPr>
      </w:pPr>
      <w:r>
        <w:rPr>
          <w:color w:val="000000"/>
          <w:shd w:val="clear" w:color="auto" w:fill="FFFFFF"/>
        </w:rPr>
        <w:t>O</w:t>
      </w:r>
      <w:r w:rsidRPr="0008328C">
        <w:rPr>
          <w:color w:val="000000"/>
          <w:shd w:val="clear" w:color="auto" w:fill="FFFFFF"/>
        </w:rPr>
        <w:t>n Monday</w:t>
      </w:r>
      <w:r>
        <w:rPr>
          <w:color w:val="000000"/>
          <w:shd w:val="clear" w:color="auto" w:fill="FFFFFF"/>
        </w:rPr>
        <w:t>,</w:t>
      </w:r>
      <w:r w:rsidRPr="0008328C">
        <w:rPr>
          <w:color w:val="000000"/>
          <w:shd w:val="clear" w:color="auto" w:fill="FFFFFF"/>
        </w:rPr>
        <w:t xml:space="preserve"> November 30, 2015, after </w:t>
      </w:r>
      <w:r>
        <w:rPr>
          <w:color w:val="000000"/>
          <w:shd w:val="clear" w:color="auto" w:fill="FFFFFF"/>
        </w:rPr>
        <w:t>S.S.</w:t>
      </w:r>
      <w:r w:rsidRPr="0008328C">
        <w:rPr>
          <w:color w:val="000000"/>
          <w:shd w:val="clear" w:color="auto" w:fill="FFFFFF"/>
        </w:rPr>
        <w:t xml:space="preserve"> had returned home, </w:t>
      </w:r>
      <w:r>
        <w:rPr>
          <w:color w:val="000000"/>
          <w:shd w:val="clear" w:color="auto" w:fill="FFFFFF"/>
        </w:rPr>
        <w:t xml:space="preserve">he </w:t>
      </w:r>
      <w:r w:rsidRPr="0008328C">
        <w:rPr>
          <w:color w:val="000000"/>
          <w:shd w:val="clear" w:color="auto" w:fill="FFFFFF"/>
        </w:rPr>
        <w:t>reviewed the security</w:t>
      </w:r>
      <w:r>
        <w:rPr>
          <w:color w:val="000000"/>
          <w:shd w:val="clear" w:color="auto" w:fill="FFFFFF"/>
        </w:rPr>
        <w:t xml:space="preserve"> c</w:t>
      </w:r>
      <w:r>
        <w:rPr>
          <w:color w:val="000000"/>
          <w:shd w:val="clear" w:color="auto" w:fill="FFFFFF"/>
        </w:rPr>
        <w:t>amera</w:t>
      </w:r>
      <w:r w:rsidRPr="0008328C">
        <w:rPr>
          <w:color w:val="000000"/>
          <w:shd w:val="clear" w:color="auto" w:fill="FFFFFF"/>
        </w:rPr>
        <w:t xml:space="preserve"> recording for November 26, 2015.  It showed</w:t>
      </w:r>
      <w:r>
        <w:rPr>
          <w:color w:val="000000"/>
          <w:shd w:val="clear" w:color="auto" w:fill="FFFFFF"/>
        </w:rPr>
        <w:t xml:space="preserve"> someone entering </w:t>
      </w:r>
      <w:r w:rsidRPr="0008328C">
        <w:rPr>
          <w:color w:val="000000"/>
          <w:shd w:val="clear" w:color="auto" w:fill="FFFFFF"/>
        </w:rPr>
        <w:t xml:space="preserve">HanaHaus from the back parking lot.  </w:t>
      </w:r>
      <w:r>
        <w:rPr>
          <w:color w:val="000000"/>
          <w:shd w:val="clear" w:color="auto" w:fill="FFFFFF"/>
        </w:rPr>
        <w:t xml:space="preserve">Although </w:t>
      </w:r>
      <w:r w:rsidRPr="0008328C">
        <w:rPr>
          <w:color w:val="000000"/>
          <w:shd w:val="clear" w:color="auto" w:fill="FFFFFF"/>
        </w:rPr>
        <w:t>S.S.</w:t>
      </w:r>
      <w:r>
        <w:rPr>
          <w:color w:val="000000"/>
          <w:shd w:val="clear" w:color="auto" w:fill="FFFFFF"/>
        </w:rPr>
        <w:t xml:space="preserve"> could not see the intruder’s face because he was wearing “some kind of mask,” S.S. </w:t>
      </w:r>
      <w:r w:rsidRPr="0008328C">
        <w:rPr>
          <w:color w:val="000000"/>
          <w:shd w:val="clear" w:color="auto" w:fill="FFFFFF"/>
        </w:rPr>
        <w:t xml:space="preserve">identified </w:t>
      </w:r>
      <w:r>
        <w:rPr>
          <w:color w:val="000000"/>
          <w:shd w:val="clear" w:color="auto" w:fill="FFFFFF"/>
        </w:rPr>
        <w:t>him as de</w:t>
      </w:r>
      <w:r w:rsidRPr="0008328C">
        <w:rPr>
          <w:color w:val="000000"/>
          <w:shd w:val="clear" w:color="auto" w:fill="FFFFFF"/>
        </w:rPr>
        <w:t>fendant based on his body type, his</w:t>
      </w:r>
      <w:r w:rsidRPr="0008328C">
        <w:rPr>
          <w:color w:val="000000"/>
          <w:shd w:val="clear" w:color="auto" w:fill="FFFFFF"/>
        </w:rPr>
        <w:t xml:space="preserve"> walk, his trousers, and his shoes.  Toward the beginning of the recording, S.S. saw </w:t>
      </w:r>
      <w:r>
        <w:rPr>
          <w:color w:val="000000"/>
          <w:shd w:val="clear" w:color="auto" w:fill="FFFFFF"/>
        </w:rPr>
        <w:t xml:space="preserve">defendant, who was wearing </w:t>
      </w:r>
      <w:r w:rsidRPr="0008328C">
        <w:rPr>
          <w:color w:val="000000"/>
          <w:shd w:val="clear" w:color="auto" w:fill="FFFFFF"/>
        </w:rPr>
        <w:t>a red and white-striped shirt</w:t>
      </w:r>
      <w:r>
        <w:rPr>
          <w:color w:val="000000"/>
          <w:shd w:val="clear" w:color="auto" w:fill="FFFFFF"/>
        </w:rPr>
        <w:t>,</w:t>
      </w:r>
      <w:r w:rsidRPr="0008328C">
        <w:rPr>
          <w:color w:val="000000"/>
          <w:shd w:val="clear" w:color="auto" w:fill="FFFFFF"/>
        </w:rPr>
        <w:t xml:space="preserve"> hunch down at an angle</w:t>
      </w:r>
      <w:r>
        <w:rPr>
          <w:color w:val="000000"/>
          <w:shd w:val="clear" w:color="auto" w:fill="FFFFFF"/>
        </w:rPr>
        <w:t xml:space="preserve">.  This movement was </w:t>
      </w:r>
      <w:r w:rsidRPr="0008328C">
        <w:rPr>
          <w:color w:val="000000"/>
          <w:shd w:val="clear" w:color="auto" w:fill="FFFFFF"/>
        </w:rPr>
        <w:t xml:space="preserve">consistent with </w:t>
      </w:r>
      <w:r>
        <w:rPr>
          <w:color w:val="000000"/>
          <w:shd w:val="clear" w:color="auto" w:fill="FFFFFF"/>
        </w:rPr>
        <w:t xml:space="preserve">someone </w:t>
      </w:r>
      <w:r w:rsidRPr="0008328C">
        <w:rPr>
          <w:color w:val="000000"/>
          <w:shd w:val="clear" w:color="auto" w:fill="FFFFFF"/>
        </w:rPr>
        <w:t>unlocking the bolt at the bottom of the doors.</w:t>
      </w:r>
    </w:p>
    <w:p w:rsidR="000F1984" w:rsidRPr="0008328C" w:rsidRDefault="005300CC" w:rsidP="0008328C">
      <w:pPr>
        <w:ind w:firstLine="720"/>
        <w:rPr>
          <w:color w:val="000000"/>
          <w:shd w:val="clear" w:color="auto" w:fill="FFFFFF"/>
        </w:rPr>
      </w:pPr>
      <w:r w:rsidRPr="0008328C">
        <w:rPr>
          <w:color w:val="000000"/>
          <w:shd w:val="clear" w:color="auto" w:fill="FFFFFF"/>
        </w:rPr>
        <w:t xml:space="preserve">Toward the end of the recording, S.S. saw </w:t>
      </w:r>
      <w:r>
        <w:rPr>
          <w:color w:val="000000"/>
          <w:shd w:val="clear" w:color="auto" w:fill="FFFFFF"/>
        </w:rPr>
        <w:t>defendant</w:t>
      </w:r>
      <w:r w:rsidRPr="0008328C">
        <w:rPr>
          <w:color w:val="000000"/>
          <w:shd w:val="clear" w:color="auto" w:fill="FFFFFF"/>
        </w:rPr>
        <w:t xml:space="preserve"> hop or skip.</w:t>
      </w:r>
      <w:r>
        <w:rPr>
          <w:color w:val="000000"/>
          <w:shd w:val="clear" w:color="auto" w:fill="FFFFFF"/>
        </w:rPr>
        <w:t xml:space="preserve">  S.S. </w:t>
      </w:r>
      <w:r w:rsidRPr="0008328C">
        <w:rPr>
          <w:color w:val="000000"/>
          <w:shd w:val="clear" w:color="auto" w:fill="FFFFFF"/>
        </w:rPr>
        <w:t xml:space="preserve">subsequently </w:t>
      </w:r>
      <w:r>
        <w:rPr>
          <w:color w:val="000000"/>
          <w:shd w:val="clear" w:color="auto" w:fill="FFFFFF"/>
        </w:rPr>
        <w:t xml:space="preserve">found out that </w:t>
      </w:r>
      <w:r w:rsidRPr="0008328C">
        <w:rPr>
          <w:color w:val="000000"/>
          <w:shd w:val="clear" w:color="auto" w:fill="FFFFFF"/>
        </w:rPr>
        <w:t>cockroaches</w:t>
      </w:r>
      <w:r>
        <w:rPr>
          <w:color w:val="000000"/>
          <w:shd w:val="clear" w:color="auto" w:fill="FFFFFF"/>
        </w:rPr>
        <w:t xml:space="preserve"> had been “thrown”</w:t>
      </w:r>
      <w:r w:rsidRPr="0008328C">
        <w:rPr>
          <w:color w:val="000000"/>
          <w:shd w:val="clear" w:color="auto" w:fill="FFFFFF"/>
        </w:rPr>
        <w:t xml:space="preserve"> into Hana</w:t>
      </w:r>
      <w:r>
        <w:rPr>
          <w:color w:val="000000"/>
          <w:shd w:val="clear" w:color="auto" w:fill="FFFFFF"/>
        </w:rPr>
        <w:t>H</w:t>
      </w:r>
      <w:r w:rsidRPr="0008328C">
        <w:rPr>
          <w:color w:val="000000"/>
          <w:shd w:val="clear" w:color="auto" w:fill="FFFFFF"/>
        </w:rPr>
        <w:t>aus</w:t>
      </w:r>
      <w:r>
        <w:rPr>
          <w:color w:val="000000"/>
          <w:shd w:val="clear" w:color="auto" w:fill="FFFFFF"/>
        </w:rPr>
        <w:t>, which had never before had cockroaches.</w:t>
      </w:r>
    </w:p>
    <w:p w:rsidR="003D4767" w:rsidRDefault="005300CC" w:rsidP="0008328C">
      <w:pPr>
        <w:ind w:firstLine="720"/>
        <w:rPr>
          <w:color w:val="000000"/>
          <w:shd w:val="clear" w:color="auto" w:fill="FFFFFF"/>
        </w:rPr>
      </w:pPr>
      <w:r w:rsidRPr="0008328C">
        <w:rPr>
          <w:color w:val="000000"/>
          <w:shd w:val="clear" w:color="auto" w:fill="FFFFFF"/>
        </w:rPr>
        <w:t>On December 1, 2015, the day after S.S. had identified defendant in the</w:t>
      </w:r>
      <w:r w:rsidRPr="0008328C">
        <w:rPr>
          <w:color w:val="000000"/>
          <w:shd w:val="clear" w:color="auto" w:fill="FFFFFF"/>
        </w:rPr>
        <w:t xml:space="preserve"> security recording, defendant was terminated from SAP.  Although S.S. was not the one who </w:t>
      </w:r>
      <w:r>
        <w:rPr>
          <w:color w:val="000000"/>
          <w:shd w:val="clear" w:color="auto" w:fill="FFFFFF"/>
        </w:rPr>
        <w:t xml:space="preserve">actually </w:t>
      </w:r>
      <w:r w:rsidRPr="0008328C">
        <w:rPr>
          <w:color w:val="000000"/>
          <w:shd w:val="clear" w:color="auto" w:fill="FFFFFF"/>
        </w:rPr>
        <w:t xml:space="preserve">terminated defendant, </w:t>
      </w:r>
      <w:r>
        <w:rPr>
          <w:color w:val="000000"/>
          <w:shd w:val="clear" w:color="auto" w:fill="FFFFFF"/>
        </w:rPr>
        <w:t>S.S.</w:t>
      </w:r>
      <w:r w:rsidRPr="0008328C">
        <w:rPr>
          <w:color w:val="000000"/>
          <w:shd w:val="clear" w:color="auto" w:fill="FFFFFF"/>
        </w:rPr>
        <w:t xml:space="preserve"> provided the information </w:t>
      </w:r>
      <w:r>
        <w:rPr>
          <w:color w:val="000000"/>
          <w:shd w:val="clear" w:color="auto" w:fill="FFFFFF"/>
        </w:rPr>
        <w:t>to HR.</w:t>
      </w:r>
      <w:r w:rsidRPr="0008328C">
        <w:rPr>
          <w:color w:val="000000"/>
          <w:shd w:val="clear" w:color="auto" w:fill="FFFFFF"/>
        </w:rPr>
        <w:t xml:space="preserve">  S.S.</w:t>
      </w:r>
      <w:r>
        <w:rPr>
          <w:color w:val="000000"/>
          <w:shd w:val="clear" w:color="auto" w:fill="FFFFFF"/>
        </w:rPr>
        <w:t xml:space="preserve"> indicated that he </w:t>
      </w:r>
      <w:r w:rsidRPr="0008328C">
        <w:rPr>
          <w:color w:val="000000"/>
          <w:shd w:val="clear" w:color="auto" w:fill="FFFFFF"/>
        </w:rPr>
        <w:t>fear</w:t>
      </w:r>
      <w:r>
        <w:rPr>
          <w:color w:val="000000"/>
          <w:shd w:val="clear" w:color="auto" w:fill="FFFFFF"/>
        </w:rPr>
        <w:t xml:space="preserve">ed </w:t>
      </w:r>
      <w:r w:rsidRPr="0008328C">
        <w:rPr>
          <w:color w:val="000000"/>
          <w:shd w:val="clear" w:color="auto" w:fill="FFFFFF"/>
        </w:rPr>
        <w:t>for his safety</w:t>
      </w:r>
      <w:r>
        <w:rPr>
          <w:color w:val="000000"/>
          <w:shd w:val="clear" w:color="auto" w:fill="FFFFFF"/>
        </w:rPr>
        <w:t xml:space="preserve"> at this point because of </w:t>
      </w:r>
      <w:r w:rsidRPr="0008328C">
        <w:rPr>
          <w:color w:val="000000"/>
          <w:shd w:val="clear" w:color="auto" w:fill="FFFFFF"/>
        </w:rPr>
        <w:t>defendant’s level of aggre</w:t>
      </w:r>
      <w:r w:rsidRPr="0008328C">
        <w:rPr>
          <w:color w:val="000000"/>
          <w:shd w:val="clear" w:color="auto" w:fill="FFFFFF"/>
        </w:rPr>
        <w:t>ssion and his lack of respect for</w:t>
      </w:r>
      <w:r>
        <w:rPr>
          <w:color w:val="000000"/>
          <w:shd w:val="clear" w:color="auto" w:fill="FFFFFF"/>
        </w:rPr>
        <w:t xml:space="preserve"> the</w:t>
      </w:r>
      <w:r w:rsidRPr="0008328C">
        <w:rPr>
          <w:color w:val="000000"/>
          <w:shd w:val="clear" w:color="auto" w:fill="FFFFFF"/>
        </w:rPr>
        <w:t xml:space="preserve"> law or rules.  On cross-examination, S.S. agreed that defendant had “never threatened, taunted or intimidated [S.S.] in any way” during “the entire time that [S.S.] worked with him at SAP.”</w:t>
      </w:r>
    </w:p>
    <w:p w:rsidR="000F1984" w:rsidRPr="0008328C" w:rsidRDefault="005300CC" w:rsidP="0008328C">
      <w:pPr>
        <w:ind w:firstLine="720"/>
        <w:rPr>
          <w:color w:val="000000"/>
          <w:shd w:val="clear" w:color="auto" w:fill="FFFFFF"/>
        </w:rPr>
      </w:pPr>
      <w:r>
        <w:rPr>
          <w:color w:val="000000"/>
          <w:shd w:val="clear" w:color="auto" w:fill="FFFFFF"/>
        </w:rPr>
        <w:t>A</w:t>
      </w:r>
      <w:r w:rsidRPr="0008328C">
        <w:rPr>
          <w:color w:val="000000"/>
          <w:shd w:val="clear" w:color="auto" w:fill="FFFFFF"/>
        </w:rPr>
        <w:t>fter defendant’s terminatio</w:t>
      </w:r>
      <w:r w:rsidRPr="0008328C">
        <w:rPr>
          <w:color w:val="000000"/>
          <w:shd w:val="clear" w:color="auto" w:fill="FFFFFF"/>
        </w:rPr>
        <w:t>n, it was discovered that</w:t>
      </w:r>
      <w:r>
        <w:rPr>
          <w:color w:val="000000"/>
          <w:shd w:val="clear" w:color="auto" w:fill="FFFFFF"/>
        </w:rPr>
        <w:t xml:space="preserve"> “a whole bunch of nonsense” and</w:t>
      </w:r>
      <w:r w:rsidRPr="0008328C">
        <w:rPr>
          <w:color w:val="000000"/>
          <w:shd w:val="clear" w:color="auto" w:fill="FFFFFF"/>
        </w:rPr>
        <w:t xml:space="preserve"> misinformation had been posted on Hana</w:t>
      </w:r>
      <w:r>
        <w:rPr>
          <w:color w:val="000000"/>
          <w:shd w:val="clear" w:color="auto" w:fill="FFFFFF"/>
        </w:rPr>
        <w:t>H</w:t>
      </w:r>
      <w:r w:rsidRPr="0008328C">
        <w:rPr>
          <w:color w:val="000000"/>
          <w:shd w:val="clear" w:color="auto" w:fill="FFFFFF"/>
        </w:rPr>
        <w:t>aus’s Google Places account</w:t>
      </w:r>
      <w:r>
        <w:rPr>
          <w:color w:val="000000"/>
          <w:shd w:val="clear" w:color="auto" w:fill="FFFFFF"/>
        </w:rPr>
        <w:t xml:space="preserve">. </w:t>
      </w:r>
      <w:r w:rsidRPr="0008328C">
        <w:rPr>
          <w:color w:val="000000"/>
          <w:shd w:val="clear" w:color="auto" w:fill="FFFFFF"/>
        </w:rPr>
        <w:t xml:space="preserve"> Defendant had </w:t>
      </w:r>
      <w:r>
        <w:rPr>
          <w:color w:val="000000"/>
          <w:shd w:val="clear" w:color="auto" w:fill="FFFFFF"/>
        </w:rPr>
        <w:t xml:space="preserve">also </w:t>
      </w:r>
      <w:r w:rsidRPr="0008328C">
        <w:rPr>
          <w:color w:val="000000"/>
          <w:shd w:val="clear" w:color="auto" w:fill="FFFFFF"/>
        </w:rPr>
        <w:t>posted that Hana</w:t>
      </w:r>
      <w:r>
        <w:rPr>
          <w:color w:val="000000"/>
          <w:shd w:val="clear" w:color="auto" w:fill="FFFFFF"/>
        </w:rPr>
        <w:t>H</w:t>
      </w:r>
      <w:r w:rsidRPr="0008328C">
        <w:rPr>
          <w:color w:val="000000"/>
          <w:shd w:val="clear" w:color="auto" w:fill="FFFFFF"/>
        </w:rPr>
        <w:t xml:space="preserve">aus was going to be converted into an SAP office, which was inconsistent with the city’s approval of HanaHaus.  </w:t>
      </w:r>
      <w:r>
        <w:rPr>
          <w:color w:val="000000"/>
          <w:shd w:val="clear" w:color="auto" w:fill="FFFFFF"/>
        </w:rPr>
        <w:t xml:space="preserve">Defendant had changed the passwords to the social media accounts and not given them to anyone else.  </w:t>
      </w:r>
      <w:r w:rsidRPr="0008328C">
        <w:rPr>
          <w:color w:val="000000"/>
          <w:shd w:val="clear" w:color="auto" w:fill="FFFFFF"/>
        </w:rPr>
        <w:t xml:space="preserve">It proved very difficult to </w:t>
      </w:r>
      <w:r>
        <w:rPr>
          <w:color w:val="000000"/>
          <w:shd w:val="clear" w:color="auto" w:fill="FFFFFF"/>
        </w:rPr>
        <w:t>recover control</w:t>
      </w:r>
      <w:r>
        <w:rPr>
          <w:color w:val="000000"/>
          <w:shd w:val="clear" w:color="auto" w:fill="FFFFFF"/>
        </w:rPr>
        <w:t xml:space="preserve"> of</w:t>
      </w:r>
      <w:r w:rsidRPr="0008328C">
        <w:rPr>
          <w:color w:val="000000"/>
          <w:shd w:val="clear" w:color="auto" w:fill="FFFFFF"/>
        </w:rPr>
        <w:t xml:space="preserve"> those </w:t>
      </w:r>
      <w:r>
        <w:rPr>
          <w:color w:val="000000"/>
          <w:shd w:val="clear" w:color="auto" w:fill="FFFFFF"/>
        </w:rPr>
        <w:t>accounts</w:t>
      </w:r>
      <w:r w:rsidRPr="0008328C">
        <w:rPr>
          <w:color w:val="000000"/>
          <w:shd w:val="clear" w:color="auto" w:fill="FFFFFF"/>
        </w:rPr>
        <w:t>.</w:t>
      </w:r>
    </w:p>
    <w:p w:rsidR="00A82CC3" w:rsidRPr="0008328C" w:rsidRDefault="005300CC" w:rsidP="009D2D4C">
      <w:pPr>
        <w:keepNext/>
        <w:rPr>
          <w:i/>
          <w:color w:val="000000"/>
          <w:shd w:val="clear" w:color="auto" w:fill="FFFFFF"/>
        </w:rPr>
      </w:pPr>
      <w:r w:rsidRPr="0008328C">
        <w:rPr>
          <w:i/>
          <w:color w:val="000000"/>
          <w:shd w:val="clear" w:color="auto" w:fill="FFFFFF"/>
        </w:rPr>
        <w:t>The Residential Fire on January 9</w:t>
      </w:r>
      <w:r w:rsidRPr="009A00EB">
        <w:rPr>
          <w:color w:val="000000"/>
          <w:shd w:val="clear" w:color="auto" w:fill="FFFFFF"/>
        </w:rPr>
        <w:t>,</w:t>
      </w:r>
      <w:r w:rsidRPr="0008328C">
        <w:rPr>
          <w:i/>
          <w:color w:val="000000"/>
          <w:shd w:val="clear" w:color="auto" w:fill="FFFFFF"/>
        </w:rPr>
        <w:t xml:space="preserve"> 2016</w:t>
      </w:r>
    </w:p>
    <w:p w:rsidR="00ED6F4D" w:rsidRPr="0008328C" w:rsidRDefault="005300CC" w:rsidP="0008328C">
      <w:pPr>
        <w:rPr>
          <w:color w:val="000000"/>
          <w:shd w:val="clear" w:color="auto" w:fill="FFFFFF"/>
        </w:rPr>
      </w:pPr>
      <w:r w:rsidRPr="0008328C">
        <w:rPr>
          <w:color w:val="000000"/>
          <w:shd w:val="clear" w:color="auto" w:fill="FFFFFF"/>
        </w:rPr>
        <w:tab/>
        <w:t>On the morning of Saturday</w:t>
      </w:r>
      <w:r>
        <w:rPr>
          <w:color w:val="000000"/>
          <w:shd w:val="clear" w:color="auto" w:fill="FFFFFF"/>
        </w:rPr>
        <w:t>,</w:t>
      </w:r>
      <w:r w:rsidRPr="0008328C">
        <w:rPr>
          <w:color w:val="000000"/>
          <w:shd w:val="clear" w:color="auto" w:fill="FFFFFF"/>
        </w:rPr>
        <w:t xml:space="preserve"> January 9, 2016, S.S and </w:t>
      </w:r>
      <w:r>
        <w:rPr>
          <w:color w:val="000000"/>
          <w:shd w:val="clear" w:color="auto" w:fill="FFFFFF"/>
        </w:rPr>
        <w:t xml:space="preserve">his wife, </w:t>
      </w:r>
      <w:r w:rsidRPr="0008328C">
        <w:rPr>
          <w:color w:val="000000"/>
          <w:shd w:val="clear" w:color="auto" w:fill="FFFFFF"/>
        </w:rPr>
        <w:t>Y.S.</w:t>
      </w:r>
      <w:r>
        <w:rPr>
          <w:color w:val="000000"/>
          <w:shd w:val="clear" w:color="auto" w:fill="FFFFFF"/>
        </w:rPr>
        <w:t>,</w:t>
      </w:r>
      <w:r w:rsidRPr="0008328C">
        <w:rPr>
          <w:color w:val="000000"/>
          <w:shd w:val="clear" w:color="auto" w:fill="FFFFFF"/>
        </w:rPr>
        <w:t xml:space="preserve"> awoke to a beeping sound in their Palo Alto home where they lived with their daughter</w:t>
      </w:r>
      <w:r>
        <w:rPr>
          <w:color w:val="000000"/>
          <w:shd w:val="clear" w:color="auto" w:fill="FFFFFF"/>
        </w:rPr>
        <w:t>,</w:t>
      </w:r>
      <w:r w:rsidRPr="0008328C">
        <w:rPr>
          <w:color w:val="000000"/>
          <w:shd w:val="clear" w:color="auto" w:fill="FFFFFF"/>
        </w:rPr>
        <w:t xml:space="preserve"> who was a high school senior.  </w:t>
      </w:r>
      <w:r>
        <w:rPr>
          <w:color w:val="000000"/>
          <w:shd w:val="clear" w:color="auto" w:fill="FFFFFF"/>
        </w:rPr>
        <w:t>T</w:t>
      </w:r>
      <w:r w:rsidRPr="0008328C">
        <w:rPr>
          <w:color w:val="000000"/>
          <w:shd w:val="clear" w:color="auto" w:fill="FFFFFF"/>
        </w:rPr>
        <w:t>he nois</w:t>
      </w:r>
      <w:r w:rsidRPr="0008328C">
        <w:rPr>
          <w:color w:val="000000"/>
          <w:shd w:val="clear" w:color="auto" w:fill="FFFFFF"/>
        </w:rPr>
        <w:t xml:space="preserve">e </w:t>
      </w:r>
      <w:r>
        <w:rPr>
          <w:color w:val="000000"/>
          <w:shd w:val="clear" w:color="auto" w:fill="FFFFFF"/>
        </w:rPr>
        <w:t xml:space="preserve">was coming from </w:t>
      </w:r>
      <w:r w:rsidRPr="0008328C">
        <w:rPr>
          <w:color w:val="000000"/>
          <w:shd w:val="clear" w:color="auto" w:fill="FFFFFF"/>
        </w:rPr>
        <w:t xml:space="preserve">a fire alarm and smoke detector in their garage.  Y.S. </w:t>
      </w:r>
      <w:r>
        <w:rPr>
          <w:color w:val="000000"/>
          <w:shd w:val="clear" w:color="auto" w:fill="FFFFFF"/>
        </w:rPr>
        <w:t xml:space="preserve">realized </w:t>
      </w:r>
      <w:r w:rsidRPr="0008328C">
        <w:rPr>
          <w:color w:val="000000"/>
          <w:shd w:val="clear" w:color="auto" w:fill="FFFFFF"/>
        </w:rPr>
        <w:t>that their garage was full of smoke and she screamed, “Fire.  Call 9-1-1.”  The concrete appeared to be on fire.  She saw that the wooden corner of the garage was</w:t>
      </w:r>
      <w:r>
        <w:rPr>
          <w:color w:val="000000"/>
          <w:shd w:val="clear" w:color="auto" w:fill="FFFFFF"/>
        </w:rPr>
        <w:t xml:space="preserve"> on </w:t>
      </w:r>
      <w:r w:rsidRPr="0008328C">
        <w:rPr>
          <w:color w:val="000000"/>
          <w:shd w:val="clear" w:color="auto" w:fill="FFFFFF"/>
        </w:rPr>
        <w:t>fire and</w:t>
      </w:r>
      <w:r w:rsidRPr="0008328C">
        <w:rPr>
          <w:color w:val="000000"/>
          <w:shd w:val="clear" w:color="auto" w:fill="FFFFFF"/>
        </w:rPr>
        <w:t xml:space="preserve"> </w:t>
      </w:r>
      <w:r>
        <w:rPr>
          <w:color w:val="000000"/>
          <w:shd w:val="clear" w:color="auto" w:fill="FFFFFF"/>
        </w:rPr>
        <w:t xml:space="preserve">that </w:t>
      </w:r>
      <w:r w:rsidRPr="0008328C">
        <w:rPr>
          <w:color w:val="000000"/>
          <w:shd w:val="clear" w:color="auto" w:fill="FFFFFF"/>
        </w:rPr>
        <w:t xml:space="preserve">flames were shooting up.  </w:t>
      </w:r>
      <w:r>
        <w:rPr>
          <w:color w:val="000000"/>
          <w:shd w:val="clear" w:color="auto" w:fill="FFFFFF"/>
        </w:rPr>
        <w:t>M</w:t>
      </w:r>
      <w:r w:rsidRPr="0008328C">
        <w:rPr>
          <w:color w:val="000000"/>
          <w:shd w:val="clear" w:color="auto" w:fill="FFFFFF"/>
        </w:rPr>
        <w:t xml:space="preserve">ultiple fires </w:t>
      </w:r>
      <w:r>
        <w:rPr>
          <w:color w:val="000000"/>
          <w:shd w:val="clear" w:color="auto" w:fill="FFFFFF"/>
        </w:rPr>
        <w:t xml:space="preserve">were </w:t>
      </w:r>
      <w:r w:rsidRPr="0008328C">
        <w:rPr>
          <w:color w:val="000000"/>
          <w:shd w:val="clear" w:color="auto" w:fill="FFFFFF"/>
        </w:rPr>
        <w:t>burning.</w:t>
      </w:r>
      <w:r>
        <w:rPr>
          <w:color w:val="000000"/>
          <w:shd w:val="clear" w:color="auto" w:fill="FFFFFF"/>
        </w:rPr>
        <w:t xml:space="preserve">  </w:t>
      </w:r>
      <w:r w:rsidRPr="0008328C">
        <w:rPr>
          <w:color w:val="000000"/>
          <w:shd w:val="clear" w:color="auto" w:fill="FFFFFF"/>
        </w:rPr>
        <w:t>911 was called.</w:t>
      </w:r>
    </w:p>
    <w:p w:rsidR="00482BB9" w:rsidRPr="0008328C" w:rsidRDefault="005300CC" w:rsidP="0008328C">
      <w:pPr>
        <w:ind w:firstLine="720"/>
        <w:rPr>
          <w:color w:val="000000"/>
          <w:shd w:val="clear" w:color="auto" w:fill="FFFFFF"/>
        </w:rPr>
      </w:pPr>
      <w:r w:rsidRPr="0008328C">
        <w:rPr>
          <w:color w:val="000000"/>
          <w:shd w:val="clear" w:color="auto" w:fill="FFFFFF"/>
        </w:rPr>
        <w:t xml:space="preserve">Y.S. was </w:t>
      </w:r>
      <w:r>
        <w:rPr>
          <w:color w:val="000000"/>
          <w:shd w:val="clear" w:color="auto" w:fill="FFFFFF"/>
        </w:rPr>
        <w:t xml:space="preserve">terrified. </w:t>
      </w:r>
      <w:r w:rsidRPr="0008328C">
        <w:rPr>
          <w:color w:val="000000"/>
          <w:shd w:val="clear" w:color="auto" w:fill="FFFFFF"/>
        </w:rPr>
        <w:t xml:space="preserve"> She thought her cars, which </w:t>
      </w:r>
      <w:r>
        <w:rPr>
          <w:color w:val="000000"/>
          <w:shd w:val="clear" w:color="auto" w:fill="FFFFFF"/>
        </w:rPr>
        <w:t xml:space="preserve">had </w:t>
      </w:r>
      <w:r w:rsidRPr="0008328C">
        <w:rPr>
          <w:color w:val="000000"/>
          <w:shd w:val="clear" w:color="auto" w:fill="FFFFFF"/>
        </w:rPr>
        <w:t>full tanks of gas and were parked in the garage, were going to blow up.  Their daughter was asleep in the house, and teenager</w:t>
      </w:r>
      <w:r w:rsidRPr="0008328C">
        <w:rPr>
          <w:color w:val="000000"/>
          <w:shd w:val="clear" w:color="auto" w:fill="FFFFFF"/>
        </w:rPr>
        <w:t>s are hard to wake up.  Y.S. smelled burning wood and gasoline.  Y.S. was screaming to wake up their daughter.</w:t>
      </w:r>
    </w:p>
    <w:p w:rsidR="00B66ACF" w:rsidRPr="0008328C" w:rsidRDefault="005300CC" w:rsidP="0008328C">
      <w:pPr>
        <w:ind w:firstLine="720"/>
        <w:rPr>
          <w:color w:val="000000"/>
          <w:shd w:val="clear" w:color="auto" w:fill="FFFFFF"/>
        </w:rPr>
      </w:pPr>
      <w:r w:rsidRPr="0008328C">
        <w:rPr>
          <w:color w:val="000000"/>
          <w:shd w:val="clear" w:color="auto" w:fill="FFFFFF"/>
        </w:rPr>
        <w:t>S.S.</w:t>
      </w:r>
      <w:r>
        <w:rPr>
          <w:color w:val="000000"/>
          <w:shd w:val="clear" w:color="auto" w:fill="FFFFFF"/>
        </w:rPr>
        <w:t xml:space="preserve"> </w:t>
      </w:r>
      <w:r w:rsidRPr="0008328C">
        <w:rPr>
          <w:color w:val="000000"/>
          <w:shd w:val="clear" w:color="auto" w:fill="FFFFFF"/>
        </w:rPr>
        <w:t>came running out</w:t>
      </w:r>
      <w:r>
        <w:rPr>
          <w:color w:val="000000"/>
          <w:shd w:val="clear" w:color="auto" w:fill="FFFFFF"/>
        </w:rPr>
        <w:t>,</w:t>
      </w:r>
      <w:r w:rsidRPr="0008328C">
        <w:rPr>
          <w:color w:val="000000"/>
          <w:shd w:val="clear" w:color="auto" w:fill="FFFFFF"/>
        </w:rPr>
        <w:t xml:space="preserve"> and </w:t>
      </w:r>
      <w:r>
        <w:rPr>
          <w:color w:val="000000"/>
          <w:shd w:val="clear" w:color="auto" w:fill="FFFFFF"/>
        </w:rPr>
        <w:t xml:space="preserve">they </w:t>
      </w:r>
      <w:r w:rsidRPr="0008328C">
        <w:rPr>
          <w:color w:val="000000"/>
          <w:shd w:val="clear" w:color="auto" w:fill="FFFFFF"/>
        </w:rPr>
        <w:t>began trying to put out the fires</w:t>
      </w:r>
      <w:r>
        <w:rPr>
          <w:color w:val="000000"/>
          <w:shd w:val="clear" w:color="auto" w:fill="FFFFFF"/>
        </w:rPr>
        <w:t xml:space="preserve"> using garden h</w:t>
      </w:r>
      <w:r w:rsidRPr="0008328C">
        <w:rPr>
          <w:color w:val="000000"/>
          <w:shd w:val="clear" w:color="auto" w:fill="FFFFFF"/>
        </w:rPr>
        <w:t>ose</w:t>
      </w:r>
      <w:r>
        <w:rPr>
          <w:color w:val="000000"/>
          <w:shd w:val="clear" w:color="auto" w:fill="FFFFFF"/>
        </w:rPr>
        <w:t>s</w:t>
      </w:r>
      <w:r w:rsidRPr="0008328C">
        <w:rPr>
          <w:color w:val="000000"/>
          <w:shd w:val="clear" w:color="auto" w:fill="FFFFFF"/>
        </w:rPr>
        <w:t xml:space="preserve">.  </w:t>
      </w:r>
      <w:r>
        <w:rPr>
          <w:color w:val="000000"/>
          <w:shd w:val="clear" w:color="auto" w:fill="FFFFFF"/>
        </w:rPr>
        <w:t xml:space="preserve">S.S. smelled gasoline and thought that a rag or piece of towel was </w:t>
      </w:r>
      <w:r w:rsidRPr="0008328C">
        <w:rPr>
          <w:color w:val="000000"/>
          <w:shd w:val="clear" w:color="auto" w:fill="FFFFFF"/>
        </w:rPr>
        <w:t xml:space="preserve">soaked with gasoline.  </w:t>
      </w:r>
      <w:r>
        <w:rPr>
          <w:color w:val="000000"/>
          <w:shd w:val="clear" w:color="auto" w:fill="FFFFFF"/>
        </w:rPr>
        <w:t>P</w:t>
      </w:r>
      <w:r w:rsidRPr="0008328C">
        <w:rPr>
          <w:color w:val="000000"/>
          <w:shd w:val="clear" w:color="auto" w:fill="FFFFFF"/>
        </w:rPr>
        <w:t>ieces of towel</w:t>
      </w:r>
      <w:r>
        <w:rPr>
          <w:color w:val="000000"/>
          <w:shd w:val="clear" w:color="auto" w:fill="FFFFFF"/>
        </w:rPr>
        <w:t xml:space="preserve"> or rags, some in containers, had been placed under the garage door, and they kept burning.</w:t>
      </w:r>
      <w:r w:rsidRPr="0008328C">
        <w:rPr>
          <w:color w:val="000000"/>
          <w:shd w:val="clear" w:color="auto" w:fill="FFFFFF"/>
        </w:rPr>
        <w:t xml:space="preserve"> </w:t>
      </w:r>
      <w:r>
        <w:rPr>
          <w:color w:val="000000"/>
          <w:shd w:val="clear" w:color="auto" w:fill="FFFFFF"/>
        </w:rPr>
        <w:t xml:space="preserve"> G</w:t>
      </w:r>
      <w:r w:rsidRPr="0008328C">
        <w:rPr>
          <w:color w:val="000000"/>
          <w:shd w:val="clear" w:color="auto" w:fill="FFFFFF"/>
        </w:rPr>
        <w:t>asoline</w:t>
      </w:r>
      <w:r>
        <w:rPr>
          <w:color w:val="000000"/>
          <w:shd w:val="clear" w:color="auto" w:fill="FFFFFF"/>
        </w:rPr>
        <w:t xml:space="preserve"> that was</w:t>
      </w:r>
      <w:r w:rsidRPr="0008328C">
        <w:rPr>
          <w:color w:val="000000"/>
          <w:shd w:val="clear" w:color="auto" w:fill="FFFFFF"/>
        </w:rPr>
        <w:t xml:space="preserve"> </w:t>
      </w:r>
      <w:r>
        <w:rPr>
          <w:color w:val="000000"/>
          <w:shd w:val="clear" w:color="auto" w:fill="FFFFFF"/>
        </w:rPr>
        <w:t>puddled along the length of the garage d</w:t>
      </w:r>
      <w:r>
        <w:rPr>
          <w:color w:val="000000"/>
          <w:shd w:val="clear" w:color="auto" w:fill="FFFFFF"/>
        </w:rPr>
        <w:t xml:space="preserve">oor </w:t>
      </w:r>
      <w:r w:rsidRPr="0008328C">
        <w:rPr>
          <w:color w:val="000000"/>
          <w:shd w:val="clear" w:color="auto" w:fill="FFFFFF"/>
        </w:rPr>
        <w:t>kept burning.</w:t>
      </w:r>
    </w:p>
    <w:p w:rsidR="00B825F8" w:rsidRPr="0008328C" w:rsidRDefault="005300CC" w:rsidP="0008328C">
      <w:pPr>
        <w:ind w:firstLine="720"/>
        <w:rPr>
          <w:color w:val="000000"/>
          <w:shd w:val="clear" w:color="auto" w:fill="FFFFFF"/>
        </w:rPr>
      </w:pPr>
      <w:r w:rsidRPr="0008328C">
        <w:rPr>
          <w:color w:val="000000"/>
          <w:shd w:val="clear" w:color="auto" w:fill="FFFFFF"/>
        </w:rPr>
        <w:t>S.S. and Y.S. finally managed to put out the fires.  The police and firefighters responded.  Y.S. realized that her hand was burned</w:t>
      </w:r>
      <w:r>
        <w:rPr>
          <w:color w:val="000000"/>
          <w:shd w:val="clear" w:color="auto" w:fill="FFFFFF"/>
        </w:rPr>
        <w:t>.  S</w:t>
      </w:r>
      <w:r w:rsidRPr="0008328C">
        <w:rPr>
          <w:color w:val="000000"/>
          <w:shd w:val="clear" w:color="auto" w:fill="FFFFFF"/>
        </w:rPr>
        <w:t xml:space="preserve">he believed that </w:t>
      </w:r>
      <w:r>
        <w:rPr>
          <w:color w:val="000000"/>
          <w:shd w:val="clear" w:color="auto" w:fill="FFFFFF"/>
        </w:rPr>
        <w:t xml:space="preserve">had </w:t>
      </w:r>
      <w:r w:rsidRPr="0008328C">
        <w:rPr>
          <w:color w:val="000000"/>
          <w:shd w:val="clear" w:color="auto" w:fill="FFFFFF"/>
        </w:rPr>
        <w:t>happened when she unhooked the red hot, metal clasp that held the two sliding, sin</w:t>
      </w:r>
      <w:r w:rsidRPr="0008328C">
        <w:rPr>
          <w:color w:val="000000"/>
          <w:shd w:val="clear" w:color="auto" w:fill="FFFFFF"/>
        </w:rPr>
        <w:t>gle-car garage doors in place.</w:t>
      </w:r>
    </w:p>
    <w:p w:rsidR="00931B20" w:rsidRPr="0008328C" w:rsidRDefault="005300CC" w:rsidP="0008328C">
      <w:pPr>
        <w:ind w:firstLine="720"/>
        <w:rPr>
          <w:color w:val="000000"/>
          <w:shd w:val="clear" w:color="auto" w:fill="FFFFFF"/>
        </w:rPr>
      </w:pPr>
      <w:r w:rsidRPr="0008328C">
        <w:rPr>
          <w:color w:val="000000"/>
          <w:shd w:val="clear" w:color="auto" w:fill="FFFFFF"/>
        </w:rPr>
        <w:t xml:space="preserve">Shortly after the fire was out, S.S. realized that the fire had been intentional.  </w:t>
      </w:r>
      <w:r>
        <w:rPr>
          <w:color w:val="000000"/>
          <w:shd w:val="clear" w:color="auto" w:fill="FFFFFF"/>
        </w:rPr>
        <w:t>S.S.</w:t>
      </w:r>
      <w:r w:rsidRPr="0008328C">
        <w:rPr>
          <w:color w:val="000000"/>
          <w:shd w:val="clear" w:color="auto" w:fill="FFFFFF"/>
        </w:rPr>
        <w:t xml:space="preserve"> did not have enemies or neighbors with whom he did not get along.  He could think of only one person who would set fire to his house whil</w:t>
      </w:r>
      <w:r w:rsidRPr="0008328C">
        <w:rPr>
          <w:color w:val="000000"/>
          <w:shd w:val="clear" w:color="auto" w:fill="FFFFFF"/>
        </w:rPr>
        <w:t>e his family and he were sleeping</w:t>
      </w:r>
      <w:r>
        <w:rPr>
          <w:color w:val="000000"/>
          <w:shd w:val="clear" w:color="auto" w:fill="FFFFFF"/>
        </w:rPr>
        <w:t>,</w:t>
      </w:r>
      <w:r w:rsidRPr="0008328C">
        <w:rPr>
          <w:color w:val="000000"/>
          <w:shd w:val="clear" w:color="auto" w:fill="FFFFFF"/>
        </w:rPr>
        <w:t xml:space="preserve"> and that person was defendant.  Approximately five to 10 minutes after the fire had been put out, S.S. reached the conclusion that defendant was the perpetrator.</w:t>
      </w:r>
    </w:p>
    <w:p w:rsidR="00A82CC3" w:rsidRPr="0008328C" w:rsidRDefault="005300CC" w:rsidP="009D2D4C">
      <w:pPr>
        <w:keepNext/>
        <w:rPr>
          <w:i/>
          <w:color w:val="000000"/>
          <w:shd w:val="clear" w:color="auto" w:fill="FFFFFF"/>
        </w:rPr>
      </w:pPr>
      <w:r w:rsidRPr="0008328C">
        <w:rPr>
          <w:i/>
          <w:color w:val="000000"/>
          <w:shd w:val="clear" w:color="auto" w:fill="FFFFFF"/>
        </w:rPr>
        <w:t>The Investigation</w:t>
      </w:r>
    </w:p>
    <w:p w:rsidR="005C76F0" w:rsidRPr="0008328C" w:rsidRDefault="005300CC" w:rsidP="0008328C">
      <w:pPr>
        <w:ind w:firstLine="720"/>
        <w:rPr>
          <w:color w:val="000000"/>
          <w:shd w:val="clear" w:color="auto" w:fill="FFFFFF"/>
        </w:rPr>
      </w:pPr>
      <w:r w:rsidRPr="0008328C">
        <w:rPr>
          <w:color w:val="000000"/>
          <w:shd w:val="clear" w:color="auto" w:fill="FFFFFF"/>
        </w:rPr>
        <w:t>Shane Lopes, a fire investigator and a fi</w:t>
      </w:r>
      <w:r w:rsidRPr="0008328C">
        <w:rPr>
          <w:color w:val="000000"/>
          <w:shd w:val="clear" w:color="auto" w:fill="FFFFFF"/>
        </w:rPr>
        <w:t xml:space="preserve">re inspector for the City of Palo Alto Fire Department, testified as an expert.  On January 9, 2016, Fire Inspector Lopes was the on-call arson investigator, and he was called out and asked to determine whether arson </w:t>
      </w:r>
      <w:r>
        <w:rPr>
          <w:color w:val="000000"/>
          <w:shd w:val="clear" w:color="auto" w:fill="FFFFFF"/>
        </w:rPr>
        <w:t xml:space="preserve">had </w:t>
      </w:r>
      <w:r w:rsidRPr="0008328C">
        <w:rPr>
          <w:color w:val="000000"/>
          <w:shd w:val="clear" w:color="auto" w:fill="FFFFFF"/>
        </w:rPr>
        <w:t>occurred at the residence.</w:t>
      </w:r>
    </w:p>
    <w:p w:rsidR="001647A2" w:rsidRPr="0008328C" w:rsidRDefault="005300CC" w:rsidP="0008328C">
      <w:pPr>
        <w:ind w:firstLine="720"/>
        <w:rPr>
          <w:color w:val="000000"/>
          <w:shd w:val="clear" w:color="auto" w:fill="FFFFFF"/>
        </w:rPr>
      </w:pPr>
      <w:r w:rsidRPr="0008328C">
        <w:rPr>
          <w:color w:val="000000"/>
          <w:shd w:val="clear" w:color="auto" w:fill="FFFFFF"/>
        </w:rPr>
        <w:t xml:space="preserve">On </w:t>
      </w:r>
      <w:r w:rsidRPr="0008328C">
        <w:rPr>
          <w:color w:val="000000"/>
          <w:shd w:val="clear" w:color="auto" w:fill="FFFFFF"/>
        </w:rPr>
        <w:t>January 9, 2016, Dujan Green</w:t>
      </w:r>
      <w:r>
        <w:rPr>
          <w:color w:val="000000"/>
          <w:shd w:val="clear" w:color="auto" w:fill="FFFFFF"/>
        </w:rPr>
        <w:t>,</w:t>
      </w:r>
      <w:r w:rsidRPr="0008328C">
        <w:rPr>
          <w:color w:val="000000"/>
          <w:shd w:val="clear" w:color="auto" w:fill="FFFFFF"/>
        </w:rPr>
        <w:t xml:space="preserve"> a detective with the investigative services division of the Palo Alto Police Department</w:t>
      </w:r>
      <w:r>
        <w:rPr>
          <w:color w:val="000000"/>
          <w:shd w:val="clear" w:color="auto" w:fill="FFFFFF"/>
        </w:rPr>
        <w:t>,</w:t>
      </w:r>
      <w:r w:rsidRPr="0008328C">
        <w:rPr>
          <w:color w:val="000000"/>
          <w:shd w:val="clear" w:color="auto" w:fill="FFFFFF"/>
        </w:rPr>
        <w:t xml:space="preserve"> collected pieces of blue singed cloth, singed headwear with a “TOP headwear” label, </w:t>
      </w:r>
      <w:r>
        <w:rPr>
          <w:color w:val="000000"/>
          <w:shd w:val="clear" w:color="auto" w:fill="FFFFFF"/>
        </w:rPr>
        <w:t xml:space="preserve">and </w:t>
      </w:r>
      <w:r w:rsidRPr="0008328C">
        <w:rPr>
          <w:color w:val="000000"/>
          <w:shd w:val="clear" w:color="auto" w:fill="FFFFFF"/>
        </w:rPr>
        <w:t>a rubber gasket</w:t>
      </w:r>
      <w:r>
        <w:rPr>
          <w:color w:val="000000"/>
          <w:shd w:val="clear" w:color="auto" w:fill="FFFFFF"/>
        </w:rPr>
        <w:t xml:space="preserve">. </w:t>
      </w:r>
      <w:r w:rsidRPr="0008328C">
        <w:rPr>
          <w:color w:val="000000"/>
          <w:shd w:val="clear" w:color="auto" w:fill="FFFFFF"/>
        </w:rPr>
        <w:t xml:space="preserve"> At the crime scene, Detective G</w:t>
      </w:r>
      <w:r w:rsidRPr="0008328C">
        <w:rPr>
          <w:color w:val="000000"/>
          <w:shd w:val="clear" w:color="auto" w:fill="FFFFFF"/>
        </w:rPr>
        <w:t>reen smelled an odor “</w:t>
      </w:r>
      <w:r>
        <w:rPr>
          <w:color w:val="000000"/>
          <w:shd w:val="clear" w:color="auto" w:fill="FFFFFF"/>
        </w:rPr>
        <w:t>resembl[</w:t>
      </w:r>
      <w:r w:rsidRPr="0008328C">
        <w:rPr>
          <w:color w:val="000000"/>
          <w:shd w:val="clear" w:color="auto" w:fill="FFFFFF"/>
        </w:rPr>
        <w:t>ing</w:t>
      </w:r>
      <w:r>
        <w:rPr>
          <w:color w:val="000000"/>
          <w:shd w:val="clear" w:color="auto" w:fill="FFFFFF"/>
        </w:rPr>
        <w:t>]</w:t>
      </w:r>
      <w:r w:rsidRPr="0008328C">
        <w:rPr>
          <w:color w:val="000000"/>
          <w:shd w:val="clear" w:color="auto" w:fill="FFFFFF"/>
        </w:rPr>
        <w:t xml:space="preserve"> gasoline.”</w:t>
      </w:r>
      <w:r>
        <w:rPr>
          <w:color w:val="000000"/>
          <w:shd w:val="clear" w:color="auto" w:fill="FFFFFF"/>
        </w:rPr>
        <w:t xml:space="preserve">  He took</w:t>
      </w:r>
      <w:r w:rsidRPr="0008328C">
        <w:rPr>
          <w:color w:val="000000"/>
          <w:shd w:val="clear" w:color="auto" w:fill="FFFFFF"/>
        </w:rPr>
        <w:t xml:space="preserve"> swabs of possible accelerant for testing.</w:t>
      </w:r>
    </w:p>
    <w:p w:rsidR="004D634C" w:rsidRPr="0008328C" w:rsidRDefault="005300CC" w:rsidP="0008328C">
      <w:pPr>
        <w:ind w:firstLine="720"/>
        <w:rPr>
          <w:color w:val="000000"/>
          <w:shd w:val="clear" w:color="auto" w:fill="FFFFFF"/>
        </w:rPr>
      </w:pPr>
      <w:r w:rsidRPr="0008328C">
        <w:rPr>
          <w:color w:val="000000"/>
          <w:shd w:val="clear" w:color="auto" w:fill="FFFFFF"/>
        </w:rPr>
        <w:t>William Whitaker, a City of Sunnyvale police officer, was certified as both a police</w:t>
      </w:r>
      <w:r>
        <w:rPr>
          <w:color w:val="000000"/>
          <w:shd w:val="clear" w:color="auto" w:fill="FFFFFF"/>
        </w:rPr>
        <w:t xml:space="preserve"> officer </w:t>
      </w:r>
      <w:r w:rsidRPr="0008328C">
        <w:rPr>
          <w:color w:val="000000"/>
          <w:shd w:val="clear" w:color="auto" w:fill="FFFFFF"/>
        </w:rPr>
        <w:t>and a fire</w:t>
      </w:r>
      <w:r>
        <w:rPr>
          <w:color w:val="000000"/>
          <w:shd w:val="clear" w:color="auto" w:fill="FFFFFF"/>
        </w:rPr>
        <w:t>fighter</w:t>
      </w:r>
      <w:r w:rsidRPr="0008328C">
        <w:rPr>
          <w:color w:val="000000"/>
          <w:shd w:val="clear" w:color="auto" w:fill="FFFFFF"/>
        </w:rPr>
        <w:t>.  He was a “K9 handler” of Kodiak, “a police ser</w:t>
      </w:r>
      <w:r w:rsidRPr="0008328C">
        <w:rPr>
          <w:color w:val="000000"/>
          <w:shd w:val="clear" w:color="auto" w:fill="FFFFFF"/>
        </w:rPr>
        <w:t>vice dog</w:t>
      </w:r>
      <w:r>
        <w:rPr>
          <w:color w:val="000000"/>
          <w:shd w:val="clear" w:color="auto" w:fill="FFFFFF"/>
        </w:rPr>
        <w:t>,</w:t>
      </w:r>
      <w:r w:rsidRPr="0008328C">
        <w:rPr>
          <w:color w:val="000000"/>
          <w:shd w:val="clear" w:color="auto" w:fill="FFFFFF"/>
        </w:rPr>
        <w:t xml:space="preserve">” </w:t>
      </w:r>
      <w:r>
        <w:rPr>
          <w:color w:val="000000"/>
          <w:shd w:val="clear" w:color="auto" w:fill="FFFFFF"/>
        </w:rPr>
        <w:t xml:space="preserve">which was </w:t>
      </w:r>
      <w:r w:rsidRPr="0008328C">
        <w:rPr>
          <w:color w:val="000000"/>
          <w:shd w:val="clear" w:color="auto" w:fill="FFFFFF"/>
        </w:rPr>
        <w:t xml:space="preserve">certified in </w:t>
      </w:r>
      <w:r>
        <w:rPr>
          <w:color w:val="000000"/>
          <w:shd w:val="clear" w:color="auto" w:fill="FFFFFF"/>
        </w:rPr>
        <w:t xml:space="preserve">detecting </w:t>
      </w:r>
      <w:r w:rsidRPr="0008328C">
        <w:rPr>
          <w:color w:val="000000"/>
          <w:shd w:val="clear" w:color="auto" w:fill="FFFFFF"/>
        </w:rPr>
        <w:t>accelerant</w:t>
      </w:r>
      <w:r>
        <w:rPr>
          <w:color w:val="000000"/>
          <w:shd w:val="clear" w:color="auto" w:fill="FFFFFF"/>
        </w:rPr>
        <w:t>s, including gasoline.</w:t>
      </w:r>
      <w:r w:rsidRPr="0008328C">
        <w:rPr>
          <w:color w:val="000000"/>
          <w:shd w:val="clear" w:color="auto" w:fill="FFFFFF"/>
        </w:rPr>
        <w:t xml:space="preserve">  Officer Whitaker responded to </w:t>
      </w:r>
      <w:r>
        <w:rPr>
          <w:color w:val="000000"/>
          <w:shd w:val="clear" w:color="auto" w:fill="FFFFFF"/>
        </w:rPr>
        <w:t>the scene and was asked to perform an accelerant search</w:t>
      </w:r>
      <w:r w:rsidRPr="0008328C">
        <w:rPr>
          <w:color w:val="000000"/>
          <w:shd w:val="clear" w:color="auto" w:fill="FFFFFF"/>
        </w:rPr>
        <w:t>.  There were four burnt areas along the garage, and Kodiak alerted in three of the locations</w:t>
      </w:r>
      <w:r w:rsidRPr="0008328C">
        <w:rPr>
          <w:color w:val="000000"/>
          <w:shd w:val="clear" w:color="auto" w:fill="FFFFFF"/>
        </w:rPr>
        <w:t>.</w:t>
      </w:r>
    </w:p>
    <w:p w:rsidR="007333FD" w:rsidRPr="0008328C" w:rsidRDefault="005300CC" w:rsidP="0008328C">
      <w:pPr>
        <w:ind w:firstLine="720"/>
        <w:rPr>
          <w:color w:val="000000"/>
          <w:shd w:val="clear" w:color="auto" w:fill="FFFFFF"/>
        </w:rPr>
      </w:pPr>
      <w:r w:rsidRPr="0008328C">
        <w:rPr>
          <w:color w:val="000000"/>
          <w:shd w:val="clear" w:color="auto" w:fill="FFFFFF"/>
        </w:rPr>
        <w:t xml:space="preserve">Fire Inspector Lopes determined that someone had intentionally set the fire.  There were multiple start points, and the burn patterns suggested sequential ignition.  The arson originated on </w:t>
      </w:r>
      <w:r>
        <w:rPr>
          <w:color w:val="000000"/>
          <w:shd w:val="clear" w:color="auto" w:fill="FFFFFF"/>
        </w:rPr>
        <w:t xml:space="preserve">the </w:t>
      </w:r>
      <w:r w:rsidRPr="0008328C">
        <w:rPr>
          <w:color w:val="000000"/>
          <w:shd w:val="clear" w:color="auto" w:fill="FFFFFF"/>
        </w:rPr>
        <w:t xml:space="preserve">residence’s exterior, specifically the corner of the garage </w:t>
      </w:r>
      <w:r w:rsidRPr="0008328C">
        <w:rPr>
          <w:color w:val="000000"/>
          <w:shd w:val="clear" w:color="auto" w:fill="FFFFFF"/>
        </w:rPr>
        <w:t xml:space="preserve">near a sliding garage door. There were remnants of “shop rags or dish towels” on the driveway.  </w:t>
      </w:r>
      <w:r>
        <w:rPr>
          <w:color w:val="000000"/>
          <w:shd w:val="clear" w:color="auto" w:fill="FFFFFF"/>
        </w:rPr>
        <w:t xml:space="preserve">He smelled </w:t>
      </w:r>
      <w:r w:rsidRPr="0008328C">
        <w:rPr>
          <w:color w:val="000000"/>
          <w:shd w:val="clear" w:color="auto" w:fill="FFFFFF"/>
        </w:rPr>
        <w:t>gasoline.  “Gasoline is an extremely volatile, flammable liquid.”</w:t>
      </w:r>
    </w:p>
    <w:p w:rsidR="000D68A4" w:rsidRDefault="005300CC" w:rsidP="0008328C">
      <w:pPr>
        <w:ind w:firstLine="720"/>
        <w:rPr>
          <w:color w:val="000000"/>
          <w:shd w:val="clear" w:color="auto" w:fill="FFFFFF"/>
        </w:rPr>
      </w:pPr>
      <w:r>
        <w:rPr>
          <w:color w:val="000000"/>
          <w:shd w:val="clear" w:color="auto" w:fill="FFFFFF"/>
        </w:rPr>
        <w:t xml:space="preserve">A neighbor on S.S.’s street had a “Nest Cam,” which continuously sent </w:t>
      </w:r>
      <w:r w:rsidRPr="0008328C">
        <w:rPr>
          <w:color w:val="000000"/>
          <w:shd w:val="clear" w:color="auto" w:fill="FFFFFF"/>
        </w:rPr>
        <w:t>time-and-date</w:t>
      </w:r>
      <w:r w:rsidRPr="0008328C">
        <w:rPr>
          <w:color w:val="000000"/>
          <w:shd w:val="clear" w:color="auto" w:fill="FFFFFF"/>
        </w:rPr>
        <w:t xml:space="preserve">-stamped </w:t>
      </w:r>
      <w:r>
        <w:rPr>
          <w:color w:val="000000"/>
          <w:shd w:val="clear" w:color="auto" w:fill="FFFFFF"/>
        </w:rPr>
        <w:t xml:space="preserve">video recordings </w:t>
      </w:r>
      <w:r w:rsidRPr="0008328C">
        <w:rPr>
          <w:color w:val="000000"/>
          <w:shd w:val="clear" w:color="auto" w:fill="FFFFFF"/>
        </w:rPr>
        <w:t xml:space="preserve">to Google Cloud.  Upon request, the neighbor provided </w:t>
      </w:r>
      <w:r>
        <w:rPr>
          <w:color w:val="000000"/>
          <w:shd w:val="clear" w:color="auto" w:fill="FFFFFF"/>
        </w:rPr>
        <w:t xml:space="preserve">recordings from </w:t>
      </w:r>
      <w:r w:rsidRPr="0008328C">
        <w:rPr>
          <w:color w:val="000000"/>
          <w:shd w:val="clear" w:color="auto" w:fill="FFFFFF"/>
        </w:rPr>
        <w:t>the early morning hours of January 9, 2016</w:t>
      </w:r>
      <w:r>
        <w:rPr>
          <w:color w:val="000000"/>
          <w:shd w:val="clear" w:color="auto" w:fill="FFFFFF"/>
        </w:rPr>
        <w:t xml:space="preserve"> </w:t>
      </w:r>
      <w:r w:rsidRPr="0008328C">
        <w:rPr>
          <w:color w:val="000000"/>
          <w:shd w:val="clear" w:color="auto" w:fill="FFFFFF"/>
        </w:rPr>
        <w:t>to the Palo Alto Police Department.  In one recording</w:t>
      </w:r>
      <w:r>
        <w:rPr>
          <w:color w:val="000000"/>
          <w:shd w:val="clear" w:color="auto" w:fill="FFFFFF"/>
        </w:rPr>
        <w:t>,</w:t>
      </w:r>
      <w:r w:rsidRPr="0008328C">
        <w:rPr>
          <w:color w:val="000000"/>
          <w:shd w:val="clear" w:color="auto" w:fill="FFFFFF"/>
        </w:rPr>
        <w:t xml:space="preserve"> a vehicle could be seen leaving at 6:18 a.m. and the Fire Depa</w:t>
      </w:r>
      <w:r w:rsidRPr="0008328C">
        <w:rPr>
          <w:color w:val="000000"/>
          <w:shd w:val="clear" w:color="auto" w:fill="FFFFFF"/>
        </w:rPr>
        <w:t>rtment could be seen arriving at 6:23 a.m.</w:t>
      </w:r>
    </w:p>
    <w:p w:rsidR="003D4505" w:rsidRDefault="005300CC" w:rsidP="003D4505">
      <w:pPr>
        <w:ind w:firstLine="720"/>
        <w:rPr>
          <w:color w:val="000000"/>
          <w:shd w:val="clear" w:color="auto" w:fill="FFFFFF"/>
        </w:rPr>
      </w:pPr>
      <w:r w:rsidRPr="0008328C">
        <w:rPr>
          <w:color w:val="000000"/>
          <w:shd w:val="clear" w:color="auto" w:fill="FFFFFF"/>
        </w:rPr>
        <w:t>Sergeant Anthony Becker, an officer with the Palo Alto Police Department, saw the home s</w:t>
      </w:r>
      <w:r>
        <w:rPr>
          <w:color w:val="000000"/>
          <w:shd w:val="clear" w:color="auto" w:fill="FFFFFF"/>
        </w:rPr>
        <w:t xml:space="preserve">ecurity </w:t>
      </w:r>
      <w:r w:rsidRPr="0008328C">
        <w:rPr>
          <w:color w:val="000000"/>
          <w:shd w:val="clear" w:color="auto" w:fill="FFFFFF"/>
        </w:rPr>
        <w:t xml:space="preserve">video showing a </w:t>
      </w:r>
      <w:r>
        <w:rPr>
          <w:color w:val="000000"/>
          <w:shd w:val="clear" w:color="auto" w:fill="FFFFFF"/>
        </w:rPr>
        <w:t xml:space="preserve">vehicle, believed to be a </w:t>
      </w:r>
      <w:r w:rsidRPr="0008328C">
        <w:rPr>
          <w:color w:val="000000"/>
          <w:shd w:val="clear" w:color="auto" w:fill="FFFFFF"/>
        </w:rPr>
        <w:t>Cadillac</w:t>
      </w:r>
      <w:r>
        <w:rPr>
          <w:color w:val="000000"/>
          <w:shd w:val="clear" w:color="auto" w:fill="FFFFFF"/>
        </w:rPr>
        <w:t xml:space="preserve"> ATS,</w:t>
      </w:r>
      <w:r w:rsidRPr="0008328C">
        <w:rPr>
          <w:color w:val="000000"/>
          <w:shd w:val="clear" w:color="auto" w:fill="FFFFFF"/>
        </w:rPr>
        <w:t xml:space="preserve"> driving to and away from the crime scene.  The sergeant learned that defendant had been identified as a person of interest, and </w:t>
      </w:r>
      <w:r>
        <w:rPr>
          <w:color w:val="000000"/>
          <w:shd w:val="clear" w:color="auto" w:fill="FFFFFF"/>
        </w:rPr>
        <w:t xml:space="preserve">he </w:t>
      </w:r>
      <w:r w:rsidRPr="0008328C">
        <w:rPr>
          <w:color w:val="000000"/>
          <w:shd w:val="clear" w:color="auto" w:fill="FFFFFF"/>
        </w:rPr>
        <w:t xml:space="preserve">began trying to determine whether </w:t>
      </w:r>
      <w:r>
        <w:rPr>
          <w:color w:val="000000"/>
          <w:shd w:val="clear" w:color="auto" w:fill="FFFFFF"/>
        </w:rPr>
        <w:t>defendant</w:t>
      </w:r>
      <w:r w:rsidRPr="0008328C">
        <w:rPr>
          <w:color w:val="000000"/>
          <w:shd w:val="clear" w:color="auto" w:fill="FFFFFF"/>
        </w:rPr>
        <w:t xml:space="preserve"> owned or had rented a vehicle.</w:t>
      </w:r>
    </w:p>
    <w:p w:rsidR="003D4505" w:rsidRPr="0008328C" w:rsidRDefault="005300CC" w:rsidP="003D4505">
      <w:pPr>
        <w:ind w:firstLine="720"/>
        <w:rPr>
          <w:color w:val="000000"/>
          <w:shd w:val="clear" w:color="auto" w:fill="FFFFFF"/>
        </w:rPr>
      </w:pPr>
      <w:r w:rsidRPr="0008328C">
        <w:rPr>
          <w:color w:val="000000"/>
          <w:shd w:val="clear" w:color="auto" w:fill="FFFFFF"/>
        </w:rPr>
        <w:t>Christopher Moore, a City of Palo Alto police off</w:t>
      </w:r>
      <w:r w:rsidRPr="0008328C">
        <w:rPr>
          <w:color w:val="000000"/>
          <w:shd w:val="clear" w:color="auto" w:fill="FFFFFF"/>
        </w:rPr>
        <w:t xml:space="preserve">icer, </w:t>
      </w:r>
      <w:r>
        <w:rPr>
          <w:color w:val="000000"/>
          <w:shd w:val="clear" w:color="auto" w:fill="FFFFFF"/>
        </w:rPr>
        <w:t xml:space="preserve">was </w:t>
      </w:r>
      <w:r w:rsidRPr="0008328C">
        <w:rPr>
          <w:color w:val="000000"/>
          <w:shd w:val="clear" w:color="auto" w:fill="FFFFFF"/>
        </w:rPr>
        <w:t xml:space="preserve">involved in </w:t>
      </w:r>
      <w:r>
        <w:rPr>
          <w:color w:val="000000"/>
          <w:shd w:val="clear" w:color="auto" w:fill="FFFFFF"/>
        </w:rPr>
        <w:t xml:space="preserve">the </w:t>
      </w:r>
      <w:r w:rsidRPr="0008328C">
        <w:rPr>
          <w:color w:val="000000"/>
          <w:shd w:val="clear" w:color="auto" w:fill="FFFFFF"/>
        </w:rPr>
        <w:t>arson investigation on January 9, 2016</w:t>
      </w:r>
      <w:r>
        <w:rPr>
          <w:color w:val="000000"/>
          <w:shd w:val="clear" w:color="auto" w:fill="FFFFFF"/>
        </w:rPr>
        <w:t xml:space="preserve">, and he was </w:t>
      </w:r>
      <w:r w:rsidRPr="0008328C">
        <w:rPr>
          <w:color w:val="000000"/>
          <w:shd w:val="clear" w:color="auto" w:fill="FFFFFF"/>
        </w:rPr>
        <w:t>tasked with searching the area for a dark</w:t>
      </w:r>
      <w:r>
        <w:rPr>
          <w:color w:val="000000"/>
          <w:shd w:val="clear" w:color="auto" w:fill="FFFFFF"/>
        </w:rPr>
        <w:noBreakHyphen/>
      </w:r>
      <w:r w:rsidRPr="0008328C">
        <w:rPr>
          <w:color w:val="000000"/>
          <w:shd w:val="clear" w:color="auto" w:fill="FFFFFF"/>
        </w:rPr>
        <w:t xml:space="preserve">colored sedan.  </w:t>
      </w:r>
      <w:r>
        <w:rPr>
          <w:color w:val="000000"/>
          <w:shd w:val="clear" w:color="auto" w:fill="FFFFFF"/>
        </w:rPr>
        <w:t xml:space="preserve">His </w:t>
      </w:r>
      <w:r w:rsidRPr="0008328C">
        <w:rPr>
          <w:color w:val="000000"/>
          <w:shd w:val="clear" w:color="auto" w:fill="FFFFFF"/>
        </w:rPr>
        <w:t>vehicle</w:t>
      </w:r>
      <w:r>
        <w:rPr>
          <w:color w:val="000000"/>
          <w:shd w:val="clear" w:color="auto" w:fill="FFFFFF"/>
        </w:rPr>
        <w:t xml:space="preserve">’s </w:t>
      </w:r>
      <w:r w:rsidRPr="0008328C">
        <w:rPr>
          <w:color w:val="000000"/>
          <w:shd w:val="clear" w:color="auto" w:fill="FFFFFF"/>
        </w:rPr>
        <w:t>mounted</w:t>
      </w:r>
      <w:r>
        <w:rPr>
          <w:color w:val="000000"/>
          <w:shd w:val="clear" w:color="auto" w:fill="FFFFFF"/>
        </w:rPr>
        <w:t xml:space="preserve"> </w:t>
      </w:r>
      <w:r w:rsidRPr="0008328C">
        <w:rPr>
          <w:color w:val="000000"/>
          <w:shd w:val="clear" w:color="auto" w:fill="FFFFFF"/>
        </w:rPr>
        <w:t>camera record</w:t>
      </w:r>
      <w:r>
        <w:rPr>
          <w:color w:val="000000"/>
          <w:shd w:val="clear" w:color="auto" w:fill="FFFFFF"/>
        </w:rPr>
        <w:t>ed as he drove</w:t>
      </w:r>
      <w:r w:rsidRPr="0008328C">
        <w:rPr>
          <w:color w:val="000000"/>
          <w:shd w:val="clear" w:color="auto" w:fill="FFFFFF"/>
        </w:rPr>
        <w:t xml:space="preserve">.  A photograph of </w:t>
      </w:r>
      <w:r>
        <w:rPr>
          <w:color w:val="000000"/>
          <w:shd w:val="clear" w:color="auto" w:fill="FFFFFF"/>
        </w:rPr>
        <w:t xml:space="preserve">a </w:t>
      </w:r>
      <w:r w:rsidRPr="0008328C">
        <w:rPr>
          <w:color w:val="000000"/>
          <w:shd w:val="clear" w:color="auto" w:fill="FFFFFF"/>
        </w:rPr>
        <w:t>vehicle that he passed at approximately 8:30 a.m. t</w:t>
      </w:r>
      <w:r w:rsidRPr="0008328C">
        <w:rPr>
          <w:color w:val="000000"/>
          <w:shd w:val="clear" w:color="auto" w:fill="FFFFFF"/>
        </w:rPr>
        <w:t>hat morning was later extracted.</w:t>
      </w:r>
    </w:p>
    <w:p w:rsidR="00123E60" w:rsidRPr="0008328C" w:rsidRDefault="005300CC" w:rsidP="0008328C">
      <w:pPr>
        <w:ind w:firstLine="720"/>
        <w:rPr>
          <w:color w:val="000000"/>
          <w:shd w:val="clear" w:color="auto" w:fill="FFFFFF"/>
        </w:rPr>
      </w:pPr>
      <w:r w:rsidRPr="0008328C">
        <w:rPr>
          <w:color w:val="000000"/>
          <w:shd w:val="clear" w:color="auto" w:fill="FFFFFF"/>
        </w:rPr>
        <w:t xml:space="preserve">In reviewing </w:t>
      </w:r>
      <w:r>
        <w:rPr>
          <w:color w:val="000000"/>
          <w:shd w:val="clear" w:color="auto" w:fill="FFFFFF"/>
        </w:rPr>
        <w:t xml:space="preserve">Officer </w:t>
      </w:r>
      <w:r w:rsidRPr="0008328C">
        <w:rPr>
          <w:color w:val="000000"/>
          <w:shd w:val="clear" w:color="auto" w:fill="FFFFFF"/>
        </w:rPr>
        <w:t xml:space="preserve">Moore’s video, Sergeant Becker saw </w:t>
      </w:r>
      <w:r>
        <w:rPr>
          <w:color w:val="000000"/>
          <w:shd w:val="clear" w:color="auto" w:fill="FFFFFF"/>
        </w:rPr>
        <w:t>a</w:t>
      </w:r>
      <w:r w:rsidRPr="0008328C">
        <w:rPr>
          <w:color w:val="000000"/>
          <w:shd w:val="clear" w:color="auto" w:fill="FFFFFF"/>
        </w:rPr>
        <w:t xml:space="preserve"> dark (either black or dark gray) Cadillac ATS parked along the curb, adjacent to defendant’s address.  </w:t>
      </w:r>
      <w:r>
        <w:rPr>
          <w:color w:val="000000"/>
          <w:shd w:val="clear" w:color="auto" w:fill="FFFFFF"/>
        </w:rPr>
        <w:t xml:space="preserve">The sergeant could see the vehicle’s </w:t>
      </w:r>
      <w:r w:rsidRPr="0008328C">
        <w:rPr>
          <w:color w:val="000000"/>
          <w:shd w:val="clear" w:color="auto" w:fill="FFFFFF"/>
        </w:rPr>
        <w:t>license plate</w:t>
      </w:r>
      <w:r>
        <w:rPr>
          <w:color w:val="000000"/>
          <w:shd w:val="clear" w:color="auto" w:fill="FFFFFF"/>
        </w:rPr>
        <w:t>, and he was</w:t>
      </w:r>
      <w:r>
        <w:rPr>
          <w:color w:val="000000"/>
          <w:shd w:val="clear" w:color="auto" w:fill="FFFFFF"/>
        </w:rPr>
        <w:t xml:space="preserve"> able to track the vehicle </w:t>
      </w:r>
      <w:r w:rsidRPr="0008328C">
        <w:rPr>
          <w:color w:val="000000"/>
          <w:shd w:val="clear" w:color="auto" w:fill="FFFFFF"/>
        </w:rPr>
        <w:t>to Zipcar.  Zipcar rental records obtained by search warrant showed defendant had rented a Cadillac ATS with that license plate.  It would have taken 10 to 15 minutes, depending upon the route, to drive from defendant’s address t</w:t>
      </w:r>
      <w:r w:rsidRPr="0008328C">
        <w:rPr>
          <w:color w:val="000000"/>
          <w:shd w:val="clear" w:color="auto" w:fill="FFFFFF"/>
        </w:rPr>
        <w:t>o the victims’ address at about 6:00</w:t>
      </w:r>
      <w:r>
        <w:rPr>
          <w:color w:val="000000"/>
          <w:shd w:val="clear" w:color="auto" w:fill="FFFFFF"/>
        </w:rPr>
        <w:t> </w:t>
      </w:r>
      <w:r w:rsidRPr="0008328C">
        <w:rPr>
          <w:color w:val="000000"/>
          <w:shd w:val="clear" w:color="auto" w:fill="FFFFFF"/>
        </w:rPr>
        <w:t>a.m. on a Saturday morning.</w:t>
      </w:r>
    </w:p>
    <w:p w:rsidR="008618EB" w:rsidRPr="0008328C" w:rsidRDefault="005300CC" w:rsidP="008618EB">
      <w:pPr>
        <w:rPr>
          <w:color w:val="000000"/>
          <w:shd w:val="clear" w:color="auto" w:fill="FFFFFF"/>
        </w:rPr>
      </w:pPr>
      <w:r w:rsidRPr="0008328C">
        <w:rPr>
          <w:color w:val="000000"/>
          <w:shd w:val="clear" w:color="auto" w:fill="FFFFFF"/>
        </w:rPr>
        <w:tab/>
        <w:t xml:space="preserve">Detective Eric Bulatao, an officer with the City of Palo Alto Police Department, </w:t>
      </w:r>
      <w:r>
        <w:rPr>
          <w:color w:val="000000"/>
          <w:shd w:val="clear" w:color="auto" w:fill="FFFFFF"/>
        </w:rPr>
        <w:t xml:space="preserve">also </w:t>
      </w:r>
      <w:r w:rsidRPr="0008328C">
        <w:rPr>
          <w:color w:val="000000"/>
          <w:shd w:val="clear" w:color="auto" w:fill="FFFFFF"/>
        </w:rPr>
        <w:t xml:space="preserve">investigated </w:t>
      </w:r>
      <w:r>
        <w:rPr>
          <w:color w:val="000000"/>
          <w:shd w:val="clear" w:color="auto" w:fill="FFFFFF"/>
        </w:rPr>
        <w:t xml:space="preserve">the </w:t>
      </w:r>
      <w:r w:rsidRPr="0008328C">
        <w:rPr>
          <w:color w:val="000000"/>
          <w:shd w:val="clear" w:color="auto" w:fill="FFFFFF"/>
        </w:rPr>
        <w:t>January 9, 2016</w:t>
      </w:r>
      <w:r>
        <w:rPr>
          <w:color w:val="000000"/>
          <w:shd w:val="clear" w:color="auto" w:fill="FFFFFF"/>
        </w:rPr>
        <w:t xml:space="preserve"> arson</w:t>
      </w:r>
      <w:r w:rsidRPr="0008328C">
        <w:rPr>
          <w:color w:val="000000"/>
          <w:shd w:val="clear" w:color="auto" w:fill="FFFFFF"/>
        </w:rPr>
        <w:t>.  The police obtained defendant’s phone number from S.S. and then</w:t>
      </w:r>
      <w:r w:rsidRPr="0008328C">
        <w:rPr>
          <w:color w:val="000000"/>
          <w:shd w:val="clear" w:color="auto" w:fill="FFFFFF"/>
        </w:rPr>
        <w:t xml:space="preserve"> </w:t>
      </w:r>
      <w:r>
        <w:rPr>
          <w:color w:val="000000"/>
          <w:shd w:val="clear" w:color="auto" w:fill="FFFFFF"/>
        </w:rPr>
        <w:t xml:space="preserve">contacted </w:t>
      </w:r>
      <w:r w:rsidRPr="0008328C">
        <w:rPr>
          <w:color w:val="000000"/>
          <w:shd w:val="clear" w:color="auto" w:fill="FFFFFF"/>
        </w:rPr>
        <w:t>the carrier.  The police obtained the past 24 hours of defendant’s phone records and determined that the last phone call had been made to Zipcar.</w:t>
      </w:r>
    </w:p>
    <w:p w:rsidR="00AE6E85" w:rsidRPr="0008328C" w:rsidRDefault="005300CC" w:rsidP="0008328C">
      <w:pPr>
        <w:ind w:firstLine="720"/>
        <w:rPr>
          <w:color w:val="000000"/>
          <w:shd w:val="clear" w:color="auto" w:fill="FFFFFF"/>
        </w:rPr>
      </w:pPr>
      <w:r w:rsidRPr="0008328C">
        <w:rPr>
          <w:color w:val="000000"/>
          <w:shd w:val="clear" w:color="auto" w:fill="FFFFFF"/>
        </w:rPr>
        <w:t xml:space="preserve">Agent Anajanette Holler, a police officer with the Palo Alto Police Department, was part of a team that executed a </w:t>
      </w:r>
      <w:r>
        <w:rPr>
          <w:color w:val="000000"/>
          <w:shd w:val="clear" w:color="auto" w:fill="FFFFFF"/>
        </w:rPr>
        <w:t xml:space="preserve">search </w:t>
      </w:r>
      <w:r w:rsidRPr="0008328C">
        <w:rPr>
          <w:color w:val="000000"/>
          <w:shd w:val="clear" w:color="auto" w:fill="FFFFFF"/>
        </w:rPr>
        <w:t>warrant</w:t>
      </w:r>
      <w:r>
        <w:rPr>
          <w:color w:val="000000"/>
          <w:shd w:val="clear" w:color="auto" w:fill="FFFFFF"/>
        </w:rPr>
        <w:t xml:space="preserve"> of </w:t>
      </w:r>
      <w:r w:rsidRPr="0008328C">
        <w:rPr>
          <w:color w:val="000000"/>
          <w:shd w:val="clear" w:color="auto" w:fill="FFFFFF"/>
        </w:rPr>
        <w:t xml:space="preserve">defendant’s home, a small studio apartment, at approximately 10:00 a.m. on January 10, 2016.  She was looking for evidence </w:t>
      </w:r>
      <w:r w:rsidRPr="0008328C">
        <w:rPr>
          <w:color w:val="000000"/>
          <w:shd w:val="clear" w:color="auto" w:fill="FFFFFF"/>
        </w:rPr>
        <w:t>of arson. Officer Whitaker and Kodiak participated in the search of defendant’s home.  Kodiak alerted on the shoe and sock found together on the ground inside the front doorway.  Kodiak</w:t>
      </w:r>
      <w:r>
        <w:rPr>
          <w:color w:val="000000"/>
          <w:shd w:val="clear" w:color="auto" w:fill="FFFFFF"/>
        </w:rPr>
        <w:t xml:space="preserve"> showed particular interest, but did not alert,</w:t>
      </w:r>
      <w:r w:rsidRPr="0008328C">
        <w:rPr>
          <w:color w:val="000000"/>
          <w:shd w:val="clear" w:color="auto" w:fill="FFFFFF"/>
        </w:rPr>
        <w:t xml:space="preserve"> in the bathroom by the </w:t>
      </w:r>
      <w:r w:rsidRPr="0008328C">
        <w:rPr>
          <w:color w:val="000000"/>
          <w:shd w:val="clear" w:color="auto" w:fill="FFFFFF"/>
        </w:rPr>
        <w:t>floor mat, in between the toilet and the bathtub or shower area.</w:t>
      </w:r>
    </w:p>
    <w:p w:rsidR="007D6E39" w:rsidRPr="0008328C" w:rsidRDefault="005300CC" w:rsidP="0008328C">
      <w:pPr>
        <w:ind w:firstLine="720"/>
        <w:rPr>
          <w:color w:val="000000"/>
          <w:shd w:val="clear" w:color="auto" w:fill="FFFFFF"/>
        </w:rPr>
      </w:pPr>
      <w:r w:rsidRPr="0008328C">
        <w:rPr>
          <w:color w:val="000000"/>
          <w:shd w:val="clear" w:color="auto" w:fill="FFFFFF"/>
        </w:rPr>
        <w:t xml:space="preserve">The police collected items from the inside of defendant’s residence, including defendant’s gray New Balance shoes and a single black sock to which the dog </w:t>
      </w:r>
      <w:r>
        <w:rPr>
          <w:color w:val="000000"/>
          <w:shd w:val="clear" w:color="auto" w:fill="FFFFFF"/>
        </w:rPr>
        <w:t xml:space="preserve">had </w:t>
      </w:r>
      <w:r w:rsidRPr="0008328C">
        <w:rPr>
          <w:color w:val="000000"/>
          <w:shd w:val="clear" w:color="auto" w:fill="FFFFFF"/>
        </w:rPr>
        <w:t xml:space="preserve">alerted, a Zipcard with a member number on it, packaging for “a heat-resistant mitt,” and a Whole Foods receipt dated January 6, 2016. </w:t>
      </w:r>
      <w:r>
        <w:rPr>
          <w:color w:val="000000"/>
          <w:shd w:val="clear" w:color="auto" w:fill="FFFFFF"/>
        </w:rPr>
        <w:t xml:space="preserve"> </w:t>
      </w:r>
      <w:r w:rsidRPr="0008328C">
        <w:rPr>
          <w:color w:val="000000"/>
          <w:shd w:val="clear" w:color="auto" w:fill="FFFFFF"/>
        </w:rPr>
        <w:t>The receipt showed that defendant had purchased an organic Kombucha drink.  A “white plastic mask” was found inside “the</w:t>
      </w:r>
      <w:r w:rsidRPr="0008328C">
        <w:rPr>
          <w:color w:val="000000"/>
          <w:shd w:val="clear" w:color="auto" w:fill="FFFFFF"/>
        </w:rPr>
        <w:t xml:space="preserve"> built-in shelf cabinets” near the bed.  A red and white article of clothing was found in defendant’s closet.  A black backpack, which was next to the shower in defendant’s bathroom, was collected.</w:t>
      </w:r>
    </w:p>
    <w:p w:rsidR="00871EFC" w:rsidRPr="0008328C" w:rsidRDefault="005300CC" w:rsidP="0008328C">
      <w:pPr>
        <w:ind w:firstLine="720"/>
        <w:rPr>
          <w:color w:val="000000"/>
          <w:shd w:val="clear" w:color="auto" w:fill="FFFFFF"/>
        </w:rPr>
      </w:pPr>
      <w:r w:rsidRPr="0008328C">
        <w:rPr>
          <w:color w:val="000000"/>
          <w:shd w:val="clear" w:color="auto" w:fill="FFFFFF"/>
        </w:rPr>
        <w:t>During the search of defendant’s outside storage shed, the</w:t>
      </w:r>
      <w:r w:rsidRPr="0008328C">
        <w:rPr>
          <w:color w:val="000000"/>
          <w:shd w:val="clear" w:color="auto" w:fill="FFFFFF"/>
        </w:rPr>
        <w:t xml:space="preserve"> police found an open cardboard box containing a gas can, a heat-resistant glove, and the package for the glove.  The box also contained Amazon packaging.  The gas can smelled </w:t>
      </w:r>
      <w:r>
        <w:rPr>
          <w:color w:val="000000"/>
          <w:shd w:val="clear" w:color="auto" w:fill="FFFFFF"/>
        </w:rPr>
        <w:t>like</w:t>
      </w:r>
      <w:r w:rsidRPr="0008328C">
        <w:rPr>
          <w:color w:val="000000"/>
          <w:shd w:val="clear" w:color="auto" w:fill="FFFFFF"/>
        </w:rPr>
        <w:t xml:space="preserve"> gasoline.  During the two-hour-and-15-minute search of defendant’s apartmen</w:t>
      </w:r>
      <w:r w:rsidRPr="0008328C">
        <w:rPr>
          <w:color w:val="000000"/>
          <w:shd w:val="clear" w:color="auto" w:fill="FFFFFF"/>
        </w:rPr>
        <w:t xml:space="preserve">t, Agent Holler did not see anything that required gasoline. </w:t>
      </w:r>
      <w:r>
        <w:rPr>
          <w:color w:val="000000"/>
          <w:shd w:val="clear" w:color="auto" w:fill="FFFFFF"/>
        </w:rPr>
        <w:t xml:space="preserve"> </w:t>
      </w:r>
      <w:r w:rsidRPr="0008328C">
        <w:rPr>
          <w:color w:val="000000"/>
          <w:shd w:val="clear" w:color="auto" w:fill="FFFFFF"/>
        </w:rPr>
        <w:t xml:space="preserve">Kodiak alerted on the box containing </w:t>
      </w:r>
      <w:r>
        <w:rPr>
          <w:color w:val="000000"/>
          <w:shd w:val="clear" w:color="auto" w:fill="FFFFFF"/>
        </w:rPr>
        <w:t>the</w:t>
      </w:r>
      <w:r w:rsidRPr="0008328C">
        <w:rPr>
          <w:color w:val="000000"/>
          <w:shd w:val="clear" w:color="auto" w:fill="FFFFFF"/>
        </w:rPr>
        <w:t xml:space="preserve"> gas can with liquid inside.  After a heat-protective glove stored in the box was separated from the gas can, Kodiak </w:t>
      </w:r>
      <w:r>
        <w:rPr>
          <w:color w:val="000000"/>
          <w:shd w:val="clear" w:color="auto" w:fill="FFFFFF"/>
        </w:rPr>
        <w:t xml:space="preserve">separately </w:t>
      </w:r>
      <w:r w:rsidRPr="0008328C">
        <w:rPr>
          <w:color w:val="000000"/>
          <w:shd w:val="clear" w:color="auto" w:fill="FFFFFF"/>
        </w:rPr>
        <w:t>alerted on the glove.</w:t>
      </w:r>
    </w:p>
    <w:p w:rsidR="00C80867" w:rsidRPr="0008328C" w:rsidRDefault="005300CC" w:rsidP="0008328C">
      <w:pPr>
        <w:ind w:firstLine="720"/>
        <w:rPr>
          <w:color w:val="000000"/>
          <w:shd w:val="clear" w:color="auto" w:fill="FFFFFF"/>
        </w:rPr>
      </w:pPr>
      <w:r w:rsidRPr="0008328C">
        <w:rPr>
          <w:color w:val="000000"/>
          <w:shd w:val="clear" w:color="auto" w:fill="FFFFFF"/>
        </w:rPr>
        <w:t>Defe</w:t>
      </w:r>
      <w:r w:rsidRPr="0008328C">
        <w:rPr>
          <w:color w:val="000000"/>
          <w:shd w:val="clear" w:color="auto" w:fill="FFFFFF"/>
        </w:rPr>
        <w:t xml:space="preserve">ndant’s storage shed also contained a plastic seal from </w:t>
      </w:r>
      <w:r>
        <w:rPr>
          <w:color w:val="000000"/>
          <w:shd w:val="clear" w:color="auto" w:fill="FFFFFF"/>
        </w:rPr>
        <w:t xml:space="preserve">a bottle </w:t>
      </w:r>
      <w:r w:rsidRPr="0008328C">
        <w:rPr>
          <w:color w:val="000000"/>
          <w:shd w:val="clear" w:color="auto" w:fill="FFFFFF"/>
        </w:rPr>
        <w:t>cap, which stated something along the line</w:t>
      </w:r>
      <w:r>
        <w:rPr>
          <w:color w:val="000000"/>
          <w:shd w:val="clear" w:color="auto" w:fill="FFFFFF"/>
        </w:rPr>
        <w:t>s of</w:t>
      </w:r>
      <w:r w:rsidRPr="0008328C">
        <w:rPr>
          <w:color w:val="000000"/>
          <w:shd w:val="clear" w:color="auto" w:fill="FFFFFF"/>
        </w:rPr>
        <w:t>, “Contains alcohol.  Must be 21 years or older.”  The plastic seal was “consistent [with], if not identical [to],</w:t>
      </w:r>
      <w:r>
        <w:rPr>
          <w:color w:val="000000"/>
          <w:shd w:val="clear" w:color="auto" w:fill="FFFFFF"/>
        </w:rPr>
        <w:t> </w:t>
      </w:r>
      <w:r w:rsidRPr="0008328C">
        <w:rPr>
          <w:color w:val="000000"/>
          <w:shd w:val="clear" w:color="auto" w:fill="FFFFFF"/>
        </w:rPr>
        <w:t>. . . a bottle of K</w:t>
      </w:r>
      <w:r>
        <w:rPr>
          <w:color w:val="000000"/>
          <w:shd w:val="clear" w:color="auto" w:fill="FFFFFF"/>
        </w:rPr>
        <w:t>o</w:t>
      </w:r>
      <w:r w:rsidRPr="0008328C">
        <w:rPr>
          <w:color w:val="000000"/>
          <w:shd w:val="clear" w:color="auto" w:fill="FFFFFF"/>
        </w:rPr>
        <w:t>m</w:t>
      </w:r>
      <w:r>
        <w:rPr>
          <w:color w:val="000000"/>
          <w:shd w:val="clear" w:color="auto" w:fill="FFFFFF"/>
        </w:rPr>
        <w:t>b</w:t>
      </w:r>
      <w:r w:rsidRPr="0008328C">
        <w:rPr>
          <w:color w:val="000000"/>
          <w:shd w:val="clear" w:color="auto" w:fill="FFFFFF"/>
        </w:rPr>
        <w:t>ucha tha</w:t>
      </w:r>
      <w:r w:rsidRPr="0008328C">
        <w:rPr>
          <w:color w:val="000000"/>
          <w:shd w:val="clear" w:color="auto" w:fill="FFFFFF"/>
        </w:rPr>
        <w:t>t was in the middle of the defendant’s [home].”</w:t>
      </w:r>
    </w:p>
    <w:p w:rsidR="004D634C" w:rsidRPr="0008328C" w:rsidRDefault="005300CC" w:rsidP="0008328C">
      <w:pPr>
        <w:ind w:firstLine="720"/>
        <w:rPr>
          <w:color w:val="000000"/>
          <w:shd w:val="clear" w:color="auto" w:fill="FFFFFF"/>
        </w:rPr>
      </w:pPr>
      <w:r w:rsidRPr="0008328C">
        <w:rPr>
          <w:color w:val="000000"/>
          <w:shd w:val="clear" w:color="auto" w:fill="FFFFFF"/>
        </w:rPr>
        <w:t>Detective Bulatao prepared a search warrant for Amazon records</w:t>
      </w:r>
      <w:r>
        <w:rPr>
          <w:color w:val="000000"/>
          <w:shd w:val="clear" w:color="auto" w:fill="FFFFFF"/>
        </w:rPr>
        <w:t xml:space="preserve"> of defendant’s purchases </w:t>
      </w:r>
      <w:r w:rsidRPr="0008328C">
        <w:rPr>
          <w:color w:val="000000"/>
          <w:shd w:val="clear" w:color="auto" w:fill="FFFFFF"/>
        </w:rPr>
        <w:t xml:space="preserve">for a specified </w:t>
      </w:r>
      <w:r>
        <w:rPr>
          <w:color w:val="000000"/>
          <w:shd w:val="clear" w:color="auto" w:fill="FFFFFF"/>
        </w:rPr>
        <w:t xml:space="preserve">period, and </w:t>
      </w:r>
      <w:r w:rsidRPr="0008328C">
        <w:rPr>
          <w:color w:val="000000"/>
          <w:shd w:val="clear" w:color="auto" w:fill="FFFFFF"/>
        </w:rPr>
        <w:t>Amazon provided a purchase history.  Defendant had purchased the heat-resistant glove or bar</w:t>
      </w:r>
      <w:r w:rsidRPr="0008328C">
        <w:rPr>
          <w:color w:val="000000"/>
          <w:shd w:val="clear" w:color="auto" w:fill="FFFFFF"/>
        </w:rPr>
        <w:t>becue mitt from Amazon and a beige, Top</w:t>
      </w:r>
      <w:r>
        <w:rPr>
          <w:color w:val="000000"/>
          <w:shd w:val="clear" w:color="auto" w:fill="FFFFFF"/>
        </w:rPr>
        <w:t> </w:t>
      </w:r>
      <w:r w:rsidRPr="0008328C">
        <w:rPr>
          <w:color w:val="000000"/>
          <w:shd w:val="clear" w:color="auto" w:fill="FFFFFF"/>
        </w:rPr>
        <w:t xml:space="preserve">Headwear ski mask at 4:22 a.m. Pacific Standard Time on January 6, 2016.  Both items had been delivered to defendant on January 8, 2016.  The heat-resistant glove that defendant had purchased matched the glove found </w:t>
      </w:r>
      <w:r w:rsidRPr="0008328C">
        <w:rPr>
          <w:color w:val="000000"/>
          <w:shd w:val="clear" w:color="auto" w:fill="FFFFFF"/>
        </w:rPr>
        <w:t>in the box in his storage shed.  The ski mask that defendant had purchased matched the one found on the driveway of the victims’ home.</w:t>
      </w:r>
    </w:p>
    <w:p w:rsidR="006863C8" w:rsidRPr="0008328C" w:rsidRDefault="005300CC" w:rsidP="0008328C">
      <w:pPr>
        <w:ind w:firstLine="720"/>
        <w:rPr>
          <w:color w:val="000000"/>
          <w:shd w:val="clear" w:color="auto" w:fill="FFFFFF"/>
        </w:rPr>
      </w:pPr>
      <w:r w:rsidRPr="0008328C">
        <w:rPr>
          <w:color w:val="000000"/>
          <w:shd w:val="clear" w:color="auto" w:fill="FFFFFF"/>
        </w:rPr>
        <w:t>On January 10, 2016, the police took the Cadillac</w:t>
      </w:r>
      <w:r>
        <w:rPr>
          <w:color w:val="000000"/>
          <w:shd w:val="clear" w:color="auto" w:fill="FFFFFF"/>
        </w:rPr>
        <w:t xml:space="preserve"> ATS</w:t>
      </w:r>
      <w:r w:rsidRPr="0008328C">
        <w:rPr>
          <w:color w:val="000000"/>
          <w:shd w:val="clear" w:color="auto" w:fill="FFFFFF"/>
        </w:rPr>
        <w:t xml:space="preserve"> into evidence after finding it parked </w:t>
      </w:r>
      <w:r>
        <w:rPr>
          <w:color w:val="000000"/>
          <w:shd w:val="clear" w:color="auto" w:fill="FFFFFF"/>
        </w:rPr>
        <w:t xml:space="preserve">outside </w:t>
      </w:r>
      <w:r w:rsidRPr="0008328C">
        <w:rPr>
          <w:color w:val="000000"/>
          <w:shd w:val="clear" w:color="auto" w:fill="FFFFFF"/>
        </w:rPr>
        <w:t xml:space="preserve">in a </w:t>
      </w:r>
      <w:r>
        <w:rPr>
          <w:color w:val="000000"/>
          <w:shd w:val="clear" w:color="auto" w:fill="FFFFFF"/>
        </w:rPr>
        <w:t xml:space="preserve">parking lot </w:t>
      </w:r>
      <w:r w:rsidRPr="0008328C">
        <w:rPr>
          <w:color w:val="000000"/>
          <w:shd w:val="clear" w:color="auto" w:fill="FFFFFF"/>
        </w:rPr>
        <w:t>that</w:t>
      </w:r>
      <w:r w:rsidRPr="0008328C">
        <w:rPr>
          <w:color w:val="000000"/>
          <w:shd w:val="clear" w:color="auto" w:fill="FFFFFF"/>
        </w:rPr>
        <w:t xml:space="preserve"> had parking spots for Zipcar vehicles.  The vehicle was locked but its windows were rolled down about two inches.  Gasoline dissipates or “volatize[s] out” when exposed to air.  The head of Zipcar security confirmed that no one had rented the vehicle afte</w:t>
      </w:r>
      <w:r w:rsidRPr="0008328C">
        <w:rPr>
          <w:color w:val="000000"/>
          <w:shd w:val="clear" w:color="auto" w:fill="FFFFFF"/>
        </w:rPr>
        <w:t>r defendant had turned it in.</w:t>
      </w:r>
    </w:p>
    <w:p w:rsidR="002302AE" w:rsidRPr="0008328C" w:rsidRDefault="005300CC" w:rsidP="0008328C">
      <w:pPr>
        <w:ind w:firstLine="720"/>
        <w:rPr>
          <w:color w:val="000000"/>
          <w:shd w:val="clear" w:color="auto" w:fill="FFFFFF"/>
        </w:rPr>
      </w:pPr>
      <w:r>
        <w:rPr>
          <w:color w:val="000000"/>
          <w:shd w:val="clear" w:color="auto" w:fill="FFFFFF"/>
        </w:rPr>
        <w:t>T</w:t>
      </w:r>
      <w:r w:rsidRPr="0008328C">
        <w:rPr>
          <w:color w:val="000000"/>
          <w:shd w:val="clear" w:color="auto" w:fill="FFFFFF"/>
        </w:rPr>
        <w:t xml:space="preserve">he Zipcar security manager </w:t>
      </w:r>
      <w:r>
        <w:rPr>
          <w:color w:val="000000"/>
          <w:shd w:val="clear" w:color="auto" w:fill="FFFFFF"/>
        </w:rPr>
        <w:t xml:space="preserve">at the time of trial </w:t>
      </w:r>
      <w:r w:rsidRPr="0008328C">
        <w:rPr>
          <w:color w:val="000000"/>
          <w:shd w:val="clear" w:color="auto" w:fill="FFFFFF"/>
        </w:rPr>
        <w:t>testified regarding Zipcar</w:t>
      </w:r>
      <w:r>
        <w:rPr>
          <w:color w:val="000000"/>
          <w:shd w:val="clear" w:color="auto" w:fill="FFFFFF"/>
        </w:rPr>
        <w:t>’s</w:t>
      </w:r>
      <w:r w:rsidRPr="0008328C">
        <w:rPr>
          <w:color w:val="000000"/>
          <w:shd w:val="clear" w:color="auto" w:fill="FFFFFF"/>
        </w:rPr>
        <w:t xml:space="preserve"> rental records for </w:t>
      </w:r>
      <w:r>
        <w:rPr>
          <w:color w:val="000000"/>
          <w:shd w:val="clear" w:color="auto" w:fill="FFFFFF"/>
        </w:rPr>
        <w:t xml:space="preserve">a </w:t>
      </w:r>
      <w:r w:rsidRPr="0008328C">
        <w:rPr>
          <w:color w:val="000000"/>
          <w:shd w:val="clear" w:color="auto" w:fill="FFFFFF"/>
        </w:rPr>
        <w:t xml:space="preserve">2015 Cadillac ATS with license plate 7GNV470.  He explained that a Zipcar member may rent a vehicle online and </w:t>
      </w:r>
      <w:r>
        <w:rPr>
          <w:color w:val="000000"/>
          <w:shd w:val="clear" w:color="auto" w:fill="FFFFFF"/>
        </w:rPr>
        <w:t xml:space="preserve">then </w:t>
      </w:r>
      <w:r w:rsidRPr="0008328C">
        <w:rPr>
          <w:color w:val="000000"/>
          <w:shd w:val="clear" w:color="auto" w:fill="FFFFFF"/>
        </w:rPr>
        <w:t>use his or her Zipcard to get into the vehicle.  Each Zipcar vehicle ha</w:t>
      </w:r>
      <w:r>
        <w:rPr>
          <w:color w:val="000000"/>
          <w:shd w:val="clear" w:color="auto" w:fill="FFFFFF"/>
        </w:rPr>
        <w:t>d</w:t>
      </w:r>
      <w:r w:rsidRPr="0008328C">
        <w:rPr>
          <w:color w:val="000000"/>
          <w:shd w:val="clear" w:color="auto" w:fill="FFFFFF"/>
        </w:rPr>
        <w:t xml:space="preserve"> a Zipcar decal</w:t>
      </w:r>
      <w:r>
        <w:rPr>
          <w:color w:val="000000"/>
          <w:shd w:val="clear" w:color="auto" w:fill="FFFFFF"/>
        </w:rPr>
        <w:t>, and its</w:t>
      </w:r>
      <w:r w:rsidRPr="0008328C">
        <w:rPr>
          <w:color w:val="000000"/>
          <w:shd w:val="clear" w:color="auto" w:fill="FFFFFF"/>
        </w:rPr>
        <w:t xml:space="preserve"> keys were inside.  Each vehicle was equippe</w:t>
      </w:r>
      <w:r w:rsidRPr="0008328C">
        <w:rPr>
          <w:color w:val="000000"/>
          <w:shd w:val="clear" w:color="auto" w:fill="FFFFFF"/>
        </w:rPr>
        <w:t>d with a GPS device, and the GPS tracking system was always on.  But Zipcar did not keep a history of GPS location information.</w:t>
      </w:r>
    </w:p>
    <w:p w:rsidR="000D21FC" w:rsidRPr="0008328C" w:rsidRDefault="005300CC" w:rsidP="0008328C">
      <w:pPr>
        <w:ind w:firstLine="720"/>
        <w:rPr>
          <w:color w:val="000000"/>
          <w:shd w:val="clear" w:color="auto" w:fill="FFFFFF"/>
        </w:rPr>
      </w:pPr>
      <w:r w:rsidRPr="0008328C">
        <w:rPr>
          <w:color w:val="000000"/>
          <w:shd w:val="clear" w:color="auto" w:fill="FFFFFF"/>
        </w:rPr>
        <w:t xml:space="preserve">The rental records for the Cadillac showed that at 9:14 p.m. on January 7, 2016, the Zipcar member </w:t>
      </w:r>
      <w:r>
        <w:rPr>
          <w:color w:val="000000"/>
          <w:shd w:val="clear" w:color="auto" w:fill="FFFFFF"/>
        </w:rPr>
        <w:t xml:space="preserve">who was </w:t>
      </w:r>
      <w:r w:rsidRPr="0008328C">
        <w:rPr>
          <w:color w:val="000000"/>
          <w:shd w:val="clear" w:color="auto" w:fill="FFFFFF"/>
        </w:rPr>
        <w:t xml:space="preserve">renting the Cadillac </w:t>
      </w:r>
      <w:r w:rsidRPr="0008328C">
        <w:rPr>
          <w:color w:val="000000"/>
          <w:shd w:val="clear" w:color="auto" w:fill="FFFFFF"/>
        </w:rPr>
        <w:t>asked whether Zipcar was able to “GPS the vehicle.”  A Zipcar representative responded that Zipcar was not able to provide GPS information for privacy reasons.  Defendant had rented the Cadillac, beginning at 9:00</w:t>
      </w:r>
      <w:r>
        <w:rPr>
          <w:color w:val="000000"/>
          <w:shd w:val="clear" w:color="auto" w:fill="FFFFFF"/>
        </w:rPr>
        <w:t> </w:t>
      </w:r>
      <w:r w:rsidRPr="0008328C">
        <w:rPr>
          <w:color w:val="000000"/>
          <w:shd w:val="clear" w:color="auto" w:fill="FFFFFF"/>
        </w:rPr>
        <w:t>a.m. on January 8, 2016 and ending at 2:00</w:t>
      </w:r>
      <w:r w:rsidRPr="0008328C">
        <w:rPr>
          <w:color w:val="000000"/>
          <w:shd w:val="clear" w:color="auto" w:fill="FFFFFF"/>
        </w:rPr>
        <w:t xml:space="preserve"> p.m. on January 9, 2016.  The records further disclosed that at 5:05:13</w:t>
      </w:r>
      <w:r>
        <w:rPr>
          <w:color w:val="000000"/>
          <w:shd w:val="clear" w:color="auto" w:fill="FFFFFF"/>
        </w:rPr>
        <w:t xml:space="preserve"> a.m.</w:t>
      </w:r>
      <w:r w:rsidRPr="0008328C">
        <w:rPr>
          <w:color w:val="000000"/>
          <w:shd w:val="clear" w:color="auto" w:fill="FFFFFF"/>
        </w:rPr>
        <w:t xml:space="preserve"> on January 9, 2016, the vehicle’s door was open.  At 6:03:10</w:t>
      </w:r>
      <w:r>
        <w:rPr>
          <w:color w:val="000000"/>
          <w:shd w:val="clear" w:color="auto" w:fill="FFFFFF"/>
        </w:rPr>
        <w:t> </w:t>
      </w:r>
      <w:r w:rsidRPr="0008328C">
        <w:rPr>
          <w:color w:val="000000"/>
          <w:shd w:val="clear" w:color="auto" w:fill="FFFFFF"/>
        </w:rPr>
        <w:t>a.m. on January 9, 2016, the Cadillac’s doors were unlocked and its ignition was on</w:t>
      </w:r>
      <w:r>
        <w:rPr>
          <w:color w:val="000000"/>
          <w:shd w:val="clear" w:color="auto" w:fill="FFFFFF"/>
        </w:rPr>
        <w:t>,</w:t>
      </w:r>
      <w:r w:rsidRPr="0008328C">
        <w:rPr>
          <w:color w:val="000000"/>
          <w:shd w:val="clear" w:color="auto" w:fill="FFFFFF"/>
        </w:rPr>
        <w:t xml:space="preserve"> and at 6:32:52 a.m. on January 9</w:t>
      </w:r>
      <w:r w:rsidRPr="0008328C">
        <w:rPr>
          <w:color w:val="000000"/>
          <w:shd w:val="clear" w:color="auto" w:fill="FFFFFF"/>
        </w:rPr>
        <w:t>, 2016, the engine was off.  The engine was on again at 11:09:30 a.m. on January 9, 2016, and its door was open at 11:25:26 a.m. on January 9, 2016.</w:t>
      </w:r>
    </w:p>
    <w:p w:rsidR="003D4505" w:rsidRDefault="005300CC" w:rsidP="003D4505">
      <w:pPr>
        <w:rPr>
          <w:color w:val="000000"/>
          <w:shd w:val="clear" w:color="auto" w:fill="FFFFFF"/>
        </w:rPr>
      </w:pPr>
      <w:r>
        <w:rPr>
          <w:color w:val="000000"/>
          <w:shd w:val="clear" w:color="auto" w:fill="FFFFFF"/>
        </w:rPr>
        <w:tab/>
      </w:r>
      <w:r w:rsidRPr="0008328C">
        <w:rPr>
          <w:color w:val="000000"/>
          <w:shd w:val="clear" w:color="auto" w:fill="FFFFFF"/>
        </w:rPr>
        <w:t xml:space="preserve">On January 12, 2016, Officer Whitaker took </w:t>
      </w:r>
      <w:r>
        <w:rPr>
          <w:color w:val="000000"/>
          <w:shd w:val="clear" w:color="auto" w:fill="FFFFFF"/>
        </w:rPr>
        <w:t xml:space="preserve">his dog </w:t>
      </w:r>
      <w:r w:rsidRPr="0008328C">
        <w:rPr>
          <w:color w:val="000000"/>
          <w:shd w:val="clear" w:color="auto" w:fill="FFFFFF"/>
        </w:rPr>
        <w:t>Kodiak to search a Cadillac ATS in Palo Alto Police Dep</w:t>
      </w:r>
      <w:r w:rsidRPr="0008328C">
        <w:rPr>
          <w:color w:val="000000"/>
          <w:shd w:val="clear" w:color="auto" w:fill="FFFFFF"/>
        </w:rPr>
        <w:t xml:space="preserve">artment’s secured facility. Although </w:t>
      </w:r>
      <w:r>
        <w:rPr>
          <w:color w:val="000000"/>
          <w:shd w:val="clear" w:color="auto" w:fill="FFFFFF"/>
        </w:rPr>
        <w:t xml:space="preserve">Kodiak </w:t>
      </w:r>
      <w:r w:rsidRPr="0008328C">
        <w:rPr>
          <w:color w:val="000000"/>
          <w:shd w:val="clear" w:color="auto" w:fill="FFFFFF"/>
        </w:rPr>
        <w:t>did not alert, Kodiak displayed interest and engaged in intense sniffing at the base</w:t>
      </w:r>
      <w:r>
        <w:rPr>
          <w:color w:val="000000"/>
          <w:shd w:val="clear" w:color="auto" w:fill="FFFFFF"/>
        </w:rPr>
        <w:t xml:space="preserve"> of </w:t>
      </w:r>
      <w:r w:rsidRPr="0008328C">
        <w:rPr>
          <w:color w:val="000000"/>
          <w:shd w:val="clear" w:color="auto" w:fill="FFFFFF"/>
        </w:rPr>
        <w:t>the back</w:t>
      </w:r>
      <w:r>
        <w:rPr>
          <w:color w:val="000000"/>
          <w:shd w:val="clear" w:color="auto" w:fill="FFFFFF"/>
        </w:rPr>
        <w:t xml:space="preserve"> </w:t>
      </w:r>
      <w:r w:rsidRPr="0008328C">
        <w:rPr>
          <w:color w:val="000000"/>
          <w:shd w:val="clear" w:color="auto" w:fill="FFFFFF"/>
        </w:rPr>
        <w:t>seat</w:t>
      </w:r>
      <w:r>
        <w:rPr>
          <w:color w:val="000000"/>
          <w:shd w:val="clear" w:color="auto" w:fill="FFFFFF"/>
        </w:rPr>
        <w:t xml:space="preserve"> at its crease</w:t>
      </w:r>
      <w:r w:rsidRPr="0008328C">
        <w:rPr>
          <w:color w:val="000000"/>
          <w:shd w:val="clear" w:color="auto" w:fill="FFFFFF"/>
        </w:rPr>
        <w:t>.</w:t>
      </w:r>
      <w:r>
        <w:rPr>
          <w:color w:val="000000"/>
          <w:shd w:val="clear" w:color="auto" w:fill="FFFFFF"/>
        </w:rPr>
        <w:t xml:space="preserve">  </w:t>
      </w:r>
      <w:r w:rsidRPr="0008328C">
        <w:rPr>
          <w:color w:val="000000"/>
          <w:shd w:val="clear" w:color="auto" w:fill="FFFFFF"/>
        </w:rPr>
        <w:t xml:space="preserve">A property analyst technician with the Palo Alto Police Department processed the Cadillac. </w:t>
      </w:r>
      <w:r>
        <w:rPr>
          <w:color w:val="000000"/>
          <w:shd w:val="clear" w:color="auto" w:fill="FFFFFF"/>
        </w:rPr>
        <w:t xml:space="preserve"> </w:t>
      </w:r>
      <w:r w:rsidRPr="0008328C">
        <w:rPr>
          <w:color w:val="000000"/>
          <w:shd w:val="clear" w:color="auto" w:fill="FFFFFF"/>
        </w:rPr>
        <w:t>Sh</w:t>
      </w:r>
      <w:r w:rsidRPr="0008328C">
        <w:rPr>
          <w:color w:val="000000"/>
          <w:shd w:val="clear" w:color="auto" w:fill="FFFFFF"/>
        </w:rPr>
        <w:t xml:space="preserve">e took photographs of the vehicle’s exterior and interior, swabbed it for “contact DNA,” and collected a portion of the back seat to which Kodiak had </w:t>
      </w:r>
      <w:r>
        <w:rPr>
          <w:color w:val="000000"/>
          <w:shd w:val="clear" w:color="auto" w:fill="FFFFFF"/>
        </w:rPr>
        <w:t>responded</w:t>
      </w:r>
      <w:r w:rsidRPr="0008328C">
        <w:rPr>
          <w:color w:val="000000"/>
          <w:shd w:val="clear" w:color="auto" w:fill="FFFFFF"/>
        </w:rPr>
        <w:t>.</w:t>
      </w:r>
      <w:r>
        <w:rPr>
          <w:color w:val="000000"/>
          <w:shd w:val="clear" w:color="auto" w:fill="FFFFFF"/>
        </w:rPr>
        <w:t xml:space="preserve"> Defendant’s </w:t>
      </w:r>
      <w:r w:rsidRPr="0008328C">
        <w:rPr>
          <w:color w:val="000000"/>
          <w:shd w:val="clear" w:color="auto" w:fill="FFFFFF"/>
        </w:rPr>
        <w:t>driver’s license was found underneath the front passenger seat.</w:t>
      </w:r>
    </w:p>
    <w:p w:rsidR="001647A2" w:rsidRPr="0008328C" w:rsidRDefault="005300CC" w:rsidP="0008328C">
      <w:pPr>
        <w:ind w:firstLine="720"/>
        <w:rPr>
          <w:color w:val="000000"/>
          <w:shd w:val="clear" w:color="auto" w:fill="FFFFFF"/>
        </w:rPr>
      </w:pPr>
      <w:r w:rsidRPr="0008328C">
        <w:rPr>
          <w:color w:val="000000"/>
          <w:shd w:val="clear" w:color="auto" w:fill="FFFFFF"/>
        </w:rPr>
        <w:t>A crime analyst wit</w:t>
      </w:r>
      <w:r w:rsidRPr="0008328C">
        <w:rPr>
          <w:color w:val="000000"/>
          <w:shd w:val="clear" w:color="auto" w:fill="FFFFFF"/>
        </w:rPr>
        <w:t xml:space="preserve">h the Santa Clara County Crime Laboratory testified as an expert in </w:t>
      </w:r>
      <w:r>
        <w:rPr>
          <w:color w:val="000000"/>
          <w:shd w:val="clear" w:color="auto" w:fill="FFFFFF"/>
        </w:rPr>
        <w:t xml:space="preserve">the </w:t>
      </w:r>
      <w:r w:rsidRPr="0008328C">
        <w:rPr>
          <w:color w:val="000000"/>
          <w:shd w:val="clear" w:color="auto" w:fill="FFFFFF"/>
        </w:rPr>
        <w:t xml:space="preserve">analysis of ignitable liquids, which include gasoline.  She confirmed that the liquid inside of the gas </w:t>
      </w:r>
      <w:r>
        <w:rPr>
          <w:color w:val="000000"/>
          <w:shd w:val="clear" w:color="auto" w:fill="FFFFFF"/>
        </w:rPr>
        <w:t xml:space="preserve">can </w:t>
      </w:r>
      <w:r w:rsidRPr="0008328C">
        <w:rPr>
          <w:color w:val="000000"/>
          <w:shd w:val="clear" w:color="auto" w:fill="FFFFFF"/>
        </w:rPr>
        <w:t>was gasoline.  She tested the People’s exhibits 23, 24, and 25 (pieces of cl</w:t>
      </w:r>
      <w:r w:rsidRPr="0008328C">
        <w:rPr>
          <w:color w:val="000000"/>
          <w:shd w:val="clear" w:color="auto" w:fill="FFFFFF"/>
        </w:rPr>
        <w:t xml:space="preserve">oth collected from the crime scene) and confirmed </w:t>
      </w:r>
      <w:r>
        <w:rPr>
          <w:color w:val="000000"/>
          <w:shd w:val="clear" w:color="auto" w:fill="FFFFFF"/>
        </w:rPr>
        <w:t xml:space="preserve">that </w:t>
      </w:r>
      <w:r w:rsidRPr="0008328C">
        <w:rPr>
          <w:color w:val="000000"/>
          <w:shd w:val="clear" w:color="auto" w:fill="FFFFFF"/>
        </w:rPr>
        <w:t xml:space="preserve">gasoline </w:t>
      </w:r>
      <w:r>
        <w:rPr>
          <w:color w:val="000000"/>
          <w:shd w:val="clear" w:color="auto" w:fill="FFFFFF"/>
        </w:rPr>
        <w:t xml:space="preserve">was present </w:t>
      </w:r>
      <w:r w:rsidRPr="0008328C">
        <w:rPr>
          <w:color w:val="000000"/>
          <w:shd w:val="clear" w:color="auto" w:fill="FFFFFF"/>
        </w:rPr>
        <w:t>in each of them.  She tested the heat-resistant glove and found gasoline.</w:t>
      </w:r>
    </w:p>
    <w:p w:rsidR="00742572" w:rsidRPr="0008328C" w:rsidRDefault="005300CC" w:rsidP="0008328C">
      <w:pPr>
        <w:rPr>
          <w:color w:val="000000"/>
          <w:shd w:val="clear" w:color="auto" w:fill="FFFFFF"/>
        </w:rPr>
      </w:pPr>
      <w:r w:rsidRPr="0008328C">
        <w:rPr>
          <w:color w:val="000000"/>
          <w:shd w:val="clear" w:color="auto" w:fill="FFFFFF"/>
        </w:rPr>
        <w:t xml:space="preserve">B.  </w:t>
      </w:r>
      <w:r w:rsidRPr="0008328C">
        <w:rPr>
          <w:i/>
          <w:color w:val="000000"/>
          <w:shd w:val="clear" w:color="auto" w:fill="FFFFFF"/>
        </w:rPr>
        <w:t>Defense Case</w:t>
      </w:r>
    </w:p>
    <w:p w:rsidR="00194378" w:rsidRPr="0008328C" w:rsidRDefault="005300CC" w:rsidP="0008328C">
      <w:pPr>
        <w:rPr>
          <w:color w:val="000000"/>
          <w:shd w:val="clear" w:color="auto" w:fill="FFFFFF"/>
        </w:rPr>
      </w:pPr>
      <w:r w:rsidRPr="0008328C">
        <w:rPr>
          <w:color w:val="000000"/>
          <w:shd w:val="clear" w:color="auto" w:fill="FFFFFF"/>
        </w:rPr>
        <w:tab/>
        <w:t xml:space="preserve">Detective Bulatao was also called </w:t>
      </w:r>
      <w:r>
        <w:rPr>
          <w:color w:val="000000"/>
          <w:shd w:val="clear" w:color="auto" w:fill="FFFFFF"/>
        </w:rPr>
        <w:t xml:space="preserve">as </w:t>
      </w:r>
      <w:r w:rsidRPr="0008328C">
        <w:rPr>
          <w:color w:val="000000"/>
          <w:shd w:val="clear" w:color="auto" w:fill="FFFFFF"/>
        </w:rPr>
        <w:t xml:space="preserve">a witness by the defense.  He testified that the warrant to search defendant’s residence was executed at 9:45 a.m. on January 10, 2016.  Defendant was asked to exit his home, and he </w:t>
      </w:r>
      <w:r>
        <w:rPr>
          <w:color w:val="000000"/>
          <w:shd w:val="clear" w:color="auto" w:fill="FFFFFF"/>
        </w:rPr>
        <w:t xml:space="preserve">used </w:t>
      </w:r>
      <w:r w:rsidRPr="0008328C">
        <w:rPr>
          <w:color w:val="000000"/>
          <w:shd w:val="clear" w:color="auto" w:fill="FFFFFF"/>
        </w:rPr>
        <w:t>crutches to walk out and to get around that day.  He was wearing a me</w:t>
      </w:r>
      <w:r w:rsidRPr="0008328C">
        <w:rPr>
          <w:color w:val="000000"/>
          <w:shd w:val="clear" w:color="auto" w:fill="FFFFFF"/>
        </w:rPr>
        <w:t>dical boot on one of his legs.</w:t>
      </w:r>
    </w:p>
    <w:p w:rsidR="00E45353" w:rsidRPr="0008328C" w:rsidRDefault="005300CC" w:rsidP="0008328C">
      <w:pPr>
        <w:rPr>
          <w:color w:val="000000"/>
          <w:shd w:val="clear" w:color="auto" w:fill="FFFFFF"/>
        </w:rPr>
      </w:pPr>
      <w:r w:rsidRPr="0008328C">
        <w:rPr>
          <w:color w:val="000000"/>
          <w:shd w:val="clear" w:color="auto" w:fill="FFFFFF"/>
        </w:rPr>
        <w:tab/>
        <w:t xml:space="preserve">Detective Bulatao had reason to believe, however, that defendant was being untruthful about his physical abilities.  </w:t>
      </w:r>
      <w:r>
        <w:rPr>
          <w:color w:val="000000"/>
          <w:shd w:val="clear" w:color="auto" w:fill="FFFFFF"/>
        </w:rPr>
        <w:t>The police had found a</w:t>
      </w:r>
      <w:r w:rsidRPr="0008328C">
        <w:rPr>
          <w:color w:val="000000"/>
          <w:shd w:val="clear" w:color="auto" w:fill="FFFFFF"/>
        </w:rPr>
        <w:t xml:space="preserve"> Best Buy store receipt with a time and date stamp of 8:45 p.m. on January 8, 2016 in</w:t>
      </w:r>
      <w:r w:rsidRPr="0008328C">
        <w:rPr>
          <w:color w:val="000000"/>
          <w:shd w:val="clear" w:color="auto" w:fill="FFFFFF"/>
        </w:rPr>
        <w:t xml:space="preserve"> defendant’s home.  Detective Bulatao obtained and reviewed surveillance video from that Best Buy store location</w:t>
      </w:r>
      <w:r>
        <w:rPr>
          <w:color w:val="000000"/>
          <w:shd w:val="clear" w:color="auto" w:fill="FFFFFF"/>
        </w:rPr>
        <w:t xml:space="preserve">. </w:t>
      </w:r>
      <w:r w:rsidRPr="0008328C">
        <w:rPr>
          <w:color w:val="000000"/>
          <w:shd w:val="clear" w:color="auto" w:fill="FFFFFF"/>
        </w:rPr>
        <w:t xml:space="preserve"> </w:t>
      </w:r>
      <w:r>
        <w:rPr>
          <w:color w:val="000000"/>
          <w:shd w:val="clear" w:color="auto" w:fill="FFFFFF"/>
        </w:rPr>
        <w:t xml:space="preserve">He </w:t>
      </w:r>
      <w:r w:rsidRPr="0008328C">
        <w:rPr>
          <w:color w:val="000000"/>
          <w:shd w:val="clear" w:color="auto" w:fill="FFFFFF"/>
        </w:rPr>
        <w:t>saw defendant</w:t>
      </w:r>
      <w:r>
        <w:rPr>
          <w:color w:val="000000"/>
          <w:shd w:val="clear" w:color="auto" w:fill="FFFFFF"/>
        </w:rPr>
        <w:t>, who had “a walking cast boot” on one foot,</w:t>
      </w:r>
      <w:r w:rsidRPr="0008328C">
        <w:rPr>
          <w:color w:val="000000"/>
          <w:shd w:val="clear" w:color="auto" w:fill="FFFFFF"/>
        </w:rPr>
        <w:t xml:space="preserve"> walking</w:t>
      </w:r>
      <w:r>
        <w:rPr>
          <w:color w:val="000000"/>
          <w:shd w:val="clear" w:color="auto" w:fill="FFFFFF"/>
        </w:rPr>
        <w:t xml:space="preserve"> by himself</w:t>
      </w:r>
      <w:r w:rsidRPr="0008328C">
        <w:rPr>
          <w:color w:val="000000"/>
          <w:shd w:val="clear" w:color="auto" w:fill="FFFFFF"/>
        </w:rPr>
        <w:t xml:space="preserve"> into the store carrying a large box.  </w:t>
      </w:r>
      <w:r>
        <w:rPr>
          <w:color w:val="000000"/>
          <w:shd w:val="clear" w:color="auto" w:fill="FFFFFF"/>
        </w:rPr>
        <w:t>He knew that D</w:t>
      </w:r>
      <w:r w:rsidRPr="0008328C">
        <w:rPr>
          <w:color w:val="000000"/>
          <w:shd w:val="clear" w:color="auto" w:fill="FFFFFF"/>
        </w:rPr>
        <w:t xml:space="preserve">etective </w:t>
      </w:r>
      <w:r w:rsidRPr="0008328C">
        <w:rPr>
          <w:color w:val="000000"/>
          <w:shd w:val="clear" w:color="auto" w:fill="FFFFFF"/>
        </w:rPr>
        <w:t xml:space="preserve">Joel Hornung had conducted surveillance of defendant’s home and observed </w:t>
      </w:r>
      <w:r>
        <w:rPr>
          <w:color w:val="000000"/>
          <w:shd w:val="clear" w:color="auto" w:fill="FFFFFF"/>
        </w:rPr>
        <w:t>defendant</w:t>
      </w:r>
      <w:r w:rsidRPr="0008328C">
        <w:rPr>
          <w:color w:val="000000"/>
          <w:shd w:val="clear" w:color="auto" w:fill="FFFFFF"/>
        </w:rPr>
        <w:t xml:space="preserve"> “walking on his own</w:t>
      </w:r>
      <w:r>
        <w:rPr>
          <w:color w:val="000000"/>
          <w:shd w:val="clear" w:color="auto" w:fill="FFFFFF"/>
        </w:rPr>
        <w:t> </w:t>
      </w:r>
      <w:r w:rsidRPr="0008328C">
        <w:rPr>
          <w:color w:val="000000"/>
          <w:shd w:val="clear" w:color="auto" w:fill="FFFFFF"/>
        </w:rPr>
        <w:t>. . . after being dropped off by an Uber.”</w:t>
      </w:r>
    </w:p>
    <w:p w:rsidR="00BD33FA" w:rsidRPr="0008328C" w:rsidRDefault="005300CC" w:rsidP="0008328C">
      <w:pPr>
        <w:ind w:firstLine="720"/>
        <w:rPr>
          <w:color w:val="000000"/>
          <w:shd w:val="clear" w:color="auto" w:fill="FFFFFF"/>
        </w:rPr>
      </w:pPr>
      <w:r w:rsidRPr="0008328C">
        <w:rPr>
          <w:color w:val="000000"/>
          <w:shd w:val="clear" w:color="auto" w:fill="FFFFFF"/>
        </w:rPr>
        <w:t xml:space="preserve">Detective Bulatao confirmed that the ski cap was initially analyzed by the crime lab for only the presence of </w:t>
      </w:r>
      <w:r w:rsidRPr="0008328C">
        <w:rPr>
          <w:color w:val="000000"/>
          <w:shd w:val="clear" w:color="auto" w:fill="FFFFFF"/>
        </w:rPr>
        <w:t>accelerants, not DNA.  When the crime lab was later asked to perform DNA and hair sample analyses on the cap, the lab found nothing tying defendant to it.</w:t>
      </w:r>
    </w:p>
    <w:p w:rsidR="00E45353" w:rsidRPr="0008328C" w:rsidRDefault="005300CC" w:rsidP="0008328C">
      <w:pPr>
        <w:ind w:firstLine="720"/>
        <w:rPr>
          <w:color w:val="000000"/>
          <w:shd w:val="clear" w:color="auto" w:fill="FFFFFF"/>
        </w:rPr>
      </w:pPr>
      <w:r w:rsidRPr="0008328C">
        <w:rPr>
          <w:color w:val="000000"/>
          <w:shd w:val="clear" w:color="auto" w:fill="FFFFFF"/>
        </w:rPr>
        <w:t xml:space="preserve">Detective Bulatao </w:t>
      </w:r>
      <w:r>
        <w:rPr>
          <w:color w:val="000000"/>
          <w:shd w:val="clear" w:color="auto" w:fill="FFFFFF"/>
        </w:rPr>
        <w:t xml:space="preserve">acknowledged </w:t>
      </w:r>
      <w:r w:rsidRPr="0008328C">
        <w:rPr>
          <w:color w:val="000000"/>
          <w:shd w:val="clear" w:color="auto" w:fill="FFFFFF"/>
        </w:rPr>
        <w:t xml:space="preserve">that the video clips obtained from the </w:t>
      </w:r>
      <w:r>
        <w:rPr>
          <w:color w:val="000000"/>
          <w:shd w:val="clear" w:color="auto" w:fill="FFFFFF"/>
        </w:rPr>
        <w:t xml:space="preserve">neighbor’s Nest Cam </w:t>
      </w:r>
      <w:r w:rsidRPr="0008328C">
        <w:rPr>
          <w:color w:val="000000"/>
          <w:shd w:val="clear" w:color="auto" w:fill="FFFFFF"/>
        </w:rPr>
        <w:t>showed that</w:t>
      </w:r>
      <w:r w:rsidRPr="0008328C">
        <w:rPr>
          <w:color w:val="000000"/>
          <w:shd w:val="clear" w:color="auto" w:fill="FFFFFF"/>
        </w:rPr>
        <w:t xml:space="preserve"> a dark SUV </w:t>
      </w:r>
      <w:r>
        <w:rPr>
          <w:color w:val="000000"/>
          <w:shd w:val="clear" w:color="auto" w:fill="FFFFFF"/>
        </w:rPr>
        <w:t xml:space="preserve">drove past </w:t>
      </w:r>
      <w:r w:rsidRPr="0008328C">
        <w:rPr>
          <w:color w:val="000000"/>
          <w:shd w:val="clear" w:color="auto" w:fill="FFFFFF"/>
        </w:rPr>
        <w:t>in the direction of the victims’ house</w:t>
      </w:r>
      <w:r>
        <w:rPr>
          <w:color w:val="000000"/>
          <w:shd w:val="clear" w:color="auto" w:fill="FFFFFF"/>
        </w:rPr>
        <w:t xml:space="preserve"> </w:t>
      </w:r>
      <w:r w:rsidRPr="0008328C">
        <w:rPr>
          <w:color w:val="000000"/>
          <w:shd w:val="clear" w:color="auto" w:fill="FFFFFF"/>
        </w:rPr>
        <w:t xml:space="preserve">at 5:23 a.m. on </w:t>
      </w:r>
      <w:r>
        <w:rPr>
          <w:color w:val="000000"/>
          <w:shd w:val="clear" w:color="auto" w:fill="FFFFFF"/>
        </w:rPr>
        <w:t xml:space="preserve">the morning </w:t>
      </w:r>
      <w:r w:rsidRPr="0008328C">
        <w:rPr>
          <w:color w:val="000000"/>
          <w:shd w:val="clear" w:color="auto" w:fill="FFFFFF"/>
        </w:rPr>
        <w:t xml:space="preserve">of the fire.  The detective confirmed that the street was not a dead end and that </w:t>
      </w:r>
      <w:r>
        <w:rPr>
          <w:color w:val="000000"/>
          <w:shd w:val="clear" w:color="auto" w:fill="FFFFFF"/>
        </w:rPr>
        <w:t xml:space="preserve">a vehicle did not need </w:t>
      </w:r>
      <w:r w:rsidRPr="0008328C">
        <w:rPr>
          <w:color w:val="000000"/>
          <w:shd w:val="clear" w:color="auto" w:fill="FFFFFF"/>
        </w:rPr>
        <w:t>to drive past the neighbor’s house to leave the street.</w:t>
      </w:r>
    </w:p>
    <w:p w:rsidR="00E45353" w:rsidRPr="0008328C" w:rsidRDefault="005300CC" w:rsidP="0008328C">
      <w:pPr>
        <w:rPr>
          <w:color w:val="000000"/>
          <w:shd w:val="clear" w:color="auto" w:fill="FFFFFF"/>
        </w:rPr>
      </w:pPr>
      <w:r w:rsidRPr="0008328C">
        <w:rPr>
          <w:color w:val="000000"/>
          <w:shd w:val="clear" w:color="auto" w:fill="FFFFFF"/>
        </w:rPr>
        <w:tab/>
        <w:t>D</w:t>
      </w:r>
      <w:r>
        <w:rPr>
          <w:color w:val="000000"/>
          <w:shd w:val="clear" w:color="auto" w:fill="FFFFFF"/>
        </w:rPr>
        <w:t>ete</w:t>
      </w:r>
      <w:r>
        <w:rPr>
          <w:color w:val="000000"/>
          <w:shd w:val="clear" w:color="auto" w:fill="FFFFFF"/>
        </w:rPr>
        <w:t xml:space="preserve">ctive </w:t>
      </w:r>
      <w:r w:rsidRPr="0008328C">
        <w:rPr>
          <w:color w:val="000000"/>
          <w:shd w:val="clear" w:color="auto" w:fill="FFFFFF"/>
        </w:rPr>
        <w:t xml:space="preserve">Bulatao acknowledged that no burn marks </w:t>
      </w:r>
      <w:r>
        <w:rPr>
          <w:color w:val="000000"/>
          <w:shd w:val="clear" w:color="auto" w:fill="FFFFFF"/>
        </w:rPr>
        <w:t>were found on defendant</w:t>
      </w:r>
      <w:r w:rsidRPr="0008328C">
        <w:rPr>
          <w:color w:val="000000"/>
          <w:shd w:val="clear" w:color="auto" w:fill="FFFFFF"/>
        </w:rPr>
        <w:t>.</w:t>
      </w:r>
    </w:p>
    <w:p w:rsidR="00F13A57" w:rsidRPr="0008328C" w:rsidRDefault="005300CC" w:rsidP="0008328C">
      <w:pPr>
        <w:rPr>
          <w:i/>
          <w:color w:val="000000"/>
          <w:shd w:val="clear" w:color="auto" w:fill="FFFFFF"/>
        </w:rPr>
      </w:pPr>
      <w:r w:rsidRPr="0008328C">
        <w:rPr>
          <w:color w:val="000000"/>
          <w:shd w:val="clear" w:color="auto" w:fill="FFFFFF"/>
        </w:rPr>
        <w:t xml:space="preserve">C.  </w:t>
      </w:r>
      <w:r w:rsidRPr="0008328C">
        <w:rPr>
          <w:i/>
          <w:color w:val="000000"/>
          <w:shd w:val="clear" w:color="auto" w:fill="FFFFFF"/>
        </w:rPr>
        <w:t>The Prosecution</w:t>
      </w:r>
      <w:r w:rsidRPr="006C7103">
        <w:rPr>
          <w:color w:val="000000"/>
          <w:shd w:val="clear" w:color="auto" w:fill="FFFFFF"/>
        </w:rPr>
        <w:t>’</w:t>
      </w:r>
      <w:r w:rsidRPr="0008328C">
        <w:rPr>
          <w:i/>
          <w:color w:val="000000"/>
          <w:shd w:val="clear" w:color="auto" w:fill="FFFFFF"/>
        </w:rPr>
        <w:t>s Rebuttal</w:t>
      </w:r>
    </w:p>
    <w:p w:rsidR="00414738" w:rsidRPr="0008328C" w:rsidRDefault="005300CC" w:rsidP="0008328C">
      <w:pPr>
        <w:rPr>
          <w:color w:val="000000"/>
          <w:shd w:val="clear" w:color="auto" w:fill="FFFFFF"/>
        </w:rPr>
      </w:pPr>
      <w:r w:rsidRPr="0008328C">
        <w:rPr>
          <w:color w:val="000000"/>
          <w:shd w:val="clear" w:color="auto" w:fill="FFFFFF"/>
        </w:rPr>
        <w:tab/>
        <w:t>As part of the initial arson investigation, Detective Hornung, an officer with the Palo Alto Police Department, conduct</w:t>
      </w:r>
      <w:r>
        <w:rPr>
          <w:color w:val="000000"/>
          <w:shd w:val="clear" w:color="auto" w:fill="FFFFFF"/>
        </w:rPr>
        <w:t>ed</w:t>
      </w:r>
      <w:r w:rsidRPr="0008328C">
        <w:rPr>
          <w:color w:val="000000"/>
          <w:shd w:val="clear" w:color="auto" w:fill="FFFFFF"/>
        </w:rPr>
        <w:t xml:space="preserve"> surveillance of the residence believed to </w:t>
      </w:r>
      <w:r>
        <w:rPr>
          <w:color w:val="000000"/>
          <w:shd w:val="clear" w:color="auto" w:fill="FFFFFF"/>
        </w:rPr>
        <w:t xml:space="preserve">have been </w:t>
      </w:r>
      <w:r w:rsidRPr="0008328C">
        <w:rPr>
          <w:color w:val="000000"/>
          <w:shd w:val="clear" w:color="auto" w:fill="FFFFFF"/>
        </w:rPr>
        <w:t>involved in the arson.  Officer Hornung arrived at 11:45 a.m. and was there until approximately 4:00 p.m.  He watched from the back seat of an unmarked vehicle.  The detective saw defendant arrive at the</w:t>
      </w:r>
      <w:r w:rsidRPr="0008328C">
        <w:rPr>
          <w:color w:val="000000"/>
          <w:shd w:val="clear" w:color="auto" w:fill="FFFFFF"/>
        </w:rPr>
        <w:t xml:space="preserve"> residence at approximately 1:45 or 2:00 p.m. in what appeared to be an Uber vehicle.  The officer captured on video defendant walking unassisted into his residence, including his navigation of a staircase and his grabbing of some bags from somebody walkin</w:t>
      </w:r>
      <w:r w:rsidRPr="0008328C">
        <w:rPr>
          <w:color w:val="000000"/>
          <w:shd w:val="clear" w:color="auto" w:fill="FFFFFF"/>
        </w:rPr>
        <w:t xml:space="preserve">g with him.  Although defendant had a </w:t>
      </w:r>
      <w:r>
        <w:rPr>
          <w:color w:val="000000"/>
          <w:shd w:val="clear" w:color="auto" w:fill="FFFFFF"/>
        </w:rPr>
        <w:t>“</w:t>
      </w:r>
      <w:r w:rsidRPr="0008328C">
        <w:rPr>
          <w:color w:val="000000"/>
          <w:shd w:val="clear" w:color="auto" w:fill="FFFFFF"/>
        </w:rPr>
        <w:t>device</w:t>
      </w:r>
      <w:r>
        <w:rPr>
          <w:color w:val="000000"/>
          <w:shd w:val="clear" w:color="auto" w:fill="FFFFFF"/>
        </w:rPr>
        <w:t>”</w:t>
      </w:r>
      <w:r w:rsidRPr="0008328C">
        <w:rPr>
          <w:color w:val="000000"/>
          <w:shd w:val="clear" w:color="auto" w:fill="FFFFFF"/>
        </w:rPr>
        <w:t xml:space="preserve"> on one foot, he was not using crutches or a wheelchair. </w:t>
      </w:r>
      <w:r>
        <w:rPr>
          <w:color w:val="000000"/>
          <w:shd w:val="clear" w:color="auto" w:fill="FFFFFF"/>
        </w:rPr>
        <w:t xml:space="preserve"> </w:t>
      </w:r>
      <w:r w:rsidRPr="0008328C">
        <w:rPr>
          <w:color w:val="000000"/>
          <w:shd w:val="clear" w:color="auto" w:fill="FFFFFF"/>
        </w:rPr>
        <w:t>The video was played for the jury.</w:t>
      </w:r>
    </w:p>
    <w:p w:rsidR="00B825F8" w:rsidRPr="0008328C" w:rsidRDefault="005300CC" w:rsidP="0008328C">
      <w:pPr>
        <w:keepNext/>
        <w:jc w:val="center"/>
        <w:rPr>
          <w:color w:val="000000"/>
          <w:shd w:val="clear" w:color="auto" w:fill="FFFFFF"/>
        </w:rPr>
      </w:pPr>
      <w:r w:rsidRPr="0008328C">
        <w:rPr>
          <w:color w:val="000000"/>
          <w:shd w:val="clear" w:color="auto" w:fill="FFFFFF"/>
        </w:rPr>
        <w:t>II</w:t>
      </w:r>
    </w:p>
    <w:p w:rsidR="00B825F8" w:rsidRPr="0008328C" w:rsidRDefault="005300CC" w:rsidP="0008328C">
      <w:pPr>
        <w:keepNext/>
        <w:jc w:val="center"/>
        <w:rPr>
          <w:i/>
          <w:color w:val="000000"/>
          <w:shd w:val="clear" w:color="auto" w:fill="FFFFFF"/>
        </w:rPr>
      </w:pPr>
      <w:r w:rsidRPr="0008328C">
        <w:rPr>
          <w:i/>
          <w:color w:val="000000"/>
          <w:shd w:val="clear" w:color="auto" w:fill="FFFFFF"/>
        </w:rPr>
        <w:t>Discussion</w:t>
      </w:r>
    </w:p>
    <w:p w:rsidR="00B825F8" w:rsidRPr="0008328C" w:rsidRDefault="005300CC" w:rsidP="0008328C">
      <w:pPr>
        <w:keepNext/>
        <w:rPr>
          <w:i/>
          <w:color w:val="000000"/>
          <w:shd w:val="clear" w:color="auto" w:fill="FFFFFF"/>
        </w:rPr>
      </w:pPr>
      <w:r w:rsidRPr="0008328C">
        <w:rPr>
          <w:color w:val="000000"/>
          <w:shd w:val="clear" w:color="auto" w:fill="FFFFFF"/>
        </w:rPr>
        <w:t xml:space="preserve">A.  </w:t>
      </w:r>
      <w:r w:rsidRPr="0008328C">
        <w:rPr>
          <w:i/>
          <w:color w:val="000000"/>
          <w:shd w:val="clear" w:color="auto" w:fill="FFFFFF"/>
        </w:rPr>
        <w:t>Motion to Suppress</w:t>
      </w:r>
    </w:p>
    <w:p w:rsidR="00B825F8" w:rsidRPr="0008328C" w:rsidRDefault="005300CC" w:rsidP="0008328C">
      <w:pPr>
        <w:keepNext/>
        <w:rPr>
          <w:color w:val="000000"/>
          <w:shd w:val="clear" w:color="auto" w:fill="FFFFFF"/>
        </w:rPr>
      </w:pPr>
      <w:r w:rsidRPr="0008328C">
        <w:rPr>
          <w:color w:val="000000"/>
          <w:shd w:val="clear" w:color="auto" w:fill="FFFFFF"/>
        </w:rPr>
        <w:t xml:space="preserve">1.  </w:t>
      </w:r>
      <w:r w:rsidRPr="0008328C">
        <w:rPr>
          <w:i/>
          <w:color w:val="000000"/>
          <w:shd w:val="clear" w:color="auto" w:fill="FFFFFF"/>
        </w:rPr>
        <w:t>Background</w:t>
      </w:r>
    </w:p>
    <w:p w:rsidR="00183EFF" w:rsidRPr="0008328C" w:rsidRDefault="005300CC" w:rsidP="0008328C">
      <w:pPr>
        <w:rPr>
          <w:color w:val="000000"/>
          <w:shd w:val="clear" w:color="auto" w:fill="FFFFFF"/>
        </w:rPr>
      </w:pPr>
      <w:r w:rsidRPr="0008328C">
        <w:rPr>
          <w:color w:val="000000"/>
          <w:shd w:val="clear" w:color="auto" w:fill="FFFFFF"/>
        </w:rPr>
        <w:tab/>
        <w:t>Defendant moved to traverse the search warrant and suppress evid</w:t>
      </w:r>
      <w:r w:rsidRPr="0008328C">
        <w:rPr>
          <w:color w:val="000000"/>
          <w:shd w:val="clear" w:color="auto" w:fill="FFFFFF"/>
        </w:rPr>
        <w:t>ence pursuant to section 1538.5 on the ground that the underlying affidavit did not establish</w:t>
      </w:r>
      <w:r>
        <w:rPr>
          <w:color w:val="000000"/>
          <w:shd w:val="clear" w:color="auto" w:fill="FFFFFF"/>
        </w:rPr>
        <w:t xml:space="preserve"> the</w:t>
      </w:r>
      <w:r w:rsidRPr="0008328C">
        <w:rPr>
          <w:color w:val="000000"/>
          <w:shd w:val="clear" w:color="auto" w:fill="FFFFFF"/>
        </w:rPr>
        <w:t xml:space="preserve"> probable cause </w:t>
      </w:r>
      <w:r>
        <w:rPr>
          <w:color w:val="000000"/>
          <w:shd w:val="clear" w:color="auto" w:fill="FFFFFF"/>
        </w:rPr>
        <w:t xml:space="preserve">required </w:t>
      </w:r>
      <w:r w:rsidRPr="0008328C">
        <w:rPr>
          <w:color w:val="000000"/>
          <w:shd w:val="clear" w:color="auto" w:fill="FFFFFF"/>
        </w:rPr>
        <w:t>for a search</w:t>
      </w:r>
      <w:r>
        <w:rPr>
          <w:color w:val="000000"/>
          <w:shd w:val="clear" w:color="auto" w:fill="FFFFFF"/>
        </w:rPr>
        <w:t xml:space="preserve"> warrant</w:t>
      </w:r>
      <w:r w:rsidRPr="0008328C">
        <w:rPr>
          <w:color w:val="000000"/>
          <w:shd w:val="clear" w:color="auto" w:fill="FFFFFF"/>
        </w:rPr>
        <w:t>.</w:t>
      </w:r>
    </w:p>
    <w:p w:rsidR="002C7C98" w:rsidRPr="0008328C" w:rsidRDefault="005300CC" w:rsidP="0008328C">
      <w:pPr>
        <w:rPr>
          <w:color w:val="000000"/>
          <w:shd w:val="clear" w:color="auto" w:fill="FFFFFF"/>
        </w:rPr>
      </w:pPr>
      <w:r w:rsidRPr="0008328C">
        <w:rPr>
          <w:color w:val="000000"/>
          <w:shd w:val="clear" w:color="auto" w:fill="FFFFFF"/>
        </w:rPr>
        <w:tab/>
        <w:t xml:space="preserve">In </w:t>
      </w:r>
      <w:r>
        <w:rPr>
          <w:color w:val="000000"/>
          <w:shd w:val="clear" w:color="auto" w:fill="FFFFFF"/>
        </w:rPr>
        <w:t>his</w:t>
      </w:r>
      <w:r w:rsidRPr="0008328C">
        <w:rPr>
          <w:color w:val="000000"/>
          <w:shd w:val="clear" w:color="auto" w:fill="FFFFFF"/>
        </w:rPr>
        <w:t xml:space="preserve"> search warrant affidavit, Detective Bulatao stated the following.  At 6:19</w:t>
      </w:r>
      <w:r>
        <w:rPr>
          <w:color w:val="000000"/>
          <w:shd w:val="clear" w:color="auto" w:fill="FFFFFF"/>
        </w:rPr>
        <w:t> </w:t>
      </w:r>
      <w:r w:rsidRPr="0008328C">
        <w:rPr>
          <w:color w:val="000000"/>
          <w:shd w:val="clear" w:color="auto" w:fill="FFFFFF"/>
        </w:rPr>
        <w:t>a.m. on January 9, 2016, the Palo Alto Fire Department responded to a fire at a Palo Alto address.  Police also responded to the scene.  There was “a strong odor similar to gasolin</w:t>
      </w:r>
      <w:r w:rsidRPr="0008328C">
        <w:rPr>
          <w:color w:val="000000"/>
          <w:shd w:val="clear" w:color="auto" w:fill="FFFFFF"/>
        </w:rPr>
        <w:t>e” coming from the driveway area.  The Fire Department suspected</w:t>
      </w:r>
      <w:r>
        <w:rPr>
          <w:color w:val="000000"/>
          <w:shd w:val="clear" w:color="auto" w:fill="FFFFFF"/>
        </w:rPr>
        <w:t xml:space="preserve"> that</w:t>
      </w:r>
      <w:r w:rsidRPr="0008328C">
        <w:rPr>
          <w:color w:val="000000"/>
          <w:shd w:val="clear" w:color="auto" w:fill="FFFFFF"/>
        </w:rPr>
        <w:t xml:space="preserve"> the fire was intentional and informed responding police officers that it appeared </w:t>
      </w:r>
      <w:r>
        <w:rPr>
          <w:color w:val="000000"/>
          <w:shd w:val="clear" w:color="auto" w:fill="FFFFFF"/>
        </w:rPr>
        <w:t xml:space="preserve">that </w:t>
      </w:r>
      <w:r w:rsidRPr="0008328C">
        <w:rPr>
          <w:color w:val="000000"/>
          <w:shd w:val="clear" w:color="auto" w:fill="FFFFFF"/>
        </w:rPr>
        <w:t>an accelerant had been used to set the garage door on fire.  S.S.</w:t>
      </w:r>
      <w:r>
        <w:rPr>
          <w:color w:val="000000"/>
          <w:shd w:val="clear" w:color="auto" w:fill="FFFFFF"/>
        </w:rPr>
        <w:t xml:space="preserve"> had said </w:t>
      </w:r>
      <w:r w:rsidRPr="0008328C">
        <w:rPr>
          <w:color w:val="000000"/>
          <w:shd w:val="clear" w:color="auto" w:fill="FFFFFF"/>
        </w:rPr>
        <w:t>that “several small blue</w:t>
      </w:r>
      <w:r w:rsidRPr="0008328C">
        <w:rPr>
          <w:color w:val="000000"/>
          <w:shd w:val="clear" w:color="auto" w:fill="FFFFFF"/>
        </w:rPr>
        <w:t xml:space="preserve"> bath towels and a brown watch cap located on the driveway</w:t>
      </w:r>
      <w:r>
        <w:rPr>
          <w:color w:val="000000"/>
          <w:shd w:val="clear" w:color="auto" w:fill="FFFFFF"/>
        </w:rPr>
        <w:t> </w:t>
      </w:r>
      <w:r w:rsidRPr="0008328C">
        <w:rPr>
          <w:color w:val="000000"/>
          <w:shd w:val="clear" w:color="auto" w:fill="FFFFFF"/>
        </w:rPr>
        <w:t>. . . did not belong to him.”  The police “established a secured crime scene.”</w:t>
      </w:r>
    </w:p>
    <w:p w:rsidR="00F911C0" w:rsidRPr="0008328C" w:rsidRDefault="005300CC" w:rsidP="0008328C">
      <w:pPr>
        <w:ind w:firstLine="720"/>
        <w:rPr>
          <w:color w:val="000000"/>
          <w:shd w:val="clear" w:color="auto" w:fill="FFFFFF"/>
        </w:rPr>
      </w:pPr>
      <w:r w:rsidRPr="0008328C">
        <w:rPr>
          <w:color w:val="000000"/>
          <w:shd w:val="clear" w:color="auto" w:fill="FFFFFF"/>
        </w:rPr>
        <w:t xml:space="preserve">At approximately 11:00 a.m. on January 9, 2016, Officer Whitaker of the Sunnyvale Department of Public Safety and his </w:t>
      </w:r>
      <w:r w:rsidRPr="0008328C">
        <w:rPr>
          <w:color w:val="000000"/>
          <w:shd w:val="clear" w:color="auto" w:fill="FFFFFF"/>
        </w:rPr>
        <w:t>“nationally certified accelerant detection dog,” Kodiak, arrived at the scene.  Officer Whitaker informed Detective Bulatao that “Kodia</w:t>
      </w:r>
      <w:r>
        <w:rPr>
          <w:color w:val="000000"/>
          <w:shd w:val="clear" w:color="auto" w:fill="FFFFFF"/>
        </w:rPr>
        <w:t>k</w:t>
      </w:r>
      <w:r w:rsidRPr="0008328C">
        <w:rPr>
          <w:color w:val="000000"/>
          <w:shd w:val="clear" w:color="auto" w:fill="FFFFFF"/>
        </w:rPr>
        <w:t xml:space="preserve"> [had] indicated the presence </w:t>
      </w:r>
      <w:r>
        <w:rPr>
          <w:color w:val="000000"/>
          <w:shd w:val="clear" w:color="auto" w:fill="FFFFFF"/>
        </w:rPr>
        <w:t xml:space="preserve">of accelerant </w:t>
      </w:r>
      <w:r w:rsidRPr="0008328C">
        <w:rPr>
          <w:color w:val="000000"/>
          <w:shd w:val="clear" w:color="auto" w:fill="FFFFFF"/>
        </w:rPr>
        <w:t xml:space="preserve">on three different locations at the garage door.”  </w:t>
      </w:r>
      <w:r>
        <w:rPr>
          <w:color w:val="000000"/>
          <w:shd w:val="clear" w:color="auto" w:fill="FFFFFF"/>
        </w:rPr>
        <w:t>Based on this information</w:t>
      </w:r>
      <w:r>
        <w:rPr>
          <w:color w:val="000000"/>
          <w:shd w:val="clear" w:color="auto" w:fill="FFFFFF"/>
        </w:rPr>
        <w:t xml:space="preserve">, </w:t>
      </w:r>
      <w:r w:rsidRPr="0008328C">
        <w:rPr>
          <w:color w:val="000000"/>
          <w:shd w:val="clear" w:color="auto" w:fill="FFFFFF"/>
        </w:rPr>
        <w:t>Detective Bulatao believed that the residence had been “specifically targeted” and that “an unknown suspect [had] intentionally set fire to” it.</w:t>
      </w:r>
    </w:p>
    <w:p w:rsidR="00810894" w:rsidRPr="0008328C" w:rsidRDefault="005300CC" w:rsidP="0008328C">
      <w:pPr>
        <w:ind w:firstLine="720"/>
        <w:rPr>
          <w:color w:val="000000"/>
          <w:shd w:val="clear" w:color="auto" w:fill="FFFFFF"/>
        </w:rPr>
      </w:pPr>
      <w:r w:rsidRPr="0008328C">
        <w:rPr>
          <w:color w:val="000000"/>
          <w:shd w:val="clear" w:color="auto" w:fill="FFFFFF"/>
        </w:rPr>
        <w:t xml:space="preserve">S.S. told Detective Bulatao that he was </w:t>
      </w:r>
      <w:r>
        <w:rPr>
          <w:color w:val="000000"/>
          <w:shd w:val="clear" w:color="auto" w:fill="FFFFFF"/>
        </w:rPr>
        <w:t>a</w:t>
      </w:r>
      <w:r w:rsidRPr="0008328C">
        <w:rPr>
          <w:color w:val="000000"/>
          <w:shd w:val="clear" w:color="auto" w:fill="FFFFFF"/>
        </w:rPr>
        <w:t xml:space="preserve"> vice president of </w:t>
      </w:r>
      <w:r>
        <w:rPr>
          <w:color w:val="000000"/>
          <w:shd w:val="clear" w:color="auto" w:fill="FFFFFF"/>
        </w:rPr>
        <w:t xml:space="preserve">SAP </w:t>
      </w:r>
      <w:r w:rsidRPr="0008328C">
        <w:rPr>
          <w:color w:val="000000"/>
          <w:shd w:val="clear" w:color="auto" w:fill="FFFFFF"/>
        </w:rPr>
        <w:t xml:space="preserve">and managed a Palo Alto coffee shop </w:t>
      </w:r>
      <w:r w:rsidRPr="0008328C">
        <w:rPr>
          <w:color w:val="000000"/>
          <w:shd w:val="clear" w:color="auto" w:fill="FFFFFF"/>
        </w:rPr>
        <w:t>catering to the technology industry</w:t>
      </w:r>
      <w:r>
        <w:rPr>
          <w:color w:val="000000"/>
          <w:shd w:val="clear" w:color="auto" w:fill="FFFFFF"/>
        </w:rPr>
        <w:t xml:space="preserve">.  S.S. </w:t>
      </w:r>
      <w:r w:rsidRPr="0008328C">
        <w:rPr>
          <w:color w:val="000000"/>
          <w:shd w:val="clear" w:color="auto" w:fill="FFFFFF"/>
        </w:rPr>
        <w:t>had supervised defendant for the past year.  In March 2015, defendant was “having performance problem</w:t>
      </w:r>
      <w:r>
        <w:rPr>
          <w:color w:val="000000"/>
          <w:shd w:val="clear" w:color="auto" w:fill="FFFFFF"/>
        </w:rPr>
        <w:t xml:space="preserve">s.”  Defendant </w:t>
      </w:r>
      <w:r w:rsidRPr="0008328C">
        <w:rPr>
          <w:color w:val="000000"/>
          <w:shd w:val="clear" w:color="auto" w:fill="FFFFFF"/>
        </w:rPr>
        <w:t>had taken “an extended leave of absence.”  Defendant was “displeased” with his supervisor, S.S.</w:t>
      </w:r>
    </w:p>
    <w:p w:rsidR="00560888" w:rsidRPr="0008328C" w:rsidRDefault="005300CC" w:rsidP="0008328C">
      <w:pPr>
        <w:ind w:firstLine="720"/>
        <w:rPr>
          <w:color w:val="000000"/>
          <w:shd w:val="clear" w:color="auto" w:fill="FFFFFF"/>
        </w:rPr>
      </w:pPr>
      <w:r w:rsidRPr="0008328C">
        <w:rPr>
          <w:color w:val="000000"/>
          <w:shd w:val="clear" w:color="auto" w:fill="FFFFFF"/>
        </w:rPr>
        <w:t>I</w:t>
      </w:r>
      <w:r w:rsidRPr="0008328C">
        <w:rPr>
          <w:color w:val="000000"/>
          <w:shd w:val="clear" w:color="auto" w:fill="FFFFFF"/>
        </w:rPr>
        <w:t xml:space="preserve">n November of 2015, defendant “showed up at work when he was not supposed to be there because he was still on leave,” and </w:t>
      </w:r>
      <w:r>
        <w:rPr>
          <w:color w:val="000000"/>
          <w:shd w:val="clear" w:color="auto" w:fill="FFFFFF"/>
        </w:rPr>
        <w:t xml:space="preserve">S.S. </w:t>
      </w:r>
      <w:r w:rsidRPr="0008328C">
        <w:rPr>
          <w:color w:val="000000"/>
          <w:shd w:val="clear" w:color="auto" w:fill="FFFFFF"/>
        </w:rPr>
        <w:t xml:space="preserve">escorted </w:t>
      </w:r>
      <w:r>
        <w:rPr>
          <w:color w:val="000000"/>
          <w:shd w:val="clear" w:color="auto" w:fill="FFFFFF"/>
        </w:rPr>
        <w:t xml:space="preserve">defendant </w:t>
      </w:r>
      <w:r w:rsidRPr="0008328C">
        <w:rPr>
          <w:color w:val="000000"/>
          <w:shd w:val="clear" w:color="auto" w:fill="FFFFFF"/>
        </w:rPr>
        <w:t xml:space="preserve">out.  In late November of 2015, an alarm at the coffee shop was triggered, and the video showed </w:t>
      </w:r>
      <w:r>
        <w:rPr>
          <w:color w:val="000000"/>
          <w:shd w:val="clear" w:color="auto" w:fill="FFFFFF"/>
        </w:rPr>
        <w:t xml:space="preserve">that </w:t>
      </w:r>
      <w:r w:rsidRPr="0008328C">
        <w:rPr>
          <w:color w:val="000000"/>
          <w:shd w:val="clear" w:color="auto" w:fill="FFFFFF"/>
        </w:rPr>
        <w:t>a “masked</w:t>
      </w:r>
      <w:r w:rsidRPr="0008328C">
        <w:rPr>
          <w:color w:val="000000"/>
          <w:shd w:val="clear" w:color="auto" w:fill="FFFFFF"/>
        </w:rPr>
        <w:t xml:space="preserve"> subject [had] used a key to enter the business but [had] not enter[ed] the proper key code</w:t>
      </w:r>
      <w:r>
        <w:rPr>
          <w:color w:val="000000"/>
          <w:shd w:val="clear" w:color="auto" w:fill="FFFFFF"/>
        </w:rPr>
        <w:t> </w:t>
      </w:r>
      <w:r w:rsidRPr="0008328C">
        <w:rPr>
          <w:color w:val="000000"/>
          <w:shd w:val="clear" w:color="auto" w:fill="FFFFFF"/>
        </w:rPr>
        <w:t>.</w:t>
      </w:r>
      <w:r>
        <w:rPr>
          <w:color w:val="000000"/>
          <w:shd w:val="clear" w:color="auto" w:fill="FFFFFF"/>
        </w:rPr>
        <w:t> </w:t>
      </w:r>
      <w:r w:rsidRPr="0008328C">
        <w:rPr>
          <w:color w:val="000000"/>
          <w:shd w:val="clear" w:color="auto" w:fill="FFFFFF"/>
        </w:rPr>
        <w:t>.</w:t>
      </w:r>
      <w:r>
        <w:rPr>
          <w:color w:val="000000"/>
          <w:shd w:val="clear" w:color="auto" w:fill="FFFFFF"/>
        </w:rPr>
        <w:t> </w:t>
      </w:r>
      <w:r w:rsidRPr="0008328C">
        <w:rPr>
          <w:color w:val="000000"/>
          <w:shd w:val="clear" w:color="auto" w:fill="FFFFFF"/>
        </w:rPr>
        <w:t>.</w:t>
      </w:r>
      <w:r>
        <w:rPr>
          <w:color w:val="000000"/>
          <w:shd w:val="clear" w:color="auto" w:fill="FFFFFF"/>
        </w:rPr>
        <w:t> </w:t>
      </w:r>
      <w:r w:rsidRPr="0008328C">
        <w:rPr>
          <w:color w:val="000000"/>
          <w:shd w:val="clear" w:color="auto" w:fill="FFFFFF"/>
        </w:rPr>
        <w:t xml:space="preserve">.”  The </w:t>
      </w:r>
      <w:r>
        <w:rPr>
          <w:color w:val="000000"/>
          <w:shd w:val="clear" w:color="auto" w:fill="FFFFFF"/>
        </w:rPr>
        <w:t xml:space="preserve">subject had </w:t>
      </w:r>
      <w:r w:rsidRPr="0008328C">
        <w:rPr>
          <w:color w:val="000000"/>
          <w:shd w:val="clear" w:color="auto" w:fill="FFFFFF"/>
        </w:rPr>
        <w:t xml:space="preserve">“released several cockroaches into the building.”  The health department received “an anonymous call” “describing the cockroaches.”  S.S. </w:t>
      </w:r>
      <w:r w:rsidRPr="0008328C">
        <w:rPr>
          <w:color w:val="000000"/>
          <w:shd w:val="clear" w:color="auto" w:fill="FFFFFF"/>
        </w:rPr>
        <w:t xml:space="preserve">identified the person </w:t>
      </w:r>
      <w:r>
        <w:rPr>
          <w:color w:val="000000"/>
          <w:shd w:val="clear" w:color="auto" w:fill="FFFFFF"/>
        </w:rPr>
        <w:t>i</w:t>
      </w:r>
      <w:r w:rsidRPr="0008328C">
        <w:rPr>
          <w:color w:val="000000"/>
          <w:shd w:val="clear" w:color="auto" w:fill="FFFFFF"/>
        </w:rPr>
        <w:t>n the video recording as defendant.  Defendant was terminated.</w:t>
      </w:r>
    </w:p>
    <w:p w:rsidR="00560888" w:rsidRPr="0008328C" w:rsidRDefault="005300CC" w:rsidP="0008328C">
      <w:pPr>
        <w:ind w:firstLine="720"/>
        <w:rPr>
          <w:color w:val="000000"/>
          <w:shd w:val="clear" w:color="auto" w:fill="FFFFFF"/>
        </w:rPr>
      </w:pPr>
      <w:r w:rsidRPr="0008328C">
        <w:rPr>
          <w:color w:val="000000"/>
          <w:shd w:val="clear" w:color="auto" w:fill="FFFFFF"/>
        </w:rPr>
        <w:t>“A few weeks later an unknown person posted a Craigslist advertisement for an apartment in San Francisco at a rate that [was] well below market rent,” and it listed S.S.’</w:t>
      </w:r>
      <w:r w:rsidRPr="0008328C">
        <w:rPr>
          <w:color w:val="000000"/>
          <w:shd w:val="clear" w:color="auto" w:fill="FFFFFF"/>
        </w:rPr>
        <w:t>s personal cell phone number as the contact for the rental, which “resulted in a barrage of phone calls” and caused S.S. to change his phone number.  S.S. believed defendant was responsible for the advertisement because of its timing after defendant’s term</w:t>
      </w:r>
      <w:r w:rsidRPr="0008328C">
        <w:rPr>
          <w:color w:val="000000"/>
          <w:shd w:val="clear" w:color="auto" w:fill="FFFFFF"/>
        </w:rPr>
        <w:t>ination and defendant’s knowledge of his personal cell phone number.</w:t>
      </w:r>
    </w:p>
    <w:p w:rsidR="00266145" w:rsidRPr="0008328C" w:rsidRDefault="005300CC" w:rsidP="0008328C">
      <w:pPr>
        <w:ind w:firstLine="720"/>
        <w:rPr>
          <w:color w:val="000000"/>
          <w:shd w:val="clear" w:color="auto" w:fill="FFFFFF"/>
        </w:rPr>
      </w:pPr>
      <w:r w:rsidRPr="0008328C">
        <w:rPr>
          <w:color w:val="000000"/>
          <w:shd w:val="clear" w:color="auto" w:fill="FFFFFF"/>
        </w:rPr>
        <w:t>“A week later, an unknown subject</w:t>
      </w:r>
      <w:r>
        <w:rPr>
          <w:color w:val="000000"/>
          <w:shd w:val="clear" w:color="auto" w:fill="FFFFFF"/>
        </w:rPr>
        <w:t xml:space="preserve"> appeared to have driven a vehicle </w:t>
      </w:r>
      <w:r w:rsidRPr="0008328C">
        <w:rPr>
          <w:color w:val="000000"/>
          <w:shd w:val="clear" w:color="auto" w:fill="FFFFFF"/>
        </w:rPr>
        <w:t>through the glass entrance</w:t>
      </w:r>
      <w:r>
        <w:rPr>
          <w:color w:val="000000"/>
          <w:shd w:val="clear" w:color="auto" w:fill="FFFFFF"/>
        </w:rPr>
        <w:t>”</w:t>
      </w:r>
      <w:r w:rsidRPr="0008328C">
        <w:rPr>
          <w:color w:val="000000"/>
          <w:shd w:val="clear" w:color="auto" w:fill="FFFFFF"/>
        </w:rPr>
        <w:t xml:space="preserve"> of the coffee shop, causing </w:t>
      </w:r>
      <w:r>
        <w:rPr>
          <w:color w:val="000000"/>
          <w:shd w:val="clear" w:color="auto" w:fill="FFFFFF"/>
        </w:rPr>
        <w:t xml:space="preserve">damage costing </w:t>
      </w:r>
      <w:r w:rsidRPr="0008328C">
        <w:rPr>
          <w:color w:val="000000"/>
          <w:shd w:val="clear" w:color="auto" w:fill="FFFFFF"/>
        </w:rPr>
        <w:t xml:space="preserve">approximately $125,000.  S.S. </w:t>
      </w:r>
      <w:r w:rsidRPr="0008328C">
        <w:rPr>
          <w:color w:val="000000"/>
          <w:shd w:val="clear" w:color="auto" w:fill="FFFFFF"/>
        </w:rPr>
        <w:t>“suspected [defendant</w:t>
      </w:r>
      <w:r>
        <w:rPr>
          <w:color w:val="000000"/>
          <w:shd w:val="clear" w:color="auto" w:fill="FFFFFF"/>
        </w:rPr>
        <w:t xml:space="preserve"> </w:t>
      </w:r>
      <w:r w:rsidRPr="0008328C">
        <w:rPr>
          <w:color w:val="000000"/>
          <w:shd w:val="clear" w:color="auto" w:fill="FFFFFF"/>
        </w:rPr>
        <w:t>was] responsible given the timing of the incident in relation to the prior incidents and [defendant’s] termination.”</w:t>
      </w:r>
    </w:p>
    <w:p w:rsidR="00266145" w:rsidRPr="0008328C" w:rsidRDefault="005300CC" w:rsidP="0008328C">
      <w:pPr>
        <w:ind w:firstLine="720"/>
        <w:rPr>
          <w:color w:val="000000"/>
          <w:shd w:val="clear" w:color="auto" w:fill="FFFFFF"/>
        </w:rPr>
      </w:pPr>
      <w:r w:rsidRPr="0008328C">
        <w:rPr>
          <w:color w:val="000000"/>
          <w:shd w:val="clear" w:color="auto" w:fill="FFFFFF"/>
        </w:rPr>
        <w:t xml:space="preserve">The affiant obtained </w:t>
      </w:r>
      <w:r>
        <w:rPr>
          <w:color w:val="000000"/>
          <w:shd w:val="clear" w:color="auto" w:fill="FFFFFF"/>
        </w:rPr>
        <w:t>pertinent correspondence</w:t>
      </w:r>
      <w:r w:rsidRPr="0008328C">
        <w:rPr>
          <w:color w:val="000000"/>
          <w:shd w:val="clear" w:color="auto" w:fill="FFFFFF"/>
        </w:rPr>
        <w:t xml:space="preserve"> from </w:t>
      </w:r>
      <w:r>
        <w:rPr>
          <w:color w:val="000000"/>
          <w:shd w:val="clear" w:color="auto" w:fill="FFFFFF"/>
        </w:rPr>
        <w:t xml:space="preserve">SAP’s </w:t>
      </w:r>
      <w:r w:rsidRPr="0008328C">
        <w:rPr>
          <w:color w:val="000000"/>
          <w:shd w:val="clear" w:color="auto" w:fill="FFFFFF"/>
        </w:rPr>
        <w:t>human resources department.  Defendant had made complaints a</w:t>
      </w:r>
      <w:r w:rsidRPr="0008328C">
        <w:rPr>
          <w:color w:val="000000"/>
          <w:shd w:val="clear" w:color="auto" w:fill="FFFFFF"/>
        </w:rPr>
        <w:t>gainst S.S.</w:t>
      </w:r>
      <w:r>
        <w:rPr>
          <w:color w:val="000000"/>
          <w:shd w:val="clear" w:color="auto" w:fill="FFFFFF"/>
        </w:rPr>
        <w:t xml:space="preserve"> and e</w:t>
      </w:r>
      <w:r w:rsidRPr="0008328C">
        <w:rPr>
          <w:color w:val="000000"/>
          <w:shd w:val="clear" w:color="auto" w:fill="FFFFFF"/>
        </w:rPr>
        <w:t>xpress</w:t>
      </w:r>
      <w:r>
        <w:rPr>
          <w:color w:val="000000"/>
          <w:shd w:val="clear" w:color="auto" w:fill="FFFFFF"/>
        </w:rPr>
        <w:t>ed</w:t>
      </w:r>
      <w:r w:rsidRPr="0008328C">
        <w:rPr>
          <w:color w:val="000000"/>
          <w:shd w:val="clear" w:color="auto" w:fill="FFFFFF"/>
        </w:rPr>
        <w:t xml:space="preserve"> “his displeasure over his termination.”  S.S. had sent an email to the company’s management, stating “his concern for his personal safety and the safety of his employees” due </w:t>
      </w:r>
      <w:r>
        <w:rPr>
          <w:color w:val="000000"/>
          <w:shd w:val="clear" w:color="auto" w:fill="FFFFFF"/>
        </w:rPr>
        <w:t xml:space="preserve">to </w:t>
      </w:r>
      <w:r w:rsidRPr="0008328C">
        <w:rPr>
          <w:color w:val="000000"/>
          <w:shd w:val="clear" w:color="auto" w:fill="FFFFFF"/>
        </w:rPr>
        <w:t>defendant’s prior acts.</w:t>
      </w:r>
    </w:p>
    <w:p w:rsidR="00266145" w:rsidRPr="0008328C" w:rsidRDefault="005300CC" w:rsidP="0008328C">
      <w:pPr>
        <w:ind w:firstLine="720"/>
        <w:rPr>
          <w:color w:val="000000"/>
          <w:shd w:val="clear" w:color="auto" w:fill="FFFFFF"/>
        </w:rPr>
      </w:pPr>
      <w:r w:rsidRPr="0008328C">
        <w:rPr>
          <w:color w:val="000000"/>
          <w:shd w:val="clear" w:color="auto" w:fill="FFFFFF"/>
        </w:rPr>
        <w:t>On December 16, 2015, Palo A</w:t>
      </w:r>
      <w:r w:rsidRPr="0008328C">
        <w:rPr>
          <w:color w:val="000000"/>
          <w:shd w:val="clear" w:color="auto" w:fill="FFFFFF"/>
        </w:rPr>
        <w:t xml:space="preserve">lto police were dispatched to </w:t>
      </w:r>
      <w:r>
        <w:rPr>
          <w:color w:val="000000"/>
          <w:shd w:val="clear" w:color="auto" w:fill="FFFFFF"/>
        </w:rPr>
        <w:t xml:space="preserve">conduct </w:t>
      </w:r>
      <w:r w:rsidRPr="0008328C">
        <w:rPr>
          <w:color w:val="000000"/>
          <w:shd w:val="clear" w:color="auto" w:fill="FFFFFF"/>
        </w:rPr>
        <w:t xml:space="preserve">a welfare check </w:t>
      </w:r>
      <w:r>
        <w:rPr>
          <w:color w:val="000000"/>
          <w:shd w:val="clear" w:color="auto" w:fill="FFFFFF"/>
        </w:rPr>
        <w:t xml:space="preserve">of defendant </w:t>
      </w:r>
      <w:r w:rsidRPr="0008328C">
        <w:rPr>
          <w:color w:val="000000"/>
          <w:shd w:val="clear" w:color="auto" w:fill="FFFFFF"/>
        </w:rPr>
        <w:t xml:space="preserve">after a Kaiser Hospital employee called police and reported that defendant </w:t>
      </w:r>
      <w:r>
        <w:rPr>
          <w:color w:val="000000"/>
          <w:shd w:val="clear" w:color="auto" w:fill="FFFFFF"/>
        </w:rPr>
        <w:t xml:space="preserve">had written </w:t>
      </w:r>
      <w:r w:rsidRPr="0008328C">
        <w:rPr>
          <w:color w:val="000000"/>
          <w:shd w:val="clear" w:color="auto" w:fill="FFFFFF"/>
        </w:rPr>
        <w:t xml:space="preserve">“an email that consisted of veiled suicidal threats.”  </w:t>
      </w:r>
      <w:r>
        <w:rPr>
          <w:color w:val="000000"/>
          <w:shd w:val="clear" w:color="auto" w:fill="FFFFFF"/>
        </w:rPr>
        <w:t>The employee reported that d</w:t>
      </w:r>
      <w:r w:rsidRPr="0008328C">
        <w:rPr>
          <w:color w:val="000000"/>
          <w:shd w:val="clear" w:color="auto" w:fill="FFFFFF"/>
        </w:rPr>
        <w:t>efendant’s email st</w:t>
      </w:r>
      <w:r w:rsidRPr="0008328C">
        <w:rPr>
          <w:color w:val="000000"/>
          <w:shd w:val="clear" w:color="auto" w:fill="FFFFFF"/>
        </w:rPr>
        <w:t xml:space="preserve">atements “indicated </w:t>
      </w:r>
      <w:r>
        <w:rPr>
          <w:color w:val="000000"/>
          <w:shd w:val="clear" w:color="auto" w:fill="FFFFFF"/>
        </w:rPr>
        <w:t>[</w:t>
      </w:r>
      <w:r w:rsidRPr="0008328C">
        <w:rPr>
          <w:color w:val="000000"/>
          <w:shd w:val="clear" w:color="auto" w:fill="FFFFFF"/>
        </w:rPr>
        <w:t>that</w:t>
      </w:r>
      <w:r>
        <w:rPr>
          <w:color w:val="000000"/>
          <w:shd w:val="clear" w:color="auto" w:fill="FFFFFF"/>
        </w:rPr>
        <w:t>]</w:t>
      </w:r>
      <w:r w:rsidRPr="0008328C">
        <w:rPr>
          <w:color w:val="000000"/>
          <w:shd w:val="clear" w:color="auto" w:fill="FFFFFF"/>
        </w:rPr>
        <w:t xml:space="preserve"> he was hostile with violent tendencies.”  Upon contacting defendant, the police determined that defendant was “not a danger to himself at that time.”</w:t>
      </w:r>
    </w:p>
    <w:p w:rsidR="00810894" w:rsidRPr="0008328C" w:rsidRDefault="005300CC" w:rsidP="0008328C">
      <w:pPr>
        <w:ind w:firstLine="720"/>
        <w:rPr>
          <w:color w:val="000000"/>
          <w:shd w:val="clear" w:color="auto" w:fill="FFFFFF"/>
        </w:rPr>
      </w:pPr>
      <w:r>
        <w:rPr>
          <w:color w:val="000000"/>
          <w:shd w:val="clear" w:color="auto" w:fill="FFFFFF"/>
        </w:rPr>
        <w:t>On</w:t>
      </w:r>
      <w:r w:rsidRPr="0008328C">
        <w:rPr>
          <w:color w:val="000000"/>
          <w:shd w:val="clear" w:color="auto" w:fill="FFFFFF"/>
        </w:rPr>
        <w:t xml:space="preserve"> December 22, 2015 and </w:t>
      </w:r>
      <w:r>
        <w:rPr>
          <w:color w:val="000000"/>
          <w:shd w:val="clear" w:color="auto" w:fill="FFFFFF"/>
        </w:rPr>
        <w:t xml:space="preserve">on </w:t>
      </w:r>
      <w:r w:rsidRPr="0008328C">
        <w:rPr>
          <w:color w:val="000000"/>
          <w:shd w:val="clear" w:color="auto" w:fill="FFFFFF"/>
        </w:rPr>
        <w:t>December 2</w:t>
      </w:r>
      <w:r>
        <w:rPr>
          <w:color w:val="000000"/>
          <w:shd w:val="clear" w:color="auto" w:fill="FFFFFF"/>
        </w:rPr>
        <w:t>5</w:t>
      </w:r>
      <w:r w:rsidRPr="0008328C">
        <w:rPr>
          <w:color w:val="000000"/>
          <w:shd w:val="clear" w:color="auto" w:fill="FFFFFF"/>
        </w:rPr>
        <w:t>, 2015, defendant called police and stat</w:t>
      </w:r>
      <w:r w:rsidRPr="0008328C">
        <w:rPr>
          <w:color w:val="000000"/>
          <w:shd w:val="clear" w:color="auto" w:fill="FFFFFF"/>
        </w:rPr>
        <w:t xml:space="preserve">ed that “he believed someone was outside of his house.”  In both instances, the police responded and determined </w:t>
      </w:r>
      <w:r>
        <w:rPr>
          <w:color w:val="000000"/>
          <w:shd w:val="clear" w:color="auto" w:fill="FFFFFF"/>
        </w:rPr>
        <w:t xml:space="preserve">that </w:t>
      </w:r>
      <w:r w:rsidRPr="0008328C">
        <w:rPr>
          <w:color w:val="000000"/>
          <w:shd w:val="clear" w:color="auto" w:fill="FFFFFF"/>
        </w:rPr>
        <w:t>no one was there.  “[R]esponding officers suspected that [defendant] was out of touch with reality and might be suffering from mental healt</w:t>
      </w:r>
      <w:r w:rsidRPr="0008328C">
        <w:rPr>
          <w:color w:val="000000"/>
          <w:shd w:val="clear" w:color="auto" w:fill="FFFFFF"/>
        </w:rPr>
        <w:t>h issues.”</w:t>
      </w:r>
    </w:p>
    <w:p w:rsidR="00F911C0" w:rsidRDefault="005300CC" w:rsidP="0008328C">
      <w:pPr>
        <w:ind w:firstLine="720"/>
        <w:rPr>
          <w:color w:val="000000"/>
          <w:shd w:val="clear" w:color="auto" w:fill="FFFFFF"/>
        </w:rPr>
      </w:pPr>
      <w:r w:rsidRPr="0008328C">
        <w:rPr>
          <w:color w:val="000000"/>
          <w:shd w:val="clear" w:color="auto" w:fill="FFFFFF"/>
        </w:rPr>
        <w:t xml:space="preserve">S.S. </w:t>
      </w:r>
      <w:r>
        <w:rPr>
          <w:color w:val="000000"/>
          <w:shd w:val="clear" w:color="auto" w:fill="FFFFFF"/>
        </w:rPr>
        <w:t>had told D</w:t>
      </w:r>
      <w:r w:rsidRPr="0008328C">
        <w:rPr>
          <w:color w:val="000000"/>
          <w:shd w:val="clear" w:color="auto" w:fill="FFFFFF"/>
        </w:rPr>
        <w:t>etective</w:t>
      </w:r>
      <w:r>
        <w:rPr>
          <w:color w:val="000000"/>
          <w:shd w:val="clear" w:color="auto" w:fill="FFFFFF"/>
        </w:rPr>
        <w:t xml:space="preserve"> Bulatao</w:t>
      </w:r>
      <w:r w:rsidRPr="0008328C">
        <w:rPr>
          <w:color w:val="000000"/>
          <w:shd w:val="clear" w:color="auto" w:fill="FFFFFF"/>
        </w:rPr>
        <w:t xml:space="preserve"> that defendant previously had been to S.S.’s home and was “well aware [of] where [S.S.] lived.”   Defendant was also aware that S.S.’s residence had no alarm or security cameras “because they had discussed this pr</w:t>
      </w:r>
      <w:r w:rsidRPr="0008328C">
        <w:rPr>
          <w:color w:val="000000"/>
          <w:shd w:val="clear" w:color="auto" w:fill="FFFFFF"/>
        </w:rPr>
        <w:t>eviously.”</w:t>
      </w:r>
    </w:p>
    <w:p w:rsidR="00E93BE5" w:rsidRDefault="005300CC" w:rsidP="00E93BE5">
      <w:pPr>
        <w:ind w:firstLine="720"/>
        <w:rPr>
          <w:color w:val="000000"/>
          <w:shd w:val="clear" w:color="auto" w:fill="FFFFFF"/>
        </w:rPr>
      </w:pPr>
      <w:r>
        <w:rPr>
          <w:color w:val="000000"/>
          <w:shd w:val="clear" w:color="auto" w:fill="FFFFFF"/>
        </w:rPr>
        <w:t xml:space="preserve">S.S. </w:t>
      </w:r>
      <w:r w:rsidRPr="0008328C">
        <w:rPr>
          <w:color w:val="000000"/>
          <w:shd w:val="clear" w:color="auto" w:fill="FFFFFF"/>
        </w:rPr>
        <w:t>told Detective Bulatao that</w:t>
      </w:r>
      <w:r>
        <w:rPr>
          <w:color w:val="000000"/>
          <w:shd w:val="clear" w:color="auto" w:fill="FFFFFF"/>
        </w:rPr>
        <w:t xml:space="preserve"> he had spoken with several other SAP </w:t>
      </w:r>
      <w:r w:rsidRPr="0008328C">
        <w:rPr>
          <w:color w:val="000000"/>
          <w:shd w:val="clear" w:color="auto" w:fill="FFFFFF"/>
        </w:rPr>
        <w:t>employees</w:t>
      </w:r>
      <w:r>
        <w:rPr>
          <w:color w:val="000000"/>
          <w:shd w:val="clear" w:color="auto" w:fill="FFFFFF"/>
        </w:rPr>
        <w:t xml:space="preserve"> who had worked with defendant, </w:t>
      </w:r>
      <w:r w:rsidRPr="0008328C">
        <w:rPr>
          <w:color w:val="000000"/>
          <w:shd w:val="clear" w:color="auto" w:fill="FFFFFF"/>
        </w:rPr>
        <w:t>including a</w:t>
      </w:r>
      <w:r>
        <w:rPr>
          <w:color w:val="000000"/>
          <w:shd w:val="clear" w:color="auto" w:fill="FFFFFF"/>
        </w:rPr>
        <w:t>nother</w:t>
      </w:r>
      <w:r w:rsidRPr="0008328C">
        <w:rPr>
          <w:color w:val="000000"/>
          <w:shd w:val="clear" w:color="auto" w:fill="FFFFFF"/>
        </w:rPr>
        <w:t xml:space="preserve"> former supervisor, </w:t>
      </w:r>
      <w:r>
        <w:rPr>
          <w:color w:val="000000"/>
          <w:shd w:val="clear" w:color="auto" w:fill="FFFFFF"/>
        </w:rPr>
        <w:t>and they had “disclosed [</w:t>
      </w:r>
      <w:r w:rsidRPr="0008328C">
        <w:rPr>
          <w:color w:val="000000"/>
          <w:shd w:val="clear" w:color="auto" w:fill="FFFFFF"/>
        </w:rPr>
        <w:t>their</w:t>
      </w:r>
      <w:r>
        <w:rPr>
          <w:color w:val="000000"/>
          <w:shd w:val="clear" w:color="auto" w:fill="FFFFFF"/>
        </w:rPr>
        <w:t>]</w:t>
      </w:r>
      <w:r w:rsidRPr="0008328C">
        <w:rPr>
          <w:color w:val="000000"/>
          <w:shd w:val="clear" w:color="auto" w:fill="FFFFFF"/>
        </w:rPr>
        <w:t xml:space="preserve"> concern over </w:t>
      </w:r>
      <w:r>
        <w:rPr>
          <w:color w:val="000000"/>
          <w:shd w:val="clear" w:color="auto" w:fill="FFFFFF"/>
        </w:rPr>
        <w:t>[</w:t>
      </w:r>
      <w:r w:rsidRPr="0008328C">
        <w:rPr>
          <w:color w:val="000000"/>
          <w:shd w:val="clear" w:color="auto" w:fill="FFFFFF"/>
        </w:rPr>
        <w:t>defendant’s</w:t>
      </w:r>
      <w:r>
        <w:rPr>
          <w:color w:val="000000"/>
          <w:shd w:val="clear" w:color="auto" w:fill="FFFFFF"/>
        </w:rPr>
        <w:t>]</w:t>
      </w:r>
      <w:r w:rsidRPr="0008328C">
        <w:rPr>
          <w:color w:val="000000"/>
          <w:shd w:val="clear" w:color="auto" w:fill="FFFFFF"/>
        </w:rPr>
        <w:t xml:space="preserve"> erratic and unpredictable behavior</w:t>
      </w:r>
      <w:r>
        <w:rPr>
          <w:color w:val="000000"/>
          <w:shd w:val="clear" w:color="auto" w:fill="FFFFFF"/>
        </w:rPr>
        <w:t>.</w:t>
      </w:r>
      <w:r w:rsidRPr="0008328C">
        <w:rPr>
          <w:color w:val="000000"/>
          <w:shd w:val="clear" w:color="auto" w:fill="FFFFFF"/>
        </w:rPr>
        <w:t xml:space="preserve">”  S.S. </w:t>
      </w:r>
      <w:r>
        <w:rPr>
          <w:color w:val="000000"/>
          <w:shd w:val="clear" w:color="auto" w:fill="FFFFFF"/>
        </w:rPr>
        <w:t xml:space="preserve">had also seen </w:t>
      </w:r>
      <w:r w:rsidRPr="0008328C">
        <w:rPr>
          <w:color w:val="000000"/>
          <w:shd w:val="clear" w:color="auto" w:fill="FFFFFF"/>
        </w:rPr>
        <w:t xml:space="preserve">defendant display erratic behavior.  </w:t>
      </w:r>
      <w:r>
        <w:rPr>
          <w:color w:val="000000"/>
          <w:shd w:val="clear" w:color="auto" w:fill="FFFFFF"/>
        </w:rPr>
        <w:t>He reported that d</w:t>
      </w:r>
      <w:r w:rsidRPr="0008328C">
        <w:rPr>
          <w:color w:val="000000"/>
          <w:shd w:val="clear" w:color="auto" w:fill="FFFFFF"/>
        </w:rPr>
        <w:t>efendant had “purposely altered their company’s social networking pages (Facebook, Instagram, Twitter) and posted information that was not true</w:t>
      </w:r>
      <w:r w:rsidRPr="0008328C">
        <w:rPr>
          <w:color w:val="000000"/>
          <w:shd w:val="clear" w:color="auto" w:fill="FFFFFF"/>
        </w:rPr>
        <w:t>.”  Defendant had “changed the location of the downtown business with Google maps.”  Defendant had also “listed the downtown location as an office space which was not true and violated an agreement with the Architect Review Board.”</w:t>
      </w:r>
    </w:p>
    <w:p w:rsidR="00E93BE5" w:rsidRPr="0008328C" w:rsidRDefault="005300CC" w:rsidP="00E93BE5">
      <w:pPr>
        <w:ind w:firstLine="720"/>
        <w:rPr>
          <w:color w:val="000000"/>
          <w:shd w:val="clear" w:color="auto" w:fill="FFFFFF"/>
        </w:rPr>
      </w:pPr>
      <w:r w:rsidRPr="0008328C">
        <w:rPr>
          <w:color w:val="000000"/>
          <w:shd w:val="clear" w:color="auto" w:fill="FFFFFF"/>
        </w:rPr>
        <w:t>Defendant had been arres</w:t>
      </w:r>
      <w:r w:rsidRPr="0008328C">
        <w:rPr>
          <w:color w:val="000000"/>
          <w:shd w:val="clear" w:color="auto" w:fill="FFFFFF"/>
        </w:rPr>
        <w:t>ted for assault with a deadly weapon in Los Gatos, California, in 2013.</w:t>
      </w:r>
    </w:p>
    <w:p w:rsidR="00743DC9" w:rsidRPr="0008328C" w:rsidRDefault="005300CC" w:rsidP="0008328C">
      <w:pPr>
        <w:ind w:firstLine="720"/>
        <w:rPr>
          <w:color w:val="000000"/>
          <w:shd w:val="clear" w:color="auto" w:fill="FFFFFF"/>
        </w:rPr>
      </w:pPr>
      <w:r w:rsidRPr="0008328C">
        <w:rPr>
          <w:color w:val="000000"/>
          <w:shd w:val="clear" w:color="auto" w:fill="FFFFFF"/>
        </w:rPr>
        <w:t>Detective Bulatao indicated that based on his training and/or experience it was probable that defendant committed the crime of arson, a violation of section 451, subdivision (b)</w:t>
      </w:r>
      <w:r>
        <w:rPr>
          <w:color w:val="000000"/>
          <w:shd w:val="clear" w:color="auto" w:fill="FFFFFF"/>
        </w:rPr>
        <w:t>.  He b</w:t>
      </w:r>
      <w:r>
        <w:rPr>
          <w:color w:val="000000"/>
          <w:shd w:val="clear" w:color="auto" w:fill="FFFFFF"/>
        </w:rPr>
        <w:t>ased his conclusion</w:t>
      </w:r>
      <w:r w:rsidRPr="0008328C">
        <w:rPr>
          <w:color w:val="000000"/>
          <w:shd w:val="clear" w:color="auto" w:fill="FFFFFF"/>
        </w:rPr>
        <w:t xml:space="preserve"> on (1)  “the specificity of the location of the arson” in a residential area “where few people would have any reason to go” without “a specific connection to [the] houses on that street;” (2) defendant’s recent termination </w:t>
      </w:r>
      <w:r>
        <w:rPr>
          <w:color w:val="000000"/>
          <w:shd w:val="clear" w:color="auto" w:fill="FFFFFF"/>
        </w:rPr>
        <w:t xml:space="preserve">from SAP </w:t>
      </w:r>
      <w:r w:rsidRPr="0008328C">
        <w:rPr>
          <w:color w:val="000000"/>
          <w:shd w:val="clear" w:color="auto" w:fill="FFFFFF"/>
        </w:rPr>
        <w:t xml:space="preserve">and </w:t>
      </w:r>
      <w:r w:rsidRPr="0008328C">
        <w:rPr>
          <w:color w:val="000000"/>
          <w:shd w:val="clear" w:color="auto" w:fill="FFFFFF"/>
        </w:rPr>
        <w:t>his stated displeasure with S.S.; (3) the cockroach incident</w:t>
      </w:r>
      <w:r>
        <w:rPr>
          <w:color w:val="000000"/>
          <w:shd w:val="clear" w:color="auto" w:fill="FFFFFF"/>
        </w:rPr>
        <w:t xml:space="preserve"> (as to which S.S. had identified defendant as the culprit);</w:t>
      </w:r>
      <w:r w:rsidRPr="0008328C">
        <w:rPr>
          <w:color w:val="000000"/>
          <w:shd w:val="clear" w:color="auto" w:fill="FFFFFF"/>
        </w:rPr>
        <w:t xml:space="preserve"> (4) </w:t>
      </w:r>
      <w:r>
        <w:rPr>
          <w:color w:val="000000"/>
          <w:shd w:val="clear" w:color="auto" w:fill="FFFFFF"/>
        </w:rPr>
        <w:t>the incident of the</w:t>
      </w:r>
      <w:r w:rsidRPr="0008328C">
        <w:rPr>
          <w:color w:val="000000"/>
          <w:shd w:val="clear" w:color="auto" w:fill="FFFFFF"/>
        </w:rPr>
        <w:t xml:space="preserve"> Craigslist ad</w:t>
      </w:r>
      <w:r>
        <w:rPr>
          <w:color w:val="000000"/>
          <w:shd w:val="clear" w:color="auto" w:fill="FFFFFF"/>
        </w:rPr>
        <w:t xml:space="preserve"> (in which </w:t>
      </w:r>
      <w:r w:rsidRPr="0008328C">
        <w:rPr>
          <w:color w:val="000000"/>
          <w:shd w:val="clear" w:color="auto" w:fill="FFFFFF"/>
        </w:rPr>
        <w:t>the</w:t>
      </w:r>
      <w:r>
        <w:rPr>
          <w:color w:val="000000"/>
          <w:shd w:val="clear" w:color="auto" w:fill="FFFFFF"/>
        </w:rPr>
        <w:t xml:space="preserve"> below-market ad listed S.S.’s private cell phone number)</w:t>
      </w:r>
      <w:r w:rsidRPr="0008328C">
        <w:rPr>
          <w:color w:val="000000"/>
          <w:shd w:val="clear" w:color="auto" w:fill="FFFFFF"/>
        </w:rPr>
        <w:t>; and (5) defendant’s errat</w:t>
      </w:r>
      <w:r w:rsidRPr="0008328C">
        <w:rPr>
          <w:color w:val="000000"/>
          <w:shd w:val="clear" w:color="auto" w:fill="FFFFFF"/>
        </w:rPr>
        <w:t>ic behavior reported by Kaiser and observed by police.</w:t>
      </w:r>
    </w:p>
    <w:p w:rsidR="009050AA" w:rsidRPr="0008328C" w:rsidRDefault="005300CC" w:rsidP="0008328C">
      <w:pPr>
        <w:ind w:firstLine="720"/>
        <w:rPr>
          <w:color w:val="000000"/>
          <w:shd w:val="clear" w:color="auto" w:fill="FFFFFF"/>
        </w:rPr>
      </w:pPr>
      <w:r>
        <w:rPr>
          <w:color w:val="000000"/>
          <w:shd w:val="clear" w:color="auto" w:fill="FFFFFF"/>
        </w:rPr>
        <w:t>B</w:t>
      </w:r>
      <w:r w:rsidRPr="0008328C">
        <w:rPr>
          <w:color w:val="000000"/>
          <w:shd w:val="clear" w:color="auto" w:fill="FFFFFF"/>
        </w:rPr>
        <w:t xml:space="preserve">ased on </w:t>
      </w:r>
      <w:r>
        <w:rPr>
          <w:color w:val="000000"/>
          <w:shd w:val="clear" w:color="auto" w:fill="FFFFFF"/>
        </w:rPr>
        <w:t xml:space="preserve">his </w:t>
      </w:r>
      <w:r w:rsidRPr="0008328C">
        <w:rPr>
          <w:color w:val="000000"/>
          <w:shd w:val="clear" w:color="auto" w:fill="FFFFFF"/>
        </w:rPr>
        <w:t xml:space="preserve">experience that people often keep receipts from recent purchases, Detective Bulatao </w:t>
      </w:r>
      <w:r>
        <w:rPr>
          <w:color w:val="000000"/>
          <w:shd w:val="clear" w:color="auto" w:fill="FFFFFF"/>
        </w:rPr>
        <w:t xml:space="preserve">stated his </w:t>
      </w:r>
      <w:r w:rsidRPr="0008328C">
        <w:rPr>
          <w:color w:val="000000"/>
          <w:shd w:val="clear" w:color="auto" w:fill="FFFFFF"/>
        </w:rPr>
        <w:t>belie</w:t>
      </w:r>
      <w:r>
        <w:rPr>
          <w:color w:val="000000"/>
          <w:shd w:val="clear" w:color="auto" w:fill="FFFFFF"/>
        </w:rPr>
        <w:t>f</w:t>
      </w:r>
      <w:r w:rsidRPr="0008328C">
        <w:rPr>
          <w:color w:val="000000"/>
          <w:shd w:val="clear" w:color="auto" w:fill="FFFFFF"/>
        </w:rPr>
        <w:t xml:space="preserve"> that receipts from purchases of “items pertaining to [the] investigation (i.e. gas pur</w:t>
      </w:r>
      <w:r w:rsidRPr="0008328C">
        <w:rPr>
          <w:color w:val="000000"/>
          <w:shd w:val="clear" w:color="auto" w:fill="FFFFFF"/>
        </w:rPr>
        <w:t>chases, towels, canisters)”</w:t>
      </w:r>
      <w:r>
        <w:rPr>
          <w:color w:val="000000"/>
          <w:shd w:val="clear" w:color="auto" w:fill="FFFFFF"/>
        </w:rPr>
        <w:t xml:space="preserve"> would be found in defendant’s residence.</w:t>
      </w:r>
      <w:r w:rsidRPr="0008328C">
        <w:rPr>
          <w:color w:val="000000"/>
          <w:shd w:val="clear" w:color="auto" w:fill="FFFFFF"/>
        </w:rPr>
        <w:t xml:space="preserve">  He </w:t>
      </w:r>
      <w:r>
        <w:rPr>
          <w:color w:val="000000"/>
          <w:shd w:val="clear" w:color="auto" w:fill="FFFFFF"/>
        </w:rPr>
        <w:t xml:space="preserve">also </w:t>
      </w:r>
      <w:r w:rsidRPr="0008328C">
        <w:rPr>
          <w:color w:val="000000"/>
          <w:shd w:val="clear" w:color="auto" w:fill="FFFFFF"/>
        </w:rPr>
        <w:t>stated</w:t>
      </w:r>
      <w:r>
        <w:rPr>
          <w:color w:val="000000"/>
          <w:shd w:val="clear" w:color="auto" w:fill="FFFFFF"/>
        </w:rPr>
        <w:t>,</w:t>
      </w:r>
      <w:r w:rsidRPr="0008328C">
        <w:rPr>
          <w:color w:val="000000"/>
          <w:shd w:val="clear" w:color="auto" w:fill="FFFFFF"/>
        </w:rPr>
        <w:t xml:space="preserve"> based on his training and experience</w:t>
      </w:r>
      <w:r>
        <w:rPr>
          <w:color w:val="000000"/>
          <w:shd w:val="clear" w:color="auto" w:fill="FFFFFF"/>
        </w:rPr>
        <w:t>,</w:t>
      </w:r>
      <w:r w:rsidRPr="0008328C">
        <w:rPr>
          <w:color w:val="000000"/>
          <w:shd w:val="clear" w:color="auto" w:fill="FFFFFF"/>
        </w:rPr>
        <w:t xml:space="preserve"> that he knew that fire accelerant is “contained in canisters or other containers,” that “persons who use accelerants to soak rags, s</w:t>
      </w:r>
      <w:r w:rsidRPr="0008328C">
        <w:rPr>
          <w:color w:val="000000"/>
          <w:shd w:val="clear" w:color="auto" w:fill="FFFFFF"/>
        </w:rPr>
        <w:t>uch as the blue towels in this case, may do so in the safety of their homes to avoid detection,” that “those canisters or other containers of accelerant may be found if a search is conducted,” and that “when a specific item is used in a crime—in this case,</w:t>
      </w:r>
      <w:r w:rsidRPr="0008328C">
        <w:rPr>
          <w:color w:val="000000"/>
          <w:shd w:val="clear" w:color="auto" w:fill="FFFFFF"/>
        </w:rPr>
        <w:t xml:space="preserve"> blue towels cut into rags”—“often more of the same type of items will be found in a person’s home.”  The detective believed that “a certified canine</w:t>
      </w:r>
      <w:r>
        <w:rPr>
          <w:color w:val="000000"/>
          <w:shd w:val="clear" w:color="auto" w:fill="FFFFFF"/>
        </w:rPr>
        <w:t>” would provide “</w:t>
      </w:r>
      <w:r w:rsidRPr="0008328C">
        <w:rPr>
          <w:color w:val="000000"/>
          <w:shd w:val="clear" w:color="auto" w:fill="FFFFFF"/>
        </w:rPr>
        <w:t>great assistance in locating the presence of accelerant</w:t>
      </w:r>
      <w:r>
        <w:rPr>
          <w:color w:val="000000"/>
          <w:shd w:val="clear" w:color="auto" w:fill="FFFFFF"/>
        </w:rPr>
        <w:t>.</w:t>
      </w:r>
      <w:r w:rsidRPr="0008328C">
        <w:rPr>
          <w:color w:val="000000"/>
          <w:shd w:val="clear" w:color="auto" w:fill="FFFFFF"/>
        </w:rPr>
        <w:t xml:space="preserve">” </w:t>
      </w:r>
      <w:r>
        <w:rPr>
          <w:color w:val="000000"/>
          <w:shd w:val="clear" w:color="auto" w:fill="FFFFFF"/>
        </w:rPr>
        <w:t xml:space="preserve"> The detective also knew, based </w:t>
      </w:r>
      <w:r>
        <w:rPr>
          <w:color w:val="000000"/>
          <w:shd w:val="clear" w:color="auto" w:fill="FFFFFF"/>
        </w:rPr>
        <w:t xml:space="preserve">on his </w:t>
      </w:r>
      <w:r w:rsidRPr="0008328C">
        <w:rPr>
          <w:color w:val="000000"/>
          <w:shd w:val="clear" w:color="auto" w:fill="FFFFFF"/>
        </w:rPr>
        <w:t>training and/or experience</w:t>
      </w:r>
      <w:r>
        <w:rPr>
          <w:color w:val="000000"/>
          <w:shd w:val="clear" w:color="auto" w:fill="FFFFFF"/>
        </w:rPr>
        <w:t xml:space="preserve">, </w:t>
      </w:r>
      <w:r w:rsidRPr="0008328C">
        <w:rPr>
          <w:color w:val="000000"/>
          <w:shd w:val="clear" w:color="auto" w:fill="FFFFFF"/>
        </w:rPr>
        <w:t xml:space="preserve">that “liquids </w:t>
      </w:r>
      <w:r>
        <w:rPr>
          <w:color w:val="000000"/>
          <w:shd w:val="clear" w:color="auto" w:fill="FFFFFF"/>
        </w:rPr>
        <w:t>[</w:t>
      </w:r>
      <w:r w:rsidRPr="0008328C">
        <w:rPr>
          <w:color w:val="000000"/>
          <w:shd w:val="clear" w:color="auto" w:fill="FFFFFF"/>
        </w:rPr>
        <w:t>such</w:t>
      </w:r>
      <w:r>
        <w:rPr>
          <w:color w:val="000000"/>
          <w:shd w:val="clear" w:color="auto" w:fill="FFFFFF"/>
        </w:rPr>
        <w:t>]</w:t>
      </w:r>
      <w:r w:rsidRPr="0008328C">
        <w:rPr>
          <w:color w:val="000000"/>
          <w:shd w:val="clear" w:color="auto" w:fill="FFFFFF"/>
        </w:rPr>
        <w:t xml:space="preserve"> as a fire accelerant can often spill onto a person’s clothes,” </w:t>
      </w:r>
      <w:r>
        <w:rPr>
          <w:color w:val="000000"/>
          <w:shd w:val="clear" w:color="auto" w:fill="FFFFFF"/>
        </w:rPr>
        <w:t xml:space="preserve">that </w:t>
      </w:r>
      <w:r w:rsidRPr="0008328C">
        <w:rPr>
          <w:color w:val="000000"/>
          <w:shd w:val="clear" w:color="auto" w:fill="FFFFFF"/>
        </w:rPr>
        <w:t xml:space="preserve">“dogs trained in accelerant detection can alert to the presence or non-presence of an accelerant,” and </w:t>
      </w:r>
      <w:r>
        <w:rPr>
          <w:color w:val="000000"/>
          <w:shd w:val="clear" w:color="auto" w:fill="FFFFFF"/>
        </w:rPr>
        <w:t xml:space="preserve">that </w:t>
      </w:r>
      <w:r w:rsidRPr="0008328C">
        <w:rPr>
          <w:color w:val="000000"/>
          <w:shd w:val="clear" w:color="auto" w:fill="FFFFFF"/>
        </w:rPr>
        <w:t>“personal items of cloth</w:t>
      </w:r>
      <w:r w:rsidRPr="0008328C">
        <w:rPr>
          <w:color w:val="000000"/>
          <w:shd w:val="clear" w:color="auto" w:fill="FFFFFF"/>
        </w:rPr>
        <w:t>ing will be found in a person’s residence.”</w:t>
      </w:r>
    </w:p>
    <w:p w:rsidR="009050AA" w:rsidRPr="0008328C" w:rsidRDefault="005300CC" w:rsidP="0008328C">
      <w:pPr>
        <w:ind w:firstLine="720"/>
        <w:rPr>
          <w:color w:val="000000"/>
          <w:shd w:val="clear" w:color="auto" w:fill="FFFFFF"/>
        </w:rPr>
      </w:pPr>
      <w:r w:rsidRPr="0008328C">
        <w:rPr>
          <w:color w:val="000000"/>
          <w:shd w:val="clear" w:color="auto" w:fill="FFFFFF"/>
        </w:rPr>
        <w:t>Detective Bu</w:t>
      </w:r>
      <w:r>
        <w:rPr>
          <w:color w:val="000000"/>
          <w:shd w:val="clear" w:color="auto" w:fill="FFFFFF"/>
        </w:rPr>
        <w:t>l</w:t>
      </w:r>
      <w:r w:rsidRPr="0008328C">
        <w:rPr>
          <w:color w:val="000000"/>
          <w:shd w:val="clear" w:color="auto" w:fill="FFFFFF"/>
        </w:rPr>
        <w:t>atao also believed</w:t>
      </w:r>
      <w:r>
        <w:rPr>
          <w:color w:val="000000"/>
          <w:shd w:val="clear" w:color="auto" w:fill="FFFFFF"/>
        </w:rPr>
        <w:t>,</w:t>
      </w:r>
      <w:r w:rsidRPr="0008328C">
        <w:rPr>
          <w:color w:val="000000"/>
          <w:shd w:val="clear" w:color="auto" w:fill="FFFFFF"/>
        </w:rPr>
        <w:t xml:space="preserve"> based on his training and experience</w:t>
      </w:r>
      <w:r>
        <w:rPr>
          <w:color w:val="000000"/>
          <w:shd w:val="clear" w:color="auto" w:fill="FFFFFF"/>
        </w:rPr>
        <w:t>,</w:t>
      </w:r>
      <w:r w:rsidRPr="0008328C">
        <w:rPr>
          <w:color w:val="000000"/>
          <w:shd w:val="clear" w:color="auto" w:fill="FFFFFF"/>
        </w:rPr>
        <w:t xml:space="preserve"> that it was “probable that the evidence associated with the crime scene may be able to be analyzed forensically for fingerprints and/or DNA and that a comparison with [defendant’s] fingerprints and/or DNA would help identify the perpetrator of the crime.”</w:t>
      </w:r>
      <w:r w:rsidRPr="0008328C">
        <w:rPr>
          <w:color w:val="000000"/>
          <w:shd w:val="clear" w:color="auto" w:fill="FFFFFF"/>
        </w:rPr>
        <w:t xml:space="preserve"> </w:t>
      </w:r>
      <w:r>
        <w:rPr>
          <w:color w:val="000000"/>
          <w:shd w:val="clear" w:color="auto" w:fill="FFFFFF"/>
        </w:rPr>
        <w:t xml:space="preserve"> To</w:t>
      </w:r>
      <w:r w:rsidRPr="0008328C">
        <w:rPr>
          <w:color w:val="000000"/>
          <w:shd w:val="clear" w:color="auto" w:fill="FFFFFF"/>
        </w:rPr>
        <w:t xml:space="preserve"> preserve any evidence of Internet searches related to the arson, phone calls received or made,</w:t>
      </w:r>
      <w:r>
        <w:rPr>
          <w:color w:val="000000"/>
          <w:shd w:val="clear" w:color="auto" w:fill="FFFFFF"/>
        </w:rPr>
        <w:t xml:space="preserve"> and</w:t>
      </w:r>
      <w:r w:rsidRPr="0008328C">
        <w:rPr>
          <w:color w:val="000000"/>
          <w:shd w:val="clear" w:color="auto" w:fill="FFFFFF"/>
        </w:rPr>
        <w:t xml:space="preserve"> information as to the phone’s location, the detective requested that “any devices that appear capable of an </w:t>
      </w:r>
      <w:r>
        <w:rPr>
          <w:color w:val="000000"/>
          <w:shd w:val="clear" w:color="auto" w:fill="FFFFFF"/>
        </w:rPr>
        <w:t>[I]</w:t>
      </w:r>
      <w:r w:rsidRPr="0008328C">
        <w:rPr>
          <w:color w:val="000000"/>
          <w:shd w:val="clear" w:color="auto" w:fill="FFFFFF"/>
        </w:rPr>
        <w:t>nternet connection and specifically any c</w:t>
      </w:r>
      <w:r w:rsidRPr="0008328C">
        <w:rPr>
          <w:color w:val="000000"/>
          <w:shd w:val="clear" w:color="auto" w:fill="FFFFFF"/>
        </w:rPr>
        <w:t xml:space="preserve">ellular telephone or computer be seized </w:t>
      </w:r>
      <w:r>
        <w:rPr>
          <w:color w:val="000000"/>
          <w:shd w:val="clear" w:color="auto" w:fill="FFFFFF"/>
        </w:rPr>
        <w:t>s</w:t>
      </w:r>
      <w:r w:rsidRPr="0008328C">
        <w:rPr>
          <w:color w:val="000000"/>
          <w:shd w:val="clear" w:color="auto" w:fill="FFFFFF"/>
        </w:rPr>
        <w:t>o that a search warrant that complies with the requirements of the Electronic Communications Privacy Act can be obtained.”</w:t>
      </w:r>
    </w:p>
    <w:p w:rsidR="00A97CD9" w:rsidRPr="0008328C" w:rsidRDefault="005300CC" w:rsidP="0008328C">
      <w:pPr>
        <w:rPr>
          <w:color w:val="000000"/>
          <w:shd w:val="clear" w:color="auto" w:fill="FFFFFF"/>
        </w:rPr>
      </w:pPr>
      <w:r w:rsidRPr="0008328C">
        <w:rPr>
          <w:color w:val="000000"/>
          <w:shd w:val="clear" w:color="auto" w:fill="FFFFFF"/>
        </w:rPr>
        <w:tab/>
        <w:t>The court denied defendant’s motion to traverse the search warrants and suppress evidence.</w:t>
      </w:r>
    </w:p>
    <w:p w:rsidR="00A37165" w:rsidRPr="0008328C" w:rsidRDefault="005300CC" w:rsidP="009D2D4C">
      <w:pPr>
        <w:keepNext/>
        <w:rPr>
          <w:i/>
          <w:color w:val="000000"/>
          <w:shd w:val="clear" w:color="auto" w:fill="FFFFFF"/>
        </w:rPr>
      </w:pPr>
      <w:r w:rsidRPr="0008328C">
        <w:rPr>
          <w:color w:val="000000"/>
          <w:shd w:val="clear" w:color="auto" w:fill="FFFFFF"/>
        </w:rPr>
        <w:t xml:space="preserve">2.  </w:t>
      </w:r>
      <w:r w:rsidRPr="0008328C">
        <w:rPr>
          <w:i/>
          <w:color w:val="000000"/>
          <w:shd w:val="clear" w:color="auto" w:fill="FFFFFF"/>
        </w:rPr>
        <w:t xml:space="preserve">Validity of </w:t>
      </w:r>
      <w:r>
        <w:rPr>
          <w:i/>
          <w:color w:val="000000"/>
          <w:shd w:val="clear" w:color="auto" w:fill="FFFFFF"/>
        </w:rPr>
        <w:t xml:space="preserve">the </w:t>
      </w:r>
      <w:r w:rsidRPr="0008328C">
        <w:rPr>
          <w:i/>
          <w:color w:val="000000"/>
          <w:shd w:val="clear" w:color="auto" w:fill="FFFFFF"/>
        </w:rPr>
        <w:t>Search Warrant</w:t>
      </w:r>
    </w:p>
    <w:p w:rsidR="00A37165" w:rsidRPr="0008328C" w:rsidRDefault="005300CC" w:rsidP="009D2D4C">
      <w:pPr>
        <w:keepNext/>
        <w:rPr>
          <w:color w:val="000000"/>
          <w:shd w:val="clear" w:color="auto" w:fill="FFFFFF"/>
        </w:rPr>
      </w:pPr>
      <w:r w:rsidRPr="0008328C">
        <w:rPr>
          <w:color w:val="000000"/>
          <w:shd w:val="clear" w:color="auto" w:fill="FFFFFF"/>
        </w:rPr>
        <w:t xml:space="preserve">a.  </w:t>
      </w:r>
      <w:r w:rsidRPr="0008328C">
        <w:rPr>
          <w:i/>
          <w:color w:val="000000"/>
          <w:shd w:val="clear" w:color="auto" w:fill="FFFFFF"/>
        </w:rPr>
        <w:t>Governing Law</w:t>
      </w:r>
    </w:p>
    <w:p w:rsidR="00A37165" w:rsidRPr="0008328C" w:rsidRDefault="005300CC" w:rsidP="0008328C">
      <w:pPr>
        <w:ind w:firstLine="720"/>
        <w:rPr>
          <w:color w:val="000000"/>
          <w:shd w:val="clear" w:color="auto" w:fill="FFFFFF"/>
        </w:rPr>
      </w:pPr>
      <w:r w:rsidRPr="0008328C">
        <w:rPr>
          <w:color w:val="000000"/>
          <w:shd w:val="clear" w:color="auto" w:fill="FFFFFF"/>
        </w:rPr>
        <w:t>“The Fourth Amendment to the United States Constitution prohibits ‘unreasonable searches and seizures’ and requires search warrants to be issued only upon a showing of ‘probable cause’ describing with pa</w:t>
      </w:r>
      <w:r w:rsidRPr="0008328C">
        <w:rPr>
          <w:color w:val="000000"/>
          <w:shd w:val="clear" w:color="auto" w:fill="FFFFFF"/>
        </w:rPr>
        <w:t>rticularity ‘the place to be searched, and the</w:t>
      </w:r>
      <w:r>
        <w:rPr>
          <w:color w:val="000000"/>
          <w:shd w:val="clear" w:color="auto" w:fill="FFFFFF"/>
        </w:rPr>
        <w:t> </w:t>
      </w:r>
      <w:r w:rsidRPr="0008328C">
        <w:rPr>
          <w:color w:val="000000"/>
          <w:shd w:val="clear" w:color="auto" w:fill="FFFFFF"/>
        </w:rPr>
        <w:t>. . . things to be seized.’  (U.S. Const., 4th Amend.)”  (</w:t>
      </w:r>
      <w:r w:rsidRPr="0008328C">
        <w:rPr>
          <w:i/>
          <w:color w:val="000000"/>
          <w:shd w:val="clear" w:color="auto" w:fill="FFFFFF"/>
        </w:rPr>
        <w:t>People v</w:t>
      </w:r>
      <w:r w:rsidRPr="002C761E">
        <w:rPr>
          <w:color w:val="000000"/>
          <w:shd w:val="clear" w:color="auto" w:fill="FFFFFF"/>
        </w:rPr>
        <w:t xml:space="preserve">. </w:t>
      </w:r>
      <w:r w:rsidRPr="0008328C">
        <w:rPr>
          <w:i/>
          <w:color w:val="000000"/>
          <w:shd w:val="clear" w:color="auto" w:fill="FFFFFF"/>
        </w:rPr>
        <w:t>Westerfield</w:t>
      </w:r>
      <w:r w:rsidRPr="0008328C">
        <w:rPr>
          <w:color w:val="000000"/>
          <w:shd w:val="clear" w:color="auto" w:fill="FFFFFF"/>
        </w:rPr>
        <w:t xml:space="preserve"> (2019) 6 Cal.5th 632, 659 (</w:t>
      </w:r>
      <w:r w:rsidRPr="0008328C">
        <w:rPr>
          <w:i/>
          <w:color w:val="000000"/>
          <w:shd w:val="clear" w:color="auto" w:fill="FFFFFF"/>
        </w:rPr>
        <w:t>Westerfield</w:t>
      </w:r>
      <w:r w:rsidRPr="0008328C">
        <w:rPr>
          <w:color w:val="000000"/>
          <w:shd w:val="clear" w:color="auto" w:fill="FFFFFF"/>
        </w:rPr>
        <w:t>).)  “[P]robable cause does not demand the certainty we associate with formal trials.”  (</w:t>
      </w:r>
      <w:r w:rsidRPr="0008328C">
        <w:rPr>
          <w:i/>
          <w:color w:val="000000"/>
          <w:shd w:val="clear" w:color="auto" w:fill="FFFFFF"/>
        </w:rPr>
        <w:t>Il</w:t>
      </w:r>
      <w:r w:rsidRPr="0008328C">
        <w:rPr>
          <w:i/>
          <w:color w:val="000000"/>
          <w:shd w:val="clear" w:color="auto" w:fill="FFFFFF"/>
        </w:rPr>
        <w:t>linois v</w:t>
      </w:r>
      <w:r w:rsidRPr="002C761E">
        <w:rPr>
          <w:color w:val="000000"/>
          <w:shd w:val="clear" w:color="auto" w:fill="FFFFFF"/>
        </w:rPr>
        <w:t xml:space="preserve">. </w:t>
      </w:r>
      <w:r w:rsidRPr="0008328C">
        <w:rPr>
          <w:i/>
          <w:color w:val="000000"/>
          <w:shd w:val="clear" w:color="auto" w:fill="FFFFFF"/>
        </w:rPr>
        <w:t>Gates</w:t>
      </w:r>
      <w:r w:rsidRPr="0008328C">
        <w:rPr>
          <w:color w:val="000000"/>
          <w:shd w:val="clear" w:color="auto" w:fill="FFFFFF"/>
        </w:rPr>
        <w:t xml:space="preserve"> (1983) 462 U.S. 213, 246 (</w:t>
      </w:r>
      <w:r w:rsidRPr="0008328C">
        <w:rPr>
          <w:i/>
          <w:color w:val="000000"/>
          <w:shd w:val="clear" w:color="auto" w:fill="FFFFFF"/>
        </w:rPr>
        <w:t>Gates</w:t>
      </w:r>
      <w:r w:rsidRPr="0008328C">
        <w:rPr>
          <w:color w:val="000000"/>
          <w:shd w:val="clear" w:color="auto" w:fill="FFFFFF"/>
        </w:rPr>
        <w:t>).)</w:t>
      </w:r>
    </w:p>
    <w:p w:rsidR="00A36CB3" w:rsidRDefault="005300CC" w:rsidP="0008328C">
      <w:pPr>
        <w:ind w:firstLine="720"/>
        <w:rPr>
          <w:color w:val="000000"/>
          <w:shd w:val="clear" w:color="auto" w:fill="FFFFFF"/>
        </w:rPr>
      </w:pPr>
      <w:r w:rsidRPr="0008328C">
        <w:rPr>
          <w:color w:val="000000"/>
          <w:shd w:val="clear" w:color="auto" w:fill="FFFFFF"/>
        </w:rPr>
        <w:t>“The showing required in order to establish probable cause is less than a preponderance of the evidence or even a prima facie case.  (</w:t>
      </w:r>
      <w:r w:rsidRPr="0008328C">
        <w:rPr>
          <w:i/>
          <w:color w:val="000000"/>
          <w:shd w:val="clear" w:color="auto" w:fill="FFFFFF"/>
        </w:rPr>
        <w:t>Illinois v</w:t>
      </w:r>
      <w:r w:rsidRPr="002C761E">
        <w:rPr>
          <w:color w:val="000000"/>
          <w:shd w:val="clear" w:color="auto" w:fill="FFFFFF"/>
        </w:rPr>
        <w:t xml:space="preserve">. </w:t>
      </w:r>
      <w:r w:rsidRPr="0008328C">
        <w:rPr>
          <w:i/>
          <w:color w:val="000000"/>
          <w:shd w:val="clear" w:color="auto" w:fill="FFFFFF"/>
        </w:rPr>
        <w:t>Gates</w:t>
      </w:r>
      <w:r w:rsidRPr="0008328C">
        <w:rPr>
          <w:color w:val="000000"/>
          <w:shd w:val="clear" w:color="auto" w:fill="FFFFFF"/>
        </w:rPr>
        <w:t xml:space="preserve">, </w:t>
      </w:r>
      <w:r w:rsidRPr="0008328C">
        <w:rPr>
          <w:i/>
          <w:color w:val="000000"/>
          <w:shd w:val="clear" w:color="auto" w:fill="FFFFFF"/>
        </w:rPr>
        <w:t>supra</w:t>
      </w:r>
      <w:r w:rsidRPr="0008328C">
        <w:rPr>
          <w:color w:val="000000"/>
          <w:shd w:val="clear" w:color="auto" w:fill="FFFFFF"/>
        </w:rPr>
        <w:t>, 462 U.S. at p. 235.)”  (</w:t>
      </w:r>
      <w:r w:rsidRPr="0008328C">
        <w:rPr>
          <w:i/>
          <w:color w:val="000000"/>
          <w:shd w:val="clear" w:color="auto" w:fill="FFFFFF"/>
        </w:rPr>
        <w:t>People v</w:t>
      </w:r>
      <w:r w:rsidRPr="002C761E">
        <w:rPr>
          <w:color w:val="000000"/>
          <w:shd w:val="clear" w:color="auto" w:fill="FFFFFF"/>
        </w:rPr>
        <w:t xml:space="preserve">. </w:t>
      </w:r>
      <w:r w:rsidRPr="0008328C">
        <w:rPr>
          <w:i/>
          <w:color w:val="000000"/>
          <w:shd w:val="clear" w:color="auto" w:fill="FFFFFF"/>
        </w:rPr>
        <w:t>Carrington</w:t>
      </w:r>
      <w:r w:rsidRPr="0008328C">
        <w:rPr>
          <w:color w:val="000000"/>
          <w:shd w:val="clear" w:color="auto" w:fill="FFFFFF"/>
        </w:rPr>
        <w:t xml:space="preserve"> (2009) 47 Cal.4th 145, 163.) </w:t>
      </w:r>
      <w:r>
        <w:rPr>
          <w:color w:val="000000"/>
          <w:shd w:val="clear" w:color="auto" w:fill="FFFFFF"/>
        </w:rPr>
        <w:t xml:space="preserve"> </w:t>
      </w:r>
      <w:r w:rsidRPr="0008328C">
        <w:rPr>
          <w:color w:val="000000"/>
          <w:shd w:val="clear" w:color="auto" w:fill="FFFFFF"/>
        </w:rPr>
        <w:t xml:space="preserve">“The pertinent rules governing a Fourth Amendment challenge to the validity of a search warrant, and the search conducted pursuant to it, are well-settled.  ‘The question facing a reviewing court asked to determine </w:t>
      </w:r>
      <w:r w:rsidRPr="0008328C">
        <w:rPr>
          <w:color w:val="000000"/>
          <w:shd w:val="clear" w:color="auto" w:fill="FFFFFF"/>
        </w:rPr>
        <w:t>whether probable cause supported the issuance of the warrant is whether the magistrate had a substantial basis for concluding a fair probability existed that a search would uncover wrongdoing.’  (</w:t>
      </w:r>
      <w:r w:rsidRPr="0008328C">
        <w:rPr>
          <w:i/>
          <w:color w:val="000000"/>
          <w:shd w:val="clear" w:color="auto" w:fill="FFFFFF"/>
        </w:rPr>
        <w:t>People v. Kraft</w:t>
      </w:r>
      <w:r w:rsidRPr="0008328C">
        <w:rPr>
          <w:color w:val="000000"/>
          <w:shd w:val="clear" w:color="auto" w:fill="FFFFFF"/>
        </w:rPr>
        <w:t xml:space="preserve"> (2000) 23 Cal.4th 978, 1040 (</w:t>
      </w:r>
      <w:r w:rsidRPr="0008328C">
        <w:rPr>
          <w:i/>
          <w:color w:val="000000"/>
          <w:shd w:val="clear" w:color="auto" w:fill="FFFFFF"/>
        </w:rPr>
        <w:t>Kraft</w:t>
      </w:r>
      <w:r w:rsidRPr="0008328C">
        <w:rPr>
          <w:color w:val="000000"/>
          <w:shd w:val="clear" w:color="auto" w:fill="FFFFFF"/>
        </w:rPr>
        <w:t xml:space="preserve">), citing </w:t>
      </w:r>
      <w:r w:rsidRPr="0008328C">
        <w:rPr>
          <w:i/>
          <w:color w:val="000000"/>
          <w:shd w:val="clear" w:color="auto" w:fill="FFFFFF"/>
        </w:rPr>
        <w:t>Illinois v. Gates</w:t>
      </w:r>
      <w:r w:rsidRPr="0008328C">
        <w:rPr>
          <w:color w:val="000000"/>
          <w:shd w:val="clear" w:color="auto" w:fill="FFFFFF"/>
        </w:rPr>
        <w:t xml:space="preserve"> (1983) 462 U.S. 213, 238-239.)</w:t>
      </w:r>
      <w:r>
        <w:rPr>
          <w:color w:val="000000"/>
          <w:shd w:val="clear" w:color="auto" w:fill="FFFFFF"/>
        </w:rPr>
        <w:t>”  (</w:t>
      </w:r>
      <w:r w:rsidRPr="00FB064B">
        <w:rPr>
          <w:i/>
          <w:color w:val="000000"/>
          <w:shd w:val="clear" w:color="auto" w:fill="FFFFFF"/>
        </w:rPr>
        <w:t>Westerfield</w:t>
      </w:r>
      <w:r>
        <w:rPr>
          <w:color w:val="000000"/>
          <w:shd w:val="clear" w:color="auto" w:fill="FFFFFF"/>
        </w:rPr>
        <w:t xml:space="preserve">, </w:t>
      </w:r>
      <w:r w:rsidRPr="008C4251">
        <w:rPr>
          <w:i/>
          <w:color w:val="000000"/>
          <w:shd w:val="clear" w:color="auto" w:fill="FFFFFF"/>
        </w:rPr>
        <w:t>supra</w:t>
      </w:r>
      <w:r>
        <w:rPr>
          <w:color w:val="000000"/>
          <w:shd w:val="clear" w:color="auto" w:fill="FFFFFF"/>
        </w:rPr>
        <w:t>,</w:t>
      </w:r>
      <w:r w:rsidRPr="00FB064B">
        <w:rPr>
          <w:color w:val="000000"/>
          <w:shd w:val="clear" w:color="auto" w:fill="FFFFFF"/>
        </w:rPr>
        <w:t xml:space="preserve"> 6 Cal.5th </w:t>
      </w:r>
      <w:r>
        <w:rPr>
          <w:color w:val="000000"/>
          <w:shd w:val="clear" w:color="auto" w:fill="FFFFFF"/>
        </w:rPr>
        <w:t>at p.</w:t>
      </w:r>
      <w:r w:rsidRPr="00FB064B">
        <w:rPr>
          <w:color w:val="000000"/>
          <w:shd w:val="clear" w:color="auto" w:fill="FFFFFF"/>
        </w:rPr>
        <w:t xml:space="preserve"> 659</w:t>
      </w:r>
      <w:r>
        <w:rPr>
          <w:color w:val="000000"/>
          <w:shd w:val="clear" w:color="auto" w:fill="FFFFFF"/>
        </w:rPr>
        <w:t>.)</w:t>
      </w:r>
      <w:r w:rsidRPr="0008328C">
        <w:rPr>
          <w:color w:val="000000"/>
          <w:shd w:val="clear" w:color="auto" w:fill="FFFFFF"/>
        </w:rPr>
        <w:t xml:space="preserve"> </w:t>
      </w:r>
      <w:r>
        <w:rPr>
          <w:color w:val="000000"/>
          <w:shd w:val="clear" w:color="auto" w:fill="FFFFFF"/>
        </w:rPr>
        <w:t xml:space="preserve"> “</w:t>
      </w:r>
      <w:r w:rsidRPr="0008328C">
        <w:rPr>
          <w:color w:val="000000"/>
          <w:shd w:val="clear" w:color="auto" w:fill="FFFFFF"/>
        </w:rPr>
        <w:t>[P]robable cause [to</w:t>
      </w:r>
      <w:r>
        <w:rPr>
          <w:color w:val="000000"/>
          <w:shd w:val="clear" w:color="auto" w:fill="FFFFFF"/>
        </w:rPr>
        <w:t xml:space="preserve"> believe an offense has been committed</w:t>
      </w:r>
      <w:r w:rsidRPr="0008328C">
        <w:rPr>
          <w:color w:val="000000"/>
          <w:shd w:val="clear" w:color="auto" w:fill="FFFFFF"/>
        </w:rPr>
        <w:t>] requires only a probability or substantial chance of criminal activity, not an actual showing of suc</w:t>
      </w:r>
      <w:r w:rsidRPr="0008328C">
        <w:rPr>
          <w:color w:val="000000"/>
          <w:shd w:val="clear" w:color="auto" w:fill="FFFFFF"/>
        </w:rPr>
        <w:t>h activity.  By hypothesis, therefore, innocent behavior frequently will provide the basis for a showing of probable cause</w:t>
      </w:r>
      <w:r>
        <w:rPr>
          <w:color w:val="000000"/>
          <w:shd w:val="clear" w:color="auto" w:fill="FFFFFF"/>
        </w:rPr>
        <w:t> </w:t>
      </w:r>
      <w:r w:rsidRPr="0008328C">
        <w:rPr>
          <w:color w:val="000000"/>
          <w:shd w:val="clear" w:color="auto" w:fill="FFFFFF"/>
        </w:rPr>
        <w:t>. . . .”  (</w:t>
      </w:r>
      <w:r w:rsidRPr="0008328C">
        <w:rPr>
          <w:i/>
          <w:color w:val="000000"/>
          <w:shd w:val="clear" w:color="auto" w:fill="FFFFFF"/>
        </w:rPr>
        <w:t>Gates</w:t>
      </w:r>
      <w:r w:rsidRPr="0008328C">
        <w:rPr>
          <w:color w:val="000000"/>
          <w:shd w:val="clear" w:color="auto" w:fill="FFFFFF"/>
        </w:rPr>
        <w:t xml:space="preserve">, </w:t>
      </w:r>
      <w:r w:rsidRPr="0008328C">
        <w:rPr>
          <w:i/>
          <w:color w:val="000000"/>
          <w:shd w:val="clear" w:color="auto" w:fill="FFFFFF"/>
        </w:rPr>
        <w:t>supra</w:t>
      </w:r>
      <w:r w:rsidRPr="0008328C">
        <w:rPr>
          <w:color w:val="000000"/>
          <w:shd w:val="clear" w:color="auto" w:fill="FFFFFF"/>
        </w:rPr>
        <w:t>, at p. 24</w:t>
      </w:r>
      <w:r>
        <w:rPr>
          <w:color w:val="000000"/>
          <w:shd w:val="clear" w:color="auto" w:fill="FFFFFF"/>
        </w:rPr>
        <w:t>4</w:t>
      </w:r>
      <w:r w:rsidRPr="0008328C">
        <w:rPr>
          <w:color w:val="000000"/>
          <w:shd w:val="clear" w:color="auto" w:fill="FFFFFF"/>
        </w:rPr>
        <w:t>, fn. 13.)</w:t>
      </w:r>
    </w:p>
    <w:p w:rsidR="00A0149C" w:rsidRPr="0008328C" w:rsidRDefault="005300CC" w:rsidP="0008328C">
      <w:pPr>
        <w:ind w:firstLine="720"/>
        <w:rPr>
          <w:color w:val="000000"/>
          <w:shd w:val="clear" w:color="auto" w:fill="FFFFFF"/>
        </w:rPr>
      </w:pPr>
      <w:r>
        <w:rPr>
          <w:color w:val="000000"/>
          <w:shd w:val="clear" w:color="auto" w:fill="FFFFFF"/>
        </w:rPr>
        <w:t>“</w:t>
      </w:r>
      <w:r w:rsidRPr="0008328C">
        <w:rPr>
          <w:color w:val="000000"/>
          <w:shd w:val="clear" w:color="auto" w:fill="FFFFFF"/>
        </w:rPr>
        <w:t>The test for probable cause is not reducible to ‘precise definition or quantification.’</w:t>
      </w:r>
      <w:r w:rsidRPr="0008328C">
        <w:rPr>
          <w:color w:val="000000"/>
          <w:shd w:val="clear" w:color="auto" w:fill="FFFFFF"/>
        </w:rPr>
        <w:t xml:space="preserve">  [Citation.]  ‘Finely tuned standards such as proof beyond a reasonable doubt or by a preponderance of the evidence</w:t>
      </w:r>
      <w:r>
        <w:rPr>
          <w:color w:val="000000"/>
          <w:shd w:val="clear" w:color="auto" w:fill="FFFFFF"/>
        </w:rPr>
        <w:t> </w:t>
      </w:r>
      <w:r w:rsidRPr="0008328C">
        <w:rPr>
          <w:color w:val="000000"/>
          <w:shd w:val="clear" w:color="auto" w:fill="FFFFFF"/>
        </w:rPr>
        <w:t>. . . have no place in the [probable-cause] decision.’</w:t>
      </w:r>
      <w:r>
        <w:rPr>
          <w:color w:val="000000"/>
          <w:shd w:val="clear" w:color="auto" w:fill="FFFFFF"/>
        </w:rPr>
        <w:t xml:space="preserve"> </w:t>
      </w:r>
      <w:r w:rsidRPr="0008328C">
        <w:rPr>
          <w:color w:val="000000"/>
          <w:shd w:val="clear" w:color="auto" w:fill="FFFFFF"/>
        </w:rPr>
        <w:t xml:space="preserve"> [Citation.]  All [the United States Supreme Court has] required is the kind of ‘fai</w:t>
      </w:r>
      <w:r w:rsidRPr="0008328C">
        <w:rPr>
          <w:color w:val="000000"/>
          <w:shd w:val="clear" w:color="auto" w:fill="FFFFFF"/>
        </w:rPr>
        <w:t>r probability’ on which ‘reasonable and prudent [people,] not legal technicians, act.’  [Citation.]”  (</w:t>
      </w:r>
      <w:r w:rsidRPr="0008328C">
        <w:rPr>
          <w:i/>
          <w:color w:val="000000"/>
          <w:shd w:val="clear" w:color="auto" w:fill="FFFFFF"/>
        </w:rPr>
        <w:t>Florida v</w:t>
      </w:r>
      <w:r w:rsidRPr="002D72D6">
        <w:rPr>
          <w:color w:val="000000"/>
          <w:shd w:val="clear" w:color="auto" w:fill="FFFFFF"/>
        </w:rPr>
        <w:t xml:space="preserve">. </w:t>
      </w:r>
      <w:r w:rsidRPr="0008328C">
        <w:rPr>
          <w:i/>
          <w:color w:val="000000"/>
          <w:shd w:val="clear" w:color="auto" w:fill="FFFFFF"/>
        </w:rPr>
        <w:t>Harris</w:t>
      </w:r>
      <w:r w:rsidRPr="0008328C">
        <w:rPr>
          <w:color w:val="000000"/>
          <w:shd w:val="clear" w:color="auto" w:fill="FFFFFF"/>
        </w:rPr>
        <w:t xml:space="preserve"> (2013) 568 U.S. 237, 243-244 (</w:t>
      </w:r>
      <w:r w:rsidRPr="0008328C">
        <w:rPr>
          <w:i/>
          <w:color w:val="000000"/>
          <w:shd w:val="clear" w:color="auto" w:fill="FFFFFF"/>
        </w:rPr>
        <w:t>Harris</w:t>
      </w:r>
      <w:r w:rsidRPr="0008328C">
        <w:rPr>
          <w:color w:val="000000"/>
          <w:shd w:val="clear" w:color="auto" w:fill="FFFFFF"/>
        </w:rPr>
        <w:t>).)</w:t>
      </w:r>
    </w:p>
    <w:p w:rsidR="00A0149C" w:rsidRPr="0008328C" w:rsidRDefault="005300CC" w:rsidP="002D72D6">
      <w:pPr>
        <w:rPr>
          <w:shd w:val="clear" w:color="auto" w:fill="FFFFFF"/>
        </w:rPr>
      </w:pPr>
      <w:r w:rsidRPr="0008328C">
        <w:rPr>
          <w:shd w:val="clear" w:color="auto" w:fill="FFFFFF"/>
        </w:rPr>
        <w:t xml:space="preserve">“In evaluating whether the State has met this practical and common-sensical standard [of </w:t>
      </w:r>
      <w:r w:rsidRPr="0008328C">
        <w:rPr>
          <w:shd w:val="clear" w:color="auto" w:fill="FFFFFF"/>
        </w:rPr>
        <w:t>probable cause], [the United States Supreme Court has] consistently looked to the totality of the circumstances.  [Citations.]  [The court has] rejected rigid rules, bright-line tests, and mechanistic inquiries in favor of a more flexible, all-things-consi</w:t>
      </w:r>
      <w:r w:rsidRPr="0008328C">
        <w:rPr>
          <w:shd w:val="clear" w:color="auto" w:fill="FFFFFF"/>
        </w:rPr>
        <w:t>dered approach.</w:t>
      </w:r>
      <w:r>
        <w:rPr>
          <w:shd w:val="clear" w:color="auto" w:fill="FFFFFF"/>
        </w:rPr>
        <w:t> </w:t>
      </w:r>
      <w:r w:rsidRPr="0008328C">
        <w:rPr>
          <w:shd w:val="clear" w:color="auto" w:fill="FFFFFF"/>
        </w:rPr>
        <w:t xml:space="preserve">. . . </w:t>
      </w:r>
      <w:r>
        <w:rPr>
          <w:shd w:val="clear" w:color="auto" w:fill="FFFFFF"/>
        </w:rPr>
        <w:t xml:space="preserve"> </w:t>
      </w:r>
      <w:r w:rsidRPr="0008328C">
        <w:rPr>
          <w:shd w:val="clear" w:color="auto" w:fill="FFFFFF"/>
        </w:rPr>
        <w:t>Probable cause</w:t>
      </w:r>
      <w:r>
        <w:rPr>
          <w:shd w:val="clear" w:color="auto" w:fill="FFFFFF"/>
        </w:rPr>
        <w:t> </w:t>
      </w:r>
      <w:r w:rsidRPr="0008328C">
        <w:rPr>
          <w:shd w:val="clear" w:color="auto" w:fill="FFFFFF"/>
        </w:rPr>
        <w:t>. . . is ‘a fluid concept—turning on the assessment of probabilities in particular factual contexts—not readily, or even usefully, reduced to a neat set of legal rules.’  [Citation.]”  (</w:t>
      </w:r>
      <w:r w:rsidRPr="0008328C">
        <w:rPr>
          <w:i/>
          <w:shd w:val="clear" w:color="auto" w:fill="FFFFFF"/>
        </w:rPr>
        <w:t>Harris</w:t>
      </w:r>
      <w:r w:rsidRPr="0008328C">
        <w:rPr>
          <w:shd w:val="clear" w:color="auto" w:fill="FFFFFF"/>
        </w:rPr>
        <w:t xml:space="preserve">, </w:t>
      </w:r>
      <w:r w:rsidRPr="0008328C">
        <w:rPr>
          <w:i/>
          <w:shd w:val="clear" w:color="auto" w:fill="FFFFFF"/>
        </w:rPr>
        <w:t>supra</w:t>
      </w:r>
      <w:r w:rsidRPr="0008328C">
        <w:rPr>
          <w:shd w:val="clear" w:color="auto" w:fill="FFFFFF"/>
        </w:rPr>
        <w:t>, 568 U.S. at p. 24</w:t>
      </w:r>
      <w:r w:rsidRPr="0008328C">
        <w:rPr>
          <w:shd w:val="clear" w:color="auto" w:fill="FFFFFF"/>
        </w:rPr>
        <w:t>4.)</w:t>
      </w:r>
    </w:p>
    <w:p w:rsidR="00A0149C" w:rsidRPr="0008328C" w:rsidRDefault="005300CC" w:rsidP="0008328C">
      <w:pPr>
        <w:ind w:firstLine="720"/>
        <w:rPr>
          <w:color w:val="000000"/>
          <w:shd w:val="clear" w:color="auto" w:fill="FFFFFF"/>
        </w:rPr>
      </w:pPr>
      <w:r w:rsidRPr="0008328C">
        <w:rPr>
          <w:color w:val="000000"/>
          <w:shd w:val="clear" w:color="auto" w:fill="FFFFFF"/>
        </w:rPr>
        <w:t>“The task of the issuing magistrate is simply to make a practical, common-sense decision whether, given all the circumstances set forth in the affidavit before him, including the ‘veracity’ and ‘basis of knowledge’ of persons supplying hearsay informat</w:t>
      </w:r>
      <w:r w:rsidRPr="0008328C">
        <w:rPr>
          <w:color w:val="000000"/>
          <w:shd w:val="clear" w:color="auto" w:fill="FFFFFF"/>
        </w:rPr>
        <w:t>ion, there is a fair probability that contraband or evidence of a crime will be found in a particular place.”  (</w:t>
      </w:r>
      <w:r w:rsidRPr="0008328C">
        <w:rPr>
          <w:i/>
          <w:color w:val="000000"/>
          <w:shd w:val="clear" w:color="auto" w:fill="FFFFFF"/>
        </w:rPr>
        <w:t>Gates</w:t>
      </w:r>
      <w:r w:rsidRPr="0008328C">
        <w:rPr>
          <w:color w:val="000000"/>
          <w:shd w:val="clear" w:color="auto" w:fill="FFFFFF"/>
        </w:rPr>
        <w:t xml:space="preserve">, </w:t>
      </w:r>
      <w:r w:rsidRPr="0008328C">
        <w:rPr>
          <w:i/>
          <w:color w:val="000000"/>
          <w:shd w:val="clear" w:color="auto" w:fill="FFFFFF"/>
        </w:rPr>
        <w:t>supra</w:t>
      </w:r>
      <w:r w:rsidRPr="0008328C">
        <w:rPr>
          <w:color w:val="000000"/>
          <w:shd w:val="clear" w:color="auto" w:fill="FFFFFF"/>
        </w:rPr>
        <w:t>, 462 U.S. at p. 238.)  But “[s]ufficient information must be presented to the magistrate to allow that official to determine probab</w:t>
      </w:r>
      <w:r w:rsidRPr="0008328C">
        <w:rPr>
          <w:color w:val="000000"/>
          <w:shd w:val="clear" w:color="auto" w:fill="FFFFFF"/>
        </w:rPr>
        <w:t>le cause; his action cannot be a mere ratification of the bare conclusions of others.”  (</w:t>
      </w:r>
      <w:r w:rsidRPr="0008328C">
        <w:rPr>
          <w:i/>
          <w:color w:val="000000"/>
          <w:shd w:val="clear" w:color="auto" w:fill="FFFFFF"/>
        </w:rPr>
        <w:t>Id</w:t>
      </w:r>
      <w:r w:rsidRPr="0008328C">
        <w:rPr>
          <w:color w:val="000000"/>
          <w:shd w:val="clear" w:color="auto" w:fill="FFFFFF"/>
        </w:rPr>
        <w:t>. at p. 239.)  “An affidavit must provide the magistrate with a substantial basis for determining the existence of probable cause</w:t>
      </w:r>
      <w:r>
        <w:rPr>
          <w:color w:val="000000"/>
          <w:shd w:val="clear" w:color="auto" w:fill="FFFFFF"/>
        </w:rPr>
        <w:t> </w:t>
      </w:r>
      <w:r w:rsidRPr="0008328C">
        <w:rPr>
          <w:color w:val="000000"/>
          <w:shd w:val="clear" w:color="auto" w:fill="FFFFFF"/>
        </w:rPr>
        <w:t>. . . .”  (</w:t>
      </w:r>
      <w:r w:rsidRPr="0008328C">
        <w:rPr>
          <w:i/>
          <w:color w:val="000000"/>
          <w:shd w:val="clear" w:color="auto" w:fill="FFFFFF"/>
        </w:rPr>
        <w:t>Ibid</w:t>
      </w:r>
      <w:r w:rsidRPr="0008328C">
        <w:rPr>
          <w:color w:val="000000"/>
          <w:shd w:val="clear" w:color="auto" w:fill="FFFFFF"/>
        </w:rPr>
        <w:t>.)  Wholly conclusor</w:t>
      </w:r>
      <w:r w:rsidRPr="0008328C">
        <w:rPr>
          <w:color w:val="000000"/>
          <w:shd w:val="clear" w:color="auto" w:fill="FFFFFF"/>
        </w:rPr>
        <w:t>y statements do not suffice to meet that requirement.  (</w:t>
      </w:r>
      <w:r w:rsidRPr="0008328C">
        <w:rPr>
          <w:i/>
          <w:color w:val="000000"/>
          <w:shd w:val="clear" w:color="auto" w:fill="FFFFFF"/>
        </w:rPr>
        <w:t>Ibid</w:t>
      </w:r>
      <w:r w:rsidRPr="0008328C">
        <w:rPr>
          <w:color w:val="000000"/>
          <w:shd w:val="clear" w:color="auto" w:fill="FFFFFF"/>
        </w:rPr>
        <w:t>.)</w:t>
      </w:r>
    </w:p>
    <w:p w:rsidR="00A37165" w:rsidRPr="0008328C" w:rsidRDefault="005300CC" w:rsidP="0011135E">
      <w:pPr>
        <w:ind w:firstLine="720"/>
        <w:rPr>
          <w:color w:val="000000"/>
          <w:shd w:val="clear" w:color="auto" w:fill="FFFFFF"/>
        </w:rPr>
      </w:pPr>
      <w:r w:rsidRPr="0008328C">
        <w:rPr>
          <w:color w:val="000000"/>
          <w:shd w:val="clear" w:color="auto" w:fill="FFFFFF"/>
        </w:rPr>
        <w:t>A reviewing court does not conduct a de novo review of the sufficiency of a search warrant affidavit but rather determines whether there is substantial evidence supporting the magistrate’s deci</w:t>
      </w:r>
      <w:r w:rsidRPr="0008328C">
        <w:rPr>
          <w:color w:val="000000"/>
          <w:shd w:val="clear" w:color="auto" w:fill="FFFFFF"/>
        </w:rPr>
        <w:t xml:space="preserve">sion to issue the warrant.  (See </w:t>
      </w:r>
      <w:r w:rsidRPr="0008328C">
        <w:rPr>
          <w:i/>
          <w:color w:val="000000"/>
          <w:shd w:val="clear" w:color="auto" w:fill="FFFFFF"/>
        </w:rPr>
        <w:t>Gates</w:t>
      </w:r>
      <w:r w:rsidRPr="0008328C">
        <w:rPr>
          <w:color w:val="000000"/>
          <w:shd w:val="clear" w:color="auto" w:fill="FFFFFF"/>
        </w:rPr>
        <w:t xml:space="preserve">, </w:t>
      </w:r>
      <w:r w:rsidRPr="00F85B97">
        <w:rPr>
          <w:i/>
          <w:color w:val="000000"/>
          <w:shd w:val="clear" w:color="auto" w:fill="FFFFFF"/>
        </w:rPr>
        <w:t>supra</w:t>
      </w:r>
      <w:r w:rsidRPr="0008328C">
        <w:rPr>
          <w:color w:val="000000"/>
          <w:shd w:val="clear" w:color="auto" w:fill="FFFFFF"/>
        </w:rPr>
        <w:t>, 462 U.S. at pp. 236-237.)  “Reasonable minds frequently may differ on the question whether a particular affidavit establishes probable cause, and [the United States Supreme Court has] thus concluded that the p</w:t>
      </w:r>
      <w:r w:rsidRPr="0008328C">
        <w:rPr>
          <w:color w:val="000000"/>
          <w:shd w:val="clear" w:color="auto" w:fill="FFFFFF"/>
        </w:rPr>
        <w:t>reference for warrants is most appropriately effectuated by according ‘great deference’ to a magistrate’s determination.  [Citations.]”  (</w:t>
      </w:r>
      <w:r w:rsidRPr="0008328C">
        <w:rPr>
          <w:i/>
          <w:color w:val="000000"/>
          <w:shd w:val="clear" w:color="auto" w:fill="FFFFFF"/>
        </w:rPr>
        <w:t>U</w:t>
      </w:r>
      <w:r>
        <w:rPr>
          <w:i/>
          <w:color w:val="000000"/>
          <w:shd w:val="clear" w:color="auto" w:fill="FFFFFF"/>
        </w:rPr>
        <w:t xml:space="preserve">nites </w:t>
      </w:r>
      <w:r w:rsidRPr="0008328C">
        <w:rPr>
          <w:i/>
          <w:color w:val="000000"/>
          <w:shd w:val="clear" w:color="auto" w:fill="FFFFFF"/>
        </w:rPr>
        <w:t>S</w:t>
      </w:r>
      <w:r>
        <w:rPr>
          <w:i/>
          <w:color w:val="000000"/>
          <w:shd w:val="clear" w:color="auto" w:fill="FFFFFF"/>
        </w:rPr>
        <w:t>tates</w:t>
      </w:r>
      <w:r w:rsidRPr="0008328C">
        <w:rPr>
          <w:i/>
          <w:color w:val="000000"/>
          <w:shd w:val="clear" w:color="auto" w:fill="FFFFFF"/>
        </w:rPr>
        <w:t xml:space="preserve"> v</w:t>
      </w:r>
      <w:r w:rsidRPr="00A03605">
        <w:rPr>
          <w:color w:val="000000"/>
          <w:shd w:val="clear" w:color="auto" w:fill="FFFFFF"/>
        </w:rPr>
        <w:t xml:space="preserve">. </w:t>
      </w:r>
      <w:r w:rsidRPr="0008328C">
        <w:rPr>
          <w:i/>
          <w:color w:val="000000"/>
          <w:shd w:val="clear" w:color="auto" w:fill="FFFFFF"/>
        </w:rPr>
        <w:t>Leon</w:t>
      </w:r>
      <w:r w:rsidRPr="0008328C">
        <w:rPr>
          <w:color w:val="000000"/>
          <w:shd w:val="clear" w:color="auto" w:fill="FFFFFF"/>
        </w:rPr>
        <w:t xml:space="preserve"> (1984) 468 U.S. 897, 914 (</w:t>
      </w:r>
      <w:r w:rsidRPr="0008328C">
        <w:rPr>
          <w:i/>
          <w:color w:val="000000"/>
          <w:shd w:val="clear" w:color="auto" w:fill="FFFFFF"/>
        </w:rPr>
        <w:t>Leon</w:t>
      </w:r>
      <w:r w:rsidRPr="0008328C">
        <w:rPr>
          <w:color w:val="000000"/>
          <w:shd w:val="clear" w:color="auto" w:fill="FFFFFF"/>
        </w:rPr>
        <w:t>).)</w:t>
      </w:r>
      <w:r>
        <w:rPr>
          <w:color w:val="000000"/>
          <w:shd w:val="clear" w:color="auto" w:fill="FFFFFF"/>
        </w:rPr>
        <w:t xml:space="preserve">  “[T]</w:t>
      </w:r>
      <w:r w:rsidRPr="00FB064B">
        <w:rPr>
          <w:color w:val="000000"/>
          <w:shd w:val="clear" w:color="auto" w:fill="FFFFFF"/>
        </w:rPr>
        <w:t xml:space="preserve">he warrant </w:t>
      </w:r>
      <w:r>
        <w:rPr>
          <w:color w:val="000000"/>
          <w:shd w:val="clear" w:color="auto" w:fill="FFFFFF"/>
        </w:rPr>
        <w:t>‘</w:t>
      </w:r>
      <w:r w:rsidRPr="00FB064B">
        <w:rPr>
          <w:color w:val="000000"/>
          <w:shd w:val="clear" w:color="auto" w:fill="FFFFFF"/>
        </w:rPr>
        <w:t xml:space="preserve">can be upset only if the affidavit fails as </w:t>
      </w:r>
      <w:r w:rsidRPr="00FB064B">
        <w:rPr>
          <w:color w:val="000000"/>
          <w:shd w:val="clear" w:color="auto" w:fill="FFFFFF"/>
        </w:rPr>
        <w:t>a matter of law to set forth sufficient competent evidence</w:t>
      </w:r>
      <w:r>
        <w:rPr>
          <w:color w:val="000000"/>
          <w:shd w:val="clear" w:color="auto" w:fill="FFFFFF"/>
        </w:rPr>
        <w:t>’</w:t>
      </w:r>
      <w:r w:rsidRPr="00FB064B">
        <w:rPr>
          <w:color w:val="000000"/>
          <w:shd w:val="clear" w:color="auto" w:fill="FFFFFF"/>
        </w:rPr>
        <w:t xml:space="preserve"> supporting the finding of probable cause.</w:t>
      </w:r>
      <w:r>
        <w:rPr>
          <w:color w:val="000000"/>
          <w:shd w:val="clear" w:color="auto" w:fill="FFFFFF"/>
        </w:rPr>
        <w:t>”  (</w:t>
      </w:r>
      <w:r w:rsidRPr="00FB064B">
        <w:rPr>
          <w:i/>
          <w:color w:val="000000"/>
          <w:shd w:val="clear" w:color="auto" w:fill="FFFFFF"/>
        </w:rPr>
        <w:t>Westerfield</w:t>
      </w:r>
      <w:r>
        <w:rPr>
          <w:color w:val="000000"/>
          <w:shd w:val="clear" w:color="auto" w:fill="FFFFFF"/>
        </w:rPr>
        <w:t xml:space="preserve">, </w:t>
      </w:r>
      <w:r w:rsidRPr="008C4251">
        <w:rPr>
          <w:i/>
          <w:color w:val="000000"/>
          <w:shd w:val="clear" w:color="auto" w:fill="FFFFFF"/>
        </w:rPr>
        <w:t>supra</w:t>
      </w:r>
      <w:r>
        <w:rPr>
          <w:color w:val="000000"/>
          <w:shd w:val="clear" w:color="auto" w:fill="FFFFFF"/>
        </w:rPr>
        <w:t>,</w:t>
      </w:r>
      <w:r w:rsidRPr="00FB064B">
        <w:rPr>
          <w:color w:val="000000"/>
          <w:shd w:val="clear" w:color="auto" w:fill="FFFFFF"/>
        </w:rPr>
        <w:t xml:space="preserve"> 6 Cal.5th</w:t>
      </w:r>
      <w:r w:rsidRPr="00FB064B">
        <w:rPr>
          <w:i/>
          <w:color w:val="000000"/>
          <w:shd w:val="clear" w:color="auto" w:fill="FFFFFF"/>
        </w:rPr>
        <w:t xml:space="preserve"> </w:t>
      </w:r>
      <w:r>
        <w:rPr>
          <w:color w:val="000000"/>
          <w:shd w:val="clear" w:color="auto" w:fill="FFFFFF"/>
        </w:rPr>
        <w:t xml:space="preserve">at p. </w:t>
      </w:r>
      <w:r w:rsidRPr="00FB064B">
        <w:rPr>
          <w:color w:val="000000"/>
          <w:shd w:val="clear" w:color="auto" w:fill="FFFFFF"/>
        </w:rPr>
        <w:t>660</w:t>
      </w:r>
      <w:r>
        <w:rPr>
          <w:color w:val="000000"/>
          <w:shd w:val="clear" w:color="auto" w:fill="FFFFFF"/>
        </w:rPr>
        <w:t>.)</w:t>
      </w:r>
    </w:p>
    <w:p w:rsidR="00DD2FBE" w:rsidRPr="0008328C" w:rsidRDefault="005300CC" w:rsidP="0008328C">
      <w:pPr>
        <w:keepNext/>
        <w:rPr>
          <w:i/>
          <w:color w:val="000000"/>
          <w:shd w:val="clear" w:color="auto" w:fill="FFFFFF"/>
        </w:rPr>
      </w:pPr>
      <w:r w:rsidRPr="0008328C">
        <w:rPr>
          <w:color w:val="000000"/>
          <w:shd w:val="clear" w:color="auto" w:fill="FFFFFF"/>
        </w:rPr>
        <w:t xml:space="preserve">b.  </w:t>
      </w:r>
      <w:r w:rsidRPr="0008328C">
        <w:rPr>
          <w:i/>
          <w:color w:val="000000"/>
          <w:shd w:val="clear" w:color="auto" w:fill="FFFFFF"/>
        </w:rPr>
        <w:t>Analysis</w:t>
      </w:r>
    </w:p>
    <w:p w:rsidR="006C3FC7" w:rsidRPr="0008328C" w:rsidRDefault="005300CC" w:rsidP="0008328C">
      <w:pPr>
        <w:ind w:firstLine="720"/>
        <w:rPr>
          <w:color w:val="000000"/>
          <w:shd w:val="clear" w:color="auto" w:fill="FFFFFF"/>
        </w:rPr>
      </w:pPr>
      <w:r w:rsidRPr="0008328C">
        <w:rPr>
          <w:color w:val="000000"/>
          <w:shd w:val="clear" w:color="auto" w:fill="FFFFFF"/>
        </w:rPr>
        <w:t>Defendant argues that the search warrant “affidavit included no facts discovered at the scene of</w:t>
      </w:r>
      <w:r w:rsidRPr="0008328C">
        <w:rPr>
          <w:color w:val="000000"/>
          <w:shd w:val="clear" w:color="auto" w:fill="FFFFFF"/>
        </w:rPr>
        <w:t xml:space="preserve"> the crime that logically pointed to [him] as the perpetrator, i.e. none of the evidence found at the scene connected [him] to the arson.”  He contends that evidence of suspicious acts or other crimes unrelated to the </w:t>
      </w:r>
      <w:r>
        <w:rPr>
          <w:color w:val="000000"/>
          <w:shd w:val="clear" w:color="auto" w:fill="FFFFFF"/>
        </w:rPr>
        <w:t xml:space="preserve">arson </w:t>
      </w:r>
      <w:r w:rsidRPr="0008328C">
        <w:rPr>
          <w:color w:val="000000"/>
          <w:shd w:val="clear" w:color="auto" w:fill="FFFFFF"/>
        </w:rPr>
        <w:t>under investigation cannot estab</w:t>
      </w:r>
      <w:r w:rsidRPr="0008328C">
        <w:rPr>
          <w:color w:val="000000"/>
          <w:shd w:val="clear" w:color="auto" w:fill="FFFFFF"/>
        </w:rPr>
        <w:t xml:space="preserve">lish probable cause to search for evidence of the </w:t>
      </w:r>
      <w:r>
        <w:rPr>
          <w:color w:val="000000"/>
          <w:shd w:val="clear" w:color="auto" w:fill="FFFFFF"/>
        </w:rPr>
        <w:t>arson</w:t>
      </w:r>
      <w:r w:rsidRPr="0008328C">
        <w:rPr>
          <w:color w:val="000000"/>
          <w:shd w:val="clear" w:color="auto" w:fill="FFFFFF"/>
        </w:rPr>
        <w:t xml:space="preserve">.  </w:t>
      </w:r>
      <w:r>
        <w:rPr>
          <w:color w:val="000000"/>
          <w:shd w:val="clear" w:color="auto" w:fill="FFFFFF"/>
        </w:rPr>
        <w:t xml:space="preserve">Defendant </w:t>
      </w:r>
      <w:r w:rsidRPr="0008328C">
        <w:rPr>
          <w:color w:val="000000"/>
          <w:shd w:val="clear" w:color="auto" w:fill="FFFFFF"/>
        </w:rPr>
        <w:t>asserts that “the affiant’s core conclusion supporting the warrant—i.e.[,] that [he] probably committed the arson—was not supported by a factual foundation.”</w:t>
      </w:r>
    </w:p>
    <w:p w:rsidR="00E71495" w:rsidRPr="0008328C" w:rsidRDefault="005300CC" w:rsidP="0008328C">
      <w:pPr>
        <w:ind w:firstLine="720"/>
        <w:rPr>
          <w:color w:val="000000"/>
          <w:shd w:val="clear" w:color="auto" w:fill="FFFFFF"/>
        </w:rPr>
      </w:pPr>
      <w:r w:rsidRPr="0008328C">
        <w:rPr>
          <w:color w:val="000000"/>
          <w:shd w:val="clear" w:color="auto" w:fill="FFFFFF"/>
        </w:rPr>
        <w:t>Defendant argues that “</w:t>
      </w:r>
      <w:r>
        <w:rPr>
          <w:color w:val="000000"/>
          <w:shd w:val="clear" w:color="auto" w:fill="FFFFFF"/>
        </w:rPr>
        <w:t>[</w:t>
      </w:r>
      <w:r w:rsidRPr="0008328C">
        <w:rPr>
          <w:color w:val="000000"/>
          <w:shd w:val="clear" w:color="auto" w:fill="FFFFFF"/>
        </w:rPr>
        <w:t>n</w:t>
      </w:r>
      <w:r>
        <w:rPr>
          <w:color w:val="000000"/>
          <w:shd w:val="clear" w:color="auto" w:fill="FFFFFF"/>
        </w:rPr>
        <w:t>]</w:t>
      </w:r>
      <w:r w:rsidRPr="0008328C">
        <w:rPr>
          <w:color w:val="000000"/>
          <w:shd w:val="clear" w:color="auto" w:fill="FFFFFF"/>
        </w:rPr>
        <w:t xml:space="preserve">early every fact [proven at trial] that connected </w:t>
      </w:r>
      <w:r>
        <w:rPr>
          <w:color w:val="000000"/>
          <w:shd w:val="clear" w:color="auto" w:fill="FFFFFF"/>
        </w:rPr>
        <w:t>[</w:t>
      </w:r>
      <w:r w:rsidRPr="0008328C">
        <w:rPr>
          <w:color w:val="000000"/>
          <w:shd w:val="clear" w:color="auto" w:fill="FFFFFF"/>
        </w:rPr>
        <w:t>him</w:t>
      </w:r>
      <w:r>
        <w:rPr>
          <w:color w:val="000000"/>
          <w:shd w:val="clear" w:color="auto" w:fill="FFFFFF"/>
        </w:rPr>
        <w:t>]</w:t>
      </w:r>
      <w:r w:rsidRPr="0008328C">
        <w:rPr>
          <w:color w:val="000000"/>
          <w:shd w:val="clear" w:color="auto" w:fill="FFFFFF"/>
        </w:rPr>
        <w:t xml:space="preserve"> to the arson itself was discovered through the [execution of the search] warrant, or discovered based on evidence found through the warrant.”  He maintains that such evidence should have been suppress</w:t>
      </w:r>
      <w:r w:rsidRPr="0008328C">
        <w:rPr>
          <w:color w:val="000000"/>
          <w:shd w:val="clear" w:color="auto" w:fill="FFFFFF"/>
        </w:rPr>
        <w:t>ed, that the trial court’s error in failing to grant his motion to suppress was not harmless beyond a reasonable doubt, and that this court must reverse the judgment.</w:t>
      </w:r>
    </w:p>
    <w:p w:rsidR="00272177" w:rsidRPr="0008328C" w:rsidRDefault="005300CC" w:rsidP="0008328C">
      <w:pPr>
        <w:ind w:firstLine="720"/>
        <w:rPr>
          <w:color w:val="000000"/>
          <w:shd w:val="clear" w:color="auto" w:fill="FFFFFF"/>
        </w:rPr>
      </w:pPr>
      <w:r w:rsidRPr="0008328C">
        <w:rPr>
          <w:color w:val="000000"/>
          <w:shd w:val="clear" w:color="auto" w:fill="FFFFFF"/>
        </w:rPr>
        <w:t xml:space="preserve">The affidavit set forth ample facts establishing probable cause to believe that </w:t>
      </w:r>
      <w:r>
        <w:rPr>
          <w:color w:val="000000"/>
          <w:shd w:val="clear" w:color="auto" w:fill="FFFFFF"/>
        </w:rPr>
        <w:t>the resid</w:t>
      </w:r>
      <w:r>
        <w:rPr>
          <w:color w:val="000000"/>
          <w:shd w:val="clear" w:color="auto" w:fill="FFFFFF"/>
        </w:rPr>
        <w:t>ence where S.S. and his family lived</w:t>
      </w:r>
      <w:r w:rsidRPr="0008328C">
        <w:rPr>
          <w:color w:val="000000"/>
          <w:shd w:val="clear" w:color="auto" w:fill="FFFFFF"/>
        </w:rPr>
        <w:t xml:space="preserve"> had been </w:t>
      </w:r>
      <w:r>
        <w:rPr>
          <w:color w:val="000000"/>
          <w:shd w:val="clear" w:color="auto" w:fill="FFFFFF"/>
        </w:rPr>
        <w:t>the object of arson using an accelerant</w:t>
      </w:r>
      <w:r w:rsidRPr="0008328C">
        <w:rPr>
          <w:color w:val="000000"/>
          <w:shd w:val="clear" w:color="auto" w:fill="FFFFFF"/>
        </w:rPr>
        <w:t xml:space="preserve">.  </w:t>
      </w:r>
      <w:r>
        <w:rPr>
          <w:color w:val="000000"/>
          <w:shd w:val="clear" w:color="auto" w:fill="FFFFFF"/>
        </w:rPr>
        <w:t>There were circumstances that implicated defendant.  D</w:t>
      </w:r>
      <w:r w:rsidRPr="0008328C">
        <w:rPr>
          <w:color w:val="000000"/>
          <w:shd w:val="clear" w:color="auto" w:fill="FFFFFF"/>
        </w:rPr>
        <w:t>efendant was disgruntled with</w:t>
      </w:r>
      <w:r>
        <w:rPr>
          <w:color w:val="000000"/>
          <w:shd w:val="clear" w:color="auto" w:fill="FFFFFF"/>
        </w:rPr>
        <w:t xml:space="preserve"> S.S.,</w:t>
      </w:r>
      <w:r w:rsidRPr="0008328C">
        <w:rPr>
          <w:color w:val="000000"/>
          <w:shd w:val="clear" w:color="auto" w:fill="FFFFFF"/>
        </w:rPr>
        <w:t xml:space="preserve"> his former supervisor</w:t>
      </w:r>
      <w:r>
        <w:rPr>
          <w:color w:val="000000"/>
          <w:shd w:val="clear" w:color="auto" w:fill="FFFFFF"/>
        </w:rPr>
        <w:t>.  He had been having workplace performance problems that</w:t>
      </w:r>
      <w:r>
        <w:rPr>
          <w:color w:val="000000"/>
          <w:shd w:val="clear" w:color="auto" w:fill="FFFFFF"/>
        </w:rPr>
        <w:t xml:space="preserve"> had led to an extended leave from work.  S.S. </w:t>
      </w:r>
      <w:r w:rsidRPr="0008328C">
        <w:rPr>
          <w:color w:val="000000"/>
          <w:shd w:val="clear" w:color="auto" w:fill="FFFFFF"/>
        </w:rPr>
        <w:t>had escorted him from the premises</w:t>
      </w:r>
      <w:r>
        <w:rPr>
          <w:color w:val="000000"/>
          <w:shd w:val="clear" w:color="auto" w:fill="FFFFFF"/>
        </w:rPr>
        <w:t xml:space="preserve"> </w:t>
      </w:r>
      <w:r w:rsidRPr="0008328C">
        <w:rPr>
          <w:color w:val="000000"/>
          <w:shd w:val="clear" w:color="auto" w:fill="FFFFFF"/>
        </w:rPr>
        <w:t>when defendant showed up at</w:t>
      </w:r>
      <w:r>
        <w:rPr>
          <w:color w:val="000000"/>
          <w:shd w:val="clear" w:color="auto" w:fill="FFFFFF"/>
        </w:rPr>
        <w:t xml:space="preserve"> the coffee shop while he was </w:t>
      </w:r>
      <w:r w:rsidRPr="0008328C">
        <w:rPr>
          <w:color w:val="000000"/>
          <w:shd w:val="clear" w:color="auto" w:fill="FFFFFF"/>
        </w:rPr>
        <w:t>on leave</w:t>
      </w:r>
      <w:r>
        <w:rPr>
          <w:color w:val="000000"/>
          <w:shd w:val="clear" w:color="auto" w:fill="FFFFFF"/>
        </w:rPr>
        <w:t xml:space="preserve">.  In late November of 2015, defendant had </w:t>
      </w:r>
      <w:r w:rsidRPr="00D26ADE">
        <w:rPr>
          <w:color w:val="000000"/>
          <w:shd w:val="clear" w:color="auto" w:fill="FFFFFF"/>
        </w:rPr>
        <w:t xml:space="preserve">surreptitiously </w:t>
      </w:r>
      <w:r>
        <w:rPr>
          <w:color w:val="000000"/>
          <w:shd w:val="clear" w:color="auto" w:fill="FFFFFF"/>
        </w:rPr>
        <w:t>entered the workplace after hours, setting off a s</w:t>
      </w:r>
      <w:r>
        <w:rPr>
          <w:color w:val="000000"/>
          <w:shd w:val="clear" w:color="auto" w:fill="FFFFFF"/>
        </w:rPr>
        <w:t xml:space="preserve">ecurity alarm, and he had </w:t>
      </w:r>
      <w:r w:rsidRPr="0008328C">
        <w:rPr>
          <w:color w:val="000000"/>
          <w:shd w:val="clear" w:color="auto" w:fill="FFFFFF"/>
        </w:rPr>
        <w:t xml:space="preserve">released cockroaches into the </w:t>
      </w:r>
      <w:r>
        <w:rPr>
          <w:color w:val="000000"/>
          <w:shd w:val="clear" w:color="auto" w:fill="FFFFFF"/>
        </w:rPr>
        <w:t xml:space="preserve">building.  The health department received an anonymous call describing the cockroaches.  Shortly after the incident, defendant was </w:t>
      </w:r>
      <w:r w:rsidRPr="0008328C">
        <w:rPr>
          <w:color w:val="000000"/>
          <w:shd w:val="clear" w:color="auto" w:fill="FFFFFF"/>
        </w:rPr>
        <w:t>terminat</w:t>
      </w:r>
      <w:r>
        <w:rPr>
          <w:color w:val="000000"/>
          <w:shd w:val="clear" w:color="auto" w:fill="FFFFFF"/>
        </w:rPr>
        <w:t>ed</w:t>
      </w:r>
      <w:r w:rsidRPr="0008328C">
        <w:rPr>
          <w:color w:val="000000"/>
          <w:shd w:val="clear" w:color="auto" w:fill="FFFFFF"/>
        </w:rPr>
        <w:t>.</w:t>
      </w:r>
    </w:p>
    <w:p w:rsidR="00951CDA" w:rsidRPr="0008328C" w:rsidRDefault="005300CC" w:rsidP="0008328C">
      <w:pPr>
        <w:ind w:firstLine="720"/>
        <w:rPr>
          <w:color w:val="000000"/>
          <w:shd w:val="clear" w:color="auto" w:fill="FFFFFF"/>
        </w:rPr>
      </w:pPr>
      <w:r w:rsidRPr="0008328C">
        <w:rPr>
          <w:color w:val="000000"/>
          <w:shd w:val="clear" w:color="auto" w:fill="FFFFFF"/>
        </w:rPr>
        <w:t>The affidavit clearly showed that after the cockroach inc</w:t>
      </w:r>
      <w:r w:rsidRPr="0008328C">
        <w:rPr>
          <w:color w:val="000000"/>
          <w:shd w:val="clear" w:color="auto" w:fill="FFFFFF"/>
        </w:rPr>
        <w:t xml:space="preserve">ident and prior to the arson, </w:t>
      </w:r>
      <w:r>
        <w:rPr>
          <w:color w:val="000000"/>
          <w:shd w:val="clear" w:color="auto" w:fill="FFFFFF"/>
        </w:rPr>
        <w:t xml:space="preserve">both </w:t>
      </w:r>
      <w:r w:rsidRPr="0008328C">
        <w:rPr>
          <w:color w:val="000000"/>
          <w:shd w:val="clear" w:color="auto" w:fill="FFFFFF"/>
        </w:rPr>
        <w:t>the coffee shop</w:t>
      </w:r>
      <w:r>
        <w:rPr>
          <w:color w:val="000000"/>
          <w:shd w:val="clear" w:color="auto" w:fill="FFFFFF"/>
        </w:rPr>
        <w:t xml:space="preserve"> (defendant’s former workplace)</w:t>
      </w:r>
      <w:r w:rsidRPr="0008328C">
        <w:rPr>
          <w:color w:val="000000"/>
          <w:shd w:val="clear" w:color="auto" w:fill="FFFFFF"/>
        </w:rPr>
        <w:t xml:space="preserve"> and </w:t>
      </w:r>
      <w:r>
        <w:rPr>
          <w:color w:val="000000"/>
          <w:shd w:val="clear" w:color="auto" w:fill="FFFFFF"/>
        </w:rPr>
        <w:t>S.S. (his former supervisor)</w:t>
      </w:r>
      <w:r w:rsidRPr="0008328C">
        <w:rPr>
          <w:color w:val="000000"/>
          <w:shd w:val="clear" w:color="auto" w:fill="FFFFFF"/>
        </w:rPr>
        <w:t xml:space="preserve"> had been </w:t>
      </w:r>
      <w:r>
        <w:rPr>
          <w:color w:val="000000"/>
          <w:shd w:val="clear" w:color="auto" w:fill="FFFFFF"/>
        </w:rPr>
        <w:t>injured</w:t>
      </w:r>
      <w:r w:rsidRPr="0008328C">
        <w:rPr>
          <w:color w:val="000000"/>
          <w:shd w:val="clear" w:color="auto" w:fill="FFFFFF"/>
        </w:rPr>
        <w:t>.  The Craig</w:t>
      </w:r>
      <w:r>
        <w:rPr>
          <w:color w:val="000000"/>
          <w:shd w:val="clear" w:color="auto" w:fill="FFFFFF"/>
        </w:rPr>
        <w:t>slist</w:t>
      </w:r>
      <w:r w:rsidRPr="0008328C">
        <w:rPr>
          <w:color w:val="000000"/>
          <w:shd w:val="clear" w:color="auto" w:fill="FFFFFF"/>
        </w:rPr>
        <w:t xml:space="preserve"> incident</w:t>
      </w:r>
      <w:r>
        <w:rPr>
          <w:color w:val="000000"/>
          <w:shd w:val="clear" w:color="auto" w:fill="FFFFFF"/>
        </w:rPr>
        <w:t xml:space="preserve"> resulting in a barrage of phone calls on the supervisor’s personal phone number, which was known t</w:t>
      </w:r>
      <w:r>
        <w:rPr>
          <w:color w:val="000000"/>
          <w:shd w:val="clear" w:color="auto" w:fill="FFFFFF"/>
        </w:rPr>
        <w:t xml:space="preserve">o defendant, </w:t>
      </w:r>
      <w:r w:rsidRPr="0008328C">
        <w:rPr>
          <w:color w:val="000000"/>
          <w:shd w:val="clear" w:color="auto" w:fill="FFFFFF"/>
        </w:rPr>
        <w:t xml:space="preserve">and the costly damage to the coffee shop occurred within weeks of defendant’s termination.  The arson of </w:t>
      </w:r>
      <w:r>
        <w:rPr>
          <w:color w:val="000000"/>
          <w:shd w:val="clear" w:color="auto" w:fill="FFFFFF"/>
        </w:rPr>
        <w:t>S.S.’s hom</w:t>
      </w:r>
      <w:r w:rsidRPr="0008328C">
        <w:rPr>
          <w:color w:val="000000"/>
          <w:shd w:val="clear" w:color="auto" w:fill="FFFFFF"/>
        </w:rPr>
        <w:t>e occurred in early January 2016.</w:t>
      </w:r>
      <w:r>
        <w:rPr>
          <w:color w:val="000000"/>
          <w:shd w:val="clear" w:color="auto" w:fill="FFFFFF"/>
        </w:rPr>
        <w:t xml:space="preserve">  It is true</w:t>
      </w:r>
      <w:r w:rsidRPr="0008328C">
        <w:rPr>
          <w:color w:val="000000"/>
          <w:shd w:val="clear" w:color="auto" w:fill="FFFFFF"/>
        </w:rPr>
        <w:t xml:space="preserve"> that </w:t>
      </w:r>
      <w:r>
        <w:rPr>
          <w:color w:val="000000"/>
          <w:shd w:val="clear" w:color="auto" w:fill="FFFFFF"/>
        </w:rPr>
        <w:t xml:space="preserve">at the time he wrote the affidavit, </w:t>
      </w:r>
      <w:r w:rsidRPr="0008328C">
        <w:rPr>
          <w:color w:val="000000"/>
          <w:shd w:val="clear" w:color="auto" w:fill="FFFFFF"/>
        </w:rPr>
        <w:t>Detective Bulatao</w:t>
      </w:r>
      <w:r>
        <w:rPr>
          <w:color w:val="000000"/>
          <w:shd w:val="clear" w:color="auto" w:fill="FFFFFF"/>
        </w:rPr>
        <w:t xml:space="preserve"> did not have </w:t>
      </w:r>
      <w:r w:rsidRPr="0008328C">
        <w:rPr>
          <w:color w:val="000000"/>
          <w:shd w:val="clear" w:color="auto" w:fill="FFFFFF"/>
        </w:rPr>
        <w:t>specific i</w:t>
      </w:r>
      <w:r w:rsidRPr="0008328C">
        <w:rPr>
          <w:color w:val="000000"/>
          <w:shd w:val="clear" w:color="auto" w:fill="FFFFFF"/>
        </w:rPr>
        <w:t>nformation that directly tied defendant to the Craig</w:t>
      </w:r>
      <w:r>
        <w:rPr>
          <w:color w:val="000000"/>
          <w:shd w:val="clear" w:color="auto" w:fill="FFFFFF"/>
        </w:rPr>
        <w:t>sl</w:t>
      </w:r>
      <w:r w:rsidRPr="0008328C">
        <w:rPr>
          <w:color w:val="000000"/>
          <w:shd w:val="clear" w:color="auto" w:fill="FFFFFF"/>
        </w:rPr>
        <w:t xml:space="preserve">ist incident, the damage to the coffee shop, or the arson.  Nevertheless, </w:t>
      </w:r>
      <w:r>
        <w:rPr>
          <w:color w:val="000000"/>
          <w:shd w:val="clear" w:color="auto" w:fill="FFFFFF"/>
        </w:rPr>
        <w:t>those</w:t>
      </w:r>
      <w:r w:rsidRPr="0008328C">
        <w:rPr>
          <w:color w:val="000000"/>
          <w:shd w:val="clear" w:color="auto" w:fill="FFFFFF"/>
        </w:rPr>
        <w:t xml:space="preserve"> multiple incidents</w:t>
      </w:r>
      <w:r>
        <w:rPr>
          <w:color w:val="000000"/>
          <w:shd w:val="clear" w:color="auto" w:fill="FFFFFF"/>
        </w:rPr>
        <w:t>, which occurred not long</w:t>
      </w:r>
      <w:r w:rsidRPr="0008328C">
        <w:rPr>
          <w:color w:val="000000"/>
          <w:shd w:val="clear" w:color="auto" w:fill="FFFFFF"/>
        </w:rPr>
        <w:t xml:space="preserve"> </w:t>
      </w:r>
      <w:r>
        <w:rPr>
          <w:color w:val="000000"/>
          <w:shd w:val="clear" w:color="auto" w:fill="FFFFFF"/>
        </w:rPr>
        <w:t xml:space="preserve">after defendant’s termination, together suggested that </w:t>
      </w:r>
      <w:r w:rsidRPr="0008328C">
        <w:rPr>
          <w:color w:val="000000"/>
          <w:shd w:val="clear" w:color="auto" w:fill="FFFFFF"/>
        </w:rPr>
        <w:t>the coffee shop</w:t>
      </w:r>
      <w:r>
        <w:rPr>
          <w:color w:val="000000"/>
          <w:shd w:val="clear" w:color="auto" w:fill="FFFFFF"/>
        </w:rPr>
        <w:t xml:space="preserve"> </w:t>
      </w:r>
      <w:r w:rsidRPr="0008328C">
        <w:rPr>
          <w:color w:val="000000"/>
          <w:shd w:val="clear" w:color="auto" w:fill="FFFFFF"/>
        </w:rPr>
        <w:t xml:space="preserve">and </w:t>
      </w:r>
      <w:r>
        <w:rPr>
          <w:color w:val="000000"/>
          <w:shd w:val="clear" w:color="auto" w:fill="FFFFFF"/>
        </w:rPr>
        <w:t>S.S.</w:t>
      </w:r>
      <w:r w:rsidRPr="0008328C">
        <w:rPr>
          <w:color w:val="000000"/>
          <w:shd w:val="clear" w:color="auto" w:fill="FFFFFF"/>
        </w:rPr>
        <w:t xml:space="preserve"> were being specifically targeted for harm</w:t>
      </w:r>
      <w:r>
        <w:rPr>
          <w:color w:val="000000"/>
          <w:shd w:val="clear" w:color="auto" w:fill="FFFFFF"/>
        </w:rPr>
        <w:t>.</w:t>
      </w:r>
    </w:p>
    <w:p w:rsidR="000957B5" w:rsidRPr="0008328C" w:rsidRDefault="005300CC" w:rsidP="008160D1">
      <w:pPr>
        <w:ind w:firstLine="720"/>
        <w:rPr>
          <w:color w:val="000000"/>
          <w:shd w:val="clear" w:color="auto" w:fill="FFFFFF"/>
        </w:rPr>
      </w:pPr>
      <w:r>
        <w:rPr>
          <w:color w:val="000000"/>
          <w:shd w:val="clear" w:color="auto" w:fill="FFFFFF"/>
        </w:rPr>
        <w:t>V</w:t>
      </w:r>
      <w:r w:rsidRPr="008160D1">
        <w:rPr>
          <w:color w:val="000000"/>
          <w:shd w:val="clear" w:color="auto" w:fill="FFFFFF"/>
        </w:rPr>
        <w:t>iew</w:t>
      </w:r>
      <w:r>
        <w:rPr>
          <w:color w:val="000000"/>
          <w:shd w:val="clear" w:color="auto" w:fill="FFFFFF"/>
        </w:rPr>
        <w:t xml:space="preserve">ing the totality of circumstances </w:t>
      </w:r>
      <w:r w:rsidRPr="008160D1">
        <w:rPr>
          <w:color w:val="000000"/>
          <w:shd w:val="clear" w:color="auto" w:fill="FFFFFF"/>
        </w:rPr>
        <w:t>through the lens of common sense</w:t>
      </w:r>
      <w:r>
        <w:rPr>
          <w:color w:val="000000"/>
          <w:shd w:val="clear" w:color="auto" w:fill="FFFFFF"/>
        </w:rPr>
        <w:t xml:space="preserve">, </w:t>
      </w:r>
      <w:r w:rsidRPr="0008328C">
        <w:rPr>
          <w:color w:val="000000"/>
          <w:shd w:val="clear" w:color="auto" w:fill="FFFFFF"/>
        </w:rPr>
        <w:t>“the magistrate had a ‘substantial basis for</w:t>
      </w:r>
      <w:r>
        <w:rPr>
          <w:color w:val="000000"/>
          <w:shd w:val="clear" w:color="auto" w:fill="FFFFFF"/>
        </w:rPr>
        <w:t> </w:t>
      </w:r>
      <w:r w:rsidRPr="0008328C">
        <w:rPr>
          <w:color w:val="000000"/>
          <w:shd w:val="clear" w:color="auto" w:fill="FFFFFF"/>
        </w:rPr>
        <w:t>. . . conclud[in</w:t>
      </w:r>
      <w:r w:rsidRPr="0008328C">
        <w:rPr>
          <w:color w:val="000000"/>
          <w:shd w:val="clear" w:color="auto" w:fill="FFFFFF"/>
        </w:rPr>
        <w:t>g]’ that probable cause existed” (</w:t>
      </w:r>
      <w:r w:rsidRPr="0008328C">
        <w:rPr>
          <w:i/>
          <w:color w:val="000000"/>
          <w:shd w:val="clear" w:color="auto" w:fill="FFFFFF"/>
        </w:rPr>
        <w:t>Gates</w:t>
      </w:r>
      <w:r w:rsidRPr="0008328C">
        <w:rPr>
          <w:color w:val="000000"/>
          <w:shd w:val="clear" w:color="auto" w:fill="FFFFFF"/>
        </w:rPr>
        <w:t xml:space="preserve">, </w:t>
      </w:r>
      <w:r w:rsidRPr="0008328C">
        <w:rPr>
          <w:i/>
          <w:color w:val="000000"/>
          <w:shd w:val="clear" w:color="auto" w:fill="FFFFFF"/>
        </w:rPr>
        <w:t>supra</w:t>
      </w:r>
      <w:r w:rsidRPr="0008328C">
        <w:rPr>
          <w:color w:val="000000"/>
          <w:shd w:val="clear" w:color="auto" w:fill="FFFFFF"/>
        </w:rPr>
        <w:t>, 462 U.S. at pp. 238-239)</w:t>
      </w:r>
      <w:r>
        <w:rPr>
          <w:color w:val="000000"/>
          <w:shd w:val="clear" w:color="auto" w:fill="FFFFFF"/>
        </w:rPr>
        <w:t xml:space="preserve"> to believe arson that arson had been committed against S.S.’s home using an accelerant, defendant was implicated, and evidence of the arson would be found in defendant’s </w:t>
      </w:r>
      <w:r w:rsidRPr="0008328C">
        <w:rPr>
          <w:color w:val="000000"/>
          <w:shd w:val="clear" w:color="auto" w:fill="FFFFFF"/>
        </w:rPr>
        <w:t>home.  Conseq</w:t>
      </w:r>
      <w:r w:rsidRPr="0008328C">
        <w:rPr>
          <w:color w:val="000000"/>
          <w:shd w:val="clear" w:color="auto" w:fill="FFFFFF"/>
        </w:rPr>
        <w:t>uently, the trial court properly denied the defendant’s motion to suppress.</w:t>
      </w:r>
    </w:p>
    <w:p w:rsidR="0098447F" w:rsidRDefault="005300CC" w:rsidP="0098447F">
      <w:pPr>
        <w:ind w:firstLine="720"/>
      </w:pPr>
      <w:r w:rsidRPr="0008328C">
        <w:rPr>
          <w:color w:val="000000"/>
          <w:shd w:val="clear" w:color="auto" w:fill="FFFFFF"/>
        </w:rPr>
        <w:t xml:space="preserve">Citing two federal </w:t>
      </w:r>
      <w:r>
        <w:rPr>
          <w:color w:val="000000"/>
          <w:shd w:val="clear" w:color="auto" w:fill="FFFFFF"/>
        </w:rPr>
        <w:t>C</w:t>
      </w:r>
      <w:r w:rsidRPr="0008328C">
        <w:rPr>
          <w:color w:val="000000"/>
          <w:shd w:val="clear" w:color="auto" w:fill="FFFFFF"/>
        </w:rPr>
        <w:t xml:space="preserve">ourt of </w:t>
      </w:r>
      <w:r>
        <w:rPr>
          <w:color w:val="000000"/>
          <w:shd w:val="clear" w:color="auto" w:fill="FFFFFF"/>
        </w:rPr>
        <w:t>A</w:t>
      </w:r>
      <w:r w:rsidRPr="0008328C">
        <w:rPr>
          <w:color w:val="000000"/>
          <w:shd w:val="clear" w:color="auto" w:fill="FFFFFF"/>
        </w:rPr>
        <w:t>ppeal</w:t>
      </w:r>
      <w:r>
        <w:rPr>
          <w:color w:val="000000"/>
          <w:shd w:val="clear" w:color="auto" w:fill="FFFFFF"/>
        </w:rPr>
        <w:t>s</w:t>
      </w:r>
      <w:r w:rsidRPr="0008328C">
        <w:rPr>
          <w:color w:val="000000"/>
          <w:shd w:val="clear" w:color="auto" w:fill="FFFFFF"/>
        </w:rPr>
        <w:t xml:space="preserve"> cases, defendant nevertheless argues that evidence of crimes and suspicious acts not related to the arson cannot establish probable cause to sea</w:t>
      </w:r>
      <w:r w:rsidRPr="0008328C">
        <w:rPr>
          <w:color w:val="000000"/>
          <w:shd w:val="clear" w:color="auto" w:fill="FFFFFF"/>
        </w:rPr>
        <w:t xml:space="preserve">rch for evidence of arson.  </w:t>
      </w:r>
      <w:r w:rsidRPr="0008328C">
        <w:t>In</w:t>
      </w:r>
      <w:r>
        <w:t xml:space="preserve"> one case,</w:t>
      </w:r>
      <w:r w:rsidRPr="0008328C">
        <w:t xml:space="preserve"> </w:t>
      </w:r>
      <w:r w:rsidRPr="0008328C">
        <w:rPr>
          <w:i/>
        </w:rPr>
        <w:t>United States v</w:t>
      </w:r>
      <w:r w:rsidRPr="00F85B97">
        <w:t xml:space="preserve">. </w:t>
      </w:r>
      <w:r w:rsidRPr="0008328C">
        <w:rPr>
          <w:i/>
        </w:rPr>
        <w:t>Weber</w:t>
      </w:r>
      <w:r w:rsidRPr="0008328C">
        <w:t xml:space="preserve"> (9th Cir. 1990) 923 F.2d 1338 (</w:t>
      </w:r>
      <w:r w:rsidRPr="0008328C">
        <w:rPr>
          <w:i/>
        </w:rPr>
        <w:t>Weber</w:t>
      </w:r>
      <w:r w:rsidRPr="0008328C">
        <w:t xml:space="preserve">), </w:t>
      </w:r>
      <w:r>
        <w:t>the affidavit in support of a warrant to search the defendant’s house provided a general description of “the proclivities of pedophiles” (</w:t>
      </w:r>
      <w:r w:rsidRPr="001C528F">
        <w:rPr>
          <w:i/>
        </w:rPr>
        <w:t>id</w:t>
      </w:r>
      <w:r>
        <w:t>. at p. 1341)</w:t>
      </w:r>
      <w:r>
        <w:t xml:space="preserve"> and “information about different types of perverts who commit sex crimes against children” (</w:t>
      </w:r>
      <w:r w:rsidRPr="001C528F">
        <w:rPr>
          <w:i/>
        </w:rPr>
        <w:t>id</w:t>
      </w:r>
      <w:r>
        <w:t>. at p. 1345), but the affidavit contained no information that placed the defendant in the category of pedophiles, child molesters, or child pornography collecto</w:t>
      </w:r>
      <w:r>
        <w:t>rs.  (</w:t>
      </w:r>
      <w:r w:rsidRPr="0098447F">
        <w:rPr>
          <w:i/>
        </w:rPr>
        <w:t>Id</w:t>
      </w:r>
      <w:r>
        <w:t>. at pp. 1345-1346.)  The affiant did not even opine that the defendant “probably [was] a ‘child molester,’ ‘pedophile,’ or ‘collector of [child] pornography’ based on what he [knew] of [the defendant].”  (</w:t>
      </w:r>
      <w:r w:rsidRPr="0098447F">
        <w:rPr>
          <w:i/>
        </w:rPr>
        <w:t>Id</w:t>
      </w:r>
      <w:r>
        <w:t>. at p. 1341.)</w:t>
      </w:r>
    </w:p>
    <w:p w:rsidR="004E14FB" w:rsidRPr="0008328C" w:rsidRDefault="005300CC" w:rsidP="0098447F">
      <w:pPr>
        <w:ind w:firstLine="720"/>
        <w:rPr>
          <w:color w:val="000000"/>
          <w:shd w:val="clear" w:color="auto" w:fill="FFFFFF"/>
        </w:rPr>
      </w:pPr>
      <w:r>
        <w:t xml:space="preserve">In </w:t>
      </w:r>
      <w:r w:rsidRPr="0098447F">
        <w:rPr>
          <w:i/>
        </w:rPr>
        <w:t>Weber</w:t>
      </w:r>
      <w:r>
        <w:t xml:space="preserve">, the United States </w:t>
      </w:r>
      <w:r w:rsidRPr="0008328C">
        <w:t>Court of Appeal</w:t>
      </w:r>
      <w:r>
        <w:t>s</w:t>
      </w:r>
      <w:r w:rsidRPr="0008328C">
        <w:t xml:space="preserve">, </w:t>
      </w:r>
      <w:r>
        <w:t xml:space="preserve">Ninth Circuit, </w:t>
      </w:r>
      <w:r w:rsidRPr="0008328C">
        <w:t xml:space="preserve">held that the affidavit did not establish probable cause to search for child pornography (in addition to the specific materials that </w:t>
      </w:r>
      <w:r>
        <w:t xml:space="preserve">had </w:t>
      </w:r>
      <w:r w:rsidRPr="0008328C">
        <w:t xml:space="preserve">arrived at his house through a controlled delivery) </w:t>
      </w:r>
      <w:r>
        <w:t>because</w:t>
      </w:r>
      <w:r w:rsidRPr="0008328C">
        <w:t xml:space="preserve"> there </w:t>
      </w:r>
      <w:r w:rsidRPr="0008328C">
        <w:t xml:space="preserve">was no evidence that </w:t>
      </w:r>
      <w:r>
        <w:t>the defendant</w:t>
      </w:r>
      <w:r w:rsidRPr="0008328C">
        <w:t xml:space="preserve"> had </w:t>
      </w:r>
      <w:r>
        <w:t xml:space="preserve">other </w:t>
      </w:r>
      <w:r w:rsidRPr="0008328C">
        <w:t>child pornography in his home</w:t>
      </w:r>
      <w:r>
        <w:t xml:space="preserve"> or that </w:t>
      </w:r>
      <w:r w:rsidRPr="0008328C">
        <w:t>he was a child molester</w:t>
      </w:r>
      <w:r>
        <w:t xml:space="preserve"> or a</w:t>
      </w:r>
      <w:r w:rsidRPr="0008328C">
        <w:t xml:space="preserve"> collector of child pornography.  (</w:t>
      </w:r>
      <w:r w:rsidRPr="005C0824">
        <w:rPr>
          <w:i/>
        </w:rPr>
        <w:t>Weber</w:t>
      </w:r>
      <w:r>
        <w:t xml:space="preserve">, </w:t>
      </w:r>
      <w:r w:rsidRPr="005C0824">
        <w:rPr>
          <w:i/>
        </w:rPr>
        <w:t>supra</w:t>
      </w:r>
      <w:r>
        <w:t xml:space="preserve">, </w:t>
      </w:r>
      <w:r w:rsidRPr="0008328C">
        <w:t>923 F.2d</w:t>
      </w:r>
      <w:r w:rsidRPr="0008328C">
        <w:rPr>
          <w:i/>
        </w:rPr>
        <w:t xml:space="preserve"> </w:t>
      </w:r>
      <w:r w:rsidRPr="0008328C">
        <w:t>at pp. 13</w:t>
      </w:r>
      <w:r>
        <w:t>45-</w:t>
      </w:r>
      <w:r w:rsidRPr="0008328C">
        <w:t>134</w:t>
      </w:r>
      <w:r>
        <w:t>6</w:t>
      </w:r>
      <w:r w:rsidRPr="0008328C">
        <w:t xml:space="preserve">.)  The </w:t>
      </w:r>
      <w:r>
        <w:t xml:space="preserve">court </w:t>
      </w:r>
      <w:r w:rsidRPr="0008328C">
        <w:t>stated that “if the government presents expert opinion ab</w:t>
      </w:r>
      <w:r w:rsidRPr="0008328C">
        <w:t>out the behavior of a particular class of persons, for the opinion to have any relevance, the affidavit must lay a foundation which shows that the person subject to the search is a member of the class.”  (</w:t>
      </w:r>
      <w:r w:rsidRPr="0008328C">
        <w:rPr>
          <w:i/>
        </w:rPr>
        <w:t>Id</w:t>
      </w:r>
      <w:r w:rsidRPr="0008328C">
        <w:t xml:space="preserve">. at p. 1345.)  The court </w:t>
      </w:r>
      <w:r>
        <w:t xml:space="preserve">also </w:t>
      </w:r>
      <w:r w:rsidRPr="0008328C">
        <w:t xml:space="preserve">concluded that it </w:t>
      </w:r>
      <w:r w:rsidRPr="0008328C">
        <w:t>could not be inferred that</w:t>
      </w:r>
      <w:r>
        <w:t xml:space="preserve"> the defendant</w:t>
      </w:r>
      <w:r w:rsidRPr="0008328C">
        <w:t xml:space="preserve"> kept child pornography in his home from the circumstance that two years earlier a custom</w:t>
      </w:r>
      <w:r>
        <w:t>s inspector</w:t>
      </w:r>
      <w:r w:rsidRPr="0008328C">
        <w:t xml:space="preserve"> had intercepted </w:t>
      </w:r>
      <w:r w:rsidRPr="0008328C">
        <w:rPr>
          <w:color w:val="000000"/>
          <w:shd w:val="clear" w:color="auto" w:fill="FFFFFF"/>
        </w:rPr>
        <w:t>advertising material (“‘apparently’ child pornography”) that had been sent to</w:t>
      </w:r>
      <w:r>
        <w:rPr>
          <w:color w:val="000000"/>
          <w:shd w:val="clear" w:color="auto" w:fill="FFFFFF"/>
        </w:rPr>
        <w:t xml:space="preserve"> the defendant </w:t>
      </w:r>
      <w:r w:rsidRPr="0008328C">
        <w:rPr>
          <w:color w:val="000000"/>
          <w:shd w:val="clear" w:color="auto" w:fill="FFFFFF"/>
        </w:rPr>
        <w:t>because</w:t>
      </w:r>
      <w:r w:rsidRPr="0008328C">
        <w:rPr>
          <w:color w:val="000000"/>
          <w:shd w:val="clear" w:color="auto" w:fill="FFFFFF"/>
        </w:rPr>
        <w:t xml:space="preserve"> there was no proof that </w:t>
      </w:r>
      <w:r>
        <w:rPr>
          <w:color w:val="000000"/>
          <w:shd w:val="clear" w:color="auto" w:fill="FFFFFF"/>
        </w:rPr>
        <w:t>the defendant</w:t>
      </w:r>
      <w:r w:rsidRPr="0008328C">
        <w:rPr>
          <w:color w:val="000000"/>
          <w:shd w:val="clear" w:color="auto" w:fill="FFFFFF"/>
        </w:rPr>
        <w:t xml:space="preserve"> had requested the material and </w:t>
      </w:r>
      <w:r>
        <w:rPr>
          <w:color w:val="000000"/>
          <w:shd w:val="clear" w:color="auto" w:fill="FFFFFF"/>
        </w:rPr>
        <w:t>t</w:t>
      </w:r>
      <w:r w:rsidRPr="0008328C">
        <w:rPr>
          <w:color w:val="000000"/>
          <w:shd w:val="clear" w:color="auto" w:fill="FFFFFF"/>
        </w:rPr>
        <w:t>he</w:t>
      </w:r>
      <w:r>
        <w:rPr>
          <w:color w:val="000000"/>
          <w:shd w:val="clear" w:color="auto" w:fill="FFFFFF"/>
        </w:rPr>
        <w:t xml:space="preserve"> defendant had not claimed </w:t>
      </w:r>
      <w:r w:rsidRPr="0008328C">
        <w:rPr>
          <w:color w:val="000000"/>
          <w:shd w:val="clear" w:color="auto" w:fill="FFFFFF"/>
        </w:rPr>
        <w:t xml:space="preserve">the material after he was advised that </w:t>
      </w:r>
      <w:r>
        <w:rPr>
          <w:color w:val="000000"/>
          <w:shd w:val="clear" w:color="auto" w:fill="FFFFFF"/>
        </w:rPr>
        <w:t xml:space="preserve">United States </w:t>
      </w:r>
      <w:r w:rsidRPr="0008328C">
        <w:rPr>
          <w:color w:val="000000"/>
          <w:shd w:val="clear" w:color="auto" w:fill="FFFFFF"/>
        </w:rPr>
        <w:t>Customs had it.  (</w:t>
      </w:r>
      <w:r w:rsidRPr="0008328C">
        <w:rPr>
          <w:i/>
          <w:color w:val="000000"/>
          <w:shd w:val="clear" w:color="auto" w:fill="FFFFFF"/>
        </w:rPr>
        <w:t>Id</w:t>
      </w:r>
      <w:r w:rsidRPr="0008328C">
        <w:rPr>
          <w:color w:val="000000"/>
          <w:shd w:val="clear" w:color="auto" w:fill="FFFFFF"/>
        </w:rPr>
        <w:t xml:space="preserve">. at p. 1344.)  </w:t>
      </w:r>
      <w:r>
        <w:rPr>
          <w:color w:val="000000"/>
          <w:shd w:val="clear" w:color="auto" w:fill="FFFFFF"/>
        </w:rPr>
        <w:t>In the present case, d</w:t>
      </w:r>
      <w:r w:rsidRPr="0008328C">
        <w:rPr>
          <w:color w:val="000000"/>
          <w:shd w:val="clear" w:color="auto" w:fill="FFFFFF"/>
        </w:rPr>
        <w:t xml:space="preserve">efendant argues that “[j]ust as in </w:t>
      </w:r>
      <w:r w:rsidRPr="0008328C">
        <w:rPr>
          <w:i/>
          <w:color w:val="000000"/>
          <w:shd w:val="clear" w:color="auto" w:fill="FFFFFF"/>
        </w:rPr>
        <w:t>Weber</w:t>
      </w:r>
      <w:r w:rsidRPr="0008328C">
        <w:rPr>
          <w:color w:val="000000"/>
          <w:shd w:val="clear" w:color="auto" w:fill="FFFFFF"/>
        </w:rPr>
        <w:t>, the</w:t>
      </w:r>
      <w:r w:rsidRPr="0008328C">
        <w:rPr>
          <w:color w:val="000000"/>
          <w:shd w:val="clear" w:color="auto" w:fill="FFFFFF"/>
        </w:rPr>
        <w:t xml:space="preserve"> affidavit</w:t>
      </w:r>
      <w:r>
        <w:rPr>
          <w:color w:val="000000"/>
          <w:shd w:val="clear" w:color="auto" w:fill="FFFFFF"/>
        </w:rPr>
        <w:t>[’]s</w:t>
      </w:r>
      <w:r w:rsidRPr="0008328C">
        <w:rPr>
          <w:color w:val="000000"/>
          <w:shd w:val="clear" w:color="auto" w:fill="FFFFFF"/>
        </w:rPr>
        <w:t xml:space="preserve"> account of suspicious events and allegations [of] prior bad conduct were insufficient to support the magistrate[’]s finding of probable cause.”</w:t>
      </w:r>
    </w:p>
    <w:p w:rsidR="004E14FB" w:rsidRPr="0008328C" w:rsidRDefault="005300CC" w:rsidP="0008328C">
      <w:pPr>
        <w:ind w:firstLine="720"/>
        <w:rPr>
          <w:color w:val="000000"/>
          <w:shd w:val="clear" w:color="auto" w:fill="FFFFFF"/>
        </w:rPr>
      </w:pPr>
      <w:r w:rsidRPr="0008328C">
        <w:rPr>
          <w:color w:val="000000"/>
          <w:shd w:val="clear" w:color="auto" w:fill="FFFFFF"/>
        </w:rPr>
        <w:t xml:space="preserve">In </w:t>
      </w:r>
      <w:r w:rsidRPr="0008328C">
        <w:rPr>
          <w:i/>
          <w:color w:val="000000"/>
          <w:shd w:val="clear" w:color="auto" w:fill="FFFFFF"/>
        </w:rPr>
        <w:t>United States v</w:t>
      </w:r>
      <w:r w:rsidRPr="00BF57C5">
        <w:rPr>
          <w:color w:val="000000"/>
          <w:shd w:val="clear" w:color="auto" w:fill="FFFFFF"/>
        </w:rPr>
        <w:t xml:space="preserve">. </w:t>
      </w:r>
      <w:r w:rsidRPr="0008328C">
        <w:rPr>
          <w:i/>
          <w:color w:val="000000"/>
          <w:shd w:val="clear" w:color="auto" w:fill="FFFFFF"/>
        </w:rPr>
        <w:t>Underwood</w:t>
      </w:r>
      <w:r w:rsidRPr="0008328C">
        <w:rPr>
          <w:color w:val="000000"/>
          <w:shd w:val="clear" w:color="auto" w:fill="FFFFFF"/>
        </w:rPr>
        <w:t xml:space="preserve"> (9th Cir. 2013) 725 F.3d 1076, </w:t>
      </w:r>
      <w:r>
        <w:rPr>
          <w:color w:val="000000"/>
          <w:shd w:val="clear" w:color="auto" w:fill="FFFFFF"/>
        </w:rPr>
        <w:t xml:space="preserve">another case cited by </w:t>
      </w:r>
      <w:r w:rsidRPr="0008328C">
        <w:rPr>
          <w:color w:val="000000"/>
          <w:shd w:val="clear" w:color="auto" w:fill="FFFFFF"/>
        </w:rPr>
        <w:t xml:space="preserve">defendant, </w:t>
      </w:r>
      <w:r>
        <w:rPr>
          <w:color w:val="000000"/>
          <w:shd w:val="clear" w:color="auto" w:fill="FFFFFF"/>
        </w:rPr>
        <w:t xml:space="preserve">defendant </w:t>
      </w:r>
      <w:r w:rsidRPr="0008328C">
        <w:rPr>
          <w:color w:val="000000"/>
          <w:shd w:val="clear" w:color="auto" w:fill="FFFFFF"/>
        </w:rPr>
        <w:t xml:space="preserve">Underwood challenged a warrant to search for evidence of drug trafficking in his home.  The </w:t>
      </w:r>
      <w:r>
        <w:rPr>
          <w:color w:val="000000"/>
          <w:shd w:val="clear" w:color="auto" w:fill="FFFFFF"/>
        </w:rPr>
        <w:t xml:space="preserve">United States </w:t>
      </w:r>
      <w:r w:rsidRPr="0008328C">
        <w:rPr>
          <w:color w:val="000000"/>
          <w:shd w:val="clear" w:color="auto" w:fill="FFFFFF"/>
        </w:rPr>
        <w:t>Court of Appeal</w:t>
      </w:r>
      <w:r>
        <w:rPr>
          <w:color w:val="000000"/>
          <w:shd w:val="clear" w:color="auto" w:fill="FFFFFF"/>
        </w:rPr>
        <w:t>s</w:t>
      </w:r>
      <w:r w:rsidRPr="0008328C">
        <w:rPr>
          <w:color w:val="000000"/>
          <w:shd w:val="clear" w:color="auto" w:fill="FFFFFF"/>
        </w:rPr>
        <w:t xml:space="preserve">, Ninth Circuit, determined that the affidavit “fail[ed] to provide a sufficient basis for </w:t>
      </w:r>
      <w:r w:rsidRPr="0008328C">
        <w:rPr>
          <w:color w:val="000000"/>
          <w:shd w:val="clear" w:color="auto" w:fill="FFFFFF"/>
        </w:rPr>
        <w:t xml:space="preserve">probable cause” because “[l]ike the affidavit in </w:t>
      </w:r>
      <w:r w:rsidRPr="0008328C">
        <w:rPr>
          <w:i/>
          <w:color w:val="000000"/>
          <w:shd w:val="clear" w:color="auto" w:fill="FFFFFF"/>
        </w:rPr>
        <w:t>Weber</w:t>
      </w:r>
      <w:r w:rsidRPr="0008328C">
        <w:rPr>
          <w:color w:val="000000"/>
          <w:shd w:val="clear" w:color="auto" w:fill="FFFFFF"/>
        </w:rPr>
        <w:t>, [it] include[d] only two facts, foundationless expert opinion [about the general behavior of drug traffickers], and conclusory allegations.”  (</w:t>
      </w:r>
      <w:r w:rsidRPr="0008328C">
        <w:rPr>
          <w:i/>
          <w:color w:val="000000"/>
          <w:shd w:val="clear" w:color="auto" w:fill="FFFFFF"/>
        </w:rPr>
        <w:t>Id</w:t>
      </w:r>
      <w:r w:rsidRPr="0008328C">
        <w:rPr>
          <w:color w:val="000000"/>
          <w:shd w:val="clear" w:color="auto" w:fill="FFFFFF"/>
        </w:rPr>
        <w:t xml:space="preserve">. at p. 1082.)  The court concluded that a detective’s </w:t>
      </w:r>
      <w:r w:rsidRPr="0008328C">
        <w:rPr>
          <w:color w:val="000000"/>
          <w:shd w:val="clear" w:color="auto" w:fill="FFFFFF"/>
        </w:rPr>
        <w:t>observation of a baggie of marijuana of an amount consistent with personal use at Underwood’s home “lack[ed] a nexus with ecstasy trafficking and therefore [did] not support the conclusion that Underwood [was</w:t>
      </w:r>
      <w:r>
        <w:rPr>
          <w:color w:val="000000"/>
          <w:shd w:val="clear" w:color="auto" w:fill="FFFFFF"/>
        </w:rPr>
        <w:t xml:space="preserve"> </w:t>
      </w:r>
      <w:r w:rsidRPr="0008328C">
        <w:rPr>
          <w:color w:val="000000"/>
          <w:shd w:val="clear" w:color="auto" w:fill="FFFFFF"/>
        </w:rPr>
        <w:t>an] ecstasy trafficker.”  (</w:t>
      </w:r>
      <w:r w:rsidRPr="0008328C">
        <w:rPr>
          <w:i/>
          <w:color w:val="000000"/>
          <w:shd w:val="clear" w:color="auto" w:fill="FFFFFF"/>
        </w:rPr>
        <w:t>Ibid</w:t>
      </w:r>
      <w:r w:rsidRPr="0008328C">
        <w:rPr>
          <w:color w:val="000000"/>
          <w:shd w:val="clear" w:color="auto" w:fill="FFFFFF"/>
        </w:rPr>
        <w:t>.)  The court al</w:t>
      </w:r>
      <w:r w:rsidRPr="0008328C">
        <w:rPr>
          <w:color w:val="000000"/>
          <w:shd w:val="clear" w:color="auto" w:fill="FFFFFF"/>
        </w:rPr>
        <w:t xml:space="preserve">so concluded that agents’ observation of </w:t>
      </w:r>
      <w:r>
        <w:rPr>
          <w:color w:val="000000"/>
          <w:shd w:val="clear" w:color="auto" w:fill="FFFFFF"/>
        </w:rPr>
        <w:t xml:space="preserve">defendant </w:t>
      </w:r>
      <w:r w:rsidRPr="0008328C">
        <w:rPr>
          <w:color w:val="000000"/>
          <w:shd w:val="clear" w:color="auto" w:fill="FFFFFF"/>
        </w:rPr>
        <w:t xml:space="preserve">Underwood’s delivery of two unmarked wooden crates could not support a conclusion that </w:t>
      </w:r>
      <w:r>
        <w:rPr>
          <w:color w:val="000000"/>
          <w:shd w:val="clear" w:color="auto" w:fill="FFFFFF"/>
        </w:rPr>
        <w:t xml:space="preserve">he </w:t>
      </w:r>
      <w:r w:rsidRPr="0008328C">
        <w:rPr>
          <w:color w:val="000000"/>
          <w:shd w:val="clear" w:color="auto" w:fill="FFFFFF"/>
        </w:rPr>
        <w:t>was a drug courier.  (</w:t>
      </w:r>
      <w:r w:rsidRPr="0008328C">
        <w:rPr>
          <w:i/>
          <w:color w:val="000000"/>
          <w:shd w:val="clear" w:color="auto" w:fill="FFFFFF"/>
        </w:rPr>
        <w:t>Id</w:t>
      </w:r>
      <w:r w:rsidRPr="0008328C">
        <w:rPr>
          <w:color w:val="000000"/>
          <w:shd w:val="clear" w:color="auto" w:fill="FFFFFF"/>
        </w:rPr>
        <w:t xml:space="preserve">. at pp. 1083-1084.)  </w:t>
      </w:r>
      <w:r>
        <w:rPr>
          <w:color w:val="000000"/>
          <w:shd w:val="clear" w:color="auto" w:fill="FFFFFF"/>
        </w:rPr>
        <w:t xml:space="preserve">In this case, defendant contends that </w:t>
      </w:r>
      <w:r w:rsidRPr="0008328C">
        <w:rPr>
          <w:color w:val="000000"/>
          <w:shd w:val="clear" w:color="auto" w:fill="FFFFFF"/>
        </w:rPr>
        <w:t>“</w:t>
      </w:r>
      <w:r w:rsidRPr="0008328C">
        <w:rPr>
          <w:i/>
          <w:color w:val="000000"/>
          <w:shd w:val="clear" w:color="auto" w:fill="FFFFFF"/>
        </w:rPr>
        <w:t>Underwood</w:t>
      </w:r>
      <w:r w:rsidRPr="0008328C">
        <w:rPr>
          <w:color w:val="000000"/>
          <w:shd w:val="clear" w:color="auto" w:fill="FFFFFF"/>
        </w:rPr>
        <w:t xml:space="preserve"> teaches that even if</w:t>
      </w:r>
      <w:r w:rsidRPr="0008328C">
        <w:rPr>
          <w:color w:val="000000"/>
          <w:shd w:val="clear" w:color="auto" w:fill="FFFFFF"/>
        </w:rPr>
        <w:t xml:space="preserve"> an affidavit points to suspicious behavior or prior potentially-criminal [</w:t>
      </w:r>
      <w:r w:rsidRPr="0008328C">
        <w:rPr>
          <w:i/>
          <w:color w:val="000000"/>
          <w:shd w:val="clear" w:color="auto" w:fill="FFFFFF"/>
        </w:rPr>
        <w:t>sic</w:t>
      </w:r>
      <w:r w:rsidRPr="0008328C">
        <w:rPr>
          <w:color w:val="000000"/>
          <w:shd w:val="clear" w:color="auto" w:fill="FFFFFF"/>
        </w:rPr>
        <w:t>] acts, this sort of evidence cannot support a finding of probable cause.”</w:t>
      </w:r>
    </w:p>
    <w:p w:rsidR="004E14FB" w:rsidRPr="0008328C" w:rsidRDefault="005300CC" w:rsidP="00641347">
      <w:pPr>
        <w:ind w:firstLine="720"/>
        <w:rPr>
          <w:color w:val="000000"/>
          <w:shd w:val="clear" w:color="auto" w:fill="FFFFFF"/>
        </w:rPr>
      </w:pPr>
      <w:r w:rsidRPr="0008328C">
        <w:rPr>
          <w:color w:val="000000"/>
          <w:shd w:val="clear" w:color="auto" w:fill="FFFFFF"/>
        </w:rPr>
        <w:t xml:space="preserve">In this case, unlike </w:t>
      </w:r>
      <w:r w:rsidRPr="0008328C">
        <w:rPr>
          <w:i/>
          <w:color w:val="000000"/>
          <w:shd w:val="clear" w:color="auto" w:fill="FFFFFF"/>
        </w:rPr>
        <w:t>Weber</w:t>
      </w:r>
      <w:r w:rsidRPr="0008328C">
        <w:rPr>
          <w:color w:val="000000"/>
          <w:shd w:val="clear" w:color="auto" w:fill="FFFFFF"/>
        </w:rPr>
        <w:t xml:space="preserve"> or </w:t>
      </w:r>
      <w:r w:rsidRPr="0008328C">
        <w:rPr>
          <w:i/>
          <w:color w:val="000000"/>
          <w:shd w:val="clear" w:color="auto" w:fill="FFFFFF"/>
        </w:rPr>
        <w:t>Underwood</w:t>
      </w:r>
      <w:r w:rsidRPr="0008328C">
        <w:rPr>
          <w:color w:val="000000"/>
          <w:shd w:val="clear" w:color="auto" w:fill="FFFFFF"/>
        </w:rPr>
        <w:t>, the search warrant affi</w:t>
      </w:r>
      <w:r>
        <w:rPr>
          <w:color w:val="000000"/>
          <w:shd w:val="clear" w:color="auto" w:fill="FFFFFF"/>
        </w:rPr>
        <w:t>ant</w:t>
      </w:r>
      <w:r w:rsidRPr="0008328C">
        <w:rPr>
          <w:color w:val="000000"/>
          <w:shd w:val="clear" w:color="auto" w:fill="FFFFFF"/>
        </w:rPr>
        <w:t xml:space="preserve"> did not </w:t>
      </w:r>
      <w:r>
        <w:rPr>
          <w:color w:val="000000"/>
          <w:shd w:val="clear" w:color="auto" w:fill="FFFFFF"/>
        </w:rPr>
        <w:t xml:space="preserve">rely on </w:t>
      </w:r>
      <w:r w:rsidRPr="0008328C">
        <w:rPr>
          <w:color w:val="000000"/>
          <w:shd w:val="clear" w:color="auto" w:fill="FFFFFF"/>
        </w:rPr>
        <w:t>expert opinion conc</w:t>
      </w:r>
      <w:r w:rsidRPr="0008328C">
        <w:rPr>
          <w:color w:val="000000"/>
          <w:shd w:val="clear" w:color="auto" w:fill="FFFFFF"/>
        </w:rPr>
        <w:t xml:space="preserve">erning the general behavior of arsonists as a group and </w:t>
      </w:r>
      <w:r>
        <w:rPr>
          <w:color w:val="000000"/>
          <w:shd w:val="clear" w:color="auto" w:fill="FFFFFF"/>
        </w:rPr>
        <w:t xml:space="preserve">offer </w:t>
      </w:r>
      <w:r w:rsidRPr="0008328C">
        <w:rPr>
          <w:color w:val="000000"/>
          <w:shd w:val="clear" w:color="auto" w:fill="FFFFFF"/>
        </w:rPr>
        <w:t>a</w:t>
      </w:r>
      <w:r>
        <w:rPr>
          <w:color w:val="000000"/>
          <w:shd w:val="clear" w:color="auto" w:fill="FFFFFF"/>
        </w:rPr>
        <w:t>n unfounded c</w:t>
      </w:r>
      <w:r w:rsidRPr="0008328C">
        <w:rPr>
          <w:color w:val="000000"/>
          <w:shd w:val="clear" w:color="auto" w:fill="FFFFFF"/>
        </w:rPr>
        <w:t>onclus</w:t>
      </w:r>
      <w:r>
        <w:rPr>
          <w:color w:val="000000"/>
          <w:shd w:val="clear" w:color="auto" w:fill="FFFFFF"/>
        </w:rPr>
        <w:t xml:space="preserve">ion </w:t>
      </w:r>
      <w:r w:rsidRPr="0008328C">
        <w:rPr>
          <w:color w:val="000000"/>
          <w:shd w:val="clear" w:color="auto" w:fill="FFFFFF"/>
        </w:rPr>
        <w:t>that defendant was an arsonist.  Rather, the affidavit set forth evidence of defendant’s extended leave from work due to workplace performance problems</w:t>
      </w:r>
      <w:r>
        <w:rPr>
          <w:color w:val="000000"/>
          <w:shd w:val="clear" w:color="auto" w:fill="FFFFFF"/>
        </w:rPr>
        <w:t>;</w:t>
      </w:r>
      <w:r w:rsidRPr="0008328C">
        <w:rPr>
          <w:color w:val="000000"/>
          <w:shd w:val="clear" w:color="auto" w:fill="FFFFFF"/>
        </w:rPr>
        <w:t xml:space="preserve"> </w:t>
      </w:r>
      <w:r>
        <w:rPr>
          <w:color w:val="000000"/>
          <w:shd w:val="clear" w:color="auto" w:fill="FFFFFF"/>
        </w:rPr>
        <w:t>his</w:t>
      </w:r>
      <w:r w:rsidRPr="0008328C">
        <w:rPr>
          <w:color w:val="000000"/>
          <w:shd w:val="clear" w:color="auto" w:fill="FFFFFF"/>
        </w:rPr>
        <w:t xml:space="preserve"> termination o</w:t>
      </w:r>
      <w:r w:rsidRPr="0008328C">
        <w:rPr>
          <w:color w:val="000000"/>
          <w:shd w:val="clear" w:color="auto" w:fill="FFFFFF"/>
        </w:rPr>
        <w:t xml:space="preserve">f employment </w:t>
      </w:r>
      <w:r>
        <w:rPr>
          <w:color w:val="000000"/>
          <w:shd w:val="clear" w:color="auto" w:fill="FFFFFF"/>
        </w:rPr>
        <w:t xml:space="preserve">after he </w:t>
      </w:r>
      <w:r w:rsidRPr="0070678A">
        <w:rPr>
          <w:color w:val="000000"/>
          <w:shd w:val="clear" w:color="auto" w:fill="FFFFFF"/>
        </w:rPr>
        <w:t>surreptitious</w:t>
      </w:r>
      <w:r>
        <w:rPr>
          <w:color w:val="000000"/>
          <w:shd w:val="clear" w:color="auto" w:fill="FFFFFF"/>
        </w:rPr>
        <w:t xml:space="preserve">ly released </w:t>
      </w:r>
      <w:r w:rsidRPr="0008328C">
        <w:rPr>
          <w:color w:val="000000"/>
          <w:shd w:val="clear" w:color="auto" w:fill="FFFFFF"/>
        </w:rPr>
        <w:t>cockroaches</w:t>
      </w:r>
      <w:r>
        <w:rPr>
          <w:color w:val="000000"/>
          <w:shd w:val="clear" w:color="auto" w:fill="FFFFFF"/>
        </w:rPr>
        <w:t xml:space="preserve"> into </w:t>
      </w:r>
      <w:r w:rsidRPr="0008328C">
        <w:rPr>
          <w:color w:val="000000"/>
          <w:shd w:val="clear" w:color="auto" w:fill="FFFFFF"/>
        </w:rPr>
        <w:t>his workplace</w:t>
      </w:r>
      <w:r>
        <w:rPr>
          <w:color w:val="000000"/>
          <w:shd w:val="clear" w:color="auto" w:fill="FFFFFF"/>
        </w:rPr>
        <w:t>;</w:t>
      </w:r>
      <w:r w:rsidRPr="0008328C">
        <w:rPr>
          <w:color w:val="000000"/>
          <w:shd w:val="clear" w:color="auto" w:fill="FFFFFF"/>
        </w:rPr>
        <w:t xml:space="preserve"> </w:t>
      </w:r>
      <w:r>
        <w:rPr>
          <w:color w:val="000000"/>
          <w:shd w:val="clear" w:color="auto" w:fill="FFFFFF"/>
        </w:rPr>
        <w:t xml:space="preserve">defendant’s disgruntled attitude toward his termination and his </w:t>
      </w:r>
      <w:r w:rsidRPr="0008328C">
        <w:rPr>
          <w:color w:val="000000"/>
          <w:shd w:val="clear" w:color="auto" w:fill="FFFFFF"/>
        </w:rPr>
        <w:t>former supervisor</w:t>
      </w:r>
      <w:r>
        <w:rPr>
          <w:color w:val="000000"/>
          <w:shd w:val="clear" w:color="auto" w:fill="FFFFFF"/>
        </w:rPr>
        <w:t>, which provided a possible motive of retaliation against his workplace and his former superviso</w:t>
      </w:r>
      <w:r>
        <w:rPr>
          <w:color w:val="000000"/>
          <w:shd w:val="clear" w:color="auto" w:fill="FFFFFF"/>
        </w:rPr>
        <w:t xml:space="preserve">r; </w:t>
      </w:r>
      <w:r w:rsidRPr="0008328C">
        <w:rPr>
          <w:color w:val="000000"/>
          <w:shd w:val="clear" w:color="auto" w:fill="FFFFFF"/>
        </w:rPr>
        <w:t xml:space="preserve">the multiple harmful actions </w:t>
      </w:r>
      <w:r>
        <w:rPr>
          <w:color w:val="000000"/>
          <w:shd w:val="clear" w:color="auto" w:fill="FFFFFF"/>
        </w:rPr>
        <w:t xml:space="preserve">targeting </w:t>
      </w:r>
      <w:r w:rsidRPr="0008328C">
        <w:rPr>
          <w:color w:val="000000"/>
          <w:shd w:val="clear" w:color="auto" w:fill="FFFFFF"/>
        </w:rPr>
        <w:t>defendant’s former workplace and his former supervisor</w:t>
      </w:r>
      <w:r>
        <w:rPr>
          <w:color w:val="000000"/>
          <w:shd w:val="clear" w:color="auto" w:fill="FFFFFF"/>
        </w:rPr>
        <w:t xml:space="preserve"> shortly after defendant was terminated; </w:t>
      </w:r>
      <w:r w:rsidRPr="0008328C">
        <w:rPr>
          <w:color w:val="000000"/>
          <w:shd w:val="clear" w:color="auto" w:fill="FFFFFF"/>
        </w:rPr>
        <w:t xml:space="preserve">and defendant’s apparent mental health problems.  A totality-of-the-circumstances analysis supported the </w:t>
      </w:r>
      <w:r w:rsidRPr="0008328C">
        <w:rPr>
          <w:color w:val="000000"/>
          <w:shd w:val="clear" w:color="auto" w:fill="FFFFFF"/>
        </w:rPr>
        <w:t>issuance of the warrant.</w:t>
      </w:r>
    </w:p>
    <w:p w:rsidR="00E2637E" w:rsidRPr="0008328C" w:rsidRDefault="005300CC" w:rsidP="00E1133A">
      <w:pPr>
        <w:ind w:firstLine="720"/>
        <w:rPr>
          <w:color w:val="000000"/>
          <w:shd w:val="clear" w:color="auto" w:fill="FFFFFF"/>
        </w:rPr>
      </w:pPr>
      <w:r>
        <w:rPr>
          <w:color w:val="000000"/>
          <w:shd w:val="clear" w:color="auto" w:fill="FFFFFF"/>
        </w:rPr>
        <w:t>Even if a close question, w</w:t>
      </w:r>
      <w:r w:rsidRPr="0008328C">
        <w:rPr>
          <w:color w:val="000000"/>
          <w:shd w:val="clear" w:color="auto" w:fill="FFFFFF"/>
        </w:rPr>
        <w:t xml:space="preserve">e conclude that the issuing magistrate had a substantial basis for concluding that probable cause </w:t>
      </w:r>
      <w:r>
        <w:rPr>
          <w:color w:val="000000"/>
          <w:shd w:val="clear" w:color="auto" w:fill="FFFFFF"/>
        </w:rPr>
        <w:t xml:space="preserve">existed </w:t>
      </w:r>
      <w:r w:rsidRPr="0008328C">
        <w:rPr>
          <w:color w:val="000000"/>
          <w:shd w:val="clear" w:color="auto" w:fill="FFFFFF"/>
        </w:rPr>
        <w:t>for issuance of the search warrant</w:t>
      </w:r>
      <w:r>
        <w:rPr>
          <w:color w:val="000000"/>
          <w:shd w:val="clear" w:color="auto" w:fill="FFFFFF"/>
        </w:rPr>
        <w:t xml:space="preserve">, i.e., </w:t>
      </w:r>
      <w:r w:rsidRPr="0008328C">
        <w:rPr>
          <w:color w:val="000000"/>
          <w:shd w:val="clear" w:color="auto" w:fill="FFFFFF"/>
        </w:rPr>
        <w:t>there was a fair probability that evidence of the crime</w:t>
      </w:r>
      <w:r>
        <w:rPr>
          <w:color w:val="000000"/>
          <w:shd w:val="clear" w:color="auto" w:fill="FFFFFF"/>
        </w:rPr>
        <w:t xml:space="preserve"> </w:t>
      </w:r>
      <w:r>
        <w:rPr>
          <w:color w:val="000000"/>
          <w:shd w:val="clear" w:color="auto" w:fill="FFFFFF"/>
        </w:rPr>
        <w:t>w</w:t>
      </w:r>
      <w:r w:rsidRPr="0008328C">
        <w:rPr>
          <w:color w:val="000000"/>
          <w:shd w:val="clear" w:color="auto" w:fill="FFFFFF"/>
        </w:rPr>
        <w:t xml:space="preserve">ould be found in </w:t>
      </w:r>
      <w:r>
        <w:rPr>
          <w:color w:val="000000"/>
          <w:shd w:val="clear" w:color="auto" w:fill="FFFFFF"/>
        </w:rPr>
        <w:t>defendant’s</w:t>
      </w:r>
      <w:r w:rsidRPr="0008328C">
        <w:rPr>
          <w:color w:val="000000"/>
          <w:shd w:val="clear" w:color="auto" w:fill="FFFFFF"/>
        </w:rPr>
        <w:t xml:space="preserve"> home.  (See </w:t>
      </w:r>
      <w:r w:rsidRPr="0008328C">
        <w:rPr>
          <w:i/>
          <w:color w:val="000000"/>
          <w:shd w:val="clear" w:color="auto" w:fill="FFFFFF"/>
        </w:rPr>
        <w:t>Gates</w:t>
      </w:r>
      <w:r w:rsidRPr="0008328C">
        <w:rPr>
          <w:color w:val="000000"/>
          <w:shd w:val="clear" w:color="auto" w:fill="FFFFFF"/>
        </w:rPr>
        <w:t xml:space="preserve">, </w:t>
      </w:r>
      <w:r w:rsidRPr="0008328C">
        <w:rPr>
          <w:i/>
          <w:color w:val="000000"/>
          <w:shd w:val="clear" w:color="auto" w:fill="FFFFFF"/>
        </w:rPr>
        <w:t>supra</w:t>
      </w:r>
      <w:r w:rsidRPr="0008328C">
        <w:rPr>
          <w:color w:val="000000"/>
          <w:shd w:val="clear" w:color="auto" w:fill="FFFFFF"/>
        </w:rPr>
        <w:t>, 462 U.S. at pp. 238-239</w:t>
      </w:r>
      <w:r>
        <w:rPr>
          <w:color w:val="000000"/>
          <w:shd w:val="clear" w:color="auto" w:fill="FFFFFF"/>
        </w:rPr>
        <w:t xml:space="preserve">; see also </w:t>
      </w:r>
      <w:r w:rsidRPr="00E1133A">
        <w:rPr>
          <w:i/>
          <w:color w:val="000000"/>
          <w:shd w:val="clear" w:color="auto" w:fill="FFFFFF"/>
        </w:rPr>
        <w:t>U</w:t>
      </w:r>
      <w:r>
        <w:rPr>
          <w:i/>
          <w:color w:val="000000"/>
          <w:shd w:val="clear" w:color="auto" w:fill="FFFFFF"/>
        </w:rPr>
        <w:t xml:space="preserve">nites </w:t>
      </w:r>
      <w:r w:rsidRPr="00E1133A">
        <w:rPr>
          <w:i/>
          <w:color w:val="000000"/>
          <w:shd w:val="clear" w:color="auto" w:fill="FFFFFF"/>
        </w:rPr>
        <w:t>S</w:t>
      </w:r>
      <w:r>
        <w:rPr>
          <w:i/>
          <w:color w:val="000000"/>
          <w:shd w:val="clear" w:color="auto" w:fill="FFFFFF"/>
        </w:rPr>
        <w:t>tates</w:t>
      </w:r>
      <w:r w:rsidRPr="00E1133A">
        <w:rPr>
          <w:i/>
          <w:color w:val="000000"/>
          <w:shd w:val="clear" w:color="auto" w:fill="FFFFFF"/>
        </w:rPr>
        <w:t xml:space="preserve"> v</w:t>
      </w:r>
      <w:r w:rsidRPr="00C34C88">
        <w:rPr>
          <w:color w:val="000000"/>
          <w:shd w:val="clear" w:color="auto" w:fill="FFFFFF"/>
        </w:rPr>
        <w:t xml:space="preserve">. </w:t>
      </w:r>
      <w:r w:rsidRPr="00E1133A">
        <w:rPr>
          <w:i/>
          <w:color w:val="000000"/>
          <w:shd w:val="clear" w:color="auto" w:fill="FFFFFF"/>
        </w:rPr>
        <w:t>Jackson</w:t>
      </w:r>
      <w:r w:rsidRPr="00E1133A">
        <w:rPr>
          <w:color w:val="000000"/>
          <w:shd w:val="clear" w:color="auto" w:fill="FFFFFF"/>
        </w:rPr>
        <w:t xml:space="preserve"> (9th</w:t>
      </w:r>
      <w:r>
        <w:rPr>
          <w:color w:val="000000"/>
          <w:shd w:val="clear" w:color="auto" w:fill="FFFFFF"/>
        </w:rPr>
        <w:t> </w:t>
      </w:r>
      <w:r w:rsidRPr="00E1133A">
        <w:rPr>
          <w:color w:val="000000"/>
          <w:shd w:val="clear" w:color="auto" w:fill="FFFFFF"/>
        </w:rPr>
        <w:t>Cir. 1985) 756 F.2d 703, 705</w:t>
      </w:r>
      <w:r>
        <w:rPr>
          <w:color w:val="000000"/>
          <w:shd w:val="clear" w:color="auto" w:fill="FFFFFF"/>
        </w:rPr>
        <w:t xml:space="preserve"> [direct evidence linking evidence to search site not required]; c</w:t>
      </w:r>
      <w:r w:rsidRPr="00A07AE7">
        <w:t>f.</w:t>
      </w:r>
      <w:r>
        <w:t xml:space="preserve"> </w:t>
      </w:r>
      <w:r w:rsidRPr="00A07AE7">
        <w:rPr>
          <w:i/>
        </w:rPr>
        <w:t>United States v</w:t>
      </w:r>
      <w:r w:rsidRPr="00C34C88">
        <w:t xml:space="preserve">. </w:t>
      </w:r>
      <w:r w:rsidRPr="00A07AE7">
        <w:rPr>
          <w:i/>
        </w:rPr>
        <w:t>Aljabari</w:t>
      </w:r>
      <w:r w:rsidRPr="00A07AE7">
        <w:t xml:space="preserve"> (7th Cir. 201</w:t>
      </w:r>
      <w:r w:rsidRPr="00A07AE7">
        <w:t xml:space="preserve">0) 626 F.3d 940, 945 [Where affidavit provided reason to believe that the defendant had participated in the crime of arson, </w:t>
      </w:r>
      <w:r>
        <w:t>“</w:t>
      </w:r>
      <w:r w:rsidRPr="00A07AE7">
        <w:t>[s]imple common sense supports the inference that one likely place to find evidence of a crime is the suspect’s home, at least abse</w:t>
      </w:r>
      <w:r w:rsidRPr="00A07AE7">
        <w:t>nt any information indicating to the contrary.  [Citations.]”]</w:t>
      </w:r>
      <w:r w:rsidRPr="0008328C">
        <w:rPr>
          <w:color w:val="000000"/>
          <w:shd w:val="clear" w:color="auto" w:fill="FFFFFF"/>
        </w:rPr>
        <w:t>.)</w:t>
      </w:r>
    </w:p>
    <w:p w:rsidR="00AB44BB" w:rsidRPr="0008328C" w:rsidRDefault="005300CC" w:rsidP="0008328C">
      <w:pPr>
        <w:keepNext/>
        <w:rPr>
          <w:i/>
          <w:color w:val="000000"/>
          <w:shd w:val="clear" w:color="auto" w:fill="FFFFFF"/>
        </w:rPr>
      </w:pPr>
      <w:r w:rsidRPr="0008328C">
        <w:rPr>
          <w:color w:val="000000"/>
          <w:shd w:val="clear" w:color="auto" w:fill="FFFFFF"/>
        </w:rPr>
        <w:t xml:space="preserve">3.  </w:t>
      </w:r>
      <w:r w:rsidRPr="0008328C">
        <w:rPr>
          <w:i/>
          <w:color w:val="000000"/>
          <w:shd w:val="clear" w:color="auto" w:fill="FFFFFF"/>
        </w:rPr>
        <w:t>Good Faith Exception to the Exclusionary Rule</w:t>
      </w:r>
    </w:p>
    <w:p w:rsidR="00B479B2" w:rsidRDefault="005300CC" w:rsidP="0008328C">
      <w:pPr>
        <w:ind w:firstLine="720"/>
        <w:rPr>
          <w:color w:val="000000"/>
          <w:shd w:val="clear" w:color="auto" w:fill="FFFFFF"/>
        </w:rPr>
      </w:pPr>
      <w:r w:rsidRPr="0008328C">
        <w:rPr>
          <w:color w:val="000000"/>
          <w:shd w:val="clear" w:color="auto" w:fill="FFFFFF"/>
        </w:rPr>
        <w:t>Even if we</w:t>
      </w:r>
      <w:r>
        <w:rPr>
          <w:color w:val="000000"/>
          <w:shd w:val="clear" w:color="auto" w:fill="FFFFFF"/>
        </w:rPr>
        <w:t xml:space="preserve"> </w:t>
      </w:r>
      <w:r w:rsidRPr="0008328C">
        <w:rPr>
          <w:color w:val="000000"/>
          <w:shd w:val="clear" w:color="auto" w:fill="FFFFFF"/>
        </w:rPr>
        <w:t>concluded that the search warrant was not valid, the good faith exception to the exclusionary rule</w:t>
      </w:r>
      <w:r>
        <w:rPr>
          <w:color w:val="000000"/>
          <w:shd w:val="clear" w:color="auto" w:fill="FFFFFF"/>
        </w:rPr>
        <w:t xml:space="preserve"> would</w:t>
      </w:r>
      <w:r w:rsidRPr="0008328C">
        <w:rPr>
          <w:color w:val="000000"/>
          <w:shd w:val="clear" w:color="auto" w:fill="FFFFFF"/>
        </w:rPr>
        <w:t xml:space="preserve"> appl</w:t>
      </w:r>
      <w:r>
        <w:rPr>
          <w:color w:val="000000"/>
          <w:shd w:val="clear" w:color="auto" w:fill="FFFFFF"/>
        </w:rPr>
        <w:t xml:space="preserve">y, as the </w:t>
      </w:r>
      <w:r>
        <w:rPr>
          <w:color w:val="000000"/>
          <w:shd w:val="clear" w:color="auto" w:fill="FFFFFF"/>
        </w:rPr>
        <w:t>prosecution argued below</w:t>
      </w:r>
      <w:r w:rsidRPr="0008328C">
        <w:rPr>
          <w:color w:val="000000"/>
          <w:shd w:val="clear" w:color="auto" w:fill="FFFFFF"/>
        </w:rPr>
        <w:t xml:space="preserve">. </w:t>
      </w:r>
      <w:r>
        <w:rPr>
          <w:color w:val="000000"/>
          <w:shd w:val="clear" w:color="auto" w:fill="FFFFFF"/>
        </w:rPr>
        <w:t xml:space="preserve"> </w:t>
      </w:r>
      <w:r w:rsidRPr="0008328C">
        <w:rPr>
          <w:color w:val="000000"/>
          <w:shd w:val="clear" w:color="auto" w:fill="FFFFFF"/>
        </w:rPr>
        <w:t>“Whether the exclusionary sanction is appropriately imposed in a particular case . . . is ‘an issue separate from the question whether the Fourth Amendment rights of the party seeking to invoke the rule were violated by police co</w:t>
      </w:r>
      <w:r w:rsidRPr="0008328C">
        <w:rPr>
          <w:color w:val="000000"/>
          <w:shd w:val="clear" w:color="auto" w:fill="FFFFFF"/>
        </w:rPr>
        <w:t>nduct.’  [Citation.]”  (</w:t>
      </w:r>
      <w:r w:rsidRPr="0008328C">
        <w:rPr>
          <w:i/>
          <w:color w:val="000000"/>
          <w:shd w:val="clear" w:color="auto" w:fill="FFFFFF"/>
        </w:rPr>
        <w:t>Leon</w:t>
      </w:r>
      <w:r w:rsidRPr="0008328C">
        <w:rPr>
          <w:color w:val="000000"/>
          <w:shd w:val="clear" w:color="auto" w:fill="FFFFFF"/>
        </w:rPr>
        <w:t xml:space="preserve">, </w:t>
      </w:r>
      <w:r w:rsidRPr="0008328C">
        <w:rPr>
          <w:i/>
          <w:color w:val="000000"/>
          <w:shd w:val="clear" w:color="auto" w:fill="FFFFFF"/>
        </w:rPr>
        <w:t>supra</w:t>
      </w:r>
      <w:r w:rsidRPr="0008328C">
        <w:rPr>
          <w:color w:val="000000"/>
          <w:shd w:val="clear" w:color="auto" w:fill="FFFFFF"/>
        </w:rPr>
        <w:t>, 468 U.S. at p. 906.)</w:t>
      </w:r>
    </w:p>
    <w:p w:rsidR="008C018C" w:rsidRPr="0008328C" w:rsidRDefault="005300CC" w:rsidP="0008328C">
      <w:pPr>
        <w:ind w:firstLine="720"/>
        <w:rPr>
          <w:color w:val="000000"/>
          <w:shd w:val="clear" w:color="auto" w:fill="FFFFFF"/>
        </w:rPr>
      </w:pPr>
      <w:r w:rsidRPr="0008328C">
        <w:rPr>
          <w:color w:val="000000"/>
          <w:shd w:val="clear" w:color="auto" w:fill="FFFFFF"/>
        </w:rPr>
        <w:t xml:space="preserve">Defendant argued below, as he does on appeal, that the good-faith exception was inapplicable because the affidavit was “bare bones” </w:t>
      </w:r>
      <w:r>
        <w:rPr>
          <w:color w:val="000000"/>
          <w:shd w:val="clear" w:color="auto" w:fill="FFFFFF"/>
        </w:rPr>
        <w:t>because it recited S.S.’s suspicions, beliefs, or conclusions abou</w:t>
      </w:r>
      <w:r>
        <w:rPr>
          <w:color w:val="000000"/>
          <w:shd w:val="clear" w:color="auto" w:fill="FFFFFF"/>
        </w:rPr>
        <w:t xml:space="preserve">t defendant without independent, supporting information. </w:t>
      </w:r>
      <w:r w:rsidRPr="0008328C">
        <w:rPr>
          <w:color w:val="000000"/>
          <w:shd w:val="clear" w:color="auto" w:fill="FFFFFF"/>
        </w:rPr>
        <w:t xml:space="preserve"> He </w:t>
      </w:r>
      <w:r>
        <w:rPr>
          <w:color w:val="000000"/>
          <w:shd w:val="clear" w:color="auto" w:fill="FFFFFF"/>
        </w:rPr>
        <w:t>contends</w:t>
      </w:r>
      <w:r w:rsidRPr="0008328C">
        <w:rPr>
          <w:color w:val="000000"/>
          <w:shd w:val="clear" w:color="auto" w:fill="FFFFFF"/>
        </w:rPr>
        <w:t xml:space="preserve"> that S.S. “gave no facts identifying [him] as the person who placed the false Craigslist ad”</w:t>
      </w:r>
      <w:r>
        <w:rPr>
          <w:color w:val="000000"/>
          <w:shd w:val="clear" w:color="auto" w:fill="FFFFFF"/>
        </w:rPr>
        <w:t xml:space="preserve"> or linking him to the other post-termination incidents and that </w:t>
      </w:r>
      <w:r w:rsidRPr="0008328C">
        <w:rPr>
          <w:color w:val="000000"/>
          <w:shd w:val="clear" w:color="auto" w:fill="FFFFFF"/>
        </w:rPr>
        <w:t xml:space="preserve">S.S.’s suspicion that he was </w:t>
      </w:r>
      <w:r w:rsidRPr="0008328C">
        <w:rPr>
          <w:color w:val="000000"/>
          <w:shd w:val="clear" w:color="auto" w:fill="FFFFFF"/>
        </w:rPr>
        <w:t>the perpetrator of the arson was “unverified</w:t>
      </w:r>
      <w:r>
        <w:rPr>
          <w:color w:val="000000"/>
          <w:shd w:val="clear" w:color="auto" w:fill="FFFFFF"/>
        </w:rPr>
        <w:t>.</w:t>
      </w:r>
      <w:r w:rsidRPr="0008328C">
        <w:rPr>
          <w:color w:val="000000"/>
          <w:shd w:val="clear" w:color="auto" w:fill="FFFFFF"/>
        </w:rPr>
        <w:t xml:space="preserve">” </w:t>
      </w:r>
      <w:r>
        <w:rPr>
          <w:color w:val="000000"/>
          <w:shd w:val="clear" w:color="auto" w:fill="FFFFFF"/>
        </w:rPr>
        <w:t xml:space="preserve"> H</w:t>
      </w:r>
      <w:r w:rsidRPr="0008328C">
        <w:rPr>
          <w:color w:val="000000"/>
          <w:shd w:val="clear" w:color="auto" w:fill="FFFFFF"/>
        </w:rPr>
        <w:t>e asserts that “[a] reasonable, well-trained officer would have concluded that there were no specific facts linking [him] to [the] arson or any of the incidents detailed in the affidavit.”</w:t>
      </w:r>
    </w:p>
    <w:p w:rsidR="00AB44BB" w:rsidRPr="0008328C" w:rsidRDefault="005300CC" w:rsidP="0008328C">
      <w:pPr>
        <w:ind w:firstLine="720"/>
        <w:rPr>
          <w:color w:val="000000"/>
          <w:shd w:val="clear" w:color="auto" w:fill="FFFFFF"/>
        </w:rPr>
      </w:pPr>
      <w:r w:rsidRPr="0008328C">
        <w:rPr>
          <w:color w:val="000000"/>
          <w:shd w:val="clear" w:color="auto" w:fill="FFFFFF"/>
        </w:rPr>
        <w:t xml:space="preserve">In </w:t>
      </w:r>
      <w:r w:rsidRPr="0008328C">
        <w:rPr>
          <w:i/>
          <w:color w:val="000000"/>
          <w:shd w:val="clear" w:color="auto" w:fill="FFFFFF"/>
        </w:rPr>
        <w:t>Leon</w:t>
      </w:r>
      <w:r w:rsidRPr="0008328C">
        <w:rPr>
          <w:color w:val="000000"/>
          <w:shd w:val="clear" w:color="auto" w:fill="FFFFFF"/>
        </w:rPr>
        <w:t>, the Unite</w:t>
      </w:r>
      <w:r w:rsidRPr="0008328C">
        <w:rPr>
          <w:color w:val="000000"/>
          <w:shd w:val="clear" w:color="auto" w:fill="FFFFFF"/>
        </w:rPr>
        <w:t>d States Supreme Court recognized a good faith exception to the exclusionary rule where police conduct a search in “objectively reasonable reliance” on a warrant later held invalid.  (</w:t>
      </w:r>
      <w:r w:rsidRPr="0008328C">
        <w:rPr>
          <w:i/>
          <w:color w:val="000000"/>
          <w:shd w:val="clear" w:color="auto" w:fill="FFFFFF"/>
        </w:rPr>
        <w:t>Leon</w:t>
      </w:r>
      <w:r w:rsidRPr="0008328C">
        <w:rPr>
          <w:color w:val="000000"/>
          <w:shd w:val="clear" w:color="auto" w:fill="FFFFFF"/>
        </w:rPr>
        <w:t xml:space="preserve">, </w:t>
      </w:r>
      <w:r w:rsidRPr="0008328C">
        <w:rPr>
          <w:i/>
          <w:color w:val="000000"/>
          <w:shd w:val="clear" w:color="auto" w:fill="FFFFFF"/>
        </w:rPr>
        <w:t>supra</w:t>
      </w:r>
      <w:r w:rsidRPr="0008328C">
        <w:rPr>
          <w:color w:val="000000"/>
          <w:shd w:val="clear" w:color="auto" w:fill="FFFFFF"/>
        </w:rPr>
        <w:t xml:space="preserve">, 468 U.S. at p. 922; see </w:t>
      </w:r>
      <w:r w:rsidRPr="0008328C">
        <w:rPr>
          <w:i/>
          <w:color w:val="000000"/>
          <w:shd w:val="clear" w:color="auto" w:fill="FFFFFF"/>
        </w:rPr>
        <w:t>id</w:t>
      </w:r>
      <w:r w:rsidRPr="0008328C">
        <w:rPr>
          <w:color w:val="000000"/>
          <w:shd w:val="clear" w:color="auto" w:fill="FFFFFF"/>
        </w:rPr>
        <w:t>. at p. 924 [the good</w:t>
      </w:r>
      <w:r>
        <w:rPr>
          <w:color w:val="000000"/>
          <w:shd w:val="clear" w:color="auto" w:fill="FFFFFF"/>
        </w:rPr>
        <w:noBreakHyphen/>
      </w:r>
      <w:r w:rsidRPr="0008328C">
        <w:rPr>
          <w:color w:val="000000"/>
          <w:shd w:val="clear" w:color="auto" w:fill="FFFFFF"/>
        </w:rPr>
        <w:t>faith excep</w:t>
      </w:r>
      <w:r w:rsidRPr="0008328C">
        <w:rPr>
          <w:color w:val="000000"/>
          <w:shd w:val="clear" w:color="auto" w:fill="FFFFFF"/>
        </w:rPr>
        <w:t>tion turns on objective reasonableness].)  The court explained:  “It is the magistrate’s responsibility to determine whether the officer’s allegations establish probable cause and, if so, to issue a warrant comporting in form with the requirements of the F</w:t>
      </w:r>
      <w:r w:rsidRPr="0008328C">
        <w:rPr>
          <w:color w:val="000000"/>
          <w:shd w:val="clear" w:color="auto" w:fill="FFFFFF"/>
        </w:rPr>
        <w:t>ourth Amendment.  In the ordinary case, an officer cannot be expected to question the magistrate’s probable-cause determination or his judgment that the form of the warrant is technically sufficient.”  (</w:t>
      </w:r>
      <w:r>
        <w:rPr>
          <w:i/>
          <w:color w:val="000000"/>
          <w:shd w:val="clear" w:color="auto" w:fill="FFFFFF"/>
        </w:rPr>
        <w:t>I</w:t>
      </w:r>
      <w:r w:rsidRPr="0008328C">
        <w:rPr>
          <w:i/>
          <w:color w:val="000000"/>
          <w:shd w:val="clear" w:color="auto" w:fill="FFFFFF"/>
        </w:rPr>
        <w:t>d</w:t>
      </w:r>
      <w:r w:rsidRPr="0008328C">
        <w:rPr>
          <w:color w:val="000000"/>
          <w:shd w:val="clear" w:color="auto" w:fill="FFFFFF"/>
        </w:rPr>
        <w:t>. at p. 921.)</w:t>
      </w:r>
    </w:p>
    <w:p w:rsidR="00AB44BB" w:rsidRPr="0008328C" w:rsidRDefault="005300CC" w:rsidP="0008328C">
      <w:pPr>
        <w:ind w:firstLine="720"/>
        <w:rPr>
          <w:color w:val="000000"/>
          <w:shd w:val="clear" w:color="auto" w:fill="FFFFFF"/>
        </w:rPr>
      </w:pPr>
      <w:r w:rsidRPr="0008328C">
        <w:rPr>
          <w:color w:val="000000"/>
          <w:shd w:val="clear" w:color="auto" w:fill="FFFFFF"/>
        </w:rPr>
        <w:t xml:space="preserve">Nevertheless, the Supreme Court </w:t>
      </w:r>
      <w:r>
        <w:rPr>
          <w:color w:val="000000"/>
          <w:shd w:val="clear" w:color="auto" w:fill="FFFFFF"/>
        </w:rPr>
        <w:t>ident</w:t>
      </w:r>
      <w:r>
        <w:rPr>
          <w:color w:val="000000"/>
          <w:shd w:val="clear" w:color="auto" w:fill="FFFFFF"/>
        </w:rPr>
        <w:t xml:space="preserve">ified </w:t>
      </w:r>
      <w:r w:rsidRPr="0008328C">
        <w:rPr>
          <w:color w:val="000000"/>
          <w:shd w:val="clear" w:color="auto" w:fill="FFFFFF"/>
        </w:rPr>
        <w:t>certain situations where the good faith exception would not apply.  For example, an officer would not “manifest objective good faith in relying on a warrant based on an affidavit ‘so lacking in indicia of probable cause as to render official belief i</w:t>
      </w:r>
      <w:r w:rsidRPr="0008328C">
        <w:rPr>
          <w:color w:val="000000"/>
          <w:shd w:val="clear" w:color="auto" w:fill="FFFFFF"/>
        </w:rPr>
        <w:t>n its existence entirely unreasonable.’  [Citations.]”  (</w:t>
      </w:r>
      <w:r w:rsidRPr="0008328C">
        <w:rPr>
          <w:i/>
          <w:color w:val="000000"/>
          <w:shd w:val="clear" w:color="auto" w:fill="FFFFFF"/>
        </w:rPr>
        <w:t>Leon</w:t>
      </w:r>
      <w:r w:rsidRPr="0008328C">
        <w:rPr>
          <w:color w:val="000000"/>
          <w:shd w:val="clear" w:color="auto" w:fill="FFFFFF"/>
        </w:rPr>
        <w:t xml:space="preserve">, </w:t>
      </w:r>
      <w:r w:rsidRPr="0008328C">
        <w:rPr>
          <w:i/>
          <w:color w:val="000000"/>
          <w:shd w:val="clear" w:color="auto" w:fill="FFFFFF"/>
        </w:rPr>
        <w:t>supra</w:t>
      </w:r>
      <w:r w:rsidRPr="0008328C">
        <w:rPr>
          <w:color w:val="000000"/>
          <w:shd w:val="clear" w:color="auto" w:fill="FFFFFF"/>
        </w:rPr>
        <w:t xml:space="preserve">, 468 U.S. at p. 923.)  The court also stated that “a warrant may be so facially deficient—i.e., in failing to particularize the place to be searched or the things to be </w:t>
      </w:r>
      <w:r w:rsidRPr="0008328C">
        <w:rPr>
          <w:color w:val="000000"/>
          <w:shd w:val="clear" w:color="auto" w:fill="FFFFFF"/>
        </w:rPr>
        <w:t>seized—that the executing officers cannot reasonably presume it to be valid.  [Citation.]”  (</w:t>
      </w:r>
      <w:r w:rsidRPr="0008328C">
        <w:rPr>
          <w:i/>
          <w:color w:val="000000"/>
          <w:shd w:val="clear" w:color="auto" w:fill="FFFFFF"/>
        </w:rPr>
        <w:t>Ibid</w:t>
      </w:r>
      <w:r w:rsidRPr="0008328C">
        <w:rPr>
          <w:color w:val="000000"/>
          <w:shd w:val="clear" w:color="auto" w:fill="FFFFFF"/>
        </w:rPr>
        <w:t>.)</w:t>
      </w:r>
    </w:p>
    <w:p w:rsidR="003F3239" w:rsidRPr="0008328C" w:rsidRDefault="005300CC" w:rsidP="0008328C">
      <w:pPr>
        <w:ind w:firstLine="720"/>
        <w:rPr>
          <w:color w:val="000000"/>
          <w:shd w:val="clear" w:color="auto" w:fill="FFFFFF"/>
        </w:rPr>
      </w:pPr>
      <w:r w:rsidRPr="0008328C">
        <w:rPr>
          <w:color w:val="000000"/>
          <w:shd w:val="clear" w:color="auto" w:fill="FFFFFF"/>
        </w:rPr>
        <w:t xml:space="preserve">Contrary to defendant’s assertion, Detective Bulatao’s affidavit was not “bare bones.”  </w:t>
      </w:r>
      <w:r>
        <w:rPr>
          <w:color w:val="000000"/>
          <w:shd w:val="clear" w:color="auto" w:fill="FFFFFF"/>
        </w:rPr>
        <w:t>It provided information that had been gathered through investigation</w:t>
      </w:r>
      <w:r>
        <w:rPr>
          <w:color w:val="000000"/>
          <w:shd w:val="clear" w:color="auto" w:fill="FFFFFF"/>
        </w:rPr>
        <w:t xml:space="preserve"> of the fire and had led the detective to believe that arson, using an accelerant, of S.S.’s residence had occurred.  It contained information obtained from S.S., who was defendant’s former supervisor, concerning defendant’s deficient work performance, def</w:t>
      </w:r>
      <w:r>
        <w:rPr>
          <w:color w:val="000000"/>
          <w:shd w:val="clear" w:color="auto" w:fill="FFFFFF"/>
        </w:rPr>
        <w:t xml:space="preserve">endant’s termination after the cockroach incident, and the circumstances and the timing of other post-termination incidents against defendant’s former workplace and S.S. in addition to the arson.  (See </w:t>
      </w:r>
      <w:r w:rsidRPr="0008328C">
        <w:rPr>
          <w:i/>
          <w:color w:val="000000"/>
          <w:shd w:val="clear" w:color="auto" w:fill="FFFFFF"/>
        </w:rPr>
        <w:t>Humphrey v</w:t>
      </w:r>
      <w:r w:rsidRPr="00CD6B87">
        <w:rPr>
          <w:color w:val="000000"/>
          <w:shd w:val="clear" w:color="auto" w:fill="FFFFFF"/>
        </w:rPr>
        <w:t xml:space="preserve">. </w:t>
      </w:r>
      <w:r w:rsidRPr="0008328C">
        <w:rPr>
          <w:i/>
          <w:color w:val="000000"/>
          <w:shd w:val="clear" w:color="auto" w:fill="FFFFFF"/>
        </w:rPr>
        <w:t>Appellate Division</w:t>
      </w:r>
      <w:r w:rsidRPr="0008328C">
        <w:rPr>
          <w:color w:val="000000"/>
          <w:shd w:val="clear" w:color="auto" w:fill="FFFFFF"/>
        </w:rPr>
        <w:t xml:space="preserve"> (2002) 29 Cal.4th 569, </w:t>
      </w:r>
      <w:r w:rsidRPr="0008328C">
        <w:rPr>
          <w:color w:val="000000"/>
          <w:shd w:val="clear" w:color="auto" w:fill="FFFFFF"/>
        </w:rPr>
        <w:t>574</w:t>
      </w:r>
      <w:r>
        <w:rPr>
          <w:color w:val="000000"/>
          <w:shd w:val="clear" w:color="auto" w:fill="FFFFFF"/>
        </w:rPr>
        <w:t xml:space="preserve"> [</w:t>
      </w:r>
      <w:r w:rsidRPr="0008328C">
        <w:rPr>
          <w:color w:val="000000"/>
          <w:shd w:val="clear" w:color="auto" w:fill="FFFFFF"/>
        </w:rPr>
        <w:t>“Personal knowledge of facts asserted in the affidavit is not an indispensable element of probable cause.”</w:t>
      </w:r>
      <w:r>
        <w:rPr>
          <w:color w:val="000000"/>
          <w:shd w:val="clear" w:color="auto" w:fill="FFFFFF"/>
        </w:rPr>
        <w:t xml:space="preserve">], 575-576 [a crime victim is </w:t>
      </w:r>
      <w:r w:rsidRPr="0008328C">
        <w:rPr>
          <w:color w:val="000000"/>
          <w:shd w:val="clear" w:color="auto" w:fill="FFFFFF"/>
        </w:rPr>
        <w:t>presumptively reliable</w:t>
      </w:r>
      <w:r>
        <w:rPr>
          <w:color w:val="000000"/>
          <w:shd w:val="clear" w:color="auto" w:fill="FFFFFF"/>
        </w:rPr>
        <w:t>].)  His affidavit also included information that the detective had obtained from the company</w:t>
      </w:r>
      <w:r>
        <w:rPr>
          <w:color w:val="000000"/>
          <w:shd w:val="clear" w:color="auto" w:fill="FFFFFF"/>
        </w:rPr>
        <w:t xml:space="preserve">’s human resources department, namely that defendant had made complaints against S.S. and was displeased by his termination.  </w:t>
      </w:r>
      <w:r w:rsidRPr="0008328C">
        <w:rPr>
          <w:color w:val="000000"/>
          <w:shd w:val="clear" w:color="auto" w:fill="FFFFFF"/>
        </w:rPr>
        <w:t xml:space="preserve">The affidavit was not so deficient that a well-trained officer could not </w:t>
      </w:r>
      <w:r>
        <w:rPr>
          <w:color w:val="000000"/>
          <w:shd w:val="clear" w:color="auto" w:fill="FFFFFF"/>
        </w:rPr>
        <w:t xml:space="preserve">have </w:t>
      </w:r>
      <w:r w:rsidRPr="0008328C">
        <w:rPr>
          <w:color w:val="000000"/>
          <w:shd w:val="clear" w:color="auto" w:fill="FFFFFF"/>
        </w:rPr>
        <w:t xml:space="preserve">reasonably believed that probable cause existed and </w:t>
      </w:r>
      <w:r w:rsidRPr="0008328C">
        <w:rPr>
          <w:color w:val="000000"/>
          <w:shd w:val="clear" w:color="auto" w:fill="FFFFFF"/>
        </w:rPr>
        <w:t>could not have reasonably relied on the issued</w:t>
      </w:r>
      <w:r>
        <w:rPr>
          <w:color w:val="000000"/>
          <w:shd w:val="clear" w:color="auto" w:fill="FFFFFF"/>
        </w:rPr>
        <w:t xml:space="preserve"> </w:t>
      </w:r>
      <w:r w:rsidRPr="0008328C">
        <w:rPr>
          <w:color w:val="000000"/>
          <w:shd w:val="clear" w:color="auto" w:fill="FFFFFF"/>
        </w:rPr>
        <w:t xml:space="preserve">warrant.  (See </w:t>
      </w:r>
      <w:r w:rsidRPr="0008328C">
        <w:rPr>
          <w:i/>
          <w:color w:val="000000"/>
          <w:shd w:val="clear" w:color="auto" w:fill="FFFFFF"/>
        </w:rPr>
        <w:t>Leon</w:t>
      </w:r>
      <w:r w:rsidRPr="0008328C">
        <w:rPr>
          <w:color w:val="000000"/>
          <w:shd w:val="clear" w:color="auto" w:fill="FFFFFF"/>
        </w:rPr>
        <w:t xml:space="preserve">, </w:t>
      </w:r>
      <w:r w:rsidRPr="0008328C">
        <w:rPr>
          <w:i/>
          <w:color w:val="000000"/>
          <w:shd w:val="clear" w:color="auto" w:fill="FFFFFF"/>
        </w:rPr>
        <w:t>supra</w:t>
      </w:r>
      <w:r w:rsidRPr="0008328C">
        <w:rPr>
          <w:color w:val="000000"/>
          <w:shd w:val="clear" w:color="auto" w:fill="FFFFFF"/>
        </w:rPr>
        <w:t>, 468 U.S. at p. 923.)  It reflected a serious investigation and presented at least a close question as to probable cause, about which reasonable minds might differ.  “Under these cir</w:t>
      </w:r>
      <w:r w:rsidRPr="0008328C">
        <w:rPr>
          <w:color w:val="000000"/>
          <w:shd w:val="clear" w:color="auto" w:fill="FFFFFF"/>
        </w:rPr>
        <w:t>cumstances, the officers’ reliance on the magistrate’s determination of probable cause was objectively reasonable, and application of the extreme sanction of exclusion is inappropriate.”  (</w:t>
      </w:r>
      <w:r w:rsidRPr="0008328C">
        <w:rPr>
          <w:i/>
          <w:color w:val="000000"/>
          <w:shd w:val="clear" w:color="auto" w:fill="FFFFFF"/>
        </w:rPr>
        <w:t>Id</w:t>
      </w:r>
      <w:r w:rsidRPr="0008328C">
        <w:rPr>
          <w:color w:val="000000"/>
          <w:shd w:val="clear" w:color="auto" w:fill="FFFFFF"/>
        </w:rPr>
        <w:t>. at p. 926.)</w:t>
      </w:r>
    </w:p>
    <w:p w:rsidR="004F2932" w:rsidRPr="0008328C" w:rsidRDefault="005300CC" w:rsidP="0008328C">
      <w:pPr>
        <w:keepNext/>
        <w:shd w:val="clear" w:color="auto" w:fill="FFFFFF"/>
        <w:textAlignment w:val="baseline"/>
        <w:rPr>
          <w:i/>
          <w:color w:val="000000"/>
        </w:rPr>
      </w:pPr>
      <w:r w:rsidRPr="0008328C">
        <w:rPr>
          <w:color w:val="000000"/>
        </w:rPr>
        <w:t xml:space="preserve">B.  </w:t>
      </w:r>
      <w:r w:rsidRPr="009D2D4C">
        <w:rPr>
          <w:i/>
          <w:color w:val="000000"/>
        </w:rPr>
        <w:t xml:space="preserve">Pretrial Diversion Under </w:t>
      </w:r>
      <w:r w:rsidRPr="0008328C">
        <w:rPr>
          <w:i/>
          <w:color w:val="000000"/>
        </w:rPr>
        <w:t>Section 1001</w:t>
      </w:r>
      <w:r w:rsidRPr="00CD6B87">
        <w:rPr>
          <w:color w:val="000000"/>
        </w:rPr>
        <w:t>.</w:t>
      </w:r>
      <w:r w:rsidRPr="0008328C">
        <w:rPr>
          <w:i/>
          <w:color w:val="000000"/>
        </w:rPr>
        <w:t>36</w:t>
      </w:r>
    </w:p>
    <w:p w:rsidR="009C2392" w:rsidRPr="0008328C" w:rsidRDefault="005300CC" w:rsidP="0008328C">
      <w:pPr>
        <w:shd w:val="clear" w:color="auto" w:fill="FFFFFF"/>
        <w:textAlignment w:val="baseline"/>
        <w:rPr>
          <w:color w:val="000000"/>
        </w:rPr>
      </w:pPr>
      <w:r w:rsidRPr="0008328C">
        <w:rPr>
          <w:color w:val="000000"/>
        </w:rPr>
        <w:tab/>
        <w:t>Defen</w:t>
      </w:r>
      <w:r w:rsidRPr="0008328C">
        <w:rPr>
          <w:color w:val="000000"/>
        </w:rPr>
        <w:t xml:space="preserve">dant asserts that </w:t>
      </w:r>
      <w:r>
        <w:rPr>
          <w:color w:val="000000"/>
        </w:rPr>
        <w:t xml:space="preserve">under </w:t>
      </w:r>
      <w:r w:rsidRPr="0008328C">
        <w:rPr>
          <w:i/>
          <w:color w:val="000000"/>
        </w:rPr>
        <w:t>Estrada</w:t>
      </w:r>
      <w:r w:rsidRPr="0008328C">
        <w:rPr>
          <w:color w:val="000000"/>
        </w:rPr>
        <w:t xml:space="preserve">’s </w:t>
      </w:r>
      <w:r>
        <w:rPr>
          <w:color w:val="000000"/>
        </w:rPr>
        <w:t xml:space="preserve">presumptive inference of </w:t>
      </w:r>
      <w:r w:rsidRPr="0008328C">
        <w:rPr>
          <w:color w:val="000000"/>
        </w:rPr>
        <w:t>retroactivity</w:t>
      </w:r>
      <w:r>
        <w:rPr>
          <w:color w:val="000000"/>
        </w:rPr>
        <w:t xml:space="preserve">, as applied in </w:t>
      </w:r>
      <w:r w:rsidRPr="0008328C">
        <w:rPr>
          <w:i/>
          <w:color w:val="000000"/>
        </w:rPr>
        <w:t>People v</w:t>
      </w:r>
      <w:r w:rsidRPr="00CD6B87">
        <w:rPr>
          <w:color w:val="000000"/>
        </w:rPr>
        <w:t>.</w:t>
      </w:r>
      <w:r w:rsidRPr="0008328C">
        <w:rPr>
          <w:i/>
          <w:color w:val="000000"/>
        </w:rPr>
        <w:t xml:space="preserve"> Superior Court (Lara)</w:t>
      </w:r>
      <w:r w:rsidRPr="0008328C">
        <w:rPr>
          <w:color w:val="000000"/>
        </w:rPr>
        <w:t xml:space="preserve"> (2018) 4 Cal.5th 299 (</w:t>
      </w:r>
      <w:r w:rsidRPr="0008328C">
        <w:rPr>
          <w:i/>
          <w:color w:val="000000"/>
        </w:rPr>
        <w:t>Lara</w:t>
      </w:r>
      <w:r w:rsidRPr="0008328C">
        <w:rPr>
          <w:color w:val="000000"/>
        </w:rPr>
        <w:t>)</w:t>
      </w:r>
      <w:r>
        <w:rPr>
          <w:color w:val="000000"/>
        </w:rPr>
        <w:t>,</w:t>
      </w:r>
      <w:r w:rsidRPr="0008328C">
        <w:rPr>
          <w:color w:val="000000"/>
        </w:rPr>
        <w:t xml:space="preserve"> </w:t>
      </w:r>
      <w:r>
        <w:rPr>
          <w:color w:val="000000"/>
        </w:rPr>
        <w:t xml:space="preserve">this case must be </w:t>
      </w:r>
      <w:r w:rsidRPr="0008328C">
        <w:rPr>
          <w:color w:val="000000"/>
        </w:rPr>
        <w:t>remand</w:t>
      </w:r>
      <w:r>
        <w:rPr>
          <w:color w:val="000000"/>
        </w:rPr>
        <w:t xml:space="preserve">ed so that the trial court can </w:t>
      </w:r>
      <w:r w:rsidRPr="0008328C">
        <w:rPr>
          <w:color w:val="000000"/>
        </w:rPr>
        <w:t>exercise its discretion under section 1001.36</w:t>
      </w:r>
      <w:r>
        <w:rPr>
          <w:color w:val="000000"/>
        </w:rPr>
        <w:t xml:space="preserve">.  </w:t>
      </w:r>
      <w:r>
        <w:rPr>
          <w:color w:val="000000"/>
        </w:rPr>
        <w:t>This fairly recent law permits courts to order pretrial diversion for mental health treatment for certain defendants with mental disorders.  Section 1001.36 was not in effect when defendant committed arson of an inhabited structure in 2016, when the jury f</w:t>
      </w:r>
      <w:r>
        <w:rPr>
          <w:color w:val="000000"/>
        </w:rPr>
        <w:t>ound him guilty in 2017, or when he was sentenced and filed his notice of appeal in February 2018.</w:t>
      </w:r>
    </w:p>
    <w:p w:rsidR="007A5F7D" w:rsidRDefault="005300CC" w:rsidP="0008328C">
      <w:pPr>
        <w:shd w:val="clear" w:color="auto" w:fill="FFFFFF"/>
        <w:ind w:firstLine="720"/>
        <w:textAlignment w:val="baseline"/>
        <w:rPr>
          <w:color w:val="000000"/>
        </w:rPr>
      </w:pPr>
      <w:r w:rsidRPr="0008328C">
        <w:rPr>
          <w:color w:val="000000"/>
        </w:rPr>
        <w:t>Section 1001.36 was added by statute, effective June 27, 2018.  (Stats. 2018, ch.</w:t>
      </w:r>
      <w:r>
        <w:rPr>
          <w:color w:val="000000"/>
        </w:rPr>
        <w:t> </w:t>
      </w:r>
      <w:r w:rsidRPr="0008328C">
        <w:rPr>
          <w:color w:val="000000"/>
        </w:rPr>
        <w:t xml:space="preserve">34, §§ 24, 37, pp. </w:t>
      </w:r>
      <w:r>
        <w:rPr>
          <w:color w:val="000000"/>
        </w:rPr>
        <w:t>1316-1319</w:t>
      </w:r>
      <w:r w:rsidRPr="0008328C">
        <w:rPr>
          <w:color w:val="000000"/>
        </w:rPr>
        <w:t>,</w:t>
      </w:r>
      <w:r>
        <w:rPr>
          <w:color w:val="000000"/>
        </w:rPr>
        <w:t xml:space="preserve"> 1339</w:t>
      </w:r>
      <w:r w:rsidRPr="0008328C">
        <w:rPr>
          <w:color w:val="000000"/>
        </w:rPr>
        <w:t xml:space="preserve">.)  The section was amended by </w:t>
      </w:r>
      <w:r w:rsidRPr="0008328C">
        <w:rPr>
          <w:color w:val="000000"/>
        </w:rPr>
        <w:t>statute</w:t>
      </w:r>
      <w:r>
        <w:rPr>
          <w:color w:val="000000"/>
        </w:rPr>
        <w:t xml:space="preserve"> later in 2018</w:t>
      </w:r>
      <w:r w:rsidRPr="0008328C">
        <w:rPr>
          <w:color w:val="000000"/>
        </w:rPr>
        <w:t>, effective January 1, 2019.  (Stats.2018, ch. 1005, § 1, p</w:t>
      </w:r>
      <w:r>
        <w:rPr>
          <w:color w:val="000000"/>
        </w:rPr>
        <w:t>p</w:t>
      </w:r>
      <w:r w:rsidRPr="0008328C">
        <w:rPr>
          <w:color w:val="000000"/>
        </w:rPr>
        <w:t xml:space="preserve">. </w:t>
      </w:r>
      <w:r>
        <w:rPr>
          <w:color w:val="000000"/>
        </w:rPr>
        <w:t>6632-6634.</w:t>
      </w:r>
      <w:r w:rsidRPr="0008328C">
        <w:rPr>
          <w:color w:val="000000"/>
        </w:rPr>
        <w:t>)  It now provides in part that “the court may, after considering the positions of the defense and prosecution, grant pretrial diversion to a defendant pursuant to</w:t>
      </w:r>
      <w:r w:rsidRPr="0008328C">
        <w:rPr>
          <w:color w:val="000000"/>
        </w:rPr>
        <w:t xml:space="preserve"> this section if the defendant meets all of the requirements specified.”  (§ 1001.36, subd. (a).)</w:t>
      </w:r>
    </w:p>
    <w:p w:rsidR="00486501" w:rsidRDefault="005300CC" w:rsidP="0008328C">
      <w:pPr>
        <w:shd w:val="clear" w:color="auto" w:fill="FFFFFF"/>
        <w:ind w:firstLine="720"/>
        <w:textAlignment w:val="baseline"/>
        <w:rPr>
          <w:color w:val="000000"/>
        </w:rPr>
      </w:pPr>
      <w:r>
        <w:rPr>
          <w:color w:val="000000"/>
        </w:rPr>
        <w:t>To grant pretrial diversion for mental health treatment, t</w:t>
      </w:r>
      <w:r w:rsidRPr="0008328C">
        <w:rPr>
          <w:color w:val="000000"/>
        </w:rPr>
        <w:t>he court must be “satisfied that the defendant suffers from a mental disorder as identified in the m</w:t>
      </w:r>
      <w:r w:rsidRPr="0008328C">
        <w:rPr>
          <w:color w:val="000000"/>
        </w:rPr>
        <w:t>ost recent edition of the Diagnostic and Statistical Manual of Mental Disorders”</w:t>
      </w:r>
      <w:r>
        <w:rPr>
          <w:rStyle w:val="FootnoteReference"/>
          <w:b/>
          <w:color w:val="000000"/>
        </w:rPr>
        <w:footnoteReference w:id="2"/>
      </w:r>
      <w:r w:rsidRPr="0008328C">
        <w:rPr>
          <w:color w:val="000000"/>
        </w:rPr>
        <w:t xml:space="preserve"> (§ 1001.36, subd.</w:t>
      </w:r>
      <w:r>
        <w:rPr>
          <w:color w:val="000000"/>
        </w:rPr>
        <w:t> </w:t>
      </w:r>
      <w:r w:rsidRPr="0008328C">
        <w:rPr>
          <w:color w:val="000000"/>
        </w:rPr>
        <w:t xml:space="preserve">(b)(1)(A)), that “the defendant’s mental disorder was a significant factor in the commission of the charged offense” (§ 1001.36, subd. (b)(1)(B)), and that </w:t>
      </w:r>
      <w:r w:rsidRPr="0008328C">
        <w:rPr>
          <w:color w:val="000000"/>
        </w:rPr>
        <w:t>“the defendant will not pose an unreasonable risk of danger to public safety, as defined in Section 1170.18, if treated in the community.”</w:t>
      </w:r>
      <w:r>
        <w:rPr>
          <w:rStyle w:val="FootnoteReference"/>
          <w:b/>
          <w:color w:val="000000"/>
        </w:rPr>
        <w:footnoteReference w:id="3"/>
      </w:r>
      <w:r w:rsidRPr="0008328C">
        <w:rPr>
          <w:color w:val="000000"/>
        </w:rPr>
        <w:t xml:space="preserve">  (§ 1001.36, subd. (b)(1)(F).)  It must be shown that “[i]n the opinion of a qualified mental health expert, the def</w:t>
      </w:r>
      <w:r w:rsidRPr="0008328C">
        <w:rPr>
          <w:color w:val="000000"/>
        </w:rPr>
        <w:t>endant’s symptoms of the mental disorder motivating the criminal behavior would respond to mental health treatment.”  (§ 1001.36, subd. (b)(1)(C).)  The defendant must consent to diversion (§ 1001.36, subd. (b)(1)(D))</w:t>
      </w:r>
      <w:r>
        <w:rPr>
          <w:color w:val="000000"/>
        </w:rPr>
        <w:t>;</w:t>
      </w:r>
      <w:r w:rsidRPr="0008328C">
        <w:rPr>
          <w:color w:val="000000"/>
        </w:rPr>
        <w:t xml:space="preserve"> waive the “right to a speedy trial, u</w:t>
      </w:r>
      <w:r w:rsidRPr="0008328C">
        <w:rPr>
          <w:color w:val="000000"/>
        </w:rPr>
        <w:t>nless a defendant has been found to be an appropriate candidate for diversion in lieu of commitment [as a mentally incompetent defendant] and, as a result of his or her mental incompetence, cannot consent to diversion or give a knowing and intelligent waiv</w:t>
      </w:r>
      <w:r w:rsidRPr="0008328C">
        <w:rPr>
          <w:color w:val="000000"/>
        </w:rPr>
        <w:t>er of his or her right to a speedy trial” (</w:t>
      </w:r>
      <w:r w:rsidRPr="0008328C">
        <w:rPr>
          <w:i/>
          <w:color w:val="000000"/>
        </w:rPr>
        <w:t>ibid</w:t>
      </w:r>
      <w:r w:rsidRPr="0008328C">
        <w:rPr>
          <w:color w:val="000000"/>
        </w:rPr>
        <w:t>.)</w:t>
      </w:r>
      <w:r>
        <w:rPr>
          <w:color w:val="000000"/>
        </w:rPr>
        <w:t>;</w:t>
      </w:r>
      <w:r w:rsidRPr="0008328C">
        <w:rPr>
          <w:color w:val="000000"/>
        </w:rPr>
        <w:t xml:space="preserve"> and agree “to comply with treatment as a condition of diversion.”  (§ 1001.</w:t>
      </w:r>
      <w:r>
        <w:rPr>
          <w:color w:val="000000"/>
        </w:rPr>
        <w:t>36</w:t>
      </w:r>
      <w:r w:rsidRPr="0008328C">
        <w:rPr>
          <w:color w:val="000000"/>
        </w:rPr>
        <w:t>, subd. (b)(1)(E).)  Certain crimes, not including arson, are excluded from the benefit of section 1001.36.  (§ 1001.36, subd. (</w:t>
      </w:r>
      <w:r w:rsidRPr="0008328C">
        <w:rPr>
          <w:color w:val="000000"/>
        </w:rPr>
        <w:t>b)(2).)</w:t>
      </w:r>
    </w:p>
    <w:p w:rsidR="005D21C4" w:rsidRPr="0008328C" w:rsidRDefault="005300CC" w:rsidP="00BE5152">
      <w:pPr>
        <w:shd w:val="clear" w:color="auto" w:fill="FFFFFF"/>
        <w:ind w:firstLine="720"/>
        <w:textAlignment w:val="baseline"/>
        <w:rPr>
          <w:color w:val="000000"/>
        </w:rPr>
      </w:pPr>
      <w:r>
        <w:rPr>
          <w:color w:val="000000"/>
        </w:rPr>
        <w:t xml:space="preserve">A defendant who </w:t>
      </w:r>
      <w:r w:rsidRPr="005D21C4">
        <w:rPr>
          <w:color w:val="000000"/>
        </w:rPr>
        <w:t>perform</w:t>
      </w:r>
      <w:r>
        <w:rPr>
          <w:color w:val="000000"/>
        </w:rPr>
        <w:t>s</w:t>
      </w:r>
      <w:r w:rsidRPr="005D21C4">
        <w:rPr>
          <w:color w:val="000000"/>
        </w:rPr>
        <w:t xml:space="preserve"> satisfactorily in diversion</w:t>
      </w:r>
      <w:r>
        <w:rPr>
          <w:color w:val="000000"/>
        </w:rPr>
        <w:t xml:space="preserve"> and completes diversion is entitled to have the trial court “</w:t>
      </w:r>
      <w:r w:rsidRPr="005D21C4">
        <w:rPr>
          <w:color w:val="000000"/>
        </w:rPr>
        <w:t>dismiss the defendant</w:t>
      </w:r>
      <w:r>
        <w:rPr>
          <w:color w:val="000000"/>
        </w:rPr>
        <w:t>’</w:t>
      </w:r>
      <w:r w:rsidRPr="005D21C4">
        <w:rPr>
          <w:color w:val="000000"/>
        </w:rPr>
        <w:t>s criminal charges that were the subject of the criminal proceedings at the time of the initial diversion.</w:t>
      </w:r>
      <w:r>
        <w:rPr>
          <w:color w:val="000000"/>
        </w:rPr>
        <w:t>”</w:t>
      </w:r>
      <w:r>
        <w:rPr>
          <w:rStyle w:val="FootnoteReference"/>
          <w:b/>
          <w:color w:val="000000"/>
        </w:rPr>
        <w:footnoteReference w:id="4"/>
      </w:r>
      <w:r>
        <w:rPr>
          <w:color w:val="000000"/>
        </w:rPr>
        <w:t xml:space="preserve">  (</w:t>
      </w:r>
      <w:r w:rsidRPr="005D21C4">
        <w:rPr>
          <w:color w:val="000000"/>
        </w:rPr>
        <w:t>§</w:t>
      </w:r>
      <w:r w:rsidRPr="005D21C4">
        <w:rPr>
          <w:color w:val="000000"/>
        </w:rPr>
        <w:t> </w:t>
      </w:r>
      <w:r>
        <w:rPr>
          <w:color w:val="000000"/>
        </w:rPr>
        <w:t>1001.36, subd. (e).)  “</w:t>
      </w:r>
      <w:r w:rsidRPr="005D21C4">
        <w:rPr>
          <w:color w:val="000000"/>
        </w:rPr>
        <w:t>A court may conclude that the defendant has performed satisfactorily if the defendant has substantially complied with the requirements of diversion, has avoided significant new violations of law unrelated to the defendant</w:t>
      </w:r>
      <w:r>
        <w:rPr>
          <w:color w:val="000000"/>
        </w:rPr>
        <w:t>’</w:t>
      </w:r>
      <w:r w:rsidRPr="005D21C4">
        <w:rPr>
          <w:color w:val="000000"/>
        </w:rPr>
        <w:t>s mental h</w:t>
      </w:r>
      <w:r w:rsidRPr="005D21C4">
        <w:rPr>
          <w:color w:val="000000"/>
        </w:rPr>
        <w:t>ealth condition, and has a plan in place for long-term mental health care.</w:t>
      </w:r>
      <w:r>
        <w:rPr>
          <w:color w:val="000000"/>
        </w:rPr>
        <w:t>”  (</w:t>
      </w:r>
      <w:r w:rsidRPr="005D21C4">
        <w:rPr>
          <w:i/>
          <w:color w:val="000000"/>
        </w:rPr>
        <w:t>Ibid</w:t>
      </w:r>
      <w:r>
        <w:rPr>
          <w:color w:val="000000"/>
        </w:rPr>
        <w:t>.)  Except as specified, “[u]p</w:t>
      </w:r>
      <w:r w:rsidRPr="005D21C4">
        <w:rPr>
          <w:color w:val="000000"/>
        </w:rPr>
        <w:t>on successful completion of diversion, if the court dismisses the charges, the arrest upon which the diversion was based shall be deemed never t</w:t>
      </w:r>
      <w:r w:rsidRPr="005D21C4">
        <w:rPr>
          <w:color w:val="000000"/>
        </w:rPr>
        <w:t xml:space="preserve">o have occurred, and the court shall order access to the record of the arrest restricted in accordance with </w:t>
      </w:r>
      <w:r>
        <w:rPr>
          <w:color w:val="000000"/>
        </w:rPr>
        <w:t>[s]</w:t>
      </w:r>
      <w:r w:rsidRPr="005D21C4">
        <w:rPr>
          <w:color w:val="000000"/>
        </w:rPr>
        <w:t>ection</w:t>
      </w:r>
      <w:r>
        <w:rPr>
          <w:color w:val="000000"/>
        </w:rPr>
        <w:t> </w:t>
      </w:r>
      <w:r w:rsidRPr="005D21C4">
        <w:rPr>
          <w:color w:val="000000"/>
        </w:rPr>
        <w:t>1001.9</w:t>
      </w:r>
      <w:r>
        <w:rPr>
          <w:color w:val="000000"/>
        </w:rPr>
        <w:t> </w:t>
      </w:r>
      <w:r w:rsidRPr="005D21C4">
        <w:rPr>
          <w:color w:val="000000"/>
        </w:rPr>
        <w:t>. . .</w:t>
      </w:r>
      <w:r>
        <w:rPr>
          <w:color w:val="000000"/>
        </w:rPr>
        <w:t> .”  (</w:t>
      </w:r>
      <w:r w:rsidRPr="005D21C4">
        <w:rPr>
          <w:i/>
          <w:color w:val="000000"/>
        </w:rPr>
        <w:t>Ibid</w:t>
      </w:r>
      <w:r>
        <w:rPr>
          <w:color w:val="000000"/>
        </w:rPr>
        <w:t>.)</w:t>
      </w:r>
      <w:r w:rsidRPr="005D21C4">
        <w:rPr>
          <w:color w:val="000000"/>
        </w:rPr>
        <w:t xml:space="preserve"> </w:t>
      </w:r>
      <w:r>
        <w:rPr>
          <w:color w:val="000000"/>
        </w:rPr>
        <w:t xml:space="preserve"> Except as specified, “[t]</w:t>
      </w:r>
      <w:r w:rsidRPr="005D21C4">
        <w:rPr>
          <w:color w:val="000000"/>
        </w:rPr>
        <w:t xml:space="preserve">he defendant who successfully completes diversion may indicate in response to any </w:t>
      </w:r>
      <w:r w:rsidRPr="005D21C4">
        <w:rPr>
          <w:color w:val="000000"/>
        </w:rPr>
        <w:t>question concerning his or her prior criminal record that he or she was not arrested or diverted for the offense</w:t>
      </w:r>
      <w:r>
        <w:rPr>
          <w:color w:val="000000"/>
        </w:rPr>
        <w:t xml:space="preserve"> </w:t>
      </w:r>
      <w:r w:rsidRPr="00BE5152">
        <w:rPr>
          <w:color w:val="000000"/>
        </w:rPr>
        <w:t>. . .</w:t>
      </w:r>
      <w:r>
        <w:rPr>
          <w:color w:val="000000"/>
        </w:rPr>
        <w:t> .”  (</w:t>
      </w:r>
      <w:r w:rsidRPr="00BE5152">
        <w:rPr>
          <w:i/>
          <w:color w:val="000000"/>
        </w:rPr>
        <w:t>Ibid</w:t>
      </w:r>
      <w:r>
        <w:rPr>
          <w:color w:val="000000"/>
        </w:rPr>
        <w:t>.)</w:t>
      </w:r>
    </w:p>
    <w:p w:rsidR="00BE5152" w:rsidRDefault="005300CC" w:rsidP="00BE5152">
      <w:pPr>
        <w:shd w:val="clear" w:color="auto" w:fill="FFFFFF"/>
        <w:ind w:firstLine="720"/>
        <w:textAlignment w:val="baseline"/>
        <w:rPr>
          <w:color w:val="000000"/>
        </w:rPr>
      </w:pPr>
      <w:r w:rsidRPr="0008328C">
        <w:rPr>
          <w:color w:val="000000"/>
        </w:rPr>
        <w:t>After the jury’s verdict in this case, the trial court ordered defendant</w:t>
      </w:r>
      <w:r>
        <w:rPr>
          <w:color w:val="000000"/>
        </w:rPr>
        <w:t xml:space="preserve"> </w:t>
      </w:r>
      <w:r w:rsidRPr="0008328C">
        <w:rPr>
          <w:color w:val="000000"/>
        </w:rPr>
        <w:t>to submit to a psychiatric or psychological examinat</w:t>
      </w:r>
      <w:r w:rsidRPr="0008328C">
        <w:rPr>
          <w:color w:val="000000"/>
        </w:rPr>
        <w:t>ion for the purpose of sentencing</w:t>
      </w:r>
      <w:r>
        <w:rPr>
          <w:color w:val="000000"/>
        </w:rPr>
        <w:t xml:space="preserve"> (</w:t>
      </w:r>
      <w:r w:rsidRPr="00F60E4B">
        <w:rPr>
          <w:color w:val="000000"/>
        </w:rPr>
        <w:t>§ </w:t>
      </w:r>
      <w:r>
        <w:rPr>
          <w:color w:val="000000"/>
        </w:rPr>
        <w:t>457)</w:t>
      </w:r>
      <w:r w:rsidRPr="0008328C">
        <w:rPr>
          <w:color w:val="000000"/>
        </w:rPr>
        <w:t xml:space="preserve">. </w:t>
      </w:r>
      <w:r>
        <w:rPr>
          <w:color w:val="000000"/>
        </w:rPr>
        <w:t xml:space="preserve"> P</w:t>
      </w:r>
      <w:r w:rsidRPr="0008328C">
        <w:rPr>
          <w:color w:val="000000"/>
        </w:rPr>
        <w:t xml:space="preserve">ointing mainly to </w:t>
      </w:r>
      <w:r>
        <w:rPr>
          <w:color w:val="000000"/>
        </w:rPr>
        <w:t>the evaluating psychologist</w:t>
      </w:r>
      <w:r w:rsidRPr="0008328C">
        <w:rPr>
          <w:color w:val="000000"/>
        </w:rPr>
        <w:t>’s report prepared in December of 2017</w:t>
      </w:r>
      <w:r>
        <w:rPr>
          <w:color w:val="000000"/>
        </w:rPr>
        <w:t>, d</w:t>
      </w:r>
      <w:r w:rsidRPr="0008328C">
        <w:rPr>
          <w:color w:val="000000"/>
        </w:rPr>
        <w:t>efendant maintains that he qualifie</w:t>
      </w:r>
      <w:r>
        <w:rPr>
          <w:color w:val="000000"/>
        </w:rPr>
        <w:t>s</w:t>
      </w:r>
      <w:r w:rsidRPr="0008328C">
        <w:rPr>
          <w:color w:val="000000"/>
        </w:rPr>
        <w:t xml:space="preserve"> for diversion under section 1001.36.</w:t>
      </w:r>
    </w:p>
    <w:p w:rsidR="00AC12B2" w:rsidRPr="0008328C" w:rsidRDefault="005300CC" w:rsidP="00BE5152">
      <w:pPr>
        <w:shd w:val="clear" w:color="auto" w:fill="FFFFFF"/>
        <w:ind w:firstLine="720"/>
        <w:textAlignment w:val="baseline"/>
        <w:rPr>
          <w:color w:val="000000"/>
        </w:rPr>
      </w:pPr>
      <w:r w:rsidRPr="0008328C">
        <w:rPr>
          <w:color w:val="000000"/>
        </w:rPr>
        <w:t xml:space="preserve">The </w:t>
      </w:r>
      <w:r>
        <w:rPr>
          <w:color w:val="000000"/>
        </w:rPr>
        <w:t>psychological evaluator</w:t>
      </w:r>
      <w:r w:rsidRPr="0008328C">
        <w:rPr>
          <w:color w:val="000000"/>
        </w:rPr>
        <w:t>’s report indicated that</w:t>
      </w:r>
      <w:r w:rsidRPr="0008328C">
        <w:rPr>
          <w:color w:val="000000"/>
        </w:rPr>
        <w:t xml:space="preserve"> over the three to six months prior to </w:t>
      </w:r>
      <w:r>
        <w:rPr>
          <w:color w:val="000000"/>
        </w:rPr>
        <w:t>his</w:t>
      </w:r>
      <w:r w:rsidRPr="0008328C">
        <w:rPr>
          <w:color w:val="000000"/>
        </w:rPr>
        <w:t xml:space="preserve"> commission of arson, </w:t>
      </w:r>
      <w:r>
        <w:rPr>
          <w:color w:val="000000"/>
        </w:rPr>
        <w:t>defendant</w:t>
      </w:r>
      <w:r w:rsidRPr="0008328C">
        <w:rPr>
          <w:color w:val="000000"/>
        </w:rPr>
        <w:t xml:space="preserve"> “clearly developed a significant psychiatric illness (major depressive disorder)</w:t>
      </w:r>
      <w:r>
        <w:rPr>
          <w:color w:val="000000"/>
        </w:rPr>
        <w:t>”</w:t>
      </w:r>
      <w:r w:rsidRPr="0008328C">
        <w:rPr>
          <w:color w:val="000000"/>
        </w:rPr>
        <w:t xml:space="preserve"> and he “clearly experienced suicidal ideation on one or more occasions prior to the offense.”  Defen</w:t>
      </w:r>
      <w:r w:rsidRPr="0008328C">
        <w:rPr>
          <w:color w:val="000000"/>
        </w:rPr>
        <w:t>dant reported having severe stress related to work and a very stressful relationship with his former supervisor.  He had not worked since approximately June of 2015.  Defendant had a history of depression and received extensive psychiatric treatment from J</w:t>
      </w:r>
      <w:r w:rsidRPr="0008328C">
        <w:rPr>
          <w:color w:val="000000"/>
        </w:rPr>
        <w:t>une of 2015 until January 9, 2016, the date of the offense.</w:t>
      </w:r>
    </w:p>
    <w:p w:rsidR="003E5845" w:rsidRPr="0008328C" w:rsidRDefault="005300CC" w:rsidP="0008328C">
      <w:pPr>
        <w:shd w:val="clear" w:color="auto" w:fill="FFFFFF"/>
        <w:ind w:firstLine="720"/>
        <w:textAlignment w:val="baseline"/>
        <w:rPr>
          <w:color w:val="000000"/>
        </w:rPr>
      </w:pPr>
      <w:r>
        <w:rPr>
          <w:color w:val="000000"/>
        </w:rPr>
        <w:t>The evaluation indicated that o</w:t>
      </w:r>
      <w:r w:rsidRPr="0008328C">
        <w:rPr>
          <w:color w:val="000000"/>
        </w:rPr>
        <w:t xml:space="preserve">n one or more occasions in late 2015, defendant received emergency room treatment for panic attacks.  Defendant had </w:t>
      </w:r>
      <w:r>
        <w:rPr>
          <w:color w:val="000000"/>
        </w:rPr>
        <w:t>a</w:t>
      </w:r>
      <w:r w:rsidRPr="0008328C">
        <w:rPr>
          <w:color w:val="000000"/>
        </w:rPr>
        <w:t xml:space="preserve"> psychiatric</w:t>
      </w:r>
      <w:r>
        <w:rPr>
          <w:color w:val="000000"/>
        </w:rPr>
        <w:t xml:space="preserve"> </w:t>
      </w:r>
      <w:r w:rsidRPr="0008328C">
        <w:rPr>
          <w:color w:val="000000"/>
        </w:rPr>
        <w:t>hospitaliz</w:t>
      </w:r>
      <w:r>
        <w:rPr>
          <w:color w:val="000000"/>
        </w:rPr>
        <w:t>ation</w:t>
      </w:r>
      <w:r w:rsidRPr="0008328C">
        <w:rPr>
          <w:color w:val="000000"/>
        </w:rPr>
        <w:t xml:space="preserve"> from January 1, 201</w:t>
      </w:r>
      <w:r w:rsidRPr="0008328C">
        <w:rPr>
          <w:color w:val="000000"/>
        </w:rPr>
        <w:t>6 to January 6, 2016.  On January 8, 2016, defendant had an unsuccessful job interview and then received medical advice that his foot pain was likely to be chronic.  The e</w:t>
      </w:r>
      <w:r>
        <w:rPr>
          <w:color w:val="000000"/>
        </w:rPr>
        <w:t>valuator</w:t>
      </w:r>
      <w:r w:rsidRPr="0008328C">
        <w:rPr>
          <w:color w:val="000000"/>
        </w:rPr>
        <w:t xml:space="preserve"> characterized those events as stressors immediately </w:t>
      </w:r>
      <w:r>
        <w:rPr>
          <w:color w:val="000000"/>
        </w:rPr>
        <w:t xml:space="preserve">preceding </w:t>
      </w:r>
      <w:r w:rsidRPr="0008328C">
        <w:rPr>
          <w:color w:val="000000"/>
        </w:rPr>
        <w:t xml:space="preserve">the offense.  </w:t>
      </w:r>
      <w:r w:rsidRPr="0008328C">
        <w:rPr>
          <w:color w:val="000000"/>
        </w:rPr>
        <w:t xml:space="preserve">Defendant </w:t>
      </w:r>
      <w:r>
        <w:rPr>
          <w:color w:val="000000"/>
        </w:rPr>
        <w:t xml:space="preserve">had </w:t>
      </w:r>
      <w:r w:rsidRPr="0008328C">
        <w:rPr>
          <w:color w:val="000000"/>
        </w:rPr>
        <w:t xml:space="preserve">described </w:t>
      </w:r>
      <w:r>
        <w:rPr>
          <w:color w:val="000000"/>
        </w:rPr>
        <w:t xml:space="preserve">experiencing </w:t>
      </w:r>
      <w:r w:rsidRPr="0008328C">
        <w:rPr>
          <w:color w:val="000000"/>
        </w:rPr>
        <w:t>significant despondency and anger on the evening of January 8, 2016 and drinking alcohol and consuming cannabis</w:t>
      </w:r>
      <w:r>
        <w:rPr>
          <w:color w:val="000000"/>
        </w:rPr>
        <w:t xml:space="preserve"> over the course of that evening</w:t>
      </w:r>
      <w:r w:rsidRPr="0008328C">
        <w:rPr>
          <w:color w:val="000000"/>
        </w:rPr>
        <w:t>.  At that point in time, defendant had prescriptions for multiple medicatio</w:t>
      </w:r>
      <w:r w:rsidRPr="0008328C">
        <w:rPr>
          <w:color w:val="000000"/>
        </w:rPr>
        <w:t>ns.</w:t>
      </w:r>
    </w:p>
    <w:p w:rsidR="001E5D8D" w:rsidRDefault="005300CC" w:rsidP="001E5D8D">
      <w:pPr>
        <w:shd w:val="clear" w:color="auto" w:fill="FFFFFF"/>
        <w:ind w:firstLine="720"/>
        <w:textAlignment w:val="baseline"/>
        <w:rPr>
          <w:color w:val="000000"/>
        </w:rPr>
      </w:pPr>
      <w:r w:rsidRPr="0008328C">
        <w:rPr>
          <w:color w:val="000000"/>
        </w:rPr>
        <w:t xml:space="preserve">In </w:t>
      </w:r>
      <w:bookmarkStart w:id="2" w:name="_Hlk10541414"/>
      <w:r w:rsidRPr="0008328C">
        <w:rPr>
          <w:i/>
          <w:color w:val="000000"/>
        </w:rPr>
        <w:t>People v</w:t>
      </w:r>
      <w:r w:rsidRPr="00602342">
        <w:rPr>
          <w:color w:val="000000"/>
        </w:rPr>
        <w:t xml:space="preserve">. </w:t>
      </w:r>
      <w:r w:rsidRPr="0008328C">
        <w:rPr>
          <w:i/>
          <w:color w:val="000000"/>
        </w:rPr>
        <w:t>Frahs</w:t>
      </w:r>
      <w:r w:rsidRPr="0008328C">
        <w:rPr>
          <w:color w:val="000000"/>
        </w:rPr>
        <w:t xml:space="preserve"> (2018) 27 Cal.App.5th 784 (</w:t>
      </w:r>
      <w:r w:rsidRPr="0008328C">
        <w:rPr>
          <w:i/>
          <w:color w:val="000000"/>
        </w:rPr>
        <w:t>Frahs</w:t>
      </w:r>
      <w:r w:rsidRPr="0008328C">
        <w:rPr>
          <w:color w:val="000000"/>
        </w:rPr>
        <w:t>)</w:t>
      </w:r>
      <w:r>
        <w:rPr>
          <w:color w:val="000000"/>
        </w:rPr>
        <w:t xml:space="preserve"> (</w:t>
      </w:r>
      <w:r w:rsidRPr="0008328C">
        <w:rPr>
          <w:color w:val="000000"/>
        </w:rPr>
        <w:t>review granted on December 27, 2018, S252220</w:t>
      </w:r>
      <w:bookmarkEnd w:id="2"/>
      <w:r>
        <w:rPr>
          <w:color w:val="000000"/>
        </w:rPr>
        <w:t>)</w:t>
      </w:r>
      <w:r w:rsidRPr="0008328C">
        <w:rPr>
          <w:color w:val="000000"/>
        </w:rPr>
        <w:t>, the defendant argued that section 1001.36 should retroactively apply to him.  (</w:t>
      </w:r>
      <w:r w:rsidRPr="0008328C">
        <w:rPr>
          <w:i/>
          <w:color w:val="000000"/>
        </w:rPr>
        <w:t>Frahs</w:t>
      </w:r>
      <w:r w:rsidRPr="0008328C">
        <w:rPr>
          <w:color w:val="000000"/>
        </w:rPr>
        <w:t xml:space="preserve">, </w:t>
      </w:r>
      <w:r w:rsidRPr="0008328C">
        <w:rPr>
          <w:i/>
          <w:color w:val="000000"/>
        </w:rPr>
        <w:t>supra</w:t>
      </w:r>
      <w:r w:rsidRPr="0008328C">
        <w:rPr>
          <w:color w:val="000000"/>
        </w:rPr>
        <w:t xml:space="preserve">, at p. 787.)  The section had been enacted while </w:t>
      </w:r>
      <w:r>
        <w:rPr>
          <w:color w:val="000000"/>
        </w:rPr>
        <w:t xml:space="preserve">the defendant’s </w:t>
      </w:r>
      <w:r w:rsidRPr="0008328C">
        <w:rPr>
          <w:color w:val="000000"/>
        </w:rPr>
        <w:t>appeal was pending.  (</w:t>
      </w:r>
      <w:r w:rsidRPr="0008328C">
        <w:rPr>
          <w:i/>
          <w:color w:val="000000"/>
        </w:rPr>
        <w:t>Ibid</w:t>
      </w:r>
      <w:r w:rsidRPr="0008328C">
        <w:rPr>
          <w:color w:val="000000"/>
        </w:rPr>
        <w:t xml:space="preserve">.)  The Court of Appeal, Fourth District, Division 3, conditionally reversed the judgment and remanded the matter to the trial court </w:t>
      </w:r>
      <w:r>
        <w:rPr>
          <w:color w:val="000000"/>
        </w:rPr>
        <w:t>to determine defendant’s e</w:t>
      </w:r>
      <w:r w:rsidRPr="0008328C">
        <w:rPr>
          <w:color w:val="000000"/>
        </w:rPr>
        <w:t>ligib</w:t>
      </w:r>
      <w:r w:rsidRPr="0008328C">
        <w:rPr>
          <w:color w:val="000000"/>
        </w:rPr>
        <w:t xml:space="preserve">ility </w:t>
      </w:r>
      <w:r>
        <w:rPr>
          <w:color w:val="000000"/>
        </w:rPr>
        <w:t xml:space="preserve">for </w:t>
      </w:r>
      <w:r w:rsidRPr="0008328C">
        <w:rPr>
          <w:color w:val="000000"/>
        </w:rPr>
        <w:t xml:space="preserve">diversion under </w:t>
      </w:r>
      <w:r>
        <w:rPr>
          <w:color w:val="000000"/>
        </w:rPr>
        <w:t xml:space="preserve">former </w:t>
      </w:r>
      <w:r w:rsidRPr="0008328C">
        <w:rPr>
          <w:color w:val="000000"/>
        </w:rPr>
        <w:t>section 1001.36.  (</w:t>
      </w:r>
      <w:r w:rsidRPr="0008328C">
        <w:rPr>
          <w:i/>
          <w:color w:val="000000"/>
        </w:rPr>
        <w:t>Frahs</w:t>
      </w:r>
      <w:r w:rsidRPr="0008328C">
        <w:rPr>
          <w:color w:val="000000"/>
        </w:rPr>
        <w:t xml:space="preserve">, </w:t>
      </w:r>
      <w:r w:rsidRPr="0008328C">
        <w:rPr>
          <w:i/>
          <w:color w:val="000000"/>
        </w:rPr>
        <w:t>supra</w:t>
      </w:r>
      <w:r w:rsidRPr="0008328C">
        <w:rPr>
          <w:color w:val="000000"/>
        </w:rPr>
        <w:t>, at pp. 792, 796.)</w:t>
      </w:r>
    </w:p>
    <w:p w:rsidR="001E5D8D" w:rsidRDefault="005300CC" w:rsidP="001E5D8D">
      <w:pPr>
        <w:shd w:val="clear" w:color="auto" w:fill="FFFFFF"/>
        <w:ind w:firstLine="720"/>
        <w:textAlignment w:val="baseline"/>
        <w:rPr>
          <w:color w:val="000000"/>
        </w:rPr>
      </w:pPr>
      <w:r w:rsidRPr="000053B9">
        <w:rPr>
          <w:color w:val="000000"/>
        </w:rPr>
        <w:t xml:space="preserve">The </w:t>
      </w:r>
      <w:r w:rsidRPr="00E2725C">
        <w:rPr>
          <w:i/>
          <w:color w:val="000000"/>
        </w:rPr>
        <w:t>Frahs</w:t>
      </w:r>
      <w:r w:rsidRPr="0008328C">
        <w:rPr>
          <w:color w:val="000000"/>
        </w:rPr>
        <w:t xml:space="preserve"> </w:t>
      </w:r>
      <w:r>
        <w:rPr>
          <w:color w:val="000000"/>
        </w:rPr>
        <w:t xml:space="preserve">court cited </w:t>
      </w:r>
      <w:r w:rsidRPr="00F60E4B">
        <w:rPr>
          <w:i/>
          <w:color w:val="000000"/>
        </w:rPr>
        <w:t>Lara</w:t>
      </w:r>
      <w:r>
        <w:rPr>
          <w:color w:val="000000"/>
        </w:rPr>
        <w:t xml:space="preserve"> in concluding that former section 1001.36 operated retroactively as to the case pending before it, a nonfinal judgment</w:t>
      </w:r>
      <w:r w:rsidRPr="0008328C">
        <w:rPr>
          <w:color w:val="000000"/>
        </w:rPr>
        <w:t>.  (See</w:t>
      </w:r>
      <w:r>
        <w:rPr>
          <w:color w:val="000000"/>
        </w:rPr>
        <w:t> </w:t>
      </w:r>
      <w:r w:rsidRPr="0008328C">
        <w:rPr>
          <w:i/>
          <w:color w:val="000000"/>
        </w:rPr>
        <w:t>Frahs</w:t>
      </w:r>
      <w:r w:rsidRPr="0008328C">
        <w:rPr>
          <w:color w:val="000000"/>
        </w:rPr>
        <w:t xml:space="preserve">, </w:t>
      </w:r>
      <w:r w:rsidRPr="0008328C">
        <w:rPr>
          <w:i/>
          <w:color w:val="000000"/>
        </w:rPr>
        <w:t>supra</w:t>
      </w:r>
      <w:r w:rsidRPr="0008328C">
        <w:rPr>
          <w:color w:val="000000"/>
        </w:rPr>
        <w:t>, 27 Ca</w:t>
      </w:r>
      <w:r w:rsidRPr="0008328C">
        <w:rPr>
          <w:color w:val="000000"/>
        </w:rPr>
        <w:t>l.App.5th</w:t>
      </w:r>
      <w:r>
        <w:rPr>
          <w:color w:val="000000"/>
        </w:rPr>
        <w:t xml:space="preserve"> </w:t>
      </w:r>
      <w:r w:rsidRPr="0008328C">
        <w:rPr>
          <w:color w:val="000000"/>
        </w:rPr>
        <w:t xml:space="preserve">at pp. 790-792.)  </w:t>
      </w:r>
      <w:r w:rsidRPr="0008328C">
        <w:rPr>
          <w:i/>
          <w:color w:val="000000"/>
        </w:rPr>
        <w:t>Lara</w:t>
      </w:r>
      <w:r w:rsidRPr="0008328C">
        <w:rPr>
          <w:color w:val="000000"/>
        </w:rPr>
        <w:t xml:space="preserve"> held that “Proposition 57’s juvenile law provisions </w:t>
      </w:r>
      <w:r>
        <w:rPr>
          <w:color w:val="000000"/>
        </w:rPr>
        <w:t xml:space="preserve">[regarding juvenile transfer hearings] </w:t>
      </w:r>
      <w:r w:rsidRPr="0008328C">
        <w:rPr>
          <w:color w:val="000000"/>
        </w:rPr>
        <w:t>apply retroactively to cases filed in adult court before it took effect.”  (</w:t>
      </w:r>
      <w:r w:rsidRPr="00F60E4B">
        <w:rPr>
          <w:i/>
          <w:color w:val="000000"/>
        </w:rPr>
        <w:t>Lara</w:t>
      </w:r>
      <w:r>
        <w:rPr>
          <w:color w:val="000000"/>
        </w:rPr>
        <w:t xml:space="preserve">, </w:t>
      </w:r>
      <w:r w:rsidRPr="00F60E4B">
        <w:rPr>
          <w:i/>
          <w:color w:val="000000"/>
        </w:rPr>
        <w:t>supra</w:t>
      </w:r>
      <w:r>
        <w:rPr>
          <w:color w:val="000000"/>
        </w:rPr>
        <w:t xml:space="preserve">, </w:t>
      </w:r>
      <w:r w:rsidRPr="0008328C">
        <w:rPr>
          <w:color w:val="000000"/>
        </w:rPr>
        <w:t xml:space="preserve">4 Cal.5th at p. 305, fn. omitted.)  </w:t>
      </w:r>
      <w:r>
        <w:rPr>
          <w:color w:val="000000"/>
        </w:rPr>
        <w:t>T</w:t>
      </w:r>
      <w:r w:rsidRPr="0008328C">
        <w:rPr>
          <w:color w:val="000000"/>
        </w:rPr>
        <w:t>he Sup</w:t>
      </w:r>
      <w:r w:rsidRPr="0008328C">
        <w:rPr>
          <w:color w:val="000000"/>
        </w:rPr>
        <w:t xml:space="preserve">reme Court observed in </w:t>
      </w:r>
      <w:r w:rsidRPr="0008328C">
        <w:rPr>
          <w:i/>
          <w:color w:val="000000"/>
        </w:rPr>
        <w:t>Lara</w:t>
      </w:r>
      <w:r w:rsidRPr="0008328C">
        <w:rPr>
          <w:color w:val="000000"/>
        </w:rPr>
        <w:t>, “Proposition 57 prohibits prosecutors from charging juveniles with crimes directly in adult court.  Instead, they must commence the action in juvenile court.  If the prosecution wishes to try the juvenile as an adult, the juven</w:t>
      </w:r>
      <w:r w:rsidRPr="0008328C">
        <w:rPr>
          <w:color w:val="000000"/>
        </w:rPr>
        <w:t>ile court must conduct</w:t>
      </w:r>
      <w:r>
        <w:rPr>
          <w:color w:val="000000"/>
        </w:rPr>
        <w:t> </w:t>
      </w:r>
      <w:r w:rsidRPr="0008328C">
        <w:rPr>
          <w:color w:val="000000"/>
        </w:rPr>
        <w:t>. . . a ‘transfer hearing’ to determine whether the matter should remain in juvenile court or be transferred to adult court.  Only if the juvenile court transfers the matter to adult court can the juvenile be tried and sentenced as a</w:t>
      </w:r>
      <w:r w:rsidRPr="0008328C">
        <w:rPr>
          <w:color w:val="000000"/>
        </w:rPr>
        <w:t>n adult.  (See Welf. &amp; Inst. Code, § 707, subd. (a).)”  (</w:t>
      </w:r>
      <w:r w:rsidRPr="0008328C">
        <w:rPr>
          <w:i/>
          <w:color w:val="000000"/>
        </w:rPr>
        <w:t>Id</w:t>
      </w:r>
      <w:r w:rsidRPr="0008328C">
        <w:rPr>
          <w:color w:val="000000"/>
        </w:rPr>
        <w:t>. at p. 303, fn. omitted.)</w:t>
      </w:r>
    </w:p>
    <w:p w:rsidR="002D37BF" w:rsidRPr="0008328C" w:rsidRDefault="005300CC" w:rsidP="001E5D8D">
      <w:pPr>
        <w:shd w:val="clear" w:color="auto" w:fill="FFFFFF"/>
        <w:ind w:firstLine="720"/>
        <w:textAlignment w:val="baseline"/>
        <w:rPr>
          <w:color w:val="000000"/>
        </w:rPr>
      </w:pPr>
      <w:r>
        <w:rPr>
          <w:color w:val="000000"/>
        </w:rPr>
        <w:t xml:space="preserve">In </w:t>
      </w:r>
      <w:r w:rsidRPr="001E5D8D">
        <w:rPr>
          <w:i/>
          <w:color w:val="000000"/>
        </w:rPr>
        <w:t>Lara</w:t>
      </w:r>
      <w:r>
        <w:rPr>
          <w:color w:val="000000"/>
        </w:rPr>
        <w:t>, the Supreme Court reasoned:  “T</w:t>
      </w:r>
      <w:r w:rsidRPr="00E071E3">
        <w:rPr>
          <w:color w:val="000000"/>
        </w:rPr>
        <w:t>he possibility of being treated as a juvenile in juvenile court—where rehabilitation is the goal—rather than being tried and sente</w:t>
      </w:r>
      <w:r w:rsidRPr="00E071E3">
        <w:rPr>
          <w:color w:val="000000"/>
        </w:rPr>
        <w:t xml:space="preserve">nced as an adult can result in dramatically different and more lenient treatment. </w:t>
      </w:r>
      <w:r>
        <w:rPr>
          <w:color w:val="000000"/>
        </w:rPr>
        <w:t xml:space="preserve"> </w:t>
      </w:r>
      <w:r w:rsidRPr="00E071E3">
        <w:rPr>
          <w:color w:val="000000"/>
        </w:rPr>
        <w:t>Therefore, Proposition 57 reduces the possible punishment for a class of persons, namely juveniles.</w:t>
      </w:r>
      <w:r>
        <w:rPr>
          <w:color w:val="000000"/>
        </w:rPr>
        <w:t xml:space="preserve">  </w:t>
      </w:r>
      <w:r w:rsidRPr="00E071E3">
        <w:rPr>
          <w:color w:val="000000"/>
        </w:rPr>
        <w:t xml:space="preserve">For this reason, </w:t>
      </w:r>
      <w:r w:rsidRPr="00E071E3">
        <w:rPr>
          <w:i/>
          <w:color w:val="000000"/>
        </w:rPr>
        <w:t>Estrada</w:t>
      </w:r>
      <w:r w:rsidRPr="00E071E3">
        <w:rPr>
          <w:color w:val="000000"/>
        </w:rPr>
        <w:t>’s inference of retroactivity applies.</w:t>
      </w:r>
      <w:r>
        <w:rPr>
          <w:color w:val="000000"/>
        </w:rPr>
        <w:t>”  (</w:t>
      </w:r>
      <w:r w:rsidRPr="00F60E4B">
        <w:rPr>
          <w:i/>
          <w:color w:val="000000"/>
        </w:rPr>
        <w:t>Lara</w:t>
      </w:r>
      <w:r>
        <w:rPr>
          <w:color w:val="000000"/>
        </w:rPr>
        <w:t xml:space="preserve">, </w:t>
      </w:r>
      <w:r w:rsidRPr="00F60E4B">
        <w:rPr>
          <w:i/>
          <w:color w:val="000000"/>
        </w:rPr>
        <w:t>supra</w:t>
      </w:r>
      <w:r>
        <w:rPr>
          <w:color w:val="000000"/>
        </w:rPr>
        <w:t xml:space="preserve">, </w:t>
      </w:r>
      <w:r w:rsidRPr="0008328C">
        <w:rPr>
          <w:color w:val="000000"/>
        </w:rPr>
        <w:t xml:space="preserve">4 Cal.5th </w:t>
      </w:r>
      <w:r>
        <w:rPr>
          <w:color w:val="000000"/>
        </w:rPr>
        <w:t xml:space="preserve"> at p. 303.)  It found that “</w:t>
      </w:r>
      <w:r w:rsidRPr="00A957AF">
        <w:rPr>
          <w:color w:val="000000"/>
        </w:rPr>
        <w:t>nothing in Proposition 57’s text or ballot materials rebuts</w:t>
      </w:r>
      <w:r>
        <w:rPr>
          <w:color w:val="000000"/>
        </w:rPr>
        <w:t xml:space="preserve"> [</w:t>
      </w:r>
      <w:r w:rsidRPr="00A957AF">
        <w:rPr>
          <w:i/>
          <w:color w:val="000000"/>
        </w:rPr>
        <w:t>Estrada</w:t>
      </w:r>
      <w:r w:rsidRPr="00A957AF">
        <w:rPr>
          <w:color w:val="000000"/>
        </w:rPr>
        <w:t xml:space="preserve">’s </w:t>
      </w:r>
      <w:r>
        <w:rPr>
          <w:color w:val="000000"/>
        </w:rPr>
        <w:t xml:space="preserve">presumptive </w:t>
      </w:r>
      <w:r w:rsidRPr="00A957AF">
        <w:rPr>
          <w:color w:val="000000"/>
        </w:rPr>
        <w:t>inference of retroactivity</w:t>
      </w:r>
      <w:r>
        <w:rPr>
          <w:color w:val="000000"/>
        </w:rPr>
        <w:t>].”  (</w:t>
      </w:r>
      <w:r w:rsidRPr="00A957AF">
        <w:rPr>
          <w:i/>
          <w:color w:val="000000"/>
        </w:rPr>
        <w:t>Id</w:t>
      </w:r>
      <w:r>
        <w:rPr>
          <w:color w:val="000000"/>
        </w:rPr>
        <w:t>. at pp. 303-304.)  In the absence of contrary</w:t>
      </w:r>
      <w:r w:rsidRPr="0008328C">
        <w:rPr>
          <w:color w:val="000000"/>
        </w:rPr>
        <w:t xml:space="preserve"> </w:t>
      </w:r>
      <w:r>
        <w:rPr>
          <w:color w:val="000000"/>
        </w:rPr>
        <w:t xml:space="preserve">evidence, the court </w:t>
      </w:r>
      <w:r w:rsidRPr="0008328C">
        <w:rPr>
          <w:color w:val="000000"/>
        </w:rPr>
        <w:t>concluded that “Prop</w:t>
      </w:r>
      <w:r w:rsidRPr="0008328C">
        <w:rPr>
          <w:color w:val="000000"/>
        </w:rPr>
        <w:t>osition 57 is an ‘ameliorative change[ ] to the criminal law’ that we infer the legislative body intended ‘to extend as broadly as possible.’  [Citation.]”  (</w:t>
      </w:r>
      <w:r w:rsidRPr="0008328C">
        <w:rPr>
          <w:i/>
          <w:color w:val="000000"/>
        </w:rPr>
        <w:t>Id</w:t>
      </w:r>
      <w:r w:rsidRPr="0008328C">
        <w:rPr>
          <w:color w:val="000000"/>
        </w:rPr>
        <w:t>. at p. 309.)</w:t>
      </w:r>
    </w:p>
    <w:p w:rsidR="007A3384" w:rsidRDefault="005300CC" w:rsidP="0008328C">
      <w:pPr>
        <w:ind w:firstLine="720"/>
        <w:rPr>
          <w:color w:val="000000"/>
        </w:rPr>
      </w:pPr>
      <w:r w:rsidRPr="000053B9">
        <w:rPr>
          <w:color w:val="000000"/>
        </w:rPr>
        <w:t xml:space="preserve">The </w:t>
      </w:r>
      <w:r>
        <w:rPr>
          <w:color w:val="000000"/>
        </w:rPr>
        <w:t xml:space="preserve">appellate </w:t>
      </w:r>
      <w:r w:rsidRPr="000053B9">
        <w:rPr>
          <w:color w:val="000000"/>
        </w:rPr>
        <w:t xml:space="preserve">court in </w:t>
      </w:r>
      <w:r w:rsidRPr="0008328C">
        <w:rPr>
          <w:i/>
          <w:color w:val="000000"/>
        </w:rPr>
        <w:t>Frahs</w:t>
      </w:r>
      <w:r w:rsidRPr="0008328C">
        <w:rPr>
          <w:color w:val="000000"/>
        </w:rPr>
        <w:t xml:space="preserve"> reasoned: “[S]imilar to Proposition 57, the mental he</w:t>
      </w:r>
      <w:r w:rsidRPr="0008328C">
        <w:rPr>
          <w:color w:val="000000"/>
        </w:rPr>
        <w:t>alth diversion program under section 1001.36 does not lessen the punishment for a particular crime.  However, for a defendant with a diagnosed mental disorder, it is unquestionably an ‘ameliorating benefit’ to have the opportunity for diversion—and ultimat</w:t>
      </w:r>
      <w:r w:rsidRPr="0008328C">
        <w:rPr>
          <w:color w:val="000000"/>
        </w:rPr>
        <w:t>ely a possible dismissal—under section 1001.36.  Further, it appears that the Legislature intended the mental health diversion program to apply as broadly as possible: ‘The purpose of this chapter is to promote . . . [¶]</w:t>
      </w:r>
      <w:r>
        <w:rPr>
          <w:color w:val="000000"/>
        </w:rPr>
        <w:t xml:space="preserve"> </w:t>
      </w:r>
      <w:r w:rsidRPr="0008328C">
        <w:rPr>
          <w:color w:val="000000"/>
        </w:rPr>
        <w:t xml:space="preserve"> (a) </w:t>
      </w:r>
      <w:r w:rsidRPr="00072254">
        <w:rPr>
          <w:i/>
          <w:color w:val="000000"/>
        </w:rPr>
        <w:t>Increased diversion</w:t>
      </w:r>
      <w:r w:rsidRPr="0008328C">
        <w:rPr>
          <w:color w:val="000000"/>
        </w:rPr>
        <w:t xml:space="preserve"> of individ</w:t>
      </w:r>
      <w:r w:rsidRPr="0008328C">
        <w:rPr>
          <w:color w:val="000000"/>
        </w:rPr>
        <w:t>uals with mental disorders to mitigate the individuals</w:t>
      </w:r>
      <w:r>
        <w:rPr>
          <w:color w:val="000000"/>
        </w:rPr>
        <w:t>’</w:t>
      </w:r>
      <w:r w:rsidRPr="0008328C">
        <w:rPr>
          <w:color w:val="000000"/>
        </w:rPr>
        <w:t xml:space="preserve"> entry and reentry into the criminal justice system while protecting public safety.’  (§ 1001.35, subd. (a), italics added.)”  (</w:t>
      </w:r>
      <w:r w:rsidRPr="0008328C">
        <w:rPr>
          <w:i/>
          <w:color w:val="000000"/>
        </w:rPr>
        <w:t>Frahs</w:t>
      </w:r>
      <w:r w:rsidRPr="0008328C">
        <w:rPr>
          <w:color w:val="000000"/>
        </w:rPr>
        <w:t xml:space="preserve">, </w:t>
      </w:r>
      <w:r w:rsidRPr="0008328C">
        <w:rPr>
          <w:i/>
          <w:color w:val="000000"/>
        </w:rPr>
        <w:t>supra</w:t>
      </w:r>
      <w:r w:rsidRPr="0008328C">
        <w:rPr>
          <w:color w:val="000000"/>
        </w:rPr>
        <w:t xml:space="preserve">, 27 Cal.App.5th at p. 791.)  The court in </w:t>
      </w:r>
      <w:r w:rsidRPr="0008328C">
        <w:rPr>
          <w:i/>
          <w:color w:val="000000"/>
        </w:rPr>
        <w:t>Frahs</w:t>
      </w:r>
      <w:r w:rsidRPr="0008328C">
        <w:rPr>
          <w:color w:val="000000"/>
        </w:rPr>
        <w:t xml:space="preserve"> inferred, </w:t>
      </w:r>
      <w:r>
        <w:rPr>
          <w:color w:val="000000"/>
        </w:rPr>
        <w:t>re</w:t>
      </w:r>
      <w:r>
        <w:rPr>
          <w:color w:val="000000"/>
        </w:rPr>
        <w:t>lying upon the</w:t>
      </w:r>
      <w:r w:rsidRPr="0008328C">
        <w:rPr>
          <w:color w:val="000000"/>
        </w:rPr>
        <w:t xml:space="preserve"> Supreme Court’s reasoning in </w:t>
      </w:r>
      <w:r w:rsidRPr="0008328C">
        <w:rPr>
          <w:i/>
          <w:color w:val="000000"/>
        </w:rPr>
        <w:t>Lara</w:t>
      </w:r>
      <w:r w:rsidRPr="0008328C">
        <w:rPr>
          <w:color w:val="000000"/>
        </w:rPr>
        <w:t>, that “the Legislature ‘must have intended’</w:t>
      </w:r>
      <w:r>
        <w:rPr>
          <w:color w:val="000000"/>
        </w:rPr>
        <w:t> </w:t>
      </w:r>
      <w:r w:rsidRPr="00873A4E">
        <w:rPr>
          <w:color w:val="000000"/>
        </w:rPr>
        <w:t xml:space="preserve">. . . </w:t>
      </w:r>
      <w:r w:rsidRPr="0008328C">
        <w:rPr>
          <w:color w:val="000000"/>
        </w:rPr>
        <w:t>the potential ‘ameliorating benefits’ of mental health diversion to ‘apply to every case to which it constitutionally could apply.’  (</w:t>
      </w:r>
      <w:r w:rsidRPr="0008328C">
        <w:rPr>
          <w:i/>
          <w:color w:val="000000"/>
        </w:rPr>
        <w:t>Estrada</w:t>
      </w:r>
      <w:r w:rsidRPr="0008328C">
        <w:rPr>
          <w:color w:val="000000"/>
        </w:rPr>
        <w:t xml:space="preserve">, </w:t>
      </w:r>
      <w:r w:rsidRPr="0008328C">
        <w:rPr>
          <w:i/>
          <w:color w:val="000000"/>
        </w:rPr>
        <w:t>supra</w:t>
      </w:r>
      <w:r w:rsidRPr="0008328C">
        <w:rPr>
          <w:color w:val="000000"/>
        </w:rPr>
        <w:t>, 63 Cal.</w:t>
      </w:r>
      <w:r w:rsidRPr="0008328C">
        <w:rPr>
          <w:color w:val="000000"/>
        </w:rPr>
        <w:t>2d at pp. 744-746.)”  (</w:t>
      </w:r>
      <w:r w:rsidRPr="0008328C">
        <w:rPr>
          <w:i/>
          <w:color w:val="000000"/>
        </w:rPr>
        <w:t>Ibid</w:t>
      </w:r>
      <w:r w:rsidRPr="0008328C">
        <w:rPr>
          <w:color w:val="000000"/>
        </w:rPr>
        <w:t>.)</w:t>
      </w:r>
    </w:p>
    <w:p w:rsidR="00361497" w:rsidRDefault="005300CC" w:rsidP="007A3384">
      <w:pPr>
        <w:ind w:firstLine="720"/>
        <w:rPr>
          <w:color w:val="000000"/>
        </w:rPr>
      </w:pPr>
      <w:r w:rsidRPr="0008328C">
        <w:rPr>
          <w:color w:val="000000"/>
        </w:rPr>
        <w:t>Because Frahs’s case was “not yet final on appeal and the record affirmatively disclose[d] that he appear[ed] to meet at least one of the threshold requirements (a diagnosed mental disorder)” (</w:t>
      </w:r>
      <w:r w:rsidRPr="0008328C">
        <w:rPr>
          <w:i/>
          <w:color w:val="000000"/>
        </w:rPr>
        <w:t>Frahs</w:t>
      </w:r>
      <w:r w:rsidRPr="0008328C">
        <w:rPr>
          <w:color w:val="000000"/>
        </w:rPr>
        <w:t xml:space="preserve">, </w:t>
      </w:r>
      <w:r w:rsidRPr="0008328C">
        <w:rPr>
          <w:i/>
          <w:color w:val="000000"/>
        </w:rPr>
        <w:t>supra</w:t>
      </w:r>
      <w:r w:rsidRPr="0008328C">
        <w:rPr>
          <w:color w:val="000000"/>
        </w:rPr>
        <w:t xml:space="preserve">, 27 </w:t>
      </w:r>
      <w:r w:rsidRPr="0008328C">
        <w:rPr>
          <w:color w:val="000000"/>
        </w:rPr>
        <w:t>Cal.App.5th at p. 791), the appellate court</w:t>
      </w:r>
      <w:r>
        <w:rPr>
          <w:color w:val="000000"/>
        </w:rPr>
        <w:t xml:space="preserve"> conditionally reversed Frahs’s convictions (</w:t>
      </w:r>
      <w:r w:rsidRPr="007A3384">
        <w:rPr>
          <w:i/>
          <w:color w:val="000000"/>
        </w:rPr>
        <w:t>id</w:t>
      </w:r>
      <w:r>
        <w:rPr>
          <w:color w:val="000000"/>
        </w:rPr>
        <w:t>. at p. 792).  The appellate court specifically directed the trial court to do the following upon remand:  “</w:t>
      </w:r>
      <w:r w:rsidRPr="00E2725C">
        <w:rPr>
          <w:color w:val="000000"/>
        </w:rPr>
        <w:t>If the trial court determines that Frahs qualifies for div</w:t>
      </w:r>
      <w:r w:rsidRPr="00E2725C">
        <w:rPr>
          <w:color w:val="000000"/>
        </w:rPr>
        <w:t>ersion under section 1001.36, then the court may grant diversion.</w:t>
      </w:r>
      <w:r>
        <w:rPr>
          <w:color w:val="000000"/>
        </w:rPr>
        <w:t xml:space="preserve"> </w:t>
      </w:r>
      <w:r w:rsidRPr="00E2725C">
        <w:rPr>
          <w:color w:val="000000"/>
        </w:rPr>
        <w:t xml:space="preserve"> If Frahs successfully completes diversion, then the trial court shall dismiss the charges. </w:t>
      </w:r>
      <w:r>
        <w:rPr>
          <w:color w:val="000000"/>
        </w:rPr>
        <w:t xml:space="preserve"> </w:t>
      </w:r>
      <w:r w:rsidRPr="00E2725C">
        <w:rPr>
          <w:color w:val="000000"/>
        </w:rPr>
        <w:t>However, if the court determines that Frahs is ineligible for diversion, or Frahs does not succes</w:t>
      </w:r>
      <w:r w:rsidRPr="00E2725C">
        <w:rPr>
          <w:color w:val="000000"/>
        </w:rPr>
        <w:t>sfully complete diversion, then his convictions and sentence shall be reinstated.</w:t>
      </w:r>
      <w:r>
        <w:rPr>
          <w:color w:val="000000"/>
        </w:rPr>
        <w:t>”  (</w:t>
      </w:r>
      <w:r w:rsidRPr="00E2725C">
        <w:rPr>
          <w:i/>
          <w:color w:val="000000"/>
        </w:rPr>
        <w:t>Id</w:t>
      </w:r>
      <w:r>
        <w:rPr>
          <w:color w:val="000000"/>
        </w:rPr>
        <w:t>. at p. 796.)</w:t>
      </w:r>
    </w:p>
    <w:p w:rsidR="007A3384" w:rsidRPr="007A3384" w:rsidRDefault="005300CC" w:rsidP="007A3384">
      <w:pPr>
        <w:ind w:firstLine="720"/>
        <w:rPr>
          <w:color w:val="000000"/>
        </w:rPr>
      </w:pPr>
      <w:r>
        <w:rPr>
          <w:color w:val="000000"/>
        </w:rPr>
        <w:t xml:space="preserve">In </w:t>
      </w:r>
      <w:r w:rsidRPr="00361497">
        <w:rPr>
          <w:i/>
          <w:color w:val="000000"/>
        </w:rPr>
        <w:t>Frahs</w:t>
      </w:r>
      <w:r>
        <w:rPr>
          <w:color w:val="000000"/>
        </w:rPr>
        <w:t>, the appellate court explained that “[w]</w:t>
      </w:r>
      <w:r w:rsidRPr="007A3384">
        <w:rPr>
          <w:color w:val="000000"/>
        </w:rPr>
        <w:t>hen conducting the eligibility hearing, the</w:t>
      </w:r>
      <w:r>
        <w:rPr>
          <w:color w:val="000000"/>
        </w:rPr>
        <w:t xml:space="preserve"> [trial]</w:t>
      </w:r>
      <w:r w:rsidRPr="007A3384">
        <w:rPr>
          <w:color w:val="000000"/>
        </w:rPr>
        <w:t xml:space="preserve"> court shall, to the extent possible, treat the matter </w:t>
      </w:r>
      <w:r w:rsidRPr="00F349BF">
        <w:rPr>
          <w:i/>
          <w:color w:val="000000"/>
        </w:rPr>
        <w:t>as though</w:t>
      </w:r>
      <w:r w:rsidRPr="007A3384">
        <w:rPr>
          <w:color w:val="000000"/>
        </w:rPr>
        <w:t xml:space="preserve"> Frahs had moved for pretrial diversion after the charges had been filed, but prior to their adjudication. </w:t>
      </w:r>
      <w:r>
        <w:rPr>
          <w:color w:val="000000"/>
        </w:rPr>
        <w:t xml:space="preserve"> </w:t>
      </w:r>
      <w:r w:rsidRPr="007A3384">
        <w:rPr>
          <w:color w:val="000000"/>
        </w:rPr>
        <w:t>(§</w:t>
      </w:r>
      <w:r>
        <w:rPr>
          <w:color w:val="000000"/>
        </w:rPr>
        <w:t> </w:t>
      </w:r>
      <w:r w:rsidRPr="007A3384">
        <w:rPr>
          <w:color w:val="000000"/>
        </w:rPr>
        <w:t>1001.36, subd. (c).)</w:t>
      </w:r>
      <w:r>
        <w:rPr>
          <w:color w:val="000000"/>
        </w:rPr>
        <w:t>”  (</w:t>
      </w:r>
      <w:r w:rsidRPr="0008328C">
        <w:rPr>
          <w:i/>
          <w:color w:val="000000"/>
        </w:rPr>
        <w:t>Frahs</w:t>
      </w:r>
      <w:r w:rsidRPr="0008328C">
        <w:rPr>
          <w:color w:val="000000"/>
        </w:rPr>
        <w:t xml:space="preserve">, </w:t>
      </w:r>
      <w:r w:rsidRPr="0008328C">
        <w:rPr>
          <w:i/>
          <w:color w:val="000000"/>
        </w:rPr>
        <w:t>supra</w:t>
      </w:r>
      <w:r w:rsidRPr="0008328C">
        <w:rPr>
          <w:color w:val="000000"/>
        </w:rPr>
        <w:t xml:space="preserve">, 27 Cal.App.5th </w:t>
      </w:r>
      <w:r>
        <w:rPr>
          <w:color w:val="000000"/>
        </w:rPr>
        <w:t>at p. 792, italics added.)  The appellate court additionally instructed:  “</w:t>
      </w:r>
      <w:r w:rsidRPr="007A3384">
        <w:rPr>
          <w:color w:val="000000"/>
        </w:rPr>
        <w:t>If the t</w:t>
      </w:r>
      <w:r w:rsidRPr="007A3384">
        <w:rPr>
          <w:color w:val="000000"/>
        </w:rPr>
        <w:t>rial court finds that Frahs suffers from a mental disorder, does not pose an unreasonable risk of danger to public safety, and otherwise meets the six statutory criteria (as nearly as possible given the postconviction procedural posture of this case), then</w:t>
      </w:r>
      <w:r w:rsidRPr="007A3384">
        <w:rPr>
          <w:color w:val="000000"/>
        </w:rPr>
        <w:t xml:space="preserve"> the court may grant diversion.</w:t>
      </w:r>
      <w:r>
        <w:rPr>
          <w:color w:val="000000"/>
        </w:rPr>
        <w:t>”  (</w:t>
      </w:r>
      <w:r w:rsidRPr="003E418A">
        <w:rPr>
          <w:i/>
          <w:color w:val="000000"/>
        </w:rPr>
        <w:t>Ibid</w:t>
      </w:r>
      <w:r>
        <w:rPr>
          <w:color w:val="000000"/>
        </w:rPr>
        <w:t>.)</w:t>
      </w:r>
    </w:p>
    <w:p w:rsidR="00FD7106" w:rsidRPr="0008328C" w:rsidRDefault="005300CC" w:rsidP="00AF341C">
      <w:pPr>
        <w:shd w:val="clear" w:color="auto" w:fill="FFFFFF"/>
        <w:ind w:firstLine="720"/>
        <w:textAlignment w:val="baseline"/>
        <w:rPr>
          <w:color w:val="000000"/>
        </w:rPr>
      </w:pPr>
      <w:r w:rsidRPr="0008328C">
        <w:rPr>
          <w:color w:val="000000"/>
        </w:rPr>
        <w:t xml:space="preserve">On its own motion, the California Supreme Court granted review in </w:t>
      </w:r>
      <w:r w:rsidRPr="0008328C">
        <w:rPr>
          <w:i/>
          <w:color w:val="000000"/>
        </w:rPr>
        <w:t>Frahs</w:t>
      </w:r>
      <w:r w:rsidRPr="0008328C">
        <w:rPr>
          <w:color w:val="000000"/>
        </w:rPr>
        <w:t>.  The Supreme Court “limited review to the following issues: (1) Does Penal Code section 1001.36 apply retroactively to all cases in which the</w:t>
      </w:r>
      <w:r w:rsidRPr="0008328C">
        <w:rPr>
          <w:color w:val="000000"/>
        </w:rPr>
        <w:t xml:space="preserve"> judgment is not yet final? (2) Did the Court of Appeal err by remanding for a determination of defendant’s eligibility under Penal Code section 1001.36?”  (&lt;</w:t>
      </w:r>
      <w:r w:rsidRPr="00AF341C">
        <w:rPr>
          <w:color w:val="000000"/>
        </w:rPr>
        <w:t>https://appellatecases.courtinfo.ca.gov/search/case/mainCaseScreen.cfm?dist=0&amp;doc_id=2268844&amp;doc_n</w:t>
      </w:r>
      <w:r w:rsidRPr="00AF341C">
        <w:rPr>
          <w:color w:val="000000"/>
        </w:rPr>
        <w:t>o=S252220&amp;request_token=NiIwLSIkTkg%2FW1BJSCJNUENJUEQ0UDxTJiI%2BTzhTMCAgCg%3D%3D&amp;bck</w:t>
      </w:r>
      <w:r>
        <w:rPr>
          <w:color w:val="000000"/>
        </w:rPr>
        <w:t xml:space="preserve">&gt; </w:t>
      </w:r>
      <w:r w:rsidRPr="0008328C">
        <w:rPr>
          <w:color w:val="000000"/>
        </w:rPr>
        <w:t xml:space="preserve">[as of </w:t>
      </w:r>
      <w:r>
        <w:rPr>
          <w:color w:val="000000"/>
        </w:rPr>
        <w:t>October 21</w:t>
      </w:r>
      <w:r w:rsidRPr="0008328C">
        <w:rPr>
          <w:color w:val="000000"/>
        </w:rPr>
        <w:t>, 2019]</w:t>
      </w:r>
      <w:r>
        <w:rPr>
          <w:color w:val="000000"/>
        </w:rPr>
        <w:t>, archived at &lt;</w:t>
      </w:r>
      <w:r w:rsidRPr="0016469A">
        <w:rPr>
          <w:rStyle w:val="Strong"/>
          <w:b w:val="0"/>
          <w:color w:val="333333"/>
        </w:rPr>
        <w:t>https://perma.cc/D5X7-SU3K&gt;</w:t>
      </w:r>
      <w:r w:rsidRPr="0016469A">
        <w:rPr>
          <w:color w:val="000000"/>
        </w:rPr>
        <w:t>.)</w:t>
      </w:r>
    </w:p>
    <w:p w:rsidR="001D26CD" w:rsidRPr="0008328C" w:rsidRDefault="005300CC" w:rsidP="0008328C">
      <w:pPr>
        <w:shd w:val="clear" w:color="auto" w:fill="FFFFFF"/>
        <w:ind w:firstLine="720"/>
        <w:textAlignment w:val="baseline"/>
        <w:rPr>
          <w:color w:val="000000"/>
        </w:rPr>
      </w:pPr>
      <w:r w:rsidRPr="0008328C">
        <w:rPr>
          <w:color w:val="000000"/>
        </w:rPr>
        <w:t xml:space="preserve">On appeal in this case, defendant relies on </w:t>
      </w:r>
      <w:r w:rsidRPr="0008328C">
        <w:rPr>
          <w:i/>
          <w:color w:val="000000"/>
        </w:rPr>
        <w:t>Lara</w:t>
      </w:r>
      <w:r>
        <w:rPr>
          <w:color w:val="000000"/>
        </w:rPr>
        <w:t xml:space="preserve">, as did </w:t>
      </w:r>
      <w:r w:rsidRPr="00361497">
        <w:rPr>
          <w:color w:val="000000"/>
        </w:rPr>
        <w:t>Frahs</w:t>
      </w:r>
      <w:r>
        <w:rPr>
          <w:color w:val="000000"/>
        </w:rPr>
        <w:t xml:space="preserve">, </w:t>
      </w:r>
      <w:r w:rsidRPr="0008328C">
        <w:rPr>
          <w:color w:val="000000"/>
        </w:rPr>
        <w:t>to argue that section</w:t>
      </w:r>
      <w:r>
        <w:rPr>
          <w:color w:val="000000"/>
        </w:rPr>
        <w:t> </w:t>
      </w:r>
      <w:r w:rsidRPr="0008328C">
        <w:rPr>
          <w:color w:val="000000"/>
        </w:rPr>
        <w:t xml:space="preserve">1001.36 </w:t>
      </w:r>
      <w:r w:rsidRPr="0008328C">
        <w:rPr>
          <w:color w:val="000000"/>
        </w:rPr>
        <w:t>retroactively applies to hi</w:t>
      </w:r>
      <w:r>
        <w:rPr>
          <w:color w:val="000000"/>
        </w:rPr>
        <w:t>s case.</w:t>
      </w:r>
      <w:r w:rsidRPr="0008328C">
        <w:rPr>
          <w:color w:val="000000"/>
        </w:rPr>
        <w:t xml:space="preserve">  The People counter that unlike Proposition 57, section 1001.36 contains “direct language” indicating </w:t>
      </w:r>
      <w:r>
        <w:rPr>
          <w:color w:val="000000"/>
        </w:rPr>
        <w:t xml:space="preserve">that </w:t>
      </w:r>
      <w:r w:rsidRPr="0008328C">
        <w:rPr>
          <w:color w:val="000000"/>
        </w:rPr>
        <w:t>pretrial diversion is available only prospectively.  They point to subdivision (c) of section</w:t>
      </w:r>
      <w:r>
        <w:rPr>
          <w:color w:val="000000"/>
        </w:rPr>
        <w:t> </w:t>
      </w:r>
      <w:r w:rsidRPr="0008328C">
        <w:rPr>
          <w:color w:val="000000"/>
        </w:rPr>
        <w:t>1001.36, which defin</w:t>
      </w:r>
      <w:r w:rsidRPr="0008328C">
        <w:rPr>
          <w:color w:val="000000"/>
        </w:rPr>
        <w:t>es “pretrial diversion” to mean “the postponement of prosecution, either temporarily or permanently, at any point in the judicial process from the point at which the accused is charged until adjudication, to allow the defendant to undergo mental health tre</w:t>
      </w:r>
      <w:r w:rsidRPr="0008328C">
        <w:rPr>
          <w:color w:val="000000"/>
        </w:rPr>
        <w:t xml:space="preserve">atment,” subject to all of the specified requirements.  They assert that </w:t>
      </w:r>
      <w:r w:rsidRPr="0008328C">
        <w:rPr>
          <w:i/>
          <w:color w:val="000000"/>
        </w:rPr>
        <w:t>Frahs</w:t>
      </w:r>
      <w:r w:rsidRPr="0008328C">
        <w:rPr>
          <w:color w:val="000000"/>
        </w:rPr>
        <w:t xml:space="preserve"> was wrongly decided.</w:t>
      </w:r>
      <w:r>
        <w:rPr>
          <w:color w:val="000000"/>
        </w:rPr>
        <w:t xml:space="preserve">  We agree and decline to follow </w:t>
      </w:r>
      <w:r w:rsidRPr="003F6C9B">
        <w:rPr>
          <w:i/>
          <w:color w:val="000000"/>
        </w:rPr>
        <w:t>Frahs</w:t>
      </w:r>
      <w:r>
        <w:rPr>
          <w:color w:val="000000"/>
        </w:rPr>
        <w:t>.</w:t>
      </w:r>
    </w:p>
    <w:p w:rsidR="00CC1EC9" w:rsidRPr="0008328C" w:rsidRDefault="005300CC" w:rsidP="0008328C">
      <w:pPr>
        <w:shd w:val="clear" w:color="auto" w:fill="FFFFFF"/>
        <w:ind w:firstLine="720"/>
        <w:textAlignment w:val="baseline"/>
        <w:rPr>
          <w:color w:val="000000"/>
        </w:rPr>
      </w:pPr>
      <w:r w:rsidRPr="0008328C">
        <w:rPr>
          <w:color w:val="000000"/>
        </w:rPr>
        <w:t xml:space="preserve">“The </w:t>
      </w:r>
      <w:r w:rsidRPr="0008328C">
        <w:rPr>
          <w:i/>
          <w:color w:val="000000"/>
        </w:rPr>
        <w:t>Estrada</w:t>
      </w:r>
      <w:r w:rsidRPr="0008328C">
        <w:rPr>
          <w:color w:val="000000"/>
        </w:rPr>
        <w:t xml:space="preserve"> rule rests on an inference that, in the absence of contrary indications, a legislative body ordinarily i</w:t>
      </w:r>
      <w:r w:rsidRPr="0008328C">
        <w:rPr>
          <w:color w:val="000000"/>
        </w:rPr>
        <w:t xml:space="preserve">ntends for ameliorative changes to the criminal law to extend as broadly as possible, distinguishing only as necessary between sentences that are final and sentences that are not.  (See </w:t>
      </w:r>
      <w:r w:rsidRPr="0008328C">
        <w:rPr>
          <w:i/>
          <w:color w:val="000000"/>
        </w:rPr>
        <w:t>Estrada</w:t>
      </w:r>
      <w:r w:rsidRPr="0008328C">
        <w:rPr>
          <w:color w:val="000000"/>
        </w:rPr>
        <w:t xml:space="preserve">, </w:t>
      </w:r>
      <w:r w:rsidRPr="0008328C">
        <w:rPr>
          <w:i/>
          <w:color w:val="000000"/>
        </w:rPr>
        <w:t>supra</w:t>
      </w:r>
      <w:r w:rsidRPr="0008328C">
        <w:rPr>
          <w:color w:val="000000"/>
        </w:rPr>
        <w:t>, 63 Cal.2d at p. 745.)”  (</w:t>
      </w:r>
      <w:r w:rsidRPr="0008328C">
        <w:rPr>
          <w:i/>
          <w:color w:val="000000"/>
        </w:rPr>
        <w:t>People v</w:t>
      </w:r>
      <w:r w:rsidRPr="0016469A">
        <w:rPr>
          <w:color w:val="000000"/>
        </w:rPr>
        <w:t xml:space="preserve">. </w:t>
      </w:r>
      <w:r w:rsidRPr="0008328C">
        <w:rPr>
          <w:i/>
          <w:color w:val="000000"/>
        </w:rPr>
        <w:t>Conley</w:t>
      </w:r>
      <w:r w:rsidRPr="0008328C">
        <w:rPr>
          <w:color w:val="000000"/>
        </w:rPr>
        <w:t xml:space="preserve"> (2016) 63 Ca</w:t>
      </w:r>
      <w:r w:rsidRPr="0008328C">
        <w:rPr>
          <w:color w:val="000000"/>
        </w:rPr>
        <w:t>l.4th 646, 657 (</w:t>
      </w:r>
      <w:r w:rsidRPr="0008328C">
        <w:rPr>
          <w:i/>
          <w:color w:val="000000"/>
        </w:rPr>
        <w:t>Conley</w:t>
      </w:r>
      <w:r w:rsidRPr="0008328C">
        <w:rPr>
          <w:color w:val="000000"/>
        </w:rPr>
        <w:t>).)  “To ascertain whether a statute should be applied retroactively, legislative intent is the ‘paramount’ consideration</w:t>
      </w:r>
      <w:r>
        <w:rPr>
          <w:color w:val="000000"/>
        </w:rPr>
        <w:t> </w:t>
      </w:r>
      <w:r w:rsidRPr="0008328C">
        <w:rPr>
          <w:color w:val="000000"/>
        </w:rPr>
        <w:t>. . . .”  (</w:t>
      </w:r>
      <w:r w:rsidRPr="0008328C">
        <w:rPr>
          <w:i/>
          <w:color w:val="000000"/>
        </w:rPr>
        <w:t>People v</w:t>
      </w:r>
      <w:r w:rsidRPr="0016469A">
        <w:rPr>
          <w:color w:val="000000"/>
        </w:rPr>
        <w:t>.</w:t>
      </w:r>
      <w:r w:rsidRPr="0008328C">
        <w:rPr>
          <w:i/>
          <w:color w:val="000000"/>
        </w:rPr>
        <w:t xml:space="preserve"> Nasalga</w:t>
      </w:r>
      <w:r w:rsidRPr="0008328C">
        <w:rPr>
          <w:color w:val="000000"/>
        </w:rPr>
        <w:t xml:space="preserve"> (1996) 12 Cal.4th 784, 792 (</w:t>
      </w:r>
      <w:r w:rsidRPr="0008328C">
        <w:rPr>
          <w:i/>
          <w:color w:val="000000"/>
        </w:rPr>
        <w:t>Nasalga</w:t>
      </w:r>
      <w:r w:rsidRPr="0008328C">
        <w:rPr>
          <w:color w:val="000000"/>
        </w:rPr>
        <w:t>) (plur. opn. of Werdegar, J.).)</w:t>
      </w:r>
      <w:r>
        <w:rPr>
          <w:color w:val="000000"/>
        </w:rPr>
        <w:t xml:space="preserve">  The determinat</w:t>
      </w:r>
      <w:r>
        <w:rPr>
          <w:color w:val="000000"/>
        </w:rPr>
        <w:t xml:space="preserve">ion whether </w:t>
      </w:r>
      <w:r w:rsidRPr="005A3C2D">
        <w:rPr>
          <w:color w:val="000000"/>
        </w:rPr>
        <w:t>ameliorative changes to the criminal laws</w:t>
      </w:r>
      <w:r>
        <w:rPr>
          <w:color w:val="000000"/>
        </w:rPr>
        <w:t xml:space="preserve"> are retroactively applied</w:t>
      </w:r>
      <w:r w:rsidRPr="005A3C2D">
        <w:rPr>
          <w:color w:val="000000"/>
        </w:rPr>
        <w:t xml:space="preserve"> is </w:t>
      </w:r>
      <w:r>
        <w:rPr>
          <w:color w:val="000000"/>
        </w:rPr>
        <w:t>“</w:t>
      </w:r>
      <w:r w:rsidRPr="005A3C2D">
        <w:rPr>
          <w:color w:val="000000"/>
        </w:rPr>
        <w:t>ultimately governed by the intent of the legislative body.</w:t>
      </w:r>
      <w:r>
        <w:rPr>
          <w:color w:val="000000"/>
        </w:rPr>
        <w:t>”  (</w:t>
      </w:r>
      <w:r w:rsidRPr="005A3C2D">
        <w:rPr>
          <w:i/>
          <w:color w:val="000000"/>
        </w:rPr>
        <w:t>Conley</w:t>
      </w:r>
      <w:r>
        <w:rPr>
          <w:color w:val="000000"/>
        </w:rPr>
        <w:t xml:space="preserve">, </w:t>
      </w:r>
      <w:r w:rsidRPr="0016469A">
        <w:rPr>
          <w:i/>
          <w:color w:val="000000"/>
        </w:rPr>
        <w:t>supra</w:t>
      </w:r>
      <w:r>
        <w:rPr>
          <w:color w:val="000000"/>
        </w:rPr>
        <w:t>, at p. 661.)</w:t>
      </w:r>
    </w:p>
    <w:p w:rsidR="00812B12" w:rsidRPr="0008328C" w:rsidRDefault="005300CC" w:rsidP="0008328C">
      <w:pPr>
        <w:shd w:val="clear" w:color="auto" w:fill="FFFFFF"/>
        <w:ind w:firstLine="720"/>
        <w:textAlignment w:val="baseline"/>
        <w:rPr>
          <w:color w:val="000000"/>
        </w:rPr>
      </w:pPr>
      <w:r w:rsidRPr="0008328C">
        <w:rPr>
          <w:color w:val="000000"/>
        </w:rPr>
        <w:t xml:space="preserve">“The rule in </w:t>
      </w:r>
      <w:r w:rsidRPr="0008328C">
        <w:rPr>
          <w:i/>
          <w:color w:val="000000"/>
        </w:rPr>
        <w:t>Estrada</w:t>
      </w:r>
      <w:r w:rsidRPr="0008328C">
        <w:rPr>
          <w:color w:val="000000"/>
        </w:rPr>
        <w:t xml:space="preserve">, of course, is not implicated where the Legislature </w:t>
      </w:r>
      <w:r w:rsidRPr="0008328C">
        <w:rPr>
          <w:color w:val="000000"/>
        </w:rPr>
        <w:t>clearly signals its intent to make the amendment prospective, by the inclusion of either an express saving clause or its equivalent.”  (</w:t>
      </w:r>
      <w:r w:rsidRPr="0008328C">
        <w:rPr>
          <w:i/>
          <w:color w:val="000000"/>
        </w:rPr>
        <w:t>Nasalga</w:t>
      </w:r>
      <w:r w:rsidRPr="0008328C">
        <w:rPr>
          <w:color w:val="000000"/>
        </w:rPr>
        <w:t xml:space="preserve">, </w:t>
      </w:r>
      <w:r w:rsidRPr="0008328C">
        <w:rPr>
          <w:i/>
          <w:color w:val="000000"/>
        </w:rPr>
        <w:t>supra</w:t>
      </w:r>
      <w:r w:rsidRPr="0008328C">
        <w:rPr>
          <w:color w:val="000000"/>
        </w:rPr>
        <w:t>, 12 Cal.4th at p. 793</w:t>
      </w:r>
      <w:r>
        <w:rPr>
          <w:color w:val="000000"/>
        </w:rPr>
        <w:t>, fn. omitted</w:t>
      </w:r>
      <w:r w:rsidRPr="0008328C">
        <w:rPr>
          <w:color w:val="000000"/>
        </w:rPr>
        <w:t>.)  While express statements of legislative intent “unquestionably suff</w:t>
      </w:r>
      <w:r w:rsidRPr="0008328C">
        <w:rPr>
          <w:color w:val="000000"/>
        </w:rPr>
        <w:t xml:space="preserve">ice to override the </w:t>
      </w:r>
      <w:r w:rsidRPr="0008328C">
        <w:rPr>
          <w:i/>
          <w:color w:val="000000"/>
        </w:rPr>
        <w:t>Estrada</w:t>
      </w:r>
      <w:r w:rsidRPr="0008328C">
        <w:rPr>
          <w:color w:val="000000"/>
        </w:rPr>
        <w:t xml:space="preserve"> presumption, the ‘absence of an express saving clause</w:t>
      </w:r>
      <w:r>
        <w:rPr>
          <w:color w:val="000000"/>
        </w:rPr>
        <w:t> </w:t>
      </w:r>
      <w:r w:rsidRPr="0008328C">
        <w:rPr>
          <w:color w:val="000000"/>
        </w:rPr>
        <w:t>. . . does not end “[the] quest for legislative intent.” ’  [Citations.]”  (</w:t>
      </w:r>
      <w:r w:rsidRPr="0008328C">
        <w:rPr>
          <w:i/>
          <w:color w:val="000000"/>
        </w:rPr>
        <w:t>Conley</w:t>
      </w:r>
      <w:r w:rsidRPr="0008328C">
        <w:rPr>
          <w:color w:val="000000"/>
        </w:rPr>
        <w:t xml:space="preserve">, </w:t>
      </w:r>
      <w:r w:rsidRPr="0008328C">
        <w:rPr>
          <w:i/>
          <w:color w:val="000000"/>
        </w:rPr>
        <w:t>supra</w:t>
      </w:r>
      <w:r w:rsidRPr="0008328C">
        <w:rPr>
          <w:color w:val="000000"/>
        </w:rPr>
        <w:t xml:space="preserve">, 63 Cal.4th at p. 656.)  “[The California Supreme Court’s] cases do not </w:t>
      </w:r>
      <w:r>
        <w:rPr>
          <w:color w:val="000000"/>
        </w:rPr>
        <w:t>‘</w:t>
      </w:r>
      <w:r w:rsidRPr="0008328C">
        <w:rPr>
          <w:color w:val="000000"/>
        </w:rPr>
        <w:t xml:space="preserve">dictate to </w:t>
      </w:r>
      <w:r w:rsidRPr="0008328C">
        <w:rPr>
          <w:color w:val="000000"/>
        </w:rPr>
        <w:t>legislative drafters the forms in which laws must be written</w:t>
      </w:r>
      <w:r>
        <w:rPr>
          <w:color w:val="000000"/>
        </w:rPr>
        <w:t>’</w:t>
      </w:r>
      <w:r w:rsidRPr="0008328C">
        <w:rPr>
          <w:color w:val="000000"/>
        </w:rPr>
        <w:t xml:space="preserve"> to express an intent to modify or limit the retroactive effect of an ameliorative change; rather, they require ‘that the Legislature demonstrate its intention with sufficient clarity that a revi</w:t>
      </w:r>
      <w:r w:rsidRPr="0008328C">
        <w:rPr>
          <w:color w:val="000000"/>
        </w:rPr>
        <w:t>ewing court can discern and effectuate it.’  [Citations.]”  (</w:t>
      </w:r>
      <w:r w:rsidRPr="0008328C">
        <w:rPr>
          <w:i/>
          <w:color w:val="000000"/>
        </w:rPr>
        <w:t>Id</w:t>
      </w:r>
      <w:r w:rsidRPr="0008328C">
        <w:rPr>
          <w:color w:val="000000"/>
        </w:rPr>
        <w:t>. at pp. 656-657.)  A court may consider “the text, structure, and purposes” (</w:t>
      </w:r>
      <w:r w:rsidRPr="0008328C">
        <w:rPr>
          <w:i/>
          <w:color w:val="000000"/>
        </w:rPr>
        <w:t>id</w:t>
      </w:r>
      <w:r w:rsidRPr="0008328C">
        <w:rPr>
          <w:color w:val="000000"/>
        </w:rPr>
        <w:t>. at p.</w:t>
      </w:r>
      <w:r>
        <w:rPr>
          <w:color w:val="000000"/>
        </w:rPr>
        <w:t> </w:t>
      </w:r>
      <w:r w:rsidRPr="0008328C">
        <w:rPr>
          <w:color w:val="000000"/>
        </w:rPr>
        <w:t>661) of a statute in determining legislative intent.</w:t>
      </w:r>
    </w:p>
    <w:p w:rsidR="00A158E6" w:rsidRDefault="005300CC" w:rsidP="00452537">
      <w:pPr>
        <w:shd w:val="clear" w:color="auto" w:fill="FFFFFF"/>
        <w:ind w:firstLine="720"/>
        <w:textAlignment w:val="baseline"/>
        <w:rPr>
          <w:color w:val="000000"/>
        </w:rPr>
      </w:pPr>
      <w:r w:rsidRPr="0008328C">
        <w:rPr>
          <w:color w:val="000000"/>
        </w:rPr>
        <w:t>Unlike</w:t>
      </w:r>
      <w:r>
        <w:rPr>
          <w:color w:val="000000"/>
        </w:rPr>
        <w:t xml:space="preserve"> the amended sections in</w:t>
      </w:r>
      <w:r w:rsidRPr="0008328C">
        <w:rPr>
          <w:color w:val="000000"/>
        </w:rPr>
        <w:t xml:space="preserve"> </w:t>
      </w:r>
      <w:r w:rsidRPr="0008328C">
        <w:rPr>
          <w:i/>
          <w:color w:val="000000"/>
        </w:rPr>
        <w:t>Estrada</w:t>
      </w:r>
      <w:r w:rsidRPr="0008328C">
        <w:rPr>
          <w:color w:val="000000"/>
        </w:rPr>
        <w:t xml:space="preserve">, </w:t>
      </w:r>
      <w:r>
        <w:rPr>
          <w:color w:val="000000"/>
        </w:rPr>
        <w:t xml:space="preserve">the pretrial diversion law </w:t>
      </w:r>
      <w:r w:rsidRPr="0008328C">
        <w:rPr>
          <w:color w:val="000000"/>
        </w:rPr>
        <w:t xml:space="preserve">did not lessen the punishment for a particular crime.  </w:t>
      </w:r>
      <w:r>
        <w:rPr>
          <w:color w:val="000000"/>
        </w:rPr>
        <w:t xml:space="preserve">(See </w:t>
      </w:r>
      <w:r w:rsidRPr="00C5494C">
        <w:rPr>
          <w:i/>
          <w:color w:val="000000"/>
        </w:rPr>
        <w:t>Estrada</w:t>
      </w:r>
      <w:r>
        <w:rPr>
          <w:color w:val="000000"/>
        </w:rPr>
        <w:t xml:space="preserve">, </w:t>
      </w:r>
      <w:r w:rsidRPr="00C5494C">
        <w:rPr>
          <w:i/>
          <w:color w:val="000000"/>
        </w:rPr>
        <w:t>supra</w:t>
      </w:r>
      <w:r>
        <w:rPr>
          <w:color w:val="000000"/>
        </w:rPr>
        <w:t xml:space="preserve">, 63 Cal.2d at pp. </w:t>
      </w:r>
      <w:r w:rsidRPr="00C5494C">
        <w:rPr>
          <w:color w:val="000000"/>
        </w:rPr>
        <w:t>743</w:t>
      </w:r>
      <w:r>
        <w:rPr>
          <w:color w:val="000000"/>
        </w:rPr>
        <w:t>-</w:t>
      </w:r>
      <w:r w:rsidRPr="00C5494C">
        <w:rPr>
          <w:color w:val="000000"/>
        </w:rPr>
        <w:t>744</w:t>
      </w:r>
      <w:r>
        <w:rPr>
          <w:color w:val="000000"/>
        </w:rPr>
        <w:t xml:space="preserve">.)  Unlike the statute in </w:t>
      </w:r>
      <w:r w:rsidRPr="00F77B1B">
        <w:rPr>
          <w:i/>
          <w:color w:val="000000"/>
        </w:rPr>
        <w:t>People v</w:t>
      </w:r>
      <w:r w:rsidRPr="0060368B">
        <w:rPr>
          <w:color w:val="000000"/>
        </w:rPr>
        <w:t xml:space="preserve">. </w:t>
      </w:r>
      <w:r w:rsidRPr="00F77B1B">
        <w:rPr>
          <w:i/>
          <w:color w:val="000000"/>
        </w:rPr>
        <w:t>Francis</w:t>
      </w:r>
      <w:r w:rsidRPr="00F77B1B">
        <w:rPr>
          <w:color w:val="000000"/>
        </w:rPr>
        <w:t xml:space="preserve"> (1969) 71 Cal.2d 66</w:t>
      </w:r>
      <w:r>
        <w:rPr>
          <w:color w:val="000000"/>
        </w:rPr>
        <w:t>, the pretrial diversion law did</w:t>
      </w:r>
      <w:r>
        <w:rPr>
          <w:color w:val="000000"/>
        </w:rPr>
        <w:t xml:space="preserve"> not make the crime of which defendant was convicted a wobbler, which created the possibility of lesser punishment for a particular crime.  (See </w:t>
      </w:r>
      <w:r w:rsidRPr="00F77B1B">
        <w:rPr>
          <w:i/>
          <w:color w:val="000000"/>
        </w:rPr>
        <w:t>i</w:t>
      </w:r>
      <w:r>
        <w:rPr>
          <w:i/>
          <w:color w:val="000000"/>
        </w:rPr>
        <w:t>d</w:t>
      </w:r>
      <w:r>
        <w:rPr>
          <w:color w:val="000000"/>
        </w:rPr>
        <w:t>. at p. 75.)  The pretrial diversion law does, however, create the possibility of no punishment for a class o</w:t>
      </w:r>
      <w:r>
        <w:rPr>
          <w:color w:val="000000"/>
        </w:rPr>
        <w:t>f certain defendants with mental disorders who may receive pretrial diversion.</w:t>
      </w:r>
    </w:p>
    <w:p w:rsidR="00870027" w:rsidRDefault="005300CC" w:rsidP="00452537">
      <w:pPr>
        <w:shd w:val="clear" w:color="auto" w:fill="FFFFFF"/>
        <w:ind w:firstLine="720"/>
        <w:textAlignment w:val="baseline"/>
        <w:rPr>
          <w:color w:val="000000"/>
        </w:rPr>
      </w:pPr>
      <w:r>
        <w:rPr>
          <w:color w:val="000000"/>
        </w:rPr>
        <w:t>As indicated, by</w:t>
      </w:r>
      <w:r w:rsidRPr="0008328C">
        <w:rPr>
          <w:color w:val="000000"/>
        </w:rPr>
        <w:t xml:space="preserve"> </w:t>
      </w:r>
      <w:r>
        <w:rPr>
          <w:color w:val="000000"/>
        </w:rPr>
        <w:t xml:space="preserve">the terms of the pretrial diversion law, </w:t>
      </w:r>
      <w:r w:rsidRPr="0008328C">
        <w:rPr>
          <w:color w:val="000000"/>
        </w:rPr>
        <w:t>“pretrial diversion” is “the postponement of prosecution, either temporarily or permanently, at any point in the judici</w:t>
      </w:r>
      <w:r w:rsidRPr="0008328C">
        <w:rPr>
          <w:color w:val="000000"/>
        </w:rPr>
        <w:t xml:space="preserve">al process from the point at which the accused is charged </w:t>
      </w:r>
      <w:r w:rsidRPr="0008328C">
        <w:rPr>
          <w:i/>
          <w:color w:val="000000"/>
        </w:rPr>
        <w:t>until adjudication</w:t>
      </w:r>
      <w:r w:rsidRPr="0008328C">
        <w:rPr>
          <w:color w:val="000000"/>
        </w:rPr>
        <w:t>, to allow the defendant to undergo mental health treatment,” subject to certain conditions.  (§ 1001.36, subd. (c), italics added.)</w:t>
      </w:r>
      <w:r>
        <w:rPr>
          <w:color w:val="000000"/>
        </w:rPr>
        <w:t xml:space="preserve">  N</w:t>
      </w:r>
      <w:r w:rsidRPr="0008328C">
        <w:rPr>
          <w:color w:val="000000"/>
        </w:rPr>
        <w:t>othing in sections 1001.35</w:t>
      </w:r>
      <w:r>
        <w:rPr>
          <w:color w:val="000000"/>
        </w:rPr>
        <w:t xml:space="preserve"> (purposes of pretrial diversion of individuals with mental disorders)</w:t>
      </w:r>
      <w:r w:rsidRPr="0008328C">
        <w:rPr>
          <w:color w:val="000000"/>
        </w:rPr>
        <w:t xml:space="preserve"> and 1001.36</w:t>
      </w:r>
      <w:r>
        <w:rPr>
          <w:color w:val="000000"/>
        </w:rPr>
        <w:t xml:space="preserve"> </w:t>
      </w:r>
      <w:r w:rsidRPr="0008328C">
        <w:rPr>
          <w:color w:val="000000"/>
        </w:rPr>
        <w:t>suggest</w:t>
      </w:r>
      <w:r>
        <w:rPr>
          <w:color w:val="000000"/>
        </w:rPr>
        <w:t>s</w:t>
      </w:r>
      <w:r w:rsidRPr="0008328C">
        <w:rPr>
          <w:color w:val="000000"/>
        </w:rPr>
        <w:t xml:space="preserve"> that </w:t>
      </w:r>
      <w:r>
        <w:rPr>
          <w:color w:val="000000"/>
        </w:rPr>
        <w:t xml:space="preserve">the Legislature </w:t>
      </w:r>
      <w:r w:rsidRPr="0008328C">
        <w:rPr>
          <w:color w:val="000000"/>
        </w:rPr>
        <w:t xml:space="preserve">intended to </w:t>
      </w:r>
      <w:r>
        <w:rPr>
          <w:color w:val="000000"/>
        </w:rPr>
        <w:t xml:space="preserve">retroactively </w:t>
      </w:r>
      <w:r w:rsidRPr="0008328C">
        <w:rPr>
          <w:color w:val="000000"/>
        </w:rPr>
        <w:t>reset</w:t>
      </w:r>
      <w:r>
        <w:rPr>
          <w:color w:val="000000"/>
        </w:rPr>
        <w:t xml:space="preserve"> to the pre-adjudication stage the cases of all defendants who would have been eligible for </w:t>
      </w:r>
      <w:r w:rsidRPr="00024BC5">
        <w:rPr>
          <w:i/>
          <w:color w:val="000000"/>
        </w:rPr>
        <w:t>pretrial</w:t>
      </w:r>
      <w:r>
        <w:rPr>
          <w:color w:val="000000"/>
        </w:rPr>
        <w:t xml:space="preserve"> diversion f</w:t>
      </w:r>
      <w:r>
        <w:rPr>
          <w:color w:val="000000"/>
        </w:rPr>
        <w:t>or mental health treatment had the pretrial diversion law been in existence before their cases were adjudicated.</w:t>
      </w:r>
    </w:p>
    <w:p w:rsidR="00C05ED1" w:rsidRDefault="005300CC" w:rsidP="00C05ED1">
      <w:pPr>
        <w:shd w:val="clear" w:color="auto" w:fill="FFFFFF"/>
        <w:ind w:firstLine="720"/>
        <w:textAlignment w:val="baseline"/>
        <w:rPr>
          <w:color w:val="000000"/>
        </w:rPr>
      </w:pPr>
      <w:r>
        <w:rPr>
          <w:color w:val="000000"/>
        </w:rPr>
        <w:t>We recognize that the pretrial diversion law has salutary purposes.</w:t>
      </w:r>
      <w:r>
        <w:rPr>
          <w:rStyle w:val="FootnoteReference"/>
          <w:b/>
          <w:color w:val="000000"/>
        </w:rPr>
        <w:footnoteReference w:id="5"/>
      </w:r>
      <w:r w:rsidRPr="0008328C">
        <w:rPr>
          <w:color w:val="000000"/>
        </w:rPr>
        <w:t xml:space="preserve">  </w:t>
      </w:r>
      <w:r>
        <w:rPr>
          <w:color w:val="000000"/>
        </w:rPr>
        <w:t>But the remedial purpose of the law is not controlling if the Legislature</w:t>
      </w:r>
      <w:r>
        <w:rPr>
          <w:color w:val="000000"/>
        </w:rPr>
        <w:t xml:space="preserve"> did not intend the law to have full retroactive operation.</w:t>
      </w:r>
    </w:p>
    <w:p w:rsidR="00C05ED1" w:rsidRDefault="005300CC" w:rsidP="00C05ED1">
      <w:pPr>
        <w:shd w:val="clear" w:color="auto" w:fill="FFFFFF"/>
        <w:ind w:firstLine="720"/>
        <w:textAlignment w:val="baseline"/>
        <w:rPr>
          <w:color w:val="000000"/>
        </w:rPr>
      </w:pPr>
      <w:r>
        <w:rPr>
          <w:color w:val="000000"/>
        </w:rPr>
        <w:t>Here, the legislative history of the pretrial diversion law for mental health treatment suggests that the law was intended to save money as well as provide benefits to certain defendants with ment</w:t>
      </w:r>
      <w:r>
        <w:rPr>
          <w:color w:val="000000"/>
        </w:rPr>
        <w:t>al disorders.  The passage of Assembly Bill No. 1810 (Reg. Sess. 2017-2018) in 2018 added the pretrial diversion law.  The bill was an “omnibus health trailer bill” concerning a multitude of statutory changes to implement the 2018-2019 budget, including pr</w:t>
      </w:r>
      <w:r>
        <w:rPr>
          <w:color w:val="000000"/>
        </w:rPr>
        <w:t>etrial diversion for mental health treatment.  (See Sen. Rules Com., Off. of Sen. Floor Analyses, 3d reading analysis of Assem. Bill No. 1810 (2017-2018 Reg. Sess.) as amended June 12, 2018, pp. 1, 3; Assem. Floor Analysis of Assem. Bill No. 1810 (2017-201</w:t>
      </w:r>
      <w:r>
        <w:rPr>
          <w:color w:val="000000"/>
        </w:rPr>
        <w:t>8 Reg. Sess.) as amended June 12, 2018, pp. 1, 7-10; Sen. Com. on Budget and Fiscal Review, Rep. on Assem. Bill No. 1810 (2017-2018 Reg. Sess.) as amended June 12, 2018, pp. 1-3.)</w:t>
      </w:r>
    </w:p>
    <w:p w:rsidR="00C05ED1" w:rsidRDefault="005300CC" w:rsidP="00DB3199">
      <w:pPr>
        <w:shd w:val="clear" w:color="auto" w:fill="FFFFFF"/>
        <w:ind w:firstLine="720"/>
        <w:textAlignment w:val="baseline"/>
        <w:rPr>
          <w:color w:val="000000"/>
        </w:rPr>
      </w:pPr>
      <w:r>
        <w:rPr>
          <w:color w:val="000000"/>
        </w:rPr>
        <w:t>The passage of another bill later in 2018, Senate Bill No. 215 (Reg. Sess. 2</w:t>
      </w:r>
      <w:r>
        <w:rPr>
          <w:color w:val="000000"/>
        </w:rPr>
        <w:t xml:space="preserve">017-2018), amended section 1001.36 to place some limitations on pretrial diversion for mental health treatment and provide for victim restitution.  (See </w:t>
      </w:r>
      <w:r w:rsidRPr="004F2904">
        <w:rPr>
          <w:color w:val="000000"/>
        </w:rPr>
        <w:t>§ </w:t>
      </w:r>
      <w:r>
        <w:rPr>
          <w:color w:val="000000"/>
        </w:rPr>
        <w:t>1001.36, subds. (b)(2), (b)(3), (c)(4).)  The legislative analyses of this bill set forth the basic p</w:t>
      </w:r>
      <w:r>
        <w:rPr>
          <w:color w:val="000000"/>
        </w:rPr>
        <w:t>urposes of such pretrial diversion, which include (1) diverting eligible defendants into treatment at “an early stage in the proceedings” and (2) potentially securing significant local savings from avoiding trial and reducing incarceration.  (See Sen. Rule</w:t>
      </w:r>
      <w:r>
        <w:rPr>
          <w:color w:val="000000"/>
        </w:rPr>
        <w:t>s Com., Office of Sen. Floor Analyses, Rep. on Sen. Bill No. 215 (2017-2018 Reg. Sess.) as amended Aug. 23, 2018, pp. 2-3; see also Assem. Sen. Third Reading of Sen. Bill No. 215 (2017-2018 Reg. Sess.) as amended Aug. 23, 2018, p. 3; Assem. Com. on Appropr</w:t>
      </w:r>
      <w:r>
        <w:rPr>
          <w:color w:val="000000"/>
        </w:rPr>
        <w:t>iations, Rep. on Sen. Bill No. 215 (2017-2018 Reg. Session) as amended June 14, 2018, p. 1.)  Prior to the enactment of the pretrial diversion law, trial courts could not “order mental health treatment, relevant counselling, or adherence to a medication re</w:t>
      </w:r>
      <w:r>
        <w:rPr>
          <w:color w:val="000000"/>
        </w:rPr>
        <w:t>gime unless the person was first convicted, and then placed on probation or sent to jail at county expense.”  (Sen. Rules Com., Office of Sen. Floor Analyses, Rep. on Sen. Bill No. 215 (2017-2018 Reg. Sess.) as amended Aug. 23, 2018, p. 2.)  According to t</w:t>
      </w:r>
      <w:r>
        <w:rPr>
          <w:color w:val="000000"/>
        </w:rPr>
        <w:t>he author, “[W]hile community based treatment for a mentally ill defendant costs roughly $20,000 per year (and greatly reduces recidivism), jailing that same defendant (with a greater risk of recidivism) costs the community more than $75,000 a year.”  (</w:t>
      </w:r>
      <w:r w:rsidRPr="00AD4A7D">
        <w:rPr>
          <w:i/>
          <w:color w:val="000000"/>
        </w:rPr>
        <w:t>Ibi</w:t>
      </w:r>
      <w:r w:rsidRPr="00AD4A7D">
        <w:rPr>
          <w:i/>
          <w:color w:val="000000"/>
        </w:rPr>
        <w:t>d</w:t>
      </w:r>
      <w:r>
        <w:rPr>
          <w:color w:val="000000"/>
        </w:rPr>
        <w:t>.)  In contrast to the forced payment of the “higher costs for taxpayers of “continuous warehousing of the mentally ill,” “early, court-assisted interventions are far more likely to lead to longer, cheaper, more stable solutions for the community, and for</w:t>
      </w:r>
      <w:r>
        <w:rPr>
          <w:color w:val="000000"/>
        </w:rPr>
        <w:t xml:space="preserve"> the person suffering from mental illness.”  (</w:t>
      </w:r>
      <w:r w:rsidRPr="00AD4A7D">
        <w:rPr>
          <w:i/>
          <w:color w:val="000000"/>
        </w:rPr>
        <w:t>Id</w:t>
      </w:r>
      <w:r>
        <w:rPr>
          <w:color w:val="000000"/>
        </w:rPr>
        <w:t>. at pp. 2-3.)  The pretrial diversion law “seeks to . . . avoid [the] unnecessary and unproductive costs of trial and incarceration.”  (</w:t>
      </w:r>
      <w:r w:rsidRPr="00AD4A7D">
        <w:rPr>
          <w:i/>
          <w:color w:val="000000"/>
        </w:rPr>
        <w:t>Id</w:t>
      </w:r>
      <w:r>
        <w:rPr>
          <w:color w:val="000000"/>
        </w:rPr>
        <w:t>. at p. 3.)</w:t>
      </w:r>
    </w:p>
    <w:p w:rsidR="003B3422" w:rsidRDefault="005300CC" w:rsidP="00B13BE9">
      <w:pPr>
        <w:shd w:val="clear" w:color="auto" w:fill="FFFFFF"/>
        <w:ind w:firstLine="720"/>
        <w:textAlignment w:val="baseline"/>
        <w:rPr>
          <w:color w:val="000000"/>
        </w:rPr>
      </w:pPr>
      <w:r>
        <w:rPr>
          <w:color w:val="000000"/>
        </w:rPr>
        <w:t>Obviously, this court cannot unconditionally reverse a de</w:t>
      </w:r>
      <w:r>
        <w:rPr>
          <w:color w:val="000000"/>
        </w:rPr>
        <w:t>fendant’s conviction to undo an “adjudication” where there was no trial error requiring reversal merely to allow a trial court to consider the defendant for “pretrial diversion” because that disposition would implicate the prohibition against double jeopar</w:t>
      </w:r>
      <w:r>
        <w:rPr>
          <w:color w:val="000000"/>
        </w:rPr>
        <w:t>dy.</w:t>
      </w:r>
      <w:r>
        <w:rPr>
          <w:rStyle w:val="FootnoteReference"/>
          <w:b/>
          <w:color w:val="000000"/>
        </w:rPr>
        <w:footnoteReference w:id="6"/>
      </w:r>
      <w:r>
        <w:rPr>
          <w:color w:val="000000"/>
        </w:rPr>
        <w:t xml:space="preserve">  (See </w:t>
      </w:r>
      <w:r w:rsidRPr="00E12185">
        <w:rPr>
          <w:i/>
          <w:color w:val="000000"/>
        </w:rPr>
        <w:t>People v. Torres</w:t>
      </w:r>
      <w:r w:rsidRPr="00E12185">
        <w:rPr>
          <w:color w:val="000000"/>
        </w:rPr>
        <w:t xml:space="preserve"> (</w:t>
      </w:r>
      <w:r>
        <w:rPr>
          <w:color w:val="000000"/>
        </w:rPr>
        <w:t>2019) 39 Cal.App.5th</w:t>
      </w:r>
      <w:r w:rsidRPr="00E12185">
        <w:rPr>
          <w:color w:val="000000"/>
        </w:rPr>
        <w:t xml:space="preserve"> </w:t>
      </w:r>
      <w:r>
        <w:rPr>
          <w:color w:val="000000"/>
        </w:rPr>
        <w:t>849, 855 (</w:t>
      </w:r>
      <w:r w:rsidRPr="00EA17CB">
        <w:rPr>
          <w:i/>
          <w:color w:val="000000"/>
        </w:rPr>
        <w:t>Torres</w:t>
      </w:r>
      <w:r>
        <w:rPr>
          <w:color w:val="000000"/>
        </w:rPr>
        <w:t xml:space="preserve">).)  </w:t>
      </w:r>
      <w:r w:rsidRPr="007340F0">
        <w:rPr>
          <w:color w:val="000000"/>
        </w:rPr>
        <w:t xml:space="preserve">The </w:t>
      </w:r>
      <w:r>
        <w:rPr>
          <w:color w:val="000000"/>
        </w:rPr>
        <w:t>d</w:t>
      </w:r>
      <w:r w:rsidRPr="007340F0">
        <w:rPr>
          <w:color w:val="000000"/>
        </w:rPr>
        <w:t xml:space="preserve">ouble </w:t>
      </w:r>
      <w:r>
        <w:rPr>
          <w:color w:val="000000"/>
        </w:rPr>
        <w:t>j</w:t>
      </w:r>
      <w:r w:rsidRPr="007340F0">
        <w:rPr>
          <w:color w:val="000000"/>
        </w:rPr>
        <w:t xml:space="preserve">eopardy </w:t>
      </w:r>
      <w:r>
        <w:rPr>
          <w:color w:val="000000"/>
        </w:rPr>
        <w:t>c</w:t>
      </w:r>
      <w:r w:rsidRPr="007340F0">
        <w:rPr>
          <w:color w:val="000000"/>
        </w:rPr>
        <w:t xml:space="preserve">lause of the Fifth Amendment </w:t>
      </w:r>
      <w:r>
        <w:rPr>
          <w:color w:val="000000"/>
        </w:rPr>
        <w:t>to the United States Constitution, made applicable to the states through the Fourteenth Amendment (</w:t>
      </w:r>
      <w:r w:rsidRPr="00FB09AB">
        <w:rPr>
          <w:i/>
          <w:color w:val="000000"/>
        </w:rPr>
        <w:t>Benton v</w:t>
      </w:r>
      <w:r w:rsidRPr="00DB3199">
        <w:rPr>
          <w:color w:val="000000"/>
        </w:rPr>
        <w:t xml:space="preserve">. </w:t>
      </w:r>
      <w:r w:rsidRPr="00FB09AB">
        <w:rPr>
          <w:i/>
          <w:color w:val="000000"/>
        </w:rPr>
        <w:t>Maryland</w:t>
      </w:r>
      <w:r w:rsidRPr="00FB09AB">
        <w:rPr>
          <w:color w:val="000000"/>
        </w:rPr>
        <w:t xml:space="preserve"> (1969) 395 U.S. 784, 794</w:t>
      </w:r>
      <w:r>
        <w:rPr>
          <w:color w:val="000000"/>
        </w:rPr>
        <w:t xml:space="preserve">; see </w:t>
      </w:r>
      <w:r w:rsidRPr="00FB09AB">
        <w:rPr>
          <w:i/>
          <w:color w:val="000000"/>
        </w:rPr>
        <w:t>People v</w:t>
      </w:r>
      <w:r w:rsidRPr="005F36D3">
        <w:rPr>
          <w:color w:val="000000"/>
        </w:rPr>
        <w:t>.</w:t>
      </w:r>
      <w:r w:rsidRPr="00FB09AB">
        <w:rPr>
          <w:i/>
          <w:color w:val="000000"/>
        </w:rPr>
        <w:t xml:space="preserve"> Fields</w:t>
      </w:r>
      <w:r w:rsidRPr="00FB09AB">
        <w:rPr>
          <w:color w:val="000000"/>
        </w:rPr>
        <w:t xml:space="preserve"> (1996) 13 Cal.4th 289, 297</w:t>
      </w:r>
      <w:r>
        <w:rPr>
          <w:color w:val="000000"/>
        </w:rPr>
        <w:t xml:space="preserve">), </w:t>
      </w:r>
      <w:r w:rsidRPr="007340F0">
        <w:rPr>
          <w:color w:val="000000"/>
        </w:rPr>
        <w:t>states:</w:t>
      </w:r>
      <w:r>
        <w:rPr>
          <w:color w:val="000000"/>
        </w:rPr>
        <w:t xml:space="preserve"> </w:t>
      </w:r>
      <w:r w:rsidRPr="007340F0">
        <w:rPr>
          <w:color w:val="000000"/>
        </w:rPr>
        <w:t xml:space="preserve"> “Nor shall any person be subject for the same offence to be twice put in jeopardy of life or limb.” </w:t>
      </w:r>
      <w:r>
        <w:rPr>
          <w:color w:val="000000"/>
        </w:rPr>
        <w:t xml:space="preserve"> The California Constitution similarly states: “</w:t>
      </w:r>
      <w:r w:rsidRPr="009A303C">
        <w:rPr>
          <w:color w:val="000000"/>
        </w:rPr>
        <w:t xml:space="preserve">Persons may not twice </w:t>
      </w:r>
      <w:r w:rsidRPr="009A303C">
        <w:rPr>
          <w:color w:val="000000"/>
        </w:rPr>
        <w:t>be put in jeopardy for the same offense</w:t>
      </w:r>
      <w:r>
        <w:rPr>
          <w:color w:val="000000"/>
        </w:rPr>
        <w:t>.”  (</w:t>
      </w:r>
      <w:r w:rsidRPr="009A303C">
        <w:rPr>
          <w:color w:val="000000"/>
        </w:rPr>
        <w:t>Cal. Const., art.</w:t>
      </w:r>
      <w:r>
        <w:rPr>
          <w:color w:val="000000"/>
        </w:rPr>
        <w:t> </w:t>
      </w:r>
      <w:r w:rsidRPr="009A303C">
        <w:rPr>
          <w:color w:val="000000"/>
        </w:rPr>
        <w:t>I, §</w:t>
      </w:r>
      <w:r>
        <w:rPr>
          <w:color w:val="000000"/>
        </w:rPr>
        <w:t> </w:t>
      </w:r>
      <w:r w:rsidRPr="009A303C">
        <w:rPr>
          <w:color w:val="000000"/>
        </w:rPr>
        <w:t>15</w:t>
      </w:r>
      <w:r>
        <w:rPr>
          <w:color w:val="000000"/>
        </w:rPr>
        <w:t>.)  In a jury trial, “j</w:t>
      </w:r>
      <w:r w:rsidRPr="0013443C">
        <w:rPr>
          <w:color w:val="000000"/>
        </w:rPr>
        <w:t>eopardy attaches when the jury is empaneled and sworn</w:t>
      </w:r>
      <w:r>
        <w:rPr>
          <w:color w:val="000000"/>
        </w:rPr>
        <w:t>.”  (</w:t>
      </w:r>
      <w:r w:rsidRPr="0013443C">
        <w:rPr>
          <w:i/>
          <w:color w:val="000000"/>
        </w:rPr>
        <w:t>Crist v</w:t>
      </w:r>
      <w:r w:rsidRPr="005F36D3">
        <w:rPr>
          <w:color w:val="000000"/>
        </w:rPr>
        <w:t xml:space="preserve">. </w:t>
      </w:r>
      <w:r w:rsidRPr="0013443C">
        <w:rPr>
          <w:i/>
          <w:color w:val="000000"/>
        </w:rPr>
        <w:t>Bretz</w:t>
      </w:r>
      <w:r w:rsidRPr="0013443C">
        <w:rPr>
          <w:color w:val="000000"/>
        </w:rPr>
        <w:t xml:space="preserve"> (1978) 437 U.S. 28, 38</w:t>
      </w:r>
      <w:r>
        <w:rPr>
          <w:color w:val="000000"/>
        </w:rPr>
        <w:t xml:space="preserve">; see </w:t>
      </w:r>
      <w:r w:rsidRPr="00FB09AB">
        <w:rPr>
          <w:i/>
          <w:color w:val="000000"/>
        </w:rPr>
        <w:t>People v</w:t>
      </w:r>
      <w:r w:rsidRPr="005F36D3">
        <w:rPr>
          <w:color w:val="000000"/>
        </w:rPr>
        <w:t xml:space="preserve">. </w:t>
      </w:r>
      <w:r w:rsidRPr="00FB09AB">
        <w:rPr>
          <w:i/>
          <w:color w:val="000000"/>
        </w:rPr>
        <w:t>Riggs</w:t>
      </w:r>
      <w:r w:rsidRPr="00FB09AB">
        <w:rPr>
          <w:color w:val="000000"/>
        </w:rPr>
        <w:t xml:space="preserve"> (2008) 44 Cal.4th 248, </w:t>
      </w:r>
      <w:r>
        <w:rPr>
          <w:color w:val="000000"/>
        </w:rPr>
        <w:t>278-</w:t>
      </w:r>
      <w:r w:rsidRPr="00FB09AB">
        <w:rPr>
          <w:color w:val="000000"/>
        </w:rPr>
        <w:t>279</w:t>
      </w:r>
      <w:r>
        <w:rPr>
          <w:color w:val="000000"/>
        </w:rPr>
        <w:t>, fn. 12.)  Uncon</w:t>
      </w:r>
      <w:r>
        <w:rPr>
          <w:color w:val="000000"/>
        </w:rPr>
        <w:t>ditional reversal of a defendant’s valid conviction merely to facilitate pretrial diversion may raise a double jeopardy bar that precludes the government from reinstating criminal proceedings where such a defendant either was ultimately found not to qualif</w:t>
      </w:r>
      <w:r>
        <w:rPr>
          <w:color w:val="000000"/>
        </w:rPr>
        <w:t xml:space="preserve">y for diversion or did not perform </w:t>
      </w:r>
      <w:r w:rsidRPr="003B3422">
        <w:rPr>
          <w:color w:val="000000"/>
        </w:rPr>
        <w:t>satisfactorily in diversion</w:t>
      </w:r>
      <w:r>
        <w:rPr>
          <w:color w:val="000000"/>
        </w:rPr>
        <w:t xml:space="preserve"> (see </w:t>
      </w:r>
      <w:r w:rsidRPr="003B3422">
        <w:rPr>
          <w:color w:val="000000"/>
        </w:rPr>
        <w:t>§</w:t>
      </w:r>
      <w:r>
        <w:rPr>
          <w:color w:val="000000"/>
        </w:rPr>
        <w:t> </w:t>
      </w:r>
      <w:r w:rsidRPr="003B3422">
        <w:rPr>
          <w:color w:val="000000"/>
        </w:rPr>
        <w:t>1001.36</w:t>
      </w:r>
      <w:r>
        <w:rPr>
          <w:color w:val="000000"/>
        </w:rPr>
        <w:t xml:space="preserve">, subd. </w:t>
      </w:r>
      <w:r w:rsidRPr="003B3422">
        <w:rPr>
          <w:color w:val="000000"/>
        </w:rPr>
        <w:t>(d)</w:t>
      </w:r>
      <w:r>
        <w:rPr>
          <w:color w:val="000000"/>
        </w:rPr>
        <w:t>).  Such a result would “</w:t>
      </w:r>
      <w:r w:rsidRPr="003B3422">
        <w:rPr>
          <w:color w:val="000000"/>
        </w:rPr>
        <w:t>eviscerate</w:t>
      </w:r>
      <w:r>
        <w:rPr>
          <w:color w:val="000000"/>
        </w:rPr>
        <w:t xml:space="preserve">[] </w:t>
      </w:r>
      <w:r w:rsidRPr="003B3422">
        <w:rPr>
          <w:color w:val="000000"/>
        </w:rPr>
        <w:t>the statute</w:t>
      </w:r>
      <w:r>
        <w:rPr>
          <w:color w:val="000000"/>
        </w:rPr>
        <w:t>’</w:t>
      </w:r>
      <w:r w:rsidRPr="003B3422">
        <w:rPr>
          <w:color w:val="000000"/>
        </w:rPr>
        <w:t>s enforcement mechanism</w:t>
      </w:r>
      <w:r>
        <w:rPr>
          <w:color w:val="000000"/>
        </w:rPr>
        <w:t>.”  (</w:t>
      </w:r>
      <w:r w:rsidRPr="003B3422">
        <w:rPr>
          <w:i/>
          <w:color w:val="000000"/>
        </w:rPr>
        <w:t>Torres</w:t>
      </w:r>
      <w:r>
        <w:rPr>
          <w:color w:val="000000"/>
        </w:rPr>
        <w:t xml:space="preserve">, </w:t>
      </w:r>
      <w:r w:rsidRPr="00EA17CB">
        <w:rPr>
          <w:i/>
          <w:color w:val="000000"/>
        </w:rPr>
        <w:t>supra</w:t>
      </w:r>
      <w:r>
        <w:rPr>
          <w:color w:val="000000"/>
        </w:rPr>
        <w:t>, 39 Cal.App. 5th at p. 855.)</w:t>
      </w:r>
    </w:p>
    <w:p w:rsidR="0097683C" w:rsidRDefault="005300CC" w:rsidP="0097683C">
      <w:pPr>
        <w:shd w:val="clear" w:color="auto" w:fill="FFFFFF"/>
        <w:ind w:firstLine="720"/>
        <w:textAlignment w:val="baseline"/>
        <w:rPr>
          <w:color w:val="000000"/>
        </w:rPr>
      </w:pPr>
      <w:r>
        <w:rPr>
          <w:color w:val="000000"/>
        </w:rPr>
        <w:t>Even if that potential double jeopardy problems</w:t>
      </w:r>
      <w:r>
        <w:rPr>
          <w:color w:val="000000"/>
        </w:rPr>
        <w:t xml:space="preserve"> can be avoided through a conditional reversal of a defendant’s judgment of conviction as has been done in Proposition 57 cases involving adult convictions, we are not convinced that the reasoning in </w:t>
      </w:r>
      <w:r w:rsidRPr="00654737">
        <w:rPr>
          <w:i/>
          <w:color w:val="000000"/>
        </w:rPr>
        <w:t>Lara</w:t>
      </w:r>
      <w:r>
        <w:rPr>
          <w:color w:val="000000"/>
        </w:rPr>
        <w:t xml:space="preserve"> applies or that the statutory language of section 1001.36 structurally supports defendant’s position.  As indicated, </w:t>
      </w:r>
      <w:r w:rsidRPr="00654737">
        <w:rPr>
          <w:i/>
          <w:color w:val="000000"/>
        </w:rPr>
        <w:t>Lara</w:t>
      </w:r>
      <w:r>
        <w:rPr>
          <w:i/>
          <w:color w:val="000000"/>
        </w:rPr>
        <w:t xml:space="preserve"> </w:t>
      </w:r>
      <w:r w:rsidRPr="00654737">
        <w:rPr>
          <w:color w:val="000000"/>
        </w:rPr>
        <w:t xml:space="preserve">resolved that </w:t>
      </w:r>
      <w:r w:rsidRPr="0046765B">
        <w:rPr>
          <w:color w:val="000000"/>
        </w:rPr>
        <w:t>Proposition 57’s juvenile</w:t>
      </w:r>
      <w:r>
        <w:rPr>
          <w:color w:val="000000"/>
        </w:rPr>
        <w:t xml:space="preserve"> transfer hearing law applies </w:t>
      </w:r>
      <w:r w:rsidRPr="00877CA0">
        <w:rPr>
          <w:color w:val="000000"/>
        </w:rPr>
        <w:t>retroactively to all juveniles charged directly in adult court w</w:t>
      </w:r>
      <w:r w:rsidRPr="00877CA0">
        <w:rPr>
          <w:color w:val="000000"/>
        </w:rPr>
        <w:t>hose judgment was not final at the time it was enacted</w:t>
      </w:r>
      <w:r>
        <w:rPr>
          <w:color w:val="000000"/>
        </w:rPr>
        <w:t xml:space="preserve"> because nothing in the proposition’s text or ballot materials rebutted </w:t>
      </w:r>
      <w:r w:rsidRPr="00877CA0">
        <w:rPr>
          <w:i/>
          <w:color w:val="000000"/>
        </w:rPr>
        <w:t>Estrada</w:t>
      </w:r>
      <w:r>
        <w:rPr>
          <w:color w:val="000000"/>
        </w:rPr>
        <w:t>’s inference of retroactivity.  (</w:t>
      </w:r>
      <w:r w:rsidRPr="00877CA0">
        <w:rPr>
          <w:i/>
          <w:color w:val="000000"/>
        </w:rPr>
        <w:t>Lara</w:t>
      </w:r>
      <w:r>
        <w:rPr>
          <w:color w:val="000000"/>
        </w:rPr>
        <w:t xml:space="preserve">, </w:t>
      </w:r>
      <w:r w:rsidRPr="00877CA0">
        <w:rPr>
          <w:i/>
          <w:color w:val="000000"/>
        </w:rPr>
        <w:t>supra</w:t>
      </w:r>
      <w:r>
        <w:rPr>
          <w:color w:val="000000"/>
        </w:rPr>
        <w:t>, 4</w:t>
      </w:r>
      <w:r w:rsidRPr="00877CA0">
        <w:rPr>
          <w:color w:val="000000"/>
        </w:rPr>
        <w:t xml:space="preserve"> Cal.5th </w:t>
      </w:r>
      <w:r>
        <w:rPr>
          <w:color w:val="000000"/>
        </w:rPr>
        <w:t>at pp.</w:t>
      </w:r>
      <w:r w:rsidRPr="00877CA0">
        <w:rPr>
          <w:color w:val="000000"/>
        </w:rPr>
        <w:t xml:space="preserve"> 303</w:t>
      </w:r>
      <w:r>
        <w:rPr>
          <w:color w:val="000000"/>
        </w:rPr>
        <w:t>-</w:t>
      </w:r>
      <w:r w:rsidRPr="00877CA0">
        <w:rPr>
          <w:color w:val="000000"/>
        </w:rPr>
        <w:t>304</w:t>
      </w:r>
      <w:r>
        <w:rPr>
          <w:color w:val="000000"/>
        </w:rPr>
        <w:t xml:space="preserve">.)  It is noteworthy that in </w:t>
      </w:r>
      <w:r w:rsidRPr="00C05ED1">
        <w:rPr>
          <w:i/>
          <w:color w:val="000000"/>
        </w:rPr>
        <w:t>Lara</w:t>
      </w:r>
      <w:r>
        <w:rPr>
          <w:color w:val="000000"/>
        </w:rPr>
        <w:t xml:space="preserve"> there had been </w:t>
      </w:r>
      <w:r w:rsidRPr="007D054F">
        <w:rPr>
          <w:i/>
          <w:color w:val="000000"/>
        </w:rPr>
        <w:t>no</w:t>
      </w:r>
      <w:r>
        <w:rPr>
          <w:color w:val="000000"/>
        </w:rPr>
        <w:t xml:space="preserve"> t</w:t>
      </w:r>
      <w:r>
        <w:rPr>
          <w:color w:val="000000"/>
        </w:rPr>
        <w:t xml:space="preserve">rial and </w:t>
      </w:r>
      <w:r w:rsidRPr="001E665A">
        <w:rPr>
          <w:i/>
          <w:color w:val="000000"/>
        </w:rPr>
        <w:t>no</w:t>
      </w:r>
      <w:r>
        <w:rPr>
          <w:color w:val="000000"/>
        </w:rPr>
        <w:t xml:space="preserve"> conviction in adult court.  (</w:t>
      </w:r>
      <w:r w:rsidRPr="007D054F">
        <w:rPr>
          <w:i/>
          <w:color w:val="000000"/>
        </w:rPr>
        <w:t>Id</w:t>
      </w:r>
      <w:r>
        <w:rPr>
          <w:color w:val="000000"/>
        </w:rPr>
        <w:t xml:space="preserve">. at p. 304.)  Although an information charging Lara with multiple crimes had been filed in adult court, the trial court </w:t>
      </w:r>
      <w:r w:rsidRPr="007D054F">
        <w:rPr>
          <w:color w:val="000000"/>
        </w:rPr>
        <w:t xml:space="preserve">suspended proceedings in the adult court and ordered defendant released from custody unless </w:t>
      </w:r>
      <w:r w:rsidRPr="007D054F">
        <w:rPr>
          <w:color w:val="000000"/>
        </w:rPr>
        <w:t>the People commenced a juvenile court proceeding within 48 hours</w:t>
      </w:r>
      <w:r>
        <w:rPr>
          <w:color w:val="000000"/>
        </w:rPr>
        <w:t>.  (</w:t>
      </w:r>
      <w:r w:rsidRPr="001E665A">
        <w:rPr>
          <w:i/>
          <w:color w:val="000000"/>
        </w:rPr>
        <w:t>Ibid</w:t>
      </w:r>
      <w:r>
        <w:rPr>
          <w:color w:val="000000"/>
        </w:rPr>
        <w:t xml:space="preserve">.)  After the </w:t>
      </w:r>
      <w:r w:rsidRPr="007D054F">
        <w:rPr>
          <w:color w:val="000000"/>
        </w:rPr>
        <w:t xml:space="preserve">People filed </w:t>
      </w:r>
      <w:r>
        <w:rPr>
          <w:color w:val="000000"/>
        </w:rPr>
        <w:t>a petition</w:t>
      </w:r>
      <w:r w:rsidRPr="007D054F">
        <w:rPr>
          <w:color w:val="000000"/>
        </w:rPr>
        <w:t xml:space="preserve"> </w:t>
      </w:r>
      <w:r>
        <w:rPr>
          <w:color w:val="000000"/>
        </w:rPr>
        <w:t>i</w:t>
      </w:r>
      <w:r w:rsidRPr="007D054F">
        <w:rPr>
          <w:color w:val="000000"/>
        </w:rPr>
        <w:t xml:space="preserve">n juvenile court alleging </w:t>
      </w:r>
      <w:r>
        <w:rPr>
          <w:color w:val="000000"/>
        </w:rPr>
        <w:t xml:space="preserve">the same crimes </w:t>
      </w:r>
      <w:r w:rsidRPr="007D054F">
        <w:rPr>
          <w:color w:val="000000"/>
        </w:rPr>
        <w:t>and request</w:t>
      </w:r>
      <w:r>
        <w:rPr>
          <w:color w:val="000000"/>
        </w:rPr>
        <w:t>ed</w:t>
      </w:r>
      <w:r w:rsidRPr="007D054F">
        <w:rPr>
          <w:color w:val="000000"/>
        </w:rPr>
        <w:t xml:space="preserve"> a hearing to transfer the matter back to adult court</w:t>
      </w:r>
      <w:r>
        <w:rPr>
          <w:color w:val="000000"/>
        </w:rPr>
        <w:t xml:space="preserve"> and the hearing was held, t</w:t>
      </w:r>
      <w:r w:rsidRPr="007D054F">
        <w:rPr>
          <w:color w:val="000000"/>
        </w:rPr>
        <w:t>he juveni</w:t>
      </w:r>
      <w:r w:rsidRPr="007D054F">
        <w:rPr>
          <w:color w:val="000000"/>
        </w:rPr>
        <w:t>le court denied the People’s request</w:t>
      </w:r>
      <w:r>
        <w:rPr>
          <w:color w:val="000000"/>
        </w:rPr>
        <w:t>.  (</w:t>
      </w:r>
      <w:r w:rsidRPr="007D054F">
        <w:rPr>
          <w:i/>
          <w:color w:val="000000"/>
        </w:rPr>
        <w:t>Ibid</w:t>
      </w:r>
      <w:r>
        <w:rPr>
          <w:color w:val="000000"/>
        </w:rPr>
        <w:t>.)</w:t>
      </w:r>
    </w:p>
    <w:p w:rsidR="008B59ED" w:rsidRDefault="005300CC" w:rsidP="00865BEA">
      <w:pPr>
        <w:shd w:val="clear" w:color="auto" w:fill="FFFFFF"/>
        <w:ind w:firstLine="720"/>
        <w:textAlignment w:val="baseline"/>
        <w:rPr>
          <w:color w:val="000000"/>
        </w:rPr>
      </w:pPr>
      <w:r>
        <w:rPr>
          <w:color w:val="000000"/>
        </w:rPr>
        <w:t xml:space="preserve">In </w:t>
      </w:r>
      <w:r w:rsidRPr="0097683C">
        <w:rPr>
          <w:i/>
          <w:color w:val="000000"/>
        </w:rPr>
        <w:t>Lara</w:t>
      </w:r>
      <w:r>
        <w:rPr>
          <w:color w:val="000000"/>
        </w:rPr>
        <w:t xml:space="preserve">, however, the Supreme Court endorsed the remedy crafted by </w:t>
      </w:r>
      <w:r w:rsidRPr="009C1389">
        <w:rPr>
          <w:color w:val="000000"/>
        </w:rPr>
        <w:t>Court of Appeal, Fourth District, Division 3</w:t>
      </w:r>
      <w:r>
        <w:rPr>
          <w:color w:val="000000"/>
        </w:rPr>
        <w:t xml:space="preserve"> in </w:t>
      </w:r>
      <w:r w:rsidRPr="0097683C">
        <w:rPr>
          <w:i/>
          <w:color w:val="000000"/>
        </w:rPr>
        <w:t>People v</w:t>
      </w:r>
      <w:r w:rsidRPr="003E2A61">
        <w:rPr>
          <w:color w:val="000000"/>
        </w:rPr>
        <w:t>.</w:t>
      </w:r>
      <w:r w:rsidRPr="0097683C">
        <w:rPr>
          <w:i/>
          <w:color w:val="000000"/>
        </w:rPr>
        <w:t xml:space="preserve"> Vela</w:t>
      </w:r>
      <w:r w:rsidRPr="0097683C">
        <w:rPr>
          <w:color w:val="000000"/>
        </w:rPr>
        <w:t xml:space="preserve"> (2017) 11 Cal.App.5th 68,</w:t>
      </w:r>
      <w:r>
        <w:rPr>
          <w:color w:val="000000"/>
        </w:rPr>
        <w:t xml:space="preserve"> </w:t>
      </w:r>
      <w:r w:rsidRPr="0097683C">
        <w:rPr>
          <w:color w:val="000000"/>
        </w:rPr>
        <w:t>82, review granted July 12, 2017, S242298</w:t>
      </w:r>
      <w:r>
        <w:rPr>
          <w:color w:val="000000"/>
        </w:rPr>
        <w:t xml:space="preserve"> (</w:t>
      </w:r>
      <w:r w:rsidRPr="003B082D">
        <w:rPr>
          <w:i/>
          <w:color w:val="000000"/>
        </w:rPr>
        <w:t>Vela I</w:t>
      </w:r>
      <w:r>
        <w:rPr>
          <w:color w:val="000000"/>
        </w:rPr>
        <w:t xml:space="preserve">), which had conditionally reversed a nonfinal judgment and directed that a juvenile court hold a juvenile transfer hearing.  (See </w:t>
      </w:r>
      <w:r w:rsidRPr="0097683C">
        <w:rPr>
          <w:i/>
          <w:color w:val="000000"/>
        </w:rPr>
        <w:t>Lara</w:t>
      </w:r>
      <w:r>
        <w:rPr>
          <w:color w:val="000000"/>
        </w:rPr>
        <w:t xml:space="preserve">, </w:t>
      </w:r>
      <w:r w:rsidRPr="0097683C">
        <w:rPr>
          <w:i/>
          <w:color w:val="000000"/>
        </w:rPr>
        <w:t>supra</w:t>
      </w:r>
      <w:r>
        <w:rPr>
          <w:color w:val="000000"/>
        </w:rPr>
        <w:t xml:space="preserve">, </w:t>
      </w:r>
      <w:r w:rsidRPr="0097683C">
        <w:rPr>
          <w:color w:val="000000"/>
        </w:rPr>
        <w:t xml:space="preserve">4 Cal.5th </w:t>
      </w:r>
      <w:r>
        <w:rPr>
          <w:color w:val="000000"/>
        </w:rPr>
        <w:t>at pp. 310, 313 [“</w:t>
      </w:r>
      <w:r w:rsidRPr="0097683C">
        <w:rPr>
          <w:color w:val="000000"/>
        </w:rPr>
        <w:t xml:space="preserve">we believe remedies like those provided in </w:t>
      </w:r>
      <w:r w:rsidRPr="0097683C">
        <w:rPr>
          <w:i/>
          <w:color w:val="000000"/>
        </w:rPr>
        <w:t>Vela</w:t>
      </w:r>
      <w:r w:rsidRPr="0097683C">
        <w:rPr>
          <w:color w:val="000000"/>
        </w:rPr>
        <w:t xml:space="preserve"> </w:t>
      </w:r>
      <w:r>
        <w:rPr>
          <w:color w:val="000000"/>
        </w:rPr>
        <w:t>[</w:t>
      </w:r>
      <w:r w:rsidRPr="00D57C1E">
        <w:rPr>
          <w:i/>
          <w:color w:val="000000"/>
        </w:rPr>
        <w:t>I</w:t>
      </w:r>
      <w:r>
        <w:rPr>
          <w:color w:val="000000"/>
        </w:rPr>
        <w:t xml:space="preserve">] </w:t>
      </w:r>
      <w:r w:rsidRPr="0097683C">
        <w:rPr>
          <w:color w:val="000000"/>
        </w:rPr>
        <w:t xml:space="preserve">and </w:t>
      </w:r>
      <w:r>
        <w:rPr>
          <w:color w:val="000000"/>
        </w:rPr>
        <w:t>[</w:t>
      </w:r>
      <w:r w:rsidRPr="00D57C1E">
        <w:rPr>
          <w:i/>
          <w:color w:val="000000"/>
        </w:rPr>
        <w:t>People v</w:t>
      </w:r>
      <w:r>
        <w:rPr>
          <w:color w:val="000000"/>
        </w:rPr>
        <w:t xml:space="preserve">.] </w:t>
      </w:r>
      <w:r w:rsidRPr="001E665A">
        <w:rPr>
          <w:i/>
          <w:color w:val="000000"/>
        </w:rPr>
        <w:t>Cervantes</w:t>
      </w:r>
      <w:r w:rsidRPr="0097683C">
        <w:rPr>
          <w:color w:val="000000"/>
        </w:rPr>
        <w:t xml:space="preserve"> </w:t>
      </w:r>
      <w:r>
        <w:rPr>
          <w:color w:val="000000"/>
        </w:rPr>
        <w:t>[(2017</w:t>
      </w:r>
      <w:r>
        <w:rPr>
          <w:color w:val="000000"/>
        </w:rPr>
        <w:t xml:space="preserve">) 9 Cal.App.5th 569] </w:t>
      </w:r>
      <w:r w:rsidRPr="0097683C">
        <w:rPr>
          <w:color w:val="000000"/>
        </w:rPr>
        <w:t>are readily understandable, and the courts involved can implement them without undue difficulty</w:t>
      </w:r>
      <w:r>
        <w:rPr>
          <w:color w:val="000000"/>
        </w:rPr>
        <w:t xml:space="preserve">”].)  The Supreme Court in </w:t>
      </w:r>
      <w:r w:rsidRPr="005168DA">
        <w:rPr>
          <w:i/>
          <w:color w:val="000000"/>
        </w:rPr>
        <w:t>Lara</w:t>
      </w:r>
      <w:r>
        <w:rPr>
          <w:color w:val="000000"/>
        </w:rPr>
        <w:t xml:space="preserve"> recited the appellate court’s disposition in </w:t>
      </w:r>
      <w:r w:rsidRPr="009C1389">
        <w:rPr>
          <w:i/>
          <w:color w:val="000000"/>
        </w:rPr>
        <w:t>Vela I</w:t>
      </w:r>
      <w:r>
        <w:rPr>
          <w:color w:val="000000"/>
        </w:rPr>
        <w:t>:  “ ‘</w:t>
      </w:r>
      <w:r w:rsidRPr="0097683C">
        <w:rPr>
          <w:color w:val="000000"/>
        </w:rPr>
        <w:t>If, after conducting the juvenile transfer hearing,</w:t>
      </w:r>
      <w:r w:rsidRPr="0097683C">
        <w:rPr>
          <w:color w:val="000000"/>
        </w:rPr>
        <w:t xml:space="preserve"> the court determines that it would have transferred Vela to a court of criminal jurisdiction because he is </w:t>
      </w:r>
      <w:r>
        <w:rPr>
          <w:color w:val="000000"/>
        </w:rPr>
        <w:t>“</w:t>
      </w:r>
      <w:r w:rsidRPr="0097683C">
        <w:rPr>
          <w:color w:val="000000"/>
        </w:rPr>
        <w:t>not a fit and proper subject to be dealt with under the juvenile court law,</w:t>
      </w:r>
      <w:r>
        <w:rPr>
          <w:color w:val="000000"/>
        </w:rPr>
        <w:t>”</w:t>
      </w:r>
      <w:r w:rsidRPr="0097683C">
        <w:rPr>
          <w:color w:val="000000"/>
        </w:rPr>
        <w:t xml:space="preserve"> then </w:t>
      </w:r>
      <w:r>
        <w:rPr>
          <w:color w:val="000000"/>
        </w:rPr>
        <w:t>Ve</w:t>
      </w:r>
      <w:r w:rsidRPr="0097683C">
        <w:rPr>
          <w:color w:val="000000"/>
        </w:rPr>
        <w:t xml:space="preserve">la’s convictions and sentence are to be reinstated. </w:t>
      </w:r>
      <w:r>
        <w:rPr>
          <w:color w:val="000000"/>
        </w:rPr>
        <w:t xml:space="preserve"> </w:t>
      </w:r>
      <w:r w:rsidRPr="0097683C">
        <w:rPr>
          <w:color w:val="000000"/>
        </w:rPr>
        <w:t xml:space="preserve">(§ 707.1, </w:t>
      </w:r>
      <w:r w:rsidRPr="0097683C">
        <w:rPr>
          <w:color w:val="000000"/>
        </w:rPr>
        <w:t xml:space="preserve">subd. (a).) </w:t>
      </w:r>
      <w:r>
        <w:rPr>
          <w:color w:val="000000"/>
        </w:rPr>
        <w:t xml:space="preserve"> </w:t>
      </w:r>
      <w:r w:rsidRPr="0097683C">
        <w:rPr>
          <w:color w:val="000000"/>
        </w:rPr>
        <w:t xml:space="preserve">On the other hand, if the juvenile court finds that it would </w:t>
      </w:r>
      <w:r w:rsidRPr="00D57C1E">
        <w:rPr>
          <w:i/>
          <w:color w:val="000000"/>
        </w:rPr>
        <w:t>not</w:t>
      </w:r>
      <w:r w:rsidRPr="0097683C">
        <w:rPr>
          <w:color w:val="000000"/>
        </w:rPr>
        <w:t xml:space="preserve"> have transferred Vela to a court of criminal jurisdiction, then it shall treat Vela’s convictions as juvenile adjudications and impose an appropriate </w:t>
      </w:r>
      <w:r>
        <w:rPr>
          <w:color w:val="000000"/>
        </w:rPr>
        <w:t>“</w:t>
      </w:r>
      <w:r w:rsidRPr="0097683C">
        <w:rPr>
          <w:color w:val="000000"/>
        </w:rPr>
        <w:t>disposition</w:t>
      </w:r>
      <w:r>
        <w:rPr>
          <w:color w:val="000000"/>
        </w:rPr>
        <w:t>”</w:t>
      </w:r>
      <w:r w:rsidRPr="0097683C">
        <w:rPr>
          <w:color w:val="000000"/>
        </w:rPr>
        <w:t xml:space="preserve"> within its dis</w:t>
      </w:r>
      <w:r w:rsidRPr="0097683C">
        <w:rPr>
          <w:color w:val="000000"/>
        </w:rPr>
        <w:t>cretion.</w:t>
      </w:r>
      <w:r>
        <w:rPr>
          <w:color w:val="000000"/>
        </w:rPr>
        <w:t xml:space="preserve">’ </w:t>
      </w:r>
      <w:r w:rsidRPr="0097683C">
        <w:rPr>
          <w:color w:val="000000"/>
        </w:rPr>
        <w:t xml:space="preserve"> </w:t>
      </w:r>
      <w:r>
        <w:rPr>
          <w:color w:val="000000"/>
        </w:rPr>
        <w:t>[Citation.]”  (</w:t>
      </w:r>
      <w:r w:rsidRPr="0097683C">
        <w:rPr>
          <w:i/>
          <w:color w:val="000000"/>
        </w:rPr>
        <w:t>Id</w:t>
      </w:r>
      <w:r>
        <w:rPr>
          <w:color w:val="000000"/>
        </w:rPr>
        <w:t xml:space="preserve">. at p. 310.)  After the Supreme Court transferred </w:t>
      </w:r>
      <w:r w:rsidRPr="008B59ED">
        <w:rPr>
          <w:i/>
          <w:color w:val="000000"/>
        </w:rPr>
        <w:t>Vela</w:t>
      </w:r>
      <w:r>
        <w:rPr>
          <w:color w:val="000000"/>
        </w:rPr>
        <w:t xml:space="preserve"> </w:t>
      </w:r>
      <w:r w:rsidRPr="003B082D">
        <w:rPr>
          <w:i/>
          <w:color w:val="000000"/>
        </w:rPr>
        <w:t xml:space="preserve">I </w:t>
      </w:r>
      <w:r>
        <w:rPr>
          <w:color w:val="000000"/>
        </w:rPr>
        <w:t>to the appellate court for reconsideration, the appellate court reached the same disposition.  (</w:t>
      </w:r>
      <w:r w:rsidRPr="008B59ED">
        <w:rPr>
          <w:i/>
          <w:color w:val="000000"/>
        </w:rPr>
        <w:t>People v</w:t>
      </w:r>
      <w:r w:rsidRPr="00D57C1E">
        <w:rPr>
          <w:color w:val="000000"/>
        </w:rPr>
        <w:t>.</w:t>
      </w:r>
      <w:r w:rsidRPr="008B59ED">
        <w:rPr>
          <w:i/>
          <w:color w:val="000000"/>
        </w:rPr>
        <w:t xml:space="preserve"> Vela</w:t>
      </w:r>
      <w:r w:rsidRPr="008B59ED">
        <w:rPr>
          <w:color w:val="000000"/>
        </w:rPr>
        <w:t xml:space="preserve"> (2018) 21 Cal.App.5th 1099, 111</w:t>
      </w:r>
      <w:r>
        <w:rPr>
          <w:color w:val="000000"/>
        </w:rPr>
        <w:t>3-</w:t>
      </w:r>
      <w:r w:rsidRPr="008B59ED">
        <w:rPr>
          <w:color w:val="000000"/>
        </w:rPr>
        <w:t>1115</w:t>
      </w:r>
      <w:r>
        <w:rPr>
          <w:color w:val="000000"/>
        </w:rPr>
        <w:t xml:space="preserve"> (</w:t>
      </w:r>
      <w:r w:rsidRPr="008B59ED">
        <w:rPr>
          <w:i/>
          <w:color w:val="000000"/>
        </w:rPr>
        <w:t>Vela II</w:t>
      </w:r>
      <w:r>
        <w:rPr>
          <w:color w:val="000000"/>
        </w:rPr>
        <w:t>).)</w:t>
      </w:r>
    </w:p>
    <w:p w:rsidR="005168DA" w:rsidRDefault="005300CC" w:rsidP="00BC2F93">
      <w:pPr>
        <w:shd w:val="clear" w:color="auto" w:fill="FFFFFF"/>
        <w:ind w:firstLine="720"/>
        <w:textAlignment w:val="baseline"/>
        <w:rPr>
          <w:color w:val="000000"/>
        </w:rPr>
      </w:pPr>
      <w:r>
        <w:rPr>
          <w:color w:val="000000"/>
        </w:rPr>
        <w:t xml:space="preserve">We think it significant that the retroactive application of the juvenile transfer hearing law to persons who had already been convicted in adult court, as sanctioned by the Supreme Court in </w:t>
      </w:r>
      <w:r w:rsidRPr="00BB1143">
        <w:rPr>
          <w:i/>
          <w:color w:val="000000"/>
        </w:rPr>
        <w:t>Lara</w:t>
      </w:r>
      <w:r>
        <w:rPr>
          <w:color w:val="000000"/>
        </w:rPr>
        <w:t>, does not require courts to maintain a fiction that an allege</w:t>
      </w:r>
      <w:r>
        <w:rPr>
          <w:color w:val="000000"/>
        </w:rPr>
        <w:t xml:space="preserve">d crime had never been adjudicated.  Rather, if after retroactively conducting a transfer hearing the juvenile court finds that it would </w:t>
      </w:r>
      <w:r w:rsidRPr="00244306">
        <w:rPr>
          <w:i/>
          <w:color w:val="000000"/>
        </w:rPr>
        <w:t>not</w:t>
      </w:r>
      <w:r>
        <w:rPr>
          <w:color w:val="000000"/>
        </w:rPr>
        <w:t xml:space="preserve"> have </w:t>
      </w:r>
      <w:r w:rsidRPr="00000CF9">
        <w:rPr>
          <w:color w:val="000000"/>
        </w:rPr>
        <w:t xml:space="preserve">transferred </w:t>
      </w:r>
      <w:r>
        <w:rPr>
          <w:color w:val="000000"/>
        </w:rPr>
        <w:t xml:space="preserve">the person to criminal adult court, the court must </w:t>
      </w:r>
      <w:r w:rsidRPr="00000CF9">
        <w:rPr>
          <w:color w:val="000000"/>
        </w:rPr>
        <w:t xml:space="preserve">treat </w:t>
      </w:r>
      <w:r>
        <w:rPr>
          <w:color w:val="000000"/>
        </w:rPr>
        <w:t xml:space="preserve">the adult </w:t>
      </w:r>
      <w:r w:rsidRPr="00000CF9">
        <w:rPr>
          <w:color w:val="000000"/>
        </w:rPr>
        <w:t>convictions as juvenile adjudic</w:t>
      </w:r>
      <w:r w:rsidRPr="00000CF9">
        <w:rPr>
          <w:color w:val="000000"/>
        </w:rPr>
        <w:t>ations</w:t>
      </w:r>
      <w:r>
        <w:rPr>
          <w:color w:val="000000"/>
        </w:rPr>
        <w:t>.  (See </w:t>
      </w:r>
      <w:r w:rsidRPr="00244306">
        <w:rPr>
          <w:i/>
          <w:color w:val="000000"/>
        </w:rPr>
        <w:t>Lara</w:t>
      </w:r>
      <w:r>
        <w:rPr>
          <w:color w:val="000000"/>
        </w:rPr>
        <w:t xml:space="preserve">, </w:t>
      </w:r>
      <w:r w:rsidRPr="00244306">
        <w:rPr>
          <w:i/>
          <w:color w:val="000000"/>
        </w:rPr>
        <w:t>supra</w:t>
      </w:r>
      <w:r>
        <w:rPr>
          <w:color w:val="000000"/>
        </w:rPr>
        <w:t xml:space="preserve">, </w:t>
      </w:r>
      <w:r w:rsidRPr="00000CF9">
        <w:rPr>
          <w:color w:val="000000"/>
        </w:rPr>
        <w:t xml:space="preserve">4 Cal.5th </w:t>
      </w:r>
      <w:r>
        <w:rPr>
          <w:color w:val="000000"/>
        </w:rPr>
        <w:t xml:space="preserve">at pp. </w:t>
      </w:r>
      <w:r w:rsidRPr="00000CF9">
        <w:rPr>
          <w:color w:val="000000"/>
        </w:rPr>
        <w:t>310</w:t>
      </w:r>
      <w:r>
        <w:rPr>
          <w:color w:val="000000"/>
        </w:rPr>
        <w:t xml:space="preserve">, 313; </w:t>
      </w:r>
      <w:r w:rsidRPr="008B59ED">
        <w:rPr>
          <w:i/>
          <w:color w:val="000000"/>
        </w:rPr>
        <w:t>Vela II</w:t>
      </w:r>
      <w:r>
        <w:rPr>
          <w:color w:val="000000"/>
        </w:rPr>
        <w:t xml:space="preserve">, </w:t>
      </w:r>
      <w:r w:rsidRPr="008B59ED">
        <w:rPr>
          <w:i/>
          <w:color w:val="000000"/>
        </w:rPr>
        <w:t>supra</w:t>
      </w:r>
      <w:r>
        <w:rPr>
          <w:color w:val="000000"/>
        </w:rPr>
        <w:t xml:space="preserve">, </w:t>
      </w:r>
      <w:r w:rsidRPr="001244EB">
        <w:rPr>
          <w:color w:val="000000"/>
        </w:rPr>
        <w:t xml:space="preserve">21 Cal.App.5th </w:t>
      </w:r>
      <w:r>
        <w:rPr>
          <w:color w:val="000000"/>
        </w:rPr>
        <w:t xml:space="preserve">at pp. </w:t>
      </w:r>
      <w:r w:rsidRPr="001244EB">
        <w:rPr>
          <w:color w:val="000000"/>
        </w:rPr>
        <w:t>1113</w:t>
      </w:r>
      <w:r>
        <w:rPr>
          <w:color w:val="000000"/>
        </w:rPr>
        <w:t>-1115.)</w:t>
      </w:r>
    </w:p>
    <w:p w:rsidR="005A3C2D" w:rsidRPr="005A3C2D" w:rsidRDefault="005300CC" w:rsidP="005A3C2D">
      <w:pPr>
        <w:shd w:val="clear" w:color="auto" w:fill="FFFFFF"/>
        <w:ind w:firstLine="720"/>
        <w:textAlignment w:val="baseline"/>
        <w:rPr>
          <w:color w:val="000000"/>
        </w:rPr>
      </w:pPr>
      <w:r>
        <w:rPr>
          <w:color w:val="000000"/>
        </w:rPr>
        <w:t>Retroactive application of the pretrial diversion law for mental health treatment is plainly distinguishable from retroactive application of Proposition</w:t>
      </w:r>
      <w:r>
        <w:rPr>
          <w:color w:val="000000"/>
        </w:rPr>
        <w:t xml:space="preserve"> 57 because the possibility of pretrial diversion under section 1001.36 exists only before “adjudication” under the very terms of the pretrial diversion law.  (See </w:t>
      </w:r>
      <w:r w:rsidRPr="009F4634">
        <w:rPr>
          <w:color w:val="000000"/>
        </w:rPr>
        <w:t>§ </w:t>
      </w:r>
      <w:r>
        <w:rPr>
          <w:color w:val="000000"/>
        </w:rPr>
        <w:t xml:space="preserve">1001.36, subd. (c).)  Also, we are unable to say, as was said in </w:t>
      </w:r>
      <w:r w:rsidRPr="005A3C2D">
        <w:rPr>
          <w:i/>
          <w:color w:val="000000"/>
        </w:rPr>
        <w:t>Estrada</w:t>
      </w:r>
      <w:r>
        <w:rPr>
          <w:color w:val="000000"/>
        </w:rPr>
        <w:t>, that “</w:t>
      </w:r>
      <w:r w:rsidRPr="005A3C2D">
        <w:rPr>
          <w:color w:val="000000"/>
        </w:rPr>
        <w:t>the enacti</w:t>
      </w:r>
      <w:r w:rsidRPr="005A3C2D">
        <w:rPr>
          <w:color w:val="000000"/>
        </w:rPr>
        <w:t>ng body lacked any discernible reason to limit application of the law with respect to cases pending on direct review.</w:t>
      </w:r>
      <w:r>
        <w:rPr>
          <w:color w:val="000000"/>
        </w:rPr>
        <w:t>”  (</w:t>
      </w:r>
      <w:r w:rsidRPr="005A3C2D">
        <w:rPr>
          <w:i/>
          <w:color w:val="000000"/>
        </w:rPr>
        <w:t>Conley</w:t>
      </w:r>
      <w:r>
        <w:rPr>
          <w:color w:val="000000"/>
        </w:rPr>
        <w:t xml:space="preserve">, </w:t>
      </w:r>
      <w:r w:rsidRPr="004214A1">
        <w:rPr>
          <w:i/>
          <w:color w:val="000000"/>
        </w:rPr>
        <w:t>supra</w:t>
      </w:r>
      <w:r>
        <w:rPr>
          <w:color w:val="000000"/>
        </w:rPr>
        <w:t xml:space="preserve">, </w:t>
      </w:r>
      <w:r w:rsidRPr="005A3C2D">
        <w:rPr>
          <w:color w:val="000000"/>
        </w:rPr>
        <w:t xml:space="preserve">63 Cal.4th </w:t>
      </w:r>
      <w:r>
        <w:rPr>
          <w:color w:val="000000"/>
        </w:rPr>
        <w:t xml:space="preserve">at pp. </w:t>
      </w:r>
      <w:r w:rsidRPr="005A3C2D">
        <w:rPr>
          <w:color w:val="000000"/>
        </w:rPr>
        <w:t>658</w:t>
      </w:r>
      <w:r>
        <w:rPr>
          <w:color w:val="000000"/>
        </w:rPr>
        <w:t>-</w:t>
      </w:r>
      <w:r w:rsidRPr="005A3C2D">
        <w:rPr>
          <w:color w:val="000000"/>
        </w:rPr>
        <w:t>659</w:t>
      </w:r>
      <w:r>
        <w:rPr>
          <w:color w:val="000000"/>
        </w:rPr>
        <w:t>.)  We further conclude that the pretense that there had been no “adjudication,” which is impli</w:t>
      </w:r>
      <w:r>
        <w:rPr>
          <w:color w:val="000000"/>
        </w:rPr>
        <w:t xml:space="preserve">cit in a conditional reversal of a defendant’s valid nonfinal judgment for the purpose of allowing the trial court to consider the defendant for </w:t>
      </w:r>
      <w:r w:rsidRPr="003B082D">
        <w:rPr>
          <w:i/>
          <w:color w:val="000000"/>
        </w:rPr>
        <w:t>pretrial</w:t>
      </w:r>
      <w:r>
        <w:rPr>
          <w:color w:val="000000"/>
        </w:rPr>
        <w:t xml:space="preserve"> diversion, is untenable and flies in the face of legislative intent.  Such a disposition is inconsistent with the express language of the statute—which permits pretrial diversion only “</w:t>
      </w:r>
      <w:r w:rsidRPr="00971841">
        <w:rPr>
          <w:color w:val="000000"/>
        </w:rPr>
        <w:t>at any point in the judicial process from the point at which the accus</w:t>
      </w:r>
      <w:r w:rsidRPr="00971841">
        <w:rPr>
          <w:color w:val="000000"/>
        </w:rPr>
        <w:t xml:space="preserve">ed is charged </w:t>
      </w:r>
      <w:r w:rsidRPr="00C05ED1">
        <w:rPr>
          <w:i/>
          <w:color w:val="000000"/>
        </w:rPr>
        <w:t>until adjudication</w:t>
      </w:r>
      <w:r>
        <w:rPr>
          <w:color w:val="000000"/>
        </w:rPr>
        <w:t>” (</w:t>
      </w:r>
      <w:r w:rsidRPr="00971841">
        <w:rPr>
          <w:color w:val="000000"/>
        </w:rPr>
        <w:t>§ </w:t>
      </w:r>
      <w:r>
        <w:rPr>
          <w:color w:val="000000"/>
        </w:rPr>
        <w:t>1001.36, subd. (c), italics added)—and with the twin legislative goals of granting early diversion and avoiding the costs of trial and incarceration.  In our view, retroactive application of the pretrial diversion law t</w:t>
      </w:r>
      <w:r>
        <w:rPr>
          <w:color w:val="000000"/>
        </w:rPr>
        <w:t>o a defendant like defendant Khan, who was properly convicted by a jury before the pretrial diversion law was enacted and is now serving his sentence, would produce a result that “</w:t>
      </w:r>
      <w:r w:rsidRPr="005A3C2D">
        <w:rPr>
          <w:color w:val="000000"/>
        </w:rPr>
        <w:t>the Legislature could not have intended</w:t>
      </w:r>
      <w:r>
        <w:rPr>
          <w:color w:val="000000"/>
        </w:rPr>
        <w:t>.”  (</w:t>
      </w:r>
      <w:r w:rsidRPr="005A3C2D">
        <w:rPr>
          <w:i/>
          <w:color w:val="000000"/>
        </w:rPr>
        <w:t>Conley</w:t>
      </w:r>
      <w:r>
        <w:rPr>
          <w:color w:val="000000"/>
        </w:rPr>
        <w:t xml:space="preserve">, </w:t>
      </w:r>
      <w:r w:rsidRPr="004214A1">
        <w:rPr>
          <w:i/>
          <w:color w:val="000000"/>
        </w:rPr>
        <w:t>supra</w:t>
      </w:r>
      <w:r>
        <w:rPr>
          <w:color w:val="000000"/>
        </w:rPr>
        <w:t>, at p. 657.)</w:t>
      </w:r>
    </w:p>
    <w:p w:rsidR="008D2F13" w:rsidRDefault="005300CC" w:rsidP="008D2F13">
      <w:pPr>
        <w:shd w:val="clear" w:color="auto" w:fill="FFFFFF"/>
        <w:ind w:firstLine="720"/>
        <w:textAlignment w:val="baseline"/>
        <w:rPr>
          <w:color w:val="000000"/>
        </w:rPr>
      </w:pPr>
      <w:r>
        <w:rPr>
          <w:color w:val="000000"/>
        </w:rPr>
        <w:t xml:space="preserve">We agree with the Court of Appeal, Fifth District, which concluded in </w:t>
      </w:r>
      <w:r w:rsidRPr="00806F54">
        <w:rPr>
          <w:i/>
          <w:color w:val="000000"/>
        </w:rPr>
        <w:t>People v</w:t>
      </w:r>
      <w:r w:rsidRPr="00AF23CE">
        <w:rPr>
          <w:color w:val="000000"/>
        </w:rPr>
        <w:t xml:space="preserve">. </w:t>
      </w:r>
      <w:r w:rsidRPr="00806F54">
        <w:rPr>
          <w:i/>
          <w:color w:val="000000"/>
        </w:rPr>
        <w:t>Craine</w:t>
      </w:r>
      <w:r>
        <w:rPr>
          <w:color w:val="000000"/>
        </w:rPr>
        <w:t xml:space="preserve"> (2019) </w:t>
      </w:r>
      <w:r w:rsidRPr="006171EF">
        <w:rPr>
          <w:color w:val="000000"/>
        </w:rPr>
        <w:t>35 Cal.App.5th 744</w:t>
      </w:r>
      <w:r>
        <w:rPr>
          <w:color w:val="000000"/>
        </w:rPr>
        <w:t xml:space="preserve"> (</w:t>
      </w:r>
      <w:r w:rsidRPr="006171EF">
        <w:rPr>
          <w:i/>
          <w:color w:val="000000"/>
        </w:rPr>
        <w:t>Craine</w:t>
      </w:r>
      <w:r>
        <w:rPr>
          <w:color w:val="000000"/>
        </w:rPr>
        <w:t xml:space="preserve">), review granted, Sept. 11, 2019, </w:t>
      </w:r>
      <w:r w:rsidRPr="006171EF">
        <w:rPr>
          <w:color w:val="000000"/>
        </w:rPr>
        <w:t>S256671</w:t>
      </w:r>
      <w:r>
        <w:rPr>
          <w:color w:val="000000"/>
        </w:rPr>
        <w:t>, that “</w:t>
      </w:r>
      <w:r w:rsidRPr="00BB3B71">
        <w:rPr>
          <w:color w:val="000000"/>
        </w:rPr>
        <w:t>the text of section 1001.36 and its legislative history contraindicate a retroactive i</w:t>
      </w:r>
      <w:r w:rsidRPr="00BB3B71">
        <w:rPr>
          <w:color w:val="000000"/>
        </w:rPr>
        <w:t>ntent with regard to defendants, like Craine, who have already been found guilty of the crimes for which they were charged.</w:t>
      </w:r>
      <w:r>
        <w:rPr>
          <w:color w:val="000000"/>
        </w:rPr>
        <w:t>”  (</w:t>
      </w:r>
      <w:r w:rsidRPr="002B4727">
        <w:rPr>
          <w:i/>
          <w:color w:val="000000"/>
        </w:rPr>
        <w:t>Id</w:t>
      </w:r>
      <w:r>
        <w:rPr>
          <w:color w:val="000000"/>
        </w:rPr>
        <w:t xml:space="preserve">. at p. </w:t>
      </w:r>
      <w:r w:rsidRPr="006171EF">
        <w:rPr>
          <w:color w:val="000000"/>
        </w:rPr>
        <w:t>749</w:t>
      </w:r>
      <w:r>
        <w:rPr>
          <w:color w:val="000000"/>
        </w:rPr>
        <w:t>.)  That appellate court reasoned that “[t]</w:t>
      </w:r>
      <w:r w:rsidRPr="00BB3B71">
        <w:rPr>
          <w:color w:val="000000"/>
        </w:rPr>
        <w:t>he primary legislative goal of diverting mentally ill defendants from the</w:t>
      </w:r>
      <w:r w:rsidRPr="00BB3B71">
        <w:rPr>
          <w:color w:val="000000"/>
        </w:rPr>
        <w:t xml:space="preserve"> criminal justice system through preadjudicative intervention programs cannot be achieved once the defendant has been tried, adjudged guilty, and sentenced</w:t>
      </w:r>
      <w:r>
        <w:rPr>
          <w:color w:val="000000"/>
        </w:rPr>
        <w:t>” (</w:t>
      </w:r>
      <w:r>
        <w:rPr>
          <w:i/>
          <w:color w:val="000000"/>
        </w:rPr>
        <w:t>i</w:t>
      </w:r>
      <w:r w:rsidRPr="00BB3B71">
        <w:rPr>
          <w:i/>
          <w:color w:val="000000"/>
        </w:rPr>
        <w:t>d</w:t>
      </w:r>
      <w:r>
        <w:rPr>
          <w:color w:val="000000"/>
        </w:rPr>
        <w:t>. at pp. 749-750) and that the “[s]</w:t>
      </w:r>
      <w:r w:rsidRPr="00BB3B71">
        <w:rPr>
          <w:color w:val="000000"/>
        </w:rPr>
        <w:t>econdary goals of judicial economy and fiscal savings would a</w:t>
      </w:r>
      <w:r w:rsidRPr="00BB3B71">
        <w:rPr>
          <w:color w:val="000000"/>
        </w:rPr>
        <w:t>ctually be thwarted by attempting to apply the statute to defendants who have begun serving their sentences</w:t>
      </w:r>
      <w:r>
        <w:rPr>
          <w:color w:val="000000"/>
        </w:rPr>
        <w:t>.”  (</w:t>
      </w:r>
      <w:r w:rsidRPr="00BB3B71">
        <w:rPr>
          <w:i/>
          <w:color w:val="000000"/>
        </w:rPr>
        <w:t>Id</w:t>
      </w:r>
      <w:r>
        <w:rPr>
          <w:color w:val="000000"/>
        </w:rPr>
        <w:t>. at p. 750.)  The Fifth District found that retroactive application of the pretrial diversion law to such persons would be “</w:t>
      </w:r>
      <w:r w:rsidRPr="00BB3B71">
        <w:rPr>
          <w:color w:val="000000"/>
        </w:rPr>
        <w:t>antithetical to t</w:t>
      </w:r>
      <w:r w:rsidRPr="00BB3B71">
        <w:rPr>
          <w:color w:val="000000"/>
        </w:rPr>
        <w:t>he Legislature</w:t>
      </w:r>
      <w:r>
        <w:rPr>
          <w:color w:val="000000"/>
        </w:rPr>
        <w:t>’</w:t>
      </w:r>
      <w:r w:rsidRPr="00BB3B71">
        <w:rPr>
          <w:color w:val="000000"/>
        </w:rPr>
        <w:t>s goals.</w:t>
      </w:r>
      <w:r>
        <w:rPr>
          <w:color w:val="000000"/>
        </w:rPr>
        <w:t>”  (</w:t>
      </w:r>
      <w:r w:rsidRPr="00024BC5">
        <w:rPr>
          <w:i/>
          <w:color w:val="000000"/>
        </w:rPr>
        <w:t>Id</w:t>
      </w:r>
      <w:r>
        <w:rPr>
          <w:color w:val="000000"/>
        </w:rPr>
        <w:t>. at p. </w:t>
      </w:r>
      <w:r w:rsidRPr="00A20FB7">
        <w:rPr>
          <w:color w:val="000000"/>
        </w:rPr>
        <w:t>759</w:t>
      </w:r>
      <w:r>
        <w:rPr>
          <w:color w:val="000000"/>
        </w:rPr>
        <w:t>.)  It held that “</w:t>
      </w:r>
      <w:r w:rsidRPr="00BB3B71">
        <w:rPr>
          <w:color w:val="000000"/>
        </w:rPr>
        <w:t>section 1001.36 does not apply retroactively to defendants whose cases have progressed beyond trial, adjudication of guilt, and sentencing.</w:t>
      </w:r>
      <w:r>
        <w:rPr>
          <w:color w:val="000000"/>
        </w:rPr>
        <w:t>”  (</w:t>
      </w:r>
      <w:r w:rsidRPr="00BB3B71">
        <w:rPr>
          <w:i/>
          <w:color w:val="000000"/>
        </w:rPr>
        <w:t>Id</w:t>
      </w:r>
      <w:r>
        <w:rPr>
          <w:color w:val="000000"/>
        </w:rPr>
        <w:t>. at p.</w:t>
      </w:r>
      <w:r w:rsidRPr="00A20FB7">
        <w:rPr>
          <w:color w:val="000000"/>
        </w:rPr>
        <w:t xml:space="preserve"> 760</w:t>
      </w:r>
      <w:r>
        <w:rPr>
          <w:color w:val="000000"/>
        </w:rPr>
        <w:t>.)</w:t>
      </w:r>
    </w:p>
    <w:p w:rsidR="008D2F13" w:rsidRDefault="005300CC" w:rsidP="008D2F13">
      <w:pPr>
        <w:shd w:val="clear" w:color="auto" w:fill="FFFFFF"/>
        <w:ind w:firstLine="720"/>
        <w:textAlignment w:val="baseline"/>
        <w:rPr>
          <w:color w:val="000000"/>
        </w:rPr>
      </w:pPr>
      <w:r>
        <w:rPr>
          <w:color w:val="000000"/>
        </w:rPr>
        <w:t xml:space="preserve">We respectfully disagree with Justice Grover, who dissents in this case, and another panel of this court and other courts that have followed </w:t>
      </w:r>
      <w:r w:rsidRPr="00DE11AE">
        <w:rPr>
          <w:i/>
          <w:color w:val="000000"/>
        </w:rPr>
        <w:t>Frahs</w:t>
      </w:r>
      <w:r>
        <w:rPr>
          <w:color w:val="000000"/>
        </w:rPr>
        <w:t xml:space="preserve">.  (See e.g., </w:t>
      </w:r>
      <w:r w:rsidRPr="00ED0DE9">
        <w:rPr>
          <w:i/>
          <w:color w:val="000000"/>
        </w:rPr>
        <w:t>People v</w:t>
      </w:r>
      <w:r w:rsidRPr="00AF23CE">
        <w:rPr>
          <w:color w:val="000000"/>
        </w:rPr>
        <w:t xml:space="preserve">. </w:t>
      </w:r>
      <w:r w:rsidRPr="00ED0DE9">
        <w:rPr>
          <w:i/>
          <w:color w:val="000000"/>
        </w:rPr>
        <w:t>Hughes</w:t>
      </w:r>
      <w:r w:rsidRPr="00ED0DE9">
        <w:rPr>
          <w:color w:val="000000"/>
        </w:rPr>
        <w:t xml:space="preserve"> (2019) </w:t>
      </w:r>
      <w:r>
        <w:rPr>
          <w:color w:val="000000"/>
        </w:rPr>
        <w:t xml:space="preserve">39 </w:t>
      </w:r>
      <w:r w:rsidRPr="00ED0DE9">
        <w:rPr>
          <w:color w:val="000000"/>
        </w:rPr>
        <w:t>Cal.App.5th</w:t>
      </w:r>
      <w:r>
        <w:rPr>
          <w:color w:val="000000"/>
        </w:rPr>
        <w:t xml:space="preserve"> 886, 896; </w:t>
      </w:r>
      <w:r w:rsidRPr="00864C79">
        <w:rPr>
          <w:i/>
          <w:color w:val="000000"/>
        </w:rPr>
        <w:t>People v</w:t>
      </w:r>
      <w:r w:rsidRPr="00456E8A">
        <w:rPr>
          <w:color w:val="000000"/>
        </w:rPr>
        <w:t xml:space="preserve">. </w:t>
      </w:r>
      <w:r w:rsidRPr="00864C79">
        <w:rPr>
          <w:i/>
          <w:color w:val="000000"/>
        </w:rPr>
        <w:t>Burns</w:t>
      </w:r>
      <w:r w:rsidRPr="00864C79">
        <w:rPr>
          <w:color w:val="000000"/>
        </w:rPr>
        <w:t xml:space="preserve"> (2019) 38 Cal.App.5th 776, 787</w:t>
      </w:r>
      <w:r>
        <w:rPr>
          <w:color w:val="000000"/>
        </w:rPr>
        <w:t>;</w:t>
      </w:r>
      <w:r w:rsidRPr="00DE11AE">
        <w:rPr>
          <w:i/>
          <w:color w:val="000000"/>
        </w:rPr>
        <w:t xml:space="preserve"> People v. Weaver</w:t>
      </w:r>
      <w:r w:rsidRPr="00DE11AE">
        <w:rPr>
          <w:color w:val="000000"/>
        </w:rPr>
        <w:t xml:space="preserve"> (2019) 36 Cal.App.5th 1103, 1120</w:t>
      </w:r>
      <w:r>
        <w:rPr>
          <w:color w:val="000000"/>
        </w:rPr>
        <w:t>-</w:t>
      </w:r>
      <w:r w:rsidRPr="00DE11AE">
        <w:rPr>
          <w:color w:val="000000"/>
        </w:rPr>
        <w:t>1122</w:t>
      </w:r>
      <w:r>
        <w:rPr>
          <w:color w:val="000000"/>
        </w:rPr>
        <w:t xml:space="preserve">, review granted October 9, 2019, S257049.)  In light of </w:t>
      </w:r>
      <w:r w:rsidRPr="0008328C">
        <w:rPr>
          <w:color w:val="000000"/>
        </w:rPr>
        <w:t>the text, structure, and purposes</w:t>
      </w:r>
      <w:r>
        <w:rPr>
          <w:color w:val="000000"/>
        </w:rPr>
        <w:t xml:space="preserve"> of the pretrial diversion law (</w:t>
      </w:r>
      <w:r w:rsidRPr="003F0378">
        <w:rPr>
          <w:color w:val="000000"/>
        </w:rPr>
        <w:t>§§ </w:t>
      </w:r>
      <w:r>
        <w:rPr>
          <w:color w:val="000000"/>
        </w:rPr>
        <w:t>1001.35, 1001.36), we conclude that the Legislature did not intend the law t</w:t>
      </w:r>
      <w:r>
        <w:rPr>
          <w:color w:val="000000"/>
        </w:rPr>
        <w:t>o be applied post-adjudication to defendants who have already been properly tried and found guilty, and are serving their sentences.</w:t>
      </w:r>
      <w:r>
        <w:rPr>
          <w:rStyle w:val="FootnoteReference"/>
          <w:b/>
          <w:color w:val="000000"/>
        </w:rPr>
        <w:footnoteReference w:id="7"/>
      </w:r>
    </w:p>
    <w:p w:rsidR="008D2F13" w:rsidRDefault="005300CC" w:rsidP="008D2F13">
      <w:pPr>
        <w:shd w:val="clear" w:color="auto" w:fill="FFFFFF"/>
        <w:ind w:firstLine="720"/>
        <w:jc w:val="center"/>
        <w:textAlignment w:val="baseline"/>
        <w:rPr>
          <w:color w:val="000000"/>
        </w:rPr>
      </w:pPr>
      <w:r>
        <w:rPr>
          <w:color w:val="000000"/>
        </w:rPr>
        <w:t>DISPOSITION</w:t>
      </w:r>
    </w:p>
    <w:p w:rsidR="00B22F02" w:rsidRDefault="005300CC" w:rsidP="008D2F13">
      <w:pPr>
        <w:shd w:val="clear" w:color="auto" w:fill="FFFFFF"/>
        <w:ind w:firstLine="720"/>
        <w:textAlignment w:val="baseline"/>
        <w:rPr>
          <w:color w:val="000000"/>
        </w:rPr>
        <w:sectPr w:rsidR="00B22F02" w:rsidSect="009140A6">
          <w:footerReference w:type="default" r:id="rId7"/>
          <w:pgSz w:w="12240" w:h="15840"/>
          <w:pgMar w:top="1440" w:right="1440" w:bottom="1440" w:left="1440" w:header="720" w:footer="720" w:gutter="0"/>
          <w:cols w:space="720"/>
          <w:titlePg/>
          <w:docGrid w:linePitch="360"/>
        </w:sectPr>
      </w:pPr>
      <w:r>
        <w:rPr>
          <w:color w:val="000000"/>
        </w:rPr>
        <w:t>The judgment is affirmed.</w:t>
      </w:r>
    </w:p>
    <w:p w:rsidR="00B22F02" w:rsidRDefault="005300CC" w:rsidP="00B22F02">
      <w:pPr>
        <w:rPr>
          <w:bCs/>
          <w:iCs/>
        </w:rPr>
      </w:pPr>
    </w:p>
    <w:p w:rsidR="00B22F02" w:rsidRDefault="005300CC" w:rsidP="00B22F02">
      <w:pPr>
        <w:rPr>
          <w:bCs/>
          <w:iCs/>
        </w:rPr>
      </w:pPr>
    </w:p>
    <w:p w:rsidR="00B22F02" w:rsidRDefault="005300CC" w:rsidP="00B22F02">
      <w:pPr>
        <w:rPr>
          <w:bCs/>
          <w:iCs/>
        </w:rPr>
      </w:pPr>
    </w:p>
    <w:p w:rsidR="00B22F02" w:rsidRDefault="005300CC" w:rsidP="00B22F02">
      <w:pPr>
        <w:rPr>
          <w:bCs/>
          <w:iCs/>
        </w:rPr>
      </w:pPr>
    </w:p>
    <w:p w:rsidR="00B22F02" w:rsidRDefault="005300CC" w:rsidP="00B22F02">
      <w:pPr>
        <w:rPr>
          <w:bCs/>
          <w:iCs/>
        </w:rPr>
      </w:pPr>
      <w:r>
        <w:rPr>
          <w:bCs/>
          <w:iCs/>
        </w:rPr>
        <w:tab/>
      </w:r>
      <w:r>
        <w:rPr>
          <w:bCs/>
          <w:iCs/>
        </w:rPr>
        <w:tab/>
      </w:r>
      <w:r>
        <w:rPr>
          <w:bCs/>
          <w:iCs/>
        </w:rPr>
        <w:tab/>
      </w:r>
      <w:r>
        <w:rPr>
          <w:bCs/>
          <w:iCs/>
        </w:rPr>
        <w:tab/>
      </w:r>
      <w:r>
        <w:rPr>
          <w:bCs/>
          <w:iCs/>
        </w:rPr>
        <w:tab/>
      </w:r>
      <w:r>
        <w:rPr>
          <w:bCs/>
          <w:iCs/>
        </w:rPr>
        <w:tab/>
      </w:r>
      <w:r>
        <w:rPr>
          <w:bCs/>
          <w:iCs/>
        </w:rPr>
        <w:t>_________________________________</w:t>
      </w:r>
    </w:p>
    <w:p w:rsidR="00B22F02" w:rsidRDefault="005300CC" w:rsidP="00B22F02">
      <w:pPr>
        <w:rPr>
          <w:bCs/>
          <w:iCs/>
        </w:rPr>
      </w:pPr>
      <w:r>
        <w:rPr>
          <w:bCs/>
          <w:iCs/>
        </w:rPr>
        <w:tab/>
      </w:r>
      <w:r>
        <w:rPr>
          <w:bCs/>
          <w:iCs/>
        </w:rPr>
        <w:tab/>
      </w:r>
      <w:r>
        <w:rPr>
          <w:bCs/>
          <w:iCs/>
        </w:rPr>
        <w:tab/>
      </w:r>
      <w:r>
        <w:rPr>
          <w:bCs/>
          <w:iCs/>
        </w:rPr>
        <w:tab/>
      </w:r>
      <w:r>
        <w:rPr>
          <w:bCs/>
          <w:iCs/>
        </w:rPr>
        <w:tab/>
      </w:r>
      <w:r>
        <w:rPr>
          <w:bCs/>
          <w:iCs/>
        </w:rPr>
        <w:tab/>
        <w:t>ELIA, J.</w:t>
      </w:r>
    </w:p>
    <w:p w:rsidR="00B22F02" w:rsidRDefault="005300CC" w:rsidP="00B22F02">
      <w:pPr>
        <w:rPr>
          <w:bCs/>
          <w:iCs/>
        </w:rPr>
      </w:pPr>
    </w:p>
    <w:p w:rsidR="00B22F02" w:rsidRDefault="005300CC" w:rsidP="00B22F02">
      <w:pPr>
        <w:rPr>
          <w:bCs/>
          <w:iCs/>
        </w:rPr>
      </w:pPr>
      <w:r>
        <w:rPr>
          <w:bCs/>
          <w:iCs/>
        </w:rPr>
        <w:t>I CONCUR:</w:t>
      </w:r>
    </w:p>
    <w:p w:rsidR="00B22F02" w:rsidRDefault="005300CC" w:rsidP="00B22F02">
      <w:pPr>
        <w:rPr>
          <w:bCs/>
          <w:iCs/>
        </w:rPr>
      </w:pPr>
    </w:p>
    <w:p w:rsidR="00B22F02" w:rsidRDefault="005300CC" w:rsidP="00B22F02">
      <w:pPr>
        <w:rPr>
          <w:bCs/>
          <w:iCs/>
        </w:rPr>
      </w:pPr>
    </w:p>
    <w:p w:rsidR="00B22F02" w:rsidRDefault="005300CC" w:rsidP="00B22F02">
      <w:pPr>
        <w:rPr>
          <w:bCs/>
          <w:iCs/>
        </w:rPr>
      </w:pPr>
    </w:p>
    <w:p w:rsidR="00B22F02" w:rsidRDefault="005300CC" w:rsidP="00B22F02">
      <w:pPr>
        <w:rPr>
          <w:bCs/>
          <w:iCs/>
        </w:rPr>
      </w:pPr>
      <w:r>
        <w:rPr>
          <w:bCs/>
          <w:iCs/>
        </w:rPr>
        <w:t>_______________________________</w:t>
      </w:r>
    </w:p>
    <w:p w:rsidR="00B22F02" w:rsidRDefault="005300CC" w:rsidP="00B22F02">
      <w:pPr>
        <w:rPr>
          <w:bCs/>
          <w:iCs/>
        </w:rPr>
      </w:pPr>
      <w:r>
        <w:rPr>
          <w:bCs/>
          <w:iCs/>
        </w:rPr>
        <w:t>PREMO, ACTING P. J.</w:t>
      </w:r>
    </w:p>
    <w:p w:rsidR="00B22F02" w:rsidRDefault="005300CC" w:rsidP="00B22F02">
      <w:pPr>
        <w:rPr>
          <w:bCs/>
          <w:iCs/>
        </w:rPr>
      </w:pPr>
    </w:p>
    <w:p w:rsidR="00B22F02" w:rsidRDefault="005300CC" w:rsidP="00B22F02">
      <w:pPr>
        <w:rPr>
          <w:bCs/>
          <w:iCs/>
        </w:rPr>
      </w:pPr>
    </w:p>
    <w:p w:rsidR="00B22F02" w:rsidRDefault="005300CC" w:rsidP="00B22F02">
      <w:pPr>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Cs/>
        </w:rPr>
      </w:pPr>
    </w:p>
    <w:p w:rsidR="00B22F02" w:rsidRDefault="005300CC" w:rsidP="00B22F02">
      <w:pPr>
        <w:spacing w:line="240" w:lineRule="auto"/>
        <w:rPr>
          <w:bCs/>
          <w:i/>
          <w:iCs/>
        </w:rPr>
      </w:pPr>
    </w:p>
    <w:p w:rsidR="00B22F02" w:rsidRDefault="005300CC" w:rsidP="00B22F02">
      <w:pPr>
        <w:spacing w:line="240" w:lineRule="auto"/>
        <w:rPr>
          <w:bCs/>
          <w:i/>
          <w:iCs/>
        </w:rPr>
      </w:pPr>
    </w:p>
    <w:p w:rsidR="00B22F02" w:rsidRDefault="005300CC" w:rsidP="00B22F02">
      <w:pPr>
        <w:spacing w:line="240" w:lineRule="auto"/>
        <w:rPr>
          <w:bCs/>
          <w:i/>
          <w:iCs/>
        </w:rPr>
      </w:pPr>
      <w:r w:rsidRPr="007A5DFB">
        <w:rPr>
          <w:bCs/>
          <w:i/>
          <w:iCs/>
        </w:rPr>
        <w:t>People v</w:t>
      </w:r>
      <w:r w:rsidRPr="007A5DFB">
        <w:rPr>
          <w:bCs/>
          <w:iCs/>
        </w:rPr>
        <w:t xml:space="preserve">. </w:t>
      </w:r>
      <w:r>
        <w:rPr>
          <w:bCs/>
          <w:i/>
          <w:iCs/>
        </w:rPr>
        <w:t>Khan</w:t>
      </w:r>
    </w:p>
    <w:p w:rsidR="00CD17C5" w:rsidRDefault="005300CC" w:rsidP="00B22F02">
      <w:pPr>
        <w:spacing w:line="240" w:lineRule="auto"/>
        <w:rPr>
          <w:bCs/>
          <w:iCs/>
        </w:rPr>
        <w:sectPr w:rsidR="00CD17C5" w:rsidSect="00B22F02">
          <w:footerReference w:type="default" r:id="rId8"/>
          <w:pgSz w:w="12240" w:h="15840"/>
          <w:pgMar w:top="1440" w:right="1440" w:bottom="1440" w:left="1440" w:header="720" w:footer="720" w:gutter="0"/>
          <w:cols w:space="720"/>
          <w:titlePg/>
          <w:docGrid w:linePitch="360"/>
        </w:sectPr>
      </w:pPr>
      <w:r>
        <w:rPr>
          <w:bCs/>
          <w:iCs/>
        </w:rPr>
        <w:t>H045524</w:t>
      </w:r>
    </w:p>
    <w:p w:rsidR="00B22F02" w:rsidRPr="00DD594D" w:rsidRDefault="005300CC" w:rsidP="00B22F02">
      <w:pPr>
        <w:keepNext/>
        <w:spacing w:before="145"/>
        <w:ind w:left="136"/>
        <w:rPr>
          <w:b/>
        </w:rPr>
      </w:pPr>
      <w:r w:rsidRPr="00DD594D">
        <w:rPr>
          <w:b/>
          <w:w w:val="105"/>
        </w:rPr>
        <w:t>Grover, J., Dissenting</w:t>
      </w:r>
    </w:p>
    <w:p w:rsidR="00B22F02" w:rsidRPr="00DD594D" w:rsidRDefault="005300CC" w:rsidP="00B22F02">
      <w:pPr>
        <w:pStyle w:val="Heading1"/>
        <w:keepNext/>
        <w:widowControl/>
        <w:spacing w:before="203" w:line="480" w:lineRule="atLeast"/>
        <w:ind w:left="127" w:right="142" w:firstLine="729"/>
        <w:rPr>
          <w:w w:val="105"/>
          <w:sz w:val="26"/>
          <w:szCs w:val="26"/>
        </w:rPr>
      </w:pPr>
      <w:r w:rsidRPr="00DD594D">
        <w:rPr>
          <w:w w:val="105"/>
          <w:sz w:val="26"/>
          <w:szCs w:val="26"/>
        </w:rPr>
        <w:t xml:space="preserve">The enactment of Penal Code section 1001.36 provided an ameliorative benefit (potential mental health diversion) to an identifiable class (criminal defendants with recognized mental disorders).  Under the rule of </w:t>
      </w:r>
      <w:r w:rsidRPr="00DD594D">
        <w:rPr>
          <w:i/>
          <w:w w:val="105"/>
          <w:sz w:val="26"/>
          <w:szCs w:val="26"/>
        </w:rPr>
        <w:t xml:space="preserve">In re Estrada </w:t>
      </w:r>
      <w:r w:rsidRPr="00DD594D">
        <w:rPr>
          <w:w w:val="105"/>
          <w:sz w:val="26"/>
          <w:szCs w:val="26"/>
        </w:rPr>
        <w:t>(1965) 63 Cal.2d 740 (</w:t>
      </w:r>
      <w:r w:rsidRPr="00DD594D">
        <w:rPr>
          <w:i/>
          <w:w w:val="105"/>
          <w:sz w:val="26"/>
          <w:szCs w:val="26"/>
        </w:rPr>
        <w:t>Estrada</w:t>
      </w:r>
      <w:r w:rsidRPr="00DD594D">
        <w:rPr>
          <w:w w:val="105"/>
          <w:sz w:val="26"/>
          <w:szCs w:val="26"/>
        </w:rPr>
        <w:t>), we must infer that a new ameliorative benefit applies to all nonfinal judgments “unless the enacting body ‘clearly signals its intent to make the amendment prospective, by the inclusion of either an express saving clause or its equivalent.’ ”  (</w:t>
      </w:r>
      <w:r w:rsidRPr="00DD594D">
        <w:rPr>
          <w:i/>
          <w:w w:val="105"/>
          <w:sz w:val="26"/>
          <w:szCs w:val="26"/>
        </w:rPr>
        <w:t>P</w:t>
      </w:r>
      <w:r w:rsidRPr="00DD594D">
        <w:rPr>
          <w:i/>
          <w:w w:val="105"/>
          <w:sz w:val="26"/>
          <w:szCs w:val="26"/>
        </w:rPr>
        <w:t>eople v. DeHoyos</w:t>
      </w:r>
      <w:r w:rsidRPr="00DD594D">
        <w:rPr>
          <w:w w:val="105"/>
          <w:sz w:val="26"/>
          <w:szCs w:val="26"/>
        </w:rPr>
        <w:t xml:space="preserve"> (2018) 4 Cal.5th 594, 600.)  I respectfully disagree with the majority’s conclusion that such an intent appears in the text or legislative history of Penal Code section 1001.36.  I would conditionally reverse defendant’s convictions consis</w:t>
      </w:r>
      <w:r w:rsidRPr="00DD594D">
        <w:rPr>
          <w:w w:val="105"/>
          <w:sz w:val="26"/>
          <w:szCs w:val="26"/>
        </w:rPr>
        <w:t xml:space="preserve">tent with </w:t>
      </w:r>
      <w:r w:rsidRPr="00DD594D">
        <w:rPr>
          <w:i/>
          <w:w w:val="105"/>
          <w:sz w:val="26"/>
          <w:szCs w:val="26"/>
        </w:rPr>
        <w:t>People v. Frahs</w:t>
      </w:r>
      <w:r w:rsidRPr="00DD594D">
        <w:rPr>
          <w:w w:val="105"/>
          <w:sz w:val="26"/>
          <w:szCs w:val="26"/>
        </w:rPr>
        <w:t xml:space="preserve"> (2018) 27 Cal.App.5th 784 (review granted December 27, 2018, S252220) (</w:t>
      </w:r>
      <w:r w:rsidRPr="00DD594D">
        <w:rPr>
          <w:i/>
          <w:w w:val="105"/>
          <w:sz w:val="26"/>
          <w:szCs w:val="26"/>
        </w:rPr>
        <w:t>Frahs</w:t>
      </w:r>
      <w:r w:rsidRPr="00DD594D">
        <w:rPr>
          <w:w w:val="105"/>
          <w:sz w:val="26"/>
          <w:szCs w:val="26"/>
        </w:rPr>
        <w:t xml:space="preserve">) and </w:t>
      </w:r>
      <w:r w:rsidRPr="00DD594D">
        <w:rPr>
          <w:i/>
          <w:w w:val="105"/>
          <w:sz w:val="26"/>
          <w:szCs w:val="26"/>
        </w:rPr>
        <w:t>People v. Weaver</w:t>
      </w:r>
      <w:r w:rsidRPr="00DD594D">
        <w:rPr>
          <w:w w:val="105"/>
          <w:sz w:val="26"/>
          <w:szCs w:val="26"/>
        </w:rPr>
        <w:t xml:space="preserve"> (2019) 36 Cal.App.5th 1103. </w:t>
      </w:r>
    </w:p>
    <w:p w:rsidR="00B22F02" w:rsidRPr="00DD594D" w:rsidRDefault="005300CC" w:rsidP="00B22F02">
      <w:pPr>
        <w:keepNext/>
        <w:ind w:left="116" w:right="284" w:firstLine="735"/>
      </w:pPr>
      <w:r w:rsidRPr="00DD594D">
        <w:t>For qualifying criminal defendants, Penal Code section 1001.36 provides for “the postponement of prose</w:t>
      </w:r>
      <w:r w:rsidRPr="00DD594D">
        <w:t>cution, either temporarily or permanently, at any point in the judicial process from the point at which the accused is charged until adjudication, to allow the defendant to undergo mental health treatment.”  (Pen. Code, § 1001.36, subd. (c), defining “pret</w:t>
      </w:r>
      <w:r w:rsidRPr="00DD594D">
        <w:t>rial diversion”.)  The Legislature enacted Penal Code section 1001.36 along with Penal Code section 1001.35, which codified the Legislature’s purposes in creating the mental health diversion scheme.  The stated purposes include promoting “[i]ncreased diver</w:t>
      </w:r>
      <w:r w:rsidRPr="00DD594D">
        <w:t>sion of individuals with mental disorders to mitigate the individuals’ entry and reentry into the criminal justice system while protecting public safety.”  (Pen. Code, § 1001.35, subd. (a).)  Limiting the reach of Penal Code section 1001.36’s benefits to p</w:t>
      </w:r>
      <w:r w:rsidRPr="00DD594D">
        <w:t xml:space="preserve">rospective application would be inconsistent with the legislative purpose to increase diversion of mentally disordered individuals like defendant.  </w:t>
      </w:r>
    </w:p>
    <w:p w:rsidR="00B22F02" w:rsidRPr="00DD594D" w:rsidRDefault="005300CC" w:rsidP="00B22F02">
      <w:pPr>
        <w:ind w:left="115" w:right="288" w:firstLine="734"/>
      </w:pPr>
      <w:r w:rsidRPr="00DD594D">
        <w:t xml:space="preserve">The majority quotes with approval </w:t>
      </w:r>
      <w:r w:rsidRPr="00DD594D">
        <w:rPr>
          <w:i/>
        </w:rPr>
        <w:t xml:space="preserve">People v. Craine </w:t>
      </w:r>
      <w:r w:rsidRPr="00DD594D">
        <w:t>(2019) 35 Cal.App.5th 744, in which the court reasoned t</w:t>
      </w:r>
      <w:r w:rsidRPr="00DD594D">
        <w:t xml:space="preserve">hat </w:t>
      </w:r>
      <w:r w:rsidRPr="00DD594D">
        <w:rPr>
          <w:i/>
        </w:rPr>
        <w:t xml:space="preserve">Estrada </w:t>
      </w:r>
      <w:r w:rsidRPr="00DD594D">
        <w:t>does not apply to Penal Code section 1001.36 because the “[s]econdary goals of judicial economy and fiscal savings would actually be thwarted by attempting to apply the statute to defendants who have begun serving their sentences.”  (</w:t>
      </w:r>
      <w:r w:rsidRPr="00DD594D">
        <w:rPr>
          <w:i/>
        </w:rPr>
        <w:t>Craine</w:t>
      </w:r>
      <w:r w:rsidRPr="00DD594D">
        <w:t>, at</w:t>
      </w:r>
      <w:r w:rsidRPr="00DD594D">
        <w:t xml:space="preserve"> p. 750.)  The “secondary goals” of judicial economy and fiscal savings derive from statements in legislative committee reports for both the original enactment and later amendment of Penal Code section 1001.36.  (E.g., Sen. Rules Com., Office of Sen. Floor</w:t>
      </w:r>
      <w:r w:rsidRPr="00DD594D">
        <w:t xml:space="preserve"> Analyses, Rep. on Sen. Bill No. 215 (2017-2018 Reg. Sess.) as amended Aug. 23, 2018.)  But the same goals and the same legislative history materials support application of the </w:t>
      </w:r>
      <w:r w:rsidRPr="00DD594D">
        <w:rPr>
          <w:i/>
        </w:rPr>
        <w:t xml:space="preserve">Estrada </w:t>
      </w:r>
      <w:r w:rsidRPr="00DD594D">
        <w:t>rule.  A Senate Rules Committee report states that “while community bas</w:t>
      </w:r>
      <w:r w:rsidRPr="00DD594D">
        <w:t>ed treatment for a mentally ill defendant costs roughly $20,000 per year (and greatly reduces recidivism), jailing that same defendant (with a greater risk of recidivism) costs the community more than $75,000 a year.”  (Sen. Rules Com., Office of Sen. Floo</w:t>
      </w:r>
      <w:r w:rsidRPr="00DD594D">
        <w:t>r Analyses, Rep. on Sen. Bill No. 215 (2017-2018 Reg. Sess.) as amended Aug. 23, 2018, p. 2.)  Assuming the figures’ accuracy for purposes of discussion, diverting all qualified individuals with nonfinal judgments would save tens of thousands of dollars pe</w:t>
      </w:r>
      <w:r w:rsidRPr="00DD594D">
        <w:t xml:space="preserve">r person per year.  Those savings would more than offset the costs of conducting Penal Code section 1001.36 eligibility hearings for a presumably modest number of defendants having both a qualifying mental health diagnosis and a nonfinal judgment.  </w:t>
      </w:r>
    </w:p>
    <w:p w:rsidR="00B22F02" w:rsidRPr="00DD594D" w:rsidRDefault="005300CC" w:rsidP="00B22F02">
      <w:pPr>
        <w:ind w:left="115" w:right="288" w:firstLine="734"/>
      </w:pPr>
      <w:r w:rsidRPr="00DD594D">
        <w:t>The ma</w:t>
      </w:r>
      <w:r w:rsidRPr="00DD594D">
        <w:t>jority also finds an intent for prospective application in the structure of the new law, noting that diversion hearings are designed to occur before trial.  But the Supreme Court has rejected the same structural argument in the conte</w:t>
      </w:r>
      <w:r>
        <w:t>xt</w:t>
      </w:r>
      <w:r w:rsidRPr="00DD594D">
        <w:t xml:space="preserve"> of The Public Safety</w:t>
      </w:r>
      <w:r w:rsidRPr="00DD594D">
        <w:t xml:space="preserve"> and Rehabilitation Act of 2016</w:t>
      </w:r>
      <w:r>
        <w:t xml:space="preserve"> (Proposition 57</w:t>
      </w:r>
      <w:r w:rsidRPr="00DD594D">
        <w:t>), the voter initiative which eliminated the direct filing of criminal charges against juveniles in adult court in favor of transfer hearings in juvenile court.  (</w:t>
      </w:r>
      <w:r w:rsidRPr="00DD594D">
        <w:rPr>
          <w:i/>
        </w:rPr>
        <w:t>People v. Superior Court (Lara)</w:t>
      </w:r>
      <w:r w:rsidRPr="00DD594D">
        <w:t xml:space="preserve"> (2018) 4 Cal.5</w:t>
      </w:r>
      <w:r w:rsidRPr="00DD594D">
        <w:t xml:space="preserve">th 299.)  The </w:t>
      </w:r>
      <w:r w:rsidRPr="00DD594D">
        <w:rPr>
          <w:i/>
        </w:rPr>
        <w:t>Lara</w:t>
      </w:r>
      <w:r w:rsidRPr="00DD594D">
        <w:t xml:space="preserve"> court applied </w:t>
      </w:r>
      <w:r w:rsidRPr="00DD594D">
        <w:rPr>
          <w:i/>
        </w:rPr>
        <w:t>Estrada’s</w:t>
      </w:r>
      <w:r w:rsidRPr="00DD594D">
        <w:t xml:space="preserve"> presumption of retroactivity to Proposition 57, even though that will return all qualifying nonfinal convictions to juvenile courts for transfer hearings that are similarly designed to occur before trial.  If the </w:t>
      </w:r>
      <w:r w:rsidRPr="00DD594D">
        <w:t xml:space="preserve">pretrial nature of that ameliorative change did not foreclose retroactivity, I do not see how an analogous structure could do so here.  I agree with the reasoning of </w:t>
      </w:r>
      <w:r w:rsidRPr="00DD594D">
        <w:rPr>
          <w:i/>
        </w:rPr>
        <w:t xml:space="preserve">Frahs </w:t>
      </w:r>
      <w:r w:rsidRPr="00DD594D">
        <w:t xml:space="preserve">and </w:t>
      </w:r>
      <w:r w:rsidRPr="00DD594D">
        <w:rPr>
          <w:i/>
        </w:rPr>
        <w:t>People v. Burns</w:t>
      </w:r>
      <w:r w:rsidRPr="00DD594D">
        <w:t xml:space="preserve"> (2019) 38 Cal.App.5th 776, 787</w:t>
      </w:r>
      <w:r>
        <w:t>,</w:t>
      </w:r>
      <w:r w:rsidRPr="00DD594D">
        <w:t xml:space="preserve"> that the pretrial timing inheren</w:t>
      </w:r>
      <w:r w:rsidRPr="00DD594D">
        <w:t>t in both Proposition 57 and Penal Code section 1001.36 simply reflects how those provisions will ordinarily operate and should not be interpreted as a bar to retroactivity.</w:t>
      </w:r>
    </w:p>
    <w:p w:rsidR="00B22F02" w:rsidRPr="00DD594D" w:rsidRDefault="005300CC" w:rsidP="00B22F02">
      <w:pPr>
        <w:keepNext/>
        <w:ind w:left="116" w:right="284" w:firstLine="735"/>
      </w:pPr>
      <w:r w:rsidRPr="00DD594D">
        <w:t>I see no clear signal of legislative intent to limit the ameliorative change in Pe</w:t>
      </w:r>
      <w:r w:rsidRPr="00DD594D">
        <w:t>nal Code section 1001.36 to prospective application.  I would conditionally reverse the judgment and direct the trial court to hold a hearing to determine whether defendant is entitled to receive the benefit of mental health diversion.</w:t>
      </w:r>
    </w:p>
    <w:p w:rsidR="00B22F02" w:rsidRPr="00DD594D" w:rsidRDefault="005300CC" w:rsidP="00B22F02">
      <w:pPr>
        <w:pStyle w:val="BodyText"/>
        <w:widowControl/>
        <w:spacing w:line="480" w:lineRule="atLeast"/>
        <w:rPr>
          <w:noProof/>
          <w:sz w:val="26"/>
          <w:szCs w:val="26"/>
        </w:rPr>
      </w:pPr>
    </w:p>
    <w:p w:rsidR="00B22F02" w:rsidRPr="00DD594D" w:rsidRDefault="005300CC" w:rsidP="00B22F02">
      <w:pPr>
        <w:pStyle w:val="BodyText"/>
        <w:widowControl/>
        <w:spacing w:line="480" w:lineRule="atLeast"/>
        <w:rPr>
          <w:sz w:val="26"/>
          <w:szCs w:val="26"/>
        </w:rPr>
      </w:pPr>
    </w:p>
    <w:p w:rsidR="00B22F02" w:rsidRPr="00DD594D" w:rsidRDefault="005300CC" w:rsidP="00B22F02">
      <w:pPr>
        <w:pStyle w:val="BodyText"/>
        <w:widowControl/>
        <w:spacing w:line="480" w:lineRule="atLeast"/>
        <w:rPr>
          <w:sz w:val="26"/>
          <w:szCs w:val="26"/>
        </w:rPr>
      </w:pPr>
      <w:r w:rsidRPr="00DD594D">
        <w:rPr>
          <w:sz w:val="26"/>
          <w:szCs w:val="26"/>
        </w:rPr>
        <w:tab/>
      </w:r>
      <w:r w:rsidRPr="00DD594D">
        <w:rPr>
          <w:sz w:val="26"/>
          <w:szCs w:val="26"/>
        </w:rPr>
        <w:tab/>
      </w:r>
      <w:r w:rsidRPr="00DD594D">
        <w:rPr>
          <w:sz w:val="26"/>
          <w:szCs w:val="26"/>
        </w:rPr>
        <w:tab/>
      </w:r>
      <w:r w:rsidRPr="00DD594D">
        <w:rPr>
          <w:sz w:val="26"/>
          <w:szCs w:val="26"/>
        </w:rPr>
        <w:tab/>
      </w:r>
      <w:r w:rsidRPr="00DD594D">
        <w:rPr>
          <w:sz w:val="26"/>
          <w:szCs w:val="26"/>
        </w:rPr>
        <w:tab/>
      </w:r>
      <w:r w:rsidRPr="00DD594D">
        <w:rPr>
          <w:sz w:val="26"/>
          <w:szCs w:val="26"/>
        </w:rPr>
        <w:tab/>
        <w:t>____________</w:t>
      </w:r>
      <w:r w:rsidRPr="00DD594D">
        <w:rPr>
          <w:sz w:val="26"/>
          <w:szCs w:val="26"/>
        </w:rPr>
        <w:t>_______________________</w:t>
      </w:r>
    </w:p>
    <w:p w:rsidR="00B22F02" w:rsidRPr="00DD594D" w:rsidRDefault="005300CC" w:rsidP="00B22F02">
      <w:pPr>
        <w:pStyle w:val="BodyText"/>
        <w:widowControl/>
        <w:spacing w:line="480" w:lineRule="atLeast"/>
        <w:rPr>
          <w:sz w:val="26"/>
          <w:szCs w:val="26"/>
        </w:rPr>
      </w:pPr>
      <w:r w:rsidRPr="00DD594D">
        <w:rPr>
          <w:sz w:val="26"/>
          <w:szCs w:val="26"/>
        </w:rPr>
        <w:tab/>
      </w:r>
      <w:r w:rsidRPr="00DD594D">
        <w:rPr>
          <w:sz w:val="26"/>
          <w:szCs w:val="26"/>
        </w:rPr>
        <w:tab/>
      </w:r>
      <w:r w:rsidRPr="00DD594D">
        <w:rPr>
          <w:sz w:val="26"/>
          <w:szCs w:val="26"/>
        </w:rPr>
        <w:tab/>
      </w:r>
      <w:r w:rsidRPr="00DD594D">
        <w:rPr>
          <w:sz w:val="26"/>
          <w:szCs w:val="26"/>
        </w:rPr>
        <w:tab/>
      </w:r>
      <w:r w:rsidRPr="00DD594D">
        <w:rPr>
          <w:sz w:val="26"/>
          <w:szCs w:val="26"/>
        </w:rPr>
        <w:tab/>
      </w:r>
      <w:r w:rsidRPr="00DD594D">
        <w:rPr>
          <w:sz w:val="26"/>
          <w:szCs w:val="26"/>
        </w:rPr>
        <w:tab/>
        <w:t xml:space="preserve">GROVER, J. </w:t>
      </w:r>
    </w:p>
    <w:p w:rsidR="00B22F02" w:rsidRPr="00DD594D" w:rsidRDefault="005300CC" w:rsidP="00B22F02">
      <w:pPr>
        <w:pStyle w:val="BodyText"/>
        <w:widowControl/>
        <w:spacing w:before="6" w:line="480" w:lineRule="atLeast"/>
        <w:rPr>
          <w:sz w:val="26"/>
          <w:szCs w:val="26"/>
        </w:rPr>
      </w:pPr>
    </w:p>
    <w:p w:rsidR="00B22F02" w:rsidRPr="00DD594D" w:rsidRDefault="005300CC" w:rsidP="00B22F02">
      <w:pPr>
        <w:pStyle w:val="Heading1"/>
        <w:widowControl/>
        <w:spacing w:before="4" w:line="480" w:lineRule="atLeast"/>
        <w:ind w:left="106"/>
        <w:rPr>
          <w:b/>
          <w:sz w:val="26"/>
          <w:szCs w:val="26"/>
        </w:rPr>
      </w:pPr>
    </w:p>
    <w:p w:rsidR="00B22F02" w:rsidRPr="00DD594D" w:rsidRDefault="005300CC" w:rsidP="00B22F02">
      <w:pPr>
        <w:pStyle w:val="Heading1"/>
        <w:widowControl/>
        <w:spacing w:before="4" w:line="480" w:lineRule="atLeast"/>
        <w:ind w:left="106"/>
        <w:rPr>
          <w:b/>
          <w:sz w:val="26"/>
          <w:szCs w:val="26"/>
        </w:rPr>
      </w:pPr>
    </w:p>
    <w:p w:rsidR="00B22F02" w:rsidRPr="00DD594D" w:rsidRDefault="005300CC" w:rsidP="00B22F02">
      <w:pPr>
        <w:pStyle w:val="Heading1"/>
        <w:widowControl/>
        <w:spacing w:before="4" w:line="480" w:lineRule="atLeast"/>
        <w:ind w:left="106"/>
        <w:rPr>
          <w:b/>
          <w:sz w:val="26"/>
          <w:szCs w:val="26"/>
        </w:rPr>
      </w:pPr>
    </w:p>
    <w:p w:rsidR="00B22F02" w:rsidRPr="00DD594D" w:rsidRDefault="005300CC" w:rsidP="00B22F02">
      <w:pPr>
        <w:pStyle w:val="Heading1"/>
        <w:widowControl/>
        <w:spacing w:before="4" w:line="480" w:lineRule="atLeast"/>
        <w:ind w:left="106"/>
        <w:rPr>
          <w:b/>
          <w:sz w:val="26"/>
          <w:szCs w:val="26"/>
        </w:rPr>
      </w:pPr>
    </w:p>
    <w:p w:rsidR="00B22F02" w:rsidRPr="00DD594D" w:rsidRDefault="005300CC" w:rsidP="00B22F02">
      <w:pPr>
        <w:pStyle w:val="Heading1"/>
        <w:widowControl/>
        <w:spacing w:before="4" w:line="480" w:lineRule="atLeast"/>
        <w:ind w:left="106"/>
        <w:rPr>
          <w:b/>
          <w:sz w:val="26"/>
          <w:szCs w:val="26"/>
        </w:rPr>
      </w:pPr>
    </w:p>
    <w:p w:rsidR="00113567" w:rsidRDefault="005300CC" w:rsidP="00B22F02">
      <w:pPr>
        <w:pStyle w:val="Heading1"/>
        <w:spacing w:before="4" w:line="480" w:lineRule="atLeast"/>
        <w:ind w:left="106"/>
        <w:rPr>
          <w:b/>
          <w:i/>
          <w:sz w:val="26"/>
          <w:szCs w:val="26"/>
        </w:rPr>
        <w:sectPr w:rsidR="00113567" w:rsidSect="00CD17C5">
          <w:pgSz w:w="12240" w:h="15840"/>
          <w:pgMar w:top="1440" w:right="1440" w:bottom="1440" w:left="1440" w:header="720" w:footer="720" w:gutter="0"/>
          <w:pgNumType w:start="1"/>
          <w:cols w:space="720"/>
          <w:docGrid w:linePitch="360"/>
        </w:sectPr>
      </w:pPr>
      <w:r w:rsidRPr="00FA06A4">
        <w:rPr>
          <w:b/>
          <w:sz w:val="26"/>
          <w:szCs w:val="26"/>
        </w:rPr>
        <w:t>H045524 - </w:t>
      </w:r>
      <w:r w:rsidRPr="00FA06A4">
        <w:rPr>
          <w:b/>
          <w:i/>
          <w:sz w:val="26"/>
          <w:szCs w:val="26"/>
        </w:rPr>
        <w:t>The People v. Khan</w:t>
      </w:r>
    </w:p>
    <w:tbl>
      <w:tblPr>
        <w:tblpPr w:leftFromText="180" w:rightFromText="180" w:vertAnchor="text" w:horzAnchor="margin" w:tblpY="-39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4918"/>
      </w:tblGrid>
      <w:tr w:rsidR="00890F0D" w:rsidTr="004865C7">
        <w:tc>
          <w:tcPr>
            <w:tcW w:w="4658" w:type="dxa"/>
          </w:tcPr>
          <w:p w:rsidR="00113567" w:rsidRDefault="005300CC" w:rsidP="004865C7">
            <w:pPr>
              <w:spacing w:line="240" w:lineRule="atLeast"/>
              <w:ind w:right="430"/>
            </w:pPr>
            <w:r w:rsidRPr="000F2FE9">
              <w:t>Trial Court:</w:t>
            </w:r>
          </w:p>
          <w:p w:rsidR="00633DF3" w:rsidRPr="000F2FE9" w:rsidRDefault="005300CC" w:rsidP="004865C7">
            <w:pPr>
              <w:spacing w:line="240" w:lineRule="atLeast"/>
              <w:ind w:right="430"/>
            </w:pPr>
          </w:p>
          <w:p w:rsidR="00113567" w:rsidRPr="000F2FE9" w:rsidRDefault="005300CC" w:rsidP="004865C7">
            <w:pPr>
              <w:spacing w:line="240" w:lineRule="atLeast"/>
              <w:ind w:right="430"/>
            </w:pPr>
          </w:p>
        </w:tc>
        <w:tc>
          <w:tcPr>
            <w:tcW w:w="4918" w:type="dxa"/>
          </w:tcPr>
          <w:p w:rsidR="00113567" w:rsidRPr="000F2FE9" w:rsidRDefault="005300CC" w:rsidP="004865C7">
            <w:pPr>
              <w:spacing w:line="240" w:lineRule="atLeast"/>
              <w:ind w:right="430"/>
            </w:pPr>
            <w:r>
              <w:rPr>
                <w:rStyle w:val="right"/>
              </w:rPr>
              <w:t>Santa Clara</w:t>
            </w:r>
            <w:r w:rsidRPr="000F2FE9">
              <w:t xml:space="preserve"> County Superior Court</w:t>
            </w:r>
          </w:p>
          <w:p w:rsidR="00113567" w:rsidRPr="000F2FE9" w:rsidRDefault="005300CC" w:rsidP="004865C7">
            <w:pPr>
              <w:spacing w:line="240" w:lineRule="atLeast"/>
              <w:ind w:right="430"/>
            </w:pPr>
            <w:r w:rsidRPr="000F2FE9">
              <w:t xml:space="preserve">Superior Court No. </w:t>
            </w:r>
            <w:r>
              <w:rPr>
                <w:rStyle w:val="right"/>
              </w:rPr>
              <w:t>B1683806</w:t>
            </w:r>
          </w:p>
        </w:tc>
      </w:tr>
      <w:tr w:rsidR="00890F0D" w:rsidTr="004865C7">
        <w:tc>
          <w:tcPr>
            <w:tcW w:w="4658" w:type="dxa"/>
          </w:tcPr>
          <w:p w:rsidR="00113567" w:rsidRPr="000F2FE9" w:rsidRDefault="005300CC" w:rsidP="004865C7">
            <w:pPr>
              <w:spacing w:line="240" w:lineRule="atLeast"/>
              <w:ind w:right="430"/>
            </w:pPr>
            <w:r w:rsidRPr="000F2FE9">
              <w:t>Trial Judge:</w:t>
            </w:r>
          </w:p>
          <w:p w:rsidR="00113567" w:rsidRPr="000F2FE9" w:rsidRDefault="005300CC" w:rsidP="004865C7">
            <w:pPr>
              <w:spacing w:line="240" w:lineRule="atLeast"/>
              <w:ind w:right="430"/>
            </w:pPr>
          </w:p>
        </w:tc>
        <w:tc>
          <w:tcPr>
            <w:tcW w:w="4918" w:type="dxa"/>
          </w:tcPr>
          <w:p w:rsidR="00113567" w:rsidRPr="000F2FE9" w:rsidRDefault="005300CC" w:rsidP="00633DF3">
            <w:pPr>
              <w:spacing w:line="240" w:lineRule="atLeast"/>
              <w:ind w:right="430"/>
            </w:pPr>
            <w:r w:rsidRPr="000F2FE9">
              <w:t xml:space="preserve">Hon. </w:t>
            </w:r>
            <w:r>
              <w:t>Vincent J</w:t>
            </w:r>
            <w:r w:rsidRPr="000F2FE9">
              <w:t>. C</w:t>
            </w:r>
            <w:r>
              <w:t>hiarello</w:t>
            </w:r>
          </w:p>
        </w:tc>
      </w:tr>
      <w:tr w:rsidR="00890F0D" w:rsidTr="004865C7">
        <w:tc>
          <w:tcPr>
            <w:tcW w:w="4658" w:type="dxa"/>
          </w:tcPr>
          <w:p w:rsidR="00113567" w:rsidRPr="000F2FE9" w:rsidRDefault="005300CC" w:rsidP="004865C7">
            <w:pPr>
              <w:spacing w:line="240" w:lineRule="atLeast"/>
              <w:ind w:right="430"/>
            </w:pPr>
            <w:r w:rsidRPr="000F2FE9">
              <w:t>Counsel for P</w:t>
            </w:r>
            <w:r>
              <w:t>laintiff and Respondent</w:t>
            </w:r>
            <w:r w:rsidRPr="000F2FE9">
              <w:t>:</w:t>
            </w:r>
          </w:p>
          <w:p w:rsidR="00113567" w:rsidRPr="000F2FE9" w:rsidRDefault="005300CC" w:rsidP="004865C7">
            <w:pPr>
              <w:spacing w:line="240" w:lineRule="atLeast"/>
              <w:ind w:right="430"/>
            </w:pPr>
            <w:r>
              <w:t xml:space="preserve">THE </w:t>
            </w:r>
            <w:r>
              <w:t>PEOPLE</w:t>
            </w:r>
            <w:r w:rsidRPr="000F2FE9">
              <w:t xml:space="preserve"> </w:t>
            </w:r>
          </w:p>
        </w:tc>
        <w:tc>
          <w:tcPr>
            <w:tcW w:w="4918" w:type="dxa"/>
          </w:tcPr>
          <w:p w:rsidR="00825524" w:rsidRDefault="005300CC" w:rsidP="00825524">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r>
              <w:t>Xavier Becerra</w:t>
            </w:r>
          </w:p>
          <w:p w:rsidR="00825524" w:rsidRDefault="005300CC" w:rsidP="00825524">
            <w:pPr>
              <w:widowControl w:val="0"/>
              <w:tabs>
                <w:tab w:val="left" w:pos="1440"/>
                <w:tab w:val="left" w:pos="2880"/>
                <w:tab w:val="left" w:pos="4320"/>
                <w:tab w:val="left" w:pos="5760"/>
                <w:tab w:val="left" w:pos="7200"/>
                <w:tab w:val="left" w:pos="8640"/>
              </w:tabs>
              <w:autoSpaceDE w:val="0"/>
              <w:autoSpaceDN w:val="0"/>
              <w:adjustRightInd w:val="0"/>
              <w:spacing w:line="240" w:lineRule="auto"/>
            </w:pPr>
            <w:r>
              <w:t>Attorney General</w:t>
            </w:r>
          </w:p>
          <w:p w:rsidR="00825524" w:rsidRDefault="005300CC" w:rsidP="00825524">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rPr>
            </w:pPr>
          </w:p>
          <w:p w:rsidR="00825524" w:rsidRDefault="005300CC" w:rsidP="00825524">
            <w:pPr>
              <w:spacing w:line="240" w:lineRule="auto"/>
            </w:pPr>
            <w:r>
              <w:t>Gerald A. Engler</w:t>
            </w:r>
          </w:p>
          <w:p w:rsidR="00825524" w:rsidRDefault="005300CC" w:rsidP="00825524">
            <w:pPr>
              <w:spacing w:line="240" w:lineRule="auto"/>
            </w:pPr>
            <w:r>
              <w:t>Chief Assistant Attorney General</w:t>
            </w:r>
          </w:p>
          <w:p w:rsidR="00825524" w:rsidRDefault="005300CC" w:rsidP="00825524">
            <w:pPr>
              <w:spacing w:line="240" w:lineRule="auto"/>
            </w:pPr>
          </w:p>
          <w:p w:rsidR="00825524" w:rsidRDefault="005300CC" w:rsidP="00825524">
            <w:pPr>
              <w:spacing w:line="240" w:lineRule="auto"/>
            </w:pPr>
            <w:r>
              <w:t>Jeffrey M. Laurence</w:t>
            </w:r>
          </w:p>
          <w:p w:rsidR="00825524" w:rsidRDefault="005300CC" w:rsidP="00825524">
            <w:pPr>
              <w:spacing w:line="240" w:lineRule="auto"/>
            </w:pPr>
            <w:r>
              <w:t>Senior Assistant Attorney General</w:t>
            </w:r>
          </w:p>
          <w:p w:rsidR="00825524" w:rsidRDefault="005300CC" w:rsidP="00825524">
            <w:pPr>
              <w:spacing w:line="240" w:lineRule="auto"/>
            </w:pPr>
          </w:p>
          <w:p w:rsidR="00825524" w:rsidRDefault="005300CC" w:rsidP="00825524">
            <w:pPr>
              <w:spacing w:line="240" w:lineRule="auto"/>
            </w:pPr>
            <w:r>
              <w:t>René A. Chacón</w:t>
            </w:r>
          </w:p>
          <w:p w:rsidR="00825524" w:rsidRDefault="005300CC" w:rsidP="00825524">
            <w:pPr>
              <w:spacing w:line="240" w:lineRule="auto"/>
            </w:pPr>
            <w:r>
              <w:t>Supervising Deputy Attorney General</w:t>
            </w:r>
          </w:p>
          <w:p w:rsidR="00825524" w:rsidRDefault="005300CC" w:rsidP="00825524">
            <w:pPr>
              <w:spacing w:line="240" w:lineRule="auto"/>
            </w:pPr>
          </w:p>
          <w:p w:rsidR="00825524" w:rsidRDefault="005300CC" w:rsidP="00825524">
            <w:pPr>
              <w:spacing w:line="240" w:lineRule="auto"/>
            </w:pPr>
            <w:r>
              <w:t>Bruce Ortega</w:t>
            </w:r>
          </w:p>
          <w:p w:rsidR="00825524" w:rsidRDefault="005300CC" w:rsidP="00825524">
            <w:pPr>
              <w:spacing w:line="240" w:lineRule="auto"/>
            </w:pPr>
            <w:r>
              <w:t>Deputy Attorney General</w:t>
            </w:r>
          </w:p>
          <w:p w:rsidR="00113567" w:rsidRPr="000F2FE9" w:rsidRDefault="005300CC" w:rsidP="004865C7">
            <w:pPr>
              <w:spacing w:line="240" w:lineRule="atLeast"/>
              <w:ind w:right="430"/>
            </w:pPr>
          </w:p>
        </w:tc>
      </w:tr>
      <w:tr w:rsidR="00890F0D" w:rsidTr="004865C7">
        <w:tc>
          <w:tcPr>
            <w:tcW w:w="4658" w:type="dxa"/>
          </w:tcPr>
          <w:p w:rsidR="00633DF3" w:rsidRDefault="005300CC" w:rsidP="004865C7">
            <w:pPr>
              <w:spacing w:line="240" w:lineRule="atLeast"/>
              <w:ind w:right="430"/>
            </w:pPr>
            <w:r>
              <w:t xml:space="preserve">Counsel for </w:t>
            </w:r>
            <w:r>
              <w:t>Defendant and Appellant:</w:t>
            </w:r>
          </w:p>
          <w:p w:rsidR="00113567" w:rsidRDefault="005300CC" w:rsidP="004865C7">
            <w:pPr>
              <w:spacing w:line="240" w:lineRule="atLeast"/>
              <w:ind w:right="430"/>
              <w:rPr>
                <w:caps/>
              </w:rPr>
            </w:pPr>
            <w:r>
              <w:rPr>
                <w:caps/>
              </w:rPr>
              <w:t>MUHAMMAD KHAN</w:t>
            </w:r>
          </w:p>
          <w:p w:rsidR="00113567" w:rsidRPr="000F2FE9" w:rsidRDefault="005300CC" w:rsidP="004865C7">
            <w:pPr>
              <w:spacing w:line="240" w:lineRule="atLeast"/>
              <w:ind w:right="430"/>
            </w:pPr>
          </w:p>
        </w:tc>
        <w:tc>
          <w:tcPr>
            <w:tcW w:w="4918" w:type="dxa"/>
          </w:tcPr>
          <w:p w:rsidR="00113567" w:rsidRDefault="005300CC" w:rsidP="004865C7">
            <w:pPr>
              <w:widowControl w:val="0"/>
              <w:tabs>
                <w:tab w:val="left" w:pos="1440"/>
                <w:tab w:val="left" w:pos="2880"/>
                <w:tab w:val="left" w:pos="4320"/>
                <w:tab w:val="left" w:pos="5760"/>
                <w:tab w:val="left" w:pos="7200"/>
                <w:tab w:val="left" w:pos="8640"/>
              </w:tabs>
              <w:autoSpaceDE w:val="0"/>
              <w:autoSpaceDN w:val="0"/>
              <w:adjustRightInd w:val="0"/>
              <w:spacing w:line="240" w:lineRule="auto"/>
            </w:pPr>
            <w:r>
              <w:t>Jared G. Coleman</w:t>
            </w:r>
          </w:p>
          <w:p w:rsidR="00333181" w:rsidRPr="000F2FE9" w:rsidRDefault="005300CC" w:rsidP="004865C7">
            <w:pPr>
              <w:widowControl w:val="0"/>
              <w:tabs>
                <w:tab w:val="left" w:pos="1440"/>
                <w:tab w:val="left" w:pos="2880"/>
                <w:tab w:val="left" w:pos="4320"/>
                <w:tab w:val="left" w:pos="5760"/>
                <w:tab w:val="left" w:pos="7200"/>
                <w:tab w:val="left" w:pos="8640"/>
              </w:tabs>
              <w:autoSpaceDE w:val="0"/>
              <w:autoSpaceDN w:val="0"/>
              <w:adjustRightInd w:val="0"/>
              <w:spacing w:line="240" w:lineRule="auto"/>
            </w:pPr>
            <w:r>
              <w:t>Sixth District Appellate Program</w:t>
            </w:r>
          </w:p>
        </w:tc>
      </w:tr>
    </w:tbl>
    <w:p w:rsidR="003D13C5" w:rsidRDefault="005300CC" w:rsidP="00825524">
      <w:pPr>
        <w:pStyle w:val="Heading1"/>
        <w:spacing w:before="4"/>
        <w:ind w:left="0"/>
        <w:rPr>
          <w:color w:val="000000"/>
        </w:rPr>
      </w:pPr>
    </w:p>
    <w:p w:rsidR="00825524" w:rsidRDefault="005300CC" w:rsidP="00825524">
      <w:pPr>
        <w:pStyle w:val="Heading1"/>
        <w:spacing w:before="4"/>
        <w:ind w:left="0"/>
        <w:rPr>
          <w:color w:val="000000"/>
        </w:rPr>
      </w:pPr>
    </w:p>
    <w:p w:rsidR="00825524" w:rsidRDefault="005300CC" w:rsidP="00825524">
      <w:pPr>
        <w:pStyle w:val="Heading1"/>
        <w:spacing w:before="4"/>
        <w:ind w:left="0"/>
        <w:rPr>
          <w:color w:val="000000"/>
        </w:rPr>
      </w:pPr>
    </w:p>
    <w:p w:rsidR="00825524" w:rsidRDefault="005300CC" w:rsidP="00825524">
      <w:pPr>
        <w:pStyle w:val="Heading1"/>
        <w:spacing w:before="4"/>
        <w:ind w:left="0"/>
        <w:rPr>
          <w:color w:val="000000"/>
        </w:rPr>
      </w:pPr>
    </w:p>
    <w:p w:rsidR="00825524" w:rsidRDefault="005300CC" w:rsidP="00825524">
      <w:pPr>
        <w:pStyle w:val="Heading1"/>
        <w:spacing w:before="4"/>
        <w:ind w:left="0"/>
        <w:rPr>
          <w:color w:val="000000"/>
        </w:rPr>
      </w:pPr>
    </w:p>
    <w:p w:rsidR="00825524" w:rsidRDefault="005300CC" w:rsidP="00825524">
      <w:pPr>
        <w:pStyle w:val="Heading1"/>
        <w:spacing w:before="4"/>
        <w:ind w:left="0"/>
        <w:rPr>
          <w:color w:val="000000"/>
        </w:rPr>
      </w:pPr>
    </w:p>
    <w:p w:rsidR="00825524" w:rsidRDefault="005300CC" w:rsidP="00825524">
      <w:pPr>
        <w:pStyle w:val="Heading1"/>
        <w:spacing w:before="4"/>
        <w:ind w:left="0"/>
        <w:rPr>
          <w:color w:val="000000"/>
        </w:rPr>
      </w:pPr>
    </w:p>
    <w:p w:rsidR="00825524" w:rsidRDefault="005300CC" w:rsidP="00825524">
      <w:pPr>
        <w:pStyle w:val="Heading1"/>
        <w:spacing w:before="4"/>
        <w:ind w:left="0"/>
        <w:rPr>
          <w:color w:val="000000"/>
        </w:rPr>
      </w:pPr>
    </w:p>
    <w:p w:rsidR="00825524" w:rsidRDefault="005300CC" w:rsidP="00825524">
      <w:pPr>
        <w:pStyle w:val="Heading1"/>
        <w:spacing w:before="4"/>
        <w:ind w:left="0"/>
        <w:rPr>
          <w:color w:val="000000"/>
        </w:rPr>
      </w:pPr>
    </w:p>
    <w:p w:rsidR="00825524" w:rsidRDefault="005300CC" w:rsidP="00825524">
      <w:pPr>
        <w:pStyle w:val="Heading1"/>
        <w:spacing w:before="4"/>
        <w:ind w:left="0"/>
        <w:rPr>
          <w:color w:val="000000"/>
        </w:rPr>
      </w:pPr>
    </w:p>
    <w:p w:rsidR="00825524" w:rsidRDefault="005300CC" w:rsidP="00825524">
      <w:pPr>
        <w:pStyle w:val="Heading1"/>
        <w:spacing w:before="4"/>
        <w:ind w:left="0"/>
        <w:rPr>
          <w:color w:val="000000"/>
        </w:rPr>
      </w:pPr>
    </w:p>
    <w:p w:rsidR="00825524" w:rsidRDefault="005300CC" w:rsidP="00825524">
      <w:pPr>
        <w:spacing w:line="240" w:lineRule="auto"/>
        <w:rPr>
          <w:bCs/>
          <w:i/>
          <w:iCs/>
        </w:rPr>
      </w:pPr>
    </w:p>
    <w:p w:rsidR="00825524" w:rsidRDefault="005300CC" w:rsidP="00825524">
      <w:pPr>
        <w:spacing w:line="240" w:lineRule="auto"/>
        <w:rPr>
          <w:bCs/>
          <w:i/>
          <w:iCs/>
        </w:rPr>
      </w:pPr>
    </w:p>
    <w:p w:rsidR="00825524" w:rsidRDefault="005300CC" w:rsidP="00825524">
      <w:pPr>
        <w:spacing w:line="240" w:lineRule="auto"/>
        <w:rPr>
          <w:bCs/>
          <w:i/>
          <w:iCs/>
        </w:rPr>
      </w:pPr>
    </w:p>
    <w:p w:rsidR="00825524" w:rsidRDefault="005300CC" w:rsidP="00825524">
      <w:pPr>
        <w:spacing w:line="240" w:lineRule="auto"/>
        <w:rPr>
          <w:bCs/>
          <w:i/>
          <w:iCs/>
        </w:rPr>
      </w:pPr>
    </w:p>
    <w:p w:rsidR="00825524" w:rsidRDefault="005300CC" w:rsidP="00825524">
      <w:pPr>
        <w:spacing w:line="240" w:lineRule="auto"/>
        <w:rPr>
          <w:bCs/>
          <w:i/>
          <w:iCs/>
        </w:rPr>
      </w:pPr>
    </w:p>
    <w:p w:rsidR="00633DF3" w:rsidRDefault="005300CC" w:rsidP="00825524">
      <w:pPr>
        <w:spacing w:line="240" w:lineRule="auto"/>
        <w:rPr>
          <w:bCs/>
          <w:i/>
          <w:iCs/>
        </w:rPr>
      </w:pPr>
    </w:p>
    <w:p w:rsidR="00633DF3" w:rsidRDefault="005300CC" w:rsidP="00825524">
      <w:pPr>
        <w:spacing w:line="240" w:lineRule="auto"/>
        <w:rPr>
          <w:bCs/>
          <w:i/>
          <w:iCs/>
        </w:rPr>
      </w:pPr>
    </w:p>
    <w:p w:rsidR="00633DF3" w:rsidRDefault="005300CC" w:rsidP="00825524">
      <w:pPr>
        <w:spacing w:line="240" w:lineRule="auto"/>
        <w:rPr>
          <w:bCs/>
          <w:i/>
          <w:iCs/>
        </w:rPr>
      </w:pPr>
    </w:p>
    <w:p w:rsidR="00825524" w:rsidRDefault="005300CC" w:rsidP="00825524">
      <w:pPr>
        <w:spacing w:line="240" w:lineRule="auto"/>
        <w:rPr>
          <w:bCs/>
          <w:i/>
          <w:iCs/>
        </w:rPr>
      </w:pPr>
      <w:r w:rsidRPr="007A5DFB">
        <w:rPr>
          <w:bCs/>
          <w:i/>
          <w:iCs/>
        </w:rPr>
        <w:t>People v</w:t>
      </w:r>
      <w:r w:rsidRPr="007A5DFB">
        <w:rPr>
          <w:bCs/>
          <w:iCs/>
        </w:rPr>
        <w:t xml:space="preserve">. </w:t>
      </w:r>
      <w:r>
        <w:rPr>
          <w:bCs/>
          <w:i/>
          <w:iCs/>
        </w:rPr>
        <w:t>Khan</w:t>
      </w:r>
    </w:p>
    <w:p w:rsidR="00825524" w:rsidRPr="00213925" w:rsidRDefault="005300CC" w:rsidP="00F74D34">
      <w:pPr>
        <w:pStyle w:val="Heading1"/>
        <w:spacing w:before="4"/>
        <w:ind w:left="0"/>
        <w:rPr>
          <w:color w:val="000000"/>
        </w:rPr>
      </w:pPr>
      <w:r>
        <w:rPr>
          <w:bCs/>
          <w:iCs/>
        </w:rPr>
        <w:t>H045524</w:t>
      </w:r>
    </w:p>
    <w:sectPr w:rsidR="00825524" w:rsidRPr="00213925" w:rsidSect="0011356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300CC">
      <w:pPr>
        <w:spacing w:line="240" w:lineRule="auto"/>
      </w:pPr>
      <w:r>
        <w:separator/>
      </w:r>
    </w:p>
  </w:endnote>
  <w:endnote w:type="continuationSeparator" w:id="0">
    <w:p w:rsidR="00000000" w:rsidRDefault="0053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702915"/>
      <w:docPartObj>
        <w:docPartGallery w:val="Page Numbers (Bottom of Page)"/>
        <w:docPartUnique/>
      </w:docPartObj>
    </w:sdtPr>
    <w:sdtEndPr>
      <w:rPr>
        <w:noProof/>
      </w:rPr>
    </w:sdtEndPr>
    <w:sdtContent>
      <w:p w:rsidR="00D57C1E" w:rsidRDefault="005300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974816"/>
      <w:docPartObj>
        <w:docPartGallery w:val="Page Numbers (Bottom of Page)"/>
        <w:docPartUnique/>
      </w:docPartObj>
    </w:sdtPr>
    <w:sdtEndPr>
      <w:rPr>
        <w:noProof/>
      </w:rPr>
    </w:sdtEndPr>
    <w:sdtContent>
      <w:p w:rsidR="00B22F02" w:rsidRDefault="005300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C1E" w:rsidRDefault="005300CC" w:rsidP="000F2C60">
      <w:pPr>
        <w:spacing w:line="240" w:lineRule="auto"/>
      </w:pPr>
      <w:r>
        <w:separator/>
      </w:r>
    </w:p>
  </w:footnote>
  <w:footnote w:type="continuationSeparator" w:id="0">
    <w:p w:rsidR="00D57C1E" w:rsidRDefault="005300CC" w:rsidP="000F2C60">
      <w:pPr>
        <w:spacing w:line="240" w:lineRule="auto"/>
      </w:pPr>
      <w:r>
        <w:continuationSeparator/>
      </w:r>
    </w:p>
  </w:footnote>
  <w:footnote w:id="1">
    <w:p w:rsidR="00D57C1E" w:rsidRPr="00A07AE7" w:rsidRDefault="005300CC" w:rsidP="00BB1143">
      <w:pPr>
        <w:pStyle w:val="FootnoteText"/>
        <w:ind w:firstLine="720"/>
        <w:rPr>
          <w:szCs w:val="26"/>
        </w:rPr>
      </w:pPr>
      <w:r w:rsidRPr="006A7ABD">
        <w:rPr>
          <w:rStyle w:val="FootnoteReference"/>
          <w:b/>
          <w:szCs w:val="26"/>
        </w:rPr>
        <w:footnoteRef/>
      </w:r>
      <w:r w:rsidRPr="00A07AE7">
        <w:rPr>
          <w:szCs w:val="26"/>
        </w:rPr>
        <w:t xml:space="preserve"> All further statutory references are to the Penal Code unless otherwise specified.</w:t>
      </w:r>
    </w:p>
  </w:footnote>
  <w:footnote w:id="2">
    <w:p w:rsidR="00D57C1E" w:rsidRDefault="005300CC" w:rsidP="00873A4E">
      <w:pPr>
        <w:pStyle w:val="FootnoteText"/>
      </w:pPr>
      <w:r>
        <w:tab/>
      </w:r>
      <w:r w:rsidRPr="00FC39C1">
        <w:rPr>
          <w:rStyle w:val="FootnoteReference"/>
          <w:b/>
        </w:rPr>
        <w:footnoteRef/>
      </w:r>
      <w:r>
        <w:t xml:space="preserve"> An exception applies to those persons suffering from “antisocial personality disorder, borderline personality disorder, and pedophilia,” and they are not eligible for </w:t>
      </w:r>
      <w:r>
        <w:rPr>
          <w:color w:val="000000"/>
        </w:rPr>
        <w:t>pr</w:t>
      </w:r>
      <w:r>
        <w:rPr>
          <w:color w:val="000000"/>
        </w:rPr>
        <w:t>etrial diversion for mental health treatment</w:t>
      </w:r>
      <w:r>
        <w:t>.  (§ 1001.36, subd. (b)(1)(A).)</w:t>
      </w:r>
    </w:p>
  </w:footnote>
  <w:footnote w:id="3">
    <w:p w:rsidR="00D57C1E" w:rsidRPr="00D932FF" w:rsidRDefault="005300CC" w:rsidP="00BB1143">
      <w:pPr>
        <w:shd w:val="clear" w:color="auto" w:fill="FFFFFF"/>
        <w:spacing w:line="240" w:lineRule="auto"/>
        <w:ind w:firstLine="720"/>
        <w:textAlignment w:val="baseline"/>
        <w:rPr>
          <w:color w:val="000000"/>
        </w:rPr>
      </w:pPr>
      <w:r w:rsidRPr="00FC39C1">
        <w:rPr>
          <w:rStyle w:val="FootnoteReference"/>
          <w:b/>
        </w:rPr>
        <w:footnoteRef/>
      </w:r>
      <w:r>
        <w:t xml:space="preserve"> </w:t>
      </w:r>
      <w:r>
        <w:rPr>
          <w:color w:val="000000"/>
        </w:rPr>
        <w:t xml:space="preserve">Section 1170.18, subdivision </w:t>
      </w:r>
      <w:r w:rsidRPr="003E5845">
        <w:rPr>
          <w:color w:val="000000"/>
        </w:rPr>
        <w:t>(c)</w:t>
      </w:r>
      <w:r>
        <w:rPr>
          <w:color w:val="000000"/>
        </w:rPr>
        <w:t xml:space="preserve">, defines the phrase </w:t>
      </w:r>
      <w:r w:rsidRPr="003E5845">
        <w:rPr>
          <w:color w:val="000000"/>
        </w:rPr>
        <w:t xml:space="preserve">“unreasonable risk of danger to public safety” </w:t>
      </w:r>
      <w:r>
        <w:rPr>
          <w:color w:val="000000"/>
        </w:rPr>
        <w:t xml:space="preserve">to </w:t>
      </w:r>
      <w:r w:rsidRPr="003E5845">
        <w:rPr>
          <w:color w:val="000000"/>
        </w:rPr>
        <w:t xml:space="preserve">mean </w:t>
      </w:r>
      <w:r>
        <w:rPr>
          <w:color w:val="000000"/>
        </w:rPr>
        <w:t>“</w:t>
      </w:r>
      <w:r w:rsidRPr="003E5845">
        <w:rPr>
          <w:color w:val="000000"/>
        </w:rPr>
        <w:t>an unreasonable risk that the petitioner will commit a new violent f</w:t>
      </w:r>
      <w:r w:rsidRPr="003E5845">
        <w:rPr>
          <w:color w:val="000000"/>
        </w:rPr>
        <w:t xml:space="preserve">elony within the meaning of clause (iv) of subparagraph (C) of paragraph (2) of subdivision (e) of </w:t>
      </w:r>
      <w:r>
        <w:rPr>
          <w:color w:val="000000"/>
        </w:rPr>
        <w:t>[s]</w:t>
      </w:r>
      <w:r w:rsidRPr="003E5845">
        <w:rPr>
          <w:color w:val="000000"/>
        </w:rPr>
        <w:t>ection 667.</w:t>
      </w:r>
      <w:r>
        <w:rPr>
          <w:color w:val="000000"/>
        </w:rPr>
        <w:t>”  Section 667, subdivision (e)(2)(</w:t>
      </w:r>
      <w:r w:rsidRPr="004469F7">
        <w:rPr>
          <w:color w:val="3D3D3D"/>
          <w:shd w:val="clear" w:color="auto" w:fill="FFFFFF"/>
        </w:rPr>
        <w:t>iv)</w:t>
      </w:r>
      <w:r>
        <w:rPr>
          <w:color w:val="000000"/>
        </w:rPr>
        <w:t>, states:  “</w:t>
      </w:r>
      <w:r w:rsidRPr="003E5845">
        <w:rPr>
          <w:color w:val="000000"/>
        </w:rPr>
        <w:t>The defendant suffered a prior serious or violent felony conviction</w:t>
      </w:r>
      <w:r>
        <w:rPr>
          <w:color w:val="000000"/>
        </w:rPr>
        <w:t> </w:t>
      </w:r>
      <w:r w:rsidRPr="003E5845">
        <w:rPr>
          <w:color w:val="000000"/>
        </w:rPr>
        <w:t>. . . for any of the foll</w:t>
      </w:r>
      <w:r w:rsidRPr="003E5845">
        <w:rPr>
          <w:color w:val="000000"/>
        </w:rPr>
        <w:t>owing felonies:</w:t>
      </w:r>
      <w:r>
        <w:rPr>
          <w:color w:val="000000"/>
        </w:rPr>
        <w:t xml:space="preserve">  </w:t>
      </w:r>
      <w:r w:rsidRPr="00D932FF">
        <w:rPr>
          <w:color w:val="000000"/>
        </w:rPr>
        <w:t>[¶]</w:t>
      </w:r>
      <w:r>
        <w:rPr>
          <w:color w:val="000000"/>
        </w:rPr>
        <w:t xml:space="preserve">  </w:t>
      </w:r>
      <w:r w:rsidRPr="003E5845">
        <w:rPr>
          <w:color w:val="000000"/>
        </w:rPr>
        <w:t xml:space="preserve">(I) A </w:t>
      </w:r>
      <w:r>
        <w:rPr>
          <w:color w:val="000000"/>
        </w:rPr>
        <w:t>‘</w:t>
      </w:r>
      <w:r w:rsidRPr="003E5845">
        <w:rPr>
          <w:color w:val="000000"/>
        </w:rPr>
        <w:t>sexually violent offense</w:t>
      </w:r>
      <w:r>
        <w:rPr>
          <w:color w:val="000000"/>
        </w:rPr>
        <w:t>’</w:t>
      </w:r>
      <w:r w:rsidRPr="003E5845">
        <w:rPr>
          <w:color w:val="000000"/>
        </w:rPr>
        <w:t xml:space="preserve"> as defined in subdivision (b) of </w:t>
      </w:r>
      <w:r>
        <w:rPr>
          <w:color w:val="000000"/>
        </w:rPr>
        <w:t>[s]</w:t>
      </w:r>
      <w:r w:rsidRPr="003E5845">
        <w:rPr>
          <w:color w:val="000000"/>
        </w:rPr>
        <w:t>ection 6600 of the Welfare and Institutions Code.</w:t>
      </w:r>
      <w:r>
        <w:rPr>
          <w:color w:val="000000"/>
        </w:rPr>
        <w:t xml:space="preserve">  </w:t>
      </w:r>
      <w:r w:rsidRPr="00D932FF">
        <w:rPr>
          <w:color w:val="000000"/>
        </w:rPr>
        <w:t>[¶]</w:t>
      </w:r>
      <w:r>
        <w:rPr>
          <w:color w:val="000000"/>
        </w:rPr>
        <w:t xml:space="preserve">  </w:t>
      </w:r>
      <w:r w:rsidRPr="003E5845">
        <w:rPr>
          <w:color w:val="000000"/>
        </w:rPr>
        <w:t>(II) Oral copulation with a child who is under 14 years of age, and who is more than 10 years younger than he</w:t>
      </w:r>
      <w:r w:rsidRPr="003E5845">
        <w:rPr>
          <w:color w:val="000000"/>
        </w:rPr>
        <w:t xml:space="preserve"> or she as defined by </w:t>
      </w:r>
      <w:r>
        <w:rPr>
          <w:color w:val="000000"/>
        </w:rPr>
        <w:t>[s]</w:t>
      </w:r>
      <w:r w:rsidRPr="003E5845">
        <w:rPr>
          <w:color w:val="000000"/>
        </w:rPr>
        <w:t xml:space="preserve">ection 288a, sodomy with another person who is under 14 years of age and more than 10 years younger than he or she as defined by </w:t>
      </w:r>
      <w:r>
        <w:rPr>
          <w:color w:val="000000"/>
        </w:rPr>
        <w:t>[s]</w:t>
      </w:r>
      <w:r w:rsidRPr="003E5845">
        <w:rPr>
          <w:color w:val="000000"/>
        </w:rPr>
        <w:t xml:space="preserve">ection 286, or sexual penetration with another person who is under 14 years of age, and who is more than 10 years younger than he or she, as defined by </w:t>
      </w:r>
      <w:r>
        <w:rPr>
          <w:color w:val="000000"/>
        </w:rPr>
        <w:t>[s]</w:t>
      </w:r>
      <w:r w:rsidRPr="003E5845">
        <w:rPr>
          <w:color w:val="000000"/>
        </w:rPr>
        <w:t>ection 289.</w:t>
      </w:r>
      <w:r>
        <w:rPr>
          <w:color w:val="000000"/>
        </w:rPr>
        <w:t xml:space="preserve">  </w:t>
      </w:r>
      <w:r w:rsidRPr="00D932FF">
        <w:rPr>
          <w:color w:val="000000"/>
        </w:rPr>
        <w:t>[¶]</w:t>
      </w:r>
      <w:r>
        <w:rPr>
          <w:color w:val="000000"/>
        </w:rPr>
        <w:t xml:space="preserve">  </w:t>
      </w:r>
      <w:r w:rsidRPr="003E5845">
        <w:rPr>
          <w:color w:val="000000"/>
        </w:rPr>
        <w:t>(III) A lewd or lascivious act involving a child under 14 years of age, in violatio</w:t>
      </w:r>
      <w:r w:rsidRPr="003E5845">
        <w:rPr>
          <w:color w:val="000000"/>
        </w:rPr>
        <w:t xml:space="preserve">n of </w:t>
      </w:r>
      <w:r>
        <w:rPr>
          <w:color w:val="000000"/>
        </w:rPr>
        <w:t>[s]</w:t>
      </w:r>
      <w:r w:rsidRPr="003E5845">
        <w:rPr>
          <w:color w:val="000000"/>
        </w:rPr>
        <w:t>ection 288.</w:t>
      </w:r>
      <w:r>
        <w:rPr>
          <w:color w:val="000000"/>
        </w:rPr>
        <w:t xml:space="preserve">  </w:t>
      </w:r>
      <w:r w:rsidRPr="00D932FF">
        <w:rPr>
          <w:color w:val="000000"/>
        </w:rPr>
        <w:t>[¶]</w:t>
      </w:r>
      <w:r>
        <w:rPr>
          <w:color w:val="000000"/>
        </w:rPr>
        <w:t xml:space="preserve">  </w:t>
      </w:r>
      <w:r w:rsidRPr="003E5845">
        <w:rPr>
          <w:color w:val="000000"/>
        </w:rPr>
        <w:t xml:space="preserve">(IV) Any homicide offense, including any attempted homicide offense, defined in </w:t>
      </w:r>
      <w:r>
        <w:rPr>
          <w:color w:val="000000"/>
        </w:rPr>
        <w:t>[s]</w:t>
      </w:r>
      <w:r w:rsidRPr="003E5845">
        <w:rPr>
          <w:color w:val="000000"/>
        </w:rPr>
        <w:t>ections 187 to 191.5, inclusive.</w:t>
      </w:r>
      <w:r>
        <w:rPr>
          <w:color w:val="000000"/>
        </w:rPr>
        <w:t xml:space="preserve">  </w:t>
      </w:r>
      <w:r w:rsidRPr="00D932FF">
        <w:rPr>
          <w:color w:val="000000"/>
        </w:rPr>
        <w:t>[¶]</w:t>
      </w:r>
      <w:r>
        <w:rPr>
          <w:color w:val="000000"/>
        </w:rPr>
        <w:t xml:space="preserve">  </w:t>
      </w:r>
      <w:r w:rsidRPr="003E5845">
        <w:rPr>
          <w:color w:val="000000"/>
        </w:rPr>
        <w:t xml:space="preserve">(V) Solicitation to commit murder as defined in </w:t>
      </w:r>
      <w:r>
        <w:rPr>
          <w:color w:val="000000"/>
        </w:rPr>
        <w:t>[s]</w:t>
      </w:r>
      <w:r w:rsidRPr="003E5845">
        <w:rPr>
          <w:color w:val="000000"/>
        </w:rPr>
        <w:t>ection 653f.</w:t>
      </w:r>
      <w:r>
        <w:rPr>
          <w:color w:val="000000"/>
        </w:rPr>
        <w:t xml:space="preserve">  </w:t>
      </w:r>
      <w:r w:rsidRPr="00D932FF">
        <w:rPr>
          <w:color w:val="000000"/>
        </w:rPr>
        <w:t>[¶]</w:t>
      </w:r>
      <w:r>
        <w:rPr>
          <w:color w:val="000000"/>
        </w:rPr>
        <w:t xml:space="preserve">  </w:t>
      </w:r>
      <w:r w:rsidRPr="003E5845">
        <w:rPr>
          <w:color w:val="000000"/>
        </w:rPr>
        <w:t>(VI) Assault with a machine gun on a p</w:t>
      </w:r>
      <w:r w:rsidRPr="003E5845">
        <w:rPr>
          <w:color w:val="000000"/>
        </w:rPr>
        <w:t xml:space="preserve">eace officer or firefighter, as defined in paragraph (3) of subdivision (d) of </w:t>
      </w:r>
      <w:r>
        <w:rPr>
          <w:color w:val="000000"/>
        </w:rPr>
        <w:t>[s]</w:t>
      </w:r>
      <w:r w:rsidRPr="003E5845">
        <w:rPr>
          <w:color w:val="000000"/>
        </w:rPr>
        <w:t>ection 245.</w:t>
      </w:r>
      <w:r>
        <w:rPr>
          <w:color w:val="000000"/>
        </w:rPr>
        <w:t xml:space="preserve">  </w:t>
      </w:r>
      <w:r w:rsidRPr="00D932FF">
        <w:rPr>
          <w:color w:val="000000"/>
        </w:rPr>
        <w:t>[¶]</w:t>
      </w:r>
      <w:r>
        <w:rPr>
          <w:color w:val="000000"/>
        </w:rPr>
        <w:t xml:space="preserve">  </w:t>
      </w:r>
      <w:r w:rsidRPr="003E5845">
        <w:rPr>
          <w:color w:val="000000"/>
        </w:rPr>
        <w:t xml:space="preserve">(VII) Possession of a weapon of mass destruction, as defined in paragraph (1) of subdivision (a) of </w:t>
      </w:r>
      <w:r>
        <w:rPr>
          <w:color w:val="000000"/>
        </w:rPr>
        <w:t>[s]</w:t>
      </w:r>
      <w:r w:rsidRPr="003E5845">
        <w:rPr>
          <w:color w:val="000000"/>
        </w:rPr>
        <w:t>ection 11418.</w:t>
      </w:r>
      <w:r>
        <w:rPr>
          <w:color w:val="000000"/>
        </w:rPr>
        <w:t xml:space="preserve">  </w:t>
      </w:r>
      <w:r w:rsidRPr="00D932FF">
        <w:rPr>
          <w:color w:val="000000"/>
        </w:rPr>
        <w:t>[¶]</w:t>
      </w:r>
      <w:r>
        <w:rPr>
          <w:color w:val="000000"/>
        </w:rPr>
        <w:t xml:space="preserve">  </w:t>
      </w:r>
      <w:r w:rsidRPr="003E5845">
        <w:rPr>
          <w:color w:val="000000"/>
        </w:rPr>
        <w:t>(VIII) Any serious or violent fel</w:t>
      </w:r>
      <w:r w:rsidRPr="003E5845">
        <w:rPr>
          <w:color w:val="000000"/>
        </w:rPr>
        <w:t>ony offense punishable in California by life imprisonment or death.</w:t>
      </w:r>
      <w:r>
        <w:rPr>
          <w:color w:val="000000"/>
        </w:rPr>
        <w:t>”</w:t>
      </w:r>
    </w:p>
  </w:footnote>
  <w:footnote w:id="4">
    <w:p w:rsidR="00D57C1E" w:rsidRDefault="005300CC" w:rsidP="00BB1143">
      <w:pPr>
        <w:pStyle w:val="FootnoteText"/>
      </w:pPr>
      <w:r>
        <w:tab/>
      </w:r>
      <w:r w:rsidRPr="00C25270">
        <w:rPr>
          <w:rStyle w:val="FootnoteReference"/>
          <w:b/>
        </w:rPr>
        <w:footnoteRef/>
      </w:r>
      <w:r>
        <w:t xml:space="preserve"> In a number of specified circumstances, the trial court must “hold a hearing to determine whether the criminal proceedings should be reinstated, whether the treatment should be modified, or whether the defendant should be conserved and referred to the con</w:t>
      </w:r>
      <w:r>
        <w:t>servatorship investigator of the county of commitment to initiate conservatorship proceedings.”  (§ 1001.36, subd. (d); see Welf. &amp; Inst. Code, § 5350 et seq. [c</w:t>
      </w:r>
      <w:r w:rsidRPr="00BB4C7D">
        <w:t xml:space="preserve">onservatorship for </w:t>
      </w:r>
      <w:r>
        <w:t>g</w:t>
      </w:r>
      <w:r w:rsidRPr="00BB4C7D">
        <w:t xml:space="preserve">ravely </w:t>
      </w:r>
      <w:r>
        <w:t>d</w:t>
      </w:r>
      <w:r w:rsidRPr="00BB4C7D">
        <w:t xml:space="preserve">isabled </w:t>
      </w:r>
      <w:r>
        <w:t>p</w:t>
      </w:r>
      <w:r w:rsidRPr="00BB4C7D">
        <w:t>ersons</w:t>
      </w:r>
      <w:r>
        <w:t>].)</w:t>
      </w:r>
    </w:p>
  </w:footnote>
  <w:footnote w:id="5">
    <w:p w:rsidR="00D57C1E" w:rsidRDefault="005300CC" w:rsidP="00C05ED1">
      <w:pPr>
        <w:pStyle w:val="FootnoteText"/>
      </w:pPr>
      <w:r>
        <w:tab/>
      </w:r>
      <w:r w:rsidRPr="00990AF6">
        <w:rPr>
          <w:rStyle w:val="FootnoteReference"/>
          <w:b/>
        </w:rPr>
        <w:footnoteRef/>
      </w:r>
      <w:r>
        <w:t xml:space="preserve"> </w:t>
      </w:r>
      <w:r w:rsidRPr="0008328C">
        <w:rPr>
          <w:color w:val="000000"/>
        </w:rPr>
        <w:t>Section 1001.35 states that the purpose of me</w:t>
      </w:r>
      <w:r w:rsidRPr="0008328C">
        <w:rPr>
          <w:color w:val="000000"/>
        </w:rPr>
        <w:t>ntal health pretrial diversion is “to promote all of the following:</w:t>
      </w:r>
      <w:r>
        <w:rPr>
          <w:color w:val="000000"/>
        </w:rPr>
        <w:t xml:space="preserve"> </w:t>
      </w:r>
      <w:r w:rsidRPr="0008328C">
        <w:rPr>
          <w:color w:val="000000"/>
        </w:rPr>
        <w:t xml:space="preserve"> [¶]</w:t>
      </w:r>
      <w:r>
        <w:rPr>
          <w:color w:val="000000"/>
        </w:rPr>
        <w:t xml:space="preserve"> </w:t>
      </w:r>
      <w:r w:rsidRPr="0008328C">
        <w:rPr>
          <w:color w:val="000000"/>
        </w:rPr>
        <w:t xml:space="preserve"> (a) Increased diversion of individuals with mental disorders to mitigate the individuals’ entry and reentry into the criminal justice system while protecting public safety.</w:t>
      </w:r>
      <w:r>
        <w:rPr>
          <w:color w:val="000000"/>
        </w:rPr>
        <w:t xml:space="preserve"> </w:t>
      </w:r>
      <w:r w:rsidRPr="0008328C">
        <w:rPr>
          <w:color w:val="000000"/>
        </w:rPr>
        <w:t xml:space="preserve"> [¶]</w:t>
      </w:r>
      <w:r>
        <w:rPr>
          <w:color w:val="000000"/>
        </w:rPr>
        <w:t xml:space="preserve"> </w:t>
      </w:r>
      <w:r w:rsidRPr="0008328C">
        <w:rPr>
          <w:color w:val="000000"/>
        </w:rPr>
        <w:t xml:space="preserve"> (b)</w:t>
      </w:r>
      <w:r w:rsidRPr="0008328C">
        <w:rPr>
          <w:color w:val="000000"/>
        </w:rPr>
        <w:t> Allowing local discretion and flexibility for counties in the development and implementation of diversion for individuals with mental disorders across a continuum of care settings.</w:t>
      </w:r>
      <w:r>
        <w:rPr>
          <w:color w:val="000000"/>
        </w:rPr>
        <w:t xml:space="preserve"> </w:t>
      </w:r>
      <w:r w:rsidRPr="0008328C">
        <w:rPr>
          <w:color w:val="000000"/>
        </w:rPr>
        <w:t xml:space="preserve"> [¶]</w:t>
      </w:r>
      <w:r>
        <w:rPr>
          <w:color w:val="000000"/>
        </w:rPr>
        <w:t xml:space="preserve"> </w:t>
      </w:r>
      <w:r w:rsidRPr="0008328C">
        <w:rPr>
          <w:color w:val="000000"/>
        </w:rPr>
        <w:t xml:space="preserve"> (c) Providing diversion that meets the unique mental health treatmen</w:t>
      </w:r>
      <w:r w:rsidRPr="0008328C">
        <w:rPr>
          <w:color w:val="000000"/>
        </w:rPr>
        <w:t>t and support needs of individuals with mental disorders.”</w:t>
      </w:r>
    </w:p>
  </w:footnote>
  <w:footnote w:id="6">
    <w:p w:rsidR="00D57C1E" w:rsidRDefault="005300CC">
      <w:pPr>
        <w:pStyle w:val="FootnoteText"/>
      </w:pPr>
      <w:r>
        <w:tab/>
      </w:r>
      <w:r w:rsidRPr="00990AF6">
        <w:rPr>
          <w:rStyle w:val="FootnoteReference"/>
          <w:b/>
        </w:rPr>
        <w:footnoteRef/>
      </w:r>
      <w:r>
        <w:t xml:space="preserve"> </w:t>
      </w:r>
      <w:r>
        <w:rPr>
          <w:color w:val="000000"/>
        </w:rPr>
        <w:t>“A</w:t>
      </w:r>
      <w:r w:rsidRPr="009A303C">
        <w:rPr>
          <w:color w:val="000000"/>
        </w:rPr>
        <w:t xml:space="preserve">s a general rule, it is well established that if the defendant secures on appeal a reversal of his conviction based on </w:t>
      </w:r>
      <w:r w:rsidRPr="0046765B">
        <w:rPr>
          <w:i/>
          <w:color w:val="000000"/>
        </w:rPr>
        <w:t>trial errors</w:t>
      </w:r>
      <w:r w:rsidRPr="009A303C">
        <w:rPr>
          <w:color w:val="000000"/>
        </w:rPr>
        <w:t xml:space="preserve"> other than insufficiency of evidence, he is subject to retrial. </w:t>
      </w:r>
      <w:r>
        <w:rPr>
          <w:color w:val="000000"/>
        </w:rPr>
        <w:t xml:space="preserve"> [Citations.]”  (</w:t>
      </w:r>
      <w:r w:rsidRPr="009A303C">
        <w:rPr>
          <w:i/>
          <w:color w:val="000000"/>
        </w:rPr>
        <w:t>People v</w:t>
      </w:r>
      <w:r w:rsidRPr="00DB3199">
        <w:rPr>
          <w:color w:val="000000"/>
        </w:rPr>
        <w:t xml:space="preserve">. </w:t>
      </w:r>
      <w:r w:rsidRPr="009A303C">
        <w:rPr>
          <w:i/>
          <w:color w:val="000000"/>
        </w:rPr>
        <w:t>Hernandez</w:t>
      </w:r>
      <w:r w:rsidRPr="009A303C">
        <w:rPr>
          <w:color w:val="000000"/>
        </w:rPr>
        <w:t xml:space="preserve"> (2003) 30 Cal.4th 1, 6</w:t>
      </w:r>
      <w:r>
        <w:rPr>
          <w:color w:val="000000"/>
        </w:rPr>
        <w:t>-</w:t>
      </w:r>
      <w:r w:rsidRPr="009A303C">
        <w:rPr>
          <w:color w:val="000000"/>
        </w:rPr>
        <w:t>7</w:t>
      </w:r>
      <w:r>
        <w:rPr>
          <w:color w:val="000000"/>
        </w:rPr>
        <w:t xml:space="preserve">, italics added; see </w:t>
      </w:r>
      <w:r w:rsidRPr="00B13BE9">
        <w:rPr>
          <w:i/>
          <w:color w:val="000000"/>
        </w:rPr>
        <w:t>Price v</w:t>
      </w:r>
      <w:r w:rsidRPr="00DB3199">
        <w:rPr>
          <w:color w:val="000000"/>
        </w:rPr>
        <w:t>.</w:t>
      </w:r>
      <w:r w:rsidRPr="00B13BE9">
        <w:rPr>
          <w:i/>
          <w:color w:val="000000"/>
        </w:rPr>
        <w:t xml:space="preserve"> Georgia</w:t>
      </w:r>
      <w:r w:rsidRPr="00B13BE9">
        <w:rPr>
          <w:color w:val="000000"/>
        </w:rPr>
        <w:t xml:space="preserve"> (1970) 398 U.S. 323, 326 [</w:t>
      </w:r>
      <w:r>
        <w:rPr>
          <w:color w:val="000000"/>
        </w:rPr>
        <w:t>“</w:t>
      </w:r>
      <w:r w:rsidRPr="00B13BE9">
        <w:rPr>
          <w:color w:val="000000"/>
        </w:rPr>
        <w:t>concept of continuing jeopardy</w:t>
      </w:r>
      <w:r>
        <w:rPr>
          <w:color w:val="000000"/>
        </w:rPr>
        <w:t>” applies “</w:t>
      </w:r>
      <w:r w:rsidRPr="00B13BE9">
        <w:rPr>
          <w:color w:val="000000"/>
        </w:rPr>
        <w:t>where criminal proceedin</w:t>
      </w:r>
      <w:r w:rsidRPr="00B13BE9">
        <w:rPr>
          <w:color w:val="000000"/>
        </w:rPr>
        <w:t>gs against an accused have not run their full course</w:t>
      </w:r>
      <w:r>
        <w:rPr>
          <w:color w:val="000000"/>
        </w:rPr>
        <w:t>”].)</w:t>
      </w:r>
    </w:p>
  </w:footnote>
  <w:footnote w:id="7">
    <w:p w:rsidR="00D57C1E" w:rsidRDefault="005300CC" w:rsidP="008D2F13">
      <w:pPr>
        <w:pStyle w:val="FootnoteText"/>
      </w:pPr>
      <w:r>
        <w:tab/>
      </w:r>
      <w:r w:rsidRPr="00D9387B">
        <w:rPr>
          <w:rStyle w:val="FootnoteReference"/>
          <w:b/>
        </w:rPr>
        <w:footnoteRef/>
      </w:r>
      <w:r>
        <w:t xml:space="preserve"> Our conclusion does not settle whether the pretrial diversion law was meant to apply to defendants whose alleged offenses were committed </w:t>
      </w:r>
      <w:r w:rsidRPr="00826E37">
        <w:rPr>
          <w:i/>
        </w:rPr>
        <w:t>before</w:t>
      </w:r>
      <w:r>
        <w:t xml:space="preserve"> the law’s effective date but whose cases are still a</w:t>
      </w:r>
      <w:r>
        <w:t xml:space="preserve">t the pre-adjudication stage.  Neither does it resolve </w:t>
      </w:r>
      <w:r w:rsidRPr="00826E37">
        <w:t xml:space="preserve">whether the pretrial diversion law was meant to apply to defendants whose </w:t>
      </w:r>
      <w:r>
        <w:t xml:space="preserve">alleged </w:t>
      </w:r>
      <w:r w:rsidRPr="00826E37">
        <w:t>offenses were committed before the law’s effective date</w:t>
      </w:r>
      <w:r>
        <w:t>, whose convictions are overturned on appeal, and who may be sub</w:t>
      </w:r>
      <w:r>
        <w:t>jected to a full retrial.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80D2E"/>
    <w:multiLevelType w:val="hybridMultilevel"/>
    <w:tmpl w:val="C840B676"/>
    <w:lvl w:ilvl="0" w:tplc="25ACA35A">
      <w:start w:val="1"/>
      <w:numFmt w:val="upperLetter"/>
      <w:lvlText w:val="%1."/>
      <w:lvlJc w:val="left"/>
      <w:pPr>
        <w:ind w:left="720" w:hanging="360"/>
      </w:pPr>
      <w:rPr>
        <w:rFonts w:hint="default"/>
      </w:rPr>
    </w:lvl>
    <w:lvl w:ilvl="1" w:tplc="5C3015E2" w:tentative="1">
      <w:start w:val="1"/>
      <w:numFmt w:val="lowerLetter"/>
      <w:lvlText w:val="%2."/>
      <w:lvlJc w:val="left"/>
      <w:pPr>
        <w:ind w:left="1440" w:hanging="360"/>
      </w:pPr>
    </w:lvl>
    <w:lvl w:ilvl="2" w:tplc="CFD019EA" w:tentative="1">
      <w:start w:val="1"/>
      <w:numFmt w:val="lowerRoman"/>
      <w:lvlText w:val="%3."/>
      <w:lvlJc w:val="right"/>
      <w:pPr>
        <w:ind w:left="2160" w:hanging="180"/>
      </w:pPr>
    </w:lvl>
    <w:lvl w:ilvl="3" w:tplc="9F40E8AC" w:tentative="1">
      <w:start w:val="1"/>
      <w:numFmt w:val="decimal"/>
      <w:lvlText w:val="%4."/>
      <w:lvlJc w:val="left"/>
      <w:pPr>
        <w:ind w:left="2880" w:hanging="360"/>
      </w:pPr>
    </w:lvl>
    <w:lvl w:ilvl="4" w:tplc="9E829124" w:tentative="1">
      <w:start w:val="1"/>
      <w:numFmt w:val="lowerLetter"/>
      <w:lvlText w:val="%5."/>
      <w:lvlJc w:val="left"/>
      <w:pPr>
        <w:ind w:left="3600" w:hanging="360"/>
      </w:pPr>
    </w:lvl>
    <w:lvl w:ilvl="5" w:tplc="A1B05692" w:tentative="1">
      <w:start w:val="1"/>
      <w:numFmt w:val="lowerRoman"/>
      <w:lvlText w:val="%6."/>
      <w:lvlJc w:val="right"/>
      <w:pPr>
        <w:ind w:left="4320" w:hanging="180"/>
      </w:pPr>
    </w:lvl>
    <w:lvl w:ilvl="6" w:tplc="A11C3D86" w:tentative="1">
      <w:start w:val="1"/>
      <w:numFmt w:val="decimal"/>
      <w:lvlText w:val="%7."/>
      <w:lvlJc w:val="left"/>
      <w:pPr>
        <w:ind w:left="5040" w:hanging="360"/>
      </w:pPr>
    </w:lvl>
    <w:lvl w:ilvl="7" w:tplc="94506D24" w:tentative="1">
      <w:start w:val="1"/>
      <w:numFmt w:val="lowerLetter"/>
      <w:lvlText w:val="%8."/>
      <w:lvlJc w:val="left"/>
      <w:pPr>
        <w:ind w:left="5760" w:hanging="360"/>
      </w:pPr>
    </w:lvl>
    <w:lvl w:ilvl="8" w:tplc="83EA1C8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0D"/>
    <w:rsid w:val="005300CC"/>
    <w:rsid w:val="0089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AE66B-431E-4A77-91E9-E714B7B1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pPr>
        <w:spacing w:line="480"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03D"/>
    <w:pPr>
      <w:tabs>
        <w:tab w:val="left" w:pos="720"/>
      </w:tabs>
      <w:spacing w:line="480" w:lineRule="atLeast"/>
    </w:pPr>
  </w:style>
  <w:style w:type="paragraph" w:styleId="Heading1">
    <w:name w:val="heading 1"/>
    <w:basedOn w:val="Normal"/>
    <w:link w:val="Heading1Char"/>
    <w:uiPriority w:val="9"/>
    <w:qFormat/>
    <w:rsid w:val="00B22F02"/>
    <w:pPr>
      <w:widowControl w:val="0"/>
      <w:tabs>
        <w:tab w:val="clear" w:pos="720"/>
      </w:tabs>
      <w:autoSpaceDE w:val="0"/>
      <w:autoSpaceDN w:val="0"/>
      <w:spacing w:line="240" w:lineRule="auto"/>
      <w:ind w:left="116"/>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13C5"/>
    <w:rPr>
      <w:i/>
      <w:iCs/>
    </w:rPr>
  </w:style>
  <w:style w:type="character" w:customStyle="1" w:styleId="coconcept4257">
    <w:name w:val="co_concept_42_57"/>
    <w:basedOn w:val="DefaultParagraphFont"/>
    <w:rsid w:val="00183EFF"/>
  </w:style>
  <w:style w:type="character" w:customStyle="1" w:styleId="coconcept2129">
    <w:name w:val="co_concept_21_29"/>
    <w:basedOn w:val="DefaultParagraphFont"/>
    <w:rsid w:val="00183EFF"/>
  </w:style>
  <w:style w:type="character" w:customStyle="1" w:styleId="coconcept116">
    <w:name w:val="co_concept_1_16"/>
    <w:basedOn w:val="DefaultParagraphFont"/>
    <w:rsid w:val="00183EFF"/>
  </w:style>
  <w:style w:type="character" w:customStyle="1" w:styleId="coconcept419">
    <w:name w:val="co_concept_4_19"/>
    <w:basedOn w:val="DefaultParagraphFont"/>
    <w:rsid w:val="00F144F0"/>
  </w:style>
  <w:style w:type="character" w:customStyle="1" w:styleId="coconcept2439">
    <w:name w:val="co_concept_24_39"/>
    <w:basedOn w:val="DefaultParagraphFont"/>
    <w:rsid w:val="00F144F0"/>
  </w:style>
  <w:style w:type="character" w:customStyle="1" w:styleId="costarpage">
    <w:name w:val="co_starpage"/>
    <w:basedOn w:val="DefaultParagraphFont"/>
    <w:rsid w:val="00624860"/>
  </w:style>
  <w:style w:type="character" w:customStyle="1" w:styleId="cohighlightpoints">
    <w:name w:val="co_highlightpoints"/>
    <w:basedOn w:val="DefaultParagraphFont"/>
    <w:rsid w:val="00960555"/>
  </w:style>
  <w:style w:type="character" w:customStyle="1" w:styleId="opinioncipdip">
    <w:name w:val="opinioncipdip"/>
    <w:basedOn w:val="DefaultParagraphFont"/>
    <w:rsid w:val="001D4DD0"/>
  </w:style>
  <w:style w:type="character" w:customStyle="1" w:styleId="coconcept4964">
    <w:name w:val="co_concept_49_64"/>
    <w:basedOn w:val="DefaultParagraphFont"/>
    <w:rsid w:val="00E7490E"/>
  </w:style>
  <w:style w:type="character" w:customStyle="1" w:styleId="coconcept109115">
    <w:name w:val="co_concept_109_115"/>
    <w:basedOn w:val="DefaultParagraphFont"/>
    <w:rsid w:val="00E7490E"/>
  </w:style>
  <w:style w:type="character" w:customStyle="1" w:styleId="coconcept1325">
    <w:name w:val="co_concept_13_25"/>
    <w:basedOn w:val="DefaultParagraphFont"/>
    <w:rsid w:val="00E7490E"/>
  </w:style>
  <w:style w:type="character" w:customStyle="1" w:styleId="coconcept120129">
    <w:name w:val="co_concept_120_129"/>
    <w:basedOn w:val="DefaultParagraphFont"/>
    <w:rsid w:val="00E7490E"/>
  </w:style>
  <w:style w:type="character" w:customStyle="1" w:styleId="coconcept8286">
    <w:name w:val="co_concept_82_86"/>
    <w:basedOn w:val="DefaultParagraphFont"/>
    <w:rsid w:val="00E7490E"/>
  </w:style>
  <w:style w:type="character" w:customStyle="1" w:styleId="coconcept6977">
    <w:name w:val="co_concept_69_77"/>
    <w:basedOn w:val="DefaultParagraphFont"/>
    <w:rsid w:val="00E7490E"/>
  </w:style>
  <w:style w:type="paragraph" w:styleId="FootnoteText">
    <w:name w:val="footnote text"/>
    <w:basedOn w:val="Normal"/>
    <w:link w:val="FootnoteTextChar"/>
    <w:unhideWhenUsed/>
    <w:rsid w:val="000F2C60"/>
    <w:pPr>
      <w:spacing w:line="240" w:lineRule="auto"/>
    </w:pPr>
    <w:rPr>
      <w:szCs w:val="20"/>
    </w:rPr>
  </w:style>
  <w:style w:type="character" w:customStyle="1" w:styleId="FootnoteTextChar">
    <w:name w:val="Footnote Text Char"/>
    <w:basedOn w:val="DefaultParagraphFont"/>
    <w:link w:val="FootnoteText"/>
    <w:rsid w:val="000F2C60"/>
    <w:rPr>
      <w:szCs w:val="20"/>
    </w:rPr>
  </w:style>
  <w:style w:type="character" w:styleId="FootnoteReference">
    <w:name w:val="footnote reference"/>
    <w:basedOn w:val="DefaultParagraphFont"/>
    <w:semiHidden/>
    <w:unhideWhenUsed/>
    <w:rsid w:val="000F2C60"/>
    <w:rPr>
      <w:vertAlign w:val="superscript"/>
    </w:rPr>
  </w:style>
  <w:style w:type="paragraph" w:styleId="Header">
    <w:name w:val="header"/>
    <w:basedOn w:val="Normal"/>
    <w:link w:val="HeaderChar"/>
    <w:unhideWhenUsed/>
    <w:rsid w:val="00BE100B"/>
    <w:pPr>
      <w:tabs>
        <w:tab w:val="center" w:pos="4680"/>
        <w:tab w:val="right" w:pos="9360"/>
      </w:tabs>
      <w:spacing w:line="240" w:lineRule="auto"/>
    </w:pPr>
  </w:style>
  <w:style w:type="character" w:customStyle="1" w:styleId="HeaderChar">
    <w:name w:val="Header Char"/>
    <w:basedOn w:val="DefaultParagraphFont"/>
    <w:link w:val="Header"/>
    <w:rsid w:val="00BE100B"/>
  </w:style>
  <w:style w:type="paragraph" w:styleId="Footer">
    <w:name w:val="footer"/>
    <w:basedOn w:val="Normal"/>
    <w:link w:val="FooterChar"/>
    <w:uiPriority w:val="99"/>
    <w:unhideWhenUsed/>
    <w:rsid w:val="00BE100B"/>
    <w:pPr>
      <w:tabs>
        <w:tab w:val="center" w:pos="4680"/>
        <w:tab w:val="right" w:pos="9360"/>
      </w:tabs>
      <w:spacing w:line="240" w:lineRule="auto"/>
    </w:pPr>
  </w:style>
  <w:style w:type="character" w:customStyle="1" w:styleId="FooterChar">
    <w:name w:val="Footer Char"/>
    <w:basedOn w:val="DefaultParagraphFont"/>
    <w:link w:val="Footer"/>
    <w:uiPriority w:val="99"/>
    <w:rsid w:val="00BE100B"/>
  </w:style>
  <w:style w:type="paragraph" w:styleId="ListParagraph">
    <w:name w:val="List Paragraph"/>
    <w:basedOn w:val="Normal"/>
    <w:uiPriority w:val="34"/>
    <w:qFormat/>
    <w:rsid w:val="00B825F8"/>
    <w:pPr>
      <w:ind w:left="720"/>
      <w:contextualSpacing/>
    </w:pPr>
  </w:style>
  <w:style w:type="character" w:styleId="Hyperlink">
    <w:name w:val="Hyperlink"/>
    <w:basedOn w:val="DefaultParagraphFont"/>
    <w:unhideWhenUsed/>
    <w:rsid w:val="003E5845"/>
    <w:rPr>
      <w:color w:val="0000FF" w:themeColor="hyperlink"/>
      <w:u w:val="single"/>
    </w:rPr>
  </w:style>
  <w:style w:type="character" w:customStyle="1" w:styleId="UnresolvedMention1">
    <w:name w:val="Unresolved Mention1"/>
    <w:basedOn w:val="DefaultParagraphFont"/>
    <w:uiPriority w:val="99"/>
    <w:semiHidden/>
    <w:unhideWhenUsed/>
    <w:rsid w:val="003E5845"/>
    <w:rPr>
      <w:color w:val="605E5C"/>
      <w:shd w:val="clear" w:color="auto" w:fill="E1DFDD"/>
    </w:rPr>
  </w:style>
  <w:style w:type="character" w:customStyle="1" w:styleId="coconcept915">
    <w:name w:val="co_concept_9_15"/>
    <w:basedOn w:val="DefaultParagraphFont"/>
    <w:rsid w:val="00CA6C0F"/>
  </w:style>
  <w:style w:type="character" w:customStyle="1" w:styleId="coconcept1930">
    <w:name w:val="co_concept_19_30"/>
    <w:basedOn w:val="DefaultParagraphFont"/>
    <w:rsid w:val="00CA6C0F"/>
  </w:style>
  <w:style w:type="character" w:customStyle="1" w:styleId="coconcept3243">
    <w:name w:val="co_concept_32_43"/>
    <w:basedOn w:val="DefaultParagraphFont"/>
    <w:rsid w:val="009A142E"/>
  </w:style>
  <w:style w:type="character" w:customStyle="1" w:styleId="coconcept1221">
    <w:name w:val="co_concept_12_21"/>
    <w:basedOn w:val="DefaultParagraphFont"/>
    <w:rsid w:val="0088740A"/>
  </w:style>
  <w:style w:type="character" w:customStyle="1" w:styleId="coconcept4348">
    <w:name w:val="co_concept_43_48"/>
    <w:basedOn w:val="DefaultParagraphFont"/>
    <w:rsid w:val="0088740A"/>
  </w:style>
  <w:style w:type="character" w:customStyle="1" w:styleId="coconcept2638">
    <w:name w:val="co_concept_26_38"/>
    <w:basedOn w:val="DefaultParagraphFont"/>
    <w:rsid w:val="0088740A"/>
  </w:style>
  <w:style w:type="character" w:customStyle="1" w:styleId="coconcept117">
    <w:name w:val="co_concept_1_17"/>
    <w:basedOn w:val="DefaultParagraphFont"/>
    <w:rsid w:val="00F73C2D"/>
  </w:style>
  <w:style w:type="character" w:customStyle="1" w:styleId="coconcept18">
    <w:name w:val="co_concept_1_8"/>
    <w:basedOn w:val="DefaultParagraphFont"/>
    <w:rsid w:val="002F61FF"/>
  </w:style>
  <w:style w:type="character" w:customStyle="1" w:styleId="coconcept1319">
    <w:name w:val="co_concept_13_19"/>
    <w:basedOn w:val="DefaultParagraphFont"/>
    <w:rsid w:val="002F61FF"/>
  </w:style>
  <w:style w:type="character" w:styleId="FollowedHyperlink">
    <w:name w:val="FollowedHyperlink"/>
    <w:basedOn w:val="DefaultParagraphFont"/>
    <w:semiHidden/>
    <w:unhideWhenUsed/>
    <w:rsid w:val="00AF341C"/>
    <w:rPr>
      <w:color w:val="800080" w:themeColor="followedHyperlink"/>
      <w:u w:val="single"/>
    </w:rPr>
  </w:style>
  <w:style w:type="character" w:styleId="Strong">
    <w:name w:val="Strong"/>
    <w:basedOn w:val="DefaultParagraphFont"/>
    <w:uiPriority w:val="22"/>
    <w:qFormat/>
    <w:rsid w:val="0016469A"/>
    <w:rPr>
      <w:b/>
      <w:bCs/>
    </w:rPr>
  </w:style>
  <w:style w:type="character" w:customStyle="1" w:styleId="Heading1Char">
    <w:name w:val="Heading 1 Char"/>
    <w:basedOn w:val="DefaultParagraphFont"/>
    <w:link w:val="Heading1"/>
    <w:uiPriority w:val="9"/>
    <w:rsid w:val="00B22F02"/>
    <w:rPr>
      <w:sz w:val="25"/>
      <w:szCs w:val="25"/>
    </w:rPr>
  </w:style>
  <w:style w:type="paragraph" w:styleId="BodyText">
    <w:name w:val="Body Text"/>
    <w:basedOn w:val="Normal"/>
    <w:link w:val="BodyTextChar"/>
    <w:uiPriority w:val="1"/>
    <w:qFormat/>
    <w:rsid w:val="00B22F02"/>
    <w:pPr>
      <w:widowControl w:val="0"/>
      <w:tabs>
        <w:tab w:val="clear" w:pos="720"/>
      </w:tabs>
      <w:autoSpaceDE w:val="0"/>
      <w:autoSpaceDN w:val="0"/>
      <w:spacing w:line="240" w:lineRule="auto"/>
    </w:pPr>
    <w:rPr>
      <w:sz w:val="24"/>
      <w:szCs w:val="24"/>
    </w:rPr>
  </w:style>
  <w:style w:type="character" w:customStyle="1" w:styleId="BodyTextChar">
    <w:name w:val="Body Text Char"/>
    <w:basedOn w:val="DefaultParagraphFont"/>
    <w:link w:val="BodyText"/>
    <w:uiPriority w:val="1"/>
    <w:rsid w:val="00B22F02"/>
    <w:rPr>
      <w:sz w:val="24"/>
      <w:szCs w:val="24"/>
    </w:rPr>
  </w:style>
  <w:style w:type="character" w:styleId="LineNumber">
    <w:name w:val="line number"/>
    <w:basedOn w:val="DefaultParagraphFont"/>
    <w:semiHidden/>
    <w:unhideWhenUsed/>
    <w:rsid w:val="00CD17C5"/>
  </w:style>
  <w:style w:type="paragraph" w:customStyle="1" w:styleId="Notes">
    <w:name w:val="Notes"/>
    <w:basedOn w:val="Normal"/>
    <w:autoRedefine/>
    <w:qFormat/>
    <w:rsid w:val="00113567"/>
    <w:pPr>
      <w:spacing w:line="240" w:lineRule="atLeast"/>
    </w:pPr>
    <w:rPr>
      <w:rFonts w:cs="Arial"/>
      <w:color w:val="212121"/>
      <w:szCs w:val="21"/>
    </w:rPr>
  </w:style>
  <w:style w:type="character" w:customStyle="1" w:styleId="right">
    <w:name w:val="right"/>
    <w:basedOn w:val="DefaultParagraphFont"/>
    <w:rsid w:val="0011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12073</Words>
  <Characters>68817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Oldervik, Emma</cp:lastModifiedBy>
  <cp:revision>2</cp:revision>
  <dcterms:created xsi:type="dcterms:W3CDTF">2020-01-30T21:23:00Z</dcterms:created>
  <dcterms:modified xsi:type="dcterms:W3CDTF">2020-01-30T21:23:00Z</dcterms:modified>
</cp:coreProperties>
</file>