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64BF9" w14:textId="77777777" w:rsidR="008C461D" w:rsidRPr="002A76C6" w:rsidRDefault="0053713C" w:rsidP="008C461D">
      <w:pPr>
        <w:tabs>
          <w:tab w:val="left" w:pos="1440"/>
        </w:tabs>
        <w:spacing w:line="240" w:lineRule="auto"/>
        <w:jc w:val="center"/>
        <w:rPr>
          <w:sz w:val="20"/>
        </w:rPr>
      </w:pPr>
      <w:r w:rsidRPr="00850463">
        <w:rPr>
          <w:sz w:val="20"/>
          <w:szCs w:val="20"/>
        </w:rPr>
        <w:t>Filed 10/20/2</w:t>
      </w:r>
      <w:r w:rsidR="008C461D">
        <w:rPr>
          <w:sz w:val="20"/>
          <w:szCs w:val="20"/>
        </w:rPr>
        <w:t>1</w:t>
      </w:r>
      <w:bookmarkStart w:id="0" w:name="_Hlk92454540"/>
      <w:r w:rsidR="008C461D" w:rsidRPr="002A76C6">
        <w:rPr>
          <w:sz w:val="20"/>
        </w:rPr>
        <w:t>; REVIEW GRANTED.  See Cal. Rules of Court, rules 8.1105 and 8.1115 (and corresponding Comment, par. 2, concerning rule 8.1115(e)(3)).</w:t>
      </w:r>
      <w:bookmarkEnd w:id="0"/>
    </w:p>
    <w:p w14:paraId="2541B2E0" w14:textId="77777777" w:rsidR="008C461D" w:rsidRPr="00850463" w:rsidRDefault="008C461D" w:rsidP="008C461D">
      <w:pPr>
        <w:spacing w:line="240" w:lineRule="auto"/>
        <w:ind w:firstLine="0"/>
        <w:rPr>
          <w:sz w:val="20"/>
          <w:szCs w:val="20"/>
        </w:rPr>
      </w:pPr>
    </w:p>
    <w:p w14:paraId="5E026BD9" w14:textId="3C3B2815" w:rsidR="00004477" w:rsidRDefault="0053713C" w:rsidP="00752E03">
      <w:pPr>
        <w:spacing w:line="240" w:lineRule="auto"/>
        <w:ind w:firstLine="0"/>
        <w:jc w:val="center"/>
        <w:rPr>
          <w:b/>
        </w:rPr>
      </w:pPr>
      <w:r w:rsidRPr="00F479EC">
        <w:rPr>
          <w:b/>
          <w:bCs/>
        </w:rPr>
        <w:t>CERTIFIED FOR PUBLICATION</w:t>
      </w:r>
    </w:p>
    <w:p w14:paraId="1DF0556D" w14:textId="77777777" w:rsidR="00004477" w:rsidRDefault="00004477" w:rsidP="00752E03">
      <w:pPr>
        <w:spacing w:line="240" w:lineRule="auto"/>
        <w:ind w:firstLine="0"/>
        <w:jc w:val="center"/>
        <w:rPr>
          <w:b/>
        </w:rPr>
      </w:pPr>
    </w:p>
    <w:p w14:paraId="21821443" w14:textId="77777777" w:rsidR="00004477" w:rsidRDefault="00004477" w:rsidP="00752E03">
      <w:pPr>
        <w:spacing w:line="240" w:lineRule="auto"/>
        <w:ind w:firstLine="0"/>
      </w:pPr>
    </w:p>
    <w:p w14:paraId="1650203D" w14:textId="77777777" w:rsidR="00004477" w:rsidRDefault="00004477" w:rsidP="00752E03">
      <w:pPr>
        <w:spacing w:line="240" w:lineRule="auto"/>
        <w:ind w:firstLine="0"/>
      </w:pPr>
    </w:p>
    <w:p w14:paraId="1AF18C18" w14:textId="77777777" w:rsidR="00004477" w:rsidRDefault="0053713C" w:rsidP="00752E03">
      <w:pPr>
        <w:spacing w:line="240" w:lineRule="auto"/>
        <w:ind w:firstLine="0"/>
        <w:jc w:val="center"/>
      </w:pPr>
      <w:r>
        <w:t>IN THE COURT OF APPEAL OF THE STATE OF CALIFORNIA</w:t>
      </w:r>
    </w:p>
    <w:p w14:paraId="3F983695" w14:textId="77777777" w:rsidR="00004477" w:rsidRDefault="00004477" w:rsidP="00752E03">
      <w:pPr>
        <w:spacing w:line="240" w:lineRule="auto"/>
        <w:ind w:firstLine="0"/>
        <w:jc w:val="center"/>
      </w:pPr>
    </w:p>
    <w:p w14:paraId="4D72BF01" w14:textId="77777777" w:rsidR="00004477" w:rsidRDefault="0053713C" w:rsidP="00752E03">
      <w:pPr>
        <w:spacing w:line="240" w:lineRule="auto"/>
        <w:ind w:firstLine="0"/>
        <w:jc w:val="center"/>
      </w:pPr>
      <w:r>
        <w:t>SIXTH APPELLATE DISTRICT</w:t>
      </w:r>
    </w:p>
    <w:p w14:paraId="46167124" w14:textId="77777777" w:rsidR="00004477" w:rsidRDefault="00004477" w:rsidP="00752E03">
      <w:pPr>
        <w:spacing w:line="240" w:lineRule="auto"/>
        <w:ind w:firstLine="0"/>
        <w:jc w:val="center"/>
      </w:pPr>
    </w:p>
    <w:p w14:paraId="65FF3B82" w14:textId="77777777" w:rsidR="00004477" w:rsidRDefault="00004477" w:rsidP="00752E03">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8A661C" w14:paraId="5417CA54" w14:textId="77777777" w:rsidTr="00004477">
        <w:tc>
          <w:tcPr>
            <w:tcW w:w="4680" w:type="dxa"/>
            <w:tcBorders>
              <w:bottom w:val="single" w:sz="4" w:space="0" w:color="auto"/>
              <w:right w:val="single" w:sz="4" w:space="0" w:color="auto"/>
            </w:tcBorders>
            <w:shd w:val="clear" w:color="auto" w:fill="auto"/>
          </w:tcPr>
          <w:p w14:paraId="0B9AC45E" w14:textId="3FD54DAF" w:rsidR="00004477" w:rsidRDefault="0053713C" w:rsidP="00752E03">
            <w:pPr>
              <w:spacing w:line="240" w:lineRule="auto"/>
              <w:ind w:firstLine="0"/>
            </w:pPr>
            <w:r>
              <w:t>MARIO RODRIGUEZ,</w:t>
            </w:r>
          </w:p>
          <w:p w14:paraId="4B6C1154" w14:textId="77777777" w:rsidR="00004477" w:rsidRDefault="00004477" w:rsidP="00752E03">
            <w:pPr>
              <w:spacing w:line="240" w:lineRule="auto"/>
              <w:ind w:firstLine="0"/>
            </w:pPr>
          </w:p>
          <w:p w14:paraId="0BE1B2CA" w14:textId="4F1FC013" w:rsidR="00004477" w:rsidRDefault="0053713C" w:rsidP="00752E03">
            <w:pPr>
              <w:spacing w:line="240" w:lineRule="auto"/>
              <w:ind w:left="720" w:firstLine="0"/>
            </w:pPr>
            <w:r>
              <w:t>Petitioner,</w:t>
            </w:r>
          </w:p>
          <w:p w14:paraId="6C9498BE" w14:textId="77777777" w:rsidR="00004477" w:rsidRDefault="00004477" w:rsidP="00752E03">
            <w:pPr>
              <w:spacing w:line="240" w:lineRule="auto"/>
              <w:ind w:left="720" w:firstLine="0"/>
            </w:pPr>
          </w:p>
          <w:p w14:paraId="1BB4950E" w14:textId="77777777" w:rsidR="00004477" w:rsidRPr="002D669B" w:rsidRDefault="0053713C" w:rsidP="00752E03">
            <w:pPr>
              <w:spacing w:line="240" w:lineRule="auto"/>
              <w:ind w:left="720" w:firstLine="0"/>
            </w:pPr>
            <w:r w:rsidRPr="002D669B">
              <w:t>v.</w:t>
            </w:r>
          </w:p>
          <w:p w14:paraId="79C70071" w14:textId="77777777" w:rsidR="00004477" w:rsidRPr="002D669B" w:rsidRDefault="00004477" w:rsidP="00752E03">
            <w:pPr>
              <w:spacing w:line="240" w:lineRule="auto"/>
              <w:ind w:firstLine="0"/>
            </w:pPr>
          </w:p>
          <w:p w14:paraId="6268DE64" w14:textId="54456F78" w:rsidR="00004477" w:rsidRPr="002D669B" w:rsidRDefault="0053713C" w:rsidP="00752E03">
            <w:pPr>
              <w:spacing w:line="240" w:lineRule="auto"/>
              <w:ind w:firstLine="0"/>
            </w:pPr>
            <w:r>
              <w:t>THE SUPERIOR COURT OF SANTA CLARA COUNTY</w:t>
            </w:r>
            <w:r w:rsidRPr="002D669B">
              <w:t>,</w:t>
            </w:r>
          </w:p>
          <w:p w14:paraId="6C289F88" w14:textId="77777777" w:rsidR="00004477" w:rsidRPr="002D669B" w:rsidRDefault="00004477" w:rsidP="00752E03">
            <w:pPr>
              <w:spacing w:line="240" w:lineRule="auto"/>
              <w:ind w:firstLine="0"/>
            </w:pPr>
          </w:p>
          <w:p w14:paraId="6D7D1240" w14:textId="7BE1B697" w:rsidR="00004477" w:rsidRDefault="0053713C" w:rsidP="00752E03">
            <w:pPr>
              <w:spacing w:line="240" w:lineRule="auto"/>
              <w:ind w:left="720" w:firstLine="0"/>
            </w:pPr>
            <w:r>
              <w:t>Respondent;</w:t>
            </w:r>
          </w:p>
          <w:p w14:paraId="26B73CFA" w14:textId="77777777" w:rsidR="00524AA3" w:rsidRPr="002D669B" w:rsidRDefault="00524AA3" w:rsidP="00752E03">
            <w:pPr>
              <w:spacing w:line="240" w:lineRule="auto"/>
              <w:ind w:left="720" w:firstLine="0"/>
            </w:pPr>
          </w:p>
          <w:p w14:paraId="6407619E" w14:textId="4ED8A63C" w:rsidR="00004477" w:rsidRDefault="0053713C" w:rsidP="00752E03">
            <w:pPr>
              <w:spacing w:line="240" w:lineRule="auto"/>
              <w:ind w:firstLine="0"/>
            </w:pPr>
            <w:r>
              <w:t>THE PEOPLE,</w:t>
            </w:r>
          </w:p>
          <w:p w14:paraId="1BF93C4B" w14:textId="77777777" w:rsidR="00524AA3" w:rsidRPr="002D669B" w:rsidRDefault="00524AA3" w:rsidP="00524AA3">
            <w:pPr>
              <w:spacing w:line="240" w:lineRule="auto"/>
              <w:ind w:firstLine="0"/>
            </w:pPr>
          </w:p>
          <w:p w14:paraId="438AC783" w14:textId="6DCDD93E" w:rsidR="00524AA3" w:rsidRDefault="0053713C" w:rsidP="00524AA3">
            <w:pPr>
              <w:spacing w:line="240" w:lineRule="auto"/>
              <w:ind w:left="720" w:firstLine="0"/>
            </w:pPr>
            <w:r>
              <w:t xml:space="preserve">Real Party in </w:t>
            </w:r>
            <w:r>
              <w:t>Interest.</w:t>
            </w:r>
          </w:p>
          <w:p w14:paraId="7232062D" w14:textId="542F129E" w:rsidR="00524AA3" w:rsidRPr="002D669B" w:rsidRDefault="00524AA3" w:rsidP="00752E03">
            <w:pPr>
              <w:spacing w:line="240" w:lineRule="auto"/>
              <w:ind w:firstLine="0"/>
            </w:pPr>
          </w:p>
        </w:tc>
        <w:tc>
          <w:tcPr>
            <w:tcW w:w="4680" w:type="dxa"/>
            <w:tcBorders>
              <w:left w:val="single" w:sz="4" w:space="0" w:color="auto"/>
            </w:tcBorders>
            <w:shd w:val="clear" w:color="auto" w:fill="auto"/>
          </w:tcPr>
          <w:p w14:paraId="0423DFF7" w14:textId="209FE836" w:rsidR="00004477" w:rsidRDefault="0053713C" w:rsidP="00752E03">
            <w:pPr>
              <w:spacing w:line="240" w:lineRule="auto"/>
              <w:ind w:firstLine="0"/>
            </w:pPr>
            <w:r w:rsidRPr="002D669B">
              <w:t xml:space="preserve">      </w:t>
            </w:r>
            <w:r>
              <w:t>H0</w:t>
            </w:r>
            <w:r w:rsidR="000A35B9">
              <w:t>49016</w:t>
            </w:r>
          </w:p>
          <w:p w14:paraId="6F53C4B2" w14:textId="0D67CFAA" w:rsidR="00004477" w:rsidRDefault="0053713C" w:rsidP="00752E03">
            <w:pPr>
              <w:spacing w:line="240" w:lineRule="auto"/>
              <w:ind w:firstLine="0"/>
            </w:pPr>
            <w:r>
              <w:t xml:space="preserve">     (</w:t>
            </w:r>
            <w:r w:rsidR="000A35B9">
              <w:t>Santa Clara</w:t>
            </w:r>
            <w:r>
              <w:t xml:space="preserve"> County</w:t>
            </w:r>
          </w:p>
          <w:p w14:paraId="65BD6BB2" w14:textId="77777777" w:rsidR="00004477" w:rsidRDefault="0053713C" w:rsidP="00752E03">
            <w:pPr>
              <w:spacing w:line="240" w:lineRule="auto"/>
              <w:ind w:firstLine="0"/>
            </w:pPr>
            <w:r>
              <w:t xml:space="preserve">      Super. Ct. No</w:t>
            </w:r>
            <w:r w:rsidR="000A35B9">
              <w:t>s</w:t>
            </w:r>
            <w:r>
              <w:t xml:space="preserve">. </w:t>
            </w:r>
            <w:r w:rsidR="000A35B9">
              <w:t>C1647395,</w:t>
            </w:r>
          </w:p>
          <w:p w14:paraId="7BADC2D1" w14:textId="6EB3C976" w:rsidR="000A35B9" w:rsidRDefault="0053713C" w:rsidP="00752E03">
            <w:pPr>
              <w:spacing w:line="240" w:lineRule="auto"/>
              <w:ind w:firstLine="0"/>
            </w:pPr>
            <w:r>
              <w:t xml:space="preserve">      C1650275)</w:t>
            </w:r>
          </w:p>
        </w:tc>
      </w:tr>
    </w:tbl>
    <w:p w14:paraId="2FB9E2D7" w14:textId="77777777" w:rsidR="007F6EC6" w:rsidRDefault="007F6EC6" w:rsidP="00004477"/>
    <w:p w14:paraId="302C7704" w14:textId="2E5E17D9" w:rsidR="00840716" w:rsidRDefault="0053713C" w:rsidP="00534146">
      <w:r>
        <w:t xml:space="preserve">Petitioner Mario Rodriguez seeks extraordinary writ relief from </w:t>
      </w:r>
      <w:r w:rsidR="004854D0">
        <w:t>a trial</w:t>
      </w:r>
      <w:r>
        <w:t xml:space="preserve"> court order </w:t>
      </w:r>
      <w:r w:rsidR="00095673">
        <w:t xml:space="preserve">overruling </w:t>
      </w:r>
      <w:r>
        <w:t xml:space="preserve">his </w:t>
      </w:r>
      <w:r w:rsidR="0092134B">
        <w:t>objection to a</w:t>
      </w:r>
      <w:r w:rsidR="00713682">
        <w:t>n impending</w:t>
      </w:r>
      <w:r w:rsidR="0092134B">
        <w:t xml:space="preserve"> </w:t>
      </w:r>
      <w:r w:rsidR="00282806">
        <w:t xml:space="preserve">competency restoration </w:t>
      </w:r>
      <w:r w:rsidR="0092134B">
        <w:t xml:space="preserve">hearing under </w:t>
      </w:r>
      <w:r w:rsidR="00BC2BF4">
        <w:t>Penal Code section 1372</w:t>
      </w:r>
      <w:r>
        <w:rPr>
          <w:rStyle w:val="FootnoteReference"/>
          <w:b/>
          <w:bCs/>
        </w:rPr>
        <w:footnoteReference w:id="2"/>
      </w:r>
      <w:r w:rsidR="00BC2BF4">
        <w:t xml:space="preserve"> and </w:t>
      </w:r>
      <w:r w:rsidR="00095673">
        <w:t xml:space="preserve">denying his </w:t>
      </w:r>
      <w:r w:rsidR="007C5738">
        <w:t xml:space="preserve">motion to </w:t>
      </w:r>
      <w:r>
        <w:t xml:space="preserve">dismiss </w:t>
      </w:r>
      <w:r w:rsidR="007C5738">
        <w:t xml:space="preserve">two </w:t>
      </w:r>
      <w:r w:rsidR="00282806">
        <w:t xml:space="preserve">pending criminal </w:t>
      </w:r>
      <w:r w:rsidR="007C5738">
        <w:t>cases</w:t>
      </w:r>
      <w:r w:rsidR="00D3607C">
        <w:t>.</w:t>
      </w:r>
      <w:r w:rsidR="001E073F">
        <w:t xml:space="preserve">  </w:t>
      </w:r>
      <w:bookmarkStart w:id="1" w:name="_Hlk83638094"/>
      <w:r w:rsidR="00020E83">
        <w:t xml:space="preserve">As he does in this </w:t>
      </w:r>
      <w:r w:rsidR="00204E83">
        <w:t>court</w:t>
      </w:r>
      <w:r w:rsidR="00020E83">
        <w:t xml:space="preserve">, </w:t>
      </w:r>
      <w:r w:rsidR="001E073F">
        <w:t xml:space="preserve">Rodriguez </w:t>
      </w:r>
      <w:r w:rsidR="00020E83">
        <w:t>claimed</w:t>
      </w:r>
      <w:r w:rsidR="00204E83">
        <w:t xml:space="preserve"> in </w:t>
      </w:r>
      <w:r w:rsidR="004854D0">
        <w:t>the trial</w:t>
      </w:r>
      <w:r w:rsidR="00204E83">
        <w:t xml:space="preserve"> court</w:t>
      </w:r>
      <w:r w:rsidR="001E073F">
        <w:t xml:space="preserve"> that, </w:t>
      </w:r>
      <w:r w:rsidR="00204E83">
        <w:t>al</w:t>
      </w:r>
      <w:r w:rsidR="001E073F">
        <w:t xml:space="preserve">though a certification of his mental competency had been filed, he </w:t>
      </w:r>
      <w:r w:rsidR="00DE4B10">
        <w:t xml:space="preserve">had </w:t>
      </w:r>
      <w:r w:rsidR="001E073F">
        <w:t xml:space="preserve">reached the two-year maximum </w:t>
      </w:r>
      <w:r w:rsidR="00030886">
        <w:t xml:space="preserve">period </w:t>
      </w:r>
      <w:r w:rsidR="001E073F">
        <w:t xml:space="preserve">for an incompetency commitment under section 1370, subdivision (c)(1) (section 1370(c)(1)) before </w:t>
      </w:r>
      <w:r w:rsidR="00204E83">
        <w:t>a</w:t>
      </w:r>
      <w:r w:rsidR="001E073F">
        <w:t xml:space="preserve"> </w:t>
      </w:r>
      <w:r w:rsidR="00DE4B10">
        <w:t xml:space="preserve">judicial </w:t>
      </w:r>
      <w:r w:rsidR="001E073F">
        <w:t>hearing on the certification had been held</w:t>
      </w:r>
      <w:r>
        <w:t xml:space="preserve"> and</w:t>
      </w:r>
      <w:r w:rsidR="00020E83">
        <w:t>,</w:t>
      </w:r>
      <w:r w:rsidRPr="00840716">
        <w:t xml:space="preserve"> </w:t>
      </w:r>
      <w:r>
        <w:t xml:space="preserve">thus, </w:t>
      </w:r>
      <w:r w:rsidR="004854D0">
        <w:t>the trial</w:t>
      </w:r>
      <w:r>
        <w:t xml:space="preserve"> court lack</w:t>
      </w:r>
      <w:r w:rsidR="004D2B62">
        <w:t>s</w:t>
      </w:r>
      <w:r>
        <w:t xml:space="preserve"> authority to hold such </w:t>
      </w:r>
      <w:r>
        <w:t xml:space="preserve">a hearing.  </w:t>
      </w:r>
    </w:p>
    <w:bookmarkEnd w:id="1"/>
    <w:p w14:paraId="5577CDFC" w14:textId="6D8E3065" w:rsidR="001E073F" w:rsidRDefault="0053713C" w:rsidP="00534146">
      <w:r>
        <w:lastRenderedPageBreak/>
        <w:t xml:space="preserve">The trial court </w:t>
      </w:r>
      <w:r w:rsidR="00847E44">
        <w:t>rejected</w:t>
      </w:r>
      <w:r>
        <w:t xml:space="preserve"> Rodriguez’s objection and motion, concluding it could calculate </w:t>
      </w:r>
      <w:r w:rsidR="008819A1">
        <w:t>Rodriguez’s</w:t>
      </w:r>
      <w:r>
        <w:t xml:space="preserve"> commitment period after it determine</w:t>
      </w:r>
      <w:r w:rsidR="00840716">
        <w:t>d</w:t>
      </w:r>
      <w:r>
        <w:t xml:space="preserve"> at the hearing whether </w:t>
      </w:r>
      <w:r w:rsidR="008819A1">
        <w:t>he</w:t>
      </w:r>
      <w:r>
        <w:t xml:space="preserve"> ha</w:t>
      </w:r>
      <w:r w:rsidR="00631C7E">
        <w:t>d</w:t>
      </w:r>
      <w:r>
        <w:t xml:space="preserve"> regained competence.  </w:t>
      </w:r>
      <w:r w:rsidR="00030886">
        <w:t>The court decided that if it</w:t>
      </w:r>
      <w:r>
        <w:t xml:space="preserve"> were to find that Rodri</w:t>
      </w:r>
      <w:r>
        <w:t>guez ha</w:t>
      </w:r>
      <w:r w:rsidR="00631C7E">
        <w:t>d</w:t>
      </w:r>
      <w:r>
        <w:t xml:space="preserve"> regained competence, then the commitment period would end as of the certification date.  On the other hand, if </w:t>
      </w:r>
      <w:r w:rsidR="00030886">
        <w:t>it</w:t>
      </w:r>
      <w:r>
        <w:t xml:space="preserve"> were to find that Rodriguez had not regained competence, then his commitment period would be calculated to the date of the court’s fi</w:t>
      </w:r>
      <w:r>
        <w:t>nding.</w:t>
      </w:r>
    </w:p>
    <w:p w14:paraId="30EB84F6" w14:textId="75BB348C" w:rsidR="00AC55C1" w:rsidRDefault="0053713C" w:rsidP="000C3CAE">
      <w:bookmarkStart w:id="2" w:name="_Hlk83640856"/>
      <w:r>
        <w:t xml:space="preserve">For the reasons explained below, we disagree with </w:t>
      </w:r>
      <w:r w:rsidR="00711720">
        <w:t>the trial</w:t>
      </w:r>
      <w:r>
        <w:t xml:space="preserve"> court’s </w:t>
      </w:r>
      <w:r w:rsidR="004D2B62">
        <w:t>conclusion</w:t>
      </w:r>
      <w:r>
        <w:t xml:space="preserve"> regarding the calculation of Rodriguez’s commitment period and decide that Rodriguez’s commitment ended when</w:t>
      </w:r>
      <w:r w:rsidRPr="00E85346">
        <w:t xml:space="preserve"> </w:t>
      </w:r>
      <w:r w:rsidR="00DE4B10">
        <w:t>his</w:t>
      </w:r>
      <w:r w:rsidR="00DE4B10" w:rsidRPr="00E85346">
        <w:t xml:space="preserve"> </w:t>
      </w:r>
      <w:r w:rsidRPr="00E85346">
        <w:t xml:space="preserve">certification of restoration </w:t>
      </w:r>
      <w:r>
        <w:t>wa</w:t>
      </w:r>
      <w:r w:rsidRPr="00E85346">
        <w:t>s filed</w:t>
      </w:r>
      <w:r w:rsidR="00703BB4">
        <w:t xml:space="preserve">.  </w:t>
      </w:r>
      <w:r w:rsidR="00DE4B10">
        <w:t>W</w:t>
      </w:r>
      <w:r w:rsidR="00095673">
        <w:t xml:space="preserve">e </w:t>
      </w:r>
      <w:r w:rsidR="00DE4B10">
        <w:t xml:space="preserve">therefore </w:t>
      </w:r>
      <w:r w:rsidR="00095673">
        <w:t xml:space="preserve">agree with the trial court’s ultimate </w:t>
      </w:r>
      <w:r w:rsidR="00B13468">
        <w:t>determination</w:t>
      </w:r>
      <w:r w:rsidR="00095673">
        <w:t xml:space="preserve"> that Rodriguez’s maximum commitment period under section 1370(c)(1) has not yet run, </w:t>
      </w:r>
      <w:r w:rsidR="00481156">
        <w:t xml:space="preserve">it may hold a hearing under section 1372, </w:t>
      </w:r>
      <w:r w:rsidR="00095673">
        <w:t xml:space="preserve">and it need not dismiss the criminal cases.  </w:t>
      </w:r>
      <w:r w:rsidR="00C54DC3">
        <w:t>Thus, we</w:t>
      </w:r>
      <w:r w:rsidR="00703BB4">
        <w:t xml:space="preserve"> deny </w:t>
      </w:r>
      <w:r w:rsidR="004D2B62">
        <w:t>Rodriguez’s</w:t>
      </w:r>
      <w:r w:rsidR="00703BB4">
        <w:t xml:space="preserve"> petition for writ of prohibition or other equitable relief.</w:t>
      </w:r>
    </w:p>
    <w:bookmarkEnd w:id="2"/>
    <w:p w14:paraId="7C6FE544" w14:textId="5D556AB5" w:rsidR="00004477" w:rsidRDefault="0053713C" w:rsidP="00752E03">
      <w:pPr>
        <w:pStyle w:val="Heading1"/>
      </w:pPr>
      <w:r>
        <w:t>I.  Fact</w:t>
      </w:r>
      <w:r w:rsidR="000A35B9">
        <w:t>ual</w:t>
      </w:r>
      <w:r>
        <w:t xml:space="preserve"> and procedural backgro</w:t>
      </w:r>
      <w:r>
        <w:t>und</w:t>
      </w:r>
    </w:p>
    <w:p w14:paraId="6BBB5BFC" w14:textId="56B45FD4" w:rsidR="00004477" w:rsidRDefault="0053713C" w:rsidP="00534146">
      <w:pPr>
        <w:pStyle w:val="Heading2"/>
      </w:pPr>
      <w:r>
        <w:rPr>
          <w:i w:val="0"/>
          <w:iCs w:val="0"/>
        </w:rPr>
        <w:t xml:space="preserve">A.  </w:t>
      </w:r>
      <w:r w:rsidR="00534146">
        <w:t>Charge</w:t>
      </w:r>
      <w:r w:rsidR="006A799A">
        <w:t>d Offenses</w:t>
      </w:r>
    </w:p>
    <w:p w14:paraId="4BC6C936" w14:textId="4BAB2F7E" w:rsidR="00534146" w:rsidRDefault="0053713C" w:rsidP="00AF7A20">
      <w:r>
        <w:t>O</w:t>
      </w:r>
      <w:r w:rsidR="000367B4">
        <w:t>n</w:t>
      </w:r>
      <w:r w:rsidR="009F3ADD">
        <w:t xml:space="preserve"> December </w:t>
      </w:r>
      <w:r w:rsidR="00285FA6">
        <w:t xml:space="preserve">29, </w:t>
      </w:r>
      <w:r w:rsidR="009F3ADD">
        <w:t xml:space="preserve">2016, </w:t>
      </w:r>
      <w:r w:rsidR="000367B4">
        <w:t xml:space="preserve">the Santa Clara County District Attorney </w:t>
      </w:r>
      <w:r w:rsidR="00285FA6">
        <w:t xml:space="preserve">(district attorney) </w:t>
      </w:r>
      <w:r w:rsidR="000367B4">
        <w:t xml:space="preserve">filed </w:t>
      </w:r>
      <w:r>
        <w:t xml:space="preserve">two </w:t>
      </w:r>
      <w:r w:rsidR="000367B4">
        <w:t>information</w:t>
      </w:r>
      <w:r>
        <w:t xml:space="preserve">s </w:t>
      </w:r>
      <w:r w:rsidR="00030886">
        <w:t>against Rodriguez</w:t>
      </w:r>
      <w:r>
        <w:t xml:space="preserve">.  One </w:t>
      </w:r>
      <w:r w:rsidR="000367B4">
        <w:t>charg</w:t>
      </w:r>
      <w:r>
        <w:t>ed</w:t>
      </w:r>
      <w:r w:rsidR="000367B4">
        <w:t xml:space="preserve"> Rodriguez with </w:t>
      </w:r>
      <w:r w:rsidR="00285FA6">
        <w:t xml:space="preserve">making </w:t>
      </w:r>
      <w:r>
        <w:t xml:space="preserve">criminal </w:t>
      </w:r>
      <w:r w:rsidR="00285FA6">
        <w:t>t</w:t>
      </w:r>
      <w:r w:rsidR="000367B4">
        <w:t>hreats</w:t>
      </w:r>
      <w:r>
        <w:t xml:space="preserve"> on or</w:t>
      </w:r>
      <w:r w:rsidR="00285FA6">
        <w:t xml:space="preserve"> about August 30, 2016</w:t>
      </w:r>
      <w:r w:rsidR="000367B4">
        <w:t xml:space="preserve"> (</w:t>
      </w:r>
      <w:r>
        <w:t>§ </w:t>
      </w:r>
      <w:r w:rsidR="000367B4">
        <w:t>422).  (Case No. C1647395</w:t>
      </w:r>
      <w:r w:rsidR="00285FA6">
        <w:t>.</w:t>
      </w:r>
      <w:r w:rsidR="000367B4">
        <w:t>)</w:t>
      </w:r>
      <w:r w:rsidR="00285FA6">
        <w:t xml:space="preserve"> </w:t>
      </w:r>
      <w:r w:rsidR="000367B4">
        <w:t xml:space="preserve"> </w:t>
      </w:r>
      <w:r>
        <w:t>The other</w:t>
      </w:r>
      <w:r w:rsidR="009F3ADD">
        <w:t xml:space="preserve"> </w:t>
      </w:r>
      <w:r w:rsidR="005C73B6">
        <w:t>alleged</w:t>
      </w:r>
      <w:r w:rsidR="009F3ADD">
        <w:t xml:space="preserve"> </w:t>
      </w:r>
      <w:r w:rsidR="005C73B6">
        <w:t xml:space="preserve">multiple crimes that occurred on or about November 6, 2016:  </w:t>
      </w:r>
      <w:r w:rsidR="007E3C39">
        <w:t>a</w:t>
      </w:r>
      <w:r w:rsidR="009F3ADD">
        <w:t xml:space="preserve">ssault with a </w:t>
      </w:r>
      <w:r w:rsidR="007E3C39">
        <w:t>d</w:t>
      </w:r>
      <w:r w:rsidR="009F3ADD">
        <w:t xml:space="preserve">eadly </w:t>
      </w:r>
      <w:r w:rsidR="007E3C39">
        <w:t>w</w:t>
      </w:r>
      <w:r w:rsidR="009F3ADD">
        <w:t>eapon (</w:t>
      </w:r>
      <w:r>
        <w:t>§ </w:t>
      </w:r>
      <w:r w:rsidR="009F3ADD">
        <w:t xml:space="preserve">245, subd. (a)(1)) </w:t>
      </w:r>
      <w:r w:rsidR="004B7EB0">
        <w:t>with an enhancement for personally</w:t>
      </w:r>
      <w:r w:rsidR="009F3ADD">
        <w:t xml:space="preserve"> </w:t>
      </w:r>
      <w:r w:rsidR="00285FA6">
        <w:t>i</w:t>
      </w:r>
      <w:r w:rsidR="009F3ADD">
        <w:t>nflicti</w:t>
      </w:r>
      <w:r w:rsidR="00975924">
        <w:t>ng</w:t>
      </w:r>
      <w:r w:rsidR="009F3ADD">
        <w:t xml:space="preserve"> </w:t>
      </w:r>
      <w:r w:rsidR="00285FA6">
        <w:t>g</w:t>
      </w:r>
      <w:r w:rsidR="009F3ADD">
        <w:t xml:space="preserve">reat </w:t>
      </w:r>
      <w:r w:rsidR="00285FA6">
        <w:t>b</w:t>
      </w:r>
      <w:r w:rsidR="009F3ADD">
        <w:t xml:space="preserve">odily </w:t>
      </w:r>
      <w:r w:rsidR="00285FA6">
        <w:t>i</w:t>
      </w:r>
      <w:r w:rsidR="009F3ADD">
        <w:t xml:space="preserve">njury </w:t>
      </w:r>
      <w:r w:rsidR="00285FA6">
        <w:t>(</w:t>
      </w:r>
      <w:r w:rsidR="00285FA6" w:rsidRPr="00DF0BAE">
        <w:t>§</w:t>
      </w:r>
      <w:r>
        <w:t>§ </w:t>
      </w:r>
      <w:r w:rsidR="00285FA6" w:rsidRPr="00DF0BAE">
        <w:t>12022.7, subd</w:t>
      </w:r>
      <w:r w:rsidR="00285FA6">
        <w:t>.</w:t>
      </w:r>
      <w:r w:rsidR="00285FA6" w:rsidRPr="00DF0BAE">
        <w:t xml:space="preserve"> (</w:t>
      </w:r>
      <w:r w:rsidR="00285FA6">
        <w:t>a</w:t>
      </w:r>
      <w:r w:rsidR="00285FA6" w:rsidRPr="00DF0BAE">
        <w:t>), 1203, subd</w:t>
      </w:r>
      <w:r w:rsidR="00285FA6">
        <w:t>.</w:t>
      </w:r>
      <w:r w:rsidR="00285FA6" w:rsidRPr="00DF0BAE">
        <w:t xml:space="preserve"> (e)(3)</w:t>
      </w:r>
      <w:r w:rsidR="009F3ADD">
        <w:t>)</w:t>
      </w:r>
      <w:r w:rsidR="005C73B6">
        <w:t>;</w:t>
      </w:r>
      <w:r w:rsidR="004D58B2">
        <w:t xml:space="preserve"> o</w:t>
      </w:r>
      <w:r w:rsidR="009F3ADD">
        <w:t xml:space="preserve">ral </w:t>
      </w:r>
      <w:r w:rsidR="004D58B2">
        <w:t>c</w:t>
      </w:r>
      <w:r w:rsidR="009F3ADD">
        <w:t xml:space="preserve">opulation by </w:t>
      </w:r>
      <w:r w:rsidR="004D58B2">
        <w:t>f</w:t>
      </w:r>
      <w:r w:rsidR="009F3ADD">
        <w:t xml:space="preserve">orce, </w:t>
      </w:r>
      <w:r w:rsidR="004D58B2">
        <w:t>v</w:t>
      </w:r>
      <w:r w:rsidR="009F3ADD">
        <w:t xml:space="preserve">iolence, </w:t>
      </w:r>
      <w:r w:rsidR="004D58B2">
        <w:t>d</w:t>
      </w:r>
      <w:r w:rsidR="009F3ADD">
        <w:t xml:space="preserve">uress, </w:t>
      </w:r>
      <w:r w:rsidR="004D58B2">
        <w:t>m</w:t>
      </w:r>
      <w:r w:rsidR="009F3ADD">
        <w:t xml:space="preserve">enace, or </w:t>
      </w:r>
      <w:r w:rsidR="004D58B2">
        <w:t>f</w:t>
      </w:r>
      <w:r w:rsidR="009F3ADD">
        <w:t>ear (</w:t>
      </w:r>
      <w:r w:rsidR="00A61D86">
        <w:t xml:space="preserve">former </w:t>
      </w:r>
      <w:r>
        <w:t>§ </w:t>
      </w:r>
      <w:r w:rsidR="009F3ADD">
        <w:t>288a, subd. (c)(2))</w:t>
      </w:r>
      <w:r w:rsidR="005C73B6">
        <w:t>;</w:t>
      </w:r>
      <w:r w:rsidR="009F3ADD">
        <w:t xml:space="preserve"> </w:t>
      </w:r>
      <w:r w:rsidR="004D58B2">
        <w:t>r</w:t>
      </w:r>
      <w:r w:rsidR="009F3ADD">
        <w:t xml:space="preserve">ape by </w:t>
      </w:r>
      <w:r w:rsidR="004D58B2">
        <w:t>f</w:t>
      </w:r>
      <w:r w:rsidR="009F3ADD">
        <w:t xml:space="preserve">orce, </w:t>
      </w:r>
      <w:r w:rsidR="004D58B2">
        <w:t>v</w:t>
      </w:r>
      <w:r w:rsidR="009F3ADD">
        <w:t xml:space="preserve">iolence, </w:t>
      </w:r>
      <w:r w:rsidR="004D58B2">
        <w:t>d</w:t>
      </w:r>
      <w:r w:rsidR="009F3ADD">
        <w:t xml:space="preserve">uress, </w:t>
      </w:r>
      <w:r w:rsidR="004D58B2">
        <w:t>m</w:t>
      </w:r>
      <w:r w:rsidR="009F3ADD">
        <w:t xml:space="preserve">enace, or </w:t>
      </w:r>
      <w:r w:rsidR="004D58B2">
        <w:t>f</w:t>
      </w:r>
      <w:r w:rsidR="009F3ADD">
        <w:t>ear (</w:t>
      </w:r>
      <w:r>
        <w:t>§ </w:t>
      </w:r>
      <w:r w:rsidR="009F3ADD">
        <w:t>261, subd. (a)(2))</w:t>
      </w:r>
      <w:r w:rsidR="005C73B6">
        <w:t>;</w:t>
      </w:r>
      <w:r w:rsidR="009F3ADD">
        <w:t xml:space="preserve"> </w:t>
      </w:r>
      <w:r w:rsidR="004D58B2">
        <w:t>m</w:t>
      </w:r>
      <w:r w:rsidR="009F3ADD">
        <w:t xml:space="preserve">aking </w:t>
      </w:r>
      <w:r>
        <w:t xml:space="preserve">criminal </w:t>
      </w:r>
      <w:r w:rsidR="004D58B2">
        <w:t>t</w:t>
      </w:r>
      <w:r w:rsidR="009F3ADD">
        <w:t>hreats (§</w:t>
      </w:r>
      <w:r>
        <w:t> </w:t>
      </w:r>
      <w:r w:rsidR="009F3ADD">
        <w:t>422)</w:t>
      </w:r>
      <w:r w:rsidR="005C73B6">
        <w:t>;</w:t>
      </w:r>
      <w:r w:rsidR="009F3ADD">
        <w:t xml:space="preserve"> and </w:t>
      </w:r>
      <w:r w:rsidR="004D58B2">
        <w:t>i</w:t>
      </w:r>
      <w:r w:rsidR="009F3ADD">
        <w:t xml:space="preserve">nflicting </w:t>
      </w:r>
      <w:r w:rsidR="004D58B2">
        <w:t>c</w:t>
      </w:r>
      <w:r w:rsidR="009F3ADD">
        <w:t xml:space="preserve">orporal </w:t>
      </w:r>
      <w:r w:rsidR="004D58B2">
        <w:t>i</w:t>
      </w:r>
      <w:r w:rsidR="009F3ADD">
        <w:t xml:space="preserve">njury on a </w:t>
      </w:r>
      <w:r w:rsidR="004D58B2">
        <w:t>s</w:t>
      </w:r>
      <w:r w:rsidR="009F3ADD">
        <w:t xml:space="preserve">pouse, </w:t>
      </w:r>
      <w:r w:rsidR="004D58B2">
        <w:t>c</w:t>
      </w:r>
      <w:r w:rsidR="009F3ADD">
        <w:t xml:space="preserve">ohabitant, </w:t>
      </w:r>
      <w:r w:rsidR="004D58B2">
        <w:t>f</w:t>
      </w:r>
      <w:r w:rsidR="009F3ADD">
        <w:t xml:space="preserve">ormer </w:t>
      </w:r>
      <w:r w:rsidR="00975924">
        <w:t>s</w:t>
      </w:r>
      <w:r w:rsidR="009F3ADD">
        <w:t xml:space="preserve">pouse, or </w:t>
      </w:r>
      <w:r w:rsidR="004D58B2">
        <w:t>former c</w:t>
      </w:r>
      <w:r w:rsidR="009F3ADD">
        <w:t>ohabitant (</w:t>
      </w:r>
      <w:r>
        <w:t>§ </w:t>
      </w:r>
      <w:r w:rsidR="009F3ADD">
        <w:t>273.5, subd. (a)).  (Case No. C1650275</w:t>
      </w:r>
      <w:r w:rsidR="000367B4">
        <w:t>.)</w:t>
      </w:r>
      <w:r w:rsidR="009F3ADD">
        <w:t xml:space="preserve"> </w:t>
      </w:r>
    </w:p>
    <w:p w14:paraId="07B4E867" w14:textId="4F69A785" w:rsidR="00534146" w:rsidRDefault="0053713C" w:rsidP="00534146">
      <w:pPr>
        <w:pStyle w:val="Heading2"/>
      </w:pPr>
      <w:r>
        <w:rPr>
          <w:i w:val="0"/>
          <w:iCs w:val="0"/>
        </w:rPr>
        <w:lastRenderedPageBreak/>
        <w:t xml:space="preserve">B.  </w:t>
      </w:r>
      <w:r w:rsidR="00AF7A20">
        <w:t xml:space="preserve">Proceedings </w:t>
      </w:r>
      <w:r w:rsidR="00BC29D9">
        <w:t>Regarding</w:t>
      </w:r>
      <w:r w:rsidR="00AF7A20">
        <w:t xml:space="preserve"> Rodriguez’s C</w:t>
      </w:r>
      <w:r>
        <w:t>ompetency</w:t>
      </w:r>
      <w:r w:rsidR="00975924">
        <w:t xml:space="preserve"> to Stand Trial</w:t>
      </w:r>
    </w:p>
    <w:p w14:paraId="36D7AE7F" w14:textId="115E66B9" w:rsidR="008F7C20" w:rsidRDefault="0053713C" w:rsidP="00AF7A20">
      <w:r>
        <w:t>In December 2016, w</w:t>
      </w:r>
      <w:r w:rsidRPr="008F7C20">
        <w:t xml:space="preserve">hen </w:t>
      </w:r>
      <w:r w:rsidR="00B0197E">
        <w:t>the trial</w:t>
      </w:r>
      <w:r w:rsidRPr="008F7C20">
        <w:t xml:space="preserve"> court held Rodriguez to answer for </w:t>
      </w:r>
      <w:r>
        <w:t>his alleged crimes</w:t>
      </w:r>
      <w:r w:rsidRPr="008F7C20">
        <w:t xml:space="preserve">, it ordered </w:t>
      </w:r>
      <w:r>
        <w:t xml:space="preserve">$25,000 </w:t>
      </w:r>
      <w:r w:rsidR="00B0197E">
        <w:t xml:space="preserve">bail </w:t>
      </w:r>
      <w:r>
        <w:t xml:space="preserve">and </w:t>
      </w:r>
      <w:r w:rsidRPr="008F7C20">
        <w:t xml:space="preserve">no </w:t>
      </w:r>
      <w:r w:rsidRPr="008F7C20">
        <w:t>bail allowed</w:t>
      </w:r>
      <w:r w:rsidR="00B0197E">
        <w:t>, respectively,</w:t>
      </w:r>
      <w:r>
        <w:t xml:space="preserve"> on </w:t>
      </w:r>
      <w:r w:rsidR="00B0197E">
        <w:t>Rodriguez’s two cases</w:t>
      </w:r>
      <w:r w:rsidRPr="008F7C20">
        <w:t xml:space="preserve">. </w:t>
      </w:r>
    </w:p>
    <w:p w14:paraId="1C558DAD" w14:textId="0397C057" w:rsidR="00236C6D" w:rsidRDefault="0053713C" w:rsidP="00481156">
      <w:pPr>
        <w:pStyle w:val="Heading3"/>
      </w:pPr>
      <w:r>
        <w:t>First Competency Proceeding</w:t>
      </w:r>
      <w:r w:rsidR="003D5772">
        <w:t>s</w:t>
      </w:r>
    </w:p>
    <w:p w14:paraId="7BDF4283" w14:textId="718F04E8" w:rsidR="00AF7A20" w:rsidRDefault="0053713C" w:rsidP="00236C6D">
      <w:r>
        <w:t>One year later, on</w:t>
      </w:r>
      <w:r w:rsidRPr="00AF7A20">
        <w:t xml:space="preserve"> December 27, 2017, </w:t>
      </w:r>
      <w:r w:rsidR="00481156">
        <w:t>the trial</w:t>
      </w:r>
      <w:r w:rsidR="00F00120">
        <w:t xml:space="preserve"> </w:t>
      </w:r>
      <w:r w:rsidRPr="00AF7A20">
        <w:t xml:space="preserve">court declared a doubt </w:t>
      </w:r>
      <w:r w:rsidR="0097356E">
        <w:t>about</w:t>
      </w:r>
      <w:r w:rsidRPr="00AF7A20">
        <w:t xml:space="preserve"> </w:t>
      </w:r>
      <w:r w:rsidR="00F00120">
        <w:t>Rodriguez</w:t>
      </w:r>
      <w:r w:rsidRPr="00AF7A20">
        <w:t xml:space="preserve">’s competency to stand trial and suspended </w:t>
      </w:r>
      <w:r w:rsidR="0097356E">
        <w:t xml:space="preserve">the </w:t>
      </w:r>
      <w:r w:rsidRPr="00AF7A20">
        <w:t>proceedings</w:t>
      </w:r>
      <w:r>
        <w:t xml:space="preserve">. </w:t>
      </w:r>
      <w:r w:rsidR="004D23A7">
        <w:t xml:space="preserve"> </w:t>
      </w:r>
      <w:r>
        <w:t>On May 3, 2018,</w:t>
      </w:r>
      <w:r w:rsidR="002D4596">
        <w:t xml:space="preserve"> after the parties submitted the question </w:t>
      </w:r>
      <w:r w:rsidR="002F2F1E">
        <w:t xml:space="preserve">of competency </w:t>
      </w:r>
      <w:r w:rsidR="002D4596">
        <w:t>on the examiners’ reports,</w:t>
      </w:r>
      <w:r>
        <w:t xml:space="preserve"> </w:t>
      </w:r>
      <w:r w:rsidR="00B0197E">
        <w:t>the trial</w:t>
      </w:r>
      <w:r w:rsidR="0095042E">
        <w:t xml:space="preserve"> </w:t>
      </w:r>
      <w:r>
        <w:t xml:space="preserve">court found </w:t>
      </w:r>
      <w:r w:rsidR="0095042E">
        <w:t>Rodriguez</w:t>
      </w:r>
      <w:r>
        <w:t xml:space="preserve"> </w:t>
      </w:r>
      <w:r w:rsidR="005E6211">
        <w:t xml:space="preserve">not </w:t>
      </w:r>
      <w:r>
        <w:t xml:space="preserve">competent. </w:t>
      </w:r>
    </w:p>
    <w:p w14:paraId="20C29796" w14:textId="03319746" w:rsidR="008B4EF0" w:rsidRDefault="0053713C" w:rsidP="00236C6D">
      <w:r>
        <w:t xml:space="preserve">On May 24, 2018, </w:t>
      </w:r>
      <w:r w:rsidR="00B0197E">
        <w:t>the trial</w:t>
      </w:r>
      <w:r w:rsidR="00BB6BC6">
        <w:t xml:space="preserve"> court</w:t>
      </w:r>
      <w:r>
        <w:t xml:space="preserve"> </w:t>
      </w:r>
      <w:r w:rsidR="003738E9">
        <w:t xml:space="preserve">signed an </w:t>
      </w:r>
      <w:r w:rsidR="00FD2A22">
        <w:t>o</w:t>
      </w:r>
      <w:r w:rsidR="003738E9">
        <w:t xml:space="preserve">rder of </w:t>
      </w:r>
      <w:r w:rsidR="00FD2A22">
        <w:t>c</w:t>
      </w:r>
      <w:r w:rsidR="003738E9">
        <w:t xml:space="preserve">ommitment committing </w:t>
      </w:r>
      <w:r w:rsidR="00A714A5">
        <w:t xml:space="preserve">Rodriguez </w:t>
      </w:r>
      <w:r w:rsidR="003738E9">
        <w:t>in</w:t>
      </w:r>
      <w:r w:rsidR="00A714A5">
        <w:t xml:space="preserve"> both </w:t>
      </w:r>
      <w:r w:rsidR="005E6211">
        <w:t xml:space="preserve">of his </w:t>
      </w:r>
      <w:r w:rsidR="00A714A5">
        <w:t>cases</w:t>
      </w:r>
      <w:r>
        <w:t xml:space="preserve"> to the Department of State Hospitals (DSH) for placement in a locked psychiatric facility for care and treatment under section 1370, subdivision (a)(2). </w:t>
      </w:r>
      <w:r w:rsidR="00D03E83">
        <w:t xml:space="preserve"> The court’s order stated the “maximum term is 3 years minus 0 days actual credit” (</w:t>
      </w:r>
      <w:r w:rsidR="007A3334">
        <w:t>bold</w:t>
      </w:r>
      <w:r w:rsidR="00A677EF">
        <w:t>face</w:t>
      </w:r>
      <w:r w:rsidR="007A3334">
        <w:t xml:space="preserve"> </w:t>
      </w:r>
      <w:r w:rsidR="0072046C">
        <w:t>&amp;</w:t>
      </w:r>
      <w:r w:rsidR="007A3334">
        <w:t xml:space="preserve"> </w:t>
      </w:r>
      <w:r w:rsidR="00D03E83">
        <w:t xml:space="preserve">capitalization omitted). </w:t>
      </w:r>
      <w:r w:rsidR="004D23A7">
        <w:t xml:space="preserve"> </w:t>
      </w:r>
      <w:r>
        <w:t xml:space="preserve">On May 25, 2018, </w:t>
      </w:r>
      <w:r w:rsidR="002E0B6F">
        <w:t>the trial</w:t>
      </w:r>
      <w:r w:rsidR="00BB6BC6">
        <w:t xml:space="preserve"> court</w:t>
      </w:r>
      <w:r>
        <w:t xml:space="preserve"> signed an order directing DSH to provide a placement for Rodriguez “by 5:00 p</w:t>
      </w:r>
      <w:r w:rsidR="007A3334">
        <w:t>.</w:t>
      </w:r>
      <w:r>
        <w:t>m</w:t>
      </w:r>
      <w:r w:rsidR="007A3334">
        <w:t>.</w:t>
      </w:r>
      <w:r>
        <w:t>, June 29, 2018.”</w:t>
      </w:r>
      <w:r w:rsidR="007A3334">
        <w:t xml:space="preserve"> (Bold</w:t>
      </w:r>
      <w:r w:rsidR="00A677EF">
        <w:t>face</w:t>
      </w:r>
      <w:r w:rsidR="007A3334">
        <w:t xml:space="preserve"> &amp; underlining omitted.)</w:t>
      </w:r>
      <w:r>
        <w:t xml:space="preserve"> </w:t>
      </w:r>
      <w:r w:rsidR="00F44F16">
        <w:t xml:space="preserve"> </w:t>
      </w:r>
      <w:r w:rsidR="000D4C14">
        <w:t>Neither t</w:t>
      </w:r>
      <w:r w:rsidR="000D4C14" w:rsidRPr="00763EA9">
        <w:t xml:space="preserve">he </w:t>
      </w:r>
      <w:r w:rsidR="000D4C14">
        <w:t>d</w:t>
      </w:r>
      <w:r w:rsidR="000D4C14" w:rsidRPr="00763EA9">
        <w:t xml:space="preserve">ate on which </w:t>
      </w:r>
      <w:r w:rsidR="000D4C14">
        <w:t>the court provided the requisite commitment documents to DSH (</w:t>
      </w:r>
      <w:r w:rsidR="0097356E">
        <w:t xml:space="preserve">the section </w:t>
      </w:r>
      <w:r w:rsidR="00A93DDD">
        <w:t>1370</w:t>
      </w:r>
      <w:r w:rsidR="000D4C14">
        <w:t xml:space="preserve"> packet) (see § 1370, subd. (a)(3)(A)–(I)) nor the date on which </w:t>
      </w:r>
      <w:r w:rsidR="000D4C14" w:rsidRPr="00763EA9">
        <w:t>Rodriguez was admitted into a DSH facility appear</w:t>
      </w:r>
      <w:r w:rsidR="000D4C14">
        <w:t>s</w:t>
      </w:r>
      <w:r w:rsidR="000D4C14" w:rsidRPr="00763EA9">
        <w:t xml:space="preserve"> in the material </w:t>
      </w:r>
      <w:r w:rsidR="00790498">
        <w:t>provided</w:t>
      </w:r>
      <w:r w:rsidR="000D4C14" w:rsidRPr="00763EA9">
        <w:t xml:space="preserve"> by the parties to this court.</w:t>
      </w:r>
    </w:p>
    <w:p w14:paraId="20C599F2" w14:textId="1C17672E" w:rsidR="00AF7A20" w:rsidRDefault="0053713C" w:rsidP="00AF7A20">
      <w:r>
        <w:t xml:space="preserve">On September </w:t>
      </w:r>
      <w:r w:rsidR="00B32D93">
        <w:t>7</w:t>
      </w:r>
      <w:r>
        <w:t xml:space="preserve">, 2018, the </w:t>
      </w:r>
      <w:r w:rsidR="00FD2A22">
        <w:t>m</w:t>
      </w:r>
      <w:r>
        <w:t xml:space="preserve">edical </w:t>
      </w:r>
      <w:r w:rsidR="00FD2A22">
        <w:t>d</w:t>
      </w:r>
      <w:r>
        <w:t>irector of Atasca</w:t>
      </w:r>
      <w:r>
        <w:t xml:space="preserve">dero State Hospital certified that </w:t>
      </w:r>
      <w:r w:rsidR="00B32D93">
        <w:t>Rodriguez</w:t>
      </w:r>
      <w:r>
        <w:t xml:space="preserve"> was competent.  The </w:t>
      </w:r>
      <w:r w:rsidR="00FD2A22">
        <w:t>c</w:t>
      </w:r>
      <w:r>
        <w:t xml:space="preserve">ertification of </w:t>
      </w:r>
      <w:r w:rsidR="00FD2A22">
        <w:t>m</w:t>
      </w:r>
      <w:r>
        <w:t xml:space="preserve">ental </w:t>
      </w:r>
      <w:r w:rsidR="00FD2A22">
        <w:t>c</w:t>
      </w:r>
      <w:r>
        <w:t xml:space="preserve">ompetency </w:t>
      </w:r>
      <w:r w:rsidR="00AA54C1">
        <w:t xml:space="preserve">under section 1372 </w:t>
      </w:r>
      <w:r>
        <w:t xml:space="preserve">was filed </w:t>
      </w:r>
      <w:r w:rsidR="00EE72D2">
        <w:t xml:space="preserve">in </w:t>
      </w:r>
      <w:r w:rsidR="00BB6BC6">
        <w:t xml:space="preserve">the </w:t>
      </w:r>
      <w:r w:rsidR="002E0B6F">
        <w:t>trial</w:t>
      </w:r>
      <w:r w:rsidR="00BB6BC6">
        <w:t xml:space="preserve"> court</w:t>
      </w:r>
      <w:r w:rsidR="00EE72D2">
        <w:t xml:space="preserve"> </w:t>
      </w:r>
      <w:r>
        <w:t xml:space="preserve">on September </w:t>
      </w:r>
      <w:r w:rsidR="00EE72D2">
        <w:t>17</w:t>
      </w:r>
      <w:r>
        <w:t>, 2018.</w:t>
      </w:r>
      <w:r>
        <w:rPr>
          <w:rStyle w:val="FootnoteReference"/>
          <w:b/>
          <w:bCs/>
        </w:rPr>
        <w:footnoteReference w:id="3"/>
      </w:r>
      <w:r w:rsidR="00EE72D2">
        <w:t xml:space="preserve"> </w:t>
      </w:r>
      <w:r w:rsidR="00DF3A1A">
        <w:t xml:space="preserve"> </w:t>
      </w:r>
      <w:r w:rsidR="00A308A4">
        <w:t xml:space="preserve">The exact date </w:t>
      </w:r>
      <w:r w:rsidR="00D5613B">
        <w:t xml:space="preserve">of </w:t>
      </w:r>
      <w:r w:rsidR="00A308A4">
        <w:t>Rodriguez</w:t>
      </w:r>
      <w:r w:rsidR="00D5613B">
        <w:t>’s</w:t>
      </w:r>
      <w:r w:rsidR="00A308A4">
        <w:t xml:space="preserve"> discharge from </w:t>
      </w:r>
      <w:r w:rsidR="00CE2BAB">
        <w:t>DSH</w:t>
      </w:r>
      <w:r w:rsidR="00A308A4">
        <w:t xml:space="preserve"> does not appear in the material </w:t>
      </w:r>
      <w:r w:rsidR="00790498">
        <w:t>provided</w:t>
      </w:r>
      <w:r w:rsidR="00A308A4">
        <w:t xml:space="preserve"> to this court.</w:t>
      </w:r>
    </w:p>
    <w:p w14:paraId="57AF9980" w14:textId="0561E2CF" w:rsidR="00AF7A20" w:rsidRDefault="0053713C" w:rsidP="00AF7A20">
      <w:r>
        <w:lastRenderedPageBreak/>
        <w:t xml:space="preserve">On September 20, 2018, </w:t>
      </w:r>
      <w:r w:rsidR="002F574D">
        <w:t xml:space="preserve">the parties submitted </w:t>
      </w:r>
      <w:r w:rsidR="00613438">
        <w:t xml:space="preserve">on the examiners’ reports </w:t>
      </w:r>
      <w:r w:rsidR="002F574D">
        <w:t xml:space="preserve">the question </w:t>
      </w:r>
      <w:r w:rsidR="00D46733">
        <w:t xml:space="preserve">of restoration to </w:t>
      </w:r>
      <w:r w:rsidR="00613438">
        <w:t>competence</w:t>
      </w:r>
      <w:r w:rsidR="00A308A4">
        <w:t xml:space="preserve">.  </w:t>
      </w:r>
      <w:r w:rsidR="002E0B6F">
        <w:t>The trial</w:t>
      </w:r>
      <w:r w:rsidR="00BB6BC6">
        <w:t xml:space="preserve"> court</w:t>
      </w:r>
      <w:r>
        <w:t xml:space="preserve"> found </w:t>
      </w:r>
      <w:r w:rsidR="001C5D88">
        <w:t>Rodriguez</w:t>
      </w:r>
      <w:r>
        <w:t xml:space="preserve">’s competency restored and reinstated </w:t>
      </w:r>
      <w:r w:rsidR="002F574D">
        <w:t>the</w:t>
      </w:r>
      <w:r>
        <w:t xml:space="preserve"> </w:t>
      </w:r>
      <w:r w:rsidR="002E0B6F">
        <w:t xml:space="preserve">criminal </w:t>
      </w:r>
      <w:r>
        <w:t>pr</w:t>
      </w:r>
      <w:r>
        <w:t xml:space="preserve">oceedings. </w:t>
      </w:r>
      <w:r w:rsidR="00F44F16">
        <w:t xml:space="preserve"> Rodriguez was present in court for this hearing</w:t>
      </w:r>
      <w:r w:rsidR="00A308A4">
        <w:t xml:space="preserve"> and waived time for trial</w:t>
      </w:r>
      <w:r w:rsidR="00F44F16">
        <w:t xml:space="preserve">. </w:t>
      </w:r>
    </w:p>
    <w:p w14:paraId="032F2813" w14:textId="37E760D4" w:rsidR="00236C6D" w:rsidRDefault="0053713C" w:rsidP="004D23A7">
      <w:pPr>
        <w:pStyle w:val="Heading3"/>
      </w:pPr>
      <w:r>
        <w:t>Second Competency Proceeding</w:t>
      </w:r>
      <w:r w:rsidR="003D5772">
        <w:t>s</w:t>
      </w:r>
    </w:p>
    <w:p w14:paraId="5E0DFE41" w14:textId="41F7D09F" w:rsidR="00AF7A20" w:rsidRDefault="0053713C" w:rsidP="004D23A7">
      <w:r>
        <w:t xml:space="preserve">Almost four months later, on January 10, 2019, </w:t>
      </w:r>
      <w:r w:rsidR="002E0B6F">
        <w:t>the trial</w:t>
      </w:r>
      <w:r w:rsidR="00BB6BC6">
        <w:t xml:space="preserve"> court</w:t>
      </w:r>
      <w:r>
        <w:t xml:space="preserve"> </w:t>
      </w:r>
      <w:r w:rsidR="002F574D">
        <w:t xml:space="preserve">again </w:t>
      </w:r>
      <w:r>
        <w:t xml:space="preserve">declared a doubt </w:t>
      </w:r>
      <w:r w:rsidR="00AB0BCF">
        <w:t>about</w:t>
      </w:r>
      <w:r>
        <w:t xml:space="preserve"> </w:t>
      </w:r>
      <w:r w:rsidR="000051C5">
        <w:t>Rodriguez</w:t>
      </w:r>
      <w:r>
        <w:t xml:space="preserve">’s competency and suspended </w:t>
      </w:r>
      <w:r w:rsidR="00AB0BCF">
        <w:t xml:space="preserve">the </w:t>
      </w:r>
      <w:r>
        <w:t>proce</w:t>
      </w:r>
      <w:r>
        <w:t xml:space="preserve">edings. </w:t>
      </w:r>
      <w:r w:rsidR="004D23A7">
        <w:t xml:space="preserve"> </w:t>
      </w:r>
      <w:r>
        <w:t>On April 18, 2019,</w:t>
      </w:r>
      <w:r w:rsidR="002F574D">
        <w:t xml:space="preserve"> after the parties submitted the question </w:t>
      </w:r>
      <w:r w:rsidR="002F2F1E">
        <w:t xml:space="preserve">of competency </w:t>
      </w:r>
      <w:r w:rsidR="002F574D">
        <w:t>on the examiners’ reports,</w:t>
      </w:r>
      <w:r>
        <w:t xml:space="preserve"> </w:t>
      </w:r>
      <w:r w:rsidR="002E0B6F">
        <w:t>the trial</w:t>
      </w:r>
      <w:r w:rsidR="00BB6BC6">
        <w:t xml:space="preserve"> court</w:t>
      </w:r>
      <w:r>
        <w:t xml:space="preserve"> found </w:t>
      </w:r>
      <w:r w:rsidR="00DA6F15">
        <w:t>Rodriguez</w:t>
      </w:r>
      <w:r>
        <w:t xml:space="preserve"> not competen</w:t>
      </w:r>
      <w:r w:rsidR="002F574D">
        <w:t>t</w:t>
      </w:r>
      <w:r>
        <w:t xml:space="preserve">. </w:t>
      </w:r>
    </w:p>
    <w:p w14:paraId="01617F46" w14:textId="144D3722" w:rsidR="00763EA9" w:rsidRDefault="0053713C" w:rsidP="00236C6D">
      <w:r>
        <w:t xml:space="preserve">On May 16, 2019, </w:t>
      </w:r>
      <w:r w:rsidR="002E0B6F">
        <w:t>the trial</w:t>
      </w:r>
      <w:r w:rsidR="00BB6BC6">
        <w:t xml:space="preserve"> court</w:t>
      </w:r>
      <w:r>
        <w:t xml:space="preserve"> ordered that </w:t>
      </w:r>
      <w:r w:rsidR="00647425">
        <w:t>Rodriguez</w:t>
      </w:r>
      <w:r>
        <w:t xml:space="preserve"> be committed to DSH for placement in a locked psychiatric facility for care and treatment </w:t>
      </w:r>
      <w:r w:rsidR="00BC29D9">
        <w:t xml:space="preserve">under section 1370, subdivision (a)(2). </w:t>
      </w:r>
      <w:r w:rsidR="00AE5436">
        <w:t xml:space="preserve"> </w:t>
      </w:r>
      <w:r w:rsidR="00647425" w:rsidRPr="00647425">
        <w:t xml:space="preserve">The court’s </w:t>
      </w:r>
      <w:r w:rsidR="00AB0BCF">
        <w:t xml:space="preserve">subsequent </w:t>
      </w:r>
      <w:r w:rsidR="002F574D">
        <w:t xml:space="preserve">written </w:t>
      </w:r>
      <w:r w:rsidR="00FD2A22">
        <w:t>o</w:t>
      </w:r>
      <w:r w:rsidR="00227309">
        <w:t xml:space="preserve">rder of </w:t>
      </w:r>
      <w:r w:rsidR="00FD2A22">
        <w:t>c</w:t>
      </w:r>
      <w:r w:rsidR="00227309">
        <w:t xml:space="preserve">ommitment (signed on May 31, 2019) </w:t>
      </w:r>
      <w:r w:rsidR="00647425" w:rsidRPr="00647425">
        <w:t xml:space="preserve">stated the “maximum term is </w:t>
      </w:r>
      <w:r w:rsidR="00647425">
        <w:t>2</w:t>
      </w:r>
      <w:r w:rsidR="00647425" w:rsidRPr="00647425">
        <w:t xml:space="preserve"> years minus 0 days actual credit</w:t>
      </w:r>
      <w:r w:rsidR="00647425">
        <w:t xml:space="preserve"> on C1898510 and TBD credits by Department of State Hospital</w:t>
      </w:r>
      <w:r>
        <w:t>[s]</w:t>
      </w:r>
      <w:r w:rsidR="00647425">
        <w:t xml:space="preserve"> on C1650275 &amp; C1647395</w:t>
      </w:r>
      <w:r w:rsidR="00647425" w:rsidRPr="00647425">
        <w:t>” (</w:t>
      </w:r>
      <w:r w:rsidR="007A3334">
        <w:t>bold</w:t>
      </w:r>
      <w:r w:rsidR="00A677EF">
        <w:t>face</w:t>
      </w:r>
      <w:r w:rsidR="007A3334">
        <w:t xml:space="preserve"> &amp; </w:t>
      </w:r>
      <w:r w:rsidR="00647425" w:rsidRPr="00647425">
        <w:t>capitalization omitted).</w:t>
      </w:r>
      <w:r>
        <w:rPr>
          <w:rStyle w:val="FootnoteReference"/>
          <w:b/>
          <w:bCs/>
        </w:rPr>
        <w:footnoteReference w:id="4"/>
      </w:r>
      <w:r w:rsidR="00647425" w:rsidRPr="00647425">
        <w:t xml:space="preserve"> </w:t>
      </w:r>
      <w:r w:rsidR="00A645F9">
        <w:t xml:space="preserve"> </w:t>
      </w:r>
      <w:r w:rsidRPr="00763EA9">
        <w:t xml:space="preserve">On May </w:t>
      </w:r>
      <w:r>
        <w:t>31</w:t>
      </w:r>
      <w:r w:rsidRPr="00763EA9">
        <w:t>, 201</w:t>
      </w:r>
      <w:r>
        <w:t>9</w:t>
      </w:r>
      <w:r w:rsidRPr="00763EA9">
        <w:t xml:space="preserve">, </w:t>
      </w:r>
      <w:r w:rsidR="002E0B6F">
        <w:t>the trial</w:t>
      </w:r>
      <w:r w:rsidR="00BB6BC6">
        <w:t xml:space="preserve"> court</w:t>
      </w:r>
      <w:r w:rsidRPr="00763EA9">
        <w:t xml:space="preserve"> signed an order directing DSH to provide a placement for Rodriguez “by 5:00 p</w:t>
      </w:r>
      <w:r w:rsidR="007A3334">
        <w:t>.</w:t>
      </w:r>
      <w:r w:rsidRPr="00763EA9">
        <w:t>m</w:t>
      </w:r>
      <w:r w:rsidR="007A3334">
        <w:t>.</w:t>
      </w:r>
      <w:r w:rsidR="0072046C">
        <w:t xml:space="preserve"> [on]</w:t>
      </w:r>
      <w:r w:rsidRPr="00763EA9">
        <w:t xml:space="preserve"> June </w:t>
      </w:r>
      <w:r>
        <w:t>14</w:t>
      </w:r>
      <w:r w:rsidRPr="00763EA9">
        <w:t>, 201</w:t>
      </w:r>
      <w:r>
        <w:t>9</w:t>
      </w:r>
      <w:r w:rsidRPr="00763EA9">
        <w:t xml:space="preserve">.” </w:t>
      </w:r>
      <w:r w:rsidR="0072046C">
        <w:t>(Bold</w:t>
      </w:r>
      <w:r w:rsidR="00A677EF">
        <w:t>face</w:t>
      </w:r>
      <w:r w:rsidR="0072046C">
        <w:t xml:space="preserve"> &amp; underlining omitted.)</w:t>
      </w:r>
      <w:r w:rsidR="00F87FC7">
        <w:t xml:space="preserve"> </w:t>
      </w:r>
      <w:r w:rsidRPr="00763EA9">
        <w:t xml:space="preserve"> </w:t>
      </w:r>
      <w:r w:rsidR="000D4C14">
        <w:t>Neither t</w:t>
      </w:r>
      <w:r w:rsidRPr="00763EA9">
        <w:t xml:space="preserve">he </w:t>
      </w:r>
      <w:r w:rsidR="000D4C14">
        <w:t>d</w:t>
      </w:r>
      <w:r w:rsidRPr="00763EA9">
        <w:t xml:space="preserve">ate on which </w:t>
      </w:r>
      <w:r w:rsidR="000D4C14">
        <w:t xml:space="preserve">the court provided the </w:t>
      </w:r>
      <w:r w:rsidR="0097356E">
        <w:t xml:space="preserve">section </w:t>
      </w:r>
      <w:r w:rsidR="00A93DDD">
        <w:t>1370</w:t>
      </w:r>
      <w:r w:rsidR="000D4C14">
        <w:t xml:space="preserve"> packet</w:t>
      </w:r>
      <w:r w:rsidR="00790498">
        <w:t xml:space="preserve"> to DSH</w:t>
      </w:r>
      <w:r w:rsidR="000D4C14">
        <w:t xml:space="preserve"> nor the date on which </w:t>
      </w:r>
      <w:r w:rsidRPr="00763EA9">
        <w:t>Rodriguez was admitted into a DSH facility appear</w:t>
      </w:r>
      <w:r w:rsidR="000D4C14">
        <w:t>s</w:t>
      </w:r>
      <w:r w:rsidRPr="00763EA9">
        <w:t xml:space="preserve"> in the material </w:t>
      </w:r>
      <w:r w:rsidR="00790498">
        <w:t>provided</w:t>
      </w:r>
      <w:r w:rsidRPr="00763EA9">
        <w:t xml:space="preserve"> to this court.</w:t>
      </w:r>
    </w:p>
    <w:p w14:paraId="4D482444" w14:textId="0F629795" w:rsidR="00487068" w:rsidRDefault="0053713C" w:rsidP="00BC29D9">
      <w:r>
        <w:t xml:space="preserve">On January 9, 2020, the </w:t>
      </w:r>
      <w:r w:rsidR="00FD2A22">
        <w:t>m</w:t>
      </w:r>
      <w:r>
        <w:t xml:space="preserve">edical </w:t>
      </w:r>
      <w:r w:rsidR="00FD2A22">
        <w:t>d</w:t>
      </w:r>
      <w:r>
        <w:t xml:space="preserve">irector of Atascadero State Hospital certified that </w:t>
      </w:r>
      <w:r w:rsidR="00C77B02">
        <w:t>Rodriguez</w:t>
      </w:r>
      <w:r>
        <w:t xml:space="preserve"> was competent</w:t>
      </w:r>
      <w:r w:rsidR="00284710">
        <w:t>.</w:t>
      </w:r>
      <w:r w:rsidR="00BA2184">
        <w:t xml:space="preserve">  </w:t>
      </w:r>
      <w:r w:rsidR="00BA2184" w:rsidRPr="00BA2184">
        <w:t xml:space="preserve">The Director also opined, pursuant to section 1372, subdivision (e), that Rodriguez “probably does not need placement in a psychiatric </w:t>
      </w:r>
      <w:r w:rsidR="00BA2184" w:rsidRPr="00BA2184">
        <w:lastRenderedPageBreak/>
        <w:t>facility in order to maintain competence to stand trial.”</w:t>
      </w:r>
      <w:r w:rsidR="00284710">
        <w:t xml:space="preserve"> </w:t>
      </w:r>
      <w:r>
        <w:t xml:space="preserve"> The </w:t>
      </w:r>
      <w:r w:rsidR="00FD2A22">
        <w:t>c</w:t>
      </w:r>
      <w:r>
        <w:t xml:space="preserve">ertification of </w:t>
      </w:r>
      <w:r w:rsidR="00FD2A22">
        <w:t>m</w:t>
      </w:r>
      <w:r>
        <w:t xml:space="preserve">ental </w:t>
      </w:r>
      <w:r w:rsidR="00FD2A22">
        <w:t>c</w:t>
      </w:r>
      <w:r>
        <w:t>ompetency</w:t>
      </w:r>
      <w:r w:rsidR="00AA54C1">
        <w:t xml:space="preserve"> under section 1372 </w:t>
      </w:r>
      <w:r>
        <w:t xml:space="preserve">was filed in the </w:t>
      </w:r>
      <w:r w:rsidR="002E0B6F">
        <w:t>trial</w:t>
      </w:r>
      <w:r w:rsidR="00BB6BC6">
        <w:t xml:space="preserve"> court</w:t>
      </w:r>
      <w:r>
        <w:t xml:space="preserve"> on </w:t>
      </w:r>
      <w:r w:rsidR="00757683">
        <w:t>January</w:t>
      </w:r>
      <w:r>
        <w:t xml:space="preserve"> 17, 20</w:t>
      </w:r>
      <w:r w:rsidR="00757683">
        <w:t>20</w:t>
      </w:r>
      <w:r>
        <w:t>.</w:t>
      </w:r>
      <w:r>
        <w:rPr>
          <w:rStyle w:val="FootnoteReference"/>
          <w:b/>
          <w:bCs/>
        </w:rPr>
        <w:footnoteReference w:id="5"/>
      </w:r>
      <w:r>
        <w:t xml:space="preserve"> </w:t>
      </w:r>
      <w:r w:rsidR="008B399A">
        <w:t xml:space="preserve"> </w:t>
      </w:r>
      <w:r w:rsidR="0083483D">
        <w:t xml:space="preserve">The exact date of Rodriguez’s discharge from DSH does not appear in the material </w:t>
      </w:r>
      <w:r w:rsidR="00790498">
        <w:t>provided</w:t>
      </w:r>
      <w:r w:rsidR="0083483D">
        <w:t xml:space="preserve"> to this court.</w:t>
      </w:r>
    </w:p>
    <w:p w14:paraId="6871FBCD" w14:textId="545DE886" w:rsidR="00BC29D9" w:rsidRDefault="0053713C" w:rsidP="00BC29D9">
      <w:r>
        <w:t xml:space="preserve">On January 24, 2020, the parties appeared </w:t>
      </w:r>
      <w:r w:rsidR="00AB78F0">
        <w:t>before</w:t>
      </w:r>
      <w:r>
        <w:t xml:space="preserve"> </w:t>
      </w:r>
      <w:r w:rsidR="002E0B6F">
        <w:t>the trial</w:t>
      </w:r>
      <w:r w:rsidR="00BB6BC6">
        <w:t xml:space="preserve"> court</w:t>
      </w:r>
      <w:r>
        <w:t xml:space="preserve">. </w:t>
      </w:r>
      <w:r w:rsidR="0032113E">
        <w:t xml:space="preserve"> </w:t>
      </w:r>
      <w:r w:rsidR="00930732">
        <w:t>A</w:t>
      </w:r>
      <w:r>
        <w:t>ttorney</w:t>
      </w:r>
      <w:r w:rsidR="00930732">
        <w:t xml:space="preserve"> Daniel Mayfield</w:t>
      </w:r>
      <w:r>
        <w:t xml:space="preserve"> substitute</w:t>
      </w:r>
      <w:r w:rsidR="00930732">
        <w:t>d</w:t>
      </w:r>
      <w:r>
        <w:t xml:space="preserve"> </w:t>
      </w:r>
      <w:r w:rsidR="00D2108E">
        <w:t xml:space="preserve">into </w:t>
      </w:r>
      <w:r w:rsidR="00E03E54">
        <w:t>Rodriguez</w:t>
      </w:r>
      <w:r w:rsidR="00C86E1A">
        <w:t>’s</w:t>
      </w:r>
      <w:r w:rsidR="00D2108E">
        <w:t xml:space="preserve"> cases </w:t>
      </w:r>
      <w:r w:rsidR="00930732">
        <w:t xml:space="preserve">as </w:t>
      </w:r>
      <w:r w:rsidR="006445CC">
        <w:t xml:space="preserve">newly </w:t>
      </w:r>
      <w:r w:rsidR="00930732">
        <w:t xml:space="preserve">assigned </w:t>
      </w:r>
      <w:r w:rsidR="00E03E54">
        <w:t xml:space="preserve">defense </w:t>
      </w:r>
      <w:r w:rsidR="00930732">
        <w:t>counsel.</w:t>
      </w:r>
      <w:r>
        <w:t xml:space="preserve"> </w:t>
      </w:r>
      <w:r w:rsidR="00930732">
        <w:t xml:space="preserve"> </w:t>
      </w:r>
      <w:r>
        <w:t>Mayfield requested a continuance</w:t>
      </w:r>
      <w:r w:rsidR="00BB402E">
        <w:t xml:space="preserve"> </w:t>
      </w:r>
      <w:r w:rsidR="002E0B6F">
        <w:t>of</w:t>
      </w:r>
      <w:r w:rsidR="00BB402E">
        <w:t xml:space="preserve"> a formal hearing </w:t>
      </w:r>
      <w:r w:rsidR="00F52BE6">
        <w:t xml:space="preserve">under section 1372 </w:t>
      </w:r>
      <w:r w:rsidR="00BB402E">
        <w:t>on Rodriguez’s restoration to competenc</w:t>
      </w:r>
      <w:r w:rsidR="00613438">
        <w:t>e</w:t>
      </w:r>
      <w:r w:rsidR="00F52BE6">
        <w:t xml:space="preserve"> (restoration hearing)</w:t>
      </w:r>
      <w:r>
        <w:t>.</w:t>
      </w:r>
      <w:r>
        <w:rPr>
          <w:rStyle w:val="FootnoteReference"/>
          <w:b/>
          <w:bCs/>
        </w:rPr>
        <w:footnoteReference w:id="6"/>
      </w:r>
      <w:r w:rsidRPr="000C3CAE">
        <w:rPr>
          <w:b/>
          <w:bCs/>
        </w:rPr>
        <w:t xml:space="preserve"> </w:t>
      </w:r>
      <w:r w:rsidR="0050061C">
        <w:rPr>
          <w:b/>
          <w:bCs/>
        </w:rPr>
        <w:t xml:space="preserve"> </w:t>
      </w:r>
      <w:r w:rsidR="00FE4165">
        <w:t xml:space="preserve">The </w:t>
      </w:r>
      <w:r>
        <w:t>cases were set for a restoration hearing</w:t>
      </w:r>
      <w:r w:rsidR="00F8219E">
        <w:t xml:space="preserve"> </w:t>
      </w:r>
      <w:r>
        <w:t>on May 21, 2020</w:t>
      </w:r>
      <w:r w:rsidR="00C86E1A">
        <w:t>, and a</w:t>
      </w:r>
      <w:r>
        <w:t xml:space="preserve">n intervening court date </w:t>
      </w:r>
      <w:r w:rsidR="00FB0241">
        <w:t xml:space="preserve">was set for </w:t>
      </w:r>
      <w:r>
        <w:t>February 7, 2020.</w:t>
      </w:r>
      <w:r w:rsidR="005D7303">
        <w:t xml:space="preserve"> </w:t>
      </w:r>
    </w:p>
    <w:p w14:paraId="5FEFBA04" w14:textId="635980A5" w:rsidR="00BC29D9" w:rsidRDefault="0053713C" w:rsidP="008F415D">
      <w:r>
        <w:t xml:space="preserve">On February 7, 2020, another </w:t>
      </w:r>
      <w:r>
        <w:t>intervening court date</w:t>
      </w:r>
      <w:r w:rsidR="002E1735">
        <w:t xml:space="preserve"> </w:t>
      </w:r>
      <w:r w:rsidR="00046FCB">
        <w:t xml:space="preserve">of </w:t>
      </w:r>
      <w:r w:rsidR="002E1735">
        <w:t>March 13, 2020</w:t>
      </w:r>
      <w:r w:rsidR="00284710">
        <w:t>,</w:t>
      </w:r>
      <w:r>
        <w:t xml:space="preserve"> </w:t>
      </w:r>
      <w:r w:rsidR="002E1735">
        <w:t xml:space="preserve">was set </w:t>
      </w:r>
      <w:r w:rsidR="00284710">
        <w:t xml:space="preserve">in order </w:t>
      </w:r>
      <w:r>
        <w:t xml:space="preserve">for </w:t>
      </w:r>
      <w:r w:rsidR="002E1735">
        <w:t>Mayfield to</w:t>
      </w:r>
      <w:r>
        <w:t xml:space="preserve"> subpoena records. </w:t>
      </w:r>
      <w:r w:rsidR="008B399A">
        <w:t xml:space="preserve"> </w:t>
      </w:r>
      <w:r>
        <w:t xml:space="preserve">On March 13, 2020, </w:t>
      </w:r>
      <w:r w:rsidR="00E12524">
        <w:t>the trial</w:t>
      </w:r>
      <w:r w:rsidR="00BB6BC6">
        <w:t xml:space="preserve"> court</w:t>
      </w:r>
      <w:r>
        <w:t xml:space="preserve"> released subpoenaed records to Mayfield</w:t>
      </w:r>
      <w:r w:rsidR="009A20FA">
        <w:t xml:space="preserve"> and set another court date</w:t>
      </w:r>
      <w:r w:rsidR="00CB2D68">
        <w:t xml:space="preserve"> for </w:t>
      </w:r>
      <w:r>
        <w:t xml:space="preserve">April 17, 2020. </w:t>
      </w:r>
    </w:p>
    <w:p w14:paraId="2413F0BE" w14:textId="1B5A912E" w:rsidR="00A44722" w:rsidRDefault="0053713C" w:rsidP="00BC29D9">
      <w:r>
        <w:t>On March 17, 2020, because of Santa Cla</w:t>
      </w:r>
      <w:r>
        <w:t>ra County’s COVID-19 “ ‘shelter in place</w:t>
      </w:r>
      <w:r w:rsidR="00932C6D">
        <w:t>’</w:t>
      </w:r>
      <w:r>
        <w:t xml:space="preserve"> orders, ” the Santa Clara County Superior Court suspend</w:t>
      </w:r>
      <w:r w:rsidR="00030886">
        <w:t>ed</w:t>
      </w:r>
      <w:r>
        <w:t xml:space="preserve"> </w:t>
      </w:r>
      <w:r w:rsidR="006526DD">
        <w:t>“all</w:t>
      </w:r>
      <w:r w:rsidR="009A20FA">
        <w:t xml:space="preserve"> </w:t>
      </w:r>
      <w:r>
        <w:t>non-essential functions.</w:t>
      </w:r>
      <w:r w:rsidR="006526DD">
        <w:t>”</w:t>
      </w:r>
      <w:r w:rsidR="008B399A">
        <w:t xml:space="preserve"> </w:t>
      </w:r>
      <w:r w:rsidR="006526DD">
        <w:t xml:space="preserve"> </w:t>
      </w:r>
      <w:r w:rsidR="00551D7A">
        <w:t xml:space="preserve">The </w:t>
      </w:r>
      <w:r w:rsidR="00FD2A22">
        <w:t>s</w:t>
      </w:r>
      <w:r w:rsidR="00551D7A">
        <w:t xml:space="preserve">uperior </w:t>
      </w:r>
      <w:r w:rsidR="00FD2A22">
        <w:t>c</w:t>
      </w:r>
      <w:r w:rsidR="00551D7A">
        <w:t>ourt did not include r</w:t>
      </w:r>
      <w:r w:rsidR="006526DD">
        <w:t xml:space="preserve">estoration hearings </w:t>
      </w:r>
      <w:r w:rsidR="00551D7A">
        <w:t xml:space="preserve">among the “essential functions” it would continue </w:t>
      </w:r>
      <w:r w:rsidR="00424147">
        <w:t xml:space="preserve">to </w:t>
      </w:r>
      <w:r w:rsidR="00551D7A">
        <w:t>perform</w:t>
      </w:r>
      <w:r w:rsidR="00284710">
        <w:t xml:space="preserve"> during the suspension</w:t>
      </w:r>
      <w:r w:rsidR="00551D7A">
        <w:t xml:space="preserve">. </w:t>
      </w:r>
    </w:p>
    <w:p w14:paraId="6F267123" w14:textId="4CC4DCD8" w:rsidR="00C163C7" w:rsidRDefault="0053713C" w:rsidP="00C163C7">
      <w:r>
        <w:t xml:space="preserve">The </w:t>
      </w:r>
      <w:r w:rsidR="009A20FA">
        <w:t>parties next appeared</w:t>
      </w:r>
      <w:r>
        <w:t xml:space="preserve"> </w:t>
      </w:r>
      <w:r w:rsidR="009A20FA">
        <w:t>in court</w:t>
      </w:r>
      <w:r>
        <w:t xml:space="preserve"> on</w:t>
      </w:r>
      <w:r w:rsidR="00A4212A">
        <w:t xml:space="preserve"> July 17, 2020.</w:t>
      </w:r>
      <w:r>
        <w:t xml:space="preserve"> </w:t>
      </w:r>
      <w:r w:rsidR="008B399A">
        <w:t xml:space="preserve"> </w:t>
      </w:r>
      <w:r w:rsidR="00E12524">
        <w:t>The trial</w:t>
      </w:r>
      <w:r w:rsidR="00BB6BC6">
        <w:t xml:space="preserve"> court</w:t>
      </w:r>
      <w:r>
        <w:t xml:space="preserve"> released additional subpoenaed records to Mayfield. </w:t>
      </w:r>
      <w:r w:rsidR="00EB10A4">
        <w:t xml:space="preserve"> </w:t>
      </w:r>
      <w:r w:rsidR="00962A74">
        <w:t>Rodriguez’s</w:t>
      </w:r>
      <w:r>
        <w:t xml:space="preserve"> </w:t>
      </w:r>
      <w:r w:rsidR="00C36734">
        <w:t>cases</w:t>
      </w:r>
      <w:r>
        <w:t xml:space="preserve"> </w:t>
      </w:r>
      <w:r w:rsidR="009A20FA">
        <w:t xml:space="preserve">were </w:t>
      </w:r>
      <w:r>
        <w:t>set for a restoration hea</w:t>
      </w:r>
      <w:r>
        <w:t>ring on August 24, 2020</w:t>
      </w:r>
      <w:r w:rsidR="00EB10A4">
        <w:t>, and a</w:t>
      </w:r>
      <w:r>
        <w:t xml:space="preserve">n intervening court date </w:t>
      </w:r>
      <w:r w:rsidR="00EB10A4">
        <w:t xml:space="preserve">was </w:t>
      </w:r>
      <w:r w:rsidR="00C36734">
        <w:t xml:space="preserve">set </w:t>
      </w:r>
      <w:r w:rsidR="00EB10A4">
        <w:t xml:space="preserve">for </w:t>
      </w:r>
      <w:r>
        <w:t xml:space="preserve">August 14, 2020. </w:t>
      </w:r>
    </w:p>
    <w:p w14:paraId="30CF3179" w14:textId="3759207D" w:rsidR="00C163C7" w:rsidRDefault="0053713C" w:rsidP="00C163C7">
      <w:r>
        <w:lastRenderedPageBreak/>
        <w:t xml:space="preserve">On August 14, 2020, </w:t>
      </w:r>
      <w:r w:rsidR="00F866A0">
        <w:t xml:space="preserve">the </w:t>
      </w:r>
      <w:r w:rsidR="00456026">
        <w:t xml:space="preserve">assigned deputy </w:t>
      </w:r>
      <w:r w:rsidR="00F866A0">
        <w:t xml:space="preserve">district attorney </w:t>
      </w:r>
      <w:r>
        <w:t>requested a continuance of the restoration hearing</w:t>
      </w:r>
      <w:r w:rsidR="00F866A0">
        <w:t xml:space="preserve">.  </w:t>
      </w:r>
      <w:r>
        <w:t>As a result</w:t>
      </w:r>
      <w:r w:rsidR="00F866A0">
        <w:t>,</w:t>
      </w:r>
      <w:r>
        <w:t xml:space="preserve"> </w:t>
      </w:r>
      <w:r w:rsidR="00F8219E">
        <w:t>the</w:t>
      </w:r>
      <w:r>
        <w:t xml:space="preserve"> restoration hearing was reset to September 21, 2020</w:t>
      </w:r>
      <w:r w:rsidR="009A20FA">
        <w:t>, and a</w:t>
      </w:r>
      <w:r>
        <w:t>n intervening court</w:t>
      </w:r>
      <w:r w:rsidR="00F866A0">
        <w:t xml:space="preserve"> </w:t>
      </w:r>
      <w:r w:rsidR="007A166B">
        <w:t xml:space="preserve">date </w:t>
      </w:r>
      <w:r w:rsidR="00F866A0">
        <w:t>was set for</w:t>
      </w:r>
      <w:r>
        <w:t xml:space="preserve"> August 28, 2020. </w:t>
      </w:r>
    </w:p>
    <w:p w14:paraId="3BC2B4CF" w14:textId="2E01C29F" w:rsidR="004E694B" w:rsidRDefault="0053713C" w:rsidP="008F415D">
      <w:r>
        <w:t>By</w:t>
      </w:r>
      <w:r w:rsidR="00C163C7">
        <w:t xml:space="preserve"> August 28, 2020</w:t>
      </w:r>
      <w:r>
        <w:t>,</w:t>
      </w:r>
      <w:r w:rsidR="00C163C7">
        <w:t xml:space="preserve"> </w:t>
      </w:r>
      <w:r w:rsidR="00E12524">
        <w:t>the trial</w:t>
      </w:r>
      <w:r w:rsidR="00BB6BC6">
        <w:t xml:space="preserve"> court</w:t>
      </w:r>
      <w:r w:rsidR="00C163C7">
        <w:t xml:space="preserve"> had not yet received </w:t>
      </w:r>
      <w:r>
        <w:t>certain</w:t>
      </w:r>
      <w:r w:rsidR="00C163C7">
        <w:t xml:space="preserve"> subpoenaed records</w:t>
      </w:r>
      <w:r w:rsidR="002E1735">
        <w:t xml:space="preserve"> from Atascadero State Hospital</w:t>
      </w:r>
      <w:r w:rsidR="00C163C7">
        <w:t xml:space="preserve">. </w:t>
      </w:r>
      <w:r>
        <w:t xml:space="preserve"> </w:t>
      </w:r>
      <w:r w:rsidR="00C163C7">
        <w:t xml:space="preserve">Another </w:t>
      </w:r>
      <w:r w:rsidR="009A20FA">
        <w:t>court date</w:t>
      </w:r>
      <w:r w:rsidR="00C163C7">
        <w:t xml:space="preserve"> </w:t>
      </w:r>
      <w:r w:rsidR="009A20FA">
        <w:t>regarding</w:t>
      </w:r>
      <w:r w:rsidR="00C163C7">
        <w:t xml:space="preserve"> </w:t>
      </w:r>
      <w:r w:rsidR="0037227A">
        <w:t xml:space="preserve">the </w:t>
      </w:r>
      <w:r w:rsidR="00C163C7">
        <w:t xml:space="preserve">records was set for September 11, 2020. </w:t>
      </w:r>
      <w:r w:rsidR="008B399A">
        <w:t xml:space="preserve"> </w:t>
      </w:r>
      <w:r>
        <w:t xml:space="preserve">On September 8, 2020, </w:t>
      </w:r>
      <w:r w:rsidR="00CC69B9">
        <w:t xml:space="preserve">during the call of the master </w:t>
      </w:r>
      <w:r w:rsidR="00F8219E">
        <w:t xml:space="preserve">criminal </w:t>
      </w:r>
      <w:r w:rsidR="00CC69B9">
        <w:t xml:space="preserve">trial calendar, </w:t>
      </w:r>
      <w:r w:rsidR="00F8219E">
        <w:t xml:space="preserve">Santa Clara County Superior Court </w:t>
      </w:r>
      <w:r>
        <w:t xml:space="preserve">Judge Eric Geffon described the </w:t>
      </w:r>
      <w:r w:rsidR="00CC69B9">
        <w:t>lack of available courtrooms for trials</w:t>
      </w:r>
      <w:r>
        <w:t xml:space="preserve"> caused by the COVI</w:t>
      </w:r>
      <w:r>
        <w:t xml:space="preserve">D-19 pandemic. </w:t>
      </w:r>
    </w:p>
    <w:p w14:paraId="19746D4F" w14:textId="4390AF8A" w:rsidR="00822494" w:rsidRDefault="0053713C" w:rsidP="00822494">
      <w:r w:rsidRPr="00CF4392">
        <w:t xml:space="preserve">On September 10, 2020, Mayfield </w:t>
      </w:r>
      <w:r w:rsidR="002F6504" w:rsidRPr="00CF4392">
        <w:t>e</w:t>
      </w:r>
      <w:r w:rsidR="00FD2A22">
        <w:t>-</w:t>
      </w:r>
      <w:r w:rsidR="002F6504" w:rsidRPr="00CF4392">
        <w:t xml:space="preserve">mailed the </w:t>
      </w:r>
      <w:r w:rsidR="00456026" w:rsidRPr="00CF4392">
        <w:t xml:space="preserve">deputy </w:t>
      </w:r>
      <w:r w:rsidR="002F6504" w:rsidRPr="00CF4392">
        <w:t xml:space="preserve">district attorney and stated that he </w:t>
      </w:r>
      <w:r w:rsidR="00F8219E" w:rsidRPr="00CF4392">
        <w:t>wished</w:t>
      </w:r>
      <w:r w:rsidR="002F6504" w:rsidRPr="00CF4392">
        <w:t xml:space="preserve"> </w:t>
      </w:r>
      <w:r w:rsidRPr="00CF4392">
        <w:t xml:space="preserve">to continue the </w:t>
      </w:r>
      <w:r w:rsidR="002F6504" w:rsidRPr="00CF4392">
        <w:t xml:space="preserve">restoration </w:t>
      </w:r>
      <w:r w:rsidRPr="00CF4392">
        <w:t xml:space="preserve">hearing until at least September 28, 2020. </w:t>
      </w:r>
      <w:r w:rsidR="002F6504" w:rsidRPr="00CF4392">
        <w:t xml:space="preserve"> </w:t>
      </w:r>
      <w:r w:rsidR="00962A74" w:rsidRPr="00CF4392">
        <w:t>T</w:t>
      </w:r>
      <w:r w:rsidR="002F6504" w:rsidRPr="00CF4392">
        <w:t xml:space="preserve">he </w:t>
      </w:r>
      <w:r w:rsidR="00456026" w:rsidRPr="00CF4392">
        <w:t xml:space="preserve">deputy </w:t>
      </w:r>
      <w:r w:rsidR="002F6504" w:rsidRPr="00CF4392">
        <w:t xml:space="preserve">district attorney </w:t>
      </w:r>
      <w:r w:rsidRPr="00CF4392">
        <w:t xml:space="preserve">responded and informed </w:t>
      </w:r>
      <w:r w:rsidR="002C49D4" w:rsidRPr="00CF4392">
        <w:t>Mayfield</w:t>
      </w:r>
      <w:r w:rsidRPr="00CF4392">
        <w:t xml:space="preserve"> that </w:t>
      </w:r>
      <w:r w:rsidR="00E12524">
        <w:t>the trial</w:t>
      </w:r>
      <w:r w:rsidR="00BB6BC6" w:rsidRPr="00CF4392">
        <w:t xml:space="preserve"> court</w:t>
      </w:r>
      <w:r w:rsidRPr="00CF4392">
        <w:t xml:space="preserve"> had </w:t>
      </w:r>
      <w:r w:rsidR="004E694B" w:rsidRPr="00CF4392">
        <w:t>“</w:t>
      </w:r>
      <w:r w:rsidRPr="00CF4392">
        <w:t>already automatically continued</w:t>
      </w:r>
      <w:r w:rsidR="004E694B" w:rsidRPr="00CF4392">
        <w:t>”</w:t>
      </w:r>
      <w:r w:rsidRPr="00CF4392">
        <w:t xml:space="preserve"> the restoration hearing to November 2, 2020. </w:t>
      </w:r>
    </w:p>
    <w:p w14:paraId="0378A602" w14:textId="70F96572" w:rsidR="00C163C7" w:rsidRDefault="0053713C" w:rsidP="00822494">
      <w:r>
        <w:t xml:space="preserve">On September 11, 2020, </w:t>
      </w:r>
      <w:r w:rsidR="00E12524">
        <w:t>the trial</w:t>
      </w:r>
      <w:r w:rsidR="00BB6BC6">
        <w:t xml:space="preserve"> court</w:t>
      </w:r>
      <w:r>
        <w:t xml:space="preserve"> released subpoenaed </w:t>
      </w:r>
      <w:r w:rsidR="007A166B">
        <w:t>record</w:t>
      </w:r>
      <w:r>
        <w:t>s to Mayfield</w:t>
      </w:r>
      <w:r w:rsidR="004E694B">
        <w:t xml:space="preserve"> and </w:t>
      </w:r>
      <w:r w:rsidR="002C49D4">
        <w:t>set</w:t>
      </w:r>
      <w:r w:rsidR="004E694B">
        <w:t xml:space="preserve"> the next court date as</w:t>
      </w:r>
      <w:r>
        <w:t xml:space="preserve"> November 2, 2020. </w:t>
      </w:r>
      <w:r w:rsidR="003170B3">
        <w:t xml:space="preserve"> </w:t>
      </w:r>
      <w:r w:rsidR="007A166B">
        <w:t>A</w:t>
      </w:r>
      <w:r w:rsidR="007A166B" w:rsidRPr="006458B2">
        <w:t xml:space="preserve">ccording to a declaration </w:t>
      </w:r>
      <w:r w:rsidR="007A166B">
        <w:t xml:space="preserve">signed </w:t>
      </w:r>
      <w:r w:rsidR="007A166B" w:rsidRPr="006458B2">
        <w:t xml:space="preserve">by Mayfield </w:t>
      </w:r>
      <w:r w:rsidR="007A166B">
        <w:t xml:space="preserve">and </w:t>
      </w:r>
      <w:r w:rsidR="007A166B" w:rsidRPr="006458B2">
        <w:t xml:space="preserve">filed </w:t>
      </w:r>
      <w:r w:rsidR="007A166B">
        <w:t xml:space="preserve">in this court </w:t>
      </w:r>
      <w:r w:rsidR="007A166B" w:rsidRPr="006458B2">
        <w:t>with Rodriguez’s petition</w:t>
      </w:r>
      <w:r w:rsidR="00F36C15">
        <w:t xml:space="preserve"> for a writ of prohibition</w:t>
      </w:r>
      <w:r w:rsidR="007A166B" w:rsidRPr="006458B2">
        <w:t>, many of the scheduled restoration hearing</w:t>
      </w:r>
      <w:r w:rsidR="007A166B">
        <w:t xml:space="preserve"> dates</w:t>
      </w:r>
      <w:r w:rsidR="007A166B" w:rsidRPr="006458B2">
        <w:t xml:space="preserve"> between September 11, 2020 and March 15, 2021 were “automatically continued once the COVID-19 Pandemic struck.” </w:t>
      </w:r>
    </w:p>
    <w:p w14:paraId="4AB6284A" w14:textId="6F8ACCF4" w:rsidR="00CC69B9" w:rsidRDefault="0053713C" w:rsidP="00CC69B9">
      <w:r w:rsidRPr="00CF4392">
        <w:t xml:space="preserve">On September 29, 2020, the </w:t>
      </w:r>
      <w:r w:rsidR="00456026" w:rsidRPr="00CF4392">
        <w:t xml:space="preserve">deputy </w:t>
      </w:r>
      <w:r w:rsidRPr="00CF4392">
        <w:t xml:space="preserve">district attorney met with Judge Geffon and “expressed the importance of locating an available courtroom to hear pending mental health cases.”  Judge Geffon informed the </w:t>
      </w:r>
      <w:r w:rsidR="00456026" w:rsidRPr="00CF4392">
        <w:t xml:space="preserve">deputy </w:t>
      </w:r>
      <w:r w:rsidRPr="00CF4392">
        <w:t xml:space="preserve">district attorney </w:t>
      </w:r>
      <w:r w:rsidRPr="00CF4392">
        <w:t xml:space="preserve">that the Santa Clara County Superior Court “did not presently have the resources to conduct the hearings in these cases due to the COVID-19 pandemic and the limited trial capacity and backlog of criminal jury trials that had resulted therefrom.” </w:t>
      </w:r>
    </w:p>
    <w:p w14:paraId="73FB6D54" w14:textId="6BFC8F79" w:rsidR="00C8566B" w:rsidRDefault="0053713C" w:rsidP="00727697">
      <w:r>
        <w:t xml:space="preserve">The </w:t>
      </w:r>
      <w:r w:rsidR="0084688F">
        <w:t xml:space="preserve">scheduled </w:t>
      </w:r>
      <w:r>
        <w:t xml:space="preserve">November 2, 2020 hearing never occurred. </w:t>
      </w:r>
      <w:r w:rsidR="003170B3">
        <w:t xml:space="preserve"> </w:t>
      </w:r>
      <w:r w:rsidR="008854E6">
        <w:t>Rodriguez’s cases were</w:t>
      </w:r>
      <w:r>
        <w:t xml:space="preserve"> automatically continued by </w:t>
      </w:r>
      <w:r w:rsidR="00E12524">
        <w:t>the trial</w:t>
      </w:r>
      <w:r w:rsidR="00BB6BC6">
        <w:t xml:space="preserve"> court</w:t>
      </w:r>
      <w:r>
        <w:t xml:space="preserve"> to </w:t>
      </w:r>
      <w:r w:rsidR="00D66931">
        <w:t xml:space="preserve">a date in </w:t>
      </w:r>
      <w:r>
        <w:t xml:space="preserve">December 2020, </w:t>
      </w:r>
      <w:r w:rsidR="00D66931">
        <w:t>which</w:t>
      </w:r>
      <w:r w:rsidR="00030886">
        <w:t xml:space="preserve"> hearing</w:t>
      </w:r>
      <w:r>
        <w:t xml:space="preserve"> also did not occur.</w:t>
      </w:r>
      <w:r w:rsidR="008854E6">
        <w:t xml:space="preserve"> </w:t>
      </w:r>
    </w:p>
    <w:p w14:paraId="0F432ECA" w14:textId="127AAC6A" w:rsidR="00591F86" w:rsidRDefault="0053713C" w:rsidP="00591F86">
      <w:r>
        <w:lastRenderedPageBreak/>
        <w:t xml:space="preserve">According to the </w:t>
      </w:r>
      <w:r w:rsidR="00C8566B">
        <w:t>deputy district attorney</w:t>
      </w:r>
      <w:r w:rsidR="00D66931">
        <w:t xml:space="preserve"> and Mayfield</w:t>
      </w:r>
      <w:r>
        <w:t xml:space="preserve">, </w:t>
      </w:r>
      <w:r w:rsidR="0084688F">
        <w:t>Rodriguez’s</w:t>
      </w:r>
      <w:r>
        <w:t xml:space="preserve"> restoration </w:t>
      </w:r>
      <w:r>
        <w:t>hearing was reset to January 25, 2021</w:t>
      </w:r>
      <w:r w:rsidR="00C8566B">
        <w:t>,</w:t>
      </w:r>
      <w:r>
        <w:t xml:space="preserve"> </w:t>
      </w:r>
      <w:r w:rsidR="00D66931">
        <w:t xml:space="preserve">but that </w:t>
      </w:r>
      <w:r w:rsidR="00030886">
        <w:t>hearing did not take place</w:t>
      </w:r>
      <w:r w:rsidR="00D66931">
        <w:t xml:space="preserve">.  The restoration hearing </w:t>
      </w:r>
      <w:r w:rsidR="005A5B9F">
        <w:t xml:space="preserve">was </w:t>
      </w:r>
      <w:r w:rsidR="002C0791">
        <w:t>subsequently</w:t>
      </w:r>
      <w:r w:rsidR="005A5B9F">
        <w:t xml:space="preserve"> </w:t>
      </w:r>
      <w:r w:rsidR="00D66931">
        <w:t>reset to a date in March 2021.</w:t>
      </w:r>
      <w:r>
        <w:t xml:space="preserve"> </w:t>
      </w:r>
    </w:p>
    <w:p w14:paraId="70B5340C" w14:textId="74B72301" w:rsidR="00534146" w:rsidRDefault="0053713C" w:rsidP="00534146">
      <w:pPr>
        <w:pStyle w:val="Heading2"/>
      </w:pPr>
      <w:r>
        <w:rPr>
          <w:i w:val="0"/>
          <w:iCs w:val="0"/>
        </w:rPr>
        <w:t xml:space="preserve">C.  </w:t>
      </w:r>
      <w:r w:rsidR="00302DCF">
        <w:t xml:space="preserve">Rodriguez’s </w:t>
      </w:r>
      <w:r w:rsidR="003E66C3">
        <w:t>Objection</w:t>
      </w:r>
      <w:r w:rsidR="00563D6E">
        <w:t xml:space="preserve"> to the Restoration Hearing</w:t>
      </w:r>
      <w:r w:rsidR="003E66C3">
        <w:t xml:space="preserve"> and </w:t>
      </w:r>
      <w:r w:rsidR="00302DCF">
        <w:t>M</w:t>
      </w:r>
      <w:r>
        <w:t>otion to Dismiss</w:t>
      </w:r>
    </w:p>
    <w:p w14:paraId="1195785D" w14:textId="38809756" w:rsidR="00C81640" w:rsidRDefault="0053713C" w:rsidP="00FD633D">
      <w:r>
        <w:t>On March 8, 202</w:t>
      </w:r>
      <w:r w:rsidR="00F213BE">
        <w:t>1</w:t>
      </w:r>
      <w:r>
        <w:t xml:space="preserve">, </w:t>
      </w:r>
      <w:r w:rsidR="008D00D3">
        <w:t>Rodriguez</w:t>
      </w:r>
      <w:r>
        <w:t xml:space="preserve"> filed a</w:t>
      </w:r>
      <w:r w:rsidR="003E66C3">
        <w:t xml:space="preserve">n objection to “the proposed hearing on his alleged restoration to sanity under [section] 1372” and </w:t>
      </w:r>
      <w:r w:rsidR="00C05FD1">
        <w:t>motion</w:t>
      </w:r>
      <w:r>
        <w:t xml:space="preserve"> to dismiss the charges</w:t>
      </w:r>
      <w:r w:rsidR="008239F2">
        <w:t xml:space="preserve"> in case </w:t>
      </w:r>
      <w:r w:rsidR="00932C6D">
        <w:t>Nos.</w:t>
      </w:r>
      <w:r w:rsidR="008239F2">
        <w:t xml:space="preserve"> C1647395 and C1650275</w:t>
      </w:r>
      <w:r w:rsidR="00C05FD1">
        <w:t>,</w:t>
      </w:r>
      <w:r w:rsidR="00A503FC">
        <w:t xml:space="preserve"> pursuant to section 1385</w:t>
      </w:r>
      <w:r>
        <w:t xml:space="preserve"> </w:t>
      </w:r>
      <w:r w:rsidR="008239F2">
        <w:t xml:space="preserve">and </w:t>
      </w:r>
      <w:r w:rsidR="008239F2" w:rsidRPr="00C55152">
        <w:rPr>
          <w:i/>
          <w:iCs/>
        </w:rPr>
        <w:t>People v. Carr</w:t>
      </w:r>
      <w:r w:rsidR="008239F2" w:rsidRPr="00C55152">
        <w:t xml:space="preserve"> (2021) 59 Cal.App.5th 1136 (</w:t>
      </w:r>
      <w:r w:rsidR="008239F2" w:rsidRPr="00C55152">
        <w:rPr>
          <w:i/>
          <w:iCs/>
        </w:rPr>
        <w:t>Carr</w:t>
      </w:r>
      <w:r w:rsidR="005B0B75" w:rsidRPr="00C55152">
        <w:rPr>
          <w:i/>
          <w:iCs/>
        </w:rPr>
        <w:t xml:space="preserve"> II</w:t>
      </w:r>
      <w:r w:rsidR="008239F2" w:rsidRPr="00C55152">
        <w:t>)</w:t>
      </w:r>
      <w:r>
        <w:t>.</w:t>
      </w:r>
      <w:r>
        <w:rPr>
          <w:rStyle w:val="FootnoteReference"/>
          <w:b/>
          <w:bCs/>
        </w:rPr>
        <w:footnoteReference w:id="7"/>
      </w:r>
      <w:r>
        <w:t xml:space="preserve"> </w:t>
      </w:r>
      <w:r w:rsidR="00193BF3">
        <w:t xml:space="preserve"> Rodriguez </w:t>
      </w:r>
      <w:r>
        <w:t>contended</w:t>
      </w:r>
      <w:r w:rsidR="00BB4E58">
        <w:t xml:space="preserve"> that he</w:t>
      </w:r>
      <w:r w:rsidR="00694250">
        <w:t xml:space="preserve"> had been committed </w:t>
      </w:r>
      <w:r w:rsidR="009114C6">
        <w:t xml:space="preserve">as incompetent </w:t>
      </w:r>
      <w:r w:rsidR="00817DC8">
        <w:t>in excess of the</w:t>
      </w:r>
      <w:r w:rsidR="00694250">
        <w:t xml:space="preserve"> two</w:t>
      </w:r>
      <w:r w:rsidR="00BD748F">
        <w:t>-y</w:t>
      </w:r>
      <w:r w:rsidR="00694250">
        <w:t>ear</w:t>
      </w:r>
      <w:r w:rsidR="00BD748F">
        <w:t xml:space="preserve"> commitment period</w:t>
      </w:r>
      <w:r w:rsidR="00694250">
        <w:t xml:space="preserve"> </w:t>
      </w:r>
      <w:r w:rsidR="00A503FC">
        <w:t>allowed</w:t>
      </w:r>
      <w:r w:rsidR="00694250">
        <w:t xml:space="preserve"> </w:t>
      </w:r>
      <w:r w:rsidR="00A503FC">
        <w:t>by</w:t>
      </w:r>
      <w:r w:rsidR="00694250">
        <w:t xml:space="preserve"> section 1370</w:t>
      </w:r>
      <w:r w:rsidR="000942B9">
        <w:t>(c)(1)</w:t>
      </w:r>
      <w:r w:rsidR="00694250">
        <w:t xml:space="preserve">. </w:t>
      </w:r>
      <w:r w:rsidR="00385F18">
        <w:t xml:space="preserve">He </w:t>
      </w:r>
      <w:r w:rsidR="00121F86">
        <w:t>maintained</w:t>
      </w:r>
      <w:r w:rsidR="00385F18">
        <w:t xml:space="preserve"> that </w:t>
      </w:r>
      <w:r w:rsidR="008239F2">
        <w:t xml:space="preserve">his </w:t>
      </w:r>
      <w:r w:rsidR="00121F86">
        <w:t xml:space="preserve">incompetency </w:t>
      </w:r>
      <w:r w:rsidR="008239F2">
        <w:t>commitment</w:t>
      </w:r>
      <w:r w:rsidR="00385F18">
        <w:t xml:space="preserve"> should be calculated from “judicial </w:t>
      </w:r>
      <w:r w:rsidR="00650C77">
        <w:t>determination</w:t>
      </w:r>
      <w:r w:rsidR="00385F18">
        <w:t xml:space="preserve"> to judicial </w:t>
      </w:r>
      <w:r w:rsidR="00650C77">
        <w:t>determination</w:t>
      </w:r>
      <w:r w:rsidR="00385F18">
        <w:t>”</w:t>
      </w:r>
      <w:r w:rsidR="00650C77">
        <w:t xml:space="preserve"> (capitalization omitted)</w:t>
      </w:r>
      <w:r>
        <w:t xml:space="preserve"> and</w:t>
      </w:r>
      <w:r w:rsidR="00121F86">
        <w:t>, thus,</w:t>
      </w:r>
      <w:r>
        <w:t xml:space="preserve"> </w:t>
      </w:r>
      <w:r w:rsidR="000A6185">
        <w:t>his first commitment ran from May 24, 2018, through September 20, 2018 (119 days), and his second commitment ran from May 16, 2019, through the impending March 16, 2021 restoration hearing (670 days),</w:t>
      </w:r>
      <w:r w:rsidR="00A74BCA">
        <w:t xml:space="preserve"> for a total </w:t>
      </w:r>
      <w:r w:rsidR="000A6185">
        <w:t xml:space="preserve">commitment </w:t>
      </w:r>
      <w:r w:rsidR="00A74BCA">
        <w:t>of 789 days</w:t>
      </w:r>
      <w:r w:rsidR="00121F86">
        <w:t>, which</w:t>
      </w:r>
      <w:r w:rsidR="003D16E6">
        <w:t xml:space="preserve"> was</w:t>
      </w:r>
      <w:r w:rsidR="00121F86">
        <w:t xml:space="preserve"> more than two years (730 days)</w:t>
      </w:r>
      <w:r w:rsidR="00650C77">
        <w:t>.</w:t>
      </w:r>
      <w:r w:rsidR="00703537">
        <w:t xml:space="preserve"> </w:t>
      </w:r>
      <w:r w:rsidR="00385F18">
        <w:t xml:space="preserve"> </w:t>
      </w:r>
    </w:p>
    <w:p w14:paraId="3D13F8E4" w14:textId="79460215" w:rsidR="00BD748F" w:rsidRDefault="0053713C" w:rsidP="00FD633D">
      <w:r>
        <w:t xml:space="preserve">The district attorney </w:t>
      </w:r>
      <w:r w:rsidR="000A6185">
        <w:t xml:space="preserve">orally </w:t>
      </w:r>
      <w:r>
        <w:t xml:space="preserve">opposed Rodriguez’s </w:t>
      </w:r>
      <w:r w:rsidR="009F5182">
        <w:t xml:space="preserve">objection and </w:t>
      </w:r>
      <w:r>
        <w:t>motion</w:t>
      </w:r>
      <w:r w:rsidR="00355C43">
        <w:t xml:space="preserve"> at a hearing held on March 16, 2021</w:t>
      </w:r>
      <w:r>
        <w:t xml:space="preserve">. </w:t>
      </w:r>
      <w:r w:rsidR="00C81640">
        <w:t xml:space="preserve"> The district attorney argued that </w:t>
      </w:r>
      <w:r w:rsidR="008679CD" w:rsidRPr="00C55152">
        <w:rPr>
          <w:i/>
          <w:iCs/>
        </w:rPr>
        <w:t>Carr</w:t>
      </w:r>
      <w:r w:rsidR="005B0B75" w:rsidRPr="00C55152">
        <w:rPr>
          <w:i/>
          <w:iCs/>
        </w:rPr>
        <w:t xml:space="preserve"> II</w:t>
      </w:r>
      <w:r w:rsidR="008679CD">
        <w:t xml:space="preserve"> is distinguishable from </w:t>
      </w:r>
      <w:r w:rsidR="00F571E5">
        <w:t xml:space="preserve">the present </w:t>
      </w:r>
      <w:r w:rsidR="008679CD">
        <w:t xml:space="preserve">case because </w:t>
      </w:r>
      <w:r w:rsidR="00F571E5">
        <w:t>Rodriguez</w:t>
      </w:r>
      <w:r w:rsidR="008679CD">
        <w:t xml:space="preserve"> had not yet had a restoration hearing and if</w:t>
      </w:r>
      <w:r w:rsidR="009F5182">
        <w:t>,</w:t>
      </w:r>
      <w:r w:rsidR="008679CD">
        <w:t xml:space="preserve"> </w:t>
      </w:r>
      <w:r w:rsidR="00F571E5">
        <w:t xml:space="preserve">at </w:t>
      </w:r>
      <w:r w:rsidR="009F5182">
        <w:t>his</w:t>
      </w:r>
      <w:r w:rsidR="008679CD">
        <w:t xml:space="preserve"> </w:t>
      </w:r>
      <w:r w:rsidR="009F5182">
        <w:t xml:space="preserve">future </w:t>
      </w:r>
      <w:r w:rsidR="008679CD">
        <w:t>hearing</w:t>
      </w:r>
      <w:r w:rsidR="009F5182">
        <w:t>,</w:t>
      </w:r>
      <w:r w:rsidR="008679CD">
        <w:t xml:space="preserve"> Rodriguez </w:t>
      </w:r>
      <w:r w:rsidR="009C53F5">
        <w:t>were</w:t>
      </w:r>
      <w:r w:rsidR="008679CD">
        <w:t xml:space="preserve"> found to be competent, “time is tolled back to th[e] certificate of competency.”</w:t>
      </w:r>
      <w:r>
        <w:rPr>
          <w:rStyle w:val="FootnoteReference"/>
          <w:b/>
          <w:bCs/>
        </w:rPr>
        <w:footnoteReference w:id="8"/>
      </w:r>
      <w:r w:rsidR="008679CD">
        <w:t xml:space="preserve"> </w:t>
      </w:r>
    </w:p>
    <w:p w14:paraId="24D7AB8E" w14:textId="51818A2D" w:rsidR="00BD748F" w:rsidRDefault="0053713C" w:rsidP="00753883">
      <w:r>
        <w:lastRenderedPageBreak/>
        <w:t>The trial</w:t>
      </w:r>
      <w:r w:rsidR="00BB6BC6">
        <w:t xml:space="preserve"> court</w:t>
      </w:r>
      <w:r w:rsidR="00753883">
        <w:t xml:space="preserve"> </w:t>
      </w:r>
      <w:r w:rsidR="001208DF">
        <w:t xml:space="preserve">(Judge Geffon) </w:t>
      </w:r>
      <w:r w:rsidR="00753883">
        <w:t xml:space="preserve">denied Rodriguez’s </w:t>
      </w:r>
      <w:r>
        <w:t xml:space="preserve">objection and </w:t>
      </w:r>
      <w:r w:rsidR="00753883">
        <w:t>motion</w:t>
      </w:r>
      <w:r w:rsidR="00F213BE">
        <w:t xml:space="preserve"> at the March 16, 2021 hearing</w:t>
      </w:r>
      <w:r w:rsidR="00753883">
        <w:t xml:space="preserve">.  The court reasoned that after a certificate of restoration </w:t>
      </w:r>
      <w:r w:rsidR="00C14E0F">
        <w:t xml:space="preserve">is </w:t>
      </w:r>
      <w:r w:rsidR="00753883">
        <w:t>issue</w:t>
      </w:r>
      <w:r w:rsidR="00C14E0F">
        <w:t>d</w:t>
      </w:r>
      <w:r w:rsidR="00753883">
        <w:t>, i</w:t>
      </w:r>
      <w:r w:rsidR="00753883" w:rsidRPr="00753883">
        <w:t xml:space="preserve">f </w:t>
      </w:r>
      <w:r>
        <w:t>a</w:t>
      </w:r>
      <w:r w:rsidR="00B44F1D">
        <w:t xml:space="preserve"> </w:t>
      </w:r>
      <w:r>
        <w:t>trial</w:t>
      </w:r>
      <w:r w:rsidR="00753883">
        <w:t xml:space="preserve"> court disagree</w:t>
      </w:r>
      <w:r w:rsidR="00C14E0F">
        <w:t>s with the certificate</w:t>
      </w:r>
      <w:r w:rsidR="00753883">
        <w:t xml:space="preserve"> and finds the</w:t>
      </w:r>
      <w:r w:rsidR="00753883" w:rsidRPr="00753883">
        <w:t xml:space="preserve"> defendant </w:t>
      </w:r>
      <w:r w:rsidR="00753883">
        <w:t xml:space="preserve">has </w:t>
      </w:r>
      <w:r w:rsidR="00753883" w:rsidRPr="00753883">
        <w:t xml:space="preserve">not </w:t>
      </w:r>
      <w:r w:rsidR="00753883">
        <w:t xml:space="preserve">been </w:t>
      </w:r>
      <w:r w:rsidR="00753883" w:rsidRPr="00753883">
        <w:t xml:space="preserve">restored to competence, then </w:t>
      </w:r>
      <w:r w:rsidR="00C14E0F">
        <w:t>the time “</w:t>
      </w:r>
      <w:r w:rsidR="00753883">
        <w:t>between the restoration certificate and the restoration hearing</w:t>
      </w:r>
      <w:r w:rsidR="00C14E0F">
        <w:t>” “</w:t>
      </w:r>
      <w:r w:rsidR="00753883">
        <w:t>should be counted against the maximum term.</w:t>
      </w:r>
      <w:r w:rsidR="00C14E0F">
        <w:t xml:space="preserve">”  However, if at the restoration hearing </w:t>
      </w:r>
      <w:r>
        <w:t>a</w:t>
      </w:r>
      <w:r w:rsidR="00B44F1D">
        <w:t xml:space="preserve"> </w:t>
      </w:r>
      <w:r>
        <w:t>trial</w:t>
      </w:r>
      <w:r w:rsidR="00C14E0F">
        <w:t xml:space="preserve"> court agree</w:t>
      </w:r>
      <w:r w:rsidR="00963FE3">
        <w:t>s</w:t>
      </w:r>
      <w:r w:rsidR="00C14E0F">
        <w:t xml:space="preserve"> with the certificate of restoration and finds the defendant has been restored to competence, then “it’s fair to </w:t>
      </w:r>
      <w:r w:rsidR="00753883">
        <w:t>use the date of the restoration certificate as establishing the date on which the defendant was restored to competency.</w:t>
      </w:r>
      <w:r w:rsidR="00C14E0F">
        <w:t xml:space="preserve">”  The court </w:t>
      </w:r>
      <w:r w:rsidR="00ED4710">
        <w:t>explained</w:t>
      </w:r>
      <w:r w:rsidR="00C14E0F">
        <w:t xml:space="preserve"> that using the date of the certificate of restoration for the purposes of counting the days of </w:t>
      </w:r>
      <w:r w:rsidR="00835624">
        <w:t>a</w:t>
      </w:r>
      <w:r w:rsidR="00C14E0F">
        <w:t xml:space="preserve"> defendant’s commitment </w:t>
      </w:r>
      <w:r w:rsidR="00ED4710">
        <w:t>does</w:t>
      </w:r>
      <w:r w:rsidR="00C14E0F">
        <w:t xml:space="preserve"> not ced</w:t>
      </w:r>
      <w:r w:rsidR="00ED4710">
        <w:t>e</w:t>
      </w:r>
      <w:r w:rsidR="00C14E0F">
        <w:t xml:space="preserve"> </w:t>
      </w:r>
      <w:r w:rsidR="00ED4710">
        <w:t>its power to ultimately decide whether the defendant has been restored to competenc</w:t>
      </w:r>
      <w:r w:rsidR="005A387E">
        <w:t>e</w:t>
      </w:r>
      <w:r w:rsidR="00ED4710">
        <w:t>.  Additionally, the court opined that its conclusion would not “create[] an equal protection problem</w:t>
      </w:r>
      <w:r w:rsidR="00963FE3">
        <w:t>.</w:t>
      </w:r>
      <w:r w:rsidR="00ED4710">
        <w:t xml:space="preserve">” </w:t>
      </w:r>
    </w:p>
    <w:p w14:paraId="48FFEF5B" w14:textId="7C40CE34" w:rsidR="00963FE3" w:rsidRDefault="0053713C" w:rsidP="00963FE3">
      <w:r>
        <w:t>T</w:t>
      </w:r>
      <w:r w:rsidR="00895156">
        <w:t>he trial</w:t>
      </w:r>
      <w:r w:rsidR="00BB6BC6">
        <w:t xml:space="preserve"> court</w:t>
      </w:r>
      <w:r>
        <w:t xml:space="preserve"> noted its concern that, if the time between the certificate of restoration and the restoration hearing were to count in all cases</w:t>
      </w:r>
      <w:r w:rsidR="00650C77">
        <w:t xml:space="preserve"> </w:t>
      </w:r>
      <w:r w:rsidR="00680073">
        <w:t>(</w:t>
      </w:r>
      <w:r w:rsidR="00B44F1D">
        <w:t>irrespective</w:t>
      </w:r>
      <w:r w:rsidR="00650C77">
        <w:t xml:space="preserve"> of </w:t>
      </w:r>
      <w:r w:rsidR="00B44F1D">
        <w:t xml:space="preserve">the </w:t>
      </w:r>
      <w:r w:rsidR="00650C77">
        <w:t xml:space="preserve">ultimate determination </w:t>
      </w:r>
      <w:r w:rsidR="00B44F1D">
        <w:t>regarding</w:t>
      </w:r>
      <w:r w:rsidR="00650C77">
        <w:t xml:space="preserve"> </w:t>
      </w:r>
      <w:r w:rsidR="00B44F1D">
        <w:t xml:space="preserve">the defendant’s </w:t>
      </w:r>
      <w:r w:rsidR="00650C77">
        <w:t>restoration</w:t>
      </w:r>
      <w:r w:rsidR="00B44F1D">
        <w:t xml:space="preserve"> to competenc</w:t>
      </w:r>
      <w:r w:rsidR="001D143B">
        <w:t>e</w:t>
      </w:r>
      <w:r w:rsidR="00680073">
        <w:t>)</w:t>
      </w:r>
      <w:r>
        <w:t xml:space="preserve">, </w:t>
      </w:r>
      <w:r w:rsidR="00895156">
        <w:t>a trial</w:t>
      </w:r>
      <w:r>
        <w:t xml:space="preserve"> court “would be forced to send the case out for a restoration hearing </w:t>
      </w:r>
      <w:r w:rsidR="00385F18">
        <w:t xml:space="preserve">when </w:t>
      </w:r>
      <w:r>
        <w:t xml:space="preserve">the </w:t>
      </w:r>
      <w:r w:rsidR="00385F18">
        <w:t>[</w:t>
      </w:r>
      <w:r>
        <w:t>defendant’s</w:t>
      </w:r>
      <w:r w:rsidR="00385F18">
        <w:t>]</w:t>
      </w:r>
      <w:r>
        <w:t xml:space="preserve"> lawyer is not ready.</w:t>
      </w:r>
      <w:r w:rsidR="00385F18">
        <w:t xml:space="preserve">” </w:t>
      </w:r>
    </w:p>
    <w:p w14:paraId="3C43FC14" w14:textId="5D33A1B1" w:rsidR="00753883" w:rsidRDefault="0053713C" w:rsidP="00FD633D">
      <w:r>
        <w:t xml:space="preserve">After </w:t>
      </w:r>
      <w:r w:rsidR="00F36C15">
        <w:t>the trial</w:t>
      </w:r>
      <w:r w:rsidR="00BB6BC6">
        <w:t xml:space="preserve"> court</w:t>
      </w:r>
      <w:r>
        <w:t xml:space="preserve"> ruled, Rodriguez</w:t>
      </w:r>
      <w:r w:rsidR="00646085">
        <w:t>’s counsel</w:t>
      </w:r>
      <w:r w:rsidR="00B44F1D">
        <w:t xml:space="preserve"> (Mayfield)</w:t>
      </w:r>
      <w:r>
        <w:t xml:space="preserve"> requested a </w:t>
      </w:r>
      <w:r w:rsidR="00AB287F">
        <w:t xml:space="preserve">further </w:t>
      </w:r>
      <w:r>
        <w:t xml:space="preserve">continuance and an order </w:t>
      </w:r>
      <w:r w:rsidR="00646085">
        <w:t xml:space="preserve">to obtain some of Rodriguez’s </w:t>
      </w:r>
      <w:r w:rsidR="00835624">
        <w:t xml:space="preserve">recent </w:t>
      </w:r>
      <w:r w:rsidR="000415B3">
        <w:t>jail records</w:t>
      </w:r>
      <w:r w:rsidR="00D42BC7">
        <w:t xml:space="preserve"> related to </w:t>
      </w:r>
      <w:r w:rsidR="00EF2E85">
        <w:t>hi</w:t>
      </w:r>
      <w:r w:rsidR="00D42BC7">
        <w:t>s recent placement “on at least a 24-hour hold” and “suicide watch</w:t>
      </w:r>
      <w:r w:rsidR="000415B3">
        <w:t>.</w:t>
      </w:r>
      <w:r w:rsidR="00D42BC7">
        <w:t>”</w:t>
      </w:r>
      <w:r w:rsidR="000415B3">
        <w:t xml:space="preserve"> </w:t>
      </w:r>
    </w:p>
    <w:p w14:paraId="4D2E32DA" w14:textId="6156ECE9" w:rsidR="006A799A" w:rsidRDefault="0053713C" w:rsidP="006A799A">
      <w:pPr>
        <w:pStyle w:val="Heading2"/>
      </w:pPr>
      <w:r>
        <w:rPr>
          <w:i w:val="0"/>
          <w:iCs w:val="0"/>
        </w:rPr>
        <w:t xml:space="preserve">D.  </w:t>
      </w:r>
      <w:r>
        <w:t>Writ Proceedings</w:t>
      </w:r>
      <w:r w:rsidR="005406F1">
        <w:t xml:space="preserve"> in </w:t>
      </w:r>
      <w:r w:rsidR="00646085">
        <w:t xml:space="preserve">this </w:t>
      </w:r>
      <w:r w:rsidR="005406F1">
        <w:t>Court</w:t>
      </w:r>
    </w:p>
    <w:p w14:paraId="6091178B" w14:textId="3403488C" w:rsidR="00973251" w:rsidRDefault="0053713C" w:rsidP="00AE1967">
      <w:r>
        <w:t>On April 16, 2021, Rodriguez filed</w:t>
      </w:r>
      <w:r w:rsidR="00F42A8E">
        <w:t xml:space="preserve"> </w:t>
      </w:r>
      <w:r>
        <w:t xml:space="preserve">a petition </w:t>
      </w:r>
      <w:bookmarkStart w:id="3" w:name="_Hlk83301018"/>
      <w:r>
        <w:t xml:space="preserve">for a writ of prohibition </w:t>
      </w:r>
      <w:bookmarkEnd w:id="3"/>
      <w:r>
        <w:t xml:space="preserve">or other equitable relief to stay competency restoration proceedings </w:t>
      </w:r>
      <w:r w:rsidR="00E224D8">
        <w:t>(petition)</w:t>
      </w:r>
      <w:r w:rsidR="00F42A8E">
        <w:t>.</w:t>
      </w:r>
      <w:r w:rsidR="00AE1967">
        <w:t xml:space="preserve">  </w:t>
      </w:r>
      <w:r w:rsidR="0006065E">
        <w:t>He specifically</w:t>
      </w:r>
      <w:r w:rsidR="00AE1967">
        <w:t xml:space="preserve"> requested that we “[s]tay </w:t>
      </w:r>
      <w:r w:rsidR="00AE1967" w:rsidRPr="00AE1967">
        <w:t>all superior court proceedings in Case Numbers</w:t>
      </w:r>
      <w:r w:rsidR="00AE1967">
        <w:t xml:space="preserve"> </w:t>
      </w:r>
      <w:r w:rsidR="00AE1967" w:rsidRPr="00AE1967">
        <w:t>C1650275 and C1647395</w:t>
      </w:r>
      <w:r w:rsidR="00AE1967">
        <w:t xml:space="preserve">” and “[i]ssue </w:t>
      </w:r>
      <w:r w:rsidR="00AE1967" w:rsidRPr="00AE1967">
        <w:t>a peremptory writ of prohibition directing</w:t>
      </w:r>
      <w:r w:rsidR="00AE1967">
        <w:t xml:space="preserve"> respondent court to </w:t>
      </w:r>
      <w:r w:rsidR="00AE1967">
        <w:lastRenderedPageBreak/>
        <w:t>vacate its order denying the motion to dismiss and enter an order granting the motion, or equivalent relief</w:t>
      </w:r>
      <w:r w:rsidR="008D3E22">
        <w:t>; or</w:t>
      </w:r>
      <w:r w:rsidR="00EF74A4">
        <w:t xml:space="preserve">  [¶] </w:t>
      </w:r>
      <w:r w:rsidR="008D3E22">
        <w:t xml:space="preserve"> . . . </w:t>
      </w:r>
      <w:r w:rsidR="00EF74A4">
        <w:t xml:space="preserve"> [¶] [] </w:t>
      </w:r>
      <w:r w:rsidR="008D3E22">
        <w:t>any other relief deemed just and proper.</w:t>
      </w:r>
      <w:r w:rsidR="00AE1967">
        <w:t>”</w:t>
      </w:r>
      <w:r>
        <w:rPr>
          <w:rStyle w:val="FootnoteReference"/>
          <w:b/>
          <w:bCs/>
        </w:rPr>
        <w:footnoteReference w:id="9"/>
      </w:r>
      <w:r w:rsidR="00AE1967">
        <w:t xml:space="preserve"> </w:t>
      </w:r>
    </w:p>
    <w:p w14:paraId="116CD7DB" w14:textId="77809D17" w:rsidR="00F00D5D" w:rsidRDefault="0053713C" w:rsidP="00DE4B10">
      <w:r>
        <w:t>On April 28, 2021, t</w:t>
      </w:r>
      <w:r w:rsidR="00973251">
        <w:t xml:space="preserve">his court </w:t>
      </w:r>
      <w:r w:rsidR="001E0913">
        <w:t xml:space="preserve">stayed all </w:t>
      </w:r>
      <w:r>
        <w:t xml:space="preserve">proceedings in the </w:t>
      </w:r>
      <w:r w:rsidR="00F36C15">
        <w:t>trial</w:t>
      </w:r>
      <w:r w:rsidR="001E0913">
        <w:t xml:space="preserve"> </w:t>
      </w:r>
      <w:r w:rsidR="005406F1">
        <w:t xml:space="preserve">court </w:t>
      </w:r>
      <w:r w:rsidR="0006065E">
        <w:t>and</w:t>
      </w:r>
      <w:r w:rsidR="0000665B">
        <w:t xml:space="preserve"> </w:t>
      </w:r>
      <w:r>
        <w:t>requested that</w:t>
      </w:r>
      <w:r w:rsidR="00973251">
        <w:t xml:space="preserve"> the People</w:t>
      </w:r>
      <w:r w:rsidR="0000665B">
        <w:t xml:space="preserve"> (</w:t>
      </w:r>
      <w:r w:rsidR="00973251">
        <w:t>real party in interest</w:t>
      </w:r>
      <w:r w:rsidR="00F727FF">
        <w:t xml:space="preserve"> represented by the district attorney</w:t>
      </w:r>
      <w:r w:rsidR="0000665B">
        <w:t>)</w:t>
      </w:r>
      <w:r w:rsidR="00973251">
        <w:t xml:space="preserve"> file </w:t>
      </w:r>
      <w:r w:rsidR="00B95F93">
        <w:t xml:space="preserve">a </w:t>
      </w:r>
      <w:r w:rsidR="00973251">
        <w:t>preliminary opposition</w:t>
      </w:r>
      <w:r>
        <w:t xml:space="preserve"> to the petition</w:t>
      </w:r>
      <w:r w:rsidR="00973251">
        <w:t>.</w:t>
      </w:r>
      <w:r w:rsidR="005406F1">
        <w:t xml:space="preserve"> </w:t>
      </w:r>
      <w:r w:rsidR="001D6EB2">
        <w:t xml:space="preserve"> </w:t>
      </w:r>
      <w:r w:rsidR="001E0913">
        <w:t>I</w:t>
      </w:r>
      <w:r w:rsidR="00973251">
        <w:t xml:space="preserve">n </w:t>
      </w:r>
      <w:r w:rsidR="001E0913">
        <w:t>July</w:t>
      </w:r>
      <w:r w:rsidR="00973251">
        <w:t xml:space="preserve"> 2021, this court issued an order to show cause</w:t>
      </w:r>
      <w:r w:rsidR="00170A97">
        <w:t xml:space="preserve"> </w:t>
      </w:r>
      <w:r w:rsidR="00973251">
        <w:t xml:space="preserve">why a peremptory writ should not issue as requested </w:t>
      </w:r>
      <w:r w:rsidR="0000665B">
        <w:t>by Rodriguez</w:t>
      </w:r>
      <w:r w:rsidR="00973251">
        <w:t xml:space="preserve">. </w:t>
      </w:r>
      <w:r w:rsidR="005406F1">
        <w:t xml:space="preserve"> </w:t>
      </w:r>
      <w:r w:rsidR="001E0913">
        <w:t xml:space="preserve">In August 2021, </w:t>
      </w:r>
      <w:r w:rsidR="00973251">
        <w:t xml:space="preserve">the </w:t>
      </w:r>
      <w:r w:rsidR="00D37F41">
        <w:t xml:space="preserve">district attorney </w:t>
      </w:r>
      <w:r w:rsidR="00973251">
        <w:t>file</w:t>
      </w:r>
      <w:r w:rsidR="001E0913">
        <w:t>d</w:t>
      </w:r>
      <w:r w:rsidR="00973251">
        <w:t xml:space="preserve"> a return </w:t>
      </w:r>
      <w:r w:rsidR="005406F1">
        <w:t>to the order to show ca</w:t>
      </w:r>
      <w:r w:rsidR="005729FA">
        <w:t>u</w:t>
      </w:r>
      <w:r w:rsidR="005406F1">
        <w:t>se</w:t>
      </w:r>
      <w:r w:rsidR="00466D3B">
        <w:t>,</w:t>
      </w:r>
      <w:r w:rsidR="00170A97">
        <w:t xml:space="preserve"> </w:t>
      </w:r>
      <w:r w:rsidR="00973251">
        <w:t xml:space="preserve">and </w:t>
      </w:r>
      <w:r w:rsidR="001E0913">
        <w:t>Rodriguez</w:t>
      </w:r>
      <w:r w:rsidR="00973251">
        <w:t xml:space="preserve"> file</w:t>
      </w:r>
      <w:r w:rsidR="001E0913">
        <w:t>d</w:t>
      </w:r>
      <w:r w:rsidR="00973251">
        <w:t xml:space="preserve"> a </w:t>
      </w:r>
      <w:r w:rsidR="00B95F93">
        <w:t>denial</w:t>
      </w:r>
      <w:r w:rsidR="00973251">
        <w:t xml:space="preserve"> to the</w:t>
      </w:r>
      <w:r w:rsidR="00170A97">
        <w:t xml:space="preserve"> </w:t>
      </w:r>
      <w:r w:rsidR="00973251">
        <w:t>return.</w:t>
      </w:r>
      <w:r w:rsidR="00880F57">
        <w:t xml:space="preserve">  </w:t>
      </w:r>
    </w:p>
    <w:p w14:paraId="0409E4F6" w14:textId="25B1F442" w:rsidR="00F36C15" w:rsidRDefault="0053713C" w:rsidP="00880F57">
      <w:r>
        <w:t>In his denial, Rodriguez modifies the relief he request</w:t>
      </w:r>
      <w:r w:rsidR="0000665B">
        <w:t>ed in his petition</w:t>
      </w:r>
      <w:r>
        <w:t xml:space="preserve">, in that he asks us to “grant each of his prayers for relief, issue the writ of prohibition, and </w:t>
      </w:r>
      <w:r w:rsidRPr="001D143B">
        <w:t>remand with directions to the superior court to reconsider the motion to dismiss</w:t>
      </w:r>
      <w:r w:rsidR="00613438">
        <w:t>.</w:t>
      </w:r>
      <w:r>
        <w:t>”</w:t>
      </w:r>
      <w:r w:rsidR="00DD1999">
        <w:t xml:space="preserve"> </w:t>
      </w:r>
      <w:r w:rsidR="00F00D5D">
        <w:t xml:space="preserve"> </w:t>
      </w:r>
      <w:r w:rsidR="00AB287F">
        <w:t>Additionally, Rodriguez</w:t>
      </w:r>
      <w:r w:rsidR="00AB287F" w:rsidRPr="00A6402E">
        <w:t xml:space="preserve"> </w:t>
      </w:r>
      <w:r w:rsidR="00AB287F">
        <w:t xml:space="preserve">objects </w:t>
      </w:r>
      <w:r w:rsidR="00284710">
        <w:t xml:space="preserve">on three grounds </w:t>
      </w:r>
      <w:r w:rsidR="00AB287F">
        <w:t xml:space="preserve">to </w:t>
      </w:r>
      <w:r w:rsidR="00AB287F" w:rsidRPr="00A6402E">
        <w:t xml:space="preserve">the </w:t>
      </w:r>
      <w:r w:rsidR="00AB287F">
        <w:t>sufficiency of the district attorney’</w:t>
      </w:r>
      <w:r w:rsidR="00AB287F" w:rsidRPr="00A6402E">
        <w:t>s return</w:t>
      </w:r>
      <w:r w:rsidR="00AB287F">
        <w:t xml:space="preserve">.  We analyze those objections below and then turn to the merits of Rodriguez’s petition.  </w:t>
      </w:r>
    </w:p>
    <w:p w14:paraId="49002295" w14:textId="6FCC44A3" w:rsidR="00AB287F" w:rsidRDefault="0053713C" w:rsidP="00AB287F">
      <w:pPr>
        <w:pStyle w:val="Heading1"/>
      </w:pPr>
      <w:r>
        <w:t>II.  Discussion</w:t>
      </w:r>
    </w:p>
    <w:p w14:paraId="227D36EE" w14:textId="2421C1E3" w:rsidR="00AB287F" w:rsidRDefault="0053713C" w:rsidP="00E72D55">
      <w:pPr>
        <w:pStyle w:val="Heading2"/>
      </w:pPr>
      <w:r>
        <w:rPr>
          <w:i w:val="0"/>
          <w:iCs w:val="0"/>
        </w:rPr>
        <w:t xml:space="preserve">A.  </w:t>
      </w:r>
      <w:r w:rsidR="005D2324">
        <w:t xml:space="preserve">Rodriguez’s </w:t>
      </w:r>
      <w:r>
        <w:t>Objections to the Return</w:t>
      </w:r>
    </w:p>
    <w:p w14:paraId="5FA27AC6" w14:textId="4EF8A284" w:rsidR="00AB287F" w:rsidRDefault="0053713C" w:rsidP="00880F57">
      <w:r>
        <w:t xml:space="preserve">We first address Rodriguez’s three procedural objections to the district attorney’s return.  </w:t>
      </w:r>
    </w:p>
    <w:p w14:paraId="474CBD5F" w14:textId="52AD9B88" w:rsidR="00AB287F" w:rsidRDefault="0053713C" w:rsidP="00AB287F">
      <w:r>
        <w:lastRenderedPageBreak/>
        <w:t xml:space="preserve">First, Rodriguez asserts that the return is insufficient because it is </w:t>
      </w:r>
      <w:r w:rsidRPr="00A6402E">
        <w:t>unverified.</w:t>
      </w:r>
      <w:r>
        <w:t xml:space="preserve">  </w:t>
      </w:r>
      <w:r w:rsidR="00F36C15">
        <w:t>However, a</w:t>
      </w:r>
      <w:r>
        <w:t xml:space="preserve">fter </w:t>
      </w:r>
      <w:r w:rsidR="002F418F">
        <w:t xml:space="preserve">Rodriguez </w:t>
      </w:r>
      <w:r>
        <w:t xml:space="preserve">filed his denial, the district attorney </w:t>
      </w:r>
      <w:r w:rsidR="009A1756">
        <w:t>submitted</w:t>
      </w:r>
      <w:r>
        <w:t xml:space="preserve"> a v</w:t>
      </w:r>
      <w:r>
        <w:t xml:space="preserve">erification to the return.  Thus, Rodriguez’s objection is moot.  </w:t>
      </w:r>
    </w:p>
    <w:p w14:paraId="7D2189FF" w14:textId="5FF509A6" w:rsidR="00AB287F" w:rsidRDefault="0053713C" w:rsidP="00AB287F">
      <w:r>
        <w:t xml:space="preserve">Second, Rodriguez asserts </w:t>
      </w:r>
      <w:r w:rsidR="001C4D54">
        <w:t>insufficiency because</w:t>
      </w:r>
      <w:r>
        <w:t xml:space="preserve"> the return “does not </w:t>
      </w:r>
      <w:r w:rsidRPr="002F3A2C">
        <w:t>address analogous, recent case law</w:t>
      </w:r>
      <w:r>
        <w:t xml:space="preserve">”—namely, </w:t>
      </w:r>
      <w:r w:rsidRPr="00463845">
        <w:rPr>
          <w:i/>
          <w:iCs/>
        </w:rPr>
        <w:t>Stiavetti v. Clendenin</w:t>
      </w:r>
      <w:r w:rsidRPr="0015456C">
        <w:t xml:space="preserve"> (2021) 65 Cal.App.5th 691</w:t>
      </w:r>
      <w:r w:rsidR="005E2561">
        <w:t xml:space="preserve"> (</w:t>
      </w:r>
      <w:r w:rsidR="005E2561" w:rsidRPr="00463845">
        <w:rPr>
          <w:i/>
          <w:iCs/>
        </w:rPr>
        <w:t>Stiavetti</w:t>
      </w:r>
      <w:r w:rsidR="005E2561">
        <w:t>)</w:t>
      </w:r>
      <w:r>
        <w:t xml:space="preserve"> and </w:t>
      </w:r>
      <w:r w:rsidRPr="00463845">
        <w:rPr>
          <w:i/>
          <w:iCs/>
        </w:rPr>
        <w:t>Medina v. Superior Court</w:t>
      </w:r>
      <w:r w:rsidRPr="00463845">
        <w:t xml:space="preserve"> (2021) 65 Cal.App.5th 1197</w:t>
      </w:r>
      <w:r>
        <w:t xml:space="preserve"> (</w:t>
      </w:r>
      <w:r w:rsidRPr="00463845">
        <w:rPr>
          <w:i/>
          <w:iCs/>
        </w:rPr>
        <w:t>Medina</w:t>
      </w:r>
      <w:r>
        <w:t>).</w:t>
      </w:r>
      <w:r w:rsidR="006644E9">
        <w:t xml:space="preserve"> </w:t>
      </w:r>
      <w:r>
        <w:t xml:space="preserve"> Rodriguez provides no precedent to support his assertion of insufficiency, and </w:t>
      </w:r>
      <w:r w:rsidR="006644E9">
        <w:t xml:space="preserve">we </w:t>
      </w:r>
      <w:r>
        <w:t xml:space="preserve">are not persuaded that the district attorney’s failure to address these recent cases renders the return itself </w:t>
      </w:r>
      <w:r>
        <w:t xml:space="preserve">insufficient.  (See </w:t>
      </w:r>
      <w:r w:rsidRPr="009E4755">
        <w:rPr>
          <w:i/>
          <w:iCs/>
        </w:rPr>
        <w:t>Mansell v. Board of Administration</w:t>
      </w:r>
      <w:r w:rsidRPr="009E4755">
        <w:t xml:space="preserve"> (1994) 30 Cal.App.4th 539, 545–546.)</w:t>
      </w:r>
      <w:r>
        <w:t xml:space="preserve">  </w:t>
      </w:r>
      <w:bookmarkStart w:id="4" w:name="_Hlk80693345"/>
      <w:r>
        <w:t>We therefore reject this challenge to the return.</w:t>
      </w:r>
    </w:p>
    <w:p w14:paraId="4795129D" w14:textId="4F7815DF" w:rsidR="006A799A" w:rsidRDefault="0053713C" w:rsidP="00AB287F">
      <w:r>
        <w:t xml:space="preserve">Finally, Rodriguez contends that the return includes a declaration of the assigned deputy district attorney that </w:t>
      </w:r>
      <w:r>
        <w:t xml:space="preserve">was “not presented to the superior court at the hearing on the motion to dismiss.”  </w:t>
      </w:r>
      <w:r w:rsidR="00DE4B10">
        <w:t xml:space="preserve">Under the facts here, we decide we may consider this declaration.  </w:t>
      </w:r>
      <w:r>
        <w:t>“O</w:t>
      </w:r>
      <w:r w:rsidRPr="00BC5CC4">
        <w:t xml:space="preserve">rdinarily a reviewing court will not consider evidence arising after the trial court ruling, involving </w:t>
      </w:r>
      <w:r w:rsidRPr="00BC5CC4">
        <w:t>facts open to controversy which were not placed in issue or resolved by the trial court.</w:t>
      </w:r>
      <w:r>
        <w:t>”  (</w:t>
      </w:r>
      <w:r w:rsidRPr="00BC5CC4">
        <w:rPr>
          <w:i/>
          <w:iCs/>
        </w:rPr>
        <w:t>BGJ Associates v. Superior Court</w:t>
      </w:r>
      <w:r w:rsidRPr="001208DF">
        <w:t xml:space="preserve"> (1999) 75 Cal.App.4th 952, 958</w:t>
      </w:r>
      <w:r>
        <w:t xml:space="preserve">; see also </w:t>
      </w:r>
      <w:r w:rsidRPr="00F23420">
        <w:rPr>
          <w:i/>
          <w:iCs/>
        </w:rPr>
        <w:t>People v. Superior Court</w:t>
      </w:r>
      <w:r>
        <w:t xml:space="preserve"> (</w:t>
      </w:r>
      <w:r w:rsidRPr="00F23420">
        <w:rPr>
          <w:i/>
          <w:iCs/>
        </w:rPr>
        <w:t>Lavi</w:t>
      </w:r>
      <w:r>
        <w:t>) (1993) 4 Cal.4th 1164, 1173, fn. 5</w:t>
      </w:r>
      <w:r w:rsidRPr="003B7E98">
        <w:t xml:space="preserve">; </w:t>
      </w:r>
      <w:r w:rsidRPr="00F23420">
        <w:rPr>
          <w:i/>
          <w:iCs/>
        </w:rPr>
        <w:t>Stevens v. Superior Co</w:t>
      </w:r>
      <w:r w:rsidRPr="00F23420">
        <w:rPr>
          <w:i/>
          <w:iCs/>
        </w:rPr>
        <w:t>urt</w:t>
      </w:r>
      <w:r w:rsidRPr="003B7E98">
        <w:t xml:space="preserve"> (1999) 75 Cal.App.4th 594, 607, </w:t>
      </w:r>
      <w:r>
        <w:t xml:space="preserve">fn. </w:t>
      </w:r>
      <w:r w:rsidRPr="003B7E98">
        <w:t>13</w:t>
      </w:r>
      <w:r>
        <w:t xml:space="preserve">.)  However, in an original writ proceeding, we have discretion to consider relevant information not presented to the </w:t>
      </w:r>
      <w:r w:rsidR="00F36C15">
        <w:t>trial</w:t>
      </w:r>
      <w:r>
        <w:t xml:space="preserve"> court.  (See </w:t>
      </w:r>
      <w:r w:rsidRPr="00F23420">
        <w:rPr>
          <w:i/>
          <w:iCs/>
        </w:rPr>
        <w:t>McCarthy v. Superior Court</w:t>
      </w:r>
      <w:r>
        <w:t xml:space="preserve"> (1987) 191 Cal.App.3d 1023, 103</w:t>
      </w:r>
      <w:r w:rsidR="00703767">
        <w:t>0</w:t>
      </w:r>
      <w:r>
        <w:t xml:space="preserve">, fn. 3; see also </w:t>
      </w:r>
      <w:r w:rsidRPr="00F23420">
        <w:rPr>
          <w:i/>
          <w:iCs/>
        </w:rPr>
        <w:t>Bruce v. Gregory</w:t>
      </w:r>
      <w:r>
        <w:t xml:space="preserve"> (1967) 65 Cal.2d 666, 670–671.)  </w:t>
      </w:r>
      <w:r w:rsidR="00483260">
        <w:t>The substance of the information contained in the declaration, which details</w:t>
      </w:r>
      <w:r w:rsidR="00205F86">
        <w:t xml:space="preserve"> case events and</w:t>
      </w:r>
      <w:r w:rsidR="00483260">
        <w:t xml:space="preserve"> interactions between the district attorney and the bench officer </w:t>
      </w:r>
      <w:r w:rsidR="00205F86">
        <w:t>who ruled on Rodriguez’s objection to the restoration hearing and motion to dismiss</w:t>
      </w:r>
      <w:r w:rsidR="00483260">
        <w:t xml:space="preserve">, </w:t>
      </w:r>
      <w:r w:rsidR="00BA64CC">
        <w:t xml:space="preserve">appears to have been </w:t>
      </w:r>
      <w:r w:rsidR="00483260">
        <w:t xml:space="preserve">within the knowledge of the </w:t>
      </w:r>
      <w:r w:rsidR="00DE4B10">
        <w:t xml:space="preserve">bench officer who made the order at issue in this </w:t>
      </w:r>
      <w:r w:rsidR="00BF3AFC">
        <w:t>writ proceeding</w:t>
      </w:r>
      <w:r w:rsidR="00483260">
        <w:t xml:space="preserve">. </w:t>
      </w:r>
      <w:r w:rsidR="001C4D54">
        <w:t xml:space="preserve"> </w:t>
      </w:r>
      <w:r>
        <w:t>Under the</w:t>
      </w:r>
      <w:r w:rsidR="003764AB">
        <w:t>se</w:t>
      </w:r>
      <w:r>
        <w:t xml:space="preserve"> circumstances, we will exercise our discretion to consider the declaration of the deputy district attorney.</w:t>
      </w:r>
      <w:bookmarkEnd w:id="4"/>
    </w:p>
    <w:p w14:paraId="011C871C" w14:textId="0A7756C6" w:rsidR="00AB287F" w:rsidRPr="006A799A" w:rsidRDefault="0053713C" w:rsidP="001C4D54">
      <w:pPr>
        <w:pStyle w:val="Heading2"/>
      </w:pPr>
      <w:r>
        <w:rPr>
          <w:i w:val="0"/>
          <w:iCs w:val="0"/>
        </w:rPr>
        <w:lastRenderedPageBreak/>
        <w:t xml:space="preserve">B.  </w:t>
      </w:r>
      <w:r>
        <w:t xml:space="preserve">The Parties’ Contentions </w:t>
      </w:r>
    </w:p>
    <w:p w14:paraId="0B994B24" w14:textId="5E12ACB1" w:rsidR="007E6E40" w:rsidRDefault="0053713C" w:rsidP="004A60ED">
      <w:r w:rsidRPr="008259F7">
        <w:t>Rodrig</w:t>
      </w:r>
      <w:r>
        <w:t xml:space="preserve">uez </w:t>
      </w:r>
      <w:r w:rsidR="005D2324">
        <w:t xml:space="preserve">argues </w:t>
      </w:r>
      <w:r w:rsidR="00110E4C">
        <w:t xml:space="preserve">the statutory scheme governing inquiry into a defendant’s competence does not provide for tolling of the </w:t>
      </w:r>
      <w:r w:rsidR="00EE06C1">
        <w:t xml:space="preserve">incompetency </w:t>
      </w:r>
      <w:r w:rsidR="00110E4C">
        <w:t>commitment period</w:t>
      </w:r>
      <w:r w:rsidR="002D1D21">
        <w:t xml:space="preserve"> and </w:t>
      </w:r>
      <w:r w:rsidR="00BA21E7">
        <w:t>the trial</w:t>
      </w:r>
      <w:r w:rsidR="002D1D21">
        <w:t xml:space="preserve"> court’s interpretation of section 1370 cannot be reconciled with</w:t>
      </w:r>
      <w:r w:rsidR="00460800">
        <w:t xml:space="preserve"> the </w:t>
      </w:r>
      <w:r w:rsidR="00EE06C1">
        <w:t xml:space="preserve">recent </w:t>
      </w:r>
      <w:r w:rsidR="00460800">
        <w:t xml:space="preserve">conclusions of the Court of Appeal in </w:t>
      </w:r>
      <w:r w:rsidR="00460800" w:rsidRPr="00C55152">
        <w:rPr>
          <w:i/>
          <w:iCs/>
        </w:rPr>
        <w:t>Carr</w:t>
      </w:r>
      <w:r w:rsidR="005B0B75" w:rsidRPr="00C55152">
        <w:rPr>
          <w:i/>
          <w:iCs/>
        </w:rPr>
        <w:t xml:space="preserve"> II</w:t>
      </w:r>
      <w:r w:rsidR="00657DB3" w:rsidRPr="00C55152">
        <w:t xml:space="preserve">, </w:t>
      </w:r>
      <w:r w:rsidR="00657DB3" w:rsidRPr="00C55152">
        <w:rPr>
          <w:i/>
          <w:iCs/>
        </w:rPr>
        <w:t>supra</w:t>
      </w:r>
      <w:r w:rsidR="00657DB3" w:rsidRPr="00C55152">
        <w:t>,</w:t>
      </w:r>
      <w:r w:rsidR="00460800" w:rsidRPr="00C55152">
        <w:t xml:space="preserve"> 59 Cal.App.5th 1136</w:t>
      </w:r>
      <w:r w:rsidR="00110E4C">
        <w:t xml:space="preserve">.  He </w:t>
      </w:r>
      <w:r w:rsidR="0054153A">
        <w:t xml:space="preserve">further </w:t>
      </w:r>
      <w:r w:rsidR="00EE06C1">
        <w:t>maintains</w:t>
      </w:r>
      <w:r w:rsidR="00110E4C">
        <w:t xml:space="preserve"> that </w:t>
      </w:r>
      <w:r w:rsidR="002D1D21">
        <w:t xml:space="preserve">“no [restoration] hearing can be held when respondent court lacks jurisdiction after the commitment period lapses under Penal Code section 1370, subdivision (c)(1).” </w:t>
      </w:r>
      <w:r w:rsidR="0004234C">
        <w:t xml:space="preserve"> </w:t>
      </w:r>
      <w:r w:rsidR="00CD3954">
        <w:t>In addition, h</w:t>
      </w:r>
      <w:r w:rsidR="00355C43">
        <w:t xml:space="preserve">e </w:t>
      </w:r>
      <w:r w:rsidR="00CD3954">
        <w:t>asserts</w:t>
      </w:r>
      <w:r w:rsidR="00355C43">
        <w:t xml:space="preserve"> that</w:t>
      </w:r>
      <w:r w:rsidR="00BA21E7">
        <w:t xml:space="preserve"> tolling the commitment period based on a certificate of restoration violates separation of powers and the non-delegation doctrine.  Finally, he maintains</w:t>
      </w:r>
      <w:r w:rsidR="00355C43">
        <w:t xml:space="preserve"> his fundamental right to liberty is implicated</w:t>
      </w:r>
      <w:r w:rsidR="00CD3954">
        <w:t xml:space="preserve"> by his incompetency commitment</w:t>
      </w:r>
      <w:r w:rsidR="002F418F">
        <w:t>,</w:t>
      </w:r>
      <w:r>
        <w:t xml:space="preserve"> and tolling the commitment period violates his rights to due process</w:t>
      </w:r>
      <w:r w:rsidR="00EE06C1">
        <w:t xml:space="preserve"> and</w:t>
      </w:r>
      <w:r>
        <w:t xml:space="preserve"> equal protection and against cruel and</w:t>
      </w:r>
      <w:r>
        <w:t xml:space="preserve"> unusual punishment.</w:t>
      </w:r>
      <w:r>
        <w:rPr>
          <w:rStyle w:val="FootnoteReference"/>
          <w:b/>
          <w:bCs/>
        </w:rPr>
        <w:footnoteReference w:id="10"/>
      </w:r>
      <w:r>
        <w:t xml:space="preserve"> </w:t>
      </w:r>
    </w:p>
    <w:p w14:paraId="5FA7CA0F" w14:textId="63C36079" w:rsidR="00A80214" w:rsidRDefault="0053713C" w:rsidP="00E24FE6">
      <w:r>
        <w:t>In his return, the district attorney counters</w:t>
      </w:r>
      <w:r w:rsidR="000109F4">
        <w:t xml:space="preserve"> with multiple contentions.  </w:t>
      </w:r>
      <w:r w:rsidR="003C4323">
        <w:t>He</w:t>
      </w:r>
      <w:r w:rsidR="000109F4">
        <w:t xml:space="preserve"> asserts</w:t>
      </w:r>
      <w:r w:rsidR="00D57BB0">
        <w:t>, inter alia,</w:t>
      </w:r>
      <w:r>
        <w:t xml:space="preserve"> that </w:t>
      </w:r>
      <w:r w:rsidR="00D57BB0">
        <w:t>the trial</w:t>
      </w:r>
      <w:r w:rsidR="00FC1EEF">
        <w:t xml:space="preserve"> court properly denied Rodriguez’s motion because he is presumed competent as of January 9, 2020 (i.e., the date of the latest Certification of Mental Competency) and “[a]</w:t>
      </w:r>
      <w:r w:rsidR="00FC1EEF" w:rsidRPr="00EE21CE">
        <w:t>bsent a judicial finding overcoming this presumption, the present matters are not subject to dismissal for violation of the maximum two-year commitment period for incompetency</w:t>
      </w:r>
      <w:r w:rsidR="00FC1EEF">
        <w:t>.”  The district attorney argues further that R</w:t>
      </w:r>
      <w:r>
        <w:t xml:space="preserve">odriguez’s commitment </w:t>
      </w:r>
      <w:r w:rsidR="00E737E8">
        <w:t>has</w:t>
      </w:r>
      <w:r>
        <w:t xml:space="preserve"> not exceed</w:t>
      </w:r>
      <w:r w:rsidR="00E737E8">
        <w:t>ed</w:t>
      </w:r>
      <w:r>
        <w:t xml:space="preserve"> two years because the </w:t>
      </w:r>
      <w:r w:rsidR="00710500">
        <w:t xml:space="preserve">commitment </w:t>
      </w:r>
      <w:r>
        <w:t xml:space="preserve">period is </w:t>
      </w:r>
      <w:r w:rsidR="00466D3B">
        <w:t xml:space="preserve">properly </w:t>
      </w:r>
      <w:r>
        <w:t xml:space="preserve">calculated </w:t>
      </w:r>
      <w:r w:rsidR="00E737E8">
        <w:t>as terminating upon</w:t>
      </w:r>
      <w:r>
        <w:t xml:space="preserve"> the filing of </w:t>
      </w:r>
      <w:r w:rsidR="00E737E8">
        <w:t>a</w:t>
      </w:r>
      <w:r>
        <w:t xml:space="preserve"> certificate of restoration. </w:t>
      </w:r>
    </w:p>
    <w:p w14:paraId="4F62B345" w14:textId="1A78D733" w:rsidR="00A80214" w:rsidRDefault="0053713C" w:rsidP="00506D9F">
      <w:pPr>
        <w:pStyle w:val="Heading2"/>
      </w:pPr>
      <w:r>
        <w:rPr>
          <w:i w:val="0"/>
          <w:iCs w:val="0"/>
        </w:rPr>
        <w:lastRenderedPageBreak/>
        <w:t>C</w:t>
      </w:r>
      <w:r w:rsidR="00A4272D">
        <w:rPr>
          <w:i w:val="0"/>
          <w:iCs w:val="0"/>
        </w:rPr>
        <w:t xml:space="preserve">.  </w:t>
      </w:r>
      <w:r w:rsidR="00506D9F">
        <w:t>Standard of Review</w:t>
      </w:r>
      <w:r w:rsidR="00B26F98">
        <w:t xml:space="preserve"> and Canons of Statutory Interpretation</w:t>
      </w:r>
    </w:p>
    <w:p w14:paraId="4BEC5E42" w14:textId="35C5920C" w:rsidR="003F0265" w:rsidRDefault="0053713C" w:rsidP="008E6BD3">
      <w:r>
        <w:t xml:space="preserve">Neither party </w:t>
      </w:r>
      <w:r w:rsidR="001E1A22">
        <w:t xml:space="preserve">has </w:t>
      </w:r>
      <w:r>
        <w:t>address</w:t>
      </w:r>
      <w:r w:rsidR="001E1A22">
        <w:t xml:space="preserve">ed </w:t>
      </w:r>
      <w:r>
        <w:t xml:space="preserve">in briefing the standard </w:t>
      </w:r>
      <w:r w:rsidR="008E6BD3">
        <w:t>for our</w:t>
      </w:r>
      <w:r>
        <w:t xml:space="preserve"> review</w:t>
      </w:r>
      <w:r w:rsidR="003F134E">
        <w:t xml:space="preserve"> </w:t>
      </w:r>
      <w:r w:rsidR="008E6BD3">
        <w:t xml:space="preserve">of </w:t>
      </w:r>
      <w:r w:rsidR="00D57BB0">
        <w:t>the trial</w:t>
      </w:r>
      <w:r w:rsidR="003F134E">
        <w:t xml:space="preserve"> court’s ruling on Rodriguez’s </w:t>
      </w:r>
      <w:r w:rsidR="001002CE">
        <w:t xml:space="preserve">objection to a restoration hearing and </w:t>
      </w:r>
      <w:r w:rsidR="003F134E">
        <w:t xml:space="preserve">motion to dismiss under section </w:t>
      </w:r>
      <w:r w:rsidR="007A0413">
        <w:t>1385.</w:t>
      </w:r>
      <w:r>
        <w:t xml:space="preserve">  However, at oral argument before this court, the parties agree</w:t>
      </w:r>
      <w:r w:rsidR="005729FA">
        <w:t>d</w:t>
      </w:r>
      <w:r>
        <w:t xml:space="preserve"> that we should </w:t>
      </w:r>
      <w:r w:rsidR="00124C2E">
        <w:t>exercise</w:t>
      </w:r>
      <w:r>
        <w:t xml:space="preserve"> de novo review in this case.  We concur.</w:t>
      </w:r>
      <w:r w:rsidR="007A0413">
        <w:t xml:space="preserve">  </w:t>
      </w:r>
    </w:p>
    <w:p w14:paraId="52E80382" w14:textId="61CB363B" w:rsidR="003F134E" w:rsidRDefault="0053713C" w:rsidP="008E6BD3">
      <w:r>
        <w:t xml:space="preserve">Generally, </w:t>
      </w:r>
      <w:r w:rsidR="008E6BD3">
        <w:t xml:space="preserve">when </w:t>
      </w:r>
      <w:r>
        <w:t xml:space="preserve">reviewing </w:t>
      </w:r>
      <w:r w:rsidR="008E6BD3">
        <w:t xml:space="preserve">a </w:t>
      </w:r>
      <w:r w:rsidR="001002CE">
        <w:t xml:space="preserve">trial court’s </w:t>
      </w:r>
      <w:r w:rsidR="008E6BD3">
        <w:t>decision</w:t>
      </w:r>
      <w:r>
        <w:t xml:space="preserve"> to grant or deny a motion to di</w:t>
      </w:r>
      <w:r>
        <w:t xml:space="preserve">smiss, we apply the deferential abuse of discretion standard </w:t>
      </w:r>
      <w:r w:rsidR="008E6BD3">
        <w:t>and review t</w:t>
      </w:r>
      <w:r w:rsidRPr="007A0413">
        <w:t>he court</w:t>
      </w:r>
      <w:r>
        <w:t>’</w:t>
      </w:r>
      <w:r w:rsidRPr="007A0413">
        <w:t xml:space="preserve">s factual findings for substantial evidence. </w:t>
      </w:r>
      <w:r>
        <w:t xml:space="preserve"> </w:t>
      </w:r>
      <w:r w:rsidRPr="007A0413">
        <w:t>(</w:t>
      </w:r>
      <w:r w:rsidR="008E6BD3">
        <w:t xml:space="preserve">See </w:t>
      </w:r>
      <w:r w:rsidR="008E6BD3" w:rsidRPr="007A0413">
        <w:rPr>
          <w:i/>
          <w:iCs/>
        </w:rPr>
        <w:t>People v. Carmony</w:t>
      </w:r>
      <w:r w:rsidR="008E6BD3" w:rsidRPr="007A0413">
        <w:t xml:space="preserve"> (2004) 33 Cal.4th 367, 374</w:t>
      </w:r>
      <w:r w:rsidR="008E6BD3">
        <w:t xml:space="preserve">; </w:t>
      </w:r>
      <w:r w:rsidR="008E6BD3" w:rsidRPr="008E6BD3">
        <w:rPr>
          <w:i/>
          <w:iCs/>
        </w:rPr>
        <w:t>People v. Memro</w:t>
      </w:r>
      <w:r w:rsidR="008E6BD3">
        <w:t xml:space="preserve"> (1995) 11 Cal.4th 786, 835–836.</w:t>
      </w:r>
      <w:r w:rsidRPr="007A0413">
        <w:t xml:space="preserve">)  </w:t>
      </w:r>
      <w:r w:rsidR="001002CE">
        <w:t>In doing so, w</w:t>
      </w:r>
      <w:r w:rsidRPr="007A0413">
        <w:t xml:space="preserve">e must determine “whether the ruling in question ‘falls outside the bounds of reason’ under the applicable law and the relevant facts.” </w:t>
      </w:r>
      <w:r>
        <w:t xml:space="preserve"> </w:t>
      </w:r>
      <w:r w:rsidRPr="007A0413">
        <w:t>(</w:t>
      </w:r>
      <w:r w:rsidRPr="007A0413">
        <w:rPr>
          <w:i/>
          <w:iCs/>
        </w:rPr>
        <w:t>People v. Williams</w:t>
      </w:r>
      <w:r w:rsidRPr="007A0413">
        <w:t xml:space="preserve"> (1998) 17 Cal.4th 148, 162.)</w:t>
      </w:r>
    </w:p>
    <w:p w14:paraId="3712C91C" w14:textId="61CFE8C6" w:rsidR="009A007B" w:rsidRDefault="0053713C" w:rsidP="00157201">
      <w:r>
        <w:t>On the other hand</w:t>
      </w:r>
      <w:r w:rsidR="0097379A">
        <w:t xml:space="preserve">, interpretation and application of </w:t>
      </w:r>
      <w:r w:rsidR="004438CE">
        <w:t>a</w:t>
      </w:r>
      <w:r w:rsidR="0097379A">
        <w:t xml:space="preserve"> statutory scheme to undisputed facts is a question of law subject to de novo review. </w:t>
      </w:r>
      <w:r w:rsidR="00630709">
        <w:t xml:space="preserve"> </w:t>
      </w:r>
      <w:r w:rsidR="0097379A">
        <w:t>(</w:t>
      </w:r>
      <w:r w:rsidR="00630709">
        <w:t xml:space="preserve">See </w:t>
      </w:r>
      <w:r w:rsidR="0097379A" w:rsidRPr="00630709">
        <w:rPr>
          <w:i/>
          <w:iCs/>
        </w:rPr>
        <w:t>People v. Camarillo</w:t>
      </w:r>
      <w:r w:rsidR="0097379A">
        <w:t xml:space="preserve"> (2000) 84 Cal.App.4th 1386, 1389; </w:t>
      </w:r>
      <w:r w:rsidR="00630709" w:rsidRPr="00630709">
        <w:rPr>
          <w:i/>
          <w:iCs/>
        </w:rPr>
        <w:t>Ghirardo v. Antonioli</w:t>
      </w:r>
      <w:r w:rsidR="00630709" w:rsidRPr="00630709">
        <w:t xml:space="preserve"> (1994) 8 Cal.4th 791, 799</w:t>
      </w:r>
      <w:r w:rsidR="00630709">
        <w:t>– 801</w:t>
      </w:r>
      <w:r w:rsidR="00157201">
        <w:t xml:space="preserve">; </w:t>
      </w:r>
      <w:r w:rsidR="00157201" w:rsidRPr="00B1281C">
        <w:rPr>
          <w:i/>
          <w:iCs/>
        </w:rPr>
        <w:t>Moore v. Superior Court of Riverside County</w:t>
      </w:r>
      <w:r w:rsidR="00157201">
        <w:t xml:space="preserve"> (2020) 58 Cal.App.5th 561, 573</w:t>
      </w:r>
      <w:r w:rsidR="00630709">
        <w:t xml:space="preserve">.)  </w:t>
      </w:r>
    </w:p>
    <w:p w14:paraId="27F879FC" w14:textId="38CC5566" w:rsidR="00397C16" w:rsidRDefault="0053713C" w:rsidP="00157201">
      <w:r>
        <w:t xml:space="preserve">“ ‘ “ ‘When we interpret a statute, “[o]ur fundamental task . . . is to determine the Legislature’s intent so as to effectuate the law’s purpose.  We first examine the statutory language, giving it a </w:t>
      </w:r>
      <w:r>
        <w:t>plain and commonsense meaning.  We do not examine that language in isolation, but in the context of the statutory framework as a whole in order to determine its scope and purpose and to harmonize the various parts of the enactment.  If the language is clea</w:t>
      </w:r>
      <w:r>
        <w:t>r, courts must generally follow its plain meaning unless a literal interpretation would result in absurd consequences the Legislature did not intend.  If the statutory language permits more than one reasonable interpretation, courts may consider other aids</w:t>
      </w:r>
      <w:r>
        <w:t>, such as the statute’s purpose, legislative history, and public policy.</w:t>
      </w:r>
      <w:r w:rsidR="00D7163A">
        <w:t>”</w:t>
      </w:r>
      <w:r>
        <w:t xml:space="preserve">  [Citation.]  </w:t>
      </w:r>
      <w:r w:rsidR="00D7163A">
        <w:t>“</w:t>
      </w:r>
      <w:r>
        <w:t xml:space="preserve">Furthermore, we consider portions of a statute in the context of the entire statute and the statutory scheme of which it is a part, giving significance to every word, </w:t>
      </w:r>
      <w:r>
        <w:t xml:space="preserve">phrase, sentence, and part of an act in pursuance of the legislative purpose.” ’ ” ’ ”  </w:t>
      </w:r>
      <w:r>
        <w:lastRenderedPageBreak/>
        <w:t>(</w:t>
      </w:r>
      <w:r w:rsidRPr="00735FF4">
        <w:rPr>
          <w:i/>
          <w:iCs/>
        </w:rPr>
        <w:t>Smith v. LoanMe, Inc.</w:t>
      </w:r>
      <w:r>
        <w:t xml:space="preserve"> (2021) 11 Cal.5th 183, 190.)</w:t>
      </w:r>
      <w:r w:rsidR="00172EF3">
        <w:t xml:space="preserve">  </w:t>
      </w:r>
      <w:r w:rsidRPr="00397C16">
        <w:t>“A court ‘may not rewrite a statute, either by inserting or omitting language, to make it conform to a presumed int</w:t>
      </w:r>
      <w:r w:rsidRPr="00397C16">
        <w:t>ent that is not expressed</w:t>
      </w:r>
      <w:r w:rsidR="00CE63FF">
        <w:t>.</w:t>
      </w:r>
      <w:r w:rsidRPr="00397C16">
        <w:t>’ ”  (</w:t>
      </w:r>
      <w:r w:rsidRPr="00172EF3">
        <w:rPr>
          <w:i/>
          <w:iCs/>
        </w:rPr>
        <w:t>Kaanaana v. Barrett Business Services, Inc.</w:t>
      </w:r>
      <w:r w:rsidRPr="00397C16">
        <w:t xml:space="preserve"> (2021) 11 Cal.5th 158, 171.)  </w:t>
      </w:r>
    </w:p>
    <w:p w14:paraId="5338D3E3" w14:textId="7832E4E0" w:rsidR="005E2561" w:rsidRDefault="0053713C" w:rsidP="00114973">
      <w:r>
        <w:t xml:space="preserve">Because the issues presented in this case are entirely questions of law involving statutory interpretation and constitutional </w:t>
      </w:r>
      <w:r>
        <w:t>requirements, our review is de novo.</w:t>
      </w:r>
      <w:r w:rsidR="00705DF3">
        <w:t xml:space="preserve">  (</w:t>
      </w:r>
      <w:r>
        <w:t xml:space="preserve">See </w:t>
      </w:r>
      <w:r w:rsidR="00705DF3" w:rsidRPr="00705DF3">
        <w:rPr>
          <w:i/>
          <w:iCs/>
        </w:rPr>
        <w:t>Stiavetti</w:t>
      </w:r>
      <w:r w:rsidR="00705DF3">
        <w:t xml:space="preserve">, </w:t>
      </w:r>
      <w:r w:rsidR="00705DF3" w:rsidRPr="00705DF3">
        <w:rPr>
          <w:i/>
          <w:iCs/>
        </w:rPr>
        <w:t>supra</w:t>
      </w:r>
      <w:r w:rsidR="00705DF3">
        <w:t>, 65 Cal.App.5th at p. 706; see also</w:t>
      </w:r>
      <w:r w:rsidR="00114973">
        <w:t xml:space="preserve"> </w:t>
      </w:r>
      <w:r w:rsidR="00114973" w:rsidRPr="00114973">
        <w:rPr>
          <w:i/>
          <w:iCs/>
        </w:rPr>
        <w:t>Baqleh v. Superior Court</w:t>
      </w:r>
      <w:r w:rsidR="00114973">
        <w:t xml:space="preserve"> (2002) 100 Cal.App.4th 478, 485</w:t>
      </w:r>
      <w:r w:rsidR="00EE4566">
        <w:t xml:space="preserve">; </w:t>
      </w:r>
      <w:r w:rsidR="00EE4566" w:rsidRPr="00EE4566">
        <w:rPr>
          <w:i/>
          <w:iCs/>
        </w:rPr>
        <w:t>People v. Superior Court</w:t>
      </w:r>
      <w:r w:rsidR="00EE4566" w:rsidRPr="00EE4566">
        <w:t xml:space="preserve"> (</w:t>
      </w:r>
      <w:r w:rsidR="00EE4566" w:rsidRPr="00EE4566">
        <w:rPr>
          <w:i/>
          <w:iCs/>
        </w:rPr>
        <w:t>Sokolich</w:t>
      </w:r>
      <w:r w:rsidR="00EE4566" w:rsidRPr="00EE4566">
        <w:t>) (2016) 248 Cal.App.4th 434, 441</w:t>
      </w:r>
      <w:r w:rsidR="00114973">
        <w:t>.)</w:t>
      </w:r>
      <w:r w:rsidR="00705DF3">
        <w:t xml:space="preserve">  </w:t>
      </w:r>
    </w:p>
    <w:p w14:paraId="78A0F2CE" w14:textId="28E483CA" w:rsidR="008D162D" w:rsidRDefault="0053713C" w:rsidP="00A4272D">
      <w:pPr>
        <w:pStyle w:val="Heading2"/>
      </w:pPr>
      <w:r>
        <w:rPr>
          <w:i w:val="0"/>
          <w:iCs w:val="0"/>
        </w:rPr>
        <w:t>D</w:t>
      </w:r>
      <w:r w:rsidR="00A4272D">
        <w:rPr>
          <w:i w:val="0"/>
          <w:iCs w:val="0"/>
        </w:rPr>
        <w:t xml:space="preserve">.  </w:t>
      </w:r>
      <w:r w:rsidR="00EE7B77" w:rsidRPr="00A4272D">
        <w:t>Relevant</w:t>
      </w:r>
      <w:r w:rsidR="00EE7B77">
        <w:t xml:space="preserve"> </w:t>
      </w:r>
      <w:r w:rsidR="00B572FB">
        <w:t>Competency Statutes and Legal Principles</w:t>
      </w:r>
    </w:p>
    <w:p w14:paraId="3E0748A5" w14:textId="47C3072F" w:rsidR="00EE7B77" w:rsidRDefault="0053713C" w:rsidP="00EE7B77">
      <w:r>
        <w:t xml:space="preserve">“A criminal defendant cannot be tried if he or she is not competent to understand the nature of the charges or the proceedings, or to rationally assist counsel in the conduct of a defense.  </w:t>
      </w:r>
      <w:r w:rsidR="00AC3B64" w:rsidRPr="00AC3B64">
        <w:t xml:space="preserve">(§ 1367, subd. (a).) </w:t>
      </w:r>
      <w:r>
        <w:t xml:space="preserve"> A defendant who is n</w:t>
      </w:r>
      <w:r>
        <w:t>ot competent to stand trial may be involuntarily committed for the purpose of assessing whether he or she is likely to gain competence and, if so, for treatment to that end.”  (</w:t>
      </w:r>
      <w:r w:rsidRPr="00EE7B77">
        <w:rPr>
          <w:i/>
          <w:iCs/>
        </w:rPr>
        <w:t>Jackson v. Superior Court</w:t>
      </w:r>
      <w:r>
        <w:t xml:space="preserve"> (2017) 4 Cal.5th 96, 100–101</w:t>
      </w:r>
      <w:r w:rsidR="00A2568B">
        <w:t xml:space="preserve"> (</w:t>
      </w:r>
      <w:r w:rsidR="00A2568B" w:rsidRPr="00EE7B77">
        <w:rPr>
          <w:i/>
          <w:iCs/>
        </w:rPr>
        <w:t>Jackson</w:t>
      </w:r>
      <w:r w:rsidR="00A2568B">
        <w:t>)</w:t>
      </w:r>
      <w:r w:rsidR="00E205FF">
        <w:t>.)</w:t>
      </w:r>
    </w:p>
    <w:p w14:paraId="6D6262C8" w14:textId="1ADF87A5" w:rsidR="003A7B75" w:rsidRDefault="0053713C" w:rsidP="00EE7B77">
      <w:r>
        <w:t>“</w:t>
      </w:r>
      <w:r w:rsidR="00AF6401">
        <w:t>[T]</w:t>
      </w:r>
      <w:r w:rsidR="00EE7B77">
        <w:t xml:space="preserve">he Legislature in 1974 amended the procedures for determining competence. </w:t>
      </w:r>
      <w:r w:rsidR="006D4DF5">
        <w:t xml:space="preserve"> </w:t>
      </w:r>
      <w:r w:rsidR="00EE7B77">
        <w:t xml:space="preserve">(See Stats. 1974, ch. 1511, § 6, p. 3318.) </w:t>
      </w:r>
      <w:r w:rsidR="006D4DF5">
        <w:t xml:space="preserve"> </w:t>
      </w:r>
      <w:r w:rsidR="00EE7B77">
        <w:t>These amendments provided that a trial court, the defendant</w:t>
      </w:r>
      <w:r w:rsidR="006D4DF5">
        <w:t>’</w:t>
      </w:r>
      <w:r w:rsidR="00EE7B77">
        <w:t>s attorney, or the defendant can declare a doubt as to the defendant</w:t>
      </w:r>
      <w:r w:rsidR="006D4DF5">
        <w:t>’</w:t>
      </w:r>
      <w:r w:rsidR="00EE7B77">
        <w:t>s competence to stand trial, at which point the trial court must suspend proceedings and hold a hearing to determine the defendant</w:t>
      </w:r>
      <w:r w:rsidR="006D4DF5">
        <w:t>’</w:t>
      </w:r>
      <w:r w:rsidR="00EE7B77">
        <w:t xml:space="preserve">s competence. </w:t>
      </w:r>
      <w:r w:rsidR="006D4DF5">
        <w:t xml:space="preserve"> </w:t>
      </w:r>
      <w:r w:rsidR="00EE7B77">
        <w:t>(§§ 1368, 1369.)</w:t>
      </w:r>
      <w:r w:rsidR="00D2163A">
        <w:t>”  (</w:t>
      </w:r>
      <w:r w:rsidR="00D2163A" w:rsidRPr="000237AC">
        <w:rPr>
          <w:i/>
          <w:iCs/>
        </w:rPr>
        <w:t>Jackson</w:t>
      </w:r>
      <w:r w:rsidR="00D2163A">
        <w:t xml:space="preserve">, </w:t>
      </w:r>
      <w:r w:rsidR="00D2163A">
        <w:rPr>
          <w:i/>
          <w:iCs/>
        </w:rPr>
        <w:t>supra</w:t>
      </w:r>
      <w:r w:rsidR="00D2163A">
        <w:t xml:space="preserve">, 4 Cal.5th at </w:t>
      </w:r>
      <w:r w:rsidR="00A4599A">
        <w:t xml:space="preserve">p. </w:t>
      </w:r>
      <w:r w:rsidR="00D2163A">
        <w:t>101.)</w:t>
      </w:r>
      <w:r w:rsidR="006B0742">
        <w:t xml:space="preserve">  </w:t>
      </w:r>
    </w:p>
    <w:p w14:paraId="6EF9C719" w14:textId="11F4EA1F" w:rsidR="00D2163A" w:rsidRDefault="0053713C" w:rsidP="00191022">
      <w:r>
        <w:t>At the section 1369 hearing</w:t>
      </w:r>
      <w:r w:rsidR="00E205FF">
        <w:t>,</w:t>
      </w:r>
      <w:r>
        <w:t xml:space="preserve"> the defendant is presumed to be mentally competent unless he is prove</w:t>
      </w:r>
      <w:r w:rsidRPr="00752A44">
        <w:t>d</w:t>
      </w:r>
      <w:r>
        <w:t xml:space="preserve"> by a preponderance of the evidence otherwise.  (§ 1369; </w:t>
      </w:r>
      <w:r w:rsidRPr="001C6BBD">
        <w:rPr>
          <w:i/>
          <w:iCs/>
        </w:rPr>
        <w:t>People v. Rells</w:t>
      </w:r>
      <w:r>
        <w:t xml:space="preserve"> (2000) 22 Cal.4th 860, 862 (</w:t>
      </w:r>
      <w:r w:rsidRPr="001C6BBD">
        <w:rPr>
          <w:i/>
          <w:iCs/>
        </w:rPr>
        <w:t>Rells</w:t>
      </w:r>
      <w:r>
        <w:t xml:space="preserve">).)  </w:t>
      </w:r>
      <w:r w:rsidRPr="00D2163A">
        <w:t xml:space="preserve">If </w:t>
      </w:r>
      <w:r>
        <w:t>the</w:t>
      </w:r>
      <w:r w:rsidRPr="00D2163A">
        <w:t xml:space="preserve"> defendant is determined </w:t>
      </w:r>
      <w:r>
        <w:t xml:space="preserve">at the section 1369 hearing </w:t>
      </w:r>
      <w:r w:rsidRPr="00D2163A">
        <w:t>to be competent</w:t>
      </w:r>
      <w:r w:rsidRPr="00D2163A">
        <w:t>, the</w:t>
      </w:r>
      <w:r>
        <w:t xml:space="preserve"> trial</w:t>
      </w:r>
      <w:r w:rsidRPr="00D2163A">
        <w:t xml:space="preserve"> court </w:t>
      </w:r>
      <w:r w:rsidR="00DB56A8">
        <w:t>orders</w:t>
      </w:r>
      <w:r w:rsidR="00DB56A8" w:rsidRPr="00D2163A">
        <w:t xml:space="preserve"> </w:t>
      </w:r>
      <w:r w:rsidRPr="00D2163A">
        <w:t>criminal proceedings</w:t>
      </w:r>
      <w:r w:rsidR="00DB56A8">
        <w:t xml:space="preserve"> resumed</w:t>
      </w:r>
      <w:r w:rsidRPr="00D2163A">
        <w:t xml:space="preserve">. </w:t>
      </w:r>
      <w:r>
        <w:t xml:space="preserve"> </w:t>
      </w:r>
      <w:r w:rsidRPr="00D2163A">
        <w:t>(§</w:t>
      </w:r>
      <w:r w:rsidR="00260128">
        <w:t> </w:t>
      </w:r>
      <w:r w:rsidRPr="00D2163A">
        <w:t xml:space="preserve">1370, subd. (a)(1)(A).) </w:t>
      </w:r>
      <w:r>
        <w:t xml:space="preserve"> </w:t>
      </w:r>
      <w:r w:rsidRPr="00D2163A">
        <w:t xml:space="preserve">If </w:t>
      </w:r>
      <w:r>
        <w:t>the</w:t>
      </w:r>
      <w:r w:rsidRPr="00D2163A">
        <w:t xml:space="preserve"> defendant is found to be </w:t>
      </w:r>
      <w:r>
        <w:t xml:space="preserve">mentally </w:t>
      </w:r>
      <w:r w:rsidRPr="00D2163A">
        <w:t xml:space="preserve">incompetent, criminal </w:t>
      </w:r>
      <w:r w:rsidRPr="00D2163A">
        <w:lastRenderedPageBreak/>
        <w:t xml:space="preserve">proceedings “shall be suspended until the person becomes mentally competent.” </w:t>
      </w:r>
      <w:r>
        <w:t xml:space="preserve"> </w:t>
      </w:r>
      <w:r w:rsidRPr="00D2163A">
        <w:t>(</w:t>
      </w:r>
      <w:r w:rsidR="00E075E4" w:rsidRPr="00CC67DE">
        <w:rPr>
          <w:i/>
          <w:iCs/>
        </w:rPr>
        <w:t>Id</w:t>
      </w:r>
      <w:r w:rsidR="00E075E4">
        <w:t>.</w:t>
      </w:r>
      <w:r w:rsidRPr="00D2163A">
        <w:t>, subd. (a)(1)(B).)</w:t>
      </w:r>
      <w:r w:rsidR="00EE7B77">
        <w:t xml:space="preserve"> </w:t>
      </w:r>
      <w:r w:rsidR="006D4DF5">
        <w:t xml:space="preserve"> </w:t>
      </w:r>
    </w:p>
    <w:p w14:paraId="65A9032C" w14:textId="33DBF6DC" w:rsidR="00D2163A" w:rsidRDefault="0053713C" w:rsidP="003E0066">
      <w:r>
        <w:t xml:space="preserve">If it finds the defendant incompetent to stand trial, </w:t>
      </w:r>
      <w:r w:rsidR="00613438">
        <w:t xml:space="preserve">the trial court may </w:t>
      </w:r>
      <w:r w:rsidR="00EE7B77">
        <w:t>order the defendant</w:t>
      </w:r>
      <w:r w:rsidR="006D4DF5">
        <w:t>’</w:t>
      </w:r>
      <w:r w:rsidR="00EE7B77">
        <w:t xml:space="preserve">s commitment to an appropriate treatment facility. </w:t>
      </w:r>
      <w:r w:rsidR="006D4DF5">
        <w:t xml:space="preserve"> </w:t>
      </w:r>
      <w:r w:rsidR="00EE7B77">
        <w:t>(</w:t>
      </w:r>
      <w:r w:rsidR="001C4D54">
        <w:t xml:space="preserve">See </w:t>
      </w:r>
      <w:r w:rsidR="00EE7B77">
        <w:t>§</w:t>
      </w:r>
      <w:r w:rsidR="000237AC">
        <w:t> </w:t>
      </w:r>
      <w:r w:rsidR="00EE7B77">
        <w:t>1370, subd. (a)(1)(B)</w:t>
      </w:r>
      <w:r w:rsidR="001C4D54">
        <w:t xml:space="preserve">; </w:t>
      </w:r>
      <w:r w:rsidRPr="000237AC">
        <w:rPr>
          <w:i/>
          <w:iCs/>
        </w:rPr>
        <w:t>Jackson</w:t>
      </w:r>
      <w:r>
        <w:t xml:space="preserve">, </w:t>
      </w:r>
      <w:r>
        <w:rPr>
          <w:i/>
          <w:iCs/>
        </w:rPr>
        <w:t>supra</w:t>
      </w:r>
      <w:r>
        <w:t xml:space="preserve">, 4 Cal.5th at </w:t>
      </w:r>
      <w:r w:rsidR="00A4599A">
        <w:t xml:space="preserve">p. </w:t>
      </w:r>
      <w:r>
        <w:t xml:space="preserve">101.)  </w:t>
      </w:r>
      <w:r w:rsidR="0038251D">
        <w:t>If</w:t>
      </w:r>
      <w:r w:rsidRPr="00D2163A">
        <w:t xml:space="preserve"> the court determines that the defendant should be committed to a </w:t>
      </w:r>
      <w:r>
        <w:t>DSH</w:t>
      </w:r>
      <w:r w:rsidRPr="00D2163A">
        <w:t xml:space="preserve"> </w:t>
      </w:r>
      <w:r w:rsidR="0038251D" w:rsidRPr="0038251D">
        <w:t>or other treatment facility</w:t>
      </w:r>
      <w:r w:rsidRPr="00D2163A">
        <w:t>, the court issues a commitment order</w:t>
      </w:r>
      <w:r w:rsidR="006B243B">
        <w:t xml:space="preserve"> and provides it and other documents to the treatment facility prior to the defendant’s admission</w:t>
      </w:r>
      <w:r w:rsidRPr="00D2163A">
        <w:t>.</w:t>
      </w:r>
      <w:r>
        <w:t xml:space="preserve">  (</w:t>
      </w:r>
      <w:r w:rsidR="0038251D">
        <w:t xml:space="preserve">See </w:t>
      </w:r>
      <w:r w:rsidRPr="00D2163A">
        <w:t>§ 1370, subd</w:t>
      </w:r>
      <w:r w:rsidR="00752A44">
        <w:t>s</w:t>
      </w:r>
      <w:r w:rsidRPr="00D2163A">
        <w:t xml:space="preserve">. </w:t>
      </w:r>
      <w:r>
        <w:t>(a</w:t>
      </w:r>
      <w:r>
        <w:t>)</w:t>
      </w:r>
      <w:r w:rsidR="0038251D">
        <w:t xml:space="preserve">(1)(B), </w:t>
      </w:r>
      <w:r w:rsidRPr="00D2163A">
        <w:t>(a)(3)(A)</w:t>
      </w:r>
      <w:r w:rsidR="006B243B">
        <w:t>–(I)</w:t>
      </w:r>
      <w:r w:rsidR="00A93DDD">
        <w:t>, (a)(5)</w:t>
      </w:r>
      <w:r w:rsidR="006B243B">
        <w:t>.)</w:t>
      </w:r>
    </w:p>
    <w:p w14:paraId="1E42E05E" w14:textId="60C0FDDA" w:rsidR="008B26D3" w:rsidRDefault="0053713C" w:rsidP="00DD6959">
      <w:r>
        <w:t>The procedures that follow a defendant’s admission to the treatment facility depend on whether</w:t>
      </w:r>
      <w:r w:rsidR="00DB56A8">
        <w:t>, in the judgment of the treatment facility,</w:t>
      </w:r>
      <w:r>
        <w:t xml:space="preserve"> the defendant </w:t>
      </w:r>
      <w:r w:rsidR="00613438">
        <w:t xml:space="preserve">will </w:t>
      </w:r>
      <w:r>
        <w:t>timely be restored to competence.  Generally speaking, the statut</w:t>
      </w:r>
      <w:r>
        <w:t xml:space="preserve">ory purposes of the competency statutes “are to make sure (1) </w:t>
      </w:r>
      <w:r w:rsidRPr="00E205FF">
        <w:t>a mentally incompetent criminal defendant is not tried</w:t>
      </w:r>
      <w:r>
        <w:t xml:space="preserve">, and (2) </w:t>
      </w:r>
      <w:r w:rsidRPr="00E205FF">
        <w:t>the mentally incompetent defendant is confined for incompetency only for a period reasonable for his or her competence to be resto</w:t>
      </w:r>
      <w:r w:rsidRPr="00E205FF">
        <w:t>red</w:t>
      </w:r>
      <w:r>
        <w:t>.”  (</w:t>
      </w:r>
      <w:r w:rsidRPr="00E205FF">
        <w:rPr>
          <w:i/>
          <w:iCs/>
        </w:rPr>
        <w:t>In re Taitano</w:t>
      </w:r>
      <w:r w:rsidRPr="008B26D3">
        <w:t xml:space="preserve"> (2017) 13 Cal.App.5th 233</w:t>
      </w:r>
      <w:r>
        <w:t>, 252 (</w:t>
      </w:r>
      <w:r w:rsidRPr="00E205FF">
        <w:rPr>
          <w:i/>
          <w:iCs/>
        </w:rPr>
        <w:t>Taitano</w:t>
      </w:r>
      <w:r>
        <w:t>).)</w:t>
      </w:r>
    </w:p>
    <w:p w14:paraId="7CF80750" w14:textId="44A764FE" w:rsidR="00DD6959" w:rsidRDefault="0053713C" w:rsidP="00DD6959">
      <w:r>
        <w:t>“</w:t>
      </w:r>
      <w:r w:rsidR="00EE7B77">
        <w:t>Within 90 days of commitment, the treatment facility must report to the trial court on the defendant</w:t>
      </w:r>
      <w:r w:rsidR="000237AC">
        <w:t>’</w:t>
      </w:r>
      <w:r w:rsidR="00EE7B77">
        <w:t xml:space="preserve">s likely progress in regaining competence. </w:t>
      </w:r>
      <w:r w:rsidR="006D4DF5">
        <w:t xml:space="preserve"> </w:t>
      </w:r>
      <w:r w:rsidR="00EE7B77">
        <w:t>(</w:t>
      </w:r>
      <w:r w:rsidR="00E075E4">
        <w:t>[</w:t>
      </w:r>
      <w:r w:rsidR="008B26D3" w:rsidRPr="00D2163A">
        <w:t>§ 1370</w:t>
      </w:r>
      <w:r w:rsidR="00E075E4">
        <w:t>]</w:t>
      </w:r>
      <w:r w:rsidR="00EE7B77">
        <w:t>, subd. (b)(1)</w:t>
      </w:r>
      <w:r w:rsidR="00B22C6A" w:rsidRPr="00CC67DE">
        <w:rPr>
          <w:b/>
          <w:vertAlign w:val="superscript"/>
        </w:rPr>
        <w:t>[</w:t>
      </w:r>
      <w:r>
        <w:rPr>
          <w:rStyle w:val="FootnoteReference"/>
          <w:b/>
          <w:bCs/>
        </w:rPr>
        <w:footnoteReference w:id="11"/>
      </w:r>
      <w:r w:rsidR="00B22C6A" w:rsidRPr="00CC67DE">
        <w:rPr>
          <w:b/>
          <w:bCs/>
          <w:vertAlign w:val="superscript"/>
        </w:rPr>
        <w:t>]</w:t>
      </w:r>
      <w:r w:rsidR="00EE7B77">
        <w:t>.)</w:t>
      </w:r>
      <w:r w:rsidR="00F61DD0">
        <w:t>”  (</w:t>
      </w:r>
      <w:r w:rsidR="00F61DD0" w:rsidRPr="000237AC">
        <w:rPr>
          <w:i/>
          <w:iCs/>
        </w:rPr>
        <w:t>Jackson</w:t>
      </w:r>
      <w:r w:rsidR="00F61DD0">
        <w:t xml:space="preserve">, </w:t>
      </w:r>
      <w:r w:rsidR="00F61DD0">
        <w:rPr>
          <w:i/>
          <w:iCs/>
        </w:rPr>
        <w:t>supra</w:t>
      </w:r>
      <w:r w:rsidR="00F61DD0">
        <w:t>, 4 Cal.5th at</w:t>
      </w:r>
      <w:r w:rsidR="00A4599A">
        <w:t xml:space="preserve"> p.</w:t>
      </w:r>
      <w:r w:rsidR="00F61DD0">
        <w:t xml:space="preserve"> 101.)  </w:t>
      </w:r>
      <w:r w:rsidR="00F61DD0" w:rsidRPr="00F61DD0">
        <w:t xml:space="preserve">If the defendant has not recovered mental competence, but the report discloses a substantial likelihood that the defendant will regain mental competence in the foreseeable future, the defendant </w:t>
      </w:r>
      <w:r w:rsidR="00F61DD0">
        <w:t xml:space="preserve">remains in </w:t>
      </w:r>
      <w:r w:rsidR="00D33979">
        <w:t>treatment</w:t>
      </w:r>
      <w:r w:rsidR="00F61DD0" w:rsidRPr="00F61DD0">
        <w:t xml:space="preserve">. </w:t>
      </w:r>
      <w:r w:rsidR="00D33979">
        <w:t xml:space="preserve"> (</w:t>
      </w:r>
      <w:r w:rsidR="00D33979" w:rsidRPr="00D2163A">
        <w:t xml:space="preserve">§ 1370, subd. </w:t>
      </w:r>
      <w:r w:rsidR="00D33979">
        <w:t>(</w:t>
      </w:r>
      <w:r w:rsidR="009C5EC1">
        <w:t>b</w:t>
      </w:r>
      <w:r w:rsidR="00D33979">
        <w:t xml:space="preserve">)(1).)  </w:t>
      </w:r>
      <w:r w:rsidR="00F61DD0" w:rsidRPr="00F61DD0">
        <w:t xml:space="preserve">Thereafter, at six-month intervals or until the defendant becomes mentally competent, </w:t>
      </w:r>
      <w:r w:rsidR="00D33979">
        <w:t>the treatment</w:t>
      </w:r>
      <w:r w:rsidR="00F61DD0" w:rsidRPr="00F61DD0">
        <w:t xml:space="preserve"> facility </w:t>
      </w:r>
      <w:r w:rsidR="00D33979">
        <w:t xml:space="preserve">must </w:t>
      </w:r>
      <w:r w:rsidR="00F61DD0" w:rsidRPr="00F61DD0">
        <w:t>report</w:t>
      </w:r>
      <w:r w:rsidR="00D33979">
        <w:t xml:space="preserve"> </w:t>
      </w:r>
      <w:r w:rsidR="00F61DD0" w:rsidRPr="00F61DD0">
        <w:t>to the court regarding the</w:t>
      </w:r>
      <w:r w:rsidR="00D64D51">
        <w:t xml:space="preserve"> confined</w:t>
      </w:r>
      <w:r w:rsidR="00F61DD0" w:rsidRPr="00F61DD0">
        <w:t xml:space="preserve"> defendant</w:t>
      </w:r>
      <w:r w:rsidR="00D33979">
        <w:t>’</w:t>
      </w:r>
      <w:r w:rsidR="00F61DD0" w:rsidRPr="00F61DD0">
        <w:t>s progress toward recovery of mental competence.</w:t>
      </w:r>
      <w:r w:rsidR="00D33979">
        <w:t xml:space="preserve">  </w:t>
      </w:r>
      <w:r w:rsidR="00D33979">
        <w:lastRenderedPageBreak/>
        <w:t>(</w:t>
      </w:r>
      <w:r w:rsidR="00D33979" w:rsidRPr="00D33979">
        <w:rPr>
          <w:i/>
          <w:iCs/>
        </w:rPr>
        <w:t>I</w:t>
      </w:r>
      <w:r w:rsidR="00CA07D7">
        <w:rPr>
          <w:i/>
          <w:iCs/>
        </w:rPr>
        <w:t>bi</w:t>
      </w:r>
      <w:r w:rsidR="00D33979" w:rsidRPr="00D33979">
        <w:rPr>
          <w:i/>
          <w:iCs/>
        </w:rPr>
        <w:t>d</w:t>
      </w:r>
      <w:r w:rsidR="00D33979">
        <w:t>.)</w:t>
      </w:r>
      <w:r w:rsidR="00480758">
        <w:t xml:space="preserve">  </w:t>
      </w:r>
      <w:r w:rsidR="00AE49D6">
        <w:t>“If the defendant regains competence, criminal proceedings may resume.”  (</w:t>
      </w:r>
      <w:r w:rsidR="00AE49D6" w:rsidRPr="000237AC">
        <w:rPr>
          <w:i/>
          <w:iCs/>
        </w:rPr>
        <w:t>Jackson</w:t>
      </w:r>
      <w:r w:rsidR="0050593D" w:rsidRPr="0050593D">
        <w:t>,</w:t>
      </w:r>
      <w:r w:rsidR="00AE49D6">
        <w:t xml:space="preserve"> at </w:t>
      </w:r>
      <w:r w:rsidR="00A4599A">
        <w:t xml:space="preserve">p. </w:t>
      </w:r>
      <w:r w:rsidR="00AE49D6">
        <w:t xml:space="preserve">101, citing </w:t>
      </w:r>
      <w:r w:rsidR="00AE49D6" w:rsidRPr="00AE49D6">
        <w:t>§ 1370, subd</w:t>
      </w:r>
      <w:r w:rsidR="00AE49D6">
        <w:t xml:space="preserve"> (a)(1)(A).)</w:t>
      </w:r>
      <w:r>
        <w:rPr>
          <w:rStyle w:val="FootnoteReference"/>
          <w:b/>
          <w:bCs/>
        </w:rPr>
        <w:footnoteReference w:id="12"/>
      </w:r>
    </w:p>
    <w:p w14:paraId="6B699AC6" w14:textId="68065B97" w:rsidR="00BF01D8" w:rsidRPr="000237AC" w:rsidRDefault="0053713C" w:rsidP="00BF01D8">
      <w:r>
        <w:t xml:space="preserve">“If at any point the treatment facility concludes there is </w:t>
      </w:r>
      <w:r w:rsidRPr="00F245CD">
        <w:rPr>
          <w:i/>
          <w:iCs/>
        </w:rPr>
        <w:t>no</w:t>
      </w:r>
      <w:r>
        <w:t xml:space="preserve"> substantial likelihood that the defendant will regain competence, the defendant is returned to the trial court.  (</w:t>
      </w:r>
      <w:r w:rsidR="00F245CD">
        <w:t>[</w:t>
      </w:r>
      <w:r w:rsidR="008B26D3" w:rsidRPr="00AE49D6">
        <w:t>§</w:t>
      </w:r>
      <w:r w:rsidR="009C5EC1">
        <w:t> </w:t>
      </w:r>
      <w:r w:rsidR="008B26D3" w:rsidRPr="00AE49D6">
        <w:t>1370</w:t>
      </w:r>
      <w:r w:rsidR="003B15B9">
        <w:t>]</w:t>
      </w:r>
      <w:r w:rsidR="008B26D3">
        <w:t xml:space="preserve">, </w:t>
      </w:r>
      <w:r>
        <w:t>subd. (b)(1)(A).)  Otherwise, the defendant may continue to be committed for up to [two] years or for a period equal to the longest</w:t>
      </w:r>
      <w:r>
        <w:t xml:space="preserve"> prison term possible for the most serious charge facing the defendant, whichever is shorter.  (</w:t>
      </w:r>
      <w:r w:rsidRPr="000237AC">
        <w:rPr>
          <w:i/>
          <w:iCs/>
        </w:rPr>
        <w:t>Id</w:t>
      </w:r>
      <w:r>
        <w:t>., subd. (c)(1).)  At that point, if the defendant has still not regained competence, the defendant is returned to the trial court.  (</w:t>
      </w:r>
      <w:r w:rsidRPr="000237AC">
        <w:rPr>
          <w:i/>
          <w:iCs/>
        </w:rPr>
        <w:t>Ibid</w:t>
      </w:r>
      <w:r>
        <w:t>.)”  (</w:t>
      </w:r>
      <w:r w:rsidRPr="000237AC">
        <w:rPr>
          <w:i/>
          <w:iCs/>
        </w:rPr>
        <w:t>Jackson</w:t>
      </w:r>
      <w:r>
        <w:t xml:space="preserve">, </w:t>
      </w:r>
      <w:r>
        <w:rPr>
          <w:i/>
          <w:iCs/>
        </w:rPr>
        <w:t>supra</w:t>
      </w:r>
      <w:r>
        <w:t xml:space="preserve">, 4 Cal.5th at </w:t>
      </w:r>
      <w:r w:rsidR="00A4599A">
        <w:t xml:space="preserve">p. </w:t>
      </w:r>
      <w:r>
        <w:t>101</w:t>
      </w:r>
      <w:r w:rsidR="003B15B9">
        <w:t>, italics added</w:t>
      </w:r>
      <w:r>
        <w:t>.)</w:t>
      </w:r>
    </w:p>
    <w:p w14:paraId="486B91EC" w14:textId="7BC66659" w:rsidR="0038251D" w:rsidRDefault="0053713C" w:rsidP="009C04CB">
      <w:r>
        <w:t>When the defendant is at the treatment facility</w:t>
      </w:r>
      <w:r w:rsidR="00BF01D8">
        <w:t>, i</w:t>
      </w:r>
      <w:r w:rsidRPr="0038251D">
        <w:t xml:space="preserve">f </w:t>
      </w:r>
      <w:r w:rsidR="00AE49D6">
        <w:t>a</w:t>
      </w:r>
      <w:r w:rsidR="00F16ADB">
        <w:t xml:space="preserve"> statutorily designated health official </w:t>
      </w:r>
      <w:r w:rsidRPr="0038251D">
        <w:t xml:space="preserve">determines </w:t>
      </w:r>
      <w:r w:rsidR="00F16ADB">
        <w:t xml:space="preserve">during the commitment </w:t>
      </w:r>
      <w:r w:rsidRPr="0038251D">
        <w:t xml:space="preserve">that the defendant has regained mental competence, </w:t>
      </w:r>
      <w:r w:rsidR="00F16ADB">
        <w:t>th</w:t>
      </w:r>
      <w:r w:rsidR="00B678CF">
        <w:t>e</w:t>
      </w:r>
      <w:r w:rsidR="00F16ADB">
        <w:t xml:space="preserve"> official</w:t>
      </w:r>
      <w:r w:rsidRPr="0038251D">
        <w:t xml:space="preserve"> </w:t>
      </w:r>
      <w:r w:rsidR="00F16ADB">
        <w:t>must “</w:t>
      </w:r>
      <w:r w:rsidR="00F16ADB" w:rsidRPr="00F16ADB">
        <w:t>immediately certify that fact to the court by filing a certificate of restoration with the court</w:t>
      </w:r>
      <w:r w:rsidR="00F16ADB">
        <w:t>,” and</w:t>
      </w:r>
      <w:r>
        <w:t xml:space="preserve"> </w:t>
      </w:r>
      <w:r w:rsidR="00F16ADB">
        <w:t xml:space="preserve">“the </w:t>
      </w:r>
      <w:r w:rsidR="00F16ADB" w:rsidRPr="00F16ADB">
        <w:t>date of filing shall be the date on the return receipt.</w:t>
      </w:r>
      <w:r w:rsidR="00F16ADB">
        <w:t xml:space="preserve">”  </w:t>
      </w:r>
      <w:r>
        <w:t>(§ 1372, subd. (a)(1).)</w:t>
      </w:r>
      <w:r w:rsidR="00F16ADB">
        <w:t xml:space="preserve">  </w:t>
      </w:r>
      <w:r w:rsidR="00B678CF">
        <w:t>Under this</w:t>
      </w:r>
      <w:r w:rsidR="002D7A8F">
        <w:t xml:space="preserve"> circumstance, a</w:t>
      </w:r>
      <w:r>
        <w:t xml:space="preserve"> defendant</w:t>
      </w:r>
      <w:r w:rsidR="00F75572">
        <w:t xml:space="preserve"> who is confined in a DSH facility</w:t>
      </w:r>
      <w:r>
        <w:t xml:space="preserve"> shall be delive</w:t>
      </w:r>
      <w:r>
        <w:t xml:space="preserve">red to the sheriff of the county from which the patient was committed and returned to the committing court no later than 10 days following the filing of a certificate of restoration. </w:t>
      </w:r>
      <w:r w:rsidR="00F75572">
        <w:t xml:space="preserve"> </w:t>
      </w:r>
      <w:r>
        <w:t>(</w:t>
      </w:r>
      <w:r w:rsidR="00CA07D7" w:rsidRPr="00CC67DE">
        <w:rPr>
          <w:i/>
          <w:iCs/>
        </w:rPr>
        <w:t>Id</w:t>
      </w:r>
      <w:r w:rsidR="00CA07D7">
        <w:t>.</w:t>
      </w:r>
      <w:r>
        <w:t>, subd. (a)(3)</w:t>
      </w:r>
      <w:r w:rsidR="006437FB">
        <w:t>; see also §</w:t>
      </w:r>
      <w:r>
        <w:t> </w:t>
      </w:r>
      <w:r w:rsidR="006437FB">
        <w:t>1370, subd. (a)(1)(C)</w:t>
      </w:r>
      <w:r>
        <w:t>.)</w:t>
      </w:r>
    </w:p>
    <w:p w14:paraId="2432E5F9" w14:textId="555DFD07" w:rsidR="000D0481" w:rsidRDefault="0053713C" w:rsidP="000D0481">
      <w:r>
        <w:t>Section 1372, whi</w:t>
      </w:r>
      <w:r>
        <w:t xml:space="preserve">ch applies when the defendant has been certified as restored by the </w:t>
      </w:r>
      <w:r w:rsidR="00C65AD8">
        <w:t xml:space="preserve">designated </w:t>
      </w:r>
      <w:r>
        <w:t xml:space="preserve">mental health official, does not expressly require </w:t>
      </w:r>
      <w:r w:rsidR="00DB56A8">
        <w:t xml:space="preserve">that the court conduct </w:t>
      </w:r>
      <w:r>
        <w:t>a hearing on</w:t>
      </w:r>
      <w:r w:rsidR="008B26D3">
        <w:t xml:space="preserve"> whether the defendant has been restored to</w:t>
      </w:r>
      <w:r>
        <w:t xml:space="preserve"> </w:t>
      </w:r>
      <w:r w:rsidR="00485B53">
        <w:t>competence</w:t>
      </w:r>
      <w:r>
        <w:t xml:space="preserve">.  However, courts have </w:t>
      </w:r>
      <w:r>
        <w:t>reasoned that “the numerous references in that statute to a hearing indicate a legislative intention that such a hearing be afforded.”  (</w:t>
      </w:r>
      <w:r w:rsidRPr="003B15B9">
        <w:rPr>
          <w:i/>
          <w:iCs/>
        </w:rPr>
        <w:t>People v. Murrell</w:t>
      </w:r>
      <w:r w:rsidRPr="000D0481">
        <w:t xml:space="preserve"> (1987) 196 Cal.App.3d 822</w:t>
      </w:r>
      <w:r w:rsidR="00CA07D7">
        <w:t>, 826</w:t>
      </w:r>
      <w:r>
        <w:t xml:space="preserve">.)  </w:t>
      </w:r>
    </w:p>
    <w:p w14:paraId="11E5856C" w14:textId="5B8F3E15" w:rsidR="000D0481" w:rsidRDefault="0053713C" w:rsidP="000D0481">
      <w:r>
        <w:lastRenderedPageBreak/>
        <w:t>In the absence of any particulars in section 1372 about the hearin</w:t>
      </w:r>
      <w:r>
        <w:t xml:space="preserve">g on the restoration of </w:t>
      </w:r>
      <w:r w:rsidR="00485B53">
        <w:t>competence</w:t>
      </w:r>
      <w:r>
        <w:t>, the California Supreme Court has looked to the procedures set out in section 1369</w:t>
      </w:r>
      <w:r w:rsidR="008B26D3">
        <w:t>, which applies to the original determination of competency</w:t>
      </w:r>
      <w:r w:rsidR="00AB0CA6">
        <w:t>, to determine procedures applicable to section 1372</w:t>
      </w:r>
      <w:r>
        <w:t>.  (</w:t>
      </w:r>
      <w:r w:rsidRPr="003B15B9">
        <w:rPr>
          <w:i/>
          <w:iCs/>
        </w:rPr>
        <w:t>Rells</w:t>
      </w:r>
      <w:r>
        <w:t xml:space="preserve">, </w:t>
      </w:r>
      <w:r w:rsidRPr="003B15B9">
        <w:rPr>
          <w:i/>
          <w:iCs/>
        </w:rPr>
        <w:t>supra</w:t>
      </w:r>
      <w:r>
        <w:t>, 22 Cal.4th</w:t>
      </w:r>
      <w:r>
        <w:t xml:space="preserve"> </w:t>
      </w:r>
      <w:r w:rsidR="00744326">
        <w:t xml:space="preserve">at pp. 867–868.)  </w:t>
      </w:r>
      <w:r w:rsidR="00AB0CA6">
        <w:t>For example, b</w:t>
      </w:r>
      <w:r w:rsidR="00B677FE">
        <w:t>ased on the statutory presumption describe</w:t>
      </w:r>
      <w:r w:rsidR="003B15B9">
        <w:t>d</w:t>
      </w:r>
      <w:r w:rsidR="00B677FE">
        <w:t xml:space="preserve"> in section 1369 </w:t>
      </w:r>
      <w:r w:rsidR="00C65AD8">
        <w:t xml:space="preserve">our </w:t>
      </w:r>
      <w:r w:rsidR="00752A44">
        <w:t>S</w:t>
      </w:r>
      <w:r w:rsidR="00C65AD8">
        <w:t xml:space="preserve">upreme </w:t>
      </w:r>
      <w:r w:rsidR="00752A44">
        <w:t>C</w:t>
      </w:r>
      <w:r w:rsidR="00C65AD8">
        <w:t>ourt</w:t>
      </w:r>
      <w:r w:rsidR="00B677FE">
        <w:t xml:space="preserve"> has concluded that, with respect to section 1372</w:t>
      </w:r>
      <w:r w:rsidR="00744326">
        <w:t>, at “a hearing on a defendant</w:t>
      </w:r>
      <w:r w:rsidR="003B15B9">
        <w:t>’</w:t>
      </w:r>
      <w:r w:rsidR="00744326">
        <w:t>s recovery of mental competence . . . the presumption [is] that the defendant is mentally competent unless he is proved by a preponderance of the evidence to be otherwise.”  (</w:t>
      </w:r>
      <w:r w:rsidR="00F632F6" w:rsidRPr="003B15B9">
        <w:rPr>
          <w:i/>
          <w:iCs/>
        </w:rPr>
        <w:t>Rells</w:t>
      </w:r>
      <w:r w:rsidR="00F632F6">
        <w:t>,</w:t>
      </w:r>
      <w:r w:rsidR="00744326">
        <w:t xml:space="preserve"> at p. 869.)</w:t>
      </w:r>
    </w:p>
    <w:p w14:paraId="13E8EAB0" w14:textId="4C62301B" w:rsidR="00B677FE" w:rsidRDefault="0053713C" w:rsidP="000D0481">
      <w:r>
        <w:t xml:space="preserve">In </w:t>
      </w:r>
      <w:r w:rsidRPr="00083A55">
        <w:rPr>
          <w:i/>
          <w:iCs/>
        </w:rPr>
        <w:t>Rells</w:t>
      </w:r>
      <w:r>
        <w:t xml:space="preserve">, the </w:t>
      </w:r>
      <w:r w:rsidR="008B26D3">
        <w:t>Supreme Court</w:t>
      </w:r>
      <w:r>
        <w:t xml:space="preserve"> rejected a due process challenge to this scheme.  It relied in particular on the “legal force and ef</w:t>
      </w:r>
      <w:r>
        <w:t xml:space="preserve">fect” </w:t>
      </w:r>
      <w:r w:rsidR="00F632F6">
        <w:t>(</w:t>
      </w:r>
      <w:r w:rsidR="00F632F6" w:rsidRPr="00D65A95">
        <w:rPr>
          <w:i/>
          <w:iCs/>
        </w:rPr>
        <w:t>Rells</w:t>
      </w:r>
      <w:r w:rsidR="00F632F6">
        <w:t xml:space="preserve">, </w:t>
      </w:r>
      <w:r w:rsidR="00F632F6" w:rsidRPr="00D65A95">
        <w:rPr>
          <w:i/>
          <w:iCs/>
        </w:rPr>
        <w:t>supra</w:t>
      </w:r>
      <w:r w:rsidR="00F632F6">
        <w:t xml:space="preserve">, 22 Cal.4th at p. </w:t>
      </w:r>
      <w:r w:rsidR="00F632F6" w:rsidRPr="00B677FE">
        <w:t>86</w:t>
      </w:r>
      <w:r w:rsidR="00F632F6">
        <w:t xml:space="preserve">8) </w:t>
      </w:r>
      <w:r>
        <w:t>of the mental health official’s certification of restoration to competenc</w:t>
      </w:r>
      <w:r w:rsidR="000D37C1">
        <w:t>e</w:t>
      </w:r>
      <w:r>
        <w:t xml:space="preserve"> and observed that “</w:t>
      </w:r>
      <w:r w:rsidR="008B26D3">
        <w:t>[t]</w:t>
      </w:r>
      <w:r w:rsidRPr="00B677FE">
        <w:t>he Fourteenth Amendment</w:t>
      </w:r>
      <w:r>
        <w:t>’</w:t>
      </w:r>
      <w:r w:rsidRPr="00B677FE">
        <w:t>s due process clause in fact permits the presumption that the defendant is mentally competen</w:t>
      </w:r>
      <w:r w:rsidRPr="00B677FE">
        <w:t>t unless he is proved by a preponderance of the evidence to be otherwise.</w:t>
      </w:r>
      <w:r>
        <w:t>”  (</w:t>
      </w:r>
      <w:r w:rsidR="00F632F6" w:rsidRPr="000237AC">
        <w:rPr>
          <w:i/>
          <w:iCs/>
        </w:rPr>
        <w:t>Id</w:t>
      </w:r>
      <w:r w:rsidR="00F632F6">
        <w:t>.</w:t>
      </w:r>
      <w:r>
        <w:t xml:space="preserve"> at p. </w:t>
      </w:r>
      <w:r w:rsidRPr="00B677FE">
        <w:t>869</w:t>
      </w:r>
      <w:r>
        <w:t>.)</w:t>
      </w:r>
    </w:p>
    <w:p w14:paraId="44AEFEF1" w14:textId="79D160D0" w:rsidR="007E397F" w:rsidRDefault="0053713C" w:rsidP="001C6BBD">
      <w:r>
        <w:t xml:space="preserve">At a section 1372 restoration hearing, the trial court decides whether to approve the certificate of </w:t>
      </w:r>
      <w:r w:rsidR="004B0F82">
        <w:t xml:space="preserve">restoration to </w:t>
      </w:r>
      <w:r>
        <w:t>competenc</w:t>
      </w:r>
      <w:r w:rsidR="004B0F82">
        <w:t>e</w:t>
      </w:r>
      <w:r w:rsidR="00DB56A8">
        <w:t>.  If</w:t>
      </w:r>
      <w:r w:rsidRPr="007E397F">
        <w:t xml:space="preserve"> the court approves the certification,</w:t>
      </w:r>
      <w:r w:rsidR="00DB56A8">
        <w:t xml:space="preserve"> the court must order that</w:t>
      </w:r>
      <w:r w:rsidRPr="007E397F">
        <w:t xml:space="preserve"> criminal proceedings resume</w:t>
      </w:r>
      <w:r w:rsidR="00DB56A8">
        <w:t xml:space="preserve"> and must conduct a hearing on whether </w:t>
      </w:r>
      <w:r w:rsidR="002243DE">
        <w:t xml:space="preserve">the </w:t>
      </w:r>
      <w:r w:rsidR="00DB56A8">
        <w:t>defendant may be released on bail or on the defendant’s own recognizance</w:t>
      </w:r>
      <w:r>
        <w:t>.  (</w:t>
      </w:r>
      <w:r w:rsidR="003547FB">
        <w:t xml:space="preserve">See </w:t>
      </w:r>
      <w:r w:rsidR="00A06659" w:rsidRPr="00CD08AD">
        <w:t>§ 1372, subd</w:t>
      </w:r>
      <w:r w:rsidR="00A06659">
        <w:t>s</w:t>
      </w:r>
      <w:r w:rsidR="00A06659" w:rsidRPr="00CD08AD">
        <w:t xml:space="preserve">. </w:t>
      </w:r>
      <w:r w:rsidR="00A06659">
        <w:t>(c</w:t>
      </w:r>
      <w:r w:rsidR="00A06659" w:rsidRPr="00CD08AD">
        <w:t>)</w:t>
      </w:r>
      <w:r w:rsidR="000B430E">
        <w:t>–</w:t>
      </w:r>
      <w:r w:rsidR="00A06659" w:rsidRPr="00CD08AD">
        <w:t>(</w:t>
      </w:r>
      <w:r w:rsidR="000B430E">
        <w:t>e</w:t>
      </w:r>
      <w:r w:rsidR="00A06659" w:rsidRPr="00CD08AD">
        <w:t>)</w:t>
      </w:r>
      <w:r>
        <w:rPr>
          <w:rStyle w:val="FootnoteReference"/>
          <w:b/>
          <w:bCs/>
        </w:rPr>
        <w:footnoteReference w:id="13"/>
      </w:r>
      <w:r w:rsidR="00A06659">
        <w:t xml:space="preserve">; </w:t>
      </w:r>
      <w:r w:rsidRPr="007E397F">
        <w:rPr>
          <w:i/>
          <w:iCs/>
        </w:rPr>
        <w:t>Taitano</w:t>
      </w:r>
      <w:r w:rsidR="008B26D3">
        <w:t>,</w:t>
      </w:r>
      <w:r>
        <w:t xml:space="preserve"> </w:t>
      </w:r>
      <w:r w:rsidR="008B26D3" w:rsidRPr="003B15B9">
        <w:rPr>
          <w:i/>
          <w:iCs/>
        </w:rPr>
        <w:t>supra</w:t>
      </w:r>
      <w:r w:rsidR="008B26D3">
        <w:t xml:space="preserve">, </w:t>
      </w:r>
      <w:r>
        <w:t xml:space="preserve">13 Cal.App.5th </w:t>
      </w:r>
      <w:r w:rsidR="008B26D3">
        <w:t>at p.</w:t>
      </w:r>
      <w:r>
        <w:t xml:space="preserve"> 242</w:t>
      </w:r>
      <w:r w:rsidR="008B26D3">
        <w:t>.)</w:t>
      </w:r>
      <w:r>
        <w:t xml:space="preserve"> </w:t>
      </w:r>
      <w:r w:rsidR="006437FB">
        <w:t xml:space="preserve"> </w:t>
      </w:r>
      <w:r w:rsidR="00B20A4E" w:rsidRPr="00E641FB">
        <w:t>I</w:t>
      </w:r>
      <w:bookmarkStart w:id="6" w:name="_Hlk80970587"/>
      <w:r w:rsidR="00B20A4E" w:rsidRPr="00E641FB">
        <w:t xml:space="preserve">f </w:t>
      </w:r>
      <w:r w:rsidR="00DB56A8" w:rsidRPr="00E641FB">
        <w:t xml:space="preserve">neither party </w:t>
      </w:r>
      <w:r w:rsidR="00DB56A8" w:rsidRPr="00E641FB">
        <w:lastRenderedPageBreak/>
        <w:t xml:space="preserve">requests an </w:t>
      </w:r>
      <w:r w:rsidR="00E24A0E" w:rsidRPr="00E641FB">
        <w:t xml:space="preserve">evidentiary hearing </w:t>
      </w:r>
      <w:r w:rsidR="00DB56A8" w:rsidRPr="00E641FB">
        <w:t>on whether the defendant has been restored</w:t>
      </w:r>
      <w:r w:rsidR="00DB56A8">
        <w:t xml:space="preserve"> to competenc</w:t>
      </w:r>
      <w:r w:rsidR="00D52DB5">
        <w:t>e</w:t>
      </w:r>
      <w:r w:rsidR="00E24A0E" w:rsidRPr="00E24A0E">
        <w:t xml:space="preserve">, the trial court can summarily determine that </w:t>
      </w:r>
      <w:r w:rsidR="00B20A4E">
        <w:t xml:space="preserve">the defendant’s </w:t>
      </w:r>
      <w:r w:rsidR="00E24A0E" w:rsidRPr="00E24A0E">
        <w:t xml:space="preserve">competency has been restored. </w:t>
      </w:r>
      <w:r w:rsidR="00B20A4E">
        <w:t xml:space="preserve"> </w:t>
      </w:r>
      <w:r w:rsidR="00E24A0E" w:rsidRPr="00E24A0E">
        <w:t>(</w:t>
      </w:r>
      <w:r w:rsidR="00E24A0E">
        <w:t xml:space="preserve">See </w:t>
      </w:r>
      <w:r w:rsidR="00083A55" w:rsidRPr="001C6BBD">
        <w:rPr>
          <w:i/>
          <w:iCs/>
        </w:rPr>
        <w:t>Rells</w:t>
      </w:r>
      <w:r w:rsidR="00083A55">
        <w:t xml:space="preserve">, </w:t>
      </w:r>
      <w:r w:rsidR="00083A55">
        <w:rPr>
          <w:i/>
          <w:iCs/>
        </w:rPr>
        <w:t>supra</w:t>
      </w:r>
      <w:r w:rsidR="00083A55">
        <w:t>, 22 Cal.4th</w:t>
      </w:r>
      <w:r w:rsidR="00E24A0E" w:rsidRPr="00E24A0E">
        <w:t xml:space="preserve"> at p. 868; </w:t>
      </w:r>
      <w:r w:rsidR="00E24A0E" w:rsidRPr="00E24A0E">
        <w:rPr>
          <w:i/>
          <w:iCs/>
        </w:rPr>
        <w:t>People v. Mixon</w:t>
      </w:r>
      <w:r w:rsidR="00E24A0E" w:rsidRPr="00E24A0E">
        <w:t xml:space="preserve"> (1990) 225 Cal.App.3d 1471, 1480</w:t>
      </w:r>
      <w:r w:rsidR="00B20A4E">
        <w:t>–</w:t>
      </w:r>
      <w:r w:rsidR="00E24A0E" w:rsidRPr="00E24A0E">
        <w:t>1482.)</w:t>
      </w:r>
      <w:bookmarkEnd w:id="6"/>
    </w:p>
    <w:p w14:paraId="6AE4F06E" w14:textId="31803F5F" w:rsidR="00191022" w:rsidRDefault="0053713C" w:rsidP="00083A55">
      <w:bookmarkStart w:id="7" w:name="_Hlk81240925"/>
      <w:bookmarkStart w:id="8" w:name="_Hlk84429731"/>
      <w:r>
        <w:t>T</w:t>
      </w:r>
      <w:r w:rsidR="00832295">
        <w:t xml:space="preserve">he maximum period of commitment </w:t>
      </w:r>
      <w:r w:rsidR="00FF76C8">
        <w:t xml:space="preserve">under section 1370 </w:t>
      </w:r>
      <w:r w:rsidR="00832295">
        <w:t>is “two years from the date of commitment.”</w:t>
      </w:r>
      <w:bookmarkEnd w:id="7"/>
      <w:r w:rsidR="00832295">
        <w:t xml:space="preserve">  (§ 1370(c)(1).)  </w:t>
      </w:r>
      <w:r>
        <w:t>At the time the trial court ruled on Rodriguez’s objection and motion to dismiss, section 1370(c)(1) provided:  “</w:t>
      </w:r>
      <w:r w:rsidRPr="00182B32">
        <w:t>At the end of two years from t</w:t>
      </w:r>
      <w:r w:rsidRPr="00182B32">
        <w:t>he date of commitment or a period of commitment equal to the maximum term of imprisonment provided by law for the most serious offense charged in the information, indictment, or misdemeanor complaint, or the maximum term of imprisonment provided by law for</w:t>
      </w:r>
      <w:r w:rsidRPr="00182B32">
        <w:t xml:space="preserve"> a violation of probation or mandatory supervision, whichever is shorter, but no later than 90 days prior to the expiration of the defendant</w:t>
      </w:r>
      <w:r>
        <w:t>’</w:t>
      </w:r>
      <w:r w:rsidRPr="00182B32">
        <w:t xml:space="preserve">s term of commitment, a defendant who has not recovered mental competence shall be returned to the committing </w:t>
      </w:r>
      <w:r w:rsidRPr="00182B32">
        <w:lastRenderedPageBreak/>
        <w:t>court</w:t>
      </w:r>
      <w:r w:rsidRPr="00182B32">
        <w:t xml:space="preserve">. </w:t>
      </w:r>
      <w:r>
        <w:t xml:space="preserve"> </w:t>
      </w:r>
      <w:r w:rsidRPr="00182B32">
        <w:t>The court shall notify the community program director or a designee of the return and of any resulting court orders.</w:t>
      </w:r>
      <w:r>
        <w:t>”  (</w:t>
      </w:r>
      <w:r w:rsidRPr="00400330">
        <w:t>Stats.</w:t>
      </w:r>
      <w:r>
        <w:t xml:space="preserve"> </w:t>
      </w:r>
      <w:r w:rsidRPr="00400330">
        <w:t>2018, c</w:t>
      </w:r>
      <w:r>
        <w:t>h</w:t>
      </w:r>
      <w:r w:rsidRPr="00400330">
        <w:t>. 1008, § 2</w:t>
      </w:r>
      <w:r>
        <w:t xml:space="preserve"> [former § 1370(c)(1)].)  </w:t>
      </w:r>
    </w:p>
    <w:bookmarkEnd w:id="8"/>
    <w:p w14:paraId="38FD100D" w14:textId="77777777" w:rsidR="00191022" w:rsidRDefault="0053713C" w:rsidP="00191022">
      <w:r>
        <w:t>The current version of section 1370(c)(1) further provides that “</w:t>
      </w:r>
      <w:r w:rsidRPr="00182B32">
        <w:t xml:space="preserve">custody of the </w:t>
      </w:r>
      <w:r w:rsidRPr="00182B32">
        <w:t>defendant shall be transferred without delay to the committing county and shall remain with the county until further order of the court</w:t>
      </w:r>
      <w:r>
        <w:t>” and “[t]</w:t>
      </w:r>
      <w:r w:rsidRPr="00182B32">
        <w:t>he court shall not order the defendant returned to the custody of the State Department of State Hospitals under</w:t>
      </w:r>
      <w:r w:rsidRPr="00182B32">
        <w:t xml:space="preserve"> the same commitment.</w:t>
      </w:r>
      <w:r>
        <w:t>”  (</w:t>
      </w:r>
      <w:r w:rsidRPr="00400330">
        <w:t>Stats.</w:t>
      </w:r>
      <w:r>
        <w:t xml:space="preserve"> </w:t>
      </w:r>
      <w:r w:rsidRPr="00400330">
        <w:t>2021, c</w:t>
      </w:r>
      <w:r>
        <w:t>h</w:t>
      </w:r>
      <w:r w:rsidRPr="00400330">
        <w:t>. 143, §§ 343</w:t>
      </w:r>
      <w:r>
        <w:t xml:space="preserve"> [current § 1370(c)(1)], 424 [</w:t>
      </w:r>
      <w:r w:rsidRPr="00400330">
        <w:t>eff</w:t>
      </w:r>
      <w:r>
        <w:t>ective</w:t>
      </w:r>
      <w:r w:rsidRPr="00400330">
        <w:t xml:space="preserve"> July 27, 2021</w:t>
      </w:r>
      <w:r>
        <w:t>]</w:t>
      </w:r>
      <w:r w:rsidRPr="00400330">
        <w:t>.)</w:t>
      </w:r>
    </w:p>
    <w:p w14:paraId="34A3F166" w14:textId="38CBB31B" w:rsidR="00832295" w:rsidRDefault="0053713C" w:rsidP="006854CE">
      <w:r>
        <w:t>“</w:t>
      </w:r>
      <w:r w:rsidRPr="00AF6401">
        <w:t xml:space="preserve">The purpose of section 1370 is to provide a defendant the maximum term possible, not to exceed </w:t>
      </w:r>
      <w:r>
        <w:t xml:space="preserve">[two] </w:t>
      </w:r>
      <w:r w:rsidRPr="00AF6401">
        <w:t xml:space="preserve">years or the maximum period of imprisonment </w:t>
      </w:r>
      <w:r w:rsidRPr="00AF6401">
        <w:t xml:space="preserve">for a charged crime such as a misdemeanor offense </w:t>
      </w:r>
      <w:r>
        <w:t>. . .</w:t>
      </w:r>
      <w:r w:rsidRPr="00AF6401">
        <w:t xml:space="preserve"> to restore his or her competency.</w:t>
      </w:r>
      <w:r>
        <w:t>”  (</w:t>
      </w:r>
      <w:r w:rsidRPr="00604BCB">
        <w:rPr>
          <w:i/>
          <w:iCs/>
        </w:rPr>
        <w:t xml:space="preserve">People v. G.H. </w:t>
      </w:r>
      <w:r w:rsidRPr="00AF6401">
        <w:t>(2014) 230 Cal.App.4th 1548</w:t>
      </w:r>
      <w:r>
        <w:t>,</w:t>
      </w:r>
      <w:r w:rsidRPr="00AF6401">
        <w:t xml:space="preserve"> 1559</w:t>
      </w:r>
      <w:r>
        <w:t xml:space="preserve"> (</w:t>
      </w:r>
      <w:r w:rsidRPr="00604BCB">
        <w:rPr>
          <w:i/>
          <w:iCs/>
        </w:rPr>
        <w:t>G.H.</w:t>
      </w:r>
      <w:r>
        <w:t>)</w:t>
      </w:r>
      <w:r w:rsidR="006854CE">
        <w:t xml:space="preserve">; see also </w:t>
      </w:r>
      <w:r w:rsidR="006854CE" w:rsidRPr="006854CE">
        <w:rPr>
          <w:i/>
          <w:iCs/>
        </w:rPr>
        <w:t>In re Albert C.</w:t>
      </w:r>
      <w:r w:rsidR="006854CE">
        <w:t xml:space="preserve"> (2017) 3 Cal.5th 483, 491 [“A defendant making progress toward attaining competency may be committed </w:t>
      </w:r>
      <w:r w:rsidR="008D1912">
        <w:t>. . . </w:t>
      </w:r>
      <w:r w:rsidR="006854CE">
        <w:t>for [two] years or the length of the maximum term of imprisonment for the most serious charged offense, whichever is shorter.”]</w:t>
      </w:r>
      <w:r>
        <w:t xml:space="preserve">.)  </w:t>
      </w:r>
      <w:r w:rsidRPr="00832295">
        <w:t>Th</w:t>
      </w:r>
      <w:r>
        <w:t>e</w:t>
      </w:r>
      <w:r w:rsidRPr="00832295">
        <w:t xml:space="preserve"> two-year commitment period </w:t>
      </w:r>
      <w:r>
        <w:t>“</w:t>
      </w:r>
      <w:r w:rsidRPr="00832295">
        <w:t xml:space="preserve">applies </w:t>
      </w:r>
      <w:r w:rsidRPr="00AF6401">
        <w:t xml:space="preserve">to the total period </w:t>
      </w:r>
      <w:r w:rsidRPr="00604BCB">
        <w:rPr>
          <w:i/>
          <w:iCs/>
        </w:rPr>
        <w:t>actually spent</w:t>
      </w:r>
      <w:r w:rsidRPr="00AF6401">
        <w:t xml:space="preserve"> in commitment at a mental institution</w:t>
      </w:r>
      <w:r>
        <w:t>.”  (</w:t>
      </w:r>
      <w:r w:rsidR="00696BD9">
        <w:rPr>
          <w:i/>
          <w:iCs/>
        </w:rPr>
        <w:t>G.H.</w:t>
      </w:r>
      <w:r w:rsidR="00696BD9">
        <w:t xml:space="preserve">, </w:t>
      </w:r>
      <w:r>
        <w:t xml:space="preserve"> at p. 1558, italics added.)  Further, the two-year period is measured by</w:t>
      </w:r>
      <w:r w:rsidRPr="00AF6401">
        <w:t xml:space="preserve"> </w:t>
      </w:r>
      <w:r w:rsidRPr="00832295">
        <w:t>“the aggregate of all commitments on the same charges.”</w:t>
      </w:r>
      <w:r>
        <w:t xml:space="preserve">  </w:t>
      </w:r>
      <w:r w:rsidRPr="00832295">
        <w:t>(</w:t>
      </w:r>
      <w:r w:rsidRPr="00832295">
        <w:rPr>
          <w:i/>
          <w:iCs/>
        </w:rPr>
        <w:t>In re Polk</w:t>
      </w:r>
      <w:r w:rsidRPr="00832295">
        <w:t xml:space="preserve"> (1999) 71 Cal.App.4th 1230, 1238.)</w:t>
      </w:r>
      <w:r>
        <w:t xml:space="preserve">  </w:t>
      </w:r>
    </w:p>
    <w:p w14:paraId="7772BF33" w14:textId="2C1F816B" w:rsidR="00AF6401" w:rsidRDefault="0053713C" w:rsidP="00F54325">
      <w:r w:rsidRPr="00554A35">
        <w:t>“</w:t>
      </w:r>
      <w:r w:rsidR="00EE7B77" w:rsidRPr="00554A35">
        <w:t>When a defendant is returned to the trial court</w:t>
      </w:r>
      <w:r w:rsidR="00191022" w:rsidRPr="00554A35">
        <w:t xml:space="preserve"> </w:t>
      </w:r>
      <w:r w:rsidR="00604BCB" w:rsidRPr="00554A35">
        <w:t>[</w:t>
      </w:r>
      <w:r w:rsidR="00191022" w:rsidRPr="00554A35">
        <w:t xml:space="preserve">without a certification of restoration </w:t>
      </w:r>
      <w:r w:rsidR="00E01794" w:rsidRPr="00554A35">
        <w:t>to</w:t>
      </w:r>
      <w:r w:rsidR="00191022" w:rsidRPr="00554A35">
        <w:t xml:space="preserve"> competenc</w:t>
      </w:r>
      <w:r w:rsidR="00E01794" w:rsidRPr="00554A35">
        <w:t>e</w:t>
      </w:r>
      <w:r w:rsidR="00604BCB" w:rsidRPr="00554A35">
        <w:t>]</w:t>
      </w:r>
      <w:r w:rsidR="00EE7B77" w:rsidRPr="00554A35">
        <w:t>—either</w:t>
      </w:r>
      <w:r w:rsidR="00EE7B77">
        <w:t xml:space="preserve"> because there is no substantial likelihood that the defendant will regain competence or because the defendant has been committed for the maximum statutory period—the trial court must order the public guardian to initiate </w:t>
      </w:r>
      <w:r>
        <w:t>[</w:t>
      </w:r>
      <w:r w:rsidRPr="000237AC">
        <w:t xml:space="preserve">Lanterman–Petris–Short </w:t>
      </w:r>
      <w:r>
        <w:t>Act</w:t>
      </w:r>
      <w:r w:rsidR="009B515B">
        <w:t xml:space="preserve"> (LPS Act)</w:t>
      </w:r>
      <w:r>
        <w:t>]</w:t>
      </w:r>
      <w:r w:rsidR="00EE7B77">
        <w:t xml:space="preserve"> conservatorship proceedings if the defendant is </w:t>
      </w:r>
      <w:r>
        <w:t>‘</w:t>
      </w:r>
      <w:r w:rsidR="00EE7B77">
        <w:t>gravely disabled</w:t>
      </w:r>
      <w:r>
        <w:t>’</w:t>
      </w:r>
      <w:r w:rsidR="00EE7B77">
        <w:t xml:space="preserve"> within the meaning of the LPS Act. </w:t>
      </w:r>
      <w:r w:rsidR="006D4DF5">
        <w:t xml:space="preserve"> </w:t>
      </w:r>
      <w:r w:rsidR="00EE7B77">
        <w:t>(§</w:t>
      </w:r>
      <w:r>
        <w:t> </w:t>
      </w:r>
      <w:r w:rsidR="00EE7B77">
        <w:t>1370, subd. (c)(2)</w:t>
      </w:r>
      <w:r w:rsidR="00B20A4E">
        <w:t>.</w:t>
      </w:r>
      <w:r w:rsidR="00B20A4E" w:rsidRPr="00CC67DE">
        <w:rPr>
          <w:b/>
          <w:vertAlign w:val="superscript"/>
        </w:rPr>
        <w:t>[</w:t>
      </w:r>
      <w:r>
        <w:rPr>
          <w:rStyle w:val="FootnoteReference"/>
          <w:b/>
          <w:bCs/>
        </w:rPr>
        <w:footnoteReference w:id="14"/>
      </w:r>
      <w:r w:rsidR="00B20A4E" w:rsidRPr="00CC67DE">
        <w:rPr>
          <w:b/>
          <w:vertAlign w:val="superscript"/>
        </w:rPr>
        <w:t>]</w:t>
      </w:r>
      <w:r w:rsidR="00800D3F">
        <w:t>)”</w:t>
      </w:r>
      <w:r w:rsidR="00EE7B77">
        <w:t xml:space="preserve"> </w:t>
      </w:r>
      <w:r w:rsidR="00800D3F">
        <w:t xml:space="preserve"> (</w:t>
      </w:r>
      <w:r w:rsidR="00800D3F" w:rsidRPr="000D1069">
        <w:rPr>
          <w:i/>
          <w:iCs/>
        </w:rPr>
        <w:t>Jackson</w:t>
      </w:r>
      <w:r w:rsidR="00800D3F">
        <w:t xml:space="preserve">, </w:t>
      </w:r>
      <w:r w:rsidR="00800D3F" w:rsidRPr="000D1069">
        <w:rPr>
          <w:i/>
          <w:iCs/>
        </w:rPr>
        <w:t>supra</w:t>
      </w:r>
      <w:r w:rsidR="00800D3F">
        <w:t>, 4 Cal.5th at p. 102</w:t>
      </w:r>
      <w:r w:rsidR="008B26D3">
        <w:t xml:space="preserve">.)  The competency statutes do not authorize a new </w:t>
      </w:r>
      <w:r w:rsidR="008B26D3">
        <w:lastRenderedPageBreak/>
        <w:t xml:space="preserve">competency hearing at this point in the process. </w:t>
      </w:r>
      <w:r w:rsidR="00604BCB">
        <w:t xml:space="preserve"> </w:t>
      </w:r>
      <w:r w:rsidR="008B26D3">
        <w:t>(</w:t>
      </w:r>
      <w:r w:rsidR="00800D3F" w:rsidRPr="00800D3F">
        <w:rPr>
          <w:i/>
          <w:iCs/>
        </w:rPr>
        <w:t>People v. Quiroz</w:t>
      </w:r>
      <w:r w:rsidR="00800D3F" w:rsidRPr="00800D3F">
        <w:t xml:space="preserve"> (2016) 244 Cal.App.4th 1371, 1380</w:t>
      </w:r>
      <w:r w:rsidR="008B26D3">
        <w:t>.)</w:t>
      </w:r>
      <w:r w:rsidR="00800D3F">
        <w:t xml:space="preserve">  </w:t>
      </w:r>
    </w:p>
    <w:p w14:paraId="00898AAA" w14:textId="461ADCA6" w:rsidR="00EE7B77" w:rsidRDefault="0053713C" w:rsidP="00F54325">
      <w:r>
        <w:t xml:space="preserve">“If the defendant is not gravely disabled, the defendant must be released </w:t>
      </w:r>
      <w:r w:rsidR="000237AC">
        <w:t>[citation]</w:t>
      </w:r>
      <w:r>
        <w:t>, and the tr</w:t>
      </w:r>
      <w:r>
        <w:t>ial court may dismiss the action in the interest of justice pursuant to section 1385 (§ 1370, subd. (d);</w:t>
      </w:r>
      <w:r w:rsidR="00440145">
        <w:t xml:space="preserve"> </w:t>
      </w:r>
      <w:r w:rsidR="00645BE0">
        <w:t>[</w:t>
      </w:r>
      <w:r w:rsidR="00440145">
        <w:t>citation</w:t>
      </w:r>
      <w:r w:rsidR="00645BE0">
        <w:t>]</w:t>
      </w:r>
      <w:r>
        <w:t xml:space="preserve">). </w:t>
      </w:r>
      <w:r w:rsidR="006D4DF5">
        <w:t xml:space="preserve"> </w:t>
      </w:r>
      <w:r>
        <w:t xml:space="preserve">Such a dismissal is </w:t>
      </w:r>
      <w:r w:rsidR="00EF3D15">
        <w:t>‘</w:t>
      </w:r>
      <w:r>
        <w:t xml:space="preserve">without prejudice to the initiation of any proceedings that may be </w:t>
      </w:r>
      <w:r w:rsidR="006D4DF5">
        <w:t>a</w:t>
      </w:r>
      <w:r>
        <w:t>ppropriate</w:t>
      </w:r>
      <w:r w:rsidR="00EF3D15">
        <w:t>’</w:t>
      </w:r>
      <w:r>
        <w:t xml:space="preserve"> under the LPS Act. </w:t>
      </w:r>
      <w:r w:rsidR="00EF3D15">
        <w:t xml:space="preserve"> </w:t>
      </w:r>
      <w:r>
        <w:t>(§ 1370, subd. (</w:t>
      </w:r>
      <w:r>
        <w:t>e).)</w:t>
      </w:r>
      <w:r w:rsidR="00EF3D15">
        <w:t>”  (</w:t>
      </w:r>
      <w:r w:rsidRPr="000D1069">
        <w:rPr>
          <w:i/>
          <w:iCs/>
        </w:rPr>
        <w:t>Jackson</w:t>
      </w:r>
      <w:r w:rsidR="003304D8">
        <w:t xml:space="preserve">, </w:t>
      </w:r>
      <w:r w:rsidR="003304D8" w:rsidRPr="000D1069">
        <w:rPr>
          <w:i/>
          <w:iCs/>
        </w:rPr>
        <w:t>supra</w:t>
      </w:r>
      <w:r w:rsidR="003304D8">
        <w:t>,</w:t>
      </w:r>
      <w:r>
        <w:t xml:space="preserve"> 4 Cal.5th </w:t>
      </w:r>
      <w:r w:rsidR="003304D8">
        <w:t>at p.</w:t>
      </w:r>
      <w:r>
        <w:t xml:space="preserve"> 102</w:t>
      </w:r>
      <w:r w:rsidR="00645BE0">
        <w:t xml:space="preserve">; see also </w:t>
      </w:r>
      <w:r w:rsidR="00645BE0" w:rsidRPr="00645BE0">
        <w:rPr>
          <w:i/>
          <w:iCs/>
        </w:rPr>
        <w:t>People v. Waterman</w:t>
      </w:r>
      <w:r w:rsidR="00645BE0">
        <w:t xml:space="preserve"> (1986) 42 Cal.3d 565, 568 &amp; fn.</w:t>
      </w:r>
      <w:r w:rsidR="00800D3F">
        <w:t> </w:t>
      </w:r>
      <w:r w:rsidR="00645BE0">
        <w:t>1</w:t>
      </w:r>
      <w:r w:rsidR="00D12FD3">
        <w:t xml:space="preserve"> (</w:t>
      </w:r>
      <w:r w:rsidR="00D12FD3" w:rsidRPr="00645BE0">
        <w:rPr>
          <w:i/>
          <w:iCs/>
        </w:rPr>
        <w:t>Waterman</w:t>
      </w:r>
      <w:r w:rsidR="00CF507E">
        <w:t>)</w:t>
      </w:r>
      <w:r w:rsidR="00F54325">
        <w:t xml:space="preserve">; </w:t>
      </w:r>
      <w:r w:rsidR="00604BCB" w:rsidRPr="002A1115">
        <w:rPr>
          <w:i/>
          <w:iCs/>
        </w:rPr>
        <w:t>County of Los Angeles v. Superior Court</w:t>
      </w:r>
      <w:r w:rsidR="00604BCB">
        <w:t xml:space="preserve"> (2013) 222 Cal.App.4th 434,</w:t>
      </w:r>
      <w:r w:rsidR="002A1115">
        <w:t xml:space="preserve"> </w:t>
      </w:r>
      <w:r w:rsidR="00F54325">
        <w:t>442–443</w:t>
      </w:r>
      <w:r w:rsidR="003304D8">
        <w:t>.)</w:t>
      </w:r>
    </w:p>
    <w:p w14:paraId="76D0877A" w14:textId="1D0949E7" w:rsidR="006448C0" w:rsidRDefault="0053713C" w:rsidP="006448C0">
      <w:pPr>
        <w:pStyle w:val="Heading2"/>
      </w:pPr>
      <w:r>
        <w:rPr>
          <w:i w:val="0"/>
          <w:iCs w:val="0"/>
        </w:rPr>
        <w:t xml:space="preserve">E.  </w:t>
      </w:r>
      <w:r>
        <w:t>Analysis</w:t>
      </w:r>
    </w:p>
    <w:p w14:paraId="11C69FAB" w14:textId="711DCAFB" w:rsidR="006448C0" w:rsidRDefault="0053713C" w:rsidP="00706E16">
      <w:r>
        <w:t xml:space="preserve">Rodriguez contends </w:t>
      </w:r>
      <w:r w:rsidR="00706E16">
        <w:t xml:space="preserve">that </w:t>
      </w:r>
      <w:r w:rsidR="00EA6CD5">
        <w:t>he has been committed as incompetent for more tha</w:t>
      </w:r>
      <w:r w:rsidR="003903A2">
        <w:t>n</w:t>
      </w:r>
      <w:r w:rsidR="00EA6CD5">
        <w:t xml:space="preserve"> the two-year statutory maximum</w:t>
      </w:r>
      <w:r w:rsidR="00803E7D">
        <w:t xml:space="preserve"> period</w:t>
      </w:r>
      <w:r w:rsidR="00EA6CD5">
        <w:t xml:space="preserve"> and</w:t>
      </w:r>
      <w:r w:rsidR="007F12F6">
        <w:t>, thus,</w:t>
      </w:r>
      <w:r w:rsidR="00EA6CD5">
        <w:t xml:space="preserve"> </w:t>
      </w:r>
      <w:r w:rsidR="007F12F6">
        <w:t>the</w:t>
      </w:r>
      <w:r w:rsidR="00EA6CD5">
        <w:t xml:space="preserve"> </w:t>
      </w:r>
      <w:r w:rsidR="00706E16">
        <w:t>court has “no jurisdiction for a restoration of competency hearing</w:t>
      </w:r>
      <w:r w:rsidR="007F12F6">
        <w:t>.</w:t>
      </w:r>
      <w:r w:rsidR="00706E16">
        <w:t xml:space="preserve">” </w:t>
      </w:r>
      <w:r w:rsidR="00EA6CD5">
        <w:t xml:space="preserve"> </w:t>
      </w:r>
      <w:r w:rsidR="00603D23">
        <w:t xml:space="preserve">He </w:t>
      </w:r>
      <w:r w:rsidR="007C2070">
        <w:t>maintains</w:t>
      </w:r>
      <w:r w:rsidR="00706E16">
        <w:t xml:space="preserve"> that the “appropriate jurisdictional question” </w:t>
      </w:r>
      <w:r w:rsidR="007F12F6">
        <w:t xml:space="preserve">here </w:t>
      </w:r>
      <w:r w:rsidR="00706E16">
        <w:t xml:space="preserve">is whether a court can hold a restoration of competency hearing “more than two years after the commitment order was issued.”  He claims </w:t>
      </w:r>
      <w:r w:rsidR="002F51B3">
        <w:t xml:space="preserve">the </w:t>
      </w:r>
      <w:r w:rsidR="00F85AC1">
        <w:t>restoration</w:t>
      </w:r>
      <w:r w:rsidR="002F51B3">
        <w:t xml:space="preserve"> hearing can no longer occur </w:t>
      </w:r>
      <w:r w:rsidR="00706E16">
        <w:t xml:space="preserve">because </w:t>
      </w:r>
      <w:r w:rsidR="00F85AC1">
        <w:t>such a</w:t>
      </w:r>
      <w:r w:rsidR="00706E16">
        <w:t xml:space="preserve"> hearing </w:t>
      </w:r>
      <w:r w:rsidR="00960644">
        <w:t>“</w:t>
      </w:r>
      <w:r w:rsidR="00706E16">
        <w:t>must be</w:t>
      </w:r>
      <w:r w:rsidR="00960644">
        <w:t xml:space="preserve"> </w:t>
      </w:r>
      <w:r w:rsidR="00706E16">
        <w:t xml:space="preserve">authorized by </w:t>
      </w:r>
      <w:r w:rsidR="00960644">
        <w:t>‘</w:t>
      </w:r>
      <w:r w:rsidR="00706E16">
        <w:t>special</w:t>
      </w:r>
      <w:r w:rsidR="00960644">
        <w:t>’</w:t>
      </w:r>
      <w:r w:rsidR="00706E16">
        <w:t xml:space="preserve"> jurisdiction under section 1372, which can</w:t>
      </w:r>
      <w:r w:rsidR="00960644">
        <w:t xml:space="preserve"> </w:t>
      </w:r>
      <w:r w:rsidR="00706E16">
        <w:t xml:space="preserve">only occur within the commitment period authorized by </w:t>
      </w:r>
      <w:r w:rsidR="00960644">
        <w:t xml:space="preserve">[section] </w:t>
      </w:r>
      <w:r w:rsidR="00706E16">
        <w:t>1370,</w:t>
      </w:r>
      <w:r w:rsidR="00960644">
        <w:t xml:space="preserve"> </w:t>
      </w:r>
      <w:r w:rsidR="00706E16">
        <w:t>subdivision (c)(1).</w:t>
      </w:r>
      <w:r>
        <w:t xml:space="preserve">”  He maintains the competency statutes do not allow a court </w:t>
      </w:r>
      <w:r w:rsidR="00706E16">
        <w:t xml:space="preserve">to hold </w:t>
      </w:r>
      <w:r>
        <w:t xml:space="preserve">a </w:t>
      </w:r>
      <w:r w:rsidR="00706E16">
        <w:t>competency hearing</w:t>
      </w:r>
      <w:r w:rsidR="00960644">
        <w:t xml:space="preserve"> </w:t>
      </w:r>
      <w:r w:rsidR="00706E16">
        <w:t xml:space="preserve">after </w:t>
      </w:r>
      <w:r>
        <w:t>a defendant has completed</w:t>
      </w:r>
      <w:r w:rsidR="00706E16">
        <w:t xml:space="preserve"> the maximum commitment</w:t>
      </w:r>
      <w:r w:rsidR="003C4323">
        <w:t xml:space="preserve"> term</w:t>
      </w:r>
      <w:r w:rsidR="00706E16">
        <w:t>.</w:t>
      </w:r>
      <w:r w:rsidR="00395B9D">
        <w:t xml:space="preserve"> </w:t>
      </w:r>
    </w:p>
    <w:p w14:paraId="0213ED42" w14:textId="039A52FE" w:rsidR="00F46451" w:rsidRDefault="0053713C" w:rsidP="00B3227F">
      <w:r>
        <w:t xml:space="preserve">We begin </w:t>
      </w:r>
      <w:r w:rsidR="00E43284">
        <w:t xml:space="preserve">our analysis of Rodriguez’s contention by </w:t>
      </w:r>
      <w:r w:rsidR="00214436">
        <w:t>reiterating what section 1372 says about a</w:t>
      </w:r>
      <w:r w:rsidR="00547A6E">
        <w:t xml:space="preserve"> </w:t>
      </w:r>
      <w:r>
        <w:t>court’s authority to hold a restoration hearing</w:t>
      </w:r>
      <w:r w:rsidR="00214436">
        <w:t>:</w:t>
      </w:r>
      <w:r>
        <w:t xml:space="preserve"> </w:t>
      </w:r>
      <w:r w:rsidR="00214436">
        <w:t xml:space="preserve"> </w:t>
      </w:r>
      <w:r>
        <w:t>“</w:t>
      </w:r>
      <w:r w:rsidR="00214436">
        <w:t>W</w:t>
      </w:r>
      <w:r w:rsidRPr="00D24512">
        <w:t>hen a defendant is returned to court with a certification that competence has been regained</w:t>
      </w:r>
      <w:r>
        <w:t xml:space="preserve">,” the court </w:t>
      </w:r>
      <w:r w:rsidR="00440145">
        <w:t>may</w:t>
      </w:r>
      <w:r>
        <w:t xml:space="preserve"> hold a “</w:t>
      </w:r>
      <w:r w:rsidRPr="00D24512">
        <w:t xml:space="preserve">hearing on </w:t>
      </w:r>
      <w:r w:rsidRPr="00D24512">
        <w:t>the defendant</w:t>
      </w:r>
      <w:r>
        <w:t>’</w:t>
      </w:r>
      <w:r w:rsidRPr="00D24512">
        <w:t>s competence and whether or not the defendant was found by the court to have recovered competence</w:t>
      </w:r>
      <w:r>
        <w:t>.”  (§ 1372, subd. (c)</w:t>
      </w:r>
      <w:r w:rsidR="00AF21A7">
        <w:t>;</w:t>
      </w:r>
      <w:r w:rsidR="00B3227F">
        <w:t xml:space="preserve"> </w:t>
      </w:r>
      <w:r w:rsidR="00BF1ACC" w:rsidRPr="009C04CB">
        <w:rPr>
          <w:i/>
          <w:iCs/>
        </w:rPr>
        <w:t>Medina</w:t>
      </w:r>
      <w:r w:rsidR="00BF1ACC">
        <w:t xml:space="preserve">, </w:t>
      </w:r>
      <w:r w:rsidR="00BF1ACC" w:rsidRPr="00F00D5D">
        <w:rPr>
          <w:i/>
          <w:iCs/>
        </w:rPr>
        <w:t>supra</w:t>
      </w:r>
      <w:r w:rsidR="00BF1ACC">
        <w:t>, 65 Cal.App.5th at p. 1207</w:t>
      </w:r>
      <w:r>
        <w:t xml:space="preserve">.)  </w:t>
      </w:r>
      <w:r w:rsidR="007F12F6">
        <w:t>Under the plain text of the statute</w:t>
      </w:r>
      <w:r w:rsidR="00214436">
        <w:t xml:space="preserve">, </w:t>
      </w:r>
      <w:r>
        <w:t xml:space="preserve">a court has the statutory authority to </w:t>
      </w:r>
      <w:r w:rsidR="000C6E8E">
        <w:t xml:space="preserve">hold a restoration hearing </w:t>
      </w:r>
      <w:r w:rsidR="00C06D5A">
        <w:t>so long as</w:t>
      </w:r>
      <w:r w:rsidR="000C6E8E">
        <w:t xml:space="preserve"> a designated official certifies that </w:t>
      </w:r>
      <w:r w:rsidR="00F12529">
        <w:t>the</w:t>
      </w:r>
      <w:r w:rsidR="000C6E8E">
        <w:t xml:space="preserve"> </w:t>
      </w:r>
      <w:r w:rsidR="000C6E8E">
        <w:lastRenderedPageBreak/>
        <w:t>defendant has regained mental competence.</w:t>
      </w:r>
      <w:r w:rsidR="00A642D4">
        <w:t xml:space="preserve">  </w:t>
      </w:r>
      <w:r w:rsidR="00F12529">
        <w:t>S</w:t>
      </w:r>
      <w:r w:rsidR="00A642D4">
        <w:t>ection 1372 does not explicitly state any time</w:t>
      </w:r>
      <w:r w:rsidR="007469EA">
        <w:t xml:space="preserve"> </w:t>
      </w:r>
      <w:r w:rsidR="00A642D4">
        <w:t>frame within which th</w:t>
      </w:r>
      <w:r w:rsidR="00214436">
        <w:t>e</w:t>
      </w:r>
      <w:r w:rsidR="00A642D4">
        <w:t xml:space="preserve"> restoration hearing must be held</w:t>
      </w:r>
      <w:r w:rsidR="004367B7">
        <w:t xml:space="preserve"> </w:t>
      </w:r>
      <w:r w:rsidR="00F1560B">
        <w:t xml:space="preserve">and </w:t>
      </w:r>
      <w:r w:rsidR="00AB0CA6">
        <w:t>does not reference</w:t>
      </w:r>
      <w:r w:rsidR="004367B7">
        <w:t xml:space="preserve"> section 1370(c)(1)’s two-year</w:t>
      </w:r>
      <w:r w:rsidR="004367B7" w:rsidRPr="004367B7">
        <w:t xml:space="preserve"> maximum </w:t>
      </w:r>
      <w:r w:rsidR="00F1560B">
        <w:t xml:space="preserve">for an incompetency </w:t>
      </w:r>
      <w:r w:rsidR="004367B7" w:rsidRPr="004367B7">
        <w:t>commitment</w:t>
      </w:r>
      <w:r w:rsidR="004367B7">
        <w:t>.</w:t>
      </w:r>
      <w:r w:rsidR="00214436">
        <w:t xml:space="preserve">  </w:t>
      </w:r>
    </w:p>
    <w:p w14:paraId="63AB510E" w14:textId="59FD22E4" w:rsidR="00B22532" w:rsidRDefault="0053713C" w:rsidP="00D24512">
      <w:r>
        <w:t>In this matter</w:t>
      </w:r>
      <w:r w:rsidR="00F46451">
        <w:t xml:space="preserve">, </w:t>
      </w:r>
      <w:r w:rsidR="008A4974">
        <w:t xml:space="preserve">the following events all occurred </w:t>
      </w:r>
      <w:r w:rsidR="00D01490">
        <w:t>by late</w:t>
      </w:r>
      <w:r w:rsidR="008A4974">
        <w:t xml:space="preserve"> January 2020</w:t>
      </w:r>
      <w:r w:rsidR="00661C62">
        <w:t xml:space="preserve">, </w:t>
      </w:r>
      <w:r w:rsidR="007636E5">
        <w:t xml:space="preserve">well </w:t>
      </w:r>
      <w:r w:rsidR="00D21E33">
        <w:t>before Rodriguez’s aggregate commitment</w:t>
      </w:r>
      <w:r w:rsidR="00661C62">
        <w:t>—by any measure—</w:t>
      </w:r>
      <w:r w:rsidR="00D21E33">
        <w:t xml:space="preserve">had </w:t>
      </w:r>
      <w:r w:rsidR="00364816">
        <w:t xml:space="preserve">reached </w:t>
      </w:r>
      <w:r w:rsidR="00D21E33">
        <w:t>the two-year maximum under section 1370(c)(1)</w:t>
      </w:r>
      <w:r w:rsidR="008A4974">
        <w:t xml:space="preserve">: </w:t>
      </w:r>
      <w:r w:rsidR="00D21E33">
        <w:t xml:space="preserve"> </w:t>
      </w:r>
      <w:r w:rsidR="00AB0CA6">
        <w:t xml:space="preserve">twice </w:t>
      </w:r>
      <w:r w:rsidR="008A4974">
        <w:t xml:space="preserve">(1) a </w:t>
      </w:r>
      <w:r w:rsidR="00F46451">
        <w:t xml:space="preserve">certificate of mental competency was filed </w:t>
      </w:r>
      <w:r w:rsidR="005A7518">
        <w:t xml:space="preserve">in </w:t>
      </w:r>
      <w:r w:rsidR="00BF1289">
        <w:t>the trial</w:t>
      </w:r>
      <w:r w:rsidR="005A7518">
        <w:t xml:space="preserve"> court</w:t>
      </w:r>
      <w:r w:rsidR="008A4974">
        <w:t>,</w:t>
      </w:r>
      <w:r w:rsidR="00F46451">
        <w:t xml:space="preserve"> </w:t>
      </w:r>
      <w:r w:rsidR="008A4974">
        <w:t xml:space="preserve">(2) </w:t>
      </w:r>
      <w:r w:rsidR="00F46451">
        <w:t xml:space="preserve">Rodriguez was returned </w:t>
      </w:r>
      <w:r w:rsidR="008A4974">
        <w:t xml:space="preserve">to Santa Clara </w:t>
      </w:r>
      <w:r w:rsidR="00F64AC9">
        <w:t>C</w:t>
      </w:r>
      <w:r w:rsidR="008A4974">
        <w:t xml:space="preserve">ounty </w:t>
      </w:r>
      <w:r w:rsidR="00F46451">
        <w:t xml:space="preserve">from </w:t>
      </w:r>
      <w:r w:rsidR="008A4974">
        <w:t xml:space="preserve">his commitment </w:t>
      </w:r>
      <w:r w:rsidR="00F64AC9">
        <w:t>at</w:t>
      </w:r>
      <w:r w:rsidR="008A4974">
        <w:t xml:space="preserve"> </w:t>
      </w:r>
      <w:r w:rsidR="00F46451">
        <w:t>DSH</w:t>
      </w:r>
      <w:r w:rsidR="008A4974">
        <w:t>,</w:t>
      </w:r>
      <w:r w:rsidR="00F46451">
        <w:t xml:space="preserve"> and </w:t>
      </w:r>
      <w:r w:rsidR="008A4974">
        <w:t xml:space="preserve">(3) Rodriguez </w:t>
      </w:r>
      <w:r w:rsidR="00F46451">
        <w:t xml:space="preserve">appeared before </w:t>
      </w:r>
      <w:r w:rsidR="00BF1289">
        <w:t>the trial</w:t>
      </w:r>
      <w:r w:rsidR="00F46451">
        <w:t xml:space="preserve"> court.</w:t>
      </w:r>
      <w:r w:rsidR="000B5BC7">
        <w:t xml:space="preserve"> </w:t>
      </w:r>
      <w:r w:rsidR="00EA0F5E">
        <w:t xml:space="preserve"> </w:t>
      </w:r>
      <w:r w:rsidR="00AB0CA6">
        <w:t xml:space="preserve">With respect to the first certification of mental competency, the trial court had approved the certificate of restoration.  </w:t>
      </w:r>
      <w:r w:rsidR="006A72F8">
        <w:t>Alt</w:t>
      </w:r>
      <w:r w:rsidR="00ED0C39">
        <w:t xml:space="preserve">hough the parties </w:t>
      </w:r>
      <w:r w:rsidR="006A72F8">
        <w:t>agree on</w:t>
      </w:r>
      <w:r w:rsidR="00ED0C39">
        <w:t xml:space="preserve"> th</w:t>
      </w:r>
      <w:r w:rsidR="006A72F8">
        <w:t>e</w:t>
      </w:r>
      <w:r w:rsidR="00ED0C39">
        <w:t xml:space="preserve"> </w:t>
      </w:r>
      <w:r w:rsidR="00504213">
        <w:t xml:space="preserve">start </w:t>
      </w:r>
      <w:r w:rsidR="00ED0C39">
        <w:t xml:space="preserve">dates </w:t>
      </w:r>
      <w:r w:rsidR="00FB5A47">
        <w:t xml:space="preserve">for </w:t>
      </w:r>
      <w:r w:rsidR="006A72F8">
        <w:t>R</w:t>
      </w:r>
      <w:r w:rsidR="00ED0C39">
        <w:t xml:space="preserve">odriguez’s </w:t>
      </w:r>
      <w:r w:rsidR="00504213">
        <w:t xml:space="preserve">two </w:t>
      </w:r>
      <w:r w:rsidR="00ED0C39">
        <w:t>commitments,</w:t>
      </w:r>
      <w:r>
        <w:rPr>
          <w:rStyle w:val="FootnoteReference"/>
          <w:b/>
          <w:bCs/>
        </w:rPr>
        <w:footnoteReference w:id="15"/>
      </w:r>
      <w:r w:rsidR="00ED0C39">
        <w:t xml:space="preserve"> they </w:t>
      </w:r>
      <w:r w:rsidR="00AB0CA6">
        <w:t xml:space="preserve">disagree whether the time Rodriguez has spent in the trial court since his second return from DSH </w:t>
      </w:r>
      <w:r w:rsidR="00D01490">
        <w:t xml:space="preserve">in January 2020 </w:t>
      </w:r>
      <w:r w:rsidR="00AB0CA6">
        <w:t xml:space="preserve">should count toward </w:t>
      </w:r>
      <w:r>
        <w:t xml:space="preserve">section 1370(c)(1)’s </w:t>
      </w:r>
      <w:r w:rsidR="00AB0CA6">
        <w:t>two-year maximum</w:t>
      </w:r>
      <w:r>
        <w:t xml:space="preserve"> commitment period</w:t>
      </w:r>
      <w:r w:rsidR="00ED0C39">
        <w:t>.</w:t>
      </w:r>
      <w:r w:rsidR="00227B1A">
        <w:t xml:space="preserve">  </w:t>
      </w:r>
    </w:p>
    <w:p w14:paraId="51FF14DD" w14:textId="3486BCED" w:rsidR="00F07D36" w:rsidRDefault="0053713C" w:rsidP="00CF4392">
      <w:r>
        <w:t>Rod</w:t>
      </w:r>
      <w:r w:rsidR="00ED0C39">
        <w:t>riguez</w:t>
      </w:r>
      <w:r w:rsidR="00607F5E">
        <w:t xml:space="preserve"> contends that </w:t>
      </w:r>
      <w:r w:rsidR="00E31A5C">
        <w:t xml:space="preserve">his </w:t>
      </w:r>
      <w:r w:rsidR="006C3B7C">
        <w:t xml:space="preserve">incompetency </w:t>
      </w:r>
      <w:r w:rsidR="00607F5E">
        <w:t xml:space="preserve">commitment </w:t>
      </w:r>
      <w:r w:rsidR="00773A34">
        <w:t>continues until t</w:t>
      </w:r>
      <w:r w:rsidR="00607F5E">
        <w:t>he</w:t>
      </w:r>
      <w:r w:rsidR="00ED55B7">
        <w:t xml:space="preserve"> trial</w:t>
      </w:r>
      <w:r w:rsidR="00607F5E">
        <w:t xml:space="preserve"> court approves </w:t>
      </w:r>
      <w:r w:rsidR="00E31A5C">
        <w:t xml:space="preserve">the </w:t>
      </w:r>
      <w:r w:rsidR="00607F5E">
        <w:t>certificat</w:t>
      </w:r>
      <w:r w:rsidR="00E31A5C">
        <w:t>ion</w:t>
      </w:r>
      <w:r w:rsidR="00607F5E">
        <w:t xml:space="preserve"> of restoration</w:t>
      </w:r>
      <w:r w:rsidR="006C3B7C">
        <w:t xml:space="preserve"> under section 1372</w:t>
      </w:r>
      <w:r w:rsidR="00E31A5C">
        <w:t xml:space="preserve">. </w:t>
      </w:r>
      <w:r w:rsidR="00504213">
        <w:t xml:space="preserve"> That is, </w:t>
      </w:r>
      <w:r w:rsidR="00803E7D">
        <w:t xml:space="preserve">Rodriguez asserts his </w:t>
      </w:r>
      <w:r w:rsidR="00504213">
        <w:t xml:space="preserve">first commitment ended when the court approved the certification on September 20, 2018, and his second commitment continues to this day. </w:t>
      </w:r>
      <w:r w:rsidR="00ED0C39">
        <w:t xml:space="preserve"> </w:t>
      </w:r>
      <w:r w:rsidR="00E31A5C">
        <w:t>By contrast, t</w:t>
      </w:r>
      <w:r w:rsidR="00ED0C39">
        <w:t xml:space="preserve">he district attorney </w:t>
      </w:r>
      <w:r w:rsidR="00B04C8E">
        <w:t xml:space="preserve">maintains </w:t>
      </w:r>
      <w:r w:rsidR="009C54A1">
        <w:t xml:space="preserve">that </w:t>
      </w:r>
      <w:r w:rsidR="006C3B7C">
        <w:t xml:space="preserve">each of </w:t>
      </w:r>
      <w:r w:rsidR="00DF0092">
        <w:t>Rodriguez’s</w:t>
      </w:r>
      <w:r w:rsidR="009C54A1">
        <w:t xml:space="preserve"> </w:t>
      </w:r>
      <w:r w:rsidR="00B04C8E">
        <w:t>commitment</w:t>
      </w:r>
      <w:r w:rsidR="00C35D7D">
        <w:t>s</w:t>
      </w:r>
      <w:r w:rsidR="00B04C8E">
        <w:t xml:space="preserve"> end</w:t>
      </w:r>
      <w:r w:rsidR="00773A34">
        <w:t>ed</w:t>
      </w:r>
      <w:r w:rsidR="00B04C8E">
        <w:t xml:space="preserve"> on the date </w:t>
      </w:r>
      <w:r w:rsidR="006A72F8">
        <w:t xml:space="preserve">the </w:t>
      </w:r>
      <w:r w:rsidR="00B04C8E">
        <w:t>certificat</w:t>
      </w:r>
      <w:r w:rsidR="00E31A5C">
        <w:t>ion</w:t>
      </w:r>
      <w:r w:rsidR="00B04C8E">
        <w:t xml:space="preserve"> of restoration </w:t>
      </w:r>
      <w:r w:rsidR="006A72F8">
        <w:t>w</w:t>
      </w:r>
      <w:r w:rsidR="00E31A5C">
        <w:t>as</w:t>
      </w:r>
      <w:r w:rsidR="00B04C8E">
        <w:t xml:space="preserve"> filed with </w:t>
      </w:r>
      <w:r w:rsidR="0035196E">
        <w:t xml:space="preserve">the trial </w:t>
      </w:r>
      <w:r w:rsidR="00B04C8E">
        <w:t>court</w:t>
      </w:r>
      <w:r w:rsidR="00DF0092">
        <w:t>.</w:t>
      </w:r>
      <w:r w:rsidR="00227B1A">
        <w:t xml:space="preserve"> </w:t>
      </w:r>
    </w:p>
    <w:p w14:paraId="6842F621" w14:textId="6B2331F2" w:rsidR="00AB0CA6" w:rsidRDefault="0053713C" w:rsidP="00AB0CA6">
      <w:r w:rsidRPr="009613C5">
        <w:t>Rodriguez’s</w:t>
      </w:r>
      <w:r>
        <w:t xml:space="preserve"> principal authority for his contention that he has exceeded the two-year maximum commitment period is </w:t>
      </w:r>
      <w:r w:rsidR="00657DB3">
        <w:t xml:space="preserve">the recent decision of </w:t>
      </w:r>
      <w:r w:rsidR="00657DB3" w:rsidRPr="00FD75E8">
        <w:t>Division Three of the First District Court of Appeal</w:t>
      </w:r>
      <w:r w:rsidR="00F07D36">
        <w:t xml:space="preserve"> </w:t>
      </w:r>
      <w:r w:rsidR="00FD75E8">
        <w:t xml:space="preserve">in </w:t>
      </w:r>
      <w:r w:rsidR="00FD75E8" w:rsidRPr="00C55152">
        <w:rPr>
          <w:i/>
          <w:iCs/>
        </w:rPr>
        <w:t>Carr</w:t>
      </w:r>
      <w:r w:rsidR="00707C68" w:rsidRPr="00C55152">
        <w:rPr>
          <w:i/>
          <w:iCs/>
        </w:rPr>
        <w:t xml:space="preserve"> II</w:t>
      </w:r>
      <w:r w:rsidR="009613C5" w:rsidRPr="00C55152">
        <w:t xml:space="preserve">, </w:t>
      </w:r>
      <w:r w:rsidR="009613C5" w:rsidRPr="00C55152">
        <w:rPr>
          <w:i/>
          <w:iCs/>
        </w:rPr>
        <w:t>supra</w:t>
      </w:r>
      <w:r w:rsidR="009613C5" w:rsidRPr="00C55152">
        <w:t>,</w:t>
      </w:r>
      <w:r w:rsidRPr="00C55152">
        <w:t xml:space="preserve"> 59 Cal.App.5th 1136</w:t>
      </w:r>
      <w:r>
        <w:t>.</w:t>
      </w:r>
      <w:r w:rsidR="00657DB3">
        <w:t xml:space="preserve">  There, the Court of Appeal</w:t>
      </w:r>
      <w:r w:rsidR="00FD75E8" w:rsidRPr="00FD75E8">
        <w:t xml:space="preserve"> </w:t>
      </w:r>
      <w:r w:rsidR="00262AFF">
        <w:t>addressed an argument by the People that “</w:t>
      </w:r>
      <w:r w:rsidR="00262AFF" w:rsidRPr="00262AFF">
        <w:t xml:space="preserve">a defendant who has been certified by </w:t>
      </w:r>
      <w:r w:rsidR="00262AFF" w:rsidRPr="00262AFF">
        <w:lastRenderedPageBreak/>
        <w:t xml:space="preserve">state authorities to be competent and returned to court pursuant to section 1372 </w:t>
      </w:r>
      <w:r w:rsidR="003D6155">
        <w:t>‘</w:t>
      </w:r>
      <w:r w:rsidR="00262AFF" w:rsidRPr="00262AFF">
        <w:t xml:space="preserve">is no longer </w:t>
      </w:r>
      <w:r w:rsidR="003D6155">
        <w:t>“</w:t>
      </w:r>
      <w:r w:rsidR="00262AFF" w:rsidRPr="00262AFF">
        <w:t>committed</w:t>
      </w:r>
      <w:r w:rsidR="003D6155">
        <w:t>”</w:t>
      </w:r>
      <w:r w:rsidR="00262AFF" w:rsidRPr="00262AFF">
        <w:t xml:space="preserve"> for purposes of calculating the maximum period</w:t>
      </w:r>
      <w:r w:rsidR="003D6155">
        <w:t>’</w:t>
      </w:r>
      <w:r w:rsidR="00262AFF" w:rsidRPr="00262AFF">
        <w:t xml:space="preserve"> of commitment.</w:t>
      </w:r>
      <w:r w:rsidR="003D6155">
        <w:t>”  (</w:t>
      </w:r>
      <w:r w:rsidR="003D6155" w:rsidRPr="003D6155">
        <w:rPr>
          <w:i/>
          <w:iCs/>
        </w:rPr>
        <w:t>Id</w:t>
      </w:r>
      <w:r w:rsidR="003D6155">
        <w:t>. at p. 1144.)</w:t>
      </w:r>
      <w:r w:rsidR="006667DB">
        <w:t xml:space="preserve">  </w:t>
      </w:r>
      <w:r w:rsidR="00DB56A8">
        <w:t xml:space="preserve">As </w:t>
      </w:r>
      <w:r>
        <w:t xml:space="preserve">Rodriguez’s </w:t>
      </w:r>
      <w:r w:rsidR="002A313D">
        <w:t xml:space="preserve">claim of trial court error </w:t>
      </w:r>
      <w:r>
        <w:t>depend</w:t>
      </w:r>
      <w:r w:rsidR="002A313D">
        <w:t>s</w:t>
      </w:r>
      <w:r>
        <w:t xml:space="preserve"> </w:t>
      </w:r>
      <w:r w:rsidR="00ED55B7">
        <w:t>almost</w:t>
      </w:r>
      <w:r>
        <w:t xml:space="preserve"> entirely upon </w:t>
      </w:r>
      <w:r w:rsidRPr="00C55152">
        <w:rPr>
          <w:i/>
          <w:iCs/>
        </w:rPr>
        <w:t>Carr</w:t>
      </w:r>
      <w:r w:rsidR="00707C68" w:rsidRPr="00C55152">
        <w:rPr>
          <w:i/>
          <w:iCs/>
        </w:rPr>
        <w:t xml:space="preserve"> II</w:t>
      </w:r>
      <w:r w:rsidRPr="00C55152">
        <w:t>,</w:t>
      </w:r>
      <w:r>
        <w:t xml:space="preserve"> we describe both the procedural background of the case and </w:t>
      </w:r>
      <w:r w:rsidR="003C4323">
        <w:t>its</w:t>
      </w:r>
      <w:r>
        <w:t xml:space="preserve"> </w:t>
      </w:r>
      <w:r w:rsidR="00803E7D">
        <w:t>legal analysis</w:t>
      </w:r>
      <w:r>
        <w:t xml:space="preserve">. </w:t>
      </w:r>
    </w:p>
    <w:p w14:paraId="7713A884" w14:textId="76EDBAB4" w:rsidR="00AB0CA6" w:rsidRPr="00C55152" w:rsidRDefault="0053713C" w:rsidP="007A44E1">
      <w:r>
        <w:t xml:space="preserve">In </w:t>
      </w:r>
      <w:r w:rsidRPr="00C55152">
        <w:rPr>
          <w:i/>
          <w:iCs/>
        </w:rPr>
        <w:t>Carr</w:t>
      </w:r>
      <w:r w:rsidR="00707C68" w:rsidRPr="00C55152">
        <w:rPr>
          <w:i/>
          <w:iCs/>
        </w:rPr>
        <w:t xml:space="preserve"> II</w:t>
      </w:r>
      <w:r w:rsidRPr="00C55152">
        <w:t>,</w:t>
      </w:r>
      <w:r>
        <w:t xml:space="preserve"> t</w:t>
      </w:r>
      <w:r w:rsidR="00657DB3">
        <w:t>he</w:t>
      </w:r>
      <w:r w:rsidR="006667DB">
        <w:t xml:space="preserve"> </w:t>
      </w:r>
      <w:r w:rsidR="000A6075">
        <w:t xml:space="preserve">trial court </w:t>
      </w:r>
      <w:r>
        <w:t xml:space="preserve">had </w:t>
      </w:r>
      <w:r w:rsidR="000A6075">
        <w:t xml:space="preserve">committed </w:t>
      </w:r>
      <w:r w:rsidR="00F34151">
        <w:t xml:space="preserve">the </w:t>
      </w:r>
      <w:r w:rsidR="006667DB">
        <w:t>defendant to a treatment facility as incompetent to stand trial</w:t>
      </w:r>
      <w:r w:rsidR="000A6075">
        <w:t xml:space="preserve"> under section 1370.1</w:t>
      </w:r>
      <w:r w:rsidR="00470002">
        <w:t>,</w:t>
      </w:r>
      <w:r w:rsidR="00F345D4">
        <w:t xml:space="preserve"> which </w:t>
      </w:r>
      <w:r w:rsidR="00F345D4" w:rsidRPr="00F345D4">
        <w:t>applies to an</w:t>
      </w:r>
      <w:r w:rsidR="00792A91">
        <w:t>y</w:t>
      </w:r>
      <w:r w:rsidR="00F345D4" w:rsidRPr="00F345D4">
        <w:t xml:space="preserve"> incompetent defendant who has “a developmental disability” (§§ 1367, subd. (b), 1370.1, subd. (a)(1)(B)</w:t>
      </w:r>
      <w:r w:rsidR="00470002">
        <w:t>)</w:t>
      </w:r>
      <w:r w:rsidR="006667DB">
        <w:t xml:space="preserve">.  </w:t>
      </w:r>
      <w:r w:rsidR="006667DB" w:rsidRPr="00127C2D">
        <w:t>Several months later</w:t>
      </w:r>
      <w:r w:rsidR="000A6075" w:rsidRPr="00127C2D">
        <w:t>,</w:t>
      </w:r>
      <w:r w:rsidR="006667DB" w:rsidRPr="00127C2D">
        <w:t xml:space="preserve"> a DSH psychiatrist certified </w:t>
      </w:r>
      <w:r w:rsidR="00F34151" w:rsidRPr="00127C2D">
        <w:t xml:space="preserve">the </w:t>
      </w:r>
      <w:r w:rsidR="006667DB" w:rsidRPr="00127C2D">
        <w:t xml:space="preserve">defendant was competent.  </w:t>
      </w:r>
      <w:r w:rsidR="00F34151" w:rsidRPr="00127C2D">
        <w:t xml:space="preserve">The defendant </w:t>
      </w:r>
      <w:r w:rsidR="006667DB" w:rsidRPr="00127C2D">
        <w:t>filed a petition</w:t>
      </w:r>
      <w:r w:rsidR="006667DB">
        <w:t xml:space="preserve"> for writ of mandate in the Court of Appeal challenging the certification of competency.</w:t>
      </w:r>
      <w:r w:rsidR="007A44E1">
        <w:t xml:space="preserve">  </w:t>
      </w:r>
      <w:r w:rsidR="007A44E1" w:rsidRPr="00C55152">
        <w:t>(</w:t>
      </w:r>
      <w:r w:rsidR="007A44E1" w:rsidRPr="00C55152">
        <w:rPr>
          <w:i/>
          <w:iCs/>
        </w:rPr>
        <w:t>Carr II</w:t>
      </w:r>
      <w:r w:rsidR="007A44E1" w:rsidRPr="00C55152">
        <w:t xml:space="preserve">, </w:t>
      </w:r>
      <w:r w:rsidR="007A44E1" w:rsidRPr="00C55152">
        <w:rPr>
          <w:i/>
          <w:iCs/>
        </w:rPr>
        <w:t>supra</w:t>
      </w:r>
      <w:r w:rsidR="007A44E1" w:rsidRPr="00C55152">
        <w:t>, 59 Cal.App.5th at pp. 1140–1141.)</w:t>
      </w:r>
      <w:r w:rsidR="006667DB" w:rsidRPr="00C55152">
        <w:t xml:space="preserve">  The Court of Appeal denied the petition</w:t>
      </w:r>
      <w:r w:rsidR="001271A8" w:rsidRPr="00C55152">
        <w:t>.</w:t>
      </w:r>
      <w:r w:rsidR="007A44E1" w:rsidRPr="00C55152">
        <w:t xml:space="preserve">  (</w:t>
      </w:r>
      <w:r w:rsidR="007A44E1" w:rsidRPr="00C55152">
        <w:rPr>
          <w:i/>
          <w:iCs/>
        </w:rPr>
        <w:t>Carr v. Superior Court</w:t>
      </w:r>
      <w:r w:rsidR="007A44E1" w:rsidRPr="00C55152">
        <w:t xml:space="preserve"> (2017) 11 Cal.App.5th 264</w:t>
      </w:r>
      <w:r w:rsidR="003B1160" w:rsidRPr="00C55152">
        <w:t>, 267</w:t>
      </w:r>
      <w:r w:rsidR="007A44E1" w:rsidRPr="00C55152">
        <w:t>.)</w:t>
      </w:r>
      <w:r w:rsidR="006667DB">
        <w:t xml:space="preserve"> </w:t>
      </w:r>
      <w:r w:rsidR="001271A8">
        <w:t xml:space="preserve"> T</w:t>
      </w:r>
      <w:r w:rsidR="006667DB">
        <w:t xml:space="preserve">he trial court then held a hearing on whether </w:t>
      </w:r>
      <w:r w:rsidR="00F34151">
        <w:t xml:space="preserve">the </w:t>
      </w:r>
      <w:r w:rsidR="006667DB">
        <w:t xml:space="preserve">defendant had </w:t>
      </w:r>
      <w:r w:rsidR="006667DB" w:rsidRPr="00C55152">
        <w:t>been restored</w:t>
      </w:r>
      <w:r w:rsidR="001271A8" w:rsidRPr="00C55152">
        <w:t xml:space="preserve"> to competence and found </w:t>
      </w:r>
      <w:r w:rsidR="00FA7E48" w:rsidRPr="00C55152">
        <w:t xml:space="preserve">the </w:t>
      </w:r>
      <w:r w:rsidR="001271A8" w:rsidRPr="00C55152">
        <w:t>defendant</w:t>
      </w:r>
      <w:r w:rsidR="000A6075" w:rsidRPr="00C55152">
        <w:t xml:space="preserve"> to be</w:t>
      </w:r>
      <w:r w:rsidR="001271A8" w:rsidRPr="00C55152">
        <w:t xml:space="preserve"> incompetent.  </w:t>
      </w:r>
      <w:r w:rsidR="00FA7E48" w:rsidRPr="00C55152">
        <w:t>(</w:t>
      </w:r>
      <w:r w:rsidR="00FA7E48" w:rsidRPr="00C55152">
        <w:rPr>
          <w:i/>
          <w:iCs/>
        </w:rPr>
        <w:t>Carr</w:t>
      </w:r>
      <w:r w:rsidR="00707C68" w:rsidRPr="00C55152">
        <w:rPr>
          <w:i/>
          <w:iCs/>
        </w:rPr>
        <w:t xml:space="preserve"> II</w:t>
      </w:r>
      <w:r w:rsidR="00FA7E48" w:rsidRPr="00C55152">
        <w:t xml:space="preserve">, at </w:t>
      </w:r>
      <w:r w:rsidR="006F6415" w:rsidRPr="00C55152">
        <w:t>p</w:t>
      </w:r>
      <w:r w:rsidR="00FA7E48" w:rsidRPr="00C55152">
        <w:t>.</w:t>
      </w:r>
      <w:r w:rsidR="00C1500C" w:rsidRPr="00C55152">
        <w:t> 1141</w:t>
      </w:r>
      <w:r w:rsidR="00FA7E48" w:rsidRPr="00C55152">
        <w:t>.)</w:t>
      </w:r>
    </w:p>
    <w:p w14:paraId="4C29C6C9" w14:textId="6F6B24DA" w:rsidR="006667DB" w:rsidRDefault="0053713C" w:rsidP="00AB0CA6">
      <w:r w:rsidRPr="00C55152">
        <w:t>After finding the defendant, who, as described above, was subject to a developmental disability, as incompeten</w:t>
      </w:r>
      <w:r w:rsidRPr="00C55152">
        <w:t xml:space="preserve">t, the </w:t>
      </w:r>
      <w:r w:rsidR="001271A8" w:rsidRPr="00C55152">
        <w:t xml:space="preserve">trial court again committed </w:t>
      </w:r>
      <w:r w:rsidR="00E37E1E" w:rsidRPr="00C55152">
        <w:t>him</w:t>
      </w:r>
      <w:r w:rsidR="001271A8" w:rsidRPr="00C55152">
        <w:t xml:space="preserve"> to a treatment facility.  A few months later, </w:t>
      </w:r>
      <w:r w:rsidR="00FA7E48" w:rsidRPr="00C55152">
        <w:t xml:space="preserve">the </w:t>
      </w:r>
      <w:r w:rsidR="001271A8" w:rsidRPr="00C55152">
        <w:t xml:space="preserve">defendant moved for release on the ground he had </w:t>
      </w:r>
      <w:r w:rsidR="00F345D4" w:rsidRPr="00C55152">
        <w:t>reached</w:t>
      </w:r>
      <w:r w:rsidR="001271A8" w:rsidRPr="00C55152">
        <w:t xml:space="preserve"> the maximum commitment authorized by law.  The trial court denied the motion concluding that the certification of competency </w:t>
      </w:r>
      <w:r w:rsidR="000A6075" w:rsidRPr="00C55152">
        <w:t xml:space="preserve">had </w:t>
      </w:r>
      <w:r w:rsidRPr="00C55152">
        <w:t>“</w:t>
      </w:r>
      <w:r w:rsidR="001271A8" w:rsidRPr="00C55152">
        <w:t>tolled</w:t>
      </w:r>
      <w:r w:rsidRPr="00C55152">
        <w:t>”</w:t>
      </w:r>
      <w:r w:rsidR="001271A8" w:rsidRPr="00C55152">
        <w:t xml:space="preserve"> </w:t>
      </w:r>
      <w:r w:rsidR="00FA7E48" w:rsidRPr="00C55152">
        <w:t xml:space="preserve">the </w:t>
      </w:r>
      <w:r w:rsidR="00F345D4" w:rsidRPr="00C55152">
        <w:t>defendant’s</w:t>
      </w:r>
      <w:r w:rsidR="001271A8" w:rsidRPr="00C55152">
        <w:t xml:space="preserve"> commitment period.  </w:t>
      </w:r>
      <w:r w:rsidR="00127C2D" w:rsidRPr="00C55152">
        <w:t>(</w:t>
      </w:r>
      <w:r w:rsidR="00127C2D" w:rsidRPr="00C55152">
        <w:rPr>
          <w:i/>
          <w:iCs/>
        </w:rPr>
        <w:t>Carr II</w:t>
      </w:r>
      <w:r w:rsidR="00127C2D" w:rsidRPr="00C55152">
        <w:t xml:space="preserve">, </w:t>
      </w:r>
      <w:r w:rsidR="00127C2D" w:rsidRPr="00C55152">
        <w:rPr>
          <w:i/>
          <w:iCs/>
        </w:rPr>
        <w:t>supra</w:t>
      </w:r>
      <w:r w:rsidR="00127C2D" w:rsidRPr="00C55152">
        <w:t xml:space="preserve">, 59 Cal.App.5th at p. 1141.)  </w:t>
      </w:r>
      <w:r w:rsidR="00FA7E48" w:rsidRPr="00C55152">
        <w:t xml:space="preserve">The defendant </w:t>
      </w:r>
      <w:r w:rsidR="001271A8" w:rsidRPr="00C55152">
        <w:t>then filed a petition for writ of habeas corpus</w:t>
      </w:r>
      <w:r w:rsidR="00792A91" w:rsidRPr="00C55152">
        <w:t xml:space="preserve"> in the trial court</w:t>
      </w:r>
      <w:r w:rsidR="001271A8" w:rsidRPr="00C55152">
        <w:t>, again asserting that he had exceeded the maximum commitment period set forth in section 1370.1, subdivision (c)(1).</w:t>
      </w:r>
      <w:r>
        <w:rPr>
          <w:rStyle w:val="FootnoteReference"/>
          <w:b/>
          <w:bCs/>
        </w:rPr>
        <w:footnoteReference w:id="16"/>
      </w:r>
      <w:r w:rsidR="006F6415" w:rsidRPr="00C55152">
        <w:t xml:space="preserve">  (</w:t>
      </w:r>
      <w:r w:rsidR="006F6415" w:rsidRPr="00C55152">
        <w:rPr>
          <w:i/>
          <w:iCs/>
        </w:rPr>
        <w:t>Carr</w:t>
      </w:r>
      <w:r w:rsidR="00707C68" w:rsidRPr="00C55152">
        <w:rPr>
          <w:i/>
          <w:iCs/>
        </w:rPr>
        <w:t xml:space="preserve"> II</w:t>
      </w:r>
      <w:r w:rsidR="006F6415" w:rsidRPr="00C55152">
        <w:t>, at p</w:t>
      </w:r>
      <w:r w:rsidR="00127C2D" w:rsidRPr="00C55152">
        <w:t>p</w:t>
      </w:r>
      <w:r w:rsidR="006F6415" w:rsidRPr="00C55152">
        <w:t>. 1141</w:t>
      </w:r>
      <w:r w:rsidR="00127C2D" w:rsidRPr="00C55152">
        <w:t>–1142</w:t>
      </w:r>
      <w:r w:rsidR="006F6415" w:rsidRPr="00C55152">
        <w:t>.)</w:t>
      </w:r>
      <w:r w:rsidR="000B5B53">
        <w:t xml:space="preserve">  </w:t>
      </w:r>
      <w:r w:rsidR="00E239FD">
        <w:t xml:space="preserve">The trial court </w:t>
      </w:r>
      <w:r w:rsidR="00D41B08">
        <w:t xml:space="preserve">rejected the People’s </w:t>
      </w:r>
      <w:r w:rsidR="00BE3F04">
        <w:t xml:space="preserve">contention that </w:t>
      </w:r>
      <w:r w:rsidR="00BE3F04">
        <w:lastRenderedPageBreak/>
        <w:t xml:space="preserve">the </w:t>
      </w:r>
      <w:r w:rsidR="00D41B08">
        <w:t>“</w:t>
      </w:r>
      <w:r w:rsidR="00BE3F04" w:rsidRPr="00BE3F04">
        <w:t xml:space="preserve">certification of competency </w:t>
      </w:r>
      <w:r w:rsidR="00D41B08">
        <w:t>terminated [</w:t>
      </w:r>
      <w:r w:rsidR="00E37E1E">
        <w:t xml:space="preserve">the </w:t>
      </w:r>
      <w:r w:rsidR="00D41B08">
        <w:t>defendant’s] commitment</w:t>
      </w:r>
      <w:r w:rsidR="00E239FD">
        <w:t xml:space="preserve"> </w:t>
      </w:r>
      <w:r w:rsidR="00D41B08">
        <w:t xml:space="preserve">and thereby tolled” the maximum commitment period.  </w:t>
      </w:r>
      <w:r w:rsidR="00127C2D">
        <w:t>(</w:t>
      </w:r>
      <w:r w:rsidR="00127C2D" w:rsidRPr="00720B35">
        <w:rPr>
          <w:i/>
          <w:iCs/>
        </w:rPr>
        <w:t>Id</w:t>
      </w:r>
      <w:r w:rsidR="00127C2D">
        <w:t xml:space="preserve">. at p. 1142.)  </w:t>
      </w:r>
      <w:r w:rsidR="00D41B08">
        <w:t xml:space="preserve">The court ruled </w:t>
      </w:r>
      <w:r w:rsidR="00E239FD">
        <w:t xml:space="preserve">that the period between the certification of </w:t>
      </w:r>
      <w:r w:rsidR="00720B35">
        <w:t>the</w:t>
      </w:r>
      <w:r w:rsidR="00E37E1E">
        <w:t xml:space="preserve"> </w:t>
      </w:r>
      <w:r w:rsidR="00D41B08">
        <w:t xml:space="preserve">defendant’s </w:t>
      </w:r>
      <w:r w:rsidR="00E239FD">
        <w:t>competenc</w:t>
      </w:r>
      <w:r w:rsidR="00D41B08">
        <w:t>y</w:t>
      </w:r>
      <w:r w:rsidR="00E239FD">
        <w:t xml:space="preserve"> and </w:t>
      </w:r>
      <w:r w:rsidR="00BE3F04">
        <w:t>it</w:t>
      </w:r>
      <w:r w:rsidR="00E239FD">
        <w:t xml:space="preserve">s </w:t>
      </w:r>
      <w:r w:rsidR="00D41B08">
        <w:t xml:space="preserve">subsequent </w:t>
      </w:r>
      <w:r w:rsidR="00E239FD">
        <w:t xml:space="preserve">determination that </w:t>
      </w:r>
      <w:r w:rsidR="00E37E1E">
        <w:t xml:space="preserve">the </w:t>
      </w:r>
      <w:r w:rsidR="00D41B08">
        <w:t xml:space="preserve">defendant </w:t>
      </w:r>
      <w:r w:rsidR="00BE3F04">
        <w:t>remained</w:t>
      </w:r>
      <w:r w:rsidR="00D41B08">
        <w:t xml:space="preserve"> incompetent “ ‘did indeed count </w:t>
      </w:r>
      <w:r w:rsidR="00075A2E">
        <w:t>as part of the “commitment” for purposes of calculating [</w:t>
      </w:r>
      <w:r w:rsidR="00E37E1E">
        <w:t xml:space="preserve">the </w:t>
      </w:r>
      <w:r w:rsidR="00075A2E">
        <w:t>defendant’s] maximum commitment time.’ ”</w:t>
      </w:r>
      <w:r w:rsidR="00BC6F07">
        <w:t xml:space="preserve">  </w:t>
      </w:r>
      <w:r w:rsidR="00127C2D">
        <w:t>(</w:t>
      </w:r>
      <w:r w:rsidR="00127C2D" w:rsidRPr="00CC67DE">
        <w:rPr>
          <w:i/>
          <w:iCs/>
        </w:rPr>
        <w:t>Ibid</w:t>
      </w:r>
      <w:r w:rsidR="00127C2D">
        <w:t xml:space="preserve">.)  </w:t>
      </w:r>
      <w:r w:rsidR="00792A91">
        <w:t>Additionally, t</w:t>
      </w:r>
      <w:r w:rsidR="00BC6F07">
        <w:t>he trial court</w:t>
      </w:r>
      <w:r w:rsidR="00BE3F04">
        <w:t xml:space="preserve"> </w:t>
      </w:r>
      <w:r w:rsidR="00BC6F07">
        <w:t xml:space="preserve">ordered that </w:t>
      </w:r>
      <w:r w:rsidR="00E37E1E">
        <w:t xml:space="preserve">the </w:t>
      </w:r>
      <w:r w:rsidR="00BC6F07">
        <w:t>defendant remain confined in local custody</w:t>
      </w:r>
      <w:r w:rsidR="00816B7E">
        <w:t xml:space="preserve"> pending investigation of alternative civil commitment proceedings.</w:t>
      </w:r>
      <w:r w:rsidR="00E239FD">
        <w:t xml:space="preserve"> </w:t>
      </w:r>
      <w:r>
        <w:t xml:space="preserve"> (</w:t>
      </w:r>
      <w:r w:rsidR="00127C2D" w:rsidRPr="00747C4A">
        <w:rPr>
          <w:i/>
          <w:iCs/>
        </w:rPr>
        <w:t>Ibid</w:t>
      </w:r>
      <w:r w:rsidR="00127C2D">
        <w:t>.</w:t>
      </w:r>
      <w:r>
        <w:t>)</w:t>
      </w:r>
      <w:r w:rsidR="001271A8">
        <w:t xml:space="preserve">  </w:t>
      </w:r>
    </w:p>
    <w:p w14:paraId="1EC2081D" w14:textId="0822FF92" w:rsidR="00EF7692" w:rsidRPr="00C55152" w:rsidRDefault="0053713C" w:rsidP="00D24512">
      <w:r w:rsidRPr="00C55152">
        <w:t>On appeal, t</w:t>
      </w:r>
      <w:r w:rsidR="0076094E" w:rsidRPr="00C55152">
        <w:t xml:space="preserve">he Court of Appeal </w:t>
      </w:r>
      <w:r w:rsidR="00E239FD" w:rsidRPr="00C55152">
        <w:t xml:space="preserve">affirmed the trial court, </w:t>
      </w:r>
      <w:r w:rsidR="00FD75E8" w:rsidRPr="00C55152">
        <w:t>conclud</w:t>
      </w:r>
      <w:r w:rsidR="00E239FD" w:rsidRPr="00C55152">
        <w:t>ing</w:t>
      </w:r>
      <w:r w:rsidR="00FD75E8" w:rsidRPr="00C55152">
        <w:t xml:space="preserve"> that the “relevant statutes do not explicitly state the point at which an incompetency commitment ends, but the statutory language and the case law . . . clearly indicate that the certificate of competency serves only to initiate proceedings by which the court will hear and decide the question of the defendant’s competency.</w:t>
      </w:r>
      <w:r w:rsidR="007516E2" w:rsidRPr="00C55152">
        <w:t>”</w:t>
      </w:r>
      <w:r w:rsidR="0076094E" w:rsidRPr="00C55152">
        <w:t xml:space="preserve">  (</w:t>
      </w:r>
      <w:r w:rsidR="00E37E1E" w:rsidRPr="00C55152">
        <w:rPr>
          <w:i/>
          <w:iCs/>
        </w:rPr>
        <w:t>Carr</w:t>
      </w:r>
      <w:r w:rsidR="00707C68" w:rsidRPr="00C55152">
        <w:rPr>
          <w:i/>
          <w:iCs/>
        </w:rPr>
        <w:t xml:space="preserve"> II</w:t>
      </w:r>
      <w:r w:rsidR="00E37E1E" w:rsidRPr="00C55152">
        <w:t xml:space="preserve">, </w:t>
      </w:r>
      <w:r w:rsidR="00E37E1E" w:rsidRPr="00C55152">
        <w:rPr>
          <w:i/>
          <w:iCs/>
        </w:rPr>
        <w:t>supra</w:t>
      </w:r>
      <w:r w:rsidR="00E37E1E" w:rsidRPr="00C55152">
        <w:t>, 59 Cal.App.5th at p.</w:t>
      </w:r>
      <w:r w:rsidR="00720B35" w:rsidRPr="00C55152">
        <w:t> 1144.</w:t>
      </w:r>
      <w:r w:rsidR="0076094E" w:rsidRPr="00C55152">
        <w:t>)</w:t>
      </w:r>
      <w:r w:rsidR="00FD75E8" w:rsidRPr="00C55152">
        <w:t xml:space="preserve"> </w:t>
      </w:r>
      <w:r w:rsidR="00866D1E" w:rsidRPr="00C55152">
        <w:t xml:space="preserve"> Further, the </w:t>
      </w:r>
      <w:r w:rsidRPr="00C55152">
        <w:t xml:space="preserve">appellate </w:t>
      </w:r>
      <w:r w:rsidR="00866D1E" w:rsidRPr="00C55152">
        <w:t>court indicated its agreement with the trial court</w:t>
      </w:r>
      <w:r w:rsidRPr="00C55152">
        <w:t>’s</w:t>
      </w:r>
      <w:r w:rsidR="00866D1E" w:rsidRPr="00C55152">
        <w:t xml:space="preserve"> </w:t>
      </w:r>
      <w:r w:rsidR="00493776" w:rsidRPr="00C55152">
        <w:t>conclusion</w:t>
      </w:r>
      <w:r w:rsidRPr="00C55152">
        <w:t xml:space="preserve"> </w:t>
      </w:r>
      <w:r w:rsidR="00866D1E" w:rsidRPr="00C55152">
        <w:t>“that the filing of a certificate of competency did not terminat</w:t>
      </w:r>
      <w:r w:rsidR="00BE6DA9" w:rsidRPr="00C55152">
        <w:t>e</w:t>
      </w:r>
      <w:r w:rsidR="00866D1E" w:rsidRPr="00C55152">
        <w:t xml:space="preserve"> the defendant’s commitment so as to prevent the three-year maximum commitment term from accruing.”  (</w:t>
      </w:r>
      <w:r w:rsidR="00866D1E" w:rsidRPr="00C55152">
        <w:rPr>
          <w:i/>
          <w:iCs/>
        </w:rPr>
        <w:t>Id</w:t>
      </w:r>
      <w:r w:rsidR="00866D1E" w:rsidRPr="00C55152">
        <w:t xml:space="preserve">. at p. 1140; see also </w:t>
      </w:r>
      <w:r w:rsidR="00866D1E" w:rsidRPr="00C55152">
        <w:rPr>
          <w:i/>
          <w:iCs/>
        </w:rPr>
        <w:t>id</w:t>
      </w:r>
      <w:r w:rsidR="00866D1E" w:rsidRPr="00C55152">
        <w:t xml:space="preserve">. at p. </w:t>
      </w:r>
      <w:r w:rsidR="00A64AA8" w:rsidRPr="00C55152">
        <w:t>1147</w:t>
      </w:r>
      <w:r w:rsidR="008440A5" w:rsidRPr="00C55152">
        <w:t xml:space="preserve">; </w:t>
      </w:r>
      <w:r w:rsidR="009A32D6" w:rsidRPr="00C55152">
        <w:rPr>
          <w:i/>
          <w:iCs/>
        </w:rPr>
        <w:t>Medina</w:t>
      </w:r>
      <w:r w:rsidR="00F00D5D" w:rsidRPr="00C55152">
        <w:t xml:space="preserve">, </w:t>
      </w:r>
      <w:r w:rsidR="00F00D5D" w:rsidRPr="00C55152">
        <w:rPr>
          <w:i/>
          <w:iCs/>
        </w:rPr>
        <w:t>supra</w:t>
      </w:r>
      <w:r w:rsidR="00F00D5D" w:rsidRPr="00C55152">
        <w:t>,</w:t>
      </w:r>
      <w:r w:rsidR="009A32D6" w:rsidRPr="00C55152">
        <w:t xml:space="preserve"> 65 Cal.App.5th </w:t>
      </w:r>
      <w:r w:rsidR="00F00D5D" w:rsidRPr="00C55152">
        <w:t>at p.</w:t>
      </w:r>
      <w:r w:rsidR="009A32D6" w:rsidRPr="00C55152">
        <w:t xml:space="preserve"> 1207, citing </w:t>
      </w:r>
      <w:r w:rsidR="009A32D6" w:rsidRPr="00C55152">
        <w:rPr>
          <w:i/>
          <w:iCs/>
        </w:rPr>
        <w:t>Carr</w:t>
      </w:r>
      <w:r w:rsidR="00707C68" w:rsidRPr="00C55152">
        <w:rPr>
          <w:i/>
          <w:iCs/>
        </w:rPr>
        <w:t xml:space="preserve"> </w:t>
      </w:r>
      <w:r w:rsidR="005B0B75" w:rsidRPr="00C55152">
        <w:rPr>
          <w:i/>
          <w:iCs/>
        </w:rPr>
        <w:t>II</w:t>
      </w:r>
      <w:r w:rsidR="009A32D6" w:rsidRPr="00C55152">
        <w:t xml:space="preserve">, at p. 1143 </w:t>
      </w:r>
      <w:r w:rsidR="00493776" w:rsidRPr="00C55152">
        <w:t>[</w:t>
      </w:r>
      <w:r w:rsidR="00A5671B" w:rsidRPr="00C55152">
        <w:t>“</w:t>
      </w:r>
      <w:r w:rsidR="009A32D6" w:rsidRPr="00C55152">
        <w:t>T</w:t>
      </w:r>
      <w:r w:rsidR="00A5671B" w:rsidRPr="00C55152">
        <w:t>he filing of the certificate of restoration does not establish competence but initiates court proceedings to determine whether the defendant’s competency has been restored.”</w:t>
      </w:r>
      <w:r w:rsidR="009A32D6" w:rsidRPr="00C55152">
        <w:t>]</w:t>
      </w:r>
      <w:r w:rsidR="00A5671B" w:rsidRPr="00C55152">
        <w:t>.)</w:t>
      </w:r>
    </w:p>
    <w:p w14:paraId="012F9954" w14:textId="2143AEF5" w:rsidR="001876A9" w:rsidRDefault="0053713C" w:rsidP="005A309D">
      <w:r w:rsidRPr="00C55152">
        <w:lastRenderedPageBreak/>
        <w:t xml:space="preserve">We do not agree </w:t>
      </w:r>
      <w:r w:rsidR="003C4323" w:rsidRPr="00C55152">
        <w:t>that</w:t>
      </w:r>
      <w:r w:rsidR="00485B53" w:rsidRPr="00C55152">
        <w:t xml:space="preserve"> </w:t>
      </w:r>
      <w:r w:rsidRPr="00C55152">
        <w:rPr>
          <w:i/>
          <w:iCs/>
        </w:rPr>
        <w:t>Carr</w:t>
      </w:r>
      <w:r w:rsidR="005B0B75" w:rsidRPr="00C55152">
        <w:rPr>
          <w:i/>
          <w:iCs/>
        </w:rPr>
        <w:t xml:space="preserve"> II</w:t>
      </w:r>
      <w:r w:rsidR="003C4323" w:rsidRPr="00C55152">
        <w:rPr>
          <w:i/>
          <w:iCs/>
        </w:rPr>
        <w:t xml:space="preserve"> </w:t>
      </w:r>
      <w:r w:rsidR="003C4323" w:rsidRPr="00C55152">
        <w:t>requires reversal of the trial court’s order</w:t>
      </w:r>
      <w:r w:rsidRPr="00C55152">
        <w:rPr>
          <w:i/>
          <w:iCs/>
        </w:rPr>
        <w:t xml:space="preserve">.  </w:t>
      </w:r>
      <w:r w:rsidR="00DB5349" w:rsidRPr="00C55152">
        <w:t xml:space="preserve">Under the facts </w:t>
      </w:r>
      <w:r w:rsidR="00B23789" w:rsidRPr="00C55152">
        <w:t xml:space="preserve">in </w:t>
      </w:r>
      <w:r w:rsidR="007E57D8" w:rsidRPr="00C55152">
        <w:t>t</w:t>
      </w:r>
      <w:r w:rsidRPr="00C55152">
        <w:t>his case</w:t>
      </w:r>
      <w:r w:rsidR="00DB5349" w:rsidRPr="00C55152">
        <w:t xml:space="preserve">, we conclude </w:t>
      </w:r>
      <w:r w:rsidR="00DB5349" w:rsidRPr="00C55152">
        <w:rPr>
          <w:i/>
          <w:iCs/>
        </w:rPr>
        <w:t>Carr</w:t>
      </w:r>
      <w:r w:rsidR="005B0B75" w:rsidRPr="00C55152">
        <w:rPr>
          <w:i/>
          <w:iCs/>
        </w:rPr>
        <w:t xml:space="preserve"> II</w:t>
      </w:r>
      <w:r w:rsidR="00DB5349" w:rsidRPr="00C55152">
        <w:t xml:space="preserve"> is not dispositive</w:t>
      </w:r>
      <w:r w:rsidRPr="00C55152">
        <w:t>,</w:t>
      </w:r>
      <w:r w:rsidR="00313620" w:rsidRPr="00C55152">
        <w:t xml:space="preserve"> and </w:t>
      </w:r>
      <w:r w:rsidRPr="00C55152">
        <w:t xml:space="preserve">we </w:t>
      </w:r>
      <w:r w:rsidR="00313620" w:rsidRPr="00C55152">
        <w:t xml:space="preserve">decline to </w:t>
      </w:r>
      <w:r w:rsidR="00304832" w:rsidRPr="00C55152">
        <w:t>adopt its reasoning</w:t>
      </w:r>
      <w:r w:rsidR="00DB5349" w:rsidRPr="00C55152">
        <w:t>.</w:t>
      </w:r>
      <w:r w:rsidR="00464218" w:rsidRPr="00C55152">
        <w:t xml:space="preserve">  </w:t>
      </w:r>
      <w:r w:rsidRPr="00C55152">
        <w:t xml:space="preserve">We </w:t>
      </w:r>
      <w:r w:rsidR="00C55152">
        <w:t xml:space="preserve">respectfully </w:t>
      </w:r>
      <w:r w:rsidRPr="00C55152">
        <w:t xml:space="preserve">disagree with the </w:t>
      </w:r>
      <w:r w:rsidRPr="00C55152">
        <w:rPr>
          <w:i/>
          <w:iCs/>
        </w:rPr>
        <w:t>Carr</w:t>
      </w:r>
      <w:r w:rsidR="005B0B75" w:rsidRPr="00C55152">
        <w:rPr>
          <w:i/>
          <w:iCs/>
        </w:rPr>
        <w:t xml:space="preserve"> II</w:t>
      </w:r>
      <w:r w:rsidRPr="00C55152">
        <w:rPr>
          <w:i/>
          <w:iCs/>
        </w:rPr>
        <w:t xml:space="preserve"> </w:t>
      </w:r>
      <w:r w:rsidRPr="00C55152">
        <w:t>court’s</w:t>
      </w:r>
      <w:r>
        <w:t xml:space="preserve"> </w:t>
      </w:r>
      <w:r w:rsidR="00485B53">
        <w:t xml:space="preserve">rejection </w:t>
      </w:r>
      <w:r>
        <w:t xml:space="preserve">of the significance of the certification of restoration with respect to calculation of the two-year </w:t>
      </w:r>
      <w:r w:rsidR="00B23789">
        <w:t xml:space="preserve">commitment </w:t>
      </w:r>
      <w:r>
        <w:t>per</w:t>
      </w:r>
      <w:r>
        <w:t>iod under section 1</w:t>
      </w:r>
      <w:r w:rsidR="00A611E8">
        <w:t>3</w:t>
      </w:r>
      <w:r>
        <w:t>70(c)</w:t>
      </w:r>
      <w:r w:rsidR="00A611E8">
        <w:t>(1)</w:t>
      </w:r>
      <w:r>
        <w:t xml:space="preserve">.  </w:t>
      </w:r>
      <w:r w:rsidR="00485B53">
        <w:t>O</w:t>
      </w:r>
      <w:r w:rsidR="00464218">
        <w:t>ur Supreme Court has stated</w:t>
      </w:r>
      <w:r w:rsidR="00B121CE">
        <w:t xml:space="preserve"> that</w:t>
      </w:r>
      <w:r w:rsidR="00464218">
        <w:t xml:space="preserve"> </w:t>
      </w:r>
      <w:r w:rsidR="005E29F2">
        <w:t>when a certificate of res</w:t>
      </w:r>
      <w:r w:rsidR="00F9470E">
        <w:t xml:space="preserve">toration is filed, </w:t>
      </w:r>
      <w:r w:rsidR="002146BE">
        <w:t>it</w:t>
      </w:r>
      <w:r w:rsidR="00DF0072">
        <w:t xml:space="preserve"> “</w:t>
      </w:r>
      <w:r w:rsidR="00DF0072" w:rsidRPr="00F84F3F">
        <w:t>has legal force and effect in and of itself</w:t>
      </w:r>
      <w:r w:rsidR="00DF0072">
        <w:t>” (</w:t>
      </w:r>
      <w:r w:rsidR="00DF0072" w:rsidRPr="005E29F2">
        <w:rPr>
          <w:i/>
          <w:iCs/>
        </w:rPr>
        <w:t>Rells</w:t>
      </w:r>
      <w:r w:rsidR="00DF0072">
        <w:t xml:space="preserve">, </w:t>
      </w:r>
      <w:r w:rsidR="00DF0072" w:rsidRPr="005E29F2">
        <w:rPr>
          <w:i/>
          <w:iCs/>
        </w:rPr>
        <w:t>supra</w:t>
      </w:r>
      <w:r w:rsidR="00DF0072">
        <w:t>, 22 Cal.4th at p. 868)</w:t>
      </w:r>
      <w:r w:rsidR="005729FA">
        <w:t>,</w:t>
      </w:r>
      <w:r w:rsidR="00DF0072">
        <w:t xml:space="preserve"> and </w:t>
      </w:r>
      <w:r w:rsidR="00803E7D">
        <w:t xml:space="preserve">the filing of the certificate triggers </w:t>
      </w:r>
      <w:r w:rsidR="00464218">
        <w:t xml:space="preserve">a presumption </w:t>
      </w:r>
      <w:r w:rsidR="00DF0072">
        <w:t>of</w:t>
      </w:r>
      <w:r w:rsidR="00464218">
        <w:t xml:space="preserve"> mental competen</w:t>
      </w:r>
      <w:r w:rsidR="00A611E8">
        <w:t>cy</w:t>
      </w:r>
      <w:r w:rsidR="00464218">
        <w:t xml:space="preserve"> </w:t>
      </w:r>
      <w:r w:rsidR="00F9470E">
        <w:t>under section 1372</w:t>
      </w:r>
      <w:r w:rsidR="00464218">
        <w:t>.  (</w:t>
      </w:r>
      <w:r w:rsidR="00F9470E">
        <w:t xml:space="preserve">See </w:t>
      </w:r>
      <w:r w:rsidR="006B096E" w:rsidRPr="005E29F2">
        <w:rPr>
          <w:i/>
          <w:iCs/>
        </w:rPr>
        <w:t>Rells</w:t>
      </w:r>
      <w:r w:rsidR="006B096E">
        <w:t>,</w:t>
      </w:r>
      <w:r w:rsidR="005E29F2">
        <w:t xml:space="preserve"> </w:t>
      </w:r>
      <w:r w:rsidR="00464218">
        <w:t>at p</w:t>
      </w:r>
      <w:r w:rsidR="005E29F2">
        <w:t>p</w:t>
      </w:r>
      <w:r w:rsidR="00464218">
        <w:t>.</w:t>
      </w:r>
      <w:r w:rsidR="005E29F2">
        <w:t> 867–871</w:t>
      </w:r>
      <w:r w:rsidR="00464218">
        <w:t>.)</w:t>
      </w:r>
      <w:r w:rsidR="00F84F3F">
        <w:t xml:space="preserve">  </w:t>
      </w:r>
      <w:r w:rsidR="002A313D">
        <w:t>As describe</w:t>
      </w:r>
      <w:r w:rsidR="00A611E8">
        <w:t>d</w:t>
      </w:r>
      <w:r w:rsidR="002A313D">
        <w:t xml:space="preserve"> further below, we decide the legal force and effect of the restoration certificate</w:t>
      </w:r>
      <w:r w:rsidR="00803E7D">
        <w:t xml:space="preserve"> for a defendant who has been treated </w:t>
      </w:r>
      <w:r w:rsidR="003C4323">
        <w:t>at a</w:t>
      </w:r>
      <w:r w:rsidR="00803E7D">
        <w:t xml:space="preserve"> commitment facility</w:t>
      </w:r>
      <w:r w:rsidR="002A313D">
        <w:t xml:space="preserve"> includes the fixing of the end date for calculation </w:t>
      </w:r>
      <w:r w:rsidR="000B5BC7">
        <w:t xml:space="preserve">of </w:t>
      </w:r>
      <w:r w:rsidR="002A313D">
        <w:t>the commitment treatment period under section 137</w:t>
      </w:r>
      <w:r w:rsidR="00A611E8">
        <w:t>0</w:t>
      </w:r>
      <w:r w:rsidR="002A313D">
        <w:t>(c)</w:t>
      </w:r>
      <w:r w:rsidR="00A611E8">
        <w:t>(1)</w:t>
      </w:r>
      <w:r w:rsidR="002A313D">
        <w:t>.</w:t>
      </w:r>
    </w:p>
    <w:p w14:paraId="1C3CB87F" w14:textId="16603CC1" w:rsidR="001876A9" w:rsidRDefault="0053713C" w:rsidP="005A309D">
      <w:r>
        <w:t xml:space="preserve">The court in </w:t>
      </w:r>
      <w:r w:rsidRPr="00C55152">
        <w:rPr>
          <w:i/>
          <w:iCs/>
        </w:rPr>
        <w:t>Carr</w:t>
      </w:r>
      <w:r w:rsidR="005B0B75" w:rsidRPr="00C55152">
        <w:rPr>
          <w:i/>
          <w:iCs/>
        </w:rPr>
        <w:t xml:space="preserve"> II</w:t>
      </w:r>
      <w:r w:rsidRPr="00C55152">
        <w:t xml:space="preserve"> questioned the “purpose [to] be served in requiring [a] court to approve the certification </w:t>
      </w:r>
      <w:r w:rsidR="00E00641" w:rsidRPr="00C55152">
        <w:t xml:space="preserve">as expressly contemplated </w:t>
      </w:r>
      <w:r w:rsidRPr="00C55152">
        <w:t xml:space="preserve">in section 1372, subdivision (d)” </w:t>
      </w:r>
      <w:r w:rsidR="005A309D" w:rsidRPr="00C55152">
        <w:t>“</w:t>
      </w:r>
      <w:r w:rsidRPr="00C55152">
        <w:t>if the commitment terminates when a health official files a certification of competence.”  (</w:t>
      </w:r>
      <w:r w:rsidRPr="00C55152">
        <w:rPr>
          <w:i/>
          <w:iCs/>
        </w:rPr>
        <w:t>Carr</w:t>
      </w:r>
      <w:r w:rsidR="005B0B75" w:rsidRPr="00C55152">
        <w:rPr>
          <w:i/>
          <w:iCs/>
        </w:rPr>
        <w:t xml:space="preserve"> II</w:t>
      </w:r>
      <w:r w:rsidRPr="00C55152">
        <w:t xml:space="preserve">, </w:t>
      </w:r>
      <w:r w:rsidRPr="00C55152">
        <w:rPr>
          <w:i/>
          <w:iCs/>
        </w:rPr>
        <w:t>supra</w:t>
      </w:r>
      <w:r w:rsidRPr="00C55152">
        <w:t>, 59 Cal.App.5th at p. 1145.)</w:t>
      </w:r>
      <w:r w:rsidR="00511F9D" w:rsidRPr="00C55152">
        <w:t xml:space="preserve">  </w:t>
      </w:r>
      <w:r w:rsidR="002A313D" w:rsidRPr="00C55152">
        <w:t xml:space="preserve">We </w:t>
      </w:r>
      <w:r w:rsidR="00D17530">
        <w:t xml:space="preserve">respectfully </w:t>
      </w:r>
      <w:r w:rsidR="002A313D" w:rsidRPr="00C55152">
        <w:t xml:space="preserve">disagree with </w:t>
      </w:r>
      <w:r w:rsidR="002A313D" w:rsidRPr="00C55152">
        <w:rPr>
          <w:i/>
          <w:iCs/>
        </w:rPr>
        <w:t>Carr</w:t>
      </w:r>
      <w:r w:rsidR="005B0B75" w:rsidRPr="00C55152">
        <w:rPr>
          <w:i/>
          <w:iCs/>
        </w:rPr>
        <w:t xml:space="preserve"> II</w:t>
      </w:r>
      <w:r w:rsidR="002A313D" w:rsidRPr="00C55152">
        <w:t xml:space="preserve"> that the section 1372</w:t>
      </w:r>
      <w:r w:rsidR="00A611E8" w:rsidRPr="00C55152">
        <w:t xml:space="preserve">, subdivision </w:t>
      </w:r>
      <w:r w:rsidR="002A313D" w:rsidRPr="00C55152">
        <w:t>(d) language</w:t>
      </w:r>
      <w:r w:rsidR="00803E7D" w:rsidRPr="00C55152">
        <w:t xml:space="preserve"> referencing court approval</w:t>
      </w:r>
      <w:r w:rsidR="002A313D" w:rsidRPr="00C55152">
        <w:t xml:space="preserve"> is dispositive</w:t>
      </w:r>
      <w:r w:rsidR="008520B7" w:rsidRPr="00C55152">
        <w:t>.  T</w:t>
      </w:r>
      <w:r w:rsidR="002A313D" w:rsidRPr="00C55152">
        <w:t xml:space="preserve">he issuance of the restoration certificate and the subsequent court hearing have distinct statutory objectives </w:t>
      </w:r>
      <w:r w:rsidR="00A611E8" w:rsidRPr="00C55152">
        <w:t>i</w:t>
      </w:r>
      <w:r w:rsidR="00511F9D" w:rsidRPr="00C55152">
        <w:t xml:space="preserve">n </w:t>
      </w:r>
      <w:r w:rsidR="002A313D" w:rsidRPr="00C55152">
        <w:t>light of the overall competency statutory scheme</w:t>
      </w:r>
      <w:r w:rsidR="00CE63BF" w:rsidRPr="00C55152">
        <w:t>,</w:t>
      </w:r>
      <w:r w:rsidR="008520B7" w:rsidRPr="00C55152">
        <w:t xml:space="preserve"> and</w:t>
      </w:r>
      <w:r w:rsidR="00803E7D" w:rsidRPr="00C55152">
        <w:t xml:space="preserve"> we reject the </w:t>
      </w:r>
      <w:r w:rsidR="00803E7D" w:rsidRPr="00C55152">
        <w:rPr>
          <w:i/>
          <w:iCs/>
        </w:rPr>
        <w:t>Carr</w:t>
      </w:r>
      <w:r w:rsidR="005B0B75" w:rsidRPr="00C55152">
        <w:rPr>
          <w:i/>
          <w:iCs/>
        </w:rPr>
        <w:t xml:space="preserve"> II</w:t>
      </w:r>
      <w:r w:rsidR="00803E7D" w:rsidRPr="00C55152">
        <w:t xml:space="preserve"> court’s exclusive focus on the judicial determination of restoration of competency</w:t>
      </w:r>
      <w:r w:rsidR="00803E7D">
        <w:t xml:space="preserve">. </w:t>
      </w:r>
      <w:r w:rsidR="00511F9D">
        <w:t xml:space="preserve"> </w:t>
      </w:r>
    </w:p>
    <w:p w14:paraId="36A19A27" w14:textId="5B0B0923" w:rsidR="001876A9" w:rsidRDefault="0053713C" w:rsidP="00D12FD3">
      <w:r>
        <w:t xml:space="preserve">The incompetency scheme’s </w:t>
      </w:r>
      <w:r w:rsidR="002146BE">
        <w:t xml:space="preserve">overall </w:t>
      </w:r>
      <w:r>
        <w:t>“purpose is restoration of a specific mental state without which the criminal process cannot proceed.”  (</w:t>
      </w:r>
      <w:r w:rsidRPr="00D12FD3">
        <w:rPr>
          <w:i/>
          <w:iCs/>
        </w:rPr>
        <w:t>Wat</w:t>
      </w:r>
      <w:r w:rsidRPr="00D12FD3">
        <w:rPr>
          <w:i/>
          <w:iCs/>
        </w:rPr>
        <w:t>erman</w:t>
      </w:r>
      <w:r>
        <w:t xml:space="preserve">, </w:t>
      </w:r>
      <w:r>
        <w:rPr>
          <w:i/>
          <w:iCs/>
        </w:rPr>
        <w:t>supra</w:t>
      </w:r>
      <w:r>
        <w:t xml:space="preserve">, 42 Cal.3d at p. 569.)  </w:t>
      </w:r>
      <w:r w:rsidR="002146BE">
        <w:t>More specifically</w:t>
      </w:r>
      <w:r>
        <w:t xml:space="preserve">, the </w:t>
      </w:r>
      <w:r w:rsidR="00F84F3F">
        <w:t xml:space="preserve">commitment </w:t>
      </w:r>
      <w:r w:rsidR="00A611E8">
        <w:t xml:space="preserve">of an incompetent defendant </w:t>
      </w:r>
      <w:r w:rsidR="00F84F3F">
        <w:t xml:space="preserve">is </w:t>
      </w:r>
      <w:r w:rsidR="002146BE">
        <w:t xml:space="preserve">intended to provide </w:t>
      </w:r>
      <w:r w:rsidR="00F84F3F">
        <w:t xml:space="preserve">treatment to </w:t>
      </w:r>
      <w:r w:rsidR="005406EF">
        <w:t>“</w:t>
      </w:r>
      <w:r w:rsidR="005406EF" w:rsidRPr="00221110">
        <w:t>promote the defendant</w:t>
      </w:r>
      <w:r w:rsidR="005406EF">
        <w:t>’</w:t>
      </w:r>
      <w:r w:rsidR="005406EF" w:rsidRPr="00221110">
        <w:t>s speedy restoration to mental competence</w:t>
      </w:r>
      <w:r w:rsidR="005E2933">
        <w:t>.</w:t>
      </w:r>
      <w:r w:rsidR="005406EF">
        <w:t>” (§ 1370, subd. (a)(1)(B)(i)</w:t>
      </w:r>
      <w:r>
        <w:t>; see also</w:t>
      </w:r>
      <w:r w:rsidR="005406EF">
        <w:t xml:space="preserve"> </w:t>
      </w:r>
      <w:r w:rsidR="005406EF" w:rsidRPr="00620728">
        <w:rPr>
          <w:i/>
          <w:iCs/>
        </w:rPr>
        <w:t>Taitano</w:t>
      </w:r>
      <w:r w:rsidR="005406EF">
        <w:t xml:space="preserve">, </w:t>
      </w:r>
      <w:r w:rsidR="005406EF" w:rsidRPr="00620728">
        <w:rPr>
          <w:i/>
          <w:iCs/>
        </w:rPr>
        <w:t>supra</w:t>
      </w:r>
      <w:r w:rsidR="005406EF">
        <w:t>, 13 Cal.App.5th at p. 244.)</w:t>
      </w:r>
      <w:r>
        <w:t xml:space="preserve"> </w:t>
      </w:r>
    </w:p>
    <w:p w14:paraId="59E05B2B" w14:textId="1E284C34" w:rsidR="00803E7D" w:rsidRDefault="0053713C" w:rsidP="00D12FD3">
      <w:r>
        <w:t xml:space="preserve">Rodriguez does not point to any information in the record demonstrating that he is still receiving treatment for the purpose of restoring his </w:t>
      </w:r>
      <w:r w:rsidR="005E2933">
        <w:t>competence</w:t>
      </w:r>
      <w:r>
        <w:t>.</w:t>
      </w:r>
      <w:r w:rsidR="00B47403">
        <w:t xml:space="preserve">  Although </w:t>
      </w:r>
      <w:r>
        <w:t>a</w:t>
      </w:r>
      <w:r w:rsidR="00B47403">
        <w:t xml:space="preserve"> </w:t>
      </w:r>
      <w:r w:rsidR="00B47403">
        <w:lastRenderedPageBreak/>
        <w:t xml:space="preserve">defendant may, at the discretion of the court after it approves the certificate of restoration, be provided “continued treatment . . . in order to maintain competence to stand trial” (§ 1372, subd. (e)), the statute does not include a mechanism for the provision of treatment </w:t>
      </w:r>
      <w:r w:rsidR="000D15F6">
        <w:t>to alleviate in</w:t>
      </w:r>
      <w:r w:rsidR="00491A99">
        <w:t>competence</w:t>
      </w:r>
      <w:r w:rsidR="00B47403">
        <w:t xml:space="preserve"> after the certification </w:t>
      </w:r>
      <w:r w:rsidR="00491A99">
        <w:t>is filed</w:t>
      </w:r>
      <w:r w:rsidR="003122A1">
        <w:t>.</w:t>
      </w:r>
      <w:r w:rsidR="000D15F6">
        <w:t xml:space="preserve">  In fact, a defendant must be “returned to the committing court no later than 10 days following the filing of a certificate of restoration.”  (§ 1372, subd. (a)(3)(C).)</w:t>
      </w:r>
      <w:r w:rsidR="003122A1">
        <w:t xml:space="preserve">  </w:t>
      </w:r>
    </w:p>
    <w:p w14:paraId="70CFB3F8" w14:textId="5612F808" w:rsidR="003122A1" w:rsidRDefault="0053713C" w:rsidP="00D12FD3">
      <w:r>
        <w:t xml:space="preserve">Because </w:t>
      </w:r>
      <w:r w:rsidR="00485B53">
        <w:t>Rodriguez</w:t>
      </w:r>
      <w:r>
        <w:t xml:space="preserve"> is no longer receiving treatment to </w:t>
      </w:r>
      <w:r w:rsidR="00491A99">
        <w:t>restore</w:t>
      </w:r>
      <w:r>
        <w:t xml:space="preserve"> comp</w:t>
      </w:r>
      <w:r>
        <w:t>etence,</w:t>
      </w:r>
      <w:r w:rsidR="00485B53">
        <w:t xml:space="preserve"> and because he is presumed to be competent by operation of the filing of the certificate of restoration,</w:t>
      </w:r>
      <w:r>
        <w:t xml:space="preserve"> </w:t>
      </w:r>
      <w:r w:rsidR="000D15F6">
        <w:t xml:space="preserve">we conclude </w:t>
      </w:r>
      <w:r>
        <w:t xml:space="preserve">the period </w:t>
      </w:r>
      <w:r w:rsidR="00AC55C1">
        <w:t>when the defendant is returned to court after having been certified as competent but before the trial court makes its own determination of compe</w:t>
      </w:r>
      <w:r w:rsidR="001876A9">
        <w:t>t</w:t>
      </w:r>
      <w:r w:rsidR="00AC55C1">
        <w:t xml:space="preserve">ency </w:t>
      </w:r>
      <w:r w:rsidR="001876A9">
        <w:t xml:space="preserve">does </w:t>
      </w:r>
      <w:r>
        <w:t>not count toward the two-year maximum commitment period referenced in section 1370(c)(1).</w:t>
      </w:r>
      <w:r w:rsidR="00040218">
        <w:t xml:space="preserve">  </w:t>
      </w:r>
    </w:p>
    <w:p w14:paraId="30C23E72" w14:textId="79C1B4AD" w:rsidR="00C55152" w:rsidRDefault="0053713C" w:rsidP="00D12FD3">
      <w:r>
        <w:t>We express no opinion whether a different analysis would apply if there were evidence that Rodriguez had wrongfully been denied t</w:t>
      </w:r>
      <w:r>
        <w:t xml:space="preserve">reatment </w:t>
      </w:r>
      <w:r w:rsidR="00BA64CC">
        <w:t xml:space="preserve">to restore competence </w:t>
      </w:r>
      <w:r>
        <w:t xml:space="preserve">or if he were not transported to and from the treatment facility in a timely manner.  (Cf. </w:t>
      </w:r>
      <w:r w:rsidRPr="00B23789">
        <w:rPr>
          <w:i/>
          <w:iCs/>
        </w:rPr>
        <w:t>Medina</w:t>
      </w:r>
      <w:r>
        <w:t xml:space="preserve">, </w:t>
      </w:r>
      <w:r>
        <w:rPr>
          <w:i/>
          <w:iCs/>
        </w:rPr>
        <w:t>supra</w:t>
      </w:r>
      <w:r>
        <w:t>,</w:t>
      </w:r>
      <w:r w:rsidRPr="00B23789">
        <w:rPr>
          <w:i/>
          <w:iCs/>
        </w:rPr>
        <w:t xml:space="preserve"> </w:t>
      </w:r>
      <w:r w:rsidRPr="007E57D8">
        <w:t xml:space="preserve">65 Cal.App.5th </w:t>
      </w:r>
      <w:r>
        <w:t>at p. 1203 [“</w:t>
      </w:r>
      <w:r w:rsidRPr="007E57D8">
        <w:t>In the usual case, only days actually spent in commitment at a mental institution or treatm</w:t>
      </w:r>
      <w:r w:rsidRPr="007E57D8">
        <w:t xml:space="preserve">ent facility are applied to the maximum commitment period. </w:t>
      </w:r>
      <w:r>
        <w:t xml:space="preserve"> </w:t>
      </w:r>
      <w:r w:rsidRPr="007E57D8">
        <w:t xml:space="preserve">But this case is unusual: </w:t>
      </w:r>
      <w:r>
        <w:t xml:space="preserve"> </w:t>
      </w:r>
      <w:r w:rsidRPr="007E57D8">
        <w:t>Medina has been denied the treatment to which he is legally entitled—and the ability to accrue time toward the maximum commitment period—because the providers of service</w:t>
      </w:r>
      <w:r w:rsidRPr="007E57D8">
        <w:t>s have not fulfilled their obligations</w:t>
      </w:r>
      <w:r>
        <w:t xml:space="preserve">.”].)  We recognize that, on different facts, due process considerations may </w:t>
      </w:r>
      <w:r w:rsidR="00D17530">
        <w:t>compel a different result</w:t>
      </w:r>
      <w:r w:rsidR="007543A9">
        <w:t>.</w:t>
      </w:r>
      <w:r w:rsidR="00D17530">
        <w:t xml:space="preserve">  (See </w:t>
      </w:r>
      <w:r w:rsidR="00D17530" w:rsidRPr="00ED1153">
        <w:rPr>
          <w:i/>
          <w:iCs/>
        </w:rPr>
        <w:t>id</w:t>
      </w:r>
      <w:r w:rsidR="00D17530">
        <w:t>. at p. 1229 [“</w:t>
      </w:r>
      <w:r w:rsidR="00D17530" w:rsidRPr="00D17530">
        <w:t xml:space="preserve">Medina has not received the treatment to which he is legally entitled, due to the actions of the RCOC, the DDS, and the DSH. </w:t>
      </w:r>
      <w:r w:rsidR="00D17530">
        <w:t xml:space="preserve">. . . </w:t>
      </w:r>
      <w:r w:rsidR="00D17530" w:rsidRPr="00D17530">
        <w:t>Under these circumstances, applying only days actually spent in treatment at a facility toward the maximum confinement period of three years would violate due process.</w:t>
      </w:r>
      <w:r w:rsidR="00D17530">
        <w:t xml:space="preserve">”].)  There is no evidence of such </w:t>
      </w:r>
      <w:r w:rsidR="0050061C">
        <w:t>failures to comply with statutory mandates</w:t>
      </w:r>
      <w:r w:rsidR="00D17530">
        <w:t xml:space="preserve"> here. </w:t>
      </w:r>
      <w:r>
        <w:t xml:space="preserve"> </w:t>
      </w:r>
    </w:p>
    <w:p w14:paraId="29050246" w14:textId="1AD58EBE" w:rsidR="00B47108" w:rsidRDefault="0053713C" w:rsidP="005F4F3D">
      <w:r>
        <w:lastRenderedPageBreak/>
        <w:t xml:space="preserve">Our interpretation </w:t>
      </w:r>
      <w:r w:rsidR="00D17530">
        <w:t xml:space="preserve">of section 1370(c)(1) </w:t>
      </w:r>
      <w:r>
        <w:t>accords with the legislative history of recent amendments to section 1370.  W</w:t>
      </w:r>
      <w:r w:rsidR="00925913">
        <w:t>hen section 1370(c)(1) was amended in 2018 to reduce the maximum commitment period from three years to two</w:t>
      </w:r>
      <w:r w:rsidR="00D408BD">
        <w:t xml:space="preserve"> years</w:t>
      </w:r>
      <w:r w:rsidR="00925913">
        <w:t>, the Legislative Counsel’s Digest</w:t>
      </w:r>
      <w:r w:rsidR="005F4F3D">
        <w:t xml:space="preserve"> stated that the “bill would </w:t>
      </w:r>
      <w:r w:rsidR="005F4F3D" w:rsidRPr="005F4F3D">
        <w:t xml:space="preserve">reduce the term for </w:t>
      </w:r>
      <w:r w:rsidR="005F4F3D" w:rsidRPr="005F4F3D">
        <w:rPr>
          <w:i/>
          <w:iCs/>
        </w:rPr>
        <w:t>commitment to a treatment facility</w:t>
      </w:r>
      <w:r w:rsidR="005F4F3D" w:rsidRPr="005F4F3D">
        <w:t xml:space="preserve"> when a felony was committed to the shorter of 2 years or the period of commitment equal to the maximum term of imprisonment provided by law for the most serious offense charged</w:t>
      </w:r>
      <w:r w:rsidR="005F4F3D">
        <w:t>.”</w:t>
      </w:r>
      <w:r w:rsidR="00925913">
        <w:t xml:space="preserve"> </w:t>
      </w:r>
      <w:r w:rsidR="005F4F3D">
        <w:t xml:space="preserve"> </w:t>
      </w:r>
      <w:r w:rsidR="00925913" w:rsidRPr="00925913">
        <w:t xml:space="preserve">(See </w:t>
      </w:r>
      <w:r w:rsidR="00925913">
        <w:t>Stats. 2018, ch. 1008, § 2</w:t>
      </w:r>
      <w:r w:rsidR="003B72AD">
        <w:t xml:space="preserve"> [Senate Bill No. 1187 (2017-2018 Reg. Sess.)]</w:t>
      </w:r>
      <w:r w:rsidR="00925913" w:rsidRPr="00925913">
        <w:t>, Legis</w:t>
      </w:r>
      <w:r w:rsidR="004D3C40">
        <w:t>.</w:t>
      </w:r>
      <w:r w:rsidR="00925913" w:rsidRPr="00925913">
        <w:t xml:space="preserve"> Counsel</w:t>
      </w:r>
      <w:r w:rsidR="004645D1">
        <w:t>’</w:t>
      </w:r>
      <w:r w:rsidR="00925913" w:rsidRPr="00925913">
        <w:t>s Dig</w:t>
      </w:r>
      <w:r w:rsidR="004D3C40">
        <w:t>.</w:t>
      </w:r>
      <w:r w:rsidR="00925913" w:rsidRPr="00925913">
        <w:t xml:space="preserve">, </w:t>
      </w:r>
      <w:r w:rsidR="004D3C40">
        <w:t>par.</w:t>
      </w:r>
      <w:r w:rsidR="00925913" w:rsidRPr="00925913">
        <w:t xml:space="preserve"> </w:t>
      </w:r>
      <w:r w:rsidR="005F4F3D">
        <w:t>2</w:t>
      </w:r>
      <w:r w:rsidR="00925913" w:rsidRPr="00925913">
        <w:t xml:space="preserve"> of initial recitals</w:t>
      </w:r>
      <w:r w:rsidR="005F4F3D">
        <w:t>, italics added</w:t>
      </w:r>
      <w:r w:rsidR="00925913" w:rsidRPr="00925913">
        <w:t>.)</w:t>
      </w:r>
      <w:r w:rsidR="005F4F3D">
        <w:t xml:space="preserve">  “Although the Legislative Counsel’s summaries are not binding [citation], they are entitled to great weight.  [Citation.]  ‘It is reasonable to presume that the Legislature amended those sections with the intent and meaning expressed in the Legislative Counsel</w:t>
      </w:r>
      <w:r w:rsidR="00841322">
        <w:t>’</w:t>
      </w:r>
      <w:r w:rsidR="005F4F3D">
        <w:t>s digest.</w:t>
      </w:r>
      <w:r w:rsidR="00841322">
        <w:t>’ </w:t>
      </w:r>
      <w:r w:rsidR="005F4F3D">
        <w:t>”</w:t>
      </w:r>
      <w:r w:rsidR="00841322">
        <w:t xml:space="preserve">  (</w:t>
      </w:r>
      <w:r w:rsidR="00841322" w:rsidRPr="00841322">
        <w:rPr>
          <w:i/>
          <w:iCs/>
        </w:rPr>
        <w:t>Jones v. Lodge at Torrey Pines Partnership</w:t>
      </w:r>
      <w:r w:rsidR="00841322">
        <w:t xml:space="preserve"> (2008) 42 Cal.4th 1158, 1170.)  </w:t>
      </w:r>
      <w:r w:rsidR="005832EF">
        <w:t>Th</w:t>
      </w:r>
      <w:r w:rsidR="004645D1">
        <w:t>e</w:t>
      </w:r>
      <w:r w:rsidR="005832EF">
        <w:t xml:space="preserve"> </w:t>
      </w:r>
      <w:r w:rsidR="004645D1">
        <w:t xml:space="preserve">Legislative Counsel’s </w:t>
      </w:r>
      <w:r w:rsidR="005832EF">
        <w:t>language supports our conclusion</w:t>
      </w:r>
      <w:r w:rsidR="005F4F3D">
        <w:t xml:space="preserve"> that when the Legislature </w:t>
      </w:r>
      <w:r w:rsidR="00841322">
        <w:t>reduced the commitment period to two years,</w:t>
      </w:r>
      <w:r w:rsidR="005F4F3D">
        <w:t xml:space="preserve"> it intended </w:t>
      </w:r>
      <w:r w:rsidR="00841322">
        <w:t>the</w:t>
      </w:r>
      <w:r w:rsidR="002803E4">
        <w:t xml:space="preserve"> two-year</w:t>
      </w:r>
      <w:r w:rsidR="00841322">
        <w:t xml:space="preserve"> period to cover </w:t>
      </w:r>
      <w:r w:rsidR="00D408BD">
        <w:t xml:space="preserve">only </w:t>
      </w:r>
      <w:r w:rsidR="00841322">
        <w:t xml:space="preserve">the time the defendant </w:t>
      </w:r>
      <w:r w:rsidR="00D408BD">
        <w:t xml:space="preserve">actually </w:t>
      </w:r>
      <w:r w:rsidR="00841322">
        <w:t>receives treatment to restore his or her competence</w:t>
      </w:r>
      <w:r w:rsidR="00D408BD">
        <w:t xml:space="preserve">, not </w:t>
      </w:r>
      <w:r w:rsidR="005832EF">
        <w:t>to the entire period before</w:t>
      </w:r>
      <w:r w:rsidR="00D408BD">
        <w:t xml:space="preserve"> the trial court’s approval of the certification of restoration to competence</w:t>
      </w:r>
      <w:r w:rsidR="00841322">
        <w:t>.</w:t>
      </w:r>
      <w:r w:rsidR="00D408BD">
        <w:t xml:space="preserve">  </w:t>
      </w:r>
    </w:p>
    <w:p w14:paraId="1E9A2C82" w14:textId="7D498BE0" w:rsidR="007B323A" w:rsidRDefault="0053713C" w:rsidP="008E3A0E">
      <w:r>
        <w:t xml:space="preserve">Our </w:t>
      </w:r>
      <w:r w:rsidR="005832EF">
        <w:t xml:space="preserve">decision </w:t>
      </w:r>
      <w:r>
        <w:t xml:space="preserve">that </w:t>
      </w:r>
      <w:r w:rsidR="00D17530">
        <w:t xml:space="preserve">Rodriguez’s </w:t>
      </w:r>
      <w:r>
        <w:t xml:space="preserve">commitment period </w:t>
      </w:r>
      <w:r w:rsidR="00DC59AC">
        <w:t xml:space="preserve">under section 1370(c)(1) </w:t>
      </w:r>
      <w:r w:rsidR="005E3B93">
        <w:t>did</w:t>
      </w:r>
      <w:r w:rsidR="00D17530">
        <w:t xml:space="preserve"> </w:t>
      </w:r>
      <w:r>
        <w:t xml:space="preserve">not </w:t>
      </w:r>
      <w:r w:rsidR="002A313D">
        <w:t xml:space="preserve">continue to run </w:t>
      </w:r>
      <w:r>
        <w:t>after the certification</w:t>
      </w:r>
      <w:r w:rsidR="00016300">
        <w:t xml:space="preserve"> </w:t>
      </w:r>
      <w:r w:rsidR="002A313D">
        <w:t xml:space="preserve">of restoration </w:t>
      </w:r>
      <w:r w:rsidR="00F6168C">
        <w:t>t</w:t>
      </w:r>
      <w:r w:rsidR="002A313D">
        <w:t>o competenc</w:t>
      </w:r>
      <w:r w:rsidR="00D52DB5">
        <w:t>e</w:t>
      </w:r>
      <w:r w:rsidR="002A313D">
        <w:t xml:space="preserve"> </w:t>
      </w:r>
      <w:r w:rsidR="00D17530">
        <w:t xml:space="preserve">was </w:t>
      </w:r>
      <w:r w:rsidR="00016300">
        <w:t>filed</w:t>
      </w:r>
      <w:r>
        <w:t xml:space="preserve"> </w:t>
      </w:r>
      <w:r w:rsidR="00DC4C25">
        <w:t xml:space="preserve">also </w:t>
      </w:r>
      <w:r w:rsidR="008E3A0E">
        <w:t>accords with</w:t>
      </w:r>
      <w:r w:rsidR="0021547E">
        <w:t xml:space="preserve"> </w:t>
      </w:r>
      <w:r w:rsidR="00826997">
        <w:t xml:space="preserve">conclusions reached by </w:t>
      </w:r>
      <w:r w:rsidR="0021547E">
        <w:t>o</w:t>
      </w:r>
      <w:r w:rsidR="001143E7">
        <w:t>ther courts</w:t>
      </w:r>
      <w:r w:rsidR="008E3A0E">
        <w:t xml:space="preserve"> </w:t>
      </w:r>
      <w:r w:rsidR="00826997">
        <w:t>that</w:t>
      </w:r>
      <w:r w:rsidR="008E3A0E">
        <w:t xml:space="preserve"> </w:t>
      </w:r>
      <w:r w:rsidR="00826997">
        <w:t xml:space="preserve">have </w:t>
      </w:r>
      <w:r w:rsidR="007822C2">
        <w:t>discussed</w:t>
      </w:r>
      <w:r w:rsidR="00826997">
        <w:t xml:space="preserve"> the commitment period in other contexts</w:t>
      </w:r>
      <w:r w:rsidR="001143E7">
        <w:t xml:space="preserve">.  </w:t>
      </w:r>
      <w:r w:rsidR="001876A9">
        <w:t xml:space="preserve">A number of courts have concluded that the period </w:t>
      </w:r>
      <w:r w:rsidR="001876A9">
        <w:rPr>
          <w:i/>
          <w:iCs/>
        </w:rPr>
        <w:t xml:space="preserve">before </w:t>
      </w:r>
      <w:r w:rsidR="001876A9">
        <w:t xml:space="preserve">a defendant is committed for treatment for restoration of competency should not count toward the maximum confinement period for restoration of competency.  </w:t>
      </w:r>
      <w:r w:rsidR="001143E7">
        <w:t xml:space="preserve">For example, in </w:t>
      </w:r>
      <w:r w:rsidR="001143E7" w:rsidRPr="000B6542">
        <w:rPr>
          <w:i/>
          <w:iCs/>
        </w:rPr>
        <w:t>G.H.</w:t>
      </w:r>
      <w:r w:rsidR="0021547E">
        <w:t xml:space="preserve">, </w:t>
      </w:r>
      <w:r w:rsidR="0021547E">
        <w:rPr>
          <w:i/>
          <w:iCs/>
        </w:rPr>
        <w:t>supra</w:t>
      </w:r>
      <w:r w:rsidR="0021547E">
        <w:t xml:space="preserve">, </w:t>
      </w:r>
      <w:r w:rsidR="001143E7" w:rsidRPr="00991AE7">
        <w:t xml:space="preserve">230 Cal.App.4th 1548, </w:t>
      </w:r>
      <w:r w:rsidR="0021547E">
        <w:t>the Court of Appeal</w:t>
      </w:r>
      <w:r w:rsidR="001143E7">
        <w:t xml:space="preserve"> </w:t>
      </w:r>
      <w:r w:rsidR="008E3A0E">
        <w:t xml:space="preserve">stated:  “The Legislature enacted section 1370 with the purpose of providing treatment to mentally incompetent persons in order to restore their competency, not as a form of punishment.  As such, where a defendant is charged with crimes wherein the maximum term of confinement exceeds the </w:t>
      </w:r>
      <w:r w:rsidR="008E3A0E">
        <w:lastRenderedPageBreak/>
        <w:t>three-year period of confinement, a defendant is not entitled to have his or her precommitment credits deducted from his or her maximum term of confinement.”  (</w:t>
      </w:r>
      <w:r w:rsidR="008E3A0E" w:rsidRPr="008E3A0E">
        <w:rPr>
          <w:i/>
          <w:iCs/>
        </w:rPr>
        <w:t>Id</w:t>
      </w:r>
      <w:r w:rsidR="008E3A0E">
        <w:t>. at p. 1559.)</w:t>
      </w:r>
      <w:r w:rsidR="00826997">
        <w:t xml:space="preserve">  Additionally, in </w:t>
      </w:r>
      <w:r w:rsidR="001143E7" w:rsidRPr="00884654">
        <w:rPr>
          <w:i/>
          <w:iCs/>
        </w:rPr>
        <w:t>People v. Reynolds</w:t>
      </w:r>
      <w:r w:rsidR="001143E7" w:rsidRPr="00884654">
        <w:t xml:space="preserve"> (2011) 196 Cal.App.4th 801</w:t>
      </w:r>
      <w:r w:rsidR="00D12FD3">
        <w:t xml:space="preserve">, the </w:t>
      </w:r>
      <w:r w:rsidR="00CF507E">
        <w:t>C</w:t>
      </w:r>
      <w:r w:rsidR="00D12FD3">
        <w:t xml:space="preserve">ourt of </w:t>
      </w:r>
      <w:r w:rsidR="00CF507E">
        <w:t>A</w:t>
      </w:r>
      <w:r w:rsidR="00D12FD3">
        <w:t>ppeal concluded that,</w:t>
      </w:r>
      <w:r w:rsidR="001143E7">
        <w:t xml:space="preserve"> “[i]</w:t>
      </w:r>
      <w:r w:rsidR="001143E7" w:rsidRPr="00884654">
        <w:t>n determining whether defendant</w:t>
      </w:r>
      <w:r w:rsidR="001143E7">
        <w:t>’</w:t>
      </w:r>
      <w:r w:rsidR="001143E7" w:rsidRPr="00884654">
        <w:t xml:space="preserve">s previous confinement exceeded the maximum three-year period, the </w:t>
      </w:r>
      <w:r w:rsidR="00D12FD3">
        <w:t xml:space="preserve">[trial] </w:t>
      </w:r>
      <w:r w:rsidR="001143E7" w:rsidRPr="00884654">
        <w:t>court correctly disregarded defendant</w:t>
      </w:r>
      <w:r w:rsidR="001143E7">
        <w:t>’</w:t>
      </w:r>
      <w:r w:rsidR="001143E7" w:rsidRPr="00884654">
        <w:t>s precommitment custody credits, and there was no violation of defendant</w:t>
      </w:r>
      <w:r w:rsidR="001143E7">
        <w:t>’</w:t>
      </w:r>
      <w:r w:rsidR="001143E7" w:rsidRPr="00884654">
        <w:t>s equal protection rights in doing so</w:t>
      </w:r>
      <w:r w:rsidR="001143E7">
        <w:t>.”</w:t>
      </w:r>
      <w:r w:rsidR="006C1EA3">
        <w:t xml:space="preserve">  (</w:t>
      </w:r>
      <w:r w:rsidR="006C1EA3" w:rsidRPr="006C1EA3">
        <w:rPr>
          <w:i/>
          <w:iCs/>
        </w:rPr>
        <w:t>Id</w:t>
      </w:r>
      <w:r w:rsidR="006C1EA3">
        <w:t>. at p. 809.)</w:t>
      </w:r>
      <w:r w:rsidR="00DC4C25">
        <w:t xml:space="preserve">  These decisions </w:t>
      </w:r>
      <w:r w:rsidR="002C5981">
        <w:t xml:space="preserve">rely </w:t>
      </w:r>
      <w:r w:rsidR="00DC4C25">
        <w:t>on</w:t>
      </w:r>
      <w:r w:rsidR="002C5981">
        <w:t xml:space="preserve"> the distinction between commitment for treatment to restore a defendant to competence and other </w:t>
      </w:r>
      <w:r w:rsidR="002A313D">
        <w:t>custodial periods</w:t>
      </w:r>
      <w:r w:rsidR="002C5981">
        <w:t xml:space="preserve"> related to the criminal offense.</w:t>
      </w:r>
      <w:r w:rsidR="001876A9">
        <w:t xml:space="preserve">  They suggest that a defendant’s days in custody in which he or she is not being treated for restoration to competenc</w:t>
      </w:r>
      <w:r w:rsidR="00D52DB5">
        <w:t>e</w:t>
      </w:r>
      <w:r w:rsidR="001876A9">
        <w:t xml:space="preserve"> do not count toward the maximum commitment period.</w:t>
      </w:r>
      <w:r w:rsidR="003D01FF">
        <w:t xml:space="preserve">  (See</w:t>
      </w:r>
      <w:r w:rsidR="00C20253">
        <w:t>, e.g.,</w:t>
      </w:r>
      <w:r w:rsidR="003D01FF">
        <w:t xml:space="preserve"> </w:t>
      </w:r>
      <w:r w:rsidR="00C20253" w:rsidRPr="00C20253">
        <w:rPr>
          <w:i/>
          <w:iCs/>
        </w:rPr>
        <w:t>id</w:t>
      </w:r>
      <w:r w:rsidR="00C20253">
        <w:t>. at p. 80</w:t>
      </w:r>
      <w:r w:rsidR="004D3C40">
        <w:t>6</w:t>
      </w:r>
      <w:r w:rsidR="003D01FF">
        <w:t xml:space="preserve"> [“A defendant who, as a result of a mental disorder, is adjudged not competent to stand trial on a felony charge may be committed </w:t>
      </w:r>
      <w:r w:rsidR="003D01FF" w:rsidRPr="00C20253">
        <w:rPr>
          <w:i/>
          <w:iCs/>
        </w:rPr>
        <w:t>to a state hospital</w:t>
      </w:r>
      <w:r w:rsidR="003D01FF">
        <w:t xml:space="preserve"> for no more than three years.” </w:t>
      </w:r>
      <w:r w:rsidR="00C20253">
        <w:t xml:space="preserve"> (</w:t>
      </w:r>
      <w:r w:rsidR="003D01FF">
        <w:t>Italics added.</w:t>
      </w:r>
      <w:r w:rsidR="00C20253">
        <w:t>)</w:t>
      </w:r>
      <w:r w:rsidR="003D01FF">
        <w:t>].)</w:t>
      </w:r>
      <w:r w:rsidR="001876A9">
        <w:t xml:space="preserve"> </w:t>
      </w:r>
    </w:p>
    <w:p w14:paraId="2BDAEE8D" w14:textId="06720B24" w:rsidR="00512322" w:rsidRDefault="0053713C" w:rsidP="003D37A8">
      <w:r>
        <w:t>We</w:t>
      </w:r>
      <w:r w:rsidR="0036515C">
        <w:t xml:space="preserve"> also</w:t>
      </w:r>
      <w:r>
        <w:t xml:space="preserve"> </w:t>
      </w:r>
      <w:r w:rsidR="001876A9">
        <w:t>reject</w:t>
      </w:r>
      <w:r>
        <w:t xml:space="preserve"> Rodriguez</w:t>
      </w:r>
      <w:r w:rsidR="001876A9">
        <w:t>’s contentions</w:t>
      </w:r>
      <w:r>
        <w:t xml:space="preserve"> that terminating the commitment period when the certification of restoration is filed violates </w:t>
      </w:r>
      <w:r w:rsidR="00D956A3">
        <w:t xml:space="preserve">the </w:t>
      </w:r>
      <w:r w:rsidR="00F07765">
        <w:t xml:space="preserve">separation of powers, </w:t>
      </w:r>
      <w:r w:rsidR="0036515C">
        <w:t>his</w:t>
      </w:r>
      <w:r>
        <w:t xml:space="preserve"> constitutional rights to due process and equal protection</w:t>
      </w:r>
      <w:r w:rsidR="00F07765">
        <w:t>,</w:t>
      </w:r>
      <w:r>
        <w:t xml:space="preserve"> or </w:t>
      </w:r>
      <w:r w:rsidR="00F07765">
        <w:t xml:space="preserve">the prohibition </w:t>
      </w:r>
      <w:r>
        <w:t xml:space="preserve">against cruel and unusual punishment. </w:t>
      </w:r>
      <w:r w:rsidR="00612D0E">
        <w:t xml:space="preserve"> </w:t>
      </w:r>
    </w:p>
    <w:p w14:paraId="73778CC6" w14:textId="2963B077" w:rsidR="00512322" w:rsidRDefault="0053713C" w:rsidP="003D37A8">
      <w:r>
        <w:t>“A core function of the Legislature is to make statutory law, which includes weighing competing interests and determinin</w:t>
      </w:r>
      <w:r>
        <w:t>g social policy.  A core function of the judiciary is to resolve specific controversies between parties. . . . Separation of powers principles compel the courts to carry out the legislative purpose of statutes . . . [and] also constrain legislative influen</w:t>
      </w:r>
      <w:r>
        <w:t>ce over judicial proceedings.”  (</w:t>
      </w:r>
      <w:r w:rsidRPr="003D37A8">
        <w:rPr>
          <w:i/>
          <w:iCs/>
        </w:rPr>
        <w:t>Perez v. Roe 1</w:t>
      </w:r>
      <w:r>
        <w:t xml:space="preserve"> (2006) 146 Cal.App.4th 171, 177.)</w:t>
      </w:r>
      <w:r w:rsidR="00D956A3">
        <w:t xml:space="preserve"> </w:t>
      </w:r>
      <w:r>
        <w:t xml:space="preserve"> Moreover, </w:t>
      </w:r>
      <w:r w:rsidR="003D37A8">
        <w:t>“ ‘</w:t>
      </w:r>
      <w:r>
        <w:t>[t]</w:t>
      </w:r>
      <w:r w:rsidR="003D37A8">
        <w:t>he power of the legislature to regulate criminal and civil proceedings and appeals is undisputed.’ ”  (</w:t>
      </w:r>
      <w:r w:rsidR="003D37A8" w:rsidRPr="003D37A8">
        <w:rPr>
          <w:i/>
          <w:iCs/>
        </w:rPr>
        <w:t>Briggs v. Brown</w:t>
      </w:r>
      <w:r w:rsidR="003D37A8">
        <w:t xml:space="preserve"> (2017) 3 Cal.5th 808, 846.)</w:t>
      </w:r>
      <w:r>
        <w:t xml:space="preserve">  “[C]ompetency proceedings are civil in nature and collateral to the </w:t>
      </w:r>
      <w:r>
        <w:lastRenderedPageBreak/>
        <w:t>determination of defendant’s guilt and punishment.”  (</w:t>
      </w:r>
      <w:r w:rsidRPr="00612D0E">
        <w:rPr>
          <w:i/>
          <w:iCs/>
        </w:rPr>
        <w:t>Centeno v. Superior Court</w:t>
      </w:r>
      <w:r>
        <w:t xml:space="preserve"> (2004) 117 Cal.App.4th 30, 43.) </w:t>
      </w:r>
    </w:p>
    <w:p w14:paraId="181755CC" w14:textId="09881500" w:rsidR="007E57D8" w:rsidRDefault="0053713C" w:rsidP="003D37A8">
      <w:r>
        <w:t xml:space="preserve">We discern </w:t>
      </w:r>
      <w:r w:rsidR="00D956A3">
        <w:t xml:space="preserve">no separation of powers violation under our interpretation of </w:t>
      </w:r>
      <w:r w:rsidR="00DB53D8">
        <w:t>sections 1370(c)</w:t>
      </w:r>
      <w:r w:rsidR="00592336">
        <w:t>(1)</w:t>
      </w:r>
      <w:r w:rsidR="00DB53D8">
        <w:t xml:space="preserve"> and 1372</w:t>
      </w:r>
      <w:r w:rsidR="00D956A3">
        <w:t xml:space="preserve"> because the two </w:t>
      </w:r>
      <w:r w:rsidR="009F175B">
        <w:t xml:space="preserve">relevant </w:t>
      </w:r>
      <w:r w:rsidR="00D956A3">
        <w:t>actors—the designated health official and the trial court</w:t>
      </w:r>
      <w:r w:rsidR="002C1F0C">
        <w:t xml:space="preserve">—each </w:t>
      </w:r>
      <w:r w:rsidR="0036515C">
        <w:t xml:space="preserve">rightfully </w:t>
      </w:r>
      <w:r w:rsidR="002C1F0C">
        <w:t>exercise</w:t>
      </w:r>
      <w:r w:rsidR="00D956A3">
        <w:t xml:space="preserve"> </w:t>
      </w:r>
      <w:r w:rsidR="008520B7">
        <w:t xml:space="preserve">distinct </w:t>
      </w:r>
      <w:r w:rsidR="00D956A3">
        <w:t>power</w:t>
      </w:r>
      <w:r w:rsidR="008520B7">
        <w:t>s</w:t>
      </w:r>
      <w:r w:rsidR="002C1F0C">
        <w:t xml:space="preserve"> provided </w:t>
      </w:r>
      <w:r w:rsidR="001876A9">
        <w:t xml:space="preserve">to </w:t>
      </w:r>
      <w:r w:rsidR="002C1F0C">
        <w:t xml:space="preserve">them </w:t>
      </w:r>
      <w:r w:rsidR="001876A9">
        <w:t xml:space="preserve">by the Legislature </w:t>
      </w:r>
      <w:r w:rsidR="002C1F0C">
        <w:t>under the statute</w:t>
      </w:r>
      <w:r w:rsidR="00592336">
        <w:t>s</w:t>
      </w:r>
      <w:r w:rsidR="002C1F0C">
        <w:t xml:space="preserve">.  The former certifies restoration to competence and the latter decides whether to approve the certificate and resume the criminal prosecution.  That the calculation of the statutory </w:t>
      </w:r>
      <w:r w:rsidR="0036515C">
        <w:t>c</w:t>
      </w:r>
      <w:r w:rsidR="002C1F0C">
        <w:t xml:space="preserve">ommitment period rests on the action of an official in the executive branch does not invade the province of the judiciary to decide the </w:t>
      </w:r>
      <w:r>
        <w:t xml:space="preserve">ultimate question of </w:t>
      </w:r>
      <w:r w:rsidR="00DB53D8">
        <w:t xml:space="preserve">competency </w:t>
      </w:r>
      <w:r>
        <w:t>and resumption of prosecution</w:t>
      </w:r>
      <w:r w:rsidR="009F175B">
        <w:t xml:space="preserve"> under section 1372</w:t>
      </w:r>
      <w:r>
        <w:t>.</w:t>
      </w:r>
      <w:r w:rsidR="001876A9">
        <w:t xml:space="preserve">  </w:t>
      </w:r>
    </w:p>
    <w:p w14:paraId="7BC231FD" w14:textId="24CE8150" w:rsidR="00D956A3" w:rsidRDefault="0053713C" w:rsidP="003D37A8">
      <w:r>
        <w:t xml:space="preserve">As </w:t>
      </w:r>
      <w:r w:rsidR="00C20253">
        <w:t>one Court of Appeal</w:t>
      </w:r>
      <w:r>
        <w:t xml:space="preserve"> stated when rejecting the People’s argument that the trial court could afford a competency hearing at a stage when the statute did no</w:t>
      </w:r>
      <w:r>
        <w:t>t explicitly provide for one, “</w:t>
      </w:r>
      <w:r w:rsidRPr="007E57D8">
        <w:t xml:space="preserve">the availability of a competence hearing in this context turns on a balancing of important considerations: </w:t>
      </w:r>
      <w:r w:rsidR="00015416">
        <w:t xml:space="preserve"> </w:t>
      </w:r>
      <w:r w:rsidRPr="008F2636">
        <w:t>the right of a defendant</w:t>
      </w:r>
      <w:r w:rsidRPr="00C20253">
        <w:rPr>
          <w:i/>
          <w:iCs/>
        </w:rPr>
        <w:t xml:space="preserve"> not to remain in a treatment facility longer than the statutory maximum</w:t>
      </w:r>
      <w:r w:rsidRPr="007E57D8">
        <w:t>; the right of the de</w:t>
      </w:r>
      <w:r w:rsidRPr="007E57D8">
        <w:t>fendant not to be tried if incompetent; the interest in prosecuting a competent individual for charged crimes; the state interest in public safety; and the appropriate division of responsibility between the treatment facility and the court, among others</w:t>
      </w:r>
      <w:r>
        <w:t xml:space="preserve">.” </w:t>
      </w:r>
      <w:r>
        <w:t xml:space="preserve"> (</w:t>
      </w:r>
      <w:r w:rsidRPr="00592336">
        <w:rPr>
          <w:i/>
          <w:iCs/>
        </w:rPr>
        <w:t>Taitano</w:t>
      </w:r>
      <w:r w:rsidR="00C20253" w:rsidRPr="00592336">
        <w:t xml:space="preserve">, </w:t>
      </w:r>
      <w:r w:rsidR="00C20253" w:rsidRPr="00592336">
        <w:rPr>
          <w:i/>
          <w:iCs/>
        </w:rPr>
        <w:t>supra</w:t>
      </w:r>
      <w:r w:rsidR="00C20253" w:rsidRPr="00592336">
        <w:t>,</w:t>
      </w:r>
      <w:r w:rsidRPr="00592336">
        <w:t xml:space="preserve"> </w:t>
      </w:r>
      <w:r w:rsidRPr="00095673">
        <w:t>13 Cal.App.5th at p. 256</w:t>
      </w:r>
      <w:r w:rsidR="008520B7">
        <w:t>, italics added</w:t>
      </w:r>
      <w:r w:rsidRPr="00095673">
        <w:t xml:space="preserve">.)  The certificate of restoration </w:t>
      </w:r>
      <w:r w:rsidR="00DC59AC">
        <w:t>to</w:t>
      </w:r>
      <w:r w:rsidRPr="00095673">
        <w:t xml:space="preserve"> competenc</w:t>
      </w:r>
      <w:r w:rsidR="00DC59AC">
        <w:t>e</w:t>
      </w:r>
      <w:r w:rsidRPr="00095673">
        <w:t xml:space="preserve"> by the designated health official and prompt return to the trial court vindicates the defendant’s right not to remain longer than two years in the treatment facilit</w:t>
      </w:r>
      <w:r w:rsidR="005729FA">
        <w:t>y</w:t>
      </w:r>
      <w:r w:rsidRPr="00095673">
        <w:t>.  The judicial determination of restoration of competency ensures that the defendant is n</w:t>
      </w:r>
      <w:r w:rsidRPr="00095673">
        <w:t xml:space="preserve">ot tried if incompetent.  We perceive no constitutional violation in </w:t>
      </w:r>
      <w:r w:rsidR="00DB53D8">
        <w:t>this statutory scheme</w:t>
      </w:r>
      <w:r w:rsidRPr="00095673">
        <w:t>.</w:t>
      </w:r>
    </w:p>
    <w:p w14:paraId="7A0479DF" w14:textId="713FA6C6" w:rsidR="00632E1C" w:rsidRDefault="0053713C" w:rsidP="008E3A0E">
      <w:r>
        <w:t xml:space="preserve">As for Rodriguez’s due process argument, because he </w:t>
      </w:r>
      <w:r w:rsidR="008F2636">
        <w:t>was certified as competent</w:t>
      </w:r>
      <w:r w:rsidR="00541396">
        <w:t>,</w:t>
      </w:r>
      <w:r w:rsidR="00040218">
        <w:t xml:space="preserve"> </w:t>
      </w:r>
      <w:r w:rsidR="00541396">
        <w:t xml:space="preserve">is </w:t>
      </w:r>
      <w:r w:rsidR="00040218">
        <w:t>no longer receiving treatment</w:t>
      </w:r>
      <w:r w:rsidR="00E22B59">
        <w:t xml:space="preserve"> to restore competence</w:t>
      </w:r>
      <w:r w:rsidR="00FA1218">
        <w:t>,</w:t>
      </w:r>
      <w:r>
        <w:t xml:space="preserve"> and a contested hearing on t</w:t>
      </w:r>
      <w:r>
        <w:t xml:space="preserve">he competency issue is required only upon </w:t>
      </w:r>
      <w:r w:rsidR="008520B7">
        <w:t xml:space="preserve">a </w:t>
      </w:r>
      <w:r>
        <w:t>request</w:t>
      </w:r>
      <w:r w:rsidR="008520B7">
        <w:t xml:space="preserve"> of one or both of the parties</w:t>
      </w:r>
      <w:r>
        <w:t xml:space="preserve">, his </w:t>
      </w:r>
      <w:r w:rsidR="00004C14">
        <w:t xml:space="preserve">custodial </w:t>
      </w:r>
      <w:r>
        <w:t>commitment has transmuted</w:t>
      </w:r>
      <w:r w:rsidR="008520B7">
        <w:t xml:space="preserve">.  He is presumed competent, and the burden </w:t>
      </w:r>
      <w:r w:rsidR="009E178A" w:rsidRPr="009E178A">
        <w:t xml:space="preserve">is on </w:t>
      </w:r>
      <w:r w:rsidR="009E178A" w:rsidRPr="009E178A">
        <w:lastRenderedPageBreak/>
        <w:t xml:space="preserve">the defense (if either the defendant or defense counsel chooses to challenge </w:t>
      </w:r>
      <w:r w:rsidR="009E178A">
        <w:t>a defendant’s</w:t>
      </w:r>
      <w:r w:rsidR="009E178A" w:rsidRPr="009E178A">
        <w:t xml:space="preserve"> restoration to competence) to prove he is incompetent</w:t>
      </w:r>
      <w:r w:rsidR="009E178A">
        <w:t>.</w:t>
      </w:r>
      <w:r w:rsidR="00E80FB9">
        <w:t xml:space="preserve">  Given that the certification </w:t>
      </w:r>
      <w:r w:rsidR="00004C14">
        <w:t>of competency in this case</w:t>
      </w:r>
      <w:r w:rsidR="00E80FB9">
        <w:t xml:space="preserve"> was filed well before the two-year period had run, Rodriguez is not being “held more than</w:t>
      </w:r>
      <w:r w:rsidR="006452F0">
        <w:t xml:space="preserve"> the reasonable period of time necessary to determine whether there is a substantial probability that he will attain [competence] in the foreseeable future.”  (</w:t>
      </w:r>
      <w:r w:rsidRPr="000237AC">
        <w:rPr>
          <w:i/>
          <w:iCs/>
        </w:rPr>
        <w:t>Jackson v. Indiana</w:t>
      </w:r>
      <w:r w:rsidRPr="00AC3B64">
        <w:t xml:space="preserve"> (1972) 406 U.S. 715</w:t>
      </w:r>
      <w:r>
        <w:t xml:space="preserve">, </w:t>
      </w:r>
      <w:r w:rsidR="006452F0">
        <w:t>738.)</w:t>
      </w:r>
      <w:r w:rsidR="0036515C">
        <w:t xml:space="preserve">  The determination that he </w:t>
      </w:r>
      <w:r w:rsidR="00DB53D8">
        <w:t xml:space="preserve">has regained competency </w:t>
      </w:r>
      <w:r w:rsidR="0036515C">
        <w:t>was made in January 2020.</w:t>
      </w:r>
      <w:r w:rsidR="00DB53D8">
        <w:t xml:space="preserve">  The time he has spent in custody since January 2020 will be considered as part of his custody credits toward any eventual sentence (if he is convicted), but </w:t>
      </w:r>
      <w:r w:rsidR="00F60BBE">
        <w:t>it</w:t>
      </w:r>
      <w:r w:rsidR="00DB53D8">
        <w:t xml:space="preserve"> do</w:t>
      </w:r>
      <w:r w:rsidR="00F60BBE">
        <w:t>es</w:t>
      </w:r>
      <w:r w:rsidR="00DB53D8">
        <w:t xml:space="preserve"> not count toward the two-year commitment maximum under section 1370(c)</w:t>
      </w:r>
      <w:r w:rsidR="00F60BBE">
        <w:t>(1)</w:t>
      </w:r>
      <w:r w:rsidR="00DB53D8">
        <w:t>.</w:t>
      </w:r>
      <w:r w:rsidR="00DC59AC">
        <w:t xml:space="preserve">  (See §</w:t>
      </w:r>
      <w:r w:rsidR="008520B7">
        <w:t> </w:t>
      </w:r>
      <w:r w:rsidR="00F76B94">
        <w:t>1375.5.)</w:t>
      </w:r>
    </w:p>
    <w:p w14:paraId="05E721E4" w14:textId="297A95AE" w:rsidR="009E56D8" w:rsidRDefault="0053713C" w:rsidP="008E3A0E">
      <w:r>
        <w:t>Similarly, the cons</w:t>
      </w:r>
      <w:r>
        <w:t xml:space="preserve">titutional proscription against cruel and/or unusual punishment is not violated because Rodriguez has not been and will not be held indefinitely due to incompetency and without any treatment.  (Cf. </w:t>
      </w:r>
      <w:r w:rsidRPr="00997513">
        <w:rPr>
          <w:i/>
          <w:iCs/>
        </w:rPr>
        <w:t>People v. Feagley</w:t>
      </w:r>
      <w:r>
        <w:t xml:space="preserve"> (1975) 14 Cal.3d 338, 359, 376.)</w:t>
      </w:r>
      <w:r w:rsidR="0036515C">
        <w:t xml:space="preserve">  He has received treatment to restore his </w:t>
      </w:r>
      <w:r w:rsidR="00DB53D8">
        <w:t xml:space="preserve">competency </w:t>
      </w:r>
      <w:r w:rsidR="0036515C">
        <w:t>and will receive additional treatment in the future—up to the two-year maximum—if he now proves he is incompetent.</w:t>
      </w:r>
      <w:r>
        <w:t xml:space="preserve">  </w:t>
      </w:r>
    </w:p>
    <w:p w14:paraId="20A1047C" w14:textId="36BA439B" w:rsidR="00452B3C" w:rsidRDefault="0053713C" w:rsidP="00452B3C">
      <w:r>
        <w:t>Finally</w:t>
      </w:r>
      <w:r w:rsidR="006452F0">
        <w:t>, our conclusion</w:t>
      </w:r>
      <w:r w:rsidR="004873A6">
        <w:t xml:space="preserve"> that the commitment period ended with the filing of the certification</w:t>
      </w:r>
      <w:r w:rsidR="007F7C39">
        <w:t xml:space="preserve"> in this case</w:t>
      </w:r>
      <w:r w:rsidR="004873A6">
        <w:t xml:space="preserve"> (and a</w:t>
      </w:r>
      <w:r w:rsidR="00A144AB">
        <w:t xml:space="preserve"> court</w:t>
      </w:r>
      <w:r w:rsidR="004873A6">
        <w:t xml:space="preserve"> determination under section 1372 can go forward) </w:t>
      </w:r>
      <w:r w:rsidR="006452F0">
        <w:t>do</w:t>
      </w:r>
      <w:r w:rsidR="004873A6">
        <w:t>es</w:t>
      </w:r>
      <w:r w:rsidR="006452F0">
        <w:t xml:space="preserve"> not violate Rodriguez’s equal protection rights because a defendant like him, who has been certified as having regained mental competence by a designated official</w:t>
      </w:r>
      <w:r w:rsidR="004873A6">
        <w:t>,</w:t>
      </w:r>
      <w:r w:rsidR="006452F0">
        <w:t xml:space="preserve"> is not similarly situated to a defendant who has not been so certified</w:t>
      </w:r>
      <w:r>
        <w:t xml:space="preserve"> before attaining the two-year maximum</w:t>
      </w:r>
      <w:r w:rsidR="00A144AB">
        <w:t xml:space="preserve"> pr</w:t>
      </w:r>
      <w:r w:rsidR="00091B2D">
        <w:t>e</w:t>
      </w:r>
      <w:r w:rsidR="00A144AB">
        <w:t>scribed by section 1370(c)(1)</w:t>
      </w:r>
      <w:r w:rsidR="006452F0">
        <w:t xml:space="preserve">.  (See </w:t>
      </w:r>
      <w:r w:rsidR="006452F0" w:rsidRPr="0069359F">
        <w:rPr>
          <w:i/>
          <w:iCs/>
        </w:rPr>
        <w:t>Cooley v. Superior Court</w:t>
      </w:r>
      <w:r w:rsidR="006452F0" w:rsidRPr="00231A63">
        <w:t xml:space="preserve"> (2002) 29 Cal.4th 228, 253</w:t>
      </w:r>
      <w:r w:rsidR="006452F0">
        <w:t xml:space="preserve">–254; </w:t>
      </w:r>
      <w:r w:rsidR="006452F0" w:rsidRPr="002A5910">
        <w:rPr>
          <w:i/>
          <w:iCs/>
        </w:rPr>
        <w:t>People v. Guzman</w:t>
      </w:r>
      <w:r w:rsidR="006452F0" w:rsidRPr="00231A63">
        <w:t xml:space="preserve"> (2005) 35 Cal.4th 577, 591</w:t>
      </w:r>
      <w:r w:rsidR="00EA3B7E">
        <w:t>–</w:t>
      </w:r>
      <w:r w:rsidR="006452F0">
        <w:t>592</w:t>
      </w:r>
      <w:r w:rsidR="006452F0" w:rsidRPr="00231A63">
        <w:t>.)</w:t>
      </w:r>
      <w:r w:rsidR="00AF18BE">
        <w:t xml:space="preserve"> </w:t>
      </w:r>
      <w:r w:rsidR="007B323A">
        <w:t xml:space="preserve"> </w:t>
      </w:r>
    </w:p>
    <w:p w14:paraId="4C5788D8" w14:textId="5081DA50" w:rsidR="00004477" w:rsidRDefault="0053713C" w:rsidP="00752E03">
      <w:pPr>
        <w:pStyle w:val="Heading1"/>
      </w:pPr>
      <w:r>
        <w:t xml:space="preserve">III.  </w:t>
      </w:r>
      <w:r>
        <w:t>Disposition</w:t>
      </w:r>
    </w:p>
    <w:p w14:paraId="5D984CA4" w14:textId="77777777" w:rsidR="009378EA" w:rsidRDefault="0053713C" w:rsidP="00C754A3">
      <w:pPr>
        <w:tabs>
          <w:tab w:val="clear" w:pos="720"/>
        </w:tabs>
        <w:spacing w:after="160" w:line="480" w:lineRule="exact"/>
        <w:sectPr w:rsidR="009378EA" w:rsidSect="002D66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76350F">
        <w:t xml:space="preserve">The petition for </w:t>
      </w:r>
      <w:r w:rsidRPr="00F94CF5">
        <w:t xml:space="preserve">writ of prohibition </w:t>
      </w:r>
      <w:r w:rsidR="00C25556">
        <w:t xml:space="preserve">or other equitable relief </w:t>
      </w:r>
      <w:r w:rsidRPr="0076350F">
        <w:t xml:space="preserve">is denied.  This court’s </w:t>
      </w:r>
      <w:r w:rsidR="00833F2E">
        <w:t>April 28</w:t>
      </w:r>
      <w:r w:rsidRPr="0076350F">
        <w:t>, 202</w:t>
      </w:r>
      <w:r w:rsidR="00833F2E">
        <w:t>1</w:t>
      </w:r>
      <w:r w:rsidRPr="0076350F">
        <w:t xml:space="preserve"> stay order is vacated.  This </w:t>
      </w:r>
      <w:r w:rsidR="00284710" w:rsidRPr="00284710">
        <w:t>opinion is made final as to this court seven days from the date of filing</w:t>
      </w:r>
      <w:r w:rsidRPr="0076350F">
        <w:t>.  (</w:t>
      </w:r>
      <w:r w:rsidR="00A55B2E">
        <w:t xml:space="preserve">See </w:t>
      </w:r>
      <w:r w:rsidRPr="0076350F">
        <w:t>Cal. Rules of Court, rule 8.490(b)(2)(A).)</w:t>
      </w:r>
      <w:r w:rsidR="00C25556">
        <w:t xml:space="preserve"> </w:t>
      </w:r>
    </w:p>
    <w:p w14:paraId="5DA31A09" w14:textId="77777777" w:rsidR="009378EA" w:rsidRDefault="009378EA" w:rsidP="009378EA">
      <w:bookmarkStart w:id="9" w:name="_Hlk9420683"/>
    </w:p>
    <w:p w14:paraId="552AB55E" w14:textId="77777777" w:rsidR="009378EA" w:rsidRDefault="009378EA" w:rsidP="009378EA"/>
    <w:p w14:paraId="627CB8C7" w14:textId="77777777" w:rsidR="009378EA" w:rsidRPr="007A096D" w:rsidRDefault="009378EA" w:rsidP="009378EA"/>
    <w:p w14:paraId="65C99E21" w14:textId="77777777" w:rsidR="009378EA" w:rsidRPr="007A096D" w:rsidRDefault="0053713C" w:rsidP="009378EA">
      <w:pPr>
        <w:spacing w:line="240" w:lineRule="auto"/>
      </w:pPr>
      <w:r w:rsidRPr="007A096D">
        <w:tab/>
      </w:r>
      <w:r w:rsidRPr="007A096D">
        <w:tab/>
      </w:r>
      <w:r w:rsidRPr="007A096D">
        <w:tab/>
      </w:r>
      <w:r w:rsidRPr="007A096D">
        <w:tab/>
      </w:r>
      <w:r w:rsidRPr="007A096D">
        <w:tab/>
        <w:t>______________________________________</w:t>
      </w:r>
    </w:p>
    <w:p w14:paraId="02C45127" w14:textId="77777777" w:rsidR="009378EA" w:rsidRPr="007A096D" w:rsidRDefault="0053713C" w:rsidP="009378EA">
      <w:pPr>
        <w:spacing w:line="240" w:lineRule="auto"/>
      </w:pPr>
      <w:r w:rsidRPr="007A096D">
        <w:tab/>
      </w:r>
      <w:r w:rsidRPr="007A096D">
        <w:tab/>
      </w:r>
      <w:r w:rsidRPr="007A096D">
        <w:tab/>
      </w:r>
      <w:r w:rsidRPr="007A096D">
        <w:tab/>
      </w:r>
      <w:r w:rsidRPr="007A096D">
        <w:tab/>
      </w:r>
      <w:r w:rsidRPr="007A096D">
        <w:tab/>
      </w:r>
      <w:r w:rsidRPr="007A096D">
        <w:tab/>
        <w:t>D</w:t>
      </w:r>
      <w:r>
        <w:t>anner,</w:t>
      </w:r>
      <w:r w:rsidRPr="007A096D">
        <w:t xml:space="preserve"> J.</w:t>
      </w:r>
    </w:p>
    <w:p w14:paraId="4069EDA1" w14:textId="77777777" w:rsidR="009378EA" w:rsidRPr="007A096D" w:rsidRDefault="009378EA" w:rsidP="009378EA">
      <w:pPr>
        <w:spacing w:line="240" w:lineRule="auto"/>
      </w:pPr>
    </w:p>
    <w:p w14:paraId="3ACE16A1" w14:textId="77777777" w:rsidR="009378EA" w:rsidRPr="007A096D" w:rsidRDefault="009378EA" w:rsidP="009378EA">
      <w:pPr>
        <w:spacing w:line="240" w:lineRule="auto"/>
      </w:pPr>
    </w:p>
    <w:p w14:paraId="0F46E081" w14:textId="77777777" w:rsidR="009378EA" w:rsidRPr="007A096D" w:rsidRDefault="009378EA" w:rsidP="009378EA">
      <w:pPr>
        <w:spacing w:line="240" w:lineRule="auto"/>
      </w:pPr>
    </w:p>
    <w:p w14:paraId="2D1F6951" w14:textId="77777777" w:rsidR="009378EA" w:rsidRPr="007A096D" w:rsidRDefault="009378EA" w:rsidP="009378EA">
      <w:pPr>
        <w:spacing w:line="240" w:lineRule="auto"/>
      </w:pPr>
    </w:p>
    <w:p w14:paraId="29180199" w14:textId="77777777" w:rsidR="009378EA" w:rsidRPr="007A096D" w:rsidRDefault="009378EA" w:rsidP="009378EA">
      <w:pPr>
        <w:spacing w:line="240" w:lineRule="auto"/>
      </w:pPr>
    </w:p>
    <w:p w14:paraId="190214C4" w14:textId="77777777" w:rsidR="009378EA" w:rsidRPr="007A096D" w:rsidRDefault="0053713C" w:rsidP="009378EA">
      <w:pPr>
        <w:spacing w:line="240" w:lineRule="auto"/>
      </w:pPr>
      <w:r w:rsidRPr="007A096D">
        <w:t>WE CONCUR:</w:t>
      </w:r>
    </w:p>
    <w:p w14:paraId="7FE34FEF" w14:textId="77777777" w:rsidR="009378EA" w:rsidRPr="007A096D" w:rsidRDefault="009378EA" w:rsidP="009378EA">
      <w:pPr>
        <w:spacing w:line="240" w:lineRule="auto"/>
      </w:pPr>
    </w:p>
    <w:p w14:paraId="4E7E6E86" w14:textId="77777777" w:rsidR="009378EA" w:rsidRPr="007A096D" w:rsidRDefault="009378EA" w:rsidP="009378EA">
      <w:pPr>
        <w:spacing w:line="240" w:lineRule="auto"/>
      </w:pPr>
    </w:p>
    <w:p w14:paraId="6362D754" w14:textId="77777777" w:rsidR="009378EA" w:rsidRPr="007A096D" w:rsidRDefault="009378EA" w:rsidP="009378EA">
      <w:pPr>
        <w:spacing w:line="240" w:lineRule="auto"/>
      </w:pPr>
    </w:p>
    <w:p w14:paraId="61EBAABF" w14:textId="77777777" w:rsidR="009378EA" w:rsidRPr="007A096D" w:rsidRDefault="009378EA" w:rsidP="009378EA">
      <w:pPr>
        <w:spacing w:line="240" w:lineRule="auto"/>
      </w:pPr>
    </w:p>
    <w:p w14:paraId="29025D8B" w14:textId="77777777" w:rsidR="009378EA" w:rsidRPr="007A096D" w:rsidRDefault="009378EA" w:rsidP="009378EA">
      <w:pPr>
        <w:spacing w:line="240" w:lineRule="auto"/>
      </w:pPr>
    </w:p>
    <w:p w14:paraId="5ACB7682" w14:textId="77777777" w:rsidR="009378EA" w:rsidRPr="007A096D" w:rsidRDefault="0053713C" w:rsidP="009378EA">
      <w:pPr>
        <w:spacing w:line="240" w:lineRule="auto"/>
      </w:pPr>
      <w:r w:rsidRPr="007A096D">
        <w:t>____________________________________</w:t>
      </w:r>
    </w:p>
    <w:p w14:paraId="4A8E5156" w14:textId="77777777" w:rsidR="009378EA" w:rsidRPr="007A096D" w:rsidRDefault="0053713C" w:rsidP="009378EA">
      <w:pPr>
        <w:spacing w:line="240" w:lineRule="auto"/>
      </w:pPr>
      <w:r>
        <w:t>Greenwood</w:t>
      </w:r>
      <w:r w:rsidRPr="007A096D">
        <w:t xml:space="preserve">, </w:t>
      </w:r>
      <w:r>
        <w:t>P</w:t>
      </w:r>
      <w:r w:rsidRPr="007A096D">
        <w:t>.J.</w:t>
      </w:r>
    </w:p>
    <w:p w14:paraId="50D33099" w14:textId="77777777" w:rsidR="009378EA" w:rsidRPr="007A096D" w:rsidRDefault="009378EA" w:rsidP="009378EA">
      <w:pPr>
        <w:spacing w:line="240" w:lineRule="auto"/>
      </w:pPr>
    </w:p>
    <w:p w14:paraId="50FC4E0C" w14:textId="77777777" w:rsidR="009378EA" w:rsidRPr="007A096D" w:rsidRDefault="009378EA" w:rsidP="009378EA">
      <w:pPr>
        <w:spacing w:line="240" w:lineRule="auto"/>
      </w:pPr>
    </w:p>
    <w:p w14:paraId="7A4B14D9" w14:textId="77777777" w:rsidR="009378EA" w:rsidRPr="007A096D" w:rsidRDefault="009378EA" w:rsidP="009378EA">
      <w:pPr>
        <w:spacing w:line="240" w:lineRule="auto"/>
      </w:pPr>
    </w:p>
    <w:p w14:paraId="2D6BB7A7" w14:textId="77777777" w:rsidR="009378EA" w:rsidRPr="007A096D" w:rsidRDefault="009378EA" w:rsidP="009378EA">
      <w:pPr>
        <w:spacing w:line="240" w:lineRule="auto"/>
      </w:pPr>
    </w:p>
    <w:p w14:paraId="18714E06" w14:textId="77777777" w:rsidR="009378EA" w:rsidRPr="007A096D" w:rsidRDefault="009378EA" w:rsidP="009378EA">
      <w:pPr>
        <w:spacing w:line="240" w:lineRule="auto"/>
      </w:pPr>
    </w:p>
    <w:p w14:paraId="4DCAF32D" w14:textId="77777777" w:rsidR="009378EA" w:rsidRPr="007A096D" w:rsidRDefault="009378EA" w:rsidP="009378EA">
      <w:pPr>
        <w:spacing w:line="240" w:lineRule="auto"/>
      </w:pPr>
    </w:p>
    <w:p w14:paraId="7DDFEB9F" w14:textId="77777777" w:rsidR="009378EA" w:rsidRPr="007A096D" w:rsidRDefault="0053713C" w:rsidP="009378EA">
      <w:pPr>
        <w:spacing w:line="240" w:lineRule="auto"/>
      </w:pPr>
      <w:r w:rsidRPr="007A096D">
        <w:t>_________________________</w:t>
      </w:r>
      <w:r w:rsidRPr="007A096D">
        <w:t>___________</w:t>
      </w:r>
    </w:p>
    <w:p w14:paraId="125F30A5" w14:textId="77777777" w:rsidR="009378EA" w:rsidRPr="007A096D" w:rsidRDefault="0053713C" w:rsidP="009378EA">
      <w:pPr>
        <w:spacing w:line="240" w:lineRule="auto"/>
      </w:pPr>
      <w:r>
        <w:t>Grover,</w:t>
      </w:r>
      <w:r w:rsidRPr="007A096D">
        <w:t xml:space="preserve"> J.</w:t>
      </w:r>
    </w:p>
    <w:p w14:paraId="68D9E369" w14:textId="77777777" w:rsidR="009378EA" w:rsidRPr="007A096D" w:rsidRDefault="009378EA" w:rsidP="009378EA">
      <w:pPr>
        <w:spacing w:line="240" w:lineRule="auto"/>
      </w:pPr>
    </w:p>
    <w:p w14:paraId="09F61933" w14:textId="77777777" w:rsidR="009378EA" w:rsidRPr="007A096D" w:rsidRDefault="009378EA" w:rsidP="009378EA">
      <w:pPr>
        <w:spacing w:line="240" w:lineRule="auto"/>
      </w:pPr>
    </w:p>
    <w:p w14:paraId="41317C24" w14:textId="77777777" w:rsidR="009378EA" w:rsidRPr="007A096D" w:rsidRDefault="009378EA" w:rsidP="009378EA">
      <w:pPr>
        <w:pStyle w:val="Footer"/>
      </w:pPr>
    </w:p>
    <w:p w14:paraId="227436EA" w14:textId="77777777" w:rsidR="009378EA" w:rsidRPr="007A096D" w:rsidRDefault="009378EA" w:rsidP="009378EA">
      <w:pPr>
        <w:spacing w:line="240" w:lineRule="auto"/>
      </w:pPr>
    </w:p>
    <w:p w14:paraId="5F6B6D92" w14:textId="77777777" w:rsidR="009378EA" w:rsidRPr="007A096D" w:rsidRDefault="009378EA" w:rsidP="009378EA">
      <w:pPr>
        <w:spacing w:line="240" w:lineRule="auto"/>
      </w:pPr>
    </w:p>
    <w:p w14:paraId="37576D94" w14:textId="77777777" w:rsidR="009378EA" w:rsidRPr="007A096D" w:rsidRDefault="009378EA" w:rsidP="009378EA">
      <w:pPr>
        <w:pStyle w:val="Footer"/>
      </w:pPr>
    </w:p>
    <w:p w14:paraId="3013A40D" w14:textId="77777777" w:rsidR="009378EA" w:rsidRPr="007A096D" w:rsidRDefault="009378EA" w:rsidP="009378EA">
      <w:pPr>
        <w:pStyle w:val="Footer"/>
      </w:pPr>
    </w:p>
    <w:p w14:paraId="7C896607" w14:textId="77777777" w:rsidR="009378EA" w:rsidRPr="007A096D" w:rsidRDefault="009378EA" w:rsidP="009378EA">
      <w:pPr>
        <w:spacing w:line="240" w:lineRule="auto"/>
      </w:pPr>
    </w:p>
    <w:p w14:paraId="3E1C1C8B" w14:textId="77777777" w:rsidR="009378EA" w:rsidRPr="007A096D" w:rsidRDefault="009378EA" w:rsidP="009378EA">
      <w:pPr>
        <w:spacing w:line="240" w:lineRule="auto"/>
      </w:pPr>
    </w:p>
    <w:p w14:paraId="577FE007" w14:textId="77777777" w:rsidR="009378EA" w:rsidRPr="007A096D" w:rsidRDefault="009378EA" w:rsidP="009378EA">
      <w:pPr>
        <w:spacing w:line="240" w:lineRule="auto"/>
      </w:pPr>
    </w:p>
    <w:p w14:paraId="3E79E817" w14:textId="77777777" w:rsidR="009378EA" w:rsidRPr="007A096D" w:rsidRDefault="009378EA" w:rsidP="006E11CB">
      <w:pPr>
        <w:spacing w:line="240" w:lineRule="auto"/>
        <w:ind w:firstLine="0"/>
      </w:pPr>
    </w:p>
    <w:p w14:paraId="65C97EB0" w14:textId="77777777" w:rsidR="009378EA" w:rsidRDefault="009378EA" w:rsidP="009378EA">
      <w:pPr>
        <w:spacing w:line="240" w:lineRule="auto"/>
      </w:pPr>
    </w:p>
    <w:p w14:paraId="70ED5FAC" w14:textId="77777777" w:rsidR="006E11CB" w:rsidRDefault="0053713C" w:rsidP="006E11CB">
      <w:pPr>
        <w:spacing w:line="240" w:lineRule="auto"/>
        <w:rPr>
          <w:b/>
        </w:rPr>
      </w:pPr>
      <w:r>
        <w:rPr>
          <w:b/>
        </w:rPr>
        <w:t>H049016</w:t>
      </w:r>
    </w:p>
    <w:p w14:paraId="04918543" w14:textId="2E182FC5" w:rsidR="009378EA" w:rsidRPr="006E11CB" w:rsidRDefault="0053713C" w:rsidP="006E11CB">
      <w:pPr>
        <w:spacing w:line="240" w:lineRule="auto"/>
        <w:rPr>
          <w:b/>
        </w:rPr>
      </w:pPr>
      <w:r>
        <w:rPr>
          <w:rStyle w:val="Title1"/>
          <w:b/>
          <w:bCs/>
          <w:i/>
        </w:rPr>
        <w:t xml:space="preserve">Rodriguez v. Superior Court </w:t>
      </w:r>
    </w:p>
    <w:bookmarkEnd w:id="9"/>
    <w:p w14:paraId="7DE01B82" w14:textId="4549DAA3" w:rsidR="009378EA" w:rsidRDefault="009378EA" w:rsidP="009378EA">
      <w:pPr>
        <w:spacing w:line="240" w:lineRule="auto"/>
        <w:rPr>
          <w:rStyle w:val="Title1"/>
          <w:b/>
          <w:bCs/>
          <w:i/>
        </w:rPr>
        <w:sectPr w:rsidR="009378EA" w:rsidSect="004D5586">
          <w:pgSz w:w="12240" w:h="15840"/>
          <w:pgMar w:top="1440" w:right="1440" w:bottom="1440" w:left="1440" w:header="720" w:footer="720" w:gutter="0"/>
          <w:cols w:space="720"/>
          <w:titlePg/>
          <w:docGrid w:linePitch="360"/>
        </w:sectPr>
      </w:pPr>
    </w:p>
    <w:p w14:paraId="198C4689" w14:textId="77777777" w:rsidR="009378EA" w:rsidRDefault="009378EA" w:rsidP="009378EA">
      <w:pPr>
        <w:tabs>
          <w:tab w:val="left" w:pos="1620"/>
        </w:tabs>
        <w:spacing w:after="240" w:line="240" w:lineRule="auto"/>
        <w:ind w:left="2340" w:hanging="2340"/>
      </w:pPr>
    </w:p>
    <w:p w14:paraId="357AB66F" w14:textId="7ED34F6D" w:rsidR="009378EA" w:rsidRPr="00C90979" w:rsidRDefault="0053713C" w:rsidP="009378EA">
      <w:pPr>
        <w:tabs>
          <w:tab w:val="left" w:pos="1620"/>
        </w:tabs>
        <w:spacing w:after="240" w:line="240" w:lineRule="auto"/>
        <w:ind w:left="2340" w:hanging="2340"/>
      </w:pPr>
      <w:r w:rsidRPr="00C90979">
        <w:t>Trial Court:</w:t>
      </w:r>
      <w:r w:rsidRPr="00C90979">
        <w:tab/>
        <w:t xml:space="preserve">County of </w:t>
      </w:r>
      <w:r>
        <w:t>Santa C</w:t>
      </w:r>
      <w:r w:rsidR="006E11CB">
        <w:t>lara</w:t>
      </w:r>
      <w:r>
        <w:t xml:space="preserve"> </w:t>
      </w:r>
    </w:p>
    <w:p w14:paraId="3FB590CC" w14:textId="5002EB69" w:rsidR="009378EA" w:rsidRPr="00C90979" w:rsidRDefault="0053713C" w:rsidP="009378EA">
      <w:pPr>
        <w:tabs>
          <w:tab w:val="left" w:pos="1620"/>
        </w:tabs>
        <w:spacing w:after="240" w:line="240" w:lineRule="auto"/>
        <w:ind w:left="2340" w:hanging="2340"/>
      </w:pPr>
      <w:r w:rsidRPr="00C90979">
        <w:t>Trial Judge:</w:t>
      </w:r>
      <w:r w:rsidRPr="00C90979">
        <w:tab/>
        <w:t>Hon. </w:t>
      </w:r>
      <w:r w:rsidR="006E11CB">
        <w:t>Eric S. Geffon</w:t>
      </w:r>
    </w:p>
    <w:p w14:paraId="3380BF19" w14:textId="4E8F581E" w:rsidR="009378EA" w:rsidRPr="00C90979" w:rsidRDefault="0053713C" w:rsidP="009378EA">
      <w:pPr>
        <w:tabs>
          <w:tab w:val="left" w:pos="1620"/>
        </w:tabs>
        <w:spacing w:line="240" w:lineRule="auto"/>
        <w:ind w:left="1980" w:hanging="1980"/>
        <w:rPr>
          <w:shd w:val="clear" w:color="auto" w:fill="FFFF00"/>
        </w:rPr>
      </w:pPr>
      <w:r w:rsidRPr="00C90979">
        <w:t>Counsel:</w:t>
      </w:r>
      <w:r w:rsidRPr="00C90979">
        <w:tab/>
      </w:r>
      <w:r w:rsidR="006E11CB">
        <w:t>Brian C. McComas</w:t>
      </w:r>
      <w:r>
        <w:t xml:space="preserve">, by appointment of the </w:t>
      </w:r>
      <w:r w:rsidR="006E11CB">
        <w:t>Santa Clara County Independent Defense Office, for Petitioner</w:t>
      </w:r>
      <w:r>
        <w:t>.</w:t>
      </w:r>
    </w:p>
    <w:p w14:paraId="6D2FE584" w14:textId="77777777" w:rsidR="009378EA" w:rsidRPr="00C90979" w:rsidRDefault="009378EA" w:rsidP="009378EA">
      <w:pPr>
        <w:tabs>
          <w:tab w:val="left" w:pos="1620"/>
        </w:tabs>
        <w:spacing w:line="240" w:lineRule="auto"/>
      </w:pPr>
    </w:p>
    <w:p w14:paraId="6184E513" w14:textId="289E6044" w:rsidR="009378EA" w:rsidRDefault="0053713C" w:rsidP="009378EA">
      <w:pPr>
        <w:tabs>
          <w:tab w:val="left" w:pos="1620"/>
        </w:tabs>
        <w:spacing w:line="240" w:lineRule="auto"/>
        <w:ind w:left="1980" w:hanging="1980"/>
      </w:pPr>
      <w:r w:rsidRPr="00C90979">
        <w:tab/>
      </w:r>
      <w:r>
        <w:tab/>
      </w:r>
      <w:r w:rsidR="006E11CB">
        <w:t xml:space="preserve">Jeffrey F. Rosen, District Attorney, Crystal Tindell Seiler, </w:t>
      </w:r>
      <w:r w:rsidR="00FA3226">
        <w:t xml:space="preserve">Barbara A. Cathcart, </w:t>
      </w:r>
      <w:r w:rsidR="006E11CB">
        <w:t>Supervising District Attorney</w:t>
      </w:r>
      <w:r w:rsidR="00FA3226">
        <w:t>s</w:t>
      </w:r>
      <w:r w:rsidR="000E085C">
        <w:t>,</w:t>
      </w:r>
      <w:r w:rsidR="006E11CB">
        <w:t xml:space="preserve"> for Real Party in Interest.</w:t>
      </w:r>
    </w:p>
    <w:p w14:paraId="4254E7F0" w14:textId="77777777" w:rsidR="009378EA" w:rsidRDefault="009378EA" w:rsidP="009378EA">
      <w:pPr>
        <w:tabs>
          <w:tab w:val="left" w:pos="1620"/>
        </w:tabs>
        <w:spacing w:line="240" w:lineRule="auto"/>
        <w:ind w:left="1980" w:hanging="1980"/>
      </w:pPr>
    </w:p>
    <w:p w14:paraId="4E52BA74" w14:textId="77777777" w:rsidR="009378EA" w:rsidRPr="004D5586" w:rsidRDefault="009378EA" w:rsidP="009378EA">
      <w:pPr>
        <w:spacing w:line="240" w:lineRule="auto"/>
        <w:rPr>
          <w:b/>
          <w:bCs/>
        </w:rPr>
      </w:pPr>
    </w:p>
    <w:p w14:paraId="03F23E7A" w14:textId="62FB4BD0" w:rsidR="00C25556" w:rsidRDefault="00C25556" w:rsidP="00C754A3">
      <w:pPr>
        <w:tabs>
          <w:tab w:val="clear" w:pos="720"/>
        </w:tabs>
        <w:spacing w:after="160" w:line="480" w:lineRule="exact"/>
      </w:pPr>
    </w:p>
    <w:p w14:paraId="5202C155" w14:textId="77777777" w:rsidR="00C25556" w:rsidRDefault="00C25556" w:rsidP="00833F2E">
      <w:pPr>
        <w:tabs>
          <w:tab w:val="clear" w:pos="720"/>
        </w:tabs>
        <w:spacing w:after="160" w:line="480" w:lineRule="exact"/>
      </w:pPr>
    </w:p>
    <w:p w14:paraId="609096C0" w14:textId="3C02347B" w:rsidR="00833F2E" w:rsidRDefault="00833F2E" w:rsidP="00C754A3">
      <w:pPr>
        <w:tabs>
          <w:tab w:val="clear" w:pos="720"/>
        </w:tabs>
        <w:spacing w:after="160" w:line="480" w:lineRule="exact"/>
      </w:pPr>
    </w:p>
    <w:p w14:paraId="11BEDB8F" w14:textId="7F6364F0" w:rsidR="003245B9" w:rsidRDefault="003245B9" w:rsidP="00C754A3">
      <w:pPr>
        <w:tabs>
          <w:tab w:val="clear" w:pos="720"/>
        </w:tabs>
        <w:spacing w:after="160" w:line="480" w:lineRule="exact"/>
      </w:pPr>
    </w:p>
    <w:p w14:paraId="23243B5C" w14:textId="370BE637" w:rsidR="006E11CB" w:rsidRDefault="006E11CB" w:rsidP="00C754A3">
      <w:pPr>
        <w:tabs>
          <w:tab w:val="clear" w:pos="720"/>
        </w:tabs>
        <w:spacing w:after="160" w:line="480" w:lineRule="exact"/>
      </w:pPr>
    </w:p>
    <w:p w14:paraId="5E8B9DCD" w14:textId="2D31A8CD" w:rsidR="006E11CB" w:rsidRDefault="006E11CB" w:rsidP="00C754A3">
      <w:pPr>
        <w:tabs>
          <w:tab w:val="clear" w:pos="720"/>
        </w:tabs>
        <w:spacing w:after="160" w:line="480" w:lineRule="exact"/>
      </w:pPr>
    </w:p>
    <w:p w14:paraId="65258674" w14:textId="6BA40301" w:rsidR="006E11CB" w:rsidRDefault="006E11CB" w:rsidP="00C754A3">
      <w:pPr>
        <w:tabs>
          <w:tab w:val="clear" w:pos="720"/>
        </w:tabs>
        <w:spacing w:after="160" w:line="480" w:lineRule="exact"/>
      </w:pPr>
    </w:p>
    <w:p w14:paraId="0E1428AA" w14:textId="3668B96E" w:rsidR="006E11CB" w:rsidRDefault="006E11CB" w:rsidP="00C754A3">
      <w:pPr>
        <w:tabs>
          <w:tab w:val="clear" w:pos="720"/>
        </w:tabs>
        <w:spacing w:after="160" w:line="480" w:lineRule="exact"/>
      </w:pPr>
    </w:p>
    <w:p w14:paraId="6A9E8939" w14:textId="5F034EDC" w:rsidR="006E11CB" w:rsidRDefault="006E11CB" w:rsidP="00C754A3">
      <w:pPr>
        <w:tabs>
          <w:tab w:val="clear" w:pos="720"/>
        </w:tabs>
        <w:spacing w:after="160" w:line="480" w:lineRule="exact"/>
      </w:pPr>
    </w:p>
    <w:p w14:paraId="45E26305" w14:textId="77777777" w:rsidR="006E11CB" w:rsidRDefault="006E11CB" w:rsidP="006E11CB">
      <w:pPr>
        <w:spacing w:line="240" w:lineRule="auto"/>
        <w:rPr>
          <w:b/>
        </w:rPr>
      </w:pPr>
    </w:p>
    <w:p w14:paraId="55832D98" w14:textId="77777777" w:rsidR="006E11CB" w:rsidRDefault="006E11CB" w:rsidP="006E11CB">
      <w:pPr>
        <w:spacing w:line="240" w:lineRule="auto"/>
        <w:rPr>
          <w:b/>
        </w:rPr>
      </w:pPr>
    </w:p>
    <w:p w14:paraId="52EC82CA" w14:textId="77777777" w:rsidR="006E11CB" w:rsidRDefault="006E11CB" w:rsidP="006E11CB">
      <w:pPr>
        <w:spacing w:line="240" w:lineRule="auto"/>
        <w:rPr>
          <w:b/>
        </w:rPr>
      </w:pPr>
    </w:p>
    <w:p w14:paraId="16C92896" w14:textId="77777777" w:rsidR="006E11CB" w:rsidRDefault="006E11CB" w:rsidP="006E11CB">
      <w:pPr>
        <w:spacing w:line="240" w:lineRule="auto"/>
        <w:rPr>
          <w:b/>
        </w:rPr>
      </w:pPr>
    </w:p>
    <w:p w14:paraId="720DCF80" w14:textId="77777777" w:rsidR="006E11CB" w:rsidRDefault="006E11CB" w:rsidP="006E11CB">
      <w:pPr>
        <w:spacing w:line="240" w:lineRule="auto"/>
        <w:rPr>
          <w:b/>
        </w:rPr>
      </w:pPr>
    </w:p>
    <w:p w14:paraId="68D6307C" w14:textId="77777777" w:rsidR="006E11CB" w:rsidRDefault="006E11CB" w:rsidP="006E11CB">
      <w:pPr>
        <w:spacing w:line="240" w:lineRule="auto"/>
        <w:rPr>
          <w:b/>
        </w:rPr>
      </w:pPr>
    </w:p>
    <w:p w14:paraId="056A855A" w14:textId="16DE4A54" w:rsidR="006E11CB" w:rsidRDefault="0053713C" w:rsidP="006E11CB">
      <w:pPr>
        <w:spacing w:line="240" w:lineRule="auto"/>
        <w:rPr>
          <w:b/>
        </w:rPr>
      </w:pPr>
      <w:r>
        <w:rPr>
          <w:b/>
        </w:rPr>
        <w:t>H049016</w:t>
      </w:r>
    </w:p>
    <w:p w14:paraId="628A704F" w14:textId="77777777" w:rsidR="006E11CB" w:rsidRPr="006E11CB" w:rsidRDefault="0053713C" w:rsidP="006E11CB">
      <w:pPr>
        <w:spacing w:line="240" w:lineRule="auto"/>
        <w:rPr>
          <w:b/>
        </w:rPr>
      </w:pPr>
      <w:r>
        <w:rPr>
          <w:rStyle w:val="Title1"/>
          <w:b/>
          <w:bCs/>
          <w:i/>
        </w:rPr>
        <w:t xml:space="preserve">Rodriguez v. Superior Court </w:t>
      </w:r>
    </w:p>
    <w:p w14:paraId="1CF53121" w14:textId="77777777" w:rsidR="006E11CB" w:rsidRDefault="006E11CB" w:rsidP="00C754A3">
      <w:pPr>
        <w:tabs>
          <w:tab w:val="clear" w:pos="720"/>
        </w:tabs>
        <w:spacing w:after="160" w:line="480" w:lineRule="exact"/>
      </w:pPr>
    </w:p>
    <w:sectPr w:rsidR="006E11CB" w:rsidSect="002D669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1769" w14:textId="77777777" w:rsidR="00000000" w:rsidRDefault="0053713C">
      <w:pPr>
        <w:spacing w:line="240" w:lineRule="auto"/>
      </w:pPr>
      <w:r>
        <w:separator/>
      </w:r>
    </w:p>
  </w:endnote>
  <w:endnote w:type="continuationSeparator" w:id="0">
    <w:p w14:paraId="2E2C837E" w14:textId="77777777" w:rsidR="00000000" w:rsidRDefault="00537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8AF7" w14:textId="77777777" w:rsidR="0012322F" w:rsidRDefault="00123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968512"/>
      <w:docPartObj>
        <w:docPartGallery w:val="Page Numbers (Bottom of Page)"/>
        <w:docPartUnique/>
      </w:docPartObj>
    </w:sdtPr>
    <w:sdtEndPr>
      <w:rPr>
        <w:noProof/>
      </w:rPr>
    </w:sdtEndPr>
    <w:sdtContent>
      <w:p w14:paraId="6E7942BE" w14:textId="77777777" w:rsidR="0040257E" w:rsidRDefault="005371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02607F" w14:textId="77777777" w:rsidR="0040257E" w:rsidRDefault="00402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F032" w14:textId="77777777" w:rsidR="0012322F" w:rsidRDefault="00123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C6373" w14:textId="77777777" w:rsidR="00C95CDA" w:rsidRDefault="0053713C" w:rsidP="002D669B">
      <w:pPr>
        <w:spacing w:line="240" w:lineRule="auto"/>
      </w:pPr>
      <w:r>
        <w:separator/>
      </w:r>
    </w:p>
  </w:footnote>
  <w:footnote w:type="continuationSeparator" w:id="0">
    <w:p w14:paraId="34564E58" w14:textId="77777777" w:rsidR="00C95CDA" w:rsidRDefault="0053713C" w:rsidP="002D669B">
      <w:pPr>
        <w:spacing w:line="240" w:lineRule="auto"/>
      </w:pPr>
      <w:r>
        <w:continuationSeparator/>
      </w:r>
    </w:p>
  </w:footnote>
  <w:footnote w:type="continuationNotice" w:id="1">
    <w:p w14:paraId="3B9D6DFE" w14:textId="77777777" w:rsidR="00C95CDA" w:rsidRDefault="00C95CDA">
      <w:pPr>
        <w:spacing w:line="240" w:lineRule="auto"/>
      </w:pPr>
    </w:p>
  </w:footnote>
  <w:footnote w:id="2">
    <w:p w14:paraId="0D3746B5" w14:textId="77777777" w:rsidR="0040257E" w:rsidRDefault="0053713C" w:rsidP="00BC2BF4">
      <w:pPr>
        <w:pStyle w:val="Subtitle"/>
      </w:pPr>
      <w:r w:rsidRPr="006101C1">
        <w:rPr>
          <w:rStyle w:val="FootnoteReference"/>
          <w:b/>
          <w:bCs/>
        </w:rPr>
        <w:footnoteRef/>
      </w:r>
      <w:r>
        <w:t xml:space="preserve"> </w:t>
      </w:r>
      <w:r w:rsidRPr="006101C1">
        <w:t xml:space="preserve">Unspecified statutory </w:t>
      </w:r>
      <w:r w:rsidRPr="006101C1">
        <w:t>references are to the Penal Code.</w:t>
      </w:r>
    </w:p>
  </w:footnote>
  <w:footnote w:id="3">
    <w:p w14:paraId="71C19204" w14:textId="1BFE3348" w:rsidR="0040257E" w:rsidRDefault="0053713C" w:rsidP="00487068">
      <w:pPr>
        <w:pStyle w:val="Subtitle"/>
      </w:pPr>
      <w:r w:rsidRPr="00487068">
        <w:rPr>
          <w:rStyle w:val="FootnoteReference"/>
          <w:b/>
          <w:bCs/>
        </w:rPr>
        <w:footnoteRef/>
      </w:r>
      <w:r>
        <w:t xml:space="preserve"> Despite the September 17, 2018 file-stamp</w:t>
      </w:r>
      <w:r w:rsidR="005729FA">
        <w:t>ed</w:t>
      </w:r>
      <w:r>
        <w:t xml:space="preserve"> date that appears on the </w:t>
      </w:r>
      <w:r w:rsidR="00FD2A22">
        <w:t>c</w:t>
      </w:r>
      <w:r>
        <w:t xml:space="preserve">ertification of </w:t>
      </w:r>
      <w:r w:rsidR="00FD2A22">
        <w:t>m</w:t>
      </w:r>
      <w:r>
        <w:t xml:space="preserve">ental </w:t>
      </w:r>
      <w:r w:rsidR="00FD2A22">
        <w:t>c</w:t>
      </w:r>
      <w:r>
        <w:t>ompetency provide</w:t>
      </w:r>
      <w:r w:rsidR="005729FA">
        <w:t>d</w:t>
      </w:r>
      <w:r>
        <w:t xml:space="preserve"> to this court, Rodriguez alleges that “the parties stipulated” in the trial court that the certification wa</w:t>
      </w:r>
      <w:r>
        <w:t>s filed on “September 7, 2018” (</w:t>
      </w:r>
      <w:r w:rsidR="00DF3A1A">
        <w:t>boldface</w:t>
      </w:r>
      <w:r>
        <w:t xml:space="preserve"> omitted).  In his return, the district attorney admits Rodriguez’s allegation.  </w:t>
      </w:r>
    </w:p>
  </w:footnote>
  <w:footnote w:id="4">
    <w:p w14:paraId="438B4AD3" w14:textId="1842E826" w:rsidR="0040257E" w:rsidRDefault="0053713C" w:rsidP="00EB0D37">
      <w:pPr>
        <w:pStyle w:val="Subtitle"/>
      </w:pPr>
      <w:r w:rsidRPr="00647425">
        <w:rPr>
          <w:rStyle w:val="FootnoteReference"/>
          <w:b/>
          <w:bCs/>
        </w:rPr>
        <w:footnoteRef/>
      </w:r>
      <w:r>
        <w:t xml:space="preserve"> Effective January 1, 2019, the maximum incompetency commitment under section 1370(c)(1), was reduced from three years to two.  (Stat</w:t>
      </w:r>
      <w:r>
        <w:t xml:space="preserve">s. 2018, ch. 1008, § 2 [Senate Bill No. 1187 (2017-2018 Reg. Sess.)].)  The material provided to this court does not include any calculation of commitment credits that may have been made by DSH for case </w:t>
      </w:r>
      <w:r w:rsidR="0072046C">
        <w:t>Nos.</w:t>
      </w:r>
      <w:r>
        <w:t xml:space="preserve"> C1647395 and C1650275.  In addition, the parties</w:t>
      </w:r>
      <w:r>
        <w:t xml:space="preserve"> have not provided this court the charging document in case </w:t>
      </w:r>
      <w:r w:rsidR="0072046C">
        <w:t>No.</w:t>
      </w:r>
      <w:r>
        <w:t xml:space="preserve"> C1898510.  However, the trial court’s </w:t>
      </w:r>
      <w:r w:rsidR="0072046C">
        <w:t>o</w:t>
      </w:r>
      <w:r>
        <w:t xml:space="preserve">rder of </w:t>
      </w:r>
      <w:r w:rsidR="0072046C">
        <w:t>c</w:t>
      </w:r>
      <w:r>
        <w:t xml:space="preserve">ommitment lists an additional misdemeanor battery charge (§ 243, subd. (a)).  </w:t>
      </w:r>
    </w:p>
  </w:footnote>
  <w:footnote w:id="5">
    <w:p w14:paraId="2634E3A9" w14:textId="1D3F409D" w:rsidR="0040257E" w:rsidRDefault="0053713C" w:rsidP="008A0A14">
      <w:pPr>
        <w:pStyle w:val="Subtitle"/>
      </w:pPr>
      <w:r w:rsidRPr="00487068">
        <w:rPr>
          <w:rStyle w:val="FootnoteReference"/>
          <w:b/>
          <w:bCs/>
        </w:rPr>
        <w:footnoteRef/>
      </w:r>
      <w:r>
        <w:t xml:space="preserve"> Rodriguez alleges that the parties stipulated to a filed date of “January 9, 2020” for this second certification (</w:t>
      </w:r>
      <w:r w:rsidR="0072046C">
        <w:t>bold</w:t>
      </w:r>
      <w:r w:rsidR="00A677EF">
        <w:t>face</w:t>
      </w:r>
      <w:r>
        <w:t xml:space="preserve"> omitted).  The district attorney admits Rodriguez’s allegation.  </w:t>
      </w:r>
    </w:p>
  </w:footnote>
  <w:footnote w:id="6">
    <w:p w14:paraId="7CFD1F18" w14:textId="2C860095" w:rsidR="0040257E" w:rsidRDefault="0053713C" w:rsidP="000C3CAE">
      <w:pPr>
        <w:pStyle w:val="Subtitle"/>
      </w:pPr>
      <w:r w:rsidRPr="000C3CAE">
        <w:rPr>
          <w:rStyle w:val="FootnoteReference"/>
          <w:b/>
          <w:bCs/>
        </w:rPr>
        <w:footnoteRef/>
      </w:r>
      <w:r w:rsidRPr="000C3CAE">
        <w:rPr>
          <w:b/>
          <w:bCs/>
        </w:rPr>
        <w:t xml:space="preserve"> </w:t>
      </w:r>
      <w:r>
        <w:t>The record before this court does not include a transcript of th</w:t>
      </w:r>
      <w:r>
        <w:t>is hearing and does not otherwise disclose which party requested the formal restoration hearing</w:t>
      </w:r>
      <w:r w:rsidR="005E3B93">
        <w:t xml:space="preserve">, although at oral argument petitioner </w:t>
      </w:r>
      <w:r w:rsidR="0050061C">
        <w:t>indicated he believed it</w:t>
      </w:r>
      <w:r w:rsidR="005E3B93">
        <w:t xml:space="preserve"> was counsel for Rodriguez</w:t>
      </w:r>
      <w:r>
        <w:t>.  We note that, with respect to Rodriguez’s earlier restoration proceed</w:t>
      </w:r>
      <w:r>
        <w:t>ing, the parties submitted the question of restoration to competenc</w:t>
      </w:r>
      <w:r w:rsidR="001D143B">
        <w:t>e</w:t>
      </w:r>
      <w:r>
        <w:t xml:space="preserve"> on the examiners’ reports.  The trial court found Rodriguez’s competency restored and reinstated the proceedings less than two weeks after the </w:t>
      </w:r>
      <w:r w:rsidR="00FD2A22">
        <w:t>m</w:t>
      </w:r>
      <w:r>
        <w:t xml:space="preserve">edical </w:t>
      </w:r>
      <w:r w:rsidR="00FD2A22">
        <w:t>d</w:t>
      </w:r>
      <w:r>
        <w:t>irector of Atascadero State Hospita</w:t>
      </w:r>
      <w:r>
        <w:t xml:space="preserve">l issued a certification of competency. </w:t>
      </w:r>
    </w:p>
  </w:footnote>
  <w:footnote w:id="7">
    <w:p w14:paraId="1C3446C2" w14:textId="25DB8CAD" w:rsidR="0040257E" w:rsidRDefault="0053713C" w:rsidP="008239F2">
      <w:pPr>
        <w:pStyle w:val="Subtitle"/>
      </w:pPr>
      <w:r w:rsidRPr="00DE5FF4">
        <w:rPr>
          <w:rStyle w:val="FootnoteReference"/>
          <w:b/>
          <w:bCs/>
        </w:rPr>
        <w:footnoteRef/>
      </w:r>
      <w:r>
        <w:t xml:space="preserve"> Rodriguez subsequently filed two supplements to his motion.  Unlike his original motion, the cover pages of his supplements also include the case number for his misdemeanor battery case (C1988510).  Additionally, </w:t>
      </w:r>
      <w:r>
        <w:t>in his second supplement, Rodriguez asserted that “all three matters, (at least as they exist under these two docket numbers) [</w:t>
      </w:r>
      <w:r w:rsidRPr="007014ED">
        <w:rPr>
          <w:i/>
          <w:iCs/>
        </w:rPr>
        <w:t>sic</w:t>
      </w:r>
      <w:r>
        <w:t xml:space="preserve">] should be dismissed.” </w:t>
      </w:r>
      <w:r w:rsidR="008049D5">
        <w:t xml:space="preserve"> Nevertheless, </w:t>
      </w:r>
      <w:r w:rsidR="00450C69">
        <w:t>in his petition</w:t>
      </w:r>
      <w:r w:rsidR="001D6EB2">
        <w:t xml:space="preserve"> for a writ of prohibition</w:t>
      </w:r>
      <w:r w:rsidR="00450C69">
        <w:t xml:space="preserve"> to this court, </w:t>
      </w:r>
      <w:r w:rsidR="008049D5">
        <w:t xml:space="preserve">Rodriguez does not </w:t>
      </w:r>
      <w:r w:rsidR="00AB287F">
        <w:t xml:space="preserve">address </w:t>
      </w:r>
      <w:r w:rsidR="001D6EB2">
        <w:t>his</w:t>
      </w:r>
      <w:r w:rsidR="008049D5">
        <w:t xml:space="preserve"> misdemeanor case.  We therefore </w:t>
      </w:r>
      <w:r w:rsidR="00450C69">
        <w:t>will</w:t>
      </w:r>
      <w:r w:rsidR="008049D5">
        <w:t xml:space="preserve"> not </w:t>
      </w:r>
      <w:r w:rsidR="00450C69">
        <w:t xml:space="preserve">consider </w:t>
      </w:r>
      <w:r w:rsidR="001D6EB2">
        <w:t>the</w:t>
      </w:r>
      <w:r w:rsidR="00450C69">
        <w:t xml:space="preserve"> misdemeanor case when addressing the issues </w:t>
      </w:r>
      <w:r w:rsidR="001D6EB2">
        <w:t xml:space="preserve">raised by </w:t>
      </w:r>
      <w:r w:rsidR="00450C69">
        <w:t>Rodriguez in his petition.</w:t>
      </w:r>
      <w:r w:rsidR="008049D5">
        <w:t xml:space="preserve"> </w:t>
      </w:r>
    </w:p>
  </w:footnote>
  <w:footnote w:id="8">
    <w:p w14:paraId="6C91FAA5" w14:textId="2A6581E6" w:rsidR="0040257E" w:rsidRDefault="0053713C" w:rsidP="00792477">
      <w:pPr>
        <w:pStyle w:val="Subtitle"/>
      </w:pPr>
      <w:r w:rsidRPr="00EE7788">
        <w:rPr>
          <w:rStyle w:val="FootnoteReference"/>
          <w:b/>
          <w:bCs/>
        </w:rPr>
        <w:footnoteRef/>
      </w:r>
      <w:r>
        <w:t xml:space="preserve"> The district attorney did not dispute the applicability of the two-year statutory </w:t>
      </w:r>
      <w:r w:rsidR="009C53F5">
        <w:t>maximum</w:t>
      </w:r>
      <w:r>
        <w:t xml:space="preserve"> (effective Jan</w:t>
      </w:r>
      <w:r w:rsidR="00000B49">
        <w:t>.</w:t>
      </w:r>
      <w:r>
        <w:t xml:space="preserve"> 1, 2019) to</w:t>
      </w:r>
      <w:r>
        <w:t xml:space="preserve"> Rodriguez’s cases.</w:t>
      </w:r>
    </w:p>
  </w:footnote>
  <w:footnote w:id="9">
    <w:p w14:paraId="22A93C11" w14:textId="4044A5F1" w:rsidR="0040257E" w:rsidRDefault="0053713C" w:rsidP="00936E10">
      <w:pPr>
        <w:pStyle w:val="Subtitle"/>
      </w:pPr>
      <w:r w:rsidRPr="00936E10">
        <w:rPr>
          <w:rStyle w:val="FootnoteReference"/>
          <w:b/>
          <w:bCs/>
        </w:rPr>
        <w:footnoteRef/>
      </w:r>
      <w:r>
        <w:t xml:space="preserve"> </w:t>
      </w:r>
      <w:r w:rsidRPr="00F47F3B">
        <w:t>In his prayer</w:t>
      </w:r>
      <w:r>
        <w:t xml:space="preserve"> for relief, Rodriguez also asks us to take judicial notice of “all records and pleadings” in case </w:t>
      </w:r>
      <w:r w:rsidR="002F782B">
        <w:t>Nos.</w:t>
      </w:r>
      <w:r>
        <w:t xml:space="preserve"> C1647395 and C1650275.  Regarding judicial notice, t</w:t>
      </w:r>
      <w:r w:rsidRPr="00936E10">
        <w:t>he California Rules of Court provide</w:t>
      </w:r>
      <w:r>
        <w:t>:</w:t>
      </w:r>
      <w:r w:rsidRPr="00936E10">
        <w:t xml:space="preserve"> </w:t>
      </w:r>
      <w:r>
        <w:t xml:space="preserve"> “</w:t>
      </w:r>
      <w:r w:rsidRPr="00936E10">
        <w:t xml:space="preserve">To obtain </w:t>
      </w:r>
      <w:r w:rsidRPr="00936E10">
        <w:t>judicial notice by a reviewing court under Evidence Code section 459, a party must serve and file a separate motion</w:t>
      </w:r>
      <w:r>
        <w:t xml:space="preserve">,” </w:t>
      </w:r>
      <w:r w:rsidR="00EF74A4" w:rsidRPr="00936E10">
        <w:t>(Cal. Rules of Court, rule 8.252(a)(1)</w:t>
      </w:r>
      <w:r w:rsidR="00EF74A4">
        <w:t>)</w:t>
      </w:r>
      <w:r w:rsidR="00EF74A4" w:rsidRPr="00936E10">
        <w:t xml:space="preserve"> </w:t>
      </w:r>
      <w:r w:rsidRPr="00936E10">
        <w:t xml:space="preserve">which must state why the matter </w:t>
      </w:r>
      <w:r>
        <w:t xml:space="preserve">to be noticed </w:t>
      </w:r>
      <w:r w:rsidRPr="00936E10">
        <w:t>is relevant, whether it was presented to the trial c</w:t>
      </w:r>
      <w:r w:rsidRPr="00936E10">
        <w:t>ourt, whether the trial court took judicial notice of the matter, and, if not, why the matter is subject to judicial notice</w:t>
      </w:r>
      <w:r>
        <w:t xml:space="preserve"> under the Evidence Code</w:t>
      </w:r>
      <w:r w:rsidRPr="00936E10">
        <w:t xml:space="preserve">. </w:t>
      </w:r>
      <w:r>
        <w:t xml:space="preserve"> </w:t>
      </w:r>
      <w:r w:rsidRPr="00936E10">
        <w:t>(</w:t>
      </w:r>
      <w:r w:rsidR="00EF74A4" w:rsidRPr="00CC67DE">
        <w:rPr>
          <w:i/>
          <w:iCs/>
        </w:rPr>
        <w:t>Id</w:t>
      </w:r>
      <w:r w:rsidR="00143C62" w:rsidRPr="00CC67DE">
        <w:t>.</w:t>
      </w:r>
      <w:r w:rsidR="00E075E4">
        <w:t>,</w:t>
      </w:r>
      <w:r w:rsidRPr="00936E10">
        <w:t xml:space="preserve"> (2)(A</w:t>
      </w:r>
      <w:r>
        <w:t>)</w:t>
      </w:r>
      <w:r w:rsidRPr="00936E10">
        <w:t>–</w:t>
      </w:r>
      <w:r>
        <w:t>(</w:t>
      </w:r>
      <w:r w:rsidRPr="00936E10">
        <w:t>C</w:t>
      </w:r>
      <w:r>
        <w:t>)</w:t>
      </w:r>
      <w:r w:rsidRPr="00936E10">
        <w:t>.)</w:t>
      </w:r>
      <w:r>
        <w:t xml:space="preserve">  In addition, “</w:t>
      </w:r>
      <w:r w:rsidRPr="00936E10">
        <w:t xml:space="preserve">If the matter to be noticed is not in the record, the party must attach </w:t>
      </w:r>
      <w:r w:rsidRPr="00936E10">
        <w:t>to the motion a copy of the matter to be noticed or an explanation of why it is not practicable to do so.</w:t>
      </w:r>
      <w:r>
        <w:t xml:space="preserve">”  </w:t>
      </w:r>
      <w:r w:rsidRPr="00936E10">
        <w:t>(</w:t>
      </w:r>
      <w:r w:rsidR="00143C62" w:rsidRPr="00DF3454">
        <w:rPr>
          <w:i/>
          <w:iCs/>
        </w:rPr>
        <w:t>Id</w:t>
      </w:r>
      <w:r w:rsidR="00143C62" w:rsidRPr="00DF3454">
        <w:t>.</w:t>
      </w:r>
      <w:r w:rsidR="00E075E4">
        <w:t>,</w:t>
      </w:r>
      <w:r w:rsidR="00143C62">
        <w:t xml:space="preserve"> </w:t>
      </w:r>
      <w:r w:rsidRPr="00936E10">
        <w:t>(a)(</w:t>
      </w:r>
      <w:r>
        <w:t>3</w:t>
      </w:r>
      <w:r w:rsidRPr="00936E10">
        <w:t>)</w:t>
      </w:r>
      <w:r>
        <w:t>.)  Because Rodriguez has not filed a separate motion in accordance with the relevant court rule, we decline his request for judicial no</w:t>
      </w:r>
      <w:r>
        <w:t xml:space="preserve">tice. </w:t>
      </w:r>
      <w:r w:rsidRPr="00936E10">
        <w:t xml:space="preserve"> </w:t>
      </w:r>
      <w:r>
        <w:t xml:space="preserve"> </w:t>
      </w:r>
    </w:p>
  </w:footnote>
  <w:footnote w:id="10">
    <w:p w14:paraId="358C345D" w14:textId="26532158" w:rsidR="001A7C64" w:rsidRDefault="0053713C" w:rsidP="001A7C64">
      <w:pPr>
        <w:pStyle w:val="Subtitle"/>
      </w:pPr>
      <w:r w:rsidRPr="001A7C64">
        <w:rPr>
          <w:rStyle w:val="FootnoteReference"/>
          <w:b/>
          <w:bCs/>
        </w:rPr>
        <w:footnoteRef/>
      </w:r>
      <w:r>
        <w:t xml:space="preserve"> We note that</w:t>
      </w:r>
      <w:r w:rsidR="009C3526">
        <w:t>, although</w:t>
      </w:r>
      <w:r>
        <w:t xml:space="preserve"> </w:t>
      </w:r>
      <w:r w:rsidR="009C7047">
        <w:t>Rodriguez acknowledges “the COVID-19 pandemic impacted the timing” of the impending restoration hearing, his current claims</w:t>
      </w:r>
      <w:r w:rsidR="009C3526">
        <w:t xml:space="preserve"> regarding the </w:t>
      </w:r>
      <w:r w:rsidR="005D36C8">
        <w:t xml:space="preserve">duration of the </w:t>
      </w:r>
      <w:r w:rsidR="009C3526">
        <w:t xml:space="preserve">commitment period and lack of jurisdiction to hold a restoration hearing after the commitment period lapses do not turn on </w:t>
      </w:r>
      <w:r w:rsidR="00F004BD">
        <w:t>the particular</w:t>
      </w:r>
      <w:r w:rsidR="009C3526">
        <w:t xml:space="preserve"> reasons </w:t>
      </w:r>
      <w:r w:rsidR="001219C6">
        <w:t>for</w:t>
      </w:r>
      <w:r w:rsidR="005D36C8">
        <w:t xml:space="preserve"> fail</w:t>
      </w:r>
      <w:r w:rsidR="00BE6A79">
        <w:t>ing</w:t>
      </w:r>
      <w:r w:rsidR="005D36C8">
        <w:t xml:space="preserve"> to hold </w:t>
      </w:r>
      <w:r w:rsidR="00BD3790">
        <w:t xml:space="preserve">such a </w:t>
      </w:r>
      <w:r w:rsidR="005D36C8">
        <w:t>hearing</w:t>
      </w:r>
      <w:r w:rsidR="00F004BD">
        <w:t>, including the COVID-19 pandemic</w:t>
      </w:r>
      <w:r w:rsidR="005D36C8">
        <w:t xml:space="preserve">.  Rather, Rodriguez </w:t>
      </w:r>
      <w:r w:rsidR="00F004BD">
        <w:t>makes the general claim</w:t>
      </w:r>
      <w:r w:rsidR="005D36C8">
        <w:t xml:space="preserve"> </w:t>
      </w:r>
      <w:r w:rsidR="005D36C8" w:rsidRPr="005D36C8">
        <w:t>that “the competency statutes [do not] permit continuances past time limits” and “the competency commitment period must be treated as mandatory, not discretionary</w:t>
      </w:r>
      <w:r w:rsidR="005B6CCD">
        <w:t>.</w:t>
      </w:r>
      <w:r w:rsidR="005D36C8" w:rsidRPr="005D36C8">
        <w:t xml:space="preserve">” </w:t>
      </w:r>
      <w:r w:rsidR="00F004BD">
        <w:t xml:space="preserve"> Rodriguez defines the “commitment period” solely by reference to the dates of the </w:t>
      </w:r>
      <w:r w:rsidR="00A677EF">
        <w:t xml:space="preserve">trial </w:t>
      </w:r>
      <w:r w:rsidR="00F004BD">
        <w:t>court</w:t>
      </w:r>
      <w:r w:rsidR="00870F53">
        <w:t>’s</w:t>
      </w:r>
      <w:r w:rsidR="00F004BD">
        <w:t xml:space="preserve"> orders on competence.</w:t>
      </w:r>
      <w:r w:rsidR="005B6CCD">
        <w:t xml:space="preserve"> </w:t>
      </w:r>
    </w:p>
  </w:footnote>
  <w:footnote w:id="11">
    <w:p w14:paraId="66A2B544" w14:textId="3AFD8D40" w:rsidR="0040257E" w:rsidRDefault="0053713C" w:rsidP="00B22C6A">
      <w:pPr>
        <w:pStyle w:val="Subtitle"/>
      </w:pPr>
      <w:r w:rsidRPr="00B22C6A">
        <w:rPr>
          <w:rStyle w:val="FootnoteReference"/>
          <w:b/>
          <w:bCs/>
        </w:rPr>
        <w:footnoteRef/>
      </w:r>
      <w:r>
        <w:t xml:space="preserve"> The Legislature</w:t>
      </w:r>
      <w:r>
        <w:t xml:space="preserve"> recently amended section 1370, subdivision (b)(1), but the amendment does not materially alter the reporting requirement as stated here.  (See </w:t>
      </w:r>
      <w:r w:rsidRPr="00B22C6A">
        <w:t xml:space="preserve">Stats. </w:t>
      </w:r>
      <w:r>
        <w:t>2021</w:t>
      </w:r>
      <w:r w:rsidRPr="00B22C6A">
        <w:t>, ch. 1</w:t>
      </w:r>
      <w:r>
        <w:t>43</w:t>
      </w:r>
      <w:r w:rsidRPr="00B22C6A">
        <w:t xml:space="preserve">, § </w:t>
      </w:r>
      <w:r>
        <w:t>343.)</w:t>
      </w:r>
    </w:p>
  </w:footnote>
  <w:footnote w:id="12">
    <w:p w14:paraId="2D638525" w14:textId="139ACDD2" w:rsidR="0040257E" w:rsidRDefault="0053713C" w:rsidP="00F245CD">
      <w:pPr>
        <w:pStyle w:val="Subtitle"/>
      </w:pPr>
      <w:r w:rsidRPr="00F245CD">
        <w:rPr>
          <w:rStyle w:val="FootnoteReference"/>
          <w:b/>
          <w:bCs/>
        </w:rPr>
        <w:footnoteRef/>
      </w:r>
      <w:r>
        <w:t xml:space="preserve"> In addition</w:t>
      </w:r>
      <w:r w:rsidRPr="00191022">
        <w:t xml:space="preserve">, under section 1370, subdivision </w:t>
      </w:r>
      <w:bookmarkStart w:id="5" w:name="_Hlk83379198"/>
      <w:r w:rsidRPr="00191022">
        <w:t>(a)(1)(G), a second competency hear</w:t>
      </w:r>
      <w:r w:rsidRPr="00191022">
        <w:t>ing during the commitment period is authorized (without issuance of a certificate of restoration) if there is substantial evidence of a change in the defendant’s condition</w:t>
      </w:r>
      <w:bookmarkEnd w:id="5"/>
      <w:r w:rsidRPr="00191022">
        <w:t xml:space="preserve">. </w:t>
      </w:r>
    </w:p>
  </w:footnote>
  <w:footnote w:id="13">
    <w:p w14:paraId="7ACC5C47" w14:textId="3E000B76" w:rsidR="0040257E" w:rsidRDefault="0053713C" w:rsidP="00A06659">
      <w:pPr>
        <w:pStyle w:val="Subtitle"/>
      </w:pPr>
      <w:r w:rsidRPr="001F7577">
        <w:rPr>
          <w:rStyle w:val="FootnoteReference"/>
          <w:b/>
          <w:bCs/>
        </w:rPr>
        <w:footnoteRef/>
      </w:r>
      <w:r>
        <w:t xml:space="preserve"> Section 1372, subdivision (c), provides:  “When a defendant is returned to court</w:t>
      </w:r>
      <w:r>
        <w:t xml:space="preserve"> with a certification that competence has been regained, the court shall notify either the community program director, the county mental health director, or the regional center director and the Director of Developmental Services, as appropriate, of the dat</w:t>
      </w:r>
      <w:r>
        <w:t xml:space="preserve">e of any hearing on the defendant’s competence and whether or not the defendant was found by the court to have recovered competence.”  </w:t>
      </w:r>
      <w:r w:rsidR="00FB527F">
        <w:t xml:space="preserve">(§ 1372, subd. (c).)  </w:t>
      </w:r>
      <w:r>
        <w:t>The restoration hearing afforded by this subdivision was first enacted in 1980.  (</w:t>
      </w:r>
      <w:r w:rsidRPr="00400330">
        <w:t>Stats.</w:t>
      </w:r>
      <w:r>
        <w:t xml:space="preserve"> 1980</w:t>
      </w:r>
      <w:r w:rsidRPr="00400330">
        <w:t>, c</w:t>
      </w:r>
      <w:r>
        <w:t>h</w:t>
      </w:r>
      <w:r w:rsidRPr="00400330">
        <w:t xml:space="preserve">. </w:t>
      </w:r>
      <w:r>
        <w:t>547</w:t>
      </w:r>
      <w:r w:rsidRPr="00400330">
        <w:t xml:space="preserve">, § </w:t>
      </w:r>
      <w:r>
        <w:t>1</w:t>
      </w:r>
      <w:r w:rsidRPr="00400330">
        <w:t>4</w:t>
      </w:r>
      <w:r>
        <w:t>, p.</w:t>
      </w:r>
      <w:r w:rsidR="005729FA">
        <w:t> </w:t>
      </w:r>
      <w:r>
        <w:t>1517.)  Prior to the 1980 amendment, section 1372 did not include any reference to a court determination on the issue of recovered competence.  (See Stats. 1974, ch. 1511, §</w:t>
      </w:r>
      <w:r w:rsidR="009F1D6C">
        <w:t> </w:t>
      </w:r>
      <w:r>
        <w:t>8, p. 3320.)</w:t>
      </w:r>
    </w:p>
    <w:p w14:paraId="60DCFA2C" w14:textId="2675AA92" w:rsidR="0040257E" w:rsidRDefault="0053713C" w:rsidP="00A06659">
      <w:pPr>
        <w:pStyle w:val="Subtitle"/>
      </w:pPr>
      <w:r>
        <w:t>Section 1372, subdivision (d), provides:  “If the commi</w:t>
      </w:r>
      <w:r>
        <w:t xml:space="preserve">tting court approves the certificate of restoration to competence as to a person in custody, the court shall hold a hearing to determine whether the person is entitled to be admitted to bail or released on own recognizance status pending conclusion of the </w:t>
      </w:r>
      <w:r>
        <w:t xml:space="preserve">proceedings.  If the superior court approves the certificate of restoration to competence regarding a person on outpatient status, unless it appears that the person has refused to come to court, that person shall remain released either on own recognizance </w:t>
      </w:r>
      <w:r>
        <w:t>status, or, in the case of a developmentally disabled person, either on the defendant’s promise or on the promise of a responsible adult to secure the person’s appearance in court for further proceedings.  If the person has refused to come to court, the co</w:t>
      </w:r>
      <w:r>
        <w:t>urt shall set bail and may place the person in custody until bail is posted.”</w:t>
      </w:r>
      <w:r w:rsidR="00A64862">
        <w:t xml:space="preserve">  (</w:t>
      </w:r>
      <w:r w:rsidR="00A64862" w:rsidRPr="00CD08AD">
        <w:t>§</w:t>
      </w:r>
      <w:r w:rsidR="00A64862">
        <w:t> </w:t>
      </w:r>
      <w:r w:rsidR="00A64862" w:rsidRPr="00CD08AD">
        <w:t>1372, subd. (</w:t>
      </w:r>
      <w:r w:rsidR="00A64862">
        <w:t>d).)</w:t>
      </w:r>
    </w:p>
    <w:p w14:paraId="18764E64" w14:textId="31E3D5D4" w:rsidR="0040257E" w:rsidRPr="001F7577" w:rsidRDefault="0053713C" w:rsidP="00A06659">
      <w:pPr>
        <w:pStyle w:val="Subtitle"/>
      </w:pPr>
      <w:r>
        <w:t xml:space="preserve">Further, under section 1372, subdivision (e), if the court has approved a certificate of restoration to competence but has not </w:t>
      </w:r>
      <w:r w:rsidRPr="001F7577">
        <w:t xml:space="preserve">admitted </w:t>
      </w:r>
      <w:r>
        <w:t xml:space="preserve">the defendant </w:t>
      </w:r>
      <w:r w:rsidRPr="001F7577">
        <w:t>to bail or released</w:t>
      </w:r>
      <w:r>
        <w:t xml:space="preserve"> him or her pursuant to </w:t>
      </w:r>
      <w:r w:rsidRPr="001F7577">
        <w:t>subdivision (d)</w:t>
      </w:r>
      <w:r>
        <w:t>, it</w:t>
      </w:r>
      <w:r w:rsidRPr="001F7577">
        <w:t xml:space="preserve"> may</w:t>
      </w:r>
      <w:r>
        <w:t xml:space="preserve"> order the defendant placed in a secure treatment facility upon a recommendation from a designated health official that defendant “will need continued treatment </w:t>
      </w:r>
      <w:r w:rsidR="009F1D6C">
        <w:t xml:space="preserve">in a hospital or treatment facility </w:t>
      </w:r>
      <w:r>
        <w:t xml:space="preserve">in order </w:t>
      </w:r>
      <w:r w:rsidRPr="001F7577">
        <w:t>to maintain competence to stand trial</w:t>
      </w:r>
      <w:r>
        <w:t>”</w:t>
      </w:r>
      <w:r w:rsidRPr="001F7577">
        <w:t xml:space="preserve"> or</w:t>
      </w:r>
      <w:r>
        <w:t xml:space="preserve"> “placing</w:t>
      </w:r>
      <w:r>
        <w:t xml:space="preserve"> the </w:t>
      </w:r>
      <w:r w:rsidRPr="001F7577">
        <w:t>person in a jail environment would create a substantial risk that the person would again become incompetent to stand trial before criminal proceedings could be resumed.</w:t>
      </w:r>
      <w:r>
        <w:t>”  (</w:t>
      </w:r>
      <w:r w:rsidRPr="00CD08AD">
        <w:t>§</w:t>
      </w:r>
      <w:r>
        <w:t> </w:t>
      </w:r>
      <w:r w:rsidRPr="00CD08AD">
        <w:t>1372, subd. (</w:t>
      </w:r>
      <w:r>
        <w:t>e</w:t>
      </w:r>
      <w:r w:rsidRPr="00CD08AD">
        <w:t>)</w:t>
      </w:r>
      <w:r>
        <w:t>.)</w:t>
      </w:r>
    </w:p>
  </w:footnote>
  <w:footnote w:id="14">
    <w:p w14:paraId="7CC0A6CF" w14:textId="37EE4E13" w:rsidR="0040257E" w:rsidRDefault="0053713C" w:rsidP="00B20A4E">
      <w:pPr>
        <w:pStyle w:val="Subtitle"/>
      </w:pPr>
      <w:r w:rsidRPr="00B22C6A">
        <w:rPr>
          <w:rStyle w:val="FootnoteReference"/>
          <w:b/>
          <w:bCs/>
        </w:rPr>
        <w:footnoteRef/>
      </w:r>
      <w:r>
        <w:t xml:space="preserve"> The Legislature recently amended section 1370, subdivisio</w:t>
      </w:r>
      <w:r>
        <w:t xml:space="preserve">n (c)(2), by renumbering it as subdivision (c)(3).  (See </w:t>
      </w:r>
      <w:r w:rsidRPr="00B22C6A">
        <w:t xml:space="preserve">Stats. </w:t>
      </w:r>
      <w:r>
        <w:t>2021</w:t>
      </w:r>
      <w:r w:rsidRPr="00B22C6A">
        <w:t>, ch. 1</w:t>
      </w:r>
      <w:r>
        <w:t>43</w:t>
      </w:r>
      <w:r w:rsidRPr="00B22C6A">
        <w:t xml:space="preserve">, § </w:t>
      </w:r>
      <w:r>
        <w:t>343.)</w:t>
      </w:r>
    </w:p>
  </w:footnote>
  <w:footnote w:id="15">
    <w:p w14:paraId="597A98DF" w14:textId="2B307114" w:rsidR="00DB56A8" w:rsidRDefault="0053713C" w:rsidP="00DB56A8">
      <w:pPr>
        <w:pStyle w:val="Subtitle"/>
      </w:pPr>
      <w:r w:rsidRPr="00D862CC">
        <w:rPr>
          <w:rStyle w:val="FootnoteReference"/>
          <w:b/>
          <w:bCs/>
        </w:rPr>
        <w:footnoteRef/>
      </w:r>
      <w:r>
        <w:t xml:space="preserve"> Because the district attorney apparently concedes that Rodriguez’s “commitment” under section 1370(c)(1) began on the date of the </w:t>
      </w:r>
      <w:r w:rsidR="008440A5">
        <w:t xml:space="preserve">trial </w:t>
      </w:r>
      <w:r>
        <w:t>court’s order of commitment, we</w:t>
      </w:r>
      <w:r>
        <w:t xml:space="preserve"> assume without deciding that the beginning of each of</w:t>
      </w:r>
      <w:r w:rsidR="008440A5">
        <w:t xml:space="preserve"> </w:t>
      </w:r>
      <w:r>
        <w:t>Rodriguez’s commitment</w:t>
      </w:r>
      <w:r w:rsidR="008440A5">
        <w:t>s</w:t>
      </w:r>
      <w:r>
        <w:t xml:space="preserve"> is </w:t>
      </w:r>
      <w:r w:rsidR="00485B53">
        <w:t xml:space="preserve">determined by </w:t>
      </w:r>
      <w:r>
        <w:t xml:space="preserve">the two commitment order dates (i.e., May 24, 2018, and May 16, 2019).  </w:t>
      </w:r>
    </w:p>
  </w:footnote>
  <w:footnote w:id="16">
    <w:p w14:paraId="146032B8" w14:textId="330D01FA" w:rsidR="0040257E" w:rsidRDefault="0053713C" w:rsidP="008E6024">
      <w:pPr>
        <w:pStyle w:val="Subtitle"/>
      </w:pPr>
      <w:r w:rsidRPr="001271A8">
        <w:rPr>
          <w:rStyle w:val="FootnoteReference"/>
          <w:b/>
          <w:bCs/>
        </w:rPr>
        <w:footnoteRef/>
      </w:r>
      <w:r>
        <w:t xml:space="preserve"> Current section 1370.1, subdivision </w:t>
      </w:r>
      <w:r w:rsidRPr="001271A8">
        <w:t>(c)(1)(A)</w:t>
      </w:r>
      <w:r>
        <w:t xml:space="preserve"> is similar, but not identical to sectio</w:t>
      </w:r>
      <w:r>
        <w:t xml:space="preserve">n 1370(c)(1).  Section 1370.1, subdivision </w:t>
      </w:r>
      <w:r w:rsidRPr="001271A8">
        <w:t>(c)(1)(A)</w:t>
      </w:r>
      <w:r>
        <w:t xml:space="preserve"> provides in full:</w:t>
      </w:r>
      <w:r w:rsidRPr="001271A8">
        <w:t xml:space="preserve"> </w:t>
      </w:r>
      <w:r>
        <w:t xml:space="preserve"> “</w:t>
      </w:r>
      <w:r w:rsidRPr="001271A8">
        <w:t>At the end of two years from the date of commitment or a period of commitment equal to the maximum term of imprisonment provided by law for the most serious offense charged in the inf</w:t>
      </w:r>
      <w:r w:rsidRPr="001271A8">
        <w:t>ormation, indictment, or misdemeanor complaint, or the maximum term of imprisonment provided by law for a violation of probation or mandatory supervision, whichever is shorter, a defendant who has not become mentally competent shall be returned to the comm</w:t>
      </w:r>
      <w:r w:rsidRPr="001271A8">
        <w:t>itting court.</w:t>
      </w:r>
      <w:r>
        <w:t xml:space="preserve">”  </w:t>
      </w:r>
      <w:r w:rsidR="00F430C8">
        <w:t xml:space="preserve">(§ 1370.1, subds. (c)(1)(A).) </w:t>
      </w:r>
      <w:r w:rsidR="00F87FC7">
        <w:t xml:space="preserve"> </w:t>
      </w:r>
      <w:r>
        <w:t>Further, section 1370.1 is like section 1370 in that “[a] defendant who has not regained competency within the maximum period must be returned to court and either released or recommitted under alternative comm</w:t>
      </w:r>
      <w:r>
        <w:t>itment procedures.  (§ 1370.1, subds. (c)(1)(A), (c)(2)(A</w:t>
      </w:r>
      <w:r w:rsidRPr="00C55152">
        <w:t>).)”  (</w:t>
      </w:r>
      <w:r w:rsidRPr="00C55152">
        <w:rPr>
          <w:i/>
          <w:iCs/>
        </w:rPr>
        <w:t>Carr</w:t>
      </w:r>
      <w:r w:rsidR="005B0B75" w:rsidRPr="00C55152">
        <w:rPr>
          <w:i/>
          <w:iCs/>
        </w:rPr>
        <w:t xml:space="preserve"> II</w:t>
      </w:r>
      <w:r w:rsidRPr="00C55152">
        <w:t xml:space="preserve">, </w:t>
      </w:r>
      <w:r w:rsidRPr="00C55152">
        <w:rPr>
          <w:i/>
          <w:iCs/>
        </w:rPr>
        <w:t>supra</w:t>
      </w:r>
      <w:r w:rsidRPr="00C55152">
        <w:t>, 59 Cal.App.5th at p. 1144</w:t>
      </w:r>
      <w:r>
        <w:t xml:space="preserve">; see also </w:t>
      </w:r>
      <w:r w:rsidRPr="001E31CE">
        <w:rPr>
          <w:i/>
          <w:iCs/>
        </w:rPr>
        <w:t>Medina</w:t>
      </w:r>
      <w:r>
        <w:t xml:space="preserve">, </w:t>
      </w:r>
      <w:r w:rsidRPr="001E31CE">
        <w:rPr>
          <w:i/>
          <w:iCs/>
        </w:rPr>
        <w:t>supra</w:t>
      </w:r>
      <w:r>
        <w:t>, 65 Cal.App.5th at p. 1207.)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7C7F" w14:textId="77777777" w:rsidR="0012322F" w:rsidRDefault="00123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9F3CE" w14:textId="77777777" w:rsidR="0012322F" w:rsidRDefault="00123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630D" w14:textId="77777777" w:rsidR="0012322F" w:rsidRDefault="00123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F7E2F"/>
    <w:multiLevelType w:val="hybridMultilevel"/>
    <w:tmpl w:val="B41C233E"/>
    <w:lvl w:ilvl="0" w:tplc="6A803A44">
      <w:start w:val="3"/>
      <w:numFmt w:val="bullet"/>
      <w:lvlText w:val="-"/>
      <w:lvlJc w:val="left"/>
      <w:pPr>
        <w:ind w:left="1080" w:hanging="360"/>
      </w:pPr>
      <w:rPr>
        <w:rFonts w:ascii="Times New Roman" w:eastAsiaTheme="minorHAnsi" w:hAnsi="Times New Roman" w:cs="Times New Roman" w:hint="default"/>
      </w:rPr>
    </w:lvl>
    <w:lvl w:ilvl="1" w:tplc="8CDC7B64" w:tentative="1">
      <w:start w:val="1"/>
      <w:numFmt w:val="bullet"/>
      <w:lvlText w:val="o"/>
      <w:lvlJc w:val="left"/>
      <w:pPr>
        <w:ind w:left="1800" w:hanging="360"/>
      </w:pPr>
      <w:rPr>
        <w:rFonts w:ascii="Courier New" w:hAnsi="Courier New" w:cs="Courier New" w:hint="default"/>
      </w:rPr>
    </w:lvl>
    <w:lvl w:ilvl="2" w:tplc="329023F4" w:tentative="1">
      <w:start w:val="1"/>
      <w:numFmt w:val="bullet"/>
      <w:lvlText w:val=""/>
      <w:lvlJc w:val="left"/>
      <w:pPr>
        <w:ind w:left="2520" w:hanging="360"/>
      </w:pPr>
      <w:rPr>
        <w:rFonts w:ascii="Wingdings" w:hAnsi="Wingdings" w:hint="default"/>
      </w:rPr>
    </w:lvl>
    <w:lvl w:ilvl="3" w:tplc="A0CE663A" w:tentative="1">
      <w:start w:val="1"/>
      <w:numFmt w:val="bullet"/>
      <w:lvlText w:val=""/>
      <w:lvlJc w:val="left"/>
      <w:pPr>
        <w:ind w:left="3240" w:hanging="360"/>
      </w:pPr>
      <w:rPr>
        <w:rFonts w:ascii="Symbol" w:hAnsi="Symbol" w:hint="default"/>
      </w:rPr>
    </w:lvl>
    <w:lvl w:ilvl="4" w:tplc="5DA888CC" w:tentative="1">
      <w:start w:val="1"/>
      <w:numFmt w:val="bullet"/>
      <w:lvlText w:val="o"/>
      <w:lvlJc w:val="left"/>
      <w:pPr>
        <w:ind w:left="3960" w:hanging="360"/>
      </w:pPr>
      <w:rPr>
        <w:rFonts w:ascii="Courier New" w:hAnsi="Courier New" w:cs="Courier New" w:hint="default"/>
      </w:rPr>
    </w:lvl>
    <w:lvl w:ilvl="5" w:tplc="7878131A" w:tentative="1">
      <w:start w:val="1"/>
      <w:numFmt w:val="bullet"/>
      <w:lvlText w:val=""/>
      <w:lvlJc w:val="left"/>
      <w:pPr>
        <w:ind w:left="4680" w:hanging="360"/>
      </w:pPr>
      <w:rPr>
        <w:rFonts w:ascii="Wingdings" w:hAnsi="Wingdings" w:hint="default"/>
      </w:rPr>
    </w:lvl>
    <w:lvl w:ilvl="6" w:tplc="4434D646" w:tentative="1">
      <w:start w:val="1"/>
      <w:numFmt w:val="bullet"/>
      <w:lvlText w:val=""/>
      <w:lvlJc w:val="left"/>
      <w:pPr>
        <w:ind w:left="5400" w:hanging="360"/>
      </w:pPr>
      <w:rPr>
        <w:rFonts w:ascii="Symbol" w:hAnsi="Symbol" w:hint="default"/>
      </w:rPr>
    </w:lvl>
    <w:lvl w:ilvl="7" w:tplc="BC48CDFE" w:tentative="1">
      <w:start w:val="1"/>
      <w:numFmt w:val="bullet"/>
      <w:lvlText w:val="o"/>
      <w:lvlJc w:val="left"/>
      <w:pPr>
        <w:ind w:left="6120" w:hanging="360"/>
      </w:pPr>
      <w:rPr>
        <w:rFonts w:ascii="Courier New" w:hAnsi="Courier New" w:cs="Courier New" w:hint="default"/>
      </w:rPr>
    </w:lvl>
    <w:lvl w:ilvl="8" w:tplc="3232369E" w:tentative="1">
      <w:start w:val="1"/>
      <w:numFmt w:val="bullet"/>
      <w:lvlText w:val=""/>
      <w:lvlJc w:val="left"/>
      <w:pPr>
        <w:ind w:left="6840" w:hanging="360"/>
      </w:pPr>
      <w:rPr>
        <w:rFonts w:ascii="Wingdings" w:hAnsi="Wingdings" w:hint="default"/>
      </w:rPr>
    </w:lvl>
  </w:abstractNum>
  <w:abstractNum w:abstractNumId="1" w15:restartNumberingAfterBreak="0">
    <w:nsid w:val="3B607F89"/>
    <w:multiLevelType w:val="hybridMultilevel"/>
    <w:tmpl w:val="919A322E"/>
    <w:lvl w:ilvl="0" w:tplc="12D6207C">
      <w:start w:val="1"/>
      <w:numFmt w:val="decimal"/>
      <w:pStyle w:val="Heading3"/>
      <w:lvlText w:val="%1."/>
      <w:lvlJc w:val="left"/>
      <w:pPr>
        <w:ind w:left="1800" w:hanging="360"/>
      </w:pPr>
    </w:lvl>
    <w:lvl w:ilvl="1" w:tplc="B63A561C" w:tentative="1">
      <w:start w:val="1"/>
      <w:numFmt w:val="lowerLetter"/>
      <w:lvlText w:val="%2."/>
      <w:lvlJc w:val="left"/>
      <w:pPr>
        <w:ind w:left="2520" w:hanging="360"/>
      </w:pPr>
    </w:lvl>
    <w:lvl w:ilvl="2" w:tplc="D47636A0" w:tentative="1">
      <w:start w:val="1"/>
      <w:numFmt w:val="lowerRoman"/>
      <w:lvlText w:val="%3."/>
      <w:lvlJc w:val="right"/>
      <w:pPr>
        <w:ind w:left="3240" w:hanging="180"/>
      </w:pPr>
    </w:lvl>
    <w:lvl w:ilvl="3" w:tplc="26F4CC3C" w:tentative="1">
      <w:start w:val="1"/>
      <w:numFmt w:val="decimal"/>
      <w:lvlText w:val="%4."/>
      <w:lvlJc w:val="left"/>
      <w:pPr>
        <w:ind w:left="3960" w:hanging="360"/>
      </w:pPr>
    </w:lvl>
    <w:lvl w:ilvl="4" w:tplc="B8481354" w:tentative="1">
      <w:start w:val="1"/>
      <w:numFmt w:val="lowerLetter"/>
      <w:lvlText w:val="%5."/>
      <w:lvlJc w:val="left"/>
      <w:pPr>
        <w:ind w:left="4680" w:hanging="360"/>
      </w:pPr>
    </w:lvl>
    <w:lvl w:ilvl="5" w:tplc="BE042C1C" w:tentative="1">
      <w:start w:val="1"/>
      <w:numFmt w:val="lowerRoman"/>
      <w:lvlText w:val="%6."/>
      <w:lvlJc w:val="right"/>
      <w:pPr>
        <w:ind w:left="5400" w:hanging="180"/>
      </w:pPr>
    </w:lvl>
    <w:lvl w:ilvl="6" w:tplc="B04AA49A" w:tentative="1">
      <w:start w:val="1"/>
      <w:numFmt w:val="decimal"/>
      <w:lvlText w:val="%7."/>
      <w:lvlJc w:val="left"/>
      <w:pPr>
        <w:ind w:left="6120" w:hanging="360"/>
      </w:pPr>
    </w:lvl>
    <w:lvl w:ilvl="7" w:tplc="15781EA8" w:tentative="1">
      <w:start w:val="1"/>
      <w:numFmt w:val="lowerLetter"/>
      <w:lvlText w:val="%8."/>
      <w:lvlJc w:val="left"/>
      <w:pPr>
        <w:ind w:left="6840" w:hanging="360"/>
      </w:pPr>
    </w:lvl>
    <w:lvl w:ilvl="8" w:tplc="87E83346" w:tentative="1">
      <w:start w:val="1"/>
      <w:numFmt w:val="lowerRoman"/>
      <w:lvlText w:val="%9."/>
      <w:lvlJc w:val="right"/>
      <w:pPr>
        <w:ind w:left="7560" w:hanging="180"/>
      </w:pPr>
    </w:lvl>
  </w:abstractNum>
  <w:abstractNum w:abstractNumId="2" w15:restartNumberingAfterBreak="0">
    <w:nsid w:val="3BB66A1E"/>
    <w:multiLevelType w:val="hybridMultilevel"/>
    <w:tmpl w:val="7F8A79F2"/>
    <w:lvl w:ilvl="0" w:tplc="7D22102A">
      <w:start w:val="1"/>
      <w:numFmt w:val="upperLetter"/>
      <w:lvlText w:val="%1."/>
      <w:lvlJc w:val="left"/>
      <w:pPr>
        <w:ind w:left="1080" w:hanging="360"/>
      </w:pPr>
      <w:rPr>
        <w:rFonts w:hint="default"/>
        <w:i w:val="0"/>
      </w:rPr>
    </w:lvl>
    <w:lvl w:ilvl="1" w:tplc="756AC98C" w:tentative="1">
      <w:start w:val="1"/>
      <w:numFmt w:val="lowerLetter"/>
      <w:lvlText w:val="%2."/>
      <w:lvlJc w:val="left"/>
      <w:pPr>
        <w:ind w:left="1800" w:hanging="360"/>
      </w:pPr>
    </w:lvl>
    <w:lvl w:ilvl="2" w:tplc="9154CE04" w:tentative="1">
      <w:start w:val="1"/>
      <w:numFmt w:val="lowerRoman"/>
      <w:lvlText w:val="%3."/>
      <w:lvlJc w:val="right"/>
      <w:pPr>
        <w:ind w:left="2520" w:hanging="180"/>
      </w:pPr>
    </w:lvl>
    <w:lvl w:ilvl="3" w:tplc="F7F074D6" w:tentative="1">
      <w:start w:val="1"/>
      <w:numFmt w:val="decimal"/>
      <w:lvlText w:val="%4."/>
      <w:lvlJc w:val="left"/>
      <w:pPr>
        <w:ind w:left="3240" w:hanging="360"/>
      </w:pPr>
    </w:lvl>
    <w:lvl w:ilvl="4" w:tplc="DB804F52" w:tentative="1">
      <w:start w:val="1"/>
      <w:numFmt w:val="lowerLetter"/>
      <w:lvlText w:val="%5."/>
      <w:lvlJc w:val="left"/>
      <w:pPr>
        <w:ind w:left="3960" w:hanging="360"/>
      </w:pPr>
    </w:lvl>
    <w:lvl w:ilvl="5" w:tplc="75FA6ACE" w:tentative="1">
      <w:start w:val="1"/>
      <w:numFmt w:val="lowerRoman"/>
      <w:lvlText w:val="%6."/>
      <w:lvlJc w:val="right"/>
      <w:pPr>
        <w:ind w:left="4680" w:hanging="180"/>
      </w:pPr>
    </w:lvl>
    <w:lvl w:ilvl="6" w:tplc="ECF64BD6" w:tentative="1">
      <w:start w:val="1"/>
      <w:numFmt w:val="decimal"/>
      <w:lvlText w:val="%7."/>
      <w:lvlJc w:val="left"/>
      <w:pPr>
        <w:ind w:left="5400" w:hanging="360"/>
      </w:pPr>
    </w:lvl>
    <w:lvl w:ilvl="7" w:tplc="B73A9E02" w:tentative="1">
      <w:start w:val="1"/>
      <w:numFmt w:val="lowerLetter"/>
      <w:lvlText w:val="%8."/>
      <w:lvlJc w:val="left"/>
      <w:pPr>
        <w:ind w:left="6120" w:hanging="360"/>
      </w:pPr>
    </w:lvl>
    <w:lvl w:ilvl="8" w:tplc="1CD43428"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7"/>
    <w:rsid w:val="00000B49"/>
    <w:rsid w:val="00002559"/>
    <w:rsid w:val="00004477"/>
    <w:rsid w:val="00004C14"/>
    <w:rsid w:val="000051C5"/>
    <w:rsid w:val="00005ACD"/>
    <w:rsid w:val="00006148"/>
    <w:rsid w:val="00006306"/>
    <w:rsid w:val="0000665B"/>
    <w:rsid w:val="00007026"/>
    <w:rsid w:val="000109F4"/>
    <w:rsid w:val="00010DFF"/>
    <w:rsid w:val="00014DDA"/>
    <w:rsid w:val="00015416"/>
    <w:rsid w:val="00015542"/>
    <w:rsid w:val="00016300"/>
    <w:rsid w:val="00020039"/>
    <w:rsid w:val="0002010D"/>
    <w:rsid w:val="00020E83"/>
    <w:rsid w:val="00020FAE"/>
    <w:rsid w:val="00023223"/>
    <w:rsid w:val="000237AC"/>
    <w:rsid w:val="000238C0"/>
    <w:rsid w:val="0002445A"/>
    <w:rsid w:val="00024B9C"/>
    <w:rsid w:val="00024F3A"/>
    <w:rsid w:val="000257AD"/>
    <w:rsid w:val="000276A8"/>
    <w:rsid w:val="00027A02"/>
    <w:rsid w:val="00027A23"/>
    <w:rsid w:val="00030886"/>
    <w:rsid w:val="000343D1"/>
    <w:rsid w:val="000367B4"/>
    <w:rsid w:val="00040218"/>
    <w:rsid w:val="000408FF"/>
    <w:rsid w:val="000415B3"/>
    <w:rsid w:val="00041C38"/>
    <w:rsid w:val="00041CF8"/>
    <w:rsid w:val="0004234C"/>
    <w:rsid w:val="00042DA7"/>
    <w:rsid w:val="00043108"/>
    <w:rsid w:val="0004312A"/>
    <w:rsid w:val="0004504F"/>
    <w:rsid w:val="00046FCB"/>
    <w:rsid w:val="000479AA"/>
    <w:rsid w:val="00050E89"/>
    <w:rsid w:val="00051014"/>
    <w:rsid w:val="00051A9B"/>
    <w:rsid w:val="000523D0"/>
    <w:rsid w:val="00054B2F"/>
    <w:rsid w:val="00054BEB"/>
    <w:rsid w:val="00055EF2"/>
    <w:rsid w:val="00057AD3"/>
    <w:rsid w:val="0006065E"/>
    <w:rsid w:val="00060998"/>
    <w:rsid w:val="00061561"/>
    <w:rsid w:val="0006493D"/>
    <w:rsid w:val="00064E65"/>
    <w:rsid w:val="00065EE1"/>
    <w:rsid w:val="0006787C"/>
    <w:rsid w:val="00067942"/>
    <w:rsid w:val="000737BD"/>
    <w:rsid w:val="00074685"/>
    <w:rsid w:val="00075A2E"/>
    <w:rsid w:val="000773EE"/>
    <w:rsid w:val="00081ED4"/>
    <w:rsid w:val="00083A55"/>
    <w:rsid w:val="00085E4D"/>
    <w:rsid w:val="00087017"/>
    <w:rsid w:val="00090015"/>
    <w:rsid w:val="00091B2D"/>
    <w:rsid w:val="000942B9"/>
    <w:rsid w:val="00095673"/>
    <w:rsid w:val="00096921"/>
    <w:rsid w:val="000A35B9"/>
    <w:rsid w:val="000A59BD"/>
    <w:rsid w:val="000A5E17"/>
    <w:rsid w:val="000A6075"/>
    <w:rsid w:val="000A6185"/>
    <w:rsid w:val="000B1E60"/>
    <w:rsid w:val="000B28D4"/>
    <w:rsid w:val="000B35BA"/>
    <w:rsid w:val="000B430E"/>
    <w:rsid w:val="000B5B53"/>
    <w:rsid w:val="000B5BC7"/>
    <w:rsid w:val="000B6542"/>
    <w:rsid w:val="000B675E"/>
    <w:rsid w:val="000C1FFF"/>
    <w:rsid w:val="000C305A"/>
    <w:rsid w:val="000C3CAE"/>
    <w:rsid w:val="000C5A5A"/>
    <w:rsid w:val="000C645C"/>
    <w:rsid w:val="000C6686"/>
    <w:rsid w:val="000C6D54"/>
    <w:rsid w:val="000C6E8E"/>
    <w:rsid w:val="000C7117"/>
    <w:rsid w:val="000D0481"/>
    <w:rsid w:val="000D0580"/>
    <w:rsid w:val="000D1069"/>
    <w:rsid w:val="000D15F6"/>
    <w:rsid w:val="000D160A"/>
    <w:rsid w:val="000D2DB6"/>
    <w:rsid w:val="000D37C1"/>
    <w:rsid w:val="000D424A"/>
    <w:rsid w:val="000D4A4B"/>
    <w:rsid w:val="000D4C14"/>
    <w:rsid w:val="000D4EF6"/>
    <w:rsid w:val="000D7A60"/>
    <w:rsid w:val="000E085C"/>
    <w:rsid w:val="000E6FAE"/>
    <w:rsid w:val="000F0E76"/>
    <w:rsid w:val="000F12A0"/>
    <w:rsid w:val="000F151D"/>
    <w:rsid w:val="000F1B02"/>
    <w:rsid w:val="000F3CE2"/>
    <w:rsid w:val="000F40AB"/>
    <w:rsid w:val="000F7682"/>
    <w:rsid w:val="001002CE"/>
    <w:rsid w:val="0010074C"/>
    <w:rsid w:val="00101B31"/>
    <w:rsid w:val="00105C6C"/>
    <w:rsid w:val="0010709F"/>
    <w:rsid w:val="00107E9B"/>
    <w:rsid w:val="00110E4C"/>
    <w:rsid w:val="001143E7"/>
    <w:rsid w:val="00114973"/>
    <w:rsid w:val="00115428"/>
    <w:rsid w:val="00115E12"/>
    <w:rsid w:val="001163EB"/>
    <w:rsid w:val="00116982"/>
    <w:rsid w:val="0011711D"/>
    <w:rsid w:val="00117BD9"/>
    <w:rsid w:val="001208DF"/>
    <w:rsid w:val="001219C6"/>
    <w:rsid w:val="00121F86"/>
    <w:rsid w:val="0012217D"/>
    <w:rsid w:val="00122A9D"/>
    <w:rsid w:val="0012322F"/>
    <w:rsid w:val="00123534"/>
    <w:rsid w:val="00124C2E"/>
    <w:rsid w:val="00125AB5"/>
    <w:rsid w:val="001271A8"/>
    <w:rsid w:val="0012771D"/>
    <w:rsid w:val="00127C2D"/>
    <w:rsid w:val="00133A99"/>
    <w:rsid w:val="0013608C"/>
    <w:rsid w:val="00136D4E"/>
    <w:rsid w:val="00137EEB"/>
    <w:rsid w:val="00143675"/>
    <w:rsid w:val="00143C62"/>
    <w:rsid w:val="00143EF4"/>
    <w:rsid w:val="001509FA"/>
    <w:rsid w:val="001535AE"/>
    <w:rsid w:val="0015456C"/>
    <w:rsid w:val="00155C04"/>
    <w:rsid w:val="00157201"/>
    <w:rsid w:val="00160ACD"/>
    <w:rsid w:val="00161729"/>
    <w:rsid w:val="00161A8B"/>
    <w:rsid w:val="00165D36"/>
    <w:rsid w:val="00166F67"/>
    <w:rsid w:val="00170708"/>
    <w:rsid w:val="00170865"/>
    <w:rsid w:val="00170A97"/>
    <w:rsid w:val="00172EF3"/>
    <w:rsid w:val="00172F5D"/>
    <w:rsid w:val="00174F8B"/>
    <w:rsid w:val="00175688"/>
    <w:rsid w:val="00175D09"/>
    <w:rsid w:val="00176C79"/>
    <w:rsid w:val="00176D94"/>
    <w:rsid w:val="00176FAE"/>
    <w:rsid w:val="00180F28"/>
    <w:rsid w:val="00182B32"/>
    <w:rsid w:val="00187081"/>
    <w:rsid w:val="001871C7"/>
    <w:rsid w:val="001873EB"/>
    <w:rsid w:val="001876A9"/>
    <w:rsid w:val="00191022"/>
    <w:rsid w:val="001916A6"/>
    <w:rsid w:val="00192A83"/>
    <w:rsid w:val="00193BF3"/>
    <w:rsid w:val="00194F48"/>
    <w:rsid w:val="001958FA"/>
    <w:rsid w:val="001962D0"/>
    <w:rsid w:val="00196DEC"/>
    <w:rsid w:val="001975F4"/>
    <w:rsid w:val="001A45F6"/>
    <w:rsid w:val="001A5D3B"/>
    <w:rsid w:val="001A615A"/>
    <w:rsid w:val="001A6895"/>
    <w:rsid w:val="001A6BAE"/>
    <w:rsid w:val="001A7C64"/>
    <w:rsid w:val="001B1491"/>
    <w:rsid w:val="001B1DAE"/>
    <w:rsid w:val="001B1EE6"/>
    <w:rsid w:val="001B1F38"/>
    <w:rsid w:val="001B3CB7"/>
    <w:rsid w:val="001B40B2"/>
    <w:rsid w:val="001B5AA1"/>
    <w:rsid w:val="001B703B"/>
    <w:rsid w:val="001B7043"/>
    <w:rsid w:val="001C0C79"/>
    <w:rsid w:val="001C14B8"/>
    <w:rsid w:val="001C4307"/>
    <w:rsid w:val="001C4687"/>
    <w:rsid w:val="001C4D54"/>
    <w:rsid w:val="001C5C5D"/>
    <w:rsid w:val="001C5D88"/>
    <w:rsid w:val="001C6BBD"/>
    <w:rsid w:val="001C764E"/>
    <w:rsid w:val="001D07A4"/>
    <w:rsid w:val="001D143B"/>
    <w:rsid w:val="001D204D"/>
    <w:rsid w:val="001D2BDA"/>
    <w:rsid w:val="001D3192"/>
    <w:rsid w:val="001D3257"/>
    <w:rsid w:val="001D4ABC"/>
    <w:rsid w:val="001D6EB2"/>
    <w:rsid w:val="001E073F"/>
    <w:rsid w:val="001E0913"/>
    <w:rsid w:val="001E1A22"/>
    <w:rsid w:val="001E1ADA"/>
    <w:rsid w:val="001E2333"/>
    <w:rsid w:val="001E31CE"/>
    <w:rsid w:val="001E692D"/>
    <w:rsid w:val="001F073F"/>
    <w:rsid w:val="001F0C68"/>
    <w:rsid w:val="001F2047"/>
    <w:rsid w:val="001F2470"/>
    <w:rsid w:val="001F3680"/>
    <w:rsid w:val="001F4F7F"/>
    <w:rsid w:val="001F7577"/>
    <w:rsid w:val="00200372"/>
    <w:rsid w:val="0020073C"/>
    <w:rsid w:val="00201AC3"/>
    <w:rsid w:val="002025B7"/>
    <w:rsid w:val="00204256"/>
    <w:rsid w:val="00204978"/>
    <w:rsid w:val="00204E83"/>
    <w:rsid w:val="002050E4"/>
    <w:rsid w:val="00205D40"/>
    <w:rsid w:val="00205F86"/>
    <w:rsid w:val="00212F5F"/>
    <w:rsid w:val="00214436"/>
    <w:rsid w:val="002146BE"/>
    <w:rsid w:val="0021547E"/>
    <w:rsid w:val="00216F95"/>
    <w:rsid w:val="00217693"/>
    <w:rsid w:val="00220862"/>
    <w:rsid w:val="00221110"/>
    <w:rsid w:val="002238EE"/>
    <w:rsid w:val="002243DE"/>
    <w:rsid w:val="0022574D"/>
    <w:rsid w:val="00227309"/>
    <w:rsid w:val="00227B1A"/>
    <w:rsid w:val="00230363"/>
    <w:rsid w:val="002318F4"/>
    <w:rsid w:val="00231A63"/>
    <w:rsid w:val="002323E7"/>
    <w:rsid w:val="002346D4"/>
    <w:rsid w:val="00236C6D"/>
    <w:rsid w:val="00240253"/>
    <w:rsid w:val="00242A80"/>
    <w:rsid w:val="00243C2D"/>
    <w:rsid w:val="00253ACC"/>
    <w:rsid w:val="00254F0F"/>
    <w:rsid w:val="002554DE"/>
    <w:rsid w:val="00260128"/>
    <w:rsid w:val="002602D5"/>
    <w:rsid w:val="00261816"/>
    <w:rsid w:val="00262AFF"/>
    <w:rsid w:val="00264448"/>
    <w:rsid w:val="00266515"/>
    <w:rsid w:val="0027111D"/>
    <w:rsid w:val="00271829"/>
    <w:rsid w:val="00271F16"/>
    <w:rsid w:val="00271F92"/>
    <w:rsid w:val="00276219"/>
    <w:rsid w:val="00276D2F"/>
    <w:rsid w:val="00277E01"/>
    <w:rsid w:val="002803E4"/>
    <w:rsid w:val="0028141A"/>
    <w:rsid w:val="002825FF"/>
    <w:rsid w:val="00282806"/>
    <w:rsid w:val="00282D30"/>
    <w:rsid w:val="0028343B"/>
    <w:rsid w:val="00283962"/>
    <w:rsid w:val="00283BD5"/>
    <w:rsid w:val="00283E43"/>
    <w:rsid w:val="00284710"/>
    <w:rsid w:val="0028499B"/>
    <w:rsid w:val="00285CD5"/>
    <w:rsid w:val="00285E1D"/>
    <w:rsid w:val="00285FA6"/>
    <w:rsid w:val="00286688"/>
    <w:rsid w:val="0028672E"/>
    <w:rsid w:val="002870F1"/>
    <w:rsid w:val="00287E73"/>
    <w:rsid w:val="00291D9E"/>
    <w:rsid w:val="00293E3F"/>
    <w:rsid w:val="002946C0"/>
    <w:rsid w:val="002955A1"/>
    <w:rsid w:val="00295C49"/>
    <w:rsid w:val="00296A34"/>
    <w:rsid w:val="0029774A"/>
    <w:rsid w:val="002A0471"/>
    <w:rsid w:val="002A0CE6"/>
    <w:rsid w:val="002A1115"/>
    <w:rsid w:val="002A1B6E"/>
    <w:rsid w:val="002A313D"/>
    <w:rsid w:val="002A5910"/>
    <w:rsid w:val="002A63DB"/>
    <w:rsid w:val="002A6C71"/>
    <w:rsid w:val="002A7348"/>
    <w:rsid w:val="002B18E3"/>
    <w:rsid w:val="002B2986"/>
    <w:rsid w:val="002B2EFF"/>
    <w:rsid w:val="002B501D"/>
    <w:rsid w:val="002B63FF"/>
    <w:rsid w:val="002B65EE"/>
    <w:rsid w:val="002B6BA1"/>
    <w:rsid w:val="002B6D9E"/>
    <w:rsid w:val="002B77D5"/>
    <w:rsid w:val="002B77DD"/>
    <w:rsid w:val="002C0791"/>
    <w:rsid w:val="002C1F0C"/>
    <w:rsid w:val="002C2274"/>
    <w:rsid w:val="002C49A2"/>
    <w:rsid w:val="002C49D4"/>
    <w:rsid w:val="002C5981"/>
    <w:rsid w:val="002C63C4"/>
    <w:rsid w:val="002D0538"/>
    <w:rsid w:val="002D172C"/>
    <w:rsid w:val="002D18F4"/>
    <w:rsid w:val="002D1D21"/>
    <w:rsid w:val="002D228A"/>
    <w:rsid w:val="002D4596"/>
    <w:rsid w:val="002D669B"/>
    <w:rsid w:val="002D6BEA"/>
    <w:rsid w:val="002D7A8F"/>
    <w:rsid w:val="002D7D0E"/>
    <w:rsid w:val="002E0B6F"/>
    <w:rsid w:val="002E1735"/>
    <w:rsid w:val="002E1A32"/>
    <w:rsid w:val="002E20BD"/>
    <w:rsid w:val="002E4775"/>
    <w:rsid w:val="002E7A90"/>
    <w:rsid w:val="002F0ABA"/>
    <w:rsid w:val="002F22CD"/>
    <w:rsid w:val="002F2F1E"/>
    <w:rsid w:val="002F3A2C"/>
    <w:rsid w:val="002F3D6B"/>
    <w:rsid w:val="002F4045"/>
    <w:rsid w:val="002F418F"/>
    <w:rsid w:val="002F4923"/>
    <w:rsid w:val="002F51B3"/>
    <w:rsid w:val="002F56CD"/>
    <w:rsid w:val="002F574D"/>
    <w:rsid w:val="002F6504"/>
    <w:rsid w:val="002F728D"/>
    <w:rsid w:val="002F782B"/>
    <w:rsid w:val="002F7B61"/>
    <w:rsid w:val="002F7CDE"/>
    <w:rsid w:val="00302A7D"/>
    <w:rsid w:val="00302BA1"/>
    <w:rsid w:val="00302DCF"/>
    <w:rsid w:val="003036F3"/>
    <w:rsid w:val="0030431C"/>
    <w:rsid w:val="003045B3"/>
    <w:rsid w:val="00304832"/>
    <w:rsid w:val="0031105F"/>
    <w:rsid w:val="00311E71"/>
    <w:rsid w:val="003122A1"/>
    <w:rsid w:val="0031358F"/>
    <w:rsid w:val="00313620"/>
    <w:rsid w:val="003136B2"/>
    <w:rsid w:val="00315434"/>
    <w:rsid w:val="003170B3"/>
    <w:rsid w:val="003170C9"/>
    <w:rsid w:val="003205EA"/>
    <w:rsid w:val="00320CEB"/>
    <w:rsid w:val="0032113E"/>
    <w:rsid w:val="0032304A"/>
    <w:rsid w:val="00323E1F"/>
    <w:rsid w:val="0032457E"/>
    <w:rsid w:val="003245B9"/>
    <w:rsid w:val="00324DA1"/>
    <w:rsid w:val="00327372"/>
    <w:rsid w:val="00327D05"/>
    <w:rsid w:val="003304D8"/>
    <w:rsid w:val="00330D7D"/>
    <w:rsid w:val="00333632"/>
    <w:rsid w:val="003338C9"/>
    <w:rsid w:val="003346C1"/>
    <w:rsid w:val="00335819"/>
    <w:rsid w:val="00336CF0"/>
    <w:rsid w:val="00340779"/>
    <w:rsid w:val="003414B8"/>
    <w:rsid w:val="00350703"/>
    <w:rsid w:val="00351432"/>
    <w:rsid w:val="0035196E"/>
    <w:rsid w:val="003547FB"/>
    <w:rsid w:val="00355BBA"/>
    <w:rsid w:val="00355C43"/>
    <w:rsid w:val="00356D02"/>
    <w:rsid w:val="00361E15"/>
    <w:rsid w:val="00364816"/>
    <w:rsid w:val="0036515C"/>
    <w:rsid w:val="00365B59"/>
    <w:rsid w:val="00366552"/>
    <w:rsid w:val="0037065F"/>
    <w:rsid w:val="0037227A"/>
    <w:rsid w:val="003738E9"/>
    <w:rsid w:val="00375F49"/>
    <w:rsid w:val="003764AB"/>
    <w:rsid w:val="00380C32"/>
    <w:rsid w:val="0038251D"/>
    <w:rsid w:val="0038402E"/>
    <w:rsid w:val="00385176"/>
    <w:rsid w:val="00385F18"/>
    <w:rsid w:val="003901FB"/>
    <w:rsid w:val="003903A2"/>
    <w:rsid w:val="003935B6"/>
    <w:rsid w:val="00393FDB"/>
    <w:rsid w:val="003949BE"/>
    <w:rsid w:val="00395B9D"/>
    <w:rsid w:val="003960F6"/>
    <w:rsid w:val="00397C16"/>
    <w:rsid w:val="003A128F"/>
    <w:rsid w:val="003A1B43"/>
    <w:rsid w:val="003A7B75"/>
    <w:rsid w:val="003B048E"/>
    <w:rsid w:val="003B1160"/>
    <w:rsid w:val="003B15B9"/>
    <w:rsid w:val="003B46BC"/>
    <w:rsid w:val="003B46D3"/>
    <w:rsid w:val="003B4FCC"/>
    <w:rsid w:val="003B55F9"/>
    <w:rsid w:val="003B5AA8"/>
    <w:rsid w:val="003B6A4B"/>
    <w:rsid w:val="003B6EDA"/>
    <w:rsid w:val="003B72AD"/>
    <w:rsid w:val="003B7E98"/>
    <w:rsid w:val="003C1D57"/>
    <w:rsid w:val="003C4323"/>
    <w:rsid w:val="003C63A8"/>
    <w:rsid w:val="003D01FF"/>
    <w:rsid w:val="003D16E6"/>
    <w:rsid w:val="003D32FB"/>
    <w:rsid w:val="003D37A8"/>
    <w:rsid w:val="003D5772"/>
    <w:rsid w:val="003D6155"/>
    <w:rsid w:val="003D6EFF"/>
    <w:rsid w:val="003E0066"/>
    <w:rsid w:val="003E0342"/>
    <w:rsid w:val="003E2058"/>
    <w:rsid w:val="003E66C3"/>
    <w:rsid w:val="003F0265"/>
    <w:rsid w:val="003F134E"/>
    <w:rsid w:val="003F139E"/>
    <w:rsid w:val="003F1AE0"/>
    <w:rsid w:val="003F22FF"/>
    <w:rsid w:val="003F3337"/>
    <w:rsid w:val="003F4C38"/>
    <w:rsid w:val="003F78A9"/>
    <w:rsid w:val="00400330"/>
    <w:rsid w:val="00400D08"/>
    <w:rsid w:val="0040257E"/>
    <w:rsid w:val="0041038F"/>
    <w:rsid w:val="00411346"/>
    <w:rsid w:val="00412222"/>
    <w:rsid w:val="004125BD"/>
    <w:rsid w:val="0041364D"/>
    <w:rsid w:val="00414DF4"/>
    <w:rsid w:val="00414FDA"/>
    <w:rsid w:val="00417811"/>
    <w:rsid w:val="004203DD"/>
    <w:rsid w:val="00422DC0"/>
    <w:rsid w:val="00424033"/>
    <w:rsid w:val="00424147"/>
    <w:rsid w:val="00424E56"/>
    <w:rsid w:val="00430476"/>
    <w:rsid w:val="004305C7"/>
    <w:rsid w:val="00431CC9"/>
    <w:rsid w:val="0043585C"/>
    <w:rsid w:val="004367B7"/>
    <w:rsid w:val="00436D31"/>
    <w:rsid w:val="00440145"/>
    <w:rsid w:val="0044162F"/>
    <w:rsid w:val="004438CE"/>
    <w:rsid w:val="00445A47"/>
    <w:rsid w:val="00445CB6"/>
    <w:rsid w:val="004467F6"/>
    <w:rsid w:val="00446FBF"/>
    <w:rsid w:val="004473B1"/>
    <w:rsid w:val="00450B98"/>
    <w:rsid w:val="00450C69"/>
    <w:rsid w:val="00451DF0"/>
    <w:rsid w:val="00451F67"/>
    <w:rsid w:val="0045297A"/>
    <w:rsid w:val="00452B3C"/>
    <w:rsid w:val="0045358D"/>
    <w:rsid w:val="00453C65"/>
    <w:rsid w:val="004541BB"/>
    <w:rsid w:val="00454320"/>
    <w:rsid w:val="0045584E"/>
    <w:rsid w:val="00456026"/>
    <w:rsid w:val="0045672E"/>
    <w:rsid w:val="00456EB6"/>
    <w:rsid w:val="004607C3"/>
    <w:rsid w:val="00460800"/>
    <w:rsid w:val="00460F47"/>
    <w:rsid w:val="00463845"/>
    <w:rsid w:val="00464218"/>
    <w:rsid w:val="004645D1"/>
    <w:rsid w:val="00464984"/>
    <w:rsid w:val="00464D1E"/>
    <w:rsid w:val="00466312"/>
    <w:rsid w:val="00466315"/>
    <w:rsid w:val="00466D3B"/>
    <w:rsid w:val="00467E1B"/>
    <w:rsid w:val="00470002"/>
    <w:rsid w:val="004702DB"/>
    <w:rsid w:val="004708DF"/>
    <w:rsid w:val="004712D6"/>
    <w:rsid w:val="00472202"/>
    <w:rsid w:val="0047281D"/>
    <w:rsid w:val="004742AD"/>
    <w:rsid w:val="00475D2A"/>
    <w:rsid w:val="00480758"/>
    <w:rsid w:val="00481156"/>
    <w:rsid w:val="00483260"/>
    <w:rsid w:val="00483CE6"/>
    <w:rsid w:val="00483E91"/>
    <w:rsid w:val="00485212"/>
    <w:rsid w:val="004854D0"/>
    <w:rsid w:val="00485B53"/>
    <w:rsid w:val="00487068"/>
    <w:rsid w:val="004873A6"/>
    <w:rsid w:val="00491A99"/>
    <w:rsid w:val="00492268"/>
    <w:rsid w:val="00493393"/>
    <w:rsid w:val="00493776"/>
    <w:rsid w:val="004949A5"/>
    <w:rsid w:val="004971AE"/>
    <w:rsid w:val="00497724"/>
    <w:rsid w:val="0049794E"/>
    <w:rsid w:val="004A02BB"/>
    <w:rsid w:val="004A0AF6"/>
    <w:rsid w:val="004A11CF"/>
    <w:rsid w:val="004A200A"/>
    <w:rsid w:val="004A4EC7"/>
    <w:rsid w:val="004A60ED"/>
    <w:rsid w:val="004A7800"/>
    <w:rsid w:val="004A7883"/>
    <w:rsid w:val="004B0F59"/>
    <w:rsid w:val="004B0F82"/>
    <w:rsid w:val="004B2AA5"/>
    <w:rsid w:val="004B378C"/>
    <w:rsid w:val="004B49A2"/>
    <w:rsid w:val="004B70BA"/>
    <w:rsid w:val="004B7EB0"/>
    <w:rsid w:val="004C30A8"/>
    <w:rsid w:val="004C46FF"/>
    <w:rsid w:val="004D01F1"/>
    <w:rsid w:val="004D1456"/>
    <w:rsid w:val="004D23A7"/>
    <w:rsid w:val="004D2B62"/>
    <w:rsid w:val="004D3108"/>
    <w:rsid w:val="004D3C40"/>
    <w:rsid w:val="004D4E48"/>
    <w:rsid w:val="004D5359"/>
    <w:rsid w:val="004D5586"/>
    <w:rsid w:val="004D58B2"/>
    <w:rsid w:val="004D731A"/>
    <w:rsid w:val="004D74CF"/>
    <w:rsid w:val="004D7920"/>
    <w:rsid w:val="004D7EAA"/>
    <w:rsid w:val="004E0143"/>
    <w:rsid w:val="004E08A4"/>
    <w:rsid w:val="004E1C57"/>
    <w:rsid w:val="004E505B"/>
    <w:rsid w:val="004E582D"/>
    <w:rsid w:val="004E601E"/>
    <w:rsid w:val="004E642F"/>
    <w:rsid w:val="004E667B"/>
    <w:rsid w:val="004E694B"/>
    <w:rsid w:val="004E6E63"/>
    <w:rsid w:val="004F2216"/>
    <w:rsid w:val="004F39B3"/>
    <w:rsid w:val="0050061C"/>
    <w:rsid w:val="005018AB"/>
    <w:rsid w:val="0050400E"/>
    <w:rsid w:val="00504213"/>
    <w:rsid w:val="00505216"/>
    <w:rsid w:val="0050593D"/>
    <w:rsid w:val="00506D9F"/>
    <w:rsid w:val="00511F9D"/>
    <w:rsid w:val="00512322"/>
    <w:rsid w:val="005146E9"/>
    <w:rsid w:val="00515512"/>
    <w:rsid w:val="00516D91"/>
    <w:rsid w:val="00521689"/>
    <w:rsid w:val="0052180E"/>
    <w:rsid w:val="0052206D"/>
    <w:rsid w:val="00523AD7"/>
    <w:rsid w:val="00523CF1"/>
    <w:rsid w:val="00524AA3"/>
    <w:rsid w:val="005263C4"/>
    <w:rsid w:val="00530721"/>
    <w:rsid w:val="005310DD"/>
    <w:rsid w:val="00531287"/>
    <w:rsid w:val="00534146"/>
    <w:rsid w:val="00535892"/>
    <w:rsid w:val="0053597A"/>
    <w:rsid w:val="00535C61"/>
    <w:rsid w:val="005368A8"/>
    <w:rsid w:val="0053713C"/>
    <w:rsid w:val="005406EF"/>
    <w:rsid w:val="005406F1"/>
    <w:rsid w:val="00540E72"/>
    <w:rsid w:val="00541396"/>
    <w:rsid w:val="0054153A"/>
    <w:rsid w:val="00542603"/>
    <w:rsid w:val="00544879"/>
    <w:rsid w:val="00544A08"/>
    <w:rsid w:val="00545353"/>
    <w:rsid w:val="00547A6E"/>
    <w:rsid w:val="0055023E"/>
    <w:rsid w:val="005518AD"/>
    <w:rsid w:val="00551D7A"/>
    <w:rsid w:val="00552307"/>
    <w:rsid w:val="00554A35"/>
    <w:rsid w:val="00554D52"/>
    <w:rsid w:val="00554FCD"/>
    <w:rsid w:val="00556243"/>
    <w:rsid w:val="005566D8"/>
    <w:rsid w:val="00560522"/>
    <w:rsid w:val="005605DF"/>
    <w:rsid w:val="00562127"/>
    <w:rsid w:val="00563D6E"/>
    <w:rsid w:val="00563F36"/>
    <w:rsid w:val="00564613"/>
    <w:rsid w:val="00570028"/>
    <w:rsid w:val="00570ADD"/>
    <w:rsid w:val="00570E70"/>
    <w:rsid w:val="005724CF"/>
    <w:rsid w:val="005729FA"/>
    <w:rsid w:val="00572E20"/>
    <w:rsid w:val="00574CB8"/>
    <w:rsid w:val="00575C7B"/>
    <w:rsid w:val="005779DD"/>
    <w:rsid w:val="00580DB7"/>
    <w:rsid w:val="00581672"/>
    <w:rsid w:val="005821F6"/>
    <w:rsid w:val="00582430"/>
    <w:rsid w:val="005832EF"/>
    <w:rsid w:val="00583B3E"/>
    <w:rsid w:val="00585C55"/>
    <w:rsid w:val="00591F86"/>
    <w:rsid w:val="00592336"/>
    <w:rsid w:val="00592D7D"/>
    <w:rsid w:val="005932DD"/>
    <w:rsid w:val="005934DB"/>
    <w:rsid w:val="00593825"/>
    <w:rsid w:val="0059505A"/>
    <w:rsid w:val="005952BD"/>
    <w:rsid w:val="00595C97"/>
    <w:rsid w:val="005A1FB7"/>
    <w:rsid w:val="005A2E61"/>
    <w:rsid w:val="005A309D"/>
    <w:rsid w:val="005A387E"/>
    <w:rsid w:val="005A501D"/>
    <w:rsid w:val="005A5B9F"/>
    <w:rsid w:val="005A5E62"/>
    <w:rsid w:val="005A728D"/>
    <w:rsid w:val="005A7334"/>
    <w:rsid w:val="005A7518"/>
    <w:rsid w:val="005A7795"/>
    <w:rsid w:val="005B0B75"/>
    <w:rsid w:val="005B1F7F"/>
    <w:rsid w:val="005B24BB"/>
    <w:rsid w:val="005B2796"/>
    <w:rsid w:val="005B406C"/>
    <w:rsid w:val="005B6CCD"/>
    <w:rsid w:val="005C001E"/>
    <w:rsid w:val="005C10EA"/>
    <w:rsid w:val="005C21B8"/>
    <w:rsid w:val="005C3469"/>
    <w:rsid w:val="005C3FDD"/>
    <w:rsid w:val="005C5906"/>
    <w:rsid w:val="005C73B6"/>
    <w:rsid w:val="005C772A"/>
    <w:rsid w:val="005C77E1"/>
    <w:rsid w:val="005C7FD0"/>
    <w:rsid w:val="005D1609"/>
    <w:rsid w:val="005D2324"/>
    <w:rsid w:val="005D296B"/>
    <w:rsid w:val="005D36C8"/>
    <w:rsid w:val="005D4731"/>
    <w:rsid w:val="005D6497"/>
    <w:rsid w:val="005D7303"/>
    <w:rsid w:val="005E016B"/>
    <w:rsid w:val="005E1974"/>
    <w:rsid w:val="005E2561"/>
    <w:rsid w:val="005E257B"/>
    <w:rsid w:val="005E2933"/>
    <w:rsid w:val="005E29F2"/>
    <w:rsid w:val="005E3B93"/>
    <w:rsid w:val="005E4732"/>
    <w:rsid w:val="005E6211"/>
    <w:rsid w:val="005F4F3D"/>
    <w:rsid w:val="005F5255"/>
    <w:rsid w:val="005F59F3"/>
    <w:rsid w:val="005F6E3D"/>
    <w:rsid w:val="00602E1E"/>
    <w:rsid w:val="00603D23"/>
    <w:rsid w:val="00604BCB"/>
    <w:rsid w:val="00605865"/>
    <w:rsid w:val="00607F5E"/>
    <w:rsid w:val="006101C1"/>
    <w:rsid w:val="00611325"/>
    <w:rsid w:val="00611691"/>
    <w:rsid w:val="00611EEE"/>
    <w:rsid w:val="00612A1D"/>
    <w:rsid w:val="00612D0E"/>
    <w:rsid w:val="006131D9"/>
    <w:rsid w:val="00613438"/>
    <w:rsid w:val="006163E2"/>
    <w:rsid w:val="00617D5D"/>
    <w:rsid w:val="006205CF"/>
    <w:rsid w:val="00620728"/>
    <w:rsid w:val="006221E6"/>
    <w:rsid w:val="0062255B"/>
    <w:rsid w:val="006263A8"/>
    <w:rsid w:val="00626DAF"/>
    <w:rsid w:val="00630709"/>
    <w:rsid w:val="00631C7E"/>
    <w:rsid w:val="00632E1C"/>
    <w:rsid w:val="00633615"/>
    <w:rsid w:val="006361E4"/>
    <w:rsid w:val="00637370"/>
    <w:rsid w:val="006437FB"/>
    <w:rsid w:val="006445CC"/>
    <w:rsid w:val="006448C0"/>
    <w:rsid w:val="006452F0"/>
    <w:rsid w:val="006458B2"/>
    <w:rsid w:val="00645BE0"/>
    <w:rsid w:val="00646085"/>
    <w:rsid w:val="00646987"/>
    <w:rsid w:val="00647425"/>
    <w:rsid w:val="006500CE"/>
    <w:rsid w:val="00650752"/>
    <w:rsid w:val="00650C77"/>
    <w:rsid w:val="00651C5C"/>
    <w:rsid w:val="00652252"/>
    <w:rsid w:val="006526DD"/>
    <w:rsid w:val="006533DB"/>
    <w:rsid w:val="00654497"/>
    <w:rsid w:val="006554A7"/>
    <w:rsid w:val="00655CF5"/>
    <w:rsid w:val="00657DB3"/>
    <w:rsid w:val="006601DF"/>
    <w:rsid w:val="00661B54"/>
    <w:rsid w:val="00661C62"/>
    <w:rsid w:val="006644E9"/>
    <w:rsid w:val="00665146"/>
    <w:rsid w:val="00665BD1"/>
    <w:rsid w:val="006667DB"/>
    <w:rsid w:val="00666891"/>
    <w:rsid w:val="00666A77"/>
    <w:rsid w:val="0067077D"/>
    <w:rsid w:val="00671705"/>
    <w:rsid w:val="00675DB6"/>
    <w:rsid w:val="00676009"/>
    <w:rsid w:val="00676921"/>
    <w:rsid w:val="00680073"/>
    <w:rsid w:val="006801AB"/>
    <w:rsid w:val="0068246C"/>
    <w:rsid w:val="006841E3"/>
    <w:rsid w:val="00684C15"/>
    <w:rsid w:val="006854CE"/>
    <w:rsid w:val="006872EE"/>
    <w:rsid w:val="00691816"/>
    <w:rsid w:val="00692197"/>
    <w:rsid w:val="0069359F"/>
    <w:rsid w:val="00693E6E"/>
    <w:rsid w:val="00693F2D"/>
    <w:rsid w:val="00694250"/>
    <w:rsid w:val="006947BD"/>
    <w:rsid w:val="00694BFE"/>
    <w:rsid w:val="00696BD9"/>
    <w:rsid w:val="006973B0"/>
    <w:rsid w:val="00697CA2"/>
    <w:rsid w:val="006A063F"/>
    <w:rsid w:val="006A09A4"/>
    <w:rsid w:val="006A1817"/>
    <w:rsid w:val="006A199E"/>
    <w:rsid w:val="006A3A97"/>
    <w:rsid w:val="006A4D2B"/>
    <w:rsid w:val="006A6155"/>
    <w:rsid w:val="006A66E5"/>
    <w:rsid w:val="006A72F8"/>
    <w:rsid w:val="006A799A"/>
    <w:rsid w:val="006B0742"/>
    <w:rsid w:val="006B096E"/>
    <w:rsid w:val="006B1814"/>
    <w:rsid w:val="006B243B"/>
    <w:rsid w:val="006B2627"/>
    <w:rsid w:val="006B34EC"/>
    <w:rsid w:val="006B3E3F"/>
    <w:rsid w:val="006B559B"/>
    <w:rsid w:val="006B595E"/>
    <w:rsid w:val="006B74B7"/>
    <w:rsid w:val="006C1EA3"/>
    <w:rsid w:val="006C20D1"/>
    <w:rsid w:val="006C3B7C"/>
    <w:rsid w:val="006C5ACB"/>
    <w:rsid w:val="006D01AC"/>
    <w:rsid w:val="006D33DE"/>
    <w:rsid w:val="006D3BD9"/>
    <w:rsid w:val="006D4DF5"/>
    <w:rsid w:val="006D5EB6"/>
    <w:rsid w:val="006D60B7"/>
    <w:rsid w:val="006D786C"/>
    <w:rsid w:val="006D795C"/>
    <w:rsid w:val="006E11CB"/>
    <w:rsid w:val="006E1706"/>
    <w:rsid w:val="006E1F97"/>
    <w:rsid w:val="006E27B0"/>
    <w:rsid w:val="006E2BE5"/>
    <w:rsid w:val="006E3DF0"/>
    <w:rsid w:val="006E4A31"/>
    <w:rsid w:val="006E62B3"/>
    <w:rsid w:val="006E6A76"/>
    <w:rsid w:val="006F1830"/>
    <w:rsid w:val="006F26A5"/>
    <w:rsid w:val="006F5ED2"/>
    <w:rsid w:val="006F6415"/>
    <w:rsid w:val="007005D2"/>
    <w:rsid w:val="00700DCA"/>
    <w:rsid w:val="007014ED"/>
    <w:rsid w:val="00701584"/>
    <w:rsid w:val="00703537"/>
    <w:rsid w:val="00703767"/>
    <w:rsid w:val="00703BB4"/>
    <w:rsid w:val="00704B82"/>
    <w:rsid w:val="00705DF3"/>
    <w:rsid w:val="00706E16"/>
    <w:rsid w:val="00707C68"/>
    <w:rsid w:val="00710500"/>
    <w:rsid w:val="00711720"/>
    <w:rsid w:val="00713682"/>
    <w:rsid w:val="00714660"/>
    <w:rsid w:val="007148DC"/>
    <w:rsid w:val="0071714B"/>
    <w:rsid w:val="0071740A"/>
    <w:rsid w:val="007200A1"/>
    <w:rsid w:val="0072046C"/>
    <w:rsid w:val="00720B35"/>
    <w:rsid w:val="0072238A"/>
    <w:rsid w:val="00722CD5"/>
    <w:rsid w:val="0072464B"/>
    <w:rsid w:val="00725268"/>
    <w:rsid w:val="00727697"/>
    <w:rsid w:val="007300A7"/>
    <w:rsid w:val="007314D1"/>
    <w:rsid w:val="007333FF"/>
    <w:rsid w:val="00735FF4"/>
    <w:rsid w:val="00736DAA"/>
    <w:rsid w:val="00736DBB"/>
    <w:rsid w:val="00741E63"/>
    <w:rsid w:val="00742D29"/>
    <w:rsid w:val="00744326"/>
    <w:rsid w:val="007444B7"/>
    <w:rsid w:val="00744F3D"/>
    <w:rsid w:val="00745A18"/>
    <w:rsid w:val="007469EA"/>
    <w:rsid w:val="00747C4A"/>
    <w:rsid w:val="00747CD4"/>
    <w:rsid w:val="00750713"/>
    <w:rsid w:val="007516E2"/>
    <w:rsid w:val="0075293B"/>
    <w:rsid w:val="00752A44"/>
    <w:rsid w:val="00752E03"/>
    <w:rsid w:val="007531B1"/>
    <w:rsid w:val="00753883"/>
    <w:rsid w:val="007543A9"/>
    <w:rsid w:val="007556DC"/>
    <w:rsid w:val="0075704F"/>
    <w:rsid w:val="00757683"/>
    <w:rsid w:val="0076094E"/>
    <w:rsid w:val="00761287"/>
    <w:rsid w:val="007614F3"/>
    <w:rsid w:val="0076350F"/>
    <w:rsid w:val="007635DD"/>
    <w:rsid w:val="007636E5"/>
    <w:rsid w:val="00763EA9"/>
    <w:rsid w:val="00764513"/>
    <w:rsid w:val="00764AEC"/>
    <w:rsid w:val="00764F8F"/>
    <w:rsid w:val="00767D40"/>
    <w:rsid w:val="007703C6"/>
    <w:rsid w:val="00771D13"/>
    <w:rsid w:val="007729E2"/>
    <w:rsid w:val="00773A34"/>
    <w:rsid w:val="00773D0F"/>
    <w:rsid w:val="00775507"/>
    <w:rsid w:val="007755AE"/>
    <w:rsid w:val="0077636C"/>
    <w:rsid w:val="00777D05"/>
    <w:rsid w:val="00777D66"/>
    <w:rsid w:val="007822C2"/>
    <w:rsid w:val="00782CDB"/>
    <w:rsid w:val="00783A67"/>
    <w:rsid w:val="00783CA2"/>
    <w:rsid w:val="007845F5"/>
    <w:rsid w:val="0078614A"/>
    <w:rsid w:val="00787B5A"/>
    <w:rsid w:val="00790498"/>
    <w:rsid w:val="00792477"/>
    <w:rsid w:val="00792A11"/>
    <w:rsid w:val="00792A91"/>
    <w:rsid w:val="0079652D"/>
    <w:rsid w:val="007978A1"/>
    <w:rsid w:val="00797C5A"/>
    <w:rsid w:val="007A0413"/>
    <w:rsid w:val="007A096D"/>
    <w:rsid w:val="007A0BF5"/>
    <w:rsid w:val="007A0EDF"/>
    <w:rsid w:val="007A11AF"/>
    <w:rsid w:val="007A166B"/>
    <w:rsid w:val="007A29A5"/>
    <w:rsid w:val="007A3334"/>
    <w:rsid w:val="007A44E1"/>
    <w:rsid w:val="007A4663"/>
    <w:rsid w:val="007B0010"/>
    <w:rsid w:val="007B1A85"/>
    <w:rsid w:val="007B243C"/>
    <w:rsid w:val="007B323A"/>
    <w:rsid w:val="007B4017"/>
    <w:rsid w:val="007B792C"/>
    <w:rsid w:val="007C2070"/>
    <w:rsid w:val="007C2397"/>
    <w:rsid w:val="007C2D30"/>
    <w:rsid w:val="007C37BB"/>
    <w:rsid w:val="007C4A83"/>
    <w:rsid w:val="007C4D7C"/>
    <w:rsid w:val="007C5738"/>
    <w:rsid w:val="007C6015"/>
    <w:rsid w:val="007D00DF"/>
    <w:rsid w:val="007D00F3"/>
    <w:rsid w:val="007D0627"/>
    <w:rsid w:val="007D38E5"/>
    <w:rsid w:val="007D43BE"/>
    <w:rsid w:val="007D4461"/>
    <w:rsid w:val="007D44D4"/>
    <w:rsid w:val="007D70AC"/>
    <w:rsid w:val="007D7170"/>
    <w:rsid w:val="007D7D10"/>
    <w:rsid w:val="007D7E9B"/>
    <w:rsid w:val="007E397F"/>
    <w:rsid w:val="007E3C39"/>
    <w:rsid w:val="007E3E8D"/>
    <w:rsid w:val="007E4FB8"/>
    <w:rsid w:val="007E57D8"/>
    <w:rsid w:val="007E6E40"/>
    <w:rsid w:val="007F0457"/>
    <w:rsid w:val="007F0825"/>
    <w:rsid w:val="007F12F6"/>
    <w:rsid w:val="007F1F6C"/>
    <w:rsid w:val="007F207E"/>
    <w:rsid w:val="007F331F"/>
    <w:rsid w:val="007F41DA"/>
    <w:rsid w:val="007F4C02"/>
    <w:rsid w:val="007F5D02"/>
    <w:rsid w:val="007F6EC6"/>
    <w:rsid w:val="007F7C39"/>
    <w:rsid w:val="008005DB"/>
    <w:rsid w:val="00800C63"/>
    <w:rsid w:val="00800D3F"/>
    <w:rsid w:val="00802A6D"/>
    <w:rsid w:val="00803464"/>
    <w:rsid w:val="00803E7D"/>
    <w:rsid w:val="00804189"/>
    <w:rsid w:val="008041C9"/>
    <w:rsid w:val="008049D5"/>
    <w:rsid w:val="00804D08"/>
    <w:rsid w:val="00805E36"/>
    <w:rsid w:val="00805EF3"/>
    <w:rsid w:val="008061DF"/>
    <w:rsid w:val="00810A06"/>
    <w:rsid w:val="008116EA"/>
    <w:rsid w:val="00812350"/>
    <w:rsid w:val="008124A3"/>
    <w:rsid w:val="00812C6E"/>
    <w:rsid w:val="00816B7E"/>
    <w:rsid w:val="00817DC8"/>
    <w:rsid w:val="00817EC1"/>
    <w:rsid w:val="0082217E"/>
    <w:rsid w:val="00822494"/>
    <w:rsid w:val="008225E7"/>
    <w:rsid w:val="008239F2"/>
    <w:rsid w:val="00823A72"/>
    <w:rsid w:val="008256E1"/>
    <w:rsid w:val="008259F7"/>
    <w:rsid w:val="00826997"/>
    <w:rsid w:val="0083067B"/>
    <w:rsid w:val="00831EDD"/>
    <w:rsid w:val="00832295"/>
    <w:rsid w:val="00832695"/>
    <w:rsid w:val="00833F2E"/>
    <w:rsid w:val="00834725"/>
    <w:rsid w:val="0083483D"/>
    <w:rsid w:val="00835624"/>
    <w:rsid w:val="00835C70"/>
    <w:rsid w:val="00837280"/>
    <w:rsid w:val="00837B6F"/>
    <w:rsid w:val="00840716"/>
    <w:rsid w:val="00841322"/>
    <w:rsid w:val="00843C74"/>
    <w:rsid w:val="008440A5"/>
    <w:rsid w:val="0084688F"/>
    <w:rsid w:val="00847618"/>
    <w:rsid w:val="00847E44"/>
    <w:rsid w:val="00850079"/>
    <w:rsid w:val="00850463"/>
    <w:rsid w:val="008520B7"/>
    <w:rsid w:val="00854970"/>
    <w:rsid w:val="00854E57"/>
    <w:rsid w:val="00856B4C"/>
    <w:rsid w:val="00860620"/>
    <w:rsid w:val="0086108F"/>
    <w:rsid w:val="0086125A"/>
    <w:rsid w:val="008639B9"/>
    <w:rsid w:val="00864842"/>
    <w:rsid w:val="00866D1E"/>
    <w:rsid w:val="008679CD"/>
    <w:rsid w:val="00867EB4"/>
    <w:rsid w:val="00870CFB"/>
    <w:rsid w:val="00870F53"/>
    <w:rsid w:val="00871150"/>
    <w:rsid w:val="00874BC2"/>
    <w:rsid w:val="00874FCA"/>
    <w:rsid w:val="00875F08"/>
    <w:rsid w:val="00880F57"/>
    <w:rsid w:val="0088191A"/>
    <w:rsid w:val="008819A1"/>
    <w:rsid w:val="00884654"/>
    <w:rsid w:val="008854E6"/>
    <w:rsid w:val="00885D46"/>
    <w:rsid w:val="008873FE"/>
    <w:rsid w:val="008877C6"/>
    <w:rsid w:val="00887DE6"/>
    <w:rsid w:val="00893C23"/>
    <w:rsid w:val="00895156"/>
    <w:rsid w:val="00897666"/>
    <w:rsid w:val="008A030F"/>
    <w:rsid w:val="008A0A14"/>
    <w:rsid w:val="008A17A2"/>
    <w:rsid w:val="008A42D9"/>
    <w:rsid w:val="008A43E5"/>
    <w:rsid w:val="008A4974"/>
    <w:rsid w:val="008A5A30"/>
    <w:rsid w:val="008A5B59"/>
    <w:rsid w:val="008A661C"/>
    <w:rsid w:val="008A74FC"/>
    <w:rsid w:val="008B13FF"/>
    <w:rsid w:val="008B26D3"/>
    <w:rsid w:val="008B2A6D"/>
    <w:rsid w:val="008B2D3D"/>
    <w:rsid w:val="008B399A"/>
    <w:rsid w:val="008B4EF0"/>
    <w:rsid w:val="008B5095"/>
    <w:rsid w:val="008B5DB2"/>
    <w:rsid w:val="008B6281"/>
    <w:rsid w:val="008B7095"/>
    <w:rsid w:val="008C0805"/>
    <w:rsid w:val="008C1B42"/>
    <w:rsid w:val="008C461D"/>
    <w:rsid w:val="008C4B23"/>
    <w:rsid w:val="008C4F7F"/>
    <w:rsid w:val="008D00D3"/>
    <w:rsid w:val="008D06AE"/>
    <w:rsid w:val="008D162D"/>
    <w:rsid w:val="008D1912"/>
    <w:rsid w:val="008D3E22"/>
    <w:rsid w:val="008D4ECC"/>
    <w:rsid w:val="008D78A8"/>
    <w:rsid w:val="008D7D2A"/>
    <w:rsid w:val="008E04F2"/>
    <w:rsid w:val="008E0C53"/>
    <w:rsid w:val="008E10B4"/>
    <w:rsid w:val="008E30F8"/>
    <w:rsid w:val="008E3A0E"/>
    <w:rsid w:val="008E6024"/>
    <w:rsid w:val="008E60F0"/>
    <w:rsid w:val="008E67D5"/>
    <w:rsid w:val="008E6BD3"/>
    <w:rsid w:val="008F1476"/>
    <w:rsid w:val="008F2636"/>
    <w:rsid w:val="008F415D"/>
    <w:rsid w:val="008F42CC"/>
    <w:rsid w:val="008F49E2"/>
    <w:rsid w:val="008F7412"/>
    <w:rsid w:val="008F779C"/>
    <w:rsid w:val="008F7AA2"/>
    <w:rsid w:val="008F7C20"/>
    <w:rsid w:val="00900156"/>
    <w:rsid w:val="00903239"/>
    <w:rsid w:val="00905C7A"/>
    <w:rsid w:val="00907A31"/>
    <w:rsid w:val="00907CB1"/>
    <w:rsid w:val="009114C6"/>
    <w:rsid w:val="00911734"/>
    <w:rsid w:val="00912490"/>
    <w:rsid w:val="009126FC"/>
    <w:rsid w:val="00912B58"/>
    <w:rsid w:val="0091311C"/>
    <w:rsid w:val="00913F70"/>
    <w:rsid w:val="009176DD"/>
    <w:rsid w:val="00917CDB"/>
    <w:rsid w:val="00920351"/>
    <w:rsid w:val="0092134B"/>
    <w:rsid w:val="00921CFB"/>
    <w:rsid w:val="0092507E"/>
    <w:rsid w:val="009251D4"/>
    <w:rsid w:val="00925913"/>
    <w:rsid w:val="00930732"/>
    <w:rsid w:val="009310BA"/>
    <w:rsid w:val="0093114B"/>
    <w:rsid w:val="009311C6"/>
    <w:rsid w:val="00932C6D"/>
    <w:rsid w:val="0093314B"/>
    <w:rsid w:val="00934707"/>
    <w:rsid w:val="009363E3"/>
    <w:rsid w:val="00936E10"/>
    <w:rsid w:val="009378EA"/>
    <w:rsid w:val="00937ED9"/>
    <w:rsid w:val="00940BC2"/>
    <w:rsid w:val="0094139E"/>
    <w:rsid w:val="0094205C"/>
    <w:rsid w:val="009421C7"/>
    <w:rsid w:val="00942728"/>
    <w:rsid w:val="00942D5D"/>
    <w:rsid w:val="00945401"/>
    <w:rsid w:val="00945837"/>
    <w:rsid w:val="0094639C"/>
    <w:rsid w:val="0095042E"/>
    <w:rsid w:val="00954B1B"/>
    <w:rsid w:val="00954EEF"/>
    <w:rsid w:val="00960644"/>
    <w:rsid w:val="00960C2C"/>
    <w:rsid w:val="009613C5"/>
    <w:rsid w:val="00962A74"/>
    <w:rsid w:val="00963003"/>
    <w:rsid w:val="00963FE3"/>
    <w:rsid w:val="009649BE"/>
    <w:rsid w:val="00965A6C"/>
    <w:rsid w:val="00966307"/>
    <w:rsid w:val="00971ABC"/>
    <w:rsid w:val="00973251"/>
    <w:rsid w:val="009734C2"/>
    <w:rsid w:val="0097356E"/>
    <w:rsid w:val="0097379A"/>
    <w:rsid w:val="00975924"/>
    <w:rsid w:val="0097739C"/>
    <w:rsid w:val="00981240"/>
    <w:rsid w:val="00981E11"/>
    <w:rsid w:val="00982640"/>
    <w:rsid w:val="00982BD7"/>
    <w:rsid w:val="00985247"/>
    <w:rsid w:val="00986A48"/>
    <w:rsid w:val="009876A4"/>
    <w:rsid w:val="00990EC5"/>
    <w:rsid w:val="00991AE7"/>
    <w:rsid w:val="00992B24"/>
    <w:rsid w:val="00993FE2"/>
    <w:rsid w:val="00995FDB"/>
    <w:rsid w:val="00997513"/>
    <w:rsid w:val="009977BA"/>
    <w:rsid w:val="00997C6C"/>
    <w:rsid w:val="009A007B"/>
    <w:rsid w:val="009A1756"/>
    <w:rsid w:val="009A20FA"/>
    <w:rsid w:val="009A32D6"/>
    <w:rsid w:val="009A3B94"/>
    <w:rsid w:val="009B09CA"/>
    <w:rsid w:val="009B0B80"/>
    <w:rsid w:val="009B0E6E"/>
    <w:rsid w:val="009B515B"/>
    <w:rsid w:val="009C04CB"/>
    <w:rsid w:val="009C0644"/>
    <w:rsid w:val="009C0CB9"/>
    <w:rsid w:val="009C1C23"/>
    <w:rsid w:val="009C32D0"/>
    <w:rsid w:val="009C3526"/>
    <w:rsid w:val="009C404C"/>
    <w:rsid w:val="009C53F5"/>
    <w:rsid w:val="009C54A1"/>
    <w:rsid w:val="009C5EC1"/>
    <w:rsid w:val="009C5F06"/>
    <w:rsid w:val="009C65F7"/>
    <w:rsid w:val="009C7047"/>
    <w:rsid w:val="009D2593"/>
    <w:rsid w:val="009D2B36"/>
    <w:rsid w:val="009D2CFB"/>
    <w:rsid w:val="009D323E"/>
    <w:rsid w:val="009D32E4"/>
    <w:rsid w:val="009D48C7"/>
    <w:rsid w:val="009D498E"/>
    <w:rsid w:val="009D5910"/>
    <w:rsid w:val="009D7DA6"/>
    <w:rsid w:val="009D7E32"/>
    <w:rsid w:val="009E07A5"/>
    <w:rsid w:val="009E0C01"/>
    <w:rsid w:val="009E12F7"/>
    <w:rsid w:val="009E178A"/>
    <w:rsid w:val="009E4671"/>
    <w:rsid w:val="009E4755"/>
    <w:rsid w:val="009E56D8"/>
    <w:rsid w:val="009E5782"/>
    <w:rsid w:val="009E6CA2"/>
    <w:rsid w:val="009F1478"/>
    <w:rsid w:val="009F175B"/>
    <w:rsid w:val="009F1AB7"/>
    <w:rsid w:val="009F1D6C"/>
    <w:rsid w:val="009F227E"/>
    <w:rsid w:val="009F31E1"/>
    <w:rsid w:val="009F348E"/>
    <w:rsid w:val="009F3ADD"/>
    <w:rsid w:val="009F47BF"/>
    <w:rsid w:val="009F5182"/>
    <w:rsid w:val="009F6681"/>
    <w:rsid w:val="00A004A2"/>
    <w:rsid w:val="00A03132"/>
    <w:rsid w:val="00A04A52"/>
    <w:rsid w:val="00A06659"/>
    <w:rsid w:val="00A07ED8"/>
    <w:rsid w:val="00A1096F"/>
    <w:rsid w:val="00A14055"/>
    <w:rsid w:val="00A144AB"/>
    <w:rsid w:val="00A1484A"/>
    <w:rsid w:val="00A152DE"/>
    <w:rsid w:val="00A15744"/>
    <w:rsid w:val="00A202F5"/>
    <w:rsid w:val="00A20C0D"/>
    <w:rsid w:val="00A220FE"/>
    <w:rsid w:val="00A22777"/>
    <w:rsid w:val="00A250C7"/>
    <w:rsid w:val="00A2520E"/>
    <w:rsid w:val="00A255B7"/>
    <w:rsid w:val="00A2568B"/>
    <w:rsid w:val="00A308A4"/>
    <w:rsid w:val="00A312F5"/>
    <w:rsid w:val="00A31D3A"/>
    <w:rsid w:val="00A32329"/>
    <w:rsid w:val="00A37088"/>
    <w:rsid w:val="00A41A00"/>
    <w:rsid w:val="00A41C8C"/>
    <w:rsid w:val="00A4212A"/>
    <w:rsid w:val="00A421C3"/>
    <w:rsid w:val="00A4272D"/>
    <w:rsid w:val="00A42889"/>
    <w:rsid w:val="00A44722"/>
    <w:rsid w:val="00A457C5"/>
    <w:rsid w:val="00A4599A"/>
    <w:rsid w:val="00A4654D"/>
    <w:rsid w:val="00A503FC"/>
    <w:rsid w:val="00A51AFB"/>
    <w:rsid w:val="00A52C10"/>
    <w:rsid w:val="00A54703"/>
    <w:rsid w:val="00A55475"/>
    <w:rsid w:val="00A55B2E"/>
    <w:rsid w:val="00A55C70"/>
    <w:rsid w:val="00A5621D"/>
    <w:rsid w:val="00A5671B"/>
    <w:rsid w:val="00A57147"/>
    <w:rsid w:val="00A610E7"/>
    <w:rsid w:val="00A611E8"/>
    <w:rsid w:val="00A61D86"/>
    <w:rsid w:val="00A61F70"/>
    <w:rsid w:val="00A6274A"/>
    <w:rsid w:val="00A6347D"/>
    <w:rsid w:val="00A639E0"/>
    <w:rsid w:val="00A6402E"/>
    <w:rsid w:val="00A642D4"/>
    <w:rsid w:val="00A645F9"/>
    <w:rsid w:val="00A64862"/>
    <w:rsid w:val="00A64923"/>
    <w:rsid w:val="00A64AA8"/>
    <w:rsid w:val="00A64AD6"/>
    <w:rsid w:val="00A656B0"/>
    <w:rsid w:val="00A6596D"/>
    <w:rsid w:val="00A659A0"/>
    <w:rsid w:val="00A66733"/>
    <w:rsid w:val="00A67563"/>
    <w:rsid w:val="00A677EF"/>
    <w:rsid w:val="00A714A5"/>
    <w:rsid w:val="00A71573"/>
    <w:rsid w:val="00A73208"/>
    <w:rsid w:val="00A74BCA"/>
    <w:rsid w:val="00A74E0B"/>
    <w:rsid w:val="00A777B1"/>
    <w:rsid w:val="00A80214"/>
    <w:rsid w:val="00A81D5E"/>
    <w:rsid w:val="00A822E4"/>
    <w:rsid w:val="00A82B15"/>
    <w:rsid w:val="00A83706"/>
    <w:rsid w:val="00A84678"/>
    <w:rsid w:val="00A84D98"/>
    <w:rsid w:val="00A85EFD"/>
    <w:rsid w:val="00A8779A"/>
    <w:rsid w:val="00A877F3"/>
    <w:rsid w:val="00A87E5E"/>
    <w:rsid w:val="00A90581"/>
    <w:rsid w:val="00A9288A"/>
    <w:rsid w:val="00A92E25"/>
    <w:rsid w:val="00A933EA"/>
    <w:rsid w:val="00A93DDD"/>
    <w:rsid w:val="00A95037"/>
    <w:rsid w:val="00A950AB"/>
    <w:rsid w:val="00A9514D"/>
    <w:rsid w:val="00A95D24"/>
    <w:rsid w:val="00A968FB"/>
    <w:rsid w:val="00AA1B80"/>
    <w:rsid w:val="00AA1DD9"/>
    <w:rsid w:val="00AA2709"/>
    <w:rsid w:val="00AA31CA"/>
    <w:rsid w:val="00AA54C1"/>
    <w:rsid w:val="00AA5A54"/>
    <w:rsid w:val="00AA5C55"/>
    <w:rsid w:val="00AB0BCF"/>
    <w:rsid w:val="00AB0CA6"/>
    <w:rsid w:val="00AB13A7"/>
    <w:rsid w:val="00AB1659"/>
    <w:rsid w:val="00AB287F"/>
    <w:rsid w:val="00AB36B9"/>
    <w:rsid w:val="00AB4931"/>
    <w:rsid w:val="00AB4E9A"/>
    <w:rsid w:val="00AB5EB4"/>
    <w:rsid w:val="00AB760B"/>
    <w:rsid w:val="00AB78F0"/>
    <w:rsid w:val="00AC0D2B"/>
    <w:rsid w:val="00AC0E11"/>
    <w:rsid w:val="00AC2039"/>
    <w:rsid w:val="00AC3B64"/>
    <w:rsid w:val="00AC4A94"/>
    <w:rsid w:val="00AC55C1"/>
    <w:rsid w:val="00AC653E"/>
    <w:rsid w:val="00AC73E3"/>
    <w:rsid w:val="00AD01AB"/>
    <w:rsid w:val="00AD1C34"/>
    <w:rsid w:val="00AD4DC2"/>
    <w:rsid w:val="00AD7857"/>
    <w:rsid w:val="00AE0DFC"/>
    <w:rsid w:val="00AE12F1"/>
    <w:rsid w:val="00AE1967"/>
    <w:rsid w:val="00AE2B42"/>
    <w:rsid w:val="00AE324A"/>
    <w:rsid w:val="00AE49D6"/>
    <w:rsid w:val="00AE5436"/>
    <w:rsid w:val="00AE7AFA"/>
    <w:rsid w:val="00AF108A"/>
    <w:rsid w:val="00AF18BE"/>
    <w:rsid w:val="00AF21A7"/>
    <w:rsid w:val="00AF4ED5"/>
    <w:rsid w:val="00AF626F"/>
    <w:rsid w:val="00AF6401"/>
    <w:rsid w:val="00AF70B8"/>
    <w:rsid w:val="00AF7A20"/>
    <w:rsid w:val="00B014E2"/>
    <w:rsid w:val="00B0197E"/>
    <w:rsid w:val="00B03049"/>
    <w:rsid w:val="00B0338E"/>
    <w:rsid w:val="00B04B66"/>
    <w:rsid w:val="00B04C8E"/>
    <w:rsid w:val="00B06D59"/>
    <w:rsid w:val="00B113C8"/>
    <w:rsid w:val="00B1199D"/>
    <w:rsid w:val="00B121CE"/>
    <w:rsid w:val="00B1281C"/>
    <w:rsid w:val="00B13468"/>
    <w:rsid w:val="00B14D83"/>
    <w:rsid w:val="00B16689"/>
    <w:rsid w:val="00B1788E"/>
    <w:rsid w:val="00B20A4E"/>
    <w:rsid w:val="00B21DFB"/>
    <w:rsid w:val="00B22532"/>
    <w:rsid w:val="00B22C6A"/>
    <w:rsid w:val="00B23335"/>
    <w:rsid w:val="00B23789"/>
    <w:rsid w:val="00B242B9"/>
    <w:rsid w:val="00B267F2"/>
    <w:rsid w:val="00B26F98"/>
    <w:rsid w:val="00B318D4"/>
    <w:rsid w:val="00B3227F"/>
    <w:rsid w:val="00B32D93"/>
    <w:rsid w:val="00B331AD"/>
    <w:rsid w:val="00B33349"/>
    <w:rsid w:val="00B349C9"/>
    <w:rsid w:val="00B3509D"/>
    <w:rsid w:val="00B35303"/>
    <w:rsid w:val="00B36D12"/>
    <w:rsid w:val="00B37CDC"/>
    <w:rsid w:val="00B4063B"/>
    <w:rsid w:val="00B4129D"/>
    <w:rsid w:val="00B4234F"/>
    <w:rsid w:val="00B436D1"/>
    <w:rsid w:val="00B44632"/>
    <w:rsid w:val="00B44BF7"/>
    <w:rsid w:val="00B44F1D"/>
    <w:rsid w:val="00B46D28"/>
    <w:rsid w:val="00B47108"/>
    <w:rsid w:val="00B47403"/>
    <w:rsid w:val="00B47F68"/>
    <w:rsid w:val="00B524B5"/>
    <w:rsid w:val="00B532AC"/>
    <w:rsid w:val="00B548EF"/>
    <w:rsid w:val="00B55465"/>
    <w:rsid w:val="00B555D1"/>
    <w:rsid w:val="00B572FB"/>
    <w:rsid w:val="00B57EFE"/>
    <w:rsid w:val="00B61D02"/>
    <w:rsid w:val="00B62DCB"/>
    <w:rsid w:val="00B675B9"/>
    <w:rsid w:val="00B677FE"/>
    <w:rsid w:val="00B678CF"/>
    <w:rsid w:val="00B70310"/>
    <w:rsid w:val="00B71A97"/>
    <w:rsid w:val="00B74EB8"/>
    <w:rsid w:val="00B81377"/>
    <w:rsid w:val="00B81797"/>
    <w:rsid w:val="00B817CD"/>
    <w:rsid w:val="00B822B6"/>
    <w:rsid w:val="00B83B0D"/>
    <w:rsid w:val="00B840C7"/>
    <w:rsid w:val="00B84B23"/>
    <w:rsid w:val="00B91704"/>
    <w:rsid w:val="00B94198"/>
    <w:rsid w:val="00B94283"/>
    <w:rsid w:val="00B94615"/>
    <w:rsid w:val="00B95D93"/>
    <w:rsid w:val="00B95F93"/>
    <w:rsid w:val="00B96115"/>
    <w:rsid w:val="00B967CF"/>
    <w:rsid w:val="00BA0944"/>
    <w:rsid w:val="00BA09CE"/>
    <w:rsid w:val="00BA2184"/>
    <w:rsid w:val="00BA21E7"/>
    <w:rsid w:val="00BA31E1"/>
    <w:rsid w:val="00BA3A10"/>
    <w:rsid w:val="00BA64CC"/>
    <w:rsid w:val="00BA7D88"/>
    <w:rsid w:val="00BB02AA"/>
    <w:rsid w:val="00BB4025"/>
    <w:rsid w:val="00BB402E"/>
    <w:rsid w:val="00BB4E58"/>
    <w:rsid w:val="00BB6BC6"/>
    <w:rsid w:val="00BC29D9"/>
    <w:rsid w:val="00BC2BF4"/>
    <w:rsid w:val="00BC2D19"/>
    <w:rsid w:val="00BC5485"/>
    <w:rsid w:val="00BC5CC4"/>
    <w:rsid w:val="00BC6BCB"/>
    <w:rsid w:val="00BC6E42"/>
    <w:rsid w:val="00BC6F07"/>
    <w:rsid w:val="00BD0079"/>
    <w:rsid w:val="00BD26BC"/>
    <w:rsid w:val="00BD3790"/>
    <w:rsid w:val="00BD3CBC"/>
    <w:rsid w:val="00BD4403"/>
    <w:rsid w:val="00BD47DA"/>
    <w:rsid w:val="00BD518A"/>
    <w:rsid w:val="00BD6E24"/>
    <w:rsid w:val="00BD748F"/>
    <w:rsid w:val="00BD76DC"/>
    <w:rsid w:val="00BE1DCC"/>
    <w:rsid w:val="00BE20A1"/>
    <w:rsid w:val="00BE36CC"/>
    <w:rsid w:val="00BE3F04"/>
    <w:rsid w:val="00BE58C4"/>
    <w:rsid w:val="00BE6A79"/>
    <w:rsid w:val="00BE6DA9"/>
    <w:rsid w:val="00BE72E6"/>
    <w:rsid w:val="00BF01D8"/>
    <w:rsid w:val="00BF0D18"/>
    <w:rsid w:val="00BF1289"/>
    <w:rsid w:val="00BF1902"/>
    <w:rsid w:val="00BF1ACC"/>
    <w:rsid w:val="00BF3AFC"/>
    <w:rsid w:val="00BF542E"/>
    <w:rsid w:val="00BF6947"/>
    <w:rsid w:val="00BF697A"/>
    <w:rsid w:val="00BF7DF1"/>
    <w:rsid w:val="00C00349"/>
    <w:rsid w:val="00C02556"/>
    <w:rsid w:val="00C03E77"/>
    <w:rsid w:val="00C05FD1"/>
    <w:rsid w:val="00C06D5A"/>
    <w:rsid w:val="00C14E0F"/>
    <w:rsid w:val="00C1500C"/>
    <w:rsid w:val="00C163C7"/>
    <w:rsid w:val="00C2002E"/>
    <w:rsid w:val="00C20253"/>
    <w:rsid w:val="00C205AC"/>
    <w:rsid w:val="00C2114E"/>
    <w:rsid w:val="00C25556"/>
    <w:rsid w:val="00C2591D"/>
    <w:rsid w:val="00C27EB7"/>
    <w:rsid w:val="00C35D7D"/>
    <w:rsid w:val="00C36734"/>
    <w:rsid w:val="00C37D78"/>
    <w:rsid w:val="00C414F7"/>
    <w:rsid w:val="00C43508"/>
    <w:rsid w:val="00C4417E"/>
    <w:rsid w:val="00C44ED0"/>
    <w:rsid w:val="00C4510D"/>
    <w:rsid w:val="00C45894"/>
    <w:rsid w:val="00C45AE6"/>
    <w:rsid w:val="00C510C1"/>
    <w:rsid w:val="00C522BD"/>
    <w:rsid w:val="00C54CF2"/>
    <w:rsid w:val="00C54DC3"/>
    <w:rsid w:val="00C55152"/>
    <w:rsid w:val="00C55521"/>
    <w:rsid w:val="00C5742F"/>
    <w:rsid w:val="00C60388"/>
    <w:rsid w:val="00C63087"/>
    <w:rsid w:val="00C632BF"/>
    <w:rsid w:val="00C63A4E"/>
    <w:rsid w:val="00C63AA5"/>
    <w:rsid w:val="00C65639"/>
    <w:rsid w:val="00C65AD8"/>
    <w:rsid w:val="00C66969"/>
    <w:rsid w:val="00C676CA"/>
    <w:rsid w:val="00C67EEB"/>
    <w:rsid w:val="00C71355"/>
    <w:rsid w:val="00C71A6A"/>
    <w:rsid w:val="00C72C7C"/>
    <w:rsid w:val="00C72EDC"/>
    <w:rsid w:val="00C73CCD"/>
    <w:rsid w:val="00C754A3"/>
    <w:rsid w:val="00C77B02"/>
    <w:rsid w:val="00C81640"/>
    <w:rsid w:val="00C8180E"/>
    <w:rsid w:val="00C829A4"/>
    <w:rsid w:val="00C82E30"/>
    <w:rsid w:val="00C8566B"/>
    <w:rsid w:val="00C86E1A"/>
    <w:rsid w:val="00C87A64"/>
    <w:rsid w:val="00C90979"/>
    <w:rsid w:val="00C937DB"/>
    <w:rsid w:val="00C946A5"/>
    <w:rsid w:val="00C954E1"/>
    <w:rsid w:val="00C95CDA"/>
    <w:rsid w:val="00CA07D7"/>
    <w:rsid w:val="00CA100E"/>
    <w:rsid w:val="00CA190E"/>
    <w:rsid w:val="00CA1C98"/>
    <w:rsid w:val="00CA2D66"/>
    <w:rsid w:val="00CA73D3"/>
    <w:rsid w:val="00CB23F5"/>
    <w:rsid w:val="00CB2D68"/>
    <w:rsid w:val="00CB3BE9"/>
    <w:rsid w:val="00CB4A2C"/>
    <w:rsid w:val="00CB4BAD"/>
    <w:rsid w:val="00CB4D61"/>
    <w:rsid w:val="00CB6C97"/>
    <w:rsid w:val="00CB78F7"/>
    <w:rsid w:val="00CC10A9"/>
    <w:rsid w:val="00CC160D"/>
    <w:rsid w:val="00CC2487"/>
    <w:rsid w:val="00CC3904"/>
    <w:rsid w:val="00CC3C55"/>
    <w:rsid w:val="00CC5039"/>
    <w:rsid w:val="00CC5C74"/>
    <w:rsid w:val="00CC67DE"/>
    <w:rsid w:val="00CC69B9"/>
    <w:rsid w:val="00CC6CFD"/>
    <w:rsid w:val="00CD08AD"/>
    <w:rsid w:val="00CD1E42"/>
    <w:rsid w:val="00CD2674"/>
    <w:rsid w:val="00CD3954"/>
    <w:rsid w:val="00CD4790"/>
    <w:rsid w:val="00CD4940"/>
    <w:rsid w:val="00CD7ACE"/>
    <w:rsid w:val="00CE0E70"/>
    <w:rsid w:val="00CE133C"/>
    <w:rsid w:val="00CE1B7C"/>
    <w:rsid w:val="00CE1F77"/>
    <w:rsid w:val="00CE25B7"/>
    <w:rsid w:val="00CE2BAB"/>
    <w:rsid w:val="00CE5A81"/>
    <w:rsid w:val="00CE63BF"/>
    <w:rsid w:val="00CE63FF"/>
    <w:rsid w:val="00CE657F"/>
    <w:rsid w:val="00CE6842"/>
    <w:rsid w:val="00CF1675"/>
    <w:rsid w:val="00CF1F9A"/>
    <w:rsid w:val="00CF4392"/>
    <w:rsid w:val="00CF507E"/>
    <w:rsid w:val="00D01490"/>
    <w:rsid w:val="00D01626"/>
    <w:rsid w:val="00D0276B"/>
    <w:rsid w:val="00D02AAE"/>
    <w:rsid w:val="00D03883"/>
    <w:rsid w:val="00D03CE8"/>
    <w:rsid w:val="00D03E83"/>
    <w:rsid w:val="00D05300"/>
    <w:rsid w:val="00D05547"/>
    <w:rsid w:val="00D05B24"/>
    <w:rsid w:val="00D06218"/>
    <w:rsid w:val="00D0690F"/>
    <w:rsid w:val="00D06C9B"/>
    <w:rsid w:val="00D12FD3"/>
    <w:rsid w:val="00D17530"/>
    <w:rsid w:val="00D2108E"/>
    <w:rsid w:val="00D21523"/>
    <w:rsid w:val="00D2163A"/>
    <w:rsid w:val="00D21E33"/>
    <w:rsid w:val="00D22E83"/>
    <w:rsid w:val="00D24512"/>
    <w:rsid w:val="00D24634"/>
    <w:rsid w:val="00D25700"/>
    <w:rsid w:val="00D25A3A"/>
    <w:rsid w:val="00D27F48"/>
    <w:rsid w:val="00D32A42"/>
    <w:rsid w:val="00D33979"/>
    <w:rsid w:val="00D34CB0"/>
    <w:rsid w:val="00D3607C"/>
    <w:rsid w:val="00D3665C"/>
    <w:rsid w:val="00D368CA"/>
    <w:rsid w:val="00D36F5B"/>
    <w:rsid w:val="00D37210"/>
    <w:rsid w:val="00D37F41"/>
    <w:rsid w:val="00D408BD"/>
    <w:rsid w:val="00D41B08"/>
    <w:rsid w:val="00D42BC7"/>
    <w:rsid w:val="00D43A2D"/>
    <w:rsid w:val="00D4421F"/>
    <w:rsid w:val="00D45AB7"/>
    <w:rsid w:val="00D45F6B"/>
    <w:rsid w:val="00D46733"/>
    <w:rsid w:val="00D47435"/>
    <w:rsid w:val="00D47CE3"/>
    <w:rsid w:val="00D50F48"/>
    <w:rsid w:val="00D51993"/>
    <w:rsid w:val="00D52513"/>
    <w:rsid w:val="00D52C44"/>
    <w:rsid w:val="00D52DB5"/>
    <w:rsid w:val="00D53A57"/>
    <w:rsid w:val="00D5613B"/>
    <w:rsid w:val="00D576BE"/>
    <w:rsid w:val="00D57BB0"/>
    <w:rsid w:val="00D602B4"/>
    <w:rsid w:val="00D64D51"/>
    <w:rsid w:val="00D65209"/>
    <w:rsid w:val="00D65A95"/>
    <w:rsid w:val="00D66931"/>
    <w:rsid w:val="00D7005A"/>
    <w:rsid w:val="00D7073A"/>
    <w:rsid w:val="00D707AD"/>
    <w:rsid w:val="00D70CA2"/>
    <w:rsid w:val="00D70FB0"/>
    <w:rsid w:val="00D7163A"/>
    <w:rsid w:val="00D729A9"/>
    <w:rsid w:val="00D766A7"/>
    <w:rsid w:val="00D76707"/>
    <w:rsid w:val="00D76DE7"/>
    <w:rsid w:val="00D81765"/>
    <w:rsid w:val="00D83121"/>
    <w:rsid w:val="00D837CB"/>
    <w:rsid w:val="00D83E96"/>
    <w:rsid w:val="00D841BC"/>
    <w:rsid w:val="00D84318"/>
    <w:rsid w:val="00D862CC"/>
    <w:rsid w:val="00D86555"/>
    <w:rsid w:val="00D86A14"/>
    <w:rsid w:val="00D90D3C"/>
    <w:rsid w:val="00D90F5E"/>
    <w:rsid w:val="00D956A3"/>
    <w:rsid w:val="00D975C0"/>
    <w:rsid w:val="00D97D27"/>
    <w:rsid w:val="00DA04B0"/>
    <w:rsid w:val="00DA10C4"/>
    <w:rsid w:val="00DA1F04"/>
    <w:rsid w:val="00DA6F15"/>
    <w:rsid w:val="00DB12EB"/>
    <w:rsid w:val="00DB2454"/>
    <w:rsid w:val="00DB3D76"/>
    <w:rsid w:val="00DB455B"/>
    <w:rsid w:val="00DB4E3B"/>
    <w:rsid w:val="00DB5349"/>
    <w:rsid w:val="00DB53D8"/>
    <w:rsid w:val="00DB56A8"/>
    <w:rsid w:val="00DC08A6"/>
    <w:rsid w:val="00DC0960"/>
    <w:rsid w:val="00DC43DA"/>
    <w:rsid w:val="00DC4C25"/>
    <w:rsid w:val="00DC5290"/>
    <w:rsid w:val="00DC58CD"/>
    <w:rsid w:val="00DC59AC"/>
    <w:rsid w:val="00DC6092"/>
    <w:rsid w:val="00DC7B29"/>
    <w:rsid w:val="00DD176E"/>
    <w:rsid w:val="00DD1999"/>
    <w:rsid w:val="00DD2BBF"/>
    <w:rsid w:val="00DD4BE7"/>
    <w:rsid w:val="00DD606B"/>
    <w:rsid w:val="00DD6959"/>
    <w:rsid w:val="00DE1EFA"/>
    <w:rsid w:val="00DE2AC8"/>
    <w:rsid w:val="00DE40D3"/>
    <w:rsid w:val="00DE4B10"/>
    <w:rsid w:val="00DE5FF4"/>
    <w:rsid w:val="00DF0072"/>
    <w:rsid w:val="00DF0092"/>
    <w:rsid w:val="00DF0BAE"/>
    <w:rsid w:val="00DF1342"/>
    <w:rsid w:val="00DF3454"/>
    <w:rsid w:val="00DF3A1A"/>
    <w:rsid w:val="00DF4F1D"/>
    <w:rsid w:val="00DF5FCD"/>
    <w:rsid w:val="00DF66CC"/>
    <w:rsid w:val="00E00605"/>
    <w:rsid w:val="00E00641"/>
    <w:rsid w:val="00E01794"/>
    <w:rsid w:val="00E03E54"/>
    <w:rsid w:val="00E042F3"/>
    <w:rsid w:val="00E05854"/>
    <w:rsid w:val="00E075E4"/>
    <w:rsid w:val="00E102AC"/>
    <w:rsid w:val="00E105D3"/>
    <w:rsid w:val="00E10F64"/>
    <w:rsid w:val="00E1228B"/>
    <w:rsid w:val="00E12524"/>
    <w:rsid w:val="00E12738"/>
    <w:rsid w:val="00E13FC9"/>
    <w:rsid w:val="00E145CC"/>
    <w:rsid w:val="00E157B2"/>
    <w:rsid w:val="00E1799A"/>
    <w:rsid w:val="00E2057B"/>
    <w:rsid w:val="00E205FF"/>
    <w:rsid w:val="00E224D8"/>
    <w:rsid w:val="00E22B59"/>
    <w:rsid w:val="00E239FD"/>
    <w:rsid w:val="00E23B0B"/>
    <w:rsid w:val="00E24A0E"/>
    <w:rsid w:val="00E24FE6"/>
    <w:rsid w:val="00E2503E"/>
    <w:rsid w:val="00E26F1B"/>
    <w:rsid w:val="00E3177A"/>
    <w:rsid w:val="00E31A5C"/>
    <w:rsid w:val="00E32365"/>
    <w:rsid w:val="00E3735E"/>
    <w:rsid w:val="00E37E1E"/>
    <w:rsid w:val="00E43284"/>
    <w:rsid w:val="00E43CD8"/>
    <w:rsid w:val="00E44AB6"/>
    <w:rsid w:val="00E455B6"/>
    <w:rsid w:val="00E46414"/>
    <w:rsid w:val="00E55B56"/>
    <w:rsid w:val="00E55F90"/>
    <w:rsid w:val="00E5645C"/>
    <w:rsid w:val="00E576DB"/>
    <w:rsid w:val="00E57E45"/>
    <w:rsid w:val="00E6000D"/>
    <w:rsid w:val="00E602A0"/>
    <w:rsid w:val="00E61930"/>
    <w:rsid w:val="00E6299E"/>
    <w:rsid w:val="00E630C3"/>
    <w:rsid w:val="00E63AB7"/>
    <w:rsid w:val="00E641FB"/>
    <w:rsid w:val="00E66CB2"/>
    <w:rsid w:val="00E71F4A"/>
    <w:rsid w:val="00E72D55"/>
    <w:rsid w:val="00E737E8"/>
    <w:rsid w:val="00E746FA"/>
    <w:rsid w:val="00E75157"/>
    <w:rsid w:val="00E75AFA"/>
    <w:rsid w:val="00E76068"/>
    <w:rsid w:val="00E772B5"/>
    <w:rsid w:val="00E774EA"/>
    <w:rsid w:val="00E77B91"/>
    <w:rsid w:val="00E77E62"/>
    <w:rsid w:val="00E8031E"/>
    <w:rsid w:val="00E80FB9"/>
    <w:rsid w:val="00E82A92"/>
    <w:rsid w:val="00E8330E"/>
    <w:rsid w:val="00E8338F"/>
    <w:rsid w:val="00E85346"/>
    <w:rsid w:val="00E85E7D"/>
    <w:rsid w:val="00E85F22"/>
    <w:rsid w:val="00E86546"/>
    <w:rsid w:val="00E87819"/>
    <w:rsid w:val="00E87C97"/>
    <w:rsid w:val="00E90970"/>
    <w:rsid w:val="00E93568"/>
    <w:rsid w:val="00E944B3"/>
    <w:rsid w:val="00E96954"/>
    <w:rsid w:val="00E96ED7"/>
    <w:rsid w:val="00E9714A"/>
    <w:rsid w:val="00EA0F5E"/>
    <w:rsid w:val="00EA1030"/>
    <w:rsid w:val="00EA1511"/>
    <w:rsid w:val="00EA2DC6"/>
    <w:rsid w:val="00EA350F"/>
    <w:rsid w:val="00EA3B7E"/>
    <w:rsid w:val="00EA4A57"/>
    <w:rsid w:val="00EA6CD5"/>
    <w:rsid w:val="00EB0D37"/>
    <w:rsid w:val="00EB10A4"/>
    <w:rsid w:val="00EB128B"/>
    <w:rsid w:val="00EB16B2"/>
    <w:rsid w:val="00EB2A33"/>
    <w:rsid w:val="00EB3122"/>
    <w:rsid w:val="00EB7233"/>
    <w:rsid w:val="00EC0EAE"/>
    <w:rsid w:val="00EC13D3"/>
    <w:rsid w:val="00EC3883"/>
    <w:rsid w:val="00EC4278"/>
    <w:rsid w:val="00EC5650"/>
    <w:rsid w:val="00EC5822"/>
    <w:rsid w:val="00EC692A"/>
    <w:rsid w:val="00EC7724"/>
    <w:rsid w:val="00EC7A25"/>
    <w:rsid w:val="00EC7B12"/>
    <w:rsid w:val="00ED0BC2"/>
    <w:rsid w:val="00ED0C39"/>
    <w:rsid w:val="00ED0F13"/>
    <w:rsid w:val="00ED1153"/>
    <w:rsid w:val="00ED148D"/>
    <w:rsid w:val="00ED199A"/>
    <w:rsid w:val="00ED1A2E"/>
    <w:rsid w:val="00ED29B1"/>
    <w:rsid w:val="00ED3C11"/>
    <w:rsid w:val="00ED42F1"/>
    <w:rsid w:val="00ED4365"/>
    <w:rsid w:val="00ED4710"/>
    <w:rsid w:val="00ED55B7"/>
    <w:rsid w:val="00ED679A"/>
    <w:rsid w:val="00ED7352"/>
    <w:rsid w:val="00EE06C1"/>
    <w:rsid w:val="00EE21CE"/>
    <w:rsid w:val="00EE3546"/>
    <w:rsid w:val="00EE4566"/>
    <w:rsid w:val="00EE508D"/>
    <w:rsid w:val="00EE52B7"/>
    <w:rsid w:val="00EE6A00"/>
    <w:rsid w:val="00EE72D2"/>
    <w:rsid w:val="00EE7788"/>
    <w:rsid w:val="00EE7B77"/>
    <w:rsid w:val="00EF2E85"/>
    <w:rsid w:val="00EF3D15"/>
    <w:rsid w:val="00EF3E75"/>
    <w:rsid w:val="00EF74A4"/>
    <w:rsid w:val="00EF7692"/>
    <w:rsid w:val="00EF7B41"/>
    <w:rsid w:val="00F00120"/>
    <w:rsid w:val="00F004BD"/>
    <w:rsid w:val="00F006E7"/>
    <w:rsid w:val="00F00D5D"/>
    <w:rsid w:val="00F01E9B"/>
    <w:rsid w:val="00F03B30"/>
    <w:rsid w:val="00F06287"/>
    <w:rsid w:val="00F07765"/>
    <w:rsid w:val="00F07D36"/>
    <w:rsid w:val="00F119A2"/>
    <w:rsid w:val="00F11B1C"/>
    <w:rsid w:val="00F12529"/>
    <w:rsid w:val="00F13E8A"/>
    <w:rsid w:val="00F1560B"/>
    <w:rsid w:val="00F166C5"/>
    <w:rsid w:val="00F16ADB"/>
    <w:rsid w:val="00F17B37"/>
    <w:rsid w:val="00F2137B"/>
    <w:rsid w:val="00F213BE"/>
    <w:rsid w:val="00F22840"/>
    <w:rsid w:val="00F23420"/>
    <w:rsid w:val="00F23849"/>
    <w:rsid w:val="00F23C08"/>
    <w:rsid w:val="00F245CD"/>
    <w:rsid w:val="00F24963"/>
    <w:rsid w:val="00F26224"/>
    <w:rsid w:val="00F3071D"/>
    <w:rsid w:val="00F33033"/>
    <w:rsid w:val="00F336AC"/>
    <w:rsid w:val="00F3414F"/>
    <w:rsid w:val="00F34151"/>
    <w:rsid w:val="00F345D4"/>
    <w:rsid w:val="00F3489B"/>
    <w:rsid w:val="00F34967"/>
    <w:rsid w:val="00F34E4C"/>
    <w:rsid w:val="00F35A8B"/>
    <w:rsid w:val="00F35D48"/>
    <w:rsid w:val="00F36C15"/>
    <w:rsid w:val="00F402CC"/>
    <w:rsid w:val="00F4090D"/>
    <w:rsid w:val="00F41FCC"/>
    <w:rsid w:val="00F42A8E"/>
    <w:rsid w:val="00F430C8"/>
    <w:rsid w:val="00F43F1D"/>
    <w:rsid w:val="00F442E9"/>
    <w:rsid w:val="00F44D22"/>
    <w:rsid w:val="00F44F16"/>
    <w:rsid w:val="00F45B15"/>
    <w:rsid w:val="00F46451"/>
    <w:rsid w:val="00F479EC"/>
    <w:rsid w:val="00F47D14"/>
    <w:rsid w:val="00F47F3B"/>
    <w:rsid w:val="00F50D6A"/>
    <w:rsid w:val="00F52385"/>
    <w:rsid w:val="00F52BE6"/>
    <w:rsid w:val="00F53093"/>
    <w:rsid w:val="00F53A91"/>
    <w:rsid w:val="00F53CFB"/>
    <w:rsid w:val="00F54325"/>
    <w:rsid w:val="00F5562F"/>
    <w:rsid w:val="00F571E5"/>
    <w:rsid w:val="00F57DA5"/>
    <w:rsid w:val="00F60BBE"/>
    <w:rsid w:val="00F6168C"/>
    <w:rsid w:val="00F61DD0"/>
    <w:rsid w:val="00F61EB9"/>
    <w:rsid w:val="00F632F6"/>
    <w:rsid w:val="00F64AC9"/>
    <w:rsid w:val="00F65FB6"/>
    <w:rsid w:val="00F6715D"/>
    <w:rsid w:val="00F67161"/>
    <w:rsid w:val="00F727FF"/>
    <w:rsid w:val="00F75572"/>
    <w:rsid w:val="00F7678A"/>
    <w:rsid w:val="00F76B94"/>
    <w:rsid w:val="00F8044A"/>
    <w:rsid w:val="00F80FF5"/>
    <w:rsid w:val="00F813B6"/>
    <w:rsid w:val="00F81D45"/>
    <w:rsid w:val="00F8219E"/>
    <w:rsid w:val="00F82E8E"/>
    <w:rsid w:val="00F832B8"/>
    <w:rsid w:val="00F836A8"/>
    <w:rsid w:val="00F84F3F"/>
    <w:rsid w:val="00F85822"/>
    <w:rsid w:val="00F85AC1"/>
    <w:rsid w:val="00F85C81"/>
    <w:rsid w:val="00F86378"/>
    <w:rsid w:val="00F866A0"/>
    <w:rsid w:val="00F87FC7"/>
    <w:rsid w:val="00F90FD6"/>
    <w:rsid w:val="00F92F0A"/>
    <w:rsid w:val="00F93A85"/>
    <w:rsid w:val="00F9421D"/>
    <w:rsid w:val="00F9470E"/>
    <w:rsid w:val="00F94CF5"/>
    <w:rsid w:val="00F95D87"/>
    <w:rsid w:val="00F96977"/>
    <w:rsid w:val="00F97616"/>
    <w:rsid w:val="00FA1218"/>
    <w:rsid w:val="00FA12CD"/>
    <w:rsid w:val="00FA147B"/>
    <w:rsid w:val="00FA3226"/>
    <w:rsid w:val="00FA3715"/>
    <w:rsid w:val="00FA5868"/>
    <w:rsid w:val="00FA6520"/>
    <w:rsid w:val="00FA7E48"/>
    <w:rsid w:val="00FB0241"/>
    <w:rsid w:val="00FB07E0"/>
    <w:rsid w:val="00FB1632"/>
    <w:rsid w:val="00FB4F0B"/>
    <w:rsid w:val="00FB527F"/>
    <w:rsid w:val="00FB557B"/>
    <w:rsid w:val="00FB5A47"/>
    <w:rsid w:val="00FB64E0"/>
    <w:rsid w:val="00FB6D05"/>
    <w:rsid w:val="00FC0815"/>
    <w:rsid w:val="00FC1EEF"/>
    <w:rsid w:val="00FC31D7"/>
    <w:rsid w:val="00FC3DF0"/>
    <w:rsid w:val="00FC486F"/>
    <w:rsid w:val="00FC602E"/>
    <w:rsid w:val="00FC631E"/>
    <w:rsid w:val="00FD1837"/>
    <w:rsid w:val="00FD2A22"/>
    <w:rsid w:val="00FD3EAE"/>
    <w:rsid w:val="00FD5413"/>
    <w:rsid w:val="00FD59AB"/>
    <w:rsid w:val="00FD5E39"/>
    <w:rsid w:val="00FD633D"/>
    <w:rsid w:val="00FD65F0"/>
    <w:rsid w:val="00FD75E8"/>
    <w:rsid w:val="00FE2300"/>
    <w:rsid w:val="00FE3F57"/>
    <w:rsid w:val="00FE4165"/>
    <w:rsid w:val="00FF1610"/>
    <w:rsid w:val="00FF1BE3"/>
    <w:rsid w:val="00FF4261"/>
    <w:rsid w:val="00FF428E"/>
    <w:rsid w:val="00FF75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F6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385176"/>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752E03"/>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752E03"/>
    <w:pPr>
      <w:keepNext/>
      <w:ind w:left="720" w:firstLine="0"/>
      <w:outlineLvl w:val="1"/>
    </w:pPr>
    <w:rPr>
      <w:rFonts w:eastAsiaTheme="majorEastAsia"/>
      <w:bCs/>
      <w:i/>
      <w:iCs/>
      <w:szCs w:val="28"/>
    </w:rPr>
  </w:style>
  <w:style w:type="paragraph" w:styleId="Heading3">
    <w:name w:val="heading 3"/>
    <w:basedOn w:val="Normal"/>
    <w:next w:val="Normal"/>
    <w:link w:val="Heading3Char"/>
    <w:autoRedefine/>
    <w:uiPriority w:val="9"/>
    <w:qFormat/>
    <w:rsid w:val="00236C6D"/>
    <w:pPr>
      <w:keepNext/>
      <w:numPr>
        <w:numId w:val="1"/>
      </w:numPr>
      <w:ind w:left="1080" w:firstLine="0"/>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752E03"/>
    <w:pPr>
      <w:keepNext/>
      <w:keepLines/>
      <w:ind w:left="1440" w:firstLine="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rsid w:val="006E1706"/>
    <w:rPr>
      <w:szCs w:val="24"/>
    </w:rPr>
  </w:style>
  <w:style w:type="character" w:styleId="FootnoteReference">
    <w:name w:val="footnote reference"/>
    <w:basedOn w:val="DefaultParagraphFont"/>
    <w:uiPriority w:val="99"/>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752E03"/>
    <w:rPr>
      <w:rFonts w:eastAsiaTheme="majorEastAsia"/>
      <w:b/>
      <w:bCs/>
      <w:caps/>
      <w:szCs w:val="32"/>
    </w:rPr>
  </w:style>
  <w:style w:type="character" w:customStyle="1" w:styleId="Heading2Char">
    <w:name w:val="Heading 2 Char"/>
    <w:basedOn w:val="DefaultParagraphFont"/>
    <w:link w:val="Heading2"/>
    <w:uiPriority w:val="9"/>
    <w:rsid w:val="00752E03"/>
    <w:rPr>
      <w:rFonts w:eastAsiaTheme="majorEastAsia"/>
      <w:bCs/>
      <w:i/>
      <w:iCs/>
      <w:szCs w:val="28"/>
    </w:rPr>
  </w:style>
  <w:style w:type="character" w:customStyle="1" w:styleId="Heading3Char">
    <w:name w:val="Heading 3 Char"/>
    <w:basedOn w:val="DefaultParagraphFont"/>
    <w:link w:val="Heading3"/>
    <w:uiPriority w:val="9"/>
    <w:rsid w:val="00236C6D"/>
    <w:rPr>
      <w:rFonts w:eastAsiaTheme="majorEastAsia"/>
      <w:bCs/>
      <w:u w:val="single"/>
    </w:rPr>
  </w:style>
  <w:style w:type="character" w:customStyle="1" w:styleId="Heading4Char">
    <w:name w:val="Heading 4 Char"/>
    <w:basedOn w:val="DefaultParagraphFont"/>
    <w:link w:val="Heading4"/>
    <w:uiPriority w:val="9"/>
    <w:rsid w:val="00752E03"/>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6E1706"/>
    <w:pPr>
      <w:spacing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6E1706"/>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character" w:styleId="CommentReference">
    <w:name w:val="annotation reference"/>
    <w:basedOn w:val="DefaultParagraphFont"/>
    <w:uiPriority w:val="99"/>
    <w:semiHidden/>
    <w:unhideWhenUsed/>
    <w:rsid w:val="001F2047"/>
    <w:rPr>
      <w:sz w:val="16"/>
      <w:szCs w:val="16"/>
    </w:rPr>
  </w:style>
  <w:style w:type="paragraph" w:styleId="CommentText">
    <w:name w:val="annotation text"/>
    <w:basedOn w:val="Normal"/>
    <w:link w:val="CommentTextChar"/>
    <w:uiPriority w:val="99"/>
    <w:unhideWhenUsed/>
    <w:rsid w:val="001F2047"/>
    <w:pPr>
      <w:spacing w:line="240" w:lineRule="auto"/>
    </w:pPr>
    <w:rPr>
      <w:sz w:val="20"/>
      <w:szCs w:val="20"/>
    </w:rPr>
  </w:style>
  <w:style w:type="character" w:customStyle="1" w:styleId="CommentTextChar">
    <w:name w:val="Comment Text Char"/>
    <w:basedOn w:val="DefaultParagraphFont"/>
    <w:link w:val="CommentText"/>
    <w:uiPriority w:val="99"/>
    <w:rsid w:val="001F2047"/>
    <w:rPr>
      <w:sz w:val="20"/>
      <w:szCs w:val="20"/>
    </w:rPr>
  </w:style>
  <w:style w:type="paragraph" w:styleId="BalloonText">
    <w:name w:val="Balloon Text"/>
    <w:basedOn w:val="Normal"/>
    <w:link w:val="BalloonTextChar"/>
    <w:uiPriority w:val="99"/>
    <w:semiHidden/>
    <w:unhideWhenUsed/>
    <w:rsid w:val="001F20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402E"/>
    <w:rPr>
      <w:b/>
      <w:bCs/>
    </w:rPr>
  </w:style>
  <w:style w:type="character" w:customStyle="1" w:styleId="CommentSubjectChar">
    <w:name w:val="Comment Subject Char"/>
    <w:basedOn w:val="CommentTextChar"/>
    <w:link w:val="CommentSubject"/>
    <w:uiPriority w:val="99"/>
    <w:semiHidden/>
    <w:rsid w:val="00BB402E"/>
    <w:rPr>
      <w:b/>
      <w:bCs/>
      <w:sz w:val="20"/>
      <w:szCs w:val="20"/>
    </w:rPr>
  </w:style>
  <w:style w:type="paragraph" w:styleId="Revision">
    <w:name w:val="Revision"/>
    <w:hidden/>
    <w:uiPriority w:val="99"/>
    <w:semiHidden/>
    <w:rsid w:val="00BB402E"/>
    <w:pPr>
      <w:spacing w:after="0" w:line="240" w:lineRule="auto"/>
    </w:pPr>
  </w:style>
  <w:style w:type="paragraph" w:styleId="ListParagraph">
    <w:name w:val="List Paragraph"/>
    <w:basedOn w:val="Normal"/>
    <w:uiPriority w:val="34"/>
    <w:rsid w:val="00DB5349"/>
    <w:pPr>
      <w:ind w:left="720"/>
      <w:contextualSpacing/>
    </w:pPr>
  </w:style>
  <w:style w:type="character" w:customStyle="1" w:styleId="Title1">
    <w:name w:val="Title1"/>
    <w:basedOn w:val="DefaultParagraphFont"/>
    <w:rsid w:val="0093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62A6-345F-49DB-AC43-B5192D49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8193</Words>
  <Characters>44010</Characters>
  <Application>Microsoft Office Word</Application>
  <DocSecurity>0</DocSecurity>
  <Lines>746</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2022-01-07T21:32:00Z</dcterms:created>
  <dcterms:modified xsi:type="dcterms:W3CDTF">2022-01-07T21:32:00Z</dcterms:modified>
  <cp:category/>
</cp:coreProperties>
</file>