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A2C1" w14:textId="3D796DD4" w:rsidR="00681559" w:rsidRPr="00802AF8" w:rsidRDefault="00207E98" w:rsidP="00207E98">
      <w:pPr>
        <w:spacing w:line="240" w:lineRule="auto"/>
        <w:jc w:val="center"/>
        <w:rPr>
          <w:bCs/>
          <w:sz w:val="20"/>
          <w:szCs w:val="20"/>
        </w:rPr>
      </w:pPr>
      <w:r w:rsidRPr="00446F26">
        <w:rPr>
          <w:bCs/>
          <w:sz w:val="20"/>
          <w:szCs w:val="20"/>
        </w:rPr>
        <w:t>F</w:t>
      </w:r>
      <w:r w:rsidR="00446F26" w:rsidRPr="00446F26">
        <w:rPr>
          <w:bCs/>
          <w:sz w:val="20"/>
          <w:szCs w:val="20"/>
        </w:rPr>
        <w:t>iled</w:t>
      </w:r>
      <w:r>
        <w:rPr>
          <w:bCs/>
          <w:sz w:val="20"/>
          <w:szCs w:val="20"/>
        </w:rPr>
        <w:t xml:space="preserve"> 12/1/23</w:t>
      </w:r>
      <w:r w:rsidRPr="00207E98">
        <w:rPr>
          <w:bCs/>
          <w:sz w:val="20"/>
          <w:szCs w:val="20"/>
        </w:rPr>
        <w:t>; REVIEW GRANTED.  See Cal. Rules of Court, rules 8.1105 and 8.1115 (and corresponding Comment, par. 2, concerning rule 8.1115(e)(3)).</w:t>
      </w:r>
    </w:p>
    <w:p w14:paraId="3E16D05B" w14:textId="77777777" w:rsidR="00681559" w:rsidRDefault="00207E98" w:rsidP="00681559">
      <w:pPr>
        <w:spacing w:line="240" w:lineRule="auto"/>
        <w:jc w:val="center"/>
        <w:rPr>
          <w:b/>
        </w:rPr>
      </w:pPr>
      <w:r>
        <w:rPr>
          <w:b/>
        </w:rPr>
        <w:t>CERTIFIED FOR PUBLICATION</w:t>
      </w:r>
    </w:p>
    <w:p w14:paraId="0C4411D9" w14:textId="77777777" w:rsidR="00681559" w:rsidRDefault="00681559" w:rsidP="00681559">
      <w:pPr>
        <w:spacing w:line="240" w:lineRule="auto"/>
      </w:pPr>
    </w:p>
    <w:p w14:paraId="756BCACE" w14:textId="79CA83B8" w:rsidR="00A63908" w:rsidRDefault="00207E98" w:rsidP="00A63908">
      <w:pPr>
        <w:spacing w:line="240" w:lineRule="auto"/>
        <w:jc w:val="center"/>
      </w:pPr>
      <w:r>
        <w:t>IN THE COURT OF APPEAL OF THE STATE OF CALIFORNIA</w:t>
      </w:r>
    </w:p>
    <w:p w14:paraId="692C1464" w14:textId="5B17258E" w:rsidR="00A63908" w:rsidRDefault="00A63908" w:rsidP="00A63908">
      <w:pPr>
        <w:spacing w:line="240" w:lineRule="auto"/>
        <w:jc w:val="center"/>
      </w:pPr>
    </w:p>
    <w:p w14:paraId="2208A1A3" w14:textId="34D2F543" w:rsidR="00A63908" w:rsidRDefault="00207E98" w:rsidP="00A63908">
      <w:pPr>
        <w:spacing w:line="240" w:lineRule="auto"/>
        <w:jc w:val="center"/>
      </w:pPr>
      <w:r>
        <w:t>SIXTH APPELLATE DISTRICT</w:t>
      </w:r>
    </w:p>
    <w:p w14:paraId="1C17D8E5" w14:textId="59E87C97" w:rsidR="00A63908" w:rsidRDefault="00A63908" w:rsidP="00A63908">
      <w:pPr>
        <w:spacing w:line="240" w:lineRule="auto"/>
        <w:jc w:val="center"/>
      </w:pPr>
    </w:p>
    <w:p w14:paraId="47009DEC" w14:textId="7DB7443E" w:rsidR="00A63908" w:rsidRDefault="00A63908" w:rsidP="00A63908">
      <w:pPr>
        <w:spacing w:line="240" w:lineRule="auto"/>
        <w:jc w:val="center"/>
      </w:pPr>
    </w:p>
    <w:tbl>
      <w:tblPr>
        <w:tblW w:w="0" w:type="auto"/>
        <w:tblLayout w:type="fixed"/>
        <w:tblLook w:val="0000" w:firstRow="0" w:lastRow="0" w:firstColumn="0" w:lastColumn="0" w:noHBand="0" w:noVBand="0"/>
      </w:tblPr>
      <w:tblGrid>
        <w:gridCol w:w="4680"/>
        <w:gridCol w:w="4680"/>
      </w:tblGrid>
      <w:tr w:rsidR="00291A63" w14:paraId="0EBB1FA3" w14:textId="77777777" w:rsidTr="00A63908">
        <w:tc>
          <w:tcPr>
            <w:tcW w:w="4680" w:type="dxa"/>
            <w:tcBorders>
              <w:bottom w:val="single" w:sz="4" w:space="0" w:color="auto"/>
              <w:right w:val="single" w:sz="4" w:space="0" w:color="auto"/>
            </w:tcBorders>
            <w:shd w:val="clear" w:color="auto" w:fill="auto"/>
          </w:tcPr>
          <w:p w14:paraId="3A1DF7BC" w14:textId="77777777" w:rsidR="00A63908" w:rsidRDefault="00207E98" w:rsidP="00A63908">
            <w:pPr>
              <w:spacing w:line="240" w:lineRule="auto"/>
            </w:pPr>
            <w:r>
              <w:t>FRANCISCO GUTIERREZ,</w:t>
            </w:r>
          </w:p>
          <w:p w14:paraId="16A01158" w14:textId="77777777" w:rsidR="00A63908" w:rsidRDefault="00A63908" w:rsidP="00A63908">
            <w:pPr>
              <w:spacing w:line="240" w:lineRule="auto"/>
            </w:pPr>
          </w:p>
          <w:p w14:paraId="6AA230B0" w14:textId="77777777" w:rsidR="00A63908" w:rsidRDefault="00207E98" w:rsidP="00A63908">
            <w:pPr>
              <w:spacing w:line="240" w:lineRule="auto"/>
              <w:ind w:left="720"/>
            </w:pPr>
            <w:r>
              <w:t>Plaintiff and Appellant,</w:t>
            </w:r>
          </w:p>
          <w:p w14:paraId="1725A9BA" w14:textId="77777777" w:rsidR="00A63908" w:rsidRDefault="00A63908" w:rsidP="00A63908">
            <w:pPr>
              <w:spacing w:line="240" w:lineRule="auto"/>
              <w:ind w:left="720"/>
            </w:pPr>
          </w:p>
          <w:p w14:paraId="62E1C87E" w14:textId="77777777" w:rsidR="00A63908" w:rsidRDefault="00207E98" w:rsidP="00A63908">
            <w:pPr>
              <w:spacing w:line="240" w:lineRule="auto"/>
              <w:ind w:left="720"/>
            </w:pPr>
            <w:r>
              <w:t>v.</w:t>
            </w:r>
          </w:p>
          <w:p w14:paraId="375E2F94" w14:textId="77777777" w:rsidR="00A63908" w:rsidRDefault="00A63908" w:rsidP="00A63908">
            <w:pPr>
              <w:spacing w:line="240" w:lineRule="auto"/>
            </w:pPr>
          </w:p>
          <w:p w14:paraId="545FA43E" w14:textId="76CBFE82" w:rsidR="00A63908" w:rsidRDefault="00207E98" w:rsidP="00A63908">
            <w:pPr>
              <w:spacing w:line="240" w:lineRule="auto"/>
            </w:pPr>
            <w:r>
              <w:t xml:space="preserve">URIEL TOSTADO </w:t>
            </w:r>
            <w:r w:rsidR="00DD52F6">
              <w:t>et</w:t>
            </w:r>
            <w:r>
              <w:t xml:space="preserve"> </w:t>
            </w:r>
            <w:r w:rsidR="00DD52F6">
              <w:t>al</w:t>
            </w:r>
            <w:r>
              <w:t>.,</w:t>
            </w:r>
          </w:p>
          <w:p w14:paraId="733F12BB" w14:textId="77777777" w:rsidR="00A63908" w:rsidRDefault="00A63908" w:rsidP="00A63908">
            <w:pPr>
              <w:spacing w:line="240" w:lineRule="auto"/>
            </w:pPr>
          </w:p>
          <w:p w14:paraId="1E5FB077" w14:textId="465FAC33" w:rsidR="00A63908" w:rsidRDefault="00207E98" w:rsidP="00A63908">
            <w:pPr>
              <w:spacing w:line="240" w:lineRule="auto"/>
              <w:ind w:left="720"/>
            </w:pPr>
            <w:r>
              <w:t>Defendant</w:t>
            </w:r>
            <w:r w:rsidR="007F600E">
              <w:t>s</w:t>
            </w:r>
            <w:r>
              <w:t xml:space="preserve"> and Respondent</w:t>
            </w:r>
            <w:r w:rsidR="007F600E">
              <w:t>s</w:t>
            </w:r>
            <w:r>
              <w:t>.</w:t>
            </w:r>
          </w:p>
          <w:p w14:paraId="54DDAEA0" w14:textId="074287C8" w:rsidR="00A63908" w:rsidRDefault="00A63908" w:rsidP="00A63908">
            <w:pPr>
              <w:spacing w:line="240" w:lineRule="auto"/>
              <w:ind w:left="1440"/>
            </w:pPr>
          </w:p>
        </w:tc>
        <w:tc>
          <w:tcPr>
            <w:tcW w:w="4680" w:type="dxa"/>
            <w:tcBorders>
              <w:left w:val="single" w:sz="4" w:space="0" w:color="auto"/>
            </w:tcBorders>
            <w:shd w:val="clear" w:color="auto" w:fill="auto"/>
          </w:tcPr>
          <w:p w14:paraId="189C7D39" w14:textId="77777777" w:rsidR="00A63908" w:rsidRDefault="00207E98" w:rsidP="00A63908">
            <w:pPr>
              <w:spacing w:line="240" w:lineRule="auto"/>
            </w:pPr>
            <w:r>
              <w:t xml:space="preserve">      H049983</w:t>
            </w:r>
          </w:p>
          <w:p w14:paraId="5A6ABCD1" w14:textId="77777777" w:rsidR="00A63908" w:rsidRDefault="00207E98" w:rsidP="00A63908">
            <w:pPr>
              <w:spacing w:line="240" w:lineRule="auto"/>
            </w:pPr>
            <w:r>
              <w:t xml:space="preserve">     (Santa Clara County</w:t>
            </w:r>
          </w:p>
          <w:p w14:paraId="2A22D9F8" w14:textId="77777777" w:rsidR="00A63908" w:rsidRDefault="00207E98" w:rsidP="00A63908">
            <w:pPr>
              <w:spacing w:line="240" w:lineRule="auto"/>
            </w:pPr>
            <w:r>
              <w:t xml:space="preserve">      Super. Ct. No. 20CV361400)</w:t>
            </w:r>
          </w:p>
          <w:p w14:paraId="57811979" w14:textId="1B47BCCE" w:rsidR="00A63908" w:rsidRDefault="00A63908" w:rsidP="00A63908">
            <w:pPr>
              <w:spacing w:line="240" w:lineRule="auto"/>
            </w:pPr>
          </w:p>
        </w:tc>
      </w:tr>
    </w:tbl>
    <w:p w14:paraId="7962CD06" w14:textId="6D6B4252" w:rsidR="00BD435D" w:rsidRDefault="00207E98" w:rsidP="00BD435D">
      <w:r>
        <w:tab/>
        <w:t>Francisco Gutierrez appeals from a</w:t>
      </w:r>
      <w:r w:rsidR="002E4372">
        <w:t xml:space="preserve"> judgment entered after the trial court </w:t>
      </w:r>
      <w:r w:rsidR="000871AD">
        <w:t>granted summary</w:t>
      </w:r>
      <w:r>
        <w:t xml:space="preserve"> judgment </w:t>
      </w:r>
      <w:r w:rsidR="0081621E">
        <w:t xml:space="preserve">in favor of </w:t>
      </w:r>
      <w:r w:rsidR="00441C47">
        <w:t>respondents</w:t>
      </w:r>
      <w:r>
        <w:t xml:space="preserve"> Uriel Tostado and ProTransport-1, LLC</w:t>
      </w:r>
      <w:r w:rsidR="00FE01BC">
        <w:t>,</w:t>
      </w:r>
      <w:r>
        <w:t xml:space="preserve"> on the basis that Gutierrez’s </w:t>
      </w:r>
      <w:r w:rsidR="000871AD">
        <w:t>personal injury</w:t>
      </w:r>
      <w:r>
        <w:t xml:space="preserve"> claims were time-barred </w:t>
      </w:r>
      <w:r w:rsidR="004F3E96">
        <w:t>under</w:t>
      </w:r>
      <w:r>
        <w:t xml:space="preserve"> the Medical Injury Compensation Reform Act (MICRA). </w:t>
      </w:r>
      <w:r w:rsidR="00900158">
        <w:t xml:space="preserve"> </w:t>
      </w:r>
      <w:r>
        <w:t xml:space="preserve">Gutierrez contends that the trial court erred when it found </w:t>
      </w:r>
      <w:proofErr w:type="spellStart"/>
      <w:r>
        <w:t>MICRA’s</w:t>
      </w:r>
      <w:proofErr w:type="spellEnd"/>
      <w:r>
        <w:t xml:space="preserve"> one-year statute of limitations </w:t>
      </w:r>
      <w:r w:rsidR="00B84071">
        <w:t xml:space="preserve">for professional negligence </w:t>
      </w:r>
      <w:r>
        <w:t xml:space="preserve">applicable.  We conclude that </w:t>
      </w:r>
      <w:r w:rsidR="00955AB4" w:rsidRPr="002042E8">
        <w:t xml:space="preserve">because </w:t>
      </w:r>
      <w:r w:rsidRPr="002042E8">
        <w:t xml:space="preserve">Tostado was </w:t>
      </w:r>
      <w:r w:rsidR="00813E8D">
        <w:t xml:space="preserve">a </w:t>
      </w:r>
      <w:r w:rsidR="008029C2">
        <w:t xml:space="preserve">medical provider </w:t>
      </w:r>
      <w:r w:rsidRPr="002042E8">
        <w:t xml:space="preserve">rendering professional services at the time </w:t>
      </w:r>
      <w:r w:rsidR="00FF17F9" w:rsidRPr="002042E8">
        <w:t xml:space="preserve">the alleged negligence occurred, </w:t>
      </w:r>
      <w:proofErr w:type="spellStart"/>
      <w:r w:rsidR="0022255B" w:rsidRPr="002042E8">
        <w:t>MICRA</w:t>
      </w:r>
      <w:r w:rsidR="00994F7D" w:rsidRPr="002042E8">
        <w:t>’s</w:t>
      </w:r>
      <w:proofErr w:type="spellEnd"/>
      <w:r w:rsidR="0081621E" w:rsidRPr="002042E8">
        <w:t xml:space="preserve"> statute of limitations</w:t>
      </w:r>
      <w:r w:rsidR="00994F7D" w:rsidRPr="002042E8">
        <w:t xml:space="preserve"> bars </w:t>
      </w:r>
      <w:r w:rsidR="000871AD" w:rsidRPr="002042E8">
        <w:t>Gutierrez’s</w:t>
      </w:r>
      <w:r w:rsidR="00994F7D" w:rsidRPr="002042E8">
        <w:t xml:space="preserve"> claims</w:t>
      </w:r>
      <w:r w:rsidR="0022255B" w:rsidRPr="002042E8">
        <w:t>.</w:t>
      </w:r>
      <w:r w:rsidR="00D84FB6" w:rsidRPr="002042E8">
        <w:t xml:space="preserve">  </w:t>
      </w:r>
      <w:r w:rsidR="005C6F4F" w:rsidRPr="002042E8">
        <w:t>W</w:t>
      </w:r>
      <w:r w:rsidR="007F600E" w:rsidRPr="002042E8">
        <w:t xml:space="preserve">e </w:t>
      </w:r>
      <w:r w:rsidR="005C6F4F" w:rsidRPr="002042E8">
        <w:t xml:space="preserve">thus </w:t>
      </w:r>
      <w:r w:rsidRPr="002042E8">
        <w:t>affirm the</w:t>
      </w:r>
      <w:r w:rsidR="00192462" w:rsidRPr="002042E8">
        <w:t xml:space="preserve"> </w:t>
      </w:r>
      <w:r w:rsidRPr="002042E8">
        <w:t>judgment.</w:t>
      </w:r>
    </w:p>
    <w:p w14:paraId="34162CA4" w14:textId="7CE56031" w:rsidR="00B707D9" w:rsidRPr="00BD435D" w:rsidRDefault="00207E98" w:rsidP="00BD435D">
      <w:pPr>
        <w:pStyle w:val="ListParagraph"/>
        <w:numPr>
          <w:ilvl w:val="0"/>
          <w:numId w:val="6"/>
        </w:numPr>
        <w:jc w:val="center"/>
        <w:rPr>
          <w:b/>
          <w:smallCaps/>
        </w:rPr>
      </w:pPr>
      <w:r w:rsidRPr="00BD435D">
        <w:rPr>
          <w:b/>
          <w:smallCaps/>
        </w:rPr>
        <w:t>Factual and Procedural Background</w:t>
      </w:r>
    </w:p>
    <w:p w14:paraId="1D346F9E" w14:textId="333003FD" w:rsidR="00154D6A" w:rsidRDefault="00207E98" w:rsidP="0097566A">
      <w:r>
        <w:tab/>
      </w:r>
      <w:r w:rsidR="0097566A">
        <w:t>Gutierrez</w:t>
      </w:r>
      <w:r w:rsidR="00D31C5A">
        <w:t xml:space="preserve"> </w:t>
      </w:r>
      <w:r w:rsidR="0097566A">
        <w:t xml:space="preserve">was driving </w:t>
      </w:r>
      <w:r w:rsidR="00D31C5A">
        <w:t>on Interstate 280</w:t>
      </w:r>
      <w:r w:rsidR="000B3286">
        <w:t xml:space="preserve"> when he </w:t>
      </w:r>
      <w:r w:rsidR="0097566A">
        <w:t>was forced to stop</w:t>
      </w:r>
      <w:r w:rsidR="000B3286">
        <w:t xml:space="preserve">. </w:t>
      </w:r>
      <w:r w:rsidR="0097566A">
        <w:t xml:space="preserve"> </w:t>
      </w:r>
      <w:r w:rsidR="000B3286">
        <w:t xml:space="preserve">Shortly after </w:t>
      </w:r>
      <w:r w:rsidR="003C7DCB">
        <w:t>Gutierrez</w:t>
      </w:r>
      <w:r w:rsidR="000B3286">
        <w:t xml:space="preserve"> stopped</w:t>
      </w:r>
      <w:r w:rsidR="0097566A">
        <w:t xml:space="preserve">, </w:t>
      </w:r>
      <w:r w:rsidR="000B3286">
        <w:t>Tostado</w:t>
      </w:r>
      <w:r w:rsidR="0045099F">
        <w:t>,</w:t>
      </w:r>
      <w:r w:rsidR="00381F2A">
        <w:t xml:space="preserve"> who was driving an ambulance</w:t>
      </w:r>
      <w:r w:rsidR="0045099F">
        <w:t>,</w:t>
      </w:r>
      <w:r w:rsidR="00525ECA">
        <w:t xml:space="preserve"> </w:t>
      </w:r>
      <w:r w:rsidR="0097566A">
        <w:t>rear-ended</w:t>
      </w:r>
      <w:r w:rsidR="003C7DCB">
        <w:t xml:space="preserve"> him</w:t>
      </w:r>
      <w:r w:rsidR="00525ECA">
        <w:t xml:space="preserve">.  </w:t>
      </w:r>
      <w:r w:rsidR="00AF3F8B">
        <w:t xml:space="preserve">At the time of the accident, </w:t>
      </w:r>
      <w:r w:rsidR="00525ECA">
        <w:t>Tostado</w:t>
      </w:r>
      <w:r w:rsidR="00AF3F8B">
        <w:t xml:space="preserve"> was</w:t>
      </w:r>
      <w:r w:rsidR="005A376B">
        <w:t xml:space="preserve"> an </w:t>
      </w:r>
      <w:r w:rsidR="000147A8">
        <w:t>emergency medical technician (</w:t>
      </w:r>
      <w:r w:rsidR="0097566A">
        <w:t>EMT</w:t>
      </w:r>
      <w:r w:rsidR="000147A8">
        <w:t>)</w:t>
      </w:r>
      <w:r w:rsidR="0097566A">
        <w:t xml:space="preserve"> employed by ProTransport-1, LLC </w:t>
      </w:r>
      <w:r w:rsidR="00AF3F8B">
        <w:t xml:space="preserve">and </w:t>
      </w:r>
      <w:r w:rsidR="005A376B">
        <w:t xml:space="preserve">was </w:t>
      </w:r>
      <w:r w:rsidR="00AF3F8B">
        <w:t>transporting</w:t>
      </w:r>
      <w:r w:rsidR="003C7DCB">
        <w:t xml:space="preserve"> a patient from one medical</w:t>
      </w:r>
      <w:r w:rsidR="00AF3F8B">
        <w:t xml:space="preserve"> </w:t>
      </w:r>
      <w:r w:rsidR="003C7DCB">
        <w:t>facility to another</w:t>
      </w:r>
      <w:r w:rsidR="00AF3F8B">
        <w:t xml:space="preserve">.  </w:t>
      </w:r>
      <w:r w:rsidR="0097566A">
        <w:t>While Tostado</w:t>
      </w:r>
      <w:r w:rsidR="00D13135">
        <w:t xml:space="preserve"> </w:t>
      </w:r>
      <w:r w:rsidR="0097566A">
        <w:t>drove, his partner attended to the patient in the rear of the</w:t>
      </w:r>
      <w:r w:rsidR="00D13135">
        <w:t xml:space="preserve"> </w:t>
      </w:r>
      <w:r w:rsidR="0097566A">
        <w:t>ambulance.</w:t>
      </w:r>
      <w:r w:rsidR="00D13135">
        <w:t xml:space="preserve"> </w:t>
      </w:r>
      <w:r w:rsidR="00FE716B">
        <w:t xml:space="preserve"> </w:t>
      </w:r>
      <w:r w:rsidR="00585A14">
        <w:lastRenderedPageBreak/>
        <w:t xml:space="preserve">Gutierrez was injured </w:t>
      </w:r>
      <w:r>
        <w:t xml:space="preserve">in the collision </w:t>
      </w:r>
      <w:r w:rsidR="00585A14">
        <w:t>and visited a chiropractor for treatment within ten days</w:t>
      </w:r>
      <w:r w:rsidR="006C3FB3">
        <w:t xml:space="preserve"> </w:t>
      </w:r>
      <w:r>
        <w:t>of the incident</w:t>
      </w:r>
      <w:r w:rsidR="00585A14">
        <w:t xml:space="preserve">. </w:t>
      </w:r>
    </w:p>
    <w:p w14:paraId="7A64CB13" w14:textId="4C6721FE" w:rsidR="006C3FB3" w:rsidRDefault="00207E98" w:rsidP="00B707D9">
      <w:r>
        <w:tab/>
        <w:t xml:space="preserve">Almost two years later, </w:t>
      </w:r>
      <w:r w:rsidR="00585A14">
        <w:t>Gutierrez filed a complaint against Tostado and ProTransport</w:t>
      </w:r>
      <w:r>
        <w:t xml:space="preserve">-1, alleging </w:t>
      </w:r>
      <w:r w:rsidR="00585A14">
        <w:t xml:space="preserve">various </w:t>
      </w:r>
      <w:r w:rsidR="00E14DC0">
        <w:t>personal injury claims</w:t>
      </w:r>
      <w:r w:rsidR="00585A14">
        <w:t xml:space="preserve">. </w:t>
      </w:r>
      <w:r w:rsidR="00FE716B">
        <w:t xml:space="preserve"> </w:t>
      </w:r>
      <w:r w:rsidR="00440182">
        <w:t xml:space="preserve">The </w:t>
      </w:r>
      <w:r w:rsidR="00D67FF1">
        <w:t>respondent</w:t>
      </w:r>
      <w:r w:rsidR="00440182">
        <w:t>s</w:t>
      </w:r>
      <w:r w:rsidR="00585A14">
        <w:t xml:space="preserve"> filed a motion for summary judgment</w:t>
      </w:r>
      <w:r>
        <w:t xml:space="preserve"> on the sole ground</w:t>
      </w:r>
      <w:r w:rsidR="00585A14">
        <w:t xml:space="preserve"> that Gutierrez’s claims were time barred</w:t>
      </w:r>
      <w:r>
        <w:t xml:space="preserve"> under </w:t>
      </w:r>
      <w:proofErr w:type="spellStart"/>
      <w:r w:rsidR="00323768">
        <w:t>MICRA</w:t>
      </w:r>
      <w:r w:rsidR="00DB13E4">
        <w:t>’s</w:t>
      </w:r>
      <w:proofErr w:type="spellEnd"/>
      <w:r w:rsidR="00DB13E4">
        <w:t xml:space="preserve"> one-year statute of limitations</w:t>
      </w:r>
      <w:r w:rsidR="00323768">
        <w:t>.</w:t>
      </w:r>
      <w:r w:rsidR="00585A14">
        <w:t xml:space="preserve"> </w:t>
      </w:r>
      <w:r w:rsidR="00CB6564">
        <w:t xml:space="preserve"> </w:t>
      </w:r>
      <w:r w:rsidR="003B237E">
        <w:t xml:space="preserve">The trial court </w:t>
      </w:r>
      <w:r w:rsidR="004F1DC4">
        <w:t xml:space="preserve">agreed </w:t>
      </w:r>
      <w:r w:rsidR="00994F7D">
        <w:t xml:space="preserve">that MICRA applied </w:t>
      </w:r>
      <w:r w:rsidR="004F1DC4">
        <w:t xml:space="preserve">and </w:t>
      </w:r>
      <w:r w:rsidR="003B237E">
        <w:t xml:space="preserve">granted </w:t>
      </w:r>
      <w:r>
        <w:t>the</w:t>
      </w:r>
      <w:r w:rsidR="000A3042">
        <w:t xml:space="preserve"> motion</w:t>
      </w:r>
      <w:r w:rsidR="008505B5">
        <w:t>.  The</w:t>
      </w:r>
      <w:r w:rsidR="00E14DC0">
        <w:t xml:space="preserve"> trial</w:t>
      </w:r>
      <w:r w:rsidR="008505B5">
        <w:t xml:space="preserve"> court</w:t>
      </w:r>
      <w:r w:rsidR="00F33852">
        <w:t xml:space="preserve"> </w:t>
      </w:r>
      <w:r w:rsidR="008505B5">
        <w:t>concluded that because Tostado was transporting a patient at the time of the accident, he was rendering professional services</w:t>
      </w:r>
      <w:r w:rsidR="004F1DC4">
        <w:t>.</w:t>
      </w:r>
      <w:r w:rsidR="00E14DC0">
        <w:t xml:space="preserve"> </w:t>
      </w:r>
      <w:r w:rsidR="00FE716B">
        <w:t xml:space="preserve"> </w:t>
      </w:r>
      <w:r w:rsidR="00440182">
        <w:t>The</w:t>
      </w:r>
      <w:r w:rsidR="00BD1FEB">
        <w:t xml:space="preserve"> trial</w:t>
      </w:r>
      <w:r w:rsidR="00440182">
        <w:t xml:space="preserve"> </w:t>
      </w:r>
      <w:r w:rsidR="000A3042">
        <w:t>court</w:t>
      </w:r>
      <w:r w:rsidR="00426395">
        <w:t xml:space="preserve"> </w:t>
      </w:r>
      <w:r w:rsidR="000A3042">
        <w:t xml:space="preserve">held </w:t>
      </w:r>
      <w:r w:rsidR="00404447">
        <w:t xml:space="preserve">that </w:t>
      </w:r>
      <w:r w:rsidR="000A3042">
        <w:t xml:space="preserve">Gutierrez’s claims </w:t>
      </w:r>
      <w:r w:rsidR="00DB13E4">
        <w:t xml:space="preserve">against the defendants </w:t>
      </w:r>
      <w:r w:rsidR="00404447">
        <w:t>were</w:t>
      </w:r>
      <w:r w:rsidR="000A3042">
        <w:t xml:space="preserve"> time-barred</w:t>
      </w:r>
      <w:r w:rsidR="00E14DC0">
        <w:t xml:space="preserve"> under the statute</w:t>
      </w:r>
      <w:r w:rsidR="000A3042">
        <w:t xml:space="preserve">. </w:t>
      </w:r>
    </w:p>
    <w:p w14:paraId="4C884C77" w14:textId="097C8DAD" w:rsidR="00B707D9" w:rsidRDefault="00207E98" w:rsidP="00B707D9">
      <w:r>
        <w:tab/>
      </w:r>
      <w:r w:rsidR="003B237E">
        <w:t>Gutierrez timely appealed from the judgment.</w:t>
      </w:r>
      <w:r>
        <w:rPr>
          <w:rStyle w:val="FootnoteReference"/>
        </w:rPr>
        <w:footnoteReference w:id="1"/>
      </w:r>
    </w:p>
    <w:p w14:paraId="0EFD9CF9" w14:textId="4415435F" w:rsidR="00B707D9" w:rsidRPr="0020764E" w:rsidRDefault="00207E98" w:rsidP="0020764E">
      <w:pPr>
        <w:pStyle w:val="ListParagraph"/>
        <w:numPr>
          <w:ilvl w:val="0"/>
          <w:numId w:val="6"/>
        </w:numPr>
        <w:jc w:val="center"/>
        <w:rPr>
          <w:b/>
          <w:bCs/>
          <w:smallCaps/>
        </w:rPr>
      </w:pPr>
      <w:r w:rsidRPr="0020764E">
        <w:rPr>
          <w:b/>
          <w:bCs/>
          <w:smallCaps/>
        </w:rPr>
        <w:t>Discussion</w:t>
      </w:r>
    </w:p>
    <w:p w14:paraId="65F4504B" w14:textId="2D23A9BC" w:rsidR="006C3FB3" w:rsidRPr="001C2CEE" w:rsidRDefault="00207E98" w:rsidP="006C3FB3">
      <w:pPr>
        <w:pStyle w:val="ListParagraph"/>
        <w:numPr>
          <w:ilvl w:val="0"/>
          <w:numId w:val="2"/>
        </w:numPr>
        <w:rPr>
          <w:b/>
          <w:bCs/>
          <w:i/>
          <w:iCs/>
        </w:rPr>
      </w:pPr>
      <w:r w:rsidRPr="001C2CEE">
        <w:rPr>
          <w:b/>
          <w:bCs/>
          <w:i/>
          <w:iCs/>
        </w:rPr>
        <w:t>Standard of Review</w:t>
      </w:r>
    </w:p>
    <w:p w14:paraId="1DB6ADF2" w14:textId="2D622741" w:rsidR="004304EB" w:rsidRDefault="00207E98" w:rsidP="0074298E">
      <w:r>
        <w:tab/>
        <w:t xml:space="preserve">“We review the grant of </w:t>
      </w:r>
      <w:r>
        <w:t>summary judgment de novo, and in doing so, we review the evidence in the light most favorable to the losing party.</w:t>
      </w:r>
      <w:r w:rsidR="008A2896">
        <w:t xml:space="preserve"> </w:t>
      </w:r>
      <w:r w:rsidR="00FE716B">
        <w:t xml:space="preserve"> </w:t>
      </w:r>
      <w:r w:rsidR="008A2896">
        <w:t>[Citation.]</w:t>
      </w:r>
      <w:r>
        <w:t>”  (</w:t>
      </w:r>
      <w:r w:rsidRPr="000B5E37">
        <w:rPr>
          <w:i/>
          <w:iCs/>
        </w:rPr>
        <w:t>Lopez v. American Medical Response West</w:t>
      </w:r>
      <w:r>
        <w:t xml:space="preserve"> (2023) 89 Cal.App.5th 336, 342 (</w:t>
      </w:r>
      <w:r w:rsidRPr="000B5E37">
        <w:rPr>
          <w:i/>
          <w:iCs/>
        </w:rPr>
        <w:t>Lopez</w:t>
      </w:r>
      <w:r>
        <w:t>).)  In this case, the trial court granted summa</w:t>
      </w:r>
      <w:r>
        <w:t>ry judgment based on its</w:t>
      </w:r>
      <w:r w:rsidR="000B5E37">
        <w:t xml:space="preserve"> statutory</w:t>
      </w:r>
      <w:r>
        <w:t xml:space="preserve"> </w:t>
      </w:r>
      <w:r w:rsidR="000B5E37">
        <w:t>construction</w:t>
      </w:r>
      <w:r>
        <w:t xml:space="preserve"> of MICRA. </w:t>
      </w:r>
      <w:r w:rsidR="000B5E37">
        <w:t xml:space="preserve"> We review issues of statutory construction de novo.  (</w:t>
      </w:r>
      <w:r w:rsidR="000B5E37" w:rsidRPr="00BF6FAF">
        <w:rPr>
          <w:i/>
          <w:iCs/>
        </w:rPr>
        <w:t xml:space="preserve">Aldana v. </w:t>
      </w:r>
      <w:proofErr w:type="spellStart"/>
      <w:r w:rsidR="000B5E37" w:rsidRPr="00BF6FAF">
        <w:rPr>
          <w:i/>
          <w:iCs/>
        </w:rPr>
        <w:t>Stillwagon</w:t>
      </w:r>
      <w:proofErr w:type="spellEnd"/>
      <w:r w:rsidR="000B5E37">
        <w:t xml:space="preserve"> (2016) 2 Cal.App.5th 1, 6 (</w:t>
      </w:r>
      <w:r w:rsidR="000B5E37" w:rsidRPr="000B5E37">
        <w:rPr>
          <w:i/>
          <w:iCs/>
        </w:rPr>
        <w:t>Aldana</w:t>
      </w:r>
      <w:r w:rsidR="000B5E37">
        <w:t>).)</w:t>
      </w:r>
    </w:p>
    <w:p w14:paraId="2413F22B" w14:textId="779C0453" w:rsidR="006C3FB3" w:rsidRPr="001C2CEE" w:rsidRDefault="00207E98" w:rsidP="006C3FB3">
      <w:pPr>
        <w:pStyle w:val="ListParagraph"/>
        <w:numPr>
          <w:ilvl w:val="0"/>
          <w:numId w:val="2"/>
        </w:numPr>
        <w:rPr>
          <w:b/>
          <w:bCs/>
          <w:i/>
          <w:iCs/>
        </w:rPr>
      </w:pPr>
      <w:proofErr w:type="spellStart"/>
      <w:r w:rsidRPr="001C2CEE">
        <w:rPr>
          <w:b/>
          <w:bCs/>
          <w:i/>
          <w:iCs/>
        </w:rPr>
        <w:t>MICRA</w:t>
      </w:r>
      <w:r w:rsidR="00BF3E0F" w:rsidRPr="001C2CEE">
        <w:rPr>
          <w:b/>
          <w:bCs/>
          <w:i/>
          <w:iCs/>
        </w:rPr>
        <w:t>’s</w:t>
      </w:r>
      <w:proofErr w:type="spellEnd"/>
      <w:r w:rsidR="00BF3E0F" w:rsidRPr="001C2CEE">
        <w:rPr>
          <w:b/>
          <w:bCs/>
          <w:i/>
          <w:iCs/>
        </w:rPr>
        <w:t xml:space="preserve"> S</w:t>
      </w:r>
      <w:r w:rsidRPr="001C2CEE">
        <w:rPr>
          <w:b/>
          <w:bCs/>
          <w:i/>
          <w:iCs/>
        </w:rPr>
        <w:t xml:space="preserve">tatute of </w:t>
      </w:r>
      <w:r w:rsidR="00BF3E0F" w:rsidRPr="001C2CEE">
        <w:rPr>
          <w:b/>
          <w:bCs/>
          <w:i/>
          <w:iCs/>
        </w:rPr>
        <w:t>L</w:t>
      </w:r>
      <w:r w:rsidRPr="001C2CEE">
        <w:rPr>
          <w:b/>
          <w:bCs/>
          <w:i/>
          <w:iCs/>
        </w:rPr>
        <w:t>imitation</w:t>
      </w:r>
      <w:r w:rsidR="009A0410">
        <w:rPr>
          <w:b/>
          <w:bCs/>
          <w:i/>
          <w:iCs/>
        </w:rPr>
        <w:t>s</w:t>
      </w:r>
      <w:r w:rsidRPr="001C2CEE">
        <w:rPr>
          <w:b/>
          <w:bCs/>
          <w:i/>
          <w:iCs/>
        </w:rPr>
        <w:t xml:space="preserve"> </w:t>
      </w:r>
      <w:r w:rsidR="005D14AA" w:rsidRPr="002042E8">
        <w:rPr>
          <w:b/>
          <w:bCs/>
          <w:i/>
          <w:iCs/>
        </w:rPr>
        <w:t>Bars</w:t>
      </w:r>
      <w:r w:rsidR="00E35CA2">
        <w:rPr>
          <w:b/>
          <w:bCs/>
          <w:i/>
          <w:iCs/>
        </w:rPr>
        <w:t xml:space="preserve"> Gutierrez’s</w:t>
      </w:r>
      <w:r w:rsidR="004304EB">
        <w:rPr>
          <w:b/>
          <w:bCs/>
          <w:i/>
          <w:iCs/>
        </w:rPr>
        <w:t xml:space="preserve"> </w:t>
      </w:r>
      <w:r w:rsidR="00E35CA2">
        <w:rPr>
          <w:b/>
          <w:bCs/>
          <w:i/>
          <w:iCs/>
        </w:rPr>
        <w:t>Claims</w:t>
      </w:r>
    </w:p>
    <w:p w14:paraId="2C7EB7EF" w14:textId="582E95F6" w:rsidR="003A3265" w:rsidRDefault="00207E98" w:rsidP="004949AE">
      <w:r>
        <w:tab/>
      </w:r>
      <w:r w:rsidR="00EB7AF6">
        <w:t xml:space="preserve">The trial court granted summary judgment on the sole </w:t>
      </w:r>
      <w:r w:rsidR="000A1966">
        <w:t>ground</w:t>
      </w:r>
      <w:r w:rsidR="00EB7AF6">
        <w:t xml:space="preserve"> that </w:t>
      </w:r>
      <w:r w:rsidR="003226B0">
        <w:t>Gutierrez’s</w:t>
      </w:r>
      <w:r w:rsidR="00EB7AF6">
        <w:t xml:space="preserve"> action was barred by the statute of limitation</w:t>
      </w:r>
      <w:r w:rsidR="00422844">
        <w:t>s</w:t>
      </w:r>
      <w:r w:rsidR="00EB7AF6">
        <w:t xml:space="preserve"> set forth in MICRA</w:t>
      </w:r>
      <w:r w:rsidR="004A6423">
        <w:t xml:space="preserve">.  </w:t>
      </w:r>
      <w:r w:rsidR="00390A36">
        <w:t>Gutierrez</w:t>
      </w:r>
      <w:r w:rsidR="004A6423">
        <w:t xml:space="preserve"> contends that </w:t>
      </w:r>
      <w:r w:rsidR="002515B9">
        <w:t xml:space="preserve">the trial court erred in dismissing his claims because </w:t>
      </w:r>
      <w:r w:rsidR="004A6423">
        <w:t xml:space="preserve">MICRA does not apply to his </w:t>
      </w:r>
      <w:r w:rsidR="004A6423">
        <w:lastRenderedPageBreak/>
        <w:t>personal injury claims</w:t>
      </w:r>
      <w:r w:rsidR="00EB7AF6">
        <w:t xml:space="preserve">.  </w:t>
      </w:r>
      <w:r w:rsidR="001D6A5C">
        <w:t>A</w:t>
      </w:r>
      <w:r w:rsidR="00C038C9">
        <w:t xml:space="preserve"> </w:t>
      </w:r>
      <w:r w:rsidR="001C2CEE" w:rsidRPr="001C2CEE">
        <w:t>personal injury action</w:t>
      </w:r>
      <w:r w:rsidR="002E4372">
        <w:t xml:space="preserve"> for</w:t>
      </w:r>
      <w:r w:rsidR="00E70E9F">
        <w:t xml:space="preserve"> </w:t>
      </w:r>
      <w:r w:rsidR="002E4372">
        <w:t>negligence</w:t>
      </w:r>
      <w:r w:rsidR="00123A26">
        <w:t xml:space="preserve"> </w:t>
      </w:r>
      <w:r w:rsidR="001C2CEE" w:rsidRPr="001C2CEE">
        <w:t>must</w:t>
      </w:r>
      <w:r w:rsidR="00B420CB">
        <w:t xml:space="preserve"> </w:t>
      </w:r>
      <w:r w:rsidR="00B420CB" w:rsidRPr="001C2CEE">
        <w:t>generally</w:t>
      </w:r>
      <w:r w:rsidR="001C2CEE" w:rsidRPr="001C2CEE">
        <w:t xml:space="preserve"> be filed within two years of the date on which the </w:t>
      </w:r>
      <w:r w:rsidR="003B7C5E">
        <w:t>injury</w:t>
      </w:r>
      <w:r w:rsidR="001C2CEE" w:rsidRPr="001C2CEE">
        <w:t xml:space="preserve"> occurred. </w:t>
      </w:r>
      <w:r w:rsidR="00522B35">
        <w:t xml:space="preserve"> </w:t>
      </w:r>
      <w:r w:rsidR="001C2CEE" w:rsidRPr="001C2CEE">
        <w:t>(Code Civ. Proc.</w:t>
      </w:r>
      <w:r w:rsidR="00E75B4C">
        <w:t>,</w:t>
      </w:r>
      <w:r w:rsidR="001C2CEE" w:rsidRPr="001C2CEE">
        <w:t xml:space="preserve"> § 335.1.)</w:t>
      </w:r>
      <w:r>
        <w:rPr>
          <w:rStyle w:val="FootnoteReference"/>
        </w:rPr>
        <w:footnoteReference w:id="2"/>
      </w:r>
      <w:r w:rsidR="001C2CEE" w:rsidRPr="001C2CEE">
        <w:t xml:space="preserve"> </w:t>
      </w:r>
      <w:r w:rsidR="00522B35">
        <w:t xml:space="preserve"> </w:t>
      </w:r>
      <w:r w:rsidR="003226B0">
        <w:t>H</w:t>
      </w:r>
      <w:r w:rsidR="009A0410">
        <w:t>owever,</w:t>
      </w:r>
      <w:r w:rsidR="001549B8">
        <w:t xml:space="preserve"> </w:t>
      </w:r>
      <w:r w:rsidR="0056503E" w:rsidRPr="00B420CB">
        <w:t>suit</w:t>
      </w:r>
      <w:r w:rsidR="003226B0">
        <w:t>s</w:t>
      </w:r>
      <w:r w:rsidR="0056503E" w:rsidRPr="00B420CB">
        <w:t xml:space="preserve"> against health care provider</w:t>
      </w:r>
      <w:r w:rsidR="00BE6FDD">
        <w:t>s</w:t>
      </w:r>
      <w:r w:rsidR="0056503E" w:rsidRPr="00B420CB">
        <w:t xml:space="preserve"> for professional negligence</w:t>
      </w:r>
      <w:r w:rsidR="0056503E">
        <w:t xml:space="preserve"> </w:t>
      </w:r>
      <w:r w:rsidR="00BE6FDD">
        <w:t>must be</w:t>
      </w:r>
      <w:r w:rsidR="00B420CB" w:rsidRPr="00B420CB">
        <w:t xml:space="preserve"> file</w:t>
      </w:r>
      <w:r w:rsidR="00BE6FDD">
        <w:t>d within</w:t>
      </w:r>
      <w:r w:rsidR="00B420CB" w:rsidRPr="00B420CB">
        <w:t xml:space="preserve"> one year</w:t>
      </w:r>
      <w:r w:rsidR="00B420CB">
        <w:t>.</w:t>
      </w:r>
      <w:r w:rsidR="00522B35">
        <w:t xml:space="preserve">  </w:t>
      </w:r>
      <w:r w:rsidR="00BF6FAF" w:rsidRPr="00522B35">
        <w:t>(</w:t>
      </w:r>
      <w:r w:rsidR="00522B35" w:rsidRPr="00522B35">
        <w:t>§ 340.5</w:t>
      </w:r>
      <w:r w:rsidR="00BF6FAF">
        <w:t xml:space="preserve">.)  </w:t>
      </w:r>
      <w:r w:rsidR="00B6674C">
        <w:t>Gutierrez</w:t>
      </w:r>
      <w:r w:rsidR="00CC24E2">
        <w:t xml:space="preserve"> argues that </w:t>
      </w:r>
      <w:r w:rsidR="0023442A">
        <w:t xml:space="preserve">the </w:t>
      </w:r>
      <w:r w:rsidR="0000019E">
        <w:t>one-year</w:t>
      </w:r>
      <w:r w:rsidR="0023442A">
        <w:t xml:space="preserve"> statute of limitations </w:t>
      </w:r>
      <w:r w:rsidR="009636FE">
        <w:t xml:space="preserve">does not apply </w:t>
      </w:r>
      <w:r w:rsidR="0023442A">
        <w:t xml:space="preserve">to his </w:t>
      </w:r>
      <w:r w:rsidR="003123B4">
        <w:t xml:space="preserve">action </w:t>
      </w:r>
      <w:r w:rsidR="009F264C">
        <w:t>because</w:t>
      </w:r>
      <w:r w:rsidR="004D09A0">
        <w:t xml:space="preserve"> h</w:t>
      </w:r>
      <w:r w:rsidR="00CD0807">
        <w:t>is</w:t>
      </w:r>
      <w:r w:rsidR="004D09A0">
        <w:t xml:space="preserve"> claim</w:t>
      </w:r>
      <w:r w:rsidR="00CD0807">
        <w:t>s are</w:t>
      </w:r>
      <w:r w:rsidR="004D09A0">
        <w:t xml:space="preserve"> f</w:t>
      </w:r>
      <w:r w:rsidR="003123B4">
        <w:t xml:space="preserve">or general negligence </w:t>
      </w:r>
      <w:r w:rsidR="0023442A">
        <w:t xml:space="preserve">not </w:t>
      </w:r>
      <w:r w:rsidR="00E14A74">
        <w:t>professional negligence</w:t>
      </w:r>
      <w:r w:rsidR="00FD28C1">
        <w:t>, and the duty that Tostado violated by cr</w:t>
      </w:r>
      <w:r w:rsidR="009F264C">
        <w:t xml:space="preserve">ashing into his car </w:t>
      </w:r>
      <w:r w:rsidR="00FD28C1">
        <w:t xml:space="preserve">was a duty </w:t>
      </w:r>
      <w:r w:rsidR="004D09A0">
        <w:t>of care generally owed to the public, not a profession</w:t>
      </w:r>
      <w:r w:rsidR="00C80691">
        <w:t>al</w:t>
      </w:r>
      <w:r w:rsidR="004D09A0">
        <w:t xml:space="preserve"> duty owed by a medical provider to a patient.</w:t>
      </w:r>
      <w:r w:rsidR="00390A36">
        <w:t xml:space="preserve">  </w:t>
      </w:r>
    </w:p>
    <w:p w14:paraId="37A0B2B6" w14:textId="25DD511D" w:rsidR="00E936E9" w:rsidRDefault="00207E98" w:rsidP="000F2048">
      <w:r>
        <w:tab/>
      </w:r>
      <w:r w:rsidR="00BE6FDD">
        <w:t xml:space="preserve">MICRA </w:t>
      </w:r>
      <w:r w:rsidR="00A43A36">
        <w:t xml:space="preserve">defines </w:t>
      </w:r>
      <w:r w:rsidR="004949AE">
        <w:t xml:space="preserve">professional negligence </w:t>
      </w:r>
      <w:r w:rsidR="00A43A36">
        <w:t>a</w:t>
      </w:r>
      <w:r w:rsidR="00BF6FAF">
        <w:t>s</w:t>
      </w:r>
      <w:r w:rsidR="004949AE">
        <w:t xml:space="preserve"> “a negligent act or omission to act by a health care provider in the rendering of professional services.”</w:t>
      </w:r>
      <w:r w:rsidR="009B04AC">
        <w:t xml:space="preserve"> </w:t>
      </w:r>
      <w:r w:rsidR="004949AE">
        <w:t xml:space="preserve"> (§ 340.5, subd. (2).</w:t>
      </w:r>
      <w:r w:rsidR="00E35CA2">
        <w:t>)</w:t>
      </w:r>
      <w:r w:rsidR="00BF6FAF">
        <w:t xml:space="preserve"> </w:t>
      </w:r>
      <w:r w:rsidR="00087666">
        <w:t xml:space="preserve"> T</w:t>
      </w:r>
      <w:r w:rsidR="004E652B">
        <w:t>he parties do no</w:t>
      </w:r>
      <w:r w:rsidR="00D37C81">
        <w:t>t</w:t>
      </w:r>
      <w:r w:rsidR="004E652B">
        <w:t xml:space="preserve"> dispute that a</w:t>
      </w:r>
      <w:r w:rsidR="00F551BD">
        <w:t>n EMT</w:t>
      </w:r>
      <w:r w:rsidR="004E652B">
        <w:t xml:space="preserve"> transporting a patient in an ambulance is providing medical care </w:t>
      </w:r>
      <w:r w:rsidR="00087666">
        <w:t xml:space="preserve">to the patient </w:t>
      </w:r>
      <w:r w:rsidR="004E652B">
        <w:t>for purposes of the statute.  (</w:t>
      </w:r>
      <w:r w:rsidR="004E652B" w:rsidRPr="00184508">
        <w:rPr>
          <w:i/>
          <w:iCs/>
        </w:rPr>
        <w:t>Lopez</w:t>
      </w:r>
      <w:r w:rsidR="004E652B">
        <w:rPr>
          <w:i/>
          <w:iCs/>
        </w:rPr>
        <w:t>, supra</w:t>
      </w:r>
      <w:r w:rsidR="004E652B" w:rsidRPr="00D54024">
        <w:t xml:space="preserve">, </w:t>
      </w:r>
      <w:r w:rsidR="004E652B">
        <w:t>89 Cal.App.5th at p. 347</w:t>
      </w:r>
      <w:r w:rsidR="002C1B5B">
        <w:t>;</w:t>
      </w:r>
      <w:r w:rsidR="002C1B5B" w:rsidRPr="00A33A0F">
        <w:t xml:space="preserve"> </w:t>
      </w:r>
      <w:r w:rsidR="002C1B5B" w:rsidRPr="006E39DB">
        <w:rPr>
          <w:i/>
          <w:iCs/>
        </w:rPr>
        <w:t>Canister v. Emergency Ambulance Service, Inc.</w:t>
      </w:r>
      <w:r w:rsidR="002C1B5B">
        <w:t xml:space="preserve"> (2008) 160 Cal.App.4th 388</w:t>
      </w:r>
      <w:r w:rsidR="005B4713">
        <w:t>, 407</w:t>
      </w:r>
      <w:r w:rsidR="002C1B5B">
        <w:t xml:space="preserve"> (</w:t>
      </w:r>
      <w:r w:rsidR="002C1B5B" w:rsidRPr="006E39DB">
        <w:rPr>
          <w:i/>
          <w:iCs/>
        </w:rPr>
        <w:t>Canister</w:t>
      </w:r>
      <w:r w:rsidR="002C1B5B">
        <w:t>)</w:t>
      </w:r>
      <w:r w:rsidR="004E652B">
        <w:t>.)</w:t>
      </w:r>
      <w:r w:rsidR="00C113A1">
        <w:t xml:space="preserve">  However, o</w:t>
      </w:r>
      <w:r w:rsidR="00122077" w:rsidRPr="00B956CD">
        <w:t xml:space="preserve">nly actions </w:t>
      </w:r>
      <w:r w:rsidR="000F2048">
        <w:t>“</w:t>
      </w:r>
      <w:r w:rsidR="00122077" w:rsidRPr="00B956CD">
        <w:t xml:space="preserve">alleging injury suffered </w:t>
      </w:r>
      <w:r w:rsidR="00122077" w:rsidRPr="00913DAD">
        <w:rPr>
          <w:i/>
          <w:iCs/>
        </w:rPr>
        <w:t>as a result of</w:t>
      </w:r>
      <w:r w:rsidR="00122077" w:rsidRPr="00B956CD">
        <w:t xml:space="preserve"> </w:t>
      </w:r>
      <w:r w:rsidR="0000019E">
        <w:t>. . .</w:t>
      </w:r>
      <w:r w:rsidR="0000019E" w:rsidRPr="00B956CD">
        <w:t xml:space="preserve"> </w:t>
      </w:r>
      <w:r w:rsidR="00122077" w:rsidRPr="00B956CD">
        <w:t>the provision of medical care to patients</w:t>
      </w:r>
      <w:r w:rsidR="00122077">
        <w:t>”</w:t>
      </w:r>
      <w:r w:rsidR="000F2048">
        <w:t xml:space="preserve"> are covered.</w:t>
      </w:r>
      <w:r w:rsidR="00122077">
        <w:t xml:space="preserve">  (</w:t>
      </w:r>
      <w:r w:rsidR="005F21E4" w:rsidRPr="005E4F61">
        <w:rPr>
          <w:i/>
          <w:iCs/>
        </w:rPr>
        <w:t>Flores v. Presbyterian Intercommunity Hospital</w:t>
      </w:r>
      <w:r w:rsidR="005F21E4">
        <w:t xml:space="preserve"> (2016) 63 Cal.4th 75, </w:t>
      </w:r>
      <w:r w:rsidR="00122077">
        <w:t>88</w:t>
      </w:r>
      <w:r w:rsidR="0000019E">
        <w:t>, italics added</w:t>
      </w:r>
      <w:r w:rsidR="00A33A0F">
        <w:t xml:space="preserve"> </w:t>
      </w:r>
      <w:r w:rsidR="00A33A0F" w:rsidRPr="00D54024">
        <w:t>(</w:t>
      </w:r>
      <w:r w:rsidR="00A33A0F" w:rsidRPr="00467232">
        <w:rPr>
          <w:i/>
          <w:iCs/>
        </w:rPr>
        <w:t>Flores</w:t>
      </w:r>
      <w:r w:rsidR="00A33A0F">
        <w:t>).</w:t>
      </w:r>
      <w:r w:rsidR="00122077">
        <w:t xml:space="preserve">) </w:t>
      </w:r>
      <w:r w:rsidR="005F21E4">
        <w:t xml:space="preserve"> </w:t>
      </w:r>
    </w:p>
    <w:p w14:paraId="248BD482" w14:textId="79BE4A63" w:rsidR="0056503E" w:rsidRPr="003668E6" w:rsidRDefault="00207E98" w:rsidP="000F2048">
      <w:r>
        <w:tab/>
      </w:r>
      <w:r w:rsidR="004B3967">
        <w:t>In t</w:t>
      </w:r>
      <w:r>
        <w:t xml:space="preserve">his appeal </w:t>
      </w:r>
      <w:r w:rsidR="004B3967">
        <w:t>we must decide</w:t>
      </w:r>
      <w:r w:rsidR="001F097F">
        <w:t xml:space="preserve"> whether</w:t>
      </w:r>
      <w:r>
        <w:t xml:space="preserve"> a driver </w:t>
      </w:r>
      <w:r w:rsidR="00321C80">
        <w:t>in a separate vehicle</w:t>
      </w:r>
      <w:r w:rsidR="00E268BD">
        <w:t>,</w:t>
      </w:r>
      <w:r w:rsidR="00321C80">
        <w:t xml:space="preserve"> </w:t>
      </w:r>
      <w:r w:rsidR="004B3967">
        <w:t>inju</w:t>
      </w:r>
      <w:r w:rsidR="00321C80">
        <w:t>red</w:t>
      </w:r>
      <w:r>
        <w:t xml:space="preserve"> in a collision with an ambulance</w:t>
      </w:r>
      <w:r w:rsidR="003123CA">
        <w:t xml:space="preserve"> transporting a patient</w:t>
      </w:r>
      <w:r w:rsidR="00E268BD">
        <w:t>,</w:t>
      </w:r>
      <w:r>
        <w:t xml:space="preserve"> </w:t>
      </w:r>
      <w:r w:rsidR="004E47B9">
        <w:t xml:space="preserve">was injured </w:t>
      </w:r>
      <w:proofErr w:type="gramStart"/>
      <w:r w:rsidR="004E47B9">
        <w:t>as a result of</w:t>
      </w:r>
      <w:proofErr w:type="gramEnd"/>
      <w:r w:rsidR="004E47B9">
        <w:t xml:space="preserve"> the provision of medical care</w:t>
      </w:r>
      <w:r w:rsidR="00C40686">
        <w:t xml:space="preserve">, such that </w:t>
      </w:r>
      <w:proofErr w:type="spellStart"/>
      <w:r w:rsidR="00C40686">
        <w:t>MICRA’s</w:t>
      </w:r>
      <w:proofErr w:type="spellEnd"/>
      <w:r w:rsidR="00C40686">
        <w:t xml:space="preserve"> one year statute applies</w:t>
      </w:r>
      <w:r w:rsidR="00E268BD">
        <w:t>.</w:t>
      </w:r>
      <w:r w:rsidR="004E47B9">
        <w:t xml:space="preserve">  </w:t>
      </w:r>
      <w:r>
        <w:t>Gutierrez</w:t>
      </w:r>
      <w:r w:rsidR="00E268BD">
        <w:t xml:space="preserve"> urges us to find that any injury here was caused by ordinary negligence.</w:t>
      </w:r>
      <w:r>
        <w:t xml:space="preserve">  He argues that where a medical provider owes no professional duty to the plaintiff</w:t>
      </w:r>
      <w:r w:rsidR="00222450">
        <w:t xml:space="preserve"> and </w:t>
      </w:r>
      <w:r w:rsidR="00D445F5">
        <w:t xml:space="preserve">allegedly breaches only a duty owed to the </w:t>
      </w:r>
      <w:proofErr w:type="gramStart"/>
      <w:r w:rsidR="00D445F5">
        <w:t>general public</w:t>
      </w:r>
      <w:proofErr w:type="gramEnd"/>
      <w:r>
        <w:t>, a claim for personal injuries should be governed by the two-year statute of limitations applicable to ordinary negligence.  Conversely, respondent suggests that the critical question is not whether defendant owed plaintiff a professional duty</w:t>
      </w:r>
      <w:r>
        <w:t xml:space="preserve">, but </w:t>
      </w:r>
      <w:r w:rsidR="00FD5D37">
        <w:t xml:space="preserve">simply </w:t>
      </w:r>
      <w:r>
        <w:t xml:space="preserve">whether plaintiff was injured </w:t>
      </w:r>
      <w:proofErr w:type="gramStart"/>
      <w:r>
        <w:t>as a result of</w:t>
      </w:r>
      <w:proofErr w:type="gramEnd"/>
      <w:r>
        <w:t xml:space="preserve"> the provision of medical </w:t>
      </w:r>
      <w:r>
        <w:lastRenderedPageBreak/>
        <w:t>services by defendant</w:t>
      </w:r>
      <w:r w:rsidR="00E96509">
        <w:t xml:space="preserve">; in other words, was </w:t>
      </w:r>
      <w:r w:rsidR="006158F2">
        <w:t xml:space="preserve">plaintiff’s injury </w:t>
      </w:r>
      <w:r w:rsidR="00270F10">
        <w:t>a foreseeable consequence of</w:t>
      </w:r>
      <w:r w:rsidR="006158F2">
        <w:t xml:space="preserve"> defendant’s </w:t>
      </w:r>
      <w:r w:rsidR="00024BFC">
        <w:t xml:space="preserve">act of </w:t>
      </w:r>
      <w:r w:rsidR="006158F2">
        <w:t>provi</w:t>
      </w:r>
      <w:r w:rsidR="00024BFC">
        <w:t>ding</w:t>
      </w:r>
      <w:r w:rsidR="006158F2">
        <w:t xml:space="preserve"> medical care?</w:t>
      </w:r>
      <w:r w:rsidR="00D44809">
        <w:t xml:space="preserve">  </w:t>
      </w:r>
    </w:p>
    <w:p w14:paraId="2A501F45" w14:textId="44615C67" w:rsidR="003668E6" w:rsidRPr="00DF30A1" w:rsidRDefault="00207E98" w:rsidP="000F2048">
      <w:pPr>
        <w:rPr>
          <w:b/>
          <w:bCs/>
          <w:i/>
          <w:iCs/>
        </w:rPr>
      </w:pPr>
      <w:r>
        <w:tab/>
      </w:r>
      <w:r w:rsidRPr="006932EF">
        <w:rPr>
          <w:b/>
          <w:bCs/>
        </w:rPr>
        <w:t>1.</w:t>
      </w:r>
      <w:r>
        <w:t xml:space="preserve"> </w:t>
      </w:r>
      <w:r w:rsidR="00DF30A1">
        <w:rPr>
          <w:b/>
          <w:bCs/>
          <w:i/>
          <w:iCs/>
        </w:rPr>
        <w:t>Legal Framework for MICRA</w:t>
      </w:r>
    </w:p>
    <w:p w14:paraId="645FDDF7" w14:textId="04D35F2D" w:rsidR="0045507E" w:rsidRDefault="00207E98" w:rsidP="00891AF5">
      <w:r>
        <w:tab/>
      </w:r>
      <w:r w:rsidR="000B6B14">
        <w:t>T</w:t>
      </w:r>
      <w:r w:rsidR="008A521C">
        <w:t xml:space="preserve">he Supreme Court </w:t>
      </w:r>
      <w:r w:rsidR="00F72EC4">
        <w:t>i</w:t>
      </w:r>
      <w:r w:rsidR="000B6B14">
        <w:t xml:space="preserve">n </w:t>
      </w:r>
      <w:r w:rsidR="000B6B14">
        <w:rPr>
          <w:i/>
          <w:iCs/>
        </w:rPr>
        <w:t>Flores</w:t>
      </w:r>
      <w:r w:rsidR="000B6B14">
        <w:t xml:space="preserve"> </w:t>
      </w:r>
      <w:r w:rsidR="00670A26">
        <w:t xml:space="preserve">examined </w:t>
      </w:r>
      <w:r w:rsidR="00B65A72">
        <w:t xml:space="preserve">what it </w:t>
      </w:r>
      <w:r w:rsidR="009C7357">
        <w:t>mean</w:t>
      </w:r>
      <w:r w:rsidR="00B65A72">
        <w:t>s for a health care provider to render professional services under</w:t>
      </w:r>
      <w:r w:rsidR="00701130">
        <w:t xml:space="preserve"> </w:t>
      </w:r>
      <w:r w:rsidR="00F72EC4">
        <w:t>MICRA</w:t>
      </w:r>
      <w:r w:rsidR="00036B90">
        <w:t xml:space="preserve">.  </w:t>
      </w:r>
      <w:r w:rsidR="003A4663">
        <w:t xml:space="preserve">There, </w:t>
      </w:r>
      <w:r w:rsidR="00E80ACA">
        <w:t>a hospital patient</w:t>
      </w:r>
      <w:r w:rsidR="003A4663">
        <w:t xml:space="preserve"> sued the hospital for negligence after the </w:t>
      </w:r>
      <w:r w:rsidR="00B60E74">
        <w:t xml:space="preserve">latch on her </w:t>
      </w:r>
      <w:r w:rsidR="003A4663">
        <w:t>bed</w:t>
      </w:r>
      <w:r w:rsidR="00E80ACA">
        <w:t xml:space="preserve">rail broke, causing her </w:t>
      </w:r>
      <w:r w:rsidR="00E31432">
        <w:t xml:space="preserve">to fall and </w:t>
      </w:r>
      <w:r w:rsidR="00E80ACA">
        <w:t>injur</w:t>
      </w:r>
      <w:r w:rsidR="00E31432">
        <w:t>e herself</w:t>
      </w:r>
      <w:r w:rsidR="00E80ACA">
        <w:t>.</w:t>
      </w:r>
      <w:r w:rsidR="0063493C">
        <w:t xml:space="preserve"> </w:t>
      </w:r>
      <w:r w:rsidR="007051E1">
        <w:t xml:space="preserve"> </w:t>
      </w:r>
      <w:r w:rsidR="0063493C">
        <w:t>(</w:t>
      </w:r>
      <w:r w:rsidR="0063493C">
        <w:rPr>
          <w:i/>
          <w:iCs/>
        </w:rPr>
        <w:t>Flores, supra</w:t>
      </w:r>
      <w:r w:rsidR="0063493C" w:rsidRPr="006932EF">
        <w:t>,</w:t>
      </w:r>
      <w:r w:rsidR="0063493C">
        <w:rPr>
          <w:i/>
          <w:iCs/>
        </w:rPr>
        <w:t xml:space="preserve"> </w:t>
      </w:r>
      <w:r w:rsidR="00214D32" w:rsidRPr="00214D32">
        <w:t xml:space="preserve">63 Cal.4th </w:t>
      </w:r>
      <w:r w:rsidR="00214D32">
        <w:t>at p. 89.)</w:t>
      </w:r>
      <w:r w:rsidR="001F37B9">
        <w:t xml:space="preserve">  The </w:t>
      </w:r>
      <w:r w:rsidR="007051E1">
        <w:t>c</w:t>
      </w:r>
      <w:r w:rsidR="001F37B9">
        <w:t xml:space="preserve">ourt </w:t>
      </w:r>
      <w:r w:rsidR="0083753C">
        <w:t xml:space="preserve">considered the difference between regular negligence arising out of the duty owed to the </w:t>
      </w:r>
      <w:proofErr w:type="gramStart"/>
      <w:r w:rsidR="0083753C">
        <w:t>general public</w:t>
      </w:r>
      <w:proofErr w:type="gramEnd"/>
      <w:r w:rsidR="003A6447">
        <w:t xml:space="preserve">, </w:t>
      </w:r>
      <w:r w:rsidR="00F63DFA">
        <w:t>the</w:t>
      </w:r>
      <w:r w:rsidR="00746E54">
        <w:t xml:space="preserve"> </w:t>
      </w:r>
      <w:r w:rsidR="003A6447" w:rsidRPr="0031274C">
        <w:t>negligence in the maintenance of equipment and premises that are merely convenient for, or incidental to, the provision of medical care to a patient</w:t>
      </w:r>
      <w:r w:rsidR="00283E8C">
        <w:t>,</w:t>
      </w:r>
      <w:r w:rsidR="003A6447">
        <w:t xml:space="preserve"> </w:t>
      </w:r>
      <w:r w:rsidR="00746E54">
        <w:t>and th</w:t>
      </w:r>
      <w:r w:rsidR="00EB6AF0">
        <w:t>e</w:t>
      </w:r>
      <w:r w:rsidR="00746E54">
        <w:t xml:space="preserve"> </w:t>
      </w:r>
      <w:r w:rsidR="008F3342">
        <w:t xml:space="preserve">negligence </w:t>
      </w:r>
      <w:r w:rsidR="00283E8C">
        <w:t>that</w:t>
      </w:r>
      <w:r w:rsidR="008F3342">
        <w:t xml:space="preserve"> arises from the duty </w:t>
      </w:r>
      <w:r w:rsidR="00746E54">
        <w:t xml:space="preserve">owed to </w:t>
      </w:r>
      <w:r w:rsidR="00204DF8">
        <w:t xml:space="preserve">patients </w:t>
      </w:r>
      <w:r w:rsidR="00583A93">
        <w:t>in the rendering of professional services.  (</w:t>
      </w:r>
      <w:r w:rsidR="00FE716B">
        <w:rPr>
          <w:i/>
          <w:iCs/>
        </w:rPr>
        <w:t>Id.</w:t>
      </w:r>
      <w:r w:rsidR="00AE6899" w:rsidRPr="006932EF">
        <w:t xml:space="preserve"> </w:t>
      </w:r>
      <w:r w:rsidR="00AE6899">
        <w:t>at p</w:t>
      </w:r>
      <w:r w:rsidR="004A34A5">
        <w:t>p</w:t>
      </w:r>
      <w:r w:rsidR="00AE6899">
        <w:t>. 88</w:t>
      </w:r>
      <w:r w:rsidR="00E456D5">
        <w:t>-</w:t>
      </w:r>
      <w:r w:rsidR="00AE6899">
        <w:t>89.</w:t>
      </w:r>
      <w:r w:rsidR="00583A93">
        <w:t>)</w:t>
      </w:r>
      <w:r w:rsidR="00A87981">
        <w:t xml:space="preserve">  The court </w:t>
      </w:r>
      <w:r w:rsidR="00B43D1C">
        <w:t>found</w:t>
      </w:r>
      <w:r w:rsidR="00A87981">
        <w:t xml:space="preserve"> that “</w:t>
      </w:r>
      <w:r w:rsidR="0032579C" w:rsidRPr="0032579C">
        <w:t xml:space="preserve">Even those parts of a hospital dedicated primarily to patient care typically contain numerous items of furniture and equipment—tables, televisions, toilets, and so on—that are provided primarily for the comfort and convenience of patients and visitors, but generally play no part in the </w:t>
      </w:r>
      <w:r w:rsidR="00E75B4C" w:rsidRPr="0032579C">
        <w:t>patient</w:t>
      </w:r>
      <w:r w:rsidR="00E75B4C">
        <w:t>’</w:t>
      </w:r>
      <w:r w:rsidR="00E75B4C" w:rsidRPr="0032579C">
        <w:t xml:space="preserve">s </w:t>
      </w:r>
      <w:r w:rsidR="0032579C" w:rsidRPr="0032579C">
        <w:t xml:space="preserve">medical diagnosis or treatment. </w:t>
      </w:r>
      <w:r w:rsidR="004A34A5">
        <w:t xml:space="preserve"> </w:t>
      </w:r>
      <w:r w:rsidR="0032579C" w:rsidRPr="0032579C">
        <w:t>Although a defect in such equipment may injure patients as well as visitors or staff, a hospital</w:t>
      </w:r>
      <w:r w:rsidR="004A34A5">
        <w:t>’</w:t>
      </w:r>
      <w:r w:rsidR="0032579C" w:rsidRPr="0032579C">
        <w:t xml:space="preserve">s general duty to keep such items in good repair generally overlaps with the </w:t>
      </w:r>
      <w:r w:rsidR="009C7963">
        <w:t>‘</w:t>
      </w:r>
      <w:r w:rsidR="0032579C" w:rsidRPr="0032579C">
        <w:t>obligations that all persons subject to California</w:t>
      </w:r>
      <w:r w:rsidR="004A34A5">
        <w:t>’</w:t>
      </w:r>
      <w:r w:rsidR="0032579C" w:rsidRPr="0032579C">
        <w:t>s laws have</w:t>
      </w:r>
      <w:r w:rsidR="004A34A5">
        <w:t>[.]</w:t>
      </w:r>
      <w:proofErr w:type="gramStart"/>
      <w:r w:rsidR="004A34A5">
        <w:t xml:space="preserve">’  </w:t>
      </w:r>
      <w:r w:rsidR="0078458A">
        <w:t>[</w:t>
      </w:r>
      <w:proofErr w:type="gramEnd"/>
      <w:r w:rsidR="004A34A5">
        <w:t>C</w:t>
      </w:r>
      <w:r w:rsidR="0078458A">
        <w:t>itation</w:t>
      </w:r>
      <w:r w:rsidR="004A34A5">
        <w:t>.]</w:t>
      </w:r>
      <w:r w:rsidR="0032579C" w:rsidRPr="0032579C">
        <w:t xml:space="preserve">” </w:t>
      </w:r>
      <w:r w:rsidR="009C7963">
        <w:t xml:space="preserve"> (</w:t>
      </w:r>
      <w:r w:rsidR="009C7963">
        <w:rPr>
          <w:i/>
          <w:iCs/>
        </w:rPr>
        <w:t>Ibid</w:t>
      </w:r>
      <w:r w:rsidR="009C7963">
        <w:t xml:space="preserve">.)  </w:t>
      </w:r>
    </w:p>
    <w:p w14:paraId="0B53C006" w14:textId="6AB47886" w:rsidR="00B75AC3" w:rsidRDefault="00207E98" w:rsidP="00B75AC3">
      <w:r>
        <w:tab/>
      </w:r>
      <w:r w:rsidR="00D07F1A">
        <w:t xml:space="preserve">Relying on its </w:t>
      </w:r>
      <w:r w:rsidR="00C176B9">
        <w:t xml:space="preserve">prior decision in </w:t>
      </w:r>
      <w:r w:rsidR="00E93EA2" w:rsidRPr="00E93EA2">
        <w:rPr>
          <w:i/>
          <w:iCs/>
        </w:rPr>
        <w:t>Lee v. Hanley</w:t>
      </w:r>
      <w:r w:rsidR="00E93EA2" w:rsidRPr="00E93EA2">
        <w:t xml:space="preserve"> (2015) 61 Cal.4th 1225, 1237</w:t>
      </w:r>
      <w:r w:rsidR="00F50F26" w:rsidRPr="00F50F26">
        <w:t xml:space="preserve"> </w:t>
      </w:r>
      <w:r w:rsidR="00F50F26" w:rsidRPr="00E93EA2">
        <w:t>(</w:t>
      </w:r>
      <w:r w:rsidR="00F50F26" w:rsidRPr="00E93EA2">
        <w:rPr>
          <w:i/>
          <w:iCs/>
        </w:rPr>
        <w:t>Lee</w:t>
      </w:r>
      <w:r w:rsidR="00F50F26" w:rsidRPr="00E93EA2">
        <w:t>)</w:t>
      </w:r>
      <w:r>
        <w:rPr>
          <w:rStyle w:val="FootnoteReference"/>
        </w:rPr>
        <w:footnoteReference w:id="3"/>
      </w:r>
      <w:r w:rsidR="00D07F1A">
        <w:t>,</w:t>
      </w:r>
      <w:r w:rsidR="00CF17D4">
        <w:t xml:space="preserve"> </w:t>
      </w:r>
      <w:r w:rsidR="0087743F">
        <w:t>for th</w:t>
      </w:r>
      <w:r w:rsidR="00BA57E9">
        <w:t>is</w:t>
      </w:r>
      <w:r w:rsidR="0087743F">
        <w:t xml:space="preserve"> concept of overlapping duty,</w:t>
      </w:r>
      <w:r>
        <w:t xml:space="preserve"> t</w:t>
      </w:r>
      <w:r w:rsidR="0020646A">
        <w:t xml:space="preserve">he court held that where there are overlapping </w:t>
      </w:r>
      <w:r w:rsidR="0020646A" w:rsidRPr="00532C79">
        <w:lastRenderedPageBreak/>
        <w:t>obligations</w:t>
      </w:r>
      <w:r w:rsidR="00532C79">
        <w:t>—</w:t>
      </w:r>
      <w:r w:rsidR="00B62DE5" w:rsidRPr="006B3E4D">
        <w:t>t</w:t>
      </w:r>
      <w:r w:rsidR="0020646A" w:rsidRPr="006B3E4D">
        <w:t>hose</w:t>
      </w:r>
      <w:r w:rsidR="0020646A" w:rsidRPr="00825FB2">
        <w:t xml:space="preserve"> owed to patients, and those owed to the </w:t>
      </w:r>
      <w:proofErr w:type="gramStart"/>
      <w:r w:rsidR="0020646A" w:rsidRPr="00825FB2">
        <w:t xml:space="preserve">general </w:t>
      </w:r>
      <w:r w:rsidR="0020646A" w:rsidRPr="00532C79">
        <w:t>public</w:t>
      </w:r>
      <w:proofErr w:type="gramEnd"/>
      <w:r w:rsidR="00532C79">
        <w:t>—</w:t>
      </w:r>
      <w:r w:rsidR="00891AF5" w:rsidRPr="006B3E4D">
        <w:t>an</w:t>
      </w:r>
      <w:r w:rsidR="00891AF5" w:rsidRPr="00825FB2">
        <w:t xml:space="preserve"> injury</w:t>
      </w:r>
      <w:r w:rsidR="00891AF5" w:rsidRPr="00891AF5">
        <w:t xml:space="preserve"> resulting from a breach of a generally applicable obligation does not fall within </w:t>
      </w:r>
      <w:r w:rsidR="00D80A6C">
        <w:t>MICRA</w:t>
      </w:r>
      <w:r w:rsidR="00891AF5" w:rsidRPr="00891AF5">
        <w:t xml:space="preserve">. </w:t>
      </w:r>
      <w:r w:rsidR="00D80A6C">
        <w:t xml:space="preserve"> “</w:t>
      </w:r>
      <w:r w:rsidR="00891AF5" w:rsidRPr="00891AF5">
        <w:t>Rather, the special statute of limitations for professional negligence actions against health care providers applies only to actions alleging injury suffered as a result of negligence in rendering the professional services that hospitals and others provide by virtue of being health care professionals:</w:t>
      </w:r>
      <w:r w:rsidR="00DA4AAA">
        <w:t xml:space="preserve"> </w:t>
      </w:r>
      <w:r w:rsidR="00891AF5" w:rsidRPr="00891AF5">
        <w:t xml:space="preserve"> that is, the provision of medical care to patients.</w:t>
      </w:r>
      <w:r w:rsidR="00D80A6C">
        <w:t xml:space="preserve">”  </w:t>
      </w:r>
      <w:r w:rsidR="008E4B09">
        <w:t>(</w:t>
      </w:r>
      <w:r w:rsidR="00891AF5" w:rsidRPr="00891AF5">
        <w:rPr>
          <w:i/>
          <w:iCs/>
        </w:rPr>
        <w:t>Flores</w:t>
      </w:r>
      <w:r w:rsidR="008E4B09">
        <w:rPr>
          <w:i/>
          <w:iCs/>
        </w:rPr>
        <w:t>, supra</w:t>
      </w:r>
      <w:r w:rsidR="008E4B09" w:rsidRPr="006932EF">
        <w:t>,</w:t>
      </w:r>
      <w:r w:rsidR="008E4B09">
        <w:rPr>
          <w:i/>
          <w:iCs/>
        </w:rPr>
        <w:t xml:space="preserve"> </w:t>
      </w:r>
      <w:r w:rsidR="00891AF5" w:rsidRPr="00891AF5">
        <w:t xml:space="preserve">63 Cal.4th </w:t>
      </w:r>
      <w:r w:rsidR="008E4B09">
        <w:t>at p.</w:t>
      </w:r>
      <w:r w:rsidR="00891AF5" w:rsidRPr="00891AF5">
        <w:t xml:space="preserve"> 88</w:t>
      </w:r>
      <w:r w:rsidR="008E4B09">
        <w:t>.)</w:t>
      </w:r>
      <w:r>
        <w:t xml:space="preserve"> </w:t>
      </w:r>
      <w:r w:rsidRPr="00B75AC3">
        <w:t xml:space="preserve"> </w:t>
      </w:r>
      <w:r>
        <w:t xml:space="preserve">The court concluded that the hospital’s </w:t>
      </w:r>
      <w:r w:rsidRPr="00357022">
        <w:t xml:space="preserve">alleged negligence in the </w:t>
      </w:r>
      <w:r>
        <w:t>maintenance of plaintiff’s bedrail did not overlap with its general duty owed to the public b</w:t>
      </w:r>
      <w:r w:rsidR="007168FA">
        <w:t>ecause it</w:t>
      </w:r>
      <w:r>
        <w:t xml:space="preserve"> was “</w:t>
      </w:r>
      <w:r w:rsidRPr="00357022">
        <w:t>integrally r</w:t>
      </w:r>
      <w:r w:rsidRPr="00357022">
        <w:t xml:space="preserve">elated to </w:t>
      </w:r>
      <w:r>
        <w:t xml:space="preserve">[plaintiff’s] </w:t>
      </w:r>
      <w:r w:rsidRPr="00357022">
        <w:t>medical diagnosis and treatment</w:t>
      </w:r>
      <w:r>
        <w:t xml:space="preserve">,” and was </w:t>
      </w:r>
      <w:r w:rsidRPr="00357022">
        <w:t xml:space="preserve">therefore professional negligence </w:t>
      </w:r>
      <w:r w:rsidR="00BB6B4C">
        <w:t>encompassed by MICRA</w:t>
      </w:r>
      <w:r w:rsidRPr="00357022">
        <w:t>.</w:t>
      </w:r>
      <w:r>
        <w:t xml:space="preserve">  (</w:t>
      </w:r>
      <w:r w:rsidRPr="008413E7">
        <w:rPr>
          <w:i/>
          <w:iCs/>
        </w:rPr>
        <w:t>Id.</w:t>
      </w:r>
      <w:r>
        <w:t xml:space="preserve"> at p. 89.)</w:t>
      </w:r>
    </w:p>
    <w:p w14:paraId="5C35890A" w14:textId="3BB060AF" w:rsidR="00AB1473" w:rsidRPr="00891AF5" w:rsidRDefault="00207E98" w:rsidP="00891AF5">
      <w:r>
        <w:tab/>
      </w:r>
      <w:r>
        <w:rPr>
          <w:i/>
          <w:iCs/>
        </w:rPr>
        <w:t>Flores</w:t>
      </w:r>
      <w:r>
        <w:t xml:space="preserve"> and </w:t>
      </w:r>
      <w:r>
        <w:rPr>
          <w:i/>
          <w:iCs/>
        </w:rPr>
        <w:t>Lee</w:t>
      </w:r>
      <w:r>
        <w:t xml:space="preserve"> both considered</w:t>
      </w:r>
      <w:r w:rsidR="006039DB">
        <w:t xml:space="preserve"> whether the injury to the patient or client </w:t>
      </w:r>
      <w:r w:rsidR="00DA4AAA">
        <w:t xml:space="preserve">was </w:t>
      </w:r>
      <w:r w:rsidR="00824EEB">
        <w:t xml:space="preserve">caused by negligence in the provision of </w:t>
      </w:r>
      <w:r w:rsidR="008803CD">
        <w:t>professional servi</w:t>
      </w:r>
      <w:r w:rsidR="00165EF1">
        <w:t>c</w:t>
      </w:r>
      <w:r w:rsidR="008803CD">
        <w:t xml:space="preserve">es </w:t>
      </w:r>
      <w:r w:rsidR="00824EEB">
        <w:t xml:space="preserve">or whether the injury was the result of </w:t>
      </w:r>
      <w:r w:rsidR="001F4FC8">
        <w:t xml:space="preserve">the breach of </w:t>
      </w:r>
      <w:r w:rsidR="00824EEB">
        <w:t xml:space="preserve">some broader </w:t>
      </w:r>
      <w:r w:rsidR="00B203D1">
        <w:t xml:space="preserve">overlapping </w:t>
      </w:r>
      <w:r w:rsidR="00824EEB">
        <w:t xml:space="preserve">duty owed to the public.  </w:t>
      </w:r>
      <w:r w:rsidR="004E3F84">
        <w:t xml:space="preserve">Gutierrez </w:t>
      </w:r>
      <w:r w:rsidR="006C3D5D">
        <w:t>asks us to conclude</w:t>
      </w:r>
      <w:r w:rsidR="0094089B">
        <w:t xml:space="preserve"> that</w:t>
      </w:r>
      <w:r w:rsidR="004E3F84">
        <w:t xml:space="preserve"> the</w:t>
      </w:r>
      <w:r w:rsidR="00690CEF">
        <w:t xml:space="preserve"> contrast drawn in those cases</w:t>
      </w:r>
      <w:r w:rsidR="005251B8">
        <w:t>,</w:t>
      </w:r>
      <w:r w:rsidR="00690CEF">
        <w:t xml:space="preserve"> between a professional duty </w:t>
      </w:r>
      <w:r w:rsidR="00062676">
        <w:t>and the</w:t>
      </w:r>
      <w:r w:rsidR="00690CEF">
        <w:t xml:space="preserve"> general duty </w:t>
      </w:r>
      <w:r w:rsidR="00062676">
        <w:t xml:space="preserve">owed </w:t>
      </w:r>
      <w:r w:rsidR="00690CEF">
        <w:t>to the public</w:t>
      </w:r>
      <w:r w:rsidR="005251B8">
        <w:t>,</w:t>
      </w:r>
      <w:r w:rsidR="00690CEF">
        <w:t xml:space="preserve"> </w:t>
      </w:r>
      <w:r w:rsidR="004E3F84">
        <w:t>mean</w:t>
      </w:r>
      <w:r w:rsidR="005251B8">
        <w:t>s</w:t>
      </w:r>
      <w:r w:rsidR="004E3F84">
        <w:t xml:space="preserve"> that MICRA </w:t>
      </w:r>
      <w:r w:rsidR="00AA3A7C">
        <w:t xml:space="preserve">only applies where the defendant owes a professional duty to the plaintiff. </w:t>
      </w:r>
      <w:r w:rsidR="004E3F84">
        <w:t xml:space="preserve"> </w:t>
      </w:r>
      <w:r w:rsidR="00AA3A7C">
        <w:t xml:space="preserve">However, neither </w:t>
      </w:r>
      <w:r w:rsidR="00AA3A7C">
        <w:rPr>
          <w:i/>
          <w:iCs/>
        </w:rPr>
        <w:t>Flores</w:t>
      </w:r>
      <w:r w:rsidR="0010105E">
        <w:t xml:space="preserve"> nor </w:t>
      </w:r>
      <w:r w:rsidR="0010105E">
        <w:rPr>
          <w:i/>
          <w:iCs/>
        </w:rPr>
        <w:t>Lee</w:t>
      </w:r>
      <w:r w:rsidR="0010105E">
        <w:t xml:space="preserve"> considered whether </w:t>
      </w:r>
      <w:r w:rsidR="002B520F">
        <w:t xml:space="preserve">MICRA applies where the plaintiff is </w:t>
      </w:r>
      <w:r w:rsidR="00511138">
        <w:t xml:space="preserve">injured during the provision of </w:t>
      </w:r>
      <w:r w:rsidR="00252971">
        <w:t>professional services,</w:t>
      </w:r>
      <w:r w:rsidR="00511138">
        <w:t xml:space="preserve"> </w:t>
      </w:r>
      <w:proofErr w:type="gramStart"/>
      <w:r w:rsidR="00511138">
        <w:t>as a result of</w:t>
      </w:r>
      <w:proofErr w:type="gramEnd"/>
      <w:r w:rsidR="00511138">
        <w:t xml:space="preserve"> those services, but w</w:t>
      </w:r>
      <w:r w:rsidR="001B3B8E">
        <w:t xml:space="preserve">as </w:t>
      </w:r>
      <w:r w:rsidR="002B520F" w:rsidRPr="001000CD">
        <w:rPr>
          <w:i/>
          <w:iCs/>
        </w:rPr>
        <w:t>not the recipient</w:t>
      </w:r>
      <w:r w:rsidR="002B520F">
        <w:t xml:space="preserve"> of the </w:t>
      </w:r>
      <w:r w:rsidR="00252971">
        <w:t>services</w:t>
      </w:r>
      <w:r w:rsidR="00AA3A7C">
        <w:t>.  In both of those cases, the plaintiff was either the client or the patient</w:t>
      </w:r>
      <w:r w:rsidR="003E5E0B">
        <w:t>.</w:t>
      </w:r>
      <w:r w:rsidR="00CF2454">
        <w:t xml:space="preserve">  </w:t>
      </w:r>
      <w:r w:rsidR="00346A7F">
        <w:t>M</w:t>
      </w:r>
      <w:r w:rsidR="00672332">
        <w:t xml:space="preserve">ultiple courts have considered injuries to </w:t>
      </w:r>
      <w:r w:rsidR="0081546B">
        <w:t>third parties who were not patient</w:t>
      </w:r>
      <w:r w:rsidR="00514BF5">
        <w:t>s</w:t>
      </w:r>
      <w:r w:rsidR="0099685B">
        <w:t xml:space="preserve"> and have concluded that </w:t>
      </w:r>
      <w:r w:rsidR="007515BC">
        <w:t>MICRA applied to their claims</w:t>
      </w:r>
      <w:r w:rsidR="0081546B">
        <w:t>.</w:t>
      </w:r>
    </w:p>
    <w:p w14:paraId="71342DE5" w14:textId="356AC449" w:rsidR="005F5012" w:rsidRDefault="00207E98" w:rsidP="007E00AC">
      <w:r>
        <w:tab/>
      </w:r>
      <w:r w:rsidR="002E3DB4">
        <w:t xml:space="preserve">In </w:t>
      </w:r>
      <w:r w:rsidR="002E3DB4" w:rsidRPr="002E3DB4">
        <w:rPr>
          <w:i/>
          <w:iCs/>
        </w:rPr>
        <w:t xml:space="preserve">Canister, </w:t>
      </w:r>
      <w:r w:rsidR="007E00AC" w:rsidRPr="007E00AC">
        <w:t>a police officer accompanying an arrestee in the back of an ambulance w</w:t>
      </w:r>
      <w:r w:rsidR="00D066C6">
        <w:t>as</w:t>
      </w:r>
      <w:r w:rsidR="007E00AC" w:rsidRPr="007E00AC">
        <w:t xml:space="preserve"> injur</w:t>
      </w:r>
      <w:r w:rsidR="00D066C6">
        <w:t>ed</w:t>
      </w:r>
      <w:r w:rsidR="007E00AC" w:rsidRPr="007E00AC">
        <w:t xml:space="preserve"> </w:t>
      </w:r>
      <w:r w:rsidR="00D066C6">
        <w:t>w</w:t>
      </w:r>
      <w:r w:rsidR="00D066C6" w:rsidRPr="007E00AC">
        <w:t xml:space="preserve">hen </w:t>
      </w:r>
      <w:r w:rsidR="00D066C6">
        <w:t>the ambulance</w:t>
      </w:r>
      <w:r w:rsidR="00D066C6" w:rsidRPr="007E00AC">
        <w:t xml:space="preserve"> hit a curb</w:t>
      </w:r>
      <w:r w:rsidR="007E00AC" w:rsidRPr="007E00AC">
        <w:t xml:space="preserve">. </w:t>
      </w:r>
      <w:r w:rsidR="00D066C6">
        <w:t xml:space="preserve"> </w:t>
      </w:r>
      <w:r w:rsidR="00B561F4">
        <w:t xml:space="preserve">At the time of the accident, the </w:t>
      </w:r>
      <w:r w:rsidR="00B561F4" w:rsidRPr="007E00AC">
        <w:t xml:space="preserve">ambulance was being driven by </w:t>
      </w:r>
      <w:r w:rsidR="000147A8">
        <w:t>one EMT</w:t>
      </w:r>
      <w:r w:rsidR="00B561F4" w:rsidRPr="007E00AC">
        <w:t xml:space="preserve"> while another attended to the arrestee in the rear of the </w:t>
      </w:r>
      <w:r w:rsidR="00B561F4" w:rsidRPr="007E00AC">
        <w:lastRenderedPageBreak/>
        <w:t>ambulance.</w:t>
      </w:r>
      <w:r w:rsidR="000147A8">
        <w:t xml:space="preserve">  </w:t>
      </w:r>
      <w:r w:rsidR="007E00AC" w:rsidRPr="007E00AC">
        <w:t xml:space="preserve">The </w:t>
      </w:r>
      <w:r w:rsidR="00FD59CB">
        <w:t>officer sued</w:t>
      </w:r>
      <w:r w:rsidR="003551A1">
        <w:t xml:space="preserve"> for negligence</w:t>
      </w:r>
      <w:r w:rsidR="00B561F4" w:rsidRPr="00B561F4">
        <w:t>.</w:t>
      </w:r>
      <w:r w:rsidR="00076966">
        <w:t xml:space="preserve">  (</w:t>
      </w:r>
      <w:r w:rsidR="007E00AC" w:rsidRPr="007E00AC">
        <w:rPr>
          <w:i/>
          <w:iCs/>
        </w:rPr>
        <w:t>Canister</w:t>
      </w:r>
      <w:r w:rsidR="00076966">
        <w:rPr>
          <w:i/>
          <w:iCs/>
        </w:rPr>
        <w:t>, supra</w:t>
      </w:r>
      <w:r w:rsidR="00076966" w:rsidRPr="00FD2936">
        <w:t>,</w:t>
      </w:r>
      <w:r w:rsidR="00076966">
        <w:rPr>
          <w:i/>
          <w:iCs/>
        </w:rPr>
        <w:t xml:space="preserve"> </w:t>
      </w:r>
      <w:r w:rsidR="007E00AC" w:rsidRPr="00076966">
        <w:t xml:space="preserve">160 Cal.App.4th </w:t>
      </w:r>
      <w:r w:rsidR="00076966" w:rsidRPr="00076966">
        <w:t>at p.</w:t>
      </w:r>
      <w:r w:rsidR="005823C0">
        <w:t> </w:t>
      </w:r>
      <w:r w:rsidR="007E00AC" w:rsidRPr="00076966">
        <w:t>392</w:t>
      </w:r>
      <w:r w:rsidR="00076966">
        <w:t xml:space="preserve">.)  </w:t>
      </w:r>
      <w:r w:rsidR="008D794D">
        <w:t xml:space="preserve">After </w:t>
      </w:r>
      <w:r w:rsidR="00166A09">
        <w:t>find</w:t>
      </w:r>
      <w:r w:rsidR="00D4436F">
        <w:t>ing</w:t>
      </w:r>
      <w:r w:rsidR="008D794D">
        <w:t xml:space="preserve"> that an EMT </w:t>
      </w:r>
      <w:r w:rsidR="00D6556D">
        <w:t xml:space="preserve">was a health care provider and that </w:t>
      </w:r>
      <w:r w:rsidR="00874B95">
        <w:t xml:space="preserve">transporting </w:t>
      </w:r>
      <w:r w:rsidR="002E4372">
        <w:t>a patient constituted professional service</w:t>
      </w:r>
      <w:r w:rsidR="00204349">
        <w:t>s</w:t>
      </w:r>
      <w:r w:rsidR="002E4372">
        <w:t xml:space="preserve"> </w:t>
      </w:r>
      <w:r w:rsidR="001A5FB9">
        <w:t>within the meaning of MICRA</w:t>
      </w:r>
      <w:r w:rsidR="00D6556D">
        <w:t xml:space="preserve">, the </w:t>
      </w:r>
      <w:r w:rsidR="00BE0A0E">
        <w:rPr>
          <w:i/>
          <w:iCs/>
        </w:rPr>
        <w:t xml:space="preserve">Canister </w:t>
      </w:r>
      <w:r w:rsidR="009F2A26">
        <w:t>c</w:t>
      </w:r>
      <w:r w:rsidR="00D6556D">
        <w:t xml:space="preserve">ourt </w:t>
      </w:r>
      <w:r w:rsidR="00166A09">
        <w:t>held</w:t>
      </w:r>
      <w:r w:rsidR="009A0410">
        <w:t xml:space="preserve"> </w:t>
      </w:r>
      <w:r>
        <w:t>that MICRA</w:t>
      </w:r>
      <w:r w:rsidR="006E39DB">
        <w:t xml:space="preserve"> </w:t>
      </w:r>
      <w:r>
        <w:t>extend</w:t>
      </w:r>
      <w:r w:rsidR="00B017B8">
        <w:t xml:space="preserve">s </w:t>
      </w:r>
      <w:r>
        <w:t>to</w:t>
      </w:r>
      <w:r w:rsidR="00AE575A">
        <w:t xml:space="preserve"> </w:t>
      </w:r>
      <w:proofErr w:type="gramStart"/>
      <w:r>
        <w:t>“</w:t>
      </w:r>
      <w:r w:rsidR="005E5818">
        <w:t xml:space="preserve"> ‘</w:t>
      </w:r>
      <w:proofErr w:type="gramEnd"/>
      <w:r w:rsidR="00AE575A" w:rsidRPr="00BC73F8">
        <w:t>any foreseeable injured party, including patients, business invitees, staff members or visitors, provided the injuries alleged arose out of professional negligence.</w:t>
      </w:r>
      <w:r w:rsidR="005E5818">
        <w:t>’ [Citation.]</w:t>
      </w:r>
      <w:r w:rsidR="00AE575A" w:rsidRPr="00BC73F8">
        <w:t xml:space="preserve">” </w:t>
      </w:r>
      <w:r>
        <w:t xml:space="preserve"> </w:t>
      </w:r>
      <w:r w:rsidR="004E0077">
        <w:t>(</w:t>
      </w:r>
      <w:r w:rsidR="004E0077" w:rsidRPr="0073026C">
        <w:rPr>
          <w:i/>
          <w:iCs/>
        </w:rPr>
        <w:t>Id.</w:t>
      </w:r>
      <w:r w:rsidR="004E0077">
        <w:t xml:space="preserve"> at p</w:t>
      </w:r>
      <w:r w:rsidR="0073026C">
        <w:t>p</w:t>
      </w:r>
      <w:r w:rsidR="004E0077">
        <w:t xml:space="preserve">. </w:t>
      </w:r>
      <w:r w:rsidR="0073026C">
        <w:t>407-408</w:t>
      </w:r>
      <w:r w:rsidR="009A0410">
        <w:t xml:space="preserve">.)  </w:t>
      </w:r>
      <w:r w:rsidR="00E07847">
        <w:t>The court concluded that it was</w:t>
      </w:r>
      <w:r w:rsidR="00D7432B" w:rsidRPr="00D7432B">
        <w:t xml:space="preserve"> foreseeable as a matter of law that a police officer accompanying an arrestee in an ambulance might be injured in the operation of the ambulance.</w:t>
      </w:r>
      <w:r w:rsidR="00D7432B">
        <w:t xml:space="preserve">  (</w:t>
      </w:r>
      <w:r w:rsidR="00D7432B">
        <w:rPr>
          <w:i/>
          <w:iCs/>
        </w:rPr>
        <w:t>Id.</w:t>
      </w:r>
      <w:r w:rsidR="00D7432B">
        <w:t xml:space="preserve"> at p. 408.) </w:t>
      </w:r>
    </w:p>
    <w:p w14:paraId="5ECCF978" w14:textId="49E71803" w:rsidR="00B57737" w:rsidRDefault="00207E98" w:rsidP="00216B22">
      <w:r>
        <w:tab/>
      </w:r>
      <w:r w:rsidR="00B830C0">
        <w:t>Gutierrez argues</w:t>
      </w:r>
      <w:r w:rsidR="00FC0FD8">
        <w:t xml:space="preserve"> </w:t>
      </w:r>
      <w:r w:rsidR="00B830C0">
        <w:t>that</w:t>
      </w:r>
      <w:r w:rsidR="00D463FA">
        <w:t xml:space="preserve"> </w:t>
      </w:r>
      <w:r w:rsidR="004E0077" w:rsidRPr="00184508">
        <w:rPr>
          <w:i/>
          <w:iCs/>
        </w:rPr>
        <w:t>Canister</w:t>
      </w:r>
      <w:r w:rsidR="004E0077">
        <w:t xml:space="preserve"> </w:t>
      </w:r>
      <w:r w:rsidR="00D463FA">
        <w:t>i</w:t>
      </w:r>
      <w:r w:rsidR="00333B81">
        <w:t xml:space="preserve">s no longer </w:t>
      </w:r>
      <w:r w:rsidR="00616AD0">
        <w:t>viable authority</w:t>
      </w:r>
      <w:r w:rsidR="00333B81">
        <w:t xml:space="preserve"> after</w:t>
      </w:r>
      <w:r w:rsidR="004E0077">
        <w:t xml:space="preserve"> </w:t>
      </w:r>
      <w:bookmarkStart w:id="0" w:name="_Hlk140669496"/>
      <w:r w:rsidR="00216B22" w:rsidRPr="005E4F61">
        <w:rPr>
          <w:i/>
          <w:iCs/>
        </w:rPr>
        <w:t>Flores</w:t>
      </w:r>
      <w:bookmarkEnd w:id="0"/>
      <w:r w:rsidR="005E3DF3">
        <w:t xml:space="preserve">, because </w:t>
      </w:r>
      <w:r w:rsidR="005E3DF3" w:rsidRPr="00267F3C">
        <w:rPr>
          <w:i/>
          <w:iCs/>
        </w:rPr>
        <w:t>Flores</w:t>
      </w:r>
      <w:r w:rsidR="005E3DF3">
        <w:t xml:space="preserve"> set forth “a completely new framework for analyzing the scope of MICRA, making those prior cases irre</w:t>
      </w:r>
      <w:r w:rsidR="00E70E9F">
        <w:t>levant.</w:t>
      </w:r>
      <w:r w:rsidR="005E3DF3">
        <w:t>”</w:t>
      </w:r>
      <w:r w:rsidR="004E0077">
        <w:t xml:space="preserve"> </w:t>
      </w:r>
      <w:r w:rsidR="009B055D">
        <w:t xml:space="preserve"> </w:t>
      </w:r>
      <w:r w:rsidR="00891BBA" w:rsidRPr="00184508">
        <w:rPr>
          <w:i/>
          <w:iCs/>
        </w:rPr>
        <w:t>Flores</w:t>
      </w:r>
      <w:r w:rsidR="00891BBA">
        <w:t xml:space="preserve"> </w:t>
      </w:r>
      <w:r w:rsidR="00E015CB">
        <w:t>neither</w:t>
      </w:r>
      <w:r w:rsidR="00891BBA">
        <w:t xml:space="preserve"> mention</w:t>
      </w:r>
      <w:r w:rsidR="00E015CB">
        <w:t>s nor</w:t>
      </w:r>
      <w:r w:rsidR="00891BBA">
        <w:t xml:space="preserve"> overrule</w:t>
      </w:r>
      <w:r w:rsidR="00E015CB">
        <w:t xml:space="preserve">s </w:t>
      </w:r>
      <w:r w:rsidR="00891BBA" w:rsidRPr="00184508">
        <w:rPr>
          <w:i/>
          <w:iCs/>
        </w:rPr>
        <w:t>Canister</w:t>
      </w:r>
      <w:r w:rsidR="00E70E9F">
        <w:t>.</w:t>
      </w:r>
      <w:r w:rsidR="0013514F">
        <w:t xml:space="preserve">  (See </w:t>
      </w:r>
      <w:r w:rsidR="0013514F" w:rsidRPr="000718C0">
        <w:rPr>
          <w:i/>
          <w:iCs/>
        </w:rPr>
        <w:t>Lopez</w:t>
      </w:r>
      <w:r w:rsidR="00467232" w:rsidRPr="00675AB1">
        <w:rPr>
          <w:i/>
          <w:iCs/>
        </w:rPr>
        <w:t xml:space="preserve">, </w:t>
      </w:r>
      <w:r w:rsidR="00467232">
        <w:rPr>
          <w:i/>
          <w:iCs/>
        </w:rPr>
        <w:t>supra</w:t>
      </w:r>
      <w:r w:rsidR="00467232" w:rsidRPr="00D54024">
        <w:t>,</w:t>
      </w:r>
      <w:r w:rsidR="00467232">
        <w:rPr>
          <w:i/>
          <w:iCs/>
        </w:rPr>
        <w:t xml:space="preserve"> </w:t>
      </w:r>
      <w:r w:rsidR="0013514F">
        <w:t xml:space="preserve">89 Cal.App.5th </w:t>
      </w:r>
      <w:r w:rsidR="00467232">
        <w:t xml:space="preserve">at pp. </w:t>
      </w:r>
      <w:r w:rsidR="0013514F">
        <w:t>345-346 [</w:t>
      </w:r>
      <w:r w:rsidR="00184508">
        <w:t>expressing doubt</w:t>
      </w:r>
      <w:r w:rsidR="0013514F">
        <w:t xml:space="preserve"> that </w:t>
      </w:r>
      <w:r w:rsidR="0013514F" w:rsidRPr="00184508">
        <w:rPr>
          <w:i/>
          <w:iCs/>
        </w:rPr>
        <w:t xml:space="preserve">Flores </w:t>
      </w:r>
      <w:r w:rsidR="0013514F">
        <w:t xml:space="preserve">overruled </w:t>
      </w:r>
      <w:r w:rsidR="0013514F" w:rsidRPr="00184508">
        <w:rPr>
          <w:i/>
          <w:iCs/>
        </w:rPr>
        <w:t>Canister</w:t>
      </w:r>
      <w:r w:rsidR="0013514F">
        <w:t>].)</w:t>
      </w:r>
      <w:r w:rsidR="0020764E">
        <w:t xml:space="preserve">  </w:t>
      </w:r>
      <w:r w:rsidR="001D4DB9">
        <w:t xml:space="preserve">Nor did it need to.  </w:t>
      </w:r>
      <w:r w:rsidR="00FE4D40" w:rsidRPr="001D4DB9">
        <w:t>Because</w:t>
      </w:r>
      <w:r w:rsidR="00FE4D40">
        <w:t xml:space="preserve"> the plaintiff in </w:t>
      </w:r>
      <w:r w:rsidR="00204349" w:rsidRPr="00204349">
        <w:rPr>
          <w:i/>
          <w:iCs/>
        </w:rPr>
        <w:t>Flores</w:t>
      </w:r>
      <w:r w:rsidR="00204349" w:rsidRPr="00204349">
        <w:t xml:space="preserve"> </w:t>
      </w:r>
      <w:r w:rsidR="00FE4D40">
        <w:t xml:space="preserve">was </w:t>
      </w:r>
      <w:r w:rsidR="00AD20C2">
        <w:t>a</w:t>
      </w:r>
      <w:r w:rsidR="00FE4D40">
        <w:t xml:space="preserve"> patient</w:t>
      </w:r>
      <w:r w:rsidR="00AD20C2">
        <w:t xml:space="preserve"> </w:t>
      </w:r>
      <w:r w:rsidR="001D4DB9">
        <w:t xml:space="preserve">injured </w:t>
      </w:r>
      <w:r>
        <w:t xml:space="preserve">at the hospital </w:t>
      </w:r>
      <w:r w:rsidR="00A749C7">
        <w:t>due to faulty</w:t>
      </w:r>
      <w:r>
        <w:t xml:space="preserve"> equipment, the analysis necessarily focused on </w:t>
      </w:r>
      <w:r w:rsidR="005D3FCF">
        <w:t>whether the du</w:t>
      </w:r>
      <w:r w:rsidR="00AD20C2">
        <w:t>t</w:t>
      </w:r>
      <w:r w:rsidR="005D3FCF">
        <w:t>y owed to plaintiff was that of a medical provider</w:t>
      </w:r>
      <w:r w:rsidR="00717048" w:rsidRPr="00717048">
        <w:t xml:space="preserve"> </w:t>
      </w:r>
      <w:r w:rsidR="00717048">
        <w:t xml:space="preserve">or a duty owed to the </w:t>
      </w:r>
      <w:proofErr w:type="gramStart"/>
      <w:r w:rsidR="00717048">
        <w:t>general public</w:t>
      </w:r>
      <w:proofErr w:type="gramEnd"/>
      <w:r w:rsidR="00C07C1F">
        <w:t xml:space="preserve">.  The </w:t>
      </w:r>
      <w:r w:rsidR="00C07C1F">
        <w:rPr>
          <w:i/>
          <w:iCs/>
        </w:rPr>
        <w:t xml:space="preserve">Flores </w:t>
      </w:r>
      <w:r w:rsidR="009F2A26">
        <w:t>c</w:t>
      </w:r>
      <w:r w:rsidR="00C07C1F">
        <w:t>ourt concluded that</w:t>
      </w:r>
      <w:r w:rsidR="00AD20C2">
        <w:t xml:space="preserve"> </w:t>
      </w:r>
      <w:r w:rsidR="00F3164C">
        <w:t xml:space="preserve">by providing </w:t>
      </w:r>
      <w:r w:rsidR="00C9386A">
        <w:t xml:space="preserve">the bedrail the hospital was </w:t>
      </w:r>
      <w:r w:rsidR="00C9386A" w:rsidRPr="003B16BF">
        <w:rPr>
          <w:i/>
          <w:iCs/>
        </w:rPr>
        <w:t xml:space="preserve">providing </w:t>
      </w:r>
      <w:r w:rsidR="00AD20C2" w:rsidRPr="003B16BF">
        <w:rPr>
          <w:i/>
          <w:iCs/>
        </w:rPr>
        <w:t>medical care</w:t>
      </w:r>
      <w:r w:rsidR="007E33FC">
        <w:t>,</w:t>
      </w:r>
      <w:r w:rsidR="00AD20C2">
        <w:t xml:space="preserve"> </w:t>
      </w:r>
      <w:r w:rsidR="00F3164C">
        <w:t>not</w:t>
      </w:r>
      <w:r w:rsidR="000B1D3F">
        <w:t xml:space="preserve"> just a convenience incidental to care.</w:t>
      </w:r>
      <w:r w:rsidR="00F216F7">
        <w:t xml:space="preserve">  The </w:t>
      </w:r>
      <w:r w:rsidR="001874FD">
        <w:t xml:space="preserve">question before the </w:t>
      </w:r>
      <w:r w:rsidR="001874FD" w:rsidRPr="001874FD">
        <w:rPr>
          <w:i/>
          <w:iCs/>
        </w:rPr>
        <w:t>Flores</w:t>
      </w:r>
      <w:r w:rsidR="001874FD">
        <w:t xml:space="preserve"> </w:t>
      </w:r>
      <w:r w:rsidR="009F2A26">
        <w:t>c</w:t>
      </w:r>
      <w:r w:rsidR="001874FD">
        <w:t xml:space="preserve">ourt was </w:t>
      </w:r>
      <w:r w:rsidR="001874FD" w:rsidRPr="001874FD">
        <w:rPr>
          <w:i/>
          <w:iCs/>
        </w:rPr>
        <w:t>what</w:t>
      </w:r>
      <w:r w:rsidR="001874FD">
        <w:t xml:space="preserve"> duty was owed</w:t>
      </w:r>
      <w:r w:rsidR="00622184">
        <w:t xml:space="preserve"> to its patient</w:t>
      </w:r>
      <w:r w:rsidR="001874FD">
        <w:t xml:space="preserve">, not </w:t>
      </w:r>
      <w:r w:rsidR="00622184">
        <w:t xml:space="preserve">to </w:t>
      </w:r>
      <w:r w:rsidR="001874FD" w:rsidRPr="00622184">
        <w:rPr>
          <w:i/>
          <w:iCs/>
        </w:rPr>
        <w:t>who</w:t>
      </w:r>
      <w:r w:rsidR="00622184" w:rsidRPr="00622184">
        <w:rPr>
          <w:i/>
          <w:iCs/>
        </w:rPr>
        <w:t>m</w:t>
      </w:r>
      <w:r w:rsidR="001874FD">
        <w:t xml:space="preserve"> </w:t>
      </w:r>
      <w:r w:rsidR="00622184">
        <w:t xml:space="preserve">their </w:t>
      </w:r>
      <w:r w:rsidR="004F7330">
        <w:t>professional duty of care</w:t>
      </w:r>
      <w:r w:rsidR="001874FD">
        <w:t xml:space="preserve"> </w:t>
      </w:r>
      <w:r w:rsidR="00F259BE">
        <w:t>extended</w:t>
      </w:r>
      <w:r w:rsidR="001874FD">
        <w:t xml:space="preserve">. </w:t>
      </w:r>
      <w:r w:rsidR="00F51A72">
        <w:t xml:space="preserve"> </w:t>
      </w:r>
    </w:p>
    <w:p w14:paraId="30B333E6" w14:textId="6EE8A01E" w:rsidR="00192199" w:rsidRPr="00192199" w:rsidRDefault="00207E98" w:rsidP="00681559">
      <w:pPr>
        <w:spacing w:before="240" w:line="240" w:lineRule="auto"/>
        <w:rPr>
          <w:b/>
          <w:bCs/>
          <w:i/>
          <w:iCs/>
        </w:rPr>
      </w:pPr>
      <w:r>
        <w:tab/>
      </w:r>
      <w:r w:rsidRPr="006932EF">
        <w:rPr>
          <w:b/>
          <w:bCs/>
        </w:rPr>
        <w:t>2.</w:t>
      </w:r>
      <w:r>
        <w:t xml:space="preserve"> </w:t>
      </w:r>
      <w:r w:rsidR="00D74D36">
        <w:rPr>
          <w:b/>
          <w:bCs/>
          <w:i/>
          <w:iCs/>
        </w:rPr>
        <w:t xml:space="preserve">Tostado was </w:t>
      </w:r>
      <w:r w:rsidR="00A11FC7">
        <w:rPr>
          <w:b/>
          <w:bCs/>
          <w:i/>
          <w:iCs/>
        </w:rPr>
        <w:t>a</w:t>
      </w:r>
      <w:r w:rsidR="00A04EFF">
        <w:rPr>
          <w:b/>
          <w:bCs/>
          <w:i/>
          <w:iCs/>
        </w:rPr>
        <w:t xml:space="preserve"> me</w:t>
      </w:r>
      <w:r w:rsidR="00A11FC7">
        <w:rPr>
          <w:b/>
          <w:bCs/>
          <w:i/>
          <w:iCs/>
        </w:rPr>
        <w:t xml:space="preserve">dical provider </w:t>
      </w:r>
      <w:r w:rsidR="0037159A">
        <w:rPr>
          <w:b/>
          <w:bCs/>
          <w:i/>
          <w:iCs/>
        </w:rPr>
        <w:t>providing medical care</w:t>
      </w:r>
      <w:r w:rsidR="00376161">
        <w:rPr>
          <w:b/>
          <w:bCs/>
          <w:i/>
          <w:iCs/>
        </w:rPr>
        <w:t xml:space="preserve"> at the time of the accident.</w:t>
      </w:r>
    </w:p>
    <w:p w14:paraId="7500C76D" w14:textId="540E3AEE" w:rsidR="00521666" w:rsidRDefault="00207E98" w:rsidP="00216B22">
      <w:r>
        <w:tab/>
      </w:r>
      <w:r w:rsidR="00541F3B">
        <w:t xml:space="preserve">Tostado was transporting a patient who was receiving medical care at the time of the accident. </w:t>
      </w:r>
      <w:r w:rsidR="00B75D90">
        <w:t xml:space="preserve"> </w:t>
      </w:r>
      <w:r w:rsidR="00997646">
        <w:t>He drove</w:t>
      </w:r>
      <w:r w:rsidR="00541F3B">
        <w:t xml:space="preserve"> while his partner attend</w:t>
      </w:r>
      <w:r w:rsidR="00997646">
        <w:t>ed</w:t>
      </w:r>
      <w:r w:rsidR="00B75D90">
        <w:t xml:space="preserve"> to</w:t>
      </w:r>
      <w:r w:rsidR="00541F3B">
        <w:t xml:space="preserve"> the patient. </w:t>
      </w:r>
      <w:r w:rsidR="00B75D90">
        <w:t xml:space="preserve"> </w:t>
      </w:r>
      <w:r w:rsidR="007E6AFD">
        <w:t xml:space="preserve">There is no </w:t>
      </w:r>
      <w:r w:rsidR="000978CF">
        <w:t>question</w:t>
      </w:r>
      <w:r w:rsidR="007E6AFD">
        <w:t xml:space="preserve"> that </w:t>
      </w:r>
      <w:r w:rsidR="006F5EF9">
        <w:t>transporting a patient in</w:t>
      </w:r>
      <w:r w:rsidR="007E6AFD">
        <w:t xml:space="preserve"> an ambulance</w:t>
      </w:r>
      <w:r w:rsidR="00D74DCB">
        <w:t xml:space="preserve"> </w:t>
      </w:r>
      <w:r w:rsidR="004521F1">
        <w:t>qualifies as the</w:t>
      </w:r>
      <w:r w:rsidR="00D74DCB">
        <w:t xml:space="preserve"> provision of medical care</w:t>
      </w:r>
      <w:r w:rsidR="00F51A72">
        <w:t xml:space="preserve">, and that the act of driving the </w:t>
      </w:r>
      <w:r w:rsidR="006F5EF9">
        <w:t>ambulance is an integral part of that care</w:t>
      </w:r>
      <w:r w:rsidR="00D74DCB">
        <w:t>.</w:t>
      </w:r>
      <w:r w:rsidR="00E47E03">
        <w:t xml:space="preserve">  (</w:t>
      </w:r>
      <w:r w:rsidR="00E47E03" w:rsidRPr="00242AF6">
        <w:rPr>
          <w:i/>
          <w:iCs/>
        </w:rPr>
        <w:t>Lopez</w:t>
      </w:r>
      <w:r w:rsidR="00E47E03" w:rsidRPr="00242AF6">
        <w:t>,</w:t>
      </w:r>
      <w:r w:rsidR="00E47E03" w:rsidRPr="00242AF6">
        <w:rPr>
          <w:i/>
          <w:iCs/>
        </w:rPr>
        <w:t xml:space="preserve"> supra</w:t>
      </w:r>
      <w:r w:rsidR="00E47E03">
        <w:t xml:space="preserve">, 89 Cal.App.5th </w:t>
      </w:r>
      <w:r w:rsidR="005823C0">
        <w:t>at p.</w:t>
      </w:r>
      <w:r w:rsidR="00E47E03">
        <w:t xml:space="preserve"> 347.)</w:t>
      </w:r>
      <w:r w:rsidR="00223CC3">
        <w:t xml:space="preserve"> </w:t>
      </w:r>
      <w:r w:rsidR="00166C21">
        <w:t xml:space="preserve"> </w:t>
      </w:r>
      <w:r w:rsidR="00B665A6">
        <w:t>F</w:t>
      </w:r>
      <w:r w:rsidR="00980FE7">
        <w:t xml:space="preserve">or certain patients, safe </w:t>
      </w:r>
      <w:r w:rsidR="00226071">
        <w:t xml:space="preserve">and quick </w:t>
      </w:r>
      <w:r w:rsidR="00980FE7">
        <w:t xml:space="preserve">ambulance transport may mean the difference between life and death.  </w:t>
      </w:r>
      <w:r w:rsidR="00163A64">
        <w:t xml:space="preserve">Even though </w:t>
      </w:r>
      <w:r w:rsidR="00A04EFF">
        <w:t xml:space="preserve">the transport at issue here does </w:t>
      </w:r>
      <w:r w:rsidR="00A04EFF">
        <w:lastRenderedPageBreak/>
        <w:t>not appear to have been emergent</w:t>
      </w:r>
      <w:r w:rsidR="00980FE7">
        <w:t xml:space="preserve">, we cannot say that </w:t>
      </w:r>
      <w:r w:rsidR="00A04EFF">
        <w:t>an</w:t>
      </w:r>
      <w:r w:rsidR="00980FE7">
        <w:t xml:space="preserve"> interfacility transport is so trivial that it can be characterized as being “</w:t>
      </w:r>
      <w:r w:rsidR="00980FE7" w:rsidRPr="00401325">
        <w:t>merely convenient for, or incidental to, the provision of medical care to a patient</w:t>
      </w:r>
      <w:r w:rsidR="00980FE7">
        <w:t>.”  (</w:t>
      </w:r>
      <w:r w:rsidR="00980FE7" w:rsidRPr="00B66F33">
        <w:rPr>
          <w:i/>
          <w:iCs/>
        </w:rPr>
        <w:t>Flores</w:t>
      </w:r>
      <w:r w:rsidR="00B75D90" w:rsidRPr="00B75D90">
        <w:rPr>
          <w:i/>
          <w:iCs/>
        </w:rPr>
        <w:t>,</w:t>
      </w:r>
      <w:r w:rsidR="00F074DE" w:rsidRPr="00F074DE">
        <w:rPr>
          <w:i/>
          <w:iCs/>
        </w:rPr>
        <w:t xml:space="preserve"> </w:t>
      </w:r>
      <w:r w:rsidR="00F074DE">
        <w:rPr>
          <w:i/>
          <w:iCs/>
        </w:rPr>
        <w:t>supra</w:t>
      </w:r>
      <w:r w:rsidR="00B75D90" w:rsidRPr="00B75D90">
        <w:t>,</w:t>
      </w:r>
      <w:r w:rsidR="00F074DE" w:rsidRPr="00B75D90">
        <w:t xml:space="preserve"> </w:t>
      </w:r>
      <w:r w:rsidR="00F074DE" w:rsidRPr="00891AF5">
        <w:t>63 Cal.4th</w:t>
      </w:r>
      <w:r w:rsidR="00980FE7" w:rsidRPr="00B66F33">
        <w:rPr>
          <w:i/>
          <w:iCs/>
        </w:rPr>
        <w:t xml:space="preserve"> </w:t>
      </w:r>
      <w:r w:rsidR="00980FE7">
        <w:t>at p.</w:t>
      </w:r>
      <w:r w:rsidR="005823C0">
        <w:t> </w:t>
      </w:r>
      <w:r w:rsidR="00980FE7">
        <w:t xml:space="preserve">88.)  </w:t>
      </w:r>
      <w:r w:rsidR="000978CF">
        <w:t>C</w:t>
      </w:r>
      <w:r w:rsidR="00980FE7">
        <w:t xml:space="preserve">onsistent with </w:t>
      </w:r>
      <w:r w:rsidR="00980FE7" w:rsidRPr="00B66F33">
        <w:rPr>
          <w:i/>
          <w:iCs/>
        </w:rPr>
        <w:t>Flores</w:t>
      </w:r>
      <w:r w:rsidR="00980FE7">
        <w:t xml:space="preserve">, </w:t>
      </w:r>
      <w:r w:rsidR="000978CF">
        <w:t xml:space="preserve">driving the ambulance </w:t>
      </w:r>
      <w:r w:rsidR="009A6E4A">
        <w:t>qualifies, under the circumstances here,</w:t>
      </w:r>
      <w:r w:rsidR="00980FE7">
        <w:t xml:space="preserve"> </w:t>
      </w:r>
      <w:r w:rsidR="009A6E4A">
        <w:t xml:space="preserve">as </w:t>
      </w:r>
      <w:r w:rsidR="00980FE7">
        <w:t>“rendering of professional services</w:t>
      </w:r>
      <w:r w:rsidR="000978CF">
        <w:t>.</w:t>
      </w:r>
      <w:r w:rsidR="00980FE7">
        <w:t>”  (See § 340.5, subd. (2)</w:t>
      </w:r>
      <w:r w:rsidR="003C72F0">
        <w:t xml:space="preserve">; contrast </w:t>
      </w:r>
      <w:r w:rsidR="001D2C81">
        <w:rPr>
          <w:i/>
          <w:iCs/>
        </w:rPr>
        <w:t>Aldana</w:t>
      </w:r>
      <w:r w:rsidR="007B1B41" w:rsidRPr="00D54024">
        <w:t xml:space="preserve">, </w:t>
      </w:r>
      <w:r w:rsidR="007B1B41" w:rsidRPr="002F1532">
        <w:rPr>
          <w:i/>
          <w:iCs/>
        </w:rPr>
        <w:t>supra</w:t>
      </w:r>
      <w:r w:rsidR="007B1B41">
        <w:t>, 2 Cal.App.5th at p</w:t>
      </w:r>
      <w:r w:rsidR="005823C0">
        <w:t>p</w:t>
      </w:r>
      <w:r w:rsidR="007B1B41">
        <w:t>. 5</w:t>
      </w:r>
      <w:r w:rsidR="00D91A8C">
        <w:t>, 7-8</w:t>
      </w:r>
      <w:r w:rsidR="007B1B41">
        <w:t xml:space="preserve"> [MICRA does not apply where paramedic supervisor not transporting </w:t>
      </w:r>
      <w:proofErr w:type="gramStart"/>
      <w:r w:rsidR="007B1B41">
        <w:t>patient, but</w:t>
      </w:r>
      <w:proofErr w:type="gramEnd"/>
      <w:r w:rsidR="007B1B41">
        <w:t xml:space="preserve"> driving to the scene of an </w:t>
      </w:r>
      <w:r w:rsidR="002F2A11">
        <w:t>emergency</w:t>
      </w:r>
      <w:r w:rsidR="00327319">
        <w:t xml:space="preserve"> in a truck</w:t>
      </w:r>
      <w:r w:rsidR="00171DBD">
        <w:t>]</w:t>
      </w:r>
      <w:r w:rsidR="00980FE7">
        <w:t xml:space="preserve">.)  </w:t>
      </w:r>
    </w:p>
    <w:p w14:paraId="37A1CD18" w14:textId="0BB7BF2C" w:rsidR="00A11FC7" w:rsidRPr="00A11FC7" w:rsidRDefault="00207E98" w:rsidP="00216B22">
      <w:pPr>
        <w:rPr>
          <w:b/>
          <w:bCs/>
          <w:i/>
          <w:iCs/>
        </w:rPr>
      </w:pPr>
      <w:r>
        <w:tab/>
      </w:r>
      <w:r w:rsidRPr="006932EF">
        <w:rPr>
          <w:b/>
          <w:bCs/>
        </w:rPr>
        <w:t>3.</w:t>
      </w:r>
      <w:r>
        <w:t xml:space="preserve"> </w:t>
      </w:r>
      <w:r w:rsidR="00172CF0">
        <w:rPr>
          <w:b/>
          <w:bCs/>
          <w:i/>
          <w:iCs/>
        </w:rPr>
        <w:t xml:space="preserve">Gutierrez was injured </w:t>
      </w:r>
      <w:proofErr w:type="gramStart"/>
      <w:r w:rsidR="00172CF0">
        <w:rPr>
          <w:b/>
          <w:bCs/>
          <w:i/>
          <w:iCs/>
        </w:rPr>
        <w:t>as a result of</w:t>
      </w:r>
      <w:proofErr w:type="gramEnd"/>
      <w:r w:rsidR="00172CF0">
        <w:rPr>
          <w:b/>
          <w:bCs/>
          <w:i/>
          <w:iCs/>
        </w:rPr>
        <w:t xml:space="preserve"> the provision of medical care</w:t>
      </w:r>
      <w:r w:rsidR="006B2D21">
        <w:rPr>
          <w:b/>
          <w:bCs/>
          <w:i/>
          <w:iCs/>
        </w:rPr>
        <w:t>.</w:t>
      </w:r>
    </w:p>
    <w:p w14:paraId="71D8CD0F" w14:textId="7B722AB6" w:rsidR="007F472C" w:rsidRDefault="00207E98" w:rsidP="00216B22">
      <w:r>
        <w:tab/>
      </w:r>
      <w:r>
        <w:t xml:space="preserve">Because Gutierrez was not the recipient of the medical care, the question here is </w:t>
      </w:r>
      <w:r w:rsidR="0080506B">
        <w:t xml:space="preserve">different from the one raised in </w:t>
      </w:r>
      <w:r w:rsidR="0080506B" w:rsidRPr="0080506B">
        <w:rPr>
          <w:i/>
          <w:iCs/>
        </w:rPr>
        <w:t>Flores</w:t>
      </w:r>
      <w:r w:rsidR="0080506B" w:rsidRPr="0080506B">
        <w:t xml:space="preserve">.  </w:t>
      </w:r>
      <w:r w:rsidR="0080506B">
        <w:t xml:space="preserve">It is </w:t>
      </w:r>
      <w:r w:rsidRPr="0080506B">
        <w:t>not</w:t>
      </w:r>
      <w:r>
        <w:t xml:space="preserve"> whether </w:t>
      </w:r>
      <w:r w:rsidR="00B3458E">
        <w:t>the injuries alleged were the result of general or professional negligence</w:t>
      </w:r>
      <w:r>
        <w:t xml:space="preserve">.  </w:t>
      </w:r>
      <w:r w:rsidR="00223CC3">
        <w:t>Instead</w:t>
      </w:r>
      <w:r w:rsidR="0064333A">
        <w:t>,</w:t>
      </w:r>
      <w:r w:rsidR="00223CC3">
        <w:t xml:space="preserve"> the question here is </w:t>
      </w:r>
      <w:r w:rsidR="00883A5D">
        <w:t>whether</w:t>
      </w:r>
      <w:r w:rsidR="001F6459">
        <w:t xml:space="preserve"> </w:t>
      </w:r>
      <w:r w:rsidR="00C1568C">
        <w:t xml:space="preserve">an injury </w:t>
      </w:r>
      <w:r w:rsidR="006769E3">
        <w:t>to</w:t>
      </w:r>
      <w:r w:rsidR="00C1568C">
        <w:t xml:space="preserve"> a third party</w:t>
      </w:r>
      <w:r w:rsidR="008063BE">
        <w:t>,</w:t>
      </w:r>
      <w:r w:rsidR="00C1568C">
        <w:t xml:space="preserve"> who is </w:t>
      </w:r>
      <w:r w:rsidR="00C1568C" w:rsidRPr="009A6E4A">
        <w:rPr>
          <w:i/>
          <w:iCs/>
        </w:rPr>
        <w:t>not</w:t>
      </w:r>
      <w:r w:rsidR="00C1568C">
        <w:t xml:space="preserve"> a </w:t>
      </w:r>
      <w:r w:rsidR="006769E3">
        <w:t>patient</w:t>
      </w:r>
      <w:r w:rsidR="009F2A26">
        <w:t>,</w:t>
      </w:r>
      <w:r w:rsidR="00D37AC4">
        <w:t xml:space="preserve"> </w:t>
      </w:r>
      <w:r w:rsidR="009049FB">
        <w:t xml:space="preserve">is subject to </w:t>
      </w:r>
      <w:proofErr w:type="spellStart"/>
      <w:r w:rsidR="008372DB">
        <w:t>MICRA’s</w:t>
      </w:r>
      <w:proofErr w:type="spellEnd"/>
      <w:r w:rsidR="008372DB">
        <w:t xml:space="preserve"> statute of limitations because the injury occurred during</w:t>
      </w:r>
      <w:r w:rsidR="00B837BB">
        <w:t>,</w:t>
      </w:r>
      <w:r w:rsidR="008372DB">
        <w:t xml:space="preserve"> and </w:t>
      </w:r>
      <w:proofErr w:type="gramStart"/>
      <w:r w:rsidR="008372DB">
        <w:t>as a result of</w:t>
      </w:r>
      <w:proofErr w:type="gramEnd"/>
      <w:r w:rsidR="00B837BB">
        <w:t>,</w:t>
      </w:r>
      <w:r w:rsidR="008372DB">
        <w:t xml:space="preserve"> the provision of medical care by a </w:t>
      </w:r>
      <w:r w:rsidR="00D94BBA">
        <w:t>medical provider</w:t>
      </w:r>
      <w:r w:rsidR="00883A5D">
        <w:t>.</w:t>
      </w:r>
      <w:r w:rsidR="00D00A2C">
        <w:t xml:space="preserve">  </w:t>
      </w:r>
    </w:p>
    <w:p w14:paraId="1A3B9B34" w14:textId="7C2032A0" w:rsidR="005E7225" w:rsidRDefault="00207E98" w:rsidP="00216B22">
      <w:r>
        <w:tab/>
      </w:r>
      <w:r w:rsidR="00D00A2C">
        <w:t xml:space="preserve">The court in </w:t>
      </w:r>
      <w:r w:rsidR="00D00A2C">
        <w:rPr>
          <w:i/>
          <w:iCs/>
        </w:rPr>
        <w:t>Lopez</w:t>
      </w:r>
      <w:r w:rsidR="00D8032F">
        <w:t xml:space="preserve">, a case decided after </w:t>
      </w:r>
      <w:r w:rsidR="00BA519E">
        <w:rPr>
          <w:i/>
          <w:iCs/>
        </w:rPr>
        <w:t>Flor</w:t>
      </w:r>
      <w:r w:rsidR="00D8032F">
        <w:rPr>
          <w:i/>
          <w:iCs/>
        </w:rPr>
        <w:t>e</w:t>
      </w:r>
      <w:r w:rsidR="00BA519E">
        <w:rPr>
          <w:i/>
          <w:iCs/>
        </w:rPr>
        <w:t>s</w:t>
      </w:r>
      <w:r w:rsidR="00D8032F">
        <w:t>,</w:t>
      </w:r>
      <w:r w:rsidR="00D00A2C">
        <w:t xml:space="preserve"> considered this issue </w:t>
      </w:r>
      <w:r>
        <w:t xml:space="preserve">and decided that </w:t>
      </w:r>
      <w:r w:rsidR="00870860">
        <w:t>nonpatients injured</w:t>
      </w:r>
      <w:r w:rsidR="00B31783">
        <w:t xml:space="preserve"> while an EMT was rendering professional services</w:t>
      </w:r>
      <w:r w:rsidR="007E2400">
        <w:t xml:space="preserve"> were subject to MICRA.  In </w:t>
      </w:r>
      <w:r w:rsidR="007E2400">
        <w:rPr>
          <w:i/>
          <w:iCs/>
        </w:rPr>
        <w:t>Lopez</w:t>
      </w:r>
      <w:r w:rsidR="000179B3">
        <w:t xml:space="preserve">, </w:t>
      </w:r>
      <w:r w:rsidR="00323ADE">
        <w:t xml:space="preserve">plaintiffs were the patient </w:t>
      </w:r>
      <w:r w:rsidR="002A5A28">
        <w:t xml:space="preserve">who was being transported by an ambulance </w:t>
      </w:r>
      <w:r w:rsidR="00323ADE">
        <w:t xml:space="preserve">and his son who </w:t>
      </w:r>
      <w:r w:rsidR="002A5A28">
        <w:t>was also in the ambulance</w:t>
      </w:r>
      <w:r w:rsidR="00BA519E">
        <w:t>.  Both</w:t>
      </w:r>
      <w:r w:rsidR="00AD74CF">
        <w:t xml:space="preserve"> were injured</w:t>
      </w:r>
      <w:r w:rsidR="00A725F5">
        <w:t xml:space="preserve"> when the ambulance was in an accident.  The </w:t>
      </w:r>
      <w:r w:rsidR="00A725F5">
        <w:rPr>
          <w:i/>
          <w:iCs/>
        </w:rPr>
        <w:t>Lopez</w:t>
      </w:r>
      <w:r w:rsidR="00A725F5">
        <w:t xml:space="preserve"> </w:t>
      </w:r>
      <w:r w:rsidR="009F2A26">
        <w:t>c</w:t>
      </w:r>
      <w:r w:rsidR="007C0648">
        <w:t>ourt</w:t>
      </w:r>
      <w:r w:rsidR="009D1E02">
        <w:t xml:space="preserve"> </w:t>
      </w:r>
      <w:r w:rsidR="00E7634B">
        <w:t>held, “</w:t>
      </w:r>
      <w:proofErr w:type="spellStart"/>
      <w:r w:rsidR="00FD1A1A">
        <w:t>M</w:t>
      </w:r>
      <w:r w:rsidR="00E7634B">
        <w:t>ICRA</w:t>
      </w:r>
      <w:r w:rsidR="009F2A26">
        <w:t>’</w:t>
      </w:r>
      <w:r w:rsidR="00E7634B">
        <w:t>s</w:t>
      </w:r>
      <w:proofErr w:type="spellEnd"/>
      <w:r w:rsidR="00E7634B">
        <w:t xml:space="preserve"> statute of limitations applie</w:t>
      </w:r>
      <w:r w:rsidR="00AD74CF">
        <w:t>s</w:t>
      </w:r>
      <w:r w:rsidR="00E7634B">
        <w:t xml:space="preserve"> to plaintiffs’ claims because their alleged injuries occurred while the EMT</w:t>
      </w:r>
      <w:r w:rsidR="009F2A26">
        <w:t>’</w:t>
      </w:r>
      <w:r w:rsidR="00E7634B">
        <w:t xml:space="preserve">s were rendering professional services by transporting plaintiffs in an ambulance. </w:t>
      </w:r>
      <w:r w:rsidR="009F2A26">
        <w:t xml:space="preserve"> </w:t>
      </w:r>
      <w:r w:rsidR="00E7634B">
        <w:t xml:space="preserve">Plaintiffs’ injuries resulted from </w:t>
      </w:r>
      <w:r w:rsidR="0092264E">
        <w:t>[]</w:t>
      </w:r>
      <w:r w:rsidR="00E7634B">
        <w:t xml:space="preserve"> negligence in the </w:t>
      </w:r>
      <w:r w:rsidR="005D2804">
        <w:t>‘</w:t>
      </w:r>
      <w:r w:rsidR="00E7634B">
        <w:t>use or maintenance of equipment [the ambulance] integrally related to [plaintiff</w:t>
      </w:r>
      <w:r w:rsidR="005D2804">
        <w:t>’</w:t>
      </w:r>
      <w:r w:rsidR="00E7634B">
        <w:t>s] medical diagnosis and treatment</w:t>
      </w:r>
      <w:r w:rsidR="00242AF6">
        <w:t>’</w:t>
      </w:r>
      <w:r w:rsidR="00E7634B">
        <w:t xml:space="preserve"> and therefore was professional negligence for the purposes of section 340.5. </w:t>
      </w:r>
      <w:r w:rsidR="009F2A26">
        <w:t xml:space="preserve"> </w:t>
      </w:r>
      <w:r w:rsidR="00242AF6">
        <w:t>[</w:t>
      </w:r>
      <w:r w:rsidR="009F2A26">
        <w:t>C</w:t>
      </w:r>
      <w:r w:rsidR="00242AF6">
        <w:t xml:space="preserve">itation.]” </w:t>
      </w:r>
      <w:r w:rsidR="00FE434F">
        <w:t xml:space="preserve"> </w:t>
      </w:r>
      <w:r w:rsidR="00E7634B">
        <w:t>(</w:t>
      </w:r>
      <w:r w:rsidR="00242AF6" w:rsidRPr="00242AF6">
        <w:rPr>
          <w:i/>
          <w:iCs/>
        </w:rPr>
        <w:t>Lopez</w:t>
      </w:r>
      <w:r w:rsidR="00242AF6" w:rsidRPr="00242AF6">
        <w:t>,</w:t>
      </w:r>
      <w:r w:rsidR="00242AF6" w:rsidRPr="00242AF6">
        <w:rPr>
          <w:i/>
          <w:iCs/>
        </w:rPr>
        <w:t xml:space="preserve"> supra</w:t>
      </w:r>
      <w:r w:rsidR="00242AF6">
        <w:t xml:space="preserve">, 89 Cal.App.5th </w:t>
      </w:r>
      <w:r w:rsidR="00E47E03">
        <w:t>at p.</w:t>
      </w:r>
      <w:r w:rsidR="00242AF6">
        <w:t xml:space="preserve"> 347</w:t>
      </w:r>
      <w:r w:rsidR="00BA519E">
        <w:t>.)</w:t>
      </w:r>
      <w:r w:rsidR="00AD74CF">
        <w:t xml:space="preserve">  </w:t>
      </w:r>
      <w:r w:rsidR="00412FA8">
        <w:t xml:space="preserve">The </w:t>
      </w:r>
      <w:r w:rsidR="009F2A26">
        <w:t>c</w:t>
      </w:r>
      <w:r w:rsidR="00412FA8">
        <w:t>ourt acknowledged that</w:t>
      </w:r>
      <w:r w:rsidR="00CE29E9">
        <w:t xml:space="preserve"> </w:t>
      </w:r>
      <w:r w:rsidR="00412FA8">
        <w:t xml:space="preserve">the son </w:t>
      </w:r>
      <w:r w:rsidR="00FD1A1A">
        <w:t>was not a patient</w:t>
      </w:r>
      <w:r w:rsidR="00CE29E9">
        <w:t>.  However, the court held that this fact “</w:t>
      </w:r>
      <w:r w:rsidR="00FD1A1A">
        <w:t xml:space="preserve">does not change our analysis because the injury to both plaintiffs occurred while defendant was using the ambulance to transport </w:t>
      </w:r>
      <w:r w:rsidR="00CB774D">
        <w:lastRenderedPageBreak/>
        <w:t>[the patient]</w:t>
      </w:r>
      <w:r w:rsidR="00FD1A1A">
        <w:t xml:space="preserve">. </w:t>
      </w:r>
      <w:r w:rsidR="009F2A26">
        <w:t xml:space="preserve"> </w:t>
      </w:r>
      <w:r w:rsidR="00FD1A1A">
        <w:t xml:space="preserve">Section 340.5 applies to negligent acts or omissions </w:t>
      </w:r>
      <w:r w:rsidR="003A0F8A">
        <w:t>‘</w:t>
      </w:r>
      <w:r w:rsidR="00FD1A1A">
        <w:t>in the rendering of professional services</w:t>
      </w:r>
      <w:r w:rsidR="003A0F8A">
        <w:t>’</w:t>
      </w:r>
      <w:r w:rsidR="00FD1A1A">
        <w:t xml:space="preserve"> but does not require the services to have been performed for the plaintiff.</w:t>
      </w:r>
      <w:r w:rsidR="009F2A26">
        <w:t xml:space="preserve"> </w:t>
      </w:r>
      <w:r w:rsidR="00FD1A1A">
        <w:t xml:space="preserve"> </w:t>
      </w:r>
      <w:r w:rsidR="009D581F">
        <w:t>[</w:t>
      </w:r>
      <w:r w:rsidR="009F2A26">
        <w:t>C</w:t>
      </w:r>
      <w:r w:rsidR="009D581F">
        <w:t>itations.]”  (</w:t>
      </w:r>
      <w:r w:rsidR="009D581F">
        <w:rPr>
          <w:i/>
          <w:iCs/>
        </w:rPr>
        <w:t>Id.</w:t>
      </w:r>
      <w:r w:rsidR="009D581F">
        <w:t xml:space="preserve"> at </w:t>
      </w:r>
      <w:r w:rsidR="009F2A26">
        <w:t xml:space="preserve">p. </w:t>
      </w:r>
      <w:r w:rsidR="00DB0CD0">
        <w:t xml:space="preserve">347, </w:t>
      </w:r>
      <w:r w:rsidR="009D581F">
        <w:t>fn. 6</w:t>
      </w:r>
      <w:r w:rsidR="00085142">
        <w:t xml:space="preserve">; see </w:t>
      </w:r>
      <w:r w:rsidR="00061A43" w:rsidRPr="00F43667">
        <w:rPr>
          <w:i/>
          <w:iCs/>
        </w:rPr>
        <w:t>Aldana, supra</w:t>
      </w:r>
      <w:r w:rsidR="00061A43" w:rsidRPr="00F43667">
        <w:t>, 2 Cal.App.5th at p. 8 [“MICRA is not limited to suits by patients”]</w:t>
      </w:r>
      <w:r w:rsidR="00061A43">
        <w:t xml:space="preserve">; </w:t>
      </w:r>
      <w:r w:rsidR="00F43667" w:rsidRPr="00F43667">
        <w:rPr>
          <w:i/>
          <w:iCs/>
        </w:rPr>
        <w:t>Canister, supra</w:t>
      </w:r>
      <w:r w:rsidR="00F43667" w:rsidRPr="00F43667">
        <w:t>, 160 Cal.App.4th at p. 407</w:t>
      </w:r>
      <w:r w:rsidR="00464C53">
        <w:t xml:space="preserve"> </w:t>
      </w:r>
      <w:r w:rsidR="00F43667" w:rsidRPr="00F43667">
        <w:t>[applying MICRA to claim by third party injured while defendant rendered professional services to another]</w:t>
      </w:r>
      <w:r w:rsidR="004E647B">
        <w:t>.)</w:t>
      </w:r>
    </w:p>
    <w:p w14:paraId="343DDA18" w14:textId="1D4CAF37" w:rsidR="00B416C4" w:rsidRDefault="00207E98" w:rsidP="00216B22">
      <w:r>
        <w:tab/>
      </w:r>
      <w:r w:rsidR="00BC0A78">
        <w:t xml:space="preserve">In both </w:t>
      </w:r>
      <w:r w:rsidR="00BC0A78" w:rsidRPr="00BC0A78">
        <w:rPr>
          <w:i/>
          <w:iCs/>
        </w:rPr>
        <w:t>Canister</w:t>
      </w:r>
      <w:r w:rsidR="00BC0A78">
        <w:t xml:space="preserve"> and in </w:t>
      </w:r>
      <w:r w:rsidR="00BC0A78" w:rsidRPr="00BC0A78">
        <w:rPr>
          <w:i/>
          <w:iCs/>
        </w:rPr>
        <w:t>Lopez</w:t>
      </w:r>
      <w:r w:rsidR="00BC0A78">
        <w:t xml:space="preserve">, the nonpatient was also a passenger in the ambulance.  </w:t>
      </w:r>
      <w:r w:rsidR="00BD26AC">
        <w:t xml:space="preserve">Here, plaintiff was not a passenger in the ambulance, but was injured by Tostado while Tostado was providing medical services.  </w:t>
      </w:r>
      <w:r w:rsidR="0034312F" w:rsidRPr="0034312F">
        <w:rPr>
          <w:i/>
          <w:iCs/>
        </w:rPr>
        <w:t>Canister</w:t>
      </w:r>
      <w:r w:rsidR="0034312F">
        <w:t xml:space="preserve"> focused on the foreseeability of the injury to a passenger</w:t>
      </w:r>
      <w:r>
        <w:t xml:space="preserve"> (</w:t>
      </w:r>
      <w:r w:rsidRPr="007E00AC">
        <w:rPr>
          <w:i/>
          <w:iCs/>
        </w:rPr>
        <w:t>Canister</w:t>
      </w:r>
      <w:r>
        <w:rPr>
          <w:i/>
          <w:iCs/>
        </w:rPr>
        <w:t>, supra</w:t>
      </w:r>
      <w:r w:rsidRPr="006932EF">
        <w:t xml:space="preserve">, </w:t>
      </w:r>
      <w:r w:rsidRPr="00076966">
        <w:t>160 Cal.App.4th at p</w:t>
      </w:r>
      <w:r>
        <w:t>p. 407-408)</w:t>
      </w:r>
      <w:r w:rsidR="008F0B89">
        <w:t xml:space="preserve">, while </w:t>
      </w:r>
      <w:r w:rsidR="008F0B89">
        <w:rPr>
          <w:i/>
          <w:iCs/>
        </w:rPr>
        <w:t>Lopez</w:t>
      </w:r>
      <w:r w:rsidR="008F0B89">
        <w:t xml:space="preserve"> adopted the </w:t>
      </w:r>
      <w:r w:rsidR="008F0B89">
        <w:rPr>
          <w:i/>
          <w:iCs/>
        </w:rPr>
        <w:t>Flores</w:t>
      </w:r>
      <w:r w:rsidR="009F5336">
        <w:t xml:space="preserve"> framework</w:t>
      </w:r>
      <w:r w:rsidR="00A161E8">
        <w:t xml:space="preserve"> and found that the passenger was injured due to negligence in the rendering of professional services</w:t>
      </w:r>
      <w:r w:rsidR="00C31C0D">
        <w:t xml:space="preserve"> and did not need to be the recipient of the services </w:t>
      </w:r>
      <w:r w:rsidR="00C64A39">
        <w:t>(</w:t>
      </w:r>
      <w:r w:rsidR="00C64A39" w:rsidRPr="00242AF6">
        <w:rPr>
          <w:i/>
          <w:iCs/>
        </w:rPr>
        <w:t>Lopez</w:t>
      </w:r>
      <w:r w:rsidR="00C64A39" w:rsidRPr="00242AF6">
        <w:t>,</w:t>
      </w:r>
      <w:r w:rsidR="00C64A39" w:rsidRPr="00242AF6">
        <w:rPr>
          <w:i/>
          <w:iCs/>
        </w:rPr>
        <w:t xml:space="preserve"> supra</w:t>
      </w:r>
      <w:r w:rsidR="00C64A39">
        <w:t>, 89 Cal.App.5th at p. 347)</w:t>
      </w:r>
      <w:r w:rsidR="005D3B5F">
        <w:t>.</w:t>
      </w:r>
      <w:r w:rsidR="00C64A39">
        <w:t xml:space="preserve">  Because neither </w:t>
      </w:r>
      <w:r w:rsidR="00C64A39">
        <w:rPr>
          <w:i/>
          <w:iCs/>
        </w:rPr>
        <w:t xml:space="preserve">Flores </w:t>
      </w:r>
      <w:r w:rsidR="00C64A39">
        <w:t xml:space="preserve">nor </w:t>
      </w:r>
      <w:r w:rsidR="00C64A39">
        <w:rPr>
          <w:i/>
          <w:iCs/>
        </w:rPr>
        <w:t xml:space="preserve">Lee </w:t>
      </w:r>
      <w:r w:rsidR="00C64A39">
        <w:t xml:space="preserve">considered </w:t>
      </w:r>
      <w:proofErr w:type="spellStart"/>
      <w:r w:rsidR="00C64A39">
        <w:t>MICRA’s</w:t>
      </w:r>
      <w:proofErr w:type="spellEnd"/>
      <w:r w:rsidR="00C64A39">
        <w:t xml:space="preserve"> applicability to nonpatients</w:t>
      </w:r>
      <w:r w:rsidR="00475168">
        <w:t xml:space="preserve">, we must agree with </w:t>
      </w:r>
      <w:r w:rsidR="00475168">
        <w:rPr>
          <w:i/>
          <w:iCs/>
        </w:rPr>
        <w:t xml:space="preserve">Canister </w:t>
      </w:r>
      <w:r w:rsidR="00475168" w:rsidRPr="00475168">
        <w:t xml:space="preserve">and </w:t>
      </w:r>
      <w:r w:rsidR="00475168">
        <w:rPr>
          <w:i/>
          <w:iCs/>
        </w:rPr>
        <w:t xml:space="preserve">Lopez </w:t>
      </w:r>
      <w:r w:rsidR="00475168">
        <w:t xml:space="preserve">and conclude that </w:t>
      </w:r>
      <w:r w:rsidR="00041709">
        <w:t xml:space="preserve">MICRA is not limited to suits by patients or to recipients of medical services </w:t>
      </w:r>
      <w:proofErr w:type="gramStart"/>
      <w:r w:rsidR="00041709">
        <w:t>as long as</w:t>
      </w:r>
      <w:proofErr w:type="gramEnd"/>
      <w:r w:rsidR="00041709">
        <w:t xml:space="preserve"> the plaintiff is injured</w:t>
      </w:r>
      <w:r w:rsidR="007E6DA5">
        <w:t xml:space="preserve"> due to negligence in the rendering of professional services</w:t>
      </w:r>
      <w:r w:rsidR="001D0F07">
        <w:t xml:space="preserve"> and his injuries were foreseeable</w:t>
      </w:r>
      <w:r w:rsidR="007E6DA5">
        <w:t>.</w:t>
      </w:r>
    </w:p>
    <w:p w14:paraId="72E5D322" w14:textId="2A5B78EE" w:rsidR="001D0F07" w:rsidRDefault="00207E98" w:rsidP="00216B22">
      <w:r>
        <w:tab/>
      </w:r>
      <w:r w:rsidR="005F4CF3">
        <w:t>The p</w:t>
      </w:r>
      <w:r w:rsidR="00BC02F9">
        <w:t xml:space="preserve">rovision of </w:t>
      </w:r>
      <w:r w:rsidR="005F4CF3">
        <w:t>ambulance services</w:t>
      </w:r>
      <w:r w:rsidR="00E335B3">
        <w:t xml:space="preserve"> involves driving on </w:t>
      </w:r>
      <w:r w:rsidR="00BF3E12">
        <w:t xml:space="preserve">the road, sometimes at a very high speed.  Getting a patient to the hospital </w:t>
      </w:r>
      <w:r w:rsidR="006537B9">
        <w:t>quickly is often as integral to the provision of this medical service as performing CPR or administering medication</w:t>
      </w:r>
      <w:r w:rsidR="00C974DE">
        <w:t xml:space="preserve"> intravenously.  It is</w:t>
      </w:r>
      <w:r w:rsidR="005E32A8">
        <w:t>,</w:t>
      </w:r>
      <w:r w:rsidR="00C974DE">
        <w:t xml:space="preserve"> therefore, entirely foreseeable that </w:t>
      </w:r>
      <w:r w:rsidR="00542A22">
        <w:t>collisions may occur where third parties are injured.</w:t>
      </w:r>
      <w:r w:rsidR="002E5833">
        <w:t xml:space="preserve">  The fact that Tostado was not driving quickly here</w:t>
      </w:r>
      <w:r w:rsidR="00C962EB">
        <w:t xml:space="preserve"> or that Gutierrez was in a separate vehicle rather than in the ambulance</w:t>
      </w:r>
      <w:r w:rsidR="002E5833">
        <w:t xml:space="preserve"> </w:t>
      </w:r>
      <w:r w:rsidR="00193E21">
        <w:t>does not change</w:t>
      </w:r>
      <w:r w:rsidR="004132BE">
        <w:t xml:space="preserve"> the analysis or our conclusion that</w:t>
      </w:r>
      <w:r w:rsidR="008D4CAA">
        <w:t xml:space="preserve"> third parties injured in a collision with an ambulance when it is rendering medical care</w:t>
      </w:r>
      <w:r w:rsidR="001D3F19">
        <w:t xml:space="preserve"> are subject to MICRA</w:t>
      </w:r>
      <w:r w:rsidR="002E5833">
        <w:t xml:space="preserve">.  </w:t>
      </w:r>
    </w:p>
    <w:p w14:paraId="68B63E37" w14:textId="0E8238A7" w:rsidR="00620F38" w:rsidRDefault="00207E98" w:rsidP="00216B22">
      <w:r>
        <w:tab/>
        <w:t>To hold otherwis</w:t>
      </w:r>
      <w:r>
        <w:t xml:space="preserve">e would lead to </w:t>
      </w:r>
      <w:r w:rsidR="002C599D">
        <w:t>unintended consequences</w:t>
      </w:r>
      <w:r>
        <w:t xml:space="preserve">.  </w:t>
      </w:r>
      <w:r w:rsidR="00782D26" w:rsidRPr="0034312F">
        <w:t>At</w:t>
      </w:r>
      <w:r w:rsidR="00782D26">
        <w:t xml:space="preserve"> oral argument </w:t>
      </w:r>
      <w:r w:rsidR="00D13188">
        <w:t>we</w:t>
      </w:r>
      <w:r w:rsidR="00782D26">
        <w:t xml:space="preserve"> </w:t>
      </w:r>
      <w:r w:rsidR="00EB44FE">
        <w:t xml:space="preserve">posed </w:t>
      </w:r>
      <w:r w:rsidR="00302CD9">
        <w:t>the following</w:t>
      </w:r>
      <w:r w:rsidR="00EB44FE">
        <w:t xml:space="preserve"> hypothetical to</w:t>
      </w:r>
      <w:r w:rsidR="00782D26">
        <w:t xml:space="preserve"> counsel</w:t>
      </w:r>
      <w:r w:rsidR="00910416">
        <w:t xml:space="preserve"> for Gutierrez</w:t>
      </w:r>
      <w:r w:rsidR="005D3B5F">
        <w:t xml:space="preserve">: </w:t>
      </w:r>
      <w:r w:rsidR="00302CD9">
        <w:t xml:space="preserve"> If a hospital attendant w</w:t>
      </w:r>
      <w:r>
        <w:t xml:space="preserve">ere </w:t>
      </w:r>
      <w:r w:rsidR="00302CD9">
        <w:lastRenderedPageBreak/>
        <w:t xml:space="preserve">wheeling a patient on a gurney down the hallway of the hospital </w:t>
      </w:r>
      <w:r w:rsidR="005A04DF">
        <w:t xml:space="preserve">at a high speed and ran into a </w:t>
      </w:r>
      <w:r w:rsidR="0020219B">
        <w:t xml:space="preserve">hospital </w:t>
      </w:r>
      <w:r w:rsidR="005A04DF">
        <w:t xml:space="preserve">visitor, injuring both the patient on the gurney and the </w:t>
      </w:r>
      <w:r w:rsidR="002D74EA">
        <w:t xml:space="preserve">nonpatient </w:t>
      </w:r>
      <w:r w:rsidR="001B582A">
        <w:t>visitor</w:t>
      </w:r>
      <w:r w:rsidR="002D74EA">
        <w:t xml:space="preserve">, would the </w:t>
      </w:r>
      <w:r w:rsidR="001B582A">
        <w:t>visitor</w:t>
      </w:r>
      <w:r w:rsidR="002D74EA">
        <w:t xml:space="preserve"> be subject to MICRA</w:t>
      </w:r>
      <w:r w:rsidR="007571CA">
        <w:t>,</w:t>
      </w:r>
      <w:r w:rsidR="002D74EA">
        <w:t xml:space="preserve"> or the </w:t>
      </w:r>
      <w:r w:rsidR="007571CA">
        <w:t>two</w:t>
      </w:r>
      <w:r w:rsidR="005D3B5F">
        <w:t>-</w:t>
      </w:r>
      <w:r w:rsidR="007571CA">
        <w:t>year</w:t>
      </w:r>
      <w:r w:rsidR="002D74EA">
        <w:t xml:space="preserve"> statute of limitation</w:t>
      </w:r>
      <w:r w:rsidR="00974923">
        <w:t>s</w:t>
      </w:r>
      <w:r w:rsidR="002D74EA">
        <w:t xml:space="preserve"> for general negligence?  </w:t>
      </w:r>
      <w:r>
        <w:t xml:space="preserve">Counsel </w:t>
      </w:r>
      <w:r w:rsidR="00E308F8">
        <w:t xml:space="preserve">for Gutierrez </w:t>
      </w:r>
      <w:r>
        <w:t>acknowledged that under their proposed approach of appl</w:t>
      </w:r>
      <w:r>
        <w:t xml:space="preserve">ying MICRA only to those owed </w:t>
      </w:r>
      <w:r w:rsidR="000D57D3">
        <w:t xml:space="preserve">a </w:t>
      </w:r>
      <w:r>
        <w:t>professional duty</w:t>
      </w:r>
      <w:r w:rsidR="00E50D44">
        <w:t xml:space="preserve"> by the medical provider</w:t>
      </w:r>
      <w:r>
        <w:t xml:space="preserve">, the third party would </w:t>
      </w:r>
      <w:r w:rsidR="00B55B65">
        <w:t>be subject to a general negligence statute of limitation</w:t>
      </w:r>
      <w:r w:rsidR="00974923">
        <w:t>s</w:t>
      </w:r>
      <w:r w:rsidR="00B55B65">
        <w:t xml:space="preserve">.  </w:t>
      </w:r>
      <w:r w:rsidR="005C3FF3">
        <w:t>Counsel’s concession</w:t>
      </w:r>
      <w:r w:rsidR="00B55B65">
        <w:t xml:space="preserve"> demonstrates the </w:t>
      </w:r>
      <w:r w:rsidR="00B10867">
        <w:t xml:space="preserve">untenability of such a result.  </w:t>
      </w:r>
      <w:r w:rsidR="00A140B0">
        <w:t>Under Gutierrez’s proposed approach, t</w:t>
      </w:r>
      <w:r w:rsidR="00B10867">
        <w:t xml:space="preserve">wo people </w:t>
      </w:r>
      <w:r w:rsidR="001F159E">
        <w:t xml:space="preserve">involved </w:t>
      </w:r>
      <w:r w:rsidR="00B10867">
        <w:t xml:space="preserve">in the same accident at the same time would be subject to </w:t>
      </w:r>
      <w:r w:rsidR="001F159E">
        <w:t xml:space="preserve">two </w:t>
      </w:r>
      <w:r w:rsidR="00B10867">
        <w:t>different statutes of limitations</w:t>
      </w:r>
      <w:r w:rsidR="001F159E">
        <w:t>, possibly resulting in two separate lawsuits with inconsistent judgments and greatly increased costs for all involved.</w:t>
      </w:r>
      <w:r w:rsidR="000D17A9">
        <w:t xml:space="preserve">  Such an outcome is inconsistent with the fundamental intent of MICRA</w:t>
      </w:r>
      <w:r w:rsidR="002250F2">
        <w:t xml:space="preserve"> to “</w:t>
      </w:r>
      <w:r w:rsidR="002250F2" w:rsidRPr="002250F2">
        <w:t xml:space="preserve">reduce the cost of medical malpractice insurance </w:t>
      </w:r>
      <w:r w:rsidR="002250F2">
        <w:t>‘</w:t>
      </w:r>
      <w:r w:rsidR="002250F2" w:rsidRPr="002250F2">
        <w:t>by limiting the amount and timing of recovery in cases of professional negligence</w:t>
      </w:r>
      <w:r w:rsidR="002250F2">
        <w:t>.</w:t>
      </w:r>
      <w:r w:rsidR="00E62B2B">
        <w:t>’</w:t>
      </w:r>
      <w:r w:rsidR="005D3B5F">
        <w:t xml:space="preserve">  [Citation</w:t>
      </w:r>
      <w:r w:rsidR="00DB0CD0">
        <w:t>s</w:t>
      </w:r>
      <w:r w:rsidR="005D3B5F">
        <w:t>.]</w:t>
      </w:r>
      <w:r w:rsidR="00E62B2B">
        <w:t>”  (</w:t>
      </w:r>
      <w:r w:rsidR="002250F2" w:rsidRPr="002250F2">
        <w:rPr>
          <w:i/>
          <w:iCs/>
        </w:rPr>
        <w:t>Flores</w:t>
      </w:r>
      <w:r w:rsidR="00E62B2B">
        <w:rPr>
          <w:i/>
          <w:iCs/>
        </w:rPr>
        <w:t>, supra</w:t>
      </w:r>
      <w:r w:rsidR="00E62B2B" w:rsidRPr="006932EF">
        <w:t>,</w:t>
      </w:r>
      <w:r w:rsidR="002250F2" w:rsidRPr="002250F2">
        <w:rPr>
          <w:i/>
          <w:iCs/>
        </w:rPr>
        <w:t xml:space="preserve"> </w:t>
      </w:r>
      <w:r w:rsidR="002250F2" w:rsidRPr="002250F2">
        <w:t xml:space="preserve">63 Cal.4th </w:t>
      </w:r>
      <w:r w:rsidR="00E62B2B">
        <w:t>at p.</w:t>
      </w:r>
      <w:r w:rsidR="002250F2" w:rsidRPr="002250F2">
        <w:t xml:space="preserve"> 81</w:t>
      </w:r>
      <w:r w:rsidR="00E62B2B">
        <w:t>.)</w:t>
      </w:r>
    </w:p>
    <w:p w14:paraId="68E47FA7" w14:textId="34C41225" w:rsidR="00F33229" w:rsidRDefault="00207E98" w:rsidP="0039793E">
      <w:r>
        <w:tab/>
      </w:r>
      <w:r w:rsidR="006A4F87">
        <w:t xml:space="preserve">For these reasons, </w:t>
      </w:r>
      <w:proofErr w:type="spellStart"/>
      <w:r>
        <w:t>Guttierez’s</w:t>
      </w:r>
      <w:proofErr w:type="spellEnd"/>
      <w:r>
        <w:t xml:space="preserve"> reliance on </w:t>
      </w:r>
      <w:r w:rsidR="000B130C" w:rsidRPr="000B130C">
        <w:rPr>
          <w:i/>
          <w:iCs/>
        </w:rPr>
        <w:t>Johnson v. Open Door Community Health Centers</w:t>
      </w:r>
      <w:r w:rsidR="000B130C">
        <w:t xml:space="preserve"> (2017) 15 Cal.App.5th 153</w:t>
      </w:r>
      <w:r w:rsidR="00F968C5">
        <w:t xml:space="preserve"> </w:t>
      </w:r>
      <w:r w:rsidR="003762C1">
        <w:t xml:space="preserve">and on </w:t>
      </w:r>
      <w:r w:rsidR="003762C1" w:rsidRPr="00AE3BC5">
        <w:rPr>
          <w:i/>
          <w:iCs/>
        </w:rPr>
        <w:t>Aldana</w:t>
      </w:r>
      <w:r w:rsidR="003762C1">
        <w:rPr>
          <w:i/>
          <w:iCs/>
        </w:rPr>
        <w:t xml:space="preserve"> </w:t>
      </w:r>
      <w:r w:rsidR="00B01B26">
        <w:t xml:space="preserve">to argue that </w:t>
      </w:r>
      <w:r w:rsidR="009123B8">
        <w:t>driving safely is a</w:t>
      </w:r>
      <w:r w:rsidR="00151803">
        <w:t>n overlapping</w:t>
      </w:r>
      <w:r w:rsidR="009123B8">
        <w:t xml:space="preserve"> duty Tostado owed to the </w:t>
      </w:r>
      <w:proofErr w:type="gramStart"/>
      <w:r w:rsidR="009123B8">
        <w:t>general public</w:t>
      </w:r>
      <w:proofErr w:type="gramEnd"/>
      <w:r w:rsidR="009123B8">
        <w:t>, not a specific duty he owed by virtue of his role as a healthcare provider</w:t>
      </w:r>
      <w:r w:rsidR="00F20168">
        <w:t>,</w:t>
      </w:r>
      <w:r w:rsidR="000268FA">
        <w:t xml:space="preserve"> is </w:t>
      </w:r>
      <w:r w:rsidR="00C015E8">
        <w:t>misplaced</w:t>
      </w:r>
      <w:r w:rsidR="009123B8">
        <w:t xml:space="preserve">. </w:t>
      </w:r>
      <w:r w:rsidR="00DE39A9">
        <w:t xml:space="preserve"> </w:t>
      </w:r>
      <w:r w:rsidR="00E3577D">
        <w:t>Simply because there is a</w:t>
      </w:r>
      <w:r w:rsidR="007F01E3">
        <w:t>lso a</w:t>
      </w:r>
      <w:r w:rsidR="00E3577D">
        <w:t xml:space="preserve"> general duty owed to the public to drive safely does not negate </w:t>
      </w:r>
      <w:r w:rsidR="002F074B">
        <w:t>the fact that</w:t>
      </w:r>
      <w:r w:rsidR="00761DB6">
        <w:t xml:space="preserve"> the conduct at issue in this case was integral to the provision of medical care.  A</w:t>
      </w:r>
      <w:r w:rsidR="002F074B">
        <w:t xml:space="preserve">s explained in </w:t>
      </w:r>
      <w:r w:rsidR="002F074B">
        <w:rPr>
          <w:i/>
          <w:iCs/>
        </w:rPr>
        <w:t>Flores</w:t>
      </w:r>
      <w:r w:rsidR="002F074B">
        <w:t xml:space="preserve">, </w:t>
      </w:r>
      <w:r w:rsidR="00A05B27">
        <w:t>even when there is a general duty to the public to maintain safe premises, MICRA applies where equipment is “</w:t>
      </w:r>
      <w:r w:rsidR="00A05B27" w:rsidRPr="00357022">
        <w:t xml:space="preserve">integrally related to </w:t>
      </w:r>
      <w:r w:rsidR="00A05B27">
        <w:t xml:space="preserve">[a patient’s] </w:t>
      </w:r>
      <w:r w:rsidR="00A05B27" w:rsidRPr="00357022">
        <w:t>medical diagnosis and treatment</w:t>
      </w:r>
      <w:r w:rsidR="00A05B27">
        <w:t>.”  (</w:t>
      </w:r>
      <w:r w:rsidR="00A05B27" w:rsidRPr="00B66F33">
        <w:rPr>
          <w:i/>
          <w:iCs/>
        </w:rPr>
        <w:t>Flores</w:t>
      </w:r>
      <w:r w:rsidR="00A05B27" w:rsidRPr="00D54024">
        <w:t>,</w:t>
      </w:r>
      <w:r w:rsidR="00A05B27" w:rsidRPr="00B66F33">
        <w:rPr>
          <w:i/>
          <w:iCs/>
        </w:rPr>
        <w:t xml:space="preserve"> supra</w:t>
      </w:r>
      <w:r w:rsidR="00A05B27">
        <w:t xml:space="preserve">, 63 Cal.4th at pp. 88-89; </w:t>
      </w:r>
      <w:r w:rsidR="00A05B27" w:rsidRPr="00B66F33">
        <w:rPr>
          <w:i/>
          <w:iCs/>
        </w:rPr>
        <w:t>Lopez</w:t>
      </w:r>
      <w:r w:rsidR="00A05B27" w:rsidRPr="00D54024">
        <w:t xml:space="preserve">, </w:t>
      </w:r>
      <w:r w:rsidR="00A05B27" w:rsidRPr="00B66F33">
        <w:rPr>
          <w:i/>
          <w:iCs/>
        </w:rPr>
        <w:t>supra</w:t>
      </w:r>
      <w:r w:rsidR="00A05B27">
        <w:t xml:space="preserve">, 89 Cal.App.5th at p. 347 [relying on </w:t>
      </w:r>
      <w:r w:rsidR="00A05B27" w:rsidRPr="00E71B67">
        <w:rPr>
          <w:i/>
          <w:iCs/>
        </w:rPr>
        <w:t>Flores</w:t>
      </w:r>
      <w:r w:rsidR="00A05B27">
        <w:t xml:space="preserve"> to conclude that ambulance transport is “integrally related” to a patient’s medical diagnosis and treatment].)</w:t>
      </w:r>
      <w:r w:rsidR="00646B37">
        <w:t xml:space="preserve">  </w:t>
      </w:r>
      <w:proofErr w:type="gramStart"/>
      <w:r w:rsidR="005B3457">
        <w:t>Similarly</w:t>
      </w:r>
      <w:proofErr w:type="gramEnd"/>
      <w:r w:rsidR="00843A6A">
        <w:t xml:space="preserve"> here, e</w:t>
      </w:r>
      <w:r w:rsidR="00646B37">
        <w:t>ven though Tostado may owe a duty to the public to drive the ambulance safely when not in use for medical care, t</w:t>
      </w:r>
      <w:r w:rsidR="002F074B">
        <w:t>he injury to Gutierrez occurred</w:t>
      </w:r>
      <w:r w:rsidR="00230F53">
        <w:t xml:space="preserve"> while Tostado</w:t>
      </w:r>
      <w:r w:rsidR="008E672C">
        <w:t>, a medical provider</w:t>
      </w:r>
      <w:r w:rsidR="00CD1904">
        <w:t>,</w:t>
      </w:r>
      <w:r w:rsidR="00230F53">
        <w:t xml:space="preserve"> was performing </w:t>
      </w:r>
      <w:r w:rsidR="00961993">
        <w:t>the</w:t>
      </w:r>
      <w:r w:rsidR="00230F53">
        <w:t xml:space="preserve"> integral </w:t>
      </w:r>
      <w:r w:rsidR="00230F53">
        <w:lastRenderedPageBreak/>
        <w:t xml:space="preserve">function </w:t>
      </w:r>
      <w:r w:rsidR="006571AB">
        <w:t xml:space="preserve">of </w:t>
      </w:r>
      <w:r w:rsidR="00CC68BA">
        <w:t>transporting a patient</w:t>
      </w:r>
      <w:r w:rsidR="005B3457">
        <w:t xml:space="preserve"> by ambulance</w:t>
      </w:r>
      <w:r w:rsidR="006571AB">
        <w:t xml:space="preserve">. </w:t>
      </w:r>
      <w:r w:rsidR="00BC6FD4">
        <w:t xml:space="preserve"> </w:t>
      </w:r>
      <w:r w:rsidR="00E7138E">
        <w:t xml:space="preserve">The trial court correctly concluded that </w:t>
      </w:r>
      <w:proofErr w:type="spellStart"/>
      <w:r w:rsidR="00E7138E">
        <w:t>MICRA’s</w:t>
      </w:r>
      <w:proofErr w:type="spellEnd"/>
      <w:r w:rsidR="00E7138E">
        <w:t xml:space="preserve"> one-year statute of limitations applied to </w:t>
      </w:r>
      <w:r w:rsidR="00443F6F">
        <w:t>Gutierrez’s</w:t>
      </w:r>
      <w:r w:rsidR="00E7138E">
        <w:t xml:space="preserve"> negligence claims.</w:t>
      </w:r>
    </w:p>
    <w:p w14:paraId="35923185" w14:textId="378F8816" w:rsidR="00B707D9" w:rsidRPr="00376C58" w:rsidRDefault="00207E98" w:rsidP="0020764E">
      <w:pPr>
        <w:pStyle w:val="ListParagraph"/>
        <w:numPr>
          <w:ilvl w:val="0"/>
          <w:numId w:val="6"/>
        </w:numPr>
        <w:jc w:val="center"/>
        <w:rPr>
          <w:b/>
          <w:smallCaps/>
        </w:rPr>
      </w:pPr>
      <w:r w:rsidRPr="00376C58">
        <w:rPr>
          <w:b/>
          <w:smallCaps/>
        </w:rPr>
        <w:t>Disposition</w:t>
      </w:r>
    </w:p>
    <w:p w14:paraId="04240F83" w14:textId="37FE1913" w:rsidR="007D4558" w:rsidRDefault="00207E98" w:rsidP="007D4558">
      <w:r>
        <w:tab/>
      </w:r>
      <w:r>
        <w:t xml:space="preserve">The judgment is affirmed. </w:t>
      </w:r>
      <w:r w:rsidR="00D714CE">
        <w:t xml:space="preserve"> </w:t>
      </w:r>
    </w:p>
    <w:p w14:paraId="5DE43488" w14:textId="77777777" w:rsidR="00DB5D4B" w:rsidRDefault="00DB5D4B" w:rsidP="007D4558">
      <w:pPr>
        <w:sectPr w:rsidR="00DB5D4B" w:rsidSect="00342E85">
          <w:footerReference w:type="default" r:id="rId8"/>
          <w:pgSz w:w="12240" w:h="15840"/>
          <w:pgMar w:top="1440" w:right="1440" w:bottom="1440" w:left="1440" w:header="720" w:footer="720" w:gutter="0"/>
          <w:cols w:space="720"/>
          <w:titlePg/>
          <w:docGrid w:linePitch="360"/>
        </w:sectPr>
      </w:pPr>
    </w:p>
    <w:p w14:paraId="39F992FB"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36886740"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29EDC157" w14:textId="77777777" w:rsidR="00DB5D4B" w:rsidRPr="00DB5D4B" w:rsidRDefault="00207E98" w:rsidP="00DB5D4B">
      <w:pPr>
        <w:widowControl w:val="0"/>
        <w:tabs>
          <w:tab w:val="clear" w:pos="720"/>
        </w:tabs>
        <w:autoSpaceDE w:val="0"/>
        <w:autoSpaceDN w:val="0"/>
        <w:spacing w:line="240" w:lineRule="auto"/>
        <w:ind w:left="3600" w:firstLine="720"/>
        <w:rPr>
          <w:rFonts w:eastAsia="Times New Roman"/>
          <w:szCs w:val="26"/>
        </w:rPr>
      </w:pPr>
      <w:r w:rsidRPr="00DB5D4B">
        <w:rPr>
          <w:rFonts w:eastAsia="Times New Roman"/>
          <w:szCs w:val="26"/>
        </w:rPr>
        <w:t>_______________________________</w:t>
      </w:r>
    </w:p>
    <w:p w14:paraId="211EFE33" w14:textId="77777777" w:rsidR="00DB5D4B" w:rsidRPr="00DB5D4B" w:rsidRDefault="00207E98" w:rsidP="00DB5D4B">
      <w:pPr>
        <w:widowControl w:val="0"/>
        <w:tabs>
          <w:tab w:val="clear" w:pos="720"/>
        </w:tabs>
        <w:autoSpaceDE w:val="0"/>
        <w:autoSpaceDN w:val="0"/>
        <w:spacing w:line="240" w:lineRule="auto"/>
        <w:rPr>
          <w:rFonts w:eastAsia="Times New Roman"/>
          <w:sz w:val="20"/>
          <w:szCs w:val="26"/>
        </w:rPr>
      </w:pPr>
      <w:r w:rsidRPr="00DB5D4B">
        <w:rPr>
          <w:rFonts w:eastAsia="Times New Roman"/>
          <w:szCs w:val="26"/>
        </w:rPr>
        <w:t xml:space="preserve">   </w:t>
      </w:r>
      <w:r w:rsidRPr="00DB5D4B">
        <w:rPr>
          <w:rFonts w:eastAsia="Times New Roman"/>
          <w:szCs w:val="26"/>
        </w:rPr>
        <w:tab/>
      </w:r>
      <w:r w:rsidRPr="00DB5D4B">
        <w:rPr>
          <w:rFonts w:eastAsia="Times New Roman"/>
          <w:szCs w:val="26"/>
        </w:rPr>
        <w:tab/>
      </w:r>
      <w:r w:rsidRPr="00DB5D4B">
        <w:rPr>
          <w:rFonts w:eastAsia="Times New Roman"/>
          <w:szCs w:val="26"/>
        </w:rPr>
        <w:tab/>
      </w:r>
      <w:r w:rsidRPr="00DB5D4B">
        <w:rPr>
          <w:rFonts w:eastAsia="Times New Roman"/>
          <w:szCs w:val="26"/>
        </w:rPr>
        <w:tab/>
      </w:r>
      <w:r w:rsidRPr="00DB5D4B">
        <w:rPr>
          <w:rFonts w:eastAsia="Times New Roman"/>
          <w:szCs w:val="26"/>
        </w:rPr>
        <w:tab/>
        <w:t xml:space="preserve"> </w:t>
      </w:r>
      <w:r w:rsidRPr="00DB5D4B">
        <w:rPr>
          <w:rFonts w:eastAsia="Times New Roman"/>
          <w:szCs w:val="26"/>
        </w:rPr>
        <w:tab/>
        <w:t xml:space="preserve">   Greenwood, P. J.</w:t>
      </w:r>
    </w:p>
    <w:p w14:paraId="3D0AAAF7"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5D4DA7A9"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0725E7BF"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54384CB3"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0EE33F5B"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3F022EBF"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51C82110" w14:textId="77777777" w:rsidR="00DB5D4B" w:rsidRPr="00DB5D4B" w:rsidRDefault="00DB5D4B" w:rsidP="00DB5D4B">
      <w:pPr>
        <w:widowControl w:val="0"/>
        <w:tabs>
          <w:tab w:val="clear" w:pos="720"/>
        </w:tabs>
        <w:autoSpaceDE w:val="0"/>
        <w:autoSpaceDN w:val="0"/>
        <w:spacing w:before="2" w:line="240" w:lineRule="auto"/>
        <w:rPr>
          <w:rFonts w:eastAsia="Times New Roman"/>
          <w:sz w:val="16"/>
          <w:szCs w:val="26"/>
        </w:rPr>
      </w:pPr>
    </w:p>
    <w:p w14:paraId="05A94E30" w14:textId="77777777" w:rsidR="00DB5D4B" w:rsidRPr="00DB5D4B" w:rsidRDefault="00207E98" w:rsidP="00DB5D4B">
      <w:pPr>
        <w:widowControl w:val="0"/>
        <w:tabs>
          <w:tab w:val="clear" w:pos="720"/>
        </w:tabs>
        <w:autoSpaceDE w:val="0"/>
        <w:autoSpaceDN w:val="0"/>
        <w:spacing w:before="89" w:line="240" w:lineRule="auto"/>
        <w:ind w:left="112"/>
        <w:rPr>
          <w:rFonts w:eastAsia="Times New Roman"/>
          <w:szCs w:val="26"/>
        </w:rPr>
      </w:pPr>
      <w:r w:rsidRPr="00DB5D4B">
        <w:rPr>
          <w:rFonts w:eastAsia="Times New Roman"/>
          <w:szCs w:val="26"/>
        </w:rPr>
        <w:t xml:space="preserve">I </w:t>
      </w:r>
      <w:r w:rsidRPr="00DB5D4B">
        <w:rPr>
          <w:rFonts w:eastAsia="Times New Roman"/>
          <w:spacing w:val="-2"/>
          <w:szCs w:val="26"/>
        </w:rPr>
        <w:t>CONCUR:</w:t>
      </w:r>
    </w:p>
    <w:p w14:paraId="4B294614"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0972416A"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7F44324E"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764AE061"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318EE7CB"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525F28A4"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27A709E0"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4E32983D"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0607290A"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5BBE260B"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28C663CA" w14:textId="77777777" w:rsidR="00DB5D4B" w:rsidRPr="00DB5D4B" w:rsidRDefault="00207E98" w:rsidP="00DB5D4B">
      <w:pPr>
        <w:widowControl w:val="0"/>
        <w:tabs>
          <w:tab w:val="clear" w:pos="720"/>
        </w:tabs>
        <w:autoSpaceDE w:val="0"/>
        <w:autoSpaceDN w:val="0"/>
        <w:spacing w:line="240" w:lineRule="auto"/>
        <w:rPr>
          <w:rFonts w:eastAsia="Times New Roman"/>
          <w:szCs w:val="26"/>
        </w:rPr>
      </w:pPr>
      <w:r w:rsidRPr="00DB5D4B">
        <w:rPr>
          <w:rFonts w:eastAsia="Times New Roman"/>
          <w:szCs w:val="26"/>
        </w:rPr>
        <w:t>_______________________________</w:t>
      </w:r>
    </w:p>
    <w:p w14:paraId="5DEF1685" w14:textId="77777777" w:rsidR="00DB5D4B" w:rsidRPr="00DB5D4B" w:rsidRDefault="00207E98" w:rsidP="00DB5D4B">
      <w:pPr>
        <w:widowControl w:val="0"/>
        <w:tabs>
          <w:tab w:val="clear" w:pos="720"/>
        </w:tabs>
        <w:autoSpaceDE w:val="0"/>
        <w:autoSpaceDN w:val="0"/>
        <w:spacing w:line="240" w:lineRule="auto"/>
        <w:rPr>
          <w:rFonts w:eastAsia="Times New Roman"/>
          <w:szCs w:val="26"/>
        </w:rPr>
      </w:pPr>
      <w:r w:rsidRPr="00DB5D4B">
        <w:rPr>
          <w:rFonts w:eastAsia="Times New Roman"/>
          <w:szCs w:val="26"/>
        </w:rPr>
        <w:t xml:space="preserve">    Grover, J. </w:t>
      </w:r>
    </w:p>
    <w:p w14:paraId="383FD9DD"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0495BC32"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7F617385"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5899BFB5"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1D5C6F7A"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7E2D644C"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2E6DB4AB"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41B8BDBE"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6753EFA6"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1A1D940A" w14:textId="77777777" w:rsidR="00DB5D4B" w:rsidRPr="00DB5D4B" w:rsidRDefault="00DB5D4B" w:rsidP="00DB5D4B">
      <w:pPr>
        <w:widowControl w:val="0"/>
        <w:tabs>
          <w:tab w:val="clear" w:pos="720"/>
        </w:tabs>
        <w:autoSpaceDE w:val="0"/>
        <w:autoSpaceDN w:val="0"/>
        <w:spacing w:line="240" w:lineRule="auto"/>
        <w:rPr>
          <w:rFonts w:eastAsia="Times New Roman"/>
          <w:sz w:val="20"/>
          <w:szCs w:val="26"/>
        </w:rPr>
      </w:pPr>
    </w:p>
    <w:p w14:paraId="7BC50A36" w14:textId="77777777" w:rsidR="00DB5D4B" w:rsidRPr="00DB5D4B" w:rsidRDefault="00DB5D4B" w:rsidP="00DB5D4B">
      <w:pPr>
        <w:widowControl w:val="0"/>
        <w:tabs>
          <w:tab w:val="clear" w:pos="720"/>
        </w:tabs>
        <w:autoSpaceDE w:val="0"/>
        <w:autoSpaceDN w:val="0"/>
        <w:spacing w:line="240" w:lineRule="auto"/>
        <w:rPr>
          <w:rFonts w:eastAsia="Times New Roman"/>
          <w:szCs w:val="26"/>
        </w:rPr>
      </w:pPr>
    </w:p>
    <w:p w14:paraId="5125BDDD" w14:textId="77777777" w:rsidR="00DB5D4B" w:rsidRPr="00DB5D4B" w:rsidRDefault="00DB5D4B" w:rsidP="00DB5D4B">
      <w:pPr>
        <w:widowControl w:val="0"/>
        <w:tabs>
          <w:tab w:val="clear" w:pos="720"/>
        </w:tabs>
        <w:autoSpaceDE w:val="0"/>
        <w:autoSpaceDN w:val="0"/>
        <w:spacing w:line="240" w:lineRule="auto"/>
        <w:rPr>
          <w:rFonts w:eastAsia="Times New Roman"/>
          <w:szCs w:val="26"/>
        </w:rPr>
      </w:pPr>
    </w:p>
    <w:p w14:paraId="2FF1B80E" w14:textId="77777777" w:rsidR="00DB5D4B" w:rsidRPr="00DB5D4B" w:rsidRDefault="00DB5D4B" w:rsidP="00DB5D4B">
      <w:pPr>
        <w:widowControl w:val="0"/>
        <w:tabs>
          <w:tab w:val="clear" w:pos="720"/>
        </w:tabs>
        <w:autoSpaceDE w:val="0"/>
        <w:autoSpaceDN w:val="0"/>
        <w:spacing w:line="240" w:lineRule="auto"/>
        <w:rPr>
          <w:rFonts w:eastAsia="Times New Roman"/>
          <w:szCs w:val="26"/>
        </w:rPr>
      </w:pPr>
    </w:p>
    <w:p w14:paraId="672EB2B9" w14:textId="77777777" w:rsidR="00DB5D4B" w:rsidRPr="00DB5D4B" w:rsidRDefault="00DB5D4B" w:rsidP="00DB5D4B">
      <w:pPr>
        <w:widowControl w:val="0"/>
        <w:tabs>
          <w:tab w:val="clear" w:pos="720"/>
        </w:tabs>
        <w:autoSpaceDE w:val="0"/>
        <w:autoSpaceDN w:val="0"/>
        <w:spacing w:line="240" w:lineRule="auto"/>
        <w:rPr>
          <w:rFonts w:eastAsia="Times New Roman"/>
          <w:szCs w:val="26"/>
        </w:rPr>
      </w:pPr>
    </w:p>
    <w:p w14:paraId="058B418C" w14:textId="77777777" w:rsidR="00DB5D4B" w:rsidRPr="00DB5D4B" w:rsidRDefault="00DB5D4B" w:rsidP="00DB5D4B">
      <w:pPr>
        <w:widowControl w:val="0"/>
        <w:tabs>
          <w:tab w:val="clear" w:pos="720"/>
        </w:tabs>
        <w:autoSpaceDE w:val="0"/>
        <w:autoSpaceDN w:val="0"/>
        <w:spacing w:line="240" w:lineRule="auto"/>
        <w:rPr>
          <w:rFonts w:eastAsia="Times New Roman"/>
          <w:szCs w:val="26"/>
        </w:rPr>
      </w:pPr>
    </w:p>
    <w:p w14:paraId="4A5E3F45" w14:textId="77777777" w:rsidR="00DB5D4B" w:rsidRPr="00DB5D4B" w:rsidRDefault="00DB5D4B" w:rsidP="00DB5D4B">
      <w:pPr>
        <w:widowControl w:val="0"/>
        <w:tabs>
          <w:tab w:val="clear" w:pos="720"/>
        </w:tabs>
        <w:autoSpaceDE w:val="0"/>
        <w:autoSpaceDN w:val="0"/>
        <w:spacing w:line="240" w:lineRule="auto"/>
        <w:rPr>
          <w:rFonts w:eastAsia="Times New Roman"/>
          <w:szCs w:val="26"/>
        </w:rPr>
      </w:pPr>
    </w:p>
    <w:p w14:paraId="1CAE28BD" w14:textId="77777777" w:rsidR="00DB5D4B" w:rsidRPr="00DB5D4B" w:rsidRDefault="00DB5D4B" w:rsidP="00DB5D4B">
      <w:pPr>
        <w:widowControl w:val="0"/>
        <w:tabs>
          <w:tab w:val="clear" w:pos="720"/>
        </w:tabs>
        <w:autoSpaceDE w:val="0"/>
        <w:autoSpaceDN w:val="0"/>
        <w:spacing w:line="240" w:lineRule="auto"/>
        <w:rPr>
          <w:rFonts w:eastAsia="Times New Roman"/>
          <w:szCs w:val="26"/>
        </w:rPr>
      </w:pPr>
    </w:p>
    <w:p w14:paraId="605D9900" w14:textId="77777777" w:rsidR="00DB5D4B" w:rsidRPr="00DB5D4B" w:rsidRDefault="00DB5D4B" w:rsidP="00DB5D4B">
      <w:pPr>
        <w:widowControl w:val="0"/>
        <w:tabs>
          <w:tab w:val="clear" w:pos="720"/>
        </w:tabs>
        <w:autoSpaceDE w:val="0"/>
        <w:autoSpaceDN w:val="0"/>
        <w:spacing w:line="240" w:lineRule="auto"/>
        <w:rPr>
          <w:rFonts w:eastAsia="Times New Roman"/>
          <w:szCs w:val="26"/>
        </w:rPr>
      </w:pPr>
    </w:p>
    <w:p w14:paraId="01C373A3" w14:textId="77777777" w:rsidR="00DB5D4B" w:rsidRPr="00DB5D4B" w:rsidRDefault="00DB5D4B" w:rsidP="00DB5D4B">
      <w:pPr>
        <w:widowControl w:val="0"/>
        <w:tabs>
          <w:tab w:val="clear" w:pos="720"/>
        </w:tabs>
        <w:autoSpaceDE w:val="0"/>
        <w:autoSpaceDN w:val="0"/>
        <w:spacing w:line="240" w:lineRule="auto"/>
        <w:rPr>
          <w:rFonts w:eastAsia="Times New Roman"/>
          <w:szCs w:val="26"/>
        </w:rPr>
      </w:pPr>
    </w:p>
    <w:p w14:paraId="4237F780" w14:textId="77777777" w:rsidR="00DB5D4B" w:rsidRPr="00DB5D4B" w:rsidRDefault="00207E98" w:rsidP="00DB5D4B">
      <w:pPr>
        <w:widowControl w:val="0"/>
        <w:tabs>
          <w:tab w:val="clear" w:pos="720"/>
        </w:tabs>
        <w:autoSpaceDE w:val="0"/>
        <w:autoSpaceDN w:val="0"/>
        <w:spacing w:line="240" w:lineRule="auto"/>
        <w:rPr>
          <w:rFonts w:eastAsia="Times New Roman"/>
          <w:szCs w:val="26"/>
        </w:rPr>
      </w:pPr>
      <w:r w:rsidRPr="00DB5D4B">
        <w:rPr>
          <w:rFonts w:eastAsia="Times New Roman"/>
          <w:szCs w:val="26"/>
        </w:rPr>
        <w:t>H049983</w:t>
      </w:r>
    </w:p>
    <w:p w14:paraId="708564D3" w14:textId="33EFC68A" w:rsidR="00DB5D4B" w:rsidRDefault="00207E98" w:rsidP="00DB5D4B">
      <w:pPr>
        <w:spacing w:line="240" w:lineRule="auto"/>
        <w:sectPr w:rsidR="00DB5D4B" w:rsidSect="00342E85">
          <w:pgSz w:w="12240" w:h="15840"/>
          <w:pgMar w:top="1440" w:right="1440" w:bottom="1440" w:left="1440" w:header="720" w:footer="720" w:gutter="0"/>
          <w:cols w:space="720"/>
          <w:titlePg/>
          <w:docGrid w:linePitch="360"/>
        </w:sectPr>
      </w:pPr>
      <w:r w:rsidRPr="00DB5D4B">
        <w:rPr>
          <w:rFonts w:eastAsia="Times New Roman"/>
          <w:szCs w:val="26"/>
        </w:rPr>
        <w:t>Gutierrez v. Tostado, et</w:t>
      </w:r>
      <w:r>
        <w:rPr>
          <w:rFonts w:eastAsia="Times New Roman"/>
          <w:szCs w:val="26"/>
        </w:rPr>
        <w:t xml:space="preserve"> al.</w:t>
      </w:r>
    </w:p>
    <w:p w14:paraId="371C581B" w14:textId="77777777" w:rsidR="00D646FF" w:rsidRPr="00D646FF" w:rsidRDefault="00207E98" w:rsidP="00D646FF">
      <w:pPr>
        <w:tabs>
          <w:tab w:val="clear" w:pos="720"/>
        </w:tabs>
        <w:spacing w:line="480" w:lineRule="exact"/>
        <w:rPr>
          <w:szCs w:val="26"/>
        </w:rPr>
      </w:pPr>
      <w:r w:rsidRPr="00D646FF">
        <w:rPr>
          <w:szCs w:val="26"/>
        </w:rPr>
        <w:lastRenderedPageBreak/>
        <w:t>Bromberg, J., dissenting.</w:t>
      </w:r>
    </w:p>
    <w:p w14:paraId="556CD4CE" w14:textId="77777777" w:rsidR="00D646FF" w:rsidRPr="00D646FF" w:rsidRDefault="00207E98" w:rsidP="00D646FF">
      <w:pPr>
        <w:tabs>
          <w:tab w:val="clear" w:pos="720"/>
        </w:tabs>
        <w:spacing w:line="480" w:lineRule="exact"/>
        <w:ind w:firstLine="720"/>
        <w:rPr>
          <w:szCs w:val="26"/>
        </w:rPr>
      </w:pPr>
      <w:r w:rsidRPr="00D646FF">
        <w:rPr>
          <w:szCs w:val="26"/>
        </w:rPr>
        <w:t>I respectfully dissent.  The majority interprets the statute of limitations in the Medical Injury Compensation Reform Act (MICRA) (Code Civ. Proc., § 340.5) to apply whenever a claim involves c</w:t>
      </w:r>
      <w:r w:rsidRPr="00D646FF">
        <w:rPr>
          <w:szCs w:val="26"/>
        </w:rPr>
        <w:t xml:space="preserve">onduct constituting professional negligence under MICRA.  This interpretation extends </w:t>
      </w:r>
      <w:proofErr w:type="spellStart"/>
      <w:r w:rsidRPr="00D646FF">
        <w:rPr>
          <w:szCs w:val="26"/>
        </w:rPr>
        <w:t>MICRA’s</w:t>
      </w:r>
      <w:proofErr w:type="spellEnd"/>
      <w:r w:rsidRPr="00D646FF">
        <w:rPr>
          <w:szCs w:val="26"/>
        </w:rPr>
        <w:t xml:space="preserve"> statute of limitations unpredictably and unfairly.  It also departs from the Supreme Court’s approach to a similarly worded statute of limitations in </w:t>
      </w:r>
      <w:r w:rsidRPr="00D646FF">
        <w:rPr>
          <w:i/>
          <w:iCs/>
          <w:szCs w:val="26"/>
        </w:rPr>
        <w:t>Lee v. Hanle</w:t>
      </w:r>
      <w:r w:rsidRPr="00D646FF">
        <w:rPr>
          <w:i/>
          <w:iCs/>
          <w:szCs w:val="26"/>
        </w:rPr>
        <w:t xml:space="preserve">y </w:t>
      </w:r>
      <w:r w:rsidRPr="00D646FF">
        <w:rPr>
          <w:szCs w:val="26"/>
        </w:rPr>
        <w:t>(2015) 61 Cal.4th 1225 (</w:t>
      </w:r>
      <w:r w:rsidRPr="00D646FF">
        <w:rPr>
          <w:i/>
          <w:iCs/>
          <w:szCs w:val="26"/>
        </w:rPr>
        <w:t>Lee</w:t>
      </w:r>
      <w:r w:rsidRPr="00D646FF">
        <w:rPr>
          <w:szCs w:val="26"/>
        </w:rPr>
        <w:t xml:space="preserve">) in favor of the </w:t>
      </w:r>
      <w:r w:rsidRPr="00D646FF">
        <w:rPr>
          <w:i/>
          <w:iCs/>
          <w:szCs w:val="26"/>
        </w:rPr>
        <w:t xml:space="preserve">Lee </w:t>
      </w:r>
      <w:r w:rsidRPr="00D646FF">
        <w:rPr>
          <w:szCs w:val="26"/>
        </w:rPr>
        <w:t xml:space="preserve">dissent’s approach.  In my view, we should follow the </w:t>
      </w:r>
      <w:r w:rsidRPr="00D646FF">
        <w:rPr>
          <w:i/>
          <w:iCs/>
          <w:szCs w:val="26"/>
        </w:rPr>
        <w:t xml:space="preserve">Lee </w:t>
      </w:r>
      <w:r w:rsidRPr="00D646FF">
        <w:rPr>
          <w:szCs w:val="26"/>
        </w:rPr>
        <w:t xml:space="preserve">majority. </w:t>
      </w:r>
    </w:p>
    <w:p w14:paraId="4B2CCA3D" w14:textId="77777777" w:rsidR="00D646FF" w:rsidRPr="00D646FF" w:rsidRDefault="00207E98" w:rsidP="00D646FF">
      <w:pPr>
        <w:tabs>
          <w:tab w:val="clear" w:pos="720"/>
        </w:tabs>
        <w:spacing w:line="480" w:lineRule="exact"/>
        <w:ind w:firstLine="720"/>
        <w:rPr>
          <w:szCs w:val="26"/>
        </w:rPr>
      </w:pPr>
      <w:r w:rsidRPr="00D646FF">
        <w:rPr>
          <w:szCs w:val="26"/>
        </w:rPr>
        <w:t>This case arises out of a run</w:t>
      </w:r>
      <w:r w:rsidRPr="00D646FF">
        <w:rPr>
          <w:szCs w:val="26"/>
        </w:rPr>
        <w:noBreakHyphen/>
        <w:t>of</w:t>
      </w:r>
      <w:r w:rsidRPr="00D646FF">
        <w:rPr>
          <w:szCs w:val="26"/>
        </w:rPr>
        <w:noBreakHyphen/>
        <w:t>the</w:t>
      </w:r>
      <w:r w:rsidRPr="00D646FF">
        <w:rPr>
          <w:szCs w:val="26"/>
        </w:rPr>
        <w:noBreakHyphen/>
        <w:t>mill traffic accident involving an ambulance that happened to be transporting a patient on a non</w:t>
      </w:r>
      <w:r w:rsidRPr="00D646FF">
        <w:rPr>
          <w:szCs w:val="26"/>
        </w:rPr>
        <w:noBreakHyphen/>
      </w:r>
      <w:r w:rsidRPr="00D646FF">
        <w:rPr>
          <w:szCs w:val="26"/>
        </w:rPr>
        <w:t xml:space="preserve">emergency matter, presumably with its siren off.  </w:t>
      </w:r>
      <w:proofErr w:type="gramStart"/>
      <w:r w:rsidRPr="00D646FF">
        <w:rPr>
          <w:szCs w:val="26"/>
        </w:rPr>
        <w:t>As a consequence</w:t>
      </w:r>
      <w:proofErr w:type="gramEnd"/>
      <w:r w:rsidRPr="00D646FF">
        <w:rPr>
          <w:szCs w:val="26"/>
        </w:rPr>
        <w:t xml:space="preserve">, plaintiff Francisco Gutierrez had no way of knowing that the ambulance that rear ended him was transporting a patient and therefore no way of knowing that, under interpretation adopted by </w:t>
      </w:r>
      <w:r w:rsidRPr="00D646FF">
        <w:rPr>
          <w:szCs w:val="26"/>
        </w:rPr>
        <w:t xml:space="preserve">the majority, </w:t>
      </w:r>
      <w:proofErr w:type="spellStart"/>
      <w:r w:rsidRPr="00D646FF">
        <w:rPr>
          <w:szCs w:val="26"/>
        </w:rPr>
        <w:t>MICRA’s</w:t>
      </w:r>
      <w:proofErr w:type="spellEnd"/>
      <w:r w:rsidRPr="00D646FF">
        <w:rPr>
          <w:szCs w:val="26"/>
        </w:rPr>
        <w:t xml:space="preserve"> statute of limitations applies.  (It also would have been difficult for Gutierrez or his lawyer to determine that </w:t>
      </w:r>
      <w:proofErr w:type="spellStart"/>
      <w:r w:rsidRPr="00D646FF">
        <w:rPr>
          <w:szCs w:val="26"/>
        </w:rPr>
        <w:t>MICRA’s</w:t>
      </w:r>
      <w:proofErr w:type="spellEnd"/>
      <w:r w:rsidRPr="00D646FF">
        <w:rPr>
          <w:szCs w:val="26"/>
        </w:rPr>
        <w:t xml:space="preserve"> statute of limitations applies to claims against paramedics because paramedics are no longer included in the sta</w:t>
      </w:r>
      <w:r w:rsidRPr="00D646FF">
        <w:rPr>
          <w:szCs w:val="26"/>
        </w:rPr>
        <w:t xml:space="preserve">tutory provisions referenced by MICRA.  (See </w:t>
      </w:r>
      <w:r w:rsidRPr="00D646FF">
        <w:rPr>
          <w:i/>
          <w:iCs/>
          <w:szCs w:val="26"/>
        </w:rPr>
        <w:t>Canister v. Emergency Ambulance Service, Inc.</w:t>
      </w:r>
      <w:r w:rsidRPr="00D646FF">
        <w:rPr>
          <w:szCs w:val="26"/>
        </w:rPr>
        <w:t xml:space="preserve"> (2008) 160 Cal.App.4th 388, 395</w:t>
      </w:r>
      <w:r w:rsidRPr="00D646FF">
        <w:rPr>
          <w:szCs w:val="26"/>
        </w:rPr>
        <w:noBreakHyphen/>
        <w:t xml:space="preserve">399 [noting that the paramedic provisions were moved in 1982].)  </w:t>
      </w:r>
      <w:proofErr w:type="gramStart"/>
      <w:r w:rsidRPr="00D646FF">
        <w:rPr>
          <w:szCs w:val="26"/>
        </w:rPr>
        <w:t>As a consequence</w:t>
      </w:r>
      <w:proofErr w:type="gramEnd"/>
      <w:r w:rsidRPr="00D646FF">
        <w:rPr>
          <w:szCs w:val="26"/>
        </w:rPr>
        <w:t>, Gutierrez and his counsel were quite likely surpri</w:t>
      </w:r>
      <w:r w:rsidRPr="00D646FF">
        <w:rPr>
          <w:szCs w:val="26"/>
        </w:rPr>
        <w:t xml:space="preserve">sed to learn that his traffic accident claim is subject to </w:t>
      </w:r>
      <w:proofErr w:type="spellStart"/>
      <w:r w:rsidRPr="00D646FF">
        <w:rPr>
          <w:szCs w:val="26"/>
        </w:rPr>
        <w:t>MICRA’s</w:t>
      </w:r>
      <w:proofErr w:type="spellEnd"/>
      <w:r w:rsidRPr="00D646FF">
        <w:rPr>
          <w:szCs w:val="26"/>
        </w:rPr>
        <w:t xml:space="preserve"> one</w:t>
      </w:r>
      <w:r w:rsidRPr="00D646FF">
        <w:rPr>
          <w:szCs w:val="26"/>
        </w:rPr>
        <w:noBreakHyphen/>
        <w:t>year limitations period rather than the two</w:t>
      </w:r>
      <w:r w:rsidRPr="00D646FF">
        <w:rPr>
          <w:szCs w:val="26"/>
        </w:rPr>
        <w:noBreakHyphen/>
        <w:t xml:space="preserve">year period now generally applicable to personal injury claims.  (See Code Civ. Proc., § 335.1.) </w:t>
      </w:r>
    </w:p>
    <w:p w14:paraId="1057531D" w14:textId="77777777" w:rsidR="00D646FF" w:rsidRPr="00D646FF" w:rsidRDefault="00207E98" w:rsidP="00D646FF">
      <w:pPr>
        <w:tabs>
          <w:tab w:val="clear" w:pos="720"/>
        </w:tabs>
        <w:spacing w:line="480" w:lineRule="exact"/>
        <w:ind w:firstLine="720"/>
        <w:rPr>
          <w:szCs w:val="26"/>
        </w:rPr>
      </w:pPr>
      <w:proofErr w:type="spellStart"/>
      <w:r w:rsidRPr="00D646FF">
        <w:rPr>
          <w:szCs w:val="26"/>
        </w:rPr>
        <w:t>MICRA’s</w:t>
      </w:r>
      <w:proofErr w:type="spellEnd"/>
      <w:r w:rsidRPr="00D646FF">
        <w:rPr>
          <w:szCs w:val="26"/>
        </w:rPr>
        <w:t xml:space="preserve"> statute of limitations need not be </w:t>
      </w:r>
      <w:r w:rsidRPr="00D646FF">
        <w:rPr>
          <w:szCs w:val="26"/>
        </w:rPr>
        <w:t xml:space="preserve">interpreted to apply in such an unpredictable and surprising manner.  That statute of limitations applies to claims “for injury or death against a health care provider </w:t>
      </w:r>
      <w:r w:rsidRPr="00D646FF">
        <w:rPr>
          <w:i/>
          <w:iCs/>
          <w:szCs w:val="26"/>
        </w:rPr>
        <w:t xml:space="preserve">based upon </w:t>
      </w:r>
      <w:r w:rsidRPr="00D646FF">
        <w:rPr>
          <w:szCs w:val="26"/>
        </w:rPr>
        <w:t>such person’s alleged professional negligence” (Code Civ. Proc., § 340.5, ita</w:t>
      </w:r>
      <w:r w:rsidRPr="00D646FF">
        <w:rPr>
          <w:szCs w:val="26"/>
        </w:rPr>
        <w:t xml:space="preserve">lics added), and the Supreme Court has interpreted a similarly worded, neighboring statute of limitations to apply only to </w:t>
      </w:r>
      <w:r w:rsidRPr="00D646FF">
        <w:rPr>
          <w:szCs w:val="26"/>
        </w:rPr>
        <w:lastRenderedPageBreak/>
        <w:t>claims that are based on professional negligence in the sense that they require proof that a special obligation imposed on profession</w:t>
      </w:r>
      <w:r w:rsidRPr="00D646FF">
        <w:rPr>
          <w:szCs w:val="26"/>
        </w:rPr>
        <w:t xml:space="preserve">als has been violated.  </w:t>
      </w:r>
      <w:proofErr w:type="gramStart"/>
      <w:r w:rsidRPr="00D646FF">
        <w:rPr>
          <w:szCs w:val="26"/>
        </w:rPr>
        <w:t>As a consequence</w:t>
      </w:r>
      <w:proofErr w:type="gramEnd"/>
      <w:r w:rsidRPr="00D646FF">
        <w:rPr>
          <w:szCs w:val="26"/>
        </w:rPr>
        <w:t xml:space="preserve">, </w:t>
      </w:r>
      <w:proofErr w:type="spellStart"/>
      <w:r w:rsidRPr="00D646FF">
        <w:rPr>
          <w:szCs w:val="26"/>
        </w:rPr>
        <w:t>MICRA’s</w:t>
      </w:r>
      <w:proofErr w:type="spellEnd"/>
      <w:r w:rsidRPr="00D646FF">
        <w:rPr>
          <w:szCs w:val="26"/>
        </w:rPr>
        <w:t xml:space="preserve"> statute of limitations need not be interpreted to apply here because the ambulance that rear</w:t>
      </w:r>
      <w:r w:rsidRPr="00D646FF">
        <w:rPr>
          <w:szCs w:val="26"/>
        </w:rPr>
        <w:noBreakHyphen/>
        <w:t xml:space="preserve">ended plaintiff happened to be carrying a passenger.  Instead, </w:t>
      </w:r>
      <w:proofErr w:type="spellStart"/>
      <w:r w:rsidRPr="00D646FF">
        <w:rPr>
          <w:szCs w:val="26"/>
        </w:rPr>
        <w:t>MICRA’s</w:t>
      </w:r>
      <w:proofErr w:type="spellEnd"/>
      <w:r w:rsidRPr="00D646FF">
        <w:rPr>
          <w:szCs w:val="26"/>
        </w:rPr>
        <w:t xml:space="preserve"> statute of limitations can—and, in my view</w:t>
      </w:r>
      <w:r w:rsidRPr="00D646FF">
        <w:rPr>
          <w:szCs w:val="26"/>
        </w:rPr>
        <w:t xml:space="preserve">, should—be interpreted to apply only if the plaintiff advances a claim requiring proof that an obligation owed by health providers was violated.  </w:t>
      </w:r>
    </w:p>
    <w:p w14:paraId="011C47EC" w14:textId="34288347" w:rsidR="00D646FF" w:rsidRPr="00D646FF" w:rsidRDefault="00207E98" w:rsidP="00D646FF">
      <w:pPr>
        <w:tabs>
          <w:tab w:val="clear" w:pos="720"/>
        </w:tabs>
        <w:spacing w:line="480" w:lineRule="exact"/>
        <w:ind w:firstLine="720"/>
        <w:rPr>
          <w:szCs w:val="26"/>
        </w:rPr>
      </w:pPr>
      <w:r w:rsidRPr="00D646FF">
        <w:rPr>
          <w:szCs w:val="26"/>
        </w:rPr>
        <w:t>This is how the Supreme Court interpreted the statute of limitations in section 340.6 of the Code of Civil P</w:t>
      </w:r>
      <w:r w:rsidRPr="00D646FF">
        <w:rPr>
          <w:szCs w:val="26"/>
        </w:rPr>
        <w:t xml:space="preserve">rocedure in </w:t>
      </w:r>
      <w:r w:rsidRPr="00D646FF">
        <w:rPr>
          <w:i/>
          <w:iCs/>
          <w:szCs w:val="26"/>
        </w:rPr>
        <w:t>Lee</w:t>
      </w:r>
      <w:r w:rsidRPr="00D646FF">
        <w:rPr>
          <w:szCs w:val="26"/>
        </w:rPr>
        <w:t>.  Section 340.6 applies to claims “against an attorney for a wrongful act or omission . . . arising in the performance of professional services.”  (Code Civ. Proc</w:t>
      </w:r>
      <w:r w:rsidRPr="00D646FF">
        <w:rPr>
          <w:i/>
          <w:iCs/>
          <w:szCs w:val="26"/>
        </w:rPr>
        <w:t xml:space="preserve">., </w:t>
      </w:r>
      <w:r w:rsidRPr="00D646FF">
        <w:rPr>
          <w:szCs w:val="26"/>
        </w:rPr>
        <w:t xml:space="preserve">§ 340.6, subd. (a).)  </w:t>
      </w:r>
      <w:r w:rsidRPr="00D646FF">
        <w:rPr>
          <w:i/>
          <w:iCs/>
          <w:szCs w:val="26"/>
        </w:rPr>
        <w:t>Lee</w:t>
      </w:r>
      <w:r w:rsidRPr="00D646FF">
        <w:rPr>
          <w:szCs w:val="26"/>
        </w:rPr>
        <w:t xml:space="preserve"> held that “the way a plaintiff styled his or her </w:t>
      </w:r>
      <w:r w:rsidRPr="00D646FF">
        <w:rPr>
          <w:szCs w:val="26"/>
        </w:rPr>
        <w:t>complaint” does not determine whether a claim arises in the performance of professional services by attorneys under section 340.6.  (</w:t>
      </w:r>
      <w:r w:rsidRPr="00D646FF">
        <w:rPr>
          <w:i/>
          <w:iCs/>
          <w:szCs w:val="26"/>
        </w:rPr>
        <w:t>Lee</w:t>
      </w:r>
      <w:r w:rsidRPr="00D646FF">
        <w:rPr>
          <w:szCs w:val="26"/>
        </w:rPr>
        <w:t xml:space="preserve">, </w:t>
      </w:r>
      <w:r w:rsidRPr="00D646FF">
        <w:rPr>
          <w:i/>
          <w:iCs/>
          <w:szCs w:val="26"/>
        </w:rPr>
        <w:t>supra</w:t>
      </w:r>
      <w:r w:rsidRPr="00D646FF">
        <w:rPr>
          <w:szCs w:val="26"/>
        </w:rPr>
        <w:t>, 61 Cal.4th at p.</w:t>
      </w:r>
      <w:r>
        <w:rPr>
          <w:szCs w:val="26"/>
        </w:rPr>
        <w:t> </w:t>
      </w:r>
      <w:r w:rsidRPr="00D646FF">
        <w:rPr>
          <w:szCs w:val="26"/>
        </w:rPr>
        <w:t>1236.)  It also held that a claim does not arise in the performance of professional services m</w:t>
      </w:r>
      <w:r w:rsidRPr="00D646FF">
        <w:rPr>
          <w:szCs w:val="26"/>
        </w:rPr>
        <w:t>erely because it touches upon professional services (</w:t>
      </w:r>
      <w:r w:rsidRPr="00D646FF">
        <w:rPr>
          <w:i/>
          <w:iCs/>
          <w:szCs w:val="26"/>
        </w:rPr>
        <w:t>id</w:t>
      </w:r>
      <w:r w:rsidRPr="00D646FF">
        <w:rPr>
          <w:szCs w:val="26"/>
        </w:rPr>
        <w:t xml:space="preserve">. at p. 1238), rejecting the dissent’s position that section 340.6 applies whenever such services are involved.  (See </w:t>
      </w:r>
      <w:r w:rsidRPr="00D646FF">
        <w:rPr>
          <w:i/>
          <w:iCs/>
          <w:szCs w:val="26"/>
        </w:rPr>
        <w:t xml:space="preserve">id. </w:t>
      </w:r>
      <w:r w:rsidRPr="00D646FF">
        <w:rPr>
          <w:szCs w:val="26"/>
        </w:rPr>
        <w:t xml:space="preserve">at p. 1242 (dis. </w:t>
      </w:r>
      <w:proofErr w:type="spellStart"/>
      <w:r w:rsidRPr="00D646FF">
        <w:rPr>
          <w:szCs w:val="26"/>
        </w:rPr>
        <w:t>opn</w:t>
      </w:r>
      <w:proofErr w:type="spellEnd"/>
      <w:r w:rsidRPr="00D646FF">
        <w:rPr>
          <w:szCs w:val="26"/>
        </w:rPr>
        <w:t>. of Corrigan, J.) [“I would hold that section 340.6 govern</w:t>
      </w:r>
      <w:r w:rsidRPr="00D646FF">
        <w:rPr>
          <w:szCs w:val="26"/>
        </w:rPr>
        <w:t xml:space="preserve">s any claim against an attorney, except for actual fraud, that is based on the attorney’s wrongful conduct in performing professional services.”].)  Instead, the Supreme Court held that application of section 340.6 depends on the proof needed to establish </w:t>
      </w:r>
      <w:r w:rsidRPr="00D646FF">
        <w:rPr>
          <w:szCs w:val="26"/>
        </w:rPr>
        <w:t xml:space="preserve">the claim asserted by the plaintiff:  Specifically, under </w:t>
      </w:r>
      <w:r w:rsidRPr="00D646FF">
        <w:rPr>
          <w:i/>
          <w:iCs/>
          <w:szCs w:val="26"/>
        </w:rPr>
        <w:t xml:space="preserve">Lee </w:t>
      </w:r>
      <w:r w:rsidRPr="00D646FF">
        <w:rPr>
          <w:szCs w:val="26"/>
        </w:rPr>
        <w:t>a claim arises out of the performance of professional services, and triggers application of section 340.6, if it requires “proof that an attorney violated a professional obligation as opposed to</w:t>
      </w:r>
      <w:r w:rsidRPr="00D646FF">
        <w:rPr>
          <w:szCs w:val="26"/>
        </w:rPr>
        <w:t xml:space="preserve"> some generally applicable nonprofessional obligation.”  (</w:t>
      </w:r>
      <w:r w:rsidRPr="00D646FF">
        <w:rPr>
          <w:i/>
          <w:iCs/>
          <w:szCs w:val="26"/>
        </w:rPr>
        <w:t>Id</w:t>
      </w:r>
      <w:r w:rsidRPr="00D646FF">
        <w:rPr>
          <w:szCs w:val="26"/>
        </w:rPr>
        <w:t xml:space="preserve">. at p. 1238.)  </w:t>
      </w:r>
    </w:p>
    <w:p w14:paraId="34FFC7AE" w14:textId="07DB66E0" w:rsidR="00D646FF" w:rsidRPr="00D646FF" w:rsidRDefault="00207E98" w:rsidP="00D646FF">
      <w:pPr>
        <w:tabs>
          <w:tab w:val="clear" w:pos="720"/>
        </w:tabs>
        <w:spacing w:line="480" w:lineRule="exact"/>
        <w:ind w:firstLine="720"/>
        <w:rPr>
          <w:szCs w:val="26"/>
        </w:rPr>
      </w:pPr>
      <w:proofErr w:type="spellStart"/>
      <w:r w:rsidRPr="00D646FF">
        <w:rPr>
          <w:szCs w:val="26"/>
        </w:rPr>
        <w:t>MICRA’s</w:t>
      </w:r>
      <w:proofErr w:type="spellEnd"/>
      <w:r w:rsidRPr="00D646FF">
        <w:rPr>
          <w:szCs w:val="26"/>
        </w:rPr>
        <w:t xml:space="preserve"> statute of limitations should be interpreted using this approach.  In </w:t>
      </w:r>
      <w:r w:rsidRPr="00D646FF">
        <w:rPr>
          <w:i/>
          <w:iCs/>
          <w:szCs w:val="26"/>
        </w:rPr>
        <w:t>Flores v. Presbyterian Intercommunity Hospital</w:t>
      </w:r>
      <w:r w:rsidRPr="00D646FF">
        <w:rPr>
          <w:szCs w:val="26"/>
        </w:rPr>
        <w:t xml:space="preserve"> (2016) 63 Cal.4th 75 (</w:t>
      </w:r>
      <w:r w:rsidRPr="00D646FF">
        <w:rPr>
          <w:i/>
          <w:iCs/>
          <w:szCs w:val="26"/>
        </w:rPr>
        <w:t>Flores</w:t>
      </w:r>
      <w:r w:rsidRPr="00D646FF">
        <w:rPr>
          <w:szCs w:val="26"/>
        </w:rPr>
        <w:t>), the Supreme Court relie</w:t>
      </w:r>
      <w:r w:rsidRPr="00D646FF">
        <w:rPr>
          <w:szCs w:val="26"/>
        </w:rPr>
        <w:t xml:space="preserve">d on </w:t>
      </w:r>
      <w:r w:rsidRPr="00D646FF">
        <w:rPr>
          <w:i/>
          <w:iCs/>
          <w:szCs w:val="26"/>
        </w:rPr>
        <w:t>Lee</w:t>
      </w:r>
      <w:r w:rsidRPr="00D646FF">
        <w:rPr>
          <w:szCs w:val="26"/>
        </w:rPr>
        <w:t xml:space="preserve"> in interpreting </w:t>
      </w:r>
      <w:proofErr w:type="spellStart"/>
      <w:r w:rsidRPr="00D646FF">
        <w:rPr>
          <w:szCs w:val="26"/>
        </w:rPr>
        <w:t>MICRA’s</w:t>
      </w:r>
      <w:proofErr w:type="spellEnd"/>
      <w:r w:rsidRPr="00D646FF">
        <w:rPr>
          <w:szCs w:val="26"/>
        </w:rPr>
        <w:t xml:space="preserve"> statute of limitations.  Section </w:t>
      </w:r>
      <w:r w:rsidRPr="00D646FF">
        <w:rPr>
          <w:szCs w:val="26"/>
        </w:rPr>
        <w:lastRenderedPageBreak/>
        <w:t xml:space="preserve">340.6, </w:t>
      </w:r>
      <w:r w:rsidRPr="00D646FF">
        <w:rPr>
          <w:i/>
          <w:iCs/>
          <w:szCs w:val="26"/>
        </w:rPr>
        <w:t xml:space="preserve">Flores </w:t>
      </w:r>
      <w:r w:rsidRPr="00D646FF">
        <w:rPr>
          <w:szCs w:val="26"/>
        </w:rPr>
        <w:t>noted, is a “neighboring provision” that is “similarly worded.”  (</w:t>
      </w:r>
      <w:r w:rsidRPr="00D646FF">
        <w:rPr>
          <w:i/>
          <w:iCs/>
          <w:szCs w:val="26"/>
        </w:rPr>
        <w:t>Id</w:t>
      </w:r>
      <w:r w:rsidRPr="00D646FF">
        <w:rPr>
          <w:szCs w:val="26"/>
        </w:rPr>
        <w:t>. at pp.</w:t>
      </w:r>
      <w:r>
        <w:rPr>
          <w:szCs w:val="26"/>
        </w:rPr>
        <w:t> </w:t>
      </w:r>
      <w:r w:rsidRPr="00D646FF">
        <w:rPr>
          <w:szCs w:val="26"/>
        </w:rPr>
        <w:t>87</w:t>
      </w:r>
      <w:r w:rsidRPr="00D646FF">
        <w:rPr>
          <w:szCs w:val="26"/>
        </w:rPr>
        <w:noBreakHyphen/>
        <w:t xml:space="preserve">88.)  </w:t>
      </w:r>
      <w:r w:rsidRPr="00D646FF">
        <w:rPr>
          <w:i/>
          <w:iCs/>
          <w:szCs w:val="26"/>
        </w:rPr>
        <w:t xml:space="preserve">Flores </w:t>
      </w:r>
      <w:r w:rsidRPr="00D646FF">
        <w:rPr>
          <w:szCs w:val="26"/>
        </w:rPr>
        <w:t xml:space="preserve">also observed that </w:t>
      </w:r>
      <w:r w:rsidRPr="00D646FF">
        <w:rPr>
          <w:i/>
          <w:iCs/>
          <w:szCs w:val="26"/>
        </w:rPr>
        <w:t>Lee</w:t>
      </w:r>
      <w:r w:rsidRPr="00D646FF">
        <w:rPr>
          <w:szCs w:val="26"/>
        </w:rPr>
        <w:t>’s analysis of section 340.6 is “instructive” (</w:t>
      </w:r>
      <w:r w:rsidRPr="00D646FF">
        <w:rPr>
          <w:i/>
          <w:iCs/>
          <w:szCs w:val="26"/>
        </w:rPr>
        <w:t xml:space="preserve">id. </w:t>
      </w:r>
      <w:r w:rsidRPr="00D646FF">
        <w:rPr>
          <w:szCs w:val="26"/>
        </w:rPr>
        <w:t xml:space="preserve">at p. 88) </w:t>
      </w:r>
      <w:r w:rsidRPr="00D646FF">
        <w:rPr>
          <w:szCs w:val="26"/>
        </w:rPr>
        <w:t>and</w:t>
      </w:r>
      <w:proofErr w:type="gramStart"/>
      <w:r w:rsidRPr="00D646FF">
        <w:rPr>
          <w:szCs w:val="26"/>
        </w:rPr>
        <w:t>, in particular, that</w:t>
      </w:r>
      <w:proofErr w:type="gramEnd"/>
      <w:r w:rsidRPr="00D646FF">
        <w:rPr>
          <w:szCs w:val="26"/>
        </w:rPr>
        <w:t xml:space="preserve"> </w:t>
      </w:r>
      <w:r w:rsidRPr="00D646FF">
        <w:rPr>
          <w:i/>
          <w:iCs/>
          <w:szCs w:val="26"/>
        </w:rPr>
        <w:t>Lee</w:t>
      </w:r>
      <w:r w:rsidRPr="00D646FF">
        <w:rPr>
          <w:szCs w:val="26"/>
        </w:rPr>
        <w:t xml:space="preserve">’s distinction between professional obligations and generally applicable nonprofessional obligations applies to </w:t>
      </w:r>
      <w:proofErr w:type="spellStart"/>
      <w:r w:rsidRPr="00D646FF">
        <w:rPr>
          <w:szCs w:val="26"/>
        </w:rPr>
        <w:t>MICRA’s</w:t>
      </w:r>
      <w:proofErr w:type="spellEnd"/>
      <w:r w:rsidRPr="00D646FF">
        <w:rPr>
          <w:szCs w:val="26"/>
        </w:rPr>
        <w:t xml:space="preserve"> statute of limitations.  “Just as an attorney’s obligations ‘often overlap with obligations that all persons</w:t>
      </w:r>
      <w:r w:rsidRPr="00D646FF">
        <w:rPr>
          <w:szCs w:val="26"/>
        </w:rPr>
        <w:t xml:space="preserve"> subject to California’s laws have’ [citation], so do the obligations of hospitals.”  (</w:t>
      </w:r>
      <w:r w:rsidRPr="00D646FF">
        <w:rPr>
          <w:i/>
          <w:iCs/>
          <w:szCs w:val="26"/>
        </w:rPr>
        <w:t>Ibid</w:t>
      </w:r>
      <w:r w:rsidRPr="00D646FF">
        <w:rPr>
          <w:szCs w:val="26"/>
        </w:rPr>
        <w:t>.)  “</w:t>
      </w:r>
      <w:proofErr w:type="gramStart"/>
      <w:r w:rsidRPr="00D646FF">
        <w:rPr>
          <w:szCs w:val="26"/>
        </w:rPr>
        <w:t>And,</w:t>
      </w:r>
      <w:proofErr w:type="gramEnd"/>
      <w:r w:rsidRPr="00D646FF">
        <w:rPr>
          <w:szCs w:val="26"/>
        </w:rPr>
        <w:t xml:space="preserve">” </w:t>
      </w:r>
      <w:r w:rsidRPr="00D646FF">
        <w:rPr>
          <w:i/>
          <w:iCs/>
          <w:szCs w:val="26"/>
        </w:rPr>
        <w:t xml:space="preserve">Flores </w:t>
      </w:r>
      <w:r w:rsidRPr="00D646FF">
        <w:rPr>
          <w:szCs w:val="26"/>
        </w:rPr>
        <w:t xml:space="preserve">continued, “just as an attorney’s breach of a generally applicable obligation to avoid stealing from or physically harming his or her clients does </w:t>
      </w:r>
      <w:r w:rsidRPr="00D646FF">
        <w:rPr>
          <w:szCs w:val="26"/>
        </w:rPr>
        <w:t>not fall within section 340.6(a), so too, we conclude, an injury resulting from a hospital’s breach of a generally applicable obligation to maintain its equipment and premises in a safe condition does not fall within section 340.5.”  (</w:t>
      </w:r>
      <w:r w:rsidRPr="00D646FF">
        <w:rPr>
          <w:i/>
          <w:iCs/>
          <w:szCs w:val="26"/>
        </w:rPr>
        <w:t>Ibid</w:t>
      </w:r>
      <w:r w:rsidRPr="00D646FF">
        <w:rPr>
          <w:szCs w:val="26"/>
        </w:rPr>
        <w:t xml:space="preserve">.)  </w:t>
      </w:r>
    </w:p>
    <w:p w14:paraId="539C38BA" w14:textId="77777777" w:rsidR="00D646FF" w:rsidRPr="00D646FF" w:rsidRDefault="00207E98" w:rsidP="00D646FF">
      <w:pPr>
        <w:tabs>
          <w:tab w:val="clear" w:pos="720"/>
        </w:tabs>
        <w:spacing w:line="480" w:lineRule="exact"/>
        <w:ind w:firstLine="720"/>
        <w:rPr>
          <w:szCs w:val="26"/>
        </w:rPr>
      </w:pPr>
      <w:r w:rsidRPr="00D646FF">
        <w:rPr>
          <w:szCs w:val="26"/>
        </w:rPr>
        <w:t>It is true t</w:t>
      </w:r>
      <w:r w:rsidRPr="00D646FF">
        <w:rPr>
          <w:szCs w:val="26"/>
        </w:rPr>
        <w:t xml:space="preserve">hat </w:t>
      </w:r>
      <w:r w:rsidRPr="00D646FF">
        <w:rPr>
          <w:i/>
          <w:iCs/>
          <w:szCs w:val="26"/>
        </w:rPr>
        <w:t xml:space="preserve">Flores </w:t>
      </w:r>
      <w:r w:rsidRPr="00D646FF">
        <w:rPr>
          <w:szCs w:val="26"/>
        </w:rPr>
        <w:t xml:space="preserve">did not rule that the </w:t>
      </w:r>
      <w:proofErr w:type="spellStart"/>
      <w:r w:rsidRPr="00D646FF">
        <w:rPr>
          <w:szCs w:val="26"/>
        </w:rPr>
        <w:t>MICRA’s</w:t>
      </w:r>
      <w:proofErr w:type="spellEnd"/>
      <w:r w:rsidRPr="00D646FF">
        <w:rPr>
          <w:szCs w:val="26"/>
        </w:rPr>
        <w:t xml:space="preserve"> statute of limitations applies only to claims requiring proof that a professional obligation has been violated.  That issue was not raised in </w:t>
      </w:r>
      <w:r w:rsidRPr="00D646FF">
        <w:rPr>
          <w:i/>
          <w:iCs/>
          <w:szCs w:val="26"/>
        </w:rPr>
        <w:t>Flores</w:t>
      </w:r>
      <w:r w:rsidRPr="00D646FF">
        <w:rPr>
          <w:szCs w:val="26"/>
        </w:rPr>
        <w:t xml:space="preserve">:  The question before the Supreme Court in </w:t>
      </w:r>
      <w:r w:rsidRPr="00D646FF">
        <w:rPr>
          <w:i/>
          <w:iCs/>
          <w:szCs w:val="26"/>
        </w:rPr>
        <w:t>Flores</w:t>
      </w:r>
      <w:r w:rsidRPr="00D646FF">
        <w:rPr>
          <w:szCs w:val="26"/>
        </w:rPr>
        <w:t xml:space="preserve"> was instead whet</w:t>
      </w:r>
      <w:r w:rsidRPr="00D646FF">
        <w:rPr>
          <w:szCs w:val="26"/>
        </w:rPr>
        <w:t>her the violation that the plaintiff sought to prove involved “professional negligence.”  (</w:t>
      </w:r>
      <w:r w:rsidRPr="00D646FF">
        <w:rPr>
          <w:i/>
          <w:iCs/>
          <w:szCs w:val="26"/>
        </w:rPr>
        <w:t>Flores</w:t>
      </w:r>
      <w:r w:rsidRPr="00D646FF">
        <w:rPr>
          <w:szCs w:val="26"/>
        </w:rPr>
        <w:t xml:space="preserve">, </w:t>
      </w:r>
      <w:r w:rsidRPr="00D646FF">
        <w:rPr>
          <w:i/>
          <w:iCs/>
          <w:szCs w:val="26"/>
        </w:rPr>
        <w:t>supra</w:t>
      </w:r>
      <w:r w:rsidRPr="00D646FF">
        <w:rPr>
          <w:szCs w:val="26"/>
        </w:rPr>
        <w:t>, 63 Cal.4th at pp. 88</w:t>
      </w:r>
      <w:r w:rsidRPr="00D646FF">
        <w:rPr>
          <w:szCs w:val="26"/>
        </w:rPr>
        <w:noBreakHyphen/>
        <w:t xml:space="preserve">89 [concluding that maintaining a hospital bed’s rail involved professional negligence because it was “integrally related to the </w:t>
      </w:r>
      <w:r w:rsidRPr="00D646FF">
        <w:rPr>
          <w:szCs w:val="26"/>
        </w:rPr>
        <w:t xml:space="preserve">medical treatment and diagnosis of the patient”].)  Nonetheless, </w:t>
      </w:r>
      <w:r w:rsidRPr="00D646FF">
        <w:rPr>
          <w:i/>
          <w:iCs/>
          <w:szCs w:val="26"/>
        </w:rPr>
        <w:t xml:space="preserve">Flores </w:t>
      </w:r>
      <w:r w:rsidRPr="00D646FF">
        <w:rPr>
          <w:szCs w:val="26"/>
        </w:rPr>
        <w:t xml:space="preserve">signaled that it would follow </w:t>
      </w:r>
      <w:r w:rsidRPr="00D646FF">
        <w:rPr>
          <w:i/>
          <w:iCs/>
          <w:szCs w:val="26"/>
        </w:rPr>
        <w:t>Lee</w:t>
      </w:r>
      <w:r w:rsidRPr="00D646FF">
        <w:rPr>
          <w:szCs w:val="26"/>
        </w:rPr>
        <w:t xml:space="preserve">’s approach in interpreting </w:t>
      </w:r>
      <w:proofErr w:type="spellStart"/>
      <w:r w:rsidRPr="00D646FF">
        <w:rPr>
          <w:szCs w:val="26"/>
        </w:rPr>
        <w:t>MICRA’s</w:t>
      </w:r>
      <w:proofErr w:type="spellEnd"/>
      <w:r w:rsidRPr="00D646FF">
        <w:rPr>
          <w:szCs w:val="26"/>
        </w:rPr>
        <w:t xml:space="preserve"> statute of limitations by observing that section 340.6 is “similarly worded” to </w:t>
      </w:r>
      <w:proofErr w:type="spellStart"/>
      <w:r w:rsidRPr="00D646FF">
        <w:rPr>
          <w:szCs w:val="26"/>
        </w:rPr>
        <w:t>MICRA’s</w:t>
      </w:r>
      <w:proofErr w:type="spellEnd"/>
      <w:r w:rsidRPr="00D646FF">
        <w:rPr>
          <w:szCs w:val="26"/>
        </w:rPr>
        <w:t xml:space="preserve"> statute of limitations (</w:t>
      </w:r>
      <w:r w:rsidRPr="00D646FF">
        <w:rPr>
          <w:i/>
          <w:iCs/>
          <w:szCs w:val="26"/>
        </w:rPr>
        <w:t>id</w:t>
      </w:r>
      <w:r w:rsidRPr="00D646FF">
        <w:rPr>
          <w:szCs w:val="26"/>
        </w:rPr>
        <w:t>.</w:t>
      </w:r>
      <w:r w:rsidRPr="00D646FF">
        <w:rPr>
          <w:szCs w:val="26"/>
        </w:rPr>
        <w:t xml:space="preserve"> at pp. 87</w:t>
      </w:r>
      <w:r w:rsidRPr="00D646FF">
        <w:rPr>
          <w:szCs w:val="26"/>
        </w:rPr>
        <w:noBreakHyphen/>
        <w:t xml:space="preserve">88), describing </w:t>
      </w:r>
      <w:r w:rsidRPr="00D646FF">
        <w:rPr>
          <w:i/>
          <w:iCs/>
          <w:szCs w:val="26"/>
        </w:rPr>
        <w:t>Lee</w:t>
      </w:r>
      <w:r w:rsidRPr="00D646FF">
        <w:rPr>
          <w:szCs w:val="26"/>
        </w:rPr>
        <w:t>’s analysis of section 340.6 as “instructive” (</w:t>
      </w:r>
      <w:r w:rsidRPr="00D646FF">
        <w:rPr>
          <w:i/>
          <w:iCs/>
          <w:szCs w:val="26"/>
        </w:rPr>
        <w:t>id</w:t>
      </w:r>
      <w:r w:rsidRPr="00D646FF">
        <w:rPr>
          <w:szCs w:val="26"/>
        </w:rPr>
        <w:t>. at p. 88</w:t>
      </w:r>
      <w:proofErr w:type="gramStart"/>
      <w:r w:rsidRPr="00D646FF">
        <w:rPr>
          <w:szCs w:val="26"/>
        </w:rPr>
        <w:t>), and</w:t>
      </w:r>
      <w:proofErr w:type="gramEnd"/>
      <w:r w:rsidRPr="00D646FF">
        <w:rPr>
          <w:szCs w:val="26"/>
        </w:rPr>
        <w:t xml:space="preserve"> noting that </w:t>
      </w:r>
      <w:r w:rsidRPr="00D646FF">
        <w:rPr>
          <w:i/>
          <w:iCs/>
          <w:szCs w:val="26"/>
        </w:rPr>
        <w:t>Lee</w:t>
      </w:r>
      <w:r w:rsidRPr="00D646FF">
        <w:rPr>
          <w:szCs w:val="26"/>
        </w:rPr>
        <w:t>’s distinction between professional obligations and generally applicable nonprofessional obligations applies to MICRA.  (</w:t>
      </w:r>
      <w:r w:rsidRPr="00D646FF">
        <w:rPr>
          <w:i/>
          <w:iCs/>
          <w:szCs w:val="26"/>
        </w:rPr>
        <w:t>Ibid</w:t>
      </w:r>
      <w:r w:rsidRPr="00D646FF">
        <w:rPr>
          <w:szCs w:val="26"/>
        </w:rPr>
        <w:t xml:space="preserve">.)  Moreover, nothing in </w:t>
      </w:r>
      <w:r w:rsidRPr="00D646FF">
        <w:rPr>
          <w:i/>
          <w:iCs/>
          <w:szCs w:val="26"/>
        </w:rPr>
        <w:t>Flores</w:t>
      </w:r>
      <w:r w:rsidRPr="00D646FF">
        <w:rPr>
          <w:szCs w:val="26"/>
        </w:rPr>
        <w:t xml:space="preserve"> suggests that the Supreme Court intended to reject </w:t>
      </w:r>
      <w:r w:rsidRPr="00D646FF">
        <w:rPr>
          <w:i/>
          <w:iCs/>
          <w:szCs w:val="26"/>
        </w:rPr>
        <w:t>Lee</w:t>
      </w:r>
      <w:r w:rsidRPr="00D646FF">
        <w:rPr>
          <w:szCs w:val="26"/>
        </w:rPr>
        <w:t xml:space="preserve">’s approach and to interpret </w:t>
      </w:r>
      <w:proofErr w:type="spellStart"/>
      <w:r w:rsidRPr="00D646FF">
        <w:rPr>
          <w:szCs w:val="26"/>
        </w:rPr>
        <w:t>MICRA’s</w:t>
      </w:r>
      <w:proofErr w:type="spellEnd"/>
      <w:r w:rsidRPr="00D646FF">
        <w:rPr>
          <w:szCs w:val="26"/>
        </w:rPr>
        <w:t xml:space="preserve"> statute of limitations to apply in a fundamentally different way from section 340.5. much less that it intended to interpret </w:t>
      </w:r>
      <w:proofErr w:type="spellStart"/>
      <w:r w:rsidRPr="00D646FF">
        <w:rPr>
          <w:szCs w:val="26"/>
        </w:rPr>
        <w:t>MICRA’s</w:t>
      </w:r>
      <w:proofErr w:type="spellEnd"/>
      <w:r w:rsidRPr="00D646FF">
        <w:rPr>
          <w:szCs w:val="26"/>
        </w:rPr>
        <w:t xml:space="preserve"> </w:t>
      </w:r>
      <w:r w:rsidRPr="00D646FF">
        <w:rPr>
          <w:szCs w:val="26"/>
        </w:rPr>
        <w:t xml:space="preserve">statute of limitations using the approach of the </w:t>
      </w:r>
      <w:r w:rsidRPr="00D646FF">
        <w:rPr>
          <w:i/>
          <w:iCs/>
          <w:szCs w:val="26"/>
        </w:rPr>
        <w:t xml:space="preserve">Lee </w:t>
      </w:r>
      <w:r w:rsidRPr="00D646FF">
        <w:rPr>
          <w:szCs w:val="26"/>
        </w:rPr>
        <w:t>dissent.</w:t>
      </w:r>
    </w:p>
    <w:p w14:paraId="2B3906BC" w14:textId="77777777" w:rsidR="00D646FF" w:rsidRPr="00D646FF" w:rsidRDefault="00207E98" w:rsidP="00D646FF">
      <w:pPr>
        <w:tabs>
          <w:tab w:val="clear" w:pos="720"/>
        </w:tabs>
        <w:spacing w:line="480" w:lineRule="exact"/>
        <w:ind w:firstLine="720"/>
        <w:rPr>
          <w:szCs w:val="26"/>
        </w:rPr>
      </w:pPr>
      <w:r w:rsidRPr="00D646FF">
        <w:rPr>
          <w:szCs w:val="26"/>
        </w:rPr>
        <w:lastRenderedPageBreak/>
        <w:t xml:space="preserve">In addition, adopting the </w:t>
      </w:r>
      <w:r w:rsidRPr="00D646FF">
        <w:rPr>
          <w:i/>
          <w:iCs/>
          <w:szCs w:val="26"/>
        </w:rPr>
        <w:t xml:space="preserve">Lee </w:t>
      </w:r>
      <w:r w:rsidRPr="00D646FF">
        <w:rPr>
          <w:szCs w:val="26"/>
        </w:rPr>
        <w:t xml:space="preserve">majority’s approach avoids the unpredictability and unfairness that the approach of the </w:t>
      </w:r>
      <w:r w:rsidRPr="00D646FF">
        <w:rPr>
          <w:i/>
          <w:iCs/>
          <w:szCs w:val="26"/>
        </w:rPr>
        <w:t xml:space="preserve">Lee </w:t>
      </w:r>
      <w:r w:rsidRPr="00D646FF">
        <w:rPr>
          <w:szCs w:val="26"/>
        </w:rPr>
        <w:t xml:space="preserve">dissent creates here.  Under the dissent’s approach, </w:t>
      </w:r>
      <w:proofErr w:type="spellStart"/>
      <w:r w:rsidRPr="00D646FF">
        <w:rPr>
          <w:szCs w:val="26"/>
        </w:rPr>
        <w:t>MICRA’s</w:t>
      </w:r>
      <w:proofErr w:type="spellEnd"/>
      <w:r w:rsidRPr="00D646FF">
        <w:rPr>
          <w:szCs w:val="26"/>
        </w:rPr>
        <w:t xml:space="preserve"> statute of </w:t>
      </w:r>
      <w:r w:rsidRPr="00D646FF">
        <w:rPr>
          <w:szCs w:val="26"/>
        </w:rPr>
        <w:t>limitations and its one</w:t>
      </w:r>
      <w:r w:rsidRPr="00D646FF">
        <w:rPr>
          <w:szCs w:val="26"/>
        </w:rPr>
        <w:noBreakHyphen/>
        <w:t xml:space="preserve">year limitation period applies </w:t>
      </w:r>
      <w:proofErr w:type="gramStart"/>
      <w:r w:rsidRPr="00D646FF">
        <w:rPr>
          <w:szCs w:val="26"/>
        </w:rPr>
        <w:t>whether or not</w:t>
      </w:r>
      <w:proofErr w:type="gramEnd"/>
      <w:r w:rsidRPr="00D646FF">
        <w:rPr>
          <w:szCs w:val="26"/>
        </w:rPr>
        <w:t xml:space="preserve"> a plaintiff such as Gutierrez had reason to suspect that a patient was being treated in the ambulance that rear</w:t>
      </w:r>
      <w:r w:rsidRPr="00D646FF">
        <w:rPr>
          <w:szCs w:val="26"/>
        </w:rPr>
        <w:noBreakHyphen/>
        <w:t xml:space="preserve">ended him.  By contrast, under the </w:t>
      </w:r>
      <w:r w:rsidRPr="00D646FF">
        <w:rPr>
          <w:i/>
          <w:iCs/>
          <w:szCs w:val="26"/>
        </w:rPr>
        <w:t xml:space="preserve">Lee </w:t>
      </w:r>
      <w:r w:rsidRPr="00D646FF">
        <w:rPr>
          <w:szCs w:val="26"/>
        </w:rPr>
        <w:t xml:space="preserve">majority’s approach, </w:t>
      </w:r>
      <w:proofErr w:type="spellStart"/>
      <w:r w:rsidRPr="00D646FF">
        <w:rPr>
          <w:szCs w:val="26"/>
        </w:rPr>
        <w:t>MICRA’s</w:t>
      </w:r>
      <w:proofErr w:type="spellEnd"/>
      <w:r w:rsidRPr="00D646FF">
        <w:rPr>
          <w:szCs w:val="26"/>
        </w:rPr>
        <w:t xml:space="preserve"> one</w:t>
      </w:r>
      <w:r w:rsidRPr="00D646FF">
        <w:rPr>
          <w:szCs w:val="26"/>
        </w:rPr>
        <w:noBreakHyphen/>
        <w:t>ye</w:t>
      </w:r>
      <w:r w:rsidRPr="00D646FF">
        <w:rPr>
          <w:szCs w:val="26"/>
        </w:rPr>
        <w:t xml:space="preserve">ar statute of limitations applies only if a plaintiff asserts a claim requiring proof that a health care provider’s professional obligation has been violated, which means that under that approach the plaintiff will always know if his or her claim is based </w:t>
      </w:r>
      <w:r w:rsidRPr="00D646FF">
        <w:rPr>
          <w:szCs w:val="26"/>
        </w:rPr>
        <w:t xml:space="preserve">upon professional negligence and there will no surprise or unfairness.   </w:t>
      </w:r>
    </w:p>
    <w:p w14:paraId="45C41D48" w14:textId="77777777" w:rsidR="00D646FF" w:rsidRPr="00D646FF" w:rsidRDefault="00207E98" w:rsidP="00D646FF">
      <w:pPr>
        <w:tabs>
          <w:tab w:val="clear" w:pos="720"/>
        </w:tabs>
        <w:spacing w:line="480" w:lineRule="exact"/>
        <w:ind w:firstLine="720"/>
        <w:rPr>
          <w:szCs w:val="26"/>
        </w:rPr>
      </w:pPr>
      <w:r w:rsidRPr="00D646FF">
        <w:rPr>
          <w:szCs w:val="26"/>
        </w:rPr>
        <w:t xml:space="preserve">The majority objects that it is impracticable to interpret </w:t>
      </w:r>
      <w:proofErr w:type="spellStart"/>
      <w:r w:rsidRPr="00D646FF">
        <w:rPr>
          <w:szCs w:val="26"/>
        </w:rPr>
        <w:t>MICRA’s</w:t>
      </w:r>
      <w:proofErr w:type="spellEnd"/>
      <w:r w:rsidRPr="00D646FF">
        <w:rPr>
          <w:szCs w:val="26"/>
        </w:rPr>
        <w:t xml:space="preserve"> statute of limitations to depend on whether a claim requires proof that a professional obligation has been violated because claims by two people involved in the same accident at the same ti</w:t>
      </w:r>
      <w:r w:rsidRPr="00D646FF">
        <w:rPr>
          <w:szCs w:val="26"/>
        </w:rPr>
        <w:t xml:space="preserve">me might be subject to two different statutes of limitations.  While it is true that claims by different people may be subject to different statute of limitations, that is no reason to reject the </w:t>
      </w:r>
      <w:r w:rsidRPr="00D646FF">
        <w:rPr>
          <w:i/>
          <w:iCs/>
          <w:szCs w:val="26"/>
        </w:rPr>
        <w:t xml:space="preserve">Lee </w:t>
      </w:r>
      <w:r w:rsidRPr="00D646FF">
        <w:rPr>
          <w:szCs w:val="26"/>
        </w:rPr>
        <w:t xml:space="preserve">majority’s approach.  </w:t>
      </w:r>
      <w:r w:rsidRPr="00D646FF">
        <w:rPr>
          <w:i/>
          <w:iCs/>
          <w:szCs w:val="26"/>
        </w:rPr>
        <w:t xml:space="preserve">Lee </w:t>
      </w:r>
      <w:r w:rsidRPr="00D646FF">
        <w:rPr>
          <w:szCs w:val="26"/>
        </w:rPr>
        <w:t>itself recognized that under t</w:t>
      </w:r>
      <w:r w:rsidRPr="00D646FF">
        <w:rPr>
          <w:szCs w:val="26"/>
        </w:rPr>
        <w:t xml:space="preserve">his approach claims brought by the </w:t>
      </w:r>
      <w:r w:rsidRPr="00D646FF">
        <w:rPr>
          <w:i/>
          <w:iCs/>
          <w:szCs w:val="26"/>
        </w:rPr>
        <w:t>same</w:t>
      </w:r>
      <w:r w:rsidRPr="00D646FF">
        <w:rPr>
          <w:szCs w:val="26"/>
        </w:rPr>
        <w:t xml:space="preserve"> person concerning the same conduct may be subject to different statutes of limitations:  (</w:t>
      </w:r>
      <w:r w:rsidRPr="00D646FF">
        <w:rPr>
          <w:i/>
          <w:iCs/>
          <w:szCs w:val="26"/>
        </w:rPr>
        <w:t>Lee</w:t>
      </w:r>
      <w:r w:rsidRPr="00D646FF">
        <w:rPr>
          <w:szCs w:val="26"/>
        </w:rPr>
        <w:t xml:space="preserve">, </w:t>
      </w:r>
      <w:r w:rsidRPr="00D646FF">
        <w:rPr>
          <w:i/>
          <w:iCs/>
          <w:szCs w:val="26"/>
        </w:rPr>
        <w:t>supra</w:t>
      </w:r>
      <w:r w:rsidRPr="00D646FF">
        <w:rPr>
          <w:szCs w:val="26"/>
        </w:rPr>
        <w:t>, 61 Cal.4th at p. 1230 [“[A]n claim based on his violation of [the defendant’s professional] obligations is time</w:t>
      </w:r>
      <w:r w:rsidRPr="00D646FF">
        <w:rPr>
          <w:szCs w:val="26"/>
        </w:rPr>
        <w:noBreakHyphen/>
        <w:t>ba</w:t>
      </w:r>
      <w:r w:rsidRPr="00D646FF">
        <w:rPr>
          <w:szCs w:val="26"/>
        </w:rPr>
        <w:t>rred” but “a claim for conversion whose ultimate proof at trial may not depend on the assertion that [defendant] violated a professional obligation . . . is not time</w:t>
      </w:r>
      <w:r w:rsidRPr="00D646FF">
        <w:rPr>
          <w:szCs w:val="26"/>
        </w:rPr>
        <w:noBreakHyphen/>
        <w:t xml:space="preserve">barred.”].)  </w:t>
      </w:r>
      <w:proofErr w:type="gramStart"/>
      <w:r w:rsidRPr="00D646FF">
        <w:rPr>
          <w:szCs w:val="26"/>
        </w:rPr>
        <w:t>As a consequence</w:t>
      </w:r>
      <w:proofErr w:type="gramEnd"/>
      <w:r w:rsidRPr="00D646FF">
        <w:rPr>
          <w:szCs w:val="26"/>
        </w:rPr>
        <w:t xml:space="preserve">, it is neither impermissible nor impractical to interpret </w:t>
      </w:r>
      <w:proofErr w:type="spellStart"/>
      <w:r w:rsidRPr="00D646FF">
        <w:rPr>
          <w:szCs w:val="26"/>
        </w:rPr>
        <w:t>MI</w:t>
      </w:r>
      <w:r w:rsidRPr="00D646FF">
        <w:rPr>
          <w:szCs w:val="26"/>
        </w:rPr>
        <w:t>CRA’s</w:t>
      </w:r>
      <w:proofErr w:type="spellEnd"/>
      <w:r w:rsidRPr="00D646FF">
        <w:rPr>
          <w:szCs w:val="26"/>
        </w:rPr>
        <w:t xml:space="preserve"> statute of limitations so that claims involving the same conduct may be subject to different statutes of limitations if they are based on different theories.  </w:t>
      </w:r>
    </w:p>
    <w:p w14:paraId="0FA43BD6" w14:textId="77777777" w:rsidR="00D646FF" w:rsidRPr="00D646FF" w:rsidRDefault="00207E98" w:rsidP="00D646FF">
      <w:pPr>
        <w:tabs>
          <w:tab w:val="clear" w:pos="720"/>
        </w:tabs>
        <w:spacing w:line="480" w:lineRule="exact"/>
        <w:ind w:firstLine="720"/>
        <w:rPr>
          <w:szCs w:val="26"/>
        </w:rPr>
      </w:pPr>
      <w:r w:rsidRPr="00D646FF">
        <w:rPr>
          <w:szCs w:val="26"/>
        </w:rPr>
        <w:t xml:space="preserve">The majority also argues that a restrictive interpretation of </w:t>
      </w:r>
      <w:proofErr w:type="spellStart"/>
      <w:r w:rsidRPr="00D646FF">
        <w:rPr>
          <w:szCs w:val="26"/>
        </w:rPr>
        <w:t>MICRA’s</w:t>
      </w:r>
      <w:proofErr w:type="spellEnd"/>
      <w:r w:rsidRPr="00D646FF">
        <w:rPr>
          <w:szCs w:val="26"/>
        </w:rPr>
        <w:t xml:space="preserve"> statute of limitatio</w:t>
      </w:r>
      <w:r w:rsidRPr="00D646FF">
        <w:rPr>
          <w:szCs w:val="26"/>
        </w:rPr>
        <w:t xml:space="preserve">ns would undermine </w:t>
      </w:r>
      <w:proofErr w:type="spellStart"/>
      <w:r w:rsidRPr="00D646FF">
        <w:rPr>
          <w:szCs w:val="26"/>
        </w:rPr>
        <w:t>MICRA’s</w:t>
      </w:r>
      <w:proofErr w:type="spellEnd"/>
      <w:r w:rsidRPr="00D646FF">
        <w:rPr>
          <w:szCs w:val="26"/>
        </w:rPr>
        <w:t xml:space="preserve"> overarching goal of reducing the cost of medical malpractice insurance.  However, the majority does not offer any reason to believe that traffic accident claims involving ambulance drivers are covered by medical malpractice </w:t>
      </w:r>
      <w:r w:rsidRPr="00D646FF">
        <w:rPr>
          <w:szCs w:val="26"/>
        </w:rPr>
        <w:lastRenderedPageBreak/>
        <w:t>insur</w:t>
      </w:r>
      <w:r w:rsidRPr="00D646FF">
        <w:rPr>
          <w:szCs w:val="26"/>
        </w:rPr>
        <w:t xml:space="preserve">ance.  Nor does it offer any reason to believe that, if such claims are covered, they are so numerous and costly that they will have a material impact on medical malpractice rates.  In any event, </w:t>
      </w:r>
      <w:proofErr w:type="spellStart"/>
      <w:r w:rsidRPr="00D646FF">
        <w:rPr>
          <w:szCs w:val="26"/>
        </w:rPr>
        <w:t>MICRA’s</w:t>
      </w:r>
      <w:proofErr w:type="spellEnd"/>
      <w:r w:rsidRPr="00D646FF">
        <w:rPr>
          <w:szCs w:val="26"/>
        </w:rPr>
        <w:t xml:space="preserve"> statute of limitations was not intended to shorten t</w:t>
      </w:r>
      <w:r w:rsidRPr="00D646FF">
        <w:rPr>
          <w:szCs w:val="26"/>
        </w:rPr>
        <w:t>he limitations period for tort claims against health care providers.  When MICRA was enacted, personal injury claims were subject to the same one</w:t>
      </w:r>
      <w:r w:rsidRPr="00D646FF">
        <w:rPr>
          <w:szCs w:val="26"/>
        </w:rPr>
        <w:noBreakHyphen/>
        <w:t>year limitations period as under MICRA (</w:t>
      </w:r>
      <w:r w:rsidRPr="00D646FF">
        <w:rPr>
          <w:i/>
          <w:iCs/>
          <w:szCs w:val="26"/>
        </w:rPr>
        <w:t>Flores</w:t>
      </w:r>
      <w:r w:rsidRPr="00D646FF">
        <w:rPr>
          <w:szCs w:val="26"/>
        </w:rPr>
        <w:t xml:space="preserve">, </w:t>
      </w:r>
      <w:r w:rsidRPr="00D646FF">
        <w:rPr>
          <w:i/>
          <w:iCs/>
          <w:szCs w:val="26"/>
        </w:rPr>
        <w:t>supra</w:t>
      </w:r>
      <w:r w:rsidRPr="00D646FF">
        <w:rPr>
          <w:szCs w:val="26"/>
        </w:rPr>
        <w:t xml:space="preserve">, 63 Cal.4th at p. 82), and therefore extending </w:t>
      </w:r>
      <w:proofErr w:type="spellStart"/>
      <w:r w:rsidRPr="00D646FF">
        <w:rPr>
          <w:szCs w:val="26"/>
        </w:rPr>
        <w:t>MICRA’s</w:t>
      </w:r>
      <w:proofErr w:type="spellEnd"/>
      <w:r w:rsidRPr="00D646FF">
        <w:rPr>
          <w:szCs w:val="26"/>
        </w:rPr>
        <w:t xml:space="preserve"> l</w:t>
      </w:r>
      <w:r w:rsidRPr="00D646FF">
        <w:rPr>
          <w:szCs w:val="26"/>
        </w:rPr>
        <w:t>imitations period to personal injury claims would not have limited claims or reduced medical malpractice costs (</w:t>
      </w:r>
      <w:r w:rsidRPr="00D646FF">
        <w:rPr>
          <w:i/>
          <w:iCs/>
          <w:szCs w:val="26"/>
        </w:rPr>
        <w:t>id</w:t>
      </w:r>
      <w:r w:rsidRPr="00D646FF">
        <w:rPr>
          <w:szCs w:val="26"/>
        </w:rPr>
        <w:t xml:space="preserve">. at p. 86).  Indeed, because MICRA adopts a discovery rule that delays the running of the statute of limitations (Code Civ. Proc., § 340.5), </w:t>
      </w:r>
      <w:r w:rsidRPr="00D646FF">
        <w:rPr>
          <w:szCs w:val="26"/>
        </w:rPr>
        <w:t>“at the time MICRA was enacted,” extension of the Act’s statute of limitations “could well have been counterproductive” from a financial perspective.  (</w:t>
      </w:r>
      <w:r w:rsidRPr="00D646FF">
        <w:rPr>
          <w:i/>
          <w:iCs/>
          <w:szCs w:val="26"/>
        </w:rPr>
        <w:t>Flores</w:t>
      </w:r>
      <w:r w:rsidRPr="00D646FF">
        <w:rPr>
          <w:szCs w:val="26"/>
        </w:rPr>
        <w:t xml:space="preserve">, </w:t>
      </w:r>
      <w:r w:rsidRPr="00D646FF">
        <w:rPr>
          <w:i/>
          <w:iCs/>
          <w:szCs w:val="26"/>
        </w:rPr>
        <w:t>supra</w:t>
      </w:r>
      <w:r w:rsidRPr="00D646FF">
        <w:rPr>
          <w:szCs w:val="26"/>
        </w:rPr>
        <w:t xml:space="preserve">, 63 Cal.4th at p. 87, fn. 4.)  </w:t>
      </w:r>
    </w:p>
    <w:p w14:paraId="2A982AB4" w14:textId="77777777" w:rsidR="00D646FF" w:rsidRPr="00D646FF" w:rsidRDefault="00207E98" w:rsidP="00D646FF">
      <w:pPr>
        <w:tabs>
          <w:tab w:val="clear" w:pos="720"/>
        </w:tabs>
        <w:spacing w:line="480" w:lineRule="exact"/>
        <w:ind w:firstLine="720"/>
        <w:rPr>
          <w:szCs w:val="26"/>
        </w:rPr>
      </w:pPr>
      <w:r w:rsidRPr="00D646FF">
        <w:rPr>
          <w:szCs w:val="26"/>
        </w:rPr>
        <w:t>In sum, I see no good reason to reject the approach of the</w:t>
      </w:r>
      <w:r w:rsidRPr="00D646FF">
        <w:rPr>
          <w:szCs w:val="26"/>
        </w:rPr>
        <w:t xml:space="preserve"> </w:t>
      </w:r>
      <w:r w:rsidRPr="00D646FF">
        <w:rPr>
          <w:i/>
          <w:iCs/>
          <w:szCs w:val="26"/>
        </w:rPr>
        <w:t xml:space="preserve">Lee </w:t>
      </w:r>
      <w:r w:rsidRPr="00D646FF">
        <w:rPr>
          <w:szCs w:val="26"/>
        </w:rPr>
        <w:t xml:space="preserve">majority in interpreting </w:t>
      </w:r>
      <w:proofErr w:type="spellStart"/>
      <w:r w:rsidRPr="00D646FF">
        <w:rPr>
          <w:szCs w:val="26"/>
        </w:rPr>
        <w:t>MICRA’s</w:t>
      </w:r>
      <w:proofErr w:type="spellEnd"/>
      <w:r w:rsidRPr="00D646FF">
        <w:rPr>
          <w:szCs w:val="26"/>
        </w:rPr>
        <w:t xml:space="preserve"> statute of limitations, much less to do so in favor of the </w:t>
      </w:r>
      <w:r w:rsidRPr="00D646FF">
        <w:rPr>
          <w:i/>
          <w:iCs/>
          <w:szCs w:val="26"/>
        </w:rPr>
        <w:t xml:space="preserve">Lee </w:t>
      </w:r>
      <w:r w:rsidRPr="00D646FF">
        <w:rPr>
          <w:szCs w:val="26"/>
        </w:rPr>
        <w:t xml:space="preserve">dissent’s approach.  In my view, </w:t>
      </w:r>
      <w:proofErr w:type="spellStart"/>
      <w:r w:rsidRPr="00D646FF">
        <w:rPr>
          <w:szCs w:val="26"/>
        </w:rPr>
        <w:t>MICRA’s</w:t>
      </w:r>
      <w:proofErr w:type="spellEnd"/>
      <w:r w:rsidRPr="00D646FF">
        <w:rPr>
          <w:szCs w:val="26"/>
        </w:rPr>
        <w:t xml:space="preserve"> statute of limitation should be interpreted in accordance with </w:t>
      </w:r>
      <w:r w:rsidRPr="00D646FF">
        <w:rPr>
          <w:i/>
          <w:iCs/>
          <w:szCs w:val="26"/>
        </w:rPr>
        <w:t xml:space="preserve">Lee </w:t>
      </w:r>
      <w:r w:rsidRPr="00D646FF">
        <w:rPr>
          <w:szCs w:val="26"/>
        </w:rPr>
        <w:t>majority’s approach to apply only to claims req</w:t>
      </w:r>
      <w:r w:rsidRPr="00D646FF">
        <w:rPr>
          <w:szCs w:val="26"/>
        </w:rPr>
        <w:t xml:space="preserve">uiring proof that a professional obligation owed by health care providers has been violated.  Because Gutierrez’s claims are based on the generally applicable, nonprofessional duty of care owed by all drivers, I also would conclude that his claims are not </w:t>
      </w:r>
      <w:r w:rsidRPr="00D646FF">
        <w:rPr>
          <w:szCs w:val="26"/>
        </w:rPr>
        <w:t xml:space="preserve">subject to </w:t>
      </w:r>
      <w:proofErr w:type="spellStart"/>
      <w:r w:rsidRPr="00D646FF">
        <w:rPr>
          <w:szCs w:val="26"/>
        </w:rPr>
        <w:t>MICRA’s</w:t>
      </w:r>
      <w:proofErr w:type="spellEnd"/>
      <w:r w:rsidRPr="00D646FF">
        <w:rPr>
          <w:szCs w:val="26"/>
        </w:rPr>
        <w:t xml:space="preserve"> statute of limitations and reverse the judgment.</w:t>
      </w:r>
    </w:p>
    <w:p w14:paraId="4B69DF41" w14:textId="77777777" w:rsidR="004E64A0" w:rsidRDefault="004E64A0" w:rsidP="007D4558">
      <w:pPr>
        <w:sectPr w:rsidR="004E64A0" w:rsidSect="00D646FF">
          <w:footerReference w:type="default" r:id="rId9"/>
          <w:pgSz w:w="12240" w:h="15840"/>
          <w:pgMar w:top="1440" w:right="1440" w:bottom="1440" w:left="1440" w:header="720" w:footer="720" w:gutter="0"/>
          <w:pgNumType w:start="1"/>
          <w:cols w:space="720"/>
          <w:titlePg/>
          <w:docGrid w:linePitch="360"/>
        </w:sectPr>
      </w:pPr>
    </w:p>
    <w:p w14:paraId="3A77A4F8" w14:textId="77777777" w:rsidR="004E64A0" w:rsidRPr="004E64A0" w:rsidRDefault="004E64A0" w:rsidP="004E64A0">
      <w:pPr>
        <w:tabs>
          <w:tab w:val="clear" w:pos="720"/>
        </w:tabs>
        <w:spacing w:line="240" w:lineRule="auto"/>
        <w:rPr>
          <w:rFonts w:eastAsia="Times New Roman"/>
          <w:szCs w:val="26"/>
        </w:rPr>
      </w:pPr>
    </w:p>
    <w:p w14:paraId="1B008594" w14:textId="77777777" w:rsidR="004E64A0" w:rsidRPr="004E64A0" w:rsidRDefault="004E64A0" w:rsidP="004E64A0">
      <w:pPr>
        <w:tabs>
          <w:tab w:val="clear" w:pos="720"/>
        </w:tabs>
        <w:spacing w:line="240" w:lineRule="auto"/>
        <w:rPr>
          <w:rFonts w:eastAsia="Times New Roman"/>
          <w:szCs w:val="26"/>
        </w:rPr>
      </w:pPr>
    </w:p>
    <w:p w14:paraId="7E113D2D" w14:textId="77777777" w:rsidR="004E64A0" w:rsidRPr="004E64A0" w:rsidRDefault="004E64A0" w:rsidP="004E64A0">
      <w:pPr>
        <w:tabs>
          <w:tab w:val="clear" w:pos="720"/>
        </w:tabs>
        <w:spacing w:line="240" w:lineRule="auto"/>
        <w:rPr>
          <w:rFonts w:eastAsia="Times New Roman"/>
          <w:szCs w:val="26"/>
        </w:rPr>
      </w:pPr>
    </w:p>
    <w:p w14:paraId="7664F350" w14:textId="2E59862C" w:rsidR="004E64A0" w:rsidRPr="004E64A0" w:rsidRDefault="00207E98" w:rsidP="004E64A0">
      <w:pPr>
        <w:tabs>
          <w:tab w:val="clear" w:pos="720"/>
        </w:tabs>
        <w:spacing w:line="240" w:lineRule="auto"/>
        <w:ind w:left="2160"/>
        <w:rPr>
          <w:rFonts w:eastAsia="Times New Roman"/>
          <w:szCs w:val="26"/>
        </w:rPr>
      </w:pPr>
      <w:r w:rsidRPr="004E64A0">
        <w:rPr>
          <w:rFonts w:eastAsia="Times New Roman"/>
          <w:szCs w:val="26"/>
        </w:rPr>
        <w:tab/>
      </w:r>
      <w:r w:rsidRPr="004E64A0">
        <w:rPr>
          <w:rFonts w:eastAsia="Times New Roman"/>
          <w:szCs w:val="26"/>
        </w:rPr>
        <w:tab/>
      </w:r>
      <w:r w:rsidRPr="004E64A0">
        <w:rPr>
          <w:rFonts w:eastAsia="Times New Roman"/>
          <w:szCs w:val="26"/>
        </w:rPr>
        <w:tab/>
      </w:r>
      <w:r w:rsidRPr="004E64A0">
        <w:rPr>
          <w:rFonts w:eastAsia="Times New Roman"/>
          <w:szCs w:val="26"/>
        </w:rPr>
        <w:tab/>
      </w:r>
      <w:r w:rsidRPr="004E64A0">
        <w:rPr>
          <w:rFonts w:eastAsia="Times New Roman"/>
          <w:szCs w:val="26"/>
        </w:rPr>
        <w:tab/>
      </w:r>
      <w:r w:rsidRPr="004E64A0">
        <w:rPr>
          <w:rFonts w:eastAsia="Times New Roman"/>
          <w:szCs w:val="26"/>
        </w:rPr>
        <w:tab/>
      </w:r>
      <w:r>
        <w:rPr>
          <w:rFonts w:eastAsia="Times New Roman"/>
          <w:szCs w:val="26"/>
        </w:rPr>
        <w:tab/>
      </w:r>
      <w:r>
        <w:rPr>
          <w:rFonts w:eastAsia="Times New Roman"/>
          <w:szCs w:val="26"/>
        </w:rPr>
        <w:tab/>
      </w:r>
      <w:r>
        <w:rPr>
          <w:rFonts w:eastAsia="Times New Roman"/>
          <w:szCs w:val="26"/>
        </w:rPr>
        <w:tab/>
      </w:r>
      <w:r>
        <w:rPr>
          <w:rFonts w:eastAsia="Times New Roman"/>
          <w:szCs w:val="26"/>
        </w:rPr>
        <w:tab/>
      </w:r>
      <w:r w:rsidRPr="004E64A0">
        <w:rPr>
          <w:rFonts w:eastAsia="Times New Roman"/>
          <w:szCs w:val="26"/>
        </w:rPr>
        <w:tab/>
      </w:r>
      <w:r>
        <w:rPr>
          <w:rFonts w:eastAsia="Times New Roman"/>
          <w:szCs w:val="26"/>
        </w:rPr>
        <w:tab/>
        <w:t xml:space="preserve">  </w:t>
      </w:r>
      <w:r w:rsidRPr="004E64A0">
        <w:rPr>
          <w:rFonts w:eastAsia="Times New Roman"/>
          <w:szCs w:val="26"/>
        </w:rPr>
        <w:t>______________________________________</w:t>
      </w:r>
    </w:p>
    <w:p w14:paraId="19D72998" w14:textId="78AA13CF" w:rsidR="004E64A0" w:rsidRPr="004E64A0" w:rsidRDefault="00207E98" w:rsidP="004E64A0">
      <w:pPr>
        <w:tabs>
          <w:tab w:val="clear" w:pos="720"/>
        </w:tabs>
        <w:spacing w:line="240" w:lineRule="auto"/>
        <w:rPr>
          <w:rFonts w:eastAsia="Times New Roman"/>
          <w:szCs w:val="26"/>
        </w:rPr>
      </w:pPr>
      <w:r w:rsidRPr="004E64A0">
        <w:rPr>
          <w:rFonts w:eastAsia="Times New Roman"/>
          <w:szCs w:val="26"/>
        </w:rPr>
        <w:tab/>
      </w:r>
      <w:r w:rsidRPr="004E64A0">
        <w:rPr>
          <w:rFonts w:eastAsia="Times New Roman"/>
          <w:szCs w:val="26"/>
        </w:rPr>
        <w:tab/>
      </w:r>
      <w:r w:rsidRPr="004E64A0">
        <w:rPr>
          <w:rFonts w:eastAsia="Times New Roman"/>
          <w:szCs w:val="26"/>
        </w:rPr>
        <w:tab/>
      </w:r>
      <w:r w:rsidRPr="004E64A0">
        <w:rPr>
          <w:rFonts w:eastAsia="Times New Roman"/>
          <w:szCs w:val="26"/>
        </w:rPr>
        <w:tab/>
      </w:r>
      <w:r w:rsidRPr="004E64A0">
        <w:rPr>
          <w:rFonts w:eastAsia="Times New Roman"/>
          <w:szCs w:val="26"/>
        </w:rPr>
        <w:tab/>
      </w:r>
      <w:r w:rsidR="008F54A7">
        <w:rPr>
          <w:rFonts w:eastAsia="Times New Roman"/>
          <w:szCs w:val="26"/>
        </w:rPr>
        <w:t xml:space="preserve">   </w:t>
      </w:r>
      <w:r w:rsidRPr="004E64A0">
        <w:rPr>
          <w:rFonts w:eastAsia="Times New Roman"/>
          <w:szCs w:val="26"/>
        </w:rPr>
        <w:t>BROMBERG, J.</w:t>
      </w:r>
    </w:p>
    <w:p w14:paraId="6E63647D" w14:textId="77777777" w:rsidR="004E64A0" w:rsidRPr="004E64A0" w:rsidRDefault="004E64A0" w:rsidP="004E64A0">
      <w:pPr>
        <w:tabs>
          <w:tab w:val="clear" w:pos="720"/>
        </w:tabs>
        <w:spacing w:line="240" w:lineRule="auto"/>
        <w:rPr>
          <w:rFonts w:eastAsia="Times New Roman"/>
          <w:szCs w:val="26"/>
        </w:rPr>
      </w:pPr>
    </w:p>
    <w:p w14:paraId="7612F90E" w14:textId="77777777" w:rsidR="004E64A0" w:rsidRPr="004E64A0" w:rsidRDefault="004E64A0" w:rsidP="004E64A0">
      <w:pPr>
        <w:tabs>
          <w:tab w:val="clear" w:pos="720"/>
        </w:tabs>
        <w:spacing w:line="240" w:lineRule="auto"/>
        <w:rPr>
          <w:rFonts w:eastAsia="Times New Roman"/>
          <w:szCs w:val="26"/>
        </w:rPr>
      </w:pPr>
    </w:p>
    <w:p w14:paraId="50E992C9" w14:textId="77777777" w:rsidR="004E64A0" w:rsidRPr="004E64A0" w:rsidRDefault="004E64A0" w:rsidP="004E64A0">
      <w:pPr>
        <w:tabs>
          <w:tab w:val="clear" w:pos="720"/>
        </w:tabs>
        <w:spacing w:line="240" w:lineRule="auto"/>
        <w:rPr>
          <w:rFonts w:eastAsia="Times New Roman"/>
          <w:szCs w:val="26"/>
        </w:rPr>
      </w:pPr>
    </w:p>
    <w:p w14:paraId="2BB0F6DF" w14:textId="77777777" w:rsidR="004E64A0" w:rsidRPr="004E64A0" w:rsidRDefault="004E64A0" w:rsidP="004E64A0">
      <w:pPr>
        <w:tabs>
          <w:tab w:val="clear" w:pos="720"/>
        </w:tabs>
        <w:spacing w:line="240" w:lineRule="auto"/>
        <w:rPr>
          <w:rFonts w:eastAsia="Times New Roman"/>
          <w:szCs w:val="26"/>
        </w:rPr>
      </w:pPr>
    </w:p>
    <w:p w14:paraId="3EFB9849" w14:textId="77777777" w:rsidR="004E64A0" w:rsidRPr="004E64A0" w:rsidRDefault="004E64A0" w:rsidP="004E64A0">
      <w:pPr>
        <w:tabs>
          <w:tab w:val="clear" w:pos="720"/>
        </w:tabs>
        <w:spacing w:line="240" w:lineRule="auto"/>
        <w:rPr>
          <w:rFonts w:eastAsia="Times New Roman"/>
          <w:szCs w:val="26"/>
        </w:rPr>
      </w:pPr>
    </w:p>
    <w:p w14:paraId="550E091A" w14:textId="77777777" w:rsidR="004E64A0" w:rsidRPr="004E64A0" w:rsidRDefault="004E64A0" w:rsidP="004E64A0">
      <w:pPr>
        <w:tabs>
          <w:tab w:val="clear" w:pos="720"/>
        </w:tabs>
        <w:spacing w:line="240" w:lineRule="auto"/>
        <w:rPr>
          <w:rFonts w:eastAsia="Times New Roman"/>
          <w:szCs w:val="26"/>
        </w:rPr>
      </w:pPr>
    </w:p>
    <w:p w14:paraId="16800975" w14:textId="77777777" w:rsidR="004E64A0" w:rsidRPr="004E64A0" w:rsidRDefault="004E64A0" w:rsidP="004E64A0">
      <w:pPr>
        <w:tabs>
          <w:tab w:val="clear" w:pos="720"/>
        </w:tabs>
        <w:spacing w:line="240" w:lineRule="auto"/>
        <w:rPr>
          <w:rFonts w:eastAsia="Times New Roman"/>
          <w:szCs w:val="26"/>
        </w:rPr>
      </w:pPr>
    </w:p>
    <w:p w14:paraId="48F78D45" w14:textId="77777777" w:rsidR="004E64A0" w:rsidRPr="004E64A0" w:rsidRDefault="004E64A0" w:rsidP="004E64A0">
      <w:pPr>
        <w:tabs>
          <w:tab w:val="clear" w:pos="720"/>
        </w:tabs>
        <w:spacing w:line="240" w:lineRule="auto"/>
        <w:rPr>
          <w:rFonts w:eastAsia="Times New Roman"/>
          <w:szCs w:val="26"/>
        </w:rPr>
      </w:pPr>
    </w:p>
    <w:p w14:paraId="5BF359A5" w14:textId="77777777" w:rsidR="004E64A0" w:rsidRPr="004E64A0" w:rsidRDefault="004E64A0" w:rsidP="004E64A0">
      <w:pPr>
        <w:tabs>
          <w:tab w:val="clear" w:pos="720"/>
        </w:tabs>
        <w:spacing w:line="240" w:lineRule="auto"/>
        <w:rPr>
          <w:rFonts w:eastAsia="Times New Roman"/>
          <w:szCs w:val="26"/>
        </w:rPr>
      </w:pPr>
    </w:p>
    <w:p w14:paraId="21C2F705" w14:textId="77777777" w:rsidR="004E64A0" w:rsidRPr="004E64A0" w:rsidRDefault="004E64A0" w:rsidP="004E64A0">
      <w:pPr>
        <w:tabs>
          <w:tab w:val="clear" w:pos="720"/>
        </w:tabs>
        <w:spacing w:line="240" w:lineRule="auto"/>
        <w:rPr>
          <w:rFonts w:eastAsia="Times New Roman"/>
          <w:szCs w:val="26"/>
        </w:rPr>
      </w:pPr>
    </w:p>
    <w:p w14:paraId="4F8B39C1" w14:textId="77777777" w:rsidR="004E64A0" w:rsidRPr="004E64A0" w:rsidRDefault="004E64A0" w:rsidP="004E64A0">
      <w:pPr>
        <w:tabs>
          <w:tab w:val="clear" w:pos="720"/>
        </w:tabs>
        <w:spacing w:line="240" w:lineRule="auto"/>
        <w:rPr>
          <w:rFonts w:eastAsia="Times New Roman"/>
          <w:szCs w:val="26"/>
        </w:rPr>
      </w:pPr>
    </w:p>
    <w:p w14:paraId="2B339122" w14:textId="77777777" w:rsidR="004E64A0" w:rsidRPr="004E64A0" w:rsidRDefault="004E64A0" w:rsidP="004E64A0">
      <w:pPr>
        <w:tabs>
          <w:tab w:val="clear" w:pos="720"/>
        </w:tabs>
        <w:spacing w:line="240" w:lineRule="auto"/>
        <w:rPr>
          <w:rFonts w:eastAsia="Times New Roman"/>
          <w:szCs w:val="26"/>
        </w:rPr>
      </w:pPr>
    </w:p>
    <w:p w14:paraId="74538E07" w14:textId="77777777" w:rsidR="004E64A0" w:rsidRPr="004E64A0" w:rsidRDefault="004E64A0" w:rsidP="004E64A0">
      <w:pPr>
        <w:tabs>
          <w:tab w:val="clear" w:pos="720"/>
        </w:tabs>
        <w:spacing w:line="240" w:lineRule="auto"/>
        <w:rPr>
          <w:rFonts w:eastAsia="Times New Roman"/>
          <w:szCs w:val="26"/>
        </w:rPr>
      </w:pPr>
    </w:p>
    <w:p w14:paraId="447CAA17" w14:textId="77777777" w:rsidR="004E64A0" w:rsidRPr="004E64A0" w:rsidRDefault="004E64A0" w:rsidP="004E64A0">
      <w:pPr>
        <w:tabs>
          <w:tab w:val="clear" w:pos="720"/>
        </w:tabs>
        <w:spacing w:line="240" w:lineRule="auto"/>
        <w:rPr>
          <w:rFonts w:eastAsia="Times New Roman"/>
          <w:szCs w:val="26"/>
        </w:rPr>
      </w:pPr>
    </w:p>
    <w:p w14:paraId="7D95FE75" w14:textId="77777777" w:rsidR="004E64A0" w:rsidRPr="004E64A0" w:rsidRDefault="004E64A0" w:rsidP="004E64A0">
      <w:pPr>
        <w:tabs>
          <w:tab w:val="clear" w:pos="720"/>
        </w:tabs>
        <w:spacing w:line="240" w:lineRule="auto"/>
        <w:rPr>
          <w:rFonts w:eastAsia="Times New Roman"/>
          <w:szCs w:val="26"/>
        </w:rPr>
      </w:pPr>
    </w:p>
    <w:p w14:paraId="7E4FC0FE" w14:textId="77777777" w:rsidR="004E64A0" w:rsidRPr="004E64A0" w:rsidRDefault="004E64A0" w:rsidP="004E64A0">
      <w:pPr>
        <w:tabs>
          <w:tab w:val="clear" w:pos="720"/>
        </w:tabs>
        <w:spacing w:line="240" w:lineRule="auto"/>
        <w:rPr>
          <w:rFonts w:eastAsia="Times New Roman"/>
          <w:szCs w:val="26"/>
        </w:rPr>
      </w:pPr>
    </w:p>
    <w:p w14:paraId="54ABBF17" w14:textId="77777777" w:rsidR="004E64A0" w:rsidRPr="004E64A0" w:rsidRDefault="004E64A0" w:rsidP="004E64A0">
      <w:pPr>
        <w:tabs>
          <w:tab w:val="clear" w:pos="720"/>
        </w:tabs>
        <w:spacing w:line="240" w:lineRule="auto"/>
        <w:rPr>
          <w:rFonts w:eastAsia="Times New Roman"/>
          <w:szCs w:val="26"/>
        </w:rPr>
      </w:pPr>
    </w:p>
    <w:p w14:paraId="5BCEC812" w14:textId="77777777" w:rsidR="004E64A0" w:rsidRPr="004E64A0" w:rsidRDefault="004E64A0" w:rsidP="004E64A0">
      <w:pPr>
        <w:tabs>
          <w:tab w:val="clear" w:pos="720"/>
        </w:tabs>
        <w:spacing w:line="240" w:lineRule="auto"/>
        <w:rPr>
          <w:rFonts w:eastAsia="Times New Roman"/>
          <w:szCs w:val="26"/>
        </w:rPr>
      </w:pPr>
    </w:p>
    <w:p w14:paraId="26DE37E7" w14:textId="77777777" w:rsidR="004E64A0" w:rsidRPr="004E64A0" w:rsidRDefault="004E64A0" w:rsidP="004E64A0">
      <w:pPr>
        <w:tabs>
          <w:tab w:val="clear" w:pos="720"/>
        </w:tabs>
        <w:spacing w:line="240" w:lineRule="auto"/>
        <w:rPr>
          <w:rFonts w:eastAsia="Times New Roman"/>
          <w:szCs w:val="26"/>
        </w:rPr>
      </w:pPr>
    </w:p>
    <w:p w14:paraId="361358D5" w14:textId="77777777" w:rsidR="004E64A0" w:rsidRPr="004E64A0" w:rsidRDefault="004E64A0" w:rsidP="004E64A0">
      <w:pPr>
        <w:tabs>
          <w:tab w:val="clear" w:pos="720"/>
        </w:tabs>
        <w:spacing w:line="240" w:lineRule="auto"/>
        <w:rPr>
          <w:rFonts w:eastAsia="Times New Roman"/>
          <w:szCs w:val="26"/>
        </w:rPr>
      </w:pPr>
    </w:p>
    <w:p w14:paraId="1F43BAE6" w14:textId="77777777" w:rsidR="004E64A0" w:rsidRPr="004E64A0" w:rsidRDefault="004E64A0" w:rsidP="004E64A0">
      <w:pPr>
        <w:tabs>
          <w:tab w:val="clear" w:pos="720"/>
        </w:tabs>
        <w:spacing w:line="240" w:lineRule="auto"/>
        <w:rPr>
          <w:rFonts w:eastAsia="Times New Roman"/>
          <w:szCs w:val="26"/>
        </w:rPr>
      </w:pPr>
    </w:p>
    <w:p w14:paraId="0465C307" w14:textId="77777777" w:rsidR="004E64A0" w:rsidRPr="004E64A0" w:rsidRDefault="004E64A0" w:rsidP="004E64A0">
      <w:pPr>
        <w:tabs>
          <w:tab w:val="clear" w:pos="720"/>
        </w:tabs>
        <w:spacing w:line="240" w:lineRule="auto"/>
        <w:rPr>
          <w:rFonts w:eastAsia="Times New Roman"/>
          <w:szCs w:val="26"/>
        </w:rPr>
      </w:pPr>
    </w:p>
    <w:p w14:paraId="4EF7A33B" w14:textId="77777777" w:rsidR="004E64A0" w:rsidRPr="004E64A0" w:rsidRDefault="004E64A0" w:rsidP="004E64A0">
      <w:pPr>
        <w:tabs>
          <w:tab w:val="clear" w:pos="720"/>
        </w:tabs>
        <w:spacing w:line="240" w:lineRule="auto"/>
        <w:rPr>
          <w:rFonts w:eastAsia="Times New Roman"/>
          <w:szCs w:val="26"/>
        </w:rPr>
      </w:pPr>
    </w:p>
    <w:p w14:paraId="0D3DF769" w14:textId="77777777" w:rsidR="004E64A0" w:rsidRPr="004E64A0" w:rsidRDefault="004E64A0" w:rsidP="004E64A0">
      <w:pPr>
        <w:tabs>
          <w:tab w:val="clear" w:pos="720"/>
        </w:tabs>
        <w:spacing w:line="240" w:lineRule="auto"/>
        <w:rPr>
          <w:rFonts w:eastAsia="Times New Roman"/>
          <w:szCs w:val="26"/>
        </w:rPr>
      </w:pPr>
    </w:p>
    <w:p w14:paraId="1D493CFB" w14:textId="77777777" w:rsidR="004E64A0" w:rsidRPr="004E64A0" w:rsidRDefault="004E64A0" w:rsidP="004E64A0">
      <w:pPr>
        <w:tabs>
          <w:tab w:val="clear" w:pos="720"/>
        </w:tabs>
        <w:spacing w:line="240" w:lineRule="auto"/>
        <w:rPr>
          <w:rFonts w:eastAsia="Times New Roman"/>
          <w:szCs w:val="26"/>
        </w:rPr>
      </w:pPr>
    </w:p>
    <w:p w14:paraId="1DB527C0" w14:textId="77777777" w:rsidR="004E64A0" w:rsidRPr="004E64A0" w:rsidRDefault="004E64A0" w:rsidP="004E64A0">
      <w:pPr>
        <w:tabs>
          <w:tab w:val="clear" w:pos="720"/>
        </w:tabs>
        <w:spacing w:line="240" w:lineRule="auto"/>
        <w:rPr>
          <w:rFonts w:eastAsia="Times New Roman"/>
          <w:szCs w:val="26"/>
        </w:rPr>
      </w:pPr>
    </w:p>
    <w:p w14:paraId="49C2BDED" w14:textId="77777777" w:rsidR="004E64A0" w:rsidRPr="004E64A0" w:rsidRDefault="004E64A0" w:rsidP="004E64A0">
      <w:pPr>
        <w:tabs>
          <w:tab w:val="clear" w:pos="720"/>
        </w:tabs>
        <w:spacing w:line="240" w:lineRule="auto"/>
        <w:rPr>
          <w:rFonts w:eastAsia="Times New Roman"/>
          <w:szCs w:val="26"/>
        </w:rPr>
      </w:pPr>
    </w:p>
    <w:p w14:paraId="4EFD0A62" w14:textId="77777777" w:rsidR="004E64A0" w:rsidRPr="004E64A0" w:rsidRDefault="004E64A0" w:rsidP="004E64A0">
      <w:pPr>
        <w:tabs>
          <w:tab w:val="clear" w:pos="720"/>
        </w:tabs>
        <w:spacing w:line="240" w:lineRule="auto"/>
        <w:rPr>
          <w:rFonts w:eastAsia="Times New Roman"/>
          <w:szCs w:val="26"/>
        </w:rPr>
      </w:pPr>
    </w:p>
    <w:p w14:paraId="5C8430E9" w14:textId="77777777" w:rsidR="004E64A0" w:rsidRPr="004E64A0" w:rsidRDefault="004E64A0" w:rsidP="004E64A0">
      <w:pPr>
        <w:tabs>
          <w:tab w:val="clear" w:pos="720"/>
        </w:tabs>
        <w:spacing w:line="240" w:lineRule="auto"/>
        <w:rPr>
          <w:rFonts w:eastAsia="Times New Roman"/>
          <w:szCs w:val="26"/>
        </w:rPr>
      </w:pPr>
    </w:p>
    <w:p w14:paraId="56553648" w14:textId="77777777" w:rsidR="004E64A0" w:rsidRPr="004E64A0" w:rsidRDefault="004E64A0" w:rsidP="004E64A0">
      <w:pPr>
        <w:tabs>
          <w:tab w:val="clear" w:pos="720"/>
        </w:tabs>
        <w:spacing w:line="240" w:lineRule="auto"/>
        <w:rPr>
          <w:rFonts w:eastAsia="Times New Roman"/>
          <w:szCs w:val="26"/>
        </w:rPr>
      </w:pPr>
    </w:p>
    <w:p w14:paraId="1E10479E" w14:textId="77777777" w:rsidR="004E64A0" w:rsidRPr="004E64A0" w:rsidRDefault="004E64A0" w:rsidP="004E64A0">
      <w:pPr>
        <w:tabs>
          <w:tab w:val="clear" w:pos="720"/>
        </w:tabs>
        <w:spacing w:line="240" w:lineRule="auto"/>
        <w:rPr>
          <w:rFonts w:eastAsia="Times New Roman"/>
          <w:szCs w:val="26"/>
        </w:rPr>
      </w:pPr>
    </w:p>
    <w:p w14:paraId="71983B9B" w14:textId="77777777" w:rsidR="004E64A0" w:rsidRPr="004E64A0" w:rsidRDefault="004E64A0" w:rsidP="004E64A0">
      <w:pPr>
        <w:tabs>
          <w:tab w:val="clear" w:pos="720"/>
        </w:tabs>
        <w:spacing w:line="240" w:lineRule="auto"/>
        <w:rPr>
          <w:rFonts w:eastAsia="Times New Roman"/>
          <w:szCs w:val="26"/>
        </w:rPr>
      </w:pPr>
    </w:p>
    <w:p w14:paraId="7833A6E3" w14:textId="77777777" w:rsidR="004E64A0" w:rsidRPr="004E64A0" w:rsidRDefault="004E64A0" w:rsidP="004E64A0">
      <w:pPr>
        <w:tabs>
          <w:tab w:val="clear" w:pos="720"/>
        </w:tabs>
        <w:spacing w:line="240" w:lineRule="auto"/>
        <w:rPr>
          <w:rFonts w:eastAsia="Times New Roman"/>
          <w:szCs w:val="26"/>
        </w:rPr>
      </w:pPr>
    </w:p>
    <w:p w14:paraId="4BE13F7E" w14:textId="77777777" w:rsidR="004E64A0" w:rsidRPr="004E64A0" w:rsidRDefault="004E64A0" w:rsidP="004E64A0">
      <w:pPr>
        <w:tabs>
          <w:tab w:val="clear" w:pos="720"/>
        </w:tabs>
        <w:spacing w:line="240" w:lineRule="auto"/>
        <w:rPr>
          <w:rFonts w:eastAsia="Times New Roman"/>
          <w:szCs w:val="26"/>
        </w:rPr>
      </w:pPr>
    </w:p>
    <w:p w14:paraId="1B4DABCD" w14:textId="77777777" w:rsidR="004E64A0" w:rsidRPr="004E64A0" w:rsidRDefault="00207E98" w:rsidP="004E64A0">
      <w:pPr>
        <w:tabs>
          <w:tab w:val="clear" w:pos="720"/>
        </w:tabs>
        <w:spacing w:line="240" w:lineRule="auto"/>
        <w:rPr>
          <w:rFonts w:eastAsia="Times New Roman"/>
          <w:bCs/>
          <w:i/>
          <w:iCs/>
          <w:szCs w:val="26"/>
        </w:rPr>
      </w:pPr>
      <w:r w:rsidRPr="004E64A0">
        <w:rPr>
          <w:rFonts w:eastAsia="Times New Roman"/>
          <w:bCs/>
          <w:i/>
          <w:iCs/>
          <w:szCs w:val="26"/>
        </w:rPr>
        <w:t>Gutierrez v. Tostado et al.</w:t>
      </w:r>
    </w:p>
    <w:p w14:paraId="653ED141" w14:textId="0DC4A7F3" w:rsidR="00DB5D4B" w:rsidRDefault="00207E98" w:rsidP="004E64A0">
      <w:pPr>
        <w:spacing w:line="240" w:lineRule="auto"/>
        <w:rPr>
          <w:rFonts w:eastAsia="Times New Roman"/>
          <w:szCs w:val="26"/>
        </w:rPr>
      </w:pPr>
      <w:r w:rsidRPr="004E64A0">
        <w:rPr>
          <w:rFonts w:eastAsia="Times New Roman"/>
          <w:szCs w:val="26"/>
        </w:rPr>
        <w:t>H049983</w:t>
      </w:r>
    </w:p>
    <w:p w14:paraId="7A37F8B2" w14:textId="77777777" w:rsidR="004E64A0" w:rsidRDefault="004E64A0" w:rsidP="004E64A0">
      <w:pPr>
        <w:spacing w:line="240" w:lineRule="auto"/>
        <w:sectPr w:rsidR="004E64A0" w:rsidSect="00D646FF">
          <w:pgSz w:w="12240" w:h="15840"/>
          <w:pgMar w:top="1440" w:right="1440" w:bottom="1440" w:left="1440" w:header="720" w:footer="720" w:gutter="0"/>
          <w:pgNumType w:start="1"/>
          <w:cols w:space="720"/>
          <w:titlePg/>
          <w:docGrid w:linePitch="360"/>
        </w:sectPr>
      </w:pPr>
    </w:p>
    <w:tbl>
      <w:tblPr>
        <w:tblW w:w="9576" w:type="dxa"/>
        <w:tblLayout w:type="fixed"/>
        <w:tblLook w:val="0000" w:firstRow="0" w:lastRow="0" w:firstColumn="0" w:lastColumn="0" w:noHBand="0" w:noVBand="0"/>
      </w:tblPr>
      <w:tblGrid>
        <w:gridCol w:w="4788"/>
        <w:gridCol w:w="4788"/>
      </w:tblGrid>
      <w:tr w:rsidR="00291A63" w14:paraId="55A686C9" w14:textId="77777777" w:rsidTr="00ED6024">
        <w:tc>
          <w:tcPr>
            <w:tcW w:w="4788" w:type="dxa"/>
          </w:tcPr>
          <w:p w14:paraId="4B66B88E" w14:textId="77777777" w:rsidR="004E64A0" w:rsidRPr="004E64A0" w:rsidRDefault="00207E98" w:rsidP="004E64A0">
            <w:pPr>
              <w:spacing w:line="240" w:lineRule="auto"/>
            </w:pPr>
            <w:r w:rsidRPr="004E64A0">
              <w:lastRenderedPageBreak/>
              <w:t>Trial Court:</w:t>
            </w:r>
          </w:p>
        </w:tc>
        <w:tc>
          <w:tcPr>
            <w:tcW w:w="4788" w:type="dxa"/>
          </w:tcPr>
          <w:p w14:paraId="3EC2FAED" w14:textId="77777777" w:rsidR="004E64A0" w:rsidRPr="004E64A0" w:rsidRDefault="00207E98" w:rsidP="004E64A0">
            <w:pPr>
              <w:spacing w:line="240" w:lineRule="auto"/>
            </w:pPr>
            <w:r w:rsidRPr="004E64A0">
              <w:t>Santa Clara County Superior Court</w:t>
            </w:r>
          </w:p>
          <w:p w14:paraId="592119AF" w14:textId="77777777" w:rsidR="004E64A0" w:rsidRPr="004E64A0" w:rsidRDefault="00207E98" w:rsidP="004E64A0">
            <w:pPr>
              <w:spacing w:line="240" w:lineRule="auto"/>
            </w:pPr>
            <w:r w:rsidRPr="004E64A0">
              <w:t xml:space="preserve">Superior Court No.:  20CV361400 </w:t>
            </w:r>
          </w:p>
          <w:p w14:paraId="65E32244" w14:textId="77777777" w:rsidR="004E64A0" w:rsidRPr="004E64A0" w:rsidRDefault="004E64A0" w:rsidP="004E64A0">
            <w:pPr>
              <w:spacing w:line="240" w:lineRule="auto"/>
            </w:pPr>
          </w:p>
        </w:tc>
      </w:tr>
      <w:tr w:rsidR="00291A63" w14:paraId="16D161B7" w14:textId="77777777" w:rsidTr="00ED6024">
        <w:trPr>
          <w:trHeight w:val="41"/>
        </w:trPr>
        <w:tc>
          <w:tcPr>
            <w:tcW w:w="4788" w:type="dxa"/>
          </w:tcPr>
          <w:p w14:paraId="708D9F10" w14:textId="77777777" w:rsidR="004E64A0" w:rsidRPr="004E64A0" w:rsidRDefault="00207E98" w:rsidP="004E64A0">
            <w:pPr>
              <w:spacing w:line="240" w:lineRule="auto"/>
            </w:pPr>
            <w:r w:rsidRPr="004E64A0">
              <w:t>Trial Judge:</w:t>
            </w:r>
          </w:p>
        </w:tc>
        <w:tc>
          <w:tcPr>
            <w:tcW w:w="4788" w:type="dxa"/>
          </w:tcPr>
          <w:p w14:paraId="041C250C" w14:textId="77777777" w:rsidR="004E64A0" w:rsidRPr="004E64A0" w:rsidRDefault="00207E98" w:rsidP="004E64A0">
            <w:pPr>
              <w:spacing w:line="240" w:lineRule="auto"/>
            </w:pPr>
            <w:r w:rsidRPr="004E64A0">
              <w:t>The Honorable Christopher G. Rudy</w:t>
            </w:r>
          </w:p>
          <w:p w14:paraId="46C5F721" w14:textId="77777777" w:rsidR="004E64A0" w:rsidRPr="004E64A0" w:rsidRDefault="004E64A0" w:rsidP="004E64A0">
            <w:pPr>
              <w:spacing w:line="240" w:lineRule="auto"/>
            </w:pPr>
          </w:p>
          <w:p w14:paraId="33A6888D" w14:textId="77777777" w:rsidR="004E64A0" w:rsidRPr="004E64A0" w:rsidRDefault="004E64A0" w:rsidP="004E64A0">
            <w:pPr>
              <w:spacing w:line="240" w:lineRule="auto"/>
            </w:pPr>
          </w:p>
        </w:tc>
      </w:tr>
      <w:tr w:rsidR="00291A63" w14:paraId="0E778AC1" w14:textId="77777777" w:rsidTr="00ED6024">
        <w:tc>
          <w:tcPr>
            <w:tcW w:w="4788" w:type="dxa"/>
          </w:tcPr>
          <w:p w14:paraId="799E70CF" w14:textId="77777777" w:rsidR="004E64A0" w:rsidRPr="004E64A0" w:rsidRDefault="00207E98" w:rsidP="004E64A0">
            <w:pPr>
              <w:spacing w:line="240" w:lineRule="auto"/>
            </w:pPr>
            <w:r w:rsidRPr="004E64A0">
              <w:t>Attorneys for Plaintiff and Appellant,</w:t>
            </w:r>
          </w:p>
          <w:p w14:paraId="4E5AB267" w14:textId="77777777" w:rsidR="004E64A0" w:rsidRPr="004E64A0" w:rsidRDefault="00207E98" w:rsidP="004E64A0">
            <w:pPr>
              <w:spacing w:line="240" w:lineRule="auto"/>
            </w:pPr>
            <w:r w:rsidRPr="004E64A0">
              <w:t>Francisco Gutierrez:</w:t>
            </w:r>
          </w:p>
          <w:p w14:paraId="087B0757" w14:textId="77777777" w:rsidR="004E64A0" w:rsidRPr="004E64A0" w:rsidRDefault="004E64A0" w:rsidP="004E64A0">
            <w:pPr>
              <w:spacing w:line="240" w:lineRule="auto"/>
            </w:pPr>
          </w:p>
          <w:p w14:paraId="72D559FC" w14:textId="77777777" w:rsidR="004E64A0" w:rsidRPr="004E64A0" w:rsidRDefault="004E64A0" w:rsidP="004E64A0">
            <w:pPr>
              <w:spacing w:line="240" w:lineRule="auto"/>
            </w:pPr>
          </w:p>
          <w:p w14:paraId="7DEA2063" w14:textId="77777777" w:rsidR="004E64A0" w:rsidRPr="004E64A0" w:rsidRDefault="004E64A0" w:rsidP="004E64A0">
            <w:pPr>
              <w:spacing w:line="240" w:lineRule="auto"/>
            </w:pPr>
          </w:p>
          <w:p w14:paraId="19E9824F" w14:textId="77777777" w:rsidR="004E64A0" w:rsidRPr="004E64A0" w:rsidRDefault="004E64A0" w:rsidP="004E64A0">
            <w:pPr>
              <w:spacing w:line="240" w:lineRule="auto"/>
            </w:pPr>
          </w:p>
          <w:p w14:paraId="2E38CC6B" w14:textId="77777777" w:rsidR="004E64A0" w:rsidRPr="004E64A0" w:rsidRDefault="004E64A0" w:rsidP="004E64A0">
            <w:pPr>
              <w:spacing w:line="240" w:lineRule="auto"/>
            </w:pPr>
          </w:p>
        </w:tc>
        <w:tc>
          <w:tcPr>
            <w:tcW w:w="4788" w:type="dxa"/>
          </w:tcPr>
          <w:p w14:paraId="5406F5CB" w14:textId="77777777" w:rsidR="004E64A0" w:rsidRPr="004E64A0" w:rsidRDefault="004E64A0" w:rsidP="004E64A0">
            <w:pPr>
              <w:spacing w:line="240" w:lineRule="auto"/>
            </w:pPr>
          </w:p>
          <w:p w14:paraId="2A104D2E" w14:textId="77777777" w:rsidR="004E64A0" w:rsidRPr="004E64A0" w:rsidRDefault="00207E98" w:rsidP="004E64A0">
            <w:pPr>
              <w:spacing w:line="240" w:lineRule="auto"/>
            </w:pPr>
            <w:r w:rsidRPr="004E64A0">
              <w:t>Southwest Legal Group</w:t>
            </w:r>
          </w:p>
          <w:p w14:paraId="4E6DAEC8" w14:textId="77777777" w:rsidR="004E64A0" w:rsidRPr="004E64A0" w:rsidRDefault="00207E98" w:rsidP="004E64A0">
            <w:pPr>
              <w:spacing w:line="240" w:lineRule="auto"/>
            </w:pPr>
            <w:r w:rsidRPr="004E64A0">
              <w:t>Anthony Robert Lopez, Jr.</w:t>
            </w:r>
          </w:p>
          <w:p w14:paraId="60D71D06" w14:textId="77777777" w:rsidR="004E64A0" w:rsidRPr="004E64A0" w:rsidRDefault="004E64A0" w:rsidP="004E64A0">
            <w:pPr>
              <w:spacing w:line="240" w:lineRule="auto"/>
            </w:pPr>
          </w:p>
          <w:p w14:paraId="37815E60" w14:textId="77777777" w:rsidR="004E64A0" w:rsidRPr="004E64A0" w:rsidRDefault="00207E98" w:rsidP="004E64A0">
            <w:pPr>
              <w:spacing w:line="240" w:lineRule="auto"/>
            </w:pPr>
            <w:r w:rsidRPr="004E64A0">
              <w:t>The Ehrlich Law Firm</w:t>
            </w:r>
          </w:p>
          <w:p w14:paraId="790E51A1" w14:textId="77777777" w:rsidR="004E64A0" w:rsidRPr="004E64A0" w:rsidRDefault="00207E98" w:rsidP="004E64A0">
            <w:pPr>
              <w:spacing w:line="240" w:lineRule="auto"/>
            </w:pPr>
            <w:r w:rsidRPr="004E64A0">
              <w:t>Jeffrey I. Ehrlich</w:t>
            </w:r>
          </w:p>
          <w:p w14:paraId="355E75A4" w14:textId="77777777" w:rsidR="004E64A0" w:rsidRPr="004E64A0" w:rsidRDefault="00207E98" w:rsidP="004E64A0">
            <w:pPr>
              <w:spacing w:line="240" w:lineRule="auto"/>
            </w:pPr>
            <w:r w:rsidRPr="004E64A0">
              <w:t>Clinton E. Ehrlich-Quinn</w:t>
            </w:r>
          </w:p>
          <w:p w14:paraId="03D3DAA4" w14:textId="77777777" w:rsidR="004E64A0" w:rsidRPr="004E64A0" w:rsidRDefault="004E64A0" w:rsidP="004E64A0">
            <w:pPr>
              <w:spacing w:line="240" w:lineRule="auto"/>
            </w:pPr>
          </w:p>
          <w:p w14:paraId="717772AF" w14:textId="77777777" w:rsidR="004E64A0" w:rsidRPr="004E64A0" w:rsidRDefault="004E64A0" w:rsidP="004E64A0">
            <w:pPr>
              <w:spacing w:line="240" w:lineRule="auto"/>
            </w:pPr>
          </w:p>
        </w:tc>
      </w:tr>
      <w:tr w:rsidR="00291A63" w14:paraId="446F0970" w14:textId="77777777" w:rsidTr="00ED6024">
        <w:tc>
          <w:tcPr>
            <w:tcW w:w="4788" w:type="dxa"/>
          </w:tcPr>
          <w:p w14:paraId="1B12C63D" w14:textId="77777777" w:rsidR="004E64A0" w:rsidRPr="004E64A0" w:rsidRDefault="00207E98" w:rsidP="004E64A0">
            <w:pPr>
              <w:spacing w:line="240" w:lineRule="auto"/>
            </w:pPr>
            <w:r w:rsidRPr="004E64A0">
              <w:t>Attorneys for Defendants and Respondents,</w:t>
            </w:r>
          </w:p>
          <w:p w14:paraId="3A4BC783" w14:textId="5F58837D" w:rsidR="004E64A0" w:rsidRPr="004E64A0" w:rsidRDefault="00207E98" w:rsidP="004E64A0">
            <w:pPr>
              <w:spacing w:line="240" w:lineRule="auto"/>
            </w:pPr>
            <w:r w:rsidRPr="004E64A0">
              <w:t>Uriel Tostado</w:t>
            </w:r>
            <w:r>
              <w:t xml:space="preserve"> and </w:t>
            </w:r>
            <w:r w:rsidRPr="004E64A0">
              <w:t>Pro</w:t>
            </w:r>
            <w:r w:rsidR="008F54A7">
              <w:t>T</w:t>
            </w:r>
            <w:r w:rsidRPr="004E64A0">
              <w:t>ransport-1 LLC:</w:t>
            </w:r>
          </w:p>
        </w:tc>
        <w:tc>
          <w:tcPr>
            <w:tcW w:w="4788" w:type="dxa"/>
          </w:tcPr>
          <w:p w14:paraId="0831ACA8" w14:textId="77777777" w:rsidR="004E64A0" w:rsidRPr="004E64A0" w:rsidRDefault="004E64A0" w:rsidP="004E64A0">
            <w:pPr>
              <w:spacing w:line="240" w:lineRule="auto"/>
            </w:pPr>
          </w:p>
          <w:p w14:paraId="74B9681E" w14:textId="77777777" w:rsidR="004E64A0" w:rsidRPr="004E64A0" w:rsidRDefault="00207E98" w:rsidP="004E64A0">
            <w:pPr>
              <w:spacing w:line="240" w:lineRule="auto"/>
            </w:pPr>
            <w:r w:rsidRPr="004E64A0">
              <w:t xml:space="preserve">Manning &amp; </w:t>
            </w:r>
            <w:proofErr w:type="spellStart"/>
            <w:r w:rsidRPr="004E64A0">
              <w:t>Kass</w:t>
            </w:r>
            <w:proofErr w:type="spellEnd"/>
            <w:r w:rsidRPr="004E64A0">
              <w:t xml:space="preserve"> </w:t>
            </w:r>
            <w:proofErr w:type="spellStart"/>
            <w:r w:rsidRPr="004E64A0">
              <w:t>Ellrod</w:t>
            </w:r>
            <w:proofErr w:type="spellEnd"/>
            <w:r w:rsidRPr="004E64A0">
              <w:t xml:space="preserve"> Ramirez </w:t>
            </w:r>
            <w:proofErr w:type="spellStart"/>
            <w:r w:rsidRPr="004E64A0">
              <w:t>Trester</w:t>
            </w:r>
            <w:proofErr w:type="spellEnd"/>
            <w:r w:rsidRPr="004E64A0">
              <w:t xml:space="preserve"> LLP</w:t>
            </w:r>
          </w:p>
          <w:p w14:paraId="07DC44DB" w14:textId="77777777" w:rsidR="004E64A0" w:rsidRPr="004E64A0" w:rsidRDefault="00207E98" w:rsidP="004E64A0">
            <w:pPr>
              <w:spacing w:line="240" w:lineRule="auto"/>
            </w:pPr>
            <w:r w:rsidRPr="004E64A0">
              <w:t>David Vincent Roth</w:t>
            </w:r>
          </w:p>
          <w:p w14:paraId="284A4613" w14:textId="77777777" w:rsidR="004E64A0" w:rsidRPr="004E64A0" w:rsidRDefault="00207E98" w:rsidP="004E64A0">
            <w:pPr>
              <w:spacing w:line="240" w:lineRule="auto"/>
            </w:pPr>
            <w:r w:rsidRPr="004E64A0">
              <w:t xml:space="preserve">Mark R. </w:t>
            </w:r>
            <w:r w:rsidRPr="004E64A0">
              <w:t>Wilson</w:t>
            </w:r>
          </w:p>
        </w:tc>
      </w:tr>
      <w:tr w:rsidR="00291A63" w14:paraId="60D1E066" w14:textId="77777777" w:rsidTr="00ED6024">
        <w:tc>
          <w:tcPr>
            <w:tcW w:w="4788" w:type="dxa"/>
          </w:tcPr>
          <w:p w14:paraId="72C9F2EA" w14:textId="77777777" w:rsidR="004E64A0" w:rsidRPr="004E64A0" w:rsidRDefault="004E64A0" w:rsidP="004E64A0">
            <w:pPr>
              <w:spacing w:line="240" w:lineRule="auto"/>
            </w:pPr>
          </w:p>
        </w:tc>
        <w:tc>
          <w:tcPr>
            <w:tcW w:w="4788" w:type="dxa"/>
          </w:tcPr>
          <w:p w14:paraId="4878E40F" w14:textId="77777777" w:rsidR="004E64A0" w:rsidRPr="004E64A0" w:rsidRDefault="004E64A0" w:rsidP="004E64A0">
            <w:pPr>
              <w:spacing w:line="240" w:lineRule="auto"/>
            </w:pPr>
          </w:p>
        </w:tc>
      </w:tr>
    </w:tbl>
    <w:p w14:paraId="6E9A97CC" w14:textId="77777777" w:rsidR="004E64A0" w:rsidRPr="004E64A0" w:rsidRDefault="004E64A0" w:rsidP="004E64A0">
      <w:pPr>
        <w:spacing w:line="240" w:lineRule="auto"/>
      </w:pPr>
    </w:p>
    <w:p w14:paraId="3BBE58C8" w14:textId="77777777" w:rsidR="004E64A0" w:rsidRPr="004E64A0" w:rsidRDefault="004E64A0" w:rsidP="004E64A0">
      <w:pPr>
        <w:spacing w:line="240" w:lineRule="auto"/>
      </w:pPr>
    </w:p>
    <w:p w14:paraId="1060CB3F" w14:textId="77777777" w:rsidR="004E64A0" w:rsidRPr="004E64A0" w:rsidRDefault="004E64A0" w:rsidP="004E64A0">
      <w:pPr>
        <w:spacing w:line="240" w:lineRule="auto"/>
      </w:pPr>
    </w:p>
    <w:p w14:paraId="6C61FA83" w14:textId="77777777" w:rsidR="004E64A0" w:rsidRPr="004E64A0" w:rsidRDefault="004E64A0" w:rsidP="004E64A0">
      <w:pPr>
        <w:spacing w:line="240" w:lineRule="auto"/>
        <w:rPr>
          <w:bCs/>
          <w:i/>
          <w:iCs/>
        </w:rPr>
      </w:pPr>
    </w:p>
    <w:p w14:paraId="05D47080" w14:textId="77777777" w:rsidR="004E64A0" w:rsidRPr="004E64A0" w:rsidRDefault="004E64A0" w:rsidP="004E64A0">
      <w:pPr>
        <w:spacing w:line="240" w:lineRule="auto"/>
        <w:rPr>
          <w:bCs/>
          <w:i/>
          <w:iCs/>
        </w:rPr>
      </w:pPr>
    </w:p>
    <w:p w14:paraId="41EC8A2F" w14:textId="77777777" w:rsidR="004E64A0" w:rsidRPr="004E64A0" w:rsidRDefault="004E64A0" w:rsidP="004E64A0">
      <w:pPr>
        <w:spacing w:line="240" w:lineRule="auto"/>
        <w:rPr>
          <w:bCs/>
          <w:i/>
          <w:iCs/>
        </w:rPr>
      </w:pPr>
    </w:p>
    <w:p w14:paraId="2A7E02F2" w14:textId="77777777" w:rsidR="004E64A0" w:rsidRPr="004E64A0" w:rsidRDefault="004E64A0" w:rsidP="004E64A0">
      <w:pPr>
        <w:spacing w:line="240" w:lineRule="auto"/>
        <w:rPr>
          <w:bCs/>
          <w:i/>
          <w:iCs/>
        </w:rPr>
      </w:pPr>
    </w:p>
    <w:p w14:paraId="3F43B789" w14:textId="77777777" w:rsidR="004E64A0" w:rsidRPr="004E64A0" w:rsidRDefault="004E64A0" w:rsidP="004E64A0">
      <w:pPr>
        <w:spacing w:line="240" w:lineRule="auto"/>
        <w:rPr>
          <w:bCs/>
          <w:i/>
          <w:iCs/>
        </w:rPr>
      </w:pPr>
    </w:p>
    <w:p w14:paraId="23E4D066" w14:textId="77777777" w:rsidR="004E64A0" w:rsidRPr="004E64A0" w:rsidRDefault="004E64A0" w:rsidP="004E64A0">
      <w:pPr>
        <w:spacing w:line="240" w:lineRule="auto"/>
        <w:rPr>
          <w:bCs/>
          <w:i/>
          <w:iCs/>
        </w:rPr>
      </w:pPr>
    </w:p>
    <w:p w14:paraId="1C1B936D" w14:textId="77777777" w:rsidR="004E64A0" w:rsidRPr="004E64A0" w:rsidRDefault="004E64A0" w:rsidP="004E64A0">
      <w:pPr>
        <w:spacing w:line="240" w:lineRule="auto"/>
        <w:rPr>
          <w:bCs/>
          <w:i/>
          <w:iCs/>
        </w:rPr>
      </w:pPr>
    </w:p>
    <w:p w14:paraId="68F3832E" w14:textId="77777777" w:rsidR="004E64A0" w:rsidRPr="004E64A0" w:rsidRDefault="004E64A0" w:rsidP="004E64A0">
      <w:pPr>
        <w:spacing w:line="240" w:lineRule="auto"/>
        <w:rPr>
          <w:bCs/>
          <w:i/>
          <w:iCs/>
        </w:rPr>
      </w:pPr>
    </w:p>
    <w:p w14:paraId="60FC5998" w14:textId="77777777" w:rsidR="004E64A0" w:rsidRPr="004E64A0" w:rsidRDefault="00207E98" w:rsidP="004E64A0">
      <w:pPr>
        <w:spacing w:line="240" w:lineRule="auto"/>
        <w:rPr>
          <w:bCs/>
          <w:i/>
          <w:iCs/>
        </w:rPr>
      </w:pPr>
      <w:r w:rsidRPr="004E64A0">
        <w:rPr>
          <w:bCs/>
          <w:i/>
          <w:iCs/>
        </w:rPr>
        <w:t>H049983</w:t>
      </w:r>
    </w:p>
    <w:p w14:paraId="4C060CE9" w14:textId="77777777" w:rsidR="004E64A0" w:rsidRPr="004E64A0" w:rsidRDefault="00207E98" w:rsidP="004E64A0">
      <w:pPr>
        <w:spacing w:line="240" w:lineRule="auto"/>
        <w:rPr>
          <w:bCs/>
          <w:i/>
          <w:iCs/>
        </w:rPr>
      </w:pPr>
      <w:r w:rsidRPr="004E64A0">
        <w:rPr>
          <w:bCs/>
          <w:i/>
          <w:iCs/>
        </w:rPr>
        <w:t>Gutierrez v. Tostado et al.</w:t>
      </w:r>
    </w:p>
    <w:p w14:paraId="31B7FB7F" w14:textId="77777777" w:rsidR="004E64A0" w:rsidRPr="00A63908" w:rsidRDefault="004E64A0" w:rsidP="004E64A0">
      <w:pPr>
        <w:spacing w:line="240" w:lineRule="auto"/>
      </w:pPr>
    </w:p>
    <w:sectPr w:rsidR="004E64A0" w:rsidRPr="00A63908" w:rsidSect="00D646FF">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491D" w14:textId="77777777" w:rsidR="00207E98" w:rsidRDefault="00207E98">
      <w:pPr>
        <w:spacing w:line="240" w:lineRule="auto"/>
      </w:pPr>
      <w:r>
        <w:separator/>
      </w:r>
    </w:p>
  </w:endnote>
  <w:endnote w:type="continuationSeparator" w:id="0">
    <w:p w14:paraId="4CF89D1E" w14:textId="77777777" w:rsidR="00207E98" w:rsidRDefault="00207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24914"/>
      <w:docPartObj>
        <w:docPartGallery w:val="Page Numbers (Bottom of Page)"/>
        <w:docPartUnique/>
      </w:docPartObj>
    </w:sdtPr>
    <w:sdtEndPr>
      <w:rPr>
        <w:noProof/>
      </w:rPr>
    </w:sdtEndPr>
    <w:sdtContent>
      <w:p w14:paraId="21FE2328" w14:textId="3FB2C4CE" w:rsidR="0035547E" w:rsidRDefault="00207E98" w:rsidP="00342E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382358"/>
      <w:docPartObj>
        <w:docPartGallery w:val="Page Numbers (Bottom of Page)"/>
        <w:docPartUnique/>
      </w:docPartObj>
    </w:sdtPr>
    <w:sdtEndPr>
      <w:rPr>
        <w:noProof/>
      </w:rPr>
    </w:sdtEndPr>
    <w:sdtContent>
      <w:p w14:paraId="2AAB0A71" w14:textId="77777777" w:rsidR="00615C97" w:rsidRDefault="00207E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C5CBA" w14:textId="77777777" w:rsidR="00615C97" w:rsidRDefault="0061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A06B" w14:textId="77777777" w:rsidR="00FD70B3" w:rsidRDefault="00207E98" w:rsidP="001C2CEE">
      <w:pPr>
        <w:spacing w:line="240" w:lineRule="auto"/>
      </w:pPr>
      <w:r>
        <w:separator/>
      </w:r>
    </w:p>
  </w:footnote>
  <w:footnote w:type="continuationSeparator" w:id="0">
    <w:p w14:paraId="000DE259" w14:textId="77777777" w:rsidR="00FD70B3" w:rsidRDefault="00207E98" w:rsidP="001C2CEE">
      <w:pPr>
        <w:spacing w:line="240" w:lineRule="auto"/>
      </w:pPr>
      <w:r>
        <w:continuationSeparator/>
      </w:r>
    </w:p>
  </w:footnote>
  <w:footnote w:id="1">
    <w:p w14:paraId="36CA0389" w14:textId="47C71CED" w:rsidR="000E0568" w:rsidRDefault="00207E98">
      <w:pPr>
        <w:pStyle w:val="FootnoteText"/>
      </w:pPr>
      <w:r>
        <w:tab/>
      </w:r>
      <w:r>
        <w:rPr>
          <w:rStyle w:val="FootnoteReference"/>
        </w:rPr>
        <w:footnoteRef/>
      </w:r>
      <w:r>
        <w:t xml:space="preserve"> Gutierrez filed his notice of appeal on April 19, 2022, after the trial court had granted summary judgment </w:t>
      </w:r>
      <w:r w:rsidR="00114F4D">
        <w:t>in favor of</w:t>
      </w:r>
      <w:r>
        <w:t xml:space="preserve"> the defendants but prior to</w:t>
      </w:r>
      <w:r w:rsidR="00426395">
        <w:t xml:space="preserve"> </w:t>
      </w:r>
      <w:r>
        <w:t xml:space="preserve">judgment being entered. </w:t>
      </w:r>
      <w:r w:rsidR="00FE716B">
        <w:t xml:space="preserve"> </w:t>
      </w:r>
      <w:r>
        <w:t xml:space="preserve">We issued an </w:t>
      </w:r>
      <w:r w:rsidR="00AF3CD4">
        <w:t>o</w:t>
      </w:r>
      <w:r>
        <w:t xml:space="preserve">rder to </w:t>
      </w:r>
      <w:r w:rsidR="00AF3CD4">
        <w:t>s</w:t>
      </w:r>
      <w:r>
        <w:t xml:space="preserve">how </w:t>
      </w:r>
      <w:r w:rsidR="00AF3CD4">
        <w:t>c</w:t>
      </w:r>
      <w:r>
        <w:t>ause as to why Gutierrez’s appeal should not be dismiss</w:t>
      </w:r>
      <w:r>
        <w:t>ed as premature.</w:t>
      </w:r>
      <w:r w:rsidR="00AF3CD4">
        <w:t xml:space="preserve"> </w:t>
      </w:r>
      <w:r w:rsidR="00FE716B">
        <w:t xml:space="preserve"> </w:t>
      </w:r>
      <w:r w:rsidR="00AF3CD4">
        <w:t xml:space="preserve"> </w:t>
      </w:r>
      <w:r>
        <w:t xml:space="preserve">After </w:t>
      </w:r>
      <w:r w:rsidR="00004770">
        <w:t xml:space="preserve">the trial court filed the judgment and </w:t>
      </w:r>
      <w:r w:rsidR="002E47A6">
        <w:t xml:space="preserve">Gutierrez </w:t>
      </w:r>
      <w:r w:rsidR="00004770">
        <w:t xml:space="preserve">submitted </w:t>
      </w:r>
      <w:r w:rsidR="002E47A6">
        <w:t xml:space="preserve">a </w:t>
      </w:r>
      <w:r w:rsidR="008B034C">
        <w:t>notice</w:t>
      </w:r>
      <w:r w:rsidR="002E47A6">
        <w:t xml:space="preserve"> of submission of judgment, w</w:t>
      </w:r>
      <w:r>
        <w:t xml:space="preserve">e discharged </w:t>
      </w:r>
      <w:r w:rsidR="00426395">
        <w:t>the</w:t>
      </w:r>
      <w:r>
        <w:t xml:space="preserve"> </w:t>
      </w:r>
      <w:r w:rsidR="00AF3CD4">
        <w:t>order</w:t>
      </w:r>
      <w:r w:rsidR="00004770">
        <w:t xml:space="preserve"> to show cause</w:t>
      </w:r>
      <w:r w:rsidR="00AF3CD4">
        <w:t xml:space="preserve"> </w:t>
      </w:r>
      <w:r>
        <w:t xml:space="preserve">and deemed </w:t>
      </w:r>
      <w:r w:rsidR="0011189E">
        <w:t>Gutierrez’s</w:t>
      </w:r>
      <w:r>
        <w:t xml:space="preserve"> notice of appeal filed on July 11, 2022</w:t>
      </w:r>
      <w:r w:rsidR="002E47A6">
        <w:t xml:space="preserve">, the </w:t>
      </w:r>
      <w:r w:rsidR="00004770">
        <w:t>date judgment was entered</w:t>
      </w:r>
      <w:r w:rsidR="008B034C">
        <w:t xml:space="preserve">. </w:t>
      </w:r>
    </w:p>
  </w:footnote>
  <w:footnote w:id="2">
    <w:p w14:paraId="7908DE8E" w14:textId="70F70FE0" w:rsidR="00486929" w:rsidRDefault="00207E98">
      <w:pPr>
        <w:pStyle w:val="FootnoteText"/>
      </w:pPr>
      <w:r>
        <w:tab/>
      </w:r>
      <w:r>
        <w:rPr>
          <w:rStyle w:val="FootnoteReference"/>
        </w:rPr>
        <w:footnoteRef/>
      </w:r>
      <w:r>
        <w:t xml:space="preserve"> All statutory references are to the Code of Civil Procedure, unless otherwise stated.  </w:t>
      </w:r>
    </w:p>
  </w:footnote>
  <w:footnote w:id="3">
    <w:p w14:paraId="6AE1AAB4" w14:textId="441E444A" w:rsidR="003B7CFB" w:rsidRDefault="00207E98">
      <w:pPr>
        <w:pStyle w:val="FootnoteText"/>
      </w:pPr>
      <w:r>
        <w:tab/>
      </w:r>
      <w:r>
        <w:rPr>
          <w:rStyle w:val="FootnoteReference"/>
        </w:rPr>
        <w:footnoteRef/>
      </w:r>
      <w:r>
        <w:t xml:space="preserve"> In </w:t>
      </w:r>
      <w:r>
        <w:rPr>
          <w:i/>
          <w:iCs/>
        </w:rPr>
        <w:t>Lee</w:t>
      </w:r>
      <w:r>
        <w:t xml:space="preserve">, the Court considered “section </w:t>
      </w:r>
      <w:r w:rsidRPr="00E65790">
        <w:t>340.5</w:t>
      </w:r>
      <w:r w:rsidR="004A34A5">
        <w:t>’</w:t>
      </w:r>
      <w:r w:rsidRPr="00E65790">
        <w:t xml:space="preserve">s neighboring provision imposing a one-year statute of limitations for </w:t>
      </w:r>
      <w:r>
        <w:t>‘</w:t>
      </w:r>
      <w:r w:rsidRPr="00E65790">
        <w:t>[a]n action against an attorney for a wrongful a</w:t>
      </w:r>
      <w:r w:rsidRPr="00E65790">
        <w:t>ct or omission, other than for actual fraud, arising in the performance of professional services.</w:t>
      </w:r>
      <w:r>
        <w:t>’</w:t>
      </w:r>
      <w:r w:rsidRPr="00E65790">
        <w:t xml:space="preserve"> </w:t>
      </w:r>
      <w:r w:rsidR="004A34A5">
        <w:t xml:space="preserve"> </w:t>
      </w:r>
      <w:r>
        <w:t>[</w:t>
      </w:r>
      <w:r w:rsidR="004A34A5">
        <w:t>C</w:t>
      </w:r>
      <w:r>
        <w:t>itation</w:t>
      </w:r>
      <w:r w:rsidR="004A34A5">
        <w:t>.</w:t>
      </w:r>
      <w:r>
        <w:t>]”  (</w:t>
      </w:r>
      <w:r>
        <w:rPr>
          <w:i/>
          <w:iCs/>
        </w:rPr>
        <w:t>Flores, supra</w:t>
      </w:r>
      <w:r w:rsidRPr="005823C0">
        <w:t>,</w:t>
      </w:r>
      <w:r>
        <w:rPr>
          <w:i/>
          <w:iCs/>
        </w:rPr>
        <w:t xml:space="preserve"> </w:t>
      </w:r>
      <w:r w:rsidRPr="00214D32">
        <w:t xml:space="preserve">63 Cal.4th </w:t>
      </w:r>
      <w:r>
        <w:t xml:space="preserve">at p. 87.)  The </w:t>
      </w:r>
      <w:r w:rsidR="00DA4AAA">
        <w:t>c</w:t>
      </w:r>
      <w:r>
        <w:t>ourt</w:t>
      </w:r>
      <w:r w:rsidRPr="00E65790">
        <w:t xml:space="preserve"> </w:t>
      </w:r>
      <w:r>
        <w:t>decided</w:t>
      </w:r>
      <w:r w:rsidRPr="00E65790">
        <w:t xml:space="preserve"> </w:t>
      </w:r>
      <w:r w:rsidR="00532C79">
        <w:t>“</w:t>
      </w:r>
      <w:r w:rsidRPr="00E65790">
        <w:t xml:space="preserve">that section 340.6(a) is properly read to apply to claims that </w:t>
      </w:r>
      <w:r>
        <w:t>‘</w:t>
      </w:r>
      <w:r w:rsidRPr="00E65790">
        <w:t>depend on proof that an attorney violated a professional obligation in the course of providing professional services.</w:t>
      </w:r>
      <w:r>
        <w:t xml:space="preserve">’ </w:t>
      </w:r>
      <w:r w:rsidR="00DA4AAA">
        <w:t xml:space="preserve"> </w:t>
      </w:r>
      <w:r>
        <w:t>[</w:t>
      </w:r>
      <w:r w:rsidR="00DA4AAA">
        <w:t>C</w:t>
      </w:r>
      <w:r>
        <w:t>itation.]”</w:t>
      </w:r>
      <w:r w:rsidRPr="00E65790">
        <w:t xml:space="preserve"> </w:t>
      </w:r>
      <w:r>
        <w:t xml:space="preserve"> (</w:t>
      </w:r>
      <w:r>
        <w:rPr>
          <w:i/>
          <w:iCs/>
        </w:rPr>
        <w:t>Ibid.</w:t>
      </w:r>
      <w:r>
        <w:t>)  Explaining that the statute excludes services unr</w:t>
      </w:r>
      <w:r>
        <w:t>elated to the law or matters that entail violations of professional obligations that may overlap with obligations that all persons have, t</w:t>
      </w:r>
      <w:r w:rsidRPr="00E65790">
        <w:t xml:space="preserve">he </w:t>
      </w:r>
      <w:r w:rsidR="00DA4AAA">
        <w:t>c</w:t>
      </w:r>
      <w:r>
        <w:t>ourt emphasized that</w:t>
      </w:r>
      <w:r w:rsidRPr="00E65790">
        <w:t xml:space="preserve"> </w:t>
      </w:r>
      <w:r>
        <w:t xml:space="preserve">the statute applies when </w:t>
      </w:r>
      <w:r w:rsidRPr="00E65790">
        <w:t>an attorney violate</w:t>
      </w:r>
      <w:r>
        <w:t>s</w:t>
      </w:r>
      <w:r w:rsidRPr="00E65790">
        <w:t xml:space="preserve"> a professional obligation as opposed to some ge</w:t>
      </w:r>
      <w:r w:rsidRPr="00E65790">
        <w:t>nerally applicable nonprofessional obligation.</w:t>
      </w:r>
      <w:r>
        <w:t xml:space="preserve"> </w:t>
      </w:r>
      <w:r w:rsidRPr="00E65790">
        <w:t xml:space="preserve"> (</w:t>
      </w:r>
      <w:r w:rsidRPr="00E65790">
        <w:rPr>
          <w:i/>
          <w:iCs/>
        </w:rPr>
        <w:t>Id.</w:t>
      </w:r>
      <w:r>
        <w:t xml:space="preserve"> at pp. 87-88.</w:t>
      </w:r>
      <w:r w:rsidRPr="00E6579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B8C"/>
    <w:multiLevelType w:val="hybridMultilevel"/>
    <w:tmpl w:val="A2228A0A"/>
    <w:lvl w:ilvl="0" w:tplc="CF184728">
      <w:start w:val="1"/>
      <w:numFmt w:val="decimal"/>
      <w:lvlText w:val="%1."/>
      <w:lvlJc w:val="left"/>
      <w:pPr>
        <w:ind w:left="720" w:hanging="360"/>
      </w:pPr>
      <w:rPr>
        <w:rFonts w:hint="default"/>
      </w:rPr>
    </w:lvl>
    <w:lvl w:ilvl="1" w:tplc="18083C48" w:tentative="1">
      <w:start w:val="1"/>
      <w:numFmt w:val="lowerLetter"/>
      <w:lvlText w:val="%2."/>
      <w:lvlJc w:val="left"/>
      <w:pPr>
        <w:ind w:left="1440" w:hanging="360"/>
      </w:pPr>
    </w:lvl>
    <w:lvl w:ilvl="2" w:tplc="0CC43B1C" w:tentative="1">
      <w:start w:val="1"/>
      <w:numFmt w:val="lowerRoman"/>
      <w:lvlText w:val="%3."/>
      <w:lvlJc w:val="right"/>
      <w:pPr>
        <w:ind w:left="2160" w:hanging="180"/>
      </w:pPr>
    </w:lvl>
    <w:lvl w:ilvl="3" w:tplc="ED127FD0" w:tentative="1">
      <w:start w:val="1"/>
      <w:numFmt w:val="decimal"/>
      <w:lvlText w:val="%4."/>
      <w:lvlJc w:val="left"/>
      <w:pPr>
        <w:ind w:left="2880" w:hanging="360"/>
      </w:pPr>
    </w:lvl>
    <w:lvl w:ilvl="4" w:tplc="C79AE448" w:tentative="1">
      <w:start w:val="1"/>
      <w:numFmt w:val="lowerLetter"/>
      <w:lvlText w:val="%5."/>
      <w:lvlJc w:val="left"/>
      <w:pPr>
        <w:ind w:left="3600" w:hanging="360"/>
      </w:pPr>
    </w:lvl>
    <w:lvl w:ilvl="5" w:tplc="5AB401A2" w:tentative="1">
      <w:start w:val="1"/>
      <w:numFmt w:val="lowerRoman"/>
      <w:lvlText w:val="%6."/>
      <w:lvlJc w:val="right"/>
      <w:pPr>
        <w:ind w:left="4320" w:hanging="180"/>
      </w:pPr>
    </w:lvl>
    <w:lvl w:ilvl="6" w:tplc="EC1C6DE4" w:tentative="1">
      <w:start w:val="1"/>
      <w:numFmt w:val="decimal"/>
      <w:lvlText w:val="%7."/>
      <w:lvlJc w:val="left"/>
      <w:pPr>
        <w:ind w:left="5040" w:hanging="360"/>
      </w:pPr>
    </w:lvl>
    <w:lvl w:ilvl="7" w:tplc="3C92FE62" w:tentative="1">
      <w:start w:val="1"/>
      <w:numFmt w:val="lowerLetter"/>
      <w:lvlText w:val="%8."/>
      <w:lvlJc w:val="left"/>
      <w:pPr>
        <w:ind w:left="5760" w:hanging="360"/>
      </w:pPr>
    </w:lvl>
    <w:lvl w:ilvl="8" w:tplc="B2B67ED4" w:tentative="1">
      <w:start w:val="1"/>
      <w:numFmt w:val="lowerRoman"/>
      <w:lvlText w:val="%9."/>
      <w:lvlJc w:val="right"/>
      <w:pPr>
        <w:ind w:left="6480" w:hanging="180"/>
      </w:pPr>
    </w:lvl>
  </w:abstractNum>
  <w:abstractNum w:abstractNumId="1" w15:restartNumberingAfterBreak="0">
    <w:nsid w:val="0B7F33E6"/>
    <w:multiLevelType w:val="hybridMultilevel"/>
    <w:tmpl w:val="AD46C318"/>
    <w:lvl w:ilvl="0" w:tplc="468E107A">
      <w:start w:val="1"/>
      <w:numFmt w:val="upperRoman"/>
      <w:lvlText w:val="%1."/>
      <w:lvlJc w:val="left"/>
      <w:pPr>
        <w:ind w:left="1080" w:hanging="720"/>
      </w:pPr>
      <w:rPr>
        <w:rFonts w:hint="default"/>
        <w:b/>
        <w:bCs/>
      </w:rPr>
    </w:lvl>
    <w:lvl w:ilvl="1" w:tplc="58D42644" w:tentative="1">
      <w:start w:val="1"/>
      <w:numFmt w:val="lowerLetter"/>
      <w:lvlText w:val="%2."/>
      <w:lvlJc w:val="left"/>
      <w:pPr>
        <w:ind w:left="1440" w:hanging="360"/>
      </w:pPr>
    </w:lvl>
    <w:lvl w:ilvl="2" w:tplc="863A03A2" w:tentative="1">
      <w:start w:val="1"/>
      <w:numFmt w:val="lowerRoman"/>
      <w:lvlText w:val="%3."/>
      <w:lvlJc w:val="right"/>
      <w:pPr>
        <w:ind w:left="2160" w:hanging="180"/>
      </w:pPr>
    </w:lvl>
    <w:lvl w:ilvl="3" w:tplc="A1BE7560" w:tentative="1">
      <w:start w:val="1"/>
      <w:numFmt w:val="decimal"/>
      <w:lvlText w:val="%4."/>
      <w:lvlJc w:val="left"/>
      <w:pPr>
        <w:ind w:left="2880" w:hanging="360"/>
      </w:pPr>
    </w:lvl>
    <w:lvl w:ilvl="4" w:tplc="50508066" w:tentative="1">
      <w:start w:val="1"/>
      <w:numFmt w:val="lowerLetter"/>
      <w:lvlText w:val="%5."/>
      <w:lvlJc w:val="left"/>
      <w:pPr>
        <w:ind w:left="3600" w:hanging="360"/>
      </w:pPr>
    </w:lvl>
    <w:lvl w:ilvl="5" w:tplc="6D76C368" w:tentative="1">
      <w:start w:val="1"/>
      <w:numFmt w:val="lowerRoman"/>
      <w:lvlText w:val="%6."/>
      <w:lvlJc w:val="right"/>
      <w:pPr>
        <w:ind w:left="4320" w:hanging="180"/>
      </w:pPr>
    </w:lvl>
    <w:lvl w:ilvl="6" w:tplc="ED84703C" w:tentative="1">
      <w:start w:val="1"/>
      <w:numFmt w:val="decimal"/>
      <w:lvlText w:val="%7."/>
      <w:lvlJc w:val="left"/>
      <w:pPr>
        <w:ind w:left="5040" w:hanging="360"/>
      </w:pPr>
    </w:lvl>
    <w:lvl w:ilvl="7" w:tplc="3DEABB0C" w:tentative="1">
      <w:start w:val="1"/>
      <w:numFmt w:val="lowerLetter"/>
      <w:lvlText w:val="%8."/>
      <w:lvlJc w:val="left"/>
      <w:pPr>
        <w:ind w:left="5760" w:hanging="360"/>
      </w:pPr>
    </w:lvl>
    <w:lvl w:ilvl="8" w:tplc="6538B5D2" w:tentative="1">
      <w:start w:val="1"/>
      <w:numFmt w:val="lowerRoman"/>
      <w:lvlText w:val="%9."/>
      <w:lvlJc w:val="right"/>
      <w:pPr>
        <w:ind w:left="6480" w:hanging="180"/>
      </w:pPr>
    </w:lvl>
  </w:abstractNum>
  <w:abstractNum w:abstractNumId="2" w15:restartNumberingAfterBreak="0">
    <w:nsid w:val="32BE66C4"/>
    <w:multiLevelType w:val="hybridMultilevel"/>
    <w:tmpl w:val="44C84130"/>
    <w:lvl w:ilvl="0" w:tplc="A91C2270">
      <w:start w:val="1"/>
      <w:numFmt w:val="upperLetter"/>
      <w:lvlText w:val="%1."/>
      <w:lvlJc w:val="left"/>
      <w:pPr>
        <w:ind w:left="720" w:hanging="360"/>
      </w:pPr>
      <w:rPr>
        <w:rFonts w:hint="default"/>
      </w:rPr>
    </w:lvl>
    <w:lvl w:ilvl="1" w:tplc="A404CAC8" w:tentative="1">
      <w:start w:val="1"/>
      <w:numFmt w:val="lowerLetter"/>
      <w:lvlText w:val="%2."/>
      <w:lvlJc w:val="left"/>
      <w:pPr>
        <w:ind w:left="1440" w:hanging="360"/>
      </w:pPr>
    </w:lvl>
    <w:lvl w:ilvl="2" w:tplc="CEA63106" w:tentative="1">
      <w:start w:val="1"/>
      <w:numFmt w:val="lowerRoman"/>
      <w:lvlText w:val="%3."/>
      <w:lvlJc w:val="right"/>
      <w:pPr>
        <w:ind w:left="2160" w:hanging="180"/>
      </w:pPr>
    </w:lvl>
    <w:lvl w:ilvl="3" w:tplc="18082C14" w:tentative="1">
      <w:start w:val="1"/>
      <w:numFmt w:val="decimal"/>
      <w:lvlText w:val="%4."/>
      <w:lvlJc w:val="left"/>
      <w:pPr>
        <w:ind w:left="2880" w:hanging="360"/>
      </w:pPr>
    </w:lvl>
    <w:lvl w:ilvl="4" w:tplc="61EAAD2E" w:tentative="1">
      <w:start w:val="1"/>
      <w:numFmt w:val="lowerLetter"/>
      <w:lvlText w:val="%5."/>
      <w:lvlJc w:val="left"/>
      <w:pPr>
        <w:ind w:left="3600" w:hanging="360"/>
      </w:pPr>
    </w:lvl>
    <w:lvl w:ilvl="5" w:tplc="2BBE64EE" w:tentative="1">
      <w:start w:val="1"/>
      <w:numFmt w:val="lowerRoman"/>
      <w:lvlText w:val="%6."/>
      <w:lvlJc w:val="right"/>
      <w:pPr>
        <w:ind w:left="4320" w:hanging="180"/>
      </w:pPr>
    </w:lvl>
    <w:lvl w:ilvl="6" w:tplc="73CCEFDE" w:tentative="1">
      <w:start w:val="1"/>
      <w:numFmt w:val="decimal"/>
      <w:lvlText w:val="%7."/>
      <w:lvlJc w:val="left"/>
      <w:pPr>
        <w:ind w:left="5040" w:hanging="360"/>
      </w:pPr>
    </w:lvl>
    <w:lvl w:ilvl="7" w:tplc="A2B43E40" w:tentative="1">
      <w:start w:val="1"/>
      <w:numFmt w:val="lowerLetter"/>
      <w:lvlText w:val="%8."/>
      <w:lvlJc w:val="left"/>
      <w:pPr>
        <w:ind w:left="5760" w:hanging="360"/>
      </w:pPr>
    </w:lvl>
    <w:lvl w:ilvl="8" w:tplc="7FBAA94C" w:tentative="1">
      <w:start w:val="1"/>
      <w:numFmt w:val="lowerRoman"/>
      <w:lvlText w:val="%9."/>
      <w:lvlJc w:val="right"/>
      <w:pPr>
        <w:ind w:left="6480" w:hanging="180"/>
      </w:pPr>
    </w:lvl>
  </w:abstractNum>
  <w:abstractNum w:abstractNumId="3" w15:restartNumberingAfterBreak="0">
    <w:nsid w:val="6D7D2F10"/>
    <w:multiLevelType w:val="hybridMultilevel"/>
    <w:tmpl w:val="D79E3F52"/>
    <w:lvl w:ilvl="0" w:tplc="097E75AA">
      <w:start w:val="1"/>
      <w:numFmt w:val="upperRoman"/>
      <w:lvlText w:val="%1."/>
      <w:lvlJc w:val="left"/>
      <w:pPr>
        <w:ind w:left="1080" w:hanging="720"/>
      </w:pPr>
      <w:rPr>
        <w:rFonts w:hint="default"/>
      </w:rPr>
    </w:lvl>
    <w:lvl w:ilvl="1" w:tplc="8738D278" w:tentative="1">
      <w:start w:val="1"/>
      <w:numFmt w:val="lowerLetter"/>
      <w:lvlText w:val="%2."/>
      <w:lvlJc w:val="left"/>
      <w:pPr>
        <w:ind w:left="1440" w:hanging="360"/>
      </w:pPr>
    </w:lvl>
    <w:lvl w:ilvl="2" w:tplc="F4586906" w:tentative="1">
      <w:start w:val="1"/>
      <w:numFmt w:val="lowerRoman"/>
      <w:lvlText w:val="%3."/>
      <w:lvlJc w:val="right"/>
      <w:pPr>
        <w:ind w:left="2160" w:hanging="180"/>
      </w:pPr>
    </w:lvl>
    <w:lvl w:ilvl="3" w:tplc="7F1E4928" w:tentative="1">
      <w:start w:val="1"/>
      <w:numFmt w:val="decimal"/>
      <w:lvlText w:val="%4."/>
      <w:lvlJc w:val="left"/>
      <w:pPr>
        <w:ind w:left="2880" w:hanging="360"/>
      </w:pPr>
    </w:lvl>
    <w:lvl w:ilvl="4" w:tplc="D1C02C4C" w:tentative="1">
      <w:start w:val="1"/>
      <w:numFmt w:val="lowerLetter"/>
      <w:lvlText w:val="%5."/>
      <w:lvlJc w:val="left"/>
      <w:pPr>
        <w:ind w:left="3600" w:hanging="360"/>
      </w:pPr>
    </w:lvl>
    <w:lvl w:ilvl="5" w:tplc="A4E6BE96" w:tentative="1">
      <w:start w:val="1"/>
      <w:numFmt w:val="lowerRoman"/>
      <w:lvlText w:val="%6."/>
      <w:lvlJc w:val="right"/>
      <w:pPr>
        <w:ind w:left="4320" w:hanging="180"/>
      </w:pPr>
    </w:lvl>
    <w:lvl w:ilvl="6" w:tplc="272E5DE8" w:tentative="1">
      <w:start w:val="1"/>
      <w:numFmt w:val="decimal"/>
      <w:lvlText w:val="%7."/>
      <w:lvlJc w:val="left"/>
      <w:pPr>
        <w:ind w:left="5040" w:hanging="360"/>
      </w:pPr>
    </w:lvl>
    <w:lvl w:ilvl="7" w:tplc="E9EA4472" w:tentative="1">
      <w:start w:val="1"/>
      <w:numFmt w:val="lowerLetter"/>
      <w:lvlText w:val="%8."/>
      <w:lvlJc w:val="left"/>
      <w:pPr>
        <w:ind w:left="5760" w:hanging="360"/>
      </w:pPr>
    </w:lvl>
    <w:lvl w:ilvl="8" w:tplc="2728ADB2" w:tentative="1">
      <w:start w:val="1"/>
      <w:numFmt w:val="lowerRoman"/>
      <w:lvlText w:val="%9."/>
      <w:lvlJc w:val="right"/>
      <w:pPr>
        <w:ind w:left="6480" w:hanging="180"/>
      </w:pPr>
    </w:lvl>
  </w:abstractNum>
  <w:abstractNum w:abstractNumId="4" w15:restartNumberingAfterBreak="0">
    <w:nsid w:val="6E295C23"/>
    <w:multiLevelType w:val="hybridMultilevel"/>
    <w:tmpl w:val="07045F72"/>
    <w:lvl w:ilvl="0" w:tplc="535C6E64">
      <w:start w:val="1"/>
      <w:numFmt w:val="decimal"/>
      <w:lvlText w:val="%1."/>
      <w:lvlJc w:val="left"/>
      <w:pPr>
        <w:ind w:left="720" w:hanging="360"/>
      </w:pPr>
      <w:rPr>
        <w:rFonts w:hint="default"/>
      </w:rPr>
    </w:lvl>
    <w:lvl w:ilvl="1" w:tplc="49B032BA" w:tentative="1">
      <w:start w:val="1"/>
      <w:numFmt w:val="lowerLetter"/>
      <w:lvlText w:val="%2."/>
      <w:lvlJc w:val="left"/>
      <w:pPr>
        <w:ind w:left="1440" w:hanging="360"/>
      </w:pPr>
    </w:lvl>
    <w:lvl w:ilvl="2" w:tplc="67664090" w:tentative="1">
      <w:start w:val="1"/>
      <w:numFmt w:val="lowerRoman"/>
      <w:lvlText w:val="%3."/>
      <w:lvlJc w:val="right"/>
      <w:pPr>
        <w:ind w:left="2160" w:hanging="180"/>
      </w:pPr>
    </w:lvl>
    <w:lvl w:ilvl="3" w:tplc="42A2D426" w:tentative="1">
      <w:start w:val="1"/>
      <w:numFmt w:val="decimal"/>
      <w:lvlText w:val="%4."/>
      <w:lvlJc w:val="left"/>
      <w:pPr>
        <w:ind w:left="2880" w:hanging="360"/>
      </w:pPr>
    </w:lvl>
    <w:lvl w:ilvl="4" w:tplc="7276B3AE" w:tentative="1">
      <w:start w:val="1"/>
      <w:numFmt w:val="lowerLetter"/>
      <w:lvlText w:val="%5."/>
      <w:lvlJc w:val="left"/>
      <w:pPr>
        <w:ind w:left="3600" w:hanging="360"/>
      </w:pPr>
    </w:lvl>
    <w:lvl w:ilvl="5" w:tplc="8C24DDB0" w:tentative="1">
      <w:start w:val="1"/>
      <w:numFmt w:val="lowerRoman"/>
      <w:lvlText w:val="%6."/>
      <w:lvlJc w:val="right"/>
      <w:pPr>
        <w:ind w:left="4320" w:hanging="180"/>
      </w:pPr>
    </w:lvl>
    <w:lvl w:ilvl="6" w:tplc="5C72E802" w:tentative="1">
      <w:start w:val="1"/>
      <w:numFmt w:val="decimal"/>
      <w:lvlText w:val="%7."/>
      <w:lvlJc w:val="left"/>
      <w:pPr>
        <w:ind w:left="5040" w:hanging="360"/>
      </w:pPr>
    </w:lvl>
    <w:lvl w:ilvl="7" w:tplc="4538ED28" w:tentative="1">
      <w:start w:val="1"/>
      <w:numFmt w:val="lowerLetter"/>
      <w:lvlText w:val="%8."/>
      <w:lvlJc w:val="left"/>
      <w:pPr>
        <w:ind w:left="5760" w:hanging="360"/>
      </w:pPr>
    </w:lvl>
    <w:lvl w:ilvl="8" w:tplc="C5D650B0" w:tentative="1">
      <w:start w:val="1"/>
      <w:numFmt w:val="lowerRoman"/>
      <w:lvlText w:val="%9."/>
      <w:lvlJc w:val="right"/>
      <w:pPr>
        <w:ind w:left="6480" w:hanging="180"/>
      </w:pPr>
    </w:lvl>
  </w:abstractNum>
  <w:abstractNum w:abstractNumId="5" w15:restartNumberingAfterBreak="0">
    <w:nsid w:val="75965DD3"/>
    <w:multiLevelType w:val="hybridMultilevel"/>
    <w:tmpl w:val="4816FD8A"/>
    <w:lvl w:ilvl="0" w:tplc="963CFCFA">
      <w:start w:val="1"/>
      <w:numFmt w:val="decimal"/>
      <w:lvlText w:val="%1."/>
      <w:lvlJc w:val="left"/>
      <w:pPr>
        <w:ind w:left="1080" w:hanging="360"/>
      </w:pPr>
      <w:rPr>
        <w:rFonts w:hint="default"/>
      </w:rPr>
    </w:lvl>
    <w:lvl w:ilvl="1" w:tplc="CDEC6896" w:tentative="1">
      <w:start w:val="1"/>
      <w:numFmt w:val="lowerLetter"/>
      <w:lvlText w:val="%2."/>
      <w:lvlJc w:val="left"/>
      <w:pPr>
        <w:ind w:left="1800" w:hanging="360"/>
      </w:pPr>
    </w:lvl>
    <w:lvl w:ilvl="2" w:tplc="B1741E60" w:tentative="1">
      <w:start w:val="1"/>
      <w:numFmt w:val="lowerRoman"/>
      <w:lvlText w:val="%3."/>
      <w:lvlJc w:val="right"/>
      <w:pPr>
        <w:ind w:left="2520" w:hanging="180"/>
      </w:pPr>
    </w:lvl>
    <w:lvl w:ilvl="3" w:tplc="B1802666" w:tentative="1">
      <w:start w:val="1"/>
      <w:numFmt w:val="decimal"/>
      <w:lvlText w:val="%4."/>
      <w:lvlJc w:val="left"/>
      <w:pPr>
        <w:ind w:left="3240" w:hanging="360"/>
      </w:pPr>
    </w:lvl>
    <w:lvl w:ilvl="4" w:tplc="8E42248E" w:tentative="1">
      <w:start w:val="1"/>
      <w:numFmt w:val="lowerLetter"/>
      <w:lvlText w:val="%5."/>
      <w:lvlJc w:val="left"/>
      <w:pPr>
        <w:ind w:left="3960" w:hanging="360"/>
      </w:pPr>
    </w:lvl>
    <w:lvl w:ilvl="5" w:tplc="D6A036F0" w:tentative="1">
      <w:start w:val="1"/>
      <w:numFmt w:val="lowerRoman"/>
      <w:lvlText w:val="%6."/>
      <w:lvlJc w:val="right"/>
      <w:pPr>
        <w:ind w:left="4680" w:hanging="180"/>
      </w:pPr>
    </w:lvl>
    <w:lvl w:ilvl="6" w:tplc="25020780" w:tentative="1">
      <w:start w:val="1"/>
      <w:numFmt w:val="decimal"/>
      <w:lvlText w:val="%7."/>
      <w:lvlJc w:val="left"/>
      <w:pPr>
        <w:ind w:left="5400" w:hanging="360"/>
      </w:pPr>
    </w:lvl>
    <w:lvl w:ilvl="7" w:tplc="300CAA9A" w:tentative="1">
      <w:start w:val="1"/>
      <w:numFmt w:val="lowerLetter"/>
      <w:lvlText w:val="%8."/>
      <w:lvlJc w:val="left"/>
      <w:pPr>
        <w:ind w:left="6120" w:hanging="360"/>
      </w:pPr>
    </w:lvl>
    <w:lvl w:ilvl="8" w:tplc="74BA6A0C" w:tentative="1">
      <w:start w:val="1"/>
      <w:numFmt w:val="lowerRoman"/>
      <w:lvlText w:val="%9."/>
      <w:lvlJc w:val="right"/>
      <w:pPr>
        <w:ind w:left="6840" w:hanging="180"/>
      </w:pPr>
    </w:lvl>
  </w:abstractNum>
  <w:abstractNum w:abstractNumId="6" w15:restartNumberingAfterBreak="0">
    <w:nsid w:val="7B5125F3"/>
    <w:multiLevelType w:val="hybridMultilevel"/>
    <w:tmpl w:val="AFEA1948"/>
    <w:lvl w:ilvl="0" w:tplc="51721B32">
      <w:start w:val="2"/>
      <w:numFmt w:val="upperRoman"/>
      <w:lvlText w:val="%1&gt;"/>
      <w:lvlJc w:val="left"/>
      <w:pPr>
        <w:ind w:left="1800" w:hanging="720"/>
      </w:pPr>
      <w:rPr>
        <w:rFonts w:hint="default"/>
      </w:rPr>
    </w:lvl>
    <w:lvl w:ilvl="1" w:tplc="B4DCD156" w:tentative="1">
      <w:start w:val="1"/>
      <w:numFmt w:val="lowerLetter"/>
      <w:lvlText w:val="%2."/>
      <w:lvlJc w:val="left"/>
      <w:pPr>
        <w:ind w:left="2160" w:hanging="360"/>
      </w:pPr>
    </w:lvl>
    <w:lvl w:ilvl="2" w:tplc="5874B0D2" w:tentative="1">
      <w:start w:val="1"/>
      <w:numFmt w:val="lowerRoman"/>
      <w:lvlText w:val="%3."/>
      <w:lvlJc w:val="right"/>
      <w:pPr>
        <w:ind w:left="2880" w:hanging="180"/>
      </w:pPr>
    </w:lvl>
    <w:lvl w:ilvl="3" w:tplc="E4E6F4D0" w:tentative="1">
      <w:start w:val="1"/>
      <w:numFmt w:val="decimal"/>
      <w:lvlText w:val="%4."/>
      <w:lvlJc w:val="left"/>
      <w:pPr>
        <w:ind w:left="3600" w:hanging="360"/>
      </w:pPr>
    </w:lvl>
    <w:lvl w:ilvl="4" w:tplc="988A56CC" w:tentative="1">
      <w:start w:val="1"/>
      <w:numFmt w:val="lowerLetter"/>
      <w:lvlText w:val="%5."/>
      <w:lvlJc w:val="left"/>
      <w:pPr>
        <w:ind w:left="4320" w:hanging="360"/>
      </w:pPr>
    </w:lvl>
    <w:lvl w:ilvl="5" w:tplc="595A3C16" w:tentative="1">
      <w:start w:val="1"/>
      <w:numFmt w:val="lowerRoman"/>
      <w:lvlText w:val="%6."/>
      <w:lvlJc w:val="right"/>
      <w:pPr>
        <w:ind w:left="5040" w:hanging="180"/>
      </w:pPr>
    </w:lvl>
    <w:lvl w:ilvl="6" w:tplc="9C4A6D5E" w:tentative="1">
      <w:start w:val="1"/>
      <w:numFmt w:val="decimal"/>
      <w:lvlText w:val="%7."/>
      <w:lvlJc w:val="left"/>
      <w:pPr>
        <w:ind w:left="5760" w:hanging="360"/>
      </w:pPr>
    </w:lvl>
    <w:lvl w:ilvl="7" w:tplc="28F6BD06" w:tentative="1">
      <w:start w:val="1"/>
      <w:numFmt w:val="lowerLetter"/>
      <w:lvlText w:val="%8."/>
      <w:lvlJc w:val="left"/>
      <w:pPr>
        <w:ind w:left="6480" w:hanging="360"/>
      </w:pPr>
    </w:lvl>
    <w:lvl w:ilvl="8" w:tplc="013EF98C" w:tentative="1">
      <w:start w:val="1"/>
      <w:numFmt w:val="lowerRoman"/>
      <w:lvlText w:val="%9."/>
      <w:lvlJc w:val="right"/>
      <w:pPr>
        <w:ind w:left="7200" w:hanging="180"/>
      </w:pPr>
    </w:lvl>
  </w:abstractNum>
  <w:num w:numId="1" w16cid:durableId="589631028">
    <w:abstractNumId w:val="3"/>
  </w:num>
  <w:num w:numId="2" w16cid:durableId="217518986">
    <w:abstractNumId w:val="2"/>
  </w:num>
  <w:num w:numId="3" w16cid:durableId="1701590812">
    <w:abstractNumId w:val="0"/>
  </w:num>
  <w:num w:numId="4" w16cid:durableId="531571793">
    <w:abstractNumId w:val="4"/>
  </w:num>
  <w:num w:numId="5" w16cid:durableId="1341394829">
    <w:abstractNumId w:val="5"/>
  </w:num>
  <w:num w:numId="6" w16cid:durableId="2018338954">
    <w:abstractNumId w:val="1"/>
  </w:num>
  <w:num w:numId="7" w16cid:durableId="825710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08"/>
    <w:rsid w:val="0000019E"/>
    <w:rsid w:val="0000416B"/>
    <w:rsid w:val="00004770"/>
    <w:rsid w:val="000062A6"/>
    <w:rsid w:val="00010624"/>
    <w:rsid w:val="0001195B"/>
    <w:rsid w:val="000129E0"/>
    <w:rsid w:val="000147A8"/>
    <w:rsid w:val="000147CB"/>
    <w:rsid w:val="00014C97"/>
    <w:rsid w:val="000169D4"/>
    <w:rsid w:val="000179B3"/>
    <w:rsid w:val="00024BFC"/>
    <w:rsid w:val="0002555E"/>
    <w:rsid w:val="000268FA"/>
    <w:rsid w:val="00031C68"/>
    <w:rsid w:val="00033255"/>
    <w:rsid w:val="00033D14"/>
    <w:rsid w:val="00036B90"/>
    <w:rsid w:val="000376EA"/>
    <w:rsid w:val="00037B8F"/>
    <w:rsid w:val="00041709"/>
    <w:rsid w:val="0004581E"/>
    <w:rsid w:val="000462DB"/>
    <w:rsid w:val="000469A4"/>
    <w:rsid w:val="00053DA5"/>
    <w:rsid w:val="00056E8C"/>
    <w:rsid w:val="00061A43"/>
    <w:rsid w:val="00062676"/>
    <w:rsid w:val="00062A73"/>
    <w:rsid w:val="00063604"/>
    <w:rsid w:val="00070667"/>
    <w:rsid w:val="00071363"/>
    <w:rsid w:val="000718C0"/>
    <w:rsid w:val="00071FF0"/>
    <w:rsid w:val="00076966"/>
    <w:rsid w:val="00082036"/>
    <w:rsid w:val="00085142"/>
    <w:rsid w:val="000871AD"/>
    <w:rsid w:val="00087666"/>
    <w:rsid w:val="00090C0C"/>
    <w:rsid w:val="000953CD"/>
    <w:rsid w:val="000978CF"/>
    <w:rsid w:val="000A152C"/>
    <w:rsid w:val="000A1966"/>
    <w:rsid w:val="000A3042"/>
    <w:rsid w:val="000A7C40"/>
    <w:rsid w:val="000B05FA"/>
    <w:rsid w:val="000B130C"/>
    <w:rsid w:val="000B1D3F"/>
    <w:rsid w:val="000B3286"/>
    <w:rsid w:val="000B577D"/>
    <w:rsid w:val="000B5E37"/>
    <w:rsid w:val="000B6B14"/>
    <w:rsid w:val="000B7014"/>
    <w:rsid w:val="000B7BB0"/>
    <w:rsid w:val="000D17A9"/>
    <w:rsid w:val="000D57D3"/>
    <w:rsid w:val="000D5880"/>
    <w:rsid w:val="000D7692"/>
    <w:rsid w:val="000E0568"/>
    <w:rsid w:val="000E0894"/>
    <w:rsid w:val="000E7982"/>
    <w:rsid w:val="000F02D4"/>
    <w:rsid w:val="000F2048"/>
    <w:rsid w:val="000F3D20"/>
    <w:rsid w:val="001000CD"/>
    <w:rsid w:val="0010105E"/>
    <w:rsid w:val="0010337A"/>
    <w:rsid w:val="00104A80"/>
    <w:rsid w:val="00106C7D"/>
    <w:rsid w:val="0011189E"/>
    <w:rsid w:val="00112420"/>
    <w:rsid w:val="00112C80"/>
    <w:rsid w:val="00114F4D"/>
    <w:rsid w:val="0012177A"/>
    <w:rsid w:val="00122077"/>
    <w:rsid w:val="0012214C"/>
    <w:rsid w:val="00123A26"/>
    <w:rsid w:val="001254A0"/>
    <w:rsid w:val="0013514F"/>
    <w:rsid w:val="0013645A"/>
    <w:rsid w:val="001433AD"/>
    <w:rsid w:val="00143844"/>
    <w:rsid w:val="00151803"/>
    <w:rsid w:val="00151D5B"/>
    <w:rsid w:val="001549B8"/>
    <w:rsid w:val="00154D6A"/>
    <w:rsid w:val="00156846"/>
    <w:rsid w:val="001623E5"/>
    <w:rsid w:val="00163A64"/>
    <w:rsid w:val="00163D42"/>
    <w:rsid w:val="00164B7E"/>
    <w:rsid w:val="00165D32"/>
    <w:rsid w:val="00165EF1"/>
    <w:rsid w:val="00166A09"/>
    <w:rsid w:val="00166C21"/>
    <w:rsid w:val="00171DBD"/>
    <w:rsid w:val="00172B3D"/>
    <w:rsid w:val="00172CF0"/>
    <w:rsid w:val="001739DC"/>
    <w:rsid w:val="00174EB2"/>
    <w:rsid w:val="00184508"/>
    <w:rsid w:val="001865EC"/>
    <w:rsid w:val="001874FD"/>
    <w:rsid w:val="00192199"/>
    <w:rsid w:val="00192462"/>
    <w:rsid w:val="00193E21"/>
    <w:rsid w:val="001945AF"/>
    <w:rsid w:val="001953CF"/>
    <w:rsid w:val="00196195"/>
    <w:rsid w:val="001A04AE"/>
    <w:rsid w:val="001A44CE"/>
    <w:rsid w:val="001A45E6"/>
    <w:rsid w:val="001A5FB9"/>
    <w:rsid w:val="001A71ED"/>
    <w:rsid w:val="001B09E7"/>
    <w:rsid w:val="001B2409"/>
    <w:rsid w:val="001B3B8E"/>
    <w:rsid w:val="001B4390"/>
    <w:rsid w:val="001B582A"/>
    <w:rsid w:val="001B6120"/>
    <w:rsid w:val="001C1183"/>
    <w:rsid w:val="001C2CEE"/>
    <w:rsid w:val="001C64E0"/>
    <w:rsid w:val="001C7264"/>
    <w:rsid w:val="001D00CF"/>
    <w:rsid w:val="001D0E09"/>
    <w:rsid w:val="001D0F07"/>
    <w:rsid w:val="001D116C"/>
    <w:rsid w:val="001D27F4"/>
    <w:rsid w:val="001D2C81"/>
    <w:rsid w:val="001D3F19"/>
    <w:rsid w:val="001D4DB9"/>
    <w:rsid w:val="001D6A5C"/>
    <w:rsid w:val="001E0F72"/>
    <w:rsid w:val="001E33E5"/>
    <w:rsid w:val="001E43C4"/>
    <w:rsid w:val="001E5D6C"/>
    <w:rsid w:val="001F097F"/>
    <w:rsid w:val="001F159E"/>
    <w:rsid w:val="001F1AB4"/>
    <w:rsid w:val="001F37B9"/>
    <w:rsid w:val="001F4FC8"/>
    <w:rsid w:val="001F6459"/>
    <w:rsid w:val="002004CC"/>
    <w:rsid w:val="0020219B"/>
    <w:rsid w:val="002042E8"/>
    <w:rsid w:val="00204349"/>
    <w:rsid w:val="00204DF8"/>
    <w:rsid w:val="00205C64"/>
    <w:rsid w:val="0020646A"/>
    <w:rsid w:val="0020764E"/>
    <w:rsid w:val="00207E98"/>
    <w:rsid w:val="0021301E"/>
    <w:rsid w:val="002141D5"/>
    <w:rsid w:val="00214846"/>
    <w:rsid w:val="00214D32"/>
    <w:rsid w:val="00216B22"/>
    <w:rsid w:val="00220B6A"/>
    <w:rsid w:val="00222450"/>
    <w:rsid w:val="0022255B"/>
    <w:rsid w:val="00223AF3"/>
    <w:rsid w:val="00223CC3"/>
    <w:rsid w:val="002250F2"/>
    <w:rsid w:val="00226071"/>
    <w:rsid w:val="00230F53"/>
    <w:rsid w:val="00231C32"/>
    <w:rsid w:val="0023442A"/>
    <w:rsid w:val="00240895"/>
    <w:rsid w:val="00241830"/>
    <w:rsid w:val="00242AF6"/>
    <w:rsid w:val="002438E2"/>
    <w:rsid w:val="002452CE"/>
    <w:rsid w:val="00246E0F"/>
    <w:rsid w:val="00247C91"/>
    <w:rsid w:val="002515B9"/>
    <w:rsid w:val="00252971"/>
    <w:rsid w:val="0026208E"/>
    <w:rsid w:val="00262543"/>
    <w:rsid w:val="00262CC4"/>
    <w:rsid w:val="00262F2E"/>
    <w:rsid w:val="00264A42"/>
    <w:rsid w:val="00267F3C"/>
    <w:rsid w:val="00270F10"/>
    <w:rsid w:val="0027380B"/>
    <w:rsid w:val="00283E8C"/>
    <w:rsid w:val="00285700"/>
    <w:rsid w:val="002911F5"/>
    <w:rsid w:val="002918CA"/>
    <w:rsid w:val="00291A63"/>
    <w:rsid w:val="0029217E"/>
    <w:rsid w:val="00294EC8"/>
    <w:rsid w:val="00295360"/>
    <w:rsid w:val="00295DDA"/>
    <w:rsid w:val="002A005A"/>
    <w:rsid w:val="002A4502"/>
    <w:rsid w:val="002A5A28"/>
    <w:rsid w:val="002B3B9B"/>
    <w:rsid w:val="002B520F"/>
    <w:rsid w:val="002B6080"/>
    <w:rsid w:val="002B673D"/>
    <w:rsid w:val="002B78D5"/>
    <w:rsid w:val="002C00A3"/>
    <w:rsid w:val="002C1B5B"/>
    <w:rsid w:val="002C599D"/>
    <w:rsid w:val="002C6D05"/>
    <w:rsid w:val="002D22F7"/>
    <w:rsid w:val="002D74EA"/>
    <w:rsid w:val="002E3DB4"/>
    <w:rsid w:val="002E4372"/>
    <w:rsid w:val="002E47A6"/>
    <w:rsid w:val="002E5833"/>
    <w:rsid w:val="002E6D47"/>
    <w:rsid w:val="002E6F55"/>
    <w:rsid w:val="002F074B"/>
    <w:rsid w:val="002F0BD8"/>
    <w:rsid w:val="002F1532"/>
    <w:rsid w:val="002F228A"/>
    <w:rsid w:val="002F2A11"/>
    <w:rsid w:val="002F5BD2"/>
    <w:rsid w:val="002F7517"/>
    <w:rsid w:val="00301275"/>
    <w:rsid w:val="0030191D"/>
    <w:rsid w:val="00302CD9"/>
    <w:rsid w:val="0030315F"/>
    <w:rsid w:val="003123B4"/>
    <w:rsid w:val="003123CA"/>
    <w:rsid w:val="0031274C"/>
    <w:rsid w:val="003147CB"/>
    <w:rsid w:val="00314961"/>
    <w:rsid w:val="0032194A"/>
    <w:rsid w:val="00321C80"/>
    <w:rsid w:val="003226B0"/>
    <w:rsid w:val="003236C8"/>
    <w:rsid w:val="00323768"/>
    <w:rsid w:val="0032394E"/>
    <w:rsid w:val="00323ADE"/>
    <w:rsid w:val="0032579C"/>
    <w:rsid w:val="003271A2"/>
    <w:rsid w:val="00327319"/>
    <w:rsid w:val="00333B81"/>
    <w:rsid w:val="00334C3B"/>
    <w:rsid w:val="003357B7"/>
    <w:rsid w:val="003413E9"/>
    <w:rsid w:val="00342E85"/>
    <w:rsid w:val="0034312F"/>
    <w:rsid w:val="00346A7F"/>
    <w:rsid w:val="003503DE"/>
    <w:rsid w:val="00352C3F"/>
    <w:rsid w:val="00353902"/>
    <w:rsid w:val="003551A1"/>
    <w:rsid w:val="00355350"/>
    <w:rsid w:val="0035547E"/>
    <w:rsid w:val="00355F9F"/>
    <w:rsid w:val="00356786"/>
    <w:rsid w:val="00357022"/>
    <w:rsid w:val="003579DC"/>
    <w:rsid w:val="00362075"/>
    <w:rsid w:val="00363B36"/>
    <w:rsid w:val="00365AF0"/>
    <w:rsid w:val="003668E6"/>
    <w:rsid w:val="003674DA"/>
    <w:rsid w:val="0037159A"/>
    <w:rsid w:val="003736A4"/>
    <w:rsid w:val="00376161"/>
    <w:rsid w:val="003762C1"/>
    <w:rsid w:val="00376C58"/>
    <w:rsid w:val="00381F2A"/>
    <w:rsid w:val="00385C14"/>
    <w:rsid w:val="003908EF"/>
    <w:rsid w:val="00390A36"/>
    <w:rsid w:val="00393F99"/>
    <w:rsid w:val="00395D66"/>
    <w:rsid w:val="0039668D"/>
    <w:rsid w:val="00397053"/>
    <w:rsid w:val="0039793E"/>
    <w:rsid w:val="003A0F8A"/>
    <w:rsid w:val="003A3265"/>
    <w:rsid w:val="003A4663"/>
    <w:rsid w:val="003A6447"/>
    <w:rsid w:val="003A6E27"/>
    <w:rsid w:val="003B16BF"/>
    <w:rsid w:val="003B237E"/>
    <w:rsid w:val="003B7C5E"/>
    <w:rsid w:val="003B7CFB"/>
    <w:rsid w:val="003C692C"/>
    <w:rsid w:val="003C6AEC"/>
    <w:rsid w:val="003C72F0"/>
    <w:rsid w:val="003C7DCB"/>
    <w:rsid w:val="003D131A"/>
    <w:rsid w:val="003D73AB"/>
    <w:rsid w:val="003E145E"/>
    <w:rsid w:val="003E5E0B"/>
    <w:rsid w:val="003E634F"/>
    <w:rsid w:val="003F15B9"/>
    <w:rsid w:val="003F31F9"/>
    <w:rsid w:val="00400CAF"/>
    <w:rsid w:val="00400E50"/>
    <w:rsid w:val="00401325"/>
    <w:rsid w:val="00404447"/>
    <w:rsid w:val="00405AA8"/>
    <w:rsid w:val="00412FA8"/>
    <w:rsid w:val="004132BE"/>
    <w:rsid w:val="00414C05"/>
    <w:rsid w:val="004156D7"/>
    <w:rsid w:val="00415C40"/>
    <w:rsid w:val="0042071A"/>
    <w:rsid w:val="00422844"/>
    <w:rsid w:val="00423FA6"/>
    <w:rsid w:val="004241D7"/>
    <w:rsid w:val="00426395"/>
    <w:rsid w:val="004304EB"/>
    <w:rsid w:val="00434330"/>
    <w:rsid w:val="00435577"/>
    <w:rsid w:val="00436A80"/>
    <w:rsid w:val="004375A0"/>
    <w:rsid w:val="00437DF2"/>
    <w:rsid w:val="00440182"/>
    <w:rsid w:val="00441C47"/>
    <w:rsid w:val="00443F6F"/>
    <w:rsid w:val="00446F26"/>
    <w:rsid w:val="0045099F"/>
    <w:rsid w:val="004521F1"/>
    <w:rsid w:val="0045507E"/>
    <w:rsid w:val="00461F1D"/>
    <w:rsid w:val="00464C53"/>
    <w:rsid w:val="00466573"/>
    <w:rsid w:val="00467232"/>
    <w:rsid w:val="00467D66"/>
    <w:rsid w:val="00471934"/>
    <w:rsid w:val="004734C8"/>
    <w:rsid w:val="0047400E"/>
    <w:rsid w:val="00475168"/>
    <w:rsid w:val="00475DC8"/>
    <w:rsid w:val="00480AB2"/>
    <w:rsid w:val="00486929"/>
    <w:rsid w:val="00486B38"/>
    <w:rsid w:val="00492C07"/>
    <w:rsid w:val="004949AE"/>
    <w:rsid w:val="004A34A5"/>
    <w:rsid w:val="004A3EFE"/>
    <w:rsid w:val="004A6423"/>
    <w:rsid w:val="004A66CD"/>
    <w:rsid w:val="004A7D80"/>
    <w:rsid w:val="004B36A4"/>
    <w:rsid w:val="004B3967"/>
    <w:rsid w:val="004B697E"/>
    <w:rsid w:val="004B7E66"/>
    <w:rsid w:val="004C4459"/>
    <w:rsid w:val="004C604F"/>
    <w:rsid w:val="004C7414"/>
    <w:rsid w:val="004C7D34"/>
    <w:rsid w:val="004D08F2"/>
    <w:rsid w:val="004D09A0"/>
    <w:rsid w:val="004D529B"/>
    <w:rsid w:val="004D6B00"/>
    <w:rsid w:val="004D751C"/>
    <w:rsid w:val="004E0077"/>
    <w:rsid w:val="004E3F84"/>
    <w:rsid w:val="004E47B9"/>
    <w:rsid w:val="004E5786"/>
    <w:rsid w:val="004E647B"/>
    <w:rsid w:val="004E64A0"/>
    <w:rsid w:val="004E652B"/>
    <w:rsid w:val="004F1541"/>
    <w:rsid w:val="004F1DC4"/>
    <w:rsid w:val="004F3555"/>
    <w:rsid w:val="004F3AD4"/>
    <w:rsid w:val="004F3E96"/>
    <w:rsid w:val="004F485C"/>
    <w:rsid w:val="004F5744"/>
    <w:rsid w:val="004F6C23"/>
    <w:rsid w:val="004F7330"/>
    <w:rsid w:val="00500BE0"/>
    <w:rsid w:val="00503987"/>
    <w:rsid w:val="005064EE"/>
    <w:rsid w:val="0051050D"/>
    <w:rsid w:val="00511138"/>
    <w:rsid w:val="00514BF5"/>
    <w:rsid w:val="00514F63"/>
    <w:rsid w:val="00515724"/>
    <w:rsid w:val="00521666"/>
    <w:rsid w:val="00521D7A"/>
    <w:rsid w:val="00521DBF"/>
    <w:rsid w:val="00522B35"/>
    <w:rsid w:val="005251B8"/>
    <w:rsid w:val="00525859"/>
    <w:rsid w:val="00525ECA"/>
    <w:rsid w:val="005315DB"/>
    <w:rsid w:val="00532C79"/>
    <w:rsid w:val="00533019"/>
    <w:rsid w:val="005344BB"/>
    <w:rsid w:val="005357A7"/>
    <w:rsid w:val="0054047E"/>
    <w:rsid w:val="00541F3B"/>
    <w:rsid w:val="00542A22"/>
    <w:rsid w:val="00542D75"/>
    <w:rsid w:val="005454E6"/>
    <w:rsid w:val="00561A2A"/>
    <w:rsid w:val="005627D9"/>
    <w:rsid w:val="00564358"/>
    <w:rsid w:val="0056503E"/>
    <w:rsid w:val="005667C3"/>
    <w:rsid w:val="005669BE"/>
    <w:rsid w:val="00576855"/>
    <w:rsid w:val="005823C0"/>
    <w:rsid w:val="00582D88"/>
    <w:rsid w:val="00583A93"/>
    <w:rsid w:val="00583E10"/>
    <w:rsid w:val="00585A14"/>
    <w:rsid w:val="00590AEF"/>
    <w:rsid w:val="00590F56"/>
    <w:rsid w:val="00592C2C"/>
    <w:rsid w:val="005A04DF"/>
    <w:rsid w:val="005A222B"/>
    <w:rsid w:val="005A376B"/>
    <w:rsid w:val="005A68BA"/>
    <w:rsid w:val="005B0D15"/>
    <w:rsid w:val="005B1D7D"/>
    <w:rsid w:val="005B3457"/>
    <w:rsid w:val="005B4713"/>
    <w:rsid w:val="005C3168"/>
    <w:rsid w:val="005C3FE8"/>
    <w:rsid w:val="005C3FF3"/>
    <w:rsid w:val="005C4020"/>
    <w:rsid w:val="005C51AE"/>
    <w:rsid w:val="005C61C6"/>
    <w:rsid w:val="005C65E1"/>
    <w:rsid w:val="005C6F4F"/>
    <w:rsid w:val="005C7532"/>
    <w:rsid w:val="005D14AA"/>
    <w:rsid w:val="005D2804"/>
    <w:rsid w:val="005D3B5F"/>
    <w:rsid w:val="005D3FCF"/>
    <w:rsid w:val="005E24A9"/>
    <w:rsid w:val="005E32A8"/>
    <w:rsid w:val="005E3DF3"/>
    <w:rsid w:val="005E4F61"/>
    <w:rsid w:val="005E5818"/>
    <w:rsid w:val="005E7225"/>
    <w:rsid w:val="005F21E4"/>
    <w:rsid w:val="005F2CB2"/>
    <w:rsid w:val="005F4CF3"/>
    <w:rsid w:val="005F5012"/>
    <w:rsid w:val="005F51E7"/>
    <w:rsid w:val="006039DB"/>
    <w:rsid w:val="006077D2"/>
    <w:rsid w:val="006158F2"/>
    <w:rsid w:val="00615C97"/>
    <w:rsid w:val="00616AD0"/>
    <w:rsid w:val="00620F38"/>
    <w:rsid w:val="00622184"/>
    <w:rsid w:val="00622232"/>
    <w:rsid w:val="0063493C"/>
    <w:rsid w:val="00642E72"/>
    <w:rsid w:val="0064333A"/>
    <w:rsid w:val="00645847"/>
    <w:rsid w:val="00646B37"/>
    <w:rsid w:val="0065234B"/>
    <w:rsid w:val="006537B9"/>
    <w:rsid w:val="006569F8"/>
    <w:rsid w:val="006571AB"/>
    <w:rsid w:val="0066641B"/>
    <w:rsid w:val="00670A26"/>
    <w:rsid w:val="00671013"/>
    <w:rsid w:val="00672332"/>
    <w:rsid w:val="00672379"/>
    <w:rsid w:val="00674BF8"/>
    <w:rsid w:val="00675AB1"/>
    <w:rsid w:val="006769E3"/>
    <w:rsid w:val="00681559"/>
    <w:rsid w:val="00686614"/>
    <w:rsid w:val="00686B4A"/>
    <w:rsid w:val="00687021"/>
    <w:rsid w:val="00690CEF"/>
    <w:rsid w:val="006930B5"/>
    <w:rsid w:val="006932EF"/>
    <w:rsid w:val="0069784B"/>
    <w:rsid w:val="006A4F87"/>
    <w:rsid w:val="006A6455"/>
    <w:rsid w:val="006A770C"/>
    <w:rsid w:val="006B11DC"/>
    <w:rsid w:val="006B2212"/>
    <w:rsid w:val="006B2D21"/>
    <w:rsid w:val="006B3E4D"/>
    <w:rsid w:val="006C07EB"/>
    <w:rsid w:val="006C0C7B"/>
    <w:rsid w:val="006C3D5D"/>
    <w:rsid w:val="006C3FB3"/>
    <w:rsid w:val="006C6542"/>
    <w:rsid w:val="006C65FE"/>
    <w:rsid w:val="006D2BFB"/>
    <w:rsid w:val="006D6F26"/>
    <w:rsid w:val="006E39DB"/>
    <w:rsid w:val="006F103A"/>
    <w:rsid w:val="006F127A"/>
    <w:rsid w:val="006F4195"/>
    <w:rsid w:val="006F5EF9"/>
    <w:rsid w:val="006F7321"/>
    <w:rsid w:val="007005DF"/>
    <w:rsid w:val="00701130"/>
    <w:rsid w:val="0070118F"/>
    <w:rsid w:val="00701CEC"/>
    <w:rsid w:val="00702F69"/>
    <w:rsid w:val="00703DD2"/>
    <w:rsid w:val="007051E1"/>
    <w:rsid w:val="00706189"/>
    <w:rsid w:val="007113AC"/>
    <w:rsid w:val="007154F8"/>
    <w:rsid w:val="00715509"/>
    <w:rsid w:val="007168FA"/>
    <w:rsid w:val="00717048"/>
    <w:rsid w:val="00720CAE"/>
    <w:rsid w:val="007226E6"/>
    <w:rsid w:val="0073026C"/>
    <w:rsid w:val="00730CEB"/>
    <w:rsid w:val="00740838"/>
    <w:rsid w:val="00740D1E"/>
    <w:rsid w:val="0074298E"/>
    <w:rsid w:val="00742E15"/>
    <w:rsid w:val="00745BCD"/>
    <w:rsid w:val="00746E54"/>
    <w:rsid w:val="00750407"/>
    <w:rsid w:val="007515BC"/>
    <w:rsid w:val="007528C7"/>
    <w:rsid w:val="007571CA"/>
    <w:rsid w:val="00761DB6"/>
    <w:rsid w:val="00763386"/>
    <w:rsid w:val="0077544C"/>
    <w:rsid w:val="00780003"/>
    <w:rsid w:val="00782352"/>
    <w:rsid w:val="00782D26"/>
    <w:rsid w:val="0078458A"/>
    <w:rsid w:val="007942ED"/>
    <w:rsid w:val="007A0569"/>
    <w:rsid w:val="007A7E1D"/>
    <w:rsid w:val="007B1280"/>
    <w:rsid w:val="007B1B41"/>
    <w:rsid w:val="007B30A4"/>
    <w:rsid w:val="007C0648"/>
    <w:rsid w:val="007C0D97"/>
    <w:rsid w:val="007D1435"/>
    <w:rsid w:val="007D4558"/>
    <w:rsid w:val="007E00AC"/>
    <w:rsid w:val="007E2400"/>
    <w:rsid w:val="007E2D7C"/>
    <w:rsid w:val="007E33FC"/>
    <w:rsid w:val="007E6AFD"/>
    <w:rsid w:val="007E6DA5"/>
    <w:rsid w:val="007F01E3"/>
    <w:rsid w:val="007F472C"/>
    <w:rsid w:val="007F600E"/>
    <w:rsid w:val="007F7AB0"/>
    <w:rsid w:val="00800A80"/>
    <w:rsid w:val="00801551"/>
    <w:rsid w:val="008029C2"/>
    <w:rsid w:val="00802AF8"/>
    <w:rsid w:val="00803293"/>
    <w:rsid w:val="0080506B"/>
    <w:rsid w:val="008063BE"/>
    <w:rsid w:val="008079FC"/>
    <w:rsid w:val="00813E8D"/>
    <w:rsid w:val="00814ED4"/>
    <w:rsid w:val="0081546B"/>
    <w:rsid w:val="0081621E"/>
    <w:rsid w:val="0082180A"/>
    <w:rsid w:val="00821F26"/>
    <w:rsid w:val="00822012"/>
    <w:rsid w:val="00824EEB"/>
    <w:rsid w:val="00825FB2"/>
    <w:rsid w:val="00827C9F"/>
    <w:rsid w:val="00830070"/>
    <w:rsid w:val="008372DB"/>
    <w:rsid w:val="0083753C"/>
    <w:rsid w:val="008413E7"/>
    <w:rsid w:val="00843A6A"/>
    <w:rsid w:val="008464ED"/>
    <w:rsid w:val="008505B5"/>
    <w:rsid w:val="00853849"/>
    <w:rsid w:val="0086046E"/>
    <w:rsid w:val="00860558"/>
    <w:rsid w:val="008610F8"/>
    <w:rsid w:val="008618EB"/>
    <w:rsid w:val="00867913"/>
    <w:rsid w:val="00867B89"/>
    <w:rsid w:val="00870860"/>
    <w:rsid w:val="00874B95"/>
    <w:rsid w:val="0087743F"/>
    <w:rsid w:val="008803CD"/>
    <w:rsid w:val="00880F18"/>
    <w:rsid w:val="00883A5D"/>
    <w:rsid w:val="00884FE0"/>
    <w:rsid w:val="008871BD"/>
    <w:rsid w:val="00891AF5"/>
    <w:rsid w:val="00891BBA"/>
    <w:rsid w:val="00894B5B"/>
    <w:rsid w:val="008A1AAE"/>
    <w:rsid w:val="008A2896"/>
    <w:rsid w:val="008A3A33"/>
    <w:rsid w:val="008A3CEA"/>
    <w:rsid w:val="008A521C"/>
    <w:rsid w:val="008A6F4B"/>
    <w:rsid w:val="008A7C46"/>
    <w:rsid w:val="008B034C"/>
    <w:rsid w:val="008B4B61"/>
    <w:rsid w:val="008C1D31"/>
    <w:rsid w:val="008C68CB"/>
    <w:rsid w:val="008D3064"/>
    <w:rsid w:val="008D4CAA"/>
    <w:rsid w:val="008D794D"/>
    <w:rsid w:val="008E4B09"/>
    <w:rsid w:val="008E62E0"/>
    <w:rsid w:val="008E672C"/>
    <w:rsid w:val="008F0B89"/>
    <w:rsid w:val="008F1F48"/>
    <w:rsid w:val="008F3342"/>
    <w:rsid w:val="008F3512"/>
    <w:rsid w:val="008F54A7"/>
    <w:rsid w:val="00900158"/>
    <w:rsid w:val="009049FB"/>
    <w:rsid w:val="00910416"/>
    <w:rsid w:val="009123B8"/>
    <w:rsid w:val="00913DAD"/>
    <w:rsid w:val="00916FFC"/>
    <w:rsid w:val="00920F6C"/>
    <w:rsid w:val="0092264E"/>
    <w:rsid w:val="00923A1B"/>
    <w:rsid w:val="009240D3"/>
    <w:rsid w:val="00924F30"/>
    <w:rsid w:val="009319B0"/>
    <w:rsid w:val="0094089B"/>
    <w:rsid w:val="00942211"/>
    <w:rsid w:val="0094459E"/>
    <w:rsid w:val="00944827"/>
    <w:rsid w:val="0094589A"/>
    <w:rsid w:val="00946190"/>
    <w:rsid w:val="00947B36"/>
    <w:rsid w:val="00947ECA"/>
    <w:rsid w:val="00955844"/>
    <w:rsid w:val="00955AB4"/>
    <w:rsid w:val="00961993"/>
    <w:rsid w:val="00962230"/>
    <w:rsid w:val="0096344A"/>
    <w:rsid w:val="009636FE"/>
    <w:rsid w:val="00974923"/>
    <w:rsid w:val="0097566A"/>
    <w:rsid w:val="00975CAC"/>
    <w:rsid w:val="00977BF2"/>
    <w:rsid w:val="00980FE7"/>
    <w:rsid w:val="00986A00"/>
    <w:rsid w:val="00991FE1"/>
    <w:rsid w:val="00994F7D"/>
    <w:rsid w:val="0099685B"/>
    <w:rsid w:val="00997646"/>
    <w:rsid w:val="009A0410"/>
    <w:rsid w:val="009A181F"/>
    <w:rsid w:val="009A6E4A"/>
    <w:rsid w:val="009B04AC"/>
    <w:rsid w:val="009B055D"/>
    <w:rsid w:val="009B1B6A"/>
    <w:rsid w:val="009C14B1"/>
    <w:rsid w:val="009C2B9A"/>
    <w:rsid w:val="009C5EBA"/>
    <w:rsid w:val="009C7357"/>
    <w:rsid w:val="009C7963"/>
    <w:rsid w:val="009D1E02"/>
    <w:rsid w:val="009D22C6"/>
    <w:rsid w:val="009D3BB3"/>
    <w:rsid w:val="009D4940"/>
    <w:rsid w:val="009D581F"/>
    <w:rsid w:val="009D5A9D"/>
    <w:rsid w:val="009D653E"/>
    <w:rsid w:val="009D6723"/>
    <w:rsid w:val="009D69EB"/>
    <w:rsid w:val="009D6A4D"/>
    <w:rsid w:val="009E12D5"/>
    <w:rsid w:val="009F0E11"/>
    <w:rsid w:val="009F264C"/>
    <w:rsid w:val="009F2A26"/>
    <w:rsid w:val="009F2E39"/>
    <w:rsid w:val="009F38F0"/>
    <w:rsid w:val="009F5336"/>
    <w:rsid w:val="00A04EFF"/>
    <w:rsid w:val="00A05B27"/>
    <w:rsid w:val="00A11FC7"/>
    <w:rsid w:val="00A140B0"/>
    <w:rsid w:val="00A14695"/>
    <w:rsid w:val="00A161E8"/>
    <w:rsid w:val="00A16D35"/>
    <w:rsid w:val="00A203AB"/>
    <w:rsid w:val="00A257C3"/>
    <w:rsid w:val="00A2611A"/>
    <w:rsid w:val="00A31278"/>
    <w:rsid w:val="00A319FB"/>
    <w:rsid w:val="00A32784"/>
    <w:rsid w:val="00A33A0F"/>
    <w:rsid w:val="00A33EF5"/>
    <w:rsid w:val="00A35D27"/>
    <w:rsid w:val="00A41228"/>
    <w:rsid w:val="00A4341D"/>
    <w:rsid w:val="00A43A36"/>
    <w:rsid w:val="00A45B84"/>
    <w:rsid w:val="00A474FD"/>
    <w:rsid w:val="00A52F0D"/>
    <w:rsid w:val="00A54D05"/>
    <w:rsid w:val="00A62790"/>
    <w:rsid w:val="00A63908"/>
    <w:rsid w:val="00A725F5"/>
    <w:rsid w:val="00A749C7"/>
    <w:rsid w:val="00A853C6"/>
    <w:rsid w:val="00A87981"/>
    <w:rsid w:val="00A90467"/>
    <w:rsid w:val="00A93D11"/>
    <w:rsid w:val="00A978DE"/>
    <w:rsid w:val="00AA3A7C"/>
    <w:rsid w:val="00AA609A"/>
    <w:rsid w:val="00AA74EB"/>
    <w:rsid w:val="00AB1473"/>
    <w:rsid w:val="00AB218A"/>
    <w:rsid w:val="00AB2B70"/>
    <w:rsid w:val="00AB7896"/>
    <w:rsid w:val="00AC5903"/>
    <w:rsid w:val="00AD20C2"/>
    <w:rsid w:val="00AD2F33"/>
    <w:rsid w:val="00AD3999"/>
    <w:rsid w:val="00AD3C21"/>
    <w:rsid w:val="00AD57D3"/>
    <w:rsid w:val="00AD74CF"/>
    <w:rsid w:val="00AE1A29"/>
    <w:rsid w:val="00AE2CBC"/>
    <w:rsid w:val="00AE3BC5"/>
    <w:rsid w:val="00AE43E4"/>
    <w:rsid w:val="00AE575A"/>
    <w:rsid w:val="00AE6899"/>
    <w:rsid w:val="00AF1D3B"/>
    <w:rsid w:val="00AF3CD4"/>
    <w:rsid w:val="00AF3F8B"/>
    <w:rsid w:val="00AF4B37"/>
    <w:rsid w:val="00AF5CE5"/>
    <w:rsid w:val="00AF6461"/>
    <w:rsid w:val="00B00A1E"/>
    <w:rsid w:val="00B017B8"/>
    <w:rsid w:val="00B01B26"/>
    <w:rsid w:val="00B0756F"/>
    <w:rsid w:val="00B10867"/>
    <w:rsid w:val="00B10CEB"/>
    <w:rsid w:val="00B12FED"/>
    <w:rsid w:val="00B16950"/>
    <w:rsid w:val="00B203D1"/>
    <w:rsid w:val="00B225AC"/>
    <w:rsid w:val="00B22B57"/>
    <w:rsid w:val="00B31783"/>
    <w:rsid w:val="00B3202B"/>
    <w:rsid w:val="00B3397E"/>
    <w:rsid w:val="00B3458E"/>
    <w:rsid w:val="00B416C4"/>
    <w:rsid w:val="00B420CB"/>
    <w:rsid w:val="00B43D1C"/>
    <w:rsid w:val="00B459C3"/>
    <w:rsid w:val="00B53658"/>
    <w:rsid w:val="00B554E7"/>
    <w:rsid w:val="00B55B65"/>
    <w:rsid w:val="00B561F4"/>
    <w:rsid w:val="00B572CC"/>
    <w:rsid w:val="00B57737"/>
    <w:rsid w:val="00B60E74"/>
    <w:rsid w:val="00B62DE5"/>
    <w:rsid w:val="00B64FC6"/>
    <w:rsid w:val="00B65A72"/>
    <w:rsid w:val="00B665A6"/>
    <w:rsid w:val="00B6674C"/>
    <w:rsid w:val="00B66F33"/>
    <w:rsid w:val="00B707D9"/>
    <w:rsid w:val="00B70B6B"/>
    <w:rsid w:val="00B713ED"/>
    <w:rsid w:val="00B71500"/>
    <w:rsid w:val="00B75AC3"/>
    <w:rsid w:val="00B75D90"/>
    <w:rsid w:val="00B830C0"/>
    <w:rsid w:val="00B837BB"/>
    <w:rsid w:val="00B84071"/>
    <w:rsid w:val="00B8508E"/>
    <w:rsid w:val="00B872E2"/>
    <w:rsid w:val="00B87417"/>
    <w:rsid w:val="00B875AE"/>
    <w:rsid w:val="00B9028D"/>
    <w:rsid w:val="00B956CD"/>
    <w:rsid w:val="00B961CF"/>
    <w:rsid w:val="00B97F93"/>
    <w:rsid w:val="00BA1833"/>
    <w:rsid w:val="00BA20B1"/>
    <w:rsid w:val="00BA519E"/>
    <w:rsid w:val="00BA57E9"/>
    <w:rsid w:val="00BB4639"/>
    <w:rsid w:val="00BB6B4C"/>
    <w:rsid w:val="00BC02F9"/>
    <w:rsid w:val="00BC0A78"/>
    <w:rsid w:val="00BC1D58"/>
    <w:rsid w:val="00BC4D24"/>
    <w:rsid w:val="00BC6FD4"/>
    <w:rsid w:val="00BC73F8"/>
    <w:rsid w:val="00BD1FEB"/>
    <w:rsid w:val="00BD26AC"/>
    <w:rsid w:val="00BD435D"/>
    <w:rsid w:val="00BE0A0E"/>
    <w:rsid w:val="00BE0F4E"/>
    <w:rsid w:val="00BE45FB"/>
    <w:rsid w:val="00BE6FDD"/>
    <w:rsid w:val="00BF358E"/>
    <w:rsid w:val="00BF3E0F"/>
    <w:rsid w:val="00BF3E12"/>
    <w:rsid w:val="00BF4648"/>
    <w:rsid w:val="00BF4BF0"/>
    <w:rsid w:val="00BF6FAF"/>
    <w:rsid w:val="00C015E8"/>
    <w:rsid w:val="00C038C9"/>
    <w:rsid w:val="00C07C1F"/>
    <w:rsid w:val="00C113A1"/>
    <w:rsid w:val="00C1568C"/>
    <w:rsid w:val="00C176B9"/>
    <w:rsid w:val="00C27D71"/>
    <w:rsid w:val="00C31C0D"/>
    <w:rsid w:val="00C31E0D"/>
    <w:rsid w:val="00C31FFE"/>
    <w:rsid w:val="00C335AC"/>
    <w:rsid w:val="00C4032B"/>
    <w:rsid w:val="00C40686"/>
    <w:rsid w:val="00C44820"/>
    <w:rsid w:val="00C449B6"/>
    <w:rsid w:val="00C454E3"/>
    <w:rsid w:val="00C523D0"/>
    <w:rsid w:val="00C53D98"/>
    <w:rsid w:val="00C60E00"/>
    <w:rsid w:val="00C64A39"/>
    <w:rsid w:val="00C71D5B"/>
    <w:rsid w:val="00C72CA6"/>
    <w:rsid w:val="00C80691"/>
    <w:rsid w:val="00C84DDB"/>
    <w:rsid w:val="00C851B4"/>
    <w:rsid w:val="00C931B7"/>
    <w:rsid w:val="00C9386A"/>
    <w:rsid w:val="00C94FC7"/>
    <w:rsid w:val="00C962EB"/>
    <w:rsid w:val="00C974DE"/>
    <w:rsid w:val="00CA3730"/>
    <w:rsid w:val="00CB18D6"/>
    <w:rsid w:val="00CB5607"/>
    <w:rsid w:val="00CB5CE4"/>
    <w:rsid w:val="00CB6564"/>
    <w:rsid w:val="00CB774D"/>
    <w:rsid w:val="00CC24E2"/>
    <w:rsid w:val="00CC68BA"/>
    <w:rsid w:val="00CD0807"/>
    <w:rsid w:val="00CD0B1F"/>
    <w:rsid w:val="00CD1904"/>
    <w:rsid w:val="00CD1BEC"/>
    <w:rsid w:val="00CD54CA"/>
    <w:rsid w:val="00CD6E55"/>
    <w:rsid w:val="00CD74AA"/>
    <w:rsid w:val="00CE29E9"/>
    <w:rsid w:val="00CF17D4"/>
    <w:rsid w:val="00CF2454"/>
    <w:rsid w:val="00CF51F1"/>
    <w:rsid w:val="00D00A2C"/>
    <w:rsid w:val="00D020CC"/>
    <w:rsid w:val="00D066C6"/>
    <w:rsid w:val="00D07F1A"/>
    <w:rsid w:val="00D10ABE"/>
    <w:rsid w:val="00D10D40"/>
    <w:rsid w:val="00D11A69"/>
    <w:rsid w:val="00D13135"/>
    <w:rsid w:val="00D13188"/>
    <w:rsid w:val="00D1338F"/>
    <w:rsid w:val="00D20957"/>
    <w:rsid w:val="00D31C5A"/>
    <w:rsid w:val="00D37AC4"/>
    <w:rsid w:val="00D37C81"/>
    <w:rsid w:val="00D42270"/>
    <w:rsid w:val="00D4436F"/>
    <w:rsid w:val="00D445F5"/>
    <w:rsid w:val="00D44809"/>
    <w:rsid w:val="00D450E2"/>
    <w:rsid w:val="00D463FA"/>
    <w:rsid w:val="00D50A2F"/>
    <w:rsid w:val="00D52656"/>
    <w:rsid w:val="00D54024"/>
    <w:rsid w:val="00D620F7"/>
    <w:rsid w:val="00D63B8E"/>
    <w:rsid w:val="00D646FF"/>
    <w:rsid w:val="00D649A4"/>
    <w:rsid w:val="00D6556D"/>
    <w:rsid w:val="00D65B10"/>
    <w:rsid w:val="00D65EC7"/>
    <w:rsid w:val="00D67FF1"/>
    <w:rsid w:val="00D706E8"/>
    <w:rsid w:val="00D70E2A"/>
    <w:rsid w:val="00D714CE"/>
    <w:rsid w:val="00D71887"/>
    <w:rsid w:val="00D73341"/>
    <w:rsid w:val="00D7432B"/>
    <w:rsid w:val="00D745A6"/>
    <w:rsid w:val="00D74D36"/>
    <w:rsid w:val="00D74DCB"/>
    <w:rsid w:val="00D7653F"/>
    <w:rsid w:val="00D76C55"/>
    <w:rsid w:val="00D8032F"/>
    <w:rsid w:val="00D80A6C"/>
    <w:rsid w:val="00D84FB6"/>
    <w:rsid w:val="00D87B24"/>
    <w:rsid w:val="00D91A8C"/>
    <w:rsid w:val="00D94A20"/>
    <w:rsid w:val="00D94BBA"/>
    <w:rsid w:val="00D962C6"/>
    <w:rsid w:val="00DA41A7"/>
    <w:rsid w:val="00DA4853"/>
    <w:rsid w:val="00DA4AAA"/>
    <w:rsid w:val="00DA7089"/>
    <w:rsid w:val="00DA7A45"/>
    <w:rsid w:val="00DB0CD0"/>
    <w:rsid w:val="00DB13E4"/>
    <w:rsid w:val="00DB1D60"/>
    <w:rsid w:val="00DB3082"/>
    <w:rsid w:val="00DB49F2"/>
    <w:rsid w:val="00DB5D4B"/>
    <w:rsid w:val="00DC3089"/>
    <w:rsid w:val="00DD0166"/>
    <w:rsid w:val="00DD52F6"/>
    <w:rsid w:val="00DD66D1"/>
    <w:rsid w:val="00DE39A9"/>
    <w:rsid w:val="00DE6E4A"/>
    <w:rsid w:val="00DF30A1"/>
    <w:rsid w:val="00DF45D4"/>
    <w:rsid w:val="00E000C8"/>
    <w:rsid w:val="00E015CB"/>
    <w:rsid w:val="00E05D0B"/>
    <w:rsid w:val="00E07204"/>
    <w:rsid w:val="00E07847"/>
    <w:rsid w:val="00E14A74"/>
    <w:rsid w:val="00E14DC0"/>
    <w:rsid w:val="00E15924"/>
    <w:rsid w:val="00E24A24"/>
    <w:rsid w:val="00E268BD"/>
    <w:rsid w:val="00E308F8"/>
    <w:rsid w:val="00E31432"/>
    <w:rsid w:val="00E335B3"/>
    <w:rsid w:val="00E3577D"/>
    <w:rsid w:val="00E35CA2"/>
    <w:rsid w:val="00E37400"/>
    <w:rsid w:val="00E42561"/>
    <w:rsid w:val="00E456D5"/>
    <w:rsid w:val="00E47E03"/>
    <w:rsid w:val="00E50D44"/>
    <w:rsid w:val="00E562CB"/>
    <w:rsid w:val="00E62B2B"/>
    <w:rsid w:val="00E63937"/>
    <w:rsid w:val="00E65790"/>
    <w:rsid w:val="00E709F0"/>
    <w:rsid w:val="00E70E9F"/>
    <w:rsid w:val="00E7138E"/>
    <w:rsid w:val="00E71B67"/>
    <w:rsid w:val="00E757CE"/>
    <w:rsid w:val="00E75B4C"/>
    <w:rsid w:val="00E7634B"/>
    <w:rsid w:val="00E80ACA"/>
    <w:rsid w:val="00E8291A"/>
    <w:rsid w:val="00E83A72"/>
    <w:rsid w:val="00E93150"/>
    <w:rsid w:val="00E933A2"/>
    <w:rsid w:val="00E936E9"/>
    <w:rsid w:val="00E93EA2"/>
    <w:rsid w:val="00E96509"/>
    <w:rsid w:val="00EB2002"/>
    <w:rsid w:val="00EB38AB"/>
    <w:rsid w:val="00EB44FE"/>
    <w:rsid w:val="00EB48EC"/>
    <w:rsid w:val="00EB61D0"/>
    <w:rsid w:val="00EB6AF0"/>
    <w:rsid w:val="00EB7AF6"/>
    <w:rsid w:val="00EC0BB3"/>
    <w:rsid w:val="00EC0C77"/>
    <w:rsid w:val="00EC488F"/>
    <w:rsid w:val="00EC5076"/>
    <w:rsid w:val="00EC6A0A"/>
    <w:rsid w:val="00ED1377"/>
    <w:rsid w:val="00ED5309"/>
    <w:rsid w:val="00EE0D3E"/>
    <w:rsid w:val="00EF3F45"/>
    <w:rsid w:val="00EF574E"/>
    <w:rsid w:val="00EF590A"/>
    <w:rsid w:val="00EF61B0"/>
    <w:rsid w:val="00F0139B"/>
    <w:rsid w:val="00F03684"/>
    <w:rsid w:val="00F0432B"/>
    <w:rsid w:val="00F074DE"/>
    <w:rsid w:val="00F116C7"/>
    <w:rsid w:val="00F11FB0"/>
    <w:rsid w:val="00F20168"/>
    <w:rsid w:val="00F216F7"/>
    <w:rsid w:val="00F21D92"/>
    <w:rsid w:val="00F24DD0"/>
    <w:rsid w:val="00F259BE"/>
    <w:rsid w:val="00F25AEE"/>
    <w:rsid w:val="00F3164C"/>
    <w:rsid w:val="00F326A8"/>
    <w:rsid w:val="00F32A3A"/>
    <w:rsid w:val="00F33229"/>
    <w:rsid w:val="00F33852"/>
    <w:rsid w:val="00F35567"/>
    <w:rsid w:val="00F37AB4"/>
    <w:rsid w:val="00F41568"/>
    <w:rsid w:val="00F43667"/>
    <w:rsid w:val="00F443A1"/>
    <w:rsid w:val="00F455DC"/>
    <w:rsid w:val="00F50230"/>
    <w:rsid w:val="00F50F26"/>
    <w:rsid w:val="00F51A72"/>
    <w:rsid w:val="00F5412C"/>
    <w:rsid w:val="00F54EB7"/>
    <w:rsid w:val="00F551BD"/>
    <w:rsid w:val="00F56A19"/>
    <w:rsid w:val="00F63C95"/>
    <w:rsid w:val="00F63DFA"/>
    <w:rsid w:val="00F64137"/>
    <w:rsid w:val="00F7173C"/>
    <w:rsid w:val="00F72EC4"/>
    <w:rsid w:val="00F77F2A"/>
    <w:rsid w:val="00F83AB4"/>
    <w:rsid w:val="00F93CC7"/>
    <w:rsid w:val="00F968C5"/>
    <w:rsid w:val="00F9756D"/>
    <w:rsid w:val="00FA027B"/>
    <w:rsid w:val="00FB247A"/>
    <w:rsid w:val="00FC0305"/>
    <w:rsid w:val="00FC0FD8"/>
    <w:rsid w:val="00FD1A1A"/>
    <w:rsid w:val="00FD1BC7"/>
    <w:rsid w:val="00FD214D"/>
    <w:rsid w:val="00FD28C1"/>
    <w:rsid w:val="00FD2936"/>
    <w:rsid w:val="00FD59CB"/>
    <w:rsid w:val="00FD5D37"/>
    <w:rsid w:val="00FD6533"/>
    <w:rsid w:val="00FD70B3"/>
    <w:rsid w:val="00FE01BC"/>
    <w:rsid w:val="00FE15DF"/>
    <w:rsid w:val="00FE434F"/>
    <w:rsid w:val="00FE46EE"/>
    <w:rsid w:val="00FE4D40"/>
    <w:rsid w:val="00FE5C80"/>
    <w:rsid w:val="00FE716B"/>
    <w:rsid w:val="00FF17F9"/>
    <w:rsid w:val="00FF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A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63908"/>
    <w:pPr>
      <w:spacing w:line="240" w:lineRule="auto"/>
    </w:pPr>
    <w:rPr>
      <w:szCs w:val="20"/>
    </w:rPr>
  </w:style>
  <w:style w:type="character" w:customStyle="1" w:styleId="FootnoteTextChar">
    <w:name w:val="Footnote Text Char"/>
    <w:basedOn w:val="DefaultParagraphFont"/>
    <w:link w:val="FootnoteText"/>
    <w:uiPriority w:val="99"/>
    <w:rsid w:val="00A63908"/>
    <w:rPr>
      <w:rFonts w:ascii="Times New Roman" w:hAnsi="Times New Roman" w:cs="Times New Roman"/>
      <w:sz w:val="26"/>
      <w:szCs w:val="20"/>
    </w:rPr>
  </w:style>
  <w:style w:type="paragraph" w:styleId="ListParagraph">
    <w:name w:val="List Paragraph"/>
    <w:basedOn w:val="Normal"/>
    <w:uiPriority w:val="34"/>
    <w:qFormat/>
    <w:rsid w:val="00B707D9"/>
    <w:pPr>
      <w:ind w:left="720"/>
      <w:contextualSpacing/>
    </w:pPr>
  </w:style>
  <w:style w:type="character" w:styleId="FootnoteReference">
    <w:name w:val="footnote reference"/>
    <w:basedOn w:val="DefaultParagraphFont"/>
    <w:uiPriority w:val="99"/>
    <w:semiHidden/>
    <w:unhideWhenUsed/>
    <w:rsid w:val="001C2CEE"/>
    <w:rPr>
      <w:vertAlign w:val="superscript"/>
    </w:rPr>
  </w:style>
  <w:style w:type="paragraph" w:styleId="Header">
    <w:name w:val="header"/>
    <w:basedOn w:val="Normal"/>
    <w:link w:val="HeaderChar"/>
    <w:uiPriority w:val="99"/>
    <w:unhideWhenUsed/>
    <w:rsid w:val="0035547E"/>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35547E"/>
    <w:rPr>
      <w:rFonts w:ascii="Times New Roman" w:hAnsi="Times New Roman" w:cs="Times New Roman"/>
      <w:sz w:val="26"/>
    </w:rPr>
  </w:style>
  <w:style w:type="paragraph" w:styleId="Footer">
    <w:name w:val="footer"/>
    <w:basedOn w:val="Normal"/>
    <w:link w:val="FooterChar"/>
    <w:uiPriority w:val="99"/>
    <w:unhideWhenUsed/>
    <w:rsid w:val="0035547E"/>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35547E"/>
    <w:rPr>
      <w:rFonts w:ascii="Times New Roman" w:hAnsi="Times New Roman" w:cs="Times New Roman"/>
      <w:sz w:val="26"/>
    </w:rPr>
  </w:style>
  <w:style w:type="paragraph" w:styleId="Revision">
    <w:name w:val="Revision"/>
    <w:hidden/>
    <w:uiPriority w:val="99"/>
    <w:semiHidden/>
    <w:rsid w:val="0081621E"/>
    <w:pPr>
      <w:spacing w:after="0" w:line="240" w:lineRule="auto"/>
    </w:pPr>
    <w:rPr>
      <w:rFonts w:ascii="Times New Roman" w:hAnsi="Times New Roman" w:cs="Times New Roman"/>
      <w:sz w:val="26"/>
    </w:rPr>
  </w:style>
  <w:style w:type="character" w:styleId="CommentReference">
    <w:name w:val="annotation reference"/>
    <w:basedOn w:val="DefaultParagraphFont"/>
    <w:uiPriority w:val="99"/>
    <w:semiHidden/>
    <w:unhideWhenUsed/>
    <w:rsid w:val="0081621E"/>
    <w:rPr>
      <w:sz w:val="16"/>
      <w:szCs w:val="16"/>
    </w:rPr>
  </w:style>
  <w:style w:type="paragraph" w:styleId="CommentText">
    <w:name w:val="annotation text"/>
    <w:basedOn w:val="Normal"/>
    <w:link w:val="CommentTextChar"/>
    <w:uiPriority w:val="99"/>
    <w:unhideWhenUsed/>
    <w:rsid w:val="0081621E"/>
    <w:pPr>
      <w:spacing w:line="240" w:lineRule="auto"/>
    </w:pPr>
    <w:rPr>
      <w:sz w:val="20"/>
      <w:szCs w:val="20"/>
    </w:rPr>
  </w:style>
  <w:style w:type="character" w:customStyle="1" w:styleId="CommentTextChar">
    <w:name w:val="Comment Text Char"/>
    <w:basedOn w:val="DefaultParagraphFont"/>
    <w:link w:val="CommentText"/>
    <w:uiPriority w:val="99"/>
    <w:rsid w:val="0081621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21E"/>
    <w:rPr>
      <w:b/>
      <w:bCs/>
    </w:rPr>
  </w:style>
  <w:style w:type="character" w:customStyle="1" w:styleId="CommentSubjectChar">
    <w:name w:val="Comment Subject Char"/>
    <w:basedOn w:val="CommentTextChar"/>
    <w:link w:val="CommentSubject"/>
    <w:uiPriority w:val="99"/>
    <w:semiHidden/>
    <w:rsid w:val="0081621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A953-290D-4F35-93DE-CAB88387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4639</Words>
  <Characters>24868</Characters>
  <Application>Microsoft Office Word</Application>
  <DocSecurity>0</DocSecurity>
  <Lines>478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2024-03-21T22:32:00Z</dcterms:created>
  <dcterms:modified xsi:type="dcterms:W3CDTF">2024-03-21T22:32:00Z</dcterms:modified>
</cp:coreProperties>
</file>