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751EC4" w:rsidRDefault="003B3C0B" w:rsidP="003B3C0B">
      <w:pPr>
        <w:widowControl w:val="0"/>
        <w:ind w:left="-720" w:hanging="4"/>
        <w:rPr>
          <w:rStyle w:val="Emphasis"/>
        </w:rPr>
      </w:pPr>
      <w:bookmarkStart w:id="0" w:name="_GoBack"/>
      <w:bookmarkEnd w:id="0"/>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0369F1F"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0D7583">
              <w:rPr>
                <w:sz w:val="16"/>
                <w:szCs w:val="16"/>
              </w:rPr>
              <w:t>8</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48DC9067" w:rsidR="003B3C0B" w:rsidRPr="00287443" w:rsidRDefault="003B3C0B" w:rsidP="001046A6">
            <w:pPr>
              <w:spacing w:before="60"/>
              <w:rPr>
                <w:b/>
                <w:sz w:val="20"/>
              </w:rPr>
            </w:pPr>
            <w:r w:rsidRPr="00287443">
              <w:rPr>
                <w:b/>
                <w:sz w:val="20"/>
                <w:highlight w:val="yellow"/>
              </w:rPr>
              <w:t>[</w:t>
            </w:r>
            <w:r w:rsidR="001870E4">
              <w:rPr>
                <w:b/>
                <w:sz w:val="20"/>
                <w:highlight w:val="yellow"/>
              </w:rPr>
              <w:t>TBD</w:t>
            </w:r>
            <w:r w:rsidRPr="00287443">
              <w:rPr>
                <w:b/>
                <w:sz w:val="20"/>
                <w:highlight w:val="yellow"/>
              </w:rPr>
              <w:t>]</w:t>
            </w:r>
          </w:p>
        </w:tc>
      </w:tr>
    </w:tbl>
    <w:p w14:paraId="7DF89C28" w14:textId="39BF7D35"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w:t>
      </w:r>
      <w:r w:rsidR="001870E4">
        <w:rPr>
          <w:b/>
          <w:sz w:val="20"/>
          <w:highlight w:val="yellow"/>
        </w:rPr>
        <w:t>TBD</w:t>
      </w:r>
      <w:r w:rsidRPr="00287443">
        <w:rPr>
          <w:b/>
          <w:sz w:val="20"/>
          <w:highlight w:val="yellow"/>
        </w:rPr>
        <w:t>]</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458BA7E3" w14:textId="42A7BCC8"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w:t>
      </w:r>
      <w:r w:rsidR="001870E4">
        <w:rPr>
          <w:b/>
          <w:sz w:val="20"/>
          <w:highlight w:val="yellow"/>
        </w:rPr>
        <w:t>TBD</w:t>
      </w:r>
      <w:r w:rsidRPr="00287443">
        <w:rPr>
          <w:b/>
          <w:sz w:val="20"/>
          <w:highlight w:val="yellow"/>
        </w:rPr>
        <w:t>]</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6BC6BA19"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3329D1">
        <w:rPr>
          <w:b/>
          <w:sz w:val="20"/>
          <w:highlight w:val="yellow"/>
        </w:rPr>
        <w:t>[</w:t>
      </w:r>
      <w:r w:rsidR="003329D1">
        <w:rPr>
          <w:b/>
          <w:sz w:val="20"/>
          <w:highlight w:val="yellow"/>
        </w:rPr>
        <w:t>TBD</w:t>
      </w:r>
      <w:r w:rsidRPr="003329D1">
        <w:rPr>
          <w:b/>
          <w:sz w:val="20"/>
          <w:highlight w:val="yellow"/>
        </w:rPr>
        <w:t>]</w:t>
      </w:r>
      <w:r w:rsidRPr="003329D1">
        <w:rPr>
          <w:b/>
          <w:sz w:val="20"/>
        </w:rPr>
        <w:t>.</w:t>
      </w:r>
      <w:r>
        <w:rPr>
          <w:sz w:val="20"/>
        </w:rPr>
        <w:tab/>
      </w:r>
    </w:p>
    <w:p w14:paraId="3D5D8E82" w14:textId="669F9AD1"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w:t>
      </w:r>
      <w:r w:rsidR="003329D1">
        <w:rPr>
          <w:b/>
          <w:sz w:val="20"/>
          <w:highlight w:val="yellow"/>
        </w:rPr>
        <w:t>TBD</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w:t>
      </w:r>
      <w:r w:rsidR="003329D1">
        <w:rPr>
          <w:b/>
          <w:sz w:val="20"/>
          <w:highlight w:val="yellow"/>
        </w:rPr>
        <w:t>TBD</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w:t>
      </w:r>
      <w:r w:rsidR="003329D1">
        <w:rPr>
          <w:b/>
          <w:sz w:val="20"/>
          <w:highlight w:val="yellow"/>
        </w:rPr>
        <w:t>TBD</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375B16A5"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3329D1">
        <w:rPr>
          <w:b/>
          <w:sz w:val="20"/>
          <w:highlight w:val="yellow"/>
        </w:rPr>
        <w:t xml:space="preserve">Interdisciplinary Education on Permanency and the </w:t>
      </w:r>
      <w:proofErr w:type="gramStart"/>
      <w:r w:rsidR="003329D1">
        <w:rPr>
          <w:b/>
          <w:sz w:val="20"/>
          <w:highlight w:val="yellow"/>
        </w:rPr>
        <w:t>Court.</w:t>
      </w:r>
      <w:r w:rsidRPr="00287443">
        <w:rPr>
          <w:sz w:val="20"/>
        </w:rPr>
        <w:t>.</w:t>
      </w:r>
      <w:proofErr w:type="gramEnd"/>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33D18FA9"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6364E8B4" w:rsidR="003B3C0B" w:rsidRPr="00114412" w:rsidRDefault="003329D1" w:rsidP="00D662AB">
            <w:pPr>
              <w:tabs>
                <w:tab w:val="left" w:pos="3600"/>
              </w:tabs>
              <w:jc w:val="center"/>
              <w:rPr>
                <w:b/>
              </w:rPr>
            </w:pPr>
            <w:r>
              <w:rPr>
                <w:b/>
                <w:sz w:val="20"/>
              </w:rPr>
              <w:t xml:space="preserve"> JUDICIAL COUNCIL</w:t>
            </w:r>
            <w:r w:rsidRPr="00085A04">
              <w:rPr>
                <w:b/>
                <w:sz w:val="20"/>
              </w:rPr>
              <w:t xml:space="preserve">’S </w:t>
            </w:r>
            <w:r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5572DB48" w14:textId="77777777" w:rsidR="003329D1" w:rsidRDefault="003329D1" w:rsidP="00D662AB">
            <w:pPr>
              <w:jc w:val="both"/>
              <w:rPr>
                <w:b/>
                <w:sz w:val="20"/>
              </w:rPr>
            </w:pPr>
          </w:p>
          <w:p w14:paraId="3D9E8963" w14:textId="77777777" w:rsidR="003329D1" w:rsidRDefault="003329D1" w:rsidP="00D662AB">
            <w:pPr>
              <w:jc w:val="both"/>
              <w:rPr>
                <w:b/>
                <w:sz w:val="20"/>
              </w:rPr>
            </w:pPr>
          </w:p>
          <w:p w14:paraId="17FCE014" w14:textId="3253382B" w:rsidR="003B3C0B" w:rsidRPr="003329D1" w:rsidRDefault="003329D1" w:rsidP="00D662AB">
            <w:pPr>
              <w:jc w:val="both"/>
              <w:rPr>
                <w:b/>
                <w:sz w:val="20"/>
              </w:rPr>
            </w:pPr>
            <w:r w:rsidRPr="003329D1">
              <w:rPr>
                <w:b/>
                <w:sz w:val="20"/>
              </w:rPr>
              <w:t>JUDICIAL COUNCIL OF CALIFORNIA</w:t>
            </w:r>
            <w:r w:rsidRPr="003329D1" w:rsidDel="003329D1">
              <w:rPr>
                <w:b/>
                <w:sz w:val="20"/>
              </w:rPr>
              <w:t xml:space="preserve"> </w:t>
            </w:r>
          </w:p>
          <w:p w14:paraId="3C48CA19" w14:textId="6ACB655F" w:rsidR="003329D1" w:rsidRPr="00114412" w:rsidRDefault="003329D1" w:rsidP="00D662AB">
            <w:pPr>
              <w:jc w:val="both"/>
              <w:rPr>
                <w:sz w:val="18"/>
              </w:rPr>
            </w:pP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880F6BD" w14:textId="77777777" w:rsidR="003329D1" w:rsidRPr="005B158E" w:rsidRDefault="003329D1" w:rsidP="003329D1">
            <w:pPr>
              <w:tabs>
                <w:tab w:val="left" w:pos="3600"/>
              </w:tabs>
              <w:rPr>
                <w:b/>
              </w:rPr>
            </w:pPr>
            <w:r>
              <w:rPr>
                <w:b/>
              </w:rPr>
              <w:t>[TBD]</w:t>
            </w:r>
          </w:p>
          <w:p w14:paraId="6C576AE2" w14:textId="6E501AB2" w:rsidR="003B3C0B" w:rsidRPr="00287443" w:rsidRDefault="003329D1" w:rsidP="003329D1">
            <w:pPr>
              <w:tabs>
                <w:tab w:val="left" w:pos="3600"/>
              </w:tabs>
              <w:rPr>
                <w:sz w:val="20"/>
              </w:rPr>
            </w:pPr>
            <w:r w:rsidRPr="00287443" w:rsidDel="003329D1">
              <w:rPr>
                <w:b/>
                <w:sz w:val="20"/>
                <w:highlight w:val="yellow"/>
              </w:rPr>
              <w:t xml:space="preserve"> </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26216D8B" w:rsidR="003B3C0B" w:rsidRPr="00114412" w:rsidRDefault="003B3C0B" w:rsidP="00D662AB">
            <w:pPr>
              <w:spacing w:before="20"/>
              <w:rPr>
                <w:sz w:val="14"/>
              </w:rPr>
            </w:pPr>
            <w:r w:rsidRPr="00C314CE">
              <w:rPr>
                <w:sz w:val="14"/>
              </w:rPr>
              <w:t xml:space="preserve"> BY </w:t>
            </w:r>
            <w:r w:rsidRPr="00C314CE">
              <w:rPr>
                <w:i/>
                <w:sz w:val="14"/>
              </w:rPr>
              <w:t>(Authorized Signature)</w:t>
            </w:r>
            <w:r w:rsidR="005D13CD" w:rsidRPr="00046610">
              <w:rPr>
                <w:noProof/>
                <w:sz w:val="14"/>
                <w:szCs w:val="24"/>
              </w:rPr>
              <w:t xml:space="preserve"> </w:t>
            </w:r>
            <w:r w:rsidR="005D13CD" w:rsidRPr="00046610">
              <w:rPr>
                <w:noProof/>
                <w:sz w:val="14"/>
                <w:szCs w:val="24"/>
              </w:rPr>
              <mc:AlternateContent>
                <mc:Choice Requires="wps">
                  <w:drawing>
                    <wp:anchor distT="0" distB="0" distL="114300" distR="114300" simplePos="0" relativeHeight="251659264" behindDoc="0" locked="0" layoutInCell="1" allowOverlap="1" wp14:anchorId="1E6E1E4E" wp14:editId="018D55CE">
                      <wp:simplePos x="0" y="0"/>
                      <wp:positionH relativeFrom="column">
                        <wp:posOffset>-8890</wp:posOffset>
                      </wp:positionH>
                      <wp:positionV relativeFrom="paragraph">
                        <wp:posOffset>6350</wp:posOffset>
                      </wp:positionV>
                      <wp:extent cx="6499860" cy="1001395"/>
                      <wp:effectExtent l="0" t="0" r="34290" b="654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CAE491B" w14:textId="77777777" w:rsidR="005D13CD" w:rsidRPr="00FB4888" w:rsidRDefault="005D13CD" w:rsidP="005D13CD">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E1E4E" id="Rectangle 2" o:spid="_x0000_s1026" style="position:absolute;margin-left:-.7pt;margin-top:.5pt;width:511.8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" strokecolor="#fabf8f" strokeweight="1pt">
                      <v:fill color2="#fbd4b4" focus="100%" type="gradient"/>
                      <v:shadow on="t" color="#974706" opacity=".5" offset="1pt"/>
                      <v:textbox>
                        <w:txbxContent>
                          <w:p w14:paraId="1CAE491B" w14:textId="77777777" w:rsidR="005D13CD" w:rsidRPr="00FB4888" w:rsidRDefault="005D13CD" w:rsidP="005D13CD">
                            <w:pPr>
                              <w:spacing w:before="360"/>
                              <w:jc w:val="center"/>
                              <w:rPr>
                                <w:b/>
                                <w:smallCaps/>
                                <w:sz w:val="48"/>
                              </w:rPr>
                            </w:pPr>
                            <w:r w:rsidRPr="00FB4888">
                              <w:rPr>
                                <w:b/>
                                <w:smallCaps/>
                                <w:sz w:val="48"/>
                              </w:rPr>
                              <w:t>Sample Only – Do Not Sign</w:t>
                            </w:r>
                          </w:p>
                        </w:txbxContent>
                      </v:textbox>
                    </v:rect>
                  </w:pict>
                </mc:Fallback>
              </mc:AlternateConten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56B3BB2C" w14:textId="77777777" w:rsidR="003329D1" w:rsidRPr="005B158E" w:rsidRDefault="003329D1" w:rsidP="003329D1">
            <w:pPr>
              <w:tabs>
                <w:tab w:val="left" w:pos="3600"/>
              </w:tabs>
              <w:rPr>
                <w:b/>
              </w:rPr>
            </w:pPr>
            <w:r>
              <w:rPr>
                <w:b/>
              </w:rPr>
              <w:t>[TBD]</w:t>
            </w:r>
          </w:p>
          <w:p w14:paraId="4713F1FB" w14:textId="53EF44A6" w:rsidR="00993261" w:rsidRPr="00114412" w:rsidRDefault="003329D1" w:rsidP="003329D1">
            <w:pPr>
              <w:tabs>
                <w:tab w:val="left" w:pos="3600"/>
              </w:tabs>
              <w:rPr>
                <w:sz w:val="14"/>
              </w:rPr>
            </w:pPr>
            <w:r w:rsidRPr="00287443" w:rsidDel="003329D1">
              <w:rPr>
                <w:b/>
                <w:sz w:val="20"/>
                <w:highlight w:val="yellow"/>
              </w:rPr>
              <w:t xml:space="preserve"> </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33CD082" w14:textId="77777777" w:rsidR="003329D1" w:rsidRPr="005B158E" w:rsidRDefault="003329D1" w:rsidP="003329D1">
            <w:pPr>
              <w:tabs>
                <w:tab w:val="left" w:pos="3600"/>
              </w:tabs>
              <w:rPr>
                <w:b/>
              </w:rPr>
            </w:pPr>
            <w:r>
              <w:rPr>
                <w:b/>
              </w:rPr>
              <w:t>[TBD]</w:t>
            </w:r>
          </w:p>
          <w:p w14:paraId="6CF0AE18" w14:textId="5C982EE7" w:rsidR="003F1B2B" w:rsidRPr="00114412" w:rsidRDefault="003329D1" w:rsidP="003329D1">
            <w:pPr>
              <w:tabs>
                <w:tab w:val="left" w:pos="3600"/>
              </w:tabs>
              <w:rPr>
                <w:sz w:val="14"/>
              </w:rPr>
            </w:pPr>
            <w:r w:rsidDel="003329D1">
              <w:rPr>
                <w:b/>
                <w:sz w:val="20"/>
                <w:highlight w:val="yellow"/>
              </w:rPr>
              <w:t xml:space="preserve"> </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2E45F685" w14:textId="77777777" w:rsidR="003329D1" w:rsidRPr="005B158E" w:rsidRDefault="003329D1" w:rsidP="003329D1">
            <w:pPr>
              <w:tabs>
                <w:tab w:val="left" w:pos="3600"/>
              </w:tabs>
              <w:rPr>
                <w:b/>
              </w:rPr>
            </w:pPr>
            <w:r>
              <w:rPr>
                <w:b/>
              </w:rPr>
              <w:t>[TBD]</w:t>
            </w:r>
          </w:p>
          <w:p w14:paraId="72E182B9" w14:textId="554C2A4F" w:rsidR="003B3C0B" w:rsidRPr="00287443" w:rsidRDefault="003329D1" w:rsidP="003329D1">
            <w:pPr>
              <w:tabs>
                <w:tab w:val="left" w:pos="3600"/>
              </w:tabs>
              <w:rPr>
                <w:sz w:val="20"/>
              </w:rPr>
            </w:pPr>
            <w:r w:rsidRPr="00287443" w:rsidDel="003329D1">
              <w:rPr>
                <w:b/>
                <w:sz w:val="20"/>
                <w:highlight w:val="yellow"/>
              </w:rPr>
              <w:t xml:space="preserve"> </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45EBEA1E" w14:textId="77777777" w:rsidR="003329D1" w:rsidRPr="005B158E" w:rsidRDefault="003329D1" w:rsidP="003329D1">
            <w:pPr>
              <w:tabs>
                <w:tab w:val="left" w:pos="3600"/>
              </w:tabs>
              <w:rPr>
                <w:b/>
              </w:rPr>
            </w:pPr>
            <w:r>
              <w:rPr>
                <w:b/>
              </w:rPr>
              <w:t>[TBD]</w:t>
            </w:r>
          </w:p>
          <w:p w14:paraId="5BB25E5D" w14:textId="66000318" w:rsidR="003B3C0B" w:rsidRPr="00287443" w:rsidRDefault="003329D1" w:rsidP="003329D1">
            <w:pPr>
              <w:tabs>
                <w:tab w:val="left" w:pos="3600"/>
              </w:tabs>
              <w:rPr>
                <w:sz w:val="20"/>
              </w:rPr>
            </w:pPr>
            <w:r w:rsidRPr="00287443" w:rsidDel="003329D1">
              <w:rPr>
                <w:b/>
                <w:sz w:val="20"/>
                <w:highlight w:val="yellow"/>
              </w:rPr>
              <w:t xml:space="preserve"> </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13847E16"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CE5D9C6" w14:textId="77777777"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8A0BDE6" w14:textId="77777777" w:rsidR="0012785C" w:rsidRPr="00C54EE7" w:rsidRDefault="0012785C" w:rsidP="008E228D">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Description of Goods.</w:t>
      </w:r>
      <w:r w:rsidRPr="00EC158B">
        <w:rPr>
          <w:rFonts w:asciiTheme="minorHAnsi" w:hAnsiTheme="minorHAnsi" w:cstheme="minorHAnsi"/>
          <w:bCs/>
          <w:sz w:val="20"/>
        </w:rPr>
        <w:t xml:space="preserve"> The </w:t>
      </w:r>
      <w:r w:rsidR="00323CD0">
        <w:rPr>
          <w:rFonts w:asciiTheme="minorHAnsi" w:hAnsiTheme="minorHAnsi" w:cstheme="minorHAnsi"/>
          <w:bCs/>
          <w:sz w:val="20"/>
        </w:rPr>
        <w:t>JBE</w:t>
      </w:r>
      <w:r w:rsidRPr="00EC158B">
        <w:rPr>
          <w:rFonts w:asciiTheme="minorHAnsi" w:hAnsiTheme="minorHAnsi" w:cstheme="minorHAnsi"/>
          <w:bCs/>
          <w:sz w:val="20"/>
        </w:rPr>
        <w:t xml:space="preserve"> shall purchase from Contractor, and Contractor shall sell to the </w:t>
      </w:r>
      <w:r w:rsidR="00323CD0">
        <w:rPr>
          <w:rFonts w:asciiTheme="minorHAnsi" w:hAnsiTheme="minorHAnsi" w:cstheme="minorHAnsi"/>
          <w:bCs/>
          <w:sz w:val="20"/>
        </w:rPr>
        <w:t>JBE</w:t>
      </w:r>
      <w:r w:rsidRPr="00EC158B">
        <w:rPr>
          <w:rFonts w:asciiTheme="minorHAnsi" w:hAnsiTheme="minorHAnsi" w:cstheme="minorHAnsi"/>
          <w:bCs/>
          <w:sz w:val="20"/>
        </w:rPr>
        <w:t xml:space="preserve"> the following products, goods, materials, and supplies (“Goods”) free and clear of all liens, claims, and encumbrances</w:t>
      </w:r>
      <w:r>
        <w:rPr>
          <w:rFonts w:asciiTheme="minorHAnsi" w:hAnsiTheme="minorHAnsi" w:cstheme="minorHAnsi"/>
          <w:bCs/>
          <w:sz w:val="20"/>
        </w:rPr>
        <w:t>:</w:t>
      </w:r>
    </w:p>
    <w:p w14:paraId="19A1CAAB" w14:textId="77777777" w:rsidR="0012785C" w:rsidRDefault="0012785C" w:rsidP="0012785C">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6EE8B8BE" w14:textId="77777777" w:rsidR="0012785C" w:rsidRPr="00C54EE7" w:rsidRDefault="0012785C" w:rsidP="0012785C">
      <w:pPr>
        <w:pStyle w:val="ListParagraph"/>
        <w:numPr>
          <w:ilvl w:val="0"/>
          <w:numId w:val="21"/>
        </w:numPr>
        <w:spacing w:before="120" w:after="120"/>
        <w:ind w:left="1260"/>
        <w:rPr>
          <w:rFonts w:asciiTheme="minorHAnsi" w:hAnsiTheme="minorHAnsi" w:cstheme="minorHAnsi"/>
          <w:i/>
          <w:sz w:val="20"/>
        </w:rPr>
      </w:pPr>
    </w:p>
    <w:p w14:paraId="71043AD2" w14:textId="77777777" w:rsidR="0012785C" w:rsidRPr="00E46145"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Risk of Los</w:t>
      </w:r>
      <w:r>
        <w:rPr>
          <w:rFonts w:asciiTheme="minorHAnsi" w:hAnsiTheme="minorHAnsi" w:cstheme="minorHAnsi"/>
          <w:b/>
          <w:bCs/>
          <w:sz w:val="20"/>
        </w:rPr>
        <w:t>s; Title</w:t>
      </w:r>
      <w:r w:rsidRPr="00EC158B">
        <w:rPr>
          <w:rFonts w:asciiTheme="minorHAnsi" w:hAnsiTheme="minorHAnsi" w:cstheme="minorHAnsi"/>
          <w:b/>
          <w:bCs/>
          <w:sz w:val="20"/>
        </w:rPr>
        <w:t>.</w:t>
      </w:r>
      <w:r>
        <w:rPr>
          <w:rFonts w:asciiTheme="minorHAnsi" w:hAnsiTheme="minorHAnsi" w:cstheme="minorHAnsi"/>
          <w:b/>
          <w:bCs/>
          <w:sz w:val="20"/>
        </w:rPr>
        <w:t xml:space="preserve">  </w:t>
      </w:r>
      <w:r>
        <w:rPr>
          <w:rFonts w:asciiTheme="minorHAnsi" w:hAnsiTheme="minorHAnsi" w:cstheme="minorHAnsi"/>
          <w:bCs/>
          <w:sz w:val="20"/>
        </w:rPr>
        <w:t>Contractor will deliver the Goods “Free on Board</w:t>
      </w:r>
      <w:r w:rsidRPr="002B170E">
        <w:rPr>
          <w:rFonts w:asciiTheme="minorHAnsi" w:hAnsiTheme="minorHAnsi" w:cstheme="minorHAnsi"/>
          <w:bCs/>
          <w:sz w:val="20"/>
        </w:rPr>
        <w:t xml:space="preserve"> Destination Freight Prepaid</w:t>
      </w:r>
      <w:r>
        <w:rPr>
          <w:rFonts w:asciiTheme="minorHAnsi" w:hAnsiTheme="minorHAnsi" w:cstheme="minorHAnsi"/>
          <w:bCs/>
          <w:sz w:val="20"/>
        </w:rPr>
        <w:t xml:space="preserve">”, to the </w:t>
      </w:r>
      <w:r w:rsidR="00323CD0">
        <w:rPr>
          <w:rFonts w:asciiTheme="minorHAnsi" w:hAnsiTheme="minorHAnsi" w:cstheme="minorHAnsi"/>
          <w:bCs/>
          <w:sz w:val="20"/>
        </w:rPr>
        <w:t>JBE</w:t>
      </w:r>
      <w:r>
        <w:rPr>
          <w:rFonts w:asciiTheme="minorHAnsi" w:hAnsiTheme="minorHAnsi" w:cstheme="minorHAnsi"/>
          <w:bCs/>
          <w:sz w:val="20"/>
        </w:rPr>
        <w:t xml:space="preserve"> at</w:t>
      </w:r>
      <w:r w:rsidR="00B334BD">
        <w:rPr>
          <w:rFonts w:asciiTheme="minorHAnsi" w:hAnsiTheme="minorHAnsi" w:cstheme="minorHAnsi"/>
          <w:bCs/>
          <w:sz w:val="20"/>
        </w:rPr>
        <w:t xml:space="preserve"> </w:t>
      </w:r>
      <w:r w:rsidR="00B334BD" w:rsidRPr="00B334BD">
        <w:rPr>
          <w:rFonts w:asciiTheme="minorHAnsi" w:hAnsiTheme="minorHAnsi" w:cstheme="minorHAnsi"/>
          <w:b/>
          <w:bCs/>
          <w:sz w:val="20"/>
          <w:highlight w:val="yellow"/>
        </w:rPr>
        <w:t>[address]</w:t>
      </w:r>
      <w:r>
        <w:rPr>
          <w:rFonts w:asciiTheme="minorHAnsi" w:hAnsiTheme="minorHAnsi" w:cstheme="minorHAnsi"/>
          <w:bCs/>
          <w:sz w:val="20"/>
        </w:rPr>
        <w:t xml:space="preserve">. </w:t>
      </w:r>
      <w:r w:rsidRPr="006E7AB0">
        <w:rPr>
          <w:rFonts w:asciiTheme="minorHAnsi" w:hAnsiTheme="minorHAnsi" w:cstheme="minorHAnsi"/>
          <w:bCs/>
          <w:sz w:val="20"/>
        </w:rPr>
        <w:t xml:space="preserve">Title to </w:t>
      </w:r>
      <w:r>
        <w:rPr>
          <w:rFonts w:asciiTheme="minorHAnsi" w:hAnsiTheme="minorHAnsi" w:cstheme="minorHAnsi"/>
          <w:bCs/>
          <w:sz w:val="20"/>
        </w:rPr>
        <w:t>the Goods</w:t>
      </w:r>
      <w:r w:rsidRPr="006E7AB0">
        <w:rPr>
          <w:rFonts w:asciiTheme="minorHAnsi" w:hAnsiTheme="minorHAnsi" w:cstheme="minorHAnsi"/>
          <w:bCs/>
          <w:sz w:val="20"/>
        </w:rPr>
        <w:t xml:space="preserve"> vests in the </w:t>
      </w:r>
      <w:r w:rsidR="00323CD0">
        <w:rPr>
          <w:rFonts w:asciiTheme="minorHAnsi" w:hAnsiTheme="minorHAnsi" w:cstheme="minorHAnsi"/>
          <w:bCs/>
          <w:sz w:val="20"/>
        </w:rPr>
        <w:t>JBE</w:t>
      </w:r>
      <w:r w:rsidRPr="006E7AB0">
        <w:rPr>
          <w:rFonts w:asciiTheme="minorHAnsi" w:hAnsiTheme="minorHAnsi" w:cstheme="minorHAnsi"/>
          <w:bCs/>
          <w:sz w:val="20"/>
        </w:rPr>
        <w:t xml:space="preserve"> upon payment of the </w:t>
      </w:r>
      <w:r>
        <w:rPr>
          <w:rFonts w:asciiTheme="minorHAnsi" w:hAnsiTheme="minorHAnsi" w:cstheme="minorHAnsi"/>
          <w:bCs/>
          <w:sz w:val="20"/>
        </w:rPr>
        <w:t xml:space="preserve">applicable </w:t>
      </w:r>
      <w:r w:rsidRPr="006E7AB0">
        <w:rPr>
          <w:rFonts w:asciiTheme="minorHAnsi" w:hAnsiTheme="minorHAnsi" w:cstheme="minorHAnsi"/>
          <w:bCs/>
          <w:sz w:val="20"/>
        </w:rPr>
        <w:t>purchase price</w:t>
      </w:r>
      <w:r>
        <w:rPr>
          <w:rFonts w:asciiTheme="minorHAnsi" w:hAnsiTheme="minorHAnsi" w:cstheme="minorHAnsi"/>
          <w:bCs/>
          <w:sz w:val="20"/>
        </w:rPr>
        <w:t>.</w:t>
      </w:r>
    </w:p>
    <w:p w14:paraId="4A517669" w14:textId="77777777" w:rsidR="0012785C" w:rsidRPr="003145FD" w:rsidRDefault="0012785C" w:rsidP="0012785C">
      <w:pPr>
        <w:pStyle w:val="ListParagraph"/>
        <w:numPr>
          <w:ilvl w:val="1"/>
          <w:numId w:val="12"/>
        </w:numPr>
        <w:tabs>
          <w:tab w:val="left" w:pos="900"/>
        </w:tabs>
        <w:spacing w:before="120" w:after="120"/>
        <w:rPr>
          <w:rFonts w:asciiTheme="minorHAnsi" w:hAnsiTheme="minorHAnsi" w:cstheme="minorHAnsi"/>
          <w:b/>
          <w:bCs/>
          <w:sz w:val="20"/>
        </w:rPr>
      </w:pPr>
      <w:r w:rsidRPr="00EC158B">
        <w:rPr>
          <w:rFonts w:asciiTheme="minorHAnsi" w:hAnsiTheme="minorHAnsi" w:cstheme="minorHAnsi"/>
          <w:b/>
          <w:bCs/>
          <w:sz w:val="20"/>
        </w:rPr>
        <w:t>Inspection and acceptance criteria.</w:t>
      </w:r>
      <w:r w:rsidRPr="00FE190F">
        <w:rPr>
          <w:rFonts w:asciiTheme="minorHAnsi" w:hAnsiTheme="minorHAnsi" w:cstheme="minorHAnsi"/>
          <w:bCs/>
          <w:i/>
          <w:sz w:val="20"/>
          <w:lang w:bidi="en-US"/>
        </w:rPr>
        <w:t xml:space="preserve"> </w:t>
      </w:r>
    </w:p>
    <w:p w14:paraId="3238782E" w14:textId="77777777" w:rsidR="0012785C" w:rsidRDefault="0012785C" w:rsidP="0012785C">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3B6754FA" w14:textId="77777777" w:rsidR="0012785C" w:rsidRPr="003145FD" w:rsidRDefault="0012785C" w:rsidP="0012785C">
      <w:pPr>
        <w:pStyle w:val="ListParagraph"/>
        <w:numPr>
          <w:ilvl w:val="0"/>
          <w:numId w:val="21"/>
        </w:numPr>
        <w:spacing w:before="120" w:after="120"/>
        <w:ind w:left="1260"/>
        <w:rPr>
          <w:rFonts w:asciiTheme="minorHAnsi" w:hAnsiTheme="minorHAnsi" w:cstheme="minorHAnsi"/>
          <w:i/>
          <w:sz w:val="20"/>
        </w:rPr>
      </w:pPr>
    </w:p>
    <w:p w14:paraId="0633D39D" w14:textId="77777777" w:rsidR="0012785C" w:rsidRPr="00EC158B" w:rsidRDefault="001D61F6" w:rsidP="0012785C">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
          <w:bCs/>
          <w:sz w:val="20"/>
        </w:rPr>
        <w:t>Goods W</w:t>
      </w:r>
      <w:r w:rsidR="0012785C" w:rsidRPr="00EC158B">
        <w:rPr>
          <w:rFonts w:asciiTheme="minorHAnsi" w:hAnsiTheme="minorHAnsi" w:cstheme="minorHAnsi"/>
          <w:b/>
          <w:bCs/>
          <w:sz w:val="20"/>
        </w:rPr>
        <w:t>arranties.</w:t>
      </w:r>
      <w:r w:rsidR="0012785C">
        <w:rPr>
          <w:rFonts w:asciiTheme="minorHAnsi" w:hAnsiTheme="minorHAnsi" w:cstheme="minorHAnsi"/>
          <w:b/>
          <w:bCs/>
          <w:sz w:val="20"/>
        </w:rPr>
        <w:t xml:space="preserve">  </w:t>
      </w:r>
      <w:r w:rsidR="0012785C" w:rsidRPr="007E3BC8">
        <w:rPr>
          <w:rFonts w:asciiTheme="minorHAnsi" w:hAnsiTheme="minorHAnsi" w:cstheme="minorHAnsi"/>
          <w:bCs/>
          <w:sz w:val="20"/>
        </w:rPr>
        <w:t xml:space="preserve">Contractor warrants that </w:t>
      </w:r>
      <w:r w:rsidR="0012785C">
        <w:rPr>
          <w:rFonts w:asciiTheme="minorHAnsi" w:hAnsiTheme="minorHAnsi" w:cstheme="minorHAnsi"/>
          <w:bCs/>
          <w:sz w:val="20"/>
        </w:rPr>
        <w:t xml:space="preserve">the Goods </w:t>
      </w:r>
      <w:r w:rsidR="0012785C" w:rsidRPr="007E3BC8">
        <w:rPr>
          <w:rFonts w:asciiTheme="minorHAnsi" w:hAnsiTheme="minorHAnsi" w:cstheme="minorHAnsi"/>
          <w:bCs/>
          <w:sz w:val="20"/>
        </w:rPr>
        <w:t xml:space="preserve">will be merchantable for their intended purposes, free from all defects in materials and workmanship, </w:t>
      </w:r>
      <w:r w:rsidR="0012785C">
        <w:rPr>
          <w:rFonts w:asciiTheme="minorHAnsi" w:hAnsiTheme="minorHAnsi" w:cstheme="minorHAnsi"/>
          <w:bCs/>
          <w:sz w:val="20"/>
        </w:rPr>
        <w:t xml:space="preserve">in compliance with all </w:t>
      </w:r>
      <w:r w:rsidR="0012785C" w:rsidRPr="00EB564D">
        <w:rPr>
          <w:rFonts w:asciiTheme="minorHAnsi" w:hAnsiTheme="minorHAnsi" w:cstheme="minorHAnsi"/>
          <w:sz w:val="20"/>
        </w:rPr>
        <w:t xml:space="preserve">applicable </w:t>
      </w:r>
      <w:r w:rsidR="0012785C">
        <w:rPr>
          <w:rFonts w:asciiTheme="minorHAnsi" w:hAnsiTheme="minorHAnsi" w:cstheme="minorHAnsi"/>
          <w:sz w:val="20"/>
        </w:rPr>
        <w:t>s</w:t>
      </w:r>
      <w:r w:rsidR="0012785C" w:rsidRPr="00EB564D">
        <w:rPr>
          <w:rFonts w:asciiTheme="minorHAnsi" w:hAnsiTheme="minorHAnsi" w:cstheme="minorHAnsi"/>
          <w:sz w:val="20"/>
        </w:rPr>
        <w:t xml:space="preserve">pecifications and </w:t>
      </w:r>
      <w:r w:rsidR="0012785C">
        <w:rPr>
          <w:rFonts w:asciiTheme="minorHAnsi" w:hAnsiTheme="minorHAnsi" w:cstheme="minorHAnsi"/>
          <w:sz w:val="20"/>
        </w:rPr>
        <w:t>d</w:t>
      </w:r>
      <w:r w:rsidR="0012785C" w:rsidRPr="00EB564D">
        <w:rPr>
          <w:rFonts w:asciiTheme="minorHAnsi" w:hAnsiTheme="minorHAnsi" w:cstheme="minorHAnsi"/>
          <w:sz w:val="20"/>
        </w:rPr>
        <w:t>ocumentation</w:t>
      </w:r>
      <w:r w:rsidR="0012785C">
        <w:rPr>
          <w:rFonts w:asciiTheme="minorHAnsi" w:hAnsiTheme="minorHAnsi" w:cstheme="minorHAnsi"/>
          <w:sz w:val="20"/>
        </w:rPr>
        <w:t>,</w:t>
      </w:r>
      <w:r w:rsidR="0012785C" w:rsidRPr="007E3BC8">
        <w:rPr>
          <w:rFonts w:asciiTheme="minorHAnsi" w:hAnsiTheme="minorHAnsi" w:cstheme="minorHAnsi"/>
          <w:bCs/>
          <w:sz w:val="20"/>
        </w:rPr>
        <w:t xml:space="preserve"> and to the extent not manufactured pursuant to detailed designs furnished by the </w:t>
      </w:r>
      <w:r w:rsidR="00323CD0">
        <w:rPr>
          <w:rFonts w:asciiTheme="minorHAnsi" w:hAnsiTheme="minorHAnsi" w:cstheme="minorHAnsi"/>
          <w:bCs/>
          <w:sz w:val="20"/>
        </w:rPr>
        <w:t>JBE</w:t>
      </w:r>
      <w:r w:rsidR="0012785C">
        <w:rPr>
          <w:rFonts w:asciiTheme="minorHAnsi" w:hAnsiTheme="minorHAnsi" w:cstheme="minorHAnsi"/>
          <w:bCs/>
          <w:sz w:val="20"/>
        </w:rPr>
        <w:t xml:space="preserve">, free from defects in design. </w:t>
      </w:r>
      <w:r w:rsidR="0012785C" w:rsidRPr="007E3BC8">
        <w:rPr>
          <w:rFonts w:asciiTheme="minorHAnsi" w:hAnsiTheme="minorHAnsi" w:cstheme="minorHAnsi"/>
          <w:bCs/>
          <w:sz w:val="20"/>
        </w:rPr>
        <w:t xml:space="preserve">The </w:t>
      </w:r>
      <w:r w:rsidR="00323CD0">
        <w:rPr>
          <w:rFonts w:asciiTheme="minorHAnsi" w:hAnsiTheme="minorHAnsi" w:cstheme="minorHAnsi"/>
          <w:bCs/>
          <w:sz w:val="20"/>
        </w:rPr>
        <w:t>JBE</w:t>
      </w:r>
      <w:r w:rsidR="0012785C" w:rsidRPr="007E3BC8">
        <w:rPr>
          <w:rFonts w:asciiTheme="minorHAnsi" w:hAnsiTheme="minorHAnsi" w:cstheme="minorHAnsi"/>
          <w:bCs/>
          <w:sz w:val="20"/>
        </w:rPr>
        <w:t xml:space="preserve">’s approval of designs or specifications furnished by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shall not relieve </w:t>
      </w:r>
      <w:r w:rsidR="0012785C">
        <w:rPr>
          <w:rFonts w:asciiTheme="minorHAnsi" w:hAnsiTheme="minorHAnsi" w:cstheme="minorHAnsi"/>
          <w:bCs/>
          <w:sz w:val="20"/>
        </w:rPr>
        <w:t>Contractor</w:t>
      </w:r>
      <w:r w:rsidR="0012785C" w:rsidRPr="007E3BC8">
        <w:rPr>
          <w:rFonts w:asciiTheme="minorHAnsi" w:hAnsiTheme="minorHAnsi" w:cstheme="minorHAnsi"/>
          <w:bCs/>
          <w:sz w:val="20"/>
        </w:rPr>
        <w:t xml:space="preserve"> of its obligations under this warranty.</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73080F" w14:textId="77777777"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0092480"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0597A88" w14:textId="77777777"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13BE9B1C"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529C7C1C" w14:textId="77777777"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58522B57"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77777777"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p>
    <w:p w14:paraId="73EBDFF8"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7D6B0923" w14:textId="77777777" w:rsidR="00B15A09" w:rsidRPr="00B15A09" w:rsidRDefault="00B15A09" w:rsidP="00B15A09">
      <w:pPr>
        <w:spacing w:before="120" w:after="120"/>
        <w:ind w:left="936"/>
        <w:rPr>
          <w:rFonts w:asciiTheme="minorHAnsi" w:hAnsiTheme="minorHAnsi" w:cstheme="minorHAnsi"/>
          <w:sz w:val="20"/>
        </w:rPr>
      </w:pPr>
    </w:p>
    <w:p w14:paraId="0E4A7529"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38D98B24"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2D21F69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1E485904"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588B9E08" w14:textId="77777777"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w:t>
      </w:r>
      <w:proofErr w:type="spellStart"/>
      <w:r w:rsidR="0090796F" w:rsidRPr="0090796F">
        <w:rPr>
          <w:rFonts w:asciiTheme="minorHAnsi" w:hAnsiTheme="minorHAnsi" w:cstheme="minorHAnsi"/>
          <w:bCs/>
          <w:sz w:val="20"/>
        </w:rPr>
        <w:t>i</w:t>
      </w:r>
      <w:proofErr w:type="spellEnd"/>
      <w:r w:rsidR="0090796F" w:rsidRPr="0090796F">
        <w:rPr>
          <w:rFonts w:asciiTheme="minorHAnsi" w:hAnsiTheme="minorHAnsi" w:cstheme="minorHAnsi"/>
          <w:bCs/>
          <w:sz w:val="20"/>
        </w:rPr>
        <w:t>)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F3A7FDB" w14:textId="77777777"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C34EDA">
        <w:rPr>
          <w:b/>
          <w:sz w:val="20"/>
          <w:highlight w:val="yellow"/>
        </w:rPr>
        <w:t>[Dollar amount</w:t>
      </w:r>
      <w:r w:rsidR="00C34EDA" w:rsidRPr="00287443">
        <w:rPr>
          <w:b/>
          <w:sz w:val="20"/>
          <w:highlight w:val="yellow"/>
        </w:rPr>
        <w:t>]</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C34EDA">
        <w:rPr>
          <w:b/>
          <w:sz w:val="20"/>
          <w:highlight w:val="yellow"/>
        </w:rPr>
        <w:t>[Dollar amount</w:t>
      </w:r>
      <w:r w:rsidR="00C34EDA" w:rsidRPr="00287443">
        <w:rPr>
          <w:b/>
          <w:sz w:val="20"/>
          <w:highlight w:val="yellow"/>
        </w:rPr>
        <w:t>]</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0247E46E" w14:textId="77777777"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lastRenderedPageBreak/>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w:t>
      </w:r>
      <w:r w:rsidRPr="005C554B">
        <w:rPr>
          <w:sz w:val="20"/>
        </w:rPr>
        <w:lastRenderedPageBreak/>
        <w:t>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w:t>
      </w:r>
      <w:r w:rsidRPr="00B52602">
        <w:rPr>
          <w:rFonts w:asciiTheme="minorHAnsi" w:hAnsiTheme="minorHAnsi" w:cstheme="minorHAnsi"/>
          <w:bCs/>
          <w:sz w:val="20"/>
        </w:rPr>
        <w:lastRenderedPageBreak/>
        <w:t xml:space="preserve">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lastRenderedPageBreak/>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w:t>
      </w:r>
      <w:r w:rsidR="00E77106" w:rsidRPr="002D7DFA">
        <w:rPr>
          <w:rFonts w:asciiTheme="minorHAnsi" w:hAnsiTheme="minorHAnsi" w:cstheme="minorHAnsi"/>
          <w:bCs/>
          <w:sz w:val="20"/>
        </w:rPr>
        <w:lastRenderedPageBreak/>
        <w:t xml:space="preserve">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w:t>
      </w:r>
      <w:r w:rsidR="008110B5">
        <w:rPr>
          <w:rFonts w:asciiTheme="minorHAnsi" w:hAnsiTheme="minorHAnsi" w:cstheme="minorHAnsi"/>
          <w:sz w:val="20"/>
        </w:rPr>
        <w:lastRenderedPageBreak/>
        <w:t xml:space="preserve">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w:t>
      </w:r>
      <w:proofErr w:type="gramStart"/>
      <w:r w:rsidR="00C86BAD" w:rsidRPr="00F36CB0">
        <w:rPr>
          <w:rFonts w:asciiTheme="minorHAnsi" w:hAnsiTheme="minorHAnsi" w:cstheme="minorHAnsi"/>
          <w:sz w:val="20"/>
        </w:rPr>
        <w:t>taken into account</w:t>
      </w:r>
      <w:proofErr w:type="gramEnd"/>
      <w:r w:rsidR="00C86BAD" w:rsidRPr="00F36CB0">
        <w:rPr>
          <w:rFonts w:asciiTheme="minorHAnsi" w:hAnsiTheme="minorHAnsi" w:cstheme="minorHAnsi"/>
          <w:sz w:val="20"/>
        </w:rPr>
        <w:t xml:space="preserve">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w:t>
      </w:r>
      <w:proofErr w:type="gramStart"/>
      <w:r w:rsidR="00AC2E92">
        <w:rPr>
          <w:rFonts w:cs="Arial"/>
          <w:sz w:val="20"/>
        </w:rPr>
        <w:t xml:space="preserve">is </w:t>
      </w:r>
      <w:r w:rsidRPr="00C337CA">
        <w:rPr>
          <w:rFonts w:cs="Arial"/>
          <w:sz w:val="20"/>
        </w:rPr>
        <w:t>in compliance with</w:t>
      </w:r>
      <w:proofErr w:type="gramEnd"/>
      <w:r w:rsidRPr="00C337CA">
        <w:rPr>
          <w:rFonts w:cs="Arial"/>
          <w:sz w:val="20"/>
        </w:rPr>
        <w:t xml:space="preserve">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5D13C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5D13CD">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5D13CD">
            <w:pPr>
              <w:keepNext/>
              <w:spacing w:line="480" w:lineRule="auto"/>
              <w:rPr>
                <w:rFonts w:cs="Arial"/>
                <w:sz w:val="20"/>
              </w:rPr>
            </w:pPr>
            <w:r w:rsidRPr="00C337CA">
              <w:rPr>
                <w:rFonts w:cs="Arial"/>
                <w:i/>
                <w:iCs/>
                <w:sz w:val="20"/>
              </w:rPr>
              <w:t>Federal ID Number </w:t>
            </w:r>
          </w:p>
        </w:tc>
      </w:tr>
      <w:tr w:rsidR="00C337CA" w:rsidRPr="00C337CA" w14:paraId="0358BF68" w14:textId="77777777" w:rsidTr="005D13C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5D13CD">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5D13C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5D13CD">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5D13C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5D13CD">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5D13CD">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5D13CD">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B16F" w14:textId="77777777" w:rsidR="005D13CD" w:rsidRDefault="005D13CD" w:rsidP="00437785">
      <w:r>
        <w:separator/>
      </w:r>
    </w:p>
  </w:endnote>
  <w:endnote w:type="continuationSeparator" w:id="0">
    <w:p w14:paraId="421CC090" w14:textId="77777777" w:rsidR="005D13CD" w:rsidRDefault="005D13CD"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5D13CD" w:rsidRDefault="005D13CD"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5D13CD" w:rsidRDefault="005D13CD"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70C46A60" w:rsidR="005D13CD" w:rsidRDefault="005D13CD" w:rsidP="00896EE8">
    <w:pPr>
      <w:pStyle w:val="Footer"/>
      <w:jc w:val="right"/>
    </w:pPr>
    <w:r>
      <w:rPr>
        <w:sz w:val="16"/>
        <w:szCs w:val="16"/>
      </w:rPr>
      <w:t>rev July 2018</w:t>
    </w:r>
    <w:r>
      <w:rPr>
        <w:b/>
        <w:sz w:val="16"/>
        <w:szCs w:val="16"/>
      </w:rPr>
      <w:tab/>
    </w:r>
    <w:r>
      <w:rPr>
        <w:b/>
        <w:sz w:val="16"/>
        <w:szCs w:val="16"/>
      </w:rPr>
      <w:tab/>
    </w:r>
  </w:p>
  <w:p w14:paraId="12629BF0" w14:textId="77777777" w:rsidR="005D13CD" w:rsidRDefault="005D13CD"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5D13CD" w:rsidRDefault="005D13CD"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40140DCD" w:rsidR="005D13CD" w:rsidRPr="008953BE" w:rsidRDefault="005D13CD">
    <w:pPr>
      <w:pStyle w:val="Footer"/>
      <w:rPr>
        <w:sz w:val="16"/>
        <w:szCs w:val="16"/>
      </w:rPr>
    </w:pPr>
    <w:r w:rsidRPr="008953BE">
      <w:rPr>
        <w:sz w:val="16"/>
        <w:szCs w:val="16"/>
      </w:rPr>
      <w:t xml:space="preserve">rev. </w:t>
    </w:r>
    <w:r>
      <w:rPr>
        <w:sz w:val="16"/>
        <w:szCs w:val="16"/>
      </w:rPr>
      <w:t xml:space="preserve">July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6642A509" w:rsidR="005D13CD" w:rsidRDefault="005D13CD" w:rsidP="00896EE8">
    <w:pPr>
      <w:pStyle w:val="Footer"/>
      <w:jc w:val="right"/>
    </w:pPr>
    <w:r>
      <w:rPr>
        <w:sz w:val="16"/>
        <w:szCs w:val="16"/>
      </w:rPr>
      <w:t>rev July 2018</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4</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6758274C" w:rsidR="005D13CD" w:rsidRPr="008953BE" w:rsidRDefault="005D13CD">
    <w:pPr>
      <w:pStyle w:val="Footer"/>
      <w:rPr>
        <w:sz w:val="16"/>
        <w:szCs w:val="16"/>
      </w:rPr>
    </w:pPr>
    <w:r w:rsidRPr="008953BE">
      <w:rPr>
        <w:sz w:val="16"/>
        <w:szCs w:val="16"/>
      </w:rPr>
      <w:t xml:space="preserve">rev. </w:t>
    </w:r>
    <w:r>
      <w:rPr>
        <w:sz w:val="16"/>
        <w:szCs w:val="16"/>
      </w:rPr>
      <w:t xml:space="preserve">July 2018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050BC22C" w:rsidR="005D13CD" w:rsidRDefault="005D13CD" w:rsidP="00896EE8">
    <w:pPr>
      <w:pStyle w:val="Footer"/>
      <w:jc w:val="right"/>
    </w:pPr>
    <w:r>
      <w:rPr>
        <w:sz w:val="16"/>
        <w:szCs w:val="16"/>
      </w:rPr>
      <w:t>rev July 2018</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5D13CD" w:rsidRDefault="005D13CD"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7CBAAEDE" w:rsidR="005D13CD" w:rsidRDefault="005D13CD" w:rsidP="00896EE8">
    <w:pPr>
      <w:pStyle w:val="Footer"/>
      <w:jc w:val="right"/>
    </w:pPr>
    <w:r>
      <w:rPr>
        <w:sz w:val="16"/>
        <w:szCs w:val="16"/>
      </w:rPr>
      <w:t>rev July 2018</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10</w:t>
        </w:r>
        <w:r>
          <w:rPr>
            <w:noProof/>
          </w:rPr>
          <w:fldChar w:fldCharType="end"/>
        </w:r>
      </w:sdtContent>
    </w:sdt>
  </w:p>
  <w:p w14:paraId="40D99C2E" w14:textId="77777777" w:rsidR="005D13CD" w:rsidRDefault="005D13CD"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52507E3C" w:rsidR="005D13CD" w:rsidRDefault="005D13CD" w:rsidP="00896EE8">
    <w:pPr>
      <w:pStyle w:val="Footer"/>
      <w:jc w:val="right"/>
    </w:pPr>
    <w:r>
      <w:rPr>
        <w:sz w:val="16"/>
        <w:szCs w:val="16"/>
      </w:rPr>
      <w:t>rev July 2018</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5D13CD" w:rsidRDefault="005D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EC0BC" w14:textId="77777777" w:rsidR="005D13CD" w:rsidRDefault="005D13CD" w:rsidP="00437785">
      <w:r>
        <w:separator/>
      </w:r>
    </w:p>
  </w:footnote>
  <w:footnote w:type="continuationSeparator" w:id="0">
    <w:p w14:paraId="55205356" w14:textId="77777777" w:rsidR="005D13CD" w:rsidRDefault="005D13CD"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5D13CD" w:rsidRPr="003E52BA" w:rsidRDefault="005D13CD"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5D13CD" w:rsidRDefault="005D13CD">
    <w:pPr>
      <w:ind w:left="-86"/>
      <w:rPr>
        <w:rFonts w:ascii="Arial" w:eastAsia="Times New Roman" w:hAnsi="Arial"/>
        <w:b/>
        <w:sz w:val="22"/>
      </w:rPr>
    </w:pPr>
  </w:p>
  <w:p w14:paraId="054033CB" w14:textId="77777777" w:rsidR="005D13CD" w:rsidRPr="000D2618" w:rsidRDefault="005D13CD"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D603" w14:textId="77777777" w:rsidR="001870E4" w:rsidRPr="001870E4" w:rsidRDefault="001870E4" w:rsidP="001870E4">
    <w:pPr>
      <w:tabs>
        <w:tab w:val="left" w:pos="1242"/>
      </w:tabs>
      <w:ind w:right="252" w:hanging="990"/>
      <w:jc w:val="both"/>
      <w:rPr>
        <w:rFonts w:eastAsia="Times New Roman"/>
        <w:color w:val="000000"/>
        <w:sz w:val="22"/>
        <w:szCs w:val="22"/>
      </w:rPr>
    </w:pPr>
    <w:r w:rsidRPr="001870E4">
      <w:rPr>
        <w:rFonts w:eastAsia="Times New Roman"/>
        <w:sz w:val="20"/>
      </w:rPr>
      <w:t xml:space="preserve">RFP Title:  </w:t>
    </w:r>
    <w:r w:rsidRPr="001870E4">
      <w:rPr>
        <w:rFonts w:eastAsia="Times New Roman"/>
        <w:color w:val="000000"/>
        <w:sz w:val="22"/>
        <w:szCs w:val="22"/>
      </w:rPr>
      <w:t xml:space="preserve">  </w:t>
    </w:r>
    <w:r w:rsidRPr="001870E4">
      <w:rPr>
        <w:rFonts w:eastAsia="Times New Roman"/>
        <w:sz w:val="22"/>
        <w:szCs w:val="22"/>
      </w:rPr>
      <w:t>Interdisciplinary Education on Permanency and The Court</w:t>
    </w:r>
  </w:p>
  <w:p w14:paraId="624E92FE" w14:textId="7B69F635" w:rsidR="001870E4" w:rsidRDefault="001870E4" w:rsidP="001870E4">
    <w:pPr>
      <w:widowControl w:val="0"/>
      <w:ind w:left="-720" w:hanging="4"/>
      <w:jc w:val="center"/>
      <w:rPr>
        <w:rFonts w:eastAsia="Times New Roman"/>
        <w:sz w:val="22"/>
        <w:szCs w:val="22"/>
      </w:rPr>
    </w:pPr>
    <w:r w:rsidRPr="001870E4">
      <w:rPr>
        <w:rFonts w:eastAsia="Times New Roman"/>
        <w:sz w:val="20"/>
      </w:rPr>
      <w:t>RFP Number:</w:t>
    </w:r>
    <w:r w:rsidRPr="001870E4">
      <w:rPr>
        <w:rFonts w:eastAsia="Times New Roman"/>
        <w:color w:val="000000"/>
        <w:sz w:val="20"/>
      </w:rPr>
      <w:t xml:space="preserve">  </w:t>
    </w:r>
    <w:r w:rsidRPr="001870E4">
      <w:rPr>
        <w:rFonts w:eastAsia="Times New Roman"/>
        <w:color w:val="000000"/>
        <w:sz w:val="22"/>
        <w:szCs w:val="22"/>
      </w:rPr>
      <w:t xml:space="preserve"> </w:t>
    </w:r>
    <w:r w:rsidRPr="001870E4">
      <w:rPr>
        <w:rFonts w:eastAsia="Times New Roman"/>
        <w:sz w:val="22"/>
        <w:szCs w:val="22"/>
      </w:rPr>
      <w:t>CFCC-2019-09-LV</w:t>
    </w:r>
    <w:r>
      <w:rPr>
        <w:rFonts w:eastAsia="Times New Roman"/>
        <w:sz w:val="22"/>
        <w:szCs w:val="22"/>
      </w:rPr>
      <w:tab/>
    </w:r>
  </w:p>
  <w:p w14:paraId="2B174A96" w14:textId="77777777" w:rsidR="001870E4" w:rsidRDefault="001870E4" w:rsidP="001870E4">
    <w:pPr>
      <w:widowControl w:val="0"/>
      <w:ind w:left="-720" w:hanging="4"/>
      <w:jc w:val="center"/>
      <w:rPr>
        <w:rFonts w:eastAsia="Times New Roman"/>
        <w:sz w:val="22"/>
        <w:szCs w:val="22"/>
      </w:rPr>
    </w:pPr>
  </w:p>
  <w:p w14:paraId="1EEB4A1B" w14:textId="2075CD38" w:rsidR="001870E4" w:rsidRPr="00A913C8" w:rsidRDefault="001870E4" w:rsidP="001870E4">
    <w:pPr>
      <w:widowControl w:val="0"/>
      <w:ind w:left="-720" w:hanging="4"/>
      <w:jc w:val="center"/>
      <w:rPr>
        <w:rStyle w:val="Emphasis"/>
        <w:b/>
        <w:i w:val="0"/>
      </w:rPr>
    </w:pPr>
    <w:r w:rsidRPr="00A913C8">
      <w:rPr>
        <w:rStyle w:val="Emphasis"/>
        <w:b/>
        <w:i w:val="0"/>
      </w:rPr>
      <w:t>Attachment 2</w:t>
    </w:r>
  </w:p>
  <w:p w14:paraId="4386ABB3" w14:textId="77777777" w:rsidR="001870E4" w:rsidRPr="00A913C8" w:rsidRDefault="001870E4" w:rsidP="001870E4">
    <w:pPr>
      <w:widowControl w:val="0"/>
      <w:ind w:left="-720" w:hanging="4"/>
      <w:jc w:val="center"/>
      <w:rPr>
        <w:rStyle w:val="Emphasis"/>
        <w:i w:val="0"/>
      </w:rPr>
    </w:pPr>
    <w:r w:rsidRPr="00A913C8">
      <w:rPr>
        <w:rStyle w:val="Emphasis"/>
        <w:b/>
        <w:i w:val="0"/>
      </w:rPr>
      <w:t>Standard Terms and Conditions</w:t>
    </w:r>
  </w:p>
  <w:p w14:paraId="799BFAF7" w14:textId="2F4FAEA2" w:rsidR="001870E4" w:rsidRDefault="001870E4" w:rsidP="001870E4">
    <w:pPr>
      <w:tabs>
        <w:tab w:val="left" w:pos="1242"/>
        <w:tab w:val="center" w:pos="4059"/>
      </w:tabs>
      <w:ind w:right="252" w:hanging="990"/>
      <w:jc w:val="both"/>
      <w:rPr>
        <w:rFonts w:eastAsia="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JDLsUh+JPBjhiDhnSLNrl+in9QNut/EyVg0olh4K5MF4YyzmxWcO6/Q64CnYeXKtvB7Yv0QR2gIODjuldv7N2w==" w:salt="hGYMcaet6czfAh3gd8g3wQ=="/>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870E4"/>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293"/>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29D1"/>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CD"/>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679C5"/>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20EB"/>
    <w:rsid w:val="008F47FB"/>
    <w:rsid w:val="008F7E48"/>
    <w:rsid w:val="009041E6"/>
    <w:rsid w:val="0090613B"/>
    <w:rsid w:val="0090769D"/>
    <w:rsid w:val="0090796F"/>
    <w:rsid w:val="009131B5"/>
    <w:rsid w:val="0091330D"/>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3C79"/>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685A"/>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1484-EFCC-4F89-9D35-47BAF2EF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9263</Words>
  <Characters>52803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2019-08-20T20:49:00Z</dcterms:created>
  <dcterms:modified xsi:type="dcterms:W3CDTF">2019-09-18T16:13:00Z</dcterms:modified>
</cp:coreProperties>
</file>