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33580558"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w:t>
      </w:r>
      <w:r w:rsidR="00E60E79">
        <w:rPr>
          <w:rFonts w:ascii="Times New Roman" w:hAnsi="Times New Roman"/>
          <w:sz w:val="20"/>
        </w:rPr>
        <w:t xml:space="preserve">or “Judicial Council” </w:t>
      </w:r>
      <w:r w:rsidRPr="006679D3">
        <w:rPr>
          <w:rFonts w:ascii="Times New Roman" w:hAnsi="Times New Roman"/>
          <w:sz w:val="20"/>
        </w:rPr>
        <w:t xml:space="preserve">refers to the </w:t>
      </w:r>
      <w:r w:rsidR="00057D44">
        <w:rPr>
          <w:rFonts w:ascii="Times New Roman" w:hAnsi="Times New Roman"/>
          <w:b/>
          <w:sz w:val="20"/>
        </w:rPr>
        <w:t>Judicial Council of California</w:t>
      </w:r>
      <w:r w:rsidRPr="006679D3">
        <w:rPr>
          <w:rFonts w:ascii="Times New Roman" w:hAnsi="Times New Roman"/>
          <w:sz w:val="20"/>
        </w:rPr>
        <w:t xml:space="preserve">. </w:t>
      </w:r>
    </w:p>
    <w:p w14:paraId="6618B98F" w14:textId="6213096B"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w:t>
      </w:r>
      <w:r w:rsidR="00E60E79" w:rsidRPr="00E60E79">
        <w:rPr>
          <w:rFonts w:ascii="Times New Roman" w:hAnsi="Times New Roman"/>
          <w:sz w:val="20"/>
        </w:rPr>
        <w:t xml:space="preserve">This Agreement is effective as of </w:t>
      </w:r>
      <w:r w:rsidR="00E60E79" w:rsidRPr="00E60E79">
        <w:rPr>
          <w:rFonts w:ascii="Times New Roman" w:hAnsi="Times New Roman"/>
          <w:sz w:val="20"/>
          <w:highlight w:val="yellow"/>
        </w:rPr>
        <w:t>[Date]</w:t>
      </w:r>
      <w:r w:rsidR="00E60E79" w:rsidRPr="00E60E79">
        <w:rPr>
          <w:rFonts w:ascii="Times New Roman" w:hAnsi="Times New Roman"/>
          <w:sz w:val="20"/>
        </w:rPr>
        <w:t xml:space="preserve"> (“Effective Date”) and expires on [</w:t>
      </w:r>
      <w:r w:rsidR="00E60E79" w:rsidRPr="00E60E79">
        <w:rPr>
          <w:rFonts w:ascii="Times New Roman" w:hAnsi="Times New Roman"/>
          <w:sz w:val="20"/>
          <w:highlight w:val="yellow"/>
        </w:rPr>
        <w:t>Date</w:t>
      </w:r>
      <w:r w:rsidR="00E60E79" w:rsidRPr="00E60E79">
        <w:rPr>
          <w:rFonts w:ascii="Times New Roman" w:hAnsi="Times New Roman"/>
          <w:sz w:val="20"/>
        </w:rPr>
        <w:t>] (“</w:t>
      </w:r>
      <w:r w:rsidR="00603D3D">
        <w:rPr>
          <w:rFonts w:ascii="Times New Roman" w:hAnsi="Times New Roman"/>
          <w:sz w:val="20"/>
        </w:rPr>
        <w:t>Initial Term</w:t>
      </w:r>
      <w:r w:rsidR="00E60E79" w:rsidRPr="00E60E79">
        <w:rPr>
          <w:rFonts w:ascii="Times New Roman" w:hAnsi="Times New Roman"/>
          <w:sz w:val="20"/>
        </w:rPr>
        <w:t xml:space="preserve">”). The JCC may, at its sole option, extend the Agreement beyond the Initial Term for </w:t>
      </w:r>
      <w:r w:rsidR="005B3B59">
        <w:rPr>
          <w:rFonts w:ascii="Times New Roman" w:hAnsi="Times New Roman"/>
          <w:sz w:val="20"/>
          <w:highlight w:val="yellow"/>
        </w:rPr>
        <w:t>two</w:t>
      </w:r>
      <w:r w:rsidR="00E60E79" w:rsidRPr="00E60E79">
        <w:rPr>
          <w:rFonts w:ascii="Times New Roman" w:hAnsi="Times New Roman"/>
          <w:sz w:val="20"/>
          <w:highlight w:val="yellow"/>
        </w:rPr>
        <w:t xml:space="preserve"> (</w:t>
      </w:r>
      <w:r w:rsidR="005B3B59">
        <w:rPr>
          <w:rFonts w:ascii="Times New Roman" w:hAnsi="Times New Roman"/>
          <w:sz w:val="20"/>
          <w:highlight w:val="yellow"/>
        </w:rPr>
        <w:t>2</w:t>
      </w:r>
      <w:r w:rsidR="00E60E79" w:rsidRPr="00E60E79">
        <w:rPr>
          <w:rFonts w:ascii="Times New Roman" w:hAnsi="Times New Roman"/>
          <w:sz w:val="20"/>
          <w:highlight w:val="yellow"/>
        </w:rPr>
        <w:t>)</w:t>
      </w:r>
      <w:r w:rsidR="00E60E79" w:rsidRPr="00E60E79">
        <w:rPr>
          <w:rFonts w:ascii="Times New Roman" w:hAnsi="Times New Roman"/>
          <w:sz w:val="20"/>
        </w:rPr>
        <w:t xml:space="preserve"> additional </w:t>
      </w:r>
      <w:r w:rsidR="005B3B59">
        <w:rPr>
          <w:rFonts w:ascii="Times New Roman" w:hAnsi="Times New Roman"/>
          <w:sz w:val="20"/>
        </w:rPr>
        <w:t>one</w:t>
      </w:r>
      <w:r w:rsidR="00E60E79" w:rsidRPr="00E60E79">
        <w:rPr>
          <w:rFonts w:ascii="Times New Roman" w:hAnsi="Times New Roman"/>
          <w:sz w:val="20"/>
        </w:rPr>
        <w:t>-year option term to extend through [</w:t>
      </w:r>
      <w:r w:rsidR="00E60E79" w:rsidRPr="00E60E79">
        <w:rPr>
          <w:rFonts w:ascii="Times New Roman" w:hAnsi="Times New Roman"/>
          <w:sz w:val="20"/>
          <w:highlight w:val="yellow"/>
        </w:rPr>
        <w:t>Date</w:t>
      </w:r>
      <w:r w:rsidR="00E60E79" w:rsidRPr="00E60E79">
        <w:rPr>
          <w:rFonts w:ascii="Times New Roman" w:hAnsi="Times New Roman"/>
          <w:sz w:val="20"/>
        </w:rPr>
        <w:t xml:space="preserve">] for a total Agreement Term (including the Initial Term) of </w:t>
      </w:r>
      <w:r w:rsidR="005B3B59">
        <w:rPr>
          <w:rFonts w:ascii="Times New Roman" w:hAnsi="Times New Roman"/>
          <w:sz w:val="20"/>
          <w:highlight w:val="yellow"/>
        </w:rPr>
        <w:t>five</w:t>
      </w:r>
      <w:r w:rsidR="00E60E79" w:rsidRPr="00E60E79">
        <w:rPr>
          <w:rFonts w:ascii="Times New Roman" w:hAnsi="Times New Roman"/>
          <w:sz w:val="20"/>
          <w:highlight w:val="yellow"/>
        </w:rPr>
        <w:t xml:space="preserve"> (</w:t>
      </w:r>
      <w:r w:rsidR="005B3B59">
        <w:rPr>
          <w:rFonts w:ascii="Times New Roman" w:hAnsi="Times New Roman"/>
          <w:sz w:val="20"/>
          <w:highlight w:val="yellow"/>
        </w:rPr>
        <w:t>5</w:t>
      </w:r>
      <w:r w:rsidR="00E60E79" w:rsidRPr="00E60E79">
        <w:rPr>
          <w:rFonts w:ascii="Times New Roman" w:hAnsi="Times New Roman"/>
          <w:sz w:val="20"/>
          <w:highlight w:val="yellow"/>
        </w:rPr>
        <w:t>)</w:t>
      </w:r>
      <w:r w:rsidR="00E60E79" w:rsidRPr="00E60E79">
        <w:rPr>
          <w:rFonts w:ascii="Times New Roman" w:hAnsi="Times New Roman"/>
          <w:sz w:val="20"/>
        </w:rPr>
        <w:t xml:space="preserve"> years if the JCC exercises </w:t>
      </w:r>
      <w:r w:rsidR="00603D3D">
        <w:rPr>
          <w:rFonts w:ascii="Times New Roman" w:hAnsi="Times New Roman"/>
          <w:sz w:val="20"/>
        </w:rPr>
        <w:t>its option</w:t>
      </w:r>
      <w:r w:rsidR="00E60E79" w:rsidRPr="00E60E79">
        <w:rPr>
          <w:rFonts w:ascii="Times New Roman" w:hAnsi="Times New Roman"/>
          <w:sz w:val="20"/>
        </w:rPr>
        <w:t xml:space="preserve"> </w:t>
      </w:r>
      <w:r w:rsidR="00603D3D">
        <w:rPr>
          <w:rFonts w:ascii="Times New Roman" w:hAnsi="Times New Roman"/>
          <w:sz w:val="20"/>
        </w:rPr>
        <w:t xml:space="preserve">for the </w:t>
      </w:r>
      <w:r w:rsidR="00E60E79" w:rsidRPr="00E60E79">
        <w:rPr>
          <w:rFonts w:ascii="Times New Roman" w:hAnsi="Times New Roman"/>
          <w:sz w:val="20"/>
        </w:rPr>
        <w:t>Option Term</w:t>
      </w:r>
      <w:r w:rsidR="00603D3D">
        <w:rPr>
          <w:rFonts w:ascii="Times New Roman" w:hAnsi="Times New Roman"/>
          <w:sz w:val="20"/>
        </w:rPr>
        <w:t xml:space="preserve">s prior to the expiration of </w:t>
      </w:r>
      <w:r w:rsidR="00E60E79" w:rsidRPr="00E60E79">
        <w:rPr>
          <w:rFonts w:ascii="Times New Roman" w:hAnsi="Times New Roman"/>
          <w:sz w:val="20"/>
        </w:rPr>
        <w:t>the Initial Term.</w:t>
      </w:r>
    </w:p>
    <w:p w14:paraId="1058DBE3" w14:textId="77777777" w:rsidR="00E60E79" w:rsidRPr="00E60E79" w:rsidRDefault="003A03B3" w:rsidP="00E60E79">
      <w:pPr>
        <w:pBdr>
          <w:top w:val="single" w:sz="6" w:space="12"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r>
      <w:r w:rsidR="00E60E79" w:rsidRPr="00E60E79">
        <w:rPr>
          <w:rFonts w:ascii="Times New Roman" w:hAnsi="Times New Roman"/>
          <w:sz w:val="20"/>
        </w:rPr>
        <w:t>The maximum amount the JBE may pay Contractor under this Agreement is $[</w:t>
      </w:r>
      <w:r w:rsidR="00E60E79" w:rsidRPr="00E60E79">
        <w:rPr>
          <w:rFonts w:ascii="Times New Roman" w:hAnsi="Times New Roman"/>
          <w:sz w:val="20"/>
          <w:highlight w:val="yellow"/>
        </w:rPr>
        <w:t>Dollar amount</w:t>
      </w:r>
      <w:r w:rsidR="00E60E79" w:rsidRPr="00E60E79">
        <w:rPr>
          <w:rFonts w:ascii="Times New Roman" w:hAnsi="Times New Roman"/>
          <w:sz w:val="20"/>
        </w:rPr>
        <w:t>] (the “Contract Amount”).</w:t>
      </w:r>
    </w:p>
    <w:p w14:paraId="5D9387F3" w14:textId="206F6382" w:rsidR="003A03B3" w:rsidRPr="006679D3" w:rsidRDefault="00E60E79" w:rsidP="00E60E79">
      <w:pPr>
        <w:pBdr>
          <w:top w:val="single" w:sz="6" w:space="12" w:color="auto"/>
          <w:bottom w:val="single" w:sz="6" w:space="1" w:color="auto"/>
        </w:pBdr>
        <w:ind w:left="-450" w:hanging="270"/>
        <w:rPr>
          <w:rFonts w:ascii="Times New Roman" w:hAnsi="Times New Roman"/>
          <w:sz w:val="20"/>
        </w:rPr>
      </w:pPr>
      <w:r w:rsidRPr="00E60E79">
        <w:rPr>
          <w:rFonts w:ascii="Times New Roman" w:hAnsi="Times New Roman"/>
          <w:sz w:val="20"/>
        </w:rPr>
        <w:tab/>
        <w:t>The maximum amount the JBE may pay Contractor is (</w:t>
      </w:r>
      <w:proofErr w:type="spellStart"/>
      <w:r w:rsidRPr="00E60E79">
        <w:rPr>
          <w:rFonts w:ascii="Times New Roman" w:hAnsi="Times New Roman"/>
          <w:sz w:val="20"/>
        </w:rPr>
        <w:t>i</w:t>
      </w:r>
      <w:proofErr w:type="spellEnd"/>
      <w:r w:rsidRPr="00E60E79">
        <w:rPr>
          <w:rFonts w:ascii="Times New Roman" w:hAnsi="Times New Roman"/>
          <w:sz w:val="20"/>
        </w:rPr>
        <w:t>) $[</w:t>
      </w:r>
      <w:r w:rsidRPr="00E60E79">
        <w:rPr>
          <w:rFonts w:ascii="Times New Roman" w:hAnsi="Times New Roman"/>
          <w:sz w:val="20"/>
          <w:highlight w:val="yellow"/>
        </w:rPr>
        <w:t>Dollar amount</w:t>
      </w:r>
      <w:r w:rsidRPr="00E60E79">
        <w:rPr>
          <w:rFonts w:ascii="Times New Roman" w:hAnsi="Times New Roman"/>
          <w:sz w:val="20"/>
        </w:rPr>
        <w:t>] during the Initial Term, (ii) $[</w:t>
      </w:r>
      <w:r w:rsidRPr="00E60E79">
        <w:rPr>
          <w:rFonts w:ascii="Times New Roman" w:hAnsi="Times New Roman"/>
          <w:sz w:val="20"/>
          <w:highlight w:val="yellow"/>
        </w:rPr>
        <w:t>Dollar amount</w:t>
      </w:r>
      <w:r w:rsidRPr="00E60E79">
        <w:rPr>
          <w:rFonts w:ascii="Times New Roman" w:hAnsi="Times New Roman"/>
          <w:sz w:val="20"/>
        </w:rPr>
        <w:t xml:space="preserve">] during the </w:t>
      </w:r>
      <w:r w:rsidR="005B3B59">
        <w:rPr>
          <w:rFonts w:ascii="Times New Roman" w:hAnsi="Times New Roman"/>
          <w:sz w:val="20"/>
        </w:rPr>
        <w:t xml:space="preserve">First </w:t>
      </w:r>
      <w:r w:rsidRPr="00E60E79">
        <w:rPr>
          <w:rFonts w:ascii="Times New Roman" w:hAnsi="Times New Roman"/>
          <w:sz w:val="20"/>
        </w:rPr>
        <w:t>Option Term</w:t>
      </w:r>
      <w:r w:rsidR="005B3B59">
        <w:rPr>
          <w:rFonts w:ascii="Times New Roman" w:hAnsi="Times New Roman"/>
          <w:sz w:val="20"/>
        </w:rPr>
        <w:t>, iii)</w:t>
      </w:r>
      <w:r w:rsidR="005B3B59" w:rsidRPr="005B3B59">
        <w:t xml:space="preserve"> </w:t>
      </w:r>
      <w:r w:rsidR="005B3B59" w:rsidRPr="005B3B59">
        <w:rPr>
          <w:rFonts w:ascii="Times New Roman" w:hAnsi="Times New Roman"/>
          <w:sz w:val="20"/>
          <w:highlight w:val="yellow"/>
        </w:rPr>
        <w:t>$[Dollar amount]</w:t>
      </w:r>
      <w:r w:rsidR="005B3B59" w:rsidRPr="005B3B59">
        <w:rPr>
          <w:rFonts w:ascii="Times New Roman" w:hAnsi="Times New Roman"/>
          <w:sz w:val="20"/>
        </w:rPr>
        <w:t xml:space="preserve"> </w:t>
      </w:r>
      <w:r w:rsidR="005B3B59">
        <w:rPr>
          <w:rFonts w:ascii="Times New Roman" w:hAnsi="Times New Roman"/>
          <w:sz w:val="20"/>
        </w:rPr>
        <w:t>during the Second Option Term</w:t>
      </w:r>
      <w:r w:rsidRPr="00E60E79">
        <w:rPr>
          <w:rFonts w:ascii="Times New Roman" w:hAnsi="Times New Roman"/>
          <w:sz w:val="20"/>
        </w:rPr>
        <w:t>.</w:t>
      </w:r>
    </w:p>
    <w:p w14:paraId="6D744B2F" w14:textId="729569AE"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005B3B59" w:rsidRPr="005B3B59">
        <w:rPr>
          <w:rFonts w:ascii="Times New Roman" w:hAnsi="Times New Roman"/>
          <w:b/>
          <w:sz w:val="20"/>
        </w:rPr>
        <w:t>Electronic Learning Management System Software (Vendor Hosted)</w:t>
      </w:r>
      <w:r w:rsidR="005B3B59">
        <w:rPr>
          <w:rFonts w:ascii="Times New Roman" w:hAnsi="Times New Roman"/>
          <w:b/>
          <w:sz w:val="20"/>
        </w:rPr>
        <w:t xml:space="preserve"> </w:t>
      </w:r>
      <w:r w:rsidR="00E60E79">
        <w:rPr>
          <w:rFonts w:ascii="Times New Roman" w:hAnsi="Times New Roman"/>
          <w:sz w:val="20"/>
        </w:rPr>
        <w:t xml:space="preserve">pursuant </w:t>
      </w:r>
      <w:r w:rsidR="00E60E79" w:rsidRPr="005B3B59">
        <w:rPr>
          <w:rFonts w:ascii="Times New Roman" w:hAnsi="Times New Roman"/>
          <w:sz w:val="20"/>
        </w:rPr>
        <w:t>to RFP No.</w:t>
      </w:r>
      <w:r w:rsidR="00E60E79">
        <w:rPr>
          <w:rFonts w:ascii="Times New Roman" w:hAnsi="Times New Roman"/>
          <w:sz w:val="20"/>
        </w:rPr>
        <w:t xml:space="preserve"> </w:t>
      </w:r>
      <w:r w:rsidR="005B3B59" w:rsidRPr="005B3B59">
        <w:rPr>
          <w:rFonts w:ascii="Times New Roman" w:hAnsi="Times New Roman"/>
          <w:b/>
          <w:bCs/>
          <w:sz w:val="20"/>
        </w:rPr>
        <w:t>CIP-2022-39-DM</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 xml:space="preserve">[Only when </w:t>
      </w:r>
      <w:proofErr w:type="gramStart"/>
      <w:r w:rsidRPr="00930C41">
        <w:rPr>
          <w:rFonts w:ascii="Times New Roman" w:hAnsi="Times New Roman"/>
          <w:b/>
          <w:i/>
          <w:sz w:val="20"/>
          <w:highlight w:val="yellow"/>
        </w:rPr>
        <w:t>entering into</w:t>
      </w:r>
      <w:proofErr w:type="gramEnd"/>
      <w:r w:rsidRPr="00930C41">
        <w:rPr>
          <w:rFonts w:ascii="Times New Roman" w:hAnsi="Times New Roman"/>
          <w:b/>
          <w:i/>
          <w:sz w:val="20"/>
          <w:highlight w:val="yellow"/>
        </w:rPr>
        <w:t xml:space="preserve">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460"/>
        <w:gridCol w:w="4620"/>
      </w:tblGrid>
      <w:tr w:rsidR="003A03B3" w:rsidRPr="006679D3" w14:paraId="0A1C1ABA" w14:textId="77777777" w:rsidTr="00AA6A43">
        <w:trPr>
          <w:trHeight w:hRule="exact" w:val="495"/>
        </w:trPr>
        <w:tc>
          <w:tcPr>
            <w:tcW w:w="546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62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AA6A43">
        <w:trPr>
          <w:trHeight w:hRule="exact" w:val="110"/>
        </w:trPr>
        <w:tc>
          <w:tcPr>
            <w:tcW w:w="546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62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AA6A43">
        <w:trPr>
          <w:trHeight w:hRule="exact" w:val="702"/>
        </w:trPr>
        <w:tc>
          <w:tcPr>
            <w:tcW w:w="546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0F2A8A31"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00C905D6">
              <w:rPr>
                <w:rFonts w:ascii="Times New Roman" w:hAnsi="Times New Roman"/>
                <w:b/>
                <w:sz w:val="20"/>
              </w:rPr>
              <w:t>The Judicial Council of California</w:t>
            </w:r>
          </w:p>
        </w:tc>
        <w:tc>
          <w:tcPr>
            <w:tcW w:w="4620" w:type="dxa"/>
            <w:tcBorders>
              <w:top w:val="nil"/>
              <w:left w:val="single" w:sz="8" w:space="0" w:color="auto"/>
              <w:bottom w:val="single" w:sz="8" w:space="0" w:color="auto"/>
              <w:right w:val="single" w:sz="8" w:space="0" w:color="auto"/>
            </w:tcBorders>
          </w:tcPr>
          <w:p w14:paraId="06AC3BC2" w14:textId="77777777" w:rsidR="00AA6A43" w:rsidRPr="00AA6A43" w:rsidRDefault="00AA6A43" w:rsidP="00AA6A43">
            <w:pPr>
              <w:spacing w:line="240" w:lineRule="auto"/>
              <w:ind w:left="101" w:right="101"/>
              <w:jc w:val="both"/>
              <w:rPr>
                <w:rFonts w:ascii="Times New Roman" w:eastAsia="Times New Roman" w:hAnsi="Times New Roman"/>
                <w:i/>
                <w:sz w:val="20"/>
                <w:szCs w:val="20"/>
              </w:rPr>
            </w:pPr>
            <w:r w:rsidRPr="00AA6A43">
              <w:rPr>
                <w:rFonts w:ascii="Times New Roman" w:eastAsia="Times New Roman" w:hAnsi="Times New Roman"/>
                <w:sz w:val="14"/>
                <w:szCs w:val="20"/>
              </w:rPr>
              <w:t xml:space="preserve">CONTRACTOR’S NAME </w:t>
            </w:r>
            <w:r w:rsidRPr="00AA6A43">
              <w:rPr>
                <w:rFonts w:ascii="Times New Roman" w:eastAsia="Times New Roman" w:hAnsi="Times New Roman"/>
                <w:i/>
                <w:sz w:val="14"/>
                <w:szCs w:val="20"/>
              </w:rPr>
              <w:t xml:space="preserve">(if Contractor is not an individual person, state whether Contractor is a corporation, partnership, etc.)  </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AA6A43">
        <w:trPr>
          <w:trHeight w:hRule="exact" w:val="100"/>
        </w:trPr>
        <w:tc>
          <w:tcPr>
            <w:tcW w:w="5460" w:type="dxa"/>
            <w:tcBorders>
              <w:top w:val="single" w:sz="8" w:space="0" w:color="auto"/>
              <w:left w:val="single" w:sz="8" w:space="0" w:color="auto"/>
              <w:bottom w:val="nil"/>
              <w:right w:val="single" w:sz="8" w:space="0" w:color="auto"/>
            </w:tcBorders>
          </w:tcPr>
          <w:p w14:paraId="453D664A" w14:textId="7E88A8F2" w:rsidR="003A03B3" w:rsidRPr="006679D3" w:rsidRDefault="00C905D6" w:rsidP="009A2559">
            <w:pPr>
              <w:spacing w:before="20"/>
              <w:rPr>
                <w:rFonts w:ascii="Times New Roman" w:hAnsi="Times New Roman"/>
                <w:sz w:val="14"/>
              </w:rPr>
            </w:pPr>
            <w:r w:rsidRPr="00C905D6">
              <w:rPr>
                <w:rFonts w:ascii="Times New Roman" w:eastAsia="Times New Roman" w:hAnsi="Times New Roman"/>
                <w:noProof/>
              </w:rPr>
              <mc:AlternateContent>
                <mc:Choice Requires="wps">
                  <w:drawing>
                    <wp:anchor distT="0" distB="0" distL="114300" distR="114300" simplePos="0" relativeHeight="251659264" behindDoc="0" locked="0" layoutInCell="1" allowOverlap="1" wp14:anchorId="31C44AD6" wp14:editId="68B3305B">
                      <wp:simplePos x="0" y="0"/>
                      <wp:positionH relativeFrom="column">
                        <wp:posOffset>1174750</wp:posOffset>
                      </wp:positionH>
                      <wp:positionV relativeFrom="paragraph">
                        <wp:posOffset>43180</wp:posOffset>
                      </wp:positionV>
                      <wp:extent cx="4295140" cy="1328420"/>
                      <wp:effectExtent l="0" t="0" r="29210" b="622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E39E926" w14:textId="77777777" w:rsidR="00C905D6" w:rsidRDefault="00C905D6" w:rsidP="00C905D6">
                                  <w:pPr>
                                    <w:spacing w:before="360"/>
                                    <w:jc w:val="center"/>
                                    <w:rPr>
                                      <w:b/>
                                      <w:smallCaps/>
                                      <w:sz w:val="48"/>
                                    </w:rPr>
                                  </w:pPr>
                                  <w:permStart w:id="126841493" w:edGrp="everyone"/>
                                  <w:r>
                                    <w:rPr>
                                      <w:b/>
                                      <w:smallCaps/>
                                      <w:sz w:val="48"/>
                                    </w:rPr>
                                    <w:t>Sample Only – Do Not Sign</w:t>
                                  </w:r>
                                  <w:permEnd w:id="126841493"/>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44AD6" id="Rectangle 2" o:spid="_x0000_s1026" style="position:absolute;margin-left:92.5pt;margin-top:3.4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" strokecolor="#fabf8f" strokeweight="1pt">
                      <v:fill color2="#fbd4b4" focus="100%" type="gradient"/>
                      <v:shadow on="t" color="#974706" opacity=".5" offset="1pt"/>
                      <v:textbox>
                        <w:txbxContent>
                          <w:p w14:paraId="1E39E926" w14:textId="77777777" w:rsidR="00C905D6" w:rsidRDefault="00C905D6" w:rsidP="00C905D6">
                            <w:pPr>
                              <w:spacing w:before="360"/>
                              <w:jc w:val="center"/>
                              <w:rPr>
                                <w:b/>
                                <w:smallCaps/>
                                <w:sz w:val="48"/>
                              </w:rPr>
                            </w:pPr>
                            <w:permStart w:id="126841493" w:edGrp="everyone"/>
                            <w:r>
                              <w:rPr>
                                <w:b/>
                                <w:smallCaps/>
                                <w:sz w:val="48"/>
                              </w:rPr>
                              <w:t>Sample Only – Do Not Sign</w:t>
                            </w:r>
                            <w:permEnd w:id="126841493"/>
                          </w:p>
                        </w:txbxContent>
                      </v:textbox>
                    </v:rect>
                  </w:pict>
                </mc:Fallback>
              </mc:AlternateContent>
            </w:r>
          </w:p>
        </w:tc>
        <w:tc>
          <w:tcPr>
            <w:tcW w:w="462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AA6A43">
        <w:trPr>
          <w:trHeight w:hRule="exact" w:val="621"/>
        </w:trPr>
        <w:tc>
          <w:tcPr>
            <w:tcW w:w="5460" w:type="dxa"/>
            <w:tcBorders>
              <w:top w:val="nil"/>
              <w:left w:val="single" w:sz="8" w:space="0" w:color="auto"/>
              <w:bottom w:val="single" w:sz="8" w:space="0" w:color="auto"/>
              <w:right w:val="single" w:sz="8" w:space="0" w:color="auto"/>
            </w:tcBorders>
          </w:tcPr>
          <w:p w14:paraId="2C105DA1" w14:textId="6F2D2BC1"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0180CB7C"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62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AA6A43">
        <w:trPr>
          <w:trHeight w:hRule="exact" w:val="100"/>
        </w:trPr>
        <w:tc>
          <w:tcPr>
            <w:tcW w:w="5460" w:type="dxa"/>
            <w:tcBorders>
              <w:top w:val="single" w:sz="8" w:space="0" w:color="auto"/>
              <w:left w:val="single" w:sz="8" w:space="0" w:color="auto"/>
              <w:bottom w:val="nil"/>
              <w:right w:val="single" w:sz="8" w:space="0" w:color="auto"/>
            </w:tcBorders>
          </w:tcPr>
          <w:p w14:paraId="2552C71F" w14:textId="2E735204" w:rsidR="003A03B3" w:rsidRPr="006679D3" w:rsidRDefault="003A03B3" w:rsidP="009A2559">
            <w:pPr>
              <w:tabs>
                <w:tab w:val="left" w:pos="3600"/>
              </w:tabs>
              <w:rPr>
                <w:rFonts w:ascii="Times New Roman" w:hAnsi="Times New Roman"/>
                <w:sz w:val="14"/>
              </w:rPr>
            </w:pPr>
          </w:p>
        </w:tc>
        <w:tc>
          <w:tcPr>
            <w:tcW w:w="462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AA6A43">
        <w:trPr>
          <w:trHeight w:hRule="exact" w:val="627"/>
        </w:trPr>
        <w:tc>
          <w:tcPr>
            <w:tcW w:w="5460" w:type="dxa"/>
            <w:tcBorders>
              <w:top w:val="nil"/>
              <w:left w:val="single" w:sz="8" w:space="0" w:color="auto"/>
              <w:bottom w:val="single" w:sz="8" w:space="0" w:color="auto"/>
              <w:right w:val="single" w:sz="8" w:space="0" w:color="auto"/>
            </w:tcBorders>
          </w:tcPr>
          <w:p w14:paraId="6C49800F" w14:textId="66C7154A"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62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AA6A43">
        <w:trPr>
          <w:trHeight w:hRule="exact" w:val="551"/>
        </w:trPr>
        <w:tc>
          <w:tcPr>
            <w:tcW w:w="546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62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AA6A43">
        <w:trPr>
          <w:trHeight w:hRule="exact" w:val="100"/>
        </w:trPr>
        <w:tc>
          <w:tcPr>
            <w:tcW w:w="546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62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AA6A43">
        <w:trPr>
          <w:trHeight w:hRule="exact" w:val="1413"/>
        </w:trPr>
        <w:tc>
          <w:tcPr>
            <w:tcW w:w="546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lastRenderedPageBreak/>
              <w:t xml:space="preserve"> ADDRESS</w:t>
            </w:r>
          </w:p>
          <w:p w14:paraId="20EAB755" w14:textId="77777777" w:rsidR="00057D44" w:rsidRPr="00057D44" w:rsidRDefault="00057D44" w:rsidP="00057D44">
            <w:pPr>
              <w:tabs>
                <w:tab w:val="left" w:pos="3600"/>
              </w:tabs>
              <w:spacing w:line="240" w:lineRule="auto"/>
              <w:rPr>
                <w:rFonts w:ascii="Times New Roman" w:hAnsi="Times New Roman"/>
                <w:b/>
                <w:sz w:val="20"/>
              </w:rPr>
            </w:pPr>
            <w:r w:rsidRPr="00057D44">
              <w:rPr>
                <w:rFonts w:ascii="Times New Roman" w:hAnsi="Times New Roman"/>
                <w:b/>
                <w:sz w:val="20"/>
              </w:rPr>
              <w:t>Attn: Procurement</w:t>
            </w:r>
          </w:p>
          <w:p w14:paraId="6787F71E" w14:textId="77777777" w:rsidR="00057D44" w:rsidRPr="00057D44" w:rsidRDefault="00057D44" w:rsidP="00057D44">
            <w:pPr>
              <w:tabs>
                <w:tab w:val="left" w:pos="3600"/>
              </w:tabs>
              <w:spacing w:line="240" w:lineRule="auto"/>
              <w:rPr>
                <w:rFonts w:ascii="Times New Roman" w:hAnsi="Times New Roman"/>
                <w:b/>
                <w:sz w:val="20"/>
              </w:rPr>
            </w:pPr>
            <w:r w:rsidRPr="00057D44">
              <w:rPr>
                <w:rFonts w:ascii="Times New Roman" w:hAnsi="Times New Roman"/>
                <w:b/>
                <w:sz w:val="20"/>
              </w:rPr>
              <w:t>Branch Accounting and Procurement | Administrative Division</w:t>
            </w:r>
          </w:p>
          <w:p w14:paraId="66201F6D" w14:textId="77777777" w:rsidR="00057D44" w:rsidRPr="00057D44" w:rsidRDefault="00057D44" w:rsidP="00057D44">
            <w:pPr>
              <w:tabs>
                <w:tab w:val="left" w:pos="3600"/>
              </w:tabs>
              <w:spacing w:line="240" w:lineRule="auto"/>
              <w:rPr>
                <w:rFonts w:ascii="Times New Roman" w:hAnsi="Times New Roman"/>
                <w:b/>
                <w:sz w:val="20"/>
              </w:rPr>
            </w:pPr>
            <w:r w:rsidRPr="00057D44">
              <w:rPr>
                <w:rFonts w:ascii="Times New Roman" w:hAnsi="Times New Roman"/>
                <w:b/>
                <w:sz w:val="20"/>
              </w:rPr>
              <w:t>455 Golden Gate Ave, 6th Floor</w:t>
            </w:r>
          </w:p>
          <w:p w14:paraId="34E78D74" w14:textId="79627727" w:rsidR="003A03B3" w:rsidRPr="006679D3" w:rsidRDefault="00057D44" w:rsidP="00057D44">
            <w:pPr>
              <w:tabs>
                <w:tab w:val="left" w:pos="3600"/>
              </w:tabs>
              <w:spacing w:line="240" w:lineRule="auto"/>
              <w:rPr>
                <w:rFonts w:ascii="Times New Roman" w:hAnsi="Times New Roman"/>
                <w:sz w:val="20"/>
              </w:rPr>
            </w:pPr>
            <w:r w:rsidRPr="00AA6A43">
              <w:rPr>
                <w:rFonts w:ascii="Times New Roman" w:hAnsi="Times New Roman"/>
                <w:b/>
                <w:sz w:val="20"/>
              </w:rPr>
              <w:t>San Francisco, CA 94102</w:t>
            </w:r>
          </w:p>
        </w:tc>
        <w:tc>
          <w:tcPr>
            <w:tcW w:w="462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2" w:name="_Ref43360594"/>
      <w:r w:rsidRPr="00303BCF">
        <w:rPr>
          <w:rFonts w:ascii="Times New Roman" w:hAnsi="Times New Roman"/>
          <w:b/>
          <w:sz w:val="20"/>
          <w:u w:val="single"/>
        </w:rPr>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035CED2A" w14:textId="77777777" w:rsidR="00F8555C" w:rsidRDefault="00F8555C" w:rsidP="002432A3">
      <w:pPr>
        <w:spacing w:after="120" w:line="240" w:lineRule="auto"/>
        <w:rPr>
          <w:rFonts w:ascii="Times New Roman" w:hAnsi="Times New Roman"/>
          <w:color w:val="000000"/>
          <w:sz w:val="18"/>
          <w:szCs w:val="18"/>
          <w:lang w:val="en-CA"/>
        </w:rPr>
      </w:pPr>
    </w:p>
    <w:p w14:paraId="666D7887" w14:textId="441F6470"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73051F21" w14:textId="77777777" w:rsidR="00C905D6" w:rsidRDefault="00C905D6" w:rsidP="000114CB">
      <w:pPr>
        <w:numPr>
          <w:ilvl w:val="12"/>
          <w:numId w:val="0"/>
        </w:numPr>
        <w:tabs>
          <w:tab w:val="left" w:pos="360"/>
        </w:tabs>
        <w:spacing w:line="240" w:lineRule="auto"/>
        <w:rPr>
          <w:rFonts w:ascii="Times New Roman" w:hAnsi="Times New Roman"/>
          <w:color w:val="000000"/>
          <w:sz w:val="18"/>
          <w:szCs w:val="18"/>
          <w:lang w:val="en-CA"/>
        </w:rPr>
      </w:pPr>
    </w:p>
    <w:p w14:paraId="589BB379" w14:textId="193FFD94" w:rsidR="00C905D6" w:rsidRDefault="00C905D6" w:rsidP="000114CB">
      <w:pPr>
        <w:numPr>
          <w:ilvl w:val="12"/>
          <w:numId w:val="0"/>
        </w:numPr>
        <w:tabs>
          <w:tab w:val="left" w:pos="360"/>
        </w:tabs>
        <w:spacing w:line="240" w:lineRule="auto"/>
        <w:rPr>
          <w:rFonts w:ascii="Times New Roman" w:hAnsi="Times New Roman"/>
          <w:color w:val="000000"/>
          <w:sz w:val="18"/>
          <w:szCs w:val="18"/>
          <w:lang w:val="en-CA"/>
        </w:rPr>
      </w:pPr>
      <w:r w:rsidRPr="00C905D6">
        <w:rPr>
          <w:rFonts w:ascii="Times New Roman" w:hAnsi="Times New Roman"/>
          <w:color w:val="000000"/>
          <w:sz w:val="18"/>
          <w:szCs w:val="18"/>
          <w:lang w:val="en-CA"/>
        </w:rPr>
        <w:t xml:space="preserve">The term of this Statement of Work will commence on </w:t>
      </w:r>
      <w:r w:rsidRPr="00C905D6">
        <w:rPr>
          <w:rFonts w:ascii="Times New Roman" w:hAnsi="Times New Roman"/>
          <w:color w:val="000000"/>
          <w:sz w:val="18"/>
          <w:szCs w:val="18"/>
          <w:highlight w:val="yellow"/>
          <w:lang w:val="en-CA"/>
        </w:rPr>
        <w:t>[Date]</w:t>
      </w:r>
      <w:r w:rsidRPr="00C905D6">
        <w:rPr>
          <w:rFonts w:ascii="Times New Roman" w:hAnsi="Times New Roman"/>
          <w:color w:val="000000"/>
          <w:sz w:val="18"/>
          <w:szCs w:val="18"/>
          <w:lang w:val="en-CA"/>
        </w:rPr>
        <w:t xml:space="preserve"> (the “SOW Effective Date”) and will continue until </w:t>
      </w:r>
      <w:r w:rsidRPr="00C905D6">
        <w:rPr>
          <w:rFonts w:ascii="Times New Roman" w:hAnsi="Times New Roman"/>
          <w:color w:val="000000"/>
          <w:sz w:val="18"/>
          <w:szCs w:val="18"/>
          <w:highlight w:val="yellow"/>
          <w:lang w:val="en-CA"/>
        </w:rPr>
        <w:t>[Date]</w:t>
      </w:r>
      <w:r w:rsidRPr="00C905D6">
        <w:rPr>
          <w:rFonts w:ascii="Times New Roman" w:hAnsi="Times New Roman"/>
          <w:color w:val="000000"/>
          <w:sz w:val="18"/>
          <w:szCs w:val="18"/>
          <w:lang w:val="en-CA"/>
        </w:rPr>
        <w:t xml:space="preserve">, with </w:t>
      </w:r>
      <w:r w:rsidR="00396ED7">
        <w:rPr>
          <w:rFonts w:ascii="Times New Roman" w:hAnsi="Times New Roman"/>
          <w:color w:val="000000"/>
          <w:sz w:val="18"/>
          <w:szCs w:val="18"/>
          <w:lang w:val="en-CA"/>
        </w:rPr>
        <w:t>two</w:t>
      </w:r>
      <w:r w:rsidRPr="00C905D6">
        <w:rPr>
          <w:rFonts w:ascii="Times New Roman" w:hAnsi="Times New Roman"/>
          <w:color w:val="000000"/>
          <w:sz w:val="18"/>
          <w:szCs w:val="18"/>
          <w:lang w:val="en-CA"/>
        </w:rPr>
        <w:t xml:space="preserve"> (</w:t>
      </w:r>
      <w:r w:rsidR="00396ED7">
        <w:rPr>
          <w:rFonts w:ascii="Times New Roman" w:hAnsi="Times New Roman"/>
          <w:color w:val="000000"/>
          <w:sz w:val="18"/>
          <w:szCs w:val="18"/>
          <w:lang w:val="en-CA"/>
        </w:rPr>
        <w:t>2</w:t>
      </w:r>
      <w:r w:rsidRPr="00C905D6">
        <w:rPr>
          <w:rFonts w:ascii="Times New Roman" w:hAnsi="Times New Roman"/>
          <w:color w:val="000000"/>
          <w:sz w:val="18"/>
          <w:szCs w:val="18"/>
          <w:lang w:val="en-CA"/>
        </w:rPr>
        <w:t xml:space="preserve">) additional </w:t>
      </w:r>
      <w:r w:rsidR="00396ED7">
        <w:rPr>
          <w:rFonts w:ascii="Times New Roman" w:hAnsi="Times New Roman"/>
          <w:color w:val="000000"/>
          <w:sz w:val="18"/>
          <w:szCs w:val="18"/>
          <w:lang w:val="en-CA"/>
        </w:rPr>
        <w:t>one</w:t>
      </w:r>
      <w:r w:rsidRPr="00C905D6">
        <w:rPr>
          <w:rFonts w:ascii="Times New Roman" w:hAnsi="Times New Roman"/>
          <w:color w:val="000000"/>
          <w:sz w:val="18"/>
          <w:szCs w:val="18"/>
          <w:lang w:val="en-CA"/>
        </w:rPr>
        <w:t xml:space="preserve">-year option term, at the Judicial Council’s sole discretion, to extend through </w:t>
      </w:r>
      <w:r w:rsidR="00F8555C" w:rsidRPr="00F8555C">
        <w:rPr>
          <w:rFonts w:ascii="Times New Roman" w:hAnsi="Times New Roman"/>
          <w:color w:val="000000"/>
          <w:sz w:val="18"/>
          <w:szCs w:val="18"/>
          <w:highlight w:val="yellow"/>
          <w:lang w:val="en-CA"/>
        </w:rPr>
        <w:t>[Date]</w:t>
      </w:r>
      <w:r w:rsidRPr="00F8555C">
        <w:rPr>
          <w:rFonts w:ascii="Times New Roman" w:hAnsi="Times New Roman"/>
          <w:color w:val="000000"/>
          <w:sz w:val="18"/>
          <w:szCs w:val="18"/>
          <w:highlight w:val="yellow"/>
          <w:lang w:val="en-CA"/>
        </w:rPr>
        <w:t>.</w:t>
      </w:r>
      <w:r w:rsidRPr="00C905D6">
        <w:rPr>
          <w:rFonts w:ascii="Times New Roman" w:hAnsi="Times New Roman"/>
          <w:color w:val="000000"/>
          <w:sz w:val="18"/>
          <w:szCs w:val="18"/>
          <w:lang w:val="en-CA"/>
        </w:rPr>
        <w:t xml:space="preserve">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4EF116D" w14:textId="77777777" w:rsidR="00C905D6" w:rsidRDefault="00C905D6" w:rsidP="000114CB">
      <w:pPr>
        <w:numPr>
          <w:ilvl w:val="12"/>
          <w:numId w:val="0"/>
        </w:numPr>
        <w:tabs>
          <w:tab w:val="left" w:pos="360"/>
        </w:tabs>
        <w:spacing w:line="240" w:lineRule="auto"/>
        <w:rPr>
          <w:rFonts w:ascii="Times New Roman" w:hAnsi="Times New Roman"/>
          <w:color w:val="000000"/>
          <w:sz w:val="18"/>
          <w:szCs w:val="18"/>
          <w:lang w:val="en-CA"/>
        </w:rPr>
      </w:pPr>
    </w:p>
    <w:p w14:paraId="22406A07" w14:textId="3A4C12A2" w:rsidR="00B01C86"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00BF4042">
        <w:rPr>
          <w:rFonts w:ascii="Times New Roman" w:hAnsi="Times New Roman"/>
          <w:b/>
          <w:sz w:val="18"/>
          <w:szCs w:val="18"/>
          <w:u w:val="single"/>
          <w:lang w:val="en-CA"/>
        </w:rPr>
        <w:t>Background Information</w:t>
      </w:r>
      <w:r w:rsidRPr="000E3303">
        <w:rPr>
          <w:rFonts w:ascii="Times New Roman" w:hAnsi="Times New Roman"/>
          <w:b/>
          <w:sz w:val="18"/>
          <w:szCs w:val="18"/>
          <w:lang w:val="en-CA"/>
        </w:rPr>
        <w:t>.</w:t>
      </w:r>
    </w:p>
    <w:p w14:paraId="5B5138B1" w14:textId="55F8BDFC" w:rsidR="001E4C1A" w:rsidRDefault="001E4C1A" w:rsidP="000114CB">
      <w:pPr>
        <w:numPr>
          <w:ilvl w:val="12"/>
          <w:numId w:val="0"/>
        </w:numPr>
        <w:tabs>
          <w:tab w:val="left" w:pos="360"/>
        </w:tabs>
        <w:spacing w:line="240" w:lineRule="auto"/>
        <w:rPr>
          <w:rFonts w:ascii="Times New Roman" w:hAnsi="Times New Roman"/>
          <w:b/>
          <w:sz w:val="18"/>
          <w:szCs w:val="18"/>
          <w:lang w:val="en-CA"/>
        </w:rPr>
      </w:pPr>
    </w:p>
    <w:p w14:paraId="2690BD10" w14:textId="01C6B799" w:rsidR="001E4C1A" w:rsidRPr="00BF4042" w:rsidRDefault="001E4C1A" w:rsidP="00BF4042">
      <w:pPr>
        <w:pStyle w:val="ListParagraph"/>
        <w:numPr>
          <w:ilvl w:val="0"/>
          <w:numId w:val="54"/>
        </w:numPr>
        <w:tabs>
          <w:tab w:val="left" w:pos="360"/>
        </w:tabs>
        <w:spacing w:line="240" w:lineRule="auto"/>
        <w:rPr>
          <w:rFonts w:ascii="Times New Roman" w:hAnsi="Times New Roman"/>
          <w:bCs/>
          <w:sz w:val="18"/>
          <w:szCs w:val="18"/>
          <w:lang w:val="en-CA"/>
        </w:rPr>
      </w:pPr>
      <w:r w:rsidRPr="00BF4042">
        <w:rPr>
          <w:rFonts w:ascii="Times New Roman" w:hAnsi="Times New Roman"/>
          <w:bCs/>
          <w:sz w:val="18"/>
          <w:szCs w:val="18"/>
          <w:lang w:val="en-CA"/>
        </w:rPr>
        <w:t xml:space="preserve">The Judicial Council of California (“Judicial Council”), chaired by the Chief Justice of California, is the chief policy making agency of the California judicial system.  </w:t>
      </w:r>
    </w:p>
    <w:p w14:paraId="19B1CA4F" w14:textId="77777777" w:rsidR="001E4C1A" w:rsidRPr="001E4C1A" w:rsidRDefault="001E4C1A" w:rsidP="001E4C1A">
      <w:pPr>
        <w:numPr>
          <w:ilvl w:val="12"/>
          <w:numId w:val="0"/>
        </w:numPr>
        <w:tabs>
          <w:tab w:val="left" w:pos="360"/>
        </w:tabs>
        <w:spacing w:line="240" w:lineRule="auto"/>
        <w:rPr>
          <w:rFonts w:ascii="Times New Roman" w:hAnsi="Times New Roman"/>
          <w:bCs/>
          <w:sz w:val="18"/>
          <w:szCs w:val="18"/>
          <w:lang w:val="en-CA"/>
        </w:rPr>
      </w:pPr>
    </w:p>
    <w:p w14:paraId="54AAF4B7" w14:textId="78C3092A" w:rsidR="001E4C1A" w:rsidRPr="00BF4042" w:rsidRDefault="001E4C1A" w:rsidP="00BF4042">
      <w:pPr>
        <w:pStyle w:val="ListParagraph"/>
        <w:numPr>
          <w:ilvl w:val="0"/>
          <w:numId w:val="54"/>
        </w:numPr>
        <w:tabs>
          <w:tab w:val="left" w:pos="360"/>
        </w:tabs>
        <w:spacing w:line="240" w:lineRule="auto"/>
        <w:rPr>
          <w:rFonts w:ascii="Times New Roman" w:hAnsi="Times New Roman"/>
          <w:bCs/>
          <w:sz w:val="18"/>
          <w:szCs w:val="18"/>
          <w:lang w:val="en-CA"/>
        </w:rPr>
      </w:pPr>
      <w:r w:rsidRPr="00BF4042">
        <w:rPr>
          <w:rFonts w:ascii="Times New Roman" w:hAnsi="Times New Roman"/>
          <w:bCs/>
          <w:sz w:val="18"/>
          <w:szCs w:val="18"/>
          <w:lang w:val="en-CA"/>
        </w:rPr>
        <w:t xml:space="preserve">The California Constitution directs the Judicial Council to improve the administration of justice by surveying judicial business, recommending improvements to the courts, and making recommendations annually to the Governor and the Legislature.  </w:t>
      </w:r>
    </w:p>
    <w:p w14:paraId="3D7AFD47" w14:textId="77777777" w:rsidR="001E4C1A" w:rsidRPr="001E4C1A" w:rsidRDefault="001E4C1A" w:rsidP="001E4C1A">
      <w:pPr>
        <w:numPr>
          <w:ilvl w:val="12"/>
          <w:numId w:val="0"/>
        </w:numPr>
        <w:tabs>
          <w:tab w:val="left" w:pos="360"/>
        </w:tabs>
        <w:spacing w:line="240" w:lineRule="auto"/>
        <w:rPr>
          <w:rFonts w:ascii="Times New Roman" w:hAnsi="Times New Roman"/>
          <w:bCs/>
          <w:sz w:val="18"/>
          <w:szCs w:val="18"/>
          <w:lang w:val="en-CA"/>
        </w:rPr>
      </w:pPr>
    </w:p>
    <w:p w14:paraId="32535CBE" w14:textId="4CFE4871" w:rsidR="001E4C1A" w:rsidRPr="00BF4042" w:rsidRDefault="001E4C1A" w:rsidP="00BF4042">
      <w:pPr>
        <w:pStyle w:val="ListParagraph"/>
        <w:numPr>
          <w:ilvl w:val="0"/>
          <w:numId w:val="54"/>
        </w:numPr>
        <w:tabs>
          <w:tab w:val="left" w:pos="360"/>
        </w:tabs>
        <w:spacing w:line="240" w:lineRule="auto"/>
        <w:rPr>
          <w:rFonts w:ascii="Times New Roman" w:hAnsi="Times New Roman"/>
          <w:bCs/>
          <w:sz w:val="18"/>
          <w:szCs w:val="18"/>
          <w:lang w:val="en-CA"/>
        </w:rPr>
      </w:pPr>
      <w:r w:rsidRPr="00BF4042">
        <w:rPr>
          <w:rFonts w:ascii="Times New Roman" w:hAnsi="Times New Roman"/>
          <w:bCs/>
          <w:sz w:val="18"/>
          <w:szCs w:val="18"/>
          <w:lang w:val="en-CA"/>
        </w:rPr>
        <w:t xml:space="preserve">The Judicial Council also adopts rules for court administration, practice, and procedure, and performs other functions prescribed by law.  </w:t>
      </w:r>
    </w:p>
    <w:p w14:paraId="4319B798" w14:textId="77777777" w:rsidR="001E4C1A" w:rsidRPr="001E4C1A" w:rsidRDefault="001E4C1A" w:rsidP="001E4C1A">
      <w:pPr>
        <w:numPr>
          <w:ilvl w:val="12"/>
          <w:numId w:val="0"/>
        </w:numPr>
        <w:tabs>
          <w:tab w:val="left" w:pos="360"/>
        </w:tabs>
        <w:spacing w:line="240" w:lineRule="auto"/>
        <w:rPr>
          <w:rFonts w:ascii="Times New Roman" w:hAnsi="Times New Roman"/>
          <w:bCs/>
          <w:sz w:val="18"/>
          <w:szCs w:val="18"/>
          <w:lang w:val="en-CA"/>
        </w:rPr>
      </w:pPr>
    </w:p>
    <w:p w14:paraId="4CA52280" w14:textId="671C6DFD" w:rsidR="001E4C1A" w:rsidRPr="00BF4042" w:rsidRDefault="001E4C1A" w:rsidP="00BF4042">
      <w:pPr>
        <w:pStyle w:val="ListParagraph"/>
        <w:numPr>
          <w:ilvl w:val="0"/>
          <w:numId w:val="54"/>
        </w:numPr>
        <w:tabs>
          <w:tab w:val="left" w:pos="360"/>
        </w:tabs>
        <w:spacing w:line="240" w:lineRule="auto"/>
        <w:rPr>
          <w:rFonts w:ascii="Times New Roman" w:hAnsi="Times New Roman"/>
          <w:bCs/>
          <w:sz w:val="18"/>
          <w:szCs w:val="18"/>
          <w:lang w:val="en-CA"/>
        </w:rPr>
      </w:pPr>
      <w:r w:rsidRPr="00BF4042">
        <w:rPr>
          <w:rFonts w:ascii="Times New Roman" w:hAnsi="Times New Roman"/>
          <w:bCs/>
          <w:sz w:val="18"/>
          <w:szCs w:val="18"/>
          <w:lang w:val="en-CA"/>
        </w:rPr>
        <w:t xml:space="preserve">The Judicial Council’s Operations and Programs Division, Center for Families, Children &amp; the Courts (“CFCC”) supports programs in court settings that improve practice and services for children, youth, parents, </w:t>
      </w:r>
      <w:proofErr w:type="gramStart"/>
      <w:r w:rsidRPr="00BF4042">
        <w:rPr>
          <w:rFonts w:ascii="Times New Roman" w:hAnsi="Times New Roman"/>
          <w:bCs/>
          <w:sz w:val="18"/>
          <w:szCs w:val="18"/>
          <w:lang w:val="en-CA"/>
        </w:rPr>
        <w:t>families</w:t>
      </w:r>
      <w:proofErr w:type="gramEnd"/>
      <w:r w:rsidRPr="00BF4042">
        <w:rPr>
          <w:rFonts w:ascii="Times New Roman" w:hAnsi="Times New Roman"/>
          <w:bCs/>
          <w:sz w:val="18"/>
          <w:szCs w:val="18"/>
          <w:lang w:val="en-CA"/>
        </w:rPr>
        <w:t xml:space="preserve"> and other court users.</w:t>
      </w:r>
    </w:p>
    <w:p w14:paraId="762971FF" w14:textId="77777777" w:rsidR="001E4C1A" w:rsidRPr="001E4C1A" w:rsidRDefault="001E4C1A" w:rsidP="001E4C1A">
      <w:pPr>
        <w:numPr>
          <w:ilvl w:val="12"/>
          <w:numId w:val="0"/>
        </w:numPr>
        <w:tabs>
          <w:tab w:val="left" w:pos="360"/>
        </w:tabs>
        <w:spacing w:line="240" w:lineRule="auto"/>
        <w:rPr>
          <w:rFonts w:ascii="Times New Roman" w:hAnsi="Times New Roman"/>
          <w:bCs/>
          <w:sz w:val="18"/>
          <w:szCs w:val="18"/>
          <w:lang w:val="en-CA"/>
        </w:rPr>
      </w:pPr>
    </w:p>
    <w:p w14:paraId="2F073A40" w14:textId="78C1D106" w:rsidR="001E4C1A" w:rsidRPr="00BF4042" w:rsidRDefault="001E4C1A" w:rsidP="00BF4042">
      <w:pPr>
        <w:pStyle w:val="ListParagraph"/>
        <w:numPr>
          <w:ilvl w:val="0"/>
          <w:numId w:val="54"/>
        </w:numPr>
        <w:tabs>
          <w:tab w:val="left" w:pos="360"/>
        </w:tabs>
        <w:spacing w:line="240" w:lineRule="auto"/>
        <w:rPr>
          <w:rFonts w:ascii="Times New Roman" w:hAnsi="Times New Roman"/>
          <w:bCs/>
          <w:sz w:val="18"/>
          <w:szCs w:val="18"/>
          <w:lang w:val="en-CA"/>
        </w:rPr>
      </w:pPr>
      <w:r w:rsidRPr="00BF4042">
        <w:rPr>
          <w:rFonts w:ascii="Times New Roman" w:hAnsi="Times New Roman"/>
          <w:bCs/>
          <w:sz w:val="18"/>
          <w:szCs w:val="18"/>
          <w:lang w:val="en-CA"/>
        </w:rPr>
        <w:t xml:space="preserve">Within CFCC, the Language Access Services Program (LASP) works to develop policies and provide services to ensure equal access to justice for court users who are limited English proficient or deaf/hearing-impaired. </w:t>
      </w:r>
    </w:p>
    <w:p w14:paraId="43527168" w14:textId="77777777" w:rsidR="001E4C1A" w:rsidRPr="001E4C1A" w:rsidRDefault="001E4C1A" w:rsidP="001E4C1A">
      <w:pPr>
        <w:numPr>
          <w:ilvl w:val="12"/>
          <w:numId w:val="0"/>
        </w:numPr>
        <w:tabs>
          <w:tab w:val="left" w:pos="360"/>
        </w:tabs>
        <w:spacing w:line="240" w:lineRule="auto"/>
        <w:rPr>
          <w:rFonts w:ascii="Times New Roman" w:hAnsi="Times New Roman"/>
          <w:bCs/>
          <w:sz w:val="18"/>
          <w:szCs w:val="18"/>
          <w:lang w:val="en-CA"/>
        </w:rPr>
      </w:pPr>
    </w:p>
    <w:p w14:paraId="429D44AA" w14:textId="3D585CE5" w:rsidR="001E4C1A" w:rsidRPr="00BF4042" w:rsidRDefault="001E4C1A" w:rsidP="00BF4042">
      <w:pPr>
        <w:pStyle w:val="ListParagraph"/>
        <w:numPr>
          <w:ilvl w:val="0"/>
          <w:numId w:val="54"/>
        </w:numPr>
        <w:tabs>
          <w:tab w:val="left" w:pos="360"/>
        </w:tabs>
        <w:spacing w:line="240" w:lineRule="auto"/>
        <w:rPr>
          <w:rFonts w:ascii="Times New Roman" w:hAnsi="Times New Roman"/>
          <w:bCs/>
          <w:sz w:val="18"/>
          <w:szCs w:val="18"/>
          <w:lang w:val="en-CA"/>
        </w:rPr>
      </w:pPr>
      <w:r w:rsidRPr="00BF4042">
        <w:rPr>
          <w:rFonts w:ascii="Times New Roman" w:hAnsi="Times New Roman"/>
          <w:bCs/>
          <w:sz w:val="18"/>
          <w:szCs w:val="18"/>
          <w:lang w:val="en-CA"/>
        </w:rPr>
        <w:t>LASP is comprised of the Court Interpreters Program (CIP) and the Language Access Implementation (LAI) unit. CIP works on court interpreter issues, and LAI works on making the courts more language accessible via resources such as signage, technology, and translated forms.</w:t>
      </w:r>
    </w:p>
    <w:p w14:paraId="367E44D3" w14:textId="2BBD2510" w:rsidR="001E4C1A" w:rsidRDefault="001E4C1A" w:rsidP="001E4C1A">
      <w:pPr>
        <w:numPr>
          <w:ilvl w:val="12"/>
          <w:numId w:val="0"/>
        </w:numPr>
        <w:tabs>
          <w:tab w:val="left" w:pos="360"/>
        </w:tabs>
        <w:spacing w:line="240" w:lineRule="auto"/>
        <w:rPr>
          <w:rFonts w:ascii="Times New Roman" w:hAnsi="Times New Roman"/>
          <w:bCs/>
          <w:sz w:val="18"/>
          <w:szCs w:val="18"/>
          <w:lang w:val="en-CA"/>
        </w:rPr>
      </w:pPr>
    </w:p>
    <w:p w14:paraId="27EA231F" w14:textId="52D4B81C" w:rsidR="001E4C1A" w:rsidRPr="00BF4042" w:rsidRDefault="00BF4042" w:rsidP="00BF4042">
      <w:pPr>
        <w:numPr>
          <w:ilvl w:val="12"/>
          <w:numId w:val="0"/>
        </w:numPr>
        <w:tabs>
          <w:tab w:val="left" w:pos="360"/>
        </w:tabs>
        <w:spacing w:line="240" w:lineRule="auto"/>
        <w:rPr>
          <w:rFonts w:ascii="Times New Roman" w:hAnsi="Times New Roman"/>
          <w:b/>
          <w:sz w:val="18"/>
          <w:szCs w:val="18"/>
          <w:lang w:val="en-CA"/>
        </w:rPr>
      </w:pPr>
      <w:r>
        <w:rPr>
          <w:rFonts w:ascii="Times New Roman" w:hAnsi="Times New Roman"/>
          <w:b/>
          <w:sz w:val="18"/>
          <w:szCs w:val="18"/>
          <w:lang w:val="en-CA"/>
        </w:rPr>
        <w:t>3.</w:t>
      </w:r>
      <w:r>
        <w:rPr>
          <w:rFonts w:ascii="Times New Roman" w:hAnsi="Times New Roman"/>
          <w:b/>
          <w:sz w:val="18"/>
          <w:szCs w:val="18"/>
          <w:lang w:val="en-CA"/>
        </w:rPr>
        <w:tab/>
      </w:r>
      <w:r w:rsidRPr="00BF4042">
        <w:rPr>
          <w:rFonts w:ascii="Times New Roman" w:hAnsi="Times New Roman"/>
          <w:b/>
          <w:sz w:val="18"/>
          <w:szCs w:val="18"/>
          <w:lang w:val="en-CA"/>
        </w:rPr>
        <w:t xml:space="preserve">JBE Requirements and </w:t>
      </w:r>
      <w:r w:rsidR="001E4C1A" w:rsidRPr="00BF4042">
        <w:rPr>
          <w:rFonts w:ascii="Times New Roman" w:hAnsi="Times New Roman"/>
          <w:b/>
          <w:sz w:val="18"/>
          <w:szCs w:val="18"/>
          <w:lang w:val="en-CA"/>
        </w:rPr>
        <w:t xml:space="preserve">Description of </w:t>
      </w:r>
      <w:r w:rsidRPr="00BF4042">
        <w:rPr>
          <w:rFonts w:ascii="Times New Roman" w:hAnsi="Times New Roman"/>
          <w:b/>
          <w:sz w:val="18"/>
          <w:szCs w:val="18"/>
          <w:lang w:val="en-CA"/>
        </w:rPr>
        <w:t>the Work.</w:t>
      </w:r>
    </w:p>
    <w:p w14:paraId="74DEAEF4" w14:textId="77777777" w:rsidR="00BF4042" w:rsidRDefault="00BF4042" w:rsidP="001E4C1A">
      <w:pPr>
        <w:numPr>
          <w:ilvl w:val="12"/>
          <w:numId w:val="0"/>
        </w:numPr>
        <w:tabs>
          <w:tab w:val="left" w:pos="360"/>
        </w:tabs>
        <w:spacing w:line="240" w:lineRule="auto"/>
        <w:rPr>
          <w:rFonts w:ascii="Times New Roman" w:hAnsi="Times New Roman"/>
          <w:bCs/>
          <w:sz w:val="18"/>
          <w:szCs w:val="18"/>
          <w:lang w:val="en-CA"/>
        </w:rPr>
      </w:pPr>
    </w:p>
    <w:p w14:paraId="510CF3D7" w14:textId="556DEB0A" w:rsidR="001E4C1A" w:rsidRPr="001E4C1A" w:rsidRDefault="001E4C1A" w:rsidP="001E4C1A">
      <w:pPr>
        <w:numPr>
          <w:ilvl w:val="12"/>
          <w:numId w:val="0"/>
        </w:numPr>
        <w:tabs>
          <w:tab w:val="left" w:pos="360"/>
        </w:tabs>
        <w:spacing w:line="240" w:lineRule="auto"/>
        <w:rPr>
          <w:rFonts w:ascii="Times New Roman" w:hAnsi="Times New Roman"/>
          <w:bCs/>
          <w:sz w:val="18"/>
          <w:szCs w:val="18"/>
          <w:lang w:val="en-CA"/>
        </w:rPr>
      </w:pPr>
      <w:r>
        <w:rPr>
          <w:rFonts w:ascii="Times New Roman" w:hAnsi="Times New Roman"/>
          <w:bCs/>
          <w:sz w:val="18"/>
          <w:szCs w:val="18"/>
          <w:lang w:val="en-CA"/>
        </w:rPr>
        <w:t xml:space="preserve">Contractor shall </w:t>
      </w:r>
      <w:r w:rsidRPr="001E4C1A">
        <w:rPr>
          <w:rFonts w:ascii="Times New Roman" w:hAnsi="Times New Roman"/>
          <w:bCs/>
          <w:sz w:val="18"/>
          <w:szCs w:val="18"/>
          <w:lang w:val="en-CA"/>
        </w:rPr>
        <w:t>provid</w:t>
      </w:r>
      <w:r>
        <w:rPr>
          <w:rFonts w:ascii="Times New Roman" w:hAnsi="Times New Roman"/>
          <w:bCs/>
          <w:sz w:val="18"/>
          <w:szCs w:val="18"/>
          <w:lang w:val="en-CA"/>
        </w:rPr>
        <w:t xml:space="preserve">e to the Judicial Council a </w:t>
      </w:r>
      <w:r w:rsidRPr="001E4C1A">
        <w:rPr>
          <w:rFonts w:ascii="Times New Roman" w:hAnsi="Times New Roman"/>
          <w:bCs/>
          <w:sz w:val="18"/>
          <w:szCs w:val="18"/>
          <w:lang w:val="en-CA"/>
        </w:rPr>
        <w:t>Vendor Hosted Learning Management System (LMS) Software to create, distribute, and manage the delivery of online modules for court interpreter education</w:t>
      </w:r>
      <w:r>
        <w:rPr>
          <w:rFonts w:ascii="Times New Roman" w:hAnsi="Times New Roman"/>
          <w:bCs/>
          <w:sz w:val="18"/>
          <w:szCs w:val="18"/>
          <w:lang w:val="en-CA"/>
        </w:rPr>
        <w:t xml:space="preserve"> </w:t>
      </w:r>
      <w:r w:rsidRPr="001E4C1A">
        <w:rPr>
          <w:rFonts w:ascii="Times New Roman" w:hAnsi="Times New Roman"/>
          <w:bCs/>
          <w:sz w:val="18"/>
          <w:szCs w:val="18"/>
          <w:lang w:val="en-CA"/>
        </w:rPr>
        <w:t>with the following capabilities:</w:t>
      </w:r>
    </w:p>
    <w:p w14:paraId="552B1389" w14:textId="45BBDC2B" w:rsidR="00F8555C" w:rsidRDefault="00F8555C" w:rsidP="00AC28B1">
      <w:pPr>
        <w:pStyle w:val="ListParagraph"/>
        <w:tabs>
          <w:tab w:val="left" w:pos="360"/>
        </w:tabs>
        <w:spacing w:after="120" w:line="240" w:lineRule="auto"/>
        <w:ind w:left="0"/>
        <w:contextualSpacing w:val="0"/>
        <w:rPr>
          <w:rFonts w:ascii="Times New Roman" w:hAnsi="Times New Roman"/>
          <w:b/>
          <w:i/>
          <w:color w:val="000000"/>
          <w:sz w:val="18"/>
          <w:szCs w:val="18"/>
          <w:highlight w:val="yellow"/>
          <w:lang w:val="en-CA"/>
        </w:rPr>
      </w:pPr>
    </w:p>
    <w:p w14:paraId="2C4541B5" w14:textId="38BC4C86"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 xml:space="preserve">Ability to provide a centralized platform for the creation, hosting, and management of live, </w:t>
      </w:r>
      <w:proofErr w:type="spellStart"/>
      <w:r w:rsidRPr="005B3B59">
        <w:rPr>
          <w:rFonts w:ascii="Times New Roman" w:hAnsi="Times New Roman"/>
          <w:bCs/>
          <w:iCs/>
          <w:color w:val="000000"/>
          <w:sz w:val="18"/>
          <w:szCs w:val="18"/>
          <w:lang w:val="en-CA"/>
        </w:rPr>
        <w:t>prerecorded</w:t>
      </w:r>
      <w:proofErr w:type="spellEnd"/>
      <w:r w:rsidRPr="005B3B59">
        <w:rPr>
          <w:rFonts w:ascii="Times New Roman" w:hAnsi="Times New Roman"/>
          <w:bCs/>
          <w:iCs/>
          <w:color w:val="000000"/>
          <w:sz w:val="18"/>
          <w:szCs w:val="18"/>
          <w:lang w:val="en-CA"/>
        </w:rPr>
        <w:t>, and click-through content, including SCORM courses, developed by CIP and in partnership with external consultants.</w:t>
      </w:r>
    </w:p>
    <w:p w14:paraId="77F683DC"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472D7739" w14:textId="362528A4"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 xml:space="preserve">Ability to support at least 4,000 remote learners with 24/7 platform technology support and live support during normal business hours. </w:t>
      </w:r>
      <w:r w:rsidR="00BA2CFB" w:rsidRPr="00307D4C">
        <w:rPr>
          <w:rFonts w:ascii="Times New Roman" w:hAnsi="Times New Roman"/>
          <w:b/>
          <w:iCs/>
          <w:color w:val="000000"/>
          <w:sz w:val="18"/>
          <w:szCs w:val="18"/>
          <w:lang w:val="en-CA"/>
        </w:rPr>
        <w:t>(8:00 am – 5:00 pm PST).</w:t>
      </w:r>
    </w:p>
    <w:p w14:paraId="3643998D"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5A6699E0" w14:textId="5179CBBB"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Provide access for up to 10 administrators annually with access to include live support during normal business hours and if available additional support (</w:t>
      </w:r>
      <w:proofErr w:type="gramStart"/>
      <w:r w:rsidR="00EC607E" w:rsidRPr="005B3B59">
        <w:rPr>
          <w:rFonts w:ascii="Times New Roman" w:hAnsi="Times New Roman"/>
          <w:bCs/>
          <w:iCs/>
          <w:color w:val="000000"/>
          <w:sz w:val="18"/>
          <w:szCs w:val="18"/>
          <w:lang w:val="en-CA"/>
        </w:rPr>
        <w:t>e.g.</w:t>
      </w:r>
      <w:proofErr w:type="gramEnd"/>
      <w:r w:rsidRPr="005B3B59">
        <w:rPr>
          <w:rFonts w:ascii="Times New Roman" w:hAnsi="Times New Roman"/>
          <w:bCs/>
          <w:iCs/>
          <w:color w:val="000000"/>
          <w:sz w:val="18"/>
          <w:szCs w:val="18"/>
          <w:lang w:val="en-CA"/>
        </w:rPr>
        <w:t xml:space="preserve"> </w:t>
      </w:r>
      <w:proofErr w:type="spellStart"/>
      <w:r w:rsidRPr="005B3B59">
        <w:rPr>
          <w:rFonts w:ascii="Times New Roman" w:hAnsi="Times New Roman"/>
          <w:bCs/>
          <w:iCs/>
          <w:color w:val="000000"/>
          <w:sz w:val="18"/>
          <w:szCs w:val="18"/>
          <w:lang w:val="en-CA"/>
        </w:rPr>
        <w:t>Chatbox</w:t>
      </w:r>
      <w:proofErr w:type="spellEnd"/>
      <w:r w:rsidRPr="005B3B59">
        <w:rPr>
          <w:rFonts w:ascii="Times New Roman" w:hAnsi="Times New Roman"/>
          <w:bCs/>
          <w:iCs/>
          <w:color w:val="000000"/>
          <w:sz w:val="18"/>
          <w:szCs w:val="18"/>
          <w:lang w:val="en-CA"/>
        </w:rPr>
        <w:t xml:space="preserve"> for non-business hours).</w:t>
      </w:r>
    </w:p>
    <w:p w14:paraId="2D2A168B"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5AE00B2A" w14:textId="77777777" w:rsidR="00380802" w:rsidRDefault="005B3B59" w:rsidP="007416A8">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A34252">
        <w:rPr>
          <w:rFonts w:ascii="Times New Roman" w:hAnsi="Times New Roman"/>
          <w:bCs/>
          <w:iCs/>
          <w:color w:val="000000"/>
          <w:sz w:val="18"/>
          <w:szCs w:val="18"/>
          <w:lang w:val="en-CA"/>
        </w:rPr>
        <w:t xml:space="preserve">Provide robust analytic tools to measure page-views and end-user engagement with online courses and content including, but not limited to the ability to generate certificates, receive feedback via tools such as surveys, track completion rates, track time spent engaging in materials, etc. </w:t>
      </w:r>
    </w:p>
    <w:p w14:paraId="60193FBE" w14:textId="77777777" w:rsidR="00380802" w:rsidRPr="00380802" w:rsidRDefault="00380802" w:rsidP="00380802">
      <w:pPr>
        <w:pStyle w:val="ListParagraph"/>
        <w:rPr>
          <w:rFonts w:ascii="Times New Roman" w:hAnsi="Times New Roman"/>
          <w:bCs/>
          <w:iCs/>
          <w:color w:val="000000"/>
          <w:sz w:val="18"/>
          <w:szCs w:val="18"/>
          <w:lang w:val="en-CA"/>
        </w:rPr>
      </w:pPr>
    </w:p>
    <w:p w14:paraId="79529591" w14:textId="5A3F2D3B" w:rsidR="00A34252" w:rsidRPr="00A34252" w:rsidRDefault="00380802" w:rsidP="007416A8">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Pr>
          <w:rFonts w:ascii="Times New Roman" w:hAnsi="Times New Roman"/>
          <w:bCs/>
          <w:iCs/>
          <w:color w:val="000000"/>
          <w:sz w:val="18"/>
          <w:szCs w:val="18"/>
          <w:lang w:val="en-CA"/>
        </w:rPr>
        <w:t xml:space="preserve">Ability to </w:t>
      </w:r>
      <w:r w:rsidR="004C28FB">
        <w:rPr>
          <w:rFonts w:ascii="Times New Roman" w:hAnsi="Times New Roman"/>
          <w:bCs/>
          <w:iCs/>
          <w:color w:val="000000"/>
          <w:sz w:val="18"/>
          <w:szCs w:val="18"/>
          <w:lang w:val="en-CA"/>
        </w:rPr>
        <w:t>create reports sorting users by region, language, class, engagement tracking, and completion/drop off rate.</w:t>
      </w:r>
      <w:r w:rsidR="00A34252" w:rsidRPr="00A34252">
        <w:rPr>
          <w:rFonts w:ascii="Times New Roman" w:hAnsi="Times New Roman"/>
          <w:bCs/>
          <w:iCs/>
          <w:color w:val="000000"/>
          <w:sz w:val="18"/>
          <w:szCs w:val="18"/>
          <w:lang w:val="en-CA"/>
        </w:rPr>
        <w:br/>
      </w:r>
    </w:p>
    <w:p w14:paraId="1619DD7C" w14:textId="2298DE93" w:rsidR="00A34252" w:rsidRPr="005B3B59" w:rsidRDefault="00CA5104"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Pr>
          <w:rFonts w:ascii="Times New Roman" w:hAnsi="Times New Roman"/>
          <w:bCs/>
          <w:iCs/>
          <w:color w:val="000000"/>
          <w:sz w:val="18"/>
          <w:szCs w:val="18"/>
        </w:rPr>
        <w:t>Contractor</w:t>
      </w:r>
      <w:r w:rsidR="00A34252" w:rsidRPr="00A34252">
        <w:rPr>
          <w:rFonts w:ascii="Times New Roman" w:hAnsi="Times New Roman"/>
          <w:bCs/>
          <w:iCs/>
          <w:color w:val="000000"/>
          <w:sz w:val="18"/>
          <w:szCs w:val="18"/>
        </w:rPr>
        <w:t xml:space="preserve"> provided training to Judicial Council Staff for use of software</w:t>
      </w:r>
    </w:p>
    <w:p w14:paraId="67F79679"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2054911A" w14:textId="0179674C"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 xml:space="preserve">Preferably the ability to communicate directly with learners through email, managed within the LMS, providing notifications, reminders, and other outreach. </w:t>
      </w:r>
    </w:p>
    <w:p w14:paraId="674F508F"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68D26E0A" w14:textId="7E009A2F"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Ability to customize platform with own Judicial Council logo/branding.</w:t>
      </w:r>
    </w:p>
    <w:p w14:paraId="6BD46BA4"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4F327600" w14:textId="477A97DA"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Preferably the ability to collect online payment from users.</w:t>
      </w:r>
    </w:p>
    <w:p w14:paraId="5DE5CEEA"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543FDCF2" w14:textId="3AE6DFDF"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 xml:space="preserve">Provide a fully functional staging environment for previewing online content before it is released into production. </w:t>
      </w:r>
    </w:p>
    <w:p w14:paraId="310C0602"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354F4941" w14:textId="5E429E98"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Provide ability to develop and deploy modular courses, instructional content, online questions and tests without coding or html programming.</w:t>
      </w:r>
    </w:p>
    <w:p w14:paraId="3DBA03E0"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24338A3C" w14:textId="5E3F1961" w:rsidR="005B3B59" w:rsidRP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Enable delivery of all site content on mobile devices, tablets, and phones. Prefer Responsive framework.</w:t>
      </w:r>
    </w:p>
    <w:p w14:paraId="11244460"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375FC315" w14:textId="118AE27C" w:rsidR="005B3B59" w:rsidRDefault="005B3B59"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Provide and perform security updates, patches, and bug fixes, including backend support as well as support for any ongoing upgrades and enhancements.</w:t>
      </w:r>
    </w:p>
    <w:p w14:paraId="099D2321" w14:textId="77777777" w:rsidR="006A269A" w:rsidRPr="006A269A" w:rsidRDefault="006A269A" w:rsidP="006A269A">
      <w:pPr>
        <w:pStyle w:val="ListParagraph"/>
        <w:rPr>
          <w:rFonts w:ascii="Times New Roman" w:hAnsi="Times New Roman"/>
          <w:bCs/>
          <w:iCs/>
          <w:color w:val="000000"/>
          <w:sz w:val="18"/>
          <w:szCs w:val="18"/>
          <w:lang w:val="en-CA"/>
        </w:rPr>
      </w:pPr>
    </w:p>
    <w:p w14:paraId="181F7376" w14:textId="6F0E7ABC" w:rsidR="006A269A" w:rsidRPr="005B3B59" w:rsidRDefault="006A269A" w:rsidP="00BF4042">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Pr>
          <w:rFonts w:ascii="Times New Roman" w:hAnsi="Times New Roman"/>
          <w:bCs/>
          <w:iCs/>
          <w:color w:val="000000"/>
          <w:sz w:val="18"/>
          <w:szCs w:val="18"/>
          <w:lang w:val="en-CA"/>
        </w:rPr>
        <w:t>System should be able to integrate with JCC Identity Management System.</w:t>
      </w:r>
    </w:p>
    <w:p w14:paraId="6FCBDCE9"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01661BB2" w14:textId="2033F7E6" w:rsidR="005B3B59" w:rsidRPr="005B3B59" w:rsidRDefault="005B3B59" w:rsidP="0026286A">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Provide multiple security layers for users and user authentication ensuring</w:t>
      </w:r>
      <w:r w:rsidR="00BF4042">
        <w:rPr>
          <w:rFonts w:ascii="Times New Roman" w:hAnsi="Times New Roman"/>
          <w:bCs/>
          <w:iCs/>
          <w:color w:val="000000"/>
          <w:sz w:val="18"/>
          <w:szCs w:val="18"/>
          <w:lang w:val="en-CA"/>
        </w:rPr>
        <w:t xml:space="preserve"> </w:t>
      </w:r>
      <w:r w:rsidRPr="005B3B59">
        <w:rPr>
          <w:rFonts w:ascii="Times New Roman" w:hAnsi="Times New Roman"/>
          <w:bCs/>
          <w:iCs/>
          <w:color w:val="000000"/>
          <w:sz w:val="18"/>
          <w:szCs w:val="18"/>
          <w:lang w:val="en-CA"/>
        </w:rPr>
        <w:t>personal information is secured.</w:t>
      </w:r>
    </w:p>
    <w:p w14:paraId="45411D75"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6E13E845" w14:textId="3A4855DA" w:rsidR="005B3B59" w:rsidRPr="005B3B59" w:rsidRDefault="005B3B59" w:rsidP="0026286A">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Meet Back-up storage and security requirements including daily back-ups and data secured in off-site, in a fire-resistant location.</w:t>
      </w:r>
    </w:p>
    <w:p w14:paraId="0CC29169"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1F5123D1" w14:textId="77966FCA" w:rsidR="005B3B59" w:rsidRPr="005B3B59" w:rsidRDefault="005B3B59" w:rsidP="0026286A">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Support WCAG 2.0 compliance for all published content.</w:t>
      </w:r>
    </w:p>
    <w:p w14:paraId="06D7C506"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1EAE1E38" w14:textId="7897FA54" w:rsidR="005B3B59" w:rsidRPr="005B3B59" w:rsidRDefault="005B3B59" w:rsidP="0026286A">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Ability to provide waitlist capabilities and recommended lesson plans strongly preferred.</w:t>
      </w:r>
    </w:p>
    <w:p w14:paraId="18CA162D" w14:textId="77777777" w:rsidR="005B3B59" w:rsidRPr="005B3B59" w:rsidRDefault="005B3B59" w:rsidP="005B3B59">
      <w:pPr>
        <w:pStyle w:val="ListParagraph"/>
        <w:tabs>
          <w:tab w:val="left" w:pos="360"/>
        </w:tabs>
        <w:spacing w:after="120" w:line="240" w:lineRule="auto"/>
        <w:rPr>
          <w:rFonts w:ascii="Times New Roman" w:hAnsi="Times New Roman"/>
          <w:bCs/>
          <w:iCs/>
          <w:color w:val="000000"/>
          <w:sz w:val="18"/>
          <w:szCs w:val="18"/>
          <w:lang w:val="en-CA"/>
        </w:rPr>
      </w:pPr>
    </w:p>
    <w:p w14:paraId="1BC168EF" w14:textId="1A3CB8D1" w:rsidR="005B3B59" w:rsidRPr="005B3B59" w:rsidRDefault="005B3B59" w:rsidP="0026286A">
      <w:pPr>
        <w:pStyle w:val="ListParagraph"/>
        <w:numPr>
          <w:ilvl w:val="0"/>
          <w:numId w:val="55"/>
        </w:numPr>
        <w:tabs>
          <w:tab w:val="left" w:pos="360"/>
        </w:tabs>
        <w:spacing w:after="120" w:line="240" w:lineRule="auto"/>
        <w:ind w:left="720"/>
        <w:rPr>
          <w:rFonts w:ascii="Times New Roman" w:hAnsi="Times New Roman"/>
          <w:bCs/>
          <w:iCs/>
          <w:color w:val="000000"/>
          <w:sz w:val="18"/>
          <w:szCs w:val="18"/>
          <w:lang w:val="en-CA"/>
        </w:rPr>
      </w:pPr>
      <w:r w:rsidRPr="005B3B59">
        <w:rPr>
          <w:rFonts w:ascii="Times New Roman" w:hAnsi="Times New Roman"/>
          <w:bCs/>
          <w:iCs/>
          <w:color w:val="000000"/>
          <w:sz w:val="18"/>
          <w:szCs w:val="18"/>
          <w:lang w:val="en-CA"/>
        </w:rPr>
        <w:t>Provide a learner communication hub, such as chat forums and/or community discussion options strongly preferred.</w:t>
      </w:r>
    </w:p>
    <w:p w14:paraId="65E34F38" w14:textId="77777777" w:rsidR="005B3B59" w:rsidRPr="005B3B59" w:rsidRDefault="005B3B59" w:rsidP="005B3B59">
      <w:pPr>
        <w:pStyle w:val="ListParagraph"/>
        <w:tabs>
          <w:tab w:val="left" w:pos="360"/>
        </w:tabs>
        <w:spacing w:after="120" w:line="240" w:lineRule="auto"/>
        <w:rPr>
          <w:rFonts w:ascii="Times New Roman" w:hAnsi="Times New Roman"/>
          <w:b/>
          <w:i/>
          <w:color w:val="000000"/>
          <w:sz w:val="18"/>
          <w:szCs w:val="18"/>
          <w:lang w:val="en-CA"/>
        </w:rPr>
      </w:pPr>
    </w:p>
    <w:p w14:paraId="52FA2F84" w14:textId="54B8D8A4" w:rsidR="005B3B59" w:rsidRDefault="005B3B59" w:rsidP="00253753">
      <w:pPr>
        <w:pStyle w:val="ListParagraph"/>
        <w:numPr>
          <w:ilvl w:val="0"/>
          <w:numId w:val="55"/>
        </w:numPr>
        <w:tabs>
          <w:tab w:val="left" w:pos="360"/>
        </w:tabs>
        <w:spacing w:after="120" w:line="240" w:lineRule="auto"/>
        <w:ind w:left="-90" w:firstLine="450"/>
        <w:rPr>
          <w:rFonts w:ascii="Times New Roman" w:hAnsi="Times New Roman"/>
          <w:bCs/>
          <w:iCs/>
          <w:color w:val="000000"/>
          <w:sz w:val="18"/>
          <w:szCs w:val="18"/>
          <w:lang w:val="en-CA"/>
        </w:rPr>
      </w:pPr>
      <w:bookmarkStart w:id="3" w:name="_Hlk121748687"/>
      <w:r w:rsidRPr="00BF4042">
        <w:rPr>
          <w:rFonts w:ascii="Times New Roman" w:hAnsi="Times New Roman"/>
          <w:bCs/>
          <w:iCs/>
          <w:color w:val="000000"/>
          <w:sz w:val="18"/>
          <w:szCs w:val="18"/>
          <w:lang w:val="en-CA"/>
        </w:rPr>
        <w:t>Ability to create different learner portals such as by language, region, etc. preferred</w:t>
      </w:r>
      <w:bookmarkEnd w:id="3"/>
      <w:r w:rsidR="000C1ACA">
        <w:rPr>
          <w:rFonts w:ascii="Times New Roman" w:hAnsi="Times New Roman"/>
          <w:bCs/>
          <w:iCs/>
          <w:color w:val="000000"/>
          <w:sz w:val="18"/>
          <w:szCs w:val="18"/>
          <w:lang w:val="en-CA"/>
        </w:rPr>
        <w:t>.</w:t>
      </w:r>
    </w:p>
    <w:p w14:paraId="2E87E873" w14:textId="77777777" w:rsidR="000C1ACA" w:rsidRPr="000C1ACA" w:rsidRDefault="000C1ACA" w:rsidP="000C1ACA">
      <w:pPr>
        <w:pStyle w:val="ListParagraph"/>
        <w:rPr>
          <w:rFonts w:ascii="Times New Roman" w:hAnsi="Times New Roman"/>
          <w:bCs/>
          <w:iCs/>
          <w:color w:val="000000"/>
          <w:sz w:val="18"/>
          <w:szCs w:val="18"/>
          <w:lang w:val="en-CA"/>
        </w:rPr>
      </w:pPr>
    </w:p>
    <w:p w14:paraId="525C0064" w14:textId="46A0F8B1" w:rsidR="000C1ACA" w:rsidRDefault="000C1ACA" w:rsidP="00253753">
      <w:pPr>
        <w:pStyle w:val="ListParagraph"/>
        <w:numPr>
          <w:ilvl w:val="0"/>
          <w:numId w:val="55"/>
        </w:numPr>
        <w:tabs>
          <w:tab w:val="left" w:pos="360"/>
        </w:tabs>
        <w:spacing w:after="120" w:line="240" w:lineRule="auto"/>
        <w:ind w:left="-90" w:firstLine="450"/>
        <w:rPr>
          <w:rFonts w:ascii="Times New Roman" w:hAnsi="Times New Roman"/>
          <w:bCs/>
          <w:iCs/>
          <w:color w:val="000000"/>
          <w:sz w:val="18"/>
          <w:szCs w:val="18"/>
          <w:lang w:val="en-CA"/>
        </w:rPr>
      </w:pPr>
      <w:r>
        <w:rPr>
          <w:rFonts w:ascii="Times New Roman" w:hAnsi="Times New Roman"/>
          <w:bCs/>
          <w:iCs/>
          <w:color w:val="000000"/>
          <w:sz w:val="18"/>
          <w:szCs w:val="18"/>
          <w:lang w:val="en-CA"/>
        </w:rPr>
        <w:t xml:space="preserve">The </w:t>
      </w:r>
      <w:r w:rsidRPr="000C1ACA">
        <w:rPr>
          <w:rFonts w:ascii="Times New Roman" w:hAnsi="Times New Roman"/>
          <w:bCs/>
          <w:iCs/>
          <w:color w:val="000000"/>
          <w:sz w:val="18"/>
          <w:szCs w:val="18"/>
          <w:lang w:val="en-CA"/>
        </w:rPr>
        <w:t xml:space="preserve">Hosted Services shall be available twenty-four (24) hours per day, 365 days per year, with an availability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(including uptime availability) of at least 99.9% as measured </w:t>
      </w:r>
      <w:proofErr w:type="gramStart"/>
      <w:r w:rsidRPr="000C1ACA">
        <w:rPr>
          <w:rFonts w:ascii="Times New Roman" w:hAnsi="Times New Roman"/>
          <w:bCs/>
          <w:iCs/>
          <w:color w:val="000000"/>
          <w:sz w:val="18"/>
          <w:szCs w:val="18"/>
          <w:lang w:val="en-CA"/>
        </w:rPr>
        <w:t>on a monthly basis</w:t>
      </w:r>
      <w:proofErr w:type="gramEnd"/>
      <w:r w:rsidRPr="000C1ACA">
        <w:rPr>
          <w:rFonts w:ascii="Times New Roman" w:hAnsi="Times New Roman"/>
          <w:bCs/>
          <w:iCs/>
          <w:color w:val="000000"/>
          <w:sz w:val="18"/>
          <w:szCs w:val="18"/>
          <w:lang w:val="en-CA"/>
        </w:rPr>
        <w:t xml:space="preserve">. In addition to its other remedies, in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the event that the Hosted Services fail to meet an availability of 99.9% in any calendar month, the JBE will be entitled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to a service credit equal to five percent of the monthly Hosted Services fee for each 30 minutes of unavailability below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100% in that month. All daily service credits accrued during a month will be aggregated to produce a total credit due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for that month. Contractor will provide a report to the JBE by the tenth day of each calendar month detailing the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percentage availability of the Hosted Services for the previous month. The report will be in a format, and contain such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information, as may be reasonably be required by the JBE. If the Hosted Services monthly availability averages less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than 100% for three (3) or more months in a rolling twelve-month period, the JBE may terminate in whole or in part the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 xml:space="preserve">Statement of Work or the Agreement for material breach. The service level credits and termination rights in this </w:t>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Pr>
          <w:rFonts w:ascii="Times New Roman" w:hAnsi="Times New Roman"/>
          <w:bCs/>
          <w:iCs/>
          <w:color w:val="000000"/>
          <w:sz w:val="18"/>
          <w:szCs w:val="18"/>
          <w:lang w:val="en-CA"/>
        </w:rPr>
        <w:tab/>
      </w:r>
      <w:r w:rsidRPr="000C1ACA">
        <w:rPr>
          <w:rFonts w:ascii="Times New Roman" w:hAnsi="Times New Roman"/>
          <w:bCs/>
          <w:iCs/>
          <w:color w:val="000000"/>
          <w:sz w:val="18"/>
          <w:szCs w:val="18"/>
          <w:lang w:val="en-CA"/>
        </w:rPr>
        <w:t>paragraph are in addition to the JBE’s other remedies under the Agreement.</w:t>
      </w:r>
    </w:p>
    <w:p w14:paraId="0DA359B8" w14:textId="0DB56478" w:rsidR="00454025" w:rsidRPr="000E3303" w:rsidRDefault="00454025" w:rsidP="00454025">
      <w:pPr>
        <w:spacing w:after="120" w:line="240" w:lineRule="auto"/>
        <w:rPr>
          <w:rFonts w:ascii="Times New Roman" w:hAnsi="Times New Roman"/>
          <w:b/>
          <w:i/>
          <w:sz w:val="18"/>
          <w:szCs w:val="18"/>
          <w:lang w:val="en-CA"/>
        </w:rPr>
      </w:pPr>
    </w:p>
    <w:p w14:paraId="4EB5A882" w14:textId="54422001" w:rsidR="00B01C86" w:rsidRPr="000E3303" w:rsidRDefault="00BF4042" w:rsidP="000114CB">
      <w:pPr>
        <w:numPr>
          <w:ilvl w:val="12"/>
          <w:numId w:val="0"/>
        </w:numPr>
        <w:tabs>
          <w:tab w:val="left" w:pos="360"/>
        </w:tabs>
        <w:spacing w:line="240" w:lineRule="auto"/>
        <w:rPr>
          <w:rFonts w:ascii="Times New Roman" w:hAnsi="Times New Roman"/>
          <w:b/>
          <w:sz w:val="18"/>
          <w:szCs w:val="18"/>
          <w:lang w:val="en-CA"/>
        </w:rPr>
      </w:pPr>
      <w:r>
        <w:rPr>
          <w:rFonts w:ascii="Times New Roman" w:hAnsi="Times New Roman"/>
          <w:b/>
          <w:sz w:val="18"/>
          <w:szCs w:val="18"/>
          <w:lang w:val="en-CA"/>
        </w:rPr>
        <w:t>4</w:t>
      </w:r>
      <w:r w:rsidR="00B01C86" w:rsidRPr="000E3303">
        <w:rPr>
          <w:rFonts w:ascii="Times New Roman" w:hAnsi="Times New Roman"/>
          <w:b/>
          <w:sz w:val="18"/>
          <w:szCs w:val="18"/>
          <w:lang w:val="en-CA"/>
        </w:rPr>
        <w:t>.</w:t>
      </w:r>
      <w:r w:rsidR="00B01C86"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00B01C86" w:rsidRPr="000E3303">
        <w:rPr>
          <w:rFonts w:ascii="Times New Roman" w:hAnsi="Times New Roman"/>
          <w:b/>
          <w:sz w:val="18"/>
          <w:szCs w:val="18"/>
          <w:u w:val="single"/>
          <w:lang w:val="en-CA"/>
        </w:rPr>
        <w:t>and Date(s) of Delivery</w:t>
      </w:r>
      <w:r w:rsidR="00B01C86" w:rsidRPr="000E3303">
        <w:rPr>
          <w:rFonts w:ascii="Times New Roman" w:hAnsi="Times New Roman"/>
          <w:b/>
          <w:sz w:val="18"/>
          <w:szCs w:val="18"/>
          <w:lang w:val="en-CA"/>
        </w:rPr>
        <w:t>.</w:t>
      </w:r>
    </w:p>
    <w:p w14:paraId="55AAFBAE" w14:textId="77777777" w:rsidR="009C3E5C" w:rsidRDefault="009C3E5C" w:rsidP="002D1988">
      <w:pPr>
        <w:numPr>
          <w:ilvl w:val="12"/>
          <w:numId w:val="0"/>
        </w:numPr>
        <w:spacing w:after="120" w:line="240" w:lineRule="auto"/>
        <w:rPr>
          <w:rFonts w:ascii="Times New Roman" w:hAnsi="Times New Roman"/>
          <w:b/>
          <w:i/>
          <w:color w:val="000000"/>
          <w:sz w:val="18"/>
          <w:szCs w:val="18"/>
          <w:lang w:val="en-CA"/>
        </w:rPr>
      </w:pPr>
    </w:p>
    <w:p w14:paraId="2A0E53B4" w14:textId="7A5CD02B" w:rsidR="00464D98" w:rsidRPr="000E3303" w:rsidRDefault="009C3E5C" w:rsidP="002D1988">
      <w:pPr>
        <w:numPr>
          <w:ilvl w:val="12"/>
          <w:numId w:val="0"/>
        </w:numPr>
        <w:spacing w:after="120" w:line="240" w:lineRule="auto"/>
        <w:rPr>
          <w:rFonts w:ascii="Times New Roman" w:hAnsi="Times New Roman"/>
          <w:b/>
          <w:i/>
          <w:sz w:val="18"/>
          <w:szCs w:val="18"/>
          <w:lang w:val="en-CA"/>
        </w:rPr>
      </w:pPr>
      <w:r w:rsidRPr="009C3E5C">
        <w:rPr>
          <w:rFonts w:ascii="Times New Roman" w:hAnsi="Times New Roman"/>
          <w:b/>
          <w:i/>
          <w:color w:val="000000"/>
          <w:sz w:val="18"/>
          <w:szCs w:val="18"/>
          <w:highlight w:val="yellow"/>
          <w:lang w:val="en-CA"/>
        </w:rPr>
        <w:t>[TBD</w:t>
      </w:r>
      <w:r w:rsidR="00B01C86" w:rsidRPr="009C3E5C">
        <w:rPr>
          <w:rFonts w:ascii="Times New Roman" w:hAnsi="Times New Roman"/>
          <w:b/>
          <w:i/>
          <w:color w:val="000000"/>
          <w:sz w:val="18"/>
          <w:szCs w:val="18"/>
          <w:highlight w:val="yellow"/>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38295707" w:rsidR="00B01C86" w:rsidRPr="000E3303" w:rsidRDefault="00AA6A43"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The Judicial Council of California</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footerReference w:type="default" r:id="rId1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0995AE3" w:rsidR="00CC3AFF" w:rsidRDefault="008F19C0" w:rsidP="000114CB">
      <w:pPr>
        <w:spacing w:line="240" w:lineRule="auto"/>
        <w:jc w:val="center"/>
        <w:rPr>
          <w:rFonts w:ascii="Times New Roman" w:hAnsi="Times New Roman"/>
          <w:b/>
          <w:sz w:val="18"/>
          <w:szCs w:val="18"/>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4640BACA" w14:textId="77777777" w:rsidR="00F8555C" w:rsidRPr="00B93DEF" w:rsidRDefault="00F8555C" w:rsidP="000114CB">
      <w:pPr>
        <w:spacing w:line="240" w:lineRule="auto"/>
        <w:jc w:val="center"/>
        <w:rPr>
          <w:rFonts w:ascii="Times New Roman" w:hAnsi="Times New Roman"/>
          <w:b/>
          <w:sz w:val="18"/>
          <w:szCs w:val="18"/>
          <w:u w:val="single"/>
        </w:rPr>
      </w:pP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1DD96B95" w14:textId="77777777" w:rsidR="005D362B" w:rsidRDefault="005D362B" w:rsidP="00F8555C">
      <w:pPr>
        <w:pStyle w:val="ListParagraph"/>
        <w:spacing w:line="240" w:lineRule="auto"/>
        <w:ind w:left="0"/>
        <w:rPr>
          <w:rFonts w:ascii="Times New Roman" w:hAnsi="Times New Roman"/>
          <w:b/>
          <w:i/>
          <w:sz w:val="18"/>
          <w:szCs w:val="18"/>
          <w:highlight w:val="yellow"/>
        </w:rPr>
      </w:pPr>
    </w:p>
    <w:p w14:paraId="0E01FA5E" w14:textId="6D34CE40" w:rsidR="00490B1A" w:rsidRPr="00F8555C" w:rsidRDefault="00490B1A" w:rsidP="00F8555C">
      <w:pPr>
        <w:pStyle w:val="ListParagraph"/>
        <w:spacing w:line="240" w:lineRule="auto"/>
        <w:ind w:left="0"/>
        <w:rPr>
          <w:rFonts w:ascii="Times New Roman" w:hAnsi="Times New Roman"/>
          <w:b/>
          <w:bCs/>
          <w:sz w:val="18"/>
          <w:szCs w:val="18"/>
        </w:rPr>
      </w:pPr>
      <w:r w:rsidRPr="00B93DEF">
        <w:rPr>
          <w:rFonts w:ascii="Times New Roman" w:hAnsi="Times New Roman"/>
          <w:b/>
          <w:i/>
          <w:sz w:val="18"/>
          <w:szCs w:val="18"/>
          <w:highlight w:val="yellow"/>
        </w:rPr>
        <w:t>[</w:t>
      </w:r>
      <w:r w:rsidR="00F8555C">
        <w:rPr>
          <w:rFonts w:ascii="Times New Roman" w:hAnsi="Times New Roman"/>
          <w:b/>
          <w:i/>
          <w:sz w:val="18"/>
          <w:szCs w:val="18"/>
          <w:highlight w:val="yellow"/>
        </w:rPr>
        <w:t>TBD</w:t>
      </w:r>
      <w:r w:rsidR="00AD54F2" w:rsidRPr="00F8555C">
        <w:rPr>
          <w:rFonts w:ascii="Times New Roman" w:hAnsi="Times New Roman"/>
          <w:b/>
          <w:bCs/>
          <w:i/>
          <w:sz w:val="18"/>
          <w:szCs w:val="18"/>
          <w:highlight w:val="yellow"/>
        </w:rPr>
        <w:t>]</w:t>
      </w:r>
    </w:p>
    <w:p w14:paraId="7CEEA74F" w14:textId="54E5A074" w:rsidR="00490B1A" w:rsidRPr="00B93DEF" w:rsidRDefault="00490B1A" w:rsidP="00B004E6">
      <w:pPr>
        <w:pStyle w:val="ListParagraph"/>
        <w:numPr>
          <w:ilvl w:val="0"/>
          <w:numId w:val="43"/>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p>
    <w:p w14:paraId="6A95869F" w14:textId="255B3807" w:rsidR="00490B1A" w:rsidRDefault="00490B1A" w:rsidP="000114CB">
      <w:pPr>
        <w:tabs>
          <w:tab w:val="left" w:pos="720"/>
          <w:tab w:val="left" w:pos="1080"/>
        </w:tabs>
        <w:spacing w:before="120" w:line="240" w:lineRule="auto"/>
        <w:rPr>
          <w:rFonts w:ascii="Times New Roman" w:hAnsi="Times New Roman"/>
          <w:b/>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r w:rsidR="0026104D" w:rsidRPr="0026104D">
        <w:rPr>
          <w:rFonts w:ascii="Times New Roman" w:hAnsi="Times New Roman"/>
          <w:b/>
          <w:bCs/>
          <w:i/>
          <w:iCs/>
          <w:sz w:val="18"/>
          <w:szCs w:val="18"/>
        </w:rPr>
        <w:t>Not Applicable.</w:t>
      </w:r>
    </w:p>
    <w:p w14:paraId="3952AE87" w14:textId="77777777" w:rsidR="0026104D" w:rsidRPr="00B93DEF" w:rsidRDefault="0026104D" w:rsidP="000114CB">
      <w:pPr>
        <w:tabs>
          <w:tab w:val="left" w:pos="720"/>
          <w:tab w:val="left" w:pos="1080"/>
        </w:tabs>
        <w:spacing w:before="120" w:line="240" w:lineRule="auto"/>
        <w:rPr>
          <w:rFonts w:ascii="Times New Roman" w:hAnsi="Times New Roman"/>
          <w:i/>
          <w:sz w:val="18"/>
          <w:szCs w:val="18"/>
        </w:rPr>
      </w:pPr>
    </w:p>
    <w:p w14:paraId="4C34EE04" w14:textId="08495264" w:rsidR="00490B1A"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7FEA8E68" w14:textId="77777777" w:rsidR="005D362B" w:rsidRPr="00B93DEF" w:rsidRDefault="005D362B" w:rsidP="005D362B">
      <w:pPr>
        <w:pStyle w:val="ListParagraph"/>
        <w:widowControl w:val="0"/>
        <w:spacing w:after="120" w:line="240" w:lineRule="auto"/>
        <w:ind w:left="0"/>
        <w:rPr>
          <w:rFonts w:ascii="Times New Roman" w:hAnsi="Times New Roman"/>
          <w:b/>
          <w:bCs/>
          <w:sz w:val="18"/>
          <w:szCs w:val="18"/>
          <w:u w:val="single"/>
        </w:rPr>
      </w:pPr>
    </w:p>
    <w:p w14:paraId="15A4EC44" w14:textId="1BC34866" w:rsidR="0026104D" w:rsidRDefault="00490B1A" w:rsidP="0026104D">
      <w:pPr>
        <w:pStyle w:val="ListParagraph"/>
        <w:widowControl w:val="0"/>
        <w:numPr>
          <w:ilvl w:val="1"/>
          <w:numId w:val="43"/>
        </w:numPr>
        <w:tabs>
          <w:tab w:val="left" w:pos="1440"/>
        </w:tabs>
        <w:spacing w:after="120" w:line="240" w:lineRule="auto"/>
        <w:rPr>
          <w:rFonts w:ascii="Times New Roman" w:hAnsi="Times New Roman"/>
          <w:bCs/>
          <w:sz w:val="18"/>
          <w:szCs w:val="18"/>
        </w:rPr>
      </w:pPr>
      <w:r w:rsidRPr="0026104D">
        <w:rPr>
          <w:rFonts w:ascii="Times New Roman" w:hAnsi="Times New Roman"/>
          <w:sz w:val="18"/>
          <w:szCs w:val="18"/>
          <w:u w:val="single"/>
        </w:rPr>
        <w:t>Invoicing</w:t>
      </w:r>
      <w:r w:rsidRPr="0026104D">
        <w:rPr>
          <w:rFonts w:ascii="Times New Roman" w:hAnsi="Times New Roman"/>
          <w:sz w:val="18"/>
          <w:szCs w:val="18"/>
        </w:rPr>
        <w:t xml:space="preserve">. </w:t>
      </w:r>
      <w:r w:rsidR="0026104D" w:rsidRPr="0026104D">
        <w:rPr>
          <w:rFonts w:ascii="Times New Roman" w:hAnsi="Times New Roman"/>
          <w:bCs/>
          <w:sz w:val="18"/>
          <w:szCs w:val="18"/>
          <w:u w:val="single"/>
        </w:rPr>
        <w:t>Invoicing</w:t>
      </w:r>
      <w:r w:rsidR="0026104D" w:rsidRPr="0026104D">
        <w:rPr>
          <w:rFonts w:ascii="Times New Roman" w:hAnsi="Times New Roman"/>
          <w:bCs/>
          <w:sz w:val="18"/>
          <w:szCs w:val="18"/>
        </w:rPr>
        <w:t xml:space="preserve">. Contractor’s invoices must include information and supporting documentation, including a workload report in the form the JBE may specify from time to time. Contractor shall adhere to reasonable billing guidelines issued by the JBE from time to time. Contractor shall invoice the JBE for the applicable fees upon Acceptance of </w:t>
      </w:r>
      <w:r w:rsidR="0026104D" w:rsidRPr="003774A8">
        <w:rPr>
          <w:rFonts w:ascii="Times New Roman" w:hAnsi="Times New Roman"/>
          <w:bCs/>
          <w:sz w:val="18"/>
          <w:szCs w:val="18"/>
        </w:rPr>
        <w:t>each Deliverable</w:t>
      </w:r>
      <w:r w:rsidR="0026104D" w:rsidRPr="0026104D">
        <w:rPr>
          <w:rFonts w:ascii="Times New Roman" w:hAnsi="Times New Roman"/>
          <w:bCs/>
          <w:color w:val="FF0000"/>
          <w:sz w:val="18"/>
          <w:szCs w:val="18"/>
        </w:rPr>
        <w:t xml:space="preserve"> </w:t>
      </w:r>
      <w:r w:rsidR="0026104D" w:rsidRPr="0026104D">
        <w:rPr>
          <w:rFonts w:ascii="Times New Roman" w:hAnsi="Times New Roman"/>
          <w:bCs/>
          <w:sz w:val="18"/>
          <w:szCs w:val="18"/>
        </w:rPr>
        <w:t xml:space="preserve">by the JBE and in accordance with payment milestones and schedules under this Agreement). </w:t>
      </w:r>
      <w:r w:rsidR="0026104D" w:rsidRPr="0026104D">
        <w:rPr>
          <w:rFonts w:ascii="Times New Roman" w:hAnsi="Times New Roman"/>
          <w:b/>
          <w:bCs/>
          <w:sz w:val="18"/>
          <w:szCs w:val="18"/>
        </w:rPr>
        <w:t>The</w:t>
      </w:r>
      <w:r w:rsidR="0026104D" w:rsidRPr="0026104D">
        <w:rPr>
          <w:rFonts w:ascii="Times New Roman" w:hAnsi="Times New Roman"/>
          <w:bCs/>
          <w:sz w:val="18"/>
          <w:szCs w:val="18"/>
        </w:rPr>
        <w:t xml:space="preserve"> </w:t>
      </w:r>
      <w:r w:rsidR="0026104D" w:rsidRPr="0026104D">
        <w:rPr>
          <w:rFonts w:ascii="Times New Roman" w:hAnsi="Times New Roman"/>
          <w:b/>
          <w:bCs/>
          <w:sz w:val="18"/>
          <w:szCs w:val="18"/>
        </w:rPr>
        <w:t>JBE will not make any advance payment for the Work</w:t>
      </w:r>
      <w:r w:rsidR="0026104D" w:rsidRPr="0026104D">
        <w:rPr>
          <w:rFonts w:ascii="Times New Roman" w:hAnsi="Times New Roman"/>
          <w:bCs/>
          <w:sz w:val="18"/>
          <w:szCs w:val="18"/>
        </w:rPr>
        <w:t xml:space="preserve">, </w:t>
      </w:r>
      <w:r w:rsidR="0026104D" w:rsidRPr="0026104D">
        <w:rPr>
          <w:rFonts w:ascii="Times New Roman" w:hAnsi="Times New Roman"/>
          <w:b/>
          <w:bCs/>
          <w:sz w:val="18"/>
          <w:szCs w:val="18"/>
        </w:rPr>
        <w:t>but the Judicial Council may pay annual software subscription in advance upon receipt of an invoice for each authorized 12-month period</w:t>
      </w:r>
      <w:r w:rsidR="0026104D" w:rsidRPr="0026104D">
        <w:rPr>
          <w:rFonts w:ascii="Times New Roman" w:hAnsi="Times New Roman"/>
          <w:bCs/>
          <w:sz w:val="18"/>
          <w:szCs w:val="18"/>
        </w:rPr>
        <w:t>.  Contractor shall provide invoices with the level of detail reasonably requested by the JBE. The JBE will pay each correct, itemized invoice received from Contractor after Acceptance, in accordance with the terms hereof. The JBE will not owe any amounts until the Licensed Software and its installation has been accepted by the JBE</w:t>
      </w:r>
      <w:r w:rsidR="0026104D">
        <w:rPr>
          <w:rFonts w:ascii="Times New Roman" w:hAnsi="Times New Roman"/>
          <w:bCs/>
          <w:sz w:val="18"/>
          <w:szCs w:val="18"/>
        </w:rPr>
        <w:t>.</w:t>
      </w:r>
    </w:p>
    <w:p w14:paraId="2DBD346B" w14:textId="77777777" w:rsidR="0026104D" w:rsidRPr="0026104D" w:rsidRDefault="0026104D" w:rsidP="0026104D">
      <w:pPr>
        <w:pStyle w:val="ListParagraph"/>
        <w:widowControl w:val="0"/>
        <w:tabs>
          <w:tab w:val="left" w:pos="1440"/>
        </w:tabs>
        <w:spacing w:after="120" w:line="240" w:lineRule="auto"/>
        <w:ind w:left="1440"/>
        <w:rPr>
          <w:rFonts w:ascii="Times New Roman" w:hAnsi="Times New Roman"/>
          <w:bCs/>
          <w:sz w:val="18"/>
          <w:szCs w:val="18"/>
        </w:rPr>
      </w:pPr>
    </w:p>
    <w:p w14:paraId="6829A13D" w14:textId="4E90ABA9" w:rsidR="00A5476A" w:rsidRDefault="00490B1A" w:rsidP="0026104D">
      <w:pPr>
        <w:pStyle w:val="ListParagraph"/>
        <w:widowControl w:val="0"/>
        <w:numPr>
          <w:ilvl w:val="1"/>
          <w:numId w:val="43"/>
        </w:numPr>
        <w:tabs>
          <w:tab w:val="left" w:pos="1440"/>
        </w:tabs>
        <w:spacing w:after="120" w:line="240" w:lineRule="auto"/>
        <w:rPr>
          <w:rFonts w:ascii="Times New Roman" w:hAnsi="Times New Roman"/>
          <w:sz w:val="18"/>
          <w:szCs w:val="18"/>
        </w:rPr>
      </w:pPr>
      <w:r w:rsidRPr="0026104D">
        <w:rPr>
          <w:rFonts w:ascii="Times New Roman" w:hAnsi="Times New Roman"/>
          <w:sz w:val="18"/>
          <w:szCs w:val="18"/>
          <w:u w:val="single"/>
        </w:rPr>
        <w:t>Availability of Funds</w:t>
      </w:r>
      <w:r w:rsidRPr="0026104D">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36B39D3E" w14:textId="77777777" w:rsidR="0026104D" w:rsidRPr="0026104D" w:rsidRDefault="0026104D" w:rsidP="0026104D">
      <w:pPr>
        <w:pStyle w:val="ListParagraph"/>
        <w:rPr>
          <w:rFonts w:ascii="Times New Roman" w:hAnsi="Times New Roman"/>
          <w:sz w:val="18"/>
          <w:szCs w:val="18"/>
        </w:rPr>
      </w:pPr>
    </w:p>
    <w:p w14:paraId="1F16547A" w14:textId="3F5917B0" w:rsidR="0026104D" w:rsidRPr="0026104D" w:rsidRDefault="0026104D" w:rsidP="0026104D">
      <w:pPr>
        <w:pStyle w:val="ListParagraph"/>
        <w:widowControl w:val="0"/>
        <w:numPr>
          <w:ilvl w:val="1"/>
          <w:numId w:val="43"/>
        </w:numPr>
        <w:tabs>
          <w:tab w:val="left" w:pos="1440"/>
        </w:tabs>
        <w:spacing w:after="120" w:line="240" w:lineRule="auto"/>
        <w:rPr>
          <w:rFonts w:ascii="Times New Roman" w:hAnsi="Times New Roman"/>
          <w:sz w:val="18"/>
          <w:szCs w:val="18"/>
        </w:rPr>
      </w:pPr>
      <w:r w:rsidRPr="0026104D">
        <w:rPr>
          <w:rFonts w:ascii="Times New Roman" w:hAnsi="Times New Roman"/>
          <w:sz w:val="18"/>
          <w:szCs w:val="18"/>
        </w:rPr>
        <w:t xml:space="preserve">The Judicial Council standard business payment terms are net sixty </w:t>
      </w:r>
      <w:r w:rsidRPr="0026104D">
        <w:rPr>
          <w:rFonts w:ascii="Times New Roman" w:hAnsi="Times New Roman"/>
          <w:b/>
          <w:bCs/>
          <w:sz w:val="18"/>
          <w:szCs w:val="18"/>
        </w:rPr>
        <w:t>(60)</w:t>
      </w:r>
      <w:r w:rsidRPr="0026104D">
        <w:rPr>
          <w:rFonts w:ascii="Times New Roman" w:hAnsi="Times New Roman"/>
          <w:sz w:val="18"/>
          <w:szCs w:val="18"/>
        </w:rPr>
        <w:t xml:space="preserve"> days after receipt of correct invoice.</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5"/>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6"/>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4" w:name="_Ref66686748"/>
      <w:bookmarkStart w:id="5" w:name="_Ref65984472"/>
      <w:bookmarkEnd w:id="2"/>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4"/>
      <w:bookmarkEnd w:id="5"/>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proofErr w:type="gramStart"/>
      <w:r w:rsidR="00A82317" w:rsidRPr="007A0CA1">
        <w:rPr>
          <w:rFonts w:ascii="Times New Roman" w:hAnsi="Times New Roman"/>
          <w:sz w:val="20"/>
        </w:rPr>
        <w:t>materials</w:t>
      </w:r>
      <w:proofErr w:type="gramEnd"/>
      <w:r w:rsidR="00A82317" w:rsidRPr="007A0CA1">
        <w:rPr>
          <w:rFonts w:ascii="Times New Roman" w:hAnsi="Times New Roman"/>
          <w:sz w:val="20"/>
        </w:rPr>
        <w:t xml:space="preserve">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6"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6"/>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7"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w:t>
      </w:r>
      <w:proofErr w:type="gramStart"/>
      <w:r w:rsidR="00873C10" w:rsidRPr="009424EC">
        <w:rPr>
          <w:rFonts w:ascii="Times New Roman" w:hAnsi="Times New Roman"/>
          <w:b w:val="0"/>
          <w:sz w:val="20"/>
        </w:rPr>
        <w:t>expenses</w:t>
      </w:r>
      <w:proofErr w:type="gramEnd"/>
      <w:r w:rsidR="00873C10" w:rsidRPr="009424EC">
        <w:rPr>
          <w:rFonts w:ascii="Times New Roman" w:hAnsi="Times New Roman"/>
          <w:b w:val="0"/>
          <w:sz w:val="20"/>
        </w:rPr>
        <w:t xml:space="preserve">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7"/>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8"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8"/>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9"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9"/>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10" w:name="_Toc18745168"/>
      <w:bookmarkStart w:id="11" w:name="_Ref31438237"/>
      <w:bookmarkStart w:id="12" w:name="_Toc44496190"/>
      <w:bookmarkStart w:id="13" w:name="_Ref46894384"/>
      <w:bookmarkStart w:id="14" w:name="_Ref47769531"/>
      <w:bookmarkStart w:id="15" w:name="_Toc47870567"/>
      <w:bookmarkStart w:id="16" w:name="_Toc57173675"/>
      <w:bookmarkStart w:id="17"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10"/>
      <w:bookmarkEnd w:id="11"/>
      <w:bookmarkEnd w:id="12"/>
      <w:bookmarkEnd w:id="13"/>
      <w:bookmarkEnd w:id="14"/>
      <w:bookmarkEnd w:id="15"/>
      <w:bookmarkEnd w:id="16"/>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07E1ED8B"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7"/>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8" w:name="_Ref15656287"/>
      <w:bookmarkStart w:id="19" w:name="_Toc18745195"/>
      <w:bookmarkStart w:id="20" w:name="_Toc32404058"/>
      <w:bookmarkStart w:id="21"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8"/>
      <w:bookmarkEnd w:id="19"/>
      <w:bookmarkEnd w:id="20"/>
      <w:bookmarkEnd w:id="21"/>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2" w:name="_Toc18745197"/>
      <w:bookmarkStart w:id="23" w:name="_Ref22615125"/>
      <w:bookmarkStart w:id="24" w:name="_Toc32404060"/>
      <w:bookmarkStart w:id="25"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w:t>
      </w:r>
      <w:proofErr w:type="gramStart"/>
      <w:r w:rsidR="00E6655A">
        <w:rPr>
          <w:rFonts w:ascii="Times New Roman" w:hAnsi="Times New Roman"/>
          <w:b w:val="0"/>
          <w:sz w:val="20"/>
          <w:szCs w:val="20"/>
        </w:rPr>
        <w:t>Contractor</w:t>
      </w:r>
      <w:proofErr w:type="gramEnd"/>
      <w:r w:rsidR="00E6655A">
        <w:rPr>
          <w:rFonts w:ascii="Times New Roman" w:hAnsi="Times New Roman"/>
          <w:b w:val="0"/>
          <w:sz w:val="20"/>
          <w:szCs w:val="20"/>
        </w:rPr>
        <w:t xml:space="preserve">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proofErr w:type="gramStart"/>
      <w:r w:rsidRPr="008D36CD">
        <w:rPr>
          <w:rFonts w:ascii="Times New Roman" w:hAnsi="Times New Roman"/>
          <w:b w:val="0"/>
          <w:sz w:val="20"/>
          <w:szCs w:val="20"/>
        </w:rPr>
        <w:t>to, or</w:t>
      </w:r>
      <w:proofErr w:type="gramEnd"/>
      <w:r w:rsidRPr="008D36CD">
        <w:rPr>
          <w:rFonts w:ascii="Times New Roman" w:hAnsi="Times New Roman"/>
          <w:b w:val="0"/>
          <w:sz w:val="20"/>
          <w:szCs w:val="20"/>
        </w:rPr>
        <w:t xml:space="preserve">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proofErr w:type="gramStart"/>
      <w:r w:rsidRPr="008D36CD">
        <w:rPr>
          <w:rFonts w:ascii="Times New Roman" w:hAnsi="Times New Roman"/>
          <w:b w:val="0"/>
          <w:sz w:val="20"/>
          <w:szCs w:val="20"/>
        </w:rPr>
        <w:t>JBE Data, and</w:t>
      </w:r>
      <w:proofErr w:type="gramEnd"/>
      <w:r w:rsidRPr="008D36CD">
        <w:rPr>
          <w:rFonts w:ascii="Times New Roman" w:hAnsi="Times New Roman"/>
          <w:b w:val="0"/>
          <w:sz w:val="20"/>
          <w:szCs w:val="20"/>
        </w:rPr>
        <w:t xml:space="preserve">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w:t>
      </w:r>
      <w:proofErr w:type="gramStart"/>
      <w:r w:rsidRPr="008D36CD">
        <w:rPr>
          <w:rFonts w:ascii="Times New Roman" w:hAnsi="Times New Roman"/>
          <w:b w:val="0"/>
          <w:sz w:val="20"/>
          <w:szCs w:val="20"/>
        </w:rPr>
        <w:t>modification</w:t>
      </w:r>
      <w:proofErr w:type="gramEnd"/>
      <w:r w:rsidRPr="008D36CD">
        <w:rPr>
          <w:rFonts w:ascii="Times New Roman" w:hAnsi="Times New Roman"/>
          <w:b w:val="0"/>
          <w:sz w:val="20"/>
          <w:szCs w:val="20"/>
        </w:rPr>
        <w:t xml:space="preserve">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xml:space="preserve">) the data accessed, </w:t>
      </w:r>
      <w:proofErr w:type="gramStart"/>
      <w:r w:rsidRPr="008D36CD">
        <w:rPr>
          <w:rFonts w:ascii="Times New Roman" w:hAnsi="Times New Roman"/>
          <w:b w:val="0"/>
          <w:sz w:val="20"/>
          <w:szCs w:val="20"/>
        </w:rPr>
        <w:t>used</w:t>
      </w:r>
      <w:proofErr w:type="gramEnd"/>
      <w:r w:rsidRPr="008D36CD">
        <w:rPr>
          <w:rFonts w:ascii="Times New Roman" w:hAnsi="Times New Roman"/>
          <w:b w:val="0"/>
          <w:sz w:val="20"/>
          <w:szCs w:val="20"/>
        </w:rPr>
        <w:t xml:space="preserve">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xml:space="preserve">. Contractor shall </w:t>
      </w:r>
      <w:proofErr w:type="gramStart"/>
      <w:r w:rsidRPr="008D36CD">
        <w:rPr>
          <w:rFonts w:ascii="Times New Roman" w:hAnsi="Times New Roman"/>
          <w:b w:val="0"/>
          <w:sz w:val="20"/>
          <w:szCs w:val="20"/>
        </w:rPr>
        <w:t>conduct an investigation</w:t>
      </w:r>
      <w:proofErr w:type="gramEnd"/>
      <w:r w:rsidRPr="008D36CD">
        <w:rPr>
          <w:rFonts w:ascii="Times New Roman" w:hAnsi="Times New Roman"/>
          <w:b w:val="0"/>
          <w:sz w:val="20"/>
          <w:szCs w:val="20"/>
        </w:rPr>
        <w:t xml:space="preserve">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 xml:space="preserve">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w:t>
      </w:r>
      <w:proofErr w:type="gramStart"/>
      <w:r w:rsidR="00F42C4D">
        <w:rPr>
          <w:rFonts w:ascii="Times New Roman" w:hAnsi="Times New Roman"/>
          <w:b w:val="0"/>
          <w:sz w:val="20"/>
        </w:rPr>
        <w:t>in order to</w:t>
      </w:r>
      <w:proofErr w:type="gramEnd"/>
      <w:r w:rsidR="00F42C4D">
        <w:rPr>
          <w:rFonts w:ascii="Times New Roman" w:hAnsi="Times New Roman"/>
          <w:b w:val="0"/>
          <w:sz w:val="20"/>
        </w:rPr>
        <w:t xml:space="preserve">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BC3B05E"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w:t>
      </w:r>
      <w:r w:rsidR="009C3E5C">
        <w:rPr>
          <w:rFonts w:ascii="Times New Roman" w:hAnsi="Times New Roman"/>
          <w:b w:val="0"/>
          <w:sz w:val="20"/>
          <w:szCs w:val="20"/>
        </w:rPr>
        <w:tab/>
      </w:r>
      <w:r w:rsidRPr="008D36CD">
        <w:rPr>
          <w:rFonts w:ascii="Times New Roman" w:hAnsi="Times New Roman"/>
          <w:b w:val="0"/>
          <w:sz w:val="20"/>
          <w:szCs w:val="20"/>
        </w:rPr>
        <w:t xml:space="preserve">data storage media), and disaster recovery facilities (if applicable) shall be located in the continental United </w:t>
      </w:r>
      <w:proofErr w:type="gramStart"/>
      <w:r w:rsidRPr="008D36CD">
        <w:rPr>
          <w:rFonts w:ascii="Times New Roman" w:hAnsi="Times New Roman"/>
          <w:b w:val="0"/>
          <w:sz w:val="20"/>
          <w:szCs w:val="20"/>
        </w:rPr>
        <w:t>States;</w:t>
      </w:r>
      <w:proofErr w:type="gramEnd"/>
    </w:p>
    <w:p w14:paraId="61ACFCA5" w14:textId="429542A1"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w:t>
      </w:r>
      <w:r w:rsidR="00307D4C">
        <w:rPr>
          <w:rFonts w:ascii="Times New Roman" w:hAnsi="Times New Roman"/>
          <w:b w:val="0"/>
          <w:sz w:val="20"/>
          <w:szCs w:val="20"/>
        </w:rPr>
        <w:t xml:space="preserve">daily </w:t>
      </w:r>
      <w:r w:rsidRPr="008D36CD">
        <w:rPr>
          <w:rFonts w:ascii="Times New Roman" w:hAnsi="Times New Roman"/>
          <w:b w:val="0"/>
          <w:sz w:val="20"/>
          <w:szCs w:val="20"/>
        </w:rPr>
        <w:t>full backup of all JBE Data</w:t>
      </w:r>
      <w:r w:rsidR="009C3E5C">
        <w:rPr>
          <w:rFonts w:ascii="Times New Roman" w:hAnsi="Times New Roman"/>
          <w:b w:val="0"/>
          <w:sz w:val="20"/>
          <w:szCs w:val="20"/>
        </w:rPr>
        <w:t>, weekly full, and last full monthly backup is retained for 1 year.</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periodic incremental backup of all JBE </w:t>
      </w:r>
      <w:proofErr w:type="gramStart"/>
      <w:r w:rsidRPr="008D36CD">
        <w:rPr>
          <w:rFonts w:ascii="Times New Roman" w:hAnsi="Times New Roman"/>
          <w:b w:val="0"/>
          <w:sz w:val="20"/>
          <w:szCs w:val="20"/>
        </w:rPr>
        <w:t>Data</w:t>
      </w:r>
      <w:r w:rsidR="00A30ED8" w:rsidRPr="008D36CD">
        <w:rPr>
          <w:rFonts w:ascii="Times New Roman" w:hAnsi="Times New Roman"/>
          <w:b w:val="0"/>
          <w:sz w:val="20"/>
          <w:szCs w:val="20"/>
        </w:rPr>
        <w:t>;</w:t>
      </w:r>
      <w:proofErr w:type="gramEnd"/>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recover data from the JBE Data backup </w:t>
      </w:r>
      <w:proofErr w:type="gramStart"/>
      <w:r w:rsidRPr="008D36CD">
        <w:rPr>
          <w:rFonts w:ascii="Times New Roman" w:hAnsi="Times New Roman"/>
          <w:b w:val="0"/>
          <w:sz w:val="20"/>
          <w:szCs w:val="20"/>
        </w:rPr>
        <w:t>copy</w:t>
      </w:r>
      <w:r w:rsidR="00A30ED8" w:rsidRPr="008D36CD">
        <w:rPr>
          <w:rFonts w:ascii="Times New Roman" w:hAnsi="Times New Roman"/>
          <w:b w:val="0"/>
          <w:sz w:val="20"/>
          <w:szCs w:val="20"/>
        </w:rPr>
        <w:t>;</w:t>
      </w:r>
      <w:proofErr w:type="gramEnd"/>
    </w:p>
    <w:p w14:paraId="08574431" w14:textId="01BD26D4"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w:t>
      </w:r>
      <w:proofErr w:type="gramStart"/>
      <w:r w:rsidRPr="008D36CD">
        <w:rPr>
          <w:rFonts w:ascii="Times New Roman" w:hAnsi="Times New Roman"/>
          <w:b w:val="0"/>
          <w:sz w:val="20"/>
          <w:szCs w:val="20"/>
        </w:rPr>
        <w:t>machine readable</w:t>
      </w:r>
      <w:proofErr w:type="gramEnd"/>
      <w:r w:rsidRPr="008D36CD">
        <w:rPr>
          <w:rFonts w:ascii="Times New Roman" w:hAnsi="Times New Roman"/>
          <w:b w:val="0"/>
          <w:sz w:val="20"/>
          <w:szCs w:val="20"/>
        </w:rPr>
        <w:t xml:space="preserve"> format, and have the </w:t>
      </w:r>
      <w:r w:rsidR="00307D4C">
        <w:rPr>
          <w:rFonts w:ascii="Times New Roman" w:hAnsi="Times New Roman"/>
          <w:b w:val="0"/>
          <w:sz w:val="20"/>
          <w:szCs w:val="20"/>
        </w:rPr>
        <w:tab/>
      </w:r>
      <w:r w:rsidRPr="008D36CD">
        <w:rPr>
          <w:rFonts w:ascii="Times New Roman" w:hAnsi="Times New Roman"/>
          <w:b w:val="0"/>
          <w:sz w:val="20"/>
          <w:szCs w:val="20"/>
        </w:rPr>
        <w:t xml:space="preserve">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proofErr w:type="gramStart"/>
      <w:r w:rsidRPr="008D36CD">
        <w:rPr>
          <w:rFonts w:ascii="Times New Roman" w:hAnsi="Times New Roman"/>
          <w:b w:val="0"/>
          <w:sz w:val="20"/>
          <w:szCs w:val="20"/>
        </w:rPr>
        <w:t>)</w:t>
      </w:r>
      <w:r w:rsidR="00A30ED8" w:rsidRPr="008D36CD">
        <w:rPr>
          <w:rFonts w:ascii="Times New Roman" w:hAnsi="Times New Roman"/>
          <w:b w:val="0"/>
          <w:sz w:val="20"/>
          <w:szCs w:val="20"/>
        </w:rPr>
        <w:t>;</w:t>
      </w:r>
      <w:proofErr w:type="gramEnd"/>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shall also be performed</w:t>
      </w:r>
      <w:proofErr w:type="gramStart"/>
      <w:r w:rsidR="00E85DAB" w:rsidRPr="008D36CD">
        <w:rPr>
          <w:rFonts w:ascii="Times New Roman" w:hAnsi="Times New Roman"/>
          <w:b w:val="0"/>
          <w:sz w:val="20"/>
          <w:szCs w:val="20"/>
        </w:rPr>
        <w:t>);</w:t>
      </w:r>
      <w:proofErr w:type="gramEnd"/>
      <w:r w:rsidR="00E85DAB" w:rsidRPr="008D36CD">
        <w:rPr>
          <w:rFonts w:ascii="Times New Roman" w:hAnsi="Times New Roman"/>
          <w:b w:val="0"/>
          <w:sz w:val="20"/>
          <w:szCs w:val="20"/>
        </w:rPr>
        <w:t xml:space="preserve"> </w:t>
      </w:r>
      <w:r w:rsidRPr="008D36CD">
        <w:rPr>
          <w:rFonts w:ascii="Times New Roman" w:hAnsi="Times New Roman"/>
          <w:b w:val="0"/>
          <w:sz w:val="20"/>
          <w:szCs w:val="20"/>
        </w:rPr>
        <w:t xml:space="preserve"> </w:t>
      </w:r>
    </w:p>
    <w:p w14:paraId="22026312" w14:textId="508739FA"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 xml:space="preserve">offsite in a fire-protected, secure area, geographically </w:t>
      </w:r>
      <w:r w:rsidR="00307D4C">
        <w:rPr>
          <w:rFonts w:ascii="Times New Roman" w:hAnsi="Times New Roman"/>
          <w:b w:val="0"/>
          <w:sz w:val="20"/>
          <w:szCs w:val="20"/>
        </w:rPr>
        <w:tab/>
      </w:r>
      <w:r w:rsidRPr="008D36CD">
        <w:rPr>
          <w:rFonts w:ascii="Times New Roman" w:hAnsi="Times New Roman"/>
          <w:b w:val="0"/>
          <w:sz w:val="20"/>
          <w:szCs w:val="20"/>
        </w:rPr>
        <w:t>separate from the primary datacenter</w:t>
      </w:r>
      <w:r w:rsidR="00E85DAB" w:rsidRPr="008D36CD">
        <w:rPr>
          <w:rFonts w:ascii="Times New Roman" w:hAnsi="Times New Roman"/>
          <w:b w:val="0"/>
          <w:sz w:val="20"/>
          <w:szCs w:val="20"/>
        </w:rPr>
        <w:t>; and</w:t>
      </w:r>
    </w:p>
    <w:p w14:paraId="0DA909A7" w14:textId="6EC8170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 xml:space="preserve">disaster recovery processes and procedures in accordance with the </w:t>
      </w:r>
      <w:r w:rsidR="00307D4C">
        <w:rPr>
          <w:rFonts w:ascii="Times New Roman" w:hAnsi="Times New Roman"/>
          <w:b w:val="0"/>
          <w:sz w:val="20"/>
          <w:szCs w:val="20"/>
        </w:rPr>
        <w:tab/>
      </w:r>
      <w:r w:rsidRPr="008D36CD">
        <w:rPr>
          <w:rFonts w:ascii="Times New Roman" w:hAnsi="Times New Roman"/>
          <w:b w:val="0"/>
          <w:sz w:val="20"/>
          <w:szCs w:val="20"/>
        </w:rPr>
        <w:t>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0AACC182" w14:textId="0EC70474" w:rsidR="005B25CB" w:rsidRPr="00C7373D" w:rsidRDefault="0054129C" w:rsidP="00501FDE">
      <w:pPr>
        <w:pStyle w:val="Heading3"/>
        <w:keepNext w:val="0"/>
        <w:widowControl w:val="0"/>
        <w:tabs>
          <w:tab w:val="left" w:pos="720"/>
          <w:tab w:val="num" w:pos="2160"/>
        </w:tabs>
        <w:spacing w:before="0" w:after="0" w:line="240" w:lineRule="auto"/>
        <w:rPr>
          <w:rFonts w:ascii="Times New Roman" w:hAnsi="Times New Roman"/>
          <w:b w:val="0"/>
          <w:sz w:val="20"/>
          <w:szCs w:val="20"/>
        </w:rPr>
      </w:pPr>
      <w:bookmarkStart w:id="26" w:name="_Hlk119913578"/>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C7373D">
        <w:rPr>
          <w:rFonts w:ascii="Times New Roman" w:hAnsi="Times New Roman"/>
          <w:b w:val="0"/>
          <w:sz w:val="20"/>
          <w:szCs w:val="20"/>
        </w:rPr>
        <w:t>encryption standards for data backup</w:t>
      </w:r>
      <w:r w:rsidR="00C7373D" w:rsidRPr="00C7373D">
        <w:rPr>
          <w:rFonts w:ascii="Times New Roman" w:hAnsi="Times New Roman"/>
          <w:b w:val="0"/>
          <w:sz w:val="20"/>
          <w:szCs w:val="20"/>
        </w:rPr>
        <w:t xml:space="preserve">s: </w:t>
      </w:r>
      <w:r w:rsidR="00C7373D" w:rsidRPr="00347C76">
        <w:rPr>
          <w:rFonts w:ascii="Times New Roman" w:hAnsi="Times New Roman"/>
          <w:bCs w:val="0"/>
          <w:sz w:val="20"/>
          <w:szCs w:val="20"/>
        </w:rPr>
        <w:t>minimum of AES – 128bit encryption</w:t>
      </w:r>
    </w:p>
    <w:p w14:paraId="1B14090D" w14:textId="77777777" w:rsidR="0083688D" w:rsidRDefault="005B25CB" w:rsidP="00964B02">
      <w:pPr>
        <w:pStyle w:val="Heading3"/>
        <w:keepNext w:val="0"/>
        <w:widowControl w:val="0"/>
        <w:tabs>
          <w:tab w:val="left" w:pos="720"/>
          <w:tab w:val="num" w:pos="2160"/>
        </w:tabs>
        <w:spacing w:before="0" w:after="0" w:line="240" w:lineRule="auto"/>
        <w:rPr>
          <w:rFonts w:ascii="Times New Roman" w:hAnsi="Times New Roman"/>
          <w:b w:val="0"/>
          <w:sz w:val="20"/>
          <w:szCs w:val="20"/>
        </w:rPr>
      </w:pPr>
      <w:r w:rsidRPr="00C7373D">
        <w:rPr>
          <w:rFonts w:ascii="Times New Roman" w:hAnsi="Times New Roman"/>
          <w:b w:val="0"/>
          <w:sz w:val="20"/>
          <w:szCs w:val="20"/>
        </w:rPr>
        <w:t>•</w:t>
      </w:r>
      <w:r w:rsidRPr="00C7373D">
        <w:rPr>
          <w:rFonts w:ascii="Times New Roman" w:hAnsi="Times New Roman"/>
          <w:b w:val="0"/>
          <w:sz w:val="20"/>
          <w:szCs w:val="20"/>
        </w:rPr>
        <w:tab/>
        <w:t>service levels and response times for data backup retrieval/data restoration</w:t>
      </w:r>
      <w:r w:rsidR="00C7373D" w:rsidRPr="00C7373D">
        <w:rPr>
          <w:rFonts w:ascii="Times New Roman" w:hAnsi="Times New Roman"/>
          <w:b w:val="0"/>
          <w:sz w:val="20"/>
          <w:szCs w:val="20"/>
        </w:rPr>
        <w:t xml:space="preserve">: </w:t>
      </w:r>
    </w:p>
    <w:p w14:paraId="17315900" w14:textId="607C146C" w:rsidR="000C59DC" w:rsidRPr="00347C76" w:rsidRDefault="0083688D" w:rsidP="00964B02">
      <w:pPr>
        <w:pStyle w:val="Heading3"/>
        <w:keepNext w:val="0"/>
        <w:widowControl w:val="0"/>
        <w:tabs>
          <w:tab w:val="left" w:pos="720"/>
          <w:tab w:val="num" w:pos="2160"/>
        </w:tabs>
        <w:spacing w:before="0" w:after="0" w:line="240" w:lineRule="auto"/>
        <w:rPr>
          <w:rFonts w:ascii="Times New Roman" w:hAnsi="Times New Roman"/>
          <w:bCs w:val="0"/>
          <w:sz w:val="20"/>
          <w:szCs w:val="20"/>
        </w:rPr>
      </w:pPr>
      <w:r>
        <w:rPr>
          <w:rFonts w:ascii="Times New Roman" w:hAnsi="Times New Roman"/>
          <w:b w:val="0"/>
          <w:sz w:val="20"/>
          <w:szCs w:val="20"/>
        </w:rPr>
        <w:tab/>
      </w:r>
      <w:r w:rsidR="00C7373D" w:rsidRPr="00347C76">
        <w:rPr>
          <w:rFonts w:ascii="Times New Roman" w:hAnsi="Times New Roman"/>
          <w:bCs w:val="0"/>
          <w:sz w:val="20"/>
          <w:szCs w:val="20"/>
        </w:rPr>
        <w:t>Recovery Point Objective (RPO):24 hours/Recovery Time Objective (RTO): 24 hours</w:t>
      </w:r>
    </w:p>
    <w:bookmarkEnd w:id="26"/>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70569650" w14:textId="30711593" w:rsidR="007950D3" w:rsidRP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Data access shall continue to be made available without alteration</w:t>
      </w:r>
      <w:r w:rsidR="00567AFE">
        <w:rPr>
          <w:rFonts w:ascii="Times New Roman" w:hAnsi="Times New Roman"/>
          <w:sz w:val="20"/>
          <w:szCs w:val="20"/>
        </w:rPr>
        <w:t xml:space="preserve">. </w:t>
      </w:r>
      <w:r w:rsidR="00B0597A" w:rsidRPr="00B0597A">
        <w:rPr>
          <w:rFonts w:ascii="Times New Roman" w:hAnsi="Times New Roman"/>
          <w:sz w:val="20"/>
          <w:szCs w:val="20"/>
        </w:rPr>
        <w:t xml:space="preserve">Contractor shall provide the Judicial Council with a complete download of data for storage on JC servers. </w:t>
      </w: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7" w:name="_Ref65992755"/>
      <w:bookmarkEnd w:id="22"/>
      <w:bookmarkEnd w:id="23"/>
      <w:bookmarkEnd w:id="24"/>
      <w:bookmarkEnd w:id="25"/>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 xml:space="preserve">Contractor shall be the sole point of contact with Subcontractors under this Agreement, and Contractor shall be solely responsible for Subcontractors, including, without limitation, payment of </w:t>
      </w:r>
      <w:proofErr w:type="gramStart"/>
      <w:r w:rsidR="0082352E" w:rsidRPr="009424EC">
        <w:rPr>
          <w:rFonts w:ascii="Times New Roman" w:hAnsi="Times New Roman"/>
          <w:b w:val="0"/>
          <w:kern w:val="28"/>
          <w:sz w:val="20"/>
        </w:rPr>
        <w:t>any and all</w:t>
      </w:r>
      <w:proofErr w:type="gramEnd"/>
      <w:r w:rsidR="0082352E" w:rsidRPr="009424EC">
        <w:rPr>
          <w:rFonts w:ascii="Times New Roman" w:hAnsi="Times New Roman"/>
          <w:b w:val="0"/>
          <w:kern w:val="28"/>
          <w:sz w:val="20"/>
        </w:rPr>
        <w:t xml:space="preserve">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t>
      </w:r>
      <w:proofErr w:type="gramStart"/>
      <w:r w:rsidR="0082352E" w:rsidRPr="009424EC">
        <w:rPr>
          <w:rFonts w:ascii="Times New Roman" w:hAnsi="Times New Roman"/>
          <w:b w:val="0"/>
          <w:sz w:val="20"/>
        </w:rPr>
        <w:t>with regard to</w:t>
      </w:r>
      <w:proofErr w:type="gramEnd"/>
      <w:r w:rsidR="0082352E" w:rsidRPr="009424EC">
        <w:rPr>
          <w:rFonts w:ascii="Times New Roman" w:hAnsi="Times New Roman"/>
          <w:b w:val="0"/>
          <w:sz w:val="20"/>
        </w:rPr>
        <w:t xml:space="preserve">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w:t>
      </w:r>
      <w:proofErr w:type="gramStart"/>
      <w:r w:rsidRPr="009424EC">
        <w:rPr>
          <w:rFonts w:ascii="Times New Roman" w:hAnsi="Times New Roman"/>
          <w:sz w:val="20"/>
        </w:rPr>
        <w:t>transfers</w:t>
      </w:r>
      <w:proofErr w:type="gramEnd"/>
      <w:r w:rsidRPr="009424EC">
        <w:rPr>
          <w:rFonts w:ascii="Times New Roman" w:hAnsi="Times New Roman"/>
          <w:sz w:val="20"/>
        </w:rPr>
        <w:t xml:space="preserve">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7"/>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8"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w:t>
      </w:r>
      <w:proofErr w:type="gramStart"/>
      <w:r w:rsidR="00873C10" w:rsidRPr="009424EC">
        <w:rPr>
          <w:rFonts w:ascii="Times New Roman" w:hAnsi="Times New Roman"/>
          <w:b w:val="0"/>
          <w:i w:val="0"/>
          <w:sz w:val="20"/>
        </w:rPr>
        <w:t>permits</w:t>
      </w:r>
      <w:proofErr w:type="gramEnd"/>
      <w:r w:rsidR="00873C10" w:rsidRPr="009424EC">
        <w:rPr>
          <w:rFonts w:ascii="Times New Roman" w:hAnsi="Times New Roman"/>
          <w:b w:val="0"/>
          <w:i w:val="0"/>
          <w:sz w:val="20"/>
        </w:rPr>
        <w:t xml:space="preserve">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8"/>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9" w:name="_Ref66680844"/>
      <w:r w:rsidRPr="00303BCF">
        <w:rPr>
          <w:rFonts w:ascii="Times New Roman" w:hAnsi="Times New Roman"/>
          <w:sz w:val="20"/>
          <w:u w:val="single"/>
        </w:rPr>
        <w:t>Delivery</w:t>
      </w:r>
      <w:r w:rsidR="00873C10" w:rsidRPr="00303BCF">
        <w:rPr>
          <w:rFonts w:ascii="Times New Roman" w:hAnsi="Times New Roman"/>
          <w:sz w:val="20"/>
        </w:rPr>
        <w:t>.</w:t>
      </w:r>
      <w:bookmarkStart w:id="30" w:name="_Ref65996394"/>
      <w:bookmarkEnd w:id="29"/>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30"/>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 xml:space="preserve">“Free </w:t>
      </w:r>
      <w:proofErr w:type="gramStart"/>
      <w:r w:rsidR="00467204" w:rsidRPr="00467204">
        <w:rPr>
          <w:rFonts w:ascii="Times New Roman" w:hAnsi="Times New Roman"/>
          <w:sz w:val="20"/>
        </w:rPr>
        <w:t>on Boa</w:t>
      </w:r>
      <w:r w:rsidR="00467204">
        <w:rPr>
          <w:rFonts w:ascii="Times New Roman" w:hAnsi="Times New Roman"/>
          <w:sz w:val="20"/>
        </w:rPr>
        <w:t>rd</w:t>
      </w:r>
      <w:proofErr w:type="gramEnd"/>
      <w:r w:rsidR="00467204">
        <w:rPr>
          <w:rFonts w:ascii="Times New Roman" w:hAnsi="Times New Roman"/>
          <w:sz w:val="20"/>
        </w:rPr>
        <w:t xml:space="preserve">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31" w:name="_Ref65996333"/>
      <w:bookmarkStart w:id="32"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3" w:name="_Ref55636385"/>
      <w:bookmarkStart w:id="34" w:name="_Ref65945493"/>
      <w:bookmarkEnd w:id="31"/>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5" w:name="_Ref52292790"/>
      <w:bookmarkStart w:id="36" w:name="_Ref55633268"/>
      <w:bookmarkStart w:id="37" w:name="_Ref55895797"/>
      <w:bookmarkEnd w:id="32"/>
      <w:bookmarkEnd w:id="33"/>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5"/>
      <w:bookmarkEnd w:id="36"/>
      <w:bookmarkEnd w:id="37"/>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4"/>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8"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8"/>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w:t>
      </w:r>
      <w:proofErr w:type="gramStart"/>
      <w:r w:rsidR="009D4F28" w:rsidRPr="00303BCF">
        <w:rPr>
          <w:rFonts w:ascii="Times New Roman" w:hAnsi="Times New Roman"/>
          <w:sz w:val="20"/>
        </w:rPr>
        <w:t>shall be shall be</w:t>
      </w:r>
      <w:proofErr w:type="gramEnd"/>
      <w:r w:rsidR="009D4F28" w:rsidRPr="00303BCF">
        <w:rPr>
          <w:rFonts w:ascii="Times New Roman" w:hAnsi="Times New Roman"/>
          <w:sz w:val="20"/>
        </w:rPr>
        <w:t xml:space="preserve"> the total and complete compensation to be paid to Contractor for its performance under this Agreement. Contractor shall bear, and the JBE shall have no obligation to pay or reimburse Contractor for, </w:t>
      </w:r>
      <w:proofErr w:type="gramStart"/>
      <w:r w:rsidR="009D4F28" w:rsidRPr="00303BCF">
        <w:rPr>
          <w:rFonts w:ascii="Times New Roman" w:hAnsi="Times New Roman"/>
          <w:sz w:val="20"/>
        </w:rPr>
        <w:t>any and all</w:t>
      </w:r>
      <w:proofErr w:type="gramEnd"/>
      <w:r w:rsidR="009D4F28" w:rsidRPr="00303BCF">
        <w:rPr>
          <w:rFonts w:ascii="Times New Roman" w:hAnsi="Times New Roman"/>
          <w:sz w:val="20"/>
        </w:rPr>
        <w:t xml:space="preserve">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9" w:name="_Ref66680404"/>
      <w:r w:rsidRPr="00303BCF">
        <w:rPr>
          <w:rFonts w:ascii="Times New Roman" w:hAnsi="Times New Roman"/>
          <w:b/>
          <w:sz w:val="20"/>
        </w:rPr>
        <w:t xml:space="preserve"> </w:t>
      </w:r>
      <w:bookmarkStart w:id="40" w:name="_Toc18745252"/>
      <w:bookmarkStart w:id="41" w:name="_Ref66678410"/>
      <w:bookmarkStart w:id="42" w:name="_Ref66681376"/>
      <w:bookmarkEnd w:id="39"/>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3" w:name="_Ref23860480"/>
      <w:bookmarkStart w:id="44" w:name="_Toc25032814"/>
      <w:bookmarkStart w:id="45" w:name="_Toc57173695"/>
      <w:bookmarkStart w:id="46" w:name="_Toc18745253"/>
      <w:bookmarkStart w:id="47" w:name="_Ref65999204"/>
      <w:bookmarkEnd w:id="40"/>
      <w:bookmarkEnd w:id="41"/>
      <w:bookmarkEnd w:id="42"/>
      <w:r w:rsidRPr="00594F71">
        <w:rPr>
          <w:rFonts w:ascii="Times New Roman" w:hAnsi="Times New Roman"/>
          <w:b w:val="0"/>
          <w:sz w:val="20"/>
          <w:u w:val="single"/>
        </w:rPr>
        <w:t>Authorization</w:t>
      </w:r>
      <w:bookmarkEnd w:id="43"/>
      <w:bookmarkEnd w:id="44"/>
      <w:bookmarkEnd w:id="45"/>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6"/>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8" w:name="_Ref18472484"/>
      <w:bookmarkStart w:id="49" w:name="_Toc18745254"/>
      <w:bookmarkStart w:id="50" w:name="_Ref65999213"/>
      <w:bookmarkEnd w:id="47"/>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51" w:name="_Toc500228993"/>
      <w:bookmarkStart w:id="52" w:name="_Toc500259222"/>
      <w:bookmarkStart w:id="53" w:name="_Toc500263485"/>
      <w:bookmarkStart w:id="54" w:name="_Toc501329840"/>
      <w:bookmarkStart w:id="55" w:name="_Toc501415784"/>
      <w:bookmarkStart w:id="56" w:name="_Toc501449495"/>
      <w:bookmarkStart w:id="57" w:name="_Toc502031019"/>
      <w:bookmarkStart w:id="58" w:name="_Toc529871472"/>
      <w:bookmarkStart w:id="59" w:name="_Toc5684580"/>
      <w:bookmarkStart w:id="60" w:name="_Ref23860486"/>
      <w:bookmarkStart w:id="61" w:name="_Toc25032816"/>
      <w:bookmarkStart w:id="62" w:name="_Ref38960907"/>
      <w:bookmarkStart w:id="63" w:name="_Toc57173697"/>
      <w:bookmarkStart w:id="64" w:name="_Toc18745255"/>
      <w:bookmarkStart w:id="65" w:name="_Ref65999215"/>
      <w:bookmarkStart w:id="66" w:name="_Ref66681394"/>
      <w:bookmarkEnd w:id="48"/>
      <w:bookmarkEnd w:id="49"/>
      <w:bookmarkEnd w:id="50"/>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51"/>
      <w:bookmarkEnd w:id="52"/>
      <w:bookmarkEnd w:id="53"/>
      <w:bookmarkEnd w:id="54"/>
      <w:bookmarkEnd w:id="55"/>
      <w:bookmarkEnd w:id="56"/>
      <w:bookmarkEnd w:id="57"/>
      <w:bookmarkEnd w:id="58"/>
      <w:bookmarkEnd w:id="59"/>
      <w:bookmarkEnd w:id="60"/>
      <w:bookmarkEnd w:id="61"/>
      <w:bookmarkEnd w:id="62"/>
      <w:bookmarkEnd w:id="63"/>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4"/>
      <w:bookmarkEnd w:id="65"/>
      <w:bookmarkEnd w:id="66"/>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D62092">
        <w:rPr>
          <w:rFonts w:ascii="Times New Roman" w:hAnsi="Times New Roman"/>
          <w:b w:val="0"/>
          <w:sz w:val="20"/>
        </w:rPr>
        <w:t>10286.1, and</w:t>
      </w:r>
      <w:proofErr w:type="gramEnd"/>
      <w:r w:rsidRPr="00D62092">
        <w:rPr>
          <w:rFonts w:ascii="Times New Roman" w:hAnsi="Times New Roman"/>
          <w:b w:val="0"/>
          <w:sz w:val="20"/>
        </w:rPr>
        <w:t xml:space="preserve">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7" w:name="_Toc18745259"/>
      <w:bookmarkStart w:id="68" w:name="_Ref65999360"/>
      <w:bookmarkStart w:id="69"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70"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w:t>
      </w:r>
      <w:proofErr w:type="gramStart"/>
      <w:r w:rsidR="00873C10" w:rsidRPr="00D62092">
        <w:rPr>
          <w:rFonts w:ascii="Times New Roman" w:hAnsi="Times New Roman"/>
          <w:b w:val="0"/>
          <w:sz w:val="20"/>
        </w:rPr>
        <w:t>misappropriation</w:t>
      </w:r>
      <w:proofErr w:type="gramEnd"/>
      <w:r w:rsidR="00873C10" w:rsidRPr="00D62092">
        <w:rPr>
          <w:rFonts w:ascii="Times New Roman" w:hAnsi="Times New Roman"/>
          <w:b w:val="0"/>
          <w:sz w:val="20"/>
        </w:rPr>
        <w:t xml:space="preserve">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71" w:name="_Ref18473797"/>
      <w:bookmarkStart w:id="72" w:name="_Toc18745261"/>
      <w:bookmarkStart w:id="73" w:name="_Ref23860539"/>
      <w:bookmarkStart w:id="74" w:name="_Toc25032823"/>
      <w:bookmarkStart w:id="75" w:name="_Toc57173704"/>
      <w:bookmarkStart w:id="76" w:name="_Toc18745262"/>
      <w:bookmarkEnd w:id="67"/>
      <w:bookmarkEnd w:id="68"/>
      <w:bookmarkEnd w:id="69"/>
      <w:bookmarkEnd w:id="70"/>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w:t>
      </w:r>
      <w:proofErr w:type="gramStart"/>
      <w:r w:rsidRPr="00D62092">
        <w:rPr>
          <w:rFonts w:ascii="Times New Roman" w:hAnsi="Times New Roman"/>
          <w:b w:val="0"/>
          <w:sz w:val="20"/>
        </w:rPr>
        <w:t>of, or</w:t>
      </w:r>
      <w:proofErr w:type="gramEnd"/>
      <w:r w:rsidRPr="00D62092">
        <w:rPr>
          <w:rFonts w:ascii="Times New Roman" w:hAnsi="Times New Roman"/>
          <w:b w:val="0"/>
          <w:sz w:val="20"/>
        </w:rPr>
        <w:t xml:space="preserve">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7"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8" w:name="_Ref47714501"/>
      <w:bookmarkStart w:id="79" w:name="_Ref51946577"/>
      <w:bookmarkStart w:id="80" w:name="_Ref65987649"/>
      <w:bookmarkEnd w:id="71"/>
      <w:bookmarkEnd w:id="72"/>
      <w:bookmarkEnd w:id="77"/>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81" w:name="_Ref65945411"/>
      <w:bookmarkEnd w:id="78"/>
      <w:bookmarkEnd w:id="79"/>
      <w:bookmarkEnd w:id="80"/>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82" w:name="_Ref65998460"/>
      <w:bookmarkEnd w:id="81"/>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3"/>
      <w:bookmarkEnd w:id="74"/>
      <w:bookmarkEnd w:id="75"/>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w:t>
      </w:r>
      <w:proofErr w:type="gramStart"/>
      <w:r w:rsidR="00F52BF3" w:rsidRPr="00D62092">
        <w:rPr>
          <w:rFonts w:ascii="Times New Roman" w:hAnsi="Times New Roman"/>
          <w:b w:val="0"/>
          <w:sz w:val="20"/>
        </w:rPr>
        <w:t>effect</w:t>
      </w:r>
      <w:proofErr w:type="gramEnd"/>
      <w:r w:rsidR="00F52BF3" w:rsidRPr="00D62092">
        <w:rPr>
          <w:rFonts w:ascii="Times New Roman" w:hAnsi="Times New Roman"/>
          <w:b w:val="0"/>
          <w:sz w:val="20"/>
        </w:rPr>
        <w:t xml:space="preserve">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6"/>
      <w:r w:rsidRPr="00D62092">
        <w:rPr>
          <w:rFonts w:ascii="Times New Roman" w:hAnsi="Times New Roman"/>
          <w:b w:val="0"/>
          <w:sz w:val="20"/>
        </w:rPr>
        <w:t>.</w:t>
      </w:r>
      <w:bookmarkEnd w:id="82"/>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3"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4" w:name="_Toc18745264"/>
      <w:bookmarkStart w:id="85" w:name="_Ref23860551"/>
      <w:bookmarkStart w:id="86" w:name="_Toc25032825"/>
      <w:bookmarkStart w:id="87"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3"/>
      <w:bookmarkEnd w:id="84"/>
      <w:bookmarkEnd w:id="85"/>
      <w:bookmarkEnd w:id="86"/>
      <w:bookmarkEnd w:id="87"/>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w:t>
      </w:r>
      <w:proofErr w:type="gramStart"/>
      <w:r w:rsidR="003E79A1" w:rsidRPr="00041323">
        <w:rPr>
          <w:rFonts w:ascii="Times New Roman" w:hAnsi="Times New Roman"/>
          <w:sz w:val="20"/>
        </w:rPr>
        <w:t>Date, and</w:t>
      </w:r>
      <w:proofErr w:type="gramEnd"/>
      <w:r w:rsidR="003E79A1" w:rsidRPr="00041323">
        <w:rPr>
          <w:rFonts w:ascii="Times New Roman" w:hAnsi="Times New Roman"/>
          <w:sz w:val="20"/>
        </w:rPr>
        <w:t xml:space="preserve">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8"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9" w:name="_Ref65998205"/>
      <w:bookmarkEnd w:id="88"/>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90" w:name="_Ref65998218"/>
      <w:bookmarkEnd w:id="89"/>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w:t>
      </w:r>
      <w:proofErr w:type="gramStart"/>
      <w:r w:rsidRPr="00D62092">
        <w:rPr>
          <w:rFonts w:ascii="Times New Roman" w:hAnsi="Times New Roman"/>
          <w:b w:val="0"/>
          <w:sz w:val="20"/>
        </w:rPr>
        <w:t>transfers</w:t>
      </w:r>
      <w:proofErr w:type="gramEnd"/>
      <w:r w:rsidRPr="00D62092">
        <w:rPr>
          <w:rFonts w:ascii="Times New Roman" w:hAnsi="Times New Roman"/>
          <w:b w:val="0"/>
          <w:sz w:val="20"/>
        </w:rPr>
        <w:t xml:space="preserve">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90"/>
      <w:r w:rsidRPr="00D62092">
        <w:rPr>
          <w:rFonts w:ascii="Times New Roman" w:hAnsi="Times New Roman"/>
          <w:b w:val="0"/>
          <w:sz w:val="20"/>
        </w:rPr>
        <w:t xml:space="preserve">Contractor shall promptly notify the JBE upon the completion of the development, </w:t>
      </w:r>
      <w:proofErr w:type="gramStart"/>
      <w:r w:rsidRPr="00D62092">
        <w:rPr>
          <w:rFonts w:ascii="Times New Roman" w:hAnsi="Times New Roman"/>
          <w:b w:val="0"/>
          <w:sz w:val="20"/>
        </w:rPr>
        <w:t>creation</w:t>
      </w:r>
      <w:proofErr w:type="gramEnd"/>
      <w:r w:rsidRPr="00D62092">
        <w:rPr>
          <w:rFonts w:ascii="Times New Roman" w:hAnsi="Times New Roman"/>
          <w:b w:val="0"/>
          <w:sz w:val="20"/>
        </w:rPr>
        <w:t xml:space="preserve">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w:t>
      </w:r>
      <w:proofErr w:type="gramStart"/>
      <w:r w:rsidRPr="00D62092">
        <w:rPr>
          <w:rFonts w:ascii="Times New Roman" w:hAnsi="Times New Roman"/>
          <w:b w:val="0"/>
          <w:sz w:val="20"/>
        </w:rPr>
        <w:t>title</w:t>
      </w:r>
      <w:proofErr w:type="gramEnd"/>
      <w:r w:rsidRPr="00D62092">
        <w:rPr>
          <w:rFonts w:ascii="Times New Roman" w:hAnsi="Times New Roman"/>
          <w:b w:val="0"/>
          <w:sz w:val="20"/>
        </w:rPr>
        <w:t xml:space="preserv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w:t>
      </w:r>
      <w:proofErr w:type="gramStart"/>
      <w:r w:rsidRPr="00D62092">
        <w:rPr>
          <w:rFonts w:ascii="Times New Roman" w:hAnsi="Times New Roman"/>
          <w:b w:val="0"/>
          <w:sz w:val="20"/>
        </w:rPr>
        <w:t>title</w:t>
      </w:r>
      <w:proofErr w:type="gramEnd"/>
      <w:r w:rsidRPr="00D62092">
        <w:rPr>
          <w:rFonts w:ascii="Times New Roman" w:hAnsi="Times New Roman"/>
          <w:b w:val="0"/>
          <w:sz w:val="20"/>
        </w:rPr>
        <w:t xml:space="preserv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D62092">
        <w:rPr>
          <w:rFonts w:ascii="Times New Roman" w:hAnsi="Times New Roman"/>
          <w:spacing w:val="-2"/>
          <w:sz w:val="20"/>
        </w:rPr>
        <w:t>Third</w:t>
      </w:r>
      <w:r w:rsidR="0069138F" w:rsidRPr="00D62092">
        <w:rPr>
          <w:rFonts w:ascii="Times New Roman" w:hAnsi="Times New Roman"/>
          <w:spacing w:val="-2"/>
          <w:sz w:val="20"/>
        </w:rPr>
        <w:t xml:space="preserve"> </w:t>
      </w:r>
      <w:r w:rsidRPr="00D62092">
        <w:rPr>
          <w:rFonts w:ascii="Times New Roman" w:hAnsi="Times New Roman"/>
          <w:spacing w:val="-2"/>
          <w:sz w:val="20"/>
        </w:rPr>
        <w:t>Party</w:t>
      </w:r>
      <w:proofErr w:type="gramEnd"/>
      <w:r w:rsidRPr="00D62092">
        <w:rPr>
          <w:rFonts w:ascii="Times New Roman" w:hAnsi="Times New Roman"/>
          <w:spacing w:val="-2"/>
          <w:sz w:val="20"/>
        </w:rPr>
        <w:t xml:space="preserve">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w:t>
      </w:r>
      <w:proofErr w:type="gramStart"/>
      <w:r w:rsidR="00A85422" w:rsidRPr="00041323">
        <w:rPr>
          <w:rFonts w:ascii="Times New Roman" w:hAnsi="Times New Roman"/>
          <w:b w:val="0"/>
          <w:sz w:val="20"/>
        </w:rPr>
        <w:t>at all times</w:t>
      </w:r>
      <w:proofErr w:type="gramEnd"/>
      <w:r w:rsidR="00A85422" w:rsidRPr="00041323">
        <w:rPr>
          <w:rFonts w:ascii="Times New Roman" w:hAnsi="Times New Roman"/>
          <w:b w:val="0"/>
          <w:sz w:val="20"/>
        </w:rPr>
        <w:t xml:space="preserve">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proofErr w:type="gramStart"/>
      <w:r w:rsidR="002A55F9">
        <w:rPr>
          <w:rFonts w:ascii="Times New Roman" w:hAnsi="Times New Roman"/>
          <w:b w:val="0"/>
          <w:sz w:val="20"/>
        </w:rPr>
        <w:t>in order to</w:t>
      </w:r>
      <w:proofErr w:type="gramEnd"/>
      <w:r w:rsidR="002A55F9">
        <w:rPr>
          <w:rFonts w:ascii="Times New Roman" w:hAnsi="Times New Roman"/>
          <w:b w:val="0"/>
          <w:sz w:val="20"/>
        </w:rPr>
        <w:t xml:space="preserve">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w:t>
      </w:r>
      <w:proofErr w:type="gramStart"/>
      <w:r w:rsidRPr="00041323">
        <w:rPr>
          <w:rFonts w:ascii="Times New Roman" w:hAnsi="Times New Roman"/>
          <w:b w:val="0"/>
          <w:sz w:val="20"/>
        </w:rPr>
        <w:t>so</w:t>
      </w:r>
      <w:proofErr w:type="gramEnd"/>
      <w:r w:rsidRPr="00041323">
        <w:rPr>
          <w:rFonts w:ascii="Times New Roman" w:hAnsi="Times New Roman"/>
          <w:b w:val="0"/>
          <w:sz w:val="20"/>
        </w:rPr>
        <w:t xml:space="preserve">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91"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92" w:name="_Ref66681749"/>
      <w:bookmarkEnd w:id="91"/>
    </w:p>
    <w:p w14:paraId="00497FFA" w14:textId="5939704F"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92"/>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3"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 xml:space="preserve">employees. It must include workers’ compensation to meet minimum requirements of the California Labor Code, and it must provide coverage for employer’s liability bodily injury at minimum limits of $1 million per accident or </w:t>
      </w:r>
      <w:proofErr w:type="gramStart"/>
      <w:r w:rsidRPr="00041323">
        <w:rPr>
          <w:rFonts w:ascii="Times New Roman" w:hAnsi="Times New Roman"/>
          <w:b w:val="0"/>
          <w:sz w:val="20"/>
        </w:rPr>
        <w:t>disease;</w:t>
      </w:r>
      <w:proofErr w:type="gramEnd"/>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2DA03566"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w:t>
      </w:r>
      <w:proofErr w:type="gramStart"/>
      <w:r w:rsidR="000D521F" w:rsidRPr="000D521F">
        <w:rPr>
          <w:rFonts w:ascii="Times New Roman" w:hAnsi="Times New Roman"/>
          <w:b w:val="0"/>
          <w:sz w:val="20"/>
        </w:rPr>
        <w:t>to</w:t>
      </w:r>
      <w:proofErr w:type="gramEnd"/>
      <w:r w:rsidR="000D521F" w:rsidRPr="000D521F">
        <w:rPr>
          <w:rFonts w:ascii="Times New Roman" w:hAnsi="Times New Roman"/>
          <w:b w:val="0"/>
          <w:sz w:val="20"/>
        </w:rPr>
        <w:t xml:space="preserve">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JBE </w:t>
      </w:r>
      <w:proofErr w:type="gramStart"/>
      <w:r w:rsidR="00025E0F" w:rsidRPr="00025E0F">
        <w:rPr>
          <w:rFonts w:ascii="Times New Roman" w:eastAsia="Times" w:hAnsi="Times New Roman"/>
          <w:b w:val="0"/>
          <w:bCs w:val="0"/>
          <w:sz w:val="20"/>
          <w:szCs w:val="20"/>
        </w:rPr>
        <w:t>in the event that</w:t>
      </w:r>
      <w:proofErr w:type="gramEnd"/>
      <w:r w:rsidR="00025E0F" w:rsidRPr="00025E0F">
        <w:rPr>
          <w:rFonts w:ascii="Times New Roman" w:eastAsia="Times" w:hAnsi="Times New Roman"/>
          <w:b w:val="0"/>
          <w:bCs w:val="0"/>
          <w:sz w:val="20"/>
          <w:szCs w:val="20"/>
        </w:rPr>
        <w:t xml:space="preserve">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3"/>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2D4E82B3"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4" w:name="_Ref43890596"/>
      <w:bookmarkStart w:id="95" w:name="_DV_C127"/>
      <w:bookmarkStart w:id="96" w:name="_Ref43538131"/>
      <w:bookmarkStart w:id="97" w:name="_Toc18745273"/>
      <w:bookmarkStart w:id="98"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r w:rsidR="009B47E8" w:rsidRPr="009B47E8">
        <w:rPr>
          <w:rFonts w:ascii="Times New Roman" w:hAnsi="Times New Roman"/>
          <w:b w:val="0"/>
          <w:i w:val="0"/>
          <w:sz w:val="20"/>
        </w:rPr>
        <w:t xml:space="preserve">This Agreement shall commence on the Effective Date and have an initial term of </w:t>
      </w:r>
      <w:r w:rsidR="00B33C3C" w:rsidRPr="00BA2CFB">
        <w:rPr>
          <w:rFonts w:ascii="Times New Roman" w:hAnsi="Times New Roman"/>
          <w:bCs w:val="0"/>
          <w:i w:val="0"/>
          <w:sz w:val="20"/>
        </w:rPr>
        <w:t xml:space="preserve">3 </w:t>
      </w:r>
      <w:r w:rsidR="009B47E8" w:rsidRPr="00BA2CFB">
        <w:rPr>
          <w:rFonts w:ascii="Times New Roman" w:hAnsi="Times New Roman"/>
          <w:bCs w:val="0"/>
          <w:i w:val="0"/>
          <w:sz w:val="20"/>
        </w:rPr>
        <w:t>year(s).</w:t>
      </w:r>
      <w:r w:rsidR="009B47E8" w:rsidRPr="009B47E8">
        <w:rPr>
          <w:rFonts w:ascii="Times New Roman" w:hAnsi="Times New Roman"/>
          <w:b w:val="0"/>
          <w:i w:val="0"/>
          <w:sz w:val="20"/>
        </w:rPr>
        <w:t xml:space="preserve">  The JBE may, at its sole option, extend the Term for</w:t>
      </w:r>
      <w:r w:rsidR="009B47E8" w:rsidRPr="00BA2CFB">
        <w:rPr>
          <w:rFonts w:ascii="Times New Roman" w:hAnsi="Times New Roman"/>
          <w:b w:val="0"/>
          <w:i w:val="0"/>
          <w:sz w:val="20"/>
        </w:rPr>
        <w:t xml:space="preserve"> </w:t>
      </w:r>
      <w:r w:rsidR="00AF3DD0" w:rsidRPr="00BA2CFB">
        <w:rPr>
          <w:rFonts w:ascii="Times New Roman" w:hAnsi="Times New Roman"/>
          <w:bCs w:val="0"/>
          <w:i w:val="0"/>
          <w:sz w:val="20"/>
        </w:rPr>
        <w:t>two</w:t>
      </w:r>
      <w:r w:rsidR="009B47E8" w:rsidRPr="00BA2CFB">
        <w:rPr>
          <w:rFonts w:ascii="Times New Roman" w:hAnsi="Times New Roman"/>
          <w:bCs w:val="0"/>
          <w:i w:val="0"/>
          <w:sz w:val="20"/>
        </w:rPr>
        <w:t xml:space="preserve"> </w:t>
      </w:r>
      <w:r w:rsidR="00AF3DD0" w:rsidRPr="00BA2CFB">
        <w:rPr>
          <w:rFonts w:ascii="Times New Roman" w:hAnsi="Times New Roman"/>
          <w:bCs w:val="0"/>
          <w:i w:val="0"/>
          <w:sz w:val="20"/>
        </w:rPr>
        <w:t>one</w:t>
      </w:r>
      <w:r w:rsidR="009B47E8" w:rsidRPr="00BA2CFB">
        <w:rPr>
          <w:rFonts w:ascii="Times New Roman" w:hAnsi="Times New Roman"/>
          <w:bCs w:val="0"/>
          <w:i w:val="0"/>
          <w:sz w:val="20"/>
        </w:rPr>
        <w:t>-year option term</w:t>
      </w:r>
      <w:r w:rsidR="00AF3DD0" w:rsidRPr="00BA2CFB">
        <w:rPr>
          <w:rFonts w:ascii="Times New Roman" w:hAnsi="Times New Roman"/>
          <w:bCs w:val="0"/>
          <w:i w:val="0"/>
          <w:sz w:val="20"/>
        </w:rPr>
        <w:t>s</w:t>
      </w:r>
      <w:r w:rsidR="009B47E8" w:rsidRPr="009B47E8">
        <w:rPr>
          <w:rFonts w:ascii="Times New Roman" w:hAnsi="Times New Roman"/>
          <w:b w:val="0"/>
          <w:i w:val="0"/>
          <w:sz w:val="20"/>
        </w:rPr>
        <w:t xml:space="preserve">, at the end of which this Agreement shall expire. </w:t>
      </w:r>
      <w:proofErr w:type="gramStart"/>
      <w:r w:rsidR="009B47E8" w:rsidRPr="009B47E8">
        <w:rPr>
          <w:rFonts w:ascii="Times New Roman" w:hAnsi="Times New Roman"/>
          <w:b w:val="0"/>
          <w:i w:val="0"/>
          <w:sz w:val="20"/>
        </w:rPr>
        <w:t>In order to</w:t>
      </w:r>
      <w:proofErr w:type="gramEnd"/>
      <w:r w:rsidR="009B47E8" w:rsidRPr="009B47E8">
        <w:rPr>
          <w:rFonts w:ascii="Times New Roman" w:hAnsi="Times New Roman"/>
          <w:b w:val="0"/>
          <w:i w:val="0"/>
          <w:sz w:val="20"/>
        </w:rPr>
        <w:t xml:space="preserve"> extend the Term, the JBE must notify Contractor prior to the end of the initial term.</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9"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9"/>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100" w:name="_Ref54942756"/>
      <w:bookmarkStart w:id="101"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102" w:name="_DV_M321"/>
      <w:bookmarkStart w:id="103" w:name="_Ref15103077"/>
      <w:bookmarkStart w:id="104" w:name="_Ref15103249"/>
      <w:bookmarkStart w:id="105" w:name="_Ref15105588"/>
      <w:bookmarkStart w:id="106" w:name="_Ref15106474"/>
      <w:bookmarkStart w:id="107" w:name="_Ref15106502"/>
      <w:bookmarkStart w:id="108" w:name="_Toc18745270"/>
      <w:bookmarkStart w:id="109" w:name="_Toc57173710"/>
      <w:bookmarkStart w:id="110" w:name="_Ref65996630"/>
      <w:bookmarkEnd w:id="100"/>
      <w:bookmarkEnd w:id="101"/>
      <w:bookmarkEnd w:id="102"/>
    </w:p>
    <w:p w14:paraId="404756EC" w14:textId="02238AA9"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3"/>
      <w:bookmarkEnd w:id="104"/>
      <w:bookmarkEnd w:id="105"/>
      <w:bookmarkEnd w:id="106"/>
      <w:bookmarkEnd w:id="107"/>
      <w:bookmarkEnd w:id="108"/>
      <w:bookmarkEnd w:id="109"/>
      <w:r w:rsidRPr="00594F71">
        <w:rPr>
          <w:rFonts w:ascii="Times New Roman" w:hAnsi="Times New Roman"/>
          <w:b w:val="0"/>
          <w:i w:val="0"/>
          <w:sz w:val="20"/>
        </w:rPr>
        <w:t>.</w:t>
      </w:r>
      <w:bookmarkStart w:id="111" w:name="_Ref54942295"/>
      <w:bookmarkStart w:id="112" w:name="_Ref52300365"/>
      <w:bookmarkEnd w:id="110"/>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3" w:name="_Toc18745271"/>
      <w:bookmarkStart w:id="114" w:name="_Ref65997384"/>
      <w:bookmarkEnd w:id="111"/>
      <w:bookmarkEnd w:id="112"/>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5" w:name="_Ref18816739"/>
      <w:bookmarkStart w:id="116" w:name="_Toc57173713"/>
      <w:bookmarkStart w:id="117" w:name="_Ref65996362"/>
      <w:bookmarkStart w:id="118" w:name="_Toc18745272"/>
      <w:bookmarkEnd w:id="113"/>
      <w:bookmarkEnd w:id="114"/>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5"/>
      <w:bookmarkEnd w:id="116"/>
      <w:r w:rsidRPr="00D62092">
        <w:rPr>
          <w:rFonts w:ascii="Times New Roman" w:hAnsi="Times New Roman"/>
          <w:b w:val="0"/>
          <w:i w:val="0"/>
          <w:sz w:val="20"/>
        </w:rPr>
        <w:t>.</w:t>
      </w:r>
      <w:bookmarkEnd w:id="117"/>
      <w:r w:rsidRPr="00D62092">
        <w:rPr>
          <w:rFonts w:ascii="Times New Roman" w:hAnsi="Times New Roman"/>
          <w:b w:val="0"/>
          <w:i w:val="0"/>
          <w:sz w:val="20"/>
        </w:rPr>
        <w:t xml:space="preserve"> </w:t>
      </w:r>
      <w:bookmarkEnd w:id="118"/>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9"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proofErr w:type="gramStart"/>
      <w:r w:rsidR="001A7255" w:rsidRPr="00D62092">
        <w:rPr>
          <w:rFonts w:ascii="Times New Roman" w:hAnsi="Times New Roman"/>
          <w:sz w:val="20"/>
        </w:rPr>
        <w:t>Third Party</w:t>
      </w:r>
      <w:proofErr w:type="gramEnd"/>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w:t>
      </w:r>
      <w:proofErr w:type="gramStart"/>
      <w:r w:rsidRPr="00303BCF">
        <w:rPr>
          <w:rFonts w:ascii="Times New Roman" w:hAnsi="Times New Roman"/>
          <w:sz w:val="20"/>
        </w:rPr>
        <w:t>punitive</w:t>
      </w:r>
      <w:proofErr w:type="gramEnd"/>
      <w:r w:rsidRPr="00303BCF">
        <w:rPr>
          <w:rFonts w:ascii="Times New Roman" w:hAnsi="Times New Roman"/>
          <w:sz w:val="20"/>
        </w:rPr>
        <w:t xml:space="preser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9"/>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xml:space="preserve">, the JBE shall not be liable to Contractor for compensation or damages incurred </w:t>
      </w:r>
      <w:proofErr w:type="gramStart"/>
      <w:r w:rsidR="00F41705" w:rsidRPr="00303BCF">
        <w:rPr>
          <w:rFonts w:ascii="Times New Roman" w:hAnsi="Times New Roman"/>
          <w:sz w:val="20"/>
        </w:rPr>
        <w:t>as a result of</w:t>
      </w:r>
      <w:proofErr w:type="gramEnd"/>
      <w:r w:rsidR="00F41705" w:rsidRPr="00303BCF">
        <w:rPr>
          <w:rFonts w:ascii="Times New Roman" w:hAnsi="Times New Roman"/>
          <w:sz w:val="20"/>
        </w:rPr>
        <w:t xml:space="preserve">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4"/>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20" w:name="_Ref37471790"/>
      <w:bookmarkStart w:id="121" w:name="_Toc57173714"/>
      <w:bookmarkEnd w:id="95"/>
      <w:bookmarkEnd w:id="96"/>
      <w:r w:rsidRPr="00D62092">
        <w:rPr>
          <w:rFonts w:ascii="Times New Roman" w:hAnsi="Times New Roman"/>
          <w:b w:val="0"/>
          <w:i w:val="0"/>
          <w:sz w:val="20"/>
          <w:u w:val="single"/>
        </w:rPr>
        <w:t>Termination Assistance</w:t>
      </w:r>
      <w:bookmarkStart w:id="122"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3" w:name="_Ref36910891"/>
      <w:bookmarkEnd w:id="122"/>
    </w:p>
    <w:bookmarkEnd w:id="123"/>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4" w:name="_Ref23859934"/>
      <w:bookmarkEnd w:id="97"/>
      <w:bookmarkEnd w:id="98"/>
      <w:bookmarkEnd w:id="120"/>
      <w:bookmarkEnd w:id="121"/>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5" w:name="_Ref36620306"/>
      <w:bookmarkEnd w:id="124"/>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Contractor must provide notice to the JBE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5"/>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 xml:space="preserve">JBE funds received under this agreement will be used to assist, </w:t>
      </w:r>
      <w:proofErr w:type="gramStart"/>
      <w:r w:rsidR="00567D9E" w:rsidRPr="00567D9E">
        <w:rPr>
          <w:rFonts w:ascii="Times New Roman" w:hAnsi="Times New Roman"/>
          <w:b w:val="0"/>
          <w:sz w:val="20"/>
        </w:rPr>
        <w:t>promot</w:t>
      </w:r>
      <w:r w:rsidR="00567D9E">
        <w:rPr>
          <w:rFonts w:ascii="Times New Roman" w:hAnsi="Times New Roman"/>
          <w:b w:val="0"/>
          <w:sz w:val="20"/>
        </w:rPr>
        <w:t>e</w:t>
      </w:r>
      <w:proofErr w:type="gramEnd"/>
      <w:r w:rsidR="00567D9E">
        <w:rPr>
          <w:rFonts w:ascii="Times New Roman" w:hAnsi="Times New Roman"/>
          <w:b w:val="0"/>
          <w:sz w:val="20"/>
        </w:rPr>
        <w:t xml:space="preserv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1C6ECB39" w:rsidR="00E573E1" w:rsidRPr="00B733A9" w:rsidRDefault="004866E1"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JBE approves in writing replacement by another DVBE subcontractor in accordance with the terms of this Agreement; and (ii) Contractor must </w:t>
      </w:r>
      <w:r w:rsidR="003D136C" w:rsidRPr="003D136C">
        <w:rPr>
          <w:rFonts w:ascii="Times New Roman" w:hAnsi="Times New Roman"/>
          <w:b w:val="0"/>
          <w:sz w:val="20"/>
        </w:rPr>
        <w:t>complete and return to the JBE a post-contract certification form</w:t>
      </w:r>
      <w:r w:rsidR="003D136C">
        <w:rPr>
          <w:rStyle w:val="FootnoteReference"/>
          <w:rFonts w:ascii="Times New Roman" w:hAnsi="Times New Roman"/>
          <w:b w:val="0"/>
          <w:sz w:val="20"/>
        </w:rPr>
        <w:footnoteReference w:id="2"/>
      </w:r>
      <w:r w:rsidR="003D136C" w:rsidRPr="003D136C">
        <w:rPr>
          <w:rFonts w:ascii="Times New Roman" w:hAnsi="Times New Roman"/>
          <w:b w:val="0"/>
          <w:sz w:val="20"/>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3D136C">
        <w:rPr>
          <w:rFonts w:ascii="Times New Roman" w:hAnsi="Times New Roman"/>
          <w:b w:val="0"/>
          <w:sz w:val="20"/>
        </w:rPr>
        <w:t xml:space="preserve">: </w:t>
      </w:r>
      <w:r w:rsidR="00882369" w:rsidRPr="00882369">
        <w:rPr>
          <w:rFonts w:ascii="Times New Roman" w:hAnsi="Times New Roman"/>
          <w:b w:val="0"/>
          <w:sz w:val="20"/>
        </w:rPr>
        <w:t xml:space="preserve">(1) the total amount of money </w:t>
      </w:r>
      <w:r w:rsidR="003D136C" w:rsidRPr="003D136C">
        <w:rPr>
          <w:rFonts w:ascii="Times New Roman" w:hAnsi="Times New Roman"/>
          <w:b w:val="0"/>
          <w:sz w:val="20"/>
        </w:rPr>
        <w:t>Contractor received under the Agreement</w:t>
      </w:r>
      <w:r w:rsidR="003D136C">
        <w:rPr>
          <w:rFonts w:ascii="Times New Roman" w:hAnsi="Times New Roman"/>
          <w:b w:val="0"/>
          <w:sz w:val="20"/>
        </w:rPr>
        <w:t>;</w:t>
      </w:r>
      <w:r w:rsidR="003D136C" w:rsidRPr="003D136C">
        <w:rPr>
          <w:rFonts w:ascii="Times New Roman" w:hAnsi="Times New Roman"/>
          <w:b w:val="0"/>
          <w:sz w:val="20"/>
        </w:rPr>
        <w:t xml:space="preserve"> (2) the total amount of money and the </w:t>
      </w:r>
      <w:r w:rsidR="00064F4A" w:rsidRPr="00B733A9">
        <w:rPr>
          <w:rFonts w:ascii="Times New Roman" w:hAnsi="Times New Roman"/>
          <w:b w:val="0"/>
          <w:sz w:val="20"/>
        </w:rPr>
        <w:t>percentage of work Contractor committed to provide to each DVBE subcontractor</w:t>
      </w:r>
      <w:r w:rsidR="003D136C">
        <w:rPr>
          <w:rFonts w:ascii="Times New Roman" w:hAnsi="Times New Roman"/>
          <w:b w:val="0"/>
          <w:sz w:val="20"/>
        </w:rPr>
        <w:t>;</w:t>
      </w:r>
      <w:r w:rsidR="00064F4A" w:rsidRPr="00B733A9">
        <w:rPr>
          <w:rFonts w:ascii="Times New Roman" w:hAnsi="Times New Roman"/>
          <w:b w:val="0"/>
          <w:sz w:val="20"/>
        </w:rPr>
        <w:t xml:space="preserve"> </w:t>
      </w:r>
      <w:r w:rsidR="00882369" w:rsidRPr="00882369">
        <w:rPr>
          <w:rFonts w:ascii="Times New Roman" w:hAnsi="Times New Roman"/>
          <w:b w:val="0"/>
          <w:sz w:val="20"/>
        </w:rPr>
        <w:t>(</w:t>
      </w:r>
      <w:r w:rsidR="003D136C">
        <w:rPr>
          <w:rFonts w:ascii="Times New Roman" w:hAnsi="Times New Roman"/>
          <w:b w:val="0"/>
          <w:sz w:val="20"/>
        </w:rPr>
        <w:t>3</w:t>
      </w:r>
      <w:r w:rsidR="00882369" w:rsidRPr="00882369">
        <w:rPr>
          <w:rFonts w:ascii="Times New Roman" w:hAnsi="Times New Roman"/>
          <w:b w:val="0"/>
          <w:sz w:val="20"/>
        </w:rPr>
        <w:t>) the name and address of each DVBE subcontractor to which Contractor subcontracted work in connection with the Agreement; (</w:t>
      </w:r>
      <w:r w:rsidR="003D136C">
        <w:rPr>
          <w:rFonts w:ascii="Times New Roman" w:hAnsi="Times New Roman"/>
          <w:b w:val="0"/>
          <w:sz w:val="20"/>
        </w:rPr>
        <w:t>4</w:t>
      </w:r>
      <w:r w:rsidR="00882369" w:rsidRPr="00882369">
        <w:rPr>
          <w:rFonts w:ascii="Times New Roman" w:hAnsi="Times New Roman"/>
          <w:b w:val="0"/>
          <w:sz w:val="20"/>
        </w:rPr>
        <w:t xml:space="preserve">) the amount </w:t>
      </w:r>
      <w:r w:rsidR="003D136C">
        <w:rPr>
          <w:rFonts w:ascii="Times New Roman" w:hAnsi="Times New Roman"/>
          <w:b w:val="0"/>
          <w:sz w:val="20"/>
        </w:rPr>
        <w:t xml:space="preserve">of money </w:t>
      </w:r>
      <w:r w:rsidR="00882369" w:rsidRPr="00882369">
        <w:rPr>
          <w:rFonts w:ascii="Times New Roman" w:hAnsi="Times New Roman"/>
          <w:b w:val="0"/>
          <w:sz w:val="20"/>
        </w:rPr>
        <w:t xml:space="preserve">each DVBE subcontractor </w:t>
      </w:r>
      <w:r w:rsidR="003D136C">
        <w:rPr>
          <w:rFonts w:ascii="Times New Roman" w:hAnsi="Times New Roman"/>
          <w:b w:val="0"/>
          <w:sz w:val="20"/>
        </w:rPr>
        <w:t xml:space="preserve">actually </w:t>
      </w:r>
      <w:r w:rsidR="00882369" w:rsidRPr="00882369">
        <w:rPr>
          <w:rFonts w:ascii="Times New Roman" w:hAnsi="Times New Roman"/>
          <w:b w:val="0"/>
          <w:sz w:val="20"/>
        </w:rPr>
        <w:t>received from Contractor in connection with the Agreement</w:t>
      </w:r>
      <w:r w:rsidR="003D136C" w:rsidRPr="003D136C">
        <w:rPr>
          <w:rFonts w:ascii="Times New Roman" w:hAnsi="Times New Roman"/>
          <w:b w:val="0"/>
          <w:sz w:val="20"/>
        </w:rPr>
        <w:t>, and the corresponding percentage this payment comprises of the total amount of money Contractor received under the Agreement</w:t>
      </w:r>
      <w:r w:rsidR="00882369" w:rsidRPr="00882369">
        <w:rPr>
          <w:rFonts w:ascii="Times New Roman" w:hAnsi="Times New Roman"/>
          <w:b w:val="0"/>
          <w:sz w:val="20"/>
        </w:rPr>
        <w:t>; and (</w:t>
      </w:r>
      <w:r w:rsidR="003D136C">
        <w:rPr>
          <w:rFonts w:ascii="Times New Roman" w:hAnsi="Times New Roman"/>
          <w:b w:val="0"/>
          <w:sz w:val="20"/>
        </w:rPr>
        <w:t>5</w:t>
      </w:r>
      <w:r w:rsidR="00882369" w:rsidRPr="00882369">
        <w:rPr>
          <w:rFonts w:ascii="Times New Roman" w:hAnsi="Times New Roman"/>
          <w:b w:val="0"/>
          <w:sz w:val="20"/>
        </w:rPr>
        <w:t xml:space="preserve">) that all payments under the Agreement have been made to the applicable DVBE subcontractors. </w:t>
      </w:r>
      <w:r w:rsidR="00064F4A" w:rsidRPr="00B733A9">
        <w:rPr>
          <w:b w:val="0"/>
          <w:sz w:val="20"/>
        </w:rPr>
        <w:t xml:space="preserve">Upon </w:t>
      </w:r>
      <w:r w:rsidR="00064F4A" w:rsidRPr="00700752">
        <w:rPr>
          <w:rFonts w:ascii="Times New Roman" w:hAnsi="Times New Roman"/>
          <w:b w:val="0"/>
          <w:sz w:val="20"/>
        </w:rPr>
        <w:t xml:space="preserve">request by the JBE, </w:t>
      </w:r>
      <w:r w:rsidR="00B733A9" w:rsidRPr="00700752">
        <w:rPr>
          <w:rFonts w:ascii="Times New Roman" w:hAnsi="Times New Roman"/>
          <w:b w:val="0"/>
          <w:sz w:val="20"/>
        </w:rPr>
        <w:t>C</w:t>
      </w:r>
      <w:r w:rsidR="00064F4A" w:rsidRPr="00700752">
        <w:rPr>
          <w:rFonts w:ascii="Times New Roman" w:hAnsi="Times New Roman"/>
          <w:b w:val="0"/>
          <w:sz w:val="20"/>
        </w:rPr>
        <w:t>ontractor shall provide proof of payment for the work.</w:t>
      </w:r>
      <w:r w:rsidR="00064F4A" w:rsidRPr="00700752">
        <w:rPr>
          <w:rFonts w:ascii="Times New Roman" w:hAnsi="Times New Roman"/>
        </w:rPr>
        <w:t xml:space="preserve"> </w:t>
      </w:r>
      <w:r w:rsidR="00064F4A" w:rsidRPr="00700752">
        <w:rPr>
          <w:rFonts w:ascii="Times New Roman" w:hAnsi="Times New Roman"/>
          <w:sz w:val="20"/>
        </w:rPr>
        <w:t xml:space="preserve"> </w:t>
      </w:r>
      <w:r w:rsidR="00882369" w:rsidRPr="00700752">
        <w:rPr>
          <w:rFonts w:ascii="Times New Roman" w:hAnsi="Times New Roman"/>
          <w:b w:val="0"/>
          <w:sz w:val="20"/>
        </w:rPr>
        <w:t xml:space="preserve"> A person or entity that knowingly provides false information shall be subject to a civil penalty for each violation.</w:t>
      </w:r>
      <w:r w:rsidR="00064F4A" w:rsidRPr="00700752">
        <w:rPr>
          <w:rFonts w:ascii="Times New Roman" w:hAnsi="Times New Roman"/>
          <w:b w:val="0"/>
          <w:sz w:val="20"/>
        </w:rPr>
        <w:t xml:space="preserve"> Contractor will comply with all rules, regulations, </w:t>
      </w:r>
      <w:proofErr w:type="gramStart"/>
      <w:r w:rsidR="00064F4A" w:rsidRPr="00700752">
        <w:rPr>
          <w:rFonts w:ascii="Times New Roman" w:hAnsi="Times New Roman"/>
          <w:b w:val="0"/>
          <w:sz w:val="20"/>
        </w:rPr>
        <w:t>ordinances</w:t>
      </w:r>
      <w:proofErr w:type="gramEnd"/>
      <w:r w:rsidR="00064F4A" w:rsidRPr="00700752">
        <w:rPr>
          <w:rFonts w:ascii="Times New Roman" w:hAnsi="Times New Roman"/>
          <w:b w:val="0"/>
          <w:sz w:val="20"/>
        </w:rPr>
        <w:t xml:space="preserve"> and statutes that govern the DVBE </w:t>
      </w:r>
      <w:r w:rsidR="00B733A9" w:rsidRPr="00700752">
        <w:rPr>
          <w:rFonts w:ascii="Times New Roman" w:hAnsi="Times New Roman"/>
          <w:b w:val="0"/>
          <w:sz w:val="20"/>
        </w:rPr>
        <w:t>p</w:t>
      </w:r>
      <w:r w:rsidR="00064F4A" w:rsidRPr="00700752">
        <w:rPr>
          <w:rFonts w:ascii="Times New Roman" w:hAnsi="Times New Roman"/>
          <w:b w:val="0"/>
          <w:sz w:val="20"/>
        </w:rPr>
        <w:t xml:space="preserve">rogram, including, without limitation, </w:t>
      </w:r>
      <w:r w:rsidR="00B733A9" w:rsidRPr="00700752">
        <w:rPr>
          <w:rFonts w:ascii="Times New Roman" w:hAnsi="Times New Roman"/>
          <w:b w:val="0"/>
          <w:sz w:val="20"/>
        </w:rPr>
        <w:t>Military and Veterans Code s</w:t>
      </w:r>
      <w:r w:rsidR="00064F4A" w:rsidRPr="00700752">
        <w:rPr>
          <w:rFonts w:ascii="Times New Roman" w:hAnsi="Times New Roman"/>
          <w:b w:val="0"/>
          <w:sz w:val="20"/>
        </w:rPr>
        <w:t>ection 999.5.</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 xml:space="preserve">Competitively Bid </w:t>
      </w:r>
      <w:proofErr w:type="gramStart"/>
      <w:r w:rsidRPr="009424EC">
        <w:rPr>
          <w:rFonts w:ascii="Times New Roman" w:hAnsi="Times New Roman"/>
          <w:b w:val="0"/>
          <w:sz w:val="20"/>
          <w:u w:val="single"/>
        </w:rPr>
        <w:t>Contracts;</w:t>
      </w:r>
      <w:proofErr w:type="gramEnd"/>
      <w:r w:rsidRPr="009424EC">
        <w:rPr>
          <w:rFonts w:ascii="Times New Roman" w:hAnsi="Times New Roman"/>
          <w:b w:val="0"/>
          <w:sz w:val="20"/>
          <w:u w:val="single"/>
        </w:rPr>
        <w:t xml:space="preserve">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w:t>
      </w:r>
      <w:proofErr w:type="gramStart"/>
      <w:r w:rsidR="00DF650E" w:rsidRPr="00041323">
        <w:rPr>
          <w:rFonts w:ascii="Times New Roman" w:hAnsi="Times New Roman"/>
          <w:b w:val="0"/>
          <w:sz w:val="20"/>
        </w:rPr>
        <w:t>tenders</w:t>
      </w:r>
      <w:proofErr w:type="gramEnd"/>
      <w:r w:rsidR="00DF650E" w:rsidRPr="00041323">
        <w:rPr>
          <w:rFonts w:ascii="Times New Roman" w:hAnsi="Times New Roman"/>
          <w:b w:val="0"/>
          <w:sz w:val="20"/>
        </w:rPr>
        <w:t xml:space="preserve">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w:t>
      </w:r>
      <w:proofErr w:type="gramStart"/>
      <w:r w:rsidRPr="008B3A32">
        <w:rPr>
          <w:rFonts w:ascii="Times New Roman" w:hAnsi="Times New Roman"/>
          <w:sz w:val="20"/>
          <w:szCs w:val="20"/>
        </w:rPr>
        <w:t>garments</w:t>
      </w:r>
      <w:proofErr w:type="gramEnd"/>
      <w:r w:rsidRPr="008B3A32">
        <w:rPr>
          <w:rFonts w:ascii="Times New Roman" w:hAnsi="Times New Roman"/>
          <w:sz w:val="20"/>
          <w:szCs w:val="20"/>
        </w:rPr>
        <w:t xml:space="preserve">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proofErr w:type="gramStart"/>
      <w:r w:rsidRPr="00D53A7D">
        <w:rPr>
          <w:rFonts w:ascii="Times New Roman" w:hAnsi="Times New Roman"/>
          <w:sz w:val="20"/>
          <w:szCs w:val="20"/>
          <w:u w:val="single"/>
        </w:rPr>
        <w:t>Federally-funded</w:t>
      </w:r>
      <w:proofErr w:type="gramEnd"/>
      <w:r w:rsidRPr="00D53A7D">
        <w:rPr>
          <w:rFonts w:ascii="Times New Roman" w:hAnsi="Times New Roman"/>
          <w:sz w:val="20"/>
          <w:szCs w:val="20"/>
          <w:u w:val="single"/>
        </w:rPr>
        <w:t xml:space="preserve">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69B73BD3"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3A5F64">
        <w:rPr>
          <w:rFonts w:ascii="Times New Roman" w:hAnsi="Times New Roman"/>
          <w:sz w:val="20"/>
          <w:szCs w:val="20"/>
        </w:rPr>
        <w:t>for the production of</w:t>
      </w:r>
      <w:proofErr w:type="gramEnd"/>
      <w:r w:rsidR="003A5F64" w:rsidRPr="003A5F64">
        <w:rPr>
          <w:rFonts w:ascii="Times New Roman" w:hAnsi="Times New Roman"/>
          <w:sz w:val="20"/>
          <w:szCs w:val="20"/>
        </w:rPr>
        <w:t xml:space="preserve">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6"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7" w:name="_Ref37060170"/>
      <w:bookmarkStart w:id="128" w:name="_Toc57173691"/>
      <w:bookmarkStart w:id="129" w:name="_Ref66680387"/>
      <w:bookmarkEnd w:id="126"/>
      <w:r w:rsidR="00EE4183" w:rsidRPr="00594F71">
        <w:rPr>
          <w:rFonts w:ascii="Times New Roman" w:hAnsi="Times New Roman"/>
          <w:b w:val="0"/>
          <w:i w:val="0"/>
          <w:sz w:val="20"/>
        </w:rPr>
        <w:t xml:space="preserve"> </w:t>
      </w:r>
      <w:bookmarkEnd w:id="127"/>
      <w:bookmarkEnd w:id="128"/>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w:t>
      </w:r>
      <w:proofErr w:type="gramStart"/>
      <w:r w:rsidR="00EE4183" w:rsidRPr="00594F71">
        <w:rPr>
          <w:rFonts w:ascii="Times New Roman" w:hAnsi="Times New Roman"/>
          <w:b w:val="0"/>
          <w:i w:val="0"/>
          <w:sz w:val="20"/>
        </w:rPr>
        <w:t>an</w:t>
      </w:r>
      <w:proofErr w:type="gramEnd"/>
      <w:r w:rsidR="00EE4183" w:rsidRPr="00594F71">
        <w:rPr>
          <w:rFonts w:ascii="Times New Roman" w:hAnsi="Times New Roman"/>
          <w:b w:val="0"/>
          <w:i w:val="0"/>
          <w:sz w:val="20"/>
        </w:rPr>
        <w:t xml:space="preserve">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9"/>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BA2CFB" w:rsidRDefault="00873C10" w:rsidP="00E266EA">
            <w:pPr>
              <w:pStyle w:val="TableStyle"/>
              <w:widowControl w:val="0"/>
              <w:spacing w:line="240" w:lineRule="auto"/>
              <w:rPr>
                <w:rFonts w:ascii="Times New Roman" w:hAnsi="Times New Roman"/>
                <w:b/>
                <w:bCs/>
                <w:sz w:val="20"/>
                <w:highlight w:val="yellow"/>
              </w:rPr>
            </w:pPr>
            <w:r w:rsidRPr="00BA2CFB">
              <w:rPr>
                <w:rFonts w:ascii="Times New Roman" w:hAnsi="Times New Roman"/>
                <w:b/>
                <w:bCs/>
                <w:sz w:val="20"/>
                <w:highlight w:val="yellow"/>
              </w:rPr>
              <w:t xml:space="preserve">If to </w:t>
            </w:r>
            <w:r w:rsidR="008B0A96" w:rsidRPr="00BA2CFB">
              <w:rPr>
                <w:rFonts w:ascii="Times New Roman" w:hAnsi="Times New Roman"/>
                <w:b/>
                <w:bCs/>
                <w:sz w:val="20"/>
                <w:highlight w:val="yellow"/>
              </w:rPr>
              <w:t>Contractor</w:t>
            </w:r>
            <w:r w:rsidRPr="00BA2CFB">
              <w:rPr>
                <w:rFonts w:ascii="Times New Roman" w:hAnsi="Times New Roman"/>
                <w:b/>
                <w:bCs/>
                <w:sz w:val="20"/>
                <w:highlight w:val="yellow"/>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BA2CFB" w:rsidRDefault="00873C10" w:rsidP="00E266EA">
            <w:pPr>
              <w:pStyle w:val="TableStyle"/>
              <w:widowControl w:val="0"/>
              <w:spacing w:line="240" w:lineRule="auto"/>
              <w:rPr>
                <w:rFonts w:ascii="Times New Roman" w:hAnsi="Times New Roman"/>
                <w:b/>
                <w:bCs/>
                <w:sz w:val="20"/>
                <w:highlight w:val="yellow"/>
              </w:rPr>
            </w:pPr>
            <w:r w:rsidRPr="00BA2CFB">
              <w:rPr>
                <w:rFonts w:ascii="Times New Roman" w:hAnsi="Times New Roman"/>
                <w:b/>
                <w:bCs/>
                <w:sz w:val="20"/>
                <w:highlight w:val="yellow"/>
              </w:rPr>
              <w:t xml:space="preserve">If to the </w:t>
            </w:r>
            <w:r w:rsidR="00D27D61" w:rsidRPr="00BA2CFB">
              <w:rPr>
                <w:rFonts w:ascii="Times New Roman" w:hAnsi="Times New Roman"/>
                <w:b/>
                <w:bCs/>
                <w:sz w:val="20"/>
                <w:highlight w:val="yellow"/>
              </w:rPr>
              <w:t>JBE</w:t>
            </w:r>
            <w:r w:rsidRPr="00BA2CFB">
              <w:rPr>
                <w:rFonts w:ascii="Times New Roman" w:hAnsi="Times New Roman"/>
                <w:b/>
                <w:bCs/>
                <w:sz w:val="20"/>
                <w:highlight w:val="yellow"/>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BA2CFB" w:rsidRDefault="00533B3B" w:rsidP="00E266EA">
            <w:pPr>
              <w:pStyle w:val="TableStyle"/>
              <w:widowControl w:val="0"/>
              <w:tabs>
                <w:tab w:val="left" w:pos="3244"/>
              </w:tabs>
              <w:spacing w:line="240" w:lineRule="auto"/>
              <w:rPr>
                <w:rFonts w:ascii="Times New Roman" w:hAnsi="Times New Roman"/>
                <w:sz w:val="20"/>
                <w:highlight w:val="yellow"/>
                <w:u w:val="single"/>
              </w:rPr>
            </w:pPr>
            <w:r w:rsidRPr="00BA2CFB">
              <w:rPr>
                <w:rFonts w:ascii="Times New Roman" w:hAnsi="Times New Roman"/>
                <w:sz w:val="20"/>
                <w:highlight w:val="yellow"/>
                <w:u w:val="single"/>
              </w:rPr>
              <w:t>[name, title, address]</w:t>
            </w:r>
            <w:r w:rsidR="00A97BE4" w:rsidRPr="00BA2CFB">
              <w:rPr>
                <w:rFonts w:ascii="Times New Roman" w:hAnsi="Times New Roman"/>
                <w:sz w:val="20"/>
                <w:highlight w:val="yellow"/>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BA2CFB" w:rsidRDefault="00533B3B" w:rsidP="00E266EA">
            <w:pPr>
              <w:pStyle w:val="TableStyle"/>
              <w:widowControl w:val="0"/>
              <w:tabs>
                <w:tab w:val="left" w:pos="3244"/>
              </w:tabs>
              <w:spacing w:line="240" w:lineRule="auto"/>
              <w:rPr>
                <w:rFonts w:ascii="Times New Roman" w:hAnsi="Times New Roman"/>
                <w:sz w:val="20"/>
                <w:highlight w:val="yellow"/>
              </w:rPr>
            </w:pPr>
            <w:r w:rsidRPr="00BA2CFB">
              <w:rPr>
                <w:rFonts w:ascii="Times New Roman" w:hAnsi="Times New Roman"/>
                <w:sz w:val="20"/>
                <w:highlight w:val="yellow"/>
                <w:u w:val="single"/>
              </w:rPr>
              <w:t>[name, title, address]</w:t>
            </w:r>
            <w:r w:rsidR="00A97BE4" w:rsidRPr="00BA2CFB">
              <w:rPr>
                <w:rFonts w:ascii="Times New Roman" w:hAnsi="Times New Roman"/>
                <w:sz w:val="20"/>
                <w:highlight w:val="yellow"/>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xml:space="preserve">, or legal representative of the other, and the relationship of the Parties under this Agreement is that of independent contractors.  Neither Party shall have any right, </w:t>
      </w:r>
      <w:proofErr w:type="gramStart"/>
      <w:r w:rsidR="00873C10" w:rsidRPr="00594F71">
        <w:rPr>
          <w:rFonts w:ascii="Times New Roman" w:hAnsi="Times New Roman"/>
          <w:sz w:val="20"/>
        </w:rPr>
        <w:t>power</w:t>
      </w:r>
      <w:proofErr w:type="gramEnd"/>
      <w:r w:rsidR="00873C10" w:rsidRPr="00594F71">
        <w:rPr>
          <w:rFonts w:ascii="Times New Roman" w:hAnsi="Times New Roman"/>
          <w:sz w:val="20"/>
        </w:rPr>
        <w:t xml:space="preserve">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w:t>
      </w:r>
      <w:proofErr w:type="gramStart"/>
      <w:r w:rsidR="00873C10" w:rsidRPr="00594F71">
        <w:rPr>
          <w:rFonts w:ascii="Times New Roman" w:hAnsi="Times New Roman"/>
          <w:sz w:val="20"/>
        </w:rPr>
        <w:t>that,</w:t>
      </w:r>
      <w:proofErr w:type="gramEnd"/>
      <w:r w:rsidR="00873C10" w:rsidRPr="00594F71">
        <w:rPr>
          <w:rFonts w:ascii="Times New Roman" w:hAnsi="Times New Roman"/>
          <w:sz w:val="20"/>
        </w:rPr>
        <w:t xml:space="preserve">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 xml:space="preserve">iate in the </w:t>
      </w:r>
      <w:proofErr w:type="gramStart"/>
      <w:r w:rsidR="00667EFF">
        <w:rPr>
          <w:rFonts w:ascii="Times New Roman" w:hAnsi="Times New Roman"/>
          <w:sz w:val="20"/>
        </w:rPr>
        <w:t>end product</w:t>
      </w:r>
      <w:proofErr w:type="gramEnd"/>
      <w:r w:rsidR="00667EFF">
        <w:rPr>
          <w:rFonts w:ascii="Times New Roman" w:hAnsi="Times New Roman"/>
          <w:sz w:val="20"/>
        </w:rPr>
        <w:t xml:space="preserve">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F086B0F"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[SECTION INSTRUCTIONS: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30"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30"/>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3"/>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EDE30AA"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[SECTION INSTRUCTIONS: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1A5D61">
        <w:rPr>
          <w:rFonts w:ascii="Times New Roman" w:hAnsi="Times New Roman"/>
          <w:b w:val="0"/>
          <w:sz w:val="19"/>
          <w:szCs w:val="19"/>
        </w:rPr>
        <w:t>end product</w:t>
      </w:r>
      <w:proofErr w:type="gramEnd"/>
      <w:r w:rsidRPr="001A5D61">
        <w:rPr>
          <w:rFonts w:ascii="Times New Roman" w:hAnsi="Times New Roman"/>
          <w:b w:val="0"/>
          <w:sz w:val="19"/>
          <w:szCs w:val="19"/>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proofErr w:type="gramStart"/>
      <w:r w:rsidR="001E09E1" w:rsidRPr="001A5D61">
        <w:rPr>
          <w:rFonts w:ascii="Times New Roman" w:hAnsi="Times New Roman"/>
          <w:b w:val="0"/>
          <w:sz w:val="19"/>
          <w:szCs w:val="19"/>
        </w:rPr>
        <w:t>Work</w:t>
      </w:r>
      <w:r w:rsidRPr="001A5D61">
        <w:rPr>
          <w:rFonts w:ascii="Times New Roman" w:hAnsi="Times New Roman"/>
          <w:b w:val="0"/>
          <w:sz w:val="19"/>
          <w:szCs w:val="19"/>
        </w:rPr>
        <w:t>, or</w:t>
      </w:r>
      <w:proofErr w:type="gramEnd"/>
      <w:r w:rsidRPr="001A5D61">
        <w:rPr>
          <w:rFonts w:ascii="Times New Roman" w:hAnsi="Times New Roman"/>
          <w:b w:val="0"/>
          <w:sz w:val="19"/>
          <w:szCs w:val="19"/>
        </w:rPr>
        <w:t xml:space="preserve">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1"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31"/>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32"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proofErr w:type="gramStart"/>
      <w:r w:rsidR="00C014F6" w:rsidRPr="001A5D61">
        <w:rPr>
          <w:rFonts w:ascii="Times New Roman" w:hAnsi="Times New Roman"/>
          <w:b w:val="0"/>
          <w:sz w:val="19"/>
          <w:szCs w:val="19"/>
        </w:rPr>
        <w:t>Work</w:t>
      </w:r>
      <w:r w:rsidRPr="001A5D61">
        <w:rPr>
          <w:rFonts w:ascii="Times New Roman" w:hAnsi="Times New Roman"/>
          <w:b w:val="0"/>
          <w:sz w:val="19"/>
          <w:szCs w:val="19"/>
        </w:rPr>
        <w:t>;</w:t>
      </w:r>
      <w:proofErr w:type="gramEnd"/>
      <w:r w:rsidRPr="001A5D61">
        <w:rPr>
          <w:rFonts w:ascii="Times New Roman" w:hAnsi="Times New Roman"/>
          <w:b w:val="0"/>
          <w:sz w:val="19"/>
          <w:szCs w:val="19"/>
        </w:rPr>
        <w:t xml:space="preserve"> together with all Upgrades thereto.</w:t>
      </w:r>
      <w:bookmarkEnd w:id="132"/>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w:t>
      </w:r>
      <w:proofErr w:type="gramStart"/>
      <w:r w:rsidRPr="001A5D61">
        <w:rPr>
          <w:rFonts w:ascii="Times New Roman" w:hAnsi="Times New Roman"/>
          <w:b w:val="0"/>
          <w:sz w:val="19"/>
          <w:szCs w:val="19"/>
        </w:rPr>
        <w:t>subcontractors</w:t>
      </w:r>
      <w:proofErr w:type="gramEnd"/>
      <w:r w:rsidRPr="001A5D61">
        <w:rPr>
          <w:rFonts w:ascii="Times New Roman" w:hAnsi="Times New Roman"/>
          <w:b w:val="0"/>
          <w:sz w:val="19"/>
          <w:szCs w:val="19"/>
        </w:rPr>
        <w:t xml:space="preserve">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0095F20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t>
      </w:r>
      <w:proofErr w:type="gramStart"/>
      <w:r w:rsidRPr="001A5D61">
        <w:rPr>
          <w:rFonts w:ascii="Times New Roman" w:hAnsi="Times New Roman"/>
          <w:b w:val="0"/>
          <w:sz w:val="19"/>
          <w:szCs w:val="19"/>
        </w:rPr>
        <w:t>works</w:t>
      </w:r>
      <w:proofErr w:type="gramEnd"/>
      <w:r w:rsidRPr="001A5D61">
        <w:rPr>
          <w:rFonts w:ascii="Times New Roman" w:hAnsi="Times New Roman"/>
          <w:b w:val="0"/>
          <w:sz w:val="19"/>
          <w:szCs w:val="19"/>
        </w:rPr>
        <w:t xml:space="preserve"> and other works of authorship (including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xml:space="preserve">” means any </w:t>
      </w:r>
      <w:proofErr w:type="gramStart"/>
      <w:r w:rsidRPr="001A5D61">
        <w:rPr>
          <w:rFonts w:ascii="Times New Roman" w:hAnsi="Times New Roman"/>
          <w:sz w:val="19"/>
          <w:szCs w:val="19"/>
        </w:rPr>
        <w:t>personally-identifiable</w:t>
      </w:r>
      <w:proofErr w:type="gramEnd"/>
      <w:r w:rsidRPr="001A5D61">
        <w:rPr>
          <w:rFonts w:ascii="Times New Roman" w:hAnsi="Times New Roman"/>
          <w:sz w:val="19"/>
          <w:szCs w:val="19"/>
        </w:rPr>
        <w:t xml:space="preserve"> information (e.g., person’s name, address, credit card number, email address) that is provided, generated, collected, accessed, stored or obtained pursuant to this Agreement, including transactional and other data pertaining to individuals.</w:t>
      </w:r>
    </w:p>
    <w:p w14:paraId="0A54E175" w14:textId="2F035B59"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proofErr w:type="gramStart"/>
      <w:r w:rsidRPr="001A5D61">
        <w:rPr>
          <w:rFonts w:ascii="Times New Roman" w:hAnsi="Times New Roman"/>
          <w:b w:val="0"/>
          <w:sz w:val="19"/>
          <w:szCs w:val="19"/>
        </w:rPr>
        <w:t>functionality</w:t>
      </w:r>
      <w:proofErr w:type="gramEnd"/>
      <w:r w:rsidRPr="001A5D61">
        <w:rPr>
          <w:rFonts w:ascii="Times New Roman" w:hAnsi="Times New Roman"/>
          <w:b w:val="0"/>
          <w:sz w:val="19"/>
          <w:szCs w:val="19"/>
        </w:rPr>
        <w:t xml:space="preserve">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7"/>
          <w:headerReference w:type="first" r:id="rId18"/>
          <w:footerReference w:type="first" r:id="rId19"/>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13BFE57A" w14:textId="07029807" w:rsidR="009B47E8" w:rsidRPr="009B47E8" w:rsidRDefault="00D5362C" w:rsidP="009B47E8">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sidR="009B47E8">
        <w:rPr>
          <w:rFonts w:ascii="Times New Roman" w:hAnsi="Times New Roman"/>
          <w:sz w:val="20"/>
          <w:szCs w:val="20"/>
        </w:rPr>
        <w:t xml:space="preserve"> </w:t>
      </w:r>
      <w:r w:rsidR="009B47E8" w:rsidRPr="009B47E8">
        <w:rPr>
          <w:rFonts w:ascii="Times New Roman" w:hAnsi="Times New Roman"/>
          <w:b/>
          <w:bCs/>
          <w:i/>
          <w:iCs/>
          <w:sz w:val="20"/>
          <w:szCs w:val="20"/>
          <w:highlight w:val="yellow"/>
        </w:rPr>
        <w:t>[insert name of the software to be licensed by Contractor to the Judicial Council, TBD</w:t>
      </w:r>
      <w:r w:rsidR="009B47E8" w:rsidRPr="009B47E8">
        <w:rPr>
          <w:rFonts w:ascii="Times New Roman" w:hAnsi="Times New Roman"/>
          <w:b/>
          <w:bCs/>
          <w:i/>
          <w:iCs/>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w:t>
      </w:r>
      <w:r w:rsidR="00631DB8" w:rsidRPr="009B47E8">
        <w:rPr>
          <w:rFonts w:ascii="Times New Roman" w:hAnsi="Times New Roman"/>
          <w:sz w:val="20"/>
          <w:szCs w:val="20"/>
          <w:highlight w:val="yellow"/>
        </w:rPr>
        <w:t>________________</w:t>
      </w:r>
    </w:p>
    <w:p w14:paraId="67DD1429" w14:textId="695590C3" w:rsidR="00AC0AB8" w:rsidRPr="00F522E3"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JBE Contractors, but only in connection with their provision of goods or services to Judicial Branch Entities. The foregoing use and access may be directly </w:t>
      </w:r>
      <w:proofErr w:type="gramStart"/>
      <w:r w:rsidR="00D5365D" w:rsidRPr="00146EFB">
        <w:rPr>
          <w:rFonts w:ascii="Times New Roman" w:hAnsi="Times New Roman"/>
          <w:sz w:val="20"/>
        </w:rPr>
        <w:t>enabled</w:t>
      </w:r>
      <w:proofErr w:type="gramEnd"/>
      <w:r w:rsidR="00D5365D" w:rsidRPr="00146EFB">
        <w:rPr>
          <w:rFonts w:ascii="Times New Roman" w:hAnsi="Times New Roman"/>
          <w:sz w:val="20"/>
        </w:rPr>
        <w:t xml:space="preserve">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129F7185" w14:textId="0B7A3941" w:rsidR="00F522E3" w:rsidRPr="00FF1BF6" w:rsidRDefault="00F522E3" w:rsidP="0084153C">
      <w:pPr>
        <w:pStyle w:val="ListParagraph"/>
        <w:numPr>
          <w:ilvl w:val="2"/>
          <w:numId w:val="42"/>
        </w:numPr>
        <w:tabs>
          <w:tab w:val="clear" w:pos="720"/>
        </w:tabs>
        <w:spacing w:before="60" w:after="60" w:line="240" w:lineRule="auto"/>
        <w:ind w:left="360"/>
        <w:contextualSpacing w:val="0"/>
        <w:rPr>
          <w:rFonts w:ascii="Times New Roman" w:hAnsi="Times New Roman"/>
          <w:b/>
          <w:bCs/>
          <w:sz w:val="20"/>
          <w:szCs w:val="20"/>
        </w:rPr>
      </w:pPr>
      <w:r w:rsidRPr="00FF1BF6">
        <w:rPr>
          <w:rFonts w:ascii="Times New Roman" w:hAnsi="Times New Roman"/>
          <w:b/>
          <w:bCs/>
          <w:sz w:val="20"/>
          <w:szCs w:val="20"/>
        </w:rPr>
        <w:t>The Judicial Council will not bound by and does not accept any “shrink-wrap,” “click-wrap,” or “click-thru” terms or conditions or any other terms or conditions, express or implied, that are contained in or on the software packaging or that may accompany the Licensed Software in any manner, regardless of any notification to the contrary.</w:t>
      </w:r>
    </w:p>
    <w:p w14:paraId="52FCD713" w14:textId="29BBB5D0" w:rsidR="0080263B" w:rsidRPr="008A0CFC" w:rsidRDefault="0080263B" w:rsidP="008A0CFC">
      <w:pPr>
        <w:pStyle w:val="ListParagraph"/>
        <w:spacing w:after="60"/>
        <w:ind w:left="360"/>
        <w:rPr>
          <w:rFonts w:ascii="Times New Roman" w:hAnsi="Times New Roman"/>
          <w:sz w:val="20"/>
          <w:szCs w:val="20"/>
          <w:u w:val="single"/>
        </w:rPr>
        <w:sectPr w:rsidR="0080263B" w:rsidRPr="008A0CFC" w:rsidSect="00D92D15">
          <w:footerReference w:type="first" r:id="rId20"/>
          <w:pgSz w:w="12240" w:h="15840" w:code="1"/>
          <w:pgMar w:top="1080" w:right="1296" w:bottom="1080" w:left="1296" w:header="288" w:footer="0" w:gutter="0"/>
          <w:pgNumType w:start="1"/>
          <w:cols w:space="720"/>
          <w:titlePg/>
          <w:docGrid w:linePitch="299"/>
        </w:sectPr>
      </w:pPr>
    </w:p>
    <w:p w14:paraId="043A7927" w14:textId="103366BA" w:rsidR="00471742" w:rsidRPr="00F522E3" w:rsidRDefault="00AC0AB8" w:rsidP="00F522E3">
      <w:pPr>
        <w:jc w:val="center"/>
        <w:rPr>
          <w:rFonts w:ascii="Times New Roman" w:hAnsi="Times New Roman"/>
          <w:b/>
          <w:sz w:val="20"/>
          <w:szCs w:val="20"/>
        </w:rPr>
      </w:pPr>
      <w:r w:rsidRPr="00E330EB">
        <w:rPr>
          <w:rFonts w:ascii="Times New Roman" w:hAnsi="Times New Roman"/>
          <w:b/>
          <w:sz w:val="20"/>
          <w:szCs w:val="20"/>
          <w:u w:val="single"/>
        </w:rPr>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73B9C305" w14:textId="7B345232"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F522E3">
        <w:rPr>
          <w:rFonts w:ascii="Times New Roman" w:hAnsi="Times New Roman"/>
          <w:b/>
          <w:i/>
          <w:sz w:val="20"/>
          <w:szCs w:val="20"/>
          <w:highlight w:val="yellow"/>
        </w:rPr>
        <w:t xml:space="preserve">], with </w:t>
      </w:r>
      <w:r w:rsidR="0038588D">
        <w:rPr>
          <w:rFonts w:ascii="Times New Roman" w:hAnsi="Times New Roman"/>
          <w:b/>
          <w:i/>
          <w:sz w:val="20"/>
          <w:szCs w:val="20"/>
          <w:highlight w:val="yellow"/>
        </w:rPr>
        <w:t>two</w:t>
      </w:r>
      <w:r w:rsidR="00F522E3">
        <w:rPr>
          <w:rFonts w:ascii="Times New Roman" w:hAnsi="Times New Roman"/>
          <w:b/>
          <w:i/>
          <w:sz w:val="20"/>
          <w:szCs w:val="20"/>
          <w:highlight w:val="yellow"/>
        </w:rPr>
        <w:t xml:space="preserve"> additional </w:t>
      </w:r>
      <w:r w:rsidR="0038588D">
        <w:rPr>
          <w:rFonts w:ascii="Times New Roman" w:hAnsi="Times New Roman"/>
          <w:b/>
          <w:i/>
          <w:sz w:val="20"/>
          <w:szCs w:val="20"/>
          <w:highlight w:val="yellow"/>
        </w:rPr>
        <w:t>one</w:t>
      </w:r>
      <w:r w:rsidR="00F522E3">
        <w:rPr>
          <w:rFonts w:ascii="Times New Roman" w:hAnsi="Times New Roman"/>
          <w:b/>
          <w:i/>
          <w:sz w:val="20"/>
          <w:szCs w:val="20"/>
          <w:highlight w:val="yellow"/>
        </w:rPr>
        <w:t xml:space="preserve">-year option term (at the JBE’s sole discretion) for a potential maximum total of </w:t>
      </w:r>
      <w:r w:rsidR="0038588D">
        <w:rPr>
          <w:rFonts w:ascii="Times New Roman" w:hAnsi="Times New Roman"/>
          <w:b/>
          <w:i/>
          <w:sz w:val="20"/>
          <w:szCs w:val="20"/>
          <w:highlight w:val="yellow"/>
        </w:rPr>
        <w:t>five</w:t>
      </w:r>
      <w:r w:rsidR="00F522E3">
        <w:rPr>
          <w:rFonts w:ascii="Times New Roman" w:hAnsi="Times New Roman"/>
          <w:b/>
          <w:i/>
          <w:sz w:val="20"/>
          <w:szCs w:val="20"/>
          <w:highlight w:val="yellow"/>
        </w:rPr>
        <w:t xml:space="preserve"> (</w:t>
      </w:r>
      <w:r w:rsidR="0038588D">
        <w:rPr>
          <w:rFonts w:ascii="Times New Roman" w:hAnsi="Times New Roman"/>
          <w:b/>
          <w:i/>
          <w:sz w:val="20"/>
          <w:szCs w:val="20"/>
          <w:highlight w:val="yellow"/>
        </w:rPr>
        <w:t>5</w:t>
      </w:r>
      <w:r w:rsidR="00F522E3">
        <w:rPr>
          <w:rFonts w:ascii="Times New Roman" w:hAnsi="Times New Roman"/>
          <w:b/>
          <w:i/>
          <w:sz w:val="20"/>
          <w:szCs w:val="20"/>
          <w:highlight w:val="yellow"/>
        </w:rPr>
        <w:t>) years.</w:t>
      </w:r>
    </w:p>
    <w:p w14:paraId="13AB2385" w14:textId="77777777" w:rsidR="00F522E3" w:rsidRDefault="00F522E3" w:rsidP="00B61602">
      <w:pPr>
        <w:spacing w:line="240" w:lineRule="auto"/>
        <w:rPr>
          <w:rFonts w:ascii="Times New Roman" w:hAnsi="Times New Roman"/>
          <w:b/>
          <w:i/>
          <w:sz w:val="20"/>
          <w:szCs w:val="20"/>
          <w:highlight w:val="yellow"/>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t>
      </w:r>
      <w:proofErr w:type="gramStart"/>
      <w:r w:rsidRPr="00C94DCC">
        <w:rPr>
          <w:rFonts w:ascii="Times New Roman" w:hAnsi="Times New Roman"/>
          <w:sz w:val="20"/>
          <w:szCs w:val="20"/>
        </w:rPr>
        <w:t>where</w:t>
      </w:r>
      <w:proofErr w:type="gramEnd"/>
      <w:r w:rsidRPr="00C94DCC">
        <w:rPr>
          <w:rFonts w:ascii="Times New Roman" w:hAnsi="Times New Roman"/>
          <w:sz w:val="20"/>
          <w:szCs w:val="20"/>
        </w:rPr>
        <w:t xml:space="preserv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w:t>
      </w:r>
      <w:proofErr w:type="gramStart"/>
      <w:r w:rsidRPr="00C94DCC">
        <w:rPr>
          <w:rFonts w:ascii="Times New Roman" w:hAnsi="Times New Roman"/>
          <w:sz w:val="20"/>
          <w:szCs w:val="20"/>
        </w:rPr>
        <w:t>resolved</w:t>
      </w:r>
      <w:proofErr w:type="gramEnd"/>
      <w:r w:rsidRPr="00C94DCC">
        <w:rPr>
          <w:rFonts w:ascii="Times New Roman" w:hAnsi="Times New Roman"/>
          <w:sz w:val="20"/>
          <w:szCs w:val="20"/>
        </w:rPr>
        <w:t xml:space="preserve">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0EA81A85"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000D2CEB" w:rsidRPr="00FF1BF6">
        <w:rPr>
          <w:rFonts w:ascii="Times New Roman" w:hAnsi="Times New Roman"/>
          <w:b/>
          <w:i/>
          <w:sz w:val="20"/>
          <w:szCs w:val="20"/>
        </w:rPr>
        <w:t>8</w:t>
      </w:r>
      <w:r w:rsidRPr="00FF1BF6">
        <w:rPr>
          <w:rFonts w:ascii="Times New Roman" w:hAnsi="Times New Roman"/>
          <w:b/>
          <w:i/>
          <w:sz w:val="20"/>
          <w:szCs w:val="20"/>
        </w:rPr>
        <w:t xml:space="preserve">am to </w:t>
      </w:r>
      <w:r w:rsidR="000D2CEB" w:rsidRPr="00FF1BF6">
        <w:rPr>
          <w:rFonts w:ascii="Times New Roman" w:hAnsi="Times New Roman"/>
          <w:b/>
          <w:i/>
          <w:sz w:val="20"/>
          <w:szCs w:val="20"/>
        </w:rPr>
        <w:t>5</w:t>
      </w:r>
      <w:r w:rsidRPr="00FF1BF6">
        <w:rPr>
          <w:rFonts w:ascii="Times New Roman" w:hAnsi="Times New Roman"/>
          <w:b/>
          <w:i/>
          <w:sz w:val="20"/>
          <w:szCs w:val="20"/>
        </w:rPr>
        <w:t xml:space="preserve"> pm Pacific Time on all Business Day</w:t>
      </w:r>
      <w:r w:rsidRPr="00FF1BF6">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xml:space="preserve">, Licensed </w:t>
      </w:r>
      <w:proofErr w:type="gramStart"/>
      <w:r w:rsidR="00BA2F3F">
        <w:rPr>
          <w:rFonts w:ascii="Times New Roman" w:hAnsi="Times New Roman"/>
          <w:sz w:val="20"/>
          <w:szCs w:val="20"/>
        </w:rPr>
        <w:t>Software</w:t>
      </w:r>
      <w:proofErr w:type="gramEnd"/>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620E19DC"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t>
      </w:r>
      <w:r w:rsidR="004E36D0" w:rsidRPr="00FF1BF6">
        <w:rPr>
          <w:rFonts w:ascii="Times New Roman" w:hAnsi="Times New Roman"/>
          <w:b/>
          <w:bCs/>
          <w:sz w:val="20"/>
          <w:szCs w:val="20"/>
        </w:rPr>
        <w:t>The JBE will have the option of electing to install the Upgrade with Contractor support at no additional cost during the period covered by this Agreement.</w:t>
      </w:r>
      <w:r w:rsidR="00AC0AB8" w:rsidRPr="00FF1BF6">
        <w:rPr>
          <w:rFonts w:ascii="Times New Roman" w:hAnsi="Times New Roman"/>
          <w:b/>
          <w:bCs/>
          <w:sz w:val="20"/>
          <w:szCs w:val="20"/>
        </w:rPr>
        <w:t xml:space="preserve"> Without limiting any other obligation of Contractor under this Agreement,</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w:t>
      </w:r>
      <w:proofErr w:type="gramStart"/>
      <w:r w:rsidR="00AC0AB8" w:rsidRPr="00C94DCC">
        <w:rPr>
          <w:rFonts w:ascii="Times New Roman" w:hAnsi="Times New Roman"/>
          <w:sz w:val="20"/>
          <w:szCs w:val="20"/>
        </w:rPr>
        <w:t>software</w:t>
      </w:r>
      <w:proofErr w:type="gramEnd"/>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03C19CDC"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6A269A">
        <w:rPr>
          <w:rFonts w:ascii="Times New Roman" w:hAnsi="Times New Roman"/>
          <w:b/>
          <w:bCs/>
          <w:sz w:val="20"/>
          <w:szCs w:val="20"/>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7E89F715"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FF1BF6">
        <w:rPr>
          <w:rFonts w:ascii="Times New Roman" w:hAnsi="Times New Roman"/>
          <w:sz w:val="20"/>
          <w:szCs w:val="20"/>
        </w:rPr>
        <w:t>:</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 xml:space="preserve">of a service, Deliverable, Licensed </w:t>
            </w:r>
            <w:proofErr w:type="gramStart"/>
            <w:r w:rsidR="00B96D99">
              <w:t>Software</w:t>
            </w:r>
            <w:proofErr w:type="gramEnd"/>
            <w:r w:rsidR="00B96D99">
              <w:t xml:space="preserv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 xml:space="preserve">data is </w:t>
            </w:r>
            <w:proofErr w:type="gramStart"/>
            <w:r w:rsidR="00AC0AB8">
              <w:t>corrupted</w:t>
            </w:r>
            <w:proofErr w:type="gramEnd"/>
            <w:r w:rsidR="00AC0AB8">
              <w:t xml:space="preserve">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40D0FBA" w:rsidR="00AC0AB8" w:rsidRDefault="00B1338C" w:rsidP="00B61602">
            <w:pPr>
              <w:pStyle w:val="TableStyle"/>
              <w:spacing w:before="100" w:after="100" w:line="240" w:lineRule="auto"/>
              <w:jc w:val="center"/>
              <w:rPr>
                <w:sz w:val="16"/>
              </w:rPr>
            </w:pPr>
            <w:r>
              <w:rPr>
                <w:sz w:val="16"/>
              </w:rPr>
              <w:t xml:space="preserve">120 </w:t>
            </w:r>
            <w:r w:rsidR="00AC0AB8">
              <w:rPr>
                <w:sz w:val="16"/>
              </w:rPr>
              <w:t>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w:t>
            </w:r>
            <w:proofErr w:type="gramStart"/>
            <w:r w:rsidR="00AC0AB8">
              <w:t>Software</w:t>
            </w:r>
            <w:proofErr w:type="gramEnd"/>
            <w:r w:rsidR="00AC0AB8">
              <w:t xml:space="preserv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EB94378" w:rsidR="00AC0AB8" w:rsidRDefault="00AC0AB8" w:rsidP="00B61602">
            <w:pPr>
              <w:pStyle w:val="TableStyle"/>
              <w:spacing w:before="100" w:after="100" w:line="240" w:lineRule="auto"/>
              <w:jc w:val="center"/>
              <w:rPr>
                <w:sz w:val="16"/>
              </w:rPr>
            </w:pPr>
            <w:r>
              <w:rPr>
                <w:sz w:val="16"/>
              </w:rPr>
              <w:t>2</w:t>
            </w:r>
            <w:r w:rsidR="00B1338C">
              <w:rPr>
                <w:sz w:val="16"/>
              </w:rPr>
              <w:t>4</w:t>
            </w:r>
            <w:r>
              <w:rPr>
                <w:sz w:val="16"/>
              </w:rPr>
              <w:t xml:space="preserve">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 xml:space="preserve">All Defects other than Severity Level 1 Defects, Severity Level 2 Defects and Severity Level 3 Defects (e.g., </w:t>
            </w:r>
            <w:proofErr w:type="gramStart"/>
            <w:r>
              <w:t>minor</w:t>
            </w:r>
            <w:proofErr w:type="gramEnd"/>
            <w:r>
              <w:t xml:space="preserve">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342135DA" w:rsidR="00AC0AB8" w:rsidRDefault="00B1338C" w:rsidP="00B61602">
            <w:pPr>
              <w:pStyle w:val="TableStyle"/>
              <w:spacing w:before="100" w:after="100" w:line="240" w:lineRule="auto"/>
              <w:jc w:val="center"/>
              <w:rPr>
                <w:sz w:val="16"/>
              </w:rPr>
            </w:pPr>
            <w:r>
              <w:rPr>
                <w:sz w:val="16"/>
              </w:rPr>
              <w:t>48</w:t>
            </w:r>
            <w:r w:rsidR="00AC0AB8">
              <w:rPr>
                <w:sz w:val="16"/>
              </w:rPr>
              <w:t xml:space="preserve">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21"/>
          <w:footerReference w:type="first" r:id="rId22"/>
          <w:pgSz w:w="12240" w:h="15840" w:code="1"/>
          <w:pgMar w:top="1080" w:right="1296" w:bottom="1080" w:left="1296" w:header="288" w:footer="576" w:gutter="0"/>
          <w:pgNumType w:start="1"/>
          <w:cols w:space="720"/>
          <w:titlePg/>
          <w:docGrid w:linePitch="326"/>
        </w:sectPr>
      </w:pPr>
    </w:p>
    <w:p w14:paraId="49E1ECD3" w14:textId="77777777" w:rsidR="001951C6" w:rsidRDefault="001951C6" w:rsidP="00B61602">
      <w:pPr>
        <w:spacing w:line="240" w:lineRule="auto"/>
        <w:rPr>
          <w:rFonts w:ascii="Times New Roman" w:hAnsi="Times New Roman"/>
          <w:sz w:val="20"/>
          <w:szCs w:val="20"/>
        </w:rPr>
      </w:pPr>
    </w:p>
    <w:p w14:paraId="74D84167" w14:textId="77777777" w:rsidR="00DA65E8" w:rsidRDefault="00DA65E8" w:rsidP="00B61602">
      <w:pPr>
        <w:spacing w:line="240" w:lineRule="auto"/>
        <w:rPr>
          <w:rFonts w:ascii="Times New Roman" w:hAnsi="Times New Roman"/>
          <w:sz w:val="20"/>
          <w:szCs w:val="20"/>
        </w:rPr>
      </w:pPr>
    </w:p>
    <w:p w14:paraId="0D7C7266" w14:textId="77777777" w:rsidR="00DA65E8" w:rsidRDefault="00DA65E8" w:rsidP="00B61602">
      <w:pPr>
        <w:spacing w:line="240" w:lineRule="auto"/>
        <w:rPr>
          <w:rFonts w:ascii="Times New Roman" w:hAnsi="Times New Roman"/>
          <w:sz w:val="20"/>
          <w:szCs w:val="20"/>
        </w:rPr>
      </w:pPr>
    </w:p>
    <w:p w14:paraId="1F48AFF4" w14:textId="77777777" w:rsidR="00DA65E8" w:rsidRDefault="00DA65E8" w:rsidP="00B61602">
      <w:pPr>
        <w:spacing w:line="240" w:lineRule="auto"/>
        <w:rPr>
          <w:rFonts w:ascii="Times New Roman" w:hAnsi="Times New Roman"/>
          <w:sz w:val="20"/>
          <w:szCs w:val="20"/>
        </w:rPr>
      </w:pPr>
    </w:p>
    <w:p w14:paraId="184D54D0" w14:textId="77777777" w:rsidR="00DA65E8" w:rsidRDefault="00DA65E8" w:rsidP="00B61602">
      <w:pPr>
        <w:spacing w:line="240" w:lineRule="auto"/>
        <w:rPr>
          <w:rFonts w:ascii="Times New Roman" w:hAnsi="Times New Roman"/>
          <w:sz w:val="20"/>
          <w:szCs w:val="20"/>
        </w:rPr>
      </w:pPr>
    </w:p>
    <w:p w14:paraId="34E26EB4" w14:textId="4292E44E" w:rsidR="00DA65E8" w:rsidRDefault="00DA65E8" w:rsidP="00B61602">
      <w:pPr>
        <w:spacing w:line="240" w:lineRule="auto"/>
        <w:rPr>
          <w:rFonts w:ascii="Times New Roman" w:hAnsi="Times New Roman"/>
          <w:sz w:val="20"/>
          <w:szCs w:val="20"/>
        </w:rPr>
        <w:sectPr w:rsidR="00DA65E8" w:rsidSect="001951C6">
          <w:footerReference w:type="default" r:id="rId23"/>
          <w:type w:val="continuous"/>
          <w:pgSz w:w="12240" w:h="15840" w:code="1"/>
          <w:pgMar w:top="1080" w:right="1296" w:bottom="1080" w:left="1296" w:header="288" w:footer="576" w:gutter="0"/>
          <w:pgNumType w:start="1"/>
          <w:cols w:space="720"/>
          <w:titlePg/>
          <w:docGrid w:linePitch="326"/>
        </w:sectPr>
      </w:pPr>
    </w:p>
    <w:p w14:paraId="6B67D024" w14:textId="69BB662F" w:rsidR="00930C41" w:rsidRDefault="00930C41" w:rsidP="00B61602">
      <w:pPr>
        <w:spacing w:line="240" w:lineRule="auto"/>
        <w:rPr>
          <w:rFonts w:ascii="Times New Roman" w:hAnsi="Times New Roman"/>
          <w:sz w:val="20"/>
          <w:szCs w:val="20"/>
        </w:rPr>
      </w:pPr>
    </w:p>
    <w:p w14:paraId="554C02DF" w14:textId="60171122" w:rsidR="00DA65E8" w:rsidRDefault="00DA65E8" w:rsidP="00B61602">
      <w:pPr>
        <w:spacing w:line="240" w:lineRule="auto"/>
        <w:rPr>
          <w:rFonts w:ascii="Times New Roman" w:hAnsi="Times New Roman"/>
          <w:sz w:val="20"/>
          <w:szCs w:val="20"/>
        </w:rPr>
      </w:pPr>
    </w:p>
    <w:p w14:paraId="6FF9234F" w14:textId="43CC855C" w:rsidR="00DA65E8" w:rsidRDefault="00DA65E8" w:rsidP="00B61602">
      <w:pPr>
        <w:spacing w:line="240" w:lineRule="auto"/>
        <w:rPr>
          <w:rFonts w:ascii="Times New Roman" w:hAnsi="Times New Roman"/>
          <w:sz w:val="20"/>
          <w:szCs w:val="20"/>
        </w:rPr>
      </w:pPr>
    </w:p>
    <w:p w14:paraId="1824F769" w14:textId="5D343A94" w:rsidR="00DA65E8" w:rsidRDefault="00DA65E8" w:rsidP="00B61602">
      <w:pPr>
        <w:spacing w:line="240" w:lineRule="auto"/>
        <w:rPr>
          <w:rFonts w:ascii="Times New Roman" w:hAnsi="Times New Roman"/>
          <w:sz w:val="20"/>
          <w:szCs w:val="20"/>
        </w:rPr>
      </w:pPr>
    </w:p>
    <w:p w14:paraId="37B82BE3" w14:textId="2F78816D" w:rsidR="00DA65E8" w:rsidRDefault="00DA65E8" w:rsidP="00B61602">
      <w:pPr>
        <w:spacing w:line="240" w:lineRule="auto"/>
        <w:rPr>
          <w:rFonts w:ascii="Times New Roman" w:hAnsi="Times New Roman"/>
          <w:sz w:val="20"/>
          <w:szCs w:val="20"/>
        </w:rPr>
      </w:pPr>
    </w:p>
    <w:p w14:paraId="3D0A03E5" w14:textId="4444451A" w:rsidR="00DA65E8" w:rsidRDefault="00DA65E8" w:rsidP="00B61602">
      <w:pPr>
        <w:spacing w:line="240" w:lineRule="auto"/>
        <w:rPr>
          <w:rFonts w:ascii="Times New Roman" w:hAnsi="Times New Roman"/>
          <w:sz w:val="20"/>
          <w:szCs w:val="20"/>
        </w:rPr>
      </w:pPr>
    </w:p>
    <w:p w14:paraId="0A1BD948" w14:textId="696B42AC" w:rsidR="00DA65E8" w:rsidRDefault="00DA65E8" w:rsidP="00B61602">
      <w:pPr>
        <w:spacing w:line="240" w:lineRule="auto"/>
        <w:rPr>
          <w:rFonts w:ascii="Times New Roman" w:hAnsi="Times New Roman"/>
          <w:sz w:val="20"/>
          <w:szCs w:val="20"/>
        </w:rPr>
      </w:pPr>
    </w:p>
    <w:p w14:paraId="52E99E12" w14:textId="5B98BE36" w:rsidR="00DA65E8" w:rsidRDefault="00DA65E8" w:rsidP="00B61602">
      <w:pPr>
        <w:spacing w:line="240" w:lineRule="auto"/>
        <w:rPr>
          <w:rFonts w:ascii="Times New Roman" w:hAnsi="Times New Roman"/>
          <w:sz w:val="20"/>
          <w:szCs w:val="20"/>
        </w:rPr>
      </w:pPr>
    </w:p>
    <w:p w14:paraId="0DC610A3" w14:textId="0278E9BA" w:rsidR="00FF1BF6" w:rsidRDefault="00FF1BF6" w:rsidP="00B61602">
      <w:pPr>
        <w:spacing w:line="240" w:lineRule="auto"/>
        <w:rPr>
          <w:rFonts w:ascii="Times New Roman" w:hAnsi="Times New Roman"/>
          <w:sz w:val="20"/>
          <w:szCs w:val="20"/>
        </w:rPr>
      </w:pPr>
    </w:p>
    <w:p w14:paraId="73AB33FF" w14:textId="09F6BD05" w:rsidR="00FF1BF6" w:rsidRDefault="00FF1BF6" w:rsidP="00B61602">
      <w:pPr>
        <w:spacing w:line="240" w:lineRule="auto"/>
        <w:rPr>
          <w:rFonts w:ascii="Times New Roman" w:hAnsi="Times New Roman"/>
          <w:sz w:val="20"/>
          <w:szCs w:val="20"/>
        </w:rPr>
      </w:pPr>
    </w:p>
    <w:p w14:paraId="59BE2B47" w14:textId="6F8F210D" w:rsidR="00FF1BF6" w:rsidRDefault="00FF1BF6" w:rsidP="00B61602">
      <w:pPr>
        <w:spacing w:line="240" w:lineRule="auto"/>
        <w:rPr>
          <w:rFonts w:ascii="Times New Roman" w:hAnsi="Times New Roman"/>
          <w:sz w:val="20"/>
          <w:szCs w:val="20"/>
        </w:rPr>
      </w:pPr>
    </w:p>
    <w:p w14:paraId="60F3DCE4" w14:textId="066E09B2" w:rsidR="00FF1BF6" w:rsidRDefault="00FF1BF6" w:rsidP="00B61602">
      <w:pPr>
        <w:spacing w:line="240" w:lineRule="auto"/>
        <w:rPr>
          <w:rFonts w:ascii="Times New Roman" w:hAnsi="Times New Roman"/>
          <w:sz w:val="20"/>
          <w:szCs w:val="20"/>
        </w:rPr>
      </w:pPr>
    </w:p>
    <w:p w14:paraId="4676B699" w14:textId="5347E99E" w:rsidR="00FF1BF6" w:rsidRDefault="00FF1BF6" w:rsidP="00B61602">
      <w:pPr>
        <w:spacing w:line="240" w:lineRule="auto"/>
        <w:rPr>
          <w:rFonts w:ascii="Times New Roman" w:hAnsi="Times New Roman"/>
          <w:sz w:val="20"/>
          <w:szCs w:val="20"/>
        </w:rPr>
      </w:pPr>
    </w:p>
    <w:p w14:paraId="08DA2AAB" w14:textId="34A3948D" w:rsidR="00FF1BF6" w:rsidRDefault="00FF1BF6" w:rsidP="00B61602">
      <w:pPr>
        <w:spacing w:line="240" w:lineRule="auto"/>
        <w:rPr>
          <w:rFonts w:ascii="Times New Roman" w:hAnsi="Times New Roman"/>
          <w:sz w:val="20"/>
          <w:szCs w:val="20"/>
        </w:rPr>
      </w:pPr>
    </w:p>
    <w:p w14:paraId="0286A212" w14:textId="77777777" w:rsidR="00FF1BF6" w:rsidRPr="005F2B3A" w:rsidRDefault="00FF1BF6"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w:t>
      </w:r>
      <w:proofErr w:type="gramStart"/>
      <w:r w:rsidRPr="005F2B3A">
        <w:rPr>
          <w:rFonts w:ascii="Times New Roman" w:hAnsi="Times New Roman"/>
          <w:sz w:val="20"/>
          <w:szCs w:val="20"/>
        </w:rPr>
        <w:t>entering into</w:t>
      </w:r>
      <w:proofErr w:type="gramEnd"/>
      <w:r w:rsidRPr="005F2B3A">
        <w:rPr>
          <w:rFonts w:ascii="Times New Roman" w:hAnsi="Times New Roman"/>
          <w:sz w:val="20"/>
          <w:szCs w:val="20"/>
        </w:rPr>
        <w:t xml:space="preserve">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roofErr w:type="gramStart"/>
      <w:r w:rsidRPr="005F2B3A">
        <w:rPr>
          <w:rFonts w:ascii="Times New Roman" w:hAnsi="Times New Roman"/>
          <w:sz w:val="20"/>
          <w:szCs w:val="20"/>
        </w:rPr>
        <w:t>);</w:t>
      </w:r>
      <w:proofErr w:type="gramEnd"/>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roofErr w:type="gramStart"/>
      <w:r w:rsidRPr="005F2B3A">
        <w:rPr>
          <w:rFonts w:ascii="Times New Roman" w:hAnsi="Times New Roman"/>
          <w:sz w:val="20"/>
          <w:szCs w:val="20"/>
        </w:rPr>
        <w:t>);</w:t>
      </w:r>
      <w:proofErr w:type="gramEnd"/>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 xml:space="preserve">Any policy adopted by a person or actions taken thereunder that are reasonably necessary to comply with federal or state sanctions or laws affecting sovereign </w:t>
      </w:r>
      <w:proofErr w:type="gramStart"/>
      <w:r w:rsidRPr="003A507A">
        <w:rPr>
          <w:rFonts w:ascii="Times New Roman" w:hAnsi="Times New Roman"/>
          <w:sz w:val="20"/>
          <w:szCs w:val="20"/>
        </w:rPr>
        <w:t>nations</w:t>
      </w:r>
      <w:proofErr w:type="gramEnd"/>
      <w:r w:rsidRPr="003A507A">
        <w:rPr>
          <w:rFonts w:ascii="Times New Roman" w:hAnsi="Times New Roman"/>
          <w:sz w:val="20"/>
          <w:szCs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6C8F" w14:textId="77777777" w:rsidR="00AB54E3" w:rsidRDefault="00AB54E3" w:rsidP="00C658E5">
      <w:r>
        <w:separator/>
      </w:r>
    </w:p>
    <w:p w14:paraId="07299B52" w14:textId="77777777" w:rsidR="00AB54E3" w:rsidRDefault="00AB54E3"/>
  </w:endnote>
  <w:endnote w:type="continuationSeparator" w:id="0">
    <w:p w14:paraId="23CD0A25" w14:textId="77777777" w:rsidR="00AB54E3" w:rsidRDefault="00AB54E3" w:rsidP="00C658E5">
      <w:r>
        <w:continuationSeparator/>
      </w:r>
    </w:p>
    <w:p w14:paraId="0C0AFE38" w14:textId="77777777" w:rsidR="00AB54E3" w:rsidRDefault="00AB54E3"/>
  </w:endnote>
  <w:endnote w:type="continuationNotice" w:id="1">
    <w:p w14:paraId="264D5FA3" w14:textId="77777777" w:rsidR="00AB54E3" w:rsidRDefault="00AB54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FEA7" w14:textId="77777777" w:rsidR="00B04EE5" w:rsidRDefault="00B04EE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EF8" w14:textId="6818D04B" w:rsidR="00201819" w:rsidRPr="00417F5D" w:rsidRDefault="008A705F" w:rsidP="00EF6D85">
    <w:pPr>
      <w:pStyle w:val="Footer"/>
      <w:jc w:val="center"/>
      <w:rPr>
        <w:rFonts w:ascii="Times New Roman" w:hAnsi="Times New Roman"/>
        <w:sz w:val="20"/>
        <w:szCs w:val="20"/>
      </w:rPr>
    </w:pPr>
    <w:r w:rsidRPr="00417F5D">
      <w:rPr>
        <w:rFonts w:ascii="Times New Roman" w:hAnsi="Times New Roman"/>
        <w:sz w:val="20"/>
        <w:szCs w:val="20"/>
      </w:rPr>
      <w:t>Appendix F-2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09A29" w14:textId="2D63A554" w:rsidR="008A705F" w:rsidRPr="008A705F" w:rsidRDefault="008A705F">
    <w:pPr>
      <w:pStyle w:val="Footer"/>
      <w:jc w:val="center"/>
      <w:rPr>
        <w:rFonts w:ascii="Times New Roman" w:hAnsi="Times New Roman"/>
        <w:sz w:val="20"/>
        <w:szCs w:val="20"/>
      </w:rPr>
    </w:pPr>
    <w:r w:rsidRPr="008A705F">
      <w:rPr>
        <w:rFonts w:ascii="Times New Roman" w:hAnsi="Times New Roman"/>
        <w:sz w:val="20"/>
        <w:szCs w:val="20"/>
      </w:rPr>
      <w:t>Appendix F-</w:t>
    </w:r>
    <w:sdt>
      <w:sdtPr>
        <w:rPr>
          <w:rFonts w:ascii="Times New Roman" w:hAnsi="Times New Roman"/>
          <w:sz w:val="20"/>
          <w:szCs w:val="20"/>
        </w:rPr>
        <w:id w:val="-1347855689"/>
        <w:docPartObj>
          <w:docPartGallery w:val="Page Numbers (Bottom of Page)"/>
          <w:docPartUnique/>
        </w:docPartObj>
      </w:sdtPr>
      <w:sdtEndPr>
        <w:rPr>
          <w:noProof/>
        </w:rPr>
      </w:sdtEndPr>
      <w:sdtContent>
        <w:r w:rsidRPr="008A705F">
          <w:rPr>
            <w:rFonts w:ascii="Times New Roman" w:hAnsi="Times New Roman"/>
            <w:sz w:val="20"/>
            <w:szCs w:val="20"/>
          </w:rPr>
          <w:fldChar w:fldCharType="begin"/>
        </w:r>
        <w:r w:rsidRPr="008A705F">
          <w:rPr>
            <w:rFonts w:ascii="Times New Roman" w:hAnsi="Times New Roman"/>
            <w:sz w:val="20"/>
            <w:szCs w:val="20"/>
          </w:rPr>
          <w:instrText xml:space="preserve"> PAGE   \* MERGEFORMAT </w:instrText>
        </w:r>
        <w:r w:rsidRPr="008A705F">
          <w:rPr>
            <w:rFonts w:ascii="Times New Roman" w:hAnsi="Times New Roman"/>
            <w:sz w:val="20"/>
            <w:szCs w:val="20"/>
          </w:rPr>
          <w:fldChar w:fldCharType="separate"/>
        </w:r>
        <w:r w:rsidRPr="008A705F">
          <w:rPr>
            <w:rFonts w:ascii="Times New Roman" w:hAnsi="Times New Roman"/>
            <w:noProof/>
            <w:sz w:val="20"/>
            <w:szCs w:val="20"/>
          </w:rPr>
          <w:t>2</w:t>
        </w:r>
        <w:r w:rsidRPr="008A705F">
          <w:rPr>
            <w:rFonts w:ascii="Times New Roman" w:hAnsi="Times New Roman"/>
            <w:noProof/>
            <w:sz w:val="20"/>
            <w:szCs w:val="20"/>
          </w:rPr>
          <w:fldChar w:fldCharType="end"/>
        </w:r>
      </w:sdtContent>
    </w:sdt>
  </w:p>
  <w:p w14:paraId="2735CD6B" w14:textId="77777777" w:rsidR="00201819" w:rsidRDefault="0020181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FB77" w14:textId="21115077" w:rsidR="00201819" w:rsidRPr="00C701C4" w:rsidRDefault="00C701C4" w:rsidP="00EF6D85">
    <w:pPr>
      <w:pStyle w:val="Footer"/>
      <w:jc w:val="center"/>
      <w:rPr>
        <w:rFonts w:ascii="Times New Roman" w:hAnsi="Times New Roman"/>
        <w:sz w:val="20"/>
        <w:szCs w:val="20"/>
      </w:rPr>
    </w:pPr>
    <w:r>
      <w:rPr>
        <w:rFonts w:ascii="Times New Roman" w:hAnsi="Times New Roman"/>
        <w:sz w:val="20"/>
        <w:szCs w:val="20"/>
      </w:rPr>
      <w:t xml:space="preserve">Appendix </w:t>
    </w:r>
    <w:r w:rsidRPr="00C701C4">
      <w:rPr>
        <w:rFonts w:ascii="Times New Roman" w:hAnsi="Times New Roman"/>
        <w:sz w:val="20"/>
        <w:szCs w:val="20"/>
      </w:rPr>
      <w:t>G-1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A43A" w14:textId="7F6DD98C" w:rsidR="00AA6A43" w:rsidRPr="00AA6A43" w:rsidRDefault="00AA6A43" w:rsidP="00AA6A43">
    <w:pPr>
      <w:pStyle w:val="Footer"/>
      <w:jc w:val="center"/>
      <w:rPr>
        <w:rFonts w:ascii="Times New Roman" w:hAnsi="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2FC9" w14:textId="77777777" w:rsidR="00B04EE5" w:rsidRDefault="00B04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1500" w14:textId="26859682" w:rsidR="00280402" w:rsidRPr="00280402" w:rsidRDefault="00280402">
    <w:pPr>
      <w:pStyle w:val="Footer"/>
      <w:jc w:val="center"/>
      <w:rPr>
        <w:rFonts w:ascii="Times New Roman" w:hAnsi="Times New Roman"/>
        <w:sz w:val="20"/>
        <w:szCs w:val="20"/>
      </w:rPr>
    </w:pPr>
    <w:r w:rsidRPr="00280402">
      <w:rPr>
        <w:rFonts w:ascii="Times New Roman" w:hAnsi="Times New Roman"/>
        <w:sz w:val="20"/>
        <w:szCs w:val="20"/>
      </w:rPr>
      <w:t>Appendix A-</w:t>
    </w:r>
    <w:sdt>
      <w:sdtPr>
        <w:rPr>
          <w:rFonts w:ascii="Times New Roman" w:hAnsi="Times New Roman"/>
          <w:sz w:val="20"/>
          <w:szCs w:val="20"/>
        </w:rPr>
        <w:id w:val="1473794741"/>
        <w:docPartObj>
          <w:docPartGallery w:val="Page Numbers (Bottom of Page)"/>
          <w:docPartUnique/>
        </w:docPartObj>
      </w:sdtPr>
      <w:sdtEndPr/>
      <w:sdtContent>
        <w:r w:rsidRPr="00280402">
          <w:rPr>
            <w:rFonts w:ascii="Times New Roman" w:hAnsi="Times New Roman"/>
            <w:sz w:val="20"/>
            <w:szCs w:val="20"/>
          </w:rPr>
          <w:fldChar w:fldCharType="begin"/>
        </w:r>
        <w:r w:rsidRPr="00280402">
          <w:rPr>
            <w:rFonts w:ascii="Times New Roman" w:hAnsi="Times New Roman"/>
            <w:sz w:val="20"/>
            <w:szCs w:val="20"/>
          </w:rPr>
          <w:instrText xml:space="preserve"> PAGE   \* MERGEFORMAT </w:instrText>
        </w:r>
        <w:r w:rsidRPr="00280402">
          <w:rPr>
            <w:rFonts w:ascii="Times New Roman" w:hAnsi="Times New Roman"/>
            <w:sz w:val="20"/>
            <w:szCs w:val="20"/>
          </w:rPr>
          <w:fldChar w:fldCharType="separate"/>
        </w:r>
        <w:r w:rsidRPr="00280402">
          <w:rPr>
            <w:rFonts w:ascii="Times New Roman" w:hAnsi="Times New Roman"/>
            <w:sz w:val="20"/>
            <w:szCs w:val="20"/>
          </w:rPr>
          <w:t>2</w:t>
        </w:r>
        <w:r w:rsidRPr="00280402">
          <w:rPr>
            <w:rFonts w:ascii="Times New Roman" w:hAnsi="Times New Roman"/>
            <w:sz w:val="20"/>
            <w:szCs w:val="20"/>
          </w:rPr>
          <w:fldChar w:fldCharType="end"/>
        </w:r>
      </w:sdtContent>
    </w:sdt>
  </w:p>
  <w:p w14:paraId="330FC7B9" w14:textId="67EFB309" w:rsidR="00C905D6" w:rsidRPr="00AA6A43" w:rsidRDefault="00C905D6" w:rsidP="00AA6A43">
    <w:pPr>
      <w:pStyle w:val="Footer"/>
      <w:jc w:val="center"/>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1A" w14:textId="77777777" w:rsidR="00201819" w:rsidRDefault="00201819">
    <w:pPr>
      <w:pStyle w:val="Footer"/>
      <w:jc w:val="center"/>
    </w:pPr>
  </w:p>
  <w:p w14:paraId="28B3B985" w14:textId="609CF02B" w:rsidR="00201819" w:rsidRPr="00301BB3" w:rsidRDefault="00AA6A43" w:rsidP="00EF6D85">
    <w:pPr>
      <w:pStyle w:val="Footer"/>
      <w:jc w:val="center"/>
      <w:rPr>
        <w:rFonts w:ascii="Times New Roman" w:hAnsi="Times New Roman"/>
        <w:sz w:val="18"/>
        <w:szCs w:val="18"/>
      </w:rPr>
    </w:pPr>
    <w:r w:rsidRPr="00AA6A43">
      <w:rPr>
        <w:rFonts w:ascii="Times New Roman" w:hAnsi="Times New Roman"/>
        <w:sz w:val="20"/>
        <w:szCs w:val="20"/>
      </w:rPr>
      <w:t>Appendix</w:t>
    </w:r>
    <w:r>
      <w:rPr>
        <w:rFonts w:ascii="Times New Roman" w:hAnsi="Times New Roman"/>
        <w:sz w:val="18"/>
        <w:szCs w:val="18"/>
      </w:rPr>
      <w:t xml:space="preserve"> B-1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54064B8E" w:rsidR="00201819" w:rsidRPr="00003EBA" w:rsidRDefault="00201819"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271" w14:textId="2DEE265E" w:rsidR="00201819" w:rsidRPr="00417F5D" w:rsidRDefault="00417F5D">
    <w:pPr>
      <w:pStyle w:val="Footer"/>
      <w:jc w:val="center"/>
      <w:rPr>
        <w:rFonts w:ascii="Times New Roman" w:hAnsi="Times New Roman"/>
        <w:sz w:val="20"/>
        <w:szCs w:val="20"/>
      </w:rPr>
    </w:pPr>
    <w:r w:rsidRPr="00417F5D">
      <w:rPr>
        <w:rFonts w:ascii="Times New Roman" w:hAnsi="Times New Roman"/>
        <w:sz w:val="20"/>
        <w:szCs w:val="20"/>
      </w:rPr>
      <w:t>Appendix D-</w:t>
    </w:r>
    <w:sdt>
      <w:sdtPr>
        <w:rPr>
          <w:rFonts w:ascii="Times New Roman" w:hAnsi="Times New Roman"/>
          <w:sz w:val="20"/>
          <w:szCs w:val="20"/>
        </w:rPr>
        <w:id w:val="-1210343223"/>
        <w:docPartObj>
          <w:docPartGallery w:val="Page Numbers (Bottom of Page)"/>
          <w:docPartUnique/>
        </w:docPartObj>
      </w:sdtPr>
      <w:sdtEndPr>
        <w:rPr>
          <w:noProof/>
        </w:rPr>
      </w:sdtEndPr>
      <w:sdtContent>
        <w:r w:rsidR="00201819" w:rsidRPr="00417F5D">
          <w:rPr>
            <w:rFonts w:ascii="Times New Roman" w:hAnsi="Times New Roman"/>
            <w:sz w:val="20"/>
            <w:szCs w:val="20"/>
          </w:rPr>
          <w:fldChar w:fldCharType="begin"/>
        </w:r>
        <w:r w:rsidR="00201819" w:rsidRPr="00417F5D">
          <w:rPr>
            <w:rFonts w:ascii="Times New Roman" w:hAnsi="Times New Roman"/>
            <w:sz w:val="20"/>
            <w:szCs w:val="20"/>
          </w:rPr>
          <w:instrText xml:space="preserve"> PAGE   \* MERGEFORMAT </w:instrText>
        </w:r>
        <w:r w:rsidR="00201819" w:rsidRPr="00417F5D">
          <w:rPr>
            <w:rFonts w:ascii="Times New Roman" w:hAnsi="Times New Roman"/>
            <w:sz w:val="20"/>
            <w:szCs w:val="20"/>
          </w:rPr>
          <w:fldChar w:fldCharType="separate"/>
        </w:r>
        <w:r w:rsidR="00C25912" w:rsidRPr="00417F5D">
          <w:rPr>
            <w:rFonts w:ascii="Times New Roman" w:hAnsi="Times New Roman"/>
            <w:noProof/>
            <w:sz w:val="20"/>
            <w:szCs w:val="20"/>
          </w:rPr>
          <w:t>2</w:t>
        </w:r>
        <w:r w:rsidR="00201819" w:rsidRPr="00417F5D">
          <w:rPr>
            <w:rFonts w:ascii="Times New Roman" w:hAnsi="Times New Roman"/>
            <w:noProof/>
            <w:sz w:val="20"/>
            <w:szCs w:val="20"/>
          </w:rPr>
          <w:fldChar w:fldCharType="end"/>
        </w:r>
      </w:sdtContent>
    </w:sdt>
  </w:p>
  <w:p w14:paraId="2123E072" w14:textId="3CE3006A" w:rsidR="00201819" w:rsidRPr="00003EBA" w:rsidRDefault="00201819" w:rsidP="00EF6D85">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7777777" w:rsidR="00201819" w:rsidRDefault="00201819"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201819" w:rsidRDefault="00201819">
    <w:pPr>
      <w:pStyle w:val="Footer"/>
      <w:jc w:val="center"/>
    </w:pPr>
  </w:p>
  <w:p w14:paraId="4922D214" w14:textId="77777777" w:rsidR="00201819" w:rsidRDefault="0020181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911" w14:textId="3B57A858" w:rsidR="00201819" w:rsidRPr="008A705F" w:rsidRDefault="008A705F">
    <w:pPr>
      <w:pStyle w:val="Footer"/>
      <w:jc w:val="center"/>
      <w:rPr>
        <w:rFonts w:ascii="Times New Roman" w:hAnsi="Times New Roman"/>
        <w:sz w:val="20"/>
        <w:szCs w:val="20"/>
      </w:rPr>
    </w:pPr>
    <w:r w:rsidRPr="008A705F">
      <w:rPr>
        <w:rFonts w:ascii="Times New Roman" w:hAnsi="Times New Roman"/>
        <w:sz w:val="20"/>
        <w:szCs w:val="20"/>
      </w:rPr>
      <w:t>Appendix E</w:t>
    </w:r>
    <w:r w:rsidR="00417F5D">
      <w:rPr>
        <w:rFonts w:ascii="Times New Roman" w:hAnsi="Times New Roman"/>
        <w:sz w:val="20"/>
        <w:szCs w:val="20"/>
      </w:rPr>
      <w:t>-1</w:t>
    </w:r>
  </w:p>
  <w:p w14:paraId="54C1BCE5" w14:textId="77777777" w:rsidR="00201819" w:rsidRDefault="0020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0FB36" w14:textId="77777777" w:rsidR="00AB54E3" w:rsidRDefault="00AB54E3" w:rsidP="00C658E5">
      <w:r>
        <w:separator/>
      </w:r>
    </w:p>
    <w:p w14:paraId="5CB23429" w14:textId="77777777" w:rsidR="00AB54E3" w:rsidRDefault="00AB54E3"/>
  </w:footnote>
  <w:footnote w:type="continuationSeparator" w:id="0">
    <w:p w14:paraId="6A4832FB" w14:textId="77777777" w:rsidR="00AB54E3" w:rsidRDefault="00AB54E3" w:rsidP="00C658E5">
      <w:r>
        <w:continuationSeparator/>
      </w:r>
    </w:p>
    <w:p w14:paraId="6ED8AB36" w14:textId="77777777" w:rsidR="00AB54E3" w:rsidRDefault="00AB54E3"/>
  </w:footnote>
  <w:footnote w:type="continuationNotice" w:id="1">
    <w:p w14:paraId="23AEA9DE" w14:textId="77777777" w:rsidR="00AB54E3" w:rsidRDefault="00AB54E3">
      <w:pPr>
        <w:spacing w:line="240" w:lineRule="auto"/>
      </w:pPr>
    </w:p>
  </w:footnote>
  <w:footnote w:id="2">
    <w:p w14:paraId="06150B21" w14:textId="2FBBA78F" w:rsidR="003D136C" w:rsidRDefault="003D136C">
      <w:pPr>
        <w:pStyle w:val="FootnoteText"/>
      </w:pPr>
      <w:r>
        <w:rPr>
          <w:rStyle w:val="FootnoteReference"/>
        </w:rPr>
        <w:footnoteRef/>
      </w:r>
      <w:r>
        <w:t xml:space="preserve"> </w:t>
      </w:r>
      <w:r>
        <w:rPr>
          <w:rFonts w:ascii="Times New Roman" w:hAnsi="Times New Roman"/>
          <w:sz w:val="20"/>
        </w:rPr>
        <w:t>The form is located at h</w:t>
      </w:r>
      <w:r w:rsidRPr="003D136C">
        <w:rPr>
          <w:rFonts w:ascii="Times New Roman" w:hAnsi="Times New Roman"/>
          <w:sz w:val="20"/>
        </w:rPr>
        <w:t>ttps://www.courts.ca.gov/documents/JBCM-Post-Contract-Certification-Form.docx</w:t>
      </w: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9778" w14:textId="77777777" w:rsidR="00B04EE5" w:rsidRDefault="00B0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682D" w14:textId="77777777" w:rsidR="00B04EE5" w:rsidRPr="00B04EE5" w:rsidRDefault="00B04EE5" w:rsidP="00B04EE5">
    <w:pPr>
      <w:pStyle w:val="Header"/>
      <w:rPr>
        <w:iCs/>
      </w:rPr>
    </w:pPr>
    <w:r w:rsidRPr="00B04EE5">
      <w:t xml:space="preserve">RFP Title:  </w:t>
    </w:r>
    <w:bookmarkStart w:id="0" w:name="_Hlk117083574"/>
    <w:r w:rsidRPr="00B04EE5">
      <w:rPr>
        <w:iCs/>
      </w:rPr>
      <w:t>Electronic Learning Management System Software (Vendor Hosted)</w:t>
    </w:r>
    <w:bookmarkEnd w:id="0"/>
  </w:p>
  <w:p w14:paraId="1FCC71CC" w14:textId="77777777" w:rsidR="00B04EE5" w:rsidRPr="00B04EE5" w:rsidRDefault="00B04EE5" w:rsidP="00B04EE5">
    <w:pPr>
      <w:pStyle w:val="Header"/>
      <w:rPr>
        <w:iCs/>
      </w:rPr>
    </w:pPr>
    <w:r w:rsidRPr="00B04EE5">
      <w:rPr>
        <w:iCs/>
      </w:rPr>
      <w:t xml:space="preserve">RFP Number:  </w:t>
    </w:r>
    <w:bookmarkStart w:id="1" w:name="_Hlk117083599"/>
    <w:r w:rsidRPr="00B04EE5">
      <w:rPr>
        <w:bCs/>
        <w:iCs/>
      </w:rPr>
      <w:t>CIP-2022-39-DM</w:t>
    </w:r>
    <w:bookmarkEnd w:id="1"/>
  </w:p>
  <w:p w14:paraId="1113D3F6" w14:textId="4A44E934" w:rsidR="00B04EE5" w:rsidRDefault="00B04EE5" w:rsidP="00B04EE5">
    <w:pPr>
      <w:pStyle w:val="Header"/>
      <w:jc w:val="center"/>
    </w:pPr>
    <w: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892" w14:textId="77777777" w:rsidR="00B04EE5" w:rsidRDefault="00B04E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82EB4" w14:textId="6E9857B3" w:rsidR="00201819" w:rsidRPr="001674E2" w:rsidRDefault="00201819"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472B52">
      <w:rPr>
        <w:rFonts w:ascii="Times New Roman" w:hAnsi="Times New Roman"/>
        <w:i/>
        <w:sz w:val="20"/>
        <w:szCs w:val="20"/>
      </w:rPr>
      <w:t>Jan. 2022</w:t>
    </w:r>
    <w:r w:rsidRPr="006723A1">
      <w:rPr>
        <w:rFonts w:ascii="Times New Roman" w:hAnsi="Times New Roman"/>
        <w:sz w:val="20"/>
        <w:szCs w:val="20"/>
      </w:rPr>
      <w:t>)</w:t>
    </w:r>
  </w:p>
  <w:p w14:paraId="6904675C" w14:textId="77777777" w:rsidR="00201819" w:rsidRDefault="00201819"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0446C7"/>
    <w:multiLevelType w:val="hybridMultilevel"/>
    <w:tmpl w:val="CCDEDDD0"/>
    <w:lvl w:ilvl="0" w:tplc="04090001">
      <w:numFmt w:val="decimal"/>
      <w:lvlText w:val=""/>
      <w:lvlJc w:val="left"/>
      <w:pPr>
        <w:ind w:left="360" w:hanging="360"/>
      </w:pPr>
      <w:rPr>
        <w:rFonts w:ascii="Symbol" w:hAnsi="Symbol" w:hint="default"/>
      </w:rPr>
    </w:lvl>
    <w:lvl w:ilvl="1" w:tplc="04090003">
      <w:numFmt w:val="decimal"/>
      <w:lvlText w:val="o"/>
      <w:lvlJc w:val="left"/>
      <w:pPr>
        <w:ind w:left="1080" w:hanging="360"/>
      </w:pPr>
      <w:rPr>
        <w:rFonts w:ascii="Courier New" w:hAnsi="Courier New" w:cs="Courier New" w:hint="default"/>
      </w:rPr>
    </w:lvl>
    <w:lvl w:ilvl="2" w:tplc="EE16838A">
      <w:start w:val="1"/>
      <w:numFmt w:val="decimal"/>
      <w:lvlText w:val="%3."/>
      <w:lvlJc w:val="left"/>
      <w:pPr>
        <w:tabs>
          <w:tab w:val="num" w:pos="720"/>
        </w:tabs>
        <w:ind w:left="720" w:hanging="360"/>
      </w:pPr>
      <w:rPr>
        <w:b w:val="0"/>
        <w:i w:val="0"/>
        <w:iCs/>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8"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37EF0896"/>
    <w:multiLevelType w:val="hybridMultilevel"/>
    <w:tmpl w:val="344C8FD6"/>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6"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92F5F81"/>
    <w:multiLevelType w:val="multilevel"/>
    <w:tmpl w:val="5ED488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9" w15:restartNumberingAfterBreak="0">
    <w:nsid w:val="55877511"/>
    <w:multiLevelType w:val="multilevel"/>
    <w:tmpl w:val="2528CB18"/>
    <w:numStyleLink w:val="MOUList"/>
  </w:abstractNum>
  <w:abstractNum w:abstractNumId="40"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2"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5"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6"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7"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8"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0"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1"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C63E4E"/>
    <w:multiLevelType w:val="hybridMultilevel"/>
    <w:tmpl w:val="FC0AB95A"/>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9"/>
  </w:num>
  <w:num w:numId="2">
    <w:abstractNumId w:val="11"/>
  </w:num>
  <w:num w:numId="3">
    <w:abstractNumId w:val="28"/>
  </w:num>
  <w:num w:numId="4">
    <w:abstractNumId w:val="51"/>
  </w:num>
  <w:num w:numId="5">
    <w:abstractNumId w:val="8"/>
  </w:num>
  <w:num w:numId="6">
    <w:abstractNumId w:val="1"/>
  </w:num>
  <w:num w:numId="7">
    <w:abstractNumId w:val="0"/>
  </w:num>
  <w:num w:numId="8">
    <w:abstractNumId w:val="2"/>
  </w:num>
  <w:num w:numId="9">
    <w:abstractNumId w:val="26"/>
  </w:num>
  <w:num w:numId="10">
    <w:abstractNumId w:val="27"/>
  </w:num>
  <w:num w:numId="11">
    <w:abstractNumId w:val="12"/>
  </w:num>
  <w:num w:numId="12">
    <w:abstractNumId w:val="31"/>
  </w:num>
  <w:num w:numId="13">
    <w:abstractNumId w:val="10"/>
  </w:num>
  <w:num w:numId="14">
    <w:abstractNumId w:val="24"/>
  </w:num>
  <w:num w:numId="15">
    <w:abstractNumId w:val="22"/>
  </w:num>
  <w:num w:numId="16">
    <w:abstractNumId w:val="9"/>
  </w:num>
  <w:num w:numId="17">
    <w:abstractNumId w:val="41"/>
  </w:num>
  <w:num w:numId="18">
    <w:abstractNumId w:val="35"/>
  </w:num>
  <w:num w:numId="19">
    <w:abstractNumId w:val="32"/>
  </w:num>
  <w:num w:numId="20">
    <w:abstractNumId w:val="43"/>
  </w:num>
  <w:num w:numId="21">
    <w:abstractNumId w:val="23"/>
  </w:num>
  <w:num w:numId="22">
    <w:abstractNumId w:val="46"/>
  </w:num>
  <w:num w:numId="23">
    <w:abstractNumId w:val="17"/>
  </w:num>
  <w:num w:numId="24">
    <w:abstractNumId w:val="20"/>
  </w:num>
  <w:num w:numId="25">
    <w:abstractNumId w:val="13"/>
  </w:num>
  <w:num w:numId="26">
    <w:abstractNumId w:val="5"/>
  </w:num>
  <w:num w:numId="27">
    <w:abstractNumId w:val="42"/>
  </w:num>
  <w:num w:numId="28">
    <w:abstractNumId w:val="14"/>
  </w:num>
  <w:num w:numId="29">
    <w:abstractNumId w:val="40"/>
  </w:num>
  <w:num w:numId="30">
    <w:abstractNumId w:val="44"/>
  </w:num>
  <w:num w:numId="31">
    <w:abstractNumId w:val="6"/>
  </w:num>
  <w:num w:numId="32">
    <w:abstractNumId w:val="4"/>
  </w:num>
  <w:num w:numId="33">
    <w:abstractNumId w:val="49"/>
  </w:num>
  <w:num w:numId="34">
    <w:abstractNumId w:val="21"/>
  </w:num>
  <w:num w:numId="35">
    <w:abstractNumId w:val="45"/>
  </w:num>
  <w:num w:numId="36">
    <w:abstractNumId w:val="50"/>
  </w:num>
  <w:num w:numId="37">
    <w:abstractNumId w:val="36"/>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num>
  <w:num w:numId="40">
    <w:abstractNumId w:val="47"/>
  </w:num>
  <w:num w:numId="41">
    <w:abstractNumId w:val="25"/>
  </w:num>
  <w:num w:numId="42">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7"/>
  </w:num>
  <w:num w:numId="45">
    <w:abstractNumId w:val="3"/>
  </w:num>
  <w:num w:numId="46">
    <w:abstractNumId w:val="33"/>
  </w:num>
  <w:num w:numId="47">
    <w:abstractNumId w:val="48"/>
  </w:num>
  <w:num w:numId="48">
    <w:abstractNumId w:val="15"/>
  </w:num>
  <w:num w:numId="49">
    <w:abstractNumId w:val="19"/>
  </w:num>
  <w:num w:numId="50">
    <w:abstractNumId w:val="34"/>
  </w:num>
  <w:num w:numId="51">
    <w:abstractNumId w:val="18"/>
  </w:num>
  <w:num w:numId="52">
    <w:abstractNumId w:val="39"/>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16"/>
  </w:num>
  <w:num w:numId="54">
    <w:abstractNumId w:val="52"/>
  </w:num>
  <w:num w:numId="5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4C45"/>
    <w:rsid w:val="00005F43"/>
    <w:rsid w:val="00007830"/>
    <w:rsid w:val="00010396"/>
    <w:rsid w:val="00010BAF"/>
    <w:rsid w:val="000114CB"/>
    <w:rsid w:val="00012260"/>
    <w:rsid w:val="000125E2"/>
    <w:rsid w:val="000129F5"/>
    <w:rsid w:val="00014057"/>
    <w:rsid w:val="000200FB"/>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57D44"/>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ACA"/>
    <w:rsid w:val="000C1C4C"/>
    <w:rsid w:val="000C36DD"/>
    <w:rsid w:val="000C58FD"/>
    <w:rsid w:val="000C59DC"/>
    <w:rsid w:val="000D1146"/>
    <w:rsid w:val="000D290A"/>
    <w:rsid w:val="000D2CEB"/>
    <w:rsid w:val="000D4184"/>
    <w:rsid w:val="000D463A"/>
    <w:rsid w:val="000D521F"/>
    <w:rsid w:val="000D5B83"/>
    <w:rsid w:val="000D6136"/>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4C1A"/>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753"/>
    <w:rsid w:val="00253CEB"/>
    <w:rsid w:val="00253D2E"/>
    <w:rsid w:val="0025458F"/>
    <w:rsid w:val="0025463F"/>
    <w:rsid w:val="00255CEE"/>
    <w:rsid w:val="00256569"/>
    <w:rsid w:val="002571B4"/>
    <w:rsid w:val="00257888"/>
    <w:rsid w:val="0026104D"/>
    <w:rsid w:val="0026286A"/>
    <w:rsid w:val="00266167"/>
    <w:rsid w:val="00267921"/>
    <w:rsid w:val="0027375E"/>
    <w:rsid w:val="00275FA6"/>
    <w:rsid w:val="00276112"/>
    <w:rsid w:val="00276896"/>
    <w:rsid w:val="00277881"/>
    <w:rsid w:val="00277C41"/>
    <w:rsid w:val="00280402"/>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D4C"/>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4903"/>
    <w:rsid w:val="0034677C"/>
    <w:rsid w:val="00346BF1"/>
    <w:rsid w:val="00347C76"/>
    <w:rsid w:val="00350742"/>
    <w:rsid w:val="0035149F"/>
    <w:rsid w:val="003528B7"/>
    <w:rsid w:val="00357246"/>
    <w:rsid w:val="00366213"/>
    <w:rsid w:val="00367231"/>
    <w:rsid w:val="00367ACF"/>
    <w:rsid w:val="0037013F"/>
    <w:rsid w:val="003734CE"/>
    <w:rsid w:val="0037520B"/>
    <w:rsid w:val="003774A8"/>
    <w:rsid w:val="00377978"/>
    <w:rsid w:val="00380802"/>
    <w:rsid w:val="003825FD"/>
    <w:rsid w:val="00382D44"/>
    <w:rsid w:val="003836CD"/>
    <w:rsid w:val="00383BFA"/>
    <w:rsid w:val="0038588D"/>
    <w:rsid w:val="0038652A"/>
    <w:rsid w:val="00391403"/>
    <w:rsid w:val="00393259"/>
    <w:rsid w:val="00395CAF"/>
    <w:rsid w:val="00396ED7"/>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164B"/>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17F5D"/>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52"/>
    <w:rsid w:val="00472B8D"/>
    <w:rsid w:val="00472EFB"/>
    <w:rsid w:val="00473D60"/>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4303"/>
    <w:rsid w:val="004959FC"/>
    <w:rsid w:val="00495D0C"/>
    <w:rsid w:val="00497293"/>
    <w:rsid w:val="004979F8"/>
    <w:rsid w:val="004A4258"/>
    <w:rsid w:val="004A474B"/>
    <w:rsid w:val="004A52D1"/>
    <w:rsid w:val="004A573C"/>
    <w:rsid w:val="004A59C1"/>
    <w:rsid w:val="004A75B4"/>
    <w:rsid w:val="004A7F8E"/>
    <w:rsid w:val="004B0D24"/>
    <w:rsid w:val="004B1289"/>
    <w:rsid w:val="004B1955"/>
    <w:rsid w:val="004B2B9C"/>
    <w:rsid w:val="004B4DAB"/>
    <w:rsid w:val="004B5711"/>
    <w:rsid w:val="004B7961"/>
    <w:rsid w:val="004B7C65"/>
    <w:rsid w:val="004C13CF"/>
    <w:rsid w:val="004C16F6"/>
    <w:rsid w:val="004C178B"/>
    <w:rsid w:val="004C28FB"/>
    <w:rsid w:val="004D105F"/>
    <w:rsid w:val="004D1305"/>
    <w:rsid w:val="004D1CA2"/>
    <w:rsid w:val="004D2892"/>
    <w:rsid w:val="004D464A"/>
    <w:rsid w:val="004D5AB1"/>
    <w:rsid w:val="004D728A"/>
    <w:rsid w:val="004E1086"/>
    <w:rsid w:val="004E12E7"/>
    <w:rsid w:val="004E1EAC"/>
    <w:rsid w:val="004E261B"/>
    <w:rsid w:val="004E2E99"/>
    <w:rsid w:val="004E36D0"/>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2A8E"/>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AFE"/>
    <w:rsid w:val="00567D9E"/>
    <w:rsid w:val="00570E62"/>
    <w:rsid w:val="005749A2"/>
    <w:rsid w:val="00576490"/>
    <w:rsid w:val="005776A1"/>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3B59"/>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362B"/>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3D3D"/>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074"/>
    <w:rsid w:val="00634111"/>
    <w:rsid w:val="006349C0"/>
    <w:rsid w:val="00635EFB"/>
    <w:rsid w:val="00636684"/>
    <w:rsid w:val="00636F65"/>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38EB"/>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269A"/>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0752"/>
    <w:rsid w:val="00701A33"/>
    <w:rsid w:val="0070225B"/>
    <w:rsid w:val="00702B58"/>
    <w:rsid w:val="007034B9"/>
    <w:rsid w:val="0070489E"/>
    <w:rsid w:val="00705561"/>
    <w:rsid w:val="00707EB0"/>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4AC3"/>
    <w:rsid w:val="007657BD"/>
    <w:rsid w:val="00767BFB"/>
    <w:rsid w:val="00771127"/>
    <w:rsid w:val="0077188D"/>
    <w:rsid w:val="00776212"/>
    <w:rsid w:val="00777C6B"/>
    <w:rsid w:val="00781C9E"/>
    <w:rsid w:val="00782B64"/>
    <w:rsid w:val="00783292"/>
    <w:rsid w:val="00783AFA"/>
    <w:rsid w:val="00783D34"/>
    <w:rsid w:val="007852AE"/>
    <w:rsid w:val="007857C3"/>
    <w:rsid w:val="007861DC"/>
    <w:rsid w:val="00786A95"/>
    <w:rsid w:val="00786E88"/>
    <w:rsid w:val="007873DD"/>
    <w:rsid w:val="0079000A"/>
    <w:rsid w:val="00790204"/>
    <w:rsid w:val="00790B45"/>
    <w:rsid w:val="007936D4"/>
    <w:rsid w:val="007949D4"/>
    <w:rsid w:val="00794EDF"/>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2CCE"/>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3688D"/>
    <w:rsid w:val="00840767"/>
    <w:rsid w:val="00840B53"/>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0CFC"/>
    <w:rsid w:val="008A1F5E"/>
    <w:rsid w:val="008A2076"/>
    <w:rsid w:val="008A2D63"/>
    <w:rsid w:val="008A3450"/>
    <w:rsid w:val="008A4E25"/>
    <w:rsid w:val="008A705F"/>
    <w:rsid w:val="008B0A96"/>
    <w:rsid w:val="008B0B74"/>
    <w:rsid w:val="008B3A32"/>
    <w:rsid w:val="008B46A0"/>
    <w:rsid w:val="008B5B5E"/>
    <w:rsid w:val="008B64B1"/>
    <w:rsid w:val="008C0ACE"/>
    <w:rsid w:val="008C1F08"/>
    <w:rsid w:val="008C23C0"/>
    <w:rsid w:val="008C24EC"/>
    <w:rsid w:val="008C68CA"/>
    <w:rsid w:val="008D1F53"/>
    <w:rsid w:val="008D28FE"/>
    <w:rsid w:val="008D2ABD"/>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484"/>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27B3A"/>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472C4"/>
    <w:rsid w:val="00951907"/>
    <w:rsid w:val="00951BDC"/>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47E8"/>
    <w:rsid w:val="009B550F"/>
    <w:rsid w:val="009B6BCE"/>
    <w:rsid w:val="009B7261"/>
    <w:rsid w:val="009B72C6"/>
    <w:rsid w:val="009C180E"/>
    <w:rsid w:val="009C1D29"/>
    <w:rsid w:val="009C3E5C"/>
    <w:rsid w:val="009C3EFA"/>
    <w:rsid w:val="009C4DF8"/>
    <w:rsid w:val="009C7244"/>
    <w:rsid w:val="009C76E8"/>
    <w:rsid w:val="009D15A4"/>
    <w:rsid w:val="009D1D4F"/>
    <w:rsid w:val="009D2385"/>
    <w:rsid w:val="009D2A7B"/>
    <w:rsid w:val="009D480E"/>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9F6D4F"/>
    <w:rsid w:val="00A00E05"/>
    <w:rsid w:val="00A046BE"/>
    <w:rsid w:val="00A06193"/>
    <w:rsid w:val="00A07553"/>
    <w:rsid w:val="00A10F52"/>
    <w:rsid w:val="00A11422"/>
    <w:rsid w:val="00A11826"/>
    <w:rsid w:val="00A13A1C"/>
    <w:rsid w:val="00A15116"/>
    <w:rsid w:val="00A16368"/>
    <w:rsid w:val="00A167FE"/>
    <w:rsid w:val="00A20004"/>
    <w:rsid w:val="00A22720"/>
    <w:rsid w:val="00A22765"/>
    <w:rsid w:val="00A22D9D"/>
    <w:rsid w:val="00A23784"/>
    <w:rsid w:val="00A277BC"/>
    <w:rsid w:val="00A30ED8"/>
    <w:rsid w:val="00A3367E"/>
    <w:rsid w:val="00A34252"/>
    <w:rsid w:val="00A36776"/>
    <w:rsid w:val="00A36D07"/>
    <w:rsid w:val="00A4040F"/>
    <w:rsid w:val="00A40832"/>
    <w:rsid w:val="00A40C97"/>
    <w:rsid w:val="00A40F30"/>
    <w:rsid w:val="00A40F98"/>
    <w:rsid w:val="00A40FA5"/>
    <w:rsid w:val="00A41387"/>
    <w:rsid w:val="00A4208A"/>
    <w:rsid w:val="00A434C8"/>
    <w:rsid w:val="00A44AED"/>
    <w:rsid w:val="00A5010F"/>
    <w:rsid w:val="00A52723"/>
    <w:rsid w:val="00A53562"/>
    <w:rsid w:val="00A541B5"/>
    <w:rsid w:val="00A5476A"/>
    <w:rsid w:val="00A5559E"/>
    <w:rsid w:val="00A5700D"/>
    <w:rsid w:val="00A5756A"/>
    <w:rsid w:val="00A61099"/>
    <w:rsid w:val="00A61117"/>
    <w:rsid w:val="00A6284F"/>
    <w:rsid w:val="00A62A50"/>
    <w:rsid w:val="00A6386F"/>
    <w:rsid w:val="00A6389B"/>
    <w:rsid w:val="00A644E7"/>
    <w:rsid w:val="00A64D97"/>
    <w:rsid w:val="00A66BB5"/>
    <w:rsid w:val="00A709D4"/>
    <w:rsid w:val="00A73508"/>
    <w:rsid w:val="00A7390B"/>
    <w:rsid w:val="00A76971"/>
    <w:rsid w:val="00A76CB3"/>
    <w:rsid w:val="00A77065"/>
    <w:rsid w:val="00A776E6"/>
    <w:rsid w:val="00A803C1"/>
    <w:rsid w:val="00A80742"/>
    <w:rsid w:val="00A81091"/>
    <w:rsid w:val="00A81302"/>
    <w:rsid w:val="00A81A43"/>
    <w:rsid w:val="00A82317"/>
    <w:rsid w:val="00A824A9"/>
    <w:rsid w:val="00A83621"/>
    <w:rsid w:val="00A85422"/>
    <w:rsid w:val="00A90D77"/>
    <w:rsid w:val="00A92476"/>
    <w:rsid w:val="00A940F0"/>
    <w:rsid w:val="00A9526A"/>
    <w:rsid w:val="00A95FA8"/>
    <w:rsid w:val="00A97BE4"/>
    <w:rsid w:val="00AA005A"/>
    <w:rsid w:val="00AA0E15"/>
    <w:rsid w:val="00AA15DE"/>
    <w:rsid w:val="00AA17BB"/>
    <w:rsid w:val="00AA6A43"/>
    <w:rsid w:val="00AA7710"/>
    <w:rsid w:val="00AB1DF7"/>
    <w:rsid w:val="00AB2582"/>
    <w:rsid w:val="00AB450C"/>
    <w:rsid w:val="00AB537D"/>
    <w:rsid w:val="00AB54E3"/>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3DD0"/>
    <w:rsid w:val="00AF5185"/>
    <w:rsid w:val="00AF68A8"/>
    <w:rsid w:val="00B004E6"/>
    <w:rsid w:val="00B01C86"/>
    <w:rsid w:val="00B0410D"/>
    <w:rsid w:val="00B04EE5"/>
    <w:rsid w:val="00B05166"/>
    <w:rsid w:val="00B0597A"/>
    <w:rsid w:val="00B062AD"/>
    <w:rsid w:val="00B116FE"/>
    <w:rsid w:val="00B119AA"/>
    <w:rsid w:val="00B1338C"/>
    <w:rsid w:val="00B133BD"/>
    <w:rsid w:val="00B141CB"/>
    <w:rsid w:val="00B144C7"/>
    <w:rsid w:val="00B209AD"/>
    <w:rsid w:val="00B253A7"/>
    <w:rsid w:val="00B2662B"/>
    <w:rsid w:val="00B33C3C"/>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CFB"/>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042"/>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613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01C4"/>
    <w:rsid w:val="00C71737"/>
    <w:rsid w:val="00C72257"/>
    <w:rsid w:val="00C72EAD"/>
    <w:rsid w:val="00C7373D"/>
    <w:rsid w:val="00C744ED"/>
    <w:rsid w:val="00C74C10"/>
    <w:rsid w:val="00C751AD"/>
    <w:rsid w:val="00C77F7D"/>
    <w:rsid w:val="00C80E5B"/>
    <w:rsid w:val="00C81554"/>
    <w:rsid w:val="00C84422"/>
    <w:rsid w:val="00C8514C"/>
    <w:rsid w:val="00C85AA9"/>
    <w:rsid w:val="00C905D6"/>
    <w:rsid w:val="00C92021"/>
    <w:rsid w:val="00C92948"/>
    <w:rsid w:val="00C92B21"/>
    <w:rsid w:val="00C9442A"/>
    <w:rsid w:val="00C9517E"/>
    <w:rsid w:val="00C959FD"/>
    <w:rsid w:val="00C9678E"/>
    <w:rsid w:val="00C969FC"/>
    <w:rsid w:val="00C97348"/>
    <w:rsid w:val="00C975AA"/>
    <w:rsid w:val="00C97F12"/>
    <w:rsid w:val="00CA0BD8"/>
    <w:rsid w:val="00CA3FC6"/>
    <w:rsid w:val="00CA5104"/>
    <w:rsid w:val="00CA7114"/>
    <w:rsid w:val="00CA7319"/>
    <w:rsid w:val="00CA7CEF"/>
    <w:rsid w:val="00CB156F"/>
    <w:rsid w:val="00CB1DC1"/>
    <w:rsid w:val="00CB6E91"/>
    <w:rsid w:val="00CC1644"/>
    <w:rsid w:val="00CC1BBD"/>
    <w:rsid w:val="00CC280F"/>
    <w:rsid w:val="00CC2817"/>
    <w:rsid w:val="00CC3AFF"/>
    <w:rsid w:val="00CD195E"/>
    <w:rsid w:val="00CD4D02"/>
    <w:rsid w:val="00CD52A3"/>
    <w:rsid w:val="00CD6F3E"/>
    <w:rsid w:val="00CD7071"/>
    <w:rsid w:val="00CD76B0"/>
    <w:rsid w:val="00CD7B4D"/>
    <w:rsid w:val="00CE05BD"/>
    <w:rsid w:val="00CE1DF2"/>
    <w:rsid w:val="00CE1FA5"/>
    <w:rsid w:val="00CE206C"/>
    <w:rsid w:val="00CE2F8C"/>
    <w:rsid w:val="00CE3831"/>
    <w:rsid w:val="00CE48FD"/>
    <w:rsid w:val="00CE55C7"/>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2E2D"/>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0F4"/>
    <w:rsid w:val="00D549BA"/>
    <w:rsid w:val="00D55F4F"/>
    <w:rsid w:val="00D57713"/>
    <w:rsid w:val="00D60FF0"/>
    <w:rsid w:val="00D62092"/>
    <w:rsid w:val="00D62E45"/>
    <w:rsid w:val="00D65403"/>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65E8"/>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E7649"/>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038C"/>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0E79"/>
    <w:rsid w:val="00E6655A"/>
    <w:rsid w:val="00E665FB"/>
    <w:rsid w:val="00E679F0"/>
    <w:rsid w:val="00E707D1"/>
    <w:rsid w:val="00E70BCE"/>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607E"/>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3E52"/>
    <w:rsid w:val="00F07F9C"/>
    <w:rsid w:val="00F10CBD"/>
    <w:rsid w:val="00F11958"/>
    <w:rsid w:val="00F123A7"/>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2E3"/>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555C"/>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1BF6"/>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15:docId w15:val="{63D9F11B-39D6-4258-9026-8512A567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EE5"/>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B04EE5"/>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B04EE5"/>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B04EE5"/>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B04EE5"/>
    <w:pPr>
      <w:spacing w:before="240" w:after="60"/>
      <w:outlineLvl w:val="5"/>
    </w:pPr>
    <w:rPr>
      <w:b/>
      <w:bCs/>
    </w:rPr>
  </w:style>
  <w:style w:type="paragraph" w:styleId="Heading7">
    <w:name w:val="heading 7"/>
    <w:aliases w:val="7,h7"/>
    <w:basedOn w:val="Normal"/>
    <w:next w:val="Normal"/>
    <w:link w:val="Heading7Char"/>
    <w:uiPriority w:val="9"/>
    <w:unhideWhenUsed/>
    <w:qFormat/>
    <w:rsid w:val="00B04EE5"/>
    <w:pPr>
      <w:spacing w:before="240" w:after="60"/>
      <w:outlineLvl w:val="6"/>
    </w:pPr>
  </w:style>
  <w:style w:type="paragraph" w:styleId="Heading8">
    <w:name w:val="heading 8"/>
    <w:aliases w:val="8,h8"/>
    <w:basedOn w:val="Normal"/>
    <w:next w:val="Normal"/>
    <w:link w:val="Heading8Char"/>
    <w:uiPriority w:val="9"/>
    <w:unhideWhenUsed/>
    <w:qFormat/>
    <w:rsid w:val="00B04EE5"/>
    <w:pPr>
      <w:spacing w:before="240" w:after="60"/>
      <w:outlineLvl w:val="7"/>
    </w:pPr>
    <w:rPr>
      <w:i/>
      <w:iCs/>
    </w:rPr>
  </w:style>
  <w:style w:type="paragraph" w:styleId="Heading9">
    <w:name w:val="heading 9"/>
    <w:aliases w:val="9,h9"/>
    <w:basedOn w:val="Normal"/>
    <w:next w:val="Normal"/>
    <w:link w:val="Heading9Char"/>
    <w:uiPriority w:val="9"/>
    <w:unhideWhenUsed/>
    <w:qFormat/>
    <w:rsid w:val="00B04EE5"/>
    <w:pPr>
      <w:spacing w:before="240" w:after="60"/>
      <w:outlineLvl w:val="8"/>
    </w:pPr>
    <w:rPr>
      <w:rFonts w:asciiTheme="majorHAnsi" w:eastAsiaTheme="majorEastAsia" w:hAnsiTheme="majorHAnsi"/>
    </w:rPr>
  </w:style>
  <w:style w:type="character" w:default="1" w:styleId="DefaultParagraphFont">
    <w:name w:val="Default Paragraph Font"/>
    <w:uiPriority w:val="1"/>
    <w:unhideWhenUsed/>
    <w:rsid w:val="00B04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EE5"/>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B04EE5"/>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B04EE5"/>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B04EE5"/>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B04EE5"/>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B04EE5"/>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B04EE5"/>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B04EE5"/>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B04EE5"/>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B04EE5"/>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B04E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04EE5"/>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B04EE5"/>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319817983">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4355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25</Pages>
  <Words>16123</Words>
  <Characters>89205</Characters>
  <Application>Microsoft Office Word</Application>
  <DocSecurity>0</DocSecurity>
  <Lines>743</Lines>
  <Paragraphs>210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4.	Taxes. Unless otherwise required by law, the JBE is exempt from federal excis</vt:lpstr>
      <vt:lpstr>        5.	Retention Amount.  Notwithstanding the terms of this Appendix B, and without </vt:lpstr>
      <vt:lpstr>        </vt:lpstr>
      <vt:lpstr>        APPENDIX C: General Terms and Conditions</vt:lpstr>
      <vt:lpstr>        (a)          Effect.  The JBE may, at any time, by written stop work order to C</vt:lpstr>
      <vt:lpstr>        (b)       	Expiration or Cancellation.  If a stop work order is canceled by the</vt:lpstr>
      <vt:lpstr>    1.3 	Change Orders.  From time to time during the term of this Agreement, the P</vt:lpstr>
      <vt:lpstr>    1.4 	Third Party or JBE Services.  Notwithstanding anything in this Agreement t</vt:lpstr>
      <vt:lpstr>        (a) 	Safety and Security Procedures.  Contractor shall maintain and enforce, at</vt:lpstr>
      <vt:lpstr>        (b)         Data Security.</vt:lpstr>
      <vt:lpstr>        Contractor shall comply with the Data Safeguards. Contractor shall implement and</vt:lpstr>
      <vt:lpstr>        Unauthorized access to, or use or disclosure of JBE Data (including data mining,</vt:lpstr>
      <vt:lpstr>        No Work shall be provided from outside the continental United States. Remote acc</vt:lpstr>
      <vt:lpstr>        Confidential, sensitive, or personally identifiable information shall be encrypt</vt:lpstr>
      <vt:lpstr>        (c)         Data Breach</vt:lpstr>
      <vt:lpstr>        If there is a suspected or actual Data Breach, Contractor shall notify the JBE i</vt:lpstr>
      <vt:lpstr>        (d)        Security Assessments</vt:lpstr>
      <vt:lpstr>        Upon advance written notice by the JBE, Contractor agrees that the JBE shall hav</vt:lpstr>
      <vt:lpstr>        (e)        Data Requests</vt:lpstr>
      <vt:lpstr>        Contractor shall promptly notify the JBE upon receipt of any requests which in a</vt:lpstr>
      <vt:lpstr>        (f)        Data Backups</vt:lpstr>
      <vt:lpstr>        If Contractor is providing Hosted Services under this Agreement, Contractor shal</vt:lpstr>
      <vt:lpstr>        •	ensure that any hosting facilities (including computers, network, data storage</vt:lpstr>
      <vt:lpstr>        •	provide daily full backup of all JBE Data, weekly full, and last full monthly </vt:lpstr>
      <vt:lpstr>        •	provide periodic incremental backup of all JBE Data;</vt:lpstr>
      <vt:lpstr>        •	have the capability to recover data from the JBE Data backup copy;</vt:lpstr>
      <vt:lpstr>        •	have the capability to export the JBE’s raw data in human readable and machine</vt:lpstr>
      <vt:lpstr>        •	have the capability to import the JBE Data (subject to Contractor’s confidenti</vt:lpstr>
      <vt:lpstr>        •	provide hourly snapshot backups of the JBE Data (daily backups shall also be p</vt:lpstr>
      <vt:lpstr>        •	maintain recoverable, secure backups of the JBE Data offsite in a fire-protect</vt:lpstr>
      <vt:lpstr>        •	maintain and implement data backup and disaster recovery processes and procedu</vt:lpstr>
      <vt:lpstr>        [SECTION INSTRUCTIONS: As applicable, JBE to specify additional provisions for ]</vt:lpstr>
      <vt:lpstr>        •	encryption standards for data backups</vt:lpstr>
      <vt:lpstr>        •	requirements for rolling backup history (Contractor’s ability to restore files</vt:lpstr>
      <vt:lpstr>        •	physical medium and other specifications for data backup hardware or software</vt:lpstr>
      <vt:lpstr>        •	retention periods of archived data backups</vt:lpstr>
      <vt:lpstr>        •	uninterruptible power supply for servers hosting JBE Data</vt:lpstr>
      <vt:lpstr>        •	service levels and response times for data backup retrieval/data restoration]</vt:lpstr>
      <vt:lpstr>    1.6 	Project Staff.</vt:lpstr>
      <vt:lpstr>        (a) 	Contractor Project Manager.  The Contractor Project Manager shall serve, f</vt:lpstr>
      <vt:lpstr>        (b)          Contractor Key Personnel.  The JBE reserves the right to interview</vt:lpstr>
      <vt:lpstr>        (c) 	Subcontractors.  Contractor shall not subcontract or delegate any of the o</vt:lpstr>
      <vt:lpstr>        (d)          Project Staff.  Contractor shall appoint to the Project Staff: (i)</vt:lpstr>
      <vt:lpstr>        (e)          Conduct of Project Staff.</vt:lpstr>
      <vt:lpstr>    1.7 	Licenses and Approvals.  Contractor shall obtain and keep current all nece</vt:lpstr>
      <vt:lpstr>    1.8 	Progress Reports.  As directed by the JBE, Contractor must deliver progres</vt:lpstr>
      <vt:lpstr>        Authorization/Compliance with Laws. (i) Contractor has full power and authority </vt:lpstr>
      <vt:lpstr>        No Gratuities or Conflict of Interest. Contractor: (i) has not directly or indir</vt:lpstr>
      <vt:lpstr>        No Litigation. No Claim or governmental investigation is pending or threatened a</vt:lpstr>
      <vt:lpstr>        Not an Expatriate Corporation. Contractor is not an expatriate corporation or su</vt:lpstr>
      <vt:lpstr>        No Interference.  To the best of Contractor’s knowledge, this Agreement does not</vt:lpstr>
      <vt:lpstr>        Drug Free Workplace. Contractor provides a drug-free workplace as required by Ca</vt:lpstr>
      <vt:lpstr>        No Harassment / Nondiscrimination. Contractor does not engage in unlawful harass</vt:lpstr>
      <vt:lpstr>        Domestic Partners, Spouses, Gender, and Gender Identity Discrimination. If the C</vt:lpstr>
      <vt:lpstr>        National Labor Relations Board Orders. No more than one, final unappealable find</vt:lpstr>
      <vt:lpstr>        Child Support Compliance Act.  If the Contract Amount is $100,000 or more: (i) C</vt:lpstr>
      <vt:lpstr>        Intellectual Property. Contractor shall perform its obligations under this Agree</vt:lpstr>
      <vt:lpstr>        Work. (i) the Work will be rendered with promptness and diligence and will be ex</vt:lpstr>
      <vt:lpstr>        Malicious Code. No Work will contain any Malicious Code. Contractor shall immedi</vt:lpstr>
      <vt:lpstr>        Four-Digit Date Compliance. Contractor will provide only Four-Digit Date Complia</vt:lpstr>
      <vt:lpstr>        Conflict Minerals. Contractor certifies either: (i) it is not a “scrutinized com</vt:lpstr>
      <vt:lpstr>        Contractor/Third Party Materials. Contractor shall set forth in an exhibit to ea</vt:lpstr>
      <vt:lpstr>        Rights in Developed Materials. Notwithstanding any provision to the contrary, up</vt:lpstr>
      <vt:lpstr>        Retention of Rights. The JBE retains all rights, title and interest (including a</vt:lpstr>
      <vt:lpstr>        General Obligations. During the Term and at all times thereafter, Contractor wil</vt:lpstr>
      <vt:lpstr>        Removal; Return.  Contractor will not remove any Confidential Information from J</vt:lpstr>
      <vt:lpstr>        Breach of Confidentiality.  Contractor acknowledges that there can be no adequat</vt:lpstr>
      <vt:lpstr>        General Indemnity. Contractor shall indemnify, defend (with counsel satisfactory</vt:lpstr>
      <vt:lpstr>        Certain Remedies. If any Covered Item provided under this Agreement becomes, or </vt:lpstr>
      <vt:lpstr>        Basic Coverage. Contractor shall provide and maintain at Contractor’s expense th</vt:lpstr>
      <vt:lpstr>        Workers Compensation and Employer’s Liability. The policy is required only if Co</vt:lpstr>
      <vt:lpstr>        Commercial General Liability. The policy must be written on an occurrence form w</vt:lpstr>
      <vt:lpstr>        Professional Liability. The policy must cover Contractor’s acts, errors and omis</vt:lpstr>
      <vt:lpstr>        Commercial Automobile Liability. If an automobile is used in providing the Work,</vt:lpstr>
      <vt:lpstr>        “Claims Made” Coverage. If any required insurance is written on a “claims made” </vt:lpstr>
      <vt:lpstr>        Umbrella Policies. Contractor may satisfy basic coverage limits through any comb</vt:lpstr>
      <vt:lpstr>        Aggregate Limits of Liability. The basic coverage limits of liability may be sub</vt:lpstr>
      <vt:lpstr>        Deductibles and Self-Insured Retentions. Contractor is responsible for and may n</vt:lpstr>
      <vt:lpstr>        Additional Insured Status. With respect to commercial general liability, automob</vt:lpstr>
      <vt:lpstr>        Certificates of Insurance. Before Contractor begins providing Work, Contractor s</vt:lpstr>
      <vt:lpstr>        Qualifying Insurers. For insurance to satisfy the requirements of this section, </vt:lpstr>
      <vt:lpstr>        Required Policy Provisions. Each policy must provide, as follows: </vt:lpstr>
      <vt:lpstr>        (a)	Insurance Primary; Waiver of Recovery. With respect to commercial general </vt:lpstr>
      <vt:lpstr>        (b)	Separation of Insureds. The insurance applies separately to each insured a</vt:lpstr>
      <vt:lpstr>        Partnerships.  If Contractor is an association, partnership, or other joint busi</vt:lpstr>
      <vt:lpstr>        Consequences of Lapse. If required insurance lapses during the Term, the JBE is </vt:lpstr>
      <vt:lpstr>    Term.  This Agreement shall commence on the Effective Date and continue until te</vt:lpstr>
      <vt:lpstr>    Termination for Convenience.  The JBE may terminate, in whole or in part, this A</vt:lpstr>
      <vt:lpstr>    Early Termination. The JBE may terminate, in whole or in part, this Agreement or</vt:lpstr>
      <vt:lpstr>    Rights and Remedies of the JBE.     </vt:lpstr>
      <vt:lpstr>    Termination Assistance.  At the JBE’s request and option, during the Termination</vt:lpstr>
      <vt:lpstr>    Survival.  Termination of this Agreement shall not affect the rights and/or obli</vt:lpstr>
      <vt:lpstr>    Tax Delinquency.  Contractor must provide notice to the JBE immediately if Contr</vt:lpstr>
      <vt:lpstr>        Agreements Providing for Compensation of $50,000 or more; Union Activities Restr</vt:lpstr>
      <vt:lpstr>        DVBE Commitment. This section is applicable if Contractor received a disabled ve</vt:lpstr>
      <vt:lpstr>        Competitively Bid Contracts; Antitrust Claims. If this Agreement resulted from a</vt:lpstr>
      <vt:lpstr>        Contractor shall assign to the JBE all rights, title, and interest in and to al</vt:lpstr>
      <vt:lpstr>        If the JBE receives, either through judgment or settlement, a monetary recovery</vt:lpstr>
      <vt:lpstr>        Upon demand in writing by the Contractor, the JBE shall, within one year from s</vt:lpstr>
      <vt:lpstr>    10.1	Audits. Contractor shall allow the JBE and its designees to review and audi</vt:lpstr>
    </vt:vector>
  </TitlesOfParts>
  <Company/>
  <LinksUpToDate>false</LinksUpToDate>
  <CharactersWithSpaces>105118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Walton, Julie</dc:creator>
  <cp:lastModifiedBy>Mok, Deborah</cp:lastModifiedBy>
  <cp:revision>16</cp:revision>
  <dcterms:created xsi:type="dcterms:W3CDTF">2022-11-21T16:17:00Z</dcterms:created>
  <dcterms:modified xsi:type="dcterms:W3CDTF">2022-12-16T00:26:00Z</dcterms:modified>
</cp:coreProperties>
</file>