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4590"/>
        <w:gridCol w:w="236"/>
        <w:gridCol w:w="4534"/>
      </w:tblGrid>
      <w:tr w:rsidR="00FC3C23" w:rsidTr="00602845">
        <w:trPr>
          <w:cantSplit/>
          <w:trHeight w:val="3405"/>
        </w:trPr>
        <w:tc>
          <w:tcPr>
            <w:tcW w:w="4590" w:type="dxa"/>
            <w:tcBorders>
              <w:bottom w:val="single" w:sz="4" w:space="0" w:color="auto"/>
            </w:tcBorders>
          </w:tcPr>
          <w:p w:rsidR="00FC3C23" w:rsidRDefault="00FC3C23" w:rsidP="00602845">
            <w:pPr>
              <w:pStyle w:val="MemoSubhead"/>
            </w:pPr>
            <w:r>
              <w:t>Date</w:t>
            </w:r>
          </w:p>
          <w:p w:rsidR="00FC3C23" w:rsidRDefault="0037750B" w:rsidP="00602845">
            <w:pPr>
              <w:pStyle w:val="MemoHeaderText"/>
            </w:pPr>
            <w:bookmarkStart w:id="0" w:name="bmDate"/>
            <w:bookmarkEnd w:id="0"/>
            <w:r>
              <w:t>July 13</w:t>
            </w:r>
            <w:r w:rsidR="00FC3C23">
              <w:t>, 2009</w:t>
            </w:r>
          </w:p>
          <w:p w:rsidR="00FC3C23" w:rsidRDefault="00FC3C23" w:rsidP="00602845">
            <w:pPr>
              <w:pStyle w:val="MemoHeaderText"/>
            </w:pPr>
          </w:p>
          <w:p w:rsidR="00FC3C23" w:rsidRDefault="00FC3C23" w:rsidP="00602845">
            <w:pPr>
              <w:pStyle w:val="MemoSubhead"/>
            </w:pPr>
            <w:r>
              <w:t>To</w:t>
            </w:r>
          </w:p>
          <w:p w:rsidR="00FC3C23" w:rsidRPr="00437021" w:rsidRDefault="00FC3C23" w:rsidP="00602845">
            <w:pPr>
              <w:pStyle w:val="JCCBodyText"/>
              <w:spacing w:line="240" w:lineRule="auto"/>
              <w:ind w:left="-86"/>
            </w:pPr>
            <w:bookmarkStart w:id="1" w:name="bmTo"/>
            <w:bookmarkEnd w:id="1"/>
            <w:r w:rsidRPr="00437021">
              <w:t xml:space="preserve">Qualified </w:t>
            </w:r>
            <w:r>
              <w:t>General Contractors</w:t>
            </w:r>
          </w:p>
          <w:p w:rsidR="00FC3C23" w:rsidRDefault="00FC3C23" w:rsidP="00602845">
            <w:pPr>
              <w:pStyle w:val="MemoHeaderText"/>
            </w:pPr>
          </w:p>
          <w:p w:rsidR="00FC3C23" w:rsidRDefault="00FC3C23" w:rsidP="00602845">
            <w:pPr>
              <w:pStyle w:val="MemoSubhead"/>
            </w:pPr>
            <w:r>
              <w:t>From</w:t>
            </w:r>
          </w:p>
          <w:p w:rsidR="00FC3C23" w:rsidRPr="006E6A24" w:rsidRDefault="00FC3C23" w:rsidP="00602845">
            <w:pPr>
              <w:pStyle w:val="JCCArialSubhead"/>
              <w:spacing w:after="60"/>
              <w:ind w:left="-86"/>
              <w:rPr>
                <w:rFonts w:ascii="Times New Roman" w:hAnsi="Times New Roman"/>
                <w:sz w:val="24"/>
                <w:szCs w:val="24"/>
              </w:rPr>
            </w:pPr>
            <w:bookmarkStart w:id="2" w:name="bmFrom"/>
            <w:bookmarkEnd w:id="2"/>
            <w:r w:rsidRPr="006E6A24">
              <w:rPr>
                <w:rFonts w:ascii="Times New Roman" w:hAnsi="Times New Roman"/>
                <w:sz w:val="24"/>
                <w:szCs w:val="24"/>
              </w:rPr>
              <w:t xml:space="preserve">Judicial Council of </w:t>
            </w:r>
            <w:smartTag w:uri="urn:schemas-microsoft-com:office:smarttags" w:element="place">
              <w:smartTag w:uri="urn:schemas-microsoft-com:office:smarttags" w:element="State">
                <w:r w:rsidRPr="006E6A24">
                  <w:rPr>
                    <w:rFonts w:ascii="Times New Roman" w:hAnsi="Times New Roman"/>
                    <w:sz w:val="24"/>
                    <w:szCs w:val="24"/>
                  </w:rPr>
                  <w:t>California</w:t>
                </w:r>
              </w:smartTag>
            </w:smartTag>
          </w:p>
          <w:p w:rsidR="00FC3C23" w:rsidRPr="00437021" w:rsidRDefault="00FC3C23" w:rsidP="00602845">
            <w:pPr>
              <w:pStyle w:val="JCCBodyText"/>
              <w:spacing w:line="240" w:lineRule="auto"/>
              <w:ind w:left="-86"/>
            </w:pPr>
            <w:r w:rsidRPr="00437021">
              <w:t>Administrative Office of the Courts,</w:t>
            </w:r>
          </w:p>
          <w:p w:rsidR="00FC3C23" w:rsidRPr="00437021" w:rsidRDefault="00FC3C23" w:rsidP="00602845">
            <w:pPr>
              <w:pStyle w:val="JCCBodyText"/>
              <w:spacing w:line="240" w:lineRule="auto"/>
              <w:ind w:left="-86"/>
            </w:pPr>
            <w:r w:rsidRPr="00437021">
              <w:t>Office of Court Construction and Management</w:t>
            </w:r>
          </w:p>
          <w:p w:rsidR="00FC3C23" w:rsidRDefault="00FC3C23" w:rsidP="00602845">
            <w:pPr>
              <w:pStyle w:val="MemoHeaderText"/>
            </w:pPr>
          </w:p>
          <w:p w:rsidR="00FC3C23" w:rsidRDefault="00FC3C23" w:rsidP="00602845">
            <w:pPr>
              <w:pStyle w:val="MemoSubhead"/>
            </w:pPr>
            <w:r>
              <w:t>Subject</w:t>
            </w:r>
          </w:p>
          <w:p w:rsidR="00FC3C23" w:rsidRPr="007C3E2D" w:rsidRDefault="00FC3C23" w:rsidP="00602845">
            <w:pPr>
              <w:pStyle w:val="JCCBodyText"/>
              <w:spacing w:line="240" w:lineRule="auto"/>
              <w:ind w:left="-86"/>
              <w:rPr>
                <w:b/>
              </w:rPr>
            </w:pPr>
            <w:bookmarkStart w:id="3" w:name="bmSubject"/>
            <w:bookmarkEnd w:id="3"/>
            <w:r w:rsidRPr="007C3E2D">
              <w:rPr>
                <w:b/>
              </w:rPr>
              <w:t xml:space="preserve">Addendum No. </w:t>
            </w:r>
            <w:r w:rsidR="0071479C">
              <w:rPr>
                <w:b/>
              </w:rPr>
              <w:t>3</w:t>
            </w:r>
          </w:p>
          <w:p w:rsidR="00FC3C23" w:rsidRDefault="00FC3C23" w:rsidP="00602845">
            <w:pPr>
              <w:pStyle w:val="JCCBodyText"/>
              <w:spacing w:line="240" w:lineRule="auto"/>
              <w:ind w:left="-86"/>
            </w:pPr>
            <w:r>
              <w:rPr>
                <w:rFonts w:ascii="Arial" w:hAnsi="Arial" w:cs="Arial"/>
                <w:b/>
                <w:bCs/>
                <w:sz w:val="20"/>
              </w:rPr>
              <w:t>New Hollister Courthouse</w:t>
            </w:r>
          </w:p>
          <w:p w:rsidR="00FC3C23" w:rsidRDefault="00FC3C23" w:rsidP="00602845">
            <w:pPr>
              <w:pStyle w:val="MemoHeaderText"/>
            </w:pPr>
            <w:r>
              <w:t>Solicitation N</w:t>
            </w:r>
            <w:r w:rsidRPr="00437021">
              <w:t>umber</w:t>
            </w:r>
            <w:r>
              <w:t xml:space="preserve">: </w:t>
            </w:r>
            <w:r w:rsidRPr="00D43104">
              <w:t>OCCM-FY200</w:t>
            </w:r>
            <w:r>
              <w:t>8-14</w:t>
            </w:r>
          </w:p>
          <w:p w:rsidR="00FC3C23" w:rsidRDefault="00FC3C23" w:rsidP="00602845">
            <w:pPr>
              <w:pStyle w:val="MemoHeaderText"/>
            </w:pPr>
          </w:p>
        </w:tc>
        <w:tc>
          <w:tcPr>
            <w:tcW w:w="236" w:type="dxa"/>
            <w:tcBorders>
              <w:bottom w:val="single" w:sz="4" w:space="0" w:color="auto"/>
            </w:tcBorders>
          </w:tcPr>
          <w:p w:rsidR="00FC3C23" w:rsidRDefault="00FC3C23" w:rsidP="00602845"/>
        </w:tc>
        <w:tc>
          <w:tcPr>
            <w:tcW w:w="4534" w:type="dxa"/>
            <w:tcBorders>
              <w:bottom w:val="single" w:sz="4" w:space="0" w:color="auto"/>
            </w:tcBorders>
          </w:tcPr>
          <w:p w:rsidR="00FC3C23" w:rsidRDefault="00FC3C23" w:rsidP="00602845">
            <w:pPr>
              <w:pStyle w:val="MemoSubhead"/>
            </w:pPr>
            <w:r>
              <w:t>Action Requested</w:t>
            </w:r>
          </w:p>
          <w:p w:rsidR="00FC3C23" w:rsidRDefault="00FC3C23" w:rsidP="00602845">
            <w:pPr>
              <w:pStyle w:val="MemoHeaderText"/>
            </w:pPr>
            <w:bookmarkStart w:id="4" w:name="bmAction"/>
            <w:bookmarkEnd w:id="4"/>
            <w:r>
              <w:t>Please review the attached responses to questions regarding the RFQ/P</w:t>
            </w:r>
          </w:p>
          <w:p w:rsidR="00FC3C23" w:rsidRDefault="00FC3C23" w:rsidP="00602845">
            <w:pPr>
              <w:pStyle w:val="MemoHeaderText"/>
            </w:pPr>
          </w:p>
          <w:p w:rsidR="00FC3C23" w:rsidRDefault="00FC3C23" w:rsidP="00602845">
            <w:pPr>
              <w:pStyle w:val="MemoSubhead"/>
            </w:pPr>
            <w:r>
              <w:t>Deadline</w:t>
            </w:r>
          </w:p>
          <w:p w:rsidR="00FC3C23" w:rsidRDefault="00FC3C23" w:rsidP="00602845">
            <w:pPr>
              <w:pStyle w:val="MemoHeaderText"/>
            </w:pPr>
            <w:bookmarkStart w:id="5" w:name="bmDeadline"/>
            <w:bookmarkEnd w:id="5"/>
            <w:r>
              <w:t>See attached addendum</w:t>
            </w:r>
          </w:p>
          <w:p w:rsidR="00FC3C23" w:rsidRDefault="00FC3C23" w:rsidP="00602845">
            <w:pPr>
              <w:pStyle w:val="MemoHeaderText"/>
            </w:pPr>
          </w:p>
          <w:p w:rsidR="00FC3C23" w:rsidRDefault="00FC3C23" w:rsidP="00602845">
            <w:pPr>
              <w:pStyle w:val="MemoSubhead"/>
            </w:pPr>
            <w:r>
              <w:t>Contact</w:t>
            </w:r>
          </w:p>
          <w:bookmarkStart w:id="6" w:name="bmContact"/>
          <w:bookmarkEnd w:id="6"/>
          <w:p w:rsidR="00FC3C23" w:rsidRDefault="003763C8" w:rsidP="00602845">
            <w:pPr>
              <w:pStyle w:val="MemoHeaderText"/>
            </w:pPr>
            <w:r>
              <w:rPr>
                <w:sz w:val="22"/>
              </w:rPr>
              <w:fldChar w:fldCharType="begin"/>
            </w:r>
            <w:r w:rsidR="00FC3C23">
              <w:rPr>
                <w:sz w:val="22"/>
              </w:rPr>
              <w:instrText>HYPERLINK "mailto:soccm_olicitations@jud.ca.gov"</w:instrText>
            </w:r>
            <w:r>
              <w:rPr>
                <w:sz w:val="22"/>
              </w:rPr>
              <w:fldChar w:fldCharType="separate"/>
            </w:r>
            <w:r w:rsidR="00FC3C23">
              <w:rPr>
                <w:rStyle w:val="Hyperlink"/>
                <w:sz w:val="22"/>
              </w:rPr>
              <w:t>occm_solicitations@jud.ca.gov</w:t>
            </w:r>
            <w:r>
              <w:rPr>
                <w:sz w:val="22"/>
              </w:rPr>
              <w:fldChar w:fldCharType="end"/>
            </w:r>
          </w:p>
        </w:tc>
      </w:tr>
    </w:tbl>
    <w:p w:rsidR="00D02B96" w:rsidRDefault="00D02B96"/>
    <w:p w:rsidR="00D516EF" w:rsidRDefault="00602845" w:rsidP="00891DBB">
      <w:pPr>
        <w:pStyle w:val="ListParagraph"/>
        <w:numPr>
          <w:ilvl w:val="0"/>
          <w:numId w:val="2"/>
        </w:numPr>
        <w:spacing w:before="60" w:after="120"/>
        <w:ind w:left="936"/>
        <w:rPr>
          <w:rFonts w:ascii="Times New Roman" w:hAnsi="Times New Roman"/>
        </w:rPr>
      </w:pPr>
      <w:r w:rsidRPr="00891DBB">
        <w:rPr>
          <w:rFonts w:ascii="Times New Roman" w:hAnsi="Times New Roman"/>
        </w:rPr>
        <w:t xml:space="preserve">Exhibit A of Attachment A, </w:t>
      </w:r>
      <w:r w:rsidR="00D516EF" w:rsidRPr="00891DBB">
        <w:rPr>
          <w:rFonts w:ascii="Times New Roman" w:hAnsi="Times New Roman"/>
        </w:rPr>
        <w:t xml:space="preserve">Contract Schedule, G.2, Construction Phase, page A-18 is changed to  read: “Estimated completion date of Construction:  Not more than </w:t>
      </w:r>
      <w:r w:rsidR="00D516EF" w:rsidRPr="00891DBB">
        <w:rPr>
          <w:rFonts w:ascii="Times New Roman" w:hAnsi="Times New Roman"/>
          <w:highlight w:val="yellow"/>
        </w:rPr>
        <w:t>490</w:t>
      </w:r>
      <w:r w:rsidR="00D516EF" w:rsidRPr="00891DBB">
        <w:rPr>
          <w:rFonts w:ascii="Times New Roman" w:hAnsi="Times New Roman"/>
        </w:rPr>
        <w:t xml:space="preserve"> Calendar Days.” </w:t>
      </w:r>
    </w:p>
    <w:p w:rsidR="00891DBB" w:rsidRPr="00891DBB" w:rsidRDefault="00891DBB" w:rsidP="00891DBB">
      <w:pPr>
        <w:pStyle w:val="ListParagraph"/>
        <w:spacing w:before="60" w:after="120"/>
        <w:ind w:left="936"/>
        <w:rPr>
          <w:rFonts w:ascii="Times New Roman" w:hAnsi="Times New Roman"/>
        </w:rPr>
      </w:pPr>
    </w:p>
    <w:p w:rsidR="00891DBB" w:rsidRPr="00891DBB" w:rsidRDefault="00D516EF" w:rsidP="00891DBB">
      <w:pPr>
        <w:pStyle w:val="ListParagraph"/>
        <w:numPr>
          <w:ilvl w:val="0"/>
          <w:numId w:val="2"/>
        </w:numPr>
        <w:spacing w:before="60" w:after="120"/>
        <w:ind w:left="936"/>
        <w:rPr>
          <w:rFonts w:ascii="Times New Roman" w:hAnsi="Times New Roman"/>
          <w:color w:val="000000"/>
          <w:szCs w:val="22"/>
        </w:rPr>
      </w:pPr>
      <w:r w:rsidRPr="00891DBB">
        <w:rPr>
          <w:rFonts w:ascii="Times New Roman" w:hAnsi="Times New Roman"/>
        </w:rPr>
        <w:t xml:space="preserve">Attachment F, Fee Proposal Form, </w:t>
      </w:r>
      <w:r w:rsidR="00D9370F" w:rsidRPr="00891DBB">
        <w:rPr>
          <w:rFonts w:ascii="Times New Roman" w:hAnsi="Times New Roman"/>
        </w:rPr>
        <w:t>is deleted in its entirety and replaced with the attached Attachment F, Fee Proposal Form, Addendum 3.</w:t>
      </w:r>
    </w:p>
    <w:p w:rsidR="00891DBB" w:rsidRPr="00891DBB" w:rsidRDefault="00891DBB" w:rsidP="00891DBB">
      <w:pPr>
        <w:pStyle w:val="ListParagraph"/>
        <w:spacing w:before="60" w:after="120"/>
        <w:ind w:left="936"/>
        <w:rPr>
          <w:rFonts w:ascii="Times New Roman" w:hAnsi="Times New Roman"/>
          <w:color w:val="000000"/>
          <w:szCs w:val="22"/>
        </w:rPr>
      </w:pPr>
    </w:p>
    <w:p w:rsidR="00125249" w:rsidRDefault="00125249" w:rsidP="00891DBB">
      <w:pPr>
        <w:pStyle w:val="ListParagraph"/>
        <w:numPr>
          <w:ilvl w:val="0"/>
          <w:numId w:val="2"/>
        </w:numPr>
        <w:spacing w:before="120" w:after="60"/>
        <w:ind w:left="936"/>
        <w:rPr>
          <w:rFonts w:ascii="Times New Roman" w:hAnsi="Times New Roman"/>
        </w:rPr>
      </w:pPr>
      <w:r w:rsidRPr="00891DBB">
        <w:rPr>
          <w:rFonts w:ascii="Times New Roman" w:hAnsi="Times New Roman"/>
        </w:rPr>
        <w:t>Attachment J, Sustainability/LEED Description is now attached.</w:t>
      </w:r>
    </w:p>
    <w:p w:rsidR="00891DBB" w:rsidRPr="00891DBB" w:rsidRDefault="00891DBB" w:rsidP="00891DBB">
      <w:pPr>
        <w:pStyle w:val="ListParagraph"/>
        <w:spacing w:before="120" w:after="60"/>
        <w:ind w:left="936"/>
        <w:rPr>
          <w:rFonts w:ascii="Times New Roman" w:hAnsi="Times New Roman"/>
        </w:rPr>
      </w:pPr>
    </w:p>
    <w:p w:rsidR="00846EF7" w:rsidRPr="00891DBB" w:rsidRDefault="00B533D5" w:rsidP="00891DBB">
      <w:pPr>
        <w:pStyle w:val="ListParagraph"/>
        <w:numPr>
          <w:ilvl w:val="0"/>
          <w:numId w:val="2"/>
        </w:numPr>
        <w:spacing w:before="60" w:after="60"/>
        <w:ind w:left="936"/>
        <w:rPr>
          <w:rFonts w:ascii="Times New Roman" w:hAnsi="Times New Roman"/>
        </w:rPr>
        <w:sectPr w:rsidR="00846EF7" w:rsidRPr="00891DBB" w:rsidSect="00FC3C23">
          <w:headerReference w:type="default" r:id="rId7"/>
          <w:headerReference w:type="first" r:id="rId8"/>
          <w:pgSz w:w="12240" w:h="15840"/>
          <w:pgMar w:top="1440" w:right="1440" w:bottom="1440" w:left="1440" w:header="720" w:footer="720" w:gutter="0"/>
          <w:cols w:space="720"/>
          <w:titlePg/>
          <w:docGrid w:linePitch="360"/>
        </w:sectPr>
      </w:pPr>
      <w:r w:rsidRPr="00891DBB">
        <w:rPr>
          <w:rFonts w:ascii="Times New Roman" w:hAnsi="Times New Roman"/>
        </w:rPr>
        <w:t>Attachment C, Construction Phase Scope Detail</w:t>
      </w:r>
      <w:r w:rsidR="00846EF7" w:rsidRPr="00891DBB">
        <w:rPr>
          <w:rFonts w:ascii="Times New Roman" w:hAnsi="Times New Roman"/>
        </w:rPr>
        <w:t xml:space="preserve"> is deleted and replaced in its entirety with the attached Attachment C, Constr</w:t>
      </w:r>
      <w:r w:rsidR="003C3859">
        <w:rPr>
          <w:rFonts w:ascii="Times New Roman" w:hAnsi="Times New Roman"/>
        </w:rPr>
        <w:t xml:space="preserve">uction Phase Scope Detail, </w:t>
      </w:r>
      <w:proofErr w:type="gramStart"/>
      <w:r w:rsidR="008C0525">
        <w:rPr>
          <w:rFonts w:ascii="Times New Roman" w:hAnsi="Times New Roman"/>
        </w:rPr>
        <w:t>Adden</w:t>
      </w:r>
      <w:r w:rsidR="00846EF7" w:rsidRPr="00891DBB">
        <w:rPr>
          <w:rFonts w:ascii="Times New Roman" w:hAnsi="Times New Roman"/>
        </w:rPr>
        <w:t>dum</w:t>
      </w:r>
      <w:proofErr w:type="gramEnd"/>
      <w:r w:rsidR="00846EF7" w:rsidRPr="00891DBB">
        <w:rPr>
          <w:rFonts w:ascii="Times New Roman" w:hAnsi="Times New Roman"/>
        </w:rPr>
        <w:t xml:space="preserve"> 3.</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778"/>
        <w:gridCol w:w="5568"/>
        <w:gridCol w:w="4013"/>
      </w:tblGrid>
      <w:tr w:rsidR="008A1F74" w:rsidTr="00EE5688">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8A1F74" w:rsidRPr="00F620FD" w:rsidRDefault="008A1F74" w:rsidP="00EE5688">
            <w:pPr>
              <w:pStyle w:val="TableTitle"/>
              <w:jc w:val="center"/>
              <w:rPr>
                <w:rFonts w:cs="Arial"/>
                <w:sz w:val="20"/>
                <w:szCs w:val="20"/>
              </w:rPr>
            </w:pPr>
          </w:p>
        </w:tc>
        <w:tc>
          <w:tcPr>
            <w:tcW w:w="3778" w:type="dxa"/>
            <w:tcBorders>
              <w:top w:val="thinThickSmallGap" w:sz="24" w:space="0" w:color="000066"/>
              <w:left w:val="single" w:sz="4" w:space="0" w:color="FFFFFF"/>
              <w:bottom w:val="single" w:sz="4" w:space="0" w:color="auto"/>
              <w:right w:val="single" w:sz="4" w:space="0" w:color="FFFFFF"/>
            </w:tcBorders>
            <w:shd w:val="clear" w:color="auto" w:fill="000066"/>
          </w:tcPr>
          <w:p w:rsidR="008A1F74" w:rsidRPr="00F620FD" w:rsidRDefault="008A1F74" w:rsidP="00EE5688">
            <w:pPr>
              <w:pStyle w:val="TableTitle"/>
              <w:rPr>
                <w:rFonts w:cs="Arial"/>
                <w:sz w:val="20"/>
                <w:szCs w:val="20"/>
              </w:rPr>
            </w:pPr>
          </w:p>
        </w:tc>
        <w:tc>
          <w:tcPr>
            <w:tcW w:w="5568" w:type="dxa"/>
            <w:tcBorders>
              <w:top w:val="thinThickSmallGap" w:sz="24" w:space="0" w:color="000066"/>
              <w:left w:val="single" w:sz="4" w:space="0" w:color="FFFFFF"/>
              <w:bottom w:val="single" w:sz="4" w:space="0" w:color="auto"/>
              <w:right w:val="single" w:sz="4" w:space="0" w:color="FFFFFF"/>
            </w:tcBorders>
            <w:shd w:val="clear" w:color="auto" w:fill="000066"/>
          </w:tcPr>
          <w:p w:rsidR="008A1F74" w:rsidRPr="00F620FD" w:rsidRDefault="008A1F74" w:rsidP="00EE5688">
            <w:pPr>
              <w:pStyle w:val="TableTitle"/>
              <w:rPr>
                <w:rFonts w:cs="Arial"/>
                <w:sz w:val="20"/>
                <w:szCs w:val="20"/>
              </w:rPr>
            </w:pPr>
          </w:p>
        </w:tc>
        <w:tc>
          <w:tcPr>
            <w:tcW w:w="4013" w:type="dxa"/>
            <w:tcBorders>
              <w:top w:val="thinThickSmallGap" w:sz="24" w:space="0" w:color="000066"/>
              <w:left w:val="single" w:sz="4" w:space="0" w:color="FFFFFF"/>
              <w:bottom w:val="single" w:sz="4" w:space="0" w:color="auto"/>
            </w:tcBorders>
            <w:shd w:val="clear" w:color="auto" w:fill="000066"/>
          </w:tcPr>
          <w:p w:rsidR="008A1F74" w:rsidRPr="00F620FD" w:rsidRDefault="008A1F74" w:rsidP="00EE5688">
            <w:pPr>
              <w:pStyle w:val="TableTitle"/>
              <w:rPr>
                <w:rFonts w:cs="Arial"/>
                <w:sz w:val="20"/>
                <w:szCs w:val="20"/>
              </w:rPr>
            </w:pPr>
          </w:p>
        </w:tc>
      </w:tr>
      <w:tr w:rsidR="008A1F74" w:rsidRPr="00F620FD" w:rsidTr="00EE5688">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8A1F74" w:rsidRPr="00F620FD" w:rsidRDefault="008A1F74" w:rsidP="00EE5688">
            <w:pPr>
              <w:pStyle w:val="TableTitle"/>
              <w:jc w:val="center"/>
              <w:rPr>
                <w:rFonts w:cs="Arial"/>
                <w:sz w:val="20"/>
                <w:szCs w:val="20"/>
              </w:rPr>
            </w:pPr>
            <w:r w:rsidRPr="00F620FD">
              <w:rPr>
                <w:rFonts w:cs="Arial"/>
                <w:sz w:val="20"/>
                <w:szCs w:val="20"/>
              </w:rPr>
              <w:t>#</w:t>
            </w:r>
          </w:p>
        </w:tc>
        <w:tc>
          <w:tcPr>
            <w:tcW w:w="3778" w:type="dxa"/>
            <w:tcBorders>
              <w:top w:val="thinThickSmallGap" w:sz="24" w:space="0" w:color="000066"/>
              <w:left w:val="single" w:sz="4" w:space="0" w:color="FFFFFF"/>
              <w:bottom w:val="single" w:sz="4" w:space="0" w:color="auto"/>
              <w:right w:val="single" w:sz="4" w:space="0" w:color="FFFFFF"/>
            </w:tcBorders>
            <w:shd w:val="clear" w:color="auto" w:fill="000066"/>
          </w:tcPr>
          <w:p w:rsidR="008A1F74" w:rsidRPr="00F620FD" w:rsidRDefault="008A1F74" w:rsidP="00EE5688">
            <w:pPr>
              <w:pStyle w:val="TableTitle"/>
              <w:rPr>
                <w:rFonts w:cs="Arial"/>
                <w:sz w:val="20"/>
                <w:szCs w:val="20"/>
              </w:rPr>
            </w:pPr>
            <w:r w:rsidRPr="00F620FD">
              <w:rPr>
                <w:rFonts w:cs="Arial"/>
                <w:sz w:val="20"/>
                <w:szCs w:val="20"/>
              </w:rPr>
              <w:t>RFQ Reference</w:t>
            </w:r>
          </w:p>
        </w:tc>
        <w:tc>
          <w:tcPr>
            <w:tcW w:w="5568" w:type="dxa"/>
            <w:tcBorders>
              <w:top w:val="thinThickSmallGap" w:sz="24" w:space="0" w:color="000066"/>
              <w:left w:val="single" w:sz="4" w:space="0" w:color="FFFFFF"/>
              <w:bottom w:val="single" w:sz="4" w:space="0" w:color="auto"/>
              <w:right w:val="single" w:sz="4" w:space="0" w:color="FFFFFF"/>
            </w:tcBorders>
            <w:shd w:val="clear" w:color="auto" w:fill="000066"/>
          </w:tcPr>
          <w:p w:rsidR="008A1F74" w:rsidRPr="00F620FD" w:rsidRDefault="008A1F74" w:rsidP="00EE5688">
            <w:pPr>
              <w:pStyle w:val="TableTitle"/>
              <w:rPr>
                <w:rFonts w:cs="Arial"/>
                <w:sz w:val="20"/>
                <w:szCs w:val="20"/>
              </w:rPr>
            </w:pPr>
            <w:r w:rsidRPr="00F620FD">
              <w:rPr>
                <w:rFonts w:cs="Arial"/>
                <w:sz w:val="20"/>
                <w:szCs w:val="20"/>
              </w:rPr>
              <w:t>Question</w:t>
            </w:r>
          </w:p>
        </w:tc>
        <w:tc>
          <w:tcPr>
            <w:tcW w:w="4013" w:type="dxa"/>
            <w:tcBorders>
              <w:top w:val="thinThickSmallGap" w:sz="24" w:space="0" w:color="000066"/>
              <w:left w:val="single" w:sz="4" w:space="0" w:color="FFFFFF"/>
              <w:bottom w:val="single" w:sz="4" w:space="0" w:color="auto"/>
            </w:tcBorders>
            <w:shd w:val="clear" w:color="auto" w:fill="000066"/>
          </w:tcPr>
          <w:p w:rsidR="008A1F74" w:rsidRPr="00F620FD" w:rsidRDefault="008A1F74" w:rsidP="00EE5688">
            <w:pPr>
              <w:pStyle w:val="TableTitle"/>
              <w:rPr>
                <w:rFonts w:cs="Arial"/>
                <w:sz w:val="20"/>
                <w:szCs w:val="20"/>
              </w:rPr>
            </w:pPr>
            <w:r w:rsidRPr="00F620FD">
              <w:rPr>
                <w:rFonts w:cs="Arial"/>
                <w:sz w:val="20"/>
                <w:szCs w:val="20"/>
              </w:rPr>
              <w:t>Answers</w:t>
            </w:r>
          </w:p>
        </w:tc>
      </w:tr>
      <w:tr w:rsidR="008A1F74" w:rsidTr="00EE5688">
        <w:trPr>
          <w:cantSplit/>
        </w:trPr>
        <w:tc>
          <w:tcPr>
            <w:tcW w:w="501" w:type="dxa"/>
            <w:shd w:val="clear" w:color="auto" w:fill="EDE8CB"/>
          </w:tcPr>
          <w:p w:rsidR="008A1F74" w:rsidRPr="00F620FD" w:rsidRDefault="008A1F74" w:rsidP="00EE5688">
            <w:pPr>
              <w:pStyle w:val="TableSection"/>
              <w:jc w:val="center"/>
              <w:rPr>
                <w:rFonts w:cs="Arial"/>
                <w:sz w:val="20"/>
              </w:rPr>
            </w:pPr>
            <w:r w:rsidRPr="00F620FD">
              <w:rPr>
                <w:rFonts w:cs="Arial"/>
                <w:sz w:val="20"/>
              </w:rPr>
              <w:t>1</w:t>
            </w:r>
          </w:p>
        </w:tc>
        <w:tc>
          <w:tcPr>
            <w:tcW w:w="3778" w:type="dxa"/>
            <w:shd w:val="clear" w:color="auto" w:fill="auto"/>
          </w:tcPr>
          <w:p w:rsidR="008A1F74" w:rsidRPr="00F620FD" w:rsidRDefault="00500DC5" w:rsidP="00EE5688">
            <w:pPr>
              <w:pStyle w:val="TableBullet"/>
              <w:numPr>
                <w:ilvl w:val="0"/>
                <w:numId w:val="0"/>
              </w:numPr>
              <w:ind w:left="162"/>
              <w:rPr>
                <w:rFonts w:cs="Arial"/>
                <w:sz w:val="20"/>
              </w:rPr>
            </w:pPr>
            <w:r>
              <w:rPr>
                <w:rFonts w:cs="Arial"/>
                <w:sz w:val="20"/>
              </w:rPr>
              <w:t>Attachment A, page A-13 and Paragraph G, page A-18.</w:t>
            </w:r>
          </w:p>
        </w:tc>
        <w:tc>
          <w:tcPr>
            <w:tcW w:w="5568" w:type="dxa"/>
          </w:tcPr>
          <w:p w:rsidR="008A1F74" w:rsidRPr="002C2625" w:rsidRDefault="00500DC5" w:rsidP="00EE5688">
            <w:pPr>
              <w:pStyle w:val="TableBodyText"/>
              <w:rPr>
                <w:rFonts w:cs="Arial"/>
                <w:sz w:val="20"/>
                <w:szCs w:val="20"/>
              </w:rPr>
            </w:pPr>
            <w:r w:rsidRPr="002C2625">
              <w:rPr>
                <w:rFonts w:ascii="Arial" w:hAnsi="Arial" w:cs="Arial"/>
                <w:sz w:val="20"/>
                <w:szCs w:val="20"/>
              </w:rPr>
              <w:t xml:space="preserve">Hollister was changed to read </w:t>
            </w:r>
            <w:r w:rsidRPr="002C2625">
              <w:rPr>
                <w:rFonts w:ascii="Arial" w:hAnsi="Arial" w:cs="Arial"/>
                <w:sz w:val="20"/>
                <w:szCs w:val="20"/>
                <w:u w:val="single"/>
              </w:rPr>
              <w:t xml:space="preserve">490 </w:t>
            </w:r>
            <w:proofErr w:type="spellStart"/>
            <w:r w:rsidRPr="002C2625">
              <w:rPr>
                <w:rFonts w:ascii="Arial" w:hAnsi="Arial" w:cs="Arial"/>
                <w:sz w:val="20"/>
                <w:szCs w:val="20"/>
                <w:u w:val="single"/>
              </w:rPr>
              <w:t>cd's</w:t>
            </w:r>
            <w:proofErr w:type="spellEnd"/>
            <w:r w:rsidRPr="002C2625">
              <w:rPr>
                <w:rFonts w:ascii="Arial" w:hAnsi="Arial" w:cs="Arial"/>
                <w:sz w:val="20"/>
                <w:szCs w:val="20"/>
              </w:rPr>
              <w:t xml:space="preserve"> on Pg 13 of the Attachment A, but left blank on Exhibit A  (see par G.  "Construction Phase")  </w:t>
            </w:r>
          </w:p>
        </w:tc>
        <w:tc>
          <w:tcPr>
            <w:tcW w:w="4013" w:type="dxa"/>
            <w:shd w:val="clear" w:color="auto" w:fill="auto"/>
          </w:tcPr>
          <w:p w:rsidR="008A1F74" w:rsidRPr="00F620FD" w:rsidRDefault="00500DC5" w:rsidP="00D9370F">
            <w:pPr>
              <w:pStyle w:val="TableBodyText"/>
              <w:rPr>
                <w:rFonts w:cs="Arial"/>
                <w:sz w:val="20"/>
                <w:szCs w:val="20"/>
              </w:rPr>
            </w:pPr>
            <w:r>
              <w:rPr>
                <w:rFonts w:cs="Arial"/>
                <w:sz w:val="20"/>
                <w:szCs w:val="20"/>
              </w:rPr>
              <w:t>It should read “490” in both places. Please see Addendum Item</w:t>
            </w:r>
            <w:r w:rsidR="00D9370F">
              <w:rPr>
                <w:rFonts w:cs="Arial"/>
                <w:sz w:val="20"/>
                <w:szCs w:val="20"/>
              </w:rPr>
              <w:t xml:space="preserve"> #1.</w:t>
            </w:r>
          </w:p>
        </w:tc>
      </w:tr>
      <w:tr w:rsidR="00817B93" w:rsidTr="00EE5688">
        <w:trPr>
          <w:cantSplit/>
        </w:trPr>
        <w:tc>
          <w:tcPr>
            <w:tcW w:w="501" w:type="dxa"/>
            <w:tcBorders>
              <w:bottom w:val="single" w:sz="4" w:space="0" w:color="auto"/>
            </w:tcBorders>
            <w:shd w:val="clear" w:color="auto" w:fill="EDE8CB"/>
          </w:tcPr>
          <w:p w:rsidR="00817B93" w:rsidRPr="00F620FD" w:rsidRDefault="00817B93" w:rsidP="00EE5688">
            <w:pPr>
              <w:pStyle w:val="TableSection"/>
              <w:jc w:val="center"/>
              <w:rPr>
                <w:rFonts w:cs="Arial"/>
                <w:sz w:val="20"/>
              </w:rPr>
            </w:pPr>
            <w:r w:rsidRPr="00F620FD">
              <w:rPr>
                <w:rFonts w:cs="Arial"/>
                <w:sz w:val="20"/>
              </w:rPr>
              <w:t>2</w:t>
            </w:r>
          </w:p>
        </w:tc>
        <w:tc>
          <w:tcPr>
            <w:tcW w:w="3778" w:type="dxa"/>
            <w:tcBorders>
              <w:bottom w:val="single" w:sz="4" w:space="0" w:color="auto"/>
            </w:tcBorders>
            <w:shd w:val="clear" w:color="auto" w:fill="auto"/>
          </w:tcPr>
          <w:p w:rsidR="00817B93" w:rsidRPr="00F620FD" w:rsidRDefault="00817B93" w:rsidP="00EE5688">
            <w:pPr>
              <w:pStyle w:val="TableBullet"/>
              <w:numPr>
                <w:ilvl w:val="0"/>
                <w:numId w:val="0"/>
              </w:numPr>
              <w:ind w:left="162"/>
              <w:rPr>
                <w:rFonts w:cs="Arial"/>
                <w:sz w:val="20"/>
              </w:rPr>
            </w:pPr>
            <w:r>
              <w:rPr>
                <w:rFonts w:cs="Arial"/>
                <w:sz w:val="20"/>
              </w:rPr>
              <w:t>3.0 Project Description/Attachment F</w:t>
            </w:r>
          </w:p>
        </w:tc>
        <w:tc>
          <w:tcPr>
            <w:tcW w:w="5568" w:type="dxa"/>
            <w:tcBorders>
              <w:bottom w:val="single" w:sz="4" w:space="0" w:color="auto"/>
            </w:tcBorders>
          </w:tcPr>
          <w:p w:rsidR="00817B93" w:rsidRPr="00F620FD" w:rsidRDefault="00817B93" w:rsidP="00EE5688">
            <w:pPr>
              <w:pStyle w:val="TableBodyText"/>
              <w:rPr>
                <w:rFonts w:cs="Arial"/>
                <w:sz w:val="20"/>
                <w:szCs w:val="20"/>
              </w:rPr>
            </w:pPr>
            <w:r>
              <w:rPr>
                <w:rFonts w:cs="Arial"/>
                <w:sz w:val="20"/>
                <w:szCs w:val="20"/>
              </w:rPr>
              <w:t xml:space="preserve">Please clarify project duration as 490 calendar days in Paragraph 3.0 of the RFP conflicts with estimated construction duration of 728 calendar days in Attachment </w:t>
            </w:r>
            <w:proofErr w:type="gramStart"/>
            <w:r>
              <w:rPr>
                <w:rFonts w:cs="Arial"/>
                <w:sz w:val="20"/>
                <w:szCs w:val="20"/>
              </w:rPr>
              <w:t>F(</w:t>
            </w:r>
            <w:proofErr w:type="gramEnd"/>
            <w:r>
              <w:rPr>
                <w:rFonts w:cs="Arial"/>
                <w:sz w:val="20"/>
                <w:szCs w:val="20"/>
              </w:rPr>
              <w:t>pg. 3).  Which duration will be used to assess liquidated damages?</w:t>
            </w:r>
          </w:p>
        </w:tc>
        <w:tc>
          <w:tcPr>
            <w:tcW w:w="4013" w:type="dxa"/>
            <w:tcBorders>
              <w:bottom w:val="single" w:sz="4" w:space="0" w:color="auto"/>
            </w:tcBorders>
            <w:shd w:val="clear" w:color="auto" w:fill="auto"/>
          </w:tcPr>
          <w:p w:rsidR="00817B93" w:rsidRPr="00F620FD" w:rsidRDefault="00761187" w:rsidP="00D9370F">
            <w:pPr>
              <w:pStyle w:val="TableBodyText"/>
              <w:rPr>
                <w:rFonts w:cs="Arial"/>
                <w:sz w:val="20"/>
                <w:szCs w:val="20"/>
              </w:rPr>
            </w:pPr>
            <w:r>
              <w:rPr>
                <w:rFonts w:cs="Arial"/>
                <w:sz w:val="20"/>
                <w:szCs w:val="20"/>
              </w:rPr>
              <w:t>Please see Addendum Item #2</w:t>
            </w:r>
            <w:r w:rsidR="00D9370F">
              <w:rPr>
                <w:rFonts w:cs="Arial"/>
                <w:sz w:val="20"/>
                <w:szCs w:val="20"/>
              </w:rPr>
              <w:t>.</w:t>
            </w:r>
          </w:p>
        </w:tc>
      </w:tr>
      <w:tr w:rsidR="00817B93" w:rsidRPr="00F620FD" w:rsidTr="00EE5688">
        <w:trPr>
          <w:cantSplit/>
        </w:trPr>
        <w:tc>
          <w:tcPr>
            <w:tcW w:w="501" w:type="dxa"/>
            <w:shd w:val="clear" w:color="auto" w:fill="EDE8CB"/>
          </w:tcPr>
          <w:p w:rsidR="00817B93" w:rsidRPr="00F620FD" w:rsidRDefault="00817B93" w:rsidP="00EE5688">
            <w:pPr>
              <w:pStyle w:val="TableSection"/>
              <w:jc w:val="center"/>
              <w:rPr>
                <w:rFonts w:cs="Arial"/>
                <w:sz w:val="20"/>
              </w:rPr>
            </w:pPr>
            <w:r w:rsidRPr="00F620FD">
              <w:rPr>
                <w:rFonts w:cs="Arial"/>
                <w:sz w:val="20"/>
              </w:rPr>
              <w:t>3</w:t>
            </w:r>
          </w:p>
        </w:tc>
        <w:tc>
          <w:tcPr>
            <w:tcW w:w="3778" w:type="dxa"/>
            <w:shd w:val="clear" w:color="auto" w:fill="auto"/>
          </w:tcPr>
          <w:p w:rsidR="00817B93" w:rsidRPr="00F620FD" w:rsidRDefault="00817B93" w:rsidP="00EE5688">
            <w:pPr>
              <w:autoSpaceDE w:val="0"/>
              <w:autoSpaceDN w:val="0"/>
              <w:adjustRightInd w:val="0"/>
              <w:spacing w:before="60" w:after="60"/>
              <w:ind w:left="162"/>
              <w:rPr>
                <w:rFonts w:ascii="Verdana" w:hAnsi="Verdana" w:cs="Arial"/>
                <w:color w:val="000000"/>
                <w:sz w:val="20"/>
                <w:lang w:val="en-GB"/>
              </w:rPr>
            </w:pPr>
            <w:r>
              <w:rPr>
                <w:rFonts w:ascii="Verdana" w:hAnsi="Verdana" w:cs="Arial"/>
                <w:color w:val="000000"/>
                <w:sz w:val="20"/>
                <w:lang w:val="en-GB"/>
              </w:rPr>
              <w:t>Attachment I/Rev. 1-Cost Responsibility Matrix</w:t>
            </w:r>
          </w:p>
        </w:tc>
        <w:tc>
          <w:tcPr>
            <w:tcW w:w="5568" w:type="dxa"/>
          </w:tcPr>
          <w:p w:rsidR="00817B93" w:rsidRPr="00F620FD" w:rsidRDefault="00817B93" w:rsidP="00EE5688">
            <w:pPr>
              <w:autoSpaceDE w:val="0"/>
              <w:autoSpaceDN w:val="0"/>
              <w:adjustRightInd w:val="0"/>
              <w:spacing w:before="60" w:after="60"/>
              <w:rPr>
                <w:rFonts w:ascii="Verdana" w:hAnsi="Verdana" w:cs="Arial"/>
                <w:sz w:val="20"/>
                <w:lang w:val="en-GB"/>
              </w:rPr>
            </w:pPr>
            <w:r>
              <w:rPr>
                <w:rFonts w:ascii="Verdana" w:hAnsi="Verdana" w:cs="Arial"/>
                <w:sz w:val="20"/>
                <w:lang w:val="en-GB"/>
              </w:rPr>
              <w:t>Please clarify Owner’s and Contractor’s responsibilities for Telecom/AV/Data network: routers, switches, etc. and for Un-</w:t>
            </w:r>
            <w:proofErr w:type="spellStart"/>
            <w:r>
              <w:rPr>
                <w:rFonts w:ascii="Verdana" w:hAnsi="Verdana" w:cs="Arial"/>
                <w:sz w:val="20"/>
                <w:lang w:val="en-GB"/>
              </w:rPr>
              <w:t>interrruptible</w:t>
            </w:r>
            <w:proofErr w:type="spellEnd"/>
            <w:r>
              <w:rPr>
                <w:rFonts w:ascii="Verdana" w:hAnsi="Verdana" w:cs="Arial"/>
                <w:sz w:val="20"/>
                <w:lang w:val="en-GB"/>
              </w:rPr>
              <w:t xml:space="preserve"> Power Supplies.  Will both items be quoted as OFCI in the Base Bid and quoted as an alternate price for CFCI?</w:t>
            </w:r>
          </w:p>
        </w:tc>
        <w:tc>
          <w:tcPr>
            <w:tcW w:w="4013" w:type="dxa"/>
            <w:shd w:val="clear" w:color="auto" w:fill="auto"/>
          </w:tcPr>
          <w:p w:rsidR="00817B93" w:rsidRPr="00F620FD" w:rsidRDefault="0080785E" w:rsidP="00EE5688">
            <w:pPr>
              <w:pStyle w:val="TableBodyText"/>
              <w:rPr>
                <w:rFonts w:cs="Arial"/>
                <w:sz w:val="20"/>
                <w:szCs w:val="20"/>
              </w:rPr>
            </w:pPr>
            <w:r>
              <w:rPr>
                <w:rFonts w:cs="Arial"/>
                <w:sz w:val="20"/>
                <w:szCs w:val="20"/>
              </w:rPr>
              <w:t>For both items, base bid is owner furnished, contractor installed and alternate is contractor furnished, contractor installed.</w:t>
            </w:r>
          </w:p>
        </w:tc>
      </w:tr>
      <w:tr w:rsidR="007C7180" w:rsidRPr="004A2DE5" w:rsidTr="00EE5688">
        <w:trPr>
          <w:cantSplit/>
        </w:trPr>
        <w:tc>
          <w:tcPr>
            <w:tcW w:w="501" w:type="dxa"/>
            <w:shd w:val="clear" w:color="auto" w:fill="EDE8CB"/>
          </w:tcPr>
          <w:p w:rsidR="007C7180" w:rsidRPr="00F620FD" w:rsidRDefault="007C7180" w:rsidP="00EE5688">
            <w:pPr>
              <w:pStyle w:val="TableSection"/>
              <w:jc w:val="center"/>
              <w:rPr>
                <w:rFonts w:cs="Arial"/>
                <w:sz w:val="20"/>
              </w:rPr>
            </w:pPr>
            <w:r w:rsidRPr="00F620FD">
              <w:rPr>
                <w:rFonts w:cs="Arial"/>
                <w:sz w:val="20"/>
              </w:rPr>
              <w:t>4</w:t>
            </w:r>
          </w:p>
        </w:tc>
        <w:tc>
          <w:tcPr>
            <w:tcW w:w="3778" w:type="dxa"/>
            <w:shd w:val="clear" w:color="auto" w:fill="auto"/>
          </w:tcPr>
          <w:p w:rsidR="007C7180" w:rsidRPr="00F620FD" w:rsidRDefault="007C7180" w:rsidP="00EE5688">
            <w:pPr>
              <w:pStyle w:val="TableBullet"/>
              <w:numPr>
                <w:ilvl w:val="0"/>
                <w:numId w:val="0"/>
              </w:numPr>
              <w:ind w:left="162"/>
              <w:rPr>
                <w:rFonts w:cs="Arial"/>
                <w:sz w:val="20"/>
              </w:rPr>
            </w:pPr>
            <w:r>
              <w:rPr>
                <w:rFonts w:cs="Arial"/>
                <w:sz w:val="20"/>
              </w:rPr>
              <w:t>Attachment F/Fee for Preconstruction Phase.</w:t>
            </w:r>
          </w:p>
        </w:tc>
        <w:tc>
          <w:tcPr>
            <w:tcW w:w="5568" w:type="dxa"/>
          </w:tcPr>
          <w:p w:rsidR="007C7180" w:rsidRPr="00F620FD" w:rsidRDefault="007C7180" w:rsidP="00EE5688">
            <w:pPr>
              <w:pStyle w:val="TableBodyText"/>
              <w:rPr>
                <w:rFonts w:cs="Arial"/>
                <w:sz w:val="20"/>
                <w:szCs w:val="20"/>
              </w:rPr>
            </w:pPr>
            <w:r>
              <w:rPr>
                <w:rFonts w:cs="Arial"/>
                <w:sz w:val="20"/>
                <w:szCs w:val="20"/>
              </w:rPr>
              <w:t>Who is the Architect for this project?  Have all of the consultants been selected and can this list be made available to bidders?  Will any items of work be Design/Build?</w:t>
            </w:r>
          </w:p>
        </w:tc>
        <w:tc>
          <w:tcPr>
            <w:tcW w:w="4013" w:type="dxa"/>
            <w:shd w:val="clear" w:color="auto" w:fill="auto"/>
          </w:tcPr>
          <w:p w:rsidR="007C7180" w:rsidRPr="00F620FD" w:rsidRDefault="0080785E" w:rsidP="00EE5688">
            <w:pPr>
              <w:pStyle w:val="TableBodyText"/>
              <w:rPr>
                <w:rFonts w:cs="Arial"/>
                <w:sz w:val="20"/>
                <w:szCs w:val="20"/>
              </w:rPr>
            </w:pPr>
            <w:r>
              <w:rPr>
                <w:rFonts w:cs="Arial"/>
                <w:sz w:val="20"/>
                <w:szCs w:val="20"/>
              </w:rPr>
              <w:t>SmithGroup, Inc. is the architect. All subconsultants have been selected. The CMAR will advise regarding scope of the design-build trades.</w:t>
            </w:r>
          </w:p>
        </w:tc>
      </w:tr>
      <w:tr w:rsidR="007C7180" w:rsidTr="00EE5688">
        <w:trPr>
          <w:cantSplit/>
        </w:trPr>
        <w:tc>
          <w:tcPr>
            <w:tcW w:w="501" w:type="dxa"/>
            <w:tcBorders>
              <w:bottom w:val="single" w:sz="4" w:space="0" w:color="auto"/>
            </w:tcBorders>
            <w:shd w:val="clear" w:color="auto" w:fill="EDE8CB"/>
          </w:tcPr>
          <w:p w:rsidR="007C7180" w:rsidRPr="00F620FD" w:rsidRDefault="007C7180" w:rsidP="00EE5688">
            <w:pPr>
              <w:pStyle w:val="TableSection"/>
              <w:jc w:val="center"/>
              <w:rPr>
                <w:rFonts w:cs="Arial"/>
                <w:sz w:val="20"/>
              </w:rPr>
            </w:pPr>
            <w:r w:rsidRPr="00F620FD">
              <w:rPr>
                <w:rFonts w:cs="Arial"/>
                <w:sz w:val="20"/>
              </w:rPr>
              <w:t>5</w:t>
            </w:r>
          </w:p>
        </w:tc>
        <w:tc>
          <w:tcPr>
            <w:tcW w:w="3778" w:type="dxa"/>
            <w:tcBorders>
              <w:bottom w:val="single" w:sz="4" w:space="0" w:color="auto"/>
            </w:tcBorders>
            <w:shd w:val="clear" w:color="auto" w:fill="auto"/>
          </w:tcPr>
          <w:p w:rsidR="007C7180" w:rsidRPr="00F620FD" w:rsidRDefault="007C7180" w:rsidP="00EE5688">
            <w:pPr>
              <w:pStyle w:val="TableBullet"/>
              <w:numPr>
                <w:ilvl w:val="0"/>
                <w:numId w:val="0"/>
              </w:numPr>
              <w:ind w:left="162"/>
              <w:rPr>
                <w:rFonts w:cs="Arial"/>
                <w:sz w:val="20"/>
              </w:rPr>
            </w:pPr>
            <w:r>
              <w:rPr>
                <w:rFonts w:cs="Arial"/>
                <w:sz w:val="20"/>
              </w:rPr>
              <w:t>Attachment F/Fee for Preconstruction Phase.</w:t>
            </w:r>
          </w:p>
        </w:tc>
        <w:tc>
          <w:tcPr>
            <w:tcW w:w="5568" w:type="dxa"/>
            <w:tcBorders>
              <w:bottom w:val="single" w:sz="4" w:space="0" w:color="auto"/>
            </w:tcBorders>
          </w:tcPr>
          <w:p w:rsidR="007C7180" w:rsidRPr="00F620FD" w:rsidRDefault="007C7180" w:rsidP="00EE5688">
            <w:pPr>
              <w:pStyle w:val="TableBodyText"/>
              <w:rPr>
                <w:rFonts w:cs="Arial"/>
                <w:sz w:val="20"/>
                <w:szCs w:val="20"/>
              </w:rPr>
            </w:pPr>
            <w:r>
              <w:rPr>
                <w:rFonts w:cs="Arial"/>
                <w:sz w:val="20"/>
                <w:szCs w:val="20"/>
              </w:rPr>
              <w:t xml:space="preserve">What is the design schedule for the Preliminary Plan </w:t>
            </w:r>
            <w:proofErr w:type="gramStart"/>
            <w:r>
              <w:rPr>
                <w:rFonts w:cs="Arial"/>
                <w:sz w:val="20"/>
                <w:szCs w:val="20"/>
              </w:rPr>
              <w:t>Phase(</w:t>
            </w:r>
            <w:proofErr w:type="gramEnd"/>
            <w:r>
              <w:rPr>
                <w:rFonts w:cs="Arial"/>
                <w:sz w:val="20"/>
                <w:szCs w:val="20"/>
              </w:rPr>
              <w:t>Design Development only) and Working Drawing Phase?</w:t>
            </w:r>
          </w:p>
        </w:tc>
        <w:tc>
          <w:tcPr>
            <w:tcW w:w="4013" w:type="dxa"/>
            <w:tcBorders>
              <w:bottom w:val="single" w:sz="4" w:space="0" w:color="auto"/>
            </w:tcBorders>
            <w:shd w:val="clear" w:color="auto" w:fill="auto"/>
          </w:tcPr>
          <w:p w:rsidR="007C7180" w:rsidRPr="00F620FD" w:rsidRDefault="0080785E" w:rsidP="00EE5688">
            <w:pPr>
              <w:pStyle w:val="TableBodyText"/>
              <w:rPr>
                <w:rFonts w:cs="Arial"/>
                <w:sz w:val="20"/>
                <w:szCs w:val="20"/>
              </w:rPr>
            </w:pPr>
            <w:r>
              <w:rPr>
                <w:rFonts w:cs="Arial"/>
                <w:sz w:val="20"/>
                <w:szCs w:val="20"/>
              </w:rPr>
              <w:t>Design Development will be 8/3/09 to 11/30/09.  Working Drawings will be 12/1/09 to 5/10/10.</w:t>
            </w:r>
          </w:p>
        </w:tc>
      </w:tr>
      <w:tr w:rsidR="0088610D" w:rsidRPr="004A2DE5" w:rsidTr="00EE5688">
        <w:trPr>
          <w:cantSplit/>
        </w:trPr>
        <w:tc>
          <w:tcPr>
            <w:tcW w:w="501" w:type="dxa"/>
            <w:shd w:val="clear" w:color="auto" w:fill="EDE8CB"/>
          </w:tcPr>
          <w:p w:rsidR="0088610D" w:rsidRPr="00F620FD" w:rsidRDefault="0088610D" w:rsidP="00EE5688">
            <w:pPr>
              <w:pStyle w:val="TableSection"/>
              <w:jc w:val="center"/>
              <w:rPr>
                <w:rFonts w:cs="Arial"/>
                <w:sz w:val="20"/>
              </w:rPr>
            </w:pPr>
            <w:r w:rsidRPr="00F620FD">
              <w:rPr>
                <w:rFonts w:cs="Arial"/>
                <w:sz w:val="20"/>
              </w:rPr>
              <w:t>6</w:t>
            </w:r>
          </w:p>
        </w:tc>
        <w:tc>
          <w:tcPr>
            <w:tcW w:w="3778" w:type="dxa"/>
            <w:shd w:val="clear" w:color="auto" w:fill="auto"/>
          </w:tcPr>
          <w:p w:rsidR="0088610D" w:rsidRPr="00330C38" w:rsidRDefault="0088610D" w:rsidP="00EE5688">
            <w:pPr>
              <w:autoSpaceDE w:val="0"/>
              <w:autoSpaceDN w:val="0"/>
              <w:adjustRightInd w:val="0"/>
              <w:spacing w:before="60" w:after="60"/>
              <w:rPr>
                <w:rFonts w:ascii="Verdana" w:hAnsi="Verdana" w:cs="Arial"/>
                <w:color w:val="000000"/>
                <w:sz w:val="20"/>
                <w:lang w:val="en-GB"/>
              </w:rPr>
            </w:pPr>
            <w:r>
              <w:rPr>
                <w:rFonts w:ascii="Verdana" w:hAnsi="Verdana" w:cs="Arial"/>
                <w:color w:val="000000"/>
                <w:sz w:val="20"/>
                <w:lang w:val="en-GB"/>
              </w:rPr>
              <w:t>RFP/Q 4.4, Tab 10</w:t>
            </w:r>
          </w:p>
        </w:tc>
        <w:tc>
          <w:tcPr>
            <w:tcW w:w="5568" w:type="dxa"/>
          </w:tcPr>
          <w:p w:rsidR="0088610D" w:rsidRDefault="0088610D" w:rsidP="0088610D">
            <w:pPr>
              <w:autoSpaceDE w:val="0"/>
              <w:autoSpaceDN w:val="0"/>
              <w:adjustRightInd w:val="0"/>
              <w:rPr>
                <w:rFonts w:ascii="Verdana" w:eastAsiaTheme="minorHAnsi" w:hAnsi="Verdana" w:cs="Verdana"/>
                <w:sz w:val="20"/>
              </w:rPr>
            </w:pPr>
            <w:r>
              <w:rPr>
                <w:rFonts w:ascii="Verdana" w:eastAsiaTheme="minorHAnsi" w:hAnsi="Verdana" w:cs="Verdana"/>
                <w:sz w:val="20"/>
              </w:rPr>
              <w:t>Will reviewed financial statements be an</w:t>
            </w:r>
          </w:p>
          <w:p w:rsidR="0088610D" w:rsidRDefault="0088610D" w:rsidP="0088610D">
            <w:pPr>
              <w:autoSpaceDE w:val="0"/>
              <w:autoSpaceDN w:val="0"/>
              <w:adjustRightInd w:val="0"/>
              <w:rPr>
                <w:rFonts w:ascii="Verdana" w:eastAsiaTheme="minorHAnsi" w:hAnsi="Verdana" w:cs="Verdana"/>
                <w:sz w:val="20"/>
              </w:rPr>
            </w:pPr>
            <w:r>
              <w:rPr>
                <w:rFonts w:ascii="Verdana" w:eastAsiaTheme="minorHAnsi" w:hAnsi="Verdana" w:cs="Verdana"/>
                <w:sz w:val="20"/>
              </w:rPr>
              <w:t>acceptable substitution for the audited financial</w:t>
            </w:r>
          </w:p>
          <w:p w:rsidR="0088610D" w:rsidRPr="00330C38" w:rsidRDefault="0088610D" w:rsidP="0088610D">
            <w:pPr>
              <w:pStyle w:val="TableBodyText"/>
              <w:rPr>
                <w:rFonts w:cs="Arial"/>
                <w:sz w:val="20"/>
                <w:szCs w:val="20"/>
              </w:rPr>
            </w:pPr>
            <w:proofErr w:type="gramStart"/>
            <w:r>
              <w:rPr>
                <w:rFonts w:eastAsiaTheme="minorHAnsi" w:cs="Verdana"/>
                <w:sz w:val="20"/>
              </w:rPr>
              <w:t>statements</w:t>
            </w:r>
            <w:proofErr w:type="gramEnd"/>
            <w:r>
              <w:rPr>
                <w:rFonts w:eastAsiaTheme="minorHAnsi" w:cs="Verdana"/>
                <w:sz w:val="20"/>
              </w:rPr>
              <w:t xml:space="preserve"> requested in this section?</w:t>
            </w:r>
          </w:p>
        </w:tc>
        <w:tc>
          <w:tcPr>
            <w:tcW w:w="4013" w:type="dxa"/>
            <w:shd w:val="clear" w:color="auto" w:fill="auto"/>
          </w:tcPr>
          <w:p w:rsidR="0088610D" w:rsidRPr="00330C38" w:rsidRDefault="0088610D" w:rsidP="00EE5688">
            <w:pPr>
              <w:autoSpaceDE w:val="0"/>
              <w:autoSpaceDN w:val="0"/>
              <w:adjustRightInd w:val="0"/>
              <w:rPr>
                <w:rFonts w:ascii="Verdana" w:hAnsi="Verdana" w:cs="Arial"/>
                <w:sz w:val="20"/>
              </w:rPr>
            </w:pPr>
            <w:r>
              <w:rPr>
                <w:rFonts w:ascii="Verdana" w:hAnsi="Verdana" w:cs="Verdana"/>
                <w:sz w:val="20"/>
              </w:rPr>
              <w:t>No. The AOC requires “audited and already published Financial statements.”</w:t>
            </w:r>
          </w:p>
        </w:tc>
      </w:tr>
      <w:tr w:rsidR="004A0B83" w:rsidRPr="00F620FD" w:rsidTr="00EE5688">
        <w:trPr>
          <w:cantSplit/>
        </w:trPr>
        <w:tc>
          <w:tcPr>
            <w:tcW w:w="501" w:type="dxa"/>
            <w:shd w:val="clear" w:color="auto" w:fill="EDE8CB"/>
          </w:tcPr>
          <w:p w:rsidR="004A0B83" w:rsidRPr="00F620FD" w:rsidRDefault="008F484C" w:rsidP="00EE5688">
            <w:pPr>
              <w:pStyle w:val="TableSection"/>
              <w:jc w:val="center"/>
              <w:rPr>
                <w:rFonts w:cs="Arial"/>
                <w:sz w:val="20"/>
              </w:rPr>
            </w:pPr>
            <w:r>
              <w:rPr>
                <w:rFonts w:cs="Arial"/>
                <w:sz w:val="20"/>
              </w:rPr>
              <w:t>7</w:t>
            </w:r>
          </w:p>
        </w:tc>
        <w:tc>
          <w:tcPr>
            <w:tcW w:w="3778" w:type="dxa"/>
            <w:shd w:val="clear" w:color="auto" w:fill="auto"/>
          </w:tcPr>
          <w:p w:rsidR="004A0B83" w:rsidRDefault="004A0B83" w:rsidP="00EE5688">
            <w:pPr>
              <w:pStyle w:val="TableBullet"/>
              <w:numPr>
                <w:ilvl w:val="0"/>
                <w:numId w:val="0"/>
              </w:numPr>
              <w:rPr>
                <w:rFonts w:cs="Arial"/>
                <w:sz w:val="20"/>
              </w:rPr>
            </w:pPr>
            <w:r>
              <w:rPr>
                <w:rFonts w:cs="Arial"/>
                <w:sz w:val="20"/>
              </w:rPr>
              <w:t xml:space="preserve">Attachment </w:t>
            </w:r>
            <w:r w:rsidRPr="00F250B8">
              <w:rPr>
                <w:rFonts w:cs="Arial"/>
                <w:sz w:val="20"/>
              </w:rPr>
              <w:t>J</w:t>
            </w:r>
          </w:p>
          <w:p w:rsidR="004A0B83" w:rsidRPr="00F250B8" w:rsidRDefault="004A0B83" w:rsidP="00EE5688">
            <w:pPr>
              <w:pStyle w:val="TableBullet"/>
              <w:numPr>
                <w:ilvl w:val="0"/>
                <w:numId w:val="0"/>
              </w:numPr>
              <w:rPr>
                <w:rFonts w:cs="Arial"/>
                <w:sz w:val="20"/>
              </w:rPr>
            </w:pPr>
            <w:r w:rsidRPr="00F250B8">
              <w:rPr>
                <w:rFonts w:cs="Arial"/>
                <w:sz w:val="20"/>
              </w:rPr>
              <w:t>Sustainability/LEED Description</w:t>
            </w:r>
          </w:p>
        </w:tc>
        <w:tc>
          <w:tcPr>
            <w:tcW w:w="5568" w:type="dxa"/>
          </w:tcPr>
          <w:p w:rsidR="004A0B83" w:rsidRPr="00F620FD" w:rsidRDefault="004A0B83" w:rsidP="00EE5688">
            <w:pPr>
              <w:pStyle w:val="TableBodyText"/>
              <w:rPr>
                <w:rFonts w:cs="Arial"/>
                <w:sz w:val="20"/>
                <w:szCs w:val="20"/>
              </w:rPr>
            </w:pPr>
            <w:r>
              <w:rPr>
                <w:rFonts w:cs="Arial"/>
                <w:sz w:val="20"/>
                <w:szCs w:val="20"/>
              </w:rPr>
              <w:t>This form is not available on the website (</w:t>
            </w:r>
            <w:hyperlink r:id="rId9" w:history="1">
              <w:r w:rsidRPr="00D510BC">
                <w:rPr>
                  <w:rStyle w:val="Hyperlink"/>
                  <w:rFonts w:eastAsiaTheme="majorEastAsia" w:cs="Arial"/>
                  <w:sz w:val="20"/>
                </w:rPr>
                <w:t>http://www.courtinfo.ca.gov/reference/rfp/hollister-rfq.htm</w:t>
              </w:r>
            </w:hyperlink>
            <w:r>
              <w:rPr>
                <w:rFonts w:cs="Arial"/>
                <w:sz w:val="20"/>
                <w:szCs w:val="20"/>
              </w:rPr>
              <w:t>), but is listed as an attachment in the RFQ/P.</w:t>
            </w:r>
          </w:p>
        </w:tc>
        <w:tc>
          <w:tcPr>
            <w:tcW w:w="4013" w:type="dxa"/>
            <w:shd w:val="clear" w:color="auto" w:fill="auto"/>
          </w:tcPr>
          <w:p w:rsidR="004A0B83" w:rsidRPr="00F620FD" w:rsidRDefault="0093651C" w:rsidP="00EE5688">
            <w:pPr>
              <w:pStyle w:val="TableBodyText"/>
              <w:rPr>
                <w:rFonts w:cs="Arial"/>
                <w:sz w:val="20"/>
                <w:szCs w:val="20"/>
              </w:rPr>
            </w:pPr>
            <w:r>
              <w:rPr>
                <w:rFonts w:cs="Arial"/>
                <w:sz w:val="20"/>
                <w:szCs w:val="20"/>
              </w:rPr>
              <w:t>Please see Addendum Item #3. Attachment J is now available.</w:t>
            </w:r>
          </w:p>
        </w:tc>
      </w:tr>
      <w:tr w:rsidR="004A0B83" w:rsidRPr="00F620FD" w:rsidTr="00EE5688">
        <w:trPr>
          <w:cantSplit/>
        </w:trPr>
        <w:tc>
          <w:tcPr>
            <w:tcW w:w="501" w:type="dxa"/>
            <w:shd w:val="clear" w:color="auto" w:fill="EDE8CB"/>
          </w:tcPr>
          <w:p w:rsidR="004A0B83" w:rsidRPr="00F620FD" w:rsidRDefault="008F484C" w:rsidP="00EE5688">
            <w:pPr>
              <w:pStyle w:val="TableSection"/>
              <w:jc w:val="center"/>
              <w:rPr>
                <w:rFonts w:cs="Arial"/>
                <w:sz w:val="20"/>
              </w:rPr>
            </w:pPr>
            <w:r>
              <w:rPr>
                <w:rFonts w:cs="Arial"/>
                <w:sz w:val="20"/>
              </w:rPr>
              <w:lastRenderedPageBreak/>
              <w:t>8</w:t>
            </w:r>
          </w:p>
        </w:tc>
        <w:tc>
          <w:tcPr>
            <w:tcW w:w="3778" w:type="dxa"/>
            <w:shd w:val="clear" w:color="auto" w:fill="auto"/>
          </w:tcPr>
          <w:p w:rsidR="004A0B83" w:rsidRPr="005122E6" w:rsidRDefault="004A0B83" w:rsidP="00EE5688">
            <w:pPr>
              <w:autoSpaceDE w:val="0"/>
              <w:autoSpaceDN w:val="0"/>
              <w:adjustRightInd w:val="0"/>
              <w:spacing w:before="60" w:after="60"/>
              <w:rPr>
                <w:rFonts w:ascii="Verdana" w:hAnsi="Verdana" w:cs="Arial"/>
                <w:color w:val="000000"/>
                <w:sz w:val="20"/>
                <w:lang w:val="en-GB"/>
              </w:rPr>
            </w:pPr>
            <w:r w:rsidRPr="005122E6">
              <w:rPr>
                <w:rFonts w:ascii="Verdana" w:hAnsi="Verdana" w:cs="Arial"/>
                <w:iCs/>
                <w:sz w:val="20"/>
              </w:rPr>
              <w:t>Exhibit A of Attachment A (Statement of Work)</w:t>
            </w:r>
          </w:p>
        </w:tc>
        <w:tc>
          <w:tcPr>
            <w:tcW w:w="5568" w:type="dxa"/>
          </w:tcPr>
          <w:p w:rsidR="004A0B83" w:rsidRPr="005122E6" w:rsidRDefault="004A0B83" w:rsidP="00EE5688">
            <w:pPr>
              <w:autoSpaceDE w:val="0"/>
              <w:autoSpaceDN w:val="0"/>
              <w:adjustRightInd w:val="0"/>
              <w:spacing w:before="60" w:after="60"/>
              <w:rPr>
                <w:rFonts w:ascii="Verdana" w:hAnsi="Verdana" w:cs="Arial"/>
                <w:sz w:val="20"/>
                <w:lang w:val="en-GB"/>
              </w:rPr>
            </w:pPr>
            <w:r w:rsidRPr="005122E6">
              <w:rPr>
                <w:rFonts w:ascii="Verdana" w:hAnsi="Verdana" w:cs="Arial"/>
                <w:iCs/>
                <w:sz w:val="20"/>
              </w:rPr>
              <w:t>Clarify items .4A.11, .4A.16.(iii), .4B.1(ii) and .4C.1(iv) of the Statement of Work that the contractor is responsible to retain independent structural and mechanical engineers to provide peer review of AOC’s structural and mechanical designs.  If structural and mechanical peer review is required to be performed by the contractor, confirm that the contractor is not required to provide peer review for other design disciplines.</w:t>
            </w:r>
          </w:p>
        </w:tc>
        <w:tc>
          <w:tcPr>
            <w:tcW w:w="4013" w:type="dxa"/>
            <w:shd w:val="clear" w:color="auto" w:fill="auto"/>
          </w:tcPr>
          <w:p w:rsidR="004A0B83" w:rsidRPr="00F620FD" w:rsidRDefault="0080785E" w:rsidP="00EE5688">
            <w:pPr>
              <w:pStyle w:val="TableBodyText"/>
              <w:rPr>
                <w:rFonts w:cs="Arial"/>
                <w:sz w:val="20"/>
                <w:szCs w:val="20"/>
              </w:rPr>
            </w:pPr>
            <w:r>
              <w:rPr>
                <w:rFonts w:cs="Arial"/>
                <w:sz w:val="20"/>
                <w:szCs w:val="20"/>
              </w:rPr>
              <w:t>California licensed engineer is required for constructability peer review of the structural and mechanical systems.  Constructability review of all other trades and disciplines can be by non-licensed individuals.</w:t>
            </w:r>
          </w:p>
        </w:tc>
      </w:tr>
      <w:tr w:rsidR="004A0B83" w:rsidRPr="00F620FD" w:rsidTr="00EE5688">
        <w:trPr>
          <w:cantSplit/>
        </w:trPr>
        <w:tc>
          <w:tcPr>
            <w:tcW w:w="501" w:type="dxa"/>
            <w:shd w:val="clear" w:color="auto" w:fill="EDE8CB"/>
          </w:tcPr>
          <w:p w:rsidR="004A0B83" w:rsidRPr="00F620FD" w:rsidRDefault="008F484C" w:rsidP="00EE5688">
            <w:pPr>
              <w:pStyle w:val="TableSection"/>
              <w:jc w:val="center"/>
              <w:rPr>
                <w:rFonts w:cs="Arial"/>
                <w:sz w:val="20"/>
              </w:rPr>
            </w:pPr>
            <w:r>
              <w:rPr>
                <w:rFonts w:cs="Arial"/>
                <w:sz w:val="20"/>
              </w:rPr>
              <w:t>9</w:t>
            </w:r>
          </w:p>
        </w:tc>
        <w:tc>
          <w:tcPr>
            <w:tcW w:w="3778" w:type="dxa"/>
            <w:shd w:val="clear" w:color="auto" w:fill="auto"/>
          </w:tcPr>
          <w:p w:rsidR="004A0B83" w:rsidRPr="005122E6" w:rsidRDefault="004A0B83" w:rsidP="00EE5688">
            <w:pPr>
              <w:pStyle w:val="TableBullet"/>
              <w:numPr>
                <w:ilvl w:val="0"/>
                <w:numId w:val="0"/>
              </w:numPr>
              <w:rPr>
                <w:rFonts w:cs="Arial"/>
                <w:sz w:val="20"/>
              </w:rPr>
            </w:pPr>
            <w:r w:rsidRPr="005122E6">
              <w:rPr>
                <w:rFonts w:cs="Arial"/>
                <w:iCs/>
                <w:sz w:val="20"/>
              </w:rPr>
              <w:t>Exhibit A of Attachment A (Statement of Work)</w:t>
            </w:r>
          </w:p>
        </w:tc>
        <w:tc>
          <w:tcPr>
            <w:tcW w:w="5568" w:type="dxa"/>
          </w:tcPr>
          <w:p w:rsidR="004A0B83" w:rsidRPr="005122E6" w:rsidRDefault="004A0B83" w:rsidP="00EE5688">
            <w:pPr>
              <w:pStyle w:val="TableBodyText"/>
              <w:rPr>
                <w:rFonts w:cs="Arial"/>
                <w:sz w:val="20"/>
                <w:szCs w:val="20"/>
              </w:rPr>
            </w:pPr>
            <w:r w:rsidRPr="005122E6">
              <w:rPr>
                <w:rFonts w:cs="Arial"/>
                <w:iCs/>
                <w:sz w:val="20"/>
                <w:szCs w:val="20"/>
              </w:rPr>
              <w:t>Clarify contractor’s obligations under items .4A.11, .4A.13, and .4A.16</w:t>
            </w:r>
            <w:proofErr w:type="gramStart"/>
            <w:r w:rsidRPr="005122E6">
              <w:rPr>
                <w:rFonts w:cs="Arial"/>
                <w:iCs/>
                <w:sz w:val="20"/>
                <w:szCs w:val="20"/>
              </w:rPr>
              <w:t>.(</w:t>
            </w:r>
            <w:proofErr w:type="gramEnd"/>
            <w:r w:rsidRPr="005122E6">
              <w:rPr>
                <w:rFonts w:cs="Arial"/>
                <w:iCs/>
                <w:sz w:val="20"/>
                <w:szCs w:val="20"/>
              </w:rPr>
              <w:t xml:space="preserve">iii) of the Statement of Work.  What does the AOC require of the contractor in order to assist the architect in providing the Construction Documents?  What does the AOC require of the contractor to review the Construction Documents for conformance with applicable statutes, codes, regulations, </w:t>
            </w:r>
            <w:proofErr w:type="gramStart"/>
            <w:r w:rsidRPr="005122E6">
              <w:rPr>
                <w:rFonts w:cs="Arial"/>
                <w:iCs/>
                <w:sz w:val="20"/>
                <w:szCs w:val="20"/>
              </w:rPr>
              <w:t>etc.</w:t>
            </w:r>
            <w:proofErr w:type="gramEnd"/>
            <w:r w:rsidRPr="005122E6">
              <w:rPr>
                <w:rFonts w:cs="Arial"/>
                <w:iCs/>
                <w:sz w:val="20"/>
                <w:szCs w:val="20"/>
              </w:rPr>
              <w:t>  These functions are generally the responsibility of professional designers and not contractors. Please clarify the contractor’s expected obligations.</w:t>
            </w:r>
          </w:p>
        </w:tc>
        <w:tc>
          <w:tcPr>
            <w:tcW w:w="4013" w:type="dxa"/>
            <w:shd w:val="clear" w:color="auto" w:fill="auto"/>
          </w:tcPr>
          <w:p w:rsidR="004A0B83" w:rsidRDefault="0080785E" w:rsidP="00EE5688">
            <w:pPr>
              <w:pStyle w:val="TableBodyText"/>
              <w:rPr>
                <w:rFonts w:cs="Arial"/>
                <w:sz w:val="20"/>
                <w:szCs w:val="20"/>
              </w:rPr>
            </w:pPr>
            <w:r>
              <w:rPr>
                <w:rFonts w:cs="Arial"/>
                <w:sz w:val="20"/>
                <w:szCs w:val="20"/>
              </w:rPr>
              <w:t>The sections cited ask for ongoing assistance from the CMAR to review constructability, installation sequencing, materials selection, costs, and schedule.</w:t>
            </w:r>
          </w:p>
          <w:p w:rsidR="0080785E" w:rsidRDefault="0080785E" w:rsidP="00EE5688">
            <w:pPr>
              <w:pStyle w:val="TableBodyText"/>
              <w:rPr>
                <w:rFonts w:cs="Arial"/>
                <w:sz w:val="20"/>
                <w:szCs w:val="20"/>
              </w:rPr>
            </w:pPr>
          </w:p>
          <w:p w:rsidR="0080785E" w:rsidRPr="00F620FD" w:rsidRDefault="0080785E" w:rsidP="00EE5688">
            <w:pPr>
              <w:pStyle w:val="TableBodyText"/>
              <w:rPr>
                <w:rFonts w:cs="Arial"/>
                <w:sz w:val="20"/>
                <w:szCs w:val="20"/>
              </w:rPr>
            </w:pPr>
            <w:r>
              <w:rPr>
                <w:rFonts w:cs="Arial"/>
                <w:sz w:val="20"/>
                <w:szCs w:val="20"/>
              </w:rPr>
              <w:t>The CMAR and its subcontractors are asked to provide input on the code as it relates to materials and installation.</w:t>
            </w: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t>1</w:t>
            </w:r>
            <w:r w:rsidR="008F484C">
              <w:rPr>
                <w:rFonts w:cs="Arial"/>
                <w:sz w:val="20"/>
              </w:rPr>
              <w:t>0</w:t>
            </w:r>
          </w:p>
        </w:tc>
        <w:tc>
          <w:tcPr>
            <w:tcW w:w="3778" w:type="dxa"/>
            <w:shd w:val="clear" w:color="auto" w:fill="auto"/>
          </w:tcPr>
          <w:p w:rsidR="004A0B83" w:rsidRPr="00F620FD" w:rsidRDefault="004A0B83" w:rsidP="00EE5688">
            <w:pPr>
              <w:pStyle w:val="TableBullet"/>
              <w:numPr>
                <w:ilvl w:val="0"/>
                <w:numId w:val="0"/>
              </w:numPr>
              <w:rPr>
                <w:rFonts w:cs="Arial"/>
                <w:sz w:val="20"/>
              </w:rPr>
            </w:pPr>
            <w:r w:rsidRPr="005122E6">
              <w:rPr>
                <w:rFonts w:cs="Arial"/>
                <w:iCs/>
                <w:sz w:val="20"/>
              </w:rPr>
              <w:t>Exhibit A of Attachment A (Statement of Work)</w:t>
            </w:r>
          </w:p>
        </w:tc>
        <w:tc>
          <w:tcPr>
            <w:tcW w:w="5568" w:type="dxa"/>
          </w:tcPr>
          <w:p w:rsidR="004A0B83" w:rsidRPr="00F620FD" w:rsidRDefault="004A0B83" w:rsidP="00EE5688">
            <w:pPr>
              <w:spacing w:before="100" w:beforeAutospacing="1"/>
              <w:rPr>
                <w:rFonts w:cs="Arial"/>
                <w:sz w:val="20"/>
              </w:rPr>
            </w:pPr>
            <w:r w:rsidRPr="00370EF1">
              <w:rPr>
                <w:rFonts w:ascii="Verdana" w:hAnsi="Verdana" w:cs="Arial"/>
                <w:iCs/>
                <w:sz w:val="20"/>
              </w:rPr>
              <w:t xml:space="preserve">Clarify items </w:t>
            </w:r>
            <w:r>
              <w:rPr>
                <w:rFonts w:ascii="Verdana" w:hAnsi="Verdana" w:cs="Arial"/>
                <w:iCs/>
                <w:sz w:val="20"/>
              </w:rPr>
              <w:t>.</w:t>
            </w:r>
            <w:proofErr w:type="gramStart"/>
            <w:r w:rsidRPr="00370EF1">
              <w:rPr>
                <w:rFonts w:ascii="Verdana" w:hAnsi="Verdana" w:cs="Arial"/>
                <w:iCs/>
                <w:sz w:val="20"/>
              </w:rPr>
              <w:t>4B.1(</w:t>
            </w:r>
            <w:proofErr w:type="gramEnd"/>
            <w:r w:rsidRPr="00370EF1">
              <w:rPr>
                <w:rFonts w:ascii="Verdana" w:hAnsi="Verdana" w:cs="Arial"/>
                <w:iCs/>
                <w:sz w:val="20"/>
              </w:rPr>
              <w:t>iii) and .4C.1.(</w:t>
            </w:r>
            <w:proofErr w:type="spellStart"/>
            <w:r w:rsidRPr="00370EF1">
              <w:rPr>
                <w:rFonts w:ascii="Verdana" w:hAnsi="Verdana" w:cs="Arial"/>
                <w:iCs/>
                <w:sz w:val="20"/>
              </w:rPr>
              <w:t>i</w:t>
            </w:r>
            <w:proofErr w:type="spellEnd"/>
            <w:r w:rsidRPr="00370EF1">
              <w:rPr>
                <w:rFonts w:ascii="Verdana" w:hAnsi="Verdana" w:cs="Arial"/>
                <w:iCs/>
                <w:sz w:val="20"/>
              </w:rPr>
              <w:t>) of the Statement of Work.  </w:t>
            </w:r>
            <w:r>
              <w:rPr>
                <w:rFonts w:ascii="Verdana" w:hAnsi="Verdana" w:cs="Arial"/>
                <w:iCs/>
                <w:sz w:val="20"/>
              </w:rPr>
              <w:t>.</w:t>
            </w:r>
            <w:proofErr w:type="gramStart"/>
            <w:r w:rsidRPr="00370EF1">
              <w:rPr>
                <w:rFonts w:ascii="Verdana" w:hAnsi="Verdana" w:cs="Arial"/>
                <w:iCs/>
                <w:sz w:val="20"/>
              </w:rPr>
              <w:t>4B.1(</w:t>
            </w:r>
            <w:proofErr w:type="gramEnd"/>
            <w:r w:rsidRPr="00370EF1">
              <w:rPr>
                <w:rFonts w:ascii="Verdana" w:hAnsi="Verdana" w:cs="Arial"/>
                <w:iCs/>
                <w:sz w:val="20"/>
              </w:rPr>
              <w:t>iii) requires that the contractor certify that the AOC’s designs are in conformance with the Project Program and the State’s quality standards.  Shouldn’t AOC’s design professionals be responsible for this certification of their work product and not the contractor?</w:t>
            </w:r>
            <w:r>
              <w:rPr>
                <w:rFonts w:ascii="Verdana" w:hAnsi="Verdana" w:cs="Arial"/>
                <w:iCs/>
                <w:sz w:val="20"/>
              </w:rPr>
              <w:t xml:space="preserve"> </w:t>
            </w:r>
          </w:p>
        </w:tc>
        <w:tc>
          <w:tcPr>
            <w:tcW w:w="4013" w:type="dxa"/>
            <w:shd w:val="clear" w:color="auto" w:fill="auto"/>
          </w:tcPr>
          <w:p w:rsidR="004A0B83" w:rsidRDefault="00C2597A" w:rsidP="00EE5688">
            <w:pPr>
              <w:pStyle w:val="TableBodyText"/>
              <w:rPr>
                <w:rFonts w:cs="Arial"/>
                <w:sz w:val="20"/>
                <w:szCs w:val="20"/>
              </w:rPr>
            </w:pPr>
            <w:r>
              <w:rPr>
                <w:rFonts w:cs="Arial"/>
                <w:sz w:val="20"/>
                <w:szCs w:val="20"/>
              </w:rPr>
              <w:t>In this context the meaning of “certify” refers to constructability.</w:t>
            </w:r>
          </w:p>
          <w:p w:rsidR="00C2597A" w:rsidRPr="00F620FD" w:rsidRDefault="00C2597A" w:rsidP="00EE5688">
            <w:pPr>
              <w:pStyle w:val="TableBodyText"/>
              <w:rPr>
                <w:rFonts w:cs="Arial"/>
                <w:sz w:val="20"/>
                <w:szCs w:val="20"/>
              </w:rPr>
            </w:pP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lastRenderedPageBreak/>
              <w:t>1</w:t>
            </w:r>
            <w:r w:rsidR="008F484C">
              <w:rPr>
                <w:rFonts w:cs="Arial"/>
                <w:sz w:val="20"/>
              </w:rPr>
              <w:t>1</w:t>
            </w:r>
          </w:p>
        </w:tc>
        <w:tc>
          <w:tcPr>
            <w:tcW w:w="3778" w:type="dxa"/>
            <w:shd w:val="clear" w:color="auto" w:fill="auto"/>
          </w:tcPr>
          <w:p w:rsidR="004A0B83" w:rsidRPr="00F620FD" w:rsidRDefault="004A0B83" w:rsidP="00EE5688">
            <w:pPr>
              <w:autoSpaceDE w:val="0"/>
              <w:autoSpaceDN w:val="0"/>
              <w:adjustRightInd w:val="0"/>
              <w:spacing w:before="60" w:after="60"/>
              <w:rPr>
                <w:rFonts w:ascii="Verdana" w:hAnsi="Verdana" w:cs="Arial"/>
                <w:sz w:val="20"/>
                <w:lang w:val="en-GB"/>
              </w:rPr>
            </w:pPr>
            <w:r w:rsidRPr="005122E6">
              <w:rPr>
                <w:rFonts w:ascii="Verdana" w:hAnsi="Verdana" w:cs="Arial"/>
                <w:iCs/>
                <w:sz w:val="20"/>
              </w:rPr>
              <w:t xml:space="preserve">Exhibit </w:t>
            </w:r>
            <w:r>
              <w:rPr>
                <w:rFonts w:ascii="Verdana" w:hAnsi="Verdana" w:cs="Arial"/>
                <w:iCs/>
                <w:sz w:val="20"/>
              </w:rPr>
              <w:t>B</w:t>
            </w:r>
            <w:r w:rsidRPr="005122E6">
              <w:rPr>
                <w:rFonts w:ascii="Verdana" w:hAnsi="Verdana" w:cs="Arial"/>
                <w:iCs/>
                <w:sz w:val="20"/>
              </w:rPr>
              <w:t xml:space="preserve"> of Attachment A</w:t>
            </w:r>
            <w:r>
              <w:rPr>
                <w:rFonts w:ascii="Verdana" w:hAnsi="Verdana" w:cs="Arial"/>
                <w:iCs/>
                <w:sz w:val="20"/>
              </w:rPr>
              <w:t xml:space="preserve"> (Payment Provisions); Attachment </w:t>
            </w:r>
            <w:r w:rsidRPr="007D05E8">
              <w:rPr>
                <w:rFonts w:ascii="Verdana" w:hAnsi="Verdana" w:cs="Arial"/>
                <w:iCs/>
                <w:sz w:val="20"/>
              </w:rPr>
              <w:t>H (General Conditions of the Contract for Construction, Document 00700 Construction Manager At Risk)</w:t>
            </w:r>
          </w:p>
        </w:tc>
        <w:tc>
          <w:tcPr>
            <w:tcW w:w="5568" w:type="dxa"/>
          </w:tcPr>
          <w:p w:rsidR="004A0B83" w:rsidRPr="00F620FD" w:rsidRDefault="004A0B83" w:rsidP="00EE5688">
            <w:pPr>
              <w:autoSpaceDE w:val="0"/>
              <w:autoSpaceDN w:val="0"/>
              <w:adjustRightInd w:val="0"/>
              <w:spacing w:before="60" w:after="60"/>
              <w:rPr>
                <w:rFonts w:ascii="Verdana" w:hAnsi="Verdana" w:cs="Arial"/>
                <w:sz w:val="20"/>
                <w:lang w:val="en-GB"/>
              </w:rPr>
            </w:pPr>
            <w:r w:rsidRPr="00370EF1">
              <w:rPr>
                <w:rFonts w:ascii="Verdana" w:hAnsi="Verdana" w:cs="Arial"/>
                <w:iCs/>
                <w:sz w:val="20"/>
              </w:rPr>
              <w:t>Clarify the items that are to be included as elements of the Contract Sum/GMAX.  The list of items in .1 of Exhibit B of Attachment A, Payment Provisions is not consistent with the elements of the GMAX listed in 1.1.30 of Attachment H: the General Conditions of the Contract for Construction, Document 00700 Construction Manager At Risk.</w:t>
            </w:r>
          </w:p>
        </w:tc>
        <w:tc>
          <w:tcPr>
            <w:tcW w:w="4013" w:type="dxa"/>
            <w:shd w:val="clear" w:color="auto" w:fill="auto"/>
          </w:tcPr>
          <w:p w:rsidR="004A0B83" w:rsidRPr="00F620FD" w:rsidRDefault="00C2597A" w:rsidP="00EE5688">
            <w:pPr>
              <w:pStyle w:val="TableBodyText"/>
              <w:rPr>
                <w:rFonts w:cs="Arial"/>
                <w:sz w:val="20"/>
                <w:szCs w:val="20"/>
              </w:rPr>
            </w:pPr>
            <w:r>
              <w:rPr>
                <w:rFonts w:cs="Arial"/>
                <w:sz w:val="20"/>
                <w:szCs w:val="20"/>
              </w:rPr>
              <w:t>Exhibit B of Attachment A is applicable to the Preconstruction Phase.</w:t>
            </w: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t>1</w:t>
            </w:r>
            <w:r w:rsidR="008F484C">
              <w:rPr>
                <w:rFonts w:cs="Arial"/>
                <w:sz w:val="20"/>
              </w:rPr>
              <w:t>2</w:t>
            </w:r>
          </w:p>
        </w:tc>
        <w:tc>
          <w:tcPr>
            <w:tcW w:w="3778" w:type="dxa"/>
            <w:shd w:val="clear" w:color="auto" w:fill="auto"/>
          </w:tcPr>
          <w:p w:rsidR="004A0B83" w:rsidRPr="00F620FD" w:rsidRDefault="004A0B83" w:rsidP="00EE5688">
            <w:pPr>
              <w:pStyle w:val="TableBullet"/>
              <w:numPr>
                <w:ilvl w:val="0"/>
                <w:numId w:val="0"/>
              </w:numPr>
              <w:rPr>
                <w:rFonts w:cs="Arial"/>
                <w:sz w:val="20"/>
              </w:rPr>
            </w:pPr>
            <w:r w:rsidRPr="005122E6">
              <w:rPr>
                <w:rFonts w:cs="Arial"/>
                <w:iCs/>
                <w:sz w:val="20"/>
              </w:rPr>
              <w:t xml:space="preserve">Exhibit </w:t>
            </w:r>
            <w:r>
              <w:rPr>
                <w:rFonts w:cs="Arial"/>
                <w:iCs/>
                <w:sz w:val="20"/>
              </w:rPr>
              <w:t>B</w:t>
            </w:r>
            <w:r w:rsidRPr="005122E6">
              <w:rPr>
                <w:rFonts w:cs="Arial"/>
                <w:iCs/>
                <w:sz w:val="20"/>
              </w:rPr>
              <w:t xml:space="preserve"> of Attachment A</w:t>
            </w:r>
            <w:r>
              <w:rPr>
                <w:rFonts w:cs="Arial"/>
                <w:iCs/>
                <w:sz w:val="20"/>
              </w:rPr>
              <w:t xml:space="preserve"> (Payment Provisions); Attachment </w:t>
            </w:r>
            <w:r w:rsidRPr="007D05E8">
              <w:rPr>
                <w:rFonts w:cs="Arial"/>
                <w:iCs/>
                <w:sz w:val="20"/>
              </w:rPr>
              <w:t>H (General Conditions of the Contract for Construction, Document 00700 Construction Manager At Risk)</w:t>
            </w:r>
          </w:p>
        </w:tc>
        <w:tc>
          <w:tcPr>
            <w:tcW w:w="5568" w:type="dxa"/>
          </w:tcPr>
          <w:p w:rsidR="004A0B83" w:rsidRPr="00F620FD" w:rsidRDefault="004A0B83" w:rsidP="00EE5688">
            <w:pPr>
              <w:pStyle w:val="TableBodyText"/>
              <w:rPr>
                <w:rFonts w:cs="Arial"/>
                <w:sz w:val="20"/>
                <w:szCs w:val="20"/>
              </w:rPr>
            </w:pPr>
            <w:r w:rsidRPr="00370EF1">
              <w:rPr>
                <w:rFonts w:cs="Arial"/>
                <w:iCs/>
                <w:sz w:val="20"/>
                <w:szCs w:val="20"/>
              </w:rPr>
              <w:t xml:space="preserve">Does the liquidated damage amount in .1D of Exhibit B, Payment Provisions (and 7.3 of Attachment H: the General Conditions of the Contract for Construction, Document 00700 Construction Manager At Risk) apply upon contractor’s failure to achieve </w:t>
            </w:r>
            <w:r w:rsidRPr="00370EF1">
              <w:rPr>
                <w:rFonts w:cs="Arial"/>
                <w:iCs/>
                <w:sz w:val="20"/>
                <w:szCs w:val="20"/>
                <w:u w:val="single"/>
              </w:rPr>
              <w:t>Substantial Completion</w:t>
            </w:r>
            <w:r w:rsidRPr="00370EF1">
              <w:rPr>
                <w:rFonts w:cs="Arial"/>
                <w:iCs/>
                <w:sz w:val="20"/>
                <w:szCs w:val="20"/>
              </w:rPr>
              <w:t xml:space="preserve"> of the phase 2 construction work (new building) or </w:t>
            </w:r>
            <w:r w:rsidRPr="00370EF1">
              <w:rPr>
                <w:rFonts w:cs="Arial"/>
                <w:iCs/>
                <w:sz w:val="20"/>
                <w:szCs w:val="20"/>
                <w:u w:val="single"/>
              </w:rPr>
              <w:t>Final Completion</w:t>
            </w:r>
            <w:r w:rsidRPr="00370EF1">
              <w:rPr>
                <w:rFonts w:cs="Arial"/>
                <w:iCs/>
                <w:sz w:val="20"/>
                <w:szCs w:val="20"/>
              </w:rPr>
              <w:t xml:space="preserve"> of all construction phase Work?</w:t>
            </w:r>
          </w:p>
        </w:tc>
        <w:tc>
          <w:tcPr>
            <w:tcW w:w="4013" w:type="dxa"/>
            <w:shd w:val="clear" w:color="auto" w:fill="auto"/>
          </w:tcPr>
          <w:p w:rsidR="004A0B83" w:rsidRPr="00F620FD" w:rsidRDefault="00C2597A" w:rsidP="00EE5688">
            <w:pPr>
              <w:pStyle w:val="TableBodyText"/>
              <w:rPr>
                <w:rFonts w:cs="Arial"/>
                <w:sz w:val="20"/>
                <w:szCs w:val="20"/>
              </w:rPr>
            </w:pPr>
            <w:r>
              <w:rPr>
                <w:rFonts w:cs="Arial"/>
                <w:sz w:val="20"/>
                <w:szCs w:val="20"/>
              </w:rPr>
              <w:t>Substantial completion.</w:t>
            </w:r>
          </w:p>
        </w:tc>
      </w:tr>
      <w:tr w:rsidR="004A0B83" w:rsidRPr="00F620FD" w:rsidTr="00EE5688">
        <w:trPr>
          <w:cantSplit/>
        </w:trPr>
        <w:tc>
          <w:tcPr>
            <w:tcW w:w="501" w:type="dxa"/>
            <w:tcBorders>
              <w:bottom w:val="single" w:sz="4" w:space="0" w:color="auto"/>
            </w:tcBorders>
            <w:shd w:val="clear" w:color="auto" w:fill="EDE8CB"/>
          </w:tcPr>
          <w:p w:rsidR="004A0B83" w:rsidRPr="00F620FD" w:rsidRDefault="004A0B83" w:rsidP="008F484C">
            <w:pPr>
              <w:pStyle w:val="TableSection"/>
              <w:jc w:val="center"/>
              <w:rPr>
                <w:rFonts w:cs="Arial"/>
                <w:sz w:val="20"/>
              </w:rPr>
            </w:pPr>
            <w:r w:rsidRPr="00F620FD">
              <w:rPr>
                <w:rFonts w:cs="Arial"/>
                <w:sz w:val="20"/>
              </w:rPr>
              <w:t>1</w:t>
            </w:r>
            <w:r w:rsidR="008F484C">
              <w:rPr>
                <w:rFonts w:cs="Arial"/>
                <w:sz w:val="20"/>
              </w:rPr>
              <w:t>3</w:t>
            </w:r>
          </w:p>
        </w:tc>
        <w:tc>
          <w:tcPr>
            <w:tcW w:w="3778" w:type="dxa"/>
            <w:tcBorders>
              <w:bottom w:val="single" w:sz="4" w:space="0" w:color="auto"/>
            </w:tcBorders>
            <w:shd w:val="clear" w:color="auto" w:fill="auto"/>
          </w:tcPr>
          <w:p w:rsidR="004A0B83" w:rsidRPr="00F620FD" w:rsidRDefault="004A0B83" w:rsidP="00EE5688">
            <w:pPr>
              <w:autoSpaceDE w:val="0"/>
              <w:autoSpaceDN w:val="0"/>
              <w:adjustRightInd w:val="0"/>
              <w:spacing w:before="60" w:after="60"/>
              <w:rPr>
                <w:rFonts w:ascii="Verdana" w:hAnsi="Verdana" w:cs="Arial"/>
                <w:color w:val="000000"/>
                <w:sz w:val="20"/>
                <w:lang w:val="en-GB"/>
              </w:rPr>
            </w:pPr>
            <w:r w:rsidRPr="005122E6">
              <w:rPr>
                <w:rFonts w:ascii="Verdana" w:hAnsi="Verdana" w:cs="Arial"/>
                <w:iCs/>
                <w:sz w:val="20"/>
              </w:rPr>
              <w:t xml:space="preserve">Exhibit </w:t>
            </w:r>
            <w:r>
              <w:rPr>
                <w:rFonts w:ascii="Verdana" w:hAnsi="Verdana" w:cs="Arial"/>
                <w:iCs/>
                <w:sz w:val="20"/>
              </w:rPr>
              <w:t>C</w:t>
            </w:r>
            <w:r w:rsidRPr="005122E6">
              <w:rPr>
                <w:rFonts w:ascii="Verdana" w:hAnsi="Verdana" w:cs="Arial"/>
                <w:iCs/>
                <w:sz w:val="20"/>
              </w:rPr>
              <w:t xml:space="preserve"> of Attachment A</w:t>
            </w:r>
            <w:r>
              <w:rPr>
                <w:rFonts w:ascii="Verdana" w:hAnsi="Verdana" w:cs="Arial"/>
                <w:iCs/>
                <w:sz w:val="20"/>
              </w:rPr>
              <w:t xml:space="preserve"> (General Terms and Conditions)</w:t>
            </w:r>
          </w:p>
        </w:tc>
        <w:tc>
          <w:tcPr>
            <w:tcW w:w="5568" w:type="dxa"/>
            <w:tcBorders>
              <w:bottom w:val="single" w:sz="4" w:space="0" w:color="auto"/>
            </w:tcBorders>
          </w:tcPr>
          <w:p w:rsidR="004A0B83" w:rsidRPr="00F620FD" w:rsidRDefault="004A0B83" w:rsidP="00EE5688">
            <w:pPr>
              <w:autoSpaceDE w:val="0"/>
              <w:autoSpaceDN w:val="0"/>
              <w:adjustRightInd w:val="0"/>
              <w:spacing w:before="60" w:after="60"/>
              <w:rPr>
                <w:rFonts w:ascii="Verdana" w:hAnsi="Verdana" w:cs="Arial"/>
                <w:sz w:val="20"/>
                <w:lang w:val="en-GB"/>
              </w:rPr>
            </w:pPr>
            <w:r w:rsidRPr="00370EF1">
              <w:rPr>
                <w:rFonts w:ascii="Verdana" w:hAnsi="Verdana" w:cs="Arial"/>
                <w:iCs/>
                <w:sz w:val="20"/>
              </w:rPr>
              <w:t>Clarify the language in the last sentence of item .11B.1 of Exhibit C, General Terms and Conditions.  Is this provision intended to require that the limits of contractor’s general liability insurance be applied as dedicated limits for each additional insured or as project-dedicated limits?  Normally, general liability insurance limits apply as project-dedicated limits.</w:t>
            </w:r>
          </w:p>
        </w:tc>
        <w:tc>
          <w:tcPr>
            <w:tcW w:w="4013" w:type="dxa"/>
            <w:tcBorders>
              <w:bottom w:val="single" w:sz="4" w:space="0" w:color="auto"/>
            </w:tcBorders>
            <w:shd w:val="clear" w:color="auto" w:fill="auto"/>
          </w:tcPr>
          <w:p w:rsidR="004A0B83" w:rsidRPr="00F620FD" w:rsidRDefault="00C2597A" w:rsidP="00EE5688">
            <w:pPr>
              <w:pStyle w:val="TableBodyText"/>
              <w:rPr>
                <w:rFonts w:cs="Arial"/>
                <w:sz w:val="20"/>
                <w:szCs w:val="20"/>
              </w:rPr>
            </w:pPr>
            <w:r>
              <w:rPr>
                <w:rFonts w:cs="Arial"/>
                <w:sz w:val="20"/>
                <w:szCs w:val="20"/>
              </w:rPr>
              <w:t>Project dedicated limits applicable to Preconstruction Phase.  The aggregate limit of liability applicable to the commercial general liability policy is a project aggregate that is further applicable only to the preconstruction phase.  Article 11 of Exhibit H General Conditions of the Contract for Construction (Document 00700) applies to the Construction Phase of the overall project.</w:t>
            </w: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lastRenderedPageBreak/>
              <w:t>1</w:t>
            </w:r>
            <w:r w:rsidR="008F484C">
              <w:rPr>
                <w:rFonts w:cs="Arial"/>
                <w:sz w:val="20"/>
              </w:rPr>
              <w:t>4</w:t>
            </w:r>
          </w:p>
        </w:tc>
        <w:tc>
          <w:tcPr>
            <w:tcW w:w="3778" w:type="dxa"/>
            <w:shd w:val="clear" w:color="auto" w:fill="auto"/>
          </w:tcPr>
          <w:p w:rsidR="004A0B83" w:rsidRPr="00F620FD" w:rsidRDefault="004A0B83" w:rsidP="00EE5688">
            <w:pPr>
              <w:pStyle w:val="TableBodyText"/>
              <w:rPr>
                <w:rFonts w:cs="Arial"/>
                <w:sz w:val="20"/>
                <w:szCs w:val="20"/>
              </w:rPr>
            </w:pPr>
            <w:r>
              <w:rPr>
                <w:rFonts w:cs="Arial"/>
                <w:iCs/>
                <w:sz w:val="20"/>
              </w:rPr>
              <w:t xml:space="preserve">Attachment H </w:t>
            </w:r>
            <w:r w:rsidRPr="007D05E8">
              <w:rPr>
                <w:rFonts w:cs="Arial"/>
                <w:iCs/>
                <w:sz w:val="20"/>
              </w:rPr>
              <w:t>(</w:t>
            </w:r>
            <w:r w:rsidRPr="007D05E8">
              <w:rPr>
                <w:rFonts w:cs="Arial"/>
                <w:iCs/>
                <w:sz w:val="20"/>
                <w:szCs w:val="20"/>
              </w:rPr>
              <w:t>General Conditions of the Contract for Construction, Document 00700 Construction Manager At Risk</w:t>
            </w:r>
            <w:r w:rsidRPr="007D05E8">
              <w:rPr>
                <w:rFonts w:cs="Arial"/>
                <w:iCs/>
                <w:sz w:val="20"/>
              </w:rPr>
              <w:t>)</w:t>
            </w:r>
          </w:p>
        </w:tc>
        <w:tc>
          <w:tcPr>
            <w:tcW w:w="5568" w:type="dxa"/>
          </w:tcPr>
          <w:p w:rsidR="004A0B83" w:rsidRPr="00F620FD" w:rsidRDefault="004A0B83" w:rsidP="00EE5688">
            <w:pPr>
              <w:pStyle w:val="TableBodyText"/>
              <w:rPr>
                <w:rFonts w:cs="Arial"/>
                <w:sz w:val="20"/>
                <w:szCs w:val="20"/>
              </w:rPr>
            </w:pPr>
            <w:r w:rsidRPr="00370EF1">
              <w:rPr>
                <w:rFonts w:cs="Arial"/>
                <w:iCs/>
                <w:sz w:val="20"/>
                <w:szCs w:val="20"/>
              </w:rPr>
              <w:t xml:space="preserve">Clarify the intent of the Contractor’s Contingency, 6.6.2 of Attachment H: the General Conditions of the Contract for Construction, Document 00700 Construction Manager At Risk.  </w:t>
            </w:r>
            <w:r>
              <w:rPr>
                <w:rFonts w:cs="Arial"/>
                <w:iCs/>
                <w:sz w:val="20"/>
                <w:szCs w:val="20"/>
              </w:rPr>
              <w:t xml:space="preserve">Since the designers’ are not under contract to the contractor, it’s possible that recommended changes may not be made which could have the effect of making the 3% contingency inadequate.  (Typically, Contractor’s Contingency is for errors and omissions of the </w:t>
            </w:r>
            <w:r w:rsidRPr="0081562A">
              <w:rPr>
                <w:rFonts w:cs="Arial"/>
                <w:i/>
                <w:iCs/>
                <w:sz w:val="20"/>
                <w:szCs w:val="20"/>
              </w:rPr>
              <w:t>contractor</w:t>
            </w:r>
            <w:r>
              <w:rPr>
                <w:rFonts w:cs="Arial"/>
                <w:iCs/>
                <w:sz w:val="20"/>
                <w:szCs w:val="20"/>
              </w:rPr>
              <w:t>, not the designer.)</w:t>
            </w:r>
          </w:p>
        </w:tc>
        <w:tc>
          <w:tcPr>
            <w:tcW w:w="4013" w:type="dxa"/>
            <w:shd w:val="clear" w:color="auto" w:fill="auto"/>
          </w:tcPr>
          <w:p w:rsidR="004A0B83" w:rsidRPr="009B5F3C" w:rsidRDefault="009B5F3C" w:rsidP="00EE5688">
            <w:pPr>
              <w:pStyle w:val="TableBodyText"/>
              <w:rPr>
                <w:rFonts w:cs="Arial"/>
                <w:sz w:val="20"/>
                <w:szCs w:val="20"/>
              </w:rPr>
            </w:pPr>
            <w:r>
              <w:rPr>
                <w:sz w:val="20"/>
                <w:szCs w:val="20"/>
              </w:rPr>
              <w:t>A  CMAR</w:t>
            </w:r>
            <w:r w:rsidR="00E95BA4" w:rsidRPr="009B5F3C">
              <w:rPr>
                <w:sz w:val="20"/>
                <w:szCs w:val="20"/>
              </w:rPr>
              <w:t xml:space="preserve"> is very involved in reviewing the design for constructability.  This effort allows the contractor’s contingency to be reduced.</w:t>
            </w:r>
          </w:p>
        </w:tc>
      </w:tr>
      <w:tr w:rsidR="004A0B83" w:rsidRPr="00F620FD" w:rsidTr="00EE5688">
        <w:trPr>
          <w:cantSplit/>
        </w:trPr>
        <w:tc>
          <w:tcPr>
            <w:tcW w:w="501" w:type="dxa"/>
            <w:shd w:val="clear" w:color="auto" w:fill="EDE8CB"/>
          </w:tcPr>
          <w:p w:rsidR="004A0B83" w:rsidRPr="00F620FD" w:rsidRDefault="008F484C" w:rsidP="00EE5688">
            <w:pPr>
              <w:pStyle w:val="TableSection"/>
              <w:jc w:val="center"/>
              <w:rPr>
                <w:rFonts w:cs="Arial"/>
                <w:sz w:val="20"/>
              </w:rPr>
            </w:pPr>
            <w:r>
              <w:rPr>
                <w:rFonts w:cs="Arial"/>
                <w:sz w:val="20"/>
              </w:rPr>
              <w:t>15</w:t>
            </w:r>
          </w:p>
        </w:tc>
        <w:tc>
          <w:tcPr>
            <w:tcW w:w="3778" w:type="dxa"/>
            <w:shd w:val="clear" w:color="auto" w:fill="auto"/>
          </w:tcPr>
          <w:p w:rsidR="004A0B83" w:rsidRPr="00F620FD" w:rsidRDefault="004A0B83" w:rsidP="00EE5688">
            <w:pPr>
              <w:pStyle w:val="TableBodyText"/>
              <w:rPr>
                <w:rFonts w:cs="Arial"/>
                <w:sz w:val="20"/>
                <w:szCs w:val="20"/>
              </w:rPr>
            </w:pPr>
            <w:r>
              <w:rPr>
                <w:rFonts w:cs="Arial"/>
                <w:iCs/>
                <w:sz w:val="20"/>
              </w:rPr>
              <w:t xml:space="preserve">Attachment H </w:t>
            </w:r>
            <w:r w:rsidRPr="007D05E8">
              <w:rPr>
                <w:rFonts w:cs="Arial"/>
                <w:iCs/>
                <w:sz w:val="20"/>
              </w:rPr>
              <w:t>(</w:t>
            </w:r>
            <w:r w:rsidRPr="007D05E8">
              <w:rPr>
                <w:rFonts w:cs="Arial"/>
                <w:iCs/>
                <w:sz w:val="20"/>
                <w:szCs w:val="20"/>
              </w:rPr>
              <w:t>General Conditions of the Contract for Construction, Document 00700 Construction Manager At Risk</w:t>
            </w:r>
            <w:r w:rsidRPr="007D05E8">
              <w:rPr>
                <w:rFonts w:cs="Arial"/>
                <w:iCs/>
                <w:sz w:val="20"/>
              </w:rPr>
              <w:t>)</w:t>
            </w:r>
          </w:p>
        </w:tc>
        <w:tc>
          <w:tcPr>
            <w:tcW w:w="5568" w:type="dxa"/>
          </w:tcPr>
          <w:p w:rsidR="004A0B83" w:rsidRPr="00F620FD" w:rsidRDefault="004A0B83" w:rsidP="00EE5688">
            <w:pPr>
              <w:pStyle w:val="TableBodyText"/>
              <w:rPr>
                <w:rFonts w:cs="Arial"/>
                <w:sz w:val="20"/>
                <w:szCs w:val="20"/>
              </w:rPr>
            </w:pPr>
            <w:r w:rsidRPr="00370EF1">
              <w:rPr>
                <w:rFonts w:cs="Arial"/>
                <w:iCs/>
                <w:sz w:val="20"/>
                <w:szCs w:val="20"/>
              </w:rPr>
              <w:t>Clarify that the Cost Clarifications in 6.7 of Attachment H: the General Conditions of the Contract for Construction, Document 00700 Construction Manager At Risk apply to define the “direct costs of the Contractor for construction of the Project” as an element of the Guaranteed Maximum Price.  The confusion arises because this provision is included in the section labeled “Article 6 – Changes in the Work”.  If this definition only applies to Changes, then what definition applies to define Direct Costs of the Contractor for construction of the Project?</w:t>
            </w:r>
          </w:p>
        </w:tc>
        <w:tc>
          <w:tcPr>
            <w:tcW w:w="4013" w:type="dxa"/>
            <w:shd w:val="clear" w:color="auto" w:fill="auto"/>
          </w:tcPr>
          <w:p w:rsidR="004A0B83" w:rsidRPr="00F620FD" w:rsidRDefault="00D65299" w:rsidP="00EE5688">
            <w:pPr>
              <w:pStyle w:val="TableBodyText"/>
              <w:rPr>
                <w:rFonts w:cs="Arial"/>
                <w:sz w:val="20"/>
                <w:szCs w:val="20"/>
              </w:rPr>
            </w:pPr>
            <w:r>
              <w:rPr>
                <w:rFonts w:cs="Arial"/>
                <w:sz w:val="20"/>
                <w:szCs w:val="20"/>
              </w:rPr>
              <w:t>Definition is not restricted to Article 6.</w:t>
            </w: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lastRenderedPageBreak/>
              <w:t>1</w:t>
            </w:r>
            <w:r w:rsidR="008F484C">
              <w:rPr>
                <w:rFonts w:cs="Arial"/>
                <w:sz w:val="20"/>
              </w:rPr>
              <w:t>6</w:t>
            </w:r>
          </w:p>
        </w:tc>
        <w:tc>
          <w:tcPr>
            <w:tcW w:w="3778" w:type="dxa"/>
            <w:shd w:val="clear" w:color="auto" w:fill="auto"/>
          </w:tcPr>
          <w:p w:rsidR="004A0B83" w:rsidRPr="00F620FD" w:rsidRDefault="004A0B83" w:rsidP="00EE5688">
            <w:pPr>
              <w:pStyle w:val="TableBodyText"/>
              <w:rPr>
                <w:rFonts w:cs="Arial"/>
                <w:sz w:val="20"/>
                <w:szCs w:val="20"/>
              </w:rPr>
            </w:pPr>
            <w:r>
              <w:rPr>
                <w:rFonts w:cs="Arial"/>
                <w:iCs/>
                <w:sz w:val="20"/>
              </w:rPr>
              <w:t xml:space="preserve">Attachment H </w:t>
            </w:r>
            <w:r w:rsidRPr="007D05E8">
              <w:rPr>
                <w:rFonts w:cs="Arial"/>
                <w:iCs/>
                <w:sz w:val="20"/>
              </w:rPr>
              <w:t>(</w:t>
            </w:r>
            <w:r w:rsidRPr="007D05E8">
              <w:rPr>
                <w:rFonts w:cs="Arial"/>
                <w:iCs/>
                <w:sz w:val="20"/>
                <w:szCs w:val="20"/>
              </w:rPr>
              <w:t>General Conditions of the Contract for Construction, Document 00700 Construction Manager At Risk</w:t>
            </w:r>
            <w:r w:rsidRPr="007D05E8">
              <w:rPr>
                <w:rFonts w:cs="Arial"/>
                <w:iCs/>
                <w:sz w:val="20"/>
              </w:rPr>
              <w:t>)</w:t>
            </w:r>
          </w:p>
        </w:tc>
        <w:tc>
          <w:tcPr>
            <w:tcW w:w="5568" w:type="dxa"/>
          </w:tcPr>
          <w:p w:rsidR="004A0B83" w:rsidRPr="00F620FD" w:rsidRDefault="004A0B83" w:rsidP="00EE5688">
            <w:pPr>
              <w:pStyle w:val="TableBodyText"/>
              <w:rPr>
                <w:rFonts w:cs="Arial"/>
                <w:sz w:val="20"/>
                <w:szCs w:val="20"/>
              </w:rPr>
            </w:pPr>
            <w:r w:rsidRPr="00370EF1">
              <w:rPr>
                <w:rFonts w:cs="Arial"/>
                <w:iCs/>
                <w:sz w:val="20"/>
                <w:szCs w:val="20"/>
              </w:rPr>
              <w:t>Clarify the intent of the restrictions on reimbursement for contractor’s Construction Phase Services under paragraph 6.7.2 of Attachment H: the General Conditions of the Contract for Construction, Document 00700 Construction Manager At Risk</w:t>
            </w:r>
            <w:r>
              <w:rPr>
                <w:rFonts w:cs="Arial"/>
                <w:iCs/>
                <w:sz w:val="20"/>
                <w:szCs w:val="20"/>
              </w:rPr>
              <w:t>,</w:t>
            </w:r>
            <w:r w:rsidRPr="00370EF1">
              <w:rPr>
                <w:rFonts w:cs="Arial"/>
                <w:iCs/>
                <w:sz w:val="20"/>
                <w:szCs w:val="20"/>
              </w:rPr>
              <w:t xml:space="preserve"> when compensation for Construction Phase Services (general conditions costs) will be based on a fee percentage of the Direct Costs of the Work.  In other words, how will the restrictions/limitations on contractor’s Construction Phase Services (general conditions) labor costs, materials, equipment, temporary facilities, etc. listed in 6.7.2.1.1, 6.7.2.1.2, 6.7.2.1.3, and 6.7.2.2 be applied to limit contractor’s compensation when the documents establish that compensation for contractor’s Construction Phase Services will be as a percentage of Contractor’s Direct Cost of the Work?  </w:t>
            </w:r>
          </w:p>
        </w:tc>
        <w:tc>
          <w:tcPr>
            <w:tcW w:w="4013" w:type="dxa"/>
            <w:shd w:val="clear" w:color="auto" w:fill="auto"/>
          </w:tcPr>
          <w:p w:rsidR="004A0B83" w:rsidRPr="00F620FD" w:rsidRDefault="00C2597A" w:rsidP="00EE5688">
            <w:pPr>
              <w:rPr>
                <w:rFonts w:ascii="Verdana" w:hAnsi="Verdana" w:cs="Arial"/>
                <w:sz w:val="20"/>
              </w:rPr>
            </w:pPr>
            <w:r>
              <w:rPr>
                <w:rFonts w:ascii="Verdana" w:hAnsi="Verdana" w:cs="Arial"/>
                <w:sz w:val="20"/>
              </w:rPr>
              <w:t>The intent is as stated in 6.7.2.</w:t>
            </w: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t>1</w:t>
            </w:r>
            <w:r w:rsidR="008F484C">
              <w:rPr>
                <w:rFonts w:cs="Arial"/>
                <w:sz w:val="20"/>
              </w:rPr>
              <w:t>7</w:t>
            </w:r>
          </w:p>
        </w:tc>
        <w:tc>
          <w:tcPr>
            <w:tcW w:w="3778" w:type="dxa"/>
            <w:shd w:val="clear" w:color="auto" w:fill="auto"/>
          </w:tcPr>
          <w:p w:rsidR="004A0B83" w:rsidRPr="00F620FD" w:rsidRDefault="004A0B83" w:rsidP="00EE5688">
            <w:pPr>
              <w:pStyle w:val="TableBodyText"/>
              <w:rPr>
                <w:rFonts w:cs="Arial"/>
                <w:sz w:val="20"/>
                <w:szCs w:val="20"/>
              </w:rPr>
            </w:pPr>
            <w:r>
              <w:rPr>
                <w:rFonts w:cs="Arial"/>
                <w:iCs/>
                <w:sz w:val="20"/>
              </w:rPr>
              <w:t xml:space="preserve">Attachment H </w:t>
            </w:r>
            <w:r w:rsidRPr="007D05E8">
              <w:rPr>
                <w:rFonts w:cs="Arial"/>
                <w:iCs/>
                <w:sz w:val="20"/>
              </w:rPr>
              <w:t>(</w:t>
            </w:r>
            <w:r w:rsidRPr="007D05E8">
              <w:rPr>
                <w:rFonts w:cs="Arial"/>
                <w:iCs/>
                <w:sz w:val="20"/>
                <w:szCs w:val="20"/>
              </w:rPr>
              <w:t>General Conditions of the Contract for Construction, Document 00700 Construction Manager At Risk</w:t>
            </w:r>
            <w:r w:rsidRPr="007D05E8">
              <w:rPr>
                <w:rFonts w:cs="Arial"/>
                <w:iCs/>
                <w:sz w:val="20"/>
              </w:rPr>
              <w:t>)</w:t>
            </w:r>
          </w:p>
        </w:tc>
        <w:tc>
          <w:tcPr>
            <w:tcW w:w="5568" w:type="dxa"/>
          </w:tcPr>
          <w:p w:rsidR="004A0B83" w:rsidRPr="00F620FD" w:rsidRDefault="004A0B83" w:rsidP="00EE5688">
            <w:pPr>
              <w:pStyle w:val="TableBodyText"/>
              <w:rPr>
                <w:rFonts w:cs="Arial"/>
                <w:sz w:val="20"/>
                <w:szCs w:val="20"/>
              </w:rPr>
            </w:pPr>
            <w:r w:rsidRPr="00370EF1">
              <w:rPr>
                <w:rFonts w:cs="Arial"/>
                <w:iCs/>
                <w:sz w:val="20"/>
              </w:rPr>
              <w:t xml:space="preserve">Clarify the second sentence of 7.4.3 of </w:t>
            </w:r>
            <w:bookmarkStart w:id="7" w:name="OLE_LINK1"/>
            <w:r w:rsidRPr="00370EF1">
              <w:rPr>
                <w:rFonts w:cs="Arial"/>
                <w:iCs/>
                <w:sz w:val="20"/>
              </w:rPr>
              <w:t>Attachment H: the General Conditions of the Contract for Construction, Document 00700 Construction Manager At Risk</w:t>
            </w:r>
            <w:bookmarkEnd w:id="7"/>
            <w:r w:rsidRPr="00370EF1">
              <w:rPr>
                <w:rFonts w:cs="Arial"/>
                <w:iCs/>
                <w:sz w:val="20"/>
              </w:rPr>
              <w:t xml:space="preserve">. Specifically, why </w:t>
            </w:r>
            <w:r>
              <w:rPr>
                <w:rFonts w:cs="Arial"/>
                <w:iCs/>
                <w:sz w:val="20"/>
              </w:rPr>
              <w:t>w</w:t>
            </w:r>
            <w:r w:rsidRPr="00370EF1">
              <w:rPr>
                <w:rFonts w:cs="Arial"/>
                <w:iCs/>
                <w:sz w:val="20"/>
              </w:rPr>
              <w:t>ould the contractor be responsible for paying the additional charges for the owner’s engineering and inspection services in situations where the owner has granted the contractor an extension of time – presumably because a delay has been determined to be “unavoidable”?</w:t>
            </w:r>
            <w:r>
              <w:rPr>
                <w:rFonts w:cs="Arial"/>
                <w:iCs/>
                <w:sz w:val="20"/>
              </w:rPr>
              <w:t xml:space="preserve"> </w:t>
            </w:r>
          </w:p>
        </w:tc>
        <w:tc>
          <w:tcPr>
            <w:tcW w:w="4013" w:type="dxa"/>
            <w:shd w:val="clear" w:color="auto" w:fill="auto"/>
          </w:tcPr>
          <w:p w:rsidR="004A0B83" w:rsidRPr="00C2597A" w:rsidRDefault="00C2597A" w:rsidP="00EE5688">
            <w:pPr>
              <w:rPr>
                <w:rFonts w:ascii="Verdana" w:hAnsi="Verdana" w:cs="Arial"/>
                <w:sz w:val="20"/>
              </w:rPr>
            </w:pPr>
            <w:r>
              <w:rPr>
                <w:rFonts w:ascii="Verdana" w:hAnsi="Verdana" w:cs="Arial"/>
                <w:sz w:val="20"/>
              </w:rPr>
              <w:t xml:space="preserve">The contractor will not be responsible for paying the additional charges for the </w:t>
            </w:r>
            <w:r>
              <w:rPr>
                <w:rFonts w:ascii="Verdana" w:hAnsi="Verdana" w:cs="Arial"/>
                <w:sz w:val="20"/>
                <w:u w:val="single"/>
              </w:rPr>
              <w:t>owner’s</w:t>
            </w:r>
            <w:r>
              <w:rPr>
                <w:rFonts w:ascii="Verdana" w:hAnsi="Verdana" w:cs="Arial"/>
                <w:sz w:val="20"/>
              </w:rPr>
              <w:t xml:space="preserve"> engineering and inspection services.</w:t>
            </w:r>
          </w:p>
        </w:tc>
      </w:tr>
      <w:tr w:rsidR="004A0B83" w:rsidRPr="00F620FD" w:rsidTr="00EE5688">
        <w:trPr>
          <w:cantSplit/>
        </w:trPr>
        <w:tc>
          <w:tcPr>
            <w:tcW w:w="501" w:type="dxa"/>
            <w:shd w:val="clear" w:color="auto" w:fill="EDE8CB"/>
          </w:tcPr>
          <w:p w:rsidR="004A0B83" w:rsidRPr="00F620FD" w:rsidRDefault="008F484C" w:rsidP="00EE5688">
            <w:pPr>
              <w:pStyle w:val="TableSection"/>
              <w:jc w:val="center"/>
              <w:rPr>
                <w:rFonts w:cs="Arial"/>
                <w:sz w:val="20"/>
              </w:rPr>
            </w:pPr>
            <w:r>
              <w:rPr>
                <w:rFonts w:cs="Arial"/>
                <w:sz w:val="20"/>
              </w:rPr>
              <w:lastRenderedPageBreak/>
              <w:t>18</w:t>
            </w:r>
          </w:p>
        </w:tc>
        <w:tc>
          <w:tcPr>
            <w:tcW w:w="3778" w:type="dxa"/>
            <w:shd w:val="clear" w:color="auto" w:fill="auto"/>
          </w:tcPr>
          <w:p w:rsidR="004A0B83" w:rsidRPr="00F620FD" w:rsidRDefault="004A0B83" w:rsidP="00EE5688">
            <w:pPr>
              <w:pStyle w:val="TableBodyText"/>
              <w:rPr>
                <w:rFonts w:cs="Arial"/>
                <w:sz w:val="20"/>
                <w:szCs w:val="20"/>
              </w:rPr>
            </w:pPr>
            <w:r>
              <w:rPr>
                <w:rFonts w:cs="Arial"/>
                <w:iCs/>
                <w:sz w:val="20"/>
              </w:rPr>
              <w:t xml:space="preserve">Attachment H </w:t>
            </w:r>
            <w:r w:rsidRPr="007D05E8">
              <w:rPr>
                <w:rFonts w:cs="Arial"/>
                <w:iCs/>
                <w:sz w:val="20"/>
              </w:rPr>
              <w:t>(</w:t>
            </w:r>
            <w:r w:rsidRPr="007D05E8">
              <w:rPr>
                <w:rFonts w:cs="Arial"/>
                <w:iCs/>
                <w:sz w:val="20"/>
                <w:szCs w:val="20"/>
              </w:rPr>
              <w:t>General Conditions of the Contract for Construction, Document 00700 Construction Manager At Risk</w:t>
            </w:r>
            <w:r w:rsidRPr="007D05E8">
              <w:rPr>
                <w:rFonts w:cs="Arial"/>
                <w:iCs/>
                <w:sz w:val="20"/>
              </w:rPr>
              <w:t>)</w:t>
            </w:r>
          </w:p>
        </w:tc>
        <w:tc>
          <w:tcPr>
            <w:tcW w:w="5568" w:type="dxa"/>
          </w:tcPr>
          <w:p w:rsidR="004A0B83" w:rsidRPr="00F620FD" w:rsidRDefault="004A0B83" w:rsidP="00EE5688">
            <w:pPr>
              <w:pStyle w:val="TableBodyText"/>
              <w:rPr>
                <w:rFonts w:cs="Arial"/>
                <w:sz w:val="20"/>
                <w:szCs w:val="20"/>
              </w:rPr>
            </w:pPr>
            <w:r w:rsidRPr="00370EF1">
              <w:rPr>
                <w:rFonts w:cs="Arial"/>
                <w:iCs/>
                <w:sz w:val="20"/>
                <w:szCs w:val="20"/>
              </w:rPr>
              <w:t>Clarify 8.7.2 of Attachment H: the General Conditions of the Contract for Construction, Document 00700 Construction Manager At Risk.  Shouldn’t this provision state that the contractor’s final invoice should include “conditional” lien and stop notice releases and not “unconditional” lien and stop notice releases since the releases will be required before final payment is made by AOC?</w:t>
            </w:r>
          </w:p>
        </w:tc>
        <w:tc>
          <w:tcPr>
            <w:tcW w:w="4013" w:type="dxa"/>
            <w:shd w:val="clear" w:color="auto" w:fill="auto"/>
          </w:tcPr>
          <w:p w:rsidR="004A0B83" w:rsidRPr="00F620FD" w:rsidRDefault="00DB3CDE" w:rsidP="00EE5688">
            <w:pPr>
              <w:rPr>
                <w:rFonts w:ascii="Verdana" w:hAnsi="Verdana" w:cs="Arial"/>
                <w:sz w:val="20"/>
              </w:rPr>
            </w:pPr>
            <w:r>
              <w:rPr>
                <w:rFonts w:ascii="Verdana" w:hAnsi="Verdana" w:cs="Arial"/>
                <w:sz w:val="20"/>
              </w:rPr>
              <w:t>Provision correct as stated.</w:t>
            </w:r>
          </w:p>
        </w:tc>
      </w:tr>
      <w:tr w:rsidR="004A0B83" w:rsidRPr="00F620FD" w:rsidTr="00EE5688">
        <w:trPr>
          <w:cantSplit/>
        </w:trPr>
        <w:tc>
          <w:tcPr>
            <w:tcW w:w="501" w:type="dxa"/>
            <w:shd w:val="clear" w:color="auto" w:fill="EDE8CB"/>
          </w:tcPr>
          <w:p w:rsidR="004A0B83" w:rsidRPr="00F620FD" w:rsidRDefault="008F484C" w:rsidP="00EE5688">
            <w:pPr>
              <w:pStyle w:val="TableSection"/>
              <w:jc w:val="center"/>
              <w:rPr>
                <w:rFonts w:cs="Arial"/>
                <w:sz w:val="20"/>
              </w:rPr>
            </w:pPr>
            <w:r>
              <w:rPr>
                <w:rFonts w:cs="Arial"/>
                <w:sz w:val="20"/>
              </w:rPr>
              <w:t>19</w:t>
            </w:r>
          </w:p>
        </w:tc>
        <w:tc>
          <w:tcPr>
            <w:tcW w:w="3778" w:type="dxa"/>
            <w:shd w:val="clear" w:color="auto" w:fill="auto"/>
          </w:tcPr>
          <w:p w:rsidR="004A0B83" w:rsidRPr="00F620FD" w:rsidRDefault="004A0B83" w:rsidP="00EE5688">
            <w:pPr>
              <w:pStyle w:val="TableBodyText"/>
              <w:rPr>
                <w:rFonts w:cs="Arial"/>
                <w:sz w:val="20"/>
                <w:szCs w:val="20"/>
              </w:rPr>
            </w:pPr>
            <w:r>
              <w:rPr>
                <w:rFonts w:cs="Arial"/>
                <w:iCs/>
                <w:sz w:val="20"/>
              </w:rPr>
              <w:t xml:space="preserve">Attachment H </w:t>
            </w:r>
            <w:r w:rsidRPr="007D05E8">
              <w:rPr>
                <w:rFonts w:cs="Arial"/>
                <w:iCs/>
                <w:sz w:val="20"/>
              </w:rPr>
              <w:t>(</w:t>
            </w:r>
            <w:r w:rsidRPr="007D05E8">
              <w:rPr>
                <w:rFonts w:cs="Arial"/>
                <w:iCs/>
                <w:sz w:val="20"/>
                <w:szCs w:val="20"/>
              </w:rPr>
              <w:t>General Conditions of the Contract for Construction, Document 00700 Construction Manager At Risk</w:t>
            </w:r>
            <w:r w:rsidRPr="007D05E8">
              <w:rPr>
                <w:rFonts w:cs="Arial"/>
                <w:iCs/>
                <w:sz w:val="20"/>
              </w:rPr>
              <w:t>)</w:t>
            </w:r>
          </w:p>
        </w:tc>
        <w:tc>
          <w:tcPr>
            <w:tcW w:w="5568" w:type="dxa"/>
          </w:tcPr>
          <w:p w:rsidR="004A0B83" w:rsidRPr="00F620FD" w:rsidRDefault="004A0B83" w:rsidP="00EE5688">
            <w:pPr>
              <w:pStyle w:val="TableBodyText"/>
              <w:rPr>
                <w:rFonts w:cs="Arial"/>
                <w:sz w:val="20"/>
                <w:szCs w:val="20"/>
              </w:rPr>
            </w:pPr>
            <w:r w:rsidRPr="00370EF1">
              <w:rPr>
                <w:rFonts w:cs="Arial"/>
                <w:iCs/>
                <w:sz w:val="20"/>
                <w:szCs w:val="20"/>
              </w:rPr>
              <w:t xml:space="preserve">Clarify 11.1.2.1 of Attachment H: the General Conditions of the Contract for Construction, Document 00700 Construction Manager At Risk.  </w:t>
            </w:r>
            <w:r>
              <w:rPr>
                <w:rFonts w:cs="Arial"/>
                <w:iCs/>
                <w:sz w:val="20"/>
                <w:szCs w:val="20"/>
              </w:rPr>
              <w:t xml:space="preserve">Is it permissible for the </w:t>
            </w:r>
            <w:r w:rsidRPr="00370EF1">
              <w:rPr>
                <w:rFonts w:cs="Arial"/>
                <w:iCs/>
                <w:sz w:val="20"/>
                <w:szCs w:val="20"/>
              </w:rPr>
              <w:t xml:space="preserve">contractor </w:t>
            </w:r>
            <w:r>
              <w:rPr>
                <w:rFonts w:cs="Arial"/>
                <w:iCs/>
                <w:sz w:val="20"/>
                <w:szCs w:val="20"/>
              </w:rPr>
              <w:t xml:space="preserve">to </w:t>
            </w:r>
            <w:r w:rsidRPr="00370EF1">
              <w:rPr>
                <w:rFonts w:cs="Arial"/>
                <w:iCs/>
                <w:sz w:val="20"/>
                <w:szCs w:val="20"/>
              </w:rPr>
              <w:t>satisfy the coverage limits with a combination of general liability and umbrella insurance policies?</w:t>
            </w:r>
          </w:p>
        </w:tc>
        <w:tc>
          <w:tcPr>
            <w:tcW w:w="4013" w:type="dxa"/>
            <w:shd w:val="clear" w:color="auto" w:fill="auto"/>
          </w:tcPr>
          <w:p w:rsidR="004A0B83" w:rsidRPr="00F620FD" w:rsidRDefault="00DB3CDE" w:rsidP="00EE5688">
            <w:pPr>
              <w:autoSpaceDE w:val="0"/>
              <w:autoSpaceDN w:val="0"/>
              <w:adjustRightInd w:val="0"/>
              <w:rPr>
                <w:rFonts w:ascii="Verdana" w:hAnsi="Verdana" w:cs="Arial"/>
                <w:sz w:val="20"/>
              </w:rPr>
            </w:pPr>
            <w:r>
              <w:rPr>
                <w:rFonts w:ascii="Verdana" w:hAnsi="Verdana" w:cs="Arial"/>
                <w:sz w:val="20"/>
              </w:rPr>
              <w:t>Yes. If the AOC does not provide all or part of the construction phase insurance as allowed for under Article 11.2.2 of the General Conditions of the Contract for Construction (Document 00700) the Contractor may use any combination of insurance policies to fulfill the obligations of Article 11.1.2.</w:t>
            </w: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t>2</w:t>
            </w:r>
            <w:r w:rsidR="008F484C">
              <w:rPr>
                <w:rFonts w:cs="Arial"/>
                <w:sz w:val="20"/>
              </w:rPr>
              <w:t>0</w:t>
            </w:r>
          </w:p>
        </w:tc>
        <w:tc>
          <w:tcPr>
            <w:tcW w:w="3778" w:type="dxa"/>
            <w:shd w:val="clear" w:color="auto" w:fill="auto"/>
          </w:tcPr>
          <w:p w:rsidR="004A0B83" w:rsidRPr="00F620FD" w:rsidRDefault="004A0B83" w:rsidP="00EE5688">
            <w:pPr>
              <w:pStyle w:val="TableBodyText"/>
              <w:rPr>
                <w:rFonts w:cs="Arial"/>
                <w:sz w:val="20"/>
                <w:szCs w:val="20"/>
              </w:rPr>
            </w:pPr>
            <w:r w:rsidRPr="005122E6">
              <w:rPr>
                <w:rFonts w:cs="Arial"/>
                <w:iCs/>
                <w:sz w:val="20"/>
              </w:rPr>
              <w:t xml:space="preserve">Exhibit </w:t>
            </w:r>
            <w:r>
              <w:rPr>
                <w:rFonts w:cs="Arial"/>
                <w:iCs/>
                <w:sz w:val="20"/>
              </w:rPr>
              <w:t>B</w:t>
            </w:r>
            <w:r w:rsidRPr="005122E6">
              <w:rPr>
                <w:rFonts w:cs="Arial"/>
                <w:iCs/>
                <w:sz w:val="20"/>
              </w:rPr>
              <w:t xml:space="preserve"> of Attachment A</w:t>
            </w:r>
            <w:r>
              <w:rPr>
                <w:rFonts w:cs="Arial"/>
                <w:iCs/>
                <w:sz w:val="20"/>
              </w:rPr>
              <w:t xml:space="preserve"> (Payment Provisions)</w:t>
            </w:r>
          </w:p>
        </w:tc>
        <w:tc>
          <w:tcPr>
            <w:tcW w:w="5568" w:type="dxa"/>
          </w:tcPr>
          <w:p w:rsidR="004A0B83" w:rsidRPr="00762455" w:rsidRDefault="004A0B83" w:rsidP="00EE5688">
            <w:pPr>
              <w:pStyle w:val="TableBodyText"/>
              <w:rPr>
                <w:rFonts w:cs="Arial"/>
                <w:sz w:val="20"/>
                <w:szCs w:val="20"/>
              </w:rPr>
            </w:pPr>
            <w:r w:rsidRPr="00762455">
              <w:rPr>
                <w:sz w:val="20"/>
                <w:szCs w:val="20"/>
              </w:rPr>
              <w:t>.1</w:t>
            </w:r>
            <w:r>
              <w:rPr>
                <w:sz w:val="20"/>
                <w:szCs w:val="20"/>
              </w:rPr>
              <w:t>.</w:t>
            </w:r>
            <w:r w:rsidRPr="00762455">
              <w:rPr>
                <w:sz w:val="20"/>
                <w:szCs w:val="20"/>
              </w:rPr>
              <w:t xml:space="preserve"> - Contract Amount: The first sentence appears to be missing language between "may be" and "the Contractor".</w:t>
            </w:r>
          </w:p>
        </w:tc>
        <w:tc>
          <w:tcPr>
            <w:tcW w:w="4013" w:type="dxa"/>
            <w:shd w:val="clear" w:color="auto" w:fill="auto"/>
          </w:tcPr>
          <w:p w:rsidR="004A0B83" w:rsidRPr="00F620FD" w:rsidRDefault="002C2625" w:rsidP="002C2625">
            <w:pPr>
              <w:autoSpaceDE w:val="0"/>
              <w:autoSpaceDN w:val="0"/>
              <w:adjustRightInd w:val="0"/>
              <w:rPr>
                <w:rFonts w:ascii="Verdana" w:hAnsi="Verdana" w:cs="Arial"/>
                <w:sz w:val="20"/>
              </w:rPr>
            </w:pPr>
            <w:r>
              <w:rPr>
                <w:rFonts w:ascii="Verdana" w:hAnsi="Verdana" w:cs="Arial"/>
                <w:sz w:val="20"/>
              </w:rPr>
              <w:t>The first sentence should read: “The total amount</w:t>
            </w:r>
            <w:r w:rsidR="008F484C">
              <w:rPr>
                <w:rFonts w:ascii="Verdana" w:hAnsi="Verdana" w:cs="Arial"/>
                <w:sz w:val="20"/>
              </w:rPr>
              <w:t xml:space="preserve"> the AOC may pay the Contractor under this Agreement will not exceed the Contract Amount of $_________ as set forth in this Exhibit.”</w:t>
            </w: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lastRenderedPageBreak/>
              <w:t>2</w:t>
            </w:r>
            <w:r w:rsidR="008F484C">
              <w:rPr>
                <w:rFonts w:cs="Arial"/>
                <w:sz w:val="20"/>
              </w:rPr>
              <w:t>1</w:t>
            </w:r>
          </w:p>
        </w:tc>
        <w:tc>
          <w:tcPr>
            <w:tcW w:w="3778" w:type="dxa"/>
            <w:shd w:val="clear" w:color="auto" w:fill="auto"/>
          </w:tcPr>
          <w:p w:rsidR="004A0B83" w:rsidRPr="00F620FD" w:rsidRDefault="004A0B83" w:rsidP="00EE5688">
            <w:pPr>
              <w:pStyle w:val="TableBodyText"/>
              <w:rPr>
                <w:rFonts w:cs="Arial"/>
                <w:sz w:val="20"/>
                <w:szCs w:val="20"/>
              </w:rPr>
            </w:pPr>
            <w:r>
              <w:rPr>
                <w:rFonts w:cs="Arial"/>
                <w:iCs/>
                <w:sz w:val="20"/>
              </w:rPr>
              <w:t xml:space="preserve">Attachment H </w:t>
            </w:r>
            <w:r w:rsidRPr="007D05E8">
              <w:rPr>
                <w:rFonts w:cs="Arial"/>
                <w:iCs/>
                <w:sz w:val="20"/>
              </w:rPr>
              <w:t>(</w:t>
            </w:r>
            <w:r w:rsidRPr="007D05E8">
              <w:rPr>
                <w:rFonts w:cs="Arial"/>
                <w:iCs/>
                <w:sz w:val="20"/>
                <w:szCs w:val="20"/>
              </w:rPr>
              <w:t>General Conditions of the Contract for Construction, Document 00700 Construction Manager At Risk</w:t>
            </w:r>
            <w:r w:rsidRPr="007D05E8">
              <w:rPr>
                <w:rFonts w:cs="Arial"/>
                <w:iCs/>
                <w:sz w:val="20"/>
              </w:rPr>
              <w:t>)</w:t>
            </w:r>
            <w:r>
              <w:rPr>
                <w:rFonts w:cs="Arial"/>
                <w:iCs/>
                <w:sz w:val="20"/>
              </w:rPr>
              <w:t>; Attachment C (Construction Phase Scope Detail)</w:t>
            </w:r>
          </w:p>
        </w:tc>
        <w:tc>
          <w:tcPr>
            <w:tcW w:w="5568" w:type="dxa"/>
          </w:tcPr>
          <w:p w:rsidR="004A0B83" w:rsidRPr="00F620FD" w:rsidRDefault="004A0B83" w:rsidP="00EE5688">
            <w:pPr>
              <w:pStyle w:val="TableBodyText"/>
              <w:rPr>
                <w:rFonts w:cs="Arial"/>
                <w:sz w:val="20"/>
                <w:szCs w:val="20"/>
              </w:rPr>
            </w:pPr>
            <w:r>
              <w:rPr>
                <w:rFonts w:cs="Arial"/>
                <w:iCs/>
                <w:sz w:val="20"/>
              </w:rPr>
              <w:t>Per Attachment C, bidders are to include the cost of the premium for Builder’s Risk insurance. Clarify if bidders are to include the cost of earthquake coverage in the Builder’s Risk policy. 11.1.2.4 of Attachment H</w:t>
            </w:r>
            <w:r w:rsidRPr="00370EF1">
              <w:rPr>
                <w:rFonts w:cs="Arial"/>
                <w:iCs/>
                <w:sz w:val="20"/>
              </w:rPr>
              <w:t>: the General Conditions of the Contract for Construction, Document 00700 Construction Manager At Risk</w:t>
            </w:r>
            <w:r>
              <w:rPr>
                <w:rFonts w:cs="Arial"/>
                <w:iCs/>
                <w:sz w:val="20"/>
              </w:rPr>
              <w:t xml:space="preserve">, states that it shall be included “if available at commercially affordable costs as reasonably determined by the AOC”. </w:t>
            </w:r>
          </w:p>
        </w:tc>
        <w:tc>
          <w:tcPr>
            <w:tcW w:w="4013" w:type="dxa"/>
            <w:shd w:val="clear" w:color="auto" w:fill="auto"/>
          </w:tcPr>
          <w:p w:rsidR="004A0B83" w:rsidRPr="00F620FD" w:rsidRDefault="00DB3CDE" w:rsidP="00EE5688">
            <w:pPr>
              <w:rPr>
                <w:rFonts w:ascii="Verdana" w:hAnsi="Verdana" w:cs="Arial"/>
                <w:sz w:val="20"/>
              </w:rPr>
            </w:pPr>
            <w:r>
              <w:rPr>
                <w:rFonts w:ascii="Verdana" w:hAnsi="Verdana" w:cs="Arial"/>
                <w:sz w:val="20"/>
              </w:rPr>
              <w:t>The Contractor should include the earthquake insurance in the Builder’s Risk policy and be in a position to provide the AOC with a specific cost of earthquake insurance. If it is determined that earthquake insurance will not be purchased then the cost of coverage will be reduced and the contract amended accordingly.</w:t>
            </w: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t>2</w:t>
            </w:r>
            <w:r w:rsidR="008F484C">
              <w:rPr>
                <w:rFonts w:cs="Arial"/>
                <w:sz w:val="20"/>
              </w:rPr>
              <w:t>2</w:t>
            </w:r>
          </w:p>
        </w:tc>
        <w:tc>
          <w:tcPr>
            <w:tcW w:w="3778" w:type="dxa"/>
            <w:shd w:val="clear" w:color="auto" w:fill="auto"/>
          </w:tcPr>
          <w:p w:rsidR="004A0B83" w:rsidRPr="00F620FD" w:rsidRDefault="004A0B83" w:rsidP="00EE5688">
            <w:pPr>
              <w:pStyle w:val="TableBodyText"/>
              <w:rPr>
                <w:rFonts w:cs="Arial"/>
                <w:sz w:val="20"/>
                <w:szCs w:val="20"/>
              </w:rPr>
            </w:pPr>
            <w:r>
              <w:rPr>
                <w:rFonts w:cs="Arial"/>
                <w:iCs/>
                <w:sz w:val="20"/>
              </w:rPr>
              <w:t xml:space="preserve">Attachment H </w:t>
            </w:r>
            <w:r w:rsidRPr="007D05E8">
              <w:rPr>
                <w:rFonts w:cs="Arial"/>
                <w:iCs/>
                <w:sz w:val="20"/>
              </w:rPr>
              <w:t>(</w:t>
            </w:r>
            <w:r w:rsidRPr="007D05E8">
              <w:rPr>
                <w:rFonts w:cs="Arial"/>
                <w:iCs/>
                <w:sz w:val="20"/>
                <w:szCs w:val="20"/>
              </w:rPr>
              <w:t>General Conditions of the Contract for Construction, Document 00700 Construction Manager At Risk</w:t>
            </w:r>
            <w:r w:rsidRPr="007D05E8">
              <w:rPr>
                <w:rFonts w:cs="Arial"/>
                <w:iCs/>
                <w:sz w:val="20"/>
              </w:rPr>
              <w:t>)</w:t>
            </w:r>
            <w:r>
              <w:rPr>
                <w:rFonts w:cs="Arial"/>
                <w:iCs/>
                <w:sz w:val="20"/>
              </w:rPr>
              <w:t>; Attachment C (Construction Phase Scope Detail); Exhibit C to Attachment A (General Terms and Conditions)</w:t>
            </w:r>
          </w:p>
        </w:tc>
        <w:tc>
          <w:tcPr>
            <w:tcW w:w="5568" w:type="dxa"/>
          </w:tcPr>
          <w:p w:rsidR="004A0B83" w:rsidRPr="00F620FD" w:rsidRDefault="004A0B83" w:rsidP="00EE5688">
            <w:pPr>
              <w:pStyle w:val="TableBodyText"/>
              <w:rPr>
                <w:rFonts w:cs="Arial"/>
                <w:sz w:val="20"/>
                <w:szCs w:val="20"/>
              </w:rPr>
            </w:pPr>
            <w:r w:rsidRPr="00370EF1">
              <w:rPr>
                <w:rFonts w:cs="Arial"/>
                <w:iCs/>
                <w:sz w:val="20"/>
              </w:rPr>
              <w:t>Clarify 11.3 of Attachment H: the General Conditions of the Contract for Construction, Document 00700 Construction Manager At Risk.  Will AOC reimburse the contractor for the premium costs of Contractor’s performance and payment bonds as a direct reimbursable expense outside the GMAX?  Note possible conflict with 6.7.2.3.1</w:t>
            </w:r>
            <w:r>
              <w:rPr>
                <w:rFonts w:cs="Arial"/>
                <w:iCs/>
                <w:sz w:val="20"/>
              </w:rPr>
              <w:t>, Attachment C (Miscellaneous Project Costs Item 1) and .5G of Exhibit C to Attachment A</w:t>
            </w:r>
            <w:r w:rsidRPr="00370EF1">
              <w:rPr>
                <w:rFonts w:cs="Arial"/>
                <w:iCs/>
                <w:sz w:val="20"/>
              </w:rPr>
              <w:t>.</w:t>
            </w:r>
            <w:r>
              <w:rPr>
                <w:rFonts w:cs="Arial"/>
                <w:iCs/>
                <w:sz w:val="20"/>
              </w:rPr>
              <w:t xml:space="preserve"> </w:t>
            </w:r>
          </w:p>
        </w:tc>
        <w:tc>
          <w:tcPr>
            <w:tcW w:w="4013" w:type="dxa"/>
            <w:shd w:val="clear" w:color="auto" w:fill="auto"/>
          </w:tcPr>
          <w:p w:rsidR="004A0B83" w:rsidRDefault="00DB3CDE" w:rsidP="00EE5688">
            <w:pPr>
              <w:rPr>
                <w:rFonts w:ascii="Verdana" w:hAnsi="Verdana" w:cs="Arial"/>
                <w:sz w:val="20"/>
              </w:rPr>
            </w:pPr>
            <w:r>
              <w:rPr>
                <w:rFonts w:ascii="Verdana" w:hAnsi="Verdana" w:cs="Arial"/>
                <w:sz w:val="20"/>
              </w:rPr>
              <w:t>Performance and payment bonds are a direct reimbursable expense outside of the GMAX.</w:t>
            </w:r>
          </w:p>
          <w:p w:rsidR="00DB3CDE" w:rsidRPr="00F620FD" w:rsidRDefault="00DB3CDE" w:rsidP="00EE5688">
            <w:pPr>
              <w:rPr>
                <w:rFonts w:ascii="Verdana" w:hAnsi="Verdana" w:cs="Arial"/>
                <w:sz w:val="20"/>
              </w:rPr>
            </w:pPr>
          </w:p>
        </w:tc>
      </w:tr>
      <w:tr w:rsidR="004A0B83" w:rsidRPr="00F620FD" w:rsidTr="00EE5688">
        <w:trPr>
          <w:cantSplit/>
        </w:trPr>
        <w:tc>
          <w:tcPr>
            <w:tcW w:w="501" w:type="dxa"/>
            <w:shd w:val="clear" w:color="auto" w:fill="EDE8CB"/>
          </w:tcPr>
          <w:p w:rsidR="004A0B83" w:rsidRPr="00F620FD" w:rsidRDefault="004A0B83" w:rsidP="008F484C">
            <w:pPr>
              <w:pStyle w:val="TableSection"/>
              <w:jc w:val="center"/>
              <w:rPr>
                <w:rFonts w:cs="Arial"/>
                <w:sz w:val="20"/>
              </w:rPr>
            </w:pPr>
            <w:r w:rsidRPr="00F620FD">
              <w:rPr>
                <w:rFonts w:cs="Arial"/>
                <w:sz w:val="20"/>
              </w:rPr>
              <w:lastRenderedPageBreak/>
              <w:t>2</w:t>
            </w:r>
            <w:r w:rsidR="008F484C">
              <w:rPr>
                <w:rFonts w:cs="Arial"/>
                <w:sz w:val="20"/>
              </w:rPr>
              <w:t>3</w:t>
            </w:r>
          </w:p>
        </w:tc>
        <w:tc>
          <w:tcPr>
            <w:tcW w:w="3778" w:type="dxa"/>
            <w:shd w:val="clear" w:color="auto" w:fill="auto"/>
          </w:tcPr>
          <w:p w:rsidR="004A0B83" w:rsidRPr="00F620FD" w:rsidRDefault="004A0B83" w:rsidP="00EE5688">
            <w:pPr>
              <w:pStyle w:val="TableBodyText"/>
              <w:rPr>
                <w:rFonts w:cs="Arial"/>
                <w:sz w:val="20"/>
                <w:szCs w:val="20"/>
              </w:rPr>
            </w:pPr>
            <w:r>
              <w:rPr>
                <w:rFonts w:cs="Arial"/>
                <w:iCs/>
                <w:sz w:val="20"/>
              </w:rPr>
              <w:t xml:space="preserve">Attachment H </w:t>
            </w:r>
            <w:r w:rsidRPr="007D05E8">
              <w:rPr>
                <w:rFonts w:cs="Arial"/>
                <w:iCs/>
                <w:sz w:val="20"/>
              </w:rPr>
              <w:t>(</w:t>
            </w:r>
            <w:r w:rsidRPr="007D05E8">
              <w:rPr>
                <w:rFonts w:cs="Arial"/>
                <w:iCs/>
                <w:sz w:val="20"/>
                <w:szCs w:val="20"/>
              </w:rPr>
              <w:t>General Conditions of the Contract for Construction, Document 00700 Construction Manager At Risk</w:t>
            </w:r>
            <w:r w:rsidRPr="007D05E8">
              <w:rPr>
                <w:rFonts w:cs="Arial"/>
                <w:iCs/>
                <w:sz w:val="20"/>
              </w:rPr>
              <w:t>)</w:t>
            </w:r>
          </w:p>
        </w:tc>
        <w:tc>
          <w:tcPr>
            <w:tcW w:w="5568" w:type="dxa"/>
          </w:tcPr>
          <w:p w:rsidR="004A0B83" w:rsidRPr="00F620FD" w:rsidRDefault="004A0B83" w:rsidP="00EE5688">
            <w:pPr>
              <w:pStyle w:val="TableBodyText"/>
              <w:rPr>
                <w:rFonts w:cs="Arial"/>
                <w:sz w:val="20"/>
                <w:szCs w:val="20"/>
              </w:rPr>
            </w:pPr>
            <w:r w:rsidRPr="00370EF1">
              <w:rPr>
                <w:rFonts w:cs="Arial"/>
                <w:iCs/>
                <w:sz w:val="20"/>
              </w:rPr>
              <w:t>Clarify 12.1.2 of Attachment H: the General Conditions of the Contract for Construction, Document 00700 Construction Manager At Risk.  Must the contractor notify AOC prior to covering up ALL work or just work identified in the Contract Documents as requiring inspection and/or testing as required by 3.13 of Attachment H: the General Conditions of the Contract for Construction, Document 007</w:t>
            </w:r>
            <w:r>
              <w:rPr>
                <w:rFonts w:cs="Arial"/>
                <w:iCs/>
                <w:sz w:val="20"/>
              </w:rPr>
              <w:t>00 Construction Manager At Risk?</w:t>
            </w:r>
            <w:r w:rsidRPr="00370EF1">
              <w:rPr>
                <w:rFonts w:cs="Arial"/>
                <w:iCs/>
                <w:sz w:val="20"/>
              </w:rPr>
              <w:t>  If the contractor must notify AOC prior to covering up all work, then advise if AOC will be providing a full-time inspection agency to observe the work in order to not delay the contractor’s performance.</w:t>
            </w:r>
            <w:r>
              <w:rPr>
                <w:rFonts w:cs="Arial"/>
                <w:iCs/>
                <w:sz w:val="20"/>
              </w:rPr>
              <w:t xml:space="preserve"> </w:t>
            </w:r>
          </w:p>
        </w:tc>
        <w:tc>
          <w:tcPr>
            <w:tcW w:w="4013" w:type="dxa"/>
            <w:shd w:val="clear" w:color="auto" w:fill="auto"/>
          </w:tcPr>
          <w:p w:rsidR="004A0B83" w:rsidRPr="00F620FD" w:rsidRDefault="002E6691" w:rsidP="00EE5688">
            <w:pPr>
              <w:rPr>
                <w:rFonts w:ascii="Verdana" w:hAnsi="Verdana" w:cs="Arial"/>
                <w:sz w:val="20"/>
              </w:rPr>
            </w:pPr>
            <w:r>
              <w:rPr>
                <w:rFonts w:ascii="Verdana" w:hAnsi="Verdana" w:cs="Arial"/>
                <w:sz w:val="20"/>
              </w:rPr>
              <w:t xml:space="preserve">Where required by code, </w:t>
            </w:r>
            <w:r w:rsidR="00D65299">
              <w:rPr>
                <w:rFonts w:ascii="Verdana" w:hAnsi="Verdana" w:cs="Arial"/>
                <w:sz w:val="20"/>
              </w:rPr>
              <w:t>specifications or these documents covering is not permitted until inspection by AOC or its consultant inspector.  Inspector will not be full time.</w:t>
            </w:r>
          </w:p>
        </w:tc>
      </w:tr>
      <w:tr w:rsidR="00EE5688" w:rsidRPr="00F620FD" w:rsidTr="00EE5688">
        <w:trPr>
          <w:cantSplit/>
        </w:trPr>
        <w:tc>
          <w:tcPr>
            <w:tcW w:w="501" w:type="dxa"/>
            <w:shd w:val="clear" w:color="auto" w:fill="EDE8CB"/>
          </w:tcPr>
          <w:p w:rsidR="00EE5688" w:rsidRPr="00F620FD" w:rsidRDefault="00EE5688" w:rsidP="008F484C">
            <w:pPr>
              <w:pStyle w:val="TableSection"/>
              <w:jc w:val="center"/>
              <w:rPr>
                <w:rFonts w:cs="Arial"/>
                <w:sz w:val="20"/>
              </w:rPr>
            </w:pPr>
            <w:r w:rsidRPr="00F620FD">
              <w:rPr>
                <w:rFonts w:cs="Arial"/>
                <w:sz w:val="20"/>
              </w:rPr>
              <w:t>2</w:t>
            </w:r>
            <w:r w:rsidR="008F484C">
              <w:rPr>
                <w:rFonts w:cs="Arial"/>
                <w:sz w:val="20"/>
              </w:rPr>
              <w:t>4</w:t>
            </w:r>
          </w:p>
        </w:tc>
        <w:tc>
          <w:tcPr>
            <w:tcW w:w="3778" w:type="dxa"/>
            <w:shd w:val="clear" w:color="auto" w:fill="auto"/>
          </w:tcPr>
          <w:p w:rsidR="00EE5688" w:rsidRPr="00F620FD" w:rsidRDefault="00EE5688" w:rsidP="00EE5688">
            <w:pPr>
              <w:pStyle w:val="TableBodyText"/>
              <w:rPr>
                <w:rFonts w:cs="Arial"/>
                <w:sz w:val="20"/>
                <w:szCs w:val="20"/>
              </w:rPr>
            </w:pPr>
            <w:r>
              <w:rPr>
                <w:rFonts w:cs="Arial"/>
                <w:sz w:val="20"/>
                <w:szCs w:val="20"/>
              </w:rPr>
              <w:t xml:space="preserve">RFQ/P, page </w:t>
            </w:r>
            <w:r w:rsidR="00C04210">
              <w:rPr>
                <w:rFonts w:cs="Arial"/>
                <w:sz w:val="20"/>
                <w:szCs w:val="20"/>
              </w:rPr>
              <w:t>8</w:t>
            </w:r>
          </w:p>
        </w:tc>
        <w:tc>
          <w:tcPr>
            <w:tcW w:w="5568" w:type="dxa"/>
          </w:tcPr>
          <w:p w:rsidR="00EE5688" w:rsidRPr="00F620FD" w:rsidRDefault="00EE5688" w:rsidP="00EE5688">
            <w:pPr>
              <w:pStyle w:val="TableBodyText"/>
              <w:rPr>
                <w:rFonts w:cs="Arial"/>
                <w:sz w:val="20"/>
                <w:szCs w:val="20"/>
              </w:rPr>
            </w:pPr>
            <w:r>
              <w:rPr>
                <w:rFonts w:cs="Arial"/>
                <w:sz w:val="20"/>
                <w:szCs w:val="20"/>
              </w:rPr>
              <w:t xml:space="preserve">When can we expect plans to be posted on the web </w:t>
            </w:r>
            <w:proofErr w:type="gramStart"/>
            <w:r>
              <w:rPr>
                <w:rFonts w:cs="Arial"/>
                <w:sz w:val="20"/>
                <w:szCs w:val="20"/>
              </w:rPr>
              <w:t>site.</w:t>
            </w:r>
            <w:proofErr w:type="gramEnd"/>
          </w:p>
        </w:tc>
        <w:tc>
          <w:tcPr>
            <w:tcW w:w="4013" w:type="dxa"/>
            <w:shd w:val="clear" w:color="auto" w:fill="auto"/>
          </w:tcPr>
          <w:p w:rsidR="00EE5688" w:rsidRPr="00207235" w:rsidRDefault="00D65299" w:rsidP="00EE5688">
            <w:pPr>
              <w:rPr>
                <w:rFonts w:ascii="Times New Roman" w:hAnsi="Times New Roman"/>
                <w:szCs w:val="22"/>
              </w:rPr>
            </w:pPr>
            <w:r w:rsidRPr="00207235">
              <w:rPr>
                <w:rFonts w:ascii="Times New Roman" w:hAnsi="Times New Roman"/>
                <w:szCs w:val="22"/>
              </w:rPr>
              <w:t>Since SD will not be completed until after proposal due date, refer to floor plans in the Hollister pre-design booklet on the AOC, FTP site.</w:t>
            </w:r>
          </w:p>
        </w:tc>
      </w:tr>
      <w:tr w:rsidR="00EE5688" w:rsidRPr="00F620FD" w:rsidTr="00EE5688">
        <w:trPr>
          <w:cantSplit/>
        </w:trPr>
        <w:tc>
          <w:tcPr>
            <w:tcW w:w="501" w:type="dxa"/>
            <w:shd w:val="clear" w:color="auto" w:fill="EDE8CB"/>
          </w:tcPr>
          <w:p w:rsidR="00EE5688" w:rsidRPr="00F620FD" w:rsidRDefault="00EE5688" w:rsidP="008F484C">
            <w:pPr>
              <w:pStyle w:val="TableSection"/>
              <w:jc w:val="center"/>
              <w:rPr>
                <w:rFonts w:cs="Arial"/>
                <w:sz w:val="20"/>
              </w:rPr>
            </w:pPr>
            <w:r w:rsidRPr="00F620FD">
              <w:rPr>
                <w:rFonts w:cs="Arial"/>
                <w:sz w:val="20"/>
              </w:rPr>
              <w:t>2</w:t>
            </w:r>
            <w:r w:rsidR="008F484C">
              <w:rPr>
                <w:rFonts w:cs="Arial"/>
                <w:sz w:val="20"/>
              </w:rPr>
              <w:t>5</w:t>
            </w:r>
          </w:p>
        </w:tc>
        <w:tc>
          <w:tcPr>
            <w:tcW w:w="3778" w:type="dxa"/>
            <w:shd w:val="clear" w:color="auto" w:fill="auto"/>
          </w:tcPr>
          <w:p w:rsidR="00EE5688" w:rsidRDefault="00EE5688" w:rsidP="00EE5688">
            <w:pPr>
              <w:pStyle w:val="TableBodyText"/>
              <w:rPr>
                <w:rFonts w:cs="Arial"/>
                <w:sz w:val="20"/>
                <w:szCs w:val="20"/>
              </w:rPr>
            </w:pPr>
            <w:r>
              <w:rPr>
                <w:rFonts w:cs="Arial"/>
                <w:sz w:val="20"/>
                <w:szCs w:val="20"/>
              </w:rPr>
              <w:t xml:space="preserve">Exhibit A of Attachment A, </w:t>
            </w:r>
          </w:p>
          <w:p w:rsidR="00EE5688" w:rsidRPr="00F620FD" w:rsidRDefault="00EE5688" w:rsidP="00EE5688">
            <w:pPr>
              <w:pStyle w:val="TableBodyText"/>
              <w:rPr>
                <w:rFonts w:cs="Arial"/>
                <w:sz w:val="20"/>
                <w:szCs w:val="20"/>
              </w:rPr>
            </w:pPr>
            <w:r>
              <w:rPr>
                <w:rFonts w:cs="Arial"/>
                <w:sz w:val="20"/>
                <w:szCs w:val="20"/>
              </w:rPr>
              <w:t>page A-18</w:t>
            </w:r>
          </w:p>
        </w:tc>
        <w:tc>
          <w:tcPr>
            <w:tcW w:w="5568" w:type="dxa"/>
          </w:tcPr>
          <w:p w:rsidR="00EE5688" w:rsidRPr="00F620FD" w:rsidRDefault="00EE5688" w:rsidP="00EE5688">
            <w:pPr>
              <w:autoSpaceDE w:val="0"/>
              <w:autoSpaceDN w:val="0"/>
              <w:adjustRightInd w:val="0"/>
              <w:spacing w:before="60" w:after="60"/>
              <w:rPr>
                <w:rFonts w:ascii="Verdana" w:hAnsi="Verdana" w:cs="Arial"/>
                <w:sz w:val="20"/>
                <w:lang w:val="en-GB"/>
              </w:rPr>
            </w:pPr>
            <w:r>
              <w:rPr>
                <w:rFonts w:ascii="Verdana" w:hAnsi="Verdana" w:cs="Arial"/>
                <w:sz w:val="20"/>
                <w:lang w:val="en-GB"/>
              </w:rPr>
              <w:t xml:space="preserve">Will you be publishing the corrected contract </w:t>
            </w:r>
            <w:proofErr w:type="gramStart"/>
            <w:r>
              <w:rPr>
                <w:rFonts w:ascii="Verdana" w:hAnsi="Verdana" w:cs="Arial"/>
                <w:sz w:val="20"/>
                <w:lang w:val="en-GB"/>
              </w:rPr>
              <w:t>duration  490</w:t>
            </w:r>
            <w:proofErr w:type="gramEnd"/>
            <w:r>
              <w:rPr>
                <w:rFonts w:ascii="Verdana" w:hAnsi="Verdana" w:cs="Arial"/>
                <w:sz w:val="20"/>
                <w:lang w:val="en-GB"/>
              </w:rPr>
              <w:t xml:space="preserve"> vs.   728  </w:t>
            </w:r>
            <w:proofErr w:type="spellStart"/>
            <w:r>
              <w:rPr>
                <w:rFonts w:ascii="Verdana" w:hAnsi="Verdana" w:cs="Arial"/>
                <w:sz w:val="20"/>
                <w:lang w:val="en-GB"/>
              </w:rPr>
              <w:t>cd’s</w:t>
            </w:r>
            <w:proofErr w:type="spellEnd"/>
            <w:r>
              <w:rPr>
                <w:rFonts w:ascii="Verdana" w:hAnsi="Verdana" w:cs="Arial"/>
                <w:sz w:val="20"/>
                <w:lang w:val="en-GB"/>
              </w:rPr>
              <w:t xml:space="preserve"> and an updated complete Contract Schedule  A-18  Exhibit A</w:t>
            </w:r>
          </w:p>
        </w:tc>
        <w:tc>
          <w:tcPr>
            <w:tcW w:w="4013" w:type="dxa"/>
            <w:shd w:val="clear" w:color="auto" w:fill="auto"/>
          </w:tcPr>
          <w:p w:rsidR="00EE5688" w:rsidRPr="00207235" w:rsidRDefault="00DB3CDE" w:rsidP="00EE5688">
            <w:pPr>
              <w:rPr>
                <w:rFonts w:ascii="Times New Roman" w:hAnsi="Times New Roman"/>
                <w:szCs w:val="22"/>
              </w:rPr>
            </w:pPr>
            <w:r w:rsidRPr="00207235">
              <w:rPr>
                <w:rFonts w:ascii="Times New Roman" w:hAnsi="Times New Roman"/>
                <w:szCs w:val="22"/>
              </w:rPr>
              <w:t>Yes</w:t>
            </w:r>
            <w:r w:rsidR="00D65299" w:rsidRPr="00207235">
              <w:rPr>
                <w:rFonts w:ascii="Times New Roman" w:hAnsi="Times New Roman"/>
                <w:szCs w:val="22"/>
              </w:rPr>
              <w:t>.</w:t>
            </w:r>
          </w:p>
        </w:tc>
      </w:tr>
      <w:tr w:rsidR="00EE5688" w:rsidRPr="00F620FD" w:rsidTr="00EE5688">
        <w:trPr>
          <w:cantSplit/>
        </w:trPr>
        <w:tc>
          <w:tcPr>
            <w:tcW w:w="501" w:type="dxa"/>
            <w:shd w:val="clear" w:color="auto" w:fill="EDE8CB"/>
          </w:tcPr>
          <w:p w:rsidR="00EE5688" w:rsidRPr="00F620FD" w:rsidRDefault="00EE5688" w:rsidP="008F484C">
            <w:pPr>
              <w:pStyle w:val="TableSection"/>
              <w:jc w:val="center"/>
              <w:rPr>
                <w:rFonts w:cs="Arial"/>
                <w:sz w:val="20"/>
              </w:rPr>
            </w:pPr>
            <w:r w:rsidRPr="00F620FD">
              <w:rPr>
                <w:rFonts w:cs="Arial"/>
                <w:sz w:val="20"/>
              </w:rPr>
              <w:t>2</w:t>
            </w:r>
            <w:r w:rsidR="008F484C">
              <w:rPr>
                <w:rFonts w:cs="Arial"/>
                <w:sz w:val="20"/>
              </w:rPr>
              <w:t>6</w:t>
            </w:r>
          </w:p>
        </w:tc>
        <w:tc>
          <w:tcPr>
            <w:tcW w:w="3778" w:type="dxa"/>
            <w:shd w:val="clear" w:color="auto" w:fill="auto"/>
          </w:tcPr>
          <w:p w:rsidR="00EE5688" w:rsidRPr="00F620FD" w:rsidRDefault="00EE5688" w:rsidP="00EE5688">
            <w:pPr>
              <w:pStyle w:val="TableBodyText"/>
              <w:rPr>
                <w:rFonts w:cs="Arial"/>
                <w:sz w:val="20"/>
                <w:szCs w:val="20"/>
              </w:rPr>
            </w:pPr>
            <w:r>
              <w:rPr>
                <w:rFonts w:cs="Arial"/>
                <w:sz w:val="20"/>
                <w:szCs w:val="20"/>
              </w:rPr>
              <w:t xml:space="preserve">RFQ/P </w:t>
            </w:r>
          </w:p>
        </w:tc>
        <w:tc>
          <w:tcPr>
            <w:tcW w:w="5568" w:type="dxa"/>
          </w:tcPr>
          <w:p w:rsidR="00EE5688" w:rsidRPr="00F620FD" w:rsidRDefault="00EE5688" w:rsidP="00EE5688">
            <w:pPr>
              <w:pStyle w:val="TableBodyText"/>
              <w:rPr>
                <w:rFonts w:cs="Arial"/>
                <w:sz w:val="20"/>
                <w:szCs w:val="20"/>
              </w:rPr>
            </w:pPr>
            <w:r>
              <w:rPr>
                <w:rFonts w:cs="Arial"/>
                <w:sz w:val="20"/>
                <w:szCs w:val="20"/>
              </w:rPr>
              <w:t>Please verify if start of construction is Feb 2011 as indicated during the call in June 24</w:t>
            </w:r>
            <w:r w:rsidRPr="005B6B07">
              <w:rPr>
                <w:rFonts w:cs="Arial"/>
                <w:sz w:val="20"/>
                <w:szCs w:val="20"/>
                <w:vertAlign w:val="superscript"/>
              </w:rPr>
              <w:t>th</w:t>
            </w:r>
            <w:r>
              <w:rPr>
                <w:rFonts w:cs="Arial"/>
                <w:sz w:val="20"/>
                <w:szCs w:val="20"/>
              </w:rPr>
              <w:t xml:space="preserve"> ’09 and not Nov 2010 as indicated in the RFQ/P documents</w:t>
            </w:r>
          </w:p>
        </w:tc>
        <w:tc>
          <w:tcPr>
            <w:tcW w:w="4013" w:type="dxa"/>
            <w:shd w:val="clear" w:color="auto" w:fill="auto"/>
          </w:tcPr>
          <w:p w:rsidR="00EE5688" w:rsidRPr="00207235" w:rsidRDefault="00207235" w:rsidP="00EE5688">
            <w:pPr>
              <w:autoSpaceDE w:val="0"/>
              <w:autoSpaceDN w:val="0"/>
              <w:adjustRightInd w:val="0"/>
              <w:rPr>
                <w:rFonts w:ascii="Times New Roman" w:hAnsi="Times New Roman"/>
                <w:szCs w:val="22"/>
              </w:rPr>
            </w:pPr>
            <w:r w:rsidRPr="00207235">
              <w:rPr>
                <w:rFonts w:ascii="Times New Roman" w:hAnsi="Times New Roman"/>
                <w:szCs w:val="22"/>
              </w:rPr>
              <w:t>Per RFQ/P, Section 3.0, page 4 of 22, Construction Phase starts July 2010</w:t>
            </w:r>
          </w:p>
        </w:tc>
      </w:tr>
      <w:tr w:rsidR="00EE5688" w:rsidRPr="00F620FD" w:rsidTr="00EE5688">
        <w:trPr>
          <w:cantSplit/>
        </w:trPr>
        <w:tc>
          <w:tcPr>
            <w:tcW w:w="501" w:type="dxa"/>
            <w:shd w:val="clear" w:color="auto" w:fill="EDE8CB"/>
          </w:tcPr>
          <w:p w:rsidR="00EE5688" w:rsidRPr="00F620FD" w:rsidRDefault="00EE5688" w:rsidP="008F484C">
            <w:pPr>
              <w:pStyle w:val="TableSection"/>
              <w:jc w:val="center"/>
              <w:rPr>
                <w:rFonts w:cs="Arial"/>
                <w:sz w:val="20"/>
              </w:rPr>
            </w:pPr>
            <w:r w:rsidRPr="00F620FD">
              <w:rPr>
                <w:rFonts w:cs="Arial"/>
                <w:sz w:val="20"/>
              </w:rPr>
              <w:t>2</w:t>
            </w:r>
            <w:r w:rsidR="008F484C">
              <w:rPr>
                <w:rFonts w:cs="Arial"/>
                <w:sz w:val="20"/>
              </w:rPr>
              <w:t>7</w:t>
            </w:r>
          </w:p>
        </w:tc>
        <w:tc>
          <w:tcPr>
            <w:tcW w:w="3778" w:type="dxa"/>
            <w:shd w:val="clear" w:color="auto" w:fill="auto"/>
          </w:tcPr>
          <w:p w:rsidR="00EE5688" w:rsidRPr="00F620FD" w:rsidRDefault="00EE5688" w:rsidP="00EE5688">
            <w:pPr>
              <w:pStyle w:val="TableBodyText"/>
              <w:rPr>
                <w:rFonts w:cs="Arial"/>
                <w:sz w:val="20"/>
                <w:szCs w:val="20"/>
              </w:rPr>
            </w:pPr>
          </w:p>
        </w:tc>
        <w:tc>
          <w:tcPr>
            <w:tcW w:w="5568" w:type="dxa"/>
          </w:tcPr>
          <w:p w:rsidR="00EE5688" w:rsidRPr="00F620FD" w:rsidRDefault="00EE5688" w:rsidP="00EE5688">
            <w:pPr>
              <w:pStyle w:val="TableBodyText"/>
              <w:rPr>
                <w:rFonts w:cs="Arial"/>
                <w:sz w:val="20"/>
                <w:szCs w:val="20"/>
              </w:rPr>
            </w:pPr>
            <w:r>
              <w:rPr>
                <w:rFonts w:cs="Arial"/>
                <w:sz w:val="20"/>
                <w:szCs w:val="20"/>
              </w:rPr>
              <w:t>If we choose to utilize the services of a subcont</w:t>
            </w:r>
            <w:r w:rsidR="00D557D1">
              <w:rPr>
                <w:rFonts w:cs="Arial"/>
                <w:sz w:val="20"/>
                <w:szCs w:val="20"/>
              </w:rPr>
              <w:t>ractor to provide Peer Review,(</w:t>
            </w:r>
            <w:proofErr w:type="spellStart"/>
            <w:r>
              <w:rPr>
                <w:rFonts w:cs="Arial"/>
                <w:sz w:val="20"/>
                <w:szCs w:val="20"/>
              </w:rPr>
              <w:t>ie</w:t>
            </w:r>
            <w:proofErr w:type="spellEnd"/>
            <w:r>
              <w:rPr>
                <w:rFonts w:cs="Arial"/>
                <w:sz w:val="20"/>
                <w:szCs w:val="20"/>
              </w:rPr>
              <w:t xml:space="preserve">., a Mechanical Contractor who possess a Calif. PE license) are they precluded in </w:t>
            </w:r>
            <w:proofErr w:type="spellStart"/>
            <w:r>
              <w:rPr>
                <w:rFonts w:cs="Arial"/>
                <w:sz w:val="20"/>
                <w:szCs w:val="20"/>
              </w:rPr>
              <w:t>anyway</w:t>
            </w:r>
            <w:proofErr w:type="spellEnd"/>
            <w:r>
              <w:rPr>
                <w:rFonts w:cs="Arial"/>
                <w:sz w:val="20"/>
                <w:szCs w:val="20"/>
              </w:rPr>
              <w:t xml:space="preserve"> from competing for the actual work itself?</w:t>
            </w:r>
          </w:p>
        </w:tc>
        <w:tc>
          <w:tcPr>
            <w:tcW w:w="4013" w:type="dxa"/>
            <w:shd w:val="clear" w:color="auto" w:fill="auto"/>
          </w:tcPr>
          <w:p w:rsidR="00EE5688" w:rsidRPr="00207235" w:rsidRDefault="009B5F3C" w:rsidP="00EE5688">
            <w:pPr>
              <w:autoSpaceDE w:val="0"/>
              <w:autoSpaceDN w:val="0"/>
              <w:adjustRightInd w:val="0"/>
              <w:rPr>
                <w:rFonts w:ascii="Times New Roman" w:hAnsi="Times New Roman"/>
                <w:szCs w:val="22"/>
              </w:rPr>
            </w:pPr>
            <w:r w:rsidRPr="00207235">
              <w:rPr>
                <w:rFonts w:ascii="Times New Roman" w:hAnsi="Times New Roman"/>
                <w:szCs w:val="22"/>
              </w:rPr>
              <w:t>Participants of Peer Review should not compete for the actual work.</w:t>
            </w:r>
          </w:p>
        </w:tc>
      </w:tr>
      <w:tr w:rsidR="00EE5688" w:rsidRPr="00F620FD" w:rsidTr="00EE5688">
        <w:trPr>
          <w:cantSplit/>
        </w:trPr>
        <w:tc>
          <w:tcPr>
            <w:tcW w:w="501" w:type="dxa"/>
            <w:shd w:val="clear" w:color="auto" w:fill="EDE8CB"/>
          </w:tcPr>
          <w:p w:rsidR="00EE5688" w:rsidRPr="00F620FD" w:rsidRDefault="008F484C" w:rsidP="00EE5688">
            <w:pPr>
              <w:pStyle w:val="TableSection"/>
              <w:jc w:val="center"/>
              <w:rPr>
                <w:rFonts w:cs="Arial"/>
                <w:sz w:val="20"/>
              </w:rPr>
            </w:pPr>
            <w:r>
              <w:rPr>
                <w:rFonts w:cs="Arial"/>
                <w:sz w:val="20"/>
              </w:rPr>
              <w:lastRenderedPageBreak/>
              <w:t>28</w:t>
            </w:r>
          </w:p>
        </w:tc>
        <w:tc>
          <w:tcPr>
            <w:tcW w:w="3778" w:type="dxa"/>
            <w:shd w:val="clear" w:color="auto" w:fill="auto"/>
          </w:tcPr>
          <w:p w:rsidR="00EE5688" w:rsidRPr="00F620FD" w:rsidRDefault="00EE5688" w:rsidP="00EE5688">
            <w:pPr>
              <w:pStyle w:val="TableBodyText"/>
              <w:rPr>
                <w:rFonts w:cs="Arial"/>
                <w:sz w:val="20"/>
                <w:szCs w:val="20"/>
              </w:rPr>
            </w:pPr>
            <w:r>
              <w:rPr>
                <w:rFonts w:cs="Arial"/>
                <w:sz w:val="20"/>
                <w:lang w:val="en-GB"/>
              </w:rPr>
              <w:t>Exhibit B of Attachment A; item 1 Contract Amount, par B.1.(ii)</w:t>
            </w:r>
          </w:p>
        </w:tc>
        <w:tc>
          <w:tcPr>
            <w:tcW w:w="5568" w:type="dxa"/>
          </w:tcPr>
          <w:p w:rsidR="00EE5688" w:rsidRPr="00F620FD" w:rsidRDefault="00EE5688" w:rsidP="00EE5688">
            <w:pPr>
              <w:autoSpaceDE w:val="0"/>
              <w:autoSpaceDN w:val="0"/>
              <w:adjustRightInd w:val="0"/>
              <w:spacing w:before="60" w:after="60"/>
              <w:rPr>
                <w:rFonts w:ascii="Verdana" w:hAnsi="Verdana" w:cs="Arial"/>
                <w:sz w:val="20"/>
                <w:lang w:val="en-GB"/>
              </w:rPr>
            </w:pPr>
            <w:r>
              <w:rPr>
                <w:rFonts w:ascii="Verdana" w:hAnsi="Verdana" w:cs="Arial"/>
                <w:sz w:val="20"/>
                <w:lang w:val="en-GB"/>
              </w:rPr>
              <w:t xml:space="preserve">General Conditions are based on several factors, duration, purported budget, complexity of project, location, etc.   Given economies of scale, if there is </w:t>
            </w:r>
            <w:proofErr w:type="gramStart"/>
            <w:r>
              <w:rPr>
                <w:rFonts w:ascii="Verdana" w:hAnsi="Verdana" w:cs="Arial"/>
                <w:sz w:val="20"/>
                <w:lang w:val="en-GB"/>
              </w:rPr>
              <w:t>a dramatic reduction in either budget or duration how are</w:t>
            </w:r>
            <w:proofErr w:type="gramEnd"/>
            <w:r>
              <w:rPr>
                <w:rFonts w:ascii="Verdana" w:hAnsi="Verdana" w:cs="Arial"/>
                <w:sz w:val="20"/>
                <w:lang w:val="en-GB"/>
              </w:rPr>
              <w:t xml:space="preserve"> the G C’s going to be dealt with equitably?  See Exhibit B of Attachment A; item 1 Contract Amount, par B.1.(ii)</w:t>
            </w:r>
          </w:p>
        </w:tc>
        <w:tc>
          <w:tcPr>
            <w:tcW w:w="4013" w:type="dxa"/>
            <w:shd w:val="clear" w:color="auto" w:fill="auto"/>
          </w:tcPr>
          <w:p w:rsidR="00EE5688" w:rsidRPr="00F620FD" w:rsidRDefault="00EC1E17" w:rsidP="00EE5688">
            <w:pPr>
              <w:autoSpaceDE w:val="0"/>
              <w:autoSpaceDN w:val="0"/>
              <w:adjustRightInd w:val="0"/>
              <w:rPr>
                <w:rFonts w:ascii="Verdana" w:hAnsi="Verdana" w:cs="Arial"/>
                <w:sz w:val="20"/>
              </w:rPr>
            </w:pPr>
            <w:r>
              <w:rPr>
                <w:rFonts w:ascii="Verdana" w:hAnsi="Verdana" w:cs="Arial"/>
                <w:sz w:val="20"/>
              </w:rPr>
              <w:t>In either case equitable adjustments may apply.</w:t>
            </w:r>
          </w:p>
        </w:tc>
      </w:tr>
      <w:tr w:rsidR="0071479C" w:rsidRPr="00F620FD" w:rsidTr="00EE5688">
        <w:trPr>
          <w:cantSplit/>
        </w:trPr>
        <w:tc>
          <w:tcPr>
            <w:tcW w:w="501" w:type="dxa"/>
            <w:shd w:val="clear" w:color="auto" w:fill="EDE8CB"/>
          </w:tcPr>
          <w:p w:rsidR="0071479C" w:rsidRPr="00F620FD" w:rsidRDefault="008F484C" w:rsidP="00EE5688">
            <w:pPr>
              <w:pStyle w:val="TableSection"/>
              <w:jc w:val="center"/>
              <w:rPr>
                <w:rFonts w:cs="Arial"/>
                <w:sz w:val="20"/>
              </w:rPr>
            </w:pPr>
            <w:r>
              <w:rPr>
                <w:rFonts w:cs="Arial"/>
                <w:sz w:val="20"/>
              </w:rPr>
              <w:t>29</w:t>
            </w:r>
          </w:p>
        </w:tc>
        <w:tc>
          <w:tcPr>
            <w:tcW w:w="3778" w:type="dxa"/>
            <w:shd w:val="clear" w:color="auto" w:fill="auto"/>
          </w:tcPr>
          <w:p w:rsidR="0071479C" w:rsidRDefault="0071479C">
            <w:pPr>
              <w:pStyle w:val="TableBodyText"/>
              <w:rPr>
                <w:rFonts w:cs="Arial"/>
                <w:sz w:val="20"/>
                <w:szCs w:val="20"/>
              </w:rPr>
            </w:pPr>
            <w:r>
              <w:rPr>
                <w:rFonts w:cs="Arial"/>
                <w:iCs/>
                <w:sz w:val="20"/>
              </w:rPr>
              <w:t>Exhibit C of Attachment A (General Terms and Conditions); Attachment H (</w:t>
            </w:r>
            <w:r>
              <w:rPr>
                <w:rFonts w:cs="Arial"/>
                <w:iCs/>
                <w:sz w:val="20"/>
                <w:szCs w:val="20"/>
              </w:rPr>
              <w:t>General Conditions of the Contract for Construction, Document 00700 Construction Manager At Risk</w:t>
            </w:r>
            <w:r>
              <w:rPr>
                <w:rFonts w:cs="Arial"/>
                <w:iCs/>
                <w:sz w:val="20"/>
              </w:rPr>
              <w:t>)</w:t>
            </w:r>
          </w:p>
        </w:tc>
        <w:tc>
          <w:tcPr>
            <w:tcW w:w="5568" w:type="dxa"/>
          </w:tcPr>
          <w:p w:rsidR="0071479C" w:rsidRDefault="0071479C">
            <w:pPr>
              <w:pStyle w:val="TableBodyText"/>
              <w:rPr>
                <w:rFonts w:cs="Arial"/>
                <w:sz w:val="20"/>
                <w:szCs w:val="20"/>
              </w:rPr>
            </w:pPr>
            <w:r>
              <w:rPr>
                <w:rFonts w:cs="Arial"/>
                <w:iCs/>
                <w:sz w:val="20"/>
              </w:rPr>
              <w:t>Item .11B.1 of Exhibit C, General Terms and Conditions and Item 11.1.2.1 of Attachment H: the General Conditions of the Contract for Construction, Document 00700 Construction Manager At Risk state that Contractor’s Commercial General Liability policy shall include coverage for liabilities arising from professional services provided in connection with the Services. Can this requirement be met with a separate Professional Liability policy?</w:t>
            </w:r>
          </w:p>
        </w:tc>
        <w:tc>
          <w:tcPr>
            <w:tcW w:w="4013" w:type="dxa"/>
            <w:shd w:val="clear" w:color="auto" w:fill="auto"/>
          </w:tcPr>
          <w:p w:rsidR="0071479C" w:rsidRPr="00F620FD" w:rsidRDefault="00EC1E17" w:rsidP="00EE5688">
            <w:pPr>
              <w:autoSpaceDE w:val="0"/>
              <w:autoSpaceDN w:val="0"/>
              <w:adjustRightInd w:val="0"/>
              <w:rPr>
                <w:rFonts w:ascii="Verdana" w:hAnsi="Verdana" w:cs="Arial"/>
                <w:sz w:val="20"/>
              </w:rPr>
            </w:pPr>
            <w:r>
              <w:rPr>
                <w:rFonts w:ascii="Verdana" w:hAnsi="Verdana" w:cs="Arial"/>
                <w:sz w:val="20"/>
              </w:rPr>
              <w:t>Yes, a separate professional liability insurance policy is one acceptable</w:t>
            </w:r>
            <w:r w:rsidR="00BB17AB">
              <w:rPr>
                <w:rFonts w:ascii="Verdana" w:hAnsi="Verdana" w:cs="Arial"/>
                <w:sz w:val="20"/>
              </w:rPr>
              <w:t xml:space="preserve"> means to comply with this requ</w:t>
            </w:r>
            <w:r>
              <w:rPr>
                <w:rFonts w:ascii="Verdana" w:hAnsi="Verdana" w:cs="Arial"/>
                <w:sz w:val="20"/>
              </w:rPr>
              <w:t>irement.</w:t>
            </w:r>
          </w:p>
        </w:tc>
      </w:tr>
      <w:tr w:rsidR="0071479C" w:rsidRPr="00F620FD" w:rsidTr="00EE5688">
        <w:trPr>
          <w:cantSplit/>
        </w:trPr>
        <w:tc>
          <w:tcPr>
            <w:tcW w:w="501" w:type="dxa"/>
            <w:shd w:val="clear" w:color="auto" w:fill="EDE8CB"/>
          </w:tcPr>
          <w:p w:rsidR="0071479C" w:rsidRPr="00F620FD" w:rsidRDefault="00C04210" w:rsidP="008F484C">
            <w:pPr>
              <w:pStyle w:val="TableSection"/>
              <w:jc w:val="center"/>
              <w:rPr>
                <w:rFonts w:cs="Arial"/>
                <w:sz w:val="20"/>
              </w:rPr>
            </w:pPr>
            <w:r>
              <w:rPr>
                <w:rFonts w:cs="Arial"/>
                <w:sz w:val="20"/>
              </w:rPr>
              <w:t>3</w:t>
            </w:r>
            <w:r w:rsidR="008F484C">
              <w:rPr>
                <w:rFonts w:cs="Arial"/>
                <w:sz w:val="20"/>
              </w:rPr>
              <w:t>0</w:t>
            </w:r>
          </w:p>
        </w:tc>
        <w:tc>
          <w:tcPr>
            <w:tcW w:w="3778" w:type="dxa"/>
            <w:shd w:val="clear" w:color="auto" w:fill="auto"/>
          </w:tcPr>
          <w:p w:rsidR="0071479C" w:rsidRDefault="0071479C">
            <w:pPr>
              <w:autoSpaceDE w:val="0"/>
              <w:autoSpaceDN w:val="0"/>
              <w:adjustRightInd w:val="0"/>
              <w:spacing w:before="60" w:after="60"/>
              <w:rPr>
                <w:rFonts w:ascii="Verdana" w:hAnsi="Verdana" w:cs="Arial"/>
                <w:color w:val="000000"/>
                <w:sz w:val="20"/>
                <w:lang w:val="en-GB"/>
              </w:rPr>
            </w:pPr>
            <w:r>
              <w:rPr>
                <w:rFonts w:ascii="Verdana" w:hAnsi="Verdana" w:cs="Arial"/>
                <w:iCs/>
                <w:sz w:val="20"/>
              </w:rPr>
              <w:t>Exhibit C of Attachment A (General Terms and Conditions)</w:t>
            </w:r>
          </w:p>
        </w:tc>
        <w:tc>
          <w:tcPr>
            <w:tcW w:w="5568" w:type="dxa"/>
          </w:tcPr>
          <w:p w:rsidR="0071479C" w:rsidRDefault="0071479C">
            <w:pPr>
              <w:autoSpaceDE w:val="0"/>
              <w:autoSpaceDN w:val="0"/>
              <w:adjustRightInd w:val="0"/>
              <w:spacing w:before="60" w:after="60"/>
              <w:rPr>
                <w:rFonts w:ascii="Verdana" w:hAnsi="Verdana" w:cs="Arial"/>
                <w:sz w:val="20"/>
                <w:lang w:val="en-GB"/>
              </w:rPr>
            </w:pPr>
            <w:r>
              <w:rPr>
                <w:rFonts w:ascii="Verdana" w:hAnsi="Verdana" w:cs="Arial"/>
                <w:iCs/>
                <w:sz w:val="20"/>
              </w:rPr>
              <w:t xml:space="preserve">Follow up to previous question # 7: IF the provision in the last sentence of item .11B.1 of Exhibit C, General Terms and Conditions is not intended to apply as project-dedicated limits, is it </w:t>
            </w:r>
            <w:r>
              <w:rPr>
                <w:rFonts w:ascii="Verdana" w:hAnsi="Verdana"/>
                <w:sz w:val="20"/>
              </w:rPr>
              <w:t xml:space="preserve">intended to be “…This insurance shall apply separately to each </w:t>
            </w:r>
            <w:r>
              <w:rPr>
                <w:rFonts w:ascii="Verdana" w:hAnsi="Verdana"/>
                <w:i/>
                <w:sz w:val="20"/>
              </w:rPr>
              <w:t>named</w:t>
            </w:r>
            <w:r>
              <w:rPr>
                <w:rFonts w:ascii="Verdana" w:hAnsi="Verdana"/>
                <w:sz w:val="20"/>
              </w:rPr>
              <w:t xml:space="preserve"> insured against…"?</w:t>
            </w:r>
          </w:p>
        </w:tc>
        <w:tc>
          <w:tcPr>
            <w:tcW w:w="4013" w:type="dxa"/>
            <w:shd w:val="clear" w:color="auto" w:fill="auto"/>
          </w:tcPr>
          <w:p w:rsidR="0071479C" w:rsidRPr="00F620FD" w:rsidRDefault="00EC1E17" w:rsidP="00EE5688">
            <w:pPr>
              <w:autoSpaceDE w:val="0"/>
              <w:autoSpaceDN w:val="0"/>
              <w:adjustRightInd w:val="0"/>
              <w:rPr>
                <w:rFonts w:ascii="Verdana" w:hAnsi="Verdana" w:cs="Arial"/>
                <w:sz w:val="20"/>
              </w:rPr>
            </w:pPr>
            <w:r>
              <w:rPr>
                <w:rFonts w:ascii="Verdana" w:hAnsi="Verdana" w:cs="Arial"/>
                <w:sz w:val="20"/>
              </w:rPr>
              <w:t>No, the separation of insurance condition of the commercial general liability insurance policy provides for the insurance to apply separately to each insured.</w:t>
            </w:r>
          </w:p>
        </w:tc>
      </w:tr>
      <w:tr w:rsidR="0071479C" w:rsidRPr="00F620FD" w:rsidTr="00EE5688">
        <w:trPr>
          <w:cantSplit/>
        </w:trPr>
        <w:tc>
          <w:tcPr>
            <w:tcW w:w="501" w:type="dxa"/>
            <w:shd w:val="clear" w:color="auto" w:fill="EDE8CB"/>
          </w:tcPr>
          <w:p w:rsidR="0071479C" w:rsidRPr="00F620FD" w:rsidRDefault="00C04210" w:rsidP="008F484C">
            <w:pPr>
              <w:pStyle w:val="TableSection"/>
              <w:jc w:val="center"/>
              <w:rPr>
                <w:rFonts w:cs="Arial"/>
                <w:sz w:val="20"/>
              </w:rPr>
            </w:pPr>
            <w:r>
              <w:rPr>
                <w:rFonts w:cs="Arial"/>
                <w:sz w:val="20"/>
              </w:rPr>
              <w:t>3</w:t>
            </w:r>
            <w:r w:rsidR="008F484C">
              <w:rPr>
                <w:rFonts w:cs="Arial"/>
                <w:sz w:val="20"/>
              </w:rPr>
              <w:t>1</w:t>
            </w:r>
          </w:p>
        </w:tc>
        <w:tc>
          <w:tcPr>
            <w:tcW w:w="3778" w:type="dxa"/>
            <w:shd w:val="clear" w:color="auto" w:fill="auto"/>
          </w:tcPr>
          <w:p w:rsidR="0071479C" w:rsidRDefault="0071479C">
            <w:pPr>
              <w:pStyle w:val="TableBodyText"/>
              <w:rPr>
                <w:rFonts w:cs="Arial"/>
                <w:sz w:val="20"/>
                <w:szCs w:val="20"/>
              </w:rPr>
            </w:pPr>
            <w:r>
              <w:rPr>
                <w:rFonts w:cs="Arial"/>
                <w:iCs/>
                <w:sz w:val="20"/>
              </w:rPr>
              <w:t>Attachment H (</w:t>
            </w:r>
            <w:r>
              <w:rPr>
                <w:rFonts w:cs="Arial"/>
                <w:iCs/>
                <w:sz w:val="20"/>
                <w:szCs w:val="20"/>
              </w:rPr>
              <w:t>General Conditions of the Contract for Construction, Document 00700 Construction Manager At Risk</w:t>
            </w:r>
            <w:r>
              <w:rPr>
                <w:rFonts w:cs="Arial"/>
                <w:iCs/>
                <w:sz w:val="20"/>
              </w:rPr>
              <w:t>)</w:t>
            </w:r>
          </w:p>
        </w:tc>
        <w:tc>
          <w:tcPr>
            <w:tcW w:w="5568" w:type="dxa"/>
          </w:tcPr>
          <w:p w:rsidR="0071479C" w:rsidRDefault="0071479C">
            <w:pPr>
              <w:pStyle w:val="TableBodyText"/>
              <w:rPr>
                <w:rFonts w:cs="Arial"/>
                <w:sz w:val="20"/>
                <w:szCs w:val="20"/>
              </w:rPr>
            </w:pPr>
            <w:r>
              <w:rPr>
                <w:rFonts w:cs="Arial"/>
                <w:sz w:val="20"/>
                <w:szCs w:val="20"/>
              </w:rPr>
              <w:t>Item 11.3.1 requires the Contractor to provide 100% Performance and Payment bonds for this project. Is a Bid Bond required to be submitted with the proposal?</w:t>
            </w:r>
          </w:p>
        </w:tc>
        <w:tc>
          <w:tcPr>
            <w:tcW w:w="4013" w:type="dxa"/>
            <w:shd w:val="clear" w:color="auto" w:fill="auto"/>
          </w:tcPr>
          <w:p w:rsidR="0071479C" w:rsidRPr="00F620FD" w:rsidRDefault="004C069B" w:rsidP="00EE5688">
            <w:pPr>
              <w:autoSpaceDE w:val="0"/>
              <w:autoSpaceDN w:val="0"/>
              <w:adjustRightInd w:val="0"/>
              <w:rPr>
                <w:rFonts w:ascii="Verdana" w:hAnsi="Verdana" w:cs="Arial"/>
                <w:sz w:val="20"/>
              </w:rPr>
            </w:pPr>
            <w:r>
              <w:rPr>
                <w:rFonts w:ascii="Verdana" w:hAnsi="Verdana" w:cs="Arial"/>
                <w:sz w:val="20"/>
              </w:rPr>
              <w:t>No</w:t>
            </w:r>
            <w:r w:rsidR="00CA5894">
              <w:rPr>
                <w:rFonts w:ascii="Verdana" w:hAnsi="Verdana" w:cs="Arial"/>
                <w:sz w:val="20"/>
              </w:rPr>
              <w:t>.</w:t>
            </w:r>
          </w:p>
        </w:tc>
      </w:tr>
      <w:tr w:rsidR="008B6674" w:rsidRPr="00F620FD" w:rsidTr="00EE5688">
        <w:trPr>
          <w:cantSplit/>
        </w:trPr>
        <w:tc>
          <w:tcPr>
            <w:tcW w:w="501" w:type="dxa"/>
            <w:shd w:val="clear" w:color="auto" w:fill="EDE8CB"/>
          </w:tcPr>
          <w:p w:rsidR="008B6674" w:rsidRPr="00F620FD" w:rsidRDefault="004C069B" w:rsidP="008F484C">
            <w:pPr>
              <w:pStyle w:val="TableSection"/>
              <w:jc w:val="center"/>
              <w:rPr>
                <w:rFonts w:cs="Arial"/>
                <w:sz w:val="20"/>
              </w:rPr>
            </w:pPr>
            <w:r>
              <w:rPr>
                <w:rFonts w:cs="Arial"/>
                <w:sz w:val="20"/>
              </w:rPr>
              <w:lastRenderedPageBreak/>
              <w:t>3</w:t>
            </w:r>
            <w:r w:rsidR="00BB17AB">
              <w:rPr>
                <w:rFonts w:cs="Arial"/>
                <w:sz w:val="20"/>
              </w:rPr>
              <w:t>2</w:t>
            </w:r>
          </w:p>
        </w:tc>
        <w:tc>
          <w:tcPr>
            <w:tcW w:w="3778" w:type="dxa"/>
            <w:shd w:val="clear" w:color="auto" w:fill="auto"/>
          </w:tcPr>
          <w:p w:rsidR="008B6674" w:rsidRPr="00F620FD" w:rsidRDefault="008B6674" w:rsidP="00EE2EA9">
            <w:pPr>
              <w:pStyle w:val="TableBullet"/>
              <w:numPr>
                <w:ilvl w:val="0"/>
                <w:numId w:val="0"/>
              </w:numPr>
              <w:ind w:left="162"/>
              <w:rPr>
                <w:rFonts w:cs="Arial"/>
                <w:sz w:val="20"/>
              </w:rPr>
            </w:pPr>
            <w:r>
              <w:rPr>
                <w:rFonts w:cs="Arial"/>
                <w:sz w:val="20"/>
              </w:rPr>
              <w:t>Attachment C/Misc. Costs/Item 1</w:t>
            </w:r>
          </w:p>
        </w:tc>
        <w:tc>
          <w:tcPr>
            <w:tcW w:w="5568" w:type="dxa"/>
          </w:tcPr>
          <w:p w:rsidR="008B6674" w:rsidRPr="00F620FD" w:rsidRDefault="008B6674" w:rsidP="00EE2EA9">
            <w:pPr>
              <w:pStyle w:val="TableBodyText"/>
              <w:rPr>
                <w:rFonts w:cs="Arial"/>
                <w:sz w:val="20"/>
                <w:szCs w:val="20"/>
              </w:rPr>
            </w:pPr>
            <w:r>
              <w:rPr>
                <w:rFonts w:cs="Arial"/>
                <w:sz w:val="20"/>
                <w:szCs w:val="20"/>
              </w:rPr>
              <w:t>Where are the requirements for insurance and Builder’s Risk defined?  What coverage should Builders Risk policy include?  Is earthquake coverage required?  What are deductibles and who is responsible to pay deductibles?</w:t>
            </w:r>
          </w:p>
        </w:tc>
        <w:tc>
          <w:tcPr>
            <w:tcW w:w="4013" w:type="dxa"/>
            <w:shd w:val="clear" w:color="auto" w:fill="auto"/>
          </w:tcPr>
          <w:p w:rsidR="008B6674" w:rsidRPr="00F620FD" w:rsidRDefault="00DB3CDE" w:rsidP="00EE5688">
            <w:pPr>
              <w:autoSpaceDE w:val="0"/>
              <w:autoSpaceDN w:val="0"/>
              <w:adjustRightInd w:val="0"/>
              <w:rPr>
                <w:rFonts w:ascii="Verdana" w:hAnsi="Verdana" w:cs="Arial"/>
                <w:sz w:val="20"/>
              </w:rPr>
            </w:pPr>
            <w:r>
              <w:rPr>
                <w:rFonts w:ascii="Verdana" w:hAnsi="Verdana" w:cs="Arial"/>
                <w:sz w:val="20"/>
              </w:rPr>
              <w:t>The requirement for Builder’s Risk insurance are found in Exhibit H, General Conditions of the Contract for Construction (Document 00700) Article 11.1.2 or if provided by the AOC, Article 11.2.2.</w:t>
            </w:r>
          </w:p>
        </w:tc>
      </w:tr>
      <w:tr w:rsidR="008B6674" w:rsidRPr="00F620FD" w:rsidTr="00EE5688">
        <w:trPr>
          <w:cantSplit/>
        </w:trPr>
        <w:tc>
          <w:tcPr>
            <w:tcW w:w="501" w:type="dxa"/>
            <w:shd w:val="clear" w:color="auto" w:fill="EDE8CB"/>
          </w:tcPr>
          <w:p w:rsidR="008B6674" w:rsidRPr="00F620FD" w:rsidRDefault="004C069B" w:rsidP="008F484C">
            <w:pPr>
              <w:pStyle w:val="TableSection"/>
              <w:jc w:val="center"/>
              <w:rPr>
                <w:rFonts w:cs="Arial"/>
                <w:sz w:val="20"/>
              </w:rPr>
            </w:pPr>
            <w:r>
              <w:rPr>
                <w:rFonts w:cs="Arial"/>
                <w:sz w:val="20"/>
              </w:rPr>
              <w:t>3</w:t>
            </w:r>
            <w:r w:rsidR="00BB17AB">
              <w:rPr>
                <w:rFonts w:cs="Arial"/>
                <w:sz w:val="20"/>
              </w:rPr>
              <w:t>3</w:t>
            </w:r>
          </w:p>
        </w:tc>
        <w:tc>
          <w:tcPr>
            <w:tcW w:w="3778" w:type="dxa"/>
            <w:shd w:val="clear" w:color="auto" w:fill="auto"/>
          </w:tcPr>
          <w:p w:rsidR="008B6674" w:rsidRPr="00F620FD" w:rsidRDefault="008B6674" w:rsidP="00EE2EA9">
            <w:pPr>
              <w:pStyle w:val="TableBullet"/>
              <w:numPr>
                <w:ilvl w:val="0"/>
                <w:numId w:val="0"/>
              </w:numPr>
              <w:ind w:left="162"/>
              <w:rPr>
                <w:rFonts w:cs="Arial"/>
                <w:sz w:val="20"/>
              </w:rPr>
            </w:pPr>
            <w:r>
              <w:rPr>
                <w:rFonts w:cs="Arial"/>
                <w:sz w:val="20"/>
              </w:rPr>
              <w:t>Attachment C/Temporary Utilities/Item 14</w:t>
            </w:r>
          </w:p>
        </w:tc>
        <w:tc>
          <w:tcPr>
            <w:tcW w:w="5568" w:type="dxa"/>
          </w:tcPr>
          <w:p w:rsidR="008B6674" w:rsidRPr="00F620FD" w:rsidRDefault="008B6674" w:rsidP="00EE2EA9">
            <w:pPr>
              <w:pStyle w:val="TableBodyText"/>
              <w:rPr>
                <w:rFonts w:cs="Arial"/>
                <w:sz w:val="20"/>
                <w:szCs w:val="20"/>
              </w:rPr>
            </w:pPr>
            <w:r>
              <w:rPr>
                <w:rFonts w:cs="Arial"/>
                <w:sz w:val="20"/>
                <w:szCs w:val="20"/>
              </w:rPr>
              <w:t>What are the requirements for trash recycling that are to be included in Construction Services fee?  Is this intended to include LEED MR Credits 2.1 and/or 2.2?</w:t>
            </w:r>
          </w:p>
        </w:tc>
        <w:tc>
          <w:tcPr>
            <w:tcW w:w="4013" w:type="dxa"/>
            <w:shd w:val="clear" w:color="auto" w:fill="auto"/>
          </w:tcPr>
          <w:p w:rsidR="008B6674" w:rsidRPr="00F620FD" w:rsidRDefault="00EC1E17" w:rsidP="00EE5688">
            <w:pPr>
              <w:autoSpaceDE w:val="0"/>
              <w:autoSpaceDN w:val="0"/>
              <w:adjustRightInd w:val="0"/>
              <w:rPr>
                <w:rFonts w:ascii="Verdana" w:hAnsi="Verdana" w:cs="Arial"/>
                <w:sz w:val="20"/>
              </w:rPr>
            </w:pPr>
            <w:r>
              <w:rPr>
                <w:rFonts w:ascii="Verdana" w:hAnsi="Verdana" w:cs="Arial"/>
                <w:sz w:val="20"/>
              </w:rPr>
              <w:t>Yes</w:t>
            </w:r>
            <w:r w:rsidR="00207235">
              <w:rPr>
                <w:rFonts w:ascii="Verdana" w:hAnsi="Verdana" w:cs="Arial"/>
                <w:sz w:val="20"/>
              </w:rPr>
              <w:t>, recycling is part of LEED.</w:t>
            </w:r>
          </w:p>
        </w:tc>
      </w:tr>
      <w:tr w:rsidR="008B6674" w:rsidRPr="00F620FD" w:rsidTr="00EE5688">
        <w:trPr>
          <w:cantSplit/>
        </w:trPr>
        <w:tc>
          <w:tcPr>
            <w:tcW w:w="501" w:type="dxa"/>
            <w:shd w:val="clear" w:color="auto" w:fill="EDE8CB"/>
          </w:tcPr>
          <w:p w:rsidR="008B6674" w:rsidRPr="00F620FD" w:rsidRDefault="004C069B" w:rsidP="008F484C">
            <w:pPr>
              <w:pStyle w:val="TableSection"/>
              <w:jc w:val="center"/>
              <w:rPr>
                <w:rFonts w:cs="Arial"/>
                <w:sz w:val="20"/>
              </w:rPr>
            </w:pPr>
            <w:r>
              <w:rPr>
                <w:rFonts w:cs="Arial"/>
                <w:sz w:val="20"/>
              </w:rPr>
              <w:t>3</w:t>
            </w:r>
            <w:r w:rsidR="00BB17AB">
              <w:rPr>
                <w:rFonts w:cs="Arial"/>
                <w:sz w:val="20"/>
              </w:rPr>
              <w:t>4</w:t>
            </w:r>
          </w:p>
        </w:tc>
        <w:tc>
          <w:tcPr>
            <w:tcW w:w="3778" w:type="dxa"/>
            <w:shd w:val="clear" w:color="auto" w:fill="auto"/>
          </w:tcPr>
          <w:p w:rsidR="008B6674" w:rsidRPr="00F620FD" w:rsidRDefault="008B6674" w:rsidP="00EE2EA9">
            <w:pPr>
              <w:pStyle w:val="TableBullet"/>
              <w:numPr>
                <w:ilvl w:val="0"/>
                <w:numId w:val="0"/>
              </w:numPr>
              <w:ind w:left="162"/>
              <w:rPr>
                <w:rFonts w:cs="Arial"/>
                <w:sz w:val="20"/>
              </w:rPr>
            </w:pPr>
            <w:r>
              <w:rPr>
                <w:rFonts w:cs="Arial"/>
                <w:sz w:val="20"/>
              </w:rPr>
              <w:t>Optional Teleconference on 6/24/09-Negative declaration</w:t>
            </w:r>
          </w:p>
        </w:tc>
        <w:tc>
          <w:tcPr>
            <w:tcW w:w="5568" w:type="dxa"/>
          </w:tcPr>
          <w:p w:rsidR="008B6674" w:rsidRPr="00F620FD" w:rsidRDefault="008B6674" w:rsidP="00EE2EA9">
            <w:pPr>
              <w:pStyle w:val="TableBodyText"/>
              <w:rPr>
                <w:rFonts w:cs="Arial"/>
                <w:sz w:val="20"/>
                <w:szCs w:val="20"/>
              </w:rPr>
            </w:pPr>
            <w:r>
              <w:rPr>
                <w:rFonts w:cs="Arial"/>
                <w:sz w:val="20"/>
                <w:szCs w:val="20"/>
              </w:rPr>
              <w:t>It was mentioned that the Contractor may be required to retain the services of an Archeologist if certain conditions are encountered during construction.  Where in the negative declaration is this requirement defined?  If required, what is the extent of these services?</w:t>
            </w:r>
          </w:p>
        </w:tc>
        <w:tc>
          <w:tcPr>
            <w:tcW w:w="4013" w:type="dxa"/>
            <w:shd w:val="clear" w:color="auto" w:fill="auto"/>
          </w:tcPr>
          <w:p w:rsidR="008B6674" w:rsidRPr="00F620FD" w:rsidRDefault="00207235" w:rsidP="00EE5688">
            <w:pPr>
              <w:autoSpaceDE w:val="0"/>
              <w:autoSpaceDN w:val="0"/>
              <w:adjustRightInd w:val="0"/>
              <w:rPr>
                <w:rFonts w:ascii="Verdana" w:hAnsi="Verdana" w:cs="Arial"/>
                <w:sz w:val="20"/>
              </w:rPr>
            </w:pPr>
            <w:r>
              <w:rPr>
                <w:rFonts w:ascii="Verdana" w:hAnsi="Verdana" w:cs="Arial"/>
                <w:sz w:val="20"/>
              </w:rPr>
              <w:t>See mitigate section from the Final Mitigated Negative Declaration</w:t>
            </w:r>
            <w:r w:rsidR="0037750B">
              <w:rPr>
                <w:rFonts w:ascii="Verdana" w:hAnsi="Verdana" w:cs="Arial"/>
                <w:sz w:val="20"/>
              </w:rPr>
              <w:t>-Addendum 4.</w:t>
            </w:r>
          </w:p>
        </w:tc>
      </w:tr>
      <w:tr w:rsidR="008B6674" w:rsidRPr="00F620FD" w:rsidTr="00EE5688">
        <w:trPr>
          <w:cantSplit/>
        </w:trPr>
        <w:tc>
          <w:tcPr>
            <w:tcW w:w="501" w:type="dxa"/>
            <w:shd w:val="clear" w:color="auto" w:fill="EDE8CB"/>
          </w:tcPr>
          <w:p w:rsidR="008B6674" w:rsidRPr="00F620FD" w:rsidRDefault="00DF6709" w:rsidP="00EE5688">
            <w:pPr>
              <w:pStyle w:val="TableSection"/>
              <w:jc w:val="center"/>
              <w:rPr>
                <w:rFonts w:cs="Arial"/>
                <w:sz w:val="20"/>
              </w:rPr>
            </w:pPr>
            <w:r>
              <w:rPr>
                <w:rFonts w:cs="Arial"/>
                <w:sz w:val="20"/>
              </w:rPr>
              <w:t>3</w:t>
            </w:r>
            <w:r w:rsidR="00BB17AB">
              <w:rPr>
                <w:rFonts w:cs="Arial"/>
                <w:sz w:val="20"/>
              </w:rPr>
              <w:t>5</w:t>
            </w:r>
          </w:p>
        </w:tc>
        <w:tc>
          <w:tcPr>
            <w:tcW w:w="3778" w:type="dxa"/>
            <w:shd w:val="clear" w:color="auto" w:fill="auto"/>
          </w:tcPr>
          <w:p w:rsidR="008B6674" w:rsidRPr="00F620FD" w:rsidRDefault="008B6674" w:rsidP="00EE2EA9">
            <w:pPr>
              <w:pStyle w:val="TableBullet"/>
              <w:numPr>
                <w:ilvl w:val="0"/>
                <w:numId w:val="0"/>
              </w:numPr>
              <w:ind w:left="162"/>
              <w:rPr>
                <w:rFonts w:cs="Arial"/>
                <w:sz w:val="20"/>
              </w:rPr>
            </w:pPr>
          </w:p>
        </w:tc>
        <w:tc>
          <w:tcPr>
            <w:tcW w:w="5568" w:type="dxa"/>
          </w:tcPr>
          <w:p w:rsidR="008B6674" w:rsidRPr="00F620FD" w:rsidRDefault="008B6674" w:rsidP="00EE2EA9">
            <w:pPr>
              <w:pStyle w:val="TableBodyText"/>
              <w:rPr>
                <w:rFonts w:cs="Arial"/>
                <w:sz w:val="20"/>
                <w:szCs w:val="20"/>
              </w:rPr>
            </w:pPr>
            <w:r>
              <w:rPr>
                <w:rFonts w:cs="Arial"/>
                <w:sz w:val="20"/>
                <w:szCs w:val="20"/>
              </w:rPr>
              <w:t>Is this a certified payroll project?</w:t>
            </w:r>
          </w:p>
        </w:tc>
        <w:tc>
          <w:tcPr>
            <w:tcW w:w="4013" w:type="dxa"/>
            <w:shd w:val="clear" w:color="auto" w:fill="auto"/>
          </w:tcPr>
          <w:p w:rsidR="008B6674" w:rsidRPr="00F620FD" w:rsidRDefault="008B6674" w:rsidP="00EE5688">
            <w:pPr>
              <w:autoSpaceDE w:val="0"/>
              <w:autoSpaceDN w:val="0"/>
              <w:adjustRightInd w:val="0"/>
              <w:rPr>
                <w:rFonts w:ascii="Verdana" w:hAnsi="Verdana" w:cs="Arial"/>
                <w:sz w:val="20"/>
              </w:rPr>
            </w:pPr>
            <w:r>
              <w:rPr>
                <w:rFonts w:ascii="Verdana" w:hAnsi="Verdana" w:cs="Arial"/>
                <w:sz w:val="20"/>
              </w:rPr>
              <w:t>Yes</w:t>
            </w:r>
            <w:r w:rsidR="00CA5894">
              <w:rPr>
                <w:rFonts w:ascii="Verdana" w:hAnsi="Verdana" w:cs="Arial"/>
                <w:sz w:val="20"/>
              </w:rPr>
              <w:t>.</w:t>
            </w:r>
          </w:p>
        </w:tc>
      </w:tr>
      <w:tr w:rsidR="008B6674" w:rsidRPr="00F620FD" w:rsidTr="00EE5688">
        <w:trPr>
          <w:cantSplit/>
        </w:trPr>
        <w:tc>
          <w:tcPr>
            <w:tcW w:w="501" w:type="dxa"/>
            <w:shd w:val="clear" w:color="auto" w:fill="EDE8CB"/>
          </w:tcPr>
          <w:p w:rsidR="008B6674" w:rsidRPr="00F620FD" w:rsidRDefault="00DF6709" w:rsidP="00EE5688">
            <w:pPr>
              <w:pStyle w:val="TableSection"/>
              <w:jc w:val="center"/>
              <w:rPr>
                <w:rFonts w:cs="Arial"/>
                <w:sz w:val="20"/>
              </w:rPr>
            </w:pPr>
            <w:r>
              <w:rPr>
                <w:rFonts w:cs="Arial"/>
                <w:sz w:val="20"/>
              </w:rPr>
              <w:t>3</w:t>
            </w:r>
            <w:r w:rsidR="00BB17AB">
              <w:rPr>
                <w:rFonts w:cs="Arial"/>
                <w:sz w:val="20"/>
              </w:rPr>
              <w:t>6</w:t>
            </w:r>
          </w:p>
        </w:tc>
        <w:tc>
          <w:tcPr>
            <w:tcW w:w="3778" w:type="dxa"/>
            <w:shd w:val="clear" w:color="auto" w:fill="auto"/>
          </w:tcPr>
          <w:p w:rsidR="008B6674" w:rsidRPr="00F620FD" w:rsidRDefault="008B6674" w:rsidP="00EE2EA9">
            <w:pPr>
              <w:autoSpaceDE w:val="0"/>
              <w:autoSpaceDN w:val="0"/>
              <w:adjustRightInd w:val="0"/>
              <w:spacing w:before="60" w:after="60"/>
              <w:rPr>
                <w:rFonts w:ascii="Verdana" w:hAnsi="Verdana" w:cs="Arial"/>
                <w:sz w:val="20"/>
                <w:lang w:val="en-GB"/>
              </w:rPr>
            </w:pPr>
          </w:p>
        </w:tc>
        <w:tc>
          <w:tcPr>
            <w:tcW w:w="5568" w:type="dxa"/>
          </w:tcPr>
          <w:p w:rsidR="008B6674" w:rsidRPr="00F620FD" w:rsidRDefault="008B6674" w:rsidP="00EE2EA9">
            <w:pPr>
              <w:autoSpaceDE w:val="0"/>
              <w:autoSpaceDN w:val="0"/>
              <w:adjustRightInd w:val="0"/>
              <w:spacing w:before="60" w:after="60"/>
              <w:rPr>
                <w:rFonts w:ascii="Verdana" w:hAnsi="Verdana" w:cs="Arial"/>
                <w:sz w:val="20"/>
                <w:lang w:val="en-GB"/>
              </w:rPr>
            </w:pPr>
            <w:r>
              <w:rPr>
                <w:rFonts w:ascii="Verdana" w:hAnsi="Verdana" w:cs="Arial"/>
                <w:sz w:val="20"/>
                <w:lang w:val="en-GB"/>
              </w:rPr>
              <w:t xml:space="preserve">Are there specific requirements for the type of scheduling software required on this project?  Will there be a scheduling consultant on this project and if so what will their role be on this project?  </w:t>
            </w:r>
          </w:p>
        </w:tc>
        <w:tc>
          <w:tcPr>
            <w:tcW w:w="4013" w:type="dxa"/>
            <w:shd w:val="clear" w:color="auto" w:fill="auto"/>
          </w:tcPr>
          <w:p w:rsidR="008B6674" w:rsidRPr="00F620FD" w:rsidRDefault="00CF7AF4" w:rsidP="00EE5688">
            <w:pPr>
              <w:autoSpaceDE w:val="0"/>
              <w:autoSpaceDN w:val="0"/>
              <w:adjustRightInd w:val="0"/>
              <w:rPr>
                <w:rFonts w:ascii="Verdana" w:hAnsi="Verdana" w:cs="Arial"/>
                <w:sz w:val="20"/>
              </w:rPr>
            </w:pPr>
            <w:proofErr w:type="gramStart"/>
            <w:r>
              <w:rPr>
                <w:rFonts w:ascii="Verdana" w:hAnsi="Verdana" w:cs="Arial"/>
                <w:sz w:val="20"/>
              </w:rPr>
              <w:t>Prima</w:t>
            </w:r>
            <w:r w:rsidR="00EC1E17">
              <w:rPr>
                <w:rFonts w:ascii="Verdana" w:hAnsi="Verdana" w:cs="Arial"/>
                <w:sz w:val="20"/>
              </w:rPr>
              <w:t>vera,</w:t>
            </w:r>
            <w:proofErr w:type="gramEnd"/>
            <w:r w:rsidR="00EC1E17">
              <w:rPr>
                <w:rFonts w:ascii="Verdana" w:hAnsi="Verdana" w:cs="Arial"/>
                <w:sz w:val="20"/>
              </w:rPr>
              <w:t xml:space="preserve"> </w:t>
            </w:r>
            <w:r w:rsidR="00207235">
              <w:rPr>
                <w:rFonts w:ascii="Verdana" w:hAnsi="Verdana" w:cs="Arial"/>
                <w:sz w:val="20"/>
              </w:rPr>
              <w:t>or comparable scheduling program. AOC will not hire a scheduling consultant. The CMAR will provide the scheduling expertise for project.</w:t>
            </w:r>
          </w:p>
        </w:tc>
      </w:tr>
      <w:tr w:rsidR="00373473" w:rsidRPr="00F620FD" w:rsidTr="00EE5688">
        <w:trPr>
          <w:cantSplit/>
        </w:trPr>
        <w:tc>
          <w:tcPr>
            <w:tcW w:w="501" w:type="dxa"/>
            <w:shd w:val="clear" w:color="auto" w:fill="EDE8CB"/>
          </w:tcPr>
          <w:p w:rsidR="00373473" w:rsidRPr="00F620FD" w:rsidRDefault="00BB17AB" w:rsidP="00EE5688">
            <w:pPr>
              <w:pStyle w:val="TableSection"/>
              <w:jc w:val="center"/>
              <w:rPr>
                <w:rFonts w:cs="Arial"/>
                <w:sz w:val="20"/>
              </w:rPr>
            </w:pPr>
            <w:r>
              <w:rPr>
                <w:rFonts w:cs="Arial"/>
                <w:sz w:val="20"/>
              </w:rPr>
              <w:lastRenderedPageBreak/>
              <w:t>37</w:t>
            </w:r>
          </w:p>
        </w:tc>
        <w:tc>
          <w:tcPr>
            <w:tcW w:w="3778" w:type="dxa"/>
            <w:shd w:val="clear" w:color="auto" w:fill="auto"/>
          </w:tcPr>
          <w:p w:rsidR="00373473" w:rsidRPr="00F620FD" w:rsidRDefault="00373473" w:rsidP="00EE5688">
            <w:pPr>
              <w:pStyle w:val="TableBodyText"/>
              <w:rPr>
                <w:rFonts w:cs="Arial"/>
                <w:sz w:val="20"/>
                <w:szCs w:val="20"/>
              </w:rPr>
            </w:pPr>
          </w:p>
        </w:tc>
        <w:tc>
          <w:tcPr>
            <w:tcW w:w="5568" w:type="dxa"/>
          </w:tcPr>
          <w:p w:rsidR="00373473" w:rsidRPr="00EC1E17" w:rsidRDefault="00373473" w:rsidP="00EE2EA9">
            <w:pPr>
              <w:rPr>
                <w:rFonts w:ascii="Times New Roman" w:hAnsi="Times New Roman"/>
              </w:rPr>
            </w:pPr>
            <w:r w:rsidRPr="00EC1E17">
              <w:rPr>
                <w:rFonts w:ascii="Times New Roman" w:hAnsi="Times New Roman"/>
              </w:rPr>
              <w:t>Will the AOC provide Builder’s Risk insurance and name the Construction Manager as “additional insured”?</w:t>
            </w:r>
          </w:p>
        </w:tc>
        <w:tc>
          <w:tcPr>
            <w:tcW w:w="4013" w:type="dxa"/>
            <w:shd w:val="clear" w:color="auto" w:fill="auto"/>
          </w:tcPr>
          <w:p w:rsidR="00373473" w:rsidRPr="00F620FD" w:rsidRDefault="00EC1E17" w:rsidP="00EE5688">
            <w:pPr>
              <w:autoSpaceDE w:val="0"/>
              <w:autoSpaceDN w:val="0"/>
              <w:adjustRightInd w:val="0"/>
              <w:rPr>
                <w:rFonts w:ascii="Verdana" w:hAnsi="Verdana" w:cs="Arial"/>
                <w:sz w:val="20"/>
              </w:rPr>
            </w:pPr>
            <w:r>
              <w:rPr>
                <w:rFonts w:ascii="Verdana" w:hAnsi="Verdana" w:cs="Arial"/>
                <w:sz w:val="20"/>
              </w:rPr>
              <w:t xml:space="preserve">The AOC may under the provisions of Exhibit </w:t>
            </w:r>
            <w:proofErr w:type="gramStart"/>
            <w:r>
              <w:rPr>
                <w:rFonts w:ascii="Verdana" w:hAnsi="Verdana" w:cs="Arial"/>
                <w:sz w:val="20"/>
              </w:rPr>
              <w:t>H,</w:t>
            </w:r>
            <w:proofErr w:type="gramEnd"/>
            <w:r>
              <w:rPr>
                <w:rFonts w:ascii="Verdana" w:hAnsi="Verdana" w:cs="Arial"/>
                <w:sz w:val="20"/>
              </w:rPr>
              <w:t xml:space="preserve"> General Conditions of the Contract for Construction (Document 00700) Article 11.2.2 provide Builder’s Risk insurance. If the AOC does provide this insurance, the CMAR contractor and subcontractors of every tier will be additional insureds.</w:t>
            </w:r>
          </w:p>
        </w:tc>
      </w:tr>
      <w:tr w:rsidR="00373473" w:rsidRPr="00F620FD" w:rsidTr="00EE5688">
        <w:trPr>
          <w:cantSplit/>
        </w:trPr>
        <w:tc>
          <w:tcPr>
            <w:tcW w:w="501" w:type="dxa"/>
            <w:shd w:val="clear" w:color="auto" w:fill="EDE8CB"/>
          </w:tcPr>
          <w:p w:rsidR="00373473" w:rsidRPr="00F620FD" w:rsidRDefault="00DF6709" w:rsidP="00EE5688">
            <w:pPr>
              <w:pStyle w:val="TableSection"/>
              <w:jc w:val="center"/>
              <w:rPr>
                <w:rFonts w:cs="Arial"/>
                <w:sz w:val="20"/>
              </w:rPr>
            </w:pPr>
            <w:r>
              <w:rPr>
                <w:rFonts w:cs="Arial"/>
                <w:sz w:val="20"/>
              </w:rPr>
              <w:t>3</w:t>
            </w:r>
            <w:r w:rsidR="00BB17AB">
              <w:rPr>
                <w:rFonts w:cs="Arial"/>
                <w:sz w:val="20"/>
              </w:rPr>
              <w:t>8</w:t>
            </w:r>
          </w:p>
        </w:tc>
        <w:tc>
          <w:tcPr>
            <w:tcW w:w="3778" w:type="dxa"/>
            <w:shd w:val="clear" w:color="auto" w:fill="auto"/>
          </w:tcPr>
          <w:p w:rsidR="00373473" w:rsidRPr="00F620FD" w:rsidRDefault="00373473" w:rsidP="00EE5688">
            <w:pPr>
              <w:pStyle w:val="TableBodyText"/>
              <w:rPr>
                <w:rFonts w:cs="Arial"/>
                <w:sz w:val="20"/>
                <w:szCs w:val="20"/>
              </w:rPr>
            </w:pPr>
          </w:p>
        </w:tc>
        <w:tc>
          <w:tcPr>
            <w:tcW w:w="5568" w:type="dxa"/>
          </w:tcPr>
          <w:p w:rsidR="00373473" w:rsidRPr="00BB17AB" w:rsidRDefault="00373473" w:rsidP="00EE2EA9">
            <w:pPr>
              <w:rPr>
                <w:rFonts w:ascii="Times New Roman" w:hAnsi="Times New Roman"/>
                <w:lang w:val="en-GB"/>
              </w:rPr>
            </w:pPr>
            <w:r w:rsidRPr="00BB17AB">
              <w:rPr>
                <w:rFonts w:ascii="Times New Roman" w:hAnsi="Times New Roman"/>
                <w:lang w:val="en-GB"/>
              </w:rPr>
              <w:t>Will the AOC hire a third party commissioning agent?</w:t>
            </w:r>
          </w:p>
        </w:tc>
        <w:tc>
          <w:tcPr>
            <w:tcW w:w="4013" w:type="dxa"/>
            <w:shd w:val="clear" w:color="auto" w:fill="auto"/>
          </w:tcPr>
          <w:p w:rsidR="00373473" w:rsidRPr="00F620FD" w:rsidRDefault="00BB17AB" w:rsidP="00EE5688">
            <w:pPr>
              <w:autoSpaceDE w:val="0"/>
              <w:autoSpaceDN w:val="0"/>
              <w:adjustRightInd w:val="0"/>
              <w:rPr>
                <w:rFonts w:ascii="Verdana" w:hAnsi="Verdana" w:cs="Arial"/>
                <w:sz w:val="20"/>
              </w:rPr>
            </w:pPr>
            <w:r>
              <w:rPr>
                <w:rFonts w:ascii="Verdana" w:hAnsi="Verdana" w:cs="Arial"/>
                <w:sz w:val="20"/>
              </w:rPr>
              <w:t>Yes</w:t>
            </w:r>
            <w:r w:rsidR="00CA5894">
              <w:rPr>
                <w:rFonts w:ascii="Verdana" w:hAnsi="Verdana" w:cs="Arial"/>
                <w:sz w:val="20"/>
              </w:rPr>
              <w:t>.</w:t>
            </w:r>
          </w:p>
        </w:tc>
      </w:tr>
      <w:tr w:rsidR="008A1F74" w:rsidRPr="00F620FD" w:rsidTr="00EE5688">
        <w:trPr>
          <w:cantSplit/>
        </w:trPr>
        <w:tc>
          <w:tcPr>
            <w:tcW w:w="501" w:type="dxa"/>
            <w:shd w:val="clear" w:color="auto" w:fill="EDE8CB"/>
          </w:tcPr>
          <w:p w:rsidR="008A1F74" w:rsidRPr="00F620FD" w:rsidRDefault="00BB17AB" w:rsidP="00EE5688">
            <w:pPr>
              <w:pStyle w:val="TableSection"/>
              <w:jc w:val="center"/>
              <w:rPr>
                <w:rFonts w:cs="Arial"/>
                <w:sz w:val="20"/>
              </w:rPr>
            </w:pPr>
            <w:r>
              <w:rPr>
                <w:rFonts w:cs="Arial"/>
                <w:sz w:val="20"/>
              </w:rPr>
              <w:t>39</w:t>
            </w:r>
          </w:p>
        </w:tc>
        <w:tc>
          <w:tcPr>
            <w:tcW w:w="3778" w:type="dxa"/>
            <w:shd w:val="clear" w:color="auto" w:fill="auto"/>
          </w:tcPr>
          <w:p w:rsidR="00493C54" w:rsidRDefault="00493C54" w:rsidP="00493C54">
            <w:pPr>
              <w:rPr>
                <w:rFonts w:ascii="Calibri" w:hAnsi="Calibri"/>
                <w:color w:val="000000"/>
                <w:szCs w:val="22"/>
              </w:rPr>
            </w:pPr>
            <w:r>
              <w:rPr>
                <w:rFonts w:ascii="Calibri" w:hAnsi="Calibri"/>
                <w:color w:val="000000"/>
                <w:szCs w:val="22"/>
              </w:rPr>
              <w:t>Attachment H - General Conditions 0700 Article 6.6.2, 6.6.3 and Fee Proposal Form</w:t>
            </w:r>
          </w:p>
          <w:p w:rsidR="008A1F74" w:rsidRPr="00F620FD" w:rsidRDefault="008A1F74" w:rsidP="00EE5688">
            <w:pPr>
              <w:pStyle w:val="TableBodyText"/>
              <w:rPr>
                <w:rFonts w:cs="Arial"/>
                <w:sz w:val="20"/>
                <w:szCs w:val="20"/>
              </w:rPr>
            </w:pPr>
          </w:p>
        </w:tc>
        <w:tc>
          <w:tcPr>
            <w:tcW w:w="5568" w:type="dxa"/>
          </w:tcPr>
          <w:p w:rsidR="00493C54" w:rsidRDefault="00493C54" w:rsidP="00493C54">
            <w:pPr>
              <w:rPr>
                <w:rFonts w:ascii="Calibri" w:hAnsi="Calibri"/>
                <w:color w:val="000000"/>
                <w:szCs w:val="22"/>
              </w:rPr>
            </w:pPr>
            <w:r>
              <w:rPr>
                <w:rFonts w:ascii="Calibri" w:hAnsi="Calibri"/>
                <w:color w:val="000000"/>
                <w:szCs w:val="22"/>
              </w:rPr>
              <w:t xml:space="preserve">Please confirm that the Contractor Contingency is not to be used, and CM @ Risk will not be responsible </w:t>
            </w:r>
            <w:proofErr w:type="gramStart"/>
            <w:r>
              <w:rPr>
                <w:rFonts w:ascii="Calibri" w:hAnsi="Calibri"/>
                <w:color w:val="000000"/>
                <w:szCs w:val="22"/>
              </w:rPr>
              <w:t>for ,</w:t>
            </w:r>
            <w:proofErr w:type="gramEnd"/>
            <w:r>
              <w:rPr>
                <w:rFonts w:ascii="Calibri" w:hAnsi="Calibri"/>
                <w:color w:val="000000"/>
                <w:szCs w:val="22"/>
              </w:rPr>
              <w:t xml:space="preserve"> Errors and Omissions resulting from the Designer's and the Designer's Consultant's failure to design to code or to engineer systems to function sufficiently for their intended use.  (</w:t>
            </w:r>
            <w:proofErr w:type="gramStart"/>
            <w:r>
              <w:rPr>
                <w:rFonts w:ascii="Calibri" w:hAnsi="Calibri"/>
                <w:color w:val="000000"/>
                <w:szCs w:val="22"/>
              </w:rPr>
              <w:t>e.g</w:t>
            </w:r>
            <w:proofErr w:type="gramEnd"/>
            <w:r>
              <w:rPr>
                <w:rFonts w:ascii="Calibri" w:hAnsi="Calibri"/>
                <w:color w:val="000000"/>
                <w:szCs w:val="22"/>
              </w:rPr>
              <w:t>. structural steel members undersized due to faulty engineering). The liabilities of the Designer shall remain with those who are contracting the Designer.</w:t>
            </w:r>
          </w:p>
          <w:p w:rsidR="008A1F74" w:rsidRPr="00F620FD" w:rsidRDefault="008A1F74" w:rsidP="00EE5688">
            <w:pPr>
              <w:autoSpaceDE w:val="0"/>
              <w:autoSpaceDN w:val="0"/>
              <w:adjustRightInd w:val="0"/>
              <w:rPr>
                <w:rFonts w:ascii="Verdana" w:hAnsi="Verdana" w:cs="Arial"/>
                <w:sz w:val="20"/>
              </w:rPr>
            </w:pPr>
          </w:p>
        </w:tc>
        <w:tc>
          <w:tcPr>
            <w:tcW w:w="4013" w:type="dxa"/>
            <w:shd w:val="clear" w:color="auto" w:fill="auto"/>
          </w:tcPr>
          <w:p w:rsidR="008A1F74" w:rsidRPr="00F620FD" w:rsidRDefault="00BB17AB" w:rsidP="00EE5688">
            <w:pPr>
              <w:autoSpaceDE w:val="0"/>
              <w:autoSpaceDN w:val="0"/>
              <w:adjustRightInd w:val="0"/>
              <w:rPr>
                <w:rFonts w:ascii="Verdana" w:hAnsi="Verdana" w:cs="Arial"/>
                <w:sz w:val="20"/>
              </w:rPr>
            </w:pPr>
            <w:r>
              <w:rPr>
                <w:rFonts w:ascii="Verdana" w:hAnsi="Verdana" w:cs="Arial"/>
                <w:sz w:val="20"/>
              </w:rPr>
              <w:t>Please refer to Questions 10 and 14.</w:t>
            </w:r>
          </w:p>
        </w:tc>
      </w:tr>
      <w:tr w:rsidR="008A1F74" w:rsidRPr="00F620FD" w:rsidTr="00EE5688">
        <w:trPr>
          <w:cantSplit/>
        </w:trPr>
        <w:tc>
          <w:tcPr>
            <w:tcW w:w="501" w:type="dxa"/>
            <w:shd w:val="clear" w:color="auto" w:fill="EDE8CB"/>
          </w:tcPr>
          <w:p w:rsidR="008A1F74" w:rsidRPr="00F620FD" w:rsidRDefault="004C069B" w:rsidP="00DF6709">
            <w:pPr>
              <w:pStyle w:val="TableSection"/>
              <w:jc w:val="center"/>
              <w:rPr>
                <w:rFonts w:cs="Arial"/>
                <w:sz w:val="20"/>
              </w:rPr>
            </w:pPr>
            <w:r>
              <w:rPr>
                <w:rFonts w:cs="Arial"/>
                <w:sz w:val="20"/>
              </w:rPr>
              <w:t>4</w:t>
            </w:r>
            <w:r w:rsidR="00BB17AB">
              <w:rPr>
                <w:rFonts w:cs="Arial"/>
                <w:sz w:val="20"/>
              </w:rPr>
              <w:t>0</w:t>
            </w:r>
          </w:p>
        </w:tc>
        <w:tc>
          <w:tcPr>
            <w:tcW w:w="3778" w:type="dxa"/>
            <w:shd w:val="clear" w:color="auto" w:fill="auto"/>
          </w:tcPr>
          <w:p w:rsidR="00493C54" w:rsidRDefault="00493C54" w:rsidP="00493C54">
            <w:pPr>
              <w:rPr>
                <w:rFonts w:ascii="Calibri" w:hAnsi="Calibri"/>
                <w:color w:val="000000"/>
                <w:szCs w:val="22"/>
              </w:rPr>
            </w:pPr>
            <w:r>
              <w:rPr>
                <w:rFonts w:ascii="Calibri" w:hAnsi="Calibri"/>
                <w:color w:val="000000"/>
                <w:szCs w:val="22"/>
              </w:rPr>
              <w:t>Fee Proposal Form for New Hollister Courthouse, 2nd Introductory Paragraph</w:t>
            </w:r>
          </w:p>
          <w:p w:rsidR="008A1F74" w:rsidRPr="00F620FD" w:rsidRDefault="008A1F74" w:rsidP="00EE5688">
            <w:pPr>
              <w:pStyle w:val="TableBodyText"/>
              <w:rPr>
                <w:rFonts w:cs="Arial"/>
                <w:sz w:val="20"/>
                <w:szCs w:val="20"/>
              </w:rPr>
            </w:pPr>
          </w:p>
        </w:tc>
        <w:tc>
          <w:tcPr>
            <w:tcW w:w="5568" w:type="dxa"/>
          </w:tcPr>
          <w:p w:rsidR="00493C54" w:rsidRDefault="00493C54" w:rsidP="00493C54">
            <w:pPr>
              <w:rPr>
                <w:rFonts w:ascii="Calibri" w:hAnsi="Calibri"/>
                <w:color w:val="000000"/>
                <w:szCs w:val="22"/>
              </w:rPr>
            </w:pPr>
            <w:r>
              <w:rPr>
                <w:rFonts w:ascii="Calibri" w:hAnsi="Calibri"/>
                <w:color w:val="000000"/>
                <w:szCs w:val="22"/>
              </w:rPr>
              <w:t>Please correct Proposal Form to read "New Hollister Courthouse" in lieu of "New San Bernardino Courthouse".  Also please correct the header on Page 3 for same issue.</w:t>
            </w:r>
          </w:p>
          <w:p w:rsidR="008A1F74" w:rsidRPr="00F620FD" w:rsidRDefault="008A1F74" w:rsidP="00EE5688">
            <w:pPr>
              <w:autoSpaceDE w:val="0"/>
              <w:autoSpaceDN w:val="0"/>
              <w:adjustRightInd w:val="0"/>
              <w:rPr>
                <w:rFonts w:ascii="Verdana" w:hAnsi="Verdana" w:cs="Arial"/>
                <w:sz w:val="20"/>
              </w:rPr>
            </w:pPr>
          </w:p>
        </w:tc>
        <w:tc>
          <w:tcPr>
            <w:tcW w:w="4013" w:type="dxa"/>
            <w:shd w:val="clear" w:color="auto" w:fill="auto"/>
          </w:tcPr>
          <w:p w:rsidR="008A1F74" w:rsidRPr="00F620FD" w:rsidRDefault="004C069B" w:rsidP="00EE5688">
            <w:pPr>
              <w:autoSpaceDE w:val="0"/>
              <w:autoSpaceDN w:val="0"/>
              <w:adjustRightInd w:val="0"/>
              <w:rPr>
                <w:rFonts w:ascii="Verdana" w:hAnsi="Verdana" w:cs="Arial"/>
                <w:sz w:val="20"/>
              </w:rPr>
            </w:pPr>
            <w:r>
              <w:rPr>
                <w:rFonts w:ascii="Verdana" w:hAnsi="Verdana" w:cs="Arial"/>
                <w:sz w:val="20"/>
              </w:rPr>
              <w:t>Please refer to Addendum Item #2</w:t>
            </w:r>
          </w:p>
        </w:tc>
      </w:tr>
      <w:tr w:rsidR="008A1F74" w:rsidRPr="00F620FD" w:rsidTr="00EE5688">
        <w:trPr>
          <w:cantSplit/>
        </w:trPr>
        <w:tc>
          <w:tcPr>
            <w:tcW w:w="501" w:type="dxa"/>
            <w:shd w:val="clear" w:color="auto" w:fill="EDE8CB"/>
          </w:tcPr>
          <w:p w:rsidR="008A1F74" w:rsidRPr="00F620FD" w:rsidRDefault="00BB17AB" w:rsidP="00DF6709">
            <w:pPr>
              <w:pStyle w:val="TableSection"/>
              <w:jc w:val="center"/>
              <w:rPr>
                <w:rFonts w:cs="Arial"/>
                <w:sz w:val="20"/>
              </w:rPr>
            </w:pPr>
            <w:r>
              <w:rPr>
                <w:rFonts w:cs="Arial"/>
                <w:sz w:val="20"/>
              </w:rPr>
              <w:t>41</w:t>
            </w:r>
          </w:p>
        </w:tc>
        <w:tc>
          <w:tcPr>
            <w:tcW w:w="3778" w:type="dxa"/>
            <w:shd w:val="clear" w:color="auto" w:fill="auto"/>
          </w:tcPr>
          <w:p w:rsidR="00493C54" w:rsidRDefault="00493C54" w:rsidP="00493C54">
            <w:pPr>
              <w:rPr>
                <w:rFonts w:ascii="Calibri" w:hAnsi="Calibri"/>
                <w:color w:val="000000"/>
                <w:szCs w:val="22"/>
              </w:rPr>
            </w:pPr>
            <w:r>
              <w:rPr>
                <w:rFonts w:ascii="Calibri" w:hAnsi="Calibri"/>
                <w:color w:val="000000"/>
                <w:szCs w:val="22"/>
              </w:rPr>
              <w:t>Fee Proposal Form for New Hollister Courthouse, Construction Duration Clause - Page 3</w:t>
            </w:r>
          </w:p>
          <w:p w:rsidR="008A1F74" w:rsidRPr="00F620FD" w:rsidRDefault="008A1F74" w:rsidP="00EE5688">
            <w:pPr>
              <w:autoSpaceDE w:val="0"/>
              <w:autoSpaceDN w:val="0"/>
              <w:adjustRightInd w:val="0"/>
              <w:rPr>
                <w:rFonts w:ascii="Verdana" w:hAnsi="Verdana" w:cs="Arial"/>
                <w:sz w:val="20"/>
              </w:rPr>
            </w:pPr>
          </w:p>
        </w:tc>
        <w:tc>
          <w:tcPr>
            <w:tcW w:w="5568" w:type="dxa"/>
          </w:tcPr>
          <w:p w:rsidR="00493C54" w:rsidRDefault="00493C54" w:rsidP="00493C54">
            <w:pPr>
              <w:rPr>
                <w:rFonts w:ascii="Calibri" w:hAnsi="Calibri"/>
                <w:color w:val="000000"/>
                <w:szCs w:val="22"/>
              </w:rPr>
            </w:pPr>
            <w:r>
              <w:rPr>
                <w:rFonts w:ascii="Calibri" w:hAnsi="Calibri"/>
                <w:color w:val="000000"/>
                <w:szCs w:val="22"/>
              </w:rPr>
              <w:t>Please confirm the duration is 490 Days in lieu of 728 Days as published.</w:t>
            </w:r>
          </w:p>
          <w:p w:rsidR="008A1F74" w:rsidRPr="00F620FD" w:rsidRDefault="008A1F74" w:rsidP="00EE5688">
            <w:pPr>
              <w:autoSpaceDE w:val="0"/>
              <w:autoSpaceDN w:val="0"/>
              <w:adjustRightInd w:val="0"/>
              <w:rPr>
                <w:rFonts w:ascii="Verdana" w:hAnsi="Verdana" w:cs="Arial"/>
                <w:sz w:val="20"/>
              </w:rPr>
            </w:pPr>
          </w:p>
        </w:tc>
        <w:tc>
          <w:tcPr>
            <w:tcW w:w="4013" w:type="dxa"/>
            <w:shd w:val="clear" w:color="auto" w:fill="auto"/>
          </w:tcPr>
          <w:p w:rsidR="008A1F74" w:rsidRPr="00F620FD" w:rsidRDefault="004C069B" w:rsidP="00EE5688">
            <w:pPr>
              <w:autoSpaceDE w:val="0"/>
              <w:autoSpaceDN w:val="0"/>
              <w:adjustRightInd w:val="0"/>
              <w:rPr>
                <w:rFonts w:ascii="Verdana" w:hAnsi="Verdana" w:cs="Arial"/>
                <w:sz w:val="20"/>
              </w:rPr>
            </w:pPr>
            <w:r>
              <w:rPr>
                <w:rFonts w:ascii="Verdana" w:hAnsi="Verdana" w:cs="Arial"/>
                <w:sz w:val="20"/>
              </w:rPr>
              <w:t>Please refer to Addendum Items #1 and 2.</w:t>
            </w:r>
          </w:p>
        </w:tc>
      </w:tr>
      <w:tr w:rsidR="00493C54" w:rsidRPr="00F620FD" w:rsidTr="00EE5688">
        <w:trPr>
          <w:cantSplit/>
        </w:trPr>
        <w:tc>
          <w:tcPr>
            <w:tcW w:w="501" w:type="dxa"/>
            <w:shd w:val="clear" w:color="auto" w:fill="EDE8CB"/>
          </w:tcPr>
          <w:p w:rsidR="00493C54" w:rsidRPr="00F620FD" w:rsidRDefault="00190D33" w:rsidP="00DF6709">
            <w:pPr>
              <w:pStyle w:val="TableSection"/>
              <w:jc w:val="center"/>
              <w:rPr>
                <w:rFonts w:cs="Arial"/>
                <w:sz w:val="20"/>
              </w:rPr>
            </w:pPr>
            <w:r>
              <w:rPr>
                <w:rFonts w:cs="Arial"/>
                <w:sz w:val="20"/>
              </w:rPr>
              <w:lastRenderedPageBreak/>
              <w:t>4</w:t>
            </w:r>
            <w:r w:rsidR="00BB17AB">
              <w:rPr>
                <w:rFonts w:cs="Arial"/>
                <w:sz w:val="20"/>
              </w:rPr>
              <w:t>2</w:t>
            </w:r>
          </w:p>
        </w:tc>
        <w:tc>
          <w:tcPr>
            <w:tcW w:w="3778" w:type="dxa"/>
            <w:shd w:val="clear" w:color="auto" w:fill="auto"/>
          </w:tcPr>
          <w:p w:rsidR="00493C54" w:rsidRPr="00F620FD" w:rsidRDefault="00493C54" w:rsidP="00EE5688">
            <w:pPr>
              <w:autoSpaceDE w:val="0"/>
              <w:autoSpaceDN w:val="0"/>
              <w:adjustRightInd w:val="0"/>
              <w:rPr>
                <w:rFonts w:ascii="Verdana" w:hAnsi="Verdana" w:cs="Arial"/>
                <w:sz w:val="20"/>
              </w:rPr>
            </w:pPr>
            <w:r>
              <w:rPr>
                <w:rFonts w:ascii="Calibri" w:hAnsi="Calibri"/>
                <w:color w:val="000000"/>
                <w:szCs w:val="22"/>
              </w:rPr>
              <w:t>Attachment H - General Conditions 0700 Article 7.7.3</w:t>
            </w:r>
          </w:p>
        </w:tc>
        <w:tc>
          <w:tcPr>
            <w:tcW w:w="5568" w:type="dxa"/>
          </w:tcPr>
          <w:p w:rsidR="00493C54" w:rsidRDefault="00493C54" w:rsidP="00EE2EA9">
            <w:pPr>
              <w:rPr>
                <w:rFonts w:ascii="Calibri" w:hAnsi="Calibri"/>
                <w:color w:val="000000"/>
                <w:szCs w:val="22"/>
              </w:rPr>
            </w:pPr>
            <w:r>
              <w:rPr>
                <w:rFonts w:ascii="Calibri" w:hAnsi="Calibri"/>
                <w:color w:val="000000"/>
                <w:szCs w:val="22"/>
              </w:rPr>
              <w:t>“Damages suffered by others or other forms of liability claimed against the State as a result of delay….Contractor shall be responsible for the actual amount of any such damages” is a broad range of damages not to be included in the Liquidated Damages.  We request the AOC to limit the damages to the Liquidated Damage amounts stipulated and include a mutual waiver of consequential damages.</w:t>
            </w:r>
          </w:p>
          <w:p w:rsidR="00493C54" w:rsidRPr="00F620FD" w:rsidRDefault="00493C54" w:rsidP="00EE2EA9">
            <w:pPr>
              <w:pStyle w:val="TableBodyText"/>
              <w:rPr>
                <w:rFonts w:cs="Arial"/>
                <w:sz w:val="20"/>
                <w:szCs w:val="20"/>
              </w:rPr>
            </w:pPr>
          </w:p>
        </w:tc>
        <w:tc>
          <w:tcPr>
            <w:tcW w:w="4013" w:type="dxa"/>
            <w:shd w:val="clear" w:color="auto" w:fill="auto"/>
          </w:tcPr>
          <w:p w:rsidR="00493C54" w:rsidRPr="00F620FD" w:rsidRDefault="00BB17AB" w:rsidP="00EE5688">
            <w:pPr>
              <w:autoSpaceDE w:val="0"/>
              <w:autoSpaceDN w:val="0"/>
              <w:adjustRightInd w:val="0"/>
              <w:rPr>
                <w:rFonts w:ascii="Verdana" w:hAnsi="Verdana" w:cs="Arial"/>
                <w:sz w:val="20"/>
              </w:rPr>
            </w:pPr>
            <w:r>
              <w:rPr>
                <w:rFonts w:ascii="Verdana" w:hAnsi="Verdana" w:cs="Arial"/>
                <w:sz w:val="20"/>
              </w:rPr>
              <w:t>Liquidated damages do not include consequential damages.</w:t>
            </w:r>
          </w:p>
        </w:tc>
      </w:tr>
      <w:tr w:rsidR="0003215A" w:rsidRPr="00F620FD" w:rsidTr="00FF664B">
        <w:trPr>
          <w:cantSplit/>
        </w:trPr>
        <w:tc>
          <w:tcPr>
            <w:tcW w:w="501" w:type="dxa"/>
            <w:shd w:val="clear" w:color="auto" w:fill="EDE8CB"/>
          </w:tcPr>
          <w:p w:rsidR="0003215A" w:rsidRPr="00F620FD" w:rsidRDefault="0003215A" w:rsidP="00DF6709">
            <w:pPr>
              <w:pStyle w:val="TableSection"/>
              <w:jc w:val="center"/>
              <w:rPr>
                <w:rFonts w:cs="Arial"/>
                <w:sz w:val="20"/>
              </w:rPr>
            </w:pPr>
            <w:r>
              <w:rPr>
                <w:rFonts w:cs="Arial"/>
                <w:sz w:val="20"/>
              </w:rPr>
              <w:t>4</w:t>
            </w:r>
            <w:r w:rsidR="00BB17AB">
              <w:rPr>
                <w:rFonts w:cs="Arial"/>
                <w:sz w:val="20"/>
              </w:rPr>
              <w:t>3</w:t>
            </w:r>
          </w:p>
        </w:tc>
        <w:tc>
          <w:tcPr>
            <w:tcW w:w="3778" w:type="dxa"/>
            <w:shd w:val="clear" w:color="auto" w:fill="auto"/>
          </w:tcPr>
          <w:p w:rsidR="0003215A" w:rsidRPr="0003215A" w:rsidRDefault="0003215A" w:rsidP="0003215A">
            <w:pPr>
              <w:pStyle w:val="TableBodyText"/>
              <w:rPr>
                <w:rFonts w:cs="Arial"/>
                <w:sz w:val="20"/>
                <w:szCs w:val="20"/>
              </w:rPr>
            </w:pPr>
            <w:r>
              <w:rPr>
                <w:rFonts w:cs="Arial"/>
                <w:sz w:val="20"/>
                <w:szCs w:val="20"/>
              </w:rPr>
              <w:t>Attachment C</w:t>
            </w:r>
          </w:p>
        </w:tc>
        <w:tc>
          <w:tcPr>
            <w:tcW w:w="5568" w:type="dxa"/>
          </w:tcPr>
          <w:p w:rsidR="0003215A" w:rsidRPr="00F620FD" w:rsidRDefault="0003215A" w:rsidP="00EE2EA9">
            <w:pPr>
              <w:pStyle w:val="TableBodyText"/>
              <w:rPr>
                <w:rFonts w:cs="Arial"/>
                <w:sz w:val="20"/>
                <w:szCs w:val="20"/>
              </w:rPr>
            </w:pPr>
            <w:r>
              <w:rPr>
                <w:rFonts w:cs="Arial"/>
                <w:sz w:val="20"/>
                <w:szCs w:val="20"/>
              </w:rPr>
              <w:t xml:space="preserve">Attachment C indicates such things as temporary fencing, barricades, dumpsters, safety protection and fir </w:t>
            </w:r>
            <w:proofErr w:type="spellStart"/>
            <w:r>
              <w:rPr>
                <w:rFonts w:cs="Arial"/>
                <w:sz w:val="20"/>
                <w:szCs w:val="20"/>
              </w:rPr>
              <w:t>fire fighting</w:t>
            </w:r>
            <w:proofErr w:type="spellEnd"/>
            <w:r>
              <w:rPr>
                <w:rFonts w:cs="Arial"/>
                <w:sz w:val="20"/>
                <w:szCs w:val="20"/>
              </w:rPr>
              <w:t xml:space="preserve"> equipment to be included in Contractors O &amp; P.  Will there be a better defined scope of work in the design documents for a more uniform/accurate estimate of what these cost should be?</w:t>
            </w:r>
          </w:p>
        </w:tc>
        <w:tc>
          <w:tcPr>
            <w:tcW w:w="4013" w:type="dxa"/>
            <w:shd w:val="clear" w:color="auto" w:fill="auto"/>
          </w:tcPr>
          <w:p w:rsidR="0003215A" w:rsidRPr="00F620FD" w:rsidRDefault="00A84F1E" w:rsidP="00EE5688">
            <w:pPr>
              <w:pStyle w:val="TableBodyText"/>
              <w:rPr>
                <w:rFonts w:cs="Arial"/>
                <w:sz w:val="20"/>
                <w:szCs w:val="20"/>
              </w:rPr>
            </w:pPr>
            <w:r>
              <w:rPr>
                <w:rFonts w:cs="Arial"/>
                <w:sz w:val="20"/>
                <w:szCs w:val="20"/>
              </w:rPr>
              <w:t>The construction documents will define the scope and provide a basis for bid.</w:t>
            </w:r>
          </w:p>
        </w:tc>
      </w:tr>
      <w:tr w:rsidR="0003215A" w:rsidRPr="00F620FD" w:rsidTr="00FF664B">
        <w:trPr>
          <w:cantSplit/>
        </w:trPr>
        <w:tc>
          <w:tcPr>
            <w:tcW w:w="501" w:type="dxa"/>
            <w:shd w:val="clear" w:color="auto" w:fill="EDE8CB"/>
          </w:tcPr>
          <w:p w:rsidR="0003215A" w:rsidRPr="00F620FD" w:rsidRDefault="0003215A" w:rsidP="00DF6709">
            <w:pPr>
              <w:pStyle w:val="TableSection"/>
              <w:jc w:val="center"/>
              <w:rPr>
                <w:rFonts w:cs="Arial"/>
                <w:sz w:val="20"/>
              </w:rPr>
            </w:pPr>
            <w:r>
              <w:rPr>
                <w:rFonts w:cs="Arial"/>
                <w:sz w:val="20"/>
              </w:rPr>
              <w:t>4</w:t>
            </w:r>
            <w:r w:rsidR="00BB17AB">
              <w:rPr>
                <w:rFonts w:cs="Arial"/>
                <w:sz w:val="20"/>
              </w:rPr>
              <w:t>4</w:t>
            </w:r>
          </w:p>
        </w:tc>
        <w:tc>
          <w:tcPr>
            <w:tcW w:w="3778" w:type="dxa"/>
            <w:shd w:val="clear" w:color="auto" w:fill="auto"/>
          </w:tcPr>
          <w:p w:rsidR="0003215A" w:rsidRPr="0003215A" w:rsidRDefault="0003215A" w:rsidP="0003215A">
            <w:pPr>
              <w:pStyle w:val="TableBodyText"/>
              <w:rPr>
                <w:rFonts w:cs="Arial"/>
                <w:sz w:val="20"/>
                <w:szCs w:val="20"/>
              </w:rPr>
            </w:pPr>
          </w:p>
        </w:tc>
        <w:tc>
          <w:tcPr>
            <w:tcW w:w="5568" w:type="dxa"/>
          </w:tcPr>
          <w:p w:rsidR="0003215A" w:rsidRPr="00F620FD" w:rsidRDefault="0003215A" w:rsidP="00EE2EA9">
            <w:pPr>
              <w:autoSpaceDE w:val="0"/>
              <w:autoSpaceDN w:val="0"/>
              <w:adjustRightInd w:val="0"/>
              <w:spacing w:before="60" w:after="60"/>
              <w:rPr>
                <w:rFonts w:ascii="Verdana" w:hAnsi="Verdana" w:cs="Arial"/>
                <w:sz w:val="20"/>
                <w:lang w:val="en-GB"/>
              </w:rPr>
            </w:pPr>
            <w:r>
              <w:rPr>
                <w:rFonts w:ascii="Verdana" w:hAnsi="Verdana" w:cs="Arial"/>
                <w:sz w:val="20"/>
                <w:lang w:val="en-GB"/>
              </w:rPr>
              <w:t xml:space="preserve">Does the exclusion to self perform work apply </w:t>
            </w:r>
            <w:proofErr w:type="gramStart"/>
            <w:r>
              <w:rPr>
                <w:rFonts w:ascii="Verdana" w:hAnsi="Verdana" w:cs="Arial"/>
                <w:sz w:val="20"/>
                <w:lang w:val="en-GB"/>
              </w:rPr>
              <w:t>to  perimeter</w:t>
            </w:r>
            <w:proofErr w:type="gramEnd"/>
            <w:r>
              <w:rPr>
                <w:rFonts w:ascii="Verdana" w:hAnsi="Verdana" w:cs="Arial"/>
                <w:sz w:val="20"/>
                <w:lang w:val="en-GB"/>
              </w:rPr>
              <w:t xml:space="preserve"> site maintenance, fencing, barricades and the like?  </w:t>
            </w:r>
          </w:p>
        </w:tc>
        <w:tc>
          <w:tcPr>
            <w:tcW w:w="4013" w:type="dxa"/>
            <w:shd w:val="clear" w:color="auto" w:fill="auto"/>
          </w:tcPr>
          <w:p w:rsidR="0003215A" w:rsidRPr="00F620FD" w:rsidRDefault="00273A2D" w:rsidP="00EE5688">
            <w:pPr>
              <w:pStyle w:val="TableBodyText"/>
              <w:rPr>
                <w:rFonts w:cs="Arial"/>
                <w:sz w:val="20"/>
                <w:szCs w:val="20"/>
              </w:rPr>
            </w:pPr>
            <w:r>
              <w:rPr>
                <w:rFonts w:cs="Arial"/>
                <w:sz w:val="20"/>
                <w:szCs w:val="20"/>
              </w:rPr>
              <w:t>Yes.</w:t>
            </w:r>
          </w:p>
        </w:tc>
      </w:tr>
      <w:tr w:rsidR="0003215A" w:rsidRPr="00F620FD" w:rsidTr="00FF664B">
        <w:trPr>
          <w:cantSplit/>
        </w:trPr>
        <w:tc>
          <w:tcPr>
            <w:tcW w:w="501" w:type="dxa"/>
            <w:shd w:val="clear" w:color="auto" w:fill="EDE8CB"/>
          </w:tcPr>
          <w:p w:rsidR="0003215A" w:rsidRPr="00F620FD" w:rsidRDefault="00DF6709" w:rsidP="00EE5688">
            <w:pPr>
              <w:pStyle w:val="TableSection"/>
              <w:jc w:val="center"/>
              <w:rPr>
                <w:rFonts w:cs="Arial"/>
                <w:sz w:val="20"/>
              </w:rPr>
            </w:pPr>
            <w:r>
              <w:rPr>
                <w:rFonts w:cs="Arial"/>
                <w:sz w:val="20"/>
              </w:rPr>
              <w:lastRenderedPageBreak/>
              <w:t>4</w:t>
            </w:r>
            <w:r w:rsidR="00BB17AB">
              <w:rPr>
                <w:rFonts w:cs="Arial"/>
                <w:sz w:val="20"/>
              </w:rPr>
              <w:t>5</w:t>
            </w:r>
          </w:p>
        </w:tc>
        <w:tc>
          <w:tcPr>
            <w:tcW w:w="3778" w:type="dxa"/>
            <w:shd w:val="clear" w:color="auto" w:fill="auto"/>
          </w:tcPr>
          <w:p w:rsidR="0003215A" w:rsidRPr="0003215A" w:rsidRDefault="0003215A" w:rsidP="0003215A">
            <w:pPr>
              <w:pStyle w:val="TableBodyText"/>
              <w:rPr>
                <w:rFonts w:cs="Arial"/>
                <w:sz w:val="20"/>
                <w:szCs w:val="20"/>
              </w:rPr>
            </w:pPr>
            <w:r>
              <w:rPr>
                <w:rFonts w:cs="Arial"/>
                <w:sz w:val="20"/>
                <w:szCs w:val="20"/>
              </w:rPr>
              <w:t>Contract Exhibit C.11.D</w:t>
            </w:r>
          </w:p>
        </w:tc>
        <w:tc>
          <w:tcPr>
            <w:tcW w:w="5568" w:type="dxa"/>
          </w:tcPr>
          <w:p w:rsidR="0003215A" w:rsidRPr="00F620FD" w:rsidRDefault="0003215A" w:rsidP="004C069B">
            <w:pPr>
              <w:pStyle w:val="TableBodyText"/>
              <w:rPr>
                <w:rFonts w:cs="Arial"/>
                <w:sz w:val="20"/>
                <w:szCs w:val="20"/>
              </w:rPr>
            </w:pPr>
            <w:r>
              <w:rPr>
                <w:rFonts w:cs="Arial"/>
                <w:sz w:val="20"/>
                <w:szCs w:val="20"/>
              </w:rPr>
              <w:t xml:space="preserve">Contract Exhibit C.11.D appears to be awkward in the way it has been written.  Is the intent that neither the AOC or its officers/employees shall be liable for (a) any loss or damage that happens to the work; (b) any loss or damage to any of the materials or other items use or employed in performing the work; (c) injury to any person or persons, either workers or the public; or (d) damage to property from any cause which might have been prevented by the contractor, its employees or agents;  against which injuries and/or damages the contractor shall properly guard against?    </w:t>
            </w:r>
          </w:p>
        </w:tc>
        <w:tc>
          <w:tcPr>
            <w:tcW w:w="4013" w:type="dxa"/>
            <w:shd w:val="clear" w:color="auto" w:fill="auto"/>
          </w:tcPr>
          <w:p w:rsidR="0003215A" w:rsidRPr="00F620FD" w:rsidRDefault="00273A2D" w:rsidP="00EE5688">
            <w:pPr>
              <w:pStyle w:val="TableBodyText"/>
              <w:rPr>
                <w:rFonts w:cs="Arial"/>
                <w:sz w:val="20"/>
                <w:szCs w:val="20"/>
              </w:rPr>
            </w:pPr>
            <w:r>
              <w:rPr>
                <w:rFonts w:cs="Arial"/>
                <w:sz w:val="20"/>
                <w:szCs w:val="20"/>
              </w:rPr>
              <w:t>Yes.</w:t>
            </w:r>
          </w:p>
        </w:tc>
      </w:tr>
      <w:tr w:rsidR="0003215A" w:rsidRPr="00F620FD" w:rsidTr="00FF664B">
        <w:trPr>
          <w:cantSplit/>
        </w:trPr>
        <w:tc>
          <w:tcPr>
            <w:tcW w:w="501" w:type="dxa"/>
            <w:shd w:val="clear" w:color="auto" w:fill="EDE8CB"/>
          </w:tcPr>
          <w:p w:rsidR="0003215A" w:rsidRPr="00F620FD" w:rsidRDefault="00DF6709" w:rsidP="00EE5688">
            <w:pPr>
              <w:pStyle w:val="TableSection"/>
              <w:jc w:val="center"/>
              <w:rPr>
                <w:rFonts w:cs="Arial"/>
                <w:sz w:val="20"/>
              </w:rPr>
            </w:pPr>
            <w:r>
              <w:rPr>
                <w:rFonts w:cs="Arial"/>
                <w:sz w:val="20"/>
              </w:rPr>
              <w:t>4</w:t>
            </w:r>
            <w:r w:rsidR="00BB17AB">
              <w:rPr>
                <w:rFonts w:cs="Arial"/>
                <w:sz w:val="20"/>
              </w:rPr>
              <w:t>6</w:t>
            </w:r>
          </w:p>
        </w:tc>
        <w:tc>
          <w:tcPr>
            <w:tcW w:w="3778" w:type="dxa"/>
            <w:shd w:val="clear" w:color="auto" w:fill="auto"/>
          </w:tcPr>
          <w:p w:rsidR="0003215A" w:rsidRPr="0003215A" w:rsidRDefault="0003215A" w:rsidP="0003215A">
            <w:pPr>
              <w:pStyle w:val="TableBodyText"/>
              <w:rPr>
                <w:rFonts w:cs="Arial"/>
                <w:sz w:val="20"/>
                <w:szCs w:val="20"/>
              </w:rPr>
            </w:pPr>
            <w:r>
              <w:rPr>
                <w:rFonts w:cs="Arial"/>
                <w:sz w:val="20"/>
                <w:szCs w:val="20"/>
              </w:rPr>
              <w:t>Exhibit C.11.</w:t>
            </w:r>
          </w:p>
        </w:tc>
        <w:tc>
          <w:tcPr>
            <w:tcW w:w="5568" w:type="dxa"/>
          </w:tcPr>
          <w:p w:rsidR="0003215A" w:rsidRPr="00F620FD" w:rsidRDefault="0003215A" w:rsidP="00125249">
            <w:pPr>
              <w:pStyle w:val="TableBodyText"/>
              <w:rPr>
                <w:rFonts w:cs="Arial"/>
                <w:sz w:val="20"/>
                <w:szCs w:val="20"/>
              </w:rPr>
            </w:pPr>
            <w:r>
              <w:rPr>
                <w:rFonts w:cs="Arial"/>
                <w:sz w:val="20"/>
                <w:szCs w:val="20"/>
              </w:rPr>
              <w:t xml:space="preserve">Exhibit </w:t>
            </w:r>
            <w:proofErr w:type="gramStart"/>
            <w:r>
              <w:rPr>
                <w:rFonts w:cs="Arial"/>
                <w:sz w:val="20"/>
                <w:szCs w:val="20"/>
              </w:rPr>
              <w:t>C.11.E  isn’t</w:t>
            </w:r>
            <w:proofErr w:type="gramEnd"/>
            <w:r>
              <w:rPr>
                <w:rFonts w:cs="Arial"/>
                <w:sz w:val="20"/>
                <w:szCs w:val="20"/>
              </w:rPr>
              <w:t xml:space="preserve"> clear where it states “AOC ….will not be personally responsible for liabilities arising under the Contract”.   Is this saying the AOC is not liable for damages stemming from its own breach of contract? </w:t>
            </w:r>
          </w:p>
        </w:tc>
        <w:tc>
          <w:tcPr>
            <w:tcW w:w="4013" w:type="dxa"/>
            <w:shd w:val="clear" w:color="auto" w:fill="auto"/>
          </w:tcPr>
          <w:p w:rsidR="0003215A" w:rsidRPr="00F620FD" w:rsidRDefault="00C36331" w:rsidP="00EE5688">
            <w:pPr>
              <w:pStyle w:val="TableBodyText"/>
              <w:rPr>
                <w:rFonts w:cs="Arial"/>
                <w:sz w:val="20"/>
                <w:szCs w:val="20"/>
              </w:rPr>
            </w:pPr>
            <w:r>
              <w:rPr>
                <w:rFonts w:cs="Arial"/>
                <w:sz w:val="20"/>
                <w:szCs w:val="20"/>
              </w:rPr>
              <w:t>No, this section refers to personal liability.</w:t>
            </w:r>
          </w:p>
        </w:tc>
      </w:tr>
      <w:tr w:rsidR="0003215A" w:rsidRPr="00F620FD" w:rsidTr="00FF664B">
        <w:trPr>
          <w:cantSplit/>
        </w:trPr>
        <w:tc>
          <w:tcPr>
            <w:tcW w:w="501" w:type="dxa"/>
            <w:shd w:val="clear" w:color="auto" w:fill="EDE8CB"/>
          </w:tcPr>
          <w:p w:rsidR="0003215A" w:rsidRPr="00F620FD" w:rsidRDefault="00DF6709" w:rsidP="00EE5688">
            <w:pPr>
              <w:pStyle w:val="TableSection"/>
              <w:jc w:val="center"/>
              <w:rPr>
                <w:rFonts w:cs="Arial"/>
                <w:sz w:val="20"/>
              </w:rPr>
            </w:pPr>
            <w:r>
              <w:rPr>
                <w:rFonts w:cs="Arial"/>
                <w:sz w:val="20"/>
              </w:rPr>
              <w:t>4</w:t>
            </w:r>
            <w:r w:rsidR="00BB17AB">
              <w:rPr>
                <w:rFonts w:cs="Arial"/>
                <w:sz w:val="20"/>
              </w:rPr>
              <w:t>7</w:t>
            </w:r>
          </w:p>
        </w:tc>
        <w:tc>
          <w:tcPr>
            <w:tcW w:w="3778" w:type="dxa"/>
            <w:shd w:val="clear" w:color="auto" w:fill="auto"/>
          </w:tcPr>
          <w:p w:rsidR="0003215A" w:rsidRPr="0003215A" w:rsidRDefault="0003215A" w:rsidP="0003215A">
            <w:pPr>
              <w:pStyle w:val="TableBodyText"/>
              <w:rPr>
                <w:rFonts w:cs="Arial"/>
                <w:sz w:val="20"/>
                <w:szCs w:val="20"/>
              </w:rPr>
            </w:pPr>
            <w:r>
              <w:rPr>
                <w:rFonts w:cs="Arial"/>
                <w:sz w:val="20"/>
                <w:szCs w:val="20"/>
              </w:rPr>
              <w:t>Exhibit C.20</w:t>
            </w:r>
          </w:p>
        </w:tc>
        <w:tc>
          <w:tcPr>
            <w:tcW w:w="5568" w:type="dxa"/>
          </w:tcPr>
          <w:p w:rsidR="0003215A" w:rsidRPr="00F620FD" w:rsidRDefault="0003215A" w:rsidP="00125249">
            <w:pPr>
              <w:pStyle w:val="TableBodyText"/>
              <w:rPr>
                <w:rFonts w:cs="Arial"/>
                <w:sz w:val="20"/>
                <w:szCs w:val="20"/>
              </w:rPr>
            </w:pPr>
            <w:r>
              <w:rPr>
                <w:rFonts w:cs="Arial"/>
                <w:sz w:val="20"/>
                <w:szCs w:val="20"/>
              </w:rPr>
              <w:t xml:space="preserve">Exhibit C.20 </w:t>
            </w:r>
            <w:proofErr w:type="gramStart"/>
            <w:r>
              <w:rPr>
                <w:rFonts w:cs="Arial"/>
                <w:sz w:val="20"/>
                <w:szCs w:val="20"/>
              </w:rPr>
              <w:t>-  How</w:t>
            </w:r>
            <w:proofErr w:type="gramEnd"/>
            <w:r>
              <w:rPr>
                <w:rFonts w:cs="Arial"/>
                <w:sz w:val="20"/>
                <w:szCs w:val="20"/>
              </w:rPr>
              <w:t xml:space="preserve"> is the AOC’s ..”</w:t>
            </w:r>
            <w:proofErr w:type="gramStart"/>
            <w:r>
              <w:rPr>
                <w:rFonts w:cs="Arial"/>
                <w:sz w:val="20"/>
                <w:szCs w:val="20"/>
              </w:rPr>
              <w:t>proprietary</w:t>
            </w:r>
            <w:proofErr w:type="gramEnd"/>
            <w:r>
              <w:rPr>
                <w:rFonts w:cs="Arial"/>
                <w:sz w:val="20"/>
                <w:szCs w:val="20"/>
              </w:rPr>
              <w:t xml:space="preserve"> and confidential information”  to be identified?</w:t>
            </w:r>
          </w:p>
        </w:tc>
        <w:tc>
          <w:tcPr>
            <w:tcW w:w="4013" w:type="dxa"/>
            <w:shd w:val="clear" w:color="auto" w:fill="auto"/>
          </w:tcPr>
          <w:p w:rsidR="0003215A" w:rsidRPr="00F620FD" w:rsidRDefault="00A84F1E" w:rsidP="00EE5688">
            <w:pPr>
              <w:pStyle w:val="TableBodyText"/>
              <w:rPr>
                <w:rFonts w:cs="Arial"/>
                <w:sz w:val="20"/>
                <w:szCs w:val="20"/>
              </w:rPr>
            </w:pPr>
            <w:r>
              <w:rPr>
                <w:rFonts w:cs="Arial"/>
                <w:sz w:val="20"/>
                <w:szCs w:val="20"/>
              </w:rPr>
              <w:t>AOC will advise.</w:t>
            </w:r>
          </w:p>
        </w:tc>
      </w:tr>
      <w:tr w:rsidR="0003215A" w:rsidRPr="00F620FD" w:rsidTr="00FF664B">
        <w:trPr>
          <w:cantSplit/>
        </w:trPr>
        <w:tc>
          <w:tcPr>
            <w:tcW w:w="501" w:type="dxa"/>
            <w:shd w:val="clear" w:color="auto" w:fill="EDE8CB"/>
          </w:tcPr>
          <w:p w:rsidR="0003215A" w:rsidRPr="00F620FD" w:rsidRDefault="00BB17AB" w:rsidP="00EE5688">
            <w:pPr>
              <w:pStyle w:val="TableSection"/>
              <w:jc w:val="center"/>
              <w:rPr>
                <w:rFonts w:cs="Arial"/>
                <w:sz w:val="20"/>
              </w:rPr>
            </w:pPr>
            <w:r>
              <w:rPr>
                <w:rFonts w:cs="Arial"/>
                <w:sz w:val="20"/>
              </w:rPr>
              <w:t>48</w:t>
            </w:r>
          </w:p>
        </w:tc>
        <w:tc>
          <w:tcPr>
            <w:tcW w:w="3778" w:type="dxa"/>
            <w:shd w:val="clear" w:color="auto" w:fill="auto"/>
          </w:tcPr>
          <w:p w:rsidR="0003215A" w:rsidRPr="0003215A" w:rsidRDefault="0003215A" w:rsidP="0003215A">
            <w:pPr>
              <w:pStyle w:val="TableBodyText"/>
              <w:rPr>
                <w:rFonts w:cs="Arial"/>
                <w:sz w:val="20"/>
                <w:szCs w:val="20"/>
              </w:rPr>
            </w:pPr>
            <w:r>
              <w:rPr>
                <w:rFonts w:cs="Arial"/>
                <w:sz w:val="20"/>
                <w:szCs w:val="20"/>
              </w:rPr>
              <w:t>C.23.2</w:t>
            </w:r>
          </w:p>
        </w:tc>
        <w:tc>
          <w:tcPr>
            <w:tcW w:w="5568" w:type="dxa"/>
          </w:tcPr>
          <w:p w:rsidR="0003215A" w:rsidRPr="00F620FD" w:rsidRDefault="0003215A" w:rsidP="00125249">
            <w:pPr>
              <w:pStyle w:val="TableBodyText"/>
              <w:rPr>
                <w:rFonts w:cs="Arial"/>
                <w:sz w:val="20"/>
                <w:szCs w:val="20"/>
              </w:rPr>
            </w:pPr>
            <w:r>
              <w:rPr>
                <w:rFonts w:cs="Arial"/>
                <w:sz w:val="20"/>
                <w:szCs w:val="20"/>
              </w:rPr>
              <w:t xml:space="preserve">Exhibit C.23.2 – the numbering of the section is off.  Paragraph 23.2.D refers to “mediation pursuant to Section C.23(c).”   There is no “C.23.c”.  There is a paragraph C.23.2.C entitled “Mediation”  </w:t>
            </w:r>
          </w:p>
        </w:tc>
        <w:tc>
          <w:tcPr>
            <w:tcW w:w="4013" w:type="dxa"/>
            <w:shd w:val="clear" w:color="auto" w:fill="auto"/>
          </w:tcPr>
          <w:p w:rsidR="0003215A" w:rsidRPr="00F620FD" w:rsidRDefault="0003215A" w:rsidP="0003215A">
            <w:pPr>
              <w:pStyle w:val="TableBodyText"/>
              <w:rPr>
                <w:rFonts w:cs="Arial"/>
                <w:sz w:val="20"/>
                <w:szCs w:val="20"/>
              </w:rPr>
            </w:pPr>
            <w:r>
              <w:rPr>
                <w:rFonts w:cs="Arial"/>
                <w:sz w:val="20"/>
                <w:szCs w:val="20"/>
              </w:rPr>
              <w:t>Please refer to the C.23.2.C entitled “Mediation” directly above the reference.</w:t>
            </w:r>
          </w:p>
        </w:tc>
      </w:tr>
      <w:tr w:rsidR="0003215A" w:rsidRPr="00F620FD" w:rsidTr="00FF664B">
        <w:trPr>
          <w:cantSplit/>
        </w:trPr>
        <w:tc>
          <w:tcPr>
            <w:tcW w:w="501" w:type="dxa"/>
            <w:shd w:val="clear" w:color="auto" w:fill="EDE8CB"/>
          </w:tcPr>
          <w:p w:rsidR="0003215A" w:rsidRPr="00F620FD" w:rsidRDefault="00BB17AB" w:rsidP="00DF6709">
            <w:pPr>
              <w:pStyle w:val="TableSection"/>
              <w:jc w:val="center"/>
              <w:rPr>
                <w:rFonts w:cs="Arial"/>
                <w:sz w:val="20"/>
              </w:rPr>
            </w:pPr>
            <w:r>
              <w:rPr>
                <w:rFonts w:cs="Arial"/>
                <w:sz w:val="20"/>
              </w:rPr>
              <w:t>49</w:t>
            </w:r>
          </w:p>
        </w:tc>
        <w:tc>
          <w:tcPr>
            <w:tcW w:w="3778" w:type="dxa"/>
            <w:shd w:val="clear" w:color="auto" w:fill="auto"/>
          </w:tcPr>
          <w:p w:rsidR="0003215A" w:rsidRPr="0003215A" w:rsidRDefault="0003215A" w:rsidP="0003215A">
            <w:pPr>
              <w:pStyle w:val="TableBodyText"/>
              <w:rPr>
                <w:rFonts w:cs="Arial"/>
                <w:sz w:val="20"/>
                <w:szCs w:val="20"/>
              </w:rPr>
            </w:pPr>
          </w:p>
        </w:tc>
        <w:tc>
          <w:tcPr>
            <w:tcW w:w="5568" w:type="dxa"/>
          </w:tcPr>
          <w:p w:rsidR="0003215A" w:rsidRPr="004C34EF" w:rsidRDefault="0003215A" w:rsidP="00125249">
            <w:pPr>
              <w:pStyle w:val="TableBodyText"/>
              <w:rPr>
                <w:rFonts w:cs="Arial"/>
                <w:sz w:val="20"/>
                <w:szCs w:val="20"/>
              </w:rPr>
            </w:pPr>
            <w:r>
              <w:rPr>
                <w:rFonts w:cs="Arial"/>
                <w:sz w:val="20"/>
                <w:szCs w:val="20"/>
              </w:rPr>
              <w:t>What format will the architect be using to create the design documents?  What software programs are they using to create these documents, and in what format will the files be available for use by the contractor once the project has been awarded?</w:t>
            </w:r>
          </w:p>
        </w:tc>
        <w:tc>
          <w:tcPr>
            <w:tcW w:w="4013" w:type="dxa"/>
            <w:shd w:val="clear" w:color="auto" w:fill="auto"/>
          </w:tcPr>
          <w:p w:rsidR="0003215A" w:rsidRPr="00F620FD" w:rsidRDefault="00A84F1E" w:rsidP="00EE5688">
            <w:pPr>
              <w:pStyle w:val="TableBodyText"/>
              <w:rPr>
                <w:rFonts w:cs="Arial"/>
                <w:sz w:val="20"/>
                <w:szCs w:val="20"/>
              </w:rPr>
            </w:pPr>
            <w:r>
              <w:rPr>
                <w:rFonts w:cs="Arial"/>
                <w:sz w:val="20"/>
                <w:szCs w:val="20"/>
              </w:rPr>
              <w:t>The final format will be decided during the Working Drawings phase.</w:t>
            </w:r>
          </w:p>
        </w:tc>
      </w:tr>
      <w:tr w:rsidR="0003215A" w:rsidRPr="00F620FD" w:rsidTr="00FF664B">
        <w:trPr>
          <w:cantSplit/>
        </w:trPr>
        <w:tc>
          <w:tcPr>
            <w:tcW w:w="501" w:type="dxa"/>
            <w:shd w:val="clear" w:color="auto" w:fill="EDE8CB"/>
          </w:tcPr>
          <w:p w:rsidR="0003215A" w:rsidRPr="00F620FD" w:rsidRDefault="00DF6709" w:rsidP="00EE5688">
            <w:pPr>
              <w:pStyle w:val="TableSection"/>
              <w:jc w:val="center"/>
              <w:rPr>
                <w:rFonts w:cs="Arial"/>
                <w:sz w:val="20"/>
              </w:rPr>
            </w:pPr>
            <w:r>
              <w:rPr>
                <w:rFonts w:cs="Arial"/>
                <w:sz w:val="20"/>
              </w:rPr>
              <w:lastRenderedPageBreak/>
              <w:t>5</w:t>
            </w:r>
            <w:r w:rsidR="00BB17AB">
              <w:rPr>
                <w:rFonts w:cs="Arial"/>
                <w:sz w:val="20"/>
              </w:rPr>
              <w:t>0</w:t>
            </w:r>
          </w:p>
        </w:tc>
        <w:tc>
          <w:tcPr>
            <w:tcW w:w="3778" w:type="dxa"/>
            <w:shd w:val="clear" w:color="auto" w:fill="auto"/>
          </w:tcPr>
          <w:p w:rsidR="0003215A" w:rsidRDefault="0003215A" w:rsidP="0003215A">
            <w:pPr>
              <w:pStyle w:val="TableBullet"/>
              <w:numPr>
                <w:ilvl w:val="0"/>
                <w:numId w:val="0"/>
              </w:numPr>
              <w:ind w:left="162"/>
              <w:rPr>
                <w:rFonts w:cs="Arial"/>
                <w:sz w:val="20"/>
              </w:rPr>
            </w:pPr>
            <w:r w:rsidRPr="0069709D">
              <w:rPr>
                <w:rFonts w:cs="Arial"/>
                <w:b/>
                <w:i/>
                <w:sz w:val="20"/>
              </w:rPr>
              <w:t>RFQ/P</w:t>
            </w:r>
            <w:r>
              <w:rPr>
                <w:rFonts w:cs="Arial"/>
                <w:sz w:val="20"/>
              </w:rPr>
              <w:t>, page 6 of 22, d) Tab 4</w:t>
            </w:r>
          </w:p>
          <w:p w:rsidR="0003215A" w:rsidRDefault="0003215A" w:rsidP="0003215A">
            <w:pPr>
              <w:pStyle w:val="TableBullet"/>
              <w:numPr>
                <w:ilvl w:val="0"/>
                <w:numId w:val="0"/>
              </w:numPr>
              <w:ind w:left="162"/>
              <w:rPr>
                <w:rFonts w:cs="Arial"/>
                <w:sz w:val="20"/>
              </w:rPr>
            </w:pPr>
            <w:r>
              <w:rPr>
                <w:rFonts w:cs="Arial"/>
                <w:sz w:val="20"/>
              </w:rPr>
              <w:t xml:space="preserve">and </w:t>
            </w:r>
          </w:p>
          <w:p w:rsidR="0003215A" w:rsidRDefault="0003215A" w:rsidP="0003215A">
            <w:pPr>
              <w:pStyle w:val="TableBullet"/>
              <w:numPr>
                <w:ilvl w:val="0"/>
                <w:numId w:val="0"/>
              </w:numPr>
              <w:ind w:left="162"/>
              <w:rPr>
                <w:rFonts w:cs="Arial"/>
                <w:sz w:val="20"/>
              </w:rPr>
            </w:pPr>
            <w:r w:rsidRPr="0069709D">
              <w:rPr>
                <w:rFonts w:cs="Arial"/>
                <w:b/>
                <w:i/>
                <w:sz w:val="20"/>
              </w:rPr>
              <w:t>Attachment E:  Technical Qualifications Questionnaire</w:t>
            </w:r>
            <w:r>
              <w:rPr>
                <w:rFonts w:cs="Arial"/>
                <w:sz w:val="20"/>
              </w:rPr>
              <w:t>:#13 (page 4 of 6)</w:t>
            </w:r>
          </w:p>
          <w:p w:rsidR="0003215A" w:rsidRDefault="0003215A"/>
        </w:tc>
        <w:tc>
          <w:tcPr>
            <w:tcW w:w="5568" w:type="dxa"/>
          </w:tcPr>
          <w:p w:rsidR="0003215A" w:rsidRPr="004C34EF" w:rsidRDefault="0003215A" w:rsidP="00125249">
            <w:pPr>
              <w:pStyle w:val="TableBodyText"/>
              <w:rPr>
                <w:rFonts w:cs="Arial"/>
                <w:sz w:val="20"/>
                <w:szCs w:val="20"/>
              </w:rPr>
            </w:pPr>
            <w:r>
              <w:rPr>
                <w:rFonts w:cs="Arial"/>
                <w:sz w:val="20"/>
                <w:szCs w:val="20"/>
              </w:rPr>
              <w:t xml:space="preserve">In the </w:t>
            </w:r>
            <w:r w:rsidRPr="0069709D">
              <w:rPr>
                <w:rFonts w:cs="Arial"/>
                <w:b/>
                <w:i/>
                <w:sz w:val="20"/>
                <w:szCs w:val="20"/>
              </w:rPr>
              <w:t>RFQ/P</w:t>
            </w:r>
            <w:r>
              <w:rPr>
                <w:rFonts w:cs="Arial"/>
                <w:sz w:val="20"/>
                <w:szCs w:val="20"/>
              </w:rPr>
              <w:t xml:space="preserve">, it states that we have a maximum of two pages per project, to include the 330 Part I (F) and a second page for supporting photographs and /or graphics.  However, in the </w:t>
            </w:r>
            <w:r w:rsidRPr="0069709D">
              <w:rPr>
                <w:rFonts w:cs="Arial"/>
                <w:b/>
                <w:i/>
                <w:sz w:val="20"/>
                <w:szCs w:val="20"/>
              </w:rPr>
              <w:t>Technical Qualifications Questionnaire</w:t>
            </w:r>
            <w:r>
              <w:rPr>
                <w:rFonts w:cs="Arial"/>
                <w:sz w:val="20"/>
                <w:szCs w:val="20"/>
              </w:rPr>
              <w:t xml:space="preserve"> #13, the first bullet point asks for at least two projects for which we provided pre-construction and construction services, and requires that we demonstrate our experience in value engineering, estimating, and constructability review.  The second bullet point asks for at least two projects demonstrating our experience as CM at Risk with a GMAX, and ask for our experience soliciting bids, managing multiple subcontractors and that we include samples of pre-bid and post-construction schedules.  For the projects that we are including as samples to fit the categories listed in bullets 1 and 2, are we still limited to two pages only for each project?  The schedules alone may take more than two pages apiece.  Please clarify whether we can use more than two pages for those projects which meet the criteria listed in the Technical Qualifications Questionnaire #13.</w:t>
            </w:r>
          </w:p>
        </w:tc>
        <w:tc>
          <w:tcPr>
            <w:tcW w:w="4013" w:type="dxa"/>
            <w:shd w:val="clear" w:color="auto" w:fill="auto"/>
          </w:tcPr>
          <w:p w:rsidR="0003215A" w:rsidRPr="00F620FD" w:rsidRDefault="00F95121" w:rsidP="00EE5688">
            <w:pPr>
              <w:pStyle w:val="TableBodyText"/>
              <w:rPr>
                <w:rFonts w:cs="Arial"/>
                <w:sz w:val="20"/>
                <w:szCs w:val="20"/>
              </w:rPr>
            </w:pPr>
            <w:r>
              <w:rPr>
                <w:rFonts w:cs="Arial"/>
                <w:sz w:val="20"/>
                <w:szCs w:val="20"/>
              </w:rPr>
              <w:t>Do not find this in Attac</w:t>
            </w:r>
            <w:r w:rsidR="00CA5894">
              <w:rPr>
                <w:rFonts w:cs="Arial"/>
                <w:sz w:val="20"/>
                <w:szCs w:val="20"/>
              </w:rPr>
              <w:t xml:space="preserve">hment E, question 13.  Two (2) </w:t>
            </w:r>
            <w:r>
              <w:rPr>
                <w:rFonts w:cs="Arial"/>
                <w:sz w:val="20"/>
                <w:szCs w:val="20"/>
              </w:rPr>
              <w:t xml:space="preserve">pages per project is </w:t>
            </w:r>
            <w:r w:rsidR="000B744F">
              <w:rPr>
                <w:rFonts w:cs="Arial"/>
                <w:sz w:val="20"/>
                <w:szCs w:val="20"/>
              </w:rPr>
              <w:t>highly preferred</w:t>
            </w:r>
            <w:r>
              <w:rPr>
                <w:rFonts w:cs="Arial"/>
                <w:sz w:val="20"/>
                <w:szCs w:val="20"/>
              </w:rPr>
              <w:t xml:space="preserve">, however proposers will not be disqualified if </w:t>
            </w:r>
            <w:r w:rsidR="000B744F">
              <w:rPr>
                <w:rFonts w:cs="Arial"/>
                <w:sz w:val="20"/>
                <w:szCs w:val="20"/>
              </w:rPr>
              <w:t>more than two pages are provided.</w:t>
            </w:r>
          </w:p>
        </w:tc>
      </w:tr>
    </w:tbl>
    <w:p w:rsidR="00D516EF" w:rsidRDefault="00D516EF" w:rsidP="00D516EF">
      <w:pPr>
        <w:ind w:left="210"/>
      </w:pPr>
    </w:p>
    <w:p w:rsidR="00FC3C23" w:rsidRDefault="00FC3C23">
      <w:r>
        <w:t xml:space="preserve">                                                                                                                                                                                                                                    </w:t>
      </w:r>
    </w:p>
    <w:sectPr w:rsidR="00FC3C23" w:rsidSect="008A1F74">
      <w:headerReference w:type="default"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4C" w:rsidRDefault="004E7E4C" w:rsidP="00FC3C23">
      <w:r>
        <w:separator/>
      </w:r>
    </w:p>
  </w:endnote>
  <w:endnote w:type="continuationSeparator" w:id="0">
    <w:p w:rsidR="004E7E4C" w:rsidRDefault="004E7E4C" w:rsidP="00FC3C2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C" w:rsidRDefault="004E7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C" w:rsidRDefault="004E7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4C" w:rsidRDefault="004E7E4C" w:rsidP="00FC3C23">
      <w:r>
        <w:separator/>
      </w:r>
    </w:p>
  </w:footnote>
  <w:footnote w:type="continuationSeparator" w:id="0">
    <w:p w:rsidR="004E7E4C" w:rsidRDefault="004E7E4C" w:rsidP="00FC3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C" w:rsidRDefault="004E7E4C" w:rsidP="00FC3C23">
    <w:pPr>
      <w:pStyle w:val="Heade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4E7E4C" w:rsidRDefault="004E7E4C" w:rsidP="00FC3C2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C" w:rsidRDefault="004E7E4C" w:rsidP="00FC3C23">
    <w:pPr>
      <w:pStyle w:val="Header"/>
      <w:jc w:val="center"/>
    </w:pPr>
    <w:r>
      <w:rPr>
        <w:rFonts w:ascii="Arial" w:hAnsi="Arial"/>
        <w:noProof/>
        <w:sz w:val="20"/>
      </w:rPr>
      <w:drawing>
        <wp:inline distT="0" distB="0" distL="0" distR="0">
          <wp:extent cx="2590800" cy="1295400"/>
          <wp:effectExtent l="19050" t="0" r="0" b="0"/>
          <wp:docPr id="4" name="Picture 4"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4E7E4C" w:rsidRDefault="004E7E4C" w:rsidP="00FC3C23">
    <w:pPr>
      <w:pStyle w:val="JCCAddress1stline"/>
    </w:pPr>
    <w:r>
      <w:t xml:space="preserve">455 Golden Gate </w:t>
    </w:r>
    <w:proofErr w:type="gramStart"/>
    <w:r>
      <w:t xml:space="preserve">Avenue </w:t>
    </w:r>
    <w:r>
      <w:rPr>
        <w:position w:val="4"/>
        <w:sz w:val="40"/>
      </w:rPr>
      <w:t>.</w:t>
    </w:r>
    <w:proofErr w:type="gramEnd"/>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4E7E4C" w:rsidRDefault="004E7E4C" w:rsidP="00FC3C23">
    <w:pPr>
      <w:pStyle w:val="JCCAddress2ndline"/>
    </w:pPr>
    <w:r>
      <w:t>Telephone 415-865-</w:t>
    </w:r>
    <w:proofErr w:type="gramStart"/>
    <w:r>
      <w:t xml:space="preserve">4200 </w:t>
    </w:r>
    <w:r>
      <w:rPr>
        <w:position w:val="4"/>
        <w:sz w:val="40"/>
      </w:rPr>
      <w:t>.</w:t>
    </w:r>
    <w:proofErr w:type="gramEnd"/>
    <w:r>
      <w:t xml:space="preserve"> Fax 415-865--</w:t>
    </w:r>
    <w:proofErr w:type="gramStart"/>
    <w:r>
      <w:t xml:space="preserve">4205 </w:t>
    </w:r>
    <w:r>
      <w:rPr>
        <w:position w:val="4"/>
        <w:sz w:val="40"/>
      </w:rPr>
      <w:t>.</w:t>
    </w:r>
    <w:proofErr w:type="gramEnd"/>
    <w:r>
      <w:t xml:space="preserve"> TDD 415-865--4272</w:t>
    </w:r>
  </w:p>
  <w:p w:rsidR="004E7E4C" w:rsidRDefault="004E7E4C" w:rsidP="00FC3C23">
    <w:pPr>
      <w:jc w:val="center"/>
    </w:pPr>
  </w:p>
  <w:p w:rsidR="004E7E4C" w:rsidRDefault="004E7E4C" w:rsidP="00FC3C23">
    <w:pPr>
      <w:jc w:val="center"/>
      <w:rPr>
        <w:sz w:val="12"/>
      </w:rPr>
    </w:pPr>
  </w:p>
  <w:p w:rsidR="004E7E4C" w:rsidRDefault="004E7E4C" w:rsidP="00FC3C23">
    <w:pPr>
      <w:pStyle w:val="MemoTitle"/>
    </w:pPr>
    <w:r>
      <w:t>Addendum 3</w:t>
    </w:r>
  </w:p>
  <w:p w:rsidR="004E7E4C" w:rsidRDefault="004E7E4C" w:rsidP="00FC3C2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C" w:rsidRDefault="004E7E4C" w:rsidP="008D7320">
    <w:pPr>
      <w:pStyle w:val="Header"/>
      <w:jc w:val="center"/>
    </w:pPr>
    <w:r>
      <w:t>New Hollister Courthouse</w:t>
    </w:r>
  </w:p>
  <w:p w:rsidR="004E7E4C" w:rsidRDefault="004E7E4C" w:rsidP="008D7320">
    <w:pPr>
      <w:pStyle w:val="Header"/>
      <w:jc w:val="center"/>
    </w:pPr>
    <w:r>
      <w:t>CM @ Risk</w:t>
    </w:r>
  </w:p>
  <w:p w:rsidR="004E7E4C" w:rsidRDefault="004E7E4C" w:rsidP="008D7320">
    <w:pPr>
      <w:pStyle w:val="Header"/>
      <w:jc w:val="center"/>
    </w:pPr>
    <w:r>
      <w:t>RFQ/P #OCCM-FY2008-14</w:t>
    </w:r>
  </w:p>
  <w:p w:rsidR="004E7E4C" w:rsidRDefault="004E7E4C" w:rsidP="00FC3C23">
    <w:pPr>
      <w:pStyle w:val="Header"/>
      <w:jc w:val="center"/>
    </w:pPr>
  </w:p>
  <w:p w:rsidR="004E7E4C" w:rsidRDefault="004E7E4C" w:rsidP="00FC3C23">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4C" w:rsidRDefault="004E7E4C" w:rsidP="00FC3C2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36995"/>
    <w:multiLevelType w:val="hybridMultilevel"/>
    <w:tmpl w:val="79BCC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E1917"/>
    <w:multiLevelType w:val="hybridMultilevel"/>
    <w:tmpl w:val="8C7E5186"/>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5455056F"/>
    <w:multiLevelType w:val="multilevel"/>
    <w:tmpl w:val="1646BB12"/>
    <w:lvl w:ilvl="0">
      <w:numFmt w:val="none"/>
      <w:pStyle w:val="PldCentrL1"/>
      <w:lvlText w:val=""/>
      <w:lvlJc w:val="left"/>
      <w:pPr>
        <w:tabs>
          <w:tab w:val="num" w:pos="360"/>
        </w:tabs>
      </w:pPr>
      <w:rPr>
        <w:rFonts w:cs="Times New Roman"/>
      </w:rPr>
    </w:lvl>
    <w:lvl w:ilvl="1">
      <w:start w:val="1"/>
      <w:numFmt w:val="decimal"/>
      <w:pStyle w:val="PldCentrL2"/>
      <w:lvlText w:val="%1.%2."/>
      <w:lvlJc w:val="left"/>
      <w:pPr>
        <w:tabs>
          <w:tab w:val="num" w:pos="720"/>
        </w:tabs>
        <w:ind w:left="720" w:hanging="720"/>
      </w:pPr>
      <w:rPr>
        <w:rFonts w:ascii="Times New Roman" w:hAnsi="Times New Roman" w:cs="Times New Roman" w:hint="default"/>
        <w:b/>
        <w:i w:val="0"/>
        <w:caps w:val="0"/>
        <w:smallCaps w:val="0"/>
        <w:color w:val="auto"/>
        <w:sz w:val="24"/>
        <w:u w:val="none"/>
      </w:rPr>
    </w:lvl>
    <w:lvl w:ilvl="2">
      <w:start w:val="1"/>
      <w:numFmt w:val="upperLetter"/>
      <w:pStyle w:val="PldCentrL3"/>
      <w:lvlText w:val="%3."/>
      <w:lvlJc w:val="left"/>
      <w:pPr>
        <w:tabs>
          <w:tab w:val="num" w:pos="1440"/>
        </w:tabs>
        <w:ind w:firstLine="720"/>
      </w:pPr>
      <w:rPr>
        <w:rFonts w:cs="Times New Roman"/>
        <w:b w:val="0"/>
        <w:i w:val="0"/>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color w:val="auto"/>
        <w:sz w:val="24"/>
        <w:u w:val="none"/>
      </w:rPr>
    </w:lvl>
    <w:lvl w:ilvl="4">
      <w:start w:val="1"/>
      <w:numFmt w:val="lowerRoman"/>
      <w:pStyle w:val="PldCentrL5"/>
      <w:lvlText w:val="(%5)"/>
      <w:lvlJc w:val="left"/>
      <w:pPr>
        <w:tabs>
          <w:tab w:val="num" w:pos="2790"/>
        </w:tabs>
        <w:ind w:left="2790" w:hanging="720"/>
      </w:pPr>
      <w:rPr>
        <w:rFonts w:ascii="Times New Roman" w:hAnsi="Times New Roman" w:cs="Times New Roman" w:hint="default"/>
        <w:caps w:val="0"/>
        <w:smallCaps w:val="0"/>
        <w:color w:val="auto"/>
        <w:sz w:val="24"/>
        <w:u w:val="none"/>
      </w:rPr>
    </w:lvl>
    <w:lvl w:ilvl="5">
      <w:start w:val="1"/>
      <w:numFmt w:val="lowerLetter"/>
      <w:pStyle w:val="PldCentrL6"/>
      <w:lvlText w:val="(%6)"/>
      <w:lvlJc w:val="left"/>
      <w:pPr>
        <w:tabs>
          <w:tab w:val="num" w:pos="3384"/>
        </w:tabs>
        <w:ind w:left="3384" w:hanging="504"/>
      </w:pPr>
      <w:rPr>
        <w:rFonts w:ascii="Times New Roman" w:hAnsi="Times New Roman" w:cs="Times New Roman" w:hint="default"/>
        <w:b w:val="0"/>
        <w:i w:val="0"/>
        <w:caps w:val="0"/>
        <w:smallCaps w:val="0"/>
        <w:color w:val="auto"/>
        <w:sz w:val="24"/>
        <w:u w:val="none"/>
      </w:rPr>
    </w:lvl>
    <w:lvl w:ilvl="6">
      <w:start w:val="1"/>
      <w:numFmt w:val="decimal"/>
      <w:pStyle w:val="PldCentrL7"/>
      <w:lvlText w:val="(%7)"/>
      <w:lvlJc w:val="left"/>
      <w:pPr>
        <w:tabs>
          <w:tab w:val="num" w:pos="4410"/>
        </w:tabs>
        <w:ind w:left="4410" w:hanging="720"/>
      </w:pPr>
      <w:rPr>
        <w:rFonts w:ascii="Times New Roman" w:hAnsi="Times New Roman" w:cs="Times New Roman" w:hint="default"/>
        <w:b w:val="0"/>
        <w:i w:val="0"/>
        <w:caps w:val="0"/>
        <w:smallCaps w:val="0"/>
        <w:color w:val="auto"/>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hint="default"/>
        <w:b w:val="0"/>
        <w:i w:val="0"/>
        <w:caps w:val="0"/>
        <w:smallCaps w:val="0"/>
        <w:color w:val="auto"/>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hint="default"/>
        <w:b w:val="0"/>
        <w:i w:val="0"/>
        <w:caps w:val="0"/>
        <w:smallCaps w:val="0"/>
        <w:color w:val="auto"/>
        <w:sz w:val="24"/>
        <w:u w:val="none"/>
      </w:rPr>
    </w:lvl>
  </w:abstractNum>
  <w:abstractNum w:abstractNumId="4">
    <w:nsid w:val="57231481"/>
    <w:multiLevelType w:val="hybridMultilevel"/>
    <w:tmpl w:val="7D78C40C"/>
    <w:lvl w:ilvl="0" w:tplc="04090001">
      <w:start w:val="1"/>
      <w:numFmt w:val="bullet"/>
      <w:lvlText w:val=""/>
      <w:lvlJc w:val="left"/>
      <w:pPr>
        <w:ind w:left="930" w:hanging="360"/>
      </w:pPr>
      <w:rPr>
        <w:rFonts w:ascii="Symbol" w:hAnsi="Symbol"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FC3C23"/>
    <w:rsid w:val="0003215A"/>
    <w:rsid w:val="000B744F"/>
    <w:rsid w:val="00112A9A"/>
    <w:rsid w:val="00125249"/>
    <w:rsid w:val="00142514"/>
    <w:rsid w:val="00156C28"/>
    <w:rsid w:val="00190D33"/>
    <w:rsid w:val="001D7E8E"/>
    <w:rsid w:val="001E47AF"/>
    <w:rsid w:val="00207235"/>
    <w:rsid w:val="002135B5"/>
    <w:rsid w:val="00273A2D"/>
    <w:rsid w:val="002A467F"/>
    <w:rsid w:val="002B1FCA"/>
    <w:rsid w:val="002C2625"/>
    <w:rsid w:val="002C35AB"/>
    <w:rsid w:val="002E6691"/>
    <w:rsid w:val="00373473"/>
    <w:rsid w:val="003763C8"/>
    <w:rsid w:val="0037750B"/>
    <w:rsid w:val="003C3859"/>
    <w:rsid w:val="00467AD9"/>
    <w:rsid w:val="00493C54"/>
    <w:rsid w:val="004A0B83"/>
    <w:rsid w:val="004C069B"/>
    <w:rsid w:val="004E7E4C"/>
    <w:rsid w:val="00500DC5"/>
    <w:rsid w:val="005A60DE"/>
    <w:rsid w:val="005E0740"/>
    <w:rsid w:val="005F55FD"/>
    <w:rsid w:val="005F628C"/>
    <w:rsid w:val="00602845"/>
    <w:rsid w:val="00662C42"/>
    <w:rsid w:val="0071479C"/>
    <w:rsid w:val="00761187"/>
    <w:rsid w:val="007C1B50"/>
    <w:rsid w:val="007C7180"/>
    <w:rsid w:val="007F1B19"/>
    <w:rsid w:val="0080785E"/>
    <w:rsid w:val="00817B93"/>
    <w:rsid w:val="0084696E"/>
    <w:rsid w:val="00846EF7"/>
    <w:rsid w:val="00862CE3"/>
    <w:rsid w:val="0088610D"/>
    <w:rsid w:val="00891DBB"/>
    <w:rsid w:val="008A1F74"/>
    <w:rsid w:val="008B6674"/>
    <w:rsid w:val="008C0525"/>
    <w:rsid w:val="008D7320"/>
    <w:rsid w:val="008F484C"/>
    <w:rsid w:val="0093651C"/>
    <w:rsid w:val="00941A2E"/>
    <w:rsid w:val="00943259"/>
    <w:rsid w:val="009B5F3C"/>
    <w:rsid w:val="00A84F1E"/>
    <w:rsid w:val="00B533D5"/>
    <w:rsid w:val="00BB17AB"/>
    <w:rsid w:val="00BF713A"/>
    <w:rsid w:val="00C04210"/>
    <w:rsid w:val="00C2597A"/>
    <w:rsid w:val="00C36331"/>
    <w:rsid w:val="00C82670"/>
    <w:rsid w:val="00CA5894"/>
    <w:rsid w:val="00CB2719"/>
    <w:rsid w:val="00CB71AF"/>
    <w:rsid w:val="00CE4210"/>
    <w:rsid w:val="00CF7AF4"/>
    <w:rsid w:val="00D02B96"/>
    <w:rsid w:val="00D516EF"/>
    <w:rsid w:val="00D557D1"/>
    <w:rsid w:val="00D65299"/>
    <w:rsid w:val="00D75727"/>
    <w:rsid w:val="00D815B6"/>
    <w:rsid w:val="00D9370F"/>
    <w:rsid w:val="00DB3CDE"/>
    <w:rsid w:val="00DF6709"/>
    <w:rsid w:val="00E94FAB"/>
    <w:rsid w:val="00E95BA4"/>
    <w:rsid w:val="00EC1E17"/>
    <w:rsid w:val="00EE2EA9"/>
    <w:rsid w:val="00EE5688"/>
    <w:rsid w:val="00F25EB3"/>
    <w:rsid w:val="00F50ED6"/>
    <w:rsid w:val="00F9275D"/>
    <w:rsid w:val="00F95121"/>
    <w:rsid w:val="00FC3C23"/>
    <w:rsid w:val="00FF0F4A"/>
    <w:rsid w:val="00FF6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3C23"/>
    <w:pPr>
      <w:spacing w:line="240" w:lineRule="auto"/>
    </w:pPr>
    <w:rPr>
      <w:rFonts w:ascii="Garamond" w:eastAsia="Times New Roman" w:hAnsi="Garamond"/>
      <w:sz w:val="22"/>
      <w:szCs w:val="20"/>
      <w:lang w:bidi="ar-SA"/>
    </w:rPr>
  </w:style>
  <w:style w:type="paragraph" w:styleId="Heading1">
    <w:name w:val="heading 1"/>
    <w:basedOn w:val="Normal"/>
    <w:next w:val="Normal"/>
    <w:link w:val="Heading1Char"/>
    <w:uiPriority w:val="9"/>
    <w:qFormat/>
    <w:rsid w:val="002C35A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35A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35AB"/>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35AB"/>
    <w:pPr>
      <w:spacing w:before="240" w:after="60"/>
      <w:outlineLvl w:val="5"/>
    </w:pPr>
    <w:rPr>
      <w:b/>
      <w:bCs/>
    </w:rPr>
  </w:style>
  <w:style w:type="paragraph" w:styleId="Heading7">
    <w:name w:val="heading 7"/>
    <w:basedOn w:val="Normal"/>
    <w:next w:val="Normal"/>
    <w:link w:val="Heading7Char"/>
    <w:uiPriority w:val="9"/>
    <w:semiHidden/>
    <w:unhideWhenUsed/>
    <w:qFormat/>
    <w:rsid w:val="002C35AB"/>
    <w:pPr>
      <w:spacing w:before="240" w:after="60"/>
      <w:outlineLvl w:val="6"/>
    </w:pPr>
  </w:style>
  <w:style w:type="paragraph" w:styleId="Heading8">
    <w:name w:val="heading 8"/>
    <w:basedOn w:val="Normal"/>
    <w:next w:val="Normal"/>
    <w:link w:val="Heading8Char"/>
    <w:uiPriority w:val="9"/>
    <w:semiHidden/>
    <w:unhideWhenUsed/>
    <w:qFormat/>
    <w:rsid w:val="002C35AB"/>
    <w:pPr>
      <w:spacing w:before="240" w:after="60"/>
      <w:outlineLvl w:val="7"/>
    </w:pPr>
    <w:rPr>
      <w:i/>
      <w:iCs/>
    </w:rPr>
  </w:style>
  <w:style w:type="paragraph" w:styleId="Heading9">
    <w:name w:val="heading 9"/>
    <w:basedOn w:val="Normal"/>
    <w:next w:val="Normal"/>
    <w:link w:val="Heading9Char"/>
    <w:uiPriority w:val="9"/>
    <w:semiHidden/>
    <w:unhideWhenUsed/>
    <w:qFormat/>
    <w:rsid w:val="002C35A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5A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35A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35AB"/>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35AB"/>
    <w:rPr>
      <w:b/>
      <w:bCs/>
    </w:rPr>
  </w:style>
  <w:style w:type="character" w:customStyle="1" w:styleId="Heading7Char">
    <w:name w:val="Heading 7 Char"/>
    <w:basedOn w:val="DefaultParagraphFont"/>
    <w:link w:val="Heading7"/>
    <w:uiPriority w:val="9"/>
    <w:semiHidden/>
    <w:rsid w:val="002C35AB"/>
    <w:rPr>
      <w:sz w:val="24"/>
      <w:szCs w:val="24"/>
    </w:rPr>
  </w:style>
  <w:style w:type="character" w:customStyle="1" w:styleId="Heading8Char">
    <w:name w:val="Heading 8 Char"/>
    <w:basedOn w:val="DefaultParagraphFont"/>
    <w:link w:val="Heading8"/>
    <w:uiPriority w:val="9"/>
    <w:semiHidden/>
    <w:rsid w:val="002C35AB"/>
    <w:rPr>
      <w:i/>
      <w:iCs/>
      <w:sz w:val="24"/>
      <w:szCs w:val="24"/>
    </w:rPr>
  </w:style>
  <w:style w:type="character" w:customStyle="1" w:styleId="Heading9Char">
    <w:name w:val="Heading 9 Char"/>
    <w:basedOn w:val="DefaultParagraphFont"/>
    <w:link w:val="Heading9"/>
    <w:uiPriority w:val="9"/>
    <w:semiHidden/>
    <w:rsid w:val="002C35AB"/>
    <w:rPr>
      <w:rFonts w:asciiTheme="majorHAnsi" w:eastAsiaTheme="majorEastAsia" w:hAnsiTheme="majorHAnsi"/>
    </w:rPr>
  </w:style>
  <w:style w:type="paragraph" w:styleId="Title">
    <w:name w:val="Title"/>
    <w:basedOn w:val="Normal"/>
    <w:next w:val="Normal"/>
    <w:link w:val="TitleChar"/>
    <w:uiPriority w:val="10"/>
    <w:qFormat/>
    <w:rsid w:val="002C35A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5A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5A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5AB"/>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C35AB"/>
    <w:pPr>
      <w:outlineLvl w:val="9"/>
    </w:pPr>
  </w:style>
  <w:style w:type="character" w:styleId="Hyperlink">
    <w:name w:val="Hyperlink"/>
    <w:basedOn w:val="DefaultParagraphFont"/>
    <w:rsid w:val="00FC3C23"/>
    <w:rPr>
      <w:color w:val="0000FF"/>
      <w:u w:val="single"/>
    </w:rPr>
  </w:style>
  <w:style w:type="paragraph" w:customStyle="1" w:styleId="MemoSubhead">
    <w:name w:val="Memo Subhead"/>
    <w:next w:val="MemoHeaderText"/>
    <w:rsid w:val="00FC3C23"/>
    <w:pPr>
      <w:spacing w:line="240" w:lineRule="auto"/>
      <w:ind w:left="-86"/>
    </w:pPr>
    <w:rPr>
      <w:rFonts w:ascii="Arial Black" w:eastAsia="Times New Roman" w:hAnsi="Arial Black"/>
      <w:sz w:val="17"/>
      <w:szCs w:val="20"/>
      <w:lang w:bidi="ar-SA"/>
    </w:rPr>
  </w:style>
  <w:style w:type="paragraph" w:customStyle="1" w:styleId="MemoHeaderText">
    <w:name w:val="Memo Header Text"/>
    <w:next w:val="JCCAddress2ndline"/>
    <w:rsid w:val="00FC3C23"/>
    <w:pPr>
      <w:tabs>
        <w:tab w:val="left" w:pos="360"/>
      </w:tabs>
      <w:spacing w:line="300" w:lineRule="atLeast"/>
      <w:ind w:left="-86"/>
    </w:pPr>
    <w:rPr>
      <w:rFonts w:ascii="Times New Roman" w:eastAsia="Times" w:hAnsi="Times New Roman"/>
    </w:rPr>
  </w:style>
  <w:style w:type="paragraph" w:customStyle="1" w:styleId="JCCBodyText">
    <w:name w:val="JCC Body Text"/>
    <w:basedOn w:val="Normal"/>
    <w:rsid w:val="00FC3C23"/>
    <w:pPr>
      <w:tabs>
        <w:tab w:val="left" w:pos="360"/>
      </w:tabs>
      <w:spacing w:line="300" w:lineRule="atLeast"/>
    </w:pPr>
    <w:rPr>
      <w:rFonts w:ascii="Times New Roman" w:hAnsi="Times New Roman"/>
      <w:sz w:val="24"/>
    </w:rPr>
  </w:style>
  <w:style w:type="paragraph" w:customStyle="1" w:styleId="JCCArialSubhead">
    <w:name w:val="JCC/Arial Subhead"/>
    <w:rsid w:val="00FC3C23"/>
    <w:pPr>
      <w:spacing w:line="240" w:lineRule="auto"/>
    </w:pPr>
    <w:rPr>
      <w:rFonts w:ascii="Arial Black" w:eastAsia="Times New Roman" w:hAnsi="Arial Black"/>
      <w:sz w:val="17"/>
      <w:szCs w:val="20"/>
      <w:lang w:bidi="ar-SA"/>
    </w:rPr>
  </w:style>
  <w:style w:type="paragraph" w:styleId="BodyText">
    <w:name w:val="Body Text"/>
    <w:basedOn w:val="Normal"/>
    <w:link w:val="BodyTextChar"/>
    <w:uiPriority w:val="99"/>
    <w:semiHidden/>
    <w:unhideWhenUsed/>
    <w:rsid w:val="00FC3C23"/>
    <w:pPr>
      <w:spacing w:after="120"/>
    </w:pPr>
  </w:style>
  <w:style w:type="character" w:customStyle="1" w:styleId="BodyTextChar">
    <w:name w:val="Body Text Char"/>
    <w:basedOn w:val="DefaultParagraphFont"/>
    <w:link w:val="BodyText"/>
    <w:uiPriority w:val="99"/>
    <w:semiHidden/>
    <w:rsid w:val="00FC3C23"/>
    <w:rPr>
      <w:rFonts w:ascii="Garamond" w:eastAsia="Times New Roman" w:hAnsi="Garamond"/>
      <w:sz w:val="22"/>
      <w:szCs w:val="20"/>
      <w:lang w:bidi="ar-SA"/>
    </w:rPr>
  </w:style>
  <w:style w:type="paragraph" w:styleId="Header">
    <w:name w:val="header"/>
    <w:basedOn w:val="Normal"/>
    <w:link w:val="HeaderChar"/>
    <w:unhideWhenUsed/>
    <w:rsid w:val="00FC3C23"/>
    <w:pPr>
      <w:tabs>
        <w:tab w:val="center" w:pos="4680"/>
        <w:tab w:val="right" w:pos="9360"/>
      </w:tabs>
    </w:pPr>
  </w:style>
  <w:style w:type="character" w:customStyle="1" w:styleId="HeaderChar">
    <w:name w:val="Header Char"/>
    <w:basedOn w:val="DefaultParagraphFont"/>
    <w:link w:val="Header"/>
    <w:uiPriority w:val="99"/>
    <w:semiHidden/>
    <w:rsid w:val="00FC3C23"/>
    <w:rPr>
      <w:rFonts w:ascii="Garamond" w:eastAsia="Times New Roman" w:hAnsi="Garamond"/>
      <w:sz w:val="22"/>
      <w:szCs w:val="20"/>
      <w:lang w:bidi="ar-SA"/>
    </w:rPr>
  </w:style>
  <w:style w:type="paragraph" w:styleId="Footer">
    <w:name w:val="footer"/>
    <w:basedOn w:val="Normal"/>
    <w:link w:val="FooterChar"/>
    <w:uiPriority w:val="99"/>
    <w:semiHidden/>
    <w:unhideWhenUsed/>
    <w:rsid w:val="00FC3C23"/>
    <w:pPr>
      <w:tabs>
        <w:tab w:val="center" w:pos="4680"/>
        <w:tab w:val="right" w:pos="9360"/>
      </w:tabs>
    </w:pPr>
  </w:style>
  <w:style w:type="character" w:customStyle="1" w:styleId="FooterChar">
    <w:name w:val="Footer Char"/>
    <w:basedOn w:val="DefaultParagraphFont"/>
    <w:link w:val="Footer"/>
    <w:uiPriority w:val="99"/>
    <w:semiHidden/>
    <w:rsid w:val="00FC3C23"/>
    <w:rPr>
      <w:rFonts w:ascii="Garamond" w:eastAsia="Times New Roman" w:hAnsi="Garamond"/>
      <w:sz w:val="22"/>
      <w:szCs w:val="20"/>
      <w:lang w:bidi="ar-SA"/>
    </w:rPr>
  </w:style>
  <w:style w:type="paragraph" w:customStyle="1" w:styleId="JCCAddress2ndline">
    <w:name w:val="JCC Address 2nd line"/>
    <w:basedOn w:val="JCCAddress1stline"/>
    <w:rsid w:val="00FC3C23"/>
    <w:pPr>
      <w:spacing w:before="0"/>
    </w:pPr>
  </w:style>
  <w:style w:type="paragraph" w:customStyle="1" w:styleId="JCCAddress1stline">
    <w:name w:val="JCC Address 1st line"/>
    <w:basedOn w:val="Normal"/>
    <w:rsid w:val="00FC3C23"/>
    <w:pPr>
      <w:spacing w:before="360" w:line="280" w:lineRule="exact"/>
      <w:jc w:val="center"/>
    </w:pPr>
    <w:rPr>
      <w:rFonts w:ascii="Goudy Old Style" w:hAnsi="Goudy Old Style"/>
      <w:sz w:val="17"/>
    </w:rPr>
  </w:style>
  <w:style w:type="paragraph" w:customStyle="1" w:styleId="MemoTitle">
    <w:name w:val="Memo Title"/>
    <w:next w:val="BodyText"/>
    <w:rsid w:val="00FC3C23"/>
    <w:pPr>
      <w:spacing w:line="240" w:lineRule="auto"/>
      <w:jc w:val="center"/>
    </w:pPr>
    <w:rPr>
      <w:rFonts w:ascii="Goudy Old Style" w:eastAsia="Times New Roman" w:hAnsi="Goudy Old Style"/>
      <w:caps/>
      <w:spacing w:val="80"/>
      <w:sz w:val="36"/>
      <w:szCs w:val="20"/>
      <w:lang w:bidi="ar-SA"/>
    </w:rPr>
  </w:style>
  <w:style w:type="paragraph" w:customStyle="1" w:styleId="PldCentrL1">
    <w:name w:val="PldCentr_L1"/>
    <w:basedOn w:val="Normal"/>
    <w:next w:val="BodyText"/>
    <w:rsid w:val="00D516EF"/>
    <w:pPr>
      <w:widowControl w:val="0"/>
      <w:numPr>
        <w:numId w:val="1"/>
      </w:numPr>
      <w:spacing w:after="240"/>
      <w:jc w:val="center"/>
      <w:outlineLvl w:val="0"/>
    </w:pPr>
    <w:rPr>
      <w:rFonts w:ascii="Times New Roman" w:hAnsi="Times New Roman"/>
      <w:b/>
      <w:sz w:val="24"/>
    </w:rPr>
  </w:style>
  <w:style w:type="paragraph" w:customStyle="1" w:styleId="PldCentrL2">
    <w:name w:val="PldCentr_L2"/>
    <w:basedOn w:val="PldCentrL1"/>
    <w:next w:val="BodyText"/>
    <w:rsid w:val="00D516EF"/>
    <w:pPr>
      <w:numPr>
        <w:ilvl w:val="1"/>
      </w:numPr>
      <w:jc w:val="left"/>
      <w:outlineLvl w:val="1"/>
    </w:pPr>
  </w:style>
  <w:style w:type="paragraph" w:customStyle="1" w:styleId="PldCentrL3">
    <w:name w:val="PldCentr_L3"/>
    <w:basedOn w:val="PldCentrL2"/>
    <w:next w:val="BodyText"/>
    <w:rsid w:val="00D516EF"/>
    <w:pPr>
      <w:numPr>
        <w:ilvl w:val="2"/>
      </w:numPr>
      <w:tabs>
        <w:tab w:val="num" w:pos="2880"/>
      </w:tabs>
      <w:ind w:left="2880" w:hanging="180"/>
      <w:outlineLvl w:val="2"/>
    </w:pPr>
    <w:rPr>
      <w:b w:val="0"/>
    </w:rPr>
  </w:style>
  <w:style w:type="paragraph" w:customStyle="1" w:styleId="PldCentrL4">
    <w:name w:val="PldCentr_L4"/>
    <w:basedOn w:val="PldCentrL3"/>
    <w:next w:val="BodyText"/>
    <w:link w:val="PldCentrL4Char"/>
    <w:rsid w:val="00D516EF"/>
    <w:pPr>
      <w:numPr>
        <w:ilvl w:val="3"/>
      </w:numPr>
      <w:tabs>
        <w:tab w:val="clear" w:pos="2880"/>
        <w:tab w:val="num" w:pos="3600"/>
      </w:tabs>
      <w:outlineLvl w:val="3"/>
    </w:pPr>
  </w:style>
  <w:style w:type="paragraph" w:customStyle="1" w:styleId="PldCentrL5">
    <w:name w:val="PldCentr_L5"/>
    <w:basedOn w:val="PldCentrL4"/>
    <w:next w:val="BodyText"/>
    <w:rsid w:val="00D516EF"/>
    <w:pPr>
      <w:numPr>
        <w:ilvl w:val="4"/>
      </w:numPr>
      <w:tabs>
        <w:tab w:val="clear" w:pos="2790"/>
        <w:tab w:val="num" w:pos="360"/>
        <w:tab w:val="num" w:pos="4320"/>
      </w:tabs>
      <w:outlineLvl w:val="4"/>
    </w:pPr>
  </w:style>
  <w:style w:type="paragraph" w:customStyle="1" w:styleId="PldCentrL6">
    <w:name w:val="PldCentr_L6"/>
    <w:basedOn w:val="PldCentrL5"/>
    <w:next w:val="BodyText"/>
    <w:rsid w:val="00D516EF"/>
    <w:pPr>
      <w:numPr>
        <w:ilvl w:val="5"/>
      </w:numPr>
      <w:tabs>
        <w:tab w:val="clear" w:pos="3384"/>
        <w:tab w:val="num" w:pos="360"/>
        <w:tab w:val="num" w:pos="5040"/>
      </w:tabs>
      <w:spacing w:before="120" w:after="120"/>
      <w:ind w:left="5040" w:hanging="180"/>
      <w:outlineLvl w:val="5"/>
    </w:pPr>
  </w:style>
  <w:style w:type="paragraph" w:customStyle="1" w:styleId="PldCentrL7">
    <w:name w:val="PldCentr_L7"/>
    <w:basedOn w:val="PldCentrL6"/>
    <w:next w:val="BodyText"/>
    <w:rsid w:val="00D516EF"/>
    <w:pPr>
      <w:numPr>
        <w:ilvl w:val="6"/>
      </w:numPr>
      <w:tabs>
        <w:tab w:val="num" w:pos="360"/>
        <w:tab w:val="num" w:pos="3600"/>
        <w:tab w:val="num" w:pos="5760"/>
      </w:tabs>
      <w:ind w:left="5760" w:hanging="360"/>
      <w:outlineLvl w:val="6"/>
    </w:pPr>
  </w:style>
  <w:style w:type="paragraph" w:customStyle="1" w:styleId="PldCentrL8">
    <w:name w:val="PldCentr_L8"/>
    <w:basedOn w:val="PldCentrL7"/>
    <w:next w:val="BodyText"/>
    <w:rsid w:val="00D516EF"/>
    <w:pPr>
      <w:numPr>
        <w:ilvl w:val="7"/>
      </w:numPr>
      <w:tabs>
        <w:tab w:val="num" w:pos="360"/>
        <w:tab w:val="num" w:pos="3600"/>
        <w:tab w:val="num" w:pos="6480"/>
      </w:tabs>
      <w:spacing w:before="240" w:after="0"/>
      <w:ind w:left="6480"/>
      <w:outlineLvl w:val="7"/>
    </w:pPr>
  </w:style>
  <w:style w:type="paragraph" w:customStyle="1" w:styleId="PldCentrL9">
    <w:name w:val="PldCentr_L9"/>
    <w:basedOn w:val="PldCentrL8"/>
    <w:next w:val="BodyText"/>
    <w:rsid w:val="00D516EF"/>
    <w:pPr>
      <w:numPr>
        <w:ilvl w:val="8"/>
      </w:numPr>
      <w:tabs>
        <w:tab w:val="num" w:pos="360"/>
        <w:tab w:val="num" w:pos="3600"/>
        <w:tab w:val="num" w:pos="7200"/>
      </w:tabs>
      <w:ind w:left="7200" w:hanging="180"/>
      <w:outlineLvl w:val="8"/>
    </w:pPr>
  </w:style>
  <w:style w:type="character" w:customStyle="1" w:styleId="PldCentrL4Char">
    <w:name w:val="PldCentr_L4 Char"/>
    <w:basedOn w:val="DefaultParagraphFont"/>
    <w:link w:val="PldCentrL4"/>
    <w:locked/>
    <w:rsid w:val="00D516EF"/>
    <w:rPr>
      <w:rFonts w:ascii="Times New Roman" w:eastAsia="Times New Roman" w:hAnsi="Times New Roman"/>
      <w:szCs w:val="20"/>
      <w:lang w:bidi="ar-SA"/>
    </w:rPr>
  </w:style>
  <w:style w:type="paragraph" w:styleId="ListParagraph">
    <w:name w:val="List Paragraph"/>
    <w:basedOn w:val="Normal"/>
    <w:uiPriority w:val="34"/>
    <w:rsid w:val="00D516EF"/>
    <w:pPr>
      <w:ind w:left="720"/>
      <w:contextualSpacing/>
    </w:pPr>
  </w:style>
  <w:style w:type="paragraph" w:styleId="BodyTextIndent">
    <w:name w:val="Body Text Indent"/>
    <w:basedOn w:val="Normal"/>
    <w:link w:val="BodyTextIndentChar"/>
    <w:uiPriority w:val="99"/>
    <w:semiHidden/>
    <w:unhideWhenUsed/>
    <w:rsid w:val="00D516EF"/>
    <w:pPr>
      <w:spacing w:after="120"/>
      <w:ind w:left="360"/>
    </w:pPr>
  </w:style>
  <w:style w:type="character" w:customStyle="1" w:styleId="BodyTextIndentChar">
    <w:name w:val="Body Text Indent Char"/>
    <w:basedOn w:val="DefaultParagraphFont"/>
    <w:link w:val="BodyTextIndent"/>
    <w:uiPriority w:val="99"/>
    <w:semiHidden/>
    <w:rsid w:val="00D516EF"/>
    <w:rPr>
      <w:rFonts w:ascii="Garamond" w:eastAsia="Times New Roman" w:hAnsi="Garamond"/>
      <w:sz w:val="22"/>
      <w:szCs w:val="20"/>
      <w:lang w:bidi="ar-SA"/>
    </w:rPr>
  </w:style>
  <w:style w:type="paragraph" w:customStyle="1" w:styleId="TableSection">
    <w:name w:val="Table Section"/>
    <w:basedOn w:val="Normal"/>
    <w:link w:val="TableSectionChar"/>
    <w:rsid w:val="008A1F74"/>
    <w:pPr>
      <w:spacing w:before="60" w:after="60"/>
    </w:pPr>
    <w:rPr>
      <w:rFonts w:ascii="Verdana" w:hAnsi="Verdana"/>
      <w:b/>
      <w:sz w:val="16"/>
    </w:rPr>
  </w:style>
  <w:style w:type="paragraph" w:customStyle="1" w:styleId="TableBodyText">
    <w:name w:val="Table Body Text"/>
    <w:basedOn w:val="Normal"/>
    <w:rsid w:val="008A1F74"/>
    <w:pPr>
      <w:spacing w:before="60" w:after="60"/>
    </w:pPr>
    <w:rPr>
      <w:rFonts w:ascii="Verdana" w:hAnsi="Verdana"/>
      <w:sz w:val="16"/>
      <w:szCs w:val="16"/>
    </w:rPr>
  </w:style>
  <w:style w:type="paragraph" w:customStyle="1" w:styleId="TableTitle">
    <w:name w:val="Table Title"/>
    <w:basedOn w:val="Normal"/>
    <w:rsid w:val="008A1F74"/>
    <w:pPr>
      <w:spacing w:before="60" w:after="60"/>
    </w:pPr>
    <w:rPr>
      <w:rFonts w:ascii="Verdana" w:hAnsi="Verdana"/>
      <w:b/>
      <w:color w:val="FFFFFF"/>
      <w:sz w:val="16"/>
      <w:szCs w:val="16"/>
    </w:rPr>
  </w:style>
  <w:style w:type="paragraph" w:customStyle="1" w:styleId="TableBullet">
    <w:name w:val="Table Bullet"/>
    <w:basedOn w:val="Normal"/>
    <w:rsid w:val="008A1F74"/>
    <w:pPr>
      <w:numPr>
        <w:numId w:val="5"/>
      </w:numPr>
      <w:tabs>
        <w:tab w:val="clear" w:pos="360"/>
      </w:tabs>
      <w:spacing w:before="60" w:after="60"/>
      <w:ind w:left="342" w:hanging="180"/>
    </w:pPr>
    <w:rPr>
      <w:rFonts w:ascii="Verdana" w:hAnsi="Verdana"/>
      <w:color w:val="000000"/>
      <w:sz w:val="16"/>
    </w:rPr>
  </w:style>
  <w:style w:type="character" w:customStyle="1" w:styleId="TableSectionChar">
    <w:name w:val="Table Section Char"/>
    <w:basedOn w:val="DefaultParagraphFont"/>
    <w:link w:val="TableSection"/>
    <w:rsid w:val="008A1F74"/>
    <w:rPr>
      <w:rFonts w:ascii="Verdana" w:eastAsia="Times New Roman" w:hAnsi="Verdana"/>
      <w:b/>
      <w:sz w:val="16"/>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urtinfo.ca.gov/reference/rfp/hollister-rfq.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15</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gsantore</dc:creator>
  <cp:keywords/>
  <dc:description/>
  <cp:lastModifiedBy>BRobinson</cp:lastModifiedBy>
  <cp:revision>15</cp:revision>
  <cp:lastPrinted>2009-07-02T16:02:00Z</cp:lastPrinted>
  <dcterms:created xsi:type="dcterms:W3CDTF">2009-07-07T23:27:00Z</dcterms:created>
  <dcterms:modified xsi:type="dcterms:W3CDTF">2009-07-13T18:07:00Z</dcterms:modified>
</cp:coreProperties>
</file>