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6B" w:rsidRDefault="00951F5C" w:rsidP="00951F5C">
      <w:pPr>
        <w:spacing w:line="240" w:lineRule="auto"/>
        <w:rPr>
          <w:sz w:val="20"/>
        </w:rPr>
      </w:pPr>
      <w:r>
        <w:rPr>
          <w:sz w:val="20"/>
        </w:rPr>
        <w:t xml:space="preserve">Filed </w:t>
      </w:r>
      <w:r w:rsidR="00C503C8">
        <w:rPr>
          <w:sz w:val="20"/>
        </w:rPr>
        <w:t>8/14/18</w:t>
      </w:r>
    </w:p>
    <w:p w:rsidR="00951F5C" w:rsidRDefault="00951F5C" w:rsidP="00951F5C">
      <w:pPr>
        <w:spacing w:line="240" w:lineRule="auto"/>
        <w:jc w:val="center"/>
        <w:rPr>
          <w:b/>
        </w:rPr>
      </w:pPr>
      <w:r>
        <w:rPr>
          <w:b/>
        </w:rPr>
        <w:t>CERTIFIED FOR PUBLICATION</w:t>
      </w:r>
    </w:p>
    <w:p w:rsidR="00951F5C" w:rsidRDefault="00951F5C" w:rsidP="00951F5C">
      <w:pPr>
        <w:spacing w:line="240" w:lineRule="auto"/>
        <w:jc w:val="center"/>
      </w:pPr>
    </w:p>
    <w:p w:rsidR="00691E60" w:rsidRDefault="008730E9" w:rsidP="008730E9">
      <w:pPr>
        <w:spacing w:line="240" w:lineRule="auto"/>
        <w:jc w:val="center"/>
      </w:pPr>
      <w:r>
        <w:t>IN THE COURT OF APPEAL OF THE STATE OF CALIFORNIA</w:t>
      </w:r>
    </w:p>
    <w:p w:rsidR="008730E9" w:rsidRDefault="008730E9" w:rsidP="008730E9">
      <w:pPr>
        <w:spacing w:line="240" w:lineRule="auto"/>
        <w:jc w:val="center"/>
      </w:pPr>
    </w:p>
    <w:p w:rsidR="008730E9" w:rsidRDefault="008730E9" w:rsidP="008730E9">
      <w:pPr>
        <w:spacing w:line="240" w:lineRule="auto"/>
        <w:jc w:val="center"/>
      </w:pPr>
      <w:r>
        <w:t>FIRST APPELLATE DISTRICT</w:t>
      </w:r>
    </w:p>
    <w:p w:rsidR="008730E9" w:rsidRDefault="008730E9" w:rsidP="008730E9">
      <w:pPr>
        <w:spacing w:line="240" w:lineRule="auto"/>
        <w:jc w:val="center"/>
      </w:pPr>
    </w:p>
    <w:p w:rsidR="008730E9" w:rsidRDefault="008730E9" w:rsidP="008730E9">
      <w:pPr>
        <w:spacing w:line="240" w:lineRule="auto"/>
        <w:jc w:val="center"/>
      </w:pPr>
      <w:r>
        <w:t>DIVISION FIVE</w:t>
      </w:r>
    </w:p>
    <w:p w:rsidR="00951F5C" w:rsidRDefault="00951F5C" w:rsidP="008730E9">
      <w:pPr>
        <w:spacing w:line="240" w:lineRule="auto"/>
        <w:jc w:val="center"/>
      </w:pPr>
    </w:p>
    <w:p w:rsidR="008730E9" w:rsidRDefault="008730E9" w:rsidP="008730E9">
      <w:pPr>
        <w:spacing w:line="240" w:lineRule="auto"/>
        <w:jc w:val="center"/>
      </w:pPr>
    </w:p>
    <w:p w:rsidR="00320EB5" w:rsidRDefault="00320EB5" w:rsidP="008730E9">
      <w:pPr>
        <w:spacing w:line="240" w:lineRule="auto"/>
        <w:jc w:val="center"/>
      </w:pPr>
    </w:p>
    <w:p w:rsidR="00320EB5" w:rsidRDefault="00320EB5" w:rsidP="008730E9">
      <w:pPr>
        <w:spacing w:line="240" w:lineRule="auto"/>
        <w:jc w:val="center"/>
      </w:pPr>
    </w:p>
    <w:p w:rsidR="00320EB5" w:rsidRDefault="00320EB5" w:rsidP="008730E9">
      <w:pPr>
        <w:spacing w:line="240" w:lineRule="auto"/>
        <w:jc w:val="center"/>
      </w:pPr>
    </w:p>
    <w:tbl>
      <w:tblPr>
        <w:tblW w:w="0" w:type="auto"/>
        <w:tblLayout w:type="fixed"/>
        <w:tblLook w:val="0000" w:firstRow="0" w:lastRow="0" w:firstColumn="0" w:lastColumn="0" w:noHBand="0" w:noVBand="0"/>
      </w:tblPr>
      <w:tblGrid>
        <w:gridCol w:w="4680"/>
        <w:gridCol w:w="4680"/>
      </w:tblGrid>
      <w:tr w:rsidR="008730E9" w:rsidTr="008730E9">
        <w:tc>
          <w:tcPr>
            <w:tcW w:w="4680" w:type="dxa"/>
            <w:tcBorders>
              <w:bottom w:val="single" w:sz="4" w:space="0" w:color="auto"/>
              <w:right w:val="single" w:sz="4" w:space="0" w:color="auto"/>
            </w:tcBorders>
            <w:shd w:val="clear" w:color="auto" w:fill="auto"/>
          </w:tcPr>
          <w:p w:rsidR="008730E9" w:rsidRDefault="008730E9" w:rsidP="008730E9">
            <w:pPr>
              <w:spacing w:after="120" w:line="240" w:lineRule="auto"/>
            </w:pPr>
            <w:r>
              <w:t>CENTER FOR BIOLOGICAL DIVERSITY,</w:t>
            </w:r>
          </w:p>
          <w:p w:rsidR="008730E9" w:rsidRDefault="008730E9" w:rsidP="008730E9">
            <w:pPr>
              <w:spacing w:after="120" w:line="240" w:lineRule="auto"/>
            </w:pPr>
            <w:r>
              <w:tab/>
              <w:t>Plaintiff and Appellant,</w:t>
            </w:r>
          </w:p>
          <w:p w:rsidR="008730E9" w:rsidRDefault="00A129F5" w:rsidP="008730E9">
            <w:pPr>
              <w:spacing w:after="120" w:line="240" w:lineRule="auto"/>
            </w:pPr>
            <w:r>
              <w:t xml:space="preserve">     </w:t>
            </w:r>
            <w:r w:rsidR="008730E9">
              <w:t>v.</w:t>
            </w:r>
          </w:p>
          <w:p w:rsidR="008730E9" w:rsidRDefault="008730E9" w:rsidP="008730E9">
            <w:pPr>
              <w:spacing w:after="120" w:line="240" w:lineRule="auto"/>
            </w:pPr>
            <w:r>
              <w:t>DEPARTMENT OF CONSERVATION,</w:t>
            </w:r>
          </w:p>
          <w:p w:rsidR="008730E9" w:rsidRDefault="002764EF" w:rsidP="008730E9">
            <w:pPr>
              <w:spacing w:after="120" w:line="240" w:lineRule="auto"/>
            </w:pPr>
            <w:r>
              <w:tab/>
              <w:t>Defendant and Respondent;</w:t>
            </w:r>
          </w:p>
          <w:p w:rsidR="008730E9" w:rsidRDefault="00320EB5" w:rsidP="008730E9">
            <w:pPr>
              <w:spacing w:after="120" w:line="240" w:lineRule="auto"/>
            </w:pPr>
            <w:r>
              <w:t>AERA ENERGY LLC</w:t>
            </w:r>
            <w:r w:rsidR="008730E9">
              <w:t xml:space="preserve"> et al.,</w:t>
            </w:r>
          </w:p>
          <w:p w:rsidR="008730E9" w:rsidRDefault="008730E9" w:rsidP="008730E9">
            <w:pPr>
              <w:spacing w:after="120" w:line="240" w:lineRule="auto"/>
            </w:pPr>
            <w:r>
              <w:tab/>
            </w:r>
            <w:r w:rsidR="006E7CDC">
              <w:t>Interveners and Respondents</w:t>
            </w:r>
            <w:r w:rsidR="002B176B">
              <w:t>.</w:t>
            </w:r>
          </w:p>
        </w:tc>
        <w:tc>
          <w:tcPr>
            <w:tcW w:w="4680" w:type="dxa"/>
            <w:tcBorders>
              <w:left w:val="single" w:sz="4" w:space="0" w:color="auto"/>
            </w:tcBorders>
            <w:shd w:val="clear" w:color="auto" w:fill="auto"/>
          </w:tcPr>
          <w:p w:rsidR="008730E9" w:rsidRDefault="008730E9" w:rsidP="008730E9">
            <w:pPr>
              <w:spacing w:line="240" w:lineRule="auto"/>
            </w:pPr>
          </w:p>
          <w:p w:rsidR="00951F5C" w:rsidRDefault="00951F5C" w:rsidP="008730E9">
            <w:pPr>
              <w:spacing w:line="240" w:lineRule="auto"/>
            </w:pPr>
          </w:p>
          <w:p w:rsidR="008730E9" w:rsidRDefault="008730E9" w:rsidP="008730E9">
            <w:pPr>
              <w:spacing w:line="240" w:lineRule="auto"/>
            </w:pPr>
          </w:p>
          <w:p w:rsidR="008730E9" w:rsidRDefault="008730E9" w:rsidP="008730E9">
            <w:pPr>
              <w:spacing w:line="240" w:lineRule="auto"/>
            </w:pPr>
            <w:r>
              <w:t xml:space="preserve">      A149896</w:t>
            </w:r>
          </w:p>
          <w:p w:rsidR="008730E9" w:rsidRDefault="008730E9" w:rsidP="008730E9">
            <w:pPr>
              <w:spacing w:line="240" w:lineRule="auto"/>
            </w:pPr>
          </w:p>
          <w:p w:rsidR="008730E9" w:rsidRDefault="008730E9" w:rsidP="008730E9">
            <w:pPr>
              <w:spacing w:line="240" w:lineRule="auto"/>
            </w:pPr>
            <w:r>
              <w:t xml:space="preserve">      (Alameda County</w:t>
            </w:r>
          </w:p>
          <w:p w:rsidR="008730E9" w:rsidRDefault="008730E9" w:rsidP="008730E9">
            <w:pPr>
              <w:spacing w:line="240" w:lineRule="auto"/>
            </w:pPr>
            <w:r>
              <w:t xml:space="preserve">      Super. Ct. No. RG15769302)</w:t>
            </w:r>
          </w:p>
          <w:p w:rsidR="008730E9" w:rsidRDefault="008730E9" w:rsidP="008730E9">
            <w:pPr>
              <w:spacing w:line="240" w:lineRule="auto"/>
            </w:pPr>
          </w:p>
        </w:tc>
      </w:tr>
    </w:tbl>
    <w:p w:rsidR="008730E9" w:rsidRDefault="008730E9" w:rsidP="008730E9">
      <w:pPr>
        <w:spacing w:line="360" w:lineRule="auto"/>
      </w:pPr>
    </w:p>
    <w:p w:rsidR="00F271DB" w:rsidRDefault="008730E9" w:rsidP="00F271DB">
      <w:pPr>
        <w:spacing w:line="360" w:lineRule="auto"/>
      </w:pPr>
      <w:r>
        <w:tab/>
      </w:r>
      <w:r w:rsidR="007C5C3A">
        <w:t>The Center for Biological Diversity (</w:t>
      </w:r>
      <w:r w:rsidR="00760F58">
        <w:t>Appellant</w:t>
      </w:r>
      <w:r w:rsidR="007C5C3A">
        <w:t>)</w:t>
      </w:r>
      <w:r w:rsidR="004B63B6">
        <w:t xml:space="preserve"> sought a writ of mandate</w:t>
      </w:r>
      <w:r w:rsidR="00CF3629">
        <w:t xml:space="preserve"> </w:t>
      </w:r>
      <w:r w:rsidR="00152179">
        <w:t xml:space="preserve">directing </w:t>
      </w:r>
      <w:r w:rsidR="00F271DB">
        <w:t>the California Department of Conservation, Division of Oil, Gas, and Geothermal Resources (the Department)</w:t>
      </w:r>
      <w:r w:rsidR="00152179">
        <w:t xml:space="preserve"> </w:t>
      </w:r>
      <w:r w:rsidR="00413C3C">
        <w:t xml:space="preserve">to order the immediate </w:t>
      </w:r>
      <w:r w:rsidR="003867FA">
        <w:t xml:space="preserve">closure </w:t>
      </w:r>
      <w:r w:rsidR="00413C3C">
        <w:t xml:space="preserve">of </w:t>
      </w:r>
      <w:r w:rsidR="003867FA">
        <w:t xml:space="preserve">oil and gas wells </w:t>
      </w:r>
      <w:r w:rsidR="001876FE">
        <w:t xml:space="preserve">injecting fluids into </w:t>
      </w:r>
      <w:r w:rsidR="000E2229">
        <w:t>certai</w:t>
      </w:r>
      <w:bookmarkStart w:id="0" w:name="_GoBack"/>
      <w:bookmarkEnd w:id="0"/>
      <w:r w:rsidR="000E2229">
        <w:t>n underground aquifers.</w:t>
      </w:r>
      <w:r w:rsidR="002A5891">
        <w:t xml:space="preserve">  </w:t>
      </w:r>
      <w:r w:rsidR="00583D6D">
        <w:t>Appellant</w:t>
      </w:r>
      <w:r w:rsidR="001C661B">
        <w:t xml:space="preserve"> </w:t>
      </w:r>
      <w:r w:rsidR="00244C4A">
        <w:t xml:space="preserve">argued the Department had a mandatory duty to do so under </w:t>
      </w:r>
      <w:r w:rsidR="001C661B">
        <w:t>t</w:t>
      </w:r>
      <w:r w:rsidR="001C661B" w:rsidRPr="00E750A3">
        <w:t xml:space="preserve">he federal Safe Drinking Water Act (SDWA or </w:t>
      </w:r>
      <w:r w:rsidR="001C661B">
        <w:t xml:space="preserve">the </w:t>
      </w:r>
      <w:r w:rsidR="001C661B" w:rsidRPr="00E750A3">
        <w:t>Act</w:t>
      </w:r>
      <w:r w:rsidR="00951F5C">
        <w:t>; 42 U.S.C. § 330f</w:t>
      </w:r>
      <w:r w:rsidR="001C661B">
        <w:t xml:space="preserve"> </w:t>
      </w:r>
      <w:r w:rsidR="001C661B">
        <w:rPr>
          <w:i/>
        </w:rPr>
        <w:t>et seq.</w:t>
      </w:r>
      <w:r w:rsidR="001C661B" w:rsidRPr="00E750A3">
        <w:t>)</w:t>
      </w:r>
      <w:r w:rsidR="001C661B">
        <w:t xml:space="preserve">, </w:t>
      </w:r>
      <w:r w:rsidR="00E56DAD">
        <w:t xml:space="preserve">federal </w:t>
      </w:r>
      <w:r w:rsidR="001C661B">
        <w:t xml:space="preserve">regulations </w:t>
      </w:r>
      <w:r w:rsidR="000148C9">
        <w:t xml:space="preserve">promulgated pursuant to the Act, and a memorandum of agreement </w:t>
      </w:r>
      <w:r w:rsidR="00E879E0">
        <w:t xml:space="preserve">executed by the Department </w:t>
      </w:r>
      <w:r w:rsidR="00E56DAD">
        <w:t xml:space="preserve">setting forth </w:t>
      </w:r>
      <w:r w:rsidR="00E879E0">
        <w:t xml:space="preserve">its responsibilities under the Act. </w:t>
      </w:r>
      <w:r w:rsidR="00244C4A">
        <w:t xml:space="preserve"> </w:t>
      </w:r>
      <w:r w:rsidR="002A5891">
        <w:t>The trial court denied the petition, and we affirm.</w:t>
      </w:r>
    </w:p>
    <w:p w:rsidR="00641D06" w:rsidRDefault="00641D06" w:rsidP="00641D06">
      <w:pPr>
        <w:spacing w:line="360" w:lineRule="auto"/>
        <w:jc w:val="center"/>
      </w:pPr>
      <w:r>
        <w:t>BACKGROUND</w:t>
      </w:r>
    </w:p>
    <w:p w:rsidR="007404C0" w:rsidRDefault="002C63BD" w:rsidP="008730E9">
      <w:pPr>
        <w:spacing w:line="360" w:lineRule="auto"/>
      </w:pPr>
      <w:r>
        <w:rPr>
          <w:i/>
        </w:rPr>
        <w:t>The Safe Drinking Water Act</w:t>
      </w:r>
      <w:r w:rsidR="00A84B35">
        <w:rPr>
          <w:i/>
        </w:rPr>
        <w:t xml:space="preserve"> </w:t>
      </w:r>
    </w:p>
    <w:p w:rsidR="00540C74" w:rsidRDefault="006C7121" w:rsidP="008730E9">
      <w:pPr>
        <w:spacing w:line="360" w:lineRule="auto"/>
      </w:pPr>
      <w:r>
        <w:tab/>
      </w:r>
      <w:r w:rsidR="00B96F4C">
        <w:t>“</w:t>
      </w:r>
      <w:r w:rsidR="00870404">
        <w:t xml:space="preserve">The SDWA </w:t>
      </w:r>
      <w:r w:rsidR="00B96F4C" w:rsidRPr="00B96F4C">
        <w:t>establishes a federally mandated, state-administered regulatory scheme for the protection of drinking water.</w:t>
      </w:r>
      <w:r w:rsidR="00B96F4C">
        <w:t>”  (</w:t>
      </w:r>
      <w:r w:rsidR="00B96F4C" w:rsidRPr="00B96F4C">
        <w:rPr>
          <w:i/>
        </w:rPr>
        <w:t>U.S. v. King</w:t>
      </w:r>
      <w:r w:rsidR="00B96F4C" w:rsidRPr="00B96F4C">
        <w:t xml:space="preserve"> (9th Cir. 2011) 660 F.3d </w:t>
      </w:r>
      <w:r w:rsidR="00B96F4C" w:rsidRPr="00B96F4C">
        <w:lastRenderedPageBreak/>
        <w:t>1071, 1077</w:t>
      </w:r>
      <w:r w:rsidR="00826FCA">
        <w:t xml:space="preserve"> (</w:t>
      </w:r>
      <w:r w:rsidR="00826FCA">
        <w:rPr>
          <w:i/>
        </w:rPr>
        <w:t>King</w:t>
      </w:r>
      <w:r w:rsidR="00826FCA">
        <w:t>)</w:t>
      </w:r>
      <w:r w:rsidR="00B96F4C">
        <w:t>.)</w:t>
      </w:r>
      <w:r w:rsidR="00A32BDC">
        <w:t xml:space="preserve">  </w:t>
      </w:r>
      <w:r w:rsidR="00BE0C72">
        <w:t xml:space="preserve">The Act includes provisions to protect </w:t>
      </w:r>
      <w:r w:rsidR="00C15AF9">
        <w:t xml:space="preserve">current or potential </w:t>
      </w:r>
      <w:r w:rsidR="008B6F3C">
        <w:t xml:space="preserve">underground </w:t>
      </w:r>
      <w:r w:rsidR="00196B03">
        <w:t xml:space="preserve">drinking water </w:t>
      </w:r>
      <w:r w:rsidR="00BE0C72">
        <w:t>sources</w:t>
      </w:r>
      <w:r w:rsidR="00EC0335">
        <w:t xml:space="preserve">.  </w:t>
      </w:r>
      <w:r w:rsidR="00861DF9">
        <w:t xml:space="preserve">(42 U.S.C. </w:t>
      </w:r>
      <w:r w:rsidR="00C419EB">
        <w:t>§</w:t>
      </w:r>
      <w:r w:rsidR="00861DF9">
        <w:t>§ 300h</w:t>
      </w:r>
      <w:r w:rsidR="00735ACD">
        <w:t xml:space="preserve"> to </w:t>
      </w:r>
      <w:r w:rsidR="000B50FA">
        <w:t>300h-8</w:t>
      </w:r>
      <w:r w:rsidR="00BB6C6A">
        <w:t>.)</w:t>
      </w:r>
      <w:r w:rsidR="00301826">
        <w:t xml:space="preserve"> </w:t>
      </w:r>
      <w:r w:rsidR="001C7B8E">
        <w:t xml:space="preserve"> To this end, the Act directs the establishment of statewide programs to control underground injections (underground injection control programs, or UIC programs).</w:t>
      </w:r>
      <w:r w:rsidR="006F6ECB">
        <w:rPr>
          <w:rStyle w:val="FootnoteReference"/>
        </w:rPr>
        <w:footnoteReference w:id="1"/>
      </w:r>
      <w:r w:rsidR="001C7B8E">
        <w:t xml:space="preserve">  (42 U.S.C. § 300h-1.)  </w:t>
      </w:r>
      <w:r w:rsidR="00BA772A">
        <w:t>All such programs “</w:t>
      </w:r>
      <w:r w:rsidR="00BA772A" w:rsidRPr="00BA772A">
        <w:t>shall prohibit</w:t>
      </w:r>
      <w:r w:rsidR="00BA772A">
        <w:t xml:space="preserve"> . . . </w:t>
      </w:r>
      <w:r w:rsidR="00BA772A" w:rsidRPr="00BA772A">
        <w:t>any underground injection in such State which is not authorized by a permit</w:t>
      </w:r>
      <w:r w:rsidR="0061149E">
        <w:t>,</w:t>
      </w:r>
      <w:r w:rsidR="00BA772A">
        <w:t>” and “</w:t>
      </w:r>
      <w:r w:rsidR="00BA772A" w:rsidRPr="00BA772A">
        <w:t>shall require</w:t>
      </w:r>
      <w:r w:rsidR="00350572">
        <w:t xml:space="preserve">” permit applicants </w:t>
      </w:r>
      <w:r w:rsidR="00192F56">
        <w:t xml:space="preserve">to show </w:t>
      </w:r>
      <w:r w:rsidR="00350572">
        <w:t>“</w:t>
      </w:r>
      <w:r w:rsidR="00BA772A" w:rsidRPr="00BA772A">
        <w:t>that the underground injection will not endanger drinking water sources</w:t>
      </w:r>
      <w:r w:rsidR="00A129F5">
        <w:t xml:space="preserve"> . . . .</w:t>
      </w:r>
      <w:r w:rsidR="00BA772A">
        <w:t xml:space="preserve">”  </w:t>
      </w:r>
      <w:r w:rsidR="00132A78">
        <w:t>(42 U.S.C. §§ 300h, subd. (b)(1)</w:t>
      </w:r>
      <w:r w:rsidR="00FE4C3C">
        <w:t>(A)-</w:t>
      </w:r>
      <w:r w:rsidR="00132A78">
        <w:t>(B), 300h-4, subd. (a).)</w:t>
      </w:r>
      <w:r w:rsidR="00D527B9">
        <w:rPr>
          <w:rStyle w:val="FootnoteReference"/>
        </w:rPr>
        <w:footnoteReference w:id="2"/>
      </w:r>
    </w:p>
    <w:p w:rsidR="00314F81" w:rsidRDefault="004133F8" w:rsidP="00B81EBA">
      <w:pPr>
        <w:spacing w:line="360" w:lineRule="auto"/>
      </w:pPr>
      <w:r>
        <w:tab/>
      </w:r>
      <w:r w:rsidR="000428DA">
        <w:t xml:space="preserve">Regulations promulgated </w:t>
      </w:r>
      <w:r w:rsidR="0096444F">
        <w:t xml:space="preserve">pursuant to the Act </w:t>
      </w:r>
      <w:r w:rsidR="000428DA">
        <w:t>by t</w:t>
      </w:r>
      <w:r>
        <w:t xml:space="preserve">he United States Environmental Protection Agency </w:t>
      </w:r>
      <w:r w:rsidR="00A70403">
        <w:t xml:space="preserve">(EPA) </w:t>
      </w:r>
      <w:r w:rsidR="00C903F8">
        <w:t xml:space="preserve">provide </w:t>
      </w:r>
      <w:r w:rsidR="00C15A2F">
        <w:t>EPA</w:t>
      </w:r>
      <w:r w:rsidR="00C903F8">
        <w:t xml:space="preserve"> “shall protect </w:t>
      </w:r>
      <w:r w:rsidR="00BA37B0">
        <w:t xml:space="preserve">. . . </w:t>
      </w:r>
      <w:r w:rsidR="00C903F8">
        <w:t>all aquifers and parts of aquifers</w:t>
      </w:r>
      <w:r w:rsidR="001C1D6E" w:rsidRPr="001C1D6E">
        <w:rPr>
          <w:vertAlign w:val="superscript"/>
        </w:rPr>
        <w:t>[</w:t>
      </w:r>
      <w:r w:rsidR="001C1D6E">
        <w:rPr>
          <w:rStyle w:val="FootnoteReference"/>
        </w:rPr>
        <w:footnoteReference w:id="3"/>
      </w:r>
      <w:r w:rsidR="001C1D6E">
        <w:rPr>
          <w:vertAlign w:val="superscript"/>
        </w:rPr>
        <w:t>]</w:t>
      </w:r>
      <w:r w:rsidR="00C903F8">
        <w:t xml:space="preserve"> which meet the definition of ‘underground source of drinking water’ </w:t>
      </w:r>
      <w:r w:rsidR="00881F63">
        <w:t xml:space="preserve">. . . </w:t>
      </w:r>
      <w:r w:rsidR="00C903F8">
        <w:t>, except to the extent there is an applicable aquifer exemption [and other exceptions not relevant here].”  (40 C.F.R. § 144.7(a).)</w:t>
      </w:r>
      <w:r w:rsidR="00175036">
        <w:t xml:space="preserve">  </w:t>
      </w:r>
      <w:r w:rsidR="00E36189">
        <w:t xml:space="preserve">The regulations define </w:t>
      </w:r>
      <w:r w:rsidR="00175036">
        <w:t>“</w:t>
      </w:r>
      <w:r w:rsidR="00E36189">
        <w:t>u</w:t>
      </w:r>
      <w:r w:rsidR="00175036">
        <w:t xml:space="preserve">nderground </w:t>
      </w:r>
      <w:r w:rsidR="00314F81">
        <w:t xml:space="preserve">source of drinking water” </w:t>
      </w:r>
      <w:r w:rsidR="00DC1860">
        <w:t xml:space="preserve">broadly </w:t>
      </w:r>
      <w:r w:rsidR="00314F81">
        <w:t xml:space="preserve">as an aquifer which either supplies a public water system or is </w:t>
      </w:r>
      <w:r w:rsidR="005F1127">
        <w:t xml:space="preserve">large </w:t>
      </w:r>
      <w:r w:rsidR="00592303">
        <w:t xml:space="preserve">enough </w:t>
      </w:r>
      <w:r w:rsidR="005F1127">
        <w:t>and pure</w:t>
      </w:r>
      <w:r w:rsidR="00314F81">
        <w:t xml:space="preserve"> </w:t>
      </w:r>
      <w:r w:rsidR="007A0BA3">
        <w:t xml:space="preserve">enough </w:t>
      </w:r>
      <w:r w:rsidR="00314F81">
        <w:t xml:space="preserve">to </w:t>
      </w:r>
      <w:r w:rsidR="00313B53">
        <w:t xml:space="preserve">potentially </w:t>
      </w:r>
      <w:r w:rsidR="00314F81">
        <w:t>supply a public water system</w:t>
      </w:r>
      <w:r w:rsidR="00313B53">
        <w:t xml:space="preserve"> in the future</w:t>
      </w:r>
      <w:r w:rsidR="00B81EBA">
        <w:t xml:space="preserve">, and </w:t>
      </w:r>
      <w:r w:rsidR="00D527B9">
        <w:t xml:space="preserve">which </w:t>
      </w:r>
      <w:r w:rsidR="00DD7682">
        <w:t xml:space="preserve">has not been exempted by </w:t>
      </w:r>
      <w:r w:rsidR="00C15A2F">
        <w:t>EPA</w:t>
      </w:r>
      <w:r w:rsidR="00314F81">
        <w:t>.  (40 C.F.R. § 144.3.)</w:t>
      </w:r>
      <w:r w:rsidR="00314F81">
        <w:rPr>
          <w:rStyle w:val="FootnoteReference"/>
        </w:rPr>
        <w:footnoteReference w:id="4"/>
      </w:r>
      <w:r w:rsidR="00313B53">
        <w:t xml:space="preserve">  </w:t>
      </w:r>
      <w:r w:rsidR="00C15A2F">
        <w:t>EPA</w:t>
      </w:r>
      <w:r w:rsidR="00B81EBA">
        <w:t xml:space="preserve"> may exempt </w:t>
      </w:r>
      <w:r w:rsidR="00631E80">
        <w:t xml:space="preserve">an </w:t>
      </w:r>
      <w:r w:rsidR="00F52AEB">
        <w:t xml:space="preserve">aquifer that otherwise meets the </w:t>
      </w:r>
      <w:r w:rsidR="00D527B9">
        <w:t xml:space="preserve">definition </w:t>
      </w:r>
      <w:r w:rsidR="00F52AEB">
        <w:t xml:space="preserve">of an </w:t>
      </w:r>
      <w:r w:rsidR="00631E80">
        <w:t>underground source of drinking water if</w:t>
      </w:r>
      <w:r w:rsidR="00B81EBA">
        <w:t xml:space="preserve"> </w:t>
      </w:r>
      <w:r w:rsidR="004756B6">
        <w:lastRenderedPageBreak/>
        <w:t xml:space="preserve">it determines </w:t>
      </w:r>
      <w:r w:rsidR="00D418FD">
        <w:t xml:space="preserve">the aquifer </w:t>
      </w:r>
      <w:r w:rsidR="00B81EBA">
        <w:t>“cannot now and will not in the future serve as a source of drinking water</w:t>
      </w:r>
      <w:r w:rsidR="00FF2F22">
        <w:t>,</w:t>
      </w:r>
      <w:r w:rsidR="00B81EBA">
        <w:t>”</w:t>
      </w:r>
      <w:r w:rsidR="00FF2F22">
        <w:t xml:space="preserve"> for example, if its location or contamination makes such use impractical.  </w:t>
      </w:r>
      <w:r w:rsidR="00B81EBA">
        <w:t>(40 C.F.R. § 146.4(b).)</w:t>
      </w:r>
      <w:r w:rsidR="00FF2F22">
        <w:rPr>
          <w:rStyle w:val="FootnoteReference"/>
        </w:rPr>
        <w:footnoteReference w:id="5"/>
      </w:r>
      <w:r w:rsidR="00656198">
        <w:t xml:space="preserve">  </w:t>
      </w:r>
      <w:r w:rsidR="006F3EFE">
        <w:t>W</w:t>
      </w:r>
      <w:r w:rsidR="00656198">
        <w:t xml:space="preserve">e will refer to </w:t>
      </w:r>
      <w:r w:rsidR="00640B39">
        <w:t xml:space="preserve">aquifers which meet the definition of </w:t>
      </w:r>
      <w:r w:rsidR="00656198">
        <w:t xml:space="preserve">underground source of drinking water </w:t>
      </w:r>
      <w:r w:rsidR="008F02E2">
        <w:t xml:space="preserve">and, in accordance with that definition, </w:t>
      </w:r>
      <w:r w:rsidR="00C9693A">
        <w:t xml:space="preserve">have not been designated as exempt by </w:t>
      </w:r>
      <w:r w:rsidR="00C15A2F">
        <w:t>EPA</w:t>
      </w:r>
      <w:r w:rsidR="008F02E2">
        <w:t>,</w:t>
      </w:r>
      <w:r w:rsidR="00C9693A">
        <w:t xml:space="preserve"> </w:t>
      </w:r>
      <w:r w:rsidR="00656198">
        <w:t xml:space="preserve">as </w:t>
      </w:r>
      <w:r w:rsidR="008F02E2">
        <w:t>“</w:t>
      </w:r>
      <w:r w:rsidR="001A0161">
        <w:t>non</w:t>
      </w:r>
      <w:r w:rsidR="00656198">
        <w:t>exempt aquifers.</w:t>
      </w:r>
      <w:r w:rsidR="008F02E2">
        <w:t>”</w:t>
      </w:r>
    </w:p>
    <w:p w:rsidR="004831C0" w:rsidRDefault="00EE527D" w:rsidP="00C57825">
      <w:pPr>
        <w:spacing w:line="360" w:lineRule="auto"/>
      </w:pPr>
      <w:r>
        <w:tab/>
      </w:r>
      <w:r w:rsidR="00E71304">
        <w:t>The underground injection control program in a given state may</w:t>
      </w:r>
      <w:r w:rsidR="00AE29BA">
        <w:t xml:space="preserve"> </w:t>
      </w:r>
      <w:r w:rsidR="00C137BB">
        <w:t xml:space="preserve">be administered by </w:t>
      </w:r>
      <w:r w:rsidR="00C15A2F">
        <w:t>EPA</w:t>
      </w:r>
      <w:r w:rsidR="00C137BB">
        <w:t xml:space="preserve">, or the state may apply to </w:t>
      </w:r>
      <w:r w:rsidR="00C15A2F">
        <w:t>EPA</w:t>
      </w:r>
      <w:r w:rsidR="00C137BB">
        <w:t xml:space="preserve"> for primary enforcement responsibility</w:t>
      </w:r>
      <w:r w:rsidR="00275E3A">
        <w:t xml:space="preserve"> for the program</w:t>
      </w:r>
      <w:r w:rsidR="00950DF4">
        <w:t>, referred to as primacy</w:t>
      </w:r>
      <w:r w:rsidR="00C137BB">
        <w:t>.  (</w:t>
      </w:r>
      <w:r w:rsidR="003F309E">
        <w:t>42 U.S</w:t>
      </w:r>
      <w:r w:rsidR="00950DF4">
        <w:t>.C. § 300h-1, subds. (b) &amp; (c).)</w:t>
      </w:r>
      <w:r w:rsidR="004831C0">
        <w:t xml:space="preserve">  A state may obtain primacy either by showing its underground injection control program meets requirements set forth in </w:t>
      </w:r>
      <w:r w:rsidR="00C15A2F">
        <w:t>EPA</w:t>
      </w:r>
      <w:r w:rsidR="004831C0">
        <w:t xml:space="preserve">’s regulations </w:t>
      </w:r>
      <w:r w:rsidR="00F44420">
        <w:t xml:space="preserve">(42 U.S.C. § 300h-1, subd. (b)(1)(A)(i)) </w:t>
      </w:r>
      <w:r w:rsidR="004831C0">
        <w:t xml:space="preserve">or, with respect to injections associated with oil and gas production, by </w:t>
      </w:r>
      <w:r w:rsidR="00DA0317">
        <w:t xml:space="preserve">demonstrating its program </w:t>
      </w:r>
      <w:r w:rsidR="00DF70D7">
        <w:t xml:space="preserve">meets certain </w:t>
      </w:r>
      <w:r w:rsidR="00AC7BEA">
        <w:t>statutory</w:t>
      </w:r>
      <w:r w:rsidR="00DF70D7">
        <w:t xml:space="preserve"> requirements and </w:t>
      </w:r>
      <w:r w:rsidR="00DA0317">
        <w:t>will be effective in “prevent[ing] underground injection which endangers drinking water sources” (42 U.S.C. § </w:t>
      </w:r>
      <w:r w:rsidR="00A02B1D">
        <w:t>300h-4, subd. (a)</w:t>
      </w:r>
      <w:r w:rsidR="00F0716D">
        <w:t>)</w:t>
      </w:r>
      <w:r w:rsidR="00A02B1D">
        <w:t>.</w:t>
      </w:r>
      <w:r w:rsidR="00C57825">
        <w:t xml:space="preserve">  </w:t>
      </w:r>
      <w:r w:rsidR="009C6E63">
        <w:t xml:space="preserve">If </w:t>
      </w:r>
      <w:r w:rsidR="00C57825">
        <w:t xml:space="preserve">a state has been granted primacy, EPA retains the authority to revise the program or revoke primacy. </w:t>
      </w:r>
      <w:r w:rsidR="00367F62">
        <w:t xml:space="preserve"> </w:t>
      </w:r>
      <w:r w:rsidR="00C57825">
        <w:t>(40 C.F.R. §§ 145.32-145.34.)</w:t>
      </w:r>
      <w:r w:rsidR="00B45B01">
        <w:t xml:space="preserve">  EPA </w:t>
      </w:r>
      <w:r w:rsidR="004C52AB">
        <w:t xml:space="preserve">also retains the sole authority to </w:t>
      </w:r>
      <w:r w:rsidR="00C263C9">
        <w:t xml:space="preserve">approve </w:t>
      </w:r>
      <w:r w:rsidR="004C52AB">
        <w:t>aquifer exemptions.  (40 C.F.R. § </w:t>
      </w:r>
      <w:r w:rsidR="00C47B02">
        <w:t>144.7</w:t>
      </w:r>
      <w:r w:rsidR="00C47B02" w:rsidRPr="000653FC">
        <w:t>(</w:t>
      </w:r>
      <w:r w:rsidR="000653FC">
        <w:t>b</w:t>
      </w:r>
      <w:r w:rsidR="00C47B02" w:rsidRPr="000653FC">
        <w:t>)</w:t>
      </w:r>
      <w:r w:rsidR="000653FC">
        <w:t>(2)-(3)</w:t>
      </w:r>
      <w:r w:rsidR="004C52AB">
        <w:t>.)</w:t>
      </w:r>
    </w:p>
    <w:p w:rsidR="007404C0" w:rsidRPr="00B66A17" w:rsidRDefault="00947D96" w:rsidP="008730E9">
      <w:pPr>
        <w:spacing w:line="360" w:lineRule="auto"/>
        <w:rPr>
          <w:i/>
        </w:rPr>
      </w:pPr>
      <w:r>
        <w:rPr>
          <w:i/>
        </w:rPr>
        <w:t>California’s Underground Injection Control Program</w:t>
      </w:r>
    </w:p>
    <w:p w:rsidR="00B2364E" w:rsidRDefault="00164CEF" w:rsidP="008730E9">
      <w:pPr>
        <w:spacing w:line="360" w:lineRule="auto"/>
      </w:pPr>
      <w:r>
        <w:tab/>
      </w:r>
      <w:r w:rsidR="008B6B39" w:rsidRPr="008B6B39">
        <w:t xml:space="preserve">In 1983, </w:t>
      </w:r>
      <w:r w:rsidR="00C15A2F">
        <w:t>EPA</w:t>
      </w:r>
      <w:r w:rsidR="008B6B39" w:rsidRPr="008B6B39">
        <w:t xml:space="preserve"> granted California primacy over underground injections associated with oil and gas production, pursuant to the primacy provision requiring the state to prove </w:t>
      </w:r>
      <w:r w:rsidR="008B6B39" w:rsidRPr="008B6B39">
        <w:lastRenderedPageBreak/>
        <w:t>its program will be effective in preventing injections endangering dr</w:t>
      </w:r>
      <w:r w:rsidR="00C263C9">
        <w:t>inking water sources.  (48 Fed.</w:t>
      </w:r>
      <w:r w:rsidR="008B6B39" w:rsidRPr="008B6B39">
        <w:t>Reg. 6336-01 (Feb. 11, 1983) [primacy approved pursuant to §</w:t>
      </w:r>
      <w:r w:rsidR="00FA10BC">
        <w:t> </w:t>
      </w:r>
      <w:r w:rsidR="008B6B39" w:rsidRPr="008B6B39">
        <w:t xml:space="preserve">1425 of the Act]; Pub.L. No. 96-502, § 2(a) (Dec. 5, 1980) 94 Stat. 2737 [§ 1425 of the Act codified at 42 U.S.C. § 300h-4].)  </w:t>
      </w:r>
      <w:r w:rsidR="004E23BF">
        <w:t xml:space="preserve">As part of this process, </w:t>
      </w:r>
      <w:r w:rsidR="004C462B">
        <w:t xml:space="preserve">in 1982 </w:t>
      </w:r>
      <w:r w:rsidR="00C15A2F">
        <w:t>EPA</w:t>
      </w:r>
      <w:r w:rsidR="00F271DB">
        <w:t xml:space="preserve"> and </w:t>
      </w:r>
      <w:r w:rsidR="004E23BF">
        <w:t>the Department executed a memorandum of agreement (MOA)</w:t>
      </w:r>
      <w:r w:rsidR="004D57D3">
        <w:t xml:space="preserve"> establishing the respective responsibilities of the </w:t>
      </w:r>
      <w:r w:rsidR="00F93D10">
        <w:t>two agencies</w:t>
      </w:r>
      <w:r w:rsidR="00510A7C">
        <w:t xml:space="preserve"> in the administration of California’s </w:t>
      </w:r>
      <w:r w:rsidR="0084264E">
        <w:t xml:space="preserve">underground injection control </w:t>
      </w:r>
      <w:r w:rsidR="00510A7C">
        <w:t>program</w:t>
      </w:r>
      <w:r w:rsidR="008D6FF8">
        <w:t>.</w:t>
      </w:r>
      <w:r w:rsidR="008D6FF8">
        <w:rPr>
          <w:rStyle w:val="FootnoteReference"/>
        </w:rPr>
        <w:footnoteReference w:id="6"/>
      </w:r>
      <w:r w:rsidR="008D6FF8">
        <w:t xml:space="preserve"> </w:t>
      </w:r>
      <w:r w:rsidR="0057528A">
        <w:t xml:space="preserve"> </w:t>
      </w:r>
      <w:r w:rsidR="001C6701">
        <w:t xml:space="preserve">Under the MOA, it is the Department’s responsibility to </w:t>
      </w:r>
      <w:r w:rsidR="00D00E5E">
        <w:t>approve</w:t>
      </w:r>
      <w:r w:rsidR="001C6701">
        <w:t xml:space="preserve"> </w:t>
      </w:r>
      <w:r w:rsidR="00243D4B">
        <w:t xml:space="preserve">or deny </w:t>
      </w:r>
      <w:r w:rsidR="001C6701">
        <w:t xml:space="preserve">permits for underground injections.  </w:t>
      </w:r>
      <w:r w:rsidR="00611CA8">
        <w:t xml:space="preserve">The MOA </w:t>
      </w:r>
      <w:r w:rsidR="007630CD">
        <w:t xml:space="preserve">also </w:t>
      </w:r>
      <w:r w:rsidR="005A00D6">
        <w:t xml:space="preserve">memorializes </w:t>
      </w:r>
      <w:r w:rsidR="00CC3829">
        <w:t xml:space="preserve">EPA’s </w:t>
      </w:r>
      <w:r w:rsidR="00CA0ADD">
        <w:t xml:space="preserve">exemption of </w:t>
      </w:r>
      <w:r w:rsidR="00144208">
        <w:t>multiple</w:t>
      </w:r>
      <w:r w:rsidR="002924A3">
        <w:t xml:space="preserve"> </w:t>
      </w:r>
      <w:r w:rsidR="007630CD">
        <w:t xml:space="preserve">California </w:t>
      </w:r>
      <w:r w:rsidR="004F4B56">
        <w:t>aquifer</w:t>
      </w:r>
      <w:r w:rsidR="00CA0ADD">
        <w:t>s</w:t>
      </w:r>
      <w:r w:rsidR="00D00E5E">
        <w:t xml:space="preserve">, and </w:t>
      </w:r>
      <w:r w:rsidR="00852B9D">
        <w:t>provides</w:t>
      </w:r>
      <w:r w:rsidR="000974E0">
        <w:t xml:space="preserve">: “Aquifer exemptions made subsequent to the effective </w:t>
      </w:r>
      <w:r w:rsidR="00F32BE9">
        <w:t xml:space="preserve">date </w:t>
      </w:r>
      <w:r w:rsidR="004C462B">
        <w:t>of this Agreement shall not be effective until approved by [EPA] in writing. [¶] After the effective date of this Agreement, an aquifer exemption must be in effect prior to or concurrent with the issuance of a Class II permit for injection wells into that aquifer.”</w:t>
      </w:r>
      <w:r w:rsidR="0074454E">
        <w:rPr>
          <w:rStyle w:val="FootnoteReference"/>
        </w:rPr>
        <w:footnoteReference w:id="7"/>
      </w:r>
      <w:r w:rsidR="004C462B">
        <w:t xml:space="preserve"> </w:t>
      </w:r>
    </w:p>
    <w:p w:rsidR="00B2364E" w:rsidRDefault="00AE5565" w:rsidP="008730E9">
      <w:pPr>
        <w:spacing w:line="360" w:lineRule="auto"/>
      </w:pPr>
      <w:r>
        <w:tab/>
      </w:r>
      <w:r w:rsidR="00DD3377">
        <w:t xml:space="preserve">Between </w:t>
      </w:r>
      <w:r w:rsidR="00B34540">
        <w:t>201</w:t>
      </w:r>
      <w:r w:rsidR="00351D50">
        <w:t>1</w:t>
      </w:r>
      <w:r w:rsidR="00DD3377">
        <w:t xml:space="preserve"> and 2014</w:t>
      </w:r>
      <w:r w:rsidR="00B34540">
        <w:t xml:space="preserve">, the Department </w:t>
      </w:r>
      <w:r w:rsidR="00E13DBC">
        <w:t xml:space="preserve">became aware that it had issued permits </w:t>
      </w:r>
      <w:r w:rsidR="008E0F9C">
        <w:t>for</w:t>
      </w:r>
      <w:r w:rsidR="00E13DBC">
        <w:t xml:space="preserve"> </w:t>
      </w:r>
      <w:r w:rsidR="00C638A9">
        <w:t xml:space="preserve">potentially </w:t>
      </w:r>
      <w:r w:rsidR="00517AF4">
        <w:t xml:space="preserve">thousands </w:t>
      </w:r>
      <w:r w:rsidR="00470B89">
        <w:t xml:space="preserve">of </w:t>
      </w:r>
      <w:r w:rsidR="008207BC">
        <w:t>oil and gas wells inject</w:t>
      </w:r>
      <w:r w:rsidR="004D6558">
        <w:t>ing</w:t>
      </w:r>
      <w:r w:rsidR="00E13DBC">
        <w:t xml:space="preserve"> into nonexempt aquifers</w:t>
      </w:r>
      <w:r w:rsidR="004F5758">
        <w:t xml:space="preserve"> or nonexempt portions of aquifers</w:t>
      </w:r>
      <w:r w:rsidR="00E13DBC">
        <w:t>.</w:t>
      </w:r>
      <w:r w:rsidR="008516F8">
        <w:t xml:space="preserve">  </w:t>
      </w:r>
      <w:r w:rsidR="00444040">
        <w:t xml:space="preserve">Two unrelated causes led to this massive error.  </w:t>
      </w:r>
      <w:r w:rsidR="00D02617">
        <w:t xml:space="preserve">First, </w:t>
      </w:r>
      <w:r w:rsidR="00351D50">
        <w:t xml:space="preserve">apparently </w:t>
      </w:r>
      <w:r w:rsidR="00D02617">
        <w:t xml:space="preserve">due to poor oversight by the Department, regional offices </w:t>
      </w:r>
      <w:r w:rsidR="00FC2562">
        <w:t xml:space="preserve">failed to identify the correct </w:t>
      </w:r>
      <w:r w:rsidR="00D02617">
        <w:t>boundaries of exem</w:t>
      </w:r>
      <w:r w:rsidR="007929A6">
        <w:t>pt</w:t>
      </w:r>
      <w:r w:rsidR="00D02617">
        <w:t xml:space="preserve"> aquifers</w:t>
      </w:r>
      <w:r w:rsidR="00323062">
        <w:t xml:space="preserve">. </w:t>
      </w:r>
      <w:r w:rsidR="00D02617">
        <w:t xml:space="preserve"> </w:t>
      </w:r>
      <w:r w:rsidR="00323062">
        <w:t>F</w:t>
      </w:r>
      <w:r w:rsidR="00D02617">
        <w:t xml:space="preserve">or example, </w:t>
      </w:r>
      <w:r w:rsidR="00511ECF">
        <w:t xml:space="preserve">regional offices looked </w:t>
      </w:r>
      <w:r w:rsidR="0085289C">
        <w:t xml:space="preserve">only </w:t>
      </w:r>
      <w:r w:rsidR="00511ECF">
        <w:t xml:space="preserve">at </w:t>
      </w:r>
      <w:r w:rsidR="00D02617">
        <w:t xml:space="preserve">contour maps without </w:t>
      </w:r>
      <w:r w:rsidR="0085289C">
        <w:t xml:space="preserve">also </w:t>
      </w:r>
      <w:r w:rsidR="00D02617">
        <w:t>considering depth</w:t>
      </w:r>
      <w:r w:rsidR="00941A32">
        <w:t>,</w:t>
      </w:r>
      <w:r w:rsidR="003324EF">
        <w:t xml:space="preserve"> and therefore permitted</w:t>
      </w:r>
      <w:r w:rsidR="002947A1">
        <w:t xml:space="preserve"> injections above or below </w:t>
      </w:r>
      <w:r w:rsidR="00572F9D">
        <w:t xml:space="preserve">an </w:t>
      </w:r>
      <w:r w:rsidR="002947A1">
        <w:t>exempt aq</w:t>
      </w:r>
      <w:r w:rsidR="00941A32">
        <w:t>uifer;</w:t>
      </w:r>
      <w:r w:rsidR="002947A1">
        <w:t xml:space="preserve"> or </w:t>
      </w:r>
      <w:r w:rsidR="00941A32">
        <w:t>issued</w:t>
      </w:r>
      <w:r w:rsidR="002947A1">
        <w:t xml:space="preserve"> permits based on a list of </w:t>
      </w:r>
      <w:r w:rsidR="00B13D6F">
        <w:t xml:space="preserve">exempt </w:t>
      </w:r>
      <w:r w:rsidR="002947A1">
        <w:t>aquifers</w:t>
      </w:r>
      <w:r w:rsidR="00FD3D91">
        <w:t xml:space="preserve"> </w:t>
      </w:r>
      <w:r w:rsidR="002947A1">
        <w:t xml:space="preserve">without realizing that </w:t>
      </w:r>
      <w:r w:rsidR="00B51975">
        <w:t xml:space="preserve">only </w:t>
      </w:r>
      <w:r w:rsidR="00225073">
        <w:t xml:space="preserve">a portion of the </w:t>
      </w:r>
      <w:r w:rsidR="00DF0FB7">
        <w:t xml:space="preserve">relevant </w:t>
      </w:r>
      <w:r w:rsidR="00225073">
        <w:t>aquifer was</w:t>
      </w:r>
      <w:r w:rsidR="00B51975">
        <w:t xml:space="preserve"> </w:t>
      </w:r>
      <w:r w:rsidR="002947A1">
        <w:t xml:space="preserve">exempt. </w:t>
      </w:r>
      <w:r w:rsidR="00771948">
        <w:t xml:space="preserve"> </w:t>
      </w:r>
      <w:r w:rsidR="00D02617">
        <w:t>Second</w:t>
      </w:r>
      <w:r w:rsidR="00A36902">
        <w:t xml:space="preserve">, </w:t>
      </w:r>
      <w:r w:rsidR="00774B3E">
        <w:t xml:space="preserve">the Department </w:t>
      </w:r>
      <w:r w:rsidR="00760279">
        <w:t>became aware</w:t>
      </w:r>
      <w:r w:rsidR="00774B3E">
        <w:t xml:space="preserve"> that </w:t>
      </w:r>
      <w:r w:rsidR="00F04F3F">
        <w:t xml:space="preserve">there were two </w:t>
      </w:r>
      <w:r w:rsidR="0049715D">
        <w:t xml:space="preserve">nearly identical </w:t>
      </w:r>
      <w:r w:rsidR="00F04F3F">
        <w:t xml:space="preserve">versions of the MOA: </w:t>
      </w:r>
      <w:r w:rsidR="00BF21E7">
        <w:t xml:space="preserve">in </w:t>
      </w:r>
      <w:r w:rsidR="00F04F3F">
        <w:t xml:space="preserve">one </w:t>
      </w:r>
      <w:r w:rsidR="00BF21E7">
        <w:t xml:space="preserve">version, the Department’s request </w:t>
      </w:r>
      <w:r w:rsidR="00760279">
        <w:t xml:space="preserve">for exemption </w:t>
      </w:r>
      <w:r w:rsidR="008E4220">
        <w:t xml:space="preserve">of </w:t>
      </w:r>
      <w:r w:rsidR="00C726C1">
        <w:t xml:space="preserve">eleven </w:t>
      </w:r>
      <w:r w:rsidR="00F04F3F">
        <w:t>aquifers</w:t>
      </w:r>
      <w:r w:rsidR="00BF21E7">
        <w:t xml:space="preserve"> </w:t>
      </w:r>
      <w:r w:rsidR="00715483">
        <w:t xml:space="preserve">(hereafter, the </w:t>
      </w:r>
      <w:r w:rsidR="00C726C1">
        <w:t xml:space="preserve">Eleven </w:t>
      </w:r>
      <w:r w:rsidR="00715483">
        <w:t xml:space="preserve">Aquifers) </w:t>
      </w:r>
      <w:r w:rsidR="00BF21E7">
        <w:t xml:space="preserve">was </w:t>
      </w:r>
      <w:r w:rsidR="005C6814">
        <w:t>approved</w:t>
      </w:r>
      <w:r w:rsidR="00BF21E7">
        <w:t>; in the other, it was denied</w:t>
      </w:r>
      <w:r w:rsidR="00F04F3F">
        <w:t xml:space="preserve">.  </w:t>
      </w:r>
      <w:r w:rsidR="003C5E03">
        <w:t xml:space="preserve">After the state was granted primacy, </w:t>
      </w:r>
      <w:r w:rsidR="00C15A2F">
        <w:t>EPA</w:t>
      </w:r>
      <w:r w:rsidR="00D02617">
        <w:t xml:space="preserve"> and the Department treated the </w:t>
      </w:r>
      <w:r w:rsidR="00362756">
        <w:t xml:space="preserve">former as the operative MOA </w:t>
      </w:r>
      <w:r w:rsidR="00D02617">
        <w:t xml:space="preserve">and the Department issued permits authorizing injections into </w:t>
      </w:r>
      <w:r w:rsidR="00362756">
        <w:t>the Eleven Aquifers</w:t>
      </w:r>
      <w:r w:rsidR="00D02617">
        <w:t xml:space="preserve">.  </w:t>
      </w:r>
      <w:r w:rsidR="009F58D5">
        <w:t>T</w:t>
      </w:r>
      <w:r w:rsidR="00D02617">
        <w:t xml:space="preserve">he </w:t>
      </w:r>
      <w:r w:rsidR="001D4ED5">
        <w:t xml:space="preserve">latter </w:t>
      </w:r>
      <w:r w:rsidR="00D02617">
        <w:t xml:space="preserve">version of the </w:t>
      </w:r>
      <w:r w:rsidR="00D02617">
        <w:lastRenderedPageBreak/>
        <w:t>MOA was rediscovered by Department staff in 201</w:t>
      </w:r>
      <w:r w:rsidR="008E4220">
        <w:t>1</w:t>
      </w:r>
      <w:r w:rsidR="00B2152C">
        <w:t xml:space="preserve">.  Upon </w:t>
      </w:r>
      <w:r w:rsidR="005C6814">
        <w:t>this discovery</w:t>
      </w:r>
      <w:r w:rsidR="00B2152C">
        <w:t xml:space="preserve">, </w:t>
      </w:r>
      <w:r w:rsidR="00D02617">
        <w:t xml:space="preserve">the </w:t>
      </w:r>
      <w:r w:rsidR="00B2152C">
        <w:t xml:space="preserve">Department </w:t>
      </w:r>
      <w:r w:rsidR="005C6814">
        <w:t xml:space="preserve">determined </w:t>
      </w:r>
      <w:r w:rsidR="009A3FDF">
        <w:t xml:space="preserve">there was little evidence justifying </w:t>
      </w:r>
      <w:r w:rsidR="008D2E32">
        <w:t>exemption</w:t>
      </w:r>
      <w:r w:rsidR="008E4220">
        <w:t xml:space="preserve"> of the Eleven Aquifers, and any exemption may have been procedurally improper</w:t>
      </w:r>
      <w:r w:rsidR="005C6814">
        <w:t xml:space="preserve">. </w:t>
      </w:r>
      <w:r w:rsidR="009A3FDF">
        <w:t xml:space="preserve"> </w:t>
      </w:r>
      <w:r w:rsidR="005C6814">
        <w:t>Although the exemption status of the Eleven Aquifers was ambiguous</w:t>
      </w:r>
      <w:r w:rsidR="007B49A5">
        <w:t xml:space="preserve"> during the relevant time</w:t>
      </w:r>
      <w:r w:rsidR="005C6814">
        <w:t xml:space="preserve">, for convenience we will include them in </w:t>
      </w:r>
      <w:r w:rsidR="00E14A8E">
        <w:t>the term “</w:t>
      </w:r>
      <w:r w:rsidR="005C6814">
        <w:t>nonexempt aquifers.</w:t>
      </w:r>
      <w:r w:rsidR="00E14A8E">
        <w:t>”</w:t>
      </w:r>
    </w:p>
    <w:p w:rsidR="004C07D2" w:rsidRDefault="008202C2" w:rsidP="00E349FF">
      <w:pPr>
        <w:spacing w:line="360" w:lineRule="auto"/>
      </w:pPr>
      <w:r>
        <w:tab/>
        <w:t xml:space="preserve">The Department notified </w:t>
      </w:r>
      <w:r w:rsidR="00C15A2F">
        <w:t>EPA</w:t>
      </w:r>
      <w:r>
        <w:t xml:space="preserve"> and the two agencies </w:t>
      </w:r>
      <w:r w:rsidR="00C46893">
        <w:t xml:space="preserve">worked together </w:t>
      </w:r>
      <w:r>
        <w:t xml:space="preserve">to develop a plan to </w:t>
      </w:r>
      <w:r w:rsidR="008C2B67">
        <w:t xml:space="preserve">remedy the </w:t>
      </w:r>
      <w:r w:rsidR="00A034E7">
        <w:t>inappropriately</w:t>
      </w:r>
      <w:r w:rsidR="008C2B67">
        <w:t>-</w:t>
      </w:r>
      <w:r w:rsidR="008A58FB">
        <w:t xml:space="preserve">issued </w:t>
      </w:r>
      <w:r w:rsidR="008C2B67">
        <w:t>permits</w:t>
      </w:r>
      <w:r w:rsidR="003E272F">
        <w:t>, as documented in correspondence between the agencies</w:t>
      </w:r>
      <w:r>
        <w:t>.</w:t>
      </w:r>
      <w:r w:rsidR="0083319A">
        <w:rPr>
          <w:rStyle w:val="FootnoteReference"/>
        </w:rPr>
        <w:footnoteReference w:id="8"/>
      </w:r>
      <w:r>
        <w:t xml:space="preserve"> </w:t>
      </w:r>
      <w:r w:rsidR="0083319A">
        <w:t xml:space="preserve"> </w:t>
      </w:r>
      <w:r w:rsidR="004F531E">
        <w:t xml:space="preserve">The </w:t>
      </w:r>
      <w:r w:rsidR="003410E8">
        <w:t xml:space="preserve">basic </w:t>
      </w:r>
      <w:r w:rsidR="00066FAB">
        <w:t xml:space="preserve">structure </w:t>
      </w:r>
      <w:r w:rsidR="003410E8">
        <w:t xml:space="preserve">of the </w:t>
      </w:r>
      <w:r w:rsidR="004F531E">
        <w:t>plan</w:t>
      </w:r>
      <w:r w:rsidR="00D40F7B">
        <w:t>, as finalized in March 2015,</w:t>
      </w:r>
      <w:r w:rsidR="004F531E">
        <w:t xml:space="preserve"> was as follows.  </w:t>
      </w:r>
      <w:r w:rsidR="00F363AE">
        <w:t xml:space="preserve">The Department </w:t>
      </w:r>
      <w:r w:rsidR="008172A8">
        <w:t xml:space="preserve">would </w:t>
      </w:r>
      <w:r w:rsidR="00F363AE">
        <w:t>review the thousands of injection wells which potentially injected into nonexempt aquifers</w:t>
      </w:r>
      <w:r w:rsidR="0009519C">
        <w:t xml:space="preserve">, prioritizing those which </w:t>
      </w:r>
      <w:r w:rsidR="00A13DFF">
        <w:t>pose</w:t>
      </w:r>
      <w:r w:rsidR="00A12C41">
        <w:t>d</w:t>
      </w:r>
      <w:r w:rsidR="00A13DFF">
        <w:t xml:space="preserve"> the greatest risk to drinking water sources.</w:t>
      </w:r>
      <w:r w:rsidR="00F20504">
        <w:t xml:space="preserve">  During the review process, if the Department determined an injection well </w:t>
      </w:r>
      <w:r w:rsidR="00A13DFF">
        <w:t>potentially impact</w:t>
      </w:r>
      <w:r w:rsidR="00A12C41">
        <w:t>ed</w:t>
      </w:r>
      <w:r w:rsidR="00A13DFF">
        <w:t xml:space="preserve"> water supply wells</w:t>
      </w:r>
      <w:r w:rsidR="00F20504">
        <w:t>, i</w:t>
      </w:r>
      <w:r w:rsidR="000A3047">
        <w:t xml:space="preserve">t </w:t>
      </w:r>
      <w:r w:rsidR="00A12C41">
        <w:t>would order</w:t>
      </w:r>
      <w:r w:rsidR="000A3047">
        <w:t xml:space="preserve"> that injection</w:t>
      </w:r>
      <w:r w:rsidR="00F20504">
        <w:t xml:space="preserve"> </w:t>
      </w:r>
      <w:r w:rsidR="00862611">
        <w:t xml:space="preserve">well </w:t>
      </w:r>
      <w:r w:rsidR="00F20504">
        <w:t xml:space="preserve">to </w:t>
      </w:r>
      <w:r w:rsidR="007119B3">
        <w:t xml:space="preserve">immediately </w:t>
      </w:r>
      <w:r w:rsidR="001854DE">
        <w:t xml:space="preserve">cease </w:t>
      </w:r>
      <w:r w:rsidR="008271EC">
        <w:t>o</w:t>
      </w:r>
      <w:r w:rsidR="00A92081">
        <w:t>peration</w:t>
      </w:r>
      <w:r w:rsidR="00A13DFF">
        <w:t>.</w:t>
      </w:r>
      <w:r w:rsidR="00A12C41">
        <w:rPr>
          <w:rStyle w:val="FootnoteReference"/>
        </w:rPr>
        <w:footnoteReference w:id="9"/>
      </w:r>
      <w:r w:rsidR="00A13DFF">
        <w:t xml:space="preserve"> </w:t>
      </w:r>
      <w:r w:rsidR="007F4E53">
        <w:t xml:space="preserve"> </w:t>
      </w:r>
      <w:r w:rsidR="009C7CA8">
        <w:t xml:space="preserve">For many of the </w:t>
      </w:r>
      <w:r w:rsidR="00BF1536">
        <w:t xml:space="preserve">remaining </w:t>
      </w:r>
      <w:r w:rsidR="009C7CA8">
        <w:t>wells, there was reason to think the aquifer</w:t>
      </w:r>
      <w:r w:rsidR="009C694C">
        <w:t>s</w:t>
      </w:r>
      <w:r w:rsidR="009C7CA8">
        <w:t xml:space="preserve"> met the criteria for exemption.  </w:t>
      </w:r>
      <w:r w:rsidR="00BF1536">
        <w:t>T</w:t>
      </w:r>
      <w:r w:rsidR="003F6926">
        <w:t xml:space="preserve">he Department </w:t>
      </w:r>
      <w:r w:rsidR="00BF1536">
        <w:t>would allow</w:t>
      </w:r>
      <w:r w:rsidR="003F6926">
        <w:t xml:space="preserve"> injections to continue for a limited time, during which </w:t>
      </w:r>
      <w:r w:rsidR="004F2D42">
        <w:t xml:space="preserve">time </w:t>
      </w:r>
      <w:r w:rsidR="003F6926">
        <w:t xml:space="preserve">the operator could </w:t>
      </w:r>
      <w:r w:rsidR="008006EF">
        <w:t xml:space="preserve">request </w:t>
      </w:r>
      <w:r w:rsidR="003F6926">
        <w:t>an exemption</w:t>
      </w:r>
      <w:r w:rsidR="00A90418">
        <w:t xml:space="preserve"> for that aquifer</w:t>
      </w:r>
      <w:r w:rsidR="003F6926">
        <w:t>.</w:t>
      </w:r>
      <w:r w:rsidR="008018DE">
        <w:rPr>
          <w:rStyle w:val="FootnoteReference"/>
        </w:rPr>
        <w:footnoteReference w:id="10"/>
      </w:r>
      <w:r w:rsidR="003F6926">
        <w:t xml:space="preserve">  If</w:t>
      </w:r>
      <w:r w:rsidR="00CD69D9">
        <w:t>, by the expiration of the allotted time,</w:t>
      </w:r>
      <w:r w:rsidR="00677E3D">
        <w:t xml:space="preserve"> </w:t>
      </w:r>
      <w:r w:rsidR="003F6926">
        <w:t xml:space="preserve">EPA </w:t>
      </w:r>
      <w:r w:rsidR="00CD69D9">
        <w:t xml:space="preserve">had </w:t>
      </w:r>
      <w:r w:rsidR="003F6926">
        <w:t>not grant</w:t>
      </w:r>
      <w:r w:rsidR="00CD69D9">
        <w:t>ed</w:t>
      </w:r>
      <w:r w:rsidR="003F6926">
        <w:t xml:space="preserve"> </w:t>
      </w:r>
      <w:r w:rsidR="0033214F">
        <w:t xml:space="preserve">an exemption, </w:t>
      </w:r>
      <w:r w:rsidR="003F6926">
        <w:t xml:space="preserve">the injections must cease. </w:t>
      </w:r>
      <w:r w:rsidR="00C77080">
        <w:t xml:space="preserve"> </w:t>
      </w:r>
      <w:r w:rsidR="00E349FF">
        <w:t xml:space="preserve">The amount of time </w:t>
      </w:r>
      <w:r w:rsidR="00CD69D9">
        <w:t xml:space="preserve">in which to obtain an aquifer exemption </w:t>
      </w:r>
      <w:r w:rsidR="00E349FF">
        <w:t xml:space="preserve">varied depending on the </w:t>
      </w:r>
      <w:r w:rsidR="00C834BC">
        <w:t>type</w:t>
      </w:r>
      <w:r w:rsidR="00E349FF">
        <w:t xml:space="preserve"> of aquifer.  For injections into aquifers with </w:t>
      </w:r>
      <w:r w:rsidR="006F6DB9">
        <w:t xml:space="preserve">high quality </w:t>
      </w:r>
      <w:r w:rsidR="00E349FF">
        <w:t xml:space="preserve">water, the deadline was October 2015.  For injections into the Eleven Aquifers, the deadline was December 2016.  For injections into aquifers with </w:t>
      </w:r>
      <w:r w:rsidR="006F6DB9">
        <w:lastRenderedPageBreak/>
        <w:t xml:space="preserve">relatively poor quality </w:t>
      </w:r>
      <w:r w:rsidR="00E349FF">
        <w:t>water or with oil-containing water</w:t>
      </w:r>
      <w:r w:rsidR="009C1789">
        <w:t xml:space="preserve"> (which “could only be fit for beneficial use following extensive and expensive purification”)</w:t>
      </w:r>
      <w:r w:rsidR="00E349FF">
        <w:t>, the deadline was February 2017.</w:t>
      </w:r>
      <w:r w:rsidR="00B74B13">
        <w:rPr>
          <w:rStyle w:val="FootnoteReference"/>
        </w:rPr>
        <w:footnoteReference w:id="11"/>
      </w:r>
      <w:r w:rsidR="00E349FF">
        <w:t xml:space="preserve">  </w:t>
      </w:r>
      <w:r w:rsidR="00125EB4">
        <w:t xml:space="preserve">The Department could issue </w:t>
      </w:r>
      <w:r w:rsidR="00861935">
        <w:t xml:space="preserve">new </w:t>
      </w:r>
      <w:r w:rsidR="00125EB4">
        <w:t>permits for injection</w:t>
      </w:r>
      <w:r w:rsidR="00D15D18">
        <w:t>s</w:t>
      </w:r>
      <w:r w:rsidR="00125EB4">
        <w:t xml:space="preserve"> into the third category of aquifer, under certain conditions</w:t>
      </w:r>
      <w:r w:rsidR="00C941CD">
        <w:t>, but any such permits would be subject to the February 2017 deadline</w:t>
      </w:r>
      <w:r w:rsidR="00125EB4">
        <w:t xml:space="preserve">. </w:t>
      </w:r>
      <w:r w:rsidR="00C03EDB">
        <w:t xml:space="preserve"> </w:t>
      </w:r>
      <w:r w:rsidR="00926758">
        <w:t xml:space="preserve">In </w:t>
      </w:r>
      <w:r w:rsidR="00D96085">
        <w:t xml:space="preserve">a </w:t>
      </w:r>
      <w:r w:rsidR="00926758">
        <w:t xml:space="preserve">March 2015 </w:t>
      </w:r>
      <w:r w:rsidR="00D96085">
        <w:t>letter</w:t>
      </w:r>
      <w:r w:rsidR="00926758">
        <w:t xml:space="preserve">, EPA </w:t>
      </w:r>
      <w:r w:rsidR="007569C9">
        <w:t xml:space="preserve">approved </w:t>
      </w:r>
      <w:r w:rsidR="00C46EFA">
        <w:t xml:space="preserve">this approach, referring to it </w:t>
      </w:r>
      <w:r w:rsidR="00926758">
        <w:t>as the “corrective action plan.”</w:t>
      </w:r>
      <w:r w:rsidR="00A046D8">
        <w:t xml:space="preserve"> </w:t>
      </w:r>
      <w:r w:rsidR="00A857B3">
        <w:t xml:space="preserve"> </w:t>
      </w:r>
      <w:r w:rsidR="002F364C">
        <w:t xml:space="preserve">As the corrective action plan was implemented, </w:t>
      </w:r>
      <w:r w:rsidR="00CE4FDF">
        <w:t xml:space="preserve">EPA </w:t>
      </w:r>
      <w:r w:rsidR="009D6033">
        <w:t xml:space="preserve">occasionally </w:t>
      </w:r>
      <w:r w:rsidR="00CE4FDF">
        <w:t xml:space="preserve">approved modifications. </w:t>
      </w:r>
      <w:r w:rsidR="0091585A">
        <w:t xml:space="preserve"> </w:t>
      </w:r>
    </w:p>
    <w:p w:rsidR="002E05F0" w:rsidRDefault="000C1455" w:rsidP="004275EF">
      <w:pPr>
        <w:spacing w:line="360" w:lineRule="auto"/>
      </w:pPr>
      <w:r>
        <w:tab/>
      </w:r>
      <w:r w:rsidR="00807019">
        <w:t>In April 2015, t</w:t>
      </w:r>
      <w:r w:rsidR="008B599A">
        <w:t>he Department issued emergency regulations</w:t>
      </w:r>
      <w:r w:rsidR="004B51AE">
        <w:t xml:space="preserve"> </w:t>
      </w:r>
      <w:r w:rsidR="00D02736">
        <w:t>codifying</w:t>
      </w:r>
      <w:r w:rsidR="004D3291">
        <w:t xml:space="preserve"> th</w:t>
      </w:r>
      <w:r w:rsidR="004B5917">
        <w:t xml:space="preserve">e </w:t>
      </w:r>
      <w:r w:rsidR="00BD21B4">
        <w:t>corrective action plan</w:t>
      </w:r>
      <w:r w:rsidR="0017552F">
        <w:t>’s</w:t>
      </w:r>
      <w:r w:rsidR="00BD21B4">
        <w:t xml:space="preserve"> </w:t>
      </w:r>
      <w:r w:rsidR="004D3291">
        <w:t xml:space="preserve">schedule. </w:t>
      </w:r>
      <w:r w:rsidR="00AB5E87">
        <w:t xml:space="preserve"> </w:t>
      </w:r>
      <w:r w:rsidR="004F75FA">
        <w:t>The emergency regulations were replaced by permanent regulations</w:t>
      </w:r>
      <w:r w:rsidR="00D067BE">
        <w:t xml:space="preserve"> </w:t>
      </w:r>
      <w:r w:rsidR="002211CA">
        <w:t>contain</w:t>
      </w:r>
      <w:r w:rsidR="00D067BE">
        <w:t>ing</w:t>
      </w:r>
      <w:r w:rsidR="002211CA">
        <w:t xml:space="preserve"> the same schedule</w:t>
      </w:r>
      <w:r w:rsidR="004F75FA">
        <w:t xml:space="preserve">. </w:t>
      </w:r>
      <w:r w:rsidR="006748F1">
        <w:t xml:space="preserve"> (</w:t>
      </w:r>
      <w:r w:rsidR="006748F1" w:rsidRPr="006748F1">
        <w:t>Cal. Code Regs., tit. 14, §</w:t>
      </w:r>
      <w:r w:rsidR="006748F1">
        <w:t>§</w:t>
      </w:r>
      <w:r w:rsidR="007F4644">
        <w:t> 1760.1</w:t>
      </w:r>
      <w:r w:rsidR="006748F1">
        <w:t xml:space="preserve">, </w:t>
      </w:r>
      <w:r w:rsidR="006748F1" w:rsidRPr="006748F1">
        <w:t>1779.1</w:t>
      </w:r>
      <w:r w:rsidR="006748F1">
        <w:t>.)</w:t>
      </w:r>
      <w:r w:rsidR="00562651">
        <w:t xml:space="preserve"> </w:t>
      </w:r>
      <w:r w:rsidR="003008F9">
        <w:t xml:space="preserve"> </w:t>
      </w:r>
    </w:p>
    <w:p w:rsidR="002E05F0" w:rsidRPr="002E05F0" w:rsidRDefault="00214A30" w:rsidP="008730E9">
      <w:pPr>
        <w:spacing w:line="360" w:lineRule="auto"/>
        <w:rPr>
          <w:i/>
        </w:rPr>
      </w:pPr>
      <w:r>
        <w:rPr>
          <w:i/>
        </w:rPr>
        <w:t>Trial Court Proceedings</w:t>
      </w:r>
    </w:p>
    <w:p w:rsidR="00A129F5" w:rsidRDefault="00807019" w:rsidP="008730E9">
      <w:pPr>
        <w:spacing w:line="360" w:lineRule="auto"/>
      </w:pPr>
      <w:r>
        <w:tab/>
        <w:t xml:space="preserve">In May 2015, </w:t>
      </w:r>
      <w:r w:rsidR="00583D6D">
        <w:t>Appellant</w:t>
      </w:r>
      <w:r w:rsidR="00EC6591">
        <w:t xml:space="preserve"> filed the underlying action seeking a writ of mandate (Code Civ. Proc., § 1085) </w:t>
      </w:r>
      <w:r w:rsidR="0052370D">
        <w:t xml:space="preserve">and declaratory relief </w:t>
      </w:r>
      <w:r w:rsidR="003C2CFB">
        <w:t>based on the Department’s failure to order the immediate closure of wells injecting into nonexempt aquifers</w:t>
      </w:r>
      <w:r w:rsidR="00EC6591">
        <w:t>.</w:t>
      </w:r>
      <w:r w:rsidR="00EC6591">
        <w:rPr>
          <w:rStyle w:val="FootnoteReference"/>
        </w:rPr>
        <w:footnoteReference w:id="12"/>
      </w:r>
      <w:r w:rsidR="00EC6591">
        <w:t xml:space="preserve"> </w:t>
      </w:r>
      <w:r w:rsidR="008017C6">
        <w:t xml:space="preserve"> </w:t>
      </w:r>
      <w:r w:rsidR="005B3A92">
        <w:t xml:space="preserve">The trial court granted motions to intervene by certain energy companies and industry groups </w:t>
      </w:r>
      <w:r w:rsidR="00DC0354">
        <w:t>(collectively, Intervenors)</w:t>
      </w:r>
      <w:r w:rsidR="005B3A92">
        <w:t>.</w:t>
      </w:r>
      <w:r w:rsidR="00880D56">
        <w:rPr>
          <w:rStyle w:val="FootnoteReference"/>
        </w:rPr>
        <w:footnoteReference w:id="13"/>
      </w:r>
      <w:r w:rsidR="005B3A92">
        <w:t xml:space="preserve">  </w:t>
      </w:r>
      <w:r w:rsidR="00B95E6F">
        <w:t>In September 2016, t</w:t>
      </w:r>
      <w:r w:rsidR="008017C6">
        <w:t xml:space="preserve">he trial court issued a statement of decision denying </w:t>
      </w:r>
      <w:r w:rsidR="00583D6D">
        <w:t>Appellant</w:t>
      </w:r>
      <w:r w:rsidR="0089273C">
        <w:t xml:space="preserve">’s </w:t>
      </w:r>
      <w:r w:rsidR="00B95E6F">
        <w:t>claims</w:t>
      </w:r>
      <w:r w:rsidR="008017C6">
        <w:t xml:space="preserve"> and entered judgment </w:t>
      </w:r>
      <w:r w:rsidR="00B95E6F">
        <w:t>accordingly</w:t>
      </w:r>
      <w:r w:rsidR="008017C6">
        <w:t xml:space="preserve">. </w:t>
      </w:r>
      <w:r w:rsidR="00892152">
        <w:t xml:space="preserve"> </w:t>
      </w:r>
    </w:p>
    <w:p w:rsidR="00A129F5" w:rsidRDefault="00A129F5">
      <w:pPr>
        <w:tabs>
          <w:tab w:val="clear" w:pos="720"/>
        </w:tabs>
        <w:spacing w:after="200" w:line="276" w:lineRule="auto"/>
      </w:pPr>
      <w:r>
        <w:br w:type="page"/>
      </w:r>
    </w:p>
    <w:p w:rsidR="00641D06" w:rsidRDefault="00641D06" w:rsidP="00641D06">
      <w:pPr>
        <w:spacing w:line="360" w:lineRule="auto"/>
        <w:jc w:val="center"/>
      </w:pPr>
      <w:r>
        <w:t>DISCUSSION</w:t>
      </w:r>
    </w:p>
    <w:p w:rsidR="00730051" w:rsidRPr="00F6460E" w:rsidRDefault="008B4F3F" w:rsidP="008730E9">
      <w:pPr>
        <w:spacing w:line="360" w:lineRule="auto"/>
      </w:pPr>
      <w:r>
        <w:t xml:space="preserve">I.  </w:t>
      </w:r>
      <w:r>
        <w:rPr>
          <w:i/>
        </w:rPr>
        <w:t>Mootness</w:t>
      </w:r>
    </w:p>
    <w:p w:rsidR="00575074" w:rsidRDefault="00B823CB" w:rsidP="0079677A">
      <w:pPr>
        <w:spacing w:line="360" w:lineRule="auto"/>
      </w:pPr>
      <w:r>
        <w:tab/>
      </w:r>
      <w:r w:rsidR="009E1A84">
        <w:t xml:space="preserve">Under </w:t>
      </w:r>
      <w:r>
        <w:t xml:space="preserve">the </w:t>
      </w:r>
      <w:r w:rsidR="00BF1741">
        <w:t>corrective action plan</w:t>
      </w:r>
      <w:r w:rsidR="009E1A84">
        <w:t xml:space="preserve">, all injections into </w:t>
      </w:r>
      <w:r w:rsidR="00920585">
        <w:t>nonexempt</w:t>
      </w:r>
      <w:r w:rsidR="009E1A84">
        <w:t xml:space="preserve"> aquifers</w:t>
      </w:r>
      <w:r w:rsidR="00C4052F">
        <w:t xml:space="preserve"> were to</w:t>
      </w:r>
      <w:r w:rsidR="002121C3">
        <w:t xml:space="preserve"> cease by February 2017.</w:t>
      </w:r>
      <w:r w:rsidR="00C4052F">
        <w:t xml:space="preserve">  </w:t>
      </w:r>
      <w:r w:rsidR="00FB0891">
        <w:t xml:space="preserve">Such an event would render this appeal moot.  (See </w:t>
      </w:r>
      <w:r w:rsidR="00FB0891" w:rsidRPr="00FB0891">
        <w:rPr>
          <w:i/>
        </w:rPr>
        <w:t>City of Cerritos v. State</w:t>
      </w:r>
      <w:r w:rsidR="00A129F5">
        <w:rPr>
          <w:i/>
        </w:rPr>
        <w:t xml:space="preserve"> of California</w:t>
      </w:r>
      <w:r w:rsidR="00FB0891">
        <w:t xml:space="preserve"> (2015) 239 Cal.App.4th 1020, 1031 [“An appeal from an order denying an injunction may be dismissed as moot if the act sought to be enjoined is performed while the appeal is pending.”]</w:t>
      </w:r>
      <w:r w:rsidR="00BE5A38">
        <w:t>.)</w:t>
      </w:r>
      <w:r w:rsidR="00CB2F0C">
        <w:rPr>
          <w:rStyle w:val="FootnoteReference"/>
        </w:rPr>
        <w:footnoteReference w:id="14"/>
      </w:r>
      <w:r w:rsidR="00375E74">
        <w:t xml:space="preserve">  </w:t>
      </w:r>
      <w:r w:rsidR="00583D6D">
        <w:t>Appellant</w:t>
      </w:r>
      <w:r w:rsidR="00C4052F">
        <w:t xml:space="preserve"> and the Department </w:t>
      </w:r>
      <w:r w:rsidR="00575074">
        <w:t xml:space="preserve">filed motions asking us </w:t>
      </w:r>
      <w:r w:rsidR="00CF3FD0">
        <w:t xml:space="preserve">to </w:t>
      </w:r>
      <w:r w:rsidR="00F61427">
        <w:t xml:space="preserve">take </w:t>
      </w:r>
      <w:r w:rsidR="00CF3FD0">
        <w:t>additional documentary evidence</w:t>
      </w:r>
      <w:r w:rsidR="00A67B47">
        <w:t xml:space="preserve"> of </w:t>
      </w:r>
      <w:r w:rsidR="00BF1741">
        <w:t xml:space="preserve">postjudgment </w:t>
      </w:r>
      <w:r w:rsidR="00886C93">
        <w:t>correspondence</w:t>
      </w:r>
      <w:r w:rsidR="00CF3FD0">
        <w:t xml:space="preserve"> </w:t>
      </w:r>
      <w:r w:rsidR="001A7DBB">
        <w:t xml:space="preserve">between </w:t>
      </w:r>
      <w:r w:rsidR="00CF3FD0">
        <w:t xml:space="preserve">the Department </w:t>
      </w:r>
      <w:r w:rsidR="00D80D2A">
        <w:t xml:space="preserve">and </w:t>
      </w:r>
      <w:r w:rsidR="00CF3FD0">
        <w:t>EPA</w:t>
      </w:r>
      <w:r w:rsidR="00575074">
        <w:t xml:space="preserve">. </w:t>
      </w:r>
      <w:r w:rsidR="00A40B85">
        <w:t xml:space="preserve"> (</w:t>
      </w:r>
      <w:r w:rsidR="0094646A">
        <w:t xml:space="preserve">See </w:t>
      </w:r>
      <w:r w:rsidR="00A40B85">
        <w:t xml:space="preserve">Code Civ. Proc., § 909; Cal. Rules of Court, rule 8.252(c)(3).) </w:t>
      </w:r>
      <w:r w:rsidR="00975294">
        <w:t xml:space="preserve"> This correspondence demonstrates that injections into nonexempt aquifers have continued past the February 2017 deadline, if the Department had </w:t>
      </w:r>
      <w:r w:rsidR="00975294" w:rsidRPr="00AD18CD">
        <w:t xml:space="preserve">determined </w:t>
      </w:r>
      <w:r w:rsidR="00975294">
        <w:t xml:space="preserve">by that date </w:t>
      </w:r>
      <w:r w:rsidR="00975294" w:rsidRPr="00AD18CD">
        <w:t>that the nonexempt aquifer met the criteria for exemption</w:t>
      </w:r>
      <w:r w:rsidR="00975294">
        <w:t xml:space="preserve">, but the exemption process (see fn. 10, </w:t>
      </w:r>
      <w:r w:rsidR="00975294" w:rsidRPr="00A52ADC">
        <w:rPr>
          <w:i/>
        </w:rPr>
        <w:t>ante</w:t>
      </w:r>
      <w:r w:rsidR="00975294">
        <w:t xml:space="preserve">) </w:t>
      </w:r>
      <w:r w:rsidR="00975294" w:rsidRPr="00A52ADC">
        <w:t>was</w:t>
      </w:r>
      <w:r w:rsidR="00975294">
        <w:t xml:space="preserve"> still ongoing</w:t>
      </w:r>
      <w:r w:rsidR="00975294" w:rsidRPr="00AD18CD">
        <w:t xml:space="preserve">. </w:t>
      </w:r>
    </w:p>
    <w:p w:rsidR="000B0F0A" w:rsidRDefault="00727261" w:rsidP="0079677A">
      <w:pPr>
        <w:spacing w:line="360" w:lineRule="auto"/>
      </w:pPr>
      <w:r>
        <w:tab/>
        <w:t>“It has long been the general rule and understanding that ‘an appeal reviews the correctness of a judgment as of the time of its rendition, upon a record of matters which were before the trial court for its consideration.’  [Citation.]  This rule reflects an ‘essential distinction between the trial and the appellate court . . . that it is the province of the trial court to decide questions of fact and of the appellate court to decide questions of law . . . .’  [Citation.] . . . ‘Although appellate courts are authorized to make findings of fact on appeal by Code of Civil Procedure section 909 and [former] rule 23 of the California Rules of Court, the authority should be exercised sparingly.  [Citation.]  Absent exceptional circumstances, no such findings should be made.”  (</w:t>
      </w:r>
      <w:r w:rsidRPr="0050679D">
        <w:rPr>
          <w:i/>
        </w:rPr>
        <w:t xml:space="preserve">In re Zeth S. </w:t>
      </w:r>
      <w:r>
        <w:t xml:space="preserve">(2003) 31 Cal.4th 396, 405.)  </w:t>
      </w:r>
      <w:r w:rsidR="000B0F0A">
        <w:t>We conclude that resolving the mootness question constitutes exceptional circumstances warranting our taking the additional documentary evidence</w:t>
      </w:r>
      <w:r w:rsidR="008B412B">
        <w:t xml:space="preserve"> for this limited purpose</w:t>
      </w:r>
      <w:r w:rsidR="000B0F0A">
        <w:t>.</w:t>
      </w:r>
      <w:r w:rsidR="00AC04CD">
        <w:rPr>
          <w:rStyle w:val="FootnoteReference"/>
        </w:rPr>
        <w:footnoteReference w:id="15"/>
      </w:r>
      <w:r w:rsidR="000B0F0A">
        <w:t xml:space="preserve">  (S</w:t>
      </w:r>
      <w:r w:rsidR="00912E6E">
        <w:t xml:space="preserve">ee </w:t>
      </w:r>
      <w:r w:rsidR="00912E6E" w:rsidRPr="0079677A">
        <w:rPr>
          <w:i/>
        </w:rPr>
        <w:t>Speirs v. Bluefire Ethanol Fuels, Inc.</w:t>
      </w:r>
      <w:r w:rsidR="00912E6E">
        <w:t xml:space="preserve"> (2015) 243 Cal.App.4th 969, 980 [“We grant the parties’ respective motions to admit new documentary evidence on appeal relevant to the issue of whether [the appellant]’s appeal is moot.”].)  </w:t>
      </w:r>
      <w:r w:rsidR="000B0F0A">
        <w:t xml:space="preserve">Appellant also relies on this </w:t>
      </w:r>
      <w:r w:rsidR="00340101">
        <w:t xml:space="preserve">additional </w:t>
      </w:r>
      <w:r w:rsidR="000B0F0A">
        <w:t xml:space="preserve">evidence in arguing the judgment should be reversed.  We find no extraordinary circumstances warranting our consideration of the evidence for such purposes, and we thus do not consider it in determining the merits of the appeal.  </w:t>
      </w:r>
    </w:p>
    <w:p w:rsidR="008B412B" w:rsidRDefault="008B412B" w:rsidP="0079677A">
      <w:pPr>
        <w:spacing w:line="360" w:lineRule="auto"/>
      </w:pPr>
      <w:r>
        <w:tab/>
      </w:r>
      <w:r w:rsidR="003E5946">
        <w:t xml:space="preserve">Because the additional evidence demonstrates injections into nonexempt aquifers continued past </w:t>
      </w:r>
      <w:r w:rsidR="00841F47">
        <w:t xml:space="preserve">the </w:t>
      </w:r>
      <w:r w:rsidR="003E5946">
        <w:t>February 2017</w:t>
      </w:r>
      <w:r w:rsidR="00841F47">
        <w:t xml:space="preserve"> deadline</w:t>
      </w:r>
      <w:r w:rsidR="003E5946">
        <w:t>, we conclude the appeal is not moot.</w:t>
      </w:r>
      <w:r w:rsidR="00C23680">
        <w:t xml:space="preserve">  </w:t>
      </w:r>
      <w:r w:rsidR="008913A1">
        <w:t>W</w:t>
      </w:r>
      <w:r w:rsidR="00C23680">
        <w:t>e now turn to the merits of Appellant’s claims.</w:t>
      </w:r>
    </w:p>
    <w:p w:rsidR="002C4649" w:rsidRPr="008B4F3F" w:rsidRDefault="002C4649" w:rsidP="002C4649">
      <w:pPr>
        <w:spacing w:line="360" w:lineRule="auto"/>
        <w:rPr>
          <w:i/>
        </w:rPr>
      </w:pPr>
      <w:r>
        <w:t xml:space="preserve">II.  </w:t>
      </w:r>
      <w:r>
        <w:rPr>
          <w:i/>
        </w:rPr>
        <w:t>Legal Standard</w:t>
      </w:r>
    </w:p>
    <w:p w:rsidR="002C4649" w:rsidRDefault="002C4649" w:rsidP="002C4649">
      <w:pPr>
        <w:spacing w:line="360" w:lineRule="auto"/>
      </w:pPr>
      <w:r>
        <w:tab/>
        <w:t>A writ of mandate may issue “to compel the performance of an act which the law specially enjoins, as a duty resulting from an office, trust, or station . . . .”  (Code Civ. Proc., § 1085, subd. (a).)  “Generally, mandamus is available to compel a public agency’s performance or to correct an agency’s abuse of discretion when the action being compelled or corrected is ministerial.  [Citation.]  ‘A ministerial act is an act that a public officer is required to perform in a prescribed manner in obedience to the mandate of legal authority and without regard to his [or her] own judgment or opinion concerning such act’s propriety or impropriety, when a given state of facts exists.  Discretion . . . is the power conferred on public functionaries to act officially according to the dictates of their own judgment.  [Citation.]’  [Citations.]  Mandamus does not lie to compel a public agency to exercise discretionary powers in a particular manner, only to compel it to exercise its discretion in some manner.”  (</w:t>
      </w:r>
      <w:r w:rsidRPr="00962E7A">
        <w:rPr>
          <w:i/>
        </w:rPr>
        <w:t>AIDS Healthcare Foundation v. Los Angeles County Dept. of Public Health</w:t>
      </w:r>
      <w:r>
        <w:t xml:space="preserve"> (2011) 197 Cal.App.4th 693, 700–701 (</w:t>
      </w:r>
      <w:r>
        <w:rPr>
          <w:i/>
        </w:rPr>
        <w:t>AIDS Healthcare</w:t>
      </w:r>
      <w:r>
        <w:t>).)</w:t>
      </w:r>
    </w:p>
    <w:p w:rsidR="00F26A2E" w:rsidRDefault="002C4649" w:rsidP="00B8623A">
      <w:pPr>
        <w:spacing w:line="360" w:lineRule="auto"/>
      </w:pPr>
      <w:r>
        <w:tab/>
        <w:t>“</w:t>
      </w:r>
      <w:r w:rsidR="00B8623A">
        <w:t>We independently review the petition to determine whether [Appellant] has stated a viable cause of action for mandamus relief.”  (</w:t>
      </w:r>
      <w:r w:rsidR="00B8623A" w:rsidRPr="00B8623A">
        <w:rPr>
          <w:i/>
        </w:rPr>
        <w:t>AIDS Healthcare</w:t>
      </w:r>
      <w:r w:rsidR="00B8623A">
        <w:rPr>
          <w:i/>
        </w:rPr>
        <w:t>, supra,</w:t>
      </w:r>
      <w:r w:rsidR="00B8623A">
        <w:t xml:space="preserve"> 197 Cal.App.4th at p. 700.)</w:t>
      </w:r>
    </w:p>
    <w:p w:rsidR="00641D06" w:rsidRDefault="008B4F3F" w:rsidP="00F26A2E">
      <w:pPr>
        <w:spacing w:line="360" w:lineRule="auto"/>
      </w:pPr>
      <w:r>
        <w:t>II</w:t>
      </w:r>
      <w:r w:rsidR="00EB1198">
        <w:t xml:space="preserve">I.  </w:t>
      </w:r>
      <w:r w:rsidR="00EB1198">
        <w:rPr>
          <w:i/>
        </w:rPr>
        <w:t>The Safe Drinking Water Act</w:t>
      </w:r>
    </w:p>
    <w:p w:rsidR="00EB1198" w:rsidRDefault="00373AA7" w:rsidP="008730E9">
      <w:pPr>
        <w:spacing w:line="360" w:lineRule="auto"/>
      </w:pPr>
      <w:r>
        <w:tab/>
      </w:r>
      <w:r w:rsidR="00583D6D">
        <w:t>Appellant</w:t>
      </w:r>
      <w:r>
        <w:t xml:space="preserve"> contends the Act </w:t>
      </w:r>
      <w:r w:rsidR="00945703">
        <w:t>and its regulations impose</w:t>
      </w:r>
      <w:r>
        <w:t xml:space="preserve"> a mandatory duty on the Department to </w:t>
      </w:r>
      <w:r w:rsidR="00CB43D5">
        <w:t xml:space="preserve">immediately cease </w:t>
      </w:r>
      <w:r w:rsidR="006C7656">
        <w:t>the permitted</w:t>
      </w:r>
      <w:r w:rsidR="00CB43D5">
        <w:t xml:space="preserve"> </w:t>
      </w:r>
      <w:r>
        <w:t xml:space="preserve">injections into nonexempt aquifers.  </w:t>
      </w:r>
      <w:r w:rsidR="008F719B">
        <w:t>We disagree.</w:t>
      </w:r>
    </w:p>
    <w:p w:rsidR="00A16DC9" w:rsidRDefault="00AD4CD5" w:rsidP="005A1B57">
      <w:pPr>
        <w:spacing w:line="360" w:lineRule="auto"/>
      </w:pPr>
      <w:r>
        <w:tab/>
        <w:t>The Act provides that all state programs to administer its provisions “</w:t>
      </w:r>
      <w:r w:rsidRPr="00AD4CD5">
        <w:t xml:space="preserve">shall require </w:t>
      </w:r>
      <w:r>
        <w:t xml:space="preserve">. . . </w:t>
      </w:r>
      <w:r w:rsidRPr="00AD4CD5">
        <w:t>that the applicant for the permit to inject must satisfy the State that the underground injection will not endanger drinking water sources</w:t>
      </w:r>
      <w:r>
        <w:t xml:space="preserve"> . . . .”  (42 U.S.C. </w:t>
      </w:r>
      <w:r w:rsidR="00A63932">
        <w:t>§</w:t>
      </w:r>
      <w:r>
        <w:t>§ 300h, subd. (b)(1)(B)</w:t>
      </w:r>
      <w:r w:rsidR="00A63932">
        <w:t>, 300h-4, subd. (a)</w:t>
      </w:r>
      <w:r>
        <w:t>.)</w:t>
      </w:r>
      <w:r w:rsidR="00C33C61">
        <w:t xml:space="preserve">  </w:t>
      </w:r>
      <w:r w:rsidR="002F614E">
        <w:t xml:space="preserve">The Act further provides: </w:t>
      </w:r>
      <w:r w:rsidR="002F614E" w:rsidRPr="002F614E">
        <w:t>“Underground injection endangers drinking water sources if such injection may result in the presence in underground water which supplies or can reasonably be expected to supply any public water system of any contaminant, and if the presence of such contaminant may result in such system’s not complying with any national primary drinking water regulation or may otherwise adversely affect the health of persons.”  (42 U.S.C. § 300h, subd. (d)(2).)</w:t>
      </w:r>
      <w:r w:rsidR="002F614E">
        <w:t xml:space="preserve">  </w:t>
      </w:r>
      <w:r w:rsidR="0008018B">
        <w:t>Regulations promulgated</w:t>
      </w:r>
      <w:r w:rsidR="00A70570">
        <w:t xml:space="preserve"> pursuant to the Act provide</w:t>
      </w:r>
      <w:r w:rsidR="005A1B57">
        <w:t xml:space="preserve"> </w:t>
      </w:r>
      <w:r w:rsidR="00C15A2F">
        <w:t>EPA</w:t>
      </w:r>
      <w:r w:rsidR="005A1B57">
        <w:t xml:space="preserve"> “</w:t>
      </w:r>
      <w:r w:rsidR="003534DD">
        <w:t>shall protect</w:t>
      </w:r>
      <w:r w:rsidR="00C549E7">
        <w:t>” all nonexempt aquifers.</w:t>
      </w:r>
      <w:r w:rsidR="003534DD">
        <w:t xml:space="preserve">  (40 C.F.R. 144.7(a).)</w:t>
      </w:r>
      <w:r w:rsidR="00E2132C">
        <w:t xml:space="preserve">  </w:t>
      </w:r>
      <w:r w:rsidR="00A36307">
        <w:t xml:space="preserve">The parties dispute whether these statutory and regulatory provisions </w:t>
      </w:r>
      <w:r w:rsidR="00A16DC9">
        <w:t xml:space="preserve">impose </w:t>
      </w:r>
      <w:r w:rsidR="00945703">
        <w:t>present duties</w:t>
      </w:r>
      <w:r w:rsidR="00A16DC9">
        <w:t xml:space="preserve"> on the Department to ensure permitted injections “</w:t>
      </w:r>
      <w:r w:rsidR="00A16DC9" w:rsidRPr="00AD4CD5">
        <w:t>will not endanger drinking water sources</w:t>
      </w:r>
      <w:r w:rsidR="00A16DC9">
        <w:t xml:space="preserve">” and to “protect” </w:t>
      </w:r>
      <w:r w:rsidR="00920585">
        <w:t>nonexempt</w:t>
      </w:r>
      <w:r w:rsidR="00A16DC9">
        <w:t xml:space="preserve"> aquifers.  </w:t>
      </w:r>
      <w:r w:rsidR="003C3887">
        <w:t>We will assume, without deciding, that they do.</w:t>
      </w:r>
      <w:r w:rsidR="00302F16">
        <w:t xml:space="preserve"> </w:t>
      </w:r>
      <w:r w:rsidR="00D44122">
        <w:t xml:space="preserve"> The question is whether such duties require the Department to order the immediate cessation of injections into nonexempt aquifers.</w:t>
      </w:r>
      <w:r w:rsidR="002D2CB3">
        <w:t xml:space="preserve"> </w:t>
      </w:r>
    </w:p>
    <w:p w:rsidR="00285A7E" w:rsidRDefault="00642BD3" w:rsidP="00A0447F">
      <w:pPr>
        <w:spacing w:line="360" w:lineRule="auto"/>
      </w:pPr>
      <w:r>
        <w:tab/>
        <w:t>“</w:t>
      </w:r>
      <w:r w:rsidRPr="00642BD3">
        <w:t>While a writ of mandate may issue to compel compliance with a ministerial duty—an act the law specifically requires—it may not issue to compel an agency to perform that legal duty in a particular manner, or control its exercise of discretion by forcing it to meet its legal obligations in a specific way.</w:t>
      </w:r>
      <w:r w:rsidR="0045071C">
        <w:t xml:space="preserve">”  </w:t>
      </w:r>
      <w:r w:rsidRPr="00642BD3">
        <w:t>(</w:t>
      </w:r>
      <w:r w:rsidRPr="0045071C">
        <w:rPr>
          <w:i/>
        </w:rPr>
        <w:t xml:space="preserve">Marquez v. </w:t>
      </w:r>
      <w:r w:rsidR="00A129F5">
        <w:rPr>
          <w:i/>
        </w:rPr>
        <w:t>State Dept.</w:t>
      </w:r>
      <w:r w:rsidRPr="0045071C">
        <w:rPr>
          <w:i/>
        </w:rPr>
        <w:t xml:space="preserve"> of Health Care Services</w:t>
      </w:r>
      <w:r w:rsidRPr="00642BD3">
        <w:t xml:space="preserve"> (2015) 240 Cal.App.4th 87, 118–119</w:t>
      </w:r>
      <w:r w:rsidR="00304044">
        <w:t xml:space="preserve"> (</w:t>
      </w:r>
      <w:r w:rsidR="00304044" w:rsidRPr="0045071C">
        <w:rPr>
          <w:i/>
        </w:rPr>
        <w:t>Marquez</w:t>
      </w:r>
      <w:r w:rsidR="00304044">
        <w:t>)</w:t>
      </w:r>
      <w:r w:rsidR="0045071C">
        <w:t>.)</w:t>
      </w:r>
      <w:r w:rsidR="002844E7">
        <w:t xml:space="preserve">  </w:t>
      </w:r>
      <w:r w:rsidR="00B7736C">
        <w:t>“ ‘</w:t>
      </w:r>
      <w:r w:rsidR="00B7736C" w:rsidRPr="00C4010C">
        <w:t>Even if mandatory language appears in [a] statute creating a duty, the duty is discretionary if the [public entity] must exercise significant discretion to perform the duty.</w:t>
      </w:r>
      <w:r w:rsidR="00B7736C">
        <w:t>’ </w:t>
      </w:r>
      <w:r w:rsidR="00B7736C" w:rsidRPr="00C4010C">
        <w:t>”</w:t>
      </w:r>
      <w:r w:rsidR="00B7736C">
        <w:t xml:space="preserve">  (</w:t>
      </w:r>
      <w:r w:rsidR="00B7736C" w:rsidRPr="00962E7A">
        <w:rPr>
          <w:i/>
        </w:rPr>
        <w:t>AIDS Healthcare</w:t>
      </w:r>
      <w:r w:rsidR="00B7736C">
        <w:rPr>
          <w:i/>
        </w:rPr>
        <w:t>, supra,</w:t>
      </w:r>
      <w:r w:rsidR="00B7736C" w:rsidRPr="00962E7A">
        <w:rPr>
          <w:i/>
        </w:rPr>
        <w:t xml:space="preserve"> </w:t>
      </w:r>
      <w:r w:rsidR="00B7736C">
        <w:t>197 Cal.App.4th at p. 701</w:t>
      </w:r>
      <w:r w:rsidR="00305D51">
        <w:t xml:space="preserve">; see also </w:t>
      </w:r>
      <w:r w:rsidR="00305D51" w:rsidRPr="0056601D">
        <w:rPr>
          <w:i/>
        </w:rPr>
        <w:t>State Dept. of State Hospitals v. Superior Court</w:t>
      </w:r>
      <w:r w:rsidR="00305D51">
        <w:t xml:space="preserve"> (2015) 61 Cal.4th 339, 348 [</w:t>
      </w:r>
      <w:r w:rsidR="00A6197B">
        <w:t>“[T]o establish a mandatory duty</w:t>
      </w:r>
      <w:r w:rsidR="00305D51">
        <w:t xml:space="preserve"> </w:t>
      </w:r>
      <w:r w:rsidR="00A6197B">
        <w:t>[</w:t>
      </w:r>
      <w:r w:rsidR="00A129F5">
        <w:t>for purposes of Gov</w:t>
      </w:r>
      <w:r w:rsidR="00305D51">
        <w:t>. Code, § 815.6</w:t>
      </w:r>
      <w:r w:rsidR="00A6197B">
        <w:t xml:space="preserve">] </w:t>
      </w:r>
      <w:r w:rsidR="00305D51">
        <w:t>. . . </w:t>
      </w:r>
      <w:r w:rsidR="002B1CCE">
        <w:t>‘</w:t>
      </w:r>
      <w:r w:rsidR="00305D51">
        <w:t>[i]</w:t>
      </w:r>
      <w:r w:rsidR="00FB3B38" w:rsidRPr="00FB3B38">
        <w:t>t is not enough</w:t>
      </w:r>
      <w:r w:rsidR="00305D51">
        <w:t xml:space="preserve"> . . . </w:t>
      </w:r>
      <w:r w:rsidR="00FB3B38" w:rsidRPr="00FB3B38">
        <w:t xml:space="preserve">that the public entity or officer have been under an obligation to perform a function </w:t>
      </w:r>
      <w:r w:rsidR="00FB3B38" w:rsidRPr="0098099A">
        <w:rPr>
          <w:i/>
        </w:rPr>
        <w:t>if the function itself involves the exercise of discretion</w:t>
      </w:r>
      <w:r w:rsidR="00FB3B38" w:rsidRPr="00FB3B38">
        <w:t>.</w:t>
      </w:r>
      <w:r w:rsidR="0098099A">
        <w:t>’ </w:t>
      </w:r>
      <w:r w:rsidR="00FB3B38" w:rsidRPr="00FB3B38">
        <w:t>”</w:t>
      </w:r>
      <w:r w:rsidR="000608BE">
        <w:t>]</w:t>
      </w:r>
      <w:r w:rsidR="001444A5">
        <w:t>.)</w:t>
      </w:r>
    </w:p>
    <w:p w:rsidR="005E7B89" w:rsidRDefault="00285A7E" w:rsidP="008E68CF">
      <w:pPr>
        <w:spacing w:line="360" w:lineRule="auto"/>
      </w:pPr>
      <w:r>
        <w:tab/>
      </w:r>
      <w:r>
        <w:rPr>
          <w:i/>
        </w:rPr>
        <w:t xml:space="preserve">AIDS Healthcare </w:t>
      </w:r>
      <w:r>
        <w:t xml:space="preserve">is </w:t>
      </w:r>
      <w:r w:rsidR="00E01623">
        <w:t>instructive</w:t>
      </w:r>
      <w:r>
        <w:t xml:space="preserve">.  The </w:t>
      </w:r>
      <w:r w:rsidR="001A29F0">
        <w:t>petitioners</w:t>
      </w:r>
      <w:r w:rsidR="00035977">
        <w:t xml:space="preserve"> sought a writ of mandate directing the Los Angeles health officer</w:t>
      </w:r>
      <w:r w:rsidR="00C3214C">
        <w:t xml:space="preserve"> to require </w:t>
      </w:r>
      <w:r w:rsidR="001C0335">
        <w:t xml:space="preserve">performers in </w:t>
      </w:r>
      <w:r w:rsidR="00C3214C">
        <w:t xml:space="preserve">adult films </w:t>
      </w:r>
      <w:r w:rsidR="001C0335">
        <w:t>use</w:t>
      </w:r>
      <w:r w:rsidR="009126DB">
        <w:t xml:space="preserve"> </w:t>
      </w:r>
      <w:r w:rsidR="0041443D">
        <w:t>condoms</w:t>
      </w:r>
      <w:r w:rsidR="009126DB">
        <w:t xml:space="preserve"> and obtain hepatitis B</w:t>
      </w:r>
      <w:r w:rsidR="001C0335">
        <w:t xml:space="preserve"> vaccinations</w:t>
      </w:r>
      <w:r w:rsidR="00BC2447">
        <w:t>,</w:t>
      </w:r>
      <w:r w:rsidR="001C0335">
        <w:t xml:space="preserve"> </w:t>
      </w:r>
      <w:r w:rsidR="0041443D">
        <w:t>to</w:t>
      </w:r>
      <w:r w:rsidR="00C3214C">
        <w:t xml:space="preserve"> </w:t>
      </w:r>
      <w:r w:rsidR="001A29F0">
        <w:t xml:space="preserve">curb </w:t>
      </w:r>
      <w:r w:rsidR="00C3214C">
        <w:t>the spread of sexually transmitted diseases.</w:t>
      </w:r>
      <w:r w:rsidR="0050296D">
        <w:t xml:space="preserve">  (</w:t>
      </w:r>
      <w:r w:rsidR="0050296D" w:rsidRPr="0050296D">
        <w:rPr>
          <w:i/>
        </w:rPr>
        <w:t>AIDS Healthcare</w:t>
      </w:r>
      <w:r w:rsidR="0050296D">
        <w:rPr>
          <w:i/>
        </w:rPr>
        <w:t>, supra,</w:t>
      </w:r>
      <w:r w:rsidR="0050296D">
        <w:t xml:space="preserve"> 197 Cal.App.4th at p. 696.)</w:t>
      </w:r>
      <w:r w:rsidR="00C959D9">
        <w:t xml:space="preserve">  The </w:t>
      </w:r>
      <w:r w:rsidR="001A29F0">
        <w:t xml:space="preserve">petitioners </w:t>
      </w:r>
      <w:r w:rsidR="00C959D9">
        <w:t>relied on statutes providing a health officer aware of communicable diseases “</w:t>
      </w:r>
      <w:r w:rsidR="004D361F">
        <w:t> ‘</w:t>
      </w:r>
      <w:r w:rsidR="004D361F" w:rsidRPr="004D361F">
        <w:t>shall take measures as may be necessary to prevent the spread of the disease or occurrence of additional ca</w:t>
      </w:r>
      <w:r w:rsidR="00C959D9">
        <w:t>ses’ ”</w:t>
      </w:r>
      <w:r w:rsidR="00A27267">
        <w:t xml:space="preserve"> and, with respect to sexually transmitted diseases, shall take “ ‘</w:t>
      </w:r>
      <w:r w:rsidR="00A27267" w:rsidRPr="00A27267">
        <w:t>all measures reasonably necessary to prevent the transmission of infection.</w:t>
      </w:r>
      <w:r w:rsidR="00A27267">
        <w:t>’ ”  (</w:t>
      </w:r>
      <w:r w:rsidR="00A27267">
        <w:rPr>
          <w:i/>
        </w:rPr>
        <w:t>Id.</w:t>
      </w:r>
      <w:r w:rsidR="00A27267">
        <w:t xml:space="preserve"> at p. 701</w:t>
      </w:r>
      <w:r w:rsidR="00AB241B">
        <w:t xml:space="preserve">.)  </w:t>
      </w:r>
      <w:r w:rsidR="00AC22C0">
        <w:t>The Court of Appeal</w:t>
      </w:r>
      <w:r w:rsidR="00125D7C">
        <w:t>, considering the statutory language and statutory scheme, concluded these provisions “</w:t>
      </w:r>
      <w:r w:rsidR="00A6478A" w:rsidRPr="00A6478A">
        <w:t>impose a mandatory duty on a health officer to take measures to prevent the spread of contagious and communicable diseases</w:t>
      </w:r>
      <w:r w:rsidR="00871FBF">
        <w:t>,</w:t>
      </w:r>
      <w:r w:rsidR="00A6478A">
        <w:t>”</w:t>
      </w:r>
      <w:r w:rsidR="00871FBF">
        <w:t xml:space="preserve"> but “leav[e]</w:t>
      </w:r>
      <w:r w:rsidR="00871FBF" w:rsidRPr="00871FBF">
        <w:t xml:space="preserve"> the course </w:t>
      </w:r>
      <w:r w:rsidR="00871FBF">
        <w:t>of action to the health officer’</w:t>
      </w:r>
      <w:r w:rsidR="00871FBF" w:rsidRPr="00871FBF">
        <w:t>s discretion</w:t>
      </w:r>
      <w:r w:rsidR="00871FBF">
        <w:t>.”  (</w:t>
      </w:r>
      <w:r w:rsidR="00871FBF">
        <w:rPr>
          <w:i/>
        </w:rPr>
        <w:t>Id.</w:t>
      </w:r>
      <w:r w:rsidR="00061E15">
        <w:t xml:space="preserve"> at </w:t>
      </w:r>
      <w:r w:rsidR="005035B5">
        <w:t>p</w:t>
      </w:r>
      <w:r w:rsidR="00871FBF">
        <w:t>.</w:t>
      </w:r>
      <w:r w:rsidR="005E0B59">
        <w:t> 702.)</w:t>
      </w:r>
      <w:r w:rsidR="002F6895">
        <w:t xml:space="preserve">  </w:t>
      </w:r>
      <w:r w:rsidR="00A129FF">
        <w:t xml:space="preserve">Because </w:t>
      </w:r>
      <w:r w:rsidR="008E68CF">
        <w:t>“[t]he decision on what steps to take to control the spread of sexually transmitted diseases is entrusted to the [public agency],” the petitioner</w:t>
      </w:r>
      <w:r w:rsidR="00AD40B3">
        <w:t>s</w:t>
      </w:r>
      <w:r w:rsidR="008E68CF">
        <w:t xml:space="preserve"> w</w:t>
      </w:r>
      <w:r w:rsidR="00AD40B3">
        <w:t>ere</w:t>
      </w:r>
      <w:r w:rsidR="008E68CF">
        <w:t xml:space="preserve"> not entitled to a writ</w:t>
      </w:r>
      <w:r w:rsidR="003326D6">
        <w:t xml:space="preserve"> mandating </w:t>
      </w:r>
      <w:r w:rsidR="00B82C8B">
        <w:t>their</w:t>
      </w:r>
      <w:r w:rsidR="003326D6">
        <w:t xml:space="preserve"> preferred steps</w:t>
      </w:r>
      <w:r w:rsidR="008E68CF">
        <w:t>.  (</w:t>
      </w:r>
      <w:r w:rsidR="008E68CF">
        <w:rPr>
          <w:i/>
        </w:rPr>
        <w:t>Id.</w:t>
      </w:r>
      <w:r w:rsidR="008E68CF">
        <w:t xml:space="preserve"> at p. 704.)</w:t>
      </w:r>
    </w:p>
    <w:p w:rsidR="00AD4680" w:rsidRPr="00AD4680" w:rsidRDefault="00726D38" w:rsidP="00230C47">
      <w:pPr>
        <w:spacing w:line="360" w:lineRule="auto"/>
      </w:pPr>
      <w:r>
        <w:tab/>
        <w:t xml:space="preserve">Similarly, in </w:t>
      </w:r>
      <w:r>
        <w:rPr>
          <w:i/>
        </w:rPr>
        <w:t>Marquez,</w:t>
      </w:r>
      <w:r>
        <w:t xml:space="preserve"> the </w:t>
      </w:r>
      <w:r w:rsidR="0039498E">
        <w:t>petitioners</w:t>
      </w:r>
      <w:r>
        <w:t xml:space="preserve"> sought a writ of mandate to compel the state agency administering California’s Medicaid program</w:t>
      </w:r>
      <w:r w:rsidR="006C23AB">
        <w:t>, Medi-Cal,</w:t>
      </w:r>
      <w:r w:rsidR="00C24185">
        <w:t xml:space="preserve"> to provide medical services to beneficiaries who </w:t>
      </w:r>
      <w:r w:rsidR="00A15E29">
        <w:t>were</w:t>
      </w:r>
      <w:r w:rsidR="00C24185">
        <w:t xml:space="preserve"> mistakenly “coded” in the agency’s database as having other health insurance coverage</w:t>
      </w:r>
      <w:r w:rsidR="00A15E29">
        <w:t xml:space="preserve"> and denied Medi-Cal services on that ground</w:t>
      </w:r>
      <w:r w:rsidR="00C24185">
        <w:t>.  (</w:t>
      </w:r>
      <w:r w:rsidR="00C24185" w:rsidRPr="00C24185">
        <w:rPr>
          <w:i/>
        </w:rPr>
        <w:t>Marquez</w:t>
      </w:r>
      <w:r w:rsidR="00C24185">
        <w:rPr>
          <w:i/>
        </w:rPr>
        <w:t>, supra,</w:t>
      </w:r>
      <w:r w:rsidR="00C24185">
        <w:t xml:space="preserve"> 240 Cal.App.4th at pp. 92, 117.)</w:t>
      </w:r>
      <w:r w:rsidR="006C23AB">
        <w:t xml:space="preserve">  The </w:t>
      </w:r>
      <w:r w:rsidR="0039498E">
        <w:t xml:space="preserve">petitioners </w:t>
      </w:r>
      <w:r w:rsidR="006C23AB">
        <w:t>relied in part on a statute requiring “</w:t>
      </w:r>
      <w:r w:rsidR="002E47AE">
        <w:t>Medi–Cal’</w:t>
      </w:r>
      <w:r w:rsidR="006C23AB">
        <w:t>s ‘health care benefits and services’ ‘shall be provided’ to eligible state residents to the extent those services and benefits are not ‘provided nor available under other contractual or legal entitlements of the person.’ ”  (</w:t>
      </w:r>
      <w:r w:rsidR="006C23AB" w:rsidRPr="006C23AB">
        <w:rPr>
          <w:i/>
        </w:rPr>
        <w:t>Id</w:t>
      </w:r>
      <w:r w:rsidR="006C23AB">
        <w:t>. at pp. 117–118.)</w:t>
      </w:r>
      <w:r w:rsidR="002E47AE">
        <w:t xml:space="preserve">  </w:t>
      </w:r>
      <w:r w:rsidR="00F75A9A">
        <w:rPr>
          <w:i/>
        </w:rPr>
        <w:t>Marquez</w:t>
      </w:r>
      <w:r w:rsidR="00F75A9A">
        <w:t xml:space="preserve"> explained that the agency had existing procedures to </w:t>
      </w:r>
      <w:r w:rsidR="00AD4680">
        <w:t>correct code errors</w:t>
      </w:r>
      <w:r w:rsidR="00C92FEF">
        <w:t xml:space="preserve">, after which the </w:t>
      </w:r>
      <w:r w:rsidR="00C25D3C">
        <w:t>beneficiary</w:t>
      </w:r>
      <w:r w:rsidR="00C92FEF">
        <w:t xml:space="preserve"> cou</w:t>
      </w:r>
      <w:r w:rsidR="00A129F5">
        <w:t xml:space="preserve">ld receive Medi-Cal services.  </w:t>
      </w:r>
      <w:r w:rsidR="00C92FEF">
        <w:t>T</w:t>
      </w:r>
      <w:r w:rsidR="00AD4680">
        <w:t xml:space="preserve">he </w:t>
      </w:r>
      <w:r w:rsidR="0039498E">
        <w:t>petitioners</w:t>
      </w:r>
      <w:r w:rsidR="00AD4680">
        <w:t xml:space="preserve">’ “arguments, therefore, do not show that [the agency] fails to comply with [the statute], but merely debate </w:t>
      </w:r>
      <w:r w:rsidR="00AD4680" w:rsidRPr="00AD4680">
        <w:rPr>
          <w:i/>
        </w:rPr>
        <w:t>how</w:t>
      </w:r>
      <w:r w:rsidR="00AD4680">
        <w:t xml:space="preserve"> [the agency] should comply.”  (</w:t>
      </w:r>
      <w:r w:rsidR="00AD4680">
        <w:rPr>
          <w:i/>
        </w:rPr>
        <w:t>Id.</w:t>
      </w:r>
      <w:r w:rsidR="00AD4680">
        <w:t xml:space="preserve"> at p. 118.)</w:t>
      </w:r>
      <w:r w:rsidR="00230C47">
        <w:t xml:space="preserve">  Because mandamus “may not issue to compel an agency to perform [a] legal duty in a particular manner, or control its exercise of discretion by forcing it to meet its legal obligations in a specific way</w:t>
      </w:r>
      <w:r w:rsidR="002A093B">
        <w:t>,” the denial of the writ was proper.  (</w:t>
      </w:r>
      <w:r w:rsidR="002A093B">
        <w:rPr>
          <w:i/>
        </w:rPr>
        <w:t>Id.</w:t>
      </w:r>
      <w:r w:rsidR="002A093B">
        <w:t xml:space="preserve"> at pp. </w:t>
      </w:r>
      <w:r w:rsidR="00230C47">
        <w:t>118–119</w:t>
      </w:r>
      <w:r w:rsidR="002A093B">
        <w:t>.</w:t>
      </w:r>
      <w:r w:rsidR="00230C47">
        <w:t>)</w:t>
      </w:r>
      <w:r w:rsidR="005F4249">
        <w:t xml:space="preserve"> </w:t>
      </w:r>
    </w:p>
    <w:p w:rsidR="00EB1198" w:rsidRDefault="005E7B89" w:rsidP="008730E9">
      <w:pPr>
        <w:spacing w:line="360" w:lineRule="auto"/>
      </w:pPr>
      <w:r>
        <w:tab/>
      </w:r>
      <w:r w:rsidR="005A5934">
        <w:t xml:space="preserve">Like the statutes at issue in </w:t>
      </w:r>
      <w:r w:rsidR="005A5934">
        <w:rPr>
          <w:i/>
        </w:rPr>
        <w:t>AIDS Healthcare</w:t>
      </w:r>
      <w:r w:rsidR="003B0BDD">
        <w:t xml:space="preserve"> and </w:t>
      </w:r>
      <w:r w:rsidR="003B0BDD">
        <w:rPr>
          <w:i/>
        </w:rPr>
        <w:t>Marquez</w:t>
      </w:r>
      <w:r w:rsidR="005A5934">
        <w:rPr>
          <w:i/>
        </w:rPr>
        <w:t>,</w:t>
      </w:r>
      <w:r w:rsidR="005A5934">
        <w:t xml:space="preserve"> </w:t>
      </w:r>
      <w:r w:rsidR="002F6895">
        <w:t xml:space="preserve">the Act and regulations </w:t>
      </w:r>
      <w:r w:rsidR="008128A3">
        <w:t xml:space="preserve">oblige </w:t>
      </w:r>
      <w:r w:rsidR="002F758B">
        <w:t xml:space="preserve">the Department to “protect” nonexempt aquifers and ensure injections do “not endanger” </w:t>
      </w:r>
      <w:r w:rsidR="00046AAD">
        <w:t>drinking water sources</w:t>
      </w:r>
      <w:r w:rsidR="002F758B">
        <w:t xml:space="preserve">, </w:t>
      </w:r>
      <w:r w:rsidR="00C564FF">
        <w:t xml:space="preserve">but </w:t>
      </w:r>
      <w:r w:rsidR="002F758B">
        <w:t xml:space="preserve">do not </w:t>
      </w:r>
      <w:r w:rsidR="00B218C1">
        <w:t xml:space="preserve">mandate a specific course of action to carry out these </w:t>
      </w:r>
      <w:r w:rsidR="008257A0">
        <w:t>obligations</w:t>
      </w:r>
      <w:r w:rsidR="00B218C1">
        <w:t>.</w:t>
      </w:r>
      <w:r>
        <w:t xml:space="preserve">  </w:t>
      </w:r>
      <w:r w:rsidR="00D31BF8" w:rsidRPr="00D31BF8">
        <w:t>In contrast, for example, the Act flatly requires states to “prohibit . . . any underground injection in such State which is not authorized by a permit issued by the State</w:t>
      </w:r>
      <w:r w:rsidR="00A129F5">
        <w:t xml:space="preserve"> . . . .</w:t>
      </w:r>
      <w:r w:rsidR="00D31BF8" w:rsidRPr="00D31BF8">
        <w:t>”</w:t>
      </w:r>
      <w:r w:rsidR="002F3E75">
        <w:t xml:space="preserve"> </w:t>
      </w:r>
      <w:r w:rsidR="00D31BF8" w:rsidRPr="00D31BF8">
        <w:t xml:space="preserve"> (42 U.S.C. § 300h, subd. (b)(1)(A).)  </w:t>
      </w:r>
      <w:r w:rsidR="006350CE">
        <w:t xml:space="preserve">The lack of any similar specificity with respect to injections into nonexempt aquifers </w:t>
      </w:r>
      <w:r w:rsidR="00F1232E">
        <w:t xml:space="preserve">suggests </w:t>
      </w:r>
      <w:r w:rsidR="001465D0">
        <w:t>an intent to “leav[e]</w:t>
      </w:r>
      <w:r w:rsidR="001465D0" w:rsidRPr="00871FBF">
        <w:t xml:space="preserve"> the course </w:t>
      </w:r>
      <w:r w:rsidR="001465D0">
        <w:t xml:space="preserve">of action to the . . . </w:t>
      </w:r>
      <w:r w:rsidR="001465D0" w:rsidRPr="00871FBF">
        <w:t>discretion</w:t>
      </w:r>
      <w:r w:rsidR="001465D0">
        <w:t>” of the Department.  (</w:t>
      </w:r>
      <w:r w:rsidR="001465D0" w:rsidRPr="00962E7A">
        <w:rPr>
          <w:i/>
        </w:rPr>
        <w:t>AIDS Healthcare</w:t>
      </w:r>
      <w:r w:rsidR="001465D0">
        <w:rPr>
          <w:i/>
        </w:rPr>
        <w:t>, supra,</w:t>
      </w:r>
      <w:r w:rsidR="001465D0" w:rsidRPr="00962E7A">
        <w:rPr>
          <w:i/>
        </w:rPr>
        <w:t xml:space="preserve"> </w:t>
      </w:r>
      <w:r w:rsidR="001465D0">
        <w:t>197 Cal.App.4th at p. 702.)</w:t>
      </w:r>
      <w:r w:rsidR="00914D13">
        <w:rPr>
          <w:rStyle w:val="FootnoteReference"/>
        </w:rPr>
        <w:footnoteReference w:id="16"/>
      </w:r>
      <w:r w:rsidR="00F86C43">
        <w:t xml:space="preserve"> </w:t>
      </w:r>
      <w:r w:rsidR="009A7659">
        <w:t xml:space="preserve"> </w:t>
      </w:r>
      <w:r w:rsidR="005805DE">
        <w:t xml:space="preserve">We conclude </w:t>
      </w:r>
      <w:r w:rsidR="00DE61D3">
        <w:t>that</w:t>
      </w:r>
      <w:r w:rsidR="00E9484F">
        <w:t xml:space="preserve">, while the Department must </w:t>
      </w:r>
      <w:r w:rsidR="00DE61D3">
        <w:t>exercise its discreti</w:t>
      </w:r>
      <w:r w:rsidR="00E9484F">
        <w:t>on to protect nonexempt aquifers, it has the discretion to decide how best to do so.</w:t>
      </w:r>
    </w:p>
    <w:p w:rsidR="000C044B" w:rsidRDefault="009A4EA9" w:rsidP="008B75A1">
      <w:pPr>
        <w:spacing w:line="360" w:lineRule="auto"/>
      </w:pPr>
      <w:r>
        <w:tab/>
      </w:r>
      <w:r w:rsidR="007D5907">
        <w:t xml:space="preserve">It may be that, in the ordinary course of events, the only </w:t>
      </w:r>
      <w:r w:rsidR="0014538C">
        <w:t xml:space="preserve">way </w:t>
      </w:r>
      <w:r w:rsidR="007D5907">
        <w:t xml:space="preserve">to protect nonexempt aquifers is to prohibit </w:t>
      </w:r>
      <w:r>
        <w:t xml:space="preserve">injections into </w:t>
      </w:r>
      <w:r w:rsidR="00E2707A">
        <w:t>them</w:t>
      </w:r>
      <w:r>
        <w:t>.</w:t>
      </w:r>
      <w:r w:rsidR="004B0A09">
        <w:t xml:space="preserve">  </w:t>
      </w:r>
      <w:r w:rsidR="008B75A1">
        <w:t xml:space="preserve">(See </w:t>
      </w:r>
      <w:r w:rsidR="008B75A1" w:rsidRPr="008B75A1">
        <w:rPr>
          <w:i/>
        </w:rPr>
        <w:t>AIDS Healthcare, supra,</w:t>
      </w:r>
      <w:r w:rsidR="008B75A1">
        <w:t xml:space="preserve"> 197 Cal.App.4th at p. 703 [“there is a recognized exception where if the facts lead to only one choice, the court may compel the agency or official to make that choice”]</w:t>
      </w:r>
      <w:r w:rsidR="00A715AB">
        <w:t>.)</w:t>
      </w:r>
      <w:r w:rsidR="008B75A1">
        <w:t xml:space="preserve">  </w:t>
      </w:r>
      <w:r w:rsidR="004B0A09">
        <w:t xml:space="preserve">This case, however, presents </w:t>
      </w:r>
      <w:r w:rsidR="000676E7">
        <w:t xml:space="preserve">extraordinary facts—to wit, the belated discovery of thousands of </w:t>
      </w:r>
      <w:r w:rsidR="008603AB">
        <w:t>permitted</w:t>
      </w:r>
      <w:r w:rsidR="00A04ED5">
        <w:t xml:space="preserve"> </w:t>
      </w:r>
      <w:r w:rsidR="000676E7">
        <w:t xml:space="preserve">wells </w:t>
      </w:r>
      <w:r w:rsidR="008F41B0">
        <w:t xml:space="preserve">potentially </w:t>
      </w:r>
      <w:r w:rsidR="000676E7">
        <w:t>injecting into nonexempt aquifers</w:t>
      </w:r>
      <w:r w:rsidR="00FA6A7B">
        <w:t xml:space="preserve">.  </w:t>
      </w:r>
    </w:p>
    <w:p w:rsidR="00495023" w:rsidRDefault="00F46286" w:rsidP="008B75A1">
      <w:pPr>
        <w:spacing w:line="360" w:lineRule="auto"/>
      </w:pPr>
      <w:r>
        <w:tab/>
        <w:t xml:space="preserve">The Department’s </w:t>
      </w:r>
      <w:r w:rsidR="002D5B65">
        <w:t>determination</w:t>
      </w:r>
      <w:r>
        <w:t xml:space="preserve"> of how to best protect nonexempt aquifers in this extraordinary circumstance was a fact-based</w:t>
      </w:r>
      <w:r w:rsidR="00045D67">
        <w:t>,</w:t>
      </w:r>
      <w:r>
        <w:t xml:space="preserve"> risk-benefit analysis, </w:t>
      </w:r>
      <w:r w:rsidR="00045D67">
        <w:t>requiring it to balance</w:t>
      </w:r>
      <w:r>
        <w:t xml:space="preserve"> competing interests, and conducted in consultation with EPA—</w:t>
      </w:r>
      <w:r w:rsidR="00BC51B9">
        <w:t xml:space="preserve">in other words, </w:t>
      </w:r>
      <w:r>
        <w:t xml:space="preserve">a quintessentially discretionary decision.  </w:t>
      </w:r>
      <w:r w:rsidR="00C77064">
        <w:t xml:space="preserve">The Department considered </w:t>
      </w:r>
      <w:r w:rsidR="00AE28AE">
        <w:t xml:space="preserve">the option of </w:t>
      </w:r>
      <w:r w:rsidR="006B4C06">
        <w:t>ordering the immediate</w:t>
      </w:r>
      <w:r w:rsidR="00C77064">
        <w:t xml:space="preserve"> </w:t>
      </w:r>
      <w:r w:rsidR="006B4C06">
        <w:t xml:space="preserve">cessation of </w:t>
      </w:r>
      <w:r w:rsidR="00C77064">
        <w:t>all such injections</w:t>
      </w:r>
      <w:r w:rsidR="00800813">
        <w:t>, as explained</w:t>
      </w:r>
      <w:r w:rsidR="008603AB">
        <w:t xml:space="preserve"> in </w:t>
      </w:r>
      <w:r w:rsidR="00957946">
        <w:t xml:space="preserve">its </w:t>
      </w:r>
      <w:r w:rsidR="00BE1EC5">
        <w:t xml:space="preserve">response </w:t>
      </w:r>
      <w:r w:rsidR="0013384C">
        <w:t xml:space="preserve">to </w:t>
      </w:r>
      <w:r w:rsidR="00700F55">
        <w:t xml:space="preserve">public </w:t>
      </w:r>
      <w:r w:rsidR="0013384C">
        <w:t>comments</w:t>
      </w:r>
      <w:r w:rsidR="008603AB">
        <w:t xml:space="preserve"> urging it to do so</w:t>
      </w:r>
      <w:r w:rsidR="0066507E">
        <w:t>, made in connection with</w:t>
      </w:r>
      <w:r w:rsidR="0013384C">
        <w:t xml:space="preserve"> </w:t>
      </w:r>
      <w:r w:rsidR="0066507E">
        <w:t xml:space="preserve">the proposed (and subsequently </w:t>
      </w:r>
      <w:r w:rsidR="008C01F4">
        <w:t>enacted</w:t>
      </w:r>
      <w:r w:rsidR="0066507E">
        <w:t>) permanent regulations</w:t>
      </w:r>
      <w:r w:rsidR="00957946">
        <w:t xml:space="preserve">. </w:t>
      </w:r>
      <w:r w:rsidR="002F3E75">
        <w:t xml:space="preserve"> </w:t>
      </w:r>
      <w:r w:rsidR="002F111F">
        <w:t xml:space="preserve">The Department first </w:t>
      </w:r>
      <w:r w:rsidR="002F758B">
        <w:t xml:space="preserve">noted </w:t>
      </w:r>
      <w:r w:rsidR="00EA00A2">
        <w:t xml:space="preserve">this approach </w:t>
      </w:r>
      <w:r w:rsidR="002F758B">
        <w:t xml:space="preserve">“could only be effective if enforced in a vastly over-inclusive manner” because “determining whether any given well is injecting into a </w:t>
      </w:r>
      <w:r w:rsidR="00E777A5">
        <w:t>[nonexempt aquifer]</w:t>
      </w:r>
      <w:r w:rsidR="002F758B">
        <w:t xml:space="preserve"> </w:t>
      </w:r>
      <w:r w:rsidR="002F758B" w:rsidRPr="00667657">
        <w:t>requires substantial and careful analysis</w:t>
      </w:r>
      <w:r w:rsidR="002F758B">
        <w:t xml:space="preserve">.”  </w:t>
      </w:r>
      <w:r w:rsidR="00B02F75">
        <w:t xml:space="preserve">Further, immediately ceasing all injections into potentially nonexempt aquifers </w:t>
      </w:r>
      <w:r w:rsidR="002F758B">
        <w:t xml:space="preserve">would be “logistically difficult, as well as an inefficient use of agency resources” and, because due process </w:t>
      </w:r>
      <w:r w:rsidR="00E777A5">
        <w:t>entitles a</w:t>
      </w:r>
      <w:r w:rsidR="002F758B">
        <w:t xml:space="preserve">ffected companies </w:t>
      </w:r>
      <w:r w:rsidR="00E777A5">
        <w:t xml:space="preserve">the right </w:t>
      </w:r>
      <w:r w:rsidR="002F758B">
        <w:t>to appeal</w:t>
      </w:r>
      <w:r w:rsidR="00E777A5">
        <w:t xml:space="preserve"> cessation orders</w:t>
      </w:r>
      <w:r w:rsidR="002F758B">
        <w:t xml:space="preserve">, “would undoubtedly invite widespread, vigorous opposition, thereby thwarting the intended immediacy and needlessly jeopardizing the entire objective.”  </w:t>
      </w:r>
    </w:p>
    <w:p w:rsidR="002F758B" w:rsidRDefault="00495023" w:rsidP="008B75A1">
      <w:pPr>
        <w:spacing w:line="360" w:lineRule="auto"/>
      </w:pPr>
      <w:r>
        <w:tab/>
        <w:t xml:space="preserve">The Department further reasoned that, </w:t>
      </w:r>
      <w:r w:rsidR="00B03FF5">
        <w:t>i</w:t>
      </w:r>
      <w:r w:rsidR="002F758B">
        <w:t>n</w:t>
      </w:r>
      <w:r w:rsidR="00AC4A85">
        <w:t xml:space="preserve"> contrast</w:t>
      </w:r>
      <w:r w:rsidR="002F758B">
        <w:t xml:space="preserve">, the </w:t>
      </w:r>
      <w:r w:rsidR="008B69D8">
        <w:t xml:space="preserve">corrective action plan </w:t>
      </w:r>
      <w:r w:rsidR="002F758B">
        <w:t xml:space="preserve">would enable </w:t>
      </w:r>
      <w:r w:rsidR="000370D5">
        <w:t xml:space="preserve">it </w:t>
      </w:r>
      <w:r w:rsidR="002F758B">
        <w:t>“to focus its resources on identifying and halting those injection activities posing the greatest risk to aquifers with the best potential to serve as sources of drinking water, while also providing fair notice to the regulated industry so as to incentivize cooperation and speed compliance.”  The Department concluded</w:t>
      </w:r>
      <w:r w:rsidR="004B36DB">
        <w:t>:</w:t>
      </w:r>
      <w:r w:rsidR="002F758B">
        <w:t xml:space="preserve"> “the compliance schedule set forth in the proposed regulations, operating in conjunction with ongoing interagency review and targeted exercise of administrative enforcement tools, is the most efficient, balanced, and demonstrably effective mechanism by which to achieve the relevant federal and state objectives for protection of groundwater resources.” </w:t>
      </w:r>
      <w:r w:rsidR="00672C61">
        <w:t xml:space="preserve"> </w:t>
      </w:r>
      <w:r w:rsidR="00800813">
        <w:t xml:space="preserve">The Department thus concluded the corrective action plan </w:t>
      </w:r>
      <w:r w:rsidR="00EC30BB">
        <w:t xml:space="preserve">was the best means to </w:t>
      </w:r>
      <w:r w:rsidR="008603AB">
        <w:t xml:space="preserve">protect drinking water sources.  </w:t>
      </w:r>
      <w:r w:rsidR="00583D6D">
        <w:t>Appellant</w:t>
      </w:r>
      <w:r w:rsidR="005F4249">
        <w:t xml:space="preserve">’s disagreement with </w:t>
      </w:r>
      <w:r w:rsidR="00EC30BB">
        <w:t xml:space="preserve">this </w:t>
      </w:r>
      <w:r w:rsidR="005F4249">
        <w:t xml:space="preserve">assessment “do[es] not show that [the Department] fails to comply with [the Act and </w:t>
      </w:r>
      <w:r w:rsidR="00C9424D">
        <w:t xml:space="preserve">its </w:t>
      </w:r>
      <w:r w:rsidR="005F4249">
        <w:t xml:space="preserve">regulations], but merely debate[s] </w:t>
      </w:r>
      <w:r w:rsidR="005F4249" w:rsidRPr="00AD4680">
        <w:rPr>
          <w:i/>
        </w:rPr>
        <w:t>how</w:t>
      </w:r>
      <w:r w:rsidR="005F4249">
        <w:t xml:space="preserve"> [the Department] should comply.”  (</w:t>
      </w:r>
      <w:r w:rsidR="005F4249" w:rsidRPr="00C24185">
        <w:rPr>
          <w:i/>
        </w:rPr>
        <w:t>Marquez</w:t>
      </w:r>
      <w:r w:rsidR="005F4249">
        <w:rPr>
          <w:i/>
        </w:rPr>
        <w:t>, supra,</w:t>
      </w:r>
      <w:r w:rsidR="005F4249">
        <w:t xml:space="preserve"> 240 Cal.App.4th at p. 118.)  </w:t>
      </w:r>
      <w:r w:rsidR="00E02653">
        <w:t>The Act and regulations leave this determination to the Department.</w:t>
      </w:r>
    </w:p>
    <w:p w:rsidR="00EC2A5B" w:rsidRDefault="00EC2A5B" w:rsidP="00697946">
      <w:pPr>
        <w:spacing w:line="360" w:lineRule="auto"/>
      </w:pPr>
      <w:r>
        <w:tab/>
      </w:r>
      <w:r w:rsidR="00A129F5">
        <w:rPr>
          <w:i/>
        </w:rPr>
        <w:t>California Hospital Assn.</w:t>
      </w:r>
      <w:r w:rsidRPr="00EC2A5B">
        <w:rPr>
          <w:i/>
        </w:rPr>
        <w:t xml:space="preserve"> v. Maxwell-Jolly</w:t>
      </w:r>
      <w:r>
        <w:t xml:space="preserve"> (2010) 188 Cal.App.4th 559, relied on by </w:t>
      </w:r>
      <w:r w:rsidR="00583D6D">
        <w:t>Appellant</w:t>
      </w:r>
      <w:r>
        <w:t>, is distinguishable.</w:t>
      </w:r>
      <w:r w:rsidR="00FD2902">
        <w:t xml:space="preserve">  </w:t>
      </w:r>
      <w:r w:rsidR="0079682F">
        <w:t>The relevant statute in that case required the state agency to provide “ </w:t>
      </w:r>
      <w:r w:rsidR="00FA59CE">
        <w:t>‘</w:t>
      </w:r>
      <w:r w:rsidR="00E5453F">
        <w:t> “</w:t>
      </w:r>
      <w:r w:rsidR="00FA59CE">
        <w:t>such methods and procedures</w:t>
      </w:r>
      <w:r w:rsidR="00E5453F">
        <w:t>” </w:t>
      </w:r>
      <w:r w:rsidR="00FA59CE">
        <w:t>’</w:t>
      </w:r>
      <w:r w:rsidR="004D332E">
        <w:t xml:space="preserve"> ” in </w:t>
      </w:r>
      <w:r w:rsidR="007011B8">
        <w:t>setting</w:t>
      </w:r>
      <w:r w:rsidR="004D332E">
        <w:t xml:space="preserve"> Medi-Cal provider reimbursement rates “ </w:t>
      </w:r>
      <w:r w:rsidR="0079682F">
        <w:t>‘</w:t>
      </w:r>
      <w:r w:rsidR="00E5453F">
        <w:t> “</w:t>
      </w:r>
      <w:r w:rsidR="0079682F">
        <w:t xml:space="preserve">to assure that payments are consistent with efficiency, economy, and quality of care and are sufficient to enlist enough providers so that care and services are available under the </w:t>
      </w:r>
      <w:r w:rsidR="00E5453F">
        <w:t xml:space="preserve">[Medi-Cal] </w:t>
      </w:r>
      <w:r w:rsidR="0079682F">
        <w:t>plan at least to the extent that such care and services are available to the general population in the geographic area</w:t>
      </w:r>
      <w:r w:rsidR="00E5453F">
        <w:t> </w:t>
      </w:r>
      <w:r w:rsidR="0079682F">
        <w:t>.</w:t>
      </w:r>
      <w:r w:rsidR="00E5453F">
        <w:t> </w:t>
      </w:r>
      <w:r w:rsidR="0079682F">
        <w:t>.</w:t>
      </w:r>
      <w:r w:rsidR="00E5453F">
        <w:t> </w:t>
      </w:r>
      <w:r w:rsidR="0079682F">
        <w:t>.</w:t>
      </w:r>
      <w:r w:rsidR="00E5453F">
        <w:t> </w:t>
      </w:r>
      <w:r w:rsidR="0079682F">
        <w:t>.</w:t>
      </w:r>
      <w:r w:rsidR="00E5453F">
        <w:t>” </w:t>
      </w:r>
      <w:r w:rsidR="0079682F">
        <w:t>’</w:t>
      </w:r>
      <w:r w:rsidR="00E5453F">
        <w:t> ”</w:t>
      </w:r>
      <w:r w:rsidR="0079682F">
        <w:t xml:space="preserve"> </w:t>
      </w:r>
      <w:r w:rsidR="00E5453F">
        <w:t xml:space="preserve"> (</w:t>
      </w:r>
      <w:r w:rsidR="00E5453F">
        <w:rPr>
          <w:i/>
        </w:rPr>
        <w:t>Id.</w:t>
      </w:r>
      <w:r w:rsidR="00E5453F">
        <w:t xml:space="preserve"> at p. </w:t>
      </w:r>
      <w:r w:rsidR="0079682F">
        <w:t>565</w:t>
      </w:r>
      <w:r w:rsidR="00E5453F">
        <w:t>.</w:t>
      </w:r>
      <w:r w:rsidR="0079682F">
        <w:t>)</w:t>
      </w:r>
      <w:r w:rsidR="00FE0218">
        <w:t xml:space="preserve">  After the state agency </w:t>
      </w:r>
      <w:r w:rsidR="00073B35">
        <w:t xml:space="preserve">changed its reimbursement rate formula in order to reduce rates, </w:t>
      </w:r>
      <w:r w:rsidR="00FE0218">
        <w:t xml:space="preserve">it “candidly admit[ted] that no </w:t>
      </w:r>
      <w:r w:rsidR="001A24FB">
        <w:t xml:space="preserve">. . . </w:t>
      </w:r>
      <w:r w:rsidR="00FE0218">
        <w:t>studies we</w:t>
      </w:r>
      <w:r w:rsidR="001A24FB">
        <w:t xml:space="preserve">re performed” considering the impact of </w:t>
      </w:r>
      <w:r w:rsidR="00C25D3C">
        <w:t>this</w:t>
      </w:r>
      <w:r w:rsidR="00073B35">
        <w:t xml:space="preserve"> change </w:t>
      </w:r>
      <w:r w:rsidR="001A24FB">
        <w:t>“</w:t>
      </w:r>
      <w:r w:rsidR="001A24FB" w:rsidRPr="001A24FB">
        <w:t>on the statutory factors of efficiency, economy, quality, and access to care</w:t>
      </w:r>
      <w:r w:rsidR="001A24FB">
        <w:t xml:space="preserve"> . . . .”  (</w:t>
      </w:r>
      <w:r w:rsidR="001A24FB">
        <w:rPr>
          <w:i/>
        </w:rPr>
        <w:t>Id.</w:t>
      </w:r>
      <w:r w:rsidR="001A24FB">
        <w:t xml:space="preserve"> at </w:t>
      </w:r>
      <w:r w:rsidR="00073B35">
        <w:t>p</w:t>
      </w:r>
      <w:r w:rsidR="001A24FB">
        <w:t>p. </w:t>
      </w:r>
      <w:r w:rsidR="00073B35">
        <w:t xml:space="preserve">566, </w:t>
      </w:r>
      <w:r w:rsidR="00FE0218">
        <w:t>573</w:t>
      </w:r>
      <w:r w:rsidR="001A24FB">
        <w:t>.</w:t>
      </w:r>
      <w:r w:rsidR="00FE0218">
        <w:t>)</w:t>
      </w:r>
      <w:r w:rsidR="00697946">
        <w:t xml:space="preserve">  The Court of Appeal concluded that, while the </w:t>
      </w:r>
      <w:r w:rsidR="00A129F5">
        <w:t>agency “ ‘need not follow a rigid formula’ . . .</w:t>
      </w:r>
      <w:r w:rsidR="00B30997">
        <w:t xml:space="preserve"> </w:t>
      </w:r>
      <w:r w:rsidR="00A129F5">
        <w:t>, it must rely on something other than purely budgetary reasons.”</w:t>
      </w:r>
      <w:r w:rsidR="00697946">
        <w:t xml:space="preserve">  (</w:t>
      </w:r>
      <w:r w:rsidR="00697946">
        <w:rPr>
          <w:i/>
        </w:rPr>
        <w:t>Id.</w:t>
      </w:r>
      <w:r w:rsidR="00697946">
        <w:t xml:space="preserve"> at p. 577.)</w:t>
      </w:r>
      <w:r w:rsidR="00594781">
        <w:t xml:space="preserve">  </w:t>
      </w:r>
      <w:r w:rsidR="009406A3">
        <w:t xml:space="preserve">The agency thus had discretion in deciding how to fulfill its statutory duty to consider certain factors, but </w:t>
      </w:r>
      <w:r w:rsidR="00FD597E">
        <w:t xml:space="preserve">it </w:t>
      </w:r>
      <w:r w:rsidR="009406A3">
        <w:t>failed to do so in any fashion.  Here, in contrast, the Department took action to fulfill its duties to protect underground drinking water</w:t>
      </w:r>
      <w:r w:rsidR="007072AE">
        <w:t>,</w:t>
      </w:r>
      <w:r w:rsidR="00C9424D">
        <w:t xml:space="preserve"> </w:t>
      </w:r>
      <w:r w:rsidR="00C42C4D">
        <w:t xml:space="preserve">did exercise its discretion, </w:t>
      </w:r>
      <w:r w:rsidR="00C9424D">
        <w:t>and selected what it considered to be the best method to do so</w:t>
      </w:r>
      <w:r w:rsidR="009406A3">
        <w:t>.</w:t>
      </w:r>
    </w:p>
    <w:p w:rsidR="00F13642" w:rsidRDefault="00F13642" w:rsidP="00F13642">
      <w:pPr>
        <w:spacing w:line="360" w:lineRule="auto"/>
      </w:pPr>
      <w:r>
        <w:tab/>
        <w:t xml:space="preserve">We do not dispute </w:t>
      </w:r>
      <w:r w:rsidR="00583D6D">
        <w:t>Appellant</w:t>
      </w:r>
      <w:r>
        <w:t xml:space="preserve">’s contention that the Act is preventative in nature, and </w:t>
      </w:r>
      <w:r w:rsidR="000963CD">
        <w:t xml:space="preserve">that </w:t>
      </w:r>
      <w:r>
        <w:t xml:space="preserve">injections may be prohibited under the Act absent proof that they will </w:t>
      </w:r>
      <w:r w:rsidR="00A50C44">
        <w:t xml:space="preserve">harmfully </w:t>
      </w:r>
      <w:r w:rsidR="00272986">
        <w:t>contaminate the aquifer</w:t>
      </w:r>
      <w:r>
        <w:t xml:space="preserve">.  (See </w:t>
      </w:r>
      <w:r w:rsidRPr="009270D2">
        <w:rPr>
          <w:i/>
        </w:rPr>
        <w:t>King, supra,</w:t>
      </w:r>
      <w:r w:rsidRPr="009270D2">
        <w:t xml:space="preserve"> 660 F.3d </w:t>
      </w:r>
      <w:r>
        <w:t>at p. </w:t>
      </w:r>
      <w:r w:rsidRPr="009270D2">
        <w:t>1079</w:t>
      </w:r>
      <w:r>
        <w:t xml:space="preserve"> [“</w:t>
      </w:r>
      <w:r w:rsidRPr="009270D2">
        <w:t xml:space="preserve">The injection provisions of the SDWA are </w:t>
      </w:r>
      <w:r>
        <w:t>‘</w:t>
      </w:r>
      <w:r w:rsidRPr="009270D2">
        <w:t>preventive.</w:t>
      </w:r>
      <w:r>
        <w:t xml:space="preserve">’  [Citation.]  </w:t>
      </w:r>
      <w:r w:rsidRPr="009270D2">
        <w:t xml:space="preserve">Congress concluded that the most effective way to ensure clean drinking water was to prevent pollution of underground aquifers in the first place, rather than to clean up polluted aquifers after the fact. </w:t>
      </w:r>
      <w:r>
        <w:t>. . . [I]</w:t>
      </w:r>
      <w:r w:rsidRPr="009270D2">
        <w:t xml:space="preserve">n the absence of a showing by the applicant that a proposed injection is safe, the SDWA presumes that the injection will endanger an </w:t>
      </w:r>
      <w:r>
        <w:t>[underground source of drinking water]</w:t>
      </w:r>
      <w:r w:rsidRPr="009270D2">
        <w:t>.</w:t>
      </w:r>
      <w:r>
        <w:t>”].)</w:t>
      </w:r>
      <w:r w:rsidRPr="009270D2">
        <w:t xml:space="preserve"> </w:t>
      </w:r>
      <w:r>
        <w:t xml:space="preserve"> These principles inform the Department’s performance of its duty to protect </w:t>
      </w:r>
      <w:r w:rsidR="00C46A62">
        <w:t>drinking water sources</w:t>
      </w:r>
      <w:r>
        <w:t xml:space="preserve">.  But they do not, in this </w:t>
      </w:r>
      <w:r w:rsidR="007011B8">
        <w:t xml:space="preserve">unusual </w:t>
      </w:r>
      <w:r>
        <w:t xml:space="preserve">case, impose a mandatory duty to </w:t>
      </w:r>
      <w:r w:rsidR="008869C7">
        <w:t xml:space="preserve">immediately </w:t>
      </w:r>
      <w:r>
        <w:t xml:space="preserve">cease all injections into nonexempt aquifers, nor do they render the Department’s </w:t>
      </w:r>
      <w:r w:rsidR="0057336D">
        <w:t xml:space="preserve">considered </w:t>
      </w:r>
      <w:r>
        <w:t>refusal to do so an abuse of discretion.</w:t>
      </w:r>
    </w:p>
    <w:p w:rsidR="00776376" w:rsidRDefault="000352C3" w:rsidP="00EB1E2C">
      <w:pPr>
        <w:spacing w:line="360" w:lineRule="auto"/>
      </w:pPr>
      <w:r>
        <w:tab/>
        <w:t>We note that EPA appro</w:t>
      </w:r>
      <w:r w:rsidR="009A507A">
        <w:t xml:space="preserve">ved the corrective action plan.  Had EPA believed the Act and </w:t>
      </w:r>
      <w:r w:rsidR="004106EE">
        <w:t xml:space="preserve">its </w:t>
      </w:r>
      <w:r w:rsidR="009A507A">
        <w:t xml:space="preserve">regulations required </w:t>
      </w:r>
      <w:r>
        <w:t xml:space="preserve">the Department to </w:t>
      </w:r>
      <w:r w:rsidR="009A507A">
        <w:t xml:space="preserve">instead </w:t>
      </w:r>
      <w:r>
        <w:t xml:space="preserve">order the immediate cessation of all injections into </w:t>
      </w:r>
      <w:r w:rsidR="009A507A">
        <w:t xml:space="preserve">nonexempt aquifers, it presumably would have directed the Department to do so.  </w:t>
      </w:r>
      <w:r w:rsidR="00C15A2F">
        <w:t>EPA</w:t>
      </w:r>
      <w:r w:rsidR="00625589">
        <w:t xml:space="preserve">’s construction of the Act and its regulations </w:t>
      </w:r>
      <w:r w:rsidR="004106EE">
        <w:t xml:space="preserve">thus </w:t>
      </w:r>
      <w:r w:rsidR="00625589">
        <w:t xml:space="preserve">supports our conclusion.  </w:t>
      </w:r>
      <w:r w:rsidR="00EB1E2C">
        <w:t>(</w:t>
      </w:r>
      <w:r w:rsidR="00625589">
        <w:t xml:space="preserve">See </w:t>
      </w:r>
      <w:r w:rsidR="00EB1E2C" w:rsidRPr="00EB1E2C">
        <w:rPr>
          <w:i/>
        </w:rPr>
        <w:t>Association of California Ins</w:t>
      </w:r>
      <w:r w:rsidR="00A129F5">
        <w:rPr>
          <w:i/>
        </w:rPr>
        <w:t>.</w:t>
      </w:r>
      <w:r w:rsidR="00EB1E2C" w:rsidRPr="00EB1E2C">
        <w:rPr>
          <w:i/>
        </w:rPr>
        <w:t xml:space="preserve"> v. Jones</w:t>
      </w:r>
      <w:r w:rsidR="00EB1E2C">
        <w:t xml:space="preserve"> (2017) 2 Cal.5th 376, 390</w:t>
      </w:r>
      <w:r w:rsidR="00625589">
        <w:t xml:space="preserve"> [“In exercising our ultimate responsibility to construe the statutor</w:t>
      </w:r>
      <w:r w:rsidR="009A5F8C">
        <w:t>y scheme, . . . we ‘ “ ‘accord[</w:t>
      </w:r>
      <w:r w:rsidR="00625589">
        <w:t>] great weight and respect’ ” ’ to the administrative agency’s construction.”]</w:t>
      </w:r>
      <w:r w:rsidR="00EB1E2C">
        <w:t>.)</w:t>
      </w:r>
      <w:r w:rsidR="00A84B88">
        <w:t xml:space="preserve"> </w:t>
      </w:r>
    </w:p>
    <w:p w:rsidR="00C74CBE" w:rsidRDefault="00C74CBE" w:rsidP="00DC20FE">
      <w:pPr>
        <w:spacing w:line="360" w:lineRule="auto"/>
      </w:pPr>
      <w:r>
        <w:tab/>
        <w:t>In sum, the De</w:t>
      </w:r>
      <w:r w:rsidR="00AE1994">
        <w:t>partment did not ignore its duties</w:t>
      </w:r>
      <w:r>
        <w:t xml:space="preserve"> to protect nonexempt aquifers and </w:t>
      </w:r>
      <w:r w:rsidR="002F004C">
        <w:t xml:space="preserve">to </w:t>
      </w:r>
      <w:r>
        <w:t xml:space="preserve">ensure that injections do not endanger sources of drinking water.  </w:t>
      </w:r>
      <w:r w:rsidR="001D0082">
        <w:t xml:space="preserve">(See </w:t>
      </w:r>
      <w:r w:rsidR="00DC20FE" w:rsidRPr="00DC20FE">
        <w:rPr>
          <w:i/>
        </w:rPr>
        <w:t>AIDS Healthcare, supra,</w:t>
      </w:r>
      <w:r w:rsidR="00DC20FE">
        <w:t xml:space="preserve"> 197 Cal.App.4th at p. 704 [“[m]andamus will lie to command the exercise of discretion, that is, to compel some action” if the </w:t>
      </w:r>
      <w:r w:rsidR="00FE47C9">
        <w:t xml:space="preserve">public agency </w:t>
      </w:r>
      <w:r w:rsidR="00DC20FE">
        <w:t>“has failed to act</w:t>
      </w:r>
      <w:r w:rsidR="00DC20FE" w:rsidRPr="00DC20FE">
        <w:t xml:space="preserve">, and its </w:t>
      </w:r>
      <w:r w:rsidR="00DC20FE">
        <w:t>failure to act is arbitrary”</w:t>
      </w:r>
      <w:r w:rsidR="00B04DF3">
        <w:t>].</w:t>
      </w:r>
      <w:r w:rsidR="001D0082">
        <w:t xml:space="preserve">)  </w:t>
      </w:r>
      <w:r>
        <w:t xml:space="preserve">Instead, it exercised its discretion to conclude that the </w:t>
      </w:r>
      <w:r w:rsidR="00485482">
        <w:t xml:space="preserve">corrective action plan </w:t>
      </w:r>
      <w:r>
        <w:t xml:space="preserve">was the best means to fulfill those duties.  </w:t>
      </w:r>
      <w:r w:rsidR="00FA324D">
        <w:t xml:space="preserve">Because </w:t>
      </w:r>
      <w:r>
        <w:t>“</w:t>
      </w:r>
      <w:r w:rsidR="00FA324D">
        <w:t>[m]</w:t>
      </w:r>
      <w:r>
        <w:t>andamus does not lie to compel a public agency to exercise discretionary powers in a particular manner, only to compel it to exercise its discretion in some manner” (</w:t>
      </w:r>
      <w:r w:rsidRPr="00962E7A">
        <w:rPr>
          <w:i/>
        </w:rPr>
        <w:t>AIDS Healthcare</w:t>
      </w:r>
      <w:r>
        <w:rPr>
          <w:i/>
        </w:rPr>
        <w:t xml:space="preserve">, supra, </w:t>
      </w:r>
      <w:r w:rsidR="00FA324D">
        <w:t xml:space="preserve">197 Cal.App.4th at </w:t>
      </w:r>
      <w:r w:rsidR="005314D3">
        <w:t>p</w:t>
      </w:r>
      <w:r w:rsidR="00FA324D">
        <w:t>p. </w:t>
      </w:r>
      <w:r w:rsidR="005314D3">
        <w:t>700–</w:t>
      </w:r>
      <w:r w:rsidR="00FA324D">
        <w:t>701</w:t>
      </w:r>
      <w:r>
        <w:t>)</w:t>
      </w:r>
      <w:r w:rsidR="00FA324D">
        <w:t xml:space="preserve">, </w:t>
      </w:r>
      <w:r w:rsidR="00583D6D">
        <w:t>Appellant</w:t>
      </w:r>
      <w:r w:rsidR="00FA324D">
        <w:t xml:space="preserve"> is not entitled to a writ of mandate on this ground.</w:t>
      </w:r>
      <w:r>
        <w:t xml:space="preserve"> </w:t>
      </w:r>
      <w:r w:rsidR="00FA324D">
        <w:t xml:space="preserve"> </w:t>
      </w:r>
    </w:p>
    <w:p w:rsidR="00EB1198" w:rsidRPr="00EB1198" w:rsidRDefault="00EB1198" w:rsidP="008730E9">
      <w:pPr>
        <w:spacing w:line="360" w:lineRule="auto"/>
        <w:rPr>
          <w:i/>
        </w:rPr>
      </w:pPr>
      <w:r>
        <w:t>I</w:t>
      </w:r>
      <w:r w:rsidR="008B4F3F">
        <w:t>V</w:t>
      </w:r>
      <w:r>
        <w:t xml:space="preserve">.  </w:t>
      </w:r>
      <w:r>
        <w:rPr>
          <w:i/>
        </w:rPr>
        <w:t>Memorandum of Agreement</w:t>
      </w:r>
    </w:p>
    <w:p w:rsidR="00514A1B" w:rsidRDefault="006F57C4" w:rsidP="008730E9">
      <w:pPr>
        <w:spacing w:line="360" w:lineRule="auto"/>
      </w:pPr>
      <w:r>
        <w:tab/>
      </w:r>
      <w:r w:rsidR="00583D6D">
        <w:t>Appellant</w:t>
      </w:r>
      <w:r w:rsidR="007829DF">
        <w:t xml:space="preserve"> argues, in the alternative, that the MOA imposes a mandatory duty on </w:t>
      </w:r>
      <w:r w:rsidR="00724551">
        <w:t xml:space="preserve">the Department to immediately cease injections into nonexempt aquifers.  </w:t>
      </w:r>
      <w:r w:rsidR="00A41D1D">
        <w:t xml:space="preserve">The MOA provides: “After the effective date of this Agreement, an aquifer exemption must be in effect prior to or concurrent with the issuance of a </w:t>
      </w:r>
      <w:r w:rsidR="00F73C49">
        <w:t xml:space="preserve">[oil and gas production] </w:t>
      </w:r>
      <w:r w:rsidR="00A41D1D">
        <w:t xml:space="preserve">permit for injection wells into that aquifer.” </w:t>
      </w:r>
      <w:r w:rsidR="00EF6BFD">
        <w:t xml:space="preserve"> </w:t>
      </w:r>
      <w:r w:rsidR="00C324B6">
        <w:t>As explained below, w</w:t>
      </w:r>
      <w:r w:rsidR="00C141A5">
        <w:t xml:space="preserve">e conclude that </w:t>
      </w:r>
      <w:r w:rsidR="00C141A5" w:rsidRPr="00CE6D33">
        <w:t xml:space="preserve">the </w:t>
      </w:r>
      <w:r w:rsidR="00926758" w:rsidRPr="00CE6D33">
        <w:t>corrective action plan</w:t>
      </w:r>
      <w:r w:rsidR="00FF6EA0">
        <w:t xml:space="preserve"> </w:t>
      </w:r>
      <w:r w:rsidR="00C141A5">
        <w:t xml:space="preserve">constituted a </w:t>
      </w:r>
      <w:r w:rsidR="00CF21DE">
        <w:t xml:space="preserve">nonsubstantial </w:t>
      </w:r>
      <w:r w:rsidR="00C141A5">
        <w:t xml:space="preserve">revision to </w:t>
      </w:r>
      <w:r w:rsidR="00CF21DE">
        <w:t xml:space="preserve">California’s </w:t>
      </w:r>
      <w:r w:rsidR="00C141A5">
        <w:t>underground injection program</w:t>
      </w:r>
      <w:r w:rsidR="00ED2C6F">
        <w:t xml:space="preserve"> a</w:t>
      </w:r>
      <w:r w:rsidR="00DF3FBD">
        <w:t xml:space="preserve">uthorizing a </w:t>
      </w:r>
      <w:r w:rsidR="00F374DC">
        <w:t xml:space="preserve">limited, </w:t>
      </w:r>
      <w:r w:rsidR="00DF3FBD">
        <w:t>temporar</w:t>
      </w:r>
      <w:r w:rsidR="00ED2C6F">
        <w:t>y</w:t>
      </w:r>
      <w:r w:rsidR="00F374DC">
        <w:t xml:space="preserve"> </w:t>
      </w:r>
      <w:r w:rsidR="005E1DE3">
        <w:t>exception to this requirement in the</w:t>
      </w:r>
      <w:r w:rsidR="00836293">
        <w:t xml:space="preserve"> MOA.</w:t>
      </w:r>
      <w:r w:rsidR="00765F0C">
        <w:rPr>
          <w:rStyle w:val="FootnoteReference"/>
        </w:rPr>
        <w:footnoteReference w:id="17"/>
      </w:r>
    </w:p>
    <w:p w:rsidR="00BD50B0" w:rsidRPr="00BD50B0" w:rsidRDefault="00BD50B0" w:rsidP="008730E9">
      <w:pPr>
        <w:spacing w:line="360" w:lineRule="auto"/>
        <w:rPr>
          <w:i/>
        </w:rPr>
      </w:pPr>
      <w:r>
        <w:tab/>
        <w:t xml:space="preserve">A.  </w:t>
      </w:r>
      <w:r w:rsidR="00CF21DE">
        <w:rPr>
          <w:i/>
        </w:rPr>
        <w:t xml:space="preserve">The MOA Is Part </w:t>
      </w:r>
      <w:r w:rsidR="0041443D">
        <w:rPr>
          <w:i/>
        </w:rPr>
        <w:t>of</w:t>
      </w:r>
      <w:r w:rsidR="00CF21DE">
        <w:rPr>
          <w:i/>
        </w:rPr>
        <w:t xml:space="preserve"> </w:t>
      </w:r>
      <w:r>
        <w:rPr>
          <w:i/>
        </w:rPr>
        <w:t xml:space="preserve">California’s Underground Injection </w:t>
      </w:r>
      <w:r w:rsidR="00CF21DE">
        <w:rPr>
          <w:i/>
        </w:rPr>
        <w:t xml:space="preserve">Control </w:t>
      </w:r>
      <w:r>
        <w:rPr>
          <w:i/>
        </w:rPr>
        <w:t>Program</w:t>
      </w:r>
    </w:p>
    <w:p w:rsidR="00320781" w:rsidRDefault="00320781" w:rsidP="008730E9">
      <w:pPr>
        <w:spacing w:line="360" w:lineRule="auto"/>
      </w:pPr>
      <w:r>
        <w:tab/>
      </w:r>
      <w:r w:rsidR="005C1D14">
        <w:t>Intervenors contend the MOA is not formally part of California’s underground injection control program</w:t>
      </w:r>
      <w:r w:rsidR="00A95A6A">
        <w:t>.</w:t>
      </w:r>
      <w:r w:rsidR="00181E7B">
        <w:t xml:space="preserve">  </w:t>
      </w:r>
      <w:r w:rsidR="00D54BB0">
        <w:t xml:space="preserve">We disagree. </w:t>
      </w:r>
    </w:p>
    <w:p w:rsidR="001732D3" w:rsidRDefault="00FC3E21" w:rsidP="008730E9">
      <w:pPr>
        <w:spacing w:line="360" w:lineRule="auto"/>
      </w:pPr>
      <w:r>
        <w:tab/>
      </w:r>
      <w:r w:rsidR="00CD1014">
        <w:t>The federal regulation approving California’s underground injection program provides</w:t>
      </w:r>
      <w:r w:rsidR="00CB56F9">
        <w:t>, in its entirety</w:t>
      </w:r>
      <w:r w:rsidR="00CD1014">
        <w:t xml:space="preserve">: </w:t>
      </w:r>
    </w:p>
    <w:p w:rsidR="001732D3" w:rsidRDefault="00E8794B" w:rsidP="008730E9">
      <w:pPr>
        <w:spacing w:line="360" w:lineRule="auto"/>
      </w:pPr>
      <w:r>
        <w:tab/>
      </w:r>
      <w:r w:rsidR="00CD1014">
        <w:t>“</w:t>
      </w:r>
      <w:r w:rsidR="00545F04" w:rsidRPr="00545F04">
        <w:t xml:space="preserve">The UIC program for Class II wells in the State of California, except those on Indian lands, is the program administered by the California Division of Oil and Gas, approved by EPA pursuant to SDWA section 1425. </w:t>
      </w:r>
    </w:p>
    <w:p w:rsidR="001732D3" w:rsidRDefault="001732D3" w:rsidP="008730E9">
      <w:pPr>
        <w:spacing w:line="360" w:lineRule="auto"/>
      </w:pPr>
      <w:r>
        <w:tab/>
        <w:t>“</w:t>
      </w:r>
      <w:r w:rsidR="00545F04" w:rsidRPr="00545F04">
        <w:t xml:space="preserve">(a) </w:t>
      </w:r>
      <w:r w:rsidR="00545F04" w:rsidRPr="00A129F5">
        <w:rPr>
          <w:i/>
        </w:rPr>
        <w:t>Incorporation by reference</w:t>
      </w:r>
      <w:r w:rsidR="00545F04" w:rsidRPr="00545F04">
        <w:t xml:space="preserve">. The requirements set forth in the State statutes and regulations cited in this paragraph are hereby incorporated by reference and made a part of the applicable UIC program under the SDWA for the State of California. This incorporation by reference was approved by the Director of the Federal Register on June 25, 1984. </w:t>
      </w:r>
    </w:p>
    <w:p w:rsidR="001732D3" w:rsidRDefault="001732D3" w:rsidP="008730E9">
      <w:pPr>
        <w:spacing w:line="360" w:lineRule="auto"/>
      </w:pPr>
      <w:r>
        <w:tab/>
      </w:r>
      <w:r>
        <w:tab/>
        <w:t>“</w:t>
      </w:r>
      <w:r w:rsidR="00545F04" w:rsidRPr="00545F04">
        <w:t xml:space="preserve">(1) California Laws for Conservation of Petroleum and Gas, California Public Resources Code Div. 3, Chapt. 1, §§ 3000–3359 (1989); </w:t>
      </w:r>
    </w:p>
    <w:p w:rsidR="001732D3" w:rsidRDefault="001732D3" w:rsidP="008730E9">
      <w:pPr>
        <w:spacing w:line="360" w:lineRule="auto"/>
      </w:pPr>
      <w:r>
        <w:tab/>
      </w:r>
      <w:r>
        <w:tab/>
        <w:t>“</w:t>
      </w:r>
      <w:r w:rsidR="00545F04" w:rsidRPr="00545F04">
        <w:t xml:space="preserve">(2) California Administrative Code, title 14, §§ 1710 to 1724.10 (May 28, 1988). </w:t>
      </w:r>
    </w:p>
    <w:p w:rsidR="001732D3" w:rsidRDefault="001732D3" w:rsidP="008730E9">
      <w:pPr>
        <w:spacing w:line="360" w:lineRule="auto"/>
      </w:pPr>
      <w:r>
        <w:tab/>
        <w:t>“</w:t>
      </w:r>
      <w:r w:rsidR="00545F04" w:rsidRPr="00545F04">
        <w:t>(b) The Memorandum of Agreement between EPA Region IX and the California Division of Oil and Gas, signed by the EPA Regional Administrator on September 29, 1982</w:t>
      </w:r>
      <w:r w:rsidR="00A83AFD">
        <w:t xml:space="preserve"> [the MOA]</w:t>
      </w:r>
      <w:r w:rsidR="00545F04" w:rsidRPr="00545F04">
        <w:t xml:space="preserve">. </w:t>
      </w:r>
    </w:p>
    <w:p w:rsidR="001732D3" w:rsidRDefault="001732D3" w:rsidP="008730E9">
      <w:pPr>
        <w:spacing w:line="360" w:lineRule="auto"/>
      </w:pPr>
      <w:r>
        <w:tab/>
        <w:t>“</w:t>
      </w:r>
      <w:r w:rsidR="00545F04" w:rsidRPr="00545F04">
        <w:t xml:space="preserve">(c) </w:t>
      </w:r>
      <w:r w:rsidR="00545F04" w:rsidRPr="00A129F5">
        <w:rPr>
          <w:i/>
        </w:rPr>
        <w:t>Statement of legal authority</w:t>
      </w:r>
      <w:r w:rsidR="00545F04" w:rsidRPr="00545F04">
        <w:t xml:space="preserve">. </w:t>
      </w:r>
    </w:p>
    <w:p w:rsidR="001732D3" w:rsidRDefault="001732D3" w:rsidP="008730E9">
      <w:pPr>
        <w:spacing w:line="360" w:lineRule="auto"/>
      </w:pPr>
      <w:r>
        <w:tab/>
      </w:r>
      <w:r>
        <w:tab/>
        <w:t>“</w:t>
      </w:r>
      <w:r w:rsidR="00545F04" w:rsidRPr="00545F04">
        <w:t>(1) Letter from California Deputy Attorney Genera</w:t>
      </w:r>
      <w:r>
        <w:t>l to the Administrator of EPA, ‘</w:t>
      </w:r>
      <w:r w:rsidR="00545F04" w:rsidRPr="00545F04">
        <w:t>Re: Legal Authority of California Division of Oil and Gas to Carry Out Class II Injection Well Program,</w:t>
      </w:r>
      <w:r>
        <w:t>’</w:t>
      </w:r>
      <w:r w:rsidR="00545F04" w:rsidRPr="00545F04">
        <w:t xml:space="preserve"> April 1, 1981; </w:t>
      </w:r>
    </w:p>
    <w:p w:rsidR="001732D3" w:rsidRDefault="001732D3" w:rsidP="008730E9">
      <w:pPr>
        <w:spacing w:line="360" w:lineRule="auto"/>
      </w:pPr>
      <w:r>
        <w:tab/>
      </w:r>
      <w:r>
        <w:tab/>
        <w:t>“</w:t>
      </w:r>
      <w:r w:rsidR="00545F04" w:rsidRPr="00545F04">
        <w:t xml:space="preserve">(2) Letter from California Deputy Attorney General to Chief of California Branch, EPA Region IX, </w:t>
      </w:r>
      <w:r>
        <w:t>‘</w:t>
      </w:r>
      <w:r w:rsidR="00545F04" w:rsidRPr="00545F04">
        <w:t>Re: California Application for Primacy, Class II UIC Program,</w:t>
      </w:r>
      <w:r>
        <w:t>’</w:t>
      </w:r>
      <w:r w:rsidR="00545F04" w:rsidRPr="00545F04">
        <w:t xml:space="preserve"> December 3, 1982. </w:t>
      </w:r>
    </w:p>
    <w:p w:rsidR="00320781" w:rsidRDefault="001732D3" w:rsidP="008730E9">
      <w:pPr>
        <w:spacing w:line="360" w:lineRule="auto"/>
      </w:pPr>
      <w:r>
        <w:tab/>
        <w:t>“</w:t>
      </w:r>
      <w:r w:rsidR="00545F04" w:rsidRPr="00545F04">
        <w:t>(d) The Program Description and any other materials submitted as part of the application or as supplements thereto.</w:t>
      </w:r>
      <w:r>
        <w:t>”  (</w:t>
      </w:r>
      <w:r w:rsidR="00545F04" w:rsidRPr="00545F04">
        <w:t>40 C.F.R. § 147.250</w:t>
      </w:r>
      <w:r>
        <w:t>.)</w:t>
      </w:r>
    </w:p>
    <w:p w:rsidR="006E5BFC" w:rsidRDefault="00F57460" w:rsidP="00361387">
      <w:pPr>
        <w:spacing w:line="360" w:lineRule="auto"/>
      </w:pPr>
      <w:r>
        <w:tab/>
      </w:r>
      <w:r w:rsidR="00434F31">
        <w:t xml:space="preserve">Intervenors </w:t>
      </w:r>
      <w:r>
        <w:t>contend that only the state statutes and regulations set forth in paragraph (a) are part of the state</w:t>
      </w:r>
      <w:r w:rsidR="00BE0F17">
        <w:t>’s</w:t>
      </w:r>
      <w:r>
        <w:t xml:space="preserve"> underground injection program</w:t>
      </w:r>
      <w:r w:rsidR="00AE4CFA">
        <w:t>, because that paragraph</w:t>
      </w:r>
      <w:r w:rsidR="002376A8">
        <w:t xml:space="preserve"> states they are incorporated and “made a part of the applicable UIC program.”  </w:t>
      </w:r>
      <w:r w:rsidR="00B431EA">
        <w:t>Under t</w:t>
      </w:r>
      <w:r w:rsidR="008272B7">
        <w:t>his interpretation</w:t>
      </w:r>
      <w:r w:rsidR="00B431EA">
        <w:t>,</w:t>
      </w:r>
      <w:r w:rsidR="008272B7">
        <w:t xml:space="preserve"> the materials listed in the remaining paragraphs—the MOA, specified letters, program description, and other materials submitted with the state’s application—</w:t>
      </w:r>
      <w:r w:rsidR="00362666">
        <w:t xml:space="preserve">are included </w:t>
      </w:r>
      <w:r w:rsidR="00BE0F17">
        <w:t xml:space="preserve">in the regulation </w:t>
      </w:r>
      <w:r w:rsidR="00570E21">
        <w:t xml:space="preserve">with no </w:t>
      </w:r>
      <w:r w:rsidR="00362666">
        <w:t xml:space="preserve">apparent </w:t>
      </w:r>
      <w:r w:rsidR="00570E21">
        <w:t xml:space="preserve">legal effect or purpose.  </w:t>
      </w:r>
      <w:r w:rsidR="00F15EA9">
        <w:t xml:space="preserve">We are not inclined to construe the regulation in such a nonsensical manner.  </w:t>
      </w:r>
      <w:r w:rsidR="00B802DB">
        <w:t>(</w:t>
      </w:r>
      <w:r w:rsidR="00B802DB" w:rsidRPr="00EE5CF5">
        <w:rPr>
          <w:i/>
        </w:rPr>
        <w:t>Carmack v. Reynolds</w:t>
      </w:r>
      <w:r w:rsidR="00B802DB">
        <w:t xml:space="preserve"> (2017) 2 Cal.5th 844, 850 [</w:t>
      </w:r>
      <w:r w:rsidR="008A2AA5">
        <w:t>i</w:t>
      </w:r>
      <w:r w:rsidR="00361387">
        <w:t xml:space="preserve">n interpreting statutes, </w:t>
      </w:r>
      <w:r w:rsidR="00B802DB">
        <w:t>“</w:t>
      </w:r>
      <w:r w:rsidR="00361387">
        <w:t>[a]</w:t>
      </w:r>
      <w:r w:rsidR="00B802DB">
        <w:t xml:space="preserve"> construction making some words surplusage is to be avoided”]</w:t>
      </w:r>
      <w:r w:rsidR="00361387">
        <w:t xml:space="preserve">; </w:t>
      </w:r>
      <w:r w:rsidR="00361387" w:rsidRPr="00361387">
        <w:rPr>
          <w:i/>
        </w:rPr>
        <w:t>Hoitt v. Department of Rehabilitation</w:t>
      </w:r>
      <w:r w:rsidR="00361387">
        <w:t xml:space="preserve"> (2012) 207 Cal.App.4th 513, 523 [“Rules of statutory construction govern our interpretation of regulations promulgated by administrative agencies.”].</w:t>
      </w:r>
      <w:r w:rsidR="00B802DB">
        <w:t xml:space="preserve">)  </w:t>
      </w:r>
    </w:p>
    <w:p w:rsidR="00F57460" w:rsidRDefault="006E5BFC" w:rsidP="00361387">
      <w:pPr>
        <w:spacing w:line="360" w:lineRule="auto"/>
      </w:pPr>
      <w:r>
        <w:tab/>
      </w:r>
      <w:r w:rsidR="00F15EA9">
        <w:t xml:space="preserve">Moreover, </w:t>
      </w:r>
      <w:r w:rsidR="005E04BC">
        <w:t xml:space="preserve">as </w:t>
      </w:r>
      <w:r w:rsidR="00583D6D">
        <w:t>Appellant</w:t>
      </w:r>
      <w:r w:rsidR="005E04BC">
        <w:t xml:space="preserve"> notes, the regulation </w:t>
      </w:r>
      <w:r w:rsidR="005E04BC" w:rsidRPr="00D82CE5">
        <w:rPr>
          <w:i/>
        </w:rPr>
        <w:t>as enacted</w:t>
      </w:r>
      <w:r w:rsidR="00D82CE5">
        <w:t xml:space="preserve"> includes</w:t>
      </w:r>
      <w:r w:rsidR="005E04BC">
        <w:t xml:space="preserve"> the following</w:t>
      </w:r>
      <w:r w:rsidR="00D82CE5">
        <w:t xml:space="preserve"> sentence at the beginning of the opening paragraph: “</w:t>
      </w:r>
      <w:r w:rsidR="00D82CE5" w:rsidRPr="00D82CE5">
        <w:t>This program consists of the following elements, as submitted to EPA in the State</w:t>
      </w:r>
      <w:r w:rsidR="00D82CE5">
        <w:t>’</w:t>
      </w:r>
      <w:r w:rsidR="00D82CE5" w:rsidRPr="00D82CE5">
        <w:t>s program application:</w:t>
      </w:r>
      <w:r w:rsidR="00D82CE5">
        <w:t>”</w:t>
      </w:r>
      <w:r w:rsidR="00526A17">
        <w:t xml:space="preserve">  (</w:t>
      </w:r>
      <w:r w:rsidR="00526A17" w:rsidRPr="00526A17">
        <w:t>49 F</w:t>
      </w:r>
      <w:r w:rsidR="00526A17">
        <w:t>ed.</w:t>
      </w:r>
      <w:r w:rsidR="0041443D">
        <w:t xml:space="preserve"> </w:t>
      </w:r>
      <w:r w:rsidR="00526A17" w:rsidRPr="00526A17">
        <w:t>R</w:t>
      </w:r>
      <w:r w:rsidR="00526A17">
        <w:t>eg.</w:t>
      </w:r>
      <w:r w:rsidR="00526A17" w:rsidRPr="00526A17">
        <w:t xml:space="preserve"> </w:t>
      </w:r>
      <w:r w:rsidR="009A1308">
        <w:t xml:space="preserve">20138-01, </w:t>
      </w:r>
      <w:r w:rsidR="00722645" w:rsidRPr="00526A17">
        <w:t>20202</w:t>
      </w:r>
      <w:r w:rsidR="00CB305E">
        <w:t xml:space="preserve"> (</w:t>
      </w:r>
      <w:r w:rsidR="00CB305E" w:rsidRPr="00CB305E">
        <w:t>May 11, 1984</w:t>
      </w:r>
      <w:r w:rsidR="00CB305E">
        <w:t>)</w:t>
      </w:r>
      <w:r w:rsidR="00526A17">
        <w:t>.)</w:t>
      </w:r>
      <w:r w:rsidR="00111519">
        <w:t xml:space="preserve">  The enacted version </w:t>
      </w:r>
      <w:r w:rsidR="00395B38">
        <w:t xml:space="preserve">thus </w:t>
      </w:r>
      <w:r w:rsidR="00111519">
        <w:t xml:space="preserve">makes clear that </w:t>
      </w:r>
      <w:r w:rsidR="0041443D">
        <w:t>all</w:t>
      </w:r>
      <w:r w:rsidR="00111519">
        <w:t xml:space="preserve"> the materials listed in paragraphs (a) through (d) are part of the state program</w:t>
      </w:r>
      <w:r w:rsidR="00B55E20">
        <w:t>.  Although the regulation as codified omits this sentence, “</w:t>
      </w:r>
      <w:r w:rsidR="00B55E20" w:rsidRPr="00B55E20">
        <w:t>numerous cases have stated that when there is a conflict between a challenged law as enacted and as codified, the court must treat the law as enacted as the relevant and controlling law.</w:t>
      </w:r>
      <w:r w:rsidR="00B55E20">
        <w:t>”  (</w:t>
      </w:r>
      <w:r w:rsidR="00B55E20" w:rsidRPr="00B55E20">
        <w:rPr>
          <w:i/>
        </w:rPr>
        <w:t>In re A.G.</w:t>
      </w:r>
      <w:r w:rsidR="00B55E20" w:rsidRPr="00B55E20">
        <w:t xml:space="preserve"> (2010) 186 Cal.App.4th 1454, 1460–1461</w:t>
      </w:r>
      <w:r w:rsidR="00B55E20">
        <w:t>.)  Accordingly, we conclude the MOA is a component of the state’s underground injection control program.</w:t>
      </w:r>
      <w:r w:rsidR="00395B38">
        <w:t xml:space="preserve"> </w:t>
      </w:r>
    </w:p>
    <w:p w:rsidR="00E046C9" w:rsidRDefault="00A93D73" w:rsidP="00CC1BBC">
      <w:pPr>
        <w:spacing w:line="240" w:lineRule="auto"/>
        <w:rPr>
          <w:i/>
        </w:rPr>
      </w:pPr>
      <w:r>
        <w:tab/>
        <w:t xml:space="preserve">B.  </w:t>
      </w:r>
      <w:r w:rsidR="009B2FA2">
        <w:rPr>
          <w:i/>
        </w:rPr>
        <w:t xml:space="preserve">The </w:t>
      </w:r>
      <w:r w:rsidR="007E0DD0">
        <w:rPr>
          <w:i/>
        </w:rPr>
        <w:t xml:space="preserve">Corrective Action </w:t>
      </w:r>
      <w:r w:rsidR="009B2FA2">
        <w:rPr>
          <w:i/>
        </w:rPr>
        <w:t xml:space="preserve">Plan Constituted </w:t>
      </w:r>
      <w:r w:rsidR="00715391">
        <w:rPr>
          <w:i/>
        </w:rPr>
        <w:t>a</w:t>
      </w:r>
      <w:r w:rsidR="009B2FA2">
        <w:rPr>
          <w:i/>
        </w:rPr>
        <w:t xml:space="preserve"> </w:t>
      </w:r>
      <w:r w:rsidR="00630B95">
        <w:rPr>
          <w:i/>
        </w:rPr>
        <w:t>Nonsubstantial</w:t>
      </w:r>
      <w:r w:rsidR="00F46B8E">
        <w:rPr>
          <w:i/>
        </w:rPr>
        <w:t xml:space="preserve"> Revision of </w:t>
      </w:r>
    </w:p>
    <w:p w:rsidR="00A93D73" w:rsidRDefault="00E046C9" w:rsidP="00CC1BBC">
      <w:pPr>
        <w:spacing w:line="240" w:lineRule="auto"/>
        <w:rPr>
          <w:i/>
        </w:rPr>
      </w:pPr>
      <w:r>
        <w:rPr>
          <w:i/>
        </w:rPr>
        <w:tab/>
        <w:t xml:space="preserve">     </w:t>
      </w:r>
      <w:r w:rsidR="00F46B8E">
        <w:rPr>
          <w:i/>
        </w:rPr>
        <w:t>California’s Program</w:t>
      </w:r>
    </w:p>
    <w:p w:rsidR="00CC1BBC" w:rsidRPr="00A93D73" w:rsidRDefault="00CC1BBC" w:rsidP="00CC1BBC">
      <w:pPr>
        <w:spacing w:line="240" w:lineRule="auto"/>
        <w:rPr>
          <w:i/>
        </w:rPr>
      </w:pPr>
    </w:p>
    <w:p w:rsidR="00AC003B" w:rsidRDefault="00194699" w:rsidP="000E2AE7">
      <w:pPr>
        <w:spacing w:line="360" w:lineRule="auto"/>
      </w:pPr>
      <w:r>
        <w:tab/>
        <w:t>Federal regulations set forth the procedure to revise a state underground injection control program</w:t>
      </w:r>
      <w:r w:rsidR="00050D69">
        <w:t xml:space="preserve">: </w:t>
      </w:r>
      <w:r w:rsidR="0024095C">
        <w:t>“</w:t>
      </w:r>
      <w:r w:rsidR="0024095C" w:rsidRPr="0024095C">
        <w:t>The State shall submit a modified progra</w:t>
      </w:r>
      <w:r w:rsidR="00901B16">
        <w:t>m description, Attorney General’</w:t>
      </w:r>
      <w:r w:rsidR="0024095C" w:rsidRPr="0024095C">
        <w:t>s statement, Memorandum of Agreement, or such other documents as EPA determines to be ne</w:t>
      </w:r>
      <w:r w:rsidR="0024095C">
        <w:t>cessary under the circumstances,” and EPA “</w:t>
      </w:r>
      <w:r w:rsidR="0024095C" w:rsidRPr="0024095C">
        <w:t>shall approve or disapprove program revisions based on the requirements of this part and of the Safe Drink</w:t>
      </w:r>
      <w:r w:rsidR="0024095C">
        <w:t>ing Water Act.”  (</w:t>
      </w:r>
      <w:r w:rsidR="0024095C" w:rsidRPr="0024095C">
        <w:t>40 C.F.R. § 145.32</w:t>
      </w:r>
      <w:r w:rsidR="00CB3A31">
        <w:t>(b)</w:t>
      </w:r>
      <w:r w:rsidR="0024095C">
        <w:t>(1), (3).)</w:t>
      </w:r>
      <w:r w:rsidR="0074313B">
        <w:t xml:space="preserve">  </w:t>
      </w:r>
      <w:r w:rsidR="00C62A4C">
        <w:t xml:space="preserve">The regulations contemplate two types of program revision, substantial and </w:t>
      </w:r>
      <w:r w:rsidR="00630B95">
        <w:t>nonsubstantial</w:t>
      </w:r>
      <w:r w:rsidR="00C62A4C">
        <w:t>.  (</w:t>
      </w:r>
      <w:r w:rsidR="00C62A4C" w:rsidRPr="00C62A4C">
        <w:t>40 C.F.R. § 145.32</w:t>
      </w:r>
      <w:r w:rsidR="00CB3A31">
        <w:t>(b)</w:t>
      </w:r>
      <w:r w:rsidR="009A1308">
        <w:t>(2), (4)</w:t>
      </w:r>
      <w:r w:rsidR="00C62A4C">
        <w:t xml:space="preserve">.)  </w:t>
      </w:r>
      <w:r w:rsidR="0005058B">
        <w:t>Public n</w:t>
      </w:r>
      <w:r w:rsidR="00C62A4C">
        <w:t>otice and comment are required for substantial revisions</w:t>
      </w:r>
      <w:r w:rsidR="0005058B">
        <w:t xml:space="preserve">, but not for </w:t>
      </w:r>
      <w:r w:rsidR="00630B95">
        <w:t>nonsubstantial</w:t>
      </w:r>
      <w:r w:rsidR="0005058B">
        <w:t xml:space="preserve"> revisions.  (</w:t>
      </w:r>
      <w:r w:rsidR="0005058B" w:rsidRPr="00C62A4C">
        <w:t>40 C.F.R. § 145.32</w:t>
      </w:r>
      <w:r w:rsidR="00CB3A31">
        <w:t>(b)</w:t>
      </w:r>
      <w:r w:rsidR="0005058B">
        <w:t>(2).)</w:t>
      </w:r>
      <w:r w:rsidR="000E2AE7">
        <w:t xml:space="preserve">  Approval of substantial revisions must be </w:t>
      </w:r>
      <w:r w:rsidR="00C62A4C">
        <w:t>published in the Federal Register</w:t>
      </w:r>
      <w:r w:rsidR="000E2AE7">
        <w:t xml:space="preserve">, but approval of </w:t>
      </w:r>
      <w:r w:rsidR="00630B95">
        <w:t>nonsubstantial</w:t>
      </w:r>
      <w:r w:rsidR="000E2AE7">
        <w:t xml:space="preserve"> </w:t>
      </w:r>
      <w:r w:rsidR="001F07B2">
        <w:t xml:space="preserve">revisions may be by letter from </w:t>
      </w:r>
      <w:r w:rsidR="00C15A2F">
        <w:t>EPA</w:t>
      </w:r>
      <w:r w:rsidR="001F07B2">
        <w:t xml:space="preserve"> “</w:t>
      </w:r>
      <w:r w:rsidR="001F07B2" w:rsidRPr="001F07B2">
        <w:t>to the State Governor or his designee.</w:t>
      </w:r>
      <w:r w:rsidR="001F07B2">
        <w:t>”</w:t>
      </w:r>
      <w:r w:rsidR="001F07B2" w:rsidRPr="001F07B2">
        <w:t xml:space="preserve">  </w:t>
      </w:r>
      <w:r w:rsidR="001F07B2">
        <w:t>(</w:t>
      </w:r>
      <w:r w:rsidR="001F07B2" w:rsidRPr="001F07B2">
        <w:t>40 C.F.R. §</w:t>
      </w:r>
      <w:r w:rsidR="009A1308">
        <w:t> </w:t>
      </w:r>
      <w:r w:rsidR="001F07B2" w:rsidRPr="001F07B2">
        <w:t>145.32</w:t>
      </w:r>
      <w:r w:rsidR="00CB3A31">
        <w:t>(b)</w:t>
      </w:r>
      <w:r w:rsidR="001F07B2">
        <w:t>(4).)</w:t>
      </w:r>
      <w:r w:rsidR="009909A6">
        <w:t xml:space="preserve">  </w:t>
      </w:r>
      <w:r w:rsidR="00901B16" w:rsidRPr="00901B16">
        <w:t xml:space="preserve">“The decision of whether a proposed </w:t>
      </w:r>
      <w:r w:rsidR="006F2CAD">
        <w:t xml:space="preserve">UIC </w:t>
      </w:r>
      <w:r w:rsidR="00901B16" w:rsidRPr="00901B16">
        <w:t>program revision is substantial or nonsubstantial lies with the [EPA].”  (</w:t>
      </w:r>
      <w:r w:rsidR="00901B16" w:rsidRPr="00901B16">
        <w:rPr>
          <w:i/>
        </w:rPr>
        <w:t>Western Nebraska Resources Council v. E.P.A.</w:t>
      </w:r>
      <w:r w:rsidR="00901B16" w:rsidRPr="00901B16">
        <w:t xml:space="preserve"> (8th Cir. 1986) 793 F.2d 194, 199.)</w:t>
      </w:r>
    </w:p>
    <w:p w:rsidR="00D2121D" w:rsidRDefault="00D2121D" w:rsidP="008105BB">
      <w:pPr>
        <w:spacing w:line="360" w:lineRule="auto"/>
      </w:pPr>
      <w:r>
        <w:tab/>
        <w:t xml:space="preserve">Respondents contend the </w:t>
      </w:r>
      <w:r w:rsidR="00926758">
        <w:t>corrective action plan</w:t>
      </w:r>
      <w:r>
        <w:t xml:space="preserve"> constituted a </w:t>
      </w:r>
      <w:r w:rsidR="00630B95">
        <w:t>nonsubstantial</w:t>
      </w:r>
      <w:r>
        <w:t xml:space="preserve"> program revision.</w:t>
      </w:r>
      <w:r w:rsidR="00167055">
        <w:t xml:space="preserve">  </w:t>
      </w:r>
      <w:r w:rsidR="00F309F0">
        <w:t>There is support for this in the record.</w:t>
      </w:r>
      <w:r w:rsidR="007D660F">
        <w:t xml:space="preserve">  </w:t>
      </w:r>
      <w:r w:rsidR="0038243D">
        <w:t xml:space="preserve">In a July 2014 letter to the state, EPA requested information relating to the Department’s review of permitted injection wells to determine whether they were injecting into nonexempt aquifers and relating to the </w:t>
      </w:r>
      <w:r w:rsidR="00A40419">
        <w:t>Eleven A</w:t>
      </w:r>
      <w:r w:rsidR="0038243D">
        <w:t>quifers.</w:t>
      </w:r>
      <w:r w:rsidR="004E4E5F">
        <w:rPr>
          <w:rStyle w:val="FootnoteReference"/>
        </w:rPr>
        <w:footnoteReference w:id="18"/>
      </w:r>
      <w:r w:rsidR="0038243D">
        <w:t xml:space="preserve">  This letter requested the information pursuant to </w:t>
      </w:r>
      <w:r w:rsidR="00C15A2F">
        <w:t>EPA</w:t>
      </w:r>
      <w:r w:rsidR="0038243D">
        <w:t xml:space="preserve">’s “authority under 40 C.F.R. § 145.32,” the regulation governing procedures for revisions to state programs.  </w:t>
      </w:r>
      <w:r w:rsidR="00670284">
        <w:t xml:space="preserve">A December 2014 letter from EPA </w:t>
      </w:r>
      <w:r w:rsidR="00881FCB">
        <w:t xml:space="preserve">“highlights the main areas of recent discussion and provides direction for the State’s submittal of a </w:t>
      </w:r>
      <w:r w:rsidR="00881FCB" w:rsidRPr="00A22FBD">
        <w:rPr>
          <w:i/>
        </w:rPr>
        <w:t>program revision plan</w:t>
      </w:r>
      <w:r w:rsidR="00881FCB">
        <w:t xml:space="preserve"> by February 6, 2015.” </w:t>
      </w:r>
      <w:r w:rsidR="00A22FBD">
        <w:t xml:space="preserve"> (Italics added.)</w:t>
      </w:r>
      <w:r w:rsidR="00EA2823">
        <w:t xml:space="preserve"> </w:t>
      </w:r>
      <w:r w:rsidR="002A08F4">
        <w:t xml:space="preserve"> The letter</w:t>
      </w:r>
      <w:r w:rsidR="00E17EC4">
        <w:t xml:space="preserve"> </w:t>
      </w:r>
      <w:r w:rsidR="00275D21">
        <w:t xml:space="preserve">addressed the Department’s review of injection wells that may be injecting into nonexempt aquifers, </w:t>
      </w:r>
      <w:r w:rsidR="002A08F4">
        <w:t>directed all such injections mu</w:t>
      </w:r>
      <w:r w:rsidR="00A40419">
        <w:t>s</w:t>
      </w:r>
      <w:r w:rsidR="002A08F4">
        <w:t>t cease by February 2017 unless EPA has approved an exemption, and provided “[t]he State’s program revision plan” should ensure EPA has adequate time to review any requests for exemption of the Eleven Aquifers by December 2016.</w:t>
      </w:r>
      <w:r w:rsidR="00BA782A">
        <w:t xml:space="preserve">  </w:t>
      </w:r>
      <w:r w:rsidR="008105BB">
        <w:t xml:space="preserve">The letter concluded: “We . . . anticipate receiving your </w:t>
      </w:r>
      <w:r w:rsidR="008105BB" w:rsidRPr="005672F6">
        <w:t>program revision plan</w:t>
      </w:r>
      <w:r w:rsidR="008105BB">
        <w:t xml:space="preserve"> by February 6, 2015.”</w:t>
      </w:r>
      <w:r w:rsidR="00891AAB">
        <w:rPr>
          <w:rStyle w:val="FootnoteReference"/>
        </w:rPr>
        <w:footnoteReference w:id="19"/>
      </w:r>
      <w:r w:rsidR="008105BB">
        <w:t xml:space="preserve"> </w:t>
      </w:r>
    </w:p>
    <w:p w:rsidR="00D2121D" w:rsidRDefault="008105BB" w:rsidP="008730E9">
      <w:pPr>
        <w:spacing w:line="360" w:lineRule="auto"/>
      </w:pPr>
      <w:r>
        <w:tab/>
        <w:t>On February 6, 2015</w:t>
      </w:r>
      <w:r w:rsidR="00EA2823">
        <w:t>—the designated date—</w:t>
      </w:r>
      <w:r>
        <w:t xml:space="preserve">the Department </w:t>
      </w:r>
      <w:r w:rsidR="00697168">
        <w:t xml:space="preserve">wrote </w:t>
      </w:r>
      <w:r w:rsidR="00C15A2F">
        <w:t>EPA</w:t>
      </w:r>
      <w:r w:rsidR="00697168">
        <w:t xml:space="preserve"> a letter containing a detailed proposal</w:t>
      </w:r>
      <w:r w:rsidR="00BC2147">
        <w:t xml:space="preserve">, including a proposed compliance schedule </w:t>
      </w:r>
      <w:r w:rsidR="00A54DB8">
        <w:t>for reviewing and ceasing permitted injections into nonexempt aquifers</w:t>
      </w:r>
      <w:r w:rsidR="00993154">
        <w:t xml:space="preserve">.  The letter concluded: “we are committed to </w:t>
      </w:r>
      <w:r w:rsidR="00993154" w:rsidRPr="006F2CAD">
        <w:rPr>
          <w:i/>
        </w:rPr>
        <w:t>revising</w:t>
      </w:r>
      <w:r w:rsidR="00EA2823" w:rsidRPr="006F2CAD">
        <w:rPr>
          <w:i/>
        </w:rPr>
        <w:t xml:space="preserve"> </w:t>
      </w:r>
      <w:r w:rsidR="00993154" w:rsidRPr="006F2CAD">
        <w:rPr>
          <w:i/>
        </w:rPr>
        <w:t>the UIC program</w:t>
      </w:r>
      <w:r w:rsidR="00993154">
        <w:t xml:space="preserve"> efficiently, and with public safety as a first priority.” </w:t>
      </w:r>
      <w:r w:rsidR="00A40DD3">
        <w:t xml:space="preserve"> </w:t>
      </w:r>
      <w:r w:rsidR="006F2CAD">
        <w:t xml:space="preserve">(Italics added.) </w:t>
      </w:r>
      <w:r w:rsidR="00C00B50">
        <w:t xml:space="preserve"> </w:t>
      </w:r>
      <w:r w:rsidR="00A40DD3">
        <w:t>I</w:t>
      </w:r>
      <w:r w:rsidR="003211C5">
        <w:t xml:space="preserve">n March 2015, EPA wrote the </w:t>
      </w:r>
      <w:r w:rsidR="00C00B50">
        <w:t>Department</w:t>
      </w:r>
      <w:r w:rsidR="003211C5">
        <w:t>, approving</w:t>
      </w:r>
      <w:r w:rsidR="007126F3">
        <w:t xml:space="preserve"> </w:t>
      </w:r>
      <w:r w:rsidR="00665C4A">
        <w:t xml:space="preserve">the corrective action plan, which adopted the state’s proposed plan </w:t>
      </w:r>
      <w:r w:rsidR="007126F3">
        <w:t>with several modifications</w:t>
      </w:r>
      <w:r w:rsidR="00875FF4">
        <w:t xml:space="preserve">. </w:t>
      </w:r>
      <w:r w:rsidR="00C027F1">
        <w:t xml:space="preserve"> The </w:t>
      </w:r>
      <w:r w:rsidR="00A40DD3">
        <w:t xml:space="preserve">Department </w:t>
      </w:r>
      <w:r w:rsidR="00114274">
        <w:t xml:space="preserve">subsequently wrote </w:t>
      </w:r>
      <w:r w:rsidR="00C15A2F">
        <w:t>EPA</w:t>
      </w:r>
      <w:r w:rsidR="00114274">
        <w:t xml:space="preserve"> periodic updates on its progress and refinements or modifications of the approved plan.  EPA responded, at times approving proposed </w:t>
      </w:r>
      <w:r w:rsidR="006065E7">
        <w:t xml:space="preserve">changes. </w:t>
      </w:r>
      <w:r w:rsidR="00E12A6F">
        <w:t xml:space="preserve"> </w:t>
      </w:r>
    </w:p>
    <w:p w:rsidR="00F309F0" w:rsidRDefault="00F309F0" w:rsidP="008730E9">
      <w:pPr>
        <w:spacing w:line="360" w:lineRule="auto"/>
      </w:pPr>
      <w:r>
        <w:tab/>
      </w:r>
      <w:r w:rsidR="00583D6D">
        <w:t>Appellant</w:t>
      </w:r>
      <w:r>
        <w:t xml:space="preserve"> argues</w:t>
      </w:r>
      <w:r w:rsidR="00B62E17">
        <w:t xml:space="preserve"> neither EPA nor the Department characterized the </w:t>
      </w:r>
      <w:r w:rsidR="00926758">
        <w:t>corrective action plan</w:t>
      </w:r>
      <w:r w:rsidR="00B62E17">
        <w:t xml:space="preserve"> as a program revision.  </w:t>
      </w:r>
      <w:r w:rsidR="005E6B93">
        <w:t>We are not</w:t>
      </w:r>
      <w:r w:rsidR="00502863">
        <w:t xml:space="preserve"> persuaded that such a formality</w:t>
      </w:r>
      <w:r w:rsidR="005E6B93">
        <w:t xml:space="preserve"> </w:t>
      </w:r>
      <w:r w:rsidR="00502863">
        <w:t xml:space="preserve">is </w:t>
      </w:r>
      <w:r w:rsidR="005E6B93">
        <w:t xml:space="preserve">necessary to effectuate a </w:t>
      </w:r>
      <w:r w:rsidR="00630B95">
        <w:t>nonsubstantial</w:t>
      </w:r>
      <w:r w:rsidR="005E6B93">
        <w:t xml:space="preserve"> plan revision.  The federal regulations contemplate that </w:t>
      </w:r>
      <w:r w:rsidR="00630B95">
        <w:t>nonsubstantial</w:t>
      </w:r>
      <w:r w:rsidR="005E6B93">
        <w:t xml:space="preserve"> revisions may be executed informally</w:t>
      </w:r>
      <w:r w:rsidR="00F56ABD">
        <w:t>, without notice and comment or publication in the Federal Register.  (</w:t>
      </w:r>
      <w:r w:rsidR="00F56ABD" w:rsidRPr="00C62A4C">
        <w:t>40 C.F.R. §</w:t>
      </w:r>
      <w:r w:rsidR="00B02F03">
        <w:t> </w:t>
      </w:r>
      <w:r w:rsidR="00F56ABD" w:rsidRPr="00C62A4C">
        <w:t>145.32</w:t>
      </w:r>
      <w:r w:rsidR="00F56ABD">
        <w:t xml:space="preserve">(b).)  The only requirement for </w:t>
      </w:r>
      <w:r w:rsidR="00630B95">
        <w:t>nonsubstantial</w:t>
      </w:r>
      <w:r w:rsidR="00F56ABD">
        <w:t xml:space="preserve"> revisions is </w:t>
      </w:r>
      <w:r w:rsidR="00D31F50">
        <w:t>the state submit “</w:t>
      </w:r>
      <w:r w:rsidR="005D2712" w:rsidRPr="005D2712">
        <w:t xml:space="preserve">such </w:t>
      </w:r>
      <w:r w:rsidR="005D2712">
        <w:t xml:space="preserve">. . . </w:t>
      </w:r>
      <w:r w:rsidR="005D2712" w:rsidRPr="005D2712">
        <w:t>documents as EPA determines to be necessary under the circumstances</w:t>
      </w:r>
      <w:r w:rsidR="00D31F50">
        <w:t xml:space="preserve">” and the revisions </w:t>
      </w:r>
      <w:r w:rsidR="00F56ABD">
        <w:t xml:space="preserve">be approved by letter from </w:t>
      </w:r>
      <w:r w:rsidR="00C15A2F">
        <w:t>EPA</w:t>
      </w:r>
      <w:r w:rsidR="00F56ABD">
        <w:t xml:space="preserve"> to the state.  (</w:t>
      </w:r>
      <w:r w:rsidR="00F56ABD" w:rsidRPr="00C62A4C">
        <w:t>40 C.F.R. § 145.32</w:t>
      </w:r>
      <w:r w:rsidR="00F56ABD">
        <w:t>(b)</w:t>
      </w:r>
      <w:r w:rsidR="006269FC">
        <w:t>(1), (4)</w:t>
      </w:r>
      <w:r w:rsidR="00F56ABD">
        <w:t>.)</w:t>
      </w:r>
      <w:r w:rsidR="00BD66C2">
        <w:rPr>
          <w:rStyle w:val="FootnoteReference"/>
        </w:rPr>
        <w:footnoteReference w:id="20"/>
      </w:r>
      <w:r w:rsidR="00F56ABD">
        <w:t xml:space="preserve">  </w:t>
      </w:r>
    </w:p>
    <w:p w:rsidR="0022000E" w:rsidRDefault="0022000E" w:rsidP="003D5AD9">
      <w:pPr>
        <w:spacing w:line="360" w:lineRule="auto"/>
      </w:pPr>
      <w:r>
        <w:tab/>
      </w:r>
      <w:r w:rsidRPr="0022000E">
        <w:rPr>
          <w:i/>
        </w:rPr>
        <w:t>HRI, Inc. v. E.P.A.</w:t>
      </w:r>
      <w:r>
        <w:t xml:space="preserve"> (10th Cir. 2000) 198 F.3d 1224 </w:t>
      </w:r>
      <w:r w:rsidR="00162C21">
        <w:t xml:space="preserve">is instructive.  </w:t>
      </w:r>
      <w:r w:rsidR="00C15A2F">
        <w:t>EPA</w:t>
      </w:r>
      <w:r w:rsidR="000F78B5">
        <w:t xml:space="preserve"> approved New Mexico’s underground injection control program</w:t>
      </w:r>
      <w:r w:rsidR="00256271">
        <w:t xml:space="preserve"> for all applicable wells, “ ‘</w:t>
      </w:r>
      <w:r w:rsidR="00256271" w:rsidRPr="00256271">
        <w:t>e</w:t>
      </w:r>
      <w:r w:rsidR="00A72876">
        <w:t>xcept for those on Indian lands</w:t>
      </w:r>
      <w:r w:rsidR="00F51C14">
        <w:t>.</w:t>
      </w:r>
      <w:r w:rsidR="00256271">
        <w:t>’ ”</w:t>
      </w:r>
      <w:r w:rsidR="00F51C14">
        <w:t xml:space="preserve">  </w:t>
      </w:r>
      <w:r w:rsidR="00256271">
        <w:t>(</w:t>
      </w:r>
      <w:r w:rsidR="00256271">
        <w:rPr>
          <w:i/>
        </w:rPr>
        <w:t>Id.</w:t>
      </w:r>
      <w:r w:rsidR="00256271">
        <w:t xml:space="preserve"> at p. 1232.)</w:t>
      </w:r>
      <w:r w:rsidR="00A72876">
        <w:t xml:space="preserve">  </w:t>
      </w:r>
      <w:r w:rsidR="00287819">
        <w:t xml:space="preserve">Initially, EPA treated </w:t>
      </w:r>
      <w:r w:rsidR="002B2C6D">
        <w:t>an area known as “Section 8”</w:t>
      </w:r>
      <w:r w:rsidR="00287819">
        <w:t xml:space="preserve"> </w:t>
      </w:r>
      <w:r w:rsidR="000A1E45">
        <w:t xml:space="preserve">as covered by the state program, but </w:t>
      </w:r>
      <w:r w:rsidR="0097666D">
        <w:t xml:space="preserve">the Navajo Nation </w:t>
      </w:r>
      <w:r w:rsidR="000A1E45">
        <w:t xml:space="preserve">subsequently </w:t>
      </w:r>
      <w:r w:rsidR="0097666D">
        <w:t>contended Section 8 was Indian land.  (</w:t>
      </w:r>
      <w:r w:rsidR="0097666D" w:rsidRPr="0097666D">
        <w:rPr>
          <w:i/>
        </w:rPr>
        <w:t>Id</w:t>
      </w:r>
      <w:r w:rsidR="0097666D">
        <w:t xml:space="preserve">. at pp. 1234–1235.)  </w:t>
      </w:r>
      <w:r w:rsidR="00CA147A">
        <w:t xml:space="preserve">Following two years of communications between EPA, the </w:t>
      </w:r>
      <w:r w:rsidR="00D44038">
        <w:t xml:space="preserve">relevant </w:t>
      </w:r>
      <w:r w:rsidR="00CA147A">
        <w:t xml:space="preserve">state agency, and the Navajo Nation, EPA issued a letter to the </w:t>
      </w:r>
      <w:r w:rsidR="00D44038">
        <w:t>state agency that “stated EPA’s position requiring federal permitting for . . . Section 8</w:t>
      </w:r>
      <w:r w:rsidR="00A424ED">
        <w:t>.</w:t>
      </w:r>
      <w:r w:rsidR="00D44038">
        <w:t>”</w:t>
      </w:r>
      <w:r w:rsidR="00A424ED">
        <w:t xml:space="preserve">  (</w:t>
      </w:r>
      <w:r w:rsidR="00A424ED">
        <w:rPr>
          <w:i/>
        </w:rPr>
        <w:t>Id.</w:t>
      </w:r>
      <w:r w:rsidR="00A424ED">
        <w:t xml:space="preserve"> at p. 1235.)</w:t>
      </w:r>
      <w:r w:rsidR="00975681">
        <w:rPr>
          <w:rStyle w:val="FootnoteReference"/>
        </w:rPr>
        <w:footnoteReference w:id="21"/>
      </w:r>
      <w:r w:rsidR="00D44038">
        <w:t xml:space="preserve"> </w:t>
      </w:r>
      <w:r w:rsidR="00FF3D88">
        <w:t xml:space="preserve"> </w:t>
      </w:r>
      <w:r w:rsidR="007D7E80">
        <w:t xml:space="preserve">The Tenth Circuit concluded that this “determin[ation] that certain lands are outside the reach of New Mexico’s program as previously approved” </w:t>
      </w:r>
      <w:r w:rsidR="003D5AD9">
        <w:t>is appropriately “characterized as a state program revision”</w:t>
      </w:r>
      <w:r w:rsidR="00E73215">
        <w:t xml:space="preserve"> and, moreover, “is reasonably construed as a ‘</w:t>
      </w:r>
      <w:r w:rsidR="00E73215" w:rsidRPr="00E73215">
        <w:t>nonsubstantial program revision.</w:t>
      </w:r>
      <w:r w:rsidR="00E73215">
        <w:t>’ </w:t>
      </w:r>
      <w:r w:rsidR="00E73215" w:rsidRPr="00E73215">
        <w:t>”</w:t>
      </w:r>
      <w:r w:rsidR="003D5AD9">
        <w:t xml:space="preserve">  (</w:t>
      </w:r>
      <w:r w:rsidR="003D5AD9">
        <w:rPr>
          <w:i/>
        </w:rPr>
        <w:t>Id.</w:t>
      </w:r>
      <w:r w:rsidR="003D5AD9">
        <w:t xml:space="preserve"> at pp. 1242</w:t>
      </w:r>
      <w:r w:rsidR="00EA2690">
        <w:t>–</w:t>
      </w:r>
      <w:r w:rsidR="003D5AD9">
        <w:t>1243.</w:t>
      </w:r>
      <w:r w:rsidR="007D7E80">
        <w:t>)</w:t>
      </w:r>
      <w:r w:rsidR="00676080">
        <w:t xml:space="preserve">  The court reached this conclusion without any apparent reference in </w:t>
      </w:r>
      <w:r w:rsidR="00C15A2F">
        <w:t>EPA</w:t>
      </w:r>
      <w:r w:rsidR="00676080">
        <w:t xml:space="preserve">’s letter </w:t>
      </w:r>
      <w:r w:rsidR="00007B11">
        <w:t xml:space="preserve">or the preceding correspondence </w:t>
      </w:r>
      <w:r w:rsidR="00676080">
        <w:t>to such a revision.</w:t>
      </w:r>
    </w:p>
    <w:p w:rsidR="00F15E2A" w:rsidRDefault="00F15E2A" w:rsidP="000D4E20">
      <w:pPr>
        <w:spacing w:line="360" w:lineRule="auto"/>
      </w:pPr>
      <w:r>
        <w:tab/>
        <w:t xml:space="preserve">Here, EPA’s letters to the Department </w:t>
      </w:r>
      <w:r w:rsidR="000047DA">
        <w:t xml:space="preserve">acknowledged that the Department was not in compliance with its underground injection control program, </w:t>
      </w:r>
      <w:r w:rsidR="002C66CA">
        <w:t xml:space="preserve">directed the Department to prepare </w:t>
      </w:r>
      <w:r w:rsidR="000047DA">
        <w:t xml:space="preserve">a “program revision plan,” </w:t>
      </w:r>
      <w:r w:rsidR="005123DC">
        <w:t xml:space="preserve">and eventually </w:t>
      </w:r>
      <w:r>
        <w:t xml:space="preserve">approved the </w:t>
      </w:r>
      <w:r w:rsidR="00992BE3">
        <w:t>corrective action plan</w:t>
      </w:r>
      <w:r w:rsidR="002C66CA">
        <w:t xml:space="preserve"> (and subsequent modification</w:t>
      </w:r>
      <w:r w:rsidR="00691A70">
        <w:t>s</w:t>
      </w:r>
      <w:r w:rsidR="002C66CA">
        <w:t>)</w:t>
      </w:r>
      <w:r w:rsidR="00992BE3">
        <w:t xml:space="preserve">.  </w:t>
      </w:r>
      <w:r w:rsidR="001527CD">
        <w:t xml:space="preserve">We conclude EPA approved </w:t>
      </w:r>
      <w:r>
        <w:t xml:space="preserve">a </w:t>
      </w:r>
      <w:r w:rsidR="00873134">
        <w:t>nonsubstantial</w:t>
      </w:r>
      <w:r w:rsidR="00AD2BE1">
        <w:t xml:space="preserve"> </w:t>
      </w:r>
      <w:r>
        <w:t xml:space="preserve">revision to </w:t>
      </w:r>
      <w:r w:rsidR="00DE3F3B">
        <w:t>California’s</w:t>
      </w:r>
      <w:r>
        <w:t xml:space="preserve"> </w:t>
      </w:r>
      <w:r w:rsidR="00074322">
        <w:t>program</w:t>
      </w:r>
      <w:r w:rsidR="00E82DFA">
        <w:t xml:space="preserve">—to wit, a limited, temporary exception to the prohibition of </w:t>
      </w:r>
      <w:r w:rsidR="00EE64AC">
        <w:t xml:space="preserve">permitted </w:t>
      </w:r>
      <w:r>
        <w:t>injections into nonexempt aquifers.</w:t>
      </w:r>
      <w:r w:rsidR="00A2570F">
        <w:rPr>
          <w:rStyle w:val="FootnoteReference"/>
        </w:rPr>
        <w:footnoteReference w:id="22"/>
      </w:r>
    </w:p>
    <w:p w:rsidR="00EE6387" w:rsidRPr="002F25E4" w:rsidRDefault="009D24DF" w:rsidP="000D4E20">
      <w:pPr>
        <w:spacing w:line="360" w:lineRule="auto"/>
      </w:pPr>
      <w:r>
        <w:tab/>
      </w:r>
      <w:r w:rsidR="007A1AEA">
        <w:t xml:space="preserve">The parties </w:t>
      </w:r>
      <w:r w:rsidR="00D61AF6">
        <w:t>dispute</w:t>
      </w:r>
      <w:r w:rsidR="007A1AEA">
        <w:t xml:space="preserve"> whether the MOA was amended according to its terms.  In light of our conclusion that the </w:t>
      </w:r>
      <w:r w:rsidR="00926758">
        <w:t>corrective action plan</w:t>
      </w:r>
      <w:r w:rsidR="007A1AEA">
        <w:t xml:space="preserve"> constituted a revision of California’s underground injection control program</w:t>
      </w:r>
      <w:r w:rsidR="000E6458">
        <w:t>—of which the MOA is one component—</w:t>
      </w:r>
      <w:r w:rsidR="004F4524">
        <w:t>an additional amendment of the MOA was not necessary</w:t>
      </w:r>
      <w:r w:rsidR="00DD46A7">
        <w:t>.</w:t>
      </w:r>
      <w:r w:rsidR="009D3DC7">
        <w:t xml:space="preserve">  </w:t>
      </w:r>
      <w:r w:rsidR="00E326B2">
        <w:t>In any event</w:t>
      </w:r>
      <w:r w:rsidR="00DE1597">
        <w:t>, we agree with Respondents that the MOA was likely amended</w:t>
      </w:r>
      <w:r w:rsidR="00181F63">
        <w:t xml:space="preserve"> by the same correspondence that effected the program revision</w:t>
      </w:r>
      <w:r w:rsidR="00DE1597">
        <w:t xml:space="preserve">.  </w:t>
      </w:r>
      <w:r w:rsidR="004714D9">
        <w:t xml:space="preserve">The MOA provides: </w:t>
      </w:r>
      <w:r w:rsidR="000D4E20">
        <w:t>“This Agreement may be modified upon the initiative of either party in order to ensure consistency with State or Federal statutory or regulatory modifications or suppleme</w:t>
      </w:r>
      <w:r w:rsidR="00715391">
        <w:t>nts, or for any other purpose m</w:t>
      </w:r>
      <w:r w:rsidR="000D4E20">
        <w:t>utually agreed upon.  Any such modifications or</w:t>
      </w:r>
      <w:r w:rsidR="005422BA">
        <w:t xml:space="preserve"> supplements must be in writing</w:t>
      </w:r>
      <w:r w:rsidR="000D4E20">
        <w:t xml:space="preserve"> and must be signed by the </w:t>
      </w:r>
      <w:r w:rsidR="00343939">
        <w:t>S</w:t>
      </w:r>
      <w:r w:rsidR="000D4E20">
        <w:t xml:space="preserve">upervisor </w:t>
      </w:r>
      <w:r w:rsidR="00343939">
        <w:t xml:space="preserve">[of the Department] </w:t>
      </w:r>
      <w:r w:rsidR="000D4E20">
        <w:t>and Regional Administrator.”</w:t>
      </w:r>
      <w:r w:rsidR="00EE6387">
        <w:t xml:space="preserve"> </w:t>
      </w:r>
      <w:r w:rsidR="00181F63">
        <w:t xml:space="preserve"> </w:t>
      </w:r>
      <w:r w:rsidR="00583D6D">
        <w:t>Appellant</w:t>
      </w:r>
      <w:r w:rsidR="00FF742E">
        <w:t xml:space="preserve"> </w:t>
      </w:r>
      <w:r w:rsidR="001F15E0">
        <w:t>argues</w:t>
      </w:r>
      <w:r w:rsidR="002F25E4">
        <w:t xml:space="preserve"> no writing was signed by </w:t>
      </w:r>
      <w:r w:rsidR="002F25E4">
        <w:rPr>
          <w:i/>
        </w:rPr>
        <w:t>both</w:t>
      </w:r>
      <w:r w:rsidR="002F25E4">
        <w:t xml:space="preserve"> the Department and </w:t>
      </w:r>
      <w:r w:rsidR="00C15A2F">
        <w:t>EPA</w:t>
      </w:r>
      <w:r w:rsidR="002F25E4">
        <w:t xml:space="preserve">, but it is unclear whether the MOA </w:t>
      </w:r>
      <w:r w:rsidR="005422BA">
        <w:t xml:space="preserve">precludes </w:t>
      </w:r>
      <w:r w:rsidR="007E2D74">
        <w:t xml:space="preserve">amendment by </w:t>
      </w:r>
      <w:r w:rsidR="002F25E4">
        <w:t xml:space="preserve">separate </w:t>
      </w:r>
      <w:r w:rsidR="005422BA">
        <w:t xml:space="preserve">signed </w:t>
      </w:r>
      <w:r w:rsidR="002F25E4">
        <w:t xml:space="preserve">writings.  In any event, </w:t>
      </w:r>
      <w:r w:rsidR="00540AAA">
        <w:t>“[a]</w:t>
      </w:r>
      <w:r w:rsidR="00540AAA" w:rsidRPr="00540AAA">
        <w:t>s a general rule, if a contract provides that a writing is necessary to amend it, the parties may, by their conduct, waive such a provision.</w:t>
      </w:r>
      <w:r w:rsidR="00540AAA">
        <w:t xml:space="preserve">” </w:t>
      </w:r>
      <w:r w:rsidR="00540AAA" w:rsidRPr="00540AAA">
        <w:t xml:space="preserve"> (</w:t>
      </w:r>
      <w:r w:rsidR="00540AAA" w:rsidRPr="00540AAA">
        <w:rPr>
          <w:i/>
        </w:rPr>
        <w:t>Epic Medical Management, LLC v. Paquette</w:t>
      </w:r>
      <w:r w:rsidR="00540AAA" w:rsidRPr="00540AAA">
        <w:t xml:space="preserve"> (2015) 244 Cal.App.4th 504, 512</w:t>
      </w:r>
      <w:r w:rsidR="001572C2">
        <w:t>, fn. 5</w:t>
      </w:r>
      <w:r w:rsidR="00540AAA">
        <w:t xml:space="preserve">.) </w:t>
      </w:r>
    </w:p>
    <w:p w:rsidR="00C74007" w:rsidRDefault="00814AE7" w:rsidP="008730E9">
      <w:pPr>
        <w:spacing w:line="360" w:lineRule="auto"/>
      </w:pPr>
      <w:r>
        <w:tab/>
      </w:r>
      <w:r w:rsidR="00AD0D41">
        <w:t xml:space="preserve">In sum, while the MOA prohibits the Department from permitting injections into nonexempt aquifers, </w:t>
      </w:r>
      <w:r w:rsidR="00C15A2F">
        <w:t>EPA</w:t>
      </w:r>
      <w:r w:rsidR="00AD0D41">
        <w:t xml:space="preserve"> </w:t>
      </w:r>
      <w:r w:rsidR="007B786D">
        <w:t>approved</w:t>
      </w:r>
      <w:r w:rsidR="00AD0D41">
        <w:t xml:space="preserve"> a </w:t>
      </w:r>
      <w:r w:rsidR="00630B95">
        <w:t>nonsubstantial</w:t>
      </w:r>
      <w:r w:rsidR="00AD0D41">
        <w:t xml:space="preserve"> program revision that </w:t>
      </w:r>
      <w:r w:rsidR="00AD278B">
        <w:t xml:space="preserve">temporarily </w:t>
      </w:r>
      <w:r w:rsidR="00AD0D41">
        <w:t>suspended this prohibition in limited, specified circumstances.</w:t>
      </w:r>
      <w:r w:rsidR="00502A70">
        <w:t xml:space="preserve">  The MOA thus does not entitle </w:t>
      </w:r>
      <w:r w:rsidR="00583D6D">
        <w:t>Appellant</w:t>
      </w:r>
      <w:r w:rsidR="00502A70">
        <w:t xml:space="preserve"> to a writ of mandate directing the Department to order all injections into nonexempt aquifers cease immediately.</w:t>
      </w:r>
      <w:r w:rsidR="004B46D4">
        <w:rPr>
          <w:rStyle w:val="FootnoteReference"/>
        </w:rPr>
        <w:footnoteReference w:id="23"/>
      </w:r>
    </w:p>
    <w:p w:rsidR="00641D06" w:rsidRDefault="00641D06" w:rsidP="00641D06">
      <w:pPr>
        <w:spacing w:line="360" w:lineRule="auto"/>
        <w:jc w:val="center"/>
      </w:pPr>
      <w:r>
        <w:t>DISPOSITION</w:t>
      </w:r>
    </w:p>
    <w:p w:rsidR="00CC1BBC" w:rsidRDefault="00BE2606" w:rsidP="008730E9">
      <w:pPr>
        <w:spacing w:line="360" w:lineRule="auto"/>
      </w:pPr>
      <w:r>
        <w:tab/>
        <w:t>The judgment is affirmed.</w:t>
      </w:r>
      <w:r w:rsidR="003737ED">
        <w:t xml:space="preserve">  Respondents shall recover their costs on appeal.</w:t>
      </w:r>
      <w:r w:rsidR="00EB1198">
        <w:t xml:space="preserve"> </w:t>
      </w:r>
    </w:p>
    <w:p w:rsidR="00CC1BBC" w:rsidRDefault="00CC1BBC">
      <w:pPr>
        <w:tabs>
          <w:tab w:val="clear" w:pos="720"/>
        </w:tabs>
        <w:spacing w:after="200" w:line="276" w:lineRule="auto"/>
      </w:pPr>
      <w:r>
        <w:br w:type="page"/>
      </w:r>
    </w:p>
    <w:p w:rsidR="00641D06" w:rsidRDefault="00641D06"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r>
        <w:tab/>
      </w:r>
      <w:r>
        <w:tab/>
      </w:r>
      <w:r>
        <w:tab/>
      </w:r>
      <w:r>
        <w:tab/>
      </w:r>
      <w:r>
        <w:tab/>
      </w:r>
      <w:r>
        <w:tab/>
      </w:r>
      <w:r>
        <w:tab/>
      </w:r>
      <w:r>
        <w:tab/>
      </w:r>
      <w:r>
        <w:tab/>
        <w:t>____________________</w:t>
      </w:r>
    </w:p>
    <w:p w:rsidR="00CC1BBC" w:rsidRDefault="00CC1BBC" w:rsidP="008730E9">
      <w:pPr>
        <w:spacing w:line="360" w:lineRule="auto"/>
      </w:pPr>
      <w:r>
        <w:tab/>
      </w:r>
      <w:r>
        <w:tab/>
      </w:r>
      <w:r>
        <w:tab/>
      </w:r>
      <w:r>
        <w:tab/>
      </w:r>
      <w:r>
        <w:tab/>
      </w:r>
      <w:r>
        <w:tab/>
      </w:r>
      <w:r>
        <w:tab/>
      </w:r>
      <w:r>
        <w:tab/>
      </w:r>
      <w:r>
        <w:tab/>
        <w:t>Jones, P.J.</w:t>
      </w: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r>
        <w:t>We concur:</w:t>
      </w:r>
    </w:p>
    <w:p w:rsidR="00CC1BBC" w:rsidRDefault="00CC1BBC" w:rsidP="008730E9">
      <w:pPr>
        <w:spacing w:line="360" w:lineRule="auto"/>
      </w:pPr>
    </w:p>
    <w:p w:rsidR="00CC1BBC" w:rsidRDefault="00CC1BBC" w:rsidP="008730E9">
      <w:pPr>
        <w:spacing w:line="360" w:lineRule="auto"/>
      </w:pPr>
      <w:r>
        <w:t>____________________</w:t>
      </w:r>
    </w:p>
    <w:p w:rsidR="00CC1BBC" w:rsidRDefault="00CC1BBC" w:rsidP="008730E9">
      <w:pPr>
        <w:spacing w:line="360" w:lineRule="auto"/>
      </w:pPr>
      <w:r>
        <w:t>Needham, J.</w:t>
      </w:r>
    </w:p>
    <w:p w:rsidR="00CC1BBC" w:rsidRDefault="00CC1BBC" w:rsidP="008730E9">
      <w:pPr>
        <w:spacing w:line="360" w:lineRule="auto"/>
      </w:pPr>
    </w:p>
    <w:p w:rsidR="00CC1BBC" w:rsidRDefault="00CC1BBC" w:rsidP="008730E9">
      <w:pPr>
        <w:spacing w:line="360" w:lineRule="auto"/>
      </w:pPr>
      <w:r>
        <w:t>____________________</w:t>
      </w:r>
    </w:p>
    <w:p w:rsidR="00CC1BBC" w:rsidRDefault="00CC1BBC" w:rsidP="008730E9">
      <w:pPr>
        <w:spacing w:line="360" w:lineRule="auto"/>
      </w:pPr>
      <w:r>
        <w:t>Bruiniers, J.</w:t>
      </w: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CC1BBC" w:rsidRDefault="00CC1BBC" w:rsidP="008730E9">
      <w:pPr>
        <w:spacing w:line="360" w:lineRule="auto"/>
      </w:pPr>
    </w:p>
    <w:p w:rsidR="00360D56" w:rsidRDefault="00CC1BBC" w:rsidP="008730E9">
      <w:pPr>
        <w:spacing w:line="360" w:lineRule="auto"/>
      </w:pPr>
      <w:r>
        <w:t>A149896</w:t>
      </w:r>
    </w:p>
    <w:p w:rsidR="00CC1BBC" w:rsidRDefault="00BE1249" w:rsidP="00865E32">
      <w:pPr>
        <w:spacing w:line="240" w:lineRule="auto"/>
      </w:pPr>
      <w:r>
        <w:t>Trial court:</w:t>
      </w:r>
      <w:r>
        <w:tab/>
      </w:r>
      <w:r>
        <w:tab/>
      </w:r>
      <w:r>
        <w:tab/>
      </w:r>
      <w:r>
        <w:tab/>
      </w:r>
      <w:r>
        <w:tab/>
      </w:r>
      <w:r>
        <w:tab/>
      </w:r>
      <w:r w:rsidR="00865E32">
        <w:t>Alameda County Superior Court</w:t>
      </w:r>
    </w:p>
    <w:p w:rsidR="00865E32" w:rsidRDefault="00865E32" w:rsidP="00865E32">
      <w:pPr>
        <w:spacing w:line="240" w:lineRule="auto"/>
      </w:pPr>
    </w:p>
    <w:p w:rsidR="00865E32" w:rsidRDefault="00865E32" w:rsidP="00865E32">
      <w:pPr>
        <w:spacing w:line="240" w:lineRule="auto"/>
      </w:pPr>
      <w:r>
        <w:t>Trial judge:</w:t>
      </w:r>
      <w:r>
        <w:tab/>
      </w:r>
      <w:r>
        <w:tab/>
      </w:r>
      <w:r>
        <w:tab/>
      </w:r>
      <w:r>
        <w:tab/>
      </w:r>
      <w:r>
        <w:tab/>
      </w:r>
      <w:r>
        <w:tab/>
        <w:t>Hon. George C. Hernandez</w:t>
      </w:r>
    </w:p>
    <w:p w:rsidR="00865E32" w:rsidRDefault="00865E32" w:rsidP="00865E32">
      <w:pPr>
        <w:spacing w:line="240" w:lineRule="auto"/>
      </w:pPr>
    </w:p>
    <w:p w:rsidR="00B1474F" w:rsidRDefault="00865E32" w:rsidP="00865E32">
      <w:pPr>
        <w:spacing w:line="240" w:lineRule="auto"/>
      </w:pPr>
      <w:r>
        <w:t>Counsel</w:t>
      </w:r>
      <w:r w:rsidR="00B1474F">
        <w:t>:</w:t>
      </w:r>
    </w:p>
    <w:p w:rsidR="00B1474F" w:rsidRDefault="00B1474F" w:rsidP="00865E32">
      <w:pPr>
        <w:spacing w:line="240" w:lineRule="auto"/>
      </w:pPr>
    </w:p>
    <w:p w:rsidR="00865E32" w:rsidRDefault="00865E32" w:rsidP="00865E32">
      <w:pPr>
        <w:spacing w:line="240" w:lineRule="auto"/>
      </w:pPr>
      <w:r>
        <w:t>Clare Lakewood</w:t>
      </w:r>
      <w:r w:rsidR="00B1474F">
        <w:t xml:space="preserve">, </w:t>
      </w:r>
      <w:r w:rsidR="004C6C4A">
        <w:t>Hollin Kretzmann</w:t>
      </w:r>
      <w:r w:rsidR="00B1474F">
        <w:t xml:space="preserve">, </w:t>
      </w:r>
      <w:r>
        <w:t>Vera Pardee</w:t>
      </w:r>
      <w:r w:rsidR="00B1474F">
        <w:t>, for plaintiff and appellant Center for Biological Diversity.</w:t>
      </w:r>
    </w:p>
    <w:p w:rsidR="00865E32" w:rsidRDefault="00865E32" w:rsidP="00865E32">
      <w:pPr>
        <w:spacing w:line="240" w:lineRule="auto"/>
      </w:pPr>
    </w:p>
    <w:p w:rsidR="00180395" w:rsidRDefault="00865E32" w:rsidP="00865E32">
      <w:pPr>
        <w:spacing w:line="240" w:lineRule="auto"/>
      </w:pPr>
      <w:r>
        <w:t>Xavier Becerra</w:t>
      </w:r>
      <w:r w:rsidR="00B1474F">
        <w:t xml:space="preserve">, </w:t>
      </w:r>
      <w:r>
        <w:t>Attorney General</w:t>
      </w:r>
      <w:r w:rsidR="00B1474F">
        <w:t xml:space="preserve">, </w:t>
      </w:r>
      <w:r>
        <w:t>John A. Saurenman</w:t>
      </w:r>
      <w:r w:rsidR="00B1474F">
        <w:t>, S</w:t>
      </w:r>
      <w:r>
        <w:t>enior Assistant Attorney General</w:t>
      </w:r>
      <w:r w:rsidR="00B1474F">
        <w:t xml:space="preserve">, </w:t>
      </w:r>
      <w:r>
        <w:t>Jennifer W. Rosenfeld</w:t>
      </w:r>
      <w:r w:rsidR="00B1474F">
        <w:t xml:space="preserve">, </w:t>
      </w:r>
      <w:r>
        <w:t>Acting Supervising Deputy</w:t>
      </w:r>
      <w:r w:rsidR="00180395">
        <w:t xml:space="preserve"> Attorney General</w:t>
      </w:r>
      <w:r w:rsidR="00B1474F">
        <w:t xml:space="preserve">, </w:t>
      </w:r>
      <w:r w:rsidR="00180395">
        <w:t>Baine P. Kerr</w:t>
      </w:r>
      <w:r w:rsidR="00B1474F">
        <w:t xml:space="preserve">, </w:t>
      </w:r>
      <w:r w:rsidR="00180395">
        <w:t>Deputy Attorney General</w:t>
      </w:r>
      <w:r w:rsidR="00B1474F">
        <w:t xml:space="preserve"> for defendant and respondent California Department of Conservation, Division of Oil, Gas, and Geothermal Resources.</w:t>
      </w:r>
    </w:p>
    <w:p w:rsidR="00180395" w:rsidRDefault="00180395" w:rsidP="00865E32">
      <w:pPr>
        <w:spacing w:line="240" w:lineRule="auto"/>
      </w:pPr>
    </w:p>
    <w:p w:rsidR="00180395" w:rsidRDefault="004C6C4A" w:rsidP="00865E32">
      <w:pPr>
        <w:spacing w:line="240" w:lineRule="auto"/>
      </w:pPr>
      <w:r>
        <w:t>Gibson, Dunn &amp; Crutcher LLP</w:t>
      </w:r>
      <w:r w:rsidR="00B1474F">
        <w:t xml:space="preserve">, </w:t>
      </w:r>
      <w:r>
        <w:t>Jeffrey D. Dintzer</w:t>
      </w:r>
      <w:r w:rsidR="00B1474F">
        <w:t xml:space="preserve"> and Mat</w:t>
      </w:r>
      <w:r>
        <w:t>thew C. Wickersham</w:t>
      </w:r>
      <w:r w:rsidR="00B1474F">
        <w:t>, for intervener and respondent Aera Energy LLC.</w:t>
      </w:r>
    </w:p>
    <w:p w:rsidR="00180395" w:rsidRDefault="00180395" w:rsidP="00865E32">
      <w:pPr>
        <w:spacing w:line="240" w:lineRule="auto"/>
      </w:pPr>
    </w:p>
    <w:p w:rsidR="004C6C4A" w:rsidRDefault="00180395" w:rsidP="00865E32">
      <w:pPr>
        <w:spacing w:line="240" w:lineRule="auto"/>
      </w:pPr>
      <w:r>
        <w:t>Pillsbury Winthrop Shaw Pittmann LLP</w:t>
      </w:r>
      <w:r w:rsidR="00B1474F">
        <w:t xml:space="preserve">, </w:t>
      </w:r>
      <w:r>
        <w:t>Margaret Rosegay</w:t>
      </w:r>
      <w:r w:rsidR="00B1474F">
        <w:t xml:space="preserve">, </w:t>
      </w:r>
      <w:r w:rsidR="004C6C4A">
        <w:t>Norman F. Carlin</w:t>
      </w:r>
      <w:r w:rsidR="00B1474F">
        <w:t xml:space="preserve"> and </w:t>
      </w:r>
      <w:r w:rsidR="004C6C4A">
        <w:t>Blaine I. Green</w:t>
      </w:r>
      <w:r w:rsidR="00B1474F">
        <w:t xml:space="preserve">, for intervener and respondent </w:t>
      </w:r>
      <w:r w:rsidR="0026730D">
        <w:t>Western States Petroleum Association et al.</w:t>
      </w: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4C6C4A" w:rsidRDefault="004C6C4A"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26730D" w:rsidRDefault="0026730D" w:rsidP="00865E32">
      <w:pPr>
        <w:spacing w:line="240" w:lineRule="auto"/>
      </w:pPr>
    </w:p>
    <w:p w:rsidR="004C6C4A" w:rsidRDefault="004C6C4A" w:rsidP="00865E32">
      <w:pPr>
        <w:spacing w:line="240" w:lineRule="auto"/>
      </w:pPr>
    </w:p>
    <w:p w:rsidR="004C6C4A" w:rsidRDefault="004C6C4A" w:rsidP="00865E32">
      <w:pPr>
        <w:spacing w:line="240" w:lineRule="auto"/>
      </w:pPr>
      <w:r>
        <w:t>A149896</w:t>
      </w:r>
    </w:p>
    <w:sectPr w:rsidR="004C6C4A" w:rsidSect="008730E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B4" w:rsidRDefault="006B65B4" w:rsidP="008730E9">
      <w:pPr>
        <w:spacing w:line="240" w:lineRule="auto"/>
      </w:pPr>
      <w:r>
        <w:separator/>
      </w:r>
    </w:p>
  </w:endnote>
  <w:endnote w:type="continuationSeparator" w:id="0">
    <w:p w:rsidR="006B65B4" w:rsidRDefault="006B65B4" w:rsidP="00873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6D" w:rsidRDefault="00583D6D" w:rsidP="00885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83D6D" w:rsidRDefault="00583D6D" w:rsidP="00885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83D6D" w:rsidRDefault="00583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6D" w:rsidRDefault="00583D6D" w:rsidP="008730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7C28">
      <w:rPr>
        <w:rStyle w:val="PageNumber"/>
        <w:noProof/>
      </w:rPr>
      <w:t>1</w:t>
    </w:r>
    <w:r>
      <w:rPr>
        <w:rStyle w:val="PageNumber"/>
      </w:rPr>
      <w:fldChar w:fldCharType="end"/>
    </w:r>
  </w:p>
  <w:p w:rsidR="00583D6D" w:rsidRDefault="0058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B4" w:rsidRDefault="006B65B4" w:rsidP="008730E9">
      <w:pPr>
        <w:spacing w:line="240" w:lineRule="auto"/>
      </w:pPr>
      <w:r>
        <w:separator/>
      </w:r>
    </w:p>
  </w:footnote>
  <w:footnote w:type="continuationSeparator" w:id="0">
    <w:p w:rsidR="006B65B4" w:rsidRDefault="006B65B4" w:rsidP="008730E9">
      <w:pPr>
        <w:spacing w:line="240" w:lineRule="auto"/>
      </w:pPr>
      <w:r>
        <w:continuationSeparator/>
      </w:r>
    </w:p>
  </w:footnote>
  <w:footnote w:id="1">
    <w:p w:rsidR="006F6ECB" w:rsidRDefault="006F6ECB" w:rsidP="00D527B9">
      <w:pPr>
        <w:pStyle w:val="FootnoteText"/>
      </w:pPr>
      <w:r>
        <w:rPr>
          <w:rStyle w:val="FootnoteReference"/>
        </w:rPr>
        <w:footnoteRef/>
      </w:r>
      <w:r>
        <w:t xml:space="preserve"> “</w:t>
      </w:r>
      <w:r w:rsidR="00A129F5">
        <w:t xml:space="preserve"> ‘</w:t>
      </w:r>
      <w:r>
        <w:t>Underground injection</w:t>
      </w:r>
      <w:r w:rsidR="00A129F5">
        <w:t xml:space="preserve">’ </w:t>
      </w:r>
      <w:r>
        <w:t>” is defined as “the subsurface emplacement of fluids by well injection.”  (4</w:t>
      </w:r>
      <w:r w:rsidR="00A129F5">
        <w:t>2 U.S.C. § 300h, subd. (d)(1)</w:t>
      </w:r>
      <w:r>
        <w:t xml:space="preserve">.)  </w:t>
      </w:r>
      <w:r w:rsidR="00D527B9">
        <w:t xml:space="preserve">As relevant here, such fluids include those brought to the surface in connection with oil or gas production and those used for enhanced oil or gas recovery.  </w:t>
      </w:r>
      <w:r>
        <w:t>(40 C.F.R. § 146.5</w:t>
      </w:r>
      <w:r w:rsidR="00D527B9">
        <w:t>(b)</w:t>
      </w:r>
      <w:r>
        <w:t>.)</w:t>
      </w:r>
    </w:p>
  </w:footnote>
  <w:footnote w:id="2">
    <w:p w:rsidR="00D527B9" w:rsidRDefault="00D527B9" w:rsidP="00D527B9">
      <w:pPr>
        <w:pStyle w:val="FootnoteText"/>
      </w:pPr>
      <w:r>
        <w:rPr>
          <w:rStyle w:val="FootnoteReference"/>
        </w:rPr>
        <w:footnoteRef/>
      </w:r>
      <w:r>
        <w:t xml:space="preserve"> </w:t>
      </w:r>
      <w:r w:rsidR="00980752">
        <w:t>A state program</w:t>
      </w:r>
      <w:r>
        <w:t xml:space="preserve"> may also “</w:t>
      </w:r>
      <w:r w:rsidRPr="00707204">
        <w:t>authorize underground injection by rule</w:t>
      </w:r>
      <w:r>
        <w:t>,” instead of by permit.  (42 U.S.C. § 300h, subd. (b)(1)(A).)</w:t>
      </w:r>
    </w:p>
  </w:footnote>
  <w:footnote w:id="3">
    <w:p w:rsidR="00583D6D" w:rsidRDefault="00583D6D">
      <w:pPr>
        <w:pStyle w:val="FootnoteText"/>
      </w:pPr>
      <w:r>
        <w:rPr>
          <w:rStyle w:val="FootnoteReference"/>
        </w:rPr>
        <w:footnoteRef/>
      </w:r>
      <w:r>
        <w:t xml:space="preserve"> </w:t>
      </w:r>
      <w:r w:rsidRPr="00A1361C">
        <w:t>“Aquifer means a geological ‘formation,’ group of formations, or part of a formation that is capable of yielding a significant amount of water to a well or spring.”  (40 C.F.R. § 144.3.)</w:t>
      </w:r>
      <w:r>
        <w:t xml:space="preserve">  </w:t>
      </w:r>
    </w:p>
  </w:footnote>
  <w:footnote w:id="4">
    <w:p w:rsidR="00583D6D" w:rsidRDefault="00583D6D">
      <w:pPr>
        <w:pStyle w:val="FootnoteText"/>
      </w:pPr>
      <w:r>
        <w:rPr>
          <w:rStyle w:val="FootnoteReference"/>
        </w:rPr>
        <w:footnoteRef/>
      </w:r>
      <w:r>
        <w:t xml:space="preserve"> </w:t>
      </w:r>
      <w:r w:rsidRPr="00A1361C">
        <w:t>“</w:t>
      </w:r>
      <w:r w:rsidRPr="00A129F5">
        <w:rPr>
          <w:i/>
        </w:rPr>
        <w:t>Underground source of drinking water (USDW)</w:t>
      </w:r>
      <w:r w:rsidRPr="00A1361C">
        <w:t xml:space="preserve"> means an aquifer or its portion: [¶] (a)(1) Which supplies any public water system; or [¶] (2) Which contains a sufficient quantity of ground water to supply a public water system; and [¶] (i) Currently supplies drinking water for human consumption; or [¶] (ii) Contains fewer than 10,000 mg/l total dissolved solids; and [¶] (b) Which is not an exempted aquifer.”  (40 C.F.R. § 144.3.)  </w:t>
      </w:r>
    </w:p>
  </w:footnote>
  <w:footnote w:id="5">
    <w:p w:rsidR="00583D6D" w:rsidRDefault="00583D6D" w:rsidP="00FF2F22">
      <w:pPr>
        <w:pStyle w:val="FootnoteText"/>
      </w:pPr>
      <w:r>
        <w:rPr>
          <w:rStyle w:val="FootnoteReference"/>
        </w:rPr>
        <w:footnoteRef/>
      </w:r>
      <w:r>
        <w:t xml:space="preserve"> An aquifer may be exempted if “</w:t>
      </w:r>
      <w:r w:rsidRPr="00060D45">
        <w:t xml:space="preserve">(a) It does not currently serve as a source of drinking water; and </w:t>
      </w:r>
      <w:r>
        <w:t>[¶] (b) It cannot now and will not in the future serve as a source of drinking water because: [¶] (1) 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 [¶] (2) It is situated at a depth or location which makes recovery of water for drinking water purposes economically or technologically impractical; [¶] (3) It is so contaminated that it would be economically or technologically impractical to render that water fit for human consumption; or [¶] (4) It is located over a Class III well mining area subject to subsidence or catastrophic collapse; or [¶] (c) The total dissolved solids content of the ground water is more than 3,000 and less than 10,000 mg/l and it is not reasonably expected to supply a public water system.”  (40 C.F.R. § 146.4.)</w:t>
      </w:r>
    </w:p>
  </w:footnote>
  <w:footnote w:id="6">
    <w:p w:rsidR="00583D6D" w:rsidRDefault="00583D6D">
      <w:pPr>
        <w:pStyle w:val="FootnoteText"/>
      </w:pPr>
      <w:r>
        <w:rPr>
          <w:rStyle w:val="FootnoteReference"/>
        </w:rPr>
        <w:footnoteRef/>
      </w:r>
      <w:r>
        <w:t xml:space="preserve"> At the time, the Department was called the Division of Oil and Gas.  (See S</w:t>
      </w:r>
      <w:r w:rsidRPr="008D6FF8">
        <w:t>tats.</w:t>
      </w:r>
      <w:r>
        <w:t xml:space="preserve"> </w:t>
      </w:r>
      <w:r w:rsidRPr="008D6FF8">
        <w:t>1992, c</w:t>
      </w:r>
      <w:r>
        <w:t>h</w:t>
      </w:r>
      <w:r w:rsidRPr="008D6FF8">
        <w:t>. 999</w:t>
      </w:r>
      <w:r>
        <w:t>, § </w:t>
      </w:r>
      <w:r w:rsidR="002A30E4">
        <w:t>2</w:t>
      </w:r>
      <w:r>
        <w:t xml:space="preserve"> [changing name to Division of Oil, Gas, and Geothermal Resources].)</w:t>
      </w:r>
    </w:p>
  </w:footnote>
  <w:footnote w:id="7">
    <w:p w:rsidR="0074454E" w:rsidRDefault="0074454E" w:rsidP="0074454E">
      <w:pPr>
        <w:pStyle w:val="FootnoteText"/>
      </w:pPr>
      <w:r>
        <w:rPr>
          <w:rStyle w:val="FootnoteReference"/>
        </w:rPr>
        <w:footnoteRef/>
      </w:r>
      <w:r>
        <w:t xml:space="preserve"> The MOA incorporates the definition of Class II wells set forth in EPA’s regulations as wells associated with oil and gas production.  (See 40 C.F.R. § 146.5(b).) </w:t>
      </w:r>
    </w:p>
  </w:footnote>
  <w:footnote w:id="8">
    <w:p w:rsidR="00583D6D" w:rsidRDefault="00583D6D">
      <w:pPr>
        <w:pStyle w:val="FootnoteText"/>
      </w:pPr>
      <w:r>
        <w:rPr>
          <w:rStyle w:val="FootnoteReference"/>
        </w:rPr>
        <w:footnoteRef/>
      </w:r>
      <w:r>
        <w:t xml:space="preserve"> The </w:t>
      </w:r>
      <w:r w:rsidRPr="006A2DFD">
        <w:t>State Water Resources Control Board</w:t>
      </w:r>
      <w:r>
        <w:t xml:space="preserve"> (Water Board) worked in conjunction with the Department on the development and implementation of this plan. </w:t>
      </w:r>
    </w:p>
  </w:footnote>
  <w:footnote w:id="9">
    <w:p w:rsidR="00A12C41" w:rsidRDefault="00A12C41">
      <w:pPr>
        <w:pStyle w:val="FootnoteText"/>
      </w:pPr>
      <w:r>
        <w:rPr>
          <w:rStyle w:val="FootnoteReference"/>
        </w:rPr>
        <w:footnoteRef/>
      </w:r>
      <w:r>
        <w:t xml:space="preserve"> The</w:t>
      </w:r>
      <w:r w:rsidR="00624114">
        <w:t xml:space="preserve"> Department began issuing </w:t>
      </w:r>
      <w:r>
        <w:t xml:space="preserve">cessation orders </w:t>
      </w:r>
      <w:r w:rsidR="00624114">
        <w:t xml:space="preserve">in </w:t>
      </w:r>
      <w:r>
        <w:t xml:space="preserve">2014. </w:t>
      </w:r>
    </w:p>
  </w:footnote>
  <w:footnote w:id="10">
    <w:p w:rsidR="00583D6D" w:rsidRDefault="00583D6D">
      <w:pPr>
        <w:pStyle w:val="FootnoteText"/>
      </w:pPr>
      <w:r>
        <w:rPr>
          <w:rStyle w:val="FootnoteReference"/>
        </w:rPr>
        <w:footnoteRef/>
      </w:r>
      <w:r>
        <w:t xml:space="preserve"> The exemption process </w:t>
      </w:r>
      <w:r w:rsidR="009E6C22">
        <w:t xml:space="preserve">begins when the </w:t>
      </w:r>
      <w:r w:rsidR="008006EF">
        <w:t>operator submits a lengthy, technical application to the Department.  T</w:t>
      </w:r>
      <w:r w:rsidR="007B1399" w:rsidRPr="008018DE">
        <w:t xml:space="preserve">he Department and the Water Board determine whether the application merits consideration by </w:t>
      </w:r>
      <w:r w:rsidR="007B1399">
        <w:t>EPA; if so, a public comment period and hearing must be provided</w:t>
      </w:r>
      <w:r w:rsidRPr="008018DE">
        <w:t>.  (Pub. Resources Code, §</w:t>
      </w:r>
      <w:r w:rsidR="00D6098B">
        <w:t> </w:t>
      </w:r>
      <w:r w:rsidRPr="008018DE">
        <w:t>3131</w:t>
      </w:r>
      <w:r w:rsidR="007B1399">
        <w:t>, subd. (b)</w:t>
      </w:r>
      <w:r w:rsidRPr="008018DE">
        <w:t>.)</w:t>
      </w:r>
      <w:r>
        <w:t xml:space="preserve">  </w:t>
      </w:r>
      <w:r w:rsidR="00400570">
        <w:t>A</w:t>
      </w:r>
      <w:r w:rsidR="00CC18DC">
        <w:t>fter considering the public comments,</w:t>
      </w:r>
      <w:r w:rsidR="00D6098B">
        <w:t xml:space="preserve"> </w:t>
      </w:r>
      <w:r w:rsidR="00400570">
        <w:t xml:space="preserve">if </w:t>
      </w:r>
      <w:r w:rsidR="00F6127C">
        <w:t xml:space="preserve">the Department </w:t>
      </w:r>
      <w:r w:rsidR="00D6098B">
        <w:t xml:space="preserve">and Water Board still consider the application meritorious, </w:t>
      </w:r>
      <w:r w:rsidR="00BE330A">
        <w:t xml:space="preserve">the Department </w:t>
      </w:r>
      <w:r w:rsidR="00D6098B">
        <w:t>submit</w:t>
      </w:r>
      <w:r w:rsidR="00BE330A">
        <w:t>s</w:t>
      </w:r>
      <w:r w:rsidR="00D6098B">
        <w:t xml:space="preserve"> it </w:t>
      </w:r>
      <w:r w:rsidR="00F6127C">
        <w:t xml:space="preserve">to </w:t>
      </w:r>
      <w:r w:rsidRPr="008018DE">
        <w:t>EPA</w:t>
      </w:r>
      <w:r w:rsidR="00E82024">
        <w:t>.</w:t>
      </w:r>
      <w:r w:rsidR="00F6127C">
        <w:t xml:space="preserve"> </w:t>
      </w:r>
      <w:r w:rsidR="00E82024">
        <w:t xml:space="preserve"> </w:t>
      </w:r>
      <w:r w:rsidRPr="008018DE">
        <w:t>(</w:t>
      </w:r>
      <w:r w:rsidR="007B1399">
        <w:rPr>
          <w:i/>
        </w:rPr>
        <w:t>Id.</w:t>
      </w:r>
      <w:r w:rsidR="007B1399">
        <w:t>, subd. (c)</w:t>
      </w:r>
      <w:r w:rsidR="00E82024">
        <w:t xml:space="preserve">.)  EPA then </w:t>
      </w:r>
      <w:r w:rsidR="00E82024" w:rsidRPr="008018DE">
        <w:t xml:space="preserve">conducts its own review.  </w:t>
      </w:r>
      <w:r w:rsidR="00E82024">
        <w:t>(</w:t>
      </w:r>
      <w:r w:rsidRPr="008018DE">
        <w:t>40 C.F.R. § 144.7(b).)</w:t>
      </w:r>
    </w:p>
  </w:footnote>
  <w:footnote w:id="11">
    <w:p w:rsidR="00B74B13" w:rsidRDefault="00B74B13">
      <w:pPr>
        <w:pStyle w:val="FootnoteText"/>
      </w:pPr>
      <w:r>
        <w:rPr>
          <w:rStyle w:val="FootnoteReference"/>
        </w:rPr>
        <w:footnoteRef/>
      </w:r>
      <w:r>
        <w:t xml:space="preserve"> </w:t>
      </w:r>
      <w:r w:rsidR="00F009B3" w:rsidRPr="00F009B3">
        <w:t xml:space="preserve">The Department </w:t>
      </w:r>
      <w:r w:rsidR="00F009B3">
        <w:t>subsequently</w:t>
      </w:r>
      <w:r w:rsidR="00F009B3" w:rsidRPr="00F009B3">
        <w:t xml:space="preserve"> </w:t>
      </w:r>
      <w:r w:rsidR="00A36880">
        <w:t>determined</w:t>
      </w:r>
      <w:r w:rsidR="00F009B3">
        <w:t xml:space="preserve"> </w:t>
      </w:r>
      <w:r w:rsidR="00F009B3" w:rsidRPr="00F009B3">
        <w:t xml:space="preserve">approximately 175 wells </w:t>
      </w:r>
      <w:r w:rsidR="00A36880">
        <w:t xml:space="preserve">were </w:t>
      </w:r>
      <w:r w:rsidR="00F009B3" w:rsidRPr="00F009B3">
        <w:t xml:space="preserve">subject to the first two deadlines and </w:t>
      </w:r>
      <w:r w:rsidR="00F009B3">
        <w:t xml:space="preserve">more than </w:t>
      </w:r>
      <w:r w:rsidR="00F009B3" w:rsidRPr="00F009B3">
        <w:t>5,</w:t>
      </w:r>
      <w:r w:rsidR="00F009B3">
        <w:t>5</w:t>
      </w:r>
      <w:r w:rsidR="00F009B3" w:rsidRPr="00F009B3">
        <w:t xml:space="preserve">00 </w:t>
      </w:r>
      <w:r w:rsidR="00A36880">
        <w:t xml:space="preserve">were </w:t>
      </w:r>
      <w:r w:rsidR="00F009B3" w:rsidRPr="00F009B3">
        <w:t xml:space="preserve">subject to the third deadline. </w:t>
      </w:r>
    </w:p>
  </w:footnote>
  <w:footnote w:id="12">
    <w:p w:rsidR="00583D6D" w:rsidRDefault="00583D6D">
      <w:pPr>
        <w:pStyle w:val="FootnoteText"/>
      </w:pPr>
      <w:r>
        <w:rPr>
          <w:rStyle w:val="FootnoteReference"/>
        </w:rPr>
        <w:footnoteRef/>
      </w:r>
      <w:r>
        <w:t xml:space="preserve"> </w:t>
      </w:r>
      <w:r w:rsidR="0052370D" w:rsidRPr="0052370D">
        <w:t xml:space="preserve">Appellant also </w:t>
      </w:r>
      <w:r w:rsidR="0052370D">
        <w:t xml:space="preserve">challenged </w:t>
      </w:r>
      <w:r w:rsidR="0052370D" w:rsidRPr="0052370D">
        <w:t>the emergency regulations (which had not yet been replaced by permanent regulations).</w:t>
      </w:r>
      <w:r w:rsidR="0052370D">
        <w:t xml:space="preserve">  Appellant does not pursue </w:t>
      </w:r>
      <w:r w:rsidR="00170682">
        <w:t xml:space="preserve">this </w:t>
      </w:r>
      <w:r w:rsidR="0052370D">
        <w:t xml:space="preserve">challenge on appeal. </w:t>
      </w:r>
      <w:r w:rsidR="00B505CB">
        <w:t xml:space="preserve"> The Sierra Club was an additional plaintiff below but is not a party to this appeal.  </w:t>
      </w:r>
    </w:p>
  </w:footnote>
  <w:footnote w:id="13">
    <w:p w:rsidR="00583D6D" w:rsidRDefault="00583D6D">
      <w:pPr>
        <w:pStyle w:val="FootnoteText"/>
      </w:pPr>
      <w:r>
        <w:rPr>
          <w:rStyle w:val="FootnoteReference"/>
        </w:rPr>
        <w:footnoteRef/>
      </w:r>
      <w:r>
        <w:t xml:space="preserve"> </w:t>
      </w:r>
      <w:r w:rsidR="00072E91">
        <w:t>We refer to Intervenors and the Department collectively as Respondents.  One of the energy companies has been dismissed as a party to this appeal</w:t>
      </w:r>
      <w:r>
        <w:t xml:space="preserve">. </w:t>
      </w:r>
    </w:p>
  </w:footnote>
  <w:footnote w:id="14">
    <w:p w:rsidR="00CB2F0C" w:rsidRDefault="00CB2F0C" w:rsidP="00CB2F0C">
      <w:pPr>
        <w:pStyle w:val="FootnoteText"/>
      </w:pPr>
      <w:r>
        <w:rPr>
          <w:rStyle w:val="FootnoteReference"/>
        </w:rPr>
        <w:footnoteRef/>
      </w:r>
      <w:r>
        <w:t xml:space="preserve"> Although no party argues the appeal is moot, </w:t>
      </w:r>
      <w:r w:rsidRPr="00882C6A">
        <w:t>“the court may examine a suggestion of mootness on its own motion.”  (</w:t>
      </w:r>
      <w:r w:rsidRPr="00882C6A">
        <w:rPr>
          <w:i/>
        </w:rPr>
        <w:t>Building a Better Redondo, Inc. v. City of Redondo Beach</w:t>
      </w:r>
      <w:r w:rsidRPr="00882C6A">
        <w:t xml:space="preserve"> (2012) 203 Cal.App.4th 852, 865.)</w:t>
      </w:r>
    </w:p>
  </w:footnote>
  <w:footnote w:id="15">
    <w:p w:rsidR="00AC04CD" w:rsidRDefault="00AC04CD" w:rsidP="00AC04CD">
      <w:pPr>
        <w:pStyle w:val="FootnoteText"/>
      </w:pPr>
      <w:r>
        <w:rPr>
          <w:rStyle w:val="FootnoteReference"/>
        </w:rPr>
        <w:footnoteRef/>
      </w:r>
      <w:r>
        <w:t xml:space="preserve"> The additional documentary evidence is a January 17, 2017 letter from the Department and the Water Board to EPA; a January 25, 2017 letter from EPA to the Department and the Water Board; a March 7, 2017 letter from the Department to EPA; a March 16, 2017 letter from the Department and the Water Board to EPA, and a May 10, 2017 letter from the Department and the Water Board to EPA.  We deny the parties’ alternative requests that we take judicial notice of the same documents.  We deny as irrelevant the parties’ requests that we take judicial notice of filings in a separate litigation. </w:t>
      </w:r>
    </w:p>
  </w:footnote>
  <w:footnote w:id="16">
    <w:p w:rsidR="00914D13" w:rsidRDefault="00914D13">
      <w:pPr>
        <w:pStyle w:val="FootnoteText"/>
      </w:pPr>
      <w:r>
        <w:rPr>
          <w:rStyle w:val="FootnoteReference"/>
        </w:rPr>
        <w:footnoteRef/>
      </w:r>
      <w:r>
        <w:t xml:space="preserve"> The </w:t>
      </w:r>
      <w:r w:rsidR="00347573">
        <w:t xml:space="preserve">Act defines </w:t>
      </w:r>
      <w:r>
        <w:t xml:space="preserve">endangering </w:t>
      </w:r>
      <w:r w:rsidRPr="00914D13">
        <w:t>drinking water sources</w:t>
      </w:r>
      <w:r w:rsidR="00C45F25">
        <w:t xml:space="preserve"> </w:t>
      </w:r>
      <w:r w:rsidR="00347573">
        <w:t xml:space="preserve">as </w:t>
      </w:r>
      <w:r>
        <w:t>injections into “</w:t>
      </w:r>
      <w:r w:rsidRPr="00914D13">
        <w:t>underground water which supplies or can reasonably be expected to supply any public water system</w:t>
      </w:r>
      <w:r>
        <w:t>”</w:t>
      </w:r>
      <w:r w:rsidRPr="00914D13">
        <w:t xml:space="preserve"> </w:t>
      </w:r>
      <w:r w:rsidR="004129C3">
        <w:t xml:space="preserve">and </w:t>
      </w:r>
      <w:r>
        <w:t>which may “</w:t>
      </w:r>
      <w:r w:rsidRPr="00914D13">
        <w:t xml:space="preserve">adversely affect the health of persons.”  (42 U.S.C. § 300h, subd. (d)(2).)  </w:t>
      </w:r>
      <w:r w:rsidR="00347573">
        <w:t>As noted above, the Department concluded many of the nonexempt aquifers likely met the criteria for exemption</w:t>
      </w:r>
      <w:r w:rsidR="006D2BB1">
        <w:t xml:space="preserve">; they </w:t>
      </w:r>
      <w:r w:rsidR="00347573">
        <w:t xml:space="preserve">thus could not reasonably be expected to supply a public water system.  </w:t>
      </w:r>
      <w:r w:rsidR="005E2C7C">
        <w:t xml:space="preserve">Although Appellant argues generally that </w:t>
      </w:r>
      <w:r w:rsidR="00862A39" w:rsidRPr="00862A39">
        <w:t>injections caused harmful contamination of nonexempt aquifers</w:t>
      </w:r>
      <w:r w:rsidR="00862A39">
        <w:t xml:space="preserve">, Appellant does not contend any actual or </w:t>
      </w:r>
      <w:r w:rsidR="0064183A">
        <w:t xml:space="preserve">reasonably </w:t>
      </w:r>
      <w:r w:rsidR="00862A39">
        <w:t>potential drinking water sources were harmed</w:t>
      </w:r>
      <w:r w:rsidR="00862A39" w:rsidRPr="00862A39">
        <w:t>.</w:t>
      </w:r>
    </w:p>
  </w:footnote>
  <w:footnote w:id="17">
    <w:p w:rsidR="00583D6D" w:rsidRDefault="00583D6D" w:rsidP="00765F0C">
      <w:pPr>
        <w:pStyle w:val="FootnoteText"/>
      </w:pPr>
      <w:r>
        <w:rPr>
          <w:rStyle w:val="FootnoteReference"/>
        </w:rPr>
        <w:footnoteRef/>
      </w:r>
      <w:r>
        <w:t xml:space="preserve"> This conclusion renders it unnecessary for us to decide whether, as Respondents contend, Appellant lacks standing to enforce the MOA and/or lacks a beneficial interest in the MOA. </w:t>
      </w:r>
    </w:p>
  </w:footnote>
  <w:footnote w:id="18">
    <w:p w:rsidR="00583D6D" w:rsidRDefault="00583D6D">
      <w:pPr>
        <w:pStyle w:val="FootnoteText"/>
      </w:pPr>
      <w:r>
        <w:rPr>
          <w:rStyle w:val="FootnoteReference"/>
        </w:rPr>
        <w:footnoteRef/>
      </w:r>
      <w:r>
        <w:t xml:space="preserve"> The letter also requested information relating to a 2011 EPA audit of California’s underground injection control program. </w:t>
      </w:r>
    </w:p>
  </w:footnote>
  <w:footnote w:id="19">
    <w:p w:rsidR="00583D6D" w:rsidRDefault="00583D6D">
      <w:pPr>
        <w:pStyle w:val="FootnoteText"/>
      </w:pPr>
      <w:r>
        <w:rPr>
          <w:rStyle w:val="FootnoteReference"/>
        </w:rPr>
        <w:footnoteRef/>
      </w:r>
      <w:r>
        <w:t xml:space="preserve"> Appellant cursorily asserts this reference to a “</w:t>
      </w:r>
      <w:r w:rsidR="00CC1BBC">
        <w:t xml:space="preserve"> ‘</w:t>
      </w:r>
      <w:r>
        <w:t>program revision plan</w:t>
      </w:r>
      <w:r w:rsidR="00CC1BBC">
        <w:t>’ ”</w:t>
      </w:r>
      <w:r>
        <w:t xml:space="preserve"> “was not to a formal revision of California’s </w:t>
      </w:r>
      <w:r w:rsidR="0027772E">
        <w:t xml:space="preserve">UIC </w:t>
      </w:r>
      <w:r>
        <w:t>program pursuant to the regulations, but instead only to [the Department]’s plan to review and address the deficiencies uncovered by</w:t>
      </w:r>
      <w:bookmarkStart w:id="1" w:name="_Hlk521575825"/>
      <w:r>
        <w:t>”</w:t>
      </w:r>
      <w:bookmarkEnd w:id="1"/>
      <w:r>
        <w:t xml:space="preserve"> a 2011 audit by EPA.  Appellant provides no </w:t>
      </w:r>
      <w:r w:rsidR="0027772E">
        <w:t xml:space="preserve">further </w:t>
      </w:r>
      <w:r>
        <w:t xml:space="preserve">analysis or </w:t>
      </w:r>
      <w:r w:rsidR="0027772E">
        <w:t xml:space="preserve">argument on </w:t>
      </w:r>
      <w:r>
        <w:t xml:space="preserve">this contention, which </w:t>
      </w:r>
      <w:r w:rsidR="0027772E">
        <w:t>is not supported by the record</w:t>
      </w:r>
      <w:r>
        <w:t>.</w:t>
      </w:r>
    </w:p>
  </w:footnote>
  <w:footnote w:id="20">
    <w:p w:rsidR="00583D6D" w:rsidRDefault="00583D6D">
      <w:pPr>
        <w:pStyle w:val="FootnoteText"/>
      </w:pPr>
      <w:r>
        <w:rPr>
          <w:rStyle w:val="FootnoteReference"/>
        </w:rPr>
        <w:footnoteRef/>
      </w:r>
      <w:r>
        <w:t xml:space="preserve"> Although the regulations provide the letter be from “</w:t>
      </w:r>
      <w:r w:rsidRPr="000B3282">
        <w:t xml:space="preserve">the </w:t>
      </w:r>
      <w:r>
        <w:t xml:space="preserve">[EPA] </w:t>
      </w:r>
      <w:r w:rsidRPr="000B3282">
        <w:t>Administrator to the State Governor or his designee</w:t>
      </w:r>
      <w:r>
        <w:t xml:space="preserve">” (40 C.F.R. § 145.32(b)(4)), Appellant does not argue </w:t>
      </w:r>
      <w:r w:rsidR="00A16DF9">
        <w:t xml:space="preserve">the </w:t>
      </w:r>
      <w:r>
        <w:t xml:space="preserve">correspondence from EPA’s regional office to the Department failed to constitute a nonsubstantial program revision for that reason.  We note that </w:t>
      </w:r>
      <w:r w:rsidRPr="00A8111D">
        <w:t xml:space="preserve">a 1984 EPA guidance memorandum included in the </w:t>
      </w:r>
      <w:r>
        <w:t xml:space="preserve">record delegates </w:t>
      </w:r>
      <w:r w:rsidRPr="00A8111D">
        <w:t>to Regional Administrators</w:t>
      </w:r>
      <w:r>
        <w:t xml:space="preserve"> the</w:t>
      </w:r>
      <w:r w:rsidRPr="00A8111D">
        <w:t xml:space="preserve"> authority </w:t>
      </w:r>
      <w:r>
        <w:t xml:space="preserve">to approve nonsubstantial </w:t>
      </w:r>
      <w:r w:rsidR="00F236BA">
        <w:t xml:space="preserve">revisions to </w:t>
      </w:r>
      <w:r>
        <w:t>underground injection control program</w:t>
      </w:r>
      <w:r w:rsidR="00F236BA">
        <w:t>s</w:t>
      </w:r>
      <w:r w:rsidRPr="00A8111D">
        <w:t xml:space="preserve">. </w:t>
      </w:r>
    </w:p>
  </w:footnote>
  <w:footnote w:id="21">
    <w:p w:rsidR="00583D6D" w:rsidRDefault="00583D6D">
      <w:pPr>
        <w:pStyle w:val="FootnoteText"/>
      </w:pPr>
      <w:r>
        <w:rPr>
          <w:rStyle w:val="FootnoteReference"/>
        </w:rPr>
        <w:footnoteRef/>
      </w:r>
      <w:r>
        <w:t xml:space="preserve"> EPA concluded the </w:t>
      </w:r>
      <w:r w:rsidRPr="00975681">
        <w:t xml:space="preserve">status of Section 8 was in dispute, </w:t>
      </w:r>
      <w:r>
        <w:t xml:space="preserve">triggering </w:t>
      </w:r>
      <w:r w:rsidRPr="00975681">
        <w:t xml:space="preserve">an EPA policy providing </w:t>
      </w:r>
      <w:r>
        <w:t xml:space="preserve">that disputed lands will be regulated by </w:t>
      </w:r>
      <w:r w:rsidRPr="00975681">
        <w:t>EPA-administered programs pending the resolution of the dispute.  (</w:t>
      </w:r>
      <w:r w:rsidRPr="007B6C0B">
        <w:rPr>
          <w:i/>
        </w:rPr>
        <w:t>Id</w:t>
      </w:r>
      <w:r w:rsidRPr="00975681">
        <w:t>. at pp. 1233, 1235.)</w:t>
      </w:r>
    </w:p>
  </w:footnote>
  <w:footnote w:id="22">
    <w:p w:rsidR="00583D6D" w:rsidRPr="008C6C73" w:rsidRDefault="00583D6D" w:rsidP="00A2570F">
      <w:pPr>
        <w:pStyle w:val="FootnoteText"/>
      </w:pPr>
      <w:r>
        <w:rPr>
          <w:rStyle w:val="FootnoteReference"/>
        </w:rPr>
        <w:footnoteRef/>
      </w:r>
      <w:r>
        <w:t xml:space="preserve"> Appellant</w:t>
      </w:r>
      <w:r w:rsidRPr="00550642">
        <w:t xml:space="preserve"> argues even if the state program was revised </w:t>
      </w:r>
      <w:r w:rsidR="004E7173">
        <w:t xml:space="preserve">by </w:t>
      </w:r>
      <w:r w:rsidRPr="00550642">
        <w:t>the corrective action plan, the Department is not in compliance with that plan because injections into nonexempt aquifers continued pa</w:t>
      </w:r>
      <w:r w:rsidR="00CC1BBC">
        <w:t>st February 2017.  As noted in p</w:t>
      </w:r>
      <w:r w:rsidRPr="00550642">
        <w:t>art I</w:t>
      </w:r>
      <w:r w:rsidR="00CC1BBC">
        <w:t xml:space="preserve"> of this opinion</w:t>
      </w:r>
      <w:r w:rsidRPr="00550642">
        <w:t xml:space="preserve">, we consider </w:t>
      </w:r>
      <w:r w:rsidR="00B8018A">
        <w:t xml:space="preserve">the </w:t>
      </w:r>
      <w:r w:rsidRPr="00550642">
        <w:t xml:space="preserve">postjudgment evidence that injections continue </w:t>
      </w:r>
      <w:r w:rsidR="00E8200B">
        <w:t xml:space="preserve">past this date </w:t>
      </w:r>
      <w:r w:rsidRPr="00550642">
        <w:t>solely for mootness purposes.</w:t>
      </w:r>
      <w:r>
        <w:t xml:space="preserve">  Even if we were to consider the evidence in considering the merits, </w:t>
      </w:r>
      <w:r w:rsidR="00363E50">
        <w:t xml:space="preserve">however, </w:t>
      </w:r>
      <w:r>
        <w:t xml:space="preserve">we would reject Appellant’s contention.  </w:t>
      </w:r>
      <w:r w:rsidR="00B45F5F">
        <w:t xml:space="preserve">As we have noted, EPA occasionally approved modifications to the original corrective action plan.  In January 2017, the EPA approved </w:t>
      </w:r>
      <w:r w:rsidR="005A6CEB">
        <w:t xml:space="preserve">another </w:t>
      </w:r>
      <w:r w:rsidR="00B45F5F">
        <w:t xml:space="preserve">such modification, allowing </w:t>
      </w:r>
      <w:r>
        <w:t xml:space="preserve">injections into nonexempt aquifers to continue </w:t>
      </w:r>
      <w:r w:rsidR="00A805D9">
        <w:t xml:space="preserve">after February 2017 </w:t>
      </w:r>
      <w:r>
        <w:t>where</w:t>
      </w:r>
      <w:r w:rsidR="00B45F5F">
        <w:t xml:space="preserve"> the Department </w:t>
      </w:r>
      <w:r>
        <w:t>determined that the aquifer met the criteria for exemption</w:t>
      </w:r>
      <w:r w:rsidR="00280154">
        <w:t xml:space="preserve"> but the exemption process was ongoing</w:t>
      </w:r>
      <w:r>
        <w:t xml:space="preserve">.  </w:t>
      </w:r>
      <w:r w:rsidR="000865A7">
        <w:t xml:space="preserve">This is reasonably construed as a </w:t>
      </w:r>
      <w:r>
        <w:t>nonsubstantial program revision modifying the prior program revision.</w:t>
      </w:r>
    </w:p>
  </w:footnote>
  <w:footnote w:id="23">
    <w:p w:rsidR="00583D6D" w:rsidRDefault="00583D6D">
      <w:pPr>
        <w:pStyle w:val="FootnoteText"/>
      </w:pPr>
      <w:r>
        <w:rPr>
          <w:rStyle w:val="FootnoteReference"/>
        </w:rPr>
        <w:footnoteRef/>
      </w:r>
      <w:r>
        <w:t xml:space="preserve"> Because we have concluded Appellant is not entitled to a writ of mandate based on the Act, its regulations, or the MOA, we need not decide additional arguments disputed by the parties: the availability of an adequate legal remedy, the trial court’s jurisdiction to void injection well permits, whether Appellant established prejudice, and whether EPA and/or permit holders are indispensable parties to this litigation.  In addition, for the same reasons that we reject Appellant’s mandamus claim, we reject Appellant’s claim for declaratory relief; we thus need not decide the Department’s contention that Appellant waived this claim.</w:t>
      </w:r>
      <w:r w:rsidR="00573B70">
        <w:t xml:space="preserve">  Finally, Appellant contends some of the injection wells are operating without permits (a contention the Department disputes) in support of its argument that, to the extent the trial court concluded permits cured the lack of exemptions, it erred.  Because we reach no such con</w:t>
      </w:r>
      <w:r w:rsidR="000349A5">
        <w:t>clusion, we need not resolve this</w:t>
      </w:r>
      <w:r w:rsidR="00573B70">
        <w:t xml:space="preserve"> issue.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DF"/>
    <w:rsid w:val="0000142C"/>
    <w:rsid w:val="00001C4A"/>
    <w:rsid w:val="00003C58"/>
    <w:rsid w:val="000041B0"/>
    <w:rsid w:val="000047DA"/>
    <w:rsid w:val="00006703"/>
    <w:rsid w:val="00007B11"/>
    <w:rsid w:val="000104EF"/>
    <w:rsid w:val="00011221"/>
    <w:rsid w:val="0001193B"/>
    <w:rsid w:val="0001286D"/>
    <w:rsid w:val="00014275"/>
    <w:rsid w:val="00014663"/>
    <w:rsid w:val="000148C9"/>
    <w:rsid w:val="00017815"/>
    <w:rsid w:val="00017C80"/>
    <w:rsid w:val="00020DD7"/>
    <w:rsid w:val="0002511A"/>
    <w:rsid w:val="0002548F"/>
    <w:rsid w:val="00025C48"/>
    <w:rsid w:val="00030118"/>
    <w:rsid w:val="00030DB3"/>
    <w:rsid w:val="000349A5"/>
    <w:rsid w:val="000352C3"/>
    <w:rsid w:val="00035977"/>
    <w:rsid w:val="00035A23"/>
    <w:rsid w:val="00036BEF"/>
    <w:rsid w:val="00036DD3"/>
    <w:rsid w:val="000370D5"/>
    <w:rsid w:val="0004099A"/>
    <w:rsid w:val="000428DA"/>
    <w:rsid w:val="00044607"/>
    <w:rsid w:val="00045D67"/>
    <w:rsid w:val="00045E2E"/>
    <w:rsid w:val="00046AAD"/>
    <w:rsid w:val="00047C6C"/>
    <w:rsid w:val="0005058B"/>
    <w:rsid w:val="00050D69"/>
    <w:rsid w:val="00053CBB"/>
    <w:rsid w:val="00055254"/>
    <w:rsid w:val="00055B9C"/>
    <w:rsid w:val="0005652A"/>
    <w:rsid w:val="00056FFA"/>
    <w:rsid w:val="000608BE"/>
    <w:rsid w:val="00060C59"/>
    <w:rsid w:val="00060D45"/>
    <w:rsid w:val="000615F6"/>
    <w:rsid w:val="00061E15"/>
    <w:rsid w:val="000653FC"/>
    <w:rsid w:val="00066FAB"/>
    <w:rsid w:val="000676E7"/>
    <w:rsid w:val="0007036D"/>
    <w:rsid w:val="000721A7"/>
    <w:rsid w:val="00072E91"/>
    <w:rsid w:val="00073B35"/>
    <w:rsid w:val="00073F01"/>
    <w:rsid w:val="0007402A"/>
    <w:rsid w:val="00074322"/>
    <w:rsid w:val="0007432A"/>
    <w:rsid w:val="0007650E"/>
    <w:rsid w:val="00077D07"/>
    <w:rsid w:val="0008018B"/>
    <w:rsid w:val="00080968"/>
    <w:rsid w:val="000819C5"/>
    <w:rsid w:val="000837BF"/>
    <w:rsid w:val="00084761"/>
    <w:rsid w:val="00085595"/>
    <w:rsid w:val="000865A7"/>
    <w:rsid w:val="0009022C"/>
    <w:rsid w:val="000906DB"/>
    <w:rsid w:val="00091648"/>
    <w:rsid w:val="0009519C"/>
    <w:rsid w:val="0009596C"/>
    <w:rsid w:val="00095C88"/>
    <w:rsid w:val="000963CD"/>
    <w:rsid w:val="000974E0"/>
    <w:rsid w:val="000A12E4"/>
    <w:rsid w:val="000A12FB"/>
    <w:rsid w:val="000A1E45"/>
    <w:rsid w:val="000A2162"/>
    <w:rsid w:val="000A2552"/>
    <w:rsid w:val="000A3047"/>
    <w:rsid w:val="000A5E83"/>
    <w:rsid w:val="000A702E"/>
    <w:rsid w:val="000B0F0A"/>
    <w:rsid w:val="000B3282"/>
    <w:rsid w:val="000B50FA"/>
    <w:rsid w:val="000C044B"/>
    <w:rsid w:val="000C0947"/>
    <w:rsid w:val="000C1455"/>
    <w:rsid w:val="000C219D"/>
    <w:rsid w:val="000C24DB"/>
    <w:rsid w:val="000C385E"/>
    <w:rsid w:val="000C6F24"/>
    <w:rsid w:val="000D138D"/>
    <w:rsid w:val="000D1BDE"/>
    <w:rsid w:val="000D4E20"/>
    <w:rsid w:val="000D55D6"/>
    <w:rsid w:val="000D68EA"/>
    <w:rsid w:val="000D7325"/>
    <w:rsid w:val="000E1AD8"/>
    <w:rsid w:val="000E2229"/>
    <w:rsid w:val="000E2AE7"/>
    <w:rsid w:val="000E37F8"/>
    <w:rsid w:val="000E6458"/>
    <w:rsid w:val="000E719A"/>
    <w:rsid w:val="000F0751"/>
    <w:rsid w:val="000F4C7C"/>
    <w:rsid w:val="000F526C"/>
    <w:rsid w:val="000F78B5"/>
    <w:rsid w:val="00101118"/>
    <w:rsid w:val="00102205"/>
    <w:rsid w:val="0011148B"/>
    <w:rsid w:val="00111519"/>
    <w:rsid w:val="00111B0E"/>
    <w:rsid w:val="001123AA"/>
    <w:rsid w:val="00112982"/>
    <w:rsid w:val="00114274"/>
    <w:rsid w:val="00116DD8"/>
    <w:rsid w:val="0011765F"/>
    <w:rsid w:val="0011784F"/>
    <w:rsid w:val="00117857"/>
    <w:rsid w:val="001236BE"/>
    <w:rsid w:val="00123C0A"/>
    <w:rsid w:val="001243D3"/>
    <w:rsid w:val="00125661"/>
    <w:rsid w:val="00125D7C"/>
    <w:rsid w:val="00125DFC"/>
    <w:rsid w:val="00125E06"/>
    <w:rsid w:val="00125EB4"/>
    <w:rsid w:val="001308E2"/>
    <w:rsid w:val="001313FF"/>
    <w:rsid w:val="001314C8"/>
    <w:rsid w:val="0013186D"/>
    <w:rsid w:val="00132A78"/>
    <w:rsid w:val="00132A89"/>
    <w:rsid w:val="0013384C"/>
    <w:rsid w:val="0013499A"/>
    <w:rsid w:val="00140754"/>
    <w:rsid w:val="00143823"/>
    <w:rsid w:val="001441BD"/>
    <w:rsid w:val="00144208"/>
    <w:rsid w:val="001444A5"/>
    <w:rsid w:val="0014538C"/>
    <w:rsid w:val="001465D0"/>
    <w:rsid w:val="0015094E"/>
    <w:rsid w:val="00150B02"/>
    <w:rsid w:val="00152179"/>
    <w:rsid w:val="001522B6"/>
    <w:rsid w:val="001527CD"/>
    <w:rsid w:val="00152F20"/>
    <w:rsid w:val="00154EB1"/>
    <w:rsid w:val="001572C2"/>
    <w:rsid w:val="00162C21"/>
    <w:rsid w:val="00163561"/>
    <w:rsid w:val="00164CEF"/>
    <w:rsid w:val="00166683"/>
    <w:rsid w:val="00166BAF"/>
    <w:rsid w:val="00167055"/>
    <w:rsid w:val="00170682"/>
    <w:rsid w:val="0017089C"/>
    <w:rsid w:val="00171634"/>
    <w:rsid w:val="001732D3"/>
    <w:rsid w:val="00173C8A"/>
    <w:rsid w:val="00175036"/>
    <w:rsid w:val="0017552F"/>
    <w:rsid w:val="0017611F"/>
    <w:rsid w:val="00176FFF"/>
    <w:rsid w:val="0017769A"/>
    <w:rsid w:val="00180395"/>
    <w:rsid w:val="001816E5"/>
    <w:rsid w:val="00181E7B"/>
    <w:rsid w:val="00181F63"/>
    <w:rsid w:val="00182452"/>
    <w:rsid w:val="001854DE"/>
    <w:rsid w:val="001859CC"/>
    <w:rsid w:val="00185A7F"/>
    <w:rsid w:val="001876FE"/>
    <w:rsid w:val="0019193C"/>
    <w:rsid w:val="00192F56"/>
    <w:rsid w:val="001933E1"/>
    <w:rsid w:val="00194612"/>
    <w:rsid w:val="00194699"/>
    <w:rsid w:val="00196B03"/>
    <w:rsid w:val="0019736A"/>
    <w:rsid w:val="001A0161"/>
    <w:rsid w:val="001A24FB"/>
    <w:rsid w:val="001A29F0"/>
    <w:rsid w:val="001A3456"/>
    <w:rsid w:val="001A39FA"/>
    <w:rsid w:val="001A44CF"/>
    <w:rsid w:val="001A7DBB"/>
    <w:rsid w:val="001B0A34"/>
    <w:rsid w:val="001B10D3"/>
    <w:rsid w:val="001B33E2"/>
    <w:rsid w:val="001B474A"/>
    <w:rsid w:val="001B7E61"/>
    <w:rsid w:val="001C0335"/>
    <w:rsid w:val="001C1D6E"/>
    <w:rsid w:val="001C3D5B"/>
    <w:rsid w:val="001C3EF5"/>
    <w:rsid w:val="001C52BB"/>
    <w:rsid w:val="001C661B"/>
    <w:rsid w:val="001C6701"/>
    <w:rsid w:val="001C72DD"/>
    <w:rsid w:val="001C7B8E"/>
    <w:rsid w:val="001C7CFA"/>
    <w:rsid w:val="001C7FEF"/>
    <w:rsid w:val="001D0082"/>
    <w:rsid w:val="001D4408"/>
    <w:rsid w:val="001D4ED5"/>
    <w:rsid w:val="001D5B49"/>
    <w:rsid w:val="001D6654"/>
    <w:rsid w:val="001D7897"/>
    <w:rsid w:val="001E20B3"/>
    <w:rsid w:val="001E3443"/>
    <w:rsid w:val="001E366C"/>
    <w:rsid w:val="001E3A72"/>
    <w:rsid w:val="001E40B4"/>
    <w:rsid w:val="001E51FE"/>
    <w:rsid w:val="001E614A"/>
    <w:rsid w:val="001E6AA8"/>
    <w:rsid w:val="001F0005"/>
    <w:rsid w:val="001F0709"/>
    <w:rsid w:val="001F07B2"/>
    <w:rsid w:val="001F15E0"/>
    <w:rsid w:val="001F2113"/>
    <w:rsid w:val="001F25D9"/>
    <w:rsid w:val="001F79D7"/>
    <w:rsid w:val="00200833"/>
    <w:rsid w:val="00200A3E"/>
    <w:rsid w:val="00200C32"/>
    <w:rsid w:val="00204BB1"/>
    <w:rsid w:val="00206505"/>
    <w:rsid w:val="0020766F"/>
    <w:rsid w:val="0020792D"/>
    <w:rsid w:val="00210643"/>
    <w:rsid w:val="002121C3"/>
    <w:rsid w:val="00212913"/>
    <w:rsid w:val="00212E90"/>
    <w:rsid w:val="00214A30"/>
    <w:rsid w:val="00214E3F"/>
    <w:rsid w:val="00215F48"/>
    <w:rsid w:val="0022000E"/>
    <w:rsid w:val="002211CA"/>
    <w:rsid w:val="002241C5"/>
    <w:rsid w:val="00225073"/>
    <w:rsid w:val="00225CE3"/>
    <w:rsid w:val="00230C47"/>
    <w:rsid w:val="00233FEE"/>
    <w:rsid w:val="00234DAF"/>
    <w:rsid w:val="00235B07"/>
    <w:rsid w:val="00236432"/>
    <w:rsid w:val="002376A8"/>
    <w:rsid w:val="0024095C"/>
    <w:rsid w:val="0024351A"/>
    <w:rsid w:val="00243D4B"/>
    <w:rsid w:val="002443F3"/>
    <w:rsid w:val="00244C4A"/>
    <w:rsid w:val="00255C1F"/>
    <w:rsid w:val="00256271"/>
    <w:rsid w:val="00257287"/>
    <w:rsid w:val="002624F8"/>
    <w:rsid w:val="00263CD4"/>
    <w:rsid w:val="00265BF1"/>
    <w:rsid w:val="0026730D"/>
    <w:rsid w:val="00270B14"/>
    <w:rsid w:val="00270FC8"/>
    <w:rsid w:val="00271128"/>
    <w:rsid w:val="00271246"/>
    <w:rsid w:val="00271FF4"/>
    <w:rsid w:val="00272986"/>
    <w:rsid w:val="0027353A"/>
    <w:rsid w:val="00274820"/>
    <w:rsid w:val="00275D21"/>
    <w:rsid w:val="00275E3A"/>
    <w:rsid w:val="002764EF"/>
    <w:rsid w:val="0027772E"/>
    <w:rsid w:val="00280154"/>
    <w:rsid w:val="00280A70"/>
    <w:rsid w:val="00281FB5"/>
    <w:rsid w:val="002844E7"/>
    <w:rsid w:val="00285A7E"/>
    <w:rsid w:val="00286051"/>
    <w:rsid w:val="0028701F"/>
    <w:rsid w:val="00287819"/>
    <w:rsid w:val="00290E71"/>
    <w:rsid w:val="0029161E"/>
    <w:rsid w:val="002924A3"/>
    <w:rsid w:val="00292F1A"/>
    <w:rsid w:val="002944A2"/>
    <w:rsid w:val="002947A1"/>
    <w:rsid w:val="00296689"/>
    <w:rsid w:val="002A08F4"/>
    <w:rsid w:val="002A093B"/>
    <w:rsid w:val="002A25E4"/>
    <w:rsid w:val="002A2901"/>
    <w:rsid w:val="002A30E4"/>
    <w:rsid w:val="002A3A2B"/>
    <w:rsid w:val="002A5891"/>
    <w:rsid w:val="002B03C1"/>
    <w:rsid w:val="002B04B7"/>
    <w:rsid w:val="002B078C"/>
    <w:rsid w:val="002B176B"/>
    <w:rsid w:val="002B1CCE"/>
    <w:rsid w:val="002B273F"/>
    <w:rsid w:val="002B2C6D"/>
    <w:rsid w:val="002B4E97"/>
    <w:rsid w:val="002C195C"/>
    <w:rsid w:val="002C1FAC"/>
    <w:rsid w:val="002C21DD"/>
    <w:rsid w:val="002C43EB"/>
    <w:rsid w:val="002C4649"/>
    <w:rsid w:val="002C63BD"/>
    <w:rsid w:val="002C6615"/>
    <w:rsid w:val="002C66CA"/>
    <w:rsid w:val="002C6D3E"/>
    <w:rsid w:val="002D2098"/>
    <w:rsid w:val="002D2CB3"/>
    <w:rsid w:val="002D5B65"/>
    <w:rsid w:val="002E05F0"/>
    <w:rsid w:val="002E47AE"/>
    <w:rsid w:val="002E4811"/>
    <w:rsid w:val="002F004C"/>
    <w:rsid w:val="002F0A71"/>
    <w:rsid w:val="002F111F"/>
    <w:rsid w:val="002F1B07"/>
    <w:rsid w:val="002F2007"/>
    <w:rsid w:val="002F25E4"/>
    <w:rsid w:val="002F364C"/>
    <w:rsid w:val="002F3E75"/>
    <w:rsid w:val="002F434D"/>
    <w:rsid w:val="002F614E"/>
    <w:rsid w:val="002F6895"/>
    <w:rsid w:val="002F758B"/>
    <w:rsid w:val="003008F9"/>
    <w:rsid w:val="00301826"/>
    <w:rsid w:val="00302BE4"/>
    <w:rsid w:val="00302F16"/>
    <w:rsid w:val="003039DD"/>
    <w:rsid w:val="00303A11"/>
    <w:rsid w:val="00304044"/>
    <w:rsid w:val="00305D51"/>
    <w:rsid w:val="00307420"/>
    <w:rsid w:val="00310BD2"/>
    <w:rsid w:val="00312167"/>
    <w:rsid w:val="00313B53"/>
    <w:rsid w:val="00314F81"/>
    <w:rsid w:val="00315EB6"/>
    <w:rsid w:val="003166CB"/>
    <w:rsid w:val="003177C1"/>
    <w:rsid w:val="00320781"/>
    <w:rsid w:val="00320EB5"/>
    <w:rsid w:val="003211C5"/>
    <w:rsid w:val="00322E00"/>
    <w:rsid w:val="00323062"/>
    <w:rsid w:val="00326BEF"/>
    <w:rsid w:val="00327843"/>
    <w:rsid w:val="0033214F"/>
    <w:rsid w:val="003324EF"/>
    <w:rsid w:val="003326D6"/>
    <w:rsid w:val="0033292A"/>
    <w:rsid w:val="00340101"/>
    <w:rsid w:val="003410E8"/>
    <w:rsid w:val="0034340B"/>
    <w:rsid w:val="00343939"/>
    <w:rsid w:val="00345EBB"/>
    <w:rsid w:val="00347573"/>
    <w:rsid w:val="00350572"/>
    <w:rsid w:val="0035091B"/>
    <w:rsid w:val="00351D50"/>
    <w:rsid w:val="003534DD"/>
    <w:rsid w:val="00354A26"/>
    <w:rsid w:val="003551DB"/>
    <w:rsid w:val="00357C14"/>
    <w:rsid w:val="003603BD"/>
    <w:rsid w:val="00360D56"/>
    <w:rsid w:val="00361387"/>
    <w:rsid w:val="00362666"/>
    <w:rsid w:val="00362756"/>
    <w:rsid w:val="00363C51"/>
    <w:rsid w:val="00363E50"/>
    <w:rsid w:val="00365070"/>
    <w:rsid w:val="00367F62"/>
    <w:rsid w:val="003737ED"/>
    <w:rsid w:val="00373AA7"/>
    <w:rsid w:val="00375310"/>
    <w:rsid w:val="00375935"/>
    <w:rsid w:val="00375E74"/>
    <w:rsid w:val="00376E16"/>
    <w:rsid w:val="003811C9"/>
    <w:rsid w:val="00381BAE"/>
    <w:rsid w:val="00382219"/>
    <w:rsid w:val="0038243D"/>
    <w:rsid w:val="00383D3F"/>
    <w:rsid w:val="00383E8F"/>
    <w:rsid w:val="0038600B"/>
    <w:rsid w:val="003867FA"/>
    <w:rsid w:val="00387ACB"/>
    <w:rsid w:val="00391104"/>
    <w:rsid w:val="0039149F"/>
    <w:rsid w:val="0039498E"/>
    <w:rsid w:val="00395B38"/>
    <w:rsid w:val="00395CA0"/>
    <w:rsid w:val="003A034F"/>
    <w:rsid w:val="003A1814"/>
    <w:rsid w:val="003A1DC6"/>
    <w:rsid w:val="003A31A5"/>
    <w:rsid w:val="003A38C3"/>
    <w:rsid w:val="003A5050"/>
    <w:rsid w:val="003A73FC"/>
    <w:rsid w:val="003B0BDD"/>
    <w:rsid w:val="003B5CB2"/>
    <w:rsid w:val="003B70B4"/>
    <w:rsid w:val="003B7DBE"/>
    <w:rsid w:val="003C19E5"/>
    <w:rsid w:val="003C1E77"/>
    <w:rsid w:val="003C2CFB"/>
    <w:rsid w:val="003C3887"/>
    <w:rsid w:val="003C397A"/>
    <w:rsid w:val="003C5E03"/>
    <w:rsid w:val="003C7F84"/>
    <w:rsid w:val="003D0F8C"/>
    <w:rsid w:val="003D10B2"/>
    <w:rsid w:val="003D234A"/>
    <w:rsid w:val="003D5AD9"/>
    <w:rsid w:val="003D6CBC"/>
    <w:rsid w:val="003E0A43"/>
    <w:rsid w:val="003E272F"/>
    <w:rsid w:val="003E5946"/>
    <w:rsid w:val="003E5EF0"/>
    <w:rsid w:val="003F309E"/>
    <w:rsid w:val="003F3427"/>
    <w:rsid w:val="003F38C5"/>
    <w:rsid w:val="003F3F05"/>
    <w:rsid w:val="003F66B8"/>
    <w:rsid w:val="003F6926"/>
    <w:rsid w:val="003F77C2"/>
    <w:rsid w:val="00400570"/>
    <w:rsid w:val="0040259A"/>
    <w:rsid w:val="00402D4B"/>
    <w:rsid w:val="00405EC0"/>
    <w:rsid w:val="00407585"/>
    <w:rsid w:val="004106EE"/>
    <w:rsid w:val="00411BB4"/>
    <w:rsid w:val="00411BD8"/>
    <w:rsid w:val="004129C3"/>
    <w:rsid w:val="004133F8"/>
    <w:rsid w:val="00413C3C"/>
    <w:rsid w:val="0041443D"/>
    <w:rsid w:val="004150B9"/>
    <w:rsid w:val="004209B4"/>
    <w:rsid w:val="00424727"/>
    <w:rsid w:val="004275EF"/>
    <w:rsid w:val="004312BF"/>
    <w:rsid w:val="00431E56"/>
    <w:rsid w:val="00434F31"/>
    <w:rsid w:val="00435758"/>
    <w:rsid w:val="0044080B"/>
    <w:rsid w:val="00440AEF"/>
    <w:rsid w:val="00442C0B"/>
    <w:rsid w:val="004433DF"/>
    <w:rsid w:val="00444040"/>
    <w:rsid w:val="00445A65"/>
    <w:rsid w:val="00446FB4"/>
    <w:rsid w:val="00447840"/>
    <w:rsid w:val="0045071C"/>
    <w:rsid w:val="00455D8C"/>
    <w:rsid w:val="00456FBE"/>
    <w:rsid w:val="004577DB"/>
    <w:rsid w:val="00462826"/>
    <w:rsid w:val="00462E16"/>
    <w:rsid w:val="0046435A"/>
    <w:rsid w:val="00464B08"/>
    <w:rsid w:val="00464B75"/>
    <w:rsid w:val="00465F4F"/>
    <w:rsid w:val="00467E11"/>
    <w:rsid w:val="00467E36"/>
    <w:rsid w:val="00467E46"/>
    <w:rsid w:val="00470B89"/>
    <w:rsid w:val="00470FFE"/>
    <w:rsid w:val="004714D9"/>
    <w:rsid w:val="00471B8F"/>
    <w:rsid w:val="00474FF3"/>
    <w:rsid w:val="0047561A"/>
    <w:rsid w:val="004756B6"/>
    <w:rsid w:val="00477811"/>
    <w:rsid w:val="0048275F"/>
    <w:rsid w:val="004831C0"/>
    <w:rsid w:val="00484BC4"/>
    <w:rsid w:val="00484EA1"/>
    <w:rsid w:val="00485482"/>
    <w:rsid w:val="00485521"/>
    <w:rsid w:val="0048762A"/>
    <w:rsid w:val="00491615"/>
    <w:rsid w:val="00492142"/>
    <w:rsid w:val="0049468E"/>
    <w:rsid w:val="0049494D"/>
    <w:rsid w:val="00495023"/>
    <w:rsid w:val="004962C7"/>
    <w:rsid w:val="0049715D"/>
    <w:rsid w:val="004A164D"/>
    <w:rsid w:val="004A28CB"/>
    <w:rsid w:val="004A3837"/>
    <w:rsid w:val="004A5C84"/>
    <w:rsid w:val="004A6D5D"/>
    <w:rsid w:val="004B0A09"/>
    <w:rsid w:val="004B181B"/>
    <w:rsid w:val="004B36DB"/>
    <w:rsid w:val="004B46D4"/>
    <w:rsid w:val="004B4D61"/>
    <w:rsid w:val="004B51AE"/>
    <w:rsid w:val="004B5917"/>
    <w:rsid w:val="004B5C9F"/>
    <w:rsid w:val="004B63B6"/>
    <w:rsid w:val="004C07D2"/>
    <w:rsid w:val="004C0FED"/>
    <w:rsid w:val="004C2E47"/>
    <w:rsid w:val="004C40C3"/>
    <w:rsid w:val="004C462B"/>
    <w:rsid w:val="004C529A"/>
    <w:rsid w:val="004C52AB"/>
    <w:rsid w:val="004C5A0E"/>
    <w:rsid w:val="004C5CDA"/>
    <w:rsid w:val="004C6029"/>
    <w:rsid w:val="004C6C4A"/>
    <w:rsid w:val="004C7298"/>
    <w:rsid w:val="004D2C8B"/>
    <w:rsid w:val="004D3291"/>
    <w:rsid w:val="004D332E"/>
    <w:rsid w:val="004D361F"/>
    <w:rsid w:val="004D4AD2"/>
    <w:rsid w:val="004D556F"/>
    <w:rsid w:val="004D57D3"/>
    <w:rsid w:val="004D6558"/>
    <w:rsid w:val="004E17B4"/>
    <w:rsid w:val="004E23BF"/>
    <w:rsid w:val="004E23D8"/>
    <w:rsid w:val="004E3F95"/>
    <w:rsid w:val="004E4E5F"/>
    <w:rsid w:val="004E51A8"/>
    <w:rsid w:val="004E55CB"/>
    <w:rsid w:val="004E5A28"/>
    <w:rsid w:val="004E7173"/>
    <w:rsid w:val="004E74B9"/>
    <w:rsid w:val="004F2D42"/>
    <w:rsid w:val="004F4524"/>
    <w:rsid w:val="004F4B56"/>
    <w:rsid w:val="004F531E"/>
    <w:rsid w:val="004F5758"/>
    <w:rsid w:val="004F5C57"/>
    <w:rsid w:val="004F6950"/>
    <w:rsid w:val="004F75FA"/>
    <w:rsid w:val="004F7F91"/>
    <w:rsid w:val="00500C9B"/>
    <w:rsid w:val="0050113A"/>
    <w:rsid w:val="0050235E"/>
    <w:rsid w:val="00502863"/>
    <w:rsid w:val="0050296D"/>
    <w:rsid w:val="00502A70"/>
    <w:rsid w:val="005034DC"/>
    <w:rsid w:val="005035B5"/>
    <w:rsid w:val="00503904"/>
    <w:rsid w:val="005052EC"/>
    <w:rsid w:val="00506684"/>
    <w:rsid w:val="0050679D"/>
    <w:rsid w:val="00507A81"/>
    <w:rsid w:val="00510A7C"/>
    <w:rsid w:val="00511ECF"/>
    <w:rsid w:val="005123DC"/>
    <w:rsid w:val="00513B76"/>
    <w:rsid w:val="005145E4"/>
    <w:rsid w:val="00514A1B"/>
    <w:rsid w:val="00517AF4"/>
    <w:rsid w:val="00520D6C"/>
    <w:rsid w:val="0052166D"/>
    <w:rsid w:val="005216E7"/>
    <w:rsid w:val="00521BE4"/>
    <w:rsid w:val="0052370D"/>
    <w:rsid w:val="00524AF3"/>
    <w:rsid w:val="00526A17"/>
    <w:rsid w:val="00527A91"/>
    <w:rsid w:val="00530AAB"/>
    <w:rsid w:val="005314D3"/>
    <w:rsid w:val="005325F4"/>
    <w:rsid w:val="00540AAA"/>
    <w:rsid w:val="00540C74"/>
    <w:rsid w:val="00540D35"/>
    <w:rsid w:val="005412EE"/>
    <w:rsid w:val="005422BA"/>
    <w:rsid w:val="005433DF"/>
    <w:rsid w:val="005434FA"/>
    <w:rsid w:val="00543A0B"/>
    <w:rsid w:val="00545F04"/>
    <w:rsid w:val="00550642"/>
    <w:rsid w:val="0055188F"/>
    <w:rsid w:val="005566BF"/>
    <w:rsid w:val="00561136"/>
    <w:rsid w:val="00561D33"/>
    <w:rsid w:val="005621F6"/>
    <w:rsid w:val="00562651"/>
    <w:rsid w:val="005626BF"/>
    <w:rsid w:val="00563ED5"/>
    <w:rsid w:val="0056571B"/>
    <w:rsid w:val="0056601D"/>
    <w:rsid w:val="0056699A"/>
    <w:rsid w:val="00566F87"/>
    <w:rsid w:val="005672F6"/>
    <w:rsid w:val="005705D1"/>
    <w:rsid w:val="00570E21"/>
    <w:rsid w:val="00571E68"/>
    <w:rsid w:val="00572241"/>
    <w:rsid w:val="005727E1"/>
    <w:rsid w:val="00572F9D"/>
    <w:rsid w:val="0057336D"/>
    <w:rsid w:val="00573485"/>
    <w:rsid w:val="00573B70"/>
    <w:rsid w:val="00575074"/>
    <w:rsid w:val="0057528A"/>
    <w:rsid w:val="00575CEE"/>
    <w:rsid w:val="00576DCC"/>
    <w:rsid w:val="005805DE"/>
    <w:rsid w:val="00581263"/>
    <w:rsid w:val="00583D6D"/>
    <w:rsid w:val="00585E99"/>
    <w:rsid w:val="00586F18"/>
    <w:rsid w:val="00592303"/>
    <w:rsid w:val="00594781"/>
    <w:rsid w:val="0059673E"/>
    <w:rsid w:val="00596C6B"/>
    <w:rsid w:val="00596F23"/>
    <w:rsid w:val="005A00D6"/>
    <w:rsid w:val="005A1B57"/>
    <w:rsid w:val="005A27AF"/>
    <w:rsid w:val="005A33E9"/>
    <w:rsid w:val="005A412F"/>
    <w:rsid w:val="005A4441"/>
    <w:rsid w:val="005A4711"/>
    <w:rsid w:val="005A56B9"/>
    <w:rsid w:val="005A5934"/>
    <w:rsid w:val="005A5E38"/>
    <w:rsid w:val="005A6CEB"/>
    <w:rsid w:val="005B051C"/>
    <w:rsid w:val="005B0D1E"/>
    <w:rsid w:val="005B18AF"/>
    <w:rsid w:val="005B33B5"/>
    <w:rsid w:val="005B3582"/>
    <w:rsid w:val="005B3A92"/>
    <w:rsid w:val="005B3E40"/>
    <w:rsid w:val="005B607A"/>
    <w:rsid w:val="005C0C18"/>
    <w:rsid w:val="005C17DE"/>
    <w:rsid w:val="005C1D14"/>
    <w:rsid w:val="005C3B02"/>
    <w:rsid w:val="005C5333"/>
    <w:rsid w:val="005C589C"/>
    <w:rsid w:val="005C6814"/>
    <w:rsid w:val="005D0EA4"/>
    <w:rsid w:val="005D135B"/>
    <w:rsid w:val="005D214F"/>
    <w:rsid w:val="005D2712"/>
    <w:rsid w:val="005D29C8"/>
    <w:rsid w:val="005D37DE"/>
    <w:rsid w:val="005D3EF1"/>
    <w:rsid w:val="005E04BC"/>
    <w:rsid w:val="005E0B59"/>
    <w:rsid w:val="005E14AE"/>
    <w:rsid w:val="005E1DE3"/>
    <w:rsid w:val="005E1EBF"/>
    <w:rsid w:val="005E2C7C"/>
    <w:rsid w:val="005E410A"/>
    <w:rsid w:val="005E6B93"/>
    <w:rsid w:val="005E7B89"/>
    <w:rsid w:val="005F1127"/>
    <w:rsid w:val="005F1230"/>
    <w:rsid w:val="005F1BA9"/>
    <w:rsid w:val="005F1EB0"/>
    <w:rsid w:val="005F2E40"/>
    <w:rsid w:val="005F38C5"/>
    <w:rsid w:val="005F4249"/>
    <w:rsid w:val="005F50D4"/>
    <w:rsid w:val="005F6242"/>
    <w:rsid w:val="005F710F"/>
    <w:rsid w:val="006014C1"/>
    <w:rsid w:val="00602B3D"/>
    <w:rsid w:val="00603084"/>
    <w:rsid w:val="006065E7"/>
    <w:rsid w:val="006075DD"/>
    <w:rsid w:val="0061149E"/>
    <w:rsid w:val="00611CA8"/>
    <w:rsid w:val="006134E9"/>
    <w:rsid w:val="00613D62"/>
    <w:rsid w:val="00615142"/>
    <w:rsid w:val="006166B4"/>
    <w:rsid w:val="0061685E"/>
    <w:rsid w:val="00620487"/>
    <w:rsid w:val="0062088F"/>
    <w:rsid w:val="00624114"/>
    <w:rsid w:val="006248E4"/>
    <w:rsid w:val="00625589"/>
    <w:rsid w:val="006258FC"/>
    <w:rsid w:val="00626036"/>
    <w:rsid w:val="0062690D"/>
    <w:rsid w:val="006269C8"/>
    <w:rsid w:val="006269FC"/>
    <w:rsid w:val="00630B95"/>
    <w:rsid w:val="00630DCF"/>
    <w:rsid w:val="00631E80"/>
    <w:rsid w:val="006334C5"/>
    <w:rsid w:val="00633AC4"/>
    <w:rsid w:val="00633E5F"/>
    <w:rsid w:val="006350CE"/>
    <w:rsid w:val="006358A5"/>
    <w:rsid w:val="00636A29"/>
    <w:rsid w:val="00640B39"/>
    <w:rsid w:val="006417B6"/>
    <w:rsid w:val="0064183A"/>
    <w:rsid w:val="00641B38"/>
    <w:rsid w:val="00641D06"/>
    <w:rsid w:val="00642BD3"/>
    <w:rsid w:val="006433FB"/>
    <w:rsid w:val="00646743"/>
    <w:rsid w:val="00651606"/>
    <w:rsid w:val="00651A5F"/>
    <w:rsid w:val="0065231D"/>
    <w:rsid w:val="00656198"/>
    <w:rsid w:val="006608AC"/>
    <w:rsid w:val="0066507E"/>
    <w:rsid w:val="00665C4A"/>
    <w:rsid w:val="00667657"/>
    <w:rsid w:val="00670284"/>
    <w:rsid w:val="006709A3"/>
    <w:rsid w:val="006724AD"/>
    <w:rsid w:val="00672C61"/>
    <w:rsid w:val="00673DB0"/>
    <w:rsid w:val="00673F4C"/>
    <w:rsid w:val="006744CD"/>
    <w:rsid w:val="006748F1"/>
    <w:rsid w:val="00674DBF"/>
    <w:rsid w:val="00676080"/>
    <w:rsid w:val="00677786"/>
    <w:rsid w:val="00677E3D"/>
    <w:rsid w:val="00677F3C"/>
    <w:rsid w:val="006808FE"/>
    <w:rsid w:val="00682BFF"/>
    <w:rsid w:val="006833D3"/>
    <w:rsid w:val="006848AE"/>
    <w:rsid w:val="006871C8"/>
    <w:rsid w:val="006872CF"/>
    <w:rsid w:val="0068768F"/>
    <w:rsid w:val="00687D51"/>
    <w:rsid w:val="00691A70"/>
    <w:rsid w:val="00691E60"/>
    <w:rsid w:val="00695808"/>
    <w:rsid w:val="00697168"/>
    <w:rsid w:val="00697946"/>
    <w:rsid w:val="006A1DE2"/>
    <w:rsid w:val="006A2DFD"/>
    <w:rsid w:val="006A3663"/>
    <w:rsid w:val="006A3C3C"/>
    <w:rsid w:val="006A424F"/>
    <w:rsid w:val="006A5CCB"/>
    <w:rsid w:val="006A709D"/>
    <w:rsid w:val="006B3EF3"/>
    <w:rsid w:val="006B4C06"/>
    <w:rsid w:val="006B50D9"/>
    <w:rsid w:val="006B584E"/>
    <w:rsid w:val="006B5F47"/>
    <w:rsid w:val="006B622F"/>
    <w:rsid w:val="006B65B4"/>
    <w:rsid w:val="006C06B4"/>
    <w:rsid w:val="006C2268"/>
    <w:rsid w:val="006C23AB"/>
    <w:rsid w:val="006C468D"/>
    <w:rsid w:val="006C52A7"/>
    <w:rsid w:val="006C7121"/>
    <w:rsid w:val="006C7656"/>
    <w:rsid w:val="006D0D4F"/>
    <w:rsid w:val="006D2BB1"/>
    <w:rsid w:val="006D3199"/>
    <w:rsid w:val="006D456A"/>
    <w:rsid w:val="006D53BA"/>
    <w:rsid w:val="006D5EE8"/>
    <w:rsid w:val="006D67D8"/>
    <w:rsid w:val="006D6E78"/>
    <w:rsid w:val="006E0C14"/>
    <w:rsid w:val="006E245C"/>
    <w:rsid w:val="006E2463"/>
    <w:rsid w:val="006E2ECE"/>
    <w:rsid w:val="006E34CE"/>
    <w:rsid w:val="006E3B86"/>
    <w:rsid w:val="006E5264"/>
    <w:rsid w:val="006E58F3"/>
    <w:rsid w:val="006E5BFC"/>
    <w:rsid w:val="006E7CDC"/>
    <w:rsid w:val="006F21F9"/>
    <w:rsid w:val="006F2C14"/>
    <w:rsid w:val="006F2CAD"/>
    <w:rsid w:val="006F3EFE"/>
    <w:rsid w:val="006F57C4"/>
    <w:rsid w:val="006F6DB9"/>
    <w:rsid w:val="006F6ECB"/>
    <w:rsid w:val="00700F55"/>
    <w:rsid w:val="007011B8"/>
    <w:rsid w:val="0070716B"/>
    <w:rsid w:val="00707204"/>
    <w:rsid w:val="007072AE"/>
    <w:rsid w:val="00707D06"/>
    <w:rsid w:val="00710C64"/>
    <w:rsid w:val="007119B3"/>
    <w:rsid w:val="0071231F"/>
    <w:rsid w:val="007126F3"/>
    <w:rsid w:val="00713B5E"/>
    <w:rsid w:val="0071437E"/>
    <w:rsid w:val="00715391"/>
    <w:rsid w:val="00715483"/>
    <w:rsid w:val="00722645"/>
    <w:rsid w:val="0072446A"/>
    <w:rsid w:val="00724551"/>
    <w:rsid w:val="00726D38"/>
    <w:rsid w:val="00727261"/>
    <w:rsid w:val="00730051"/>
    <w:rsid w:val="00730BD0"/>
    <w:rsid w:val="007337D3"/>
    <w:rsid w:val="007339DE"/>
    <w:rsid w:val="00735ACD"/>
    <w:rsid w:val="00737C5B"/>
    <w:rsid w:val="00740291"/>
    <w:rsid w:val="007404C0"/>
    <w:rsid w:val="00741BED"/>
    <w:rsid w:val="0074313B"/>
    <w:rsid w:val="00743CF3"/>
    <w:rsid w:val="0074454E"/>
    <w:rsid w:val="00752F7A"/>
    <w:rsid w:val="00753AB2"/>
    <w:rsid w:val="00754FE6"/>
    <w:rsid w:val="007560E7"/>
    <w:rsid w:val="007569C9"/>
    <w:rsid w:val="00760279"/>
    <w:rsid w:val="00760F58"/>
    <w:rsid w:val="007630CD"/>
    <w:rsid w:val="00765F0C"/>
    <w:rsid w:val="00765F6D"/>
    <w:rsid w:val="00767235"/>
    <w:rsid w:val="00767379"/>
    <w:rsid w:val="00770AD7"/>
    <w:rsid w:val="00771948"/>
    <w:rsid w:val="00772E56"/>
    <w:rsid w:val="0077481A"/>
    <w:rsid w:val="00774B3E"/>
    <w:rsid w:val="007761A2"/>
    <w:rsid w:val="00776376"/>
    <w:rsid w:val="007806C0"/>
    <w:rsid w:val="007827B3"/>
    <w:rsid w:val="007829DF"/>
    <w:rsid w:val="0078384C"/>
    <w:rsid w:val="007854C3"/>
    <w:rsid w:val="0078663A"/>
    <w:rsid w:val="007929A6"/>
    <w:rsid w:val="007931B9"/>
    <w:rsid w:val="00793D8C"/>
    <w:rsid w:val="00794B74"/>
    <w:rsid w:val="00794C31"/>
    <w:rsid w:val="0079677A"/>
    <w:rsid w:val="0079682F"/>
    <w:rsid w:val="007A0BA3"/>
    <w:rsid w:val="007A1AEA"/>
    <w:rsid w:val="007A43F9"/>
    <w:rsid w:val="007A524E"/>
    <w:rsid w:val="007A593C"/>
    <w:rsid w:val="007A75C2"/>
    <w:rsid w:val="007B018B"/>
    <w:rsid w:val="007B1399"/>
    <w:rsid w:val="007B3662"/>
    <w:rsid w:val="007B45E9"/>
    <w:rsid w:val="007B47BD"/>
    <w:rsid w:val="007B49A5"/>
    <w:rsid w:val="007B51D2"/>
    <w:rsid w:val="007B6C0B"/>
    <w:rsid w:val="007B786D"/>
    <w:rsid w:val="007C1FC1"/>
    <w:rsid w:val="007C5770"/>
    <w:rsid w:val="007C5C3A"/>
    <w:rsid w:val="007D0D51"/>
    <w:rsid w:val="007D308F"/>
    <w:rsid w:val="007D3733"/>
    <w:rsid w:val="007D40CC"/>
    <w:rsid w:val="007D55B4"/>
    <w:rsid w:val="007D5708"/>
    <w:rsid w:val="007D5907"/>
    <w:rsid w:val="007D660F"/>
    <w:rsid w:val="007D66F7"/>
    <w:rsid w:val="007D70BA"/>
    <w:rsid w:val="007D7A1B"/>
    <w:rsid w:val="007D7E80"/>
    <w:rsid w:val="007E0A07"/>
    <w:rsid w:val="007E0DD0"/>
    <w:rsid w:val="007E2435"/>
    <w:rsid w:val="007E2D74"/>
    <w:rsid w:val="007E5637"/>
    <w:rsid w:val="007E667D"/>
    <w:rsid w:val="007F2252"/>
    <w:rsid w:val="007F2ADC"/>
    <w:rsid w:val="007F34DF"/>
    <w:rsid w:val="007F4644"/>
    <w:rsid w:val="007F4E53"/>
    <w:rsid w:val="008006EF"/>
    <w:rsid w:val="00800813"/>
    <w:rsid w:val="008017C6"/>
    <w:rsid w:val="008018DE"/>
    <w:rsid w:val="00807019"/>
    <w:rsid w:val="008105BB"/>
    <w:rsid w:val="008127B1"/>
    <w:rsid w:val="008128A3"/>
    <w:rsid w:val="00812BA4"/>
    <w:rsid w:val="00814AE7"/>
    <w:rsid w:val="00815AE3"/>
    <w:rsid w:val="008162FD"/>
    <w:rsid w:val="008172A8"/>
    <w:rsid w:val="008202C2"/>
    <w:rsid w:val="008207BC"/>
    <w:rsid w:val="00820F5B"/>
    <w:rsid w:val="0082407E"/>
    <w:rsid w:val="008257A0"/>
    <w:rsid w:val="008258DD"/>
    <w:rsid w:val="00826FCA"/>
    <w:rsid w:val="008271EC"/>
    <w:rsid w:val="008272B7"/>
    <w:rsid w:val="008303D7"/>
    <w:rsid w:val="00830F12"/>
    <w:rsid w:val="008324EE"/>
    <w:rsid w:val="0083319A"/>
    <w:rsid w:val="00836293"/>
    <w:rsid w:val="008418DE"/>
    <w:rsid w:val="00841F47"/>
    <w:rsid w:val="0084264E"/>
    <w:rsid w:val="00844F51"/>
    <w:rsid w:val="00845DAB"/>
    <w:rsid w:val="008516F8"/>
    <w:rsid w:val="0085289C"/>
    <w:rsid w:val="00852B9D"/>
    <w:rsid w:val="00857A9F"/>
    <w:rsid w:val="008603AB"/>
    <w:rsid w:val="00861935"/>
    <w:rsid w:val="00861DF9"/>
    <w:rsid w:val="00862611"/>
    <w:rsid w:val="00862A39"/>
    <w:rsid w:val="0086422A"/>
    <w:rsid w:val="008647DA"/>
    <w:rsid w:val="00864C08"/>
    <w:rsid w:val="00865275"/>
    <w:rsid w:val="00865E32"/>
    <w:rsid w:val="00866B0F"/>
    <w:rsid w:val="008700FB"/>
    <w:rsid w:val="00870404"/>
    <w:rsid w:val="00870CF2"/>
    <w:rsid w:val="008718BD"/>
    <w:rsid w:val="00871FBF"/>
    <w:rsid w:val="00872970"/>
    <w:rsid w:val="008730E9"/>
    <w:rsid w:val="00873134"/>
    <w:rsid w:val="00874EAC"/>
    <w:rsid w:val="00875FF4"/>
    <w:rsid w:val="00880D56"/>
    <w:rsid w:val="00880E41"/>
    <w:rsid w:val="00881E80"/>
    <w:rsid w:val="00881F63"/>
    <w:rsid w:val="00881FCB"/>
    <w:rsid w:val="00882687"/>
    <w:rsid w:val="00882C6A"/>
    <w:rsid w:val="0088402C"/>
    <w:rsid w:val="008859C0"/>
    <w:rsid w:val="008869C7"/>
    <w:rsid w:val="00886C93"/>
    <w:rsid w:val="0088781B"/>
    <w:rsid w:val="00887B07"/>
    <w:rsid w:val="00887F8A"/>
    <w:rsid w:val="00890991"/>
    <w:rsid w:val="008913A1"/>
    <w:rsid w:val="00891AAB"/>
    <w:rsid w:val="00892152"/>
    <w:rsid w:val="0089273C"/>
    <w:rsid w:val="0089455F"/>
    <w:rsid w:val="008970E7"/>
    <w:rsid w:val="008978CF"/>
    <w:rsid w:val="00897A11"/>
    <w:rsid w:val="008A1717"/>
    <w:rsid w:val="008A22F4"/>
    <w:rsid w:val="008A2AA5"/>
    <w:rsid w:val="008A5886"/>
    <w:rsid w:val="008A58E9"/>
    <w:rsid w:val="008A58FB"/>
    <w:rsid w:val="008A620E"/>
    <w:rsid w:val="008A6625"/>
    <w:rsid w:val="008A7E49"/>
    <w:rsid w:val="008B1E8E"/>
    <w:rsid w:val="008B36AC"/>
    <w:rsid w:val="008B3A40"/>
    <w:rsid w:val="008B3D17"/>
    <w:rsid w:val="008B3D56"/>
    <w:rsid w:val="008B412B"/>
    <w:rsid w:val="008B4F3F"/>
    <w:rsid w:val="008B5701"/>
    <w:rsid w:val="008B599A"/>
    <w:rsid w:val="008B62F2"/>
    <w:rsid w:val="008B69D8"/>
    <w:rsid w:val="008B6B39"/>
    <w:rsid w:val="008B6F3C"/>
    <w:rsid w:val="008B75A1"/>
    <w:rsid w:val="008B764F"/>
    <w:rsid w:val="008C0028"/>
    <w:rsid w:val="008C01F4"/>
    <w:rsid w:val="008C2B67"/>
    <w:rsid w:val="008C4459"/>
    <w:rsid w:val="008C4478"/>
    <w:rsid w:val="008C6502"/>
    <w:rsid w:val="008C6C73"/>
    <w:rsid w:val="008C6E0A"/>
    <w:rsid w:val="008D124C"/>
    <w:rsid w:val="008D2E32"/>
    <w:rsid w:val="008D6D9B"/>
    <w:rsid w:val="008D6FF8"/>
    <w:rsid w:val="008D74C8"/>
    <w:rsid w:val="008E0F9C"/>
    <w:rsid w:val="008E291E"/>
    <w:rsid w:val="008E40A8"/>
    <w:rsid w:val="008E4220"/>
    <w:rsid w:val="008E5069"/>
    <w:rsid w:val="008E68CF"/>
    <w:rsid w:val="008E71B7"/>
    <w:rsid w:val="008E730D"/>
    <w:rsid w:val="008F02E2"/>
    <w:rsid w:val="008F1615"/>
    <w:rsid w:val="008F3644"/>
    <w:rsid w:val="008F41B0"/>
    <w:rsid w:val="008F454C"/>
    <w:rsid w:val="008F719B"/>
    <w:rsid w:val="00900A3B"/>
    <w:rsid w:val="00901B16"/>
    <w:rsid w:val="00901ED4"/>
    <w:rsid w:val="009026F2"/>
    <w:rsid w:val="00902877"/>
    <w:rsid w:val="00903CCB"/>
    <w:rsid w:val="009126DB"/>
    <w:rsid w:val="00912E6E"/>
    <w:rsid w:val="00913156"/>
    <w:rsid w:val="009131AD"/>
    <w:rsid w:val="00913E3A"/>
    <w:rsid w:val="00914D13"/>
    <w:rsid w:val="0091585A"/>
    <w:rsid w:val="00920585"/>
    <w:rsid w:val="00920A80"/>
    <w:rsid w:val="00922B85"/>
    <w:rsid w:val="00923496"/>
    <w:rsid w:val="009248A7"/>
    <w:rsid w:val="00926734"/>
    <w:rsid w:val="00926758"/>
    <w:rsid w:val="009270D2"/>
    <w:rsid w:val="009329E6"/>
    <w:rsid w:val="00932E2F"/>
    <w:rsid w:val="00932F38"/>
    <w:rsid w:val="009339DF"/>
    <w:rsid w:val="0093763E"/>
    <w:rsid w:val="009406A3"/>
    <w:rsid w:val="009406F6"/>
    <w:rsid w:val="00941A32"/>
    <w:rsid w:val="009440A6"/>
    <w:rsid w:val="00945703"/>
    <w:rsid w:val="0094646A"/>
    <w:rsid w:val="00947D96"/>
    <w:rsid w:val="00950DF4"/>
    <w:rsid w:val="00951F5C"/>
    <w:rsid w:val="00953292"/>
    <w:rsid w:val="00956F86"/>
    <w:rsid w:val="00957946"/>
    <w:rsid w:val="00961DD3"/>
    <w:rsid w:val="00961E76"/>
    <w:rsid w:val="00962E7A"/>
    <w:rsid w:val="00962EC2"/>
    <w:rsid w:val="0096444F"/>
    <w:rsid w:val="0096642A"/>
    <w:rsid w:val="00966A07"/>
    <w:rsid w:val="009675E2"/>
    <w:rsid w:val="00974C42"/>
    <w:rsid w:val="00975294"/>
    <w:rsid w:val="00975681"/>
    <w:rsid w:val="00975EBB"/>
    <w:rsid w:val="0097666D"/>
    <w:rsid w:val="00980752"/>
    <w:rsid w:val="0098099A"/>
    <w:rsid w:val="00982418"/>
    <w:rsid w:val="00982D7E"/>
    <w:rsid w:val="009840B6"/>
    <w:rsid w:val="00986414"/>
    <w:rsid w:val="00986BBF"/>
    <w:rsid w:val="00986BF2"/>
    <w:rsid w:val="009909A6"/>
    <w:rsid w:val="00992BE3"/>
    <w:rsid w:val="00993154"/>
    <w:rsid w:val="00994B94"/>
    <w:rsid w:val="009A1308"/>
    <w:rsid w:val="009A2383"/>
    <w:rsid w:val="009A3007"/>
    <w:rsid w:val="009A3FDF"/>
    <w:rsid w:val="009A4EA9"/>
    <w:rsid w:val="009A507A"/>
    <w:rsid w:val="009A5F8C"/>
    <w:rsid w:val="009A7659"/>
    <w:rsid w:val="009B1025"/>
    <w:rsid w:val="009B159B"/>
    <w:rsid w:val="009B2FA2"/>
    <w:rsid w:val="009B3BDB"/>
    <w:rsid w:val="009B4C90"/>
    <w:rsid w:val="009B53C4"/>
    <w:rsid w:val="009B5D07"/>
    <w:rsid w:val="009B71D7"/>
    <w:rsid w:val="009C1682"/>
    <w:rsid w:val="009C1789"/>
    <w:rsid w:val="009C2119"/>
    <w:rsid w:val="009C694C"/>
    <w:rsid w:val="009C6E63"/>
    <w:rsid w:val="009C7CA8"/>
    <w:rsid w:val="009C7D28"/>
    <w:rsid w:val="009C7D79"/>
    <w:rsid w:val="009D188E"/>
    <w:rsid w:val="009D1FDB"/>
    <w:rsid w:val="009D24DF"/>
    <w:rsid w:val="009D373C"/>
    <w:rsid w:val="009D3DC7"/>
    <w:rsid w:val="009D45C2"/>
    <w:rsid w:val="009D490F"/>
    <w:rsid w:val="009D5AD7"/>
    <w:rsid w:val="009D6033"/>
    <w:rsid w:val="009D7858"/>
    <w:rsid w:val="009E1521"/>
    <w:rsid w:val="009E1A84"/>
    <w:rsid w:val="009E4C59"/>
    <w:rsid w:val="009E6C22"/>
    <w:rsid w:val="009F01CF"/>
    <w:rsid w:val="009F0CBA"/>
    <w:rsid w:val="009F0F32"/>
    <w:rsid w:val="009F2188"/>
    <w:rsid w:val="009F58D5"/>
    <w:rsid w:val="009F7297"/>
    <w:rsid w:val="009F7606"/>
    <w:rsid w:val="00A00BA6"/>
    <w:rsid w:val="00A02B1D"/>
    <w:rsid w:val="00A034E7"/>
    <w:rsid w:val="00A03F62"/>
    <w:rsid w:val="00A0447F"/>
    <w:rsid w:val="00A04633"/>
    <w:rsid w:val="00A046D8"/>
    <w:rsid w:val="00A04ED5"/>
    <w:rsid w:val="00A05DAB"/>
    <w:rsid w:val="00A05EF4"/>
    <w:rsid w:val="00A073BC"/>
    <w:rsid w:val="00A129F5"/>
    <w:rsid w:val="00A129FF"/>
    <w:rsid w:val="00A12C41"/>
    <w:rsid w:val="00A131C8"/>
    <w:rsid w:val="00A1361C"/>
    <w:rsid w:val="00A13DFF"/>
    <w:rsid w:val="00A15E29"/>
    <w:rsid w:val="00A16DC9"/>
    <w:rsid w:val="00A16DF9"/>
    <w:rsid w:val="00A1746B"/>
    <w:rsid w:val="00A226A4"/>
    <w:rsid w:val="00A22AEE"/>
    <w:rsid w:val="00A22FBD"/>
    <w:rsid w:val="00A2570F"/>
    <w:rsid w:val="00A265C4"/>
    <w:rsid w:val="00A27267"/>
    <w:rsid w:val="00A30FD8"/>
    <w:rsid w:val="00A31AEB"/>
    <w:rsid w:val="00A32BDC"/>
    <w:rsid w:val="00A33571"/>
    <w:rsid w:val="00A36307"/>
    <w:rsid w:val="00A3683F"/>
    <w:rsid w:val="00A36880"/>
    <w:rsid w:val="00A36902"/>
    <w:rsid w:val="00A36AF3"/>
    <w:rsid w:val="00A37947"/>
    <w:rsid w:val="00A40419"/>
    <w:rsid w:val="00A40449"/>
    <w:rsid w:val="00A40B85"/>
    <w:rsid w:val="00A40DD3"/>
    <w:rsid w:val="00A41D1D"/>
    <w:rsid w:val="00A424ED"/>
    <w:rsid w:val="00A4468B"/>
    <w:rsid w:val="00A46C9C"/>
    <w:rsid w:val="00A47C03"/>
    <w:rsid w:val="00A5045E"/>
    <w:rsid w:val="00A50C44"/>
    <w:rsid w:val="00A51483"/>
    <w:rsid w:val="00A52ADC"/>
    <w:rsid w:val="00A54DB8"/>
    <w:rsid w:val="00A60CF0"/>
    <w:rsid w:val="00A6197B"/>
    <w:rsid w:val="00A61A3D"/>
    <w:rsid w:val="00A63932"/>
    <w:rsid w:val="00A6478A"/>
    <w:rsid w:val="00A64BBC"/>
    <w:rsid w:val="00A67B47"/>
    <w:rsid w:val="00A67E43"/>
    <w:rsid w:val="00A70403"/>
    <w:rsid w:val="00A70570"/>
    <w:rsid w:val="00A7094F"/>
    <w:rsid w:val="00A715AB"/>
    <w:rsid w:val="00A72876"/>
    <w:rsid w:val="00A72BED"/>
    <w:rsid w:val="00A73E2D"/>
    <w:rsid w:val="00A745B9"/>
    <w:rsid w:val="00A7480D"/>
    <w:rsid w:val="00A76134"/>
    <w:rsid w:val="00A805D9"/>
    <w:rsid w:val="00A8111D"/>
    <w:rsid w:val="00A8350C"/>
    <w:rsid w:val="00A83AFD"/>
    <w:rsid w:val="00A83C13"/>
    <w:rsid w:val="00A84B35"/>
    <w:rsid w:val="00A84B88"/>
    <w:rsid w:val="00A857B3"/>
    <w:rsid w:val="00A86A15"/>
    <w:rsid w:val="00A90418"/>
    <w:rsid w:val="00A91992"/>
    <w:rsid w:val="00A92081"/>
    <w:rsid w:val="00A92F63"/>
    <w:rsid w:val="00A93D73"/>
    <w:rsid w:val="00A95A6A"/>
    <w:rsid w:val="00A96B1A"/>
    <w:rsid w:val="00AA1A4D"/>
    <w:rsid w:val="00AA25BF"/>
    <w:rsid w:val="00AA2BE0"/>
    <w:rsid w:val="00AA4BA1"/>
    <w:rsid w:val="00AA653D"/>
    <w:rsid w:val="00AA6F46"/>
    <w:rsid w:val="00AB241B"/>
    <w:rsid w:val="00AB27BA"/>
    <w:rsid w:val="00AB59E8"/>
    <w:rsid w:val="00AB5E87"/>
    <w:rsid w:val="00AB713B"/>
    <w:rsid w:val="00AB78E4"/>
    <w:rsid w:val="00AB794D"/>
    <w:rsid w:val="00AB7AC5"/>
    <w:rsid w:val="00AC003B"/>
    <w:rsid w:val="00AC04CD"/>
    <w:rsid w:val="00AC0B07"/>
    <w:rsid w:val="00AC22C0"/>
    <w:rsid w:val="00AC4A85"/>
    <w:rsid w:val="00AC5106"/>
    <w:rsid w:val="00AC7BEA"/>
    <w:rsid w:val="00AD0D41"/>
    <w:rsid w:val="00AD1867"/>
    <w:rsid w:val="00AD18CD"/>
    <w:rsid w:val="00AD2066"/>
    <w:rsid w:val="00AD2075"/>
    <w:rsid w:val="00AD278B"/>
    <w:rsid w:val="00AD2BE1"/>
    <w:rsid w:val="00AD40B3"/>
    <w:rsid w:val="00AD4680"/>
    <w:rsid w:val="00AD47EA"/>
    <w:rsid w:val="00AD4CD5"/>
    <w:rsid w:val="00AD5C7B"/>
    <w:rsid w:val="00AD620D"/>
    <w:rsid w:val="00AD70DE"/>
    <w:rsid w:val="00AE14B1"/>
    <w:rsid w:val="00AE1994"/>
    <w:rsid w:val="00AE28AE"/>
    <w:rsid w:val="00AE29BA"/>
    <w:rsid w:val="00AE3BAA"/>
    <w:rsid w:val="00AE4CFA"/>
    <w:rsid w:val="00AE5565"/>
    <w:rsid w:val="00AE5C7D"/>
    <w:rsid w:val="00AE77BD"/>
    <w:rsid w:val="00AF17AD"/>
    <w:rsid w:val="00AF4A89"/>
    <w:rsid w:val="00AF6213"/>
    <w:rsid w:val="00B006B2"/>
    <w:rsid w:val="00B02F03"/>
    <w:rsid w:val="00B02F75"/>
    <w:rsid w:val="00B03FF5"/>
    <w:rsid w:val="00B04DF3"/>
    <w:rsid w:val="00B11AE1"/>
    <w:rsid w:val="00B11ED1"/>
    <w:rsid w:val="00B13078"/>
    <w:rsid w:val="00B13D6F"/>
    <w:rsid w:val="00B13EE8"/>
    <w:rsid w:val="00B13F3A"/>
    <w:rsid w:val="00B1474F"/>
    <w:rsid w:val="00B1566B"/>
    <w:rsid w:val="00B157FC"/>
    <w:rsid w:val="00B16A2C"/>
    <w:rsid w:val="00B20273"/>
    <w:rsid w:val="00B212A1"/>
    <w:rsid w:val="00B2152C"/>
    <w:rsid w:val="00B218C1"/>
    <w:rsid w:val="00B2364E"/>
    <w:rsid w:val="00B244AC"/>
    <w:rsid w:val="00B24DF0"/>
    <w:rsid w:val="00B26657"/>
    <w:rsid w:val="00B26FF2"/>
    <w:rsid w:val="00B279EF"/>
    <w:rsid w:val="00B27E6E"/>
    <w:rsid w:val="00B30997"/>
    <w:rsid w:val="00B34540"/>
    <w:rsid w:val="00B3471F"/>
    <w:rsid w:val="00B365A9"/>
    <w:rsid w:val="00B3663D"/>
    <w:rsid w:val="00B41AD7"/>
    <w:rsid w:val="00B431EA"/>
    <w:rsid w:val="00B43431"/>
    <w:rsid w:val="00B45B01"/>
    <w:rsid w:val="00B45F5F"/>
    <w:rsid w:val="00B46122"/>
    <w:rsid w:val="00B4683A"/>
    <w:rsid w:val="00B46C8D"/>
    <w:rsid w:val="00B47F74"/>
    <w:rsid w:val="00B50100"/>
    <w:rsid w:val="00B505CB"/>
    <w:rsid w:val="00B51975"/>
    <w:rsid w:val="00B55E20"/>
    <w:rsid w:val="00B569F8"/>
    <w:rsid w:val="00B5708C"/>
    <w:rsid w:val="00B621DC"/>
    <w:rsid w:val="00B62217"/>
    <w:rsid w:val="00B62E17"/>
    <w:rsid w:val="00B645E3"/>
    <w:rsid w:val="00B66A17"/>
    <w:rsid w:val="00B67D15"/>
    <w:rsid w:val="00B7223B"/>
    <w:rsid w:val="00B74B13"/>
    <w:rsid w:val="00B75EA7"/>
    <w:rsid w:val="00B75F6C"/>
    <w:rsid w:val="00B7736C"/>
    <w:rsid w:val="00B8018A"/>
    <w:rsid w:val="00B802DB"/>
    <w:rsid w:val="00B81EBA"/>
    <w:rsid w:val="00B823CB"/>
    <w:rsid w:val="00B82AF7"/>
    <w:rsid w:val="00B82C8B"/>
    <w:rsid w:val="00B85863"/>
    <w:rsid w:val="00B8623A"/>
    <w:rsid w:val="00B86366"/>
    <w:rsid w:val="00B870DF"/>
    <w:rsid w:val="00B91720"/>
    <w:rsid w:val="00B93725"/>
    <w:rsid w:val="00B95E6F"/>
    <w:rsid w:val="00B96F4C"/>
    <w:rsid w:val="00BA0187"/>
    <w:rsid w:val="00BA1B3D"/>
    <w:rsid w:val="00BA2A39"/>
    <w:rsid w:val="00BA37B0"/>
    <w:rsid w:val="00BA390F"/>
    <w:rsid w:val="00BA3983"/>
    <w:rsid w:val="00BA577F"/>
    <w:rsid w:val="00BA772A"/>
    <w:rsid w:val="00BA782A"/>
    <w:rsid w:val="00BB10C3"/>
    <w:rsid w:val="00BB43B6"/>
    <w:rsid w:val="00BB6C6A"/>
    <w:rsid w:val="00BB7141"/>
    <w:rsid w:val="00BC05A5"/>
    <w:rsid w:val="00BC1EAD"/>
    <w:rsid w:val="00BC2147"/>
    <w:rsid w:val="00BC2447"/>
    <w:rsid w:val="00BC51B9"/>
    <w:rsid w:val="00BC58E5"/>
    <w:rsid w:val="00BC7254"/>
    <w:rsid w:val="00BC7E2B"/>
    <w:rsid w:val="00BD1AE2"/>
    <w:rsid w:val="00BD21B4"/>
    <w:rsid w:val="00BD40BE"/>
    <w:rsid w:val="00BD50B0"/>
    <w:rsid w:val="00BD60B5"/>
    <w:rsid w:val="00BD66C2"/>
    <w:rsid w:val="00BE00A0"/>
    <w:rsid w:val="00BE0C72"/>
    <w:rsid w:val="00BE0F17"/>
    <w:rsid w:val="00BE1249"/>
    <w:rsid w:val="00BE1EC5"/>
    <w:rsid w:val="00BE2606"/>
    <w:rsid w:val="00BE2F54"/>
    <w:rsid w:val="00BE330A"/>
    <w:rsid w:val="00BE5A38"/>
    <w:rsid w:val="00BE6A24"/>
    <w:rsid w:val="00BE768F"/>
    <w:rsid w:val="00BF0D01"/>
    <w:rsid w:val="00BF1536"/>
    <w:rsid w:val="00BF1741"/>
    <w:rsid w:val="00BF21E7"/>
    <w:rsid w:val="00BF2FFA"/>
    <w:rsid w:val="00BF30E0"/>
    <w:rsid w:val="00BF4B04"/>
    <w:rsid w:val="00C003E4"/>
    <w:rsid w:val="00C00B50"/>
    <w:rsid w:val="00C0138D"/>
    <w:rsid w:val="00C027F1"/>
    <w:rsid w:val="00C03EDB"/>
    <w:rsid w:val="00C06092"/>
    <w:rsid w:val="00C06871"/>
    <w:rsid w:val="00C06D51"/>
    <w:rsid w:val="00C12730"/>
    <w:rsid w:val="00C137BB"/>
    <w:rsid w:val="00C13E92"/>
    <w:rsid w:val="00C141A5"/>
    <w:rsid w:val="00C15A2F"/>
    <w:rsid w:val="00C15AF9"/>
    <w:rsid w:val="00C1739F"/>
    <w:rsid w:val="00C17905"/>
    <w:rsid w:val="00C23680"/>
    <w:rsid w:val="00C24185"/>
    <w:rsid w:val="00C25374"/>
    <w:rsid w:val="00C25D3C"/>
    <w:rsid w:val="00C263C9"/>
    <w:rsid w:val="00C30887"/>
    <w:rsid w:val="00C319A2"/>
    <w:rsid w:val="00C3214C"/>
    <w:rsid w:val="00C324B6"/>
    <w:rsid w:val="00C3287A"/>
    <w:rsid w:val="00C334EF"/>
    <w:rsid w:val="00C33C61"/>
    <w:rsid w:val="00C3446F"/>
    <w:rsid w:val="00C35A3A"/>
    <w:rsid w:val="00C365CE"/>
    <w:rsid w:val="00C4010C"/>
    <w:rsid w:val="00C4052F"/>
    <w:rsid w:val="00C419EB"/>
    <w:rsid w:val="00C41BC0"/>
    <w:rsid w:val="00C41DC1"/>
    <w:rsid w:val="00C42C4D"/>
    <w:rsid w:val="00C45F25"/>
    <w:rsid w:val="00C462D7"/>
    <w:rsid w:val="00C46893"/>
    <w:rsid w:val="00C46A62"/>
    <w:rsid w:val="00C46EFA"/>
    <w:rsid w:val="00C47B02"/>
    <w:rsid w:val="00C503C8"/>
    <w:rsid w:val="00C50DCD"/>
    <w:rsid w:val="00C50F93"/>
    <w:rsid w:val="00C5264E"/>
    <w:rsid w:val="00C53A27"/>
    <w:rsid w:val="00C549E7"/>
    <w:rsid w:val="00C561C2"/>
    <w:rsid w:val="00C564FF"/>
    <w:rsid w:val="00C57825"/>
    <w:rsid w:val="00C62A4C"/>
    <w:rsid w:val="00C638A9"/>
    <w:rsid w:val="00C64316"/>
    <w:rsid w:val="00C66D74"/>
    <w:rsid w:val="00C67F4E"/>
    <w:rsid w:val="00C70A7A"/>
    <w:rsid w:val="00C70C0E"/>
    <w:rsid w:val="00C726C1"/>
    <w:rsid w:val="00C74007"/>
    <w:rsid w:val="00C74CBE"/>
    <w:rsid w:val="00C75F3B"/>
    <w:rsid w:val="00C77064"/>
    <w:rsid w:val="00C77080"/>
    <w:rsid w:val="00C77E2D"/>
    <w:rsid w:val="00C82EBC"/>
    <w:rsid w:val="00C834BC"/>
    <w:rsid w:val="00C87E55"/>
    <w:rsid w:val="00C903F8"/>
    <w:rsid w:val="00C918BA"/>
    <w:rsid w:val="00C92880"/>
    <w:rsid w:val="00C92FEF"/>
    <w:rsid w:val="00C941CD"/>
    <w:rsid w:val="00C9424D"/>
    <w:rsid w:val="00C94592"/>
    <w:rsid w:val="00C959D9"/>
    <w:rsid w:val="00C9693A"/>
    <w:rsid w:val="00CA0706"/>
    <w:rsid w:val="00CA0ADD"/>
    <w:rsid w:val="00CA147A"/>
    <w:rsid w:val="00CA15CF"/>
    <w:rsid w:val="00CA1B5B"/>
    <w:rsid w:val="00CA3BB0"/>
    <w:rsid w:val="00CA3F64"/>
    <w:rsid w:val="00CA51C5"/>
    <w:rsid w:val="00CA69B7"/>
    <w:rsid w:val="00CB089E"/>
    <w:rsid w:val="00CB228B"/>
    <w:rsid w:val="00CB2F0C"/>
    <w:rsid w:val="00CB2FCB"/>
    <w:rsid w:val="00CB305E"/>
    <w:rsid w:val="00CB3A31"/>
    <w:rsid w:val="00CB43D5"/>
    <w:rsid w:val="00CB56F9"/>
    <w:rsid w:val="00CB7366"/>
    <w:rsid w:val="00CC08C7"/>
    <w:rsid w:val="00CC18DC"/>
    <w:rsid w:val="00CC1BBC"/>
    <w:rsid w:val="00CC34A5"/>
    <w:rsid w:val="00CC3829"/>
    <w:rsid w:val="00CC38F9"/>
    <w:rsid w:val="00CC7EDD"/>
    <w:rsid w:val="00CD1014"/>
    <w:rsid w:val="00CD1363"/>
    <w:rsid w:val="00CD3BFB"/>
    <w:rsid w:val="00CD61B5"/>
    <w:rsid w:val="00CD69D9"/>
    <w:rsid w:val="00CE123D"/>
    <w:rsid w:val="00CE180C"/>
    <w:rsid w:val="00CE3BDC"/>
    <w:rsid w:val="00CE4FDF"/>
    <w:rsid w:val="00CE580E"/>
    <w:rsid w:val="00CE683A"/>
    <w:rsid w:val="00CE6D33"/>
    <w:rsid w:val="00CE7925"/>
    <w:rsid w:val="00CF051E"/>
    <w:rsid w:val="00CF1129"/>
    <w:rsid w:val="00CF191A"/>
    <w:rsid w:val="00CF1CD0"/>
    <w:rsid w:val="00CF21DE"/>
    <w:rsid w:val="00CF2C28"/>
    <w:rsid w:val="00CF3629"/>
    <w:rsid w:val="00CF3FD0"/>
    <w:rsid w:val="00CF7E07"/>
    <w:rsid w:val="00D00E5E"/>
    <w:rsid w:val="00D02617"/>
    <w:rsid w:val="00D02736"/>
    <w:rsid w:val="00D02F9A"/>
    <w:rsid w:val="00D03B6C"/>
    <w:rsid w:val="00D059D1"/>
    <w:rsid w:val="00D067BE"/>
    <w:rsid w:val="00D121EE"/>
    <w:rsid w:val="00D135F5"/>
    <w:rsid w:val="00D144D1"/>
    <w:rsid w:val="00D15D18"/>
    <w:rsid w:val="00D16BCB"/>
    <w:rsid w:val="00D20294"/>
    <w:rsid w:val="00D20E99"/>
    <w:rsid w:val="00D2121D"/>
    <w:rsid w:val="00D22A49"/>
    <w:rsid w:val="00D276B8"/>
    <w:rsid w:val="00D3076E"/>
    <w:rsid w:val="00D31344"/>
    <w:rsid w:val="00D31BF8"/>
    <w:rsid w:val="00D31F50"/>
    <w:rsid w:val="00D33780"/>
    <w:rsid w:val="00D33B36"/>
    <w:rsid w:val="00D33C9B"/>
    <w:rsid w:val="00D362B4"/>
    <w:rsid w:val="00D36845"/>
    <w:rsid w:val="00D36AA5"/>
    <w:rsid w:val="00D40E9A"/>
    <w:rsid w:val="00D40F3F"/>
    <w:rsid w:val="00D40F7B"/>
    <w:rsid w:val="00D418FD"/>
    <w:rsid w:val="00D42B93"/>
    <w:rsid w:val="00D43963"/>
    <w:rsid w:val="00D44038"/>
    <w:rsid w:val="00D44122"/>
    <w:rsid w:val="00D4418A"/>
    <w:rsid w:val="00D4463D"/>
    <w:rsid w:val="00D468AB"/>
    <w:rsid w:val="00D47C23"/>
    <w:rsid w:val="00D50ACA"/>
    <w:rsid w:val="00D527B9"/>
    <w:rsid w:val="00D54BB0"/>
    <w:rsid w:val="00D54D08"/>
    <w:rsid w:val="00D5566D"/>
    <w:rsid w:val="00D557C2"/>
    <w:rsid w:val="00D6098B"/>
    <w:rsid w:val="00D61AF6"/>
    <w:rsid w:val="00D61DF0"/>
    <w:rsid w:val="00D624D0"/>
    <w:rsid w:val="00D62E63"/>
    <w:rsid w:val="00D63E1E"/>
    <w:rsid w:val="00D63FC7"/>
    <w:rsid w:val="00D65C43"/>
    <w:rsid w:val="00D669C1"/>
    <w:rsid w:val="00D72B3D"/>
    <w:rsid w:val="00D76CB9"/>
    <w:rsid w:val="00D777AC"/>
    <w:rsid w:val="00D80D2A"/>
    <w:rsid w:val="00D82CE5"/>
    <w:rsid w:val="00D85F2D"/>
    <w:rsid w:val="00D86923"/>
    <w:rsid w:val="00D87D59"/>
    <w:rsid w:val="00D91C68"/>
    <w:rsid w:val="00D92589"/>
    <w:rsid w:val="00D927D7"/>
    <w:rsid w:val="00D93301"/>
    <w:rsid w:val="00D94326"/>
    <w:rsid w:val="00D96085"/>
    <w:rsid w:val="00D968EA"/>
    <w:rsid w:val="00DA0317"/>
    <w:rsid w:val="00DA1051"/>
    <w:rsid w:val="00DA211B"/>
    <w:rsid w:val="00DA4AD5"/>
    <w:rsid w:val="00DA5036"/>
    <w:rsid w:val="00DA5803"/>
    <w:rsid w:val="00DB35BA"/>
    <w:rsid w:val="00DB4C76"/>
    <w:rsid w:val="00DB4CF0"/>
    <w:rsid w:val="00DB7694"/>
    <w:rsid w:val="00DB779C"/>
    <w:rsid w:val="00DC0334"/>
    <w:rsid w:val="00DC0354"/>
    <w:rsid w:val="00DC08A0"/>
    <w:rsid w:val="00DC1860"/>
    <w:rsid w:val="00DC20FE"/>
    <w:rsid w:val="00DC43FE"/>
    <w:rsid w:val="00DC5217"/>
    <w:rsid w:val="00DC79B2"/>
    <w:rsid w:val="00DD0331"/>
    <w:rsid w:val="00DD11BD"/>
    <w:rsid w:val="00DD2701"/>
    <w:rsid w:val="00DD31E7"/>
    <w:rsid w:val="00DD3377"/>
    <w:rsid w:val="00DD440B"/>
    <w:rsid w:val="00DD46A7"/>
    <w:rsid w:val="00DD7682"/>
    <w:rsid w:val="00DE1597"/>
    <w:rsid w:val="00DE2A0D"/>
    <w:rsid w:val="00DE3F3B"/>
    <w:rsid w:val="00DE4EC6"/>
    <w:rsid w:val="00DE5D9C"/>
    <w:rsid w:val="00DE61D3"/>
    <w:rsid w:val="00DE77A2"/>
    <w:rsid w:val="00DF043C"/>
    <w:rsid w:val="00DF0CDA"/>
    <w:rsid w:val="00DF0FB7"/>
    <w:rsid w:val="00DF249A"/>
    <w:rsid w:val="00DF2525"/>
    <w:rsid w:val="00DF3FBD"/>
    <w:rsid w:val="00DF70D7"/>
    <w:rsid w:val="00E00A92"/>
    <w:rsid w:val="00E01623"/>
    <w:rsid w:val="00E01A33"/>
    <w:rsid w:val="00E02653"/>
    <w:rsid w:val="00E046C9"/>
    <w:rsid w:val="00E050D2"/>
    <w:rsid w:val="00E05EFC"/>
    <w:rsid w:val="00E062DF"/>
    <w:rsid w:val="00E07CBD"/>
    <w:rsid w:val="00E100AE"/>
    <w:rsid w:val="00E1034D"/>
    <w:rsid w:val="00E12A6F"/>
    <w:rsid w:val="00E1354C"/>
    <w:rsid w:val="00E13DBC"/>
    <w:rsid w:val="00E14A8E"/>
    <w:rsid w:val="00E14CAC"/>
    <w:rsid w:val="00E151C6"/>
    <w:rsid w:val="00E16470"/>
    <w:rsid w:val="00E17EC4"/>
    <w:rsid w:val="00E20B7C"/>
    <w:rsid w:val="00E2132C"/>
    <w:rsid w:val="00E22BC6"/>
    <w:rsid w:val="00E22BD6"/>
    <w:rsid w:val="00E2503E"/>
    <w:rsid w:val="00E25A46"/>
    <w:rsid w:val="00E25F5D"/>
    <w:rsid w:val="00E267F9"/>
    <w:rsid w:val="00E2707A"/>
    <w:rsid w:val="00E27C35"/>
    <w:rsid w:val="00E27C59"/>
    <w:rsid w:val="00E308B7"/>
    <w:rsid w:val="00E32538"/>
    <w:rsid w:val="00E326B2"/>
    <w:rsid w:val="00E33EF8"/>
    <w:rsid w:val="00E349FF"/>
    <w:rsid w:val="00E35CEC"/>
    <w:rsid w:val="00E35ED9"/>
    <w:rsid w:val="00E36189"/>
    <w:rsid w:val="00E45FDE"/>
    <w:rsid w:val="00E52849"/>
    <w:rsid w:val="00E5453F"/>
    <w:rsid w:val="00E547B9"/>
    <w:rsid w:val="00E56DAD"/>
    <w:rsid w:val="00E60146"/>
    <w:rsid w:val="00E628BF"/>
    <w:rsid w:val="00E643E9"/>
    <w:rsid w:val="00E651C1"/>
    <w:rsid w:val="00E66C54"/>
    <w:rsid w:val="00E66EC6"/>
    <w:rsid w:val="00E71238"/>
    <w:rsid w:val="00E71304"/>
    <w:rsid w:val="00E72F4A"/>
    <w:rsid w:val="00E73215"/>
    <w:rsid w:val="00E74741"/>
    <w:rsid w:val="00E750A3"/>
    <w:rsid w:val="00E76693"/>
    <w:rsid w:val="00E76EA0"/>
    <w:rsid w:val="00E777A5"/>
    <w:rsid w:val="00E818F2"/>
    <w:rsid w:val="00E81E10"/>
    <w:rsid w:val="00E8200B"/>
    <w:rsid w:val="00E82024"/>
    <w:rsid w:val="00E82DFA"/>
    <w:rsid w:val="00E8547B"/>
    <w:rsid w:val="00E8566A"/>
    <w:rsid w:val="00E8794B"/>
    <w:rsid w:val="00E879E0"/>
    <w:rsid w:val="00E944EC"/>
    <w:rsid w:val="00E9453B"/>
    <w:rsid w:val="00E9484F"/>
    <w:rsid w:val="00E95878"/>
    <w:rsid w:val="00EA00A2"/>
    <w:rsid w:val="00EA0BB7"/>
    <w:rsid w:val="00EA1A86"/>
    <w:rsid w:val="00EA2690"/>
    <w:rsid w:val="00EA2823"/>
    <w:rsid w:val="00EA3079"/>
    <w:rsid w:val="00EA6DE4"/>
    <w:rsid w:val="00EB1198"/>
    <w:rsid w:val="00EB1E2C"/>
    <w:rsid w:val="00EB47A2"/>
    <w:rsid w:val="00EB53CD"/>
    <w:rsid w:val="00EB5C5F"/>
    <w:rsid w:val="00EC00D1"/>
    <w:rsid w:val="00EC0335"/>
    <w:rsid w:val="00EC1FAA"/>
    <w:rsid w:val="00EC276E"/>
    <w:rsid w:val="00EC2A5B"/>
    <w:rsid w:val="00EC2A75"/>
    <w:rsid w:val="00EC30BB"/>
    <w:rsid w:val="00EC39D7"/>
    <w:rsid w:val="00EC4482"/>
    <w:rsid w:val="00EC6297"/>
    <w:rsid w:val="00EC6591"/>
    <w:rsid w:val="00EC7AC2"/>
    <w:rsid w:val="00ED16FF"/>
    <w:rsid w:val="00ED2C6F"/>
    <w:rsid w:val="00ED4365"/>
    <w:rsid w:val="00ED5A45"/>
    <w:rsid w:val="00ED6154"/>
    <w:rsid w:val="00EE4C37"/>
    <w:rsid w:val="00EE527D"/>
    <w:rsid w:val="00EE5377"/>
    <w:rsid w:val="00EE570E"/>
    <w:rsid w:val="00EE5CF5"/>
    <w:rsid w:val="00EE6387"/>
    <w:rsid w:val="00EE64AC"/>
    <w:rsid w:val="00EF0D64"/>
    <w:rsid w:val="00EF2527"/>
    <w:rsid w:val="00EF4B75"/>
    <w:rsid w:val="00EF6BFD"/>
    <w:rsid w:val="00EF7600"/>
    <w:rsid w:val="00F006C5"/>
    <w:rsid w:val="00F009B3"/>
    <w:rsid w:val="00F0139C"/>
    <w:rsid w:val="00F02DCA"/>
    <w:rsid w:val="00F030C5"/>
    <w:rsid w:val="00F04F3F"/>
    <w:rsid w:val="00F06176"/>
    <w:rsid w:val="00F0716D"/>
    <w:rsid w:val="00F1232E"/>
    <w:rsid w:val="00F12C41"/>
    <w:rsid w:val="00F13642"/>
    <w:rsid w:val="00F148EA"/>
    <w:rsid w:val="00F15E2A"/>
    <w:rsid w:val="00F15EA9"/>
    <w:rsid w:val="00F16A53"/>
    <w:rsid w:val="00F20504"/>
    <w:rsid w:val="00F217CB"/>
    <w:rsid w:val="00F218D0"/>
    <w:rsid w:val="00F22686"/>
    <w:rsid w:val="00F230AE"/>
    <w:rsid w:val="00F236BA"/>
    <w:rsid w:val="00F26925"/>
    <w:rsid w:val="00F26A2E"/>
    <w:rsid w:val="00F271DB"/>
    <w:rsid w:val="00F27B55"/>
    <w:rsid w:val="00F301C6"/>
    <w:rsid w:val="00F309F0"/>
    <w:rsid w:val="00F311DA"/>
    <w:rsid w:val="00F325E3"/>
    <w:rsid w:val="00F32BE9"/>
    <w:rsid w:val="00F32E77"/>
    <w:rsid w:val="00F34A34"/>
    <w:rsid w:val="00F35E87"/>
    <w:rsid w:val="00F363AE"/>
    <w:rsid w:val="00F36A97"/>
    <w:rsid w:val="00F374DC"/>
    <w:rsid w:val="00F37C28"/>
    <w:rsid w:val="00F37D53"/>
    <w:rsid w:val="00F41174"/>
    <w:rsid w:val="00F43A89"/>
    <w:rsid w:val="00F44420"/>
    <w:rsid w:val="00F44F59"/>
    <w:rsid w:val="00F46286"/>
    <w:rsid w:val="00F46B8E"/>
    <w:rsid w:val="00F473AB"/>
    <w:rsid w:val="00F47DB8"/>
    <w:rsid w:val="00F50B65"/>
    <w:rsid w:val="00F51863"/>
    <w:rsid w:val="00F51C14"/>
    <w:rsid w:val="00F52AEB"/>
    <w:rsid w:val="00F56ABD"/>
    <w:rsid w:val="00F57460"/>
    <w:rsid w:val="00F5781A"/>
    <w:rsid w:val="00F6127C"/>
    <w:rsid w:val="00F61427"/>
    <w:rsid w:val="00F6460E"/>
    <w:rsid w:val="00F64A8E"/>
    <w:rsid w:val="00F66B84"/>
    <w:rsid w:val="00F73C49"/>
    <w:rsid w:val="00F75A9A"/>
    <w:rsid w:val="00F7774A"/>
    <w:rsid w:val="00F81562"/>
    <w:rsid w:val="00F8269E"/>
    <w:rsid w:val="00F82798"/>
    <w:rsid w:val="00F82E5E"/>
    <w:rsid w:val="00F83626"/>
    <w:rsid w:val="00F85212"/>
    <w:rsid w:val="00F85CE9"/>
    <w:rsid w:val="00F86C43"/>
    <w:rsid w:val="00F87379"/>
    <w:rsid w:val="00F93D10"/>
    <w:rsid w:val="00F95692"/>
    <w:rsid w:val="00F960C6"/>
    <w:rsid w:val="00F961DE"/>
    <w:rsid w:val="00F96E5E"/>
    <w:rsid w:val="00FA10BC"/>
    <w:rsid w:val="00FA324D"/>
    <w:rsid w:val="00FA45E6"/>
    <w:rsid w:val="00FA59CE"/>
    <w:rsid w:val="00FA6A7B"/>
    <w:rsid w:val="00FB0891"/>
    <w:rsid w:val="00FB255B"/>
    <w:rsid w:val="00FB3B38"/>
    <w:rsid w:val="00FB3F7D"/>
    <w:rsid w:val="00FC226E"/>
    <w:rsid w:val="00FC2562"/>
    <w:rsid w:val="00FC3E21"/>
    <w:rsid w:val="00FC44FA"/>
    <w:rsid w:val="00FC6057"/>
    <w:rsid w:val="00FD2902"/>
    <w:rsid w:val="00FD3D91"/>
    <w:rsid w:val="00FD41FA"/>
    <w:rsid w:val="00FD597E"/>
    <w:rsid w:val="00FD5DE8"/>
    <w:rsid w:val="00FD5EF0"/>
    <w:rsid w:val="00FD6604"/>
    <w:rsid w:val="00FD6A90"/>
    <w:rsid w:val="00FE0060"/>
    <w:rsid w:val="00FE0218"/>
    <w:rsid w:val="00FE3BBD"/>
    <w:rsid w:val="00FE3FC0"/>
    <w:rsid w:val="00FE405A"/>
    <w:rsid w:val="00FE47C9"/>
    <w:rsid w:val="00FE4C3C"/>
    <w:rsid w:val="00FE5398"/>
    <w:rsid w:val="00FE5A83"/>
    <w:rsid w:val="00FE69B9"/>
    <w:rsid w:val="00FE7607"/>
    <w:rsid w:val="00FF0065"/>
    <w:rsid w:val="00FF2F22"/>
    <w:rsid w:val="00FF390F"/>
    <w:rsid w:val="00FF3D88"/>
    <w:rsid w:val="00FF57B7"/>
    <w:rsid w:val="00FF5E8E"/>
    <w:rsid w:val="00FF62E1"/>
    <w:rsid w:val="00FF6EA0"/>
    <w:rsid w:val="00FF742E"/>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0B"/>
    <w:pPr>
      <w:tabs>
        <w:tab w:val="left" w:pos="720"/>
      </w:tabs>
      <w:spacing w:after="0" w:line="480" w:lineRule="atLeast"/>
    </w:pPr>
    <w:rPr>
      <w:rFonts w:ascii="Times New Roman" w:eastAsiaTheme="minorEastAsia" w:hAnsi="Times New Roman" w:cs="Times New Roman"/>
      <w:sz w:val="26"/>
      <w:lang w:bidi="en-US"/>
    </w:rPr>
  </w:style>
  <w:style w:type="paragraph" w:styleId="Heading1">
    <w:name w:val="heading 1"/>
    <w:basedOn w:val="Normal"/>
    <w:next w:val="Normal"/>
    <w:link w:val="Heading1Char"/>
    <w:uiPriority w:val="9"/>
    <w:qFormat/>
    <w:rsid w:val="00543A0B"/>
    <w:pPr>
      <w:contextualSpacing/>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543A0B"/>
    <w:pPr>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543A0B"/>
    <w:pP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543A0B"/>
    <w:pPr>
      <w:outlineLvl w:val="3"/>
    </w:pPr>
    <w:rPr>
      <w:rFonts w:eastAsiaTheme="majorEastAsia" w:cstheme="majorBidi"/>
      <w:bCs/>
      <w:iCs/>
      <w:sz w:val="28"/>
      <w:szCs w:val="28"/>
    </w:rPr>
  </w:style>
  <w:style w:type="paragraph" w:styleId="Heading5">
    <w:name w:val="heading 5"/>
    <w:basedOn w:val="Normal"/>
    <w:next w:val="Normal"/>
    <w:link w:val="Heading5Char"/>
    <w:uiPriority w:val="9"/>
    <w:unhideWhenUsed/>
    <w:qFormat/>
    <w:rsid w:val="00543A0B"/>
    <w:pPr>
      <w:outlineLvl w:val="4"/>
    </w:pPr>
    <w:rPr>
      <w:rFonts w:eastAsiaTheme="majorEastAsia" w:cstheme="majorBidi"/>
      <w:bCs/>
      <w:sz w:val="28"/>
      <w:szCs w:val="28"/>
    </w:rPr>
  </w:style>
  <w:style w:type="paragraph" w:styleId="Heading6">
    <w:name w:val="heading 6"/>
    <w:basedOn w:val="Heading5"/>
    <w:next w:val="Normal"/>
    <w:link w:val="Heading6Char"/>
    <w:uiPriority w:val="9"/>
    <w:unhideWhenUsed/>
    <w:qFormat/>
    <w:rsid w:val="00543A0B"/>
    <w:pPr>
      <w:outlineLvl w:val="5"/>
    </w:pPr>
  </w:style>
  <w:style w:type="paragraph" w:styleId="Heading7">
    <w:name w:val="heading 7"/>
    <w:basedOn w:val="Heading5"/>
    <w:next w:val="Normal"/>
    <w:link w:val="Heading7Char"/>
    <w:uiPriority w:val="9"/>
    <w:unhideWhenUsed/>
    <w:qFormat/>
    <w:rsid w:val="00543A0B"/>
    <w:pPr>
      <w:outlineLvl w:val="6"/>
    </w:pPr>
  </w:style>
  <w:style w:type="paragraph" w:styleId="Heading8">
    <w:name w:val="heading 8"/>
    <w:basedOn w:val="Heading5"/>
    <w:next w:val="Normal"/>
    <w:link w:val="Heading8Char"/>
    <w:uiPriority w:val="9"/>
    <w:unhideWhenUsed/>
    <w:qFormat/>
    <w:rsid w:val="00543A0B"/>
    <w:pPr>
      <w:outlineLvl w:val="7"/>
    </w:pPr>
  </w:style>
  <w:style w:type="paragraph" w:styleId="Heading9">
    <w:name w:val="heading 9"/>
    <w:basedOn w:val="Normal"/>
    <w:next w:val="Normal"/>
    <w:link w:val="Heading9Char"/>
    <w:uiPriority w:val="9"/>
    <w:semiHidden/>
    <w:unhideWhenUsed/>
    <w:qFormat/>
    <w:rsid w:val="00543A0B"/>
    <w:pPr>
      <w:outlineLvl w:val="8"/>
    </w:pPr>
    <w:rPr>
      <w:rFonts w:eastAsiaTheme="majorEastAsia" w:cstheme="majorBidi"/>
      <w:i/>
      <w:iCs/>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43A0B"/>
    <w:rPr>
      <w:rFonts w:ascii="Times New Roman" w:eastAsiaTheme="majorEastAsia" w:hAnsi="Times New Roman" w:cstheme="majorBidi"/>
      <w:i/>
      <w:iCs/>
      <w:spacing w:val="5"/>
      <w:sz w:val="28"/>
      <w:szCs w:val="20"/>
      <w:lang w:bidi="en-US"/>
    </w:rPr>
  </w:style>
  <w:style w:type="character" w:customStyle="1" w:styleId="Heading1Char">
    <w:name w:val="Heading 1 Char"/>
    <w:basedOn w:val="DefaultParagraphFont"/>
    <w:link w:val="Heading1"/>
    <w:uiPriority w:val="9"/>
    <w:rsid w:val="00543A0B"/>
    <w:rPr>
      <w:rFonts w:ascii="Times New Roman" w:eastAsiaTheme="majorEastAsia" w:hAnsi="Times New Roman" w:cstheme="majorBidi"/>
      <w:bCs/>
      <w:sz w:val="28"/>
      <w:szCs w:val="28"/>
      <w:lang w:bidi="en-US"/>
    </w:rPr>
  </w:style>
  <w:style w:type="character" w:customStyle="1" w:styleId="Heading2Char">
    <w:name w:val="Heading 2 Char"/>
    <w:basedOn w:val="DefaultParagraphFont"/>
    <w:link w:val="Heading2"/>
    <w:uiPriority w:val="9"/>
    <w:rsid w:val="00543A0B"/>
    <w:rPr>
      <w:rFonts w:ascii="Times New Roman" w:eastAsiaTheme="majorEastAsia" w:hAnsi="Times New Roman" w:cstheme="majorBidi"/>
      <w:bCs/>
      <w:sz w:val="28"/>
      <w:szCs w:val="28"/>
      <w:lang w:bidi="en-US"/>
    </w:rPr>
  </w:style>
  <w:style w:type="character" w:customStyle="1" w:styleId="Heading3Char">
    <w:name w:val="Heading 3 Char"/>
    <w:basedOn w:val="DefaultParagraphFont"/>
    <w:link w:val="Heading3"/>
    <w:uiPriority w:val="9"/>
    <w:rsid w:val="00543A0B"/>
    <w:rPr>
      <w:rFonts w:ascii="Times New Roman" w:eastAsiaTheme="majorEastAsia" w:hAnsi="Times New Roman" w:cstheme="majorBidi"/>
      <w:bCs/>
      <w:sz w:val="28"/>
      <w:szCs w:val="28"/>
      <w:lang w:bidi="en-US"/>
    </w:rPr>
  </w:style>
  <w:style w:type="character" w:customStyle="1" w:styleId="Heading4Char">
    <w:name w:val="Heading 4 Char"/>
    <w:basedOn w:val="DefaultParagraphFont"/>
    <w:link w:val="Heading4"/>
    <w:uiPriority w:val="9"/>
    <w:rsid w:val="00543A0B"/>
    <w:rPr>
      <w:rFonts w:ascii="Times New Roman" w:eastAsiaTheme="majorEastAsia" w:hAnsi="Times New Roman" w:cstheme="majorBidi"/>
      <w:bCs/>
      <w:iCs/>
      <w:sz w:val="28"/>
      <w:szCs w:val="28"/>
      <w:lang w:bidi="en-US"/>
    </w:rPr>
  </w:style>
  <w:style w:type="character" w:customStyle="1" w:styleId="Heading5Char">
    <w:name w:val="Heading 5 Char"/>
    <w:basedOn w:val="DefaultParagraphFont"/>
    <w:link w:val="Heading5"/>
    <w:uiPriority w:val="9"/>
    <w:rsid w:val="00543A0B"/>
    <w:rPr>
      <w:rFonts w:ascii="Times New Roman" w:eastAsiaTheme="majorEastAsia" w:hAnsi="Times New Roman" w:cstheme="majorBidi"/>
      <w:bCs/>
      <w:sz w:val="28"/>
      <w:szCs w:val="28"/>
      <w:lang w:bidi="en-US"/>
    </w:rPr>
  </w:style>
  <w:style w:type="character" w:customStyle="1" w:styleId="Heading6Char">
    <w:name w:val="Heading 6 Char"/>
    <w:basedOn w:val="DefaultParagraphFont"/>
    <w:link w:val="Heading6"/>
    <w:uiPriority w:val="9"/>
    <w:rsid w:val="00543A0B"/>
    <w:rPr>
      <w:rFonts w:ascii="Times New Roman" w:eastAsiaTheme="majorEastAsia" w:hAnsi="Times New Roman" w:cstheme="majorBidi"/>
      <w:bCs/>
      <w:sz w:val="28"/>
      <w:szCs w:val="28"/>
      <w:lang w:bidi="en-US"/>
    </w:rPr>
  </w:style>
  <w:style w:type="character" w:customStyle="1" w:styleId="Heading7Char">
    <w:name w:val="Heading 7 Char"/>
    <w:basedOn w:val="DefaultParagraphFont"/>
    <w:link w:val="Heading7"/>
    <w:uiPriority w:val="9"/>
    <w:rsid w:val="00543A0B"/>
    <w:rPr>
      <w:rFonts w:ascii="Times New Roman" w:eastAsiaTheme="majorEastAsia" w:hAnsi="Times New Roman" w:cstheme="majorBidi"/>
      <w:bCs/>
      <w:sz w:val="28"/>
      <w:szCs w:val="28"/>
      <w:lang w:bidi="en-US"/>
    </w:rPr>
  </w:style>
  <w:style w:type="character" w:customStyle="1" w:styleId="Heading8Char">
    <w:name w:val="Heading 8 Char"/>
    <w:basedOn w:val="DefaultParagraphFont"/>
    <w:link w:val="Heading8"/>
    <w:uiPriority w:val="9"/>
    <w:rsid w:val="00543A0B"/>
    <w:rPr>
      <w:rFonts w:ascii="Times New Roman" w:eastAsiaTheme="majorEastAsia" w:hAnsi="Times New Roman" w:cstheme="majorBidi"/>
      <w:bCs/>
      <w:sz w:val="28"/>
      <w:szCs w:val="28"/>
      <w:lang w:bidi="en-US"/>
    </w:rPr>
  </w:style>
  <w:style w:type="paragraph" w:styleId="Title">
    <w:name w:val="Title"/>
    <w:basedOn w:val="Normal"/>
    <w:next w:val="Normal"/>
    <w:link w:val="TitleChar"/>
    <w:uiPriority w:val="10"/>
    <w:qFormat/>
    <w:rsid w:val="00543A0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A0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543A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A0B"/>
    <w:rPr>
      <w:rFonts w:asciiTheme="majorHAnsi" w:eastAsiaTheme="majorEastAsia" w:hAnsiTheme="majorHAnsi" w:cstheme="majorBidi"/>
      <w:i/>
      <w:iCs/>
      <w:spacing w:val="13"/>
      <w:sz w:val="24"/>
      <w:szCs w:val="24"/>
      <w:lang w:bidi="en-US"/>
    </w:rPr>
  </w:style>
  <w:style w:type="character" w:styleId="Strong">
    <w:name w:val="Strong"/>
    <w:uiPriority w:val="22"/>
    <w:qFormat/>
    <w:rsid w:val="00543A0B"/>
    <w:rPr>
      <w:b/>
      <w:bCs/>
    </w:rPr>
  </w:style>
  <w:style w:type="character" w:styleId="Emphasis">
    <w:name w:val="Emphasis"/>
    <w:uiPriority w:val="20"/>
    <w:qFormat/>
    <w:rsid w:val="00543A0B"/>
    <w:rPr>
      <w:b/>
      <w:bCs/>
      <w:i/>
      <w:iCs/>
      <w:spacing w:val="10"/>
      <w:bdr w:val="none" w:sz="0" w:space="0" w:color="auto"/>
      <w:shd w:val="clear" w:color="auto" w:fill="auto"/>
    </w:rPr>
  </w:style>
  <w:style w:type="paragraph" w:styleId="DocumentMap">
    <w:name w:val="Document Map"/>
    <w:basedOn w:val="Normal"/>
    <w:link w:val="DocumentMapChar"/>
    <w:uiPriority w:val="99"/>
    <w:semiHidden/>
    <w:unhideWhenUsed/>
    <w:rsid w:val="00543A0B"/>
    <w:rPr>
      <w:rFonts w:ascii="Tahoma" w:hAnsi="Tahoma" w:cs="Tahoma"/>
      <w:sz w:val="16"/>
      <w:szCs w:val="16"/>
    </w:rPr>
  </w:style>
  <w:style w:type="character" w:customStyle="1" w:styleId="DocumentMapChar">
    <w:name w:val="Document Map Char"/>
    <w:basedOn w:val="DefaultParagraphFont"/>
    <w:link w:val="DocumentMap"/>
    <w:uiPriority w:val="99"/>
    <w:semiHidden/>
    <w:rsid w:val="00543A0B"/>
    <w:rPr>
      <w:rFonts w:ascii="Tahoma" w:eastAsiaTheme="minorEastAsia" w:hAnsi="Tahoma" w:cs="Tahoma"/>
      <w:sz w:val="16"/>
      <w:szCs w:val="16"/>
      <w:lang w:bidi="en-US"/>
    </w:rPr>
  </w:style>
  <w:style w:type="paragraph" w:styleId="NoSpacing">
    <w:name w:val="No Spacing"/>
    <w:basedOn w:val="Normal"/>
    <w:uiPriority w:val="1"/>
    <w:qFormat/>
    <w:rsid w:val="00543A0B"/>
  </w:style>
  <w:style w:type="paragraph" w:styleId="ListParagraph">
    <w:name w:val="List Paragraph"/>
    <w:basedOn w:val="Normal"/>
    <w:uiPriority w:val="34"/>
    <w:qFormat/>
    <w:rsid w:val="00543A0B"/>
    <w:pPr>
      <w:ind w:left="720"/>
      <w:contextualSpacing/>
    </w:pPr>
  </w:style>
  <w:style w:type="paragraph" w:styleId="Quote">
    <w:name w:val="Quote"/>
    <w:basedOn w:val="Normal"/>
    <w:next w:val="Normal"/>
    <w:link w:val="QuoteChar"/>
    <w:uiPriority w:val="29"/>
    <w:qFormat/>
    <w:rsid w:val="00543A0B"/>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543A0B"/>
    <w:rPr>
      <w:rFonts w:eastAsiaTheme="minorEastAsia"/>
      <w:i/>
      <w:iCs/>
      <w:lang w:bidi="en-US"/>
    </w:rPr>
  </w:style>
  <w:style w:type="paragraph" w:styleId="IntenseQuote">
    <w:name w:val="Intense Quote"/>
    <w:basedOn w:val="Normal"/>
    <w:next w:val="Normal"/>
    <w:link w:val="IntenseQuoteChar"/>
    <w:uiPriority w:val="30"/>
    <w:qFormat/>
    <w:rsid w:val="00543A0B"/>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543A0B"/>
    <w:rPr>
      <w:rFonts w:eastAsiaTheme="minorEastAsia"/>
      <w:b/>
      <w:bCs/>
      <w:i/>
      <w:iCs/>
      <w:lang w:bidi="en-US"/>
    </w:rPr>
  </w:style>
  <w:style w:type="character" w:styleId="SubtleEmphasis">
    <w:name w:val="Subtle Emphasis"/>
    <w:uiPriority w:val="19"/>
    <w:qFormat/>
    <w:rsid w:val="00543A0B"/>
    <w:rPr>
      <w:i/>
      <w:iCs/>
    </w:rPr>
  </w:style>
  <w:style w:type="character" w:styleId="IntenseEmphasis">
    <w:name w:val="Intense Emphasis"/>
    <w:uiPriority w:val="21"/>
    <w:qFormat/>
    <w:rsid w:val="00543A0B"/>
    <w:rPr>
      <w:b/>
      <w:bCs/>
    </w:rPr>
  </w:style>
  <w:style w:type="character" w:styleId="SubtleReference">
    <w:name w:val="Subtle Reference"/>
    <w:uiPriority w:val="31"/>
    <w:qFormat/>
    <w:rsid w:val="00543A0B"/>
    <w:rPr>
      <w:smallCaps/>
    </w:rPr>
  </w:style>
  <w:style w:type="character" w:styleId="IntenseReference">
    <w:name w:val="Intense Reference"/>
    <w:uiPriority w:val="32"/>
    <w:qFormat/>
    <w:rsid w:val="00543A0B"/>
    <w:rPr>
      <w:smallCaps/>
      <w:spacing w:val="5"/>
      <w:u w:val="single"/>
    </w:rPr>
  </w:style>
  <w:style w:type="character" w:styleId="BookTitle">
    <w:name w:val="Book Title"/>
    <w:uiPriority w:val="33"/>
    <w:qFormat/>
    <w:rsid w:val="00543A0B"/>
    <w:rPr>
      <w:i/>
      <w:iCs/>
      <w:smallCaps/>
      <w:spacing w:val="5"/>
    </w:rPr>
  </w:style>
  <w:style w:type="paragraph" w:styleId="TOCHeading">
    <w:name w:val="TOC Heading"/>
    <w:basedOn w:val="Heading1"/>
    <w:next w:val="Normal"/>
    <w:uiPriority w:val="39"/>
    <w:semiHidden/>
    <w:unhideWhenUsed/>
    <w:qFormat/>
    <w:rsid w:val="00543A0B"/>
    <w:pPr>
      <w:outlineLvl w:val="9"/>
    </w:pPr>
    <w:rPr>
      <w:sz w:val="26"/>
    </w:rPr>
  </w:style>
  <w:style w:type="paragraph" w:styleId="Header">
    <w:name w:val="header"/>
    <w:basedOn w:val="Normal"/>
    <w:link w:val="HeaderChar"/>
    <w:uiPriority w:val="99"/>
    <w:unhideWhenUsed/>
    <w:rsid w:val="008730E9"/>
    <w:pPr>
      <w:tabs>
        <w:tab w:val="center" w:pos="4680"/>
        <w:tab w:val="right" w:pos="9360"/>
      </w:tabs>
    </w:pPr>
  </w:style>
  <w:style w:type="character" w:customStyle="1" w:styleId="HeaderChar">
    <w:name w:val="Header Char"/>
    <w:basedOn w:val="DefaultParagraphFont"/>
    <w:link w:val="Header"/>
    <w:uiPriority w:val="99"/>
    <w:rsid w:val="008730E9"/>
    <w:rPr>
      <w:rFonts w:ascii="Times New Roman" w:eastAsiaTheme="minorEastAsia" w:hAnsi="Times New Roman"/>
      <w:sz w:val="26"/>
      <w:lang w:bidi="en-US"/>
    </w:rPr>
  </w:style>
  <w:style w:type="paragraph" w:styleId="Footer">
    <w:name w:val="footer"/>
    <w:basedOn w:val="Normal"/>
    <w:link w:val="FooterChar"/>
    <w:uiPriority w:val="99"/>
    <w:unhideWhenUsed/>
    <w:rsid w:val="008730E9"/>
    <w:pPr>
      <w:tabs>
        <w:tab w:val="center" w:pos="4680"/>
        <w:tab w:val="right" w:pos="9360"/>
      </w:tabs>
    </w:pPr>
  </w:style>
  <w:style w:type="character" w:customStyle="1" w:styleId="FooterChar">
    <w:name w:val="Footer Char"/>
    <w:basedOn w:val="DefaultParagraphFont"/>
    <w:link w:val="Footer"/>
    <w:uiPriority w:val="99"/>
    <w:rsid w:val="008730E9"/>
    <w:rPr>
      <w:rFonts w:ascii="Times New Roman" w:eastAsiaTheme="minorEastAsia" w:hAnsi="Times New Roman"/>
      <w:sz w:val="26"/>
      <w:lang w:bidi="en-US"/>
    </w:rPr>
  </w:style>
  <w:style w:type="character" w:styleId="PageNumber">
    <w:name w:val="page number"/>
    <w:basedOn w:val="DefaultParagraphFont"/>
    <w:uiPriority w:val="99"/>
    <w:semiHidden/>
    <w:unhideWhenUsed/>
    <w:rsid w:val="008730E9"/>
  </w:style>
  <w:style w:type="paragraph" w:styleId="FootnoteText">
    <w:name w:val="footnote text"/>
    <w:link w:val="FootnoteTextChar"/>
    <w:uiPriority w:val="99"/>
    <w:unhideWhenUsed/>
    <w:rsid w:val="008730E9"/>
    <w:pPr>
      <w:spacing w:line="240" w:lineRule="auto"/>
    </w:pPr>
    <w:rPr>
      <w:rFonts w:ascii="Times New Roman" w:eastAsiaTheme="minorEastAsia" w:hAnsi="Times New Roman" w:cs="Times New Roman"/>
      <w:sz w:val="26"/>
      <w:szCs w:val="20"/>
      <w:lang w:bidi="en-US"/>
    </w:rPr>
  </w:style>
  <w:style w:type="character" w:customStyle="1" w:styleId="FootnoteTextChar">
    <w:name w:val="Footnote Text Char"/>
    <w:basedOn w:val="DefaultParagraphFont"/>
    <w:link w:val="FootnoteText"/>
    <w:uiPriority w:val="99"/>
    <w:rsid w:val="008730E9"/>
    <w:rPr>
      <w:rFonts w:ascii="Times New Roman" w:eastAsiaTheme="minorEastAsia" w:hAnsi="Times New Roman" w:cs="Times New Roman"/>
      <w:sz w:val="26"/>
      <w:szCs w:val="20"/>
      <w:lang w:bidi="en-US"/>
    </w:rPr>
  </w:style>
  <w:style w:type="character" w:styleId="FootnoteReference">
    <w:name w:val="footnote reference"/>
    <w:basedOn w:val="DefaultParagraphFont"/>
    <w:uiPriority w:val="99"/>
    <w:semiHidden/>
    <w:unhideWhenUsed/>
    <w:rsid w:val="00314F81"/>
    <w:rPr>
      <w:vertAlign w:val="superscript"/>
    </w:rPr>
  </w:style>
  <w:style w:type="paragraph" w:styleId="BalloonText">
    <w:name w:val="Balloon Text"/>
    <w:basedOn w:val="Normal"/>
    <w:link w:val="BalloonTextChar"/>
    <w:uiPriority w:val="99"/>
    <w:semiHidden/>
    <w:unhideWhenUsed/>
    <w:rsid w:val="00760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58"/>
    <w:rPr>
      <w:rFonts w:ascii="Segoe UI" w:eastAsiaTheme="minorEastAsia"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0B"/>
    <w:pPr>
      <w:tabs>
        <w:tab w:val="left" w:pos="720"/>
      </w:tabs>
      <w:spacing w:after="0" w:line="480" w:lineRule="atLeast"/>
    </w:pPr>
    <w:rPr>
      <w:rFonts w:ascii="Times New Roman" w:eastAsiaTheme="minorEastAsia" w:hAnsi="Times New Roman" w:cs="Times New Roman"/>
      <w:sz w:val="26"/>
      <w:lang w:bidi="en-US"/>
    </w:rPr>
  </w:style>
  <w:style w:type="paragraph" w:styleId="Heading1">
    <w:name w:val="heading 1"/>
    <w:basedOn w:val="Normal"/>
    <w:next w:val="Normal"/>
    <w:link w:val="Heading1Char"/>
    <w:uiPriority w:val="9"/>
    <w:qFormat/>
    <w:rsid w:val="00543A0B"/>
    <w:pPr>
      <w:contextualSpacing/>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543A0B"/>
    <w:pPr>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543A0B"/>
    <w:pP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543A0B"/>
    <w:pPr>
      <w:outlineLvl w:val="3"/>
    </w:pPr>
    <w:rPr>
      <w:rFonts w:eastAsiaTheme="majorEastAsia" w:cstheme="majorBidi"/>
      <w:bCs/>
      <w:iCs/>
      <w:sz w:val="28"/>
      <w:szCs w:val="28"/>
    </w:rPr>
  </w:style>
  <w:style w:type="paragraph" w:styleId="Heading5">
    <w:name w:val="heading 5"/>
    <w:basedOn w:val="Normal"/>
    <w:next w:val="Normal"/>
    <w:link w:val="Heading5Char"/>
    <w:uiPriority w:val="9"/>
    <w:unhideWhenUsed/>
    <w:qFormat/>
    <w:rsid w:val="00543A0B"/>
    <w:pPr>
      <w:outlineLvl w:val="4"/>
    </w:pPr>
    <w:rPr>
      <w:rFonts w:eastAsiaTheme="majorEastAsia" w:cstheme="majorBidi"/>
      <w:bCs/>
      <w:sz w:val="28"/>
      <w:szCs w:val="28"/>
    </w:rPr>
  </w:style>
  <w:style w:type="paragraph" w:styleId="Heading6">
    <w:name w:val="heading 6"/>
    <w:basedOn w:val="Heading5"/>
    <w:next w:val="Normal"/>
    <w:link w:val="Heading6Char"/>
    <w:uiPriority w:val="9"/>
    <w:unhideWhenUsed/>
    <w:qFormat/>
    <w:rsid w:val="00543A0B"/>
    <w:pPr>
      <w:outlineLvl w:val="5"/>
    </w:pPr>
  </w:style>
  <w:style w:type="paragraph" w:styleId="Heading7">
    <w:name w:val="heading 7"/>
    <w:basedOn w:val="Heading5"/>
    <w:next w:val="Normal"/>
    <w:link w:val="Heading7Char"/>
    <w:uiPriority w:val="9"/>
    <w:unhideWhenUsed/>
    <w:qFormat/>
    <w:rsid w:val="00543A0B"/>
    <w:pPr>
      <w:outlineLvl w:val="6"/>
    </w:pPr>
  </w:style>
  <w:style w:type="paragraph" w:styleId="Heading8">
    <w:name w:val="heading 8"/>
    <w:basedOn w:val="Heading5"/>
    <w:next w:val="Normal"/>
    <w:link w:val="Heading8Char"/>
    <w:uiPriority w:val="9"/>
    <w:unhideWhenUsed/>
    <w:qFormat/>
    <w:rsid w:val="00543A0B"/>
    <w:pPr>
      <w:outlineLvl w:val="7"/>
    </w:pPr>
  </w:style>
  <w:style w:type="paragraph" w:styleId="Heading9">
    <w:name w:val="heading 9"/>
    <w:basedOn w:val="Normal"/>
    <w:next w:val="Normal"/>
    <w:link w:val="Heading9Char"/>
    <w:uiPriority w:val="9"/>
    <w:semiHidden/>
    <w:unhideWhenUsed/>
    <w:qFormat/>
    <w:rsid w:val="00543A0B"/>
    <w:pPr>
      <w:outlineLvl w:val="8"/>
    </w:pPr>
    <w:rPr>
      <w:rFonts w:eastAsiaTheme="majorEastAsia" w:cstheme="majorBidi"/>
      <w:i/>
      <w:iCs/>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43A0B"/>
    <w:rPr>
      <w:rFonts w:ascii="Times New Roman" w:eastAsiaTheme="majorEastAsia" w:hAnsi="Times New Roman" w:cstheme="majorBidi"/>
      <w:i/>
      <w:iCs/>
      <w:spacing w:val="5"/>
      <w:sz w:val="28"/>
      <w:szCs w:val="20"/>
      <w:lang w:bidi="en-US"/>
    </w:rPr>
  </w:style>
  <w:style w:type="character" w:customStyle="1" w:styleId="Heading1Char">
    <w:name w:val="Heading 1 Char"/>
    <w:basedOn w:val="DefaultParagraphFont"/>
    <w:link w:val="Heading1"/>
    <w:uiPriority w:val="9"/>
    <w:rsid w:val="00543A0B"/>
    <w:rPr>
      <w:rFonts w:ascii="Times New Roman" w:eastAsiaTheme="majorEastAsia" w:hAnsi="Times New Roman" w:cstheme="majorBidi"/>
      <w:bCs/>
      <w:sz w:val="28"/>
      <w:szCs w:val="28"/>
      <w:lang w:bidi="en-US"/>
    </w:rPr>
  </w:style>
  <w:style w:type="character" w:customStyle="1" w:styleId="Heading2Char">
    <w:name w:val="Heading 2 Char"/>
    <w:basedOn w:val="DefaultParagraphFont"/>
    <w:link w:val="Heading2"/>
    <w:uiPriority w:val="9"/>
    <w:rsid w:val="00543A0B"/>
    <w:rPr>
      <w:rFonts w:ascii="Times New Roman" w:eastAsiaTheme="majorEastAsia" w:hAnsi="Times New Roman" w:cstheme="majorBidi"/>
      <w:bCs/>
      <w:sz w:val="28"/>
      <w:szCs w:val="28"/>
      <w:lang w:bidi="en-US"/>
    </w:rPr>
  </w:style>
  <w:style w:type="character" w:customStyle="1" w:styleId="Heading3Char">
    <w:name w:val="Heading 3 Char"/>
    <w:basedOn w:val="DefaultParagraphFont"/>
    <w:link w:val="Heading3"/>
    <w:uiPriority w:val="9"/>
    <w:rsid w:val="00543A0B"/>
    <w:rPr>
      <w:rFonts w:ascii="Times New Roman" w:eastAsiaTheme="majorEastAsia" w:hAnsi="Times New Roman" w:cstheme="majorBidi"/>
      <w:bCs/>
      <w:sz w:val="28"/>
      <w:szCs w:val="28"/>
      <w:lang w:bidi="en-US"/>
    </w:rPr>
  </w:style>
  <w:style w:type="character" w:customStyle="1" w:styleId="Heading4Char">
    <w:name w:val="Heading 4 Char"/>
    <w:basedOn w:val="DefaultParagraphFont"/>
    <w:link w:val="Heading4"/>
    <w:uiPriority w:val="9"/>
    <w:rsid w:val="00543A0B"/>
    <w:rPr>
      <w:rFonts w:ascii="Times New Roman" w:eastAsiaTheme="majorEastAsia" w:hAnsi="Times New Roman" w:cstheme="majorBidi"/>
      <w:bCs/>
      <w:iCs/>
      <w:sz w:val="28"/>
      <w:szCs w:val="28"/>
      <w:lang w:bidi="en-US"/>
    </w:rPr>
  </w:style>
  <w:style w:type="character" w:customStyle="1" w:styleId="Heading5Char">
    <w:name w:val="Heading 5 Char"/>
    <w:basedOn w:val="DefaultParagraphFont"/>
    <w:link w:val="Heading5"/>
    <w:uiPriority w:val="9"/>
    <w:rsid w:val="00543A0B"/>
    <w:rPr>
      <w:rFonts w:ascii="Times New Roman" w:eastAsiaTheme="majorEastAsia" w:hAnsi="Times New Roman" w:cstheme="majorBidi"/>
      <w:bCs/>
      <w:sz w:val="28"/>
      <w:szCs w:val="28"/>
      <w:lang w:bidi="en-US"/>
    </w:rPr>
  </w:style>
  <w:style w:type="character" w:customStyle="1" w:styleId="Heading6Char">
    <w:name w:val="Heading 6 Char"/>
    <w:basedOn w:val="DefaultParagraphFont"/>
    <w:link w:val="Heading6"/>
    <w:uiPriority w:val="9"/>
    <w:rsid w:val="00543A0B"/>
    <w:rPr>
      <w:rFonts w:ascii="Times New Roman" w:eastAsiaTheme="majorEastAsia" w:hAnsi="Times New Roman" w:cstheme="majorBidi"/>
      <w:bCs/>
      <w:sz w:val="28"/>
      <w:szCs w:val="28"/>
      <w:lang w:bidi="en-US"/>
    </w:rPr>
  </w:style>
  <w:style w:type="character" w:customStyle="1" w:styleId="Heading7Char">
    <w:name w:val="Heading 7 Char"/>
    <w:basedOn w:val="DefaultParagraphFont"/>
    <w:link w:val="Heading7"/>
    <w:uiPriority w:val="9"/>
    <w:rsid w:val="00543A0B"/>
    <w:rPr>
      <w:rFonts w:ascii="Times New Roman" w:eastAsiaTheme="majorEastAsia" w:hAnsi="Times New Roman" w:cstheme="majorBidi"/>
      <w:bCs/>
      <w:sz w:val="28"/>
      <w:szCs w:val="28"/>
      <w:lang w:bidi="en-US"/>
    </w:rPr>
  </w:style>
  <w:style w:type="character" w:customStyle="1" w:styleId="Heading8Char">
    <w:name w:val="Heading 8 Char"/>
    <w:basedOn w:val="DefaultParagraphFont"/>
    <w:link w:val="Heading8"/>
    <w:uiPriority w:val="9"/>
    <w:rsid w:val="00543A0B"/>
    <w:rPr>
      <w:rFonts w:ascii="Times New Roman" w:eastAsiaTheme="majorEastAsia" w:hAnsi="Times New Roman" w:cstheme="majorBidi"/>
      <w:bCs/>
      <w:sz w:val="28"/>
      <w:szCs w:val="28"/>
      <w:lang w:bidi="en-US"/>
    </w:rPr>
  </w:style>
  <w:style w:type="paragraph" w:styleId="Title">
    <w:name w:val="Title"/>
    <w:basedOn w:val="Normal"/>
    <w:next w:val="Normal"/>
    <w:link w:val="TitleChar"/>
    <w:uiPriority w:val="10"/>
    <w:qFormat/>
    <w:rsid w:val="00543A0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A0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543A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A0B"/>
    <w:rPr>
      <w:rFonts w:asciiTheme="majorHAnsi" w:eastAsiaTheme="majorEastAsia" w:hAnsiTheme="majorHAnsi" w:cstheme="majorBidi"/>
      <w:i/>
      <w:iCs/>
      <w:spacing w:val="13"/>
      <w:sz w:val="24"/>
      <w:szCs w:val="24"/>
      <w:lang w:bidi="en-US"/>
    </w:rPr>
  </w:style>
  <w:style w:type="character" w:styleId="Strong">
    <w:name w:val="Strong"/>
    <w:uiPriority w:val="22"/>
    <w:qFormat/>
    <w:rsid w:val="00543A0B"/>
    <w:rPr>
      <w:b/>
      <w:bCs/>
    </w:rPr>
  </w:style>
  <w:style w:type="character" w:styleId="Emphasis">
    <w:name w:val="Emphasis"/>
    <w:uiPriority w:val="20"/>
    <w:qFormat/>
    <w:rsid w:val="00543A0B"/>
    <w:rPr>
      <w:b/>
      <w:bCs/>
      <w:i/>
      <w:iCs/>
      <w:spacing w:val="10"/>
      <w:bdr w:val="none" w:sz="0" w:space="0" w:color="auto"/>
      <w:shd w:val="clear" w:color="auto" w:fill="auto"/>
    </w:rPr>
  </w:style>
  <w:style w:type="paragraph" w:styleId="DocumentMap">
    <w:name w:val="Document Map"/>
    <w:basedOn w:val="Normal"/>
    <w:link w:val="DocumentMapChar"/>
    <w:uiPriority w:val="99"/>
    <w:semiHidden/>
    <w:unhideWhenUsed/>
    <w:rsid w:val="00543A0B"/>
    <w:rPr>
      <w:rFonts w:ascii="Tahoma" w:hAnsi="Tahoma" w:cs="Tahoma"/>
      <w:sz w:val="16"/>
      <w:szCs w:val="16"/>
    </w:rPr>
  </w:style>
  <w:style w:type="character" w:customStyle="1" w:styleId="DocumentMapChar">
    <w:name w:val="Document Map Char"/>
    <w:basedOn w:val="DefaultParagraphFont"/>
    <w:link w:val="DocumentMap"/>
    <w:uiPriority w:val="99"/>
    <w:semiHidden/>
    <w:rsid w:val="00543A0B"/>
    <w:rPr>
      <w:rFonts w:ascii="Tahoma" w:eastAsiaTheme="minorEastAsia" w:hAnsi="Tahoma" w:cs="Tahoma"/>
      <w:sz w:val="16"/>
      <w:szCs w:val="16"/>
      <w:lang w:bidi="en-US"/>
    </w:rPr>
  </w:style>
  <w:style w:type="paragraph" w:styleId="NoSpacing">
    <w:name w:val="No Spacing"/>
    <w:basedOn w:val="Normal"/>
    <w:uiPriority w:val="1"/>
    <w:qFormat/>
    <w:rsid w:val="00543A0B"/>
  </w:style>
  <w:style w:type="paragraph" w:styleId="ListParagraph">
    <w:name w:val="List Paragraph"/>
    <w:basedOn w:val="Normal"/>
    <w:uiPriority w:val="34"/>
    <w:qFormat/>
    <w:rsid w:val="00543A0B"/>
    <w:pPr>
      <w:ind w:left="720"/>
      <w:contextualSpacing/>
    </w:pPr>
  </w:style>
  <w:style w:type="paragraph" w:styleId="Quote">
    <w:name w:val="Quote"/>
    <w:basedOn w:val="Normal"/>
    <w:next w:val="Normal"/>
    <w:link w:val="QuoteChar"/>
    <w:uiPriority w:val="29"/>
    <w:qFormat/>
    <w:rsid w:val="00543A0B"/>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543A0B"/>
    <w:rPr>
      <w:rFonts w:eastAsiaTheme="minorEastAsia"/>
      <w:i/>
      <w:iCs/>
      <w:lang w:bidi="en-US"/>
    </w:rPr>
  </w:style>
  <w:style w:type="paragraph" w:styleId="IntenseQuote">
    <w:name w:val="Intense Quote"/>
    <w:basedOn w:val="Normal"/>
    <w:next w:val="Normal"/>
    <w:link w:val="IntenseQuoteChar"/>
    <w:uiPriority w:val="30"/>
    <w:qFormat/>
    <w:rsid w:val="00543A0B"/>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543A0B"/>
    <w:rPr>
      <w:rFonts w:eastAsiaTheme="minorEastAsia"/>
      <w:b/>
      <w:bCs/>
      <w:i/>
      <w:iCs/>
      <w:lang w:bidi="en-US"/>
    </w:rPr>
  </w:style>
  <w:style w:type="character" w:styleId="SubtleEmphasis">
    <w:name w:val="Subtle Emphasis"/>
    <w:uiPriority w:val="19"/>
    <w:qFormat/>
    <w:rsid w:val="00543A0B"/>
    <w:rPr>
      <w:i/>
      <w:iCs/>
    </w:rPr>
  </w:style>
  <w:style w:type="character" w:styleId="IntenseEmphasis">
    <w:name w:val="Intense Emphasis"/>
    <w:uiPriority w:val="21"/>
    <w:qFormat/>
    <w:rsid w:val="00543A0B"/>
    <w:rPr>
      <w:b/>
      <w:bCs/>
    </w:rPr>
  </w:style>
  <w:style w:type="character" w:styleId="SubtleReference">
    <w:name w:val="Subtle Reference"/>
    <w:uiPriority w:val="31"/>
    <w:qFormat/>
    <w:rsid w:val="00543A0B"/>
    <w:rPr>
      <w:smallCaps/>
    </w:rPr>
  </w:style>
  <w:style w:type="character" w:styleId="IntenseReference">
    <w:name w:val="Intense Reference"/>
    <w:uiPriority w:val="32"/>
    <w:qFormat/>
    <w:rsid w:val="00543A0B"/>
    <w:rPr>
      <w:smallCaps/>
      <w:spacing w:val="5"/>
      <w:u w:val="single"/>
    </w:rPr>
  </w:style>
  <w:style w:type="character" w:styleId="BookTitle">
    <w:name w:val="Book Title"/>
    <w:uiPriority w:val="33"/>
    <w:qFormat/>
    <w:rsid w:val="00543A0B"/>
    <w:rPr>
      <w:i/>
      <w:iCs/>
      <w:smallCaps/>
      <w:spacing w:val="5"/>
    </w:rPr>
  </w:style>
  <w:style w:type="paragraph" w:styleId="TOCHeading">
    <w:name w:val="TOC Heading"/>
    <w:basedOn w:val="Heading1"/>
    <w:next w:val="Normal"/>
    <w:uiPriority w:val="39"/>
    <w:semiHidden/>
    <w:unhideWhenUsed/>
    <w:qFormat/>
    <w:rsid w:val="00543A0B"/>
    <w:pPr>
      <w:outlineLvl w:val="9"/>
    </w:pPr>
    <w:rPr>
      <w:sz w:val="26"/>
    </w:rPr>
  </w:style>
  <w:style w:type="paragraph" w:styleId="Header">
    <w:name w:val="header"/>
    <w:basedOn w:val="Normal"/>
    <w:link w:val="HeaderChar"/>
    <w:uiPriority w:val="99"/>
    <w:unhideWhenUsed/>
    <w:rsid w:val="008730E9"/>
    <w:pPr>
      <w:tabs>
        <w:tab w:val="center" w:pos="4680"/>
        <w:tab w:val="right" w:pos="9360"/>
      </w:tabs>
    </w:pPr>
  </w:style>
  <w:style w:type="character" w:customStyle="1" w:styleId="HeaderChar">
    <w:name w:val="Header Char"/>
    <w:basedOn w:val="DefaultParagraphFont"/>
    <w:link w:val="Header"/>
    <w:uiPriority w:val="99"/>
    <w:rsid w:val="008730E9"/>
    <w:rPr>
      <w:rFonts w:ascii="Times New Roman" w:eastAsiaTheme="minorEastAsia" w:hAnsi="Times New Roman"/>
      <w:sz w:val="26"/>
      <w:lang w:bidi="en-US"/>
    </w:rPr>
  </w:style>
  <w:style w:type="paragraph" w:styleId="Footer">
    <w:name w:val="footer"/>
    <w:basedOn w:val="Normal"/>
    <w:link w:val="FooterChar"/>
    <w:uiPriority w:val="99"/>
    <w:unhideWhenUsed/>
    <w:rsid w:val="008730E9"/>
    <w:pPr>
      <w:tabs>
        <w:tab w:val="center" w:pos="4680"/>
        <w:tab w:val="right" w:pos="9360"/>
      </w:tabs>
    </w:pPr>
  </w:style>
  <w:style w:type="character" w:customStyle="1" w:styleId="FooterChar">
    <w:name w:val="Footer Char"/>
    <w:basedOn w:val="DefaultParagraphFont"/>
    <w:link w:val="Footer"/>
    <w:uiPriority w:val="99"/>
    <w:rsid w:val="008730E9"/>
    <w:rPr>
      <w:rFonts w:ascii="Times New Roman" w:eastAsiaTheme="minorEastAsia" w:hAnsi="Times New Roman"/>
      <w:sz w:val="26"/>
      <w:lang w:bidi="en-US"/>
    </w:rPr>
  </w:style>
  <w:style w:type="character" w:styleId="PageNumber">
    <w:name w:val="page number"/>
    <w:basedOn w:val="DefaultParagraphFont"/>
    <w:uiPriority w:val="99"/>
    <w:semiHidden/>
    <w:unhideWhenUsed/>
    <w:rsid w:val="008730E9"/>
  </w:style>
  <w:style w:type="paragraph" w:styleId="FootnoteText">
    <w:name w:val="footnote text"/>
    <w:link w:val="FootnoteTextChar"/>
    <w:uiPriority w:val="99"/>
    <w:unhideWhenUsed/>
    <w:rsid w:val="008730E9"/>
    <w:pPr>
      <w:spacing w:line="240" w:lineRule="auto"/>
    </w:pPr>
    <w:rPr>
      <w:rFonts w:ascii="Times New Roman" w:eastAsiaTheme="minorEastAsia" w:hAnsi="Times New Roman" w:cs="Times New Roman"/>
      <w:sz w:val="26"/>
      <w:szCs w:val="20"/>
      <w:lang w:bidi="en-US"/>
    </w:rPr>
  </w:style>
  <w:style w:type="character" w:customStyle="1" w:styleId="FootnoteTextChar">
    <w:name w:val="Footnote Text Char"/>
    <w:basedOn w:val="DefaultParagraphFont"/>
    <w:link w:val="FootnoteText"/>
    <w:uiPriority w:val="99"/>
    <w:rsid w:val="008730E9"/>
    <w:rPr>
      <w:rFonts w:ascii="Times New Roman" w:eastAsiaTheme="minorEastAsia" w:hAnsi="Times New Roman" w:cs="Times New Roman"/>
      <w:sz w:val="26"/>
      <w:szCs w:val="20"/>
      <w:lang w:bidi="en-US"/>
    </w:rPr>
  </w:style>
  <w:style w:type="character" w:styleId="FootnoteReference">
    <w:name w:val="footnote reference"/>
    <w:basedOn w:val="DefaultParagraphFont"/>
    <w:uiPriority w:val="99"/>
    <w:semiHidden/>
    <w:unhideWhenUsed/>
    <w:rsid w:val="00314F81"/>
    <w:rPr>
      <w:vertAlign w:val="superscript"/>
    </w:rPr>
  </w:style>
  <w:style w:type="paragraph" w:styleId="BalloonText">
    <w:name w:val="Balloon Text"/>
    <w:basedOn w:val="Normal"/>
    <w:link w:val="BalloonTextChar"/>
    <w:uiPriority w:val="99"/>
    <w:semiHidden/>
    <w:unhideWhenUsed/>
    <w:rsid w:val="00760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58"/>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5863</Words>
  <Characters>32042</Characters>
  <Application>Microsoft Office Word</Application>
  <DocSecurity>0</DocSecurity>
  <Lines>568</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2018-08-14T22:50:00Z</dcterms:created>
  <dcterms:modified xsi:type="dcterms:W3CDTF">2018-08-14T22:50:00Z</dcterms:modified>
  <cp:category/>
</cp:coreProperties>
</file>