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893" w:rsidRPr="00E633A2" w:rsidRDefault="00865C66" w:rsidP="00D06893">
      <w:pPr>
        <w:spacing w:line="240" w:lineRule="auto"/>
        <w:rPr>
          <w:sz w:val="20"/>
        </w:rPr>
      </w:pPr>
      <w:bookmarkStart w:id="0" w:name="_GoBack"/>
      <w:bookmarkEnd w:id="0"/>
      <w:r w:rsidRPr="00E633A2">
        <w:rPr>
          <w:sz w:val="20"/>
        </w:rPr>
        <w:t xml:space="preserve">Filed </w:t>
      </w:r>
      <w:r w:rsidRPr="00E633A2">
        <w:rPr>
          <w:sz w:val="20"/>
        </w:rPr>
        <w:t>9/26/18</w:t>
      </w:r>
    </w:p>
    <w:p w:rsidR="00D06893" w:rsidRDefault="00865C66" w:rsidP="00D06893">
      <w:pPr>
        <w:spacing w:line="240" w:lineRule="auto"/>
        <w:jc w:val="center"/>
        <w:rPr>
          <w:b/>
        </w:rPr>
      </w:pPr>
      <w:r>
        <w:rPr>
          <w:b/>
        </w:rPr>
        <w:t>CERTIFIED FOR PUBLICATION</w:t>
      </w:r>
    </w:p>
    <w:p w:rsidR="00D06893" w:rsidRDefault="00865C66" w:rsidP="00D06893">
      <w:pPr>
        <w:spacing w:line="240" w:lineRule="auto"/>
        <w:jc w:val="center"/>
      </w:pPr>
    </w:p>
    <w:p w:rsidR="00FA0FDD" w:rsidRDefault="00865C66" w:rsidP="00D06893">
      <w:pPr>
        <w:spacing w:line="240" w:lineRule="auto"/>
        <w:jc w:val="center"/>
      </w:pPr>
      <w:r>
        <w:t>IN THE COURT OF APPEAL OF THE STATE OF CALIFORNIA</w:t>
      </w:r>
    </w:p>
    <w:p w:rsidR="00B95A66" w:rsidRDefault="00865C66" w:rsidP="00B95A66">
      <w:pPr>
        <w:spacing w:line="240" w:lineRule="auto"/>
        <w:jc w:val="center"/>
      </w:pPr>
    </w:p>
    <w:p w:rsidR="00B95A66" w:rsidRDefault="00865C66" w:rsidP="00B95A66">
      <w:pPr>
        <w:spacing w:line="240" w:lineRule="auto"/>
        <w:jc w:val="center"/>
      </w:pPr>
      <w:r>
        <w:t>FIRST APPELLATE DISTRICT</w:t>
      </w:r>
    </w:p>
    <w:p w:rsidR="00B95A66" w:rsidRDefault="00865C66" w:rsidP="00B95A66">
      <w:pPr>
        <w:spacing w:line="240" w:lineRule="auto"/>
        <w:jc w:val="center"/>
      </w:pPr>
    </w:p>
    <w:p w:rsidR="00B95A66" w:rsidRDefault="00865C66" w:rsidP="00B95A66">
      <w:pPr>
        <w:spacing w:line="240" w:lineRule="auto"/>
        <w:jc w:val="center"/>
      </w:pPr>
      <w:r>
        <w:t>DIVISION TWO</w:t>
      </w:r>
    </w:p>
    <w:p w:rsidR="00B95A66" w:rsidRDefault="00865C66" w:rsidP="00B95A66">
      <w:pPr>
        <w:spacing w:line="240" w:lineRule="auto"/>
        <w:jc w:val="center"/>
      </w:pPr>
    </w:p>
    <w:p w:rsidR="00B95A66" w:rsidRDefault="00865C66" w:rsidP="00B95A66">
      <w:pPr>
        <w:spacing w:line="240" w:lineRule="auto"/>
        <w:jc w:val="center"/>
      </w:pPr>
    </w:p>
    <w:tbl>
      <w:tblPr>
        <w:tblW w:w="0" w:type="auto"/>
        <w:tblLayout w:type="fixed"/>
        <w:tblLook w:val="0000" w:firstRow="0" w:lastRow="0" w:firstColumn="0" w:lastColumn="0" w:noHBand="0" w:noVBand="0"/>
      </w:tblPr>
      <w:tblGrid>
        <w:gridCol w:w="4788"/>
        <w:gridCol w:w="4788"/>
      </w:tblGrid>
      <w:tr w:rsidR="00553020">
        <w:tc>
          <w:tcPr>
            <w:tcW w:w="4788" w:type="dxa"/>
            <w:tcBorders>
              <w:bottom w:val="single" w:sz="4" w:space="0" w:color="auto"/>
              <w:right w:val="single" w:sz="4" w:space="0" w:color="auto"/>
            </w:tcBorders>
            <w:shd w:val="clear" w:color="auto" w:fill="auto"/>
          </w:tcPr>
          <w:p w:rsidR="00B95A66" w:rsidRDefault="00865C66" w:rsidP="00B95A66">
            <w:pPr>
              <w:spacing w:after="120" w:line="240" w:lineRule="auto"/>
            </w:pPr>
            <w:r>
              <w:t>SAN FRANCISCO POLICE OFFICERS</w:t>
            </w:r>
            <w:r>
              <w:t>’</w:t>
            </w:r>
            <w:r>
              <w:t xml:space="preserve"> ASSOCIATION,</w:t>
            </w:r>
          </w:p>
          <w:p w:rsidR="00B95A66" w:rsidRDefault="00865C66" w:rsidP="00B95A66">
            <w:pPr>
              <w:spacing w:after="120" w:line="240" w:lineRule="auto"/>
            </w:pPr>
            <w:r>
              <w:tab/>
              <w:t>Plaintiff and Appellant,</w:t>
            </w:r>
          </w:p>
          <w:p w:rsidR="00B95A66" w:rsidRDefault="00865C66" w:rsidP="00B95A66">
            <w:pPr>
              <w:spacing w:after="120" w:line="240" w:lineRule="auto"/>
            </w:pPr>
            <w:r>
              <w:t>v.</w:t>
            </w:r>
          </w:p>
          <w:p w:rsidR="00B95A66" w:rsidRDefault="00865C66" w:rsidP="00B95A66">
            <w:pPr>
              <w:spacing w:after="120" w:line="240" w:lineRule="auto"/>
            </w:pPr>
            <w:r>
              <w:t>SAN FR</w:t>
            </w:r>
            <w:r>
              <w:t>ANCISCO POLICE COMMISSION</w:t>
            </w:r>
            <w:r>
              <w:t xml:space="preserve"> et al</w:t>
            </w:r>
            <w:r>
              <w:t>.,</w:t>
            </w:r>
          </w:p>
          <w:p w:rsidR="00B95A66" w:rsidRDefault="00865C66" w:rsidP="00B95A66">
            <w:pPr>
              <w:spacing w:after="120" w:line="240" w:lineRule="auto"/>
            </w:pPr>
            <w:r>
              <w:tab/>
            </w:r>
            <w:r>
              <w:t>Defendants and Respondents.</w:t>
            </w:r>
          </w:p>
        </w:tc>
        <w:tc>
          <w:tcPr>
            <w:tcW w:w="4788" w:type="dxa"/>
            <w:tcBorders>
              <w:left w:val="single" w:sz="4" w:space="0" w:color="auto"/>
            </w:tcBorders>
            <w:shd w:val="clear" w:color="auto" w:fill="auto"/>
          </w:tcPr>
          <w:p w:rsidR="00B95A66" w:rsidRDefault="00865C66" w:rsidP="00B95A66">
            <w:pPr>
              <w:spacing w:line="240" w:lineRule="auto"/>
            </w:pPr>
          </w:p>
          <w:p w:rsidR="00B95A66" w:rsidRDefault="00865C66" w:rsidP="00B95A66">
            <w:pPr>
              <w:spacing w:line="240" w:lineRule="auto"/>
            </w:pPr>
          </w:p>
          <w:p w:rsidR="00B95A66" w:rsidRDefault="00865C66" w:rsidP="00B95A66">
            <w:pPr>
              <w:spacing w:line="240" w:lineRule="auto"/>
            </w:pPr>
            <w:r>
              <w:t xml:space="preserve">      A151654</w:t>
            </w:r>
          </w:p>
          <w:p w:rsidR="00B95A66" w:rsidRDefault="00865C66" w:rsidP="00B95A66">
            <w:pPr>
              <w:spacing w:line="240" w:lineRule="auto"/>
            </w:pPr>
          </w:p>
          <w:p w:rsidR="00B95A66" w:rsidRDefault="00865C66" w:rsidP="00B95A66">
            <w:pPr>
              <w:spacing w:line="240" w:lineRule="auto"/>
            </w:pPr>
            <w:r>
              <w:t xml:space="preserve">      (San Francisco </w:t>
            </w:r>
            <w:r>
              <w:t xml:space="preserve">City and </w:t>
            </w:r>
            <w:r>
              <w:t>County</w:t>
            </w:r>
          </w:p>
          <w:p w:rsidR="00B95A66" w:rsidRDefault="00865C66" w:rsidP="00B95A66">
            <w:pPr>
              <w:spacing w:line="240" w:lineRule="auto"/>
            </w:pPr>
            <w:r>
              <w:t xml:space="preserve">      Super. Ct. No. CPF-16-515408)</w:t>
            </w:r>
          </w:p>
          <w:p w:rsidR="00B95A66" w:rsidRDefault="00865C66" w:rsidP="00B95A66">
            <w:pPr>
              <w:spacing w:line="240" w:lineRule="auto"/>
            </w:pPr>
          </w:p>
        </w:tc>
      </w:tr>
    </w:tbl>
    <w:p w:rsidR="00B95A66" w:rsidRPr="00B95A66" w:rsidRDefault="00865C66" w:rsidP="00B95A66">
      <w:pPr>
        <w:spacing w:line="240" w:lineRule="auto"/>
      </w:pPr>
    </w:p>
    <w:p w:rsidR="00DA3BF3" w:rsidRPr="002F632A" w:rsidRDefault="00865C66" w:rsidP="00BF39BE">
      <w:pPr>
        <w:spacing w:line="360" w:lineRule="auto"/>
        <w:rPr>
          <w:szCs w:val="26"/>
        </w:rPr>
      </w:pPr>
      <w:r w:rsidRPr="00CA132F">
        <w:rPr>
          <w:szCs w:val="26"/>
        </w:rPr>
        <w:tab/>
      </w:r>
      <w:r w:rsidRPr="002F632A">
        <w:rPr>
          <w:szCs w:val="26"/>
        </w:rPr>
        <w:t>The San Francisco Police Officers’ Association (</w:t>
      </w:r>
      <w:r w:rsidRPr="002F632A">
        <w:rPr>
          <w:szCs w:val="26"/>
        </w:rPr>
        <w:t>Association</w:t>
      </w:r>
      <w:r w:rsidRPr="002F632A">
        <w:rPr>
          <w:szCs w:val="26"/>
        </w:rPr>
        <w:t>) appeals from</w:t>
      </w:r>
      <w:r w:rsidRPr="002F632A">
        <w:rPr>
          <w:szCs w:val="26"/>
        </w:rPr>
        <w:t xml:space="preserve"> the trial court’s order denying its petition </w:t>
      </w:r>
      <w:r w:rsidRPr="002F632A">
        <w:rPr>
          <w:szCs w:val="26"/>
        </w:rPr>
        <w:t xml:space="preserve">to compel </w:t>
      </w:r>
      <w:r w:rsidRPr="002F632A">
        <w:rPr>
          <w:szCs w:val="26"/>
        </w:rPr>
        <w:t>arbitration</w:t>
      </w:r>
      <w:r w:rsidRPr="002F632A">
        <w:rPr>
          <w:szCs w:val="26"/>
        </w:rPr>
        <w:t xml:space="preserve"> </w:t>
      </w:r>
      <w:r w:rsidRPr="002F632A">
        <w:rPr>
          <w:szCs w:val="26"/>
        </w:rPr>
        <w:t xml:space="preserve">brought </w:t>
      </w:r>
      <w:r w:rsidRPr="002F632A">
        <w:rPr>
          <w:szCs w:val="26"/>
        </w:rPr>
        <w:t>against the San Francisco Police Commission</w:t>
      </w:r>
      <w:r w:rsidRPr="002F632A">
        <w:rPr>
          <w:szCs w:val="26"/>
        </w:rPr>
        <w:t xml:space="preserve"> (Commission)</w:t>
      </w:r>
      <w:r w:rsidRPr="002F632A">
        <w:rPr>
          <w:szCs w:val="26"/>
        </w:rPr>
        <w:t>; the City and County of San Francisco</w:t>
      </w:r>
      <w:r w:rsidRPr="002F632A">
        <w:rPr>
          <w:szCs w:val="26"/>
        </w:rPr>
        <w:t xml:space="preserve"> (</w:t>
      </w:r>
      <w:r w:rsidRPr="002F632A">
        <w:rPr>
          <w:szCs w:val="26"/>
        </w:rPr>
        <w:t>the City</w:t>
      </w:r>
      <w:r w:rsidRPr="002F632A">
        <w:rPr>
          <w:szCs w:val="26"/>
        </w:rPr>
        <w:t>)</w:t>
      </w:r>
      <w:r w:rsidRPr="002F632A">
        <w:rPr>
          <w:szCs w:val="26"/>
        </w:rPr>
        <w:t xml:space="preserve">; </w:t>
      </w:r>
      <w:r w:rsidRPr="002F632A">
        <w:rPr>
          <w:szCs w:val="26"/>
        </w:rPr>
        <w:t xml:space="preserve">and </w:t>
      </w:r>
      <w:r w:rsidRPr="002F632A">
        <w:rPr>
          <w:szCs w:val="26"/>
        </w:rPr>
        <w:t xml:space="preserve">Toney Chaplin, in his </w:t>
      </w:r>
      <w:r w:rsidRPr="002F632A">
        <w:rPr>
          <w:szCs w:val="26"/>
        </w:rPr>
        <w:t xml:space="preserve">official capacity as interim Chief of Police of the </w:t>
      </w:r>
      <w:r w:rsidRPr="002F632A">
        <w:rPr>
          <w:szCs w:val="26"/>
        </w:rPr>
        <w:t>San Francisco Police Department</w:t>
      </w:r>
      <w:r w:rsidRPr="002F632A">
        <w:rPr>
          <w:szCs w:val="26"/>
        </w:rPr>
        <w:t xml:space="preserve"> (collectively, respondents)</w:t>
      </w:r>
      <w:r w:rsidRPr="002F632A">
        <w:rPr>
          <w:szCs w:val="26"/>
        </w:rPr>
        <w:t xml:space="preserve">.  The </w:t>
      </w:r>
      <w:r w:rsidRPr="002F632A">
        <w:rPr>
          <w:szCs w:val="26"/>
        </w:rPr>
        <w:t xml:space="preserve">action </w:t>
      </w:r>
      <w:r w:rsidRPr="002F632A">
        <w:rPr>
          <w:szCs w:val="26"/>
        </w:rPr>
        <w:t>arose</w:t>
      </w:r>
      <w:r w:rsidRPr="002F632A">
        <w:rPr>
          <w:szCs w:val="26"/>
        </w:rPr>
        <w:t xml:space="preserve"> from the</w:t>
      </w:r>
      <w:r w:rsidRPr="002F632A">
        <w:rPr>
          <w:szCs w:val="26"/>
        </w:rPr>
        <w:t xml:space="preserve"> </w:t>
      </w:r>
      <w:r w:rsidRPr="002F632A">
        <w:rPr>
          <w:szCs w:val="26"/>
        </w:rPr>
        <w:t xml:space="preserve">City’s </w:t>
      </w:r>
      <w:r w:rsidRPr="002F632A">
        <w:rPr>
          <w:szCs w:val="26"/>
        </w:rPr>
        <w:t xml:space="preserve">denial of the Association’s grievance </w:t>
      </w:r>
      <w:r w:rsidRPr="002F632A">
        <w:rPr>
          <w:szCs w:val="26"/>
        </w:rPr>
        <w:t xml:space="preserve">challenging the City’s refusal to further meet and confer before </w:t>
      </w:r>
      <w:r w:rsidRPr="002F632A">
        <w:rPr>
          <w:szCs w:val="26"/>
        </w:rPr>
        <w:t xml:space="preserve">adopting and </w:t>
      </w:r>
      <w:r w:rsidRPr="002F632A">
        <w:rPr>
          <w:szCs w:val="26"/>
        </w:rPr>
        <w:t xml:space="preserve">implementing a </w:t>
      </w:r>
      <w:r w:rsidRPr="002F632A">
        <w:rPr>
          <w:szCs w:val="26"/>
        </w:rPr>
        <w:t>revised</w:t>
      </w:r>
      <w:r w:rsidRPr="002F632A">
        <w:rPr>
          <w:szCs w:val="26"/>
        </w:rPr>
        <w:t xml:space="preserve"> use of force policy for the </w:t>
      </w:r>
      <w:r w:rsidRPr="002F632A">
        <w:rPr>
          <w:szCs w:val="26"/>
        </w:rPr>
        <w:t>San Francisco Police Depa</w:t>
      </w:r>
      <w:r w:rsidRPr="002F632A">
        <w:rPr>
          <w:szCs w:val="26"/>
        </w:rPr>
        <w:t>rtment (SFPD)</w:t>
      </w:r>
      <w:r w:rsidRPr="002F632A">
        <w:rPr>
          <w:szCs w:val="26"/>
        </w:rPr>
        <w:t>.</w:t>
      </w:r>
      <w:r w:rsidRPr="002F632A">
        <w:rPr>
          <w:szCs w:val="26"/>
        </w:rPr>
        <w:t xml:space="preserve">  </w:t>
      </w:r>
      <w:r w:rsidRPr="002F632A">
        <w:rPr>
          <w:szCs w:val="26"/>
        </w:rPr>
        <w:t xml:space="preserve">On appeal, </w:t>
      </w:r>
      <w:r w:rsidRPr="002F632A">
        <w:rPr>
          <w:szCs w:val="26"/>
        </w:rPr>
        <w:t>the Association</w:t>
      </w:r>
      <w:r w:rsidRPr="002F632A">
        <w:rPr>
          <w:szCs w:val="26"/>
        </w:rPr>
        <w:t xml:space="preserve"> </w:t>
      </w:r>
      <w:r w:rsidRPr="002F632A">
        <w:rPr>
          <w:szCs w:val="26"/>
        </w:rPr>
        <w:t xml:space="preserve">contends </w:t>
      </w:r>
      <w:r w:rsidRPr="002F632A">
        <w:rPr>
          <w:szCs w:val="26"/>
        </w:rPr>
        <w:t>the court improperly</w:t>
      </w:r>
      <w:r w:rsidRPr="002F632A">
        <w:rPr>
          <w:szCs w:val="26"/>
        </w:rPr>
        <w:t xml:space="preserve"> (1)</w:t>
      </w:r>
      <w:r w:rsidRPr="002F632A">
        <w:rPr>
          <w:szCs w:val="26"/>
        </w:rPr>
        <w:t xml:space="preserve"> found that</w:t>
      </w:r>
      <w:r w:rsidRPr="002F632A">
        <w:rPr>
          <w:szCs w:val="26"/>
        </w:rPr>
        <w:t xml:space="preserve"> </w:t>
      </w:r>
      <w:r w:rsidRPr="002F632A">
        <w:rPr>
          <w:szCs w:val="26"/>
        </w:rPr>
        <w:t xml:space="preserve">its challenge to </w:t>
      </w:r>
      <w:r w:rsidRPr="002F632A">
        <w:rPr>
          <w:szCs w:val="26"/>
        </w:rPr>
        <w:t xml:space="preserve">the City’s </w:t>
      </w:r>
      <w:r w:rsidRPr="002F632A">
        <w:rPr>
          <w:szCs w:val="26"/>
        </w:rPr>
        <w:t>denial of</w:t>
      </w:r>
      <w:r w:rsidRPr="002F632A">
        <w:rPr>
          <w:szCs w:val="26"/>
        </w:rPr>
        <w:t xml:space="preserve"> </w:t>
      </w:r>
      <w:r w:rsidRPr="002F632A">
        <w:rPr>
          <w:szCs w:val="26"/>
        </w:rPr>
        <w:t>its grievance</w:t>
      </w:r>
      <w:r w:rsidRPr="002F632A">
        <w:rPr>
          <w:szCs w:val="26"/>
        </w:rPr>
        <w:t xml:space="preserve"> related to the revised use of force policy</w:t>
      </w:r>
      <w:r w:rsidRPr="002F632A">
        <w:rPr>
          <w:szCs w:val="26"/>
        </w:rPr>
        <w:t xml:space="preserve"> </w:t>
      </w:r>
      <w:r w:rsidRPr="002F632A">
        <w:rPr>
          <w:szCs w:val="26"/>
        </w:rPr>
        <w:t xml:space="preserve">was not subject to arbitration under the </w:t>
      </w:r>
      <w:r w:rsidRPr="002F632A">
        <w:rPr>
          <w:szCs w:val="26"/>
        </w:rPr>
        <w:t xml:space="preserve">Memorandum of Understanding (MOU) between </w:t>
      </w:r>
      <w:r w:rsidRPr="002F632A">
        <w:rPr>
          <w:szCs w:val="26"/>
        </w:rPr>
        <w:t>the City</w:t>
      </w:r>
      <w:r w:rsidRPr="002F632A">
        <w:rPr>
          <w:szCs w:val="26"/>
        </w:rPr>
        <w:t xml:space="preserve"> and the Association, and (2) </w:t>
      </w:r>
      <w:r w:rsidRPr="002F632A">
        <w:rPr>
          <w:szCs w:val="26"/>
        </w:rPr>
        <w:t xml:space="preserve">denied </w:t>
      </w:r>
      <w:r w:rsidRPr="002F632A">
        <w:rPr>
          <w:szCs w:val="26"/>
        </w:rPr>
        <w:t>the petition</w:t>
      </w:r>
      <w:r w:rsidRPr="002F632A">
        <w:rPr>
          <w:szCs w:val="26"/>
        </w:rPr>
        <w:t xml:space="preserve"> to compel arbitration</w:t>
      </w:r>
      <w:r w:rsidRPr="002F632A">
        <w:rPr>
          <w:szCs w:val="26"/>
        </w:rPr>
        <w:t xml:space="preserve"> based on the substantive merit of the underlying grievance.  </w:t>
      </w:r>
    </w:p>
    <w:p w:rsidR="00DA3BF3" w:rsidRPr="002F632A" w:rsidRDefault="00865C66" w:rsidP="00BF39BE">
      <w:pPr>
        <w:spacing w:line="360" w:lineRule="auto"/>
        <w:rPr>
          <w:szCs w:val="26"/>
        </w:rPr>
      </w:pPr>
      <w:r w:rsidRPr="002F632A">
        <w:rPr>
          <w:szCs w:val="26"/>
        </w:rPr>
        <w:tab/>
      </w:r>
      <w:r w:rsidRPr="002F632A">
        <w:rPr>
          <w:szCs w:val="26"/>
        </w:rPr>
        <w:t>Because we conclude the trial court properly found that the parties had</w:t>
      </w:r>
      <w:r w:rsidRPr="002F632A">
        <w:rPr>
          <w:szCs w:val="26"/>
        </w:rPr>
        <w:t xml:space="preserve"> not agreed to subject the City’s </w:t>
      </w:r>
      <w:r w:rsidRPr="002F632A">
        <w:rPr>
          <w:szCs w:val="26"/>
        </w:rPr>
        <w:t>determination</w:t>
      </w:r>
      <w:r w:rsidRPr="002F632A">
        <w:rPr>
          <w:szCs w:val="26"/>
        </w:rPr>
        <w:t>s</w:t>
      </w:r>
      <w:r w:rsidRPr="002F632A">
        <w:rPr>
          <w:szCs w:val="26"/>
        </w:rPr>
        <w:t xml:space="preserve"> </w:t>
      </w:r>
      <w:r w:rsidRPr="002F632A">
        <w:rPr>
          <w:szCs w:val="26"/>
        </w:rPr>
        <w:t>regarding</w:t>
      </w:r>
      <w:r w:rsidRPr="002F632A">
        <w:rPr>
          <w:b/>
          <w:szCs w:val="26"/>
        </w:rPr>
        <w:t xml:space="preserve"> </w:t>
      </w:r>
      <w:r w:rsidRPr="002F632A">
        <w:rPr>
          <w:szCs w:val="26"/>
        </w:rPr>
        <w:t>the</w:t>
      </w:r>
      <w:r w:rsidRPr="002F632A">
        <w:rPr>
          <w:szCs w:val="26"/>
        </w:rPr>
        <w:t xml:space="preserve"> revised</w:t>
      </w:r>
      <w:r w:rsidRPr="002F632A">
        <w:rPr>
          <w:szCs w:val="26"/>
        </w:rPr>
        <w:t xml:space="preserve"> use of force policy to arbitration, we shall affirm the court’s order denying the Association’s petition to compel arbitration.</w:t>
      </w:r>
      <w:r w:rsidRPr="002F632A">
        <w:rPr>
          <w:szCs w:val="26"/>
        </w:rPr>
        <w:t xml:space="preserve">  </w:t>
      </w:r>
    </w:p>
    <w:p w:rsidR="00FA0FDD" w:rsidRPr="002F632A" w:rsidRDefault="00865C66" w:rsidP="00BF39BE">
      <w:pPr>
        <w:keepNext/>
        <w:spacing w:line="360" w:lineRule="auto"/>
        <w:jc w:val="center"/>
        <w:rPr>
          <w:b/>
          <w:szCs w:val="26"/>
        </w:rPr>
      </w:pPr>
      <w:r w:rsidRPr="002F632A">
        <w:rPr>
          <w:b/>
          <w:szCs w:val="26"/>
        </w:rPr>
        <w:lastRenderedPageBreak/>
        <w:t>FACTUAL AND PROCEDURAL BACKGROUND</w:t>
      </w:r>
    </w:p>
    <w:p w:rsidR="00772BDD" w:rsidRPr="002F632A" w:rsidRDefault="00865C66" w:rsidP="00BF39BE">
      <w:pPr>
        <w:spacing w:line="360" w:lineRule="auto"/>
        <w:rPr>
          <w:szCs w:val="26"/>
        </w:rPr>
      </w:pPr>
      <w:r w:rsidRPr="002F632A">
        <w:rPr>
          <w:szCs w:val="26"/>
        </w:rPr>
        <w:tab/>
      </w:r>
      <w:r w:rsidRPr="002F632A">
        <w:rPr>
          <w:szCs w:val="26"/>
        </w:rPr>
        <w:t xml:space="preserve">The Association is </w:t>
      </w:r>
      <w:r w:rsidRPr="002F632A">
        <w:rPr>
          <w:szCs w:val="26"/>
        </w:rPr>
        <w:t>the recognized employee organization</w:t>
      </w:r>
      <w:r w:rsidRPr="002F632A">
        <w:rPr>
          <w:szCs w:val="26"/>
        </w:rPr>
        <w:t xml:space="preserve"> within the meaning of the Meyer</w:t>
      </w:r>
      <w:r w:rsidRPr="002F632A">
        <w:rPr>
          <w:szCs w:val="26"/>
        </w:rPr>
        <w:t>s-Milias-Brown Act (MMBA), Government Code sections 3500-3510,</w:t>
      </w:r>
      <w:r>
        <w:rPr>
          <w:rStyle w:val="FootnoteReference"/>
          <w:szCs w:val="26"/>
        </w:rPr>
        <w:footnoteReference w:id="1"/>
      </w:r>
      <w:r w:rsidRPr="002F632A">
        <w:rPr>
          <w:szCs w:val="26"/>
        </w:rPr>
        <w:t xml:space="preserve"> representing SFPD police officers</w:t>
      </w:r>
      <w:r w:rsidRPr="002F632A">
        <w:rPr>
          <w:szCs w:val="26"/>
        </w:rPr>
        <w:t>.</w:t>
      </w:r>
      <w:r w:rsidRPr="002F632A">
        <w:rPr>
          <w:szCs w:val="26"/>
        </w:rPr>
        <w:t xml:space="preserve">  (</w:t>
      </w:r>
      <w:r w:rsidRPr="002F632A">
        <w:rPr>
          <w:szCs w:val="26"/>
        </w:rPr>
        <w:t xml:space="preserve">See </w:t>
      </w:r>
      <w:r w:rsidRPr="002F632A">
        <w:rPr>
          <w:rFonts w:eastAsia="Times New Roman"/>
          <w:szCs w:val="26"/>
        </w:rPr>
        <w:t>§</w:t>
      </w:r>
      <w:r w:rsidRPr="002F632A">
        <w:rPr>
          <w:szCs w:val="26"/>
        </w:rPr>
        <w:t xml:space="preserve"> 3501, subd. (b).)</w:t>
      </w:r>
      <w:r w:rsidRPr="002F632A">
        <w:rPr>
          <w:szCs w:val="26"/>
        </w:rPr>
        <w:t xml:space="preserve"> </w:t>
      </w:r>
      <w:r w:rsidRPr="002F632A">
        <w:rPr>
          <w:szCs w:val="26"/>
        </w:rPr>
        <w:t xml:space="preserve"> The City is a charter city organized under </w:t>
      </w:r>
      <w:r w:rsidRPr="002F632A">
        <w:rPr>
          <w:szCs w:val="26"/>
        </w:rPr>
        <w:t>a</w:t>
      </w:r>
      <w:r w:rsidRPr="002F632A">
        <w:rPr>
          <w:szCs w:val="26"/>
        </w:rPr>
        <w:t>rticle XI of the C</w:t>
      </w:r>
      <w:r w:rsidRPr="002F632A">
        <w:rPr>
          <w:szCs w:val="26"/>
        </w:rPr>
        <w:t>alifornia Constitution</w:t>
      </w:r>
      <w:r w:rsidRPr="002F632A">
        <w:rPr>
          <w:szCs w:val="26"/>
        </w:rPr>
        <w:t xml:space="preserve"> (a</w:t>
      </w:r>
      <w:r w:rsidRPr="002F632A">
        <w:rPr>
          <w:szCs w:val="26"/>
        </w:rPr>
        <w:t>rticle XI)</w:t>
      </w:r>
      <w:r w:rsidRPr="002F632A">
        <w:rPr>
          <w:szCs w:val="26"/>
        </w:rPr>
        <w:t xml:space="preserve"> and is the employer of the police officers represented</w:t>
      </w:r>
      <w:r w:rsidRPr="002F632A">
        <w:rPr>
          <w:szCs w:val="26"/>
        </w:rPr>
        <w:t xml:space="preserve"> by the Association.  U</w:t>
      </w:r>
      <w:r w:rsidRPr="002F632A">
        <w:rPr>
          <w:szCs w:val="26"/>
        </w:rPr>
        <w:t xml:space="preserve">nder </w:t>
      </w:r>
      <w:r w:rsidRPr="002F632A">
        <w:rPr>
          <w:szCs w:val="26"/>
        </w:rPr>
        <w:t>a</w:t>
      </w:r>
      <w:r w:rsidRPr="002F632A">
        <w:rPr>
          <w:szCs w:val="26"/>
        </w:rPr>
        <w:t>rticle IV, section 4.109 of the San Francisco Charter</w:t>
      </w:r>
      <w:r w:rsidRPr="002F632A">
        <w:rPr>
          <w:szCs w:val="26"/>
        </w:rPr>
        <w:t>, the City has empowered the Commission</w:t>
      </w:r>
      <w:r w:rsidRPr="002F632A">
        <w:rPr>
          <w:szCs w:val="26"/>
        </w:rPr>
        <w:t xml:space="preserve"> to, inter alia, “prescribe and enforce any r</w:t>
      </w:r>
      <w:r w:rsidRPr="002F632A">
        <w:rPr>
          <w:szCs w:val="26"/>
        </w:rPr>
        <w:t>easonable rules and regulations that it deems necessary to provide for the efficiency of the [SFPD] . . . .”</w:t>
      </w:r>
      <w:r w:rsidRPr="002F632A">
        <w:rPr>
          <w:szCs w:val="26"/>
        </w:rPr>
        <w:t xml:space="preserve"> </w:t>
      </w:r>
      <w:r w:rsidRPr="002F632A">
        <w:rPr>
          <w:szCs w:val="26"/>
        </w:rPr>
        <w:t xml:space="preserve"> </w:t>
      </w:r>
    </w:p>
    <w:p w:rsidR="00F90711" w:rsidRPr="002F632A" w:rsidRDefault="00865C66" w:rsidP="00BF39BE">
      <w:pPr>
        <w:spacing w:line="360" w:lineRule="auto"/>
        <w:rPr>
          <w:szCs w:val="26"/>
        </w:rPr>
      </w:pPr>
      <w:r w:rsidRPr="002F632A">
        <w:rPr>
          <w:szCs w:val="26"/>
        </w:rPr>
        <w:tab/>
      </w:r>
      <w:r w:rsidRPr="002F632A">
        <w:rPr>
          <w:szCs w:val="26"/>
        </w:rPr>
        <w:t xml:space="preserve">The </w:t>
      </w:r>
      <w:r w:rsidRPr="002F632A">
        <w:rPr>
          <w:szCs w:val="26"/>
        </w:rPr>
        <w:t xml:space="preserve">MOU between the </w:t>
      </w:r>
      <w:r w:rsidRPr="002F632A">
        <w:rPr>
          <w:szCs w:val="26"/>
        </w:rPr>
        <w:t xml:space="preserve">City and the Association </w:t>
      </w:r>
      <w:r w:rsidRPr="002F632A">
        <w:rPr>
          <w:szCs w:val="26"/>
        </w:rPr>
        <w:t>covered</w:t>
      </w:r>
      <w:r w:rsidRPr="002F632A">
        <w:rPr>
          <w:szCs w:val="26"/>
        </w:rPr>
        <w:t xml:space="preserve"> the period </w:t>
      </w:r>
      <w:r w:rsidRPr="002F632A">
        <w:rPr>
          <w:szCs w:val="26"/>
        </w:rPr>
        <w:t>from</w:t>
      </w:r>
      <w:r w:rsidRPr="002F632A">
        <w:rPr>
          <w:szCs w:val="26"/>
        </w:rPr>
        <w:t xml:space="preserve"> July 1</w:t>
      </w:r>
      <w:r w:rsidRPr="002F632A">
        <w:rPr>
          <w:szCs w:val="26"/>
        </w:rPr>
        <w:t>, 2007</w:t>
      </w:r>
      <w:r>
        <w:rPr>
          <w:szCs w:val="26"/>
        </w:rPr>
        <w:t>,</w:t>
      </w:r>
      <w:r w:rsidRPr="002F632A">
        <w:rPr>
          <w:szCs w:val="26"/>
        </w:rPr>
        <w:t xml:space="preserve"> through June 30, 2018.  Article I, s</w:t>
      </w:r>
      <w:r w:rsidRPr="002F632A">
        <w:rPr>
          <w:szCs w:val="26"/>
        </w:rPr>
        <w:t>ection 4</w:t>
      </w:r>
      <w:r w:rsidRPr="002F632A">
        <w:rPr>
          <w:szCs w:val="26"/>
        </w:rPr>
        <w:t xml:space="preserve"> of the MOU set</w:t>
      </w:r>
      <w:r w:rsidRPr="002F632A">
        <w:rPr>
          <w:szCs w:val="26"/>
        </w:rPr>
        <w:t xml:space="preserve"> forth negotiation responsibilities of the parties, </w:t>
      </w:r>
      <w:r w:rsidRPr="002F632A">
        <w:rPr>
          <w:szCs w:val="26"/>
        </w:rPr>
        <w:t xml:space="preserve">including </w:t>
      </w:r>
      <w:r w:rsidRPr="002F632A">
        <w:rPr>
          <w:szCs w:val="26"/>
        </w:rPr>
        <w:t xml:space="preserve">the right of the Association to be provided with </w:t>
      </w:r>
      <w:r w:rsidRPr="002F632A">
        <w:rPr>
          <w:szCs w:val="26"/>
        </w:rPr>
        <w:t xml:space="preserve">notice and </w:t>
      </w:r>
      <w:r w:rsidRPr="002F632A">
        <w:rPr>
          <w:szCs w:val="26"/>
        </w:rPr>
        <w:t>an opportunity to meet and confer regarding “any proposed change</w:t>
      </w:r>
      <w:r w:rsidRPr="002F632A">
        <w:rPr>
          <w:szCs w:val="26"/>
        </w:rPr>
        <w:t xml:space="preserve"> </w:t>
      </w:r>
      <w:r w:rsidRPr="002F632A">
        <w:rPr>
          <w:szCs w:val="26"/>
        </w:rPr>
        <w:t>in general orders or other matters wit</w:t>
      </w:r>
      <w:r w:rsidRPr="002F632A">
        <w:rPr>
          <w:szCs w:val="26"/>
        </w:rPr>
        <w:t>hin the scope of representation</w:t>
      </w:r>
      <w:r w:rsidRPr="002F632A">
        <w:rPr>
          <w:szCs w:val="26"/>
        </w:rPr>
        <w:t xml:space="preserve"> </w:t>
      </w:r>
      <w:r w:rsidRPr="002F632A">
        <w:rPr>
          <w:szCs w:val="26"/>
        </w:rPr>
        <w:t xml:space="preserve">. . . .”  (MOU, </w:t>
      </w:r>
      <w:r w:rsidRPr="002F632A">
        <w:rPr>
          <w:szCs w:val="26"/>
        </w:rPr>
        <w:t>a</w:t>
      </w:r>
      <w:r w:rsidRPr="002F632A">
        <w:rPr>
          <w:szCs w:val="26"/>
        </w:rPr>
        <w:t xml:space="preserve">rt. I, </w:t>
      </w:r>
      <w:r w:rsidRPr="002F632A">
        <w:rPr>
          <w:rFonts w:eastAsia="Times New Roman"/>
          <w:szCs w:val="26"/>
        </w:rPr>
        <w:t>§</w:t>
      </w:r>
      <w:r w:rsidRPr="002F632A">
        <w:rPr>
          <w:szCs w:val="26"/>
        </w:rPr>
        <w:t xml:space="preserve"> 4, ¶ 8.)   </w:t>
      </w:r>
      <w:r w:rsidRPr="002F632A">
        <w:rPr>
          <w:szCs w:val="26"/>
        </w:rPr>
        <w:t>Article I, s</w:t>
      </w:r>
      <w:r w:rsidRPr="002F632A">
        <w:rPr>
          <w:szCs w:val="26"/>
        </w:rPr>
        <w:t>ection 5 of the MOU governed</w:t>
      </w:r>
      <w:r w:rsidRPr="002F632A">
        <w:rPr>
          <w:szCs w:val="26"/>
        </w:rPr>
        <w:t xml:space="preserve"> grievance procedures</w:t>
      </w:r>
      <w:r w:rsidRPr="002F632A">
        <w:rPr>
          <w:szCs w:val="26"/>
        </w:rPr>
        <w:t>;</w:t>
      </w:r>
      <w:r w:rsidRPr="002F632A">
        <w:rPr>
          <w:szCs w:val="26"/>
        </w:rPr>
        <w:t xml:space="preserve"> paragraph 16 of </w:t>
      </w:r>
      <w:r w:rsidRPr="002F632A">
        <w:rPr>
          <w:szCs w:val="26"/>
        </w:rPr>
        <w:t>section</w:t>
      </w:r>
      <w:r w:rsidRPr="002F632A">
        <w:rPr>
          <w:szCs w:val="26"/>
        </w:rPr>
        <w:t xml:space="preserve"> </w:t>
      </w:r>
      <w:r w:rsidRPr="002F632A">
        <w:rPr>
          <w:szCs w:val="26"/>
        </w:rPr>
        <w:t xml:space="preserve">5 </w:t>
      </w:r>
      <w:r w:rsidRPr="002F632A">
        <w:rPr>
          <w:szCs w:val="26"/>
        </w:rPr>
        <w:t>discussed</w:t>
      </w:r>
      <w:r w:rsidRPr="002F632A">
        <w:rPr>
          <w:szCs w:val="26"/>
        </w:rPr>
        <w:t xml:space="preserve"> </w:t>
      </w:r>
      <w:r w:rsidRPr="002F632A">
        <w:rPr>
          <w:szCs w:val="26"/>
        </w:rPr>
        <w:t xml:space="preserve">the </w:t>
      </w:r>
      <w:r w:rsidRPr="002F632A">
        <w:rPr>
          <w:szCs w:val="26"/>
        </w:rPr>
        <w:t>arbitrabil</w:t>
      </w:r>
      <w:r w:rsidRPr="002F632A">
        <w:rPr>
          <w:szCs w:val="26"/>
        </w:rPr>
        <w:t xml:space="preserve">ity of disputes. </w:t>
      </w:r>
    </w:p>
    <w:p w:rsidR="00953F0A" w:rsidRPr="002F632A" w:rsidRDefault="00865C66" w:rsidP="00BF39BE">
      <w:pPr>
        <w:spacing w:line="360" w:lineRule="auto"/>
        <w:rPr>
          <w:szCs w:val="26"/>
        </w:rPr>
      </w:pPr>
      <w:r w:rsidRPr="002F632A">
        <w:rPr>
          <w:szCs w:val="26"/>
        </w:rPr>
        <w:tab/>
      </w:r>
      <w:r w:rsidRPr="002F632A">
        <w:rPr>
          <w:szCs w:val="26"/>
        </w:rPr>
        <w:t>In late 2015, the Com</w:t>
      </w:r>
      <w:r w:rsidRPr="002F632A">
        <w:rPr>
          <w:szCs w:val="26"/>
        </w:rPr>
        <w:t>mission announced that it planned to revise</w:t>
      </w:r>
      <w:r w:rsidRPr="002F632A">
        <w:rPr>
          <w:szCs w:val="26"/>
        </w:rPr>
        <w:t xml:space="preserve"> </w:t>
      </w:r>
      <w:r w:rsidRPr="002F632A">
        <w:rPr>
          <w:szCs w:val="26"/>
        </w:rPr>
        <w:t xml:space="preserve">SFPD’s use of force </w:t>
      </w:r>
      <w:r w:rsidRPr="002F632A">
        <w:rPr>
          <w:szCs w:val="26"/>
        </w:rPr>
        <w:t>policy</w:t>
      </w:r>
      <w:r w:rsidRPr="002F632A">
        <w:rPr>
          <w:szCs w:val="26"/>
        </w:rPr>
        <w:t xml:space="preserve"> (</w:t>
      </w:r>
      <w:r w:rsidRPr="002F632A">
        <w:rPr>
          <w:szCs w:val="26"/>
        </w:rPr>
        <w:t xml:space="preserve">SFPD </w:t>
      </w:r>
      <w:r w:rsidRPr="002F632A">
        <w:rPr>
          <w:szCs w:val="26"/>
        </w:rPr>
        <w:t>General Order 5.01)</w:t>
      </w:r>
      <w:r w:rsidRPr="002F632A">
        <w:rPr>
          <w:szCs w:val="26"/>
        </w:rPr>
        <w:t>.</w:t>
      </w:r>
      <w:r w:rsidRPr="002F632A">
        <w:rPr>
          <w:szCs w:val="26"/>
        </w:rPr>
        <w:t xml:space="preserve">  The Commission then began meeting with use of force policy experts, community members, and other stakeholders, </w:t>
      </w:r>
      <w:r w:rsidRPr="002F632A">
        <w:rPr>
          <w:szCs w:val="26"/>
        </w:rPr>
        <w:t xml:space="preserve">seeking to build public trust and </w:t>
      </w:r>
      <w:r w:rsidRPr="002F632A">
        <w:rPr>
          <w:szCs w:val="26"/>
        </w:rPr>
        <w:t>engagement</w:t>
      </w:r>
      <w:r w:rsidRPr="002F632A">
        <w:rPr>
          <w:szCs w:val="26"/>
        </w:rPr>
        <w:t xml:space="preserve"> and to </w:t>
      </w:r>
      <w:r w:rsidRPr="002F632A">
        <w:rPr>
          <w:szCs w:val="26"/>
        </w:rPr>
        <w:t xml:space="preserve">ensure that the policy </w:t>
      </w:r>
      <w:r w:rsidRPr="002F632A">
        <w:rPr>
          <w:szCs w:val="26"/>
        </w:rPr>
        <w:t>reflected the best practices in law</w:t>
      </w:r>
      <w:r w:rsidRPr="002F632A">
        <w:rPr>
          <w:szCs w:val="26"/>
        </w:rPr>
        <w:t xml:space="preserve"> enforcement</w:t>
      </w:r>
      <w:r w:rsidRPr="002F632A">
        <w:rPr>
          <w:szCs w:val="26"/>
        </w:rPr>
        <w:t xml:space="preserve">. </w:t>
      </w:r>
      <w:r w:rsidRPr="002F632A">
        <w:rPr>
          <w:szCs w:val="26"/>
        </w:rPr>
        <w:t xml:space="preserve"> </w:t>
      </w:r>
      <w:r w:rsidRPr="002F632A">
        <w:rPr>
          <w:szCs w:val="26"/>
        </w:rPr>
        <w:t xml:space="preserve">In response to a February 2016 letter </w:t>
      </w:r>
      <w:r w:rsidRPr="002F632A">
        <w:rPr>
          <w:szCs w:val="26"/>
        </w:rPr>
        <w:t xml:space="preserve">from the Association, </w:t>
      </w:r>
      <w:r w:rsidRPr="002F632A">
        <w:rPr>
          <w:szCs w:val="26"/>
        </w:rPr>
        <w:t xml:space="preserve">requesting </w:t>
      </w:r>
      <w:r w:rsidRPr="002F632A">
        <w:rPr>
          <w:szCs w:val="26"/>
        </w:rPr>
        <w:t xml:space="preserve">that the City </w:t>
      </w:r>
      <w:r w:rsidRPr="002F632A">
        <w:rPr>
          <w:szCs w:val="26"/>
        </w:rPr>
        <w:t xml:space="preserve">meet and confer </w:t>
      </w:r>
      <w:r w:rsidRPr="002F632A">
        <w:rPr>
          <w:szCs w:val="26"/>
        </w:rPr>
        <w:t>regarding</w:t>
      </w:r>
      <w:r w:rsidRPr="002F632A">
        <w:rPr>
          <w:szCs w:val="26"/>
        </w:rPr>
        <w:t xml:space="preserve"> the Commission’s proposed use of force policy, the City </w:t>
      </w:r>
      <w:r w:rsidRPr="002F632A">
        <w:rPr>
          <w:szCs w:val="26"/>
        </w:rPr>
        <w:t>stated</w:t>
      </w:r>
      <w:r w:rsidRPr="002F632A">
        <w:rPr>
          <w:szCs w:val="26"/>
        </w:rPr>
        <w:t xml:space="preserve"> that “[w]hile the formation of the policy is a managerial right out</w:t>
      </w:r>
      <w:r w:rsidRPr="002F632A">
        <w:rPr>
          <w:szCs w:val="26"/>
        </w:rPr>
        <w:t>side the scope of bargaining,</w:t>
      </w:r>
      <w:r w:rsidRPr="002F632A">
        <w:rPr>
          <w:szCs w:val="26"/>
        </w:rPr>
        <w:t xml:space="preserve"> </w:t>
      </w:r>
      <w:r w:rsidRPr="002F632A">
        <w:rPr>
          <w:szCs w:val="26"/>
        </w:rPr>
        <w:t xml:space="preserve">we welcome the [Association’s] participation as a stakeholder in this preliminary process.”  The City did agree to meet with the Association once the </w:t>
      </w:r>
      <w:r w:rsidRPr="002F632A">
        <w:rPr>
          <w:szCs w:val="26"/>
        </w:rPr>
        <w:t xml:space="preserve">new policy was </w:t>
      </w:r>
      <w:r w:rsidRPr="002F632A">
        <w:rPr>
          <w:szCs w:val="26"/>
        </w:rPr>
        <w:t>approved</w:t>
      </w:r>
      <w:r w:rsidRPr="002F632A">
        <w:rPr>
          <w:szCs w:val="26"/>
        </w:rPr>
        <w:t>, “</w:t>
      </w:r>
      <w:r w:rsidRPr="002F632A">
        <w:rPr>
          <w:szCs w:val="26"/>
        </w:rPr>
        <w:t xml:space="preserve">to consider </w:t>
      </w:r>
      <w:r w:rsidRPr="002F632A">
        <w:rPr>
          <w:szCs w:val="26"/>
        </w:rPr>
        <w:t>the negotiable impacts that the policy</w:t>
      </w:r>
      <w:r w:rsidRPr="002F632A">
        <w:rPr>
          <w:szCs w:val="26"/>
        </w:rPr>
        <w:t xml:space="preserve"> may have.</w:t>
      </w:r>
      <w:r w:rsidRPr="002F632A">
        <w:rPr>
          <w:szCs w:val="26"/>
        </w:rPr>
        <w:t>”</w:t>
      </w:r>
      <w:r>
        <w:rPr>
          <w:szCs w:val="26"/>
        </w:rPr>
        <w:t xml:space="preserve"> </w:t>
      </w:r>
    </w:p>
    <w:p w:rsidR="000D0445" w:rsidRPr="002F632A" w:rsidRDefault="00865C66" w:rsidP="00BF39BE">
      <w:pPr>
        <w:spacing w:line="360" w:lineRule="auto"/>
        <w:rPr>
          <w:szCs w:val="26"/>
        </w:rPr>
      </w:pPr>
      <w:r w:rsidRPr="002F632A">
        <w:rPr>
          <w:szCs w:val="26"/>
        </w:rPr>
        <w:lastRenderedPageBreak/>
        <w:tab/>
        <w:t xml:space="preserve">After several months of meetings with </w:t>
      </w:r>
      <w:r w:rsidRPr="002F632A">
        <w:rPr>
          <w:szCs w:val="26"/>
        </w:rPr>
        <w:t xml:space="preserve">experts and </w:t>
      </w:r>
      <w:r w:rsidRPr="002F632A">
        <w:rPr>
          <w:szCs w:val="26"/>
        </w:rPr>
        <w:t xml:space="preserve">other </w:t>
      </w:r>
      <w:r w:rsidRPr="002F632A">
        <w:rPr>
          <w:szCs w:val="26"/>
        </w:rPr>
        <w:t>stakeholders, including the Association, a cons</w:t>
      </w:r>
      <w:r w:rsidRPr="002F632A">
        <w:rPr>
          <w:szCs w:val="26"/>
        </w:rPr>
        <w:t>ensus draft</w:t>
      </w:r>
      <w:r w:rsidRPr="002F632A">
        <w:rPr>
          <w:szCs w:val="26"/>
        </w:rPr>
        <w:t xml:space="preserve"> use of force</w:t>
      </w:r>
      <w:r w:rsidRPr="002F632A">
        <w:rPr>
          <w:szCs w:val="26"/>
        </w:rPr>
        <w:t xml:space="preserve"> policy was prepared.  There was agreement on </w:t>
      </w:r>
      <w:r w:rsidRPr="002F632A">
        <w:rPr>
          <w:szCs w:val="26"/>
        </w:rPr>
        <w:t>most a</w:t>
      </w:r>
      <w:r w:rsidRPr="002F632A">
        <w:rPr>
          <w:szCs w:val="26"/>
        </w:rPr>
        <w:t xml:space="preserve">spects of the </w:t>
      </w:r>
      <w:r w:rsidRPr="002F632A">
        <w:rPr>
          <w:szCs w:val="26"/>
        </w:rPr>
        <w:t>revised</w:t>
      </w:r>
      <w:r w:rsidRPr="002F632A">
        <w:rPr>
          <w:szCs w:val="26"/>
        </w:rPr>
        <w:t xml:space="preserve"> policy</w:t>
      </w:r>
      <w:r w:rsidRPr="002F632A">
        <w:rPr>
          <w:szCs w:val="26"/>
        </w:rPr>
        <w:t>, but some disagreement</w:t>
      </w:r>
      <w:r w:rsidRPr="002F632A">
        <w:rPr>
          <w:szCs w:val="26"/>
        </w:rPr>
        <w:t xml:space="preserve"> remained</w:t>
      </w:r>
      <w:r w:rsidRPr="002F632A">
        <w:rPr>
          <w:szCs w:val="26"/>
        </w:rPr>
        <w:t xml:space="preserve"> be</w:t>
      </w:r>
      <w:r w:rsidRPr="002F632A">
        <w:rPr>
          <w:szCs w:val="26"/>
        </w:rPr>
        <w:t>tween the City and the Association</w:t>
      </w:r>
      <w:r w:rsidRPr="002F632A">
        <w:rPr>
          <w:szCs w:val="26"/>
        </w:rPr>
        <w:t>,</w:t>
      </w:r>
      <w:r w:rsidRPr="002F632A">
        <w:rPr>
          <w:szCs w:val="26"/>
        </w:rPr>
        <w:t xml:space="preserve"> </w:t>
      </w:r>
      <w:r w:rsidRPr="002F632A">
        <w:rPr>
          <w:szCs w:val="26"/>
        </w:rPr>
        <w:t>primarily regarding</w:t>
      </w:r>
      <w:r w:rsidRPr="002F632A">
        <w:rPr>
          <w:szCs w:val="26"/>
        </w:rPr>
        <w:t xml:space="preserve"> a provision</w:t>
      </w:r>
      <w:r w:rsidRPr="002F632A">
        <w:rPr>
          <w:szCs w:val="26"/>
        </w:rPr>
        <w:t xml:space="preserve"> that prohibited</w:t>
      </w:r>
      <w:r w:rsidRPr="002F632A">
        <w:rPr>
          <w:szCs w:val="26"/>
        </w:rPr>
        <w:t xml:space="preserve"> </w:t>
      </w:r>
      <w:r w:rsidRPr="002F632A">
        <w:rPr>
          <w:szCs w:val="26"/>
        </w:rPr>
        <w:t>police</w:t>
      </w:r>
      <w:r w:rsidRPr="002F632A">
        <w:rPr>
          <w:szCs w:val="26"/>
        </w:rPr>
        <w:t xml:space="preserve"> use </w:t>
      </w:r>
      <w:r w:rsidRPr="002F632A">
        <w:rPr>
          <w:szCs w:val="26"/>
        </w:rPr>
        <w:t>of the</w:t>
      </w:r>
      <w:r w:rsidRPr="002F632A">
        <w:rPr>
          <w:szCs w:val="26"/>
        </w:rPr>
        <w:t xml:space="preserve"> carotid restraint </w:t>
      </w:r>
      <w:r w:rsidRPr="002F632A">
        <w:rPr>
          <w:szCs w:val="26"/>
        </w:rPr>
        <w:t xml:space="preserve">and a provision that </w:t>
      </w:r>
      <w:r w:rsidRPr="002F632A">
        <w:rPr>
          <w:szCs w:val="26"/>
        </w:rPr>
        <w:t>strictly prohibi</w:t>
      </w:r>
      <w:r w:rsidRPr="002F632A">
        <w:rPr>
          <w:szCs w:val="26"/>
        </w:rPr>
        <w:t>ted</w:t>
      </w:r>
      <w:r w:rsidRPr="002F632A">
        <w:rPr>
          <w:szCs w:val="26"/>
        </w:rPr>
        <w:t xml:space="preserve"> officers f</w:t>
      </w:r>
      <w:r w:rsidRPr="002F632A">
        <w:rPr>
          <w:szCs w:val="26"/>
        </w:rPr>
        <w:t>rom shooting at moving vehicles</w:t>
      </w:r>
      <w:r w:rsidRPr="002F632A">
        <w:rPr>
          <w:szCs w:val="26"/>
        </w:rPr>
        <w:t xml:space="preserve">. </w:t>
      </w:r>
      <w:r w:rsidRPr="002F632A">
        <w:rPr>
          <w:szCs w:val="26"/>
        </w:rPr>
        <w:t xml:space="preserve"> </w:t>
      </w:r>
      <w:r w:rsidRPr="002F632A">
        <w:rPr>
          <w:szCs w:val="26"/>
        </w:rPr>
        <w:t xml:space="preserve">On June 22, 2016, the Commission </w:t>
      </w:r>
      <w:r w:rsidRPr="002F632A">
        <w:rPr>
          <w:szCs w:val="26"/>
        </w:rPr>
        <w:t xml:space="preserve">voted unanimously </w:t>
      </w:r>
      <w:r w:rsidRPr="002F632A">
        <w:rPr>
          <w:szCs w:val="26"/>
        </w:rPr>
        <w:t>to adopt the draft policy, subject to “meet and</w:t>
      </w:r>
      <w:r w:rsidRPr="002F632A">
        <w:rPr>
          <w:szCs w:val="26"/>
        </w:rPr>
        <w:t xml:space="preserve"> confer” with the Association. </w:t>
      </w:r>
      <w:r w:rsidRPr="002F632A">
        <w:rPr>
          <w:szCs w:val="26"/>
        </w:rPr>
        <w:t xml:space="preserve"> </w:t>
      </w:r>
    </w:p>
    <w:p w:rsidR="001C6EEC" w:rsidRPr="002F632A" w:rsidRDefault="00865C66" w:rsidP="00BF39BE">
      <w:pPr>
        <w:spacing w:line="360" w:lineRule="auto"/>
        <w:rPr>
          <w:szCs w:val="26"/>
        </w:rPr>
      </w:pPr>
      <w:r w:rsidRPr="002F632A">
        <w:rPr>
          <w:szCs w:val="26"/>
        </w:rPr>
        <w:tab/>
        <w:t xml:space="preserve">Over the following five months, the City met nine times with </w:t>
      </w:r>
      <w:r w:rsidRPr="002F632A">
        <w:rPr>
          <w:szCs w:val="26"/>
        </w:rPr>
        <w:t xml:space="preserve">the Association.  </w:t>
      </w:r>
      <w:r w:rsidRPr="002F632A">
        <w:rPr>
          <w:szCs w:val="26"/>
        </w:rPr>
        <w:t>From</w:t>
      </w:r>
      <w:r w:rsidRPr="002F632A">
        <w:rPr>
          <w:szCs w:val="26"/>
        </w:rPr>
        <w:t xml:space="preserve"> the outset, the City stated that it was reserving </w:t>
      </w:r>
      <w:r w:rsidRPr="002F632A">
        <w:rPr>
          <w:szCs w:val="26"/>
        </w:rPr>
        <w:t>“all</w:t>
      </w:r>
      <w:r w:rsidRPr="002F632A">
        <w:rPr>
          <w:szCs w:val="26"/>
        </w:rPr>
        <w:t xml:space="preserve"> rights </w:t>
      </w:r>
      <w:r w:rsidRPr="002F632A">
        <w:rPr>
          <w:szCs w:val="26"/>
        </w:rPr>
        <w:t>related to its management rig</w:t>
      </w:r>
      <w:r w:rsidRPr="002F632A">
        <w:rPr>
          <w:szCs w:val="26"/>
        </w:rPr>
        <w:t>hts</w:t>
      </w:r>
      <w:r w:rsidRPr="002F632A">
        <w:rPr>
          <w:szCs w:val="26"/>
        </w:rPr>
        <w:t xml:space="preserve"> and what matters, if any, fell </w:t>
      </w:r>
      <w:r w:rsidRPr="002F632A">
        <w:rPr>
          <w:szCs w:val="26"/>
        </w:rPr>
        <w:t>withi</w:t>
      </w:r>
      <w:r w:rsidRPr="002F632A">
        <w:rPr>
          <w:szCs w:val="26"/>
        </w:rPr>
        <w:t>n the scope of representation.”</w:t>
      </w:r>
      <w:r w:rsidRPr="002F632A">
        <w:rPr>
          <w:szCs w:val="26"/>
        </w:rPr>
        <w:t xml:space="preserve">  </w:t>
      </w:r>
      <w:r w:rsidRPr="002F632A">
        <w:rPr>
          <w:szCs w:val="26"/>
        </w:rPr>
        <w:t>On</w:t>
      </w:r>
      <w:r w:rsidRPr="002F632A">
        <w:rPr>
          <w:szCs w:val="26"/>
        </w:rPr>
        <w:t xml:space="preserve"> October </w:t>
      </w:r>
      <w:r w:rsidRPr="002F632A">
        <w:rPr>
          <w:szCs w:val="26"/>
        </w:rPr>
        <w:t xml:space="preserve">21, </w:t>
      </w:r>
      <w:r w:rsidRPr="002F632A">
        <w:rPr>
          <w:szCs w:val="26"/>
        </w:rPr>
        <w:t>2016, a</w:t>
      </w:r>
      <w:r w:rsidRPr="002F632A">
        <w:rPr>
          <w:szCs w:val="26"/>
        </w:rPr>
        <w:t xml:space="preserve">fter exchanging several </w:t>
      </w:r>
      <w:r w:rsidRPr="002F632A">
        <w:rPr>
          <w:szCs w:val="26"/>
        </w:rPr>
        <w:t xml:space="preserve">“package deal” </w:t>
      </w:r>
      <w:r w:rsidRPr="002F632A">
        <w:rPr>
          <w:szCs w:val="26"/>
        </w:rPr>
        <w:t xml:space="preserve">proposals and counterproposals </w:t>
      </w:r>
      <w:r w:rsidRPr="002F632A">
        <w:rPr>
          <w:szCs w:val="26"/>
        </w:rPr>
        <w:t xml:space="preserve">with the Association in an effort to </w:t>
      </w:r>
      <w:r w:rsidRPr="002F632A">
        <w:rPr>
          <w:szCs w:val="26"/>
        </w:rPr>
        <w:t>resolve</w:t>
      </w:r>
      <w:r w:rsidRPr="002F632A">
        <w:rPr>
          <w:szCs w:val="26"/>
        </w:rPr>
        <w:t xml:space="preserve"> remaining disagreement</w:t>
      </w:r>
      <w:r w:rsidRPr="002F632A">
        <w:rPr>
          <w:szCs w:val="26"/>
        </w:rPr>
        <w:t>s</w:t>
      </w:r>
      <w:r w:rsidRPr="002F632A">
        <w:rPr>
          <w:szCs w:val="26"/>
        </w:rPr>
        <w:t xml:space="preserve">, </w:t>
      </w:r>
      <w:r w:rsidRPr="002F632A">
        <w:rPr>
          <w:szCs w:val="26"/>
        </w:rPr>
        <w:t>the City determined t</w:t>
      </w:r>
      <w:r w:rsidRPr="002F632A">
        <w:rPr>
          <w:szCs w:val="26"/>
        </w:rPr>
        <w:t xml:space="preserve">hat it could not agree to the Association’s proposed exceptions </w:t>
      </w:r>
      <w:r w:rsidRPr="002F632A">
        <w:rPr>
          <w:szCs w:val="26"/>
        </w:rPr>
        <w:t>to</w:t>
      </w:r>
      <w:r w:rsidRPr="002F632A">
        <w:rPr>
          <w:szCs w:val="26"/>
        </w:rPr>
        <w:t xml:space="preserve"> the provision that prohibits </w:t>
      </w:r>
      <w:r w:rsidRPr="002F632A">
        <w:rPr>
          <w:szCs w:val="26"/>
        </w:rPr>
        <w:t>shooting at moving vehicles.</w:t>
      </w:r>
      <w:r w:rsidRPr="002F632A">
        <w:rPr>
          <w:szCs w:val="26"/>
        </w:rPr>
        <w:t xml:space="preserve"> </w:t>
      </w:r>
      <w:r w:rsidRPr="002F632A">
        <w:rPr>
          <w:szCs w:val="26"/>
        </w:rPr>
        <w:t xml:space="preserve"> The City therefore determined that </w:t>
      </w:r>
      <w:r w:rsidRPr="002F632A">
        <w:rPr>
          <w:szCs w:val="26"/>
        </w:rPr>
        <w:t>any further discussion of that issue</w:t>
      </w:r>
      <w:r w:rsidRPr="002F632A">
        <w:rPr>
          <w:szCs w:val="26"/>
        </w:rPr>
        <w:t xml:space="preserve"> would be futile and declared</w:t>
      </w:r>
      <w:r w:rsidRPr="002F632A">
        <w:rPr>
          <w:szCs w:val="26"/>
        </w:rPr>
        <w:t xml:space="preserve"> impasse.</w:t>
      </w:r>
      <w:r w:rsidRPr="002F632A">
        <w:rPr>
          <w:szCs w:val="26"/>
        </w:rPr>
        <w:t xml:space="preserve"> </w:t>
      </w:r>
      <w:r w:rsidRPr="002F632A">
        <w:rPr>
          <w:szCs w:val="26"/>
        </w:rPr>
        <w:t xml:space="preserve"> </w:t>
      </w:r>
    </w:p>
    <w:p w:rsidR="00306E8D" w:rsidRPr="002F632A" w:rsidRDefault="00865C66" w:rsidP="00BF39BE">
      <w:pPr>
        <w:spacing w:line="360" w:lineRule="auto"/>
        <w:rPr>
          <w:szCs w:val="26"/>
        </w:rPr>
      </w:pPr>
      <w:r w:rsidRPr="002F632A">
        <w:rPr>
          <w:szCs w:val="26"/>
        </w:rPr>
        <w:tab/>
        <w:t xml:space="preserve">On October </w:t>
      </w:r>
      <w:r w:rsidRPr="002F632A">
        <w:rPr>
          <w:szCs w:val="26"/>
        </w:rPr>
        <w:t xml:space="preserve">24, </w:t>
      </w:r>
      <w:r w:rsidRPr="002F632A">
        <w:rPr>
          <w:szCs w:val="26"/>
        </w:rPr>
        <w:t>2016, the Association sent a letter to the City disputing tha</w:t>
      </w:r>
      <w:r w:rsidRPr="002F632A">
        <w:rPr>
          <w:szCs w:val="26"/>
        </w:rPr>
        <w:t xml:space="preserve">t the parties were at impasse. </w:t>
      </w:r>
    </w:p>
    <w:p w:rsidR="00191AAB" w:rsidRPr="002F632A" w:rsidRDefault="00865C66" w:rsidP="00BF39BE">
      <w:pPr>
        <w:spacing w:line="360" w:lineRule="auto"/>
        <w:rPr>
          <w:szCs w:val="26"/>
        </w:rPr>
      </w:pPr>
      <w:r w:rsidRPr="002F632A">
        <w:rPr>
          <w:szCs w:val="26"/>
        </w:rPr>
        <w:tab/>
      </w:r>
      <w:r w:rsidRPr="002F632A">
        <w:rPr>
          <w:szCs w:val="26"/>
        </w:rPr>
        <w:t xml:space="preserve"> </w:t>
      </w:r>
      <w:r w:rsidRPr="002F632A">
        <w:rPr>
          <w:szCs w:val="26"/>
        </w:rPr>
        <w:t xml:space="preserve">On October 27, </w:t>
      </w:r>
      <w:r w:rsidRPr="002F632A">
        <w:rPr>
          <w:szCs w:val="26"/>
        </w:rPr>
        <w:t xml:space="preserve">2016, </w:t>
      </w:r>
      <w:r w:rsidRPr="002F632A">
        <w:rPr>
          <w:szCs w:val="26"/>
        </w:rPr>
        <w:t xml:space="preserve">the Association filed a grievance </w:t>
      </w:r>
      <w:r w:rsidRPr="002F632A">
        <w:rPr>
          <w:szCs w:val="26"/>
        </w:rPr>
        <w:t>alleging that the City had declared impasse prematurely and had failed to negotiate in good faith</w:t>
      </w:r>
      <w:r w:rsidRPr="002F632A">
        <w:rPr>
          <w:szCs w:val="26"/>
        </w:rPr>
        <w:t xml:space="preserve"> in viola</w:t>
      </w:r>
      <w:r w:rsidRPr="002F632A">
        <w:rPr>
          <w:szCs w:val="26"/>
        </w:rPr>
        <w:t>tion of the MOU</w:t>
      </w:r>
      <w:r w:rsidRPr="002F632A">
        <w:rPr>
          <w:szCs w:val="26"/>
        </w:rPr>
        <w:t>,</w:t>
      </w:r>
      <w:r w:rsidRPr="002F632A">
        <w:rPr>
          <w:szCs w:val="26"/>
        </w:rPr>
        <w:t xml:space="preserve"> and </w:t>
      </w:r>
      <w:r w:rsidRPr="002F632A">
        <w:rPr>
          <w:szCs w:val="26"/>
        </w:rPr>
        <w:t xml:space="preserve">requesting </w:t>
      </w:r>
      <w:r w:rsidRPr="002F632A">
        <w:rPr>
          <w:szCs w:val="26"/>
        </w:rPr>
        <w:t xml:space="preserve">as </w:t>
      </w:r>
      <w:r w:rsidRPr="002F632A">
        <w:rPr>
          <w:szCs w:val="26"/>
        </w:rPr>
        <w:t xml:space="preserve">a remedy </w:t>
      </w:r>
      <w:r w:rsidRPr="002F632A">
        <w:rPr>
          <w:szCs w:val="26"/>
        </w:rPr>
        <w:t>that the City</w:t>
      </w:r>
      <w:r w:rsidRPr="002F632A">
        <w:rPr>
          <w:szCs w:val="26"/>
        </w:rPr>
        <w:t xml:space="preserve"> be required to</w:t>
      </w:r>
      <w:r w:rsidRPr="002F632A">
        <w:rPr>
          <w:szCs w:val="26"/>
        </w:rPr>
        <w:t xml:space="preserve"> return to negotiati</w:t>
      </w:r>
      <w:r w:rsidRPr="002F632A">
        <w:rPr>
          <w:szCs w:val="26"/>
        </w:rPr>
        <w:t>o</w:t>
      </w:r>
      <w:r w:rsidRPr="002F632A">
        <w:rPr>
          <w:szCs w:val="26"/>
        </w:rPr>
        <w:t>ns</w:t>
      </w:r>
      <w:r w:rsidRPr="002F632A">
        <w:rPr>
          <w:szCs w:val="26"/>
        </w:rPr>
        <w:t xml:space="preserve"> and </w:t>
      </w:r>
      <w:r w:rsidRPr="002F632A">
        <w:rPr>
          <w:szCs w:val="26"/>
        </w:rPr>
        <w:t xml:space="preserve">enter into a written agreement on </w:t>
      </w:r>
      <w:r w:rsidRPr="002F632A">
        <w:rPr>
          <w:szCs w:val="26"/>
        </w:rPr>
        <w:t xml:space="preserve">matters to which the parties had verbally agreed, including </w:t>
      </w:r>
      <w:r w:rsidRPr="002F632A">
        <w:rPr>
          <w:szCs w:val="26"/>
        </w:rPr>
        <w:t xml:space="preserve">the Association’s proposed exception to the prohibition </w:t>
      </w:r>
      <w:r w:rsidRPr="002F632A">
        <w:rPr>
          <w:szCs w:val="26"/>
        </w:rPr>
        <w:t>against</w:t>
      </w:r>
      <w:r w:rsidRPr="002F632A">
        <w:rPr>
          <w:szCs w:val="26"/>
        </w:rPr>
        <w:t xml:space="preserve"> shooting at moving vehicles</w:t>
      </w:r>
      <w:r w:rsidRPr="002F632A">
        <w:rPr>
          <w:szCs w:val="26"/>
        </w:rPr>
        <w:t xml:space="preserve">. </w:t>
      </w:r>
      <w:r w:rsidRPr="002F632A">
        <w:rPr>
          <w:szCs w:val="26"/>
        </w:rPr>
        <w:t xml:space="preserve"> </w:t>
      </w:r>
    </w:p>
    <w:p w:rsidR="00E45FBA" w:rsidRPr="002F632A" w:rsidRDefault="00865C66" w:rsidP="00BF39BE">
      <w:pPr>
        <w:spacing w:line="360" w:lineRule="auto"/>
        <w:rPr>
          <w:szCs w:val="26"/>
        </w:rPr>
      </w:pPr>
      <w:r w:rsidRPr="002F632A">
        <w:rPr>
          <w:szCs w:val="26"/>
        </w:rPr>
        <w:tab/>
      </w:r>
      <w:r w:rsidRPr="002F632A">
        <w:rPr>
          <w:szCs w:val="26"/>
        </w:rPr>
        <w:t xml:space="preserve">In </w:t>
      </w:r>
      <w:r w:rsidRPr="002F632A">
        <w:rPr>
          <w:szCs w:val="26"/>
        </w:rPr>
        <w:t>the days following the declaration of impasse</w:t>
      </w:r>
      <w:r w:rsidRPr="002F632A">
        <w:rPr>
          <w:szCs w:val="26"/>
        </w:rPr>
        <w:t xml:space="preserve">, the City reconsidered its position, </w:t>
      </w:r>
      <w:r w:rsidRPr="002F632A">
        <w:rPr>
          <w:szCs w:val="26"/>
        </w:rPr>
        <w:t xml:space="preserve">ultimately </w:t>
      </w:r>
      <w:r w:rsidRPr="002F632A">
        <w:rPr>
          <w:szCs w:val="26"/>
        </w:rPr>
        <w:t xml:space="preserve">concluding that it would no longer </w:t>
      </w:r>
      <w:r w:rsidRPr="002F632A">
        <w:rPr>
          <w:szCs w:val="26"/>
        </w:rPr>
        <w:t xml:space="preserve">negotiate regarding “out-of-scope management rights” and that four of the five </w:t>
      </w:r>
      <w:r w:rsidRPr="002F632A">
        <w:rPr>
          <w:szCs w:val="26"/>
        </w:rPr>
        <w:t>remai</w:t>
      </w:r>
      <w:r w:rsidRPr="002F632A">
        <w:rPr>
          <w:szCs w:val="26"/>
        </w:rPr>
        <w:t>ning areas of disagreement “were outside the scope of representation and clearly management rights.”  These included, inter alia, the strict prohibition against shooting at moving vehicles and the ban of the use of the carotid restraint.</w:t>
      </w:r>
      <w:r w:rsidRPr="002F632A">
        <w:rPr>
          <w:szCs w:val="26"/>
        </w:rPr>
        <w:t xml:space="preserve">  </w:t>
      </w:r>
      <w:r w:rsidRPr="002F632A">
        <w:rPr>
          <w:szCs w:val="26"/>
        </w:rPr>
        <w:t>The only remainin</w:t>
      </w:r>
      <w:r w:rsidRPr="002F632A">
        <w:rPr>
          <w:szCs w:val="26"/>
        </w:rPr>
        <w:t>g issues the City believed were with</w:t>
      </w:r>
      <w:r w:rsidRPr="002F632A">
        <w:rPr>
          <w:szCs w:val="26"/>
        </w:rPr>
        <w:t>in</w:t>
      </w:r>
      <w:r w:rsidRPr="002F632A">
        <w:rPr>
          <w:szCs w:val="26"/>
        </w:rPr>
        <w:t xml:space="preserve"> the </w:t>
      </w:r>
      <w:r w:rsidRPr="002F632A">
        <w:rPr>
          <w:szCs w:val="26"/>
        </w:rPr>
        <w:lastRenderedPageBreak/>
        <w:t xml:space="preserve">scope of representation were related to training and discipline.  </w:t>
      </w:r>
      <w:r w:rsidRPr="002F632A">
        <w:rPr>
          <w:szCs w:val="26"/>
        </w:rPr>
        <w:t>On November 3, the City sent a</w:t>
      </w:r>
      <w:r w:rsidRPr="002F632A">
        <w:rPr>
          <w:szCs w:val="26"/>
        </w:rPr>
        <w:t xml:space="preserve"> letter to the Association explaining its position</w:t>
      </w:r>
      <w:r w:rsidRPr="002F632A">
        <w:rPr>
          <w:szCs w:val="26"/>
        </w:rPr>
        <w:t>.</w:t>
      </w:r>
      <w:r w:rsidRPr="002F632A">
        <w:rPr>
          <w:szCs w:val="26"/>
        </w:rPr>
        <w:t xml:space="preserve"> </w:t>
      </w:r>
      <w:r w:rsidRPr="002F632A">
        <w:rPr>
          <w:szCs w:val="26"/>
        </w:rPr>
        <w:t xml:space="preserve"> </w:t>
      </w:r>
    </w:p>
    <w:p w:rsidR="00F3600C" w:rsidRPr="002F632A" w:rsidRDefault="00865C66" w:rsidP="00BF39BE">
      <w:pPr>
        <w:spacing w:line="360" w:lineRule="auto"/>
        <w:rPr>
          <w:szCs w:val="26"/>
        </w:rPr>
      </w:pPr>
      <w:r w:rsidRPr="002F632A">
        <w:rPr>
          <w:szCs w:val="26"/>
        </w:rPr>
        <w:tab/>
        <w:t xml:space="preserve">On December 7, 2016, the parties </w:t>
      </w:r>
      <w:r w:rsidRPr="002F632A">
        <w:rPr>
          <w:szCs w:val="26"/>
        </w:rPr>
        <w:t xml:space="preserve">met and </w:t>
      </w:r>
      <w:r w:rsidRPr="002F632A">
        <w:rPr>
          <w:szCs w:val="26"/>
        </w:rPr>
        <w:t xml:space="preserve">reached an agreement </w:t>
      </w:r>
      <w:r w:rsidRPr="002F632A">
        <w:rPr>
          <w:szCs w:val="26"/>
        </w:rPr>
        <w:t xml:space="preserve">on </w:t>
      </w:r>
      <w:r w:rsidRPr="002F632A">
        <w:rPr>
          <w:szCs w:val="26"/>
        </w:rPr>
        <w:t>the</w:t>
      </w:r>
      <w:r w:rsidRPr="002F632A">
        <w:rPr>
          <w:szCs w:val="26"/>
        </w:rPr>
        <w:t xml:space="preserve"> training and discipline </w:t>
      </w:r>
      <w:r w:rsidRPr="002F632A">
        <w:rPr>
          <w:szCs w:val="26"/>
        </w:rPr>
        <w:t>process</w:t>
      </w:r>
      <w:r w:rsidRPr="002F632A">
        <w:rPr>
          <w:szCs w:val="26"/>
        </w:rPr>
        <w:t>es</w:t>
      </w:r>
      <w:r w:rsidRPr="002F632A">
        <w:rPr>
          <w:szCs w:val="26"/>
        </w:rPr>
        <w:t xml:space="preserve"> under the </w:t>
      </w:r>
      <w:r w:rsidRPr="002F632A">
        <w:rPr>
          <w:szCs w:val="26"/>
        </w:rPr>
        <w:t>revised</w:t>
      </w:r>
      <w:r w:rsidRPr="002F632A">
        <w:rPr>
          <w:szCs w:val="26"/>
        </w:rPr>
        <w:t xml:space="preserve"> </w:t>
      </w:r>
      <w:r w:rsidRPr="002F632A">
        <w:rPr>
          <w:szCs w:val="26"/>
        </w:rPr>
        <w:t xml:space="preserve">use of force </w:t>
      </w:r>
      <w:r w:rsidRPr="002F632A">
        <w:rPr>
          <w:szCs w:val="26"/>
        </w:rPr>
        <w:t>policy</w:t>
      </w:r>
      <w:r w:rsidRPr="002F632A">
        <w:rPr>
          <w:szCs w:val="26"/>
        </w:rPr>
        <w:t>.</w:t>
      </w:r>
      <w:r w:rsidRPr="002F632A">
        <w:rPr>
          <w:szCs w:val="26"/>
        </w:rPr>
        <w:t xml:space="preserve"> </w:t>
      </w:r>
      <w:r w:rsidRPr="002F632A">
        <w:rPr>
          <w:szCs w:val="26"/>
        </w:rPr>
        <w:t xml:space="preserve"> </w:t>
      </w:r>
    </w:p>
    <w:p w:rsidR="003B14D6" w:rsidRPr="002F632A" w:rsidRDefault="00865C66" w:rsidP="00BF39BE">
      <w:pPr>
        <w:spacing w:line="360" w:lineRule="auto"/>
        <w:rPr>
          <w:szCs w:val="26"/>
        </w:rPr>
      </w:pPr>
      <w:r w:rsidRPr="002F632A">
        <w:rPr>
          <w:szCs w:val="26"/>
        </w:rPr>
        <w:tab/>
        <w:t xml:space="preserve">On December 20, 2016, the Association </w:t>
      </w:r>
      <w:r w:rsidRPr="002F632A">
        <w:rPr>
          <w:szCs w:val="26"/>
        </w:rPr>
        <w:t xml:space="preserve">filed a complaint </w:t>
      </w:r>
      <w:r w:rsidRPr="002F632A">
        <w:rPr>
          <w:szCs w:val="26"/>
        </w:rPr>
        <w:t xml:space="preserve">in the trial court </w:t>
      </w:r>
      <w:r w:rsidRPr="002F632A">
        <w:rPr>
          <w:szCs w:val="26"/>
        </w:rPr>
        <w:t>seeking</w:t>
      </w:r>
      <w:r w:rsidRPr="002F632A">
        <w:rPr>
          <w:szCs w:val="26"/>
        </w:rPr>
        <w:t xml:space="preserve"> a temporary restraining order and </w:t>
      </w:r>
      <w:r w:rsidRPr="002F632A">
        <w:rPr>
          <w:szCs w:val="26"/>
        </w:rPr>
        <w:t>a preliminary injunction</w:t>
      </w:r>
      <w:r w:rsidRPr="002F632A">
        <w:rPr>
          <w:szCs w:val="26"/>
        </w:rPr>
        <w:t xml:space="preserve"> preventing implementation of the use of force policy</w:t>
      </w:r>
      <w:r w:rsidRPr="002F632A">
        <w:rPr>
          <w:szCs w:val="26"/>
        </w:rPr>
        <w:t xml:space="preserve"> and further seeking an order compelling arbitration under the MOU and a writ of mandate ordering the City </w:t>
      </w:r>
      <w:r w:rsidRPr="002F632A">
        <w:rPr>
          <w:szCs w:val="26"/>
        </w:rPr>
        <w:t xml:space="preserve">to participate in impasse resolution </w:t>
      </w:r>
      <w:r w:rsidRPr="002F632A">
        <w:rPr>
          <w:szCs w:val="26"/>
        </w:rPr>
        <w:t>procedures under the City C</w:t>
      </w:r>
      <w:r w:rsidRPr="002F632A">
        <w:rPr>
          <w:szCs w:val="26"/>
        </w:rPr>
        <w:t>harter</w:t>
      </w:r>
      <w:r w:rsidRPr="002F632A">
        <w:rPr>
          <w:szCs w:val="26"/>
        </w:rPr>
        <w:t xml:space="preserve"> or state law</w:t>
      </w:r>
      <w:r w:rsidRPr="002F632A">
        <w:rPr>
          <w:szCs w:val="26"/>
        </w:rPr>
        <w:t xml:space="preserve">. </w:t>
      </w:r>
      <w:r w:rsidRPr="002F632A">
        <w:rPr>
          <w:szCs w:val="26"/>
        </w:rPr>
        <w:t xml:space="preserve"> </w:t>
      </w:r>
    </w:p>
    <w:p w:rsidR="003B14D6" w:rsidRPr="002F632A" w:rsidRDefault="00865C66" w:rsidP="00BF39BE">
      <w:pPr>
        <w:spacing w:line="360" w:lineRule="auto"/>
        <w:rPr>
          <w:szCs w:val="26"/>
        </w:rPr>
      </w:pPr>
      <w:r w:rsidRPr="002F632A">
        <w:rPr>
          <w:szCs w:val="26"/>
        </w:rPr>
        <w:tab/>
        <w:t>On Decem</w:t>
      </w:r>
      <w:r w:rsidRPr="002F632A">
        <w:rPr>
          <w:szCs w:val="26"/>
        </w:rPr>
        <w:t xml:space="preserve">ber 21, 2016, the Commission </w:t>
      </w:r>
      <w:r w:rsidRPr="002F632A">
        <w:rPr>
          <w:szCs w:val="26"/>
        </w:rPr>
        <w:t xml:space="preserve">voted unanimously to adopt the </w:t>
      </w:r>
      <w:r w:rsidRPr="002F632A">
        <w:rPr>
          <w:szCs w:val="26"/>
        </w:rPr>
        <w:t>revised</w:t>
      </w:r>
      <w:r w:rsidRPr="002F632A">
        <w:rPr>
          <w:szCs w:val="26"/>
        </w:rPr>
        <w:t xml:space="preserve"> </w:t>
      </w:r>
      <w:r w:rsidRPr="002F632A">
        <w:rPr>
          <w:szCs w:val="26"/>
        </w:rPr>
        <w:t>use of force policy</w:t>
      </w:r>
      <w:r w:rsidRPr="002F632A">
        <w:rPr>
          <w:szCs w:val="26"/>
        </w:rPr>
        <w:t xml:space="preserve">, which included the provisions </w:t>
      </w:r>
      <w:r w:rsidRPr="002F632A">
        <w:rPr>
          <w:szCs w:val="26"/>
        </w:rPr>
        <w:t>prohibiting</w:t>
      </w:r>
      <w:r w:rsidRPr="002F632A">
        <w:rPr>
          <w:szCs w:val="26"/>
        </w:rPr>
        <w:t xml:space="preserve"> the carotid hold and shooting </w:t>
      </w:r>
      <w:r w:rsidRPr="002F632A">
        <w:rPr>
          <w:szCs w:val="26"/>
        </w:rPr>
        <w:t>at</w:t>
      </w:r>
      <w:r w:rsidRPr="002F632A">
        <w:rPr>
          <w:szCs w:val="26"/>
        </w:rPr>
        <w:t xml:space="preserve"> moving vehicles challenged by the Association</w:t>
      </w:r>
      <w:r w:rsidRPr="002F632A">
        <w:rPr>
          <w:szCs w:val="26"/>
        </w:rPr>
        <w:t xml:space="preserve">. </w:t>
      </w:r>
      <w:r w:rsidRPr="002F632A">
        <w:rPr>
          <w:szCs w:val="26"/>
        </w:rPr>
        <w:t xml:space="preserve"> </w:t>
      </w:r>
      <w:r w:rsidRPr="002F632A">
        <w:rPr>
          <w:szCs w:val="26"/>
        </w:rPr>
        <w:t xml:space="preserve">(See </w:t>
      </w:r>
      <w:r w:rsidRPr="002F632A">
        <w:rPr>
          <w:szCs w:val="26"/>
        </w:rPr>
        <w:t xml:space="preserve">Draft </w:t>
      </w:r>
      <w:r w:rsidRPr="002F632A">
        <w:rPr>
          <w:szCs w:val="26"/>
        </w:rPr>
        <w:t xml:space="preserve">SFPD General Order 5.01, </w:t>
      </w:r>
      <w:r w:rsidRPr="002F632A">
        <w:rPr>
          <w:szCs w:val="26"/>
        </w:rPr>
        <w:t xml:space="preserve">rev. </w:t>
      </w:r>
      <w:r w:rsidRPr="002F632A">
        <w:rPr>
          <w:szCs w:val="26"/>
        </w:rPr>
        <w:t>12/21/16</w:t>
      </w:r>
      <w:r w:rsidRPr="002F632A">
        <w:rPr>
          <w:szCs w:val="26"/>
        </w:rPr>
        <w:t xml:space="preserve">.)  </w:t>
      </w:r>
    </w:p>
    <w:p w:rsidR="00C74F79" w:rsidRPr="002F632A" w:rsidRDefault="00865C66" w:rsidP="00BF39BE">
      <w:pPr>
        <w:spacing w:line="360" w:lineRule="auto"/>
        <w:rPr>
          <w:szCs w:val="26"/>
        </w:rPr>
      </w:pPr>
      <w:r w:rsidRPr="002F632A">
        <w:rPr>
          <w:szCs w:val="26"/>
        </w:rPr>
        <w:tab/>
      </w:r>
      <w:r w:rsidRPr="002F632A">
        <w:rPr>
          <w:szCs w:val="26"/>
        </w:rPr>
        <w:t>On December 22</w:t>
      </w:r>
      <w:r w:rsidRPr="002F632A">
        <w:rPr>
          <w:szCs w:val="26"/>
        </w:rPr>
        <w:t>, 2016</w:t>
      </w:r>
      <w:r w:rsidRPr="002F632A">
        <w:rPr>
          <w:szCs w:val="26"/>
        </w:rPr>
        <w:t>, t</w:t>
      </w:r>
      <w:r w:rsidRPr="002F632A">
        <w:rPr>
          <w:szCs w:val="26"/>
        </w:rPr>
        <w:t xml:space="preserve">he City </w:t>
      </w:r>
      <w:r w:rsidRPr="002F632A">
        <w:rPr>
          <w:szCs w:val="26"/>
        </w:rPr>
        <w:t xml:space="preserve">sent a letter to </w:t>
      </w:r>
      <w:r w:rsidRPr="002F632A">
        <w:rPr>
          <w:szCs w:val="26"/>
        </w:rPr>
        <w:t xml:space="preserve">the </w:t>
      </w:r>
      <w:r w:rsidRPr="002F632A">
        <w:rPr>
          <w:szCs w:val="26"/>
        </w:rPr>
        <w:t>Association</w:t>
      </w:r>
      <w:r w:rsidRPr="002F632A">
        <w:rPr>
          <w:szCs w:val="26"/>
        </w:rPr>
        <w:t xml:space="preserve"> </w:t>
      </w:r>
      <w:r w:rsidRPr="002F632A">
        <w:rPr>
          <w:szCs w:val="26"/>
        </w:rPr>
        <w:t xml:space="preserve">informing it </w:t>
      </w:r>
      <w:r w:rsidRPr="002F632A">
        <w:rPr>
          <w:szCs w:val="26"/>
        </w:rPr>
        <w:t xml:space="preserve">that, having </w:t>
      </w:r>
      <w:r w:rsidRPr="002F632A">
        <w:rPr>
          <w:szCs w:val="26"/>
        </w:rPr>
        <w:t xml:space="preserve">agreed on all issues </w:t>
      </w:r>
      <w:r w:rsidRPr="002F632A">
        <w:rPr>
          <w:szCs w:val="26"/>
        </w:rPr>
        <w:t xml:space="preserve">on the use of force policy </w:t>
      </w:r>
      <w:r w:rsidRPr="002F632A">
        <w:rPr>
          <w:szCs w:val="26"/>
        </w:rPr>
        <w:t xml:space="preserve">potentially with the scope of representation, it had </w:t>
      </w:r>
      <w:r w:rsidRPr="002F632A">
        <w:rPr>
          <w:szCs w:val="26"/>
        </w:rPr>
        <w:t>successfully completed the meet and confer process</w:t>
      </w:r>
      <w:r w:rsidRPr="002F632A">
        <w:rPr>
          <w:szCs w:val="26"/>
        </w:rPr>
        <w:t xml:space="preserve"> </w:t>
      </w:r>
      <w:r w:rsidRPr="002F632A">
        <w:rPr>
          <w:szCs w:val="26"/>
        </w:rPr>
        <w:t>on the policy</w:t>
      </w:r>
      <w:r w:rsidRPr="002F632A">
        <w:rPr>
          <w:szCs w:val="26"/>
        </w:rPr>
        <w:t>.</w:t>
      </w:r>
      <w:r w:rsidRPr="002F632A">
        <w:rPr>
          <w:szCs w:val="26"/>
        </w:rPr>
        <w:t xml:space="preserve"> </w:t>
      </w:r>
      <w:r w:rsidRPr="002F632A">
        <w:rPr>
          <w:szCs w:val="26"/>
        </w:rPr>
        <w:t xml:space="preserve"> </w:t>
      </w:r>
    </w:p>
    <w:p w:rsidR="00A02247" w:rsidRPr="002F632A" w:rsidRDefault="00865C66" w:rsidP="00BF39BE">
      <w:pPr>
        <w:spacing w:line="360" w:lineRule="auto"/>
        <w:rPr>
          <w:szCs w:val="26"/>
        </w:rPr>
      </w:pPr>
      <w:r w:rsidRPr="002F632A">
        <w:rPr>
          <w:szCs w:val="26"/>
        </w:rPr>
        <w:tab/>
        <w:t>On December 23,</w:t>
      </w:r>
      <w:r w:rsidRPr="002F632A">
        <w:rPr>
          <w:szCs w:val="26"/>
        </w:rPr>
        <w:t xml:space="preserve"> 2016,</w:t>
      </w:r>
      <w:r w:rsidRPr="002F632A">
        <w:rPr>
          <w:szCs w:val="26"/>
        </w:rPr>
        <w:t xml:space="preserve"> the Association filed an application for a temporary restraining order</w:t>
      </w:r>
      <w:r w:rsidRPr="002F632A">
        <w:rPr>
          <w:szCs w:val="26"/>
        </w:rPr>
        <w:t xml:space="preserve"> and order to show cause re preliminary injunction</w:t>
      </w:r>
      <w:r w:rsidRPr="002F632A">
        <w:rPr>
          <w:szCs w:val="26"/>
        </w:rPr>
        <w:t xml:space="preserve"> to stay implementation of the new policy pending arbitration of </w:t>
      </w:r>
      <w:r w:rsidRPr="002F632A">
        <w:rPr>
          <w:szCs w:val="26"/>
        </w:rPr>
        <w:t>its</w:t>
      </w:r>
      <w:r w:rsidRPr="002F632A">
        <w:rPr>
          <w:szCs w:val="26"/>
        </w:rPr>
        <w:t xml:space="preserve"> grievance</w:t>
      </w:r>
      <w:r w:rsidRPr="002F632A">
        <w:rPr>
          <w:szCs w:val="26"/>
        </w:rPr>
        <w:t xml:space="preserve">. </w:t>
      </w:r>
      <w:r w:rsidRPr="002F632A">
        <w:rPr>
          <w:szCs w:val="26"/>
        </w:rPr>
        <w:t xml:space="preserve"> </w:t>
      </w:r>
      <w:r w:rsidRPr="002F632A">
        <w:rPr>
          <w:szCs w:val="26"/>
        </w:rPr>
        <w:t>On December 27,</w:t>
      </w:r>
      <w:r w:rsidRPr="002F632A">
        <w:rPr>
          <w:szCs w:val="26"/>
        </w:rPr>
        <w:t xml:space="preserve"> 2016, the court denied the requested relief</w:t>
      </w:r>
      <w:r w:rsidRPr="002F632A">
        <w:rPr>
          <w:szCs w:val="26"/>
        </w:rPr>
        <w:t xml:space="preserve"> based on its findings that (1)</w:t>
      </w:r>
      <w:r w:rsidRPr="002F632A">
        <w:rPr>
          <w:szCs w:val="26"/>
        </w:rPr>
        <w:t xml:space="preserve"> the Association was unlikely to prevail on the merits at trial </w:t>
      </w:r>
      <w:r w:rsidRPr="002F632A">
        <w:rPr>
          <w:szCs w:val="26"/>
        </w:rPr>
        <w:t>because under California law, a use of force policy is a managerial decision, regarding which the City was not subjec</w:t>
      </w:r>
      <w:r w:rsidRPr="002F632A">
        <w:rPr>
          <w:szCs w:val="26"/>
        </w:rPr>
        <w:t>t to meet and confer requirements</w:t>
      </w:r>
      <w:r w:rsidRPr="002F632A">
        <w:rPr>
          <w:szCs w:val="26"/>
        </w:rPr>
        <w:t>, and (2) “the balancing of ‘interim harm’</w:t>
      </w:r>
      <w:r w:rsidRPr="002F632A">
        <w:rPr>
          <w:szCs w:val="26"/>
        </w:rPr>
        <w:t> </w:t>
      </w:r>
      <w:r w:rsidRPr="002F632A">
        <w:rPr>
          <w:szCs w:val="26"/>
        </w:rPr>
        <w:t>” favored the City.</w:t>
      </w:r>
      <w:r w:rsidRPr="002F632A">
        <w:rPr>
          <w:szCs w:val="26"/>
        </w:rPr>
        <w:t xml:space="preserve"> </w:t>
      </w:r>
      <w:r w:rsidRPr="002F632A">
        <w:rPr>
          <w:szCs w:val="26"/>
        </w:rPr>
        <w:t xml:space="preserve"> </w:t>
      </w:r>
    </w:p>
    <w:p w:rsidR="000D0433" w:rsidRPr="002F632A" w:rsidRDefault="00865C66" w:rsidP="00BF39BE">
      <w:pPr>
        <w:spacing w:line="360" w:lineRule="auto"/>
        <w:rPr>
          <w:szCs w:val="26"/>
        </w:rPr>
      </w:pPr>
      <w:r w:rsidRPr="002F632A">
        <w:rPr>
          <w:szCs w:val="26"/>
        </w:rPr>
        <w:tab/>
        <w:t>On December 28, 2016, the Association</w:t>
      </w:r>
      <w:r w:rsidRPr="002F632A">
        <w:rPr>
          <w:szCs w:val="26"/>
        </w:rPr>
        <w:t xml:space="preserve"> filed an amended grievance, adding</w:t>
      </w:r>
      <w:r w:rsidRPr="002F632A">
        <w:rPr>
          <w:szCs w:val="26"/>
        </w:rPr>
        <w:t xml:space="preserve"> an issue </w:t>
      </w:r>
      <w:r w:rsidRPr="002F632A">
        <w:rPr>
          <w:szCs w:val="26"/>
        </w:rPr>
        <w:t>concerning</w:t>
      </w:r>
      <w:r w:rsidRPr="002F632A">
        <w:rPr>
          <w:szCs w:val="26"/>
        </w:rPr>
        <w:t xml:space="preserve"> whether the City had any obligation to negotiate regarding </w:t>
      </w:r>
      <w:r w:rsidRPr="002F632A">
        <w:rPr>
          <w:szCs w:val="26"/>
        </w:rPr>
        <w:t>any a</w:t>
      </w:r>
      <w:r w:rsidRPr="002F632A">
        <w:rPr>
          <w:szCs w:val="26"/>
        </w:rPr>
        <w:t xml:space="preserve">spect of </w:t>
      </w:r>
      <w:r w:rsidRPr="002F632A">
        <w:rPr>
          <w:szCs w:val="26"/>
        </w:rPr>
        <w:t xml:space="preserve">its </w:t>
      </w:r>
      <w:r w:rsidRPr="002F632A">
        <w:rPr>
          <w:szCs w:val="26"/>
        </w:rPr>
        <w:t xml:space="preserve">new </w:t>
      </w:r>
      <w:r w:rsidRPr="002F632A">
        <w:rPr>
          <w:szCs w:val="26"/>
        </w:rPr>
        <w:t>use of force policy.</w:t>
      </w:r>
      <w:r w:rsidRPr="002F632A">
        <w:rPr>
          <w:szCs w:val="26"/>
        </w:rPr>
        <w:t xml:space="preserve"> </w:t>
      </w:r>
      <w:r w:rsidRPr="002F632A">
        <w:rPr>
          <w:szCs w:val="26"/>
        </w:rPr>
        <w:t xml:space="preserve"> </w:t>
      </w:r>
      <w:r w:rsidRPr="002F632A">
        <w:rPr>
          <w:szCs w:val="26"/>
        </w:rPr>
        <w:t>On January 13, 2017, the City denied the amended grievance and rejected the Ass</w:t>
      </w:r>
      <w:r w:rsidRPr="002F632A">
        <w:rPr>
          <w:szCs w:val="26"/>
        </w:rPr>
        <w:t xml:space="preserve">ociation’s arbitration demand. </w:t>
      </w:r>
      <w:r w:rsidRPr="002F632A">
        <w:rPr>
          <w:szCs w:val="26"/>
        </w:rPr>
        <w:t xml:space="preserve"> </w:t>
      </w:r>
    </w:p>
    <w:p w:rsidR="00221729" w:rsidRPr="002F632A" w:rsidRDefault="00865C66" w:rsidP="00BF39BE">
      <w:pPr>
        <w:spacing w:line="360" w:lineRule="auto"/>
        <w:ind w:firstLine="720"/>
        <w:rPr>
          <w:szCs w:val="26"/>
        </w:rPr>
      </w:pPr>
      <w:r w:rsidRPr="002F632A">
        <w:rPr>
          <w:szCs w:val="26"/>
        </w:rPr>
        <w:t xml:space="preserve">On January 19, 2017, the Association filed a petition to compel arbitration of its </w:t>
      </w:r>
      <w:r w:rsidRPr="002F632A">
        <w:rPr>
          <w:szCs w:val="26"/>
        </w:rPr>
        <w:t>amended</w:t>
      </w:r>
      <w:r w:rsidRPr="002F632A">
        <w:rPr>
          <w:szCs w:val="26"/>
        </w:rPr>
        <w:t xml:space="preserve"> </w:t>
      </w:r>
      <w:r w:rsidRPr="002F632A">
        <w:rPr>
          <w:szCs w:val="26"/>
        </w:rPr>
        <w:t>grievance</w:t>
      </w:r>
      <w:r w:rsidRPr="002F632A">
        <w:rPr>
          <w:szCs w:val="26"/>
        </w:rPr>
        <w:t xml:space="preserve"> against the City. </w:t>
      </w:r>
      <w:r w:rsidRPr="002F632A">
        <w:rPr>
          <w:szCs w:val="26"/>
        </w:rPr>
        <w:t xml:space="preserve"> </w:t>
      </w:r>
    </w:p>
    <w:p w:rsidR="00F26C1C" w:rsidRPr="002F632A" w:rsidRDefault="00865C66" w:rsidP="00BF39BE">
      <w:pPr>
        <w:spacing w:line="360" w:lineRule="auto"/>
        <w:rPr>
          <w:szCs w:val="26"/>
        </w:rPr>
      </w:pPr>
      <w:r w:rsidRPr="002F632A">
        <w:rPr>
          <w:szCs w:val="26"/>
        </w:rPr>
        <w:lastRenderedPageBreak/>
        <w:tab/>
      </w:r>
      <w:r w:rsidRPr="002F632A">
        <w:rPr>
          <w:szCs w:val="26"/>
        </w:rPr>
        <w:t>Also o</w:t>
      </w:r>
      <w:r w:rsidRPr="002F632A">
        <w:rPr>
          <w:szCs w:val="26"/>
        </w:rPr>
        <w:t xml:space="preserve">n January 19, 2017, the City demurred to the </w:t>
      </w:r>
      <w:r w:rsidRPr="002F632A">
        <w:rPr>
          <w:szCs w:val="26"/>
        </w:rPr>
        <w:t>cause of action</w:t>
      </w:r>
      <w:r w:rsidRPr="002F632A">
        <w:rPr>
          <w:szCs w:val="26"/>
        </w:rPr>
        <w:t xml:space="preserve"> for writ of mandate</w:t>
      </w:r>
      <w:r w:rsidRPr="002F632A">
        <w:rPr>
          <w:szCs w:val="26"/>
        </w:rPr>
        <w:t xml:space="preserve"> </w:t>
      </w:r>
      <w:r w:rsidRPr="002F632A">
        <w:rPr>
          <w:szCs w:val="26"/>
        </w:rPr>
        <w:t>in the Association’s complaint</w:t>
      </w:r>
      <w:r w:rsidRPr="002F632A">
        <w:rPr>
          <w:szCs w:val="26"/>
        </w:rPr>
        <w:t xml:space="preserve">, claiming </w:t>
      </w:r>
      <w:r w:rsidRPr="002F632A">
        <w:rPr>
          <w:szCs w:val="26"/>
        </w:rPr>
        <w:t>the City</w:t>
      </w:r>
      <w:r w:rsidRPr="002F632A">
        <w:rPr>
          <w:szCs w:val="26"/>
        </w:rPr>
        <w:t xml:space="preserve"> had no duty to </w:t>
      </w:r>
      <w:r w:rsidRPr="002F632A">
        <w:rPr>
          <w:szCs w:val="26"/>
        </w:rPr>
        <w:t>bargain via impasse resolution procedures regarding disputed matters outsid</w:t>
      </w:r>
      <w:r w:rsidRPr="002F632A">
        <w:rPr>
          <w:szCs w:val="26"/>
        </w:rPr>
        <w:t>e the s</w:t>
      </w:r>
      <w:r w:rsidRPr="002F632A">
        <w:rPr>
          <w:szCs w:val="26"/>
        </w:rPr>
        <w:t xml:space="preserve">cope of representation. </w:t>
      </w:r>
      <w:r w:rsidRPr="002F632A">
        <w:rPr>
          <w:szCs w:val="26"/>
        </w:rPr>
        <w:t xml:space="preserve"> </w:t>
      </w:r>
      <w:r w:rsidRPr="002F632A">
        <w:rPr>
          <w:szCs w:val="26"/>
        </w:rPr>
        <w:t>On February 8, 2017, the Association filed a request for dismissal of its cause of action for writ of mandat</w:t>
      </w:r>
      <w:r w:rsidRPr="002F632A">
        <w:rPr>
          <w:szCs w:val="26"/>
        </w:rPr>
        <w:t>e, and a dismissal was entered.</w:t>
      </w:r>
      <w:r w:rsidRPr="002F632A">
        <w:rPr>
          <w:szCs w:val="26"/>
        </w:rPr>
        <w:t xml:space="preserve">  </w:t>
      </w:r>
    </w:p>
    <w:p w:rsidR="008B5BD0" w:rsidRPr="002F632A" w:rsidRDefault="00865C66" w:rsidP="00BF39BE">
      <w:pPr>
        <w:spacing w:line="360" w:lineRule="auto"/>
        <w:rPr>
          <w:szCs w:val="26"/>
        </w:rPr>
      </w:pPr>
      <w:r w:rsidRPr="002F632A">
        <w:rPr>
          <w:szCs w:val="26"/>
        </w:rPr>
        <w:tab/>
        <w:t>On February 27, 2017, at the conclusion of a hearing on the Association’s petition to co</w:t>
      </w:r>
      <w:r w:rsidRPr="002F632A">
        <w:rPr>
          <w:szCs w:val="26"/>
        </w:rPr>
        <w:t>mpel arbitration</w:t>
      </w:r>
      <w:r w:rsidRPr="002F632A">
        <w:rPr>
          <w:szCs w:val="26"/>
        </w:rPr>
        <w:t xml:space="preserve"> of its</w:t>
      </w:r>
      <w:r w:rsidRPr="002F632A">
        <w:rPr>
          <w:szCs w:val="26"/>
        </w:rPr>
        <w:t xml:space="preserve"> amended</w:t>
      </w:r>
      <w:r w:rsidRPr="002F632A">
        <w:rPr>
          <w:szCs w:val="26"/>
        </w:rPr>
        <w:t xml:space="preserve"> grievance</w:t>
      </w:r>
      <w:r w:rsidRPr="002F632A">
        <w:rPr>
          <w:szCs w:val="26"/>
        </w:rPr>
        <w:t xml:space="preserve">, </w:t>
      </w:r>
      <w:r w:rsidRPr="002F632A">
        <w:rPr>
          <w:szCs w:val="26"/>
        </w:rPr>
        <w:t>the court denied the petition</w:t>
      </w:r>
      <w:r w:rsidRPr="002F632A">
        <w:rPr>
          <w:szCs w:val="26"/>
        </w:rPr>
        <w:t xml:space="preserve"> </w:t>
      </w:r>
      <w:r w:rsidRPr="002F632A">
        <w:rPr>
          <w:szCs w:val="26"/>
        </w:rPr>
        <w:t xml:space="preserve">after finding there was no agreement to arbitrate the issues raised in the grievance.  </w:t>
      </w:r>
      <w:r w:rsidRPr="002F632A">
        <w:rPr>
          <w:szCs w:val="26"/>
        </w:rPr>
        <w:t>In its oral ruling, the court explained:  “I do belie</w:t>
      </w:r>
      <w:r w:rsidRPr="002F632A">
        <w:rPr>
          <w:szCs w:val="26"/>
        </w:rPr>
        <w:t>ve that this particular area, in regards to</w:t>
      </w:r>
      <w:r w:rsidRPr="002F632A">
        <w:rPr>
          <w:szCs w:val="26"/>
        </w:rPr>
        <w:t xml:space="preserve"> Use of Force, has been clearly defined by the . . . courts that that is an exclusive management area[,] it’s an exercise of l</w:t>
      </w:r>
      <w:r w:rsidRPr="002F632A">
        <w:rPr>
          <w:szCs w:val="26"/>
        </w:rPr>
        <w:t>ocal police powers.  [¶] . . .</w:t>
      </w:r>
      <w:r w:rsidRPr="002F632A">
        <w:rPr>
          <w:szCs w:val="26"/>
        </w:rPr>
        <w:t xml:space="preserve">  [¶]</w:t>
      </w:r>
      <w:r w:rsidRPr="002F632A">
        <w:rPr>
          <w:szCs w:val="26"/>
        </w:rPr>
        <w:t> </w:t>
      </w:r>
      <w:r w:rsidRPr="002F632A">
        <w:rPr>
          <w:szCs w:val="26"/>
        </w:rPr>
        <w:t xml:space="preserve">So I don’t think that this is a matter of determination under a labor bargaining situation or an arbitration situation.  I think that the City is well within its authority, constitutional authority as well as City management authority, </w:t>
      </w:r>
      <w:r w:rsidRPr="002F632A">
        <w:rPr>
          <w:szCs w:val="26"/>
        </w:rPr>
        <w:t>to exercise local po</w:t>
      </w:r>
      <w:r w:rsidRPr="002F632A">
        <w:rPr>
          <w:szCs w:val="26"/>
        </w:rPr>
        <w:t xml:space="preserve">lice authority in regards to the Use of Force as defined in </w:t>
      </w:r>
      <w:r w:rsidRPr="002F632A">
        <w:rPr>
          <w:i/>
          <w:szCs w:val="26"/>
        </w:rPr>
        <w:t>San Jose</w:t>
      </w:r>
      <w:r w:rsidRPr="002F632A">
        <w:rPr>
          <w:szCs w:val="26"/>
        </w:rPr>
        <w:t xml:space="preserve"> [</w:t>
      </w:r>
      <w:r w:rsidRPr="002F632A">
        <w:rPr>
          <w:i/>
          <w:szCs w:val="26"/>
        </w:rPr>
        <w:t>Peace Officer’s Assn. v. City of San Jose</w:t>
      </w:r>
      <w:r w:rsidRPr="002F632A">
        <w:rPr>
          <w:szCs w:val="26"/>
        </w:rPr>
        <w:t xml:space="preserve"> (1978) 78 Cal.App.3d 935 (</w:t>
      </w:r>
      <w:r w:rsidRPr="002F632A">
        <w:rPr>
          <w:i/>
          <w:szCs w:val="26"/>
        </w:rPr>
        <w:t>San Jose</w:t>
      </w:r>
      <w:r w:rsidRPr="002F632A">
        <w:rPr>
          <w:szCs w:val="26"/>
        </w:rPr>
        <w:t>)].”</w:t>
      </w:r>
      <w:r w:rsidRPr="002F632A">
        <w:rPr>
          <w:szCs w:val="26"/>
        </w:rPr>
        <w:t xml:space="preserve"> </w:t>
      </w:r>
      <w:r w:rsidRPr="002F632A">
        <w:rPr>
          <w:szCs w:val="26"/>
        </w:rPr>
        <w:t xml:space="preserve"> </w:t>
      </w:r>
      <w:r w:rsidRPr="002F632A">
        <w:rPr>
          <w:szCs w:val="26"/>
        </w:rPr>
        <w:t xml:space="preserve">On April 3, 2017, </w:t>
      </w:r>
      <w:r w:rsidRPr="002F632A">
        <w:rPr>
          <w:szCs w:val="26"/>
        </w:rPr>
        <w:t xml:space="preserve">the court </w:t>
      </w:r>
      <w:r w:rsidRPr="002F632A">
        <w:rPr>
          <w:szCs w:val="26"/>
        </w:rPr>
        <w:t>entered an</w:t>
      </w:r>
      <w:r w:rsidRPr="002F632A">
        <w:rPr>
          <w:szCs w:val="26"/>
        </w:rPr>
        <w:t xml:space="preserve"> order denying the p</w:t>
      </w:r>
      <w:r w:rsidRPr="002F632A">
        <w:rPr>
          <w:szCs w:val="26"/>
        </w:rPr>
        <w:t xml:space="preserve">etition to compel arbitration. </w:t>
      </w:r>
      <w:r w:rsidRPr="002F632A">
        <w:rPr>
          <w:szCs w:val="26"/>
        </w:rPr>
        <w:t xml:space="preserve"> </w:t>
      </w:r>
    </w:p>
    <w:p w:rsidR="006F4D3A" w:rsidRPr="002F632A" w:rsidRDefault="00865C66" w:rsidP="00BF39BE">
      <w:pPr>
        <w:spacing w:line="360" w:lineRule="auto"/>
        <w:rPr>
          <w:szCs w:val="26"/>
        </w:rPr>
      </w:pPr>
      <w:r w:rsidRPr="002F632A">
        <w:rPr>
          <w:szCs w:val="26"/>
        </w:rPr>
        <w:tab/>
        <w:t>On April 11,</w:t>
      </w:r>
      <w:r w:rsidRPr="002F632A">
        <w:rPr>
          <w:szCs w:val="26"/>
        </w:rPr>
        <w:t xml:space="preserve"> 2017, </w:t>
      </w:r>
      <w:r w:rsidRPr="002F632A">
        <w:rPr>
          <w:szCs w:val="26"/>
        </w:rPr>
        <w:t>the Association</w:t>
      </w:r>
      <w:r w:rsidRPr="002F632A">
        <w:rPr>
          <w:szCs w:val="26"/>
        </w:rPr>
        <w:t xml:space="preserve"> filed a petition for writ of mandate in this court</w:t>
      </w:r>
      <w:r w:rsidRPr="002F632A">
        <w:rPr>
          <w:szCs w:val="26"/>
        </w:rPr>
        <w:t>, which we denied on May 22, 2017</w:t>
      </w:r>
      <w:r w:rsidRPr="002F632A">
        <w:rPr>
          <w:szCs w:val="26"/>
        </w:rPr>
        <w:t xml:space="preserve">. </w:t>
      </w:r>
      <w:r w:rsidRPr="002F632A">
        <w:rPr>
          <w:szCs w:val="26"/>
        </w:rPr>
        <w:t xml:space="preserve"> </w:t>
      </w:r>
    </w:p>
    <w:p w:rsidR="000A4CD5" w:rsidRPr="002F632A" w:rsidRDefault="00865C66" w:rsidP="00BF39BE">
      <w:pPr>
        <w:spacing w:line="360" w:lineRule="auto"/>
        <w:ind w:left="720"/>
        <w:rPr>
          <w:szCs w:val="26"/>
        </w:rPr>
      </w:pPr>
      <w:r w:rsidRPr="002F632A">
        <w:rPr>
          <w:szCs w:val="26"/>
        </w:rPr>
        <w:t xml:space="preserve">On </w:t>
      </w:r>
      <w:r w:rsidRPr="002F632A">
        <w:rPr>
          <w:szCs w:val="26"/>
        </w:rPr>
        <w:t>April 28, 2017, the Associ</w:t>
      </w:r>
      <w:r w:rsidRPr="002F632A">
        <w:rPr>
          <w:szCs w:val="26"/>
        </w:rPr>
        <w:t>ation filed a notice of appeal.</w:t>
      </w:r>
      <w:r w:rsidRPr="002F632A">
        <w:rPr>
          <w:szCs w:val="26"/>
        </w:rPr>
        <w:t xml:space="preserve">  </w:t>
      </w:r>
    </w:p>
    <w:p w:rsidR="000A4CD5" w:rsidRPr="002F632A" w:rsidRDefault="00865C66" w:rsidP="00BF39BE">
      <w:pPr>
        <w:spacing w:line="360" w:lineRule="auto"/>
        <w:rPr>
          <w:szCs w:val="26"/>
        </w:rPr>
      </w:pPr>
      <w:r w:rsidRPr="002F632A">
        <w:rPr>
          <w:szCs w:val="26"/>
        </w:rPr>
        <w:tab/>
        <w:t xml:space="preserve">On </w:t>
      </w:r>
      <w:r w:rsidRPr="002F632A">
        <w:rPr>
          <w:szCs w:val="26"/>
        </w:rPr>
        <w:t>March 6, 2018</w:t>
      </w:r>
      <w:r w:rsidRPr="002F632A">
        <w:rPr>
          <w:szCs w:val="26"/>
        </w:rPr>
        <w:t xml:space="preserve">, </w:t>
      </w:r>
      <w:r w:rsidRPr="002F632A">
        <w:rPr>
          <w:szCs w:val="26"/>
        </w:rPr>
        <w:t xml:space="preserve">we granted the unopposed application of </w:t>
      </w:r>
      <w:r w:rsidRPr="002F632A">
        <w:rPr>
          <w:szCs w:val="26"/>
        </w:rPr>
        <w:t xml:space="preserve">the Bar Association of </w:t>
      </w:r>
      <w:r w:rsidRPr="002F632A">
        <w:rPr>
          <w:szCs w:val="26"/>
        </w:rPr>
        <w:t>San Francisco and the American Civil Liberties Union of Northern California</w:t>
      </w:r>
      <w:r w:rsidRPr="002F632A">
        <w:rPr>
          <w:szCs w:val="26"/>
        </w:rPr>
        <w:t xml:space="preserve"> for </w:t>
      </w:r>
      <w:r w:rsidRPr="002F632A">
        <w:rPr>
          <w:szCs w:val="26"/>
        </w:rPr>
        <w:t>permission</w:t>
      </w:r>
      <w:r w:rsidRPr="002F632A">
        <w:rPr>
          <w:szCs w:val="26"/>
        </w:rPr>
        <w:t xml:space="preserve"> to file amici</w:t>
      </w:r>
      <w:r w:rsidRPr="002F632A">
        <w:rPr>
          <w:szCs w:val="26"/>
        </w:rPr>
        <w:t xml:space="preserve"> curiae brief</w:t>
      </w:r>
      <w:r>
        <w:rPr>
          <w:szCs w:val="26"/>
        </w:rPr>
        <w:t>s</w:t>
      </w:r>
      <w:r w:rsidRPr="002F632A">
        <w:rPr>
          <w:szCs w:val="26"/>
        </w:rPr>
        <w:t xml:space="preserve"> in support of the City’s position.</w:t>
      </w:r>
      <w:r w:rsidRPr="002F632A">
        <w:rPr>
          <w:szCs w:val="26"/>
        </w:rPr>
        <w:t xml:space="preserve">  Also o</w:t>
      </w:r>
      <w:r w:rsidRPr="002F632A">
        <w:rPr>
          <w:szCs w:val="26"/>
        </w:rPr>
        <w:t xml:space="preserve">n </w:t>
      </w:r>
      <w:r w:rsidRPr="002F632A">
        <w:rPr>
          <w:szCs w:val="26"/>
        </w:rPr>
        <w:t>March 6</w:t>
      </w:r>
      <w:r w:rsidRPr="002F632A">
        <w:rPr>
          <w:szCs w:val="26"/>
        </w:rPr>
        <w:t xml:space="preserve">, we granted the unopposed application of </w:t>
      </w:r>
      <w:r w:rsidRPr="002F632A">
        <w:rPr>
          <w:szCs w:val="26"/>
        </w:rPr>
        <w:t>the League of California Cities and Californ</w:t>
      </w:r>
      <w:r w:rsidRPr="002F632A">
        <w:rPr>
          <w:szCs w:val="26"/>
        </w:rPr>
        <w:t>ia State Association of Counties</w:t>
      </w:r>
      <w:r w:rsidRPr="002F632A">
        <w:rPr>
          <w:szCs w:val="26"/>
        </w:rPr>
        <w:t xml:space="preserve"> for </w:t>
      </w:r>
      <w:r w:rsidRPr="002F632A">
        <w:rPr>
          <w:szCs w:val="26"/>
        </w:rPr>
        <w:t>permission</w:t>
      </w:r>
      <w:r>
        <w:rPr>
          <w:szCs w:val="26"/>
        </w:rPr>
        <w:t xml:space="preserve"> to file an amicus</w:t>
      </w:r>
      <w:r w:rsidRPr="002F632A">
        <w:rPr>
          <w:szCs w:val="26"/>
        </w:rPr>
        <w:t xml:space="preserve"> curiae brief in support of the City’s position.</w:t>
      </w:r>
      <w:r w:rsidRPr="002F632A">
        <w:rPr>
          <w:szCs w:val="26"/>
        </w:rPr>
        <w:t xml:space="preserve"> </w:t>
      </w:r>
      <w:r w:rsidRPr="002F632A">
        <w:rPr>
          <w:szCs w:val="26"/>
        </w:rPr>
        <w:t xml:space="preserve"> </w:t>
      </w:r>
    </w:p>
    <w:p w:rsidR="00FA0FDD" w:rsidRPr="002F632A" w:rsidRDefault="00865C66" w:rsidP="00BF39BE">
      <w:pPr>
        <w:keepNext/>
        <w:spacing w:line="360" w:lineRule="auto"/>
        <w:jc w:val="center"/>
        <w:rPr>
          <w:b/>
          <w:szCs w:val="26"/>
        </w:rPr>
      </w:pPr>
      <w:r w:rsidRPr="002F632A">
        <w:rPr>
          <w:b/>
          <w:szCs w:val="26"/>
        </w:rPr>
        <w:lastRenderedPageBreak/>
        <w:t>DISCUSSION</w:t>
      </w:r>
    </w:p>
    <w:p w:rsidR="006F2C6C" w:rsidRPr="002F632A" w:rsidRDefault="00865C66" w:rsidP="00BF39BE">
      <w:pPr>
        <w:keepNext/>
        <w:spacing w:line="360" w:lineRule="auto"/>
        <w:jc w:val="center"/>
        <w:rPr>
          <w:b/>
          <w:i/>
          <w:szCs w:val="26"/>
        </w:rPr>
      </w:pPr>
      <w:r w:rsidRPr="002F632A">
        <w:rPr>
          <w:b/>
          <w:szCs w:val="26"/>
        </w:rPr>
        <w:t>I.</w:t>
      </w:r>
      <w:r w:rsidRPr="002F632A">
        <w:rPr>
          <w:b/>
          <w:szCs w:val="26"/>
        </w:rPr>
        <w:t xml:space="preserve">  </w:t>
      </w:r>
      <w:r w:rsidRPr="002F632A">
        <w:rPr>
          <w:b/>
          <w:i/>
          <w:szCs w:val="26"/>
        </w:rPr>
        <w:t>Arbitrability of the Association’s Grievance</w:t>
      </w:r>
    </w:p>
    <w:p w:rsidR="009C073D" w:rsidRPr="002F632A" w:rsidRDefault="00865C66" w:rsidP="00BF39BE">
      <w:pPr>
        <w:spacing w:line="360" w:lineRule="auto"/>
        <w:rPr>
          <w:szCs w:val="26"/>
        </w:rPr>
      </w:pPr>
      <w:r w:rsidRPr="002F632A">
        <w:rPr>
          <w:szCs w:val="26"/>
        </w:rPr>
        <w:tab/>
      </w:r>
      <w:r w:rsidRPr="002F632A">
        <w:rPr>
          <w:szCs w:val="26"/>
        </w:rPr>
        <w:t>The Association</w:t>
      </w:r>
      <w:r w:rsidRPr="002F632A">
        <w:rPr>
          <w:szCs w:val="26"/>
        </w:rPr>
        <w:t xml:space="preserve"> contends the court improperly found that the City’s denial of i</w:t>
      </w:r>
      <w:r w:rsidRPr="002F632A">
        <w:rPr>
          <w:szCs w:val="26"/>
        </w:rPr>
        <w:t xml:space="preserve">ts </w:t>
      </w:r>
      <w:r w:rsidRPr="002F632A">
        <w:rPr>
          <w:szCs w:val="26"/>
        </w:rPr>
        <w:t xml:space="preserve">amended </w:t>
      </w:r>
      <w:r w:rsidRPr="002F632A">
        <w:rPr>
          <w:szCs w:val="26"/>
        </w:rPr>
        <w:t xml:space="preserve">grievance was not subject to arbitration under </w:t>
      </w:r>
      <w:r w:rsidRPr="002F632A">
        <w:rPr>
          <w:szCs w:val="26"/>
        </w:rPr>
        <w:t xml:space="preserve">the MOU, </w:t>
      </w:r>
      <w:r w:rsidRPr="002F632A">
        <w:rPr>
          <w:szCs w:val="26"/>
        </w:rPr>
        <w:t>a</w:t>
      </w:r>
      <w:r w:rsidRPr="002F632A">
        <w:rPr>
          <w:szCs w:val="26"/>
        </w:rPr>
        <w:t>rguing moreo</w:t>
      </w:r>
      <w:r w:rsidRPr="002F632A">
        <w:rPr>
          <w:szCs w:val="26"/>
        </w:rPr>
        <w:t>ver</w:t>
      </w:r>
      <w:r w:rsidRPr="002F632A">
        <w:rPr>
          <w:szCs w:val="26"/>
        </w:rPr>
        <w:t xml:space="preserve"> that, under the MOU, it was for the arbitrator to decide the question of arbitrability in the first instance</w:t>
      </w:r>
      <w:r w:rsidRPr="002F632A">
        <w:rPr>
          <w:szCs w:val="26"/>
        </w:rPr>
        <w:t xml:space="preserve">.  </w:t>
      </w:r>
    </w:p>
    <w:p w:rsidR="005D6E6E" w:rsidRPr="002F632A" w:rsidRDefault="00865C66" w:rsidP="00BF39BE">
      <w:pPr>
        <w:keepNext/>
        <w:spacing w:line="360" w:lineRule="auto"/>
        <w:jc w:val="center"/>
        <w:rPr>
          <w:b/>
          <w:szCs w:val="26"/>
        </w:rPr>
      </w:pPr>
      <w:r w:rsidRPr="002F632A">
        <w:rPr>
          <w:b/>
          <w:szCs w:val="26"/>
        </w:rPr>
        <w:t>A.</w:t>
      </w:r>
      <w:r w:rsidRPr="002F632A">
        <w:rPr>
          <w:b/>
          <w:szCs w:val="26"/>
        </w:rPr>
        <w:t xml:space="preserve">  </w:t>
      </w:r>
      <w:r w:rsidRPr="002F632A">
        <w:rPr>
          <w:b/>
          <w:i/>
          <w:szCs w:val="26"/>
        </w:rPr>
        <w:t>Relevant Legal Principles</w:t>
      </w:r>
    </w:p>
    <w:p w:rsidR="00A97536" w:rsidRPr="002F632A" w:rsidRDefault="00865C66" w:rsidP="00BF39BE">
      <w:pPr>
        <w:keepNext/>
        <w:spacing w:line="360" w:lineRule="auto"/>
        <w:jc w:val="center"/>
        <w:rPr>
          <w:b/>
          <w:szCs w:val="26"/>
        </w:rPr>
      </w:pPr>
      <w:r w:rsidRPr="002F632A">
        <w:rPr>
          <w:b/>
          <w:szCs w:val="26"/>
        </w:rPr>
        <w:t>1.</w:t>
      </w:r>
    </w:p>
    <w:p w:rsidR="009C4C11" w:rsidRPr="002F632A" w:rsidRDefault="00865C66" w:rsidP="00BF39BE">
      <w:pPr>
        <w:spacing w:line="360" w:lineRule="auto"/>
        <w:rPr>
          <w:szCs w:val="26"/>
        </w:rPr>
      </w:pPr>
      <w:r w:rsidRPr="002F632A">
        <w:rPr>
          <w:szCs w:val="26"/>
        </w:rPr>
        <w:tab/>
      </w:r>
      <w:r w:rsidRPr="002F632A">
        <w:rPr>
          <w:szCs w:val="26"/>
        </w:rPr>
        <w:t xml:space="preserve">Petitions to compel arbitration are governed by Code of Civil Procedure section 1281.2, which provides in relevant part:  “On petition of a party to an arbitration agreement alleging the existence of a written agreement to arbitrate a controversy and that </w:t>
      </w:r>
      <w:r w:rsidRPr="002F632A">
        <w:rPr>
          <w:szCs w:val="26"/>
        </w:rPr>
        <w:t>a party thereto refuses to arbitrate such controversy, the court shall order the petitioner and the respondent to arbitrate the controversy if it determines that an agreement to arbitrate the controversy exists, unless it determines that” certain exception</w:t>
      </w:r>
      <w:r w:rsidRPr="002F632A">
        <w:rPr>
          <w:szCs w:val="26"/>
        </w:rPr>
        <w:t xml:space="preserve">s apply.  </w:t>
      </w:r>
    </w:p>
    <w:p w:rsidR="00001E52" w:rsidRPr="002F632A" w:rsidRDefault="00865C66" w:rsidP="00BF39BE">
      <w:pPr>
        <w:spacing w:line="360" w:lineRule="auto"/>
        <w:rPr>
          <w:szCs w:val="26"/>
        </w:rPr>
      </w:pPr>
      <w:r w:rsidRPr="002F632A">
        <w:rPr>
          <w:szCs w:val="26"/>
        </w:rPr>
        <w:tab/>
      </w:r>
      <w:r w:rsidRPr="002F632A">
        <w:rPr>
          <w:szCs w:val="26"/>
        </w:rPr>
        <w:t>The party requesting arbitration bears the burden of proving the existence of an agreement to arbitrate a particular controversy.  (</w:t>
      </w:r>
      <w:r w:rsidRPr="002F632A">
        <w:rPr>
          <w:i/>
          <w:szCs w:val="26"/>
        </w:rPr>
        <w:t>Pinnacle Museum Tower Assn. v. Pinnacle Market Development (US), LLC</w:t>
      </w:r>
      <w:r w:rsidRPr="002F632A">
        <w:rPr>
          <w:szCs w:val="26"/>
        </w:rPr>
        <w:t xml:space="preserve"> (2012) 55 Cal.4th 223, 236.)  </w:t>
      </w:r>
      <w:r w:rsidRPr="002F632A">
        <w:rPr>
          <w:szCs w:val="26"/>
        </w:rPr>
        <w:t>“Doubts are r</w:t>
      </w:r>
      <w:r w:rsidRPr="002F632A">
        <w:rPr>
          <w:szCs w:val="26"/>
        </w:rPr>
        <w:t xml:space="preserve">esolved in favor of arbitration.  ‘In determining whether a matter is subject to arbitration, courts apply the presumption in </w:t>
      </w:r>
      <w:r w:rsidRPr="002F632A">
        <w:rPr>
          <w:szCs w:val="26"/>
        </w:rPr>
        <w:t>favor of arbitration [citation]’</w:t>
      </w:r>
      <w:r w:rsidRPr="002F632A">
        <w:rPr>
          <w:szCs w:val="26"/>
        </w:rPr>
        <w:t xml:space="preserve">. . . </w:t>
      </w:r>
      <w:r w:rsidRPr="002F632A">
        <w:rPr>
          <w:szCs w:val="26"/>
        </w:rPr>
        <w:t xml:space="preserve">. </w:t>
      </w:r>
      <w:r w:rsidRPr="002F632A">
        <w:rPr>
          <w:szCs w:val="26"/>
        </w:rPr>
        <w:t xml:space="preserve"> “ ‘Doubts as to whether an arbitration clause applies to a particular dispute are to be r</w:t>
      </w:r>
      <w:r w:rsidRPr="002F632A">
        <w:rPr>
          <w:szCs w:val="26"/>
        </w:rPr>
        <w:t>esolved in favor of sending the parties to arbitration.  The court should order them to arbitrate unless it is clear that the arbitration clause cannot be interpreted to cover the dispute.’ ”  [Citation.]’  [Citation.]”  (</w:t>
      </w:r>
      <w:r w:rsidRPr="002F632A">
        <w:rPr>
          <w:i/>
          <w:szCs w:val="26"/>
        </w:rPr>
        <w:t>California Correctional Peace Offi</w:t>
      </w:r>
      <w:r w:rsidRPr="002F632A">
        <w:rPr>
          <w:i/>
          <w:szCs w:val="26"/>
        </w:rPr>
        <w:t>cers Assn. v. State of California</w:t>
      </w:r>
      <w:r w:rsidRPr="002F632A">
        <w:rPr>
          <w:szCs w:val="26"/>
        </w:rPr>
        <w:t> (2006) 142 Cal.App.4th 198, 204–205</w:t>
      </w:r>
      <w:r w:rsidRPr="002F632A">
        <w:rPr>
          <w:szCs w:val="26"/>
        </w:rPr>
        <w:t xml:space="preserve"> (</w:t>
      </w:r>
      <w:r w:rsidRPr="002F632A">
        <w:rPr>
          <w:i/>
          <w:szCs w:val="26"/>
        </w:rPr>
        <w:t>California Correctional Peace Officers</w:t>
      </w:r>
      <w:r w:rsidRPr="002F632A">
        <w:rPr>
          <w:szCs w:val="26"/>
        </w:rPr>
        <w:t>)</w:t>
      </w:r>
      <w:r w:rsidRPr="002F632A">
        <w:rPr>
          <w:szCs w:val="26"/>
        </w:rPr>
        <w:t xml:space="preserve">.)  </w:t>
      </w:r>
      <w:r w:rsidRPr="002F632A">
        <w:rPr>
          <w:szCs w:val="26"/>
        </w:rPr>
        <w:t>Nevertheless</w:t>
      </w:r>
      <w:r w:rsidRPr="002F632A">
        <w:rPr>
          <w:szCs w:val="26"/>
        </w:rPr>
        <w:t xml:space="preserve">, </w:t>
      </w:r>
      <w:r w:rsidRPr="002F632A">
        <w:rPr>
          <w:szCs w:val="26"/>
        </w:rPr>
        <w:t>“</w:t>
      </w:r>
      <w:r w:rsidRPr="002F632A">
        <w:rPr>
          <w:szCs w:val="26"/>
        </w:rPr>
        <w:t> </w:t>
      </w:r>
      <w:r w:rsidRPr="002F632A">
        <w:rPr>
          <w:szCs w:val="26"/>
        </w:rPr>
        <w:t>‘</w:t>
      </w:r>
      <w:r w:rsidRPr="002F632A">
        <w:rPr>
          <w:szCs w:val="26"/>
        </w:rPr>
        <w:t> </w:t>
      </w:r>
      <w:r w:rsidRPr="002F632A">
        <w:rPr>
          <w:szCs w:val="26"/>
        </w:rPr>
        <w:t>“</w:t>
      </w:r>
      <w:r w:rsidRPr="002F632A">
        <w:rPr>
          <w:szCs w:val="26"/>
        </w:rPr>
        <w:t>there is no policy compelling persons to accept arbitration of controversies which they have not agreed to arbitrate</w:t>
      </w:r>
      <w:r w:rsidRPr="002F632A">
        <w:rPr>
          <w:szCs w:val="26"/>
        </w:rPr>
        <w:t xml:space="preserve"> </w:t>
      </w:r>
      <w:r w:rsidRPr="002F632A">
        <w:rPr>
          <w:szCs w:val="26"/>
        </w:rPr>
        <w:t xml:space="preserve">. . . .” ’ </w:t>
      </w:r>
      <w:r w:rsidRPr="002F632A">
        <w:rPr>
          <w:szCs w:val="26"/>
        </w:rPr>
        <w:t>[Citations.]</w:t>
      </w:r>
      <w:r w:rsidRPr="002F632A">
        <w:rPr>
          <w:szCs w:val="26"/>
        </w:rPr>
        <w:t>”</w:t>
      </w:r>
      <w:r w:rsidRPr="002F632A">
        <w:rPr>
          <w:szCs w:val="26"/>
        </w:rPr>
        <w:t xml:space="preserve">  (</w:t>
      </w:r>
      <w:r w:rsidRPr="002F632A">
        <w:rPr>
          <w:i/>
          <w:szCs w:val="26"/>
        </w:rPr>
        <w:t>Victoria v. Superior Court</w:t>
      </w:r>
      <w:r w:rsidRPr="002F632A">
        <w:rPr>
          <w:szCs w:val="26"/>
        </w:rPr>
        <w:t xml:space="preserve"> (1985) 40 Cal.3d 734, 744</w:t>
      </w:r>
      <w:r w:rsidRPr="002F632A">
        <w:rPr>
          <w:szCs w:val="26"/>
        </w:rPr>
        <w:t xml:space="preserve"> (</w:t>
      </w:r>
      <w:r w:rsidRPr="002F632A">
        <w:rPr>
          <w:i/>
          <w:szCs w:val="26"/>
        </w:rPr>
        <w:t>Victoria</w:t>
      </w:r>
      <w:r w:rsidRPr="002F632A">
        <w:rPr>
          <w:szCs w:val="26"/>
        </w:rPr>
        <w:t>)</w:t>
      </w:r>
      <w:r w:rsidRPr="002F632A">
        <w:rPr>
          <w:szCs w:val="26"/>
        </w:rPr>
        <w:t>.)</w:t>
      </w:r>
      <w:r w:rsidRPr="002F632A">
        <w:rPr>
          <w:szCs w:val="26"/>
        </w:rPr>
        <w:t xml:space="preserve">  </w:t>
      </w:r>
      <w:r w:rsidRPr="002F632A">
        <w:rPr>
          <w:szCs w:val="26"/>
        </w:rPr>
        <w:t xml:space="preserve">Where, as here, </w:t>
      </w:r>
      <w:r w:rsidRPr="002F632A">
        <w:rPr>
          <w:szCs w:val="26"/>
        </w:rPr>
        <w:t xml:space="preserve">the evidence is not in conflict, we review </w:t>
      </w:r>
      <w:r w:rsidRPr="002F632A">
        <w:rPr>
          <w:szCs w:val="26"/>
        </w:rPr>
        <w:lastRenderedPageBreak/>
        <w:t xml:space="preserve">the trial court’s denial of an arbitration petition de novo. </w:t>
      </w:r>
      <w:r w:rsidRPr="002F632A">
        <w:rPr>
          <w:szCs w:val="26"/>
        </w:rPr>
        <w:t xml:space="preserve"> </w:t>
      </w:r>
      <w:r w:rsidRPr="002F632A">
        <w:rPr>
          <w:szCs w:val="26"/>
        </w:rPr>
        <w:t>(</w:t>
      </w:r>
      <w:r w:rsidRPr="002F632A">
        <w:rPr>
          <w:i/>
          <w:szCs w:val="26"/>
        </w:rPr>
        <w:t>Pinnacle</w:t>
      </w:r>
      <w:r w:rsidRPr="002F632A">
        <w:rPr>
          <w:i/>
          <w:szCs w:val="26"/>
        </w:rPr>
        <w:t xml:space="preserve"> Museum</w:t>
      </w:r>
      <w:r w:rsidRPr="002F632A">
        <w:rPr>
          <w:i/>
          <w:szCs w:val="26"/>
        </w:rPr>
        <w:t xml:space="preserve"> Tower Assn.</w:t>
      </w:r>
      <w:r w:rsidRPr="002F632A">
        <w:rPr>
          <w:szCs w:val="26"/>
        </w:rPr>
        <w:t>, at p.</w:t>
      </w:r>
      <w:r w:rsidRPr="002F632A">
        <w:rPr>
          <w:szCs w:val="26"/>
        </w:rPr>
        <w:t> </w:t>
      </w:r>
      <w:r w:rsidRPr="002F632A">
        <w:rPr>
          <w:szCs w:val="26"/>
        </w:rPr>
        <w:t>236.)</w:t>
      </w:r>
      <w:r w:rsidRPr="002F632A">
        <w:rPr>
          <w:szCs w:val="26"/>
        </w:rPr>
        <w:t xml:space="preserve">  </w:t>
      </w:r>
    </w:p>
    <w:p w:rsidR="00CB4910" w:rsidRPr="002F632A" w:rsidRDefault="00865C66" w:rsidP="00BF39BE">
      <w:pPr>
        <w:keepNext/>
        <w:spacing w:line="360" w:lineRule="auto"/>
        <w:jc w:val="center"/>
        <w:rPr>
          <w:b/>
          <w:szCs w:val="26"/>
        </w:rPr>
      </w:pPr>
      <w:r w:rsidRPr="002F632A">
        <w:rPr>
          <w:b/>
          <w:szCs w:val="26"/>
        </w:rPr>
        <w:t>2</w:t>
      </w:r>
      <w:r w:rsidRPr="002F632A">
        <w:rPr>
          <w:b/>
          <w:szCs w:val="26"/>
        </w:rPr>
        <w:t>.</w:t>
      </w:r>
    </w:p>
    <w:p w:rsidR="00CE3796" w:rsidRPr="002F632A" w:rsidRDefault="00865C66" w:rsidP="00BF39BE">
      <w:pPr>
        <w:spacing w:line="360" w:lineRule="auto"/>
        <w:rPr>
          <w:szCs w:val="26"/>
        </w:rPr>
      </w:pPr>
      <w:r w:rsidRPr="002F632A">
        <w:rPr>
          <w:szCs w:val="26"/>
        </w:rPr>
        <w:tab/>
      </w:r>
      <w:r w:rsidRPr="002F632A">
        <w:rPr>
          <w:szCs w:val="26"/>
        </w:rPr>
        <w:t xml:space="preserve">The MMBA, which applies to local government employees in California, </w:t>
      </w:r>
      <w:r w:rsidRPr="002F632A">
        <w:rPr>
          <w:szCs w:val="26"/>
        </w:rPr>
        <w:t>“ ‘</w:t>
      </w:r>
      <w:r w:rsidRPr="002F632A">
        <w:rPr>
          <w:szCs w:val="26"/>
        </w:rPr>
        <w:t xml:space="preserve">has two </w:t>
      </w:r>
      <w:r w:rsidRPr="002F632A">
        <w:rPr>
          <w:szCs w:val="26"/>
        </w:rPr>
        <w:t xml:space="preserve">stated purposes:  (1) to promote full </w:t>
      </w:r>
      <w:r w:rsidRPr="002F632A">
        <w:rPr>
          <w:szCs w:val="26"/>
        </w:rPr>
        <w:t>communication between public employers and employees, and (2) to improve personnel management and employer-employee relations.  (</w:t>
      </w:r>
      <w:r w:rsidRPr="002F632A">
        <w:rPr>
          <w:rFonts w:eastAsia="Times New Roman"/>
          <w:szCs w:val="26"/>
        </w:rPr>
        <w:t>§</w:t>
      </w:r>
      <w:r w:rsidRPr="002F632A">
        <w:rPr>
          <w:szCs w:val="26"/>
        </w:rPr>
        <w:t xml:space="preserve"> 3500.)  </w:t>
      </w:r>
      <w:r w:rsidRPr="002F632A">
        <w:rPr>
          <w:szCs w:val="26"/>
        </w:rPr>
        <w:t xml:space="preserve">To effect these goals the act gives local government employees the right to organize collectively </w:t>
      </w:r>
      <w:r w:rsidRPr="002F632A">
        <w:rPr>
          <w:szCs w:val="26"/>
        </w:rPr>
        <w:t>and</w:t>
      </w:r>
      <w:r w:rsidRPr="002F632A">
        <w:rPr>
          <w:szCs w:val="26"/>
        </w:rPr>
        <w:t xml:space="preserve"> to be represented by employee organizations (</w:t>
      </w:r>
      <w:r w:rsidRPr="002F632A">
        <w:rPr>
          <w:rFonts w:eastAsia="Times New Roman"/>
          <w:szCs w:val="26"/>
        </w:rPr>
        <w:t>§</w:t>
      </w:r>
      <w:r w:rsidRPr="002F632A">
        <w:rPr>
          <w:szCs w:val="26"/>
        </w:rPr>
        <w:t xml:space="preserve"> 3502), and obligates</w:t>
      </w:r>
      <w:r w:rsidRPr="002F632A">
        <w:rPr>
          <w:szCs w:val="26"/>
        </w:rPr>
        <w:t xml:space="preserve"> employers</w:t>
      </w:r>
      <w:r w:rsidRPr="002F632A">
        <w:rPr>
          <w:szCs w:val="26"/>
        </w:rPr>
        <w:t xml:space="preserve"> to bargain with employee representatives </w:t>
      </w:r>
      <w:r w:rsidRPr="002F632A">
        <w:rPr>
          <w:szCs w:val="26"/>
        </w:rPr>
        <w:t>about matters that fall wi</w:t>
      </w:r>
      <w:r w:rsidRPr="002F632A">
        <w:rPr>
          <w:szCs w:val="26"/>
        </w:rPr>
        <w:t>thin the “scope of representation.”  (</w:t>
      </w:r>
      <w:r w:rsidRPr="002F632A">
        <w:rPr>
          <w:rFonts w:eastAsia="Times New Roman"/>
          <w:szCs w:val="26"/>
        </w:rPr>
        <w:t>§§</w:t>
      </w:r>
      <w:r w:rsidRPr="002F632A">
        <w:rPr>
          <w:szCs w:val="26"/>
        </w:rPr>
        <w:t xml:space="preserve"> 3504.5, 3505.)’  [Citation.]  </w:t>
      </w:r>
      <w:r w:rsidRPr="002F632A">
        <w:rPr>
          <w:szCs w:val="26"/>
        </w:rPr>
        <w:t>The duty to meet and confer</w:t>
      </w:r>
      <w:r w:rsidRPr="002F632A">
        <w:rPr>
          <w:szCs w:val="26"/>
        </w:rPr>
        <w:t xml:space="preserve"> </w:t>
      </w:r>
      <w:r w:rsidRPr="002F632A">
        <w:rPr>
          <w:szCs w:val="26"/>
        </w:rPr>
        <w:t>in good faith is limited to matters within the ‘scope of representation’</w:t>
      </w:r>
      <w:r w:rsidRPr="002F632A">
        <w:rPr>
          <w:szCs w:val="26"/>
        </w:rPr>
        <w:t xml:space="preserve"> .</w:t>
      </w:r>
      <w:r w:rsidRPr="002F632A">
        <w:rPr>
          <w:szCs w:val="26"/>
        </w:rPr>
        <w:t> </w:t>
      </w:r>
      <w:r w:rsidRPr="002F632A">
        <w:rPr>
          <w:szCs w:val="26"/>
        </w:rPr>
        <w:t>.</w:t>
      </w:r>
      <w:r w:rsidRPr="002F632A">
        <w:rPr>
          <w:szCs w:val="26"/>
        </w:rPr>
        <w:t> </w:t>
      </w:r>
      <w:r w:rsidRPr="002F632A">
        <w:rPr>
          <w:szCs w:val="26"/>
        </w:rPr>
        <w:t>.</w:t>
      </w:r>
      <w:r w:rsidRPr="002F632A">
        <w:rPr>
          <w:szCs w:val="26"/>
        </w:rPr>
        <w:t> </w:t>
      </w:r>
      <w:r w:rsidRPr="002F632A">
        <w:rPr>
          <w:szCs w:val="26"/>
        </w:rPr>
        <w:t>.</w:t>
      </w:r>
      <w:r w:rsidRPr="002F632A">
        <w:rPr>
          <w:szCs w:val="26"/>
        </w:rPr>
        <w:t xml:space="preserve">  (</w:t>
      </w:r>
      <w:r w:rsidRPr="002F632A">
        <w:rPr>
          <w:rFonts w:eastAsia="Times New Roman"/>
          <w:szCs w:val="26"/>
        </w:rPr>
        <w:t>§</w:t>
      </w:r>
      <w:r w:rsidRPr="002F632A">
        <w:rPr>
          <w:szCs w:val="26"/>
        </w:rPr>
        <w:t> </w:t>
      </w:r>
      <w:r w:rsidRPr="002F632A">
        <w:rPr>
          <w:szCs w:val="26"/>
        </w:rPr>
        <w:t>3505.)</w:t>
      </w:r>
      <w:r w:rsidRPr="002F632A">
        <w:rPr>
          <w:szCs w:val="26"/>
        </w:rPr>
        <w:t>”  (</w:t>
      </w:r>
      <w:r w:rsidRPr="002F632A">
        <w:rPr>
          <w:i/>
          <w:szCs w:val="26"/>
        </w:rPr>
        <w:t>Claremont Police Officers Assn. v. City of Claremont</w:t>
      </w:r>
      <w:r w:rsidRPr="002F632A">
        <w:rPr>
          <w:szCs w:val="26"/>
        </w:rPr>
        <w:t xml:space="preserve"> (2006) 39 Cal.4th 623, 630 (</w:t>
      </w:r>
      <w:r w:rsidRPr="002F632A">
        <w:rPr>
          <w:i/>
          <w:szCs w:val="26"/>
        </w:rPr>
        <w:t>Claremont</w:t>
      </w:r>
      <w:r w:rsidRPr="002F632A">
        <w:rPr>
          <w:szCs w:val="26"/>
        </w:rPr>
        <w:t>)</w:t>
      </w:r>
      <w:r w:rsidRPr="002F632A">
        <w:rPr>
          <w:szCs w:val="26"/>
        </w:rPr>
        <w:t xml:space="preserve">, quoting </w:t>
      </w:r>
      <w:r w:rsidRPr="002F632A">
        <w:rPr>
          <w:i/>
          <w:szCs w:val="26"/>
        </w:rPr>
        <w:t>Building Material &amp; Construction Teamsters’ Union v. Farrell</w:t>
      </w:r>
      <w:r w:rsidRPr="002F632A">
        <w:rPr>
          <w:szCs w:val="26"/>
        </w:rPr>
        <w:t xml:space="preserve"> (</w:t>
      </w:r>
      <w:r w:rsidRPr="002F632A">
        <w:rPr>
          <w:szCs w:val="26"/>
        </w:rPr>
        <w:t>1986) 41 Cal.3d 651, 657, 665 (</w:t>
      </w:r>
      <w:r w:rsidRPr="002F632A">
        <w:rPr>
          <w:i/>
          <w:szCs w:val="26"/>
        </w:rPr>
        <w:t>Building Material</w:t>
      </w:r>
      <w:r w:rsidRPr="002F632A">
        <w:rPr>
          <w:szCs w:val="26"/>
        </w:rPr>
        <w:t>)</w:t>
      </w:r>
      <w:r w:rsidRPr="002F632A">
        <w:rPr>
          <w:szCs w:val="26"/>
        </w:rPr>
        <w:t xml:space="preserve">.)  </w:t>
      </w:r>
    </w:p>
    <w:p w:rsidR="00BA6845" w:rsidRPr="002F632A" w:rsidRDefault="00865C66" w:rsidP="00BF39BE">
      <w:pPr>
        <w:spacing w:line="360" w:lineRule="auto"/>
        <w:rPr>
          <w:szCs w:val="26"/>
        </w:rPr>
      </w:pPr>
      <w:r w:rsidRPr="002F632A">
        <w:rPr>
          <w:szCs w:val="26"/>
        </w:rPr>
        <w:tab/>
      </w:r>
      <w:r w:rsidRPr="002F632A">
        <w:rPr>
          <w:szCs w:val="26"/>
        </w:rPr>
        <w:t>“Section 3504 defines ‘scope of representation’ to include ‘all matters relating to employ</w:t>
      </w:r>
      <w:r w:rsidRPr="002F632A">
        <w:rPr>
          <w:szCs w:val="26"/>
        </w:rPr>
        <w:t xml:space="preserve">ment conditions and employer-employee relations, including, but not limited to, </w:t>
      </w:r>
      <w:r w:rsidRPr="002F632A">
        <w:rPr>
          <w:i/>
          <w:szCs w:val="26"/>
        </w:rPr>
        <w:t>wages, hours, and other terms and conditions of employment,</w:t>
      </w:r>
      <w:r w:rsidRPr="002F632A">
        <w:rPr>
          <w:szCs w:val="26"/>
        </w:rPr>
        <w:t xml:space="preserve"> except, however, that the scope of representation shall not include consideration of the </w:t>
      </w:r>
      <w:r w:rsidRPr="002F632A">
        <w:rPr>
          <w:i/>
          <w:szCs w:val="26"/>
        </w:rPr>
        <w:t>merits, necessity, or organ</w:t>
      </w:r>
      <w:r w:rsidRPr="002F632A">
        <w:rPr>
          <w:i/>
          <w:szCs w:val="26"/>
        </w:rPr>
        <w:t>ization</w:t>
      </w:r>
      <w:r w:rsidRPr="002F632A">
        <w:rPr>
          <w:szCs w:val="26"/>
        </w:rPr>
        <w:t xml:space="preserve"> of any service or activity provided by law or executive order.’</w:t>
      </w:r>
      <w:r>
        <w:rPr>
          <w:szCs w:val="26"/>
        </w:rPr>
        <w:t> </w:t>
      </w:r>
      <w:r w:rsidRPr="002F632A">
        <w:rPr>
          <w:szCs w:val="26"/>
        </w:rPr>
        <w:t>”  (</w:t>
      </w:r>
      <w:r w:rsidRPr="002F632A">
        <w:rPr>
          <w:i/>
          <w:szCs w:val="26"/>
        </w:rPr>
        <w:t>Claremont</w:t>
      </w:r>
      <w:r w:rsidRPr="002F632A">
        <w:rPr>
          <w:szCs w:val="26"/>
        </w:rPr>
        <w:t xml:space="preserve">, </w:t>
      </w:r>
      <w:r w:rsidRPr="002F632A">
        <w:rPr>
          <w:i/>
          <w:szCs w:val="26"/>
        </w:rPr>
        <w:t>supra</w:t>
      </w:r>
      <w:r w:rsidRPr="002F632A">
        <w:rPr>
          <w:szCs w:val="26"/>
        </w:rPr>
        <w:t xml:space="preserve">, 39 Cal.4th at p. 631, quoting </w:t>
      </w:r>
      <w:r w:rsidRPr="002F632A">
        <w:rPr>
          <w:i/>
          <w:szCs w:val="26"/>
        </w:rPr>
        <w:t>Building Material</w:t>
      </w:r>
      <w:r w:rsidRPr="002F632A">
        <w:rPr>
          <w:szCs w:val="26"/>
        </w:rPr>
        <w:t xml:space="preserve">, </w:t>
      </w:r>
      <w:r w:rsidRPr="002F632A">
        <w:rPr>
          <w:i/>
          <w:szCs w:val="26"/>
        </w:rPr>
        <w:t>supra</w:t>
      </w:r>
      <w:r w:rsidRPr="002F632A">
        <w:rPr>
          <w:szCs w:val="26"/>
        </w:rPr>
        <w:t>, 41 Cal.3d at p.</w:t>
      </w:r>
      <w:r w:rsidRPr="002F632A">
        <w:rPr>
          <w:szCs w:val="26"/>
        </w:rPr>
        <w:t> </w:t>
      </w:r>
      <w:r w:rsidRPr="002F632A">
        <w:rPr>
          <w:szCs w:val="26"/>
        </w:rPr>
        <w:t xml:space="preserve">658.)  </w:t>
      </w:r>
      <w:r w:rsidRPr="002F632A">
        <w:rPr>
          <w:szCs w:val="26"/>
        </w:rPr>
        <w:t xml:space="preserve">“A fundamental managerial </w:t>
      </w:r>
      <w:r w:rsidRPr="002F632A">
        <w:rPr>
          <w:szCs w:val="26"/>
        </w:rPr>
        <w:t xml:space="preserve">or policy </w:t>
      </w:r>
      <w:r w:rsidRPr="002F632A">
        <w:rPr>
          <w:szCs w:val="26"/>
        </w:rPr>
        <w:t>decision</w:t>
      </w:r>
      <w:r w:rsidRPr="002F632A">
        <w:rPr>
          <w:szCs w:val="26"/>
        </w:rPr>
        <w:t xml:space="preserve"> . . .</w:t>
      </w:r>
      <w:r w:rsidRPr="002F632A">
        <w:rPr>
          <w:szCs w:val="26"/>
        </w:rPr>
        <w:t xml:space="preserve"> is outside the scope of represen</w:t>
      </w:r>
      <w:r w:rsidRPr="002F632A">
        <w:rPr>
          <w:szCs w:val="26"/>
        </w:rPr>
        <w:t>tation (§ 3504), and is excepted from section 3505’s meet-and-confer requirement.”  (</w:t>
      </w:r>
      <w:r w:rsidRPr="002F632A">
        <w:rPr>
          <w:i/>
          <w:szCs w:val="26"/>
        </w:rPr>
        <w:t>Claremont</w:t>
      </w:r>
      <w:r w:rsidRPr="002F632A">
        <w:rPr>
          <w:szCs w:val="26"/>
        </w:rPr>
        <w:t xml:space="preserve">, </w:t>
      </w:r>
      <w:r w:rsidRPr="002F632A">
        <w:rPr>
          <w:szCs w:val="26"/>
        </w:rPr>
        <w:t xml:space="preserve">at p. </w:t>
      </w:r>
      <w:r w:rsidRPr="002F632A">
        <w:rPr>
          <w:szCs w:val="26"/>
        </w:rPr>
        <w:t xml:space="preserve">628; accord, </w:t>
      </w:r>
      <w:r w:rsidRPr="002F632A">
        <w:rPr>
          <w:i/>
          <w:szCs w:val="26"/>
        </w:rPr>
        <w:t>Building Material</w:t>
      </w:r>
      <w:r w:rsidRPr="002F632A">
        <w:rPr>
          <w:szCs w:val="26"/>
        </w:rPr>
        <w:t>, at p. 663 [“Federal and California decisions both recognize the right of employers to ma</w:t>
      </w:r>
      <w:r w:rsidRPr="002F632A">
        <w:rPr>
          <w:szCs w:val="26"/>
        </w:rPr>
        <w:t>k</w:t>
      </w:r>
      <w:r w:rsidRPr="002F632A">
        <w:rPr>
          <w:szCs w:val="26"/>
        </w:rPr>
        <w:t xml:space="preserve">e unconstrained decisions when </w:t>
      </w:r>
      <w:r w:rsidRPr="002F632A">
        <w:rPr>
          <w:szCs w:val="26"/>
        </w:rPr>
        <w:t>fundamental management or policy choices are involved”</w:t>
      </w:r>
      <w:r w:rsidRPr="002F632A">
        <w:rPr>
          <w:szCs w:val="26"/>
        </w:rPr>
        <w:t>].</w:t>
      </w:r>
      <w:r w:rsidRPr="002F632A">
        <w:rPr>
          <w:szCs w:val="26"/>
        </w:rPr>
        <w:t xml:space="preserve">)  </w:t>
      </w:r>
    </w:p>
    <w:p w:rsidR="00EF5F70" w:rsidRPr="002F632A" w:rsidRDefault="00865C66" w:rsidP="00BF39BE">
      <w:pPr>
        <w:spacing w:line="360" w:lineRule="auto"/>
        <w:rPr>
          <w:szCs w:val="26"/>
        </w:rPr>
      </w:pPr>
      <w:r w:rsidRPr="002F632A">
        <w:rPr>
          <w:szCs w:val="26"/>
        </w:rPr>
        <w:tab/>
        <w:t xml:space="preserve">In </w:t>
      </w:r>
      <w:r w:rsidRPr="002F632A">
        <w:rPr>
          <w:i/>
          <w:szCs w:val="26"/>
        </w:rPr>
        <w:t>San Jose</w:t>
      </w:r>
      <w:r w:rsidRPr="002F632A">
        <w:rPr>
          <w:szCs w:val="26"/>
        </w:rPr>
        <w:t xml:space="preserve">, </w:t>
      </w:r>
      <w:r w:rsidRPr="002F632A">
        <w:rPr>
          <w:i/>
          <w:szCs w:val="26"/>
        </w:rPr>
        <w:t>supra</w:t>
      </w:r>
      <w:r w:rsidRPr="002F632A">
        <w:rPr>
          <w:szCs w:val="26"/>
        </w:rPr>
        <w:t>,</w:t>
      </w:r>
      <w:r w:rsidRPr="002F632A">
        <w:rPr>
          <w:szCs w:val="26"/>
        </w:rPr>
        <w:t xml:space="preserve"> 78 Cal.App.3d </w:t>
      </w:r>
      <w:r w:rsidRPr="002F632A">
        <w:rPr>
          <w:szCs w:val="26"/>
        </w:rPr>
        <w:t>at page 941,</w:t>
      </w:r>
      <w:r w:rsidRPr="002F632A">
        <w:rPr>
          <w:szCs w:val="26"/>
        </w:rPr>
        <w:t xml:space="preserve"> </w:t>
      </w:r>
      <w:r w:rsidRPr="002F632A">
        <w:rPr>
          <w:szCs w:val="26"/>
        </w:rPr>
        <w:t xml:space="preserve">Division Three of this District addressed whether </w:t>
      </w:r>
      <w:r w:rsidRPr="002F632A">
        <w:rPr>
          <w:szCs w:val="26"/>
        </w:rPr>
        <w:t>the MMBA required a</w:t>
      </w:r>
      <w:r w:rsidRPr="002F632A">
        <w:rPr>
          <w:szCs w:val="26"/>
        </w:rPr>
        <w:t xml:space="preserve"> city to meet and confer with a police officers’ union </w:t>
      </w:r>
      <w:r w:rsidRPr="002F632A">
        <w:rPr>
          <w:szCs w:val="26"/>
        </w:rPr>
        <w:t>before making changes to</w:t>
      </w:r>
      <w:r w:rsidRPr="002F632A">
        <w:rPr>
          <w:szCs w:val="26"/>
        </w:rPr>
        <w:t xml:space="preserve"> the city’s use of force policy</w:t>
      </w:r>
      <w:r w:rsidRPr="002F632A">
        <w:rPr>
          <w:szCs w:val="26"/>
        </w:rPr>
        <w:t>, an issue the court described as one of first impression</w:t>
      </w:r>
      <w:r w:rsidRPr="002F632A">
        <w:rPr>
          <w:szCs w:val="26"/>
        </w:rPr>
        <w:t xml:space="preserve">.  </w:t>
      </w:r>
      <w:r w:rsidRPr="002F632A">
        <w:rPr>
          <w:szCs w:val="26"/>
        </w:rPr>
        <w:t xml:space="preserve">The court answered this question in the negative, </w:t>
      </w:r>
      <w:r w:rsidRPr="002F632A">
        <w:rPr>
          <w:szCs w:val="26"/>
        </w:rPr>
        <w:lastRenderedPageBreak/>
        <w:t xml:space="preserve">explaining:  “It is undoubtedly true, as the trial court found, that a change in the use of force </w:t>
      </w:r>
      <w:r w:rsidRPr="002F632A">
        <w:rPr>
          <w:szCs w:val="26"/>
        </w:rPr>
        <w:t>policy, particula</w:t>
      </w:r>
      <w:r w:rsidRPr="002F632A">
        <w:rPr>
          <w:szCs w:val="26"/>
        </w:rPr>
        <w:t xml:space="preserve">rly when such a change inhibits the ability of a police officer to fire at a suspected criminal, has some effect on the safety of the police officer—clearly a term or condition of employment.  It is equally true, however, </w:t>
      </w:r>
      <w:r w:rsidRPr="002F632A">
        <w:rPr>
          <w:szCs w:val="26"/>
        </w:rPr>
        <w:t>that the use of force policy is as</w:t>
      </w:r>
      <w:r w:rsidRPr="002F632A">
        <w:rPr>
          <w:szCs w:val="26"/>
        </w:rPr>
        <w:t xml:space="preserve"> closely akin to a managerial decision as any decision can be in running a police department, surpassed only b</w:t>
      </w:r>
      <w:r w:rsidRPr="002F632A">
        <w:rPr>
          <w:szCs w:val="26"/>
        </w:rPr>
        <w:t>y</w:t>
      </w:r>
      <w:r w:rsidRPr="002F632A">
        <w:rPr>
          <w:szCs w:val="26"/>
        </w:rPr>
        <w:t xml:space="preserve"> the decision as to </w:t>
      </w:r>
      <w:r w:rsidRPr="002F632A">
        <w:rPr>
          <w:szCs w:val="26"/>
        </w:rPr>
        <w:t xml:space="preserve">whether force </w:t>
      </w:r>
      <w:r w:rsidRPr="002F632A">
        <w:rPr>
          <w:szCs w:val="26"/>
        </w:rPr>
        <w:t>will b</w:t>
      </w:r>
      <w:r w:rsidRPr="002F632A">
        <w:rPr>
          <w:szCs w:val="26"/>
        </w:rPr>
        <w:t>e</w:t>
      </w:r>
      <w:r w:rsidRPr="002F632A">
        <w:rPr>
          <w:szCs w:val="26"/>
        </w:rPr>
        <w:t xml:space="preserve"> </w:t>
      </w:r>
      <w:r w:rsidRPr="002F632A">
        <w:rPr>
          <w:szCs w:val="26"/>
        </w:rPr>
        <w:t>used at all.</w:t>
      </w:r>
      <w:r w:rsidRPr="002F632A">
        <w:rPr>
          <w:szCs w:val="26"/>
        </w:rPr>
        <w:t> </w:t>
      </w:r>
      <w:r w:rsidRPr="002F632A">
        <w:rPr>
          <w:szCs w:val="26"/>
        </w:rPr>
        <w:t>.</w:t>
      </w:r>
      <w:r w:rsidRPr="002F632A">
        <w:rPr>
          <w:szCs w:val="26"/>
        </w:rPr>
        <w:t> </w:t>
      </w:r>
      <w:r w:rsidRPr="002F632A">
        <w:rPr>
          <w:szCs w:val="26"/>
        </w:rPr>
        <w:t>.</w:t>
      </w:r>
      <w:r w:rsidRPr="002F632A">
        <w:rPr>
          <w:szCs w:val="26"/>
        </w:rPr>
        <w:t> </w:t>
      </w:r>
      <w:r w:rsidRPr="002F632A">
        <w:rPr>
          <w:szCs w:val="26"/>
        </w:rPr>
        <w:t xml:space="preserve">.  [W]e can imagine few decisions more ‘managerial’ in nature than the one which </w:t>
      </w:r>
      <w:r w:rsidRPr="002F632A">
        <w:rPr>
          <w:szCs w:val="26"/>
        </w:rPr>
        <w:t>involves the conditions under which an entity of the state will permit a human life to be taken.</w:t>
      </w:r>
      <w:r w:rsidRPr="002F632A">
        <w:rPr>
          <w:szCs w:val="26"/>
        </w:rPr>
        <w:t> </w:t>
      </w:r>
      <w:r w:rsidRPr="002F632A">
        <w:rPr>
          <w:szCs w:val="26"/>
        </w:rPr>
        <w:t>.</w:t>
      </w:r>
      <w:r w:rsidRPr="002F632A">
        <w:rPr>
          <w:szCs w:val="26"/>
        </w:rPr>
        <w:t> </w:t>
      </w:r>
      <w:r w:rsidRPr="002F632A">
        <w:rPr>
          <w:szCs w:val="26"/>
        </w:rPr>
        <w:t>.</w:t>
      </w:r>
      <w:r w:rsidRPr="002F632A">
        <w:rPr>
          <w:szCs w:val="26"/>
        </w:rPr>
        <w:t> </w:t>
      </w:r>
      <w:r w:rsidRPr="002F632A">
        <w:rPr>
          <w:szCs w:val="26"/>
        </w:rPr>
        <w:t xml:space="preserve">.  ‘The formulation of a policy governing use of deadly force by police officers is a heavy responsibility involving the delicate balancing </w:t>
      </w:r>
      <w:r w:rsidRPr="002F632A">
        <w:rPr>
          <w:szCs w:val="26"/>
        </w:rPr>
        <w:t>of different in</w:t>
      </w:r>
      <w:r w:rsidRPr="002F632A">
        <w:rPr>
          <w:szCs w:val="26"/>
        </w:rPr>
        <w:t xml:space="preserve">terests:  </w:t>
      </w:r>
      <w:r w:rsidRPr="002F632A">
        <w:rPr>
          <w:szCs w:val="26"/>
        </w:rPr>
        <w:t xml:space="preserve">the protection of society from criminals, the protection of police officers’ safety, and the preservation of </w:t>
      </w:r>
      <w:r w:rsidRPr="002F632A">
        <w:rPr>
          <w:szCs w:val="26"/>
        </w:rPr>
        <w:t xml:space="preserve">all </w:t>
      </w:r>
      <w:r w:rsidRPr="002F632A">
        <w:rPr>
          <w:szCs w:val="26"/>
        </w:rPr>
        <w:t>human life if possible.  This delicate judgment is best exercised by the appropriate legislative and executive officers. . . .’ ”</w:t>
      </w:r>
      <w:r w:rsidRPr="002F632A">
        <w:rPr>
          <w:szCs w:val="26"/>
        </w:rPr>
        <w:t xml:space="preserve">  (</w:t>
      </w:r>
      <w:r w:rsidRPr="002F632A">
        <w:rPr>
          <w:i/>
          <w:szCs w:val="26"/>
        </w:rPr>
        <w:t>S</w:t>
      </w:r>
      <w:r w:rsidRPr="002F632A">
        <w:rPr>
          <w:i/>
          <w:szCs w:val="26"/>
        </w:rPr>
        <w:t>an Jose</w:t>
      </w:r>
      <w:r w:rsidRPr="002F632A">
        <w:rPr>
          <w:szCs w:val="26"/>
        </w:rPr>
        <w:t>,</w:t>
      </w:r>
      <w:r w:rsidRPr="002F632A">
        <w:rPr>
          <w:szCs w:val="26"/>
        </w:rPr>
        <w:t xml:space="preserve"> at pp. 945-946</w:t>
      </w:r>
      <w:r w:rsidRPr="002F632A">
        <w:rPr>
          <w:szCs w:val="26"/>
        </w:rPr>
        <w:t xml:space="preserve">, quoting </w:t>
      </w:r>
      <w:r w:rsidRPr="002F632A">
        <w:rPr>
          <w:i/>
          <w:szCs w:val="26"/>
        </w:rPr>
        <w:t>Long Beach Police Officers Assn. v. City of Long Beach</w:t>
      </w:r>
      <w:r w:rsidRPr="002F632A">
        <w:rPr>
          <w:szCs w:val="26"/>
        </w:rPr>
        <w:t xml:space="preserve"> (1976) 61 Cal.App.3d 364, 371</w:t>
      </w:r>
      <w:r w:rsidRPr="002F632A">
        <w:rPr>
          <w:szCs w:val="26"/>
        </w:rPr>
        <w:t xml:space="preserve">.)  </w:t>
      </w:r>
    </w:p>
    <w:p w:rsidR="00024BCF" w:rsidRPr="002F632A" w:rsidRDefault="00865C66" w:rsidP="00BF39BE">
      <w:pPr>
        <w:spacing w:line="360" w:lineRule="auto"/>
        <w:rPr>
          <w:szCs w:val="26"/>
        </w:rPr>
      </w:pPr>
      <w:r w:rsidRPr="002F632A">
        <w:rPr>
          <w:szCs w:val="26"/>
        </w:rPr>
        <w:tab/>
        <w:t xml:space="preserve">The </w:t>
      </w:r>
      <w:r w:rsidRPr="002F632A">
        <w:rPr>
          <w:i/>
          <w:szCs w:val="26"/>
        </w:rPr>
        <w:t>San Jose</w:t>
      </w:r>
      <w:r w:rsidRPr="002F632A">
        <w:rPr>
          <w:szCs w:val="26"/>
        </w:rPr>
        <w:t xml:space="preserve"> court </w:t>
      </w:r>
      <w:r w:rsidRPr="002F632A">
        <w:rPr>
          <w:szCs w:val="26"/>
        </w:rPr>
        <w:t>further explained that</w:t>
      </w:r>
      <w:r w:rsidRPr="002F632A">
        <w:rPr>
          <w:szCs w:val="26"/>
        </w:rPr>
        <w:t xml:space="preserve"> </w:t>
      </w:r>
      <w:r w:rsidRPr="002F632A">
        <w:rPr>
          <w:szCs w:val="26"/>
        </w:rPr>
        <w:t xml:space="preserve">because </w:t>
      </w:r>
      <w:r w:rsidRPr="002F632A">
        <w:rPr>
          <w:szCs w:val="26"/>
        </w:rPr>
        <w:t xml:space="preserve">the question </w:t>
      </w:r>
      <w:r w:rsidRPr="002F632A">
        <w:rPr>
          <w:szCs w:val="26"/>
        </w:rPr>
        <w:t xml:space="preserve">of </w:t>
      </w:r>
      <w:r w:rsidRPr="002F632A">
        <w:rPr>
          <w:szCs w:val="26"/>
        </w:rPr>
        <w:t>police officer safety “is so inextricably interwo</w:t>
      </w:r>
      <w:r w:rsidRPr="002F632A">
        <w:rPr>
          <w:szCs w:val="26"/>
        </w:rPr>
        <w:t>ven with important</w:t>
      </w:r>
      <w:r w:rsidRPr="002F632A">
        <w:rPr>
          <w:szCs w:val="26"/>
        </w:rPr>
        <w:t xml:space="preserve"> policy considerations relating to basic concepts of the entire system of criminal justice</w:t>
      </w:r>
      <w:r w:rsidRPr="002F632A">
        <w:rPr>
          <w:szCs w:val="26"/>
        </w:rPr>
        <w:t xml:space="preserve">[,] we cannot say that the </w:t>
      </w:r>
      <w:r w:rsidRPr="002F632A">
        <w:rPr>
          <w:szCs w:val="26"/>
        </w:rPr>
        <w:t>use</w:t>
      </w:r>
      <w:r w:rsidRPr="002F632A">
        <w:rPr>
          <w:szCs w:val="26"/>
        </w:rPr>
        <w:t xml:space="preserve"> of force policy concerns ‘primarily’ a matter of </w:t>
      </w:r>
      <w:r w:rsidRPr="002F632A">
        <w:rPr>
          <w:szCs w:val="26"/>
        </w:rPr>
        <w:t>wages, hours or working conditions.</w:t>
      </w:r>
      <w:r w:rsidRPr="002F632A">
        <w:rPr>
          <w:szCs w:val="26"/>
        </w:rPr>
        <w:t>”  (</w:t>
      </w:r>
      <w:r w:rsidRPr="002F632A">
        <w:rPr>
          <w:i/>
          <w:szCs w:val="26"/>
        </w:rPr>
        <w:t xml:space="preserve">San Jose, supra, </w:t>
      </w:r>
      <w:r w:rsidRPr="002F632A">
        <w:rPr>
          <w:szCs w:val="26"/>
        </w:rPr>
        <w:t>78 Cal.App.3d at p. 946.)</w:t>
      </w:r>
      <w:r w:rsidRPr="002F632A">
        <w:rPr>
          <w:szCs w:val="26"/>
        </w:rPr>
        <w:t xml:space="preserve">  Moreover,</w:t>
      </w:r>
      <w:r w:rsidRPr="002F632A">
        <w:rPr>
          <w:szCs w:val="26"/>
        </w:rPr>
        <w:t xml:space="preserve"> </w:t>
      </w:r>
      <w:r w:rsidRPr="002F632A">
        <w:rPr>
          <w:szCs w:val="26"/>
        </w:rPr>
        <w:t>“</w:t>
      </w:r>
      <w:r w:rsidRPr="002F632A">
        <w:rPr>
          <w:szCs w:val="26"/>
        </w:rPr>
        <w:t>we observe that any such danger</w:t>
      </w:r>
      <w:r w:rsidRPr="002F632A">
        <w:rPr>
          <w:szCs w:val="26"/>
        </w:rPr>
        <w:t xml:space="preserve"> [to police]</w:t>
      </w:r>
      <w:r w:rsidRPr="002F632A">
        <w:rPr>
          <w:szCs w:val="26"/>
        </w:rPr>
        <w:t xml:space="preserve"> obviously extends </w:t>
      </w:r>
      <w:r w:rsidRPr="002F632A">
        <w:rPr>
          <w:szCs w:val="26"/>
        </w:rPr>
        <w:t>equally as much to the public at large as it does to the individual police officer.  Such an effect on public safety lends further support to our conclusion that the use of force po</w:t>
      </w:r>
      <w:r w:rsidRPr="002F632A">
        <w:rPr>
          <w:szCs w:val="26"/>
        </w:rPr>
        <w:t>licy is primarily a matter of public safety and therefo</w:t>
      </w:r>
      <w:r w:rsidRPr="002F632A">
        <w:rPr>
          <w:szCs w:val="26"/>
        </w:rPr>
        <w:t>r</w:t>
      </w:r>
      <w:r w:rsidRPr="002F632A">
        <w:rPr>
          <w:szCs w:val="26"/>
        </w:rPr>
        <w:t xml:space="preserve">e not a subject of meeting and conferring </w:t>
      </w:r>
      <w:r w:rsidRPr="002F632A">
        <w:rPr>
          <w:szCs w:val="26"/>
        </w:rPr>
        <w:t>under the MMBA.  While the policy may impinge on a condition of employment, it impinges only indirectly.</w:t>
      </w:r>
      <w:r w:rsidRPr="002F632A">
        <w:rPr>
          <w:szCs w:val="26"/>
        </w:rPr>
        <w:t xml:space="preserve">  [¶] </w:t>
      </w:r>
      <w:r w:rsidRPr="002F632A">
        <w:rPr>
          <w:szCs w:val="26"/>
        </w:rPr>
        <w:t>The power of a city to enact and enforce regulat</w:t>
      </w:r>
      <w:r w:rsidRPr="002F632A">
        <w:rPr>
          <w:szCs w:val="26"/>
        </w:rPr>
        <w:t xml:space="preserve">ions relating to the use of firearms by police officers is in the exercise of the police power granted by article XI, section 7 of the California Constitution [citation].  </w:t>
      </w:r>
      <w:r w:rsidRPr="002F632A">
        <w:rPr>
          <w:szCs w:val="26"/>
        </w:rPr>
        <w:t>A government</w:t>
      </w:r>
      <w:r w:rsidRPr="002F632A">
        <w:rPr>
          <w:szCs w:val="26"/>
        </w:rPr>
        <w:t>al</w:t>
      </w:r>
      <w:r w:rsidRPr="002F632A">
        <w:rPr>
          <w:szCs w:val="26"/>
        </w:rPr>
        <w:t xml:space="preserve"> agency may not suspend, bargain or contract away its police power.”  </w:t>
      </w:r>
      <w:r w:rsidRPr="002F632A">
        <w:rPr>
          <w:szCs w:val="26"/>
        </w:rPr>
        <w:t>(</w:t>
      </w:r>
      <w:r w:rsidRPr="002F632A">
        <w:rPr>
          <w:i/>
          <w:szCs w:val="26"/>
        </w:rPr>
        <w:t>San Jose</w:t>
      </w:r>
      <w:r w:rsidRPr="002F632A">
        <w:rPr>
          <w:szCs w:val="26"/>
        </w:rPr>
        <w:t xml:space="preserve">, </w:t>
      </w:r>
      <w:r w:rsidRPr="002F632A">
        <w:rPr>
          <w:i/>
          <w:szCs w:val="26"/>
        </w:rPr>
        <w:t>supra</w:t>
      </w:r>
      <w:r w:rsidRPr="002F632A">
        <w:rPr>
          <w:szCs w:val="26"/>
        </w:rPr>
        <w:t xml:space="preserve">, 78 Cal.App.3d at pp. 946-947.)  </w:t>
      </w:r>
      <w:r w:rsidRPr="002F632A">
        <w:rPr>
          <w:szCs w:val="26"/>
        </w:rPr>
        <w:t xml:space="preserve">The court therefore held that the city’s use of force policy fell “within the exception delineated in </w:t>
      </w:r>
      <w:r w:rsidRPr="002F632A">
        <w:rPr>
          <w:szCs w:val="26"/>
        </w:rPr>
        <w:lastRenderedPageBreak/>
        <w:t xml:space="preserve">section 3504. . . .  The policy clearly constitutes a managerial decision which </w:t>
      </w:r>
      <w:r w:rsidRPr="002F632A">
        <w:rPr>
          <w:szCs w:val="26"/>
        </w:rPr>
        <w:t>is</w:t>
      </w:r>
      <w:r w:rsidRPr="002F632A">
        <w:rPr>
          <w:szCs w:val="26"/>
        </w:rPr>
        <w:t xml:space="preserve"> not properly within t</w:t>
      </w:r>
      <w:r w:rsidRPr="002F632A">
        <w:rPr>
          <w:szCs w:val="26"/>
        </w:rPr>
        <w:t>he scope of union represen</w:t>
      </w:r>
      <w:r w:rsidRPr="002F632A">
        <w:rPr>
          <w:szCs w:val="26"/>
        </w:rPr>
        <w:t>t</w:t>
      </w:r>
      <w:r w:rsidRPr="002F632A">
        <w:rPr>
          <w:szCs w:val="26"/>
        </w:rPr>
        <w:t>ation and collective bargaining.</w:t>
      </w:r>
      <w:r w:rsidRPr="002F632A">
        <w:rPr>
          <w:szCs w:val="26"/>
        </w:rPr>
        <w:t>”  (</w:t>
      </w:r>
      <w:r w:rsidRPr="002F632A">
        <w:rPr>
          <w:i/>
          <w:szCs w:val="26"/>
        </w:rPr>
        <w:t>San Jose</w:t>
      </w:r>
      <w:r w:rsidRPr="002F632A">
        <w:rPr>
          <w:szCs w:val="26"/>
        </w:rPr>
        <w:t xml:space="preserve">, at p. 948.)  </w:t>
      </w:r>
    </w:p>
    <w:p w:rsidR="00063BDC" w:rsidRPr="002F632A" w:rsidRDefault="00865C66" w:rsidP="00BF39BE">
      <w:pPr>
        <w:spacing w:line="360" w:lineRule="auto"/>
        <w:rPr>
          <w:szCs w:val="26"/>
        </w:rPr>
      </w:pPr>
      <w:r w:rsidRPr="002F632A">
        <w:rPr>
          <w:szCs w:val="26"/>
        </w:rPr>
        <w:tab/>
        <w:t xml:space="preserve">In the years since </w:t>
      </w:r>
      <w:r w:rsidRPr="002F632A">
        <w:rPr>
          <w:i/>
          <w:szCs w:val="26"/>
        </w:rPr>
        <w:t>San Jose</w:t>
      </w:r>
      <w:r w:rsidRPr="002F632A">
        <w:rPr>
          <w:szCs w:val="26"/>
        </w:rPr>
        <w:t xml:space="preserve"> was decided, the California Supreme Court has </w:t>
      </w:r>
      <w:r w:rsidRPr="002F632A">
        <w:rPr>
          <w:szCs w:val="26"/>
        </w:rPr>
        <w:t xml:space="preserve">not directly addressed this issue of </w:t>
      </w:r>
      <w:r w:rsidRPr="002F632A">
        <w:rPr>
          <w:szCs w:val="26"/>
        </w:rPr>
        <w:t>collective bargaining and</w:t>
      </w:r>
      <w:r w:rsidRPr="002F632A">
        <w:rPr>
          <w:szCs w:val="26"/>
        </w:rPr>
        <w:t xml:space="preserve"> </w:t>
      </w:r>
      <w:r w:rsidRPr="002F632A">
        <w:rPr>
          <w:szCs w:val="26"/>
        </w:rPr>
        <w:t>use of force policies,</w:t>
      </w:r>
      <w:r w:rsidRPr="002F632A">
        <w:rPr>
          <w:szCs w:val="26"/>
        </w:rPr>
        <w:t xml:space="preserve"> although</w:t>
      </w:r>
      <w:r w:rsidRPr="002F632A">
        <w:rPr>
          <w:szCs w:val="26"/>
        </w:rPr>
        <w:t xml:space="preserve"> it has </w:t>
      </w:r>
      <w:r w:rsidRPr="002F632A">
        <w:rPr>
          <w:szCs w:val="26"/>
        </w:rPr>
        <w:t xml:space="preserve">twice cited </w:t>
      </w:r>
      <w:r w:rsidRPr="002F632A">
        <w:rPr>
          <w:szCs w:val="26"/>
        </w:rPr>
        <w:t>with approval the</w:t>
      </w:r>
      <w:r w:rsidRPr="002F632A">
        <w:rPr>
          <w:szCs w:val="26"/>
        </w:rPr>
        <w:t xml:space="preserve"> holding</w:t>
      </w:r>
      <w:r w:rsidRPr="002F632A">
        <w:rPr>
          <w:szCs w:val="26"/>
        </w:rPr>
        <w:t xml:space="preserve"> in </w:t>
      </w:r>
      <w:r w:rsidRPr="002F632A">
        <w:rPr>
          <w:i/>
          <w:szCs w:val="26"/>
        </w:rPr>
        <w:t>San Jose</w:t>
      </w:r>
      <w:r w:rsidRPr="002F632A">
        <w:rPr>
          <w:szCs w:val="26"/>
        </w:rPr>
        <w:t xml:space="preserve"> as </w:t>
      </w:r>
      <w:r w:rsidRPr="002F632A">
        <w:rPr>
          <w:szCs w:val="26"/>
        </w:rPr>
        <w:t>an</w:t>
      </w:r>
      <w:r w:rsidRPr="002F632A">
        <w:rPr>
          <w:szCs w:val="26"/>
        </w:rPr>
        <w:t xml:space="preserve"> example of a fundamental managerial or policy decision not subject to </w:t>
      </w:r>
      <w:r w:rsidRPr="002F632A">
        <w:rPr>
          <w:szCs w:val="26"/>
        </w:rPr>
        <w:t>the meet-and-confer</w:t>
      </w:r>
      <w:r w:rsidRPr="002F632A">
        <w:rPr>
          <w:szCs w:val="26"/>
        </w:rPr>
        <w:t xml:space="preserve"> </w:t>
      </w:r>
      <w:r w:rsidRPr="002F632A">
        <w:rPr>
          <w:szCs w:val="26"/>
        </w:rPr>
        <w:t>requirements of</w:t>
      </w:r>
      <w:r w:rsidRPr="002F632A">
        <w:rPr>
          <w:szCs w:val="26"/>
        </w:rPr>
        <w:t xml:space="preserve"> section 3505</w:t>
      </w:r>
      <w:r w:rsidRPr="002F632A">
        <w:rPr>
          <w:szCs w:val="26"/>
        </w:rPr>
        <w:t>.  First, i</w:t>
      </w:r>
      <w:r w:rsidRPr="002F632A">
        <w:rPr>
          <w:szCs w:val="26"/>
        </w:rPr>
        <w:t>n</w:t>
      </w:r>
      <w:r w:rsidRPr="002F632A">
        <w:rPr>
          <w:szCs w:val="26"/>
        </w:rPr>
        <w:t xml:space="preserve"> </w:t>
      </w:r>
      <w:r w:rsidRPr="002F632A">
        <w:rPr>
          <w:i/>
          <w:szCs w:val="26"/>
        </w:rPr>
        <w:t>Building M</w:t>
      </w:r>
      <w:r w:rsidRPr="002F632A">
        <w:rPr>
          <w:i/>
          <w:szCs w:val="26"/>
        </w:rPr>
        <w:t>a</w:t>
      </w:r>
      <w:r w:rsidRPr="002F632A">
        <w:rPr>
          <w:i/>
          <w:szCs w:val="26"/>
        </w:rPr>
        <w:t>terial</w:t>
      </w:r>
      <w:r w:rsidRPr="002F632A">
        <w:rPr>
          <w:szCs w:val="26"/>
        </w:rPr>
        <w:t xml:space="preserve">, </w:t>
      </w:r>
      <w:r w:rsidRPr="002F632A">
        <w:rPr>
          <w:i/>
          <w:szCs w:val="26"/>
        </w:rPr>
        <w:t>supra</w:t>
      </w:r>
      <w:r w:rsidRPr="002F632A">
        <w:rPr>
          <w:szCs w:val="26"/>
        </w:rPr>
        <w:t>, 41 Cal.3d</w:t>
      </w:r>
      <w:r w:rsidRPr="002F632A">
        <w:rPr>
          <w:szCs w:val="26"/>
        </w:rPr>
        <w:t xml:space="preserve"> at pages</w:t>
      </w:r>
      <w:r w:rsidRPr="002F632A">
        <w:rPr>
          <w:szCs w:val="26"/>
        </w:rPr>
        <w:t xml:space="preserve"> </w:t>
      </w:r>
      <w:r w:rsidRPr="002F632A">
        <w:rPr>
          <w:szCs w:val="26"/>
        </w:rPr>
        <w:t xml:space="preserve">655, </w:t>
      </w:r>
      <w:r w:rsidRPr="002F632A">
        <w:rPr>
          <w:szCs w:val="26"/>
        </w:rPr>
        <w:t>657</w:t>
      </w:r>
      <w:r w:rsidRPr="002F632A">
        <w:rPr>
          <w:szCs w:val="26"/>
        </w:rPr>
        <w:t xml:space="preserve">, </w:t>
      </w:r>
      <w:r w:rsidRPr="002F632A">
        <w:rPr>
          <w:szCs w:val="26"/>
        </w:rPr>
        <w:t>the co</w:t>
      </w:r>
      <w:r w:rsidRPr="002F632A">
        <w:rPr>
          <w:szCs w:val="26"/>
        </w:rPr>
        <w:t>urt addressed</w:t>
      </w:r>
      <w:r w:rsidRPr="002F632A">
        <w:rPr>
          <w:szCs w:val="26"/>
        </w:rPr>
        <w:t xml:space="preserve"> </w:t>
      </w:r>
      <w:r w:rsidRPr="002F632A">
        <w:rPr>
          <w:szCs w:val="26"/>
        </w:rPr>
        <w:t>whether a local government was required to meet and confer with the employee bargaining unit before deciding</w:t>
      </w:r>
      <w:r w:rsidRPr="002F632A">
        <w:rPr>
          <w:szCs w:val="26"/>
        </w:rPr>
        <w:t xml:space="preserve"> to transfer bargaining-unit work to nonunit employees</w:t>
      </w:r>
      <w:r w:rsidRPr="002F632A">
        <w:rPr>
          <w:szCs w:val="26"/>
        </w:rPr>
        <w:t xml:space="preserve">, ultimately </w:t>
      </w:r>
      <w:r w:rsidRPr="002F632A">
        <w:rPr>
          <w:szCs w:val="26"/>
        </w:rPr>
        <w:t>determining</w:t>
      </w:r>
      <w:r w:rsidRPr="002F632A">
        <w:rPr>
          <w:szCs w:val="26"/>
        </w:rPr>
        <w:t xml:space="preserve"> that it </w:t>
      </w:r>
      <w:r w:rsidRPr="002F632A">
        <w:rPr>
          <w:szCs w:val="26"/>
        </w:rPr>
        <w:t>was</w:t>
      </w:r>
      <w:r w:rsidRPr="002F632A">
        <w:rPr>
          <w:szCs w:val="26"/>
        </w:rPr>
        <w:t xml:space="preserve"> </w:t>
      </w:r>
      <w:r w:rsidRPr="002F632A">
        <w:rPr>
          <w:szCs w:val="26"/>
        </w:rPr>
        <w:t xml:space="preserve">required to do so </w:t>
      </w:r>
      <w:r w:rsidRPr="002F632A">
        <w:rPr>
          <w:szCs w:val="26"/>
        </w:rPr>
        <w:t xml:space="preserve">because its </w:t>
      </w:r>
      <w:r w:rsidRPr="002F632A">
        <w:rPr>
          <w:szCs w:val="26"/>
        </w:rPr>
        <w:t xml:space="preserve">transfer </w:t>
      </w:r>
      <w:r w:rsidRPr="002F632A">
        <w:rPr>
          <w:szCs w:val="26"/>
        </w:rPr>
        <w:t>decision was not a fundamental managerial or policy decision</w:t>
      </w:r>
      <w:r w:rsidRPr="002F632A">
        <w:rPr>
          <w:szCs w:val="26"/>
        </w:rPr>
        <w:t xml:space="preserve">.  </w:t>
      </w:r>
      <w:r w:rsidRPr="002F632A">
        <w:rPr>
          <w:szCs w:val="26"/>
        </w:rPr>
        <w:t xml:space="preserve">The court, </w:t>
      </w:r>
      <w:r w:rsidRPr="002F632A">
        <w:rPr>
          <w:szCs w:val="26"/>
        </w:rPr>
        <w:t>however,</w:t>
      </w:r>
      <w:r w:rsidRPr="002F632A">
        <w:rPr>
          <w:szCs w:val="26"/>
        </w:rPr>
        <w:t xml:space="preserve"> affirmed</w:t>
      </w:r>
      <w:r w:rsidRPr="002F632A">
        <w:rPr>
          <w:szCs w:val="26"/>
        </w:rPr>
        <w:t xml:space="preserve"> that where</w:t>
      </w:r>
      <w:r w:rsidRPr="002F632A">
        <w:rPr>
          <w:szCs w:val="26"/>
        </w:rPr>
        <w:t xml:space="preserve"> an action </w:t>
      </w:r>
      <w:r w:rsidRPr="002F632A">
        <w:rPr>
          <w:i/>
          <w:szCs w:val="26"/>
        </w:rPr>
        <w:t>is</w:t>
      </w:r>
      <w:r w:rsidRPr="002F632A">
        <w:rPr>
          <w:szCs w:val="26"/>
        </w:rPr>
        <w:t xml:space="preserve"> </w:t>
      </w:r>
      <w:r w:rsidRPr="002F632A">
        <w:rPr>
          <w:szCs w:val="26"/>
        </w:rPr>
        <w:t>“</w:t>
      </w:r>
      <w:r w:rsidRPr="002F632A">
        <w:rPr>
          <w:szCs w:val="26"/>
        </w:rPr>
        <w:t>taken pursuant to a fundamental mana</w:t>
      </w:r>
      <w:r w:rsidRPr="002F632A">
        <w:rPr>
          <w:szCs w:val="26"/>
        </w:rPr>
        <w:t>g</w:t>
      </w:r>
      <w:r w:rsidRPr="002F632A">
        <w:rPr>
          <w:szCs w:val="26"/>
        </w:rPr>
        <w:t xml:space="preserve">erial or policy decision, it is within the scope of representation only </w:t>
      </w:r>
      <w:r w:rsidRPr="002F632A">
        <w:rPr>
          <w:szCs w:val="26"/>
        </w:rPr>
        <w:t>if the employer’s need for une</w:t>
      </w:r>
      <w:r w:rsidRPr="002F632A">
        <w:rPr>
          <w:szCs w:val="26"/>
        </w:rPr>
        <w:t>ncumbered decisionmaking in managing its operations is outweighed by the benefit to employer-employee relations of bargaining about the action in question.”</w:t>
      </w:r>
      <w:r w:rsidRPr="002F632A">
        <w:rPr>
          <w:szCs w:val="26"/>
        </w:rPr>
        <w:t xml:space="preserve">  (</w:t>
      </w:r>
      <w:r w:rsidRPr="002F632A">
        <w:rPr>
          <w:i/>
          <w:szCs w:val="26"/>
        </w:rPr>
        <w:t>Id.</w:t>
      </w:r>
      <w:r w:rsidRPr="002F632A">
        <w:rPr>
          <w:szCs w:val="26"/>
        </w:rPr>
        <w:t xml:space="preserve"> at p. 660.)</w:t>
      </w:r>
      <w:r w:rsidRPr="002F632A">
        <w:rPr>
          <w:szCs w:val="26"/>
        </w:rPr>
        <w:t xml:space="preserve">  The court </w:t>
      </w:r>
      <w:r w:rsidRPr="002F632A">
        <w:rPr>
          <w:szCs w:val="26"/>
        </w:rPr>
        <w:t>distinguished</w:t>
      </w:r>
      <w:r w:rsidRPr="002F632A">
        <w:rPr>
          <w:szCs w:val="26"/>
        </w:rPr>
        <w:t xml:space="preserve"> </w:t>
      </w:r>
      <w:r w:rsidRPr="002F632A">
        <w:rPr>
          <w:i/>
          <w:szCs w:val="26"/>
        </w:rPr>
        <w:t>San Jose</w:t>
      </w:r>
      <w:r w:rsidRPr="002F632A">
        <w:rPr>
          <w:szCs w:val="26"/>
        </w:rPr>
        <w:t xml:space="preserve">, with its use of force policy, </w:t>
      </w:r>
      <w:r w:rsidRPr="002F632A">
        <w:rPr>
          <w:szCs w:val="26"/>
        </w:rPr>
        <w:t xml:space="preserve">and </w:t>
      </w:r>
      <w:r w:rsidRPr="002F632A">
        <w:rPr>
          <w:i/>
          <w:szCs w:val="26"/>
        </w:rPr>
        <w:t>Berkeley Pol</w:t>
      </w:r>
      <w:r w:rsidRPr="002F632A">
        <w:rPr>
          <w:i/>
          <w:szCs w:val="26"/>
        </w:rPr>
        <w:t>ice Assn. v. City of Berkeley</w:t>
      </w:r>
      <w:r w:rsidRPr="002F632A">
        <w:rPr>
          <w:szCs w:val="26"/>
        </w:rPr>
        <w:t xml:space="preserve"> (1977) </w:t>
      </w:r>
      <w:r w:rsidRPr="002F632A">
        <w:rPr>
          <w:szCs w:val="26"/>
        </w:rPr>
        <w:t>76 Cal.App.3d 93</w:t>
      </w:r>
      <w:r w:rsidRPr="002F632A">
        <w:rPr>
          <w:szCs w:val="26"/>
        </w:rPr>
        <w:t>1</w:t>
      </w:r>
      <w:r w:rsidRPr="002F632A">
        <w:rPr>
          <w:szCs w:val="26"/>
        </w:rPr>
        <w:t xml:space="preserve">, </w:t>
      </w:r>
      <w:r w:rsidRPr="002F632A">
        <w:rPr>
          <w:szCs w:val="26"/>
        </w:rPr>
        <w:t>which involved a policy allowing a member of the citizen’s police review commission to attend hearings regarding citizen complaints against police</w:t>
      </w:r>
      <w:r w:rsidRPr="002F632A">
        <w:rPr>
          <w:szCs w:val="26"/>
        </w:rPr>
        <w:t>, f</w:t>
      </w:r>
      <w:r w:rsidRPr="002F632A">
        <w:rPr>
          <w:szCs w:val="26"/>
        </w:rPr>
        <w:t>rom the case before it</w:t>
      </w:r>
      <w:r w:rsidRPr="002F632A">
        <w:rPr>
          <w:szCs w:val="26"/>
        </w:rPr>
        <w:t xml:space="preserve">, explaining that the </w:t>
      </w:r>
      <w:r w:rsidRPr="002F632A">
        <w:rPr>
          <w:szCs w:val="26"/>
        </w:rPr>
        <w:t>manager</w:t>
      </w:r>
      <w:r w:rsidRPr="002F632A">
        <w:rPr>
          <w:szCs w:val="26"/>
        </w:rPr>
        <w:t>ial decisions in the other two cases</w:t>
      </w:r>
      <w:r w:rsidRPr="002F632A">
        <w:rPr>
          <w:szCs w:val="26"/>
        </w:rPr>
        <w:t xml:space="preserve"> “</w:t>
      </w:r>
      <w:r w:rsidRPr="002F632A">
        <w:rPr>
          <w:szCs w:val="26"/>
        </w:rPr>
        <w:t>are of obvious importance, and directly affect the quality and nature of public services.</w:t>
      </w:r>
      <w:r w:rsidRPr="002F632A">
        <w:rPr>
          <w:szCs w:val="26"/>
        </w:rPr>
        <w:t xml:space="preserve"> </w:t>
      </w:r>
      <w:r w:rsidRPr="002F632A">
        <w:rPr>
          <w:szCs w:val="26"/>
        </w:rPr>
        <w:t xml:space="preserve"> The burden of requiring an employer to confer about such fundamental decisions clearly </w:t>
      </w:r>
      <w:r w:rsidRPr="002F632A">
        <w:rPr>
          <w:szCs w:val="26"/>
        </w:rPr>
        <w:t xml:space="preserve">outweighs the benefits to employer-employee relations that bargaining would provide.”  </w:t>
      </w:r>
      <w:r w:rsidRPr="002F632A">
        <w:rPr>
          <w:szCs w:val="26"/>
        </w:rPr>
        <w:t>(</w:t>
      </w:r>
      <w:r w:rsidRPr="002F632A">
        <w:rPr>
          <w:i/>
          <w:szCs w:val="26"/>
        </w:rPr>
        <w:t>Building Material</w:t>
      </w:r>
      <w:r w:rsidRPr="002F632A">
        <w:rPr>
          <w:szCs w:val="26"/>
        </w:rPr>
        <w:t>,</w:t>
      </w:r>
      <w:r w:rsidRPr="002F632A">
        <w:rPr>
          <w:szCs w:val="26"/>
        </w:rPr>
        <w:t xml:space="preserve"> at p. 664.)  </w:t>
      </w:r>
    </w:p>
    <w:p w:rsidR="009B0478" w:rsidRPr="002F632A" w:rsidRDefault="00865C66" w:rsidP="00BF39BE">
      <w:pPr>
        <w:spacing w:line="360" w:lineRule="auto"/>
        <w:rPr>
          <w:szCs w:val="26"/>
        </w:rPr>
      </w:pPr>
      <w:r w:rsidRPr="002F632A">
        <w:rPr>
          <w:szCs w:val="26"/>
        </w:rPr>
        <w:tab/>
      </w:r>
      <w:r w:rsidRPr="002F632A">
        <w:rPr>
          <w:szCs w:val="26"/>
        </w:rPr>
        <w:t xml:space="preserve">More recently, in </w:t>
      </w:r>
      <w:r w:rsidRPr="002F632A">
        <w:rPr>
          <w:i/>
          <w:szCs w:val="26"/>
        </w:rPr>
        <w:t>Claremont</w:t>
      </w:r>
      <w:r w:rsidRPr="002F632A">
        <w:rPr>
          <w:szCs w:val="26"/>
        </w:rPr>
        <w:t xml:space="preserve">, </w:t>
      </w:r>
      <w:r w:rsidRPr="002F632A">
        <w:rPr>
          <w:i/>
          <w:szCs w:val="26"/>
        </w:rPr>
        <w:t>supra</w:t>
      </w:r>
      <w:r w:rsidRPr="002F632A">
        <w:rPr>
          <w:szCs w:val="26"/>
        </w:rPr>
        <w:t xml:space="preserve">, 39 Cal.4th at page </w:t>
      </w:r>
      <w:r w:rsidRPr="002F632A">
        <w:rPr>
          <w:szCs w:val="26"/>
        </w:rPr>
        <w:t>628</w:t>
      </w:r>
      <w:r w:rsidRPr="002F632A">
        <w:rPr>
          <w:szCs w:val="26"/>
        </w:rPr>
        <w:t>, our Supreme Court</w:t>
      </w:r>
      <w:r w:rsidRPr="002F632A">
        <w:rPr>
          <w:szCs w:val="26"/>
        </w:rPr>
        <w:t xml:space="preserve"> discussed the “distinction between an employer’s fundame</w:t>
      </w:r>
      <w:r w:rsidRPr="002F632A">
        <w:rPr>
          <w:szCs w:val="26"/>
        </w:rPr>
        <w:t xml:space="preserve">ntal managerial or policy decision,” which is outside the scope of representation (§ 3504) and is excepted from section 3505’s meet-and-confer requirement, “and the implementation of that decision.”  To determine whether an employer’s action </w:t>
      </w:r>
      <w:r w:rsidRPr="002F632A">
        <w:rPr>
          <w:i/>
          <w:szCs w:val="26"/>
        </w:rPr>
        <w:t>implementing</w:t>
      </w:r>
      <w:r w:rsidRPr="002F632A">
        <w:rPr>
          <w:szCs w:val="26"/>
        </w:rPr>
        <w:t xml:space="preserve"> a</w:t>
      </w:r>
      <w:r w:rsidRPr="002F632A">
        <w:rPr>
          <w:szCs w:val="26"/>
        </w:rPr>
        <w:t xml:space="preserve"> fundamental managerial or </w:t>
      </w:r>
      <w:r w:rsidRPr="002F632A">
        <w:rPr>
          <w:szCs w:val="26"/>
        </w:rPr>
        <w:lastRenderedPageBreak/>
        <w:t>policy decision is subject to section 3505’s negotiation requirement, the court</w:t>
      </w:r>
      <w:r w:rsidRPr="002F632A">
        <w:rPr>
          <w:szCs w:val="26"/>
        </w:rPr>
        <w:t xml:space="preserve"> </w:t>
      </w:r>
      <w:r w:rsidRPr="002F632A">
        <w:rPr>
          <w:szCs w:val="26"/>
        </w:rPr>
        <w:t xml:space="preserve">fleshed out the balancing test </w:t>
      </w:r>
      <w:r w:rsidRPr="002F632A">
        <w:rPr>
          <w:szCs w:val="26"/>
        </w:rPr>
        <w:t xml:space="preserve">previously </w:t>
      </w:r>
      <w:r w:rsidRPr="002F632A">
        <w:rPr>
          <w:szCs w:val="26"/>
        </w:rPr>
        <w:t xml:space="preserve">set forth in </w:t>
      </w:r>
      <w:r w:rsidRPr="002F632A">
        <w:rPr>
          <w:i/>
          <w:szCs w:val="26"/>
        </w:rPr>
        <w:t>Building Material</w:t>
      </w:r>
      <w:r w:rsidRPr="002F632A">
        <w:rPr>
          <w:szCs w:val="26"/>
        </w:rPr>
        <w:t>.  (</w:t>
      </w:r>
      <w:r w:rsidRPr="002F632A">
        <w:rPr>
          <w:i/>
          <w:szCs w:val="26"/>
        </w:rPr>
        <w:t>Claremont</w:t>
      </w:r>
      <w:r w:rsidRPr="002F632A">
        <w:rPr>
          <w:szCs w:val="26"/>
        </w:rPr>
        <w:t xml:space="preserve">, at p. 628.)  </w:t>
      </w:r>
      <w:r w:rsidRPr="002F632A">
        <w:rPr>
          <w:szCs w:val="26"/>
        </w:rPr>
        <w:t xml:space="preserve">The </w:t>
      </w:r>
      <w:r w:rsidRPr="002F632A">
        <w:rPr>
          <w:szCs w:val="26"/>
        </w:rPr>
        <w:t>court</w:t>
      </w:r>
      <w:r w:rsidRPr="002F632A">
        <w:rPr>
          <w:szCs w:val="26"/>
        </w:rPr>
        <w:t xml:space="preserve"> in </w:t>
      </w:r>
      <w:r w:rsidRPr="002F632A">
        <w:rPr>
          <w:i/>
          <w:szCs w:val="26"/>
        </w:rPr>
        <w:t>Claremont</w:t>
      </w:r>
      <w:r w:rsidRPr="002F632A">
        <w:rPr>
          <w:szCs w:val="26"/>
        </w:rPr>
        <w:t xml:space="preserve"> </w:t>
      </w:r>
      <w:r w:rsidRPr="002F632A">
        <w:rPr>
          <w:szCs w:val="26"/>
        </w:rPr>
        <w:t xml:space="preserve">again </w:t>
      </w:r>
      <w:r w:rsidRPr="002F632A">
        <w:rPr>
          <w:szCs w:val="26"/>
        </w:rPr>
        <w:t xml:space="preserve">cited </w:t>
      </w:r>
      <w:r w:rsidRPr="002F632A">
        <w:rPr>
          <w:szCs w:val="26"/>
        </w:rPr>
        <w:t xml:space="preserve">the </w:t>
      </w:r>
      <w:r w:rsidRPr="002F632A">
        <w:rPr>
          <w:szCs w:val="26"/>
        </w:rPr>
        <w:t xml:space="preserve">managerial decision at </w:t>
      </w:r>
      <w:r w:rsidRPr="002F632A">
        <w:rPr>
          <w:szCs w:val="26"/>
        </w:rPr>
        <w:t>issue</w:t>
      </w:r>
      <w:r w:rsidRPr="002F632A">
        <w:rPr>
          <w:szCs w:val="26"/>
        </w:rPr>
        <w:t xml:space="preserve"> in </w:t>
      </w:r>
      <w:r w:rsidRPr="002F632A">
        <w:rPr>
          <w:i/>
          <w:szCs w:val="26"/>
        </w:rPr>
        <w:t>San Jose</w:t>
      </w:r>
      <w:r w:rsidRPr="002F632A">
        <w:rPr>
          <w:szCs w:val="26"/>
        </w:rPr>
        <w:t xml:space="preserve">, </w:t>
      </w:r>
      <w:r w:rsidRPr="002F632A">
        <w:rPr>
          <w:szCs w:val="26"/>
        </w:rPr>
        <w:t>i</w:t>
      </w:r>
      <w:r w:rsidRPr="002F632A">
        <w:rPr>
          <w:szCs w:val="26"/>
        </w:rPr>
        <w:t>.e.</w:t>
      </w:r>
      <w:r w:rsidRPr="002F632A">
        <w:rPr>
          <w:szCs w:val="26"/>
        </w:rPr>
        <w:t xml:space="preserve"> “changing the policy regarding a police officer’s use of deadly force</w:t>
      </w:r>
      <w:r w:rsidRPr="002F632A">
        <w:rPr>
          <w:szCs w:val="26"/>
        </w:rPr>
        <w:t>,</w:t>
      </w:r>
      <w:r w:rsidRPr="002F632A">
        <w:rPr>
          <w:szCs w:val="26"/>
        </w:rPr>
        <w:t>”</w:t>
      </w:r>
      <w:r w:rsidRPr="002F632A">
        <w:rPr>
          <w:szCs w:val="26"/>
        </w:rPr>
        <w:t xml:space="preserve"> </w:t>
      </w:r>
      <w:r w:rsidRPr="002F632A">
        <w:rPr>
          <w:szCs w:val="26"/>
        </w:rPr>
        <w:t>as an example of a “fundamental managerial or policy decision” that is</w:t>
      </w:r>
      <w:r w:rsidRPr="002F632A">
        <w:rPr>
          <w:szCs w:val="26"/>
        </w:rPr>
        <w:t xml:space="preserve"> outside the scope of representation for purposes of section 3505’s</w:t>
      </w:r>
      <w:r w:rsidRPr="002F632A">
        <w:rPr>
          <w:szCs w:val="26"/>
        </w:rPr>
        <w:t xml:space="preserve"> meet-and-confer requirement</w:t>
      </w:r>
      <w:r w:rsidRPr="002F632A">
        <w:rPr>
          <w:szCs w:val="26"/>
        </w:rPr>
        <w:t xml:space="preserve">. </w:t>
      </w:r>
      <w:r w:rsidRPr="002F632A">
        <w:rPr>
          <w:szCs w:val="26"/>
        </w:rPr>
        <w:t xml:space="preserve"> (</w:t>
      </w:r>
      <w:r w:rsidRPr="002F632A">
        <w:rPr>
          <w:i/>
          <w:szCs w:val="26"/>
        </w:rPr>
        <w:t>Claremont</w:t>
      </w:r>
      <w:r w:rsidRPr="002F632A">
        <w:rPr>
          <w:szCs w:val="26"/>
        </w:rPr>
        <w:t>, at p. 632</w:t>
      </w:r>
      <w:r w:rsidRPr="002F632A">
        <w:rPr>
          <w:szCs w:val="26"/>
        </w:rPr>
        <w:t xml:space="preserve">, citing </w:t>
      </w:r>
      <w:r w:rsidRPr="002F632A">
        <w:rPr>
          <w:i/>
          <w:szCs w:val="26"/>
        </w:rPr>
        <w:t>San Jose</w:t>
      </w:r>
      <w:r w:rsidRPr="002F632A">
        <w:rPr>
          <w:szCs w:val="26"/>
        </w:rPr>
        <w:t xml:space="preserve">, </w:t>
      </w:r>
      <w:r w:rsidRPr="002F632A">
        <w:rPr>
          <w:i/>
          <w:szCs w:val="26"/>
        </w:rPr>
        <w:t>supra</w:t>
      </w:r>
      <w:r w:rsidRPr="002F632A">
        <w:rPr>
          <w:szCs w:val="26"/>
        </w:rPr>
        <w:t xml:space="preserve">, 78 Cal.App.3d at p. 947.)  </w:t>
      </w:r>
    </w:p>
    <w:p w:rsidR="009015DE" w:rsidRPr="002F632A" w:rsidRDefault="00865C66" w:rsidP="00BF39BE">
      <w:pPr>
        <w:keepNext/>
        <w:spacing w:line="360" w:lineRule="auto"/>
        <w:jc w:val="center"/>
        <w:rPr>
          <w:b/>
          <w:i/>
          <w:szCs w:val="26"/>
        </w:rPr>
      </w:pPr>
      <w:r w:rsidRPr="002F632A">
        <w:rPr>
          <w:b/>
          <w:szCs w:val="26"/>
        </w:rPr>
        <w:t>B</w:t>
      </w:r>
      <w:r w:rsidRPr="002F632A">
        <w:rPr>
          <w:b/>
          <w:szCs w:val="26"/>
        </w:rPr>
        <w:t>.</w:t>
      </w:r>
      <w:r w:rsidRPr="002F632A">
        <w:rPr>
          <w:b/>
          <w:szCs w:val="26"/>
        </w:rPr>
        <w:t xml:space="preserve">  </w:t>
      </w:r>
      <w:r w:rsidRPr="002F632A">
        <w:rPr>
          <w:b/>
          <w:i/>
          <w:szCs w:val="26"/>
        </w:rPr>
        <w:t>Application of the Relevant Legal Principles to the Present Case</w:t>
      </w:r>
    </w:p>
    <w:p w:rsidR="00642B55" w:rsidRPr="002F632A" w:rsidRDefault="00865C66" w:rsidP="00BF39BE">
      <w:pPr>
        <w:spacing w:line="360" w:lineRule="auto"/>
        <w:rPr>
          <w:szCs w:val="26"/>
        </w:rPr>
      </w:pPr>
      <w:r w:rsidRPr="002F632A">
        <w:rPr>
          <w:szCs w:val="26"/>
        </w:rPr>
        <w:tab/>
        <w:t xml:space="preserve">In the present case, </w:t>
      </w:r>
      <w:r w:rsidRPr="002F632A">
        <w:rPr>
          <w:szCs w:val="26"/>
        </w:rPr>
        <w:t>paragraph 16 of a</w:t>
      </w:r>
      <w:r w:rsidRPr="002F632A">
        <w:rPr>
          <w:szCs w:val="26"/>
        </w:rPr>
        <w:t xml:space="preserve">rticle I, section 5 the MOU governs </w:t>
      </w:r>
      <w:r w:rsidRPr="002F632A">
        <w:rPr>
          <w:szCs w:val="26"/>
        </w:rPr>
        <w:t>arbitrability of disputes between the City and the Association and provides in relevant part:  “Grievances or disputes regarding the application or interpretation of this Agreement or relating to working conditions arising out of this Agreement . . . , inc</w:t>
      </w:r>
      <w:r w:rsidRPr="002F632A">
        <w:rPr>
          <w:szCs w:val="26"/>
        </w:rPr>
        <w:t>luding the arbitrability thereof, shall be settled in conformity with the following procedure.</w:t>
      </w:r>
      <w:r w:rsidRPr="002F632A">
        <w:rPr>
          <w:szCs w:val="26"/>
          <w:vertAlign w:val="superscript"/>
        </w:rPr>
        <w:t>[</w:t>
      </w:r>
      <w:r>
        <w:rPr>
          <w:rStyle w:val="FootnoteReference"/>
          <w:szCs w:val="26"/>
        </w:rPr>
        <w:footnoteReference w:id="2"/>
      </w:r>
      <w:r w:rsidRPr="002F632A">
        <w:rPr>
          <w:szCs w:val="26"/>
          <w:vertAlign w:val="superscript"/>
        </w:rPr>
        <w:t>]</w:t>
      </w:r>
      <w:r w:rsidRPr="002F632A">
        <w:rPr>
          <w:szCs w:val="26"/>
        </w:rPr>
        <w:t xml:space="preserve">  Except, however, actions taken by the City that are necessary to ensure compliance with federal, state or local laws, o</w:t>
      </w:r>
      <w:r w:rsidRPr="002F632A">
        <w:rPr>
          <w:szCs w:val="26"/>
        </w:rPr>
        <w:t>rdinances or regulations . . .</w:t>
      </w:r>
      <w:r w:rsidRPr="002F632A">
        <w:rPr>
          <w:szCs w:val="26"/>
        </w:rPr>
        <w:t xml:space="preserve"> shall n</w:t>
      </w:r>
      <w:r w:rsidRPr="002F632A">
        <w:rPr>
          <w:szCs w:val="26"/>
        </w:rPr>
        <w:t>ot be grievable hereunder.</w:t>
      </w:r>
      <w:r>
        <w:rPr>
          <w:szCs w:val="26"/>
        </w:rPr>
        <w:t> </w:t>
      </w:r>
      <w:r w:rsidRPr="002F632A">
        <w:rPr>
          <w:szCs w:val="26"/>
        </w:rPr>
        <w:t>.</w:t>
      </w:r>
      <w:r>
        <w:rPr>
          <w:szCs w:val="26"/>
        </w:rPr>
        <w:t> </w:t>
      </w:r>
      <w:r w:rsidRPr="002F632A">
        <w:rPr>
          <w:szCs w:val="26"/>
        </w:rPr>
        <w:t>.</w:t>
      </w:r>
      <w:r>
        <w:rPr>
          <w:szCs w:val="26"/>
        </w:rPr>
        <w:t> </w:t>
      </w:r>
      <w:r w:rsidRPr="002F632A">
        <w:rPr>
          <w:szCs w:val="26"/>
        </w:rPr>
        <w:t>.  In addition, in the event the City acts on a matter it has reasonably determined to be mandated by or necessary to ensure compliance with . . . federal, state, or local laws, ordinances or regulations, that action shall no</w:t>
      </w:r>
      <w:r w:rsidRPr="002F632A">
        <w:rPr>
          <w:szCs w:val="26"/>
        </w:rPr>
        <w:t>t be grievable hereunder.  In the event a grievance is filed relating to such actions, arbitrability shall be determined by a court of comp</w:t>
      </w:r>
      <w:r>
        <w:rPr>
          <w:szCs w:val="26"/>
        </w:rPr>
        <w:t xml:space="preserve">etent jurisdiction.” </w:t>
      </w:r>
    </w:p>
    <w:p w:rsidR="00642B55" w:rsidRPr="002F632A" w:rsidRDefault="00865C66" w:rsidP="00BF39BE">
      <w:pPr>
        <w:spacing w:line="360" w:lineRule="auto"/>
        <w:rPr>
          <w:szCs w:val="26"/>
        </w:rPr>
      </w:pPr>
      <w:r w:rsidRPr="002F632A">
        <w:rPr>
          <w:szCs w:val="26"/>
        </w:rPr>
        <w:tab/>
        <w:t xml:space="preserve">The Association’s amended grievance demanded arbitration based on the City’s </w:t>
      </w:r>
      <w:r w:rsidRPr="002F632A">
        <w:rPr>
          <w:szCs w:val="26"/>
        </w:rPr>
        <w:t xml:space="preserve">unilateral </w:t>
      </w:r>
      <w:r w:rsidRPr="002F632A">
        <w:rPr>
          <w:szCs w:val="26"/>
        </w:rPr>
        <w:t>decisi</w:t>
      </w:r>
      <w:r w:rsidRPr="002F632A">
        <w:rPr>
          <w:szCs w:val="26"/>
        </w:rPr>
        <w:t>on to implement th</w:t>
      </w:r>
      <w:r w:rsidRPr="002F632A">
        <w:rPr>
          <w:szCs w:val="26"/>
        </w:rPr>
        <w:t xml:space="preserve">e revised use of force policy. </w:t>
      </w:r>
      <w:r w:rsidRPr="002F632A">
        <w:rPr>
          <w:szCs w:val="26"/>
        </w:rPr>
        <w:t xml:space="preserve"> The amended grievance asked the arbitrator to determine the following issues:  (1) did the Commission have a contractual obligation to negotiate any aspect of the use of force policy; (2) if so, did that ob</w:t>
      </w:r>
      <w:r w:rsidRPr="002F632A">
        <w:rPr>
          <w:szCs w:val="26"/>
        </w:rPr>
        <w:t xml:space="preserve">ligation extend to negotiating about the elimination of the carotid restraint and </w:t>
      </w:r>
      <w:r w:rsidRPr="002F632A">
        <w:rPr>
          <w:szCs w:val="26"/>
        </w:rPr>
        <w:lastRenderedPageBreak/>
        <w:t>prohibition on shooting at a moving vehicle; and (3) if so, did the City fail to negotiate in good faith its refusal to reduce to writing agreements it made during negotiatio</w:t>
      </w:r>
      <w:r w:rsidRPr="002F632A">
        <w:rPr>
          <w:szCs w:val="26"/>
        </w:rPr>
        <w:t xml:space="preserve">ns regarding these two issues. </w:t>
      </w:r>
      <w:r w:rsidRPr="002F632A">
        <w:rPr>
          <w:szCs w:val="26"/>
        </w:rPr>
        <w:t xml:space="preserve"> The Association requested several remedies, including a determination that the Commission was obligated “to meet and confer over t</w:t>
      </w:r>
      <w:r>
        <w:rPr>
          <w:szCs w:val="26"/>
        </w:rPr>
        <w:t>he impacts of the Use of Force P</w:t>
      </w:r>
      <w:r w:rsidRPr="002F632A">
        <w:rPr>
          <w:szCs w:val="26"/>
        </w:rPr>
        <w:t xml:space="preserve">olicy on officer safety, training, workload, and discipline”; </w:t>
      </w:r>
      <w:r w:rsidRPr="002F632A">
        <w:rPr>
          <w:szCs w:val="26"/>
        </w:rPr>
        <w:t>a determination th</w:t>
      </w:r>
      <w:r w:rsidRPr="002F632A">
        <w:rPr>
          <w:szCs w:val="26"/>
        </w:rPr>
        <w:t>at the Commission had violated a</w:t>
      </w:r>
      <w:r w:rsidRPr="002F632A">
        <w:rPr>
          <w:szCs w:val="26"/>
        </w:rPr>
        <w:t>rticle I, section 4 of the MOU</w:t>
      </w:r>
      <w:r w:rsidRPr="002F632A">
        <w:rPr>
          <w:szCs w:val="26"/>
        </w:rPr>
        <w:t xml:space="preserve"> regarding the parties’ negotiation responsibilities</w:t>
      </w:r>
      <w:r w:rsidRPr="002F632A">
        <w:rPr>
          <w:szCs w:val="26"/>
        </w:rPr>
        <w:t xml:space="preserve"> and </w:t>
      </w:r>
      <w:r w:rsidRPr="002F632A">
        <w:rPr>
          <w:szCs w:val="26"/>
        </w:rPr>
        <w:t xml:space="preserve">had </w:t>
      </w:r>
      <w:r w:rsidRPr="002F632A">
        <w:rPr>
          <w:szCs w:val="26"/>
        </w:rPr>
        <w:t>committed an unfair labor practice; “[a]n order requiring the Commission to su</w:t>
      </w:r>
      <w:r>
        <w:rPr>
          <w:szCs w:val="26"/>
        </w:rPr>
        <w:t>spend the revised Use of Force P</w:t>
      </w:r>
      <w:r w:rsidRPr="002F632A">
        <w:rPr>
          <w:szCs w:val="26"/>
        </w:rPr>
        <w:t>olicy</w:t>
      </w:r>
      <w:r w:rsidRPr="002F632A">
        <w:rPr>
          <w:szCs w:val="26"/>
        </w:rPr>
        <w:t xml:space="preserve"> and meet and confer with the</w:t>
      </w:r>
      <w:r w:rsidRPr="002F632A">
        <w:rPr>
          <w:szCs w:val="26"/>
        </w:rPr>
        <w:t xml:space="preserve"> </w:t>
      </w:r>
      <w:r w:rsidRPr="002F632A">
        <w:rPr>
          <w:szCs w:val="26"/>
        </w:rPr>
        <w:t>[Association] in good faith, including entering into a bilateral written agreement on agreements reached at the table”; and a posting that the Commission had violated the MOU and commi</w:t>
      </w:r>
      <w:r w:rsidRPr="002F632A">
        <w:rPr>
          <w:szCs w:val="26"/>
        </w:rPr>
        <w:t xml:space="preserve">tted an unfair labor practice. </w:t>
      </w:r>
      <w:r w:rsidRPr="002F632A">
        <w:rPr>
          <w:szCs w:val="26"/>
        </w:rPr>
        <w:t xml:space="preserve"> </w:t>
      </w:r>
    </w:p>
    <w:p w:rsidR="00642B55" w:rsidRPr="002F632A" w:rsidRDefault="00865C66" w:rsidP="00BF39BE">
      <w:pPr>
        <w:spacing w:line="360" w:lineRule="auto"/>
        <w:rPr>
          <w:szCs w:val="26"/>
        </w:rPr>
      </w:pPr>
      <w:r w:rsidRPr="002F632A">
        <w:rPr>
          <w:szCs w:val="26"/>
        </w:rPr>
        <w:tab/>
        <w:t>In a dec</w:t>
      </w:r>
      <w:r w:rsidRPr="002F632A">
        <w:rPr>
          <w:szCs w:val="26"/>
        </w:rPr>
        <w:t>laration filed in support of respondents’ opposition to the Association’s petition to compel arbitration, Suzanne Mason, the employee relations director for the San Francisco Department of Human Resources stated that, “[a]t all times relevant to [the Assoc</w:t>
      </w:r>
      <w:r w:rsidRPr="002F632A">
        <w:rPr>
          <w:szCs w:val="26"/>
        </w:rPr>
        <w:t>iation’s] grievance, the City acted based on its reasonable determination that its actions were necessary to comply with the Charter and state law holding that a use of force policy is a nondelegable management right, not subject to bargaini</w:t>
      </w:r>
      <w:r w:rsidRPr="002F632A">
        <w:rPr>
          <w:szCs w:val="26"/>
        </w:rPr>
        <w:t>ng or arbitrati</w:t>
      </w:r>
      <w:r w:rsidRPr="002F632A">
        <w:rPr>
          <w:szCs w:val="26"/>
        </w:rPr>
        <w:t xml:space="preserve">on.” </w:t>
      </w:r>
    </w:p>
    <w:p w:rsidR="009B0478" w:rsidRPr="002F632A" w:rsidRDefault="00865C66" w:rsidP="00BF39BE">
      <w:pPr>
        <w:spacing w:line="360" w:lineRule="auto"/>
        <w:rPr>
          <w:szCs w:val="26"/>
        </w:rPr>
      </w:pPr>
      <w:r w:rsidRPr="002F632A">
        <w:rPr>
          <w:szCs w:val="26"/>
        </w:rPr>
        <w:tab/>
        <w:t xml:space="preserve">In its order denying the petition to compel arbitration, the court relied on the </w:t>
      </w:r>
      <w:r w:rsidRPr="002F632A">
        <w:rPr>
          <w:i/>
          <w:szCs w:val="26"/>
        </w:rPr>
        <w:t>San Jose</w:t>
      </w:r>
      <w:r w:rsidRPr="002F632A">
        <w:rPr>
          <w:szCs w:val="26"/>
        </w:rPr>
        <w:t xml:space="preserve"> and </w:t>
      </w:r>
      <w:r w:rsidRPr="002F632A">
        <w:rPr>
          <w:i/>
          <w:szCs w:val="26"/>
        </w:rPr>
        <w:t>Building Materials</w:t>
      </w:r>
      <w:r w:rsidRPr="002F632A">
        <w:rPr>
          <w:szCs w:val="26"/>
        </w:rPr>
        <w:t xml:space="preserve"> opinions in finding “that determination and implementation of local use of force policies by [the City] governing the activities of local law enforcement were exclusively within its state constitutional authority.”</w:t>
      </w:r>
      <w:r w:rsidRPr="002F632A">
        <w:rPr>
          <w:szCs w:val="26"/>
        </w:rPr>
        <w:t xml:space="preserve"> </w:t>
      </w:r>
      <w:r w:rsidRPr="002F632A">
        <w:rPr>
          <w:szCs w:val="26"/>
        </w:rPr>
        <w:t xml:space="preserve"> (See a</w:t>
      </w:r>
      <w:r w:rsidRPr="002F632A">
        <w:rPr>
          <w:szCs w:val="26"/>
        </w:rPr>
        <w:t xml:space="preserve">rt. XI, </w:t>
      </w:r>
      <w:r w:rsidRPr="002F632A">
        <w:rPr>
          <w:rFonts w:eastAsia="Times New Roman"/>
          <w:szCs w:val="26"/>
        </w:rPr>
        <w:t>§</w:t>
      </w:r>
      <w:r w:rsidRPr="002F632A">
        <w:rPr>
          <w:szCs w:val="26"/>
        </w:rPr>
        <w:t> </w:t>
      </w:r>
      <w:r w:rsidRPr="002F632A">
        <w:rPr>
          <w:szCs w:val="26"/>
        </w:rPr>
        <w:t xml:space="preserve">7.) </w:t>
      </w:r>
      <w:r w:rsidRPr="002F632A">
        <w:rPr>
          <w:szCs w:val="26"/>
        </w:rPr>
        <w:t xml:space="preserve"> The court therefore concluded that the City had “properly exercised its constitutional authority through its City Charter Mandated San Francisco Police Commission” (San Francisco Charter,</w:t>
      </w:r>
      <w:r w:rsidRPr="002F632A">
        <w:rPr>
          <w:szCs w:val="26"/>
        </w:rPr>
        <w:t xml:space="preserve"> a</w:t>
      </w:r>
      <w:r w:rsidRPr="002F632A">
        <w:rPr>
          <w:szCs w:val="26"/>
        </w:rPr>
        <w:t>rt. IV,</w:t>
      </w:r>
      <w:r w:rsidRPr="002F632A">
        <w:rPr>
          <w:szCs w:val="26"/>
        </w:rPr>
        <w:t xml:space="preserve"> </w:t>
      </w:r>
      <w:r w:rsidRPr="002F632A">
        <w:rPr>
          <w:rFonts w:eastAsia="Times New Roman"/>
          <w:szCs w:val="26"/>
        </w:rPr>
        <w:t>§</w:t>
      </w:r>
      <w:r w:rsidRPr="002F632A">
        <w:rPr>
          <w:szCs w:val="26"/>
        </w:rPr>
        <w:t xml:space="preserve"> 4.109), that the use of force policies were “not matters</w:t>
      </w:r>
      <w:r w:rsidRPr="002F632A">
        <w:rPr>
          <w:szCs w:val="26"/>
        </w:rPr>
        <w:t xml:space="preserve"> subject to the meet and confer requirements of the Government Code,” and that the City’s actions “in enacting and implementing its use of force policy [were] not subject to arbit</w:t>
      </w:r>
      <w:r w:rsidRPr="002F632A">
        <w:rPr>
          <w:szCs w:val="26"/>
        </w:rPr>
        <w:t xml:space="preserve">ration authorized by the MOU.” </w:t>
      </w:r>
      <w:r w:rsidRPr="002F632A">
        <w:rPr>
          <w:szCs w:val="26"/>
        </w:rPr>
        <w:t xml:space="preserve"> </w:t>
      </w:r>
    </w:p>
    <w:p w:rsidR="00EC65DC" w:rsidRPr="002F632A" w:rsidRDefault="00865C66" w:rsidP="00BF39BE">
      <w:pPr>
        <w:spacing w:line="360" w:lineRule="auto"/>
        <w:ind w:firstLine="720"/>
        <w:rPr>
          <w:szCs w:val="26"/>
        </w:rPr>
      </w:pPr>
      <w:r w:rsidRPr="002F632A">
        <w:rPr>
          <w:szCs w:val="26"/>
        </w:rPr>
        <w:lastRenderedPageBreak/>
        <w:t>W</w:t>
      </w:r>
      <w:r w:rsidRPr="002F632A">
        <w:rPr>
          <w:szCs w:val="26"/>
        </w:rPr>
        <w:t>e conclude the trial court</w:t>
      </w:r>
      <w:r w:rsidRPr="002F632A">
        <w:rPr>
          <w:szCs w:val="26"/>
        </w:rPr>
        <w:t xml:space="preserve"> </w:t>
      </w:r>
      <w:r w:rsidRPr="002F632A">
        <w:rPr>
          <w:szCs w:val="26"/>
        </w:rPr>
        <w:t>properly made th</w:t>
      </w:r>
      <w:r w:rsidRPr="002F632A">
        <w:rPr>
          <w:szCs w:val="26"/>
        </w:rPr>
        <w:t xml:space="preserve">e arbitrability determination in the first instance, </w:t>
      </w:r>
      <w:r w:rsidRPr="002F632A">
        <w:rPr>
          <w:szCs w:val="26"/>
        </w:rPr>
        <w:t xml:space="preserve">based on the provision </w:t>
      </w:r>
      <w:r w:rsidRPr="002F632A">
        <w:rPr>
          <w:szCs w:val="26"/>
        </w:rPr>
        <w:t>in</w:t>
      </w:r>
      <w:r w:rsidRPr="002F632A">
        <w:rPr>
          <w:szCs w:val="26"/>
        </w:rPr>
        <w:t xml:space="preserve"> the MOU that </w:t>
      </w:r>
      <w:r w:rsidRPr="002F632A">
        <w:rPr>
          <w:szCs w:val="26"/>
        </w:rPr>
        <w:t xml:space="preserve">arbitrability is to be determined by the court when a grievance is filed as to actions the City has reasonably determined </w:t>
      </w:r>
      <w:r w:rsidRPr="002F632A">
        <w:rPr>
          <w:szCs w:val="26"/>
        </w:rPr>
        <w:t xml:space="preserve">to be necessary to ensure compliance with </w:t>
      </w:r>
      <w:r w:rsidRPr="002F632A">
        <w:rPr>
          <w:szCs w:val="26"/>
        </w:rPr>
        <w:t>state law</w:t>
      </w:r>
      <w:r w:rsidRPr="002F632A">
        <w:rPr>
          <w:szCs w:val="26"/>
        </w:rPr>
        <w:t>.</w:t>
      </w:r>
      <w:r w:rsidRPr="002F632A">
        <w:rPr>
          <w:szCs w:val="26"/>
        </w:rPr>
        <w:t xml:space="preserve">  (See MOU, a</w:t>
      </w:r>
      <w:r w:rsidRPr="002F632A">
        <w:rPr>
          <w:szCs w:val="26"/>
        </w:rPr>
        <w:t>rt. I, § 5, ¶ 16.)</w:t>
      </w:r>
      <w:r w:rsidRPr="002F632A">
        <w:rPr>
          <w:szCs w:val="26"/>
        </w:rPr>
        <w:t xml:space="preserve">  Likewise, the court properly </w:t>
      </w:r>
      <w:r w:rsidRPr="002F632A">
        <w:rPr>
          <w:szCs w:val="26"/>
        </w:rPr>
        <w:t>found that the Association’</w:t>
      </w:r>
      <w:r w:rsidRPr="002F632A">
        <w:rPr>
          <w:szCs w:val="26"/>
        </w:rPr>
        <w:t>s amended</w:t>
      </w:r>
      <w:r w:rsidRPr="002F632A">
        <w:rPr>
          <w:szCs w:val="26"/>
        </w:rPr>
        <w:t xml:space="preserve"> grievance</w:t>
      </w:r>
      <w:r w:rsidRPr="002F632A">
        <w:rPr>
          <w:szCs w:val="26"/>
        </w:rPr>
        <w:t>,</w:t>
      </w:r>
      <w:r w:rsidRPr="002F632A">
        <w:rPr>
          <w:szCs w:val="26"/>
        </w:rPr>
        <w:t xml:space="preserve"> </w:t>
      </w:r>
      <w:r w:rsidRPr="002F632A">
        <w:rPr>
          <w:szCs w:val="26"/>
        </w:rPr>
        <w:t xml:space="preserve">alleging that the City failed </w:t>
      </w:r>
      <w:r w:rsidRPr="002F632A">
        <w:rPr>
          <w:szCs w:val="26"/>
        </w:rPr>
        <w:t>to negotiate in good faith before</w:t>
      </w:r>
      <w:r w:rsidRPr="002F632A">
        <w:rPr>
          <w:szCs w:val="26"/>
        </w:rPr>
        <w:t xml:space="preserve"> deciding on and</w:t>
      </w:r>
      <w:r w:rsidRPr="002F632A">
        <w:rPr>
          <w:szCs w:val="26"/>
        </w:rPr>
        <w:t xml:space="preserve"> </w:t>
      </w:r>
      <w:r w:rsidRPr="002F632A">
        <w:rPr>
          <w:szCs w:val="26"/>
        </w:rPr>
        <w:t>implementing</w:t>
      </w:r>
      <w:r w:rsidRPr="002F632A">
        <w:rPr>
          <w:szCs w:val="26"/>
        </w:rPr>
        <w:t xml:space="preserve"> </w:t>
      </w:r>
      <w:r w:rsidRPr="002F632A">
        <w:rPr>
          <w:szCs w:val="26"/>
        </w:rPr>
        <w:t>the</w:t>
      </w:r>
      <w:r w:rsidRPr="002F632A">
        <w:rPr>
          <w:szCs w:val="26"/>
        </w:rPr>
        <w:t xml:space="preserve"> </w:t>
      </w:r>
      <w:r w:rsidRPr="002F632A">
        <w:rPr>
          <w:szCs w:val="26"/>
        </w:rPr>
        <w:t xml:space="preserve">revisions to </w:t>
      </w:r>
      <w:r w:rsidRPr="002F632A">
        <w:rPr>
          <w:szCs w:val="26"/>
        </w:rPr>
        <w:t>its</w:t>
      </w:r>
      <w:r w:rsidRPr="002F632A">
        <w:rPr>
          <w:szCs w:val="26"/>
        </w:rPr>
        <w:t xml:space="preserve"> use of force policy</w:t>
      </w:r>
      <w:r w:rsidRPr="002F632A">
        <w:rPr>
          <w:szCs w:val="26"/>
        </w:rPr>
        <w:t>,</w:t>
      </w:r>
      <w:r w:rsidRPr="002F632A">
        <w:rPr>
          <w:szCs w:val="26"/>
        </w:rPr>
        <w:t xml:space="preserve"> was not arbitrable </w:t>
      </w:r>
      <w:r w:rsidRPr="002F632A">
        <w:rPr>
          <w:szCs w:val="26"/>
        </w:rPr>
        <w:t>under the</w:t>
      </w:r>
      <w:r w:rsidRPr="002F632A">
        <w:rPr>
          <w:szCs w:val="26"/>
        </w:rPr>
        <w:t xml:space="preserve"> provisions of</w:t>
      </w:r>
      <w:r w:rsidRPr="002F632A">
        <w:rPr>
          <w:szCs w:val="26"/>
        </w:rPr>
        <w:t xml:space="preserve"> the parties’ MOU</w:t>
      </w:r>
      <w:r w:rsidRPr="002F632A">
        <w:rPr>
          <w:szCs w:val="26"/>
        </w:rPr>
        <w:t>.</w:t>
      </w:r>
      <w:r w:rsidRPr="002F632A">
        <w:rPr>
          <w:szCs w:val="26"/>
        </w:rPr>
        <w:t xml:space="preserve">  (</w:t>
      </w:r>
      <w:r w:rsidRPr="002F632A">
        <w:rPr>
          <w:i/>
          <w:szCs w:val="26"/>
        </w:rPr>
        <w:t>Ibid</w:t>
      </w:r>
      <w:r w:rsidRPr="002F632A">
        <w:rPr>
          <w:szCs w:val="26"/>
        </w:rPr>
        <w:t>.)</w:t>
      </w:r>
      <w:r w:rsidRPr="002F632A">
        <w:rPr>
          <w:szCs w:val="26"/>
        </w:rPr>
        <w:t xml:space="preserve">  </w:t>
      </w:r>
      <w:r w:rsidRPr="002F632A">
        <w:rPr>
          <w:szCs w:val="26"/>
        </w:rPr>
        <w:t>Instead, the</w:t>
      </w:r>
      <w:r w:rsidRPr="002F632A">
        <w:rPr>
          <w:szCs w:val="26"/>
        </w:rPr>
        <w:t xml:space="preserve"> policy was a “matter</w:t>
      </w:r>
      <w:r w:rsidRPr="002F632A">
        <w:rPr>
          <w:szCs w:val="26"/>
        </w:rPr>
        <w:t xml:space="preserve"> </w:t>
      </w:r>
      <w:r w:rsidRPr="002F632A">
        <w:rPr>
          <w:szCs w:val="26"/>
        </w:rPr>
        <w:t>[</w:t>
      </w:r>
      <w:r w:rsidRPr="002F632A">
        <w:rPr>
          <w:szCs w:val="26"/>
        </w:rPr>
        <w:t>the City had</w:t>
      </w:r>
      <w:r w:rsidRPr="002F632A">
        <w:rPr>
          <w:szCs w:val="26"/>
        </w:rPr>
        <w:t xml:space="preserve">] </w:t>
      </w:r>
      <w:r w:rsidRPr="002F632A">
        <w:rPr>
          <w:szCs w:val="26"/>
        </w:rPr>
        <w:t>reasonably determined to be mandated by or necessary to ensure compli</w:t>
      </w:r>
      <w:r w:rsidRPr="002F632A">
        <w:rPr>
          <w:szCs w:val="26"/>
        </w:rPr>
        <w:t>ance with . . . state law</w:t>
      </w:r>
      <w:r w:rsidRPr="002F632A">
        <w:rPr>
          <w:szCs w:val="26"/>
        </w:rPr>
        <w:t>,</w:t>
      </w:r>
      <w:r w:rsidRPr="002F632A">
        <w:rPr>
          <w:szCs w:val="26"/>
        </w:rPr>
        <w:t>”</w:t>
      </w:r>
      <w:r w:rsidRPr="002F632A">
        <w:rPr>
          <w:szCs w:val="26"/>
        </w:rPr>
        <w:t xml:space="preserve"> </w:t>
      </w:r>
      <w:r w:rsidRPr="002F632A">
        <w:rPr>
          <w:szCs w:val="26"/>
        </w:rPr>
        <w:t>which was</w:t>
      </w:r>
      <w:r w:rsidRPr="002F632A">
        <w:rPr>
          <w:szCs w:val="26"/>
        </w:rPr>
        <w:t xml:space="preserve"> </w:t>
      </w:r>
      <w:r w:rsidRPr="002F632A">
        <w:rPr>
          <w:szCs w:val="26"/>
        </w:rPr>
        <w:t>not subject to the MOU’s gri</w:t>
      </w:r>
      <w:r w:rsidRPr="002F632A">
        <w:rPr>
          <w:szCs w:val="26"/>
        </w:rPr>
        <w:t>evance procedure</w:t>
      </w:r>
      <w:r w:rsidRPr="002F632A">
        <w:rPr>
          <w:szCs w:val="26"/>
        </w:rPr>
        <w:t>.</w:t>
      </w:r>
      <w:r w:rsidRPr="002F632A">
        <w:rPr>
          <w:szCs w:val="26"/>
        </w:rPr>
        <w:t xml:space="preserve"> </w:t>
      </w:r>
      <w:r w:rsidRPr="002F632A">
        <w:rPr>
          <w:szCs w:val="26"/>
        </w:rPr>
        <w:t xml:space="preserve"> (</w:t>
      </w:r>
      <w:r w:rsidRPr="002F632A">
        <w:rPr>
          <w:i/>
          <w:szCs w:val="26"/>
        </w:rPr>
        <w:t>Ibid</w:t>
      </w:r>
      <w:r w:rsidRPr="002F632A">
        <w:rPr>
          <w:szCs w:val="26"/>
        </w:rPr>
        <w:t xml:space="preserve">.)  </w:t>
      </w:r>
      <w:r w:rsidRPr="002F632A">
        <w:rPr>
          <w:szCs w:val="26"/>
        </w:rPr>
        <w:t>A</w:t>
      </w:r>
      <w:r w:rsidRPr="002F632A">
        <w:rPr>
          <w:szCs w:val="26"/>
        </w:rPr>
        <w:t xml:space="preserve">s the court </w:t>
      </w:r>
      <w:r w:rsidRPr="002F632A">
        <w:rPr>
          <w:szCs w:val="26"/>
        </w:rPr>
        <w:t>put it</w:t>
      </w:r>
      <w:r w:rsidRPr="002F632A">
        <w:rPr>
          <w:szCs w:val="26"/>
        </w:rPr>
        <w:t xml:space="preserve"> in </w:t>
      </w:r>
      <w:r w:rsidRPr="002F632A">
        <w:rPr>
          <w:i/>
          <w:szCs w:val="26"/>
        </w:rPr>
        <w:t>San Jose</w:t>
      </w:r>
      <w:r w:rsidRPr="002F632A">
        <w:rPr>
          <w:szCs w:val="26"/>
        </w:rPr>
        <w:t>:  “The power of a city to enact and enforce regulations relating to the use of firearms by police officers is in the exercise of the police power granted by article XI, section 7 of the California</w:t>
      </w:r>
      <w:r w:rsidRPr="002F632A">
        <w:rPr>
          <w:szCs w:val="26"/>
        </w:rPr>
        <w:t xml:space="preserve"> Constitution [citation</w:t>
      </w:r>
      <w:r w:rsidRPr="002F632A">
        <w:rPr>
          <w:szCs w:val="26"/>
        </w:rPr>
        <w:t>],” which</w:t>
      </w:r>
      <w:r w:rsidRPr="002F632A">
        <w:rPr>
          <w:szCs w:val="26"/>
        </w:rPr>
        <w:t xml:space="preserve"> </w:t>
      </w:r>
      <w:r w:rsidRPr="002F632A">
        <w:rPr>
          <w:szCs w:val="26"/>
        </w:rPr>
        <w:t>a</w:t>
      </w:r>
      <w:r w:rsidRPr="002F632A">
        <w:rPr>
          <w:szCs w:val="26"/>
        </w:rPr>
        <w:t xml:space="preserve"> </w:t>
      </w:r>
      <w:r w:rsidRPr="002F632A">
        <w:rPr>
          <w:szCs w:val="26"/>
        </w:rPr>
        <w:t>“</w:t>
      </w:r>
      <w:r w:rsidRPr="002F632A">
        <w:rPr>
          <w:szCs w:val="26"/>
        </w:rPr>
        <w:t>government</w:t>
      </w:r>
      <w:r w:rsidRPr="002F632A">
        <w:rPr>
          <w:szCs w:val="26"/>
        </w:rPr>
        <w:t>al</w:t>
      </w:r>
      <w:r w:rsidRPr="002F632A">
        <w:rPr>
          <w:szCs w:val="26"/>
        </w:rPr>
        <w:t xml:space="preserve"> agency may not suspend, bargain or contract away </w:t>
      </w:r>
      <w:r w:rsidRPr="002F632A">
        <w:rPr>
          <w:szCs w:val="26"/>
        </w:rPr>
        <w:t xml:space="preserve">. . </w:t>
      </w:r>
      <w:r w:rsidRPr="002F632A">
        <w:rPr>
          <w:szCs w:val="26"/>
        </w:rPr>
        <w:t>.</w:t>
      </w:r>
      <w:r w:rsidRPr="002F632A">
        <w:rPr>
          <w:szCs w:val="26"/>
        </w:rPr>
        <w:t xml:space="preserve"> .</w:t>
      </w:r>
      <w:r w:rsidRPr="002F632A">
        <w:rPr>
          <w:szCs w:val="26"/>
        </w:rPr>
        <w:t>”  (</w:t>
      </w:r>
      <w:r w:rsidRPr="002F632A">
        <w:rPr>
          <w:i/>
          <w:szCs w:val="26"/>
        </w:rPr>
        <w:t>San Jose</w:t>
      </w:r>
      <w:r w:rsidRPr="002F632A">
        <w:rPr>
          <w:szCs w:val="26"/>
        </w:rPr>
        <w:t xml:space="preserve">, </w:t>
      </w:r>
      <w:r w:rsidRPr="002F632A">
        <w:rPr>
          <w:i/>
          <w:szCs w:val="26"/>
        </w:rPr>
        <w:t>supra</w:t>
      </w:r>
      <w:r w:rsidRPr="002F632A">
        <w:rPr>
          <w:szCs w:val="26"/>
        </w:rPr>
        <w:t>, 78 Cal.App.3d at pp. 946-947</w:t>
      </w:r>
      <w:r w:rsidRPr="002F632A">
        <w:rPr>
          <w:szCs w:val="26"/>
        </w:rPr>
        <w:t xml:space="preserve">; see also </w:t>
      </w:r>
      <w:r w:rsidRPr="002F632A">
        <w:rPr>
          <w:i/>
          <w:szCs w:val="26"/>
        </w:rPr>
        <w:t>Claremont</w:t>
      </w:r>
      <w:r w:rsidRPr="002F632A">
        <w:rPr>
          <w:szCs w:val="26"/>
        </w:rPr>
        <w:t xml:space="preserve">, </w:t>
      </w:r>
      <w:r w:rsidRPr="002F632A">
        <w:rPr>
          <w:i/>
          <w:szCs w:val="26"/>
        </w:rPr>
        <w:t>supra</w:t>
      </w:r>
      <w:r w:rsidRPr="002F632A">
        <w:rPr>
          <w:szCs w:val="26"/>
        </w:rPr>
        <w:t xml:space="preserve">, 39 Cal.4th at p. 632; </w:t>
      </w:r>
      <w:r w:rsidRPr="002F632A">
        <w:rPr>
          <w:i/>
          <w:szCs w:val="26"/>
        </w:rPr>
        <w:t>Building Material</w:t>
      </w:r>
      <w:r w:rsidRPr="002F632A">
        <w:rPr>
          <w:szCs w:val="26"/>
        </w:rPr>
        <w:t xml:space="preserve">, </w:t>
      </w:r>
      <w:r w:rsidRPr="002F632A">
        <w:rPr>
          <w:i/>
          <w:szCs w:val="26"/>
        </w:rPr>
        <w:t>supra</w:t>
      </w:r>
      <w:r w:rsidRPr="002F632A">
        <w:rPr>
          <w:szCs w:val="26"/>
        </w:rPr>
        <w:t>, 41 Cal.3d at p. 664</w:t>
      </w:r>
      <w:r w:rsidRPr="002F632A">
        <w:rPr>
          <w:szCs w:val="26"/>
        </w:rPr>
        <w:t>.)</w:t>
      </w:r>
      <w:r>
        <w:rPr>
          <w:rStyle w:val="FootnoteReference"/>
          <w:szCs w:val="26"/>
        </w:rPr>
        <w:footnoteReference w:id="3"/>
      </w:r>
      <w:r w:rsidRPr="002F632A">
        <w:rPr>
          <w:szCs w:val="26"/>
        </w:rPr>
        <w:t xml:space="preserve"> </w:t>
      </w:r>
      <w:r w:rsidRPr="002F632A">
        <w:rPr>
          <w:szCs w:val="26"/>
        </w:rPr>
        <w:t xml:space="preserve"> </w:t>
      </w:r>
    </w:p>
    <w:p w:rsidR="00FC312E" w:rsidRPr="002F632A" w:rsidRDefault="00865C66" w:rsidP="00BF39BE">
      <w:pPr>
        <w:spacing w:line="360" w:lineRule="auto"/>
        <w:rPr>
          <w:szCs w:val="26"/>
        </w:rPr>
      </w:pPr>
      <w:r w:rsidRPr="002F632A">
        <w:rPr>
          <w:szCs w:val="26"/>
        </w:rPr>
        <w:tab/>
      </w:r>
      <w:r w:rsidRPr="002F632A">
        <w:rPr>
          <w:szCs w:val="26"/>
        </w:rPr>
        <w:t>The Association</w:t>
      </w:r>
      <w:r w:rsidRPr="002F632A">
        <w:rPr>
          <w:szCs w:val="26"/>
        </w:rPr>
        <w:t xml:space="preserve"> </w:t>
      </w:r>
      <w:r w:rsidRPr="002F632A">
        <w:rPr>
          <w:szCs w:val="26"/>
        </w:rPr>
        <w:t xml:space="preserve">nonetheless </w:t>
      </w:r>
      <w:r w:rsidRPr="002F632A">
        <w:rPr>
          <w:szCs w:val="26"/>
        </w:rPr>
        <w:t xml:space="preserve">argues that </w:t>
      </w:r>
      <w:r w:rsidRPr="002F632A">
        <w:rPr>
          <w:szCs w:val="26"/>
        </w:rPr>
        <w:t>the exception</w:t>
      </w:r>
      <w:r w:rsidRPr="002F632A">
        <w:rPr>
          <w:szCs w:val="26"/>
        </w:rPr>
        <w:t xml:space="preserve"> set forth in </w:t>
      </w:r>
      <w:r w:rsidRPr="002F632A">
        <w:rPr>
          <w:szCs w:val="26"/>
        </w:rPr>
        <w:t>a</w:t>
      </w:r>
      <w:r w:rsidRPr="002F632A">
        <w:rPr>
          <w:szCs w:val="26"/>
        </w:rPr>
        <w:t xml:space="preserve">rticle I, </w:t>
      </w:r>
      <w:r w:rsidRPr="002F632A">
        <w:rPr>
          <w:szCs w:val="26"/>
        </w:rPr>
        <w:t xml:space="preserve">section 5, paragraph </w:t>
      </w:r>
      <w:r w:rsidRPr="002F632A">
        <w:rPr>
          <w:szCs w:val="26"/>
        </w:rPr>
        <w:t>16 of the MOU—that “</w:t>
      </w:r>
      <w:r w:rsidRPr="002F632A">
        <w:rPr>
          <w:szCs w:val="26"/>
        </w:rPr>
        <w:t xml:space="preserve"> ‘</w:t>
      </w:r>
      <w:r w:rsidRPr="002F632A">
        <w:rPr>
          <w:szCs w:val="26"/>
        </w:rPr>
        <w:t>actions taken by the City that are necessary to ensure compliance with federal, state or local laws, o</w:t>
      </w:r>
      <w:r w:rsidRPr="002F632A">
        <w:rPr>
          <w:szCs w:val="26"/>
        </w:rPr>
        <w:t>rdinances or regulations . . .</w:t>
      </w:r>
      <w:r w:rsidRPr="002F632A">
        <w:rPr>
          <w:szCs w:val="26"/>
        </w:rPr>
        <w:t xml:space="preserve"> s</w:t>
      </w:r>
      <w:r w:rsidRPr="002F632A">
        <w:rPr>
          <w:szCs w:val="26"/>
        </w:rPr>
        <w:t>hall not be grievable hereunder</w:t>
      </w:r>
      <w:r w:rsidRPr="002F632A">
        <w:rPr>
          <w:szCs w:val="26"/>
        </w:rPr>
        <w:t xml:space="preserve">’ </w:t>
      </w:r>
      <w:r w:rsidRPr="002F632A">
        <w:rPr>
          <w:szCs w:val="26"/>
        </w:rPr>
        <w:t>”—</w:t>
      </w:r>
      <w:r w:rsidRPr="002F632A">
        <w:rPr>
          <w:szCs w:val="26"/>
        </w:rPr>
        <w:t>is</w:t>
      </w:r>
      <w:r w:rsidRPr="002F632A">
        <w:rPr>
          <w:szCs w:val="26"/>
        </w:rPr>
        <w:t xml:space="preserve"> inapplicable here because the Association “is not </w:t>
      </w:r>
      <w:r w:rsidRPr="002F632A">
        <w:rPr>
          <w:szCs w:val="26"/>
        </w:rPr>
        <w:lastRenderedPageBreak/>
        <w:t>challenging ‘actions’ taken by Respondents; rather, its</w:t>
      </w:r>
      <w:r w:rsidRPr="002F632A">
        <w:rPr>
          <w:szCs w:val="26"/>
        </w:rPr>
        <w:t xml:space="preserve"> amended</w:t>
      </w:r>
      <w:r w:rsidRPr="002F632A">
        <w:rPr>
          <w:szCs w:val="26"/>
        </w:rPr>
        <w:t xml:space="preserve"> grievance concerned their failure to </w:t>
      </w:r>
      <w:r w:rsidRPr="002F632A">
        <w:rPr>
          <w:szCs w:val="26"/>
        </w:rPr>
        <w:t xml:space="preserve">comply with their negotiation responsibilities before taking those actions.”  </w:t>
      </w:r>
      <w:r w:rsidRPr="002F632A">
        <w:rPr>
          <w:szCs w:val="26"/>
        </w:rPr>
        <w:t xml:space="preserve">Therefore, according to the Association, </w:t>
      </w:r>
      <w:r w:rsidRPr="002F632A">
        <w:rPr>
          <w:szCs w:val="26"/>
        </w:rPr>
        <w:t xml:space="preserve">regardless of whether the use of force decision itself was for the City alone to make, </w:t>
      </w:r>
      <w:r w:rsidRPr="002F632A">
        <w:rPr>
          <w:szCs w:val="26"/>
        </w:rPr>
        <w:t xml:space="preserve">it was for </w:t>
      </w:r>
      <w:r w:rsidRPr="002F632A">
        <w:rPr>
          <w:szCs w:val="26"/>
        </w:rPr>
        <w:t>an</w:t>
      </w:r>
      <w:r w:rsidRPr="002F632A">
        <w:rPr>
          <w:szCs w:val="26"/>
        </w:rPr>
        <w:t xml:space="preserve"> arbitrator to decide the question of</w:t>
      </w:r>
      <w:r w:rsidRPr="002F632A">
        <w:rPr>
          <w:szCs w:val="26"/>
        </w:rPr>
        <w:t xml:space="preserve"> arbitrability</w:t>
      </w:r>
      <w:r w:rsidRPr="002F632A">
        <w:rPr>
          <w:szCs w:val="26"/>
        </w:rPr>
        <w:t xml:space="preserve"> of the grievance</w:t>
      </w:r>
      <w:r w:rsidRPr="002F632A">
        <w:rPr>
          <w:szCs w:val="26"/>
        </w:rPr>
        <w:t xml:space="preserve"> since the claims</w:t>
      </w:r>
      <w:r w:rsidRPr="002F632A">
        <w:rPr>
          <w:szCs w:val="26"/>
        </w:rPr>
        <w:t xml:space="preserve"> therein</w:t>
      </w:r>
      <w:r w:rsidRPr="002F632A">
        <w:rPr>
          <w:szCs w:val="26"/>
        </w:rPr>
        <w:t xml:space="preserve"> related to the City’s failure to meet and confer in good faith before implementing the policy</w:t>
      </w:r>
      <w:r w:rsidRPr="002F632A">
        <w:rPr>
          <w:szCs w:val="26"/>
        </w:rPr>
        <w:t xml:space="preserve">.  (See MOU, </w:t>
      </w:r>
      <w:r w:rsidRPr="002F632A">
        <w:rPr>
          <w:szCs w:val="26"/>
        </w:rPr>
        <w:t>a</w:t>
      </w:r>
      <w:r w:rsidRPr="002F632A">
        <w:rPr>
          <w:szCs w:val="26"/>
        </w:rPr>
        <w:t xml:space="preserve">rt. I, </w:t>
      </w:r>
      <w:r w:rsidRPr="002F632A">
        <w:rPr>
          <w:rFonts w:eastAsia="Times New Roman"/>
          <w:szCs w:val="26"/>
        </w:rPr>
        <w:t>§</w:t>
      </w:r>
      <w:r w:rsidRPr="002F632A">
        <w:rPr>
          <w:szCs w:val="26"/>
        </w:rPr>
        <w:t xml:space="preserve"> 5, ¶ 16.)  </w:t>
      </w:r>
    </w:p>
    <w:p w:rsidR="008A2139" w:rsidRPr="002F632A" w:rsidRDefault="00865C66" w:rsidP="00BF39BE">
      <w:pPr>
        <w:spacing w:line="360" w:lineRule="auto"/>
        <w:rPr>
          <w:szCs w:val="26"/>
        </w:rPr>
      </w:pPr>
      <w:r w:rsidRPr="002F632A">
        <w:rPr>
          <w:szCs w:val="26"/>
        </w:rPr>
        <w:tab/>
      </w:r>
      <w:r w:rsidRPr="002F632A">
        <w:rPr>
          <w:szCs w:val="26"/>
        </w:rPr>
        <w:t xml:space="preserve">First, even assuming the Association has not forfeited this issue due </w:t>
      </w:r>
      <w:r w:rsidRPr="002F632A">
        <w:rPr>
          <w:szCs w:val="26"/>
        </w:rPr>
        <w:t>to the failure to</w:t>
      </w:r>
      <w:r w:rsidRPr="002F632A">
        <w:rPr>
          <w:szCs w:val="26"/>
        </w:rPr>
        <w:t xml:space="preserve"> raise </w:t>
      </w:r>
      <w:r w:rsidRPr="002F632A">
        <w:rPr>
          <w:szCs w:val="26"/>
        </w:rPr>
        <w:t>it</w:t>
      </w:r>
      <w:r w:rsidRPr="002F632A">
        <w:rPr>
          <w:szCs w:val="26"/>
        </w:rPr>
        <w:t xml:space="preserve"> in the trial court</w:t>
      </w:r>
      <w:r w:rsidRPr="002F632A">
        <w:rPr>
          <w:szCs w:val="26"/>
        </w:rPr>
        <w:t>, as the city claims</w:t>
      </w:r>
      <w:r w:rsidRPr="002F632A">
        <w:rPr>
          <w:szCs w:val="26"/>
        </w:rPr>
        <w:t xml:space="preserve"> </w:t>
      </w:r>
      <w:r w:rsidRPr="002F632A">
        <w:rPr>
          <w:szCs w:val="26"/>
        </w:rPr>
        <w:t>(see, e.g.,</w:t>
      </w:r>
      <w:r w:rsidRPr="002F632A">
        <w:rPr>
          <w:szCs w:val="26"/>
        </w:rPr>
        <w:t xml:space="preserve"> </w:t>
      </w:r>
      <w:r w:rsidRPr="002F632A">
        <w:rPr>
          <w:i/>
          <w:szCs w:val="26"/>
        </w:rPr>
        <w:t>Simplon Ballpark, LLC v. Scull</w:t>
      </w:r>
      <w:r w:rsidRPr="002F632A">
        <w:rPr>
          <w:szCs w:val="26"/>
        </w:rPr>
        <w:t xml:space="preserve"> (2015) 235 Cal.App.4th 660, 669-</w:t>
      </w:r>
      <w:r w:rsidRPr="002F632A">
        <w:rPr>
          <w:szCs w:val="26"/>
        </w:rPr>
        <w:t>670)</w:t>
      </w:r>
      <w:r w:rsidRPr="002F632A">
        <w:rPr>
          <w:szCs w:val="26"/>
        </w:rPr>
        <w:t xml:space="preserve">, </w:t>
      </w:r>
      <w:r w:rsidRPr="002F632A">
        <w:rPr>
          <w:szCs w:val="26"/>
        </w:rPr>
        <w:t xml:space="preserve">the language of the </w:t>
      </w:r>
      <w:r w:rsidRPr="002F632A">
        <w:rPr>
          <w:szCs w:val="26"/>
        </w:rPr>
        <w:t>December 28, 201</w:t>
      </w:r>
      <w:r w:rsidRPr="002F632A">
        <w:rPr>
          <w:szCs w:val="26"/>
        </w:rPr>
        <w:t xml:space="preserve">6 </w:t>
      </w:r>
      <w:r w:rsidRPr="002F632A">
        <w:rPr>
          <w:szCs w:val="26"/>
        </w:rPr>
        <w:t>grievance belies the Association</w:t>
      </w:r>
      <w:r w:rsidRPr="002F632A">
        <w:rPr>
          <w:szCs w:val="26"/>
        </w:rPr>
        <w:t xml:space="preserve">’s claim that </w:t>
      </w:r>
      <w:r w:rsidRPr="002F632A">
        <w:rPr>
          <w:szCs w:val="26"/>
        </w:rPr>
        <w:t xml:space="preserve">it </w:t>
      </w:r>
      <w:r w:rsidRPr="002F632A">
        <w:rPr>
          <w:szCs w:val="26"/>
        </w:rPr>
        <w:t>is challenging</w:t>
      </w:r>
      <w:r w:rsidRPr="002F632A">
        <w:rPr>
          <w:szCs w:val="26"/>
        </w:rPr>
        <w:t xml:space="preserve"> only </w:t>
      </w:r>
      <w:r w:rsidRPr="002F632A">
        <w:rPr>
          <w:szCs w:val="26"/>
        </w:rPr>
        <w:t xml:space="preserve">the process leading up to the </w:t>
      </w:r>
      <w:r w:rsidRPr="002F632A">
        <w:rPr>
          <w:szCs w:val="26"/>
        </w:rPr>
        <w:t>City’s decision.  The grievance</w:t>
      </w:r>
      <w:r w:rsidRPr="002F632A">
        <w:rPr>
          <w:szCs w:val="26"/>
        </w:rPr>
        <w:t>, which asks</w:t>
      </w:r>
      <w:r w:rsidRPr="002F632A">
        <w:rPr>
          <w:szCs w:val="26"/>
        </w:rPr>
        <w:t>, inter alia,</w:t>
      </w:r>
      <w:r w:rsidRPr="002F632A">
        <w:rPr>
          <w:szCs w:val="26"/>
        </w:rPr>
        <w:t xml:space="preserve"> for</w:t>
      </w:r>
      <w:r w:rsidRPr="002F632A">
        <w:rPr>
          <w:szCs w:val="26"/>
        </w:rPr>
        <w:t xml:space="preserve"> “[a]n order requiring the Com</w:t>
      </w:r>
      <w:r>
        <w:rPr>
          <w:szCs w:val="26"/>
        </w:rPr>
        <w:t>mission to suspend the revised use of f</w:t>
      </w:r>
      <w:r w:rsidRPr="002F632A">
        <w:rPr>
          <w:szCs w:val="26"/>
        </w:rPr>
        <w:t>orce policy and meet and confer with the [Association]</w:t>
      </w:r>
      <w:r w:rsidRPr="002F632A">
        <w:rPr>
          <w:szCs w:val="26"/>
        </w:rPr>
        <w:t xml:space="preserve"> in good faith, including entering into a b</w:t>
      </w:r>
      <w:r w:rsidRPr="002F632A">
        <w:rPr>
          <w:szCs w:val="26"/>
        </w:rPr>
        <w:t xml:space="preserve">ilateral written agreement on agreements reached at the table,” </w:t>
      </w:r>
      <w:r w:rsidRPr="002F632A">
        <w:rPr>
          <w:szCs w:val="26"/>
        </w:rPr>
        <w:t xml:space="preserve">makes clear that the Association </w:t>
      </w:r>
      <w:r w:rsidRPr="002F632A">
        <w:rPr>
          <w:szCs w:val="26"/>
        </w:rPr>
        <w:t>seeks</w:t>
      </w:r>
      <w:r w:rsidRPr="002F632A">
        <w:rPr>
          <w:szCs w:val="26"/>
        </w:rPr>
        <w:t xml:space="preserve"> to </w:t>
      </w:r>
      <w:r w:rsidRPr="002F632A">
        <w:rPr>
          <w:szCs w:val="26"/>
        </w:rPr>
        <w:t xml:space="preserve">suspend and ultimately </w:t>
      </w:r>
      <w:r w:rsidRPr="002F632A">
        <w:rPr>
          <w:szCs w:val="26"/>
        </w:rPr>
        <w:t>overturn</w:t>
      </w:r>
      <w:r w:rsidRPr="002F632A">
        <w:rPr>
          <w:szCs w:val="26"/>
        </w:rPr>
        <w:t xml:space="preserve"> the City’s </w:t>
      </w:r>
      <w:r w:rsidRPr="002F632A">
        <w:rPr>
          <w:szCs w:val="26"/>
        </w:rPr>
        <w:t>decision</w:t>
      </w:r>
      <w:r w:rsidRPr="002F632A">
        <w:rPr>
          <w:szCs w:val="26"/>
        </w:rPr>
        <w:t xml:space="preserve"> on</w:t>
      </w:r>
      <w:r w:rsidRPr="002F632A">
        <w:rPr>
          <w:szCs w:val="26"/>
        </w:rPr>
        <w:t xml:space="preserve"> aspects of</w:t>
      </w:r>
      <w:r w:rsidRPr="002F632A">
        <w:rPr>
          <w:szCs w:val="26"/>
        </w:rPr>
        <w:t xml:space="preserve"> the use of force policy</w:t>
      </w:r>
      <w:r w:rsidRPr="002F632A">
        <w:rPr>
          <w:szCs w:val="26"/>
        </w:rPr>
        <w:t>,</w:t>
      </w:r>
      <w:r w:rsidRPr="002F632A">
        <w:rPr>
          <w:szCs w:val="26"/>
        </w:rPr>
        <w:t xml:space="preserve"> and</w:t>
      </w:r>
      <w:r w:rsidRPr="002F632A">
        <w:rPr>
          <w:szCs w:val="26"/>
        </w:rPr>
        <w:t xml:space="preserve"> </w:t>
      </w:r>
      <w:r w:rsidRPr="002F632A">
        <w:rPr>
          <w:szCs w:val="26"/>
        </w:rPr>
        <w:t>compel</w:t>
      </w:r>
      <w:r w:rsidRPr="002F632A">
        <w:rPr>
          <w:szCs w:val="26"/>
        </w:rPr>
        <w:t xml:space="preserve"> </w:t>
      </w:r>
      <w:r w:rsidRPr="002F632A">
        <w:rPr>
          <w:szCs w:val="26"/>
        </w:rPr>
        <w:t>the City</w:t>
      </w:r>
      <w:r w:rsidRPr="002F632A">
        <w:rPr>
          <w:szCs w:val="26"/>
        </w:rPr>
        <w:t xml:space="preserve"> to </w:t>
      </w:r>
      <w:r w:rsidRPr="002F632A">
        <w:rPr>
          <w:szCs w:val="26"/>
        </w:rPr>
        <w:t>acquiesce in the policy provisions p</w:t>
      </w:r>
      <w:r w:rsidRPr="002F632A">
        <w:rPr>
          <w:szCs w:val="26"/>
        </w:rPr>
        <w:t xml:space="preserve">roposed by the Association.  </w:t>
      </w:r>
      <w:r w:rsidRPr="002F632A">
        <w:rPr>
          <w:szCs w:val="26"/>
        </w:rPr>
        <w:t xml:space="preserve">As already discussed, it was for the City alone to make this fundamental </w:t>
      </w:r>
      <w:r w:rsidRPr="002F632A">
        <w:rPr>
          <w:szCs w:val="26"/>
        </w:rPr>
        <w:t xml:space="preserve">managerial and </w:t>
      </w:r>
      <w:r w:rsidRPr="002F632A">
        <w:rPr>
          <w:szCs w:val="26"/>
        </w:rPr>
        <w:t xml:space="preserve">policy decision.  </w:t>
      </w:r>
      <w:r w:rsidRPr="002F632A">
        <w:rPr>
          <w:szCs w:val="26"/>
        </w:rPr>
        <w:t xml:space="preserve">(See </w:t>
      </w:r>
      <w:r w:rsidRPr="002F632A">
        <w:rPr>
          <w:i/>
          <w:szCs w:val="26"/>
        </w:rPr>
        <w:t>San Jose</w:t>
      </w:r>
      <w:r w:rsidRPr="002F632A">
        <w:rPr>
          <w:szCs w:val="26"/>
        </w:rPr>
        <w:t xml:space="preserve">, </w:t>
      </w:r>
      <w:r w:rsidRPr="002F632A">
        <w:rPr>
          <w:i/>
          <w:szCs w:val="26"/>
        </w:rPr>
        <w:t>supra</w:t>
      </w:r>
      <w:r w:rsidRPr="002F632A">
        <w:rPr>
          <w:szCs w:val="26"/>
        </w:rPr>
        <w:t xml:space="preserve">, 78 Cal.App.3d at pp. 946-947.)  </w:t>
      </w:r>
    </w:p>
    <w:p w:rsidR="00691FAB" w:rsidRPr="002F632A" w:rsidRDefault="00865C66" w:rsidP="00BF39BE">
      <w:pPr>
        <w:spacing w:line="360" w:lineRule="auto"/>
        <w:rPr>
          <w:szCs w:val="26"/>
        </w:rPr>
      </w:pPr>
      <w:r w:rsidRPr="002F632A">
        <w:rPr>
          <w:szCs w:val="26"/>
        </w:rPr>
        <w:tab/>
      </w:r>
      <w:r w:rsidRPr="002F632A">
        <w:rPr>
          <w:szCs w:val="26"/>
        </w:rPr>
        <w:t>In addition</w:t>
      </w:r>
      <w:r w:rsidRPr="002F632A">
        <w:rPr>
          <w:szCs w:val="26"/>
        </w:rPr>
        <w:t xml:space="preserve">, the fact that the City voluntarily met with the </w:t>
      </w:r>
      <w:r w:rsidRPr="002F632A">
        <w:rPr>
          <w:szCs w:val="26"/>
        </w:rPr>
        <w:t xml:space="preserve">Association in </w:t>
      </w:r>
      <w:r w:rsidRPr="002F632A">
        <w:rPr>
          <w:szCs w:val="26"/>
        </w:rPr>
        <w:t>order</w:t>
      </w:r>
      <w:r w:rsidRPr="002F632A">
        <w:rPr>
          <w:szCs w:val="26"/>
        </w:rPr>
        <w:t xml:space="preserve"> to </w:t>
      </w:r>
      <w:r w:rsidRPr="002F632A">
        <w:rPr>
          <w:szCs w:val="26"/>
        </w:rPr>
        <w:t>receive</w:t>
      </w:r>
      <w:r w:rsidRPr="002F632A">
        <w:rPr>
          <w:szCs w:val="26"/>
        </w:rPr>
        <w:t xml:space="preserve"> its useful</w:t>
      </w:r>
      <w:r w:rsidRPr="002F632A">
        <w:rPr>
          <w:szCs w:val="26"/>
        </w:rPr>
        <w:t xml:space="preserve"> input and </w:t>
      </w:r>
      <w:r w:rsidRPr="002F632A">
        <w:rPr>
          <w:szCs w:val="26"/>
        </w:rPr>
        <w:t xml:space="preserve">reach agreement if possible </w:t>
      </w:r>
      <w:r w:rsidRPr="002F632A">
        <w:rPr>
          <w:szCs w:val="26"/>
        </w:rPr>
        <w:t xml:space="preserve">on the </w:t>
      </w:r>
      <w:r w:rsidRPr="002F632A">
        <w:rPr>
          <w:szCs w:val="26"/>
        </w:rPr>
        <w:t xml:space="preserve">terms of the </w:t>
      </w:r>
      <w:r w:rsidRPr="002F632A">
        <w:rPr>
          <w:szCs w:val="26"/>
        </w:rPr>
        <w:t xml:space="preserve">policy plainly does not mean that the City was thereby </w:t>
      </w:r>
      <w:r w:rsidRPr="002F632A">
        <w:rPr>
          <w:szCs w:val="26"/>
        </w:rPr>
        <w:t>precluded</w:t>
      </w:r>
      <w:r w:rsidRPr="002F632A">
        <w:rPr>
          <w:szCs w:val="26"/>
        </w:rPr>
        <w:t xml:space="preserve"> from making a </w:t>
      </w:r>
      <w:r w:rsidRPr="002F632A">
        <w:rPr>
          <w:szCs w:val="26"/>
        </w:rPr>
        <w:t xml:space="preserve">policy </w:t>
      </w:r>
      <w:r w:rsidRPr="002F632A">
        <w:rPr>
          <w:szCs w:val="26"/>
        </w:rPr>
        <w:t xml:space="preserve">decision </w:t>
      </w:r>
      <w:r w:rsidRPr="002F632A">
        <w:rPr>
          <w:szCs w:val="26"/>
        </w:rPr>
        <w:t>with</w:t>
      </w:r>
      <w:r w:rsidRPr="002F632A">
        <w:rPr>
          <w:szCs w:val="26"/>
        </w:rPr>
        <w:t xml:space="preserve"> which the Association did not agree.  </w:t>
      </w:r>
      <w:r w:rsidRPr="002F632A">
        <w:rPr>
          <w:szCs w:val="26"/>
        </w:rPr>
        <w:t>Rather, as the Ci</w:t>
      </w:r>
      <w:r w:rsidRPr="002F632A">
        <w:rPr>
          <w:szCs w:val="26"/>
        </w:rPr>
        <w:t>ty</w:t>
      </w:r>
      <w:r w:rsidRPr="002F632A">
        <w:rPr>
          <w:szCs w:val="26"/>
        </w:rPr>
        <w:t xml:space="preserve"> clearly</w:t>
      </w:r>
      <w:r w:rsidRPr="002F632A">
        <w:rPr>
          <w:szCs w:val="26"/>
        </w:rPr>
        <w:t xml:space="preserve"> informed the Association in writing in February 2016,</w:t>
      </w:r>
      <w:r w:rsidRPr="002F632A">
        <w:rPr>
          <w:szCs w:val="26"/>
        </w:rPr>
        <w:t xml:space="preserve"> </w:t>
      </w:r>
      <w:r w:rsidRPr="002F632A">
        <w:rPr>
          <w:szCs w:val="26"/>
        </w:rPr>
        <w:t xml:space="preserve">at the </w:t>
      </w:r>
      <w:r w:rsidRPr="002F632A">
        <w:rPr>
          <w:szCs w:val="26"/>
        </w:rPr>
        <w:t>start</w:t>
      </w:r>
      <w:r w:rsidRPr="002F632A">
        <w:rPr>
          <w:szCs w:val="26"/>
        </w:rPr>
        <w:t xml:space="preserve"> of the process of </w:t>
      </w:r>
      <w:r w:rsidRPr="002F632A">
        <w:rPr>
          <w:szCs w:val="26"/>
        </w:rPr>
        <w:t>r</w:t>
      </w:r>
      <w:r w:rsidRPr="002F632A">
        <w:rPr>
          <w:szCs w:val="26"/>
        </w:rPr>
        <w:t xml:space="preserve">evising the use of force policy:  </w:t>
      </w:r>
      <w:r w:rsidRPr="002F632A">
        <w:rPr>
          <w:szCs w:val="26"/>
        </w:rPr>
        <w:t>“</w:t>
      </w:r>
      <w:r w:rsidRPr="002F632A">
        <w:rPr>
          <w:szCs w:val="26"/>
        </w:rPr>
        <w:t>W</w:t>
      </w:r>
      <w:r w:rsidRPr="002F632A">
        <w:rPr>
          <w:szCs w:val="26"/>
        </w:rPr>
        <w:t xml:space="preserve">hile </w:t>
      </w:r>
      <w:r w:rsidRPr="002F632A">
        <w:rPr>
          <w:szCs w:val="26"/>
        </w:rPr>
        <w:t>formation of</w:t>
      </w:r>
      <w:r w:rsidRPr="002F632A">
        <w:rPr>
          <w:szCs w:val="26"/>
        </w:rPr>
        <w:t xml:space="preserve"> </w:t>
      </w:r>
      <w:r w:rsidRPr="002F632A">
        <w:rPr>
          <w:szCs w:val="26"/>
        </w:rPr>
        <w:t xml:space="preserve">the policy </w:t>
      </w:r>
      <w:r w:rsidRPr="002F632A">
        <w:rPr>
          <w:szCs w:val="26"/>
        </w:rPr>
        <w:t>is</w:t>
      </w:r>
      <w:r w:rsidRPr="002F632A">
        <w:rPr>
          <w:szCs w:val="26"/>
        </w:rPr>
        <w:t xml:space="preserve"> </w:t>
      </w:r>
      <w:r w:rsidRPr="002F632A">
        <w:rPr>
          <w:szCs w:val="26"/>
        </w:rPr>
        <w:t>a managerial right outside the</w:t>
      </w:r>
      <w:r w:rsidRPr="002F632A">
        <w:rPr>
          <w:szCs w:val="26"/>
        </w:rPr>
        <w:t xml:space="preserve"> scope of bargaining,</w:t>
      </w:r>
      <w:r w:rsidRPr="002F632A">
        <w:rPr>
          <w:szCs w:val="26"/>
        </w:rPr>
        <w:t xml:space="preserve"> </w:t>
      </w:r>
      <w:r w:rsidRPr="002F632A">
        <w:rPr>
          <w:szCs w:val="26"/>
        </w:rPr>
        <w:t xml:space="preserve">we welcome the [Association’s] participation as a stakeholder in this preliminary process.” </w:t>
      </w:r>
      <w:r w:rsidRPr="002F632A">
        <w:rPr>
          <w:szCs w:val="26"/>
        </w:rPr>
        <w:t xml:space="preserve"> </w:t>
      </w:r>
    </w:p>
    <w:p w:rsidR="00514018" w:rsidRPr="002F632A" w:rsidRDefault="00865C66" w:rsidP="00BF39BE">
      <w:pPr>
        <w:spacing w:line="360" w:lineRule="auto"/>
        <w:rPr>
          <w:szCs w:val="26"/>
        </w:rPr>
      </w:pPr>
      <w:r w:rsidRPr="002F632A">
        <w:rPr>
          <w:szCs w:val="26"/>
        </w:rPr>
        <w:tab/>
        <w:t xml:space="preserve">Second, </w:t>
      </w:r>
      <w:r w:rsidRPr="002F632A">
        <w:rPr>
          <w:szCs w:val="26"/>
        </w:rPr>
        <w:t>we also find without merit</w:t>
      </w:r>
      <w:r w:rsidRPr="002F632A">
        <w:rPr>
          <w:szCs w:val="26"/>
        </w:rPr>
        <w:t xml:space="preserve"> the Association’s argument—raised only in its reply brief—</w:t>
      </w:r>
      <w:r w:rsidRPr="002F632A">
        <w:rPr>
          <w:szCs w:val="26"/>
        </w:rPr>
        <w:t>that</w:t>
      </w:r>
      <w:r w:rsidRPr="002F632A">
        <w:rPr>
          <w:szCs w:val="26"/>
        </w:rPr>
        <w:t>, regardless of the arbitrability of the</w:t>
      </w:r>
      <w:r w:rsidRPr="002F632A">
        <w:rPr>
          <w:szCs w:val="26"/>
        </w:rPr>
        <w:t xml:space="preserve"> City’s adoption of the</w:t>
      </w:r>
      <w:r w:rsidRPr="002F632A">
        <w:rPr>
          <w:szCs w:val="26"/>
        </w:rPr>
        <w:t xml:space="preserve"> </w:t>
      </w:r>
      <w:r w:rsidRPr="002F632A">
        <w:rPr>
          <w:szCs w:val="26"/>
        </w:rPr>
        <w:t>use of force</w:t>
      </w:r>
      <w:r w:rsidRPr="002F632A">
        <w:rPr>
          <w:szCs w:val="26"/>
        </w:rPr>
        <w:t xml:space="preserve"> policy itself,</w:t>
      </w:r>
      <w:r w:rsidRPr="002F632A">
        <w:rPr>
          <w:szCs w:val="26"/>
        </w:rPr>
        <w:t xml:space="preserve"> the City’s dut</w:t>
      </w:r>
      <w:r w:rsidRPr="002F632A">
        <w:rPr>
          <w:szCs w:val="26"/>
        </w:rPr>
        <w:t>y to meet and confer encompassed</w:t>
      </w:r>
      <w:r w:rsidRPr="002F632A">
        <w:rPr>
          <w:szCs w:val="26"/>
        </w:rPr>
        <w:t xml:space="preserve"> the </w:t>
      </w:r>
      <w:r w:rsidRPr="002F632A">
        <w:rPr>
          <w:i/>
          <w:szCs w:val="26"/>
        </w:rPr>
        <w:t>impact</w:t>
      </w:r>
      <w:r w:rsidRPr="002F632A">
        <w:rPr>
          <w:szCs w:val="26"/>
        </w:rPr>
        <w:t xml:space="preserve"> of its policy determination</w:t>
      </w:r>
      <w:r w:rsidRPr="002F632A">
        <w:rPr>
          <w:szCs w:val="26"/>
        </w:rPr>
        <w:t>s</w:t>
      </w:r>
      <w:r w:rsidRPr="002F632A">
        <w:rPr>
          <w:szCs w:val="26"/>
        </w:rPr>
        <w:t xml:space="preserve"> on the working conditions of represented employees, which the parties </w:t>
      </w:r>
      <w:r w:rsidRPr="002F632A">
        <w:rPr>
          <w:szCs w:val="26"/>
        </w:rPr>
        <w:lastRenderedPageBreak/>
        <w:t>have yet to discuss</w:t>
      </w:r>
      <w:r w:rsidRPr="002F632A">
        <w:rPr>
          <w:szCs w:val="26"/>
        </w:rPr>
        <w:t xml:space="preserve"> and which was subject to arbitration under the MOU</w:t>
      </w:r>
      <w:r w:rsidRPr="002F632A">
        <w:rPr>
          <w:szCs w:val="26"/>
        </w:rPr>
        <w:t>.</w:t>
      </w:r>
      <w:r w:rsidRPr="002F632A">
        <w:rPr>
          <w:szCs w:val="26"/>
        </w:rPr>
        <w:t xml:space="preserve">  (See </w:t>
      </w:r>
      <w:r w:rsidRPr="002F632A">
        <w:rPr>
          <w:i/>
          <w:szCs w:val="26"/>
        </w:rPr>
        <w:t>Claremont</w:t>
      </w:r>
      <w:r w:rsidRPr="002F632A">
        <w:rPr>
          <w:szCs w:val="26"/>
        </w:rPr>
        <w:t xml:space="preserve">, </w:t>
      </w:r>
      <w:r w:rsidRPr="002F632A">
        <w:rPr>
          <w:i/>
          <w:szCs w:val="26"/>
        </w:rPr>
        <w:t>supra</w:t>
      </w:r>
      <w:r w:rsidRPr="002F632A">
        <w:rPr>
          <w:szCs w:val="26"/>
        </w:rPr>
        <w:t>, 39 Cal.4th at p. 633</w:t>
      </w:r>
      <w:r w:rsidRPr="002F632A">
        <w:rPr>
          <w:szCs w:val="26"/>
        </w:rPr>
        <w:t xml:space="preserve"> [</w:t>
      </w:r>
      <w:r w:rsidRPr="002F632A">
        <w:rPr>
          <w:szCs w:val="26"/>
        </w:rPr>
        <w:t>“implementation of an employer’</w:t>
      </w:r>
      <w:r w:rsidRPr="002F632A">
        <w:rPr>
          <w:szCs w:val="26"/>
        </w:rPr>
        <w:t>s fundamental decision . . . is a separate consideration for purposes of section 3505’s meet-and-confer requirement”</w:t>
      </w:r>
      <w:r w:rsidRPr="002F632A">
        <w:rPr>
          <w:szCs w:val="26"/>
        </w:rPr>
        <w:t>].)</w:t>
      </w:r>
      <w:r w:rsidRPr="002F632A">
        <w:rPr>
          <w:szCs w:val="26"/>
        </w:rPr>
        <w:t xml:space="preserve">  The high court in </w:t>
      </w:r>
      <w:r w:rsidRPr="002F632A">
        <w:rPr>
          <w:i/>
          <w:szCs w:val="26"/>
        </w:rPr>
        <w:t>Claremont</w:t>
      </w:r>
      <w:r w:rsidRPr="002F632A">
        <w:rPr>
          <w:szCs w:val="26"/>
        </w:rPr>
        <w:t xml:space="preserve"> </w:t>
      </w:r>
      <w:r w:rsidRPr="002F632A">
        <w:rPr>
          <w:szCs w:val="26"/>
        </w:rPr>
        <w:t>summarized</w:t>
      </w:r>
      <w:r w:rsidRPr="002F632A">
        <w:rPr>
          <w:szCs w:val="26"/>
        </w:rPr>
        <w:t xml:space="preserve"> the balancing test first set forth in </w:t>
      </w:r>
      <w:r w:rsidRPr="002F632A">
        <w:rPr>
          <w:i/>
          <w:szCs w:val="26"/>
        </w:rPr>
        <w:t>Building Material</w:t>
      </w:r>
      <w:r w:rsidRPr="002F632A">
        <w:rPr>
          <w:szCs w:val="26"/>
        </w:rPr>
        <w:t xml:space="preserve"> to determine whether an employer must meet and confer regarding implementation of </w:t>
      </w:r>
      <w:r w:rsidRPr="002F632A">
        <w:rPr>
          <w:szCs w:val="26"/>
        </w:rPr>
        <w:t>a fundamental managerial or policy decision:</w:t>
      </w:r>
      <w:r w:rsidRPr="002F632A">
        <w:rPr>
          <w:szCs w:val="26"/>
        </w:rPr>
        <w:t xml:space="preserve">  </w:t>
      </w:r>
      <w:r w:rsidRPr="002F632A">
        <w:rPr>
          <w:szCs w:val="26"/>
        </w:rPr>
        <w:t>“[I]</w:t>
      </w:r>
      <w:r w:rsidRPr="002F632A">
        <w:rPr>
          <w:szCs w:val="26"/>
        </w:rPr>
        <w:t>f an action to implement a fundamental managerial or policy decisio</w:t>
      </w:r>
      <w:r w:rsidRPr="002F632A">
        <w:rPr>
          <w:szCs w:val="26"/>
        </w:rPr>
        <w:t>n has a significant and adverse effect on the wages, hours, or working conditions of the employees—we apply a balancing test.  The action ‘is within the scope of representation only if the employer’s</w:t>
      </w:r>
      <w:r w:rsidRPr="002F632A">
        <w:rPr>
          <w:szCs w:val="26"/>
        </w:rPr>
        <w:t xml:space="preserve"> need for unencumbered decision</w:t>
      </w:r>
      <w:r w:rsidRPr="002F632A">
        <w:rPr>
          <w:szCs w:val="26"/>
        </w:rPr>
        <w:t>making in managi</w:t>
      </w:r>
      <w:r w:rsidRPr="002F632A">
        <w:rPr>
          <w:szCs w:val="26"/>
        </w:rPr>
        <w:t>n</w:t>
      </w:r>
      <w:r w:rsidRPr="002F632A">
        <w:rPr>
          <w:szCs w:val="26"/>
        </w:rPr>
        <w:t>g its ope</w:t>
      </w:r>
      <w:r w:rsidRPr="002F632A">
        <w:rPr>
          <w:szCs w:val="26"/>
        </w:rPr>
        <w:t xml:space="preserve">rations </w:t>
      </w:r>
      <w:r w:rsidRPr="002F632A">
        <w:rPr>
          <w:szCs w:val="26"/>
        </w:rPr>
        <w:t xml:space="preserve">is </w:t>
      </w:r>
      <w:r w:rsidRPr="002F632A">
        <w:rPr>
          <w:szCs w:val="26"/>
        </w:rPr>
        <w:t>outweighed by the benefit to employer-</w:t>
      </w:r>
      <w:r w:rsidRPr="002F632A">
        <w:rPr>
          <w:szCs w:val="26"/>
        </w:rPr>
        <w:t xml:space="preserve">employee relations of bargaining </w:t>
      </w:r>
      <w:r w:rsidRPr="002F632A">
        <w:rPr>
          <w:szCs w:val="26"/>
        </w:rPr>
        <w:t>about the action in question.’  [Citation.]”</w:t>
      </w:r>
      <w:r w:rsidRPr="002F632A">
        <w:rPr>
          <w:szCs w:val="26"/>
        </w:rPr>
        <w:t xml:space="preserve"> </w:t>
      </w:r>
      <w:r w:rsidRPr="002F632A">
        <w:rPr>
          <w:szCs w:val="26"/>
        </w:rPr>
        <w:t xml:space="preserve"> (</w:t>
      </w:r>
      <w:r w:rsidRPr="002F632A">
        <w:rPr>
          <w:i/>
          <w:szCs w:val="26"/>
        </w:rPr>
        <w:t>Claremont</w:t>
      </w:r>
      <w:r w:rsidRPr="002F632A">
        <w:rPr>
          <w:szCs w:val="26"/>
        </w:rPr>
        <w:t xml:space="preserve">, at p. 638, quoting </w:t>
      </w:r>
      <w:r w:rsidRPr="002F632A">
        <w:rPr>
          <w:i/>
          <w:szCs w:val="26"/>
        </w:rPr>
        <w:t>Building Material</w:t>
      </w:r>
      <w:r w:rsidRPr="002F632A">
        <w:rPr>
          <w:szCs w:val="26"/>
        </w:rPr>
        <w:t>,</w:t>
      </w:r>
      <w:r w:rsidRPr="002F632A">
        <w:rPr>
          <w:i/>
          <w:szCs w:val="26"/>
        </w:rPr>
        <w:t xml:space="preserve"> supra</w:t>
      </w:r>
      <w:r w:rsidRPr="002F632A">
        <w:rPr>
          <w:szCs w:val="26"/>
        </w:rPr>
        <w:t xml:space="preserve">, </w:t>
      </w:r>
      <w:r w:rsidRPr="002F632A">
        <w:rPr>
          <w:szCs w:val="26"/>
        </w:rPr>
        <w:t>41 Cal.3d at p.</w:t>
      </w:r>
      <w:r w:rsidRPr="002F632A">
        <w:rPr>
          <w:szCs w:val="26"/>
        </w:rPr>
        <w:t> </w:t>
      </w:r>
      <w:r w:rsidRPr="002F632A">
        <w:rPr>
          <w:szCs w:val="26"/>
        </w:rPr>
        <w:t>660</w:t>
      </w:r>
      <w:r w:rsidRPr="002F632A">
        <w:rPr>
          <w:szCs w:val="26"/>
        </w:rPr>
        <w:t xml:space="preserve">.)  </w:t>
      </w:r>
      <w:r>
        <w:rPr>
          <w:szCs w:val="26"/>
        </w:rPr>
        <w:t>A</w:t>
      </w:r>
      <w:r w:rsidRPr="002F632A">
        <w:rPr>
          <w:szCs w:val="26"/>
        </w:rPr>
        <w:t xml:space="preserve">s already noted, </w:t>
      </w:r>
      <w:r w:rsidRPr="002F632A">
        <w:rPr>
          <w:szCs w:val="26"/>
        </w:rPr>
        <w:t>the court in</w:t>
      </w:r>
      <w:r w:rsidRPr="002F632A">
        <w:rPr>
          <w:szCs w:val="26"/>
        </w:rPr>
        <w:t xml:space="preserve"> </w:t>
      </w:r>
      <w:r w:rsidRPr="002F632A">
        <w:rPr>
          <w:i/>
          <w:szCs w:val="26"/>
        </w:rPr>
        <w:t>Building Mater</w:t>
      </w:r>
      <w:r w:rsidRPr="002F632A">
        <w:rPr>
          <w:i/>
          <w:szCs w:val="26"/>
        </w:rPr>
        <w:t>i</w:t>
      </w:r>
      <w:r w:rsidRPr="002F632A">
        <w:rPr>
          <w:i/>
          <w:szCs w:val="26"/>
        </w:rPr>
        <w:t>al</w:t>
      </w:r>
      <w:r w:rsidRPr="002F632A">
        <w:rPr>
          <w:szCs w:val="26"/>
        </w:rPr>
        <w:t xml:space="preserve"> </w:t>
      </w:r>
      <w:r w:rsidRPr="002F632A">
        <w:rPr>
          <w:szCs w:val="26"/>
        </w:rPr>
        <w:t xml:space="preserve">had </w:t>
      </w:r>
      <w:r w:rsidRPr="002F632A">
        <w:rPr>
          <w:szCs w:val="26"/>
        </w:rPr>
        <w:t xml:space="preserve">distinguished the </w:t>
      </w:r>
      <w:r w:rsidRPr="002F632A">
        <w:rPr>
          <w:szCs w:val="26"/>
        </w:rPr>
        <w:t>managerial decision</w:t>
      </w:r>
      <w:r w:rsidRPr="002F632A">
        <w:rPr>
          <w:szCs w:val="26"/>
        </w:rPr>
        <w:t xml:space="preserve"> in </w:t>
      </w:r>
      <w:r w:rsidRPr="002F632A">
        <w:rPr>
          <w:i/>
          <w:szCs w:val="26"/>
        </w:rPr>
        <w:t>San Jose</w:t>
      </w:r>
      <w:r w:rsidRPr="002F632A">
        <w:rPr>
          <w:szCs w:val="26"/>
        </w:rPr>
        <w:t xml:space="preserve"> from </w:t>
      </w:r>
      <w:r w:rsidRPr="002F632A">
        <w:rPr>
          <w:szCs w:val="26"/>
        </w:rPr>
        <w:t xml:space="preserve">that in </w:t>
      </w:r>
      <w:r w:rsidRPr="002F632A">
        <w:rPr>
          <w:szCs w:val="26"/>
        </w:rPr>
        <w:t xml:space="preserve">the case before it, noting that </w:t>
      </w:r>
      <w:r w:rsidRPr="002F632A">
        <w:rPr>
          <w:szCs w:val="26"/>
        </w:rPr>
        <w:t>decisions involving “</w:t>
      </w:r>
      <w:r w:rsidRPr="002F632A">
        <w:rPr>
          <w:szCs w:val="26"/>
        </w:rPr>
        <w:t xml:space="preserve">the avoidance of unnecessary deadly force </w:t>
      </w:r>
      <w:r w:rsidRPr="002F632A">
        <w:rPr>
          <w:szCs w:val="26"/>
        </w:rPr>
        <w:t>are</w:t>
      </w:r>
      <w:r w:rsidRPr="002F632A">
        <w:rPr>
          <w:szCs w:val="26"/>
        </w:rPr>
        <w:t xml:space="preserve"> of obvious im</w:t>
      </w:r>
      <w:r w:rsidRPr="002F632A">
        <w:rPr>
          <w:szCs w:val="26"/>
        </w:rPr>
        <w:t>portance, and directly affect</w:t>
      </w:r>
      <w:r w:rsidRPr="002F632A">
        <w:rPr>
          <w:szCs w:val="26"/>
        </w:rPr>
        <w:t xml:space="preserve"> the quality and nature of public services.  </w:t>
      </w:r>
      <w:r w:rsidRPr="002F632A">
        <w:rPr>
          <w:i/>
          <w:szCs w:val="26"/>
        </w:rPr>
        <w:t>Th</w:t>
      </w:r>
      <w:r w:rsidRPr="002F632A">
        <w:rPr>
          <w:i/>
          <w:szCs w:val="26"/>
        </w:rPr>
        <w:t xml:space="preserve">e </w:t>
      </w:r>
      <w:r w:rsidRPr="002F632A">
        <w:rPr>
          <w:i/>
          <w:szCs w:val="26"/>
        </w:rPr>
        <w:t xml:space="preserve">burden of requiring an employer to confer about </w:t>
      </w:r>
      <w:r w:rsidRPr="002F632A">
        <w:rPr>
          <w:i/>
          <w:szCs w:val="26"/>
        </w:rPr>
        <w:t>such</w:t>
      </w:r>
      <w:r w:rsidRPr="002F632A">
        <w:rPr>
          <w:i/>
          <w:szCs w:val="26"/>
        </w:rPr>
        <w:t xml:space="preserve"> fundamen</w:t>
      </w:r>
      <w:r w:rsidRPr="002F632A">
        <w:rPr>
          <w:i/>
          <w:szCs w:val="26"/>
        </w:rPr>
        <w:t>tal decisions</w:t>
      </w:r>
      <w:r w:rsidRPr="002F632A">
        <w:rPr>
          <w:i/>
          <w:szCs w:val="26"/>
        </w:rPr>
        <w:t xml:space="preserve"> </w:t>
      </w:r>
      <w:r w:rsidRPr="002F632A">
        <w:rPr>
          <w:i/>
          <w:szCs w:val="26"/>
        </w:rPr>
        <w:t>clearly outweighs the benefits to employer-employee relations that bargaining would provide</w:t>
      </w:r>
      <w:r w:rsidRPr="002F632A">
        <w:rPr>
          <w:i/>
          <w:szCs w:val="26"/>
        </w:rPr>
        <w:t>.</w:t>
      </w:r>
      <w:r w:rsidRPr="002F632A">
        <w:rPr>
          <w:szCs w:val="26"/>
        </w:rPr>
        <w:t>”  (</w:t>
      </w:r>
      <w:r w:rsidRPr="002F632A">
        <w:rPr>
          <w:i/>
          <w:szCs w:val="26"/>
        </w:rPr>
        <w:t>Building Material</w:t>
      </w:r>
      <w:r w:rsidRPr="002F632A">
        <w:rPr>
          <w:szCs w:val="26"/>
        </w:rPr>
        <w:t>,</w:t>
      </w:r>
      <w:r w:rsidRPr="002F632A">
        <w:rPr>
          <w:szCs w:val="26"/>
        </w:rPr>
        <w:t xml:space="preserve"> at p.</w:t>
      </w:r>
      <w:r w:rsidRPr="002F632A">
        <w:rPr>
          <w:szCs w:val="26"/>
        </w:rPr>
        <w:t> </w:t>
      </w:r>
      <w:r w:rsidRPr="002F632A">
        <w:rPr>
          <w:szCs w:val="26"/>
        </w:rPr>
        <w:t>664</w:t>
      </w:r>
      <w:r w:rsidRPr="002F632A">
        <w:rPr>
          <w:szCs w:val="26"/>
        </w:rPr>
        <w:t>, italics added</w:t>
      </w:r>
      <w:r w:rsidRPr="002F632A">
        <w:rPr>
          <w:szCs w:val="26"/>
        </w:rPr>
        <w:t xml:space="preserve">; see also </w:t>
      </w:r>
      <w:r w:rsidRPr="002F632A">
        <w:rPr>
          <w:i/>
          <w:szCs w:val="26"/>
        </w:rPr>
        <w:t>Claremont</w:t>
      </w:r>
      <w:r w:rsidRPr="002F632A">
        <w:rPr>
          <w:szCs w:val="26"/>
        </w:rPr>
        <w:t>, at p. 632</w:t>
      </w:r>
      <w:r w:rsidRPr="002F632A">
        <w:rPr>
          <w:szCs w:val="26"/>
        </w:rPr>
        <w:t xml:space="preserve">.)  </w:t>
      </w:r>
      <w:r w:rsidRPr="002F632A">
        <w:rPr>
          <w:szCs w:val="26"/>
        </w:rPr>
        <w:t xml:space="preserve">Thus, our Supreme Court has strongly suggested that a use of force policy is </w:t>
      </w:r>
      <w:r w:rsidRPr="002F632A">
        <w:rPr>
          <w:i/>
          <w:szCs w:val="26"/>
        </w:rPr>
        <w:t>not</w:t>
      </w:r>
      <w:r w:rsidRPr="002F632A">
        <w:rPr>
          <w:szCs w:val="26"/>
        </w:rPr>
        <w:t xml:space="preserve"> </w:t>
      </w:r>
      <w:r w:rsidRPr="002F632A">
        <w:rPr>
          <w:szCs w:val="26"/>
        </w:rPr>
        <w:t>subject to negotiation regarding its implementation.</w:t>
      </w:r>
      <w:r w:rsidRPr="002F632A">
        <w:rPr>
          <w:szCs w:val="26"/>
        </w:rPr>
        <w:t xml:space="preserve"> </w:t>
      </w:r>
      <w:r w:rsidRPr="002F632A">
        <w:rPr>
          <w:szCs w:val="26"/>
        </w:rPr>
        <w:t xml:space="preserve"> </w:t>
      </w:r>
    </w:p>
    <w:p w:rsidR="005C05D4" w:rsidRPr="002F632A" w:rsidRDefault="00865C66" w:rsidP="00BF39BE">
      <w:pPr>
        <w:spacing w:line="360" w:lineRule="auto"/>
        <w:rPr>
          <w:szCs w:val="26"/>
        </w:rPr>
      </w:pPr>
      <w:r w:rsidRPr="002F632A">
        <w:rPr>
          <w:szCs w:val="26"/>
        </w:rPr>
        <w:tab/>
      </w:r>
      <w:r w:rsidRPr="002F632A">
        <w:rPr>
          <w:szCs w:val="26"/>
        </w:rPr>
        <w:t>Moreover</w:t>
      </w:r>
      <w:r w:rsidRPr="002F632A">
        <w:rPr>
          <w:szCs w:val="26"/>
        </w:rPr>
        <w:t xml:space="preserve">, </w:t>
      </w:r>
      <w:r w:rsidRPr="002F632A">
        <w:rPr>
          <w:szCs w:val="26"/>
        </w:rPr>
        <w:t>compelling</w:t>
      </w:r>
      <w:r w:rsidRPr="002F632A">
        <w:rPr>
          <w:szCs w:val="26"/>
        </w:rPr>
        <w:t xml:space="preserve"> the City to arbitrate issues surrounding the new use of force policy before it can be implemented </w:t>
      </w:r>
      <w:r w:rsidRPr="002F632A">
        <w:rPr>
          <w:szCs w:val="26"/>
        </w:rPr>
        <w:t xml:space="preserve">would defeat the purpose of requiring cities to make fundamental managerial or policy decisions </w:t>
      </w:r>
      <w:r w:rsidRPr="002F632A">
        <w:rPr>
          <w:szCs w:val="26"/>
        </w:rPr>
        <w:t>independently</w:t>
      </w:r>
      <w:r w:rsidRPr="002F632A">
        <w:rPr>
          <w:szCs w:val="26"/>
        </w:rPr>
        <w:t xml:space="preserve">.  (See </w:t>
      </w:r>
      <w:r w:rsidRPr="002F632A">
        <w:rPr>
          <w:i/>
          <w:szCs w:val="26"/>
        </w:rPr>
        <w:t>San Jose</w:t>
      </w:r>
      <w:r w:rsidRPr="002F632A">
        <w:rPr>
          <w:szCs w:val="26"/>
        </w:rPr>
        <w:t xml:space="preserve">, </w:t>
      </w:r>
      <w:r w:rsidRPr="002F632A">
        <w:rPr>
          <w:i/>
          <w:szCs w:val="26"/>
        </w:rPr>
        <w:t>supra</w:t>
      </w:r>
      <w:r w:rsidRPr="002F632A">
        <w:rPr>
          <w:szCs w:val="26"/>
        </w:rPr>
        <w:t xml:space="preserve">, 78 Cal.App.3d at pp. 946-947.) </w:t>
      </w:r>
      <w:r w:rsidRPr="002F632A">
        <w:rPr>
          <w:szCs w:val="26"/>
        </w:rPr>
        <w:t xml:space="preserve"> </w:t>
      </w:r>
      <w:r w:rsidRPr="002F632A">
        <w:rPr>
          <w:szCs w:val="26"/>
        </w:rPr>
        <w:t>That is because it</w:t>
      </w:r>
      <w:r w:rsidRPr="002F632A">
        <w:rPr>
          <w:szCs w:val="26"/>
        </w:rPr>
        <w:t xml:space="preserve"> would essentially allow the Association to hold the policy in abeyance </w:t>
      </w:r>
      <w:r w:rsidRPr="002F632A">
        <w:rPr>
          <w:szCs w:val="26"/>
        </w:rPr>
        <w:t xml:space="preserve">indefinitely by claiming the City acted in bad faith when it ended its voluntary negotiations without </w:t>
      </w:r>
      <w:r w:rsidRPr="002F632A">
        <w:rPr>
          <w:szCs w:val="26"/>
        </w:rPr>
        <w:t>conferring</w:t>
      </w:r>
      <w:r w:rsidRPr="002F632A">
        <w:rPr>
          <w:szCs w:val="26"/>
        </w:rPr>
        <w:t xml:space="preserve"> </w:t>
      </w:r>
      <w:r w:rsidRPr="002F632A">
        <w:rPr>
          <w:szCs w:val="26"/>
        </w:rPr>
        <w:t xml:space="preserve">over </w:t>
      </w:r>
      <w:r w:rsidRPr="002F632A">
        <w:rPr>
          <w:szCs w:val="26"/>
        </w:rPr>
        <w:t xml:space="preserve">certain </w:t>
      </w:r>
      <w:r w:rsidRPr="002F632A">
        <w:rPr>
          <w:szCs w:val="26"/>
        </w:rPr>
        <w:t>unstated</w:t>
      </w:r>
      <w:r w:rsidRPr="002F632A">
        <w:rPr>
          <w:szCs w:val="26"/>
        </w:rPr>
        <w:t xml:space="preserve"> impacts the policy might have on police officers.  </w:t>
      </w:r>
    </w:p>
    <w:p w:rsidR="004A33B2" w:rsidRPr="002F632A" w:rsidRDefault="00865C66" w:rsidP="00BF39BE">
      <w:pPr>
        <w:spacing w:line="360" w:lineRule="auto"/>
        <w:rPr>
          <w:szCs w:val="26"/>
        </w:rPr>
      </w:pPr>
      <w:r w:rsidRPr="002F632A">
        <w:rPr>
          <w:szCs w:val="26"/>
        </w:rPr>
        <w:lastRenderedPageBreak/>
        <w:tab/>
      </w:r>
      <w:r w:rsidRPr="002F632A">
        <w:rPr>
          <w:szCs w:val="26"/>
        </w:rPr>
        <w:t>Third</w:t>
      </w:r>
      <w:r w:rsidRPr="002F632A">
        <w:rPr>
          <w:szCs w:val="26"/>
        </w:rPr>
        <w:t xml:space="preserve">, </w:t>
      </w:r>
      <w:r w:rsidRPr="002F632A">
        <w:rPr>
          <w:szCs w:val="26"/>
        </w:rPr>
        <w:t xml:space="preserve">even </w:t>
      </w:r>
      <w:r w:rsidRPr="002F632A">
        <w:rPr>
          <w:szCs w:val="26"/>
        </w:rPr>
        <w:t xml:space="preserve">assuming the City had </w:t>
      </w:r>
      <w:r w:rsidRPr="002F632A">
        <w:rPr>
          <w:szCs w:val="26"/>
        </w:rPr>
        <w:t>some</w:t>
      </w:r>
      <w:r w:rsidRPr="002F632A">
        <w:rPr>
          <w:szCs w:val="26"/>
        </w:rPr>
        <w:t xml:space="preserve"> duty to negotiate with the Association regarding the impact of the new use of force policy on police officers’ conditions of employment</w:t>
      </w:r>
      <w:r w:rsidRPr="002F632A">
        <w:rPr>
          <w:szCs w:val="26"/>
        </w:rPr>
        <w:t xml:space="preserve"> before implementing the policy</w:t>
      </w:r>
      <w:r w:rsidRPr="002F632A">
        <w:rPr>
          <w:szCs w:val="26"/>
        </w:rPr>
        <w:t>,</w:t>
      </w:r>
      <w:r>
        <w:rPr>
          <w:rStyle w:val="FootnoteReference"/>
          <w:szCs w:val="26"/>
        </w:rPr>
        <w:footnoteReference w:id="4"/>
      </w:r>
      <w:r w:rsidRPr="002F632A">
        <w:rPr>
          <w:szCs w:val="26"/>
        </w:rPr>
        <w:t xml:space="preserve"> </w:t>
      </w:r>
      <w:r w:rsidRPr="002F632A">
        <w:rPr>
          <w:szCs w:val="26"/>
        </w:rPr>
        <w:t>the only such impacts raised by the Association during the entire meet and confer proc</w:t>
      </w:r>
      <w:r w:rsidRPr="002F632A">
        <w:rPr>
          <w:szCs w:val="26"/>
        </w:rPr>
        <w:t xml:space="preserve">ess were related to training and discipline.  These training and discipline issues were </w:t>
      </w:r>
      <w:r w:rsidRPr="002F632A">
        <w:rPr>
          <w:szCs w:val="26"/>
        </w:rPr>
        <w:t xml:space="preserve">in fact </w:t>
      </w:r>
      <w:r w:rsidRPr="002F632A">
        <w:rPr>
          <w:szCs w:val="26"/>
        </w:rPr>
        <w:t xml:space="preserve">negotiated and ultimately </w:t>
      </w:r>
      <w:r w:rsidRPr="002F632A">
        <w:rPr>
          <w:szCs w:val="26"/>
        </w:rPr>
        <w:t>resolved in a December 7, 2016 side agreement between the City and the Association.</w:t>
      </w:r>
      <w:r>
        <w:rPr>
          <w:rStyle w:val="FootnoteReference"/>
          <w:szCs w:val="26"/>
        </w:rPr>
        <w:footnoteReference w:id="5"/>
      </w:r>
      <w:r w:rsidRPr="002F632A">
        <w:rPr>
          <w:szCs w:val="26"/>
        </w:rPr>
        <w:t xml:space="preserve"> </w:t>
      </w:r>
      <w:r w:rsidRPr="002F632A">
        <w:rPr>
          <w:szCs w:val="26"/>
        </w:rPr>
        <w:t xml:space="preserve"> </w:t>
      </w:r>
      <w:r w:rsidRPr="002F632A">
        <w:rPr>
          <w:szCs w:val="26"/>
        </w:rPr>
        <w:t>Hence at</w:t>
      </w:r>
      <w:r w:rsidRPr="002F632A">
        <w:rPr>
          <w:szCs w:val="26"/>
        </w:rPr>
        <w:t xml:space="preserve"> the time the Association filed its</w:t>
      </w:r>
      <w:r w:rsidRPr="002F632A">
        <w:rPr>
          <w:szCs w:val="26"/>
        </w:rPr>
        <w:t xml:space="preserve"> Dece</w:t>
      </w:r>
      <w:r w:rsidRPr="002F632A">
        <w:rPr>
          <w:szCs w:val="26"/>
        </w:rPr>
        <w:t>mber 28</w:t>
      </w:r>
      <w:r w:rsidRPr="002F632A">
        <w:rPr>
          <w:szCs w:val="26"/>
        </w:rPr>
        <w:t xml:space="preserve"> </w:t>
      </w:r>
      <w:r w:rsidRPr="002F632A">
        <w:rPr>
          <w:szCs w:val="26"/>
        </w:rPr>
        <w:t xml:space="preserve">amended </w:t>
      </w:r>
      <w:r w:rsidRPr="002F632A">
        <w:rPr>
          <w:szCs w:val="26"/>
        </w:rPr>
        <w:t>grievance</w:t>
      </w:r>
      <w:r w:rsidRPr="002F632A">
        <w:rPr>
          <w:szCs w:val="26"/>
        </w:rPr>
        <w:t xml:space="preserve"> and its subsequent petition to compel arbitration</w:t>
      </w:r>
      <w:r w:rsidRPr="002F632A">
        <w:rPr>
          <w:szCs w:val="26"/>
        </w:rPr>
        <w:t>,</w:t>
      </w:r>
      <w:r w:rsidRPr="002F632A">
        <w:rPr>
          <w:szCs w:val="26"/>
        </w:rPr>
        <w:t xml:space="preserve"> there were no outstanding</w:t>
      </w:r>
      <w:r w:rsidRPr="002F632A">
        <w:rPr>
          <w:szCs w:val="26"/>
        </w:rPr>
        <w:t xml:space="preserve"> pre-implementation</w:t>
      </w:r>
      <w:r w:rsidRPr="002F632A">
        <w:rPr>
          <w:szCs w:val="26"/>
        </w:rPr>
        <w:t xml:space="preserve"> issues related to the effects of the use of force policy </w:t>
      </w:r>
      <w:r w:rsidRPr="002F632A">
        <w:rPr>
          <w:szCs w:val="26"/>
        </w:rPr>
        <w:t xml:space="preserve">on working conditions </w:t>
      </w:r>
      <w:r w:rsidRPr="002F632A">
        <w:rPr>
          <w:szCs w:val="26"/>
        </w:rPr>
        <w:t>regarding which the City had refused to meet and confer</w:t>
      </w:r>
      <w:r w:rsidRPr="002F632A">
        <w:rPr>
          <w:szCs w:val="26"/>
        </w:rPr>
        <w:t xml:space="preserve">.  </w:t>
      </w:r>
      <w:r w:rsidRPr="002F632A">
        <w:rPr>
          <w:szCs w:val="26"/>
        </w:rPr>
        <w:t xml:space="preserve">The Association may not now </w:t>
      </w:r>
      <w:r w:rsidRPr="002F632A">
        <w:rPr>
          <w:szCs w:val="26"/>
        </w:rPr>
        <w:t>claim</w:t>
      </w:r>
      <w:r w:rsidRPr="002F632A">
        <w:rPr>
          <w:szCs w:val="26"/>
        </w:rPr>
        <w:t xml:space="preserve"> that there </w:t>
      </w:r>
      <w:r w:rsidRPr="002F632A">
        <w:rPr>
          <w:szCs w:val="26"/>
        </w:rPr>
        <w:t>were</w:t>
      </w:r>
      <w:r w:rsidRPr="002F632A">
        <w:rPr>
          <w:szCs w:val="26"/>
        </w:rPr>
        <w:t xml:space="preserve"> additional unspecified </w:t>
      </w:r>
      <w:r w:rsidRPr="002F632A">
        <w:rPr>
          <w:szCs w:val="26"/>
        </w:rPr>
        <w:t xml:space="preserve">anticipated </w:t>
      </w:r>
      <w:r w:rsidRPr="002F632A">
        <w:rPr>
          <w:szCs w:val="26"/>
        </w:rPr>
        <w:t xml:space="preserve">effects of the policy that </w:t>
      </w:r>
      <w:r w:rsidRPr="002F632A">
        <w:rPr>
          <w:szCs w:val="26"/>
        </w:rPr>
        <w:t>required negotiation and that were subject to</w:t>
      </w:r>
      <w:r w:rsidRPr="002F632A">
        <w:rPr>
          <w:szCs w:val="26"/>
        </w:rPr>
        <w:t xml:space="preserve"> the grievance and</w:t>
      </w:r>
      <w:r w:rsidRPr="002F632A">
        <w:rPr>
          <w:szCs w:val="26"/>
        </w:rPr>
        <w:t xml:space="preserve"> arbitration</w:t>
      </w:r>
      <w:r w:rsidRPr="002F632A">
        <w:rPr>
          <w:szCs w:val="26"/>
        </w:rPr>
        <w:t xml:space="preserve"> process</w:t>
      </w:r>
      <w:r w:rsidRPr="002F632A">
        <w:rPr>
          <w:szCs w:val="26"/>
        </w:rPr>
        <w:t xml:space="preserve"> under the MOU.  </w:t>
      </w:r>
    </w:p>
    <w:p w:rsidR="00E47A8E" w:rsidRPr="002F632A" w:rsidRDefault="00865C66" w:rsidP="00BF39BE">
      <w:pPr>
        <w:spacing w:line="360" w:lineRule="auto"/>
        <w:rPr>
          <w:szCs w:val="26"/>
        </w:rPr>
      </w:pPr>
      <w:r w:rsidRPr="002F632A">
        <w:rPr>
          <w:szCs w:val="26"/>
        </w:rPr>
        <w:tab/>
      </w:r>
      <w:r w:rsidRPr="002F632A">
        <w:rPr>
          <w:szCs w:val="26"/>
        </w:rPr>
        <w:t>In sum</w:t>
      </w:r>
      <w:r w:rsidRPr="002F632A">
        <w:rPr>
          <w:szCs w:val="26"/>
        </w:rPr>
        <w:t>, because the</w:t>
      </w:r>
      <w:r w:rsidRPr="002F632A">
        <w:rPr>
          <w:szCs w:val="26"/>
        </w:rPr>
        <w:t xml:space="preserve"> trial court correctly found that the</w:t>
      </w:r>
      <w:r w:rsidRPr="002F632A">
        <w:rPr>
          <w:szCs w:val="26"/>
        </w:rPr>
        <w:t xml:space="preserve"> Association’s</w:t>
      </w:r>
      <w:r w:rsidRPr="002F632A">
        <w:rPr>
          <w:szCs w:val="26"/>
        </w:rPr>
        <w:t xml:space="preserve"> amended grievance raised </w:t>
      </w:r>
      <w:r w:rsidRPr="002F632A">
        <w:rPr>
          <w:szCs w:val="26"/>
        </w:rPr>
        <w:t xml:space="preserve">no issues </w:t>
      </w:r>
      <w:r w:rsidRPr="002F632A">
        <w:rPr>
          <w:szCs w:val="26"/>
        </w:rPr>
        <w:t xml:space="preserve">that the parties had agreed </w:t>
      </w:r>
      <w:r w:rsidRPr="002F632A">
        <w:rPr>
          <w:szCs w:val="26"/>
        </w:rPr>
        <w:t xml:space="preserve">in their MOU </w:t>
      </w:r>
      <w:r w:rsidRPr="002F632A">
        <w:rPr>
          <w:szCs w:val="26"/>
        </w:rPr>
        <w:t>to submit to arbitration</w:t>
      </w:r>
      <w:r w:rsidRPr="002F632A">
        <w:rPr>
          <w:szCs w:val="26"/>
        </w:rPr>
        <w:t xml:space="preserve">, the trial court correctly denied the Association’s petition to compel arbitration.  </w:t>
      </w:r>
      <w:r w:rsidRPr="002F632A">
        <w:rPr>
          <w:szCs w:val="26"/>
        </w:rPr>
        <w:t xml:space="preserve">(See </w:t>
      </w:r>
      <w:r w:rsidRPr="002F632A">
        <w:rPr>
          <w:i/>
          <w:szCs w:val="26"/>
        </w:rPr>
        <w:t>Victoria</w:t>
      </w:r>
      <w:r w:rsidRPr="002F632A">
        <w:rPr>
          <w:szCs w:val="26"/>
        </w:rPr>
        <w:t xml:space="preserve">, </w:t>
      </w:r>
      <w:r w:rsidRPr="002F632A">
        <w:rPr>
          <w:i/>
          <w:szCs w:val="26"/>
        </w:rPr>
        <w:t>sup</w:t>
      </w:r>
      <w:r w:rsidRPr="002F632A">
        <w:rPr>
          <w:i/>
          <w:szCs w:val="26"/>
        </w:rPr>
        <w:t>ra</w:t>
      </w:r>
      <w:r w:rsidRPr="002F632A">
        <w:rPr>
          <w:szCs w:val="26"/>
        </w:rPr>
        <w:t>, 40 Cal.3d at p. 744</w:t>
      </w:r>
      <w:r w:rsidRPr="002F632A">
        <w:rPr>
          <w:szCs w:val="26"/>
        </w:rPr>
        <w:t>.)</w:t>
      </w:r>
      <w:r w:rsidRPr="002F632A">
        <w:rPr>
          <w:szCs w:val="26"/>
        </w:rPr>
        <w:t xml:space="preserve">  </w:t>
      </w:r>
    </w:p>
    <w:p w:rsidR="005D6E6E" w:rsidRPr="002F632A" w:rsidRDefault="00865C66" w:rsidP="00BF39BE">
      <w:pPr>
        <w:keepNext/>
        <w:spacing w:line="360" w:lineRule="auto"/>
        <w:jc w:val="center"/>
        <w:rPr>
          <w:b/>
          <w:i/>
          <w:szCs w:val="26"/>
        </w:rPr>
      </w:pPr>
      <w:r w:rsidRPr="002F632A">
        <w:rPr>
          <w:b/>
          <w:szCs w:val="26"/>
        </w:rPr>
        <w:lastRenderedPageBreak/>
        <w:t>II.</w:t>
      </w:r>
      <w:r w:rsidRPr="002F632A">
        <w:rPr>
          <w:b/>
          <w:szCs w:val="26"/>
        </w:rPr>
        <w:t xml:space="preserve">  </w:t>
      </w:r>
      <w:r w:rsidRPr="002F632A">
        <w:rPr>
          <w:b/>
          <w:i/>
          <w:szCs w:val="26"/>
        </w:rPr>
        <w:t>Whether the Trial Court Denied the Petition Based on the Merits of the Grievance</w:t>
      </w:r>
    </w:p>
    <w:p w:rsidR="00496D9B" w:rsidRPr="002F632A" w:rsidRDefault="00865C66" w:rsidP="00BF39BE">
      <w:pPr>
        <w:spacing w:line="360" w:lineRule="auto"/>
        <w:rPr>
          <w:szCs w:val="26"/>
        </w:rPr>
      </w:pPr>
      <w:r w:rsidRPr="002F632A">
        <w:rPr>
          <w:szCs w:val="26"/>
        </w:rPr>
        <w:tab/>
      </w:r>
      <w:r w:rsidRPr="002F632A">
        <w:rPr>
          <w:szCs w:val="26"/>
        </w:rPr>
        <w:t>The Association</w:t>
      </w:r>
      <w:r w:rsidRPr="002F632A">
        <w:rPr>
          <w:szCs w:val="26"/>
        </w:rPr>
        <w:t xml:space="preserve"> </w:t>
      </w:r>
      <w:r w:rsidRPr="002F632A">
        <w:rPr>
          <w:szCs w:val="26"/>
        </w:rPr>
        <w:t xml:space="preserve">further </w:t>
      </w:r>
      <w:r w:rsidRPr="002F632A">
        <w:rPr>
          <w:szCs w:val="26"/>
        </w:rPr>
        <w:t xml:space="preserve">contends </w:t>
      </w:r>
      <w:r w:rsidRPr="002F632A">
        <w:rPr>
          <w:szCs w:val="26"/>
        </w:rPr>
        <w:t xml:space="preserve">the court improperly denied the petition </w:t>
      </w:r>
      <w:r w:rsidRPr="002F632A">
        <w:rPr>
          <w:szCs w:val="26"/>
        </w:rPr>
        <w:t xml:space="preserve">to compel arbitration </w:t>
      </w:r>
      <w:r w:rsidRPr="002F632A">
        <w:rPr>
          <w:szCs w:val="26"/>
        </w:rPr>
        <w:t xml:space="preserve">based on the substantive merit of the underlying grievance.  </w:t>
      </w:r>
    </w:p>
    <w:p w:rsidR="00496D9B" w:rsidRPr="002F632A" w:rsidRDefault="00865C66" w:rsidP="00BF39BE">
      <w:pPr>
        <w:spacing w:line="360" w:lineRule="auto"/>
        <w:ind w:firstLine="720"/>
        <w:rPr>
          <w:szCs w:val="26"/>
        </w:rPr>
      </w:pPr>
      <w:r w:rsidRPr="002F632A">
        <w:rPr>
          <w:szCs w:val="26"/>
        </w:rPr>
        <w:t>“Section 1281.2 expressly forbids the court from reaching the merits of the part</w:t>
      </w:r>
      <w:r w:rsidRPr="002F632A">
        <w:rPr>
          <w:szCs w:val="26"/>
        </w:rPr>
        <w:t>ies’</w:t>
      </w:r>
      <w:r w:rsidRPr="002F632A">
        <w:rPr>
          <w:szCs w:val="26"/>
        </w:rPr>
        <w:t xml:space="preserve"> dispute, instructing that ‘[i]f the court determines that a written agreement to arbitrate a controversy exis</w:t>
      </w:r>
      <w:r w:rsidRPr="002F632A">
        <w:rPr>
          <w:szCs w:val="26"/>
        </w:rPr>
        <w:t>ts, an order to arbitrate such controversy may not be refused on</w:t>
      </w:r>
      <w:r w:rsidRPr="002F632A">
        <w:rPr>
          <w:szCs w:val="26"/>
        </w:rPr>
        <w:t xml:space="preserve"> the ground that the petitioner’</w:t>
      </w:r>
      <w:r w:rsidRPr="002F632A">
        <w:rPr>
          <w:szCs w:val="26"/>
        </w:rPr>
        <w:t>s contentions lack substantive merit.’  [Citation.]”  (</w:t>
      </w:r>
      <w:r w:rsidRPr="002F632A">
        <w:rPr>
          <w:i/>
          <w:szCs w:val="26"/>
        </w:rPr>
        <w:t>California Correctional Peace Officers</w:t>
      </w:r>
      <w:r w:rsidRPr="002F632A">
        <w:rPr>
          <w:szCs w:val="26"/>
        </w:rPr>
        <w:t xml:space="preserve">, </w:t>
      </w:r>
      <w:r w:rsidRPr="002F632A">
        <w:rPr>
          <w:i/>
          <w:szCs w:val="26"/>
        </w:rPr>
        <w:t>supra</w:t>
      </w:r>
      <w:r w:rsidRPr="002F632A">
        <w:rPr>
          <w:szCs w:val="26"/>
        </w:rPr>
        <w:t xml:space="preserve">, </w:t>
      </w:r>
      <w:r w:rsidRPr="002F632A">
        <w:rPr>
          <w:szCs w:val="26"/>
        </w:rPr>
        <w:t xml:space="preserve">142 Cal.App.4th at p. </w:t>
      </w:r>
      <w:r w:rsidRPr="002F632A">
        <w:rPr>
          <w:szCs w:val="26"/>
        </w:rPr>
        <w:t xml:space="preserve">205.)  </w:t>
      </w:r>
    </w:p>
    <w:p w:rsidR="001511DB" w:rsidRPr="002F632A" w:rsidRDefault="00865C66" w:rsidP="00BF39BE">
      <w:pPr>
        <w:spacing w:line="360" w:lineRule="auto"/>
        <w:rPr>
          <w:szCs w:val="26"/>
        </w:rPr>
      </w:pPr>
      <w:r w:rsidRPr="002F632A">
        <w:rPr>
          <w:szCs w:val="26"/>
        </w:rPr>
        <w:tab/>
        <w:t>Here, according to the Asso</w:t>
      </w:r>
      <w:r w:rsidRPr="002F632A">
        <w:rPr>
          <w:szCs w:val="26"/>
        </w:rPr>
        <w:t xml:space="preserve">ciation, the court </w:t>
      </w:r>
      <w:r w:rsidRPr="002F632A">
        <w:rPr>
          <w:szCs w:val="26"/>
        </w:rPr>
        <w:t xml:space="preserve">relied on </w:t>
      </w:r>
      <w:r w:rsidRPr="002F632A">
        <w:rPr>
          <w:i/>
          <w:szCs w:val="26"/>
        </w:rPr>
        <w:t>San Jose</w:t>
      </w:r>
      <w:r w:rsidRPr="002F632A">
        <w:rPr>
          <w:szCs w:val="26"/>
        </w:rPr>
        <w:t xml:space="preserve"> and </w:t>
      </w:r>
      <w:r w:rsidRPr="002F632A">
        <w:rPr>
          <w:i/>
          <w:szCs w:val="26"/>
        </w:rPr>
        <w:t>Building Materials</w:t>
      </w:r>
      <w:r w:rsidRPr="002F632A">
        <w:rPr>
          <w:szCs w:val="26"/>
        </w:rPr>
        <w:t xml:space="preserve"> to determine the underlying issue of</w:t>
      </w:r>
      <w:r w:rsidRPr="002F632A">
        <w:rPr>
          <w:szCs w:val="26"/>
        </w:rPr>
        <w:t xml:space="preserve"> whether the City was obligated to meet and confer with the Association, which was the threshold question </w:t>
      </w:r>
      <w:r w:rsidRPr="002F632A">
        <w:rPr>
          <w:szCs w:val="26"/>
        </w:rPr>
        <w:t>for the arbitrator</w:t>
      </w:r>
      <w:r w:rsidRPr="002F632A">
        <w:rPr>
          <w:szCs w:val="26"/>
        </w:rPr>
        <w:t xml:space="preserve"> to decide.  We disagree.  </w:t>
      </w:r>
    </w:p>
    <w:p w:rsidR="00496D9B" w:rsidRPr="002F632A" w:rsidRDefault="00865C66" w:rsidP="00BF39BE">
      <w:pPr>
        <w:spacing w:line="360" w:lineRule="auto"/>
        <w:rPr>
          <w:szCs w:val="26"/>
        </w:rPr>
      </w:pPr>
      <w:r w:rsidRPr="002F632A">
        <w:rPr>
          <w:szCs w:val="26"/>
        </w:rPr>
        <w:tab/>
        <w:t>The co</w:t>
      </w:r>
      <w:r w:rsidRPr="002F632A">
        <w:rPr>
          <w:szCs w:val="26"/>
        </w:rPr>
        <w:t xml:space="preserve">urt </w:t>
      </w:r>
      <w:r w:rsidRPr="002F632A">
        <w:rPr>
          <w:szCs w:val="26"/>
        </w:rPr>
        <w:t>did not deny the petition</w:t>
      </w:r>
      <w:r w:rsidRPr="002F632A">
        <w:rPr>
          <w:szCs w:val="26"/>
        </w:rPr>
        <w:t xml:space="preserve"> based on its view of</w:t>
      </w:r>
      <w:r w:rsidRPr="002F632A">
        <w:rPr>
          <w:szCs w:val="26"/>
        </w:rPr>
        <w:t xml:space="preserve"> the merits of the underlying grievance.  Rather, it </w:t>
      </w:r>
      <w:r w:rsidRPr="002F632A">
        <w:rPr>
          <w:szCs w:val="26"/>
        </w:rPr>
        <w:t xml:space="preserve">had to address whether the issues raised were subject to </w:t>
      </w:r>
      <w:r w:rsidRPr="002F632A">
        <w:rPr>
          <w:szCs w:val="26"/>
        </w:rPr>
        <w:t>the exception</w:t>
      </w:r>
      <w:r w:rsidRPr="002F632A">
        <w:rPr>
          <w:szCs w:val="26"/>
        </w:rPr>
        <w:t>s</w:t>
      </w:r>
      <w:r w:rsidRPr="002F632A">
        <w:rPr>
          <w:szCs w:val="26"/>
        </w:rPr>
        <w:t xml:space="preserve"> to </w:t>
      </w:r>
      <w:r w:rsidRPr="002F632A">
        <w:rPr>
          <w:szCs w:val="26"/>
        </w:rPr>
        <w:t xml:space="preserve">arbitration </w:t>
      </w:r>
      <w:r w:rsidRPr="002F632A">
        <w:rPr>
          <w:szCs w:val="26"/>
        </w:rPr>
        <w:t>set forth in</w:t>
      </w:r>
      <w:r w:rsidRPr="002F632A">
        <w:rPr>
          <w:szCs w:val="26"/>
        </w:rPr>
        <w:t xml:space="preserve"> </w:t>
      </w:r>
      <w:r w:rsidRPr="002F632A">
        <w:rPr>
          <w:szCs w:val="26"/>
        </w:rPr>
        <w:t xml:space="preserve">paragraph 16 of </w:t>
      </w:r>
      <w:r w:rsidRPr="002F632A">
        <w:rPr>
          <w:szCs w:val="26"/>
        </w:rPr>
        <w:t>a</w:t>
      </w:r>
      <w:r w:rsidRPr="002F632A">
        <w:rPr>
          <w:szCs w:val="26"/>
        </w:rPr>
        <w:t xml:space="preserve">rticle I, </w:t>
      </w:r>
      <w:r w:rsidRPr="002F632A">
        <w:rPr>
          <w:szCs w:val="26"/>
        </w:rPr>
        <w:t xml:space="preserve">section </w:t>
      </w:r>
      <w:r w:rsidRPr="002F632A">
        <w:rPr>
          <w:szCs w:val="26"/>
        </w:rPr>
        <w:t>5</w:t>
      </w:r>
      <w:r w:rsidRPr="002F632A">
        <w:rPr>
          <w:szCs w:val="26"/>
        </w:rPr>
        <w:t xml:space="preserve"> of the MOU</w:t>
      </w:r>
      <w:r w:rsidRPr="002F632A">
        <w:rPr>
          <w:szCs w:val="26"/>
        </w:rPr>
        <w:t xml:space="preserve">, </w:t>
      </w:r>
      <w:r w:rsidRPr="002F632A">
        <w:rPr>
          <w:szCs w:val="26"/>
        </w:rPr>
        <w:t>specifically that</w:t>
      </w:r>
      <w:r w:rsidRPr="002F632A">
        <w:rPr>
          <w:szCs w:val="26"/>
        </w:rPr>
        <w:t xml:space="preserve"> </w:t>
      </w:r>
      <w:r w:rsidRPr="002F632A">
        <w:rPr>
          <w:szCs w:val="26"/>
        </w:rPr>
        <w:t>“</w:t>
      </w:r>
      <w:r w:rsidRPr="002F632A">
        <w:rPr>
          <w:szCs w:val="26"/>
        </w:rPr>
        <w:t>actions taken by the City on a matter it has reasonably determined to be mandated</w:t>
      </w:r>
      <w:r w:rsidRPr="002F632A">
        <w:rPr>
          <w:szCs w:val="26"/>
        </w:rPr>
        <w:t xml:space="preserve"> by</w:t>
      </w:r>
      <w:r w:rsidRPr="002F632A">
        <w:rPr>
          <w:szCs w:val="26"/>
        </w:rPr>
        <w:t xml:space="preserve"> or necessary to ensure compliance with . . . federal, state, or local laws</w:t>
      </w:r>
      <w:r w:rsidRPr="002F632A">
        <w:rPr>
          <w:szCs w:val="26"/>
        </w:rPr>
        <w:t xml:space="preserve"> .</w:t>
      </w:r>
      <w:r w:rsidRPr="002F632A">
        <w:rPr>
          <w:szCs w:val="26"/>
        </w:rPr>
        <w:t> </w:t>
      </w:r>
      <w:r w:rsidRPr="002F632A">
        <w:rPr>
          <w:szCs w:val="26"/>
        </w:rPr>
        <w:t>.</w:t>
      </w:r>
      <w:r w:rsidRPr="002F632A">
        <w:rPr>
          <w:szCs w:val="26"/>
        </w:rPr>
        <w:t> </w:t>
      </w:r>
      <w:r w:rsidRPr="002F632A">
        <w:rPr>
          <w:szCs w:val="26"/>
        </w:rPr>
        <w:t>.” are not grievable</w:t>
      </w:r>
      <w:r w:rsidRPr="002F632A">
        <w:rPr>
          <w:szCs w:val="26"/>
        </w:rPr>
        <w:t>, given</w:t>
      </w:r>
      <w:r w:rsidRPr="002F632A">
        <w:rPr>
          <w:szCs w:val="26"/>
        </w:rPr>
        <w:t xml:space="preserve"> </w:t>
      </w:r>
      <w:r w:rsidRPr="002F632A">
        <w:rPr>
          <w:szCs w:val="26"/>
        </w:rPr>
        <w:t>that</w:t>
      </w:r>
      <w:r w:rsidRPr="002F632A">
        <w:rPr>
          <w:szCs w:val="26"/>
        </w:rPr>
        <w:t>,</w:t>
      </w:r>
      <w:r w:rsidRPr="002F632A">
        <w:rPr>
          <w:szCs w:val="26"/>
        </w:rPr>
        <w:t xml:space="preserve"> “[i]n the event </w:t>
      </w:r>
      <w:r w:rsidRPr="002F632A">
        <w:rPr>
          <w:szCs w:val="26"/>
        </w:rPr>
        <w:t>a grievance is filed re</w:t>
      </w:r>
      <w:r w:rsidRPr="002F632A">
        <w:rPr>
          <w:szCs w:val="26"/>
        </w:rPr>
        <w:t>lating to such actions, arbitrability is to be determined by a court of competent jurisdiction.”</w:t>
      </w:r>
      <w:r w:rsidRPr="002F632A">
        <w:rPr>
          <w:szCs w:val="26"/>
        </w:rPr>
        <w:t xml:space="preserve">  (MOU, a</w:t>
      </w:r>
      <w:r w:rsidRPr="002F632A">
        <w:rPr>
          <w:szCs w:val="26"/>
        </w:rPr>
        <w:t xml:space="preserve">rt. I, </w:t>
      </w:r>
      <w:r w:rsidRPr="002F632A">
        <w:rPr>
          <w:rFonts w:eastAsia="Times New Roman"/>
          <w:szCs w:val="26"/>
        </w:rPr>
        <w:t>§</w:t>
      </w:r>
      <w:r w:rsidRPr="002F632A">
        <w:rPr>
          <w:szCs w:val="26"/>
        </w:rPr>
        <w:t> </w:t>
      </w:r>
      <w:r w:rsidRPr="002F632A">
        <w:rPr>
          <w:szCs w:val="26"/>
        </w:rPr>
        <w:t>5, ¶ 16.)</w:t>
      </w:r>
      <w:r w:rsidRPr="002F632A">
        <w:rPr>
          <w:szCs w:val="26"/>
        </w:rPr>
        <w:t xml:space="preserve"> </w:t>
      </w:r>
      <w:r w:rsidRPr="002F632A">
        <w:rPr>
          <w:szCs w:val="26"/>
        </w:rPr>
        <w:t xml:space="preserve"> </w:t>
      </w:r>
      <w:r w:rsidRPr="002F632A">
        <w:rPr>
          <w:szCs w:val="26"/>
        </w:rPr>
        <w:t>The court thus did no more than analyze</w:t>
      </w:r>
      <w:r w:rsidRPr="002F632A">
        <w:rPr>
          <w:szCs w:val="26"/>
        </w:rPr>
        <w:t xml:space="preserve"> whether the City had reasonably determined that its unilateral adoption</w:t>
      </w:r>
      <w:r w:rsidRPr="002F632A">
        <w:rPr>
          <w:szCs w:val="26"/>
        </w:rPr>
        <w:t xml:space="preserve"> of</w:t>
      </w:r>
      <w:r w:rsidRPr="002F632A">
        <w:rPr>
          <w:szCs w:val="26"/>
        </w:rPr>
        <w:t xml:space="preserve"> the revised use of force policy </w:t>
      </w:r>
      <w:r w:rsidRPr="002F632A">
        <w:rPr>
          <w:szCs w:val="26"/>
        </w:rPr>
        <w:t xml:space="preserve">was </w:t>
      </w:r>
      <w:r w:rsidRPr="002F632A">
        <w:rPr>
          <w:szCs w:val="26"/>
        </w:rPr>
        <w:t>mandated by</w:t>
      </w:r>
      <w:r w:rsidRPr="002F632A">
        <w:rPr>
          <w:szCs w:val="26"/>
        </w:rPr>
        <w:t xml:space="preserve"> state law</w:t>
      </w:r>
      <w:r w:rsidRPr="002F632A">
        <w:rPr>
          <w:szCs w:val="26"/>
        </w:rPr>
        <w:t xml:space="preserve">, which </w:t>
      </w:r>
      <w:r w:rsidRPr="002F632A">
        <w:rPr>
          <w:szCs w:val="26"/>
        </w:rPr>
        <w:t>was necessary</w:t>
      </w:r>
      <w:r w:rsidRPr="002F632A">
        <w:rPr>
          <w:szCs w:val="26"/>
        </w:rPr>
        <w:t xml:space="preserve"> to </w:t>
      </w:r>
      <w:r w:rsidRPr="002F632A">
        <w:rPr>
          <w:szCs w:val="26"/>
        </w:rPr>
        <w:t>decide</w:t>
      </w:r>
      <w:r w:rsidRPr="002F632A">
        <w:rPr>
          <w:szCs w:val="26"/>
        </w:rPr>
        <w:t xml:space="preserve"> whether the issues raised in the Association’s amended grievance were arbitrable</w:t>
      </w:r>
      <w:r w:rsidRPr="002F632A">
        <w:rPr>
          <w:szCs w:val="26"/>
        </w:rPr>
        <w:t xml:space="preserve">.  </w:t>
      </w:r>
      <w:r w:rsidRPr="002F632A">
        <w:rPr>
          <w:szCs w:val="26"/>
        </w:rPr>
        <w:t xml:space="preserve">It properly found that they were not.  </w:t>
      </w:r>
      <w:r w:rsidRPr="002F632A">
        <w:rPr>
          <w:szCs w:val="26"/>
        </w:rPr>
        <w:t xml:space="preserve">(See </w:t>
      </w:r>
      <w:r w:rsidRPr="002F632A">
        <w:rPr>
          <w:i/>
          <w:szCs w:val="26"/>
        </w:rPr>
        <w:t>San Jose</w:t>
      </w:r>
      <w:r w:rsidRPr="002F632A">
        <w:rPr>
          <w:szCs w:val="26"/>
        </w:rPr>
        <w:t xml:space="preserve">, </w:t>
      </w:r>
      <w:r w:rsidRPr="002F632A">
        <w:rPr>
          <w:i/>
          <w:szCs w:val="26"/>
        </w:rPr>
        <w:t>supra</w:t>
      </w:r>
      <w:r w:rsidRPr="002F632A">
        <w:rPr>
          <w:szCs w:val="26"/>
        </w:rPr>
        <w:t>, 78 Cal.App.3d at pp. 9</w:t>
      </w:r>
      <w:r w:rsidRPr="002F632A">
        <w:rPr>
          <w:szCs w:val="26"/>
        </w:rPr>
        <w:t xml:space="preserve">46-947; see also </w:t>
      </w:r>
      <w:r w:rsidRPr="002F632A">
        <w:rPr>
          <w:i/>
          <w:szCs w:val="26"/>
        </w:rPr>
        <w:t>Victoria</w:t>
      </w:r>
      <w:r w:rsidRPr="002F632A">
        <w:rPr>
          <w:szCs w:val="26"/>
        </w:rPr>
        <w:t xml:space="preserve">, </w:t>
      </w:r>
      <w:r w:rsidRPr="002F632A">
        <w:rPr>
          <w:i/>
          <w:szCs w:val="26"/>
        </w:rPr>
        <w:t>supra</w:t>
      </w:r>
      <w:r w:rsidRPr="002F632A">
        <w:rPr>
          <w:szCs w:val="26"/>
        </w:rPr>
        <w:t>, 40 Cal.3d at p. 744</w:t>
      </w:r>
      <w:r w:rsidRPr="002F632A">
        <w:rPr>
          <w:szCs w:val="26"/>
        </w:rPr>
        <w:t xml:space="preserve">.)  </w:t>
      </w:r>
    </w:p>
    <w:p w:rsidR="00FA0FDD" w:rsidRPr="002F632A" w:rsidRDefault="00865C66" w:rsidP="00BF39BE">
      <w:pPr>
        <w:keepNext/>
        <w:spacing w:line="360" w:lineRule="auto"/>
        <w:jc w:val="center"/>
        <w:rPr>
          <w:b/>
          <w:szCs w:val="26"/>
        </w:rPr>
      </w:pPr>
      <w:r w:rsidRPr="002F632A">
        <w:rPr>
          <w:b/>
          <w:szCs w:val="26"/>
        </w:rPr>
        <w:t>DISPOSITION</w:t>
      </w:r>
    </w:p>
    <w:p w:rsidR="006D3828" w:rsidRPr="002F632A" w:rsidRDefault="00865C66" w:rsidP="00BF39BE">
      <w:pPr>
        <w:spacing w:line="360" w:lineRule="auto"/>
        <w:rPr>
          <w:szCs w:val="26"/>
        </w:rPr>
      </w:pPr>
      <w:r w:rsidRPr="002F632A">
        <w:rPr>
          <w:szCs w:val="26"/>
        </w:rPr>
        <w:tab/>
      </w:r>
      <w:r w:rsidRPr="002F632A">
        <w:rPr>
          <w:szCs w:val="26"/>
        </w:rPr>
        <w:t xml:space="preserve">The trial court’s order denying the petition to compel arbitration is affirmed.  </w:t>
      </w:r>
      <w:r w:rsidRPr="002F632A">
        <w:rPr>
          <w:szCs w:val="26"/>
        </w:rPr>
        <w:t xml:space="preserve">Costs on appeal are awarded to respondents.  </w:t>
      </w:r>
    </w:p>
    <w:p w:rsidR="006D3828" w:rsidRDefault="00865C66">
      <w:pPr>
        <w:tabs>
          <w:tab w:val="clear" w:pos="720"/>
        </w:tabs>
        <w:spacing w:line="240" w:lineRule="auto"/>
        <w:rPr>
          <w:szCs w:val="26"/>
        </w:rPr>
      </w:pPr>
      <w:r>
        <w:rPr>
          <w:szCs w:val="26"/>
        </w:rPr>
        <w:br w:type="page"/>
      </w:r>
    </w:p>
    <w:p w:rsidR="00ED76A3" w:rsidRDefault="00865C66" w:rsidP="00ED76A3"/>
    <w:p w:rsidR="00ED76A3" w:rsidRDefault="00865C66" w:rsidP="00ED76A3">
      <w:pPr>
        <w:spacing w:line="240" w:lineRule="auto"/>
      </w:pPr>
    </w:p>
    <w:p w:rsidR="00ED76A3" w:rsidRPr="006C3614" w:rsidRDefault="00865C66" w:rsidP="00ED76A3">
      <w:pPr>
        <w:spacing w:line="240" w:lineRule="auto"/>
      </w:pPr>
      <w:r w:rsidRPr="006C3614">
        <w:tab/>
      </w:r>
      <w:r w:rsidRPr="006C3614">
        <w:tab/>
      </w:r>
      <w:r w:rsidRPr="006C3614">
        <w:tab/>
      </w:r>
      <w:r w:rsidRPr="006C3614">
        <w:tab/>
      </w:r>
      <w:r w:rsidRPr="006C3614">
        <w:tab/>
      </w:r>
      <w:r w:rsidRPr="006C3614">
        <w:tab/>
      </w:r>
      <w:r w:rsidRPr="006C3614">
        <w:tab/>
        <w:t>_________________________</w:t>
      </w:r>
    </w:p>
    <w:p w:rsidR="00ED76A3" w:rsidRPr="006C3614" w:rsidRDefault="00865C66" w:rsidP="00ED76A3">
      <w:pPr>
        <w:spacing w:line="240" w:lineRule="auto"/>
      </w:pPr>
      <w:r w:rsidRPr="006C3614">
        <w:tab/>
      </w:r>
      <w:r w:rsidRPr="006C3614">
        <w:tab/>
      </w:r>
      <w:r w:rsidRPr="006C3614">
        <w:tab/>
      </w:r>
      <w:r w:rsidRPr="006C3614">
        <w:tab/>
      </w:r>
      <w:r w:rsidRPr="006C3614">
        <w:tab/>
      </w:r>
      <w:r w:rsidRPr="006C3614">
        <w:tab/>
      </w:r>
      <w:r w:rsidRPr="006C3614">
        <w:tab/>
        <w:t>Kline, P.J.</w:t>
      </w:r>
    </w:p>
    <w:p w:rsidR="00ED76A3" w:rsidRPr="006C3614" w:rsidRDefault="00865C66" w:rsidP="00ED76A3">
      <w:pPr>
        <w:spacing w:line="240" w:lineRule="auto"/>
      </w:pPr>
    </w:p>
    <w:p w:rsidR="00ED76A3" w:rsidRPr="006C3614" w:rsidRDefault="00865C66" w:rsidP="00ED76A3">
      <w:pPr>
        <w:spacing w:line="240" w:lineRule="auto"/>
      </w:pPr>
    </w:p>
    <w:p w:rsidR="00ED76A3" w:rsidRPr="006C3614" w:rsidRDefault="00865C66" w:rsidP="00ED76A3">
      <w:pPr>
        <w:spacing w:line="240" w:lineRule="auto"/>
      </w:pPr>
      <w:r w:rsidRPr="006C3614">
        <w:t>We concur:</w:t>
      </w:r>
    </w:p>
    <w:p w:rsidR="00ED76A3" w:rsidRPr="006C3614" w:rsidRDefault="00865C66" w:rsidP="00ED76A3">
      <w:pPr>
        <w:spacing w:line="240" w:lineRule="auto"/>
      </w:pPr>
    </w:p>
    <w:p w:rsidR="00ED76A3" w:rsidRPr="006C3614" w:rsidRDefault="00865C66" w:rsidP="00ED76A3">
      <w:pPr>
        <w:spacing w:line="240" w:lineRule="auto"/>
      </w:pPr>
    </w:p>
    <w:p w:rsidR="00ED76A3" w:rsidRPr="006C3614" w:rsidRDefault="00865C66" w:rsidP="00ED76A3">
      <w:pPr>
        <w:spacing w:line="240" w:lineRule="auto"/>
      </w:pPr>
      <w:r w:rsidRPr="006C3614">
        <w:t>_________________________</w:t>
      </w:r>
    </w:p>
    <w:p w:rsidR="00ED76A3" w:rsidRPr="006C3614" w:rsidRDefault="00865C66" w:rsidP="00ED76A3">
      <w:pPr>
        <w:spacing w:line="240" w:lineRule="auto"/>
      </w:pPr>
      <w:r>
        <w:t>Richman</w:t>
      </w:r>
      <w:r w:rsidRPr="006C3614">
        <w:t>, J.</w:t>
      </w:r>
    </w:p>
    <w:p w:rsidR="00ED76A3" w:rsidRPr="006C3614" w:rsidRDefault="00865C66" w:rsidP="00ED76A3">
      <w:pPr>
        <w:spacing w:line="240" w:lineRule="auto"/>
      </w:pPr>
    </w:p>
    <w:p w:rsidR="00ED76A3" w:rsidRPr="006C3614" w:rsidRDefault="00865C66" w:rsidP="00ED76A3">
      <w:pPr>
        <w:spacing w:line="240" w:lineRule="auto"/>
      </w:pPr>
    </w:p>
    <w:p w:rsidR="00ED76A3" w:rsidRPr="006C3614" w:rsidRDefault="00865C66" w:rsidP="00ED76A3">
      <w:pPr>
        <w:spacing w:line="240" w:lineRule="auto"/>
      </w:pPr>
      <w:r w:rsidRPr="006C3614">
        <w:t>_________________________</w:t>
      </w:r>
    </w:p>
    <w:p w:rsidR="00ED76A3" w:rsidRPr="006C3614" w:rsidRDefault="00865C66" w:rsidP="00ED76A3">
      <w:pPr>
        <w:spacing w:line="240" w:lineRule="auto"/>
      </w:pPr>
      <w:r>
        <w:t>Miller, J.</w:t>
      </w:r>
    </w:p>
    <w:p w:rsidR="00ED76A3" w:rsidRPr="006C3614" w:rsidRDefault="00865C66" w:rsidP="00ED76A3">
      <w:pPr>
        <w:spacing w:line="240" w:lineRule="auto"/>
      </w:pPr>
    </w:p>
    <w:p w:rsidR="00ED76A3" w:rsidRPr="006C3614" w:rsidRDefault="00865C66" w:rsidP="00ED76A3">
      <w:pPr>
        <w:spacing w:line="240" w:lineRule="auto"/>
      </w:pPr>
    </w:p>
    <w:p w:rsidR="00ED76A3" w:rsidRPr="006C3614" w:rsidRDefault="00865C66" w:rsidP="00ED76A3">
      <w:pPr>
        <w:spacing w:line="240" w:lineRule="auto"/>
      </w:pPr>
    </w:p>
    <w:p w:rsidR="00ED76A3" w:rsidRPr="006C3614" w:rsidRDefault="00865C66" w:rsidP="00ED76A3">
      <w:pPr>
        <w:spacing w:line="240" w:lineRule="auto"/>
      </w:pPr>
    </w:p>
    <w:p w:rsidR="00ED76A3" w:rsidRPr="006C3614" w:rsidRDefault="00865C66" w:rsidP="00ED76A3">
      <w:pPr>
        <w:spacing w:line="240" w:lineRule="auto"/>
      </w:pPr>
    </w:p>
    <w:p w:rsidR="00ED76A3" w:rsidRPr="006C3614" w:rsidRDefault="00865C66" w:rsidP="00ED76A3">
      <w:pPr>
        <w:spacing w:line="240" w:lineRule="auto"/>
      </w:pPr>
    </w:p>
    <w:p w:rsidR="00ED76A3" w:rsidRPr="006C3614" w:rsidRDefault="00865C66" w:rsidP="00ED76A3">
      <w:pPr>
        <w:spacing w:line="240" w:lineRule="auto"/>
      </w:pPr>
    </w:p>
    <w:p w:rsidR="00ED76A3" w:rsidRPr="006C3614" w:rsidRDefault="00865C66" w:rsidP="00ED76A3">
      <w:pPr>
        <w:spacing w:line="240" w:lineRule="auto"/>
      </w:pPr>
    </w:p>
    <w:p w:rsidR="00ED76A3" w:rsidRPr="006C3614" w:rsidRDefault="00865C66" w:rsidP="00ED76A3">
      <w:pPr>
        <w:spacing w:line="240" w:lineRule="auto"/>
      </w:pPr>
    </w:p>
    <w:p w:rsidR="00ED76A3" w:rsidRPr="006C3614" w:rsidRDefault="00865C66" w:rsidP="00ED76A3">
      <w:pPr>
        <w:spacing w:line="240" w:lineRule="auto"/>
      </w:pPr>
    </w:p>
    <w:p w:rsidR="00ED76A3" w:rsidRPr="006C3614" w:rsidRDefault="00865C66" w:rsidP="00ED76A3">
      <w:pPr>
        <w:spacing w:line="240" w:lineRule="auto"/>
      </w:pPr>
    </w:p>
    <w:p w:rsidR="00ED76A3" w:rsidRDefault="00865C66" w:rsidP="00ED76A3">
      <w:pPr>
        <w:spacing w:line="240" w:lineRule="auto"/>
      </w:pPr>
    </w:p>
    <w:p w:rsidR="00ED76A3" w:rsidRDefault="00865C66" w:rsidP="00ED76A3">
      <w:pPr>
        <w:spacing w:line="240" w:lineRule="auto"/>
      </w:pPr>
    </w:p>
    <w:p w:rsidR="00ED76A3" w:rsidRPr="006C3614" w:rsidRDefault="00865C66" w:rsidP="00ED76A3">
      <w:pPr>
        <w:spacing w:line="240" w:lineRule="auto"/>
      </w:pPr>
    </w:p>
    <w:p w:rsidR="00ED76A3" w:rsidRPr="006C3614" w:rsidRDefault="00865C66" w:rsidP="00ED76A3">
      <w:pPr>
        <w:spacing w:line="240" w:lineRule="auto"/>
      </w:pPr>
    </w:p>
    <w:p w:rsidR="00ED76A3" w:rsidRDefault="00865C66" w:rsidP="00ED76A3">
      <w:pPr>
        <w:spacing w:line="240" w:lineRule="auto"/>
      </w:pPr>
    </w:p>
    <w:p w:rsidR="00ED76A3" w:rsidRPr="006C3614" w:rsidRDefault="00865C66" w:rsidP="00ED76A3">
      <w:pPr>
        <w:spacing w:line="240" w:lineRule="auto"/>
      </w:pPr>
    </w:p>
    <w:p w:rsidR="00ED76A3" w:rsidRPr="006C3614" w:rsidRDefault="00865C66" w:rsidP="00ED76A3">
      <w:pPr>
        <w:spacing w:line="240" w:lineRule="auto"/>
      </w:pPr>
    </w:p>
    <w:p w:rsidR="00ED76A3" w:rsidRPr="006C3614" w:rsidRDefault="00865C66" w:rsidP="00ED76A3">
      <w:pPr>
        <w:spacing w:line="240" w:lineRule="auto"/>
      </w:pPr>
    </w:p>
    <w:p w:rsidR="00ED76A3" w:rsidRDefault="00865C66" w:rsidP="00ED76A3">
      <w:pPr>
        <w:spacing w:line="240" w:lineRule="auto"/>
      </w:pPr>
    </w:p>
    <w:p w:rsidR="00ED76A3" w:rsidRDefault="00865C66" w:rsidP="00ED76A3">
      <w:pPr>
        <w:spacing w:line="240" w:lineRule="auto"/>
      </w:pPr>
    </w:p>
    <w:p w:rsidR="00ED76A3" w:rsidRPr="006C3614" w:rsidRDefault="00865C66" w:rsidP="00ED76A3">
      <w:pPr>
        <w:spacing w:line="240" w:lineRule="auto"/>
      </w:pPr>
    </w:p>
    <w:p w:rsidR="00ED76A3" w:rsidRPr="00D9094F" w:rsidRDefault="00865C66" w:rsidP="00ED76A3">
      <w:pPr>
        <w:spacing w:line="240" w:lineRule="auto"/>
        <w:rPr>
          <w:i/>
          <w:lang w:val="it-IT"/>
        </w:rPr>
      </w:pPr>
      <w:r>
        <w:rPr>
          <w:i/>
          <w:lang w:val="it-IT"/>
        </w:rPr>
        <w:t xml:space="preserve">San Francisco Police Officers’ Association v. San Francisco Police Commission et al. </w:t>
      </w:r>
      <w:r>
        <w:rPr>
          <w:lang w:val="it-IT"/>
        </w:rPr>
        <w:t>(A151654)</w:t>
      </w:r>
    </w:p>
    <w:p w:rsidR="00ED76A3" w:rsidRPr="00D9094F" w:rsidRDefault="00865C66" w:rsidP="00ED76A3">
      <w:pPr>
        <w:spacing w:line="240" w:lineRule="auto"/>
        <w:rPr>
          <w:i/>
          <w:lang w:val="it-IT"/>
        </w:rPr>
      </w:pPr>
    </w:p>
    <w:p w:rsidR="00ED76A3" w:rsidRPr="00D9094F" w:rsidRDefault="00865C66" w:rsidP="00ED76A3">
      <w:pPr>
        <w:spacing w:line="240" w:lineRule="auto"/>
        <w:rPr>
          <w:i/>
          <w:lang w:val="it-IT"/>
        </w:rPr>
      </w:pPr>
    </w:p>
    <w:p w:rsidR="00B95A66" w:rsidRDefault="00865C66" w:rsidP="00B95A66">
      <w:pPr>
        <w:spacing w:line="360" w:lineRule="auto"/>
        <w:rPr>
          <w:szCs w:val="26"/>
        </w:rPr>
      </w:pPr>
    </w:p>
    <w:p w:rsidR="006C1AF6" w:rsidRDefault="00865C66" w:rsidP="00E33BD1">
      <w:pPr>
        <w:tabs>
          <w:tab w:val="left" w:pos="5040"/>
          <w:tab w:val="left" w:pos="5400"/>
        </w:tabs>
        <w:spacing w:line="240" w:lineRule="auto"/>
        <w:rPr>
          <w:szCs w:val="26"/>
        </w:rPr>
      </w:pPr>
      <w:r>
        <w:rPr>
          <w:szCs w:val="26"/>
        </w:rPr>
        <w:lastRenderedPageBreak/>
        <w:t>Trial Judge:</w:t>
      </w:r>
      <w:r>
        <w:rPr>
          <w:szCs w:val="26"/>
        </w:rPr>
        <w:tab/>
      </w:r>
      <w:r>
        <w:rPr>
          <w:szCs w:val="26"/>
        </w:rPr>
        <w:t>Hon. Newton Lam</w:t>
      </w:r>
    </w:p>
    <w:p w:rsidR="00FB104B" w:rsidRDefault="00865C66" w:rsidP="00E33BD1">
      <w:pPr>
        <w:tabs>
          <w:tab w:val="left" w:pos="5040"/>
          <w:tab w:val="left" w:pos="5400"/>
        </w:tabs>
        <w:spacing w:line="240" w:lineRule="auto"/>
        <w:rPr>
          <w:szCs w:val="26"/>
        </w:rPr>
      </w:pPr>
    </w:p>
    <w:p w:rsidR="002051E2" w:rsidRDefault="00865C66" w:rsidP="002051E2">
      <w:pPr>
        <w:tabs>
          <w:tab w:val="left" w:pos="5040"/>
          <w:tab w:val="left" w:pos="5400"/>
        </w:tabs>
        <w:spacing w:line="240" w:lineRule="auto"/>
        <w:rPr>
          <w:szCs w:val="26"/>
        </w:rPr>
      </w:pPr>
      <w:r>
        <w:rPr>
          <w:szCs w:val="26"/>
        </w:rPr>
        <w:t>Trial Cou</w:t>
      </w:r>
      <w:r>
        <w:rPr>
          <w:szCs w:val="26"/>
        </w:rPr>
        <w:t>rt:</w:t>
      </w:r>
      <w:r>
        <w:rPr>
          <w:szCs w:val="26"/>
        </w:rPr>
        <w:tab/>
        <w:t>San</w:t>
      </w:r>
      <w:r>
        <w:rPr>
          <w:szCs w:val="26"/>
        </w:rPr>
        <w:t xml:space="preserve"> Francisco County Superior Court</w:t>
      </w:r>
    </w:p>
    <w:p w:rsidR="002051E2" w:rsidRDefault="00865C66" w:rsidP="002051E2">
      <w:pPr>
        <w:tabs>
          <w:tab w:val="left" w:pos="5040"/>
          <w:tab w:val="left" w:pos="5400"/>
        </w:tabs>
        <w:spacing w:line="240" w:lineRule="auto"/>
        <w:rPr>
          <w:szCs w:val="26"/>
        </w:rPr>
      </w:pPr>
    </w:p>
    <w:p w:rsidR="000870B9" w:rsidRDefault="00865C66" w:rsidP="00E33BD1">
      <w:pPr>
        <w:tabs>
          <w:tab w:val="left" w:pos="5040"/>
          <w:tab w:val="left" w:pos="5400"/>
        </w:tabs>
        <w:spacing w:line="240" w:lineRule="auto"/>
        <w:rPr>
          <w:szCs w:val="26"/>
        </w:rPr>
      </w:pPr>
    </w:p>
    <w:p w:rsidR="00FB104B" w:rsidRDefault="00865C66" w:rsidP="00E33BD1">
      <w:pPr>
        <w:tabs>
          <w:tab w:val="left" w:pos="5040"/>
          <w:tab w:val="left" w:pos="5400"/>
        </w:tabs>
        <w:spacing w:line="240" w:lineRule="auto"/>
        <w:rPr>
          <w:szCs w:val="26"/>
        </w:rPr>
      </w:pPr>
      <w:r>
        <w:rPr>
          <w:szCs w:val="26"/>
        </w:rPr>
        <w:t>Att</w:t>
      </w:r>
      <w:r>
        <w:rPr>
          <w:szCs w:val="26"/>
        </w:rPr>
        <w:t>orneys for Plaintiff and Appella</w:t>
      </w:r>
      <w:r>
        <w:rPr>
          <w:szCs w:val="26"/>
        </w:rPr>
        <w:t>nt:</w:t>
      </w:r>
      <w:r>
        <w:rPr>
          <w:szCs w:val="26"/>
        </w:rPr>
        <w:tab/>
      </w:r>
      <w:r>
        <w:rPr>
          <w:szCs w:val="26"/>
        </w:rPr>
        <w:t>Messing Adam &amp; Jasmine LLP</w:t>
      </w:r>
    </w:p>
    <w:p w:rsidR="00FB104B" w:rsidRDefault="00865C66" w:rsidP="00E33BD1">
      <w:pPr>
        <w:tabs>
          <w:tab w:val="left" w:pos="5040"/>
          <w:tab w:val="left" w:pos="5400"/>
        </w:tabs>
        <w:spacing w:line="240" w:lineRule="auto"/>
        <w:rPr>
          <w:szCs w:val="26"/>
        </w:rPr>
      </w:pPr>
      <w:r>
        <w:rPr>
          <w:szCs w:val="26"/>
        </w:rPr>
        <w:t>San Francisco Police Officers’ Association</w:t>
      </w:r>
      <w:r>
        <w:rPr>
          <w:szCs w:val="26"/>
        </w:rPr>
        <w:tab/>
      </w:r>
      <w:r>
        <w:rPr>
          <w:szCs w:val="26"/>
        </w:rPr>
        <w:t>Greg</w:t>
      </w:r>
      <w:r>
        <w:rPr>
          <w:szCs w:val="26"/>
        </w:rPr>
        <w:t>g</w:t>
      </w:r>
      <w:r>
        <w:rPr>
          <w:szCs w:val="26"/>
        </w:rPr>
        <w:t xml:space="preserve"> McLean Adam</w:t>
      </w:r>
    </w:p>
    <w:p w:rsidR="00FB104B" w:rsidRDefault="00865C66" w:rsidP="00E33BD1">
      <w:pPr>
        <w:tabs>
          <w:tab w:val="left" w:pos="5040"/>
          <w:tab w:val="left" w:pos="5400"/>
        </w:tabs>
        <w:spacing w:line="240" w:lineRule="auto"/>
        <w:rPr>
          <w:szCs w:val="26"/>
        </w:rPr>
      </w:pPr>
      <w:r>
        <w:rPr>
          <w:szCs w:val="26"/>
        </w:rPr>
        <w:tab/>
      </w:r>
      <w:r>
        <w:rPr>
          <w:szCs w:val="26"/>
        </w:rPr>
        <w:tab/>
      </w:r>
      <w:r>
        <w:rPr>
          <w:szCs w:val="26"/>
        </w:rPr>
        <w:t>Donald</w:t>
      </w:r>
      <w:r>
        <w:rPr>
          <w:szCs w:val="26"/>
        </w:rPr>
        <w:t xml:space="preserve"> Paul Bird II</w:t>
      </w:r>
    </w:p>
    <w:p w:rsidR="00587BD9" w:rsidRDefault="00865C66" w:rsidP="00E33BD1">
      <w:pPr>
        <w:tabs>
          <w:tab w:val="left" w:pos="5040"/>
          <w:tab w:val="left" w:pos="5400"/>
        </w:tabs>
        <w:spacing w:line="240" w:lineRule="auto"/>
        <w:rPr>
          <w:szCs w:val="26"/>
        </w:rPr>
      </w:pPr>
      <w:r>
        <w:rPr>
          <w:szCs w:val="26"/>
        </w:rPr>
        <w:tab/>
      </w:r>
      <w:r>
        <w:rPr>
          <w:szCs w:val="26"/>
        </w:rPr>
        <w:tab/>
        <w:t>Janine Oliker</w:t>
      </w:r>
    </w:p>
    <w:p w:rsidR="00587BD9" w:rsidRDefault="00865C66" w:rsidP="00E33BD1">
      <w:pPr>
        <w:tabs>
          <w:tab w:val="left" w:pos="4680"/>
          <w:tab w:val="left" w:pos="5040"/>
          <w:tab w:val="left" w:pos="5400"/>
        </w:tabs>
        <w:spacing w:line="240" w:lineRule="auto"/>
        <w:rPr>
          <w:szCs w:val="26"/>
        </w:rPr>
      </w:pPr>
      <w:r>
        <w:rPr>
          <w:szCs w:val="26"/>
        </w:rPr>
        <w:tab/>
      </w:r>
      <w:r>
        <w:rPr>
          <w:szCs w:val="26"/>
        </w:rPr>
        <w:tab/>
      </w:r>
      <w:r>
        <w:rPr>
          <w:szCs w:val="26"/>
        </w:rPr>
        <w:tab/>
      </w:r>
      <w:r>
        <w:rPr>
          <w:szCs w:val="26"/>
        </w:rPr>
        <w:t>Joan Gons</w:t>
      </w:r>
      <w:r>
        <w:rPr>
          <w:szCs w:val="26"/>
        </w:rPr>
        <w:t>alves</w:t>
      </w:r>
    </w:p>
    <w:p w:rsidR="00587BD9" w:rsidRDefault="00865C66" w:rsidP="00E33BD1">
      <w:pPr>
        <w:tabs>
          <w:tab w:val="left" w:pos="5040"/>
          <w:tab w:val="left" w:pos="5400"/>
        </w:tabs>
        <w:spacing w:line="240" w:lineRule="auto"/>
        <w:rPr>
          <w:szCs w:val="26"/>
        </w:rPr>
      </w:pPr>
    </w:p>
    <w:p w:rsidR="004B246B" w:rsidRDefault="00865C66" w:rsidP="00E33BD1">
      <w:pPr>
        <w:tabs>
          <w:tab w:val="left" w:pos="4680"/>
          <w:tab w:val="left" w:pos="5040"/>
          <w:tab w:val="left" w:pos="5400"/>
        </w:tabs>
        <w:spacing w:line="240" w:lineRule="auto"/>
        <w:ind w:left="5760" w:hanging="5760"/>
        <w:rPr>
          <w:szCs w:val="26"/>
        </w:rPr>
      </w:pPr>
      <w:r>
        <w:rPr>
          <w:szCs w:val="26"/>
        </w:rPr>
        <w:t xml:space="preserve">Attorneys </w:t>
      </w:r>
      <w:r>
        <w:rPr>
          <w:szCs w:val="26"/>
        </w:rPr>
        <w:t xml:space="preserve">for Defendants and </w:t>
      </w:r>
      <w:r>
        <w:rPr>
          <w:szCs w:val="26"/>
        </w:rPr>
        <w:t>Respondents:</w:t>
      </w:r>
      <w:r>
        <w:rPr>
          <w:szCs w:val="26"/>
        </w:rPr>
        <w:tab/>
      </w:r>
      <w:r>
        <w:rPr>
          <w:szCs w:val="26"/>
        </w:rPr>
        <w:tab/>
      </w:r>
      <w:r>
        <w:rPr>
          <w:szCs w:val="26"/>
        </w:rPr>
        <w:t>San Francisco City Attorneys’ Office</w:t>
      </w:r>
    </w:p>
    <w:p w:rsidR="00AB12F0" w:rsidRDefault="00865C66" w:rsidP="00E33BD1">
      <w:pPr>
        <w:tabs>
          <w:tab w:val="left" w:pos="4680"/>
          <w:tab w:val="left" w:pos="5040"/>
          <w:tab w:val="left" w:pos="5400"/>
        </w:tabs>
        <w:spacing w:line="240" w:lineRule="auto"/>
        <w:ind w:left="5760" w:hanging="5760"/>
        <w:rPr>
          <w:szCs w:val="26"/>
        </w:rPr>
      </w:pPr>
      <w:r>
        <w:rPr>
          <w:szCs w:val="26"/>
        </w:rPr>
        <w:t>San Francisco Police Commission et al</w:t>
      </w:r>
      <w:r>
        <w:rPr>
          <w:szCs w:val="26"/>
        </w:rPr>
        <w:t>.</w:t>
      </w:r>
      <w:r>
        <w:rPr>
          <w:szCs w:val="26"/>
        </w:rPr>
        <w:t xml:space="preserve"> </w:t>
      </w:r>
      <w:r>
        <w:rPr>
          <w:szCs w:val="26"/>
        </w:rPr>
        <w:tab/>
      </w:r>
      <w:r>
        <w:rPr>
          <w:szCs w:val="26"/>
        </w:rPr>
        <w:tab/>
      </w:r>
      <w:r>
        <w:rPr>
          <w:szCs w:val="26"/>
        </w:rPr>
        <w:t>Trevor J. Koski</w:t>
      </w:r>
    </w:p>
    <w:p w:rsidR="00CD4344" w:rsidRDefault="00865C66" w:rsidP="00E33BD1">
      <w:pPr>
        <w:tabs>
          <w:tab w:val="left" w:pos="4680"/>
          <w:tab w:val="left" w:pos="5040"/>
          <w:tab w:val="left" w:pos="5400"/>
        </w:tabs>
        <w:spacing w:line="240" w:lineRule="auto"/>
        <w:ind w:left="5760" w:hanging="5760"/>
        <w:rPr>
          <w:szCs w:val="26"/>
        </w:rPr>
      </w:pPr>
      <w:r>
        <w:rPr>
          <w:szCs w:val="26"/>
        </w:rPr>
        <w:tab/>
      </w:r>
      <w:r>
        <w:rPr>
          <w:szCs w:val="26"/>
        </w:rPr>
        <w:tab/>
      </w:r>
      <w:r>
        <w:rPr>
          <w:szCs w:val="26"/>
        </w:rPr>
        <w:tab/>
      </w:r>
      <w:r>
        <w:rPr>
          <w:szCs w:val="26"/>
        </w:rPr>
        <w:t>Jonathan Craig Rolnick</w:t>
      </w:r>
    </w:p>
    <w:p w:rsidR="00646668" w:rsidRDefault="00865C66" w:rsidP="00E33BD1">
      <w:pPr>
        <w:tabs>
          <w:tab w:val="left" w:pos="4680"/>
          <w:tab w:val="left" w:pos="5040"/>
          <w:tab w:val="left" w:pos="5400"/>
        </w:tabs>
        <w:spacing w:line="240" w:lineRule="auto"/>
        <w:rPr>
          <w:szCs w:val="26"/>
        </w:rPr>
      </w:pPr>
      <w:r>
        <w:rPr>
          <w:szCs w:val="26"/>
        </w:rPr>
        <w:tab/>
      </w:r>
      <w:r>
        <w:rPr>
          <w:szCs w:val="26"/>
        </w:rPr>
        <w:tab/>
      </w:r>
      <w:r>
        <w:rPr>
          <w:szCs w:val="26"/>
        </w:rPr>
        <w:tab/>
        <w:t>Katharine H. Porter</w:t>
      </w:r>
    </w:p>
    <w:p w:rsidR="00745EC6" w:rsidRDefault="00865C66" w:rsidP="00E33BD1">
      <w:pPr>
        <w:tabs>
          <w:tab w:val="left" w:pos="4680"/>
          <w:tab w:val="left" w:pos="5040"/>
          <w:tab w:val="left" w:pos="5400"/>
        </w:tabs>
        <w:spacing w:line="240" w:lineRule="auto"/>
        <w:rPr>
          <w:szCs w:val="26"/>
        </w:rPr>
      </w:pPr>
    </w:p>
    <w:p w:rsidR="00D14E85" w:rsidRDefault="00865C66" w:rsidP="00E33BD1">
      <w:pPr>
        <w:tabs>
          <w:tab w:val="left" w:pos="5040"/>
          <w:tab w:val="left" w:pos="5400"/>
        </w:tabs>
        <w:spacing w:line="240" w:lineRule="auto"/>
        <w:rPr>
          <w:szCs w:val="26"/>
        </w:rPr>
      </w:pPr>
      <w:r>
        <w:rPr>
          <w:szCs w:val="26"/>
        </w:rPr>
        <w:t xml:space="preserve">Attorneys for </w:t>
      </w:r>
      <w:r>
        <w:rPr>
          <w:szCs w:val="26"/>
        </w:rPr>
        <w:t>Amici</w:t>
      </w:r>
      <w:r>
        <w:rPr>
          <w:szCs w:val="26"/>
        </w:rPr>
        <w:t xml:space="preserve"> Curiae</w:t>
      </w:r>
      <w:r>
        <w:rPr>
          <w:szCs w:val="26"/>
        </w:rPr>
        <w:t>:</w:t>
      </w:r>
    </w:p>
    <w:p w:rsidR="00CD4344" w:rsidRDefault="00865C66" w:rsidP="00E33BD1">
      <w:pPr>
        <w:tabs>
          <w:tab w:val="left" w:pos="5040"/>
          <w:tab w:val="left" w:pos="5400"/>
        </w:tabs>
        <w:spacing w:line="240" w:lineRule="auto"/>
        <w:rPr>
          <w:szCs w:val="26"/>
        </w:rPr>
      </w:pPr>
    </w:p>
    <w:p w:rsidR="00D14E85" w:rsidRDefault="00865C66" w:rsidP="00E33BD1">
      <w:pPr>
        <w:tabs>
          <w:tab w:val="left" w:pos="5040"/>
          <w:tab w:val="left" w:pos="5400"/>
        </w:tabs>
        <w:spacing w:line="240" w:lineRule="auto"/>
        <w:rPr>
          <w:szCs w:val="26"/>
        </w:rPr>
      </w:pPr>
      <w:r>
        <w:rPr>
          <w:szCs w:val="26"/>
        </w:rPr>
        <w:t>The Bar Assoc</w:t>
      </w:r>
      <w:r>
        <w:rPr>
          <w:szCs w:val="26"/>
        </w:rPr>
        <w:t>i</w:t>
      </w:r>
      <w:r>
        <w:rPr>
          <w:szCs w:val="26"/>
        </w:rPr>
        <w:t>ation of San Francisco</w:t>
      </w:r>
      <w:r>
        <w:rPr>
          <w:szCs w:val="26"/>
        </w:rPr>
        <w:tab/>
      </w:r>
      <w:r>
        <w:rPr>
          <w:szCs w:val="26"/>
        </w:rPr>
        <w:t>Keker, Van Nest &amp; Peters LLP</w:t>
      </w:r>
    </w:p>
    <w:p w:rsidR="00CD4344" w:rsidRDefault="00865C66" w:rsidP="00E33BD1">
      <w:pPr>
        <w:tabs>
          <w:tab w:val="left" w:pos="5040"/>
          <w:tab w:val="left" w:pos="5400"/>
        </w:tabs>
        <w:spacing w:line="240" w:lineRule="auto"/>
        <w:rPr>
          <w:szCs w:val="26"/>
        </w:rPr>
      </w:pPr>
      <w:r>
        <w:rPr>
          <w:szCs w:val="26"/>
        </w:rPr>
        <w:tab/>
      </w:r>
      <w:r>
        <w:rPr>
          <w:szCs w:val="26"/>
        </w:rPr>
        <w:tab/>
      </w:r>
      <w:r>
        <w:rPr>
          <w:szCs w:val="26"/>
        </w:rPr>
        <w:t>John W. Keker</w:t>
      </w:r>
    </w:p>
    <w:p w:rsidR="00CD4344" w:rsidRDefault="00865C66" w:rsidP="00E33BD1">
      <w:pPr>
        <w:tabs>
          <w:tab w:val="left" w:pos="5040"/>
          <w:tab w:val="left" w:pos="5400"/>
        </w:tabs>
        <w:spacing w:line="240" w:lineRule="auto"/>
        <w:rPr>
          <w:szCs w:val="26"/>
        </w:rPr>
      </w:pPr>
      <w:r>
        <w:rPr>
          <w:szCs w:val="26"/>
        </w:rPr>
        <w:tab/>
      </w:r>
      <w:r>
        <w:rPr>
          <w:szCs w:val="26"/>
        </w:rPr>
        <w:tab/>
      </w:r>
      <w:r>
        <w:rPr>
          <w:szCs w:val="26"/>
        </w:rPr>
        <w:t>Steven A. Hirsch</w:t>
      </w:r>
    </w:p>
    <w:p w:rsidR="00CD4344" w:rsidRDefault="00865C66" w:rsidP="00E33BD1">
      <w:pPr>
        <w:tabs>
          <w:tab w:val="left" w:pos="5040"/>
          <w:tab w:val="left" w:pos="5400"/>
        </w:tabs>
        <w:spacing w:line="240" w:lineRule="auto"/>
        <w:rPr>
          <w:szCs w:val="26"/>
        </w:rPr>
      </w:pPr>
      <w:r>
        <w:rPr>
          <w:szCs w:val="26"/>
        </w:rPr>
        <w:tab/>
      </w:r>
      <w:r>
        <w:rPr>
          <w:szCs w:val="26"/>
        </w:rPr>
        <w:tab/>
      </w:r>
      <w:r>
        <w:rPr>
          <w:szCs w:val="26"/>
        </w:rPr>
        <w:t>David W. Rizk</w:t>
      </w:r>
    </w:p>
    <w:p w:rsidR="00D14E85" w:rsidRDefault="00865C66" w:rsidP="00E33BD1">
      <w:pPr>
        <w:tabs>
          <w:tab w:val="left" w:pos="5040"/>
          <w:tab w:val="left" w:pos="5400"/>
        </w:tabs>
        <w:spacing w:line="240" w:lineRule="auto"/>
        <w:rPr>
          <w:szCs w:val="26"/>
        </w:rPr>
      </w:pPr>
    </w:p>
    <w:p w:rsidR="00086FF4" w:rsidRDefault="00865C66" w:rsidP="00E33BD1">
      <w:pPr>
        <w:tabs>
          <w:tab w:val="left" w:pos="5040"/>
          <w:tab w:val="left" w:pos="5400"/>
        </w:tabs>
        <w:spacing w:line="240" w:lineRule="auto"/>
        <w:rPr>
          <w:szCs w:val="26"/>
        </w:rPr>
      </w:pPr>
      <w:r>
        <w:rPr>
          <w:szCs w:val="26"/>
        </w:rPr>
        <w:t xml:space="preserve">American Civil Liberties Union </w:t>
      </w:r>
      <w:r>
        <w:rPr>
          <w:szCs w:val="26"/>
        </w:rPr>
        <w:t>of Northern</w:t>
      </w:r>
      <w:r>
        <w:rPr>
          <w:szCs w:val="26"/>
        </w:rPr>
        <w:tab/>
      </w:r>
      <w:r>
        <w:rPr>
          <w:szCs w:val="26"/>
        </w:rPr>
        <w:t>Alan L. Schlosser</w:t>
      </w:r>
    </w:p>
    <w:p w:rsidR="00D0734C" w:rsidRDefault="00865C66" w:rsidP="00E33BD1">
      <w:pPr>
        <w:tabs>
          <w:tab w:val="left" w:pos="5040"/>
          <w:tab w:val="left" w:pos="5400"/>
        </w:tabs>
        <w:spacing w:line="240" w:lineRule="auto"/>
        <w:rPr>
          <w:szCs w:val="26"/>
        </w:rPr>
      </w:pPr>
      <w:r>
        <w:rPr>
          <w:szCs w:val="26"/>
        </w:rPr>
        <w:t>California</w:t>
      </w:r>
      <w:r>
        <w:rPr>
          <w:szCs w:val="26"/>
        </w:rPr>
        <w:t xml:space="preserve"> </w:t>
      </w:r>
    </w:p>
    <w:p w:rsidR="00D14E85" w:rsidRDefault="00865C66" w:rsidP="00E33BD1">
      <w:pPr>
        <w:tabs>
          <w:tab w:val="left" w:pos="5040"/>
          <w:tab w:val="left" w:pos="5400"/>
        </w:tabs>
        <w:spacing w:line="240" w:lineRule="auto"/>
        <w:rPr>
          <w:szCs w:val="26"/>
        </w:rPr>
      </w:pPr>
    </w:p>
    <w:p w:rsidR="00B26B4C" w:rsidRDefault="00865C66" w:rsidP="00E33BD1">
      <w:pPr>
        <w:tabs>
          <w:tab w:val="left" w:pos="5040"/>
          <w:tab w:val="left" w:pos="5400"/>
        </w:tabs>
        <w:spacing w:line="240" w:lineRule="auto"/>
        <w:rPr>
          <w:szCs w:val="26"/>
        </w:rPr>
      </w:pPr>
      <w:r>
        <w:rPr>
          <w:szCs w:val="26"/>
        </w:rPr>
        <w:t>League of California Cities and California</w:t>
      </w:r>
      <w:r>
        <w:rPr>
          <w:szCs w:val="26"/>
        </w:rPr>
        <w:tab/>
      </w:r>
      <w:r>
        <w:rPr>
          <w:szCs w:val="26"/>
        </w:rPr>
        <w:t>Liebert Cassidy Whitmore</w:t>
      </w:r>
    </w:p>
    <w:p w:rsidR="00CD4344" w:rsidRDefault="00865C66" w:rsidP="00E33BD1">
      <w:pPr>
        <w:tabs>
          <w:tab w:val="left" w:pos="5040"/>
          <w:tab w:val="left" w:pos="5400"/>
        </w:tabs>
        <w:spacing w:line="240" w:lineRule="auto"/>
        <w:rPr>
          <w:szCs w:val="26"/>
        </w:rPr>
      </w:pPr>
      <w:r>
        <w:rPr>
          <w:szCs w:val="26"/>
        </w:rPr>
        <w:t>Stat</w:t>
      </w:r>
      <w:r>
        <w:rPr>
          <w:szCs w:val="26"/>
        </w:rPr>
        <w:t xml:space="preserve">e </w:t>
      </w:r>
      <w:r>
        <w:rPr>
          <w:szCs w:val="26"/>
        </w:rPr>
        <w:t>Assoc</w:t>
      </w:r>
      <w:r>
        <w:rPr>
          <w:szCs w:val="26"/>
        </w:rPr>
        <w:t>i</w:t>
      </w:r>
      <w:r>
        <w:rPr>
          <w:szCs w:val="26"/>
        </w:rPr>
        <w:t>ation of Counties</w:t>
      </w:r>
      <w:r>
        <w:rPr>
          <w:szCs w:val="26"/>
        </w:rPr>
        <w:tab/>
      </w:r>
      <w:r>
        <w:rPr>
          <w:szCs w:val="26"/>
        </w:rPr>
        <w:t>J. Scott Tiedemann</w:t>
      </w:r>
    </w:p>
    <w:p w:rsidR="00E31267" w:rsidRPr="00AC3893" w:rsidRDefault="00865C66" w:rsidP="00E33BD1">
      <w:pPr>
        <w:tabs>
          <w:tab w:val="left" w:pos="5040"/>
          <w:tab w:val="left" w:pos="5400"/>
        </w:tabs>
        <w:spacing w:line="240" w:lineRule="auto"/>
        <w:rPr>
          <w:szCs w:val="26"/>
        </w:rPr>
      </w:pPr>
      <w:r>
        <w:rPr>
          <w:szCs w:val="26"/>
        </w:rPr>
        <w:tab/>
      </w:r>
      <w:r>
        <w:rPr>
          <w:szCs w:val="26"/>
        </w:rPr>
        <w:tab/>
        <w:t xml:space="preserve">Erich W. </w:t>
      </w:r>
      <w:r>
        <w:rPr>
          <w:szCs w:val="26"/>
        </w:rPr>
        <w:t>Shiners</w:t>
      </w:r>
    </w:p>
    <w:sectPr w:rsidR="00E31267" w:rsidRPr="00AC3893" w:rsidSect="00B95A66">
      <w:footerReference w:type="even" r:id="rId6"/>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65C66">
      <w:pPr>
        <w:spacing w:line="240" w:lineRule="auto"/>
      </w:pPr>
      <w:r>
        <w:separator/>
      </w:r>
    </w:p>
  </w:endnote>
  <w:endnote w:type="continuationSeparator" w:id="0">
    <w:p w:rsidR="00000000" w:rsidRDefault="00865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532" w:rsidRDefault="00865C66" w:rsidP="00B95A66">
    <w:pPr>
      <w:pStyle w:val="Footer"/>
      <w:framePr w:wrap="around" w:vAnchor="text" w:hAnchor="margin" w:xAlign="center" w:y="1"/>
      <w:rPr>
        <w:rStyle w:val="PageNumber"/>
        <w:rFonts w:eastAsiaTheme="minorEastAsia"/>
      </w:rPr>
    </w:pPr>
    <w:r>
      <w:rPr>
        <w:rStyle w:val="PageNumber"/>
      </w:rPr>
      <w:fldChar w:fldCharType="begin"/>
    </w:r>
    <w:r>
      <w:rPr>
        <w:rStyle w:val="PageNumber"/>
      </w:rPr>
      <w:instrText xml:space="preserve">PAGE  </w:instrText>
    </w:r>
    <w:r>
      <w:rPr>
        <w:rStyle w:val="PageNumber"/>
      </w:rPr>
      <w:fldChar w:fldCharType="end"/>
    </w:r>
  </w:p>
  <w:p w:rsidR="003E6532" w:rsidRDefault="00865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532" w:rsidRDefault="00865C66" w:rsidP="00B95A66">
    <w:pPr>
      <w:pStyle w:val="Footer"/>
      <w:framePr w:wrap="around" w:vAnchor="text" w:hAnchor="margin" w:xAlign="center" w:y="1"/>
      <w:rPr>
        <w:rStyle w:val="PageNumber"/>
        <w:rFonts w:eastAsiaTheme="minorEastAsia"/>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3E6532" w:rsidRDefault="00865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532" w:rsidRDefault="00865C66">
      <w:r>
        <w:separator/>
      </w:r>
    </w:p>
  </w:footnote>
  <w:footnote w:type="continuationSeparator" w:id="0">
    <w:p w:rsidR="003E6532" w:rsidRDefault="00865C66">
      <w:r>
        <w:continuationSeparator/>
      </w:r>
    </w:p>
  </w:footnote>
  <w:footnote w:id="1">
    <w:p w:rsidR="003E6532" w:rsidRPr="00003DE9" w:rsidRDefault="00865C66" w:rsidP="00003DE9">
      <w:pPr>
        <w:pStyle w:val="FootnoteText"/>
        <w:spacing w:after="120"/>
        <w:ind w:firstLine="720"/>
        <w:rPr>
          <w:szCs w:val="26"/>
        </w:rPr>
      </w:pPr>
      <w:r w:rsidRPr="00003DE9">
        <w:rPr>
          <w:rStyle w:val="FootnoteReference"/>
          <w:szCs w:val="26"/>
        </w:rPr>
        <w:footnoteRef/>
      </w:r>
      <w:r w:rsidRPr="00003DE9">
        <w:rPr>
          <w:szCs w:val="26"/>
        </w:rPr>
        <w:t xml:space="preserve"> All further statutory references are to the Government Code unless otherwise indicated.  </w:t>
      </w:r>
    </w:p>
  </w:footnote>
  <w:footnote w:id="2">
    <w:p w:rsidR="003E6532" w:rsidRPr="00003DE9" w:rsidRDefault="00865C66" w:rsidP="00003DE9">
      <w:pPr>
        <w:pStyle w:val="FootnoteText"/>
        <w:spacing w:after="120"/>
        <w:rPr>
          <w:szCs w:val="26"/>
        </w:rPr>
      </w:pPr>
      <w:r w:rsidRPr="00003DE9">
        <w:rPr>
          <w:szCs w:val="26"/>
        </w:rPr>
        <w:tab/>
      </w:r>
      <w:r w:rsidRPr="00003DE9">
        <w:rPr>
          <w:rStyle w:val="FootnoteReference"/>
          <w:szCs w:val="26"/>
        </w:rPr>
        <w:footnoteRef/>
      </w:r>
      <w:r w:rsidRPr="00003DE9">
        <w:rPr>
          <w:szCs w:val="26"/>
        </w:rPr>
        <w:t xml:space="preserve"> The MOU then sets forth the various administrative steps that must be taken to resolve a grievance, culminating if necessary in arbitration of the grievance.  (MOU, </w:t>
      </w:r>
      <w:r w:rsidRPr="00003DE9">
        <w:rPr>
          <w:szCs w:val="26"/>
        </w:rPr>
        <w:t>a</w:t>
      </w:r>
      <w:r w:rsidRPr="00003DE9">
        <w:rPr>
          <w:szCs w:val="26"/>
        </w:rPr>
        <w:t>rt. I</w:t>
      </w:r>
      <w:r>
        <w:rPr>
          <w:szCs w:val="26"/>
        </w:rPr>
        <w:t xml:space="preserve">, § 5, ¶¶ 17-29.) </w:t>
      </w:r>
    </w:p>
  </w:footnote>
  <w:footnote w:id="3">
    <w:p w:rsidR="003E6532" w:rsidRPr="00003DE9" w:rsidRDefault="00865C66" w:rsidP="00003DE9">
      <w:pPr>
        <w:pStyle w:val="FootnoteText"/>
        <w:spacing w:after="120"/>
        <w:ind w:firstLine="720"/>
        <w:rPr>
          <w:szCs w:val="26"/>
        </w:rPr>
      </w:pPr>
      <w:r w:rsidRPr="00003DE9">
        <w:rPr>
          <w:rStyle w:val="FootnoteReference"/>
          <w:szCs w:val="26"/>
        </w:rPr>
        <w:footnoteRef/>
      </w:r>
      <w:r w:rsidRPr="00003DE9">
        <w:rPr>
          <w:szCs w:val="26"/>
        </w:rPr>
        <w:t xml:space="preserve"> </w:t>
      </w:r>
      <w:r w:rsidRPr="00003DE9">
        <w:rPr>
          <w:i/>
          <w:szCs w:val="26"/>
        </w:rPr>
        <w:t>California Correctional Peace Officers</w:t>
      </w:r>
      <w:r w:rsidRPr="00003DE9">
        <w:rPr>
          <w:szCs w:val="26"/>
        </w:rPr>
        <w:t xml:space="preserve">, </w:t>
      </w:r>
      <w:r w:rsidRPr="00003DE9">
        <w:rPr>
          <w:i/>
          <w:szCs w:val="26"/>
        </w:rPr>
        <w:t>supra</w:t>
      </w:r>
      <w:r w:rsidRPr="00003DE9">
        <w:rPr>
          <w:szCs w:val="26"/>
        </w:rPr>
        <w:t xml:space="preserve">, 142 Cal.App.4th </w:t>
      </w:r>
      <w:r w:rsidRPr="00003DE9">
        <w:rPr>
          <w:szCs w:val="26"/>
        </w:rPr>
        <w:t>198, relied on by the Association, is irrelevant to the present case.  In that case, Division One of this District rejected the claim of the California Department of Personnel Administration “that it was entitled to avoid arbitration because its defense to</w:t>
      </w:r>
      <w:r w:rsidRPr="00003DE9">
        <w:rPr>
          <w:szCs w:val="26"/>
        </w:rPr>
        <w:t xml:space="preserve"> the grievance relied on rights derived from a state statute” and only the courts “have the power to interpret and apply such statutes.”  (</w:t>
      </w:r>
      <w:r w:rsidRPr="00003DE9">
        <w:rPr>
          <w:i/>
          <w:szCs w:val="26"/>
        </w:rPr>
        <w:t>California Correctional Peace Officers</w:t>
      </w:r>
      <w:r w:rsidRPr="00003DE9">
        <w:rPr>
          <w:szCs w:val="26"/>
        </w:rPr>
        <w:t xml:space="preserve">, </w:t>
      </w:r>
      <w:r w:rsidRPr="00003DE9">
        <w:rPr>
          <w:szCs w:val="26"/>
        </w:rPr>
        <w:t xml:space="preserve">at p. 207.)  As the court explained, “[t]here is no statutory exception for </w:t>
      </w:r>
      <w:r w:rsidRPr="00003DE9">
        <w:rPr>
          <w:szCs w:val="26"/>
        </w:rPr>
        <w:t>arbitrations presenting issues of statutory construction.”  (</w:t>
      </w:r>
      <w:r w:rsidRPr="00003DE9">
        <w:rPr>
          <w:i/>
          <w:szCs w:val="26"/>
        </w:rPr>
        <w:t>Id</w:t>
      </w:r>
      <w:r w:rsidRPr="00003DE9">
        <w:rPr>
          <w:szCs w:val="26"/>
        </w:rPr>
        <w:t>. at p. 211.)  Here, of course, the question is whether the issues raised in the Association’s grievance were arbitrable under the terms of the MOU, not whether questions involving statutory in</w:t>
      </w:r>
      <w:r w:rsidRPr="00003DE9">
        <w:rPr>
          <w:szCs w:val="26"/>
        </w:rPr>
        <w:t>terpretation constitute a defense to the arbitration requirement contained in Code of Civil Proced</w:t>
      </w:r>
      <w:r w:rsidRPr="00003DE9">
        <w:rPr>
          <w:szCs w:val="26"/>
        </w:rPr>
        <w:t>ure section 1281.2.  (See MOU, a</w:t>
      </w:r>
      <w:r w:rsidRPr="00003DE9">
        <w:rPr>
          <w:szCs w:val="26"/>
        </w:rPr>
        <w:t xml:space="preserve">rt. I, </w:t>
      </w:r>
      <w:r w:rsidRPr="00003DE9">
        <w:rPr>
          <w:rFonts w:eastAsia="Times New Roman"/>
          <w:szCs w:val="26"/>
        </w:rPr>
        <w:t>§</w:t>
      </w:r>
      <w:r w:rsidRPr="00003DE9">
        <w:rPr>
          <w:szCs w:val="26"/>
        </w:rPr>
        <w:t xml:space="preserve"> 5, ¶ 16.)  </w:t>
      </w:r>
    </w:p>
  </w:footnote>
  <w:footnote w:id="4">
    <w:p w:rsidR="003E6532" w:rsidRPr="00003DE9" w:rsidRDefault="00865C66" w:rsidP="00003DE9">
      <w:pPr>
        <w:pStyle w:val="FootnoteText"/>
        <w:spacing w:after="120"/>
        <w:rPr>
          <w:szCs w:val="26"/>
        </w:rPr>
      </w:pPr>
      <w:r w:rsidRPr="00003DE9">
        <w:rPr>
          <w:szCs w:val="26"/>
        </w:rPr>
        <w:tab/>
      </w:r>
      <w:r w:rsidRPr="00003DE9">
        <w:rPr>
          <w:rStyle w:val="FootnoteReference"/>
          <w:szCs w:val="26"/>
        </w:rPr>
        <w:footnoteRef/>
      </w:r>
      <w:r w:rsidRPr="00003DE9">
        <w:rPr>
          <w:szCs w:val="26"/>
        </w:rPr>
        <w:t xml:space="preserve"> The City had stated at the outset that it would “engage with [the Association]</w:t>
      </w:r>
      <w:r w:rsidRPr="00003DE9">
        <w:rPr>
          <w:szCs w:val="26"/>
        </w:rPr>
        <w:t>”</w:t>
      </w:r>
      <w:r w:rsidRPr="00003DE9">
        <w:rPr>
          <w:szCs w:val="26"/>
        </w:rPr>
        <w:t xml:space="preserve"> once the new policy wa</w:t>
      </w:r>
      <w:r w:rsidRPr="00003DE9">
        <w:rPr>
          <w:szCs w:val="26"/>
        </w:rPr>
        <w:t>s approved, “to consider the negotiable impacts that the policy may have.”</w:t>
      </w:r>
      <w:r>
        <w:rPr>
          <w:szCs w:val="26"/>
        </w:rPr>
        <w:t xml:space="preserve"> </w:t>
      </w:r>
    </w:p>
  </w:footnote>
  <w:footnote w:id="5">
    <w:p w:rsidR="003E6532" w:rsidRPr="00003DE9" w:rsidRDefault="00865C66" w:rsidP="00003DE9">
      <w:pPr>
        <w:pStyle w:val="FootnoteText"/>
        <w:spacing w:after="120"/>
        <w:rPr>
          <w:szCs w:val="26"/>
        </w:rPr>
      </w:pPr>
      <w:r w:rsidRPr="00003DE9">
        <w:rPr>
          <w:szCs w:val="26"/>
        </w:rPr>
        <w:tab/>
      </w:r>
      <w:r w:rsidRPr="00003DE9">
        <w:rPr>
          <w:rStyle w:val="FootnoteReference"/>
          <w:szCs w:val="26"/>
        </w:rPr>
        <w:footnoteRef/>
      </w:r>
      <w:r w:rsidRPr="00003DE9">
        <w:rPr>
          <w:szCs w:val="26"/>
        </w:rPr>
        <w:t xml:space="preserve"> Also of note, the December 7, 2016 side agreement contained the following provision:  “The Department and the Union [i.e., the Association] agree to meet to discuss operational </w:t>
      </w:r>
      <w:r w:rsidRPr="00003DE9">
        <w:rPr>
          <w:szCs w:val="26"/>
        </w:rPr>
        <w:t>and implementational issues around the Use of Force Policy.  The parties will meet monthly for the first six months after the implementation of the Use of Force Policy, then quarterly.  The meetings will continue for the term of the current</w:t>
      </w:r>
      <w:r>
        <w:rPr>
          <w:szCs w:val="26"/>
        </w:rPr>
        <w:t xml:space="preserve"> Memorandum of U</w:t>
      </w:r>
      <w:r>
        <w:rPr>
          <w:szCs w:val="26"/>
        </w:rPr>
        <w:t xml:space="preserve">nderstanding.” </w:t>
      </w:r>
      <w:r w:rsidRPr="00003DE9">
        <w:rPr>
          <w:szCs w:val="26"/>
        </w:rPr>
        <w:t xml:space="preserve"> Thus, before the Association filed its amended grievance, in which it requested “[a] determination that the Commission had an obligation to meet and confer over t</w:t>
      </w:r>
      <w:r w:rsidRPr="00003DE9">
        <w:rPr>
          <w:szCs w:val="26"/>
        </w:rPr>
        <w:t>he impacts of the Use of Force P</w:t>
      </w:r>
      <w:r w:rsidRPr="00003DE9">
        <w:rPr>
          <w:szCs w:val="26"/>
        </w:rPr>
        <w:t>olicy on officer safety, training, workload an</w:t>
      </w:r>
      <w:r w:rsidRPr="00003DE9">
        <w:rPr>
          <w:szCs w:val="26"/>
        </w:rPr>
        <w:t xml:space="preserve">d discipline,” the parties had already set forth a means of jointly addressing any impacts </w:t>
      </w:r>
      <w:r w:rsidRPr="00003DE9">
        <w:rPr>
          <w:i/>
          <w:szCs w:val="26"/>
        </w:rPr>
        <w:t>following</w:t>
      </w:r>
      <w:r w:rsidRPr="00003DE9">
        <w:rPr>
          <w:szCs w:val="26"/>
        </w:rPr>
        <w:t xml:space="preserve"> implementation of the policy that are within the scop</w:t>
      </w:r>
      <w:r>
        <w:rPr>
          <w:szCs w:val="26"/>
        </w:rPr>
        <w:t xml:space="preserve">e of representation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20"/>
    <w:rsid w:val="00553020"/>
    <w:rsid w:val="00865C66"/>
    <w:rsid w:val="00E633A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atentStyles>
  <w:style w:type="paragraph" w:default="1" w:styleId="Normal">
    <w:name w:val="Normal"/>
    <w:qFormat/>
    <w:rsid w:val="00D86560"/>
    <w:pPr>
      <w:tabs>
        <w:tab w:val="left" w:pos="720"/>
      </w:tabs>
      <w:spacing w:line="480" w:lineRule="atLeast"/>
    </w:pPr>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0FDD"/>
    <w:pPr>
      <w:tabs>
        <w:tab w:val="center" w:pos="4320"/>
        <w:tab w:val="right" w:pos="8640"/>
      </w:tabs>
    </w:pPr>
    <w:rPr>
      <w:rFonts w:eastAsiaTheme="minorHAnsi"/>
    </w:rPr>
  </w:style>
  <w:style w:type="character" w:customStyle="1" w:styleId="FooterChar">
    <w:name w:val="Footer Char"/>
    <w:basedOn w:val="DefaultParagraphFont"/>
    <w:link w:val="Footer"/>
    <w:uiPriority w:val="99"/>
    <w:rsid w:val="00FA0FDD"/>
    <w:rPr>
      <w:rFonts w:eastAsiaTheme="minorHAnsi"/>
    </w:rPr>
  </w:style>
  <w:style w:type="character" w:styleId="PageNumber">
    <w:name w:val="page number"/>
    <w:basedOn w:val="DefaultParagraphFont"/>
    <w:uiPriority w:val="99"/>
    <w:semiHidden/>
    <w:unhideWhenUsed/>
    <w:rsid w:val="00FA0FDD"/>
  </w:style>
  <w:style w:type="character" w:styleId="Emphasis">
    <w:name w:val="Emphasis"/>
    <w:basedOn w:val="DefaultParagraphFont"/>
    <w:uiPriority w:val="20"/>
    <w:rsid w:val="001A008A"/>
    <w:rPr>
      <w:i/>
    </w:rPr>
  </w:style>
  <w:style w:type="character" w:customStyle="1" w:styleId="apple-converted-space">
    <w:name w:val="apple-converted-space"/>
    <w:basedOn w:val="DefaultParagraphFont"/>
    <w:rsid w:val="001A008A"/>
  </w:style>
  <w:style w:type="character" w:customStyle="1" w:styleId="costarpage">
    <w:name w:val="co_starpage"/>
    <w:basedOn w:val="DefaultParagraphFont"/>
    <w:rsid w:val="001A008A"/>
  </w:style>
  <w:style w:type="character" w:customStyle="1" w:styleId="cohlgreencoselection2">
    <w:name w:val="co_hl green co_selection_2"/>
    <w:basedOn w:val="DefaultParagraphFont"/>
    <w:rsid w:val="001A008A"/>
  </w:style>
  <w:style w:type="character" w:customStyle="1" w:styleId="cohlbluecoselection0">
    <w:name w:val="co_hl blue co_selection_0"/>
    <w:basedOn w:val="DefaultParagraphFont"/>
    <w:rsid w:val="009C4C11"/>
  </w:style>
  <w:style w:type="paragraph" w:styleId="FootnoteText">
    <w:name w:val="footnote text"/>
    <w:link w:val="FootnoteTextChar"/>
    <w:uiPriority w:val="99"/>
    <w:unhideWhenUsed/>
    <w:rsid w:val="007316F5"/>
    <w:rPr>
      <w:rFonts w:ascii="Times New Roman" w:hAnsi="Times New Roman" w:cs="Times New Roman"/>
      <w:sz w:val="26"/>
      <w:szCs w:val="20"/>
    </w:rPr>
  </w:style>
  <w:style w:type="character" w:customStyle="1" w:styleId="FootnoteTextChar">
    <w:name w:val="Footnote Text Char"/>
    <w:basedOn w:val="DefaultParagraphFont"/>
    <w:link w:val="FootnoteText"/>
    <w:uiPriority w:val="99"/>
    <w:rsid w:val="007316F5"/>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7316F5"/>
    <w:rPr>
      <w:vertAlign w:val="superscript"/>
    </w:rPr>
  </w:style>
  <w:style w:type="paragraph" w:styleId="BalloonText">
    <w:name w:val="Balloon Text"/>
    <w:basedOn w:val="Normal"/>
    <w:link w:val="BalloonTextChar"/>
    <w:rsid w:val="00E42D0B"/>
    <w:rPr>
      <w:rFonts w:ascii="Lucida Grande" w:hAnsi="Lucida Grande"/>
      <w:sz w:val="18"/>
      <w:szCs w:val="18"/>
    </w:rPr>
  </w:style>
  <w:style w:type="character" w:customStyle="1" w:styleId="BalloonTextChar">
    <w:name w:val="Balloon Text Char"/>
    <w:basedOn w:val="DefaultParagraphFont"/>
    <w:link w:val="BalloonText"/>
    <w:rsid w:val="00E42D0B"/>
    <w:rPr>
      <w:rFonts w:ascii="Lucida Grande" w:hAnsi="Lucida Grande"/>
      <w:sz w:val="18"/>
      <w:szCs w:val="18"/>
    </w:rPr>
  </w:style>
  <w:style w:type="paragraph" w:styleId="Header">
    <w:name w:val="header"/>
    <w:basedOn w:val="Normal"/>
    <w:link w:val="HeaderChar"/>
    <w:unhideWhenUsed/>
    <w:rsid w:val="00B95A66"/>
    <w:pPr>
      <w:tabs>
        <w:tab w:val="center" w:pos="4680"/>
        <w:tab w:val="right" w:pos="9360"/>
      </w:tabs>
    </w:pPr>
  </w:style>
  <w:style w:type="character" w:customStyle="1" w:styleId="HeaderChar">
    <w:name w:val="Header Char"/>
    <w:basedOn w:val="DefaultParagraphFont"/>
    <w:link w:val="Header"/>
    <w:rsid w:val="00B95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5509</Words>
  <Characters>29211</Characters>
  <Application>Microsoft Office Word</Application>
  <DocSecurity>0</DocSecurity>
  <Lines>511</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2018-09-26T20:45:00Z</dcterms:created>
  <dcterms:modified xsi:type="dcterms:W3CDTF">2018-09-26T20:45:00Z</dcterms:modified>
  <cp:category/>
</cp:coreProperties>
</file>