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772D62" w:rsidP="00772D62">
      <w:pPr>
        <w:spacing w:line="240" w:lineRule="auto"/>
        <w:rPr>
          <w:rFonts w:eastAsia="Times New Roman"/>
          <w:sz w:val="20"/>
        </w:rPr>
      </w:pPr>
      <w:bookmarkStart w:id="0" w:name="_GoBack"/>
      <w:bookmarkEnd w:id="0"/>
      <w:r>
        <w:rPr>
          <w:rFonts w:eastAsia="Times New Roman"/>
          <w:sz w:val="20"/>
        </w:rPr>
        <w:t>Filed 12/12/19</w:t>
      </w:r>
    </w:p>
    <w:p w:rsidR="00772D62" w:rsidRPr="00772D62" w:rsidP="00772D62">
      <w:pPr>
        <w:spacing w:line="240" w:lineRule="auto"/>
        <w:jc w:val="center"/>
        <w:rPr>
          <w:rFonts w:eastAsia="Times New Roman"/>
        </w:rPr>
      </w:pPr>
      <w:r>
        <w:rPr>
          <w:rFonts w:eastAsia="Times New Roman"/>
          <w:b/>
        </w:rPr>
        <w:t>CERTIFIED FOR PARTIAL PUBLICATION</w:t>
      </w:r>
      <w:r>
        <w:rPr>
          <w:rStyle w:val="FootnoteReference"/>
          <w:rFonts w:eastAsia="Times New Roman"/>
          <w:b/>
        </w:rPr>
        <w:footnoteReference w:customMarkFollows="1" w:id="2"/>
        <w:t xml:space="preserve">*</w:t>
      </w:r>
    </w:p>
    <w:p w:rsidR="00772D62" w:rsidRPr="00772D62" w:rsidP="00772D62">
      <w:pPr>
        <w:spacing w:line="240" w:lineRule="auto"/>
        <w:rPr>
          <w:rFonts w:eastAsia="Times New Roman"/>
          <w:sz w:val="20"/>
        </w:rPr>
      </w:pPr>
    </w:p>
    <w:p w:rsidR="00EC5827" w:rsidRPr="008E253E" w:rsidP="009A506B">
      <w:pPr>
        <w:spacing w:line="240" w:lineRule="auto"/>
        <w:jc w:val="center"/>
        <w:rPr>
          <w:rFonts w:eastAsia="Times New Roman"/>
        </w:rPr>
      </w:pPr>
      <w:r w:rsidRPr="008E253E">
        <w:rPr>
          <w:rFonts w:eastAsia="Times New Roman"/>
        </w:rPr>
        <w:t>IN THE COURT OF APPEAL OF THE STATE OF CALIFORNIA</w:t>
      </w:r>
    </w:p>
    <w:p w:rsidR="001B203E" w:rsidRPr="008E253E" w:rsidP="009A506B">
      <w:pPr>
        <w:spacing w:line="240" w:lineRule="auto"/>
        <w:jc w:val="center"/>
        <w:rPr>
          <w:rFonts w:eastAsia="Times New Roman"/>
        </w:rPr>
      </w:pPr>
    </w:p>
    <w:p w:rsidR="001B203E" w:rsidRPr="008E253E" w:rsidP="009A506B">
      <w:pPr>
        <w:spacing w:line="240" w:lineRule="auto"/>
        <w:jc w:val="center"/>
        <w:rPr>
          <w:rFonts w:eastAsia="Times New Roman"/>
        </w:rPr>
      </w:pPr>
      <w:r w:rsidRPr="008E253E">
        <w:rPr>
          <w:rFonts w:eastAsia="Times New Roman"/>
        </w:rPr>
        <w:t>FIRST APPELLATE DISTRICT</w:t>
      </w:r>
    </w:p>
    <w:p w:rsidR="001B203E" w:rsidRPr="008E253E" w:rsidP="009A506B">
      <w:pPr>
        <w:spacing w:line="240" w:lineRule="auto"/>
        <w:jc w:val="center"/>
        <w:rPr>
          <w:rFonts w:eastAsia="Times New Roman"/>
        </w:rPr>
      </w:pPr>
    </w:p>
    <w:p w:rsidR="001B203E" w:rsidRPr="008E253E" w:rsidP="009A506B">
      <w:pPr>
        <w:spacing w:line="240" w:lineRule="auto"/>
        <w:jc w:val="center"/>
        <w:rPr>
          <w:rFonts w:eastAsia="Times New Roman"/>
        </w:rPr>
      </w:pPr>
      <w:r w:rsidRPr="008E253E">
        <w:rPr>
          <w:rFonts w:eastAsia="Times New Roman"/>
        </w:rPr>
        <w:t>DIVISION TWO</w:t>
      </w:r>
    </w:p>
    <w:p w:rsidR="001B203E" w:rsidRPr="008E253E" w:rsidP="00FD579F">
      <w:pPr>
        <w:spacing w:line="240" w:lineRule="auto"/>
        <w:jc w:val="center"/>
        <w:rPr>
          <w:rFonts w:eastAsia="Times New Roman"/>
        </w:rPr>
      </w:pPr>
    </w:p>
    <w:p w:rsidR="001B203E" w:rsidRPr="008E253E" w:rsidP="00FD579F">
      <w:pPr>
        <w:spacing w:line="240" w:lineRule="auto"/>
        <w:jc w:val="center"/>
        <w:rPr>
          <w:rFonts w:eastAsia="Times New Roman"/>
        </w:rPr>
      </w:pPr>
    </w:p>
    <w:tbl>
      <w:tblPr>
        <w:tblW w:w="0" w:type="auto"/>
        <w:tblInd w:w="0" w:type="dxa"/>
        <w:tblLayout w:type="fixed"/>
        <w:tblCellMar>
          <w:top w:w="0" w:type="dxa"/>
          <w:left w:w="108" w:type="dxa"/>
          <w:bottom w:w="0" w:type="dxa"/>
          <w:right w:w="108" w:type="dxa"/>
        </w:tblCellMar>
        <w:tblLook w:val="0000"/>
      </w:tblPr>
      <w:tblGrid>
        <w:gridCol w:w="4770"/>
        <w:gridCol w:w="4590"/>
      </w:tblGrid>
      <w:tr w:rsidTr="00FD579F">
        <w:tblPrEx>
          <w:tblW w:w="0" w:type="auto"/>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1B203E" w:rsidRPr="008E253E" w:rsidP="003F45BE">
            <w:pPr>
              <w:tabs>
                <w:tab w:val="left" w:pos="720"/>
              </w:tabs>
              <w:spacing w:after="12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ENA NORTH BEACH, INC., et al.</w:t>
            </w:r>
            <w:r>
              <w:rPr>
                <w:rFonts w:ascii="Times New Roman" w:eastAsia="Times New Roman" w:hAnsi="Times New Roman" w:cs="Times New Roman"/>
                <w:sz w:val="26"/>
                <w:szCs w:val="22"/>
                <w:lang w:val="en-US" w:eastAsia="en-US" w:bidi="ar-SA"/>
              </w:rPr>
              <w:t>,</w:t>
            </w:r>
          </w:p>
          <w:p w:rsidR="001B203E" w:rsidRPr="008E253E" w:rsidP="003F45BE">
            <w:pPr>
              <w:tabs>
                <w:tab w:val="left" w:pos="720"/>
              </w:tabs>
              <w:spacing w:after="12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hAnsi="Times New Roman" w:eastAsiaTheme="minorHAnsi" w:cs="Times New Roman"/>
                <w:sz w:val="26"/>
                <w:szCs w:val="22"/>
                <w:lang w:val="en-US" w:eastAsia="en-US" w:bidi="ar-SA"/>
              </w:rPr>
              <w:tab/>
            </w:r>
            <w:r w:rsidRPr="008E253E">
              <w:rPr>
                <w:rFonts w:ascii="Times New Roman" w:eastAsia="Times New Roman" w:hAnsi="Times New Roman" w:cs="Times New Roman"/>
                <w:sz w:val="26"/>
                <w:szCs w:val="22"/>
                <w:lang w:val="en-US" w:eastAsia="en-US" w:bidi="ar-SA"/>
              </w:rPr>
              <w:t>Plaintiffs and Appellants,</w:t>
            </w:r>
          </w:p>
          <w:p w:rsidR="001B203E" w:rsidRPr="008E253E" w:rsidP="003F45BE">
            <w:pPr>
              <w:tabs>
                <w:tab w:val="left" w:pos="720"/>
              </w:tabs>
              <w:spacing w:after="12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v.</w:t>
            </w:r>
          </w:p>
          <w:p w:rsidR="001B203E" w:rsidRPr="008E253E" w:rsidP="003F45BE">
            <w:pPr>
              <w:tabs>
                <w:tab w:val="left" w:pos="720"/>
              </w:tabs>
              <w:spacing w:after="12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524 UNION STREET et al.,</w:t>
            </w:r>
          </w:p>
          <w:p w:rsidR="001B203E" w:rsidRPr="008E253E" w:rsidP="003F45BE">
            <w:pPr>
              <w:tabs>
                <w:tab w:val="left" w:pos="720"/>
              </w:tabs>
              <w:spacing w:after="12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hAnsi="Times New Roman" w:eastAsiaTheme="minorHAnsi" w:cs="Times New Roman"/>
                <w:sz w:val="26"/>
                <w:szCs w:val="22"/>
                <w:lang w:val="en-US" w:eastAsia="en-US" w:bidi="ar-SA"/>
              </w:rPr>
              <w:tab/>
            </w:r>
            <w:r w:rsidRPr="008E253E">
              <w:rPr>
                <w:rFonts w:ascii="Times New Roman" w:eastAsia="Times New Roman" w:hAnsi="Times New Roman" w:cs="Times New Roman"/>
                <w:sz w:val="26"/>
                <w:szCs w:val="22"/>
                <w:lang w:val="en-US" w:eastAsia="en-US" w:bidi="ar-SA"/>
              </w:rPr>
              <w:t>Defendants and Appellants.</w:t>
            </w:r>
          </w:p>
        </w:tc>
        <w:tc>
          <w:tcPr>
            <w:tcW w:w="4590" w:type="dxa"/>
            <w:tcBorders>
              <w:left w:val="single" w:sz="4" w:space="0" w:color="auto"/>
            </w:tcBorders>
            <w:shd w:val="clear" w:color="auto" w:fill="auto"/>
          </w:tcPr>
          <w:p w:rsidR="001B203E"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p>
          <w:p w:rsidR="001B203E"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p>
          <w:p w:rsidR="001B203E"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 xml:space="preserve">      A152431</w:t>
            </w:r>
          </w:p>
          <w:p w:rsidR="001B203E"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p>
          <w:p w:rsidR="00620859" w:rsidRPr="008E253E" w:rsidP="00620859">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 xml:space="preserve">      (San Francisco County</w:t>
            </w:r>
            <w:r>
              <w:rPr>
                <w:rFonts w:ascii="Times New Roman" w:eastAsia="Times New Roman" w:hAnsi="Times New Roman" w:cs="Times New Roman"/>
                <w:sz w:val="26"/>
                <w:szCs w:val="22"/>
                <w:lang w:val="en-US" w:eastAsia="en-US" w:bidi="ar-SA"/>
              </w:rPr>
              <w:t xml:space="preserve"> </w:t>
            </w:r>
          </w:p>
          <w:p w:rsidR="00620859" w:rsidRPr="008E253E" w:rsidP="00620859">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 xml:space="preserve">      Super. Ct. No. CGC-15-547922)</w:t>
            </w:r>
          </w:p>
          <w:p w:rsidR="001B203E"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p>
        </w:tc>
      </w:tr>
      <w:tr w:rsidTr="00FD579F">
        <w:tblPrEx>
          <w:tblW w:w="0" w:type="auto"/>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522D77" w:rsidRPr="008E253E" w:rsidP="001C14B0">
            <w:pPr>
              <w:tabs>
                <w:tab w:val="left" w:pos="720"/>
              </w:tabs>
              <w:spacing w:before="120" w:after="12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ENA NORTH BEACH, INC., et al.,</w:t>
            </w:r>
          </w:p>
          <w:p w:rsidR="00522D77" w:rsidRPr="008E253E" w:rsidP="003F45BE">
            <w:pPr>
              <w:tabs>
                <w:tab w:val="left" w:pos="720"/>
              </w:tabs>
              <w:spacing w:after="12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hAnsi="Times New Roman" w:eastAsiaTheme="minorHAnsi" w:cs="Times New Roman"/>
                <w:sz w:val="26"/>
                <w:szCs w:val="22"/>
                <w:lang w:val="en-US" w:eastAsia="en-US" w:bidi="ar-SA"/>
              </w:rPr>
              <w:tab/>
            </w:r>
            <w:r w:rsidRPr="008E253E">
              <w:rPr>
                <w:rFonts w:ascii="Times New Roman" w:eastAsia="Times New Roman" w:hAnsi="Times New Roman" w:cs="Times New Roman"/>
                <w:sz w:val="26"/>
                <w:szCs w:val="22"/>
                <w:lang w:val="en-US" w:eastAsia="en-US" w:bidi="ar-SA"/>
              </w:rPr>
              <w:t>Plaintiffs and Respondents,</w:t>
            </w:r>
          </w:p>
          <w:p w:rsidR="00522D77" w:rsidRPr="008E253E" w:rsidP="003F45BE">
            <w:pPr>
              <w:tabs>
                <w:tab w:val="left" w:pos="720"/>
              </w:tabs>
              <w:spacing w:after="12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v.</w:t>
            </w:r>
          </w:p>
          <w:p w:rsidR="00522D77" w:rsidRPr="008E253E" w:rsidP="003F45BE">
            <w:pPr>
              <w:tabs>
                <w:tab w:val="left" w:pos="720"/>
              </w:tabs>
              <w:spacing w:after="12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524 UNION STREET et al.,</w:t>
            </w:r>
          </w:p>
          <w:p w:rsidR="00522D77" w:rsidRPr="008E253E" w:rsidP="003F45BE">
            <w:pPr>
              <w:tabs>
                <w:tab w:val="left" w:pos="720"/>
              </w:tabs>
              <w:spacing w:after="12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hAnsi="Times New Roman" w:eastAsiaTheme="minorHAnsi" w:cs="Times New Roman"/>
                <w:sz w:val="26"/>
                <w:szCs w:val="22"/>
                <w:lang w:val="en-US" w:eastAsia="en-US" w:bidi="ar-SA"/>
              </w:rPr>
              <w:tab/>
            </w:r>
            <w:r w:rsidRPr="008E253E">
              <w:rPr>
                <w:rFonts w:ascii="Times New Roman" w:eastAsia="Times New Roman" w:hAnsi="Times New Roman" w:cs="Times New Roman"/>
                <w:sz w:val="26"/>
                <w:szCs w:val="22"/>
                <w:lang w:val="en-US" w:eastAsia="en-US" w:bidi="ar-SA"/>
              </w:rPr>
              <w:t>Defendants and Appellants.</w:t>
            </w:r>
          </w:p>
        </w:tc>
        <w:tc>
          <w:tcPr>
            <w:tcW w:w="4590" w:type="dxa"/>
            <w:tcBorders>
              <w:left w:val="single" w:sz="4" w:space="0" w:color="auto"/>
            </w:tcBorders>
            <w:shd w:val="clear" w:color="auto" w:fill="auto"/>
          </w:tcPr>
          <w:p w:rsidR="00522D77"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p>
          <w:p w:rsidR="00522D77"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p>
          <w:p w:rsidR="00522D77"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 xml:space="preserve">      A152937</w:t>
            </w:r>
          </w:p>
          <w:p w:rsidR="00522D77"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p>
          <w:p w:rsidR="00522D77"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 xml:space="preserve">      (San Francisco County</w:t>
            </w:r>
          </w:p>
          <w:p w:rsidR="00522D77"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r w:rsidRPr="008E253E">
              <w:rPr>
                <w:rFonts w:ascii="Times New Roman" w:eastAsia="Times New Roman" w:hAnsi="Times New Roman" w:cs="Times New Roman"/>
                <w:sz w:val="26"/>
                <w:szCs w:val="22"/>
                <w:lang w:val="en-US" w:eastAsia="en-US" w:bidi="ar-SA"/>
              </w:rPr>
              <w:t xml:space="preserve">      Super. Ct. No. CGC-15-547922)</w:t>
            </w:r>
          </w:p>
          <w:p w:rsidR="00522D77" w:rsidRPr="008E253E" w:rsidP="003F45BE">
            <w:pPr>
              <w:tabs>
                <w:tab w:val="left" w:pos="720"/>
              </w:tabs>
              <w:spacing w:after="0" w:line="240" w:lineRule="auto"/>
              <w:rPr>
                <w:rStyle w:val="DefaultParagraphFont"/>
                <w:rFonts w:ascii="Times New Roman" w:eastAsia="Times New Roman" w:hAnsi="Times New Roman" w:cs="Times New Roman"/>
                <w:sz w:val="26"/>
                <w:szCs w:val="22"/>
                <w:lang w:val="en-US" w:eastAsia="en-US" w:bidi="ar-SA"/>
              </w:rPr>
            </w:pPr>
          </w:p>
        </w:tc>
      </w:tr>
    </w:tbl>
    <w:p w:rsidR="18FA47F1" w:rsidRPr="008E253E" w:rsidP="003F45BE">
      <w:pPr>
        <w:spacing w:line="240" w:lineRule="auto"/>
        <w:rPr>
          <w:rFonts w:eastAsia="Times New Roman"/>
        </w:rPr>
      </w:pPr>
    </w:p>
    <w:p w:rsidR="00AE79DC" w:rsidRPr="00452DA6" w:rsidP="003F45BE">
      <w:pPr>
        <w:spacing w:line="360" w:lineRule="auto"/>
        <w:rPr>
          <w:rFonts w:eastAsia="Times New Roman"/>
        </w:rPr>
      </w:pPr>
      <w:r w:rsidRPr="008E253E">
        <w:rPr>
          <w:rFonts w:eastAsia="Times New Roman"/>
        </w:rPr>
        <w:tab/>
        <w:t xml:space="preserve">After leasing premises owned by 524 Union Street for purposes of opening a restaurant, respondent ENA North Beach was unable to open because the San Francisco Planning Department determined that an existing conditional use authorization for the property was no longer effective and a new one could not be granted.  ENA North Beach filed suit against the lessors, claiming false representations and failure to disclose material facts regarding the problems with the conditional use authorization.  A jury found in favor of ENA North Beach and awarded compensatory and punitive damages.  This appeal challenges the sufficiency of the evidence to support the jury’s verdict.  ENA North Beach’s cross-appeal challenges the trial court’s decision to reduce the amount of the punitive damages award against 524 Union Street.  We conclude that the jury’s </w:t>
      </w:r>
      <w:r w:rsidRPr="008E253E">
        <w:rPr>
          <w:rFonts w:eastAsia="Times New Roman"/>
        </w:rPr>
        <w:t xml:space="preserve">verdict on liability, including liability for punitive damages, is supported by substantial </w:t>
      </w:r>
      <w:r>
        <w:rPr>
          <w:rFonts w:eastAsia="Times New Roman"/>
        </w:rPr>
        <w:t xml:space="preserve">evidence.  </w:t>
      </w:r>
      <w:r w:rsidRPr="00452DA6">
        <w:rPr>
          <w:rFonts w:eastAsia="Times New Roman"/>
        </w:rPr>
        <w:t>Although we conclude the trial court employed an improper procedural mechanism in reducing the amount of the punitive damages award, we affirm the judgment for the reasons explained herein.</w:t>
      </w:r>
    </w:p>
    <w:p w:rsidR="00317438" w:rsidRPr="004149EC" w:rsidP="009A506B">
      <w:pPr>
        <w:spacing w:line="360" w:lineRule="auto"/>
        <w:jc w:val="center"/>
        <w:rPr>
          <w:rFonts w:eastAsia="Times New Roman"/>
          <w:b/>
        </w:rPr>
      </w:pPr>
      <w:r w:rsidRPr="004149EC">
        <w:rPr>
          <w:rFonts w:eastAsia="Times New Roman"/>
          <w:b/>
        </w:rPr>
        <w:t>BACKGROUND</w:t>
      </w:r>
    </w:p>
    <w:p w:rsidR="00401C9E" w:rsidP="00723984">
      <w:pPr>
        <w:spacing w:line="360" w:lineRule="auto"/>
        <w:ind w:firstLine="720"/>
        <w:rPr>
          <w:rFonts w:eastAsia="Times New Roman"/>
        </w:rPr>
      </w:pPr>
      <w:r>
        <w:rPr>
          <w:rFonts w:eastAsia="Times New Roman"/>
        </w:rPr>
        <w:t xml:space="preserve">Natasha </w:t>
      </w:r>
      <w:r w:rsidRPr="5CA9A013">
        <w:rPr>
          <w:rFonts w:eastAsia="Times New Roman"/>
        </w:rPr>
        <w:t xml:space="preserve">Hong, </w:t>
      </w:r>
      <w:r>
        <w:rPr>
          <w:rFonts w:eastAsia="Times New Roman"/>
        </w:rPr>
        <w:t>the president of ENA North Beach</w:t>
      </w:r>
      <w:r w:rsidRPr="5CA9A013">
        <w:rPr>
          <w:rFonts w:eastAsia="Times New Roman"/>
        </w:rPr>
        <w:t xml:space="preserve">, sought to open </w:t>
      </w:r>
      <w:r>
        <w:rPr>
          <w:rFonts w:eastAsia="Times New Roman"/>
        </w:rPr>
        <w:t>a</w:t>
      </w:r>
      <w:r w:rsidRPr="5CA9A013">
        <w:rPr>
          <w:rFonts w:eastAsia="Times New Roman"/>
        </w:rPr>
        <w:t xml:space="preserve"> </w:t>
      </w:r>
      <w:r>
        <w:rPr>
          <w:rFonts w:eastAsia="Times New Roman"/>
        </w:rPr>
        <w:t xml:space="preserve">restaurant with a license to serve beer and wine </w:t>
      </w:r>
      <w:r w:rsidRPr="5CA9A013">
        <w:rPr>
          <w:rFonts w:eastAsia="Times New Roman"/>
        </w:rPr>
        <w:t>in a building owned by 524 Union Street</w:t>
      </w:r>
      <w:r>
        <w:rPr>
          <w:rFonts w:eastAsia="Times New Roman"/>
        </w:rPr>
        <w:t xml:space="preserve"> (524 Union)</w:t>
      </w:r>
      <w:r w:rsidRPr="5CA9A013">
        <w:rPr>
          <w:rFonts w:eastAsia="Times New Roman"/>
        </w:rPr>
        <w:t xml:space="preserve">, a space which had housed restaurants for many years.  </w:t>
      </w:r>
      <w:r>
        <w:rPr>
          <w:rFonts w:eastAsia="Times New Roman"/>
        </w:rPr>
        <w:t xml:space="preserve">524 </w:t>
      </w:r>
      <w:r w:rsidRPr="5CA9A013">
        <w:rPr>
          <w:rFonts w:eastAsia="Times New Roman"/>
        </w:rPr>
        <w:t>Union is a general partnership, of which Beverly Smucha is the managing partner and her son, Barak Smucha, a partner.</w:t>
      </w:r>
      <w:r>
        <w:rPr>
          <w:rStyle w:val="FootnoteReference"/>
          <w:rFonts w:eastAsia="Times New Roman"/>
        </w:rPr>
        <w:footnoteReference w:id="3"/>
      </w:r>
      <w:r w:rsidRPr="5CA9A013">
        <w:rPr>
          <w:rFonts w:eastAsia="Times New Roman"/>
        </w:rPr>
        <w:t xml:space="preserve">  </w:t>
      </w:r>
      <w:r>
        <w:rPr>
          <w:rFonts w:eastAsia="Times New Roman"/>
        </w:rPr>
        <w:t>Beverly estimated she had owned the property for 35 or 40 years.  Prior tenants had operated under a</w:t>
      </w:r>
      <w:r w:rsidRPr="5CA9A013">
        <w:rPr>
          <w:rFonts w:eastAsia="Times New Roman"/>
        </w:rPr>
        <w:t xml:space="preserve"> conditional use authorization</w:t>
      </w:r>
      <w:r>
        <w:rPr>
          <w:rStyle w:val="FootnoteReference"/>
          <w:rFonts w:eastAsia="Times New Roman"/>
        </w:rPr>
        <w:footnoteReference w:id="4"/>
      </w:r>
      <w:r w:rsidRPr="5CA9A013">
        <w:rPr>
          <w:rFonts w:eastAsia="Times New Roman"/>
        </w:rPr>
        <w:t xml:space="preserve"> </w:t>
      </w:r>
      <w:r>
        <w:rPr>
          <w:rFonts w:eastAsia="Times New Roman"/>
        </w:rPr>
        <w:t xml:space="preserve">for a “full-service restaurant and bar” </w:t>
      </w:r>
      <w:r w:rsidRPr="5CA9A013">
        <w:rPr>
          <w:rFonts w:eastAsia="Times New Roman"/>
        </w:rPr>
        <w:t>obtained in 1998.  Under the San Francisco Planning Code</w:t>
      </w:r>
      <w:r>
        <w:rPr>
          <w:rFonts w:eastAsia="Times New Roman"/>
        </w:rPr>
        <w:t xml:space="preserve"> (Planning Code)</w:t>
      </w:r>
      <w:r w:rsidRPr="5CA9A013">
        <w:rPr>
          <w:rFonts w:eastAsia="Times New Roman"/>
        </w:rPr>
        <w:t>, a new full</w:t>
      </w:r>
      <w:r>
        <w:rPr>
          <w:rFonts w:eastAsia="Times New Roman"/>
        </w:rPr>
        <w:t>-</w:t>
      </w:r>
      <w:r w:rsidRPr="5CA9A013">
        <w:rPr>
          <w:rFonts w:eastAsia="Times New Roman"/>
        </w:rPr>
        <w:t xml:space="preserve">service restaurant could be operated in this space only if there had not been a gap in operations of such a restaurant for more than three years, as the conditional use authorization would lapse if the </w:t>
      </w:r>
      <w:r>
        <w:rPr>
          <w:rFonts w:eastAsia="Times New Roman"/>
        </w:rPr>
        <w:t>approved use was discontinued</w:t>
      </w:r>
      <w:r w:rsidRPr="5CA9A013">
        <w:rPr>
          <w:rFonts w:eastAsia="Times New Roman"/>
        </w:rPr>
        <w:t xml:space="preserve"> for more than three years.  (S.F. Planning Code, § 178</w:t>
      </w:r>
      <w:r>
        <w:rPr>
          <w:rFonts w:eastAsia="Times New Roman"/>
        </w:rPr>
        <w:t xml:space="preserve">, subd. </w:t>
      </w:r>
      <w:r w:rsidRPr="5CA9A013">
        <w:rPr>
          <w:rFonts w:eastAsia="Times New Roman"/>
        </w:rPr>
        <w:t>(d).)</w:t>
      </w:r>
      <w:r>
        <w:rPr>
          <w:rStyle w:val="FootnoteReference"/>
          <w:rFonts w:eastAsia="Times New Roman"/>
        </w:rPr>
        <w:footnoteReference w:id="5"/>
      </w:r>
      <w:r w:rsidRPr="5CA9A013">
        <w:rPr>
          <w:rFonts w:eastAsia="Times New Roman"/>
        </w:rPr>
        <w:t xml:space="preserve">  </w:t>
      </w:r>
      <w:r w:rsidRPr="00401C9E">
        <w:rPr>
          <w:rFonts w:eastAsia="Times New Roman"/>
        </w:rPr>
        <w:t xml:space="preserve">The continued validity of the existing conditional use authorization was critical to Hong’s ability to open </w:t>
      </w:r>
      <w:r>
        <w:rPr>
          <w:rFonts w:eastAsia="Times New Roman"/>
        </w:rPr>
        <w:t>her</w:t>
      </w:r>
      <w:r w:rsidRPr="00401C9E">
        <w:rPr>
          <w:rFonts w:eastAsia="Times New Roman"/>
        </w:rPr>
        <w:t xml:space="preserve"> restaurant because an ordinance adopted in 2012 prohibited approval of a new conditional use </w:t>
      </w:r>
      <w:r>
        <w:rPr>
          <w:rFonts w:eastAsia="Times New Roman"/>
        </w:rPr>
        <w:t>authorization</w:t>
      </w:r>
      <w:r w:rsidRPr="00401C9E">
        <w:rPr>
          <w:rFonts w:eastAsia="Times New Roman"/>
        </w:rPr>
        <w:t xml:space="preserve"> </w:t>
      </w:r>
      <w:r w:rsidRPr="00401C9E">
        <w:rPr>
          <w:rFonts w:eastAsia="Times New Roman"/>
        </w:rPr>
        <w:t xml:space="preserve">for a </w:t>
      </w:r>
      <w:r>
        <w:rPr>
          <w:rFonts w:eastAsia="Times New Roman"/>
        </w:rPr>
        <w:t xml:space="preserve">full-service </w:t>
      </w:r>
      <w:r w:rsidRPr="00401C9E">
        <w:rPr>
          <w:rFonts w:eastAsia="Times New Roman"/>
        </w:rPr>
        <w:t>restaurant in this location.  (S.F. Planning Code, §</w:t>
      </w:r>
      <w:r>
        <w:rPr>
          <w:rFonts w:eastAsia="Times New Roman"/>
        </w:rPr>
        <w:t> </w:t>
      </w:r>
      <w:r w:rsidRPr="00401C9E">
        <w:rPr>
          <w:rFonts w:eastAsia="Times New Roman"/>
        </w:rPr>
        <w:t>780.3</w:t>
      </w:r>
      <w:r>
        <w:rPr>
          <w:rFonts w:eastAsia="Times New Roman"/>
        </w:rPr>
        <w:t xml:space="preserve">, subd. </w:t>
      </w:r>
      <w:r w:rsidRPr="00401C9E">
        <w:rPr>
          <w:rFonts w:eastAsia="Times New Roman"/>
        </w:rPr>
        <w:t xml:space="preserve">(c)(1) [North Beach Special Use District].) </w:t>
      </w:r>
    </w:p>
    <w:p w:rsidR="00B66D38" w:rsidP="005C54F5">
      <w:pPr>
        <w:spacing w:line="360" w:lineRule="auto"/>
        <w:ind w:firstLine="720"/>
        <w:rPr>
          <w:rFonts w:eastAsia="Times New Roman"/>
        </w:rPr>
      </w:pPr>
      <w:r>
        <w:rPr>
          <w:rFonts w:eastAsia="Times New Roman"/>
        </w:rPr>
        <w:t xml:space="preserve">The </w:t>
      </w:r>
      <w:r w:rsidRPr="00022853">
        <w:rPr>
          <w:rFonts w:eastAsia="Times New Roman"/>
        </w:rPr>
        <w:t xml:space="preserve">meaning of the term “full-service restaurant” was a matter of some dispute at trial.  </w:t>
      </w:r>
      <w:r>
        <w:rPr>
          <w:rFonts w:eastAsia="Times New Roman"/>
        </w:rPr>
        <w:t>According to the San Francisco Planning Department (Department)</w:t>
      </w:r>
      <w:r w:rsidRPr="0040690B">
        <w:rPr>
          <w:rFonts w:eastAsia="Times New Roman"/>
        </w:rPr>
        <w:t xml:space="preserve"> </w:t>
      </w:r>
      <w:r>
        <w:rPr>
          <w:rFonts w:eastAsia="Times New Roman"/>
        </w:rPr>
        <w:t>planner who testified at trial, under the applicable definitions in the Planning Code, a “restaurant” or “full-service restaurant” had to have “a majority of food service” but could also serve alcohol, while a “limited restaurant” would have no alcohol service.</w:t>
      </w:r>
      <w:r>
        <w:rPr>
          <w:rStyle w:val="FootnoteReference"/>
          <w:rFonts w:eastAsia="Times New Roman"/>
        </w:rPr>
        <w:footnoteReference w:id="6"/>
      </w:r>
      <w:r>
        <w:rPr>
          <w:rFonts w:eastAsia="Times New Roman"/>
        </w:rPr>
        <w:t xml:space="preserve">  She testified, however, that the </w:t>
      </w:r>
      <w:r w:rsidRPr="00022853">
        <w:rPr>
          <w:rFonts w:eastAsia="Times New Roman"/>
        </w:rPr>
        <w:t xml:space="preserve">San Francisco </w:t>
      </w:r>
      <w:r>
        <w:rPr>
          <w:rFonts w:eastAsia="Times New Roman"/>
        </w:rPr>
        <w:t xml:space="preserve">Zoning Administrator </w:t>
      </w:r>
      <w:r w:rsidRPr="00022853">
        <w:rPr>
          <w:rFonts w:eastAsia="Times New Roman"/>
        </w:rPr>
        <w:t xml:space="preserve">interpreted </w:t>
      </w:r>
      <w:r>
        <w:rPr>
          <w:rFonts w:eastAsia="Times New Roman"/>
        </w:rPr>
        <w:t>the definitions</w:t>
      </w:r>
      <w:r w:rsidRPr="00022853">
        <w:rPr>
          <w:rFonts w:eastAsia="Times New Roman"/>
        </w:rPr>
        <w:t xml:space="preserve"> as requiring that </w:t>
      </w:r>
      <w:r>
        <w:rPr>
          <w:rFonts w:eastAsia="Times New Roman"/>
        </w:rPr>
        <w:t>a full-service</w:t>
      </w:r>
      <w:r w:rsidRPr="00022853">
        <w:rPr>
          <w:rFonts w:eastAsia="Times New Roman"/>
        </w:rPr>
        <w:t xml:space="preserve"> restaurant have a liquor license</w:t>
      </w:r>
      <w:r>
        <w:rPr>
          <w:rFonts w:eastAsia="Times New Roman"/>
        </w:rPr>
        <w:t>, so that a restaurant that did not serve alcohol would be a “limited restaurant.”  Beverly</w:t>
      </w:r>
      <w:r w:rsidRPr="00022853">
        <w:rPr>
          <w:rFonts w:eastAsia="Times New Roman"/>
        </w:rPr>
        <w:t xml:space="preserve"> maintained that a full-service restaurant was allowed to serve alcohol but not required to do s</w:t>
      </w:r>
      <w:r>
        <w:rPr>
          <w:rFonts w:eastAsia="Times New Roman"/>
        </w:rPr>
        <w:t xml:space="preserve">o, and differed from a limited restaurant in that full service meant a sit-down restaurant while a limited restaurant was “more like a takeout place.”  </w:t>
      </w:r>
    </w:p>
    <w:p w:rsidR="00075BDF" w:rsidP="00522213">
      <w:pPr>
        <w:spacing w:line="360" w:lineRule="auto"/>
        <w:ind w:firstLine="720"/>
        <w:rPr>
          <w:rFonts w:eastAsia="Times New Roman"/>
        </w:rPr>
      </w:pPr>
      <w:r>
        <w:rPr>
          <w:rFonts w:eastAsia="Times New Roman"/>
        </w:rPr>
        <w:t xml:space="preserve">Prior to ENA North Beach, a </w:t>
      </w:r>
      <w:r w:rsidRPr="5CA9A013">
        <w:rPr>
          <w:rFonts w:eastAsia="Times New Roman"/>
        </w:rPr>
        <w:t>restaurant called Le Bordeaux</w:t>
      </w:r>
      <w:r>
        <w:rPr>
          <w:rFonts w:eastAsia="Times New Roman"/>
        </w:rPr>
        <w:t xml:space="preserve"> had operated at 524 Union for part of 2011.  Although Le Bordeaux had closed less than three years before ENA North Beach’s tenancy, the Department concluded the conditional use authorization had lapsed for two reasons.  One was that there</w:t>
      </w:r>
      <w:r w:rsidRPr="5CA9A013">
        <w:rPr>
          <w:rFonts w:eastAsia="Times New Roman"/>
        </w:rPr>
        <w:t xml:space="preserve"> had been a long gap</w:t>
      </w:r>
      <w:r>
        <w:rPr>
          <w:rFonts w:eastAsia="Times New Roman"/>
        </w:rPr>
        <w:t xml:space="preserve"> b</w:t>
      </w:r>
      <w:r w:rsidRPr="5CA9A013">
        <w:rPr>
          <w:rFonts w:eastAsia="Times New Roman"/>
        </w:rPr>
        <w:t xml:space="preserve">etween Le Bordeaux and the previous restaurant, The Field, which </w:t>
      </w:r>
      <w:r>
        <w:rPr>
          <w:rFonts w:eastAsia="Times New Roman"/>
        </w:rPr>
        <w:t xml:space="preserve">had a lease running through August 2008, but in fact </w:t>
      </w:r>
      <w:r w:rsidRPr="5CA9A013">
        <w:rPr>
          <w:rFonts w:eastAsia="Times New Roman"/>
        </w:rPr>
        <w:t xml:space="preserve">left the premises in 2004.  </w:t>
      </w:r>
      <w:r>
        <w:rPr>
          <w:rFonts w:eastAsia="Times New Roman"/>
        </w:rPr>
        <w:t>The second was that</w:t>
      </w:r>
      <w:r w:rsidRPr="5CA9A013">
        <w:rPr>
          <w:rFonts w:eastAsia="Times New Roman"/>
        </w:rPr>
        <w:t xml:space="preserve"> </w:t>
      </w:r>
      <w:r>
        <w:rPr>
          <w:rFonts w:eastAsia="Times New Roman"/>
        </w:rPr>
        <w:t xml:space="preserve">although Le Bordeaux had been approved as a full-service restaurant, the Department took the view that it did not operate as such because, </w:t>
      </w:r>
      <w:r w:rsidRPr="5CA9A013">
        <w:rPr>
          <w:rFonts w:eastAsia="Times New Roman"/>
        </w:rPr>
        <w:t xml:space="preserve">while </w:t>
      </w:r>
      <w:r>
        <w:rPr>
          <w:rFonts w:eastAsia="Times New Roman"/>
        </w:rPr>
        <w:t xml:space="preserve">it </w:t>
      </w:r>
      <w:r w:rsidRPr="5CA9A013">
        <w:rPr>
          <w:rFonts w:eastAsia="Times New Roman"/>
        </w:rPr>
        <w:t>had applied for a liquor permit</w:t>
      </w:r>
      <w:r w:rsidRPr="00BA76AE">
        <w:t xml:space="preserve"> </w:t>
      </w:r>
      <w:r w:rsidRPr="00BA76AE">
        <w:rPr>
          <w:rFonts w:eastAsia="Times New Roman"/>
        </w:rPr>
        <w:t>from the state Department of Alcohol and Beverage Control (</w:t>
      </w:r>
      <w:r>
        <w:rPr>
          <w:rFonts w:eastAsia="Times New Roman"/>
        </w:rPr>
        <w:t>D</w:t>
      </w:r>
      <w:r w:rsidRPr="00BA76AE">
        <w:rPr>
          <w:rFonts w:eastAsia="Times New Roman"/>
        </w:rPr>
        <w:t>ABC)</w:t>
      </w:r>
      <w:r w:rsidRPr="5CA9A013">
        <w:rPr>
          <w:rFonts w:eastAsia="Times New Roman"/>
        </w:rPr>
        <w:t xml:space="preserve">, it had not actually received the permit before it ceased operating. </w:t>
      </w:r>
      <w:r>
        <w:rPr>
          <w:rFonts w:eastAsia="Times New Roman"/>
        </w:rPr>
        <w:t xml:space="preserve"> </w:t>
      </w:r>
      <w:r w:rsidRPr="5CA9A013">
        <w:rPr>
          <w:rFonts w:eastAsia="Times New Roman"/>
        </w:rPr>
        <w:t xml:space="preserve">As explained by the attorney Hong later hired to help her negotiate the permit issues, </w:t>
      </w:r>
      <w:r>
        <w:rPr>
          <w:rFonts w:eastAsia="Times New Roman"/>
        </w:rPr>
        <w:t xml:space="preserve">because </w:t>
      </w:r>
      <w:r w:rsidRPr="5CA9A013">
        <w:rPr>
          <w:rFonts w:eastAsia="Times New Roman"/>
        </w:rPr>
        <w:t>the Department considered running a bar part of the approved use</w:t>
      </w:r>
      <w:r>
        <w:rPr>
          <w:rFonts w:eastAsia="Times New Roman"/>
        </w:rPr>
        <w:t xml:space="preserve"> under the 1998 conditional use authorization, that </w:t>
      </w:r>
      <w:r w:rsidRPr="5CA9A013">
        <w:rPr>
          <w:rFonts w:eastAsia="Times New Roman"/>
        </w:rPr>
        <w:t xml:space="preserve">authorization would lapse if </w:t>
      </w:r>
      <w:r>
        <w:rPr>
          <w:rFonts w:eastAsia="Times New Roman"/>
        </w:rPr>
        <w:t xml:space="preserve">there was a three-year period in which </w:t>
      </w:r>
      <w:r w:rsidRPr="5CA9A013">
        <w:rPr>
          <w:rFonts w:eastAsia="Times New Roman"/>
        </w:rPr>
        <w:t xml:space="preserve">a bar was not run. </w:t>
      </w:r>
      <w:r>
        <w:rPr>
          <w:rFonts w:eastAsia="Times New Roman"/>
        </w:rPr>
        <w:t xml:space="preserve"> </w:t>
      </w:r>
    </w:p>
    <w:p w:rsidR="000268E6" w:rsidP="003F45BE">
      <w:pPr>
        <w:spacing w:line="360" w:lineRule="auto"/>
        <w:ind w:firstLine="720"/>
        <w:rPr>
          <w:rFonts w:eastAsia="Times New Roman"/>
        </w:rPr>
      </w:pPr>
      <w:r w:rsidRPr="5CA9A013">
        <w:rPr>
          <w:rFonts w:eastAsia="Times New Roman"/>
        </w:rPr>
        <w:t xml:space="preserve">As will be explained, Hong initially obtained approval for her restaurant from the Department but that approval was subsequently rescinded after the gap in operations between The Field and Le Bordeaux was brought </w:t>
      </w:r>
      <w:r>
        <w:rPr>
          <w:rFonts w:eastAsia="Times New Roman"/>
        </w:rPr>
        <w:t xml:space="preserve">to </w:t>
      </w:r>
      <w:r w:rsidRPr="5CA9A013">
        <w:rPr>
          <w:rFonts w:eastAsia="Times New Roman"/>
        </w:rPr>
        <w:t>the attention of the Department</w:t>
      </w:r>
      <w:r>
        <w:rPr>
          <w:rFonts w:eastAsia="Times New Roman"/>
        </w:rPr>
        <w:t xml:space="preserve"> and the Department learned that Le Bordeaux had been operating without a liquor license.</w:t>
      </w:r>
      <w:r w:rsidRPr="5CA9A013">
        <w:rPr>
          <w:rFonts w:eastAsia="Times New Roman"/>
        </w:rPr>
        <w:t xml:space="preserve">  </w:t>
      </w:r>
      <w:r>
        <w:rPr>
          <w:rFonts w:eastAsia="Times New Roman"/>
        </w:rPr>
        <w:t xml:space="preserve">Unable to obtain approval to open the restaurant, </w:t>
      </w:r>
      <w:r w:rsidRPr="5CA9A013">
        <w:rPr>
          <w:rFonts w:eastAsia="Times New Roman"/>
        </w:rPr>
        <w:t>ENA North Beach</w:t>
      </w:r>
      <w:r>
        <w:rPr>
          <w:rFonts w:eastAsia="Times New Roman"/>
        </w:rPr>
        <w:t xml:space="preserve"> sued 524 Union and Beverly, alleging that Beverly</w:t>
      </w:r>
      <w:r w:rsidRPr="5CA9A013">
        <w:rPr>
          <w:rFonts w:eastAsia="Times New Roman"/>
        </w:rPr>
        <w:t xml:space="preserve"> falsely told Hong there had been full</w:t>
      </w:r>
      <w:r>
        <w:rPr>
          <w:rFonts w:eastAsia="Times New Roman"/>
        </w:rPr>
        <w:t>-</w:t>
      </w:r>
      <w:r w:rsidRPr="5CA9A013">
        <w:rPr>
          <w:rFonts w:eastAsia="Times New Roman"/>
        </w:rPr>
        <w:t>service restaurants in the space “continuously,” failed to disclose the more</w:t>
      </w:r>
      <w:r>
        <w:rPr>
          <w:rFonts w:eastAsia="Times New Roman"/>
        </w:rPr>
        <w:t xml:space="preserve"> </w:t>
      </w:r>
      <w:r w:rsidRPr="5CA9A013">
        <w:rPr>
          <w:rFonts w:eastAsia="Times New Roman"/>
        </w:rPr>
        <w:t>than</w:t>
      </w:r>
      <w:r>
        <w:rPr>
          <w:rFonts w:eastAsia="Times New Roman"/>
        </w:rPr>
        <w:t xml:space="preserve"> </w:t>
      </w:r>
      <w:r w:rsidRPr="5CA9A013">
        <w:rPr>
          <w:rFonts w:eastAsia="Times New Roman"/>
        </w:rPr>
        <w:t>three-year gap, and falsely represented that Le Bordeaux had an alcohol license.</w:t>
      </w:r>
      <w:r>
        <w:rPr>
          <w:rStyle w:val="FootnoteReference"/>
          <w:rFonts w:eastAsia="Times New Roman"/>
        </w:rPr>
        <w:footnoteReference w:id="7"/>
      </w:r>
      <w:r w:rsidRPr="5CA9A013">
        <w:rPr>
          <w:rFonts w:eastAsia="Times New Roman"/>
        </w:rPr>
        <w:t xml:space="preserve">  </w:t>
      </w:r>
      <w:r>
        <w:rPr>
          <w:rFonts w:eastAsia="Times New Roman"/>
        </w:rPr>
        <w:t xml:space="preserve">Beverly </w:t>
      </w:r>
      <w:r w:rsidRPr="5CA9A013">
        <w:rPr>
          <w:rFonts w:eastAsia="Times New Roman"/>
        </w:rPr>
        <w:t xml:space="preserve">maintained that she made all necessary disclosures regarding the history of the leased premises and that the Department interpreted the Planning Code incorrectly, an error </w:t>
      </w:r>
      <w:r>
        <w:rPr>
          <w:rFonts w:eastAsia="Times New Roman"/>
        </w:rPr>
        <w:t>Beverly</w:t>
      </w:r>
      <w:r w:rsidRPr="5CA9A013">
        <w:rPr>
          <w:rFonts w:eastAsia="Times New Roman"/>
        </w:rPr>
        <w:t xml:space="preserve"> could not have anticipated. </w:t>
      </w:r>
    </w:p>
    <w:p w:rsidR="000268E6" w:rsidP="003F45BE">
      <w:pPr>
        <w:spacing w:line="360" w:lineRule="auto"/>
        <w:ind w:firstLine="720"/>
        <w:rPr>
          <w:rFonts w:eastAsia="Times New Roman"/>
        </w:rPr>
      </w:pPr>
      <w:r w:rsidRPr="5CA9A013">
        <w:rPr>
          <w:rFonts w:eastAsia="Times New Roman"/>
        </w:rPr>
        <w:t>Hong testified that when she first visited the property in June 2014, Barak told her Le Bordeaux had a beer and wine license.  She testified that Beverly told her there had always been a liquor license at the property, which had always been used as a full</w:t>
      </w:r>
      <w:r>
        <w:rPr>
          <w:rFonts w:eastAsia="Times New Roman"/>
        </w:rPr>
        <w:t>-</w:t>
      </w:r>
      <w:r w:rsidRPr="5CA9A013">
        <w:rPr>
          <w:rFonts w:eastAsia="Times New Roman"/>
        </w:rPr>
        <w:t xml:space="preserve">service restaurant; never said Le Bordeaux did not receive a license to serve alcohol but rather said it obtained the license; never said the space had been abandoned or “discontinued” for three years, and never discussed the need for a conditional use permit.  </w:t>
      </w:r>
      <w:r>
        <w:rPr>
          <w:rFonts w:eastAsia="Times New Roman"/>
        </w:rPr>
        <w:t>B</w:t>
      </w:r>
      <w:r w:rsidRPr="5CA9A013">
        <w:rPr>
          <w:rFonts w:eastAsia="Times New Roman"/>
        </w:rPr>
        <w:t>efore signing</w:t>
      </w:r>
      <w:r>
        <w:rPr>
          <w:rFonts w:eastAsia="Times New Roman"/>
        </w:rPr>
        <w:t xml:space="preserve"> the</w:t>
      </w:r>
      <w:r w:rsidRPr="5CA9A013">
        <w:rPr>
          <w:rFonts w:eastAsia="Times New Roman"/>
        </w:rPr>
        <w:t xml:space="preserve"> lease, </w:t>
      </w:r>
      <w:r>
        <w:rPr>
          <w:rFonts w:eastAsia="Times New Roman"/>
        </w:rPr>
        <w:t>Hong</w:t>
      </w:r>
      <w:r w:rsidRPr="5CA9A013">
        <w:rPr>
          <w:rFonts w:eastAsia="Times New Roman"/>
        </w:rPr>
        <w:t xml:space="preserve"> went to the Department</w:t>
      </w:r>
      <w:r>
        <w:rPr>
          <w:rFonts w:eastAsia="Times New Roman"/>
        </w:rPr>
        <w:t>,</w:t>
      </w:r>
      <w:r w:rsidRPr="5CA9A013">
        <w:rPr>
          <w:rFonts w:eastAsia="Times New Roman"/>
        </w:rPr>
        <w:t xml:space="preserve"> asked the clerk whether there would be any problem opening a full-service restaurant at 524 Union </w:t>
      </w:r>
      <w:r>
        <w:rPr>
          <w:rFonts w:eastAsia="Times New Roman"/>
        </w:rPr>
        <w:t xml:space="preserve">and </w:t>
      </w:r>
      <w:r w:rsidRPr="5CA9A013">
        <w:rPr>
          <w:rFonts w:eastAsia="Times New Roman"/>
        </w:rPr>
        <w:t>was told “no” and</w:t>
      </w:r>
      <w:r>
        <w:rPr>
          <w:rFonts w:eastAsia="Times New Roman"/>
        </w:rPr>
        <w:t xml:space="preserve"> “everything is fine.”</w:t>
      </w:r>
      <w:r w:rsidRPr="5CA9A013">
        <w:rPr>
          <w:rFonts w:eastAsia="Times New Roman"/>
        </w:rPr>
        <w:t xml:space="preserve"> </w:t>
      </w:r>
      <w:r>
        <w:rPr>
          <w:rFonts w:eastAsia="Times New Roman"/>
        </w:rPr>
        <w:t xml:space="preserve"> </w:t>
      </w:r>
    </w:p>
    <w:p w:rsidR="0000559E" w:rsidP="003F45BE">
      <w:pPr>
        <w:spacing w:line="360" w:lineRule="auto"/>
        <w:ind w:firstLine="720"/>
        <w:rPr>
          <w:rFonts w:eastAsia="Times New Roman"/>
          <w:szCs w:val="26"/>
        </w:rPr>
      </w:pPr>
      <w:r>
        <w:rPr>
          <w:rFonts w:eastAsia="Times New Roman"/>
          <w:szCs w:val="26"/>
        </w:rPr>
        <w:t xml:space="preserve">In mid-July 2014, Hong asked Beverly to delay the lease start date from August 1 until September 1, as she was looking for a wine and beer license broker to help her obtain a type 41 alcohol license and was not sure how long processing would take.  Beverly agreed to the change in start date but said she could not delay signing the lease.  Her email to Hong stated, “You should be able to get a type 41 liq. license (beer and wine) without a broker for a full-service restaurant.  You will not be able to move forward with licensing without a fully executed lease.”  Because she was very busy, Hong hired the broker who had helped her when she opened her existing restaurant.  </w:t>
      </w:r>
    </w:p>
    <w:p w:rsidR="008D760A" w:rsidP="003F45BE">
      <w:pPr>
        <w:spacing w:line="360" w:lineRule="auto"/>
        <w:ind w:firstLine="720"/>
        <w:rPr>
          <w:rFonts w:eastAsia="Times New Roman"/>
          <w:szCs w:val="26"/>
        </w:rPr>
      </w:pPr>
      <w:r w:rsidRPr="00666E9D">
        <w:rPr>
          <w:rFonts w:eastAsia="Times New Roman"/>
          <w:szCs w:val="26"/>
        </w:rPr>
        <w:t xml:space="preserve">Hong signed the lease </w:t>
      </w:r>
      <w:r>
        <w:rPr>
          <w:rFonts w:eastAsia="Times New Roman"/>
          <w:szCs w:val="26"/>
        </w:rPr>
        <w:t xml:space="preserve">sometime </w:t>
      </w:r>
      <w:r w:rsidRPr="00666E9D">
        <w:rPr>
          <w:rFonts w:eastAsia="Times New Roman"/>
          <w:szCs w:val="26"/>
        </w:rPr>
        <w:t xml:space="preserve">on August 14, 2014.  </w:t>
      </w:r>
      <w:r>
        <w:rPr>
          <w:rFonts w:eastAsia="Times New Roman"/>
          <w:szCs w:val="26"/>
        </w:rPr>
        <w:t xml:space="preserve">That afternoon, the broker emailed her, “[u]nfortunately, you are not allowed to obtain Liquor license, at all,” attaching an </w:t>
      </w:r>
      <w:r w:rsidRPr="007E27E1">
        <w:rPr>
          <w:rFonts w:eastAsia="Times New Roman"/>
          <w:szCs w:val="26"/>
        </w:rPr>
        <w:t xml:space="preserve">email from the Department stating that, according to the </w:t>
      </w:r>
      <w:r>
        <w:rPr>
          <w:rFonts w:eastAsia="Times New Roman"/>
          <w:szCs w:val="26"/>
        </w:rPr>
        <w:t>zoning administrator</w:t>
      </w:r>
      <w:r w:rsidRPr="007E27E1">
        <w:rPr>
          <w:rFonts w:eastAsia="Times New Roman"/>
          <w:szCs w:val="26"/>
        </w:rPr>
        <w:t xml:space="preserve">, “the site will not be able to accommodate a new liquor license.”  </w:t>
      </w:r>
      <w:r>
        <w:rPr>
          <w:rFonts w:eastAsia="Times New Roman"/>
          <w:szCs w:val="26"/>
        </w:rPr>
        <w:t xml:space="preserve">Hong testified that this was a big deal because </w:t>
      </w:r>
      <w:r w:rsidRPr="007E27E1">
        <w:rPr>
          <w:rFonts w:eastAsia="Times New Roman"/>
          <w:szCs w:val="26"/>
        </w:rPr>
        <w:t>a restaurant cannot make a profit without selling alcohol</w:t>
      </w:r>
      <w:r>
        <w:rPr>
          <w:rFonts w:eastAsia="Times New Roman"/>
          <w:szCs w:val="26"/>
        </w:rPr>
        <w:t>.</w:t>
      </w:r>
      <w:r w:rsidRPr="007E27E1">
        <w:rPr>
          <w:rFonts w:eastAsia="Times New Roman"/>
          <w:szCs w:val="26"/>
        </w:rPr>
        <w:t xml:space="preserve">  </w:t>
      </w:r>
      <w:r>
        <w:rPr>
          <w:rFonts w:eastAsia="Times New Roman"/>
          <w:szCs w:val="26"/>
        </w:rPr>
        <w:t xml:space="preserve">She contacted Beverly, who replied that evening, saying all of the prior tenants had had type 47 (hard liquor) licenses and the French restaurant </w:t>
      </w:r>
      <w:r w:rsidRPr="007E27E1">
        <w:rPr>
          <w:rFonts w:eastAsia="Times New Roman"/>
          <w:szCs w:val="26"/>
        </w:rPr>
        <w:t>was “approved for beer &amp; wine</w:t>
      </w:r>
      <w:r>
        <w:rPr>
          <w:rFonts w:eastAsia="Times New Roman"/>
          <w:szCs w:val="26"/>
        </w:rPr>
        <w:t>.</w:t>
      </w:r>
      <w:r w:rsidRPr="007E27E1">
        <w:rPr>
          <w:rFonts w:eastAsia="Times New Roman"/>
          <w:szCs w:val="26"/>
        </w:rPr>
        <w:t xml:space="preserve">”  </w:t>
      </w:r>
      <w:r>
        <w:rPr>
          <w:rFonts w:eastAsia="Times New Roman"/>
          <w:szCs w:val="26"/>
        </w:rPr>
        <w:t>Beverly sent Hong a</w:t>
      </w:r>
      <w:r w:rsidRPr="007E27E1">
        <w:rPr>
          <w:rFonts w:eastAsia="Times New Roman"/>
          <w:szCs w:val="26"/>
        </w:rPr>
        <w:t xml:space="preserve"> list of </w:t>
      </w:r>
      <w:r>
        <w:rPr>
          <w:rFonts w:eastAsia="Times New Roman"/>
          <w:szCs w:val="26"/>
        </w:rPr>
        <w:t>prior tenants</w:t>
      </w:r>
      <w:r w:rsidRPr="007E27E1">
        <w:rPr>
          <w:rFonts w:eastAsia="Times New Roman"/>
          <w:szCs w:val="26"/>
        </w:rPr>
        <w:t xml:space="preserve"> </w:t>
      </w:r>
      <w:r>
        <w:rPr>
          <w:rFonts w:eastAsia="Times New Roman"/>
          <w:szCs w:val="26"/>
        </w:rPr>
        <w:t xml:space="preserve">from June 22, 1934, to October 7, 1999, describing all </w:t>
      </w:r>
      <w:r w:rsidRPr="007E27E1">
        <w:rPr>
          <w:rFonts w:eastAsia="Times New Roman"/>
          <w:szCs w:val="26"/>
        </w:rPr>
        <w:t xml:space="preserve">but one </w:t>
      </w:r>
      <w:r>
        <w:rPr>
          <w:rFonts w:eastAsia="Times New Roman"/>
          <w:szCs w:val="26"/>
        </w:rPr>
        <w:t xml:space="preserve">(in 1936) </w:t>
      </w:r>
      <w:r w:rsidRPr="007E27E1">
        <w:rPr>
          <w:rFonts w:eastAsia="Times New Roman"/>
          <w:szCs w:val="26"/>
        </w:rPr>
        <w:t>as “Bar &amp; Restaurant</w:t>
      </w:r>
      <w:r>
        <w:rPr>
          <w:rFonts w:eastAsia="Times New Roman"/>
          <w:szCs w:val="26"/>
        </w:rPr>
        <w:t>,” as well as some documents</w:t>
      </w:r>
      <w:r w:rsidRPr="003F0BD8">
        <w:rPr>
          <w:rFonts w:eastAsia="Times New Roman"/>
          <w:szCs w:val="26"/>
        </w:rPr>
        <w:t xml:space="preserve"> </w:t>
      </w:r>
      <w:r>
        <w:rPr>
          <w:rFonts w:eastAsia="Times New Roman"/>
          <w:szCs w:val="26"/>
        </w:rPr>
        <w:t>related to permits obtained by the tenants</w:t>
      </w:r>
      <w:r w:rsidRPr="007E27E1">
        <w:rPr>
          <w:rFonts w:eastAsia="Times New Roman"/>
          <w:szCs w:val="26"/>
        </w:rPr>
        <w:t xml:space="preserve">.  </w:t>
      </w:r>
      <w:r>
        <w:rPr>
          <w:rFonts w:eastAsia="Times New Roman"/>
          <w:szCs w:val="26"/>
        </w:rPr>
        <w:t xml:space="preserve">Beverly told Hong she had delayed executing the lease and depositing Hong’s check “because of your phone call,” and suggested Hong take a few days to decide whether the space was right for her.  Beverly subsequently signed the lease on </w:t>
      </w:r>
      <w:r w:rsidRPr="007E27E1">
        <w:rPr>
          <w:rFonts w:eastAsia="Times New Roman"/>
          <w:szCs w:val="26"/>
        </w:rPr>
        <w:t xml:space="preserve">August 17, 2014.  </w:t>
      </w:r>
    </w:p>
    <w:p w:rsidR="004A726B" w:rsidRPr="0065724E" w:rsidP="003F45BE">
      <w:pPr>
        <w:spacing w:line="360" w:lineRule="auto"/>
        <w:ind w:firstLine="720"/>
        <w:rPr>
          <w:rFonts w:eastAsia="Times New Roman"/>
          <w:szCs w:val="26"/>
        </w:rPr>
      </w:pPr>
      <w:r>
        <w:rPr>
          <w:rFonts w:eastAsia="Times New Roman"/>
          <w:szCs w:val="26"/>
        </w:rPr>
        <w:t xml:space="preserve">The lease states that </w:t>
      </w:r>
      <w:r w:rsidRPr="00DE463A">
        <w:rPr>
          <w:rFonts w:eastAsia="Times New Roman"/>
          <w:szCs w:val="26"/>
        </w:rPr>
        <w:t>“[t]he premises are to be used for the operation of a Restaurant, to serve food to the public as a Full Service Restaurant and alcoholic beverages of beer and wine.  Lessee covenants and agrees with Lessor, as a condition of this lease, that the purpose of or use of the premises will not be changed or altered by Lessee without the prior written consent of Lessor.  Lessee shall use said premises continuously and constantly during the term hereof for the purpose of conducting the above mentioned business</w:t>
      </w:r>
      <w:r>
        <w:rPr>
          <w:rFonts w:eastAsia="Times New Roman"/>
          <w:szCs w:val="26"/>
        </w:rPr>
        <w:t xml:space="preserve">.”  </w:t>
      </w:r>
    </w:p>
    <w:p w:rsidR="00E648BF" w:rsidP="003F45BE">
      <w:pPr>
        <w:spacing w:line="360" w:lineRule="auto"/>
        <w:rPr>
          <w:rFonts w:eastAsia="Times New Roman"/>
          <w:szCs w:val="26"/>
        </w:rPr>
      </w:pPr>
      <w:r>
        <w:rPr>
          <w:rFonts w:eastAsia="Times New Roman"/>
          <w:szCs w:val="26"/>
        </w:rPr>
        <w:tab/>
        <w:t>On September 2, Department planner Marcelle Boudreaux signed a “Zoning Affidavit” to be submitted to the DABC for ENA North Beach, indicating the existing conditional use permit could be used and attaching the 1998 conditional use authorization.</w:t>
      </w:r>
      <w:r>
        <w:rPr>
          <w:rStyle w:val="FootnoteReference"/>
          <w:rFonts w:eastAsia="Times New Roman"/>
          <w:szCs w:val="26"/>
        </w:rPr>
        <w:footnoteReference w:id="8"/>
      </w:r>
      <w:r w:rsidRPr="0065724E">
        <w:rPr>
          <w:rFonts w:eastAsia="Times New Roman"/>
          <w:szCs w:val="26"/>
        </w:rPr>
        <w:t xml:space="preserve">  Hong understood this </w:t>
      </w:r>
      <w:r>
        <w:rPr>
          <w:rFonts w:eastAsia="Times New Roman"/>
          <w:szCs w:val="26"/>
        </w:rPr>
        <w:t xml:space="preserve">form </w:t>
      </w:r>
      <w:r w:rsidRPr="0065724E">
        <w:rPr>
          <w:rFonts w:eastAsia="Times New Roman"/>
          <w:szCs w:val="26"/>
        </w:rPr>
        <w:t xml:space="preserve">to be saying the previous tenant’s conditional use permit remained valid, which was consistent with her understanding </w:t>
      </w:r>
      <w:r>
        <w:rPr>
          <w:rFonts w:eastAsia="Times New Roman"/>
          <w:szCs w:val="26"/>
        </w:rPr>
        <w:t>from her visit</w:t>
      </w:r>
      <w:r w:rsidRPr="0065724E">
        <w:rPr>
          <w:rFonts w:eastAsia="Times New Roman"/>
          <w:szCs w:val="26"/>
        </w:rPr>
        <w:t xml:space="preserve"> to the </w:t>
      </w:r>
      <w:r>
        <w:rPr>
          <w:rFonts w:eastAsia="Times New Roman"/>
          <w:szCs w:val="26"/>
        </w:rPr>
        <w:t>D</w:t>
      </w:r>
      <w:r w:rsidRPr="0065724E">
        <w:rPr>
          <w:rFonts w:eastAsia="Times New Roman"/>
          <w:szCs w:val="26"/>
        </w:rPr>
        <w:t xml:space="preserve">epartment.  </w:t>
      </w:r>
    </w:p>
    <w:p w:rsidR="005F7412" w:rsidRPr="0065724E" w:rsidP="003F45BE">
      <w:pPr>
        <w:spacing w:line="360" w:lineRule="auto"/>
        <w:rPr>
          <w:rFonts w:eastAsia="Times New Roman"/>
          <w:szCs w:val="26"/>
        </w:rPr>
      </w:pPr>
      <w:r>
        <w:rPr>
          <w:rFonts w:eastAsia="Times New Roman"/>
          <w:szCs w:val="26"/>
        </w:rPr>
        <w:tab/>
        <w:t>Around</w:t>
      </w:r>
      <w:r w:rsidRPr="0065724E">
        <w:rPr>
          <w:rFonts w:eastAsia="Times New Roman"/>
          <w:szCs w:val="26"/>
        </w:rPr>
        <w:t xml:space="preserve"> December 201</w:t>
      </w:r>
      <w:r>
        <w:rPr>
          <w:rFonts w:eastAsia="Times New Roman"/>
          <w:szCs w:val="26"/>
        </w:rPr>
        <w:t>4</w:t>
      </w:r>
      <w:r w:rsidRPr="0065724E">
        <w:rPr>
          <w:rFonts w:eastAsia="Times New Roman"/>
          <w:szCs w:val="26"/>
        </w:rPr>
        <w:t xml:space="preserve">, Hong obtained the </w:t>
      </w:r>
      <w:r>
        <w:rPr>
          <w:rFonts w:eastAsia="Times New Roman"/>
          <w:szCs w:val="26"/>
        </w:rPr>
        <w:t>D</w:t>
      </w:r>
      <w:r w:rsidRPr="0065724E">
        <w:rPr>
          <w:rFonts w:eastAsia="Times New Roman"/>
          <w:szCs w:val="26"/>
        </w:rPr>
        <w:t xml:space="preserve">ABC </w:t>
      </w:r>
      <w:r>
        <w:rPr>
          <w:rFonts w:eastAsia="Times New Roman"/>
          <w:szCs w:val="26"/>
        </w:rPr>
        <w:t xml:space="preserve">beer and wine </w:t>
      </w:r>
      <w:r w:rsidRPr="0065724E">
        <w:rPr>
          <w:rFonts w:eastAsia="Times New Roman"/>
          <w:szCs w:val="26"/>
        </w:rPr>
        <w:t xml:space="preserve">license.  </w:t>
      </w:r>
      <w:r>
        <w:rPr>
          <w:rFonts w:eastAsia="Times New Roman"/>
          <w:szCs w:val="26"/>
        </w:rPr>
        <w:t>Renovations of the premises continued, with the aim of opening the restaurant</w:t>
      </w:r>
      <w:r w:rsidRPr="0065724E">
        <w:rPr>
          <w:rFonts w:eastAsia="Times New Roman"/>
          <w:szCs w:val="26"/>
        </w:rPr>
        <w:t xml:space="preserve"> around March 2015.  </w:t>
      </w:r>
    </w:p>
    <w:p w:rsidR="00E528A0" w:rsidRPr="007E527F" w:rsidP="003F45BE">
      <w:pPr>
        <w:spacing w:line="360" w:lineRule="auto"/>
        <w:rPr>
          <w:rFonts w:eastAsia="Times New Roman"/>
          <w:szCs w:val="26"/>
        </w:rPr>
      </w:pPr>
      <w:r>
        <w:rPr>
          <w:rFonts w:eastAsia="Times New Roman"/>
          <w:szCs w:val="26"/>
        </w:rPr>
        <w:tab/>
        <w:t xml:space="preserve">On </w:t>
      </w:r>
      <w:r w:rsidRPr="0065724E">
        <w:rPr>
          <w:rFonts w:eastAsia="Times New Roman"/>
          <w:szCs w:val="26"/>
        </w:rPr>
        <w:t xml:space="preserve">January 20, 2015, planner Carly Grob emailed Hong that the Department </w:t>
      </w:r>
      <w:r>
        <w:rPr>
          <w:rFonts w:eastAsia="Times New Roman"/>
          <w:szCs w:val="26"/>
        </w:rPr>
        <w:t xml:space="preserve">“cannot approve the Dept. of Public Health or [DABC] referral for [ENA North Beach].  </w:t>
      </w:r>
      <w:r w:rsidRPr="0065724E">
        <w:rPr>
          <w:rFonts w:eastAsia="Times New Roman"/>
          <w:szCs w:val="26"/>
        </w:rPr>
        <w:t xml:space="preserve">Planning Code section 780.3 states that a restaurant may be permitted as a conditional use if it does not occupy a vacant space last occupied by a permitted conditional use that has </w:t>
      </w:r>
      <w:r w:rsidRPr="007E527F">
        <w:rPr>
          <w:rFonts w:eastAsia="Times New Roman"/>
          <w:szCs w:val="26"/>
        </w:rPr>
        <w:t xml:space="preserve">been abandoned or discontinued for 3 years.  Because the former tenant, Le Bordeaux, never received a </w:t>
      </w:r>
      <w:r>
        <w:rPr>
          <w:rFonts w:eastAsia="Times New Roman"/>
          <w:szCs w:val="26"/>
        </w:rPr>
        <w:t>D</w:t>
      </w:r>
      <w:r w:rsidRPr="007E527F">
        <w:rPr>
          <w:rFonts w:eastAsia="Times New Roman"/>
          <w:szCs w:val="26"/>
        </w:rPr>
        <w:t>ABC license to serve alcohol, they were operating as a limited restaurant instead of a restaurant.  Therefore, the restaurant use was abandoned more than 3 years ago, and cannot be reinstated at this location.”</w:t>
      </w:r>
      <w:r>
        <w:rPr>
          <w:rStyle w:val="FootnoteReference"/>
          <w:rFonts w:eastAsia="Times New Roman"/>
          <w:szCs w:val="26"/>
        </w:rPr>
        <w:footnoteReference w:id="9"/>
      </w:r>
      <w:r w:rsidRPr="007E527F">
        <w:rPr>
          <w:rFonts w:eastAsia="Times New Roman"/>
          <w:szCs w:val="26"/>
        </w:rPr>
        <w:t xml:space="preserve">  </w:t>
      </w:r>
    </w:p>
    <w:p w:rsidR="00554BA4" w:rsidRPr="007E527F" w:rsidP="003F45BE">
      <w:pPr>
        <w:spacing w:line="360" w:lineRule="auto"/>
        <w:rPr>
          <w:rFonts w:eastAsia="Times New Roman"/>
          <w:szCs w:val="26"/>
        </w:rPr>
      </w:pPr>
      <w:r w:rsidRPr="007E527F">
        <w:rPr>
          <w:rFonts w:eastAsia="Times New Roman"/>
          <w:szCs w:val="26"/>
        </w:rPr>
        <w:tab/>
        <w:t>Hong emailed Beverly about the specified ordinance.  Beverly responded, “[t]his came into effect because there were restaurants going into spaces that were previously other uses.  [¶] </w:t>
      </w:r>
      <w:r>
        <w:rPr>
          <w:rFonts w:eastAsia="Times New Roman"/>
          <w:szCs w:val="26"/>
        </w:rPr>
        <w:t xml:space="preserve">[524 Union] </w:t>
      </w:r>
      <w:r w:rsidRPr="007E527F">
        <w:rPr>
          <w:rFonts w:eastAsia="Times New Roman"/>
          <w:szCs w:val="26"/>
        </w:rPr>
        <w:t xml:space="preserve">has always been a restaurant bar; it’s a 100 yr old space.  This is not a new use but the same use for decades, and one of the oldest if not the oldest restaurant spaces in North Beach.  [¶] Also they know </w:t>
      </w:r>
      <w:r>
        <w:rPr>
          <w:rFonts w:eastAsia="Times New Roman"/>
          <w:szCs w:val="26"/>
        </w:rPr>
        <w:t>L</w:t>
      </w:r>
      <w:r w:rsidRPr="007E527F">
        <w:rPr>
          <w:rFonts w:eastAsia="Times New Roman"/>
          <w:szCs w:val="26"/>
        </w:rPr>
        <w:t>e</w:t>
      </w:r>
      <w:r>
        <w:rPr>
          <w:rFonts w:eastAsia="Times New Roman"/>
          <w:szCs w:val="26"/>
        </w:rPr>
        <w:t> </w:t>
      </w:r>
      <w:r w:rsidRPr="007E527F">
        <w:rPr>
          <w:rFonts w:eastAsia="Times New Roman"/>
          <w:szCs w:val="26"/>
        </w:rPr>
        <w:t>Bordeaux has not been out of there for 3 years.  They are just trying to come up with something else.  Makes no sense.  It will work out, just need to get to the right person.  These planners need to be fired.”  A few days later Beverly told Hong, “The planner’s opinion that Le Bordeaux became a limited restaurant because of the processing of his beer and wine license was delayed is incorrect.”</w:t>
      </w:r>
      <w:r>
        <w:rPr>
          <w:rStyle w:val="FootnoteReference"/>
          <w:rFonts w:eastAsia="Times New Roman"/>
          <w:szCs w:val="26"/>
        </w:rPr>
        <w:footnoteReference w:id="10"/>
      </w:r>
      <w:r w:rsidRPr="007E527F">
        <w:rPr>
          <w:rFonts w:eastAsia="Times New Roman"/>
          <w:szCs w:val="26"/>
        </w:rPr>
        <w:t xml:space="preserve">  </w:t>
      </w:r>
    </w:p>
    <w:p w:rsidR="00592629" w:rsidP="003F45BE">
      <w:pPr>
        <w:spacing w:line="360" w:lineRule="auto"/>
        <w:rPr>
          <w:rFonts w:eastAsia="Times New Roman"/>
          <w:szCs w:val="26"/>
        </w:rPr>
      </w:pPr>
      <w:r w:rsidRPr="007E527F">
        <w:rPr>
          <w:rFonts w:eastAsia="Times New Roman"/>
          <w:szCs w:val="26"/>
        </w:rPr>
        <w:tab/>
        <w:t xml:space="preserve">Hong hired attorney David Silverman to help her with the conditional use permit issues.  On February 8, 2015, when Hong forwarded to Beverly an email from her attorney’s office indicating that in order to fight the abandonment issue they would need “the use/lease/occupancy history of the building laid out, and all the efforts to </w:t>
      </w:r>
      <w:r w:rsidRPr="0065724E">
        <w:rPr>
          <w:rFonts w:eastAsia="Times New Roman"/>
          <w:szCs w:val="26"/>
        </w:rPr>
        <w:t xml:space="preserve">try to find a tenant over the last several years that hopefully would toll the ticking of the abandonment clock,” </w:t>
      </w:r>
      <w:r>
        <w:rPr>
          <w:rFonts w:eastAsia="Times New Roman"/>
          <w:szCs w:val="26"/>
        </w:rPr>
        <w:t xml:space="preserve">Beverly </w:t>
      </w:r>
      <w:r w:rsidRPr="0065724E">
        <w:rPr>
          <w:rFonts w:eastAsia="Times New Roman"/>
          <w:szCs w:val="26"/>
        </w:rPr>
        <w:t>replied, “Doesn’t sound like this attorney is up to speed with the laws.  We wi</w:t>
      </w:r>
      <w:r>
        <w:rPr>
          <w:rFonts w:eastAsia="Times New Roman"/>
          <w:szCs w:val="26"/>
        </w:rPr>
        <w:t>ll</w:t>
      </w:r>
      <w:r w:rsidRPr="0065724E">
        <w:rPr>
          <w:rFonts w:eastAsia="Times New Roman"/>
          <w:szCs w:val="26"/>
        </w:rPr>
        <w:t xml:space="preserve"> try to come up with some names</w:t>
      </w:r>
      <w:r>
        <w:rPr>
          <w:rFonts w:eastAsia="Times New Roman"/>
          <w:szCs w:val="26"/>
        </w:rPr>
        <w:t>.</w:t>
      </w:r>
      <w:r w:rsidRPr="0065724E">
        <w:rPr>
          <w:rFonts w:eastAsia="Times New Roman"/>
          <w:szCs w:val="26"/>
        </w:rPr>
        <w:t xml:space="preserve">”  </w:t>
      </w:r>
    </w:p>
    <w:p w:rsidR="00286C23" w:rsidRPr="00286C23" w:rsidP="003F45BE">
      <w:pPr>
        <w:spacing w:line="360" w:lineRule="auto"/>
        <w:rPr>
          <w:rFonts w:eastAsia="Times New Roman"/>
          <w:szCs w:val="26"/>
        </w:rPr>
      </w:pPr>
      <w:r>
        <w:rPr>
          <w:rFonts w:eastAsia="Times New Roman"/>
          <w:szCs w:val="26"/>
        </w:rPr>
        <w:tab/>
      </w:r>
      <w:r w:rsidRPr="00286C23">
        <w:rPr>
          <w:rFonts w:eastAsia="Times New Roman"/>
          <w:szCs w:val="26"/>
        </w:rPr>
        <w:t xml:space="preserve">In </w:t>
      </w:r>
      <w:r>
        <w:rPr>
          <w:rFonts w:eastAsia="Times New Roman"/>
          <w:szCs w:val="26"/>
        </w:rPr>
        <w:t xml:space="preserve">a </w:t>
      </w:r>
      <w:r w:rsidRPr="00286C23">
        <w:rPr>
          <w:rFonts w:eastAsia="Times New Roman"/>
          <w:szCs w:val="26"/>
        </w:rPr>
        <w:t>March</w:t>
      </w:r>
      <w:r>
        <w:rPr>
          <w:rFonts w:eastAsia="Times New Roman"/>
          <w:szCs w:val="26"/>
        </w:rPr>
        <w:t xml:space="preserve"> 12, 2015 email,</w:t>
      </w:r>
      <w:r w:rsidRPr="00286C23">
        <w:rPr>
          <w:rFonts w:eastAsia="Times New Roman"/>
          <w:szCs w:val="26"/>
        </w:rPr>
        <w:t xml:space="preserve"> </w:t>
      </w:r>
      <w:r>
        <w:rPr>
          <w:rFonts w:eastAsia="Times New Roman"/>
          <w:szCs w:val="26"/>
        </w:rPr>
        <w:t>Beverly</w:t>
      </w:r>
      <w:r w:rsidRPr="00286C23">
        <w:rPr>
          <w:rFonts w:eastAsia="Times New Roman"/>
          <w:szCs w:val="26"/>
        </w:rPr>
        <w:t xml:space="preserve"> told Hong that the </w:t>
      </w:r>
      <w:r>
        <w:rPr>
          <w:rFonts w:eastAsia="Times New Roman"/>
          <w:szCs w:val="26"/>
        </w:rPr>
        <w:t>premises</w:t>
      </w:r>
      <w:r w:rsidRPr="00286C23">
        <w:rPr>
          <w:rFonts w:eastAsia="Times New Roman"/>
          <w:szCs w:val="26"/>
        </w:rPr>
        <w:t xml:space="preserve"> had never been used as a limited restaurant</w:t>
      </w:r>
      <w:r>
        <w:rPr>
          <w:rFonts w:eastAsia="Times New Roman"/>
          <w:szCs w:val="26"/>
        </w:rPr>
        <w:t xml:space="preserve"> but “always and only”</w:t>
      </w:r>
      <w:r w:rsidRPr="00286C23">
        <w:rPr>
          <w:rFonts w:eastAsia="Times New Roman"/>
          <w:szCs w:val="26"/>
        </w:rPr>
        <w:t xml:space="preserve"> full service, the insurance on the premises was for </w:t>
      </w:r>
      <w:r>
        <w:rPr>
          <w:rFonts w:eastAsia="Times New Roman"/>
          <w:szCs w:val="26"/>
        </w:rPr>
        <w:t xml:space="preserve">a </w:t>
      </w:r>
      <w:r w:rsidRPr="00286C23">
        <w:rPr>
          <w:rFonts w:eastAsia="Times New Roman"/>
          <w:szCs w:val="26"/>
        </w:rPr>
        <w:t>full</w:t>
      </w:r>
      <w:r>
        <w:rPr>
          <w:rFonts w:eastAsia="Times New Roman"/>
          <w:szCs w:val="26"/>
        </w:rPr>
        <w:t>-</w:t>
      </w:r>
      <w:r w:rsidRPr="00286C23">
        <w:rPr>
          <w:rFonts w:eastAsia="Times New Roman"/>
          <w:szCs w:val="26"/>
        </w:rPr>
        <w:t>service restaurant</w:t>
      </w:r>
      <w:r>
        <w:rPr>
          <w:rFonts w:eastAsia="Times New Roman"/>
          <w:szCs w:val="26"/>
        </w:rPr>
        <w:t>,</w:t>
      </w:r>
      <w:r w:rsidRPr="00286C23">
        <w:rPr>
          <w:rFonts w:eastAsia="Times New Roman"/>
          <w:szCs w:val="26"/>
        </w:rPr>
        <w:t xml:space="preserve"> “which is more expensive and difficult to get</w:t>
      </w:r>
      <w:r>
        <w:rPr>
          <w:rFonts w:eastAsia="Times New Roman"/>
          <w:szCs w:val="26"/>
        </w:rPr>
        <w:t>,</w:t>
      </w:r>
      <w:r w:rsidRPr="00286C23">
        <w:rPr>
          <w:rFonts w:eastAsia="Times New Roman"/>
          <w:szCs w:val="26"/>
        </w:rPr>
        <w:t>” and the</w:t>
      </w:r>
      <w:r>
        <w:rPr>
          <w:rFonts w:eastAsia="Times New Roman"/>
          <w:szCs w:val="26"/>
        </w:rPr>
        <w:t xml:space="preserve"> previous tenant’s</w:t>
      </w:r>
      <w:r w:rsidRPr="00286C23">
        <w:rPr>
          <w:rFonts w:eastAsia="Times New Roman"/>
          <w:szCs w:val="26"/>
        </w:rPr>
        <w:t xml:space="preserve"> insurance was for</w:t>
      </w:r>
      <w:r>
        <w:rPr>
          <w:rFonts w:eastAsia="Times New Roman"/>
          <w:szCs w:val="26"/>
        </w:rPr>
        <w:t xml:space="preserve"> a</w:t>
      </w:r>
      <w:r w:rsidRPr="00286C23">
        <w:rPr>
          <w:rFonts w:eastAsia="Times New Roman"/>
          <w:szCs w:val="26"/>
        </w:rPr>
        <w:t xml:space="preserve"> full</w:t>
      </w:r>
      <w:r>
        <w:rPr>
          <w:rFonts w:eastAsia="Times New Roman"/>
          <w:szCs w:val="26"/>
        </w:rPr>
        <w:t>-</w:t>
      </w:r>
      <w:r w:rsidRPr="00286C23">
        <w:rPr>
          <w:rFonts w:eastAsia="Times New Roman"/>
          <w:szCs w:val="26"/>
        </w:rPr>
        <w:t xml:space="preserve">service restaurant with </w:t>
      </w:r>
      <w:r>
        <w:rPr>
          <w:rFonts w:eastAsia="Times New Roman"/>
          <w:szCs w:val="26"/>
        </w:rPr>
        <w:t xml:space="preserve">a </w:t>
      </w:r>
      <w:r w:rsidRPr="00286C23">
        <w:rPr>
          <w:rFonts w:eastAsia="Times New Roman"/>
          <w:szCs w:val="26"/>
        </w:rPr>
        <w:t>beer and wine license</w:t>
      </w:r>
      <w:r>
        <w:rPr>
          <w:rFonts w:eastAsia="Times New Roman"/>
          <w:szCs w:val="26"/>
        </w:rPr>
        <w:t>.</w:t>
      </w:r>
      <w:r w:rsidRPr="00286C23">
        <w:rPr>
          <w:rFonts w:eastAsia="Times New Roman"/>
          <w:szCs w:val="26"/>
        </w:rPr>
        <w:t xml:space="preserve">  </w:t>
      </w:r>
    </w:p>
    <w:p w:rsidR="00C13F46" w:rsidP="003F45BE">
      <w:pPr>
        <w:spacing w:line="360" w:lineRule="auto"/>
        <w:rPr>
          <w:rFonts w:eastAsia="Times New Roman"/>
          <w:szCs w:val="26"/>
        </w:rPr>
      </w:pPr>
      <w:r>
        <w:rPr>
          <w:rFonts w:eastAsia="Times New Roman"/>
          <w:szCs w:val="26"/>
        </w:rPr>
        <w:tab/>
      </w:r>
      <w:r w:rsidRPr="5CA9A013">
        <w:rPr>
          <w:rFonts w:eastAsia="Times New Roman"/>
        </w:rPr>
        <w:t xml:space="preserve">Silverman </w:t>
      </w:r>
      <w:r>
        <w:rPr>
          <w:rFonts w:eastAsia="Times New Roman"/>
        </w:rPr>
        <w:t>testified that Beverly</w:t>
      </w:r>
      <w:r w:rsidRPr="5CA9A013">
        <w:rPr>
          <w:rFonts w:eastAsia="Times New Roman"/>
        </w:rPr>
        <w:t xml:space="preserve"> told him The Field left in 2008 and </w:t>
      </w:r>
      <w:r>
        <w:rPr>
          <w:rFonts w:eastAsia="Times New Roman"/>
        </w:rPr>
        <w:t>gave</w:t>
      </w:r>
      <w:r w:rsidRPr="5CA9A013">
        <w:rPr>
          <w:rFonts w:eastAsia="Times New Roman"/>
        </w:rPr>
        <w:t xml:space="preserve"> him a copy of </w:t>
      </w:r>
      <w:r>
        <w:rPr>
          <w:rFonts w:eastAsia="Times New Roman"/>
        </w:rPr>
        <w:t>its</w:t>
      </w:r>
      <w:r w:rsidRPr="5CA9A013">
        <w:rPr>
          <w:rFonts w:eastAsia="Times New Roman"/>
        </w:rPr>
        <w:t xml:space="preserve"> lease</w:t>
      </w:r>
      <w:r>
        <w:rPr>
          <w:rFonts w:eastAsia="Times New Roman"/>
        </w:rPr>
        <w:t>, which stated a termination date of</w:t>
      </w:r>
      <w:r w:rsidRPr="5CA9A013">
        <w:rPr>
          <w:rFonts w:eastAsia="Times New Roman"/>
        </w:rPr>
        <w:t xml:space="preserve"> August 31, 2008.  </w:t>
      </w:r>
      <w:r>
        <w:rPr>
          <w:rFonts w:eastAsia="Times New Roman"/>
        </w:rPr>
        <w:t xml:space="preserve">On this basis, Silverman argued to the zoning administrator that the gap between The Field and Le Bordeaux was less than three years.  The zoning administrator </w:t>
      </w:r>
      <w:r w:rsidRPr="5CA9A013">
        <w:rPr>
          <w:rFonts w:eastAsia="Times New Roman"/>
        </w:rPr>
        <w:t xml:space="preserve">found </w:t>
      </w:r>
      <w:r>
        <w:rPr>
          <w:rFonts w:eastAsia="Times New Roman"/>
        </w:rPr>
        <w:t>The Field’s l</w:t>
      </w:r>
      <w:r w:rsidRPr="5CA9A013">
        <w:rPr>
          <w:rFonts w:eastAsia="Times New Roman"/>
        </w:rPr>
        <w:t xml:space="preserve">ease insufficient to demonstrate that </w:t>
      </w:r>
      <w:r>
        <w:rPr>
          <w:rFonts w:eastAsia="Times New Roman"/>
        </w:rPr>
        <w:t>it</w:t>
      </w:r>
      <w:r w:rsidRPr="5CA9A013">
        <w:rPr>
          <w:rFonts w:eastAsia="Times New Roman"/>
        </w:rPr>
        <w:t xml:space="preserve"> remained in operation until its termination date</w:t>
      </w:r>
      <w:r>
        <w:rPr>
          <w:rFonts w:eastAsia="Times New Roman"/>
        </w:rPr>
        <w:t xml:space="preserve"> because</w:t>
      </w:r>
      <w:r w:rsidRPr="5CA9A013">
        <w:rPr>
          <w:rFonts w:eastAsia="Times New Roman"/>
        </w:rPr>
        <w:t xml:space="preserve"> the </w:t>
      </w:r>
      <w:r>
        <w:rPr>
          <w:rFonts w:eastAsia="Times New Roman"/>
        </w:rPr>
        <w:t>D</w:t>
      </w:r>
      <w:r w:rsidRPr="5CA9A013">
        <w:rPr>
          <w:rFonts w:eastAsia="Times New Roman"/>
        </w:rPr>
        <w:t xml:space="preserve">ABC website </w:t>
      </w:r>
      <w:r>
        <w:rPr>
          <w:rFonts w:eastAsia="Times New Roman"/>
        </w:rPr>
        <w:t>indicated The Field’s</w:t>
      </w:r>
      <w:r w:rsidRPr="5CA9A013">
        <w:rPr>
          <w:rFonts w:eastAsia="Times New Roman"/>
        </w:rPr>
        <w:t xml:space="preserve"> licenses were cancelled in August 2004.  </w:t>
      </w:r>
      <w:r>
        <w:rPr>
          <w:rFonts w:eastAsia="Times New Roman"/>
        </w:rPr>
        <w:t>Beverly told Silverman she</w:t>
      </w:r>
      <w:r w:rsidRPr="5CA9A013">
        <w:rPr>
          <w:rFonts w:eastAsia="Times New Roman"/>
        </w:rPr>
        <w:t xml:space="preserve"> thought the administrator was mistaken.</w:t>
      </w:r>
      <w:r>
        <w:rPr>
          <w:rStyle w:val="FootnoteReference"/>
          <w:rFonts w:eastAsia="Times New Roman"/>
        </w:rPr>
        <w:footnoteReference w:id="11"/>
      </w:r>
      <w:r w:rsidRPr="5CA9A013">
        <w:rPr>
          <w:rFonts w:eastAsia="Times New Roman"/>
        </w:rPr>
        <w:t xml:space="preserve">  Based on </w:t>
      </w:r>
      <w:r>
        <w:rPr>
          <w:rFonts w:eastAsia="Times New Roman"/>
        </w:rPr>
        <w:t>Beverly</w:t>
      </w:r>
      <w:r w:rsidRPr="5CA9A013">
        <w:rPr>
          <w:rFonts w:eastAsia="Times New Roman"/>
        </w:rPr>
        <w:t xml:space="preserve">’s representations, </w:t>
      </w:r>
      <w:r>
        <w:rPr>
          <w:rFonts w:eastAsia="Times New Roman"/>
        </w:rPr>
        <w:t>Silverman</w:t>
      </w:r>
      <w:r w:rsidRPr="5CA9A013">
        <w:rPr>
          <w:rFonts w:eastAsia="Times New Roman"/>
        </w:rPr>
        <w:t xml:space="preserve"> prepared a declaration that she executed on March 16, 2015, stating that “the space has been used as a full-service restaurant and bar continuously after we obtained the conditional use authorization in 1998 except for periods of turnover between tenants, when we advertised for full-service restaurant tenants,” and that “The Field Restaurant and bar was the Lessee under a Lease Agreement that was in effect from August 26, 1998 until August 31, 2008.”  The </w:t>
      </w:r>
      <w:r>
        <w:rPr>
          <w:rFonts w:eastAsia="Times New Roman"/>
        </w:rPr>
        <w:t>zoning administrator again</w:t>
      </w:r>
      <w:r w:rsidRPr="5CA9A013">
        <w:rPr>
          <w:rFonts w:eastAsia="Times New Roman"/>
        </w:rPr>
        <w:t xml:space="preserve"> found this was “not enough to substantiate that the conditional use was not abandoned.”  </w:t>
      </w:r>
    </w:p>
    <w:p w:rsidR="004A718A" w:rsidP="003F45BE">
      <w:pPr>
        <w:spacing w:line="360" w:lineRule="auto"/>
        <w:rPr>
          <w:rFonts w:eastAsia="Times New Roman"/>
          <w:szCs w:val="26"/>
        </w:rPr>
      </w:pPr>
      <w:r>
        <w:rPr>
          <w:rFonts w:eastAsia="Times New Roman"/>
          <w:szCs w:val="26"/>
        </w:rPr>
        <w:tab/>
        <w:t>Silverman testified that when he tried to get documentation from Beverly to refute the gap in operations between The Field and Le Bordeaux, she responded with statements about Le Bordeaux’s liquor license application and arguments that the Department’s determination was wrong.</w:t>
      </w:r>
      <w:r>
        <w:rPr>
          <w:rStyle w:val="FootnoteReference"/>
          <w:rFonts w:eastAsia="Times New Roman"/>
          <w:szCs w:val="26"/>
        </w:rPr>
        <w:footnoteReference w:id="12"/>
      </w:r>
      <w:r>
        <w:rPr>
          <w:rFonts w:eastAsia="Times New Roman"/>
          <w:szCs w:val="26"/>
        </w:rPr>
        <w:t xml:space="preserve">  At this point, Silverman was “starting to think that [the zoning administrator] might have a point because I’m not getting any evidence to the contrary.”  </w:t>
      </w:r>
    </w:p>
    <w:p w:rsidR="00286C23" w:rsidRPr="0065724E" w:rsidP="003F45BE">
      <w:pPr>
        <w:spacing w:line="360" w:lineRule="auto"/>
        <w:rPr>
          <w:rFonts w:eastAsia="Times New Roman"/>
          <w:szCs w:val="26"/>
        </w:rPr>
      </w:pPr>
      <w:r>
        <w:rPr>
          <w:rFonts w:eastAsia="Times New Roman"/>
          <w:szCs w:val="26"/>
        </w:rPr>
        <w:tab/>
        <w:t>In an April 2015 email correspondence, the zoning administrator</w:t>
      </w:r>
      <w:r w:rsidRPr="00286C23">
        <w:rPr>
          <w:rFonts w:eastAsia="Times New Roman"/>
          <w:szCs w:val="26"/>
        </w:rPr>
        <w:t xml:space="preserve"> inform</w:t>
      </w:r>
      <w:r>
        <w:rPr>
          <w:rFonts w:eastAsia="Times New Roman"/>
          <w:szCs w:val="26"/>
        </w:rPr>
        <w:t>ed</w:t>
      </w:r>
      <w:r w:rsidRPr="00286C23">
        <w:rPr>
          <w:rFonts w:eastAsia="Times New Roman"/>
          <w:szCs w:val="26"/>
        </w:rPr>
        <w:t xml:space="preserve"> </w:t>
      </w:r>
      <w:r>
        <w:rPr>
          <w:rFonts w:eastAsia="Times New Roman"/>
          <w:szCs w:val="26"/>
        </w:rPr>
        <w:t>Silverman</w:t>
      </w:r>
      <w:r w:rsidRPr="00286C23">
        <w:rPr>
          <w:rFonts w:eastAsia="Times New Roman"/>
          <w:szCs w:val="26"/>
        </w:rPr>
        <w:t xml:space="preserve"> that “any approval of Le Bordeaux in 2011 was in error” because the previous restaurant use had been abandoned after </w:t>
      </w:r>
      <w:r>
        <w:rPr>
          <w:rFonts w:eastAsia="Times New Roman"/>
          <w:szCs w:val="26"/>
        </w:rPr>
        <w:t>T</w:t>
      </w:r>
      <w:r w:rsidRPr="00286C23">
        <w:rPr>
          <w:rFonts w:eastAsia="Times New Roman"/>
          <w:szCs w:val="26"/>
        </w:rPr>
        <w:t xml:space="preserve">he Field discontinued operation in 2004.  </w:t>
      </w:r>
      <w:r>
        <w:rPr>
          <w:rFonts w:eastAsia="Times New Roman"/>
          <w:szCs w:val="26"/>
        </w:rPr>
        <w:t>Silverman’s</w:t>
      </w:r>
      <w:r w:rsidRPr="00286C23">
        <w:rPr>
          <w:rFonts w:eastAsia="Times New Roman"/>
          <w:szCs w:val="26"/>
        </w:rPr>
        <w:t xml:space="preserve"> requests for </w:t>
      </w:r>
      <w:r>
        <w:rPr>
          <w:rFonts w:eastAsia="Times New Roman"/>
          <w:szCs w:val="26"/>
        </w:rPr>
        <w:t>additional</w:t>
      </w:r>
      <w:r w:rsidRPr="00286C23">
        <w:rPr>
          <w:rFonts w:eastAsia="Times New Roman"/>
          <w:szCs w:val="26"/>
        </w:rPr>
        <w:t xml:space="preserve"> documentation from </w:t>
      </w:r>
      <w:r>
        <w:rPr>
          <w:rFonts w:eastAsia="Times New Roman"/>
          <w:szCs w:val="26"/>
        </w:rPr>
        <w:t>Beverly</w:t>
      </w:r>
      <w:r w:rsidRPr="00286C23">
        <w:rPr>
          <w:rFonts w:eastAsia="Times New Roman"/>
          <w:szCs w:val="26"/>
        </w:rPr>
        <w:t xml:space="preserve"> met with arguments that the department was acting improperly.  </w:t>
      </w:r>
      <w:r>
        <w:rPr>
          <w:rFonts w:eastAsia="Times New Roman"/>
          <w:szCs w:val="26"/>
        </w:rPr>
        <w:t xml:space="preserve">The zoning administrator denied Hong’s request for a hearing, and Silverman told Beverly they had reached a dead end.  </w:t>
      </w:r>
    </w:p>
    <w:p w:rsidR="00004E87" w:rsidRPr="0065724E" w:rsidP="003F45BE">
      <w:pPr>
        <w:spacing w:line="360" w:lineRule="auto"/>
        <w:rPr>
          <w:rFonts w:eastAsia="Times New Roman"/>
        </w:rPr>
      </w:pPr>
      <w:r>
        <w:rPr>
          <w:rFonts w:eastAsia="Times New Roman"/>
          <w:szCs w:val="26"/>
        </w:rPr>
        <w:tab/>
        <w:t xml:space="preserve">Hong testified that she had </w:t>
      </w:r>
      <w:r w:rsidRPr="0065724E">
        <w:rPr>
          <w:rFonts w:eastAsia="Times New Roman"/>
          <w:szCs w:val="26"/>
        </w:rPr>
        <w:t xml:space="preserve">believed everything </w:t>
      </w:r>
      <w:r>
        <w:rPr>
          <w:rFonts w:eastAsia="Times New Roman"/>
          <w:szCs w:val="26"/>
        </w:rPr>
        <w:t>Beverly</w:t>
      </w:r>
      <w:r w:rsidRPr="0065724E">
        <w:rPr>
          <w:rFonts w:eastAsia="Times New Roman"/>
          <w:szCs w:val="26"/>
        </w:rPr>
        <w:t xml:space="preserve"> told her about the use of the premises</w:t>
      </w:r>
      <w:r>
        <w:rPr>
          <w:rFonts w:eastAsia="Times New Roman"/>
          <w:szCs w:val="26"/>
        </w:rPr>
        <w:t xml:space="preserve"> and </w:t>
      </w:r>
      <w:r w:rsidRPr="002272D2">
        <w:rPr>
          <w:rFonts w:eastAsia="Times New Roman"/>
          <w:szCs w:val="26"/>
        </w:rPr>
        <w:t xml:space="preserve">realized </w:t>
      </w:r>
      <w:r>
        <w:rPr>
          <w:rFonts w:eastAsia="Times New Roman"/>
          <w:szCs w:val="26"/>
        </w:rPr>
        <w:t>Beverly</w:t>
      </w:r>
      <w:r w:rsidRPr="002272D2">
        <w:rPr>
          <w:rFonts w:eastAsia="Times New Roman"/>
          <w:szCs w:val="26"/>
        </w:rPr>
        <w:t xml:space="preserve"> “was lying to me from the beginning” </w:t>
      </w:r>
      <w:r>
        <w:rPr>
          <w:rFonts w:eastAsia="Times New Roman"/>
          <w:szCs w:val="26"/>
        </w:rPr>
        <w:t xml:space="preserve">only after her attorneys told her there was nothing more to be done and she would not be able to open the restaurant. </w:t>
      </w:r>
      <w:r w:rsidRPr="0065724E">
        <w:rPr>
          <w:rFonts w:eastAsia="Times New Roman"/>
          <w:szCs w:val="26"/>
        </w:rPr>
        <w:t xml:space="preserve"> </w:t>
      </w:r>
      <w:r>
        <w:rPr>
          <w:rFonts w:eastAsia="Times New Roman"/>
          <w:szCs w:val="26"/>
        </w:rPr>
        <w:t>She</w:t>
      </w:r>
      <w:r w:rsidRPr="5CA9A013">
        <w:rPr>
          <w:rFonts w:eastAsia="Times New Roman"/>
        </w:rPr>
        <w:t xml:space="preserve"> gave notice of termination of the lease </w:t>
      </w:r>
      <w:r>
        <w:rPr>
          <w:rFonts w:eastAsia="Times New Roman"/>
        </w:rPr>
        <w:t>on</w:t>
      </w:r>
      <w:r w:rsidRPr="5CA9A013">
        <w:rPr>
          <w:rFonts w:eastAsia="Times New Roman"/>
        </w:rPr>
        <w:t xml:space="preserve"> April 24, 2015.  Asked why he believed, as stated in the </w:t>
      </w:r>
      <w:r>
        <w:rPr>
          <w:rFonts w:eastAsia="Times New Roman"/>
        </w:rPr>
        <w:t xml:space="preserve">termination </w:t>
      </w:r>
      <w:r w:rsidRPr="5CA9A013">
        <w:rPr>
          <w:rFonts w:eastAsia="Times New Roman"/>
        </w:rPr>
        <w:t xml:space="preserve">letter, that </w:t>
      </w:r>
      <w:r>
        <w:rPr>
          <w:rFonts w:eastAsia="Times New Roman"/>
        </w:rPr>
        <w:t>Beverly</w:t>
      </w:r>
      <w:r w:rsidRPr="5CA9A013">
        <w:rPr>
          <w:rFonts w:eastAsia="Times New Roman"/>
        </w:rPr>
        <w:t xml:space="preserve"> “failed to disclose to [Hong] the existence of the abandonment of the conditional use for the </w:t>
      </w:r>
      <w:r>
        <w:rPr>
          <w:rFonts w:eastAsia="Times New Roman"/>
        </w:rPr>
        <w:t>p</w:t>
      </w:r>
      <w:r w:rsidRPr="5CA9A013">
        <w:rPr>
          <w:rFonts w:eastAsia="Times New Roman"/>
        </w:rPr>
        <w:t xml:space="preserve">remises,” Silverman testified, “[b]ecause she had been telling me the opposite . . . </w:t>
      </w:r>
      <w:r>
        <w:rPr>
          <w:rFonts w:eastAsia="Times New Roman"/>
        </w:rPr>
        <w:t>[t]</w:t>
      </w:r>
      <w:r w:rsidRPr="5CA9A013">
        <w:rPr>
          <w:rFonts w:eastAsia="Times New Roman"/>
        </w:rPr>
        <w:t>hat the restaurant had operated continuously . . . [a]s a full</w:t>
      </w:r>
      <w:r>
        <w:rPr>
          <w:rFonts w:eastAsia="Times New Roman"/>
        </w:rPr>
        <w:t>-</w:t>
      </w:r>
      <w:r w:rsidRPr="5CA9A013">
        <w:rPr>
          <w:rFonts w:eastAsia="Times New Roman"/>
        </w:rPr>
        <w:t xml:space="preserve">service restaurant and bar.”  He testified, “the situation was actually worse than I wrote in this letter.  I wrote that, ‘You failed to disclose to our client existence of the abandonment.’ </w:t>
      </w:r>
      <w:r>
        <w:rPr>
          <w:rFonts w:eastAsia="Times New Roman"/>
        </w:rPr>
        <w:t xml:space="preserve"> </w:t>
      </w:r>
      <w:r w:rsidRPr="5CA9A013">
        <w:rPr>
          <w:rFonts w:eastAsia="Times New Roman"/>
        </w:rPr>
        <w:t xml:space="preserve">[¶] Actually, she lied to our client about it because she told her over and over again that there had been continuous operation.  And she told me that, and she told the </w:t>
      </w:r>
      <w:r>
        <w:rPr>
          <w:rFonts w:eastAsia="Times New Roman"/>
        </w:rPr>
        <w:t>zoning administrator</w:t>
      </w:r>
      <w:r w:rsidRPr="5CA9A013">
        <w:rPr>
          <w:rFonts w:eastAsia="Times New Roman"/>
        </w:rPr>
        <w:t xml:space="preserve"> that.”  </w:t>
      </w:r>
    </w:p>
    <w:p w:rsidR="00A35A02" w:rsidRPr="0065724E" w:rsidP="00E968BE">
      <w:pPr>
        <w:spacing w:line="360" w:lineRule="auto"/>
        <w:ind w:firstLine="720"/>
        <w:rPr>
          <w:rFonts w:eastAsia="Times New Roman"/>
        </w:rPr>
      </w:pPr>
      <w:r>
        <w:rPr>
          <w:rFonts w:eastAsia="Times New Roman"/>
        </w:rPr>
        <w:t xml:space="preserve">Planner </w:t>
      </w:r>
      <w:r w:rsidRPr="5CA9A013">
        <w:rPr>
          <w:rFonts w:eastAsia="Times New Roman"/>
        </w:rPr>
        <w:t xml:space="preserve">Carly Grob testified that </w:t>
      </w:r>
      <w:r>
        <w:rPr>
          <w:rFonts w:eastAsia="Times New Roman"/>
        </w:rPr>
        <w:t>it initially</w:t>
      </w:r>
      <w:r w:rsidRPr="5CA9A013">
        <w:rPr>
          <w:rFonts w:eastAsia="Times New Roman"/>
        </w:rPr>
        <w:t xml:space="preserve"> appeared Hong</w:t>
      </w:r>
      <w:r>
        <w:rPr>
          <w:rFonts w:eastAsia="Times New Roman"/>
        </w:rPr>
        <w:t>’</w:t>
      </w:r>
      <w:r w:rsidRPr="5CA9A013">
        <w:rPr>
          <w:rFonts w:eastAsia="Times New Roman"/>
        </w:rPr>
        <w:t xml:space="preserve">s restaurant could be approved </w:t>
      </w:r>
      <w:r>
        <w:rPr>
          <w:rFonts w:eastAsia="Times New Roman"/>
        </w:rPr>
        <w:t xml:space="preserve">with the existing </w:t>
      </w:r>
      <w:r w:rsidRPr="5CA9A013">
        <w:rPr>
          <w:rFonts w:eastAsia="Times New Roman"/>
        </w:rPr>
        <w:t>approval for restaurant use, but it was later discovered that Le</w:t>
      </w:r>
      <w:r>
        <w:rPr>
          <w:rFonts w:eastAsia="Times New Roman"/>
        </w:rPr>
        <w:t> </w:t>
      </w:r>
      <w:r w:rsidRPr="5CA9A013">
        <w:rPr>
          <w:rFonts w:eastAsia="Times New Roman"/>
        </w:rPr>
        <w:t>Bordeaux had been operating as a limited restaurant, without liquor service</w:t>
      </w:r>
      <w:r>
        <w:rPr>
          <w:rFonts w:eastAsia="Times New Roman"/>
        </w:rPr>
        <w:t>, and the zoning administrator</w:t>
      </w:r>
      <w:r w:rsidRPr="5CA9A013">
        <w:rPr>
          <w:rFonts w:eastAsia="Times New Roman"/>
        </w:rPr>
        <w:t xml:space="preserve"> </w:t>
      </w:r>
      <w:r>
        <w:rPr>
          <w:rFonts w:eastAsia="Times New Roman"/>
        </w:rPr>
        <w:t xml:space="preserve">interpreted the Planning Code as requiring </w:t>
      </w:r>
      <w:r w:rsidRPr="5CA9A013">
        <w:rPr>
          <w:rFonts w:eastAsia="Times New Roman"/>
        </w:rPr>
        <w:t xml:space="preserve">a restaurant </w:t>
      </w:r>
      <w:r>
        <w:rPr>
          <w:rFonts w:eastAsia="Times New Roman"/>
        </w:rPr>
        <w:t xml:space="preserve">to have </w:t>
      </w:r>
      <w:r w:rsidRPr="5CA9A013">
        <w:rPr>
          <w:rFonts w:eastAsia="Times New Roman"/>
        </w:rPr>
        <w:t>an alcohol license</w:t>
      </w:r>
      <w:r>
        <w:rPr>
          <w:rFonts w:eastAsia="Times New Roman"/>
        </w:rPr>
        <w:t xml:space="preserve">. </w:t>
      </w:r>
      <w:r w:rsidRPr="5CA9A013">
        <w:rPr>
          <w:rFonts w:eastAsia="Times New Roman"/>
        </w:rPr>
        <w:t xml:space="preserve"> </w:t>
      </w:r>
      <w:r>
        <w:rPr>
          <w:rFonts w:eastAsia="Times New Roman"/>
        </w:rPr>
        <w:t>W</w:t>
      </w:r>
      <w:r w:rsidRPr="5CA9A013">
        <w:rPr>
          <w:rFonts w:eastAsia="Times New Roman"/>
        </w:rPr>
        <w:t xml:space="preserve">hen Grob asked </w:t>
      </w:r>
      <w:r>
        <w:rPr>
          <w:rFonts w:eastAsia="Times New Roman"/>
        </w:rPr>
        <w:t>Beverly</w:t>
      </w:r>
      <w:r w:rsidRPr="5CA9A013">
        <w:rPr>
          <w:rFonts w:eastAsia="Times New Roman"/>
        </w:rPr>
        <w:t xml:space="preserve"> for documentation relating to use of the property</w:t>
      </w:r>
      <w:r>
        <w:rPr>
          <w:rFonts w:eastAsia="Times New Roman"/>
        </w:rPr>
        <w:t>,</w:t>
      </w:r>
      <w:r w:rsidRPr="5CA9A013">
        <w:rPr>
          <w:rFonts w:eastAsia="Times New Roman"/>
        </w:rPr>
        <w:t xml:space="preserve"> </w:t>
      </w:r>
      <w:r>
        <w:rPr>
          <w:rFonts w:eastAsia="Times New Roman"/>
        </w:rPr>
        <w:t>Beverly</w:t>
      </w:r>
      <w:r w:rsidRPr="5CA9A013">
        <w:rPr>
          <w:rFonts w:eastAsia="Times New Roman"/>
        </w:rPr>
        <w:t xml:space="preserve"> responded with complaints about </w:t>
      </w:r>
      <w:r w:rsidRPr="00BB5CC1">
        <w:rPr>
          <w:rFonts w:eastAsia="Times New Roman"/>
          <w:bCs/>
        </w:rPr>
        <w:t>the permit expediter</w:t>
      </w:r>
      <w:r w:rsidRPr="5CA9A013">
        <w:rPr>
          <w:rFonts w:eastAsia="Times New Roman"/>
        </w:rPr>
        <w:t xml:space="preserve"> </w:t>
      </w:r>
      <w:r>
        <w:rPr>
          <w:rFonts w:eastAsia="Times New Roman"/>
        </w:rPr>
        <w:t xml:space="preserve">who had complained about the conditional use issue (see fn. 7, </w:t>
      </w:r>
      <w:r w:rsidRPr="000E286A">
        <w:rPr>
          <w:rFonts w:eastAsia="Times New Roman"/>
          <w:i/>
        </w:rPr>
        <w:t>ante</w:t>
      </w:r>
      <w:r w:rsidRPr="0088011B">
        <w:rPr>
          <w:rFonts w:eastAsia="Times New Roman"/>
        </w:rPr>
        <w:t>,</w:t>
      </w:r>
      <w:r w:rsidRPr="001503D1">
        <w:rPr>
          <w:rFonts w:eastAsia="Times New Roman"/>
        </w:rPr>
        <w:t xml:space="preserve"> at p</w:t>
      </w:r>
      <w:r>
        <w:rPr>
          <w:rFonts w:eastAsia="Times New Roman"/>
        </w:rPr>
        <w:t xml:space="preserve"> 6</w:t>
      </w:r>
      <w:r>
        <w:rPr>
          <w:rFonts w:eastAsia="Times New Roman"/>
          <w:i/>
        </w:rPr>
        <w:t>.</w:t>
      </w:r>
      <w:r>
        <w:rPr>
          <w:rFonts w:eastAsia="Times New Roman"/>
        </w:rPr>
        <w:t xml:space="preserve">) and </w:t>
      </w:r>
      <w:r w:rsidRPr="5CA9A013">
        <w:rPr>
          <w:rFonts w:eastAsia="Times New Roman"/>
        </w:rPr>
        <w:t>assertions that Le</w:t>
      </w:r>
      <w:r>
        <w:rPr>
          <w:rFonts w:eastAsia="Times New Roman"/>
        </w:rPr>
        <w:t> </w:t>
      </w:r>
      <w:r w:rsidRPr="5CA9A013">
        <w:rPr>
          <w:rFonts w:eastAsia="Times New Roman"/>
        </w:rPr>
        <w:t xml:space="preserve">Bordeaux </w:t>
      </w:r>
      <w:r>
        <w:rPr>
          <w:rFonts w:eastAsia="Times New Roman"/>
        </w:rPr>
        <w:t>had gone</w:t>
      </w:r>
      <w:r w:rsidRPr="5CA9A013">
        <w:rPr>
          <w:rFonts w:eastAsia="Times New Roman"/>
        </w:rPr>
        <w:t xml:space="preserve"> through a </w:t>
      </w:r>
      <w:r>
        <w:rPr>
          <w:rFonts w:eastAsia="Times New Roman"/>
        </w:rPr>
        <w:t xml:space="preserve">“very </w:t>
      </w:r>
      <w:r w:rsidRPr="5CA9A013">
        <w:rPr>
          <w:rFonts w:eastAsia="Times New Roman"/>
        </w:rPr>
        <w:t>thorough</w:t>
      </w:r>
      <w:r>
        <w:rPr>
          <w:rFonts w:eastAsia="Times New Roman"/>
        </w:rPr>
        <w:t>”</w:t>
      </w:r>
      <w:r w:rsidRPr="5CA9A013">
        <w:rPr>
          <w:rFonts w:eastAsia="Times New Roman"/>
        </w:rPr>
        <w:t xml:space="preserve"> planning and zoning process to receive approval.  </w:t>
      </w:r>
      <w:r>
        <w:rPr>
          <w:rFonts w:eastAsia="Times New Roman"/>
        </w:rPr>
        <w:t>Beverly</w:t>
      </w:r>
      <w:r w:rsidRPr="5CA9A013">
        <w:rPr>
          <w:rFonts w:eastAsia="Times New Roman"/>
        </w:rPr>
        <w:t xml:space="preserve"> never said there was a vacancy at the property.  </w:t>
      </w:r>
      <w:r>
        <w:rPr>
          <w:rFonts w:eastAsia="Times New Roman"/>
        </w:rPr>
        <w:t>Grob testified that t</w:t>
      </w:r>
      <w:r w:rsidRPr="5CA9A013">
        <w:rPr>
          <w:rFonts w:eastAsia="Times New Roman"/>
        </w:rPr>
        <w:t xml:space="preserve">he Department had not revoked the September 2, 2014 zoning affidavit indicating </w:t>
      </w:r>
      <w:r>
        <w:rPr>
          <w:rFonts w:eastAsia="Times New Roman"/>
        </w:rPr>
        <w:t>Hong did not need a</w:t>
      </w:r>
      <w:r w:rsidRPr="5CA9A013">
        <w:rPr>
          <w:rFonts w:eastAsia="Times New Roman"/>
        </w:rPr>
        <w:t xml:space="preserve"> new conditional use permit, but had “acknowledged” </w:t>
      </w:r>
      <w:r>
        <w:rPr>
          <w:rFonts w:eastAsia="Times New Roman"/>
        </w:rPr>
        <w:t>that</w:t>
      </w:r>
      <w:r w:rsidRPr="5CA9A013">
        <w:rPr>
          <w:rFonts w:eastAsia="Times New Roman"/>
        </w:rPr>
        <w:t xml:space="preserve"> position was incorrect and so advised the </w:t>
      </w:r>
      <w:r>
        <w:rPr>
          <w:rFonts w:eastAsia="Times New Roman"/>
        </w:rPr>
        <w:t>D</w:t>
      </w:r>
      <w:r w:rsidRPr="5CA9A013">
        <w:rPr>
          <w:rFonts w:eastAsia="Times New Roman"/>
        </w:rPr>
        <w:t xml:space="preserve">ABC. </w:t>
      </w:r>
      <w:r>
        <w:rPr>
          <w:rFonts w:eastAsia="Times New Roman"/>
        </w:rPr>
        <w:t xml:space="preserve"> </w:t>
      </w:r>
    </w:p>
    <w:p w:rsidR="00F37189" w:rsidRPr="0065724E" w:rsidP="003F45BE">
      <w:pPr>
        <w:spacing w:line="360" w:lineRule="auto"/>
        <w:ind w:firstLine="720"/>
        <w:rPr>
          <w:rFonts w:eastAsia="Times New Roman"/>
        </w:rPr>
      </w:pPr>
      <w:r w:rsidRPr="5CA9A013">
        <w:rPr>
          <w:rFonts w:eastAsia="Times New Roman"/>
        </w:rPr>
        <w:t xml:space="preserve">Sylvain Castet, the owner of Le Bordeaux, testified that when he rented the premises intending to open a French restaurant serving beer and wine, </w:t>
      </w:r>
      <w:r>
        <w:rPr>
          <w:rFonts w:eastAsia="Times New Roman"/>
        </w:rPr>
        <w:t>Beverly</w:t>
      </w:r>
      <w:r w:rsidRPr="5CA9A013">
        <w:rPr>
          <w:rFonts w:eastAsia="Times New Roman"/>
        </w:rPr>
        <w:t xml:space="preserve"> did not tell him about a prior vacancy </w:t>
      </w:r>
      <w:r>
        <w:rPr>
          <w:rFonts w:eastAsia="Times New Roman"/>
        </w:rPr>
        <w:t xml:space="preserve">of more than three years </w:t>
      </w:r>
      <w:r w:rsidRPr="5CA9A013">
        <w:rPr>
          <w:rFonts w:eastAsia="Times New Roman"/>
        </w:rPr>
        <w:t xml:space="preserve">or possible need for a new conditional use approval.  After he signed </w:t>
      </w:r>
      <w:r>
        <w:rPr>
          <w:rFonts w:eastAsia="Times New Roman"/>
        </w:rPr>
        <w:t xml:space="preserve">the </w:t>
      </w:r>
      <w:r w:rsidRPr="5CA9A013">
        <w:rPr>
          <w:rFonts w:eastAsia="Times New Roman"/>
        </w:rPr>
        <w:t xml:space="preserve">lease, neighbors told him the property had been vacant for 10 years.  When he asked </w:t>
      </w:r>
      <w:r>
        <w:rPr>
          <w:rFonts w:eastAsia="Times New Roman"/>
        </w:rPr>
        <w:t>Beverly</w:t>
      </w:r>
      <w:r w:rsidRPr="5CA9A013">
        <w:rPr>
          <w:rFonts w:eastAsia="Times New Roman"/>
        </w:rPr>
        <w:t xml:space="preserve"> about this, she responded,  “</w:t>
      </w:r>
      <w:r>
        <w:rPr>
          <w:rFonts w:eastAsia="Times New Roman"/>
        </w:rPr>
        <w:t>[n]</w:t>
      </w:r>
      <w:r w:rsidRPr="5CA9A013">
        <w:rPr>
          <w:rFonts w:eastAsia="Times New Roman"/>
        </w:rPr>
        <w:t xml:space="preserve">o, it hasn’t been vacant for </w:t>
      </w:r>
      <w:r>
        <w:rPr>
          <w:rFonts w:eastAsia="Times New Roman"/>
        </w:rPr>
        <w:t>10</w:t>
      </w:r>
      <w:r w:rsidRPr="5CA9A013">
        <w:rPr>
          <w:rFonts w:eastAsia="Times New Roman"/>
        </w:rPr>
        <w:t xml:space="preserve"> years”</w:t>
      </w:r>
      <w:r>
        <w:rPr>
          <w:rFonts w:eastAsia="Times New Roman"/>
        </w:rPr>
        <w:t xml:space="preserve"> and advised him not to listen to the neighbors; she </w:t>
      </w:r>
      <w:r w:rsidRPr="5CA9A013">
        <w:rPr>
          <w:rFonts w:eastAsia="Times New Roman"/>
        </w:rPr>
        <w:t>never told him there was had been a vacancy of more than three years</w:t>
      </w:r>
      <w:r>
        <w:rPr>
          <w:rFonts w:eastAsia="Times New Roman"/>
        </w:rPr>
        <w:t>.</w:t>
      </w:r>
      <w:r>
        <w:rPr>
          <w:rStyle w:val="FootnoteReference"/>
          <w:rFonts w:eastAsia="Times New Roman"/>
        </w:rPr>
        <w:footnoteReference w:id="13"/>
      </w:r>
      <w:r w:rsidRPr="5CA9A013">
        <w:rPr>
          <w:rFonts w:eastAsia="Times New Roman"/>
        </w:rPr>
        <w:t xml:space="preserve"> </w:t>
      </w:r>
    </w:p>
    <w:p w:rsidR="00F37189" w:rsidRPr="0065724E" w:rsidP="003F45BE">
      <w:pPr>
        <w:spacing w:line="360" w:lineRule="auto"/>
        <w:ind w:firstLine="720"/>
        <w:rPr>
          <w:rFonts w:eastAsia="Times New Roman"/>
        </w:rPr>
      </w:pPr>
      <w:r w:rsidRPr="5CA9A013">
        <w:rPr>
          <w:rFonts w:eastAsia="Times New Roman"/>
        </w:rPr>
        <w:t>Optimist Prime, a company owned by James Bryant Bourque</w:t>
      </w:r>
      <w:r>
        <w:rPr>
          <w:rFonts w:eastAsia="Times New Roman"/>
        </w:rPr>
        <w:t>, his mother and his stepfather</w:t>
      </w:r>
      <w:r w:rsidRPr="5CA9A013">
        <w:rPr>
          <w:rFonts w:eastAsia="Times New Roman"/>
        </w:rPr>
        <w:t xml:space="preserve">, signed a lease for the 524 Union premises on October 8, 2015, with the intention of opening a restaurant.  For tax reasons, a contingency was being able to open by the end of 2015, and </w:t>
      </w:r>
      <w:r>
        <w:rPr>
          <w:rFonts w:eastAsia="Times New Roman"/>
        </w:rPr>
        <w:t>Beverly</w:t>
      </w:r>
      <w:r w:rsidRPr="5CA9A013">
        <w:rPr>
          <w:rFonts w:eastAsia="Times New Roman"/>
        </w:rPr>
        <w:t xml:space="preserve"> assured them she </w:t>
      </w:r>
      <w:r>
        <w:rPr>
          <w:rFonts w:eastAsia="Times New Roman"/>
        </w:rPr>
        <w:t xml:space="preserve">would </w:t>
      </w:r>
      <w:r w:rsidRPr="5CA9A013">
        <w:rPr>
          <w:rFonts w:eastAsia="Times New Roman"/>
        </w:rPr>
        <w:t xml:space="preserve">make sure they got timely approvals to be able to meet the deadline.  From his conversations with </w:t>
      </w:r>
      <w:r>
        <w:rPr>
          <w:rFonts w:eastAsia="Times New Roman"/>
        </w:rPr>
        <w:t>Beverly</w:t>
      </w:r>
      <w:r w:rsidRPr="5CA9A013">
        <w:rPr>
          <w:rFonts w:eastAsia="Times New Roman"/>
        </w:rPr>
        <w:t xml:space="preserve">, Bourque understood they would need to go through the conditional use process but </w:t>
      </w:r>
      <w:r>
        <w:rPr>
          <w:rFonts w:eastAsia="Times New Roman"/>
        </w:rPr>
        <w:t>this</w:t>
      </w:r>
      <w:r w:rsidRPr="5CA9A013">
        <w:rPr>
          <w:rFonts w:eastAsia="Times New Roman"/>
        </w:rPr>
        <w:t xml:space="preserve"> would not stop them from opening the restaurant; </w:t>
      </w:r>
      <w:r>
        <w:rPr>
          <w:rFonts w:eastAsia="Times New Roman"/>
        </w:rPr>
        <w:t>Beverly did not disclose</w:t>
      </w:r>
      <w:r w:rsidRPr="5CA9A013">
        <w:rPr>
          <w:rFonts w:eastAsia="Times New Roman"/>
        </w:rPr>
        <w:t xml:space="preserve"> that zoning for this purpose had been lost entirely</w:t>
      </w:r>
      <w:r>
        <w:rPr>
          <w:rFonts w:eastAsia="Times New Roman"/>
        </w:rPr>
        <w:t xml:space="preserve">, </w:t>
      </w:r>
      <w:r w:rsidRPr="5CA9A013">
        <w:rPr>
          <w:rFonts w:eastAsia="Times New Roman"/>
        </w:rPr>
        <w:t>did not mention a problem with a prior tenant or with ENA North Beach</w:t>
      </w:r>
      <w:r>
        <w:rPr>
          <w:rFonts w:eastAsia="Times New Roman"/>
        </w:rPr>
        <w:t xml:space="preserve">, and </w:t>
      </w:r>
      <w:r w:rsidRPr="006312D5">
        <w:rPr>
          <w:rFonts w:eastAsia="Times New Roman"/>
        </w:rPr>
        <w:t xml:space="preserve">told him the owner of Le Bordeaux had received a liquor license but had to leave the country due to a visa issue before he was able to start using it. </w:t>
      </w:r>
      <w:r w:rsidRPr="5CA9A013">
        <w:rPr>
          <w:rFonts w:eastAsia="Times New Roman"/>
        </w:rPr>
        <w:t xml:space="preserve"> </w:t>
      </w:r>
      <w:r>
        <w:rPr>
          <w:rFonts w:eastAsia="Times New Roman"/>
        </w:rPr>
        <w:t>Beverly</w:t>
      </w:r>
      <w:r w:rsidRPr="5CA9A013">
        <w:rPr>
          <w:rFonts w:eastAsia="Times New Roman"/>
        </w:rPr>
        <w:t xml:space="preserve"> said the space had always been used as a restaurant</w:t>
      </w:r>
      <w:r>
        <w:rPr>
          <w:rFonts w:eastAsia="Times New Roman"/>
        </w:rPr>
        <w:t xml:space="preserve"> and</w:t>
      </w:r>
      <w:r w:rsidRPr="5CA9A013">
        <w:rPr>
          <w:rFonts w:eastAsia="Times New Roman"/>
        </w:rPr>
        <w:t xml:space="preserve"> both she and the lease itself said it could only be used as a full</w:t>
      </w:r>
      <w:r>
        <w:rPr>
          <w:rFonts w:eastAsia="Times New Roman"/>
        </w:rPr>
        <w:t>-</w:t>
      </w:r>
      <w:r w:rsidRPr="5CA9A013">
        <w:rPr>
          <w:rFonts w:eastAsia="Times New Roman"/>
        </w:rPr>
        <w:t xml:space="preserve">service restaurant.  His understanding from </w:t>
      </w:r>
      <w:r>
        <w:rPr>
          <w:rFonts w:eastAsia="Times New Roman"/>
        </w:rPr>
        <w:t>Beverly</w:t>
      </w:r>
      <w:r w:rsidRPr="5CA9A013">
        <w:rPr>
          <w:rFonts w:eastAsia="Times New Roman"/>
        </w:rPr>
        <w:t xml:space="preserve"> was that </w:t>
      </w:r>
      <w:r>
        <w:rPr>
          <w:rFonts w:eastAsia="Times New Roman"/>
        </w:rPr>
        <w:t>the premises</w:t>
      </w:r>
      <w:r w:rsidRPr="5CA9A013">
        <w:rPr>
          <w:rFonts w:eastAsia="Times New Roman"/>
        </w:rPr>
        <w:t xml:space="preserve"> had been vacant because they were being selective about who to lease to, not because they were having trouble getting tenants. </w:t>
      </w:r>
    </w:p>
    <w:p w:rsidR="007E3ED2" w:rsidRPr="007E3ED2" w:rsidP="006865B2">
      <w:pPr>
        <w:spacing w:line="360" w:lineRule="auto"/>
        <w:ind w:firstLine="720"/>
        <w:rPr>
          <w:rFonts w:eastAsia="Times New Roman"/>
        </w:rPr>
      </w:pPr>
      <w:r>
        <w:rPr>
          <w:rFonts w:eastAsia="Times New Roman"/>
        </w:rPr>
        <w:t>Beverly</w:t>
      </w:r>
      <w:r w:rsidRPr="5CA9A013">
        <w:rPr>
          <w:rFonts w:eastAsia="Times New Roman"/>
        </w:rPr>
        <w:t xml:space="preserve"> provided </w:t>
      </w:r>
      <w:r>
        <w:rPr>
          <w:rFonts w:eastAsia="Times New Roman"/>
        </w:rPr>
        <w:t xml:space="preserve">Bourque with </w:t>
      </w:r>
      <w:r w:rsidRPr="5CA9A013">
        <w:rPr>
          <w:rFonts w:eastAsia="Times New Roman"/>
        </w:rPr>
        <w:t>a written disclosure statement that stated the premises had “always” been used as a restaurant and had last been leased by ENA</w:t>
      </w:r>
      <w:r>
        <w:rPr>
          <w:rFonts w:eastAsia="Times New Roman"/>
        </w:rPr>
        <w:t xml:space="preserve"> North Beach</w:t>
      </w:r>
      <w:r w:rsidRPr="5CA9A013">
        <w:rPr>
          <w:rFonts w:eastAsia="Times New Roman"/>
        </w:rPr>
        <w:t xml:space="preserve">, which </w:t>
      </w:r>
      <w:r>
        <w:rPr>
          <w:rFonts w:eastAsia="Times New Roman"/>
        </w:rPr>
        <w:t>“</w:t>
      </w:r>
      <w:r w:rsidRPr="5CA9A013">
        <w:rPr>
          <w:rFonts w:eastAsia="Times New Roman"/>
        </w:rPr>
        <w:t xml:space="preserve">did not </w:t>
      </w:r>
      <w:r>
        <w:rPr>
          <w:rFonts w:eastAsia="Times New Roman"/>
        </w:rPr>
        <w:t xml:space="preserve">get </w:t>
      </w:r>
      <w:r w:rsidRPr="5CA9A013">
        <w:rPr>
          <w:rFonts w:eastAsia="Times New Roman"/>
        </w:rPr>
        <w:t>open</w:t>
      </w:r>
      <w:r>
        <w:rPr>
          <w:rFonts w:eastAsia="Times New Roman"/>
        </w:rPr>
        <w:t xml:space="preserve">”; </w:t>
      </w:r>
      <w:r w:rsidRPr="5CA9A013">
        <w:rPr>
          <w:rFonts w:eastAsia="Times New Roman"/>
        </w:rPr>
        <w:t xml:space="preserve">that </w:t>
      </w:r>
      <w:r>
        <w:rPr>
          <w:rFonts w:eastAsia="Times New Roman"/>
        </w:rPr>
        <w:t>Beverly</w:t>
      </w:r>
      <w:r w:rsidRPr="5CA9A013">
        <w:rPr>
          <w:rFonts w:eastAsia="Times New Roman"/>
        </w:rPr>
        <w:t xml:space="preserve"> had been told </w:t>
      </w:r>
      <w:r>
        <w:rPr>
          <w:rFonts w:eastAsia="Times New Roman"/>
        </w:rPr>
        <w:t>it</w:t>
      </w:r>
      <w:r w:rsidRPr="5CA9A013">
        <w:rPr>
          <w:rFonts w:eastAsia="Times New Roman"/>
        </w:rPr>
        <w:t xml:space="preserve"> </w:t>
      </w:r>
      <w:r>
        <w:rPr>
          <w:rFonts w:eastAsia="Times New Roman"/>
        </w:rPr>
        <w:t xml:space="preserve">was “scheduled to open, with all approvals including the issuance of their beer &amp; wine license,” until </w:t>
      </w:r>
      <w:r w:rsidRPr="5CA9A013">
        <w:rPr>
          <w:rFonts w:eastAsia="Times New Roman"/>
        </w:rPr>
        <w:t>expediter Marsha Garland</w:t>
      </w:r>
      <w:r>
        <w:rPr>
          <w:rFonts w:eastAsia="Times New Roman"/>
        </w:rPr>
        <w:t>, who represented competing interests,</w:t>
      </w:r>
      <w:r w:rsidRPr="5CA9A013">
        <w:rPr>
          <w:rFonts w:eastAsia="Times New Roman"/>
        </w:rPr>
        <w:t xml:space="preserve"> complained </w:t>
      </w:r>
      <w:r>
        <w:rPr>
          <w:rFonts w:eastAsia="Times New Roman"/>
        </w:rPr>
        <w:t xml:space="preserve">to the Department; and that </w:t>
      </w:r>
      <w:r w:rsidRPr="5CA9A013">
        <w:rPr>
          <w:rFonts w:eastAsia="Times New Roman"/>
        </w:rPr>
        <w:t>ENA</w:t>
      </w:r>
      <w:r>
        <w:rPr>
          <w:rFonts w:eastAsia="Times New Roman"/>
        </w:rPr>
        <w:t xml:space="preserve"> North Beach</w:t>
      </w:r>
      <w:r w:rsidRPr="5CA9A013">
        <w:rPr>
          <w:rFonts w:eastAsia="Times New Roman"/>
        </w:rPr>
        <w:t xml:space="preserve">, “already in violation of her lease was unable to navigate the permitting process with their attorney and was adverse to the potential of a Conditional Use process, opting instead not to pursue the issue formally.”  </w:t>
      </w:r>
      <w:r>
        <w:rPr>
          <w:rFonts w:eastAsia="Times New Roman"/>
        </w:rPr>
        <w:t xml:space="preserve">The disclosure </w:t>
      </w:r>
      <w:r w:rsidRPr="5CA9A013">
        <w:rPr>
          <w:rFonts w:eastAsia="Times New Roman"/>
        </w:rPr>
        <w:t>described Le Bordeaux as a full</w:t>
      </w:r>
      <w:r>
        <w:rPr>
          <w:rFonts w:eastAsia="Times New Roman"/>
        </w:rPr>
        <w:t>-</w:t>
      </w:r>
      <w:r w:rsidRPr="5CA9A013">
        <w:rPr>
          <w:rFonts w:eastAsia="Times New Roman"/>
        </w:rPr>
        <w:t>service restaurant</w:t>
      </w:r>
      <w:r>
        <w:rPr>
          <w:rFonts w:eastAsia="Times New Roman"/>
        </w:rPr>
        <w:t xml:space="preserve"> </w:t>
      </w:r>
      <w:r w:rsidRPr="5CA9A013">
        <w:rPr>
          <w:rFonts w:eastAsia="Times New Roman"/>
        </w:rPr>
        <w:t xml:space="preserve">“specializing in Bordeaux regional wines,” and stated that it </w:t>
      </w:r>
      <w:r>
        <w:rPr>
          <w:rFonts w:eastAsia="Times New Roman"/>
        </w:rPr>
        <w:t>“</w:t>
      </w:r>
      <w:r w:rsidRPr="5CA9A013">
        <w:rPr>
          <w:rFonts w:eastAsia="Times New Roman"/>
        </w:rPr>
        <w:t xml:space="preserve">received the required approvals and permits </w:t>
      </w:r>
      <w:r>
        <w:rPr>
          <w:rFonts w:eastAsia="Times New Roman"/>
        </w:rPr>
        <w:t xml:space="preserve">from the city </w:t>
      </w:r>
      <w:r w:rsidRPr="5CA9A013">
        <w:rPr>
          <w:rFonts w:eastAsia="Times New Roman"/>
        </w:rPr>
        <w:t>prior to opening</w:t>
      </w:r>
      <w:r>
        <w:rPr>
          <w:rFonts w:eastAsia="Times New Roman"/>
        </w:rPr>
        <w:t>”</w:t>
      </w:r>
      <w:r w:rsidRPr="5CA9A013">
        <w:rPr>
          <w:rFonts w:eastAsia="Times New Roman"/>
        </w:rPr>
        <w:t xml:space="preserve"> but processing of its beer and wine license was “delayed because of corporate issues” and “they got approved for issuance, however just prior, they had to close due to immigration visa issues.”  </w:t>
      </w:r>
      <w:r>
        <w:rPr>
          <w:rFonts w:eastAsia="Times New Roman"/>
        </w:rPr>
        <w:t>According to the disclosure, Garland and the Department had an issue with Le Bordeaux having been approved to open without going through the conditional use process, and the Department changed its interpretation of the definitions of types of restaurants and acted “as if Le Bordeaux had never opened and withdraw [</w:t>
      </w:r>
      <w:r w:rsidRPr="00316EF0">
        <w:rPr>
          <w:rFonts w:eastAsia="Times New Roman"/>
          <w:i/>
        </w:rPr>
        <w:t>sic</w:t>
      </w:r>
      <w:r>
        <w:rPr>
          <w:rFonts w:eastAsia="Times New Roman"/>
        </w:rPr>
        <w:t xml:space="preserve">] ENA’s approval.”  </w:t>
      </w:r>
      <w:r w:rsidRPr="5CA9A013">
        <w:rPr>
          <w:rFonts w:eastAsia="Times New Roman"/>
        </w:rPr>
        <w:t xml:space="preserve">The disclosure </w:t>
      </w:r>
      <w:r>
        <w:rPr>
          <w:rFonts w:eastAsia="Times New Roman"/>
        </w:rPr>
        <w:t>referred to the “discrepancy with the last tenant” and stated</w:t>
      </w:r>
      <w:r w:rsidRPr="5CA9A013">
        <w:rPr>
          <w:rFonts w:eastAsia="Times New Roman"/>
        </w:rPr>
        <w:t xml:space="preserve"> that the premises had “never been a dormant space</w:t>
      </w:r>
      <w:r>
        <w:rPr>
          <w:rFonts w:eastAsia="Times New Roman"/>
        </w:rPr>
        <w:t>.</w:t>
      </w:r>
      <w:r w:rsidRPr="5CA9A013">
        <w:rPr>
          <w:rFonts w:eastAsia="Times New Roman"/>
        </w:rPr>
        <w:t>”</w:t>
      </w:r>
      <w:r>
        <w:rPr>
          <w:rStyle w:val="FootnoteReference"/>
          <w:rFonts w:eastAsia="Times New Roman"/>
        </w:rPr>
        <w:footnoteReference w:id="14"/>
      </w:r>
      <w:r w:rsidRPr="5CA9A013">
        <w:rPr>
          <w:rFonts w:eastAsia="Times New Roman"/>
        </w:rPr>
        <w:t xml:space="preserve"> </w:t>
      </w:r>
    </w:p>
    <w:p w:rsidR="007F4181" w:rsidP="003F45BE">
      <w:pPr>
        <w:spacing w:line="360" w:lineRule="auto"/>
        <w:ind w:firstLine="720"/>
        <w:rPr>
          <w:rFonts w:eastAsia="Times New Roman"/>
        </w:rPr>
      </w:pPr>
      <w:r w:rsidRPr="5CA9A013">
        <w:rPr>
          <w:rFonts w:eastAsia="Times New Roman"/>
        </w:rPr>
        <w:t xml:space="preserve">Bourque first learned there might be a problem from the owner of the restaurant next door.  </w:t>
      </w:r>
      <w:r>
        <w:rPr>
          <w:rFonts w:eastAsia="Times New Roman"/>
        </w:rPr>
        <w:t>Although t</w:t>
      </w:r>
      <w:r w:rsidRPr="5CA9A013">
        <w:rPr>
          <w:rFonts w:eastAsia="Times New Roman"/>
        </w:rPr>
        <w:t>he Department initially said it looked like there should not be a problem opening</w:t>
      </w:r>
      <w:r>
        <w:rPr>
          <w:rFonts w:eastAsia="Times New Roman"/>
        </w:rPr>
        <w:t xml:space="preserve"> “some kind of food service,”</w:t>
      </w:r>
      <w:r w:rsidRPr="5CA9A013">
        <w:rPr>
          <w:rFonts w:eastAsia="Times New Roman"/>
        </w:rPr>
        <w:t xml:space="preserve"> an attorney alerted </w:t>
      </w:r>
      <w:r>
        <w:rPr>
          <w:rFonts w:eastAsia="Times New Roman"/>
          <w:bCs/>
        </w:rPr>
        <w:t>Bourque</w:t>
      </w:r>
      <w:r w:rsidRPr="5CA9A013">
        <w:rPr>
          <w:rFonts w:eastAsia="Times New Roman"/>
          <w:b/>
          <w:bCs/>
        </w:rPr>
        <w:t xml:space="preserve"> </w:t>
      </w:r>
      <w:r w:rsidRPr="5CA9A013">
        <w:rPr>
          <w:rFonts w:eastAsia="Times New Roman"/>
        </w:rPr>
        <w:t>to</w:t>
      </w:r>
      <w:r>
        <w:rPr>
          <w:rFonts w:eastAsia="Times New Roman"/>
        </w:rPr>
        <w:t xml:space="preserve"> the</w:t>
      </w:r>
      <w:r w:rsidRPr="5CA9A013">
        <w:rPr>
          <w:rFonts w:eastAsia="Times New Roman"/>
        </w:rPr>
        <w:t xml:space="preserve"> zoning issues, </w:t>
      </w:r>
      <w:r>
        <w:rPr>
          <w:rFonts w:eastAsia="Times New Roman"/>
        </w:rPr>
        <w:t>further inquiries at the Department revealed</w:t>
      </w:r>
      <w:r w:rsidRPr="5CA9A013">
        <w:rPr>
          <w:rFonts w:eastAsia="Times New Roman"/>
        </w:rPr>
        <w:t xml:space="preserve"> that The Field sold its liquor license to another enterprise in 2004</w:t>
      </w:r>
      <w:r>
        <w:rPr>
          <w:rFonts w:eastAsia="Times New Roman"/>
        </w:rPr>
        <w:t xml:space="preserve">, and </w:t>
      </w:r>
      <w:r w:rsidRPr="5CA9A013">
        <w:rPr>
          <w:rFonts w:eastAsia="Times New Roman"/>
        </w:rPr>
        <w:t xml:space="preserve">Bourque learned </w:t>
      </w:r>
      <w:r>
        <w:rPr>
          <w:rFonts w:eastAsia="Times New Roman"/>
        </w:rPr>
        <w:t xml:space="preserve">they would be able to open only </w:t>
      </w:r>
      <w:r w:rsidRPr="5CA9A013">
        <w:rPr>
          <w:rFonts w:eastAsia="Times New Roman"/>
        </w:rPr>
        <w:t xml:space="preserve">with a special exemption from the supervisor of the district, </w:t>
      </w:r>
      <w:r>
        <w:rPr>
          <w:rFonts w:eastAsia="Times New Roman"/>
        </w:rPr>
        <w:t>who</w:t>
      </w:r>
      <w:r w:rsidRPr="5CA9A013">
        <w:rPr>
          <w:rFonts w:eastAsia="Times New Roman"/>
        </w:rPr>
        <w:t xml:space="preserve"> was a proponent of the special use district trying to limit restaurants in North Beach.  </w:t>
      </w:r>
    </w:p>
    <w:p w:rsidR="00854A9E" w:rsidP="003F45BE">
      <w:pPr>
        <w:spacing w:line="360" w:lineRule="auto"/>
        <w:ind w:firstLine="720"/>
        <w:rPr>
          <w:rFonts w:eastAsia="Times New Roman"/>
        </w:rPr>
      </w:pPr>
      <w:r>
        <w:rPr>
          <w:rFonts w:eastAsia="Times New Roman"/>
        </w:rPr>
        <w:t>Bourque testified that Beverly</w:t>
      </w:r>
      <w:r w:rsidRPr="5CA9A013">
        <w:rPr>
          <w:rFonts w:eastAsia="Times New Roman"/>
        </w:rPr>
        <w:t xml:space="preserve"> told </w:t>
      </w:r>
      <w:r>
        <w:rPr>
          <w:rFonts w:eastAsia="Times New Roman"/>
        </w:rPr>
        <w:t>his</w:t>
      </w:r>
      <w:r w:rsidRPr="5CA9A013">
        <w:rPr>
          <w:rFonts w:eastAsia="Times New Roman"/>
        </w:rPr>
        <w:t xml:space="preserve"> mother about the present lawsuit</w:t>
      </w:r>
      <w:r>
        <w:rPr>
          <w:rFonts w:eastAsia="Times New Roman"/>
        </w:rPr>
        <w:t xml:space="preserve"> about four days after the lease was signed b</w:t>
      </w:r>
      <w:r w:rsidRPr="5CA9A013">
        <w:rPr>
          <w:rFonts w:eastAsia="Times New Roman"/>
        </w:rPr>
        <w:t>ut said it would not impact Optimist</w:t>
      </w:r>
      <w:r>
        <w:rPr>
          <w:rFonts w:eastAsia="Times New Roman"/>
        </w:rPr>
        <w:t xml:space="preserve"> Prime;</w:t>
      </w:r>
      <w:r w:rsidRPr="5CA9A013">
        <w:rPr>
          <w:rFonts w:eastAsia="Times New Roman"/>
        </w:rPr>
        <w:t xml:space="preserve"> they came to realize </w:t>
      </w:r>
      <w:r>
        <w:rPr>
          <w:rFonts w:eastAsia="Times New Roman"/>
        </w:rPr>
        <w:t>the suit</w:t>
      </w:r>
      <w:r w:rsidRPr="5CA9A013">
        <w:rPr>
          <w:rFonts w:eastAsia="Times New Roman"/>
        </w:rPr>
        <w:t xml:space="preserve"> was linked with the zoning issues and gave notice of termination of the lease on October 31, 2015.  Bourque denied </w:t>
      </w:r>
      <w:r>
        <w:rPr>
          <w:rFonts w:eastAsia="Times New Roman"/>
        </w:rPr>
        <w:t>Beverly</w:t>
      </w:r>
      <w:r w:rsidRPr="5CA9A013">
        <w:rPr>
          <w:rFonts w:eastAsia="Times New Roman"/>
        </w:rPr>
        <w:t xml:space="preserve">’s claims that they terminated </w:t>
      </w:r>
      <w:r>
        <w:rPr>
          <w:rFonts w:eastAsia="Times New Roman"/>
        </w:rPr>
        <w:t xml:space="preserve">the </w:t>
      </w:r>
      <w:r w:rsidRPr="5CA9A013">
        <w:rPr>
          <w:rFonts w:eastAsia="Times New Roman"/>
        </w:rPr>
        <w:t xml:space="preserve">lease because she would not approve unpermitted work they wanted to do on the premises and that they damaged the premises.  </w:t>
      </w:r>
    </w:p>
    <w:p w:rsidR="00CD5A5B" w:rsidP="003F45BE">
      <w:pPr>
        <w:spacing w:line="360" w:lineRule="auto"/>
        <w:ind w:firstLine="720"/>
        <w:rPr>
          <w:rFonts w:eastAsia="Times New Roman"/>
        </w:rPr>
      </w:pPr>
      <w:r w:rsidRPr="00CD5A5B">
        <w:rPr>
          <w:rFonts w:eastAsia="Times New Roman"/>
        </w:rPr>
        <w:t xml:space="preserve">Grob testified that it seemed the landlord was continuing to market the space as a restaurant because she continued to get calls from prospective tenants seeking to open a restaurant there; she would tell them that they </w:t>
      </w:r>
      <w:r>
        <w:rPr>
          <w:rFonts w:eastAsia="Times New Roman"/>
        </w:rPr>
        <w:t>could</w:t>
      </w:r>
      <w:r w:rsidRPr="00CD5A5B">
        <w:rPr>
          <w:rFonts w:eastAsia="Times New Roman"/>
        </w:rPr>
        <w:t xml:space="preserve"> </w:t>
      </w:r>
      <w:r>
        <w:rPr>
          <w:rFonts w:eastAsia="Times New Roman"/>
        </w:rPr>
        <w:t xml:space="preserve">not </w:t>
      </w:r>
      <w:r w:rsidRPr="00CD5A5B">
        <w:rPr>
          <w:rFonts w:eastAsia="Times New Roman"/>
        </w:rPr>
        <w:t>do so, in accordance with the Department’s “practice and opinion” that the space cannot be used as a full</w:t>
      </w:r>
      <w:r>
        <w:rPr>
          <w:rFonts w:eastAsia="Times New Roman"/>
        </w:rPr>
        <w:t>-</w:t>
      </w:r>
      <w:r w:rsidRPr="00CD5A5B">
        <w:rPr>
          <w:rFonts w:eastAsia="Times New Roman"/>
        </w:rPr>
        <w:t xml:space="preserve">service restaurant and bar. </w:t>
      </w:r>
      <w:r>
        <w:rPr>
          <w:rFonts w:eastAsia="Times New Roman"/>
        </w:rPr>
        <w:t xml:space="preserve"> </w:t>
      </w:r>
    </w:p>
    <w:p w:rsidR="00375667" w:rsidRPr="00375667" w:rsidP="00375667">
      <w:pPr>
        <w:spacing w:line="360" w:lineRule="auto"/>
        <w:ind w:firstLine="720"/>
        <w:rPr>
          <w:rFonts w:eastAsia="Times New Roman"/>
        </w:rPr>
      </w:pPr>
      <w:r>
        <w:rPr>
          <w:rFonts w:eastAsia="Times New Roman"/>
        </w:rPr>
        <w:t>Beverly</w:t>
      </w:r>
      <w:r w:rsidRPr="00375667">
        <w:rPr>
          <w:rFonts w:eastAsia="Times New Roman"/>
        </w:rPr>
        <w:t xml:space="preserve"> testified that when Hong first contacted her about the premises, she did not believe a conditional use permit </w:t>
      </w:r>
      <w:r>
        <w:rPr>
          <w:rFonts w:eastAsia="Times New Roman"/>
        </w:rPr>
        <w:t>would be needed b</w:t>
      </w:r>
      <w:r w:rsidRPr="00375667">
        <w:rPr>
          <w:rFonts w:eastAsia="Times New Roman"/>
        </w:rPr>
        <w:t xml:space="preserve">ecause the previous tenant had been approved without </w:t>
      </w:r>
      <w:r>
        <w:rPr>
          <w:rFonts w:eastAsia="Times New Roman"/>
        </w:rPr>
        <w:t>a new one</w:t>
      </w:r>
      <w:r w:rsidRPr="00375667">
        <w:rPr>
          <w:rFonts w:eastAsia="Times New Roman"/>
        </w:rPr>
        <w:t xml:space="preserve">, there was still a conditional use permit recorded against the property, and her understanding was that </w:t>
      </w:r>
      <w:r>
        <w:rPr>
          <w:rFonts w:eastAsia="Times New Roman"/>
        </w:rPr>
        <w:t>the permit</w:t>
      </w:r>
      <w:r w:rsidRPr="00375667">
        <w:rPr>
          <w:rFonts w:eastAsia="Times New Roman"/>
        </w:rPr>
        <w:t xml:space="preserve"> would have to go before the </w:t>
      </w:r>
      <w:r>
        <w:rPr>
          <w:rFonts w:eastAsia="Times New Roman"/>
        </w:rPr>
        <w:t xml:space="preserve">San Francisco </w:t>
      </w:r>
      <w:r w:rsidRPr="00375667">
        <w:rPr>
          <w:rFonts w:eastAsia="Times New Roman"/>
        </w:rPr>
        <w:t>Planning Commission to be revoked.</w:t>
      </w:r>
      <w:r>
        <w:rPr>
          <w:rFonts w:eastAsia="Times New Roman"/>
        </w:rPr>
        <w:t xml:space="preserve"> </w:t>
      </w:r>
      <w:r w:rsidRPr="00375667">
        <w:rPr>
          <w:rFonts w:eastAsia="Times New Roman"/>
        </w:rPr>
        <w:t xml:space="preserve"> </w:t>
      </w:r>
      <w:r>
        <w:rPr>
          <w:rFonts w:eastAsia="Times New Roman"/>
        </w:rPr>
        <w:t>The 1998</w:t>
      </w:r>
      <w:r w:rsidRPr="00375667">
        <w:rPr>
          <w:rFonts w:eastAsia="Times New Roman"/>
        </w:rPr>
        <w:t xml:space="preserve"> conditional use authorization </w:t>
      </w:r>
      <w:r>
        <w:rPr>
          <w:rFonts w:eastAsia="Times New Roman"/>
        </w:rPr>
        <w:t>included the statement that a “full-service restaurant and bar previously existed at the Project Site, but has been closed for over three years.  Per Planning Code Section 178(d), conditional use authorization would not be required had the business been closed for less than three years.”</w:t>
      </w:r>
      <w:r w:rsidRPr="00375667">
        <w:rPr>
          <w:rFonts w:eastAsia="Times New Roman"/>
        </w:rPr>
        <w:t xml:space="preserve">  Asked about her awareness of this point in 1998, </w:t>
      </w:r>
      <w:r>
        <w:rPr>
          <w:rFonts w:eastAsia="Times New Roman"/>
        </w:rPr>
        <w:t>Beverly</w:t>
      </w:r>
      <w:r w:rsidRPr="00375667">
        <w:rPr>
          <w:rFonts w:eastAsia="Times New Roman"/>
        </w:rPr>
        <w:t xml:space="preserve"> testified that she did not know whether the new authorization was required because of </w:t>
      </w:r>
      <w:r>
        <w:rPr>
          <w:rFonts w:eastAsia="Times New Roman"/>
        </w:rPr>
        <w:t>“</w:t>
      </w:r>
      <w:r w:rsidRPr="00375667">
        <w:rPr>
          <w:rFonts w:eastAsia="Times New Roman"/>
        </w:rPr>
        <w:t>the three year</w:t>
      </w:r>
      <w:r>
        <w:rPr>
          <w:rFonts w:eastAsia="Times New Roman"/>
        </w:rPr>
        <w:t>s</w:t>
      </w:r>
      <w:r w:rsidRPr="00375667">
        <w:rPr>
          <w:rFonts w:eastAsia="Times New Roman"/>
        </w:rPr>
        <w:t xml:space="preserve"> </w:t>
      </w:r>
      <w:r>
        <w:rPr>
          <w:rFonts w:eastAsia="Times New Roman"/>
        </w:rPr>
        <w:t>or it was a different kind of business or a different kind of liquor license.”</w:t>
      </w:r>
      <w:r w:rsidRPr="00375667">
        <w:rPr>
          <w:rFonts w:eastAsia="Times New Roman"/>
        </w:rPr>
        <w:t xml:space="preserve"> </w:t>
      </w:r>
    </w:p>
    <w:p w:rsidR="000773E8" w:rsidP="00B74748">
      <w:pPr>
        <w:spacing w:line="360" w:lineRule="auto"/>
        <w:rPr>
          <w:rFonts w:eastAsia="Times New Roman"/>
        </w:rPr>
      </w:pPr>
      <w:r w:rsidRPr="00375667">
        <w:rPr>
          <w:rFonts w:eastAsia="Times New Roman"/>
        </w:rPr>
        <w:tab/>
      </w:r>
      <w:r>
        <w:rPr>
          <w:rFonts w:eastAsia="Times New Roman"/>
        </w:rPr>
        <w:t>Beverly</w:t>
      </w:r>
      <w:r w:rsidRPr="00375667">
        <w:rPr>
          <w:rFonts w:eastAsia="Times New Roman"/>
        </w:rPr>
        <w:t xml:space="preserve"> acknowledged there was “at least” a three</w:t>
      </w:r>
      <w:r>
        <w:rPr>
          <w:rFonts w:eastAsia="Times New Roman"/>
        </w:rPr>
        <w:t>-</w:t>
      </w:r>
      <w:r w:rsidRPr="00375667">
        <w:rPr>
          <w:rFonts w:eastAsia="Times New Roman"/>
        </w:rPr>
        <w:t xml:space="preserve">year gap between The Field and Le Bordeaux, </w:t>
      </w:r>
      <w:r>
        <w:rPr>
          <w:rFonts w:eastAsia="Times New Roman"/>
        </w:rPr>
        <w:t xml:space="preserve">as </w:t>
      </w:r>
      <w:r w:rsidRPr="00375667">
        <w:rPr>
          <w:rFonts w:eastAsia="Times New Roman"/>
        </w:rPr>
        <w:t xml:space="preserve">The Field vacated before the end of its lease.  </w:t>
      </w:r>
      <w:r>
        <w:rPr>
          <w:rFonts w:eastAsia="Times New Roman"/>
        </w:rPr>
        <w:t>She</w:t>
      </w:r>
      <w:r w:rsidRPr="00324E83">
        <w:rPr>
          <w:rFonts w:eastAsia="Times New Roman"/>
        </w:rPr>
        <w:t xml:space="preserve"> testified that “[p]robably all of North Beach” knew about The Field vacancy.  Asked why she did not disclose it, </w:t>
      </w:r>
      <w:r>
        <w:rPr>
          <w:rFonts w:eastAsia="Times New Roman"/>
        </w:rPr>
        <w:t>Beverly</w:t>
      </w:r>
      <w:r w:rsidRPr="00324E83">
        <w:rPr>
          <w:rFonts w:eastAsia="Times New Roman"/>
        </w:rPr>
        <w:t xml:space="preserve"> said, “</w:t>
      </w:r>
      <w:r>
        <w:rPr>
          <w:rFonts w:eastAsia="Times New Roman"/>
        </w:rPr>
        <w:t>[</w:t>
      </w:r>
      <w:r w:rsidRPr="00324E83">
        <w:rPr>
          <w:rFonts w:eastAsia="Times New Roman"/>
        </w:rPr>
        <w:t xml:space="preserve">t]here was nothing to disclose” and </w:t>
      </w:r>
      <w:r>
        <w:rPr>
          <w:rFonts w:eastAsia="Times New Roman"/>
        </w:rPr>
        <w:t>“</w:t>
      </w:r>
      <w:r w:rsidRPr="00324E83">
        <w:rPr>
          <w:rFonts w:eastAsia="Times New Roman"/>
        </w:rPr>
        <w:t>we disclosed everything.</w:t>
      </w:r>
      <w:r>
        <w:rPr>
          <w:rFonts w:eastAsia="Times New Roman"/>
        </w:rPr>
        <w:t>”</w:t>
      </w:r>
      <w:r w:rsidRPr="00324E83">
        <w:rPr>
          <w:rFonts w:eastAsia="Times New Roman"/>
        </w:rPr>
        <w:t xml:space="preserve"> </w:t>
      </w:r>
      <w:r>
        <w:rPr>
          <w:rFonts w:eastAsia="Times New Roman"/>
        </w:rPr>
        <w:t xml:space="preserve"> </w:t>
      </w:r>
      <w:r w:rsidRPr="000D325C">
        <w:rPr>
          <w:rFonts w:eastAsia="Times New Roman"/>
        </w:rPr>
        <w:t xml:space="preserve">She denied having suggested to Grob that the vacancy period was less than three years and testified that she did not correct the misunderstanding reflected </w:t>
      </w:r>
      <w:r>
        <w:rPr>
          <w:rFonts w:eastAsia="Times New Roman"/>
        </w:rPr>
        <w:t>in an email</w:t>
      </w:r>
      <w:r w:rsidRPr="000D325C">
        <w:rPr>
          <w:rFonts w:eastAsia="Times New Roman"/>
        </w:rPr>
        <w:t xml:space="preserve"> suggesting she had done so</w:t>
      </w:r>
      <w:r>
        <w:rPr>
          <w:rStyle w:val="FootnoteReference"/>
          <w:rFonts w:eastAsia="Times New Roman"/>
        </w:rPr>
        <w:footnoteReference w:id="15"/>
      </w:r>
      <w:r w:rsidRPr="000D325C">
        <w:rPr>
          <w:rFonts w:eastAsia="Times New Roman"/>
        </w:rPr>
        <w:t xml:space="preserve"> because she was “trying to figure out what was going on because they had approved Le</w:t>
      </w:r>
      <w:r>
        <w:rPr>
          <w:rFonts w:eastAsia="Times New Roman"/>
        </w:rPr>
        <w:t> </w:t>
      </w:r>
      <w:r w:rsidRPr="000D325C">
        <w:rPr>
          <w:rFonts w:eastAsia="Times New Roman"/>
        </w:rPr>
        <w:t xml:space="preserve">Bordeaux and they approved Hong,”  and she was shocked that the city was “going back to a previous tenant” after having approved Le Bordeaux. </w:t>
      </w:r>
      <w:r w:rsidRPr="00095C41">
        <w:t xml:space="preserve"> </w:t>
      </w:r>
      <w:r w:rsidRPr="00095C41">
        <w:rPr>
          <w:rFonts w:eastAsia="Times New Roman"/>
        </w:rPr>
        <w:t>She denied knowing that a three</w:t>
      </w:r>
      <w:r>
        <w:rPr>
          <w:rFonts w:eastAsia="Times New Roman"/>
        </w:rPr>
        <w:t>-</w:t>
      </w:r>
      <w:r w:rsidRPr="00095C41">
        <w:rPr>
          <w:rFonts w:eastAsia="Times New Roman"/>
        </w:rPr>
        <w:t>year gap in use would jeopardize the conditional use permit or representing to other people that the property did not have a vacancy of at least three years.</w:t>
      </w:r>
      <w:r>
        <w:rPr>
          <w:rStyle w:val="FootnoteReference"/>
          <w:rFonts w:eastAsia="Times New Roman"/>
        </w:rPr>
        <w:footnoteReference w:id="16"/>
      </w:r>
      <w:r w:rsidRPr="00095C41">
        <w:rPr>
          <w:rFonts w:eastAsia="Times New Roman"/>
        </w:rPr>
        <w:t xml:space="preserve"> </w:t>
      </w:r>
      <w:r>
        <w:rPr>
          <w:rFonts w:eastAsia="Times New Roman"/>
        </w:rPr>
        <w:t xml:space="preserve"> </w:t>
      </w:r>
    </w:p>
    <w:p w:rsidR="00375667" w:rsidRPr="00375667" w:rsidP="00B74748">
      <w:pPr>
        <w:spacing w:line="360" w:lineRule="auto"/>
        <w:rPr>
          <w:rFonts w:eastAsia="Times New Roman"/>
        </w:rPr>
      </w:pPr>
      <w:r>
        <w:rPr>
          <w:rFonts w:eastAsia="Times New Roman"/>
        </w:rPr>
        <w:tab/>
      </w:r>
      <w:r w:rsidRPr="00375667">
        <w:rPr>
          <w:rFonts w:eastAsia="Times New Roman"/>
        </w:rPr>
        <w:t>Asked about the statement in her declaration that the space had been used “continuously” as a full</w:t>
      </w:r>
      <w:r>
        <w:rPr>
          <w:rFonts w:eastAsia="Times New Roman"/>
        </w:rPr>
        <w:t>-</w:t>
      </w:r>
      <w:r w:rsidRPr="00375667">
        <w:rPr>
          <w:rFonts w:eastAsia="Times New Roman"/>
        </w:rPr>
        <w:t xml:space="preserve">service restaurant and bar since the conditional use authorization in 1998, she testified that her understanding of “continuously” was “repeatedly,” the statement was true “except for the time when it was vacant,” and the use of the space was never changed. </w:t>
      </w:r>
      <w:r>
        <w:rPr>
          <w:rFonts w:eastAsia="Times New Roman"/>
        </w:rPr>
        <w:t xml:space="preserve"> Beverly believed a conditional use authorization would not lapse if the owner did not intend to abandon the use, a view she believed to be supported by a 2004 letter of determination by a previous zoning administrator which she described as concluding </w:t>
      </w:r>
      <w:r w:rsidRPr="00375667">
        <w:rPr>
          <w:rFonts w:eastAsia="Times New Roman"/>
        </w:rPr>
        <w:t xml:space="preserve">there was no abandonment of a conditional use permit </w:t>
      </w:r>
      <w:r>
        <w:rPr>
          <w:rFonts w:eastAsia="Times New Roman"/>
        </w:rPr>
        <w:t>where</w:t>
      </w:r>
      <w:r w:rsidRPr="00375667">
        <w:rPr>
          <w:rFonts w:eastAsia="Times New Roman"/>
        </w:rPr>
        <w:t xml:space="preserve"> </w:t>
      </w:r>
      <w:r>
        <w:rPr>
          <w:rFonts w:eastAsia="Times New Roman"/>
        </w:rPr>
        <w:t>“</w:t>
      </w:r>
      <w:r w:rsidRPr="00375667">
        <w:rPr>
          <w:rFonts w:eastAsia="Times New Roman"/>
        </w:rPr>
        <w:t xml:space="preserve">the owner’s intention </w:t>
      </w:r>
      <w:r>
        <w:rPr>
          <w:rFonts w:eastAsia="Times New Roman"/>
        </w:rPr>
        <w:t>i</w:t>
      </w:r>
      <w:r w:rsidRPr="00375667">
        <w:rPr>
          <w:rFonts w:eastAsia="Times New Roman"/>
        </w:rPr>
        <w:t xml:space="preserve">s to find a </w:t>
      </w:r>
      <w:r>
        <w:rPr>
          <w:rFonts w:eastAsia="Times New Roman"/>
        </w:rPr>
        <w:t xml:space="preserve">replacement </w:t>
      </w:r>
      <w:r w:rsidRPr="00375667">
        <w:rPr>
          <w:rFonts w:eastAsia="Times New Roman"/>
        </w:rPr>
        <w:t>tenant for the same use.</w:t>
      </w:r>
      <w:r>
        <w:rPr>
          <w:rFonts w:eastAsia="Times New Roman"/>
        </w:rPr>
        <w:t>”</w:t>
      </w:r>
      <w:r>
        <w:rPr>
          <w:rStyle w:val="FootnoteReference"/>
          <w:rFonts w:eastAsia="Times New Roman"/>
        </w:rPr>
        <w:footnoteReference w:id="17"/>
      </w:r>
      <w:r w:rsidRPr="00375667">
        <w:rPr>
          <w:rFonts w:eastAsia="Times New Roman"/>
        </w:rPr>
        <w:t xml:space="preserve"> </w:t>
      </w:r>
      <w:r>
        <w:rPr>
          <w:rFonts w:eastAsia="Times New Roman"/>
        </w:rPr>
        <w:t xml:space="preserve"> </w:t>
      </w:r>
      <w:r w:rsidRPr="00375667">
        <w:rPr>
          <w:rFonts w:eastAsia="Times New Roman"/>
        </w:rPr>
        <w:t xml:space="preserve">She testified that her declaration was </w:t>
      </w:r>
      <w:r>
        <w:rPr>
          <w:rFonts w:eastAsia="Times New Roman"/>
        </w:rPr>
        <w:t xml:space="preserve">meant </w:t>
      </w:r>
      <w:r w:rsidRPr="00375667">
        <w:rPr>
          <w:rFonts w:eastAsia="Times New Roman"/>
        </w:rPr>
        <w:t xml:space="preserve">to prove there was no three-year abandonment, and denied that </w:t>
      </w:r>
      <w:r>
        <w:rPr>
          <w:rFonts w:eastAsia="Times New Roman"/>
        </w:rPr>
        <w:t>it was misleading to say</w:t>
      </w:r>
      <w:r w:rsidRPr="00375667">
        <w:rPr>
          <w:rFonts w:eastAsia="Times New Roman"/>
        </w:rPr>
        <w:t xml:space="preserve"> The Field was the lessee under an agreement that was “in effect” until August 31, 2008, </w:t>
      </w:r>
      <w:r>
        <w:rPr>
          <w:rFonts w:eastAsia="Times New Roman"/>
        </w:rPr>
        <w:t>when</w:t>
      </w:r>
      <w:r w:rsidRPr="00375667">
        <w:rPr>
          <w:rFonts w:eastAsia="Times New Roman"/>
        </w:rPr>
        <w:t xml:space="preserve"> The Field </w:t>
      </w:r>
      <w:r>
        <w:rPr>
          <w:rFonts w:eastAsia="Times New Roman"/>
        </w:rPr>
        <w:t>had</w:t>
      </w:r>
      <w:r w:rsidRPr="00375667">
        <w:rPr>
          <w:rFonts w:eastAsia="Times New Roman"/>
        </w:rPr>
        <w:t xml:space="preserve"> left before the end of the lease term.  </w:t>
      </w:r>
    </w:p>
    <w:p w:rsidR="00375667" w:rsidRPr="00375667" w:rsidP="00375667">
      <w:pPr>
        <w:spacing w:line="360" w:lineRule="auto"/>
        <w:ind w:firstLine="720"/>
        <w:rPr>
          <w:rFonts w:eastAsia="Times New Roman"/>
        </w:rPr>
      </w:pPr>
      <w:r w:rsidRPr="00375667">
        <w:rPr>
          <w:rFonts w:eastAsia="Times New Roman"/>
        </w:rPr>
        <w:t xml:space="preserve">Asked about the email in which she told Hong </w:t>
      </w:r>
      <w:r>
        <w:rPr>
          <w:rFonts w:eastAsia="Times New Roman"/>
        </w:rPr>
        <w:t xml:space="preserve">that </w:t>
      </w:r>
      <w:r w:rsidRPr="00375667">
        <w:rPr>
          <w:rFonts w:eastAsia="Times New Roman"/>
        </w:rPr>
        <w:t xml:space="preserve">Le Bordeaux had been “approved for a type 41 liquor license,” </w:t>
      </w:r>
      <w:r>
        <w:rPr>
          <w:rFonts w:eastAsia="Times New Roman"/>
        </w:rPr>
        <w:t>Beverly</w:t>
      </w:r>
      <w:r w:rsidRPr="00375667">
        <w:rPr>
          <w:rFonts w:eastAsia="Times New Roman"/>
        </w:rPr>
        <w:t xml:space="preserve"> testified that she meant the owner was “approved with the </w:t>
      </w:r>
      <w:r>
        <w:rPr>
          <w:rFonts w:eastAsia="Times New Roman"/>
        </w:rPr>
        <w:t>c</w:t>
      </w:r>
      <w:r w:rsidRPr="00375667">
        <w:rPr>
          <w:rFonts w:eastAsia="Times New Roman"/>
        </w:rPr>
        <w:t xml:space="preserve">ity as a full-service restaurant to operate with a Type 41 liquor license,” but acknowledged that the city does not issue liquor licenses and that the owner closed the restaurant “prior to the final issuance and approval” of a liquor license.  </w:t>
      </w:r>
    </w:p>
    <w:p w:rsidR="00A964DE" w:rsidRPr="00A964DE" w:rsidP="00A964DE">
      <w:pPr>
        <w:spacing w:line="360" w:lineRule="auto"/>
        <w:ind w:firstLine="720"/>
        <w:rPr>
          <w:rFonts w:eastAsia="Times New Roman"/>
        </w:rPr>
      </w:pPr>
      <w:r>
        <w:rPr>
          <w:rFonts w:eastAsia="Times New Roman"/>
        </w:rPr>
        <w:t>Beverly</w:t>
      </w:r>
      <w:r w:rsidRPr="5CA9A013">
        <w:rPr>
          <w:rFonts w:eastAsia="Times New Roman"/>
        </w:rPr>
        <w:t xml:space="preserve"> denied having a disclosure problem with Optimist Prime</w:t>
      </w:r>
      <w:r>
        <w:rPr>
          <w:rFonts w:eastAsia="Times New Roman"/>
        </w:rPr>
        <w:t>;</w:t>
      </w:r>
      <w:r w:rsidRPr="5CA9A013">
        <w:rPr>
          <w:rFonts w:eastAsia="Times New Roman"/>
        </w:rPr>
        <w:t xml:space="preserve"> denied that the written disclosure statement </w:t>
      </w:r>
      <w:r>
        <w:rPr>
          <w:rFonts w:eastAsia="Times New Roman"/>
        </w:rPr>
        <w:t xml:space="preserve">failed to </w:t>
      </w:r>
      <w:r w:rsidRPr="5CA9A013">
        <w:rPr>
          <w:rFonts w:eastAsia="Times New Roman"/>
        </w:rPr>
        <w:t xml:space="preserve">disclose that ENA was not able to use the 1998 </w:t>
      </w:r>
      <w:r>
        <w:rPr>
          <w:rFonts w:eastAsia="Times New Roman"/>
        </w:rPr>
        <w:t>conditional use authorization</w:t>
      </w:r>
      <w:r w:rsidRPr="5CA9A013">
        <w:rPr>
          <w:rFonts w:eastAsia="Times New Roman"/>
        </w:rPr>
        <w:t xml:space="preserve"> or get a new one</w:t>
      </w:r>
      <w:r>
        <w:rPr>
          <w:rFonts w:eastAsia="Times New Roman"/>
        </w:rPr>
        <w:t>;</w:t>
      </w:r>
      <w:r w:rsidRPr="5CA9A013">
        <w:rPr>
          <w:rFonts w:eastAsia="Times New Roman"/>
        </w:rPr>
        <w:t xml:space="preserve"> denied that </w:t>
      </w:r>
      <w:r>
        <w:rPr>
          <w:rFonts w:eastAsia="Times New Roman"/>
        </w:rPr>
        <w:t xml:space="preserve">saying </w:t>
      </w:r>
      <w:r w:rsidRPr="5CA9A013">
        <w:rPr>
          <w:rFonts w:eastAsia="Times New Roman"/>
        </w:rPr>
        <w:t>the premises had “never been a dormant space” was intended to communicate that there were no vacancy issues</w:t>
      </w:r>
      <w:r>
        <w:rPr>
          <w:rFonts w:eastAsia="Times New Roman"/>
        </w:rPr>
        <w:t>; and c</w:t>
      </w:r>
      <w:r w:rsidRPr="5CA9A013">
        <w:rPr>
          <w:rFonts w:eastAsia="Times New Roman"/>
        </w:rPr>
        <w:t xml:space="preserve">laimed to have discussed the issues about The Field with the lessees when they first looked at the space.  </w:t>
      </w:r>
      <w:r>
        <w:rPr>
          <w:rFonts w:eastAsia="Times New Roman"/>
        </w:rPr>
        <w:t>Beverly</w:t>
      </w:r>
      <w:r w:rsidRPr="5CA9A013">
        <w:rPr>
          <w:rFonts w:eastAsia="Times New Roman"/>
        </w:rPr>
        <w:t xml:space="preserve"> testified that Optimist Prime left because she would not approve plans for unpermitted alterations of the space; asked whether the real reason was that </w:t>
      </w:r>
      <w:r>
        <w:rPr>
          <w:rFonts w:eastAsia="Times New Roman"/>
        </w:rPr>
        <w:t>the lessees</w:t>
      </w:r>
      <w:r w:rsidRPr="5CA9A013">
        <w:rPr>
          <w:rFonts w:eastAsia="Times New Roman"/>
        </w:rPr>
        <w:t xml:space="preserve"> discovered they would not be able to open a full-service restaurant and bar because of the issues Hong had, </w:t>
      </w:r>
      <w:r>
        <w:rPr>
          <w:rFonts w:eastAsia="Times New Roman"/>
        </w:rPr>
        <w:t>Beverly</w:t>
      </w:r>
      <w:r w:rsidRPr="5CA9A013">
        <w:rPr>
          <w:rFonts w:eastAsia="Times New Roman"/>
        </w:rPr>
        <w:t xml:space="preserve"> responded, “that’s what they said.  However, we were very suspicious that maybe we were set up in them coming in at some point.”  </w:t>
      </w:r>
    </w:p>
    <w:p w:rsidR="00A964DE" w:rsidRPr="0065724E" w:rsidP="003F45BE">
      <w:pPr>
        <w:spacing w:line="360" w:lineRule="auto"/>
        <w:ind w:firstLine="720"/>
        <w:rPr>
          <w:rFonts w:eastAsia="Times New Roman"/>
        </w:rPr>
      </w:pPr>
      <w:r w:rsidRPr="00A964DE">
        <w:rPr>
          <w:rFonts w:eastAsia="Times New Roman"/>
        </w:rPr>
        <w:t xml:space="preserve">Barak testified that when he first showed Hong the space, </w:t>
      </w:r>
      <w:r>
        <w:rPr>
          <w:rFonts w:eastAsia="Times New Roman"/>
        </w:rPr>
        <w:t>she</w:t>
      </w:r>
      <w:r w:rsidRPr="00A964DE">
        <w:rPr>
          <w:rFonts w:eastAsia="Times New Roman"/>
        </w:rPr>
        <w:t xml:space="preserve"> knew about Le</w:t>
      </w:r>
      <w:r>
        <w:rPr>
          <w:rFonts w:eastAsia="Times New Roman"/>
        </w:rPr>
        <w:t> </w:t>
      </w:r>
      <w:r w:rsidRPr="00A964DE">
        <w:rPr>
          <w:rFonts w:eastAsia="Times New Roman"/>
        </w:rPr>
        <w:t>Bordeaux and asked “how he survived being a French restaurant without the liquor license,” and that he discussed with Hong the problem of The Field having left before the end of its lease</w:t>
      </w:r>
      <w:r>
        <w:rPr>
          <w:rFonts w:eastAsia="Times New Roman"/>
        </w:rPr>
        <w:t xml:space="preserve"> and told her, </w:t>
      </w:r>
      <w:r w:rsidRPr="00A964DE">
        <w:rPr>
          <w:rFonts w:eastAsia="Times New Roman"/>
        </w:rPr>
        <w:t>as he tells everyone, there had been a three</w:t>
      </w:r>
      <w:r>
        <w:rPr>
          <w:rFonts w:eastAsia="Times New Roman"/>
        </w:rPr>
        <w:t>-</w:t>
      </w:r>
      <w:r w:rsidRPr="00A964DE">
        <w:rPr>
          <w:rFonts w:eastAsia="Times New Roman"/>
        </w:rPr>
        <w:t xml:space="preserve"> or four</w:t>
      </w:r>
      <w:r>
        <w:rPr>
          <w:rFonts w:eastAsia="Times New Roman"/>
        </w:rPr>
        <w:t>-</w:t>
      </w:r>
      <w:r w:rsidRPr="00A964DE">
        <w:rPr>
          <w:rFonts w:eastAsia="Times New Roman"/>
        </w:rPr>
        <w:t xml:space="preserve">year vacancy before Le Bordeaux. </w:t>
      </w:r>
      <w:r>
        <w:rPr>
          <w:rFonts w:eastAsia="Times New Roman"/>
        </w:rPr>
        <w:t xml:space="preserve"> He</w:t>
      </w:r>
      <w:r w:rsidRPr="009D01A9">
        <w:rPr>
          <w:rFonts w:eastAsia="Times New Roman"/>
        </w:rPr>
        <w:t xml:space="preserve"> testified that Castet knew about the “three</w:t>
      </w:r>
      <w:r>
        <w:rPr>
          <w:rFonts w:eastAsia="Times New Roman"/>
        </w:rPr>
        <w:t>-</w:t>
      </w:r>
      <w:r w:rsidRPr="009D01A9">
        <w:rPr>
          <w:rFonts w:eastAsia="Times New Roman"/>
        </w:rPr>
        <w:t xml:space="preserve"> to four</w:t>
      </w:r>
      <w:r>
        <w:rPr>
          <w:rFonts w:eastAsia="Times New Roman"/>
        </w:rPr>
        <w:t>-</w:t>
      </w:r>
      <w:r w:rsidRPr="009D01A9">
        <w:rPr>
          <w:rFonts w:eastAsia="Times New Roman"/>
        </w:rPr>
        <w:t>year” vacancy prior to Le Bordeaux</w:t>
      </w:r>
      <w:r>
        <w:rPr>
          <w:rFonts w:eastAsia="Times New Roman"/>
        </w:rPr>
        <w:t xml:space="preserve"> and denied that the contrary was indicated by an email in which Castet said he needed to know the departure date of the last tenant because the Department needed to know if it was less than three years </w:t>
      </w:r>
      <w:r w:rsidRPr="009D01A9">
        <w:rPr>
          <w:rFonts w:eastAsia="Times New Roman"/>
        </w:rPr>
        <w:t xml:space="preserve">so </w:t>
      </w:r>
      <w:r>
        <w:rPr>
          <w:rFonts w:eastAsia="Times New Roman"/>
        </w:rPr>
        <w:t>he</w:t>
      </w:r>
      <w:r w:rsidRPr="009D01A9">
        <w:rPr>
          <w:rFonts w:eastAsia="Times New Roman"/>
        </w:rPr>
        <w:t xml:space="preserve"> could be allowed “a ‘continuation of existing use</w:t>
      </w:r>
      <w:r>
        <w:rPr>
          <w:rFonts w:eastAsia="Times New Roman"/>
        </w:rPr>
        <w:t>.</w:t>
      </w:r>
      <w:r w:rsidRPr="009D01A9">
        <w:rPr>
          <w:rFonts w:eastAsia="Times New Roman"/>
        </w:rPr>
        <w:t>’</w:t>
      </w:r>
      <w:r>
        <w:rPr>
          <w:rFonts w:eastAsia="Times New Roman"/>
        </w:rPr>
        <w:t xml:space="preserve"> </w:t>
      </w:r>
      <w:r w:rsidRPr="009D01A9">
        <w:rPr>
          <w:rFonts w:eastAsia="Times New Roman"/>
        </w:rPr>
        <w:t xml:space="preserve">”  </w:t>
      </w:r>
    </w:p>
    <w:p w:rsidR="006175E8" w:rsidRPr="0065724E" w:rsidP="00D47700">
      <w:pPr>
        <w:spacing w:line="360" w:lineRule="auto"/>
        <w:ind w:firstLine="720"/>
        <w:rPr>
          <w:rFonts w:eastAsia="Times New Roman"/>
        </w:rPr>
      </w:pPr>
      <w:r w:rsidRPr="5CA9A013">
        <w:rPr>
          <w:rFonts w:eastAsia="Times New Roman"/>
        </w:rPr>
        <w:t xml:space="preserve"> Barak testified that when he first showed the space to </w:t>
      </w:r>
      <w:r>
        <w:rPr>
          <w:rFonts w:eastAsia="Times New Roman"/>
        </w:rPr>
        <w:t>Bourque</w:t>
      </w:r>
      <w:r w:rsidRPr="5CA9A013">
        <w:rPr>
          <w:rFonts w:eastAsia="Times New Roman"/>
        </w:rPr>
        <w:t xml:space="preserve">, he gave his “usual” disclosure speech, so </w:t>
      </w:r>
      <w:r>
        <w:rPr>
          <w:rFonts w:eastAsia="Times New Roman"/>
        </w:rPr>
        <w:t>“</w:t>
      </w:r>
      <w:r w:rsidRPr="5CA9A013">
        <w:rPr>
          <w:rFonts w:eastAsia="Times New Roman"/>
        </w:rPr>
        <w:t xml:space="preserve">they knew </w:t>
      </w:r>
      <w:r>
        <w:rPr>
          <w:rFonts w:eastAsia="Times New Roman"/>
        </w:rPr>
        <w:t xml:space="preserve">going in that </w:t>
      </w:r>
      <w:r w:rsidRPr="5CA9A013">
        <w:rPr>
          <w:rFonts w:eastAsia="Times New Roman"/>
        </w:rPr>
        <w:t xml:space="preserve">there were unresolved zoning issues,” but they “weren’t really that interested” and said they had a contact at a lobbyist firm.  </w:t>
      </w:r>
      <w:r w:rsidRPr="00DC6D62">
        <w:rPr>
          <w:rFonts w:eastAsia="Times New Roman"/>
        </w:rPr>
        <w:t xml:space="preserve">He told Bourque that the Department was misreading a law and there was more to be done to deal with the issue.  </w:t>
      </w:r>
      <w:r>
        <w:rPr>
          <w:rFonts w:eastAsia="Times New Roman"/>
        </w:rPr>
        <w:t xml:space="preserve">He denied having been told </w:t>
      </w:r>
      <w:r w:rsidRPr="00155C7A">
        <w:rPr>
          <w:rFonts w:eastAsia="Times New Roman"/>
        </w:rPr>
        <w:t>Bourque had a definite timeline for</w:t>
      </w:r>
      <w:r w:rsidRPr="5CA9A013">
        <w:rPr>
          <w:rFonts w:eastAsia="Times New Roman"/>
        </w:rPr>
        <w:t xml:space="preserve"> opening his restaurant</w:t>
      </w:r>
      <w:r>
        <w:rPr>
          <w:rFonts w:eastAsia="Times New Roman"/>
        </w:rPr>
        <w:t xml:space="preserve"> and claimed </w:t>
      </w:r>
      <w:r w:rsidRPr="5CA9A013">
        <w:rPr>
          <w:rFonts w:eastAsia="Times New Roman"/>
        </w:rPr>
        <w:t>they would not have leased to him if he had, denied that Bourque was told a beer and wine license had been issued to Le</w:t>
      </w:r>
      <w:r>
        <w:rPr>
          <w:rFonts w:eastAsia="Times New Roman"/>
        </w:rPr>
        <w:t> </w:t>
      </w:r>
      <w:r w:rsidRPr="5CA9A013">
        <w:rPr>
          <w:rFonts w:eastAsia="Times New Roman"/>
        </w:rPr>
        <w:t>Bordeaux</w:t>
      </w:r>
      <w:r>
        <w:rPr>
          <w:rFonts w:eastAsia="Times New Roman"/>
        </w:rPr>
        <w:t xml:space="preserve">, and stated </w:t>
      </w:r>
      <w:r w:rsidRPr="5CA9A013">
        <w:rPr>
          <w:rFonts w:eastAsia="Times New Roman"/>
        </w:rPr>
        <w:t xml:space="preserve">that </w:t>
      </w:r>
      <w:r>
        <w:rPr>
          <w:rFonts w:eastAsia="Times New Roman"/>
        </w:rPr>
        <w:t>Bourque</w:t>
      </w:r>
      <w:r w:rsidRPr="5CA9A013">
        <w:rPr>
          <w:rFonts w:eastAsia="Times New Roman"/>
        </w:rPr>
        <w:t xml:space="preserve"> wanted to do extensive unpermitted work on the space.  Barak testified he still believed there will be a restaurant with a liquor license in the space, as neighboring properties with long vacancies had gotten licenses in same time period.</w:t>
      </w:r>
      <w:r>
        <w:rPr>
          <w:rStyle w:val="FootnoteReference"/>
          <w:rFonts w:eastAsia="Times New Roman"/>
        </w:rPr>
        <w:footnoteReference w:id="18"/>
      </w:r>
      <w:r w:rsidRPr="5CA9A013">
        <w:rPr>
          <w:rFonts w:eastAsia="Times New Roman"/>
        </w:rPr>
        <w:t xml:space="preserve">  </w:t>
      </w:r>
    </w:p>
    <w:p w:rsidR="00353068" w:rsidRPr="005A5E0F" w:rsidP="003F45BE">
      <w:pPr>
        <w:spacing w:line="360" w:lineRule="auto"/>
        <w:ind w:firstLine="720"/>
        <w:rPr>
          <w:rFonts w:eastAsia="Times New Roman"/>
          <w:bCs/>
        </w:rPr>
      </w:pPr>
      <w:r w:rsidRPr="5CA9A013">
        <w:rPr>
          <w:rFonts w:eastAsia="Times New Roman"/>
        </w:rPr>
        <w:t>The jury returned verdicts in favor of ENA North Beach on the claims for intentional misrepresentation, concealment</w:t>
      </w:r>
      <w:r>
        <w:rPr>
          <w:rFonts w:eastAsia="Times New Roman"/>
        </w:rPr>
        <w:t>,</w:t>
      </w:r>
      <w:r w:rsidRPr="5CA9A013">
        <w:rPr>
          <w:rFonts w:eastAsia="Times New Roman"/>
        </w:rPr>
        <w:t xml:space="preserve"> and breach of the implied covenant of good faith and fair dealing, and found damages of $91,692.50</w:t>
      </w:r>
      <w:r>
        <w:rPr>
          <w:rFonts w:eastAsia="Times New Roman"/>
        </w:rPr>
        <w:t>,</w:t>
      </w:r>
      <w:r w:rsidRPr="5CA9A013">
        <w:rPr>
          <w:rFonts w:eastAsia="Times New Roman"/>
        </w:rPr>
        <w:t xml:space="preserve"> and clear and convincing evidence that </w:t>
      </w:r>
      <w:r>
        <w:rPr>
          <w:rFonts w:eastAsia="Times New Roman"/>
        </w:rPr>
        <w:t>Beverly</w:t>
      </w:r>
      <w:r w:rsidRPr="5CA9A013">
        <w:rPr>
          <w:rFonts w:eastAsia="Times New Roman"/>
        </w:rPr>
        <w:t xml:space="preserve"> acted with malice, oppression or fraud.  </w:t>
      </w:r>
      <w:r w:rsidRPr="00956F0A">
        <w:rPr>
          <w:rFonts w:eastAsia="Times New Roman"/>
        </w:rPr>
        <w:t xml:space="preserve">The jury found in favor of </w:t>
      </w:r>
      <w:r>
        <w:rPr>
          <w:rFonts w:eastAsia="Times New Roman"/>
        </w:rPr>
        <w:t>Beverly</w:t>
      </w:r>
      <w:r w:rsidRPr="00956F0A">
        <w:rPr>
          <w:rFonts w:eastAsia="Times New Roman"/>
        </w:rPr>
        <w:t xml:space="preserve"> on </w:t>
      </w:r>
      <w:r>
        <w:rPr>
          <w:rFonts w:eastAsia="Times New Roman"/>
        </w:rPr>
        <w:t>Ena North Beach</w:t>
      </w:r>
      <w:r w:rsidRPr="00956F0A">
        <w:rPr>
          <w:rFonts w:eastAsia="Times New Roman"/>
        </w:rPr>
        <w:t xml:space="preserve">’s claim for breach of contract.  </w:t>
      </w:r>
      <w:r w:rsidRPr="5CA9A013">
        <w:rPr>
          <w:rFonts w:eastAsia="Times New Roman"/>
        </w:rPr>
        <w:t xml:space="preserve">The jury subsequently awarded punitive damages against 524 Union in the amount of $916,925 and against </w:t>
      </w:r>
      <w:r>
        <w:rPr>
          <w:rFonts w:eastAsia="Times New Roman"/>
        </w:rPr>
        <w:t>Beverly</w:t>
      </w:r>
      <w:r w:rsidRPr="5CA9A013">
        <w:rPr>
          <w:rFonts w:eastAsia="Times New Roman"/>
        </w:rPr>
        <w:t xml:space="preserve"> personally in the amount of $91,692.50.  </w:t>
      </w:r>
      <w:r>
        <w:rPr>
          <w:rFonts w:eastAsia="Times New Roman"/>
        </w:rPr>
        <w:t>After t</w:t>
      </w:r>
      <w:r w:rsidRPr="5CA9A013">
        <w:rPr>
          <w:rFonts w:eastAsia="Times New Roman"/>
        </w:rPr>
        <w:t>he court entered judgment on the jury’s verdict</w:t>
      </w:r>
      <w:r>
        <w:rPr>
          <w:rFonts w:eastAsia="Times New Roman"/>
        </w:rPr>
        <w:t>, Beverly</w:t>
      </w:r>
      <w:r w:rsidRPr="5CA9A013">
        <w:rPr>
          <w:rFonts w:eastAsia="Times New Roman"/>
        </w:rPr>
        <w:t xml:space="preserve"> filed motions for judgment notwithstanding the verdict </w:t>
      </w:r>
      <w:r>
        <w:rPr>
          <w:rFonts w:eastAsia="Times New Roman"/>
        </w:rPr>
        <w:t xml:space="preserve">(JNOV) </w:t>
      </w:r>
      <w:r w:rsidRPr="5CA9A013">
        <w:rPr>
          <w:rFonts w:eastAsia="Times New Roman"/>
        </w:rPr>
        <w:t xml:space="preserve">and for a new trial.  The trial court denied the new trial motion, granted the motion for </w:t>
      </w:r>
      <w:r>
        <w:rPr>
          <w:rFonts w:eastAsia="Times New Roman"/>
        </w:rPr>
        <w:t>JNOV</w:t>
      </w:r>
      <w:r w:rsidRPr="5CA9A013">
        <w:rPr>
          <w:rFonts w:eastAsia="Times New Roman"/>
        </w:rPr>
        <w:t xml:space="preserve"> in order to reduce the award of punitive damages against 524 Union to $131,500, and denied the motion in all other respects.  </w:t>
      </w:r>
      <w:r>
        <w:rPr>
          <w:rFonts w:eastAsia="Times New Roman"/>
        </w:rPr>
        <w:t>The court</w:t>
      </w:r>
      <w:r w:rsidRPr="5CA9A013">
        <w:rPr>
          <w:rFonts w:eastAsia="Times New Roman"/>
        </w:rPr>
        <w:t xml:space="preserve"> granted ENA North Beach’s motion for attorney fees in the amount of $401,584 ($385,874 for fees accrued up to entry of judgment and $15,710 for fees accrued after entry of judgment</w:t>
      </w:r>
      <w:r>
        <w:rPr>
          <w:rFonts w:eastAsia="Times New Roman"/>
        </w:rPr>
        <w:t>), and subsequently granted a supplemental motion for attorney fees in the amount of $75,537</w:t>
      </w:r>
      <w:r w:rsidRPr="5CA9A013">
        <w:rPr>
          <w:rFonts w:eastAsia="Times New Roman"/>
        </w:rPr>
        <w:t>.  The final judgment was filed on August 28, 2017.  This appeal and cross</w:t>
      </w:r>
      <w:r>
        <w:rPr>
          <w:rFonts w:eastAsia="Times New Roman"/>
        </w:rPr>
        <w:t>-</w:t>
      </w:r>
      <w:r w:rsidRPr="5CA9A013">
        <w:rPr>
          <w:rFonts w:eastAsia="Times New Roman"/>
        </w:rPr>
        <w:t>appeal followed.</w:t>
      </w:r>
    </w:p>
    <w:p w:rsidR="006D2D97" w:rsidP="00DD2D9F">
      <w:pPr>
        <w:spacing w:line="360" w:lineRule="auto"/>
        <w:jc w:val="center"/>
        <w:rPr>
          <w:rFonts w:eastAsia="Times New Roman"/>
          <w:b/>
          <w:szCs w:val="26"/>
        </w:rPr>
      </w:pPr>
      <w:r>
        <w:rPr>
          <w:rFonts w:eastAsia="Times New Roman"/>
          <w:b/>
          <w:szCs w:val="26"/>
        </w:rPr>
        <w:t>DISCUSSION</w:t>
      </w:r>
    </w:p>
    <w:p w:rsidR="3D0A672E" w:rsidRPr="00432574" w:rsidP="00DD2D9F">
      <w:pPr>
        <w:spacing w:line="360" w:lineRule="auto"/>
        <w:jc w:val="center"/>
        <w:rPr>
          <w:rFonts w:eastAsia="Times New Roman"/>
          <w:b/>
          <w:szCs w:val="26"/>
        </w:rPr>
      </w:pPr>
      <w:r w:rsidRPr="00432574">
        <w:rPr>
          <w:rFonts w:eastAsia="Times New Roman"/>
          <w:b/>
          <w:szCs w:val="26"/>
        </w:rPr>
        <w:t>I.</w:t>
      </w:r>
    </w:p>
    <w:p w:rsidR="00785241" w:rsidRPr="008858EA" w:rsidP="003F45BE">
      <w:pPr>
        <w:spacing w:line="360" w:lineRule="auto"/>
        <w:ind w:firstLine="720"/>
        <w:rPr>
          <w:rFonts w:eastAsia="Times New Roman"/>
          <w:color w:val="000000" w:themeColor="text1"/>
          <w:szCs w:val="26"/>
        </w:rPr>
      </w:pPr>
      <w:r>
        <w:rPr>
          <w:rFonts w:eastAsia="Times New Roman"/>
          <w:color w:val="000000" w:themeColor="text1"/>
          <w:szCs w:val="26"/>
        </w:rPr>
        <w:t>Beverly challenges the sufficiency of the evidence to support the jury’s verdict.  In resolving this issue, “[a]</w:t>
      </w:r>
      <w:r w:rsidRPr="00785241">
        <w:rPr>
          <w:rFonts w:eastAsia="Times New Roman"/>
          <w:color w:val="000000" w:themeColor="text1"/>
          <w:szCs w:val="26"/>
        </w:rPr>
        <w:t>ll conflicts in the evidence are resolved in favor of the prevailing party, and all reasonable inferences are drawn in a manner that upholds the verdict. (</w:t>
      </w:r>
      <w:r w:rsidRPr="00785241">
        <w:rPr>
          <w:rFonts w:eastAsia="Times New Roman"/>
          <w:i/>
          <w:iCs/>
          <w:color w:val="000000" w:themeColor="text1"/>
          <w:szCs w:val="26"/>
        </w:rPr>
        <w:t>Greathouse v. Amcord, Inc</w:t>
      </w:r>
      <w:r w:rsidRPr="00785241">
        <w:rPr>
          <w:rFonts w:eastAsia="Times New Roman"/>
          <w:color w:val="000000" w:themeColor="text1"/>
          <w:szCs w:val="26"/>
        </w:rPr>
        <w:t>. (1995) 35 Cal.App.4th 831, 836</w:t>
      </w:r>
      <w:r>
        <w:t>–</w:t>
      </w:r>
      <w:r w:rsidRPr="00785241">
        <w:rPr>
          <w:rFonts w:eastAsia="Times New Roman"/>
          <w:color w:val="000000" w:themeColor="text1"/>
          <w:szCs w:val="26"/>
        </w:rPr>
        <w:t>837</w:t>
      </w:r>
      <w:r>
        <w:rPr>
          <w:rFonts w:eastAsia="Times New Roman"/>
          <w:color w:val="000000" w:themeColor="text1"/>
          <w:szCs w:val="26"/>
        </w:rPr>
        <w:t xml:space="preserve">, </w:t>
      </w:r>
      <w:r w:rsidRPr="00785241">
        <w:rPr>
          <w:rFonts w:eastAsia="Times New Roman"/>
          <w:color w:val="000000" w:themeColor="text1"/>
          <w:szCs w:val="26"/>
        </w:rPr>
        <w:t>citing </w:t>
      </w:r>
      <w:r w:rsidRPr="00785241">
        <w:rPr>
          <w:rFonts w:eastAsia="Times New Roman"/>
          <w:i/>
          <w:iCs/>
          <w:color w:val="000000" w:themeColor="text1"/>
          <w:szCs w:val="26"/>
        </w:rPr>
        <w:t>Crawford v. Southern Pacific Co</w:t>
      </w:r>
      <w:r w:rsidRPr="00785241">
        <w:rPr>
          <w:rFonts w:eastAsia="Times New Roman"/>
          <w:color w:val="000000" w:themeColor="text1"/>
          <w:szCs w:val="26"/>
        </w:rPr>
        <w:t>. (1935) 3 Cal.2d 427, 429.)</w:t>
      </w:r>
      <w:r>
        <w:rPr>
          <w:rFonts w:eastAsia="Times New Roman"/>
          <w:color w:val="000000" w:themeColor="text1"/>
          <w:szCs w:val="26"/>
        </w:rPr>
        <w:t>”  (</w:t>
      </w:r>
      <w:r w:rsidRPr="00785241">
        <w:rPr>
          <w:rFonts w:eastAsia="Times New Roman"/>
          <w:i/>
          <w:iCs/>
          <w:color w:val="000000" w:themeColor="text1"/>
          <w:szCs w:val="26"/>
        </w:rPr>
        <w:t>Holmes v. Lerner</w:t>
      </w:r>
      <w:r w:rsidRPr="00785241">
        <w:rPr>
          <w:rFonts w:eastAsia="Times New Roman"/>
          <w:color w:val="000000" w:themeColor="text1"/>
          <w:szCs w:val="26"/>
        </w:rPr>
        <w:t> (1999) 74 Cal.App.4th 442, 445</w:t>
      </w:r>
      <w:r>
        <w:rPr>
          <w:rFonts w:eastAsia="Times New Roman"/>
          <w:color w:val="000000" w:themeColor="text1"/>
          <w:szCs w:val="26"/>
        </w:rPr>
        <w:t>.)  “</w:t>
      </w:r>
      <w:r w:rsidRPr="006B36C5">
        <w:rPr>
          <w:rFonts w:eastAsia="Times New Roman"/>
          <w:color w:val="000000" w:themeColor="text1"/>
          <w:szCs w:val="26"/>
        </w:rPr>
        <w:t>All issues of credibility are likewise within the province of the trier of fact.</w:t>
      </w:r>
      <w:r>
        <w:rPr>
          <w:rFonts w:eastAsia="Times New Roman"/>
          <w:color w:val="000000" w:themeColor="text1"/>
          <w:szCs w:val="26"/>
        </w:rPr>
        <w:t>”  (</w:t>
      </w:r>
      <w:r w:rsidRPr="006B36C5">
        <w:rPr>
          <w:rFonts w:eastAsia="Times New Roman"/>
          <w:i/>
          <w:iCs/>
          <w:color w:val="000000" w:themeColor="text1"/>
          <w:szCs w:val="26"/>
        </w:rPr>
        <w:t>Nestle v. City of Santa Monica</w:t>
      </w:r>
      <w:r w:rsidRPr="006B36C5">
        <w:rPr>
          <w:rFonts w:eastAsia="Times New Roman"/>
          <w:color w:val="000000" w:themeColor="text1"/>
          <w:szCs w:val="26"/>
        </w:rPr>
        <w:t> (1972) 6 Cal.3d 920, 925</w:t>
      </w:r>
      <w:r>
        <w:rPr>
          <w:rFonts w:eastAsia="Times New Roman"/>
          <w:color w:val="000000" w:themeColor="text1"/>
          <w:szCs w:val="26"/>
        </w:rPr>
        <w:t>.)</w:t>
      </w:r>
      <w:r w:rsidRPr="008858EA">
        <w:rPr>
          <w:rFonts w:eastAsia="Times New Roman"/>
          <w:color w:val="000000" w:themeColor="text1"/>
          <w:szCs w:val="26"/>
        </w:rPr>
        <w:t xml:space="preserve"> </w:t>
      </w:r>
    </w:p>
    <w:p w:rsidR="3D0A672E" w:rsidRPr="00FC5F5C" w:rsidP="008858EA">
      <w:pPr>
        <w:spacing w:line="360" w:lineRule="auto"/>
        <w:jc w:val="center"/>
        <w:rPr>
          <w:rFonts w:eastAsia="Times New Roman"/>
          <w:b/>
          <w:color w:val="000000" w:themeColor="text1"/>
          <w:szCs w:val="26"/>
        </w:rPr>
      </w:pPr>
      <w:r w:rsidRPr="00FC5F5C">
        <w:rPr>
          <w:rFonts w:eastAsia="Times New Roman"/>
          <w:b/>
          <w:color w:val="000000" w:themeColor="text1"/>
          <w:szCs w:val="26"/>
        </w:rPr>
        <w:t>A.</w:t>
      </w:r>
    </w:p>
    <w:p w:rsidR="01E55874" w:rsidRPr="0065724E" w:rsidP="003F45BE">
      <w:pPr>
        <w:spacing w:line="360" w:lineRule="auto"/>
        <w:ind w:firstLine="720"/>
        <w:rPr>
          <w:rFonts w:eastAsia="Times New Roman"/>
          <w:color w:val="000000" w:themeColor="text1"/>
          <w:szCs w:val="26"/>
        </w:rPr>
      </w:pPr>
      <w:r>
        <w:rPr>
          <w:rFonts w:eastAsia="Times New Roman"/>
          <w:color w:val="000000" w:themeColor="text1"/>
          <w:szCs w:val="26"/>
        </w:rPr>
        <w:t xml:space="preserve">The theory of Hong’s case was that she was fraudulently induced to enter the lease agreement.  </w:t>
      </w:r>
      <w:r w:rsidRPr="0065724E">
        <w:rPr>
          <w:rFonts w:eastAsia="Times New Roman"/>
          <w:color w:val="000000" w:themeColor="text1"/>
          <w:szCs w:val="26"/>
        </w:rPr>
        <w:t>“</w:t>
      </w:r>
      <w:r>
        <w:rPr>
          <w:rFonts w:eastAsia="Times New Roman"/>
          <w:color w:val="000000" w:themeColor="text1"/>
          <w:szCs w:val="26"/>
        </w:rPr>
        <w:t xml:space="preserve"> ‘</w:t>
      </w:r>
      <w:r w:rsidRPr="0065724E">
        <w:rPr>
          <w:rFonts w:eastAsia="Times New Roman"/>
          <w:color w:val="000000" w:themeColor="text1"/>
          <w:szCs w:val="26"/>
        </w:rPr>
        <w:t>The necessary elements of fraud are:</w:t>
      </w:r>
      <w:r>
        <w:rPr>
          <w:rFonts w:eastAsia="Times New Roman"/>
          <w:color w:val="000000" w:themeColor="text1"/>
          <w:szCs w:val="26"/>
        </w:rPr>
        <w:t xml:space="preserve"> </w:t>
      </w:r>
      <w:r w:rsidRPr="0065724E">
        <w:rPr>
          <w:rFonts w:eastAsia="Times New Roman"/>
          <w:color w:val="000000" w:themeColor="text1"/>
          <w:szCs w:val="26"/>
        </w:rPr>
        <w:t xml:space="preserve"> (1) misrepresentation (false representation, concealment, or nondisclosure); (2) knowledge of falsity (scienter); (3) intent to defraud (i.e., to induce reliance); (4) justifiable reliance; and (5) resulting damage.</w:t>
      </w:r>
      <w:r>
        <w:rPr>
          <w:rFonts w:eastAsia="Times New Roman"/>
          <w:color w:val="000000" w:themeColor="text1"/>
          <w:szCs w:val="26"/>
        </w:rPr>
        <w:t xml:space="preserve">’ </w:t>
      </w:r>
      <w:r w:rsidRPr="0065724E">
        <w:rPr>
          <w:rFonts w:eastAsia="Times New Roman"/>
          <w:color w:val="000000" w:themeColor="text1"/>
          <w:szCs w:val="26"/>
        </w:rPr>
        <w:t xml:space="preserve">” </w:t>
      </w:r>
      <w:r>
        <w:rPr>
          <w:rFonts w:eastAsia="Times New Roman"/>
          <w:color w:val="000000" w:themeColor="text1"/>
          <w:szCs w:val="26"/>
        </w:rPr>
        <w:t xml:space="preserve"> </w:t>
      </w:r>
      <w:r w:rsidRPr="0065724E">
        <w:rPr>
          <w:rFonts w:eastAsia="Times New Roman"/>
          <w:color w:val="000000" w:themeColor="text1"/>
          <w:szCs w:val="26"/>
        </w:rPr>
        <w:t>(</w:t>
      </w:r>
      <w:r w:rsidRPr="0065724E">
        <w:rPr>
          <w:rFonts w:eastAsia="Times New Roman"/>
          <w:i/>
          <w:iCs/>
          <w:color w:val="000000" w:themeColor="text1"/>
          <w:szCs w:val="26"/>
        </w:rPr>
        <w:t>Molko v. Holy Spirit Assn.</w:t>
      </w:r>
      <w:r w:rsidRPr="0065724E">
        <w:rPr>
          <w:rFonts w:eastAsia="Times New Roman"/>
          <w:color w:val="000000" w:themeColor="text1"/>
          <w:szCs w:val="26"/>
        </w:rPr>
        <w:t xml:space="preserve"> (1988) 46 Cal.3d 1092, 1108; see </w:t>
      </w:r>
      <w:r w:rsidRPr="0065724E">
        <w:rPr>
          <w:rFonts w:eastAsia="Times New Roman"/>
          <w:i/>
          <w:iCs/>
          <w:color w:val="000000" w:themeColor="text1"/>
          <w:szCs w:val="26"/>
        </w:rPr>
        <w:t>Seeger v. Odell</w:t>
      </w:r>
      <w:r w:rsidRPr="0065724E">
        <w:rPr>
          <w:rFonts w:eastAsia="Times New Roman"/>
          <w:color w:val="000000" w:themeColor="text1"/>
          <w:szCs w:val="26"/>
        </w:rPr>
        <w:t xml:space="preserve"> (1941) 18 Cal.2d 409, 414; § 1709.)”  (</w:t>
      </w:r>
      <w:r w:rsidRPr="0065724E">
        <w:rPr>
          <w:rFonts w:eastAsia="Times New Roman"/>
          <w:i/>
          <w:iCs/>
          <w:color w:val="000000" w:themeColor="text1"/>
          <w:szCs w:val="26"/>
        </w:rPr>
        <w:t>Alliance Mortgage Co. v. Rothwell</w:t>
      </w:r>
      <w:r w:rsidRPr="0065724E">
        <w:rPr>
          <w:rFonts w:eastAsia="Times New Roman"/>
          <w:color w:val="000000" w:themeColor="text1"/>
          <w:szCs w:val="26"/>
        </w:rPr>
        <w:t xml:space="preserve"> (1995) 10 Cal.4th 1226, 1239 </w:t>
      </w:r>
      <w:r w:rsidRPr="00F227FD">
        <w:rPr>
          <w:rFonts w:eastAsia="Times New Roman"/>
          <w:iCs/>
          <w:color w:val="000000" w:themeColor="text1"/>
          <w:szCs w:val="26"/>
        </w:rPr>
        <w:t>(</w:t>
      </w:r>
      <w:r w:rsidRPr="0065724E">
        <w:rPr>
          <w:rFonts w:eastAsia="Times New Roman"/>
          <w:i/>
          <w:iCs/>
          <w:color w:val="000000" w:themeColor="text1"/>
          <w:szCs w:val="26"/>
        </w:rPr>
        <w:t>Alli</w:t>
      </w:r>
      <w:r>
        <w:rPr>
          <w:rFonts w:eastAsia="Times New Roman"/>
          <w:i/>
          <w:iCs/>
          <w:color w:val="000000" w:themeColor="text1"/>
          <w:szCs w:val="26"/>
        </w:rPr>
        <w:t>a</w:t>
      </w:r>
      <w:r w:rsidRPr="0065724E">
        <w:rPr>
          <w:rFonts w:eastAsia="Times New Roman"/>
          <w:i/>
          <w:iCs/>
          <w:color w:val="000000" w:themeColor="text1"/>
          <w:szCs w:val="26"/>
        </w:rPr>
        <w:t>nce Mortgage</w:t>
      </w:r>
      <w:r w:rsidRPr="00F227FD">
        <w:rPr>
          <w:rFonts w:eastAsia="Times New Roman"/>
          <w:color w:val="000000" w:themeColor="text1"/>
          <w:szCs w:val="26"/>
        </w:rPr>
        <w:t>)</w:t>
      </w:r>
      <w:r w:rsidRPr="00F227FD">
        <w:rPr>
          <w:rFonts w:eastAsia="Times New Roman"/>
          <w:iCs/>
          <w:color w:val="000000" w:themeColor="text1"/>
          <w:szCs w:val="26"/>
        </w:rPr>
        <w:t>.)</w:t>
      </w:r>
    </w:p>
    <w:p w:rsidR="01E55874" w:rsidRPr="0065724E" w:rsidP="003F45BE">
      <w:pPr>
        <w:spacing w:line="360" w:lineRule="auto"/>
        <w:ind w:firstLine="720"/>
        <w:rPr>
          <w:rFonts w:eastAsia="Times New Roman"/>
          <w:szCs w:val="26"/>
        </w:rPr>
      </w:pPr>
      <w:r>
        <w:rPr>
          <w:rFonts w:eastAsia="Times New Roman"/>
          <w:szCs w:val="26"/>
        </w:rPr>
        <w:t>Beverly</w:t>
      </w:r>
      <w:r w:rsidRPr="0065724E">
        <w:rPr>
          <w:rFonts w:eastAsia="Times New Roman"/>
          <w:szCs w:val="26"/>
        </w:rPr>
        <w:t xml:space="preserve"> contend</w:t>
      </w:r>
      <w:r>
        <w:rPr>
          <w:rFonts w:eastAsia="Times New Roman"/>
          <w:szCs w:val="26"/>
        </w:rPr>
        <w:t>s</w:t>
      </w:r>
      <w:r w:rsidRPr="0065724E">
        <w:rPr>
          <w:rFonts w:eastAsia="Times New Roman"/>
          <w:szCs w:val="26"/>
        </w:rPr>
        <w:t xml:space="preserve"> there was no substantial evidence to support the jury’s verdict for intentional misrepresentation in that there was no evidence of any misrepresentation made </w:t>
      </w:r>
      <w:r w:rsidRPr="0065724E">
        <w:rPr>
          <w:rFonts w:eastAsia="Times New Roman"/>
          <w:i/>
          <w:iCs/>
          <w:szCs w:val="26"/>
        </w:rPr>
        <w:t xml:space="preserve">before </w:t>
      </w:r>
      <w:r w:rsidRPr="0065724E">
        <w:rPr>
          <w:rFonts w:eastAsia="Times New Roman"/>
          <w:szCs w:val="26"/>
        </w:rPr>
        <w:t xml:space="preserve">the lease was signed.  According to </w:t>
      </w:r>
      <w:r>
        <w:rPr>
          <w:rFonts w:eastAsia="Times New Roman"/>
          <w:szCs w:val="26"/>
        </w:rPr>
        <w:t>Beverly</w:t>
      </w:r>
      <w:r w:rsidRPr="0065724E">
        <w:rPr>
          <w:rFonts w:eastAsia="Times New Roman"/>
          <w:szCs w:val="26"/>
        </w:rPr>
        <w:t xml:space="preserve">, </w:t>
      </w:r>
      <w:r>
        <w:rPr>
          <w:rFonts w:eastAsia="Times New Roman"/>
          <w:szCs w:val="26"/>
        </w:rPr>
        <w:t>Hong’s</w:t>
      </w:r>
      <w:r w:rsidRPr="0065724E">
        <w:rPr>
          <w:rFonts w:eastAsia="Times New Roman"/>
          <w:szCs w:val="26"/>
        </w:rPr>
        <w:t xml:space="preserve"> attorney argued in closing that evidence of statements made </w:t>
      </w:r>
      <w:r w:rsidRPr="0065724E">
        <w:rPr>
          <w:rFonts w:eastAsia="Times New Roman"/>
          <w:i/>
          <w:iCs/>
          <w:szCs w:val="26"/>
        </w:rPr>
        <w:t xml:space="preserve">after </w:t>
      </w:r>
      <w:r w:rsidRPr="0065724E">
        <w:rPr>
          <w:rFonts w:eastAsia="Times New Roman"/>
          <w:szCs w:val="26"/>
        </w:rPr>
        <w:t xml:space="preserve">the lease was signed allowed an inference that similar statements were made and relied upon prior to signing, an argument </w:t>
      </w:r>
      <w:r>
        <w:rPr>
          <w:rFonts w:eastAsia="Times New Roman"/>
          <w:szCs w:val="26"/>
        </w:rPr>
        <w:t>Beverly</w:t>
      </w:r>
      <w:r w:rsidRPr="0065724E">
        <w:rPr>
          <w:rFonts w:eastAsia="Times New Roman"/>
          <w:szCs w:val="26"/>
        </w:rPr>
        <w:t xml:space="preserve"> maintain</w:t>
      </w:r>
      <w:r>
        <w:rPr>
          <w:rFonts w:eastAsia="Times New Roman"/>
          <w:szCs w:val="26"/>
        </w:rPr>
        <w:t>s</w:t>
      </w:r>
      <w:r w:rsidRPr="0065724E">
        <w:rPr>
          <w:rFonts w:eastAsia="Times New Roman"/>
          <w:szCs w:val="26"/>
        </w:rPr>
        <w:t xml:space="preserve"> improperly called for speculation absent evidence of any such statements having been made.  (</w:t>
      </w:r>
      <w:r w:rsidRPr="0065724E">
        <w:rPr>
          <w:rFonts w:eastAsia="Times New Roman"/>
          <w:i/>
          <w:iCs/>
          <w:szCs w:val="26"/>
        </w:rPr>
        <w:t>California Shopper, Inc. v. Royal Globe Ins. Co</w:t>
      </w:r>
      <w:r w:rsidRPr="0065724E">
        <w:rPr>
          <w:rFonts w:eastAsia="Times New Roman"/>
          <w:szCs w:val="26"/>
        </w:rPr>
        <w:t>. (1985) 175 Cal.App.3d 1, 45 [finding of fact must be based on evidence, not speculation]</w:t>
      </w:r>
      <w:r>
        <w:rPr>
          <w:rFonts w:eastAsia="Times New Roman"/>
          <w:szCs w:val="26"/>
        </w:rPr>
        <w:t>.</w:t>
      </w:r>
      <w:r w:rsidRPr="0065724E">
        <w:rPr>
          <w:rFonts w:eastAsia="Times New Roman"/>
          <w:szCs w:val="26"/>
        </w:rPr>
        <w:t xml:space="preserve">) </w:t>
      </w:r>
    </w:p>
    <w:p w:rsidR="007369FF" w:rsidRPr="0065724E" w:rsidP="003F45BE">
      <w:pPr>
        <w:spacing w:line="360" w:lineRule="auto"/>
        <w:ind w:firstLine="720"/>
        <w:rPr>
          <w:rFonts w:eastAsia="Times New Roman"/>
          <w:szCs w:val="26"/>
        </w:rPr>
      </w:pPr>
      <w:r>
        <w:rPr>
          <w:rFonts w:eastAsia="Times New Roman"/>
        </w:rPr>
        <w:t>Beverly’s</w:t>
      </w:r>
      <w:r w:rsidRPr="5CA9A013">
        <w:rPr>
          <w:rFonts w:eastAsia="Times New Roman"/>
        </w:rPr>
        <w:t xml:space="preserve"> characterization of this portion of the argument is not accurate.  Counsel argued that Hong testified to statements she relied upon in signing the lease</w:t>
      </w:r>
      <w:r>
        <w:rPr>
          <w:rFonts w:eastAsia="Times New Roman"/>
        </w:rPr>
        <w:t>,</w:t>
      </w:r>
      <w:r w:rsidRPr="5CA9A013">
        <w:rPr>
          <w:rFonts w:eastAsia="Times New Roman"/>
        </w:rPr>
        <w:t xml:space="preserve"> and that evidence of statements made after the lease was signed </w:t>
      </w:r>
      <w:r>
        <w:rPr>
          <w:rFonts w:eastAsia="Times New Roman"/>
        </w:rPr>
        <w:t>was</w:t>
      </w:r>
      <w:r w:rsidRPr="5CA9A013">
        <w:rPr>
          <w:rFonts w:eastAsia="Times New Roman"/>
        </w:rPr>
        <w:t xml:space="preserve"> relevant </w:t>
      </w:r>
      <w:r w:rsidRPr="5CA9A013">
        <w:rPr>
          <w:rFonts w:eastAsia="Times New Roman"/>
          <w:i/>
          <w:iCs/>
        </w:rPr>
        <w:t xml:space="preserve">in addition </w:t>
      </w:r>
      <w:r w:rsidRPr="5CA9A013">
        <w:rPr>
          <w:rFonts w:eastAsia="Times New Roman"/>
        </w:rPr>
        <w:t>to Hong’s testimony</w:t>
      </w:r>
      <w:r w:rsidRPr="5CA9A013">
        <w:rPr>
          <w:rFonts w:eastAsia="Times New Roman"/>
          <w:i/>
          <w:iCs/>
        </w:rPr>
        <w:t xml:space="preserve"> </w:t>
      </w:r>
      <w:r w:rsidRPr="5CA9A013">
        <w:rPr>
          <w:rFonts w:eastAsia="Times New Roman"/>
        </w:rPr>
        <w:t xml:space="preserve">because </w:t>
      </w:r>
      <w:r>
        <w:rPr>
          <w:rFonts w:eastAsia="Times New Roman"/>
        </w:rPr>
        <w:t>it</w:t>
      </w:r>
      <w:r w:rsidRPr="5CA9A013">
        <w:rPr>
          <w:rFonts w:eastAsia="Times New Roman"/>
        </w:rPr>
        <w:t xml:space="preserve"> showed “how </w:t>
      </w:r>
      <w:r>
        <w:rPr>
          <w:rFonts w:eastAsia="Times New Roman"/>
        </w:rPr>
        <w:t>[Beverly]</w:t>
      </w:r>
      <w:r w:rsidRPr="5CA9A013">
        <w:rPr>
          <w:rFonts w:eastAsia="Times New Roman"/>
        </w:rPr>
        <w:t xml:space="preserve"> is talking.  It’s consistent that, if you make misrepresentations before the lease is signed, you continue to make those same misrepresentations after the lease is signed.”</w:t>
      </w:r>
      <w:r>
        <w:rPr>
          <w:rStyle w:val="FootnoteReference"/>
          <w:rFonts w:eastAsia="Times New Roman"/>
        </w:rPr>
        <w:footnoteReference w:id="19"/>
      </w:r>
      <w:r w:rsidRPr="5CA9A013">
        <w:rPr>
          <w:rFonts w:eastAsia="Times New Roman"/>
        </w:rPr>
        <w:t xml:space="preserve">  Counsel did not argue that because there was evidence of false statements made after the lease was signed the jury could conclude such statements were also made before the signing.</w:t>
      </w:r>
    </w:p>
    <w:p w:rsidR="005C1E1C" w:rsidP="003F45BE">
      <w:pPr>
        <w:spacing w:line="360" w:lineRule="auto"/>
        <w:ind w:firstLine="720"/>
        <w:rPr>
          <w:rFonts w:eastAsia="Times New Roman"/>
          <w:szCs w:val="26"/>
        </w:rPr>
      </w:pPr>
      <w:r w:rsidRPr="5CA9A013">
        <w:rPr>
          <w:rFonts w:eastAsia="Times New Roman"/>
        </w:rPr>
        <w:t>Hong testified that when she first visited the property, Barak told her that Le</w:t>
      </w:r>
      <w:r>
        <w:rPr>
          <w:rFonts w:eastAsia="Times New Roman"/>
        </w:rPr>
        <w:t> </w:t>
      </w:r>
      <w:r w:rsidRPr="5CA9A013">
        <w:rPr>
          <w:rFonts w:eastAsia="Times New Roman"/>
        </w:rPr>
        <w:t xml:space="preserve">Bordeaux was a </w:t>
      </w:r>
      <w:r>
        <w:rPr>
          <w:rFonts w:eastAsia="Times New Roman"/>
        </w:rPr>
        <w:t>“</w:t>
      </w:r>
      <w:r w:rsidRPr="5CA9A013">
        <w:rPr>
          <w:rFonts w:eastAsia="Times New Roman"/>
        </w:rPr>
        <w:t>bar,” “they must have had a lot of beer piping going upstairs” and “they had a beer and wine license.”</w:t>
      </w:r>
      <w:r>
        <w:rPr>
          <w:rStyle w:val="FootnoteReference"/>
          <w:rFonts w:eastAsia="Times New Roman"/>
        </w:rPr>
        <w:footnoteReference w:id="20"/>
      </w:r>
      <w:r w:rsidRPr="5CA9A013">
        <w:rPr>
          <w:rFonts w:eastAsia="Times New Roman"/>
        </w:rPr>
        <w:t xml:space="preserve">  She testified that </w:t>
      </w:r>
      <w:r>
        <w:rPr>
          <w:rFonts w:eastAsia="Times New Roman"/>
        </w:rPr>
        <w:t>Beverly</w:t>
      </w:r>
      <w:r w:rsidRPr="5CA9A013">
        <w:rPr>
          <w:rFonts w:eastAsia="Times New Roman"/>
        </w:rPr>
        <w:t xml:space="preserve"> told her the property had always been a full</w:t>
      </w:r>
      <w:r>
        <w:rPr>
          <w:rFonts w:eastAsia="Times New Roman"/>
        </w:rPr>
        <w:t>-</w:t>
      </w:r>
      <w:r w:rsidRPr="5CA9A013">
        <w:rPr>
          <w:rFonts w:eastAsia="Times New Roman"/>
        </w:rPr>
        <w:t xml:space="preserve">service restaurant and there had always been a liquor license at the property; never said Le Bordeaux did not receive a license to serve alcohol but rather said it obtained the license; and never said the space had been abandoned or “discontinued” for three years.  </w:t>
      </w:r>
    </w:p>
    <w:p w:rsidR="007369FF" w:rsidRPr="0065724E" w:rsidP="003F45BE">
      <w:pPr>
        <w:spacing w:line="360" w:lineRule="auto"/>
        <w:ind w:firstLine="720"/>
        <w:rPr>
          <w:rFonts w:eastAsia="Times New Roman"/>
          <w:szCs w:val="26"/>
        </w:rPr>
      </w:pPr>
      <w:r>
        <w:rPr>
          <w:rFonts w:eastAsia="Times New Roman"/>
          <w:szCs w:val="26"/>
        </w:rPr>
        <w:t>Beverly</w:t>
      </w:r>
      <w:r w:rsidRPr="0065724E">
        <w:rPr>
          <w:rFonts w:eastAsia="Times New Roman"/>
          <w:szCs w:val="26"/>
        </w:rPr>
        <w:t xml:space="preserve"> point</w:t>
      </w:r>
      <w:r>
        <w:rPr>
          <w:rFonts w:eastAsia="Times New Roman"/>
          <w:szCs w:val="26"/>
        </w:rPr>
        <w:t>s</w:t>
      </w:r>
      <w:r w:rsidRPr="0065724E">
        <w:rPr>
          <w:rFonts w:eastAsia="Times New Roman"/>
          <w:szCs w:val="26"/>
        </w:rPr>
        <w:t xml:space="preserve"> out that Hong first met </w:t>
      </w:r>
      <w:r>
        <w:rPr>
          <w:rFonts w:eastAsia="Times New Roman"/>
          <w:szCs w:val="26"/>
        </w:rPr>
        <w:t>Beverly</w:t>
      </w:r>
      <w:r w:rsidRPr="0065724E">
        <w:rPr>
          <w:rFonts w:eastAsia="Times New Roman"/>
          <w:szCs w:val="26"/>
        </w:rPr>
        <w:t xml:space="preserve"> </w:t>
      </w:r>
      <w:r w:rsidRPr="0065724E">
        <w:rPr>
          <w:rFonts w:eastAsia="Times New Roman"/>
          <w:i/>
          <w:iCs/>
          <w:szCs w:val="26"/>
        </w:rPr>
        <w:t xml:space="preserve">after </w:t>
      </w:r>
      <w:r w:rsidRPr="0065724E">
        <w:rPr>
          <w:rFonts w:eastAsia="Times New Roman"/>
          <w:szCs w:val="26"/>
        </w:rPr>
        <w:t>the lease was signed</w:t>
      </w:r>
      <w:r>
        <w:rPr>
          <w:rFonts w:eastAsia="Times New Roman"/>
          <w:szCs w:val="26"/>
        </w:rPr>
        <w:t xml:space="preserve"> </w:t>
      </w:r>
      <w:r w:rsidRPr="0065724E">
        <w:rPr>
          <w:rFonts w:eastAsia="Times New Roman"/>
          <w:szCs w:val="26"/>
        </w:rPr>
        <w:t xml:space="preserve">and </w:t>
      </w:r>
      <w:r>
        <w:rPr>
          <w:rFonts w:eastAsia="Times New Roman"/>
          <w:szCs w:val="26"/>
        </w:rPr>
        <w:t xml:space="preserve">Hong </w:t>
      </w:r>
      <w:r w:rsidRPr="0065724E">
        <w:rPr>
          <w:rFonts w:eastAsia="Times New Roman"/>
          <w:szCs w:val="26"/>
        </w:rPr>
        <w:t>acknowledged on cross</w:t>
      </w:r>
      <w:r>
        <w:rPr>
          <w:rFonts w:eastAsia="Times New Roman"/>
          <w:szCs w:val="26"/>
        </w:rPr>
        <w:t>-</w:t>
      </w:r>
      <w:r w:rsidRPr="0065724E">
        <w:rPr>
          <w:rFonts w:eastAsia="Times New Roman"/>
          <w:szCs w:val="26"/>
        </w:rPr>
        <w:t xml:space="preserve">examination that </w:t>
      </w:r>
      <w:r>
        <w:rPr>
          <w:rFonts w:eastAsia="Times New Roman"/>
          <w:szCs w:val="26"/>
        </w:rPr>
        <w:t>she asked</w:t>
      </w:r>
      <w:r w:rsidRPr="0065724E">
        <w:rPr>
          <w:rFonts w:eastAsia="Times New Roman"/>
          <w:szCs w:val="26"/>
        </w:rPr>
        <w:t xml:space="preserve"> </w:t>
      </w:r>
      <w:r>
        <w:rPr>
          <w:rFonts w:eastAsia="Times New Roman"/>
          <w:szCs w:val="26"/>
        </w:rPr>
        <w:t>Beverly</w:t>
      </w:r>
      <w:r w:rsidRPr="0065724E">
        <w:rPr>
          <w:rFonts w:eastAsia="Times New Roman"/>
          <w:szCs w:val="26"/>
        </w:rPr>
        <w:t xml:space="preserve"> about the restaurant prior to Le Bordeaux </w:t>
      </w:r>
      <w:r>
        <w:rPr>
          <w:rFonts w:eastAsia="Times New Roman"/>
          <w:szCs w:val="26"/>
        </w:rPr>
        <w:t xml:space="preserve">only </w:t>
      </w:r>
      <w:r w:rsidRPr="0065724E">
        <w:rPr>
          <w:rFonts w:eastAsia="Times New Roman"/>
          <w:szCs w:val="26"/>
        </w:rPr>
        <w:t xml:space="preserve">after </w:t>
      </w:r>
      <w:r>
        <w:rPr>
          <w:rFonts w:eastAsia="Times New Roman"/>
          <w:szCs w:val="26"/>
        </w:rPr>
        <w:t>Hong signed the lease</w:t>
      </w:r>
      <w:r w:rsidRPr="0065724E">
        <w:rPr>
          <w:rFonts w:eastAsia="Times New Roman"/>
          <w:szCs w:val="26"/>
        </w:rPr>
        <w:t xml:space="preserve">.  </w:t>
      </w:r>
      <w:r>
        <w:rPr>
          <w:rFonts w:eastAsia="Times New Roman"/>
          <w:szCs w:val="26"/>
        </w:rPr>
        <w:t>Beverly</w:t>
      </w:r>
      <w:r w:rsidRPr="0065724E">
        <w:rPr>
          <w:rFonts w:eastAsia="Times New Roman"/>
          <w:szCs w:val="26"/>
        </w:rPr>
        <w:t xml:space="preserve"> point</w:t>
      </w:r>
      <w:r>
        <w:rPr>
          <w:rFonts w:eastAsia="Times New Roman"/>
          <w:szCs w:val="26"/>
        </w:rPr>
        <w:t>s</w:t>
      </w:r>
      <w:r w:rsidRPr="0065724E">
        <w:rPr>
          <w:rFonts w:eastAsia="Times New Roman"/>
          <w:szCs w:val="26"/>
        </w:rPr>
        <w:t xml:space="preserve"> to this acknowledgment in arguing that Hong was </w:t>
      </w:r>
      <w:r>
        <w:rPr>
          <w:rFonts w:eastAsia="Times New Roman"/>
          <w:szCs w:val="26"/>
        </w:rPr>
        <w:t>“</w:t>
      </w:r>
      <w:r w:rsidRPr="0065724E">
        <w:rPr>
          <w:rFonts w:eastAsia="Times New Roman"/>
          <w:szCs w:val="26"/>
        </w:rPr>
        <w:t xml:space="preserve">unable to identify </w:t>
      </w:r>
      <w:r>
        <w:rPr>
          <w:rFonts w:eastAsia="Times New Roman"/>
          <w:szCs w:val="26"/>
        </w:rPr>
        <w:t>a single</w:t>
      </w:r>
      <w:r w:rsidRPr="0065724E">
        <w:rPr>
          <w:rFonts w:eastAsia="Times New Roman"/>
          <w:szCs w:val="26"/>
        </w:rPr>
        <w:t xml:space="preserve"> misrepresentation</w:t>
      </w:r>
      <w:r>
        <w:rPr>
          <w:rFonts w:eastAsia="Times New Roman"/>
          <w:szCs w:val="26"/>
        </w:rPr>
        <w:t>”</w:t>
      </w:r>
      <w:r w:rsidRPr="0065724E">
        <w:rPr>
          <w:rFonts w:eastAsia="Times New Roman"/>
          <w:szCs w:val="26"/>
        </w:rPr>
        <w:t xml:space="preserve"> made to her prior to signing the lease</w:t>
      </w:r>
      <w:r>
        <w:rPr>
          <w:rFonts w:eastAsia="Times New Roman"/>
          <w:szCs w:val="26"/>
        </w:rPr>
        <w:t xml:space="preserve">, noting </w:t>
      </w:r>
      <w:r w:rsidRPr="0065724E">
        <w:rPr>
          <w:rFonts w:eastAsia="Times New Roman"/>
          <w:szCs w:val="26"/>
        </w:rPr>
        <w:t xml:space="preserve">that when specifically asked what “lie” </w:t>
      </w:r>
      <w:r>
        <w:rPr>
          <w:rFonts w:eastAsia="Times New Roman"/>
          <w:szCs w:val="26"/>
        </w:rPr>
        <w:t>Beverly</w:t>
      </w:r>
      <w:r w:rsidRPr="0065724E">
        <w:rPr>
          <w:rFonts w:eastAsia="Times New Roman"/>
          <w:szCs w:val="26"/>
        </w:rPr>
        <w:t xml:space="preserve"> told her, Hong </w:t>
      </w:r>
      <w:r>
        <w:rPr>
          <w:rFonts w:eastAsia="Times New Roman"/>
          <w:szCs w:val="26"/>
        </w:rPr>
        <w:t>responded that when she</w:t>
      </w:r>
      <w:r w:rsidRPr="00155B18">
        <w:rPr>
          <w:rFonts w:eastAsia="Times New Roman"/>
          <w:szCs w:val="26"/>
        </w:rPr>
        <w:t xml:space="preserve"> asked about the restaurant before Le Bordeaux, </w:t>
      </w:r>
      <w:r>
        <w:rPr>
          <w:rFonts w:eastAsia="Times New Roman"/>
          <w:szCs w:val="26"/>
        </w:rPr>
        <w:t>Beverly</w:t>
      </w:r>
      <w:r w:rsidRPr="00155B18">
        <w:rPr>
          <w:rFonts w:eastAsia="Times New Roman"/>
          <w:szCs w:val="26"/>
        </w:rPr>
        <w:t xml:space="preserve"> said, “Oh, it’s very complicated.  I don’t want to go there.” </w:t>
      </w:r>
      <w:r>
        <w:rPr>
          <w:rFonts w:eastAsia="Times New Roman"/>
          <w:szCs w:val="26"/>
        </w:rPr>
        <w:t xml:space="preserve"> </w:t>
      </w:r>
    </w:p>
    <w:p w:rsidR="007369FF" w:rsidRPr="0065724E" w:rsidP="003F45BE">
      <w:pPr>
        <w:spacing w:line="360" w:lineRule="auto"/>
        <w:ind w:firstLine="720"/>
        <w:rPr>
          <w:rFonts w:eastAsia="Times New Roman"/>
          <w:szCs w:val="26"/>
        </w:rPr>
      </w:pPr>
      <w:r>
        <w:rPr>
          <w:rFonts w:eastAsia="Times New Roman"/>
        </w:rPr>
        <w:t xml:space="preserve">Immediately after acknowledging that this conversation occurred after the lease was signed, </w:t>
      </w:r>
      <w:r w:rsidRPr="5CA9A013">
        <w:rPr>
          <w:rFonts w:eastAsia="Times New Roman"/>
        </w:rPr>
        <w:t xml:space="preserve">however, Hong testified, “But she didn’t mention anything about prior tenant.”  </w:t>
      </w:r>
      <w:r>
        <w:rPr>
          <w:rFonts w:eastAsia="Times New Roman"/>
        </w:rPr>
        <w:t>Beverly’s</w:t>
      </w:r>
      <w:r w:rsidRPr="5CA9A013">
        <w:rPr>
          <w:rFonts w:eastAsia="Times New Roman"/>
        </w:rPr>
        <w:t xml:space="preserve"> attorney pressed, “you didn’t ask her, did you?” and Hong replied, “Yeah, because I trust her word, ‘</w:t>
      </w:r>
      <w:r>
        <w:rPr>
          <w:rFonts w:eastAsia="Times New Roman"/>
        </w:rPr>
        <w:t>[t]</w:t>
      </w:r>
      <w:r w:rsidRPr="5CA9A013">
        <w:rPr>
          <w:rFonts w:eastAsia="Times New Roman"/>
        </w:rPr>
        <w:t>here’s always been full-service restaurant with a beer and wine license.’  Why would I question her</w:t>
      </w:r>
      <w:r>
        <w:t>—</w:t>
      </w:r>
      <w:r w:rsidRPr="5CA9A013">
        <w:rPr>
          <w:rFonts w:eastAsia="Times New Roman"/>
        </w:rPr>
        <w:t xml:space="preserve">question her period?  Because landlord told me it’s always been a full-service restaurant.  I trusted her. </w:t>
      </w:r>
      <w:r>
        <w:rPr>
          <w:rFonts w:eastAsia="Times New Roman"/>
        </w:rPr>
        <w:t xml:space="preserve"> </w:t>
      </w:r>
      <w:r w:rsidRPr="5CA9A013">
        <w:rPr>
          <w:rFonts w:eastAsia="Times New Roman"/>
        </w:rPr>
        <w:t>I believed her because, if I were the landlord, I would not lie.  I would not</w:t>
      </w:r>
      <w:r>
        <w:rPr>
          <w:rFonts w:eastAsia="Times New Roman"/>
        </w:rPr>
        <w:t>,</w:t>
      </w:r>
      <w:r w:rsidRPr="5CA9A013">
        <w:rPr>
          <w:rFonts w:eastAsia="Times New Roman"/>
        </w:rPr>
        <w:t xml:space="preserve"> not tell the truth.”  Hong expressly testified that at the time she signed the lease she believed it could be used as a ful</w:t>
      </w:r>
      <w:r>
        <w:rPr>
          <w:rFonts w:eastAsia="Times New Roman"/>
        </w:rPr>
        <w:t>l-</w:t>
      </w:r>
      <w:r w:rsidRPr="5CA9A013">
        <w:rPr>
          <w:rFonts w:eastAsia="Times New Roman"/>
        </w:rPr>
        <w:t>service restaurant because “</w:t>
      </w:r>
      <w:r>
        <w:rPr>
          <w:rFonts w:eastAsia="Times New Roman"/>
        </w:rPr>
        <w:t>[Beverly]</w:t>
      </w:r>
      <w:r w:rsidRPr="5CA9A013">
        <w:rPr>
          <w:rFonts w:eastAsia="Times New Roman"/>
        </w:rPr>
        <w:t xml:space="preserve"> told me that it’s always been a full-service restaurant, and I believed it.”  Hong also testified that when she signed the lease, </w:t>
      </w:r>
      <w:r>
        <w:rPr>
          <w:rFonts w:eastAsia="Times New Roman"/>
        </w:rPr>
        <w:t>Beverly</w:t>
      </w:r>
      <w:r w:rsidRPr="5CA9A013">
        <w:rPr>
          <w:rFonts w:eastAsia="Times New Roman"/>
        </w:rPr>
        <w:t xml:space="preserve"> told her </w:t>
      </w:r>
      <w:r>
        <w:rPr>
          <w:rFonts w:eastAsia="Times New Roman"/>
        </w:rPr>
        <w:t>“</w:t>
      </w:r>
      <w:r w:rsidRPr="5CA9A013">
        <w:rPr>
          <w:rFonts w:eastAsia="Times New Roman"/>
        </w:rPr>
        <w:t>there was an existing beer and wine license.</w:t>
      </w:r>
      <w:r>
        <w:rPr>
          <w:rFonts w:eastAsia="Times New Roman"/>
        </w:rPr>
        <w:t>”</w:t>
      </w:r>
      <w:r w:rsidRPr="5CA9A013">
        <w:rPr>
          <w:rFonts w:eastAsia="Times New Roman"/>
        </w:rPr>
        <w:t xml:space="preserve">  When asked on cross</w:t>
      </w:r>
      <w:r>
        <w:rPr>
          <w:rFonts w:eastAsia="Times New Roman"/>
        </w:rPr>
        <w:t>-</w:t>
      </w:r>
      <w:r w:rsidRPr="5CA9A013">
        <w:rPr>
          <w:rFonts w:eastAsia="Times New Roman"/>
        </w:rPr>
        <w:t xml:space="preserve">examination to acknowledge, in accordance with a provision in the lease agreement, that </w:t>
      </w:r>
      <w:r>
        <w:rPr>
          <w:rFonts w:eastAsia="Times New Roman"/>
        </w:rPr>
        <w:t>Beverly</w:t>
      </w:r>
      <w:r w:rsidRPr="5CA9A013">
        <w:rPr>
          <w:rFonts w:eastAsia="Times New Roman"/>
        </w:rPr>
        <w:t xml:space="preserve"> “didn’t make any warranties or representations about the fitness of the premises for the use that you wanted,” Hong responded, “She did.  She told me that it was a full-service restaurant and is selling liquor license</w:t>
      </w:r>
      <w:r>
        <w:rPr>
          <w:rFonts w:eastAsia="Times New Roman"/>
        </w:rPr>
        <w:t>—</w:t>
      </w:r>
      <w:r w:rsidRPr="5CA9A013">
        <w:rPr>
          <w:rFonts w:eastAsia="Times New Roman"/>
        </w:rPr>
        <w:t>I mean alcohol type 47 and a beer and wine license.”</w:t>
      </w:r>
      <w:r w:rsidRPr="00B43BA3">
        <w:rPr>
          <w:rStyle w:val="FootnoteReference"/>
          <w:rFonts w:eastAsia="Times New Roman"/>
        </w:rPr>
        <w:t xml:space="preserve"> </w:t>
      </w:r>
      <w:r>
        <w:rPr>
          <w:rStyle w:val="FootnoteReference"/>
          <w:rFonts w:eastAsia="Times New Roman"/>
        </w:rPr>
        <w:footnoteReference w:id="21"/>
      </w:r>
      <w:r w:rsidRPr="5CA9A013">
        <w:rPr>
          <w:rFonts w:eastAsia="Times New Roman"/>
        </w:rPr>
        <w:t xml:space="preserve"> </w:t>
      </w:r>
      <w:r>
        <w:rPr>
          <w:rFonts w:eastAsia="Times New Roman"/>
        </w:rPr>
        <w:t xml:space="preserve"> </w:t>
      </w:r>
    </w:p>
    <w:p w:rsidR="007369FF" w:rsidRPr="0065724E" w:rsidP="003F45BE">
      <w:pPr>
        <w:spacing w:line="360" w:lineRule="auto"/>
        <w:ind w:firstLine="720"/>
        <w:rPr>
          <w:rFonts w:eastAsia="Times New Roman"/>
          <w:szCs w:val="26"/>
        </w:rPr>
      </w:pPr>
      <w:r w:rsidRPr="5CA9A013">
        <w:rPr>
          <w:rFonts w:eastAsia="Times New Roman"/>
        </w:rPr>
        <w:t xml:space="preserve">Hong’s testimony was substantial evidence supporting the jury’s verdict.  Additional support was provided by evidence of email correspondence around the time Hong entered the lease.  As </w:t>
      </w:r>
      <w:r>
        <w:rPr>
          <w:rFonts w:eastAsia="Times New Roman"/>
        </w:rPr>
        <w:t>previously indicated,</w:t>
      </w:r>
      <w:r w:rsidRPr="5CA9A013">
        <w:rPr>
          <w:rFonts w:eastAsia="Times New Roman"/>
          <w:b/>
          <w:bCs/>
        </w:rPr>
        <w:t xml:space="preserve"> </w:t>
      </w:r>
      <w:r>
        <w:rPr>
          <w:rFonts w:eastAsia="Times New Roman"/>
        </w:rPr>
        <w:t xml:space="preserve">on the day Hong signed the lease, </w:t>
      </w:r>
      <w:r w:rsidRPr="5CA9A013">
        <w:rPr>
          <w:rFonts w:eastAsia="Times New Roman"/>
        </w:rPr>
        <w:t>the broker she had hired informed her that she would not be able to “obtain Liquor license, at all”</w:t>
      </w:r>
      <w:r>
        <w:rPr>
          <w:rFonts w:eastAsia="Times New Roman"/>
        </w:rPr>
        <w:t xml:space="preserve"> and sent her the Department’s</w:t>
      </w:r>
      <w:r w:rsidRPr="5CA9A013">
        <w:rPr>
          <w:rFonts w:eastAsia="Times New Roman"/>
        </w:rPr>
        <w:t xml:space="preserve"> email stating that, according to the </w:t>
      </w:r>
      <w:r>
        <w:rPr>
          <w:rFonts w:eastAsia="Times New Roman"/>
        </w:rPr>
        <w:t>zoning administrator</w:t>
      </w:r>
      <w:r w:rsidRPr="5CA9A013">
        <w:rPr>
          <w:rFonts w:eastAsia="Times New Roman"/>
        </w:rPr>
        <w:t xml:space="preserve">, “the site will not be able to accommodate a new liquor license.”  Upset, because a restaurant cannot make a profit without selling alcohol, according to Hong’s testimony, she forwarded the email to </w:t>
      </w:r>
      <w:r>
        <w:rPr>
          <w:rFonts w:eastAsia="Times New Roman"/>
        </w:rPr>
        <w:t>Beverly</w:t>
      </w:r>
      <w:r w:rsidRPr="5CA9A013">
        <w:rPr>
          <w:rFonts w:eastAsia="Times New Roman"/>
        </w:rPr>
        <w:t xml:space="preserve">, who replied at 10:40 p.m., saying she was sending separate emails with “records of usage as a </w:t>
      </w:r>
      <w:r>
        <w:rPr>
          <w:rFonts w:eastAsia="Times New Roman"/>
        </w:rPr>
        <w:t>B</w:t>
      </w:r>
      <w:r w:rsidRPr="5CA9A013">
        <w:rPr>
          <w:rFonts w:eastAsia="Times New Roman"/>
        </w:rPr>
        <w:t>ar &amp; Restaurant,” and that “[a]ll of them had a type 47 hard liq. License” and the French restaurant was “approved for beer &amp; wine.”</w:t>
      </w:r>
      <w:r>
        <w:rPr>
          <w:rStyle w:val="FootnoteReference"/>
          <w:rFonts w:eastAsia="Times New Roman"/>
        </w:rPr>
        <w:footnoteReference w:id="22"/>
      </w:r>
      <w:r w:rsidRPr="5CA9A013">
        <w:rPr>
          <w:rFonts w:eastAsia="Times New Roman"/>
        </w:rPr>
        <w:t xml:space="preserve">  </w:t>
      </w:r>
      <w:r>
        <w:rPr>
          <w:rFonts w:eastAsia="Times New Roman"/>
        </w:rPr>
        <w:t>Beverly</w:t>
      </w:r>
      <w:r w:rsidRPr="5CA9A013">
        <w:rPr>
          <w:rFonts w:eastAsia="Times New Roman"/>
        </w:rPr>
        <w:t xml:space="preserve"> included a two-page list of building permit records for the premises, indicating owners and usage by all but one as “Bar &amp; Restaurant,” beginning with June 22, 1934, and ending with an October 7, 1999, record for The Field.  This list did not include subsequent records for the Field in 2003 and Le Bordeaux in 2011 that were included in the version of </w:t>
      </w:r>
      <w:r>
        <w:rPr>
          <w:rFonts w:eastAsia="Times New Roman"/>
        </w:rPr>
        <w:t>the</w:t>
      </w:r>
      <w:r w:rsidRPr="5CA9A013">
        <w:rPr>
          <w:rFonts w:eastAsia="Times New Roman"/>
        </w:rPr>
        <w:t xml:space="preserve"> list </w:t>
      </w:r>
      <w:r>
        <w:rPr>
          <w:rFonts w:eastAsia="Times New Roman"/>
        </w:rPr>
        <w:t>Beverly</w:t>
      </w:r>
      <w:r w:rsidRPr="5CA9A013">
        <w:rPr>
          <w:rFonts w:eastAsia="Times New Roman"/>
        </w:rPr>
        <w:t xml:space="preserve"> produced in discovery, and </w:t>
      </w:r>
      <w:r>
        <w:rPr>
          <w:rFonts w:eastAsia="Times New Roman"/>
        </w:rPr>
        <w:t>Hong</w:t>
      </w:r>
      <w:r w:rsidRPr="5CA9A013">
        <w:rPr>
          <w:rFonts w:eastAsia="Times New Roman"/>
        </w:rPr>
        <w:t xml:space="preserve"> argued at trial that the omission of page 3 from the document </w:t>
      </w:r>
      <w:r>
        <w:rPr>
          <w:rFonts w:eastAsia="Times New Roman"/>
        </w:rPr>
        <w:t>Beverly</w:t>
      </w:r>
      <w:r w:rsidRPr="5CA9A013">
        <w:rPr>
          <w:rFonts w:eastAsia="Times New Roman"/>
        </w:rPr>
        <w:t xml:space="preserve"> sent Hong was an attempt to hide the period of inactivity between The Field (1999) and Le Bordeaux (2011)</w:t>
      </w:r>
      <w:r>
        <w:rPr>
          <w:rFonts w:eastAsia="Times New Roman"/>
        </w:rPr>
        <w:t>.  Beverly</w:t>
      </w:r>
      <w:r w:rsidRPr="5CA9A013">
        <w:rPr>
          <w:rFonts w:eastAsia="Times New Roman"/>
        </w:rPr>
        <w:t xml:space="preserve"> denied this and testified the omission was unintentional</w:t>
      </w:r>
      <w:r>
        <w:rPr>
          <w:rFonts w:eastAsia="Times New Roman"/>
        </w:rPr>
        <w:t>,</w:t>
      </w:r>
      <w:r>
        <w:rPr>
          <w:rStyle w:val="FootnoteReference"/>
          <w:rFonts w:eastAsia="Times New Roman"/>
        </w:rPr>
        <w:footnoteReference w:id="23"/>
      </w:r>
      <w:r>
        <w:rPr>
          <w:rFonts w:eastAsia="Times New Roman"/>
        </w:rPr>
        <w:t xml:space="preserve"> but the jury was entitled to draw the inference against Beverly if it did not find her credible.</w:t>
      </w:r>
    </w:p>
    <w:p w:rsidR="007369FF" w:rsidRPr="0065724E" w:rsidP="003F45BE">
      <w:pPr>
        <w:spacing w:line="360" w:lineRule="auto"/>
        <w:ind w:firstLine="720"/>
        <w:rPr>
          <w:rFonts w:eastAsia="Times New Roman"/>
          <w:szCs w:val="26"/>
        </w:rPr>
      </w:pPr>
      <w:r>
        <w:rPr>
          <w:rFonts w:eastAsia="Times New Roman"/>
          <w:szCs w:val="26"/>
        </w:rPr>
        <w:t>Beverly</w:t>
      </w:r>
      <w:r w:rsidRPr="0065724E">
        <w:rPr>
          <w:rFonts w:eastAsia="Times New Roman"/>
          <w:szCs w:val="26"/>
        </w:rPr>
        <w:t xml:space="preserve"> argue</w:t>
      </w:r>
      <w:r>
        <w:rPr>
          <w:rFonts w:eastAsia="Times New Roman"/>
          <w:szCs w:val="26"/>
        </w:rPr>
        <w:t>s</w:t>
      </w:r>
      <w:r w:rsidRPr="0065724E">
        <w:rPr>
          <w:rFonts w:eastAsia="Times New Roman"/>
          <w:szCs w:val="26"/>
        </w:rPr>
        <w:t xml:space="preserve"> there was no evidence Hong saw this email before signing the lease on August 14, 2014.  But </w:t>
      </w:r>
      <w:r>
        <w:rPr>
          <w:rFonts w:eastAsia="Times New Roman"/>
          <w:szCs w:val="26"/>
        </w:rPr>
        <w:t>this</w:t>
      </w:r>
      <w:r w:rsidRPr="0065724E">
        <w:rPr>
          <w:rFonts w:eastAsia="Times New Roman"/>
          <w:szCs w:val="26"/>
        </w:rPr>
        <w:t xml:space="preserve"> ignore</w:t>
      </w:r>
      <w:r>
        <w:rPr>
          <w:rFonts w:eastAsia="Times New Roman"/>
          <w:szCs w:val="26"/>
        </w:rPr>
        <w:t>s</w:t>
      </w:r>
      <w:r w:rsidRPr="0065724E">
        <w:rPr>
          <w:rFonts w:eastAsia="Times New Roman"/>
          <w:szCs w:val="26"/>
        </w:rPr>
        <w:t xml:space="preserve"> the context.  </w:t>
      </w:r>
      <w:r>
        <w:rPr>
          <w:rFonts w:eastAsia="Times New Roman"/>
          <w:szCs w:val="26"/>
        </w:rPr>
        <w:t>Beverly</w:t>
      </w:r>
      <w:r w:rsidRPr="0065724E">
        <w:rPr>
          <w:rFonts w:eastAsia="Times New Roman"/>
          <w:szCs w:val="26"/>
        </w:rPr>
        <w:t>’s 10:40 p.m. email went on to say, “I have delayed executed [</w:t>
      </w:r>
      <w:r w:rsidRPr="004603B7">
        <w:rPr>
          <w:rFonts w:eastAsia="Times New Roman"/>
          <w:i/>
          <w:szCs w:val="26"/>
        </w:rPr>
        <w:t>sic</w:t>
      </w:r>
      <w:r w:rsidRPr="0065724E">
        <w:rPr>
          <w:rFonts w:eastAsia="Times New Roman"/>
          <w:szCs w:val="26"/>
        </w:rPr>
        <w:t>] the Lease yet or deposited your check because of your phone call.  The space may not be right for you.  [¶] Please take a few days to think about it.  I will get your check back to you right away.  I will wait to hear from you</w:t>
      </w:r>
      <w:r>
        <w:rPr>
          <w:rFonts w:eastAsia="Times New Roman"/>
          <w:szCs w:val="26"/>
        </w:rPr>
        <w:t>.</w:t>
      </w:r>
      <w:r w:rsidRPr="0065724E">
        <w:rPr>
          <w:rFonts w:eastAsia="Times New Roman"/>
          <w:szCs w:val="26"/>
        </w:rPr>
        <w:t xml:space="preserve">”  This email may or may not have induced Hong’s initial signing, but it definitely preceded actual execution of the lease, which did not occur until </w:t>
      </w:r>
      <w:r>
        <w:rPr>
          <w:rFonts w:eastAsia="Times New Roman"/>
          <w:szCs w:val="26"/>
        </w:rPr>
        <w:t>Beverly</w:t>
      </w:r>
      <w:r w:rsidRPr="0065724E">
        <w:rPr>
          <w:rFonts w:eastAsia="Times New Roman"/>
          <w:szCs w:val="26"/>
        </w:rPr>
        <w:t xml:space="preserve"> signed it on August 17, 2014.  The email offered Hong an out, telling her the lease was not yet effective, and thus could be viewed as inducement for Hong to proceed with the lease after </w:t>
      </w:r>
      <w:r>
        <w:rPr>
          <w:rFonts w:eastAsia="Times New Roman"/>
          <w:szCs w:val="26"/>
        </w:rPr>
        <w:t>she</w:t>
      </w:r>
      <w:r w:rsidRPr="0065724E">
        <w:rPr>
          <w:rFonts w:eastAsia="Times New Roman"/>
          <w:szCs w:val="26"/>
        </w:rPr>
        <w:t xml:space="preserve"> expressed concerns. </w:t>
      </w:r>
    </w:p>
    <w:p w:rsidR="007369FF" w:rsidRPr="0065724E" w:rsidP="003F45BE">
      <w:pPr>
        <w:spacing w:line="360" w:lineRule="auto"/>
        <w:ind w:firstLine="720"/>
        <w:rPr>
          <w:rFonts w:eastAsia="Times New Roman"/>
          <w:szCs w:val="26"/>
        </w:rPr>
      </w:pPr>
      <w:r>
        <w:rPr>
          <w:rFonts w:eastAsia="Times New Roman"/>
        </w:rPr>
        <w:t>Beverly</w:t>
      </w:r>
      <w:r w:rsidRPr="5CA9A013">
        <w:rPr>
          <w:rFonts w:eastAsia="Times New Roman"/>
        </w:rPr>
        <w:t xml:space="preserve"> also argue</w:t>
      </w:r>
      <w:r>
        <w:rPr>
          <w:rFonts w:eastAsia="Times New Roman"/>
        </w:rPr>
        <w:t>s</w:t>
      </w:r>
      <w:r w:rsidRPr="5CA9A013">
        <w:rPr>
          <w:rFonts w:eastAsia="Times New Roman"/>
        </w:rPr>
        <w:t xml:space="preserve"> that the representation that Le Bordeaux was “approved for beer &amp; wine” was true.  This may be technically </w:t>
      </w:r>
      <w:r>
        <w:rPr>
          <w:rFonts w:eastAsia="Times New Roman"/>
        </w:rPr>
        <w:t>correct</w:t>
      </w:r>
      <w:r w:rsidRPr="5CA9A013">
        <w:rPr>
          <w:rFonts w:eastAsia="Times New Roman"/>
        </w:rPr>
        <w:t xml:space="preserve">:  The license had been approved but not issued.  Hong testified that she understood the email as assuring her Le Bordeaux had a liquor license, that the documents attached to the email were supposed to show “that previous restaurant, except Le Bordeaux, they all had Type 47 liquor license” and “also according to her, Le Bordeaux has Type 41 beer and wine license.”  </w:t>
      </w:r>
      <w:r>
        <w:rPr>
          <w:rFonts w:eastAsia="Times New Roman"/>
        </w:rPr>
        <w:t>Since</w:t>
      </w:r>
      <w:r w:rsidRPr="5CA9A013">
        <w:rPr>
          <w:rFonts w:eastAsia="Times New Roman"/>
        </w:rPr>
        <w:t xml:space="preserve"> the critical question was whether the restaurant in fact had a liquor license, the representation was at best misleading, implying that the restaurant </w:t>
      </w:r>
      <w:r>
        <w:rPr>
          <w:rFonts w:eastAsia="Times New Roman"/>
        </w:rPr>
        <w:t>actually</w:t>
      </w:r>
      <w:r w:rsidRPr="5CA9A013">
        <w:rPr>
          <w:rFonts w:eastAsia="Times New Roman"/>
        </w:rPr>
        <w:t xml:space="preserve"> had a license despite not expressly saying so, and the jury could reasonably accept Hong’s understanding.</w:t>
      </w:r>
      <w:r>
        <w:rPr>
          <w:rStyle w:val="FootnoteReference"/>
          <w:rFonts w:eastAsia="Times New Roman"/>
        </w:rPr>
        <w:footnoteReference w:id="24"/>
      </w:r>
      <w:r w:rsidRPr="5CA9A013">
        <w:rPr>
          <w:rFonts w:eastAsia="Times New Roman"/>
        </w:rPr>
        <w:t xml:space="preserve"> </w:t>
      </w:r>
    </w:p>
    <w:p w:rsidR="007369FF" w:rsidRPr="0065724E" w:rsidP="003F45BE">
      <w:pPr>
        <w:spacing w:line="360" w:lineRule="auto"/>
        <w:ind w:firstLine="720"/>
        <w:rPr>
          <w:rFonts w:eastAsia="Times New Roman"/>
          <w:i/>
          <w:iCs/>
          <w:color w:val="000000" w:themeColor="text1"/>
          <w:szCs w:val="26"/>
        </w:rPr>
      </w:pPr>
      <w:r>
        <w:rPr>
          <w:rFonts w:eastAsia="Times New Roman"/>
          <w:szCs w:val="26"/>
        </w:rPr>
        <w:t>Beverly</w:t>
      </w:r>
      <w:r w:rsidRPr="0065724E">
        <w:rPr>
          <w:rFonts w:eastAsia="Times New Roman"/>
          <w:szCs w:val="26"/>
        </w:rPr>
        <w:t xml:space="preserve"> further contend</w:t>
      </w:r>
      <w:r>
        <w:rPr>
          <w:rFonts w:eastAsia="Times New Roman"/>
          <w:szCs w:val="26"/>
        </w:rPr>
        <w:t>s</w:t>
      </w:r>
      <w:r w:rsidRPr="0065724E">
        <w:rPr>
          <w:rFonts w:eastAsia="Times New Roman"/>
          <w:szCs w:val="26"/>
        </w:rPr>
        <w:t xml:space="preserve"> the evidence does not support a finding of justifiable reliance.  “</w:t>
      </w:r>
      <w:r w:rsidRPr="0065724E">
        <w:rPr>
          <w:rFonts w:eastAsia="Times New Roman"/>
          <w:color w:val="000000" w:themeColor="text1"/>
          <w:szCs w:val="26"/>
        </w:rPr>
        <w:t>A plaintiff establishes reliance ‘when the misrepresentation or nondisclosure was an immediate cause of the plaintiff</w:t>
      </w:r>
      <w:r>
        <w:rPr>
          <w:rFonts w:eastAsia="Times New Roman"/>
          <w:color w:val="000000" w:themeColor="text1"/>
          <w:szCs w:val="26"/>
        </w:rPr>
        <w:t>’</w:t>
      </w:r>
      <w:r w:rsidRPr="0065724E">
        <w:rPr>
          <w:rFonts w:eastAsia="Times New Roman"/>
          <w:color w:val="000000" w:themeColor="text1"/>
          <w:szCs w:val="26"/>
        </w:rPr>
        <w:t xml:space="preserve">s conduct which altered his or her legal relations, and when without such misrepresentation or nondisclosure he or she would not, in all reasonable probability, have entered into the contract or other transaction. </w:t>
      </w:r>
      <w:r>
        <w:rPr>
          <w:rFonts w:eastAsia="Times New Roman"/>
          <w:color w:val="000000" w:themeColor="text1"/>
          <w:szCs w:val="26"/>
        </w:rPr>
        <w:t xml:space="preserve"> </w:t>
      </w:r>
      <w:r w:rsidRPr="0065724E">
        <w:rPr>
          <w:rFonts w:eastAsia="Times New Roman"/>
          <w:color w:val="000000" w:themeColor="text1"/>
          <w:szCs w:val="26"/>
        </w:rPr>
        <w:t>[Citations.]’ (</w:t>
      </w:r>
      <w:r w:rsidRPr="0065724E">
        <w:rPr>
          <w:rFonts w:eastAsia="Times New Roman"/>
          <w:i/>
          <w:iCs/>
          <w:color w:val="000000" w:themeColor="text1"/>
          <w:szCs w:val="26"/>
        </w:rPr>
        <w:t>Alliance Mortgage, supra,</w:t>
      </w:r>
      <w:r w:rsidRPr="0065724E">
        <w:rPr>
          <w:rFonts w:eastAsia="Times New Roman"/>
          <w:color w:val="000000" w:themeColor="text1"/>
          <w:szCs w:val="26"/>
        </w:rPr>
        <w:t xml:space="preserve"> 10 Cal.4th at p. 1239; see CACI No. 1907 (2013 ed.) [reliance shown if misrepresentation, concealment or false promise ‘substantially influenced’ plaintiff and he or she ‘would probably not have’ acted absent it].”  (</w:t>
      </w:r>
      <w:r w:rsidRPr="0065724E">
        <w:rPr>
          <w:rFonts w:eastAsia="Times New Roman"/>
          <w:i/>
          <w:iCs/>
          <w:color w:val="000000" w:themeColor="text1"/>
          <w:szCs w:val="26"/>
        </w:rPr>
        <w:t xml:space="preserve">Hoffman v. 162 North Wolfe LLC </w:t>
      </w:r>
      <w:r w:rsidRPr="0065724E">
        <w:rPr>
          <w:rFonts w:eastAsia="Times New Roman"/>
          <w:color w:val="000000" w:themeColor="text1"/>
          <w:szCs w:val="26"/>
        </w:rPr>
        <w:t>(2014) 228 Cal.App.4th 1178, 1193 (</w:t>
      </w:r>
      <w:r w:rsidRPr="0065724E">
        <w:rPr>
          <w:rFonts w:eastAsia="Times New Roman"/>
          <w:i/>
          <w:iCs/>
          <w:color w:val="000000" w:themeColor="text1"/>
          <w:szCs w:val="26"/>
        </w:rPr>
        <w:t>Hoffman</w:t>
      </w:r>
      <w:r w:rsidRPr="0065724E">
        <w:rPr>
          <w:rFonts w:eastAsia="Times New Roman"/>
          <w:color w:val="000000" w:themeColor="text1"/>
          <w:szCs w:val="26"/>
        </w:rPr>
        <w:t>)</w:t>
      </w:r>
      <w:r w:rsidRPr="0065724E">
        <w:rPr>
          <w:rFonts w:eastAsia="Times New Roman"/>
          <w:i/>
          <w:iCs/>
          <w:color w:val="000000" w:themeColor="text1"/>
          <w:szCs w:val="26"/>
        </w:rPr>
        <w:t>.</w:t>
      </w:r>
      <w:r w:rsidRPr="00CD0DA7">
        <w:rPr>
          <w:rFonts w:eastAsia="Times New Roman"/>
          <w:iCs/>
          <w:color w:val="000000" w:themeColor="text1"/>
          <w:szCs w:val="26"/>
        </w:rPr>
        <w:t>)</w:t>
      </w:r>
    </w:p>
    <w:p w:rsidR="007369FF" w:rsidRPr="0065724E" w:rsidP="003F45BE">
      <w:pPr>
        <w:spacing w:line="360" w:lineRule="auto"/>
        <w:ind w:firstLine="720"/>
        <w:rPr>
          <w:rFonts w:eastAsia="Times New Roman"/>
          <w:i/>
          <w:iCs/>
          <w:color w:val="000000" w:themeColor="text1"/>
          <w:szCs w:val="26"/>
        </w:rPr>
      </w:pPr>
      <w:r w:rsidRPr="0065724E">
        <w:rPr>
          <w:rFonts w:eastAsia="Times New Roman"/>
          <w:color w:val="000000" w:themeColor="text1"/>
          <w:szCs w:val="26"/>
        </w:rPr>
        <w:t>“After establishing actual reliance, the plaintiff must show that the reliance was reasonable by showing that (1) the matter was material in the sense that a reasonable person would find it important in determining how he or she would act (</w:t>
      </w:r>
      <w:r w:rsidRPr="0065724E">
        <w:rPr>
          <w:rFonts w:eastAsia="Times New Roman"/>
          <w:i/>
          <w:iCs/>
          <w:color w:val="000000" w:themeColor="text1"/>
          <w:szCs w:val="26"/>
        </w:rPr>
        <w:t>Charpentier v. Los Angeles Rams Football Co.</w:t>
      </w:r>
      <w:r w:rsidRPr="0065724E">
        <w:rPr>
          <w:rFonts w:eastAsia="Times New Roman"/>
          <w:color w:val="000000" w:themeColor="text1"/>
          <w:szCs w:val="26"/>
        </w:rPr>
        <w:t xml:space="preserve"> (1999) 75 Cal.App.4th 301, 313); and (2) it was reasonable for the plaintiff to have relied on the misrepresentation.</w:t>
      </w:r>
      <w:r>
        <w:rPr>
          <w:rFonts w:eastAsia="Times New Roman"/>
          <w:color w:val="000000" w:themeColor="text1"/>
          <w:szCs w:val="26"/>
        </w:rPr>
        <w:t xml:space="preserve"> </w:t>
      </w:r>
      <w:r w:rsidRPr="0065724E">
        <w:rPr>
          <w:rFonts w:eastAsia="Times New Roman"/>
          <w:color w:val="000000" w:themeColor="text1"/>
          <w:szCs w:val="26"/>
        </w:rPr>
        <w:t xml:space="preserve"> (</w:t>
      </w:r>
      <w:r w:rsidRPr="0065724E">
        <w:rPr>
          <w:rFonts w:eastAsia="Times New Roman"/>
          <w:i/>
          <w:iCs/>
          <w:color w:val="000000" w:themeColor="text1"/>
          <w:szCs w:val="26"/>
        </w:rPr>
        <w:t>Blankenheim v. E. F. Hutton &amp; Co.</w:t>
      </w:r>
      <w:r w:rsidRPr="0065724E">
        <w:rPr>
          <w:rFonts w:eastAsia="Times New Roman"/>
          <w:color w:val="000000" w:themeColor="text1"/>
          <w:szCs w:val="26"/>
        </w:rPr>
        <w:t xml:space="preserve"> (1990) 217 Cal.App.3d 1463, 1475; see CACI No. 1908 (2013 ed.).)”  </w:t>
      </w:r>
      <w:r w:rsidRPr="0065724E">
        <w:rPr>
          <w:rFonts w:eastAsia="Times New Roman"/>
          <w:i/>
          <w:iCs/>
          <w:color w:val="000000" w:themeColor="text1"/>
          <w:szCs w:val="26"/>
        </w:rPr>
        <w:t xml:space="preserve">(Hoffman, supra, </w:t>
      </w:r>
      <w:r>
        <w:rPr>
          <w:rFonts w:eastAsia="Times New Roman"/>
          <w:iCs/>
          <w:color w:val="000000" w:themeColor="text1"/>
          <w:szCs w:val="26"/>
        </w:rPr>
        <w:t xml:space="preserve">228 Cal.App.4th </w:t>
      </w:r>
      <w:r w:rsidRPr="0065724E">
        <w:rPr>
          <w:rFonts w:eastAsia="Times New Roman"/>
          <w:color w:val="000000" w:themeColor="text1"/>
          <w:szCs w:val="26"/>
        </w:rPr>
        <w:t>at p. 1193.).</w:t>
      </w:r>
      <w:r>
        <w:rPr>
          <w:rFonts w:eastAsia="Times New Roman"/>
          <w:color w:val="000000" w:themeColor="text1"/>
          <w:szCs w:val="26"/>
        </w:rPr>
        <w:t xml:space="preserve"> </w:t>
      </w:r>
      <w:r w:rsidRPr="0065724E">
        <w:rPr>
          <w:rFonts w:eastAsia="Times New Roman"/>
          <w:color w:val="000000" w:themeColor="text1"/>
          <w:szCs w:val="26"/>
        </w:rPr>
        <w:t xml:space="preserve"> “ ‘Negligence on the part of the plaintiff in failing to discover the falsity of a statement is no defense when the misrepresentation was intentional rather than negligent.’</w:t>
      </w:r>
      <w:r>
        <w:rPr>
          <w:rFonts w:eastAsia="Times New Roman"/>
          <w:color w:val="000000" w:themeColor="text1"/>
          <w:szCs w:val="26"/>
        </w:rPr>
        <w:t xml:space="preserve"> </w:t>
      </w:r>
      <w:r w:rsidRPr="0065724E">
        <w:rPr>
          <w:rFonts w:eastAsia="Times New Roman"/>
          <w:color w:val="000000" w:themeColor="text1"/>
          <w:szCs w:val="26"/>
        </w:rPr>
        <w:t xml:space="preserve">” </w:t>
      </w:r>
      <w:r>
        <w:rPr>
          <w:rFonts w:eastAsia="Times New Roman"/>
          <w:color w:val="000000" w:themeColor="text1"/>
          <w:szCs w:val="26"/>
        </w:rPr>
        <w:t xml:space="preserve"> </w:t>
      </w:r>
      <w:r w:rsidRPr="0065724E">
        <w:rPr>
          <w:rFonts w:eastAsia="Times New Roman"/>
          <w:color w:val="000000" w:themeColor="text1"/>
          <w:szCs w:val="26"/>
        </w:rPr>
        <w:t>(</w:t>
      </w:r>
      <w:r w:rsidRPr="0065724E">
        <w:rPr>
          <w:rFonts w:eastAsia="Times New Roman"/>
          <w:i/>
          <w:iCs/>
          <w:color w:val="000000" w:themeColor="text1"/>
          <w:szCs w:val="26"/>
        </w:rPr>
        <w:t xml:space="preserve">Alliance Mortgage, supra, </w:t>
      </w:r>
      <w:r w:rsidRPr="0065724E">
        <w:rPr>
          <w:rFonts w:eastAsia="Times New Roman"/>
          <w:color w:val="000000" w:themeColor="text1"/>
          <w:szCs w:val="26"/>
        </w:rPr>
        <w:t>10 Cal.4th at p</w:t>
      </w:r>
      <w:r>
        <w:rPr>
          <w:rFonts w:eastAsia="Times New Roman"/>
          <w:color w:val="000000" w:themeColor="text1"/>
          <w:szCs w:val="26"/>
        </w:rPr>
        <w:t>p</w:t>
      </w:r>
      <w:r w:rsidRPr="0065724E">
        <w:rPr>
          <w:rFonts w:eastAsia="Times New Roman"/>
          <w:color w:val="000000" w:themeColor="text1"/>
          <w:szCs w:val="26"/>
        </w:rPr>
        <w:t>.</w:t>
      </w:r>
      <w:r>
        <w:rPr>
          <w:rFonts w:eastAsia="Times New Roman"/>
          <w:color w:val="000000" w:themeColor="text1"/>
          <w:szCs w:val="26"/>
        </w:rPr>
        <w:t> </w:t>
      </w:r>
      <w:r w:rsidRPr="0065724E">
        <w:rPr>
          <w:rFonts w:eastAsia="Times New Roman"/>
          <w:color w:val="000000" w:themeColor="text1"/>
          <w:szCs w:val="26"/>
        </w:rPr>
        <w:t>1239</w:t>
      </w:r>
      <w:r>
        <w:t>–</w:t>
      </w:r>
      <w:r w:rsidRPr="0065724E">
        <w:rPr>
          <w:rFonts w:eastAsia="Times New Roman"/>
          <w:color w:val="000000" w:themeColor="text1"/>
          <w:szCs w:val="26"/>
        </w:rPr>
        <w:t>1240,</w:t>
      </w:r>
      <w:r w:rsidRPr="0065724E">
        <w:rPr>
          <w:rFonts w:eastAsia="Times New Roman"/>
          <w:i/>
          <w:iCs/>
          <w:color w:val="000000" w:themeColor="text1"/>
          <w:szCs w:val="26"/>
        </w:rPr>
        <w:t xml:space="preserve"> </w:t>
      </w:r>
      <w:r w:rsidRPr="0065724E">
        <w:rPr>
          <w:rFonts w:eastAsia="Times New Roman"/>
          <w:color w:val="000000" w:themeColor="text1"/>
          <w:szCs w:val="26"/>
        </w:rPr>
        <w:t xml:space="preserve">quoting </w:t>
      </w:r>
      <w:r w:rsidRPr="0065724E">
        <w:rPr>
          <w:rFonts w:eastAsia="Times New Roman"/>
          <w:i/>
          <w:iCs/>
          <w:color w:val="000000" w:themeColor="text1"/>
          <w:szCs w:val="26"/>
        </w:rPr>
        <w:t>Seeger v. Odell</w:t>
      </w:r>
      <w:r w:rsidRPr="0065724E">
        <w:rPr>
          <w:rFonts w:eastAsia="Times New Roman"/>
          <w:color w:val="000000" w:themeColor="text1"/>
          <w:szCs w:val="26"/>
        </w:rPr>
        <w:t xml:space="preserve">, </w:t>
      </w:r>
      <w:r w:rsidRPr="0065724E">
        <w:rPr>
          <w:rFonts w:eastAsia="Times New Roman"/>
          <w:i/>
          <w:iCs/>
          <w:color w:val="000000" w:themeColor="text1"/>
          <w:szCs w:val="26"/>
        </w:rPr>
        <w:t>supra</w:t>
      </w:r>
      <w:r w:rsidRPr="0065724E">
        <w:rPr>
          <w:rFonts w:eastAsia="Times New Roman"/>
          <w:color w:val="000000" w:themeColor="text1"/>
          <w:szCs w:val="26"/>
        </w:rPr>
        <w:t>, 18 Cal.2d at p. 414 (</w:t>
      </w:r>
      <w:r w:rsidRPr="0065724E">
        <w:rPr>
          <w:rFonts w:eastAsia="Times New Roman"/>
          <w:i/>
          <w:iCs/>
          <w:color w:val="000000" w:themeColor="text1"/>
          <w:szCs w:val="26"/>
        </w:rPr>
        <w:t>Seeger</w:t>
      </w:r>
      <w:r w:rsidRPr="0065724E">
        <w:rPr>
          <w:rFonts w:eastAsia="Times New Roman"/>
          <w:color w:val="000000" w:themeColor="text1"/>
          <w:szCs w:val="26"/>
        </w:rPr>
        <w:t>)</w:t>
      </w:r>
      <w:r w:rsidRPr="0065724E">
        <w:rPr>
          <w:rFonts w:eastAsia="Times New Roman"/>
          <w:i/>
          <w:iCs/>
          <w:color w:val="000000" w:themeColor="text1"/>
          <w:szCs w:val="26"/>
        </w:rPr>
        <w:t>.</w:t>
      </w:r>
      <w:r w:rsidRPr="0065724E">
        <w:rPr>
          <w:rFonts w:eastAsia="Times New Roman"/>
          <w:color w:val="000000" w:themeColor="text1"/>
          <w:szCs w:val="26"/>
        </w:rPr>
        <w:t>)  But “a plaintiff</w:t>
      </w:r>
      <w:r>
        <w:rPr>
          <w:rFonts w:eastAsia="Times New Roman"/>
          <w:color w:val="000000" w:themeColor="text1"/>
          <w:szCs w:val="26"/>
        </w:rPr>
        <w:t>’</w:t>
      </w:r>
      <w:r w:rsidRPr="0065724E">
        <w:rPr>
          <w:rFonts w:eastAsia="Times New Roman"/>
          <w:color w:val="000000" w:themeColor="text1"/>
          <w:szCs w:val="26"/>
        </w:rPr>
        <w:t>s particular knowledge and experience should be considered in determining whether the reliance upon the misrepresentation or nondisclosure was justified.  (</w:t>
      </w:r>
      <w:r w:rsidRPr="00451CF2">
        <w:rPr>
          <w:rFonts w:eastAsia="Times New Roman"/>
          <w:iCs/>
          <w:color w:val="000000" w:themeColor="text1"/>
          <w:szCs w:val="26"/>
        </w:rPr>
        <w:t>[</w:t>
      </w:r>
      <w:r>
        <w:rPr>
          <w:rFonts w:eastAsia="Times New Roman"/>
          <w:i/>
          <w:iCs/>
          <w:color w:val="000000" w:themeColor="text1"/>
          <w:szCs w:val="26"/>
        </w:rPr>
        <w:t>Alliance Mortgage</w:t>
      </w:r>
      <w:r w:rsidRPr="00451CF2">
        <w:rPr>
          <w:rFonts w:eastAsia="Times New Roman"/>
          <w:iCs/>
          <w:color w:val="000000" w:themeColor="text1"/>
          <w:szCs w:val="26"/>
        </w:rPr>
        <w:t>,]</w:t>
      </w:r>
      <w:r w:rsidRPr="0065724E">
        <w:rPr>
          <w:rFonts w:eastAsia="Times New Roman"/>
          <w:color w:val="000000" w:themeColor="text1"/>
          <w:szCs w:val="26"/>
        </w:rPr>
        <w:t xml:space="preserve"> at p.</w:t>
      </w:r>
      <w:r>
        <w:rPr>
          <w:rFonts w:eastAsia="Times New Roman"/>
          <w:color w:val="000000" w:themeColor="text1"/>
          <w:szCs w:val="26"/>
        </w:rPr>
        <w:t> </w:t>
      </w:r>
      <w:r w:rsidRPr="0065724E">
        <w:rPr>
          <w:rFonts w:eastAsia="Times New Roman"/>
          <w:color w:val="000000" w:themeColor="text1"/>
          <w:szCs w:val="26"/>
        </w:rPr>
        <w:t xml:space="preserve">1240, ; see CACI No. 1908 (2013 ed.).) </w:t>
      </w:r>
      <w:r>
        <w:rPr>
          <w:rFonts w:eastAsia="Times New Roman"/>
          <w:color w:val="000000" w:themeColor="text1"/>
          <w:szCs w:val="26"/>
        </w:rPr>
        <w:t xml:space="preserve"> </w:t>
      </w:r>
      <w:r w:rsidRPr="0065724E">
        <w:rPr>
          <w:rFonts w:eastAsia="Times New Roman"/>
          <w:color w:val="000000" w:themeColor="text1"/>
          <w:szCs w:val="26"/>
        </w:rPr>
        <w:t xml:space="preserve">‘If the conduct of the plaintiff in the light of his own intelligence and information was manifestly unreasonable </w:t>
      </w:r>
      <w:r>
        <w:rPr>
          <w:rFonts w:eastAsia="Times New Roman"/>
          <w:color w:val="000000" w:themeColor="text1"/>
          <w:szCs w:val="26"/>
        </w:rPr>
        <w:t>. . .</w:t>
      </w:r>
      <w:r w:rsidRPr="0065724E">
        <w:rPr>
          <w:rFonts w:eastAsia="Times New Roman"/>
          <w:color w:val="000000" w:themeColor="text1"/>
          <w:szCs w:val="26"/>
        </w:rPr>
        <w:t xml:space="preserve"> he will be denied a recovery.’</w:t>
      </w:r>
      <w:r>
        <w:rPr>
          <w:rFonts w:eastAsia="Times New Roman"/>
          <w:color w:val="000000" w:themeColor="text1"/>
          <w:szCs w:val="26"/>
        </w:rPr>
        <w:t xml:space="preserve"> </w:t>
      </w:r>
      <w:r w:rsidRPr="0065724E">
        <w:rPr>
          <w:rFonts w:eastAsia="Times New Roman"/>
          <w:color w:val="000000" w:themeColor="text1"/>
          <w:szCs w:val="26"/>
        </w:rPr>
        <w:t>”  (</w:t>
      </w:r>
      <w:r w:rsidRPr="0065724E">
        <w:rPr>
          <w:rFonts w:eastAsia="Times New Roman"/>
          <w:i/>
          <w:iCs/>
          <w:color w:val="000000" w:themeColor="text1"/>
          <w:szCs w:val="26"/>
        </w:rPr>
        <w:t xml:space="preserve">Hoffman, </w:t>
      </w:r>
      <w:r w:rsidRPr="0065724E">
        <w:rPr>
          <w:rFonts w:eastAsia="Times New Roman"/>
          <w:color w:val="000000" w:themeColor="text1"/>
          <w:szCs w:val="26"/>
        </w:rPr>
        <w:t xml:space="preserve">at p. 1194, quoting </w:t>
      </w:r>
      <w:r w:rsidRPr="0065724E">
        <w:rPr>
          <w:rFonts w:eastAsia="Times New Roman"/>
          <w:i/>
          <w:iCs/>
          <w:color w:val="000000" w:themeColor="text1"/>
          <w:szCs w:val="26"/>
        </w:rPr>
        <w:t xml:space="preserve">Seeger, </w:t>
      </w:r>
      <w:r w:rsidRPr="0065724E">
        <w:rPr>
          <w:rFonts w:eastAsia="Times New Roman"/>
          <w:color w:val="000000" w:themeColor="text1"/>
          <w:szCs w:val="26"/>
        </w:rPr>
        <w:t>at p. 414.)</w:t>
      </w:r>
    </w:p>
    <w:p w:rsidR="007369FF" w:rsidRPr="0065724E" w:rsidP="003F45BE">
      <w:pPr>
        <w:spacing w:line="360" w:lineRule="auto"/>
        <w:ind w:firstLine="720"/>
        <w:rPr>
          <w:rFonts w:eastAsia="Times New Roman"/>
          <w:szCs w:val="26"/>
        </w:rPr>
      </w:pPr>
      <w:r>
        <w:rPr>
          <w:rFonts w:eastAsia="Times New Roman"/>
        </w:rPr>
        <w:t>Beverly</w:t>
      </w:r>
      <w:r w:rsidRPr="5CA9A013">
        <w:rPr>
          <w:rFonts w:eastAsia="Times New Roman"/>
        </w:rPr>
        <w:t xml:space="preserve"> argue</w:t>
      </w:r>
      <w:r>
        <w:rPr>
          <w:rFonts w:eastAsia="Times New Roman"/>
        </w:rPr>
        <w:t>s</w:t>
      </w:r>
      <w:r w:rsidRPr="5CA9A013">
        <w:rPr>
          <w:rFonts w:eastAsia="Times New Roman"/>
        </w:rPr>
        <w:t xml:space="preserve"> that Hong already owned a restaurant and was familiar with “the required approvals”</w:t>
      </w:r>
      <w:r>
        <w:rPr>
          <w:rFonts w:eastAsia="Times New Roman"/>
        </w:rPr>
        <w:t>;</w:t>
      </w:r>
      <w:r w:rsidRPr="5CA9A013">
        <w:rPr>
          <w:rFonts w:eastAsia="Times New Roman"/>
        </w:rPr>
        <w:t xml:space="preserve"> that she was expressly informed by her broker that the Department would not approve an alcohol license for the new restaurant yet did nothing to investigate further, despite </w:t>
      </w:r>
      <w:r>
        <w:rPr>
          <w:rFonts w:eastAsia="Times New Roman"/>
        </w:rPr>
        <w:t>Beverly</w:t>
      </w:r>
      <w:r w:rsidRPr="5CA9A013">
        <w:rPr>
          <w:rFonts w:eastAsia="Times New Roman"/>
        </w:rPr>
        <w:t xml:space="preserve"> urging her to take a few days to think about whether the space was right for her</w:t>
      </w:r>
      <w:r>
        <w:rPr>
          <w:rFonts w:eastAsia="Times New Roman"/>
        </w:rPr>
        <w:t>;</w:t>
      </w:r>
      <w:r w:rsidRPr="5CA9A013">
        <w:rPr>
          <w:rFonts w:eastAsia="Times New Roman"/>
        </w:rPr>
        <w:t xml:space="preserve"> and that the lease contained disclaimers stating that “the property was being provided ‘as is,’ without any representations, and recognizing that approvals might not be obtained.”</w:t>
      </w:r>
      <w:r>
        <w:rPr>
          <w:rStyle w:val="FootnoteReference"/>
          <w:rFonts w:eastAsia="Times New Roman"/>
        </w:rPr>
        <w:footnoteReference w:id="25"/>
      </w:r>
    </w:p>
    <w:p w:rsidR="0C394ECD" w:rsidRPr="0065724E" w:rsidP="003F45BE">
      <w:pPr>
        <w:spacing w:line="360" w:lineRule="auto"/>
        <w:ind w:firstLine="720"/>
        <w:rPr>
          <w:rFonts w:eastAsia="Times New Roman"/>
          <w:color w:val="000000" w:themeColor="text1"/>
          <w:szCs w:val="26"/>
        </w:rPr>
      </w:pPr>
      <w:r w:rsidRPr="5CA9A013">
        <w:rPr>
          <w:rFonts w:eastAsia="Times New Roman"/>
        </w:rPr>
        <w:t>Such disclaimers in a contract “</w:t>
      </w:r>
      <w:r w:rsidRPr="5CA9A013">
        <w:rPr>
          <w:rFonts w:eastAsia="Times New Roman"/>
          <w:color w:val="000000" w:themeColor="text1"/>
        </w:rPr>
        <w:t>do not operate to insulate defrauding parties from liability.”  (</w:t>
      </w:r>
      <w:r w:rsidRPr="5CA9A013">
        <w:rPr>
          <w:rFonts w:eastAsia="Times New Roman"/>
          <w:i/>
          <w:iCs/>
          <w:color w:val="000000" w:themeColor="text1"/>
        </w:rPr>
        <w:t xml:space="preserve">Orozco v. WPV San Jose, LLC </w:t>
      </w:r>
      <w:r w:rsidRPr="5CA9A013">
        <w:rPr>
          <w:rFonts w:eastAsia="Times New Roman"/>
          <w:color w:val="000000" w:themeColor="text1"/>
        </w:rPr>
        <w:t xml:space="preserve">(2019) 36 Cal.App.5th 375, </w:t>
      </w:r>
      <w:r>
        <w:rPr>
          <w:rFonts w:eastAsia="Times New Roman"/>
          <w:color w:val="000000" w:themeColor="text1"/>
        </w:rPr>
        <w:t>393</w:t>
      </w:r>
      <w:r w:rsidRPr="5CA9A013">
        <w:rPr>
          <w:rFonts w:eastAsia="Times New Roman"/>
          <w:color w:val="000000" w:themeColor="text1"/>
        </w:rPr>
        <w:t xml:space="preserve">; </w:t>
      </w:r>
      <w:r w:rsidRPr="5CA9A013">
        <w:rPr>
          <w:rFonts w:eastAsia="Times New Roman"/>
          <w:i/>
          <w:iCs/>
          <w:color w:val="000000" w:themeColor="text1"/>
        </w:rPr>
        <w:t>McClain v. Octagon Plaza, LLC</w:t>
      </w:r>
      <w:r w:rsidRPr="5CA9A013">
        <w:rPr>
          <w:rFonts w:eastAsia="Times New Roman"/>
          <w:color w:val="000000" w:themeColor="text1"/>
        </w:rPr>
        <w:t xml:space="preserve"> (2008) 159 Cal.App.4th 784, 794</w:t>
      </w:r>
      <w:r>
        <w:t>–</w:t>
      </w:r>
      <w:r w:rsidRPr="5CA9A013">
        <w:rPr>
          <w:rFonts w:eastAsia="Times New Roman"/>
          <w:color w:val="000000" w:themeColor="text1"/>
        </w:rPr>
        <w:t>795</w:t>
      </w:r>
      <w:r>
        <w:rPr>
          <w:rFonts w:eastAsia="Times New Roman"/>
          <w:color w:val="000000" w:themeColor="text1"/>
        </w:rPr>
        <w:t xml:space="preserve"> (</w:t>
      </w:r>
      <w:r w:rsidRPr="006132D4">
        <w:rPr>
          <w:rFonts w:eastAsia="Times New Roman"/>
          <w:i/>
          <w:color w:val="000000" w:themeColor="text1"/>
        </w:rPr>
        <w:t>McClain</w:t>
      </w:r>
      <w:r>
        <w:rPr>
          <w:rFonts w:eastAsia="Times New Roman"/>
          <w:color w:val="000000" w:themeColor="text1"/>
        </w:rPr>
        <w:t>)</w:t>
      </w:r>
      <w:r w:rsidRPr="5CA9A013">
        <w:rPr>
          <w:rFonts w:eastAsia="Times New Roman"/>
          <w:color w:val="000000" w:themeColor="text1"/>
        </w:rPr>
        <w:t>.)  “It is well-established in California that a party to a contract is precluded under section 1668 from contracting away his or her liability for fraud or deceit based on intentional misrepresentation.”  (</w:t>
      </w:r>
      <w:r w:rsidRPr="5CA9A013">
        <w:rPr>
          <w:rFonts w:eastAsia="Times New Roman"/>
          <w:i/>
          <w:iCs/>
          <w:color w:val="000000" w:themeColor="text1"/>
        </w:rPr>
        <w:t>Manderville v. PCG&amp;S Group, Inc.</w:t>
      </w:r>
      <w:r w:rsidRPr="5CA9A013">
        <w:rPr>
          <w:rFonts w:eastAsia="Times New Roman"/>
          <w:color w:val="000000" w:themeColor="text1"/>
        </w:rPr>
        <w:t xml:space="preserve"> (2007) 146 Cal.App.4th 1486, 1500 (</w:t>
      </w:r>
      <w:r w:rsidRPr="5CA9A013">
        <w:rPr>
          <w:rFonts w:eastAsia="Times New Roman"/>
          <w:i/>
          <w:iCs/>
          <w:color w:val="000000" w:themeColor="text1"/>
        </w:rPr>
        <w:t>Manderville</w:t>
      </w:r>
      <w:r w:rsidRPr="5CA9A013">
        <w:rPr>
          <w:rFonts w:eastAsia="Times New Roman"/>
          <w:color w:val="000000" w:themeColor="text1"/>
        </w:rPr>
        <w:t>)</w:t>
      </w:r>
      <w:r w:rsidRPr="5CA9A013">
        <w:rPr>
          <w:rFonts w:eastAsia="Times New Roman"/>
          <w:i/>
          <w:iCs/>
          <w:color w:val="000000" w:themeColor="text1"/>
        </w:rPr>
        <w:t>.</w:t>
      </w:r>
      <w:r w:rsidRPr="00405A42">
        <w:rPr>
          <w:rFonts w:eastAsia="Times New Roman"/>
          <w:iCs/>
          <w:color w:val="000000" w:themeColor="text1"/>
        </w:rPr>
        <w:t>)</w:t>
      </w:r>
      <w:r>
        <w:rPr>
          <w:rStyle w:val="FootnoteReference"/>
          <w:rFonts w:eastAsia="Times New Roman"/>
          <w:color w:val="000000" w:themeColor="text1"/>
        </w:rPr>
        <w:footnoteReference w:id="26"/>
      </w:r>
      <w:r w:rsidRPr="5CA9A013">
        <w:rPr>
          <w:rFonts w:eastAsia="Times New Roman"/>
          <w:color w:val="000000" w:themeColor="text1"/>
        </w:rPr>
        <w:t xml:space="preserve">  </w:t>
      </w:r>
      <w:r w:rsidRPr="5CA9A013">
        <w:rPr>
          <w:rFonts w:eastAsia="Times New Roman"/>
          <w:color w:val="3D3D3D"/>
        </w:rPr>
        <w:t>A party may claim fraud in the inducement of a contract containing a provision disclaiming any fraudulent misrepresentations and introduce parol evidence to show such fraud.”  (</w:t>
      </w:r>
      <w:r w:rsidRPr="5CA9A013">
        <w:rPr>
          <w:rFonts w:eastAsia="Times New Roman"/>
          <w:i/>
          <w:iCs/>
          <w:color w:val="000000" w:themeColor="text1"/>
        </w:rPr>
        <w:t xml:space="preserve">Hinesley v. Oakshare Town Center </w:t>
      </w:r>
      <w:r w:rsidRPr="5CA9A013">
        <w:rPr>
          <w:rFonts w:eastAsia="Times New Roman"/>
          <w:color w:val="000000" w:themeColor="text1"/>
        </w:rPr>
        <w:t>(2005) 135 Cal.App.4th 289, 301 (</w:t>
      </w:r>
      <w:r w:rsidRPr="5CA9A013">
        <w:rPr>
          <w:rFonts w:eastAsia="Times New Roman"/>
          <w:i/>
          <w:iCs/>
          <w:color w:val="000000" w:themeColor="text1"/>
        </w:rPr>
        <w:t>Hinesley</w:t>
      </w:r>
      <w:r w:rsidRPr="5CA9A013">
        <w:rPr>
          <w:rFonts w:eastAsia="Times New Roman"/>
          <w:color w:val="000000" w:themeColor="text1"/>
        </w:rPr>
        <w:t>)</w:t>
      </w:r>
      <w:r w:rsidRPr="5CA9A013">
        <w:rPr>
          <w:rFonts w:eastAsia="Times New Roman"/>
          <w:color w:val="3D3D3D"/>
        </w:rPr>
        <w:t xml:space="preserve">.) </w:t>
      </w:r>
      <w:r w:rsidRPr="5CA9A013">
        <w:rPr>
          <w:rFonts w:eastAsia="Times New Roman"/>
          <w:color w:val="000000" w:themeColor="text1"/>
        </w:rPr>
        <w:t xml:space="preserve"> Dis</w:t>
      </w:r>
      <w:r>
        <w:rPr>
          <w:rFonts w:eastAsia="Times New Roman"/>
          <w:color w:val="000000" w:themeColor="text1"/>
        </w:rPr>
        <w:t>c</w:t>
      </w:r>
      <w:r w:rsidRPr="5CA9A013">
        <w:rPr>
          <w:rFonts w:eastAsia="Times New Roman"/>
          <w:color w:val="000000" w:themeColor="text1"/>
        </w:rPr>
        <w:t>laimers in a lease may put a lessee “on notice to ask further questions,” however, and they are a factor to consider in determining whether reliance on the lessor’s representations was reasonable.  (</w:t>
      </w:r>
      <w:r w:rsidRPr="5CA9A013">
        <w:rPr>
          <w:rFonts w:eastAsia="Times New Roman"/>
          <w:i/>
          <w:iCs/>
          <w:color w:val="3D3D3D"/>
        </w:rPr>
        <w:t xml:space="preserve">Id. </w:t>
      </w:r>
      <w:r w:rsidRPr="5CA9A013">
        <w:rPr>
          <w:rFonts w:eastAsia="Times New Roman"/>
          <w:color w:val="3D3D3D"/>
        </w:rPr>
        <w:t xml:space="preserve">at p. </w:t>
      </w:r>
      <w:r w:rsidRPr="5CA9A013">
        <w:rPr>
          <w:rFonts w:eastAsia="Times New Roman"/>
          <w:color w:val="000000" w:themeColor="text1"/>
        </w:rPr>
        <w:t>302.)</w:t>
      </w:r>
    </w:p>
    <w:p w:rsidR="007369FF" w:rsidRPr="0065724E" w:rsidP="003F45BE">
      <w:pPr>
        <w:spacing w:line="360" w:lineRule="auto"/>
        <w:ind w:firstLine="720"/>
        <w:rPr>
          <w:rFonts w:eastAsia="Times New Roman"/>
          <w:color w:val="000000" w:themeColor="text1"/>
          <w:szCs w:val="26"/>
        </w:rPr>
      </w:pPr>
      <w:r w:rsidRPr="0065724E">
        <w:rPr>
          <w:rFonts w:eastAsia="Times New Roman"/>
          <w:i/>
          <w:iCs/>
          <w:szCs w:val="26"/>
        </w:rPr>
        <w:t xml:space="preserve">Hinesley </w:t>
      </w:r>
      <w:r w:rsidRPr="0065724E">
        <w:rPr>
          <w:rFonts w:eastAsia="Times New Roman"/>
          <w:szCs w:val="26"/>
        </w:rPr>
        <w:t>involved a lease for commer</w:t>
      </w:r>
      <w:r>
        <w:rPr>
          <w:rFonts w:eastAsia="Times New Roman"/>
          <w:szCs w:val="26"/>
        </w:rPr>
        <w:t>c</w:t>
      </w:r>
      <w:r w:rsidRPr="0065724E">
        <w:rPr>
          <w:rFonts w:eastAsia="Times New Roman"/>
          <w:szCs w:val="26"/>
        </w:rPr>
        <w:t>ial space in a shopping center:  The lessee alleged that the lessor’s agent falsely represented that certain major stores would be opening in nearby spaces by a specified date, and that it relied upon these representations in entering its lease.  (</w:t>
      </w:r>
      <w:r w:rsidRPr="00371B02">
        <w:rPr>
          <w:rFonts w:eastAsia="Times New Roman"/>
          <w:i/>
          <w:szCs w:val="26"/>
        </w:rPr>
        <w:t>Hinesley, supra,</w:t>
      </w:r>
      <w:r>
        <w:rPr>
          <w:rFonts w:eastAsia="Times New Roman"/>
          <w:szCs w:val="26"/>
        </w:rPr>
        <w:t xml:space="preserve"> </w:t>
      </w:r>
      <w:r w:rsidRPr="0065724E">
        <w:rPr>
          <w:rFonts w:eastAsia="Times New Roman"/>
          <w:szCs w:val="26"/>
        </w:rPr>
        <w:t xml:space="preserve">135 Cal.App.4th at p. 292.)  The contract stated, “Lessee does not rely on the fact nor does Lessor represent that any specific Lessee of </w:t>
      </w:r>
      <w:r w:rsidRPr="00371B02">
        <w:rPr>
          <w:rFonts w:eastAsia="Times New Roman"/>
          <w:szCs w:val="26"/>
        </w:rPr>
        <w:t>[</w:t>
      </w:r>
      <w:r w:rsidRPr="00371B02">
        <w:rPr>
          <w:rFonts w:eastAsia="Times New Roman"/>
          <w:i/>
          <w:szCs w:val="26"/>
        </w:rPr>
        <w:t>sic</w:t>
      </w:r>
      <w:r w:rsidRPr="0065724E">
        <w:rPr>
          <w:rFonts w:eastAsia="Times New Roman"/>
          <w:szCs w:val="26"/>
        </w:rPr>
        <w:t>] type or number of Lessees shall during the term of this Lease occupy any space in the Shopping Center.”  (</w:t>
      </w:r>
      <w:r w:rsidRPr="0065724E">
        <w:rPr>
          <w:rFonts w:eastAsia="Times New Roman"/>
          <w:i/>
          <w:iCs/>
          <w:szCs w:val="26"/>
        </w:rPr>
        <w:t xml:space="preserve">Id. </w:t>
      </w:r>
      <w:r w:rsidRPr="0065724E">
        <w:rPr>
          <w:rFonts w:eastAsia="Times New Roman"/>
          <w:szCs w:val="26"/>
        </w:rPr>
        <w:t>at p 297</w:t>
      </w:r>
      <w:r>
        <w:rPr>
          <w:rFonts w:eastAsia="Times New Roman"/>
          <w:szCs w:val="26"/>
        </w:rPr>
        <w:t>, italics omitted</w:t>
      </w:r>
      <w:r w:rsidRPr="0065724E">
        <w:rPr>
          <w:rFonts w:eastAsia="Times New Roman"/>
          <w:szCs w:val="26"/>
        </w:rPr>
        <w:t xml:space="preserve">.) </w:t>
      </w:r>
      <w:r>
        <w:rPr>
          <w:rFonts w:eastAsia="Times New Roman"/>
          <w:szCs w:val="26"/>
        </w:rPr>
        <w:t xml:space="preserve"> </w:t>
      </w:r>
      <w:r w:rsidRPr="0065724E">
        <w:rPr>
          <w:rFonts w:eastAsia="Times New Roman"/>
          <w:szCs w:val="26"/>
        </w:rPr>
        <w:t>The lessee did not question the agent about his representations or inform him that these particular tenants were of critical importance to him, did not inform the attorney who reviewed the contract of the representations regarding these tenants and did not propose any revision to the other-tenants clause despite proposing a number of other modifications to the lease.  (</w:t>
      </w:r>
      <w:r w:rsidRPr="0065724E">
        <w:rPr>
          <w:rFonts w:eastAsia="Times New Roman"/>
          <w:i/>
          <w:iCs/>
          <w:szCs w:val="26"/>
        </w:rPr>
        <w:t xml:space="preserve">Id. </w:t>
      </w:r>
      <w:r w:rsidRPr="0065724E">
        <w:rPr>
          <w:rFonts w:eastAsia="Times New Roman"/>
          <w:szCs w:val="26"/>
        </w:rPr>
        <w:t>at</w:t>
      </w:r>
      <w:r w:rsidRPr="0065724E">
        <w:rPr>
          <w:rFonts w:eastAsia="Times New Roman"/>
          <w:i/>
          <w:iCs/>
          <w:szCs w:val="26"/>
        </w:rPr>
        <w:t xml:space="preserve"> </w:t>
      </w:r>
      <w:r w:rsidRPr="0065724E">
        <w:rPr>
          <w:rFonts w:eastAsia="Times New Roman"/>
          <w:szCs w:val="26"/>
        </w:rPr>
        <w:t>pp.</w:t>
      </w:r>
      <w:r>
        <w:rPr>
          <w:rFonts w:eastAsia="Times New Roman"/>
          <w:szCs w:val="26"/>
        </w:rPr>
        <w:t> </w:t>
      </w:r>
      <w:r w:rsidRPr="0065724E">
        <w:rPr>
          <w:rFonts w:eastAsia="Times New Roman"/>
          <w:szCs w:val="26"/>
        </w:rPr>
        <w:t>302</w:t>
      </w:r>
      <w:r>
        <w:t>–</w:t>
      </w:r>
      <w:r w:rsidRPr="0065724E">
        <w:rPr>
          <w:rFonts w:eastAsia="Times New Roman"/>
          <w:szCs w:val="26"/>
        </w:rPr>
        <w:t xml:space="preserve">303.)  The court concluded:  “In the </w:t>
      </w:r>
      <w:r w:rsidRPr="0065724E">
        <w:rPr>
          <w:rFonts w:eastAsia="Times New Roman"/>
          <w:color w:val="000000" w:themeColor="text1"/>
          <w:szCs w:val="26"/>
        </w:rPr>
        <w:t>complete absence of any actions taken to question, clarify, or confirm the contractual status of the three cotenants, to notify his attorney of the representations or to modify paragraph 25.33, Hinesley could not justifiably rely on his understanding of the representations and gestures made by Petrovich.”  (</w:t>
      </w:r>
      <w:r w:rsidRPr="0065724E">
        <w:rPr>
          <w:rFonts w:eastAsia="Times New Roman"/>
          <w:i/>
          <w:iCs/>
          <w:color w:val="000000" w:themeColor="text1"/>
          <w:szCs w:val="26"/>
        </w:rPr>
        <w:t xml:space="preserve">Id. </w:t>
      </w:r>
      <w:r w:rsidRPr="0065724E">
        <w:rPr>
          <w:rFonts w:eastAsia="Times New Roman"/>
          <w:color w:val="000000" w:themeColor="text1"/>
          <w:szCs w:val="26"/>
        </w:rPr>
        <w:t>at p. 303.)</w:t>
      </w:r>
    </w:p>
    <w:p w:rsidR="007369FF" w:rsidRPr="0065724E" w:rsidP="003F45BE">
      <w:pPr>
        <w:spacing w:line="360" w:lineRule="auto"/>
        <w:ind w:firstLine="720"/>
        <w:rPr>
          <w:rFonts w:eastAsia="Times New Roman"/>
          <w:color w:val="000000" w:themeColor="text1"/>
          <w:szCs w:val="26"/>
        </w:rPr>
      </w:pPr>
      <w:r>
        <w:rPr>
          <w:rFonts w:eastAsia="Times New Roman"/>
        </w:rPr>
        <w:t>Beverly</w:t>
      </w:r>
      <w:r w:rsidRPr="5CA9A013">
        <w:rPr>
          <w:rFonts w:eastAsia="Times New Roman"/>
        </w:rPr>
        <w:t xml:space="preserve"> assert</w:t>
      </w:r>
      <w:r>
        <w:rPr>
          <w:rFonts w:eastAsia="Times New Roman"/>
        </w:rPr>
        <w:t>s</w:t>
      </w:r>
      <w:r w:rsidRPr="5CA9A013">
        <w:rPr>
          <w:rFonts w:eastAsia="Times New Roman"/>
        </w:rPr>
        <w:t xml:space="preserve"> that Hong’s reliance was even less justifiable because, in addition to the disclaimers in the lease, Hong’s broker informed her that the Department would not allow her to sell alcohol.  According to Hong’s testimony, prior to the email from the broker she had been told by the Department that there would be no problem opening a full</w:t>
      </w:r>
      <w:r>
        <w:rPr>
          <w:rFonts w:eastAsia="Times New Roman"/>
        </w:rPr>
        <w:t>-</w:t>
      </w:r>
      <w:r w:rsidRPr="5CA9A013">
        <w:rPr>
          <w:rFonts w:eastAsia="Times New Roman"/>
        </w:rPr>
        <w:t xml:space="preserve">service restaurant in these premises, and </w:t>
      </w:r>
      <w:r>
        <w:rPr>
          <w:rFonts w:eastAsia="Times New Roman"/>
        </w:rPr>
        <w:t>Beverly</w:t>
      </w:r>
      <w:r w:rsidRPr="5CA9A013">
        <w:rPr>
          <w:rFonts w:eastAsia="Times New Roman"/>
        </w:rPr>
        <w:t xml:space="preserve"> had told her there had always been full</w:t>
      </w:r>
      <w:r>
        <w:rPr>
          <w:rFonts w:eastAsia="Times New Roman"/>
        </w:rPr>
        <w:t>-</w:t>
      </w:r>
      <w:r w:rsidRPr="5CA9A013">
        <w:rPr>
          <w:rFonts w:eastAsia="Times New Roman"/>
        </w:rPr>
        <w:t xml:space="preserve">service restaurant with a liquor license in this space.  Upon receiving the broker’s email, Hong turned to </w:t>
      </w:r>
      <w:r>
        <w:rPr>
          <w:rFonts w:eastAsia="Times New Roman"/>
        </w:rPr>
        <w:t>Beverly</w:t>
      </w:r>
      <w:r w:rsidRPr="5CA9A013">
        <w:rPr>
          <w:rFonts w:eastAsia="Times New Roman"/>
        </w:rPr>
        <w:t xml:space="preserve">, who provided what Hong took to be reassurance that this new information was not correct.  Hong testified that she understood </w:t>
      </w:r>
      <w:r>
        <w:rPr>
          <w:rFonts w:eastAsia="Times New Roman"/>
        </w:rPr>
        <w:t>Beverly</w:t>
      </w:r>
      <w:r w:rsidRPr="5CA9A013">
        <w:rPr>
          <w:rFonts w:eastAsia="Times New Roman"/>
        </w:rPr>
        <w:t xml:space="preserve">’s email as providing evidence that the property had been used with a liquor license since 1934, and that </w:t>
      </w:r>
      <w:r>
        <w:rPr>
          <w:rFonts w:eastAsia="Times New Roman"/>
        </w:rPr>
        <w:t>Beverly</w:t>
      </w:r>
      <w:r w:rsidRPr="5CA9A013">
        <w:rPr>
          <w:rFonts w:eastAsia="Times New Roman"/>
        </w:rPr>
        <w:t xml:space="preserve"> was explaining the history to her “[b]ecause she knew that</w:t>
      </w:r>
      <w:r>
        <w:t>—</w:t>
      </w:r>
      <w:r w:rsidRPr="5CA9A013">
        <w:rPr>
          <w:rFonts w:eastAsia="Times New Roman"/>
        </w:rPr>
        <w:t>without the alcohol license, she knew that I’m not going to really</w:t>
      </w:r>
      <w:r>
        <w:rPr>
          <w:rFonts w:eastAsia="Times New Roman"/>
        </w:rPr>
        <w:t>—</w:t>
      </w:r>
      <w:r w:rsidRPr="5CA9A013">
        <w:rPr>
          <w:rFonts w:eastAsia="Times New Roman"/>
        </w:rPr>
        <w:t xml:space="preserve">actually devoted to signing the lease.”  Hong did not see a need to inquire further of her broker because the “landlord seems like she knows everything is right” and was providing Hong with “all the evidence that it has been always a full-service restaurant and a bar.”  Hong also testified that the broker told her she would not be able to get a </w:t>
      </w:r>
      <w:r w:rsidRPr="5CA9A013">
        <w:rPr>
          <w:rFonts w:eastAsia="Times New Roman"/>
          <w:i/>
          <w:iCs/>
        </w:rPr>
        <w:t xml:space="preserve">new </w:t>
      </w:r>
      <w:r w:rsidRPr="5CA9A013">
        <w:rPr>
          <w:rFonts w:eastAsia="Times New Roman"/>
        </w:rPr>
        <w:t xml:space="preserve">liquor license but since </w:t>
      </w:r>
      <w:r>
        <w:rPr>
          <w:rFonts w:eastAsia="Times New Roman"/>
        </w:rPr>
        <w:t>Beverly</w:t>
      </w:r>
      <w:r w:rsidRPr="5CA9A013">
        <w:rPr>
          <w:rFonts w:eastAsia="Times New Roman"/>
        </w:rPr>
        <w:t xml:space="preserve"> told her Le</w:t>
      </w:r>
      <w:r>
        <w:rPr>
          <w:rFonts w:eastAsia="Times New Roman"/>
        </w:rPr>
        <w:t xml:space="preserve"> </w:t>
      </w:r>
      <w:r w:rsidRPr="5CA9A013">
        <w:rPr>
          <w:rFonts w:eastAsia="Times New Roman"/>
        </w:rPr>
        <w:t>Bordeaux had a liquor license, she understood that she would be transferring it, as she had done when she opened her first restaurant, and not seeking a new one.</w:t>
      </w:r>
      <w:r>
        <w:rPr>
          <w:rStyle w:val="FootnoteReference"/>
          <w:rFonts w:eastAsia="Times New Roman"/>
        </w:rPr>
        <w:footnoteReference w:id="27"/>
      </w:r>
      <w:r w:rsidRPr="5CA9A013">
        <w:rPr>
          <w:rFonts w:eastAsia="Times New Roman"/>
        </w:rPr>
        <w:t xml:space="preserve">  </w:t>
      </w:r>
    </w:p>
    <w:p w:rsidR="007369FF" w:rsidRPr="0065724E" w:rsidP="003F45BE">
      <w:pPr>
        <w:spacing w:line="360" w:lineRule="auto"/>
        <w:ind w:firstLine="720"/>
        <w:rPr>
          <w:rFonts w:eastAsia="Times New Roman"/>
          <w:szCs w:val="26"/>
        </w:rPr>
      </w:pPr>
      <w:r>
        <w:rPr>
          <w:rFonts w:eastAsia="Times New Roman"/>
          <w:szCs w:val="26"/>
        </w:rPr>
        <w:t>Beverly</w:t>
      </w:r>
      <w:r w:rsidRPr="0065724E">
        <w:rPr>
          <w:rFonts w:eastAsia="Times New Roman"/>
          <w:szCs w:val="26"/>
        </w:rPr>
        <w:t xml:space="preserve"> had owned the property for 35 or 40 years and presented herself as intimately informed of its history.  This was not the case for Hong’s broker.  Whether it was reasonable for Hong to rely upon the reassurance </w:t>
      </w:r>
      <w:r>
        <w:rPr>
          <w:rFonts w:eastAsia="Times New Roman"/>
          <w:szCs w:val="26"/>
        </w:rPr>
        <w:t>Beverly</w:t>
      </w:r>
      <w:r w:rsidRPr="0065724E">
        <w:rPr>
          <w:rFonts w:eastAsia="Times New Roman"/>
          <w:szCs w:val="26"/>
        </w:rPr>
        <w:t xml:space="preserve"> provided was a factual question for the jury.  </w:t>
      </w:r>
      <w:r>
        <w:rPr>
          <w:rFonts w:eastAsia="Times New Roman"/>
          <w:szCs w:val="26"/>
        </w:rPr>
        <w:t>Beverly</w:t>
      </w:r>
      <w:r w:rsidRPr="0065724E">
        <w:rPr>
          <w:rFonts w:eastAsia="Times New Roman"/>
          <w:szCs w:val="26"/>
        </w:rPr>
        <w:t xml:space="preserve"> argue</w:t>
      </w:r>
      <w:r>
        <w:rPr>
          <w:rFonts w:eastAsia="Times New Roman"/>
          <w:szCs w:val="26"/>
        </w:rPr>
        <w:t>s</w:t>
      </w:r>
      <w:r w:rsidRPr="0065724E">
        <w:rPr>
          <w:rFonts w:eastAsia="Times New Roman"/>
          <w:szCs w:val="26"/>
        </w:rPr>
        <w:t xml:space="preserve"> it was unreasonable for Hong to assume, based on </w:t>
      </w:r>
      <w:r>
        <w:rPr>
          <w:rFonts w:eastAsia="Times New Roman"/>
          <w:szCs w:val="26"/>
        </w:rPr>
        <w:t>Beverly’s</w:t>
      </w:r>
      <w:r w:rsidRPr="0065724E">
        <w:rPr>
          <w:rFonts w:eastAsia="Times New Roman"/>
          <w:szCs w:val="26"/>
        </w:rPr>
        <w:t xml:space="preserve"> representations, that the Department would grant what it told the broker it would not grant</w:t>
      </w:r>
      <w:r>
        <w:rPr>
          <w:rFonts w:eastAsia="Times New Roman"/>
          <w:szCs w:val="26"/>
        </w:rPr>
        <w:t>—</w:t>
      </w:r>
      <w:r w:rsidRPr="0065724E">
        <w:rPr>
          <w:rFonts w:eastAsia="Times New Roman"/>
          <w:szCs w:val="26"/>
        </w:rPr>
        <w:t xml:space="preserve">but </w:t>
      </w:r>
      <w:r>
        <w:rPr>
          <w:rFonts w:eastAsia="Times New Roman"/>
          <w:szCs w:val="26"/>
        </w:rPr>
        <w:t>the Department</w:t>
      </w:r>
      <w:r w:rsidRPr="0065724E">
        <w:rPr>
          <w:rFonts w:eastAsia="Times New Roman"/>
          <w:szCs w:val="26"/>
        </w:rPr>
        <w:t xml:space="preserve"> did </w:t>
      </w:r>
      <w:r>
        <w:rPr>
          <w:rFonts w:eastAsia="Times New Roman"/>
          <w:szCs w:val="26"/>
        </w:rPr>
        <w:t>initially</w:t>
      </w:r>
      <w:r w:rsidRPr="0065724E">
        <w:rPr>
          <w:rFonts w:eastAsia="Times New Roman"/>
          <w:szCs w:val="26"/>
        </w:rPr>
        <w:t xml:space="preserve"> approve Hong’s restaurant based on the then-existing conditional use permit.  It was only after the Department was alerted to the historical vacancy between The Field and Le Bordeaux and discovered Le Bordeaux was operating without a liquor license that it reversed its position.</w:t>
      </w:r>
      <w:r w:rsidRPr="0065724E">
        <w:rPr>
          <w:rFonts w:eastAsia="Times New Roman"/>
          <w:b/>
          <w:bCs/>
          <w:i/>
          <w:iCs/>
          <w:szCs w:val="26"/>
        </w:rPr>
        <w:t xml:space="preserve">  </w:t>
      </w:r>
      <w:r w:rsidRPr="0065724E">
        <w:rPr>
          <w:rFonts w:eastAsia="Times New Roman"/>
          <w:szCs w:val="26"/>
        </w:rPr>
        <w:t xml:space="preserve">This underlying information was known to </w:t>
      </w:r>
      <w:r>
        <w:rPr>
          <w:rFonts w:eastAsia="Times New Roman"/>
          <w:szCs w:val="26"/>
        </w:rPr>
        <w:t>Beverly</w:t>
      </w:r>
      <w:r w:rsidRPr="0065724E">
        <w:rPr>
          <w:rFonts w:eastAsia="Times New Roman"/>
          <w:szCs w:val="26"/>
        </w:rPr>
        <w:t xml:space="preserve"> all along, but not to Hong.  Unlike the lessee in </w:t>
      </w:r>
      <w:r w:rsidRPr="0065724E">
        <w:rPr>
          <w:rFonts w:eastAsia="Times New Roman"/>
          <w:i/>
          <w:iCs/>
          <w:szCs w:val="26"/>
        </w:rPr>
        <w:t>Hinesley</w:t>
      </w:r>
      <w:r w:rsidRPr="0065724E">
        <w:rPr>
          <w:rFonts w:eastAsia="Times New Roman"/>
          <w:szCs w:val="26"/>
        </w:rPr>
        <w:t xml:space="preserve">, who failed to act in a manner indicating he cared about the allegedly misrepresented information, Hong made clear to </w:t>
      </w:r>
      <w:r>
        <w:rPr>
          <w:rFonts w:eastAsia="Times New Roman"/>
          <w:szCs w:val="26"/>
        </w:rPr>
        <w:t>Beverly</w:t>
      </w:r>
      <w:r w:rsidRPr="0065724E">
        <w:rPr>
          <w:rFonts w:eastAsia="Times New Roman"/>
          <w:szCs w:val="26"/>
        </w:rPr>
        <w:t xml:space="preserve"> that her ability to open a full</w:t>
      </w:r>
      <w:r>
        <w:rPr>
          <w:rFonts w:eastAsia="Times New Roman"/>
          <w:szCs w:val="26"/>
        </w:rPr>
        <w:t>-</w:t>
      </w:r>
      <w:r w:rsidRPr="0065724E">
        <w:rPr>
          <w:rFonts w:eastAsia="Times New Roman"/>
          <w:szCs w:val="26"/>
        </w:rPr>
        <w:t>service restaurant with a wine and beer license was critical</w:t>
      </w:r>
      <w:r>
        <w:rPr>
          <w:rFonts w:eastAsia="Times New Roman"/>
          <w:szCs w:val="26"/>
        </w:rPr>
        <w:t>—</w:t>
      </w:r>
      <w:r w:rsidRPr="0065724E">
        <w:rPr>
          <w:rFonts w:eastAsia="Times New Roman"/>
          <w:szCs w:val="26"/>
        </w:rPr>
        <w:t>as was evident since the lease was expressly limited to such operation.</w:t>
      </w:r>
    </w:p>
    <w:p w:rsidR="007369FF" w:rsidRPr="0065724E" w:rsidP="003F45BE">
      <w:pPr>
        <w:spacing w:line="360" w:lineRule="auto"/>
        <w:ind w:firstLine="720"/>
        <w:rPr>
          <w:rFonts w:eastAsia="Times New Roman"/>
          <w:color w:val="000000" w:themeColor="text1"/>
          <w:szCs w:val="26"/>
        </w:rPr>
      </w:pPr>
      <w:r w:rsidRPr="0065724E">
        <w:rPr>
          <w:rFonts w:eastAsia="Times New Roman"/>
          <w:szCs w:val="26"/>
        </w:rPr>
        <w:t xml:space="preserve">We agree with </w:t>
      </w:r>
      <w:r>
        <w:rPr>
          <w:rFonts w:eastAsia="Times New Roman"/>
          <w:szCs w:val="26"/>
        </w:rPr>
        <w:t>Hong</w:t>
      </w:r>
      <w:r w:rsidRPr="0065724E">
        <w:rPr>
          <w:rFonts w:eastAsia="Times New Roman"/>
          <w:szCs w:val="26"/>
        </w:rPr>
        <w:t xml:space="preserve"> that the present case is more like</w:t>
      </w:r>
      <w:r w:rsidRPr="0065724E">
        <w:rPr>
          <w:rFonts w:eastAsia="Times New Roman"/>
          <w:i/>
          <w:iCs/>
          <w:szCs w:val="26"/>
        </w:rPr>
        <w:t xml:space="preserve"> </w:t>
      </w:r>
      <w:r w:rsidRPr="0065724E">
        <w:rPr>
          <w:rFonts w:eastAsia="Times New Roman"/>
          <w:i/>
          <w:iCs/>
          <w:color w:val="000000" w:themeColor="text1"/>
          <w:szCs w:val="26"/>
        </w:rPr>
        <w:t>McClain</w:t>
      </w:r>
      <w:r>
        <w:rPr>
          <w:rFonts w:eastAsia="Times New Roman"/>
          <w:i/>
          <w:iCs/>
          <w:color w:val="000000" w:themeColor="text1"/>
          <w:szCs w:val="26"/>
        </w:rPr>
        <w:t xml:space="preserve">, supra, </w:t>
      </w:r>
      <w:r w:rsidRPr="0065724E">
        <w:rPr>
          <w:rFonts w:eastAsia="Times New Roman"/>
          <w:color w:val="000000" w:themeColor="text1"/>
          <w:szCs w:val="26"/>
        </w:rPr>
        <w:t>159 Cal.App.4th 784.  In that case, the financial obligations of a shopping center lessee were tied to the size of the leased space, which was specifically stated during lease negotiations.  The lease provided that the size of the space stated therein was an approximation the parties agreed was reasonable and payments were not subject to revision if the size in fact differed, as well as that the lessee had had an adequate opportunity to examine the space.  Prior to entering the lease, the lessee attempted to confirm the size of the space and the lessors resisted, claiming to be offended by the inquir</w:t>
      </w:r>
      <w:r>
        <w:rPr>
          <w:rFonts w:eastAsia="Times New Roman"/>
          <w:color w:val="000000" w:themeColor="text1"/>
          <w:szCs w:val="26"/>
        </w:rPr>
        <w:t>i</w:t>
      </w:r>
      <w:r w:rsidRPr="0065724E">
        <w:rPr>
          <w:rFonts w:eastAsia="Times New Roman"/>
          <w:color w:val="000000" w:themeColor="text1"/>
          <w:szCs w:val="26"/>
        </w:rPr>
        <w:t>es and knowledgeable about all details, and insisting the lessee could rely upon their representations.  (</w:t>
      </w:r>
      <w:r w:rsidRPr="0065724E">
        <w:rPr>
          <w:rFonts w:eastAsia="Times New Roman"/>
          <w:i/>
          <w:iCs/>
          <w:color w:val="000000" w:themeColor="text1"/>
          <w:szCs w:val="26"/>
        </w:rPr>
        <w:t xml:space="preserve">Id. </w:t>
      </w:r>
      <w:r>
        <w:rPr>
          <w:rFonts w:eastAsia="Times New Roman"/>
          <w:color w:val="000000" w:themeColor="text1"/>
          <w:szCs w:val="26"/>
        </w:rPr>
        <w:t>a</w:t>
      </w:r>
      <w:r w:rsidRPr="0065724E">
        <w:rPr>
          <w:rFonts w:eastAsia="Times New Roman"/>
          <w:color w:val="000000" w:themeColor="text1"/>
          <w:szCs w:val="26"/>
        </w:rPr>
        <w:t xml:space="preserve">t p. 794.)  The lessors knew, or had reason to know, that the space was actually smaller, and the lessee’s financial obligations therefore disproportionate.  </w:t>
      </w:r>
      <w:r w:rsidRPr="0065724E">
        <w:rPr>
          <w:rFonts w:eastAsia="Times New Roman"/>
          <w:i/>
          <w:iCs/>
          <w:color w:val="000000" w:themeColor="text1"/>
          <w:szCs w:val="26"/>
        </w:rPr>
        <w:t xml:space="preserve">McClain </w:t>
      </w:r>
      <w:r w:rsidRPr="0065724E">
        <w:rPr>
          <w:rFonts w:eastAsia="Times New Roman"/>
          <w:color w:val="000000" w:themeColor="text1"/>
          <w:szCs w:val="26"/>
        </w:rPr>
        <w:t>held the lease’s disclaimers did not insulate the lessors from liability or preclude the lessee from establishing justifiable reliance.  (</w:t>
      </w:r>
      <w:r w:rsidRPr="0065724E">
        <w:rPr>
          <w:rFonts w:eastAsia="Times New Roman"/>
          <w:i/>
          <w:iCs/>
          <w:color w:val="000000" w:themeColor="text1"/>
          <w:szCs w:val="26"/>
        </w:rPr>
        <w:t xml:space="preserve">Id. </w:t>
      </w:r>
      <w:r w:rsidRPr="0065724E">
        <w:rPr>
          <w:rFonts w:eastAsia="Times New Roman"/>
          <w:color w:val="000000" w:themeColor="text1"/>
          <w:szCs w:val="26"/>
        </w:rPr>
        <w:t>at pp. 795</w:t>
      </w:r>
      <w:r>
        <w:t>–</w:t>
      </w:r>
      <w:r w:rsidRPr="0065724E">
        <w:rPr>
          <w:rFonts w:eastAsia="Times New Roman"/>
          <w:color w:val="000000" w:themeColor="text1"/>
          <w:szCs w:val="26"/>
        </w:rPr>
        <w:t xml:space="preserve">798.)  </w:t>
      </w:r>
    </w:p>
    <w:p w:rsidR="3D0A672E" w:rsidRPr="0065724E" w:rsidP="003F45BE">
      <w:pPr>
        <w:spacing w:line="360" w:lineRule="auto"/>
        <w:ind w:firstLine="720"/>
        <w:rPr>
          <w:rFonts w:eastAsia="Times New Roman"/>
          <w:color w:val="000000" w:themeColor="text1"/>
          <w:szCs w:val="26"/>
        </w:rPr>
      </w:pPr>
      <w:r w:rsidRPr="0065724E">
        <w:rPr>
          <w:rFonts w:eastAsia="Times New Roman"/>
          <w:color w:val="000000" w:themeColor="text1"/>
          <w:szCs w:val="26"/>
        </w:rPr>
        <w:t xml:space="preserve">Here, as in </w:t>
      </w:r>
      <w:r w:rsidRPr="0065724E">
        <w:rPr>
          <w:rFonts w:eastAsia="Times New Roman"/>
          <w:i/>
          <w:iCs/>
          <w:color w:val="000000" w:themeColor="text1"/>
          <w:szCs w:val="26"/>
        </w:rPr>
        <w:t>McClain,</w:t>
      </w:r>
      <w:r w:rsidRPr="0065724E">
        <w:rPr>
          <w:rFonts w:eastAsia="Times New Roman"/>
          <w:color w:val="000000" w:themeColor="text1"/>
          <w:szCs w:val="26"/>
        </w:rPr>
        <w:t xml:space="preserve"> whether Hong was justified in relying upon </w:t>
      </w:r>
      <w:r>
        <w:rPr>
          <w:rFonts w:eastAsia="Times New Roman"/>
          <w:color w:val="000000" w:themeColor="text1"/>
          <w:szCs w:val="26"/>
        </w:rPr>
        <w:t>Beverly’s</w:t>
      </w:r>
      <w:r w:rsidRPr="0065724E">
        <w:rPr>
          <w:rFonts w:eastAsia="Times New Roman"/>
          <w:color w:val="000000" w:themeColor="text1"/>
          <w:szCs w:val="26"/>
        </w:rPr>
        <w:t xml:space="preserve"> representations was a question of fact for the jury, and substantial evidence supported its findings.  While </w:t>
      </w:r>
      <w:r>
        <w:rPr>
          <w:rFonts w:eastAsia="Times New Roman"/>
          <w:color w:val="000000" w:themeColor="text1"/>
          <w:szCs w:val="26"/>
        </w:rPr>
        <w:t>Beverly</w:t>
      </w:r>
      <w:r w:rsidRPr="0065724E">
        <w:rPr>
          <w:rFonts w:eastAsia="Times New Roman"/>
          <w:color w:val="000000" w:themeColor="text1"/>
          <w:szCs w:val="26"/>
        </w:rPr>
        <w:t xml:space="preserve"> did not expressly attempt to prevent Hong from further investigating the history of the premises as the lessors in </w:t>
      </w:r>
      <w:r w:rsidRPr="0065724E">
        <w:rPr>
          <w:rFonts w:eastAsia="Times New Roman"/>
          <w:i/>
          <w:iCs/>
          <w:color w:val="000000" w:themeColor="text1"/>
          <w:szCs w:val="26"/>
        </w:rPr>
        <w:t xml:space="preserve">McClain </w:t>
      </w:r>
      <w:r w:rsidRPr="0065724E">
        <w:rPr>
          <w:rFonts w:eastAsia="Times New Roman"/>
          <w:color w:val="000000" w:themeColor="text1"/>
          <w:szCs w:val="26"/>
        </w:rPr>
        <w:t>did with the lessee’s efforts to confirm size, she presented herself as fully knowledgeable</w:t>
      </w:r>
      <w:r>
        <w:t>—</w:t>
      </w:r>
      <w:r w:rsidRPr="0065724E">
        <w:rPr>
          <w:rFonts w:eastAsia="Times New Roman"/>
          <w:color w:val="000000" w:themeColor="text1"/>
          <w:szCs w:val="26"/>
        </w:rPr>
        <w:t>indeed, more knowledgeable than the Department</w:t>
      </w:r>
      <w:r>
        <w:t>—</w:t>
      </w:r>
      <w:r w:rsidRPr="0065724E">
        <w:rPr>
          <w:rFonts w:eastAsia="Times New Roman"/>
          <w:color w:val="000000" w:themeColor="text1"/>
          <w:szCs w:val="26"/>
        </w:rPr>
        <w:t>on the subject</w:t>
      </w:r>
      <w:r>
        <w:rPr>
          <w:rFonts w:eastAsia="Times New Roman"/>
          <w:color w:val="000000" w:themeColor="text1"/>
          <w:szCs w:val="26"/>
        </w:rPr>
        <w:t>,</w:t>
      </w:r>
      <w:r w:rsidRPr="0065724E">
        <w:rPr>
          <w:rFonts w:eastAsia="Times New Roman"/>
          <w:color w:val="000000" w:themeColor="text1"/>
          <w:szCs w:val="26"/>
        </w:rPr>
        <w:t xml:space="preserve"> and her representations </w:t>
      </w:r>
      <w:r>
        <w:rPr>
          <w:rFonts w:eastAsia="Times New Roman"/>
          <w:color w:val="000000" w:themeColor="text1"/>
          <w:szCs w:val="26"/>
        </w:rPr>
        <w:t>could</w:t>
      </w:r>
      <w:r w:rsidRPr="0065724E">
        <w:rPr>
          <w:rFonts w:eastAsia="Times New Roman"/>
          <w:color w:val="000000" w:themeColor="text1"/>
          <w:szCs w:val="26"/>
        </w:rPr>
        <w:t xml:space="preserve"> reasonably be seen as efforts to induce Hong to proceed with the lease despite her voiced concerns.  We are not persuaded by </w:t>
      </w:r>
      <w:r>
        <w:rPr>
          <w:rFonts w:eastAsia="Times New Roman"/>
          <w:color w:val="000000" w:themeColor="text1"/>
          <w:szCs w:val="26"/>
        </w:rPr>
        <w:t>Beverly’s</w:t>
      </w:r>
      <w:r w:rsidRPr="0065724E">
        <w:rPr>
          <w:rFonts w:eastAsia="Times New Roman"/>
          <w:color w:val="000000" w:themeColor="text1"/>
          <w:szCs w:val="26"/>
        </w:rPr>
        <w:t xml:space="preserve"> attempt to distinguish </w:t>
      </w:r>
      <w:r w:rsidRPr="0065724E">
        <w:rPr>
          <w:rFonts w:eastAsia="Times New Roman"/>
          <w:i/>
          <w:iCs/>
          <w:color w:val="000000" w:themeColor="text1"/>
          <w:szCs w:val="26"/>
        </w:rPr>
        <w:t xml:space="preserve">McClain </w:t>
      </w:r>
      <w:r w:rsidRPr="0065724E">
        <w:rPr>
          <w:rFonts w:eastAsia="Times New Roman"/>
          <w:color w:val="000000" w:themeColor="text1"/>
          <w:szCs w:val="26"/>
        </w:rPr>
        <w:t xml:space="preserve">on the basis that the </w:t>
      </w:r>
      <w:r>
        <w:rPr>
          <w:rFonts w:eastAsia="Times New Roman"/>
          <w:color w:val="000000" w:themeColor="text1"/>
          <w:szCs w:val="26"/>
        </w:rPr>
        <w:t xml:space="preserve">challenged </w:t>
      </w:r>
      <w:r w:rsidRPr="0065724E">
        <w:rPr>
          <w:rFonts w:eastAsia="Times New Roman"/>
          <w:color w:val="000000" w:themeColor="text1"/>
          <w:szCs w:val="26"/>
        </w:rPr>
        <w:t xml:space="preserve">representations were not about physical structure or the likelihood of obtaining zoning approval but rather “several steps removed from that, requiring assumptions and speculation about how the </w:t>
      </w:r>
      <w:r>
        <w:rPr>
          <w:rFonts w:eastAsia="Times New Roman"/>
          <w:color w:val="000000" w:themeColor="text1"/>
          <w:szCs w:val="26"/>
        </w:rPr>
        <w:t>c</w:t>
      </w:r>
      <w:r w:rsidRPr="0065724E">
        <w:rPr>
          <w:rFonts w:eastAsia="Times New Roman"/>
          <w:color w:val="000000" w:themeColor="text1"/>
          <w:szCs w:val="26"/>
        </w:rPr>
        <w:t xml:space="preserve">ity will interpret its zoning laws in the future.”  </w:t>
      </w:r>
      <w:r>
        <w:rPr>
          <w:rFonts w:eastAsia="Times New Roman"/>
          <w:color w:val="000000" w:themeColor="text1"/>
          <w:szCs w:val="26"/>
        </w:rPr>
        <w:t>Beverly</w:t>
      </w:r>
      <w:r w:rsidRPr="0065724E">
        <w:rPr>
          <w:rFonts w:eastAsia="Times New Roman"/>
          <w:color w:val="000000" w:themeColor="text1"/>
          <w:szCs w:val="26"/>
        </w:rPr>
        <w:t xml:space="preserve"> misrepresented facts that not only </w:t>
      </w:r>
      <w:r w:rsidRPr="0065724E">
        <w:rPr>
          <w:rFonts w:eastAsia="Times New Roman"/>
          <w:i/>
          <w:iCs/>
          <w:color w:val="000000" w:themeColor="text1"/>
          <w:szCs w:val="26"/>
        </w:rPr>
        <w:t>could</w:t>
      </w:r>
      <w:r w:rsidRPr="0065724E">
        <w:rPr>
          <w:rFonts w:eastAsia="Times New Roman"/>
          <w:color w:val="000000" w:themeColor="text1"/>
          <w:szCs w:val="26"/>
        </w:rPr>
        <w:t xml:space="preserve"> result in the Department’s refusal to allow Hong to utilize the existing conditional use permit but likely </w:t>
      </w:r>
      <w:r w:rsidRPr="0065724E">
        <w:rPr>
          <w:rFonts w:eastAsia="Times New Roman"/>
          <w:i/>
          <w:iCs/>
          <w:color w:val="000000" w:themeColor="text1"/>
          <w:szCs w:val="26"/>
        </w:rPr>
        <w:t xml:space="preserve">would </w:t>
      </w:r>
      <w:r w:rsidRPr="0065724E">
        <w:rPr>
          <w:rFonts w:eastAsia="Times New Roman"/>
          <w:color w:val="000000" w:themeColor="text1"/>
          <w:szCs w:val="26"/>
        </w:rPr>
        <w:t>have that result unless the Department was unaware of or chose to ignore them.  This presented a risk to Hong that was tangible and material, threatening her ability to fulfill the very purpose of the lease.  That the misrepresentations in the present case involve a risk rather than a certainty of injury</w:t>
      </w:r>
      <w:r w:rsidRPr="0065724E">
        <w:rPr>
          <w:rFonts w:eastAsia="Times New Roman"/>
          <w:i/>
          <w:iCs/>
          <w:color w:val="000000" w:themeColor="text1"/>
          <w:szCs w:val="26"/>
        </w:rPr>
        <w:t xml:space="preserve"> </w:t>
      </w:r>
      <w:r w:rsidRPr="0065724E">
        <w:rPr>
          <w:rFonts w:eastAsia="Times New Roman"/>
          <w:color w:val="000000" w:themeColor="text1"/>
          <w:szCs w:val="26"/>
        </w:rPr>
        <w:t xml:space="preserve">does not undermine </w:t>
      </w:r>
      <w:r>
        <w:rPr>
          <w:rFonts w:eastAsia="Times New Roman"/>
          <w:color w:val="000000" w:themeColor="text1"/>
          <w:szCs w:val="26"/>
        </w:rPr>
        <w:t>its</w:t>
      </w:r>
      <w:r w:rsidRPr="0065724E">
        <w:rPr>
          <w:rFonts w:eastAsia="Times New Roman"/>
          <w:color w:val="000000" w:themeColor="text1"/>
          <w:szCs w:val="26"/>
        </w:rPr>
        <w:t xml:space="preserve"> similarities </w:t>
      </w:r>
      <w:r>
        <w:rPr>
          <w:rFonts w:eastAsia="Times New Roman"/>
          <w:color w:val="000000" w:themeColor="text1"/>
          <w:szCs w:val="26"/>
        </w:rPr>
        <w:t xml:space="preserve">to </w:t>
      </w:r>
      <w:r>
        <w:rPr>
          <w:rFonts w:eastAsia="Times New Roman"/>
          <w:i/>
          <w:color w:val="000000" w:themeColor="text1"/>
          <w:szCs w:val="26"/>
        </w:rPr>
        <w:t>McClain</w:t>
      </w:r>
      <w:r>
        <w:t>—</w:t>
      </w:r>
      <w:r w:rsidRPr="0065724E">
        <w:rPr>
          <w:rFonts w:eastAsia="Times New Roman"/>
          <w:color w:val="000000" w:themeColor="text1"/>
          <w:szCs w:val="26"/>
        </w:rPr>
        <w:t>misrepresentations by lessors presenting themselves as highly knowledgeable about the facts</w:t>
      </w:r>
      <w:r>
        <w:rPr>
          <w:rFonts w:eastAsia="Times New Roman"/>
          <w:color w:val="000000" w:themeColor="text1"/>
          <w:szCs w:val="26"/>
        </w:rPr>
        <w:t>,</w:t>
      </w:r>
      <w:r w:rsidRPr="0065724E">
        <w:rPr>
          <w:rFonts w:eastAsia="Times New Roman"/>
          <w:color w:val="000000" w:themeColor="text1"/>
          <w:szCs w:val="26"/>
        </w:rPr>
        <w:t xml:space="preserve"> and efforts (albeit to differing extents) to dissuade the lessees from questioning their representations.  </w:t>
      </w:r>
    </w:p>
    <w:p w:rsidR="0C394ECD" w:rsidRPr="0065724E" w:rsidP="003F45BE">
      <w:pPr>
        <w:spacing w:line="360" w:lineRule="auto"/>
        <w:ind w:firstLine="720"/>
        <w:rPr>
          <w:rFonts w:eastAsia="Times New Roman"/>
          <w:color w:val="000000" w:themeColor="text1"/>
          <w:szCs w:val="26"/>
        </w:rPr>
      </w:pPr>
      <w:r w:rsidRPr="5CA9A013">
        <w:rPr>
          <w:rFonts w:eastAsia="Times New Roman"/>
          <w:i/>
          <w:iCs/>
        </w:rPr>
        <w:t>“</w:t>
      </w:r>
      <w:r w:rsidRPr="5CA9A013">
        <w:rPr>
          <w:rFonts w:eastAsia="Times New Roman"/>
          <w:color w:val="000000" w:themeColor="text1"/>
        </w:rPr>
        <w:t>It is well established in California that in an action for fraud or deceit, negligence on the part of the plaintiff in failing to discover the falsity of the defendant</w:t>
      </w:r>
      <w:r>
        <w:rPr>
          <w:rFonts w:eastAsia="Times New Roman"/>
          <w:color w:val="000000" w:themeColor="text1"/>
        </w:rPr>
        <w:t>’</w:t>
      </w:r>
      <w:r w:rsidRPr="5CA9A013">
        <w:rPr>
          <w:rFonts w:eastAsia="Times New Roman"/>
          <w:color w:val="000000" w:themeColor="text1"/>
        </w:rPr>
        <w:t>s statement is no defense when the misrepresentation was intentional.</w:t>
      </w:r>
      <w:r>
        <w:rPr>
          <w:rFonts w:eastAsia="Times New Roman"/>
          <w:color w:val="000000" w:themeColor="text1"/>
        </w:rPr>
        <w:t xml:space="preserve"> </w:t>
      </w:r>
      <w:r w:rsidRPr="5CA9A013">
        <w:rPr>
          <w:rFonts w:eastAsia="Times New Roman"/>
          <w:color w:val="000000" w:themeColor="text1"/>
        </w:rPr>
        <w:t xml:space="preserve"> (</w:t>
      </w:r>
      <w:r w:rsidRPr="5CA9A013">
        <w:rPr>
          <w:rFonts w:eastAsia="Times New Roman"/>
          <w:i/>
          <w:iCs/>
          <w:color w:val="000000" w:themeColor="text1"/>
        </w:rPr>
        <w:t>Alliance Mortgage Co. v. Rothwell, supra,</w:t>
      </w:r>
      <w:r w:rsidRPr="5CA9A013">
        <w:rPr>
          <w:rFonts w:eastAsia="Times New Roman"/>
          <w:color w:val="000000" w:themeColor="text1"/>
        </w:rPr>
        <w:t xml:space="preserve"> 10 Cal.4th at pp. 1239–1240; </w:t>
      </w:r>
      <w:r w:rsidRPr="5CA9A013">
        <w:rPr>
          <w:rFonts w:eastAsia="Times New Roman"/>
          <w:i/>
          <w:iCs/>
          <w:color w:val="000000" w:themeColor="text1"/>
        </w:rPr>
        <w:t>Seeger</w:t>
      </w:r>
      <w:r w:rsidRPr="5CA9A013">
        <w:rPr>
          <w:rFonts w:eastAsia="Times New Roman"/>
          <w:color w:val="000000" w:themeColor="text1"/>
        </w:rPr>
        <w:t xml:space="preserve">[, </w:t>
      </w:r>
      <w:r w:rsidRPr="5CA9A013">
        <w:rPr>
          <w:rFonts w:eastAsia="Times New Roman"/>
          <w:i/>
          <w:iCs/>
          <w:color w:val="000000" w:themeColor="text1"/>
        </w:rPr>
        <w:t>supra,</w:t>
      </w:r>
      <w:r w:rsidRPr="5CA9A013">
        <w:rPr>
          <w:rFonts w:eastAsia="Times New Roman"/>
          <w:color w:val="000000" w:themeColor="text1"/>
        </w:rPr>
        <w:t>]</w:t>
      </w:r>
      <w:r w:rsidRPr="5CA9A013">
        <w:rPr>
          <w:rFonts w:eastAsia="Times New Roman"/>
          <w:i/>
          <w:iCs/>
          <w:color w:val="000000" w:themeColor="text1"/>
        </w:rPr>
        <w:t xml:space="preserve"> </w:t>
      </w:r>
      <w:r w:rsidRPr="5CA9A013">
        <w:rPr>
          <w:rFonts w:eastAsia="Times New Roman"/>
          <w:color w:val="000000" w:themeColor="text1"/>
        </w:rPr>
        <w:t xml:space="preserve">18 Cal.2d [at p. 414; see also 5 Witkin, Summary of Cal. Law, </w:t>
      </w:r>
      <w:r w:rsidRPr="5CA9A013">
        <w:rPr>
          <w:rFonts w:eastAsia="Times New Roman"/>
          <w:i/>
          <w:iCs/>
          <w:color w:val="000000" w:themeColor="text1"/>
        </w:rPr>
        <w:t>supra,</w:t>
      </w:r>
      <w:r w:rsidRPr="5CA9A013">
        <w:rPr>
          <w:rFonts w:eastAsia="Times New Roman"/>
          <w:color w:val="000000" w:themeColor="text1"/>
        </w:rPr>
        <w:t xml:space="preserve"> Torts, § 812, p. 1173.)”  (</w:t>
      </w:r>
      <w:r w:rsidRPr="5CA9A013">
        <w:rPr>
          <w:rFonts w:eastAsia="Times New Roman"/>
          <w:i/>
          <w:iCs/>
          <w:color w:val="000000" w:themeColor="text1"/>
        </w:rPr>
        <w:t xml:space="preserve">Manderville, supra, </w:t>
      </w:r>
      <w:r w:rsidRPr="5CA9A013">
        <w:rPr>
          <w:rFonts w:eastAsia="Times New Roman"/>
          <w:color w:val="000000" w:themeColor="text1"/>
        </w:rPr>
        <w:t>146 Cal.App.4th at pp. 1502–1503.)  “ ‘The fact that an investigation would have revealed the falsity of the misrepresentation will not alone bar [the plaintiff</w:t>
      </w:r>
      <w:r>
        <w:rPr>
          <w:rFonts w:eastAsia="Times New Roman"/>
          <w:color w:val="000000" w:themeColor="text1"/>
        </w:rPr>
        <w:t>’</w:t>
      </w:r>
      <w:r w:rsidRPr="5CA9A013">
        <w:rPr>
          <w:rFonts w:eastAsia="Times New Roman"/>
          <w:color w:val="000000" w:themeColor="text1"/>
        </w:rPr>
        <w:t>s] recovery [citations], and it is well established that he is not held to constructive notice of a public record which would reveal the true facts.</w:t>
      </w:r>
      <w:r>
        <w:rPr>
          <w:rFonts w:eastAsia="Times New Roman"/>
          <w:color w:val="000000" w:themeColor="text1"/>
        </w:rPr>
        <w:t xml:space="preserve"> </w:t>
      </w:r>
      <w:r w:rsidRPr="5CA9A013">
        <w:rPr>
          <w:rFonts w:eastAsia="Times New Roman"/>
          <w:color w:val="000000" w:themeColor="text1"/>
        </w:rPr>
        <w:t xml:space="preserve"> [Citations].’</w:t>
      </w:r>
      <w:r>
        <w:rPr>
          <w:rFonts w:eastAsia="Times New Roman"/>
          <w:color w:val="000000" w:themeColor="text1"/>
        </w:rPr>
        <w:t xml:space="preserve"> </w:t>
      </w:r>
      <w:r w:rsidRPr="5CA9A013">
        <w:rPr>
          <w:rFonts w:eastAsia="Times New Roman"/>
          <w:color w:val="000000" w:themeColor="text1"/>
        </w:rPr>
        <w:t>”  (</w:t>
      </w:r>
      <w:r w:rsidRPr="5CA9A013">
        <w:rPr>
          <w:rFonts w:eastAsia="Times New Roman"/>
          <w:i/>
          <w:iCs/>
          <w:color w:val="000000" w:themeColor="text1"/>
        </w:rPr>
        <w:t>Id.</w:t>
      </w:r>
      <w:r w:rsidRPr="5CA9A013">
        <w:rPr>
          <w:rFonts w:eastAsia="Times New Roman"/>
          <w:color w:val="000000" w:themeColor="text1"/>
        </w:rPr>
        <w:t xml:space="preserve"> at p. 1503, quoting </w:t>
      </w:r>
      <w:r w:rsidRPr="5CA9A013">
        <w:rPr>
          <w:rFonts w:eastAsia="Times New Roman"/>
          <w:i/>
          <w:iCs/>
          <w:color w:val="000000" w:themeColor="text1"/>
        </w:rPr>
        <w:t xml:space="preserve">Seeger, </w:t>
      </w:r>
      <w:r w:rsidRPr="5CA9A013">
        <w:rPr>
          <w:rFonts w:eastAsia="Times New Roman"/>
          <w:color w:val="000000" w:themeColor="text1"/>
        </w:rPr>
        <w:t xml:space="preserve">at pp. 414–415.)  Here, in light of the confusion in the Department and the September 2014 approval of Hong’s </w:t>
      </w:r>
      <w:r>
        <w:rPr>
          <w:rFonts w:eastAsia="Times New Roman"/>
          <w:color w:val="000000" w:themeColor="text1"/>
        </w:rPr>
        <w:t xml:space="preserve">use of </w:t>
      </w:r>
      <w:r w:rsidRPr="5CA9A013">
        <w:rPr>
          <w:rFonts w:eastAsia="Times New Roman"/>
          <w:color w:val="000000" w:themeColor="text1"/>
        </w:rPr>
        <w:t xml:space="preserve">the </w:t>
      </w:r>
      <w:r>
        <w:rPr>
          <w:rFonts w:eastAsia="Times New Roman"/>
          <w:color w:val="000000" w:themeColor="text1"/>
        </w:rPr>
        <w:t xml:space="preserve">existing </w:t>
      </w:r>
      <w:r w:rsidRPr="5CA9A013">
        <w:rPr>
          <w:rFonts w:eastAsia="Times New Roman"/>
          <w:color w:val="000000" w:themeColor="text1"/>
        </w:rPr>
        <w:t xml:space="preserve">conditional use permit, it is not even clear that further investigation </w:t>
      </w:r>
      <w:r>
        <w:rPr>
          <w:rFonts w:eastAsia="Times New Roman"/>
          <w:color w:val="000000" w:themeColor="text1"/>
        </w:rPr>
        <w:t xml:space="preserve">at the time </w:t>
      </w:r>
      <w:r w:rsidRPr="5CA9A013">
        <w:rPr>
          <w:rFonts w:eastAsia="Times New Roman"/>
          <w:color w:val="000000" w:themeColor="text1"/>
        </w:rPr>
        <w:t xml:space="preserve">would have revealed the falsity of </w:t>
      </w:r>
      <w:r>
        <w:rPr>
          <w:rFonts w:eastAsia="Times New Roman"/>
          <w:color w:val="000000" w:themeColor="text1"/>
        </w:rPr>
        <w:t>Beverly</w:t>
      </w:r>
      <w:r w:rsidRPr="5CA9A013">
        <w:rPr>
          <w:rFonts w:eastAsia="Times New Roman"/>
          <w:color w:val="000000" w:themeColor="text1"/>
        </w:rPr>
        <w:t>’s representations.</w:t>
      </w:r>
      <w:r>
        <w:rPr>
          <w:rStyle w:val="FootnoteReference"/>
          <w:rFonts w:eastAsia="Times New Roman"/>
          <w:color w:val="000000" w:themeColor="text1"/>
        </w:rPr>
        <w:footnoteReference w:id="28"/>
      </w:r>
    </w:p>
    <w:p w:rsidR="00FA3848" w:rsidRPr="0065724E" w:rsidP="003F45BE">
      <w:pPr>
        <w:spacing w:line="360" w:lineRule="auto"/>
        <w:ind w:firstLine="720"/>
        <w:rPr>
          <w:rFonts w:eastAsia="Times New Roman"/>
          <w:szCs w:val="26"/>
        </w:rPr>
      </w:pPr>
      <w:r w:rsidRPr="0065724E">
        <w:rPr>
          <w:rFonts w:eastAsia="Times New Roman"/>
          <w:color w:val="3D3D3D"/>
          <w:szCs w:val="26"/>
        </w:rPr>
        <w:t>“ ‘Except in the rare case where the undisputed facts leave no room for a reasonable difference of opinion, the question of whether a plaintiff</w:t>
      </w:r>
      <w:r>
        <w:rPr>
          <w:rFonts w:eastAsia="Times New Roman"/>
          <w:color w:val="3D3D3D"/>
          <w:szCs w:val="26"/>
        </w:rPr>
        <w:t>’</w:t>
      </w:r>
      <w:r w:rsidRPr="0065724E">
        <w:rPr>
          <w:rFonts w:eastAsia="Times New Roman"/>
          <w:color w:val="3D3D3D"/>
          <w:szCs w:val="26"/>
        </w:rPr>
        <w:t>s reliance is reasonable is a question of fact.’</w:t>
      </w:r>
      <w:r>
        <w:rPr>
          <w:rFonts w:eastAsia="Times New Roman"/>
          <w:color w:val="3D3D3D"/>
          <w:szCs w:val="26"/>
        </w:rPr>
        <w:t xml:space="preserve"> </w:t>
      </w:r>
      <w:r w:rsidRPr="0065724E">
        <w:rPr>
          <w:rFonts w:eastAsia="Times New Roman"/>
          <w:color w:val="3D3D3D"/>
          <w:szCs w:val="26"/>
        </w:rPr>
        <w:t xml:space="preserve">” </w:t>
      </w:r>
      <w:r>
        <w:rPr>
          <w:rFonts w:eastAsia="Times New Roman"/>
          <w:color w:val="3D3D3D"/>
          <w:szCs w:val="26"/>
        </w:rPr>
        <w:t xml:space="preserve"> </w:t>
      </w:r>
      <w:r w:rsidRPr="0065724E">
        <w:rPr>
          <w:rFonts w:eastAsia="Times New Roman"/>
          <w:color w:val="3D3D3D"/>
          <w:szCs w:val="26"/>
        </w:rPr>
        <w:t>(</w:t>
      </w:r>
      <w:r w:rsidRPr="0065724E">
        <w:rPr>
          <w:rFonts w:eastAsia="Times New Roman"/>
          <w:i/>
          <w:iCs/>
          <w:color w:val="3D3D3D"/>
          <w:szCs w:val="26"/>
        </w:rPr>
        <w:t xml:space="preserve">Alliance Mortgage, supra, </w:t>
      </w:r>
      <w:r w:rsidRPr="0065724E">
        <w:rPr>
          <w:rFonts w:eastAsia="Times New Roman"/>
          <w:color w:val="3D3D3D"/>
          <w:szCs w:val="26"/>
        </w:rPr>
        <w:t>10 Cal.4th at p.</w:t>
      </w:r>
      <w:r>
        <w:rPr>
          <w:rFonts w:eastAsia="Times New Roman"/>
          <w:color w:val="3D3D3D"/>
          <w:szCs w:val="26"/>
        </w:rPr>
        <w:t> </w:t>
      </w:r>
      <w:r w:rsidRPr="0065724E">
        <w:rPr>
          <w:rFonts w:eastAsia="Times New Roman"/>
          <w:color w:val="3D3D3D"/>
          <w:szCs w:val="26"/>
        </w:rPr>
        <w:t xml:space="preserve">1239, quoting </w:t>
      </w:r>
      <w:r w:rsidRPr="0065724E">
        <w:rPr>
          <w:rFonts w:eastAsia="Times New Roman"/>
          <w:i/>
          <w:iCs/>
          <w:color w:val="3D3D3D"/>
          <w:szCs w:val="26"/>
        </w:rPr>
        <w:t xml:space="preserve">Blankenheim v. E.F. Hutton &amp; Co., supra, </w:t>
      </w:r>
      <w:r w:rsidRPr="0065724E">
        <w:rPr>
          <w:rFonts w:eastAsia="Times New Roman"/>
          <w:color w:val="3D3D3D"/>
          <w:szCs w:val="26"/>
        </w:rPr>
        <w:t xml:space="preserve">217 Cal.App. 3d at p. 1475; </w:t>
      </w:r>
      <w:r w:rsidRPr="0065724E">
        <w:rPr>
          <w:rFonts w:eastAsia="Times New Roman"/>
          <w:i/>
          <w:iCs/>
          <w:color w:val="3D3D3D"/>
          <w:szCs w:val="26"/>
        </w:rPr>
        <w:t>Orozco</w:t>
      </w:r>
      <w:r>
        <w:rPr>
          <w:rFonts w:eastAsia="Times New Roman"/>
          <w:i/>
          <w:iCs/>
          <w:color w:val="3D3D3D"/>
          <w:szCs w:val="26"/>
        </w:rPr>
        <w:t xml:space="preserve"> v. WPV San Jose, LLC</w:t>
      </w:r>
      <w:r w:rsidRPr="0065724E">
        <w:rPr>
          <w:rFonts w:eastAsia="Times New Roman"/>
          <w:i/>
          <w:iCs/>
          <w:color w:val="3D3D3D"/>
          <w:szCs w:val="26"/>
        </w:rPr>
        <w:t xml:space="preserve">, supra, </w:t>
      </w:r>
      <w:r w:rsidRPr="0065724E">
        <w:rPr>
          <w:rFonts w:eastAsia="Times New Roman"/>
          <w:color w:val="3D3D3D"/>
          <w:szCs w:val="26"/>
        </w:rPr>
        <w:t xml:space="preserve">36 Cal.App.5th at p. </w:t>
      </w:r>
      <w:r>
        <w:rPr>
          <w:rFonts w:eastAsia="Times New Roman"/>
          <w:color w:val="3D3D3D"/>
          <w:szCs w:val="26"/>
        </w:rPr>
        <w:t>391</w:t>
      </w:r>
      <w:r w:rsidRPr="0065724E">
        <w:rPr>
          <w:rFonts w:eastAsia="Times New Roman"/>
          <w:color w:val="3D3D3D"/>
          <w:szCs w:val="26"/>
        </w:rPr>
        <w:t>.)</w:t>
      </w:r>
      <w:r w:rsidRPr="0065724E">
        <w:rPr>
          <w:rFonts w:eastAsia="Times New Roman"/>
          <w:color w:val="000000" w:themeColor="text1"/>
          <w:szCs w:val="26"/>
        </w:rPr>
        <w:t xml:space="preserve">  This is not that rare case.  The jury’s verdict is supported by substantial evidence.</w:t>
      </w:r>
      <w:r w:rsidRPr="0065724E">
        <w:rPr>
          <w:rFonts w:eastAsia="Times New Roman"/>
          <w:szCs w:val="26"/>
        </w:rPr>
        <w:t xml:space="preserve"> </w:t>
      </w:r>
    </w:p>
    <w:p w:rsidR="00A55374" w:rsidRPr="007C7EEB" w:rsidP="00AB1333">
      <w:pPr>
        <w:spacing w:line="360" w:lineRule="auto"/>
        <w:jc w:val="center"/>
        <w:rPr>
          <w:rFonts w:eastAsia="Times New Roman"/>
          <w:b/>
          <w:szCs w:val="26"/>
        </w:rPr>
      </w:pPr>
      <w:r w:rsidRPr="007C7EEB">
        <w:rPr>
          <w:rFonts w:eastAsia="Times New Roman"/>
          <w:b/>
          <w:szCs w:val="26"/>
        </w:rPr>
        <w:t>B.</w:t>
      </w:r>
    </w:p>
    <w:p w:rsidR="00E13224" w:rsidP="007B1EA8">
      <w:pPr>
        <w:spacing w:line="360" w:lineRule="auto"/>
        <w:ind w:firstLine="720"/>
        <w:rPr>
          <w:rFonts w:eastAsia="Times New Roman"/>
          <w:szCs w:val="26"/>
        </w:rPr>
      </w:pPr>
      <w:r>
        <w:rPr>
          <w:rFonts w:eastAsia="Times New Roman"/>
          <w:szCs w:val="26"/>
        </w:rPr>
        <w:t>“ ‘</w:t>
      </w:r>
      <w:r w:rsidRPr="007B1EA8">
        <w:rPr>
          <w:rFonts w:eastAsia="Times New Roman"/>
          <w:szCs w:val="26"/>
        </w:rPr>
        <w:t xml:space="preserve">Concealment is a term of art which includes mere nondisclosure when a party has a duty to disclose. </w:t>
      </w:r>
      <w:r>
        <w:rPr>
          <w:rFonts w:eastAsia="Times New Roman"/>
          <w:szCs w:val="26"/>
        </w:rPr>
        <w:t xml:space="preserve"> </w:t>
      </w:r>
      <w:r w:rsidRPr="007B1EA8">
        <w:rPr>
          <w:rFonts w:eastAsia="Times New Roman"/>
          <w:szCs w:val="26"/>
        </w:rPr>
        <w:t xml:space="preserve">[Citations.] </w:t>
      </w:r>
      <w:r>
        <w:rPr>
          <w:rFonts w:eastAsia="Times New Roman"/>
          <w:szCs w:val="26"/>
        </w:rPr>
        <w:t xml:space="preserve">. . . </w:t>
      </w:r>
      <w:r w:rsidRPr="007B1EA8">
        <w:rPr>
          <w:rFonts w:eastAsia="Times New Roman"/>
          <w:szCs w:val="26"/>
        </w:rPr>
        <w:t xml:space="preserve"> [¶]</w:t>
      </w:r>
      <w:r>
        <w:rPr>
          <w:rFonts w:eastAsia="Times New Roman"/>
          <w:szCs w:val="26"/>
        </w:rPr>
        <w:t> </w:t>
      </w:r>
      <w:r w:rsidRPr="007B1EA8">
        <w:rPr>
          <w:rFonts w:eastAsia="Times New Roman"/>
          <w:szCs w:val="26"/>
        </w:rPr>
        <w:t>In general, a seller of real property has a duty to disclose:</w:t>
      </w:r>
      <w:r>
        <w:rPr>
          <w:rFonts w:eastAsia="Times New Roman"/>
          <w:szCs w:val="26"/>
        </w:rPr>
        <w:t xml:space="preserve"> </w:t>
      </w:r>
      <w:r w:rsidRPr="007B1EA8">
        <w:rPr>
          <w:rFonts w:eastAsia="Times New Roman"/>
          <w:szCs w:val="26"/>
        </w:rPr>
        <w:t xml:space="preserve"> </w:t>
      </w:r>
      <w:r>
        <w:rPr>
          <w:rFonts w:eastAsia="Times New Roman"/>
          <w:szCs w:val="26"/>
        </w:rPr>
        <w:t>“</w:t>
      </w:r>
      <w:r w:rsidRPr="007B1EA8">
        <w:rPr>
          <w:rFonts w:eastAsia="Times New Roman"/>
          <w:szCs w:val="26"/>
        </w:rPr>
        <w:t xml:space="preserve">where the seller knows of facts </w:t>
      </w:r>
      <w:r w:rsidRPr="00A9317E">
        <w:rPr>
          <w:rFonts w:eastAsia="Times New Roman"/>
          <w:i/>
          <w:szCs w:val="26"/>
        </w:rPr>
        <w:t>materially</w:t>
      </w:r>
      <w:r w:rsidRPr="007B1EA8">
        <w:rPr>
          <w:rFonts w:eastAsia="Times New Roman"/>
          <w:szCs w:val="26"/>
        </w:rPr>
        <w:t xml:space="preserve"> affecting the value or desirability of the property which are known or accessible only to him and also knows that such facts are not known to, or within the reach of the diligent attention and observation of the buyer, the seller is under a duty to disclose them to the buyer</w:t>
      </w:r>
      <w:r>
        <w:rPr>
          <w:rFonts w:eastAsia="Times New Roman"/>
          <w:szCs w:val="26"/>
        </w:rPr>
        <w:t>. . . .”</w:t>
      </w:r>
      <w:r w:rsidRPr="007B1EA8">
        <w:rPr>
          <w:rFonts w:eastAsia="Times New Roman"/>
          <w:szCs w:val="26"/>
        </w:rPr>
        <w:t xml:space="preserve"> </w:t>
      </w:r>
      <w:r>
        <w:rPr>
          <w:rFonts w:eastAsia="Times New Roman"/>
          <w:szCs w:val="26"/>
        </w:rPr>
        <w:t xml:space="preserve"> </w:t>
      </w:r>
      <w:r w:rsidRPr="007B1EA8">
        <w:rPr>
          <w:rFonts w:eastAsia="Times New Roman"/>
          <w:szCs w:val="26"/>
        </w:rPr>
        <w:t>[Citation.]</w:t>
      </w:r>
      <w:r>
        <w:rPr>
          <w:rFonts w:eastAsia="Times New Roman"/>
          <w:szCs w:val="26"/>
        </w:rPr>
        <w:t xml:space="preserve">’ </w:t>
      </w:r>
      <w:r w:rsidRPr="007B1EA8">
        <w:rPr>
          <w:rFonts w:eastAsia="Times New Roman"/>
          <w:szCs w:val="26"/>
        </w:rPr>
        <w:t xml:space="preserve"> (</w:t>
      </w:r>
      <w:r w:rsidRPr="00585B3B">
        <w:rPr>
          <w:rFonts w:eastAsia="Times New Roman"/>
          <w:i/>
          <w:szCs w:val="26"/>
        </w:rPr>
        <w:t>Reed v. King</w:t>
      </w:r>
      <w:r>
        <w:rPr>
          <w:rFonts w:eastAsia="Times New Roman"/>
          <w:szCs w:val="26"/>
        </w:rPr>
        <w:t xml:space="preserve"> [(1983)]</w:t>
      </w:r>
      <w:r w:rsidRPr="007B1EA8">
        <w:rPr>
          <w:rFonts w:eastAsia="Times New Roman"/>
          <w:szCs w:val="26"/>
        </w:rPr>
        <w:t xml:space="preserve"> 145 Cal.App.3d </w:t>
      </w:r>
      <w:r>
        <w:rPr>
          <w:rFonts w:eastAsia="Times New Roman"/>
          <w:szCs w:val="26"/>
        </w:rPr>
        <w:t>[261,]</w:t>
      </w:r>
      <w:r w:rsidRPr="007B1EA8">
        <w:rPr>
          <w:rFonts w:eastAsia="Times New Roman"/>
          <w:szCs w:val="26"/>
        </w:rPr>
        <w:t xml:space="preserve"> 265 [residential real estate transactions], original italics, fn. omitted.)</w:t>
      </w:r>
      <w:r>
        <w:rPr>
          <w:rFonts w:eastAsia="Times New Roman"/>
          <w:szCs w:val="26"/>
        </w:rPr>
        <w:t>”  (</w:t>
      </w:r>
      <w:r w:rsidRPr="007B1EA8">
        <w:rPr>
          <w:rFonts w:eastAsia="Times New Roman"/>
          <w:i/>
          <w:szCs w:val="26"/>
        </w:rPr>
        <w:t>Stevenson v. Baum</w:t>
      </w:r>
      <w:r w:rsidRPr="007B1EA8">
        <w:rPr>
          <w:rFonts w:eastAsia="Times New Roman"/>
          <w:szCs w:val="26"/>
        </w:rPr>
        <w:t xml:space="preserve"> (1998) 65 Cal.App.4th 159, 165</w:t>
      </w:r>
      <w:r>
        <w:rPr>
          <w:rFonts w:eastAsia="Times New Roman"/>
          <w:szCs w:val="26"/>
        </w:rPr>
        <w:t>.)</w:t>
      </w:r>
    </w:p>
    <w:p w:rsidR="00A55374" w:rsidRPr="0065724E" w:rsidP="003F45BE">
      <w:pPr>
        <w:spacing w:line="360" w:lineRule="auto"/>
        <w:ind w:firstLine="720"/>
        <w:rPr>
          <w:rFonts w:eastAsia="Times New Roman"/>
          <w:color w:val="000000" w:themeColor="text1"/>
          <w:szCs w:val="26"/>
        </w:rPr>
      </w:pPr>
      <w:r w:rsidRPr="0065724E">
        <w:rPr>
          <w:rFonts w:eastAsia="Times New Roman"/>
          <w:szCs w:val="26"/>
        </w:rPr>
        <w:t xml:space="preserve">The theory of </w:t>
      </w:r>
      <w:r>
        <w:rPr>
          <w:rFonts w:eastAsia="Times New Roman"/>
          <w:szCs w:val="26"/>
        </w:rPr>
        <w:t>Hong’s</w:t>
      </w:r>
      <w:r w:rsidRPr="0065724E">
        <w:rPr>
          <w:rFonts w:eastAsia="Times New Roman"/>
          <w:szCs w:val="26"/>
        </w:rPr>
        <w:t xml:space="preserve"> cause of action for fraudulent concealment was that </w:t>
      </w:r>
      <w:r>
        <w:rPr>
          <w:rFonts w:eastAsia="Times New Roman"/>
          <w:szCs w:val="26"/>
        </w:rPr>
        <w:t>she</w:t>
      </w:r>
      <w:r w:rsidRPr="0065724E">
        <w:rPr>
          <w:rFonts w:eastAsia="Times New Roman"/>
          <w:szCs w:val="26"/>
        </w:rPr>
        <w:t xml:space="preserve"> was induced to sign the lease by </w:t>
      </w:r>
      <w:r>
        <w:rPr>
          <w:rFonts w:eastAsia="Times New Roman"/>
          <w:szCs w:val="26"/>
        </w:rPr>
        <w:t>Beverly’s</w:t>
      </w:r>
      <w:r w:rsidRPr="0065724E">
        <w:rPr>
          <w:rFonts w:eastAsia="Times New Roman"/>
          <w:szCs w:val="26"/>
        </w:rPr>
        <w:t xml:space="preserve"> failure to disclose the gap in time between The Field and Le Bordeaux.  As </w:t>
      </w:r>
      <w:r>
        <w:rPr>
          <w:rFonts w:eastAsia="Times New Roman"/>
          <w:szCs w:val="26"/>
        </w:rPr>
        <w:t>Hong</w:t>
      </w:r>
      <w:r w:rsidRPr="0065724E">
        <w:rPr>
          <w:rFonts w:eastAsia="Times New Roman"/>
          <w:szCs w:val="26"/>
        </w:rPr>
        <w:t xml:space="preserve"> point</w:t>
      </w:r>
      <w:r>
        <w:rPr>
          <w:rFonts w:eastAsia="Times New Roman"/>
          <w:szCs w:val="26"/>
        </w:rPr>
        <w:t>s</w:t>
      </w:r>
      <w:r w:rsidRPr="0065724E">
        <w:rPr>
          <w:rFonts w:eastAsia="Times New Roman"/>
          <w:szCs w:val="26"/>
        </w:rPr>
        <w:t xml:space="preserve"> out, there was evidence that </w:t>
      </w:r>
      <w:r>
        <w:rPr>
          <w:rFonts w:eastAsia="Times New Roman"/>
          <w:szCs w:val="26"/>
        </w:rPr>
        <w:t>Beverly</w:t>
      </w:r>
      <w:r w:rsidRPr="0065724E">
        <w:rPr>
          <w:rFonts w:eastAsia="Times New Roman"/>
          <w:szCs w:val="26"/>
        </w:rPr>
        <w:t xml:space="preserve"> did not tell Hong about the length of the vacancy or its implications for the conditional use permit before the lease was executed, and that she attempted to obfuscate the issue by leaving off a page of the summary of permits for the property she sent to Hong.  </w:t>
      </w:r>
      <w:r>
        <w:rPr>
          <w:rFonts w:eastAsia="Times New Roman"/>
          <w:szCs w:val="26"/>
        </w:rPr>
        <w:t>Beverly</w:t>
      </w:r>
      <w:r w:rsidRPr="0065724E">
        <w:rPr>
          <w:rFonts w:eastAsia="Times New Roman"/>
          <w:szCs w:val="26"/>
        </w:rPr>
        <w:t xml:space="preserve"> contend</w:t>
      </w:r>
      <w:r>
        <w:rPr>
          <w:rFonts w:eastAsia="Times New Roman"/>
          <w:szCs w:val="26"/>
        </w:rPr>
        <w:t>s</w:t>
      </w:r>
      <w:r w:rsidRPr="0065724E">
        <w:rPr>
          <w:rFonts w:eastAsia="Times New Roman"/>
          <w:szCs w:val="26"/>
        </w:rPr>
        <w:t xml:space="preserve"> the jury’s verdict on this claim was not supported by substantial evidence for a number of reasons.</w:t>
      </w:r>
    </w:p>
    <w:p w:rsidR="00A55374" w:rsidRPr="0065724E" w:rsidP="003F45BE">
      <w:pPr>
        <w:spacing w:line="360" w:lineRule="auto"/>
        <w:ind w:firstLine="720"/>
        <w:rPr>
          <w:rFonts w:eastAsia="Times New Roman"/>
          <w:szCs w:val="26"/>
        </w:rPr>
      </w:pPr>
      <w:r w:rsidRPr="0065724E">
        <w:rPr>
          <w:rFonts w:eastAsia="Times New Roman"/>
          <w:szCs w:val="26"/>
        </w:rPr>
        <w:t xml:space="preserve">The first of these, that the disclaimers in the lease agreement put Hong on notice, we reject for the reasons discussed in connection with the cause of action for intentional misrepresentation:  The disclaimers did not insulate </w:t>
      </w:r>
      <w:r>
        <w:rPr>
          <w:rFonts w:eastAsia="Times New Roman"/>
          <w:szCs w:val="26"/>
        </w:rPr>
        <w:t>Beverly</w:t>
      </w:r>
      <w:r w:rsidRPr="0065724E">
        <w:rPr>
          <w:rFonts w:eastAsia="Times New Roman"/>
          <w:szCs w:val="26"/>
        </w:rPr>
        <w:t xml:space="preserve"> from liability and there was evidence from which the jury could reasonabl</w:t>
      </w:r>
      <w:r>
        <w:rPr>
          <w:rFonts w:eastAsia="Times New Roman"/>
          <w:szCs w:val="26"/>
        </w:rPr>
        <w:t>y</w:t>
      </w:r>
      <w:r w:rsidRPr="0065724E">
        <w:rPr>
          <w:rFonts w:eastAsia="Times New Roman"/>
          <w:szCs w:val="26"/>
        </w:rPr>
        <w:t xml:space="preserve"> conclude that Hong justifiably relied upon </w:t>
      </w:r>
      <w:r>
        <w:rPr>
          <w:rFonts w:eastAsia="Times New Roman"/>
          <w:szCs w:val="26"/>
        </w:rPr>
        <w:t>Beverly</w:t>
      </w:r>
      <w:r w:rsidRPr="0065724E">
        <w:rPr>
          <w:rFonts w:eastAsia="Times New Roman"/>
          <w:szCs w:val="26"/>
        </w:rPr>
        <w:t xml:space="preserve">’s representations, which failed to disclose the historical vacancy and its implications for the conditional use permit.  </w:t>
      </w:r>
      <w:r>
        <w:rPr>
          <w:rFonts w:eastAsia="Times New Roman"/>
          <w:szCs w:val="26"/>
        </w:rPr>
        <w:t>Beverly’s</w:t>
      </w:r>
      <w:r w:rsidRPr="0065724E">
        <w:rPr>
          <w:rFonts w:eastAsia="Times New Roman"/>
          <w:szCs w:val="26"/>
        </w:rPr>
        <w:t xml:space="preserve"> second argument, that </w:t>
      </w:r>
      <w:r>
        <w:rPr>
          <w:rFonts w:eastAsia="Times New Roman"/>
          <w:szCs w:val="26"/>
        </w:rPr>
        <w:t>she</w:t>
      </w:r>
      <w:r w:rsidRPr="0065724E">
        <w:rPr>
          <w:rFonts w:eastAsia="Times New Roman"/>
          <w:szCs w:val="26"/>
        </w:rPr>
        <w:t xml:space="preserve"> affirmatively told Hong she would not discuss the information Hong claims was fraudulently omitted, begs the question.  </w:t>
      </w:r>
      <w:r>
        <w:rPr>
          <w:rFonts w:eastAsia="Times New Roman"/>
          <w:szCs w:val="26"/>
        </w:rPr>
        <w:t>Beverly</w:t>
      </w:r>
      <w:r w:rsidRPr="0065724E">
        <w:rPr>
          <w:rFonts w:eastAsia="Times New Roman"/>
          <w:szCs w:val="26"/>
        </w:rPr>
        <w:t xml:space="preserve"> argue</w:t>
      </w:r>
      <w:r>
        <w:rPr>
          <w:rFonts w:eastAsia="Times New Roman"/>
          <w:szCs w:val="26"/>
        </w:rPr>
        <w:t>s</w:t>
      </w:r>
      <w:r w:rsidRPr="0065724E">
        <w:rPr>
          <w:rFonts w:eastAsia="Times New Roman"/>
          <w:szCs w:val="26"/>
        </w:rPr>
        <w:t xml:space="preserve"> that </w:t>
      </w:r>
      <w:r>
        <w:rPr>
          <w:rFonts w:eastAsia="Times New Roman"/>
          <w:szCs w:val="26"/>
        </w:rPr>
        <w:t>her</w:t>
      </w:r>
      <w:r w:rsidRPr="0065724E">
        <w:rPr>
          <w:rFonts w:eastAsia="Times New Roman"/>
          <w:szCs w:val="26"/>
        </w:rPr>
        <w:t xml:space="preserve"> refusal to discuss the subject should have put Hong on notice that </w:t>
      </w:r>
      <w:r>
        <w:rPr>
          <w:rFonts w:eastAsia="Times New Roman"/>
          <w:szCs w:val="26"/>
        </w:rPr>
        <w:t>Hong</w:t>
      </w:r>
      <w:r w:rsidRPr="0065724E">
        <w:rPr>
          <w:rFonts w:eastAsia="Times New Roman"/>
          <w:szCs w:val="26"/>
        </w:rPr>
        <w:t xml:space="preserve"> would have to find the information herself.  But Hong had no reason to know what there was about the prior tenant that </w:t>
      </w:r>
      <w:r>
        <w:rPr>
          <w:rFonts w:eastAsia="Times New Roman"/>
          <w:szCs w:val="26"/>
        </w:rPr>
        <w:t>Beverly</w:t>
      </w:r>
      <w:r w:rsidRPr="0065724E">
        <w:rPr>
          <w:rFonts w:eastAsia="Times New Roman"/>
          <w:szCs w:val="26"/>
        </w:rPr>
        <w:t xml:space="preserve"> did not want to discuss and therefore no way to know what she should be investigating.  There was evidence that </w:t>
      </w:r>
      <w:r>
        <w:rPr>
          <w:rFonts w:eastAsia="Times New Roman"/>
          <w:szCs w:val="26"/>
        </w:rPr>
        <w:t>Beverly</w:t>
      </w:r>
      <w:r w:rsidRPr="0065724E">
        <w:rPr>
          <w:rFonts w:eastAsia="Times New Roman"/>
          <w:szCs w:val="26"/>
        </w:rPr>
        <w:t xml:space="preserve"> knew about the vacancy, knew it was at least potentially problematic with respect to the conditional use permit and therefore knew that in refusing to discuss it she was depriving Hong of an opportunity to consider the associated risk; her refusal, especially in light of the evidence that she had not disclosed the vacancy to the owner of Le Bordeaux, did not disclose it to Hong initially or even after problems arose and Hong and her attorney were trying to solve them, was itself evidence of concealment. </w:t>
      </w:r>
    </w:p>
    <w:p w:rsidR="00A55374" w:rsidRPr="0065724E" w:rsidP="003F45BE">
      <w:pPr>
        <w:spacing w:line="360" w:lineRule="auto"/>
        <w:ind w:firstLine="720"/>
        <w:rPr>
          <w:rFonts w:eastAsia="Times New Roman"/>
          <w:szCs w:val="26"/>
        </w:rPr>
      </w:pPr>
      <w:r>
        <w:rPr>
          <w:rFonts w:eastAsia="Times New Roman"/>
          <w:szCs w:val="26"/>
        </w:rPr>
        <w:t>Beverly</w:t>
      </w:r>
      <w:r w:rsidRPr="0065724E">
        <w:rPr>
          <w:rFonts w:eastAsia="Times New Roman"/>
          <w:szCs w:val="26"/>
        </w:rPr>
        <w:t xml:space="preserve"> next assert</w:t>
      </w:r>
      <w:r>
        <w:rPr>
          <w:rFonts w:eastAsia="Times New Roman"/>
          <w:szCs w:val="26"/>
        </w:rPr>
        <w:t>s</w:t>
      </w:r>
      <w:r w:rsidRPr="0065724E">
        <w:rPr>
          <w:rFonts w:eastAsia="Times New Roman"/>
          <w:szCs w:val="26"/>
        </w:rPr>
        <w:t xml:space="preserve"> that there was no evidence </w:t>
      </w:r>
      <w:r>
        <w:rPr>
          <w:rFonts w:eastAsia="Times New Roman"/>
          <w:szCs w:val="26"/>
        </w:rPr>
        <w:t>she</w:t>
      </w:r>
      <w:r w:rsidRPr="0065724E">
        <w:rPr>
          <w:rFonts w:eastAsia="Times New Roman"/>
          <w:szCs w:val="26"/>
        </w:rPr>
        <w:t xml:space="preserve"> knew the Department would take “its unreasonable position concerning what is a ‘full</w:t>
      </w:r>
      <w:r>
        <w:rPr>
          <w:rFonts w:eastAsia="Times New Roman"/>
          <w:szCs w:val="26"/>
        </w:rPr>
        <w:t>-</w:t>
      </w:r>
      <w:r w:rsidRPr="0065724E">
        <w:rPr>
          <w:rFonts w:eastAsia="Times New Roman"/>
          <w:szCs w:val="26"/>
        </w:rPr>
        <w:t xml:space="preserve">service restaurant’ or reverse its long-standing position (expressed in the Basta Pasta determination) regarding discontinuance of use.”  They do not expand upon this assertion; the argument they offer on this point is that there was no evidence they knew the omitted information was material to Hong’s decision to sign the lease.  Acknowledging that there was evidence </w:t>
      </w:r>
      <w:r>
        <w:rPr>
          <w:rFonts w:eastAsia="Times New Roman"/>
          <w:szCs w:val="26"/>
        </w:rPr>
        <w:t>Beverly</w:t>
      </w:r>
      <w:r w:rsidRPr="0065724E">
        <w:rPr>
          <w:rFonts w:eastAsia="Times New Roman"/>
          <w:szCs w:val="26"/>
        </w:rPr>
        <w:t xml:space="preserve"> knew in 1998 that The Field was required to obtain a new conditional use approval </w:t>
      </w:r>
      <w:r>
        <w:rPr>
          <w:rFonts w:eastAsia="Times New Roman"/>
          <w:szCs w:val="26"/>
        </w:rPr>
        <w:t xml:space="preserve">only </w:t>
      </w:r>
      <w:r w:rsidRPr="0065724E">
        <w:rPr>
          <w:rFonts w:eastAsia="Times New Roman"/>
          <w:szCs w:val="26"/>
        </w:rPr>
        <w:t xml:space="preserve">because it had been more than three years since the prior restaurant at the property ceased operations, </w:t>
      </w:r>
      <w:r>
        <w:rPr>
          <w:rFonts w:eastAsia="Times New Roman"/>
          <w:szCs w:val="26"/>
        </w:rPr>
        <w:t>Beverly</w:t>
      </w:r>
      <w:r w:rsidRPr="0065724E">
        <w:rPr>
          <w:rFonts w:eastAsia="Times New Roman"/>
          <w:szCs w:val="26"/>
        </w:rPr>
        <w:t xml:space="preserve"> maintain</w:t>
      </w:r>
      <w:r>
        <w:rPr>
          <w:rFonts w:eastAsia="Times New Roman"/>
          <w:szCs w:val="26"/>
        </w:rPr>
        <w:t>s</w:t>
      </w:r>
      <w:r w:rsidRPr="0065724E">
        <w:rPr>
          <w:rFonts w:eastAsia="Times New Roman"/>
          <w:szCs w:val="26"/>
        </w:rPr>
        <w:t xml:space="preserve"> that since no new conditional use approval was required when Le Bordeaux opened, </w:t>
      </w:r>
      <w:r>
        <w:rPr>
          <w:rFonts w:eastAsia="Times New Roman"/>
          <w:szCs w:val="26"/>
        </w:rPr>
        <w:t>Beverly</w:t>
      </w:r>
      <w:r w:rsidRPr="0065724E">
        <w:rPr>
          <w:rFonts w:eastAsia="Times New Roman"/>
          <w:szCs w:val="26"/>
        </w:rPr>
        <w:t xml:space="preserve">’s knowledge of the significance of the three-year gap in 1998 was insufficient to support the inference that she believed this was still important in 2014.  </w:t>
      </w:r>
      <w:r>
        <w:rPr>
          <w:rFonts w:eastAsia="Times New Roman"/>
          <w:szCs w:val="26"/>
        </w:rPr>
        <w:t>Beverly</w:t>
      </w:r>
      <w:r w:rsidRPr="0065724E">
        <w:rPr>
          <w:rFonts w:eastAsia="Times New Roman"/>
          <w:szCs w:val="26"/>
        </w:rPr>
        <w:t xml:space="preserve"> further assert</w:t>
      </w:r>
      <w:r>
        <w:rPr>
          <w:rFonts w:eastAsia="Times New Roman"/>
          <w:szCs w:val="26"/>
        </w:rPr>
        <w:t xml:space="preserve">s it is illogical to assume </w:t>
      </w:r>
      <w:r w:rsidRPr="0065724E">
        <w:rPr>
          <w:rFonts w:eastAsia="Times New Roman"/>
          <w:szCs w:val="26"/>
        </w:rPr>
        <w:t xml:space="preserve">she knew the historical gap was material </w:t>
      </w:r>
      <w:r>
        <w:rPr>
          <w:rFonts w:eastAsia="Times New Roman"/>
          <w:szCs w:val="26"/>
        </w:rPr>
        <w:t>because</w:t>
      </w:r>
      <w:r w:rsidRPr="0065724E">
        <w:rPr>
          <w:rFonts w:eastAsia="Times New Roman"/>
          <w:szCs w:val="26"/>
        </w:rPr>
        <w:t xml:space="preserve"> the Department’s characterization of Le Bordeaux as a limited restaurant </w:t>
      </w:r>
      <w:r>
        <w:rPr>
          <w:rFonts w:eastAsia="Times New Roman"/>
          <w:szCs w:val="26"/>
        </w:rPr>
        <w:t xml:space="preserve">on the basis of it not serving </w:t>
      </w:r>
      <w:r w:rsidRPr="0065724E">
        <w:rPr>
          <w:rFonts w:eastAsia="Times New Roman"/>
          <w:szCs w:val="26"/>
        </w:rPr>
        <w:t>alcohol was inconsistent with the language of the Planning Code, and Grob testified that Hong’s restaurant would have been approved if Le Bordeaux had not been a “limited” restaurant.</w:t>
      </w:r>
    </w:p>
    <w:p w:rsidR="00AB1333" w:rsidP="003F45BE">
      <w:pPr>
        <w:spacing w:line="360" w:lineRule="auto"/>
        <w:ind w:firstLine="720"/>
        <w:rPr>
          <w:rFonts w:eastAsia="Times New Roman"/>
          <w:szCs w:val="26"/>
        </w:rPr>
      </w:pPr>
      <w:r w:rsidRPr="0065724E">
        <w:rPr>
          <w:rFonts w:eastAsia="Times New Roman"/>
          <w:szCs w:val="26"/>
        </w:rPr>
        <w:t xml:space="preserve">Grob’s testimony was somewhat qualified:  Asked whether there would have been a problem with the gap between The Field and Le Bordeaux if the latter had gotten an alcohol license, the planner replied, “Not that I recall.  We had determined that there was no evidence that a gap had existed or there was little evidence to a gap that we could point to, so we had to reverse our position when we determined that Le Bordeaux had not received an alcohol license.”  Grob did not testify that a gap between the prior restaurants’ tenancies was unimportant; she testified that, to her recollection, the Department did not have evidence of such a gap.  </w:t>
      </w:r>
    </w:p>
    <w:p w:rsidR="007D7513" w:rsidP="003F45BE">
      <w:pPr>
        <w:spacing w:line="360" w:lineRule="auto"/>
        <w:ind w:firstLine="720"/>
        <w:rPr>
          <w:rFonts w:eastAsia="Times New Roman"/>
          <w:szCs w:val="26"/>
        </w:rPr>
      </w:pPr>
      <w:r>
        <w:rPr>
          <w:rFonts w:eastAsia="Times New Roman"/>
          <w:szCs w:val="26"/>
        </w:rPr>
        <w:t>Email correspondence between the zoning administrator and Hong’s attorney, however, makes clear that the Department did have such evidence and considered it important.  In March 2015, t</w:t>
      </w:r>
      <w:r w:rsidRPr="0065724E">
        <w:rPr>
          <w:rFonts w:eastAsia="Times New Roman"/>
          <w:szCs w:val="26"/>
        </w:rPr>
        <w:t xml:space="preserve">he </w:t>
      </w:r>
      <w:r>
        <w:rPr>
          <w:rFonts w:eastAsia="Times New Roman"/>
          <w:szCs w:val="26"/>
        </w:rPr>
        <w:t>zoning administrator</w:t>
      </w:r>
      <w:r w:rsidRPr="0065724E">
        <w:rPr>
          <w:rFonts w:eastAsia="Times New Roman"/>
          <w:szCs w:val="26"/>
        </w:rPr>
        <w:t xml:space="preserve"> informed Silverman</w:t>
      </w:r>
      <w:r>
        <w:rPr>
          <w:rFonts w:eastAsia="Times New Roman"/>
          <w:szCs w:val="26"/>
        </w:rPr>
        <w:t xml:space="preserve">:  “We have </w:t>
      </w:r>
      <w:r w:rsidRPr="0065724E">
        <w:rPr>
          <w:rFonts w:eastAsia="Times New Roman"/>
          <w:szCs w:val="26"/>
        </w:rPr>
        <w:t xml:space="preserve">not been able to confirm that the use was not abandoned between </w:t>
      </w:r>
      <w:r>
        <w:rPr>
          <w:rFonts w:eastAsia="Times New Roman"/>
          <w:szCs w:val="26"/>
        </w:rPr>
        <w:t>T</w:t>
      </w:r>
      <w:r w:rsidRPr="0065724E">
        <w:rPr>
          <w:rFonts w:eastAsia="Times New Roman"/>
          <w:szCs w:val="26"/>
        </w:rPr>
        <w:t>he Field and Le</w:t>
      </w:r>
      <w:r>
        <w:rPr>
          <w:rFonts w:eastAsia="Times New Roman"/>
          <w:szCs w:val="26"/>
        </w:rPr>
        <w:t> </w:t>
      </w:r>
      <w:r w:rsidRPr="0065724E">
        <w:rPr>
          <w:rFonts w:eastAsia="Times New Roman"/>
          <w:szCs w:val="26"/>
        </w:rPr>
        <w:t xml:space="preserve">Bordeaux.  It appears that more than three years passed between these two uses, which calls into question the validity of our approval for Le Bordeaux.  </w:t>
      </w:r>
      <w:r>
        <w:rPr>
          <w:rFonts w:eastAsia="Times New Roman"/>
          <w:szCs w:val="26"/>
        </w:rPr>
        <w:t xml:space="preserve">The zoning administrator subsequently told Silverman he would not accept The Field’s lease as evidence that it operated until the lease termination date of </w:t>
      </w:r>
      <w:r w:rsidRPr="0065724E">
        <w:rPr>
          <w:rFonts w:eastAsia="Times New Roman"/>
          <w:szCs w:val="26"/>
        </w:rPr>
        <w:t xml:space="preserve">August 31, 2008, </w:t>
      </w:r>
      <w:r>
        <w:rPr>
          <w:rFonts w:eastAsia="Times New Roman"/>
          <w:szCs w:val="26"/>
        </w:rPr>
        <w:t>because</w:t>
      </w:r>
      <w:r w:rsidRPr="0065724E">
        <w:rPr>
          <w:rFonts w:eastAsia="Times New Roman"/>
          <w:szCs w:val="26"/>
        </w:rPr>
        <w:t xml:space="preserve"> </w:t>
      </w:r>
      <w:r>
        <w:rPr>
          <w:rFonts w:eastAsia="Times New Roman"/>
          <w:szCs w:val="26"/>
        </w:rPr>
        <w:t>D</w:t>
      </w:r>
      <w:r w:rsidRPr="0065724E">
        <w:rPr>
          <w:rFonts w:eastAsia="Times New Roman"/>
          <w:szCs w:val="26"/>
        </w:rPr>
        <w:t xml:space="preserve">ABC records stated its licenses were cancelled in August 2004.  Silverman testified, and emails confirm, that he attempted to get information from </w:t>
      </w:r>
      <w:r>
        <w:rPr>
          <w:rFonts w:eastAsia="Times New Roman"/>
          <w:szCs w:val="26"/>
        </w:rPr>
        <w:t>Beverly</w:t>
      </w:r>
      <w:r w:rsidRPr="0065724E">
        <w:rPr>
          <w:rFonts w:eastAsia="Times New Roman"/>
          <w:szCs w:val="26"/>
        </w:rPr>
        <w:t xml:space="preserve"> to refute </w:t>
      </w:r>
      <w:r>
        <w:rPr>
          <w:rFonts w:eastAsia="Times New Roman"/>
          <w:szCs w:val="26"/>
        </w:rPr>
        <w:t>this</w:t>
      </w:r>
      <w:r w:rsidRPr="0065724E">
        <w:rPr>
          <w:rFonts w:eastAsia="Times New Roman"/>
          <w:szCs w:val="26"/>
        </w:rPr>
        <w:t xml:space="preserve"> gap but she did not provide it.  This is certainly evidence supporting an inference that, despite Grob’s testimony, the more</w:t>
      </w:r>
      <w:r>
        <w:rPr>
          <w:rFonts w:eastAsia="Times New Roman"/>
          <w:szCs w:val="26"/>
        </w:rPr>
        <w:t xml:space="preserve"> t</w:t>
      </w:r>
      <w:r w:rsidRPr="0065724E">
        <w:rPr>
          <w:rFonts w:eastAsia="Times New Roman"/>
          <w:szCs w:val="26"/>
        </w:rPr>
        <w:t>han</w:t>
      </w:r>
      <w:r>
        <w:rPr>
          <w:rFonts w:eastAsia="Times New Roman"/>
          <w:szCs w:val="26"/>
        </w:rPr>
        <w:t xml:space="preserve"> </w:t>
      </w:r>
      <w:r w:rsidRPr="0065724E">
        <w:rPr>
          <w:rFonts w:eastAsia="Times New Roman"/>
          <w:szCs w:val="26"/>
        </w:rPr>
        <w:t xml:space="preserve">three-year gap was a factor in the Department’s reversal of its approval for Hong’s restaurant.  </w:t>
      </w:r>
    </w:p>
    <w:p w:rsidR="6EF9DD68" w:rsidRPr="0065724E" w:rsidP="003F45BE">
      <w:pPr>
        <w:spacing w:line="360" w:lineRule="auto"/>
        <w:ind w:firstLine="720"/>
        <w:rPr>
          <w:rFonts w:eastAsia="Times New Roman"/>
          <w:szCs w:val="26"/>
        </w:rPr>
      </w:pPr>
      <w:r w:rsidRPr="0065724E">
        <w:rPr>
          <w:rFonts w:eastAsia="Times New Roman"/>
          <w:szCs w:val="26"/>
        </w:rPr>
        <w:t xml:space="preserve">Even if the Department’s position that Le Bordeaux was a limited restaurant was incorrect under the terms of the Planning Code, </w:t>
      </w:r>
      <w:r>
        <w:rPr>
          <w:rFonts w:eastAsia="Times New Roman"/>
          <w:szCs w:val="26"/>
        </w:rPr>
        <w:t>Le Bordeaux</w:t>
      </w:r>
      <w:r w:rsidRPr="0065724E">
        <w:rPr>
          <w:rFonts w:eastAsia="Times New Roman"/>
          <w:szCs w:val="26"/>
        </w:rPr>
        <w:t xml:space="preserve"> did not open within three years of The Field’s departure.  Thus, regardless of whether </w:t>
      </w:r>
      <w:r>
        <w:rPr>
          <w:rFonts w:eastAsia="Times New Roman"/>
          <w:szCs w:val="26"/>
        </w:rPr>
        <w:t>Beverly</w:t>
      </w:r>
      <w:r w:rsidRPr="0065724E">
        <w:rPr>
          <w:rFonts w:eastAsia="Times New Roman"/>
          <w:szCs w:val="26"/>
        </w:rPr>
        <w:t xml:space="preserve"> could have anticipated the Department’s position regarding the Le Bordeaux’s liquor license, she had reason to be aware of the potential for problems with Hong’s approval because she was aware that the approval of Le Bordeaux was inconsis</w:t>
      </w:r>
      <w:r>
        <w:rPr>
          <w:rFonts w:eastAsia="Times New Roman"/>
          <w:szCs w:val="26"/>
        </w:rPr>
        <w:t>t</w:t>
      </w:r>
      <w:r w:rsidRPr="0065724E">
        <w:rPr>
          <w:rFonts w:eastAsia="Times New Roman"/>
          <w:szCs w:val="26"/>
        </w:rPr>
        <w:t xml:space="preserve">ent with the existing conditional use permit.  Not only was this apparent from the terms of the 1998 approval, which </w:t>
      </w:r>
      <w:r>
        <w:rPr>
          <w:rFonts w:eastAsia="Times New Roman"/>
          <w:szCs w:val="26"/>
        </w:rPr>
        <w:t>Beverly</w:t>
      </w:r>
      <w:r w:rsidRPr="0065724E">
        <w:rPr>
          <w:rFonts w:eastAsia="Times New Roman"/>
          <w:szCs w:val="26"/>
        </w:rPr>
        <w:t xml:space="preserve"> was involved in obtaining, but it was brought to her attention by </w:t>
      </w:r>
      <w:r>
        <w:rPr>
          <w:rFonts w:eastAsia="Times New Roman"/>
          <w:szCs w:val="26"/>
        </w:rPr>
        <w:t xml:space="preserve">Permit Expediter </w:t>
      </w:r>
      <w:r w:rsidRPr="0065724E">
        <w:rPr>
          <w:rFonts w:eastAsia="Times New Roman"/>
          <w:szCs w:val="26"/>
        </w:rPr>
        <w:t>Marsha Garland</w:t>
      </w:r>
      <w:r>
        <w:rPr>
          <w:rFonts w:eastAsia="Times New Roman"/>
          <w:szCs w:val="26"/>
        </w:rPr>
        <w:t xml:space="preserve"> </w:t>
      </w:r>
      <w:r w:rsidRPr="0065724E">
        <w:rPr>
          <w:rFonts w:eastAsia="Times New Roman"/>
          <w:szCs w:val="26"/>
        </w:rPr>
        <w:t xml:space="preserve">during the tenancy of Le Bordeaux.  The record refutes </w:t>
      </w:r>
      <w:r>
        <w:rPr>
          <w:rFonts w:eastAsia="Times New Roman"/>
          <w:szCs w:val="26"/>
        </w:rPr>
        <w:t>Beverly’s</w:t>
      </w:r>
      <w:r w:rsidRPr="0065724E">
        <w:rPr>
          <w:rFonts w:eastAsia="Times New Roman"/>
          <w:szCs w:val="26"/>
        </w:rPr>
        <w:t xml:space="preserve"> suggestion that it would be illogical to assume </w:t>
      </w:r>
      <w:r>
        <w:rPr>
          <w:rFonts w:eastAsia="Times New Roman"/>
          <w:szCs w:val="26"/>
        </w:rPr>
        <w:t>she</w:t>
      </w:r>
      <w:r w:rsidRPr="0065724E">
        <w:rPr>
          <w:rFonts w:eastAsia="Times New Roman"/>
          <w:szCs w:val="26"/>
        </w:rPr>
        <w:t xml:space="preserve"> knew the vacancy was important.</w:t>
      </w:r>
    </w:p>
    <w:p w:rsidR="6EF9DD68" w:rsidRPr="0065724E" w:rsidP="003F45BE">
      <w:pPr>
        <w:spacing w:line="360" w:lineRule="auto"/>
        <w:ind w:firstLine="720"/>
        <w:rPr>
          <w:rFonts w:eastAsia="Times New Roman"/>
          <w:szCs w:val="26"/>
        </w:rPr>
      </w:pPr>
      <w:r w:rsidRPr="5CA9A013">
        <w:rPr>
          <w:rFonts w:eastAsia="Times New Roman"/>
        </w:rPr>
        <w:t>Nor does the fact that Le Bordeaux was able to open despite the more</w:t>
      </w:r>
      <w:r>
        <w:rPr>
          <w:rFonts w:eastAsia="Times New Roman"/>
        </w:rPr>
        <w:t xml:space="preserve"> </w:t>
      </w:r>
      <w:r w:rsidRPr="5CA9A013">
        <w:rPr>
          <w:rFonts w:eastAsia="Times New Roman"/>
        </w:rPr>
        <w:t>than</w:t>
      </w:r>
      <w:r>
        <w:rPr>
          <w:rFonts w:eastAsia="Times New Roman"/>
        </w:rPr>
        <w:t xml:space="preserve"> </w:t>
      </w:r>
      <w:r w:rsidRPr="5CA9A013">
        <w:rPr>
          <w:rFonts w:eastAsia="Times New Roman"/>
        </w:rPr>
        <w:t xml:space="preserve">three-year vacancy necessarily undermine the evidence that </w:t>
      </w:r>
      <w:r>
        <w:rPr>
          <w:rFonts w:eastAsia="Times New Roman"/>
        </w:rPr>
        <w:t>Beverly</w:t>
      </w:r>
      <w:r w:rsidRPr="5CA9A013">
        <w:rPr>
          <w:rFonts w:eastAsia="Times New Roman"/>
        </w:rPr>
        <w:t xml:space="preserve"> knew the gap </w:t>
      </w:r>
      <w:r>
        <w:rPr>
          <w:rFonts w:eastAsia="Times New Roman"/>
        </w:rPr>
        <w:t>could</w:t>
      </w:r>
      <w:r w:rsidRPr="5CA9A013">
        <w:rPr>
          <w:rFonts w:eastAsia="Times New Roman"/>
        </w:rPr>
        <w:t xml:space="preserve"> jeopardize Hong’s restaurant.  As it turned out, the Department only later learned that The Field did not stay in business until the end of its lease in 2008 (which would have left less than three years vacancy before Le Bordeaux) but rather left in 2004</w:t>
      </w:r>
      <w:r>
        <w:t>—</w:t>
      </w:r>
      <w:r w:rsidRPr="5CA9A013">
        <w:rPr>
          <w:rFonts w:eastAsia="Times New Roman"/>
        </w:rPr>
        <w:t xml:space="preserve">in other words, </w:t>
      </w:r>
      <w:r>
        <w:rPr>
          <w:rFonts w:eastAsia="Times New Roman"/>
        </w:rPr>
        <w:t>that its</w:t>
      </w:r>
      <w:r w:rsidRPr="5CA9A013">
        <w:rPr>
          <w:rFonts w:eastAsia="Times New Roman"/>
        </w:rPr>
        <w:t xml:space="preserve"> approval of Le Bordeaux was erroneous.  As we have said, there was ample evidence that </w:t>
      </w:r>
      <w:r>
        <w:rPr>
          <w:rFonts w:eastAsia="Times New Roman"/>
        </w:rPr>
        <w:t>Beverly</w:t>
      </w:r>
      <w:r w:rsidRPr="5CA9A013">
        <w:rPr>
          <w:rFonts w:eastAsia="Times New Roman"/>
        </w:rPr>
        <w:t xml:space="preserve"> repeatedly failed to mention the vacancy</w:t>
      </w:r>
      <w:r>
        <w:rPr>
          <w:rFonts w:eastAsia="Times New Roman"/>
        </w:rPr>
        <w:t xml:space="preserve"> and </w:t>
      </w:r>
      <w:r w:rsidRPr="5CA9A013">
        <w:rPr>
          <w:rFonts w:eastAsia="Times New Roman"/>
        </w:rPr>
        <w:t>actively attempted to hide it, not only with Hong but previously, with Le Bordeaux, and subsequently, with Optimist</w:t>
      </w:r>
      <w:r>
        <w:rPr>
          <w:rFonts w:eastAsia="Times New Roman"/>
        </w:rPr>
        <w:t xml:space="preserve"> Prime</w:t>
      </w:r>
      <w:r w:rsidRPr="5CA9A013">
        <w:rPr>
          <w:rFonts w:eastAsia="Times New Roman"/>
        </w:rPr>
        <w:t xml:space="preserve">.  </w:t>
      </w:r>
      <w:r>
        <w:rPr>
          <w:rFonts w:eastAsia="Times New Roman"/>
        </w:rPr>
        <w:t>Beverly did not tell Castet there had been a long vacancy, and w</w:t>
      </w:r>
      <w:r w:rsidRPr="5CA9A013">
        <w:rPr>
          <w:rFonts w:eastAsia="Times New Roman"/>
        </w:rPr>
        <w:t xml:space="preserve">hen Castet asked </w:t>
      </w:r>
      <w:r>
        <w:rPr>
          <w:rFonts w:eastAsia="Times New Roman"/>
        </w:rPr>
        <w:t>her</w:t>
      </w:r>
      <w:r w:rsidRPr="5CA9A013">
        <w:rPr>
          <w:rFonts w:eastAsia="Times New Roman"/>
        </w:rPr>
        <w:t xml:space="preserve"> about the </w:t>
      </w:r>
      <w:r>
        <w:rPr>
          <w:rFonts w:eastAsia="Times New Roman"/>
        </w:rPr>
        <w:t>10-</w:t>
      </w:r>
      <w:r w:rsidRPr="5CA9A013">
        <w:rPr>
          <w:rFonts w:eastAsia="Times New Roman"/>
        </w:rPr>
        <w:t xml:space="preserve">year vacancy he had been told of by a neighbor, </w:t>
      </w:r>
      <w:r>
        <w:rPr>
          <w:rFonts w:eastAsia="Times New Roman"/>
        </w:rPr>
        <w:t>rather than responding with information about its actual length, Beverly</w:t>
      </w:r>
      <w:r w:rsidRPr="5CA9A013">
        <w:rPr>
          <w:rFonts w:eastAsia="Times New Roman"/>
        </w:rPr>
        <w:t xml:space="preserve"> said it had not been </w:t>
      </w:r>
      <w:r>
        <w:rPr>
          <w:rFonts w:eastAsia="Times New Roman"/>
        </w:rPr>
        <w:t>10</w:t>
      </w:r>
      <w:r w:rsidRPr="5CA9A013">
        <w:rPr>
          <w:rFonts w:eastAsia="Times New Roman"/>
        </w:rPr>
        <w:t xml:space="preserve"> years and advised Castet not to listen to the neighbors.  Even after the problems in the present case, she did not tell Bourque about the vacancy issue or explain what problems Hong had had in “navigating the permit process,” and the written disclosure </w:t>
      </w:r>
      <w:r>
        <w:rPr>
          <w:rFonts w:eastAsia="Times New Roman"/>
        </w:rPr>
        <w:t>left the reasons for Hong’s difficulties vague.</w:t>
      </w:r>
      <w:r>
        <w:rPr>
          <w:rStyle w:val="FootnoteReference"/>
          <w:rFonts w:eastAsia="Times New Roman"/>
        </w:rPr>
        <w:footnoteReference w:id="29"/>
      </w:r>
      <w:r w:rsidRPr="5CA9A013">
        <w:rPr>
          <w:rFonts w:eastAsia="Times New Roman"/>
        </w:rPr>
        <w:t xml:space="preserve">  As </w:t>
      </w:r>
      <w:r>
        <w:rPr>
          <w:rFonts w:eastAsia="Times New Roman"/>
        </w:rPr>
        <w:t>Hong</w:t>
      </w:r>
      <w:r w:rsidRPr="5CA9A013">
        <w:rPr>
          <w:rFonts w:eastAsia="Times New Roman"/>
        </w:rPr>
        <w:t xml:space="preserve"> maintain, the very fact that </w:t>
      </w:r>
      <w:r>
        <w:rPr>
          <w:rFonts w:eastAsia="Times New Roman"/>
        </w:rPr>
        <w:t>Beverly</w:t>
      </w:r>
      <w:r w:rsidRPr="5CA9A013">
        <w:rPr>
          <w:rFonts w:eastAsia="Times New Roman"/>
        </w:rPr>
        <w:t xml:space="preserve"> appeared to go out of her way to avoid discussion of what was obviously a significant issue at all stages of her dealings with all of these tenants is itself a reasonable basis for inferring that she understood its significance.</w:t>
      </w:r>
    </w:p>
    <w:p w:rsidR="6EF9DD68" w:rsidRPr="00CA3799" w:rsidP="003F45BE">
      <w:pPr>
        <w:spacing w:line="360" w:lineRule="auto"/>
        <w:ind w:firstLine="720"/>
        <w:rPr>
          <w:rFonts w:eastAsia="Times New Roman"/>
          <w:szCs w:val="26"/>
        </w:rPr>
      </w:pPr>
      <w:r w:rsidRPr="0065724E">
        <w:rPr>
          <w:rFonts w:eastAsia="Times New Roman"/>
          <w:szCs w:val="26"/>
        </w:rPr>
        <w:t>As to the Basta Pasta letter of determination</w:t>
      </w:r>
      <w:r>
        <w:rPr>
          <w:rFonts w:eastAsia="Times New Roman"/>
          <w:szCs w:val="26"/>
        </w:rPr>
        <w:t xml:space="preserve"> (see fn.15</w:t>
      </w:r>
      <w:r w:rsidRPr="00F4305E">
        <w:rPr>
          <w:rFonts w:eastAsia="Times New Roman"/>
          <w:szCs w:val="26"/>
        </w:rPr>
        <w:t>,</w:t>
      </w:r>
      <w:r>
        <w:rPr>
          <w:rFonts w:eastAsia="Times New Roman"/>
          <w:szCs w:val="26"/>
        </w:rPr>
        <w:t xml:space="preserve"> </w:t>
      </w:r>
      <w:r>
        <w:rPr>
          <w:rFonts w:eastAsia="Times New Roman"/>
          <w:i/>
          <w:szCs w:val="26"/>
        </w:rPr>
        <w:t>ante</w:t>
      </w:r>
      <w:r w:rsidRPr="00F4305E">
        <w:rPr>
          <w:rFonts w:eastAsia="Times New Roman"/>
          <w:szCs w:val="26"/>
        </w:rPr>
        <w:t>,</w:t>
      </w:r>
      <w:r>
        <w:rPr>
          <w:rFonts w:eastAsia="Times New Roman"/>
          <w:i/>
          <w:szCs w:val="26"/>
        </w:rPr>
        <w:t xml:space="preserve"> </w:t>
      </w:r>
      <w:r w:rsidRPr="009F54CD">
        <w:rPr>
          <w:rFonts w:eastAsia="Times New Roman"/>
          <w:szCs w:val="26"/>
        </w:rPr>
        <w:t>at p.</w:t>
      </w:r>
      <w:r>
        <w:rPr>
          <w:rFonts w:eastAsia="Times New Roman"/>
          <w:i/>
          <w:szCs w:val="26"/>
        </w:rPr>
        <w:t xml:space="preserve"> </w:t>
      </w:r>
      <w:r>
        <w:rPr>
          <w:rFonts w:eastAsia="Times New Roman"/>
          <w:szCs w:val="26"/>
        </w:rPr>
        <w:t>13)</w:t>
      </w:r>
      <w:r w:rsidRPr="0065724E">
        <w:rPr>
          <w:rFonts w:eastAsia="Times New Roman"/>
          <w:szCs w:val="26"/>
        </w:rPr>
        <w:t xml:space="preserve">, the jury was of course aware that </w:t>
      </w:r>
      <w:r>
        <w:rPr>
          <w:rFonts w:eastAsia="Times New Roman"/>
          <w:szCs w:val="26"/>
        </w:rPr>
        <w:t>Beverly</w:t>
      </w:r>
      <w:r w:rsidRPr="0065724E">
        <w:rPr>
          <w:rFonts w:eastAsia="Times New Roman"/>
          <w:szCs w:val="26"/>
        </w:rPr>
        <w:t xml:space="preserve"> claimed to have believed the Department would maintain the view that a conditional use approval for a restaurant is not abandoned if the owner continuously markets the subject premises for that use but is unable to find a tenant.  But the jury was not required to find </w:t>
      </w:r>
      <w:r>
        <w:rPr>
          <w:rFonts w:eastAsia="Times New Roman"/>
          <w:szCs w:val="26"/>
        </w:rPr>
        <w:t>Beverly</w:t>
      </w:r>
      <w:r w:rsidRPr="0065724E">
        <w:rPr>
          <w:rFonts w:eastAsia="Times New Roman"/>
          <w:szCs w:val="26"/>
        </w:rPr>
        <w:t xml:space="preserve"> could reasonably rely on the application of this policy to the 524 Union property</w:t>
      </w:r>
      <w:r>
        <w:rPr>
          <w:rFonts w:eastAsia="Times New Roman"/>
          <w:szCs w:val="26"/>
        </w:rPr>
        <w:t xml:space="preserve"> so as to excuse failing to alert a prospective tenant to the conditional use issue</w:t>
      </w:r>
      <w:r w:rsidRPr="0065724E">
        <w:rPr>
          <w:rFonts w:eastAsia="Times New Roman"/>
          <w:szCs w:val="26"/>
        </w:rPr>
        <w:t xml:space="preserve">.  The vacancy in the present case was considerably longer, and did not occur in an economic period similar to the market collapse that influenced the Basta Pasta determination.  </w:t>
      </w:r>
      <w:r>
        <w:rPr>
          <w:rFonts w:eastAsia="Times New Roman"/>
          <w:szCs w:val="26"/>
        </w:rPr>
        <w:t xml:space="preserve">And </w:t>
      </w:r>
      <w:r w:rsidRPr="0065724E">
        <w:rPr>
          <w:rFonts w:eastAsia="Times New Roman"/>
          <w:szCs w:val="26"/>
        </w:rPr>
        <w:t xml:space="preserve">Silverman testified that changes to the city’s zoning rules and policies are common, especially when a new </w:t>
      </w:r>
      <w:r>
        <w:rPr>
          <w:rFonts w:eastAsia="Times New Roman"/>
          <w:szCs w:val="26"/>
        </w:rPr>
        <w:t>zoning administrator</w:t>
      </w:r>
      <w:r w:rsidRPr="0065724E">
        <w:rPr>
          <w:rFonts w:eastAsia="Times New Roman"/>
          <w:szCs w:val="26"/>
        </w:rPr>
        <w:t xml:space="preserve"> takes office. </w:t>
      </w:r>
      <w:r w:rsidRPr="00CA3799">
        <w:rPr>
          <w:rFonts w:eastAsia="Times New Roman"/>
          <w:szCs w:val="26"/>
        </w:rPr>
        <w:t xml:space="preserve"> </w:t>
      </w:r>
    </w:p>
    <w:p w:rsidR="6EF9DD68" w:rsidRPr="0065724E" w:rsidP="003F45BE">
      <w:pPr>
        <w:spacing w:line="360" w:lineRule="auto"/>
        <w:ind w:firstLine="720"/>
        <w:rPr>
          <w:rFonts w:eastAsia="Times New Roman"/>
          <w:color w:val="000000" w:themeColor="text1"/>
          <w:szCs w:val="26"/>
        </w:rPr>
      </w:pPr>
      <w:r>
        <w:rPr>
          <w:rFonts w:eastAsia="Times New Roman"/>
        </w:rPr>
        <w:t>Beverly</w:t>
      </w:r>
      <w:r w:rsidRPr="5CA9A013">
        <w:rPr>
          <w:rFonts w:eastAsia="Times New Roman"/>
        </w:rPr>
        <w:t xml:space="preserve"> argue</w:t>
      </w:r>
      <w:r>
        <w:rPr>
          <w:rFonts w:eastAsia="Times New Roman"/>
        </w:rPr>
        <w:t>s</w:t>
      </w:r>
      <w:r w:rsidRPr="5CA9A013">
        <w:rPr>
          <w:rFonts w:eastAsia="Times New Roman"/>
        </w:rPr>
        <w:t xml:space="preserve"> that the vacancy between The Field and Le Bordeaux was not a secret: </w:t>
      </w:r>
      <w:r>
        <w:rPr>
          <w:rFonts w:eastAsia="Times New Roman"/>
        </w:rPr>
        <w:t xml:space="preserve"> </w:t>
      </w:r>
      <w:r w:rsidRPr="5CA9A013">
        <w:rPr>
          <w:rFonts w:eastAsia="Times New Roman"/>
        </w:rPr>
        <w:t>According to Garland, it was well</w:t>
      </w:r>
      <w:r>
        <w:rPr>
          <w:rFonts w:eastAsia="Times New Roman"/>
        </w:rPr>
        <w:t xml:space="preserve"> </w:t>
      </w:r>
      <w:r w:rsidRPr="5CA9A013">
        <w:rPr>
          <w:rFonts w:eastAsia="Times New Roman"/>
        </w:rPr>
        <w:t xml:space="preserve">known around the neighborhood, and Castet was told by a neighbor that there had been a 10-year vacancy.  </w:t>
      </w:r>
      <w:r>
        <w:rPr>
          <w:rFonts w:eastAsia="Times New Roman"/>
        </w:rPr>
        <w:t>Beverly</w:t>
      </w:r>
      <w:r w:rsidRPr="5CA9A013">
        <w:rPr>
          <w:rFonts w:eastAsia="Times New Roman"/>
        </w:rPr>
        <w:t xml:space="preserve"> maintain</w:t>
      </w:r>
      <w:r>
        <w:rPr>
          <w:rFonts w:eastAsia="Times New Roman"/>
        </w:rPr>
        <w:t>s</w:t>
      </w:r>
      <w:r w:rsidRPr="5CA9A013">
        <w:rPr>
          <w:rFonts w:eastAsia="Times New Roman"/>
        </w:rPr>
        <w:t xml:space="preserve"> that Hong never tried to investigate the history of occupancy of the premises before signing the lease and easily could have learned about the vacancy by asking neighboring businesses.  </w:t>
      </w:r>
      <w:r>
        <w:rPr>
          <w:rFonts w:eastAsia="Times New Roman"/>
        </w:rPr>
        <w:t>Beverly</w:t>
      </w:r>
      <w:r w:rsidRPr="5CA9A013">
        <w:rPr>
          <w:rFonts w:eastAsia="Times New Roman"/>
        </w:rPr>
        <w:t xml:space="preserve"> provide</w:t>
      </w:r>
      <w:r>
        <w:rPr>
          <w:rFonts w:eastAsia="Times New Roman"/>
        </w:rPr>
        <w:t>s</w:t>
      </w:r>
      <w:r w:rsidRPr="5CA9A013">
        <w:rPr>
          <w:rFonts w:eastAsia="Times New Roman"/>
        </w:rPr>
        <w:t xml:space="preserve"> no authority, however, for the proposition that Hong was required to ask around the neighborhood to determine whether </w:t>
      </w:r>
      <w:r>
        <w:rPr>
          <w:rFonts w:eastAsia="Times New Roman"/>
        </w:rPr>
        <w:t>Ena North Beach, Inc.</w:t>
      </w:r>
      <w:r w:rsidRPr="5CA9A013">
        <w:rPr>
          <w:rFonts w:eastAsia="Times New Roman"/>
        </w:rPr>
        <w:t xml:space="preserve"> w</w:t>
      </w:r>
      <w:r>
        <w:rPr>
          <w:rFonts w:eastAsia="Times New Roman"/>
        </w:rPr>
        <w:t>as</w:t>
      </w:r>
      <w:r w:rsidRPr="5CA9A013">
        <w:rPr>
          <w:rFonts w:eastAsia="Times New Roman"/>
        </w:rPr>
        <w:t xml:space="preserve"> telling her the truth about the property.  As earlier described, there was evidence that </w:t>
      </w:r>
      <w:r>
        <w:rPr>
          <w:rFonts w:eastAsia="Times New Roman"/>
        </w:rPr>
        <w:t>Beverly</w:t>
      </w:r>
      <w:r w:rsidRPr="5CA9A013">
        <w:rPr>
          <w:rFonts w:eastAsia="Times New Roman"/>
        </w:rPr>
        <w:t xml:space="preserve"> told Hong, before the lease was executed, that the property had been used continuously as a bar and restaurant with a liquor license, told her that Le Bordeaux had a liquor license, and did not tell her about the vacancy.  There was nothing to suggest to Hong that there was a reason to make inquiries in the neighborhood about the historical usage of the property; she believed </w:t>
      </w:r>
      <w:r>
        <w:rPr>
          <w:rFonts w:eastAsia="Times New Roman"/>
        </w:rPr>
        <w:t xml:space="preserve">Beverly </w:t>
      </w:r>
      <w:r w:rsidRPr="5CA9A013">
        <w:rPr>
          <w:rFonts w:eastAsia="Times New Roman"/>
        </w:rPr>
        <w:t xml:space="preserve">had given </w:t>
      </w:r>
      <w:r>
        <w:rPr>
          <w:rFonts w:eastAsia="Times New Roman"/>
        </w:rPr>
        <w:t>her that</w:t>
      </w:r>
      <w:r w:rsidRPr="5CA9A013">
        <w:rPr>
          <w:rFonts w:eastAsia="Times New Roman"/>
        </w:rPr>
        <w:t xml:space="preserve"> information.</w:t>
      </w:r>
      <w:r>
        <w:rPr>
          <w:rStyle w:val="FootnoteReference"/>
          <w:rFonts w:eastAsia="Times New Roman"/>
          <w:color w:val="000000" w:themeColor="text1"/>
        </w:rPr>
        <w:footnoteReference w:id="30"/>
      </w:r>
    </w:p>
    <w:p w:rsidR="769570E9" w:rsidRPr="0088362C" w:rsidP="0088362C">
      <w:pPr>
        <w:spacing w:line="360" w:lineRule="auto"/>
        <w:ind w:firstLine="720"/>
        <w:rPr>
          <w:rFonts w:eastAsia="Times New Roman"/>
          <w:i/>
          <w:iCs/>
          <w:color w:val="000000" w:themeColor="text1"/>
          <w:szCs w:val="26"/>
        </w:rPr>
      </w:pPr>
      <w:r w:rsidRPr="0065724E">
        <w:rPr>
          <w:rFonts w:eastAsia="Times New Roman"/>
          <w:szCs w:val="26"/>
        </w:rPr>
        <w:t xml:space="preserve">Finally, we cannot accept </w:t>
      </w:r>
      <w:r>
        <w:rPr>
          <w:rFonts w:eastAsia="Times New Roman"/>
          <w:szCs w:val="26"/>
        </w:rPr>
        <w:t>Beverly’s</w:t>
      </w:r>
      <w:r w:rsidRPr="0065724E">
        <w:rPr>
          <w:rFonts w:eastAsia="Times New Roman"/>
          <w:szCs w:val="26"/>
        </w:rPr>
        <w:t xml:space="preserve"> argument that Hong’s reliance on the omitted information was unjustified as a matter of law.  </w:t>
      </w:r>
      <w:r>
        <w:rPr>
          <w:rFonts w:eastAsia="Times New Roman"/>
          <w:color w:val="000000" w:themeColor="text1"/>
          <w:szCs w:val="26"/>
        </w:rPr>
        <w:t>Beverly’s</w:t>
      </w:r>
      <w:r w:rsidRPr="0065724E">
        <w:rPr>
          <w:rFonts w:eastAsia="Times New Roman"/>
          <w:color w:val="000000" w:themeColor="text1"/>
          <w:szCs w:val="26"/>
        </w:rPr>
        <w:t xml:space="preserve"> </w:t>
      </w:r>
      <w:r>
        <w:rPr>
          <w:rFonts w:eastAsia="Times New Roman"/>
          <w:color w:val="000000" w:themeColor="text1"/>
          <w:szCs w:val="26"/>
        </w:rPr>
        <w:t>position</w:t>
      </w:r>
      <w:r w:rsidRPr="0065724E">
        <w:rPr>
          <w:rFonts w:eastAsia="Times New Roman"/>
          <w:color w:val="000000" w:themeColor="text1"/>
          <w:szCs w:val="26"/>
        </w:rPr>
        <w:t xml:space="preserve"> is that Hong’s reliance cannot be justified in light of the combination of factors discussed above</w:t>
      </w:r>
      <w:r>
        <w:t>—</w:t>
      </w:r>
      <w:r w:rsidRPr="0065724E">
        <w:rPr>
          <w:rFonts w:eastAsia="Times New Roman"/>
          <w:color w:val="000000" w:themeColor="text1"/>
          <w:szCs w:val="26"/>
        </w:rPr>
        <w:t xml:space="preserve">the disclaimer provisions in the lease, </w:t>
      </w:r>
      <w:r>
        <w:rPr>
          <w:rFonts w:eastAsia="Times New Roman"/>
          <w:color w:val="000000" w:themeColor="text1"/>
          <w:szCs w:val="26"/>
        </w:rPr>
        <w:t>Beverly</w:t>
      </w:r>
      <w:r w:rsidRPr="0065724E">
        <w:rPr>
          <w:rFonts w:eastAsia="Times New Roman"/>
          <w:color w:val="000000" w:themeColor="text1"/>
          <w:szCs w:val="26"/>
        </w:rPr>
        <w:t xml:space="preserve">’s refusal to discuss The Field, the claimed absence of evidence that </w:t>
      </w:r>
      <w:r>
        <w:rPr>
          <w:rFonts w:eastAsia="Times New Roman"/>
          <w:color w:val="000000" w:themeColor="text1"/>
          <w:szCs w:val="26"/>
        </w:rPr>
        <w:t>Beverly</w:t>
      </w:r>
      <w:r w:rsidRPr="0065724E">
        <w:rPr>
          <w:rFonts w:eastAsia="Times New Roman"/>
          <w:color w:val="000000" w:themeColor="text1"/>
          <w:szCs w:val="26"/>
        </w:rPr>
        <w:t xml:space="preserve"> was aware of the importance of information about the vacancy, the neighbors’ awareness of the vacancy</w:t>
      </w:r>
      <w:r>
        <w:t>—</w:t>
      </w:r>
      <w:r w:rsidRPr="0065724E">
        <w:rPr>
          <w:rFonts w:eastAsia="Times New Roman"/>
          <w:color w:val="000000" w:themeColor="text1"/>
          <w:szCs w:val="26"/>
        </w:rPr>
        <w:t>and the warning from Hong’s broker.  For the reasons discussed in connection with intentional misrepresentation, justifiable reliance was a factual question for the jury and there is sufficient evidence to support its verdict.</w:t>
      </w:r>
    </w:p>
    <w:p w:rsidR="17805221" w:rsidRPr="003628F9" w:rsidP="0088362C">
      <w:pPr>
        <w:spacing w:line="360" w:lineRule="auto"/>
        <w:jc w:val="center"/>
        <w:rPr>
          <w:rFonts w:eastAsia="Times New Roman"/>
          <w:b/>
          <w:szCs w:val="26"/>
        </w:rPr>
      </w:pPr>
      <w:r w:rsidRPr="003628F9">
        <w:rPr>
          <w:rFonts w:eastAsia="Times New Roman"/>
          <w:b/>
          <w:szCs w:val="26"/>
        </w:rPr>
        <w:t>C.</w:t>
      </w:r>
    </w:p>
    <w:p w:rsidR="00BC5352" w:rsidRPr="0065724E" w:rsidP="003F45BE">
      <w:pPr>
        <w:spacing w:line="360" w:lineRule="auto"/>
        <w:ind w:firstLine="720"/>
        <w:rPr>
          <w:rFonts w:eastAsia="Times New Roman"/>
          <w:szCs w:val="26"/>
        </w:rPr>
      </w:pPr>
      <w:r>
        <w:rPr>
          <w:rFonts w:eastAsia="Times New Roman"/>
          <w:szCs w:val="26"/>
        </w:rPr>
        <w:t>Beverly</w:t>
      </w:r>
      <w:r w:rsidRPr="0065724E">
        <w:rPr>
          <w:rFonts w:eastAsia="Times New Roman"/>
          <w:szCs w:val="26"/>
        </w:rPr>
        <w:t xml:space="preserve"> contend</w:t>
      </w:r>
      <w:r>
        <w:rPr>
          <w:rFonts w:eastAsia="Times New Roman"/>
          <w:szCs w:val="26"/>
        </w:rPr>
        <w:t>s</w:t>
      </w:r>
      <w:r w:rsidRPr="0065724E">
        <w:rPr>
          <w:rFonts w:eastAsia="Times New Roman"/>
          <w:szCs w:val="26"/>
        </w:rPr>
        <w:t xml:space="preserve"> there was no substantial evidence to support the jury’s finding of a breach of the covenant of good faith and fair dealing because the cause of action was based on </w:t>
      </w:r>
      <w:r>
        <w:rPr>
          <w:rFonts w:eastAsia="Times New Roman"/>
          <w:szCs w:val="26"/>
        </w:rPr>
        <w:t>Beverly</w:t>
      </w:r>
      <w:r w:rsidRPr="0065724E">
        <w:rPr>
          <w:rFonts w:eastAsia="Times New Roman"/>
          <w:szCs w:val="26"/>
        </w:rPr>
        <w:t xml:space="preserve"> allegedly interfering with Hong’s right to terminate the lease early by misrepresenting the history of the space, and there was no evidence of misrepresentations during the three-month early termination period (September 1 to December 1, 2014).  They point out that </w:t>
      </w:r>
      <w:r>
        <w:rPr>
          <w:rFonts w:eastAsia="Times New Roman"/>
          <w:szCs w:val="26"/>
        </w:rPr>
        <w:t xml:space="preserve">although the trial court, </w:t>
      </w:r>
      <w:r w:rsidRPr="0065724E">
        <w:rPr>
          <w:rFonts w:eastAsia="Times New Roman"/>
          <w:szCs w:val="26"/>
        </w:rPr>
        <w:t xml:space="preserve">in denying </w:t>
      </w:r>
      <w:r>
        <w:rPr>
          <w:rFonts w:eastAsia="Times New Roman"/>
          <w:szCs w:val="26"/>
        </w:rPr>
        <w:t>the</w:t>
      </w:r>
      <w:r w:rsidRPr="0065724E">
        <w:rPr>
          <w:rFonts w:eastAsia="Times New Roman"/>
          <w:szCs w:val="26"/>
        </w:rPr>
        <w:t xml:space="preserve"> motion for </w:t>
      </w:r>
      <w:r>
        <w:rPr>
          <w:rFonts w:eastAsia="Times New Roman"/>
          <w:szCs w:val="26"/>
        </w:rPr>
        <w:t>JNOV</w:t>
      </w:r>
      <w:r w:rsidRPr="0065724E">
        <w:rPr>
          <w:rFonts w:eastAsia="Times New Roman"/>
          <w:szCs w:val="26"/>
        </w:rPr>
        <w:t xml:space="preserve"> the verdict on this cause of action, stated there was substantial evidence that </w:t>
      </w:r>
      <w:r>
        <w:rPr>
          <w:rFonts w:eastAsia="Times New Roman"/>
          <w:szCs w:val="26"/>
        </w:rPr>
        <w:t>Beverly’s</w:t>
      </w:r>
      <w:r w:rsidRPr="0065724E">
        <w:rPr>
          <w:rFonts w:eastAsia="Times New Roman"/>
          <w:szCs w:val="26"/>
        </w:rPr>
        <w:t xml:space="preserve"> breaches continued after the parties signed the lease, which gave </w:t>
      </w:r>
      <w:r>
        <w:rPr>
          <w:rFonts w:eastAsia="Times New Roman"/>
          <w:szCs w:val="26"/>
        </w:rPr>
        <w:t>Hong</w:t>
      </w:r>
      <w:r w:rsidRPr="0065724E">
        <w:rPr>
          <w:rFonts w:eastAsia="Times New Roman"/>
          <w:szCs w:val="26"/>
        </w:rPr>
        <w:t xml:space="preserve"> three months after execution to terminate, the evidence the court cited was of statements made after the early termination period ended.  </w:t>
      </w:r>
    </w:p>
    <w:p w:rsidR="00BC5352" w:rsidRPr="0065724E" w:rsidP="00041B45">
      <w:pPr>
        <w:spacing w:line="360" w:lineRule="auto"/>
        <w:ind w:firstLine="720"/>
        <w:rPr>
          <w:rFonts w:eastAsia="Times New Roman"/>
          <w:color w:val="000000" w:themeColor="text1"/>
          <w:szCs w:val="26"/>
        </w:rPr>
      </w:pPr>
      <w:r>
        <w:rPr>
          <w:rFonts w:eastAsia="Times New Roman"/>
          <w:color w:val="000000" w:themeColor="text1"/>
          <w:szCs w:val="26"/>
        </w:rPr>
        <w:t>“</w:t>
      </w:r>
      <w:r w:rsidRPr="0065724E">
        <w:rPr>
          <w:rFonts w:eastAsia="Times New Roman"/>
          <w:color w:val="000000" w:themeColor="text1"/>
          <w:szCs w:val="26"/>
        </w:rPr>
        <w:t xml:space="preserve">Every contract contains an implied covenant of good faith and fair dealing providing that no party to the contract will do anything that would deprive another party of the benefits of the contract. </w:t>
      </w:r>
      <w:r>
        <w:rPr>
          <w:rFonts w:eastAsia="Times New Roman"/>
          <w:color w:val="000000" w:themeColor="text1"/>
          <w:szCs w:val="26"/>
        </w:rPr>
        <w:t xml:space="preserve"> </w:t>
      </w:r>
      <w:r w:rsidRPr="0065724E">
        <w:rPr>
          <w:rFonts w:eastAsia="Times New Roman"/>
          <w:color w:val="000000" w:themeColor="text1"/>
          <w:szCs w:val="26"/>
        </w:rPr>
        <w:t>(</w:t>
      </w:r>
      <w:r w:rsidRPr="0065724E">
        <w:rPr>
          <w:rFonts w:eastAsia="Times New Roman"/>
          <w:i/>
          <w:iCs/>
          <w:color w:val="000000" w:themeColor="text1"/>
          <w:szCs w:val="26"/>
        </w:rPr>
        <w:t>Wilson v. 21st Century Ins. Co.</w:t>
      </w:r>
      <w:r w:rsidRPr="0065724E">
        <w:rPr>
          <w:rFonts w:eastAsia="Times New Roman"/>
          <w:color w:val="000000" w:themeColor="text1"/>
          <w:szCs w:val="26"/>
        </w:rPr>
        <w:t xml:space="preserve"> (2007) 42 Cal.4th 713, 720; </w:t>
      </w:r>
      <w:r w:rsidRPr="0065724E">
        <w:rPr>
          <w:rFonts w:eastAsia="Times New Roman"/>
          <w:i/>
          <w:iCs/>
          <w:color w:val="000000" w:themeColor="text1"/>
          <w:szCs w:val="26"/>
        </w:rPr>
        <w:t>Kransco v. American Empire Surplus Lines Ins. Co.</w:t>
      </w:r>
      <w:r w:rsidRPr="0065724E">
        <w:rPr>
          <w:rFonts w:eastAsia="Times New Roman"/>
          <w:color w:val="000000" w:themeColor="text1"/>
          <w:szCs w:val="26"/>
        </w:rPr>
        <w:t xml:space="preserve"> (2000) 23 Cal.4th 390, 400.) </w:t>
      </w:r>
      <w:r>
        <w:rPr>
          <w:rFonts w:eastAsia="Times New Roman"/>
          <w:color w:val="000000" w:themeColor="text1"/>
          <w:szCs w:val="26"/>
        </w:rPr>
        <w:t xml:space="preserve"> </w:t>
      </w:r>
      <w:r w:rsidRPr="0065724E">
        <w:rPr>
          <w:rFonts w:eastAsia="Times New Roman"/>
          <w:color w:val="000000" w:themeColor="text1"/>
          <w:szCs w:val="26"/>
        </w:rPr>
        <w:t xml:space="preserve">The implied covenant protects the reasonable expectations of the contracting parties based on their mutual promises. </w:t>
      </w:r>
      <w:r>
        <w:rPr>
          <w:rFonts w:eastAsia="Times New Roman"/>
          <w:color w:val="000000" w:themeColor="text1"/>
          <w:szCs w:val="26"/>
        </w:rPr>
        <w:t xml:space="preserve"> </w:t>
      </w:r>
      <w:r w:rsidRPr="0065724E">
        <w:rPr>
          <w:rFonts w:eastAsia="Times New Roman"/>
          <w:color w:val="000000" w:themeColor="text1"/>
          <w:szCs w:val="26"/>
        </w:rPr>
        <w:t>(</w:t>
      </w:r>
      <w:r w:rsidRPr="0065724E">
        <w:rPr>
          <w:rFonts w:eastAsia="Times New Roman"/>
          <w:i/>
          <w:iCs/>
          <w:color w:val="000000" w:themeColor="text1"/>
          <w:szCs w:val="26"/>
        </w:rPr>
        <w:t>Carma Developers (Cal.), Inc. v. Marathon Development California, Inc.</w:t>
      </w:r>
      <w:r w:rsidRPr="0065724E">
        <w:rPr>
          <w:rFonts w:eastAsia="Times New Roman"/>
          <w:color w:val="000000" w:themeColor="text1"/>
          <w:szCs w:val="26"/>
        </w:rPr>
        <w:t xml:space="preserve"> (1992) 2 Cal.4th 342, 373–374; </w:t>
      </w:r>
      <w:r w:rsidRPr="0065724E">
        <w:rPr>
          <w:rFonts w:eastAsia="Times New Roman"/>
          <w:i/>
          <w:iCs/>
          <w:color w:val="000000" w:themeColor="text1"/>
          <w:szCs w:val="26"/>
        </w:rPr>
        <w:t>Careau &amp; Co. v. Security Pacific Business Credit, Inc.</w:t>
      </w:r>
      <w:r w:rsidRPr="0065724E">
        <w:rPr>
          <w:rFonts w:eastAsia="Times New Roman"/>
          <w:color w:val="000000" w:themeColor="text1"/>
          <w:szCs w:val="26"/>
        </w:rPr>
        <w:t xml:space="preserve"> (1990) 222 Cal.App.3d 1371, 1395.) </w:t>
      </w:r>
      <w:r>
        <w:rPr>
          <w:rFonts w:eastAsia="Times New Roman"/>
          <w:color w:val="000000" w:themeColor="text1"/>
          <w:szCs w:val="26"/>
        </w:rPr>
        <w:t xml:space="preserve"> </w:t>
      </w:r>
      <w:r w:rsidRPr="0065724E">
        <w:rPr>
          <w:rFonts w:eastAsia="Times New Roman"/>
          <w:color w:val="000000" w:themeColor="text1"/>
          <w:szCs w:val="26"/>
        </w:rPr>
        <w:t>The scope of conduct prohibited by the implied covenant depends on the purposes and express terms of the contract.</w:t>
      </w:r>
      <w:r>
        <w:rPr>
          <w:rFonts w:eastAsia="Times New Roman"/>
          <w:color w:val="000000" w:themeColor="text1"/>
          <w:szCs w:val="26"/>
        </w:rPr>
        <w:t xml:space="preserve"> </w:t>
      </w:r>
      <w:r w:rsidRPr="0065724E">
        <w:rPr>
          <w:rFonts w:eastAsia="Times New Roman"/>
          <w:color w:val="000000" w:themeColor="text1"/>
          <w:szCs w:val="26"/>
        </w:rPr>
        <w:t xml:space="preserve"> (</w:t>
      </w:r>
      <w:r w:rsidRPr="0065724E">
        <w:rPr>
          <w:rFonts w:eastAsia="Times New Roman"/>
          <w:i/>
          <w:iCs/>
          <w:color w:val="000000" w:themeColor="text1"/>
          <w:szCs w:val="26"/>
        </w:rPr>
        <w:t>Carma Developers</w:t>
      </w:r>
      <w:r w:rsidRPr="002050EC">
        <w:rPr>
          <w:rFonts w:eastAsia="Times New Roman"/>
          <w:iCs/>
          <w:color w:val="000000" w:themeColor="text1"/>
          <w:szCs w:val="26"/>
        </w:rPr>
        <w:t>, . . .</w:t>
      </w:r>
      <w:r w:rsidRPr="0065724E">
        <w:rPr>
          <w:rFonts w:eastAsia="Times New Roman"/>
          <w:color w:val="000000" w:themeColor="text1"/>
          <w:szCs w:val="26"/>
        </w:rPr>
        <w:t xml:space="preserve"> at p. 373.)</w:t>
      </w:r>
      <w:r>
        <w:rPr>
          <w:rFonts w:eastAsia="Times New Roman"/>
          <w:color w:val="000000" w:themeColor="text1"/>
          <w:szCs w:val="26"/>
        </w:rPr>
        <w:t>”  (</w:t>
      </w:r>
      <w:r w:rsidRPr="0065724E">
        <w:rPr>
          <w:rFonts w:eastAsia="Times New Roman"/>
          <w:i/>
          <w:iCs/>
          <w:color w:val="000000" w:themeColor="text1"/>
          <w:szCs w:val="26"/>
        </w:rPr>
        <w:t>Digerati Holdings, LLC v. Young Money Entertainment, LLC</w:t>
      </w:r>
      <w:r w:rsidRPr="0065724E">
        <w:rPr>
          <w:rFonts w:eastAsia="Times New Roman"/>
          <w:color w:val="000000" w:themeColor="text1"/>
          <w:szCs w:val="26"/>
        </w:rPr>
        <w:t xml:space="preserve"> (2011) 194 Cal.App.4th 873, 885</w:t>
      </w:r>
      <w:r>
        <w:rPr>
          <w:rFonts w:eastAsia="Times New Roman"/>
          <w:color w:val="000000" w:themeColor="text1"/>
          <w:szCs w:val="26"/>
        </w:rPr>
        <w:t>.)</w:t>
      </w:r>
    </w:p>
    <w:p w:rsidR="769570E9" w:rsidRPr="0065724E" w:rsidP="003F45BE">
      <w:pPr>
        <w:spacing w:line="360" w:lineRule="auto"/>
        <w:ind w:firstLine="720"/>
        <w:rPr>
          <w:rFonts w:eastAsia="Times New Roman"/>
          <w:szCs w:val="26"/>
        </w:rPr>
      </w:pPr>
      <w:r w:rsidRPr="0065724E">
        <w:rPr>
          <w:rFonts w:eastAsia="Times New Roman"/>
          <w:szCs w:val="26"/>
        </w:rPr>
        <w:t xml:space="preserve">The jury instructions directed that in order to prove breach of the covenant of good faith and fair dealing, ENA North Beach had to establish </w:t>
      </w:r>
      <w:r>
        <w:rPr>
          <w:rFonts w:eastAsia="Times New Roman"/>
          <w:szCs w:val="26"/>
        </w:rPr>
        <w:t>(</w:t>
      </w:r>
      <w:r w:rsidRPr="0065724E">
        <w:rPr>
          <w:rFonts w:eastAsia="Times New Roman"/>
          <w:szCs w:val="26"/>
        </w:rPr>
        <w:t xml:space="preserve">1) that it entered into a contract with 524 Union and/or Smucha; </w:t>
      </w:r>
      <w:r>
        <w:rPr>
          <w:rFonts w:eastAsia="Times New Roman"/>
          <w:szCs w:val="26"/>
        </w:rPr>
        <w:t>(</w:t>
      </w:r>
      <w:r w:rsidRPr="0065724E">
        <w:rPr>
          <w:rFonts w:eastAsia="Times New Roman"/>
          <w:szCs w:val="26"/>
        </w:rPr>
        <w:t xml:space="preserve">2) that ENA North Beach did substantially all of the significant things the contract required it to do; </w:t>
      </w:r>
      <w:r>
        <w:rPr>
          <w:rFonts w:eastAsia="Times New Roman"/>
          <w:szCs w:val="26"/>
        </w:rPr>
        <w:t>(</w:t>
      </w:r>
      <w:r w:rsidRPr="0065724E">
        <w:rPr>
          <w:rFonts w:eastAsia="Times New Roman"/>
          <w:szCs w:val="26"/>
        </w:rPr>
        <w:t xml:space="preserve">3) that 524 Union and/or Smucha “unfairly interfered with ENA North Beach’s right to receive the benefits of the contract”; and </w:t>
      </w:r>
      <w:r>
        <w:rPr>
          <w:rFonts w:eastAsia="Times New Roman"/>
          <w:szCs w:val="26"/>
        </w:rPr>
        <w:t>(</w:t>
      </w:r>
      <w:r w:rsidRPr="0065724E">
        <w:rPr>
          <w:rFonts w:eastAsia="Times New Roman"/>
          <w:szCs w:val="26"/>
        </w:rPr>
        <w:t xml:space="preserve">4) that ENA North Beach was harmed by 524 Union’s and/or Smucha’s conduct.  </w:t>
      </w:r>
      <w:r>
        <w:rPr>
          <w:rFonts w:eastAsia="Times New Roman"/>
          <w:szCs w:val="26"/>
        </w:rPr>
        <w:t>Hong’s</w:t>
      </w:r>
      <w:r w:rsidRPr="0065724E">
        <w:rPr>
          <w:rFonts w:eastAsia="Times New Roman"/>
          <w:szCs w:val="26"/>
        </w:rPr>
        <w:t xml:space="preserve"> counsel argued that </w:t>
      </w:r>
      <w:r>
        <w:rPr>
          <w:rFonts w:eastAsia="Times New Roman"/>
          <w:szCs w:val="26"/>
        </w:rPr>
        <w:t>Beverly</w:t>
      </w:r>
      <w:r w:rsidRPr="0065724E">
        <w:rPr>
          <w:rFonts w:eastAsia="Times New Roman"/>
          <w:szCs w:val="26"/>
        </w:rPr>
        <w:t xml:space="preserve"> interfered with ENA North Beach’s right to receive benefits “by continuing to make misstatements after the lease was signed, continuing to tell </w:t>
      </w:r>
      <w:r>
        <w:rPr>
          <w:rFonts w:eastAsia="Times New Roman"/>
          <w:szCs w:val="26"/>
        </w:rPr>
        <w:t>[</w:t>
      </w:r>
      <w:r w:rsidRPr="0065724E">
        <w:rPr>
          <w:rFonts w:eastAsia="Times New Roman"/>
          <w:szCs w:val="26"/>
        </w:rPr>
        <w:t>Hong</w:t>
      </w:r>
      <w:r>
        <w:rPr>
          <w:rFonts w:eastAsia="Times New Roman"/>
          <w:szCs w:val="26"/>
        </w:rPr>
        <w:t>]</w:t>
      </w:r>
      <w:r w:rsidRPr="0065724E">
        <w:rPr>
          <w:rFonts w:eastAsia="Times New Roman"/>
          <w:szCs w:val="26"/>
        </w:rPr>
        <w:t xml:space="preserve"> things that were not true, and Silverman things that were not true, and the </w:t>
      </w:r>
      <w:r>
        <w:rPr>
          <w:rFonts w:eastAsia="Times New Roman"/>
          <w:szCs w:val="26"/>
        </w:rPr>
        <w:t>c</w:t>
      </w:r>
      <w:r w:rsidRPr="0065724E">
        <w:rPr>
          <w:rFonts w:eastAsia="Times New Roman"/>
          <w:szCs w:val="26"/>
        </w:rPr>
        <w:t>ity.  Interfered with Hong’s ability to execute on the contract because one of the things the contract allowed for was an early-out clause.  Right?  If Hong found out early enough about these misstatements, she could have gotten out .</w:t>
      </w:r>
      <w:r>
        <w:rPr>
          <w:rFonts w:eastAsia="Times New Roman"/>
          <w:szCs w:val="26"/>
        </w:rPr>
        <w:t> </w:t>
      </w:r>
      <w:r w:rsidRPr="0065724E">
        <w:rPr>
          <w:rFonts w:eastAsia="Times New Roman"/>
          <w:szCs w:val="26"/>
        </w:rPr>
        <w:t>.</w:t>
      </w:r>
      <w:r>
        <w:rPr>
          <w:rFonts w:eastAsia="Times New Roman"/>
          <w:szCs w:val="26"/>
        </w:rPr>
        <w:t> </w:t>
      </w:r>
      <w:r w:rsidRPr="0065724E">
        <w:rPr>
          <w:rFonts w:eastAsia="Times New Roman"/>
          <w:szCs w:val="26"/>
        </w:rPr>
        <w:t>.</w:t>
      </w:r>
      <w:r>
        <w:rPr>
          <w:rFonts w:eastAsia="Times New Roman"/>
          <w:szCs w:val="26"/>
        </w:rPr>
        <w:t xml:space="preserve"> .  </w:t>
      </w:r>
      <w:r w:rsidRPr="0065724E">
        <w:rPr>
          <w:rFonts w:eastAsia="Times New Roman"/>
          <w:szCs w:val="26"/>
        </w:rPr>
        <w:t xml:space="preserve">And had </w:t>
      </w:r>
      <w:r>
        <w:rPr>
          <w:rFonts w:eastAsia="Times New Roman"/>
          <w:szCs w:val="26"/>
        </w:rPr>
        <w:t>[Beverly]</w:t>
      </w:r>
      <w:r w:rsidRPr="0065724E">
        <w:rPr>
          <w:rFonts w:eastAsia="Times New Roman"/>
          <w:szCs w:val="26"/>
        </w:rPr>
        <w:t xml:space="preserve"> not continued to make</w:t>
      </w:r>
      <w:r>
        <w:rPr>
          <w:rFonts w:eastAsia="Times New Roman"/>
          <w:szCs w:val="26"/>
        </w:rPr>
        <w:t xml:space="preserve"> </w:t>
      </w:r>
      <w:r w:rsidRPr="0065724E">
        <w:rPr>
          <w:rFonts w:eastAsia="Times New Roman"/>
          <w:szCs w:val="26"/>
        </w:rPr>
        <w:t xml:space="preserve">misstatements early on, then there would be no interference with the opt-out clause” and Hong could have avoided the majority of her damages.  </w:t>
      </w:r>
    </w:p>
    <w:p w:rsidR="769570E9" w:rsidRPr="0065724E" w:rsidP="003F45BE">
      <w:pPr>
        <w:spacing w:line="360" w:lineRule="auto"/>
        <w:ind w:firstLine="720"/>
        <w:rPr>
          <w:rFonts w:eastAsia="Times New Roman"/>
          <w:szCs w:val="26"/>
        </w:rPr>
      </w:pPr>
      <w:r>
        <w:rPr>
          <w:rFonts w:eastAsia="Times New Roman"/>
          <w:szCs w:val="26"/>
        </w:rPr>
        <w:t>Beverly</w:t>
      </w:r>
      <w:r w:rsidRPr="0065724E">
        <w:rPr>
          <w:rFonts w:eastAsia="Times New Roman"/>
          <w:szCs w:val="26"/>
        </w:rPr>
        <w:t xml:space="preserve"> ar</w:t>
      </w:r>
      <w:r>
        <w:rPr>
          <w:rFonts w:eastAsia="Times New Roman"/>
          <w:szCs w:val="26"/>
        </w:rPr>
        <w:t>gu</w:t>
      </w:r>
      <w:r w:rsidRPr="0065724E">
        <w:rPr>
          <w:rFonts w:eastAsia="Times New Roman"/>
          <w:szCs w:val="26"/>
        </w:rPr>
        <w:t>e</w:t>
      </w:r>
      <w:r>
        <w:rPr>
          <w:rFonts w:eastAsia="Times New Roman"/>
          <w:szCs w:val="26"/>
        </w:rPr>
        <w:t>s</w:t>
      </w:r>
      <w:r w:rsidRPr="0065724E">
        <w:rPr>
          <w:rFonts w:eastAsia="Times New Roman"/>
          <w:szCs w:val="26"/>
        </w:rPr>
        <w:t xml:space="preserve"> there is no evidence of misrepresentations in the period between September 1, 2014, when the lease became effective, and December 1, 2014, when the early termination period ended.  Just after the lease was executed, however, on August 18, 2014, </w:t>
      </w:r>
      <w:r>
        <w:rPr>
          <w:rFonts w:eastAsia="Times New Roman"/>
          <w:szCs w:val="26"/>
        </w:rPr>
        <w:t>Beverly</w:t>
      </w:r>
      <w:r w:rsidRPr="0065724E">
        <w:rPr>
          <w:rFonts w:eastAsia="Times New Roman"/>
          <w:szCs w:val="26"/>
        </w:rPr>
        <w:t xml:space="preserve"> emailed Hong, “Since this is a continuation of a long time restaurant with beer and wine only, there shouldn’t be any need to go to neighborhood groups.”  This statement was a continuation of the prior assertions that Le Bordeaux had obtained a liquor license.  And </w:t>
      </w:r>
      <w:r>
        <w:rPr>
          <w:rFonts w:eastAsia="Times New Roman"/>
          <w:szCs w:val="26"/>
        </w:rPr>
        <w:t>Beverly’s</w:t>
      </w:r>
      <w:r w:rsidRPr="0065724E">
        <w:rPr>
          <w:rFonts w:eastAsia="Times New Roman"/>
          <w:szCs w:val="26"/>
        </w:rPr>
        <w:t xml:space="preserve"> failure to disclose the vacancy between The Field and Le Bordeaux obviously continued throughout the early termination period.</w:t>
      </w:r>
    </w:p>
    <w:p w:rsidR="769570E9" w:rsidRPr="0065724E" w:rsidP="003F45BE">
      <w:pPr>
        <w:spacing w:line="360" w:lineRule="auto"/>
        <w:ind w:firstLine="720"/>
        <w:rPr>
          <w:rFonts w:eastAsia="Times New Roman"/>
          <w:szCs w:val="26"/>
        </w:rPr>
      </w:pPr>
      <w:r w:rsidRPr="0065724E">
        <w:rPr>
          <w:rFonts w:eastAsia="Times New Roman"/>
          <w:szCs w:val="26"/>
        </w:rPr>
        <w:t xml:space="preserve">Arguing that concealment of a material fact is a sufficient basis for finding breach of the covenant of good faith and fair dealing, </w:t>
      </w:r>
      <w:r>
        <w:rPr>
          <w:rFonts w:eastAsia="Times New Roman"/>
          <w:szCs w:val="26"/>
        </w:rPr>
        <w:t>Hong</w:t>
      </w:r>
      <w:r w:rsidRPr="0065724E">
        <w:rPr>
          <w:rFonts w:eastAsia="Times New Roman"/>
          <w:szCs w:val="26"/>
        </w:rPr>
        <w:t xml:space="preserve"> cite</w:t>
      </w:r>
      <w:r>
        <w:rPr>
          <w:rFonts w:eastAsia="Times New Roman"/>
          <w:szCs w:val="26"/>
        </w:rPr>
        <w:t>s</w:t>
      </w:r>
      <w:r w:rsidRPr="0065724E">
        <w:rPr>
          <w:rFonts w:eastAsia="Times New Roman"/>
          <w:szCs w:val="26"/>
        </w:rPr>
        <w:t xml:space="preserve"> two cases arising in the context of insurance bad faith.  (</w:t>
      </w:r>
      <w:r w:rsidRPr="0065724E">
        <w:rPr>
          <w:rFonts w:eastAsia="Times New Roman"/>
          <w:i/>
          <w:iCs/>
          <w:szCs w:val="26"/>
        </w:rPr>
        <w:t xml:space="preserve">Shade Foods, Inc. v. Innovative Products Sales &amp; Marketing, Inc. </w:t>
      </w:r>
      <w:r w:rsidRPr="0065724E">
        <w:rPr>
          <w:rFonts w:eastAsia="Times New Roman"/>
          <w:szCs w:val="26"/>
        </w:rPr>
        <w:t xml:space="preserve">(2000) 78 Cal.App.4th 847, 906 [insurer’s concealment of intention to limit coverage as one basis for inference supporting jury verdict that insurer breached covenant of good faith and fair dealing]; </w:t>
      </w:r>
      <w:r w:rsidRPr="0065724E">
        <w:rPr>
          <w:rFonts w:eastAsia="Times New Roman"/>
          <w:i/>
          <w:iCs/>
          <w:szCs w:val="26"/>
        </w:rPr>
        <w:t>Notrica v. State Comp</w:t>
      </w:r>
      <w:r>
        <w:rPr>
          <w:rFonts w:eastAsia="Times New Roman"/>
          <w:i/>
          <w:iCs/>
          <w:szCs w:val="26"/>
        </w:rPr>
        <w:t>.</w:t>
      </w:r>
      <w:r w:rsidRPr="0065724E">
        <w:rPr>
          <w:rFonts w:eastAsia="Times New Roman"/>
          <w:i/>
          <w:iCs/>
          <w:szCs w:val="26"/>
        </w:rPr>
        <w:t xml:space="preserve"> Ins. Fund </w:t>
      </w:r>
      <w:r w:rsidRPr="0065724E">
        <w:rPr>
          <w:rFonts w:eastAsia="Times New Roman"/>
          <w:szCs w:val="26"/>
        </w:rPr>
        <w:t xml:space="preserve">(1999) 70 Cal.App.4th 911, 948 [evidence of concealment of material information from prospective insureds sufficient basis for findings of breach of covenant of good faith and fair dealing and of fraud supporting punitive damages award].)  </w:t>
      </w:r>
      <w:r>
        <w:rPr>
          <w:rFonts w:eastAsia="Times New Roman"/>
          <w:szCs w:val="26"/>
        </w:rPr>
        <w:t>Beverly</w:t>
      </w:r>
      <w:r w:rsidRPr="0065724E">
        <w:rPr>
          <w:rFonts w:eastAsia="Times New Roman"/>
          <w:szCs w:val="26"/>
        </w:rPr>
        <w:t xml:space="preserve"> argue</w:t>
      </w:r>
      <w:r>
        <w:rPr>
          <w:rFonts w:eastAsia="Times New Roman"/>
          <w:szCs w:val="26"/>
        </w:rPr>
        <w:t>s</w:t>
      </w:r>
      <w:r w:rsidRPr="0065724E">
        <w:rPr>
          <w:rFonts w:eastAsia="Times New Roman"/>
          <w:szCs w:val="26"/>
        </w:rPr>
        <w:t xml:space="preserve"> these cases do not support the “broad assertions” for which they are cited, and “[t]here simply is no general principle that any failure to disclose a material fact is a breach of a contract’s implied covenant of good faith and fair dealing.”  </w:t>
      </w:r>
    </w:p>
    <w:p w:rsidR="769570E9" w:rsidRPr="008C2372" w:rsidP="003F45BE">
      <w:pPr>
        <w:spacing w:line="360" w:lineRule="auto"/>
        <w:ind w:firstLine="720"/>
        <w:rPr>
          <w:rFonts w:eastAsia="Times New Roman"/>
          <w:color w:val="000000" w:themeColor="text1"/>
          <w:szCs w:val="26"/>
        </w:rPr>
      </w:pPr>
      <w:r>
        <w:rPr>
          <w:color w:val="222222"/>
        </w:rPr>
        <w:t>While insurance contracts are in some respects subject to different analysis than contracts in general due to their particular nature (</w:t>
      </w:r>
      <w:r>
        <w:rPr>
          <w:i/>
          <w:iCs/>
          <w:color w:val="222222"/>
        </w:rPr>
        <w:t>Cates Construction, Inc. v. Talbot Partners </w:t>
      </w:r>
      <w:r>
        <w:rPr>
          <w:color w:val="222222"/>
        </w:rPr>
        <w:t>(1999) 21 Cal.4th 28, 46, 52 [“insurance policy cases represent ‘ “a major departure from traditional principles of contract law” ’ ”; tort recovery appropriate in insurance setting “because such contracts are characterized by elements of adhesion and unequal bargaining power, public interest and fiduciary responsibility”]), and appellants may be right that “any” failure to disclose a material fact does not necessarily constitute a breach of the implied covenant, it does not follow that failure to disclose material information can </w:t>
      </w:r>
      <w:r>
        <w:rPr>
          <w:i/>
          <w:iCs/>
          <w:color w:val="222222"/>
        </w:rPr>
        <w:t>never </w:t>
      </w:r>
      <w:r>
        <w:rPr>
          <w:color w:val="222222"/>
        </w:rPr>
        <w:t>support finding such a breach outside the insurance context.</w:t>
      </w:r>
      <w:r w:rsidRPr="5CA9A013">
        <w:rPr>
          <w:rFonts w:eastAsia="Times New Roman"/>
          <w:color w:val="000000" w:themeColor="text1"/>
        </w:rPr>
        <w:t xml:space="preserve">  </w:t>
      </w:r>
      <w:r w:rsidRPr="008C2372">
        <w:rPr>
          <w:rFonts w:eastAsia="Times New Roman"/>
          <w:color w:val="000000" w:themeColor="text1"/>
        </w:rPr>
        <w:t>Here, where the entire and sole purpose of the contract was operation of a full</w:t>
      </w:r>
      <w:r>
        <w:rPr>
          <w:rFonts w:eastAsia="Times New Roman"/>
          <w:color w:val="000000" w:themeColor="text1"/>
        </w:rPr>
        <w:t>-</w:t>
      </w:r>
      <w:r w:rsidRPr="008C2372">
        <w:rPr>
          <w:rFonts w:eastAsia="Times New Roman"/>
          <w:color w:val="000000" w:themeColor="text1"/>
        </w:rPr>
        <w:t>service restaurant able to serve wine and beer, it seems obvious that failure to disclose facts that could result in complete inability to achieve that purpose would serve to “deprive</w:t>
      </w:r>
      <w:r>
        <w:rPr>
          <w:rFonts w:eastAsia="Times New Roman"/>
          <w:color w:val="000000" w:themeColor="text1"/>
        </w:rPr>
        <w:t>”</w:t>
      </w:r>
      <w:r w:rsidRPr="008C2372">
        <w:rPr>
          <w:rFonts w:eastAsia="Times New Roman"/>
          <w:color w:val="000000" w:themeColor="text1"/>
        </w:rPr>
        <w:t xml:space="preserve"> the other party of the benefits of the contract.  (</w:t>
      </w:r>
      <w:r w:rsidRPr="008C2372">
        <w:rPr>
          <w:rFonts w:eastAsia="Times New Roman"/>
          <w:i/>
          <w:iCs/>
          <w:color w:val="000000" w:themeColor="text1"/>
        </w:rPr>
        <w:t>Id.</w:t>
      </w:r>
      <w:r>
        <w:rPr>
          <w:rFonts w:eastAsia="Times New Roman"/>
          <w:iCs/>
          <w:color w:val="000000" w:themeColor="text1"/>
        </w:rPr>
        <w:t xml:space="preserve"> at p. 53</w:t>
      </w:r>
      <w:r w:rsidRPr="008C2372">
        <w:rPr>
          <w:rFonts w:eastAsia="Times New Roman"/>
          <w:color w:val="000000" w:themeColor="text1"/>
        </w:rPr>
        <w:t>)</w:t>
      </w:r>
      <w:r>
        <w:rPr>
          <w:rStyle w:val="FootnoteReference"/>
          <w:rFonts w:eastAsia="Times New Roman"/>
          <w:color w:val="000000" w:themeColor="text1"/>
        </w:rPr>
        <w:footnoteReference w:id="31"/>
      </w:r>
      <w:r w:rsidRPr="008C2372">
        <w:rPr>
          <w:rFonts w:eastAsia="Times New Roman"/>
          <w:color w:val="000000" w:themeColor="text1"/>
        </w:rPr>
        <w:t xml:space="preserve">  Just as failure to disclose material information prior to execution of the lease could induce Hong to enter it, failure to disclose that information during the early termination period could induce her not to exercise that right under the agreement.</w:t>
      </w:r>
      <w:r>
        <w:rPr>
          <w:rFonts w:eastAsia="Times New Roman"/>
          <w:color w:val="000000" w:themeColor="text1"/>
        </w:rPr>
        <w:t xml:space="preserve"> </w:t>
      </w:r>
    </w:p>
    <w:p w:rsidR="00041B45" w:rsidP="003F45BE">
      <w:pPr>
        <w:spacing w:line="360" w:lineRule="auto"/>
        <w:ind w:firstLine="720"/>
        <w:rPr>
          <w:rFonts w:eastAsia="Times New Roman"/>
          <w:color w:val="000000" w:themeColor="text1"/>
        </w:rPr>
      </w:pPr>
      <w:r>
        <w:rPr>
          <w:rFonts w:eastAsia="Times New Roman"/>
          <w:color w:val="000000" w:themeColor="text1"/>
        </w:rPr>
        <w:t>Hong</w:t>
      </w:r>
      <w:r w:rsidRPr="5CA9A013">
        <w:rPr>
          <w:rFonts w:eastAsia="Times New Roman"/>
          <w:color w:val="000000" w:themeColor="text1"/>
        </w:rPr>
        <w:t xml:space="preserve"> also argue</w:t>
      </w:r>
      <w:r>
        <w:rPr>
          <w:rFonts w:eastAsia="Times New Roman"/>
          <w:color w:val="000000" w:themeColor="text1"/>
        </w:rPr>
        <w:t>s</w:t>
      </w:r>
      <w:r w:rsidRPr="5CA9A013">
        <w:rPr>
          <w:rFonts w:eastAsia="Times New Roman"/>
          <w:color w:val="000000" w:themeColor="text1"/>
        </w:rPr>
        <w:t xml:space="preserve"> the jury’s verdict is supported by the ample evidence of misrepresentations following the end of the early termination period, </w:t>
      </w:r>
      <w:r>
        <w:rPr>
          <w:rFonts w:eastAsia="Times New Roman"/>
          <w:color w:val="000000" w:themeColor="text1"/>
        </w:rPr>
        <w:t>during the time</w:t>
      </w:r>
      <w:r w:rsidRPr="5CA9A013">
        <w:rPr>
          <w:rFonts w:eastAsia="Times New Roman"/>
          <w:color w:val="000000" w:themeColor="text1"/>
        </w:rPr>
        <w:t xml:space="preserve"> after the Department informed Hong it would not approve her restaurant, when Hong and her attorney were trying to convince the Department to reverse its decision.</w:t>
      </w:r>
      <w:r>
        <w:rPr>
          <w:rStyle w:val="FootnoteReference"/>
          <w:rFonts w:eastAsia="Times New Roman"/>
          <w:color w:val="000000" w:themeColor="text1"/>
        </w:rPr>
        <w:footnoteReference w:id="32"/>
      </w:r>
      <w:r w:rsidRPr="5CA9A013">
        <w:rPr>
          <w:rFonts w:eastAsia="Times New Roman"/>
          <w:color w:val="000000" w:themeColor="text1"/>
        </w:rPr>
        <w:t xml:space="preserve">  This evidence supports the verdict, </w:t>
      </w:r>
      <w:r>
        <w:rPr>
          <w:rFonts w:eastAsia="Times New Roman"/>
          <w:color w:val="000000" w:themeColor="text1"/>
        </w:rPr>
        <w:t>Hong</w:t>
      </w:r>
      <w:r w:rsidRPr="5CA9A013">
        <w:rPr>
          <w:rFonts w:eastAsia="Times New Roman"/>
          <w:color w:val="000000" w:themeColor="text1"/>
        </w:rPr>
        <w:t xml:space="preserve"> maintain</w:t>
      </w:r>
      <w:r>
        <w:rPr>
          <w:rFonts w:eastAsia="Times New Roman"/>
          <w:color w:val="000000" w:themeColor="text1"/>
        </w:rPr>
        <w:t>s</w:t>
      </w:r>
      <w:r w:rsidRPr="5CA9A013">
        <w:rPr>
          <w:rFonts w:eastAsia="Times New Roman"/>
          <w:color w:val="000000" w:themeColor="text1"/>
        </w:rPr>
        <w:t>, because even after the early</w:t>
      </w:r>
      <w:r>
        <w:rPr>
          <w:rFonts w:eastAsia="Times New Roman"/>
          <w:color w:val="000000" w:themeColor="text1"/>
        </w:rPr>
        <w:t xml:space="preserve"> </w:t>
      </w:r>
      <w:r w:rsidRPr="5CA9A013">
        <w:rPr>
          <w:rFonts w:eastAsia="Times New Roman"/>
          <w:color w:val="000000" w:themeColor="text1"/>
        </w:rPr>
        <w:t xml:space="preserve">termination period ended, Hong had a right of rescission under Civil Code section 1689, subdivision (b)(3), which provides that a contract may be rescinded where “ ‘the consent [to the contract] of the party rescinding </w:t>
      </w:r>
      <w:r>
        <w:rPr>
          <w:rFonts w:eastAsia="Times New Roman"/>
          <w:color w:val="000000" w:themeColor="text1"/>
        </w:rPr>
        <w:t>. . .</w:t>
      </w:r>
      <w:r w:rsidRPr="5CA9A013">
        <w:rPr>
          <w:rFonts w:eastAsia="Times New Roman"/>
          <w:color w:val="000000" w:themeColor="text1"/>
        </w:rPr>
        <w:t xml:space="preserve"> was given by mistake[ ] or obtained through </w:t>
      </w:r>
      <w:r>
        <w:rPr>
          <w:rFonts w:eastAsia="Times New Roman"/>
          <w:color w:val="000000" w:themeColor="text1"/>
        </w:rPr>
        <w:t>. . .</w:t>
      </w:r>
      <w:r w:rsidRPr="5CA9A013">
        <w:rPr>
          <w:rFonts w:eastAsia="Times New Roman"/>
          <w:color w:val="000000" w:themeColor="text1"/>
        </w:rPr>
        <w:t xml:space="preserve"> fraud[ ] or undue influence[ ] exercised by </w:t>
      </w:r>
      <w:r>
        <w:rPr>
          <w:rFonts w:eastAsia="Times New Roman"/>
          <w:color w:val="000000" w:themeColor="text1"/>
        </w:rPr>
        <w:t>. . .</w:t>
      </w:r>
      <w:r w:rsidRPr="5CA9A013">
        <w:rPr>
          <w:rFonts w:eastAsia="Times New Roman"/>
          <w:color w:val="000000" w:themeColor="text1"/>
        </w:rPr>
        <w:t xml:space="preserve"> the party as to whom he rescinds.’</w:t>
      </w:r>
      <w:r>
        <w:rPr>
          <w:rFonts w:eastAsia="Times New Roman"/>
          <w:color w:val="000000" w:themeColor="text1"/>
        </w:rPr>
        <w:t xml:space="preserve"> </w:t>
      </w:r>
      <w:r w:rsidRPr="5CA9A013">
        <w:rPr>
          <w:rFonts w:eastAsia="Times New Roman"/>
          <w:color w:val="000000" w:themeColor="text1"/>
        </w:rPr>
        <w:t>”  (</w:t>
      </w:r>
      <w:r w:rsidRPr="5CA9A013">
        <w:rPr>
          <w:rFonts w:eastAsia="Times New Roman"/>
          <w:i/>
          <w:iCs/>
          <w:color w:val="000000" w:themeColor="text1"/>
        </w:rPr>
        <w:t>Wong v. Stoler</w:t>
      </w:r>
      <w:r w:rsidRPr="5CA9A013">
        <w:rPr>
          <w:rFonts w:eastAsia="Times New Roman"/>
          <w:color w:val="000000" w:themeColor="text1"/>
        </w:rPr>
        <w:t xml:space="preserve"> (2015) 237 Cal.App.4th 1375, 1385.)  </w:t>
      </w:r>
      <w:r w:rsidRPr="00041B45">
        <w:rPr>
          <w:rFonts w:eastAsia="Times New Roman"/>
          <w:color w:val="000000" w:themeColor="text1"/>
        </w:rPr>
        <w:t>Hong</w:t>
      </w:r>
      <w:r>
        <w:rPr>
          <w:rFonts w:eastAsia="Times New Roman"/>
          <w:color w:val="000000" w:themeColor="text1"/>
        </w:rPr>
        <w:t xml:space="preserve"> argues </w:t>
      </w:r>
      <w:r w:rsidRPr="00041B45">
        <w:rPr>
          <w:rFonts w:eastAsia="Times New Roman"/>
          <w:color w:val="000000" w:themeColor="text1"/>
        </w:rPr>
        <w:t xml:space="preserve">that </w:t>
      </w:r>
      <w:r>
        <w:rPr>
          <w:rFonts w:eastAsia="Times New Roman"/>
          <w:color w:val="000000" w:themeColor="text1"/>
        </w:rPr>
        <w:t>Beverly</w:t>
      </w:r>
      <w:r w:rsidRPr="00041B45">
        <w:rPr>
          <w:rFonts w:eastAsia="Times New Roman"/>
          <w:color w:val="000000" w:themeColor="text1"/>
        </w:rPr>
        <w:t xml:space="preserve">’s “continuing lies to maintain and cover up” the initial fraud in the inducement kept Hong from terminating the contract sooner and thereby incurring fewer damages. </w:t>
      </w:r>
    </w:p>
    <w:p w:rsidR="769570E9" w:rsidP="003F45BE">
      <w:pPr>
        <w:spacing w:line="360" w:lineRule="auto"/>
        <w:ind w:firstLine="720"/>
        <w:rPr>
          <w:rFonts w:eastAsia="Times New Roman"/>
          <w:color w:val="000000" w:themeColor="text1"/>
          <w:szCs w:val="26"/>
        </w:rPr>
      </w:pPr>
      <w:r>
        <w:rPr>
          <w:rFonts w:eastAsia="Times New Roman"/>
          <w:color w:val="000000" w:themeColor="text1"/>
        </w:rPr>
        <w:t>Beverly</w:t>
      </w:r>
      <w:r w:rsidRPr="5CA9A013">
        <w:rPr>
          <w:rFonts w:eastAsia="Times New Roman"/>
          <w:color w:val="000000" w:themeColor="text1"/>
        </w:rPr>
        <w:t xml:space="preserve"> challenge</w:t>
      </w:r>
      <w:r>
        <w:rPr>
          <w:rFonts w:eastAsia="Times New Roman"/>
          <w:color w:val="000000" w:themeColor="text1"/>
        </w:rPr>
        <w:t>s</w:t>
      </w:r>
      <w:r w:rsidRPr="5CA9A013">
        <w:rPr>
          <w:rFonts w:eastAsia="Times New Roman"/>
          <w:color w:val="000000" w:themeColor="text1"/>
        </w:rPr>
        <w:t xml:space="preserve"> this theory both because it was not presented to the jury and because the cases </w:t>
      </w:r>
      <w:r>
        <w:rPr>
          <w:rFonts w:eastAsia="Times New Roman"/>
          <w:color w:val="000000" w:themeColor="text1"/>
        </w:rPr>
        <w:t>Hong</w:t>
      </w:r>
      <w:r w:rsidRPr="5CA9A013">
        <w:rPr>
          <w:rFonts w:eastAsia="Times New Roman"/>
          <w:color w:val="000000" w:themeColor="text1"/>
        </w:rPr>
        <w:t xml:space="preserve"> rel</w:t>
      </w:r>
      <w:r>
        <w:rPr>
          <w:rFonts w:eastAsia="Times New Roman"/>
          <w:color w:val="000000" w:themeColor="text1"/>
        </w:rPr>
        <w:t>ies</w:t>
      </w:r>
      <w:r w:rsidRPr="5CA9A013">
        <w:rPr>
          <w:rFonts w:eastAsia="Times New Roman"/>
          <w:color w:val="000000" w:themeColor="text1"/>
        </w:rPr>
        <w:t xml:space="preserve"> upon concern rescission as a remedy for fraud or other issues bearing on inducement of a party’s entry into a contract, not subsequent breaches of the covenant of good faith and fair dealing.</w:t>
      </w:r>
      <w:r>
        <w:rPr>
          <w:rFonts w:eastAsia="Times New Roman"/>
          <w:color w:val="000000" w:themeColor="text1"/>
        </w:rPr>
        <w:t xml:space="preserve">  We find it unnecessary to </w:t>
      </w:r>
      <w:r w:rsidRPr="0065724E">
        <w:rPr>
          <w:rFonts w:eastAsia="Times New Roman"/>
          <w:color w:val="000000" w:themeColor="text1"/>
          <w:szCs w:val="26"/>
        </w:rPr>
        <w:t xml:space="preserve">determine the merits of this argument.  Even if it would not be a proper basis for affirming the jury’s verdict, and even if that verdict were not sustainable on the basis of </w:t>
      </w:r>
      <w:r>
        <w:rPr>
          <w:rFonts w:eastAsia="Times New Roman"/>
          <w:color w:val="000000" w:themeColor="text1"/>
          <w:szCs w:val="26"/>
        </w:rPr>
        <w:t>Beverly’s</w:t>
      </w:r>
      <w:r w:rsidRPr="0065724E">
        <w:rPr>
          <w:rFonts w:eastAsia="Times New Roman"/>
          <w:color w:val="000000" w:themeColor="text1"/>
          <w:szCs w:val="26"/>
        </w:rPr>
        <w:t xml:space="preserve"> continuing failure to disclose material information during the first three months of the lease, reversing the judgment on the cause of action for breach of the covenant of good faith and fair dealing would not result in any benefit to </w:t>
      </w:r>
      <w:r>
        <w:rPr>
          <w:rFonts w:eastAsia="Times New Roman"/>
          <w:color w:val="000000" w:themeColor="text1"/>
          <w:szCs w:val="26"/>
        </w:rPr>
        <w:t>Beverly</w:t>
      </w:r>
      <w:r w:rsidRPr="0065724E">
        <w:rPr>
          <w:rFonts w:eastAsia="Times New Roman"/>
          <w:color w:val="000000" w:themeColor="text1"/>
          <w:szCs w:val="26"/>
        </w:rPr>
        <w:t xml:space="preserve"> in light of our affirmance on the causes of action intentional misrepresentation and concealment. </w:t>
      </w:r>
    </w:p>
    <w:p w:rsidR="002B4E6C" w:rsidRPr="003628F9" w:rsidP="00A5047A">
      <w:pPr>
        <w:spacing w:line="360" w:lineRule="auto"/>
        <w:jc w:val="center"/>
        <w:rPr>
          <w:rFonts w:eastAsia="Times New Roman"/>
          <w:b/>
          <w:szCs w:val="26"/>
        </w:rPr>
      </w:pPr>
      <w:r w:rsidRPr="003628F9">
        <w:rPr>
          <w:rFonts w:eastAsia="Times New Roman"/>
          <w:b/>
          <w:szCs w:val="26"/>
        </w:rPr>
        <w:t>D.</w:t>
      </w:r>
    </w:p>
    <w:p w:rsidR="002B4E6C" w:rsidRPr="0065724E" w:rsidP="003F45BE">
      <w:pPr>
        <w:spacing w:line="360" w:lineRule="auto"/>
        <w:rPr>
          <w:rFonts w:eastAsia="Times New Roman"/>
          <w:szCs w:val="26"/>
        </w:rPr>
      </w:pPr>
      <w:r w:rsidRPr="0065724E">
        <w:rPr>
          <w:szCs w:val="26"/>
        </w:rPr>
        <w:tab/>
      </w:r>
      <w:r>
        <w:rPr>
          <w:rFonts w:eastAsia="Times New Roman"/>
        </w:rPr>
        <w:t>Beverly</w:t>
      </w:r>
      <w:r w:rsidRPr="5CA9A013">
        <w:rPr>
          <w:rFonts w:eastAsia="Times New Roman"/>
        </w:rPr>
        <w:t xml:space="preserve"> contend</w:t>
      </w:r>
      <w:r>
        <w:rPr>
          <w:rFonts w:eastAsia="Times New Roman"/>
        </w:rPr>
        <w:t>s</w:t>
      </w:r>
      <w:r w:rsidRPr="5CA9A013">
        <w:rPr>
          <w:rFonts w:eastAsia="Times New Roman"/>
        </w:rPr>
        <w:t xml:space="preserve"> there was no substantial evidence to support the award of punitive damages.  Aside from the alleged insufficiency of the evidence to support the underlying verdicts, which we have rejected, </w:t>
      </w:r>
      <w:r>
        <w:rPr>
          <w:rFonts w:eastAsia="Times New Roman"/>
        </w:rPr>
        <w:t>Beverly</w:t>
      </w:r>
      <w:r w:rsidRPr="5CA9A013">
        <w:rPr>
          <w:rFonts w:eastAsia="Times New Roman"/>
        </w:rPr>
        <w:t xml:space="preserve"> argue</w:t>
      </w:r>
      <w:r>
        <w:rPr>
          <w:rFonts w:eastAsia="Times New Roman"/>
        </w:rPr>
        <w:t>s</w:t>
      </w:r>
      <w:r w:rsidRPr="5CA9A013">
        <w:rPr>
          <w:rFonts w:eastAsia="Times New Roman"/>
        </w:rPr>
        <w:t xml:space="preserve"> there was no substantial </w:t>
      </w:r>
      <w:r>
        <w:rPr>
          <w:rFonts w:eastAsia="Times New Roman"/>
        </w:rPr>
        <w:t xml:space="preserve">evidence </w:t>
      </w:r>
      <w:r w:rsidRPr="5CA9A013">
        <w:rPr>
          <w:rFonts w:eastAsia="Times New Roman"/>
        </w:rPr>
        <w:t xml:space="preserve">of the net worth of either 524 Union or </w:t>
      </w:r>
      <w:r>
        <w:rPr>
          <w:rFonts w:eastAsia="Times New Roman"/>
        </w:rPr>
        <w:t>Beverly personally</w:t>
      </w:r>
      <w:r w:rsidRPr="5CA9A013">
        <w:rPr>
          <w:rFonts w:eastAsia="Times New Roman"/>
        </w:rPr>
        <w:t>.</w:t>
      </w:r>
      <w:r>
        <w:rPr>
          <w:rStyle w:val="FootnoteReference"/>
          <w:rFonts w:eastAsia="Times New Roman"/>
        </w:rPr>
        <w:footnoteReference w:id="33"/>
      </w:r>
      <w:r w:rsidRPr="5CA9A013">
        <w:rPr>
          <w:rFonts w:eastAsia="Times New Roman"/>
        </w:rPr>
        <w:t xml:space="preserve">  </w:t>
      </w:r>
    </w:p>
    <w:p w:rsidR="002B4E6C" w:rsidRPr="0065724E" w:rsidP="003F45BE">
      <w:pPr>
        <w:spacing w:line="360" w:lineRule="auto"/>
        <w:ind w:firstLine="720"/>
        <w:rPr>
          <w:rFonts w:eastAsia="Times New Roman"/>
          <w:color w:val="000000" w:themeColor="text1"/>
          <w:szCs w:val="26"/>
        </w:rPr>
      </w:pPr>
      <w:r w:rsidRPr="0065724E">
        <w:rPr>
          <w:rFonts w:eastAsia="Times New Roman"/>
          <w:szCs w:val="26"/>
        </w:rPr>
        <w:t>“</w:t>
      </w:r>
      <w:r w:rsidRPr="0065724E">
        <w:rPr>
          <w:rFonts w:eastAsia="Times New Roman"/>
          <w:color w:val="000000" w:themeColor="text1"/>
          <w:szCs w:val="26"/>
        </w:rPr>
        <w:t>Where the defendant</w:t>
      </w:r>
      <w:r>
        <w:rPr>
          <w:rFonts w:eastAsia="Times New Roman"/>
          <w:color w:val="000000" w:themeColor="text1"/>
          <w:szCs w:val="26"/>
        </w:rPr>
        <w:t>’</w:t>
      </w:r>
      <w:r w:rsidRPr="0065724E">
        <w:rPr>
          <w:rFonts w:eastAsia="Times New Roman"/>
          <w:color w:val="000000" w:themeColor="text1"/>
          <w:szCs w:val="26"/>
        </w:rPr>
        <w:t xml:space="preserve">s oppression, fraud or malice has been proven by clear and convincing evidence, California law permits the recovery of punitive damages ‘for the sake of example and by way of punishing the defendant.’  (Civ. Code, § 3294, subd. (a).) As we explained in </w:t>
      </w:r>
      <w:r w:rsidRPr="0065724E">
        <w:rPr>
          <w:rFonts w:eastAsia="Times New Roman"/>
          <w:i/>
          <w:iCs/>
          <w:color w:val="000000" w:themeColor="text1"/>
          <w:szCs w:val="26"/>
        </w:rPr>
        <w:t xml:space="preserve">Neal v. Farmers Ins. Exchange </w:t>
      </w:r>
      <w:r w:rsidRPr="002A715F">
        <w:rPr>
          <w:rFonts w:eastAsia="Times New Roman"/>
          <w:iCs/>
          <w:color w:val="000000" w:themeColor="text1"/>
          <w:szCs w:val="26"/>
        </w:rPr>
        <w:t>[(</w:t>
      </w:r>
      <w:r>
        <w:rPr>
          <w:rFonts w:eastAsia="Times New Roman"/>
          <w:iCs/>
          <w:color w:val="000000" w:themeColor="text1"/>
          <w:szCs w:val="26"/>
        </w:rPr>
        <w:t>1978</w:t>
      </w:r>
      <w:r w:rsidRPr="002A715F">
        <w:rPr>
          <w:rFonts w:eastAsia="Times New Roman"/>
          <w:iCs/>
          <w:color w:val="000000" w:themeColor="text1"/>
          <w:szCs w:val="26"/>
        </w:rPr>
        <w:t>)]</w:t>
      </w:r>
      <w:r w:rsidRPr="0065724E">
        <w:rPr>
          <w:rFonts w:eastAsia="Times New Roman"/>
          <w:color w:val="000000" w:themeColor="text1"/>
          <w:szCs w:val="26"/>
        </w:rPr>
        <w:t xml:space="preserve"> 21 Cal.3d </w:t>
      </w:r>
      <w:r>
        <w:rPr>
          <w:rFonts w:eastAsia="Times New Roman"/>
          <w:color w:val="000000" w:themeColor="text1"/>
          <w:szCs w:val="26"/>
        </w:rPr>
        <w:t>910</w:t>
      </w:r>
      <w:r w:rsidRPr="0065724E">
        <w:rPr>
          <w:rFonts w:eastAsia="Times New Roman"/>
          <w:color w:val="000000" w:themeColor="text1"/>
          <w:szCs w:val="26"/>
        </w:rPr>
        <w:t xml:space="preserve">, 928, and </w:t>
      </w:r>
      <w:r w:rsidRPr="0065724E">
        <w:rPr>
          <w:rFonts w:eastAsia="Times New Roman"/>
          <w:i/>
          <w:iCs/>
          <w:color w:val="000000" w:themeColor="text1"/>
          <w:szCs w:val="26"/>
        </w:rPr>
        <w:t xml:space="preserve">Adams v. Murakami </w:t>
      </w:r>
      <w:r w:rsidRPr="0065724E">
        <w:rPr>
          <w:rFonts w:eastAsia="Times New Roman"/>
          <w:color w:val="000000" w:themeColor="text1"/>
          <w:szCs w:val="26"/>
        </w:rPr>
        <w:t>[(1991)] 54 Cal.3d [105,] 110–112, the defendant</w:t>
      </w:r>
      <w:r>
        <w:rPr>
          <w:rFonts w:eastAsia="Times New Roman"/>
          <w:color w:val="000000" w:themeColor="text1"/>
          <w:szCs w:val="26"/>
        </w:rPr>
        <w:t>’</w:t>
      </w:r>
      <w:r w:rsidRPr="0065724E">
        <w:rPr>
          <w:rFonts w:eastAsia="Times New Roman"/>
          <w:color w:val="000000" w:themeColor="text1"/>
          <w:szCs w:val="26"/>
        </w:rPr>
        <w:t xml:space="preserve">s financial condition is an essential factor in fixing an amount that is sufficient to serve these goals without exceeding the necessary level of punishment.  ‘[O]bviously, the function of deterrence </w:t>
      </w:r>
      <w:r>
        <w:rPr>
          <w:rFonts w:eastAsia="Times New Roman"/>
          <w:color w:val="000000" w:themeColor="text1"/>
          <w:szCs w:val="26"/>
        </w:rPr>
        <w:t>. . .</w:t>
      </w:r>
      <w:r w:rsidRPr="0065724E">
        <w:rPr>
          <w:rFonts w:eastAsia="Times New Roman"/>
          <w:color w:val="000000" w:themeColor="text1"/>
          <w:szCs w:val="26"/>
        </w:rPr>
        <w:t xml:space="preserve"> will not be served if the wealth of the defendant allows him to absorb the award with little or no discomfort.’</w:t>
      </w:r>
      <w:r>
        <w:rPr>
          <w:rFonts w:eastAsia="Times New Roman"/>
          <w:color w:val="000000" w:themeColor="text1"/>
          <w:szCs w:val="26"/>
        </w:rPr>
        <w:t xml:space="preserve"> </w:t>
      </w:r>
      <w:r w:rsidRPr="0065724E">
        <w:rPr>
          <w:rFonts w:eastAsia="Times New Roman"/>
          <w:color w:val="000000" w:themeColor="text1"/>
          <w:szCs w:val="26"/>
        </w:rPr>
        <w:t xml:space="preserve"> (</w:t>
      </w:r>
      <w:r w:rsidRPr="0065724E">
        <w:rPr>
          <w:rFonts w:eastAsia="Times New Roman"/>
          <w:i/>
          <w:iCs/>
          <w:color w:val="000000" w:themeColor="text1"/>
          <w:szCs w:val="26"/>
        </w:rPr>
        <w:t>Neal</w:t>
      </w:r>
      <w:r w:rsidRPr="00401EAA">
        <w:rPr>
          <w:rFonts w:eastAsia="Times New Roman"/>
          <w:iCs/>
          <w:color w:val="000000" w:themeColor="text1"/>
          <w:szCs w:val="26"/>
        </w:rPr>
        <w:t>, . . .</w:t>
      </w:r>
      <w:r w:rsidRPr="0065724E">
        <w:rPr>
          <w:rFonts w:eastAsia="Times New Roman"/>
          <w:color w:val="000000" w:themeColor="text1"/>
          <w:szCs w:val="26"/>
        </w:rPr>
        <w:t xml:space="preserve"> at p. 928.)  ‘[P]unitive damage awards should not be a routine cost of doing business that an industry can simply pass on to its customers through price increases, while continuing the conduct the law proscribes.’  (</w:t>
      </w:r>
      <w:r w:rsidRPr="0065724E">
        <w:rPr>
          <w:rFonts w:eastAsia="Times New Roman"/>
          <w:i/>
          <w:iCs/>
          <w:color w:val="000000" w:themeColor="text1"/>
          <w:szCs w:val="26"/>
        </w:rPr>
        <w:t>Lane v. Hughes Aircraft Co.</w:t>
      </w:r>
      <w:r w:rsidRPr="0065724E">
        <w:rPr>
          <w:rFonts w:eastAsia="Times New Roman"/>
          <w:color w:val="000000" w:themeColor="text1"/>
          <w:szCs w:val="26"/>
        </w:rPr>
        <w:t xml:space="preserve"> (2000) 22 Cal.4th 405, 427 (conc. opn. of Brown, J.).)  On the other hand, ‘the purpose of punitive damages is not served by financially destroying a defendant.’  (</w:t>
      </w:r>
      <w:r w:rsidRPr="0065724E">
        <w:rPr>
          <w:rFonts w:eastAsia="Times New Roman"/>
          <w:i/>
          <w:iCs/>
          <w:color w:val="000000" w:themeColor="text1"/>
          <w:szCs w:val="26"/>
        </w:rPr>
        <w:t>Adams,</w:t>
      </w:r>
      <w:r w:rsidRPr="0065724E">
        <w:rPr>
          <w:rFonts w:eastAsia="Times New Roman"/>
          <w:color w:val="000000" w:themeColor="text1"/>
          <w:szCs w:val="26"/>
        </w:rPr>
        <w:t xml:space="preserve"> </w:t>
      </w:r>
      <w:r>
        <w:rPr>
          <w:rFonts w:eastAsia="Times New Roman"/>
          <w:color w:val="000000" w:themeColor="text1"/>
          <w:szCs w:val="26"/>
        </w:rPr>
        <w:t xml:space="preserve">. . . </w:t>
      </w:r>
      <w:r w:rsidRPr="0065724E">
        <w:rPr>
          <w:rFonts w:eastAsia="Times New Roman"/>
          <w:color w:val="000000" w:themeColor="text1"/>
          <w:szCs w:val="26"/>
        </w:rPr>
        <w:t>at p. 112.)”  (</w:t>
      </w:r>
      <w:r w:rsidRPr="0065724E">
        <w:rPr>
          <w:rFonts w:eastAsia="Times New Roman"/>
          <w:i/>
          <w:iCs/>
          <w:color w:val="000000" w:themeColor="text1"/>
          <w:szCs w:val="26"/>
        </w:rPr>
        <w:t>Simon v. San Paolo U.S. Holding Co., Inc.</w:t>
      </w:r>
      <w:r w:rsidRPr="0065724E">
        <w:rPr>
          <w:rFonts w:eastAsia="Times New Roman"/>
          <w:color w:val="000000" w:themeColor="text1"/>
          <w:szCs w:val="26"/>
        </w:rPr>
        <w:t xml:space="preserve"> (2005) 35 Cal.4th 1159, 1184–1185</w:t>
      </w:r>
      <w:r>
        <w:rPr>
          <w:rFonts w:eastAsia="Times New Roman"/>
          <w:color w:val="000000" w:themeColor="text1"/>
          <w:szCs w:val="26"/>
        </w:rPr>
        <w:t xml:space="preserve"> (</w:t>
      </w:r>
      <w:r w:rsidRPr="00EF11EE">
        <w:rPr>
          <w:rFonts w:eastAsia="Times New Roman"/>
          <w:i/>
          <w:color w:val="000000" w:themeColor="text1"/>
          <w:szCs w:val="26"/>
        </w:rPr>
        <w:t>Simon</w:t>
      </w:r>
      <w:r>
        <w:rPr>
          <w:rFonts w:eastAsia="Times New Roman"/>
          <w:color w:val="000000" w:themeColor="text1"/>
          <w:szCs w:val="26"/>
        </w:rPr>
        <w:t>)</w:t>
      </w:r>
      <w:r w:rsidRPr="0065724E">
        <w:rPr>
          <w:rFonts w:eastAsia="Times New Roman"/>
          <w:color w:val="000000" w:themeColor="text1"/>
          <w:szCs w:val="26"/>
        </w:rPr>
        <w:t>.)</w:t>
      </w:r>
    </w:p>
    <w:p w:rsidR="262598E7" w:rsidRPr="0065724E" w:rsidP="003F45BE">
      <w:pPr>
        <w:spacing w:line="360" w:lineRule="auto"/>
        <w:ind w:firstLine="720"/>
        <w:rPr>
          <w:rFonts w:eastAsia="Times New Roman"/>
          <w:szCs w:val="26"/>
        </w:rPr>
      </w:pPr>
      <w:r w:rsidRPr="0065724E">
        <w:rPr>
          <w:rFonts w:eastAsia="Times New Roman"/>
          <w:color w:val="000000" w:themeColor="text1"/>
          <w:szCs w:val="26"/>
        </w:rPr>
        <w:t>It is the p</w:t>
      </w:r>
      <w:r w:rsidRPr="0065724E">
        <w:rPr>
          <w:rFonts w:eastAsia="Times New Roman"/>
          <w:szCs w:val="26"/>
        </w:rPr>
        <w:t>laintiff</w:t>
      </w:r>
      <w:r>
        <w:rPr>
          <w:rFonts w:eastAsia="Times New Roman"/>
          <w:szCs w:val="26"/>
        </w:rPr>
        <w:t>’</w:t>
      </w:r>
      <w:r w:rsidRPr="0065724E">
        <w:rPr>
          <w:rFonts w:eastAsia="Times New Roman"/>
          <w:szCs w:val="26"/>
        </w:rPr>
        <w:t>s burden to introduce evidence of financial condition.  (</w:t>
      </w:r>
      <w:r w:rsidRPr="0065724E">
        <w:rPr>
          <w:rFonts w:eastAsia="Times New Roman"/>
          <w:i/>
          <w:iCs/>
          <w:szCs w:val="26"/>
        </w:rPr>
        <w:t xml:space="preserve">Adams v. Murakami, supra, </w:t>
      </w:r>
      <w:r w:rsidRPr="0065724E">
        <w:rPr>
          <w:rFonts w:eastAsia="Times New Roman"/>
          <w:szCs w:val="26"/>
        </w:rPr>
        <w:t>54 Cal.3d at p. 109</w:t>
      </w:r>
      <w:r w:rsidRPr="0065724E">
        <w:rPr>
          <w:rFonts w:eastAsia="Times New Roman"/>
          <w:i/>
          <w:iCs/>
          <w:szCs w:val="26"/>
        </w:rPr>
        <w:t>.</w:t>
      </w:r>
      <w:r w:rsidRPr="0065724E">
        <w:rPr>
          <w:rFonts w:eastAsia="Times New Roman"/>
          <w:szCs w:val="26"/>
        </w:rPr>
        <w:t xml:space="preserve">)  </w:t>
      </w:r>
      <w:r w:rsidRPr="0065724E">
        <w:rPr>
          <w:rFonts w:eastAsia="Times New Roman"/>
          <w:color w:val="000000" w:themeColor="text1"/>
          <w:szCs w:val="26"/>
        </w:rPr>
        <w:t>“An award of punitive damages cannot be sustained on appeal unless the trial record contains meaningful evidence of the defendant</w:t>
      </w:r>
      <w:r>
        <w:rPr>
          <w:rFonts w:eastAsia="Times New Roman"/>
          <w:color w:val="000000" w:themeColor="text1"/>
          <w:szCs w:val="26"/>
        </w:rPr>
        <w:t>’</w:t>
      </w:r>
      <w:r w:rsidRPr="0065724E">
        <w:rPr>
          <w:rFonts w:eastAsia="Times New Roman"/>
          <w:color w:val="000000" w:themeColor="text1"/>
          <w:szCs w:val="26"/>
        </w:rPr>
        <w:t>s financial condition” (</w:t>
      </w:r>
      <w:r w:rsidRPr="0065724E">
        <w:rPr>
          <w:rFonts w:eastAsia="Times New Roman"/>
          <w:i/>
          <w:iCs/>
          <w:color w:val="000000" w:themeColor="text1"/>
          <w:szCs w:val="26"/>
        </w:rPr>
        <w:t>ibid</w:t>
      </w:r>
      <w:r w:rsidRPr="0065724E">
        <w:rPr>
          <w:rFonts w:eastAsia="Times New Roman"/>
          <w:color w:val="000000" w:themeColor="text1"/>
          <w:szCs w:val="26"/>
        </w:rPr>
        <w:t>.); it cannot be based on speculation.  (</w:t>
      </w:r>
      <w:r w:rsidRPr="0065724E">
        <w:rPr>
          <w:rFonts w:eastAsia="Times New Roman"/>
          <w:i/>
          <w:iCs/>
          <w:color w:val="000000" w:themeColor="text1"/>
          <w:szCs w:val="26"/>
        </w:rPr>
        <w:t xml:space="preserve">Id. </w:t>
      </w:r>
      <w:r w:rsidRPr="0065724E">
        <w:rPr>
          <w:rFonts w:eastAsia="Times New Roman"/>
          <w:color w:val="000000" w:themeColor="text1"/>
          <w:szCs w:val="26"/>
        </w:rPr>
        <w:t>at p.</w:t>
      </w:r>
      <w:r>
        <w:rPr>
          <w:rFonts w:eastAsia="Times New Roman"/>
          <w:color w:val="000000" w:themeColor="text1"/>
          <w:szCs w:val="26"/>
        </w:rPr>
        <w:t> </w:t>
      </w:r>
      <w:r w:rsidRPr="0065724E">
        <w:rPr>
          <w:rFonts w:eastAsia="Times New Roman"/>
          <w:color w:val="000000" w:themeColor="text1"/>
          <w:szCs w:val="26"/>
        </w:rPr>
        <w:t xml:space="preserve">114.) </w:t>
      </w:r>
      <w:r>
        <w:rPr>
          <w:rFonts w:eastAsia="Times New Roman"/>
          <w:color w:val="000000" w:themeColor="text1"/>
          <w:szCs w:val="26"/>
        </w:rPr>
        <w:t>Beverly’s</w:t>
      </w:r>
      <w:r w:rsidRPr="0065724E">
        <w:rPr>
          <w:rFonts w:eastAsia="Times New Roman"/>
          <w:color w:val="000000" w:themeColor="text1"/>
          <w:szCs w:val="26"/>
        </w:rPr>
        <w:t xml:space="preserve"> argument is that punitive damages award is not supported because the only evidence of the net worth of 524 Union or </w:t>
      </w:r>
      <w:r>
        <w:rPr>
          <w:rFonts w:eastAsia="Times New Roman"/>
          <w:color w:val="000000" w:themeColor="text1"/>
          <w:szCs w:val="26"/>
        </w:rPr>
        <w:t>Beverly herself</w:t>
      </w:r>
      <w:r w:rsidRPr="0065724E">
        <w:rPr>
          <w:rFonts w:eastAsia="Times New Roman"/>
          <w:color w:val="000000" w:themeColor="text1"/>
          <w:szCs w:val="26"/>
        </w:rPr>
        <w:t xml:space="preserve"> was </w:t>
      </w:r>
      <w:r>
        <w:rPr>
          <w:rFonts w:eastAsia="Times New Roman"/>
          <w:color w:val="000000" w:themeColor="text1"/>
          <w:szCs w:val="26"/>
        </w:rPr>
        <w:t>Beverly</w:t>
      </w:r>
      <w:r w:rsidRPr="0065724E">
        <w:rPr>
          <w:rFonts w:eastAsia="Times New Roman"/>
          <w:color w:val="000000" w:themeColor="text1"/>
          <w:szCs w:val="26"/>
        </w:rPr>
        <w:t xml:space="preserve">’s testimony, which she expressly stated was a “guess.”  </w:t>
      </w:r>
    </w:p>
    <w:p w:rsidR="262598E7" w:rsidRPr="0065724E" w:rsidP="003F45BE">
      <w:pPr>
        <w:spacing w:line="360" w:lineRule="auto"/>
        <w:ind w:firstLine="720"/>
        <w:rPr>
          <w:rFonts w:eastAsia="Times New Roman"/>
          <w:color w:val="000000" w:themeColor="text1"/>
          <w:szCs w:val="26"/>
        </w:rPr>
      </w:pPr>
      <w:r w:rsidRPr="0065724E">
        <w:rPr>
          <w:rFonts w:eastAsia="Times New Roman"/>
          <w:color w:val="000000" w:themeColor="text1"/>
          <w:szCs w:val="26"/>
        </w:rPr>
        <w:t xml:space="preserve">Asked to estimate the value of 524 Union, </w:t>
      </w:r>
      <w:r>
        <w:rPr>
          <w:rFonts w:eastAsia="Times New Roman"/>
          <w:color w:val="000000" w:themeColor="text1"/>
          <w:szCs w:val="26"/>
        </w:rPr>
        <w:t>Beverly</w:t>
      </w:r>
      <w:r w:rsidRPr="0065724E">
        <w:rPr>
          <w:rFonts w:eastAsia="Times New Roman"/>
          <w:color w:val="000000" w:themeColor="text1"/>
          <w:szCs w:val="26"/>
        </w:rPr>
        <w:t xml:space="preserve"> testified, “right now there’s a long-term vacancy, and there’s some serious deferred maintenance because of the vacancy.  So I would be guessing, you know.  Usually the value of the property is based on the income, and the income is really low.  So I don’t know, maybe</w:t>
      </w:r>
      <w:r>
        <w:rPr>
          <w:rFonts w:eastAsia="Times New Roman"/>
          <w:color w:val="000000" w:themeColor="text1"/>
          <w:szCs w:val="26"/>
        </w:rPr>
        <w:t xml:space="preserve"> . . . </w:t>
      </w:r>
      <w:r w:rsidRPr="0065724E">
        <w:rPr>
          <w:rFonts w:eastAsia="Times New Roman"/>
          <w:color w:val="000000" w:themeColor="text1"/>
          <w:szCs w:val="26"/>
        </w:rPr>
        <w:t>it</w:t>
      </w:r>
      <w:r>
        <w:rPr>
          <w:rFonts w:eastAsia="Times New Roman"/>
          <w:color w:val="000000" w:themeColor="text1"/>
          <w:szCs w:val="26"/>
        </w:rPr>
        <w:t>’</w:t>
      </w:r>
      <w:r w:rsidRPr="0065724E">
        <w:rPr>
          <w:rFonts w:eastAsia="Times New Roman"/>
          <w:color w:val="000000" w:themeColor="text1"/>
          <w:szCs w:val="26"/>
        </w:rPr>
        <w:t xml:space="preserve">s a guess.  Maybe 3.5.”  She then acknowledged that she was a real estate broker and it was her business to know the value of properties, and that determination of the value of a commercial property is “really intensive, looking at the comps, looking at the whole thing.”  She disagreed with </w:t>
      </w:r>
      <w:r>
        <w:rPr>
          <w:rFonts w:eastAsia="Times New Roman"/>
          <w:color w:val="000000" w:themeColor="text1"/>
          <w:szCs w:val="26"/>
        </w:rPr>
        <w:t>Hong’s</w:t>
      </w:r>
      <w:r w:rsidRPr="0065724E">
        <w:rPr>
          <w:rFonts w:eastAsia="Times New Roman"/>
          <w:color w:val="000000" w:themeColor="text1"/>
          <w:szCs w:val="26"/>
        </w:rPr>
        <w:t xml:space="preserve"> counsel’s suggestion that the value of comparable properties would be around 6.5 million.  Asked for an estimate of her net worth, she noted that there was a mortgage of about $700,000 and a lien of about 19,000</w:t>
      </w:r>
      <w:r>
        <w:rPr>
          <w:rFonts w:eastAsia="Times New Roman"/>
          <w:color w:val="000000" w:themeColor="text1"/>
          <w:szCs w:val="26"/>
        </w:rPr>
        <w:t xml:space="preserve"> to </w:t>
      </w:r>
      <w:r w:rsidRPr="0065724E">
        <w:rPr>
          <w:rFonts w:eastAsia="Times New Roman"/>
          <w:color w:val="000000" w:themeColor="text1"/>
          <w:szCs w:val="26"/>
        </w:rPr>
        <w:t xml:space="preserve">20,000 on the 524 Union Street property, and a mortgage on her personal residence, which she had purchased in the 1980s for $90,000, as well as taxes and insurance, and that she received social security and worked on commissions, the latter of which had been difficult because of physical issues with her knees.  Asked for her “best estimate,” she said she would have to “sit there and calculate it out.”  Given a calculator, </w:t>
      </w:r>
      <w:r>
        <w:rPr>
          <w:rFonts w:eastAsia="Times New Roman"/>
          <w:color w:val="000000" w:themeColor="text1"/>
          <w:szCs w:val="26"/>
        </w:rPr>
        <w:t>Beverly</w:t>
      </w:r>
      <w:r w:rsidRPr="0065724E">
        <w:rPr>
          <w:rFonts w:eastAsia="Times New Roman"/>
          <w:color w:val="000000" w:themeColor="text1"/>
          <w:szCs w:val="26"/>
        </w:rPr>
        <w:t xml:space="preserve"> testified, “probably about, on paper, maybe 2.5” million.  Her calculations did not include the $91,000 damages she owed Hong, and she did not know what she owed in legal fees since the last billing.  </w:t>
      </w:r>
      <w:r>
        <w:rPr>
          <w:rFonts w:eastAsia="Times New Roman"/>
          <w:color w:val="000000" w:themeColor="text1"/>
          <w:szCs w:val="26"/>
        </w:rPr>
        <w:t>Beverly</w:t>
      </w:r>
      <w:r w:rsidRPr="0065724E">
        <w:rPr>
          <w:rFonts w:eastAsia="Times New Roman"/>
          <w:color w:val="000000" w:themeColor="text1"/>
          <w:szCs w:val="26"/>
        </w:rPr>
        <w:t xml:space="preserve"> testified that the bulk of the income from 524 Union came from The Field, which had now become difficult to rent; she was trying to obtain “landmarking” for the restaurant space and building, which would supersede the Department and </w:t>
      </w:r>
      <w:r>
        <w:rPr>
          <w:rFonts w:eastAsia="Times New Roman"/>
          <w:color w:val="000000" w:themeColor="text1"/>
          <w:szCs w:val="26"/>
        </w:rPr>
        <w:t xml:space="preserve">the San Francisco </w:t>
      </w:r>
      <w:r w:rsidRPr="0065724E">
        <w:rPr>
          <w:rFonts w:eastAsia="Times New Roman"/>
          <w:color w:val="000000" w:themeColor="text1"/>
          <w:szCs w:val="26"/>
        </w:rPr>
        <w:t>Planning Commission, but that would take a long time and entail “very, very expensive” legal fees.  In response to a juror’s question, she testified that the Union Street property was about 9</w:t>
      </w:r>
      <w:r>
        <w:rPr>
          <w:rFonts w:eastAsia="Times New Roman"/>
          <w:color w:val="000000" w:themeColor="text1"/>
          <w:szCs w:val="26"/>
        </w:rPr>
        <w:t>,</w:t>
      </w:r>
      <w:r w:rsidRPr="0065724E">
        <w:rPr>
          <w:rFonts w:eastAsia="Times New Roman"/>
          <w:color w:val="000000" w:themeColor="text1"/>
          <w:szCs w:val="26"/>
        </w:rPr>
        <w:t>500 square feet and her home was about 2</w:t>
      </w:r>
      <w:r>
        <w:rPr>
          <w:rFonts w:eastAsia="Times New Roman"/>
          <w:color w:val="000000" w:themeColor="text1"/>
          <w:szCs w:val="26"/>
        </w:rPr>
        <w:t>,</w:t>
      </w:r>
      <w:r w:rsidRPr="0065724E">
        <w:rPr>
          <w:rFonts w:eastAsia="Times New Roman"/>
          <w:color w:val="000000" w:themeColor="text1"/>
          <w:szCs w:val="26"/>
        </w:rPr>
        <w:t xml:space="preserve">100 square feet.  </w:t>
      </w:r>
    </w:p>
    <w:p w:rsidR="29AF2B7C" w:rsidRPr="0065724E" w:rsidP="003F45BE">
      <w:pPr>
        <w:spacing w:line="360" w:lineRule="auto"/>
        <w:ind w:firstLine="720"/>
        <w:rPr>
          <w:rFonts w:eastAsia="Times New Roman"/>
          <w:color w:val="000000" w:themeColor="text1"/>
          <w:szCs w:val="26"/>
        </w:rPr>
      </w:pPr>
      <w:r>
        <w:rPr>
          <w:rFonts w:eastAsia="Times New Roman"/>
          <w:color w:val="000000" w:themeColor="text1"/>
        </w:rPr>
        <w:t>Beverly</w:t>
      </w:r>
      <w:r w:rsidRPr="5CA9A013">
        <w:rPr>
          <w:rFonts w:eastAsia="Times New Roman"/>
          <w:color w:val="000000" w:themeColor="text1"/>
        </w:rPr>
        <w:t xml:space="preserve"> cite</w:t>
      </w:r>
      <w:r>
        <w:rPr>
          <w:rFonts w:eastAsia="Times New Roman"/>
          <w:color w:val="000000" w:themeColor="text1"/>
        </w:rPr>
        <w:t>s</w:t>
      </w:r>
      <w:r w:rsidRPr="5CA9A013">
        <w:rPr>
          <w:rFonts w:eastAsia="Times New Roman"/>
          <w:color w:val="000000" w:themeColor="text1"/>
        </w:rPr>
        <w:t xml:space="preserve"> </w:t>
      </w:r>
      <w:r w:rsidRPr="5CA9A013">
        <w:rPr>
          <w:rFonts w:eastAsia="Times New Roman"/>
          <w:i/>
          <w:iCs/>
          <w:color w:val="000000" w:themeColor="text1"/>
        </w:rPr>
        <w:t xml:space="preserve">Roddenberry v. Roddenberry </w:t>
      </w:r>
      <w:r w:rsidRPr="5CA9A013">
        <w:rPr>
          <w:rFonts w:eastAsia="Times New Roman"/>
          <w:color w:val="000000" w:themeColor="text1"/>
        </w:rPr>
        <w:t>(1996) 44 Cal.App.4th 6</w:t>
      </w:r>
      <w:r>
        <w:rPr>
          <w:rFonts w:eastAsia="Times New Roman"/>
          <w:color w:val="000000" w:themeColor="text1"/>
        </w:rPr>
        <w:t>3</w:t>
      </w:r>
      <w:r w:rsidRPr="5CA9A013">
        <w:rPr>
          <w:rFonts w:eastAsia="Times New Roman"/>
          <w:color w:val="000000" w:themeColor="text1"/>
        </w:rPr>
        <w:t>4, 651, for the statement that “[o]pinion testimony which is conjectural or speculative ‘cannot rise to the dignity of substantial evidence.’  (</w:t>
      </w:r>
      <w:r w:rsidRPr="5CA9A013">
        <w:rPr>
          <w:rFonts w:eastAsia="Times New Roman"/>
          <w:i/>
          <w:iCs/>
          <w:color w:val="000000" w:themeColor="text1"/>
        </w:rPr>
        <w:t>Pacific Gas &amp; Electric Co. v. Zuckerman</w:t>
      </w:r>
      <w:r w:rsidRPr="5CA9A013">
        <w:rPr>
          <w:rFonts w:eastAsia="Times New Roman"/>
          <w:color w:val="000000" w:themeColor="text1"/>
        </w:rPr>
        <w:t xml:space="preserve"> (1987) 189 Cal.App.3d 1113, 1135.)</w:t>
      </w:r>
      <w:r>
        <w:rPr>
          <w:rFonts w:eastAsia="Times New Roman"/>
          <w:color w:val="000000" w:themeColor="text1"/>
        </w:rPr>
        <w:t>”</w:t>
      </w:r>
      <w:r w:rsidRPr="5CA9A013">
        <w:rPr>
          <w:rFonts w:eastAsia="Times New Roman"/>
          <w:color w:val="000000" w:themeColor="text1"/>
        </w:rPr>
        <w:t xml:space="preserve">  Of course.  But </w:t>
      </w:r>
      <w:r w:rsidRPr="5CA9A013">
        <w:rPr>
          <w:rFonts w:eastAsia="Times New Roman"/>
          <w:i/>
          <w:iCs/>
          <w:color w:val="000000" w:themeColor="text1"/>
        </w:rPr>
        <w:t>Roddenberry</w:t>
      </w:r>
      <w:r w:rsidRPr="00080E2D">
        <w:rPr>
          <w:rFonts w:eastAsia="Times New Roman"/>
          <w:iCs/>
          <w:color w:val="000000" w:themeColor="text1"/>
        </w:rPr>
        <w:t xml:space="preserve">, </w:t>
      </w:r>
      <w:r w:rsidRPr="5CA9A013">
        <w:rPr>
          <w:rFonts w:eastAsia="Times New Roman"/>
          <w:color w:val="000000" w:themeColor="text1"/>
        </w:rPr>
        <w:t xml:space="preserve">which involved expert opinion regarding postdivorce profits that a former spouse claimed she was due pursuant to a property settlement, is of little use in determining whether </w:t>
      </w:r>
      <w:r>
        <w:rPr>
          <w:rFonts w:eastAsia="Times New Roman"/>
          <w:color w:val="000000" w:themeColor="text1"/>
        </w:rPr>
        <w:t>Beverly</w:t>
      </w:r>
      <w:r w:rsidRPr="5CA9A013">
        <w:rPr>
          <w:rFonts w:eastAsia="Times New Roman"/>
          <w:color w:val="000000" w:themeColor="text1"/>
        </w:rPr>
        <w:t>’s testimony regarding her own net worth and the value of property owned by the partnership of which she was managing partner constituted substantial evidence of her financial condition.  The value of property may be shown by the opinion of the owner.  (Evid. Code, §</w:t>
      </w:r>
      <w:r>
        <w:rPr>
          <w:rFonts w:eastAsia="Times New Roman"/>
          <w:color w:val="000000" w:themeColor="text1"/>
        </w:rPr>
        <w:t> </w:t>
      </w:r>
      <w:r w:rsidRPr="5CA9A013">
        <w:rPr>
          <w:rFonts w:eastAsia="Times New Roman"/>
          <w:color w:val="000000" w:themeColor="text1"/>
        </w:rPr>
        <w:t xml:space="preserve">813, subd. (a)(2); </w:t>
      </w:r>
      <w:r w:rsidRPr="5CA9A013">
        <w:rPr>
          <w:rFonts w:eastAsia="Times New Roman"/>
          <w:i/>
          <w:iCs/>
          <w:color w:val="000000" w:themeColor="text1"/>
        </w:rPr>
        <w:t xml:space="preserve">Sacramento &amp; San Joaquin Drainage Dist. </w:t>
      </w:r>
      <w:r w:rsidRPr="5CA9A013">
        <w:rPr>
          <w:rFonts w:eastAsia="Times New Roman"/>
          <w:color w:val="000000" w:themeColor="text1"/>
        </w:rPr>
        <w:t>(1970) 13 Cal.App.3d 58, 64.)  The question is whether the owner</w:t>
      </w:r>
      <w:r>
        <w:rPr>
          <w:rFonts w:eastAsia="Times New Roman"/>
          <w:color w:val="000000" w:themeColor="text1"/>
        </w:rPr>
        <w:t>’</w:t>
      </w:r>
      <w:r w:rsidRPr="5CA9A013">
        <w:rPr>
          <w:rFonts w:eastAsia="Times New Roman"/>
          <w:color w:val="000000" w:themeColor="text1"/>
        </w:rPr>
        <w:t>s characterization of her opinion as a “guess,” in the circumstances here, means it was too speculative to be considered substantial evidence.</w:t>
      </w:r>
    </w:p>
    <w:p w:rsidR="29AF2B7C" w:rsidRPr="0065724E" w:rsidP="003F45BE">
      <w:pPr>
        <w:spacing w:line="360" w:lineRule="auto"/>
        <w:ind w:firstLine="720"/>
        <w:rPr>
          <w:rFonts w:eastAsia="Times New Roman"/>
          <w:color w:val="000000" w:themeColor="text1"/>
          <w:szCs w:val="26"/>
        </w:rPr>
      </w:pPr>
      <w:r w:rsidRPr="0065724E">
        <w:rPr>
          <w:rFonts w:eastAsia="Times New Roman"/>
          <w:color w:val="000000" w:themeColor="text1"/>
          <w:szCs w:val="26"/>
        </w:rPr>
        <w:t xml:space="preserve">The trial court, in denying </w:t>
      </w:r>
      <w:r>
        <w:rPr>
          <w:rFonts w:eastAsia="Times New Roman"/>
          <w:color w:val="000000" w:themeColor="text1"/>
          <w:szCs w:val="26"/>
        </w:rPr>
        <w:t>Beverly’s</w:t>
      </w:r>
      <w:r w:rsidRPr="0065724E">
        <w:rPr>
          <w:rFonts w:eastAsia="Times New Roman"/>
          <w:color w:val="000000" w:themeColor="text1"/>
          <w:szCs w:val="26"/>
        </w:rPr>
        <w:t xml:space="preserve"> motion for </w:t>
      </w:r>
      <w:r>
        <w:rPr>
          <w:rFonts w:eastAsia="Times New Roman"/>
          <w:color w:val="000000" w:themeColor="text1"/>
          <w:szCs w:val="26"/>
        </w:rPr>
        <w:t>JNOV</w:t>
      </w:r>
      <w:r w:rsidRPr="0065724E">
        <w:rPr>
          <w:rFonts w:eastAsia="Times New Roman"/>
          <w:color w:val="000000" w:themeColor="text1"/>
          <w:szCs w:val="26"/>
        </w:rPr>
        <w:t xml:space="preserve"> the verdict with respect to punitive damages, “accept[ed] </w:t>
      </w:r>
      <w:r>
        <w:rPr>
          <w:rFonts w:eastAsia="Times New Roman"/>
          <w:color w:val="000000" w:themeColor="text1"/>
          <w:szCs w:val="26"/>
        </w:rPr>
        <w:t>[Beverly’s]</w:t>
      </w:r>
      <w:r w:rsidRPr="0065724E">
        <w:rPr>
          <w:rFonts w:eastAsia="Times New Roman"/>
          <w:color w:val="000000" w:themeColor="text1"/>
          <w:szCs w:val="26"/>
        </w:rPr>
        <w:t xml:space="preserve"> testimony that the 524 Union property’s market value is $3.5 million and that it is encumbered by $870,000 in secured loans, leaving 2.63 million.”  Though stated to be a “guess,” </w:t>
      </w:r>
      <w:r>
        <w:rPr>
          <w:rFonts w:eastAsia="Times New Roman"/>
          <w:color w:val="000000" w:themeColor="text1"/>
          <w:szCs w:val="26"/>
        </w:rPr>
        <w:t>Beverly</w:t>
      </w:r>
      <w:r w:rsidRPr="0065724E">
        <w:rPr>
          <w:rFonts w:eastAsia="Times New Roman"/>
          <w:color w:val="000000" w:themeColor="text1"/>
          <w:szCs w:val="26"/>
        </w:rPr>
        <w:t xml:space="preserve">’s testimony as to the value of the property at 524 Union was not wild speculation.  As a real estate broker, long-time owner of 524 Union and commercial landlord, </w:t>
      </w:r>
      <w:r>
        <w:rPr>
          <w:rFonts w:eastAsia="Times New Roman"/>
          <w:color w:val="000000" w:themeColor="text1"/>
          <w:szCs w:val="26"/>
        </w:rPr>
        <w:t>Beverly</w:t>
      </w:r>
      <w:r w:rsidRPr="0065724E">
        <w:rPr>
          <w:rFonts w:eastAsia="Times New Roman"/>
          <w:color w:val="000000" w:themeColor="text1"/>
          <w:szCs w:val="26"/>
        </w:rPr>
        <w:t xml:space="preserve"> was familiar with the value of this real estate</w:t>
      </w:r>
      <w:r>
        <w:rPr>
          <w:rFonts w:eastAsia="Times New Roman"/>
          <w:color w:val="000000" w:themeColor="text1"/>
          <w:szCs w:val="26"/>
        </w:rPr>
        <w:t>,</w:t>
      </w:r>
      <w:r w:rsidRPr="0065724E">
        <w:rPr>
          <w:rFonts w:eastAsia="Times New Roman"/>
          <w:color w:val="000000" w:themeColor="text1"/>
          <w:szCs w:val="26"/>
        </w:rPr>
        <w:t xml:space="preserve"> as well as its encumbrances, which she was able to specify.  Her testimony was substantial evidence of 524 Union’s financial condition.  </w:t>
      </w:r>
    </w:p>
    <w:p w:rsidR="29AF2B7C" w:rsidP="003F45BE">
      <w:pPr>
        <w:spacing w:line="360" w:lineRule="auto"/>
        <w:ind w:firstLine="720"/>
        <w:rPr>
          <w:rFonts w:eastAsia="Times New Roman"/>
          <w:color w:val="000000" w:themeColor="text1"/>
        </w:rPr>
      </w:pPr>
      <w:r>
        <w:rPr>
          <w:rFonts w:eastAsia="Times New Roman"/>
          <w:color w:val="000000" w:themeColor="text1"/>
        </w:rPr>
        <w:t>Beverly</w:t>
      </w:r>
      <w:r w:rsidRPr="5CA9A013">
        <w:rPr>
          <w:rFonts w:eastAsia="Times New Roman"/>
          <w:color w:val="000000" w:themeColor="text1"/>
        </w:rPr>
        <w:t xml:space="preserve">’s testimony was also substantial evidence of her own net worth.  Again, while she qualified her testimony by couching it in terms such as </w:t>
      </w:r>
      <w:r>
        <w:rPr>
          <w:rFonts w:eastAsia="Times New Roman"/>
          <w:color w:val="000000" w:themeColor="text1"/>
        </w:rPr>
        <w:t>“</w:t>
      </w:r>
      <w:r w:rsidRPr="5CA9A013">
        <w:rPr>
          <w:rFonts w:eastAsia="Times New Roman"/>
          <w:color w:val="000000" w:themeColor="text1"/>
        </w:rPr>
        <w:t>probably</w:t>
      </w:r>
      <w:r>
        <w:rPr>
          <w:rFonts w:eastAsia="Times New Roman"/>
          <w:color w:val="000000" w:themeColor="text1"/>
        </w:rPr>
        <w:t>”</w:t>
      </w:r>
      <w:r w:rsidRPr="5CA9A013">
        <w:rPr>
          <w:rFonts w:eastAsia="Times New Roman"/>
          <w:color w:val="000000" w:themeColor="text1"/>
        </w:rPr>
        <w:t xml:space="preserve"> and </w:t>
      </w:r>
      <w:r>
        <w:rPr>
          <w:rFonts w:eastAsia="Times New Roman"/>
          <w:color w:val="000000" w:themeColor="text1"/>
        </w:rPr>
        <w:t>“</w:t>
      </w:r>
      <w:r w:rsidRPr="5CA9A013">
        <w:rPr>
          <w:rFonts w:eastAsia="Times New Roman"/>
          <w:color w:val="000000" w:themeColor="text1"/>
        </w:rPr>
        <w:t>maybe,</w:t>
      </w:r>
      <w:r>
        <w:rPr>
          <w:rFonts w:eastAsia="Times New Roman"/>
          <w:color w:val="000000" w:themeColor="text1"/>
        </w:rPr>
        <w:t>”</w:t>
      </w:r>
      <w:r w:rsidRPr="5CA9A013">
        <w:rPr>
          <w:rFonts w:eastAsia="Times New Roman"/>
          <w:color w:val="000000" w:themeColor="text1"/>
        </w:rPr>
        <w:t xml:space="preserve"> it is clear she was not making wild guesses.  She understood the components of her net worth</w:t>
      </w:r>
      <w:r>
        <w:t>—</w:t>
      </w:r>
      <w:r w:rsidRPr="5CA9A013">
        <w:rPr>
          <w:rFonts w:eastAsia="Times New Roman"/>
          <w:color w:val="000000" w:themeColor="text1"/>
        </w:rPr>
        <w:t>her equity in her home and in 524 Union, her income from social security and real estate commissions, her mortgage and other debt</w:t>
      </w:r>
      <w:r>
        <w:rPr>
          <w:rFonts w:eastAsia="Times New Roman"/>
          <w:color w:val="000000" w:themeColor="text1"/>
        </w:rPr>
        <w:t>—</w:t>
      </w:r>
      <w:r w:rsidRPr="5CA9A013">
        <w:rPr>
          <w:rFonts w:eastAsia="Times New Roman"/>
          <w:color w:val="000000" w:themeColor="text1"/>
        </w:rPr>
        <w:t>and was given an opportunity to calculate the estimate she gave at trial.  This was substantial evidence of her financial condition.</w:t>
      </w:r>
      <w:r>
        <w:rPr>
          <w:rFonts w:eastAsia="Times New Roman"/>
          <w:color w:val="000000" w:themeColor="text1"/>
        </w:rPr>
        <w:t xml:space="preserve"> </w:t>
      </w:r>
      <w:r w:rsidRPr="5CA9A013">
        <w:rPr>
          <w:rFonts w:eastAsia="Times New Roman"/>
          <w:color w:val="000000" w:themeColor="text1"/>
        </w:rPr>
        <w:t xml:space="preserve"> </w:t>
      </w:r>
    </w:p>
    <w:p w:rsidR="29AF2B7C" w:rsidRPr="00476D21" w:rsidP="009B50B2">
      <w:pPr>
        <w:spacing w:line="360" w:lineRule="auto"/>
        <w:jc w:val="center"/>
        <w:rPr>
          <w:rFonts w:eastAsia="Times New Roman"/>
          <w:b/>
          <w:szCs w:val="26"/>
        </w:rPr>
      </w:pPr>
      <w:r w:rsidRPr="00476D21">
        <w:rPr>
          <w:rFonts w:eastAsia="Times New Roman"/>
          <w:b/>
          <w:szCs w:val="26"/>
        </w:rPr>
        <w:t>II.</w:t>
      </w:r>
    </w:p>
    <w:p w:rsidR="46EE9BE5" w:rsidRPr="0065724E" w:rsidP="003F45BE">
      <w:pPr>
        <w:spacing w:line="360" w:lineRule="auto"/>
        <w:ind w:firstLine="720"/>
        <w:rPr>
          <w:rFonts w:eastAsia="Times New Roman"/>
          <w:szCs w:val="26"/>
        </w:rPr>
      </w:pPr>
      <w:r>
        <w:rPr>
          <w:rFonts w:eastAsia="Times New Roman"/>
        </w:rPr>
        <w:t>Hong’s</w:t>
      </w:r>
      <w:r w:rsidRPr="5CA9A013">
        <w:rPr>
          <w:rFonts w:eastAsia="Times New Roman"/>
        </w:rPr>
        <w:t xml:space="preserve"> cross</w:t>
      </w:r>
      <w:r>
        <w:rPr>
          <w:rFonts w:eastAsia="Times New Roman"/>
        </w:rPr>
        <w:t>-</w:t>
      </w:r>
      <w:r w:rsidRPr="5CA9A013">
        <w:rPr>
          <w:rFonts w:eastAsia="Times New Roman"/>
        </w:rPr>
        <w:t xml:space="preserve">appeal challenges the trial court’s reduction of the punitive damages award against 524 Union.  </w:t>
      </w:r>
      <w:r>
        <w:rPr>
          <w:rFonts w:eastAsia="Times New Roman"/>
        </w:rPr>
        <w:t>Hong contends</w:t>
      </w:r>
      <w:r w:rsidRPr="5CA9A013">
        <w:rPr>
          <w:rFonts w:eastAsia="Times New Roman"/>
        </w:rPr>
        <w:t xml:space="preserve"> the trial court erred in reducing the award by means of the </w:t>
      </w:r>
      <w:r>
        <w:rPr>
          <w:rFonts w:eastAsia="Times New Roman"/>
        </w:rPr>
        <w:t>JNOV</w:t>
      </w:r>
      <w:r w:rsidRPr="5CA9A013">
        <w:rPr>
          <w:rFonts w:eastAsia="Times New Roman"/>
        </w:rPr>
        <w:t xml:space="preserve"> process, as the exclusive procedure for such a reduction is the remittitur process set forth in Code of Civil Procedure Code section 662.5.</w:t>
      </w:r>
      <w:r>
        <w:rPr>
          <w:rStyle w:val="FootnoteReference"/>
          <w:rFonts w:eastAsia="Times New Roman"/>
        </w:rPr>
        <w:footnoteReference w:id="34"/>
      </w:r>
      <w:r w:rsidRPr="5CA9A013">
        <w:rPr>
          <w:rFonts w:eastAsia="Times New Roman"/>
        </w:rPr>
        <w:t xml:space="preserve">  Under this process, where a new trial limited to damages would be proper, the trial court may “issue a conditional order granting the new trial unless the party in whose favor the verdict has been rendered consents to the reduction of so much thereof as the court in its independent judgment determines from the evidence to be fair and reasonable.</w:t>
      </w:r>
      <w:r w:rsidRPr="00F55EB3">
        <w:rPr>
          <w:rFonts w:eastAsia="Times New Roman"/>
        </w:rPr>
        <w:t>”</w:t>
      </w:r>
      <w:r>
        <w:rPr>
          <w:rStyle w:val="FootnoteReference"/>
          <w:rFonts w:eastAsia="Times New Roman"/>
          <w:bCs/>
        </w:rPr>
        <w:footnoteReference w:id="35"/>
      </w:r>
      <w:r w:rsidRPr="00F55EB3">
        <w:rPr>
          <w:rFonts w:eastAsia="Times New Roman"/>
          <w:bCs/>
        </w:rPr>
        <w:t xml:space="preserve"> </w:t>
      </w:r>
    </w:p>
    <w:p w:rsidR="46EE9BE5" w:rsidRPr="0065724E" w:rsidP="003F45BE">
      <w:pPr>
        <w:spacing w:line="360" w:lineRule="auto"/>
        <w:ind w:firstLine="720"/>
        <w:rPr>
          <w:rFonts w:eastAsia="Times New Roman"/>
          <w:szCs w:val="26"/>
        </w:rPr>
      </w:pPr>
      <w:r w:rsidRPr="0065724E">
        <w:rPr>
          <w:rFonts w:eastAsia="Times New Roman"/>
          <w:szCs w:val="26"/>
        </w:rPr>
        <w:t xml:space="preserve">Where the evidence supports a plaintiff’s entitlement to punitive damages but the amount of the award is challenged as unreasonably high, the court cannot reduce the amount of damages on a motion for </w:t>
      </w:r>
      <w:r>
        <w:rPr>
          <w:rFonts w:eastAsia="Times New Roman"/>
          <w:szCs w:val="26"/>
        </w:rPr>
        <w:t>JNOV</w:t>
      </w:r>
      <w:r w:rsidRPr="0065724E">
        <w:rPr>
          <w:rFonts w:eastAsia="Times New Roman"/>
          <w:szCs w:val="26"/>
        </w:rPr>
        <w:t>.  (</w:t>
      </w:r>
      <w:r w:rsidRPr="0065724E">
        <w:rPr>
          <w:rFonts w:eastAsia="Times New Roman"/>
          <w:i/>
          <w:iCs/>
          <w:szCs w:val="26"/>
        </w:rPr>
        <w:t xml:space="preserve">Teitel v. First Los Angeles Bank </w:t>
      </w:r>
      <w:r w:rsidRPr="0065724E">
        <w:rPr>
          <w:rFonts w:eastAsia="Times New Roman"/>
          <w:szCs w:val="26"/>
        </w:rPr>
        <w:t>(1991) 231 Cal.App.3d 1593, 1604</w:t>
      </w:r>
      <w:r>
        <w:t>–</w:t>
      </w:r>
      <w:r w:rsidRPr="0065724E">
        <w:rPr>
          <w:rFonts w:eastAsia="Times New Roman"/>
          <w:szCs w:val="26"/>
        </w:rPr>
        <w:t xml:space="preserve">1605 </w:t>
      </w:r>
      <w:r w:rsidRPr="00251035">
        <w:rPr>
          <w:rFonts w:eastAsia="Times New Roman"/>
          <w:iCs/>
          <w:szCs w:val="26"/>
        </w:rPr>
        <w:t>(</w:t>
      </w:r>
      <w:r w:rsidRPr="0065724E">
        <w:rPr>
          <w:rFonts w:eastAsia="Times New Roman"/>
          <w:i/>
          <w:iCs/>
          <w:szCs w:val="26"/>
        </w:rPr>
        <w:t>Teitel</w:t>
      </w:r>
      <w:r w:rsidRPr="0065724E">
        <w:rPr>
          <w:rFonts w:eastAsia="Times New Roman"/>
          <w:szCs w:val="26"/>
        </w:rPr>
        <w:t>)</w:t>
      </w:r>
      <w:r w:rsidRPr="004A05F0">
        <w:rPr>
          <w:rFonts w:eastAsia="Times New Roman"/>
          <w:iCs/>
          <w:szCs w:val="26"/>
        </w:rPr>
        <w:t xml:space="preserve">; </w:t>
      </w:r>
      <w:r w:rsidRPr="0065724E">
        <w:rPr>
          <w:rFonts w:eastAsia="Times New Roman"/>
          <w:szCs w:val="26"/>
        </w:rPr>
        <w:t>§ 657.)  “</w:t>
      </w:r>
      <w:r w:rsidRPr="0065724E">
        <w:rPr>
          <w:rFonts w:eastAsia="Source Sans Pro"/>
          <w:color w:val="000000" w:themeColor="text1"/>
          <w:szCs w:val="26"/>
        </w:rPr>
        <w:t>The trial court</w:t>
      </w:r>
      <w:r>
        <w:rPr>
          <w:rFonts w:eastAsia="Source Sans Pro"/>
          <w:color w:val="000000" w:themeColor="text1"/>
          <w:szCs w:val="26"/>
        </w:rPr>
        <w:t>’</w:t>
      </w:r>
      <w:r w:rsidRPr="0065724E">
        <w:rPr>
          <w:rFonts w:eastAsia="Source Sans Pro"/>
          <w:color w:val="000000" w:themeColor="text1"/>
          <w:szCs w:val="26"/>
        </w:rPr>
        <w:t xml:space="preserve">s discretion in granting a motion for judgment notwithstanding the verdict is severely limited. ‘ “The trial judge's power to grant a </w:t>
      </w:r>
      <w:r>
        <w:rPr>
          <w:rFonts w:eastAsia="Source Sans Pro"/>
          <w:color w:val="000000" w:themeColor="text1"/>
          <w:szCs w:val="26"/>
        </w:rPr>
        <w:t>[JNOV]</w:t>
      </w:r>
      <w:r w:rsidRPr="0065724E">
        <w:rPr>
          <w:rFonts w:eastAsia="Source Sans Pro"/>
          <w:color w:val="000000" w:themeColor="text1"/>
          <w:szCs w:val="26"/>
        </w:rPr>
        <w:t xml:space="preserve"> is identical to his power to grant a directed verdict [citations]. </w:t>
      </w:r>
      <w:r>
        <w:rPr>
          <w:rFonts w:eastAsia="Source Sans Pro"/>
          <w:color w:val="000000" w:themeColor="text1"/>
          <w:szCs w:val="26"/>
        </w:rPr>
        <w:t xml:space="preserve"> </w:t>
      </w:r>
      <w:r w:rsidRPr="0065724E">
        <w:rPr>
          <w:rFonts w:eastAsia="Source Sans Pro"/>
          <w:color w:val="000000" w:themeColor="text1"/>
          <w:szCs w:val="26"/>
        </w:rPr>
        <w:t xml:space="preserve">The trial judge cannot reweigh the evidence [citation], or judge the credibility of witnesses. </w:t>
      </w:r>
      <w:r>
        <w:rPr>
          <w:rFonts w:eastAsia="Source Sans Pro"/>
          <w:color w:val="000000" w:themeColor="text1"/>
          <w:szCs w:val="26"/>
        </w:rPr>
        <w:t xml:space="preserve"> </w:t>
      </w:r>
      <w:r w:rsidRPr="0065724E">
        <w:rPr>
          <w:rFonts w:eastAsia="Source Sans Pro"/>
          <w:color w:val="000000" w:themeColor="text1"/>
          <w:szCs w:val="26"/>
        </w:rPr>
        <w:t xml:space="preserve">[Citation.] </w:t>
      </w:r>
      <w:r>
        <w:rPr>
          <w:rFonts w:eastAsia="Source Sans Pro"/>
          <w:color w:val="000000" w:themeColor="text1"/>
          <w:szCs w:val="26"/>
        </w:rPr>
        <w:t xml:space="preserve"> </w:t>
      </w:r>
      <w:r w:rsidRPr="0065724E">
        <w:rPr>
          <w:rFonts w:eastAsia="Source Sans Pro"/>
          <w:color w:val="000000" w:themeColor="text1"/>
          <w:szCs w:val="26"/>
        </w:rPr>
        <w:t xml:space="preserve">If the evidence is conflicting or if several reasonable inferences may be drawn, the motion for </w:t>
      </w:r>
      <w:r>
        <w:rPr>
          <w:rFonts w:eastAsia="Source Sans Pro"/>
          <w:color w:val="000000" w:themeColor="text1"/>
          <w:szCs w:val="26"/>
        </w:rPr>
        <w:t>[JNOV]</w:t>
      </w:r>
      <w:r w:rsidRPr="0065724E">
        <w:rPr>
          <w:rFonts w:eastAsia="Source Sans Pro"/>
          <w:color w:val="000000" w:themeColor="text1"/>
          <w:szCs w:val="26"/>
        </w:rPr>
        <w:t xml:space="preserve"> should be denied. </w:t>
      </w:r>
      <w:r>
        <w:rPr>
          <w:rFonts w:eastAsia="Source Sans Pro"/>
          <w:color w:val="000000" w:themeColor="text1"/>
          <w:szCs w:val="26"/>
        </w:rPr>
        <w:t xml:space="preserve"> </w:t>
      </w:r>
      <w:r w:rsidRPr="0065724E">
        <w:rPr>
          <w:rFonts w:eastAsia="Source Sans Pro"/>
          <w:color w:val="000000" w:themeColor="text1"/>
          <w:szCs w:val="26"/>
        </w:rPr>
        <w:t xml:space="preserve">[Citations.] </w:t>
      </w:r>
      <w:r>
        <w:rPr>
          <w:rFonts w:eastAsia="Source Sans Pro"/>
          <w:color w:val="000000" w:themeColor="text1"/>
          <w:szCs w:val="26"/>
        </w:rPr>
        <w:t xml:space="preserve"> </w:t>
      </w:r>
      <w:r w:rsidRPr="0065724E">
        <w:rPr>
          <w:rFonts w:eastAsia="Source Sans Pro"/>
          <w:color w:val="000000" w:themeColor="text1"/>
          <w:szCs w:val="26"/>
        </w:rPr>
        <w:t xml:space="preserve">‘A motion for </w:t>
      </w:r>
      <w:r>
        <w:rPr>
          <w:rFonts w:eastAsia="Source Sans Pro"/>
          <w:color w:val="000000" w:themeColor="text1"/>
          <w:szCs w:val="26"/>
        </w:rPr>
        <w:t xml:space="preserve">[JNOV] </w:t>
      </w:r>
      <w:r w:rsidRPr="0065724E">
        <w:rPr>
          <w:rFonts w:eastAsia="Source Sans Pro"/>
          <w:color w:val="000000" w:themeColor="text1"/>
          <w:szCs w:val="26"/>
        </w:rPr>
        <w:t>of a jury may properly be granted only if it appears from the evidence, viewed in the light most favorable to the party securing the verdict, that there is no substantial evidence to support the verdict.</w:t>
      </w:r>
      <w:r>
        <w:rPr>
          <w:rFonts w:eastAsia="Source Sans Pro"/>
          <w:color w:val="000000" w:themeColor="text1"/>
          <w:szCs w:val="26"/>
        </w:rPr>
        <w:t xml:space="preserve"> </w:t>
      </w:r>
      <w:r w:rsidRPr="0065724E">
        <w:rPr>
          <w:rFonts w:eastAsia="Source Sans Pro"/>
          <w:color w:val="000000" w:themeColor="text1"/>
          <w:szCs w:val="26"/>
        </w:rPr>
        <w:t xml:space="preserve"> If there is any substantial evidence, or reasonable inferences to be drawn therefrom, in support of the verdict, the motion should be denied.’</w:t>
      </w:r>
      <w:r>
        <w:rPr>
          <w:rFonts w:eastAsia="Source Sans Pro"/>
          <w:color w:val="000000" w:themeColor="text1"/>
          <w:szCs w:val="26"/>
        </w:rPr>
        <w:t xml:space="preserve"> </w:t>
      </w:r>
      <w:r w:rsidRPr="0065724E">
        <w:rPr>
          <w:rFonts w:eastAsia="Source Sans Pro"/>
          <w:color w:val="000000" w:themeColor="text1"/>
          <w:szCs w:val="26"/>
        </w:rPr>
        <w:t xml:space="preserve"> [Citation.]”</w:t>
      </w:r>
      <w:r>
        <w:rPr>
          <w:rFonts w:eastAsia="Source Sans Pro"/>
          <w:color w:val="000000" w:themeColor="text1"/>
          <w:szCs w:val="26"/>
        </w:rPr>
        <w:t xml:space="preserve"> </w:t>
      </w:r>
      <w:r w:rsidRPr="0065724E">
        <w:rPr>
          <w:rFonts w:eastAsia="Source Sans Pro"/>
          <w:color w:val="000000" w:themeColor="text1"/>
          <w:szCs w:val="26"/>
        </w:rPr>
        <w:t>’  (</w:t>
      </w:r>
      <w:r w:rsidRPr="0065724E">
        <w:rPr>
          <w:rFonts w:eastAsia="Source Sans Pro"/>
          <w:i/>
          <w:iCs/>
          <w:color w:val="000000" w:themeColor="text1"/>
          <w:szCs w:val="26"/>
        </w:rPr>
        <w:t>Clemmer v. Hartford Insurance Co.</w:t>
      </w:r>
      <w:r w:rsidRPr="0065724E">
        <w:rPr>
          <w:rFonts w:eastAsia="Source Sans Pro"/>
          <w:color w:val="000000" w:themeColor="text1"/>
          <w:szCs w:val="26"/>
        </w:rPr>
        <w:t xml:space="preserve"> (1978) 22 Cal.3d 865, 877</w:t>
      </w:r>
      <w:r>
        <w:t>–</w:t>
      </w:r>
      <w:r w:rsidRPr="0065724E">
        <w:rPr>
          <w:rFonts w:eastAsia="Source Sans Pro"/>
          <w:color w:val="000000" w:themeColor="text1"/>
          <w:szCs w:val="26"/>
        </w:rPr>
        <w:t xml:space="preserve">878, quoting </w:t>
      </w:r>
      <w:r w:rsidRPr="0065724E">
        <w:rPr>
          <w:rFonts w:eastAsia="Source Sans Pro"/>
          <w:i/>
          <w:iCs/>
          <w:color w:val="000000" w:themeColor="text1"/>
          <w:szCs w:val="26"/>
        </w:rPr>
        <w:t>Hauter v. Zogarts</w:t>
      </w:r>
      <w:r w:rsidRPr="0065724E">
        <w:rPr>
          <w:rFonts w:eastAsia="Source Sans Pro"/>
          <w:color w:val="000000" w:themeColor="text1"/>
          <w:szCs w:val="26"/>
        </w:rPr>
        <w:t xml:space="preserve"> (1975) 14 Cal.3d 104, 110</w:t>
      </w:r>
      <w:r>
        <w:t>–</w:t>
      </w:r>
      <w:r w:rsidRPr="0065724E">
        <w:rPr>
          <w:rFonts w:eastAsia="Source Sans Pro"/>
          <w:color w:val="000000" w:themeColor="text1"/>
          <w:szCs w:val="26"/>
        </w:rPr>
        <w:t>111.)”  (</w:t>
      </w:r>
      <w:r w:rsidRPr="0065724E">
        <w:rPr>
          <w:rFonts w:eastAsia="Source Sans Pro"/>
          <w:i/>
          <w:iCs/>
          <w:color w:val="000000" w:themeColor="text1"/>
          <w:szCs w:val="26"/>
        </w:rPr>
        <w:t xml:space="preserve">Teitel, </w:t>
      </w:r>
      <w:r w:rsidRPr="0065724E">
        <w:rPr>
          <w:rFonts w:eastAsia="Source Sans Pro"/>
          <w:color w:val="000000" w:themeColor="text1"/>
          <w:szCs w:val="26"/>
        </w:rPr>
        <w:t>at p. 1602.)</w:t>
      </w:r>
    </w:p>
    <w:p w:rsidR="46EE9BE5" w:rsidRPr="0065724E" w:rsidP="003F45BE">
      <w:pPr>
        <w:spacing w:line="360" w:lineRule="auto"/>
        <w:ind w:firstLine="720"/>
        <w:rPr>
          <w:rFonts w:eastAsia="Source Sans Pro"/>
          <w:color w:val="000000" w:themeColor="text1"/>
          <w:szCs w:val="26"/>
        </w:rPr>
      </w:pPr>
      <w:r w:rsidRPr="0065724E">
        <w:rPr>
          <w:rFonts w:eastAsia="Source Sans Pro"/>
          <w:color w:val="000000" w:themeColor="text1"/>
          <w:szCs w:val="26"/>
        </w:rPr>
        <w:t xml:space="preserve">Here, the trial court found that the evidence supported awards of punitive damages against both </w:t>
      </w:r>
      <w:r>
        <w:rPr>
          <w:rFonts w:eastAsia="Source Sans Pro"/>
          <w:color w:val="000000" w:themeColor="text1"/>
          <w:szCs w:val="26"/>
        </w:rPr>
        <w:t>Beverly</w:t>
      </w:r>
      <w:r w:rsidRPr="0065724E">
        <w:rPr>
          <w:rFonts w:eastAsia="Source Sans Pro"/>
          <w:color w:val="000000" w:themeColor="text1"/>
          <w:szCs w:val="26"/>
        </w:rPr>
        <w:t xml:space="preserve"> and 524 Union, but that the </w:t>
      </w:r>
      <w:r w:rsidRPr="0065724E">
        <w:rPr>
          <w:rFonts w:eastAsia="Source Sans Pro"/>
          <w:i/>
          <w:iCs/>
          <w:color w:val="000000" w:themeColor="text1"/>
          <w:szCs w:val="26"/>
        </w:rPr>
        <w:t xml:space="preserve">amount </w:t>
      </w:r>
      <w:r w:rsidRPr="0065724E">
        <w:rPr>
          <w:rFonts w:eastAsia="Source Sans Pro"/>
          <w:color w:val="000000" w:themeColor="text1"/>
          <w:szCs w:val="26"/>
        </w:rPr>
        <w:t xml:space="preserve">awarded against 524 Union was excessive.  As </w:t>
      </w:r>
      <w:r w:rsidRPr="0065724E">
        <w:rPr>
          <w:rFonts w:eastAsia="Source Sans Pro"/>
          <w:i/>
          <w:iCs/>
          <w:color w:val="000000" w:themeColor="text1"/>
          <w:szCs w:val="26"/>
        </w:rPr>
        <w:t xml:space="preserve">Teitel </w:t>
      </w:r>
      <w:r w:rsidRPr="0065724E">
        <w:rPr>
          <w:rFonts w:eastAsia="Source Sans Pro"/>
          <w:color w:val="000000" w:themeColor="text1"/>
          <w:szCs w:val="26"/>
        </w:rPr>
        <w:t xml:space="preserve">explained, “[t]he Legislature has provided an exclusive remedy for a trial court to employ where some damages are properly awarded, but the amount is excessive. </w:t>
      </w:r>
      <w:r>
        <w:rPr>
          <w:rFonts w:eastAsia="Source Sans Pro"/>
          <w:color w:val="000000" w:themeColor="text1"/>
          <w:szCs w:val="26"/>
        </w:rPr>
        <w:t xml:space="preserve"> </w:t>
      </w:r>
      <w:r w:rsidRPr="0065724E">
        <w:rPr>
          <w:rFonts w:eastAsia="Source Sans Pro"/>
          <w:color w:val="000000" w:themeColor="text1"/>
          <w:szCs w:val="26"/>
        </w:rPr>
        <w:t xml:space="preserve">That is through a remittitur pursuant to Code of Civil Procedure section 662.5.  Were we to accept [the] position that the trial judge is empowered to select an appropriate level of punitive damages and compel its determination by a </w:t>
      </w:r>
      <w:r>
        <w:rPr>
          <w:rFonts w:eastAsia="Source Sans Pro"/>
          <w:color w:val="000000" w:themeColor="text1"/>
          <w:szCs w:val="26"/>
        </w:rPr>
        <w:t>[JNOV]</w:t>
      </w:r>
      <w:r w:rsidRPr="0065724E">
        <w:rPr>
          <w:rFonts w:eastAsia="Source Sans Pro"/>
          <w:color w:val="000000" w:themeColor="text1"/>
          <w:szCs w:val="26"/>
        </w:rPr>
        <w:t xml:space="preserve">, we would find little or no purpose for the remittitur statute.  We do not believe the Legislature intended such a result. </w:t>
      </w:r>
      <w:r>
        <w:rPr>
          <w:rFonts w:eastAsia="Source Sans Pro"/>
          <w:color w:val="000000" w:themeColor="text1"/>
          <w:szCs w:val="26"/>
        </w:rPr>
        <w:t xml:space="preserve"> </w:t>
      </w:r>
      <w:r w:rsidRPr="0065724E">
        <w:rPr>
          <w:rFonts w:eastAsia="Source Sans Pro"/>
          <w:color w:val="000000" w:themeColor="text1"/>
          <w:szCs w:val="26"/>
        </w:rPr>
        <w:t xml:space="preserve">Rather, the legislative system as enacted makes it plain that damages, except those which may be determined as a matter of law, are to be fixed by the trier of fact and, if erroneous in amount, subject to the reduction or new trial procedure specified in </w:t>
      </w:r>
      <w:r>
        <w:rPr>
          <w:rFonts w:eastAsia="Source Sans Pro"/>
          <w:color w:val="000000" w:themeColor="text1"/>
          <w:szCs w:val="26"/>
        </w:rPr>
        <w:t xml:space="preserve">. . . </w:t>
      </w:r>
      <w:r w:rsidRPr="0065724E">
        <w:rPr>
          <w:rFonts w:eastAsia="Source Sans Pro"/>
          <w:color w:val="000000" w:themeColor="text1"/>
          <w:szCs w:val="26"/>
        </w:rPr>
        <w:t>section 662.5, subdivision (b).”</w:t>
      </w:r>
      <w:r>
        <w:rPr>
          <w:rStyle w:val="FootnoteReference"/>
          <w:rFonts w:eastAsia="Source Sans Pro"/>
          <w:color w:val="000000" w:themeColor="text1"/>
          <w:szCs w:val="26"/>
        </w:rPr>
        <w:footnoteReference w:id="36"/>
      </w:r>
      <w:r w:rsidRPr="0065724E">
        <w:rPr>
          <w:rFonts w:eastAsia="Source Sans Pro"/>
          <w:color w:val="000000" w:themeColor="text1"/>
          <w:szCs w:val="26"/>
        </w:rPr>
        <w:t xml:space="preserve">  (</w:t>
      </w:r>
      <w:r w:rsidRPr="0065724E">
        <w:rPr>
          <w:rFonts w:eastAsia="Source Sans Pro"/>
          <w:i/>
          <w:iCs/>
          <w:color w:val="000000" w:themeColor="text1"/>
          <w:szCs w:val="26"/>
        </w:rPr>
        <w:t xml:space="preserve">Teitel, </w:t>
      </w:r>
      <w:r>
        <w:rPr>
          <w:rFonts w:eastAsia="Source Sans Pro"/>
          <w:i/>
          <w:iCs/>
          <w:color w:val="000000" w:themeColor="text1"/>
          <w:szCs w:val="26"/>
        </w:rPr>
        <w:t xml:space="preserve">supra, </w:t>
      </w:r>
      <w:r w:rsidRPr="0065724E">
        <w:rPr>
          <w:rFonts w:eastAsia="Source Sans Pro"/>
          <w:color w:val="000000" w:themeColor="text1"/>
          <w:szCs w:val="26"/>
        </w:rPr>
        <w:t>231 Cal.App.3d at p</w:t>
      </w:r>
      <w:r>
        <w:rPr>
          <w:rFonts w:eastAsia="Source Sans Pro"/>
          <w:color w:val="000000" w:themeColor="text1"/>
          <w:szCs w:val="26"/>
        </w:rPr>
        <w:t>p</w:t>
      </w:r>
      <w:r w:rsidRPr="0065724E">
        <w:rPr>
          <w:rFonts w:eastAsia="Source Sans Pro"/>
          <w:color w:val="000000" w:themeColor="text1"/>
          <w:szCs w:val="26"/>
        </w:rPr>
        <w:t>. 1604</w:t>
      </w:r>
      <w:r>
        <w:t>–</w:t>
      </w:r>
      <w:r w:rsidRPr="0065724E">
        <w:rPr>
          <w:rFonts w:eastAsia="Source Sans Pro"/>
          <w:color w:val="000000" w:themeColor="text1"/>
          <w:szCs w:val="26"/>
        </w:rPr>
        <w:t>1605</w:t>
      </w:r>
      <w:r>
        <w:rPr>
          <w:rFonts w:eastAsia="Source Sans Pro"/>
          <w:color w:val="000000" w:themeColor="text1"/>
          <w:szCs w:val="26"/>
        </w:rPr>
        <w:t>, fn. omitted</w:t>
      </w:r>
      <w:r w:rsidRPr="0065724E">
        <w:rPr>
          <w:rFonts w:eastAsia="Source Sans Pro"/>
          <w:color w:val="000000" w:themeColor="text1"/>
          <w:szCs w:val="26"/>
        </w:rPr>
        <w:t>.)  Further, a trial court granting (or conditionally granting) a new trial motion is required to specify the grounds upon which it is granted and the reasons supporting the decision (§ 657), a requirement that “ ‘</w:t>
      </w:r>
      <w:r w:rsidRPr="0065724E">
        <w:rPr>
          <w:rFonts w:eastAsia="Source Sans Pro"/>
          <w:color w:val="3D3D3D"/>
          <w:szCs w:val="26"/>
        </w:rPr>
        <w:t xml:space="preserve">serves the dual purposes of “encouraging careful deliberation by the trial court before ruling on a motion for new trial, and of making a record sufficiently precise to permit meaningful appellate review.”  [Citations.]’ </w:t>
      </w:r>
      <w:r>
        <w:rPr>
          <w:rFonts w:eastAsia="Source Sans Pro"/>
          <w:color w:val="3D3D3D"/>
          <w:szCs w:val="26"/>
        </w:rPr>
        <w:t xml:space="preserve">. . . </w:t>
      </w:r>
      <w:r w:rsidRPr="0065724E">
        <w:rPr>
          <w:rFonts w:eastAsia="Source Sans Pro"/>
          <w:color w:val="3D3D3D"/>
          <w:szCs w:val="26"/>
        </w:rPr>
        <w:t xml:space="preserve"> [Citation.]”  (</w:t>
      </w:r>
      <w:r w:rsidRPr="0065724E">
        <w:rPr>
          <w:rFonts w:eastAsia="Source Sans Pro"/>
          <w:i/>
          <w:iCs/>
          <w:color w:val="3D3D3D"/>
          <w:szCs w:val="26"/>
        </w:rPr>
        <w:t xml:space="preserve">Teitel, </w:t>
      </w:r>
      <w:r w:rsidRPr="0065724E">
        <w:rPr>
          <w:rFonts w:eastAsia="Source Sans Pro"/>
          <w:color w:val="3D3D3D"/>
          <w:szCs w:val="26"/>
        </w:rPr>
        <w:t xml:space="preserve">at p. 1605.)  </w:t>
      </w:r>
      <w:r>
        <w:rPr>
          <w:rFonts w:eastAsia="Source Sans Pro"/>
          <w:color w:val="3D3D3D"/>
          <w:szCs w:val="26"/>
        </w:rPr>
        <w:t>“</w:t>
      </w:r>
      <w:r w:rsidRPr="0065724E">
        <w:rPr>
          <w:rFonts w:eastAsia="Source Sans Pro"/>
          <w:color w:val="000000" w:themeColor="text1"/>
          <w:szCs w:val="26"/>
        </w:rPr>
        <w:t xml:space="preserve">This purpose would be undermined if the trial court could simply reduce punitive damages from one amount to another through a motion for </w:t>
      </w:r>
      <w:r>
        <w:rPr>
          <w:rFonts w:eastAsia="Source Sans Pro"/>
          <w:color w:val="000000" w:themeColor="text1"/>
          <w:szCs w:val="26"/>
        </w:rPr>
        <w:t>[JNOV]</w:t>
      </w:r>
      <w:r w:rsidRPr="0065724E">
        <w:rPr>
          <w:rFonts w:eastAsia="Source Sans Pro"/>
          <w:color w:val="000000" w:themeColor="text1"/>
          <w:szCs w:val="26"/>
        </w:rPr>
        <w:t>.”  (</w:t>
      </w:r>
      <w:r w:rsidRPr="0065724E">
        <w:rPr>
          <w:rFonts w:eastAsia="Source Sans Pro"/>
          <w:i/>
          <w:iCs/>
          <w:color w:val="000000" w:themeColor="text1"/>
          <w:szCs w:val="26"/>
        </w:rPr>
        <w:t>Ibid.</w:t>
      </w:r>
      <w:r w:rsidRPr="0065724E">
        <w:rPr>
          <w:rFonts w:eastAsia="Source Sans Pro"/>
          <w:color w:val="000000" w:themeColor="text1"/>
          <w:szCs w:val="26"/>
        </w:rPr>
        <w:t>)</w:t>
      </w:r>
    </w:p>
    <w:p w:rsidR="00200E06" w:rsidRPr="0065724E" w:rsidP="003F45BE">
      <w:pPr>
        <w:spacing w:line="360" w:lineRule="auto"/>
        <w:ind w:firstLine="720"/>
        <w:rPr>
          <w:rFonts w:eastAsia="Source Sans Pro"/>
          <w:color w:val="000000" w:themeColor="text1"/>
          <w:szCs w:val="26"/>
        </w:rPr>
      </w:pPr>
      <w:r>
        <w:rPr>
          <w:rFonts w:eastAsia="Source Sans Pro"/>
          <w:color w:val="000000" w:themeColor="text1"/>
        </w:rPr>
        <w:t>Beverly</w:t>
      </w:r>
      <w:r w:rsidRPr="5CA9A013">
        <w:rPr>
          <w:rFonts w:eastAsia="Source Sans Pro"/>
          <w:color w:val="000000" w:themeColor="text1"/>
        </w:rPr>
        <w:t xml:space="preserve"> argue</w:t>
      </w:r>
      <w:r>
        <w:rPr>
          <w:rFonts w:eastAsia="Source Sans Pro"/>
          <w:color w:val="000000" w:themeColor="text1"/>
        </w:rPr>
        <w:t>s</w:t>
      </w:r>
      <w:r w:rsidRPr="5CA9A013">
        <w:rPr>
          <w:rFonts w:eastAsia="Source Sans Pro"/>
          <w:color w:val="000000" w:themeColor="text1"/>
        </w:rPr>
        <w:t xml:space="preserve"> that </w:t>
      </w:r>
      <w:r>
        <w:rPr>
          <w:rFonts w:eastAsia="Source Sans Pro"/>
          <w:color w:val="000000" w:themeColor="text1"/>
        </w:rPr>
        <w:t>Hong</w:t>
      </w:r>
      <w:r w:rsidRPr="5CA9A013">
        <w:rPr>
          <w:rFonts w:eastAsia="Source Sans Pro"/>
          <w:color w:val="000000" w:themeColor="text1"/>
        </w:rPr>
        <w:t xml:space="preserve"> forfeited this challenge to the trial court reducing punitive damages via </w:t>
      </w:r>
      <w:r>
        <w:rPr>
          <w:rFonts w:eastAsia="Source Sans Pro"/>
          <w:color w:val="000000" w:themeColor="text1"/>
        </w:rPr>
        <w:t>[JNOV]</w:t>
      </w:r>
      <w:r w:rsidRPr="5CA9A013">
        <w:rPr>
          <w:rFonts w:eastAsia="Source Sans Pro"/>
          <w:color w:val="000000" w:themeColor="text1"/>
        </w:rPr>
        <w:t xml:space="preserve"> by failing to raise the point in the trial court, where the problem could easily have been corrected.  (</w:t>
      </w:r>
      <w:r w:rsidRPr="5CA9A013">
        <w:rPr>
          <w:rFonts w:eastAsia="Source Sans Pro"/>
          <w:i/>
          <w:iCs/>
          <w:color w:val="000000" w:themeColor="text1"/>
        </w:rPr>
        <w:t xml:space="preserve">Keener v. Jeld-Wen, Inc. </w:t>
      </w:r>
      <w:r w:rsidRPr="5CA9A013">
        <w:rPr>
          <w:rFonts w:eastAsia="Source Sans Pro"/>
          <w:color w:val="000000" w:themeColor="text1"/>
        </w:rPr>
        <w:t xml:space="preserve">(2009) 46 Cal.4th 247, 264 [failure to object to jury polling procedure; </w:t>
      </w:r>
      <w:r w:rsidRPr="5CA9A013">
        <w:rPr>
          <w:rFonts w:eastAsia="Source Sans Pro"/>
          <w:i/>
          <w:iCs/>
          <w:color w:val="000000" w:themeColor="text1"/>
        </w:rPr>
        <w:t xml:space="preserve">Nickerson v. Stonebridge Life Ins. Co. </w:t>
      </w:r>
      <w:r w:rsidRPr="5CA9A013">
        <w:rPr>
          <w:rFonts w:eastAsia="Source Sans Pro"/>
          <w:color w:val="000000" w:themeColor="text1"/>
        </w:rPr>
        <w:t xml:space="preserve">(2016) 63 Cal.4th 363 </w:t>
      </w:r>
      <w:r>
        <w:rPr>
          <w:rFonts w:eastAsia="Source Sans Pro"/>
          <w:color w:val="000000" w:themeColor="text1"/>
        </w:rPr>
        <w:t>(</w:t>
      </w:r>
      <w:r w:rsidRPr="007F4FE0">
        <w:rPr>
          <w:rFonts w:eastAsia="Source Sans Pro"/>
          <w:i/>
          <w:color w:val="000000" w:themeColor="text1"/>
        </w:rPr>
        <w:t>Nickerson</w:t>
      </w:r>
      <w:r>
        <w:rPr>
          <w:rFonts w:eastAsia="Source Sans Pro"/>
          <w:color w:val="000000" w:themeColor="text1"/>
        </w:rPr>
        <w:t xml:space="preserve">) </w:t>
      </w:r>
      <w:r w:rsidRPr="5CA9A013">
        <w:rPr>
          <w:rFonts w:eastAsia="Source Sans Pro"/>
          <w:color w:val="000000" w:themeColor="text1"/>
        </w:rPr>
        <w:t xml:space="preserve">[consent to or acquiescence in procedure for presentation to jury of evidence bearing on punitive damages].)  This point has some merit.  The motion for </w:t>
      </w:r>
      <w:r>
        <w:rPr>
          <w:rFonts w:eastAsia="Source Sans Pro"/>
          <w:color w:val="000000" w:themeColor="text1"/>
        </w:rPr>
        <w:t xml:space="preserve">JNOV </w:t>
      </w:r>
      <w:r w:rsidRPr="5CA9A013">
        <w:rPr>
          <w:rFonts w:eastAsia="Source Sans Pro"/>
          <w:color w:val="000000" w:themeColor="text1"/>
        </w:rPr>
        <w:t xml:space="preserve">asserted that the punitive damages awards should be stricken because they were not supported by the evidence, presenting a legal issue appropriate for disposition on a motion for </w:t>
      </w:r>
      <w:r>
        <w:rPr>
          <w:rFonts w:eastAsia="Source Sans Pro"/>
          <w:color w:val="000000" w:themeColor="text1"/>
        </w:rPr>
        <w:t>JNOV</w:t>
      </w:r>
      <w:r w:rsidRPr="5CA9A013">
        <w:rPr>
          <w:rFonts w:eastAsia="Source Sans Pro"/>
          <w:color w:val="000000" w:themeColor="text1"/>
        </w:rPr>
        <w:t>; there was no request for a reduction in the amount of punitive damages.</w:t>
      </w:r>
      <w:r>
        <w:rPr>
          <w:rStyle w:val="FootnoteReference"/>
          <w:rFonts w:eastAsia="Source Sans Pro"/>
          <w:color w:val="000000" w:themeColor="text1"/>
        </w:rPr>
        <w:footnoteReference w:id="37"/>
      </w:r>
      <w:r w:rsidRPr="5CA9A013">
        <w:rPr>
          <w:rFonts w:eastAsia="Source Sans Pro"/>
          <w:color w:val="000000" w:themeColor="text1"/>
        </w:rPr>
        <w:t xml:space="preserve">  At the hearing following the court’s issuance of its tentative decision reducing the amount of the punitive damages award against 524 Union, Hong objected to the court’s reduction, but </w:t>
      </w:r>
      <w:r w:rsidRPr="5CA9A013">
        <w:rPr>
          <w:rFonts w:eastAsia="Source Sans Pro"/>
          <w:i/>
          <w:iCs/>
          <w:color w:val="000000" w:themeColor="text1"/>
        </w:rPr>
        <w:t xml:space="preserve">not </w:t>
      </w:r>
      <w:r w:rsidRPr="5CA9A013">
        <w:rPr>
          <w:rFonts w:eastAsia="Source Sans Pro"/>
          <w:color w:val="000000" w:themeColor="text1"/>
        </w:rPr>
        <w:t xml:space="preserve">by raising any issue as to the court acting in the context of a </w:t>
      </w:r>
      <w:r>
        <w:rPr>
          <w:rFonts w:eastAsia="Source Sans Pro"/>
          <w:color w:val="000000" w:themeColor="text1"/>
        </w:rPr>
        <w:t>[JNOV]</w:t>
      </w:r>
      <w:r w:rsidRPr="5CA9A013">
        <w:rPr>
          <w:rFonts w:eastAsia="Source Sans Pro"/>
          <w:color w:val="000000" w:themeColor="text1"/>
        </w:rPr>
        <w:t xml:space="preserve">; Hong simply argued the merits, stating that the jury’s award was within constitutional limits. </w:t>
      </w:r>
      <w:r>
        <w:rPr>
          <w:rFonts w:eastAsia="Source Sans Pro"/>
          <w:color w:val="000000" w:themeColor="text1"/>
        </w:rPr>
        <w:t xml:space="preserve"> </w:t>
      </w:r>
      <w:r w:rsidRPr="5CA9A013">
        <w:rPr>
          <w:rFonts w:eastAsia="Source Sans Pro"/>
          <w:color w:val="000000" w:themeColor="text1"/>
        </w:rPr>
        <w:t xml:space="preserve">Clearly, as the court was hearing argument on both the motion for </w:t>
      </w:r>
      <w:r>
        <w:rPr>
          <w:rFonts w:eastAsia="Source Sans Pro"/>
          <w:color w:val="000000" w:themeColor="text1"/>
        </w:rPr>
        <w:t>JNOV</w:t>
      </w:r>
      <w:r w:rsidRPr="5CA9A013">
        <w:rPr>
          <w:rFonts w:eastAsia="Source Sans Pro"/>
          <w:color w:val="000000" w:themeColor="text1"/>
        </w:rPr>
        <w:t xml:space="preserve"> and the new trial motion, it could easily have rectified the problem if it had been brought to the court’s attention.</w:t>
      </w:r>
    </w:p>
    <w:p w:rsidR="00966121" w:rsidRPr="006600E5" w:rsidP="003F45BE">
      <w:pPr>
        <w:spacing w:line="360" w:lineRule="auto"/>
        <w:ind w:firstLine="720"/>
        <w:rPr>
          <w:rFonts w:eastAsia="Source Sans Pro"/>
          <w:color w:val="000000" w:themeColor="text1"/>
          <w:szCs w:val="26"/>
        </w:rPr>
      </w:pPr>
      <w:r w:rsidRPr="0065724E">
        <w:rPr>
          <w:rFonts w:eastAsia="Source Sans Pro"/>
          <w:color w:val="000000" w:themeColor="text1"/>
          <w:szCs w:val="26"/>
        </w:rPr>
        <w:t xml:space="preserve">As the appropriate procedure for reducing a punitive damages award is solely a question of law, we have discretion to reach it despite Hong’s failure to object.  (See </w:t>
      </w:r>
      <w:r w:rsidRPr="0065724E">
        <w:rPr>
          <w:rFonts w:eastAsia="Source Sans Pro"/>
          <w:i/>
          <w:color w:val="000000" w:themeColor="text1"/>
          <w:szCs w:val="26"/>
        </w:rPr>
        <w:t xml:space="preserve">Waller v. Truck Ins. Exchange, Inc. </w:t>
      </w:r>
      <w:r w:rsidRPr="0065724E">
        <w:rPr>
          <w:rFonts w:eastAsia="Source Sans Pro"/>
          <w:color w:val="000000" w:themeColor="text1"/>
          <w:szCs w:val="26"/>
        </w:rPr>
        <w:t>(1995) 11 Cal.4th 1, 24</w:t>
      </w:r>
      <w:r w:rsidRPr="006600E5">
        <w:rPr>
          <w:rFonts w:eastAsia="Source Sans Pro"/>
          <w:color w:val="000000" w:themeColor="text1"/>
          <w:szCs w:val="26"/>
        </w:rPr>
        <w:t xml:space="preserve">.)  We do so in order to reiterate what </w:t>
      </w:r>
      <w:r w:rsidRPr="006600E5">
        <w:rPr>
          <w:rFonts w:eastAsia="Source Sans Pro"/>
          <w:i/>
          <w:color w:val="000000" w:themeColor="text1"/>
          <w:szCs w:val="26"/>
        </w:rPr>
        <w:t xml:space="preserve">Teitel </w:t>
      </w:r>
      <w:r w:rsidRPr="006600E5">
        <w:rPr>
          <w:rFonts w:eastAsia="Source Sans Pro"/>
          <w:color w:val="000000" w:themeColor="text1"/>
          <w:szCs w:val="26"/>
        </w:rPr>
        <w:t>made clear:  The procedural mechanism by which a trial court may reduce an award of damages it deems properly awarded but excessive in amount is through a remittitur pursuant to Code of Civil Procedure section 662.5.  (</w:t>
      </w:r>
      <w:r w:rsidRPr="006600E5">
        <w:rPr>
          <w:rFonts w:eastAsia="Source Sans Pro"/>
          <w:i/>
          <w:color w:val="000000" w:themeColor="text1"/>
          <w:szCs w:val="26"/>
        </w:rPr>
        <w:t xml:space="preserve">Teitel, supra, </w:t>
      </w:r>
      <w:r w:rsidRPr="006600E5">
        <w:rPr>
          <w:rFonts w:eastAsia="Source Sans Pro"/>
          <w:color w:val="000000" w:themeColor="text1"/>
          <w:szCs w:val="26"/>
        </w:rPr>
        <w:t>231 Cal.App.3d at pp. 1604</w:t>
      </w:r>
      <w:r w:rsidRPr="006600E5">
        <w:t>–</w:t>
      </w:r>
      <w:r w:rsidRPr="006600E5">
        <w:rPr>
          <w:rFonts w:eastAsia="Source Sans Pro"/>
          <w:color w:val="000000" w:themeColor="text1"/>
          <w:szCs w:val="26"/>
        </w:rPr>
        <w:t xml:space="preserve">1605.) </w:t>
      </w:r>
    </w:p>
    <w:p w:rsidR="000D1AC1" w:rsidRPr="002109A5" w:rsidP="003F45BE">
      <w:pPr>
        <w:spacing w:line="360" w:lineRule="auto"/>
        <w:rPr>
          <w:rFonts w:eastAsia="Source Sans Pro"/>
          <w:color w:val="000000" w:themeColor="text1"/>
          <w:szCs w:val="26"/>
        </w:rPr>
      </w:pPr>
      <w:r w:rsidRPr="006600E5">
        <w:rPr>
          <w:rFonts w:eastAsia="Source Sans Pro"/>
          <w:color w:val="000000" w:themeColor="text1"/>
          <w:szCs w:val="26"/>
        </w:rPr>
        <w:tab/>
        <w:t xml:space="preserve">One exception to the exclusivity of this remedy may exist where the trial court concludes </w:t>
      </w:r>
      <w:r w:rsidRPr="006600E5">
        <w:rPr>
          <w:rFonts w:eastAsia="Source Sans Pro"/>
          <w:color w:val="000000" w:themeColor="text1"/>
        </w:rPr>
        <w:t xml:space="preserve">the evidence supports an award of punitive damages but finds the amount </w:t>
      </w:r>
      <w:r w:rsidRPr="5CA9A013">
        <w:rPr>
          <w:rFonts w:eastAsia="Source Sans Pro"/>
          <w:color w:val="000000" w:themeColor="text1"/>
        </w:rPr>
        <w:t>awarded exceed</w:t>
      </w:r>
      <w:r>
        <w:rPr>
          <w:rFonts w:eastAsia="Source Sans Pro"/>
          <w:color w:val="000000" w:themeColor="text1"/>
        </w:rPr>
        <w:t xml:space="preserve">s </w:t>
      </w:r>
      <w:r w:rsidRPr="5CA9A013">
        <w:rPr>
          <w:rFonts w:eastAsia="Source Sans Pro"/>
          <w:color w:val="000000" w:themeColor="text1"/>
        </w:rPr>
        <w:t>constitutional bounds (</w:t>
      </w:r>
      <w:r w:rsidRPr="5CA9A013">
        <w:rPr>
          <w:rFonts w:eastAsia="Source Sans Pro"/>
          <w:i/>
          <w:iCs/>
          <w:color w:val="000000" w:themeColor="text1"/>
        </w:rPr>
        <w:t xml:space="preserve">State Farm Mut. Auto Ins. Co v. Campbell </w:t>
      </w:r>
      <w:r w:rsidRPr="5CA9A013">
        <w:rPr>
          <w:rFonts w:eastAsia="Source Sans Pro"/>
          <w:color w:val="000000" w:themeColor="text1"/>
        </w:rPr>
        <w:t xml:space="preserve">(2003) 538 U.S. 408, 418; </w:t>
      </w:r>
      <w:r w:rsidRPr="5CA9A013">
        <w:rPr>
          <w:rFonts w:eastAsia="Source Sans Pro"/>
          <w:i/>
          <w:iCs/>
          <w:color w:val="000000" w:themeColor="text1"/>
        </w:rPr>
        <w:t xml:space="preserve">BMW of North America v. Gore </w:t>
      </w:r>
      <w:r w:rsidRPr="5CA9A013">
        <w:rPr>
          <w:rFonts w:eastAsia="Source Sans Pro"/>
          <w:color w:val="000000" w:themeColor="text1"/>
        </w:rPr>
        <w:t>(1996) 517 U.S. 559, 574</w:t>
      </w:r>
      <w:r>
        <w:t>–</w:t>
      </w:r>
      <w:r w:rsidRPr="5CA9A013">
        <w:rPr>
          <w:rFonts w:eastAsia="Source Sans Pro"/>
          <w:color w:val="000000" w:themeColor="text1"/>
        </w:rPr>
        <w:t xml:space="preserve">575; </w:t>
      </w:r>
      <w:r w:rsidRPr="5CA9A013">
        <w:rPr>
          <w:rFonts w:eastAsia="Source Sans Pro"/>
          <w:i/>
          <w:iCs/>
          <w:color w:val="000000" w:themeColor="text1"/>
        </w:rPr>
        <w:t>Simon</w:t>
      </w:r>
      <w:r>
        <w:rPr>
          <w:rFonts w:eastAsia="Source Sans Pro"/>
          <w:i/>
          <w:iCs/>
          <w:color w:val="000000" w:themeColor="text1"/>
        </w:rPr>
        <w:t xml:space="preserve">, supra, </w:t>
      </w:r>
      <w:r w:rsidRPr="5CA9A013">
        <w:rPr>
          <w:rFonts w:eastAsia="Source Sans Pro"/>
          <w:color w:val="000000" w:themeColor="text1"/>
        </w:rPr>
        <w:t xml:space="preserve">35 Cal.4th </w:t>
      </w:r>
      <w:r>
        <w:rPr>
          <w:rFonts w:eastAsia="Source Sans Pro"/>
          <w:color w:val="000000" w:themeColor="text1"/>
        </w:rPr>
        <w:t>at pp.</w:t>
      </w:r>
      <w:r w:rsidRPr="5CA9A013">
        <w:rPr>
          <w:rFonts w:eastAsia="Source Sans Pro"/>
          <w:color w:val="000000" w:themeColor="text1"/>
        </w:rPr>
        <w:t xml:space="preserve"> 1171</w:t>
      </w:r>
      <w:r>
        <w:t>–</w:t>
      </w:r>
      <w:r w:rsidRPr="5CA9A013">
        <w:rPr>
          <w:rFonts w:eastAsia="Source Sans Pro"/>
          <w:color w:val="000000" w:themeColor="text1"/>
        </w:rPr>
        <w:t>1172)</w:t>
      </w:r>
      <w:r>
        <w:rPr>
          <w:rFonts w:eastAsia="Source Sans Pro"/>
          <w:color w:val="000000" w:themeColor="text1"/>
        </w:rPr>
        <w:t xml:space="preserve"> and reduces </w:t>
      </w:r>
      <w:r w:rsidRPr="002940BF">
        <w:rPr>
          <w:rFonts w:eastAsia="Source Sans Pro"/>
          <w:color w:val="000000" w:themeColor="text1"/>
        </w:rPr>
        <w:t xml:space="preserve">that </w:t>
      </w:r>
      <w:r>
        <w:rPr>
          <w:rFonts w:eastAsia="Source Sans Pro"/>
          <w:color w:val="000000" w:themeColor="text1"/>
        </w:rPr>
        <w:t xml:space="preserve">amount </w:t>
      </w:r>
      <w:r w:rsidRPr="5CA9A013">
        <w:rPr>
          <w:rFonts w:eastAsia="Source Sans Pro"/>
          <w:color w:val="000000" w:themeColor="text1"/>
        </w:rPr>
        <w:t>to the constitutional maximum</w:t>
      </w:r>
      <w:r>
        <w:rPr>
          <w:rFonts w:eastAsia="Source Sans Pro"/>
          <w:color w:val="000000" w:themeColor="text1"/>
        </w:rPr>
        <w:t>.</w:t>
      </w:r>
      <w:r w:rsidRPr="5CA9A013">
        <w:rPr>
          <w:rFonts w:eastAsia="Source Sans Pro"/>
          <w:color w:val="000000" w:themeColor="text1"/>
        </w:rPr>
        <w:t xml:space="preserve">  </w:t>
      </w:r>
      <w:r w:rsidRPr="5CA9A013">
        <w:rPr>
          <w:rFonts w:eastAsia="Source Sans Pro"/>
          <w:i/>
          <w:iCs/>
          <w:color w:val="000000" w:themeColor="text1"/>
        </w:rPr>
        <w:t xml:space="preserve">Gober v. Ralph’s Grocery Co. </w:t>
      </w:r>
      <w:r w:rsidRPr="5CA9A013">
        <w:rPr>
          <w:rFonts w:eastAsia="Source Sans Pro"/>
          <w:color w:val="000000" w:themeColor="text1"/>
        </w:rPr>
        <w:t>(2006) 137 Cal.App.4th 204</w:t>
      </w:r>
      <w:r w:rsidRPr="5CA9A013">
        <w:rPr>
          <w:rFonts w:eastAsia="Source Sans Pro"/>
          <w:i/>
          <w:iCs/>
          <w:color w:val="000000" w:themeColor="text1"/>
        </w:rPr>
        <w:t xml:space="preserve">, </w:t>
      </w:r>
      <w:r w:rsidRPr="5CA9A013">
        <w:rPr>
          <w:rFonts w:eastAsia="Source Sans Pro"/>
          <w:color w:val="000000" w:themeColor="text1"/>
        </w:rPr>
        <w:t>211, 214</w:t>
      </w:r>
      <w:r>
        <w:rPr>
          <w:rFonts w:eastAsia="Source Sans Pro"/>
          <w:color w:val="000000" w:themeColor="text1"/>
        </w:rPr>
        <w:t xml:space="preserve"> (</w:t>
      </w:r>
      <w:r w:rsidRPr="00B94B5A">
        <w:rPr>
          <w:rFonts w:eastAsia="Source Sans Pro"/>
          <w:i/>
          <w:color w:val="000000" w:themeColor="text1"/>
        </w:rPr>
        <w:t>Gober</w:t>
      </w:r>
      <w:r>
        <w:rPr>
          <w:rFonts w:eastAsia="Source Sans Pro"/>
          <w:color w:val="000000" w:themeColor="text1"/>
        </w:rPr>
        <w:t>)</w:t>
      </w:r>
      <w:r w:rsidRPr="5CA9A013">
        <w:rPr>
          <w:rFonts w:eastAsia="Source Sans Pro"/>
          <w:color w:val="000000" w:themeColor="text1"/>
        </w:rPr>
        <w:t xml:space="preserve">, held that an appellate court can determine the constitutional maximum for a punitive damages award on appeal from the denial of a </w:t>
      </w:r>
      <w:r>
        <w:rPr>
          <w:rFonts w:eastAsia="Source Sans Pro"/>
          <w:color w:val="000000" w:themeColor="text1"/>
        </w:rPr>
        <w:t>JNOV</w:t>
      </w:r>
      <w:r w:rsidRPr="5CA9A013">
        <w:rPr>
          <w:rFonts w:eastAsia="Source Sans Pro"/>
          <w:color w:val="000000" w:themeColor="text1"/>
        </w:rPr>
        <w:t xml:space="preserve"> because the constitutional maximum is a legal question.</w:t>
      </w:r>
      <w:r>
        <w:rPr>
          <w:rStyle w:val="FootnoteReference"/>
          <w:rFonts w:eastAsia="Source Sans Pro"/>
          <w:color w:val="000000" w:themeColor="text1"/>
        </w:rPr>
        <w:footnoteReference w:id="38"/>
      </w:r>
      <w:r w:rsidRPr="5CA9A013">
        <w:rPr>
          <w:rFonts w:eastAsia="Source Sans Pro"/>
          <w:color w:val="000000" w:themeColor="text1"/>
        </w:rPr>
        <w:t xml:space="preserve">  The trial court had denied the defendant’s request for a </w:t>
      </w:r>
      <w:r>
        <w:rPr>
          <w:rFonts w:eastAsia="Source Sans Pro"/>
          <w:color w:val="000000" w:themeColor="text1"/>
        </w:rPr>
        <w:t xml:space="preserve">[JNOV] </w:t>
      </w:r>
      <w:r w:rsidRPr="5CA9A013">
        <w:rPr>
          <w:rFonts w:eastAsia="Source Sans Pro"/>
          <w:color w:val="000000" w:themeColor="text1"/>
        </w:rPr>
        <w:t>setting punitive damages at the constitutional maximum.  (</w:t>
      </w:r>
      <w:r w:rsidRPr="5CA9A013">
        <w:rPr>
          <w:rFonts w:eastAsia="Source Sans Pro"/>
          <w:i/>
          <w:iCs/>
          <w:color w:val="000000" w:themeColor="text1"/>
        </w:rPr>
        <w:t xml:space="preserve">Id. </w:t>
      </w:r>
      <w:r w:rsidRPr="5CA9A013">
        <w:rPr>
          <w:rFonts w:eastAsia="Source Sans Pro"/>
          <w:color w:val="000000" w:themeColor="text1"/>
        </w:rPr>
        <w:t>at p.</w:t>
      </w:r>
      <w:r>
        <w:rPr>
          <w:rFonts w:eastAsia="Source Sans Pro"/>
          <w:color w:val="000000" w:themeColor="text1"/>
        </w:rPr>
        <w:t> </w:t>
      </w:r>
      <w:r w:rsidRPr="5CA9A013">
        <w:rPr>
          <w:rFonts w:eastAsia="Source Sans Pro"/>
          <w:color w:val="000000" w:themeColor="text1"/>
        </w:rPr>
        <w:t xml:space="preserve">210.)  Rejecting the plaintiffs’ argument that the trial court could not have granted the requested </w:t>
      </w:r>
      <w:r>
        <w:rPr>
          <w:rFonts w:eastAsia="Source Sans Pro"/>
          <w:color w:val="000000" w:themeColor="text1"/>
        </w:rPr>
        <w:t>[JNOV]</w:t>
      </w:r>
      <w:r w:rsidRPr="5CA9A013">
        <w:rPr>
          <w:rFonts w:eastAsia="Source Sans Pro"/>
          <w:color w:val="000000" w:themeColor="text1"/>
        </w:rPr>
        <w:t xml:space="preserve">, </w:t>
      </w:r>
      <w:r w:rsidRPr="5CA9A013">
        <w:rPr>
          <w:rFonts w:eastAsia="Source Sans Pro"/>
          <w:i/>
          <w:iCs/>
          <w:color w:val="000000" w:themeColor="text1"/>
        </w:rPr>
        <w:t xml:space="preserve">Gober </w:t>
      </w:r>
      <w:r w:rsidRPr="5CA9A013">
        <w:rPr>
          <w:rFonts w:eastAsia="Source Sans Pro"/>
          <w:color w:val="000000" w:themeColor="text1"/>
        </w:rPr>
        <w:t xml:space="preserve">noted that </w:t>
      </w:r>
      <w:r w:rsidRPr="5CA9A013">
        <w:rPr>
          <w:rFonts w:eastAsia="Source Sans Pro"/>
          <w:i/>
          <w:iCs/>
          <w:color w:val="000000" w:themeColor="text1"/>
        </w:rPr>
        <w:t>Teitel</w:t>
      </w:r>
      <w:r w:rsidRPr="0022653D">
        <w:t xml:space="preserve"> </w:t>
      </w:r>
      <w:r w:rsidRPr="0022653D">
        <w:rPr>
          <w:rFonts w:eastAsia="Source Sans Pro"/>
          <w:color w:val="000000" w:themeColor="text1"/>
        </w:rPr>
        <w:t>did not involve a constitutional challenge to the amount of the award</w:t>
      </w:r>
      <w:r w:rsidRPr="5CA9A013">
        <w:rPr>
          <w:rFonts w:eastAsia="Source Sans Pro"/>
          <w:color w:val="000000" w:themeColor="text1"/>
        </w:rPr>
        <w:t xml:space="preserve"> </w:t>
      </w:r>
      <w:r>
        <w:rPr>
          <w:rFonts w:eastAsia="Source Sans Pro"/>
          <w:color w:val="000000" w:themeColor="text1"/>
        </w:rPr>
        <w:t xml:space="preserve">and, </w:t>
      </w:r>
      <w:r w:rsidRPr="5CA9A013">
        <w:rPr>
          <w:rFonts w:eastAsia="Source Sans Pro"/>
          <w:color w:val="000000" w:themeColor="text1"/>
        </w:rPr>
        <w:t xml:space="preserve">in holding that punitive damages could not be reduced on a motion for </w:t>
      </w:r>
      <w:r>
        <w:rPr>
          <w:rFonts w:eastAsia="Source Sans Pro"/>
          <w:color w:val="000000" w:themeColor="text1"/>
        </w:rPr>
        <w:t>[JNOV]</w:t>
      </w:r>
      <w:r w:rsidRPr="5CA9A013">
        <w:rPr>
          <w:rFonts w:eastAsia="Source Sans Pro"/>
          <w:color w:val="000000" w:themeColor="text1"/>
        </w:rPr>
        <w:t>, excluded damages “which may be determined as a matter of law</w:t>
      </w:r>
      <w:r>
        <w:rPr>
          <w:rFonts w:eastAsia="Source Sans Pro"/>
          <w:color w:val="000000" w:themeColor="text1"/>
        </w:rPr>
        <w:t>.</w:t>
      </w:r>
      <w:r w:rsidRPr="5CA9A013">
        <w:rPr>
          <w:rFonts w:eastAsia="Source Sans Pro"/>
          <w:color w:val="000000" w:themeColor="text1"/>
        </w:rPr>
        <w:t>”  (</w:t>
      </w:r>
      <w:r>
        <w:rPr>
          <w:rFonts w:eastAsia="Source Sans Pro"/>
          <w:i/>
          <w:iCs/>
          <w:color w:val="000000" w:themeColor="text1"/>
        </w:rPr>
        <w:t>Gober,</w:t>
      </w:r>
      <w:r w:rsidRPr="5CA9A013">
        <w:rPr>
          <w:rFonts w:eastAsia="Source Sans Pro"/>
          <w:i/>
          <w:iCs/>
          <w:color w:val="000000" w:themeColor="text1"/>
        </w:rPr>
        <w:t xml:space="preserve"> </w:t>
      </w:r>
      <w:r w:rsidRPr="5CA9A013">
        <w:rPr>
          <w:rFonts w:eastAsia="Source Sans Pro"/>
          <w:color w:val="000000" w:themeColor="text1"/>
        </w:rPr>
        <w:t>at p.</w:t>
      </w:r>
      <w:r>
        <w:rPr>
          <w:rFonts w:eastAsia="Source Sans Pro"/>
          <w:color w:val="000000" w:themeColor="text1"/>
        </w:rPr>
        <w:t> </w:t>
      </w:r>
      <w:r w:rsidRPr="5CA9A013">
        <w:rPr>
          <w:rFonts w:eastAsia="Source Sans Pro"/>
          <w:color w:val="000000" w:themeColor="text1"/>
        </w:rPr>
        <w:t xml:space="preserve">212.)  </w:t>
      </w:r>
      <w:r>
        <w:rPr>
          <w:rFonts w:eastAsia="Source Sans Pro"/>
          <w:color w:val="000000" w:themeColor="text1"/>
        </w:rPr>
        <w:t xml:space="preserve">While </w:t>
      </w:r>
      <w:r>
        <w:rPr>
          <w:rFonts w:eastAsia="Source Sans Pro"/>
          <w:i/>
          <w:color w:val="000000" w:themeColor="text1"/>
        </w:rPr>
        <w:t xml:space="preserve">Gober </w:t>
      </w:r>
      <w:r>
        <w:rPr>
          <w:rFonts w:eastAsia="Source Sans Pro"/>
          <w:color w:val="000000" w:themeColor="text1"/>
        </w:rPr>
        <w:t xml:space="preserve">was concerned with the appellate court’s authority to reduce the award, its reasoning fully supports the trial court having authority to take the same action when it determines a jury’s award is constitutionally excessive. </w:t>
      </w:r>
    </w:p>
    <w:p w:rsidR="00AD619D" w:rsidRPr="0065724E" w:rsidP="003F45BE">
      <w:pPr>
        <w:spacing w:line="360" w:lineRule="auto"/>
        <w:rPr>
          <w:rFonts w:eastAsia="Source Sans Pro"/>
          <w:color w:val="000000" w:themeColor="text1"/>
          <w:szCs w:val="26"/>
        </w:rPr>
      </w:pPr>
      <w:r w:rsidRPr="0065724E">
        <w:rPr>
          <w:rFonts w:eastAsia="Source Sans Pro"/>
          <w:color w:val="000000" w:themeColor="text1"/>
          <w:szCs w:val="26"/>
        </w:rPr>
        <w:tab/>
      </w:r>
      <w:r>
        <w:rPr>
          <w:rFonts w:eastAsia="Source Sans Pro"/>
          <w:color w:val="000000" w:themeColor="text1"/>
          <w:szCs w:val="26"/>
        </w:rPr>
        <w:t xml:space="preserve">But that does not appear to be what happened here.  </w:t>
      </w:r>
      <w:r w:rsidRPr="5CA9A013">
        <w:rPr>
          <w:rFonts w:eastAsia="Source Sans Pro"/>
          <w:color w:val="000000" w:themeColor="text1"/>
        </w:rPr>
        <w:t>The trial court did not indicate that the reduced amount of punitive damages it ordered was the constitutional maximum; to the contrary, it stated, “Given the above reduction, the ratios of punitive to compensatory damages are well within ‘due process’ limits.  (</w:t>
      </w:r>
      <w:r w:rsidRPr="004B6C61">
        <w:rPr>
          <w:rFonts w:eastAsia="Source Sans Pro"/>
          <w:i/>
          <w:color w:val="000000" w:themeColor="text1"/>
        </w:rPr>
        <w:t>State Farm Mut. Auto Ins. Co v.</w:t>
      </w:r>
      <w:r>
        <w:rPr>
          <w:rFonts w:eastAsia="Source Sans Pro"/>
          <w:i/>
          <w:color w:val="000000" w:themeColor="text1"/>
        </w:rPr>
        <w:t xml:space="preserve"> </w:t>
      </w:r>
      <w:r w:rsidRPr="004B6C61">
        <w:rPr>
          <w:rFonts w:eastAsia="Source Sans Pro"/>
          <w:i/>
          <w:color w:val="000000" w:themeColor="text1"/>
        </w:rPr>
        <w:t>Campbell</w:t>
      </w:r>
      <w:r w:rsidRPr="0050106F">
        <w:rPr>
          <w:rFonts w:eastAsia="Source Sans Pro"/>
          <w:color w:val="000000" w:themeColor="text1"/>
        </w:rPr>
        <w:t>[</w:t>
      </w:r>
      <w:r w:rsidRPr="0050106F">
        <w:rPr>
          <w:rFonts w:eastAsia="Source Sans Pro"/>
          <w:i/>
          <w:color w:val="000000" w:themeColor="text1"/>
        </w:rPr>
        <w:t>, supra,</w:t>
      </w:r>
      <w:r w:rsidRPr="0050106F">
        <w:rPr>
          <w:rFonts w:eastAsia="Source Sans Pro"/>
          <w:color w:val="000000" w:themeColor="text1"/>
        </w:rPr>
        <w:t xml:space="preserve">] </w:t>
      </w:r>
      <w:r w:rsidRPr="5CA9A013">
        <w:rPr>
          <w:rFonts w:eastAsia="Source Sans Pro"/>
          <w:color w:val="000000" w:themeColor="text1"/>
        </w:rPr>
        <w:t xml:space="preserve">538 U.S. </w:t>
      </w:r>
      <w:r>
        <w:rPr>
          <w:rFonts w:eastAsia="Source Sans Pro"/>
          <w:color w:val="000000" w:themeColor="text1"/>
        </w:rPr>
        <w:t>[at p.]</w:t>
      </w:r>
      <w:r w:rsidRPr="5CA9A013">
        <w:rPr>
          <w:rFonts w:eastAsia="Source Sans Pro"/>
          <w:color w:val="000000" w:themeColor="text1"/>
        </w:rPr>
        <w:t xml:space="preserve"> 410.)”</w:t>
      </w:r>
      <w:r>
        <w:rPr>
          <w:rStyle w:val="FootnoteReference"/>
          <w:rFonts w:eastAsia="Source Sans Pro"/>
          <w:color w:val="000000" w:themeColor="text1"/>
        </w:rPr>
        <w:footnoteReference w:id="39"/>
      </w:r>
      <w:r w:rsidRPr="5CA9A013">
        <w:rPr>
          <w:rFonts w:eastAsia="Source Sans Pro"/>
          <w:color w:val="000000" w:themeColor="text1"/>
        </w:rPr>
        <w:t xml:space="preserve">  </w:t>
      </w:r>
      <w:r>
        <w:rPr>
          <w:rFonts w:eastAsia="Source Sans Pro"/>
          <w:color w:val="000000" w:themeColor="text1"/>
        </w:rPr>
        <w:t xml:space="preserve">Beverly </w:t>
      </w:r>
      <w:r w:rsidRPr="5CA9A013">
        <w:rPr>
          <w:rFonts w:eastAsia="Source Sans Pro"/>
          <w:color w:val="000000" w:themeColor="text1"/>
        </w:rPr>
        <w:t xml:space="preserve">is incorrect in citing </w:t>
      </w:r>
      <w:r w:rsidRPr="5CA9A013">
        <w:rPr>
          <w:rFonts w:eastAsia="Source Sans Pro"/>
          <w:i/>
          <w:iCs/>
          <w:color w:val="000000" w:themeColor="text1"/>
        </w:rPr>
        <w:t xml:space="preserve">Gober </w:t>
      </w:r>
      <w:r w:rsidRPr="5CA9A013">
        <w:rPr>
          <w:rFonts w:eastAsia="Source Sans Pro"/>
          <w:color w:val="000000" w:themeColor="text1"/>
        </w:rPr>
        <w:t xml:space="preserve">as authority for the proposition that “a court can review the legality of a punitive damage award on JNOV” as an alternative to utilizing the remittitur procedure.  </w:t>
      </w:r>
      <w:r w:rsidRPr="5CA9A013">
        <w:rPr>
          <w:rFonts w:eastAsia="Source Sans Pro"/>
          <w:i/>
          <w:iCs/>
          <w:color w:val="000000" w:themeColor="text1"/>
        </w:rPr>
        <w:t xml:space="preserve">Gober </w:t>
      </w:r>
      <w:r w:rsidRPr="5CA9A013">
        <w:rPr>
          <w:rFonts w:eastAsia="Source Sans Pro"/>
          <w:color w:val="000000" w:themeColor="text1"/>
        </w:rPr>
        <w:t xml:space="preserve">permits reduction of a punitive damage award to the constitutional maximum on a motion for </w:t>
      </w:r>
      <w:r>
        <w:rPr>
          <w:rFonts w:eastAsia="Source Sans Pro"/>
          <w:color w:val="000000" w:themeColor="text1"/>
        </w:rPr>
        <w:t>JNOV</w:t>
      </w:r>
      <w:r w:rsidRPr="5CA9A013">
        <w:rPr>
          <w:rFonts w:eastAsia="Source Sans Pro"/>
          <w:color w:val="000000" w:themeColor="text1"/>
        </w:rPr>
        <w:t xml:space="preserve">; it in no way suggests a trial court can reduce such an award to an amount it deems appropriate short of that constitutional maximum. </w:t>
      </w:r>
    </w:p>
    <w:p w:rsidR="00D84540" w:rsidP="00C00C00">
      <w:pPr>
        <w:spacing w:line="360" w:lineRule="auto"/>
        <w:ind w:firstLine="720"/>
        <w:rPr>
          <w:rFonts w:eastAsia="Source Sans Pro"/>
          <w:color w:val="000000" w:themeColor="text1"/>
          <w:szCs w:val="26"/>
        </w:rPr>
      </w:pPr>
      <w:r w:rsidRPr="00B96AC4">
        <w:rPr>
          <w:rFonts w:eastAsia="Source Sans Pro"/>
          <w:color w:val="000000" w:themeColor="text1"/>
          <w:szCs w:val="26"/>
        </w:rPr>
        <w:t>Here</w:t>
      </w:r>
      <w:r>
        <w:rPr>
          <w:rFonts w:eastAsia="Source Sans Pro"/>
          <w:color w:val="000000" w:themeColor="text1"/>
          <w:szCs w:val="26"/>
        </w:rPr>
        <w:t xml:space="preserve">, except for determining and imposing the constitutional maximum, the trial court’s authority to reduce the punitive damages award was through its </w:t>
      </w:r>
      <w:r w:rsidRPr="0065724E">
        <w:rPr>
          <w:rFonts w:eastAsia="Source Sans Pro"/>
          <w:color w:val="000000" w:themeColor="text1"/>
          <w:szCs w:val="26"/>
        </w:rPr>
        <w:t xml:space="preserve">discretion on </w:t>
      </w:r>
      <w:r>
        <w:rPr>
          <w:rFonts w:eastAsia="Source Sans Pro"/>
          <w:color w:val="000000" w:themeColor="text1"/>
          <w:szCs w:val="26"/>
        </w:rPr>
        <w:t>the</w:t>
      </w:r>
      <w:r w:rsidRPr="0065724E">
        <w:rPr>
          <w:rFonts w:eastAsia="Source Sans Pro"/>
          <w:color w:val="000000" w:themeColor="text1"/>
          <w:szCs w:val="26"/>
        </w:rPr>
        <w:t xml:space="preserve"> motion for a new trial.  But in that context, its choices were to grant a new trial pursuant to section 657</w:t>
      </w:r>
      <w:r>
        <w:rPr>
          <w:rFonts w:eastAsia="Source Sans Pro"/>
          <w:color w:val="000000" w:themeColor="text1"/>
          <w:szCs w:val="26"/>
        </w:rPr>
        <w:t xml:space="preserve">, subdivision </w:t>
      </w:r>
      <w:r w:rsidRPr="0065724E">
        <w:rPr>
          <w:rFonts w:eastAsia="Source Sans Pro"/>
          <w:color w:val="000000" w:themeColor="text1"/>
          <w:szCs w:val="26"/>
        </w:rPr>
        <w:t>(5) or to issue a conditional order granting the new trial unless 524 Union consented to the reduced amount the court found “fair and reasonable.”  (§ 662.5, subd. (a)(2).)  Neither section 657 nor section 662.5 give the trial court authority to reduce the amount of a punitive damages award through exercise of its independent judgment without using the remittitur procedure.</w:t>
      </w:r>
      <w:r>
        <w:rPr>
          <w:rFonts w:eastAsia="Source Sans Pro"/>
          <w:color w:val="000000" w:themeColor="text1"/>
          <w:szCs w:val="26"/>
        </w:rPr>
        <w:t xml:space="preserve">  </w:t>
      </w:r>
    </w:p>
    <w:p w:rsidR="00CA2EE4" w:rsidP="003F45BE">
      <w:pPr>
        <w:spacing w:line="360" w:lineRule="auto"/>
        <w:ind w:firstLine="720"/>
        <w:rPr>
          <w:rFonts w:eastAsia="Source Sans Pro"/>
          <w:color w:val="000000" w:themeColor="text1"/>
          <w:szCs w:val="26"/>
        </w:rPr>
      </w:pPr>
      <w:r>
        <w:rPr>
          <w:rFonts w:eastAsia="Source Sans Pro"/>
          <w:color w:val="000000" w:themeColor="text1"/>
          <w:szCs w:val="26"/>
        </w:rPr>
        <w:t xml:space="preserve">Generally, the remedy for the court’s error in </w:t>
      </w:r>
      <w:r w:rsidRPr="0065724E">
        <w:rPr>
          <w:rFonts w:eastAsia="Source Sans Pro"/>
          <w:color w:val="000000" w:themeColor="text1"/>
          <w:szCs w:val="26"/>
        </w:rPr>
        <w:t xml:space="preserve">granting the motion </w:t>
      </w:r>
      <w:r>
        <w:rPr>
          <w:rFonts w:eastAsia="Source Sans Pro"/>
          <w:color w:val="000000" w:themeColor="text1"/>
          <w:szCs w:val="26"/>
        </w:rPr>
        <w:t>for JNOV</w:t>
      </w:r>
      <w:r w:rsidRPr="0065724E">
        <w:rPr>
          <w:rFonts w:eastAsia="Source Sans Pro"/>
          <w:color w:val="000000" w:themeColor="text1"/>
          <w:szCs w:val="26"/>
        </w:rPr>
        <w:t xml:space="preserve"> in order to reduce the punitive damages award against 524 Union</w:t>
      </w:r>
      <w:r>
        <w:rPr>
          <w:rFonts w:eastAsia="Source Sans Pro"/>
          <w:color w:val="000000" w:themeColor="text1"/>
          <w:szCs w:val="26"/>
        </w:rPr>
        <w:t xml:space="preserve"> would be for us to </w:t>
      </w:r>
      <w:r w:rsidRPr="00C00C00">
        <w:rPr>
          <w:rFonts w:eastAsia="Source Sans Pro"/>
          <w:color w:val="000000" w:themeColor="text1"/>
          <w:szCs w:val="26"/>
        </w:rPr>
        <w:t xml:space="preserve">reverse </w:t>
      </w:r>
      <w:r>
        <w:rPr>
          <w:rFonts w:eastAsia="Source Sans Pro"/>
          <w:color w:val="000000" w:themeColor="text1"/>
          <w:szCs w:val="26"/>
        </w:rPr>
        <w:t>its</w:t>
      </w:r>
      <w:r w:rsidRPr="00C00C00">
        <w:rPr>
          <w:rFonts w:eastAsia="Source Sans Pro"/>
          <w:color w:val="000000" w:themeColor="text1"/>
          <w:szCs w:val="26"/>
        </w:rPr>
        <w:t xml:space="preserve"> order and reinstate the original judgment on the jury</w:t>
      </w:r>
      <w:r>
        <w:rPr>
          <w:rFonts w:eastAsia="Source Sans Pro"/>
          <w:color w:val="000000" w:themeColor="text1"/>
          <w:szCs w:val="26"/>
        </w:rPr>
        <w:t>’</w:t>
      </w:r>
      <w:r w:rsidRPr="00C00C00">
        <w:rPr>
          <w:rFonts w:eastAsia="Source Sans Pro"/>
          <w:color w:val="000000" w:themeColor="text1"/>
          <w:szCs w:val="26"/>
        </w:rPr>
        <w:t>s verdict</w:t>
      </w:r>
      <w:r>
        <w:rPr>
          <w:rFonts w:eastAsia="Source Sans Pro"/>
          <w:color w:val="000000" w:themeColor="text1"/>
          <w:szCs w:val="26"/>
        </w:rPr>
        <w:t>.  We cannot do so, however, because</w:t>
      </w:r>
      <w:r>
        <w:t>—</w:t>
      </w:r>
      <w:r>
        <w:rPr>
          <w:rFonts w:eastAsia="Source Sans Pro"/>
          <w:color w:val="000000" w:themeColor="text1"/>
          <w:szCs w:val="26"/>
        </w:rPr>
        <w:t xml:space="preserve">contrary to Hong’s argument—the jury’s award of $916,925 was not supported by substantial evidence.  </w:t>
      </w:r>
      <w:r w:rsidRPr="00701649">
        <w:rPr>
          <w:rFonts w:eastAsia="Source Sans Pro"/>
          <w:color w:val="000000" w:themeColor="text1"/>
          <w:szCs w:val="26"/>
        </w:rPr>
        <w:t>The ratio of punitive damages to compensatory damages in the jury’s verdict was 10:1</w:t>
      </w:r>
      <w:r>
        <w:t>—</w:t>
      </w:r>
      <w:r w:rsidRPr="00701649">
        <w:rPr>
          <w:rFonts w:eastAsia="Source Sans Pro"/>
          <w:color w:val="000000" w:themeColor="text1"/>
          <w:szCs w:val="26"/>
        </w:rPr>
        <w:t>at or above the threshold at which an award is “suspect” and “absent special justification . . . cannot survive appellate scrutiny under the due process clause.”  (</w:t>
      </w:r>
      <w:r w:rsidRPr="00701649">
        <w:rPr>
          <w:rFonts w:eastAsia="Source Sans Pro"/>
          <w:i/>
          <w:color w:val="000000" w:themeColor="text1"/>
          <w:szCs w:val="26"/>
        </w:rPr>
        <w:t xml:space="preserve">Simon, supra, </w:t>
      </w:r>
      <w:r w:rsidRPr="00701649">
        <w:rPr>
          <w:rFonts w:eastAsia="Source Sans Pro"/>
          <w:color w:val="000000" w:themeColor="text1"/>
          <w:szCs w:val="26"/>
        </w:rPr>
        <w:t xml:space="preserve">35 Cal.4th at p. 1182.)  </w:t>
      </w:r>
      <w:r>
        <w:rPr>
          <w:rFonts w:eastAsia="Source Sans Pro"/>
          <w:color w:val="000000" w:themeColor="text1"/>
          <w:szCs w:val="26"/>
        </w:rPr>
        <w:t xml:space="preserve">Putting aside the question whether the conduct in this case was sufficiently </w:t>
      </w:r>
      <w:r w:rsidRPr="00701649">
        <w:rPr>
          <w:rFonts w:eastAsia="Source Sans Pro"/>
          <w:color w:val="000000" w:themeColor="text1"/>
          <w:szCs w:val="26"/>
        </w:rPr>
        <w:t>“extreme” or “egregious” (</w:t>
      </w:r>
      <w:r w:rsidRPr="00701649">
        <w:rPr>
          <w:rFonts w:eastAsia="Source Sans Pro"/>
          <w:i/>
          <w:color w:val="000000" w:themeColor="text1"/>
          <w:szCs w:val="26"/>
        </w:rPr>
        <w:t>ibid.</w:t>
      </w:r>
      <w:r w:rsidRPr="00701649">
        <w:rPr>
          <w:rFonts w:eastAsia="Source Sans Pro"/>
          <w:color w:val="000000" w:themeColor="text1"/>
          <w:szCs w:val="26"/>
        </w:rPr>
        <w:t>)</w:t>
      </w:r>
      <w:r>
        <w:rPr>
          <w:rFonts w:eastAsia="Source Sans Pro"/>
          <w:color w:val="000000" w:themeColor="text1"/>
          <w:szCs w:val="26"/>
        </w:rPr>
        <w:t xml:space="preserve"> to justify an award in this amount</w:t>
      </w:r>
      <w:r w:rsidRPr="00701649">
        <w:rPr>
          <w:rFonts w:eastAsia="Source Sans Pro"/>
          <w:color w:val="000000" w:themeColor="text1"/>
          <w:szCs w:val="26"/>
        </w:rPr>
        <w:t xml:space="preserve">, the jury’s award could not be sustained on the evidence of 524 Union’s financial condition.  The property at 524 Union Street was the only asset of the partnership, and the only evidence on the </w:t>
      </w:r>
      <w:r>
        <w:rPr>
          <w:rFonts w:eastAsia="Source Sans Pro"/>
          <w:color w:val="000000" w:themeColor="text1"/>
          <w:szCs w:val="26"/>
        </w:rPr>
        <w:t>issue</w:t>
      </w:r>
      <w:r>
        <w:t>—</w:t>
      </w:r>
      <w:r>
        <w:rPr>
          <w:rFonts w:eastAsia="Source Sans Pro"/>
          <w:color w:val="000000" w:themeColor="text1"/>
          <w:szCs w:val="26"/>
        </w:rPr>
        <w:t>Beverly</w:t>
      </w:r>
      <w:r w:rsidRPr="00701649">
        <w:rPr>
          <w:rFonts w:eastAsia="Source Sans Pro"/>
          <w:color w:val="000000" w:themeColor="text1"/>
          <w:szCs w:val="26"/>
        </w:rPr>
        <w:t>’s testimony</w:t>
      </w:r>
      <w:r>
        <w:t>—</w:t>
      </w:r>
      <w:r w:rsidRPr="00701649">
        <w:rPr>
          <w:rFonts w:eastAsia="Source Sans Pro"/>
          <w:color w:val="000000" w:themeColor="text1"/>
          <w:szCs w:val="26"/>
        </w:rPr>
        <w:t>put its market value of at $3.5 million, reduced to $2.63 due to an encumbrance of $870,000 in secured loans.  As the trial court noted, there may be valid reason to suspect a 9,500 building in North Beach is worth more than $3.5 million</w:t>
      </w:r>
      <w:r>
        <w:t>—</w:t>
      </w:r>
      <w:r w:rsidRPr="00701649">
        <w:rPr>
          <w:rFonts w:eastAsia="Source Sans Pro"/>
          <w:color w:val="000000" w:themeColor="text1"/>
          <w:szCs w:val="26"/>
        </w:rPr>
        <w:t>but no evidence was presented on this point.  The punitive damages award thus amounted to approximately 35 percent of the property’s net value as shown by the evidence.  Although “case law has not established any specific numerical percentage of net worth as constituting the upper permissible limit for the amount of a punitive damages award” (</w:t>
      </w:r>
      <w:r w:rsidRPr="00701649">
        <w:rPr>
          <w:rFonts w:eastAsia="Source Sans Pro"/>
          <w:i/>
          <w:iCs/>
          <w:color w:val="000000" w:themeColor="text1"/>
          <w:szCs w:val="26"/>
        </w:rPr>
        <w:t>Vallbona v. Springer</w:t>
      </w:r>
      <w:r w:rsidRPr="00701649">
        <w:rPr>
          <w:rFonts w:eastAsia="Source Sans Pro"/>
          <w:color w:val="000000" w:themeColor="text1"/>
          <w:szCs w:val="26"/>
        </w:rPr>
        <w:t> (1996) 43 Cal.App.4th 1525, 1539 [upholding award amounting to 23 percent of net worth]), “[p]unitive damages constitute a windfall” and “[s]uch awards generally are not allowed to exceed 10 percent of the net worth of the defendant.”  (</w:t>
      </w:r>
      <w:r w:rsidRPr="00701649">
        <w:rPr>
          <w:rFonts w:eastAsia="Source Sans Pro"/>
          <w:i/>
          <w:color w:val="000000" w:themeColor="text1"/>
          <w:szCs w:val="26"/>
        </w:rPr>
        <w:t xml:space="preserve">Michelson v. Hamada, supra, </w:t>
      </w:r>
      <w:r w:rsidRPr="00701649">
        <w:rPr>
          <w:rFonts w:eastAsia="Source Sans Pro"/>
          <w:color w:val="000000" w:themeColor="text1"/>
          <w:szCs w:val="26"/>
        </w:rPr>
        <w:t xml:space="preserve">29 Cal.App.4th at p. 1596 [award of 28 percent of net worth too high].)  </w:t>
      </w:r>
    </w:p>
    <w:p w:rsidR="002343F4" w:rsidP="003F45BE">
      <w:pPr>
        <w:spacing w:line="360" w:lineRule="auto"/>
        <w:ind w:firstLine="720"/>
        <w:rPr>
          <w:rFonts w:eastAsia="Source Sans Pro"/>
          <w:color w:val="000000" w:themeColor="text1"/>
          <w:szCs w:val="26"/>
        </w:rPr>
      </w:pPr>
      <w:r>
        <w:rPr>
          <w:rFonts w:eastAsia="Source Sans Pro"/>
          <w:color w:val="000000" w:themeColor="text1"/>
          <w:szCs w:val="26"/>
        </w:rPr>
        <w:t>T</w:t>
      </w:r>
      <w:r w:rsidRPr="00701649">
        <w:rPr>
          <w:rFonts w:eastAsia="Source Sans Pro"/>
          <w:color w:val="000000" w:themeColor="text1"/>
          <w:szCs w:val="26"/>
        </w:rPr>
        <w:t>he purpose of punitive damages “is to deter, not to destroy.”  (</w:t>
      </w:r>
      <w:r w:rsidRPr="00701649">
        <w:rPr>
          <w:rFonts w:eastAsia="Source Sans Pro"/>
          <w:i/>
          <w:color w:val="000000" w:themeColor="text1"/>
          <w:szCs w:val="26"/>
        </w:rPr>
        <w:t xml:space="preserve">Adams v. Murakami, supra, </w:t>
      </w:r>
      <w:r w:rsidRPr="00701649">
        <w:rPr>
          <w:rFonts w:eastAsia="Source Sans Pro"/>
          <w:color w:val="000000" w:themeColor="text1"/>
          <w:szCs w:val="26"/>
        </w:rPr>
        <w:t>54 Cal.</w:t>
      </w:r>
      <w:r>
        <w:rPr>
          <w:rFonts w:eastAsia="Source Sans Pro"/>
          <w:color w:val="000000" w:themeColor="text1"/>
          <w:szCs w:val="26"/>
        </w:rPr>
        <w:t>3d</w:t>
      </w:r>
      <w:r w:rsidRPr="00701649">
        <w:rPr>
          <w:rFonts w:eastAsia="Source Sans Pro"/>
          <w:color w:val="000000" w:themeColor="text1"/>
          <w:szCs w:val="26"/>
        </w:rPr>
        <w:t xml:space="preserve"> at p. 112.)  The evidence suggests the only way 524 Union could satisfy a judgment for $916,925 in punitive damages (which, of course, would be in addition to the compensatory damages of $91,692 and attorney fees of $477,121 ordered by the trial court), would be to sell the building.  As the trial court also noted, the evidence demonstrated that the restaurant space would be difficult to rent due to the zoning issues</w:t>
      </w:r>
      <w:r>
        <w:rPr>
          <w:rFonts w:eastAsia="Source Sans Pro"/>
          <w:color w:val="000000" w:themeColor="text1"/>
          <w:szCs w:val="26"/>
        </w:rPr>
        <w:t>.  W</w:t>
      </w:r>
      <w:r w:rsidRPr="00701649">
        <w:rPr>
          <w:rFonts w:eastAsia="Source Sans Pro"/>
          <w:color w:val="000000" w:themeColor="text1"/>
          <w:szCs w:val="26"/>
        </w:rPr>
        <w:t xml:space="preserve">hile there was evidence that there were one or two office tenants and a coffee kiosk in the building, there was no evidence as to the income 524 Union derived from the leases of these spaces.  Hong’s assertions that </w:t>
      </w:r>
      <w:r>
        <w:rPr>
          <w:rFonts w:eastAsia="Source Sans Pro"/>
          <w:color w:val="000000" w:themeColor="text1"/>
          <w:szCs w:val="26"/>
        </w:rPr>
        <w:t>Beverly</w:t>
      </w:r>
      <w:r w:rsidRPr="00701649">
        <w:rPr>
          <w:rFonts w:eastAsia="Source Sans Pro"/>
          <w:color w:val="000000" w:themeColor="text1"/>
          <w:szCs w:val="26"/>
        </w:rPr>
        <w:t xml:space="preserve"> could rent the restaurant space for another purpose now, and will be able to rent it for $8,000 to $9,000 a month “when it obtains landmark status,” are speculation, not evidence; they ignore the impracticalities and costs of renting an outfitted restaurant space for other purposes, and the uncertainty as to whether and when landmark status might be achieved.  </w:t>
      </w:r>
    </w:p>
    <w:p w:rsidR="00343948" w:rsidRPr="00162949" w:rsidP="00C00C00">
      <w:pPr>
        <w:spacing w:line="360" w:lineRule="auto"/>
        <w:ind w:firstLine="720"/>
        <w:rPr>
          <w:rFonts w:eastAsia="Source Sans Pro"/>
          <w:color w:val="000000" w:themeColor="text1"/>
          <w:szCs w:val="26"/>
        </w:rPr>
      </w:pPr>
      <w:r w:rsidRPr="00701649">
        <w:rPr>
          <w:rFonts w:eastAsia="Source Sans Pro"/>
          <w:color w:val="000000" w:themeColor="text1"/>
          <w:szCs w:val="26"/>
        </w:rPr>
        <w:t>Unlike the cases Hong relies upon, which upheld punitive damages awards supported by evidence of ability to pay despite negative net worth or awards at relative high percentages of net worth (</w:t>
      </w:r>
      <w:r w:rsidRPr="00701649">
        <w:rPr>
          <w:rFonts w:eastAsia="Source Sans Pro"/>
          <w:i/>
          <w:color w:val="000000" w:themeColor="text1"/>
          <w:szCs w:val="26"/>
        </w:rPr>
        <w:t xml:space="preserve">Bankhead v. ArvinMeritor, Inc. </w:t>
      </w:r>
      <w:r w:rsidRPr="00701649">
        <w:rPr>
          <w:rFonts w:eastAsia="Source Sans Pro"/>
          <w:color w:val="000000" w:themeColor="text1"/>
          <w:szCs w:val="26"/>
        </w:rPr>
        <w:t xml:space="preserve">(2012) 205 Cal.App.4th 68, 75, 83 [despite company’s reported negative net worth of $1.023 billion, evidence of cashflow profit of $211 million for the year, reported net profit of $12 million, CEO paid $7.6 million, $343 in cash, and ability to borrow $245; award of $4.5 million upheld]; </w:t>
      </w:r>
      <w:r w:rsidRPr="00701649">
        <w:rPr>
          <w:rFonts w:eastAsia="Source Sans Pro"/>
          <w:i/>
          <w:color w:val="000000" w:themeColor="text1"/>
          <w:szCs w:val="26"/>
        </w:rPr>
        <w:t xml:space="preserve">Zaxis Wireless Communications, Inc. v. Motor Sound Corp. </w:t>
      </w:r>
      <w:r w:rsidRPr="00701649">
        <w:rPr>
          <w:rFonts w:eastAsia="Source Sans Pro"/>
          <w:color w:val="000000" w:themeColor="text1"/>
          <w:szCs w:val="26"/>
        </w:rPr>
        <w:t xml:space="preserve">(2001) 89 Cal.App.4th 577, [despite negative net worth, company had average annual revenue of more than $250 million, net profit of about $7.5 million and credit line of $50 million, with $5.3 million unexpended; award of $300,000 upheld]); </w:t>
      </w:r>
      <w:r w:rsidRPr="00701649">
        <w:rPr>
          <w:rFonts w:eastAsia="Source Sans Pro"/>
          <w:i/>
          <w:color w:val="000000" w:themeColor="text1"/>
          <w:szCs w:val="26"/>
        </w:rPr>
        <w:t xml:space="preserve">Devlin v. Kearny Mesa AMC/Jeep/Renault, Inc. </w:t>
      </w:r>
      <w:r w:rsidRPr="00701649">
        <w:rPr>
          <w:rFonts w:eastAsia="Source Sans Pro"/>
          <w:color w:val="000000" w:themeColor="text1"/>
          <w:szCs w:val="26"/>
        </w:rPr>
        <w:t>(1984) 155 Cal.App.3d 381, 391 [no evidence award representing 17.5 percent of annualized net worth would “unduly interfere with or hamper [defendant’s] future operations</w:t>
      </w:r>
      <w:r>
        <w:rPr>
          <w:rFonts w:eastAsia="Source Sans Pro"/>
          <w:color w:val="000000" w:themeColor="text1"/>
          <w:szCs w:val="26"/>
        </w:rPr>
        <w:t>”</w:t>
      </w:r>
      <w:r w:rsidRPr="00701649">
        <w:rPr>
          <w:rFonts w:eastAsia="Source Sans Pro"/>
          <w:color w:val="000000" w:themeColor="text1"/>
          <w:szCs w:val="26"/>
        </w:rPr>
        <w:t>; $80,000 award upheld]), the present record contains no evidence to support finding 524 Union had the ability to pay the punitive damages award without being effectively “destroyed.”</w:t>
      </w:r>
    </w:p>
    <w:p w:rsidR="00347E80" w:rsidP="00032359">
      <w:pPr>
        <w:spacing w:line="360" w:lineRule="auto"/>
        <w:ind w:firstLine="720"/>
        <w:rPr>
          <w:rFonts w:eastAsia="Source Sans Pro"/>
          <w:color w:val="000000" w:themeColor="text1"/>
          <w:szCs w:val="26"/>
        </w:rPr>
      </w:pPr>
      <w:r w:rsidRPr="00162949">
        <w:rPr>
          <w:rFonts w:eastAsia="Source Sans Pro"/>
          <w:color w:val="000000" w:themeColor="text1"/>
          <w:szCs w:val="26"/>
        </w:rPr>
        <w:t>As we cannot reinstate the original judgment on the jury</w:t>
      </w:r>
      <w:r>
        <w:rPr>
          <w:rFonts w:eastAsia="Source Sans Pro"/>
          <w:color w:val="000000" w:themeColor="text1"/>
          <w:szCs w:val="26"/>
        </w:rPr>
        <w:t>’</w:t>
      </w:r>
      <w:r w:rsidRPr="00162949">
        <w:rPr>
          <w:rFonts w:eastAsia="Source Sans Pro"/>
          <w:color w:val="000000" w:themeColor="text1"/>
          <w:szCs w:val="26"/>
        </w:rPr>
        <w:t xml:space="preserve">s verdict, correction of the trial court’s error would normally require us to remand for the trial court to reconsider the motions for </w:t>
      </w:r>
      <w:r>
        <w:rPr>
          <w:rFonts w:eastAsia="Source Sans Pro"/>
          <w:color w:val="000000" w:themeColor="text1"/>
          <w:szCs w:val="26"/>
        </w:rPr>
        <w:t>JNOV</w:t>
      </w:r>
      <w:r w:rsidRPr="00162949">
        <w:rPr>
          <w:rFonts w:eastAsia="Source Sans Pro"/>
          <w:color w:val="000000" w:themeColor="text1"/>
          <w:szCs w:val="26"/>
        </w:rPr>
        <w:t xml:space="preserve"> and for a new trial.  But this course of action has been rendered unnecessary.  At oral argument, Hong’s counsel effectively stipulated that if this court finds the amount of the jury’s award unsupported and accepts the amount to which the trial court reduced the award, Hong will accept that result.  Counsel made clear his client’s paramount desire to avoid further litigation in this matter.  In these circumstances, the result of a remand is a foregone conclusion.  The trial court has already determined the amount of punitive damages it found fair and reasonable, and Hong has represented she would accept this amount rather than pursuing a new trial.  In the interest of efficiency and judicial economy, we will avoid unnecessary further proceedings and simply affirm the judgment. </w:t>
      </w:r>
    </w:p>
    <w:p w:rsidR="009D19FA" w:rsidRPr="004D25DD" w:rsidP="00D17DDD">
      <w:pPr>
        <w:spacing w:line="360" w:lineRule="auto"/>
        <w:ind w:firstLine="720"/>
        <w:jc w:val="center"/>
        <w:rPr>
          <w:rFonts w:eastAsia="Source Sans Pro"/>
          <w:b/>
          <w:color w:val="000000" w:themeColor="text1"/>
          <w:szCs w:val="26"/>
        </w:rPr>
      </w:pPr>
      <w:r w:rsidRPr="004D25DD">
        <w:rPr>
          <w:rFonts w:eastAsia="Source Sans Pro"/>
          <w:b/>
          <w:color w:val="000000" w:themeColor="text1"/>
          <w:szCs w:val="26"/>
        </w:rPr>
        <w:t>III.</w:t>
      </w:r>
    </w:p>
    <w:p w:rsidR="000278A0" w:rsidP="003F45BE">
      <w:pPr>
        <w:spacing w:line="360" w:lineRule="auto"/>
        <w:ind w:firstLine="720"/>
        <w:rPr>
          <w:rFonts w:eastAsia="Source Sans Pro"/>
          <w:color w:val="000000" w:themeColor="text1"/>
          <w:szCs w:val="26"/>
        </w:rPr>
      </w:pPr>
      <w:r>
        <w:rPr>
          <w:rFonts w:eastAsia="Source Sans Pro"/>
          <w:color w:val="000000" w:themeColor="text1"/>
          <w:szCs w:val="26"/>
        </w:rPr>
        <w:t xml:space="preserve">The parties each seek attorney fees on appeal in the event their position prevails, although only Hong offers argument and authorities in support of the request.  </w:t>
      </w:r>
      <w:r w:rsidRPr="0065724E">
        <w:rPr>
          <w:rFonts w:eastAsia="Source Sans Pro"/>
          <w:color w:val="000000" w:themeColor="text1"/>
          <w:szCs w:val="26"/>
        </w:rPr>
        <w:t xml:space="preserve">The lease provides for the prevailing party to recover attorneys’ fees </w:t>
      </w:r>
      <w:r>
        <w:rPr>
          <w:rFonts w:eastAsia="Source Sans Pro"/>
          <w:color w:val="000000" w:themeColor="text1"/>
          <w:szCs w:val="26"/>
        </w:rPr>
        <w:t>“</w:t>
      </w:r>
      <w:r w:rsidRPr="0065724E">
        <w:rPr>
          <w:rFonts w:eastAsia="Source Sans Pro"/>
          <w:color w:val="000000" w:themeColor="text1"/>
          <w:szCs w:val="26"/>
        </w:rPr>
        <w:t xml:space="preserve">in </w:t>
      </w:r>
      <w:r>
        <w:rPr>
          <w:rFonts w:eastAsia="Source Sans Pro"/>
          <w:color w:val="000000" w:themeColor="text1"/>
          <w:szCs w:val="26"/>
        </w:rPr>
        <w:t xml:space="preserve">the event </w:t>
      </w:r>
      <w:r w:rsidRPr="0065724E">
        <w:rPr>
          <w:rFonts w:eastAsia="Source Sans Pro"/>
          <w:color w:val="000000" w:themeColor="text1"/>
          <w:szCs w:val="26"/>
        </w:rPr>
        <w:t xml:space="preserve">any action </w:t>
      </w:r>
      <w:r>
        <w:rPr>
          <w:rFonts w:eastAsia="Source Sans Pro"/>
          <w:color w:val="000000" w:themeColor="text1"/>
          <w:szCs w:val="26"/>
        </w:rPr>
        <w:t>should be brought by either party to this lease against the other in connection with this lease.”</w:t>
      </w:r>
      <w:r w:rsidRPr="0065724E">
        <w:rPr>
          <w:rFonts w:eastAsia="Source Sans Pro"/>
          <w:color w:val="000000" w:themeColor="text1"/>
          <w:szCs w:val="26"/>
        </w:rPr>
        <w:t xml:space="preserve"> </w:t>
      </w:r>
      <w:r>
        <w:rPr>
          <w:rFonts w:eastAsia="Source Sans Pro"/>
          <w:color w:val="000000" w:themeColor="text1"/>
          <w:szCs w:val="26"/>
        </w:rPr>
        <w:t xml:space="preserve"> This provision “encompasses all claims, whether in contract, tort or otherwise” (</w:t>
      </w:r>
      <w:r>
        <w:rPr>
          <w:rFonts w:eastAsia="Source Sans Pro"/>
          <w:i/>
          <w:color w:val="000000" w:themeColor="text1"/>
          <w:szCs w:val="26"/>
        </w:rPr>
        <w:t xml:space="preserve">Maynard v. BTI Group, Inc. </w:t>
      </w:r>
      <w:r>
        <w:rPr>
          <w:rFonts w:eastAsia="Source Sans Pro"/>
          <w:color w:val="000000" w:themeColor="text1"/>
          <w:szCs w:val="26"/>
        </w:rPr>
        <w:t xml:space="preserve">(2013) 216 </w:t>
      </w:r>
      <w:r w:rsidRPr="00BA35F1">
        <w:rPr>
          <w:rFonts w:eastAsia="Source Sans Pro"/>
          <w:color w:val="000000" w:themeColor="text1"/>
          <w:szCs w:val="26"/>
        </w:rPr>
        <w:t xml:space="preserve">Cal.App.4th </w:t>
      </w:r>
      <w:r>
        <w:rPr>
          <w:rFonts w:eastAsia="Source Sans Pro"/>
          <w:color w:val="000000" w:themeColor="text1"/>
          <w:szCs w:val="26"/>
        </w:rPr>
        <w:t>984, 993), and includes attorney fees on appeal.  (</w:t>
      </w:r>
      <w:r>
        <w:rPr>
          <w:rFonts w:eastAsia="Source Sans Pro"/>
          <w:i/>
          <w:color w:val="000000" w:themeColor="text1"/>
          <w:szCs w:val="26"/>
        </w:rPr>
        <w:t xml:space="preserve">Center for Biological Diversity v. County of San Bernardino </w:t>
      </w:r>
      <w:r>
        <w:rPr>
          <w:rFonts w:eastAsia="Source Sans Pro"/>
          <w:color w:val="000000" w:themeColor="text1"/>
          <w:szCs w:val="26"/>
        </w:rPr>
        <w:t xml:space="preserve">(2010) 185 </w:t>
      </w:r>
      <w:r w:rsidRPr="00552458">
        <w:rPr>
          <w:rFonts w:eastAsia="Source Sans Pro"/>
          <w:color w:val="000000" w:themeColor="text1"/>
          <w:szCs w:val="26"/>
        </w:rPr>
        <w:t xml:space="preserve">Cal.App.4th </w:t>
      </w:r>
      <w:r>
        <w:rPr>
          <w:rFonts w:eastAsia="Source Sans Pro"/>
          <w:color w:val="000000" w:themeColor="text1"/>
          <w:szCs w:val="26"/>
        </w:rPr>
        <w:t xml:space="preserve">866, 901; </w:t>
      </w:r>
      <w:r w:rsidRPr="00676F3B">
        <w:rPr>
          <w:rFonts w:eastAsia="Source Sans Pro"/>
          <w:i/>
          <w:iCs/>
          <w:color w:val="000000" w:themeColor="text1"/>
          <w:szCs w:val="26"/>
        </w:rPr>
        <w:t>Starpoint Properties, LLC v. Namvar</w:t>
      </w:r>
      <w:r w:rsidRPr="00676F3B">
        <w:rPr>
          <w:rFonts w:eastAsia="Source Sans Pro"/>
          <w:color w:val="000000" w:themeColor="text1"/>
          <w:szCs w:val="26"/>
        </w:rPr>
        <w:t> (2011) 201 Cal.App.4th 1101, 1111</w:t>
      </w:r>
      <w:r>
        <w:rPr>
          <w:rFonts w:eastAsia="Source Sans Pro"/>
          <w:color w:val="000000" w:themeColor="text1"/>
          <w:szCs w:val="26"/>
        </w:rPr>
        <w:t xml:space="preserve">.) </w:t>
      </w:r>
    </w:p>
    <w:p w:rsidR="00961005" w:rsidP="00176AF1">
      <w:pPr>
        <w:spacing w:line="360" w:lineRule="auto"/>
        <w:ind w:firstLine="720"/>
        <w:rPr>
          <w:rFonts w:eastAsia="Source Sans Pro"/>
          <w:color w:val="000000" w:themeColor="text1"/>
          <w:szCs w:val="26"/>
        </w:rPr>
      </w:pPr>
      <w:r>
        <w:rPr>
          <w:rFonts w:eastAsia="Source Sans Pro"/>
          <w:color w:val="000000" w:themeColor="text1"/>
          <w:szCs w:val="26"/>
        </w:rPr>
        <w:t xml:space="preserve">As the prevailing parties on the appeal, ENA North Beach, Hong and Bunyaviroch are entitled to an award of attorney fees, in an amount to be determined by the trial court.  </w:t>
      </w:r>
      <w:r w:rsidRPr="00FE594B">
        <w:rPr>
          <w:rFonts w:eastAsia="Source Sans Pro"/>
          <w:color w:val="000000" w:themeColor="text1"/>
          <w:szCs w:val="26"/>
        </w:rPr>
        <w:t>(</w:t>
      </w:r>
      <w:r w:rsidRPr="00FE594B">
        <w:rPr>
          <w:rFonts w:eastAsia="Source Sans Pro"/>
          <w:i/>
          <w:iCs/>
          <w:color w:val="000000" w:themeColor="text1"/>
          <w:szCs w:val="26"/>
        </w:rPr>
        <w:t>Center for Biological Diversity v. County of San Bernardino</w:t>
      </w:r>
      <w:r w:rsidRPr="005041DE">
        <w:rPr>
          <w:rFonts w:eastAsia="Source Sans Pro"/>
          <w:i/>
          <w:color w:val="000000" w:themeColor="text1"/>
          <w:szCs w:val="26"/>
        </w:rPr>
        <w:t>, supra,</w:t>
      </w:r>
      <w:r>
        <w:rPr>
          <w:rFonts w:eastAsia="Source Sans Pro"/>
          <w:color w:val="000000" w:themeColor="text1"/>
          <w:szCs w:val="26"/>
        </w:rPr>
        <w:t xml:space="preserve"> </w:t>
      </w:r>
      <w:r w:rsidRPr="00FE594B">
        <w:rPr>
          <w:rFonts w:eastAsia="Source Sans Pro"/>
          <w:color w:val="000000" w:themeColor="text1"/>
          <w:szCs w:val="26"/>
        </w:rPr>
        <w:t xml:space="preserve">185 Cal.App.4th </w:t>
      </w:r>
      <w:r>
        <w:rPr>
          <w:rFonts w:eastAsia="Source Sans Pro"/>
          <w:color w:val="000000" w:themeColor="text1"/>
          <w:szCs w:val="26"/>
        </w:rPr>
        <w:t>at p. </w:t>
      </w:r>
      <w:r w:rsidRPr="00FE594B">
        <w:rPr>
          <w:rFonts w:eastAsia="Source Sans Pro"/>
          <w:color w:val="000000" w:themeColor="text1"/>
          <w:szCs w:val="26"/>
        </w:rPr>
        <w:t>901.)</w:t>
      </w:r>
    </w:p>
    <w:p w:rsidR="00972207" w:rsidP="003F45BE">
      <w:pPr>
        <w:spacing w:line="360" w:lineRule="auto"/>
        <w:ind w:firstLine="720"/>
        <w:rPr>
          <w:rFonts w:eastAsia="Source Sans Pro"/>
          <w:color w:val="000000" w:themeColor="text1"/>
          <w:szCs w:val="26"/>
        </w:rPr>
      </w:pPr>
      <w:r>
        <w:rPr>
          <w:rFonts w:eastAsia="Source Sans Pro"/>
          <w:color w:val="000000" w:themeColor="text1"/>
          <w:szCs w:val="26"/>
        </w:rPr>
        <w:t xml:space="preserve">The cross-appeal is less clear:  We have rejected Hong’s contention that the jury’s award of punitive damages should be reinstated, but also rejected Beverly’s argument </w:t>
      </w:r>
      <w:r w:rsidRPr="009316BD">
        <w:rPr>
          <w:rFonts w:eastAsia="Source Sans Pro"/>
          <w:color w:val="000000" w:themeColor="text1"/>
          <w:szCs w:val="26"/>
        </w:rPr>
        <w:t xml:space="preserve">that the trial court could properly reduce the amount of the award through a </w:t>
      </w:r>
      <w:r>
        <w:rPr>
          <w:rFonts w:eastAsia="Source Sans Pro"/>
          <w:color w:val="000000" w:themeColor="text1"/>
          <w:szCs w:val="26"/>
        </w:rPr>
        <w:t>JNOV</w:t>
      </w:r>
      <w:r w:rsidRPr="009316BD">
        <w:rPr>
          <w:rFonts w:eastAsia="Source Sans Pro"/>
          <w:color w:val="000000" w:themeColor="text1"/>
          <w:szCs w:val="26"/>
        </w:rPr>
        <w:t>.</w:t>
      </w:r>
      <w:r>
        <w:rPr>
          <w:rFonts w:eastAsia="Source Sans Pro"/>
          <w:color w:val="000000" w:themeColor="text1"/>
          <w:szCs w:val="26"/>
        </w:rPr>
        <w:t xml:space="preserve">  In light of the parties’ shared responsibility for the procedural error, and our rejection of Hong’s contention that the amount of the jury’s award was supported by substantial evidence, we conclude there is no prevailing party entitled to attorney fees on the cross-appeal.</w:t>
      </w:r>
    </w:p>
    <w:p w:rsidR="00711F45" w:rsidRPr="004149EC" w:rsidP="002C7E7E">
      <w:pPr>
        <w:spacing w:line="360" w:lineRule="auto"/>
        <w:ind w:firstLine="720"/>
        <w:jc w:val="center"/>
        <w:rPr>
          <w:rFonts w:eastAsia="Source Sans Pro"/>
          <w:b/>
          <w:color w:val="000000" w:themeColor="text1"/>
          <w:szCs w:val="26"/>
        </w:rPr>
      </w:pPr>
      <w:r w:rsidRPr="004149EC">
        <w:rPr>
          <w:rFonts w:eastAsia="Source Sans Pro"/>
          <w:b/>
          <w:color w:val="000000" w:themeColor="text1"/>
          <w:szCs w:val="26"/>
        </w:rPr>
        <w:t>DISPOSITION</w:t>
      </w:r>
    </w:p>
    <w:p w:rsidR="00FE0A89" w:rsidRPr="0065724E" w:rsidP="003F45BE">
      <w:pPr>
        <w:spacing w:line="360" w:lineRule="auto"/>
        <w:ind w:firstLine="720"/>
        <w:rPr>
          <w:rFonts w:eastAsia="Source Sans Pro"/>
          <w:color w:val="000000" w:themeColor="text1"/>
          <w:szCs w:val="26"/>
        </w:rPr>
      </w:pPr>
      <w:r w:rsidRPr="0065724E">
        <w:rPr>
          <w:rFonts w:eastAsia="Source Sans Pro"/>
          <w:color w:val="000000" w:themeColor="text1"/>
          <w:szCs w:val="26"/>
        </w:rPr>
        <w:t>The judgment is reversed with respect to the award of punitive damages against 524 Union</w:t>
      </w:r>
      <w:r>
        <w:rPr>
          <w:rFonts w:eastAsia="Source Sans Pro"/>
          <w:color w:val="000000" w:themeColor="text1"/>
          <w:szCs w:val="26"/>
        </w:rPr>
        <w:t xml:space="preserve"> Street</w:t>
      </w:r>
      <w:r w:rsidRPr="0065724E">
        <w:rPr>
          <w:rFonts w:eastAsia="Source Sans Pro"/>
          <w:color w:val="000000" w:themeColor="text1"/>
          <w:szCs w:val="26"/>
        </w:rPr>
        <w:t>, and the original judgment on the jury’s verdict is reinstated.  In all other respects, the judgment is affirmed.  The matter is remanded to the trial court for reconsideration of the motion</w:t>
      </w:r>
      <w:r>
        <w:rPr>
          <w:rFonts w:eastAsia="Source Sans Pro"/>
          <w:color w:val="000000" w:themeColor="text1"/>
          <w:szCs w:val="26"/>
        </w:rPr>
        <w:t>s for JNOV and</w:t>
      </w:r>
      <w:r w:rsidRPr="0065724E">
        <w:rPr>
          <w:rFonts w:eastAsia="Source Sans Pro"/>
          <w:color w:val="000000" w:themeColor="text1"/>
          <w:szCs w:val="26"/>
        </w:rPr>
        <w:t xml:space="preserve"> for </w:t>
      </w:r>
      <w:r>
        <w:rPr>
          <w:rFonts w:eastAsia="Source Sans Pro"/>
          <w:color w:val="000000" w:themeColor="text1"/>
          <w:szCs w:val="26"/>
        </w:rPr>
        <w:t xml:space="preserve">a </w:t>
      </w:r>
      <w:r w:rsidRPr="0065724E">
        <w:rPr>
          <w:rFonts w:eastAsia="Source Sans Pro"/>
          <w:color w:val="000000" w:themeColor="text1"/>
          <w:szCs w:val="26"/>
        </w:rPr>
        <w:t>new trial with respect to the amount of the punitive damage award against 524 Union</w:t>
      </w:r>
      <w:r>
        <w:rPr>
          <w:rFonts w:eastAsia="Source Sans Pro"/>
          <w:color w:val="000000" w:themeColor="text1"/>
          <w:szCs w:val="26"/>
        </w:rPr>
        <w:t xml:space="preserve"> Street</w:t>
      </w:r>
      <w:r w:rsidRPr="0065724E">
        <w:rPr>
          <w:rFonts w:eastAsia="Source Sans Pro"/>
          <w:color w:val="000000" w:themeColor="text1"/>
          <w:szCs w:val="26"/>
        </w:rPr>
        <w:t xml:space="preserve">.  </w:t>
      </w:r>
    </w:p>
    <w:p w:rsidR="009F211F" w:rsidRPr="0065724E" w:rsidP="003F45BE">
      <w:pPr>
        <w:spacing w:line="360" w:lineRule="auto"/>
        <w:ind w:firstLine="720"/>
        <w:rPr>
          <w:rFonts w:eastAsia="Source Sans Pro"/>
          <w:color w:val="000000" w:themeColor="text1"/>
          <w:szCs w:val="26"/>
        </w:rPr>
      </w:pPr>
      <w:r>
        <w:rPr>
          <w:rFonts w:eastAsia="Source Sans Pro"/>
          <w:color w:val="000000" w:themeColor="text1"/>
          <w:szCs w:val="26"/>
        </w:rPr>
        <w:t xml:space="preserve">ENA North Beach, Hong, and </w:t>
      </w:r>
      <w:r w:rsidRPr="00013B6F">
        <w:rPr>
          <w:rFonts w:eastAsia="Source Sans Pro"/>
          <w:color w:val="000000" w:themeColor="text1"/>
          <w:szCs w:val="26"/>
        </w:rPr>
        <w:t xml:space="preserve">Bunyaviroch </w:t>
      </w:r>
      <w:r>
        <w:rPr>
          <w:rFonts w:eastAsia="Source Sans Pro"/>
          <w:color w:val="000000" w:themeColor="text1"/>
          <w:szCs w:val="26"/>
        </w:rPr>
        <w:t>shall recover costs of appeal, including attorney fees, in amounts to be determined by the trial court.</w:t>
      </w:r>
    </w:p>
    <w:p w:rsidR="00003A4B" w:rsidRPr="0065724E" w:rsidP="003F45BE">
      <w:pPr>
        <w:spacing w:line="360" w:lineRule="auto"/>
        <w:ind w:firstLine="720"/>
        <w:rPr>
          <w:rFonts w:eastAsia="Source Sans Pro"/>
          <w:color w:val="000000" w:themeColor="text1"/>
          <w:szCs w:val="26"/>
        </w:rPr>
      </w:pPr>
      <w:r w:rsidRPr="0065724E">
        <w:rPr>
          <w:rFonts w:eastAsia="Source Sans Pro"/>
          <w:color w:val="000000" w:themeColor="text1"/>
          <w:szCs w:val="26"/>
        </w:rPr>
        <w:t>On the cross</w:t>
      </w:r>
      <w:r>
        <w:rPr>
          <w:rFonts w:eastAsia="Source Sans Pro"/>
          <w:color w:val="000000" w:themeColor="text1"/>
          <w:szCs w:val="26"/>
        </w:rPr>
        <w:t>-</w:t>
      </w:r>
      <w:r w:rsidRPr="0065724E">
        <w:rPr>
          <w:rFonts w:eastAsia="Source Sans Pro"/>
          <w:color w:val="000000" w:themeColor="text1"/>
          <w:szCs w:val="26"/>
        </w:rPr>
        <w:t>appeal, each party shall bear its own costs</w:t>
      </w:r>
      <w:r>
        <w:rPr>
          <w:rFonts w:eastAsia="Source Sans Pro"/>
          <w:color w:val="000000" w:themeColor="text1"/>
          <w:szCs w:val="26"/>
        </w:rPr>
        <w:t xml:space="preserve"> and attorney fees.</w:t>
      </w:r>
    </w:p>
    <w:p w:rsidR="00C34BFB">
      <w:pPr>
        <w:tabs>
          <w:tab w:val="clear" w:pos="720"/>
        </w:tabs>
        <w:spacing w:after="160" w:line="259" w:lineRule="auto"/>
        <w:rPr>
          <w:rFonts w:eastAsia="Times New Roman"/>
          <w:szCs w:val="26"/>
        </w:rPr>
      </w:pPr>
      <w:r>
        <w:rPr>
          <w:rFonts w:eastAsia="Times New Roman"/>
          <w:szCs w:val="26"/>
        </w:rPr>
        <w:br w:type="page"/>
      </w:r>
    </w:p>
    <w:p w:rsidR="00C62B36" w:rsidP="00C62B36"/>
    <w:p w:rsidR="00C62B36" w:rsidP="00C62B36">
      <w:pPr>
        <w:spacing w:line="240" w:lineRule="auto"/>
      </w:pPr>
    </w:p>
    <w:p w:rsidR="00C62B36" w:rsidRPr="006C3614" w:rsidP="00C62B36">
      <w:pPr>
        <w:spacing w:line="240" w:lineRule="auto"/>
      </w:pPr>
      <w:r w:rsidRPr="006C3614">
        <w:tab/>
      </w:r>
      <w:r w:rsidRPr="006C3614">
        <w:tab/>
      </w:r>
      <w:r w:rsidRPr="006C3614">
        <w:tab/>
      </w:r>
      <w:r w:rsidRPr="006C3614">
        <w:tab/>
      </w:r>
      <w:r w:rsidRPr="006C3614">
        <w:tab/>
      </w:r>
      <w:r w:rsidRPr="006C3614">
        <w:tab/>
      </w:r>
      <w:r w:rsidRPr="006C3614">
        <w:tab/>
        <w:t>_________________________</w:t>
      </w:r>
    </w:p>
    <w:p w:rsidR="00C62B36" w:rsidRPr="006C3614" w:rsidP="00C62B36">
      <w:pPr>
        <w:spacing w:line="240" w:lineRule="auto"/>
      </w:pPr>
      <w:r w:rsidRPr="006C3614">
        <w:tab/>
      </w:r>
      <w:r w:rsidRPr="006C3614">
        <w:tab/>
      </w:r>
      <w:r w:rsidRPr="006C3614">
        <w:tab/>
      </w:r>
      <w:r w:rsidRPr="006C3614">
        <w:tab/>
      </w:r>
      <w:r w:rsidRPr="006C3614">
        <w:tab/>
      </w:r>
      <w:r w:rsidRPr="006C3614">
        <w:tab/>
      </w:r>
      <w:r w:rsidRPr="006C3614">
        <w:tab/>
        <w:t>Kline, P.J.</w:t>
      </w: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r w:rsidRPr="006C3614">
        <w:t>We concur:</w:t>
      </w: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r w:rsidRPr="006C3614">
        <w:t>_________________________</w:t>
      </w:r>
    </w:p>
    <w:p w:rsidR="00C62B36" w:rsidRPr="006C3614" w:rsidP="00C62B36">
      <w:pPr>
        <w:spacing w:line="240" w:lineRule="auto"/>
      </w:pPr>
      <w:r>
        <w:t>Richman</w:t>
      </w:r>
      <w:r w:rsidRPr="006C3614">
        <w:t>, J.</w:t>
      </w: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r w:rsidRPr="006C3614">
        <w:t>_________________________</w:t>
      </w:r>
    </w:p>
    <w:p w:rsidR="00C62B36" w:rsidRPr="006C3614" w:rsidP="00C62B36">
      <w:pPr>
        <w:spacing w:line="240" w:lineRule="auto"/>
      </w:pPr>
      <w:r>
        <w:t>Miller, J.</w:t>
      </w: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p>
    <w:p w:rsidR="00C62B36" w:rsidP="00C62B36">
      <w:pPr>
        <w:spacing w:line="240" w:lineRule="auto"/>
      </w:pPr>
    </w:p>
    <w:p w:rsidR="00C62B36" w:rsidP="00C62B36">
      <w:pPr>
        <w:spacing w:line="240" w:lineRule="auto"/>
      </w:pPr>
    </w:p>
    <w:p w:rsidR="00C62B36" w:rsidRPr="006C3614" w:rsidP="00C62B36">
      <w:pPr>
        <w:spacing w:line="240" w:lineRule="auto"/>
      </w:pPr>
    </w:p>
    <w:p w:rsidR="00C62B36" w:rsidRPr="006C3614" w:rsidP="00C62B36">
      <w:pPr>
        <w:spacing w:line="240" w:lineRule="auto"/>
      </w:pPr>
    </w:p>
    <w:p w:rsidR="00C62B36" w:rsidP="00C62B36">
      <w:pPr>
        <w:spacing w:line="240" w:lineRule="auto"/>
      </w:pPr>
    </w:p>
    <w:p w:rsidR="00C62B36" w:rsidRPr="006C3614" w:rsidP="00C62B36">
      <w:pPr>
        <w:spacing w:line="240" w:lineRule="auto"/>
      </w:pPr>
    </w:p>
    <w:p w:rsidR="00C62B36" w:rsidRPr="006C3614" w:rsidP="00C62B36">
      <w:pPr>
        <w:spacing w:line="240" w:lineRule="auto"/>
      </w:pPr>
    </w:p>
    <w:p w:rsidR="00C62B36" w:rsidRPr="006C3614" w:rsidP="00C62B36">
      <w:pPr>
        <w:spacing w:line="240" w:lineRule="auto"/>
      </w:pPr>
    </w:p>
    <w:p w:rsidR="00C62B36" w:rsidP="00C62B36">
      <w:pPr>
        <w:spacing w:line="240" w:lineRule="auto"/>
      </w:pPr>
    </w:p>
    <w:p w:rsidR="00C62B36" w:rsidP="00C62B36">
      <w:pPr>
        <w:spacing w:line="240" w:lineRule="auto"/>
      </w:pPr>
    </w:p>
    <w:p w:rsidR="00C62B36" w:rsidP="00C62B36">
      <w:pPr>
        <w:spacing w:line="240" w:lineRule="auto"/>
      </w:pPr>
    </w:p>
    <w:p w:rsidR="00C62B36" w:rsidRPr="006C3614" w:rsidP="00C62B36">
      <w:pPr>
        <w:spacing w:line="240" w:lineRule="auto"/>
      </w:pPr>
    </w:p>
    <w:p w:rsidR="00C62B36" w:rsidRPr="00D9094F" w:rsidP="00C62B36">
      <w:pPr>
        <w:spacing w:line="240" w:lineRule="auto"/>
        <w:rPr>
          <w:i/>
          <w:lang w:val="it-IT"/>
        </w:rPr>
      </w:pPr>
      <w:r>
        <w:rPr>
          <w:i/>
          <w:lang w:val="it-IT"/>
        </w:rPr>
        <w:t xml:space="preserve">Ena North Beach, Inc., et al. v. 524 Union Street et al. </w:t>
      </w:r>
      <w:r>
        <w:rPr>
          <w:lang w:val="it-IT"/>
        </w:rPr>
        <w:t>(A152431, A152937)</w:t>
      </w:r>
    </w:p>
    <w:p w:rsidR="00C62B36" w:rsidRPr="00D9094F" w:rsidP="00C62B36">
      <w:pPr>
        <w:spacing w:line="240" w:lineRule="auto"/>
        <w:rPr>
          <w:i/>
          <w:lang w:val="it-IT"/>
        </w:rPr>
      </w:pPr>
    </w:p>
    <w:p w:rsidR="00C62B36" w:rsidRPr="00D9094F" w:rsidP="00C62B36">
      <w:pPr>
        <w:spacing w:line="240" w:lineRule="auto"/>
        <w:rPr>
          <w:i/>
          <w:lang w:val="it-IT"/>
        </w:rPr>
      </w:pPr>
    </w:p>
    <w:p w:rsidR="00B73E6C">
      <w:pPr>
        <w:tabs>
          <w:tab w:val="clear" w:pos="720"/>
        </w:tabs>
        <w:spacing w:after="160" w:line="259" w:lineRule="auto"/>
        <w:rPr>
          <w:rFonts w:eastAsia="Times New Roman"/>
          <w:szCs w:val="26"/>
        </w:rPr>
      </w:pPr>
      <w:r>
        <w:rPr>
          <w:rFonts w:eastAsia="Times New Roman"/>
          <w:szCs w:val="26"/>
        </w:rPr>
        <w:br w:type="page"/>
      </w:r>
    </w:p>
    <w:p w:rsidR="00305BB9" w:rsidP="006205BC">
      <w:pPr>
        <w:spacing w:line="240" w:lineRule="auto"/>
        <w:rPr>
          <w:rFonts w:eastAsia="Times New Roman"/>
          <w:szCs w:val="26"/>
        </w:rPr>
      </w:pPr>
      <w:r>
        <w:rPr>
          <w:rFonts w:eastAsia="Times New Roman"/>
          <w:szCs w:val="26"/>
        </w:rPr>
        <w:t>Trial Court:</w:t>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San Francisco County Superior Court</w:t>
      </w:r>
    </w:p>
    <w:p w:rsidR="00B73E6C" w:rsidP="006205BC">
      <w:pPr>
        <w:spacing w:line="240" w:lineRule="auto"/>
        <w:rPr>
          <w:rFonts w:eastAsia="Times New Roman"/>
          <w:szCs w:val="26"/>
        </w:rPr>
      </w:pPr>
    </w:p>
    <w:p w:rsidR="006205BC" w:rsidP="006205BC">
      <w:pPr>
        <w:spacing w:line="240" w:lineRule="auto"/>
        <w:rPr>
          <w:rFonts w:eastAsia="Times New Roman"/>
          <w:szCs w:val="26"/>
        </w:rPr>
      </w:pPr>
    </w:p>
    <w:p w:rsidR="00B73E6C" w:rsidP="006205BC">
      <w:pPr>
        <w:spacing w:line="240" w:lineRule="auto"/>
        <w:rPr>
          <w:rFonts w:eastAsia="Times New Roman"/>
          <w:szCs w:val="26"/>
        </w:rPr>
      </w:pPr>
      <w:r>
        <w:rPr>
          <w:rFonts w:eastAsia="Times New Roman"/>
          <w:szCs w:val="26"/>
        </w:rPr>
        <w:t>Trial Judge:</w:t>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Hon. Richard B. Ulmer, Jr.</w:t>
      </w:r>
    </w:p>
    <w:p w:rsidR="00B927E3" w:rsidP="006205BC">
      <w:pPr>
        <w:spacing w:line="240" w:lineRule="auto"/>
        <w:rPr>
          <w:rFonts w:eastAsia="Times New Roman"/>
          <w:szCs w:val="26"/>
        </w:rPr>
      </w:pPr>
    </w:p>
    <w:p w:rsidR="006205BC" w:rsidP="006205BC">
      <w:pPr>
        <w:spacing w:line="240" w:lineRule="auto"/>
        <w:rPr>
          <w:rFonts w:eastAsia="Times New Roman"/>
          <w:szCs w:val="26"/>
        </w:rPr>
      </w:pPr>
    </w:p>
    <w:p w:rsidR="003C33C2" w:rsidP="003C33C2">
      <w:pPr>
        <w:spacing w:line="240" w:lineRule="auto"/>
        <w:rPr>
          <w:rFonts w:eastAsia="Times New Roman"/>
          <w:szCs w:val="26"/>
        </w:rPr>
      </w:pPr>
      <w:r>
        <w:rPr>
          <w:rFonts w:eastAsia="Times New Roman"/>
          <w:szCs w:val="26"/>
        </w:rPr>
        <w:t>Attorneys for Plaintiffs and Appellants:</w:t>
      </w:r>
      <w:r>
        <w:rPr>
          <w:rFonts w:eastAsia="Times New Roman"/>
          <w:szCs w:val="26"/>
        </w:rPr>
        <w:tab/>
      </w:r>
      <w:r>
        <w:rPr>
          <w:rFonts w:eastAsia="Times New Roman"/>
          <w:szCs w:val="26"/>
        </w:rPr>
        <w:tab/>
        <w:t xml:space="preserve">Wood Robbins </w:t>
      </w:r>
    </w:p>
    <w:p w:rsidR="003C33C2" w:rsidP="003C33C2">
      <w:pPr>
        <w:spacing w:line="240" w:lineRule="auto"/>
        <w:rPr>
          <w:rFonts w:eastAsia="Times New Roman"/>
          <w:szCs w:val="26"/>
        </w:rPr>
      </w:pP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B. Douglas Robbins</w:t>
      </w:r>
    </w:p>
    <w:p w:rsidR="00E14052" w:rsidP="003C33C2">
      <w:pPr>
        <w:spacing w:line="240" w:lineRule="auto"/>
        <w:rPr>
          <w:rFonts w:eastAsia="Times New Roman"/>
          <w:szCs w:val="26"/>
        </w:rPr>
      </w:pP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Leyla M. Pasic</w:t>
      </w:r>
    </w:p>
    <w:p w:rsidR="00E14052" w:rsidP="003C33C2">
      <w:pPr>
        <w:spacing w:line="240" w:lineRule="auto"/>
        <w:rPr>
          <w:rFonts w:eastAsia="Times New Roman"/>
          <w:szCs w:val="26"/>
        </w:rPr>
      </w:pP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Kelley A. Harvilla</w:t>
      </w:r>
    </w:p>
    <w:p w:rsidR="00812BB0" w:rsidP="003C33C2">
      <w:pPr>
        <w:spacing w:line="240" w:lineRule="auto"/>
        <w:rPr>
          <w:rFonts w:eastAsia="Times New Roman"/>
          <w:szCs w:val="26"/>
        </w:rPr>
      </w:pPr>
    </w:p>
    <w:p w:rsidR="00DC5887" w:rsidRPr="00DC5887" w:rsidP="00812BB0">
      <w:pPr>
        <w:spacing w:line="240" w:lineRule="auto"/>
        <w:rPr>
          <w:bCs/>
        </w:rPr>
      </w:pPr>
      <w:r>
        <w:rPr>
          <w:rFonts w:eastAsia="Times New Roman"/>
          <w:szCs w:val="26"/>
        </w:rPr>
        <w:t>Attorneys for Defendants and Appellants:</w:t>
      </w:r>
      <w:r>
        <w:rPr>
          <w:rFonts w:eastAsia="Times New Roman"/>
          <w:szCs w:val="26"/>
        </w:rPr>
        <w:tab/>
      </w:r>
      <w:r w:rsidRPr="00DC5887">
        <w:rPr>
          <w:bCs/>
        </w:rPr>
        <w:t xml:space="preserve">Kerr &amp; Wagstaffe </w:t>
      </w:r>
    </w:p>
    <w:p w:rsidR="00812BB0" w:rsidP="00812BB0">
      <w:pPr>
        <w:spacing w:line="240" w:lineRule="auto"/>
        <w:rPr>
          <w:rFonts w:eastAsia="Times New Roman"/>
          <w:szCs w:val="26"/>
        </w:rPr>
      </w:pP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Wagstaffe, Von Loewenfeldt, Busch &amp;</w:t>
      </w:r>
    </w:p>
    <w:p w:rsidR="00812BB0" w:rsidP="00812BB0">
      <w:pPr>
        <w:spacing w:line="240" w:lineRule="auto"/>
        <w:rPr>
          <w:rFonts w:eastAsia="Times New Roman"/>
          <w:szCs w:val="26"/>
        </w:rPr>
      </w:pP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 xml:space="preserve">Radwick </w:t>
      </w:r>
    </w:p>
    <w:p w:rsidR="00812BB0" w:rsidP="00812BB0">
      <w:pPr>
        <w:spacing w:line="240" w:lineRule="auto"/>
        <w:rPr>
          <w:rFonts w:eastAsia="Times New Roman"/>
          <w:szCs w:val="26"/>
        </w:rPr>
      </w:pP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James M. Wagstaffe</w:t>
      </w:r>
    </w:p>
    <w:p w:rsidR="00812BB0" w:rsidP="00812BB0">
      <w:pPr>
        <w:spacing w:line="240" w:lineRule="auto"/>
        <w:rPr>
          <w:rFonts w:eastAsia="Times New Roman"/>
          <w:szCs w:val="26"/>
        </w:rPr>
      </w:pP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Michael Von Loewenfeldt</w:t>
      </w:r>
    </w:p>
    <w:p w:rsidR="00E14052" w:rsidP="00812BB0">
      <w:pPr>
        <w:spacing w:line="240" w:lineRule="auto"/>
        <w:rPr>
          <w:rFonts w:eastAsia="Times New Roman"/>
          <w:szCs w:val="26"/>
        </w:rPr>
      </w:pPr>
    </w:p>
    <w:p w:rsidR="00E14052" w:rsidP="00812BB0">
      <w:pPr>
        <w:spacing w:line="240" w:lineRule="auto"/>
        <w:rPr>
          <w:rFonts w:eastAsia="Times New Roman"/>
          <w:szCs w:val="26"/>
        </w:rPr>
      </w:pP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Draper Law Firm</w:t>
      </w:r>
    </w:p>
    <w:p w:rsidR="00E14052" w:rsidP="00812BB0">
      <w:pPr>
        <w:spacing w:line="240" w:lineRule="auto"/>
        <w:rPr>
          <w:rFonts w:eastAsia="Times New Roman"/>
          <w:szCs w:val="26"/>
        </w:rPr>
      </w:pP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Ann McFarland Draper</w:t>
      </w:r>
    </w:p>
    <w:p w:rsidR="00812BB0" w:rsidP="003C33C2">
      <w:pPr>
        <w:spacing w:line="240" w:lineRule="auto"/>
        <w:rPr>
          <w:rFonts w:eastAsia="Times New Roman"/>
          <w:szCs w:val="26"/>
        </w:rPr>
      </w:pPr>
    </w:p>
    <w:sectPr w:rsidSect="00522D7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125E" w:rsidP="00522D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B8125E" w:rsidP="00522D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B81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125E" w:rsidP="00522D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81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125E" w:rsidP="001B203E">
      <w:pPr>
        <w:spacing w:line="240" w:lineRule="auto"/>
      </w:pPr>
      <w:r>
        <w:separator/>
      </w:r>
    </w:p>
  </w:footnote>
  <w:footnote w:type="continuationSeparator" w:id="1">
    <w:p w:rsidR="00B8125E" w:rsidP="001B203E">
      <w:pPr>
        <w:spacing w:line="240" w:lineRule="auto"/>
      </w:pPr>
      <w:r>
        <w:continuationSeparator/>
      </w:r>
    </w:p>
  </w:footnote>
  <w:footnote w:id="2">
    <w:p w:rsidR="00772D62" w:rsidP="00B86546">
      <w:pPr>
        <w:pStyle w:val="FootnoteText"/>
        <w:ind w:firstLine="720"/>
      </w:pPr>
      <w:r>
        <w:rPr>
          <w:rStyle w:val="FootnoteReference"/>
        </w:rPr>
        <w:t>*</w:t>
      </w:r>
      <w:r>
        <w:t xml:space="preserve"> Pursuant to California Rules of Court, rules 8.1105(b) and 8.1110, this opinion is certified for publication with the exception of parts I., A., B., C., D., and III. </w:t>
      </w:r>
    </w:p>
  </w:footnote>
  <w:footnote w:id="3">
    <w:p w:rsidR="00B8125E" w:rsidP="00CF626D">
      <w:pPr>
        <w:pStyle w:val="FootnoteText"/>
        <w:spacing w:after="120"/>
        <w:ind w:firstLine="720"/>
      </w:pPr>
      <w:r>
        <w:rPr>
          <w:rStyle w:val="FootnoteReference"/>
        </w:rPr>
        <w:footnoteRef/>
      </w:r>
      <w:r>
        <w:t xml:space="preserve"> For convenience and clarity, this opinion will refer to Beverly Smucha and Barak Smucha by first name, no disrespect is intended.  Unless otherwise indicated, arguments and positions attributed to Smucha are also those of 524 Union. </w:t>
      </w:r>
    </w:p>
  </w:footnote>
  <w:footnote w:id="4">
    <w:p w:rsidR="00B8125E" w:rsidP="00CF626D">
      <w:pPr>
        <w:pStyle w:val="FootnoteText"/>
        <w:spacing w:after="120"/>
        <w:ind w:firstLine="720"/>
      </w:pPr>
      <w:r>
        <w:rPr>
          <w:rStyle w:val="FootnoteReference"/>
        </w:rPr>
        <w:footnoteRef/>
      </w:r>
      <w:r>
        <w:t xml:space="preserve"> As the terminology used in the testimony and documentary evidence varies, we note at the outset that this opinion will use the terms “conditional use authorization” and “conditional use permit” interchangeably. </w:t>
      </w:r>
    </w:p>
  </w:footnote>
  <w:footnote w:id="5">
    <w:p w:rsidR="00B8125E" w:rsidRPr="00EA2B5C" w:rsidP="00CF626D">
      <w:pPr>
        <w:pStyle w:val="FootnoteText"/>
        <w:spacing w:after="120"/>
        <w:ind w:firstLine="720"/>
        <w:rPr>
          <w:szCs w:val="26"/>
        </w:rPr>
      </w:pPr>
      <w:r w:rsidRPr="6EF9DD68">
        <w:rPr>
          <w:rStyle w:val="FootnoteReference"/>
        </w:rPr>
        <w:footnoteRef/>
      </w:r>
      <w:r>
        <w:t xml:space="preserve"> </w:t>
      </w:r>
      <w:r w:rsidRPr="00EA2B5C">
        <w:rPr>
          <w:rFonts w:eastAsia="Times New Roman"/>
          <w:szCs w:val="26"/>
        </w:rPr>
        <w:t xml:space="preserve">This section provides:  “Abandonment.  A permitted conditional use that is discontinued for a period of three years, or otherwise abandoned, shall not be restored, except upon approval of a new conditional use application pursuant to the provisions of </w:t>
      </w:r>
      <w:r>
        <w:rPr>
          <w:rFonts w:eastAsia="Times New Roman"/>
          <w:szCs w:val="26"/>
        </w:rPr>
        <w:t>Article 3</w:t>
      </w:r>
      <w:r w:rsidRPr="00EA2B5C">
        <w:rPr>
          <w:rFonts w:eastAsia="Times New Roman"/>
          <w:szCs w:val="26"/>
        </w:rPr>
        <w:t xml:space="preserve"> of this Code. </w:t>
      </w:r>
      <w:r>
        <w:rPr>
          <w:rFonts w:eastAsia="Times New Roman"/>
          <w:szCs w:val="26"/>
        </w:rPr>
        <w:t xml:space="preserve"> </w:t>
      </w:r>
      <w:r w:rsidRPr="00EA2B5C">
        <w:rPr>
          <w:rFonts w:eastAsia="Times New Roman"/>
          <w:szCs w:val="26"/>
        </w:rPr>
        <w:t xml:space="preserve">For purposes of this Subsection, the period of nonuse for a permitted conditional use to be deemed discontinued in the North Beach </w:t>
      </w:r>
      <w:r>
        <w:rPr>
          <w:rFonts w:eastAsia="Times New Roman"/>
          <w:szCs w:val="26"/>
        </w:rPr>
        <w:t>[</w:t>
      </w:r>
      <w:r w:rsidRPr="00EA2B5C">
        <w:rPr>
          <w:rFonts w:eastAsia="Times New Roman"/>
          <w:szCs w:val="26"/>
        </w:rPr>
        <w:t>and</w:t>
      </w:r>
      <w:r>
        <w:rPr>
          <w:rFonts w:eastAsia="Times New Roman"/>
          <w:szCs w:val="26"/>
        </w:rPr>
        <w:t>]</w:t>
      </w:r>
      <w:r w:rsidRPr="00EA2B5C">
        <w:rPr>
          <w:rFonts w:eastAsia="Times New Roman"/>
          <w:szCs w:val="26"/>
        </w:rPr>
        <w:t xml:space="preserve"> Castro Street Neighborhood Commercial Districts, and the Jackson Square Special Use District shall be eighteen (18) months</w:t>
      </w:r>
      <w:r>
        <w:rPr>
          <w:rFonts w:eastAsia="Times New Roman"/>
          <w:szCs w:val="26"/>
        </w:rPr>
        <w:t>[</w:t>
      </w:r>
      <w:r w:rsidRPr="00EA2B5C">
        <w:rPr>
          <w:rFonts w:eastAsia="Times New Roman"/>
          <w:szCs w:val="26"/>
        </w:rPr>
        <w:t>.</w:t>
      </w:r>
      <w:r>
        <w:rPr>
          <w:rFonts w:eastAsia="Times New Roman"/>
          <w:szCs w:val="26"/>
        </w:rPr>
        <w:t>]</w:t>
      </w:r>
      <w:r w:rsidRPr="00EA2B5C">
        <w:rPr>
          <w:rFonts w:eastAsia="Times New Roman"/>
          <w:szCs w:val="26"/>
        </w:rPr>
        <w:t>”</w:t>
      </w:r>
      <w:r w:rsidRPr="00EA2B5C">
        <w:rPr>
          <w:szCs w:val="26"/>
        </w:rPr>
        <w:t xml:space="preserve"> </w:t>
      </w:r>
      <w:r>
        <w:rPr>
          <w:szCs w:val="26"/>
        </w:rPr>
        <w:t xml:space="preserve"> (S.F. Planning Code, </w:t>
      </w:r>
      <w:r w:rsidRPr="00EE6BF7">
        <w:rPr>
          <w:szCs w:val="26"/>
        </w:rPr>
        <w:t>§ </w:t>
      </w:r>
      <w:r>
        <w:rPr>
          <w:szCs w:val="26"/>
        </w:rPr>
        <w:t>178, subd. (d).)</w:t>
      </w:r>
    </w:p>
  </w:footnote>
  <w:footnote w:id="6">
    <w:p w:rsidR="00B8125E" w:rsidP="00CF626D">
      <w:pPr>
        <w:pStyle w:val="FootnoteText"/>
        <w:spacing w:after="120"/>
        <w:ind w:firstLine="720"/>
      </w:pPr>
      <w:r>
        <w:rPr>
          <w:rStyle w:val="FootnoteReference"/>
        </w:rPr>
        <w:footnoteRef/>
      </w:r>
      <w:r>
        <w:t xml:space="preserve"> The San Francisco Planning Code (Planning Code) no longer uses the term full-service restaurant but rather contains definitions for “restaurant” and “restaurant, limited.”  (S.F. Planning Code, § 102.)  A “restaurant” is defined a  “[a] Retail Sales and Service use that serves prepared, ready-to-eat cooked foods to customers for consumption on the premises and which has seating,” and which “may provide on-site beer, wine, and/or liquor sales for drinking on the premises” if at least 51 percent of its gross receipts are from food prepared and sold on premises.  (</w:t>
      </w:r>
      <w:r w:rsidRPr="00135A8F">
        <w:rPr>
          <w:i/>
        </w:rPr>
        <w:t>Ibid</w:t>
      </w:r>
      <w:r>
        <w:t>.)  “Restaurant, limited” is defined as “[a] Retail Sales and Service Use that serves ready-to-eat foods and/or drinks to customers for consumption on or off the premises, that may or may not have seating” and “shall not provide on-site beer and/or wine sales for consumption on the premises, but may sell beer and/or wine for consumption off the premises . . . .”  (</w:t>
      </w:r>
      <w:r w:rsidRPr="00135A8F">
        <w:rPr>
          <w:i/>
        </w:rPr>
        <w:t>Ibid</w:t>
      </w:r>
      <w:r>
        <w:t>.)  Examples of limited restaurants are “sandwich shops, coffee houses, pizzerias, ice cream shops, bakeries, delicatessens, and confectioneries . . . .”  (</w:t>
      </w:r>
      <w:r w:rsidRPr="00135A8F">
        <w:rPr>
          <w:i/>
        </w:rPr>
        <w:t>Ibid</w:t>
      </w:r>
      <w:r>
        <w:t>.)</w:t>
      </w:r>
    </w:p>
    <w:p w:rsidR="00B8125E" w:rsidP="00CF626D">
      <w:pPr>
        <w:pStyle w:val="FootnoteText"/>
        <w:spacing w:after="120"/>
        <w:ind w:firstLine="720"/>
      </w:pPr>
      <w:r>
        <w:t xml:space="preserve">As described in the findings supporting the 1998 conditional use authorization, the then-existing provisions of the Planning Code defined “full-service restaurant” without reference to alcohol (“a retail eating or drinking use which serves food to customers primarily for consumption on the premises,” “is not specifically designed to attract and accommodate high customer volumes or turnover,” “has seating and serves prepared, ready-to-eat cooked foods for consumption on the premises,” and where “[g]uests typically order and receive food and beverages while seated at tables on the premises and pay for service after the meal is consumed”)  and separately defined “bar” (“a retail use which provides on-site alcoholic beverage sales for drinking on the premises”). </w:t>
      </w:r>
    </w:p>
  </w:footnote>
  <w:footnote w:id="7">
    <w:p w:rsidR="00B8125E" w:rsidRPr="00B91EE9" w:rsidP="00CF626D">
      <w:pPr>
        <w:pStyle w:val="FootnoteText"/>
        <w:spacing w:after="120"/>
        <w:ind w:firstLine="720"/>
      </w:pPr>
      <w:r w:rsidRPr="00B91EE9">
        <w:rPr>
          <w:rStyle w:val="FootnoteReference"/>
        </w:rPr>
        <w:footnoteRef/>
      </w:r>
      <w:r w:rsidRPr="00B91EE9">
        <w:t xml:space="preserve"> 524 Union filed a cross</w:t>
      </w:r>
      <w:r>
        <w:t>-</w:t>
      </w:r>
      <w:r w:rsidRPr="00B91EE9">
        <w:t>complaint against ENA North Beach, Hong</w:t>
      </w:r>
      <w:r>
        <w:t>,</w:t>
      </w:r>
      <w:r w:rsidRPr="00B91EE9">
        <w:t xml:space="preserve"> and Arnold Bunyaviroch that is not at issue on this appeal. </w:t>
      </w:r>
    </w:p>
  </w:footnote>
  <w:footnote w:id="8">
    <w:p w:rsidR="00B8125E" w:rsidP="00CF626D">
      <w:pPr>
        <w:pStyle w:val="FootnoteText"/>
        <w:spacing w:after="120"/>
        <w:ind w:firstLine="720"/>
      </w:pPr>
      <w:r>
        <w:rPr>
          <w:rStyle w:val="FootnoteReference"/>
        </w:rPr>
        <w:footnoteRef/>
      </w:r>
      <w:r>
        <w:t xml:space="preserve"> </w:t>
      </w:r>
      <w:r w:rsidRPr="00695334">
        <w:t>On the affidavit form, in a box for “date you filed application for C.U.P.</w:t>
      </w:r>
      <w:r>
        <w:t>,</w:t>
      </w:r>
      <w:r w:rsidRPr="00695334">
        <w:t>” a handwritten note says, “N/A</w:t>
      </w:r>
      <w:r>
        <w:t>—</w:t>
      </w:r>
      <w:r w:rsidRPr="00695334">
        <w:t>can use existing conditional use Motion No. 14759/case 98.84.”</w:t>
      </w:r>
      <w:r>
        <w:t xml:space="preserve">  </w:t>
      </w:r>
    </w:p>
  </w:footnote>
  <w:footnote w:id="9">
    <w:p w:rsidR="00B8125E" w:rsidP="00CF626D">
      <w:pPr>
        <w:pStyle w:val="FootnoteText"/>
        <w:spacing w:after="120"/>
        <w:ind w:firstLine="720"/>
      </w:pPr>
      <w:r>
        <w:rPr>
          <w:rStyle w:val="FootnoteReference"/>
        </w:rPr>
        <w:footnoteRef/>
      </w:r>
      <w:r>
        <w:t xml:space="preserve"> </w:t>
      </w:r>
      <w:r w:rsidRPr="00E84AFD">
        <w:t>The issue</w:t>
      </w:r>
      <w:r>
        <w:t>s with the conditional use permit</w:t>
      </w:r>
      <w:r w:rsidRPr="00E84AFD">
        <w:t xml:space="preserve"> </w:t>
      </w:r>
      <w:r>
        <w:t>were</w:t>
      </w:r>
      <w:r w:rsidRPr="00E84AFD">
        <w:t xml:space="preserve"> brought to the Department’s attention by Marsha Garland, a permit expediter who had been involved in getting the conditional use approval for The Field in 1998.  Garland testified that she told the owner of Le Bordeaux he needed a conditional use permit, told </w:t>
      </w:r>
      <w:r>
        <w:t>Beverly</w:t>
      </w:r>
      <w:r w:rsidRPr="00E84AFD">
        <w:t xml:space="preserve"> this, and during the time Le Bordeaux was operating</w:t>
      </w:r>
      <w:r>
        <w:t>,</w:t>
      </w:r>
      <w:r w:rsidRPr="00E84AFD">
        <w:t xml:space="preserve"> notified the Department that a conditional use permit was needed.  Garland told the Department it had made a mistake with Le Bordeaux</w:t>
      </w:r>
      <w:r>
        <w:t xml:space="preserve"> because the long prior vacancy meant a new </w:t>
      </w:r>
      <w:r w:rsidRPr="00E84AFD">
        <w:t xml:space="preserve">conditional use </w:t>
      </w:r>
      <w:r>
        <w:t xml:space="preserve">permit was needed; she </w:t>
      </w:r>
      <w:r w:rsidRPr="00E84AFD">
        <w:t xml:space="preserve">felt </w:t>
      </w:r>
      <w:r>
        <w:t xml:space="preserve">allowing it to open </w:t>
      </w:r>
      <w:r w:rsidRPr="00E84AFD">
        <w:t xml:space="preserve">was unfair to others who were unable to get alcohol licenses. </w:t>
      </w:r>
      <w:r>
        <w:t xml:space="preserve"> </w:t>
      </w:r>
    </w:p>
  </w:footnote>
  <w:footnote w:id="10">
    <w:p w:rsidR="008905FC" w:rsidP="00CF626D">
      <w:pPr>
        <w:pStyle w:val="FootnoteText"/>
        <w:spacing w:after="120"/>
        <w:ind w:firstLine="720"/>
      </w:pPr>
      <w:r>
        <w:rPr>
          <w:rStyle w:val="FootnoteReference"/>
        </w:rPr>
        <w:footnoteRef/>
      </w:r>
      <w:r>
        <w:t xml:space="preserve"> </w:t>
      </w:r>
      <w:r w:rsidRPr="008905FC">
        <w:t xml:space="preserve">In this email, </w:t>
      </w:r>
      <w:r>
        <w:t>Beverly</w:t>
      </w:r>
      <w:r w:rsidRPr="008905FC">
        <w:t xml:space="preserve"> suggested that Hong point out to the Department that “the amendments adding a limited restaurant” would not apply to Le Bo</w:t>
      </w:r>
      <w:r>
        <w:t>r</w:t>
      </w:r>
      <w:r w:rsidRPr="008905FC">
        <w:t>deaux because they did not go into effect until May 2012 and Le Bordeaux was approved as a full</w:t>
      </w:r>
      <w:r>
        <w:t>-</w:t>
      </w:r>
      <w:r w:rsidRPr="008905FC">
        <w:t xml:space="preserve">service restaurant in 2011, and in any event the definition of “restaurant” did not require </w:t>
      </w:r>
      <w:r>
        <w:t>having</w:t>
      </w:r>
      <w:r w:rsidRPr="008905FC">
        <w:t xml:space="preserve"> a liquor license. </w:t>
      </w:r>
      <w:r>
        <w:t xml:space="preserve"> </w:t>
      </w:r>
    </w:p>
  </w:footnote>
  <w:footnote w:id="11">
    <w:p w:rsidR="008905FC" w:rsidP="00CF626D">
      <w:pPr>
        <w:pStyle w:val="FootnoteText"/>
        <w:spacing w:after="120"/>
        <w:ind w:firstLine="720"/>
      </w:pPr>
      <w:r>
        <w:rPr>
          <w:rStyle w:val="FootnoteReference"/>
        </w:rPr>
        <w:footnoteRef/>
      </w:r>
      <w:r>
        <w:t xml:space="preserve"> </w:t>
      </w:r>
      <w:r w:rsidRPr="008905FC">
        <w:t xml:space="preserve">When Silverman’s paralegal investigated, the information was no longer available on the </w:t>
      </w:r>
      <w:r>
        <w:t>D</w:t>
      </w:r>
      <w:r w:rsidRPr="008905FC">
        <w:t xml:space="preserve">ABC website. </w:t>
      </w:r>
    </w:p>
  </w:footnote>
  <w:footnote w:id="12">
    <w:p w:rsidR="00B8125E" w:rsidP="00CF626D">
      <w:pPr>
        <w:pStyle w:val="FootnoteText"/>
        <w:spacing w:after="120"/>
        <w:ind w:firstLine="720"/>
      </w:pPr>
      <w:r>
        <w:rPr>
          <w:rStyle w:val="FootnoteReference"/>
        </w:rPr>
        <w:footnoteRef/>
      </w:r>
      <w:r>
        <w:t xml:space="preserve"> </w:t>
      </w:r>
      <w:r w:rsidRPr="00247FFE">
        <w:t xml:space="preserve">Among his attempts to provide the </w:t>
      </w:r>
      <w:r>
        <w:t>zoning administrator</w:t>
      </w:r>
      <w:r w:rsidRPr="00247FFE">
        <w:t xml:space="preserve"> with facts to support the argument that there was a continuous use of the space, Silverman tried to show that the owner advertised for a tenant for the same purpose during times no restaurant was operating, but </w:t>
      </w:r>
      <w:r>
        <w:t>Beverly</w:t>
      </w:r>
      <w:r w:rsidRPr="00247FFE">
        <w:t xml:space="preserve"> provided only two years of advertisements, which left a five-year gap. </w:t>
      </w:r>
      <w:r>
        <w:t xml:space="preserve"> </w:t>
      </w:r>
    </w:p>
  </w:footnote>
  <w:footnote w:id="13">
    <w:p w:rsidR="00B8125E" w:rsidP="00CF626D">
      <w:pPr>
        <w:spacing w:after="120" w:line="240" w:lineRule="auto"/>
        <w:ind w:firstLine="720"/>
      </w:pPr>
      <w:r w:rsidRPr="5CA9A013">
        <w:rPr>
          <w:rStyle w:val="FootnoteReference"/>
        </w:rPr>
        <w:footnoteRef/>
      </w:r>
      <w:r>
        <w:t xml:space="preserve"> </w:t>
      </w:r>
      <w:r>
        <w:rPr>
          <w:rFonts w:eastAsia="Times New Roman"/>
        </w:rPr>
        <w:t>Beverly</w:t>
      </w:r>
      <w:r w:rsidRPr="5CA9A013">
        <w:rPr>
          <w:rFonts w:eastAsia="Times New Roman"/>
        </w:rPr>
        <w:t xml:space="preserve"> claimed to have clarified that it was vacant for over three years but was not able to identify where she had said this. </w:t>
      </w:r>
      <w:r>
        <w:rPr>
          <w:rFonts w:eastAsia="Times New Roman"/>
        </w:rPr>
        <w:t xml:space="preserve"> </w:t>
      </w:r>
    </w:p>
  </w:footnote>
  <w:footnote w:id="14">
    <w:p w:rsidR="00B8125E" w:rsidP="00CF626D">
      <w:pPr>
        <w:pStyle w:val="FootnoteText"/>
        <w:spacing w:after="120"/>
        <w:ind w:firstLine="720"/>
      </w:pPr>
      <w:r>
        <w:rPr>
          <w:rStyle w:val="FootnoteReference"/>
        </w:rPr>
        <w:footnoteRef/>
      </w:r>
      <w:r>
        <w:t xml:space="preserve"> </w:t>
      </w:r>
      <w:r w:rsidRPr="00BA7A2C">
        <w:t>Bourque’s understanding from the disclosure was that the liquor license for Le</w:t>
      </w:r>
      <w:r>
        <w:t> </w:t>
      </w:r>
      <w:r w:rsidRPr="00BA7A2C">
        <w:t>Bo</w:t>
      </w:r>
      <w:r>
        <w:t>r</w:t>
      </w:r>
      <w:r w:rsidRPr="00BA7A2C">
        <w:t>deaux had been issued and ENA North Beach terminated its lease because of disagreements over “tenant improvements, and decorations, paint and that kind of thing” and “for whatever reason, they couldn’t get their permitting . . .</w:t>
      </w:r>
      <w:r>
        <w:t xml:space="preserve"> .</w:t>
      </w:r>
      <w:r w:rsidRPr="00BA7A2C">
        <w:t xml:space="preserve">”  </w:t>
      </w:r>
      <w:r>
        <w:t>He</w:t>
      </w:r>
      <w:r w:rsidRPr="00BA7A2C">
        <w:t xml:space="preserve"> understood the reference to “dormant space” as saying there had been continuous operation of a full</w:t>
      </w:r>
      <w:r>
        <w:t>-</w:t>
      </w:r>
      <w:r w:rsidRPr="00BA7A2C">
        <w:t xml:space="preserve">service restaurant with no lapse, and </w:t>
      </w:r>
      <w:r>
        <w:t>Beverly</w:t>
      </w:r>
      <w:r w:rsidRPr="00BA7A2C">
        <w:t xml:space="preserve"> never discussed a period of dormancy following The Field or a gap of three years or more between The Field and Le Bordeaux.  </w:t>
      </w:r>
    </w:p>
  </w:footnote>
  <w:footnote w:id="15">
    <w:p w:rsidR="00B8125E" w:rsidP="00CF626D">
      <w:pPr>
        <w:pStyle w:val="FootnoteText"/>
        <w:spacing w:after="120"/>
        <w:ind w:firstLine="720"/>
      </w:pPr>
      <w:r>
        <w:rPr>
          <w:rStyle w:val="FootnoteReference"/>
        </w:rPr>
        <w:footnoteRef/>
      </w:r>
      <w:r>
        <w:t xml:space="preserve"> Grob’s email to Beverly stated, </w:t>
      </w:r>
      <w:r w:rsidRPr="003B7D57">
        <w:t xml:space="preserve">“From our earlier discussions, I believe that the period of vacancy between Le Bordeaux and the preceding restaurant was less than three years and no CU is required, but I simply do not have documentation to prove it.  Any documentation you may have would be very helpful.” </w:t>
      </w:r>
    </w:p>
  </w:footnote>
  <w:footnote w:id="16">
    <w:p w:rsidR="00B8125E" w:rsidP="00CF626D">
      <w:pPr>
        <w:pStyle w:val="FootnoteText"/>
        <w:spacing w:after="120"/>
        <w:ind w:firstLine="720"/>
      </w:pPr>
      <w:r>
        <w:rPr>
          <w:rStyle w:val="FootnoteReference"/>
        </w:rPr>
        <w:footnoteRef/>
      </w:r>
      <w:r>
        <w:t xml:space="preserve"> </w:t>
      </w:r>
      <w:r w:rsidRPr="00095C41">
        <w:t xml:space="preserve">In her deposition, asked whether she had any reason to think a 2009 article was incorrect in stating that the space had been vacant “for years,” </w:t>
      </w:r>
      <w:r>
        <w:t>Beverly</w:t>
      </w:r>
      <w:r w:rsidRPr="00095C41">
        <w:t xml:space="preserve"> initially claimed she did not understand the question, then questioned what the author knew about </w:t>
      </w:r>
      <w:r>
        <w:t xml:space="preserve">the </w:t>
      </w:r>
      <w:r w:rsidRPr="00095C41">
        <w:t xml:space="preserve">situation and said she had “no idea,” then, after acknowledging she was sure it was vacant in 2009, said, “everybody has their own conception of years. . . . </w:t>
      </w:r>
      <w:r>
        <w:t xml:space="preserve"> </w:t>
      </w:r>
      <w:r w:rsidRPr="00095C41">
        <w:t>Some people think six months are years.  Some people think ten years are two years . . .</w:t>
      </w:r>
      <w:r>
        <w:t xml:space="preserve"> .</w:t>
      </w:r>
      <w:r w:rsidRPr="00095C41">
        <w:t xml:space="preserve">” </w:t>
      </w:r>
      <w:r>
        <w:t xml:space="preserve"> </w:t>
      </w:r>
    </w:p>
  </w:footnote>
  <w:footnote w:id="17">
    <w:p w:rsidR="00B8125E" w:rsidP="00CF626D">
      <w:pPr>
        <w:pStyle w:val="FootnoteText"/>
        <w:spacing w:after="120"/>
        <w:ind w:firstLine="720"/>
      </w:pPr>
      <w:r>
        <w:rPr>
          <w:rStyle w:val="FootnoteReference"/>
        </w:rPr>
        <w:footnoteRef/>
      </w:r>
      <w:r>
        <w:t xml:space="preserve"> The </w:t>
      </w:r>
      <w:r w:rsidRPr="00CA6E94">
        <w:t>2004</w:t>
      </w:r>
      <w:r>
        <w:t xml:space="preserve"> case involved</w:t>
      </w:r>
      <w:r w:rsidRPr="00CA6E94">
        <w:t xml:space="preserve"> a restaurant called Basta Pasta that closed in 2001.  Based on the facts that the restaurant furnishings and equipment had been kept in place and the business and property had been marketed as a unit, the </w:t>
      </w:r>
      <w:r>
        <w:t>zoning administrator</w:t>
      </w:r>
      <w:r w:rsidRPr="00CA6E94">
        <w:t xml:space="preserve"> determined that there had been a “generally consistent effort to operate the subject property as a restaurant” and the use had not been abandoned for purposes of the conditional use authorization.  The determination letter noted the “difficult economic conditions following the collapse of the dot com industry, and the ensuing loss of numerous restaurants throughout the city,” and stated that “[t]o consider a use abandoned because it was unable to be leased in light of consistent</w:t>
      </w:r>
      <w:r>
        <w:t xml:space="preserve"> </w:t>
      </w:r>
      <w:r w:rsidRPr="00CA6E94">
        <w:t xml:space="preserve">efforts to rent the space, would damage the </w:t>
      </w:r>
      <w:r>
        <w:t>c</w:t>
      </w:r>
      <w:r w:rsidRPr="00CA6E94">
        <w:t xml:space="preserve">ity’s ability to recover from economically troubled times.”  </w:t>
      </w:r>
    </w:p>
  </w:footnote>
  <w:footnote w:id="18">
    <w:p w:rsidR="00D47700" w:rsidP="00CF626D">
      <w:pPr>
        <w:pStyle w:val="FootnoteText"/>
        <w:spacing w:after="120"/>
        <w:ind w:firstLine="720"/>
      </w:pPr>
      <w:r>
        <w:rPr>
          <w:rStyle w:val="FootnoteReference"/>
        </w:rPr>
        <w:footnoteRef/>
      </w:r>
      <w:r>
        <w:t xml:space="preserve"> </w:t>
      </w:r>
      <w:r w:rsidRPr="00D47700">
        <w:t xml:space="preserve">Commercial </w:t>
      </w:r>
      <w:r>
        <w:t>R</w:t>
      </w:r>
      <w:r w:rsidRPr="00D47700">
        <w:t xml:space="preserve">eal </w:t>
      </w:r>
      <w:r>
        <w:t>E</w:t>
      </w:r>
      <w:r w:rsidRPr="00D47700">
        <w:t xml:space="preserve">state </w:t>
      </w:r>
      <w:r>
        <w:t>B</w:t>
      </w:r>
      <w:r w:rsidRPr="00D47700">
        <w:t xml:space="preserve">roker Steve Zimmerman, testifying for </w:t>
      </w:r>
      <w:r>
        <w:t>Beverly</w:t>
      </w:r>
      <w:r w:rsidRPr="00D47700">
        <w:t xml:space="preserve">, opined that Hong did not satisfy “the standard due diligence usually implemented by a buyer in a project such as this” and that Hong’s signing the lease on the day she had been told there would be no liquor license available “doesn’t seem like a very sound decision.”  He testified that the </w:t>
      </w:r>
      <w:r>
        <w:t>Zoning administrator</w:t>
      </w:r>
      <w:r w:rsidRPr="00D47700">
        <w:t xml:space="preserve">’s statement should have been a red flag that investigation was needed; he would have recommended a client obtain counsel from a permit attorney or </w:t>
      </w:r>
      <w:r>
        <w:t>D</w:t>
      </w:r>
      <w:r w:rsidRPr="00D47700">
        <w:t xml:space="preserve">ABC attorney; Hong should have hired her land use attorney before she signed the lease rather than afterward; and it was not reasonable for her to rely on the statements of her landlord or broker.  Given that there was an existing conditional use permit that had not been removed and a preexisting tenant who was allowed to open without a new conditional use permit, he did not think the landlord had an obligation to disclose more than these facts, because it would be logical for the owner to think the conditional use permit would still be valid.  He acknowledged that his analysis assumed there was no fraud or deceit by the landlord toward the tenant, but testified that such fraud or deceit would not change the requirement for the prospective tenant to do due diligence. </w:t>
      </w:r>
      <w:r>
        <w:t xml:space="preserve"> </w:t>
      </w:r>
    </w:p>
  </w:footnote>
  <w:footnote w:id="19">
    <w:p w:rsidR="00B8125E" w:rsidP="00CF626D">
      <w:pPr>
        <w:spacing w:after="120" w:line="240" w:lineRule="auto"/>
        <w:ind w:firstLine="720"/>
      </w:pPr>
      <w:r w:rsidRPr="18FA47F1">
        <w:rPr>
          <w:rStyle w:val="FootnoteReference"/>
        </w:rPr>
        <w:footnoteRef/>
      </w:r>
      <w:r>
        <w:t xml:space="preserve"> Counsel argued:  “Some of the statements you’ve seen on the board this afternoon, many of these statements happened after the lease was signed.  And you may be asking yourself, wait a second.  How could [Hong] be relying on statements made after the lease was signed when we’re alleging she was induced to sign the lease by way of these false statements?  Right?  [¶] Hong testified credibly that she did rely on false statements, orally, and she testified credibly that [Beverly] said the property was used continuously.  This is beyond the e-mails you looked at.  This is what she testified to hearing before, before she signs the lease.  [¶] Beverly said the property was used continuously without interruption.  Hong testified that Beverly said the property could be used as a full-service restaurant serving alcohol.  No problem.  Somewhat reminiscent of what Barak said.  He says to the tenants, ‘You can get a conditional use permit, not problem.’  [¶] Hong said Beverly advertised— the advertisement on Craigslist said it could be used as a full-service restaurant serving alcohol and that Beverly discussed Le Bordeaux and represented that Le Bordeaux had an alcohol license.  These are all the things [Hong] says was said to her before the lease was signed. . . .  The point of the later e-mails is just to show that this is how Beverly is talking.  It’s consistent that, if you make misrepresentations before the lease is signed, you continue to make those same misrepresentations after the lease is signed.  And because we don’t have perfect evidence of what happened before the lease is singed, we use the gestalt, the whole body of evidence together, to allow us to reasonably infer what happened here.  [¶] And even Beverly . . . admits that, prior to signing the lease, Hong asked extensively about the history of the building” and Beverly said, “There was nothing to disclose.  We disclosed everything.”  </w:t>
      </w:r>
    </w:p>
  </w:footnote>
  <w:footnote w:id="20">
    <w:p w:rsidR="00B8125E" w:rsidP="00CF626D">
      <w:pPr>
        <w:spacing w:after="120" w:line="240" w:lineRule="auto"/>
        <w:ind w:firstLine="720"/>
      </w:pPr>
      <w:r w:rsidRPr="18FA47F1">
        <w:rPr>
          <w:rStyle w:val="FootnoteReference"/>
        </w:rPr>
        <w:footnoteRef/>
      </w:r>
      <w:r>
        <w:t xml:space="preserve"> Beverly notes Hong’s testimony that when Barak showed her the property, they “didn’t really discuss a lot of things,” but she ignores what Hong testified they did discuss during this visit. </w:t>
      </w:r>
    </w:p>
  </w:footnote>
  <w:footnote w:id="21">
    <w:p w:rsidR="00B43BA3" w:rsidP="00B43BA3">
      <w:pPr>
        <w:pStyle w:val="FootnoteText"/>
        <w:spacing w:after="120"/>
        <w:ind w:firstLine="720"/>
      </w:pPr>
      <w:r w:rsidRPr="01E55874">
        <w:rPr>
          <w:rStyle w:val="FootnoteReference"/>
        </w:rPr>
        <w:footnoteRef/>
      </w:r>
      <w:r>
        <w:t xml:space="preserve"> Beverly maintains that the sole “relevant communication” from her to Hong prior to the lease signing was an email stating, “You should be able to get a type 41 liq. License (beer and wine) without a broker for a full service restaurant.”  Beverly maintains this was a statement of opinion rather than an actionable misrepresentation.  (</w:t>
      </w:r>
      <w:r w:rsidRPr="01E55874">
        <w:rPr>
          <w:i/>
          <w:iCs/>
        </w:rPr>
        <w:t xml:space="preserve">Tarmann v. State Farm Mut. Auto. Ins. Co. </w:t>
      </w:r>
      <w:r>
        <w:t xml:space="preserve">(1991) 2 Cal.App.4th 153, 158 [“ ‘[P]redictions as to future events, or statements as to future action by some third party, are deemed opinions, and not actionable fraud.’ ”].)  This is not one of the specific statements Hong relies upon as supporting the verdict.  It is worth noting, however, that in the context of this case it could reasonably be seen as further evidence that Beverly was attempting to obfuscate issues she knew existed with regard to the conditional use permit. </w:t>
      </w:r>
    </w:p>
  </w:footnote>
  <w:footnote w:id="22">
    <w:p w:rsidR="00B8125E" w:rsidP="00CF626D">
      <w:pPr>
        <w:pStyle w:val="FootnoteText"/>
        <w:spacing w:after="120"/>
        <w:ind w:firstLine="720"/>
      </w:pPr>
      <w:r w:rsidRPr="0C394ECD">
        <w:rPr>
          <w:rStyle w:val="FootnoteReference"/>
        </w:rPr>
        <w:footnoteRef/>
      </w:r>
      <w:r>
        <w:t xml:space="preserve"> Beverly testified that she was not sent the emails between the broker and Hong and first saw them during production of documents in the litigation.  She testified that Hong called her on August 14 about having reservations about the lease but did not mention the Department saying she would not get a license, only that Hong said she had “contacted some nonprofit organization and they had submitted it and then she got this email saying that it would be tough in North Beach.”  </w:t>
      </w:r>
    </w:p>
  </w:footnote>
  <w:footnote w:id="23">
    <w:p w:rsidR="00B8125E" w:rsidP="00CF626D">
      <w:pPr>
        <w:pStyle w:val="FootnoteText"/>
        <w:spacing w:after="120"/>
        <w:ind w:firstLine="720"/>
      </w:pPr>
      <w:r w:rsidRPr="0C394ECD">
        <w:rPr>
          <w:rStyle w:val="FootnoteReference"/>
        </w:rPr>
        <w:footnoteRef/>
      </w:r>
      <w:r>
        <w:t xml:space="preserve"> Beverly testified that there were two versions of this document because she added Le Bordeaux and its approval to update the summary, and the omission of the third page from the email to Hong was not intentional.  She denied failing to send it because the entries on page three would have suggested there was no activity at the property between 2003 and 2011.  </w:t>
      </w:r>
    </w:p>
  </w:footnote>
  <w:footnote w:id="24">
    <w:p w:rsidR="00B8125E" w:rsidP="00CF626D">
      <w:pPr>
        <w:pStyle w:val="FootnoteText"/>
        <w:spacing w:after="120"/>
        <w:ind w:firstLine="720"/>
      </w:pPr>
      <w:r w:rsidRPr="3D0A672E">
        <w:rPr>
          <w:rStyle w:val="FootnoteReference"/>
        </w:rPr>
        <w:footnoteRef/>
      </w:r>
      <w:r>
        <w:t xml:space="preserve"> Beverly suggests that the absence of misrepresentations before the lease was signed is demonstrated by correspondence from Hong’s attorney to the Department in March 2015 that made “clear that Hong’s reliance was ‘based entirely’ on the Planning Department’s statements and written approvals.”  Silverman’s letter to the Department argued that both Hong and Beverly would be irrevocably harmed by revocation of the conditional use approval and requested a public hearing if the Department was not going to honor the prior approval and DABC license Hong had obtained.  Hong was attempting, at that point, to resolve the problem by convincing the Department to change its position, a solution that would have been to Beverly’s benefit as well as Hong’s.  Beverly does not explain how Silverman’s statement in this context, or an email to similar effect, amounted to a binding declaration that no misrepresentations had been made by Beverly prior to execution of the lease.  </w:t>
      </w:r>
    </w:p>
  </w:footnote>
  <w:footnote w:id="25">
    <w:p w:rsidR="00B8125E" w:rsidP="00CF626D">
      <w:pPr>
        <w:pStyle w:val="FootnoteText"/>
        <w:spacing w:after="120"/>
        <w:ind w:firstLine="720"/>
      </w:pPr>
      <w:r w:rsidRPr="01E55874">
        <w:rPr>
          <w:rStyle w:val="FootnoteReference"/>
        </w:rPr>
        <w:footnoteRef/>
      </w:r>
      <w:r>
        <w:t xml:space="preserve"> Beverly points to the following provisions of the lease:</w:t>
      </w:r>
    </w:p>
    <w:p w:rsidR="00B8125E" w:rsidP="00CF626D">
      <w:pPr>
        <w:spacing w:after="120" w:line="240" w:lineRule="auto"/>
        <w:ind w:firstLine="720"/>
      </w:pPr>
      <w:r>
        <w:t xml:space="preserve">Paragraph 3A provides, “Lessee acknowledges that no warranties or representations have been made by Lessor or its agent regarding the fitness or suitability of the premises for the conduct of Lessee’s business, and Lessee has made its own independent investigation to determine the fitness and suitability of the premises for its use.”  </w:t>
      </w:r>
    </w:p>
    <w:p w:rsidR="00B8125E" w:rsidP="00CF626D">
      <w:pPr>
        <w:spacing w:after="120" w:line="240" w:lineRule="auto"/>
        <w:ind w:firstLine="720"/>
      </w:pPr>
      <w:r>
        <w:t xml:space="preserve">Paragraph 4B provides, “In consideration of Lessee’s intended tenant improvements which includes restoration and renovation of the premises . . . Lessor agrees that the Base Rent shall be abated during the first three (3) months of the term of the Lease; only if required to obtain necessary permits and licenses from State and City Agencies, and as consideration for time needed during the build-out and construction time, and to obtain final approval for a Beer and Wine On Sale License” from DABC.  This paragraph provides for an additional abatement period at the sole discretion of the lessor if after the first three months “the issue of a ‘On Sale Beer and Wine Liquor License’ has not been approved and has been delayed due to State and City Agencies, or the buildout process has been delayed due to State and City Agencies. . . .”  </w:t>
      </w:r>
    </w:p>
    <w:p w:rsidR="00B8125E" w:rsidP="00CF626D">
      <w:pPr>
        <w:spacing w:after="120" w:line="240" w:lineRule="auto"/>
        <w:ind w:firstLine="720"/>
      </w:pPr>
      <w:r>
        <w:t xml:space="preserve">Paragraph 5A provides for return of the remaining balance of the lessee’s security deposit if the lessee is “unable to obtain approval of issuance of a ‘On Sale Beer and Wine’ Liquor License to the Premises” from the DABC after good faith efforts to do so and “has elected to terminate the Lease and vacate the premises accordingly.”  </w:t>
      </w:r>
    </w:p>
    <w:p w:rsidR="00B8125E" w:rsidP="00CF626D">
      <w:pPr>
        <w:spacing w:after="120" w:line="240" w:lineRule="auto"/>
        <w:ind w:firstLine="720"/>
      </w:pPr>
      <w:r>
        <w:t xml:space="preserve">Paragraph 15A provides, “Lessee accepts the premises ‘AS IS’ and “Where is’ with any and all faults, in their present condition, including, but not limited to physical conditions of the premises; and zoning, planning, conditional uses, or other regulatory conditions that may effect the use of the Premises in any way; and any conditions within the neighborhood in which the Premises are located.  Lessee acknowledge and confirm that they have inspected and researched the Premises, and any potential issues or conditions, or had reasonable opportunity to do so, and have no claim whatsoever against Lessor or their representative for any claim related to the condition of the Premises, or their suitability for Lessee purposes.  Lessee expressly acknowledges that they have not relied upon representations as to the conditions of the Premises.”  </w:t>
      </w:r>
    </w:p>
    <w:p w:rsidR="00B8125E" w:rsidP="00CF626D">
      <w:pPr>
        <w:spacing w:after="120" w:line="240" w:lineRule="auto"/>
        <w:ind w:firstLine="720"/>
      </w:pPr>
      <w:r>
        <w:t xml:space="preserve">Paragraph 27 provides, “It is expressly agreed between Lessor and Lessee that there is no verbal understanding or agreement which in any way changes the terms, covenants and condition herein set forth, and that no modification of this lease and no waiver of any of its terms and conditions shall be effective unless made in writing and duly executed by the authorized officers of the necessary parties or party or directly by Lessor and Lessee.”  </w:t>
      </w:r>
    </w:p>
    <w:p w:rsidR="00B8125E" w:rsidP="00CF626D">
      <w:pPr>
        <w:pStyle w:val="FootnoteText"/>
        <w:spacing w:after="120"/>
        <w:ind w:firstLine="720"/>
      </w:pPr>
      <w:r>
        <w:t xml:space="preserve">Paragraph 28 provides, “Lessee acknowledges that they have received no representations or advice from Lessor or their representatives, and by execution below, each of the parties hereby acknowledges that all parties had reasonable opportunity to review this agreement with Legal Counsel, and or other advisors . . . Lessee is solely responsible and using due diligence in acceptance of all terms and conditions of the Lease.”  </w:t>
      </w:r>
    </w:p>
  </w:footnote>
  <w:footnote w:id="26">
    <w:p w:rsidR="00B8125E" w:rsidP="00CF626D">
      <w:pPr>
        <w:spacing w:after="120" w:line="240" w:lineRule="auto"/>
        <w:ind w:firstLine="720"/>
      </w:pPr>
      <w:r w:rsidRPr="0C394ECD">
        <w:rPr>
          <w:rStyle w:val="FootnoteReference"/>
        </w:rPr>
        <w:footnoteRef/>
      </w:r>
      <w:r>
        <w:t xml:space="preserve"> </w:t>
      </w:r>
      <w:r w:rsidRPr="0C394ECD">
        <w:rPr>
          <w:rFonts w:eastAsia="Times New Roman"/>
          <w:szCs w:val="26"/>
        </w:rPr>
        <w:t>Civil Code section 1688 provides, “</w:t>
      </w:r>
      <w:r>
        <w:rPr>
          <w:rFonts w:eastAsia="Times New Roman"/>
          <w:szCs w:val="26"/>
        </w:rPr>
        <w:t xml:space="preserve"> ‘a</w:t>
      </w:r>
      <w:r w:rsidRPr="0C394ECD">
        <w:rPr>
          <w:rFonts w:eastAsia="Times New Roman"/>
          <w:szCs w:val="26"/>
        </w:rPr>
        <w:t xml:space="preserve">ll contracts which have for their object, directly or indirectly, to exempt </w:t>
      </w:r>
      <w:r w:rsidRPr="000C4E2A">
        <w:rPr>
          <w:rFonts w:eastAsia="Times New Roman"/>
          <w:i/>
          <w:szCs w:val="26"/>
        </w:rPr>
        <w:t>anyone</w:t>
      </w:r>
      <w:r w:rsidRPr="0C394ECD">
        <w:rPr>
          <w:rFonts w:eastAsia="Times New Roman"/>
          <w:szCs w:val="26"/>
        </w:rPr>
        <w:t xml:space="preserve"> from responsibility for his own </w:t>
      </w:r>
      <w:r w:rsidRPr="00327471">
        <w:rPr>
          <w:rFonts w:eastAsia="Times New Roman"/>
          <w:i/>
          <w:szCs w:val="26"/>
        </w:rPr>
        <w:t>fraud</w:t>
      </w:r>
      <w:r w:rsidRPr="0C394ECD">
        <w:rPr>
          <w:rFonts w:eastAsia="Times New Roman"/>
          <w:szCs w:val="26"/>
        </w:rPr>
        <w:t>, or willful injury to the person or property of another, or violation of law, whether willful or negligent, are against the policy of the law.</w:t>
      </w:r>
      <w:r>
        <w:rPr>
          <w:rFonts w:eastAsia="Times New Roman"/>
          <w:szCs w:val="26"/>
        </w:rPr>
        <w:t xml:space="preserve">’ </w:t>
      </w:r>
      <w:r w:rsidRPr="0C394ECD">
        <w:rPr>
          <w:rFonts w:eastAsia="Times New Roman"/>
          <w:szCs w:val="26"/>
        </w:rPr>
        <w:t xml:space="preserve">” </w:t>
      </w:r>
      <w:r>
        <w:rPr>
          <w:rFonts w:eastAsia="Times New Roman"/>
          <w:szCs w:val="26"/>
        </w:rPr>
        <w:t xml:space="preserve"> (</w:t>
      </w:r>
      <w:r w:rsidRPr="000C4E2A">
        <w:rPr>
          <w:rFonts w:eastAsia="Times New Roman"/>
          <w:i/>
          <w:szCs w:val="26"/>
        </w:rPr>
        <w:t>Manderville, supra,</w:t>
      </w:r>
      <w:r>
        <w:rPr>
          <w:rFonts w:eastAsia="Times New Roman"/>
          <w:szCs w:val="26"/>
        </w:rPr>
        <w:t xml:space="preserve"> 106 Cal.App.4th at p. 1500.)</w:t>
      </w:r>
    </w:p>
  </w:footnote>
  <w:footnote w:id="27">
    <w:p w:rsidR="00B8125E" w:rsidP="00CF626D">
      <w:pPr>
        <w:pStyle w:val="FootnoteText"/>
        <w:spacing w:after="120"/>
        <w:ind w:firstLine="720"/>
      </w:pPr>
      <w:r w:rsidRPr="6EF9DD68">
        <w:rPr>
          <w:rStyle w:val="FootnoteReference"/>
        </w:rPr>
        <w:footnoteRef/>
      </w:r>
      <w:r>
        <w:t xml:space="preserve"> Beverly’s assertion that “there is no evidence in the record of any discussion of ‘transferring’ a license” ignores this testimony from Hong.  Beverly correctly points out that the zoning affidavit suggests Hong applied for a new license, as it indicates that the “type of license applied for” was “41” and makes no reference to any transfer.  Questioned about this at trial, Hong described her understanding that although every application was a “brand-new application,” she was “reregistering” an existing license rather than applying for a “new license.”  It was for the jury to evaluate Hong’s credibility on this point. </w:t>
      </w:r>
    </w:p>
  </w:footnote>
  <w:footnote w:id="28">
    <w:p w:rsidR="00B8125E" w:rsidP="00CF626D">
      <w:pPr>
        <w:spacing w:after="120" w:line="240" w:lineRule="auto"/>
        <w:ind w:firstLine="720"/>
        <w:rPr>
          <w:rFonts w:eastAsia="Times New Roman"/>
          <w:color w:val="000000" w:themeColor="text1"/>
          <w:szCs w:val="26"/>
        </w:rPr>
      </w:pPr>
      <w:r w:rsidRPr="3D0A672E">
        <w:rPr>
          <w:rStyle w:val="FootnoteReference"/>
          <w:rFonts w:eastAsia="Times New Roman"/>
          <w:szCs w:val="26"/>
        </w:rPr>
        <w:footnoteRef/>
      </w:r>
      <w:r w:rsidRPr="3D0A672E">
        <w:rPr>
          <w:rFonts w:eastAsia="Times New Roman"/>
          <w:szCs w:val="26"/>
        </w:rPr>
        <w:t xml:space="preserve"> </w:t>
      </w:r>
      <w:r>
        <w:rPr>
          <w:rFonts w:eastAsia="Times New Roman"/>
          <w:szCs w:val="26"/>
        </w:rPr>
        <w:t>Beverly’s</w:t>
      </w:r>
      <w:r w:rsidRPr="3D0A672E">
        <w:rPr>
          <w:rFonts w:eastAsia="Times New Roman"/>
          <w:szCs w:val="26"/>
        </w:rPr>
        <w:t xml:space="preserve"> reliance upon the </w:t>
      </w:r>
      <w:r>
        <w:rPr>
          <w:rFonts w:eastAsia="Times New Roman"/>
          <w:szCs w:val="26"/>
        </w:rPr>
        <w:t>“</w:t>
      </w:r>
      <w:r w:rsidRPr="3D0A672E">
        <w:rPr>
          <w:rFonts w:eastAsia="Times New Roman"/>
          <w:szCs w:val="26"/>
        </w:rPr>
        <w:t>as</w:t>
      </w:r>
      <w:r>
        <w:rPr>
          <w:rFonts w:eastAsia="Times New Roman"/>
          <w:szCs w:val="26"/>
        </w:rPr>
        <w:t xml:space="preserve"> </w:t>
      </w:r>
      <w:r w:rsidRPr="3D0A672E">
        <w:rPr>
          <w:rFonts w:eastAsia="Times New Roman"/>
          <w:szCs w:val="26"/>
        </w:rPr>
        <w:t xml:space="preserve">is” clause is also unpersuasive.  </w:t>
      </w:r>
      <w:r w:rsidRPr="3D0A672E">
        <w:rPr>
          <w:rFonts w:eastAsia="Times New Roman"/>
          <w:color w:val="000000" w:themeColor="text1"/>
          <w:szCs w:val="26"/>
        </w:rPr>
        <w:t xml:space="preserve">“ ‘[U]nder particular circumstances, the use of an </w:t>
      </w:r>
      <w:r>
        <w:rPr>
          <w:rFonts w:eastAsia="Times New Roman"/>
          <w:color w:val="000000" w:themeColor="text1"/>
          <w:szCs w:val="26"/>
        </w:rPr>
        <w:t>“</w:t>
      </w:r>
      <w:r w:rsidRPr="3D0A672E">
        <w:rPr>
          <w:rFonts w:eastAsia="Times New Roman"/>
          <w:color w:val="000000" w:themeColor="text1"/>
          <w:szCs w:val="26"/>
        </w:rPr>
        <w:t>as is</w:t>
      </w:r>
      <w:r>
        <w:rPr>
          <w:rFonts w:eastAsia="Times New Roman"/>
          <w:color w:val="000000" w:themeColor="text1"/>
          <w:szCs w:val="26"/>
        </w:rPr>
        <w:t>”</w:t>
      </w:r>
      <w:r w:rsidRPr="3D0A672E">
        <w:rPr>
          <w:rFonts w:eastAsia="Times New Roman"/>
          <w:color w:val="000000" w:themeColor="text1"/>
          <w:szCs w:val="26"/>
        </w:rPr>
        <w:t xml:space="preserve"> provision seems to convey the implication that the property is in some way defective and that the buyer must take it at his own risk. [Citations.] </w:t>
      </w:r>
      <w:r>
        <w:rPr>
          <w:rFonts w:eastAsia="Times New Roman"/>
          <w:color w:val="000000" w:themeColor="text1"/>
          <w:szCs w:val="26"/>
        </w:rPr>
        <w:t xml:space="preserve">. . . </w:t>
      </w:r>
      <w:r w:rsidRPr="3D0A672E">
        <w:rPr>
          <w:rFonts w:eastAsia="Times New Roman"/>
          <w:color w:val="000000" w:themeColor="text1"/>
          <w:szCs w:val="26"/>
        </w:rPr>
        <w:t xml:space="preserve"> [G]enerally speaking, such a provision means that the buyer takes the property in the condition visible to or observable by him.” </w:t>
      </w:r>
      <w:r>
        <w:rPr>
          <w:rFonts w:eastAsia="Times New Roman"/>
          <w:color w:val="000000" w:themeColor="text1"/>
          <w:szCs w:val="26"/>
        </w:rPr>
        <w:t xml:space="preserve"> </w:t>
      </w:r>
      <w:r w:rsidRPr="3D0A672E">
        <w:rPr>
          <w:rFonts w:eastAsia="Times New Roman"/>
          <w:color w:val="000000" w:themeColor="text1"/>
          <w:szCs w:val="26"/>
        </w:rPr>
        <w:t>(</w:t>
      </w:r>
      <w:r w:rsidRPr="3D0A672E">
        <w:rPr>
          <w:rFonts w:eastAsia="Times New Roman"/>
          <w:i/>
          <w:iCs/>
          <w:color w:val="000000" w:themeColor="text1"/>
          <w:szCs w:val="26"/>
        </w:rPr>
        <w:t xml:space="preserve">Hinesley, supra, </w:t>
      </w:r>
      <w:r w:rsidRPr="3D0A672E">
        <w:rPr>
          <w:rFonts w:eastAsia="Times New Roman"/>
          <w:color w:val="000000" w:themeColor="text1"/>
          <w:szCs w:val="26"/>
        </w:rPr>
        <w:t>135 Cal.App.4th at p. 301</w:t>
      </w:r>
      <w:r w:rsidRPr="00AA4A15">
        <w:rPr>
          <w:rFonts w:eastAsia="Times New Roman"/>
          <w:iCs/>
          <w:color w:val="000000" w:themeColor="text1"/>
          <w:szCs w:val="26"/>
        </w:rPr>
        <w:t>, quoting</w:t>
      </w:r>
      <w:r w:rsidRPr="3D0A672E">
        <w:rPr>
          <w:rFonts w:eastAsia="Times New Roman"/>
          <w:i/>
          <w:iCs/>
          <w:color w:val="000000" w:themeColor="text1"/>
          <w:szCs w:val="26"/>
        </w:rPr>
        <w:t xml:space="preserve"> Lingsch v. Savage </w:t>
      </w:r>
      <w:r w:rsidRPr="3D0A672E">
        <w:rPr>
          <w:rFonts w:eastAsia="Times New Roman"/>
          <w:color w:val="000000" w:themeColor="text1"/>
          <w:szCs w:val="26"/>
        </w:rPr>
        <w:t xml:space="preserve">(1963) 213 Cal.App.2d 729, 742.)  </w:t>
      </w:r>
      <w:r>
        <w:rPr>
          <w:rFonts w:eastAsia="Times New Roman"/>
          <w:color w:val="000000" w:themeColor="text1"/>
          <w:szCs w:val="26"/>
        </w:rPr>
        <w:t>“</w:t>
      </w:r>
      <w:r w:rsidRPr="3D0A672E">
        <w:rPr>
          <w:rFonts w:eastAsia="Times New Roman"/>
          <w:color w:val="000000" w:themeColor="text1"/>
          <w:szCs w:val="26"/>
        </w:rPr>
        <w:t xml:space="preserve">The </w:t>
      </w:r>
      <w:r>
        <w:rPr>
          <w:rFonts w:eastAsia="Times New Roman"/>
          <w:color w:val="000000" w:themeColor="text1"/>
          <w:szCs w:val="26"/>
        </w:rPr>
        <w:t>‘</w:t>
      </w:r>
      <w:r w:rsidRPr="3D0A672E">
        <w:rPr>
          <w:rFonts w:eastAsia="Times New Roman"/>
          <w:color w:val="000000" w:themeColor="text1"/>
          <w:szCs w:val="26"/>
        </w:rPr>
        <w:t>as is</w:t>
      </w:r>
      <w:r>
        <w:rPr>
          <w:rFonts w:eastAsia="Times New Roman"/>
          <w:color w:val="000000" w:themeColor="text1"/>
          <w:szCs w:val="26"/>
        </w:rPr>
        <w:t>’</w:t>
      </w:r>
      <w:r w:rsidRPr="3D0A672E">
        <w:rPr>
          <w:rFonts w:eastAsia="Times New Roman"/>
          <w:color w:val="000000" w:themeColor="text1"/>
          <w:szCs w:val="26"/>
        </w:rPr>
        <w:t xml:space="preserve"> clause would be effective as to such observable conditions, but ineffective as to conditions that were not.“  (</w:t>
      </w:r>
      <w:r>
        <w:rPr>
          <w:rFonts w:eastAsia="Times New Roman"/>
          <w:i/>
          <w:iCs/>
          <w:color w:val="000000" w:themeColor="text1"/>
          <w:szCs w:val="26"/>
        </w:rPr>
        <w:t>Hinesely</w:t>
      </w:r>
      <w:r w:rsidRPr="00A9317E">
        <w:rPr>
          <w:rFonts w:eastAsia="Times New Roman"/>
          <w:iCs/>
          <w:color w:val="000000" w:themeColor="text1"/>
          <w:szCs w:val="26"/>
        </w:rPr>
        <w:t>, at p. 301</w:t>
      </w:r>
      <w:r w:rsidRPr="3D0A672E">
        <w:rPr>
          <w:rFonts w:eastAsia="Times New Roman"/>
          <w:i/>
          <w:iCs/>
          <w:color w:val="000000" w:themeColor="text1"/>
          <w:szCs w:val="26"/>
        </w:rPr>
        <w:t>.</w:t>
      </w:r>
      <w:r w:rsidRPr="3D0A672E">
        <w:rPr>
          <w:rFonts w:eastAsia="Times New Roman"/>
          <w:color w:val="000000" w:themeColor="text1"/>
          <w:szCs w:val="26"/>
        </w:rPr>
        <w:t xml:space="preserve">)  The critical facts here were not </w:t>
      </w:r>
      <w:r>
        <w:rPr>
          <w:rFonts w:eastAsia="Times New Roman"/>
          <w:color w:val="000000" w:themeColor="text1"/>
          <w:szCs w:val="26"/>
        </w:rPr>
        <w:t>“</w:t>
      </w:r>
      <w:r w:rsidRPr="3D0A672E">
        <w:rPr>
          <w:rFonts w:eastAsia="Times New Roman"/>
          <w:color w:val="000000" w:themeColor="text1"/>
          <w:szCs w:val="26"/>
        </w:rPr>
        <w:t xml:space="preserve">observable” in any meaningful sense. </w:t>
      </w:r>
    </w:p>
  </w:footnote>
  <w:footnote w:id="29">
    <w:p w:rsidR="00B8125E" w:rsidP="00CF626D">
      <w:pPr>
        <w:pStyle w:val="FootnoteText"/>
        <w:spacing w:after="120"/>
        <w:ind w:firstLine="720"/>
      </w:pPr>
      <w:r w:rsidRPr="6EF9DD68">
        <w:rPr>
          <w:rStyle w:val="FootnoteReference"/>
        </w:rPr>
        <w:footnoteRef/>
      </w:r>
      <w:r>
        <w:t xml:space="preserve"> Hong notes Barak’s response, when asked by a juror whether they would have informed the Department of the problem if the Department had concluded there was no vacancy issue after The Field because it believed The Field occupied the space until the end of its lease:  “I don’t know that we would have stepped up and said, ‘Hey, you made a mistake.’ ”  While testimony could be taken as indicating at least a willingness to benefit from the Department’s error, this is not the only interpretation; the witness explained that it was not the Smuchas’ responsibility to be “watchdogs” over the city’s process and they would have thought the decision was purposeful, based on the circumstances of the particular case.  </w:t>
      </w:r>
    </w:p>
  </w:footnote>
  <w:footnote w:id="30">
    <w:p w:rsidR="00B8125E" w:rsidP="00CF626D">
      <w:pPr>
        <w:pStyle w:val="FootnoteText"/>
        <w:spacing w:after="120"/>
        <w:ind w:firstLine="720"/>
      </w:pPr>
      <w:r w:rsidRPr="769570E9">
        <w:rPr>
          <w:rStyle w:val="FootnoteReference"/>
        </w:rPr>
        <w:footnoteRef/>
      </w:r>
      <w:r>
        <w:t xml:space="preserve"> Beverly challenges the argument made by Hong’s trial counsel that Beverly prevented Hong from speaking with Garland by refusing to forward Garland’s contact information to Hong, thereby preventing Hong from discovering the true facts.  In fact, Garland testified that she did not try to contact Hong because she was focused on informing the Department of its mistake and the need for a conditional use permit.  That this one aspect of Hong’s concealment argument was not supported does not undermine the jury’s determination.</w:t>
      </w:r>
    </w:p>
  </w:footnote>
  <w:footnote w:id="31">
    <w:p w:rsidR="00B8125E" w:rsidP="00CF626D">
      <w:pPr>
        <w:spacing w:after="120" w:line="240" w:lineRule="auto"/>
        <w:rPr>
          <w:rFonts w:eastAsia="Times New Roman"/>
          <w:color w:val="000000" w:themeColor="text1"/>
          <w:szCs w:val="26"/>
        </w:rPr>
      </w:pPr>
      <w:r>
        <w:rPr>
          <w:rFonts w:eastAsia="Times New Roman"/>
          <w:szCs w:val="26"/>
        </w:rPr>
        <w:tab/>
      </w:r>
      <w:r w:rsidRPr="01F9D86E">
        <w:rPr>
          <w:rStyle w:val="FootnoteReference"/>
          <w:rFonts w:eastAsia="Times New Roman"/>
          <w:szCs w:val="26"/>
        </w:rPr>
        <w:footnoteRef/>
      </w:r>
      <w:r w:rsidRPr="01F9D86E">
        <w:rPr>
          <w:rFonts w:eastAsia="Times New Roman"/>
          <w:szCs w:val="26"/>
        </w:rPr>
        <w:t xml:space="preserve"> Citing </w:t>
      </w:r>
      <w:r w:rsidRPr="01F9D86E">
        <w:rPr>
          <w:rFonts w:eastAsia="Times New Roman"/>
          <w:i/>
          <w:iCs/>
          <w:szCs w:val="26"/>
        </w:rPr>
        <w:t xml:space="preserve">Arntz Contracting Co. v. St. Paul Fire &amp; Marine Ins. Co. </w:t>
      </w:r>
      <w:r w:rsidRPr="01F9D86E">
        <w:rPr>
          <w:rFonts w:eastAsia="Times New Roman"/>
          <w:szCs w:val="26"/>
        </w:rPr>
        <w:t>(1996) 47 Cal.App.</w:t>
      </w:r>
      <w:r>
        <w:rPr>
          <w:rFonts w:eastAsia="Times New Roman"/>
          <w:szCs w:val="26"/>
        </w:rPr>
        <w:t xml:space="preserve">4th </w:t>
      </w:r>
      <w:r w:rsidRPr="01F9D86E">
        <w:rPr>
          <w:rFonts w:eastAsia="Times New Roman"/>
          <w:szCs w:val="26"/>
        </w:rPr>
        <w:t xml:space="preserve">464, 476, </w:t>
      </w:r>
      <w:r>
        <w:rPr>
          <w:rFonts w:eastAsia="Times New Roman"/>
          <w:szCs w:val="26"/>
        </w:rPr>
        <w:t>Beverly</w:t>
      </w:r>
      <w:r w:rsidRPr="01F9D86E">
        <w:rPr>
          <w:rFonts w:eastAsia="Times New Roman"/>
          <w:szCs w:val="26"/>
        </w:rPr>
        <w:t xml:space="preserve"> argue</w:t>
      </w:r>
      <w:r>
        <w:rPr>
          <w:rFonts w:eastAsia="Times New Roman"/>
          <w:szCs w:val="26"/>
        </w:rPr>
        <w:t>s</w:t>
      </w:r>
      <w:r w:rsidRPr="01F9D86E">
        <w:rPr>
          <w:rFonts w:eastAsia="Times New Roman"/>
          <w:szCs w:val="26"/>
        </w:rPr>
        <w:t xml:space="preserve"> the verdict cannot be supported on the basis of evidence of concealment because this theory was not presented to the jury, and claims of sufficiency of the evidence must be analyzed based on the theories of liability presented in the jury instructions.  As indicated above, the jury instructions directed that </w:t>
      </w:r>
      <w:r>
        <w:rPr>
          <w:rFonts w:eastAsia="Times New Roman"/>
          <w:szCs w:val="26"/>
        </w:rPr>
        <w:t>Hong</w:t>
      </w:r>
      <w:r w:rsidRPr="01F9D86E">
        <w:rPr>
          <w:rFonts w:eastAsia="Times New Roman"/>
          <w:szCs w:val="26"/>
        </w:rPr>
        <w:t xml:space="preserve"> had to prove </w:t>
      </w:r>
      <w:r>
        <w:rPr>
          <w:rFonts w:eastAsia="Times New Roman"/>
          <w:szCs w:val="26"/>
        </w:rPr>
        <w:t>Beverly</w:t>
      </w:r>
      <w:r w:rsidRPr="01F9D86E">
        <w:rPr>
          <w:rFonts w:eastAsia="Times New Roman"/>
          <w:szCs w:val="26"/>
        </w:rPr>
        <w:t xml:space="preserve"> “unfairly interfered with ENA North Beach’s right to receive the benefits of the contract.”  It was counsel’s argument that focused on the theory that this element was shown by misrepresentations interfering with the right to early termination.  </w:t>
      </w:r>
      <w:r w:rsidRPr="01F9D86E">
        <w:rPr>
          <w:rFonts w:eastAsia="Times New Roman"/>
          <w:i/>
          <w:iCs/>
          <w:szCs w:val="26"/>
        </w:rPr>
        <w:t xml:space="preserve">Arntz, </w:t>
      </w:r>
      <w:r w:rsidRPr="01F9D86E">
        <w:rPr>
          <w:rFonts w:eastAsia="Times New Roman"/>
          <w:szCs w:val="26"/>
        </w:rPr>
        <w:t xml:space="preserve">like other cases standing for the same proposition (e.g., </w:t>
      </w:r>
      <w:r w:rsidRPr="01F9D86E">
        <w:rPr>
          <w:rFonts w:eastAsia="Times New Roman"/>
          <w:i/>
          <w:iCs/>
          <w:color w:val="000000" w:themeColor="text1"/>
          <w:szCs w:val="26"/>
        </w:rPr>
        <w:t>Bullock v. Philip Morris USA, Inc.</w:t>
      </w:r>
      <w:r w:rsidRPr="01F9D86E">
        <w:rPr>
          <w:rFonts w:eastAsia="Times New Roman"/>
          <w:color w:val="000000" w:themeColor="text1"/>
          <w:szCs w:val="26"/>
        </w:rPr>
        <w:t xml:space="preserve"> (2008) 159 Cal.App.4th 655, 674–675; </w:t>
      </w:r>
      <w:r w:rsidRPr="01F9D86E">
        <w:rPr>
          <w:rFonts w:eastAsia="Times New Roman"/>
          <w:i/>
          <w:iCs/>
          <w:color w:val="000000" w:themeColor="text1"/>
          <w:szCs w:val="26"/>
        </w:rPr>
        <w:t>Faigin v. Signature Group Holdings, Inc.</w:t>
      </w:r>
      <w:r w:rsidRPr="01F9D86E">
        <w:rPr>
          <w:rFonts w:eastAsia="Times New Roman"/>
          <w:color w:val="000000" w:themeColor="text1"/>
          <w:szCs w:val="26"/>
        </w:rPr>
        <w:t xml:space="preserve"> (2012) 211 Cal.App.4th 726, 737)</w:t>
      </w:r>
      <w:r w:rsidRPr="01F9D86E">
        <w:rPr>
          <w:rFonts w:eastAsia="Times New Roman"/>
          <w:i/>
          <w:iCs/>
          <w:szCs w:val="26"/>
        </w:rPr>
        <w:t xml:space="preserve"> </w:t>
      </w:r>
      <w:r w:rsidRPr="01F9D86E">
        <w:rPr>
          <w:rFonts w:eastAsia="Times New Roman"/>
          <w:szCs w:val="26"/>
        </w:rPr>
        <w:t xml:space="preserve">was concerned </w:t>
      </w:r>
      <w:r>
        <w:rPr>
          <w:rFonts w:eastAsia="Times New Roman"/>
          <w:szCs w:val="26"/>
        </w:rPr>
        <w:t>with parties</w:t>
      </w:r>
      <w:r w:rsidRPr="01F9D86E">
        <w:rPr>
          <w:rFonts w:eastAsia="Times New Roman"/>
          <w:szCs w:val="26"/>
        </w:rPr>
        <w:t xml:space="preserve"> attempting to obtain reversal of a jury verdict based on rule of law that had not been presented to the jury, not, as here, a different factual predicate for the legal theory upon which the jury was instructed.  </w:t>
      </w:r>
    </w:p>
  </w:footnote>
  <w:footnote w:id="32">
    <w:p w:rsidR="00B8125E" w:rsidRPr="005E0D96" w:rsidP="00CF626D">
      <w:pPr>
        <w:pStyle w:val="FootnoteText"/>
        <w:spacing w:after="120"/>
        <w:ind w:firstLine="720"/>
        <w:rPr>
          <w:rFonts w:eastAsia="Helvetica"/>
          <w:bCs/>
          <w:color w:val="000000" w:themeColor="text1"/>
          <w:szCs w:val="26"/>
        </w:rPr>
      </w:pPr>
      <w:r w:rsidRPr="01F9D86E">
        <w:rPr>
          <w:rStyle w:val="FootnoteReference"/>
        </w:rPr>
        <w:footnoteRef/>
      </w:r>
      <w:r>
        <w:t xml:space="preserve"> </w:t>
      </w:r>
      <w:r w:rsidRPr="00793133">
        <w:rPr>
          <w:rFonts w:eastAsia="Source Sans Pro"/>
          <w:color w:val="000000" w:themeColor="text1"/>
          <w:szCs w:val="26"/>
        </w:rPr>
        <w:t xml:space="preserve">These include, for example, </w:t>
      </w:r>
      <w:r>
        <w:rPr>
          <w:rFonts w:eastAsia="Source Sans Pro"/>
          <w:color w:val="000000" w:themeColor="text1"/>
          <w:szCs w:val="26"/>
        </w:rPr>
        <w:t>Beverly</w:t>
      </w:r>
      <w:r w:rsidRPr="00793133">
        <w:rPr>
          <w:rFonts w:eastAsia="Source Sans Pro"/>
          <w:color w:val="000000" w:themeColor="text1"/>
          <w:szCs w:val="26"/>
        </w:rPr>
        <w:t xml:space="preserve"> telling Hong’s attorney that The Field left at the end of its lease in 2008, that she thought the </w:t>
      </w:r>
      <w:r>
        <w:rPr>
          <w:rFonts w:eastAsia="Source Sans Pro"/>
          <w:color w:val="000000" w:themeColor="text1"/>
          <w:szCs w:val="26"/>
        </w:rPr>
        <w:t>zoning administrator</w:t>
      </w:r>
      <w:r w:rsidRPr="00793133">
        <w:rPr>
          <w:rFonts w:eastAsia="Source Sans Pro"/>
          <w:color w:val="000000" w:themeColor="text1"/>
          <w:szCs w:val="26"/>
        </w:rPr>
        <w:t xml:space="preserve"> was mistaken in stating that The Field’s liquor license was cancelled in 2004, and signing the declaration stating</w:t>
      </w:r>
      <w:r>
        <w:rPr>
          <w:rFonts w:eastAsia="Source Sans Pro"/>
          <w:color w:val="000000" w:themeColor="text1"/>
          <w:szCs w:val="26"/>
        </w:rPr>
        <w:t>—</w:t>
      </w:r>
      <w:r w:rsidRPr="00793133">
        <w:rPr>
          <w:rFonts w:eastAsia="Source Sans Pro"/>
          <w:color w:val="000000" w:themeColor="text1"/>
          <w:szCs w:val="26"/>
        </w:rPr>
        <w:t>misleadingly, under the circumstances</w:t>
      </w:r>
      <w:r>
        <w:rPr>
          <w:rFonts w:eastAsia="Source Sans Pro"/>
          <w:color w:val="000000" w:themeColor="text1"/>
          <w:szCs w:val="26"/>
        </w:rPr>
        <w:t>—</w:t>
      </w:r>
      <w:r w:rsidRPr="00793133">
        <w:rPr>
          <w:rFonts w:eastAsia="Source Sans Pro"/>
          <w:color w:val="000000" w:themeColor="text1"/>
          <w:szCs w:val="26"/>
        </w:rPr>
        <w:t>that the premises had been used “continuously” as a full</w:t>
      </w:r>
      <w:r>
        <w:rPr>
          <w:rFonts w:eastAsia="Source Sans Pro"/>
          <w:color w:val="000000" w:themeColor="text1"/>
          <w:szCs w:val="26"/>
        </w:rPr>
        <w:t>-</w:t>
      </w:r>
      <w:r w:rsidRPr="00793133">
        <w:rPr>
          <w:rFonts w:eastAsia="Source Sans Pro"/>
          <w:color w:val="000000" w:themeColor="text1"/>
          <w:szCs w:val="26"/>
        </w:rPr>
        <w:t>service restaurant and bar since the conditional use authorization was obtained in 1998</w:t>
      </w:r>
      <w:r>
        <w:rPr>
          <w:rFonts w:eastAsia="Source Sans Pro"/>
          <w:color w:val="000000" w:themeColor="text1"/>
          <w:szCs w:val="26"/>
        </w:rPr>
        <w:t>,</w:t>
      </w:r>
      <w:r w:rsidRPr="00793133">
        <w:rPr>
          <w:rFonts w:eastAsia="Source Sans Pro"/>
          <w:color w:val="000000" w:themeColor="text1"/>
          <w:szCs w:val="26"/>
        </w:rPr>
        <w:t xml:space="preserve"> and that The Field was the lessee under a lease agreement “that was in effect from August 26, 1998, to August 31, 1998.”  A January 2015 email from planner Grub to </w:t>
      </w:r>
      <w:r>
        <w:rPr>
          <w:rFonts w:eastAsia="Source Sans Pro"/>
          <w:color w:val="000000" w:themeColor="text1"/>
          <w:szCs w:val="26"/>
        </w:rPr>
        <w:t>Beverly</w:t>
      </w:r>
      <w:r w:rsidRPr="00793133">
        <w:rPr>
          <w:rFonts w:eastAsia="Source Sans Pro"/>
          <w:color w:val="000000" w:themeColor="text1"/>
          <w:szCs w:val="26"/>
        </w:rPr>
        <w:t xml:space="preserve"> suggests that </w:t>
      </w:r>
      <w:r>
        <w:rPr>
          <w:rFonts w:eastAsia="Source Sans Pro"/>
          <w:color w:val="000000" w:themeColor="text1"/>
          <w:szCs w:val="26"/>
        </w:rPr>
        <w:t>Beverly</w:t>
      </w:r>
      <w:r w:rsidRPr="00793133">
        <w:rPr>
          <w:rFonts w:eastAsia="Source Sans Pro"/>
          <w:color w:val="000000" w:themeColor="text1"/>
          <w:szCs w:val="26"/>
        </w:rPr>
        <w:t xml:space="preserve"> told Grub the vacancy after The Field was not more than three years:  “F</w:t>
      </w:r>
      <w:r w:rsidRPr="00793133">
        <w:rPr>
          <w:rFonts w:eastAsia="Helvetica"/>
          <w:color w:val="000000" w:themeColor="text1"/>
          <w:szCs w:val="26"/>
        </w:rPr>
        <w:t xml:space="preserve">rom our earlier discussions, I believe that the period of vacancy between Le Bordeaux and the preceding restaurant was less than three years and no CU is required, but I simply do not have documentation to prove it. </w:t>
      </w:r>
      <w:r>
        <w:rPr>
          <w:rFonts w:eastAsia="Helvetica"/>
          <w:color w:val="000000" w:themeColor="text1"/>
          <w:szCs w:val="26"/>
        </w:rPr>
        <w:t xml:space="preserve"> </w:t>
      </w:r>
      <w:r w:rsidRPr="00793133">
        <w:rPr>
          <w:rFonts w:eastAsia="Helvetica"/>
          <w:color w:val="000000" w:themeColor="text1"/>
          <w:szCs w:val="26"/>
        </w:rPr>
        <w:t>Any documentation you may have would be very helpful.”  In March 2015</w:t>
      </w:r>
      <w:r>
        <w:rPr>
          <w:rFonts w:eastAsia="Helvetica"/>
          <w:color w:val="000000" w:themeColor="text1"/>
          <w:szCs w:val="26"/>
        </w:rPr>
        <w:t>,</w:t>
      </w:r>
      <w:r w:rsidRPr="00793133">
        <w:rPr>
          <w:rFonts w:eastAsia="Helvetica"/>
          <w:color w:val="000000" w:themeColor="text1"/>
          <w:szCs w:val="26"/>
        </w:rPr>
        <w:t xml:space="preserve"> </w:t>
      </w:r>
      <w:r>
        <w:rPr>
          <w:rFonts w:eastAsia="Helvetica"/>
          <w:color w:val="000000" w:themeColor="text1"/>
          <w:szCs w:val="26"/>
        </w:rPr>
        <w:t>Beverly</w:t>
      </w:r>
      <w:r w:rsidRPr="00793133">
        <w:rPr>
          <w:rFonts w:eastAsia="Helvetica"/>
          <w:color w:val="000000" w:themeColor="text1"/>
          <w:szCs w:val="26"/>
        </w:rPr>
        <w:t xml:space="preserve"> continued to tell Hong there had “always” been a liquor license and a full</w:t>
      </w:r>
      <w:r>
        <w:rPr>
          <w:rFonts w:eastAsia="Helvetica"/>
          <w:color w:val="000000" w:themeColor="text1"/>
          <w:szCs w:val="26"/>
        </w:rPr>
        <w:t>-</w:t>
      </w:r>
      <w:r w:rsidRPr="00793133">
        <w:rPr>
          <w:rFonts w:eastAsia="Helvetica"/>
          <w:color w:val="000000" w:themeColor="text1"/>
          <w:szCs w:val="26"/>
        </w:rPr>
        <w:t xml:space="preserve">service restaurant on the premises without mention of the vacancy issue.  </w:t>
      </w:r>
      <w:r>
        <w:rPr>
          <w:rFonts w:eastAsia="Helvetica"/>
          <w:color w:val="000000" w:themeColor="text1"/>
          <w:szCs w:val="26"/>
        </w:rPr>
        <w:t>Beverly</w:t>
      </w:r>
      <w:r w:rsidRPr="00793133">
        <w:rPr>
          <w:rFonts w:eastAsia="Helvetica"/>
          <w:color w:val="000000" w:themeColor="text1"/>
          <w:szCs w:val="26"/>
        </w:rPr>
        <w:t xml:space="preserve"> also told Hong’s attorney that a full</w:t>
      </w:r>
      <w:r>
        <w:rPr>
          <w:rFonts w:eastAsia="Helvetica"/>
          <w:color w:val="000000" w:themeColor="text1"/>
          <w:szCs w:val="26"/>
        </w:rPr>
        <w:t>-</w:t>
      </w:r>
      <w:r w:rsidRPr="00793133">
        <w:rPr>
          <w:rFonts w:eastAsia="Helvetica"/>
          <w:color w:val="000000" w:themeColor="text1"/>
          <w:szCs w:val="26"/>
        </w:rPr>
        <w:t xml:space="preserve">service restaurant had operated there continuously.  </w:t>
      </w:r>
      <w:r>
        <w:rPr>
          <w:rFonts w:eastAsia="Helvetica"/>
          <w:color w:val="000000" w:themeColor="text1"/>
          <w:szCs w:val="26"/>
        </w:rPr>
        <w:t>Beverly</w:t>
      </w:r>
      <w:r w:rsidRPr="00793133">
        <w:rPr>
          <w:rFonts w:eastAsia="Helvetica"/>
          <w:color w:val="000000" w:themeColor="text1"/>
          <w:szCs w:val="26"/>
        </w:rPr>
        <w:t xml:space="preserve"> told Hong’s attorney that since obtaining the conditional use permit in 1998, the premises had been consistently occupied by The Field and Le Bordeaux, except for “a short time when there was catering in there for film productions.” </w:t>
      </w:r>
    </w:p>
  </w:footnote>
  <w:footnote w:id="33">
    <w:p w:rsidR="00B8125E" w:rsidP="00CF626D">
      <w:pPr>
        <w:spacing w:after="120" w:line="240" w:lineRule="auto"/>
        <w:ind w:firstLine="720"/>
        <w:rPr>
          <w:rFonts w:eastAsia="Times New Roman"/>
        </w:rPr>
      </w:pPr>
      <w:r w:rsidRPr="01F9D86E">
        <w:rPr>
          <w:rStyle w:val="FootnoteReference"/>
        </w:rPr>
        <w:footnoteRef/>
      </w:r>
      <w:r>
        <w:t xml:space="preserve"> </w:t>
      </w:r>
      <w:r>
        <w:rPr>
          <w:rFonts w:eastAsia="Times New Roman"/>
        </w:rPr>
        <w:t>Beverly</w:t>
      </w:r>
      <w:r w:rsidRPr="01F9D86E">
        <w:rPr>
          <w:rFonts w:eastAsia="Times New Roman"/>
        </w:rPr>
        <w:t xml:space="preserve"> assert</w:t>
      </w:r>
      <w:r>
        <w:rPr>
          <w:rFonts w:eastAsia="Times New Roman"/>
        </w:rPr>
        <w:t>s</w:t>
      </w:r>
      <w:r w:rsidRPr="01F9D86E">
        <w:rPr>
          <w:rFonts w:eastAsia="Times New Roman"/>
        </w:rPr>
        <w:t xml:space="preserve"> that because there was no substantial evidence to support the verdicts, “[a] fortiori there was no substantial evidence (much less clear and convincing evidence) to support the finding of malice, oppression, or fraud.”  </w:t>
      </w:r>
      <w:r>
        <w:rPr>
          <w:rFonts w:eastAsia="Times New Roman"/>
        </w:rPr>
        <w:t>She</w:t>
      </w:r>
      <w:r w:rsidRPr="01F9D86E">
        <w:rPr>
          <w:rFonts w:eastAsia="Times New Roman"/>
        </w:rPr>
        <w:t xml:space="preserve"> present</w:t>
      </w:r>
      <w:r>
        <w:rPr>
          <w:rFonts w:eastAsia="Times New Roman"/>
        </w:rPr>
        <w:t>s</w:t>
      </w:r>
      <w:r w:rsidRPr="01F9D86E">
        <w:rPr>
          <w:rFonts w:eastAsia="Times New Roman"/>
        </w:rPr>
        <w:t xml:space="preserve"> no argument that even if the evidence was sufficient to support the verdict for purposes of liability and compensatory damages, it was insufficient to meet the higher threshold required for punitive damages. </w:t>
      </w:r>
      <w:r>
        <w:rPr>
          <w:rFonts w:eastAsia="Times New Roman"/>
        </w:rPr>
        <w:t xml:space="preserve"> </w:t>
      </w:r>
      <w:r w:rsidRPr="01F9D86E">
        <w:rPr>
          <w:rFonts w:eastAsia="Times New Roman"/>
        </w:rPr>
        <w:t xml:space="preserve">Accordingly, </w:t>
      </w:r>
      <w:r>
        <w:rPr>
          <w:rFonts w:eastAsia="Times New Roman"/>
        </w:rPr>
        <w:t xml:space="preserve">such argument has been </w:t>
      </w:r>
      <w:r w:rsidRPr="01F9D86E">
        <w:rPr>
          <w:rFonts w:eastAsia="Times New Roman"/>
        </w:rPr>
        <w:t xml:space="preserve">forfeited </w:t>
      </w:r>
      <w:r>
        <w:rPr>
          <w:rFonts w:eastAsia="Times New Roman"/>
        </w:rPr>
        <w:t>and we need not address the sufficiency of the evidence to support this finding.</w:t>
      </w:r>
      <w:r w:rsidRPr="01F9D86E">
        <w:rPr>
          <w:rFonts w:eastAsia="Times New Roman"/>
        </w:rPr>
        <w:t xml:space="preserve">  </w:t>
      </w:r>
    </w:p>
  </w:footnote>
  <w:footnote w:id="34">
    <w:p w:rsidR="00B8125E" w:rsidP="00CF626D">
      <w:pPr>
        <w:pStyle w:val="FootnoteText"/>
        <w:spacing w:after="120"/>
        <w:ind w:firstLine="720"/>
      </w:pPr>
      <w:r>
        <w:rPr>
          <w:rStyle w:val="FootnoteReference"/>
        </w:rPr>
        <w:footnoteRef/>
      </w:r>
      <w:r>
        <w:t xml:space="preserve"> Further statutory references will be to the Code of Civil Procedure unless otherwise specified. </w:t>
      </w:r>
    </w:p>
  </w:footnote>
  <w:footnote w:id="35">
    <w:p w:rsidR="00B8125E" w:rsidRPr="00C64120" w:rsidP="00CF626D">
      <w:pPr>
        <w:spacing w:after="120" w:line="240" w:lineRule="auto"/>
        <w:ind w:firstLine="720"/>
        <w:rPr>
          <w:szCs w:val="26"/>
        </w:rPr>
      </w:pPr>
      <w:r w:rsidRPr="46EE9BE5">
        <w:rPr>
          <w:rStyle w:val="FootnoteReference"/>
        </w:rPr>
        <w:footnoteRef/>
      </w:r>
      <w:r>
        <w:t xml:space="preserve"> </w:t>
      </w:r>
      <w:r w:rsidRPr="00C64120">
        <w:rPr>
          <w:szCs w:val="26"/>
        </w:rPr>
        <w:t xml:space="preserve">A new trial may be granted on grounds of excessive damages only if </w:t>
      </w:r>
      <w:r>
        <w:rPr>
          <w:szCs w:val="26"/>
        </w:rPr>
        <w:t>“</w:t>
      </w:r>
      <w:r w:rsidRPr="00C64120">
        <w:rPr>
          <w:szCs w:val="26"/>
        </w:rPr>
        <w:t xml:space="preserve">after weighing the evidence the court is convinced from the entire record, including reasonable inferences therefrom, that the court or jury clearly should have reached a different verdict or decision.”  (§ 657.)  </w:t>
      </w:r>
      <w:r>
        <w:rPr>
          <w:szCs w:val="26"/>
        </w:rPr>
        <w:t>“</w:t>
      </w:r>
      <w:r w:rsidRPr="00C64120">
        <w:rPr>
          <w:rFonts w:eastAsia="Source Sans Pro"/>
          <w:szCs w:val="26"/>
        </w:rPr>
        <w:t>When a new trial is granted, on all or part of the issues, the court shall specify the ground or grounds upon which it is granted and the court's reason or reasons for granting the new trial upon each ground stated.”  (</w:t>
      </w:r>
      <w:r w:rsidRPr="00C64120">
        <w:rPr>
          <w:rFonts w:eastAsia="Source Sans Pro"/>
          <w:i/>
          <w:iCs/>
          <w:szCs w:val="26"/>
        </w:rPr>
        <w:t>Ibid.</w:t>
      </w:r>
      <w:r w:rsidRPr="00C64120">
        <w:rPr>
          <w:rFonts w:eastAsia="Source Sans Pro"/>
          <w:szCs w:val="26"/>
        </w:rPr>
        <w:t xml:space="preserve">)  An order granting a new trial </w:t>
      </w:r>
      <w:r>
        <w:rPr>
          <w:rFonts w:eastAsia="Source Sans Pro"/>
          <w:szCs w:val="26"/>
        </w:rPr>
        <w:t>“</w:t>
      </w:r>
      <w:r w:rsidRPr="00C64120">
        <w:rPr>
          <w:rFonts w:eastAsia="Source Sans Pro"/>
          <w:szCs w:val="26"/>
        </w:rPr>
        <w:t>must state the ground or grounds relied upon by the court, and may contain the specification of reasons.</w:t>
      </w:r>
      <w:r>
        <w:rPr>
          <w:rFonts w:eastAsia="Source Sans Pro"/>
          <w:szCs w:val="26"/>
        </w:rPr>
        <w:t>”</w:t>
      </w:r>
      <w:r w:rsidRPr="00C64120">
        <w:rPr>
          <w:rFonts w:eastAsia="Source Sans Pro"/>
          <w:szCs w:val="26"/>
        </w:rPr>
        <w:t xml:space="preserve">  (</w:t>
      </w:r>
      <w:r w:rsidRPr="00C64120">
        <w:rPr>
          <w:rFonts w:eastAsia="Source Sans Pro"/>
          <w:i/>
          <w:iCs/>
          <w:szCs w:val="26"/>
        </w:rPr>
        <w:t>Ibid.</w:t>
      </w:r>
      <w:r w:rsidRPr="00C64120">
        <w:rPr>
          <w:rFonts w:eastAsia="Source Sans Pro"/>
          <w:szCs w:val="26"/>
        </w:rPr>
        <w:t>)</w:t>
      </w:r>
      <w:r w:rsidRPr="00C64120">
        <w:rPr>
          <w:szCs w:val="26"/>
        </w:rPr>
        <w:t xml:space="preserve">  </w:t>
      </w:r>
      <w:r w:rsidRPr="00C64120">
        <w:rPr>
          <w:rFonts w:eastAsia="Source Sans Pro"/>
          <w:szCs w:val="26"/>
        </w:rPr>
        <w:t>On appeal, an order granting a new trial on the ground of excessive damages shall not be affirmed “unless such ground is stated in the order granting the motion” and “it shall be conclusively presumed that said order as to such ground was made only for the reasons specified in said order or said specification of reasons, and such order shall be reversed as to such ground only if there is no substantial basis in the record for any of such reasons.”  (</w:t>
      </w:r>
      <w:r w:rsidRPr="00C64120">
        <w:rPr>
          <w:rFonts w:eastAsia="Source Sans Pro"/>
          <w:i/>
          <w:iCs/>
          <w:szCs w:val="26"/>
        </w:rPr>
        <w:t>Ibid.</w:t>
      </w:r>
      <w:r w:rsidRPr="00C64120">
        <w:rPr>
          <w:rFonts w:eastAsia="Source Sans Pro"/>
          <w:szCs w:val="26"/>
        </w:rPr>
        <w:t>)</w:t>
      </w:r>
    </w:p>
  </w:footnote>
  <w:footnote w:id="36">
    <w:p w:rsidR="002439F3" w:rsidRPr="002439F3" w:rsidP="00CF626D">
      <w:pPr>
        <w:pStyle w:val="FootnoteText"/>
        <w:spacing w:after="120"/>
        <w:ind w:firstLine="720"/>
      </w:pPr>
      <w:r>
        <w:rPr>
          <w:rStyle w:val="FootnoteReference"/>
        </w:rPr>
        <w:footnoteRef/>
      </w:r>
      <w:r>
        <w:t xml:space="preserve"> The statutory provision discussed in </w:t>
      </w:r>
      <w:r>
        <w:rPr>
          <w:i/>
        </w:rPr>
        <w:t xml:space="preserve">Teitel </w:t>
      </w:r>
      <w:r>
        <w:t xml:space="preserve">as subdivision (b) of Code of Civil Procedure section 662.5, subdivision (b), is now subdivision (a)(2) of the statute.  (Stats. 2011, ch. 409, § 2.) </w:t>
      </w:r>
    </w:p>
  </w:footnote>
  <w:footnote w:id="37">
    <w:p w:rsidR="00B8125E" w:rsidP="00CF626D">
      <w:pPr>
        <w:pStyle w:val="FootnoteText"/>
        <w:spacing w:after="120"/>
        <w:ind w:firstLine="720"/>
      </w:pPr>
      <w:r>
        <w:rPr>
          <w:rStyle w:val="FootnoteReference"/>
        </w:rPr>
        <w:footnoteRef/>
      </w:r>
      <w:r>
        <w:t xml:space="preserve"> </w:t>
      </w:r>
      <w:r w:rsidRPr="001209AF">
        <w:t xml:space="preserve">In opposition, Hong argued the court was required to deny the motion because substantial evidence supported the jury’s findings, citing </w:t>
      </w:r>
      <w:r w:rsidRPr="001209AF">
        <w:rPr>
          <w:i/>
        </w:rPr>
        <w:t xml:space="preserve">Teitel </w:t>
      </w:r>
      <w:r w:rsidRPr="001209AF">
        <w:t xml:space="preserve">as “holding ‘[t]he trial erred in granting the </w:t>
      </w:r>
      <w:r>
        <w:t>[JNOV]</w:t>
      </w:r>
      <w:r w:rsidRPr="001209AF">
        <w:t xml:space="preserve"> in light of this evidence [i.e., evidence supporting entitlement to punitive damages]’ and ‘in employing the device of a </w:t>
      </w:r>
      <w:r>
        <w:t>[JNOV]</w:t>
      </w:r>
      <w:r w:rsidRPr="001209AF">
        <w:t xml:space="preserve"> to reduce the amount of punitive damages[.]’</w:t>
      </w:r>
      <w:r>
        <w:t> </w:t>
      </w:r>
      <w:r w:rsidRPr="001209AF">
        <w:t xml:space="preserve">”  Hong thus opposed the motion for </w:t>
      </w:r>
      <w:r>
        <w:t>JNOV</w:t>
      </w:r>
      <w:r w:rsidRPr="001209AF">
        <w:t xml:space="preserve"> and additionally indicated (albeit </w:t>
      </w:r>
      <w:r>
        <w:t xml:space="preserve">by citing </w:t>
      </w:r>
      <w:r>
        <w:rPr>
          <w:i/>
        </w:rPr>
        <w:t>Teitel</w:t>
      </w:r>
      <w:r w:rsidRPr="001209AF">
        <w:t xml:space="preserve"> rather than by argument) the court could not reduce the amount of the award, which Smucha and 524 Union had not asked the court to do.</w:t>
      </w:r>
      <w:r>
        <w:t xml:space="preserve"> </w:t>
      </w:r>
    </w:p>
  </w:footnote>
  <w:footnote w:id="38">
    <w:p w:rsidR="00B8125E" w:rsidP="00CF626D">
      <w:pPr>
        <w:pStyle w:val="FootnoteText"/>
        <w:spacing w:after="120"/>
        <w:ind w:firstLine="720"/>
      </w:pPr>
      <w:r>
        <w:rPr>
          <w:rStyle w:val="FootnoteReference"/>
        </w:rPr>
        <w:footnoteRef/>
      </w:r>
      <w:r>
        <w:t xml:space="preserve"> </w:t>
      </w:r>
      <w:r w:rsidRPr="00487BAC">
        <w:t xml:space="preserve">The defendant in </w:t>
      </w:r>
      <w:r w:rsidRPr="00487BAC">
        <w:rPr>
          <w:i/>
        </w:rPr>
        <w:t xml:space="preserve">Gober </w:t>
      </w:r>
      <w:r w:rsidRPr="00487BAC">
        <w:t xml:space="preserve">challenged a punitive damages award as excessive in motions for </w:t>
      </w:r>
      <w:r>
        <w:t>JNOV</w:t>
      </w:r>
      <w:r w:rsidRPr="00487BAC">
        <w:t xml:space="preserve"> and new trial; the trial court denied the former motion and issued a conditional order granting the new trial motion unless the plaintiffs agreed to accept punitive damages of 15 times their compensatory damages</w:t>
      </w:r>
      <w:r>
        <w:t>—</w:t>
      </w:r>
      <w:r w:rsidRPr="00487BAC">
        <w:t>a significant reduction from the jury’s verdict but more than what the defendant sought as representing the constitutional maximum.  (</w:t>
      </w:r>
      <w:r>
        <w:rPr>
          <w:i/>
        </w:rPr>
        <w:t xml:space="preserve">Gober, supra, </w:t>
      </w:r>
      <w:r>
        <w:t>137 Cal.App.4th at pp. </w:t>
      </w:r>
      <w:r w:rsidRPr="00487BAC">
        <w:t>209, 210.)  The defendant could not appeal from the new trial order because it was not aggrieved, as the trial court granted relief, albeit less than that requested.  (</w:t>
      </w:r>
      <w:r>
        <w:rPr>
          <w:i/>
        </w:rPr>
        <w:t xml:space="preserve">Id. </w:t>
      </w:r>
      <w:r>
        <w:t xml:space="preserve">at p. </w:t>
      </w:r>
      <w:r w:rsidRPr="00487BAC">
        <w:t xml:space="preserve">211.)  The defendant thus sought review of the constitutionality of the award by appealing the denial of the motion for </w:t>
      </w:r>
      <w:r>
        <w:t>JNOV</w:t>
      </w:r>
      <w:r w:rsidRPr="00487BAC">
        <w:t>.</w:t>
      </w:r>
      <w:r>
        <w:t xml:space="preserve"> </w:t>
      </w:r>
    </w:p>
  </w:footnote>
  <w:footnote w:id="39">
    <w:p w:rsidR="00B8125E" w:rsidP="00CF626D">
      <w:pPr>
        <w:pStyle w:val="FootnoteText"/>
        <w:spacing w:after="120"/>
        <w:ind w:firstLine="720"/>
      </w:pPr>
      <w:r>
        <w:rPr>
          <w:rStyle w:val="FootnoteReference"/>
        </w:rPr>
        <w:footnoteRef/>
      </w:r>
      <w:r>
        <w:t xml:space="preserve"> One of the trial court’s citations suggests it viewed the reduced award as the constitutional maximum:  The court’s first citation after the quoted statement reducing the award was “</w:t>
      </w:r>
      <w:r>
        <w:rPr>
          <w:i/>
        </w:rPr>
        <w:t>Nickerson</w:t>
      </w:r>
      <w:r w:rsidRPr="00EE1273">
        <w:t>[</w:t>
      </w:r>
      <w:r>
        <w:rPr>
          <w:i/>
        </w:rPr>
        <w:t>, supra,</w:t>
      </w:r>
      <w:r w:rsidRPr="00EE1273">
        <w:t>]</w:t>
      </w:r>
      <w:r>
        <w:rPr>
          <w:i/>
        </w:rPr>
        <w:t xml:space="preserve"> </w:t>
      </w:r>
      <w:r>
        <w:t xml:space="preserve">63 Cal.4th [at p.] 375 (‘appropriate order is for an absolute reduction,’ not remittitur).”  As more fully explained in </w:t>
      </w:r>
      <w:r>
        <w:rPr>
          <w:i/>
        </w:rPr>
        <w:t xml:space="preserve">Simon, supra, </w:t>
      </w:r>
      <w:r>
        <w:t xml:space="preserve">35 Cal.4th at pages 1187–1188, which </w:t>
      </w:r>
      <w:r>
        <w:rPr>
          <w:i/>
        </w:rPr>
        <w:t>Nickerson</w:t>
      </w:r>
      <w:r>
        <w:t xml:space="preserve"> cites, reduction rather than remittitur is the appropriate order when the court finds a punitive damages award constitutionally excessive and reduces it to the constitutional maximum.  Had </w:t>
      </w:r>
      <w:r>
        <w:rPr>
          <w:i/>
        </w:rPr>
        <w:t>Nickerson</w:t>
      </w:r>
      <w:r>
        <w:t xml:space="preserve"> been the only citation in the trial court’s order, it would have been clear that the court was following this procedure.  But the trial court also cited two cases in which punitive damages awards found excessive for nonconstitutional reasons and the remedy employed was remittitur.  (</w:t>
      </w:r>
      <w:r>
        <w:rPr>
          <w:i/>
        </w:rPr>
        <w:t xml:space="preserve">Michelson v. Hamada </w:t>
      </w:r>
      <w:r>
        <w:t xml:space="preserve">(1994) 29 Cal.App.4th 1566, 1596 [award so disproportionate to net worth as to raise presumption it was product of passion or prejudice]; </w:t>
      </w:r>
      <w:r>
        <w:rPr>
          <w:i/>
        </w:rPr>
        <w:t xml:space="preserve">Storage Services v. Oosterbaan </w:t>
      </w:r>
      <w:r>
        <w:t xml:space="preserve">(1989) 214 Cal.App.3d 498, 514 [same].)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0F"/>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03E"/>
    <w:pPr>
      <w:tabs>
        <w:tab w:val="center" w:pos="4680"/>
        <w:tab w:val="right" w:pos="9360"/>
      </w:tabs>
      <w:spacing w:line="240" w:lineRule="auto"/>
    </w:pPr>
  </w:style>
  <w:style w:type="character" w:customStyle="1" w:styleId="HeaderChar">
    <w:name w:val="Header Char"/>
    <w:basedOn w:val="DefaultParagraphFont"/>
    <w:link w:val="Header"/>
    <w:uiPriority w:val="99"/>
    <w:rsid w:val="001B203E"/>
  </w:style>
  <w:style w:type="paragraph" w:styleId="Footer">
    <w:name w:val="footer"/>
    <w:basedOn w:val="Normal"/>
    <w:link w:val="FooterChar"/>
    <w:uiPriority w:val="99"/>
    <w:unhideWhenUsed/>
    <w:rsid w:val="001B203E"/>
    <w:pPr>
      <w:tabs>
        <w:tab w:val="center" w:pos="4680"/>
        <w:tab w:val="right" w:pos="9360"/>
      </w:tabs>
      <w:spacing w:line="240" w:lineRule="auto"/>
    </w:pPr>
  </w:style>
  <w:style w:type="character" w:customStyle="1" w:styleId="FooterChar">
    <w:name w:val="Footer Char"/>
    <w:basedOn w:val="DefaultParagraphFont"/>
    <w:link w:val="Footer"/>
    <w:uiPriority w:val="99"/>
    <w:rsid w:val="001B203E"/>
  </w:style>
  <w:style w:type="character" w:styleId="PageNumber">
    <w:name w:val="page number"/>
    <w:basedOn w:val="DefaultParagraphFont"/>
    <w:uiPriority w:val="99"/>
    <w:semiHidden/>
    <w:unhideWhenUsed/>
    <w:rsid w:val="001B203E"/>
  </w:style>
  <w:style w:type="paragraph" w:styleId="FootnoteText">
    <w:name w:val="footnote text"/>
    <w:link w:val="FootnoteTextChar"/>
    <w:uiPriority w:val="99"/>
    <w:unhideWhenUsed/>
    <w:rsid w:val="001B203E"/>
    <w:pPr>
      <w:spacing w:after="0" w:line="240" w:lineRule="auto"/>
    </w:pPr>
    <w:rPr>
      <w:rFonts w:ascii="Times New Roman" w:hAnsi="Times New Roman" w:cs="Times New Roman"/>
      <w:sz w:val="26"/>
      <w:szCs w:val="20"/>
    </w:rPr>
  </w:style>
  <w:style w:type="character" w:customStyle="1" w:styleId="FootnoteTextChar">
    <w:name w:val="Footnote Text Char"/>
    <w:basedOn w:val="DefaultParagraphFont"/>
    <w:link w:val="FootnoteText"/>
    <w:uiPriority w:val="99"/>
    <w:rsid w:val="001B203E"/>
    <w:rPr>
      <w:rFonts w:ascii="Times New Roman" w:hAnsi="Times New Roman" w:cs="Times New Roman"/>
      <w:sz w:val="26"/>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4D77D4"/>
    <w:rPr>
      <w:color w:val="605E5C"/>
      <w:shd w:val="clear" w:color="auto" w:fill="E1DFDD"/>
    </w:rPr>
  </w:style>
  <w:style w:type="paragraph" w:styleId="BalloonText">
    <w:name w:val="Balloon Text"/>
    <w:basedOn w:val="Normal"/>
    <w:link w:val="BalloonTextChar"/>
    <w:uiPriority w:val="99"/>
    <w:semiHidden/>
    <w:unhideWhenUsed/>
    <w:rsid w:val="002F12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13380</Words>
  <Characters>76270</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2019-12-12T19:55:00Z</dcterms:created>
  <dcterms:modified xsi:type="dcterms:W3CDTF">2019-12-12T19:55:00Z</dcterms:modified>
</cp:coreProperties>
</file>