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7000" w14:textId="77777777" w:rsidR="001A212D" w:rsidRDefault="001A212D" w:rsidP="001A212D">
      <w:pPr>
        <w:spacing w:line="240" w:lineRule="auto"/>
        <w:rPr>
          <w:sz w:val="20"/>
        </w:rPr>
      </w:pPr>
      <w:r>
        <w:rPr>
          <w:sz w:val="20"/>
        </w:rPr>
        <w:t xml:space="preserve">Filed </w:t>
      </w:r>
      <w:r w:rsidR="00AA6F92">
        <w:rPr>
          <w:sz w:val="20"/>
        </w:rPr>
        <w:t>11/13/20</w:t>
      </w:r>
    </w:p>
    <w:p w14:paraId="417D8E43" w14:textId="77777777" w:rsidR="001A212D" w:rsidRDefault="001A212D" w:rsidP="001A212D">
      <w:pPr>
        <w:spacing w:line="240" w:lineRule="auto"/>
        <w:jc w:val="center"/>
        <w:rPr>
          <w:b/>
        </w:rPr>
      </w:pPr>
      <w:r>
        <w:rPr>
          <w:b/>
        </w:rPr>
        <w:t>CERTIFIED FOR PUBLICATION</w:t>
      </w:r>
    </w:p>
    <w:p w14:paraId="08C76727" w14:textId="77777777" w:rsidR="001A212D" w:rsidRDefault="001A212D" w:rsidP="001A212D">
      <w:pPr>
        <w:spacing w:line="240" w:lineRule="auto"/>
        <w:jc w:val="center"/>
      </w:pPr>
    </w:p>
    <w:p w14:paraId="64CCE93B" w14:textId="77777777" w:rsidR="008C69C3" w:rsidRDefault="000D6271" w:rsidP="001A212D">
      <w:pPr>
        <w:spacing w:line="240" w:lineRule="auto"/>
        <w:jc w:val="center"/>
      </w:pPr>
      <w:r>
        <w:t>IN THE COURT OF APPEAL OF THE STATE OF CALIFORNIA</w:t>
      </w:r>
    </w:p>
    <w:p w14:paraId="241C60C4" w14:textId="77777777" w:rsidR="000D6271" w:rsidRDefault="000D6271" w:rsidP="000D6271">
      <w:pPr>
        <w:spacing w:line="240" w:lineRule="auto"/>
        <w:jc w:val="center"/>
      </w:pPr>
    </w:p>
    <w:p w14:paraId="6FB8FAFE" w14:textId="77777777" w:rsidR="000D6271" w:rsidRDefault="000D6271" w:rsidP="000D6271">
      <w:pPr>
        <w:spacing w:line="240" w:lineRule="auto"/>
        <w:jc w:val="center"/>
      </w:pPr>
      <w:r>
        <w:t>FIRST APPELLATE DISTRICT</w:t>
      </w:r>
    </w:p>
    <w:p w14:paraId="2681E088" w14:textId="77777777" w:rsidR="000D6271" w:rsidRDefault="000D6271" w:rsidP="000D6271">
      <w:pPr>
        <w:spacing w:line="240" w:lineRule="auto"/>
        <w:jc w:val="center"/>
      </w:pPr>
    </w:p>
    <w:p w14:paraId="5F8F776E" w14:textId="77777777" w:rsidR="000D6271" w:rsidRDefault="000D6271" w:rsidP="000D6271">
      <w:pPr>
        <w:spacing w:line="240" w:lineRule="auto"/>
        <w:jc w:val="center"/>
      </w:pPr>
      <w:r>
        <w:t>DIVISION ONE</w:t>
      </w:r>
    </w:p>
    <w:p w14:paraId="1DE58F61" w14:textId="77777777" w:rsidR="000D6271" w:rsidRDefault="000D6271" w:rsidP="000D6271">
      <w:pPr>
        <w:spacing w:line="240" w:lineRule="auto"/>
        <w:jc w:val="center"/>
      </w:pPr>
    </w:p>
    <w:p w14:paraId="0ABA3C9B" w14:textId="77777777" w:rsidR="000D6271" w:rsidRDefault="000D6271" w:rsidP="000D6271">
      <w:pPr>
        <w:spacing w:line="240" w:lineRule="auto"/>
        <w:jc w:val="center"/>
      </w:pPr>
    </w:p>
    <w:tbl>
      <w:tblPr>
        <w:tblW w:w="0" w:type="auto"/>
        <w:tblLayout w:type="fixed"/>
        <w:tblLook w:val="0000" w:firstRow="0" w:lastRow="0" w:firstColumn="0" w:lastColumn="0" w:noHBand="0" w:noVBand="0"/>
      </w:tblPr>
      <w:tblGrid>
        <w:gridCol w:w="4590"/>
        <w:gridCol w:w="3330"/>
      </w:tblGrid>
      <w:tr w:rsidR="000D6271" w14:paraId="171CB30D" w14:textId="77777777" w:rsidTr="00866DDA">
        <w:tc>
          <w:tcPr>
            <w:tcW w:w="4590" w:type="dxa"/>
            <w:tcBorders>
              <w:bottom w:val="single" w:sz="4" w:space="0" w:color="auto"/>
              <w:right w:val="single" w:sz="4" w:space="0" w:color="auto"/>
            </w:tcBorders>
            <w:shd w:val="clear" w:color="auto" w:fill="auto"/>
          </w:tcPr>
          <w:p w14:paraId="25B3BAE9" w14:textId="77777777" w:rsidR="000D6271" w:rsidRDefault="000D6271" w:rsidP="000D6271">
            <w:pPr>
              <w:spacing w:after="120" w:line="240" w:lineRule="auto"/>
            </w:pPr>
            <w:r>
              <w:t>BRENNON B.,</w:t>
            </w:r>
          </w:p>
          <w:p w14:paraId="7B1643C0" w14:textId="77777777" w:rsidR="000D6271" w:rsidRDefault="000D6271" w:rsidP="000D6271">
            <w:pPr>
              <w:spacing w:after="120" w:line="240" w:lineRule="auto"/>
            </w:pPr>
            <w:r>
              <w:tab/>
              <w:t>Petitioner,</w:t>
            </w:r>
          </w:p>
          <w:p w14:paraId="2032050D" w14:textId="77777777" w:rsidR="000D6271" w:rsidRDefault="000D6271" w:rsidP="000D6271">
            <w:pPr>
              <w:spacing w:after="120" w:line="240" w:lineRule="auto"/>
            </w:pPr>
            <w:r>
              <w:t>v.</w:t>
            </w:r>
          </w:p>
          <w:p w14:paraId="39F89791" w14:textId="77777777" w:rsidR="000D6271" w:rsidRDefault="000D6271" w:rsidP="000D6271">
            <w:pPr>
              <w:spacing w:after="120" w:line="240" w:lineRule="auto"/>
            </w:pPr>
            <w:r>
              <w:t>THE SUPERIOR COURT OF CONTRA COSTA COUNTY,</w:t>
            </w:r>
          </w:p>
          <w:p w14:paraId="10DB7955" w14:textId="77777777" w:rsidR="000D6271" w:rsidRDefault="000D6271" w:rsidP="000D6271">
            <w:pPr>
              <w:spacing w:after="120" w:line="240" w:lineRule="auto"/>
            </w:pPr>
            <w:r>
              <w:tab/>
            </w:r>
            <w:proofErr w:type="gramStart"/>
            <w:r w:rsidR="00CD4BD1">
              <w:t>Respondent</w:t>
            </w:r>
            <w:r>
              <w:t>;</w:t>
            </w:r>
            <w:proofErr w:type="gramEnd"/>
          </w:p>
          <w:p w14:paraId="4ECA7BAF" w14:textId="77777777" w:rsidR="000D6271" w:rsidRDefault="000D6271" w:rsidP="000D6271">
            <w:pPr>
              <w:spacing w:after="120" w:line="240" w:lineRule="auto"/>
            </w:pPr>
            <w:r>
              <w:t>WEST CONTRA COSTA UNIFIED SCHOOL DISTRICT et al.</w:t>
            </w:r>
          </w:p>
          <w:p w14:paraId="48F7BF31" w14:textId="77777777" w:rsidR="000D6271" w:rsidRDefault="000D6271" w:rsidP="000D6271">
            <w:pPr>
              <w:spacing w:after="120" w:line="240" w:lineRule="auto"/>
            </w:pPr>
            <w:r>
              <w:tab/>
              <w:t>Real Part</w:t>
            </w:r>
            <w:r w:rsidR="004D410F">
              <w:t>ies</w:t>
            </w:r>
            <w:r>
              <w:t xml:space="preserve"> in Interest.</w:t>
            </w:r>
          </w:p>
        </w:tc>
        <w:tc>
          <w:tcPr>
            <w:tcW w:w="3330" w:type="dxa"/>
            <w:tcBorders>
              <w:left w:val="single" w:sz="4" w:space="0" w:color="auto"/>
            </w:tcBorders>
            <w:shd w:val="clear" w:color="auto" w:fill="auto"/>
          </w:tcPr>
          <w:p w14:paraId="636E93BD" w14:textId="77777777" w:rsidR="000D6271" w:rsidRDefault="000D6271" w:rsidP="000D6271">
            <w:pPr>
              <w:spacing w:line="240" w:lineRule="auto"/>
            </w:pPr>
          </w:p>
          <w:p w14:paraId="2426AACE" w14:textId="77777777" w:rsidR="000D6271" w:rsidRDefault="000D6271" w:rsidP="000D6271">
            <w:pPr>
              <w:spacing w:line="240" w:lineRule="auto"/>
            </w:pPr>
          </w:p>
          <w:p w14:paraId="7A735EF3" w14:textId="77777777" w:rsidR="000D6271" w:rsidRDefault="000D6271" w:rsidP="000D6271">
            <w:pPr>
              <w:spacing w:line="240" w:lineRule="auto"/>
            </w:pPr>
          </w:p>
          <w:p w14:paraId="370E805F" w14:textId="77777777" w:rsidR="000D6271" w:rsidRDefault="000D6271" w:rsidP="000D6271">
            <w:pPr>
              <w:spacing w:line="240" w:lineRule="auto"/>
            </w:pPr>
          </w:p>
          <w:p w14:paraId="425F8C29" w14:textId="77777777" w:rsidR="000D6271" w:rsidRDefault="000D6271" w:rsidP="000D6271">
            <w:pPr>
              <w:spacing w:line="240" w:lineRule="auto"/>
            </w:pPr>
            <w:r>
              <w:t xml:space="preserve">      A157026</w:t>
            </w:r>
          </w:p>
          <w:p w14:paraId="6690DDF4" w14:textId="77777777" w:rsidR="000D6271" w:rsidRDefault="000D6271" w:rsidP="000D6271">
            <w:pPr>
              <w:spacing w:line="240" w:lineRule="auto"/>
            </w:pPr>
          </w:p>
          <w:p w14:paraId="5E9FCA68" w14:textId="77777777" w:rsidR="000D6271" w:rsidRDefault="000D6271" w:rsidP="000D6271">
            <w:pPr>
              <w:spacing w:line="240" w:lineRule="auto"/>
            </w:pPr>
            <w:r>
              <w:t xml:space="preserve">      (Contra Costa County</w:t>
            </w:r>
          </w:p>
          <w:p w14:paraId="3324DFC8" w14:textId="77777777" w:rsidR="000D6271" w:rsidRDefault="000D6271" w:rsidP="000D6271">
            <w:pPr>
              <w:spacing w:line="240" w:lineRule="auto"/>
            </w:pPr>
            <w:r>
              <w:t xml:space="preserve">      Super. Ct. No. MSC1601005)</w:t>
            </w:r>
          </w:p>
          <w:p w14:paraId="28A9D9FE" w14:textId="77777777" w:rsidR="000D6271" w:rsidRDefault="000D6271" w:rsidP="000D6271">
            <w:pPr>
              <w:spacing w:line="240" w:lineRule="auto"/>
            </w:pPr>
          </w:p>
        </w:tc>
      </w:tr>
    </w:tbl>
    <w:p w14:paraId="430DC207" w14:textId="77777777" w:rsidR="000D6271" w:rsidRDefault="000D6271" w:rsidP="000D6271">
      <w:pPr>
        <w:spacing w:line="360" w:lineRule="auto"/>
      </w:pPr>
    </w:p>
    <w:p w14:paraId="01D96B40" w14:textId="77777777" w:rsidR="000D6271" w:rsidRDefault="0029159F" w:rsidP="0029159F">
      <w:pPr>
        <w:spacing w:line="360" w:lineRule="auto"/>
        <w:jc w:val="center"/>
      </w:pPr>
      <w:r>
        <w:rPr>
          <w:b/>
          <w:bCs/>
        </w:rPr>
        <w:t>INTRODUCTION</w:t>
      </w:r>
    </w:p>
    <w:p w14:paraId="0CF42E86" w14:textId="77777777" w:rsidR="000C5528" w:rsidRPr="00E336A2" w:rsidRDefault="0029159F" w:rsidP="0094079D">
      <w:pPr>
        <w:spacing w:line="360" w:lineRule="auto"/>
      </w:pPr>
      <w:r>
        <w:tab/>
      </w:r>
      <w:r w:rsidRPr="00E336A2">
        <w:t>We are asked to decide two issues:</w:t>
      </w:r>
      <w:r w:rsidR="001A212D">
        <w:t xml:space="preserve"> </w:t>
      </w:r>
      <w:r w:rsidRPr="00E336A2">
        <w:t xml:space="preserve"> (1) whether a public school district is a business establishment </w:t>
      </w:r>
      <w:r w:rsidR="002F52DA" w:rsidRPr="00E336A2">
        <w:t xml:space="preserve">for purposes of </w:t>
      </w:r>
      <w:r w:rsidRPr="00E336A2">
        <w:t>the Unruh Civil Rights Act (Civ. Code</w:t>
      </w:r>
      <w:r w:rsidR="00866DDA" w:rsidRPr="00E336A2">
        <w:t>,</w:t>
      </w:r>
      <w:r w:rsidRPr="00E336A2">
        <w:t xml:space="preserve"> </w:t>
      </w:r>
      <w:r w:rsidR="00866DDA" w:rsidRPr="00E336A2">
        <w:t xml:space="preserve">§ </w:t>
      </w:r>
      <w:r w:rsidRPr="00E336A2">
        <w:t>51), and (2) even if a school district is not a business establishment</w:t>
      </w:r>
      <w:r w:rsidR="002F52DA" w:rsidRPr="00E336A2">
        <w:t>,</w:t>
      </w:r>
      <w:r w:rsidRPr="00E336A2">
        <w:t xml:space="preserve"> whether it can nevertheless be sued under the </w:t>
      </w:r>
      <w:r w:rsidR="00402747" w:rsidRPr="00E336A2">
        <w:t xml:space="preserve">Unruh </w:t>
      </w:r>
      <w:r w:rsidRPr="00E336A2">
        <w:t>Act whe</w:t>
      </w:r>
      <w:r w:rsidR="004B4C18" w:rsidRPr="00E336A2">
        <w:t xml:space="preserve">re, as here, </w:t>
      </w:r>
      <w:r w:rsidRPr="00E336A2">
        <w:t xml:space="preserve">the alleged discriminatory conduct is actionable under the Americans With Disabilities Act (ADA) (42 U.S.C. </w:t>
      </w:r>
      <w:r w:rsidR="00866DDA" w:rsidRPr="00E336A2">
        <w:t xml:space="preserve">§ </w:t>
      </w:r>
      <w:r w:rsidRPr="00E336A2">
        <w:t>121</w:t>
      </w:r>
      <w:r w:rsidR="009C0427" w:rsidRPr="00E336A2">
        <w:t>01</w:t>
      </w:r>
      <w:r w:rsidR="000C5528" w:rsidRPr="00E336A2">
        <w:t xml:space="preserve"> et seq.</w:t>
      </w:r>
      <w:r w:rsidRPr="00E336A2">
        <w:t xml:space="preserve">).  </w:t>
      </w:r>
      <w:r w:rsidR="003C4E16" w:rsidRPr="00E336A2">
        <w:t xml:space="preserve">Both are issues of first impression in the California </w:t>
      </w:r>
      <w:r w:rsidR="009B1D60" w:rsidRPr="00E336A2">
        <w:t>a</w:t>
      </w:r>
      <w:r w:rsidR="003C4E16" w:rsidRPr="00E336A2">
        <w:t xml:space="preserve">ppellate </w:t>
      </w:r>
      <w:r w:rsidR="009B1D60" w:rsidRPr="00E336A2">
        <w:t>c</w:t>
      </w:r>
      <w:r w:rsidR="003C4E16" w:rsidRPr="00E336A2">
        <w:t>ourts.</w:t>
      </w:r>
      <w:r w:rsidR="002D6E58" w:rsidRPr="00E336A2">
        <w:t xml:space="preserve">  </w:t>
      </w:r>
    </w:p>
    <w:p w14:paraId="0EA98DF9" w14:textId="77777777" w:rsidR="002D6E58" w:rsidRPr="00E336A2" w:rsidRDefault="000C5528" w:rsidP="0094079D">
      <w:pPr>
        <w:spacing w:line="360" w:lineRule="auto"/>
      </w:pPr>
      <w:r w:rsidRPr="00E336A2">
        <w:tab/>
      </w:r>
      <w:r w:rsidR="00413EED" w:rsidRPr="00E336A2">
        <w:t>O</w:t>
      </w:r>
      <w:r w:rsidR="003C4E16" w:rsidRPr="00E336A2">
        <w:t xml:space="preserve">ur Supreme Court has examined the meaning of the term “business establishment” </w:t>
      </w:r>
      <w:r w:rsidR="008B58C1" w:rsidRPr="00E336A2">
        <w:t xml:space="preserve">as used in the Unruh Act </w:t>
      </w:r>
      <w:r w:rsidR="003C4E16" w:rsidRPr="00E336A2">
        <w:t xml:space="preserve">in </w:t>
      </w:r>
      <w:proofErr w:type="gramStart"/>
      <w:r w:rsidR="003C4E16" w:rsidRPr="00E336A2">
        <w:t>a number of</w:t>
      </w:r>
      <w:proofErr w:type="gramEnd"/>
      <w:r w:rsidR="003C4E16" w:rsidRPr="00E336A2">
        <w:t xml:space="preserve"> cases</w:t>
      </w:r>
      <w:r w:rsidR="00CB3FBA" w:rsidRPr="00E336A2">
        <w:t xml:space="preserve">.  However, </w:t>
      </w:r>
      <w:r w:rsidR="008B58C1" w:rsidRPr="00E336A2">
        <w:t xml:space="preserve">the </w:t>
      </w:r>
      <w:r w:rsidRPr="00E336A2">
        <w:t xml:space="preserve">defendant </w:t>
      </w:r>
      <w:r w:rsidR="008B58C1" w:rsidRPr="00E336A2">
        <w:t>in each w</w:t>
      </w:r>
      <w:r w:rsidR="00402747" w:rsidRPr="00E336A2">
        <w:t xml:space="preserve">as a </w:t>
      </w:r>
      <w:r w:rsidR="00F87672" w:rsidRPr="00E336A2">
        <w:t xml:space="preserve">private </w:t>
      </w:r>
      <w:r w:rsidR="0099408D" w:rsidRPr="00E336A2">
        <w:t>entit</w:t>
      </w:r>
      <w:r w:rsidR="00402747" w:rsidRPr="00E336A2">
        <w:t>y</w:t>
      </w:r>
      <w:r w:rsidR="003C4E16" w:rsidRPr="00E336A2">
        <w:t xml:space="preserve">.  Thus, the court has had no occasion to consider whether a government </w:t>
      </w:r>
      <w:r w:rsidR="008B58C1" w:rsidRPr="00E336A2">
        <w:t>entity</w:t>
      </w:r>
      <w:r w:rsidR="003C4E16" w:rsidRPr="00E336A2">
        <w:t xml:space="preserve">, and specifically an </w:t>
      </w:r>
      <w:r w:rsidR="00014B3A" w:rsidRPr="00E336A2">
        <w:t xml:space="preserve">agent of the </w:t>
      </w:r>
      <w:r w:rsidR="003C4E16" w:rsidRPr="00E336A2">
        <w:lastRenderedPageBreak/>
        <w:t>state</w:t>
      </w:r>
      <w:r w:rsidR="00014B3A" w:rsidRPr="00E336A2">
        <w:t xml:space="preserve"> performing a state constitutional obligation</w:t>
      </w:r>
      <w:r w:rsidR="00413EED" w:rsidRPr="00E336A2">
        <w:t>,</w:t>
      </w:r>
      <w:r w:rsidR="003C4E16" w:rsidRPr="00E336A2">
        <w:t xml:space="preserve"> </w:t>
      </w:r>
      <w:r w:rsidR="00413EED" w:rsidRPr="00E336A2">
        <w:t xml:space="preserve">such as </w:t>
      </w:r>
      <w:r w:rsidR="003C4E16" w:rsidRPr="00E336A2">
        <w:t xml:space="preserve">a public school district, </w:t>
      </w:r>
      <w:r w:rsidR="004B4C18" w:rsidRPr="00E336A2">
        <w:t xml:space="preserve">is </w:t>
      </w:r>
      <w:r w:rsidR="003C4E16" w:rsidRPr="00E336A2">
        <w:t>a business establishment within the meaning of the Act.</w:t>
      </w:r>
      <w:r w:rsidR="00B74008" w:rsidRPr="00E336A2">
        <w:rPr>
          <w:rStyle w:val="FootnoteReference"/>
        </w:rPr>
        <w:footnoteReference w:id="1"/>
      </w:r>
      <w:r w:rsidR="003D6FFE" w:rsidRPr="00E336A2">
        <w:t xml:space="preserve">  </w:t>
      </w:r>
    </w:p>
    <w:p w14:paraId="19B831E9" w14:textId="77777777" w:rsidR="00E44154" w:rsidRPr="00E336A2" w:rsidRDefault="002D6E58" w:rsidP="0094079D">
      <w:pPr>
        <w:spacing w:line="360" w:lineRule="auto"/>
      </w:pPr>
      <w:r w:rsidRPr="00E336A2">
        <w:tab/>
      </w:r>
      <w:r w:rsidR="003C4E16" w:rsidRPr="00E336A2">
        <w:t xml:space="preserve">We </w:t>
      </w:r>
      <w:r w:rsidR="00665782" w:rsidRPr="00E336A2">
        <w:t>have th</w:t>
      </w:r>
      <w:r w:rsidR="00402747" w:rsidRPr="00E336A2">
        <w:t>erefore</w:t>
      </w:r>
      <w:r w:rsidR="00665782" w:rsidRPr="00E336A2">
        <w:t xml:space="preserve"> </w:t>
      </w:r>
      <w:r w:rsidR="00B74008" w:rsidRPr="00E336A2">
        <w:t xml:space="preserve">followed </w:t>
      </w:r>
      <w:r w:rsidR="00665782" w:rsidRPr="00E336A2">
        <w:t xml:space="preserve">the analytical template </w:t>
      </w:r>
      <w:r w:rsidR="0099408D" w:rsidRPr="00E336A2">
        <w:t xml:space="preserve">our high </w:t>
      </w:r>
      <w:r w:rsidR="00015E94" w:rsidRPr="00E336A2">
        <w:t xml:space="preserve">court </w:t>
      </w:r>
      <w:r w:rsidR="00665782" w:rsidRPr="00E336A2">
        <w:t xml:space="preserve">has employed in deciding whether a </w:t>
      </w:r>
      <w:r w:rsidR="00F87672" w:rsidRPr="00E336A2">
        <w:t xml:space="preserve">private </w:t>
      </w:r>
      <w:r w:rsidR="0099408D" w:rsidRPr="00E336A2">
        <w:t xml:space="preserve">entity </w:t>
      </w:r>
      <w:r w:rsidR="00F32CFD" w:rsidRPr="00E336A2">
        <w:t>is</w:t>
      </w:r>
      <w:r w:rsidR="00665782" w:rsidRPr="00E336A2">
        <w:t xml:space="preserve"> a business establishment for purposes of the Act, examining the historical genesis of the Act</w:t>
      </w:r>
      <w:r w:rsidR="008B58C1" w:rsidRPr="00E336A2">
        <w:t xml:space="preserve"> and the Act’s limited legislative history,</w:t>
      </w:r>
      <w:r w:rsidR="0099408D" w:rsidRPr="00E336A2">
        <w:t xml:space="preserve"> and</w:t>
      </w:r>
      <w:r w:rsidR="008B58C1" w:rsidRPr="00E336A2">
        <w:t xml:space="preserve"> </w:t>
      </w:r>
      <w:r w:rsidR="0099408D" w:rsidRPr="00E336A2">
        <w:t xml:space="preserve">canvassing </w:t>
      </w:r>
      <w:r w:rsidR="00665782" w:rsidRPr="00E336A2">
        <w:t>the court’s decisions</w:t>
      </w:r>
      <w:r w:rsidR="00F87672" w:rsidRPr="00E336A2">
        <w:t xml:space="preserve"> and considering </w:t>
      </w:r>
      <w:r w:rsidR="00B74008" w:rsidRPr="00E336A2">
        <w:t xml:space="preserve">the scholarly articles to which the court has </w:t>
      </w:r>
      <w:r w:rsidR="00402747" w:rsidRPr="00E336A2">
        <w:t xml:space="preserve">regularly </w:t>
      </w:r>
      <w:r w:rsidR="00B74008" w:rsidRPr="00E336A2">
        <w:t>cited</w:t>
      </w:r>
      <w:r w:rsidR="00F87672" w:rsidRPr="00E336A2">
        <w:t xml:space="preserve">, as well as </w:t>
      </w:r>
      <w:r w:rsidR="0099408D" w:rsidRPr="00E336A2">
        <w:t>other pertinent authorities</w:t>
      </w:r>
      <w:r w:rsidR="00B74008" w:rsidRPr="00E336A2">
        <w:t>.</w:t>
      </w:r>
      <w:r w:rsidR="0099408D" w:rsidRPr="00E336A2">
        <w:t xml:space="preserve">  </w:t>
      </w:r>
      <w:r w:rsidR="00015E94" w:rsidRPr="00E336A2">
        <w:t xml:space="preserve">This </w:t>
      </w:r>
      <w:r w:rsidR="006A46E0" w:rsidRPr="00E336A2">
        <w:t xml:space="preserve">multi-pronged </w:t>
      </w:r>
      <w:r w:rsidR="00015E94" w:rsidRPr="00E336A2">
        <w:t>inquiry lead</w:t>
      </w:r>
      <w:r w:rsidR="0099408D" w:rsidRPr="00E336A2">
        <w:t>s</w:t>
      </w:r>
      <w:r w:rsidR="00015E94" w:rsidRPr="00E336A2">
        <w:t xml:space="preserve"> us to conclude public school district</w:t>
      </w:r>
      <w:r w:rsidR="0084663B" w:rsidRPr="00E336A2">
        <w:t>s are not business establishments under the Unruh Act</w:t>
      </w:r>
      <w:r w:rsidR="0099408D" w:rsidRPr="00E336A2">
        <w:t xml:space="preserve">.  </w:t>
      </w:r>
      <w:r w:rsidR="0037683F" w:rsidRPr="00E336A2">
        <w:t xml:space="preserve">  </w:t>
      </w:r>
    </w:p>
    <w:p w14:paraId="4A5F8588" w14:textId="77777777" w:rsidR="002D6E58" w:rsidRPr="00E336A2" w:rsidRDefault="00E44154" w:rsidP="0094079D">
      <w:pPr>
        <w:spacing w:line="360" w:lineRule="auto"/>
        <w:rPr>
          <w:rFonts w:eastAsia="Times New Roman" w:cs="Arial"/>
          <w:color w:val="000000"/>
        </w:rPr>
      </w:pPr>
      <w:r w:rsidRPr="00E336A2">
        <w:tab/>
      </w:r>
      <w:r w:rsidR="0037683F" w:rsidRPr="00E336A2">
        <w:t xml:space="preserve">We </w:t>
      </w:r>
      <w:r w:rsidR="00EF2E88" w:rsidRPr="00E336A2">
        <w:t>further c</w:t>
      </w:r>
      <w:r w:rsidR="002D6E58" w:rsidRPr="00E336A2">
        <w:rPr>
          <w:rFonts w:eastAsia="Times New Roman" w:cs="Arial"/>
          <w:color w:val="000000"/>
        </w:rPr>
        <w:t>onclude the Unruh Act imposes liability only on business establishments and therefore reject p</w:t>
      </w:r>
      <w:r w:rsidR="00F32CFD" w:rsidRPr="00E336A2">
        <w:rPr>
          <w:rFonts w:eastAsia="Times New Roman" w:cs="Arial"/>
          <w:color w:val="000000"/>
        </w:rPr>
        <w:t>etitioner’s</w:t>
      </w:r>
      <w:r w:rsidR="002D6E58" w:rsidRPr="00E336A2">
        <w:rPr>
          <w:rFonts w:eastAsia="Times New Roman" w:cs="Arial"/>
          <w:color w:val="000000"/>
        </w:rPr>
        <w:t xml:space="preserve"> </w:t>
      </w:r>
      <w:r w:rsidR="00711A9F" w:rsidRPr="00E336A2">
        <w:rPr>
          <w:rFonts w:eastAsia="Times New Roman" w:cs="Arial"/>
          <w:color w:val="000000"/>
        </w:rPr>
        <w:t xml:space="preserve">alternative </w:t>
      </w:r>
      <w:r w:rsidR="002D6E58" w:rsidRPr="00E336A2">
        <w:rPr>
          <w:rFonts w:eastAsia="Times New Roman" w:cs="Arial"/>
          <w:color w:val="000000"/>
        </w:rPr>
        <w:t>assertion that, even if a public school district is not a business establishment</w:t>
      </w:r>
      <w:r w:rsidR="00711A9F" w:rsidRPr="00E336A2">
        <w:rPr>
          <w:rFonts w:eastAsia="Times New Roman" w:cs="Arial"/>
          <w:color w:val="000000"/>
        </w:rPr>
        <w:t xml:space="preserve">, </w:t>
      </w:r>
      <w:r w:rsidR="002D6E58" w:rsidRPr="00E336A2">
        <w:rPr>
          <w:rFonts w:eastAsia="Times New Roman" w:cs="Arial"/>
          <w:color w:val="000000"/>
        </w:rPr>
        <w:t xml:space="preserve">it may nevertheless be held liable under </w:t>
      </w:r>
      <w:r w:rsidR="00711A9F" w:rsidRPr="00E336A2">
        <w:rPr>
          <w:rFonts w:eastAsia="Times New Roman" w:cs="Arial"/>
          <w:color w:val="000000"/>
        </w:rPr>
        <w:t xml:space="preserve">the Act </w:t>
      </w:r>
      <w:r w:rsidR="0037683F" w:rsidRPr="00E336A2">
        <w:rPr>
          <w:rFonts w:eastAsia="Times New Roman" w:cs="Arial"/>
          <w:color w:val="000000"/>
        </w:rPr>
        <w:t xml:space="preserve">where, as here, </w:t>
      </w:r>
      <w:r w:rsidR="002D6E58" w:rsidRPr="00E336A2">
        <w:rPr>
          <w:rFonts w:eastAsia="Times New Roman" w:cs="Arial"/>
          <w:color w:val="000000"/>
        </w:rPr>
        <w:t>the alleged discriminat</w:t>
      </w:r>
      <w:r w:rsidR="00D94C8E" w:rsidRPr="00E336A2">
        <w:rPr>
          <w:rFonts w:eastAsia="Times New Roman" w:cs="Arial"/>
          <w:color w:val="000000"/>
        </w:rPr>
        <w:t xml:space="preserve">ory </w:t>
      </w:r>
      <w:r w:rsidR="00711A9F" w:rsidRPr="00E336A2">
        <w:rPr>
          <w:rFonts w:eastAsia="Times New Roman" w:cs="Arial"/>
          <w:color w:val="000000"/>
        </w:rPr>
        <w:t xml:space="preserve">conduct </w:t>
      </w:r>
      <w:r w:rsidR="0037683F" w:rsidRPr="00E336A2">
        <w:rPr>
          <w:rFonts w:eastAsia="Times New Roman" w:cs="Arial"/>
          <w:color w:val="000000"/>
        </w:rPr>
        <w:t xml:space="preserve">is </w:t>
      </w:r>
      <w:r w:rsidR="00711A9F" w:rsidRPr="00E336A2">
        <w:rPr>
          <w:rFonts w:eastAsia="Times New Roman" w:cs="Arial"/>
          <w:color w:val="000000"/>
        </w:rPr>
        <w:t xml:space="preserve">actionable under </w:t>
      </w:r>
      <w:r w:rsidR="002D6E58" w:rsidRPr="00E336A2">
        <w:rPr>
          <w:rFonts w:eastAsia="Times New Roman" w:cs="Arial"/>
          <w:color w:val="000000"/>
        </w:rPr>
        <w:t xml:space="preserve">the ADA.  </w:t>
      </w:r>
      <w:r w:rsidR="00402747" w:rsidRPr="00E336A2">
        <w:rPr>
          <w:rFonts w:eastAsia="Times New Roman" w:cs="Arial"/>
          <w:color w:val="000000"/>
        </w:rPr>
        <w:t xml:space="preserve">Reading the language on which </w:t>
      </w:r>
      <w:r w:rsidR="00F32CFD" w:rsidRPr="00E336A2">
        <w:rPr>
          <w:rFonts w:eastAsia="Times New Roman" w:cs="Arial"/>
          <w:color w:val="000000"/>
        </w:rPr>
        <w:t>petitioner</w:t>
      </w:r>
      <w:r w:rsidR="00402747" w:rsidRPr="00E336A2">
        <w:rPr>
          <w:rFonts w:eastAsia="Times New Roman" w:cs="Arial"/>
          <w:color w:val="000000"/>
        </w:rPr>
        <w:t xml:space="preserve"> predicates his assertion in context</w:t>
      </w:r>
      <w:r w:rsidR="00711A9F" w:rsidRPr="00E336A2">
        <w:rPr>
          <w:rFonts w:eastAsia="Times New Roman" w:cs="Arial"/>
          <w:color w:val="000000"/>
        </w:rPr>
        <w:t>,</w:t>
      </w:r>
      <w:r w:rsidR="00402747" w:rsidRPr="00E336A2">
        <w:rPr>
          <w:rFonts w:eastAsia="Times New Roman" w:cs="Arial"/>
          <w:color w:val="000000"/>
        </w:rPr>
        <w:t xml:space="preserve"> </w:t>
      </w:r>
      <w:r w:rsidR="00711A9F" w:rsidRPr="00E336A2">
        <w:rPr>
          <w:rFonts w:eastAsia="Times New Roman" w:cs="Arial"/>
          <w:color w:val="000000"/>
        </w:rPr>
        <w:t xml:space="preserve">and in light of its legislative history and our high court’s decisions discussing it, we conclude this language </w:t>
      </w:r>
      <w:r w:rsidR="002D6E58" w:rsidRPr="00E336A2">
        <w:rPr>
          <w:rFonts w:eastAsia="Times New Roman" w:cs="Arial"/>
          <w:color w:val="000000"/>
        </w:rPr>
        <w:t xml:space="preserve">makes </w:t>
      </w:r>
      <w:r w:rsidR="00D94C8E" w:rsidRPr="00E336A2">
        <w:rPr>
          <w:rFonts w:eastAsia="Times New Roman" w:cs="Arial"/>
          <w:color w:val="000000"/>
        </w:rPr>
        <w:t xml:space="preserve">explicit </w:t>
      </w:r>
      <w:r w:rsidR="002D6E58" w:rsidRPr="00E336A2">
        <w:rPr>
          <w:rFonts w:eastAsia="Times New Roman" w:cs="Arial"/>
          <w:color w:val="000000"/>
        </w:rPr>
        <w:t xml:space="preserve">that any </w:t>
      </w:r>
      <w:r w:rsidR="00711A9F" w:rsidRPr="00E336A2">
        <w:rPr>
          <w:rFonts w:eastAsia="Times New Roman" w:cs="Arial"/>
          <w:color w:val="000000"/>
        </w:rPr>
        <w:t xml:space="preserve">violation of the ADA </w:t>
      </w:r>
      <w:r w:rsidR="002D6E58" w:rsidRPr="00E336A2">
        <w:rPr>
          <w:rFonts w:eastAsia="Times New Roman" w:cs="Arial"/>
          <w:color w:val="000000"/>
        </w:rPr>
        <w:t>by a business establishment</w:t>
      </w:r>
      <w:r w:rsidR="002D6E58" w:rsidRPr="00E336A2">
        <w:rPr>
          <w:rFonts w:eastAsia="Times New Roman" w:cs="Arial"/>
          <w:i/>
          <w:iCs/>
          <w:color w:val="000000"/>
        </w:rPr>
        <w:t xml:space="preserve"> </w:t>
      </w:r>
      <w:r w:rsidR="00711A9F" w:rsidRPr="00E336A2">
        <w:rPr>
          <w:rFonts w:eastAsia="Times New Roman" w:cs="Arial"/>
          <w:color w:val="000000"/>
        </w:rPr>
        <w:t xml:space="preserve">is also </w:t>
      </w:r>
      <w:r w:rsidR="002D6E58" w:rsidRPr="00E336A2">
        <w:rPr>
          <w:rFonts w:eastAsia="Times New Roman" w:cs="Arial"/>
          <w:color w:val="000000"/>
        </w:rPr>
        <w:t>a violation of the Unruh Act.</w:t>
      </w:r>
    </w:p>
    <w:p w14:paraId="4D929858" w14:textId="77777777" w:rsidR="00604D2C" w:rsidRPr="00E336A2" w:rsidRDefault="000006EC" w:rsidP="0094079D">
      <w:pPr>
        <w:spacing w:line="360" w:lineRule="auto"/>
        <w:rPr>
          <w:rFonts w:eastAsia="Times New Roman" w:cs="Arial"/>
          <w:color w:val="000000"/>
        </w:rPr>
      </w:pPr>
      <w:r w:rsidRPr="00E336A2">
        <w:rPr>
          <w:rFonts w:eastAsia="Times New Roman" w:cs="Arial"/>
          <w:color w:val="000000"/>
        </w:rPr>
        <w:lastRenderedPageBreak/>
        <w:tab/>
      </w:r>
      <w:r w:rsidR="00D94C8E" w:rsidRPr="00E336A2">
        <w:rPr>
          <w:rFonts w:eastAsia="Times New Roman" w:cs="Arial"/>
          <w:color w:val="000000"/>
        </w:rPr>
        <w:t xml:space="preserve">In reaching these conclusions, we </w:t>
      </w:r>
      <w:r w:rsidR="009C0427" w:rsidRPr="00E336A2">
        <w:rPr>
          <w:rFonts w:eastAsia="Times New Roman" w:cs="Arial"/>
          <w:color w:val="000000"/>
        </w:rPr>
        <w:t xml:space="preserve">are </w:t>
      </w:r>
      <w:r w:rsidR="00E44154" w:rsidRPr="00E336A2">
        <w:rPr>
          <w:rFonts w:eastAsia="Times New Roman" w:cs="Arial"/>
          <w:color w:val="000000"/>
        </w:rPr>
        <w:t xml:space="preserve">by no means </w:t>
      </w:r>
      <w:r w:rsidR="00D94C8E" w:rsidRPr="00E336A2">
        <w:rPr>
          <w:rFonts w:eastAsia="Times New Roman" w:cs="Arial"/>
          <w:color w:val="000000"/>
        </w:rPr>
        <w:t xml:space="preserve">suggesting our </w:t>
      </w:r>
      <w:proofErr w:type="gramStart"/>
      <w:r w:rsidRPr="00E336A2">
        <w:rPr>
          <w:rFonts w:eastAsia="Times New Roman" w:cs="Arial"/>
          <w:color w:val="000000"/>
        </w:rPr>
        <w:t xml:space="preserve">public </w:t>
      </w:r>
      <w:r w:rsidR="002130EB" w:rsidRPr="00E336A2">
        <w:rPr>
          <w:rFonts w:eastAsia="Times New Roman" w:cs="Arial"/>
          <w:color w:val="000000"/>
        </w:rPr>
        <w:t>school</w:t>
      </w:r>
      <w:proofErr w:type="gramEnd"/>
      <w:r w:rsidR="002130EB" w:rsidRPr="00E336A2">
        <w:rPr>
          <w:rFonts w:eastAsia="Times New Roman" w:cs="Arial"/>
          <w:color w:val="000000"/>
        </w:rPr>
        <w:t xml:space="preserve"> districts are not subject to </w:t>
      </w:r>
      <w:r w:rsidR="004B4C18" w:rsidRPr="00E336A2">
        <w:rPr>
          <w:rFonts w:eastAsia="Times New Roman" w:cs="Arial"/>
          <w:color w:val="000000"/>
        </w:rPr>
        <w:t xml:space="preserve">stringent </w:t>
      </w:r>
      <w:r w:rsidR="002130EB" w:rsidRPr="00E336A2">
        <w:rPr>
          <w:rFonts w:eastAsia="Times New Roman" w:cs="Arial"/>
          <w:color w:val="000000"/>
        </w:rPr>
        <w:t xml:space="preserve">anti-discrimination </w:t>
      </w:r>
      <w:r w:rsidR="008A7613">
        <w:rPr>
          <w:rFonts w:eastAsia="Times New Roman" w:cs="Arial"/>
          <w:color w:val="000000"/>
        </w:rPr>
        <w:t>laws</w:t>
      </w:r>
      <w:r w:rsidR="002130EB" w:rsidRPr="00E336A2">
        <w:rPr>
          <w:rFonts w:eastAsia="Times New Roman" w:cs="Arial"/>
          <w:color w:val="000000"/>
        </w:rPr>
        <w:t>.  They are</w:t>
      </w:r>
      <w:r w:rsidR="00E44154" w:rsidRPr="00E336A2">
        <w:rPr>
          <w:rFonts w:eastAsia="Times New Roman" w:cs="Arial"/>
          <w:color w:val="000000"/>
        </w:rPr>
        <w:t xml:space="preserve">.  </w:t>
      </w:r>
      <w:r w:rsidR="002130EB" w:rsidRPr="00E336A2">
        <w:rPr>
          <w:rFonts w:eastAsia="Times New Roman" w:cs="Arial"/>
          <w:color w:val="000000"/>
        </w:rPr>
        <w:t xml:space="preserve">These include </w:t>
      </w:r>
      <w:r w:rsidRPr="00E336A2">
        <w:rPr>
          <w:rFonts w:eastAsia="Times New Roman" w:cs="Arial"/>
          <w:color w:val="000000"/>
        </w:rPr>
        <w:t xml:space="preserve">the </w:t>
      </w:r>
      <w:r w:rsidR="00F32CFD" w:rsidRPr="00E336A2">
        <w:rPr>
          <w:rFonts w:eastAsia="Times New Roman" w:cs="Arial"/>
          <w:color w:val="000000"/>
        </w:rPr>
        <w:t>panoply of</w:t>
      </w:r>
      <w:r w:rsidR="002130EB" w:rsidRPr="00E336A2">
        <w:rPr>
          <w:rFonts w:eastAsia="Times New Roman" w:cs="Arial"/>
          <w:color w:val="000000"/>
        </w:rPr>
        <w:t xml:space="preserve"> antidiscrimination </w:t>
      </w:r>
      <w:r w:rsidR="00F32CFD" w:rsidRPr="00E336A2">
        <w:rPr>
          <w:rFonts w:eastAsia="Times New Roman" w:cs="Arial"/>
          <w:color w:val="000000"/>
        </w:rPr>
        <w:t xml:space="preserve">statutes </w:t>
      </w:r>
      <w:r w:rsidR="00E44154" w:rsidRPr="00E336A2">
        <w:rPr>
          <w:rFonts w:eastAsia="Times New Roman" w:cs="Arial"/>
          <w:color w:val="000000"/>
        </w:rPr>
        <w:t xml:space="preserve">set forth </w:t>
      </w:r>
      <w:r w:rsidRPr="00E336A2">
        <w:rPr>
          <w:rFonts w:eastAsia="Times New Roman" w:cs="Arial"/>
          <w:color w:val="000000"/>
        </w:rPr>
        <w:t xml:space="preserve">in </w:t>
      </w:r>
      <w:r w:rsidR="002130EB" w:rsidRPr="00E336A2">
        <w:rPr>
          <w:rFonts w:eastAsia="Times New Roman" w:cs="Arial"/>
          <w:color w:val="000000"/>
        </w:rPr>
        <w:t>the Education Code</w:t>
      </w:r>
      <w:r w:rsidR="00D94C8E" w:rsidRPr="00E336A2">
        <w:rPr>
          <w:rFonts w:eastAsia="Times New Roman" w:cs="Arial"/>
          <w:color w:val="000000"/>
        </w:rPr>
        <w:t xml:space="preserve"> </w:t>
      </w:r>
      <w:r w:rsidR="00E44154" w:rsidRPr="00E336A2">
        <w:rPr>
          <w:rFonts w:eastAsia="Times New Roman" w:cs="Arial"/>
          <w:color w:val="000000"/>
        </w:rPr>
        <w:t xml:space="preserve">and applicable to all schools receiving any </w:t>
      </w:r>
      <w:r w:rsidR="006A46E0" w:rsidRPr="00E336A2">
        <w:rPr>
          <w:rFonts w:eastAsia="Times New Roman" w:cs="Arial"/>
          <w:color w:val="000000"/>
        </w:rPr>
        <w:t xml:space="preserve">form of </w:t>
      </w:r>
      <w:r w:rsidR="00E44154" w:rsidRPr="00E336A2">
        <w:rPr>
          <w:rFonts w:eastAsia="Times New Roman" w:cs="Arial"/>
          <w:color w:val="000000"/>
        </w:rPr>
        <w:t xml:space="preserve">state funding </w:t>
      </w:r>
      <w:r w:rsidR="006A46E0" w:rsidRPr="00E336A2">
        <w:rPr>
          <w:rFonts w:eastAsia="Times New Roman" w:cs="Arial"/>
          <w:color w:val="000000"/>
        </w:rPr>
        <w:t xml:space="preserve">or assistance </w:t>
      </w:r>
      <w:r w:rsidR="002130EB" w:rsidRPr="00E336A2">
        <w:rPr>
          <w:rFonts w:eastAsia="Times New Roman" w:cs="Arial"/>
          <w:color w:val="000000"/>
        </w:rPr>
        <w:t>(Ed. Code</w:t>
      </w:r>
      <w:r w:rsidR="00866DDA" w:rsidRPr="00E336A2">
        <w:rPr>
          <w:rFonts w:eastAsia="Times New Roman" w:cs="Arial"/>
          <w:color w:val="000000"/>
        </w:rPr>
        <w:t>,</w:t>
      </w:r>
      <w:r w:rsidR="002130EB" w:rsidRPr="00E336A2">
        <w:rPr>
          <w:rFonts w:eastAsia="Times New Roman" w:cs="Arial"/>
          <w:color w:val="000000"/>
        </w:rPr>
        <w:t xml:space="preserve"> </w:t>
      </w:r>
      <w:r w:rsidR="00866DDA" w:rsidRPr="00E336A2">
        <w:t>§</w:t>
      </w:r>
      <w:r w:rsidR="002130EB" w:rsidRPr="00E336A2">
        <w:rPr>
          <w:rFonts w:eastAsia="Times New Roman" w:cs="Arial"/>
          <w:color w:val="000000"/>
        </w:rPr>
        <w:t xml:space="preserve"> </w:t>
      </w:r>
      <w:r w:rsidR="00492447" w:rsidRPr="00E336A2">
        <w:rPr>
          <w:rFonts w:eastAsia="Times New Roman" w:cs="Arial"/>
          <w:color w:val="000000"/>
        </w:rPr>
        <w:t>200 et seq.)</w:t>
      </w:r>
      <w:r w:rsidR="00B25C71" w:rsidRPr="00E336A2">
        <w:rPr>
          <w:rFonts w:eastAsia="Times New Roman" w:cs="Arial"/>
          <w:color w:val="000000"/>
        </w:rPr>
        <w:t xml:space="preserve"> and </w:t>
      </w:r>
      <w:r w:rsidR="00492447" w:rsidRPr="00E336A2">
        <w:rPr>
          <w:rFonts w:eastAsia="Times New Roman" w:cs="Arial"/>
          <w:color w:val="000000"/>
        </w:rPr>
        <w:t xml:space="preserve">the </w:t>
      </w:r>
      <w:r w:rsidRPr="00E336A2">
        <w:rPr>
          <w:rFonts w:eastAsia="Times New Roman" w:cs="Arial"/>
          <w:color w:val="000000"/>
        </w:rPr>
        <w:t xml:space="preserve">comprehensive antidiscrimination provisions set forth in the Government Code </w:t>
      </w:r>
      <w:r w:rsidR="00D94C8E" w:rsidRPr="00E336A2">
        <w:rPr>
          <w:rFonts w:eastAsia="Times New Roman" w:cs="Arial"/>
          <w:color w:val="000000"/>
        </w:rPr>
        <w:t xml:space="preserve">and </w:t>
      </w:r>
      <w:r w:rsidR="00492447" w:rsidRPr="00E336A2">
        <w:rPr>
          <w:rFonts w:eastAsia="Times New Roman" w:cs="Arial"/>
          <w:color w:val="000000"/>
        </w:rPr>
        <w:t>applicable to all government entities (Gov. Code</w:t>
      </w:r>
      <w:r w:rsidR="00866DDA" w:rsidRPr="00E336A2">
        <w:rPr>
          <w:rFonts w:eastAsia="Times New Roman" w:cs="Arial"/>
          <w:color w:val="000000"/>
        </w:rPr>
        <w:t>,</w:t>
      </w:r>
      <w:r w:rsidR="00492447" w:rsidRPr="00E336A2">
        <w:rPr>
          <w:rFonts w:eastAsia="Times New Roman" w:cs="Arial"/>
          <w:color w:val="000000"/>
        </w:rPr>
        <w:t xml:space="preserve"> </w:t>
      </w:r>
      <w:r w:rsidR="00866DDA" w:rsidRPr="00E336A2">
        <w:t>§ </w:t>
      </w:r>
      <w:r w:rsidR="00E44154" w:rsidRPr="00E336A2">
        <w:rPr>
          <w:rFonts w:eastAsia="Times New Roman" w:cs="Arial"/>
          <w:color w:val="000000"/>
        </w:rPr>
        <w:t>11135</w:t>
      </w:r>
      <w:r w:rsidR="00492447" w:rsidRPr="00E336A2">
        <w:rPr>
          <w:rFonts w:eastAsia="Times New Roman" w:cs="Arial"/>
          <w:color w:val="000000"/>
        </w:rPr>
        <w:t>)</w:t>
      </w:r>
      <w:r w:rsidR="00652EC7" w:rsidRPr="00E336A2">
        <w:rPr>
          <w:rFonts w:eastAsia="Times New Roman" w:cs="Arial"/>
          <w:color w:val="000000"/>
        </w:rPr>
        <w:t>,</w:t>
      </w:r>
      <w:r w:rsidR="0084663B" w:rsidRPr="00E336A2">
        <w:rPr>
          <w:rFonts w:eastAsia="Times New Roman" w:cs="Arial"/>
          <w:color w:val="000000"/>
        </w:rPr>
        <w:t xml:space="preserve"> </w:t>
      </w:r>
      <w:r w:rsidR="00B25C71" w:rsidRPr="00E336A2">
        <w:rPr>
          <w:rFonts w:eastAsia="Times New Roman" w:cs="Arial"/>
          <w:color w:val="000000"/>
        </w:rPr>
        <w:t xml:space="preserve">as well as </w:t>
      </w:r>
      <w:r w:rsidR="0084663B" w:rsidRPr="00E336A2">
        <w:rPr>
          <w:rFonts w:eastAsia="Times New Roman" w:cs="Arial"/>
          <w:color w:val="000000"/>
        </w:rPr>
        <w:t xml:space="preserve">federal </w:t>
      </w:r>
      <w:r w:rsidR="00A53EEE" w:rsidRPr="00E336A2">
        <w:rPr>
          <w:rFonts w:eastAsia="Times New Roman" w:cs="Arial"/>
          <w:color w:val="000000"/>
        </w:rPr>
        <w:t xml:space="preserve">constitutional mandates (actionable under 42 U.S.C. </w:t>
      </w:r>
      <w:r w:rsidR="00A53EEE" w:rsidRPr="00E336A2">
        <w:t>§ 198</w:t>
      </w:r>
      <w:r w:rsidR="008A7613">
        <w:t>3</w:t>
      </w:r>
      <w:r w:rsidR="00A53EEE" w:rsidRPr="00E336A2">
        <w:t>)</w:t>
      </w:r>
      <w:r w:rsidR="00994EB7">
        <w:t>,</w:t>
      </w:r>
      <w:r w:rsidR="00A53EEE" w:rsidRPr="00E336A2">
        <w:t xml:space="preserve"> and</w:t>
      </w:r>
      <w:r w:rsidR="00A53EEE" w:rsidRPr="00E336A2">
        <w:rPr>
          <w:rFonts w:eastAsia="Times New Roman" w:cs="Arial"/>
          <w:color w:val="000000"/>
        </w:rPr>
        <w:t xml:space="preserve"> </w:t>
      </w:r>
      <w:r w:rsidR="0084663B" w:rsidRPr="00E336A2">
        <w:rPr>
          <w:rFonts w:eastAsia="Times New Roman" w:cs="Arial"/>
          <w:color w:val="000000"/>
        </w:rPr>
        <w:t>statutes</w:t>
      </w:r>
      <w:r w:rsidR="00F87672" w:rsidRPr="00E336A2">
        <w:rPr>
          <w:rFonts w:eastAsia="Times New Roman" w:cs="Arial"/>
          <w:color w:val="000000"/>
        </w:rPr>
        <w:t xml:space="preserve"> such as </w:t>
      </w:r>
      <w:r w:rsidR="0084663B" w:rsidRPr="00E336A2">
        <w:rPr>
          <w:rFonts w:eastAsia="Times New Roman" w:cs="Arial"/>
          <w:color w:val="000000"/>
        </w:rPr>
        <w:t xml:space="preserve">Title IX of the Education </w:t>
      </w:r>
      <w:r w:rsidR="00B25C71" w:rsidRPr="00E336A2">
        <w:rPr>
          <w:rFonts w:eastAsia="Times New Roman" w:cs="Arial"/>
          <w:color w:val="000000"/>
        </w:rPr>
        <w:t xml:space="preserve">Amendments of 1972 (20 U.S.C. </w:t>
      </w:r>
      <w:r w:rsidR="00B25C71" w:rsidRPr="00E336A2">
        <w:t>§</w:t>
      </w:r>
      <w:r w:rsidR="002E503B" w:rsidRPr="00E336A2">
        <w:t> </w:t>
      </w:r>
      <w:r w:rsidR="00B25C71" w:rsidRPr="00E336A2">
        <w:t>1681 et seq.)</w:t>
      </w:r>
      <w:r w:rsidR="008A7613">
        <w:t>, T</w:t>
      </w:r>
      <w:r w:rsidR="00B25C71" w:rsidRPr="00E336A2">
        <w:t>itle II of the ADA (42 U.S.C. § 12131 et s</w:t>
      </w:r>
      <w:r w:rsidR="00B25C71" w:rsidRPr="0012618B">
        <w:t>eq.)</w:t>
      </w:r>
      <w:r w:rsidR="00994EB7" w:rsidRPr="0012618B">
        <w:t>, and section 504 of the Rehabilitation Act of 1973 (29 U.S.C. § 794).</w:t>
      </w:r>
      <w:r w:rsidR="00994EB7">
        <w:rPr>
          <w:rFonts w:eastAsia="Times New Roman" w:cs="Arial"/>
          <w:color w:val="000000"/>
        </w:rPr>
        <w:t xml:space="preserve">  </w:t>
      </w:r>
      <w:r w:rsidR="00604D2C" w:rsidRPr="00E336A2">
        <w:rPr>
          <w:rFonts w:eastAsia="Times New Roman" w:cs="Arial"/>
          <w:color w:val="000000"/>
        </w:rPr>
        <w:t xml:space="preserve"> </w:t>
      </w:r>
    </w:p>
    <w:p w14:paraId="0BEB59B7" w14:textId="77777777" w:rsidR="00C11B3F" w:rsidRPr="00E336A2" w:rsidRDefault="00604D2C" w:rsidP="0094079D">
      <w:pPr>
        <w:spacing w:line="360" w:lineRule="auto"/>
        <w:rPr>
          <w:rFonts w:eastAsia="Times New Roman" w:cs="Arial"/>
          <w:color w:val="000000"/>
        </w:rPr>
      </w:pPr>
      <w:r w:rsidRPr="00E336A2">
        <w:rPr>
          <w:rFonts w:eastAsia="Times New Roman" w:cs="Arial"/>
          <w:color w:val="000000"/>
        </w:rPr>
        <w:tab/>
        <w:t>We th</w:t>
      </w:r>
      <w:r w:rsidR="00D94C8E" w:rsidRPr="00E336A2">
        <w:rPr>
          <w:rFonts w:eastAsia="Times New Roman" w:cs="Arial"/>
          <w:color w:val="000000"/>
        </w:rPr>
        <w:t xml:space="preserve">us </w:t>
      </w:r>
      <w:r w:rsidR="00C11B3F" w:rsidRPr="00E336A2">
        <w:rPr>
          <w:rFonts w:eastAsia="Times New Roman" w:cs="Arial"/>
          <w:color w:val="000000"/>
        </w:rPr>
        <w:t xml:space="preserve">conclude the trial court did not err in sustaining the school district’s demurrer to </w:t>
      </w:r>
      <w:r w:rsidR="00F32CFD" w:rsidRPr="00E336A2">
        <w:rPr>
          <w:rFonts w:eastAsia="Times New Roman" w:cs="Arial"/>
          <w:color w:val="000000"/>
        </w:rPr>
        <w:t>petitioner’s</w:t>
      </w:r>
      <w:r w:rsidR="00C11B3F" w:rsidRPr="00E336A2">
        <w:rPr>
          <w:rFonts w:eastAsia="Times New Roman" w:cs="Arial"/>
          <w:color w:val="000000"/>
        </w:rPr>
        <w:t xml:space="preserve"> cause of action under the Unruh Act</w:t>
      </w:r>
      <w:r w:rsidR="00E7676C" w:rsidRPr="00E336A2">
        <w:rPr>
          <w:rFonts w:eastAsia="Times New Roman" w:cs="Arial"/>
          <w:color w:val="000000"/>
        </w:rPr>
        <w:t xml:space="preserve"> without leave to amend</w:t>
      </w:r>
      <w:r w:rsidR="00D94C8E" w:rsidRPr="00E336A2">
        <w:rPr>
          <w:rFonts w:eastAsia="Times New Roman" w:cs="Arial"/>
          <w:color w:val="000000"/>
        </w:rPr>
        <w:t>,</w:t>
      </w:r>
      <w:r w:rsidR="00C11B3F" w:rsidRPr="00E336A2">
        <w:rPr>
          <w:rFonts w:eastAsia="Times New Roman" w:cs="Arial"/>
          <w:color w:val="000000"/>
        </w:rPr>
        <w:t xml:space="preserve"> and </w:t>
      </w:r>
      <w:r w:rsidR="00D94C8E" w:rsidRPr="00E336A2">
        <w:rPr>
          <w:rFonts w:eastAsia="Times New Roman" w:cs="Arial"/>
          <w:color w:val="000000"/>
        </w:rPr>
        <w:t xml:space="preserve">therefore </w:t>
      </w:r>
      <w:r w:rsidR="00C11B3F" w:rsidRPr="00E336A2">
        <w:rPr>
          <w:rFonts w:eastAsia="Times New Roman" w:cs="Arial"/>
          <w:color w:val="000000"/>
        </w:rPr>
        <w:t xml:space="preserve">deny </w:t>
      </w:r>
      <w:r w:rsidR="00F32CFD" w:rsidRPr="00E336A2">
        <w:rPr>
          <w:rFonts w:eastAsia="Times New Roman" w:cs="Arial"/>
          <w:color w:val="000000"/>
        </w:rPr>
        <w:t xml:space="preserve">his </w:t>
      </w:r>
      <w:r w:rsidR="00C11B3F" w:rsidRPr="00E336A2">
        <w:rPr>
          <w:rFonts w:eastAsia="Times New Roman" w:cs="Arial"/>
          <w:color w:val="000000"/>
        </w:rPr>
        <w:t xml:space="preserve">petition for a writ of mandate </w:t>
      </w:r>
      <w:r w:rsidR="00D94C8E" w:rsidRPr="00E336A2">
        <w:rPr>
          <w:rFonts w:eastAsia="Times New Roman" w:cs="Arial"/>
          <w:color w:val="000000"/>
        </w:rPr>
        <w:t>(Code Civ. Proc.</w:t>
      </w:r>
      <w:r w:rsidR="00866DDA" w:rsidRPr="00E336A2">
        <w:rPr>
          <w:rFonts w:eastAsia="Times New Roman" w:cs="Arial"/>
          <w:color w:val="000000"/>
        </w:rPr>
        <w:t>,</w:t>
      </w:r>
      <w:r w:rsidR="00D94C8E" w:rsidRPr="00E336A2">
        <w:rPr>
          <w:rFonts w:eastAsia="Times New Roman" w:cs="Arial"/>
          <w:color w:val="000000"/>
        </w:rPr>
        <w:t xml:space="preserve"> </w:t>
      </w:r>
      <w:r w:rsidR="00866DDA" w:rsidRPr="00E336A2">
        <w:t>§</w:t>
      </w:r>
      <w:r w:rsidR="00D94C8E" w:rsidRPr="00E336A2">
        <w:rPr>
          <w:rFonts w:eastAsia="Times New Roman" w:cs="Arial"/>
          <w:color w:val="000000"/>
        </w:rPr>
        <w:t xml:space="preserve"> 1085) </w:t>
      </w:r>
      <w:r w:rsidR="00C11B3F" w:rsidRPr="00E336A2">
        <w:rPr>
          <w:rFonts w:eastAsia="Times New Roman" w:cs="Arial"/>
          <w:color w:val="000000"/>
        </w:rPr>
        <w:t xml:space="preserve">challenging that ruling.  </w:t>
      </w:r>
    </w:p>
    <w:p w14:paraId="5EDD6A9D" w14:textId="77777777" w:rsidR="00C11B3F" w:rsidRPr="00E336A2" w:rsidRDefault="00C11B3F" w:rsidP="00866DDA">
      <w:pPr>
        <w:keepNext/>
        <w:spacing w:line="360" w:lineRule="auto"/>
        <w:jc w:val="center"/>
        <w:rPr>
          <w:rFonts w:eastAsia="Times New Roman" w:cs="Arial"/>
          <w:color w:val="000000"/>
        </w:rPr>
      </w:pPr>
      <w:r w:rsidRPr="00E336A2">
        <w:rPr>
          <w:rFonts w:eastAsia="Times New Roman" w:cs="Arial"/>
          <w:b/>
          <w:bCs/>
          <w:color w:val="000000"/>
        </w:rPr>
        <w:t>DISCUSSION</w:t>
      </w:r>
      <w:r w:rsidR="00175397" w:rsidRPr="00E336A2">
        <w:rPr>
          <w:rStyle w:val="FootnoteReference"/>
          <w:rFonts w:eastAsia="Times New Roman" w:cs="Arial"/>
          <w:b/>
          <w:bCs/>
          <w:color w:val="000000"/>
        </w:rPr>
        <w:footnoteReference w:id="2"/>
      </w:r>
    </w:p>
    <w:p w14:paraId="6F4FFE85" w14:textId="77777777" w:rsidR="00C11B3F" w:rsidRPr="00E336A2" w:rsidRDefault="00C11B3F" w:rsidP="00866DDA">
      <w:pPr>
        <w:keepNext/>
        <w:spacing w:line="360" w:lineRule="auto"/>
        <w:rPr>
          <w:rFonts w:eastAsia="Times New Roman" w:cs="Arial"/>
          <w:color w:val="000000"/>
        </w:rPr>
      </w:pPr>
      <w:r w:rsidRPr="00E336A2">
        <w:rPr>
          <w:rFonts w:eastAsia="Times New Roman" w:cs="Arial"/>
          <w:b/>
          <w:bCs/>
          <w:i/>
          <w:iCs/>
          <w:color w:val="000000"/>
        </w:rPr>
        <w:t>Historical Background</w:t>
      </w:r>
      <w:r w:rsidR="00B1355F" w:rsidRPr="00E336A2">
        <w:rPr>
          <w:rFonts w:eastAsia="Times New Roman" w:cs="Arial"/>
          <w:b/>
          <w:bCs/>
          <w:i/>
          <w:iCs/>
          <w:color w:val="000000"/>
        </w:rPr>
        <w:t xml:space="preserve"> of the Unruh Act</w:t>
      </w:r>
    </w:p>
    <w:p w14:paraId="6AE42D53" w14:textId="77777777" w:rsidR="00AB0F68" w:rsidRPr="00E336A2" w:rsidRDefault="00C11B3F" w:rsidP="00866DDA">
      <w:pPr>
        <w:keepNext/>
        <w:spacing w:line="360" w:lineRule="auto"/>
      </w:pPr>
      <w:r w:rsidRPr="00E336A2">
        <w:rPr>
          <w:rFonts w:eastAsia="Times New Roman" w:cs="Arial"/>
          <w:color w:val="000000"/>
        </w:rPr>
        <w:tab/>
        <w:t xml:space="preserve">“The general policy embodied in </w:t>
      </w:r>
      <w:r w:rsidR="003079C3" w:rsidRPr="00E336A2">
        <w:rPr>
          <w:rFonts w:eastAsia="Times New Roman" w:cs="Arial"/>
          <w:color w:val="000000"/>
        </w:rPr>
        <w:t xml:space="preserve">[Civil Code] </w:t>
      </w:r>
      <w:r w:rsidRPr="00E336A2">
        <w:rPr>
          <w:rFonts w:eastAsia="Times New Roman" w:cs="Arial"/>
          <w:color w:val="000000"/>
        </w:rPr>
        <w:t>section 51 can be traced to the early common law doctrine that required a few, particularly vital, public enterprises—such as privately</w:t>
      </w:r>
      <w:r w:rsidR="003079C3" w:rsidRPr="00E336A2">
        <w:rPr>
          <w:rFonts w:eastAsia="Times New Roman" w:cs="Arial"/>
          <w:color w:val="000000"/>
        </w:rPr>
        <w:t xml:space="preserve"> </w:t>
      </w:r>
      <w:r w:rsidRPr="00E336A2">
        <w:rPr>
          <w:rFonts w:eastAsia="Times New Roman" w:cs="Arial"/>
          <w:color w:val="000000"/>
        </w:rPr>
        <w:t xml:space="preserve">owned toll bridges, ferryboats, and inns—to serve all members of the public without arbitrary discrimination. </w:t>
      </w:r>
      <w:r w:rsidR="00866DDA" w:rsidRPr="00E336A2">
        <w:rPr>
          <w:rFonts w:eastAsia="Times New Roman" w:cs="Arial"/>
          <w:color w:val="000000"/>
        </w:rPr>
        <w:t xml:space="preserve"> </w:t>
      </w:r>
      <w:r w:rsidRPr="00E336A2">
        <w:rPr>
          <w:rFonts w:eastAsia="Times New Roman" w:cs="Arial"/>
          <w:color w:val="000000"/>
        </w:rPr>
        <w:t xml:space="preserve">(See </w:t>
      </w:r>
      <w:proofErr w:type="gramStart"/>
      <w:r w:rsidRPr="00E336A2">
        <w:rPr>
          <w:rFonts w:eastAsia="Times New Roman" w:cs="Arial"/>
          <w:color w:val="000000"/>
        </w:rPr>
        <w:t xml:space="preserve">generally, </w:t>
      </w:r>
      <w:proofErr w:type="spellStart"/>
      <w:r w:rsidRPr="00E336A2">
        <w:rPr>
          <w:rFonts w:eastAsia="Times New Roman" w:cs="Arial"/>
          <w:color w:val="000000"/>
        </w:rPr>
        <w:t>Tobriner</w:t>
      </w:r>
      <w:proofErr w:type="spellEnd"/>
      <w:r w:rsidRPr="00E336A2">
        <w:rPr>
          <w:rFonts w:eastAsia="Times New Roman" w:cs="Arial"/>
          <w:color w:val="000000"/>
        </w:rPr>
        <w:t xml:space="preserve"> &amp; </w:t>
      </w:r>
      <w:proofErr w:type="spellStart"/>
      <w:r w:rsidRPr="00E336A2">
        <w:rPr>
          <w:rFonts w:eastAsia="Times New Roman" w:cs="Arial"/>
          <w:color w:val="000000"/>
        </w:rPr>
        <w:t>Grodin</w:t>
      </w:r>
      <w:proofErr w:type="spellEnd"/>
      <w:proofErr w:type="gramEnd"/>
      <w:r w:rsidRPr="00E336A2">
        <w:rPr>
          <w:rFonts w:eastAsia="Times New Roman" w:cs="Arial"/>
          <w:color w:val="000000"/>
        </w:rPr>
        <w:t xml:space="preserve">, </w:t>
      </w:r>
      <w:r w:rsidRPr="00E336A2">
        <w:rPr>
          <w:rFonts w:eastAsia="Times New Roman" w:cs="Arial"/>
          <w:i/>
          <w:iCs/>
          <w:color w:val="000000"/>
        </w:rPr>
        <w:t>The Individual and the Public Service Enterprise in the New Industrial State</w:t>
      </w:r>
      <w:r w:rsidRPr="00E336A2">
        <w:rPr>
          <w:rFonts w:eastAsia="Times New Roman" w:cs="Arial"/>
          <w:color w:val="000000"/>
        </w:rPr>
        <w:t xml:space="preserve"> (1967) 55 </w:t>
      </w:r>
      <w:proofErr w:type="spellStart"/>
      <w:r w:rsidRPr="00E336A2">
        <w:rPr>
          <w:rFonts w:eastAsia="Times New Roman" w:cs="Arial"/>
          <w:color w:val="000000"/>
        </w:rPr>
        <w:t>Cal.L.Rev</w:t>
      </w:r>
      <w:proofErr w:type="spellEnd"/>
      <w:r w:rsidRPr="00E336A2">
        <w:rPr>
          <w:rFonts w:eastAsia="Times New Roman" w:cs="Arial"/>
          <w:color w:val="000000"/>
        </w:rPr>
        <w:t>. 1247, 1250</w:t>
      </w:r>
      <w:r w:rsidR="00A04497" w:rsidRPr="00E336A2">
        <w:rPr>
          <w:rFonts w:eastAsia="Times New Roman" w:cs="Arial"/>
          <w:color w:val="000000"/>
        </w:rPr>
        <w:t xml:space="preserve"> [</w:t>
      </w:r>
      <w:r w:rsidR="003079C3" w:rsidRPr="00E336A2">
        <w:rPr>
          <w:rFonts w:eastAsia="Times New Roman" w:cs="Arial"/>
          <w:color w:val="000000"/>
        </w:rPr>
        <w:t>(</w:t>
      </w:r>
      <w:proofErr w:type="spellStart"/>
      <w:r w:rsidR="00A04497" w:rsidRPr="00E336A2">
        <w:rPr>
          <w:rFonts w:eastAsia="Times New Roman" w:cs="Arial"/>
          <w:color w:val="000000"/>
        </w:rPr>
        <w:t>Tobriner</w:t>
      </w:r>
      <w:proofErr w:type="spellEnd"/>
      <w:r w:rsidR="00A04497" w:rsidRPr="00E336A2">
        <w:rPr>
          <w:rFonts w:eastAsia="Times New Roman" w:cs="Arial"/>
          <w:color w:val="000000"/>
        </w:rPr>
        <w:t xml:space="preserve"> &amp; </w:t>
      </w:r>
      <w:proofErr w:type="spellStart"/>
      <w:r w:rsidR="00A04497" w:rsidRPr="00E336A2">
        <w:rPr>
          <w:rFonts w:eastAsia="Times New Roman" w:cs="Arial"/>
          <w:color w:val="000000"/>
        </w:rPr>
        <w:t>Grodin</w:t>
      </w:r>
      <w:proofErr w:type="spellEnd"/>
      <w:r w:rsidR="003079C3" w:rsidRPr="00E336A2">
        <w:rPr>
          <w:rFonts w:eastAsia="Times New Roman" w:cs="Arial"/>
          <w:color w:val="000000"/>
        </w:rPr>
        <w:t>)</w:t>
      </w:r>
      <w:r w:rsidR="00A04497" w:rsidRPr="00E336A2">
        <w:rPr>
          <w:rFonts w:eastAsia="Times New Roman" w:cs="Arial"/>
          <w:color w:val="000000"/>
        </w:rPr>
        <w:t>]</w:t>
      </w:r>
      <w:r w:rsidRPr="00E336A2">
        <w:rPr>
          <w:rFonts w:eastAsia="Times New Roman" w:cs="Arial"/>
          <w:color w:val="000000"/>
        </w:rPr>
        <w:t xml:space="preserve">.) </w:t>
      </w:r>
      <w:r w:rsidR="002E503B" w:rsidRPr="00E336A2">
        <w:rPr>
          <w:rFonts w:eastAsia="Times New Roman" w:cs="Arial"/>
          <w:color w:val="000000"/>
        </w:rPr>
        <w:t xml:space="preserve"> </w:t>
      </w:r>
      <w:r w:rsidRPr="00E336A2">
        <w:rPr>
          <w:rFonts w:eastAsia="Times New Roman" w:cs="Arial"/>
          <w:color w:val="000000"/>
        </w:rPr>
        <w:t>After the United States Supreme Court, in the</w:t>
      </w:r>
      <w:r w:rsidR="00866DDA" w:rsidRPr="00E336A2">
        <w:rPr>
          <w:rFonts w:eastAsia="Times New Roman" w:cs="Arial"/>
          <w:color w:val="000000"/>
        </w:rPr>
        <w:t xml:space="preserve"> </w:t>
      </w:r>
      <w:r w:rsidRPr="00E336A2">
        <w:rPr>
          <w:rFonts w:eastAsia="Times New Roman" w:cs="Arial"/>
          <w:i/>
          <w:iCs/>
          <w:color w:val="000000"/>
        </w:rPr>
        <w:t xml:space="preserve">Civil </w:t>
      </w:r>
      <w:r w:rsidRPr="00E336A2">
        <w:rPr>
          <w:rFonts w:eastAsia="Times New Roman" w:cs="Arial"/>
          <w:i/>
          <w:iCs/>
          <w:color w:val="000000"/>
        </w:rPr>
        <w:lastRenderedPageBreak/>
        <w:t>Rights Cases</w:t>
      </w:r>
      <w:r w:rsidRPr="00E336A2">
        <w:rPr>
          <w:rFonts w:eastAsia="Times New Roman" w:cs="Arial"/>
          <w:color w:val="000000"/>
        </w:rPr>
        <w:t xml:space="preserve"> (1883) 109 U.S. 3</w:t>
      </w:r>
      <w:r w:rsidR="003079C3" w:rsidRPr="00E336A2">
        <w:rPr>
          <w:rFonts w:eastAsia="Times New Roman" w:cs="Arial"/>
          <w:color w:val="000000"/>
        </w:rPr>
        <w:t xml:space="preserve"> . . . </w:t>
      </w:r>
      <w:r w:rsidRPr="00E336A2">
        <w:rPr>
          <w:rFonts w:eastAsia="Times New Roman" w:cs="Arial"/>
          <w:color w:val="000000"/>
        </w:rPr>
        <w:t xml:space="preserve">, invalidated the first federal public accommodation statute, California joined a number of other states in enacting its own initial public accommodation statute, the statutory predecessor of the current version of </w:t>
      </w:r>
      <w:r w:rsidR="003079C3" w:rsidRPr="00E336A2">
        <w:rPr>
          <w:rFonts w:eastAsia="Times New Roman" w:cs="Arial"/>
          <w:color w:val="000000"/>
        </w:rPr>
        <w:t xml:space="preserve">[Civil Code] </w:t>
      </w:r>
      <w:r w:rsidRPr="00E336A2">
        <w:rPr>
          <w:rFonts w:eastAsia="Times New Roman" w:cs="Arial"/>
          <w:color w:val="000000"/>
        </w:rPr>
        <w:t xml:space="preserve">section 51. </w:t>
      </w:r>
      <w:r w:rsidR="002E503B" w:rsidRPr="00E336A2">
        <w:rPr>
          <w:rFonts w:eastAsia="Times New Roman" w:cs="Arial"/>
          <w:color w:val="000000"/>
        </w:rPr>
        <w:t xml:space="preserve"> </w:t>
      </w:r>
      <w:r w:rsidRPr="00E336A2">
        <w:rPr>
          <w:rFonts w:eastAsia="Times New Roman" w:cs="Arial"/>
          <w:color w:val="000000"/>
        </w:rPr>
        <w:t>(Stats.</w:t>
      </w:r>
      <w:r w:rsidR="00A271EC">
        <w:rPr>
          <w:rFonts w:eastAsia="Times New Roman" w:cs="Arial"/>
          <w:color w:val="000000"/>
        </w:rPr>
        <w:t xml:space="preserve"> </w:t>
      </w:r>
      <w:r w:rsidRPr="00E336A2">
        <w:rPr>
          <w:rFonts w:eastAsia="Times New Roman" w:cs="Arial"/>
          <w:color w:val="000000"/>
        </w:rPr>
        <w:t xml:space="preserve">1897, </w:t>
      </w:r>
      <w:proofErr w:type="spellStart"/>
      <w:r w:rsidRPr="00E336A2">
        <w:rPr>
          <w:rFonts w:eastAsia="Times New Roman" w:cs="Arial"/>
          <w:color w:val="000000"/>
        </w:rPr>
        <w:t>ch.</w:t>
      </w:r>
      <w:proofErr w:type="spellEnd"/>
      <w:r w:rsidRPr="00E336A2">
        <w:rPr>
          <w:rFonts w:eastAsia="Times New Roman" w:cs="Arial"/>
          <w:color w:val="000000"/>
        </w:rPr>
        <w:t xml:space="preserve"> 108, § 2, p.</w:t>
      </w:r>
      <w:r w:rsidR="00B03CE9" w:rsidRPr="00E336A2">
        <w:rPr>
          <w:rFonts w:eastAsia="Times New Roman" w:cs="Arial"/>
          <w:color w:val="000000"/>
        </w:rPr>
        <w:t> </w:t>
      </w:r>
      <w:r w:rsidRPr="00E336A2">
        <w:rPr>
          <w:rFonts w:eastAsia="Times New Roman" w:cs="Arial"/>
          <w:color w:val="000000"/>
        </w:rPr>
        <w:t>137.)</w:t>
      </w:r>
      <w:r w:rsidR="00AB0F68" w:rsidRPr="00E336A2">
        <w:rPr>
          <w:rFonts w:eastAsia="Times New Roman" w:cs="Arial"/>
          <w:color w:val="000000"/>
        </w:rPr>
        <w:t>”  (</w:t>
      </w:r>
      <w:r w:rsidR="00AB0F68" w:rsidRPr="00E336A2">
        <w:rPr>
          <w:i/>
          <w:iCs/>
        </w:rPr>
        <w:t xml:space="preserve">Warfield v. Peninsula Golf &amp; Country Club </w:t>
      </w:r>
      <w:r w:rsidR="00AB0F68" w:rsidRPr="00E336A2">
        <w:t>(1995) 10</w:t>
      </w:r>
      <w:r w:rsidR="00A271EC">
        <w:t> </w:t>
      </w:r>
      <w:r w:rsidR="00AB0F68" w:rsidRPr="00E336A2">
        <w:t>Cal.4th 594, 607</w:t>
      </w:r>
      <w:r w:rsidR="00A271EC">
        <w:t>–</w:t>
      </w:r>
      <w:r w:rsidR="00AB0F68" w:rsidRPr="00E336A2">
        <w:t>608 (</w:t>
      </w:r>
      <w:r w:rsidR="00AB0F68" w:rsidRPr="00E336A2">
        <w:rPr>
          <w:i/>
          <w:iCs/>
        </w:rPr>
        <w:t>Warfield</w:t>
      </w:r>
      <w:r w:rsidR="00AB0F68" w:rsidRPr="00E336A2">
        <w:t>).)</w:t>
      </w:r>
    </w:p>
    <w:p w14:paraId="4EABB07A" w14:textId="77777777" w:rsidR="006C63D5" w:rsidRPr="00E336A2" w:rsidRDefault="00AB0F68" w:rsidP="00C11B3F">
      <w:pPr>
        <w:spacing w:line="360" w:lineRule="auto"/>
      </w:pPr>
      <w:r w:rsidRPr="00E336A2">
        <w:tab/>
        <w:t>Given the issue</w:t>
      </w:r>
      <w:r w:rsidR="005D14EA" w:rsidRPr="00E336A2">
        <w:t>s</w:t>
      </w:r>
      <w:r w:rsidRPr="00E336A2">
        <w:t xml:space="preserve"> before us, it bears making more than passing reference to the </w:t>
      </w:r>
      <w:r w:rsidRPr="00E336A2">
        <w:rPr>
          <w:i/>
          <w:iCs/>
        </w:rPr>
        <w:t xml:space="preserve">Civil </w:t>
      </w:r>
      <w:r w:rsidR="005D14EA" w:rsidRPr="00E336A2">
        <w:rPr>
          <w:i/>
          <w:iCs/>
        </w:rPr>
        <w:t>R</w:t>
      </w:r>
      <w:r w:rsidRPr="00E336A2">
        <w:rPr>
          <w:i/>
          <w:iCs/>
        </w:rPr>
        <w:t>ights Cases.</w:t>
      </w:r>
      <w:r w:rsidR="005D14EA" w:rsidRPr="00E336A2">
        <w:rPr>
          <w:i/>
          <w:iCs/>
        </w:rPr>
        <w:t xml:space="preserve">  </w:t>
      </w:r>
      <w:r w:rsidR="005D14EA" w:rsidRPr="00E336A2">
        <w:t>The</w:t>
      </w:r>
      <w:r w:rsidR="00AF50C0" w:rsidRPr="00E336A2">
        <w:t>se</w:t>
      </w:r>
      <w:r w:rsidR="005D14EA" w:rsidRPr="00E336A2">
        <w:t xml:space="preserve"> cases arose under a federal statute that prohibited </w:t>
      </w:r>
      <w:r w:rsidR="00FE07D0" w:rsidRPr="00E336A2">
        <w:t xml:space="preserve">private citizens </w:t>
      </w:r>
      <w:r w:rsidR="005D14EA" w:rsidRPr="00E336A2">
        <w:t xml:space="preserve">from discriminating on the basis of race </w:t>
      </w:r>
      <w:r w:rsidR="00034EB5" w:rsidRPr="00E336A2">
        <w:t>in operating or providing “</w:t>
      </w:r>
      <w:r w:rsidR="003079C3" w:rsidRPr="00E336A2">
        <w:t xml:space="preserve"> ‘</w:t>
      </w:r>
      <w:r w:rsidR="00034EB5" w:rsidRPr="00E336A2">
        <w:t>accommodations, advantages, facilities, and privileges of inns, public conveyances on land or water, theat</w:t>
      </w:r>
      <w:r w:rsidR="003079C3" w:rsidRPr="00E336A2">
        <w:t>re</w:t>
      </w:r>
      <w:r w:rsidR="00034EB5" w:rsidRPr="00E336A2">
        <w:t>s, and other places of public amusement.</w:t>
      </w:r>
      <w:r w:rsidR="003079C3" w:rsidRPr="00E336A2">
        <w:t xml:space="preserve">’ </w:t>
      </w:r>
      <w:r w:rsidR="00034EB5" w:rsidRPr="00E336A2">
        <w:t>”  (</w:t>
      </w:r>
      <w:r w:rsidR="00034EB5" w:rsidRPr="00E336A2">
        <w:rPr>
          <w:i/>
          <w:iCs/>
        </w:rPr>
        <w:t xml:space="preserve">Civil Rights Cases, supra, </w:t>
      </w:r>
      <w:r w:rsidR="00B1355F" w:rsidRPr="00E336A2">
        <w:t xml:space="preserve">109 U.S. </w:t>
      </w:r>
      <w:r w:rsidR="00034EB5" w:rsidRPr="00E336A2">
        <w:t>at p. 9.)  Any person violating this prohibition was subject to a civil penalty enforceable in a</w:t>
      </w:r>
      <w:r w:rsidR="00AF50C0" w:rsidRPr="00E336A2">
        <w:t xml:space="preserve"> legal</w:t>
      </w:r>
      <w:r w:rsidR="00034EB5" w:rsidRPr="00E336A2">
        <w:t xml:space="preserve"> action by the aggrieved person and to criminal prosecution.  (</w:t>
      </w:r>
      <w:r w:rsidR="00034EB5" w:rsidRPr="00E336A2">
        <w:rPr>
          <w:i/>
          <w:iCs/>
        </w:rPr>
        <w:t>Ibid.</w:t>
      </w:r>
      <w:r w:rsidR="00034EB5" w:rsidRPr="00E336A2">
        <w:t xml:space="preserve">)  The </w:t>
      </w:r>
      <w:r w:rsidR="00AF50C0" w:rsidRPr="00E336A2">
        <w:t xml:space="preserve">United States </w:t>
      </w:r>
      <w:r w:rsidR="00034EB5" w:rsidRPr="00E336A2">
        <w:t xml:space="preserve">Supreme Court </w:t>
      </w:r>
      <w:r w:rsidR="0081415C" w:rsidRPr="00E336A2">
        <w:t>invalidated the statute</w:t>
      </w:r>
      <w:r w:rsidR="00FE07D0" w:rsidRPr="00E336A2">
        <w:t xml:space="preserve">.  </w:t>
      </w:r>
    </w:p>
    <w:p w14:paraId="2B9E24BE" w14:textId="77777777" w:rsidR="005604C8" w:rsidRPr="00E336A2" w:rsidRDefault="006C63D5" w:rsidP="00C11B3F">
      <w:pPr>
        <w:spacing w:line="360" w:lineRule="auto"/>
      </w:pPr>
      <w:r w:rsidRPr="00E336A2">
        <w:tab/>
      </w:r>
      <w:r w:rsidR="00FE07D0" w:rsidRPr="00E336A2">
        <w:t xml:space="preserve">The court </w:t>
      </w:r>
      <w:r w:rsidR="0081415C" w:rsidRPr="00E336A2">
        <w:t>first conclud</w:t>
      </w:r>
      <w:r w:rsidR="00FE07D0" w:rsidRPr="00E336A2">
        <w:t>ed</w:t>
      </w:r>
      <w:r w:rsidR="0081415C" w:rsidRPr="00E336A2">
        <w:t xml:space="preserve"> </w:t>
      </w:r>
      <w:r w:rsidR="00FE07D0" w:rsidRPr="00E336A2">
        <w:t xml:space="preserve">the statute </w:t>
      </w:r>
      <w:r w:rsidR="0081415C" w:rsidRPr="00E336A2">
        <w:t xml:space="preserve">could not be sustained under the Fourteenth Amendment </w:t>
      </w:r>
      <w:r w:rsidR="00034EB5" w:rsidRPr="00E336A2">
        <w:t xml:space="preserve">because the statutory prohibition was divorced from state action and </w:t>
      </w:r>
      <w:r w:rsidR="0081415C" w:rsidRPr="00E336A2">
        <w:t xml:space="preserve">was </w:t>
      </w:r>
      <w:r w:rsidR="00AF50C0" w:rsidRPr="00E336A2">
        <w:t>directed at c</w:t>
      </w:r>
      <w:r w:rsidR="00034EB5" w:rsidRPr="00E336A2">
        <w:t>onduct by private persons.</w:t>
      </w:r>
      <w:r w:rsidR="003E536A" w:rsidRPr="00E336A2">
        <w:t xml:space="preserve">  (</w:t>
      </w:r>
      <w:r w:rsidR="002E503B" w:rsidRPr="00E336A2">
        <w:rPr>
          <w:i/>
          <w:iCs/>
        </w:rPr>
        <w:t xml:space="preserve">Civil Rights Cases, supra, </w:t>
      </w:r>
      <w:r w:rsidR="002E503B" w:rsidRPr="00E336A2">
        <w:t xml:space="preserve">109 U.S. </w:t>
      </w:r>
      <w:r w:rsidR="003E536A" w:rsidRPr="00E336A2">
        <w:t>at pp.</w:t>
      </w:r>
      <w:r w:rsidR="00B03CE9" w:rsidRPr="00E336A2">
        <w:t> </w:t>
      </w:r>
      <w:r w:rsidR="003E536A" w:rsidRPr="00E336A2">
        <w:t>10</w:t>
      </w:r>
      <w:r w:rsidR="00A271EC">
        <w:t>–</w:t>
      </w:r>
      <w:r w:rsidR="003E536A" w:rsidRPr="00E336A2">
        <w:t>20.)  “It is State action of a particular character that is prohibited.  Individual invasion of individual rights is not the subject matter of the amendment.”  (</w:t>
      </w:r>
      <w:r w:rsidR="003E536A" w:rsidRPr="00E336A2">
        <w:rPr>
          <w:i/>
          <w:iCs/>
        </w:rPr>
        <w:t xml:space="preserve">Id. </w:t>
      </w:r>
      <w:r w:rsidR="003E536A" w:rsidRPr="00E336A2">
        <w:t xml:space="preserve">at p. 11.)  The court </w:t>
      </w:r>
      <w:r w:rsidR="000F77F3" w:rsidRPr="00E336A2">
        <w:t>next</w:t>
      </w:r>
      <w:r w:rsidR="003E536A" w:rsidRPr="00E336A2">
        <w:t xml:space="preserve"> </w:t>
      </w:r>
      <w:r w:rsidR="00AF50C0" w:rsidRPr="00E336A2">
        <w:t xml:space="preserve">considered </w:t>
      </w:r>
      <w:r w:rsidR="003E536A" w:rsidRPr="00E336A2">
        <w:t xml:space="preserve">whether the statute could be sustained under the Thirteenth Amendment as “necessary and proper” to </w:t>
      </w:r>
      <w:r w:rsidR="00AF50C0" w:rsidRPr="00E336A2">
        <w:t xml:space="preserve">enforce the constitutional </w:t>
      </w:r>
      <w:r w:rsidR="003E536A" w:rsidRPr="00E336A2">
        <w:t>pr</w:t>
      </w:r>
      <w:r w:rsidR="00AF50C0" w:rsidRPr="00E336A2">
        <w:t xml:space="preserve">ohibition </w:t>
      </w:r>
      <w:r w:rsidR="00E44154" w:rsidRPr="00E336A2">
        <w:t>of</w:t>
      </w:r>
      <w:r w:rsidR="003E536A" w:rsidRPr="00E336A2">
        <w:t xml:space="preserve"> slavery</w:t>
      </w:r>
      <w:r w:rsidR="0081415C" w:rsidRPr="00E336A2">
        <w:t>.</w:t>
      </w:r>
      <w:r w:rsidR="003E536A" w:rsidRPr="00E336A2">
        <w:t xml:space="preserve">  (</w:t>
      </w:r>
      <w:r w:rsidR="003E536A" w:rsidRPr="00E336A2">
        <w:rPr>
          <w:i/>
          <w:iCs/>
        </w:rPr>
        <w:t xml:space="preserve">Id. </w:t>
      </w:r>
      <w:r w:rsidR="003E536A" w:rsidRPr="00E336A2">
        <w:t>at pp. 20</w:t>
      </w:r>
      <w:r w:rsidR="00A271EC">
        <w:t>–</w:t>
      </w:r>
      <w:r w:rsidR="003E536A" w:rsidRPr="00E336A2">
        <w:t xml:space="preserve">24.)  The court </w:t>
      </w:r>
      <w:r w:rsidR="002F52DA" w:rsidRPr="00E336A2">
        <w:t xml:space="preserve">concluded </w:t>
      </w:r>
      <w:r w:rsidR="003E536A" w:rsidRPr="00E336A2">
        <w:t>“the act of a mere individual, the owner of the inn, the public conveyance or place of amusement</w:t>
      </w:r>
      <w:r w:rsidR="005604C8" w:rsidRPr="00E336A2">
        <w:t xml:space="preserve">, refusing the accommodation” could not “be justly regarded as </w:t>
      </w:r>
      <w:r w:rsidR="005604C8" w:rsidRPr="00E336A2">
        <w:lastRenderedPageBreak/>
        <w:t>imposing any badge of slavery or servitude upon the applicant</w:t>
      </w:r>
      <w:r w:rsidRPr="00E336A2">
        <w:t>.</w:t>
      </w:r>
      <w:r w:rsidR="005604C8" w:rsidRPr="00E336A2">
        <w:t>”</w:t>
      </w:r>
      <w:r w:rsidRPr="00E336A2">
        <w:t xml:space="preserve">  Rather, said the court, it</w:t>
      </w:r>
      <w:r w:rsidR="005604C8" w:rsidRPr="00E336A2">
        <w:t xml:space="preserve"> was an act “inflicting an ordinary civil injury, properly cognizable by the laws of the </w:t>
      </w:r>
      <w:r w:rsidR="00125C0C" w:rsidRPr="00E336A2">
        <w:t>S</w:t>
      </w:r>
      <w:r w:rsidR="005604C8" w:rsidRPr="00E336A2">
        <w:t>tate</w:t>
      </w:r>
      <w:r w:rsidR="00125C0C" w:rsidRPr="00E336A2">
        <w:t>,</w:t>
      </w:r>
      <w:r w:rsidR="005604C8" w:rsidRPr="00E336A2">
        <w:t xml:space="preserve"> and presumably subject to redress by those laws.”  (</w:t>
      </w:r>
      <w:r w:rsidR="005604C8" w:rsidRPr="00E336A2">
        <w:rPr>
          <w:i/>
          <w:iCs/>
        </w:rPr>
        <w:t xml:space="preserve">Id. </w:t>
      </w:r>
      <w:r w:rsidR="005604C8" w:rsidRPr="00E336A2">
        <w:t>at p. 24.)</w:t>
      </w:r>
    </w:p>
    <w:p w14:paraId="6CF4607E" w14:textId="77777777" w:rsidR="00945BFD" w:rsidRPr="00E336A2" w:rsidRDefault="002B4DBB" w:rsidP="00945BFD">
      <w:pPr>
        <w:spacing w:line="360" w:lineRule="auto"/>
      </w:pPr>
      <w:r w:rsidRPr="00E336A2">
        <w:tab/>
      </w:r>
      <w:r w:rsidR="005604C8" w:rsidRPr="00E336A2">
        <w:t xml:space="preserve">As our Supreme Court has </w:t>
      </w:r>
      <w:r w:rsidR="0081415C" w:rsidRPr="00E336A2">
        <w:t xml:space="preserve">since </w:t>
      </w:r>
      <w:r w:rsidR="00AF50C0" w:rsidRPr="00E336A2">
        <w:t>observed</w:t>
      </w:r>
      <w:r w:rsidR="005604C8" w:rsidRPr="00E336A2">
        <w:t>, many states, including California, enacted the state law</w:t>
      </w:r>
      <w:r w:rsidR="002B43C6" w:rsidRPr="00E336A2">
        <w:t>s</w:t>
      </w:r>
      <w:r w:rsidR="005604C8" w:rsidRPr="00E336A2">
        <w:t xml:space="preserve"> necessary to replace the </w:t>
      </w:r>
      <w:r w:rsidR="002B43C6" w:rsidRPr="00E336A2">
        <w:t xml:space="preserve">invalidated federal </w:t>
      </w:r>
      <w:r w:rsidR="00FB7D59" w:rsidRPr="00E336A2">
        <w:t xml:space="preserve">statute </w:t>
      </w:r>
      <w:r w:rsidR="00FE07D0" w:rsidRPr="00E336A2">
        <w:t xml:space="preserve">that had </w:t>
      </w:r>
      <w:r w:rsidR="00A736C7" w:rsidRPr="00E336A2">
        <w:t xml:space="preserve">endeavored </w:t>
      </w:r>
      <w:r w:rsidR="00FE07D0" w:rsidRPr="00E336A2">
        <w:t xml:space="preserve">to </w:t>
      </w:r>
      <w:r w:rsidR="002B43C6" w:rsidRPr="00E336A2">
        <w:t xml:space="preserve">prohibit discriminatory conduct by private persons in the operation and provision of public accommodations, conveyances and places of amusement.  </w:t>
      </w:r>
      <w:r w:rsidR="0081415C" w:rsidRPr="00E336A2">
        <w:t>(</w:t>
      </w:r>
      <w:r w:rsidR="006A46E0" w:rsidRPr="00E336A2">
        <w:t xml:space="preserve">E.g., </w:t>
      </w:r>
      <w:r w:rsidR="00CF7F13" w:rsidRPr="00E336A2">
        <w:rPr>
          <w:i/>
          <w:iCs/>
        </w:rPr>
        <w:t>C</w:t>
      </w:r>
      <w:r w:rsidR="0081415C" w:rsidRPr="00E336A2">
        <w:rPr>
          <w:i/>
          <w:iCs/>
        </w:rPr>
        <w:t xml:space="preserve">urran v. Mount </w:t>
      </w:r>
      <w:r w:rsidR="00CF7F13" w:rsidRPr="00E336A2">
        <w:rPr>
          <w:i/>
          <w:iCs/>
        </w:rPr>
        <w:t>D</w:t>
      </w:r>
      <w:r w:rsidR="0081415C" w:rsidRPr="00E336A2">
        <w:rPr>
          <w:i/>
          <w:iCs/>
        </w:rPr>
        <w:t xml:space="preserve">iablo Council of the Boy Scouts </w:t>
      </w:r>
      <w:r w:rsidR="0081415C" w:rsidRPr="00E336A2">
        <w:t>(1998) 17 Cal.4</w:t>
      </w:r>
      <w:r w:rsidR="00CF7F13" w:rsidRPr="00E336A2">
        <w:t>th</w:t>
      </w:r>
      <w:r w:rsidR="0081415C" w:rsidRPr="00E336A2">
        <w:t xml:space="preserve"> 670, 686</w:t>
      </w:r>
      <w:r w:rsidR="00CF7F13" w:rsidRPr="00E336A2">
        <w:t xml:space="preserve"> (</w:t>
      </w:r>
      <w:r w:rsidR="00CF7F13" w:rsidRPr="00E336A2">
        <w:rPr>
          <w:i/>
          <w:iCs/>
        </w:rPr>
        <w:t>Curran</w:t>
      </w:r>
      <w:r w:rsidR="00CF7F13" w:rsidRPr="00E336A2">
        <w:t xml:space="preserve">); </w:t>
      </w:r>
      <w:r w:rsidR="00CF7F13" w:rsidRPr="00E336A2">
        <w:rPr>
          <w:i/>
          <w:iCs/>
        </w:rPr>
        <w:t xml:space="preserve">Warfield, supra, </w:t>
      </w:r>
      <w:r w:rsidR="00CF7F13" w:rsidRPr="00E336A2">
        <w:t xml:space="preserve">10 Cal.4th at p. 607.)  </w:t>
      </w:r>
      <w:r w:rsidR="002B43C6" w:rsidRPr="00E336A2">
        <w:t xml:space="preserve">Thus, the nomenclature “public accommodation” statutes.  (See </w:t>
      </w:r>
      <w:r w:rsidR="002B43C6" w:rsidRPr="00E336A2">
        <w:rPr>
          <w:i/>
          <w:iCs/>
        </w:rPr>
        <w:t>Curran,</w:t>
      </w:r>
      <w:r w:rsidR="00B03CE9" w:rsidRPr="00E336A2">
        <w:rPr>
          <w:i/>
          <w:iCs/>
        </w:rPr>
        <w:t xml:space="preserve"> </w:t>
      </w:r>
      <w:r w:rsidR="002B43C6" w:rsidRPr="00E336A2">
        <w:t>at p</w:t>
      </w:r>
      <w:r w:rsidR="00FB7D59" w:rsidRPr="00E336A2">
        <w:t>p</w:t>
      </w:r>
      <w:r w:rsidR="002B43C6" w:rsidRPr="00E336A2">
        <w:t>.</w:t>
      </w:r>
      <w:r w:rsidR="00FB7D59" w:rsidRPr="00E336A2">
        <w:t xml:space="preserve"> 686</w:t>
      </w:r>
      <w:r w:rsidR="00A271EC">
        <w:t>–</w:t>
      </w:r>
      <w:r w:rsidR="00FB7D59" w:rsidRPr="00E336A2">
        <w:t>687</w:t>
      </w:r>
      <w:r w:rsidR="002B43C6" w:rsidRPr="00E336A2">
        <w:t xml:space="preserve">; </w:t>
      </w:r>
      <w:r w:rsidR="002B43C6" w:rsidRPr="00E336A2">
        <w:rPr>
          <w:i/>
          <w:iCs/>
        </w:rPr>
        <w:t xml:space="preserve">Warfield, </w:t>
      </w:r>
      <w:r w:rsidR="002B43C6" w:rsidRPr="00E336A2">
        <w:t>at p</w:t>
      </w:r>
      <w:r w:rsidR="00FB7D59" w:rsidRPr="00E336A2">
        <w:t>p</w:t>
      </w:r>
      <w:r w:rsidR="002B43C6" w:rsidRPr="00E336A2">
        <w:t>. 607</w:t>
      </w:r>
      <w:r w:rsidR="00A271EC">
        <w:t>–</w:t>
      </w:r>
      <w:r w:rsidR="00FB7D59" w:rsidRPr="00E336A2">
        <w:t>608</w:t>
      </w:r>
      <w:r w:rsidR="00E44E32" w:rsidRPr="00E336A2">
        <w:t xml:space="preserve">; </w:t>
      </w:r>
      <w:r w:rsidR="00CF7F13" w:rsidRPr="00E336A2">
        <w:t xml:space="preserve">see generally </w:t>
      </w:r>
      <w:r w:rsidR="00E44E32" w:rsidRPr="00E336A2">
        <w:rPr>
          <w:rFonts w:eastAsia="Times New Roman" w:cs="Arial"/>
          <w:color w:val="000000"/>
        </w:rPr>
        <w:t xml:space="preserve">Horowitz, </w:t>
      </w:r>
      <w:r w:rsidR="00E44E32" w:rsidRPr="00E336A2">
        <w:rPr>
          <w:rFonts w:eastAsia="Times New Roman" w:cs="Arial"/>
          <w:i/>
          <w:iCs/>
          <w:color w:val="000000"/>
        </w:rPr>
        <w:t>The 1959 California Equal Rights in “Business Establishments” Statute—A Problem in Statutory Application</w:t>
      </w:r>
      <w:r w:rsidR="00E44E32" w:rsidRPr="00E336A2">
        <w:rPr>
          <w:rFonts w:eastAsia="Times New Roman" w:cs="Arial"/>
          <w:color w:val="000000"/>
        </w:rPr>
        <w:t xml:space="preserve"> (1960) 33</w:t>
      </w:r>
      <w:r w:rsidR="00A271EC">
        <w:rPr>
          <w:rFonts w:eastAsia="Times New Roman" w:cs="Arial"/>
          <w:color w:val="000000"/>
        </w:rPr>
        <w:t> </w:t>
      </w:r>
      <w:proofErr w:type="spellStart"/>
      <w:r w:rsidR="00E44E32" w:rsidRPr="00E336A2">
        <w:rPr>
          <w:rFonts w:eastAsia="Times New Roman" w:cs="Arial"/>
          <w:color w:val="000000"/>
        </w:rPr>
        <w:t>So.Cal.L.Rev</w:t>
      </w:r>
      <w:proofErr w:type="spellEnd"/>
      <w:r w:rsidR="00E44E32" w:rsidRPr="00E336A2">
        <w:rPr>
          <w:rFonts w:eastAsia="Times New Roman" w:cs="Arial"/>
          <w:color w:val="000000"/>
        </w:rPr>
        <w:t>. 2</w:t>
      </w:r>
      <w:r w:rsidR="002F52DA" w:rsidRPr="00E336A2">
        <w:rPr>
          <w:rFonts w:eastAsia="Times New Roman" w:cs="Arial"/>
          <w:color w:val="000000"/>
        </w:rPr>
        <w:t>6</w:t>
      </w:r>
      <w:r w:rsidR="00E44E32" w:rsidRPr="00E336A2">
        <w:rPr>
          <w:rFonts w:eastAsia="Times New Roman" w:cs="Arial"/>
          <w:color w:val="000000"/>
        </w:rPr>
        <w:t>0</w:t>
      </w:r>
      <w:r w:rsidR="002F52DA" w:rsidRPr="00E336A2">
        <w:rPr>
          <w:rFonts w:eastAsia="Times New Roman" w:cs="Arial"/>
          <w:color w:val="000000"/>
        </w:rPr>
        <w:t xml:space="preserve">, 263 </w:t>
      </w:r>
      <w:r w:rsidR="00017780" w:rsidRPr="00E336A2">
        <w:rPr>
          <w:rFonts w:eastAsia="Times New Roman" w:cs="Arial"/>
          <w:color w:val="000000"/>
        </w:rPr>
        <w:t>(Horowitz)</w:t>
      </w:r>
      <w:r w:rsidR="00FB7D59" w:rsidRPr="00E336A2">
        <w:rPr>
          <w:rStyle w:val="FootnoteReference"/>
          <w:rFonts w:eastAsia="Times New Roman" w:cs="Arial"/>
          <w:color w:val="000000"/>
        </w:rPr>
        <w:footnoteReference w:id="3"/>
      </w:r>
      <w:r w:rsidR="002B43C6" w:rsidRPr="00E336A2">
        <w:t>.)</w:t>
      </w:r>
    </w:p>
    <w:p w14:paraId="7626A8F2" w14:textId="77777777" w:rsidR="00841BB1" w:rsidRPr="00E336A2" w:rsidRDefault="00945BFD" w:rsidP="00945BFD">
      <w:pPr>
        <w:spacing w:line="360" w:lineRule="auto"/>
        <w:rPr>
          <w:rFonts w:eastAsia="Times New Roman" w:cs="Arial"/>
          <w:color w:val="000000"/>
        </w:rPr>
      </w:pPr>
      <w:r w:rsidRPr="00E336A2">
        <w:tab/>
      </w:r>
      <w:r w:rsidR="00A470F7" w:rsidRPr="00E336A2">
        <w:t>“</w:t>
      </w:r>
      <w:r w:rsidR="00F174FB" w:rsidRPr="00E336A2">
        <w:t xml:space="preserve"> ‘</w:t>
      </w:r>
      <w:r w:rsidR="00A470F7" w:rsidRPr="00E336A2">
        <w:rPr>
          <w:rFonts w:eastAsia="Times New Roman" w:cs="Arial"/>
          <w:color w:val="000000"/>
        </w:rPr>
        <w:t xml:space="preserve">Expanding upon the limited category of </w:t>
      </w:r>
      <w:r w:rsidR="00F174FB" w:rsidRPr="00E336A2">
        <w:rPr>
          <w:rFonts w:eastAsia="Times New Roman" w:cs="Arial"/>
          <w:color w:val="000000"/>
        </w:rPr>
        <w:t>“</w:t>
      </w:r>
      <w:r w:rsidR="00A470F7" w:rsidRPr="00E336A2">
        <w:rPr>
          <w:rFonts w:eastAsia="Times New Roman" w:cs="Arial"/>
          <w:color w:val="000000"/>
        </w:rPr>
        <w:t>public service enterprises</w:t>
      </w:r>
      <w:r w:rsidR="00F174FB" w:rsidRPr="00E336A2">
        <w:rPr>
          <w:rFonts w:eastAsia="Times New Roman" w:cs="Arial"/>
          <w:color w:val="000000"/>
        </w:rPr>
        <w:t>”</w:t>
      </w:r>
      <w:r w:rsidR="00A470F7" w:rsidRPr="00E336A2">
        <w:rPr>
          <w:rFonts w:eastAsia="Times New Roman" w:cs="Arial"/>
          <w:color w:val="000000"/>
        </w:rPr>
        <w:t xml:space="preserve"> to which the early common law doctrine applied,</w:t>
      </w:r>
      <w:r w:rsidR="00665E21" w:rsidRPr="00E336A2">
        <w:rPr>
          <w:rFonts w:eastAsia="Times New Roman" w:cs="Arial"/>
          <w:color w:val="000000"/>
        </w:rPr>
        <w:t xml:space="preserve">’ </w:t>
      </w:r>
      <w:r w:rsidR="00A470F7" w:rsidRPr="00E336A2">
        <w:rPr>
          <w:rFonts w:eastAsia="Times New Roman" w:cs="Arial"/>
          <w:color w:val="000000"/>
        </w:rPr>
        <w:t>”</w:t>
      </w:r>
      <w:r w:rsidR="00C40EAE" w:rsidRPr="00E336A2">
        <w:rPr>
          <w:rStyle w:val="FootnoteReference"/>
          <w:rFonts w:eastAsia="Times New Roman" w:cs="Arial"/>
          <w:color w:val="000000"/>
        </w:rPr>
        <w:footnoteReference w:id="4"/>
      </w:r>
      <w:r w:rsidR="00A470F7" w:rsidRPr="00E336A2">
        <w:rPr>
          <w:rFonts w:eastAsia="Times New Roman" w:cs="Arial"/>
          <w:color w:val="000000"/>
        </w:rPr>
        <w:t xml:space="preserve"> California’s “</w:t>
      </w:r>
      <w:r w:rsidR="00665E21" w:rsidRPr="00E336A2">
        <w:rPr>
          <w:rFonts w:eastAsia="Times New Roman" w:cs="Arial"/>
          <w:color w:val="000000"/>
        </w:rPr>
        <w:t xml:space="preserve"> ‘</w:t>
      </w:r>
      <w:r w:rsidR="00A470F7" w:rsidRPr="00E336A2">
        <w:rPr>
          <w:rFonts w:eastAsia="Times New Roman" w:cs="Arial"/>
          <w:color w:val="000000"/>
        </w:rPr>
        <w:t xml:space="preserve">1897 statute, </w:t>
      </w:r>
      <w:r w:rsidR="00A470F7" w:rsidRPr="00E336A2">
        <w:rPr>
          <w:rFonts w:eastAsia="Times New Roman" w:cs="Arial"/>
          <w:color w:val="000000"/>
        </w:rPr>
        <w:lastRenderedPageBreak/>
        <w:t xml:space="preserve">as amended in 1919 and 1923, provided that </w:t>
      </w:r>
      <w:r w:rsidR="00665E21" w:rsidRPr="00E336A2">
        <w:rPr>
          <w:rFonts w:eastAsia="Times New Roman" w:cs="Arial"/>
          <w:color w:val="000000"/>
        </w:rPr>
        <w:t>“</w:t>
      </w:r>
      <w:r w:rsidR="00A470F7" w:rsidRPr="00E336A2">
        <w:rPr>
          <w:rFonts w:eastAsia="Times New Roman" w:cs="Arial"/>
          <w:color w:val="000000"/>
        </w:rPr>
        <w:t>[a]</w:t>
      </w:r>
      <w:proofErr w:type="spellStart"/>
      <w:r w:rsidR="00A470F7" w:rsidRPr="00E336A2">
        <w:rPr>
          <w:rFonts w:eastAsia="Times New Roman" w:cs="Arial"/>
          <w:color w:val="000000"/>
        </w:rPr>
        <w:t>ll</w:t>
      </w:r>
      <w:proofErr w:type="spellEnd"/>
      <w:r w:rsidR="00A470F7" w:rsidRPr="00E336A2">
        <w:rPr>
          <w:rFonts w:eastAsia="Times New Roman" w:cs="Arial"/>
          <w:color w:val="000000"/>
        </w:rPr>
        <w:t xml:space="preserve"> citizens within the jurisdiction of this state are entitled to the full and equal accommodations, advantages, facilities and privileges of inns, </w:t>
      </w:r>
      <w:r w:rsidR="00A470F7" w:rsidRPr="00E336A2">
        <w:rPr>
          <w:rFonts w:cs="Times New Roman"/>
        </w:rPr>
        <w:t>restaurants</w:t>
      </w:r>
      <w:r w:rsidR="00A470F7" w:rsidRPr="00E336A2">
        <w:rPr>
          <w:rFonts w:eastAsia="Times New Roman" w:cs="Arial"/>
          <w:color w:val="000000"/>
        </w:rPr>
        <w:t xml:space="preserve">, </w:t>
      </w:r>
      <w:r w:rsidR="00A470F7" w:rsidRPr="00E336A2">
        <w:t>hotels</w:t>
      </w:r>
      <w:r w:rsidR="00A470F7" w:rsidRPr="00E336A2">
        <w:rPr>
          <w:rFonts w:eastAsia="Times New Roman" w:cs="Arial"/>
          <w:color w:val="000000"/>
        </w:rPr>
        <w:t xml:space="preserve">, eating houses, places where ice cream or soft drinks of any kind are sold for consumption on the premises, barber shops, bath houses, theaters, skating rinks, </w:t>
      </w:r>
      <w:r w:rsidR="00A470F7" w:rsidRPr="00E336A2">
        <w:t>public</w:t>
      </w:r>
      <w:r w:rsidR="00A470F7" w:rsidRPr="00E336A2">
        <w:rPr>
          <w:rFonts w:eastAsia="Times New Roman" w:cs="Arial"/>
          <w:color w:val="000000"/>
        </w:rPr>
        <w:t xml:space="preserve"> conveyances and all other places of public accommodation or amusement, subject only to the conditions and limitations established by law, and applicable alike to all citizens.</w:t>
      </w:r>
      <w:r w:rsidR="00665E21" w:rsidRPr="00E336A2">
        <w:rPr>
          <w:rFonts w:eastAsia="Times New Roman" w:cs="Arial"/>
          <w:color w:val="000000"/>
        </w:rPr>
        <w:t>”</w:t>
      </w:r>
      <w:r w:rsidR="00A470F7" w:rsidRPr="00E336A2">
        <w:rPr>
          <w:rFonts w:eastAsia="Times New Roman" w:cs="Arial"/>
          <w:color w:val="000000"/>
        </w:rPr>
        <w:t xml:space="preserve"> </w:t>
      </w:r>
      <w:r w:rsidR="00B03CE9" w:rsidRPr="00E336A2">
        <w:rPr>
          <w:rFonts w:eastAsia="Times New Roman" w:cs="Arial"/>
          <w:color w:val="000000"/>
        </w:rPr>
        <w:t xml:space="preserve"> </w:t>
      </w:r>
      <w:r w:rsidR="00A470F7" w:rsidRPr="00E336A2">
        <w:rPr>
          <w:rFonts w:eastAsia="Times New Roman" w:cs="Arial"/>
          <w:color w:val="000000"/>
        </w:rPr>
        <w:t xml:space="preserve">(Stats.1923, </w:t>
      </w:r>
      <w:proofErr w:type="spellStart"/>
      <w:r w:rsidR="00A470F7" w:rsidRPr="00E336A2">
        <w:rPr>
          <w:rFonts w:eastAsia="Times New Roman" w:cs="Arial"/>
          <w:color w:val="000000"/>
        </w:rPr>
        <w:t>ch.</w:t>
      </w:r>
      <w:proofErr w:type="spellEnd"/>
      <w:r w:rsidR="00A470F7" w:rsidRPr="00E336A2">
        <w:rPr>
          <w:rFonts w:eastAsia="Times New Roman" w:cs="Arial"/>
          <w:color w:val="000000"/>
        </w:rPr>
        <w:t xml:space="preserve"> 235, § 1, p. 485.)</w:t>
      </w:r>
      <w:r w:rsidR="00665E21" w:rsidRPr="00E336A2">
        <w:rPr>
          <w:rFonts w:eastAsia="Times New Roman" w:cs="Arial"/>
          <w:color w:val="000000"/>
        </w:rPr>
        <w:t xml:space="preserve">’ </w:t>
      </w:r>
      <w:r w:rsidR="002B4DBB" w:rsidRPr="00E336A2">
        <w:rPr>
          <w:rFonts w:eastAsia="Times New Roman" w:cs="Arial"/>
          <w:color w:val="000000"/>
        </w:rPr>
        <w:t>”</w:t>
      </w:r>
      <w:r w:rsidR="00A736C7" w:rsidRPr="00E336A2">
        <w:rPr>
          <w:rStyle w:val="FootnoteReference"/>
          <w:rFonts w:eastAsia="Times New Roman" w:cs="Arial"/>
          <w:color w:val="000000"/>
        </w:rPr>
        <w:footnoteReference w:id="5"/>
      </w:r>
      <w:r w:rsidR="007B5091" w:rsidRPr="00E336A2">
        <w:rPr>
          <w:rFonts w:eastAsia="Times New Roman" w:cs="Arial"/>
          <w:color w:val="000000"/>
        </w:rPr>
        <w:t xml:space="preserve">  (</w:t>
      </w:r>
      <w:r w:rsidR="007B5091" w:rsidRPr="00E336A2">
        <w:rPr>
          <w:rFonts w:eastAsia="Times New Roman" w:cs="Arial"/>
          <w:i/>
          <w:iCs/>
          <w:color w:val="000000"/>
        </w:rPr>
        <w:t xml:space="preserve">Curran, supra, </w:t>
      </w:r>
      <w:r w:rsidR="007B5091" w:rsidRPr="00E336A2">
        <w:rPr>
          <w:rFonts w:eastAsia="Times New Roman" w:cs="Arial"/>
          <w:color w:val="000000"/>
        </w:rPr>
        <w:t>17 Cal.4th at pp. 686</w:t>
      </w:r>
      <w:r w:rsidR="00A271EC">
        <w:t>–</w:t>
      </w:r>
      <w:r w:rsidR="007B5091" w:rsidRPr="00E336A2">
        <w:rPr>
          <w:rFonts w:eastAsia="Times New Roman" w:cs="Arial"/>
          <w:color w:val="000000"/>
        </w:rPr>
        <w:t xml:space="preserve">687, quoting </w:t>
      </w:r>
      <w:r w:rsidR="007B5091" w:rsidRPr="00E336A2">
        <w:rPr>
          <w:rFonts w:eastAsia="Times New Roman" w:cs="Arial"/>
          <w:i/>
          <w:iCs/>
          <w:color w:val="000000"/>
        </w:rPr>
        <w:t xml:space="preserve">Warfield, supra, </w:t>
      </w:r>
      <w:r w:rsidR="007B5091" w:rsidRPr="00E336A2">
        <w:rPr>
          <w:rFonts w:eastAsia="Times New Roman" w:cs="Arial"/>
          <w:color w:val="000000"/>
        </w:rPr>
        <w:t>10</w:t>
      </w:r>
      <w:r w:rsidR="00A271EC">
        <w:rPr>
          <w:rFonts w:eastAsia="Times New Roman" w:cs="Arial"/>
          <w:color w:val="000000"/>
        </w:rPr>
        <w:t> </w:t>
      </w:r>
      <w:r w:rsidR="007B5091" w:rsidRPr="00E336A2">
        <w:rPr>
          <w:rFonts w:eastAsia="Times New Roman" w:cs="Arial"/>
          <w:color w:val="000000"/>
        </w:rPr>
        <w:t xml:space="preserve">Cal.4th at </w:t>
      </w:r>
      <w:r w:rsidR="00665E21" w:rsidRPr="00E336A2">
        <w:rPr>
          <w:rFonts w:eastAsia="Times New Roman" w:cs="Arial"/>
          <w:color w:val="000000"/>
        </w:rPr>
        <w:t>p</w:t>
      </w:r>
      <w:r w:rsidR="007B5091" w:rsidRPr="00E336A2">
        <w:rPr>
          <w:rFonts w:eastAsia="Times New Roman" w:cs="Arial"/>
          <w:color w:val="000000"/>
        </w:rPr>
        <w:t>p.</w:t>
      </w:r>
      <w:r w:rsidR="00B03CE9" w:rsidRPr="00E336A2">
        <w:rPr>
          <w:rFonts w:eastAsia="Times New Roman" w:cs="Arial"/>
          <w:color w:val="000000"/>
        </w:rPr>
        <w:t> </w:t>
      </w:r>
      <w:r w:rsidR="007B5091" w:rsidRPr="00E336A2">
        <w:rPr>
          <w:rFonts w:eastAsia="Times New Roman" w:cs="Arial"/>
          <w:color w:val="000000"/>
        </w:rPr>
        <w:t>607</w:t>
      </w:r>
      <w:r w:rsidR="00A271EC">
        <w:t>–</w:t>
      </w:r>
      <w:r w:rsidR="00665E21" w:rsidRPr="00E336A2">
        <w:rPr>
          <w:rFonts w:eastAsia="Times New Roman" w:cs="Arial"/>
          <w:color w:val="000000"/>
        </w:rPr>
        <w:t>608</w:t>
      </w:r>
      <w:r w:rsidR="007B5091" w:rsidRPr="00E336A2">
        <w:rPr>
          <w:rFonts w:eastAsia="Times New Roman" w:cs="Arial"/>
          <w:color w:val="000000"/>
        </w:rPr>
        <w:t xml:space="preserve">; see generally Horowitz, </w:t>
      </w:r>
      <w:r w:rsidR="007B5091" w:rsidRPr="00E336A2">
        <w:rPr>
          <w:rFonts w:eastAsia="Times New Roman" w:cs="Arial"/>
          <w:i/>
          <w:iCs/>
          <w:color w:val="000000"/>
        </w:rPr>
        <w:t xml:space="preserve">supra, </w:t>
      </w:r>
      <w:r w:rsidR="00A736C7" w:rsidRPr="00E336A2">
        <w:rPr>
          <w:rFonts w:eastAsia="Times New Roman" w:cs="Arial"/>
          <w:color w:val="000000"/>
        </w:rPr>
        <w:t xml:space="preserve">33 </w:t>
      </w:r>
      <w:proofErr w:type="spellStart"/>
      <w:r w:rsidR="00A736C7" w:rsidRPr="00E336A2">
        <w:rPr>
          <w:rFonts w:eastAsia="Times New Roman" w:cs="Arial"/>
          <w:color w:val="000000"/>
        </w:rPr>
        <w:t>So.Cal.L.Rev</w:t>
      </w:r>
      <w:proofErr w:type="spellEnd"/>
      <w:r w:rsidR="00A736C7" w:rsidRPr="00E336A2">
        <w:rPr>
          <w:rFonts w:eastAsia="Times New Roman" w:cs="Arial"/>
          <w:color w:val="000000"/>
        </w:rPr>
        <w:t xml:space="preserve">. </w:t>
      </w:r>
      <w:r w:rsidR="007B5091" w:rsidRPr="00E336A2">
        <w:rPr>
          <w:rFonts w:eastAsia="Times New Roman" w:cs="Arial"/>
          <w:color w:val="000000"/>
        </w:rPr>
        <w:t>at p.</w:t>
      </w:r>
      <w:r w:rsidR="00665E21" w:rsidRPr="00E336A2">
        <w:rPr>
          <w:rFonts w:eastAsia="Times New Roman" w:cs="Arial"/>
          <w:color w:val="000000"/>
        </w:rPr>
        <w:t> </w:t>
      </w:r>
      <w:r w:rsidR="007B5091" w:rsidRPr="00E336A2">
        <w:rPr>
          <w:rFonts w:eastAsia="Times New Roman" w:cs="Arial"/>
          <w:color w:val="000000"/>
        </w:rPr>
        <w:t>261 [prior to 1959, there were “</w:t>
      </w:r>
      <w:r w:rsidR="007B5091" w:rsidRPr="00E336A2">
        <w:rPr>
          <w:rFonts w:cs="Times New Roman"/>
        </w:rPr>
        <w:t>a few areas in which California law prohibited</w:t>
      </w:r>
      <w:r w:rsidR="007B5091" w:rsidRPr="00E336A2">
        <w:rPr>
          <w:rFonts w:cs="Times New Roman"/>
          <w:i/>
          <w:iCs/>
        </w:rPr>
        <w:t xml:space="preserve"> </w:t>
      </w:r>
      <w:r w:rsidR="007B5091" w:rsidRPr="00E336A2">
        <w:rPr>
          <w:rFonts w:cs="Times New Roman"/>
        </w:rPr>
        <w:t xml:space="preserve">racial discrimination by private persons: </w:t>
      </w:r>
      <w:r w:rsidR="007B5091" w:rsidRPr="00E336A2">
        <w:rPr>
          <w:rFonts w:cs="Times New Roman"/>
          <w:i/>
          <w:iCs/>
        </w:rPr>
        <w:t xml:space="preserve">e.g., </w:t>
      </w:r>
      <w:r w:rsidR="007B5091" w:rsidRPr="00E336A2">
        <w:rPr>
          <w:rFonts w:cs="Times New Roman"/>
        </w:rPr>
        <w:t>the</w:t>
      </w:r>
      <w:r w:rsidRPr="00E336A2">
        <w:rPr>
          <w:rFonts w:cs="Times New Roman"/>
        </w:rPr>
        <w:t xml:space="preserve"> </w:t>
      </w:r>
      <w:r w:rsidR="007B5091" w:rsidRPr="00E336A2">
        <w:rPr>
          <w:rFonts w:cs="Times New Roman"/>
        </w:rPr>
        <w:t>Legislature had, in 1893 and 1897, enacted what eventually became Civil Code Sections 51</w:t>
      </w:r>
      <w:r w:rsidR="00A271EC">
        <w:t>–</w:t>
      </w:r>
      <w:r w:rsidR="007B5091" w:rsidRPr="00E336A2">
        <w:rPr>
          <w:rFonts w:cs="Times New Roman"/>
        </w:rPr>
        <w:t xml:space="preserve">54, prohibiting such discrimination by operators of places of </w:t>
      </w:r>
      <w:r w:rsidR="00DB3DA3" w:rsidRPr="00E336A2">
        <w:rPr>
          <w:rFonts w:cs="Times New Roman"/>
        </w:rPr>
        <w:t>‘</w:t>
      </w:r>
      <w:r w:rsidR="007B5091" w:rsidRPr="00E336A2">
        <w:rPr>
          <w:rFonts w:cs="Times New Roman"/>
        </w:rPr>
        <w:t>public accommodation,</w:t>
      </w:r>
      <w:r w:rsidR="00DB3DA3" w:rsidRPr="00E336A2">
        <w:rPr>
          <w:rFonts w:cs="Times New Roman"/>
        </w:rPr>
        <w:t>’</w:t>
      </w:r>
      <w:r w:rsidR="007B5091" w:rsidRPr="00E336A2">
        <w:rPr>
          <w:rFonts w:cs="Times New Roman"/>
        </w:rPr>
        <w:t xml:space="preserve"> </w:t>
      </w:r>
      <w:r w:rsidR="00DB3DA3" w:rsidRPr="00E336A2">
        <w:rPr>
          <w:rFonts w:cs="Times New Roman"/>
        </w:rPr>
        <w:t>‘</w:t>
      </w:r>
      <w:r w:rsidR="007B5091" w:rsidRPr="00E336A2">
        <w:rPr>
          <w:rFonts w:cs="Times New Roman"/>
        </w:rPr>
        <w:t>amusement,</w:t>
      </w:r>
      <w:r w:rsidR="00DB3DA3" w:rsidRPr="00E336A2">
        <w:rPr>
          <w:rFonts w:cs="Times New Roman"/>
        </w:rPr>
        <w:t>’</w:t>
      </w:r>
      <w:r w:rsidR="007B5091" w:rsidRPr="00E336A2">
        <w:rPr>
          <w:rFonts w:cs="Times New Roman"/>
        </w:rPr>
        <w:t xml:space="preserve"> and </w:t>
      </w:r>
      <w:r w:rsidR="00DB3DA3" w:rsidRPr="00E336A2">
        <w:rPr>
          <w:rFonts w:cs="Times New Roman"/>
        </w:rPr>
        <w:t>‘</w:t>
      </w:r>
      <w:r w:rsidR="007B5091" w:rsidRPr="00E336A2">
        <w:rPr>
          <w:rFonts w:cs="Times New Roman"/>
        </w:rPr>
        <w:t>entertainment</w:t>
      </w:r>
      <w:r w:rsidR="00A736C7" w:rsidRPr="00E336A2">
        <w:rPr>
          <w:rFonts w:cs="Times New Roman"/>
        </w:rPr>
        <w:t>,</w:t>
      </w:r>
      <w:r w:rsidR="00DB3DA3" w:rsidRPr="00E336A2">
        <w:rPr>
          <w:rFonts w:cs="Times New Roman"/>
        </w:rPr>
        <w:t>’ ”</w:t>
      </w:r>
      <w:r w:rsidR="00A736C7" w:rsidRPr="00E336A2">
        <w:rPr>
          <w:rFonts w:cs="Times New Roman"/>
        </w:rPr>
        <w:t xml:space="preserve"> </w:t>
      </w:r>
      <w:r w:rsidR="00665E21" w:rsidRPr="00E336A2">
        <w:rPr>
          <w:rFonts w:cs="Times New Roman"/>
        </w:rPr>
        <w:t xml:space="preserve">fn. &amp; </w:t>
      </w:r>
      <w:r w:rsidR="00A736C7" w:rsidRPr="00E336A2">
        <w:rPr>
          <w:rFonts w:cs="Times New Roman"/>
        </w:rPr>
        <w:t xml:space="preserve">italics </w:t>
      </w:r>
      <w:r w:rsidR="00B03CE9" w:rsidRPr="00E336A2">
        <w:rPr>
          <w:rFonts w:cs="Times New Roman"/>
        </w:rPr>
        <w:t>omitted</w:t>
      </w:r>
      <w:r w:rsidR="007B5091" w:rsidRPr="00E336A2">
        <w:rPr>
          <w:rFonts w:cs="Times New Roman"/>
        </w:rPr>
        <w:t>]</w:t>
      </w:r>
      <w:r w:rsidRPr="00E336A2">
        <w:rPr>
          <w:rFonts w:eastAsia="Times New Roman" w:cs="Arial"/>
          <w:color w:val="000000"/>
        </w:rPr>
        <w:t>.)</w:t>
      </w:r>
      <w:r w:rsidR="00A470F7" w:rsidRPr="00E336A2">
        <w:rPr>
          <w:rFonts w:eastAsia="Times New Roman" w:cs="Arial"/>
          <w:color w:val="000000"/>
        </w:rPr>
        <w:t xml:space="preserve">  </w:t>
      </w:r>
    </w:p>
    <w:p w14:paraId="442C50C3" w14:textId="77777777" w:rsidR="00F631B3" w:rsidRPr="00E336A2" w:rsidRDefault="00841BB1" w:rsidP="007C7305">
      <w:pPr>
        <w:spacing w:line="360" w:lineRule="auto"/>
        <w:rPr>
          <w:rFonts w:eastAsia="Times New Roman" w:cs="Arial"/>
          <w:color w:val="000000"/>
        </w:rPr>
      </w:pPr>
      <w:r w:rsidRPr="00E336A2">
        <w:rPr>
          <w:rFonts w:eastAsia="Times New Roman" w:cs="Arial"/>
          <w:color w:val="000000"/>
        </w:rPr>
        <w:tab/>
      </w:r>
      <w:r w:rsidR="00C12ED0" w:rsidRPr="00E336A2">
        <w:rPr>
          <w:rFonts w:eastAsia="Times New Roman" w:cs="Arial"/>
          <w:color w:val="000000"/>
        </w:rPr>
        <w:t xml:space="preserve">Thus, nothing in the historical context from which the Unruh Act emerged suggests the state’s </w:t>
      </w:r>
      <w:r w:rsidR="00B679D0" w:rsidRPr="00E336A2">
        <w:rPr>
          <w:rFonts w:eastAsia="Times New Roman" w:cs="Arial"/>
          <w:color w:val="000000"/>
        </w:rPr>
        <w:t xml:space="preserve">earlier </w:t>
      </w:r>
      <w:r w:rsidR="00E7676C" w:rsidRPr="00E336A2">
        <w:rPr>
          <w:rFonts w:eastAsia="Times New Roman" w:cs="Arial"/>
          <w:color w:val="000000"/>
        </w:rPr>
        <w:t>public accommodation statute</w:t>
      </w:r>
      <w:r w:rsidR="00BC0495" w:rsidRPr="00E336A2">
        <w:rPr>
          <w:rFonts w:eastAsia="Times New Roman" w:cs="Arial"/>
          <w:color w:val="000000"/>
        </w:rPr>
        <w:t>s</w:t>
      </w:r>
      <w:r w:rsidR="00005244" w:rsidRPr="00E336A2">
        <w:rPr>
          <w:rFonts w:eastAsia="Times New Roman" w:cs="Arial"/>
          <w:color w:val="000000"/>
        </w:rPr>
        <w:t xml:space="preserve"> </w:t>
      </w:r>
      <w:r w:rsidR="00C12ED0" w:rsidRPr="00E336A2">
        <w:rPr>
          <w:rFonts w:eastAsia="Times New Roman" w:cs="Arial"/>
          <w:color w:val="000000"/>
        </w:rPr>
        <w:t>were enacted to reach “state action</w:t>
      </w:r>
      <w:r w:rsidR="00005244" w:rsidRPr="00E336A2">
        <w:rPr>
          <w:rFonts w:eastAsia="Times New Roman" w:cs="Arial"/>
          <w:color w:val="000000"/>
        </w:rPr>
        <w:t>.</w:t>
      </w:r>
      <w:r w:rsidR="00C12ED0" w:rsidRPr="00E336A2">
        <w:rPr>
          <w:rFonts w:eastAsia="Times New Roman" w:cs="Arial"/>
          <w:color w:val="000000"/>
        </w:rPr>
        <w:t xml:space="preserve">”  And there is much authority to the </w:t>
      </w:r>
      <w:r w:rsidR="00C12ED0" w:rsidRPr="00E336A2">
        <w:rPr>
          <w:rFonts w:eastAsia="Times New Roman" w:cs="Arial"/>
          <w:color w:val="000000"/>
        </w:rPr>
        <w:lastRenderedPageBreak/>
        <w:t xml:space="preserve">contrary—that these statutes </w:t>
      </w:r>
      <w:r w:rsidR="00F631B3" w:rsidRPr="00E336A2">
        <w:rPr>
          <w:rFonts w:eastAsia="Times New Roman" w:cs="Arial"/>
          <w:color w:val="000000"/>
        </w:rPr>
        <w:t xml:space="preserve">were enacted to </w:t>
      </w:r>
      <w:r w:rsidR="005D564A" w:rsidRPr="00E336A2">
        <w:rPr>
          <w:rFonts w:eastAsia="Times New Roman" w:cs="Arial"/>
          <w:color w:val="000000"/>
        </w:rPr>
        <w:t>secure with</w:t>
      </w:r>
      <w:r w:rsidR="00A04497" w:rsidRPr="00E336A2">
        <w:rPr>
          <w:rFonts w:eastAsia="Times New Roman" w:cs="Arial"/>
          <w:color w:val="000000"/>
        </w:rPr>
        <w:t xml:space="preserve">in </w:t>
      </w:r>
      <w:r w:rsidR="00017BF6" w:rsidRPr="00E336A2">
        <w:rPr>
          <w:rFonts w:eastAsia="Times New Roman" w:cs="Arial"/>
          <w:color w:val="000000"/>
        </w:rPr>
        <w:t xml:space="preserve">our state </w:t>
      </w:r>
      <w:r w:rsidR="00A04497" w:rsidRPr="00E336A2">
        <w:rPr>
          <w:rFonts w:eastAsia="Times New Roman" w:cs="Arial"/>
          <w:color w:val="000000"/>
        </w:rPr>
        <w:t>law</w:t>
      </w:r>
      <w:r w:rsidR="005D564A" w:rsidRPr="00E336A2">
        <w:rPr>
          <w:rFonts w:eastAsia="Times New Roman" w:cs="Arial"/>
          <w:color w:val="000000"/>
        </w:rPr>
        <w:t xml:space="preserve"> the </w:t>
      </w:r>
      <w:r w:rsidR="00A04497" w:rsidRPr="00E336A2">
        <w:rPr>
          <w:rFonts w:eastAsia="Times New Roman" w:cs="Arial"/>
          <w:color w:val="000000"/>
        </w:rPr>
        <w:t xml:space="preserve">prohibition </w:t>
      </w:r>
      <w:r w:rsidR="005D564A" w:rsidRPr="00E336A2">
        <w:rPr>
          <w:rFonts w:eastAsia="Times New Roman" w:cs="Arial"/>
          <w:color w:val="000000"/>
        </w:rPr>
        <w:t xml:space="preserve">against </w:t>
      </w:r>
      <w:r w:rsidR="00A04497" w:rsidRPr="00E336A2">
        <w:rPr>
          <w:rFonts w:eastAsia="Times New Roman" w:cs="Arial"/>
          <w:color w:val="000000"/>
        </w:rPr>
        <w:t xml:space="preserve">discrimination </w:t>
      </w:r>
      <w:r w:rsidR="005D564A" w:rsidRPr="00E336A2">
        <w:rPr>
          <w:rFonts w:eastAsia="Times New Roman" w:cs="Arial"/>
          <w:color w:val="000000"/>
        </w:rPr>
        <w:t>by private</w:t>
      </w:r>
      <w:r w:rsidR="00DB3DA3" w:rsidRPr="00E336A2">
        <w:rPr>
          <w:rFonts w:eastAsia="Times New Roman" w:cs="Arial"/>
          <w:color w:val="000000"/>
        </w:rPr>
        <w:t xml:space="preserve">ly </w:t>
      </w:r>
      <w:r w:rsidR="005D564A" w:rsidRPr="00E336A2">
        <w:rPr>
          <w:rFonts w:eastAsia="Times New Roman" w:cs="Arial"/>
          <w:color w:val="000000"/>
        </w:rPr>
        <w:t xml:space="preserve">owned </w:t>
      </w:r>
      <w:r w:rsidR="00D64A82" w:rsidRPr="00E336A2">
        <w:rPr>
          <w:rFonts w:eastAsia="Times New Roman" w:cs="Arial"/>
          <w:color w:val="000000"/>
        </w:rPr>
        <w:t xml:space="preserve">services and </w:t>
      </w:r>
      <w:r w:rsidR="005D564A" w:rsidRPr="00E336A2">
        <w:rPr>
          <w:rFonts w:eastAsia="Times New Roman" w:cs="Arial"/>
          <w:color w:val="000000"/>
        </w:rPr>
        <w:t xml:space="preserve">enterprises the United States Supreme Court </w:t>
      </w:r>
      <w:r w:rsidR="00DB3DA3" w:rsidRPr="00E336A2">
        <w:rPr>
          <w:rFonts w:eastAsia="Times New Roman" w:cs="Arial"/>
          <w:color w:val="000000"/>
        </w:rPr>
        <w:t xml:space="preserve">referenced </w:t>
      </w:r>
      <w:r w:rsidR="005D564A" w:rsidRPr="00E336A2">
        <w:rPr>
          <w:rFonts w:eastAsia="Times New Roman" w:cs="Arial"/>
          <w:color w:val="000000"/>
        </w:rPr>
        <w:t xml:space="preserve">in the </w:t>
      </w:r>
      <w:r w:rsidR="005D564A" w:rsidRPr="00E336A2">
        <w:rPr>
          <w:rFonts w:eastAsia="Times New Roman" w:cs="Arial"/>
          <w:i/>
          <w:iCs/>
          <w:color w:val="000000"/>
        </w:rPr>
        <w:t>Civil Rights Cases</w:t>
      </w:r>
      <w:r w:rsidR="00D64A82" w:rsidRPr="00E336A2">
        <w:rPr>
          <w:rFonts w:eastAsia="Times New Roman" w:cs="Arial"/>
          <w:i/>
          <w:iCs/>
          <w:color w:val="000000"/>
        </w:rPr>
        <w:t xml:space="preserve"> </w:t>
      </w:r>
      <w:r w:rsidR="00D64A82" w:rsidRPr="00E336A2">
        <w:rPr>
          <w:rFonts w:eastAsia="Times New Roman" w:cs="Arial"/>
          <w:color w:val="000000"/>
        </w:rPr>
        <w:t>and which the common law had already begun to recognize through the public service doctrine.</w:t>
      </w:r>
      <w:r w:rsidR="00D64A82" w:rsidRPr="00E336A2">
        <w:rPr>
          <w:rFonts w:eastAsia="Times New Roman" w:cs="Arial"/>
          <w:i/>
          <w:iCs/>
          <w:color w:val="000000"/>
        </w:rPr>
        <w:t xml:space="preserve">  </w:t>
      </w:r>
      <w:r w:rsidR="00A470F7" w:rsidRPr="00E336A2">
        <w:rPr>
          <w:rFonts w:eastAsia="Times New Roman" w:cs="Arial"/>
          <w:color w:val="000000"/>
        </w:rPr>
        <w:t>(</w:t>
      </w:r>
      <w:r w:rsidR="00D64A82" w:rsidRPr="00E336A2">
        <w:rPr>
          <w:rFonts w:eastAsia="Times New Roman" w:cs="Arial"/>
          <w:color w:val="000000"/>
        </w:rPr>
        <w:t>See</w:t>
      </w:r>
      <w:r w:rsidR="00005244" w:rsidRPr="00E336A2">
        <w:rPr>
          <w:rFonts w:eastAsia="Times New Roman" w:cs="Arial"/>
          <w:color w:val="000000"/>
        </w:rPr>
        <w:t xml:space="preserve"> </w:t>
      </w:r>
      <w:r w:rsidR="00005244" w:rsidRPr="00E336A2">
        <w:rPr>
          <w:rFonts w:eastAsia="Times New Roman" w:cs="Arial"/>
          <w:i/>
          <w:iCs/>
          <w:color w:val="000000"/>
        </w:rPr>
        <w:t xml:space="preserve">Curran, supra, </w:t>
      </w:r>
      <w:r w:rsidR="00005244" w:rsidRPr="00E336A2">
        <w:rPr>
          <w:rFonts w:eastAsia="Times New Roman" w:cs="Arial"/>
          <w:color w:val="000000"/>
        </w:rPr>
        <w:t>17 Cal.4th at pp. 686</w:t>
      </w:r>
      <w:r w:rsidR="00A271EC">
        <w:t>–</w:t>
      </w:r>
      <w:r w:rsidR="00005244" w:rsidRPr="00E336A2">
        <w:rPr>
          <w:rFonts w:eastAsia="Times New Roman" w:cs="Arial"/>
          <w:color w:val="000000"/>
        </w:rPr>
        <w:t>687;</w:t>
      </w:r>
      <w:r w:rsidR="00D64A82" w:rsidRPr="00E336A2">
        <w:rPr>
          <w:rFonts w:eastAsia="Times New Roman" w:cs="Arial"/>
          <w:color w:val="000000"/>
        </w:rPr>
        <w:t xml:space="preserve"> </w:t>
      </w:r>
      <w:r w:rsidR="00005244" w:rsidRPr="00E336A2">
        <w:rPr>
          <w:rFonts w:eastAsia="Times New Roman" w:cs="Arial"/>
          <w:i/>
          <w:iCs/>
          <w:color w:val="000000"/>
        </w:rPr>
        <w:t xml:space="preserve">Warfield, supra, </w:t>
      </w:r>
      <w:r w:rsidR="00005244" w:rsidRPr="00E336A2">
        <w:t>10 Cal.4th at pp. 607</w:t>
      </w:r>
      <w:r w:rsidR="00A271EC">
        <w:t>–</w:t>
      </w:r>
      <w:r w:rsidR="00005244" w:rsidRPr="00E336A2">
        <w:t xml:space="preserve">608; </w:t>
      </w:r>
      <w:r w:rsidR="00B739AA" w:rsidRPr="00E336A2">
        <w:t xml:space="preserve">see also </w:t>
      </w:r>
      <w:r w:rsidR="00945BFD" w:rsidRPr="00E336A2">
        <w:rPr>
          <w:rFonts w:eastAsia="Times New Roman" w:cs="Arial"/>
          <w:color w:val="000000"/>
        </w:rPr>
        <w:t xml:space="preserve">Horowitz, </w:t>
      </w:r>
      <w:r w:rsidR="00945BFD" w:rsidRPr="00E336A2">
        <w:rPr>
          <w:rFonts w:eastAsia="Times New Roman" w:cs="Arial"/>
          <w:i/>
          <w:iCs/>
          <w:color w:val="000000"/>
        </w:rPr>
        <w:t>supra</w:t>
      </w:r>
      <w:r w:rsidR="00945BFD" w:rsidRPr="00E336A2">
        <w:rPr>
          <w:rFonts w:eastAsia="Times New Roman" w:cs="Arial"/>
          <w:color w:val="000000"/>
        </w:rPr>
        <w:t xml:space="preserve">, </w:t>
      </w:r>
      <w:r w:rsidR="00044F7D" w:rsidRPr="00E336A2">
        <w:rPr>
          <w:rFonts w:eastAsia="Times New Roman" w:cs="Arial"/>
          <w:color w:val="000000"/>
        </w:rPr>
        <w:t>33</w:t>
      </w:r>
      <w:r w:rsidR="002E503B" w:rsidRPr="00E336A2">
        <w:rPr>
          <w:rFonts w:eastAsia="Times New Roman" w:cs="Arial"/>
          <w:color w:val="000000"/>
        </w:rPr>
        <w:t> </w:t>
      </w:r>
      <w:proofErr w:type="spellStart"/>
      <w:r w:rsidR="00044F7D" w:rsidRPr="00E336A2">
        <w:rPr>
          <w:rFonts w:eastAsia="Times New Roman" w:cs="Arial"/>
          <w:color w:val="000000"/>
        </w:rPr>
        <w:t>So.Cal.L.Rev</w:t>
      </w:r>
      <w:proofErr w:type="spellEnd"/>
      <w:r w:rsidR="00044F7D" w:rsidRPr="00E336A2">
        <w:rPr>
          <w:rFonts w:eastAsia="Times New Roman" w:cs="Arial"/>
          <w:color w:val="000000"/>
        </w:rPr>
        <w:t xml:space="preserve">. </w:t>
      </w:r>
      <w:r w:rsidR="00945BFD" w:rsidRPr="00E336A2">
        <w:rPr>
          <w:rFonts w:eastAsia="Times New Roman" w:cs="Arial"/>
          <w:color w:val="000000"/>
        </w:rPr>
        <w:t>at p. 28</w:t>
      </w:r>
      <w:r w:rsidR="002F1F45" w:rsidRPr="00E336A2">
        <w:rPr>
          <w:rFonts w:eastAsia="Times New Roman" w:cs="Arial"/>
          <w:color w:val="000000"/>
        </w:rPr>
        <w:t>1</w:t>
      </w:r>
      <w:r w:rsidR="00945BFD" w:rsidRPr="00E336A2">
        <w:rPr>
          <w:rFonts w:eastAsia="Times New Roman" w:cs="Arial"/>
          <w:color w:val="000000"/>
        </w:rPr>
        <w:t xml:space="preserve"> [</w:t>
      </w:r>
      <w:r w:rsidR="00945BFD" w:rsidRPr="00E336A2">
        <w:rPr>
          <w:rFonts w:cs="Times New Roman"/>
        </w:rPr>
        <w:t>“[</w:t>
      </w:r>
      <w:proofErr w:type="spellStart"/>
      <w:r w:rsidR="00945BFD" w:rsidRPr="00E336A2">
        <w:rPr>
          <w:rFonts w:cs="Times New Roman"/>
        </w:rPr>
        <w:t>i</w:t>
      </w:r>
      <w:proofErr w:type="spellEnd"/>
      <w:r w:rsidR="00945BFD" w:rsidRPr="00E336A2">
        <w:rPr>
          <w:rFonts w:cs="Times New Roman"/>
        </w:rPr>
        <w:t xml:space="preserve">]t was clear that in [former] </w:t>
      </w:r>
      <w:r w:rsidR="00A271EC">
        <w:rPr>
          <w:rFonts w:cs="Times New Roman"/>
        </w:rPr>
        <w:t xml:space="preserve">[Civil Code] </w:t>
      </w:r>
      <w:r w:rsidR="00945BFD" w:rsidRPr="00E336A2">
        <w:rPr>
          <w:rFonts w:cs="Times New Roman"/>
        </w:rPr>
        <w:t>Sections 51 and 52 the Legislature enacted a principle creating a right not to be discriminated against on grounds of race in some, but not all, relationships between private persons”]</w:t>
      </w:r>
      <w:r w:rsidR="00A470F7" w:rsidRPr="00E336A2">
        <w:rPr>
          <w:rFonts w:eastAsia="Times New Roman" w:cs="Arial"/>
          <w:color w:val="000000"/>
        </w:rPr>
        <w:t>.)</w:t>
      </w:r>
    </w:p>
    <w:p w14:paraId="732324A0" w14:textId="77777777" w:rsidR="00A470F7" w:rsidRPr="00E336A2" w:rsidRDefault="00A470F7" w:rsidP="00105AAE">
      <w:pPr>
        <w:spacing w:line="360" w:lineRule="auto"/>
        <w:rPr>
          <w:rFonts w:eastAsia="Times New Roman" w:cs="Arial"/>
          <w:b/>
          <w:bCs/>
          <w:color w:val="000000"/>
        </w:rPr>
      </w:pPr>
      <w:r w:rsidRPr="00E336A2">
        <w:rPr>
          <w:rFonts w:eastAsia="Times New Roman" w:cs="Arial"/>
          <w:b/>
          <w:bCs/>
          <w:i/>
          <w:iCs/>
          <w:color w:val="000000"/>
        </w:rPr>
        <w:t>Enactment of the Unruh Act</w:t>
      </w:r>
    </w:p>
    <w:p w14:paraId="2640FB86" w14:textId="77777777" w:rsidR="00105AAE" w:rsidRPr="00E336A2" w:rsidRDefault="00105AAE" w:rsidP="00105AAE">
      <w:pPr>
        <w:spacing w:line="360" w:lineRule="auto"/>
        <w:rPr>
          <w:rFonts w:eastAsia="Times New Roman" w:cs="Arial"/>
          <w:b/>
          <w:bCs/>
          <w:color w:val="000000"/>
        </w:rPr>
      </w:pPr>
      <w:r w:rsidRPr="00E336A2">
        <w:rPr>
          <w:rFonts w:eastAsia="Times New Roman" w:cs="Arial"/>
          <w:b/>
          <w:bCs/>
          <w:color w:val="000000"/>
        </w:rPr>
        <w:tab/>
      </w:r>
      <w:r w:rsidRPr="00E336A2">
        <w:rPr>
          <w:rFonts w:eastAsia="Times New Roman" w:cs="Arial"/>
          <w:color w:val="000000"/>
        </w:rPr>
        <w:t>“</w:t>
      </w:r>
      <w:r w:rsidR="00FC3F6F" w:rsidRPr="00E336A2">
        <w:rPr>
          <w:rFonts w:eastAsia="Times New Roman" w:cs="Arial"/>
          <w:color w:val="000000"/>
        </w:rPr>
        <w:t xml:space="preserve"> ‘</w:t>
      </w:r>
      <w:r w:rsidRPr="00E336A2">
        <w:rPr>
          <w:rFonts w:eastAsia="Times New Roman" w:cs="Arial"/>
          <w:color w:val="000000"/>
        </w:rPr>
        <w:t xml:space="preserve">In 1959, in apparent response to a number of appellate court decisions that had concluded </w:t>
      </w:r>
      <w:r w:rsidR="00FC3F6F" w:rsidRPr="00E336A2">
        <w:rPr>
          <w:rFonts w:eastAsia="Times New Roman" w:cs="Arial"/>
          <w:color w:val="000000"/>
        </w:rPr>
        <w:t xml:space="preserve">that </w:t>
      </w:r>
      <w:r w:rsidRPr="00E336A2">
        <w:rPr>
          <w:rFonts w:eastAsia="Times New Roman" w:cs="Arial"/>
          <w:color w:val="000000"/>
        </w:rPr>
        <w:t>the then-existing public accommodation statute did not apply to the refusal of a private cemetery, a dentist</w:t>
      </w:r>
      <w:r w:rsidR="006C63D5" w:rsidRPr="00E336A2">
        <w:rPr>
          <w:rFonts w:eastAsia="Times New Roman" w:cs="Arial"/>
          <w:color w:val="000000"/>
        </w:rPr>
        <w:t>’</w:t>
      </w:r>
      <w:r w:rsidRPr="00E336A2">
        <w:rPr>
          <w:rFonts w:eastAsia="Times New Roman" w:cs="Arial"/>
          <w:color w:val="000000"/>
        </w:rPr>
        <w:t xml:space="preserve">s office, and a private school to make their facilities available to African–American patrons (see </w:t>
      </w:r>
      <w:r w:rsidRPr="00E336A2">
        <w:rPr>
          <w:rFonts w:eastAsia="Times New Roman" w:cs="Arial"/>
          <w:i/>
          <w:iCs/>
          <w:color w:val="000000"/>
        </w:rPr>
        <w:t>Long v. Mountain View Cemetery Assn</w:t>
      </w:r>
      <w:r w:rsidR="00FC3F6F" w:rsidRPr="00E336A2">
        <w:rPr>
          <w:rFonts w:eastAsia="Times New Roman" w:cs="Arial"/>
          <w:i/>
          <w:iCs/>
          <w:color w:val="000000"/>
        </w:rPr>
        <w:t>.</w:t>
      </w:r>
      <w:r w:rsidRPr="00E336A2">
        <w:rPr>
          <w:rFonts w:eastAsia="Times New Roman" w:cs="Arial"/>
          <w:color w:val="000000"/>
        </w:rPr>
        <w:t xml:space="preserve"> (1955) 130 Cal.App.2d 328</w:t>
      </w:r>
      <w:r w:rsidR="00FC3F6F" w:rsidRPr="00E336A2">
        <w:rPr>
          <w:rFonts w:eastAsia="Times New Roman" w:cs="Arial"/>
          <w:color w:val="000000"/>
        </w:rPr>
        <w:t xml:space="preserve">. . . </w:t>
      </w:r>
      <w:r w:rsidRPr="00E336A2">
        <w:rPr>
          <w:rFonts w:eastAsia="Times New Roman" w:cs="Arial"/>
          <w:color w:val="000000"/>
        </w:rPr>
        <w:t>;</w:t>
      </w:r>
      <w:r w:rsidRPr="00E336A2">
        <w:rPr>
          <w:rFonts w:eastAsia="Times New Roman" w:cs="Arial"/>
          <w:noProof/>
          <w:color w:val="000000"/>
          <w:shd w:val="clear" w:color="auto" w:fill="FFFFFF"/>
        </w:rPr>
        <w:t xml:space="preserve"> </w:t>
      </w:r>
      <w:r w:rsidRPr="00E336A2">
        <w:rPr>
          <w:rFonts w:eastAsia="Times New Roman" w:cs="Arial"/>
          <w:i/>
          <w:iCs/>
          <w:color w:val="000000"/>
        </w:rPr>
        <w:t xml:space="preserve">Coleman v. </w:t>
      </w:r>
      <w:proofErr w:type="spellStart"/>
      <w:r w:rsidRPr="00E336A2">
        <w:rPr>
          <w:rFonts w:eastAsia="Times New Roman" w:cs="Arial"/>
          <w:i/>
          <w:iCs/>
          <w:color w:val="000000"/>
        </w:rPr>
        <w:t>Middlestaff</w:t>
      </w:r>
      <w:proofErr w:type="spellEnd"/>
      <w:r w:rsidRPr="00E336A2">
        <w:rPr>
          <w:rFonts w:eastAsia="Times New Roman" w:cs="Arial"/>
          <w:color w:val="000000"/>
        </w:rPr>
        <w:t xml:space="preserve"> (1957) 147 Cal.App.2d Supp. 833</w:t>
      </w:r>
      <w:r w:rsidR="00FC3F6F" w:rsidRPr="00E336A2">
        <w:rPr>
          <w:rFonts w:eastAsia="Times New Roman" w:cs="Arial"/>
          <w:color w:val="000000"/>
        </w:rPr>
        <w:t xml:space="preserve"> . . . </w:t>
      </w:r>
      <w:r w:rsidRPr="00E336A2">
        <w:rPr>
          <w:rFonts w:eastAsia="Times New Roman" w:cs="Arial"/>
          <w:color w:val="000000"/>
        </w:rPr>
        <w:t xml:space="preserve">; </w:t>
      </w:r>
      <w:r w:rsidRPr="00E336A2">
        <w:rPr>
          <w:rFonts w:eastAsia="Times New Roman" w:cs="Arial"/>
          <w:i/>
          <w:iCs/>
          <w:color w:val="000000"/>
        </w:rPr>
        <w:t>Reed v. Hollywood Professional School</w:t>
      </w:r>
      <w:r w:rsidRPr="00E336A2">
        <w:rPr>
          <w:rFonts w:eastAsia="Times New Roman" w:cs="Arial"/>
          <w:color w:val="000000"/>
        </w:rPr>
        <w:t xml:space="preserve"> (1959) 169 Cal.App.2d Supp. 887</w:t>
      </w:r>
      <w:r w:rsidR="00FC3F6F" w:rsidRPr="00E336A2">
        <w:rPr>
          <w:rFonts w:eastAsia="Times New Roman" w:cs="Arial"/>
          <w:color w:val="000000"/>
        </w:rPr>
        <w:t>. . .</w:t>
      </w:r>
      <w:r w:rsidR="000F77F3" w:rsidRPr="00E336A2">
        <w:rPr>
          <w:rFonts w:eastAsia="Times New Roman" w:cs="Arial"/>
          <w:color w:val="000000"/>
        </w:rPr>
        <w:t xml:space="preserve"> [</w:t>
      </w:r>
      <w:r w:rsidR="00FC3F6F" w:rsidRPr="00E336A2">
        <w:rPr>
          <w:rFonts w:eastAsia="Times New Roman" w:cs="Arial"/>
          <w:color w:val="000000"/>
        </w:rPr>
        <w:t>(</w:t>
      </w:r>
      <w:r w:rsidR="000F77F3" w:rsidRPr="00E336A2">
        <w:rPr>
          <w:rFonts w:eastAsia="Times New Roman" w:cs="Arial"/>
          <w:i/>
          <w:iCs/>
          <w:color w:val="000000"/>
        </w:rPr>
        <w:t>Reed</w:t>
      </w:r>
      <w:r w:rsidR="00FC3F6F" w:rsidRPr="00E336A2">
        <w:rPr>
          <w:rFonts w:eastAsia="Times New Roman" w:cs="Arial"/>
          <w:i/>
          <w:iCs/>
          <w:color w:val="000000"/>
        </w:rPr>
        <w:t>)</w:t>
      </w:r>
      <w:r w:rsidR="000F77F3" w:rsidRPr="00E336A2">
        <w:rPr>
          <w:rFonts w:eastAsia="Times New Roman" w:cs="Arial"/>
          <w:color w:val="000000"/>
        </w:rPr>
        <w:t>]</w:t>
      </w:r>
      <w:r w:rsidRPr="00E336A2">
        <w:rPr>
          <w:rFonts w:eastAsia="Times New Roman" w:cs="Arial"/>
          <w:color w:val="000000"/>
        </w:rPr>
        <w:t xml:space="preserve">), the Legislature undertook, through enactment of the Unruh Civil Rights Act, to revise and expand the scope of the then-existing version of </w:t>
      </w:r>
      <w:r w:rsidR="005F5E6B">
        <w:rPr>
          <w:rFonts w:eastAsia="Times New Roman" w:cs="Arial"/>
          <w:color w:val="000000"/>
        </w:rPr>
        <w:t xml:space="preserve">[Civil Code] </w:t>
      </w:r>
      <w:r w:rsidRPr="00E336A2">
        <w:rPr>
          <w:rFonts w:eastAsia="Times New Roman" w:cs="Arial"/>
          <w:color w:val="000000"/>
        </w:rPr>
        <w:t>section 51.</w:t>
      </w:r>
      <w:r w:rsidR="00FC3F6F" w:rsidRPr="00E336A2">
        <w:rPr>
          <w:rFonts w:eastAsia="Times New Roman" w:cs="Arial"/>
          <w:color w:val="000000"/>
        </w:rPr>
        <w:t xml:space="preserve">’ </w:t>
      </w:r>
      <w:r w:rsidRPr="00E336A2">
        <w:rPr>
          <w:rFonts w:eastAsia="Times New Roman" w:cs="Arial"/>
          <w:color w:val="000000"/>
        </w:rPr>
        <w:t>”</w:t>
      </w:r>
      <w:r w:rsidR="00B03CE9" w:rsidRPr="00E336A2">
        <w:rPr>
          <w:rFonts w:eastAsia="Times New Roman" w:cs="Arial"/>
          <w:color w:val="000000"/>
        </w:rPr>
        <w:t xml:space="preserve"> </w:t>
      </w:r>
      <w:r w:rsidRPr="00E336A2">
        <w:rPr>
          <w:rFonts w:eastAsia="Times New Roman" w:cs="Arial"/>
          <w:color w:val="000000"/>
        </w:rPr>
        <w:t xml:space="preserve"> (</w:t>
      </w:r>
      <w:r w:rsidR="00C40EAE" w:rsidRPr="00E336A2">
        <w:rPr>
          <w:rFonts w:eastAsia="Times New Roman" w:cs="Arial"/>
          <w:i/>
          <w:iCs/>
          <w:color w:val="000000"/>
        </w:rPr>
        <w:t xml:space="preserve">Curran, supra, </w:t>
      </w:r>
      <w:r w:rsidR="00C40EAE" w:rsidRPr="00E336A2">
        <w:rPr>
          <w:rFonts w:eastAsia="Times New Roman" w:cs="Arial"/>
          <w:color w:val="000000"/>
        </w:rPr>
        <w:t xml:space="preserve">17 Cal.4th at p. 687, quoting </w:t>
      </w:r>
      <w:r w:rsidRPr="00E336A2">
        <w:rPr>
          <w:rFonts w:eastAsia="Times New Roman" w:cs="Arial"/>
          <w:i/>
          <w:iCs/>
          <w:color w:val="000000"/>
        </w:rPr>
        <w:t xml:space="preserve">Warfield, supra, </w:t>
      </w:r>
      <w:r w:rsidR="00C40EAE" w:rsidRPr="00E336A2">
        <w:rPr>
          <w:rFonts w:eastAsia="Times New Roman" w:cs="Arial"/>
          <w:color w:val="000000"/>
        </w:rPr>
        <w:t xml:space="preserve">10 Cal.4th </w:t>
      </w:r>
      <w:r w:rsidRPr="00E336A2">
        <w:rPr>
          <w:rFonts w:eastAsia="Times New Roman" w:cs="Arial"/>
          <w:color w:val="000000"/>
        </w:rPr>
        <w:t>at p. 608.)</w:t>
      </w:r>
    </w:p>
    <w:p w14:paraId="25FDFEA6" w14:textId="77777777" w:rsidR="006B5CFE" w:rsidRPr="00E336A2" w:rsidRDefault="00105AAE" w:rsidP="00E42BE5">
      <w:pPr>
        <w:spacing w:line="360" w:lineRule="auto"/>
        <w:rPr>
          <w:rFonts w:eastAsia="Times New Roman" w:cs="Arial"/>
          <w:color w:val="000000"/>
        </w:rPr>
      </w:pPr>
      <w:r w:rsidRPr="00E336A2">
        <w:rPr>
          <w:rFonts w:eastAsia="Times New Roman" w:cs="Arial"/>
          <w:b/>
          <w:bCs/>
          <w:color w:val="000000"/>
        </w:rPr>
        <w:tab/>
      </w:r>
      <w:r w:rsidR="00DB3DA3" w:rsidRPr="00E336A2">
        <w:rPr>
          <w:rFonts w:eastAsia="Times New Roman" w:cs="Arial"/>
          <w:color w:val="000000"/>
        </w:rPr>
        <w:t>G</w:t>
      </w:r>
      <w:r w:rsidRPr="00E336A2">
        <w:rPr>
          <w:rFonts w:eastAsia="Times New Roman" w:cs="Arial"/>
          <w:color w:val="000000"/>
        </w:rPr>
        <w:t xml:space="preserve">iven the issues before us, we </w:t>
      </w:r>
      <w:r w:rsidR="00DB3DA3" w:rsidRPr="00E336A2">
        <w:rPr>
          <w:rFonts w:eastAsia="Times New Roman" w:cs="Arial"/>
          <w:color w:val="000000"/>
        </w:rPr>
        <w:t xml:space="preserve">again </w:t>
      </w:r>
      <w:r w:rsidRPr="00E336A2">
        <w:rPr>
          <w:rFonts w:eastAsia="Times New Roman" w:cs="Arial"/>
          <w:color w:val="000000"/>
        </w:rPr>
        <w:t xml:space="preserve">pause </w:t>
      </w:r>
      <w:r w:rsidR="00EF2E88" w:rsidRPr="00E336A2">
        <w:rPr>
          <w:rFonts w:eastAsia="Times New Roman" w:cs="Arial"/>
          <w:color w:val="000000"/>
        </w:rPr>
        <w:t xml:space="preserve">briefly </w:t>
      </w:r>
      <w:r w:rsidRPr="00E336A2">
        <w:rPr>
          <w:rFonts w:eastAsia="Times New Roman" w:cs="Arial"/>
          <w:color w:val="000000"/>
        </w:rPr>
        <w:t xml:space="preserve">to </w:t>
      </w:r>
      <w:proofErr w:type="gramStart"/>
      <w:r w:rsidRPr="00E336A2">
        <w:rPr>
          <w:rFonts w:eastAsia="Times New Roman" w:cs="Arial"/>
          <w:color w:val="000000"/>
        </w:rPr>
        <w:t>more fully</w:t>
      </w:r>
      <w:r w:rsidR="007A514F" w:rsidRPr="00E336A2">
        <w:rPr>
          <w:rFonts w:eastAsia="Times New Roman" w:cs="Arial"/>
          <w:color w:val="000000"/>
        </w:rPr>
        <w:t xml:space="preserve"> describe</w:t>
      </w:r>
      <w:r w:rsidRPr="00E336A2">
        <w:rPr>
          <w:rFonts w:eastAsia="Times New Roman" w:cs="Arial"/>
          <w:color w:val="000000"/>
        </w:rPr>
        <w:t xml:space="preserve"> </w:t>
      </w:r>
      <w:r w:rsidRPr="00E336A2">
        <w:rPr>
          <w:rFonts w:eastAsia="Times New Roman" w:cs="Arial"/>
          <w:i/>
          <w:iCs/>
          <w:color w:val="000000"/>
        </w:rPr>
        <w:t>Reed</w:t>
      </w:r>
      <w:proofErr w:type="gramEnd"/>
      <w:r w:rsidRPr="00E336A2">
        <w:rPr>
          <w:rFonts w:eastAsia="Times New Roman" w:cs="Arial"/>
          <w:i/>
          <w:iCs/>
          <w:color w:val="000000"/>
        </w:rPr>
        <w:t xml:space="preserve">.  </w:t>
      </w:r>
      <w:r w:rsidR="00841BB1" w:rsidRPr="00E336A2">
        <w:rPr>
          <w:rFonts w:eastAsia="Times New Roman" w:cs="Arial"/>
          <w:color w:val="000000"/>
        </w:rPr>
        <w:t xml:space="preserve">In that case, a private school </w:t>
      </w:r>
      <w:r w:rsidR="00EF5F6B" w:rsidRPr="00E336A2">
        <w:rPr>
          <w:rFonts w:eastAsia="Times New Roman" w:cs="Arial"/>
          <w:color w:val="000000"/>
        </w:rPr>
        <w:t xml:space="preserve">refused to admit a five-year-old </w:t>
      </w:r>
      <w:r w:rsidR="00664391" w:rsidRPr="00E336A2">
        <w:rPr>
          <w:rFonts w:eastAsia="Times New Roman" w:cs="Arial"/>
          <w:color w:val="000000"/>
        </w:rPr>
        <w:t xml:space="preserve">prospective student </w:t>
      </w:r>
      <w:r w:rsidR="00EF5F6B" w:rsidRPr="00E336A2">
        <w:rPr>
          <w:rFonts w:eastAsia="Times New Roman" w:cs="Arial"/>
          <w:color w:val="000000"/>
        </w:rPr>
        <w:t>because of her race</w:t>
      </w:r>
      <w:r w:rsidR="00841BB1" w:rsidRPr="00E336A2">
        <w:rPr>
          <w:rFonts w:eastAsia="Times New Roman" w:cs="Arial"/>
          <w:color w:val="000000"/>
        </w:rPr>
        <w:t xml:space="preserve">, and she </w:t>
      </w:r>
      <w:r w:rsidR="00664391" w:rsidRPr="00E336A2">
        <w:rPr>
          <w:rFonts w:eastAsia="Times New Roman" w:cs="Arial"/>
          <w:color w:val="000000"/>
        </w:rPr>
        <w:t>sued</w:t>
      </w:r>
      <w:r w:rsidR="00841BB1" w:rsidRPr="00E336A2">
        <w:rPr>
          <w:rFonts w:eastAsia="Times New Roman" w:cs="Arial"/>
          <w:color w:val="000000"/>
        </w:rPr>
        <w:t xml:space="preserve"> for damages </w:t>
      </w:r>
      <w:r w:rsidR="00664391" w:rsidRPr="00E336A2">
        <w:rPr>
          <w:rFonts w:eastAsia="Times New Roman" w:cs="Arial"/>
          <w:color w:val="000000"/>
        </w:rPr>
        <w:t>under the state’s public accommodation law</w:t>
      </w:r>
      <w:r w:rsidR="00841BB1" w:rsidRPr="00E336A2">
        <w:rPr>
          <w:rFonts w:eastAsia="Times New Roman" w:cs="Arial"/>
          <w:color w:val="000000"/>
        </w:rPr>
        <w:t>.  A</w:t>
      </w:r>
      <w:r w:rsidR="00664391" w:rsidRPr="00E336A2">
        <w:rPr>
          <w:rFonts w:eastAsia="Times New Roman" w:cs="Arial"/>
          <w:color w:val="000000"/>
        </w:rPr>
        <w:t xml:space="preserve">fter suffering a nonsuit, </w:t>
      </w:r>
      <w:r w:rsidR="00841BB1" w:rsidRPr="00E336A2">
        <w:rPr>
          <w:rFonts w:eastAsia="Times New Roman" w:cs="Arial"/>
          <w:color w:val="000000"/>
        </w:rPr>
        <w:t xml:space="preserve">she </w:t>
      </w:r>
      <w:r w:rsidR="00664391" w:rsidRPr="00E336A2">
        <w:rPr>
          <w:rFonts w:eastAsia="Times New Roman" w:cs="Arial"/>
          <w:color w:val="000000"/>
        </w:rPr>
        <w:t>appealed to the superior court appellate division.  (</w:t>
      </w:r>
      <w:r w:rsidR="00B03CE9" w:rsidRPr="00E336A2">
        <w:rPr>
          <w:rFonts w:eastAsia="Times New Roman" w:cs="Arial"/>
          <w:i/>
          <w:iCs/>
          <w:color w:val="000000"/>
        </w:rPr>
        <w:t>Reed</w:t>
      </w:r>
      <w:r w:rsidR="000F77F3" w:rsidRPr="00E336A2">
        <w:rPr>
          <w:rFonts w:eastAsia="Times New Roman" w:cs="Arial"/>
          <w:i/>
          <w:iCs/>
          <w:color w:val="000000"/>
        </w:rPr>
        <w:t xml:space="preserve">, supra, </w:t>
      </w:r>
      <w:r w:rsidR="00664391" w:rsidRPr="00E336A2">
        <w:rPr>
          <w:rFonts w:eastAsia="Times New Roman" w:cs="Arial"/>
          <w:color w:val="000000"/>
        </w:rPr>
        <w:t>169 Cal.App.2d Supp.</w:t>
      </w:r>
      <w:r w:rsidR="000F77F3" w:rsidRPr="00E336A2">
        <w:rPr>
          <w:rFonts w:eastAsia="Times New Roman" w:cs="Arial"/>
          <w:color w:val="000000"/>
        </w:rPr>
        <w:t xml:space="preserve"> </w:t>
      </w:r>
      <w:r w:rsidR="002E503B" w:rsidRPr="00E336A2">
        <w:rPr>
          <w:rFonts w:eastAsia="Times New Roman" w:cs="Arial"/>
          <w:color w:val="000000"/>
        </w:rPr>
        <w:t>a</w:t>
      </w:r>
      <w:r w:rsidR="000F77F3" w:rsidRPr="00E336A2">
        <w:rPr>
          <w:rFonts w:eastAsia="Times New Roman" w:cs="Arial"/>
          <w:color w:val="000000"/>
        </w:rPr>
        <w:t xml:space="preserve">t </w:t>
      </w:r>
      <w:r w:rsidR="000F77F3" w:rsidRPr="00E336A2">
        <w:rPr>
          <w:rFonts w:eastAsia="Times New Roman" w:cs="Arial"/>
          <w:color w:val="000000"/>
        </w:rPr>
        <w:lastRenderedPageBreak/>
        <w:t xml:space="preserve">p. </w:t>
      </w:r>
      <w:r w:rsidR="00664391" w:rsidRPr="00E336A2">
        <w:rPr>
          <w:rFonts w:eastAsia="Times New Roman" w:cs="Arial"/>
          <w:color w:val="000000"/>
        </w:rPr>
        <w:t xml:space="preserve">888.)  </w:t>
      </w:r>
      <w:r w:rsidR="000F77F3" w:rsidRPr="00E336A2">
        <w:rPr>
          <w:rFonts w:eastAsia="Times New Roman" w:cs="Arial"/>
          <w:color w:val="000000"/>
        </w:rPr>
        <w:t>T</w:t>
      </w:r>
      <w:r w:rsidR="006C71D0" w:rsidRPr="00E336A2">
        <w:rPr>
          <w:rFonts w:eastAsia="Times New Roman" w:cs="Arial"/>
          <w:color w:val="000000"/>
        </w:rPr>
        <w:t>he court concluded</w:t>
      </w:r>
      <w:r w:rsidR="000F77F3" w:rsidRPr="00E336A2">
        <w:rPr>
          <w:rFonts w:eastAsia="Times New Roman" w:cs="Arial"/>
          <w:color w:val="000000"/>
        </w:rPr>
        <w:t>, on comparing the enterprises enumerated in the statute, that</w:t>
      </w:r>
      <w:r w:rsidR="006C71D0" w:rsidRPr="00E336A2">
        <w:rPr>
          <w:rFonts w:eastAsia="Times New Roman" w:cs="Arial"/>
          <w:color w:val="000000"/>
        </w:rPr>
        <w:t xml:space="preserve"> the</w:t>
      </w:r>
      <w:r w:rsidR="00EF734D" w:rsidRPr="00E336A2">
        <w:rPr>
          <w:rFonts w:eastAsia="Times New Roman" w:cs="Arial"/>
          <w:color w:val="000000"/>
        </w:rPr>
        <w:t xml:space="preserve"> private school was “not a place of public accommodation or amusement”</w:t>
      </w:r>
      <w:r w:rsidR="006C71D0" w:rsidRPr="00E336A2">
        <w:rPr>
          <w:rFonts w:eastAsia="Times New Roman" w:cs="Arial"/>
          <w:color w:val="000000"/>
        </w:rPr>
        <w:t xml:space="preserve"> within the meaning of the statute.  </w:t>
      </w:r>
      <w:r w:rsidR="00EF734D" w:rsidRPr="00E336A2">
        <w:rPr>
          <w:rFonts w:eastAsia="Times New Roman" w:cs="Arial"/>
          <w:color w:val="000000"/>
        </w:rPr>
        <w:t>(</w:t>
      </w:r>
      <w:r w:rsidR="00EF734D" w:rsidRPr="00E336A2">
        <w:rPr>
          <w:rFonts w:eastAsia="Times New Roman" w:cs="Arial"/>
          <w:i/>
          <w:iCs/>
          <w:color w:val="000000"/>
        </w:rPr>
        <w:t xml:space="preserve">Id. </w:t>
      </w:r>
      <w:r w:rsidR="00EF734D" w:rsidRPr="00E336A2">
        <w:rPr>
          <w:rFonts w:eastAsia="Times New Roman" w:cs="Arial"/>
          <w:color w:val="000000"/>
        </w:rPr>
        <w:t>at p. 890</w:t>
      </w:r>
      <w:r w:rsidR="004D0989" w:rsidRPr="00E336A2">
        <w:rPr>
          <w:rFonts w:eastAsia="Times New Roman" w:cs="Arial"/>
          <w:color w:val="000000"/>
        </w:rPr>
        <w:t xml:space="preserve">; </w:t>
      </w:r>
      <w:r w:rsidR="004D0989" w:rsidRPr="00E336A2">
        <w:rPr>
          <w:rFonts w:eastAsia="Times New Roman" w:cs="Arial"/>
          <w:i/>
          <w:iCs/>
          <w:color w:val="000000"/>
        </w:rPr>
        <w:t>Id</w:t>
      </w:r>
      <w:r w:rsidR="004D0989" w:rsidRPr="00E336A2">
        <w:rPr>
          <w:rFonts w:eastAsia="Times New Roman" w:cs="Arial"/>
          <w:color w:val="000000"/>
        </w:rPr>
        <w:t>. at p. 889</w:t>
      </w:r>
      <w:r w:rsidR="00EF734D" w:rsidRPr="00E336A2">
        <w:rPr>
          <w:rFonts w:eastAsia="Times New Roman" w:cs="Arial"/>
          <w:color w:val="000000"/>
        </w:rPr>
        <w:t xml:space="preserve"> [“The settled rule of law is that the expression ‘all other places’ means all other places of a like nature to those enumerated.”].)</w:t>
      </w:r>
      <w:r w:rsidR="001F4F6D" w:rsidRPr="00E336A2">
        <w:rPr>
          <w:rFonts w:eastAsia="Times New Roman" w:cs="Arial"/>
          <w:color w:val="000000"/>
        </w:rPr>
        <w:t xml:space="preserve">  </w:t>
      </w:r>
    </w:p>
    <w:p w14:paraId="1C1EFE46" w14:textId="77777777" w:rsidR="00E42BE5" w:rsidRPr="00E336A2" w:rsidRDefault="006B5CFE" w:rsidP="00E42BE5">
      <w:pPr>
        <w:spacing w:line="360" w:lineRule="auto"/>
        <w:rPr>
          <w:rFonts w:eastAsia="Times New Roman" w:cs="Arial"/>
          <w:color w:val="000000"/>
        </w:rPr>
      </w:pPr>
      <w:r w:rsidRPr="00E336A2">
        <w:rPr>
          <w:rFonts w:eastAsia="Times New Roman" w:cs="Arial"/>
          <w:color w:val="000000"/>
        </w:rPr>
        <w:tab/>
      </w:r>
      <w:r w:rsidR="00EF734D" w:rsidRPr="00E336A2">
        <w:rPr>
          <w:rFonts w:eastAsia="Times New Roman" w:cs="Arial"/>
          <w:color w:val="000000"/>
        </w:rPr>
        <w:t xml:space="preserve">The court also </w:t>
      </w:r>
      <w:r w:rsidR="006C71D0" w:rsidRPr="00E336A2">
        <w:rPr>
          <w:rFonts w:eastAsia="Times New Roman" w:cs="Arial"/>
          <w:color w:val="000000"/>
        </w:rPr>
        <w:t xml:space="preserve">contrasted </w:t>
      </w:r>
      <w:r w:rsidR="00664391" w:rsidRPr="00E336A2">
        <w:rPr>
          <w:rFonts w:eastAsia="Times New Roman" w:cs="Arial"/>
          <w:color w:val="000000"/>
        </w:rPr>
        <w:t xml:space="preserve">the </w:t>
      </w:r>
      <w:r w:rsidR="00841BB1" w:rsidRPr="00E336A2">
        <w:rPr>
          <w:rFonts w:eastAsia="Times New Roman" w:cs="Arial"/>
          <w:color w:val="000000"/>
        </w:rPr>
        <w:t xml:space="preserve">private school with the </w:t>
      </w:r>
      <w:r w:rsidR="00664391" w:rsidRPr="00E336A2">
        <w:rPr>
          <w:rFonts w:eastAsia="Times New Roman" w:cs="Arial"/>
          <w:color w:val="000000"/>
        </w:rPr>
        <w:t xml:space="preserve">state public </w:t>
      </w:r>
      <w:r w:rsidR="00EF734D" w:rsidRPr="00E336A2">
        <w:rPr>
          <w:rFonts w:eastAsia="Times New Roman" w:cs="Arial"/>
          <w:color w:val="000000"/>
        </w:rPr>
        <w:t xml:space="preserve">school </w:t>
      </w:r>
      <w:r w:rsidR="00664391" w:rsidRPr="00E336A2">
        <w:rPr>
          <w:rFonts w:eastAsia="Times New Roman" w:cs="Arial"/>
          <w:color w:val="000000"/>
        </w:rPr>
        <w:t>system</w:t>
      </w:r>
      <w:r w:rsidR="006C71D0" w:rsidRPr="00E336A2">
        <w:rPr>
          <w:rFonts w:eastAsia="Times New Roman" w:cs="Arial"/>
          <w:color w:val="000000"/>
        </w:rPr>
        <w:t xml:space="preserve">, pointing </w:t>
      </w:r>
      <w:r w:rsidR="001F4F6D" w:rsidRPr="00E336A2">
        <w:rPr>
          <w:rFonts w:eastAsia="Times New Roman" w:cs="Arial"/>
          <w:color w:val="000000"/>
        </w:rPr>
        <w:t xml:space="preserve">out </w:t>
      </w:r>
      <w:r w:rsidR="00841BB1" w:rsidRPr="00E336A2">
        <w:rPr>
          <w:rFonts w:eastAsia="Times New Roman" w:cs="Arial"/>
          <w:color w:val="000000"/>
        </w:rPr>
        <w:t xml:space="preserve">the latter </w:t>
      </w:r>
      <w:r w:rsidR="006C71D0" w:rsidRPr="00E336A2">
        <w:rPr>
          <w:rFonts w:eastAsia="Times New Roman" w:cs="Arial"/>
          <w:color w:val="000000"/>
        </w:rPr>
        <w:t>secured the educational rights of all students, including the plaintiff (</w:t>
      </w:r>
      <w:r w:rsidR="002E503B" w:rsidRPr="00E336A2">
        <w:rPr>
          <w:rFonts w:eastAsia="Times New Roman" w:cs="Arial"/>
          <w:i/>
          <w:iCs/>
          <w:color w:val="000000"/>
        </w:rPr>
        <w:t xml:space="preserve">Reed, supra, </w:t>
      </w:r>
      <w:r w:rsidR="002E503B" w:rsidRPr="00E336A2">
        <w:rPr>
          <w:rFonts w:eastAsia="Times New Roman" w:cs="Arial"/>
          <w:color w:val="000000"/>
        </w:rPr>
        <w:t>169 Cal.App.2d Supp</w:t>
      </w:r>
      <w:r w:rsidR="006C71D0" w:rsidRPr="00E336A2">
        <w:rPr>
          <w:rFonts w:eastAsia="Times New Roman" w:cs="Arial"/>
          <w:i/>
          <w:iCs/>
          <w:color w:val="000000"/>
        </w:rPr>
        <w:t xml:space="preserve"> </w:t>
      </w:r>
      <w:r w:rsidR="006C71D0" w:rsidRPr="00E336A2">
        <w:rPr>
          <w:rFonts w:eastAsia="Times New Roman" w:cs="Arial"/>
          <w:color w:val="000000"/>
        </w:rPr>
        <w:t xml:space="preserve">at </w:t>
      </w:r>
      <w:r w:rsidR="004D0989" w:rsidRPr="00E336A2">
        <w:rPr>
          <w:rFonts w:eastAsia="Times New Roman" w:cs="Arial"/>
          <w:color w:val="000000"/>
        </w:rPr>
        <w:t>p</w:t>
      </w:r>
      <w:r w:rsidR="006C71D0" w:rsidRPr="00E336A2">
        <w:rPr>
          <w:rFonts w:eastAsia="Times New Roman" w:cs="Arial"/>
          <w:color w:val="000000"/>
        </w:rPr>
        <w:t xml:space="preserve">p. </w:t>
      </w:r>
      <w:r w:rsidR="004D0989" w:rsidRPr="00E336A2">
        <w:rPr>
          <w:rFonts w:eastAsia="Times New Roman" w:cs="Arial"/>
          <w:color w:val="000000"/>
        </w:rPr>
        <w:t>888</w:t>
      </w:r>
      <w:r w:rsidR="005F5E6B">
        <w:t>–</w:t>
      </w:r>
      <w:r w:rsidR="006C71D0" w:rsidRPr="00E336A2">
        <w:rPr>
          <w:rFonts w:eastAsia="Times New Roman" w:cs="Arial"/>
          <w:color w:val="000000"/>
        </w:rPr>
        <w:t xml:space="preserve">889) and </w:t>
      </w:r>
      <w:r w:rsidRPr="00E336A2">
        <w:rPr>
          <w:rFonts w:eastAsia="Times New Roman" w:cs="Arial"/>
          <w:color w:val="000000"/>
        </w:rPr>
        <w:t xml:space="preserve">that </w:t>
      </w:r>
      <w:r w:rsidR="00EF734D" w:rsidRPr="00E336A2">
        <w:rPr>
          <w:rFonts w:eastAsia="Times New Roman" w:cs="Arial"/>
          <w:color w:val="000000"/>
        </w:rPr>
        <w:t>“racial discrimination in public education is unconstitutional.”</w:t>
      </w:r>
      <w:r w:rsidR="00B03CE9" w:rsidRPr="00E336A2">
        <w:rPr>
          <w:rFonts w:eastAsia="Times New Roman" w:cs="Arial"/>
          <w:color w:val="000000"/>
        </w:rPr>
        <w:t xml:space="preserve"> </w:t>
      </w:r>
      <w:r w:rsidR="00EF734D" w:rsidRPr="00E336A2">
        <w:rPr>
          <w:rFonts w:eastAsia="Times New Roman" w:cs="Arial"/>
          <w:color w:val="000000"/>
        </w:rPr>
        <w:t xml:space="preserve"> (</w:t>
      </w:r>
      <w:r w:rsidR="00EF734D" w:rsidRPr="00E336A2">
        <w:rPr>
          <w:rFonts w:eastAsia="Times New Roman" w:cs="Arial"/>
          <w:i/>
          <w:iCs/>
          <w:color w:val="000000"/>
        </w:rPr>
        <w:t xml:space="preserve">Id. </w:t>
      </w:r>
      <w:r w:rsidR="00EF734D" w:rsidRPr="00E336A2">
        <w:rPr>
          <w:rFonts w:eastAsia="Times New Roman" w:cs="Arial"/>
          <w:color w:val="000000"/>
        </w:rPr>
        <w:t>at p.</w:t>
      </w:r>
      <w:r w:rsidR="005F5E6B">
        <w:rPr>
          <w:rFonts w:eastAsia="Times New Roman" w:cs="Arial"/>
          <w:color w:val="000000"/>
        </w:rPr>
        <w:t> </w:t>
      </w:r>
      <w:r w:rsidR="00EF734D" w:rsidRPr="00E336A2">
        <w:rPr>
          <w:rFonts w:eastAsia="Times New Roman" w:cs="Arial"/>
          <w:color w:val="000000"/>
        </w:rPr>
        <w:t xml:space="preserve">890, citing </w:t>
      </w:r>
      <w:r w:rsidR="00EF734D" w:rsidRPr="00E336A2">
        <w:rPr>
          <w:rFonts w:eastAsia="Times New Roman" w:cs="Arial"/>
          <w:i/>
          <w:iCs/>
          <w:color w:val="000000"/>
        </w:rPr>
        <w:t xml:space="preserve">Brown v. Board of Education of Topeka </w:t>
      </w:r>
      <w:r w:rsidR="00EF734D" w:rsidRPr="00E336A2">
        <w:rPr>
          <w:rFonts w:eastAsia="Times New Roman" w:cs="Arial"/>
          <w:color w:val="000000"/>
        </w:rPr>
        <w:t>(1954) 347 U.S. 483</w:t>
      </w:r>
      <w:r w:rsidR="00DB3DA3" w:rsidRPr="00E336A2">
        <w:rPr>
          <w:rFonts w:eastAsia="Times New Roman" w:cs="Arial"/>
          <w:color w:val="000000"/>
        </w:rPr>
        <w:t xml:space="preserve"> (</w:t>
      </w:r>
      <w:r w:rsidR="00DB3DA3" w:rsidRPr="00E336A2">
        <w:rPr>
          <w:rFonts w:eastAsia="Times New Roman" w:cs="Arial"/>
          <w:i/>
          <w:iCs/>
          <w:color w:val="000000"/>
        </w:rPr>
        <w:t>Brown</w:t>
      </w:r>
      <w:r w:rsidR="00DB3DA3" w:rsidRPr="00E336A2">
        <w:rPr>
          <w:rFonts w:eastAsia="Times New Roman" w:cs="Arial"/>
          <w:color w:val="000000"/>
        </w:rPr>
        <w:t>)</w:t>
      </w:r>
      <w:r w:rsidR="00EF734D" w:rsidRPr="00E336A2">
        <w:rPr>
          <w:rFonts w:eastAsia="Times New Roman" w:cs="Arial"/>
          <w:color w:val="000000"/>
        </w:rPr>
        <w:t>.)</w:t>
      </w:r>
      <w:r w:rsidR="001F4F6D" w:rsidRPr="00E336A2">
        <w:rPr>
          <w:rFonts w:eastAsia="Times New Roman" w:cs="Arial"/>
          <w:color w:val="000000"/>
        </w:rPr>
        <w:t xml:space="preserve">  </w:t>
      </w:r>
      <w:r w:rsidR="00841BB1" w:rsidRPr="00E336A2">
        <w:rPr>
          <w:rFonts w:eastAsia="Times New Roman" w:cs="Arial"/>
          <w:color w:val="000000"/>
        </w:rPr>
        <w:t>T</w:t>
      </w:r>
      <w:r w:rsidR="00E42BE5" w:rsidRPr="00E336A2">
        <w:rPr>
          <w:rFonts w:eastAsia="Times New Roman" w:cs="Arial"/>
          <w:color w:val="000000"/>
        </w:rPr>
        <w:t xml:space="preserve">he court </w:t>
      </w:r>
      <w:r w:rsidR="00841BB1" w:rsidRPr="00E336A2">
        <w:rPr>
          <w:rFonts w:eastAsia="Times New Roman" w:cs="Arial"/>
          <w:color w:val="000000"/>
        </w:rPr>
        <w:t xml:space="preserve">additionally </w:t>
      </w:r>
      <w:r w:rsidR="00E42BE5" w:rsidRPr="00E336A2">
        <w:rPr>
          <w:rFonts w:eastAsia="Times New Roman" w:cs="Arial"/>
          <w:color w:val="000000"/>
        </w:rPr>
        <w:t xml:space="preserve">rejected </w:t>
      </w:r>
      <w:r w:rsidR="006C71D0" w:rsidRPr="00E336A2">
        <w:rPr>
          <w:rFonts w:eastAsia="Times New Roman" w:cs="Arial"/>
          <w:color w:val="000000"/>
        </w:rPr>
        <w:t xml:space="preserve">the plaintiff’s invitation to conclude, solely on the basis of “public policy,” that the </w:t>
      </w:r>
      <w:r w:rsidR="00E42BE5" w:rsidRPr="00E336A2">
        <w:rPr>
          <w:rFonts w:eastAsia="Times New Roman" w:cs="Arial"/>
          <w:color w:val="000000"/>
        </w:rPr>
        <w:t xml:space="preserve">public accommodation statute applied “to a matter of private relationship such as that here before us, since the defendant school has no monopoly and since the </w:t>
      </w:r>
      <w:r w:rsidR="009148B9" w:rsidRPr="00E336A2">
        <w:rPr>
          <w:rFonts w:eastAsia="Times New Roman" w:cs="Arial"/>
          <w:color w:val="000000"/>
        </w:rPr>
        <w:t>L</w:t>
      </w:r>
      <w:r w:rsidR="00E42BE5" w:rsidRPr="00E336A2">
        <w:rPr>
          <w:rFonts w:eastAsia="Times New Roman" w:cs="Arial"/>
          <w:color w:val="000000"/>
        </w:rPr>
        <w:t xml:space="preserve">egislature has specifically declared the public policy of the state in regard to discrimination in particular locations and it is the office of the </w:t>
      </w:r>
      <w:r w:rsidR="009148B9" w:rsidRPr="00E336A2">
        <w:rPr>
          <w:rFonts w:eastAsia="Times New Roman" w:cs="Arial"/>
          <w:color w:val="000000"/>
        </w:rPr>
        <w:t>L</w:t>
      </w:r>
      <w:r w:rsidR="00E42BE5" w:rsidRPr="00E336A2">
        <w:rPr>
          <w:rFonts w:eastAsia="Times New Roman" w:cs="Arial"/>
          <w:color w:val="000000"/>
        </w:rPr>
        <w:t xml:space="preserve">egislature and not of this court to make any </w:t>
      </w:r>
      <w:r w:rsidR="009148B9" w:rsidRPr="00E336A2">
        <w:rPr>
          <w:rFonts w:eastAsia="Times New Roman" w:cs="Arial"/>
          <w:color w:val="000000"/>
        </w:rPr>
        <w:t xml:space="preserve">additional </w:t>
      </w:r>
      <w:r w:rsidR="00E42BE5" w:rsidRPr="00E336A2">
        <w:rPr>
          <w:rFonts w:eastAsia="Times New Roman" w:cs="Arial"/>
          <w:color w:val="000000"/>
        </w:rPr>
        <w:t>enumerations which may be desirable.”</w:t>
      </w:r>
      <w:r w:rsidR="006C71D0" w:rsidRPr="00E336A2">
        <w:rPr>
          <w:rStyle w:val="FootnoteReference"/>
          <w:rFonts w:eastAsia="Times New Roman" w:cs="Arial"/>
          <w:color w:val="000000"/>
        </w:rPr>
        <w:footnoteReference w:id="6"/>
      </w:r>
      <w:r w:rsidR="00E42BE5" w:rsidRPr="00E336A2">
        <w:rPr>
          <w:rFonts w:eastAsia="Times New Roman" w:cs="Arial"/>
          <w:color w:val="000000"/>
        </w:rPr>
        <w:t xml:space="preserve">  (</w:t>
      </w:r>
      <w:r w:rsidR="00B03CE9" w:rsidRPr="00E336A2">
        <w:rPr>
          <w:rFonts w:eastAsia="Times New Roman" w:cs="Arial"/>
          <w:i/>
          <w:iCs/>
          <w:color w:val="000000"/>
        </w:rPr>
        <w:t>Reed,</w:t>
      </w:r>
      <w:r w:rsidR="00E42BE5" w:rsidRPr="00E336A2">
        <w:rPr>
          <w:rFonts w:eastAsia="Times New Roman" w:cs="Arial"/>
          <w:i/>
          <w:iCs/>
          <w:color w:val="000000"/>
        </w:rPr>
        <w:t xml:space="preserve"> </w:t>
      </w:r>
      <w:r w:rsidR="00E42BE5" w:rsidRPr="00E336A2">
        <w:rPr>
          <w:rFonts w:eastAsia="Times New Roman" w:cs="Arial"/>
          <w:color w:val="000000"/>
        </w:rPr>
        <w:t>at p</w:t>
      </w:r>
      <w:r w:rsidR="009148B9" w:rsidRPr="00E336A2">
        <w:rPr>
          <w:rFonts w:eastAsia="Times New Roman" w:cs="Arial"/>
          <w:color w:val="000000"/>
        </w:rPr>
        <w:t>p</w:t>
      </w:r>
      <w:r w:rsidR="00E42BE5" w:rsidRPr="00E336A2">
        <w:rPr>
          <w:rFonts w:eastAsia="Times New Roman" w:cs="Arial"/>
          <w:color w:val="000000"/>
        </w:rPr>
        <w:t xml:space="preserve">. </w:t>
      </w:r>
      <w:r w:rsidR="009148B9" w:rsidRPr="00E336A2">
        <w:rPr>
          <w:rFonts w:eastAsia="Times New Roman" w:cs="Arial"/>
          <w:color w:val="000000"/>
        </w:rPr>
        <w:t>891</w:t>
      </w:r>
      <w:r w:rsidR="005F5E6B">
        <w:t>–</w:t>
      </w:r>
      <w:r w:rsidR="00E42BE5" w:rsidRPr="00E336A2">
        <w:rPr>
          <w:rFonts w:eastAsia="Times New Roman" w:cs="Arial"/>
          <w:color w:val="000000"/>
        </w:rPr>
        <w:t>892.)</w:t>
      </w:r>
    </w:p>
    <w:p w14:paraId="6C0D8058" w14:textId="77777777" w:rsidR="004105AF" w:rsidRPr="00E336A2" w:rsidRDefault="006B1A56" w:rsidP="00E42BE5">
      <w:pPr>
        <w:spacing w:line="360" w:lineRule="auto"/>
        <w:rPr>
          <w:rFonts w:eastAsia="Times New Roman" w:cs="Arial"/>
          <w:color w:val="000000"/>
        </w:rPr>
      </w:pPr>
      <w:r w:rsidRPr="00E336A2">
        <w:rPr>
          <w:rFonts w:eastAsia="Times New Roman" w:cs="Arial"/>
          <w:color w:val="000000"/>
        </w:rPr>
        <w:lastRenderedPageBreak/>
        <w:tab/>
      </w:r>
      <w:r w:rsidR="00F90DEF" w:rsidRPr="00E336A2">
        <w:rPr>
          <w:rFonts w:eastAsia="Times New Roman" w:cs="Arial"/>
          <w:color w:val="000000"/>
        </w:rPr>
        <w:t>As initially introduced, the legislation “</w:t>
      </w:r>
      <w:r w:rsidR="00AC61A4" w:rsidRPr="00E336A2">
        <w:rPr>
          <w:rFonts w:eastAsia="Times New Roman" w:cs="Arial"/>
          <w:color w:val="000000"/>
        </w:rPr>
        <w:t xml:space="preserve"> ‘</w:t>
      </w:r>
      <w:r w:rsidR="00F90DEF" w:rsidRPr="00E336A2">
        <w:rPr>
          <w:rFonts w:eastAsia="Times New Roman" w:cs="Arial"/>
          <w:color w:val="000000"/>
        </w:rPr>
        <w:t xml:space="preserve">proposed to revise the first paragraph of </w:t>
      </w:r>
      <w:r w:rsidR="00AB6B8C" w:rsidRPr="00E336A2">
        <w:rPr>
          <w:rFonts w:eastAsia="Times New Roman" w:cs="Arial"/>
          <w:color w:val="000000"/>
        </w:rPr>
        <w:t xml:space="preserve">[the then existing] </w:t>
      </w:r>
      <w:r w:rsidR="005F5E6B">
        <w:rPr>
          <w:rFonts w:eastAsia="Times New Roman" w:cs="Arial"/>
          <w:color w:val="000000"/>
        </w:rPr>
        <w:t xml:space="preserve">[Civil Code] </w:t>
      </w:r>
      <w:r w:rsidR="00F90DEF" w:rsidRPr="00E336A2">
        <w:rPr>
          <w:rFonts w:eastAsia="Times New Roman" w:cs="Arial"/>
          <w:color w:val="000000"/>
        </w:rPr>
        <w:t>section 51 to provide:</w:t>
      </w:r>
      <w:r w:rsidR="00B03CE9" w:rsidRPr="00E336A2">
        <w:rPr>
          <w:rFonts w:eastAsia="Times New Roman" w:cs="Arial"/>
          <w:color w:val="000000"/>
        </w:rPr>
        <w:t xml:space="preserve"> </w:t>
      </w:r>
      <w:r w:rsidR="00F90DEF" w:rsidRPr="00E336A2">
        <w:rPr>
          <w:rFonts w:eastAsia="Times New Roman" w:cs="Arial"/>
          <w:color w:val="000000"/>
        </w:rPr>
        <w:t xml:space="preserve"> </w:t>
      </w:r>
      <w:r w:rsidR="00AC61A4" w:rsidRPr="00E336A2">
        <w:rPr>
          <w:rFonts w:eastAsia="Times New Roman" w:cs="Arial"/>
          <w:color w:val="000000"/>
        </w:rPr>
        <w:t>“</w:t>
      </w:r>
      <w:r w:rsidR="00F90DEF" w:rsidRPr="00E336A2">
        <w:rPr>
          <w:rFonts w:eastAsia="Times New Roman" w:cs="Arial"/>
          <w:color w:val="000000"/>
        </w:rPr>
        <w:t>All citizens within the jurisdiction of this State, no matter what their race, color, religion, ancestry, or national origin, are entitled to the full and equal admittance, accommodations, advantages, facilities, membership, and privileges in, or accorded by, all public or private groups, organizations, associations, business establishments, school</w:t>
      </w:r>
      <w:r w:rsidR="008A7613">
        <w:rPr>
          <w:rFonts w:eastAsia="Times New Roman" w:cs="Arial"/>
          <w:color w:val="000000"/>
        </w:rPr>
        <w:t>s</w:t>
      </w:r>
      <w:r w:rsidR="00F90DEF" w:rsidRPr="00E336A2">
        <w:rPr>
          <w:rFonts w:eastAsia="Times New Roman" w:cs="Arial"/>
          <w:color w:val="000000"/>
        </w:rPr>
        <w:t>, and public facilities; to purchase real property; and to obtain the services of any professional person, group or association.</w:t>
      </w:r>
      <w:r w:rsidR="00AC61A4" w:rsidRPr="00E336A2">
        <w:rPr>
          <w:rFonts w:eastAsia="Times New Roman" w:cs="Arial"/>
          <w:color w:val="000000"/>
        </w:rPr>
        <w:t xml:space="preserve">’  [Citation.] </w:t>
      </w:r>
      <w:r w:rsidR="00F90DEF" w:rsidRPr="00E336A2">
        <w:rPr>
          <w:rFonts w:eastAsia="Times New Roman" w:cs="Arial"/>
          <w:color w:val="000000"/>
        </w:rPr>
        <w:t xml:space="preserve"> Thereafter, the bill underwent a series of amendments in both houses of the Legislature.</w:t>
      </w:r>
      <w:r w:rsidR="00AC61A4" w:rsidRPr="00E336A2">
        <w:rPr>
          <w:rFonts w:eastAsia="Times New Roman" w:cs="Arial"/>
          <w:color w:val="000000"/>
        </w:rPr>
        <w:t xml:space="preserve">’ </w:t>
      </w:r>
      <w:r w:rsidR="00AB6B8C" w:rsidRPr="00E336A2">
        <w:rPr>
          <w:rFonts w:eastAsia="Times New Roman" w:cs="Arial"/>
          <w:color w:val="000000"/>
        </w:rPr>
        <w:t>”  (</w:t>
      </w:r>
      <w:r w:rsidR="00714FFB" w:rsidRPr="00E336A2">
        <w:rPr>
          <w:rFonts w:eastAsia="Times New Roman" w:cs="Arial"/>
          <w:i/>
          <w:iCs/>
          <w:color w:val="000000"/>
        </w:rPr>
        <w:t xml:space="preserve">Curran, supra, </w:t>
      </w:r>
      <w:r w:rsidR="00B03CE9" w:rsidRPr="00E336A2">
        <w:rPr>
          <w:rFonts w:eastAsia="Times New Roman" w:cs="Arial"/>
          <w:color w:val="000000"/>
        </w:rPr>
        <w:t xml:space="preserve">17 Cal.4th </w:t>
      </w:r>
      <w:r w:rsidR="00714FFB" w:rsidRPr="00E336A2">
        <w:rPr>
          <w:rFonts w:eastAsia="Times New Roman" w:cs="Arial"/>
          <w:color w:val="000000"/>
        </w:rPr>
        <w:t>at p. 687</w:t>
      </w:r>
      <w:r w:rsidR="00AC61A4" w:rsidRPr="00E336A2">
        <w:rPr>
          <w:rFonts w:eastAsia="Times New Roman" w:cs="Arial"/>
          <w:color w:val="000000"/>
        </w:rPr>
        <w:t>, italics omitted</w:t>
      </w:r>
      <w:r w:rsidR="00714FFB" w:rsidRPr="00E336A2">
        <w:rPr>
          <w:rFonts w:eastAsia="Times New Roman" w:cs="Arial"/>
          <w:color w:val="000000"/>
        </w:rPr>
        <w:t xml:space="preserve">, quoting </w:t>
      </w:r>
      <w:r w:rsidR="00AB6B8C" w:rsidRPr="00E336A2">
        <w:rPr>
          <w:rFonts w:eastAsia="Times New Roman" w:cs="Arial"/>
          <w:i/>
          <w:iCs/>
          <w:color w:val="000000"/>
        </w:rPr>
        <w:t xml:space="preserve">Warfield, supra, </w:t>
      </w:r>
      <w:r w:rsidR="00B03CE9" w:rsidRPr="00E336A2">
        <w:rPr>
          <w:rFonts w:eastAsia="Times New Roman" w:cs="Arial"/>
          <w:color w:val="000000"/>
        </w:rPr>
        <w:t xml:space="preserve">10 Cal.4th at </w:t>
      </w:r>
      <w:r w:rsidR="00AB6B8C" w:rsidRPr="00E336A2">
        <w:rPr>
          <w:rFonts w:eastAsia="Times New Roman" w:cs="Arial"/>
          <w:color w:val="000000"/>
        </w:rPr>
        <w:t xml:space="preserve">p. 608.)  </w:t>
      </w:r>
    </w:p>
    <w:p w14:paraId="5D01A3A8" w14:textId="77777777" w:rsidR="00AB6B8C" w:rsidRPr="00E336A2" w:rsidRDefault="004105AF" w:rsidP="00E42BE5">
      <w:pPr>
        <w:spacing w:line="360" w:lineRule="auto"/>
        <w:rPr>
          <w:rFonts w:eastAsia="Times New Roman" w:cs="Arial"/>
          <w:color w:val="000000"/>
        </w:rPr>
      </w:pPr>
      <w:r w:rsidRPr="00E336A2">
        <w:rPr>
          <w:rFonts w:eastAsia="Times New Roman" w:cs="Arial"/>
          <w:color w:val="000000"/>
        </w:rPr>
        <w:tab/>
      </w:r>
      <w:r w:rsidR="00AB6B8C" w:rsidRPr="00E336A2">
        <w:rPr>
          <w:rFonts w:eastAsia="Times New Roman" w:cs="Arial"/>
          <w:color w:val="000000"/>
        </w:rPr>
        <w:t>The</w:t>
      </w:r>
      <w:r w:rsidRPr="00E336A2">
        <w:rPr>
          <w:rFonts w:eastAsia="Times New Roman" w:cs="Arial"/>
          <w:color w:val="000000"/>
        </w:rPr>
        <w:t>se</w:t>
      </w:r>
      <w:r w:rsidR="00AB6B8C" w:rsidRPr="00E336A2">
        <w:rPr>
          <w:rFonts w:eastAsia="Times New Roman" w:cs="Arial"/>
          <w:color w:val="000000"/>
        </w:rPr>
        <w:t xml:space="preserve"> amendments</w:t>
      </w:r>
      <w:r w:rsidRPr="00E336A2">
        <w:rPr>
          <w:rFonts w:eastAsia="Times New Roman" w:cs="Arial"/>
          <w:color w:val="000000"/>
        </w:rPr>
        <w:t xml:space="preserve">, </w:t>
      </w:r>
      <w:r w:rsidR="003B4BCC" w:rsidRPr="00E336A2">
        <w:rPr>
          <w:rFonts w:eastAsia="Times New Roman" w:cs="Arial"/>
          <w:color w:val="000000"/>
        </w:rPr>
        <w:t>chronicled by Professor Horowitz</w:t>
      </w:r>
      <w:r w:rsidR="00044F7D" w:rsidRPr="00E336A2">
        <w:rPr>
          <w:rFonts w:eastAsia="Times New Roman" w:cs="Arial"/>
          <w:color w:val="000000"/>
        </w:rPr>
        <w:t>,</w:t>
      </w:r>
      <w:r w:rsidR="003B4BCC" w:rsidRPr="00E336A2">
        <w:rPr>
          <w:rFonts w:eastAsia="Times New Roman" w:cs="Arial"/>
          <w:color w:val="000000"/>
        </w:rPr>
        <w:t xml:space="preserve"> </w:t>
      </w:r>
      <w:r w:rsidR="00AB6B8C" w:rsidRPr="00E336A2">
        <w:rPr>
          <w:rFonts w:eastAsia="Times New Roman" w:cs="Arial"/>
          <w:color w:val="000000"/>
        </w:rPr>
        <w:t xml:space="preserve">are of </w:t>
      </w:r>
      <w:r w:rsidRPr="00E336A2">
        <w:rPr>
          <w:rFonts w:eastAsia="Times New Roman" w:cs="Arial"/>
          <w:color w:val="000000"/>
        </w:rPr>
        <w:t xml:space="preserve">significant </w:t>
      </w:r>
      <w:r w:rsidR="00AB6B8C" w:rsidRPr="00E336A2">
        <w:rPr>
          <w:rFonts w:eastAsia="Times New Roman" w:cs="Arial"/>
          <w:color w:val="000000"/>
        </w:rPr>
        <w:t>interest, given the issues before us.</w:t>
      </w:r>
      <w:r w:rsidR="00044F7D" w:rsidRPr="00E336A2">
        <w:rPr>
          <w:rFonts w:eastAsia="Times New Roman" w:cs="Arial"/>
          <w:color w:val="000000"/>
        </w:rPr>
        <w:t xml:space="preserve">  (See </w:t>
      </w:r>
      <w:r w:rsidR="00044F7D" w:rsidRPr="00E336A2">
        <w:rPr>
          <w:rFonts w:eastAsia="Times New Roman" w:cs="Arial"/>
          <w:i/>
          <w:iCs/>
          <w:color w:val="000000"/>
        </w:rPr>
        <w:t xml:space="preserve">Curran, supra, </w:t>
      </w:r>
      <w:r w:rsidR="00B03CE9" w:rsidRPr="00E336A2">
        <w:rPr>
          <w:rFonts w:eastAsia="Times New Roman" w:cs="Arial"/>
          <w:color w:val="000000"/>
        </w:rPr>
        <w:t xml:space="preserve">17 Cal.4th </w:t>
      </w:r>
      <w:r w:rsidR="00044F7D" w:rsidRPr="00E336A2">
        <w:rPr>
          <w:rFonts w:eastAsia="Times New Roman" w:cs="Arial"/>
          <w:color w:val="000000"/>
        </w:rPr>
        <w:t>at p. 687</w:t>
      </w:r>
      <w:r w:rsidR="00B03CE9" w:rsidRPr="00E336A2">
        <w:rPr>
          <w:rFonts w:eastAsia="Times New Roman" w:cs="Arial"/>
          <w:color w:val="000000"/>
        </w:rPr>
        <w:t>,</w:t>
      </w:r>
      <w:r w:rsidR="00044F7D" w:rsidRPr="00E336A2">
        <w:rPr>
          <w:rFonts w:eastAsia="Times New Roman" w:cs="Arial"/>
          <w:color w:val="000000"/>
        </w:rPr>
        <w:t xml:space="preserve"> </w:t>
      </w:r>
      <w:r w:rsidR="00B03CE9" w:rsidRPr="00E336A2">
        <w:rPr>
          <w:rFonts w:eastAsia="Times New Roman" w:cs="Arial"/>
          <w:color w:val="000000"/>
        </w:rPr>
        <w:t>f</w:t>
      </w:r>
      <w:r w:rsidR="00044F7D" w:rsidRPr="00E336A2">
        <w:rPr>
          <w:rFonts w:eastAsia="Times New Roman" w:cs="Arial"/>
          <w:color w:val="000000"/>
        </w:rPr>
        <w:t>n. 13</w:t>
      </w:r>
      <w:r w:rsidR="00B03CE9" w:rsidRPr="00E336A2">
        <w:rPr>
          <w:rFonts w:eastAsia="Times New Roman" w:cs="Arial"/>
          <w:color w:val="000000"/>
        </w:rPr>
        <w:t>,</w:t>
      </w:r>
      <w:r w:rsidR="00044F7D" w:rsidRPr="00E336A2">
        <w:rPr>
          <w:rFonts w:eastAsia="Times New Roman" w:cs="Arial"/>
          <w:color w:val="000000"/>
        </w:rPr>
        <w:t xml:space="preserve"> quoting </w:t>
      </w:r>
      <w:r w:rsidR="00044F7D" w:rsidRPr="00E336A2">
        <w:rPr>
          <w:rFonts w:eastAsia="Times New Roman" w:cs="Arial"/>
          <w:i/>
          <w:iCs/>
          <w:color w:val="000000"/>
        </w:rPr>
        <w:t xml:space="preserve">Warfield, supra, </w:t>
      </w:r>
      <w:r w:rsidR="00B03CE9" w:rsidRPr="00E336A2">
        <w:rPr>
          <w:rFonts w:eastAsia="Times New Roman" w:cs="Arial"/>
          <w:color w:val="000000"/>
        </w:rPr>
        <w:t xml:space="preserve">10 Cal.4th </w:t>
      </w:r>
      <w:r w:rsidR="00044F7D" w:rsidRPr="00E336A2">
        <w:rPr>
          <w:rFonts w:eastAsia="Times New Roman" w:cs="Arial"/>
          <w:color w:val="000000"/>
        </w:rPr>
        <w:t>at p. 608</w:t>
      </w:r>
      <w:r w:rsidR="00B03CE9" w:rsidRPr="00E336A2">
        <w:rPr>
          <w:rFonts w:eastAsia="Times New Roman" w:cs="Arial"/>
          <w:color w:val="000000"/>
        </w:rPr>
        <w:t>,</w:t>
      </w:r>
      <w:r w:rsidR="00044F7D" w:rsidRPr="00E336A2">
        <w:rPr>
          <w:rFonts w:eastAsia="Times New Roman" w:cs="Arial"/>
          <w:color w:val="000000"/>
        </w:rPr>
        <w:t xml:space="preserve"> </w:t>
      </w:r>
      <w:r w:rsidR="00B03CE9" w:rsidRPr="00E336A2">
        <w:rPr>
          <w:rFonts w:eastAsia="Times New Roman" w:cs="Arial"/>
          <w:color w:val="000000"/>
        </w:rPr>
        <w:t>f</w:t>
      </w:r>
      <w:r w:rsidR="00044F7D" w:rsidRPr="00E336A2">
        <w:rPr>
          <w:rFonts w:eastAsia="Times New Roman" w:cs="Arial"/>
          <w:color w:val="000000"/>
        </w:rPr>
        <w:t>n. 8 [“</w:t>
      </w:r>
      <w:r w:rsidR="00383F57">
        <w:rPr>
          <w:rFonts w:eastAsia="Times New Roman" w:cs="Arial"/>
          <w:color w:val="000000"/>
        </w:rPr>
        <w:t xml:space="preserve"> ‘</w:t>
      </w:r>
      <w:r w:rsidR="00044F7D" w:rsidRPr="00E336A2">
        <w:rPr>
          <w:rFonts w:eastAsia="Times New Roman" w:cs="Arial"/>
          <w:color w:val="000000"/>
        </w:rPr>
        <w:t xml:space="preserve">The complete </w:t>
      </w:r>
      <w:r w:rsidR="00044F7D" w:rsidRPr="00E336A2">
        <w:rPr>
          <w:rFonts w:eastAsia="Times New Roman" w:cs="Arial"/>
          <w:color w:val="000000"/>
        </w:rPr>
        <w:lastRenderedPageBreak/>
        <w:t>progression of the bill through the Legislature is set forth in detail in Horowitz[</w:t>
      </w:r>
      <w:r w:rsidR="00BA5BDB" w:rsidRPr="00E336A2">
        <w:rPr>
          <w:rFonts w:eastAsia="Times New Roman" w:cs="Arial"/>
          <w:color w:val="000000"/>
        </w:rPr>
        <w:t xml:space="preserve">, </w:t>
      </w:r>
      <w:r w:rsidR="00044F7D" w:rsidRPr="00E336A2">
        <w:rPr>
          <w:rFonts w:eastAsia="Times New Roman" w:cs="Arial"/>
          <w:i/>
          <w:iCs/>
          <w:color w:val="000000"/>
        </w:rPr>
        <w:t>supra,</w:t>
      </w:r>
      <w:r w:rsidR="00AC61A4" w:rsidRPr="00E336A2">
        <w:rPr>
          <w:rFonts w:eastAsia="Times New Roman" w:cs="Arial"/>
          <w:color w:val="000000"/>
        </w:rPr>
        <w:t>]</w:t>
      </w:r>
      <w:r w:rsidR="00044F7D" w:rsidRPr="00E336A2">
        <w:rPr>
          <w:rFonts w:eastAsia="Times New Roman" w:cs="Arial"/>
          <w:i/>
          <w:iCs/>
          <w:color w:val="000000"/>
        </w:rPr>
        <w:t xml:space="preserve"> </w:t>
      </w:r>
      <w:r w:rsidR="00044F7D" w:rsidRPr="00E336A2">
        <w:rPr>
          <w:rFonts w:eastAsia="Times New Roman" w:cs="Arial"/>
          <w:color w:val="000000"/>
        </w:rPr>
        <w:t xml:space="preserve">33 </w:t>
      </w:r>
      <w:proofErr w:type="spellStart"/>
      <w:r w:rsidR="00044F7D" w:rsidRPr="00E336A2">
        <w:rPr>
          <w:rFonts w:eastAsia="Times New Roman" w:cs="Arial"/>
          <w:color w:val="000000"/>
        </w:rPr>
        <w:t>So.Cal.L.Rev</w:t>
      </w:r>
      <w:proofErr w:type="spellEnd"/>
      <w:r w:rsidR="00044F7D" w:rsidRPr="00E336A2">
        <w:rPr>
          <w:rFonts w:eastAsia="Times New Roman" w:cs="Arial"/>
          <w:color w:val="000000"/>
        </w:rPr>
        <w:t xml:space="preserve">. </w:t>
      </w:r>
      <w:r w:rsidR="00AC61A4" w:rsidRPr="00E336A2">
        <w:rPr>
          <w:rFonts w:eastAsia="Times New Roman" w:cs="Arial"/>
          <w:color w:val="000000"/>
        </w:rPr>
        <w:t>[</w:t>
      </w:r>
      <w:r w:rsidR="00044F7D" w:rsidRPr="00E336A2">
        <w:rPr>
          <w:rFonts w:eastAsia="Times New Roman" w:cs="Arial"/>
          <w:color w:val="000000"/>
        </w:rPr>
        <w:t>at pp.</w:t>
      </w:r>
      <w:r w:rsidR="00AC61A4" w:rsidRPr="00E336A2">
        <w:rPr>
          <w:rFonts w:eastAsia="Times New Roman" w:cs="Arial"/>
          <w:color w:val="000000"/>
        </w:rPr>
        <w:t>]</w:t>
      </w:r>
      <w:r w:rsidR="00044F7D" w:rsidRPr="00E336A2">
        <w:rPr>
          <w:rFonts w:eastAsia="Times New Roman" w:cs="Arial"/>
          <w:color w:val="000000"/>
        </w:rPr>
        <w:t xml:space="preserve"> 265</w:t>
      </w:r>
      <w:r w:rsidR="005F5E6B">
        <w:t>–</w:t>
      </w:r>
      <w:r w:rsidR="00044F7D" w:rsidRPr="00E336A2">
        <w:rPr>
          <w:rFonts w:eastAsia="Times New Roman" w:cs="Arial"/>
          <w:color w:val="000000"/>
        </w:rPr>
        <w:t>270</w:t>
      </w:r>
      <w:r w:rsidR="00B03CE9" w:rsidRPr="00E336A2">
        <w:rPr>
          <w:rFonts w:eastAsia="Times New Roman" w:cs="Arial"/>
          <w:color w:val="000000"/>
        </w:rPr>
        <w:t>.</w:t>
      </w:r>
      <w:r w:rsidR="00383F57">
        <w:rPr>
          <w:rFonts w:eastAsia="Times New Roman" w:cs="Arial"/>
          <w:color w:val="000000"/>
        </w:rPr>
        <w:t>’ ”</w:t>
      </w:r>
      <w:r w:rsidR="00044F7D" w:rsidRPr="00E336A2">
        <w:rPr>
          <w:rFonts w:eastAsia="Times New Roman" w:cs="Arial"/>
          <w:color w:val="000000"/>
        </w:rPr>
        <w:t>].)</w:t>
      </w:r>
    </w:p>
    <w:p w14:paraId="22F04F41" w14:textId="77777777" w:rsidR="00AB6B8C" w:rsidRPr="00E336A2" w:rsidRDefault="00AB6B8C" w:rsidP="00AB6B8C">
      <w:pPr>
        <w:spacing w:line="360" w:lineRule="auto"/>
        <w:rPr>
          <w:rFonts w:eastAsia="Times New Roman" w:cs="Arial"/>
          <w:color w:val="000000"/>
        </w:rPr>
      </w:pPr>
      <w:r w:rsidRPr="00E336A2">
        <w:rPr>
          <w:rFonts w:eastAsia="Times New Roman" w:cs="Arial"/>
          <w:color w:val="000000"/>
        </w:rPr>
        <w:tab/>
      </w:r>
      <w:r w:rsidR="00DB3DA3" w:rsidRPr="00E336A2">
        <w:rPr>
          <w:rFonts w:eastAsia="Times New Roman" w:cs="Arial"/>
          <w:color w:val="000000"/>
        </w:rPr>
        <w:t>Two months after it was introduced</w:t>
      </w:r>
      <w:r w:rsidR="00726003" w:rsidRPr="00E336A2">
        <w:rPr>
          <w:rFonts w:eastAsia="Times New Roman" w:cs="Arial"/>
          <w:color w:val="000000"/>
        </w:rPr>
        <w:t>, the bill was amended o</w:t>
      </w:r>
      <w:r w:rsidRPr="00E336A2">
        <w:rPr>
          <w:rFonts w:eastAsia="Times New Roman" w:cs="Arial"/>
          <w:color w:val="000000"/>
        </w:rPr>
        <w:t xml:space="preserve">n March 24, 1959, </w:t>
      </w:r>
      <w:r w:rsidR="00A943F4" w:rsidRPr="00E336A2">
        <w:rPr>
          <w:rFonts w:eastAsia="Times New Roman" w:cs="Arial"/>
          <w:color w:val="000000"/>
        </w:rPr>
        <w:t xml:space="preserve">as follows (new language italicized and </w:t>
      </w:r>
      <w:proofErr w:type="gramStart"/>
      <w:r w:rsidR="00A943F4" w:rsidRPr="00E336A2">
        <w:rPr>
          <w:rFonts w:eastAsia="Times New Roman" w:cs="Arial"/>
          <w:color w:val="000000"/>
        </w:rPr>
        <w:t>some</w:t>
      </w:r>
      <w:proofErr w:type="gramEnd"/>
      <w:r w:rsidR="00A943F4" w:rsidRPr="00E336A2">
        <w:rPr>
          <w:rFonts w:eastAsia="Times New Roman" w:cs="Arial"/>
          <w:color w:val="000000"/>
        </w:rPr>
        <w:t xml:space="preserve"> a</w:t>
      </w:r>
      <w:r w:rsidR="00044F7D" w:rsidRPr="00E336A2">
        <w:rPr>
          <w:rFonts w:eastAsia="Times New Roman" w:cs="Arial"/>
          <w:color w:val="000000"/>
        </w:rPr>
        <w:t xml:space="preserve">lso </w:t>
      </w:r>
      <w:r w:rsidR="003B4BCC" w:rsidRPr="00E336A2">
        <w:rPr>
          <w:rFonts w:eastAsia="Times New Roman" w:cs="Arial"/>
          <w:color w:val="000000"/>
        </w:rPr>
        <w:t xml:space="preserve">bolded </w:t>
      </w:r>
      <w:r w:rsidR="00A943F4" w:rsidRPr="00E336A2">
        <w:rPr>
          <w:rFonts w:eastAsia="Times New Roman" w:cs="Arial"/>
          <w:color w:val="000000"/>
        </w:rPr>
        <w:t>for emphasis</w:t>
      </w:r>
      <w:r w:rsidR="00044F7D" w:rsidRPr="00E336A2">
        <w:rPr>
          <w:rFonts w:eastAsia="Times New Roman" w:cs="Arial"/>
          <w:color w:val="000000"/>
        </w:rPr>
        <w:t>)</w:t>
      </w:r>
      <w:r w:rsidRPr="00E336A2">
        <w:rPr>
          <w:rFonts w:eastAsia="Times New Roman" w:cs="Arial"/>
          <w:color w:val="000000"/>
        </w:rPr>
        <w:t>:</w:t>
      </w:r>
    </w:p>
    <w:p w14:paraId="781D47AD" w14:textId="77777777" w:rsidR="00AB6B8C" w:rsidRPr="00E336A2" w:rsidRDefault="00AB6B8C" w:rsidP="00AB6B8C">
      <w:pPr>
        <w:shd w:val="clear" w:color="auto" w:fill="FFFFFF"/>
        <w:spacing w:line="240" w:lineRule="auto"/>
        <w:ind w:left="720"/>
        <w:rPr>
          <w:rFonts w:eastAsia="Times New Roman" w:cs="Arial"/>
          <w:color w:val="000000"/>
        </w:rPr>
      </w:pPr>
      <w:r w:rsidRPr="00E336A2">
        <w:rPr>
          <w:rFonts w:eastAsia="Times New Roman" w:cs="Arial"/>
          <w:color w:val="000000"/>
        </w:rPr>
        <w:t>“</w:t>
      </w:r>
      <w:r w:rsidR="003A6F90" w:rsidRPr="00E336A2">
        <w:rPr>
          <w:rFonts w:eastAsia="Times New Roman" w:cs="Arial"/>
          <w:color w:val="000000"/>
        </w:rPr>
        <w:t xml:space="preserve"> ‘</w:t>
      </w:r>
      <w:r w:rsidRPr="00E336A2">
        <w:rPr>
          <w:rFonts w:eastAsia="Times New Roman" w:cs="Arial"/>
          <w:color w:val="000000"/>
        </w:rPr>
        <w:t xml:space="preserve">All citizens within the jurisdiction of this State, no matter what their race, color, religion, ancestry, or national origin, are entitled to the full and equal admittance, accommodations, advantages, facilities, membership, and privileges in, or accorded by, all public or private groups, organizations, associations, business establishments, </w:t>
      </w:r>
      <w:r w:rsidRPr="00E336A2">
        <w:rPr>
          <w:rFonts w:eastAsia="Times New Roman" w:cs="Arial"/>
          <w:b/>
          <w:bCs/>
          <w:color w:val="000000"/>
        </w:rPr>
        <w:t>schools</w:t>
      </w:r>
      <w:r w:rsidRPr="00E336A2">
        <w:rPr>
          <w:rFonts w:eastAsia="Times New Roman" w:cs="Arial"/>
          <w:color w:val="000000"/>
        </w:rPr>
        <w:t>, and public facilities,</w:t>
      </w:r>
      <w:r w:rsidRPr="00E336A2">
        <w:rPr>
          <w:rFonts w:eastAsia="Times New Roman" w:cs="Arial"/>
          <w:i/>
          <w:iCs/>
          <w:color w:val="000000"/>
        </w:rPr>
        <w:t xml:space="preserve"> </w:t>
      </w:r>
      <w:r w:rsidRPr="00E336A2">
        <w:rPr>
          <w:rFonts w:eastAsia="Times New Roman" w:cs="Arial"/>
          <w:b/>
          <w:bCs/>
          <w:i/>
          <w:iCs/>
          <w:color w:val="000000"/>
        </w:rPr>
        <w:t>except those institutions organized primarily for the purpose of, and which practice, the furthering of a specific sectarian religious belief or a specific national culture, and which limit their membership or affiliations to only those persons with a corresponding religious belief or national derivation</w:t>
      </w:r>
      <w:r w:rsidRPr="00E336A2">
        <w:rPr>
          <w:rFonts w:eastAsia="Times New Roman" w:cs="Arial"/>
          <w:i/>
          <w:iCs/>
          <w:color w:val="000000"/>
        </w:rPr>
        <w:t>;</w:t>
      </w:r>
      <w:r w:rsidRPr="00E336A2">
        <w:rPr>
          <w:rFonts w:eastAsia="Times New Roman" w:cs="Arial"/>
          <w:color w:val="000000"/>
        </w:rPr>
        <w:t xml:space="preserve"> to purchase real property; and to obtain the services of any professional person, group or association.</w:t>
      </w:r>
      <w:r w:rsidR="003A6F90" w:rsidRPr="00E336A2">
        <w:rPr>
          <w:rFonts w:eastAsia="Times New Roman" w:cs="Arial"/>
          <w:color w:val="000000"/>
        </w:rPr>
        <w:t xml:space="preserve">’ </w:t>
      </w:r>
      <w:r w:rsidRPr="00E336A2">
        <w:rPr>
          <w:rFonts w:eastAsia="Times New Roman" w:cs="Arial"/>
          <w:color w:val="000000"/>
        </w:rPr>
        <w:t>”</w:t>
      </w:r>
      <w:r w:rsidR="002E503B" w:rsidRPr="00E336A2">
        <w:rPr>
          <w:rFonts w:eastAsia="Times New Roman" w:cs="Arial"/>
          <w:color w:val="000000"/>
        </w:rPr>
        <w:t xml:space="preserve"> </w:t>
      </w:r>
      <w:r w:rsidRPr="00E336A2">
        <w:rPr>
          <w:rFonts w:eastAsia="Times New Roman" w:cs="Arial"/>
          <w:color w:val="000000"/>
        </w:rPr>
        <w:t xml:space="preserve"> (</w:t>
      </w:r>
      <w:r w:rsidR="00CE7148" w:rsidRPr="00E336A2">
        <w:rPr>
          <w:rFonts w:eastAsia="Times New Roman" w:cs="Arial"/>
          <w:color w:val="000000"/>
        </w:rPr>
        <w:t xml:space="preserve">Horowitz, </w:t>
      </w:r>
      <w:r w:rsidRPr="00E336A2">
        <w:rPr>
          <w:rFonts w:eastAsia="Times New Roman" w:cs="Arial"/>
          <w:i/>
          <w:iCs/>
          <w:color w:val="000000"/>
        </w:rPr>
        <w:t>supra,</w:t>
      </w:r>
      <w:r w:rsidRPr="00E336A2">
        <w:rPr>
          <w:rFonts w:eastAsia="Times New Roman" w:cs="Arial"/>
          <w:color w:val="000000"/>
        </w:rPr>
        <w:t xml:space="preserve"> 33</w:t>
      </w:r>
      <w:r w:rsidR="002E503B" w:rsidRPr="00E336A2">
        <w:rPr>
          <w:rFonts w:eastAsia="Times New Roman" w:cs="Arial"/>
          <w:color w:val="000000"/>
        </w:rPr>
        <w:t> </w:t>
      </w:r>
      <w:proofErr w:type="spellStart"/>
      <w:r w:rsidRPr="00E336A2">
        <w:rPr>
          <w:rFonts w:eastAsia="Times New Roman" w:cs="Arial"/>
          <w:color w:val="000000"/>
        </w:rPr>
        <w:t>So.Cal.L.Rev</w:t>
      </w:r>
      <w:proofErr w:type="spellEnd"/>
      <w:r w:rsidRPr="00E336A2">
        <w:rPr>
          <w:rFonts w:eastAsia="Times New Roman" w:cs="Arial"/>
          <w:color w:val="000000"/>
        </w:rPr>
        <w:t>. at p. 266</w:t>
      </w:r>
      <w:r w:rsidR="00AE5497" w:rsidRPr="00E336A2">
        <w:rPr>
          <w:rFonts w:eastAsia="Times New Roman" w:cs="Arial"/>
          <w:color w:val="000000"/>
        </w:rPr>
        <w:t xml:space="preserve"> &amp; </w:t>
      </w:r>
      <w:r w:rsidRPr="00E336A2">
        <w:rPr>
          <w:rFonts w:eastAsia="Times New Roman" w:cs="Arial"/>
          <w:color w:val="000000"/>
        </w:rPr>
        <w:t>fn. 32</w:t>
      </w:r>
      <w:r w:rsidR="004105AF" w:rsidRPr="00E336A2">
        <w:rPr>
          <w:rFonts w:eastAsia="Times New Roman" w:cs="Arial"/>
          <w:color w:val="000000"/>
        </w:rPr>
        <w:t>.)</w:t>
      </w:r>
    </w:p>
    <w:p w14:paraId="1653BA9A" w14:textId="77777777" w:rsidR="00AB6B8C" w:rsidRPr="00E336A2" w:rsidRDefault="00AB6B8C" w:rsidP="00AB6B8C">
      <w:pPr>
        <w:shd w:val="clear" w:color="auto" w:fill="FFFFFF"/>
        <w:spacing w:line="240" w:lineRule="auto"/>
        <w:rPr>
          <w:rFonts w:eastAsia="Times New Roman" w:cs="Arial"/>
          <w:color w:val="000000"/>
        </w:rPr>
      </w:pPr>
    </w:p>
    <w:p w14:paraId="252A5813" w14:textId="77777777" w:rsidR="00AB6B8C" w:rsidRPr="00E336A2" w:rsidRDefault="004105AF" w:rsidP="008A37BB">
      <w:pPr>
        <w:spacing w:line="360" w:lineRule="auto"/>
        <w:rPr>
          <w:rFonts w:eastAsia="Times New Roman" w:cs="Arial"/>
          <w:color w:val="000000"/>
        </w:rPr>
      </w:pPr>
      <w:r w:rsidRPr="00E336A2">
        <w:rPr>
          <w:rFonts w:eastAsia="Times New Roman" w:cs="Arial"/>
          <w:color w:val="000000"/>
        </w:rPr>
        <w:tab/>
      </w:r>
      <w:r w:rsidR="00F2509D" w:rsidRPr="00E336A2">
        <w:rPr>
          <w:rFonts w:eastAsia="Times New Roman" w:cs="Arial"/>
          <w:color w:val="000000"/>
        </w:rPr>
        <w:t>A week later, o</w:t>
      </w:r>
      <w:r w:rsidR="00AB6B8C" w:rsidRPr="00E336A2">
        <w:rPr>
          <w:rFonts w:eastAsia="Times New Roman" w:cs="Arial"/>
          <w:color w:val="000000"/>
        </w:rPr>
        <w:t xml:space="preserve">n March 30, </w:t>
      </w:r>
      <w:r w:rsidR="00884F8A" w:rsidRPr="00E336A2">
        <w:rPr>
          <w:rFonts w:eastAsia="Times New Roman" w:cs="Arial"/>
          <w:color w:val="000000"/>
        </w:rPr>
        <w:t xml:space="preserve">the legislation </w:t>
      </w:r>
      <w:r w:rsidR="00AB6B8C" w:rsidRPr="00E336A2">
        <w:rPr>
          <w:rFonts w:eastAsia="Times New Roman" w:cs="Arial"/>
          <w:color w:val="000000"/>
        </w:rPr>
        <w:t xml:space="preserve">was </w:t>
      </w:r>
      <w:r w:rsidR="00BA5BDB" w:rsidRPr="00E336A2">
        <w:rPr>
          <w:rFonts w:eastAsia="Times New Roman" w:cs="Arial"/>
          <w:color w:val="000000"/>
        </w:rPr>
        <w:t xml:space="preserve">again </w:t>
      </w:r>
      <w:r w:rsidR="00AB6B8C" w:rsidRPr="00E336A2">
        <w:rPr>
          <w:rFonts w:eastAsia="Times New Roman" w:cs="Arial"/>
          <w:color w:val="000000"/>
        </w:rPr>
        <w:t xml:space="preserve">amended </w:t>
      </w:r>
      <w:r w:rsidR="00726003" w:rsidRPr="00E336A2">
        <w:rPr>
          <w:rFonts w:eastAsia="Times New Roman" w:cs="Arial"/>
          <w:color w:val="000000"/>
        </w:rPr>
        <w:t xml:space="preserve">to read </w:t>
      </w:r>
      <w:r w:rsidR="00A943F4" w:rsidRPr="00E336A2">
        <w:rPr>
          <w:rFonts w:eastAsia="Times New Roman" w:cs="Arial"/>
          <w:color w:val="000000"/>
        </w:rPr>
        <w:t xml:space="preserve">(new language italicized and </w:t>
      </w:r>
      <w:proofErr w:type="gramStart"/>
      <w:r w:rsidR="00A943F4" w:rsidRPr="00E336A2">
        <w:rPr>
          <w:rFonts w:eastAsia="Times New Roman" w:cs="Arial"/>
          <w:color w:val="000000"/>
        </w:rPr>
        <w:t>some</w:t>
      </w:r>
      <w:proofErr w:type="gramEnd"/>
      <w:r w:rsidR="00A943F4" w:rsidRPr="00E336A2">
        <w:rPr>
          <w:rFonts w:eastAsia="Times New Roman" w:cs="Arial"/>
          <w:color w:val="000000"/>
        </w:rPr>
        <w:t xml:space="preserve"> also bolded for emphasis)</w:t>
      </w:r>
      <w:r w:rsidR="00AB6B8C" w:rsidRPr="00E336A2">
        <w:rPr>
          <w:rFonts w:eastAsia="Times New Roman" w:cs="Arial"/>
          <w:color w:val="000000"/>
        </w:rPr>
        <w:t>:</w:t>
      </w:r>
    </w:p>
    <w:p w14:paraId="6481983B" w14:textId="77777777" w:rsidR="00AB6B8C" w:rsidRPr="00E336A2" w:rsidRDefault="00AB6B8C" w:rsidP="004105AF">
      <w:pPr>
        <w:shd w:val="clear" w:color="auto" w:fill="FFFFFF"/>
        <w:spacing w:line="240" w:lineRule="auto"/>
        <w:ind w:left="720"/>
        <w:rPr>
          <w:rFonts w:eastAsia="Times New Roman" w:cs="Arial"/>
          <w:color w:val="000000"/>
        </w:rPr>
      </w:pPr>
      <w:r w:rsidRPr="00E336A2">
        <w:rPr>
          <w:rFonts w:eastAsia="Times New Roman" w:cs="Arial"/>
          <w:color w:val="000000"/>
        </w:rPr>
        <w:t xml:space="preserve">“ </w:t>
      </w:r>
      <w:r w:rsidR="003A6F90" w:rsidRPr="00E336A2">
        <w:rPr>
          <w:rFonts w:eastAsia="Times New Roman" w:cs="Arial"/>
          <w:color w:val="000000"/>
        </w:rPr>
        <w:t>‘</w:t>
      </w:r>
      <w:r w:rsidRPr="00E336A2">
        <w:rPr>
          <w:rFonts w:eastAsia="Times New Roman" w:cs="Arial"/>
          <w:color w:val="000000"/>
        </w:rPr>
        <w:t>.</w:t>
      </w:r>
      <w:r w:rsidR="008A37BB" w:rsidRPr="00E336A2">
        <w:rPr>
          <w:rFonts w:eastAsia="Times New Roman" w:cs="Arial"/>
          <w:color w:val="000000"/>
        </w:rPr>
        <w:t xml:space="preserve"> </w:t>
      </w:r>
      <w:r w:rsidRPr="00E336A2">
        <w:rPr>
          <w:rFonts w:eastAsia="Times New Roman" w:cs="Arial"/>
          <w:color w:val="000000"/>
        </w:rPr>
        <w:t>.</w:t>
      </w:r>
      <w:r w:rsidR="008A37BB" w:rsidRPr="00E336A2">
        <w:rPr>
          <w:rFonts w:eastAsia="Times New Roman" w:cs="Arial"/>
          <w:color w:val="000000"/>
        </w:rPr>
        <w:t xml:space="preserve"> </w:t>
      </w:r>
      <w:r w:rsidRPr="00E336A2">
        <w:rPr>
          <w:rFonts w:eastAsia="Times New Roman" w:cs="Arial"/>
          <w:color w:val="000000"/>
        </w:rPr>
        <w:t xml:space="preserve">. </w:t>
      </w:r>
      <w:r w:rsidRPr="00E336A2">
        <w:rPr>
          <w:rFonts w:eastAsia="Times New Roman" w:cs="Arial"/>
          <w:i/>
          <w:iCs/>
          <w:color w:val="000000"/>
        </w:rPr>
        <w:t>All citizens within the jurisdiction of this State are free and equal, and no matter what their race, color, religion, ancestry, or national origin are entitled to the full and equal admittance, accommodations, advantages, facilities, membership, privileges, services or benefits set out, but not limited, by this section:</w:t>
      </w:r>
    </w:p>
    <w:p w14:paraId="5ABA0CA3" w14:textId="77777777" w:rsidR="00AB6B8C" w:rsidRPr="00E336A2" w:rsidRDefault="003A6F90" w:rsidP="00AB6B8C">
      <w:pPr>
        <w:shd w:val="clear" w:color="auto" w:fill="FFFFFF"/>
        <w:spacing w:line="240" w:lineRule="auto"/>
        <w:ind w:firstLine="720"/>
        <w:rPr>
          <w:rFonts w:eastAsia="Times New Roman" w:cs="Arial"/>
          <w:color w:val="000000"/>
        </w:rPr>
      </w:pPr>
      <w:r w:rsidRPr="00E336A2">
        <w:rPr>
          <w:rFonts w:eastAsia="Times New Roman" w:cs="Arial"/>
          <w:color w:val="000000"/>
        </w:rPr>
        <w:t>‘</w:t>
      </w:r>
      <w:r w:rsidR="00AB6B8C" w:rsidRPr="00E336A2">
        <w:rPr>
          <w:rFonts w:eastAsia="Times New Roman" w:cs="Arial"/>
          <w:i/>
          <w:iCs/>
          <w:color w:val="000000"/>
        </w:rPr>
        <w:t xml:space="preserve">(a) To all business establishments of every kind </w:t>
      </w:r>
      <w:proofErr w:type="gramStart"/>
      <w:r w:rsidR="00AB6B8C" w:rsidRPr="00E336A2">
        <w:rPr>
          <w:rFonts w:eastAsia="Times New Roman" w:cs="Arial"/>
          <w:i/>
          <w:iCs/>
          <w:color w:val="000000"/>
        </w:rPr>
        <w:t>whatsoever;</w:t>
      </w:r>
      <w:proofErr w:type="gramEnd"/>
    </w:p>
    <w:p w14:paraId="2E83B710" w14:textId="77777777" w:rsidR="00AB6B8C" w:rsidRPr="00E336A2" w:rsidRDefault="003A6F90" w:rsidP="004105AF">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i/>
          <w:iCs/>
          <w:color w:val="000000"/>
        </w:rPr>
        <w:t xml:space="preserve">(b) </w:t>
      </w:r>
      <w:r w:rsidR="00AB6B8C" w:rsidRPr="00E336A2">
        <w:rPr>
          <w:rFonts w:eastAsia="Times New Roman" w:cs="Arial"/>
          <w:b/>
          <w:bCs/>
          <w:i/>
          <w:iCs/>
          <w:color w:val="000000"/>
        </w:rPr>
        <w:t xml:space="preserve">To all schools of every kind whatsoever, except those schools organized for the purpose of, and which practice, the furthering of a specific sectarian religious </w:t>
      </w:r>
      <w:proofErr w:type="gramStart"/>
      <w:r w:rsidR="00AB6B8C" w:rsidRPr="00E336A2">
        <w:rPr>
          <w:rFonts w:eastAsia="Times New Roman" w:cs="Arial"/>
          <w:b/>
          <w:bCs/>
          <w:i/>
          <w:iCs/>
          <w:color w:val="000000"/>
        </w:rPr>
        <w:t>belief</w:t>
      </w:r>
      <w:r w:rsidR="00AB6B8C" w:rsidRPr="00E336A2">
        <w:rPr>
          <w:rFonts w:eastAsia="Times New Roman" w:cs="Arial"/>
          <w:i/>
          <w:iCs/>
          <w:color w:val="000000"/>
        </w:rPr>
        <w:t>;</w:t>
      </w:r>
      <w:proofErr w:type="gramEnd"/>
    </w:p>
    <w:p w14:paraId="0E129F3B" w14:textId="77777777" w:rsidR="00AB6B8C" w:rsidRPr="00E336A2" w:rsidRDefault="003A6F90" w:rsidP="004105AF">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i/>
          <w:iCs/>
          <w:color w:val="000000"/>
        </w:rPr>
        <w:t>(c) To the benefits administered or offered by any organization or institution receiving any tax advantage or exemption, or receiving any form of assistance from the Federal Government, or the State of California, or any municipality or any political subdivision of either;</w:t>
      </w:r>
    </w:p>
    <w:p w14:paraId="7B7359AB" w14:textId="77777777" w:rsidR="00AB6B8C" w:rsidRPr="00E336A2" w:rsidRDefault="003A6F90" w:rsidP="004105AF">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i/>
          <w:iCs/>
          <w:color w:val="000000"/>
        </w:rPr>
        <w:t xml:space="preserve">(d) To membership in any and all business or professional organizations formed or maintained primarily for the protection or advancement of the business or professional interests of the </w:t>
      </w:r>
      <w:proofErr w:type="gramStart"/>
      <w:r w:rsidR="00AB6B8C" w:rsidRPr="00E336A2">
        <w:rPr>
          <w:rFonts w:eastAsia="Times New Roman" w:cs="Arial"/>
          <w:i/>
          <w:iCs/>
          <w:color w:val="000000"/>
        </w:rPr>
        <w:t>members;</w:t>
      </w:r>
      <w:proofErr w:type="gramEnd"/>
    </w:p>
    <w:p w14:paraId="13440104" w14:textId="77777777" w:rsidR="00AB6B8C" w:rsidRPr="00E336A2" w:rsidRDefault="003A6F90" w:rsidP="004105AF">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i/>
          <w:iCs/>
          <w:color w:val="000000"/>
        </w:rPr>
        <w:t xml:space="preserve">(e) To obtain the services of any professional person, group or association licensed or certified by the State of California, any </w:t>
      </w:r>
      <w:r w:rsidR="00AB6B8C" w:rsidRPr="00E336A2">
        <w:rPr>
          <w:rFonts w:eastAsia="Times New Roman" w:cs="Arial"/>
          <w:i/>
          <w:iCs/>
          <w:color w:val="000000"/>
        </w:rPr>
        <w:lastRenderedPageBreak/>
        <w:t>municipality or political subdivision or agency of either.</w:t>
      </w:r>
      <w:r w:rsidR="00D14BF7" w:rsidRPr="00D14BF7">
        <w:rPr>
          <w:rFonts w:eastAsia="Times New Roman" w:cs="Arial"/>
          <w:color w:val="000000"/>
        </w:rPr>
        <w:t>’ ”</w:t>
      </w:r>
      <w:r w:rsidR="008A37BB" w:rsidRPr="00E336A2">
        <w:rPr>
          <w:rFonts w:eastAsia="Times New Roman" w:cs="Arial"/>
          <w:color w:val="000000"/>
        </w:rPr>
        <w:t xml:space="preserve"> </w:t>
      </w:r>
      <w:r w:rsidR="00AB6B8C" w:rsidRPr="00E336A2">
        <w:rPr>
          <w:rFonts w:eastAsia="Times New Roman" w:cs="Arial"/>
          <w:color w:val="000000"/>
        </w:rPr>
        <w:t xml:space="preserve"> (Horowitz, </w:t>
      </w:r>
      <w:r w:rsidR="00AB6B8C" w:rsidRPr="00E336A2">
        <w:rPr>
          <w:rFonts w:eastAsia="Times New Roman" w:cs="Arial"/>
          <w:i/>
          <w:iCs/>
          <w:color w:val="000000"/>
        </w:rPr>
        <w:t>supra,</w:t>
      </w:r>
      <w:r w:rsidR="00AB6B8C" w:rsidRPr="00E336A2">
        <w:rPr>
          <w:rFonts w:eastAsia="Times New Roman" w:cs="Arial"/>
          <w:color w:val="000000"/>
        </w:rPr>
        <w:t xml:space="preserve"> 33 </w:t>
      </w:r>
      <w:proofErr w:type="spellStart"/>
      <w:r w:rsidR="00AB6B8C" w:rsidRPr="00E336A2">
        <w:rPr>
          <w:rFonts w:eastAsia="Times New Roman" w:cs="Arial"/>
          <w:color w:val="000000"/>
        </w:rPr>
        <w:t>So.Cal.L.Rev</w:t>
      </w:r>
      <w:proofErr w:type="spellEnd"/>
      <w:r w:rsidR="00AB6B8C" w:rsidRPr="00E336A2">
        <w:rPr>
          <w:rFonts w:eastAsia="Times New Roman" w:cs="Arial"/>
          <w:color w:val="000000"/>
        </w:rPr>
        <w:t>. at pp. 266–267</w:t>
      </w:r>
      <w:r w:rsidR="008A37BB" w:rsidRPr="00E336A2">
        <w:rPr>
          <w:rFonts w:eastAsia="Times New Roman" w:cs="Arial"/>
          <w:color w:val="000000"/>
        </w:rPr>
        <w:t xml:space="preserve"> &amp;</w:t>
      </w:r>
      <w:r w:rsidR="00AB6B8C" w:rsidRPr="00E336A2">
        <w:rPr>
          <w:rFonts w:eastAsia="Times New Roman" w:cs="Arial"/>
          <w:color w:val="000000"/>
        </w:rPr>
        <w:t xml:space="preserve"> fn. 33</w:t>
      </w:r>
      <w:r w:rsidR="00884F8A" w:rsidRPr="00E336A2">
        <w:rPr>
          <w:rFonts w:eastAsia="Times New Roman" w:cs="Arial"/>
          <w:color w:val="000000"/>
        </w:rPr>
        <w:t>.</w:t>
      </w:r>
      <w:r w:rsidR="00AB6B8C" w:rsidRPr="00E336A2">
        <w:rPr>
          <w:rFonts w:eastAsia="Times New Roman" w:cs="Arial"/>
          <w:color w:val="000000"/>
        </w:rPr>
        <w:t>)</w:t>
      </w:r>
    </w:p>
    <w:p w14:paraId="32E7AEBA" w14:textId="77777777" w:rsidR="00AB6B8C" w:rsidRPr="00E336A2" w:rsidRDefault="00AB6B8C" w:rsidP="00AB6B8C">
      <w:pPr>
        <w:shd w:val="clear" w:color="auto" w:fill="FFFFFF"/>
        <w:spacing w:line="240" w:lineRule="auto"/>
        <w:rPr>
          <w:rFonts w:eastAsia="Times New Roman" w:cs="Arial"/>
          <w:color w:val="000000"/>
        </w:rPr>
      </w:pPr>
    </w:p>
    <w:p w14:paraId="7D26D8DA" w14:textId="77777777" w:rsidR="00CE7148" w:rsidRPr="00E336A2" w:rsidRDefault="00CE7148" w:rsidP="00CE7148">
      <w:pPr>
        <w:spacing w:line="360" w:lineRule="auto"/>
        <w:rPr>
          <w:rFonts w:eastAsia="Times New Roman" w:cs="Arial"/>
          <w:color w:val="000000"/>
        </w:rPr>
      </w:pPr>
      <w:r w:rsidRPr="00E336A2">
        <w:rPr>
          <w:rFonts w:eastAsia="Times New Roman" w:cs="Arial"/>
          <w:color w:val="000000"/>
        </w:rPr>
        <w:tab/>
      </w:r>
      <w:r w:rsidR="00726003" w:rsidRPr="00E336A2">
        <w:rPr>
          <w:rFonts w:eastAsia="Times New Roman" w:cs="Arial"/>
          <w:color w:val="000000"/>
        </w:rPr>
        <w:t>A month later, o</w:t>
      </w:r>
      <w:r w:rsidR="00AB6B8C" w:rsidRPr="00E336A2">
        <w:rPr>
          <w:rFonts w:eastAsia="Times New Roman" w:cs="Arial"/>
          <w:color w:val="000000"/>
        </w:rPr>
        <w:t xml:space="preserve">n April 24, </w:t>
      </w:r>
      <w:r w:rsidR="00884F8A" w:rsidRPr="00E336A2">
        <w:rPr>
          <w:rFonts w:eastAsia="Times New Roman" w:cs="Arial"/>
          <w:color w:val="000000"/>
        </w:rPr>
        <w:t xml:space="preserve">the bill </w:t>
      </w:r>
      <w:r w:rsidR="00AB6B8C" w:rsidRPr="00E336A2">
        <w:rPr>
          <w:rFonts w:eastAsia="Times New Roman" w:cs="Arial"/>
          <w:color w:val="000000"/>
        </w:rPr>
        <w:t xml:space="preserve">was </w:t>
      </w:r>
      <w:r w:rsidR="00BA5BDB" w:rsidRPr="00E336A2">
        <w:rPr>
          <w:rFonts w:eastAsia="Times New Roman" w:cs="Arial"/>
          <w:color w:val="000000"/>
        </w:rPr>
        <w:t>further</w:t>
      </w:r>
      <w:r w:rsidR="00AB6B8C" w:rsidRPr="00E336A2">
        <w:rPr>
          <w:rFonts w:eastAsia="Times New Roman" w:cs="Arial"/>
          <w:color w:val="000000"/>
        </w:rPr>
        <w:t xml:space="preserve"> amended </w:t>
      </w:r>
      <w:r w:rsidR="00A943F4" w:rsidRPr="00E336A2">
        <w:rPr>
          <w:rFonts w:eastAsia="Times New Roman" w:cs="Arial"/>
          <w:color w:val="000000"/>
        </w:rPr>
        <w:t xml:space="preserve">(new language italicized and </w:t>
      </w:r>
      <w:proofErr w:type="gramStart"/>
      <w:r w:rsidR="00A943F4" w:rsidRPr="00E336A2">
        <w:rPr>
          <w:rFonts w:eastAsia="Times New Roman" w:cs="Arial"/>
          <w:color w:val="000000"/>
        </w:rPr>
        <w:t>some</w:t>
      </w:r>
      <w:proofErr w:type="gramEnd"/>
      <w:r w:rsidR="00A943F4" w:rsidRPr="00E336A2">
        <w:rPr>
          <w:rFonts w:eastAsia="Times New Roman" w:cs="Arial"/>
          <w:color w:val="000000"/>
        </w:rPr>
        <w:t xml:space="preserve"> also bolded for emphasis)</w:t>
      </w:r>
      <w:r w:rsidR="00AB6B8C" w:rsidRPr="00E336A2">
        <w:rPr>
          <w:rFonts w:eastAsia="Times New Roman" w:cs="Arial"/>
          <w:color w:val="000000"/>
        </w:rPr>
        <w:t>:</w:t>
      </w:r>
    </w:p>
    <w:p w14:paraId="565A27BE" w14:textId="77777777" w:rsidR="00AB6B8C" w:rsidRPr="00E336A2" w:rsidRDefault="00AB6B8C" w:rsidP="00CE7148">
      <w:pPr>
        <w:shd w:val="clear" w:color="auto" w:fill="FFFFFF"/>
        <w:spacing w:line="240" w:lineRule="auto"/>
        <w:ind w:left="720"/>
        <w:rPr>
          <w:rFonts w:eastAsia="Times New Roman" w:cs="Arial"/>
          <w:color w:val="000000"/>
        </w:rPr>
      </w:pPr>
      <w:r w:rsidRPr="00E336A2">
        <w:rPr>
          <w:rFonts w:eastAsia="Times New Roman" w:cs="Arial"/>
          <w:color w:val="000000"/>
        </w:rPr>
        <w:t xml:space="preserve">“ </w:t>
      </w:r>
      <w:r w:rsidR="003A6F90" w:rsidRPr="00E336A2">
        <w:rPr>
          <w:rFonts w:eastAsia="Times New Roman" w:cs="Arial"/>
          <w:color w:val="000000"/>
        </w:rPr>
        <w:t>‘</w:t>
      </w:r>
      <w:r w:rsidRPr="00E336A2">
        <w:rPr>
          <w:rFonts w:eastAsia="Times New Roman" w:cs="Arial"/>
          <w:color w:val="000000"/>
        </w:rPr>
        <w:t>.</w:t>
      </w:r>
      <w:r w:rsidR="002E503B" w:rsidRPr="00E336A2">
        <w:rPr>
          <w:rFonts w:eastAsia="Times New Roman" w:cs="Arial"/>
          <w:color w:val="000000"/>
        </w:rPr>
        <w:t xml:space="preserve"> </w:t>
      </w:r>
      <w:r w:rsidRPr="00E336A2">
        <w:rPr>
          <w:rFonts w:eastAsia="Times New Roman" w:cs="Arial"/>
          <w:color w:val="000000"/>
        </w:rPr>
        <w:t>.</w:t>
      </w:r>
      <w:r w:rsidR="002E503B" w:rsidRPr="00E336A2">
        <w:rPr>
          <w:rFonts w:eastAsia="Times New Roman" w:cs="Arial"/>
          <w:color w:val="000000"/>
        </w:rPr>
        <w:t xml:space="preserve"> </w:t>
      </w:r>
      <w:r w:rsidRPr="00E336A2">
        <w:rPr>
          <w:rFonts w:eastAsia="Times New Roman" w:cs="Arial"/>
          <w:color w:val="000000"/>
        </w:rPr>
        <w:t>. All citizens within the jurisdiction of this State are free and equal, and no matter what their race, color, religion, ancestry, or national origin are entitled to the full and equal admittance, accommodations, advantages, facilities, membership, privileges, services or benefits set out, but not limited, by this section:</w:t>
      </w:r>
    </w:p>
    <w:p w14:paraId="5BB38A4D" w14:textId="77777777" w:rsidR="00AB6B8C" w:rsidRPr="00E336A2" w:rsidRDefault="003A6F90" w:rsidP="00AB6B8C">
      <w:pPr>
        <w:shd w:val="clear" w:color="auto" w:fill="FFFFFF"/>
        <w:spacing w:line="240" w:lineRule="auto"/>
        <w:ind w:firstLine="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 xml:space="preserve">(a) To all business establishments of every kind </w:t>
      </w:r>
      <w:proofErr w:type="gramStart"/>
      <w:r w:rsidR="00AB6B8C" w:rsidRPr="00E336A2">
        <w:rPr>
          <w:rFonts w:eastAsia="Times New Roman" w:cs="Arial"/>
          <w:color w:val="000000"/>
        </w:rPr>
        <w:t>whatsoever;</w:t>
      </w:r>
      <w:proofErr w:type="gramEnd"/>
    </w:p>
    <w:p w14:paraId="11CD837E" w14:textId="77777777" w:rsidR="00AB6B8C" w:rsidRPr="00E336A2" w:rsidRDefault="003A6F90" w:rsidP="00CE7148">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 xml:space="preserve">(b) </w:t>
      </w:r>
      <w:r w:rsidR="00AB6B8C" w:rsidRPr="00E336A2">
        <w:rPr>
          <w:rFonts w:eastAsia="Times New Roman" w:cs="Arial"/>
          <w:b/>
          <w:bCs/>
          <w:color w:val="000000"/>
        </w:rPr>
        <w:t>To all schools of every kind whatsoever, except those schools organized for the purpose of, and which practice, the furthering of a specific sectarian religious belief,</w:t>
      </w:r>
      <w:r w:rsidR="00AB6B8C" w:rsidRPr="00E336A2">
        <w:rPr>
          <w:rFonts w:eastAsia="Times New Roman" w:cs="Arial"/>
          <w:b/>
          <w:bCs/>
          <w:i/>
          <w:iCs/>
          <w:color w:val="000000"/>
        </w:rPr>
        <w:t xml:space="preserve"> insofar as the facilities of any such school so organized and following such practice are made available primarily to persons who subscribe to such belief</w:t>
      </w:r>
      <w:r w:rsidR="00AB6B8C" w:rsidRPr="00E336A2">
        <w:rPr>
          <w:rFonts w:eastAsia="Times New Roman" w:cs="Arial"/>
          <w:color w:val="000000"/>
        </w:rPr>
        <w:t>[;]</w:t>
      </w:r>
    </w:p>
    <w:p w14:paraId="143A323F" w14:textId="77777777" w:rsidR="00AB6B8C" w:rsidRPr="00E336A2" w:rsidRDefault="003A6F90" w:rsidP="00CE7148">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 xml:space="preserve">(c) To the </w:t>
      </w:r>
      <w:r w:rsidR="00AB6B8C" w:rsidRPr="00E336A2">
        <w:rPr>
          <w:rFonts w:eastAsia="Times New Roman" w:cs="Arial"/>
          <w:i/>
          <w:iCs/>
          <w:color w:val="000000"/>
        </w:rPr>
        <w:t xml:space="preserve">charitable </w:t>
      </w:r>
      <w:r w:rsidR="00AB6B8C" w:rsidRPr="00E336A2">
        <w:rPr>
          <w:rFonts w:eastAsia="Times New Roman" w:cs="Arial"/>
          <w:color w:val="000000"/>
        </w:rPr>
        <w:t>benefits administered or offered by any organization or institution receiving any tax advantage or exemption, or receiving any form of assistance from the Federal Government, or the State of California, or any municipality or any political subdivision of either;</w:t>
      </w:r>
    </w:p>
    <w:p w14:paraId="17A65A94" w14:textId="77777777" w:rsidR="00AB6B8C" w:rsidRPr="00E336A2" w:rsidRDefault="003A6F90" w:rsidP="00CE7148">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 xml:space="preserve">(d) To membership in any and all business or professional organizations formed or maintained primarily for the protection or advancement of the business or professional interests of the </w:t>
      </w:r>
      <w:proofErr w:type="gramStart"/>
      <w:r w:rsidR="00AB6B8C" w:rsidRPr="00E336A2">
        <w:rPr>
          <w:rFonts w:eastAsia="Times New Roman" w:cs="Arial"/>
          <w:color w:val="000000"/>
        </w:rPr>
        <w:t>members;</w:t>
      </w:r>
      <w:proofErr w:type="gramEnd"/>
    </w:p>
    <w:p w14:paraId="63EDA260" w14:textId="77777777" w:rsidR="00AB6B8C" w:rsidRPr="00E336A2" w:rsidRDefault="003A6F90" w:rsidP="00CE7148">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(e) To obtain the services of any professional person, group or association licensed or certified by the State of California, any municipality or political subdivision or agency of either.</w:t>
      </w:r>
      <w:r w:rsidRPr="00E336A2">
        <w:rPr>
          <w:rFonts w:eastAsia="Times New Roman" w:cs="Arial"/>
          <w:color w:val="000000"/>
        </w:rPr>
        <w:t xml:space="preserve">’ </w:t>
      </w:r>
      <w:r w:rsidR="00AB6B8C" w:rsidRPr="00E336A2">
        <w:rPr>
          <w:rFonts w:eastAsia="Times New Roman" w:cs="Arial"/>
          <w:color w:val="000000"/>
        </w:rPr>
        <w:t>”</w:t>
      </w:r>
      <w:r w:rsidR="002E503B" w:rsidRPr="00E336A2">
        <w:rPr>
          <w:rFonts w:eastAsia="Times New Roman" w:cs="Arial"/>
          <w:color w:val="000000"/>
        </w:rPr>
        <w:t xml:space="preserve"> </w:t>
      </w:r>
      <w:r w:rsidR="00AB6B8C" w:rsidRPr="00E336A2">
        <w:rPr>
          <w:rFonts w:eastAsia="Times New Roman" w:cs="Arial"/>
          <w:color w:val="000000"/>
        </w:rPr>
        <w:t xml:space="preserve"> (Horowitz, </w:t>
      </w:r>
      <w:r w:rsidR="00AB6B8C" w:rsidRPr="00E336A2">
        <w:rPr>
          <w:rFonts w:eastAsia="Times New Roman" w:cs="Arial"/>
          <w:i/>
          <w:iCs/>
          <w:color w:val="000000"/>
        </w:rPr>
        <w:t>supra,</w:t>
      </w:r>
      <w:r w:rsidR="00AB6B8C" w:rsidRPr="00E336A2">
        <w:rPr>
          <w:rFonts w:eastAsia="Times New Roman" w:cs="Arial"/>
          <w:color w:val="000000"/>
        </w:rPr>
        <w:t xml:space="preserve"> 33 </w:t>
      </w:r>
      <w:proofErr w:type="spellStart"/>
      <w:r w:rsidR="00AB6B8C" w:rsidRPr="00E336A2">
        <w:rPr>
          <w:rFonts w:eastAsia="Times New Roman" w:cs="Arial"/>
          <w:color w:val="000000"/>
        </w:rPr>
        <w:t>So.Cal.L.Rev</w:t>
      </w:r>
      <w:proofErr w:type="spellEnd"/>
      <w:r w:rsidR="00AB6B8C" w:rsidRPr="00E336A2">
        <w:rPr>
          <w:rFonts w:eastAsia="Times New Roman" w:cs="Arial"/>
          <w:color w:val="000000"/>
        </w:rPr>
        <w:t>. at pp. 267–268</w:t>
      </w:r>
      <w:r w:rsidR="008C390C" w:rsidRPr="00E336A2">
        <w:rPr>
          <w:rFonts w:eastAsia="Times New Roman" w:cs="Arial"/>
          <w:color w:val="000000"/>
        </w:rPr>
        <w:t xml:space="preserve"> &amp; </w:t>
      </w:r>
      <w:r w:rsidR="00AB6B8C" w:rsidRPr="00E336A2">
        <w:rPr>
          <w:rFonts w:eastAsia="Times New Roman" w:cs="Arial"/>
          <w:color w:val="000000"/>
        </w:rPr>
        <w:t>fn. 34.)</w:t>
      </w:r>
    </w:p>
    <w:p w14:paraId="2E7B2913" w14:textId="77777777" w:rsidR="00AB6B8C" w:rsidRPr="00E336A2" w:rsidRDefault="00AB6B8C" w:rsidP="00AB6B8C">
      <w:pPr>
        <w:shd w:val="clear" w:color="auto" w:fill="FFFFFF"/>
        <w:spacing w:line="240" w:lineRule="auto"/>
        <w:rPr>
          <w:rFonts w:eastAsia="Times New Roman" w:cs="Arial"/>
          <w:color w:val="000000"/>
        </w:rPr>
      </w:pPr>
    </w:p>
    <w:p w14:paraId="45E37C78" w14:textId="77777777" w:rsidR="00AB6B8C" w:rsidRPr="00E336A2" w:rsidRDefault="00CE7148" w:rsidP="00CE7148">
      <w:pPr>
        <w:spacing w:line="360" w:lineRule="auto"/>
        <w:rPr>
          <w:rFonts w:eastAsia="Times New Roman" w:cs="Arial"/>
          <w:color w:val="000000"/>
        </w:rPr>
      </w:pPr>
      <w:r w:rsidRPr="00E336A2">
        <w:rPr>
          <w:rFonts w:eastAsia="Times New Roman" w:cs="Arial"/>
          <w:color w:val="000000"/>
        </w:rPr>
        <w:tab/>
      </w:r>
      <w:r w:rsidR="00726003" w:rsidRPr="00E336A2">
        <w:rPr>
          <w:rFonts w:eastAsia="Times New Roman" w:cs="Arial"/>
          <w:color w:val="000000"/>
        </w:rPr>
        <w:t>Two weeks later, o</w:t>
      </w:r>
      <w:r w:rsidR="00AB6B8C" w:rsidRPr="00E336A2">
        <w:rPr>
          <w:rFonts w:eastAsia="Times New Roman" w:cs="Arial"/>
          <w:color w:val="000000"/>
        </w:rPr>
        <w:t xml:space="preserve">n May 12, </w:t>
      </w:r>
      <w:r w:rsidR="00884F8A" w:rsidRPr="00E336A2">
        <w:rPr>
          <w:rFonts w:eastAsia="Times New Roman" w:cs="Arial"/>
          <w:color w:val="000000"/>
        </w:rPr>
        <w:t xml:space="preserve">the legislation </w:t>
      </w:r>
      <w:r w:rsidR="00AB6B8C" w:rsidRPr="00E336A2">
        <w:rPr>
          <w:rFonts w:eastAsia="Times New Roman" w:cs="Arial"/>
          <w:color w:val="000000"/>
        </w:rPr>
        <w:t>was amended yet again</w:t>
      </w:r>
      <w:r w:rsidR="00884F8A" w:rsidRPr="00E336A2">
        <w:rPr>
          <w:rFonts w:eastAsia="Times New Roman" w:cs="Arial"/>
          <w:color w:val="000000"/>
        </w:rPr>
        <w:t xml:space="preserve"> (new language italicized and </w:t>
      </w:r>
      <w:proofErr w:type="gramStart"/>
      <w:r w:rsidR="00884F8A" w:rsidRPr="00E336A2">
        <w:rPr>
          <w:rFonts w:eastAsia="Times New Roman" w:cs="Arial"/>
          <w:color w:val="000000"/>
        </w:rPr>
        <w:t>some</w:t>
      </w:r>
      <w:proofErr w:type="gramEnd"/>
      <w:r w:rsidR="00884F8A" w:rsidRPr="00E336A2">
        <w:rPr>
          <w:rFonts w:eastAsia="Times New Roman" w:cs="Arial"/>
          <w:color w:val="000000"/>
        </w:rPr>
        <w:t xml:space="preserve"> bolded for emphasis):</w:t>
      </w:r>
    </w:p>
    <w:p w14:paraId="432AD4C5" w14:textId="77777777" w:rsidR="00AB6B8C" w:rsidRPr="00E336A2" w:rsidRDefault="00AB6B8C" w:rsidP="00CE7148">
      <w:pPr>
        <w:shd w:val="clear" w:color="auto" w:fill="FFFFFF"/>
        <w:spacing w:line="240" w:lineRule="auto"/>
        <w:ind w:left="720"/>
        <w:rPr>
          <w:rFonts w:eastAsia="Times New Roman" w:cs="Arial"/>
          <w:color w:val="000000"/>
        </w:rPr>
      </w:pPr>
      <w:r w:rsidRPr="00E336A2">
        <w:rPr>
          <w:rFonts w:eastAsia="Times New Roman" w:cs="Arial"/>
          <w:color w:val="000000"/>
        </w:rPr>
        <w:t xml:space="preserve">“ </w:t>
      </w:r>
      <w:r w:rsidR="003A6F90" w:rsidRPr="00E336A2">
        <w:rPr>
          <w:rFonts w:eastAsia="Times New Roman" w:cs="Arial"/>
          <w:color w:val="000000"/>
        </w:rPr>
        <w:t>‘</w:t>
      </w:r>
      <w:r w:rsidRPr="00E336A2">
        <w:rPr>
          <w:rFonts w:eastAsia="Times New Roman" w:cs="Arial"/>
          <w:color w:val="000000"/>
        </w:rPr>
        <w:t>.</w:t>
      </w:r>
      <w:r w:rsidR="002E503B" w:rsidRPr="00E336A2">
        <w:rPr>
          <w:rFonts w:eastAsia="Times New Roman" w:cs="Arial"/>
          <w:color w:val="000000"/>
        </w:rPr>
        <w:t xml:space="preserve"> </w:t>
      </w:r>
      <w:r w:rsidRPr="00E336A2">
        <w:rPr>
          <w:rFonts w:eastAsia="Times New Roman" w:cs="Arial"/>
          <w:color w:val="000000"/>
        </w:rPr>
        <w:t>.</w:t>
      </w:r>
      <w:r w:rsidR="002E503B" w:rsidRPr="00E336A2">
        <w:rPr>
          <w:rFonts w:eastAsia="Times New Roman" w:cs="Arial"/>
          <w:color w:val="000000"/>
        </w:rPr>
        <w:t xml:space="preserve"> </w:t>
      </w:r>
      <w:r w:rsidRPr="00E336A2">
        <w:rPr>
          <w:rFonts w:eastAsia="Times New Roman" w:cs="Arial"/>
          <w:color w:val="000000"/>
        </w:rPr>
        <w:t>. All citizens within the jurisdiction of this State are free and equal, and no matter what their race, color, religion, ancestry, or national origin are entitled to the full and equal admittance, accommodations, advantages, facilities, membership, privileges, services or benefits set out</w:t>
      </w:r>
      <w:r w:rsidR="00457923" w:rsidRPr="00E336A2">
        <w:rPr>
          <w:rFonts w:eastAsia="Times New Roman" w:cs="Arial"/>
          <w:color w:val="000000"/>
        </w:rPr>
        <w:t>, . . .</w:t>
      </w:r>
      <w:r w:rsidRPr="00E336A2">
        <w:rPr>
          <w:rFonts w:eastAsia="Times New Roman" w:cs="Arial"/>
          <w:color w:val="000000"/>
        </w:rPr>
        <w:t xml:space="preserve"> by this section:</w:t>
      </w:r>
    </w:p>
    <w:p w14:paraId="5D3166DA" w14:textId="77777777" w:rsidR="00AB6B8C" w:rsidRPr="00E336A2" w:rsidRDefault="003A6F90" w:rsidP="00AB6B8C">
      <w:pPr>
        <w:shd w:val="clear" w:color="auto" w:fill="FFFFFF"/>
        <w:spacing w:line="240" w:lineRule="auto"/>
        <w:ind w:firstLine="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 xml:space="preserve">(a) To all business establishments of every kind </w:t>
      </w:r>
      <w:proofErr w:type="gramStart"/>
      <w:r w:rsidR="00AB6B8C" w:rsidRPr="00E336A2">
        <w:rPr>
          <w:rFonts w:eastAsia="Times New Roman" w:cs="Arial"/>
          <w:color w:val="000000"/>
        </w:rPr>
        <w:t>whatsoever;</w:t>
      </w:r>
      <w:proofErr w:type="gramEnd"/>
    </w:p>
    <w:p w14:paraId="4B439881" w14:textId="77777777" w:rsidR="00AB6B8C" w:rsidRPr="00E336A2" w:rsidRDefault="003A6F90" w:rsidP="00CE7148">
      <w:pPr>
        <w:shd w:val="clear" w:color="auto" w:fill="FFFFFF"/>
        <w:spacing w:line="240" w:lineRule="auto"/>
        <w:ind w:left="720"/>
        <w:rPr>
          <w:rFonts w:eastAsia="Times New Roman" w:cs="Arial"/>
          <w:color w:val="000000"/>
        </w:rPr>
      </w:pPr>
      <w:r w:rsidRPr="00E336A2">
        <w:rPr>
          <w:rFonts w:eastAsia="Times New Roman" w:cs="Arial"/>
          <w:color w:val="000000"/>
        </w:rPr>
        <w:lastRenderedPageBreak/>
        <w:t>‘</w:t>
      </w:r>
      <w:r w:rsidR="00AB6B8C" w:rsidRPr="00E336A2">
        <w:rPr>
          <w:rFonts w:eastAsia="Times New Roman" w:cs="Arial"/>
          <w:i/>
          <w:iCs/>
          <w:color w:val="000000"/>
        </w:rPr>
        <w:t xml:space="preserve">(b) </w:t>
      </w:r>
      <w:r w:rsidR="00AB6B8C" w:rsidRPr="00E336A2">
        <w:rPr>
          <w:rFonts w:eastAsia="Times New Roman" w:cs="Arial"/>
          <w:b/>
          <w:bCs/>
          <w:i/>
          <w:iCs/>
          <w:color w:val="000000"/>
        </w:rPr>
        <w:t>To all schools which primarily offer business or vocational training</w:t>
      </w:r>
      <w:r w:rsidR="00457923" w:rsidRPr="00E336A2">
        <w:rPr>
          <w:rFonts w:eastAsia="Times New Roman" w:cs="Arial"/>
          <w:b/>
          <w:bCs/>
          <w:i/>
          <w:iCs/>
          <w:color w:val="000000"/>
        </w:rPr>
        <w:t xml:space="preserve"> </w:t>
      </w:r>
      <w:proofErr w:type="gramStart"/>
      <w:r w:rsidR="00457923" w:rsidRPr="00E336A2">
        <w:rPr>
          <w:rFonts w:eastAsia="Times New Roman" w:cs="Arial"/>
          <w:b/>
          <w:bCs/>
          <w:i/>
          <w:iCs/>
          <w:color w:val="000000"/>
        </w:rPr>
        <w:t xml:space="preserve">. . . </w:t>
      </w:r>
      <w:r w:rsidR="00AB6B8C" w:rsidRPr="00E336A2">
        <w:rPr>
          <w:rFonts w:eastAsia="Times New Roman" w:cs="Arial"/>
          <w:i/>
          <w:iCs/>
          <w:color w:val="000000"/>
        </w:rPr>
        <w:t>;</w:t>
      </w:r>
      <w:proofErr w:type="gramEnd"/>
      <w:r w:rsidR="00AB6B8C" w:rsidRPr="00E336A2">
        <w:rPr>
          <w:rFonts w:eastAsia="Times New Roman" w:cs="Arial"/>
          <w:color w:val="000000"/>
        </w:rPr>
        <w:t xml:space="preserve"> </w:t>
      </w:r>
    </w:p>
    <w:p w14:paraId="7B3E687F" w14:textId="77777777" w:rsidR="00AB6B8C" w:rsidRPr="00E336A2" w:rsidRDefault="003A6F90" w:rsidP="00CE7148">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 xml:space="preserve">(c) To the charitable benefits administered or offered by any organization or institution receiving any </w:t>
      </w:r>
      <w:r w:rsidR="00AB6B8C" w:rsidRPr="00E336A2">
        <w:rPr>
          <w:rFonts w:eastAsia="Times New Roman" w:cs="Arial"/>
          <w:i/>
          <w:iCs/>
          <w:color w:val="000000"/>
        </w:rPr>
        <w:t>direct subvention</w:t>
      </w:r>
      <w:r w:rsidR="00457923" w:rsidRPr="00E336A2">
        <w:rPr>
          <w:rFonts w:eastAsia="Times New Roman" w:cs="Arial"/>
          <w:i/>
          <w:iCs/>
          <w:color w:val="000000"/>
        </w:rPr>
        <w:t xml:space="preserve"> . . .</w:t>
      </w:r>
      <w:r w:rsidR="00AB6B8C" w:rsidRPr="00E336A2">
        <w:rPr>
          <w:rFonts w:eastAsia="Times New Roman" w:cs="Arial"/>
          <w:color w:val="000000"/>
        </w:rPr>
        <w:t xml:space="preserve"> from the Federal Government, or the State of California, or any municipality or any political subdivision of either;</w:t>
      </w:r>
    </w:p>
    <w:p w14:paraId="243BD5F6" w14:textId="77777777" w:rsidR="00AB6B8C" w:rsidRPr="00E336A2" w:rsidRDefault="003A6F90" w:rsidP="00CE7148">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 xml:space="preserve">(d) </w:t>
      </w:r>
      <w:r w:rsidR="00457923" w:rsidRPr="00E336A2">
        <w:rPr>
          <w:rFonts w:eastAsia="Times New Roman" w:cs="Arial"/>
          <w:color w:val="000000"/>
        </w:rPr>
        <w:t xml:space="preserve">. . . </w:t>
      </w:r>
      <w:r w:rsidR="00AB6B8C" w:rsidRPr="00E336A2">
        <w:rPr>
          <w:rFonts w:eastAsia="Times New Roman" w:cs="Arial"/>
          <w:i/>
          <w:iCs/>
          <w:color w:val="000000"/>
        </w:rPr>
        <w:t>In</w:t>
      </w:r>
      <w:r w:rsidR="00AB6B8C" w:rsidRPr="00E336A2">
        <w:rPr>
          <w:rFonts w:eastAsia="Times New Roman" w:cs="Arial"/>
          <w:color w:val="000000"/>
        </w:rPr>
        <w:t xml:space="preserve"> any and all business or professional organizations formed or maintained </w:t>
      </w:r>
      <w:r w:rsidR="00AB6B8C" w:rsidRPr="00E336A2">
        <w:rPr>
          <w:rFonts w:eastAsia="Times New Roman" w:cs="Arial"/>
          <w:i/>
          <w:iCs/>
          <w:color w:val="000000"/>
        </w:rPr>
        <w:t>by licensees of the State of California</w:t>
      </w:r>
      <w:r w:rsidR="00AB6B8C" w:rsidRPr="00E336A2">
        <w:rPr>
          <w:rFonts w:eastAsia="Times New Roman" w:cs="Arial"/>
          <w:color w:val="000000"/>
        </w:rPr>
        <w:t xml:space="preserve"> primarily for the protection or advancement of the business or professional interests of the </w:t>
      </w:r>
      <w:proofErr w:type="gramStart"/>
      <w:r w:rsidR="00AB6B8C" w:rsidRPr="00E336A2">
        <w:rPr>
          <w:rFonts w:eastAsia="Times New Roman" w:cs="Arial"/>
          <w:color w:val="000000"/>
        </w:rPr>
        <w:t>members;</w:t>
      </w:r>
      <w:proofErr w:type="gramEnd"/>
    </w:p>
    <w:p w14:paraId="268C01BB" w14:textId="77777777" w:rsidR="00AB6B8C" w:rsidRPr="00E336A2" w:rsidRDefault="003A6F90" w:rsidP="00CE7148">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 xml:space="preserve">(e) </w:t>
      </w:r>
      <w:r w:rsidR="00457923" w:rsidRPr="00E336A2">
        <w:rPr>
          <w:rFonts w:eastAsia="Times New Roman" w:cs="Arial"/>
          <w:color w:val="000000"/>
        </w:rPr>
        <w:t xml:space="preserve">. . . </w:t>
      </w:r>
      <w:r w:rsidR="00AB6B8C" w:rsidRPr="00E336A2">
        <w:rPr>
          <w:rFonts w:eastAsia="Times New Roman" w:cs="Arial"/>
          <w:i/>
          <w:iCs/>
          <w:color w:val="000000"/>
        </w:rPr>
        <w:t>From</w:t>
      </w:r>
      <w:r w:rsidR="00AB6B8C" w:rsidRPr="00E336A2">
        <w:rPr>
          <w:rFonts w:eastAsia="Times New Roman" w:cs="Arial"/>
          <w:color w:val="000000"/>
        </w:rPr>
        <w:t xml:space="preserve"> any professional person, group or association licensed or certified by the State of California, any municipality or political subdivision or agency of either.</w:t>
      </w:r>
      <w:r w:rsidRPr="00E336A2">
        <w:rPr>
          <w:rFonts w:eastAsia="Times New Roman" w:cs="Arial"/>
          <w:color w:val="000000"/>
        </w:rPr>
        <w:t xml:space="preserve">’ </w:t>
      </w:r>
      <w:r w:rsidR="00AB6B8C" w:rsidRPr="00E336A2">
        <w:rPr>
          <w:rFonts w:eastAsia="Times New Roman" w:cs="Arial"/>
          <w:color w:val="000000"/>
        </w:rPr>
        <w:t xml:space="preserve">” </w:t>
      </w:r>
      <w:r w:rsidR="00457923" w:rsidRPr="00E336A2">
        <w:rPr>
          <w:rFonts w:eastAsia="Times New Roman" w:cs="Arial"/>
          <w:color w:val="000000"/>
        </w:rPr>
        <w:t xml:space="preserve"> </w:t>
      </w:r>
      <w:r w:rsidR="00AB6B8C" w:rsidRPr="00E336A2">
        <w:rPr>
          <w:rFonts w:eastAsia="Times New Roman" w:cs="Arial"/>
          <w:color w:val="000000"/>
        </w:rPr>
        <w:t xml:space="preserve">(Horowitz, </w:t>
      </w:r>
      <w:r w:rsidR="00AB6B8C" w:rsidRPr="00E336A2">
        <w:rPr>
          <w:rFonts w:eastAsia="Times New Roman" w:cs="Arial"/>
          <w:i/>
          <w:iCs/>
          <w:color w:val="000000"/>
        </w:rPr>
        <w:t>supra,</w:t>
      </w:r>
      <w:r w:rsidR="00AB6B8C" w:rsidRPr="00E336A2">
        <w:rPr>
          <w:rFonts w:eastAsia="Times New Roman" w:cs="Arial"/>
          <w:color w:val="000000"/>
        </w:rPr>
        <w:t xml:space="preserve"> 33 </w:t>
      </w:r>
      <w:proofErr w:type="spellStart"/>
      <w:r w:rsidR="00AB6B8C" w:rsidRPr="00E336A2">
        <w:rPr>
          <w:rFonts w:eastAsia="Times New Roman" w:cs="Arial"/>
          <w:color w:val="000000"/>
        </w:rPr>
        <w:t>So.Cal.L.Rev</w:t>
      </w:r>
      <w:proofErr w:type="spellEnd"/>
      <w:r w:rsidR="00AB6B8C" w:rsidRPr="00E336A2">
        <w:rPr>
          <w:rFonts w:eastAsia="Times New Roman" w:cs="Arial"/>
          <w:color w:val="000000"/>
        </w:rPr>
        <w:t>. at p. 268</w:t>
      </w:r>
      <w:r w:rsidR="00457923" w:rsidRPr="00E336A2">
        <w:rPr>
          <w:rFonts w:eastAsia="Times New Roman" w:cs="Arial"/>
          <w:color w:val="000000"/>
        </w:rPr>
        <w:t xml:space="preserve"> &amp; </w:t>
      </w:r>
      <w:r w:rsidR="00AB6B8C" w:rsidRPr="00E336A2">
        <w:rPr>
          <w:rFonts w:eastAsia="Times New Roman" w:cs="Arial"/>
          <w:color w:val="000000"/>
        </w:rPr>
        <w:t>fn. 35.)</w:t>
      </w:r>
    </w:p>
    <w:p w14:paraId="642B21B9" w14:textId="77777777" w:rsidR="00AB6B8C" w:rsidRPr="00E336A2" w:rsidRDefault="00AB6B8C" w:rsidP="00AB6B8C">
      <w:pPr>
        <w:shd w:val="clear" w:color="auto" w:fill="FFFFFF"/>
        <w:spacing w:line="240" w:lineRule="auto"/>
        <w:rPr>
          <w:rFonts w:eastAsia="Times New Roman" w:cs="Arial"/>
          <w:color w:val="000000"/>
        </w:rPr>
      </w:pPr>
    </w:p>
    <w:p w14:paraId="65B99849" w14:textId="77777777" w:rsidR="00AB6B8C" w:rsidRPr="00E336A2" w:rsidRDefault="00CE7148" w:rsidP="00CE7148">
      <w:pPr>
        <w:spacing w:line="360" w:lineRule="auto"/>
        <w:rPr>
          <w:rFonts w:eastAsia="Times New Roman" w:cs="Arial"/>
          <w:color w:val="000000"/>
        </w:rPr>
      </w:pPr>
      <w:r w:rsidRPr="00E336A2">
        <w:rPr>
          <w:rFonts w:eastAsia="Times New Roman" w:cs="Arial"/>
          <w:color w:val="000000"/>
        </w:rPr>
        <w:tab/>
      </w:r>
      <w:r w:rsidR="00F2509D" w:rsidRPr="00E336A2">
        <w:rPr>
          <w:rFonts w:eastAsia="Times New Roman" w:cs="Arial"/>
          <w:color w:val="000000"/>
        </w:rPr>
        <w:t>A month later, o</w:t>
      </w:r>
      <w:r w:rsidR="00AB6B8C" w:rsidRPr="00E336A2">
        <w:rPr>
          <w:rFonts w:eastAsia="Times New Roman" w:cs="Arial"/>
          <w:color w:val="000000"/>
        </w:rPr>
        <w:t xml:space="preserve">n June 11, </w:t>
      </w:r>
      <w:r w:rsidR="00884F8A" w:rsidRPr="00E336A2">
        <w:rPr>
          <w:rFonts w:eastAsia="Times New Roman" w:cs="Arial"/>
          <w:color w:val="000000"/>
        </w:rPr>
        <w:t xml:space="preserve">the legislation </w:t>
      </w:r>
      <w:r w:rsidR="00AB6B8C" w:rsidRPr="00E336A2">
        <w:rPr>
          <w:rFonts w:eastAsia="Times New Roman" w:cs="Arial"/>
          <w:color w:val="000000"/>
        </w:rPr>
        <w:t xml:space="preserve">was amended </w:t>
      </w:r>
      <w:r w:rsidR="00D11D41" w:rsidRPr="00E336A2">
        <w:rPr>
          <w:rFonts w:eastAsia="Times New Roman" w:cs="Arial"/>
          <w:color w:val="000000"/>
        </w:rPr>
        <w:t xml:space="preserve">by way of significant deletions </w:t>
      </w:r>
      <w:r w:rsidR="00884F8A" w:rsidRPr="00E336A2">
        <w:rPr>
          <w:rFonts w:eastAsia="Times New Roman" w:cs="Arial"/>
          <w:color w:val="000000"/>
        </w:rPr>
        <w:t>(bold added for emphasis):</w:t>
      </w:r>
    </w:p>
    <w:p w14:paraId="1C141FCF" w14:textId="77777777" w:rsidR="00AB6B8C" w:rsidRPr="00E336A2" w:rsidRDefault="00AB6B8C" w:rsidP="00CE7148">
      <w:pPr>
        <w:shd w:val="clear" w:color="auto" w:fill="FFFFFF"/>
        <w:spacing w:line="240" w:lineRule="auto"/>
        <w:ind w:left="720"/>
        <w:rPr>
          <w:rFonts w:eastAsia="Times New Roman" w:cs="Arial"/>
          <w:color w:val="000000"/>
        </w:rPr>
      </w:pPr>
      <w:r w:rsidRPr="00E336A2">
        <w:rPr>
          <w:rFonts w:eastAsia="Times New Roman" w:cs="Arial"/>
          <w:color w:val="000000"/>
        </w:rPr>
        <w:t>“</w:t>
      </w:r>
      <w:r w:rsidR="003A6F90" w:rsidRPr="00E336A2">
        <w:rPr>
          <w:rFonts w:eastAsia="Times New Roman" w:cs="Arial"/>
          <w:color w:val="000000"/>
        </w:rPr>
        <w:t xml:space="preserve"> ‘</w:t>
      </w:r>
      <w:r w:rsidRPr="00E336A2">
        <w:rPr>
          <w:rFonts w:eastAsia="Times New Roman" w:cs="Arial"/>
          <w:color w:val="000000"/>
        </w:rPr>
        <w:t>.</w:t>
      </w:r>
      <w:r w:rsidR="002E503B" w:rsidRPr="00E336A2">
        <w:rPr>
          <w:rFonts w:eastAsia="Times New Roman" w:cs="Arial"/>
          <w:color w:val="000000"/>
        </w:rPr>
        <w:t xml:space="preserve"> </w:t>
      </w:r>
      <w:r w:rsidRPr="00E336A2">
        <w:rPr>
          <w:rFonts w:eastAsia="Times New Roman" w:cs="Arial"/>
          <w:color w:val="000000"/>
        </w:rPr>
        <w:t>.</w:t>
      </w:r>
      <w:r w:rsidR="002E503B" w:rsidRPr="00E336A2">
        <w:rPr>
          <w:rFonts w:eastAsia="Times New Roman" w:cs="Arial"/>
          <w:color w:val="000000"/>
        </w:rPr>
        <w:t xml:space="preserve"> </w:t>
      </w:r>
      <w:r w:rsidRPr="00E336A2">
        <w:rPr>
          <w:rFonts w:eastAsia="Times New Roman" w:cs="Arial"/>
          <w:color w:val="000000"/>
        </w:rPr>
        <w:t>. All citizens within the jurisdiction of this State are free and equal, and no matter what their race, color, religion, ancestry, or national origin are entitled to the full and equal admittance, accommodations, advantages, facilities, membership, privileges, services or benefits set out by this section:</w:t>
      </w:r>
    </w:p>
    <w:p w14:paraId="4B150245" w14:textId="77777777" w:rsidR="00AB6B8C" w:rsidRPr="00E336A2" w:rsidRDefault="003A6F90" w:rsidP="00AB6B8C">
      <w:pPr>
        <w:shd w:val="clear" w:color="auto" w:fill="FFFFFF"/>
        <w:spacing w:line="240" w:lineRule="auto"/>
        <w:ind w:firstLine="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 xml:space="preserve">(a) To all business establishments of every kind </w:t>
      </w:r>
      <w:proofErr w:type="gramStart"/>
      <w:r w:rsidR="00AB6B8C" w:rsidRPr="00E336A2">
        <w:rPr>
          <w:rFonts w:eastAsia="Times New Roman" w:cs="Arial"/>
          <w:color w:val="000000"/>
        </w:rPr>
        <w:t>whatsoever;</w:t>
      </w:r>
      <w:proofErr w:type="gramEnd"/>
    </w:p>
    <w:p w14:paraId="0004E225" w14:textId="77777777" w:rsidR="00AB6B8C" w:rsidRPr="00E336A2" w:rsidRDefault="003A6F90" w:rsidP="002E503B">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 xml:space="preserve">(b) </w:t>
      </w:r>
      <w:r w:rsidR="00AB6B8C" w:rsidRPr="00E336A2">
        <w:rPr>
          <w:rFonts w:eastAsia="Times New Roman" w:cs="Arial"/>
          <w:b/>
          <w:bCs/>
          <w:color w:val="000000"/>
        </w:rPr>
        <w:t>To all schools which primarily offer business or vocational training</w:t>
      </w:r>
      <w:r w:rsidR="00AB6B8C" w:rsidRPr="00E336A2">
        <w:rPr>
          <w:rFonts w:eastAsia="Times New Roman" w:cs="Arial"/>
          <w:color w:val="000000"/>
        </w:rPr>
        <w:t>[.]</w:t>
      </w:r>
      <w:r w:rsidRPr="00E336A2">
        <w:rPr>
          <w:rFonts w:eastAsia="Times New Roman" w:cs="Arial"/>
          <w:color w:val="000000"/>
        </w:rPr>
        <w:t xml:space="preserve">’ </w:t>
      </w:r>
      <w:r w:rsidR="002E503B" w:rsidRPr="00E336A2">
        <w:rPr>
          <w:rFonts w:eastAsia="Times New Roman" w:cs="Arial"/>
          <w:color w:val="000000"/>
        </w:rPr>
        <w:t xml:space="preserve">” </w:t>
      </w:r>
      <w:r w:rsidR="00AB6B8C" w:rsidRPr="00E336A2">
        <w:rPr>
          <w:rFonts w:eastAsia="Times New Roman" w:cs="Arial"/>
          <w:color w:val="000000"/>
        </w:rPr>
        <w:t xml:space="preserve"> (Horowitz, </w:t>
      </w:r>
      <w:r w:rsidR="00AB6B8C" w:rsidRPr="00E336A2">
        <w:rPr>
          <w:rFonts w:eastAsia="Times New Roman" w:cs="Arial"/>
          <w:i/>
          <w:iCs/>
          <w:color w:val="000000"/>
        </w:rPr>
        <w:t>supra,</w:t>
      </w:r>
      <w:r w:rsidR="00AB6B8C" w:rsidRPr="00E336A2">
        <w:rPr>
          <w:rFonts w:eastAsia="Times New Roman" w:cs="Arial"/>
          <w:color w:val="000000"/>
        </w:rPr>
        <w:t xml:space="preserve"> 33 </w:t>
      </w:r>
      <w:proofErr w:type="spellStart"/>
      <w:r w:rsidR="00AB6B8C" w:rsidRPr="00E336A2">
        <w:rPr>
          <w:rFonts w:eastAsia="Times New Roman" w:cs="Arial"/>
          <w:color w:val="000000"/>
        </w:rPr>
        <w:t>So.Cal.L.Rev</w:t>
      </w:r>
      <w:proofErr w:type="spellEnd"/>
      <w:r w:rsidR="00AB6B8C" w:rsidRPr="00E336A2">
        <w:rPr>
          <w:rFonts w:eastAsia="Times New Roman" w:cs="Arial"/>
          <w:color w:val="000000"/>
        </w:rPr>
        <w:t>. at p. 269</w:t>
      </w:r>
      <w:r w:rsidR="00457923" w:rsidRPr="00E336A2">
        <w:rPr>
          <w:rFonts w:eastAsia="Times New Roman" w:cs="Arial"/>
          <w:color w:val="000000"/>
        </w:rPr>
        <w:t xml:space="preserve"> &amp;</w:t>
      </w:r>
      <w:r w:rsidR="00AB6B8C" w:rsidRPr="00E336A2">
        <w:rPr>
          <w:rFonts w:eastAsia="Times New Roman" w:cs="Arial"/>
          <w:color w:val="000000"/>
        </w:rPr>
        <w:t xml:space="preserve"> fn. 36</w:t>
      </w:r>
      <w:r w:rsidR="00884F8A" w:rsidRPr="00E336A2">
        <w:rPr>
          <w:rFonts w:eastAsia="Times New Roman" w:cs="Arial"/>
          <w:color w:val="000000"/>
        </w:rPr>
        <w:t>.</w:t>
      </w:r>
      <w:r w:rsidR="00AB6B8C" w:rsidRPr="00E336A2">
        <w:rPr>
          <w:rFonts w:eastAsia="Times New Roman" w:cs="Arial"/>
          <w:color w:val="000000"/>
        </w:rPr>
        <w:t>)</w:t>
      </w:r>
    </w:p>
    <w:p w14:paraId="56644715" w14:textId="77777777" w:rsidR="00AB6B8C" w:rsidRPr="00E336A2" w:rsidRDefault="00AB6B8C" w:rsidP="00AB6B8C">
      <w:pPr>
        <w:shd w:val="clear" w:color="auto" w:fill="FFFFFF"/>
        <w:spacing w:line="240" w:lineRule="auto"/>
        <w:rPr>
          <w:rFonts w:eastAsia="Times New Roman" w:cs="Arial"/>
          <w:color w:val="000000"/>
        </w:rPr>
      </w:pPr>
    </w:p>
    <w:p w14:paraId="6007DFD3" w14:textId="77777777" w:rsidR="00AB6B8C" w:rsidRPr="00E336A2" w:rsidRDefault="007C7305" w:rsidP="00CE7148">
      <w:pPr>
        <w:spacing w:line="360" w:lineRule="auto"/>
        <w:rPr>
          <w:rFonts w:eastAsia="Times New Roman" w:cs="Arial"/>
          <w:color w:val="000000"/>
        </w:rPr>
      </w:pPr>
      <w:r w:rsidRPr="00E336A2">
        <w:rPr>
          <w:rFonts w:eastAsia="Times New Roman" w:cs="Arial"/>
          <w:color w:val="000000"/>
        </w:rPr>
        <w:tab/>
      </w:r>
      <w:r w:rsidR="00F2509D" w:rsidRPr="00E336A2">
        <w:rPr>
          <w:rFonts w:eastAsia="Times New Roman" w:cs="Arial"/>
          <w:color w:val="000000"/>
        </w:rPr>
        <w:t>Four days later, on June 15, t</w:t>
      </w:r>
      <w:r w:rsidR="00A943F4" w:rsidRPr="00E336A2">
        <w:rPr>
          <w:rFonts w:eastAsia="Times New Roman" w:cs="Arial"/>
          <w:color w:val="000000"/>
        </w:rPr>
        <w:t>he bill was amended one last time to read as enacted</w:t>
      </w:r>
      <w:r w:rsidR="00726003" w:rsidRPr="00E336A2">
        <w:rPr>
          <w:rFonts w:eastAsia="Times New Roman" w:cs="Arial"/>
          <w:color w:val="000000"/>
        </w:rPr>
        <w:t xml:space="preserve"> (new language italicized)</w:t>
      </w:r>
      <w:r w:rsidR="00A943F4" w:rsidRPr="00E336A2">
        <w:rPr>
          <w:rFonts w:eastAsia="Times New Roman" w:cs="Arial"/>
          <w:color w:val="000000"/>
        </w:rPr>
        <w:t>:</w:t>
      </w:r>
    </w:p>
    <w:p w14:paraId="29227845" w14:textId="77777777" w:rsidR="00AB6B8C" w:rsidRPr="00E336A2" w:rsidRDefault="00AB6B8C" w:rsidP="00CE7148">
      <w:pPr>
        <w:shd w:val="clear" w:color="auto" w:fill="FFFFFF"/>
        <w:spacing w:line="240" w:lineRule="auto"/>
        <w:ind w:left="720"/>
        <w:rPr>
          <w:rFonts w:eastAsia="Times New Roman" w:cs="Arial"/>
          <w:color w:val="000000"/>
        </w:rPr>
      </w:pPr>
      <w:r w:rsidRPr="00E336A2">
        <w:rPr>
          <w:rFonts w:eastAsia="Times New Roman" w:cs="Arial"/>
          <w:color w:val="000000"/>
        </w:rPr>
        <w:t>“</w:t>
      </w:r>
      <w:r w:rsidR="003A6F90" w:rsidRPr="00E336A2">
        <w:rPr>
          <w:rFonts w:eastAsia="Times New Roman" w:cs="Arial"/>
          <w:color w:val="000000"/>
        </w:rPr>
        <w:t xml:space="preserve"> ‘</w:t>
      </w:r>
      <w:r w:rsidR="00457923" w:rsidRPr="00E336A2">
        <w:rPr>
          <w:rFonts w:eastAsia="Times New Roman" w:cs="Arial"/>
          <w:color w:val="000000"/>
        </w:rPr>
        <w:t xml:space="preserve">. . . </w:t>
      </w:r>
      <w:r w:rsidRPr="00E336A2">
        <w:rPr>
          <w:rFonts w:eastAsia="Times New Roman" w:cs="Arial"/>
          <w:i/>
          <w:iCs/>
          <w:color w:val="000000"/>
        </w:rPr>
        <w:t>This section shall be known, and may be cited, as the Unruh Civil Rights Act.</w:t>
      </w:r>
    </w:p>
    <w:p w14:paraId="2A6CC802" w14:textId="77777777" w:rsidR="00C11B3F" w:rsidRPr="00E336A2" w:rsidRDefault="003A6F90" w:rsidP="00CE7148">
      <w:pPr>
        <w:shd w:val="clear" w:color="auto" w:fill="FFFFFF"/>
        <w:spacing w:line="240" w:lineRule="auto"/>
        <w:ind w:left="720"/>
        <w:rPr>
          <w:rFonts w:eastAsia="Times New Roman" w:cs="Arial"/>
          <w:color w:val="000000"/>
        </w:rPr>
      </w:pPr>
      <w:r w:rsidRPr="00E336A2">
        <w:rPr>
          <w:rFonts w:eastAsia="Times New Roman" w:cs="Arial"/>
          <w:color w:val="000000"/>
        </w:rPr>
        <w:t>‘</w:t>
      </w:r>
      <w:r w:rsidR="00AB6B8C" w:rsidRPr="00E336A2">
        <w:rPr>
          <w:rFonts w:eastAsia="Times New Roman" w:cs="Arial"/>
          <w:color w:val="000000"/>
        </w:rPr>
        <w:t>.</w:t>
      </w:r>
      <w:r w:rsidR="00457923" w:rsidRPr="00E336A2">
        <w:rPr>
          <w:rFonts w:eastAsia="Times New Roman" w:cs="Arial"/>
          <w:color w:val="000000"/>
        </w:rPr>
        <w:t xml:space="preserve"> </w:t>
      </w:r>
      <w:r w:rsidR="00AB6B8C" w:rsidRPr="00E336A2">
        <w:rPr>
          <w:rFonts w:eastAsia="Times New Roman" w:cs="Arial"/>
          <w:color w:val="000000"/>
        </w:rPr>
        <w:t>.</w:t>
      </w:r>
      <w:r w:rsidR="00457923" w:rsidRPr="00E336A2">
        <w:rPr>
          <w:rFonts w:eastAsia="Times New Roman" w:cs="Arial"/>
          <w:color w:val="000000"/>
        </w:rPr>
        <w:t xml:space="preserve"> </w:t>
      </w:r>
      <w:r w:rsidR="00AB6B8C" w:rsidRPr="00E336A2">
        <w:rPr>
          <w:rFonts w:eastAsia="Times New Roman" w:cs="Arial"/>
          <w:color w:val="000000"/>
        </w:rPr>
        <w:t xml:space="preserve">. </w:t>
      </w:r>
      <w:r w:rsidR="00AB6B8C" w:rsidRPr="00E336A2">
        <w:rPr>
          <w:rFonts w:eastAsia="Times New Roman" w:cs="Arial"/>
          <w:i/>
          <w:iCs/>
          <w:color w:val="000000"/>
        </w:rPr>
        <w:t>All</w:t>
      </w:r>
      <w:r w:rsidR="00AB6B8C" w:rsidRPr="00E336A2">
        <w:rPr>
          <w:rFonts w:eastAsia="Times New Roman" w:cs="Arial"/>
          <w:color w:val="000000"/>
        </w:rPr>
        <w:t xml:space="preserve"> citizens within the jurisdiction of this State are free and equal, and no matter what their race, color, religion, ancestry, or national origin are entitled to the full and equal</w:t>
      </w:r>
      <w:r w:rsidR="00457923" w:rsidRPr="00E336A2">
        <w:rPr>
          <w:rFonts w:eastAsia="Times New Roman" w:cs="Arial"/>
          <w:color w:val="000000"/>
        </w:rPr>
        <w:t xml:space="preserve"> . . .</w:t>
      </w:r>
      <w:r w:rsidR="00CE7148" w:rsidRPr="00E336A2">
        <w:rPr>
          <w:rFonts w:eastAsia="Times New Roman" w:cs="Arial"/>
          <w:color w:val="000000"/>
        </w:rPr>
        <w:t xml:space="preserve"> </w:t>
      </w:r>
      <w:r w:rsidR="00AB6B8C" w:rsidRPr="00E336A2">
        <w:rPr>
          <w:rFonts w:eastAsia="Times New Roman" w:cs="Arial"/>
          <w:i/>
          <w:iCs/>
          <w:color w:val="000000"/>
        </w:rPr>
        <w:t>accommodations, advantages, facilities, privileges, or services in all business establishments of every kind whatsoever.</w:t>
      </w:r>
      <w:r w:rsidRPr="00E336A2">
        <w:rPr>
          <w:rFonts w:eastAsia="Times New Roman" w:cs="Arial"/>
          <w:i/>
          <w:iCs/>
          <w:color w:val="000000"/>
        </w:rPr>
        <w:t xml:space="preserve">’ </w:t>
      </w:r>
      <w:r w:rsidR="00AB6B8C" w:rsidRPr="00E336A2">
        <w:rPr>
          <w:rFonts w:eastAsia="Times New Roman" w:cs="Arial"/>
          <w:color w:val="000000"/>
        </w:rPr>
        <w:t xml:space="preserve">” </w:t>
      </w:r>
      <w:r w:rsidR="002E503B" w:rsidRPr="00E336A2">
        <w:rPr>
          <w:rFonts w:eastAsia="Times New Roman" w:cs="Arial"/>
          <w:color w:val="000000"/>
        </w:rPr>
        <w:t xml:space="preserve"> </w:t>
      </w:r>
      <w:r w:rsidR="00AB6B8C" w:rsidRPr="00E336A2">
        <w:rPr>
          <w:rFonts w:eastAsia="Times New Roman" w:cs="Arial"/>
          <w:color w:val="000000"/>
        </w:rPr>
        <w:t xml:space="preserve">(Horowitz, </w:t>
      </w:r>
      <w:r w:rsidR="00AB6B8C" w:rsidRPr="00E336A2">
        <w:rPr>
          <w:rFonts w:eastAsia="Times New Roman" w:cs="Arial"/>
          <w:i/>
          <w:iCs/>
          <w:color w:val="000000"/>
        </w:rPr>
        <w:t>supra,</w:t>
      </w:r>
      <w:r w:rsidR="00AB6B8C" w:rsidRPr="00E336A2">
        <w:rPr>
          <w:rFonts w:eastAsia="Times New Roman" w:cs="Arial"/>
          <w:color w:val="000000"/>
        </w:rPr>
        <w:t xml:space="preserve"> 33</w:t>
      </w:r>
      <w:r w:rsidR="00D14BF7">
        <w:rPr>
          <w:rFonts w:eastAsia="Times New Roman" w:cs="Arial"/>
          <w:color w:val="000000"/>
        </w:rPr>
        <w:t> </w:t>
      </w:r>
      <w:proofErr w:type="spellStart"/>
      <w:r w:rsidR="00AB6B8C" w:rsidRPr="00E336A2">
        <w:rPr>
          <w:rFonts w:eastAsia="Times New Roman" w:cs="Arial"/>
          <w:color w:val="000000"/>
        </w:rPr>
        <w:t>So.Cal.L.Rev</w:t>
      </w:r>
      <w:proofErr w:type="spellEnd"/>
      <w:r w:rsidR="00AB6B8C" w:rsidRPr="00E336A2">
        <w:rPr>
          <w:rFonts w:eastAsia="Times New Roman" w:cs="Arial"/>
          <w:color w:val="000000"/>
        </w:rPr>
        <w:t>. at pp. 269–270</w:t>
      </w:r>
      <w:r w:rsidR="00457923" w:rsidRPr="00E336A2">
        <w:rPr>
          <w:rFonts w:eastAsia="Times New Roman" w:cs="Arial"/>
          <w:color w:val="000000"/>
        </w:rPr>
        <w:t xml:space="preserve"> &amp;</w:t>
      </w:r>
      <w:r w:rsidR="00AB6B8C" w:rsidRPr="00E336A2">
        <w:rPr>
          <w:rFonts w:eastAsia="Times New Roman" w:cs="Arial"/>
          <w:color w:val="000000"/>
        </w:rPr>
        <w:t xml:space="preserve"> fn. 37.)</w:t>
      </w:r>
      <w:r w:rsidR="00C11B3F" w:rsidRPr="00E336A2">
        <w:rPr>
          <w:rFonts w:eastAsia="Times New Roman" w:cs="Arial"/>
          <w:color w:val="000000"/>
        </w:rPr>
        <w:t xml:space="preserve"> </w:t>
      </w:r>
    </w:p>
    <w:p w14:paraId="2A41BF82" w14:textId="77777777" w:rsidR="00CE7148" w:rsidRPr="00E336A2" w:rsidRDefault="00CE7148" w:rsidP="00CE7148">
      <w:pPr>
        <w:shd w:val="clear" w:color="auto" w:fill="FFFFFF"/>
        <w:spacing w:line="240" w:lineRule="auto"/>
        <w:ind w:left="720"/>
        <w:rPr>
          <w:rFonts w:eastAsia="Times New Roman" w:cs="Arial"/>
          <w:color w:val="000000"/>
        </w:rPr>
      </w:pPr>
    </w:p>
    <w:p w14:paraId="375C9C58" w14:textId="77777777" w:rsidR="00AC0D6F" w:rsidRPr="00E336A2" w:rsidRDefault="008D5B31" w:rsidP="00BC2E5A">
      <w:pPr>
        <w:spacing w:line="360" w:lineRule="auto"/>
        <w:rPr>
          <w:rFonts w:eastAsia="Times New Roman" w:cs="Arial"/>
          <w:color w:val="000000"/>
        </w:rPr>
      </w:pPr>
      <w:r w:rsidRPr="00E336A2">
        <w:rPr>
          <w:rFonts w:eastAsia="Times New Roman" w:cs="Arial"/>
          <w:color w:val="000000"/>
        </w:rPr>
        <w:lastRenderedPageBreak/>
        <w:tab/>
      </w:r>
      <w:r w:rsidR="0012618B">
        <w:rPr>
          <w:rFonts w:eastAsia="Times New Roman" w:cs="Arial"/>
          <w:color w:val="000000"/>
        </w:rPr>
        <w:t>Petitioner</w:t>
      </w:r>
      <w:r w:rsidRPr="00E336A2">
        <w:rPr>
          <w:rFonts w:eastAsia="Times New Roman" w:cs="Arial"/>
          <w:color w:val="000000"/>
        </w:rPr>
        <w:t xml:space="preserve"> urges </w:t>
      </w:r>
      <w:r w:rsidR="003B4BCC" w:rsidRPr="00E336A2">
        <w:rPr>
          <w:rFonts w:eastAsia="Times New Roman" w:cs="Arial"/>
          <w:color w:val="000000"/>
        </w:rPr>
        <w:t xml:space="preserve">us to </w:t>
      </w:r>
      <w:r w:rsidRPr="00E336A2">
        <w:rPr>
          <w:rFonts w:eastAsia="Times New Roman" w:cs="Arial"/>
          <w:color w:val="000000"/>
        </w:rPr>
        <w:t xml:space="preserve">conclude that a </w:t>
      </w:r>
      <w:proofErr w:type="gramStart"/>
      <w:r w:rsidRPr="00E336A2">
        <w:rPr>
          <w:rFonts w:eastAsia="Times New Roman" w:cs="Arial"/>
          <w:color w:val="000000"/>
        </w:rPr>
        <w:t>public school</w:t>
      </w:r>
      <w:proofErr w:type="gramEnd"/>
      <w:r w:rsidRPr="00E336A2">
        <w:rPr>
          <w:rFonts w:eastAsia="Times New Roman" w:cs="Arial"/>
          <w:color w:val="000000"/>
        </w:rPr>
        <w:t xml:space="preserve"> district is a </w:t>
      </w:r>
      <w:r w:rsidR="004D7DDB" w:rsidRPr="00E336A2">
        <w:rPr>
          <w:rFonts w:eastAsia="Times New Roman" w:cs="Arial"/>
          <w:color w:val="000000"/>
        </w:rPr>
        <w:t>business establishment</w:t>
      </w:r>
      <w:r w:rsidRPr="00E336A2">
        <w:rPr>
          <w:rFonts w:eastAsia="Times New Roman" w:cs="Arial"/>
          <w:color w:val="000000"/>
        </w:rPr>
        <w:t xml:space="preserve"> </w:t>
      </w:r>
      <w:r w:rsidR="00D11D41" w:rsidRPr="00E336A2">
        <w:rPr>
          <w:rFonts w:eastAsia="Times New Roman" w:cs="Arial"/>
          <w:color w:val="000000"/>
        </w:rPr>
        <w:t xml:space="preserve">under the Unruh Act </w:t>
      </w:r>
      <w:r w:rsidRPr="00E336A2">
        <w:rPr>
          <w:rFonts w:eastAsia="Times New Roman" w:cs="Arial"/>
          <w:color w:val="000000"/>
        </w:rPr>
        <w:t>because prior versions of the legislation referred to “schools.”</w:t>
      </w:r>
      <w:r w:rsidR="005A3581" w:rsidRPr="00E336A2">
        <w:rPr>
          <w:rFonts w:eastAsia="Times New Roman" w:cs="Arial"/>
          <w:color w:val="000000"/>
        </w:rPr>
        <w:t xml:space="preserve">  However, </w:t>
      </w:r>
      <w:r w:rsidR="00073658" w:rsidRPr="00E336A2">
        <w:rPr>
          <w:rFonts w:eastAsia="Times New Roman" w:cs="Arial"/>
          <w:color w:val="000000"/>
        </w:rPr>
        <w:t xml:space="preserve">in </w:t>
      </w:r>
      <w:r w:rsidR="00073658" w:rsidRPr="00E336A2">
        <w:rPr>
          <w:rFonts w:eastAsia="Times New Roman" w:cs="Arial"/>
          <w:i/>
          <w:iCs/>
          <w:color w:val="000000"/>
        </w:rPr>
        <w:t xml:space="preserve">Warfield, </w:t>
      </w:r>
      <w:r w:rsidR="00D35280" w:rsidRPr="00E336A2">
        <w:rPr>
          <w:rFonts w:eastAsia="Times New Roman" w:cs="Arial"/>
          <w:color w:val="000000"/>
        </w:rPr>
        <w:t>o</w:t>
      </w:r>
      <w:r w:rsidR="005A3581" w:rsidRPr="00E336A2">
        <w:rPr>
          <w:rFonts w:eastAsia="Times New Roman" w:cs="Arial"/>
          <w:color w:val="000000"/>
        </w:rPr>
        <w:t xml:space="preserve">ur Supreme Court </w:t>
      </w:r>
      <w:r w:rsidR="00073658" w:rsidRPr="00E336A2">
        <w:rPr>
          <w:rFonts w:eastAsia="Times New Roman" w:cs="Arial"/>
          <w:color w:val="000000"/>
        </w:rPr>
        <w:t xml:space="preserve">expressly </w:t>
      </w:r>
      <w:r w:rsidR="00D35280" w:rsidRPr="00E336A2">
        <w:rPr>
          <w:rFonts w:eastAsia="Times New Roman" w:cs="Arial"/>
          <w:color w:val="000000"/>
        </w:rPr>
        <w:t>rejected such a</w:t>
      </w:r>
      <w:r w:rsidR="00FA0A53" w:rsidRPr="00E336A2">
        <w:rPr>
          <w:rFonts w:eastAsia="Times New Roman" w:cs="Arial"/>
          <w:color w:val="000000"/>
        </w:rPr>
        <w:t xml:space="preserve"> construction </w:t>
      </w:r>
      <w:r w:rsidR="00D35280" w:rsidRPr="00E336A2">
        <w:rPr>
          <w:rFonts w:eastAsia="Times New Roman" w:cs="Arial"/>
          <w:color w:val="000000"/>
        </w:rPr>
        <w:t xml:space="preserve">of the </w:t>
      </w:r>
      <w:r w:rsidR="00D11D41" w:rsidRPr="00E336A2">
        <w:rPr>
          <w:rFonts w:eastAsia="Times New Roman" w:cs="Arial"/>
          <w:color w:val="000000"/>
        </w:rPr>
        <w:t>A</w:t>
      </w:r>
      <w:r w:rsidR="00D35280" w:rsidRPr="00E336A2">
        <w:rPr>
          <w:rFonts w:eastAsia="Times New Roman" w:cs="Arial"/>
          <w:color w:val="000000"/>
        </w:rPr>
        <w:t>ct</w:t>
      </w:r>
      <w:r w:rsidR="00073658" w:rsidRPr="00E336A2">
        <w:rPr>
          <w:rFonts w:eastAsia="Times New Roman" w:cs="Arial"/>
          <w:color w:val="000000"/>
        </w:rPr>
        <w:t xml:space="preserve">, </w:t>
      </w:r>
      <w:r w:rsidR="00FA0A53" w:rsidRPr="00E336A2">
        <w:rPr>
          <w:rFonts w:eastAsia="Times New Roman" w:cs="Arial"/>
          <w:iCs/>
          <w:color w:val="000000"/>
        </w:rPr>
        <w:t xml:space="preserve">as we discuss in more detail </w:t>
      </w:r>
      <w:r w:rsidR="00FA0A53" w:rsidRPr="00E336A2">
        <w:rPr>
          <w:rFonts w:eastAsia="Times New Roman" w:cs="Arial"/>
          <w:i/>
          <w:iCs/>
          <w:color w:val="000000"/>
        </w:rPr>
        <w:t xml:space="preserve">infra. </w:t>
      </w:r>
      <w:r w:rsidR="006802E2" w:rsidRPr="00E336A2">
        <w:rPr>
          <w:rFonts w:eastAsia="Times New Roman" w:cs="Arial"/>
          <w:color w:val="000000"/>
        </w:rPr>
        <w:t>(</w:t>
      </w:r>
      <w:r w:rsidR="005A3581" w:rsidRPr="00E336A2">
        <w:rPr>
          <w:rFonts w:eastAsia="Times New Roman" w:cs="Arial"/>
          <w:i/>
          <w:iCs/>
          <w:color w:val="000000"/>
        </w:rPr>
        <w:t xml:space="preserve">Warfield, supra, </w:t>
      </w:r>
      <w:r w:rsidR="005A3581" w:rsidRPr="00E336A2">
        <w:rPr>
          <w:rFonts w:eastAsia="Times New Roman" w:cs="Arial"/>
          <w:color w:val="000000"/>
        </w:rPr>
        <w:t>10 Cal.4</w:t>
      </w:r>
      <w:r w:rsidR="00D9796C" w:rsidRPr="00E336A2">
        <w:rPr>
          <w:rFonts w:eastAsia="Times New Roman" w:cs="Arial"/>
          <w:color w:val="000000"/>
        </w:rPr>
        <w:t>th</w:t>
      </w:r>
      <w:r w:rsidR="005A3581" w:rsidRPr="00E336A2">
        <w:rPr>
          <w:rFonts w:eastAsia="Times New Roman" w:cs="Arial"/>
          <w:color w:val="000000"/>
        </w:rPr>
        <w:t xml:space="preserve"> at p</w:t>
      </w:r>
      <w:r w:rsidR="00FA0A53" w:rsidRPr="00E336A2">
        <w:rPr>
          <w:rFonts w:eastAsia="Times New Roman" w:cs="Arial"/>
          <w:color w:val="000000"/>
        </w:rPr>
        <w:t>p</w:t>
      </w:r>
      <w:r w:rsidR="005A3581" w:rsidRPr="00E336A2">
        <w:rPr>
          <w:rFonts w:eastAsia="Times New Roman" w:cs="Arial"/>
          <w:color w:val="000000"/>
        </w:rPr>
        <w:t xml:space="preserve">. </w:t>
      </w:r>
      <w:r w:rsidR="00FA0A53" w:rsidRPr="00E336A2">
        <w:rPr>
          <w:rFonts w:eastAsia="Times New Roman" w:cs="Arial"/>
          <w:color w:val="000000"/>
        </w:rPr>
        <w:t>614</w:t>
      </w:r>
      <w:r w:rsidR="00D14BF7" w:rsidRPr="00E336A2">
        <w:rPr>
          <w:rFonts w:eastAsia="Times New Roman" w:cs="Arial"/>
          <w:color w:val="000000"/>
        </w:rPr>
        <w:t>–</w:t>
      </w:r>
      <w:r w:rsidR="005A3581" w:rsidRPr="00E336A2">
        <w:rPr>
          <w:rFonts w:eastAsia="Times New Roman" w:cs="Arial"/>
          <w:color w:val="000000"/>
        </w:rPr>
        <w:t>615</w:t>
      </w:r>
      <w:r w:rsidR="006802E2" w:rsidRPr="00E336A2">
        <w:rPr>
          <w:rFonts w:eastAsia="Times New Roman" w:cs="Arial"/>
          <w:color w:val="000000"/>
        </w:rPr>
        <w:t>.)</w:t>
      </w:r>
      <w:r w:rsidR="00824BE6" w:rsidRPr="00E336A2">
        <w:rPr>
          <w:rFonts w:eastAsia="Times New Roman" w:cs="Arial"/>
          <w:color w:val="000000"/>
        </w:rPr>
        <w:t xml:space="preserve">  </w:t>
      </w:r>
    </w:p>
    <w:p w14:paraId="76E6A5B2" w14:textId="77777777" w:rsidR="003A6CD4" w:rsidRPr="005B4AE7" w:rsidRDefault="00AC0D6F" w:rsidP="00BC2E5A">
      <w:pPr>
        <w:spacing w:line="360" w:lineRule="auto"/>
        <w:rPr>
          <w:rFonts w:eastAsia="Times New Roman" w:cs="Arial"/>
        </w:rPr>
      </w:pPr>
      <w:r w:rsidRPr="00E336A2">
        <w:rPr>
          <w:rFonts w:eastAsia="Times New Roman" w:cs="Arial"/>
          <w:color w:val="000000"/>
        </w:rPr>
        <w:tab/>
      </w:r>
      <w:r w:rsidR="00D11D41" w:rsidRPr="00E336A2">
        <w:rPr>
          <w:rFonts w:eastAsia="Times New Roman" w:cs="Arial"/>
          <w:color w:val="000000"/>
        </w:rPr>
        <w:t>Moreover, t</w:t>
      </w:r>
      <w:r w:rsidR="006802E2" w:rsidRPr="00E336A2">
        <w:rPr>
          <w:rFonts w:eastAsia="Times New Roman" w:cs="Arial"/>
          <w:color w:val="000000"/>
        </w:rPr>
        <w:t xml:space="preserve">he prior versions of the bill reflect a progressive narrowing of the legislation’s applicability to </w:t>
      </w:r>
      <w:r w:rsidR="00FA6705" w:rsidRPr="00E336A2">
        <w:rPr>
          <w:rFonts w:eastAsia="Times New Roman" w:cs="Arial"/>
          <w:color w:val="000000"/>
        </w:rPr>
        <w:t>“</w:t>
      </w:r>
      <w:r w:rsidR="006802E2" w:rsidRPr="00E336A2">
        <w:rPr>
          <w:rFonts w:eastAsia="Times New Roman" w:cs="Arial"/>
          <w:color w:val="000000"/>
        </w:rPr>
        <w:t>schools.</w:t>
      </w:r>
      <w:r w:rsidR="00FA6705" w:rsidRPr="00E336A2">
        <w:rPr>
          <w:rFonts w:eastAsia="Times New Roman" w:cs="Arial"/>
          <w:color w:val="000000"/>
        </w:rPr>
        <w:t>”</w:t>
      </w:r>
      <w:r w:rsidR="006802E2" w:rsidRPr="00E336A2">
        <w:rPr>
          <w:rFonts w:eastAsia="Times New Roman" w:cs="Arial"/>
          <w:color w:val="000000"/>
        </w:rPr>
        <w:t xml:space="preserve">  </w:t>
      </w:r>
      <w:r w:rsidR="002322FA" w:rsidRPr="00E336A2">
        <w:rPr>
          <w:rFonts w:eastAsia="Times New Roman" w:cs="Arial"/>
          <w:color w:val="000000"/>
        </w:rPr>
        <w:t xml:space="preserve">Although </w:t>
      </w:r>
      <w:r w:rsidR="00824BE6" w:rsidRPr="00E336A2">
        <w:rPr>
          <w:rFonts w:eastAsia="Times New Roman" w:cs="Arial"/>
          <w:color w:val="000000"/>
        </w:rPr>
        <w:t xml:space="preserve">the legislation </w:t>
      </w:r>
      <w:r w:rsidR="002322FA" w:rsidRPr="00E336A2">
        <w:rPr>
          <w:rFonts w:eastAsia="Times New Roman" w:cs="Arial"/>
          <w:color w:val="000000"/>
        </w:rPr>
        <w:t>as introduced referred to “</w:t>
      </w:r>
      <w:r w:rsidR="000413C3" w:rsidRPr="00E336A2">
        <w:rPr>
          <w:rFonts w:eastAsia="Times New Roman" w:cs="Arial"/>
          <w:color w:val="000000"/>
        </w:rPr>
        <w:t xml:space="preserve"> ‘</w:t>
      </w:r>
      <w:r w:rsidR="002322FA" w:rsidRPr="00E336A2">
        <w:rPr>
          <w:rFonts w:eastAsia="Times New Roman" w:cs="Arial"/>
          <w:color w:val="000000"/>
        </w:rPr>
        <w:t>schools</w:t>
      </w:r>
      <w:r w:rsidR="00824BE6" w:rsidRPr="00E336A2">
        <w:rPr>
          <w:rFonts w:eastAsia="Times New Roman" w:cs="Arial"/>
          <w:color w:val="000000"/>
        </w:rPr>
        <w:t>,</w:t>
      </w:r>
      <w:r w:rsidR="000413C3" w:rsidRPr="00E336A2">
        <w:rPr>
          <w:rFonts w:eastAsia="Times New Roman" w:cs="Arial"/>
          <w:color w:val="000000"/>
        </w:rPr>
        <w:t xml:space="preserve">’ </w:t>
      </w:r>
      <w:r w:rsidR="002322FA" w:rsidRPr="00E336A2">
        <w:rPr>
          <w:rFonts w:eastAsia="Times New Roman" w:cs="Arial"/>
          <w:color w:val="000000"/>
        </w:rPr>
        <w:t>”</w:t>
      </w:r>
      <w:r w:rsidR="00824BE6" w:rsidRPr="00E336A2">
        <w:rPr>
          <w:rFonts w:eastAsia="Times New Roman" w:cs="Arial"/>
          <w:color w:val="000000"/>
        </w:rPr>
        <w:t xml:space="preserve"> </w:t>
      </w:r>
      <w:r w:rsidR="002322FA" w:rsidRPr="00E336A2">
        <w:rPr>
          <w:rFonts w:eastAsia="Times New Roman" w:cs="Arial"/>
          <w:color w:val="000000"/>
        </w:rPr>
        <w:t>the first round of amendments excepted schools “</w:t>
      </w:r>
      <w:r w:rsidR="003A6F90" w:rsidRPr="00E336A2">
        <w:rPr>
          <w:rFonts w:eastAsia="Times New Roman" w:cs="Arial"/>
          <w:color w:val="000000"/>
        </w:rPr>
        <w:t xml:space="preserve"> ‘</w:t>
      </w:r>
      <w:r w:rsidR="002322FA" w:rsidRPr="00D14BF7">
        <w:rPr>
          <w:rFonts w:eastAsia="Times New Roman" w:cs="Arial"/>
          <w:color w:val="000000"/>
        </w:rPr>
        <w:t xml:space="preserve">organized </w:t>
      </w:r>
      <w:r w:rsidR="003A6F90" w:rsidRPr="00D14BF7">
        <w:rPr>
          <w:rFonts w:eastAsia="Times New Roman" w:cs="Arial"/>
          <w:color w:val="000000"/>
        </w:rPr>
        <w:t>primar</w:t>
      </w:r>
      <w:r w:rsidR="00D14BF7" w:rsidRPr="00D14BF7">
        <w:rPr>
          <w:rFonts w:eastAsia="Times New Roman" w:cs="Arial"/>
          <w:color w:val="000000"/>
        </w:rPr>
        <w:t>il</w:t>
      </w:r>
      <w:r w:rsidR="003A6F90" w:rsidRPr="00D14BF7">
        <w:rPr>
          <w:rFonts w:eastAsia="Times New Roman" w:cs="Arial"/>
          <w:color w:val="000000"/>
        </w:rPr>
        <w:t>y for</w:t>
      </w:r>
      <w:r w:rsidR="003A6F90" w:rsidRPr="00E336A2">
        <w:rPr>
          <w:rFonts w:eastAsia="Times New Roman" w:cs="Arial"/>
          <w:color w:val="000000"/>
        </w:rPr>
        <w:t xml:space="preserve"> the </w:t>
      </w:r>
      <w:r w:rsidR="002322FA" w:rsidRPr="00E336A2">
        <w:rPr>
          <w:rFonts w:eastAsia="Times New Roman" w:cs="Arial"/>
          <w:color w:val="000000"/>
        </w:rPr>
        <w:t>purpose of, and which practice, the furthering of a specific sectarian religious belief or a specific national culture, and which limit</w:t>
      </w:r>
      <w:r w:rsidR="00824BE6" w:rsidRPr="00E336A2">
        <w:rPr>
          <w:rFonts w:eastAsia="Times New Roman" w:cs="Arial"/>
          <w:color w:val="000000"/>
        </w:rPr>
        <w:t>[ed]</w:t>
      </w:r>
      <w:r w:rsidR="002322FA" w:rsidRPr="00E336A2">
        <w:rPr>
          <w:rFonts w:eastAsia="Times New Roman" w:cs="Arial"/>
          <w:color w:val="000000"/>
        </w:rPr>
        <w:t xml:space="preserve"> their membership or affiliations to only those persons with a corresponding religious belief or national derivation.</w:t>
      </w:r>
      <w:r w:rsidR="003A6F90" w:rsidRPr="00E336A2">
        <w:rPr>
          <w:rFonts w:eastAsia="Times New Roman" w:cs="Arial"/>
          <w:color w:val="000000"/>
        </w:rPr>
        <w:t xml:space="preserve">’ </w:t>
      </w:r>
      <w:r w:rsidR="002322FA" w:rsidRPr="00E336A2">
        <w:rPr>
          <w:rFonts w:eastAsia="Times New Roman" w:cs="Arial"/>
          <w:color w:val="000000"/>
        </w:rPr>
        <w:t>”</w:t>
      </w:r>
      <w:r w:rsidR="00BC2E5A" w:rsidRPr="00E336A2">
        <w:rPr>
          <w:rFonts w:eastAsia="Times New Roman" w:cs="Arial"/>
          <w:color w:val="000000"/>
        </w:rPr>
        <w:t xml:space="preserve">  </w:t>
      </w:r>
      <w:r w:rsidR="003A6F90" w:rsidRPr="00E336A2">
        <w:rPr>
          <w:rFonts w:eastAsia="Times New Roman" w:cs="Arial"/>
          <w:color w:val="000000"/>
        </w:rPr>
        <w:t xml:space="preserve">(Horowitz, </w:t>
      </w:r>
      <w:r w:rsidR="003A6F90" w:rsidRPr="00E336A2">
        <w:rPr>
          <w:rFonts w:eastAsia="Times New Roman" w:cs="Arial"/>
          <w:i/>
          <w:iCs/>
          <w:color w:val="000000"/>
        </w:rPr>
        <w:t>supra,</w:t>
      </w:r>
      <w:r w:rsidR="003A6F90" w:rsidRPr="00E336A2">
        <w:rPr>
          <w:rFonts w:eastAsia="Times New Roman" w:cs="Arial"/>
          <w:color w:val="000000"/>
        </w:rPr>
        <w:t xml:space="preserve"> 33 </w:t>
      </w:r>
      <w:proofErr w:type="spellStart"/>
      <w:r w:rsidR="003A6F90" w:rsidRPr="00E336A2">
        <w:rPr>
          <w:rFonts w:eastAsia="Times New Roman" w:cs="Arial"/>
          <w:color w:val="000000"/>
        </w:rPr>
        <w:t>So.Cal.L.Rev</w:t>
      </w:r>
      <w:proofErr w:type="spellEnd"/>
      <w:r w:rsidR="003A6F90" w:rsidRPr="00E336A2">
        <w:rPr>
          <w:rFonts w:eastAsia="Times New Roman" w:cs="Arial"/>
          <w:color w:val="000000"/>
        </w:rPr>
        <w:t xml:space="preserve">. at p. 266 &amp; fn. 32.)  </w:t>
      </w:r>
      <w:r w:rsidR="002322FA" w:rsidRPr="00E336A2">
        <w:rPr>
          <w:rFonts w:eastAsia="Times New Roman" w:cs="Arial"/>
          <w:color w:val="000000"/>
        </w:rPr>
        <w:t xml:space="preserve">In the next round of amendments, the exception for </w:t>
      </w:r>
      <w:r w:rsidR="00D9796C" w:rsidRPr="00E336A2">
        <w:rPr>
          <w:rFonts w:eastAsia="Times New Roman" w:cs="Arial"/>
          <w:color w:val="000000"/>
        </w:rPr>
        <w:t xml:space="preserve">schools furthering a </w:t>
      </w:r>
      <w:r w:rsidR="002322FA" w:rsidRPr="00E336A2">
        <w:rPr>
          <w:rFonts w:eastAsia="Times New Roman" w:cs="Arial"/>
          <w:color w:val="000000"/>
        </w:rPr>
        <w:t>national culture was eliminated</w:t>
      </w:r>
      <w:r w:rsidR="00BC2E5A" w:rsidRPr="00E336A2">
        <w:rPr>
          <w:rFonts w:eastAsia="Times New Roman" w:cs="Arial"/>
          <w:color w:val="000000"/>
        </w:rPr>
        <w:t>.  (</w:t>
      </w:r>
      <w:r w:rsidR="000413C3" w:rsidRPr="00E336A2">
        <w:rPr>
          <w:rFonts w:eastAsia="Times New Roman" w:cs="Arial"/>
          <w:i/>
          <w:iCs/>
          <w:color w:val="000000"/>
        </w:rPr>
        <w:t>Id.</w:t>
      </w:r>
      <w:r w:rsidR="000413C3" w:rsidRPr="00E336A2">
        <w:rPr>
          <w:rFonts w:eastAsia="Times New Roman" w:cs="Arial"/>
          <w:color w:val="000000"/>
        </w:rPr>
        <w:t xml:space="preserve"> at pp. 266</w:t>
      </w:r>
      <w:r w:rsidR="00106574" w:rsidRPr="00E336A2">
        <w:rPr>
          <w:rFonts w:eastAsia="Times New Roman" w:cs="Arial"/>
          <w:color w:val="000000"/>
        </w:rPr>
        <w:t>–</w:t>
      </w:r>
      <w:r w:rsidR="000413C3" w:rsidRPr="00E336A2">
        <w:rPr>
          <w:rFonts w:eastAsia="Times New Roman" w:cs="Arial"/>
          <w:color w:val="000000"/>
        </w:rPr>
        <w:t>267 &amp; fn. 33</w:t>
      </w:r>
      <w:r w:rsidR="00824BE6" w:rsidRPr="00E336A2">
        <w:rPr>
          <w:rFonts w:eastAsia="Times New Roman" w:cs="Arial"/>
          <w:color w:val="000000"/>
        </w:rPr>
        <w:t>.</w:t>
      </w:r>
      <w:r w:rsidR="00BC2E5A" w:rsidRPr="00E336A2">
        <w:rPr>
          <w:rFonts w:eastAsia="Times New Roman" w:cs="Arial"/>
          <w:color w:val="000000"/>
        </w:rPr>
        <w:t xml:space="preserve">)  </w:t>
      </w:r>
      <w:r w:rsidR="00D11D41" w:rsidRPr="00E336A2">
        <w:rPr>
          <w:rFonts w:eastAsia="Times New Roman" w:cs="Arial"/>
          <w:color w:val="000000"/>
        </w:rPr>
        <w:t>And i</w:t>
      </w:r>
      <w:r w:rsidR="00BC2E5A" w:rsidRPr="00E336A2">
        <w:rPr>
          <w:rFonts w:eastAsia="Times New Roman" w:cs="Arial"/>
          <w:color w:val="000000"/>
        </w:rPr>
        <w:t>n subsequent amendments</w:t>
      </w:r>
      <w:r w:rsidR="00D9796C" w:rsidRPr="00E336A2">
        <w:rPr>
          <w:rFonts w:eastAsia="Times New Roman" w:cs="Arial"/>
          <w:color w:val="000000"/>
        </w:rPr>
        <w:t>,</w:t>
      </w:r>
      <w:r w:rsidR="00BC2E5A" w:rsidRPr="00E336A2">
        <w:rPr>
          <w:rFonts w:eastAsia="Times New Roman" w:cs="Arial"/>
          <w:color w:val="000000"/>
        </w:rPr>
        <w:t xml:space="preserve"> the exception for religious schools was eliminated and only schools that “</w:t>
      </w:r>
      <w:r w:rsidR="002473B5" w:rsidRPr="00E336A2">
        <w:rPr>
          <w:rFonts w:eastAsia="Times New Roman" w:cs="Arial"/>
          <w:color w:val="000000"/>
        </w:rPr>
        <w:t> </w:t>
      </w:r>
      <w:r w:rsidR="000413C3" w:rsidRPr="00E336A2">
        <w:rPr>
          <w:rFonts w:eastAsia="Times New Roman" w:cs="Arial"/>
          <w:color w:val="000000"/>
        </w:rPr>
        <w:t>‘</w:t>
      </w:r>
      <w:r w:rsidR="00BC2E5A" w:rsidRPr="00E336A2">
        <w:rPr>
          <w:rFonts w:eastAsia="Times New Roman" w:cs="Arial"/>
          <w:color w:val="000000"/>
        </w:rPr>
        <w:t>primarily offer[ed] business or vocational training</w:t>
      </w:r>
      <w:r w:rsidR="000413C3" w:rsidRPr="00E336A2">
        <w:rPr>
          <w:rFonts w:eastAsia="Times New Roman" w:cs="Arial"/>
          <w:color w:val="000000"/>
        </w:rPr>
        <w:t xml:space="preserve">’ </w:t>
      </w:r>
      <w:r w:rsidR="00BC2E5A" w:rsidRPr="00E336A2">
        <w:rPr>
          <w:rFonts w:eastAsia="Times New Roman" w:cs="Arial"/>
          <w:color w:val="000000"/>
        </w:rPr>
        <w:t>” were included.  (</w:t>
      </w:r>
      <w:r w:rsidR="000413C3" w:rsidRPr="00E336A2">
        <w:rPr>
          <w:rFonts w:eastAsia="Times New Roman" w:cs="Arial"/>
          <w:i/>
          <w:iCs/>
          <w:color w:val="000000"/>
        </w:rPr>
        <w:t>Id.</w:t>
      </w:r>
      <w:r w:rsidR="000413C3" w:rsidRPr="00E336A2">
        <w:rPr>
          <w:rFonts w:eastAsia="Times New Roman" w:cs="Arial"/>
          <w:color w:val="000000"/>
        </w:rPr>
        <w:t xml:space="preserve"> at p. 268 &amp; fn. 35, italics omitted</w:t>
      </w:r>
      <w:r w:rsidR="00824BE6" w:rsidRPr="00E336A2">
        <w:rPr>
          <w:rFonts w:eastAsia="Times New Roman" w:cs="Arial"/>
          <w:color w:val="000000"/>
        </w:rPr>
        <w:t>.</w:t>
      </w:r>
      <w:r w:rsidR="00BC2E5A" w:rsidRPr="00E336A2">
        <w:rPr>
          <w:rFonts w:eastAsia="Times New Roman" w:cs="Arial"/>
          <w:color w:val="000000"/>
        </w:rPr>
        <w:t xml:space="preserve">)  Thus, the category of schools to which the penultimate version of the legislation applied would not have included any public grammar schools or </w:t>
      </w:r>
      <w:r w:rsidR="00BC1039" w:rsidRPr="00E336A2">
        <w:rPr>
          <w:rFonts w:eastAsia="Times New Roman" w:cs="Arial"/>
          <w:color w:val="000000"/>
        </w:rPr>
        <w:t xml:space="preserve">even </w:t>
      </w:r>
      <w:r w:rsidR="00824BE6" w:rsidRPr="00E336A2">
        <w:rPr>
          <w:rFonts w:eastAsia="Times New Roman" w:cs="Arial"/>
          <w:color w:val="000000"/>
        </w:rPr>
        <w:t xml:space="preserve">public </w:t>
      </w:r>
      <w:r w:rsidR="00BC2E5A" w:rsidRPr="00E336A2">
        <w:rPr>
          <w:rFonts w:eastAsia="Times New Roman" w:cs="Arial"/>
          <w:color w:val="000000"/>
        </w:rPr>
        <w:t>secondary schools.  While the latter m</w:t>
      </w:r>
      <w:r w:rsidR="00F2509D" w:rsidRPr="00E336A2">
        <w:rPr>
          <w:rFonts w:eastAsia="Times New Roman" w:cs="Arial"/>
          <w:color w:val="000000"/>
        </w:rPr>
        <w:t xml:space="preserve">ay </w:t>
      </w:r>
      <w:r w:rsidR="003A6CD4" w:rsidRPr="00E336A2">
        <w:rPr>
          <w:rFonts w:eastAsia="Times New Roman" w:cs="Arial"/>
          <w:color w:val="000000"/>
        </w:rPr>
        <w:t xml:space="preserve">offer </w:t>
      </w:r>
      <w:proofErr w:type="gramStart"/>
      <w:r w:rsidR="003A6CD4" w:rsidRPr="00E336A2">
        <w:rPr>
          <w:rFonts w:eastAsia="Times New Roman" w:cs="Arial"/>
          <w:color w:val="000000"/>
        </w:rPr>
        <w:t>some</w:t>
      </w:r>
      <w:proofErr w:type="gramEnd"/>
      <w:r w:rsidR="003A6CD4" w:rsidRPr="00E336A2">
        <w:rPr>
          <w:rFonts w:eastAsia="Times New Roman" w:cs="Arial"/>
          <w:color w:val="000000"/>
        </w:rPr>
        <w:t xml:space="preserve"> business or vocational training, </w:t>
      </w:r>
      <w:r w:rsidR="00F2509D" w:rsidRPr="00E336A2">
        <w:rPr>
          <w:rFonts w:eastAsia="Times New Roman" w:cs="Arial"/>
          <w:color w:val="000000"/>
        </w:rPr>
        <w:t xml:space="preserve">the primary responsibility of </w:t>
      </w:r>
      <w:r w:rsidR="00D04899" w:rsidRPr="00E336A2">
        <w:rPr>
          <w:rFonts w:eastAsia="Times New Roman" w:cs="Arial"/>
          <w:color w:val="000000"/>
        </w:rPr>
        <w:t xml:space="preserve">both primary and </w:t>
      </w:r>
      <w:r w:rsidR="003A6CD4" w:rsidRPr="00E336A2">
        <w:rPr>
          <w:rFonts w:eastAsia="Times New Roman" w:cs="Arial"/>
          <w:color w:val="000000"/>
        </w:rPr>
        <w:t xml:space="preserve">secondary </w:t>
      </w:r>
      <w:r w:rsidR="00D04899" w:rsidRPr="00E336A2">
        <w:rPr>
          <w:rFonts w:eastAsia="Times New Roman" w:cs="Arial"/>
          <w:color w:val="000000"/>
        </w:rPr>
        <w:t xml:space="preserve">public </w:t>
      </w:r>
      <w:r w:rsidR="003A6CD4" w:rsidRPr="00E336A2">
        <w:rPr>
          <w:rFonts w:eastAsia="Times New Roman" w:cs="Arial"/>
          <w:color w:val="000000"/>
        </w:rPr>
        <w:t xml:space="preserve">schools </w:t>
      </w:r>
      <w:r w:rsidR="00F2509D" w:rsidRPr="00E336A2">
        <w:rPr>
          <w:rFonts w:eastAsia="Times New Roman" w:cs="Arial"/>
          <w:color w:val="000000"/>
        </w:rPr>
        <w:t xml:space="preserve">is </w:t>
      </w:r>
      <w:r w:rsidR="003A6CD4" w:rsidRPr="00E336A2">
        <w:rPr>
          <w:rFonts w:eastAsia="Times New Roman" w:cs="Arial"/>
          <w:color w:val="000000"/>
        </w:rPr>
        <w:t xml:space="preserve">basic educational </w:t>
      </w:r>
      <w:r w:rsidR="00BC1039" w:rsidRPr="00E336A2">
        <w:rPr>
          <w:rFonts w:eastAsia="Times New Roman" w:cs="Arial"/>
          <w:color w:val="000000"/>
        </w:rPr>
        <w:t>instruction</w:t>
      </w:r>
      <w:r w:rsidR="003A6CD4" w:rsidRPr="00E336A2">
        <w:rPr>
          <w:rFonts w:eastAsia="Times New Roman" w:cs="Arial"/>
          <w:color w:val="000000"/>
        </w:rPr>
        <w:t>.</w:t>
      </w:r>
      <w:r w:rsidR="00726003" w:rsidRPr="00E336A2">
        <w:rPr>
          <w:rFonts w:eastAsia="Times New Roman" w:cs="Arial"/>
          <w:color w:val="AEAAAA" w:themeColor="background2" w:themeShade="BF"/>
        </w:rPr>
        <w:t xml:space="preserve"> </w:t>
      </w:r>
      <w:r w:rsidR="00726003" w:rsidRPr="00E336A2">
        <w:rPr>
          <w:rFonts w:eastAsia="Times New Roman" w:cs="Arial"/>
        </w:rPr>
        <w:t xml:space="preserve"> (</w:t>
      </w:r>
      <w:r w:rsidR="00726003" w:rsidRPr="00106574">
        <w:rPr>
          <w:rFonts w:eastAsia="Times New Roman" w:cs="Arial"/>
        </w:rPr>
        <w:t xml:space="preserve">See </w:t>
      </w:r>
      <w:r w:rsidR="00EA1D00" w:rsidRPr="00106574">
        <w:rPr>
          <w:rFonts w:eastAsia="Times New Roman" w:cs="Arial"/>
        </w:rPr>
        <w:t>Ed. Code</w:t>
      </w:r>
      <w:r w:rsidR="00106574" w:rsidRPr="00106574">
        <w:rPr>
          <w:rFonts w:eastAsia="Times New Roman" w:cs="Arial"/>
        </w:rPr>
        <w:t>,</w:t>
      </w:r>
      <w:r w:rsidR="00EA1D00" w:rsidRPr="00106574">
        <w:rPr>
          <w:rFonts w:eastAsia="Times New Roman" w:cs="Arial"/>
        </w:rPr>
        <w:t xml:space="preserve"> §§ 5121</w:t>
      </w:r>
      <w:r w:rsidR="000413C3" w:rsidRPr="00106574">
        <w:rPr>
          <w:rFonts w:eastAsia="Times New Roman" w:cs="Arial"/>
        </w:rPr>
        <w:t>0</w:t>
      </w:r>
      <w:r w:rsidR="00EA1D00" w:rsidRPr="00106574">
        <w:rPr>
          <w:rFonts w:eastAsia="Times New Roman" w:cs="Arial"/>
        </w:rPr>
        <w:t xml:space="preserve">, </w:t>
      </w:r>
      <w:proofErr w:type="spellStart"/>
      <w:r w:rsidR="00EA1D00" w:rsidRPr="00106574">
        <w:rPr>
          <w:rFonts w:eastAsia="Times New Roman" w:cs="Arial"/>
        </w:rPr>
        <w:t>subd</w:t>
      </w:r>
      <w:proofErr w:type="spellEnd"/>
      <w:r w:rsidR="00EA1D00" w:rsidRPr="00106574">
        <w:rPr>
          <w:rFonts w:eastAsia="Times New Roman" w:cs="Arial"/>
        </w:rPr>
        <w:t>. (a) [enumerating required course of study for grades 1</w:t>
      </w:r>
      <w:r w:rsidR="00CA2AAF" w:rsidRPr="00106574">
        <w:rPr>
          <w:rFonts w:eastAsia="Times New Roman" w:cs="Arial"/>
        </w:rPr>
        <w:t xml:space="preserve"> </w:t>
      </w:r>
      <w:r w:rsidR="00EA1D00" w:rsidRPr="00106574">
        <w:rPr>
          <w:rFonts w:eastAsia="Times New Roman" w:cs="Arial"/>
        </w:rPr>
        <w:t>through 6], 51220 [enumerating areas of study for grades 7 through 12]; see also 56 Cal.Jur.3d Schools §§ 237 [overview of required courses of study for grades 1 through 6], 238 [overview of required courses of study for grades 7 through</w:t>
      </w:r>
      <w:r w:rsidR="00D77FCF">
        <w:rPr>
          <w:rFonts w:eastAsia="Times New Roman" w:cs="Arial"/>
        </w:rPr>
        <w:t xml:space="preserve"> </w:t>
      </w:r>
      <w:r w:rsidR="00EA1D00" w:rsidRPr="00106574">
        <w:rPr>
          <w:rFonts w:eastAsia="Times New Roman" w:cs="Arial"/>
        </w:rPr>
        <w:t>12].)</w:t>
      </w:r>
      <w:r w:rsidR="003A6CD4" w:rsidRPr="005B4AE7">
        <w:rPr>
          <w:rFonts w:eastAsia="Times New Roman" w:cs="Arial"/>
        </w:rPr>
        <w:t xml:space="preserve">  </w:t>
      </w:r>
    </w:p>
    <w:p w14:paraId="096F93AE" w14:textId="77777777" w:rsidR="00AC0D6F" w:rsidRPr="00E336A2" w:rsidRDefault="003A6CD4" w:rsidP="00864BAA">
      <w:pPr>
        <w:spacing w:line="360" w:lineRule="auto"/>
        <w:rPr>
          <w:rFonts w:cs="Times New Roman"/>
        </w:rPr>
      </w:pPr>
      <w:r>
        <w:rPr>
          <w:rFonts w:eastAsia="Times New Roman" w:cs="Arial"/>
          <w:color w:val="000000"/>
        </w:rPr>
        <w:lastRenderedPageBreak/>
        <w:tab/>
      </w:r>
      <w:r w:rsidRPr="00E336A2">
        <w:rPr>
          <w:rFonts w:eastAsia="Times New Roman" w:cs="Arial"/>
          <w:color w:val="000000"/>
        </w:rPr>
        <w:t xml:space="preserve">Nor </w:t>
      </w:r>
      <w:r w:rsidR="00FE5BCF" w:rsidRPr="00E336A2">
        <w:rPr>
          <w:rFonts w:eastAsia="Times New Roman" w:cs="Arial"/>
          <w:color w:val="000000"/>
        </w:rPr>
        <w:t xml:space="preserve">can </w:t>
      </w:r>
      <w:r w:rsidRPr="00E336A2">
        <w:rPr>
          <w:rFonts w:eastAsia="Times New Roman" w:cs="Arial"/>
          <w:color w:val="000000"/>
        </w:rPr>
        <w:t xml:space="preserve">we overlook that the </w:t>
      </w:r>
      <w:r w:rsidR="00783DA7" w:rsidRPr="00E336A2">
        <w:rPr>
          <w:rFonts w:eastAsia="Times New Roman" w:cs="Arial"/>
          <w:color w:val="000000"/>
        </w:rPr>
        <w:t xml:space="preserve">state’s </w:t>
      </w:r>
      <w:r w:rsidRPr="00E336A2">
        <w:rPr>
          <w:rFonts w:eastAsia="Times New Roman" w:cs="Arial"/>
          <w:color w:val="000000"/>
        </w:rPr>
        <w:t xml:space="preserve">public accommodation </w:t>
      </w:r>
      <w:r w:rsidR="00D11D41" w:rsidRPr="00E336A2">
        <w:rPr>
          <w:rFonts w:eastAsia="Times New Roman" w:cs="Arial"/>
          <w:color w:val="000000"/>
        </w:rPr>
        <w:t>laws</w:t>
      </w:r>
      <w:r w:rsidR="00017780" w:rsidRPr="00E336A2">
        <w:rPr>
          <w:rFonts w:eastAsia="Times New Roman" w:cs="Arial"/>
          <w:color w:val="000000"/>
        </w:rPr>
        <w:t>, the immediate predecessor</w:t>
      </w:r>
      <w:r w:rsidR="00783DA7" w:rsidRPr="00E336A2">
        <w:rPr>
          <w:rFonts w:eastAsia="Times New Roman" w:cs="Arial"/>
          <w:color w:val="000000"/>
        </w:rPr>
        <w:t>s</w:t>
      </w:r>
      <w:r w:rsidR="00017780" w:rsidRPr="00E336A2">
        <w:rPr>
          <w:rFonts w:eastAsia="Times New Roman" w:cs="Arial"/>
          <w:color w:val="000000"/>
        </w:rPr>
        <w:t xml:space="preserve"> of the Unruh Act, were </w:t>
      </w:r>
      <w:r w:rsidRPr="00E336A2">
        <w:rPr>
          <w:rFonts w:eastAsia="Times New Roman" w:cs="Arial"/>
          <w:color w:val="000000"/>
        </w:rPr>
        <w:t xml:space="preserve">enacted in </w:t>
      </w:r>
      <w:r w:rsidR="00017780" w:rsidRPr="00E336A2">
        <w:rPr>
          <w:rFonts w:eastAsia="Times New Roman" w:cs="Arial"/>
          <w:color w:val="000000"/>
        </w:rPr>
        <w:t xml:space="preserve">response to </w:t>
      </w:r>
      <w:r w:rsidRPr="00E336A2">
        <w:rPr>
          <w:rFonts w:eastAsia="Times New Roman" w:cs="Arial"/>
          <w:color w:val="000000"/>
        </w:rPr>
        <w:t xml:space="preserve">the </w:t>
      </w:r>
      <w:r w:rsidRPr="00E336A2">
        <w:rPr>
          <w:rFonts w:eastAsia="Times New Roman" w:cs="Arial"/>
          <w:i/>
          <w:iCs/>
          <w:color w:val="000000"/>
        </w:rPr>
        <w:t>Civil Rights Cases—</w:t>
      </w:r>
      <w:r w:rsidRPr="00E336A2">
        <w:rPr>
          <w:rFonts w:eastAsia="Times New Roman" w:cs="Arial"/>
          <w:color w:val="000000"/>
        </w:rPr>
        <w:t xml:space="preserve">that is, they were enacted to prohibit discriminatory conduct by </w:t>
      </w:r>
      <w:r w:rsidR="00017780" w:rsidRPr="00E336A2">
        <w:rPr>
          <w:rFonts w:eastAsia="Times New Roman" w:cs="Arial"/>
          <w:color w:val="000000"/>
        </w:rPr>
        <w:t>individual</w:t>
      </w:r>
      <w:r w:rsidR="00D04899" w:rsidRPr="00E336A2">
        <w:rPr>
          <w:rFonts w:eastAsia="Times New Roman" w:cs="Arial"/>
          <w:color w:val="000000"/>
        </w:rPr>
        <w:t xml:space="preserve"> proprietors</w:t>
      </w:r>
      <w:r w:rsidR="00017780" w:rsidRPr="00E336A2">
        <w:rPr>
          <w:rFonts w:eastAsia="Times New Roman" w:cs="Arial"/>
          <w:color w:val="000000"/>
        </w:rPr>
        <w:t xml:space="preserve"> and </w:t>
      </w:r>
      <w:r w:rsidRPr="00E336A2">
        <w:rPr>
          <w:rFonts w:eastAsia="Times New Roman" w:cs="Arial"/>
          <w:color w:val="000000"/>
        </w:rPr>
        <w:t>private ent</w:t>
      </w:r>
      <w:r w:rsidR="00073658" w:rsidRPr="00E336A2">
        <w:rPr>
          <w:rFonts w:eastAsia="Times New Roman" w:cs="Arial"/>
          <w:color w:val="000000"/>
        </w:rPr>
        <w:t>ities</w:t>
      </w:r>
      <w:r w:rsidRPr="00E336A2">
        <w:rPr>
          <w:rFonts w:eastAsia="Times New Roman" w:cs="Arial"/>
          <w:color w:val="000000"/>
        </w:rPr>
        <w:t xml:space="preserve"> offering goods and services to the general public.  Federal anti-discrimination legislation could reach </w:t>
      </w:r>
      <w:r w:rsidR="00240D42" w:rsidRPr="00E336A2">
        <w:rPr>
          <w:rFonts w:eastAsia="Times New Roman" w:cs="Arial"/>
          <w:color w:val="000000"/>
        </w:rPr>
        <w:t xml:space="preserve">state action, but it could not, according to the United States Supreme Court, reach discriminatory </w:t>
      </w:r>
      <w:r w:rsidR="008E2614" w:rsidRPr="00E336A2">
        <w:rPr>
          <w:rFonts w:eastAsia="Times New Roman" w:cs="Arial"/>
          <w:color w:val="000000"/>
        </w:rPr>
        <w:t>conduct</w:t>
      </w:r>
      <w:r w:rsidR="00240D42" w:rsidRPr="00E336A2">
        <w:rPr>
          <w:rFonts w:eastAsia="Times New Roman" w:cs="Arial"/>
          <w:color w:val="000000"/>
        </w:rPr>
        <w:t xml:space="preserve"> by private</w:t>
      </w:r>
      <w:r w:rsidR="009B6581" w:rsidRPr="00E336A2">
        <w:rPr>
          <w:rFonts w:eastAsia="Times New Roman" w:cs="Arial"/>
          <w:color w:val="000000"/>
        </w:rPr>
        <w:t xml:space="preserve"> persons</w:t>
      </w:r>
      <w:r w:rsidR="00F2509D" w:rsidRPr="00E336A2">
        <w:rPr>
          <w:rFonts w:eastAsia="Times New Roman" w:cs="Arial"/>
          <w:color w:val="000000"/>
        </w:rPr>
        <w:t xml:space="preserve"> or entities</w:t>
      </w:r>
      <w:r w:rsidR="0098397B" w:rsidRPr="00E336A2">
        <w:rPr>
          <w:rFonts w:eastAsia="Times New Roman" w:cs="Arial"/>
          <w:color w:val="000000"/>
        </w:rPr>
        <w:t>.</w:t>
      </w:r>
      <w:r w:rsidR="00017780" w:rsidRPr="00E336A2">
        <w:rPr>
          <w:rFonts w:eastAsia="Times New Roman" w:cs="Arial"/>
          <w:color w:val="000000"/>
        </w:rPr>
        <w:t xml:space="preserve">  (See Horowitz, </w:t>
      </w:r>
      <w:r w:rsidR="00017780" w:rsidRPr="00E336A2">
        <w:rPr>
          <w:rFonts w:eastAsia="Times New Roman" w:cs="Arial"/>
          <w:i/>
          <w:iCs/>
          <w:color w:val="000000"/>
        </w:rPr>
        <w:t xml:space="preserve">supra, </w:t>
      </w:r>
      <w:r w:rsidR="00017780" w:rsidRPr="00E336A2">
        <w:rPr>
          <w:rFonts w:eastAsia="Times New Roman" w:cs="Arial"/>
          <w:color w:val="000000"/>
        </w:rPr>
        <w:t xml:space="preserve">33 </w:t>
      </w:r>
      <w:proofErr w:type="spellStart"/>
      <w:r w:rsidR="00017780" w:rsidRPr="00E336A2">
        <w:rPr>
          <w:rFonts w:eastAsia="Times New Roman" w:cs="Arial"/>
          <w:color w:val="000000"/>
        </w:rPr>
        <w:t>So.Cal.L.Rev</w:t>
      </w:r>
      <w:proofErr w:type="spellEnd"/>
      <w:r w:rsidR="00017780" w:rsidRPr="00E336A2">
        <w:rPr>
          <w:rFonts w:eastAsia="Times New Roman" w:cs="Arial"/>
          <w:color w:val="000000"/>
        </w:rPr>
        <w:t>. at p. 260 [</w:t>
      </w:r>
      <w:r w:rsidR="00017780" w:rsidRPr="00E336A2">
        <w:rPr>
          <w:rFonts w:cs="Times New Roman"/>
        </w:rPr>
        <w:t>“Broadly speaking, the delineation of governmental policy with respect to racial discrimination by a private person (as distinguished from discrimination by a governmental entity, such as a state) in his relationships with other private persons is left, in the federal system, to the states.”]</w:t>
      </w:r>
      <w:r w:rsidR="00783DA7" w:rsidRPr="00E336A2">
        <w:rPr>
          <w:rFonts w:cs="Times New Roman"/>
        </w:rPr>
        <w:t>.</w:t>
      </w:r>
      <w:r w:rsidR="008E2614" w:rsidRPr="00E336A2">
        <w:rPr>
          <w:rFonts w:cs="Times New Roman"/>
        </w:rPr>
        <w:t>)</w:t>
      </w:r>
      <w:r w:rsidR="00783DA7" w:rsidRPr="00E336A2">
        <w:rPr>
          <w:rFonts w:cs="Times New Roman"/>
        </w:rPr>
        <w:t xml:space="preserve">  </w:t>
      </w:r>
    </w:p>
    <w:p w14:paraId="188130FC" w14:textId="77777777" w:rsidR="005E36AE" w:rsidRPr="00E336A2" w:rsidRDefault="00AC0D6F" w:rsidP="00864BAA">
      <w:pPr>
        <w:spacing w:line="360" w:lineRule="auto"/>
        <w:rPr>
          <w:rFonts w:eastAsia="Times New Roman" w:cs="Arial"/>
          <w:color w:val="000000"/>
        </w:rPr>
      </w:pPr>
      <w:r w:rsidRPr="00E336A2">
        <w:rPr>
          <w:rFonts w:cs="Times New Roman"/>
        </w:rPr>
        <w:tab/>
      </w:r>
      <w:r w:rsidR="00783DA7" w:rsidRPr="00E336A2">
        <w:rPr>
          <w:rFonts w:cs="Times New Roman"/>
        </w:rPr>
        <w:t xml:space="preserve">Indeed, by the time the Unruh Act was enacted, </w:t>
      </w:r>
      <w:r w:rsidR="006E3DCB" w:rsidRPr="00E336A2">
        <w:rPr>
          <w:rFonts w:cs="Times New Roman"/>
        </w:rPr>
        <w:t xml:space="preserve">the United States Supreme Court had already held racial discrimination in the public schools unconstitutional and repudiated the </w:t>
      </w:r>
      <w:r w:rsidR="00864BAA" w:rsidRPr="00E336A2">
        <w:rPr>
          <w:rFonts w:cs="Times New Roman"/>
        </w:rPr>
        <w:t xml:space="preserve">pernicious </w:t>
      </w:r>
      <w:r w:rsidR="006E3DCB" w:rsidRPr="00E336A2">
        <w:rPr>
          <w:rFonts w:cs="Times New Roman"/>
        </w:rPr>
        <w:t xml:space="preserve">notion that segregated schools </w:t>
      </w:r>
      <w:r w:rsidR="00864BAA" w:rsidRPr="00E336A2">
        <w:rPr>
          <w:rFonts w:cs="Times New Roman"/>
        </w:rPr>
        <w:t xml:space="preserve">provided a </w:t>
      </w:r>
      <w:r w:rsidR="006E3DCB" w:rsidRPr="00E336A2">
        <w:rPr>
          <w:rFonts w:cs="Times New Roman"/>
        </w:rPr>
        <w:t xml:space="preserve">separate but equal </w:t>
      </w:r>
      <w:r w:rsidR="00864BAA" w:rsidRPr="00E336A2">
        <w:rPr>
          <w:rFonts w:cs="Times New Roman"/>
        </w:rPr>
        <w:t>education.  (</w:t>
      </w:r>
      <w:r w:rsidR="00864BAA" w:rsidRPr="00E336A2">
        <w:rPr>
          <w:rFonts w:eastAsia="Times New Roman" w:cs="Arial"/>
          <w:i/>
          <w:iCs/>
          <w:color w:val="000000"/>
        </w:rPr>
        <w:t>Brown</w:t>
      </w:r>
      <w:r w:rsidR="00726003" w:rsidRPr="00E336A2">
        <w:rPr>
          <w:rFonts w:eastAsia="Times New Roman" w:cs="Arial"/>
          <w:i/>
          <w:iCs/>
          <w:color w:val="000000"/>
        </w:rPr>
        <w:t xml:space="preserve">, supra, </w:t>
      </w:r>
      <w:r w:rsidR="00864BAA" w:rsidRPr="00E336A2">
        <w:rPr>
          <w:rFonts w:eastAsia="Times New Roman" w:cs="Arial"/>
          <w:color w:val="000000"/>
        </w:rPr>
        <w:t xml:space="preserve">347 U.S. </w:t>
      </w:r>
      <w:r w:rsidR="00726003" w:rsidRPr="00E336A2">
        <w:rPr>
          <w:rFonts w:eastAsia="Times New Roman" w:cs="Arial"/>
          <w:color w:val="000000"/>
        </w:rPr>
        <w:t xml:space="preserve">at p. </w:t>
      </w:r>
      <w:r w:rsidR="00864BAA" w:rsidRPr="00E336A2">
        <w:rPr>
          <w:rFonts w:eastAsia="Times New Roman" w:cs="Arial"/>
          <w:color w:val="000000"/>
        </w:rPr>
        <w:t>495.)  Thus, while there was a pressing need for state legislation to prohibit discrimination by private schools</w:t>
      </w:r>
      <w:r w:rsidR="00F2509D" w:rsidRPr="00E336A2">
        <w:rPr>
          <w:rFonts w:eastAsia="Times New Roman" w:cs="Arial"/>
          <w:color w:val="000000"/>
        </w:rPr>
        <w:t xml:space="preserve">, </w:t>
      </w:r>
      <w:r w:rsidR="00864BAA" w:rsidRPr="00E336A2">
        <w:rPr>
          <w:rFonts w:eastAsia="Times New Roman" w:cs="Arial"/>
          <w:color w:val="000000"/>
        </w:rPr>
        <w:t>and particularly vocational and technical schools</w:t>
      </w:r>
      <w:r w:rsidR="00726003" w:rsidRPr="00E336A2">
        <w:rPr>
          <w:rFonts w:eastAsia="Times New Roman" w:cs="Arial"/>
          <w:color w:val="000000"/>
        </w:rPr>
        <w:t xml:space="preserve"> that offered a path to employment, </w:t>
      </w:r>
      <w:r w:rsidR="00864BAA" w:rsidRPr="00E336A2">
        <w:rPr>
          <w:rFonts w:eastAsia="Times New Roman" w:cs="Arial"/>
          <w:color w:val="000000"/>
        </w:rPr>
        <w:t>charged tuition</w:t>
      </w:r>
      <w:r w:rsidR="00726003" w:rsidRPr="00E336A2">
        <w:rPr>
          <w:rFonts w:eastAsia="Times New Roman" w:cs="Arial"/>
          <w:color w:val="000000"/>
        </w:rPr>
        <w:t>,</w:t>
      </w:r>
      <w:r w:rsidR="00864BAA" w:rsidRPr="00E336A2">
        <w:rPr>
          <w:rFonts w:eastAsia="Times New Roman" w:cs="Arial"/>
          <w:color w:val="000000"/>
        </w:rPr>
        <w:t xml:space="preserve"> and offered </w:t>
      </w:r>
      <w:r w:rsidR="00CF3024" w:rsidRPr="00E336A2">
        <w:rPr>
          <w:rFonts w:eastAsia="Times New Roman" w:cs="Arial"/>
          <w:color w:val="000000"/>
        </w:rPr>
        <w:t>their services to the general public</w:t>
      </w:r>
      <w:r w:rsidR="00D11D41" w:rsidRPr="00E336A2">
        <w:rPr>
          <w:rFonts w:eastAsia="Times New Roman" w:cs="Arial"/>
          <w:color w:val="000000"/>
        </w:rPr>
        <w:t>,</w:t>
      </w:r>
      <w:r w:rsidR="00CF3024" w:rsidRPr="00E336A2">
        <w:rPr>
          <w:rFonts w:eastAsia="Times New Roman" w:cs="Arial"/>
          <w:color w:val="000000"/>
        </w:rPr>
        <w:t xml:space="preserve"> there was not a correlative need with respect to state </w:t>
      </w:r>
      <w:r w:rsidR="00F2509D" w:rsidRPr="00E336A2">
        <w:rPr>
          <w:rFonts w:eastAsia="Times New Roman" w:cs="Arial"/>
          <w:color w:val="000000"/>
        </w:rPr>
        <w:t xml:space="preserve">public </w:t>
      </w:r>
      <w:r w:rsidR="00CF3024" w:rsidRPr="00E336A2">
        <w:rPr>
          <w:rFonts w:eastAsia="Times New Roman" w:cs="Arial"/>
          <w:color w:val="000000"/>
        </w:rPr>
        <w:t>school systems.</w:t>
      </w:r>
      <w:r w:rsidR="00F2509D" w:rsidRPr="00E336A2">
        <w:rPr>
          <w:rStyle w:val="FootnoteReference"/>
          <w:rFonts w:eastAsia="Times New Roman" w:cs="Arial"/>
          <w:color w:val="000000"/>
        </w:rPr>
        <w:footnoteReference w:id="7"/>
      </w:r>
      <w:r w:rsidR="00CF3024" w:rsidRPr="00E336A2">
        <w:rPr>
          <w:rFonts w:eastAsia="Times New Roman" w:cs="Arial"/>
          <w:color w:val="000000"/>
        </w:rPr>
        <w:t xml:space="preserve"> </w:t>
      </w:r>
    </w:p>
    <w:p w14:paraId="2F4104EC" w14:textId="77777777" w:rsidR="008E2614" w:rsidRPr="00E336A2" w:rsidRDefault="005E36AE" w:rsidP="00017780">
      <w:pPr>
        <w:spacing w:line="360" w:lineRule="auto"/>
        <w:rPr>
          <w:rFonts w:eastAsia="Times New Roman" w:cs="Arial"/>
          <w:color w:val="000000"/>
        </w:rPr>
      </w:pPr>
      <w:r w:rsidRPr="00E336A2">
        <w:rPr>
          <w:rFonts w:eastAsia="Times New Roman" w:cs="Arial"/>
          <w:color w:val="000000"/>
        </w:rPr>
        <w:tab/>
        <w:t>We also observe that</w:t>
      </w:r>
      <w:r w:rsidR="00CF3024" w:rsidRPr="00E336A2">
        <w:rPr>
          <w:rFonts w:eastAsia="Times New Roman" w:cs="Arial"/>
          <w:color w:val="000000"/>
        </w:rPr>
        <w:t xml:space="preserve"> </w:t>
      </w:r>
      <w:r w:rsidR="008E2614" w:rsidRPr="00E336A2">
        <w:rPr>
          <w:rFonts w:eastAsia="Times New Roman" w:cs="Arial"/>
          <w:color w:val="000000"/>
        </w:rPr>
        <w:t>the only</w:t>
      </w:r>
      <w:r w:rsidR="008E2614" w:rsidRPr="00E336A2">
        <w:rPr>
          <w:rFonts w:eastAsia="Times New Roman" w:cs="Arial"/>
          <w:i/>
          <w:iCs/>
          <w:color w:val="000000"/>
        </w:rPr>
        <w:t xml:space="preserve"> </w:t>
      </w:r>
      <w:r w:rsidR="005076EC" w:rsidRPr="00E336A2">
        <w:rPr>
          <w:rFonts w:eastAsia="Times New Roman" w:cs="Arial"/>
          <w:color w:val="000000"/>
        </w:rPr>
        <w:t xml:space="preserve">specific </w:t>
      </w:r>
      <w:r w:rsidR="008E2614" w:rsidRPr="00E336A2">
        <w:rPr>
          <w:rFonts w:eastAsia="Times New Roman" w:cs="Arial"/>
          <w:color w:val="000000"/>
        </w:rPr>
        <w:t>reference</w:t>
      </w:r>
      <w:r w:rsidRPr="00E336A2">
        <w:rPr>
          <w:rFonts w:eastAsia="Times New Roman" w:cs="Arial"/>
          <w:color w:val="000000"/>
        </w:rPr>
        <w:t>s</w:t>
      </w:r>
      <w:r w:rsidR="008E2614" w:rsidRPr="00E336A2">
        <w:rPr>
          <w:rFonts w:eastAsia="Times New Roman" w:cs="Arial"/>
          <w:color w:val="000000"/>
        </w:rPr>
        <w:t xml:space="preserve"> to </w:t>
      </w:r>
      <w:r w:rsidR="00D04899" w:rsidRPr="00E336A2">
        <w:rPr>
          <w:rFonts w:eastAsia="Times New Roman" w:cs="Arial"/>
          <w:color w:val="000000"/>
        </w:rPr>
        <w:t>government</w:t>
      </w:r>
      <w:r w:rsidR="00CF3024" w:rsidRPr="00E336A2">
        <w:rPr>
          <w:rFonts w:eastAsia="Times New Roman" w:cs="Arial"/>
          <w:color w:val="000000"/>
        </w:rPr>
        <w:t xml:space="preserve"> entit</w:t>
      </w:r>
      <w:r w:rsidR="00D6027B" w:rsidRPr="00E336A2">
        <w:rPr>
          <w:rFonts w:eastAsia="Times New Roman" w:cs="Arial"/>
          <w:color w:val="000000"/>
        </w:rPr>
        <w:t>ies</w:t>
      </w:r>
      <w:r w:rsidR="00CF3024" w:rsidRPr="00E336A2">
        <w:rPr>
          <w:rFonts w:eastAsia="Times New Roman" w:cs="Arial"/>
          <w:color w:val="000000"/>
        </w:rPr>
        <w:t xml:space="preserve"> in any version of the legislation served to describe </w:t>
      </w:r>
      <w:r w:rsidR="006D2DBB" w:rsidRPr="00E336A2">
        <w:rPr>
          <w:rFonts w:eastAsia="Times New Roman" w:cs="Arial"/>
          <w:i/>
          <w:iCs/>
          <w:color w:val="000000"/>
        </w:rPr>
        <w:t>other</w:t>
      </w:r>
      <w:r w:rsidR="006D2DBB" w:rsidRPr="00E336A2">
        <w:rPr>
          <w:rFonts w:eastAsia="Times New Roman" w:cs="Arial"/>
          <w:color w:val="000000"/>
        </w:rPr>
        <w:t xml:space="preserve"> enumerated </w:t>
      </w:r>
      <w:r w:rsidR="00073658" w:rsidRPr="00E336A2">
        <w:rPr>
          <w:rFonts w:eastAsia="Times New Roman" w:cs="Arial"/>
          <w:color w:val="000000"/>
        </w:rPr>
        <w:t xml:space="preserve">private </w:t>
      </w:r>
      <w:r w:rsidR="006D2DBB" w:rsidRPr="00E336A2">
        <w:rPr>
          <w:rFonts w:eastAsia="Times New Roman" w:cs="Arial"/>
          <w:color w:val="000000"/>
        </w:rPr>
        <w:lastRenderedPageBreak/>
        <w:t>entities and organizations</w:t>
      </w:r>
      <w:r w:rsidR="000239F4" w:rsidRPr="00E336A2">
        <w:rPr>
          <w:rFonts w:eastAsia="Times New Roman" w:cs="Arial"/>
          <w:color w:val="000000"/>
        </w:rPr>
        <w:t xml:space="preserve"> </w:t>
      </w:r>
      <w:r w:rsidR="00AC0D6F" w:rsidRPr="00E336A2">
        <w:rPr>
          <w:rFonts w:eastAsia="Times New Roman" w:cs="Arial"/>
          <w:color w:val="000000"/>
        </w:rPr>
        <w:t xml:space="preserve">that </w:t>
      </w:r>
      <w:r w:rsidR="002C4913" w:rsidRPr="00E336A2">
        <w:rPr>
          <w:rFonts w:eastAsia="Times New Roman" w:cs="Arial"/>
          <w:color w:val="000000"/>
        </w:rPr>
        <w:t>w</w:t>
      </w:r>
      <w:r w:rsidR="00AC0D6F" w:rsidRPr="00E336A2">
        <w:rPr>
          <w:rFonts w:eastAsia="Times New Roman" w:cs="Arial"/>
          <w:color w:val="000000"/>
        </w:rPr>
        <w:t xml:space="preserve">ould be </w:t>
      </w:r>
      <w:r w:rsidR="006D2DBB" w:rsidRPr="00E336A2">
        <w:rPr>
          <w:rFonts w:eastAsia="Times New Roman" w:cs="Arial"/>
          <w:color w:val="000000"/>
        </w:rPr>
        <w:t xml:space="preserve">required </w:t>
      </w:r>
      <w:r w:rsidR="000239F4" w:rsidRPr="00E336A2">
        <w:rPr>
          <w:rFonts w:eastAsia="Times New Roman" w:cs="Arial"/>
          <w:color w:val="000000"/>
        </w:rPr>
        <w:t xml:space="preserve">by the law </w:t>
      </w:r>
      <w:r w:rsidR="006D2DBB" w:rsidRPr="00E336A2">
        <w:rPr>
          <w:rFonts w:eastAsia="Times New Roman" w:cs="Arial"/>
          <w:color w:val="000000"/>
        </w:rPr>
        <w:t xml:space="preserve">to provide </w:t>
      </w:r>
      <w:r w:rsidR="008E2614" w:rsidRPr="00E336A2">
        <w:rPr>
          <w:rFonts w:eastAsia="Times New Roman" w:cs="Arial"/>
          <w:color w:val="000000"/>
        </w:rPr>
        <w:t>“</w:t>
      </w:r>
      <w:r w:rsidR="002473B5" w:rsidRPr="00E336A2">
        <w:rPr>
          <w:rFonts w:eastAsia="Times New Roman" w:cs="Arial"/>
          <w:color w:val="000000"/>
        </w:rPr>
        <w:t xml:space="preserve"> ‘</w:t>
      </w:r>
      <w:r w:rsidR="008E2614" w:rsidRPr="00E336A2">
        <w:rPr>
          <w:rFonts w:eastAsia="Times New Roman" w:cs="Arial"/>
          <w:color w:val="000000"/>
        </w:rPr>
        <w:t>full and equal admittance, accommodations, advantages, facilities, membership, privileges, services or benefits</w:t>
      </w:r>
      <w:r w:rsidR="002473B5" w:rsidRPr="00E336A2">
        <w:rPr>
          <w:rFonts w:eastAsia="Times New Roman" w:cs="Arial"/>
          <w:color w:val="000000"/>
        </w:rPr>
        <w:t xml:space="preserve">’ </w:t>
      </w:r>
      <w:r w:rsidR="008E2614" w:rsidRPr="00E336A2">
        <w:rPr>
          <w:rFonts w:eastAsia="Times New Roman" w:cs="Arial"/>
          <w:color w:val="000000"/>
        </w:rPr>
        <w:t xml:space="preserve">” to </w:t>
      </w:r>
      <w:r w:rsidR="006D2DBB" w:rsidRPr="00E336A2">
        <w:rPr>
          <w:rFonts w:eastAsia="Times New Roman" w:cs="Arial"/>
          <w:color w:val="000000"/>
        </w:rPr>
        <w:t xml:space="preserve">the </w:t>
      </w:r>
      <w:r w:rsidR="008E2614" w:rsidRPr="00E336A2">
        <w:rPr>
          <w:rFonts w:eastAsia="Times New Roman" w:cs="Arial"/>
          <w:color w:val="000000"/>
        </w:rPr>
        <w:t>state</w:t>
      </w:r>
      <w:r w:rsidR="006D2DBB" w:rsidRPr="00E336A2">
        <w:rPr>
          <w:rFonts w:eastAsia="Times New Roman" w:cs="Arial"/>
          <w:color w:val="000000"/>
        </w:rPr>
        <w:t>’s</w:t>
      </w:r>
      <w:r w:rsidR="008E2614" w:rsidRPr="00E336A2">
        <w:rPr>
          <w:rFonts w:eastAsia="Times New Roman" w:cs="Arial"/>
          <w:color w:val="000000"/>
        </w:rPr>
        <w:t xml:space="preserve"> citizens</w:t>
      </w:r>
      <w:r w:rsidR="006D2DBB" w:rsidRPr="00E336A2">
        <w:rPr>
          <w:rFonts w:eastAsia="Times New Roman" w:cs="Arial"/>
          <w:color w:val="000000"/>
        </w:rPr>
        <w:t xml:space="preserve">.  </w:t>
      </w:r>
      <w:bookmarkStart w:id="0" w:name="_Hlk53560065"/>
      <w:r w:rsidR="006D2DBB" w:rsidRPr="00E336A2">
        <w:rPr>
          <w:rFonts w:eastAsia="Times New Roman" w:cs="Arial"/>
          <w:color w:val="000000"/>
        </w:rPr>
        <w:t>(</w:t>
      </w:r>
      <w:r w:rsidR="002473B5" w:rsidRPr="00E336A2">
        <w:rPr>
          <w:rFonts w:eastAsia="Times New Roman" w:cs="Arial"/>
          <w:color w:val="000000"/>
        </w:rPr>
        <w:t xml:space="preserve">Horowitz, </w:t>
      </w:r>
      <w:r w:rsidR="002473B5" w:rsidRPr="00E336A2">
        <w:rPr>
          <w:rFonts w:eastAsia="Times New Roman" w:cs="Arial"/>
          <w:i/>
          <w:iCs/>
          <w:color w:val="000000"/>
        </w:rPr>
        <w:t xml:space="preserve">supra, </w:t>
      </w:r>
      <w:r w:rsidR="002473B5" w:rsidRPr="00E336A2">
        <w:rPr>
          <w:rFonts w:eastAsia="Times New Roman" w:cs="Arial"/>
          <w:color w:val="000000"/>
        </w:rPr>
        <w:t>33</w:t>
      </w:r>
      <w:r w:rsidR="00106574">
        <w:rPr>
          <w:rFonts w:eastAsia="Times New Roman" w:cs="Arial"/>
          <w:color w:val="000000"/>
        </w:rPr>
        <w:t> </w:t>
      </w:r>
      <w:proofErr w:type="spellStart"/>
      <w:r w:rsidR="002473B5" w:rsidRPr="00E336A2">
        <w:rPr>
          <w:rFonts w:eastAsia="Times New Roman" w:cs="Arial"/>
          <w:color w:val="000000"/>
        </w:rPr>
        <w:t>So.Cal.L.Rev</w:t>
      </w:r>
      <w:proofErr w:type="spellEnd"/>
      <w:r w:rsidR="002473B5" w:rsidRPr="00E336A2">
        <w:rPr>
          <w:rFonts w:eastAsia="Times New Roman" w:cs="Arial"/>
          <w:color w:val="000000"/>
        </w:rPr>
        <w:t xml:space="preserve">. at </w:t>
      </w:r>
      <w:r w:rsidR="00C45169">
        <w:rPr>
          <w:rFonts w:eastAsia="Times New Roman" w:cs="Arial"/>
          <w:color w:val="000000"/>
        </w:rPr>
        <w:t>p</w:t>
      </w:r>
      <w:r w:rsidR="002473B5" w:rsidRPr="00E336A2">
        <w:rPr>
          <w:rFonts w:eastAsia="Times New Roman" w:cs="Arial"/>
          <w:color w:val="000000"/>
        </w:rPr>
        <w:t>p. 266</w:t>
      </w:r>
      <w:r w:rsidR="00C45169" w:rsidRPr="00E336A2">
        <w:rPr>
          <w:rFonts w:eastAsia="Times New Roman" w:cs="Arial"/>
          <w:color w:val="000000"/>
        </w:rPr>
        <w:t>–</w:t>
      </w:r>
      <w:r w:rsidR="002473B5" w:rsidRPr="00E336A2">
        <w:rPr>
          <w:rFonts w:eastAsia="Times New Roman" w:cs="Arial"/>
          <w:color w:val="000000"/>
        </w:rPr>
        <w:t xml:space="preserve">267, fn. 33, </w:t>
      </w:r>
      <w:bookmarkEnd w:id="0"/>
      <w:r w:rsidR="002473B5" w:rsidRPr="00E336A2">
        <w:rPr>
          <w:rFonts w:eastAsia="Times New Roman" w:cs="Arial"/>
          <w:color w:val="000000"/>
        </w:rPr>
        <w:t>italics omitted</w:t>
      </w:r>
      <w:bookmarkStart w:id="1" w:name="_Hlk53560074"/>
      <w:r w:rsidR="002473B5" w:rsidRPr="00E336A2">
        <w:rPr>
          <w:rFonts w:eastAsia="Times New Roman" w:cs="Arial"/>
          <w:color w:val="000000"/>
        </w:rPr>
        <w:t xml:space="preserve">.)  </w:t>
      </w:r>
      <w:r w:rsidR="008E2614" w:rsidRPr="00E336A2">
        <w:rPr>
          <w:rFonts w:eastAsia="Times New Roman" w:cs="Arial"/>
          <w:color w:val="000000"/>
        </w:rPr>
        <w:t xml:space="preserve">The first </w:t>
      </w:r>
      <w:r w:rsidR="002C4913" w:rsidRPr="00E336A2">
        <w:rPr>
          <w:rFonts w:eastAsia="Times New Roman" w:cs="Arial"/>
          <w:color w:val="000000"/>
        </w:rPr>
        <w:t xml:space="preserve">such </w:t>
      </w:r>
      <w:r w:rsidR="008E2614" w:rsidRPr="00E336A2">
        <w:rPr>
          <w:rFonts w:eastAsia="Times New Roman" w:cs="Arial"/>
          <w:color w:val="000000"/>
        </w:rPr>
        <w:t xml:space="preserve">reference was </w:t>
      </w:r>
      <w:r w:rsidR="006D2DBB" w:rsidRPr="00E336A2">
        <w:rPr>
          <w:rFonts w:eastAsia="Times New Roman" w:cs="Arial"/>
          <w:color w:val="000000"/>
        </w:rPr>
        <w:t>in connection with “</w:t>
      </w:r>
      <w:r w:rsidR="002473B5" w:rsidRPr="00E336A2">
        <w:rPr>
          <w:rFonts w:eastAsia="Times New Roman" w:cs="Arial"/>
          <w:color w:val="000000"/>
        </w:rPr>
        <w:t xml:space="preserve"> ‘</w:t>
      </w:r>
      <w:r w:rsidR="006D2DBB" w:rsidRPr="00E336A2">
        <w:rPr>
          <w:rFonts w:eastAsia="Times New Roman" w:cs="Arial"/>
          <w:color w:val="000000"/>
        </w:rPr>
        <w:t xml:space="preserve">the benefits administered or offered by any organization </w:t>
      </w:r>
      <w:r w:rsidR="008E2614" w:rsidRPr="00E336A2">
        <w:rPr>
          <w:rFonts w:eastAsia="Times New Roman" w:cs="Arial"/>
          <w:color w:val="000000"/>
        </w:rPr>
        <w:t>or institution</w:t>
      </w:r>
      <w:r w:rsidR="002473B5" w:rsidRPr="00E336A2">
        <w:rPr>
          <w:rFonts w:eastAsia="Times New Roman" w:cs="Arial"/>
          <w:color w:val="000000"/>
        </w:rPr>
        <w:t xml:space="preserve">’ </w:t>
      </w:r>
      <w:r w:rsidR="008E2614" w:rsidRPr="00E336A2">
        <w:rPr>
          <w:rFonts w:eastAsia="Times New Roman" w:cs="Arial"/>
          <w:color w:val="000000"/>
        </w:rPr>
        <w:t xml:space="preserve">” that claimed </w:t>
      </w:r>
      <w:r w:rsidR="006D2DBB" w:rsidRPr="00E336A2">
        <w:rPr>
          <w:rFonts w:eastAsia="Times New Roman" w:cs="Arial"/>
          <w:color w:val="000000"/>
        </w:rPr>
        <w:t xml:space="preserve">any </w:t>
      </w:r>
      <w:r w:rsidR="008E2614" w:rsidRPr="00E336A2">
        <w:rPr>
          <w:rFonts w:eastAsia="Times New Roman" w:cs="Arial"/>
          <w:color w:val="000000"/>
        </w:rPr>
        <w:t xml:space="preserve">tax advantage or received </w:t>
      </w:r>
      <w:r w:rsidR="006D2DBB" w:rsidRPr="00E336A2">
        <w:rPr>
          <w:rFonts w:eastAsia="Times New Roman" w:cs="Arial"/>
          <w:color w:val="000000"/>
        </w:rPr>
        <w:t xml:space="preserve">any form of </w:t>
      </w:r>
      <w:r w:rsidR="008E2614" w:rsidRPr="00E336A2">
        <w:rPr>
          <w:rFonts w:eastAsia="Times New Roman" w:cs="Arial"/>
          <w:color w:val="000000"/>
        </w:rPr>
        <w:t>assistance provided by “</w:t>
      </w:r>
      <w:r w:rsidR="002473B5" w:rsidRPr="00E336A2">
        <w:rPr>
          <w:rFonts w:eastAsia="Times New Roman" w:cs="Arial"/>
          <w:color w:val="000000"/>
        </w:rPr>
        <w:t xml:space="preserve"> ‘</w:t>
      </w:r>
      <w:r w:rsidR="008E2614" w:rsidRPr="00E336A2">
        <w:rPr>
          <w:rFonts w:eastAsia="Times New Roman" w:cs="Arial"/>
          <w:color w:val="000000"/>
        </w:rPr>
        <w:t>the Federal Government, or the State of California, or any municipality or any political subdivision of either.</w:t>
      </w:r>
      <w:r w:rsidR="002473B5" w:rsidRPr="00E336A2">
        <w:rPr>
          <w:rFonts w:eastAsia="Times New Roman" w:cs="Arial"/>
          <w:color w:val="000000"/>
        </w:rPr>
        <w:t xml:space="preserve">’ </w:t>
      </w:r>
      <w:r w:rsidR="008E2614" w:rsidRPr="00E336A2">
        <w:rPr>
          <w:rFonts w:eastAsia="Times New Roman" w:cs="Arial"/>
          <w:color w:val="000000"/>
        </w:rPr>
        <w:t xml:space="preserve">”  </w:t>
      </w:r>
      <w:bookmarkEnd w:id="1"/>
      <w:r w:rsidR="008E2614" w:rsidRPr="00E336A2">
        <w:rPr>
          <w:rFonts w:eastAsia="Times New Roman" w:cs="Arial"/>
          <w:color w:val="000000"/>
        </w:rPr>
        <w:t>(</w:t>
      </w:r>
      <w:r w:rsidR="002473B5" w:rsidRPr="00E336A2">
        <w:rPr>
          <w:rFonts w:eastAsia="Times New Roman" w:cs="Arial"/>
          <w:i/>
          <w:iCs/>
          <w:color w:val="000000"/>
        </w:rPr>
        <w:t>Id.</w:t>
      </w:r>
      <w:r w:rsidR="002473B5" w:rsidRPr="00E336A2">
        <w:rPr>
          <w:rFonts w:eastAsia="Times New Roman" w:cs="Arial"/>
          <w:color w:val="000000"/>
        </w:rPr>
        <w:t xml:space="preserve"> at p. 267</w:t>
      </w:r>
      <w:r w:rsidR="0008269C" w:rsidRPr="00E336A2">
        <w:rPr>
          <w:rFonts w:eastAsia="Times New Roman" w:cs="Arial"/>
          <w:color w:val="000000"/>
        </w:rPr>
        <w:t xml:space="preserve"> &amp; fn. 33, italics omitted</w:t>
      </w:r>
      <w:r w:rsidR="002473B5" w:rsidRPr="00E336A2">
        <w:rPr>
          <w:rFonts w:eastAsia="Times New Roman" w:cs="Arial"/>
          <w:color w:val="000000"/>
        </w:rPr>
        <w:t xml:space="preserve">.)  </w:t>
      </w:r>
      <w:r w:rsidR="008E2614" w:rsidRPr="00E336A2">
        <w:rPr>
          <w:rFonts w:eastAsia="Times New Roman" w:cs="Arial"/>
          <w:color w:val="000000"/>
        </w:rPr>
        <w:t>The second was to “</w:t>
      </w:r>
      <w:r w:rsidR="002473B5" w:rsidRPr="00E336A2">
        <w:rPr>
          <w:rFonts w:eastAsia="Times New Roman" w:cs="Arial"/>
          <w:color w:val="000000"/>
        </w:rPr>
        <w:t xml:space="preserve"> ‘</w:t>
      </w:r>
      <w:r w:rsidR="008E2614" w:rsidRPr="00E336A2">
        <w:rPr>
          <w:rFonts w:eastAsia="Times New Roman" w:cs="Arial"/>
          <w:color w:val="000000"/>
        </w:rPr>
        <w:t>the services of any professional person, group or association</w:t>
      </w:r>
      <w:r w:rsidR="006D2DBB" w:rsidRPr="00E336A2">
        <w:rPr>
          <w:rFonts w:eastAsia="Times New Roman" w:cs="Arial"/>
          <w:color w:val="000000"/>
        </w:rPr>
        <w:t xml:space="preserve"> </w:t>
      </w:r>
      <w:r w:rsidR="008E2614" w:rsidRPr="00E336A2">
        <w:rPr>
          <w:rFonts w:eastAsia="Times New Roman" w:cs="Arial"/>
          <w:color w:val="000000"/>
        </w:rPr>
        <w:t xml:space="preserve">licensed </w:t>
      </w:r>
      <w:r w:rsidR="002473B5" w:rsidRPr="00E336A2">
        <w:rPr>
          <w:rFonts w:eastAsia="Times New Roman" w:cs="Arial"/>
          <w:color w:val="000000"/>
        </w:rPr>
        <w:t xml:space="preserve">or certified </w:t>
      </w:r>
      <w:r w:rsidR="008E2614" w:rsidRPr="00E336A2">
        <w:rPr>
          <w:rFonts w:eastAsia="Times New Roman" w:cs="Arial"/>
          <w:color w:val="000000"/>
        </w:rPr>
        <w:t>by the State of California, any municipality or political subdivision or agency of either.</w:t>
      </w:r>
      <w:r w:rsidR="002473B5" w:rsidRPr="00E336A2">
        <w:rPr>
          <w:rFonts w:eastAsia="Times New Roman" w:cs="Arial"/>
          <w:color w:val="000000"/>
        </w:rPr>
        <w:t xml:space="preserve">’ </w:t>
      </w:r>
      <w:r w:rsidR="008E2614" w:rsidRPr="00E336A2">
        <w:rPr>
          <w:rFonts w:eastAsia="Times New Roman" w:cs="Arial"/>
          <w:color w:val="000000"/>
        </w:rPr>
        <w:t>”  (</w:t>
      </w:r>
      <w:r w:rsidR="002473B5" w:rsidRPr="00E336A2">
        <w:rPr>
          <w:rFonts w:eastAsia="Times New Roman" w:cs="Arial"/>
          <w:i/>
          <w:iCs/>
          <w:color w:val="000000"/>
        </w:rPr>
        <w:t>I</w:t>
      </w:r>
      <w:r w:rsidR="0008269C" w:rsidRPr="00E336A2">
        <w:rPr>
          <w:rFonts w:eastAsia="Times New Roman" w:cs="Arial"/>
          <w:i/>
          <w:iCs/>
          <w:color w:val="000000"/>
        </w:rPr>
        <w:t>bid.</w:t>
      </w:r>
      <w:r w:rsidR="002473B5" w:rsidRPr="00E336A2">
        <w:rPr>
          <w:rFonts w:eastAsia="Times New Roman" w:cs="Arial"/>
          <w:color w:val="000000"/>
        </w:rPr>
        <w:t>, italics omitted</w:t>
      </w:r>
      <w:r w:rsidR="006D2DBB" w:rsidRPr="00E336A2">
        <w:rPr>
          <w:rFonts w:eastAsia="Times New Roman" w:cs="Arial"/>
          <w:color w:val="000000"/>
        </w:rPr>
        <w:t>.)</w:t>
      </w:r>
      <w:r w:rsidR="008E2614" w:rsidRPr="00E336A2">
        <w:rPr>
          <w:rFonts w:eastAsia="Times New Roman" w:cs="Arial"/>
          <w:color w:val="000000"/>
        </w:rPr>
        <w:t xml:space="preserve">  In short, the </w:t>
      </w:r>
      <w:r w:rsidR="00D04899" w:rsidRPr="00E336A2">
        <w:rPr>
          <w:rFonts w:eastAsia="Times New Roman" w:cs="Arial"/>
          <w:color w:val="000000"/>
        </w:rPr>
        <w:t xml:space="preserve">pending </w:t>
      </w:r>
      <w:r w:rsidR="00073658" w:rsidRPr="00E336A2">
        <w:rPr>
          <w:rFonts w:eastAsia="Times New Roman" w:cs="Arial"/>
          <w:color w:val="000000"/>
        </w:rPr>
        <w:t>legislation</w:t>
      </w:r>
      <w:r w:rsidR="00D04899" w:rsidRPr="00E336A2">
        <w:rPr>
          <w:rFonts w:eastAsia="Times New Roman" w:cs="Arial"/>
          <w:color w:val="000000"/>
        </w:rPr>
        <w:t xml:space="preserve">, at certain points, described </w:t>
      </w:r>
      <w:r w:rsidR="00D6027B" w:rsidRPr="00E336A2">
        <w:rPr>
          <w:rFonts w:eastAsia="Times New Roman" w:cs="Arial"/>
          <w:color w:val="000000"/>
        </w:rPr>
        <w:t xml:space="preserve">individuals and </w:t>
      </w:r>
      <w:r w:rsidR="00D27385" w:rsidRPr="00E336A2">
        <w:rPr>
          <w:rFonts w:eastAsia="Times New Roman" w:cs="Arial"/>
          <w:color w:val="000000"/>
        </w:rPr>
        <w:t>nongovernment</w:t>
      </w:r>
      <w:r w:rsidR="00106574">
        <w:rPr>
          <w:rFonts w:eastAsia="Times New Roman" w:cs="Arial"/>
          <w:color w:val="000000"/>
        </w:rPr>
        <w:t xml:space="preserve"> entities</w:t>
      </w:r>
      <w:r w:rsidR="00D27385" w:rsidRPr="00E336A2">
        <w:rPr>
          <w:rFonts w:eastAsia="Times New Roman" w:cs="Arial"/>
          <w:color w:val="000000"/>
        </w:rPr>
        <w:t xml:space="preserve"> </w:t>
      </w:r>
      <w:r w:rsidR="008E2614" w:rsidRPr="00E336A2">
        <w:rPr>
          <w:rFonts w:eastAsia="Times New Roman" w:cs="Arial"/>
          <w:color w:val="000000"/>
        </w:rPr>
        <w:t xml:space="preserve">availing themselves of federal </w:t>
      </w:r>
      <w:r w:rsidR="00B739AA" w:rsidRPr="00E336A2">
        <w:rPr>
          <w:rFonts w:eastAsia="Times New Roman" w:cs="Arial"/>
          <w:color w:val="000000"/>
        </w:rPr>
        <w:t xml:space="preserve">or state </w:t>
      </w:r>
      <w:r w:rsidR="008E2614" w:rsidRPr="00E336A2">
        <w:rPr>
          <w:rFonts w:eastAsia="Times New Roman" w:cs="Arial"/>
          <w:color w:val="000000"/>
        </w:rPr>
        <w:t>tax advantages</w:t>
      </w:r>
      <w:r w:rsidR="001542DF" w:rsidRPr="00E336A2">
        <w:rPr>
          <w:rFonts w:eastAsia="Times New Roman" w:cs="Arial"/>
          <w:color w:val="000000"/>
        </w:rPr>
        <w:t xml:space="preserve"> or</w:t>
      </w:r>
      <w:r w:rsidR="008E2614" w:rsidRPr="00E336A2">
        <w:rPr>
          <w:rFonts w:eastAsia="Times New Roman" w:cs="Arial"/>
          <w:color w:val="000000"/>
        </w:rPr>
        <w:t xml:space="preserve"> economic assistance, </w:t>
      </w:r>
      <w:r w:rsidR="00AC0D6F" w:rsidRPr="00E336A2">
        <w:rPr>
          <w:rFonts w:eastAsia="Times New Roman" w:cs="Arial"/>
          <w:color w:val="000000"/>
        </w:rPr>
        <w:t>or</w:t>
      </w:r>
      <w:r w:rsidR="00073658" w:rsidRPr="00E336A2">
        <w:rPr>
          <w:rFonts w:eastAsia="Times New Roman" w:cs="Arial"/>
          <w:color w:val="000000"/>
        </w:rPr>
        <w:t xml:space="preserve"> </w:t>
      </w:r>
      <w:r w:rsidR="001542DF" w:rsidRPr="00E336A2">
        <w:rPr>
          <w:rFonts w:eastAsia="Times New Roman" w:cs="Arial"/>
          <w:color w:val="000000"/>
        </w:rPr>
        <w:t xml:space="preserve">the benefits </w:t>
      </w:r>
      <w:r w:rsidR="00D27385" w:rsidRPr="00E336A2">
        <w:rPr>
          <w:rFonts w:eastAsia="Times New Roman" w:cs="Arial"/>
          <w:color w:val="000000"/>
        </w:rPr>
        <w:t xml:space="preserve">conferred by </w:t>
      </w:r>
      <w:r w:rsidR="001542DF" w:rsidRPr="00E336A2">
        <w:rPr>
          <w:rFonts w:eastAsia="Times New Roman" w:cs="Arial"/>
          <w:color w:val="000000"/>
        </w:rPr>
        <w:t xml:space="preserve">state </w:t>
      </w:r>
      <w:r w:rsidRPr="00E336A2">
        <w:rPr>
          <w:rFonts w:eastAsia="Times New Roman" w:cs="Arial"/>
          <w:color w:val="000000"/>
        </w:rPr>
        <w:t>or</w:t>
      </w:r>
      <w:r w:rsidR="001542DF" w:rsidRPr="00E336A2">
        <w:rPr>
          <w:rFonts w:eastAsia="Times New Roman" w:cs="Arial"/>
          <w:color w:val="000000"/>
        </w:rPr>
        <w:t xml:space="preserve"> local </w:t>
      </w:r>
      <w:r w:rsidR="008E2614" w:rsidRPr="00E336A2">
        <w:rPr>
          <w:rFonts w:eastAsia="Times New Roman" w:cs="Arial"/>
          <w:color w:val="000000"/>
        </w:rPr>
        <w:t>licensing</w:t>
      </w:r>
      <w:r w:rsidR="001542DF" w:rsidRPr="00E336A2">
        <w:rPr>
          <w:rFonts w:eastAsia="Times New Roman" w:cs="Arial"/>
          <w:color w:val="000000"/>
        </w:rPr>
        <w:t xml:space="preserve"> laws</w:t>
      </w:r>
      <w:r w:rsidR="008E2614" w:rsidRPr="00E336A2">
        <w:rPr>
          <w:rFonts w:eastAsia="Times New Roman" w:cs="Arial"/>
          <w:color w:val="000000"/>
        </w:rPr>
        <w:t>.</w:t>
      </w:r>
    </w:p>
    <w:p w14:paraId="6C668F40" w14:textId="77777777" w:rsidR="0027361C" w:rsidRPr="00E336A2" w:rsidRDefault="001542DF" w:rsidP="00BC1039">
      <w:pPr>
        <w:spacing w:line="360" w:lineRule="auto"/>
        <w:rPr>
          <w:rFonts w:eastAsia="Times New Roman" w:cs="Arial"/>
          <w:color w:val="000000"/>
        </w:rPr>
      </w:pPr>
      <w:r w:rsidRPr="00E336A2">
        <w:rPr>
          <w:rFonts w:eastAsia="Times New Roman" w:cs="Arial"/>
          <w:color w:val="000000"/>
        </w:rPr>
        <w:tab/>
      </w:r>
      <w:r w:rsidR="002C4913" w:rsidRPr="00E336A2">
        <w:rPr>
          <w:rFonts w:eastAsia="Times New Roman" w:cs="Arial"/>
          <w:color w:val="000000"/>
        </w:rPr>
        <w:t xml:space="preserve">Thus, </w:t>
      </w:r>
      <w:r w:rsidRPr="00E336A2">
        <w:rPr>
          <w:rFonts w:eastAsia="Times New Roman" w:cs="Arial"/>
          <w:color w:val="000000"/>
        </w:rPr>
        <w:t>there is nothing in the legislative history of the Unruh Act</w:t>
      </w:r>
      <w:r w:rsidR="000239F4" w:rsidRPr="00E336A2">
        <w:rPr>
          <w:rFonts w:eastAsia="Times New Roman" w:cs="Arial"/>
          <w:color w:val="000000"/>
        </w:rPr>
        <w:t>, itself,</w:t>
      </w:r>
      <w:r w:rsidRPr="00E336A2">
        <w:rPr>
          <w:rFonts w:eastAsia="Times New Roman" w:cs="Arial"/>
          <w:color w:val="000000"/>
        </w:rPr>
        <w:t xml:space="preserve"> that suggests the Act was intended to reach discriminatory conduct by state</w:t>
      </w:r>
      <w:r w:rsidR="005E36AE" w:rsidRPr="00E336A2">
        <w:rPr>
          <w:rFonts w:eastAsia="Times New Roman" w:cs="Arial"/>
          <w:color w:val="000000"/>
        </w:rPr>
        <w:t xml:space="preserve"> </w:t>
      </w:r>
      <w:r w:rsidR="00B739AA" w:rsidRPr="00E336A2">
        <w:rPr>
          <w:rFonts w:eastAsia="Times New Roman" w:cs="Arial"/>
          <w:color w:val="000000"/>
        </w:rPr>
        <w:t>agents</w:t>
      </w:r>
      <w:r w:rsidR="00ED72D3" w:rsidRPr="00E336A2">
        <w:rPr>
          <w:rFonts w:eastAsia="Times New Roman" w:cs="Arial"/>
          <w:color w:val="000000"/>
        </w:rPr>
        <w:t>, such as public school districts,</w:t>
      </w:r>
      <w:r w:rsidRPr="00E336A2">
        <w:rPr>
          <w:rFonts w:eastAsia="Times New Roman" w:cs="Arial"/>
          <w:color w:val="000000"/>
        </w:rPr>
        <w:t xml:space="preserve"> and</w:t>
      </w:r>
      <w:r w:rsidR="000239F4" w:rsidRPr="00E336A2">
        <w:rPr>
          <w:rFonts w:eastAsia="Times New Roman" w:cs="Arial"/>
          <w:color w:val="000000"/>
        </w:rPr>
        <w:t>, again,</w:t>
      </w:r>
      <w:r w:rsidRPr="00E336A2">
        <w:rPr>
          <w:rFonts w:eastAsia="Times New Roman" w:cs="Arial"/>
          <w:color w:val="000000"/>
        </w:rPr>
        <w:t xml:space="preserve"> there is much to indicate otherwise.</w:t>
      </w:r>
      <w:r w:rsidR="005E36AE" w:rsidRPr="00E336A2">
        <w:rPr>
          <w:rFonts w:eastAsia="Times New Roman" w:cs="Arial"/>
          <w:color w:val="000000"/>
        </w:rPr>
        <w:t xml:space="preserve">  (See </w:t>
      </w:r>
      <w:r w:rsidR="0065579A" w:rsidRPr="00E336A2">
        <w:rPr>
          <w:rFonts w:eastAsia="Times New Roman" w:cs="Arial"/>
          <w:color w:val="000000"/>
        </w:rPr>
        <w:t xml:space="preserve">Horowitz, </w:t>
      </w:r>
      <w:r w:rsidR="0065579A" w:rsidRPr="00E336A2">
        <w:rPr>
          <w:rFonts w:eastAsia="Times New Roman" w:cs="Arial"/>
          <w:i/>
          <w:iCs/>
          <w:color w:val="000000"/>
        </w:rPr>
        <w:t>supra,</w:t>
      </w:r>
      <w:r w:rsidR="0065579A" w:rsidRPr="00E336A2">
        <w:rPr>
          <w:rFonts w:eastAsia="Times New Roman" w:cs="Arial"/>
          <w:color w:val="000000"/>
        </w:rPr>
        <w:t xml:space="preserve"> 33 </w:t>
      </w:r>
      <w:proofErr w:type="spellStart"/>
      <w:r w:rsidR="0065579A" w:rsidRPr="00E336A2">
        <w:rPr>
          <w:rFonts w:eastAsia="Times New Roman" w:cs="Arial"/>
          <w:color w:val="000000"/>
        </w:rPr>
        <w:t>So.Cal.L.Rev</w:t>
      </w:r>
      <w:proofErr w:type="spellEnd"/>
      <w:r w:rsidR="0065579A" w:rsidRPr="00E336A2">
        <w:rPr>
          <w:rFonts w:eastAsia="Times New Roman" w:cs="Arial"/>
          <w:color w:val="000000"/>
        </w:rPr>
        <w:t>. at p. 2</w:t>
      </w:r>
      <w:r w:rsidR="005E36AE" w:rsidRPr="00E336A2">
        <w:rPr>
          <w:rFonts w:eastAsia="Times New Roman" w:cs="Arial"/>
          <w:color w:val="000000"/>
        </w:rPr>
        <w:t>62 [enactment of the new “</w:t>
      </w:r>
      <w:r w:rsidR="00106574">
        <w:rPr>
          <w:rFonts w:eastAsia="Times New Roman" w:cs="Arial"/>
          <w:color w:val="000000"/>
        </w:rPr>
        <w:t xml:space="preserve">[Civil Code] </w:t>
      </w:r>
      <w:r w:rsidR="00106574">
        <w:rPr>
          <w:rFonts w:cs="Times New Roman"/>
        </w:rPr>
        <w:t>[s]</w:t>
      </w:r>
      <w:proofErr w:type="spellStart"/>
      <w:r w:rsidR="005E36AE" w:rsidRPr="00E336A2">
        <w:rPr>
          <w:rFonts w:cs="Times New Roman"/>
        </w:rPr>
        <w:t>ections</w:t>
      </w:r>
      <w:proofErr w:type="spellEnd"/>
      <w:r w:rsidR="005E36AE" w:rsidRPr="00E336A2">
        <w:rPr>
          <w:rFonts w:cs="Times New Roman"/>
        </w:rPr>
        <w:t xml:space="preserve"> 51 and 52,</w:t>
      </w:r>
      <w:r w:rsidR="005E36AE" w:rsidRPr="00E336A2">
        <w:rPr>
          <w:rFonts w:cs="Times New Roman"/>
          <w:b/>
          <w:bCs/>
        </w:rPr>
        <w:t xml:space="preserve"> </w:t>
      </w:r>
      <w:r w:rsidR="005E36AE" w:rsidRPr="00E336A2">
        <w:rPr>
          <w:rFonts w:cs="Times New Roman"/>
        </w:rPr>
        <w:t>referring to ‘business establishments,’ result[ed] in California now expressing its policy against racial and other discrimination in this general area of relationships between private persons in a way which is unique among the states—</w:t>
      </w:r>
      <w:r w:rsidR="005E36AE" w:rsidRPr="00E336A2">
        <w:rPr>
          <w:rFonts w:cs="Times New Roman"/>
          <w:i/>
          <w:iCs/>
        </w:rPr>
        <w:t>i.e.,</w:t>
      </w:r>
      <w:r w:rsidR="005E36AE" w:rsidRPr="00E336A2">
        <w:rPr>
          <w:rFonts w:cs="Times New Roman"/>
        </w:rPr>
        <w:t xml:space="preserve"> without the use of the word ‘public,’ and with the use of the words ‘business’ and ‘establishments</w:t>
      </w:r>
      <w:r w:rsidR="00ED72D3" w:rsidRPr="00E336A2">
        <w:rPr>
          <w:rFonts w:cs="Times New Roman"/>
        </w:rPr>
        <w:t>’ ”]</w:t>
      </w:r>
      <w:r w:rsidR="0065579A" w:rsidRPr="00E336A2">
        <w:rPr>
          <w:rFonts w:eastAsia="Times New Roman" w:cs="Arial"/>
          <w:color w:val="000000"/>
        </w:rPr>
        <w:t xml:space="preserve">.)  </w:t>
      </w:r>
    </w:p>
    <w:p w14:paraId="359268F6" w14:textId="77777777" w:rsidR="00476BCF" w:rsidRPr="00E336A2" w:rsidRDefault="0027361C" w:rsidP="00BC2E5A">
      <w:pPr>
        <w:spacing w:line="360" w:lineRule="auto"/>
        <w:rPr>
          <w:rFonts w:eastAsia="Times New Roman" w:cs="Arial"/>
          <w:b/>
          <w:bCs/>
          <w:i/>
          <w:iCs/>
          <w:color w:val="000000"/>
        </w:rPr>
      </w:pPr>
      <w:r w:rsidRPr="00E336A2">
        <w:rPr>
          <w:rFonts w:eastAsia="Times New Roman" w:cs="Arial"/>
          <w:b/>
          <w:bCs/>
          <w:i/>
          <w:iCs/>
          <w:color w:val="000000"/>
        </w:rPr>
        <w:t>Supreme Court Precedent</w:t>
      </w:r>
    </w:p>
    <w:p w14:paraId="4CD16F9F" w14:textId="77777777" w:rsidR="00223C79" w:rsidRPr="00E336A2" w:rsidRDefault="005710C5" w:rsidP="00BC2E5A">
      <w:pPr>
        <w:spacing w:line="360" w:lineRule="auto"/>
        <w:rPr>
          <w:rFonts w:eastAsia="Times New Roman" w:cs="Arial"/>
          <w:color w:val="000000"/>
        </w:rPr>
      </w:pPr>
      <w:r w:rsidRPr="00E336A2">
        <w:rPr>
          <w:rFonts w:eastAsia="Times New Roman" w:cs="Arial"/>
          <w:color w:val="000000"/>
        </w:rPr>
        <w:tab/>
        <w:t xml:space="preserve">Our Supreme Court has grappled with the meaning of </w:t>
      </w:r>
      <w:r w:rsidR="00D97FBE" w:rsidRPr="00E336A2">
        <w:rPr>
          <w:rFonts w:eastAsia="Times New Roman" w:cs="Arial"/>
          <w:color w:val="000000"/>
        </w:rPr>
        <w:t>the term “</w:t>
      </w:r>
      <w:r w:rsidRPr="00E336A2">
        <w:rPr>
          <w:rFonts w:eastAsia="Times New Roman" w:cs="Arial"/>
          <w:color w:val="000000"/>
        </w:rPr>
        <w:t>business establishment</w:t>
      </w:r>
      <w:r w:rsidR="00D97FBE" w:rsidRPr="00E336A2">
        <w:rPr>
          <w:rFonts w:eastAsia="Times New Roman" w:cs="Arial"/>
          <w:color w:val="000000"/>
        </w:rPr>
        <w:t>”</w:t>
      </w:r>
      <w:r w:rsidRPr="00E336A2">
        <w:rPr>
          <w:rFonts w:eastAsia="Times New Roman" w:cs="Arial"/>
          <w:color w:val="000000"/>
        </w:rPr>
        <w:t xml:space="preserve"> </w:t>
      </w:r>
      <w:r w:rsidR="00ED72D3" w:rsidRPr="00E336A2">
        <w:rPr>
          <w:rFonts w:eastAsia="Times New Roman" w:cs="Arial"/>
          <w:color w:val="000000"/>
        </w:rPr>
        <w:t xml:space="preserve">as used in the Unruh Act </w:t>
      </w:r>
      <w:r w:rsidRPr="00E336A2">
        <w:rPr>
          <w:rFonts w:eastAsia="Times New Roman" w:cs="Arial"/>
          <w:color w:val="000000"/>
        </w:rPr>
        <w:t xml:space="preserve">in </w:t>
      </w:r>
      <w:proofErr w:type="gramStart"/>
      <w:r w:rsidRPr="00E336A2">
        <w:rPr>
          <w:rFonts w:eastAsia="Times New Roman" w:cs="Arial"/>
          <w:color w:val="000000"/>
        </w:rPr>
        <w:t>a number of</w:t>
      </w:r>
      <w:proofErr w:type="gramEnd"/>
      <w:r w:rsidRPr="00E336A2">
        <w:rPr>
          <w:rFonts w:eastAsia="Times New Roman" w:cs="Arial"/>
          <w:color w:val="000000"/>
        </w:rPr>
        <w:t xml:space="preserve"> </w:t>
      </w:r>
      <w:r w:rsidR="004853E6" w:rsidRPr="00E336A2">
        <w:rPr>
          <w:rFonts w:eastAsia="Times New Roman" w:cs="Arial"/>
          <w:color w:val="000000"/>
        </w:rPr>
        <w:t>cases</w:t>
      </w:r>
      <w:r w:rsidRPr="00E336A2">
        <w:rPr>
          <w:rFonts w:eastAsia="Times New Roman" w:cs="Arial"/>
          <w:color w:val="000000"/>
        </w:rPr>
        <w:t>.</w:t>
      </w:r>
    </w:p>
    <w:p w14:paraId="19B400D4" w14:textId="77777777" w:rsidR="00223C79" w:rsidRPr="00E336A2" w:rsidRDefault="00223C79" w:rsidP="00BC2E5A">
      <w:pPr>
        <w:spacing w:line="360" w:lineRule="auto"/>
        <w:rPr>
          <w:rFonts w:eastAsia="Times New Roman" w:cs="Arial"/>
          <w:color w:val="000000"/>
        </w:rPr>
      </w:pPr>
      <w:r w:rsidRPr="00E336A2">
        <w:rPr>
          <w:rFonts w:eastAsia="Times New Roman" w:cs="Arial"/>
          <w:color w:val="000000"/>
        </w:rPr>
        <w:lastRenderedPageBreak/>
        <w:tab/>
        <w:t xml:space="preserve">One of the earliest </w:t>
      </w:r>
      <w:r w:rsidR="00913A71" w:rsidRPr="00E336A2">
        <w:rPr>
          <w:rFonts w:eastAsia="Times New Roman" w:cs="Arial"/>
          <w:color w:val="000000"/>
        </w:rPr>
        <w:t>was</w:t>
      </w:r>
      <w:r w:rsidRPr="00E336A2">
        <w:rPr>
          <w:rFonts w:eastAsia="Times New Roman" w:cs="Arial"/>
          <w:color w:val="000000"/>
        </w:rPr>
        <w:t xml:space="preserve"> </w:t>
      </w:r>
      <w:r w:rsidRPr="00E336A2">
        <w:rPr>
          <w:rFonts w:eastAsia="Times New Roman" w:cs="Arial"/>
          <w:i/>
          <w:iCs/>
          <w:color w:val="000000"/>
        </w:rPr>
        <w:t xml:space="preserve">Burks, supra, </w:t>
      </w:r>
      <w:r w:rsidRPr="00E336A2">
        <w:rPr>
          <w:rFonts w:eastAsia="Times New Roman" w:cs="Arial"/>
          <w:color w:val="000000"/>
        </w:rPr>
        <w:t>57 Cal.2d</w:t>
      </w:r>
      <w:r w:rsidR="0094489E" w:rsidRPr="00E336A2">
        <w:rPr>
          <w:rFonts w:eastAsia="Times New Roman" w:cs="Arial"/>
          <w:color w:val="000000"/>
        </w:rPr>
        <w:t xml:space="preserve"> </w:t>
      </w:r>
      <w:r w:rsidRPr="00E336A2">
        <w:rPr>
          <w:rFonts w:eastAsia="Times New Roman" w:cs="Arial"/>
          <w:color w:val="000000"/>
        </w:rPr>
        <w:t>463.</w:t>
      </w:r>
      <w:r w:rsidR="005B124D" w:rsidRPr="00E336A2">
        <w:rPr>
          <w:rFonts w:eastAsia="Times New Roman" w:cs="Arial"/>
          <w:color w:val="000000"/>
        </w:rPr>
        <w:t xml:space="preserve"> </w:t>
      </w:r>
      <w:r w:rsidRPr="00E336A2">
        <w:rPr>
          <w:rFonts w:eastAsia="Times New Roman" w:cs="Arial"/>
          <w:color w:val="000000"/>
        </w:rPr>
        <w:t xml:space="preserve"> “In </w:t>
      </w:r>
      <w:r w:rsidRPr="00E336A2">
        <w:rPr>
          <w:rFonts w:eastAsia="Times New Roman" w:cs="Arial"/>
          <w:i/>
          <w:iCs/>
          <w:color w:val="000000"/>
        </w:rPr>
        <w:t>Burks</w:t>
      </w:r>
      <w:r w:rsidRPr="00106574">
        <w:rPr>
          <w:rFonts w:eastAsia="Times New Roman" w:cs="Arial"/>
          <w:color w:val="000000"/>
        </w:rPr>
        <w:t>,</w:t>
      </w:r>
      <w:r w:rsidRPr="00E336A2">
        <w:rPr>
          <w:rFonts w:eastAsia="Times New Roman" w:cs="Arial"/>
          <w:color w:val="000000"/>
        </w:rPr>
        <w:t xml:space="preserve"> the plaintiffs claimed that the defendants, a company and one of its employees who were engaged in developing, building, and selling a tract of houses, were violating the Unruh Civil Rights Act by allegedly refusing to sell homes in the tract to African–American customers on the same conditions offered to other customers.</w:t>
      </w:r>
      <w:r w:rsidR="00B92196" w:rsidRPr="00E336A2">
        <w:rPr>
          <w:rFonts w:eastAsia="Times New Roman" w:cs="Arial"/>
          <w:color w:val="000000"/>
        </w:rPr>
        <w:t xml:space="preserve"> </w:t>
      </w:r>
      <w:r w:rsidRPr="00E336A2">
        <w:rPr>
          <w:rFonts w:eastAsia="Times New Roman" w:cs="Arial"/>
          <w:color w:val="000000"/>
        </w:rPr>
        <w:t xml:space="preserve"> In discussing the scope of the statute, the court stated:</w:t>
      </w:r>
      <w:r w:rsidR="00B92196" w:rsidRPr="00E336A2">
        <w:rPr>
          <w:rFonts w:eastAsia="Times New Roman" w:cs="Arial"/>
          <w:color w:val="000000"/>
        </w:rPr>
        <w:t xml:space="preserve"> </w:t>
      </w:r>
      <w:r w:rsidRPr="00E336A2">
        <w:rPr>
          <w:rFonts w:eastAsia="Times New Roman" w:cs="Arial"/>
          <w:color w:val="000000"/>
        </w:rPr>
        <w:t xml:space="preserve"> </w:t>
      </w:r>
      <w:r w:rsidR="000F12D9" w:rsidRPr="00E336A2">
        <w:rPr>
          <w:rFonts w:eastAsia="Times New Roman" w:cs="Arial"/>
          <w:color w:val="000000"/>
        </w:rPr>
        <w:t>‘</w:t>
      </w:r>
      <w:r w:rsidRPr="00E336A2">
        <w:rPr>
          <w:rFonts w:eastAsia="Times New Roman" w:cs="Arial"/>
          <w:color w:val="000000"/>
        </w:rPr>
        <w:t xml:space="preserve">The Legislature used the words “all” and “of every kind whatsoever” in referring to business establishments covered by the Unruh Act . . . , and the inclusion of these words, without any exception and without specification of particular kind of enterprises, leaves no doubt that the term </w:t>
      </w:r>
      <w:r w:rsidR="0094489E" w:rsidRPr="00E336A2">
        <w:rPr>
          <w:rFonts w:eastAsia="Times New Roman" w:cs="Arial"/>
          <w:color w:val="000000"/>
        </w:rPr>
        <w:t>“</w:t>
      </w:r>
      <w:r w:rsidRPr="00E336A2">
        <w:rPr>
          <w:rFonts w:eastAsia="Times New Roman" w:cs="Arial"/>
          <w:color w:val="000000"/>
        </w:rPr>
        <w:t>business establishments</w:t>
      </w:r>
      <w:r w:rsidR="0094489E" w:rsidRPr="00E336A2">
        <w:rPr>
          <w:rFonts w:eastAsia="Times New Roman" w:cs="Arial"/>
          <w:color w:val="000000"/>
        </w:rPr>
        <w:t>”</w:t>
      </w:r>
      <w:r w:rsidRPr="00E336A2">
        <w:rPr>
          <w:rFonts w:eastAsia="Times New Roman" w:cs="Arial"/>
          <w:color w:val="000000"/>
        </w:rPr>
        <w:t xml:space="preserve"> was used in the broadest sense reasonably possible. </w:t>
      </w:r>
      <w:r w:rsidR="00B92196" w:rsidRPr="00E336A2">
        <w:rPr>
          <w:rFonts w:eastAsia="Times New Roman" w:cs="Arial"/>
          <w:color w:val="000000"/>
        </w:rPr>
        <w:t xml:space="preserve"> </w:t>
      </w:r>
      <w:r w:rsidRPr="00E336A2">
        <w:rPr>
          <w:rFonts w:eastAsia="Times New Roman" w:cs="Arial"/>
          <w:color w:val="000000"/>
        </w:rPr>
        <w:t xml:space="preserve">The word </w:t>
      </w:r>
      <w:r w:rsidR="0094489E" w:rsidRPr="00E336A2">
        <w:rPr>
          <w:rFonts w:eastAsia="Times New Roman" w:cs="Arial"/>
          <w:color w:val="000000"/>
        </w:rPr>
        <w:t>“</w:t>
      </w:r>
      <w:r w:rsidRPr="00E336A2">
        <w:rPr>
          <w:rFonts w:eastAsia="Times New Roman" w:cs="Arial"/>
          <w:color w:val="000000"/>
        </w:rPr>
        <w:t>business</w:t>
      </w:r>
      <w:r w:rsidR="0094489E" w:rsidRPr="00E336A2">
        <w:rPr>
          <w:rFonts w:eastAsia="Times New Roman" w:cs="Arial"/>
          <w:color w:val="000000"/>
        </w:rPr>
        <w:t>”</w:t>
      </w:r>
      <w:r w:rsidRPr="00E336A2">
        <w:rPr>
          <w:rFonts w:eastAsia="Times New Roman" w:cs="Arial"/>
          <w:color w:val="000000"/>
        </w:rPr>
        <w:t xml:space="preserve"> embraces everything about which one can be employed, and it is often synonymous with </w:t>
      </w:r>
      <w:r w:rsidR="0094489E" w:rsidRPr="00E336A2">
        <w:rPr>
          <w:rFonts w:eastAsia="Times New Roman" w:cs="Arial"/>
          <w:color w:val="000000"/>
        </w:rPr>
        <w:t>“</w:t>
      </w:r>
      <w:r w:rsidRPr="00E336A2">
        <w:rPr>
          <w:rFonts w:eastAsia="Times New Roman" w:cs="Arial"/>
          <w:color w:val="000000"/>
        </w:rPr>
        <w:t>calling, occupations, or trade, engaged in for the purpose of making a livelihood or gain.</w:t>
      </w:r>
      <w:r w:rsidR="0094489E" w:rsidRPr="00E336A2">
        <w:rPr>
          <w:rFonts w:eastAsia="Times New Roman" w:cs="Arial"/>
          <w:color w:val="000000"/>
        </w:rPr>
        <w:t>”</w:t>
      </w:r>
      <w:r w:rsidR="00B92196" w:rsidRPr="00E336A2">
        <w:rPr>
          <w:rFonts w:eastAsia="Times New Roman" w:cs="Arial"/>
          <w:color w:val="000000"/>
        </w:rPr>
        <w:t xml:space="preserve"> </w:t>
      </w:r>
      <w:r w:rsidRPr="00E336A2">
        <w:rPr>
          <w:rFonts w:eastAsia="Times New Roman" w:cs="Arial"/>
          <w:color w:val="000000"/>
        </w:rPr>
        <w:t xml:space="preserve"> [Citations.] </w:t>
      </w:r>
      <w:r w:rsidR="00B92196" w:rsidRPr="00E336A2">
        <w:rPr>
          <w:rFonts w:eastAsia="Times New Roman" w:cs="Arial"/>
          <w:color w:val="000000"/>
        </w:rPr>
        <w:t xml:space="preserve"> </w:t>
      </w:r>
      <w:r w:rsidRPr="00E336A2">
        <w:rPr>
          <w:rFonts w:eastAsia="Times New Roman" w:cs="Arial"/>
          <w:color w:val="000000"/>
        </w:rPr>
        <w:t xml:space="preserve">The word </w:t>
      </w:r>
      <w:r w:rsidR="0094489E" w:rsidRPr="00E336A2">
        <w:rPr>
          <w:rFonts w:eastAsia="Times New Roman" w:cs="Arial"/>
          <w:color w:val="000000"/>
        </w:rPr>
        <w:t>“</w:t>
      </w:r>
      <w:r w:rsidRPr="00E336A2">
        <w:rPr>
          <w:rFonts w:eastAsia="Times New Roman" w:cs="Arial"/>
          <w:color w:val="000000"/>
        </w:rPr>
        <w:t>establishment,</w:t>
      </w:r>
      <w:r w:rsidR="0094489E" w:rsidRPr="00E336A2">
        <w:rPr>
          <w:rFonts w:eastAsia="Times New Roman" w:cs="Arial"/>
          <w:color w:val="000000"/>
        </w:rPr>
        <w:t>”</w:t>
      </w:r>
      <w:r w:rsidRPr="00E336A2">
        <w:rPr>
          <w:rFonts w:eastAsia="Times New Roman" w:cs="Arial"/>
          <w:color w:val="000000"/>
        </w:rPr>
        <w:t xml:space="preserve"> as broadly defined, includes not only a fixed location, such as the </w:t>
      </w:r>
      <w:r w:rsidR="0094489E" w:rsidRPr="00E336A2">
        <w:rPr>
          <w:rFonts w:eastAsia="Times New Roman" w:cs="Arial"/>
          <w:color w:val="000000"/>
        </w:rPr>
        <w:t>“</w:t>
      </w:r>
      <w:r w:rsidRPr="00E336A2">
        <w:rPr>
          <w:rFonts w:eastAsia="Times New Roman" w:cs="Arial"/>
          <w:color w:val="000000"/>
        </w:rPr>
        <w:t>place where one is permanently fixed for residence or business,</w:t>
      </w:r>
      <w:r w:rsidR="0094489E" w:rsidRPr="00E336A2">
        <w:rPr>
          <w:rFonts w:eastAsia="Times New Roman" w:cs="Arial"/>
          <w:color w:val="000000"/>
        </w:rPr>
        <w:t>”</w:t>
      </w:r>
      <w:r w:rsidRPr="00E336A2">
        <w:rPr>
          <w:rFonts w:eastAsia="Times New Roman" w:cs="Arial"/>
          <w:color w:val="000000"/>
        </w:rPr>
        <w:t xml:space="preserve"> but also a permanent </w:t>
      </w:r>
      <w:r w:rsidR="0094489E" w:rsidRPr="00E336A2">
        <w:rPr>
          <w:rFonts w:eastAsia="Times New Roman" w:cs="Arial"/>
          <w:color w:val="000000"/>
        </w:rPr>
        <w:t>“</w:t>
      </w:r>
      <w:r w:rsidRPr="00E336A2">
        <w:rPr>
          <w:rFonts w:eastAsia="Times New Roman" w:cs="Arial"/>
          <w:color w:val="000000"/>
        </w:rPr>
        <w:t>commercial force or organization</w:t>
      </w:r>
      <w:r w:rsidR="0094489E" w:rsidRPr="00E336A2">
        <w:rPr>
          <w:rFonts w:eastAsia="Times New Roman" w:cs="Arial"/>
          <w:color w:val="000000"/>
        </w:rPr>
        <w:t>”</w:t>
      </w:r>
      <w:r w:rsidRPr="00E336A2">
        <w:rPr>
          <w:rFonts w:eastAsia="Times New Roman" w:cs="Arial"/>
          <w:color w:val="000000"/>
        </w:rPr>
        <w:t xml:space="preserve"> or </w:t>
      </w:r>
      <w:r w:rsidR="0094489E" w:rsidRPr="00E336A2">
        <w:rPr>
          <w:rFonts w:eastAsia="Times New Roman" w:cs="Arial"/>
          <w:color w:val="000000"/>
        </w:rPr>
        <w:t>“</w:t>
      </w:r>
      <w:r w:rsidRPr="00E336A2">
        <w:rPr>
          <w:rFonts w:eastAsia="Times New Roman" w:cs="Arial"/>
          <w:color w:val="000000"/>
        </w:rPr>
        <w:t>a permanent settled position (as in life or business).</w:t>
      </w:r>
      <w:r w:rsidR="0094489E" w:rsidRPr="00E336A2">
        <w:rPr>
          <w:rFonts w:eastAsia="Times New Roman" w:cs="Arial"/>
          <w:color w:val="000000"/>
        </w:rPr>
        <w:t>”</w:t>
      </w:r>
      <w:r w:rsidRPr="00E336A2">
        <w:rPr>
          <w:rFonts w:eastAsia="Times New Roman" w:cs="Arial"/>
          <w:color w:val="000000"/>
        </w:rPr>
        <w:t xml:space="preserve"> </w:t>
      </w:r>
      <w:r w:rsidR="00B92196" w:rsidRPr="00E336A2">
        <w:rPr>
          <w:rFonts w:eastAsia="Times New Roman" w:cs="Arial"/>
          <w:color w:val="000000"/>
        </w:rPr>
        <w:t xml:space="preserve"> </w:t>
      </w:r>
      <w:r w:rsidRPr="00E336A2">
        <w:rPr>
          <w:rFonts w:eastAsia="Times New Roman" w:cs="Arial"/>
          <w:color w:val="000000"/>
        </w:rPr>
        <w:t>[Citations.]</w:t>
      </w:r>
      <w:r w:rsidR="00B92196" w:rsidRPr="00E336A2">
        <w:rPr>
          <w:rFonts w:eastAsia="Times New Roman" w:cs="Arial"/>
          <w:color w:val="000000"/>
        </w:rPr>
        <w:t xml:space="preserve"> </w:t>
      </w:r>
      <w:r w:rsidRPr="00E336A2">
        <w:rPr>
          <w:rFonts w:eastAsia="Times New Roman" w:cs="Arial"/>
          <w:color w:val="000000"/>
        </w:rPr>
        <w:t xml:space="preserve"> </w:t>
      </w:r>
      <w:r w:rsidR="006E4374" w:rsidRPr="00E336A2">
        <w:rPr>
          <w:rFonts w:eastAsia="Times New Roman" w:cs="Arial"/>
          <w:color w:val="000000"/>
        </w:rPr>
        <w:t>[Thus, it</w:t>
      </w:r>
      <w:r w:rsidR="0094489E" w:rsidRPr="00E336A2">
        <w:rPr>
          <w:rFonts w:eastAsia="Times New Roman" w:cs="Arial"/>
          <w:color w:val="000000"/>
        </w:rPr>
        <w:t xml:space="preserve"> </w:t>
      </w:r>
      <w:r w:rsidRPr="00E336A2">
        <w:rPr>
          <w:rFonts w:eastAsia="Times New Roman" w:cs="Arial"/>
          <w:color w:val="000000"/>
        </w:rPr>
        <w:t>was</w:t>
      </w:r>
      <w:r w:rsidR="0094489E" w:rsidRPr="00E336A2">
        <w:rPr>
          <w:rFonts w:eastAsia="Times New Roman" w:cs="Arial"/>
          <w:color w:val="000000"/>
        </w:rPr>
        <w:t>]</w:t>
      </w:r>
      <w:r w:rsidRPr="00E336A2">
        <w:rPr>
          <w:rFonts w:eastAsia="Times New Roman" w:cs="Arial"/>
          <w:color w:val="000000"/>
        </w:rPr>
        <w:t xml:space="preserve"> clear that defendants operated </w:t>
      </w:r>
      <w:r w:rsidR="0094489E" w:rsidRPr="00E336A2">
        <w:rPr>
          <w:rFonts w:eastAsia="Times New Roman" w:cs="Arial"/>
          <w:color w:val="000000"/>
        </w:rPr>
        <w:t>“</w:t>
      </w:r>
      <w:r w:rsidRPr="00E336A2">
        <w:rPr>
          <w:rFonts w:eastAsia="Times New Roman" w:cs="Arial"/>
          <w:color w:val="000000"/>
        </w:rPr>
        <w:t>business establishments</w:t>
      </w:r>
      <w:r w:rsidR="0094489E" w:rsidRPr="00E336A2">
        <w:rPr>
          <w:rFonts w:eastAsia="Times New Roman" w:cs="Arial"/>
          <w:color w:val="000000"/>
        </w:rPr>
        <w:t>”</w:t>
      </w:r>
      <w:r w:rsidRPr="00E336A2">
        <w:rPr>
          <w:rFonts w:eastAsia="Times New Roman" w:cs="Arial"/>
          <w:color w:val="000000"/>
        </w:rPr>
        <w:t xml:space="preserve"> within the meaning of the term as used in the Unruh Act.</w:t>
      </w:r>
      <w:r w:rsidR="0094489E" w:rsidRPr="00E336A2">
        <w:rPr>
          <w:rFonts w:eastAsia="Times New Roman" w:cs="Arial"/>
          <w:color w:val="000000"/>
        </w:rPr>
        <w:t xml:space="preserve">’ </w:t>
      </w:r>
      <w:r w:rsidRPr="00E336A2">
        <w:rPr>
          <w:rFonts w:eastAsia="Times New Roman" w:cs="Arial"/>
          <w:color w:val="000000"/>
        </w:rPr>
        <w:t xml:space="preserve">” </w:t>
      </w:r>
      <w:r w:rsidR="00B92196" w:rsidRPr="00E336A2">
        <w:rPr>
          <w:rFonts w:eastAsia="Times New Roman" w:cs="Arial"/>
          <w:noProof/>
          <w:vanish/>
          <w:color w:val="000000"/>
          <w:shd w:val="clear" w:color="auto" w:fill="FFFFFF"/>
        </w:rPr>
        <w:t xml:space="preserve"> </w:t>
      </w:r>
      <w:r w:rsidRPr="00E336A2">
        <w:rPr>
          <w:rFonts w:eastAsia="Times New Roman" w:cs="Arial"/>
          <w:color w:val="000000"/>
        </w:rPr>
        <w:t>(</w:t>
      </w:r>
      <w:r w:rsidRPr="00E336A2">
        <w:rPr>
          <w:rFonts w:eastAsia="Times New Roman" w:cs="Arial"/>
          <w:i/>
          <w:iCs/>
          <w:color w:val="000000"/>
        </w:rPr>
        <w:t xml:space="preserve">Warfield, supra, </w:t>
      </w:r>
      <w:r w:rsidRPr="00E336A2">
        <w:rPr>
          <w:rFonts w:eastAsia="Times New Roman" w:cs="Arial"/>
          <w:color w:val="000000"/>
        </w:rPr>
        <w:t>10 Cal.4th at pp. 609</w:t>
      </w:r>
      <w:r w:rsidR="00106574" w:rsidRPr="00E336A2">
        <w:rPr>
          <w:rFonts w:eastAsia="Times New Roman" w:cs="Arial"/>
          <w:color w:val="000000"/>
        </w:rPr>
        <w:t>–</w:t>
      </w:r>
      <w:r w:rsidRPr="00E336A2">
        <w:rPr>
          <w:rFonts w:eastAsia="Times New Roman" w:cs="Arial"/>
          <w:color w:val="000000"/>
        </w:rPr>
        <w:t xml:space="preserve">610, quoting </w:t>
      </w:r>
      <w:r w:rsidRPr="00E336A2">
        <w:rPr>
          <w:rFonts w:eastAsia="Times New Roman" w:cs="Arial"/>
          <w:i/>
          <w:iCs/>
          <w:color w:val="000000"/>
        </w:rPr>
        <w:t xml:space="preserve">Burks, supra, </w:t>
      </w:r>
      <w:r w:rsidRPr="00E336A2">
        <w:rPr>
          <w:rFonts w:eastAsia="Times New Roman" w:cs="Arial"/>
          <w:color w:val="000000"/>
        </w:rPr>
        <w:t>57 Cal.2d at pp. 468–469</w:t>
      </w:r>
      <w:r w:rsidR="000F12D9" w:rsidRPr="00E336A2">
        <w:rPr>
          <w:rFonts w:eastAsia="Times New Roman" w:cs="Arial"/>
          <w:color w:val="000000"/>
        </w:rPr>
        <w:t xml:space="preserve">, italics </w:t>
      </w:r>
      <w:r w:rsidR="00B92196" w:rsidRPr="00E336A2">
        <w:rPr>
          <w:rFonts w:eastAsia="Times New Roman" w:cs="Arial"/>
          <w:color w:val="000000"/>
        </w:rPr>
        <w:t>omitted</w:t>
      </w:r>
      <w:r w:rsidRPr="00E336A2">
        <w:rPr>
          <w:rFonts w:eastAsia="Times New Roman" w:cs="Arial"/>
          <w:color w:val="000000"/>
        </w:rPr>
        <w:t>.)</w:t>
      </w:r>
    </w:p>
    <w:p w14:paraId="2990853B" w14:textId="77777777" w:rsidR="004853E6" w:rsidRPr="00E336A2" w:rsidRDefault="00223C79" w:rsidP="000F12D9">
      <w:pPr>
        <w:spacing w:line="360" w:lineRule="auto"/>
        <w:rPr>
          <w:rFonts w:eastAsia="Times New Roman" w:cs="Arial"/>
          <w:color w:val="000000"/>
        </w:rPr>
      </w:pPr>
      <w:r w:rsidRPr="00E336A2">
        <w:rPr>
          <w:rFonts w:eastAsia="Times New Roman" w:cs="Arial"/>
          <w:color w:val="000000"/>
        </w:rPr>
        <w:tab/>
        <w:t xml:space="preserve">In addition to concluding the construction company was a business establishment under the </w:t>
      </w:r>
      <w:r w:rsidR="00106574">
        <w:rPr>
          <w:rFonts w:eastAsia="Times New Roman" w:cs="Arial"/>
          <w:color w:val="000000"/>
        </w:rPr>
        <w:t xml:space="preserve">Unruh </w:t>
      </w:r>
      <w:r w:rsidRPr="00E336A2">
        <w:rPr>
          <w:rFonts w:eastAsia="Times New Roman" w:cs="Arial"/>
          <w:color w:val="000000"/>
        </w:rPr>
        <w:t xml:space="preserve">Act, the court </w:t>
      </w:r>
      <w:r w:rsidR="000239F4" w:rsidRPr="00E336A2">
        <w:rPr>
          <w:rFonts w:eastAsia="Times New Roman" w:cs="Arial"/>
          <w:color w:val="000000"/>
        </w:rPr>
        <w:t xml:space="preserve">in </w:t>
      </w:r>
      <w:r w:rsidR="000239F4" w:rsidRPr="00E336A2">
        <w:rPr>
          <w:rFonts w:eastAsia="Times New Roman" w:cs="Arial"/>
          <w:i/>
          <w:iCs/>
          <w:color w:val="000000"/>
        </w:rPr>
        <w:t xml:space="preserve">Burks </w:t>
      </w:r>
      <w:r w:rsidRPr="00E336A2">
        <w:rPr>
          <w:rFonts w:eastAsia="Times New Roman" w:cs="Arial"/>
          <w:color w:val="000000"/>
        </w:rPr>
        <w:t xml:space="preserve">also rejected the </w:t>
      </w:r>
      <w:r w:rsidR="002F30D6" w:rsidRPr="00E336A2">
        <w:rPr>
          <w:rFonts w:eastAsia="Times New Roman" w:cs="Arial"/>
          <w:color w:val="000000"/>
        </w:rPr>
        <w:t xml:space="preserve">company’s </w:t>
      </w:r>
      <w:r w:rsidRPr="00E336A2">
        <w:rPr>
          <w:rFonts w:eastAsia="Times New Roman" w:cs="Arial"/>
          <w:color w:val="000000"/>
        </w:rPr>
        <w:t xml:space="preserve">due process challenge to the </w:t>
      </w:r>
      <w:r w:rsidR="000F12D9" w:rsidRPr="00E336A2">
        <w:rPr>
          <w:rFonts w:eastAsia="Times New Roman" w:cs="Arial"/>
          <w:color w:val="000000"/>
        </w:rPr>
        <w:t>statute</w:t>
      </w:r>
      <w:r w:rsidRPr="00E336A2">
        <w:rPr>
          <w:rFonts w:eastAsia="Times New Roman" w:cs="Arial"/>
          <w:color w:val="000000"/>
        </w:rPr>
        <w:t>, stating:</w:t>
      </w:r>
      <w:r w:rsidR="00B92196" w:rsidRPr="00E336A2">
        <w:rPr>
          <w:rFonts w:eastAsia="Times New Roman" w:cs="Arial"/>
          <w:color w:val="000000"/>
        </w:rPr>
        <w:t xml:space="preserve"> </w:t>
      </w:r>
      <w:r w:rsidRPr="00E336A2">
        <w:rPr>
          <w:rFonts w:eastAsia="Times New Roman" w:cs="Arial"/>
          <w:color w:val="000000"/>
        </w:rPr>
        <w:t xml:space="preserve"> “Discrimination on the basis of race or color is contrary to the public policy of the United States and of this state. </w:t>
      </w:r>
      <w:r w:rsidR="00B92196" w:rsidRPr="00E336A2">
        <w:rPr>
          <w:rFonts w:eastAsia="Times New Roman" w:cs="Arial"/>
          <w:color w:val="000000"/>
        </w:rPr>
        <w:t xml:space="preserve"> </w:t>
      </w:r>
      <w:r w:rsidRPr="00E336A2">
        <w:rPr>
          <w:rFonts w:eastAsia="Times New Roman" w:cs="Arial"/>
          <w:color w:val="000000"/>
        </w:rPr>
        <w:t xml:space="preserve">Although the antidiscrimination provisions of the federal Constitution relate to state rather than private action, they nevertheless </w:t>
      </w:r>
      <w:r w:rsidRPr="00E336A2">
        <w:rPr>
          <w:rFonts w:eastAsia="Times New Roman" w:cs="Arial"/>
          <w:color w:val="000000"/>
        </w:rPr>
        <w:lastRenderedPageBreak/>
        <w:t>evidence a definite national policy against discrimination.</w:t>
      </w:r>
      <w:r w:rsidR="00B92196" w:rsidRPr="00E336A2">
        <w:rPr>
          <w:rFonts w:eastAsia="Times New Roman" w:cs="Arial"/>
          <w:color w:val="000000"/>
        </w:rPr>
        <w:t xml:space="preserve"> </w:t>
      </w:r>
      <w:r w:rsidRPr="00E336A2">
        <w:rPr>
          <w:rFonts w:eastAsia="Times New Roman" w:cs="Arial"/>
          <w:color w:val="000000"/>
        </w:rPr>
        <w:t xml:space="preserve"> </w:t>
      </w:r>
      <w:r w:rsidR="004853E6" w:rsidRPr="00E336A2">
        <w:rPr>
          <w:rFonts w:eastAsia="Times New Roman" w:cs="Arial"/>
          <w:color w:val="000000"/>
        </w:rPr>
        <w:t>[Citation.]</w:t>
      </w:r>
      <w:r w:rsidR="00B92196" w:rsidRPr="00E336A2">
        <w:rPr>
          <w:rFonts w:eastAsia="Times New Roman" w:cs="Arial"/>
          <w:color w:val="000000"/>
        </w:rPr>
        <w:t xml:space="preserve"> </w:t>
      </w:r>
      <w:r w:rsidR="004853E6" w:rsidRPr="00E336A2">
        <w:rPr>
          <w:rFonts w:eastAsia="Times New Roman" w:cs="Arial"/>
          <w:color w:val="000000"/>
        </w:rPr>
        <w:t xml:space="preserve"> </w:t>
      </w:r>
      <w:r w:rsidRPr="00E336A2">
        <w:rPr>
          <w:rFonts w:eastAsia="Times New Roman" w:cs="Arial"/>
          <w:color w:val="000000"/>
        </w:rPr>
        <w:t>The Legislature in the exercise of the police power may in appropriate circumstances prohibit</w:t>
      </w:r>
      <w:r w:rsidRPr="00E336A2">
        <w:rPr>
          <w:rFonts w:eastAsia="Times New Roman" w:cs="Arial"/>
          <w:i/>
          <w:iCs/>
          <w:color w:val="000000"/>
        </w:rPr>
        <w:t xml:space="preserve"> </w:t>
      </w:r>
      <w:r w:rsidRPr="00E336A2">
        <w:rPr>
          <w:rFonts w:eastAsia="Times New Roman" w:cs="Arial"/>
          <w:color w:val="000000"/>
        </w:rPr>
        <w:t xml:space="preserve">private persons or organizations from violating this policy. </w:t>
      </w:r>
      <w:r w:rsidR="004853E6" w:rsidRPr="00E336A2">
        <w:rPr>
          <w:rFonts w:eastAsia="Times New Roman" w:cs="Arial"/>
          <w:color w:val="000000"/>
        </w:rPr>
        <w:t xml:space="preserve">. . . </w:t>
      </w:r>
      <w:r w:rsidR="00B92196" w:rsidRPr="00E336A2">
        <w:t xml:space="preserve">[¶] </w:t>
      </w:r>
      <w:r w:rsidRPr="00E336A2">
        <w:rPr>
          <w:rFonts w:eastAsia="Times New Roman" w:cs="Arial"/>
          <w:color w:val="000000"/>
        </w:rPr>
        <w:t xml:space="preserve"> For more than 50 years prior to the enactment of the Unruh Act, sections 51 and 52 of the Civil Code contained provisions prohibiting discrimination in places of ‘public accommodation and amusement.’</w:t>
      </w:r>
      <w:r w:rsidR="00B92196" w:rsidRPr="00E336A2">
        <w:rPr>
          <w:rFonts w:eastAsia="Times New Roman" w:cs="Arial"/>
          <w:color w:val="000000"/>
        </w:rPr>
        <w:t xml:space="preserve"> </w:t>
      </w:r>
      <w:r w:rsidRPr="00E336A2">
        <w:rPr>
          <w:rFonts w:eastAsia="Times New Roman" w:cs="Arial"/>
          <w:color w:val="000000"/>
        </w:rPr>
        <w:t xml:space="preserve"> The constitutionality of this legislation was upheld in </w:t>
      </w:r>
      <w:proofErr w:type="spellStart"/>
      <w:r w:rsidRPr="00E336A2">
        <w:rPr>
          <w:rFonts w:eastAsia="Times New Roman" w:cs="Arial"/>
          <w:i/>
          <w:iCs/>
          <w:color w:val="000000"/>
        </w:rPr>
        <w:t>Piluso</w:t>
      </w:r>
      <w:proofErr w:type="spellEnd"/>
      <w:r w:rsidRPr="00E336A2">
        <w:rPr>
          <w:rFonts w:eastAsia="Times New Roman" w:cs="Arial"/>
          <w:i/>
          <w:iCs/>
          <w:color w:val="000000"/>
        </w:rPr>
        <w:t xml:space="preserve"> v. Spencer</w:t>
      </w:r>
      <w:r w:rsidRPr="00E336A2">
        <w:rPr>
          <w:rFonts w:eastAsia="Times New Roman" w:cs="Arial"/>
          <w:color w:val="000000"/>
        </w:rPr>
        <w:t xml:space="preserve"> (1918), 36</w:t>
      </w:r>
      <w:r w:rsidR="002F1E20">
        <w:rPr>
          <w:rFonts w:eastAsia="Times New Roman" w:cs="Arial"/>
          <w:color w:val="000000"/>
        </w:rPr>
        <w:t> </w:t>
      </w:r>
      <w:proofErr w:type="spellStart"/>
      <w:r w:rsidRPr="00E336A2">
        <w:rPr>
          <w:rFonts w:eastAsia="Times New Roman" w:cs="Arial"/>
          <w:color w:val="000000"/>
        </w:rPr>
        <w:t>Cal.App</w:t>
      </w:r>
      <w:proofErr w:type="spellEnd"/>
      <w:r w:rsidRPr="00E336A2">
        <w:rPr>
          <w:rFonts w:eastAsia="Times New Roman" w:cs="Arial"/>
          <w:color w:val="000000"/>
        </w:rPr>
        <w:t>. 416, 419</w:t>
      </w:r>
      <w:r w:rsidR="004853E6" w:rsidRPr="00E336A2">
        <w:rPr>
          <w:rFonts w:eastAsia="Times New Roman" w:cs="Arial"/>
          <w:color w:val="000000"/>
        </w:rPr>
        <w:t xml:space="preserve"> . . . </w:t>
      </w:r>
      <w:r w:rsidRPr="00E336A2">
        <w:rPr>
          <w:rFonts w:eastAsia="Times New Roman" w:cs="Arial"/>
          <w:color w:val="000000"/>
        </w:rPr>
        <w:t>, and there is no valid reason why the extension of the prohibition against discrimination to ‘all business establishments,’ including those dealing with housing, would be violative of due process.</w:t>
      </w:r>
      <w:r w:rsidR="00B92196" w:rsidRPr="00E336A2">
        <w:rPr>
          <w:rFonts w:eastAsia="Times New Roman" w:cs="Arial"/>
          <w:color w:val="000000"/>
        </w:rPr>
        <w:t xml:space="preserve"> </w:t>
      </w:r>
      <w:r w:rsidR="000F12D9" w:rsidRPr="00E336A2">
        <w:rPr>
          <w:rFonts w:eastAsia="Times New Roman" w:cs="Arial"/>
          <w:color w:val="000000"/>
        </w:rPr>
        <w:t xml:space="preserve"> Discrimination in housing leads to lack of adequate housing for minority groups </w:t>
      </w:r>
      <w:r w:rsidR="000E3BBC" w:rsidRPr="00E336A2">
        <w:rPr>
          <w:rFonts w:eastAsia="Times New Roman" w:cs="Arial"/>
          <w:color w:val="000000"/>
        </w:rPr>
        <w:t>[citatio</w:t>
      </w:r>
      <w:r w:rsidR="00B92196" w:rsidRPr="00E336A2">
        <w:rPr>
          <w:rFonts w:eastAsia="Times New Roman" w:cs="Arial"/>
          <w:color w:val="000000"/>
        </w:rPr>
        <w:t>n</w:t>
      </w:r>
      <w:r w:rsidR="000E3BBC" w:rsidRPr="00E336A2">
        <w:rPr>
          <w:rFonts w:eastAsia="Times New Roman" w:cs="Arial"/>
          <w:color w:val="000000"/>
        </w:rPr>
        <w:t>]</w:t>
      </w:r>
      <w:r w:rsidR="000F12D9" w:rsidRPr="00E336A2">
        <w:rPr>
          <w:rFonts w:eastAsia="Times New Roman" w:cs="Arial"/>
          <w:color w:val="000000"/>
        </w:rPr>
        <w:t xml:space="preserve">, and inadequate housing conditions contribute to disease, crime, and immorality. </w:t>
      </w:r>
      <w:r w:rsidR="00B92196" w:rsidRPr="00E336A2">
        <w:rPr>
          <w:rFonts w:eastAsia="Times New Roman" w:cs="Arial"/>
          <w:color w:val="000000"/>
        </w:rPr>
        <w:t xml:space="preserve"> </w:t>
      </w:r>
      <w:r w:rsidR="000F12D9" w:rsidRPr="00E336A2">
        <w:rPr>
          <w:rFonts w:eastAsia="Times New Roman" w:cs="Arial"/>
          <w:color w:val="000000"/>
        </w:rPr>
        <w:t xml:space="preserve">Under the police power reasonable restrictions may be placed upon the conduct of any business and the use of any property </w:t>
      </w:r>
      <w:r w:rsidR="000E3BBC" w:rsidRPr="00E336A2">
        <w:rPr>
          <w:rFonts w:eastAsia="Times New Roman" w:cs="Arial"/>
          <w:color w:val="000000"/>
        </w:rPr>
        <w:t>[citations]</w:t>
      </w:r>
      <w:r w:rsidR="000F12D9" w:rsidRPr="00E336A2">
        <w:rPr>
          <w:rFonts w:eastAsia="Times New Roman" w:cs="Arial"/>
          <w:color w:val="000000"/>
        </w:rPr>
        <w:t>, and the restriction here imposed in furtherance of the policy against discrimination is reasonable.</w:t>
      </w:r>
      <w:r w:rsidR="004853E6" w:rsidRPr="00E336A2">
        <w:rPr>
          <w:rFonts w:eastAsia="Times New Roman" w:cs="Arial"/>
          <w:color w:val="000000"/>
        </w:rPr>
        <w:t xml:space="preserve">” </w:t>
      </w:r>
      <w:r w:rsidR="00B92196" w:rsidRPr="00E336A2">
        <w:rPr>
          <w:rFonts w:eastAsia="Times New Roman" w:cs="Arial"/>
          <w:color w:val="000000"/>
        </w:rPr>
        <w:t xml:space="preserve"> </w:t>
      </w:r>
      <w:r w:rsidR="004853E6" w:rsidRPr="00E336A2">
        <w:rPr>
          <w:rFonts w:eastAsia="Times New Roman" w:cs="Arial"/>
          <w:color w:val="000000"/>
        </w:rPr>
        <w:t>(</w:t>
      </w:r>
      <w:r w:rsidR="004853E6" w:rsidRPr="00E336A2">
        <w:rPr>
          <w:rFonts w:eastAsia="Times New Roman" w:cs="Arial"/>
          <w:i/>
          <w:iCs/>
          <w:color w:val="000000"/>
        </w:rPr>
        <w:t xml:space="preserve">Burks, supra, </w:t>
      </w:r>
      <w:r w:rsidR="004853E6" w:rsidRPr="00E336A2">
        <w:rPr>
          <w:rFonts w:eastAsia="Times New Roman" w:cs="Arial"/>
          <w:color w:val="000000"/>
        </w:rPr>
        <w:t>57 Cal.2d at p. 471</w:t>
      </w:r>
      <w:r w:rsidR="002F30D6" w:rsidRPr="00E336A2">
        <w:rPr>
          <w:rFonts w:eastAsia="Times New Roman" w:cs="Arial"/>
          <w:color w:val="000000"/>
        </w:rPr>
        <w:t>.)</w:t>
      </w:r>
    </w:p>
    <w:p w14:paraId="2853F576" w14:textId="77777777" w:rsidR="004853E6" w:rsidRPr="00E336A2" w:rsidRDefault="004853E6" w:rsidP="00ED7349">
      <w:pPr>
        <w:spacing w:line="360" w:lineRule="auto"/>
        <w:rPr>
          <w:rFonts w:ascii="Source Sans Pro" w:eastAsia="Times New Roman" w:hAnsi="Source Sans Pro" w:cs="Arial"/>
          <w:color w:val="000000"/>
          <w:sz w:val="24"/>
          <w:szCs w:val="24"/>
        </w:rPr>
      </w:pPr>
      <w:r w:rsidRPr="00E336A2">
        <w:rPr>
          <w:rFonts w:eastAsia="Times New Roman" w:cs="Arial"/>
          <w:color w:val="000000"/>
        </w:rPr>
        <w:tab/>
      </w:r>
      <w:r w:rsidR="005D4323" w:rsidRPr="00E336A2">
        <w:rPr>
          <w:rFonts w:eastAsia="Times New Roman" w:cs="Arial"/>
          <w:color w:val="000000"/>
        </w:rPr>
        <w:t xml:space="preserve">In </w:t>
      </w:r>
      <w:r w:rsidR="005D4323" w:rsidRPr="00E336A2">
        <w:rPr>
          <w:rFonts w:eastAsia="Times New Roman" w:cs="Arial"/>
          <w:i/>
          <w:iCs/>
          <w:color w:val="000000"/>
        </w:rPr>
        <w:t xml:space="preserve">O’Connor, </w:t>
      </w:r>
      <w:r w:rsidR="005D4323" w:rsidRPr="00E336A2">
        <w:rPr>
          <w:rFonts w:eastAsia="Times New Roman" w:cs="Arial"/>
          <w:color w:val="000000"/>
        </w:rPr>
        <w:t>the court considered whether a nonprofit condominium association</w:t>
      </w:r>
      <w:r w:rsidR="000E3BBC" w:rsidRPr="00E336A2">
        <w:rPr>
          <w:rFonts w:eastAsia="Times New Roman" w:cs="Arial"/>
          <w:color w:val="000000"/>
        </w:rPr>
        <w:t xml:space="preserve"> </w:t>
      </w:r>
      <w:r w:rsidR="005D4323" w:rsidRPr="00E336A2">
        <w:rPr>
          <w:rFonts w:eastAsia="Times New Roman" w:cs="Arial"/>
          <w:color w:val="000000"/>
        </w:rPr>
        <w:t xml:space="preserve">that adopted </w:t>
      </w:r>
      <w:r w:rsidR="000E3BBC" w:rsidRPr="00E336A2">
        <w:rPr>
          <w:rFonts w:eastAsia="Times New Roman" w:cs="Arial"/>
          <w:color w:val="000000"/>
        </w:rPr>
        <w:t>age-restrictive covenants</w:t>
      </w:r>
      <w:r w:rsidR="005D4323" w:rsidRPr="00E336A2">
        <w:rPr>
          <w:rFonts w:eastAsia="Times New Roman" w:cs="Arial"/>
          <w:color w:val="000000"/>
        </w:rPr>
        <w:t xml:space="preserve"> </w:t>
      </w:r>
      <w:r w:rsidR="00ED7349" w:rsidRPr="00E336A2">
        <w:rPr>
          <w:rFonts w:eastAsia="Times New Roman" w:cs="Arial"/>
          <w:color w:val="000000"/>
        </w:rPr>
        <w:t xml:space="preserve">was </w:t>
      </w:r>
      <w:r w:rsidR="005D4323" w:rsidRPr="00E336A2">
        <w:rPr>
          <w:rFonts w:eastAsia="Times New Roman" w:cs="Arial"/>
          <w:color w:val="000000"/>
        </w:rPr>
        <w:t xml:space="preserve">a business establishment </w:t>
      </w:r>
      <w:r w:rsidR="000E3BBC" w:rsidRPr="00E336A2">
        <w:rPr>
          <w:rFonts w:eastAsia="Times New Roman" w:cs="Arial"/>
          <w:color w:val="000000"/>
        </w:rPr>
        <w:t xml:space="preserve">under </w:t>
      </w:r>
      <w:r w:rsidR="005D4323" w:rsidRPr="00E336A2">
        <w:rPr>
          <w:rFonts w:eastAsia="Times New Roman" w:cs="Arial"/>
          <w:color w:val="000000"/>
        </w:rPr>
        <w:t xml:space="preserve">the </w:t>
      </w:r>
      <w:r w:rsidR="002F1E20">
        <w:rPr>
          <w:rFonts w:eastAsia="Times New Roman" w:cs="Arial"/>
          <w:color w:val="000000"/>
        </w:rPr>
        <w:t xml:space="preserve">Unruh </w:t>
      </w:r>
      <w:r w:rsidR="005D4323" w:rsidRPr="00E336A2">
        <w:rPr>
          <w:rFonts w:eastAsia="Times New Roman" w:cs="Arial"/>
          <w:color w:val="000000"/>
        </w:rPr>
        <w:t>Act.</w:t>
      </w:r>
      <w:r w:rsidR="00ED7349" w:rsidRPr="00E336A2">
        <w:rPr>
          <w:rFonts w:eastAsia="Times New Roman" w:cs="Arial"/>
          <w:color w:val="000000"/>
        </w:rPr>
        <w:t xml:space="preserve">  </w:t>
      </w:r>
      <w:r w:rsidR="005329ED" w:rsidRPr="00E336A2">
        <w:rPr>
          <w:rFonts w:eastAsia="Times New Roman" w:cs="Arial"/>
          <w:color w:val="000000"/>
        </w:rPr>
        <w:t>(</w:t>
      </w:r>
      <w:r w:rsidR="005329ED" w:rsidRPr="00E336A2">
        <w:rPr>
          <w:rFonts w:eastAsia="Times New Roman" w:cs="Arial"/>
          <w:i/>
          <w:iCs/>
          <w:color w:val="000000"/>
        </w:rPr>
        <w:t xml:space="preserve">O’Connor, supra, </w:t>
      </w:r>
      <w:r w:rsidR="005329ED" w:rsidRPr="00E336A2">
        <w:rPr>
          <w:rFonts w:eastAsia="Times New Roman" w:cs="Arial"/>
          <w:color w:val="000000"/>
        </w:rPr>
        <w:t xml:space="preserve">33 Cal.3d at pp. 792, 796.)  </w:t>
      </w:r>
      <w:r w:rsidR="00ED7349" w:rsidRPr="00E336A2">
        <w:rPr>
          <w:rFonts w:eastAsia="Times New Roman" w:cs="Arial"/>
          <w:color w:val="000000"/>
        </w:rPr>
        <w:t xml:space="preserve">The court concluded it </w:t>
      </w:r>
      <w:r w:rsidR="000E3BBC" w:rsidRPr="00E336A2">
        <w:rPr>
          <w:rFonts w:eastAsia="Times New Roman" w:cs="Arial"/>
          <w:color w:val="000000"/>
        </w:rPr>
        <w:t xml:space="preserve">was, </w:t>
      </w:r>
      <w:r w:rsidR="00ED7349" w:rsidRPr="00E336A2">
        <w:rPr>
          <w:rFonts w:eastAsia="Times New Roman" w:cs="Arial"/>
          <w:color w:val="000000"/>
        </w:rPr>
        <w:t xml:space="preserve">explaining: </w:t>
      </w:r>
      <w:r w:rsidR="00B92196" w:rsidRPr="00E336A2">
        <w:rPr>
          <w:rFonts w:eastAsia="Times New Roman" w:cs="Arial"/>
          <w:color w:val="000000"/>
        </w:rPr>
        <w:t xml:space="preserve"> </w:t>
      </w:r>
      <w:r w:rsidR="00ED7349" w:rsidRPr="00E336A2">
        <w:rPr>
          <w:rFonts w:eastAsia="Times New Roman" w:cs="Arial"/>
          <w:color w:val="000000"/>
        </w:rPr>
        <w:t>“Although our cases so far have all dealt with profit</w:t>
      </w:r>
      <w:r w:rsidR="005329ED" w:rsidRPr="00E336A2">
        <w:rPr>
          <w:rFonts w:eastAsia="Times New Roman" w:cs="Arial"/>
          <w:color w:val="000000"/>
        </w:rPr>
        <w:t>-</w:t>
      </w:r>
      <w:r w:rsidR="00ED7349" w:rsidRPr="00E336A2">
        <w:rPr>
          <w:rFonts w:eastAsia="Times New Roman" w:cs="Arial"/>
          <w:color w:val="000000"/>
        </w:rPr>
        <w:t>making entities, we see no reason to insist that profit</w:t>
      </w:r>
      <w:r w:rsidR="005329ED" w:rsidRPr="00E336A2">
        <w:rPr>
          <w:rFonts w:eastAsia="Times New Roman" w:cs="Arial"/>
          <w:color w:val="000000"/>
        </w:rPr>
        <w:t>-</w:t>
      </w:r>
      <w:r w:rsidR="00ED7349" w:rsidRPr="00E336A2">
        <w:rPr>
          <w:rFonts w:eastAsia="Times New Roman" w:cs="Arial"/>
          <w:color w:val="000000"/>
        </w:rPr>
        <w:t xml:space="preserve">seeking be the </w:t>
      </w:r>
      <w:r w:rsidR="00ED7349" w:rsidRPr="00E336A2">
        <w:rPr>
          <w:rFonts w:eastAsia="Times New Roman" w:cs="Arial"/>
          <w:i/>
          <w:iCs/>
          <w:color w:val="000000"/>
        </w:rPr>
        <w:t xml:space="preserve">sine qua non </w:t>
      </w:r>
      <w:r w:rsidR="00ED7349" w:rsidRPr="00E336A2">
        <w:rPr>
          <w:rFonts w:eastAsia="Times New Roman" w:cs="Arial"/>
          <w:color w:val="000000"/>
        </w:rPr>
        <w:t>for coverage under the act.</w:t>
      </w:r>
      <w:r w:rsidR="00B92196" w:rsidRPr="00E336A2">
        <w:rPr>
          <w:rFonts w:eastAsia="Times New Roman" w:cs="Arial"/>
          <w:color w:val="000000"/>
        </w:rPr>
        <w:t xml:space="preserve"> </w:t>
      </w:r>
      <w:r w:rsidR="00ED7349" w:rsidRPr="00E336A2">
        <w:rPr>
          <w:rFonts w:eastAsia="Times New Roman" w:cs="Arial"/>
          <w:color w:val="000000"/>
        </w:rPr>
        <w:t xml:space="preserve"> </w:t>
      </w:r>
      <w:r w:rsidR="005D4323" w:rsidRPr="00E336A2">
        <w:rPr>
          <w:rFonts w:eastAsia="Times New Roman" w:cs="Arial"/>
          <w:color w:val="000000"/>
        </w:rPr>
        <w:t>Nothing in the language or history of [the Act] calls for excluding an organization from its scope simply because it is nonprofit.</w:t>
      </w:r>
      <w:r w:rsidR="00B92196" w:rsidRPr="00E336A2">
        <w:rPr>
          <w:rFonts w:eastAsia="Times New Roman" w:cs="Arial"/>
          <w:color w:val="000000"/>
        </w:rPr>
        <w:t xml:space="preserve"> </w:t>
      </w:r>
      <w:r w:rsidR="005D4323" w:rsidRPr="00E336A2">
        <w:rPr>
          <w:rFonts w:eastAsia="Times New Roman" w:cs="Arial"/>
          <w:color w:val="000000"/>
        </w:rPr>
        <w:t xml:space="preserve"> [Citation.]</w:t>
      </w:r>
      <w:r w:rsidR="00B92196" w:rsidRPr="00E336A2">
        <w:rPr>
          <w:rFonts w:eastAsia="Times New Roman" w:cs="Arial"/>
          <w:color w:val="000000"/>
        </w:rPr>
        <w:t xml:space="preserve"> </w:t>
      </w:r>
      <w:r w:rsidR="005D4323" w:rsidRPr="00E336A2">
        <w:rPr>
          <w:rFonts w:eastAsia="Times New Roman" w:cs="Arial"/>
          <w:color w:val="000000"/>
        </w:rPr>
        <w:t xml:space="preserve"> Indeed, hospitals are often nonprofit organizations, and they are clearly business establishments to the extent that they employ a vast array of persons, care for an extensive physical plant and charge substantial fees to those who use the facilities. </w:t>
      </w:r>
      <w:r w:rsidR="00B92196" w:rsidRPr="00E336A2">
        <w:rPr>
          <w:rFonts w:eastAsia="Times New Roman" w:cs="Arial"/>
          <w:color w:val="000000"/>
        </w:rPr>
        <w:t xml:space="preserve"> </w:t>
      </w:r>
      <w:r w:rsidR="005D4323" w:rsidRPr="00E336A2">
        <w:rPr>
          <w:rFonts w:eastAsia="Times New Roman" w:cs="Arial"/>
          <w:color w:val="000000"/>
        </w:rPr>
        <w:lastRenderedPageBreak/>
        <w:t>The Village Green Owners Association has sufficient businesslike attributes to fall within the scope of the act</w:t>
      </w:r>
      <w:r w:rsidR="005329ED" w:rsidRPr="00E336A2">
        <w:rPr>
          <w:rFonts w:eastAsia="Times New Roman" w:cs="Arial"/>
          <w:color w:val="000000"/>
        </w:rPr>
        <w:t>’</w:t>
      </w:r>
      <w:r w:rsidR="005D4323" w:rsidRPr="00E336A2">
        <w:rPr>
          <w:rFonts w:eastAsia="Times New Roman" w:cs="Arial"/>
          <w:color w:val="000000"/>
        </w:rPr>
        <w:t xml:space="preserve">s reference to ‘business establishments of every kind whatsoever.’ </w:t>
      </w:r>
      <w:r w:rsidR="00B92196" w:rsidRPr="00E336A2">
        <w:rPr>
          <w:rFonts w:eastAsia="Times New Roman" w:cs="Arial"/>
          <w:color w:val="000000"/>
        </w:rPr>
        <w:t xml:space="preserve"> </w:t>
      </w:r>
      <w:r w:rsidR="005D4323" w:rsidRPr="00E336A2">
        <w:rPr>
          <w:rFonts w:eastAsia="Times New Roman" w:cs="Arial"/>
          <w:color w:val="000000"/>
        </w:rPr>
        <w:t>Contrary to the association</w:t>
      </w:r>
      <w:r w:rsidR="000E043A" w:rsidRPr="00E336A2">
        <w:rPr>
          <w:rFonts w:eastAsia="Times New Roman" w:cs="Arial"/>
          <w:color w:val="000000"/>
        </w:rPr>
        <w:t>’</w:t>
      </w:r>
      <w:r w:rsidR="005D4323" w:rsidRPr="00E336A2">
        <w:rPr>
          <w:rFonts w:eastAsia="Times New Roman" w:cs="Arial"/>
          <w:color w:val="000000"/>
        </w:rPr>
        <w:t>s attempt to characterize itself as but an organization that ‘mows lawns</w:t>
      </w:r>
      <w:r w:rsidR="000E043A" w:rsidRPr="00E336A2">
        <w:rPr>
          <w:rFonts w:eastAsia="Times New Roman" w:cs="Arial"/>
          <w:color w:val="000000"/>
        </w:rPr>
        <w:t>’</w:t>
      </w:r>
      <w:r w:rsidR="005D4323" w:rsidRPr="00E336A2">
        <w:rPr>
          <w:rFonts w:eastAsia="Times New Roman" w:cs="Arial"/>
          <w:color w:val="000000"/>
        </w:rPr>
        <w:t xml:space="preserve"> for owners, the association </w:t>
      </w:r>
      <w:proofErr w:type="gramStart"/>
      <w:r w:rsidR="005D4323" w:rsidRPr="00E336A2">
        <w:rPr>
          <w:rFonts w:eastAsia="Times New Roman" w:cs="Arial"/>
          <w:color w:val="000000"/>
        </w:rPr>
        <w:t>in reality has</w:t>
      </w:r>
      <w:proofErr w:type="gramEnd"/>
      <w:r w:rsidR="005D4323" w:rsidRPr="00E336A2">
        <w:rPr>
          <w:rFonts w:eastAsia="Times New Roman" w:cs="Arial"/>
          <w:color w:val="000000"/>
        </w:rPr>
        <w:t xml:space="preserve"> a far broader and more businesslike purpose.</w:t>
      </w:r>
      <w:r w:rsidR="00B92196" w:rsidRPr="00E336A2">
        <w:rPr>
          <w:rFonts w:eastAsia="Times New Roman" w:cs="Arial"/>
          <w:color w:val="000000"/>
        </w:rPr>
        <w:t xml:space="preserve">  </w:t>
      </w:r>
      <w:r w:rsidR="005D4323" w:rsidRPr="00E336A2">
        <w:rPr>
          <w:rFonts w:eastAsia="Times New Roman" w:cs="Arial"/>
          <w:color w:val="000000"/>
        </w:rPr>
        <w:t>The association, through a board of directors, is charged with employing a professional property management firm, with obtaining insurance for the benefit of all owners and with maintaining and repairing all common areas and facilities of the 629–unit project.</w:t>
      </w:r>
      <w:r w:rsidR="00B92196" w:rsidRPr="00E336A2">
        <w:rPr>
          <w:rFonts w:eastAsia="Times New Roman" w:cs="Arial"/>
          <w:color w:val="000000"/>
        </w:rPr>
        <w:t xml:space="preserve"> </w:t>
      </w:r>
      <w:r w:rsidR="005D4323" w:rsidRPr="00E336A2">
        <w:rPr>
          <w:rFonts w:eastAsia="Times New Roman" w:cs="Arial"/>
          <w:color w:val="000000"/>
        </w:rPr>
        <w:t xml:space="preserve"> It is also charged with establishing and collecting assessments from all owners to pay for its undertakings and with adopting and enforcing rules and regulations for the common good. </w:t>
      </w:r>
      <w:r w:rsidR="00B92196" w:rsidRPr="00E336A2">
        <w:rPr>
          <w:rFonts w:eastAsia="Times New Roman" w:cs="Arial"/>
          <w:color w:val="000000"/>
        </w:rPr>
        <w:t xml:space="preserve"> </w:t>
      </w:r>
      <w:r w:rsidR="005D4323" w:rsidRPr="00E336A2">
        <w:rPr>
          <w:rFonts w:eastAsia="Times New Roman" w:cs="Arial"/>
          <w:color w:val="000000"/>
        </w:rPr>
        <w:t>In brief, the association performs all the customary business functions which in the traditional landlord-tenant relationship rest on the landlord</w:t>
      </w:r>
      <w:r w:rsidR="000E043A" w:rsidRPr="00E336A2">
        <w:rPr>
          <w:rFonts w:eastAsia="Times New Roman" w:cs="Arial"/>
          <w:color w:val="000000"/>
        </w:rPr>
        <w:t>’</w:t>
      </w:r>
      <w:r w:rsidR="005D4323" w:rsidRPr="00E336A2">
        <w:rPr>
          <w:rFonts w:eastAsia="Times New Roman" w:cs="Arial"/>
          <w:color w:val="000000"/>
        </w:rPr>
        <w:t xml:space="preserve">s shoulders. </w:t>
      </w:r>
      <w:r w:rsidR="00B92196" w:rsidRPr="00E336A2">
        <w:rPr>
          <w:rFonts w:eastAsia="Times New Roman" w:cs="Arial"/>
          <w:color w:val="000000"/>
        </w:rPr>
        <w:t xml:space="preserve"> </w:t>
      </w:r>
      <w:r w:rsidR="005D4323" w:rsidRPr="00E336A2">
        <w:rPr>
          <w:rFonts w:eastAsia="Times New Roman" w:cs="Arial"/>
          <w:color w:val="000000"/>
        </w:rPr>
        <w:t>A theme running throughout the description of the association</w:t>
      </w:r>
      <w:r w:rsidR="000E043A" w:rsidRPr="00E336A2">
        <w:rPr>
          <w:rFonts w:eastAsia="Times New Roman" w:cs="Arial"/>
          <w:color w:val="000000"/>
        </w:rPr>
        <w:t>’</w:t>
      </w:r>
      <w:r w:rsidR="005D4323" w:rsidRPr="00E336A2">
        <w:rPr>
          <w:rFonts w:eastAsia="Times New Roman" w:cs="Arial"/>
          <w:color w:val="000000"/>
        </w:rPr>
        <w:t>s powers and duties is that its overall function is to protect and enhance the project</w:t>
      </w:r>
      <w:r w:rsidR="002F30D6" w:rsidRPr="00E336A2">
        <w:rPr>
          <w:rFonts w:eastAsia="Times New Roman" w:cs="Arial"/>
          <w:color w:val="000000"/>
        </w:rPr>
        <w:t>’</w:t>
      </w:r>
      <w:r w:rsidR="005D4323" w:rsidRPr="00E336A2">
        <w:rPr>
          <w:rFonts w:eastAsia="Times New Roman" w:cs="Arial"/>
          <w:color w:val="000000"/>
        </w:rPr>
        <w:t xml:space="preserve">s economic value. </w:t>
      </w:r>
      <w:r w:rsidR="00B92196" w:rsidRPr="00E336A2">
        <w:rPr>
          <w:rFonts w:eastAsia="Times New Roman" w:cs="Arial"/>
          <w:color w:val="000000"/>
        </w:rPr>
        <w:t xml:space="preserve"> </w:t>
      </w:r>
      <w:r w:rsidR="005D4323" w:rsidRPr="00E336A2">
        <w:rPr>
          <w:rFonts w:eastAsia="Times New Roman" w:cs="Arial"/>
          <w:color w:val="000000"/>
        </w:rPr>
        <w:t>Consistent with the Legislature</w:t>
      </w:r>
      <w:r w:rsidR="005329ED" w:rsidRPr="00E336A2">
        <w:rPr>
          <w:rFonts w:eastAsia="Times New Roman" w:cs="Arial"/>
          <w:color w:val="000000"/>
        </w:rPr>
        <w:t>’</w:t>
      </w:r>
      <w:r w:rsidR="005D4323" w:rsidRPr="00E336A2">
        <w:rPr>
          <w:rFonts w:eastAsia="Times New Roman" w:cs="Arial"/>
          <w:color w:val="000000"/>
        </w:rPr>
        <w:t>s intent to use the term ‘business establishments</w:t>
      </w:r>
      <w:r w:rsidR="006E4374" w:rsidRPr="00E336A2">
        <w:rPr>
          <w:rFonts w:eastAsia="Times New Roman" w:cs="Arial"/>
          <w:color w:val="000000"/>
        </w:rPr>
        <w:t>’</w:t>
      </w:r>
      <w:r w:rsidR="005D4323" w:rsidRPr="00E336A2">
        <w:rPr>
          <w:rFonts w:eastAsia="Times New Roman" w:cs="Arial"/>
          <w:color w:val="000000"/>
        </w:rPr>
        <w:t xml:space="preserve"> in the broadest sense reasonably possible </w:t>
      </w:r>
      <w:r w:rsidR="000E3BBC" w:rsidRPr="00E336A2">
        <w:rPr>
          <w:rFonts w:eastAsia="Times New Roman" w:cs="Arial"/>
          <w:color w:val="000000"/>
        </w:rPr>
        <w:t>[citation]</w:t>
      </w:r>
      <w:r w:rsidR="005D4323" w:rsidRPr="00E336A2">
        <w:rPr>
          <w:rFonts w:eastAsia="Times New Roman" w:cs="Arial"/>
          <w:color w:val="000000"/>
        </w:rPr>
        <w:t>, we conclude that the Village Green Owners Association is a business establishment within the meaning of the act.”  (</w:t>
      </w:r>
      <w:r w:rsidR="005329ED" w:rsidRPr="00E336A2">
        <w:rPr>
          <w:rFonts w:eastAsia="Times New Roman" w:cs="Arial"/>
          <w:i/>
          <w:iCs/>
          <w:color w:val="000000"/>
        </w:rPr>
        <w:t>Id.</w:t>
      </w:r>
      <w:r w:rsidR="005D4323" w:rsidRPr="00E336A2">
        <w:rPr>
          <w:rFonts w:eastAsia="Times New Roman" w:cs="Arial"/>
          <w:color w:val="000000"/>
        </w:rPr>
        <w:t xml:space="preserve"> </w:t>
      </w:r>
      <w:r w:rsidR="005329ED" w:rsidRPr="00E336A2">
        <w:rPr>
          <w:rFonts w:eastAsia="Times New Roman" w:cs="Arial"/>
          <w:color w:val="000000"/>
        </w:rPr>
        <w:t>at p. 796</w:t>
      </w:r>
      <w:r w:rsidR="005D4323" w:rsidRPr="00E336A2">
        <w:rPr>
          <w:rFonts w:eastAsia="Times New Roman" w:cs="Arial"/>
          <w:color w:val="000000"/>
        </w:rPr>
        <w:t>.)</w:t>
      </w:r>
      <w:r w:rsidRPr="00E336A2">
        <w:rPr>
          <w:rFonts w:ascii="Source Sans Pro" w:eastAsia="Times New Roman" w:hAnsi="Source Sans Pro" w:cs="Arial"/>
          <w:color w:val="000000"/>
          <w:sz w:val="24"/>
          <w:szCs w:val="24"/>
        </w:rPr>
        <w:t xml:space="preserve">   </w:t>
      </w:r>
    </w:p>
    <w:p w14:paraId="37FC7F38" w14:textId="77777777" w:rsidR="00D721EE" w:rsidRPr="00E336A2" w:rsidRDefault="00ED7349" w:rsidP="004B594E">
      <w:pPr>
        <w:spacing w:line="360" w:lineRule="auto"/>
        <w:rPr>
          <w:rFonts w:eastAsia="Times New Roman" w:cs="Arial"/>
          <w:iCs/>
          <w:color w:val="000000"/>
        </w:rPr>
      </w:pPr>
      <w:r w:rsidRPr="00E336A2">
        <w:rPr>
          <w:rFonts w:eastAsia="Times New Roman" w:cs="Arial"/>
          <w:color w:val="000000"/>
        </w:rPr>
        <w:tab/>
        <w:t xml:space="preserve">In </w:t>
      </w:r>
      <w:proofErr w:type="spellStart"/>
      <w:r w:rsidRPr="00E336A2">
        <w:rPr>
          <w:rFonts w:eastAsia="Times New Roman" w:cs="Arial"/>
          <w:i/>
          <w:iCs/>
          <w:color w:val="000000"/>
        </w:rPr>
        <w:t>Isbister</w:t>
      </w:r>
      <w:proofErr w:type="spellEnd"/>
      <w:r w:rsidRPr="00E336A2">
        <w:rPr>
          <w:rFonts w:eastAsia="Times New Roman" w:cs="Arial"/>
          <w:i/>
          <w:iCs/>
          <w:color w:val="000000"/>
        </w:rPr>
        <w:t xml:space="preserve">, </w:t>
      </w:r>
      <w:r w:rsidRPr="00E336A2">
        <w:rPr>
          <w:rFonts w:eastAsia="Times New Roman" w:cs="Arial"/>
          <w:color w:val="000000"/>
        </w:rPr>
        <w:t xml:space="preserve">the court </w:t>
      </w:r>
      <w:r w:rsidR="004B594E" w:rsidRPr="00E336A2">
        <w:rPr>
          <w:rFonts w:eastAsia="Times New Roman" w:cs="Arial"/>
          <w:color w:val="000000"/>
        </w:rPr>
        <w:t xml:space="preserve">considered whether </w:t>
      </w:r>
      <w:r w:rsidR="000E3BBC" w:rsidRPr="00E336A2">
        <w:rPr>
          <w:rFonts w:eastAsia="Times New Roman" w:cs="Arial"/>
          <w:color w:val="000000"/>
        </w:rPr>
        <w:t xml:space="preserve">a local </w:t>
      </w:r>
      <w:r w:rsidR="004B594E" w:rsidRPr="00E336A2">
        <w:rPr>
          <w:rFonts w:eastAsia="Times New Roman" w:cs="Arial"/>
          <w:color w:val="000000"/>
        </w:rPr>
        <w:t xml:space="preserve">Boys’ Club, a private charitable organization, </w:t>
      </w:r>
      <w:r w:rsidR="000E3BBC" w:rsidRPr="00E336A2">
        <w:rPr>
          <w:rFonts w:eastAsia="Times New Roman" w:cs="Arial"/>
          <w:color w:val="000000"/>
        </w:rPr>
        <w:t xml:space="preserve">was, </w:t>
      </w:r>
      <w:r w:rsidR="004B594E" w:rsidRPr="00E336A2">
        <w:rPr>
          <w:rFonts w:eastAsia="Times New Roman" w:cs="Arial"/>
          <w:color w:val="000000"/>
        </w:rPr>
        <w:t xml:space="preserve">in operating a “community recreational facility,” a business establishment under the </w:t>
      </w:r>
      <w:r w:rsidR="002F1E20">
        <w:rPr>
          <w:rFonts w:eastAsia="Times New Roman" w:cs="Arial"/>
          <w:color w:val="000000"/>
        </w:rPr>
        <w:t xml:space="preserve">Unruh </w:t>
      </w:r>
      <w:r w:rsidR="004B594E" w:rsidRPr="00E336A2">
        <w:rPr>
          <w:rFonts w:eastAsia="Times New Roman" w:cs="Arial"/>
          <w:color w:val="000000"/>
        </w:rPr>
        <w:t>Act.  (</w:t>
      </w:r>
      <w:proofErr w:type="spellStart"/>
      <w:r w:rsidR="004B594E" w:rsidRPr="00E336A2">
        <w:rPr>
          <w:rFonts w:eastAsia="Times New Roman" w:cs="Arial"/>
          <w:i/>
          <w:iCs/>
          <w:color w:val="000000"/>
        </w:rPr>
        <w:t>Isbister</w:t>
      </w:r>
      <w:proofErr w:type="spellEnd"/>
      <w:r w:rsidR="004B594E" w:rsidRPr="00E336A2">
        <w:rPr>
          <w:rFonts w:eastAsia="Times New Roman" w:cs="Arial"/>
          <w:i/>
          <w:iCs/>
          <w:color w:val="000000"/>
        </w:rPr>
        <w:t>, supra</w:t>
      </w:r>
      <w:r w:rsidR="004B594E" w:rsidRPr="00E336A2">
        <w:rPr>
          <w:rFonts w:eastAsia="Times New Roman" w:cs="Arial"/>
          <w:iCs/>
          <w:color w:val="000000"/>
        </w:rPr>
        <w:t>, 40</w:t>
      </w:r>
      <w:r w:rsidR="002F1E20">
        <w:rPr>
          <w:rFonts w:eastAsia="Times New Roman" w:cs="Arial"/>
          <w:iCs/>
          <w:color w:val="000000"/>
        </w:rPr>
        <w:t> </w:t>
      </w:r>
      <w:r w:rsidR="004B594E" w:rsidRPr="00E336A2">
        <w:rPr>
          <w:rFonts w:eastAsia="Times New Roman" w:cs="Arial"/>
          <w:iCs/>
          <w:color w:val="000000"/>
        </w:rPr>
        <w:t>Cal.3d at p. 76.)</w:t>
      </w:r>
      <w:r w:rsidR="000E3BBC" w:rsidRPr="00E336A2">
        <w:rPr>
          <w:rFonts w:eastAsia="Times New Roman" w:cs="Arial"/>
          <w:iCs/>
          <w:color w:val="000000"/>
        </w:rPr>
        <w:t xml:space="preserve">  The court concluded it was.  </w:t>
      </w:r>
      <w:r w:rsidR="00D721EE" w:rsidRPr="00E336A2">
        <w:rPr>
          <w:rFonts w:eastAsia="Times New Roman" w:cs="Arial"/>
          <w:iCs/>
          <w:color w:val="000000"/>
        </w:rPr>
        <w:t>(</w:t>
      </w:r>
      <w:r w:rsidR="00D721EE" w:rsidRPr="00E336A2">
        <w:rPr>
          <w:rFonts w:eastAsia="Times New Roman" w:cs="Arial"/>
          <w:i/>
          <w:color w:val="000000"/>
        </w:rPr>
        <w:t>Ibid.</w:t>
      </w:r>
      <w:r w:rsidR="00D721EE" w:rsidRPr="00E336A2">
        <w:rPr>
          <w:rFonts w:eastAsia="Times New Roman" w:cs="Arial"/>
          <w:iCs/>
          <w:color w:val="000000"/>
        </w:rPr>
        <w:t>)</w:t>
      </w:r>
      <w:r w:rsidR="000E3BBC" w:rsidRPr="00E336A2">
        <w:rPr>
          <w:rFonts w:eastAsia="Times New Roman" w:cs="Arial"/>
          <w:iCs/>
          <w:color w:val="000000"/>
        </w:rPr>
        <w:t xml:space="preserve">  </w:t>
      </w:r>
    </w:p>
    <w:p w14:paraId="6CA94887" w14:textId="77777777" w:rsidR="00D721EE" w:rsidRPr="00E336A2" w:rsidRDefault="00D721EE" w:rsidP="00D721EE">
      <w:pPr>
        <w:spacing w:line="360" w:lineRule="auto"/>
        <w:rPr>
          <w:rFonts w:eastAsia="Times New Roman" w:cs="Arial"/>
          <w:color w:val="000000"/>
        </w:rPr>
      </w:pPr>
      <w:r w:rsidRPr="00E336A2">
        <w:rPr>
          <w:rFonts w:eastAsia="Times New Roman" w:cs="Arial"/>
          <w:iCs/>
          <w:color w:val="000000"/>
        </w:rPr>
        <w:tab/>
      </w:r>
      <w:r w:rsidR="004B594E" w:rsidRPr="00E336A2">
        <w:rPr>
          <w:rFonts w:eastAsia="Times New Roman" w:cs="Arial"/>
          <w:iCs/>
          <w:color w:val="000000"/>
        </w:rPr>
        <w:t xml:space="preserve">The court commenced its opinion by stating: </w:t>
      </w:r>
      <w:r w:rsidR="005B124D" w:rsidRPr="00E336A2">
        <w:rPr>
          <w:rFonts w:eastAsia="Times New Roman" w:cs="Arial"/>
          <w:iCs/>
          <w:color w:val="000000"/>
        </w:rPr>
        <w:t xml:space="preserve"> </w:t>
      </w:r>
      <w:r w:rsidR="004B594E" w:rsidRPr="00E336A2">
        <w:rPr>
          <w:rFonts w:eastAsia="Times New Roman" w:cs="Arial"/>
          <w:iCs/>
          <w:color w:val="000000"/>
        </w:rPr>
        <w:t>“</w:t>
      </w:r>
      <w:r w:rsidR="004B594E" w:rsidRPr="00E336A2">
        <w:rPr>
          <w:rFonts w:eastAsia="Times New Roman" w:cs="Arial"/>
          <w:color w:val="000000"/>
        </w:rPr>
        <w:t>The Act is this state</w:t>
      </w:r>
      <w:r w:rsidR="000E043A" w:rsidRPr="00E336A2">
        <w:rPr>
          <w:rFonts w:eastAsia="Times New Roman" w:cs="Arial"/>
          <w:color w:val="000000"/>
        </w:rPr>
        <w:t>’</w:t>
      </w:r>
      <w:r w:rsidR="004B594E" w:rsidRPr="00E336A2">
        <w:rPr>
          <w:rFonts w:eastAsia="Times New Roman" w:cs="Arial"/>
          <w:color w:val="000000"/>
        </w:rPr>
        <w:t xml:space="preserve">s bulwark against arbitrary discrimination in places of public accommodation. </w:t>
      </w:r>
      <w:r w:rsidR="005B124D" w:rsidRPr="00E336A2">
        <w:rPr>
          <w:rFonts w:eastAsia="Times New Roman" w:cs="Arial"/>
          <w:color w:val="000000"/>
        </w:rPr>
        <w:t xml:space="preserve"> </w:t>
      </w:r>
      <w:r w:rsidR="004B594E" w:rsidRPr="00E336A2">
        <w:rPr>
          <w:rFonts w:eastAsia="Times New Roman" w:cs="Arial"/>
          <w:color w:val="000000"/>
        </w:rPr>
        <w:t xml:space="preserve">Absent the principle it codifies, thousands of facilities in private ownership, but otherwise open to the public, would be free under state law to exclude </w:t>
      </w:r>
      <w:r w:rsidR="004B594E" w:rsidRPr="00E336A2">
        <w:rPr>
          <w:rFonts w:eastAsia="Times New Roman" w:cs="Arial"/>
          <w:color w:val="000000"/>
        </w:rPr>
        <w:lastRenderedPageBreak/>
        <w:t>people for invidious reasons like sex, religion, age, and even race.</w:t>
      </w:r>
      <w:r w:rsidR="005B124D" w:rsidRPr="00E336A2">
        <w:rPr>
          <w:rFonts w:eastAsia="Times New Roman" w:cs="Arial"/>
          <w:color w:val="000000"/>
        </w:rPr>
        <w:t xml:space="preserve"> </w:t>
      </w:r>
      <w:r w:rsidR="004B594E" w:rsidRPr="00E336A2">
        <w:rPr>
          <w:rFonts w:eastAsia="Times New Roman" w:cs="Arial"/>
          <w:color w:val="000000"/>
        </w:rPr>
        <w:t xml:space="preserve"> The Legislature</w:t>
      </w:r>
      <w:r w:rsidR="000E043A" w:rsidRPr="00E336A2">
        <w:rPr>
          <w:rFonts w:eastAsia="Times New Roman" w:cs="Arial"/>
          <w:color w:val="000000"/>
        </w:rPr>
        <w:t>’</w:t>
      </w:r>
      <w:r w:rsidR="004B594E" w:rsidRPr="00E336A2">
        <w:rPr>
          <w:rFonts w:eastAsia="Times New Roman" w:cs="Arial"/>
          <w:color w:val="000000"/>
        </w:rPr>
        <w:t>s desire to banish such practices from California</w:t>
      </w:r>
      <w:r w:rsidR="00F63712" w:rsidRPr="00E336A2">
        <w:rPr>
          <w:rFonts w:eastAsia="Times New Roman" w:cs="Arial"/>
          <w:color w:val="000000"/>
        </w:rPr>
        <w:t>’</w:t>
      </w:r>
      <w:r w:rsidR="004B594E" w:rsidRPr="00E336A2">
        <w:rPr>
          <w:rFonts w:eastAsia="Times New Roman" w:cs="Arial"/>
          <w:color w:val="000000"/>
        </w:rPr>
        <w:t>s community life has led this court to interpret the Act</w:t>
      </w:r>
      <w:r w:rsidR="000E043A" w:rsidRPr="00E336A2">
        <w:rPr>
          <w:rFonts w:eastAsia="Times New Roman" w:cs="Arial"/>
          <w:color w:val="000000"/>
        </w:rPr>
        <w:t>’</w:t>
      </w:r>
      <w:r w:rsidR="004B594E" w:rsidRPr="00E336A2">
        <w:rPr>
          <w:rFonts w:eastAsia="Times New Roman" w:cs="Arial"/>
          <w:color w:val="000000"/>
        </w:rPr>
        <w:t>s coverage ‘in the broadest sense reasonably possible.’ ”</w:t>
      </w:r>
      <w:r w:rsidR="000E25EB" w:rsidRPr="00E336A2">
        <w:rPr>
          <w:rFonts w:eastAsia="Times New Roman" w:cs="Arial"/>
          <w:color w:val="000000"/>
        </w:rPr>
        <w:t xml:space="preserve"> </w:t>
      </w:r>
      <w:r w:rsidR="004B594E" w:rsidRPr="00E336A2">
        <w:rPr>
          <w:rFonts w:eastAsia="Times New Roman" w:cs="Arial"/>
          <w:color w:val="000000"/>
        </w:rPr>
        <w:t xml:space="preserve"> (</w:t>
      </w:r>
      <w:proofErr w:type="spellStart"/>
      <w:r w:rsidR="00B92196" w:rsidRPr="00E336A2">
        <w:rPr>
          <w:rFonts w:eastAsia="Times New Roman" w:cs="Arial"/>
          <w:i/>
          <w:iCs/>
          <w:color w:val="000000"/>
        </w:rPr>
        <w:t>Isbister</w:t>
      </w:r>
      <w:proofErr w:type="spellEnd"/>
      <w:r w:rsidR="00B92196" w:rsidRPr="00E336A2">
        <w:rPr>
          <w:rFonts w:eastAsia="Times New Roman" w:cs="Arial"/>
          <w:i/>
          <w:iCs/>
          <w:color w:val="000000"/>
        </w:rPr>
        <w:t>, supra</w:t>
      </w:r>
      <w:r w:rsidR="00B92196" w:rsidRPr="00E336A2">
        <w:rPr>
          <w:rFonts w:eastAsia="Times New Roman" w:cs="Arial"/>
          <w:iCs/>
          <w:color w:val="000000"/>
        </w:rPr>
        <w:t xml:space="preserve">, 40 Cal.3d </w:t>
      </w:r>
      <w:r w:rsidR="004B594E" w:rsidRPr="00E336A2">
        <w:rPr>
          <w:rFonts w:eastAsia="Times New Roman" w:cs="Arial"/>
          <w:color w:val="000000"/>
        </w:rPr>
        <w:t>at pp. 75</w:t>
      </w:r>
      <w:r w:rsidR="002F1E20" w:rsidRPr="00E336A2">
        <w:rPr>
          <w:rFonts w:eastAsia="Times New Roman" w:cs="Arial"/>
          <w:color w:val="000000"/>
        </w:rPr>
        <w:t>–</w:t>
      </w:r>
      <w:r w:rsidR="004B594E" w:rsidRPr="00E336A2">
        <w:rPr>
          <w:rFonts w:eastAsia="Times New Roman" w:cs="Arial"/>
          <w:color w:val="000000"/>
        </w:rPr>
        <w:t xml:space="preserve">76, quoting </w:t>
      </w:r>
      <w:r w:rsidR="004B594E" w:rsidRPr="00E336A2">
        <w:rPr>
          <w:rFonts w:eastAsia="Times New Roman" w:cs="Arial"/>
          <w:i/>
          <w:iCs/>
          <w:color w:val="000000"/>
        </w:rPr>
        <w:t xml:space="preserve">Burks, supra, </w:t>
      </w:r>
      <w:r w:rsidR="004B594E" w:rsidRPr="00E336A2">
        <w:rPr>
          <w:rFonts w:eastAsia="Times New Roman" w:cs="Arial"/>
          <w:color w:val="000000"/>
        </w:rPr>
        <w:t>57 Cal.2d at p. 468.)</w:t>
      </w:r>
      <w:r w:rsidR="004B594E" w:rsidRPr="00E336A2">
        <w:rPr>
          <w:rFonts w:eastAsia="Times New Roman" w:cs="Arial"/>
          <w:i/>
          <w:iCs/>
          <w:color w:val="000000"/>
        </w:rPr>
        <w:t xml:space="preserve"> </w:t>
      </w:r>
    </w:p>
    <w:p w14:paraId="3550644C" w14:textId="77777777" w:rsidR="001A71ED" w:rsidRPr="00E336A2" w:rsidRDefault="00D721EE" w:rsidP="00D721EE">
      <w:pPr>
        <w:spacing w:line="360" w:lineRule="auto"/>
        <w:rPr>
          <w:rFonts w:eastAsia="Times New Roman" w:cs="Arial"/>
          <w:color w:val="000000"/>
        </w:rPr>
      </w:pPr>
      <w:r w:rsidRPr="00E336A2">
        <w:rPr>
          <w:rFonts w:eastAsia="Times New Roman" w:cs="Arial"/>
          <w:color w:val="000000"/>
        </w:rPr>
        <w:tab/>
        <w:t xml:space="preserve">The court went on to explain why the </w:t>
      </w:r>
      <w:r w:rsidR="002F30D6" w:rsidRPr="00E336A2">
        <w:rPr>
          <w:rFonts w:eastAsia="Times New Roman" w:cs="Arial"/>
          <w:color w:val="000000"/>
        </w:rPr>
        <w:t xml:space="preserve">Boys’ Club </w:t>
      </w:r>
      <w:r w:rsidRPr="00E336A2">
        <w:rPr>
          <w:rFonts w:eastAsia="Times New Roman" w:cs="Arial"/>
          <w:color w:val="000000"/>
        </w:rPr>
        <w:t xml:space="preserve">came within the bounds of the </w:t>
      </w:r>
      <w:r w:rsidR="002F1E20">
        <w:rPr>
          <w:rFonts w:eastAsia="Times New Roman" w:cs="Arial"/>
          <w:color w:val="000000"/>
        </w:rPr>
        <w:t xml:space="preserve">Unruh </w:t>
      </w:r>
      <w:r w:rsidRPr="00E336A2">
        <w:rPr>
          <w:rFonts w:eastAsia="Times New Roman" w:cs="Arial"/>
          <w:color w:val="000000"/>
        </w:rPr>
        <w:t>Act.  The court first summarized the historical derivation of the Act, concluding that given “</w:t>
      </w:r>
      <w:r w:rsidR="00FC39A8" w:rsidRPr="00E336A2">
        <w:rPr>
          <w:rFonts w:eastAsia="Times New Roman" w:cs="Arial"/>
          <w:color w:val="000000"/>
        </w:rPr>
        <w:t>the Act’s ancestry, its phrase ‘business establishments,</w:t>
      </w:r>
      <w:r w:rsidRPr="00E336A2">
        <w:rPr>
          <w:rFonts w:eastAsia="Times New Roman" w:cs="Arial"/>
          <w:color w:val="000000"/>
        </w:rPr>
        <w:t>’</w:t>
      </w:r>
      <w:r w:rsidR="00F63712" w:rsidRPr="00E336A2">
        <w:rPr>
          <w:rFonts w:eastAsia="Times New Roman" w:cs="Arial"/>
          <w:color w:val="000000"/>
        </w:rPr>
        <w:t xml:space="preserve"> </w:t>
      </w:r>
      <w:r w:rsidR="00FC39A8" w:rsidRPr="00E336A2">
        <w:rPr>
          <w:rFonts w:eastAsia="Times New Roman" w:cs="Arial"/>
          <w:color w:val="000000"/>
        </w:rPr>
        <w:t>clearly includes at least those facilities subject to the predecessor statute—i.e., ‘places of public accommodation or amusement.’</w:t>
      </w:r>
      <w:r w:rsidR="002F1E20">
        <w:rPr>
          <w:rFonts w:eastAsia="Times New Roman" w:cs="Arial"/>
          <w:color w:val="000000"/>
        </w:rPr>
        <w:t> </w:t>
      </w:r>
      <w:r w:rsidR="00FC39A8" w:rsidRPr="00E336A2">
        <w:rPr>
          <w:rFonts w:eastAsia="Times New Roman" w:cs="Arial"/>
          <w:color w:val="000000"/>
        </w:rPr>
        <w:t>” (</w:t>
      </w:r>
      <w:proofErr w:type="spellStart"/>
      <w:r w:rsidR="00B92196" w:rsidRPr="00E336A2">
        <w:rPr>
          <w:rFonts w:eastAsia="Times New Roman" w:cs="Arial"/>
          <w:i/>
          <w:iCs/>
          <w:color w:val="000000"/>
        </w:rPr>
        <w:t>Isbister</w:t>
      </w:r>
      <w:proofErr w:type="spellEnd"/>
      <w:r w:rsidR="00B92196" w:rsidRPr="00E336A2">
        <w:rPr>
          <w:rFonts w:eastAsia="Times New Roman" w:cs="Arial"/>
          <w:i/>
          <w:iCs/>
          <w:color w:val="000000"/>
        </w:rPr>
        <w:t>, supra</w:t>
      </w:r>
      <w:r w:rsidR="00B92196" w:rsidRPr="00E336A2">
        <w:rPr>
          <w:rFonts w:eastAsia="Times New Roman" w:cs="Arial"/>
          <w:iCs/>
          <w:color w:val="000000"/>
        </w:rPr>
        <w:t>, 40 Cal.3d</w:t>
      </w:r>
      <w:r w:rsidR="00FC39A8" w:rsidRPr="00E336A2">
        <w:rPr>
          <w:rFonts w:eastAsia="Times New Roman" w:cs="Arial"/>
          <w:i/>
          <w:iCs/>
          <w:color w:val="000000"/>
        </w:rPr>
        <w:t xml:space="preserve"> </w:t>
      </w:r>
      <w:r w:rsidR="00FC39A8" w:rsidRPr="00E336A2">
        <w:rPr>
          <w:rFonts w:eastAsia="Times New Roman" w:cs="Arial"/>
          <w:color w:val="000000"/>
        </w:rPr>
        <w:t xml:space="preserve">at p. 79.)  </w:t>
      </w:r>
      <w:r w:rsidRPr="00E336A2">
        <w:rPr>
          <w:rFonts w:eastAsia="Times New Roman" w:cs="Arial"/>
          <w:color w:val="000000"/>
        </w:rPr>
        <w:t>T</w:t>
      </w:r>
      <w:r w:rsidR="00FC39A8" w:rsidRPr="00E336A2">
        <w:rPr>
          <w:rFonts w:eastAsia="Times New Roman" w:cs="Arial"/>
          <w:color w:val="000000"/>
        </w:rPr>
        <w:t xml:space="preserve">he court </w:t>
      </w:r>
      <w:r w:rsidRPr="00E336A2">
        <w:rPr>
          <w:rFonts w:eastAsia="Times New Roman" w:cs="Arial"/>
          <w:color w:val="000000"/>
        </w:rPr>
        <w:t xml:space="preserve">then </w:t>
      </w:r>
      <w:r w:rsidR="00FC39A8" w:rsidRPr="00E336A2">
        <w:rPr>
          <w:rFonts w:eastAsia="Times New Roman" w:cs="Arial"/>
          <w:color w:val="000000"/>
        </w:rPr>
        <w:t>pointed out “[c]</w:t>
      </w:r>
      <w:proofErr w:type="spellStart"/>
      <w:r w:rsidR="00FC39A8" w:rsidRPr="00E336A2">
        <w:rPr>
          <w:rFonts w:eastAsia="Times New Roman" w:cs="Arial"/>
          <w:color w:val="000000"/>
        </w:rPr>
        <w:t>ourts</w:t>
      </w:r>
      <w:proofErr w:type="spellEnd"/>
      <w:r w:rsidR="00FC39A8" w:rsidRPr="00E336A2">
        <w:rPr>
          <w:rFonts w:eastAsia="Times New Roman" w:cs="Arial"/>
          <w:color w:val="000000"/>
        </w:rPr>
        <w:t xml:space="preserve"> in other jurisdictions ha</w:t>
      </w:r>
      <w:r w:rsidRPr="00E336A2">
        <w:rPr>
          <w:rFonts w:eastAsia="Times New Roman" w:cs="Arial"/>
          <w:color w:val="000000"/>
        </w:rPr>
        <w:t>[d]</w:t>
      </w:r>
      <w:r w:rsidR="00FC39A8" w:rsidRPr="00E336A2">
        <w:rPr>
          <w:rFonts w:eastAsia="Times New Roman" w:cs="Arial"/>
          <w:color w:val="000000"/>
        </w:rPr>
        <w:t xml:space="preserve"> consistently held that broad-based nonprofit community service organizations like the Boys</w:t>
      </w:r>
      <w:r w:rsidR="00B92196" w:rsidRPr="00E336A2">
        <w:rPr>
          <w:rFonts w:eastAsia="Times New Roman" w:cs="Arial"/>
          <w:color w:val="000000"/>
        </w:rPr>
        <w:t>’</w:t>
      </w:r>
      <w:r w:rsidR="00FC39A8" w:rsidRPr="00E336A2">
        <w:rPr>
          <w:rFonts w:eastAsia="Times New Roman" w:cs="Arial"/>
          <w:color w:val="000000"/>
        </w:rPr>
        <w:t xml:space="preserve"> Club are </w:t>
      </w:r>
      <w:r w:rsidR="00F63712" w:rsidRPr="00E336A2">
        <w:rPr>
          <w:rFonts w:eastAsia="Times New Roman" w:cs="Arial"/>
          <w:color w:val="000000"/>
        </w:rPr>
        <w:t>‘</w:t>
      </w:r>
      <w:r w:rsidR="00FC39A8" w:rsidRPr="00E336A2">
        <w:rPr>
          <w:rFonts w:eastAsia="Times New Roman" w:cs="Arial"/>
          <w:color w:val="000000"/>
        </w:rPr>
        <w:t>public accommodations</w:t>
      </w:r>
      <w:r w:rsidR="00F63712" w:rsidRPr="00E336A2">
        <w:rPr>
          <w:rFonts w:eastAsia="Times New Roman" w:cs="Arial"/>
          <w:color w:val="000000"/>
        </w:rPr>
        <w:t>’</w:t>
      </w:r>
      <w:r w:rsidR="00FC39A8" w:rsidRPr="00E336A2">
        <w:rPr>
          <w:rFonts w:eastAsia="Times New Roman" w:cs="Arial"/>
          <w:color w:val="000000"/>
        </w:rPr>
        <w:t xml:space="preserve"> covered by statutes analogous to California</w:t>
      </w:r>
      <w:r w:rsidR="006E4374" w:rsidRPr="00E336A2">
        <w:rPr>
          <w:rFonts w:eastAsia="Times New Roman" w:cs="Arial"/>
          <w:color w:val="000000"/>
        </w:rPr>
        <w:t>’</w:t>
      </w:r>
      <w:r w:rsidR="00FC39A8" w:rsidRPr="00E336A2">
        <w:rPr>
          <w:rFonts w:eastAsia="Times New Roman" w:cs="Arial"/>
          <w:color w:val="000000"/>
        </w:rPr>
        <w:t>s pre-1959 civil rights law.</w:t>
      </w:r>
      <w:r w:rsidR="00F63712" w:rsidRPr="00E336A2">
        <w:rPr>
          <w:rFonts w:eastAsia="Times New Roman" w:cs="Arial"/>
          <w:color w:val="000000"/>
        </w:rPr>
        <w:t xml:space="preserve"> </w:t>
      </w:r>
      <w:r w:rsidR="00FC39A8" w:rsidRPr="00E336A2">
        <w:rPr>
          <w:rFonts w:eastAsia="Times New Roman" w:cs="Arial"/>
          <w:color w:val="000000"/>
        </w:rPr>
        <w:t xml:space="preserve"> For example, in language similar to our prior law, title II of the federal Civil Rights Act of 1964 (42 U.S.C.A. § 2000a et seq.) grants </w:t>
      </w:r>
      <w:r w:rsidR="00F63712" w:rsidRPr="00E336A2">
        <w:rPr>
          <w:rFonts w:eastAsia="Times New Roman" w:cs="Arial"/>
          <w:color w:val="000000"/>
        </w:rPr>
        <w:t>‘</w:t>
      </w:r>
      <w:r w:rsidR="00FC39A8" w:rsidRPr="00E336A2">
        <w:rPr>
          <w:rFonts w:eastAsia="Times New Roman" w:cs="Arial"/>
          <w:color w:val="000000"/>
        </w:rPr>
        <w:t>all persons</w:t>
      </w:r>
      <w:r w:rsidR="00F63712" w:rsidRPr="00E336A2">
        <w:rPr>
          <w:rFonts w:eastAsia="Times New Roman" w:cs="Arial"/>
          <w:color w:val="000000"/>
        </w:rPr>
        <w:t>’</w:t>
      </w:r>
      <w:r w:rsidR="00FC39A8" w:rsidRPr="00E336A2">
        <w:rPr>
          <w:rFonts w:eastAsia="Times New Roman" w:cs="Arial"/>
          <w:color w:val="000000"/>
        </w:rPr>
        <w:t xml:space="preserve"> the right to </w:t>
      </w:r>
      <w:r w:rsidR="00F63712" w:rsidRPr="00E336A2">
        <w:rPr>
          <w:rFonts w:eastAsia="Times New Roman" w:cs="Arial"/>
          <w:color w:val="000000"/>
        </w:rPr>
        <w:t>‘</w:t>
      </w:r>
      <w:r w:rsidR="00FC39A8" w:rsidRPr="00E336A2">
        <w:rPr>
          <w:rFonts w:eastAsia="Times New Roman" w:cs="Arial"/>
          <w:color w:val="000000"/>
        </w:rPr>
        <w:t>full and equal enjoyment of the goods, services, facilities, privileges, advantages, and accommodations of any place of public accommodation</w:t>
      </w:r>
      <w:r w:rsidR="00F63712" w:rsidRPr="00E336A2">
        <w:rPr>
          <w:rFonts w:eastAsia="Times New Roman" w:cs="Arial"/>
          <w:color w:val="000000"/>
        </w:rPr>
        <w:t>,</w:t>
      </w:r>
      <w:r w:rsidR="00FC39A8" w:rsidRPr="00E336A2">
        <w:rPr>
          <w:rFonts w:eastAsia="Times New Roman" w:cs="Arial"/>
          <w:color w:val="000000"/>
        </w:rPr>
        <w:t xml:space="preserve"> as defined in this section, without discrimination or segregation on the ground of race, color, religion, or national origin.</w:t>
      </w:r>
      <w:r w:rsidR="00F63712" w:rsidRPr="00E336A2">
        <w:rPr>
          <w:rFonts w:eastAsia="Times New Roman" w:cs="Arial"/>
          <w:color w:val="000000"/>
        </w:rPr>
        <w:t xml:space="preserve">’ </w:t>
      </w:r>
      <w:r w:rsidRPr="00E336A2">
        <w:rPr>
          <w:rFonts w:eastAsia="Times New Roman" w:cs="Arial"/>
          <w:color w:val="000000"/>
        </w:rPr>
        <w:t xml:space="preserve"> </w:t>
      </w:r>
      <w:r w:rsidR="00FC39A8" w:rsidRPr="00E336A2">
        <w:rPr>
          <w:rFonts w:eastAsia="Times New Roman" w:cs="Arial"/>
          <w:color w:val="000000"/>
        </w:rPr>
        <w:t xml:space="preserve">A </w:t>
      </w:r>
      <w:r w:rsidR="00F63712" w:rsidRPr="00E336A2">
        <w:rPr>
          <w:rFonts w:eastAsia="Times New Roman" w:cs="Arial"/>
          <w:color w:val="000000"/>
        </w:rPr>
        <w:t>‘</w:t>
      </w:r>
      <w:r w:rsidR="00FC39A8" w:rsidRPr="00E336A2">
        <w:rPr>
          <w:rFonts w:eastAsia="Times New Roman" w:cs="Arial"/>
          <w:color w:val="000000"/>
        </w:rPr>
        <w:t>place of public accommodation</w:t>
      </w:r>
      <w:r w:rsidR="00F63712" w:rsidRPr="00E336A2">
        <w:rPr>
          <w:rFonts w:eastAsia="Times New Roman" w:cs="Arial"/>
          <w:color w:val="000000"/>
        </w:rPr>
        <w:t>’</w:t>
      </w:r>
      <w:r w:rsidR="00FC39A8" w:rsidRPr="00E336A2">
        <w:rPr>
          <w:rFonts w:eastAsia="Times New Roman" w:cs="Arial"/>
          <w:color w:val="000000"/>
        </w:rPr>
        <w:t xml:space="preserve"> includes, among other specified facilities, </w:t>
      </w:r>
      <w:r w:rsidR="00F63712" w:rsidRPr="00E336A2">
        <w:rPr>
          <w:rFonts w:eastAsia="Times New Roman" w:cs="Arial"/>
          <w:color w:val="000000"/>
        </w:rPr>
        <w:t>‘</w:t>
      </w:r>
      <w:r w:rsidR="00FC39A8" w:rsidRPr="00E336A2">
        <w:rPr>
          <w:rFonts w:eastAsia="Times New Roman" w:cs="Arial"/>
          <w:color w:val="000000"/>
        </w:rPr>
        <w:t>any motion picture house, theater, concert hall, sports arena, stadium or other place of exhibition or entertainment</w:t>
      </w:r>
      <w:r w:rsidR="00FC39A8" w:rsidRPr="00E336A2">
        <w:rPr>
          <w:rFonts w:eastAsia="Times New Roman" w:cs="Arial"/>
          <w:i/>
          <w:iCs/>
          <w:color w:val="000000"/>
        </w:rPr>
        <w:t>.</w:t>
      </w:r>
      <w:r w:rsidR="00F63712" w:rsidRPr="00E336A2">
        <w:rPr>
          <w:rFonts w:eastAsia="Times New Roman" w:cs="Arial"/>
          <w:color w:val="000000"/>
        </w:rPr>
        <w:t>’</w:t>
      </w:r>
      <w:r w:rsidR="00FC39A8" w:rsidRPr="00E336A2">
        <w:rPr>
          <w:rFonts w:eastAsia="Times New Roman" w:cs="Arial"/>
          <w:color w:val="000000"/>
        </w:rPr>
        <w:t xml:space="preserve"> </w:t>
      </w:r>
      <w:r w:rsidR="000E25EB" w:rsidRPr="00E336A2">
        <w:rPr>
          <w:rFonts w:eastAsia="Times New Roman" w:cs="Arial"/>
          <w:color w:val="000000"/>
        </w:rPr>
        <w:t xml:space="preserve"> </w:t>
      </w:r>
      <w:r w:rsidR="00FC39A8" w:rsidRPr="00E336A2">
        <w:rPr>
          <w:rFonts w:eastAsia="Times New Roman" w:cs="Arial"/>
          <w:color w:val="000000"/>
        </w:rPr>
        <w:t>(</w:t>
      </w:r>
      <w:r w:rsidR="00FC39A8" w:rsidRPr="00E336A2">
        <w:rPr>
          <w:rFonts w:eastAsia="Times New Roman" w:cs="Arial"/>
          <w:i/>
          <w:iCs/>
          <w:color w:val="000000"/>
        </w:rPr>
        <w:t>Id</w:t>
      </w:r>
      <w:r w:rsidR="00FC39A8" w:rsidRPr="00E336A2">
        <w:rPr>
          <w:rFonts w:eastAsia="Times New Roman" w:cs="Arial"/>
          <w:color w:val="000000"/>
        </w:rPr>
        <w:t>., § 2000a(b)(3).</w:t>
      </w:r>
      <w:r w:rsidR="00F63712" w:rsidRPr="00E336A2">
        <w:rPr>
          <w:rFonts w:eastAsia="Times New Roman" w:cs="Arial"/>
          <w:color w:val="000000"/>
        </w:rPr>
        <w:t xml:space="preserve"> . . .</w:t>
      </w:r>
      <w:r w:rsidR="00FC39A8" w:rsidRPr="00E336A2">
        <w:rPr>
          <w:rFonts w:eastAsia="Times New Roman" w:cs="Arial"/>
          <w:color w:val="000000"/>
        </w:rPr>
        <w:t xml:space="preserve">) </w:t>
      </w:r>
      <w:r w:rsidR="00F63712" w:rsidRPr="00E336A2">
        <w:rPr>
          <w:rFonts w:eastAsia="Times New Roman" w:cs="Arial"/>
          <w:color w:val="000000"/>
        </w:rPr>
        <w:t xml:space="preserve"> </w:t>
      </w:r>
      <w:r w:rsidR="00FC39A8" w:rsidRPr="00E336A2">
        <w:rPr>
          <w:rFonts w:eastAsia="Times New Roman" w:cs="Arial"/>
          <w:color w:val="000000"/>
        </w:rPr>
        <w:t xml:space="preserve">Title II has been applied to private, nonprofit recreational organizations which offer memberships to the public at large and exclude only a particular class of </w:t>
      </w:r>
      <w:r w:rsidR="00FC39A8" w:rsidRPr="00E336A2">
        <w:rPr>
          <w:rFonts w:eastAsia="Times New Roman" w:cs="Arial"/>
          <w:color w:val="000000"/>
        </w:rPr>
        <w:lastRenderedPageBreak/>
        <w:t>persons protected by the statute.”</w:t>
      </w:r>
      <w:r w:rsidR="00C86ED3" w:rsidRPr="00E336A2">
        <w:rPr>
          <w:rStyle w:val="FootnoteReference"/>
          <w:rFonts w:eastAsia="Times New Roman" w:cs="Arial"/>
          <w:color w:val="000000"/>
        </w:rPr>
        <w:footnoteReference w:id="8"/>
      </w:r>
      <w:r w:rsidR="00FC39A8" w:rsidRPr="00E336A2">
        <w:rPr>
          <w:rFonts w:eastAsia="Times New Roman" w:cs="Arial"/>
          <w:color w:val="000000"/>
        </w:rPr>
        <w:t xml:space="preserve">  (</w:t>
      </w:r>
      <w:proofErr w:type="spellStart"/>
      <w:r w:rsidR="00B92196" w:rsidRPr="00E336A2">
        <w:rPr>
          <w:rFonts w:eastAsia="Times New Roman" w:cs="Arial"/>
          <w:i/>
          <w:iCs/>
          <w:color w:val="000000"/>
        </w:rPr>
        <w:t>Isbister</w:t>
      </w:r>
      <w:proofErr w:type="spellEnd"/>
      <w:r w:rsidR="00B92196" w:rsidRPr="00E336A2">
        <w:rPr>
          <w:rFonts w:eastAsia="Times New Roman" w:cs="Arial"/>
          <w:i/>
          <w:iCs/>
          <w:color w:val="000000"/>
        </w:rPr>
        <w:t>,</w:t>
      </w:r>
      <w:r w:rsidR="00FC39A8" w:rsidRPr="00E336A2">
        <w:rPr>
          <w:rFonts w:eastAsia="Times New Roman" w:cs="Arial"/>
          <w:i/>
          <w:iCs/>
          <w:color w:val="000000"/>
        </w:rPr>
        <w:t xml:space="preserve"> </w:t>
      </w:r>
      <w:r w:rsidR="00FC39A8" w:rsidRPr="00E336A2">
        <w:rPr>
          <w:rFonts w:eastAsia="Times New Roman" w:cs="Arial"/>
          <w:color w:val="000000"/>
        </w:rPr>
        <w:t>at pp. 79</w:t>
      </w:r>
      <w:r w:rsidR="001E495D" w:rsidRPr="00E336A2">
        <w:rPr>
          <w:rFonts w:eastAsia="Times New Roman" w:cs="Arial"/>
          <w:color w:val="000000"/>
        </w:rPr>
        <w:t>–</w:t>
      </w:r>
      <w:r w:rsidR="00FC39A8" w:rsidRPr="00E336A2">
        <w:rPr>
          <w:rFonts w:eastAsia="Times New Roman" w:cs="Arial"/>
          <w:color w:val="000000"/>
        </w:rPr>
        <w:t>80</w:t>
      </w:r>
      <w:r w:rsidR="003029F9" w:rsidRPr="00E336A2">
        <w:rPr>
          <w:rFonts w:eastAsia="Times New Roman" w:cs="Arial"/>
          <w:color w:val="000000"/>
        </w:rPr>
        <w:t xml:space="preserve">, italics </w:t>
      </w:r>
      <w:r w:rsidR="00F63712" w:rsidRPr="00E336A2">
        <w:rPr>
          <w:rFonts w:eastAsia="Times New Roman" w:cs="Arial"/>
          <w:color w:val="000000"/>
        </w:rPr>
        <w:t xml:space="preserve">&amp; fn. </w:t>
      </w:r>
      <w:r w:rsidR="00B92196" w:rsidRPr="00E336A2">
        <w:rPr>
          <w:rFonts w:eastAsia="Times New Roman" w:cs="Arial"/>
          <w:color w:val="000000"/>
        </w:rPr>
        <w:t>omitted</w:t>
      </w:r>
      <w:r w:rsidR="00FC39A8" w:rsidRPr="00E336A2">
        <w:rPr>
          <w:rFonts w:eastAsia="Times New Roman" w:cs="Arial"/>
          <w:color w:val="000000"/>
        </w:rPr>
        <w:t>.)</w:t>
      </w:r>
      <w:r w:rsidR="002D604E" w:rsidRPr="00E336A2">
        <w:rPr>
          <w:rFonts w:eastAsia="Times New Roman" w:cs="Arial"/>
          <w:color w:val="000000"/>
        </w:rPr>
        <w:t xml:space="preserve">  </w:t>
      </w:r>
    </w:p>
    <w:p w14:paraId="682477D2" w14:textId="77777777" w:rsidR="002D604E" w:rsidRPr="00E336A2" w:rsidRDefault="001A71ED" w:rsidP="00D721EE">
      <w:pPr>
        <w:spacing w:line="360" w:lineRule="auto"/>
        <w:rPr>
          <w:rFonts w:eastAsia="Times New Roman" w:cs="Arial"/>
          <w:color w:val="000000"/>
        </w:rPr>
      </w:pPr>
      <w:r w:rsidRPr="00E336A2">
        <w:rPr>
          <w:rFonts w:eastAsia="Times New Roman" w:cs="Arial"/>
          <w:color w:val="000000"/>
        </w:rPr>
        <w:tab/>
      </w:r>
      <w:r w:rsidR="002D604E" w:rsidRPr="00E336A2">
        <w:rPr>
          <w:rFonts w:eastAsia="Times New Roman" w:cs="Arial"/>
          <w:color w:val="000000"/>
        </w:rPr>
        <w:t xml:space="preserve">The court thus concluded “[t]he </w:t>
      </w:r>
      <w:proofErr w:type="gramStart"/>
      <w:r w:rsidR="002D604E" w:rsidRPr="00E336A2">
        <w:rPr>
          <w:rFonts w:eastAsia="Times New Roman" w:cs="Arial"/>
          <w:color w:val="000000"/>
        </w:rPr>
        <w:t>club</w:t>
      </w:r>
      <w:proofErr w:type="gramEnd"/>
      <w:r w:rsidR="002D604E" w:rsidRPr="00E336A2">
        <w:rPr>
          <w:rFonts w:eastAsia="Times New Roman" w:cs="Arial"/>
          <w:color w:val="000000"/>
        </w:rPr>
        <w:t xml:space="preserve"> certainly qualifies as a ‘place of amusement.’  Indeed, its primary function is to operate a permanent physical plant offering established recreational facilities which patrons may use at their convenience during the hours the Club is open.”  (</w:t>
      </w:r>
      <w:proofErr w:type="spellStart"/>
      <w:r w:rsidR="00B92196" w:rsidRPr="00E336A2">
        <w:rPr>
          <w:rFonts w:eastAsia="Times New Roman" w:cs="Arial"/>
          <w:i/>
          <w:iCs/>
          <w:color w:val="000000"/>
        </w:rPr>
        <w:t>Isbister</w:t>
      </w:r>
      <w:proofErr w:type="spellEnd"/>
      <w:r w:rsidR="00B92196" w:rsidRPr="00E336A2">
        <w:rPr>
          <w:rFonts w:eastAsia="Times New Roman" w:cs="Arial"/>
          <w:i/>
          <w:iCs/>
          <w:color w:val="000000"/>
        </w:rPr>
        <w:t>, supra</w:t>
      </w:r>
      <w:r w:rsidR="00B92196" w:rsidRPr="00E336A2">
        <w:rPr>
          <w:rFonts w:eastAsia="Times New Roman" w:cs="Arial"/>
          <w:iCs/>
          <w:color w:val="000000"/>
        </w:rPr>
        <w:t>, 40</w:t>
      </w:r>
      <w:r w:rsidR="005B124D" w:rsidRPr="00E336A2">
        <w:rPr>
          <w:rFonts w:eastAsia="Times New Roman" w:cs="Arial"/>
          <w:iCs/>
          <w:color w:val="000000"/>
        </w:rPr>
        <w:t> </w:t>
      </w:r>
      <w:r w:rsidR="00B92196" w:rsidRPr="00E336A2">
        <w:rPr>
          <w:rFonts w:eastAsia="Times New Roman" w:cs="Arial"/>
          <w:iCs/>
          <w:color w:val="000000"/>
        </w:rPr>
        <w:t xml:space="preserve">Cal.3d </w:t>
      </w:r>
      <w:r w:rsidR="002D604E" w:rsidRPr="00E336A2">
        <w:rPr>
          <w:rFonts w:eastAsia="Times New Roman" w:cs="Arial"/>
          <w:color w:val="000000"/>
        </w:rPr>
        <w:t>at p. 81.)  Moreover, “the emphasis is on drop-in use of the Club</w:t>
      </w:r>
      <w:r w:rsidR="005B124D" w:rsidRPr="00E336A2">
        <w:rPr>
          <w:rFonts w:eastAsia="Times New Roman" w:cs="Arial"/>
          <w:color w:val="000000"/>
        </w:rPr>
        <w:t>’</w:t>
      </w:r>
      <w:r w:rsidR="002D604E" w:rsidRPr="00E336A2">
        <w:rPr>
          <w:rFonts w:eastAsia="Times New Roman" w:cs="Arial"/>
          <w:color w:val="000000"/>
        </w:rPr>
        <w:t xml:space="preserve">s facilities, thus minimizing any sense of social cohesiveness, shared identity, or continuity. </w:t>
      </w:r>
      <w:r w:rsidR="00B92196" w:rsidRPr="00E336A2">
        <w:rPr>
          <w:rFonts w:eastAsia="Times New Roman" w:cs="Arial"/>
          <w:color w:val="000000"/>
        </w:rPr>
        <w:t xml:space="preserve"> </w:t>
      </w:r>
      <w:r w:rsidR="002D604E" w:rsidRPr="00E336A2">
        <w:rPr>
          <w:rFonts w:eastAsia="Times New Roman" w:cs="Arial"/>
          <w:color w:val="000000"/>
        </w:rPr>
        <w:t xml:space="preserve">Boys who join the Club have no power in its affairs and no control over who else may be members. </w:t>
      </w:r>
      <w:r w:rsidR="00B92196" w:rsidRPr="00E336A2">
        <w:rPr>
          <w:rFonts w:eastAsia="Times New Roman" w:cs="Arial"/>
          <w:color w:val="000000"/>
        </w:rPr>
        <w:t xml:space="preserve"> </w:t>
      </w:r>
      <w:r w:rsidR="002D604E" w:rsidRPr="00E336A2">
        <w:rPr>
          <w:rFonts w:eastAsia="Times New Roman" w:cs="Arial"/>
          <w:color w:val="000000"/>
        </w:rPr>
        <w:t xml:space="preserve">A fee, though not a large one, is charged for the annually renewable membership. </w:t>
      </w:r>
      <w:r w:rsidR="00B92196" w:rsidRPr="00E336A2">
        <w:rPr>
          <w:rFonts w:eastAsia="Times New Roman" w:cs="Arial"/>
          <w:color w:val="000000"/>
        </w:rPr>
        <w:t xml:space="preserve"> </w:t>
      </w:r>
      <w:r w:rsidR="002D604E" w:rsidRPr="00E336A2">
        <w:rPr>
          <w:rFonts w:eastAsia="Times New Roman" w:cs="Arial"/>
          <w:color w:val="000000"/>
        </w:rPr>
        <w:t xml:space="preserve">Thus, the Club provides an atmosphere deemed characteristic of a </w:t>
      </w:r>
      <w:r w:rsidR="00F63712" w:rsidRPr="00E336A2">
        <w:rPr>
          <w:rFonts w:eastAsia="Times New Roman" w:cs="Arial"/>
          <w:color w:val="000000"/>
        </w:rPr>
        <w:t>‘</w:t>
      </w:r>
      <w:r w:rsidR="002D604E" w:rsidRPr="00E336A2">
        <w:rPr>
          <w:rFonts w:eastAsia="Times New Roman" w:cs="Arial"/>
          <w:color w:val="000000"/>
        </w:rPr>
        <w:t>public accommodation</w:t>
      </w:r>
      <w:r w:rsidR="00F63712" w:rsidRPr="00E336A2">
        <w:rPr>
          <w:rFonts w:eastAsia="Times New Roman" w:cs="Arial"/>
          <w:color w:val="000000"/>
        </w:rPr>
        <w:t>’</w:t>
      </w:r>
      <w:r w:rsidR="002D604E" w:rsidRPr="00E336A2">
        <w:rPr>
          <w:rFonts w:eastAsia="Times New Roman" w:cs="Arial"/>
          <w:color w:val="000000"/>
        </w:rPr>
        <w:t xml:space="preserve"> by the principal commentator on the Unruh Act; relations with and among its members are of a kind which take place more or less in </w:t>
      </w:r>
      <w:r w:rsidR="00F63712" w:rsidRPr="00E336A2">
        <w:rPr>
          <w:rFonts w:eastAsia="Times New Roman" w:cs="Arial"/>
          <w:color w:val="000000"/>
        </w:rPr>
        <w:t>‘</w:t>
      </w:r>
      <w:r w:rsidR="002D604E" w:rsidRPr="00E336A2">
        <w:rPr>
          <w:rFonts w:eastAsia="Times New Roman" w:cs="Arial"/>
          <w:color w:val="000000"/>
        </w:rPr>
        <w:t>public view,</w:t>
      </w:r>
      <w:r w:rsidR="00F63712" w:rsidRPr="00E336A2">
        <w:rPr>
          <w:rFonts w:eastAsia="Times New Roman" w:cs="Arial"/>
          <w:color w:val="000000"/>
        </w:rPr>
        <w:t>’</w:t>
      </w:r>
      <w:r w:rsidR="002D604E" w:rsidRPr="00E336A2">
        <w:rPr>
          <w:rFonts w:eastAsia="Times New Roman" w:cs="Arial"/>
          <w:color w:val="000000"/>
        </w:rPr>
        <w:t xml:space="preserve"> and are of a </w:t>
      </w:r>
      <w:r w:rsidR="00F63712" w:rsidRPr="00E336A2">
        <w:rPr>
          <w:rFonts w:eastAsia="Times New Roman" w:cs="Arial"/>
          <w:color w:val="000000"/>
        </w:rPr>
        <w:t>‘</w:t>
      </w:r>
      <w:r w:rsidR="002D604E" w:rsidRPr="00E336A2">
        <w:rPr>
          <w:rFonts w:eastAsia="Times New Roman" w:cs="Arial"/>
          <w:color w:val="000000"/>
        </w:rPr>
        <w:t xml:space="preserve">relatively </w:t>
      </w:r>
      <w:proofErr w:type="spellStart"/>
      <w:r w:rsidR="002D604E" w:rsidRPr="00E336A2">
        <w:rPr>
          <w:rFonts w:eastAsia="Times New Roman" w:cs="Arial"/>
          <w:color w:val="000000"/>
        </w:rPr>
        <w:t>nongratuitous</w:t>
      </w:r>
      <w:proofErr w:type="spellEnd"/>
      <w:r w:rsidR="002D604E" w:rsidRPr="00E336A2">
        <w:rPr>
          <w:rFonts w:eastAsia="Times New Roman" w:cs="Arial"/>
          <w:color w:val="000000"/>
        </w:rPr>
        <w:t>, noncontinuous, nonpersonal, and nonsocial sort.</w:t>
      </w:r>
      <w:r w:rsidR="00F63712" w:rsidRPr="00E336A2">
        <w:rPr>
          <w:rFonts w:eastAsia="Times New Roman" w:cs="Arial"/>
          <w:color w:val="000000"/>
        </w:rPr>
        <w:t xml:space="preserve">’ </w:t>
      </w:r>
      <w:r w:rsidR="002D604E" w:rsidRPr="00E336A2">
        <w:rPr>
          <w:rFonts w:eastAsia="Times New Roman" w:cs="Arial"/>
          <w:color w:val="000000"/>
        </w:rPr>
        <w:t xml:space="preserve">” </w:t>
      </w:r>
      <w:r w:rsidR="005B124D" w:rsidRPr="00E336A2">
        <w:rPr>
          <w:rFonts w:eastAsia="Times New Roman" w:cs="Arial"/>
          <w:color w:val="000000"/>
        </w:rPr>
        <w:t xml:space="preserve"> </w:t>
      </w:r>
      <w:r w:rsidR="002D604E" w:rsidRPr="00E336A2">
        <w:rPr>
          <w:rFonts w:eastAsia="Times New Roman" w:cs="Arial"/>
          <w:color w:val="000000"/>
        </w:rPr>
        <w:t>(</w:t>
      </w:r>
      <w:r w:rsidR="002D604E" w:rsidRPr="00E336A2">
        <w:rPr>
          <w:rFonts w:eastAsia="Times New Roman" w:cs="Arial"/>
          <w:i/>
          <w:iCs/>
          <w:color w:val="000000"/>
        </w:rPr>
        <w:t xml:space="preserve">Ibid., </w:t>
      </w:r>
      <w:r w:rsidR="002D604E" w:rsidRPr="00E336A2">
        <w:rPr>
          <w:rFonts w:eastAsia="Times New Roman" w:cs="Arial"/>
          <w:color w:val="000000"/>
        </w:rPr>
        <w:t xml:space="preserve">quoting Horowitz, </w:t>
      </w:r>
      <w:r w:rsidR="002D604E" w:rsidRPr="00E336A2">
        <w:rPr>
          <w:rFonts w:eastAsia="Times New Roman" w:cs="Arial"/>
          <w:i/>
          <w:iCs/>
          <w:color w:val="000000"/>
        </w:rPr>
        <w:t>supra</w:t>
      </w:r>
      <w:r w:rsidR="002D604E" w:rsidRPr="00E336A2">
        <w:rPr>
          <w:rFonts w:eastAsia="Times New Roman" w:cs="Arial"/>
          <w:color w:val="000000"/>
        </w:rPr>
        <w:t xml:space="preserve">, 33 </w:t>
      </w:r>
      <w:proofErr w:type="spellStart"/>
      <w:r w:rsidR="002D604E" w:rsidRPr="00E336A2">
        <w:rPr>
          <w:rFonts w:eastAsia="Times New Roman" w:cs="Arial"/>
          <w:color w:val="000000"/>
        </w:rPr>
        <w:t>So.Cal.L.Rev</w:t>
      </w:r>
      <w:proofErr w:type="spellEnd"/>
      <w:r w:rsidR="002D604E" w:rsidRPr="00E336A2">
        <w:rPr>
          <w:rFonts w:eastAsia="Times New Roman" w:cs="Arial"/>
          <w:color w:val="000000"/>
        </w:rPr>
        <w:t xml:space="preserve">. </w:t>
      </w:r>
      <w:r w:rsidR="008733E0" w:rsidRPr="00E336A2">
        <w:rPr>
          <w:rFonts w:eastAsia="Times New Roman" w:cs="Arial"/>
          <w:color w:val="000000"/>
        </w:rPr>
        <w:t xml:space="preserve">at pp. </w:t>
      </w:r>
      <w:r w:rsidR="002D604E" w:rsidRPr="00E336A2">
        <w:rPr>
          <w:rFonts w:eastAsia="Times New Roman" w:cs="Arial"/>
          <w:color w:val="000000"/>
        </w:rPr>
        <w:t>260, 287, 288.)</w:t>
      </w:r>
    </w:p>
    <w:p w14:paraId="5A15A6AD" w14:textId="77777777" w:rsidR="00AD4C1D" w:rsidRPr="00E336A2" w:rsidRDefault="002D604E" w:rsidP="00AD4C1D">
      <w:pPr>
        <w:spacing w:line="360" w:lineRule="auto"/>
        <w:rPr>
          <w:rFonts w:eastAsia="Times New Roman" w:cs="Arial"/>
          <w:color w:val="000000"/>
        </w:rPr>
      </w:pPr>
      <w:r w:rsidRPr="00E336A2">
        <w:rPr>
          <w:rFonts w:eastAsia="Times New Roman" w:cs="Arial"/>
          <w:color w:val="000000"/>
        </w:rPr>
        <w:lastRenderedPageBreak/>
        <w:tab/>
      </w:r>
      <w:r w:rsidR="000E461A" w:rsidRPr="00E336A2">
        <w:rPr>
          <w:rFonts w:eastAsia="Times New Roman" w:cs="Arial"/>
          <w:color w:val="000000"/>
        </w:rPr>
        <w:t xml:space="preserve">The court rejected the club’s claim that </w:t>
      </w:r>
      <w:r w:rsidR="00210FC5" w:rsidRPr="00E336A2">
        <w:rPr>
          <w:rFonts w:eastAsia="Times New Roman" w:cs="Arial"/>
          <w:color w:val="000000"/>
        </w:rPr>
        <w:t xml:space="preserve">because it collected only a small annual membership fee from patrons and had “no economic function,” </w:t>
      </w:r>
      <w:r w:rsidR="000E461A" w:rsidRPr="00E336A2">
        <w:rPr>
          <w:rFonts w:eastAsia="Times New Roman" w:cs="Arial"/>
          <w:color w:val="000000"/>
        </w:rPr>
        <w:t>it was too “removed from the commercial world” to be subject to the Act</w:t>
      </w:r>
      <w:r w:rsidR="00210FC5" w:rsidRPr="00E336A2">
        <w:rPr>
          <w:rFonts w:eastAsia="Times New Roman" w:cs="Arial"/>
          <w:color w:val="000000"/>
        </w:rPr>
        <w:t>.</w:t>
      </w:r>
      <w:r w:rsidR="000E461A" w:rsidRPr="00E336A2">
        <w:rPr>
          <w:rFonts w:eastAsia="Times New Roman" w:cs="Arial"/>
          <w:color w:val="000000"/>
        </w:rPr>
        <w:t xml:space="preserve">  (</w:t>
      </w:r>
      <w:proofErr w:type="spellStart"/>
      <w:r w:rsidR="002D5E2C" w:rsidRPr="00E336A2">
        <w:rPr>
          <w:rFonts w:eastAsia="Times New Roman" w:cs="Arial"/>
          <w:i/>
          <w:iCs/>
          <w:color w:val="000000"/>
        </w:rPr>
        <w:t>Isbister</w:t>
      </w:r>
      <w:proofErr w:type="spellEnd"/>
      <w:r w:rsidR="002D5E2C" w:rsidRPr="00E336A2">
        <w:rPr>
          <w:rFonts w:eastAsia="Times New Roman" w:cs="Arial"/>
          <w:i/>
          <w:iCs/>
          <w:color w:val="000000"/>
        </w:rPr>
        <w:t>, supra</w:t>
      </w:r>
      <w:r w:rsidR="002D5E2C" w:rsidRPr="00E336A2">
        <w:rPr>
          <w:rFonts w:eastAsia="Times New Roman" w:cs="Arial"/>
          <w:iCs/>
          <w:color w:val="000000"/>
        </w:rPr>
        <w:t xml:space="preserve">, 40 Cal.3d </w:t>
      </w:r>
      <w:r w:rsidR="000E461A" w:rsidRPr="00E336A2">
        <w:rPr>
          <w:rFonts w:eastAsia="Times New Roman" w:cs="Arial"/>
          <w:color w:val="000000"/>
        </w:rPr>
        <w:t xml:space="preserve">at p. 82.)  The </w:t>
      </w:r>
      <w:r w:rsidR="003029F9" w:rsidRPr="00E336A2">
        <w:rPr>
          <w:rFonts w:eastAsia="Times New Roman" w:cs="Arial"/>
          <w:color w:val="000000"/>
        </w:rPr>
        <w:t xml:space="preserve">court pointed out the </w:t>
      </w:r>
      <w:r w:rsidR="000E461A" w:rsidRPr="00E336A2">
        <w:rPr>
          <w:rFonts w:eastAsia="Times New Roman" w:cs="Arial"/>
          <w:color w:val="000000"/>
        </w:rPr>
        <w:t>club had</w:t>
      </w:r>
      <w:r w:rsidR="003029F9" w:rsidRPr="00E336A2">
        <w:rPr>
          <w:rFonts w:eastAsia="Times New Roman" w:cs="Arial"/>
          <w:color w:val="000000"/>
        </w:rPr>
        <w:t>,</w:t>
      </w:r>
      <w:r w:rsidR="000E461A" w:rsidRPr="00E336A2">
        <w:rPr>
          <w:rFonts w:eastAsia="Times New Roman" w:cs="Arial"/>
          <w:color w:val="000000"/>
        </w:rPr>
        <w:t xml:space="preserve"> “</w:t>
      </w:r>
      <w:r w:rsidR="000A7962" w:rsidRPr="00E336A2">
        <w:rPr>
          <w:rFonts w:eastAsia="Times New Roman" w:cs="Arial"/>
          <w:color w:val="000000"/>
        </w:rPr>
        <w:t>[</w:t>
      </w:r>
      <w:r w:rsidR="000E461A" w:rsidRPr="00E336A2">
        <w:rPr>
          <w:rFonts w:eastAsia="Times New Roman" w:cs="Arial"/>
          <w:color w:val="000000"/>
        </w:rPr>
        <w:t>o</w:t>
      </w:r>
      <w:r w:rsidR="000A7962" w:rsidRPr="00E336A2">
        <w:rPr>
          <w:rFonts w:eastAsia="Times New Roman" w:cs="Arial"/>
          <w:color w:val="000000"/>
        </w:rPr>
        <w:t>]</w:t>
      </w:r>
      <w:r w:rsidR="000E461A" w:rsidRPr="00E336A2">
        <w:rPr>
          <w:rFonts w:eastAsia="Times New Roman" w:cs="Arial"/>
          <w:color w:val="000000"/>
        </w:rPr>
        <w:t>f course</w:t>
      </w:r>
      <w:r w:rsidR="003029F9" w:rsidRPr="00E336A2">
        <w:rPr>
          <w:rFonts w:eastAsia="Times New Roman" w:cs="Arial"/>
          <w:color w:val="000000"/>
        </w:rPr>
        <w:t>,</w:t>
      </w:r>
      <w:r w:rsidR="000E461A" w:rsidRPr="00E336A2">
        <w:rPr>
          <w:rFonts w:eastAsia="Times New Roman" w:cs="Arial"/>
          <w:color w:val="000000"/>
        </w:rPr>
        <w:t>” some “</w:t>
      </w:r>
      <w:r w:rsidR="000A7962" w:rsidRPr="00E336A2">
        <w:rPr>
          <w:rFonts w:eastAsia="Times New Roman" w:cs="Arial"/>
          <w:color w:val="000000"/>
        </w:rPr>
        <w:t xml:space="preserve"> ‘</w:t>
      </w:r>
      <w:r w:rsidR="000E461A" w:rsidRPr="00E336A2">
        <w:rPr>
          <w:rFonts w:eastAsia="Times New Roman" w:cs="Arial"/>
          <w:color w:val="000000"/>
        </w:rPr>
        <w:t>businesslike attributes,</w:t>
      </w:r>
      <w:r w:rsidR="000A7962" w:rsidRPr="00E336A2">
        <w:rPr>
          <w:rFonts w:eastAsia="Times New Roman" w:cs="Arial"/>
          <w:color w:val="000000"/>
        </w:rPr>
        <w:t xml:space="preserve">’ </w:t>
      </w:r>
      <w:r w:rsidR="000E461A" w:rsidRPr="00E336A2">
        <w:rPr>
          <w:rFonts w:eastAsia="Times New Roman" w:cs="Arial"/>
          <w:color w:val="000000"/>
        </w:rPr>
        <w:t>” as it employed “a substantial paid staff” and owned and operated “</w:t>
      </w:r>
      <w:r w:rsidR="000A7962" w:rsidRPr="00E336A2">
        <w:rPr>
          <w:rFonts w:eastAsia="Times New Roman" w:cs="Arial"/>
          <w:color w:val="000000"/>
        </w:rPr>
        <w:t xml:space="preserve"> ‘</w:t>
      </w:r>
      <w:r w:rsidR="000E461A" w:rsidRPr="00E336A2">
        <w:rPr>
          <w:rFonts w:eastAsia="Times New Roman" w:cs="Arial"/>
          <w:color w:val="000000"/>
        </w:rPr>
        <w:t>an extensive physical plant.</w:t>
      </w:r>
      <w:r w:rsidR="000A7962" w:rsidRPr="00E336A2">
        <w:rPr>
          <w:rFonts w:eastAsia="Times New Roman" w:cs="Arial"/>
          <w:color w:val="000000"/>
        </w:rPr>
        <w:t xml:space="preserve">’ </w:t>
      </w:r>
      <w:r w:rsidR="000E461A" w:rsidRPr="00E336A2">
        <w:rPr>
          <w:rFonts w:eastAsia="Times New Roman" w:cs="Arial"/>
          <w:color w:val="000000"/>
        </w:rPr>
        <w:t>”  (</w:t>
      </w:r>
      <w:r w:rsidR="00AD4C1D" w:rsidRPr="00E336A2">
        <w:rPr>
          <w:rFonts w:eastAsia="Times New Roman" w:cs="Arial"/>
          <w:i/>
          <w:iCs/>
          <w:color w:val="000000"/>
        </w:rPr>
        <w:t xml:space="preserve">Id. </w:t>
      </w:r>
      <w:r w:rsidR="00AD4C1D" w:rsidRPr="00E336A2">
        <w:rPr>
          <w:rFonts w:eastAsia="Times New Roman" w:cs="Arial"/>
          <w:color w:val="000000"/>
        </w:rPr>
        <w:t>at p. 8</w:t>
      </w:r>
      <w:r w:rsidR="000A7962" w:rsidRPr="00E336A2">
        <w:rPr>
          <w:rFonts w:eastAsia="Times New Roman" w:cs="Arial"/>
          <w:color w:val="000000"/>
        </w:rPr>
        <w:t>2</w:t>
      </w:r>
      <w:r w:rsidR="00AD4C1D" w:rsidRPr="00E336A2">
        <w:rPr>
          <w:rFonts w:eastAsia="Times New Roman" w:cs="Arial"/>
          <w:color w:val="000000"/>
        </w:rPr>
        <w:t xml:space="preserve">.)  But, said the court, it “need not rely exclusively on the </w:t>
      </w:r>
      <w:r w:rsidR="000A7962" w:rsidRPr="00E336A2">
        <w:rPr>
          <w:rFonts w:eastAsia="Times New Roman" w:cs="Arial"/>
          <w:color w:val="000000"/>
        </w:rPr>
        <w:t>C</w:t>
      </w:r>
      <w:r w:rsidR="00AD4C1D" w:rsidRPr="00E336A2">
        <w:rPr>
          <w:rFonts w:eastAsia="Times New Roman" w:cs="Arial"/>
          <w:color w:val="000000"/>
        </w:rPr>
        <w:t>lub’s functional similarity to a commercial business.</w:t>
      </w:r>
      <w:r w:rsidR="002D5E2C" w:rsidRPr="00E336A2">
        <w:rPr>
          <w:rFonts w:eastAsia="Times New Roman" w:cs="Arial"/>
          <w:color w:val="000000"/>
        </w:rPr>
        <w:t xml:space="preserve"> </w:t>
      </w:r>
      <w:r w:rsidR="00AD4C1D" w:rsidRPr="00E336A2">
        <w:rPr>
          <w:rFonts w:eastAsia="Times New Roman" w:cs="Arial"/>
          <w:color w:val="000000"/>
        </w:rPr>
        <w:t xml:space="preserve"> As we have seen, the Unruh Act replaced a statute governing all </w:t>
      </w:r>
      <w:r w:rsidR="000A7962" w:rsidRPr="00E336A2">
        <w:rPr>
          <w:rFonts w:eastAsia="Times New Roman" w:cs="Arial"/>
          <w:color w:val="000000"/>
        </w:rPr>
        <w:t>‘</w:t>
      </w:r>
      <w:r w:rsidR="00AD4C1D" w:rsidRPr="00E336A2">
        <w:rPr>
          <w:rFonts w:eastAsia="Times New Roman" w:cs="Arial"/>
          <w:color w:val="000000"/>
        </w:rPr>
        <w:t>places of public accommodation or amusement</w:t>
      </w:r>
      <w:r w:rsidR="000A7962" w:rsidRPr="00E336A2">
        <w:rPr>
          <w:rFonts w:eastAsia="Times New Roman" w:cs="Arial"/>
          <w:color w:val="000000"/>
        </w:rPr>
        <w:t>’</w:t>
      </w:r>
      <w:r w:rsidR="00AD4C1D" w:rsidRPr="00E336A2">
        <w:rPr>
          <w:rFonts w:eastAsia="Times New Roman" w:cs="Arial"/>
          <w:color w:val="000000"/>
        </w:rPr>
        <w:t xml:space="preserve"> and was intended at a minimum to continue the coverage of </w:t>
      </w:r>
      <w:r w:rsidR="000A7962" w:rsidRPr="00E336A2">
        <w:rPr>
          <w:rFonts w:eastAsia="Times New Roman" w:cs="Arial"/>
          <w:color w:val="000000"/>
        </w:rPr>
        <w:t>‘</w:t>
      </w:r>
      <w:r w:rsidR="00AD4C1D" w:rsidRPr="00E336A2">
        <w:rPr>
          <w:rFonts w:eastAsia="Times New Roman" w:cs="Arial"/>
          <w:color w:val="000000"/>
        </w:rPr>
        <w:t>public accommodations.</w:t>
      </w:r>
      <w:r w:rsidR="000A7962" w:rsidRPr="00E336A2">
        <w:rPr>
          <w:rFonts w:eastAsia="Times New Roman" w:cs="Arial"/>
          <w:color w:val="000000"/>
        </w:rPr>
        <w:t>’</w:t>
      </w:r>
      <w:r w:rsidR="00AD4C1D" w:rsidRPr="00E336A2">
        <w:rPr>
          <w:rFonts w:eastAsia="Times New Roman" w:cs="Arial"/>
          <w:color w:val="000000"/>
        </w:rPr>
        <w:t xml:space="preserve"> </w:t>
      </w:r>
      <w:r w:rsidR="002D5E2C" w:rsidRPr="00E336A2">
        <w:rPr>
          <w:rFonts w:eastAsia="Times New Roman" w:cs="Arial"/>
          <w:color w:val="000000"/>
        </w:rPr>
        <w:t xml:space="preserve"> </w:t>
      </w:r>
      <w:r w:rsidR="00AD4C1D" w:rsidRPr="00E336A2">
        <w:rPr>
          <w:rFonts w:eastAsia="Times New Roman" w:cs="Arial"/>
          <w:color w:val="000000"/>
        </w:rPr>
        <w:t>The Santa Cruz Boys</w:t>
      </w:r>
      <w:r w:rsidR="002F30D6" w:rsidRPr="00E336A2">
        <w:rPr>
          <w:rFonts w:eastAsia="Times New Roman" w:cs="Arial"/>
          <w:color w:val="000000"/>
        </w:rPr>
        <w:t>’</w:t>
      </w:r>
      <w:r w:rsidR="00AD4C1D" w:rsidRPr="00E336A2">
        <w:rPr>
          <w:rFonts w:eastAsia="Times New Roman" w:cs="Arial"/>
          <w:color w:val="000000"/>
        </w:rPr>
        <w:t xml:space="preserve"> Club, as a public recreational facility, fits within that category. </w:t>
      </w:r>
      <w:r w:rsidR="002D5E2C" w:rsidRPr="00E336A2">
        <w:rPr>
          <w:rFonts w:eastAsia="Times New Roman" w:cs="Arial"/>
          <w:color w:val="000000"/>
        </w:rPr>
        <w:t xml:space="preserve"> </w:t>
      </w:r>
      <w:r w:rsidR="00AD4C1D" w:rsidRPr="00E336A2">
        <w:rPr>
          <w:rFonts w:eastAsia="Times New Roman" w:cs="Arial"/>
          <w:color w:val="000000"/>
        </w:rPr>
        <w:t xml:space="preserve">In these circumstances, the fact that its purposes and operations are not strictly commercial does not bar a conclusion that it is a </w:t>
      </w:r>
      <w:r w:rsidR="002F30D6" w:rsidRPr="00E336A2">
        <w:rPr>
          <w:rFonts w:eastAsia="Times New Roman" w:cs="Arial"/>
          <w:color w:val="000000"/>
        </w:rPr>
        <w:t>‘</w:t>
      </w:r>
      <w:r w:rsidR="00AD4C1D" w:rsidRPr="00E336A2">
        <w:rPr>
          <w:rFonts w:eastAsia="Times New Roman" w:cs="Arial"/>
          <w:color w:val="000000"/>
        </w:rPr>
        <w:t>business establishment</w:t>
      </w:r>
      <w:r w:rsidR="002F30D6" w:rsidRPr="00E336A2">
        <w:rPr>
          <w:rFonts w:eastAsia="Times New Roman" w:cs="Arial"/>
          <w:color w:val="000000"/>
        </w:rPr>
        <w:t>’</w:t>
      </w:r>
      <w:r w:rsidR="00AD4C1D" w:rsidRPr="00E336A2">
        <w:rPr>
          <w:rFonts w:eastAsia="Times New Roman" w:cs="Arial"/>
          <w:color w:val="000000"/>
        </w:rPr>
        <w:t xml:space="preserve"> to which the Act applies.”  (</w:t>
      </w:r>
      <w:r w:rsidR="00AD4C1D" w:rsidRPr="00E336A2">
        <w:rPr>
          <w:rFonts w:eastAsia="Times New Roman" w:cs="Arial"/>
          <w:i/>
          <w:iCs/>
          <w:color w:val="000000"/>
        </w:rPr>
        <w:t>I</w:t>
      </w:r>
      <w:r w:rsidR="000A7962" w:rsidRPr="00E336A2">
        <w:rPr>
          <w:rFonts w:eastAsia="Times New Roman" w:cs="Arial"/>
          <w:i/>
          <w:iCs/>
          <w:color w:val="000000"/>
        </w:rPr>
        <w:t xml:space="preserve">d. </w:t>
      </w:r>
      <w:r w:rsidR="000A7962" w:rsidRPr="00E336A2">
        <w:rPr>
          <w:rFonts w:eastAsia="Times New Roman" w:cs="Arial"/>
          <w:color w:val="000000"/>
        </w:rPr>
        <w:t>at p. 83,</w:t>
      </w:r>
      <w:r w:rsidR="000A7962" w:rsidRPr="00E336A2">
        <w:rPr>
          <w:rFonts w:eastAsia="Times New Roman" w:cs="Arial"/>
          <w:i/>
          <w:iCs/>
          <w:color w:val="000000"/>
        </w:rPr>
        <w:t xml:space="preserve"> </w:t>
      </w:r>
      <w:r w:rsidR="000A7962" w:rsidRPr="00E336A2">
        <w:rPr>
          <w:rFonts w:eastAsia="Times New Roman" w:cs="Arial"/>
          <w:color w:val="000000"/>
        </w:rPr>
        <w:t>fn. omitted.</w:t>
      </w:r>
      <w:r w:rsidR="00AD4C1D" w:rsidRPr="00E336A2">
        <w:rPr>
          <w:rFonts w:eastAsia="Times New Roman" w:cs="Arial"/>
          <w:color w:val="000000"/>
        </w:rPr>
        <w:t xml:space="preserve">)  </w:t>
      </w:r>
    </w:p>
    <w:p w14:paraId="0BA83090" w14:textId="77777777" w:rsidR="00D70021" w:rsidRPr="00E336A2" w:rsidRDefault="00AD4C1D" w:rsidP="00D35280">
      <w:pPr>
        <w:spacing w:line="360" w:lineRule="auto"/>
        <w:rPr>
          <w:rFonts w:eastAsia="Times New Roman" w:cs="Arial"/>
          <w:color w:val="000000"/>
        </w:rPr>
      </w:pPr>
      <w:r w:rsidRPr="00E336A2">
        <w:rPr>
          <w:rFonts w:eastAsia="Times New Roman" w:cs="Arial"/>
          <w:color w:val="000000"/>
        </w:rPr>
        <w:tab/>
      </w:r>
      <w:r w:rsidR="00770620" w:rsidRPr="00E336A2">
        <w:rPr>
          <w:rFonts w:eastAsia="Times New Roman" w:cs="Arial"/>
          <w:color w:val="000000"/>
        </w:rPr>
        <w:t xml:space="preserve">In </w:t>
      </w:r>
      <w:r w:rsidR="00770620" w:rsidRPr="00E336A2">
        <w:rPr>
          <w:rFonts w:eastAsia="Times New Roman" w:cs="Arial"/>
          <w:i/>
          <w:iCs/>
          <w:color w:val="000000"/>
        </w:rPr>
        <w:t xml:space="preserve">Warfield, </w:t>
      </w:r>
      <w:r w:rsidR="00770620" w:rsidRPr="00E336A2">
        <w:rPr>
          <w:rFonts w:eastAsia="Times New Roman" w:cs="Arial"/>
          <w:color w:val="000000"/>
        </w:rPr>
        <w:t>t</w:t>
      </w:r>
      <w:r w:rsidR="00210FC5" w:rsidRPr="00E336A2">
        <w:rPr>
          <w:rFonts w:eastAsia="Times New Roman" w:cs="Arial"/>
          <w:color w:val="000000"/>
        </w:rPr>
        <w:t xml:space="preserve">he court </w:t>
      </w:r>
      <w:r w:rsidR="00770620" w:rsidRPr="00E336A2">
        <w:rPr>
          <w:rFonts w:eastAsia="Times New Roman" w:cs="Arial"/>
          <w:color w:val="000000"/>
        </w:rPr>
        <w:t xml:space="preserve">considered </w:t>
      </w:r>
      <w:r w:rsidR="00A81F65" w:rsidRPr="00E336A2">
        <w:rPr>
          <w:rFonts w:eastAsia="Times New Roman" w:cs="Arial"/>
          <w:color w:val="000000"/>
        </w:rPr>
        <w:t>whether a</w:t>
      </w:r>
      <w:r w:rsidR="002F30D6" w:rsidRPr="00E336A2">
        <w:rPr>
          <w:rFonts w:eastAsia="Times New Roman" w:cs="Arial"/>
          <w:color w:val="000000"/>
        </w:rPr>
        <w:t xml:space="preserve"> </w:t>
      </w:r>
      <w:r w:rsidR="008733E0" w:rsidRPr="00E336A2">
        <w:rPr>
          <w:rFonts w:eastAsia="Times New Roman" w:cs="Arial"/>
          <w:color w:val="000000"/>
        </w:rPr>
        <w:t xml:space="preserve">members-only </w:t>
      </w:r>
      <w:r w:rsidR="00A81F65" w:rsidRPr="00E336A2">
        <w:rPr>
          <w:rFonts w:eastAsia="Times New Roman" w:cs="Arial"/>
          <w:color w:val="000000"/>
        </w:rPr>
        <w:t>golf and country club was a business establishment under the</w:t>
      </w:r>
      <w:r w:rsidR="001E495D">
        <w:rPr>
          <w:rFonts w:eastAsia="Times New Roman" w:cs="Arial"/>
          <w:color w:val="000000"/>
        </w:rPr>
        <w:t xml:space="preserve"> Unruh</w:t>
      </w:r>
      <w:r w:rsidR="00A81F65" w:rsidRPr="00E336A2">
        <w:rPr>
          <w:rFonts w:eastAsia="Times New Roman" w:cs="Arial"/>
          <w:color w:val="000000"/>
        </w:rPr>
        <w:t xml:space="preserve"> Act</w:t>
      </w:r>
      <w:r w:rsidR="0008207F" w:rsidRPr="00E336A2">
        <w:rPr>
          <w:rFonts w:eastAsia="Times New Roman" w:cs="Arial"/>
          <w:color w:val="000000"/>
        </w:rPr>
        <w:t>, and concluded it was</w:t>
      </w:r>
      <w:r w:rsidR="00A81F65" w:rsidRPr="00E336A2">
        <w:rPr>
          <w:rFonts w:eastAsia="Times New Roman" w:cs="Arial"/>
          <w:color w:val="000000"/>
        </w:rPr>
        <w:t>.  (</w:t>
      </w:r>
      <w:r w:rsidR="00A81F65" w:rsidRPr="00E336A2">
        <w:rPr>
          <w:rFonts w:eastAsia="Times New Roman" w:cs="Arial"/>
          <w:i/>
          <w:iCs/>
          <w:color w:val="000000"/>
        </w:rPr>
        <w:t xml:space="preserve">Warfield, supra, </w:t>
      </w:r>
      <w:r w:rsidR="00A81F65" w:rsidRPr="00E336A2">
        <w:rPr>
          <w:rFonts w:eastAsia="Times New Roman" w:cs="Arial"/>
          <w:color w:val="000000"/>
        </w:rPr>
        <w:t>10 Cal.4th at</w:t>
      </w:r>
      <w:r w:rsidR="0008207F" w:rsidRPr="00E336A2">
        <w:rPr>
          <w:rFonts w:eastAsia="Times New Roman" w:cs="Arial"/>
          <w:color w:val="000000"/>
        </w:rPr>
        <w:t xml:space="preserve"> p</w:t>
      </w:r>
      <w:r w:rsidR="00A81F65" w:rsidRPr="00E336A2">
        <w:rPr>
          <w:rFonts w:eastAsia="Times New Roman" w:cs="Arial"/>
          <w:color w:val="000000"/>
        </w:rPr>
        <w:t xml:space="preserve">p. </w:t>
      </w:r>
      <w:r w:rsidR="0008207F" w:rsidRPr="00E336A2">
        <w:rPr>
          <w:rFonts w:eastAsia="Times New Roman" w:cs="Arial"/>
          <w:color w:val="000000"/>
        </w:rPr>
        <w:t>598</w:t>
      </w:r>
      <w:r w:rsidR="001E495D" w:rsidRPr="00E336A2">
        <w:rPr>
          <w:rFonts w:eastAsia="Times New Roman" w:cs="Arial"/>
          <w:color w:val="000000"/>
        </w:rPr>
        <w:t>–</w:t>
      </w:r>
      <w:r w:rsidR="00A81F65" w:rsidRPr="00E336A2">
        <w:rPr>
          <w:rFonts w:eastAsia="Times New Roman" w:cs="Arial"/>
          <w:color w:val="000000"/>
        </w:rPr>
        <w:t>599.)</w:t>
      </w:r>
      <w:r w:rsidR="0008207F" w:rsidRPr="00E336A2">
        <w:rPr>
          <w:rFonts w:eastAsia="Times New Roman" w:cs="Arial"/>
          <w:color w:val="000000"/>
        </w:rPr>
        <w:t xml:space="preserve">    </w:t>
      </w:r>
      <w:r w:rsidR="00D70021" w:rsidRPr="00E336A2">
        <w:rPr>
          <w:rFonts w:eastAsia="Times New Roman" w:cs="Arial"/>
          <w:color w:val="000000"/>
        </w:rPr>
        <w:t xml:space="preserve">  </w:t>
      </w:r>
    </w:p>
    <w:p w14:paraId="4E5BC580" w14:textId="77777777" w:rsidR="00E602C6" w:rsidRPr="00E336A2" w:rsidRDefault="00D70021" w:rsidP="00D35280">
      <w:pPr>
        <w:spacing w:line="360" w:lineRule="auto"/>
        <w:rPr>
          <w:rFonts w:eastAsia="Times New Roman" w:cs="Arial"/>
          <w:color w:val="000000"/>
        </w:rPr>
      </w:pPr>
      <w:r w:rsidRPr="00E336A2">
        <w:rPr>
          <w:rFonts w:eastAsia="Times New Roman" w:cs="Arial"/>
          <w:color w:val="000000"/>
        </w:rPr>
        <w:tab/>
        <w:t xml:space="preserve">The court first </w:t>
      </w:r>
      <w:r w:rsidR="00E602C6" w:rsidRPr="00E336A2">
        <w:rPr>
          <w:rFonts w:eastAsia="Times New Roman" w:cs="Arial"/>
          <w:color w:val="000000"/>
        </w:rPr>
        <w:t>rejected</w:t>
      </w:r>
      <w:r w:rsidR="0008207F" w:rsidRPr="00E336A2">
        <w:rPr>
          <w:rFonts w:eastAsia="Times New Roman" w:cs="Arial"/>
          <w:color w:val="000000"/>
        </w:rPr>
        <w:t>, however,</w:t>
      </w:r>
      <w:r w:rsidR="00E602C6" w:rsidRPr="00E336A2">
        <w:rPr>
          <w:rFonts w:eastAsia="Times New Roman" w:cs="Arial"/>
          <w:color w:val="000000"/>
        </w:rPr>
        <w:t xml:space="preserve"> the plaintiff’s assertion </w:t>
      </w:r>
      <w:r w:rsidR="003B46D2" w:rsidRPr="00E336A2">
        <w:rPr>
          <w:rFonts w:eastAsia="Times New Roman" w:cs="Arial"/>
          <w:color w:val="000000"/>
        </w:rPr>
        <w:t xml:space="preserve">the court’s </w:t>
      </w:r>
      <w:r w:rsidR="00E602C6" w:rsidRPr="00E336A2">
        <w:rPr>
          <w:rFonts w:eastAsia="Times New Roman" w:cs="Arial"/>
          <w:color w:val="000000"/>
        </w:rPr>
        <w:t xml:space="preserve">earlier cases </w:t>
      </w:r>
      <w:r w:rsidR="0008207F" w:rsidRPr="00E336A2">
        <w:rPr>
          <w:rFonts w:eastAsia="Times New Roman" w:cs="Arial"/>
          <w:color w:val="000000"/>
        </w:rPr>
        <w:t xml:space="preserve">had </w:t>
      </w:r>
      <w:r w:rsidR="00E602C6" w:rsidRPr="00E336A2">
        <w:rPr>
          <w:rFonts w:eastAsia="Times New Roman" w:cs="Arial"/>
          <w:color w:val="000000"/>
        </w:rPr>
        <w:t>“establish</w:t>
      </w:r>
      <w:r w:rsidR="0008207F" w:rsidRPr="00E336A2">
        <w:rPr>
          <w:rFonts w:eastAsia="Times New Roman" w:cs="Arial"/>
          <w:color w:val="000000"/>
        </w:rPr>
        <w:t>[ed]</w:t>
      </w:r>
      <w:r w:rsidR="00E602C6" w:rsidRPr="00E336A2">
        <w:rPr>
          <w:rFonts w:eastAsia="Times New Roman" w:cs="Arial"/>
          <w:color w:val="000000"/>
        </w:rPr>
        <w:t xml:space="preserve"> that the Legislature</w:t>
      </w:r>
      <w:r w:rsidR="008733E0" w:rsidRPr="00E336A2">
        <w:rPr>
          <w:rFonts w:eastAsia="Times New Roman" w:cs="Arial"/>
          <w:color w:val="000000"/>
        </w:rPr>
        <w:t>’</w:t>
      </w:r>
      <w:r w:rsidR="00E602C6" w:rsidRPr="00E336A2">
        <w:rPr>
          <w:rFonts w:eastAsia="Times New Roman" w:cs="Arial"/>
          <w:color w:val="000000"/>
        </w:rPr>
        <w:t xml:space="preserve">s adoption of the phrase </w:t>
      </w:r>
      <w:r w:rsidR="002F30D6" w:rsidRPr="00E336A2">
        <w:rPr>
          <w:rFonts w:eastAsia="Times New Roman" w:cs="Arial"/>
          <w:color w:val="000000"/>
        </w:rPr>
        <w:t>‘</w:t>
      </w:r>
      <w:r w:rsidR="00E602C6" w:rsidRPr="00E336A2">
        <w:rPr>
          <w:rFonts w:eastAsia="Times New Roman" w:cs="Arial"/>
          <w:color w:val="000000"/>
        </w:rPr>
        <w:t>all business establishments of every kind whatsoever</w:t>
      </w:r>
      <w:r w:rsidR="002F30D6" w:rsidRPr="00E336A2">
        <w:rPr>
          <w:rFonts w:eastAsia="Times New Roman" w:cs="Arial"/>
          <w:color w:val="000000"/>
        </w:rPr>
        <w:t>’</w:t>
      </w:r>
      <w:r w:rsidR="00E602C6" w:rsidRPr="00E336A2">
        <w:rPr>
          <w:rFonts w:eastAsia="Times New Roman" w:cs="Arial"/>
          <w:color w:val="000000"/>
        </w:rPr>
        <w:t xml:space="preserve"> in the final, enacted version of the Unruh Civil Rights Act was intended to incorporate all entities and activities that had been included in the initial draft of the bill introduced in 1959</w:t>
      </w:r>
      <w:r w:rsidR="002F30D6" w:rsidRPr="00E336A2">
        <w:rPr>
          <w:rFonts w:eastAsia="Times New Roman" w:cs="Arial"/>
          <w:color w:val="000000"/>
        </w:rPr>
        <w:t>,” which had “</w:t>
      </w:r>
      <w:r w:rsidR="00E602C6" w:rsidRPr="00E336A2">
        <w:rPr>
          <w:rFonts w:eastAsia="Times New Roman" w:cs="Arial"/>
          <w:color w:val="000000"/>
        </w:rPr>
        <w:t xml:space="preserve">referred specifically to </w:t>
      </w:r>
      <w:r w:rsidR="002F30D6" w:rsidRPr="00E336A2">
        <w:rPr>
          <w:rFonts w:eastAsia="Times New Roman" w:cs="Arial"/>
          <w:color w:val="000000"/>
        </w:rPr>
        <w:t>‘</w:t>
      </w:r>
      <w:r w:rsidR="00E602C6" w:rsidRPr="00E336A2">
        <w:rPr>
          <w:rFonts w:eastAsia="Times New Roman" w:cs="Arial"/>
          <w:color w:val="000000"/>
        </w:rPr>
        <w:t>membership .</w:t>
      </w:r>
      <w:r w:rsidR="005B124D" w:rsidRPr="00E336A2">
        <w:rPr>
          <w:rFonts w:eastAsia="Times New Roman" w:cs="Arial"/>
          <w:color w:val="000000"/>
        </w:rPr>
        <w:t xml:space="preserve"> </w:t>
      </w:r>
      <w:r w:rsidR="00E602C6" w:rsidRPr="00E336A2">
        <w:rPr>
          <w:rFonts w:eastAsia="Times New Roman" w:cs="Arial"/>
          <w:color w:val="000000"/>
        </w:rPr>
        <w:t>.</w:t>
      </w:r>
      <w:r w:rsidR="005B124D" w:rsidRPr="00E336A2">
        <w:rPr>
          <w:rFonts w:eastAsia="Times New Roman" w:cs="Arial"/>
          <w:color w:val="000000"/>
        </w:rPr>
        <w:t xml:space="preserve"> </w:t>
      </w:r>
      <w:r w:rsidR="00E602C6" w:rsidRPr="00E336A2">
        <w:rPr>
          <w:rFonts w:eastAsia="Times New Roman" w:cs="Arial"/>
          <w:color w:val="000000"/>
        </w:rPr>
        <w:t>. in .</w:t>
      </w:r>
      <w:r w:rsidR="005B124D" w:rsidRPr="00E336A2">
        <w:rPr>
          <w:rFonts w:eastAsia="Times New Roman" w:cs="Arial"/>
          <w:color w:val="000000"/>
        </w:rPr>
        <w:t xml:space="preserve"> </w:t>
      </w:r>
      <w:r w:rsidR="00E602C6" w:rsidRPr="00E336A2">
        <w:rPr>
          <w:rFonts w:eastAsia="Times New Roman" w:cs="Arial"/>
          <w:color w:val="000000"/>
        </w:rPr>
        <w:t>.</w:t>
      </w:r>
      <w:r w:rsidR="005B124D" w:rsidRPr="00E336A2">
        <w:rPr>
          <w:rFonts w:eastAsia="Times New Roman" w:cs="Arial"/>
          <w:color w:val="000000"/>
        </w:rPr>
        <w:t xml:space="preserve"> </w:t>
      </w:r>
      <w:r w:rsidR="00E602C6" w:rsidRPr="00E336A2">
        <w:rPr>
          <w:rFonts w:eastAsia="Times New Roman" w:cs="Arial"/>
          <w:color w:val="000000"/>
        </w:rPr>
        <w:t>. all public or private groups, organizations [and] associations</w:t>
      </w:r>
      <w:r w:rsidR="002F30D6" w:rsidRPr="00E336A2">
        <w:rPr>
          <w:rFonts w:eastAsia="Times New Roman" w:cs="Arial"/>
          <w:color w:val="000000"/>
        </w:rPr>
        <w:t>.’ ”</w:t>
      </w:r>
      <w:r w:rsidR="00E602C6" w:rsidRPr="00E336A2">
        <w:rPr>
          <w:rFonts w:eastAsia="Times New Roman" w:cs="Arial"/>
          <w:color w:val="000000"/>
        </w:rPr>
        <w:t xml:space="preserve"> </w:t>
      </w:r>
      <w:r w:rsidR="002D5E2C" w:rsidRPr="00E336A2">
        <w:rPr>
          <w:rFonts w:eastAsia="Times New Roman" w:cs="Arial"/>
          <w:color w:val="000000"/>
        </w:rPr>
        <w:t xml:space="preserve"> </w:t>
      </w:r>
      <w:r w:rsidR="00E602C6" w:rsidRPr="00E336A2">
        <w:rPr>
          <w:rFonts w:eastAsia="Times New Roman" w:cs="Arial"/>
          <w:color w:val="000000"/>
        </w:rPr>
        <w:t>(</w:t>
      </w:r>
      <w:r w:rsidR="00E602C6" w:rsidRPr="00E336A2">
        <w:rPr>
          <w:rFonts w:eastAsia="Times New Roman" w:cs="Arial"/>
          <w:i/>
          <w:color w:val="000000"/>
        </w:rPr>
        <w:t>Warfield, supra</w:t>
      </w:r>
      <w:r w:rsidR="00E602C6" w:rsidRPr="00E336A2">
        <w:rPr>
          <w:rFonts w:eastAsia="Times New Roman" w:cs="Arial"/>
          <w:color w:val="000000"/>
        </w:rPr>
        <w:t>,</w:t>
      </w:r>
      <w:r w:rsidR="002D5E2C" w:rsidRPr="00E336A2">
        <w:rPr>
          <w:rFonts w:eastAsia="Times New Roman" w:cs="Arial"/>
          <w:color w:val="000000"/>
        </w:rPr>
        <w:t xml:space="preserve"> 10</w:t>
      </w:r>
      <w:r w:rsidR="005B124D" w:rsidRPr="00E336A2">
        <w:rPr>
          <w:rFonts w:eastAsia="Times New Roman" w:cs="Arial"/>
          <w:color w:val="000000"/>
        </w:rPr>
        <w:t> </w:t>
      </w:r>
      <w:r w:rsidR="002D5E2C" w:rsidRPr="00E336A2">
        <w:rPr>
          <w:rFonts w:eastAsia="Times New Roman" w:cs="Arial"/>
          <w:color w:val="000000"/>
        </w:rPr>
        <w:t xml:space="preserve">Cal.4th </w:t>
      </w:r>
      <w:r w:rsidR="00E602C6" w:rsidRPr="00E336A2">
        <w:rPr>
          <w:rFonts w:eastAsia="Times New Roman" w:cs="Arial"/>
          <w:color w:val="000000"/>
        </w:rPr>
        <w:t>at p. 614.)</w:t>
      </w:r>
      <w:r w:rsidR="00E602C6" w:rsidRPr="00E336A2">
        <w:rPr>
          <w:rFonts w:eastAsia="Times New Roman" w:cs="Arial"/>
          <w:i/>
          <w:color w:val="000000"/>
        </w:rPr>
        <w:t xml:space="preserve">  </w:t>
      </w:r>
      <w:r w:rsidR="00E602C6" w:rsidRPr="00E336A2">
        <w:rPr>
          <w:rFonts w:eastAsia="Times New Roman" w:cs="Arial"/>
          <w:color w:val="000000"/>
        </w:rPr>
        <w:t>“</w:t>
      </w:r>
      <w:r w:rsidR="00B36AEA" w:rsidRPr="00E336A2">
        <w:rPr>
          <w:rFonts w:eastAsia="Times New Roman" w:cs="Arial"/>
          <w:color w:val="000000"/>
        </w:rPr>
        <w:t>[T]</w:t>
      </w:r>
      <w:r w:rsidR="00E602C6" w:rsidRPr="00E336A2">
        <w:rPr>
          <w:rFonts w:eastAsia="Times New Roman" w:cs="Arial"/>
          <w:color w:val="000000"/>
        </w:rPr>
        <w:t>he cited cases”</w:t>
      </w:r>
      <w:r w:rsidR="00B36AEA" w:rsidRPr="00E336A2">
        <w:rPr>
          <w:rFonts w:eastAsia="Times New Roman" w:cs="Arial"/>
          <w:color w:val="000000"/>
        </w:rPr>
        <w:t xml:space="preserve"> </w:t>
      </w:r>
      <w:r w:rsidR="00E602C6" w:rsidRPr="00E336A2">
        <w:rPr>
          <w:rFonts w:eastAsia="Times New Roman" w:cs="Arial"/>
          <w:color w:val="000000"/>
        </w:rPr>
        <w:t xml:space="preserve">said the court, </w:t>
      </w:r>
      <w:r w:rsidR="00210FC5" w:rsidRPr="00E336A2">
        <w:rPr>
          <w:rFonts w:eastAsia="Times New Roman" w:cs="Arial"/>
          <w:color w:val="000000"/>
        </w:rPr>
        <w:t>did “</w:t>
      </w:r>
      <w:r w:rsidR="00E602C6" w:rsidRPr="00E336A2">
        <w:rPr>
          <w:rFonts w:eastAsia="Times New Roman" w:cs="Arial"/>
          <w:color w:val="000000"/>
        </w:rPr>
        <w:t>not support plaintiff</w:t>
      </w:r>
      <w:r w:rsidR="00F8585A" w:rsidRPr="00E336A2">
        <w:rPr>
          <w:rFonts w:eastAsia="Times New Roman" w:cs="Arial"/>
          <w:color w:val="000000"/>
        </w:rPr>
        <w:t>’</w:t>
      </w:r>
      <w:r w:rsidR="00E602C6" w:rsidRPr="00E336A2">
        <w:rPr>
          <w:rFonts w:eastAsia="Times New Roman" w:cs="Arial"/>
          <w:color w:val="000000"/>
        </w:rPr>
        <w:t>s reading.</w:t>
      </w:r>
      <w:r w:rsidR="00B36AEA" w:rsidRPr="00E336A2">
        <w:rPr>
          <w:rFonts w:eastAsia="Times New Roman" w:cs="Arial"/>
          <w:color w:val="000000"/>
        </w:rPr>
        <w:t>”</w:t>
      </w:r>
      <w:r w:rsidR="00E602C6" w:rsidRPr="00E336A2">
        <w:rPr>
          <w:rFonts w:eastAsia="Times New Roman" w:cs="Arial"/>
          <w:color w:val="000000"/>
        </w:rPr>
        <w:t xml:space="preserve">  (</w:t>
      </w:r>
      <w:r w:rsidR="00E602C6" w:rsidRPr="00E336A2">
        <w:rPr>
          <w:rFonts w:eastAsia="Times New Roman" w:cs="Arial"/>
          <w:i/>
          <w:color w:val="000000"/>
        </w:rPr>
        <w:t>Ibid.</w:t>
      </w:r>
      <w:r w:rsidR="00E602C6" w:rsidRPr="00E336A2">
        <w:rPr>
          <w:rFonts w:eastAsia="Times New Roman" w:cs="Arial"/>
          <w:color w:val="000000"/>
        </w:rPr>
        <w:t>)</w:t>
      </w:r>
      <w:r w:rsidR="00D35280" w:rsidRPr="00E336A2">
        <w:rPr>
          <w:rFonts w:eastAsia="Times New Roman" w:cs="Arial"/>
          <w:color w:val="000000"/>
        </w:rPr>
        <w:t xml:space="preserve">  </w:t>
      </w:r>
      <w:r w:rsidR="00E602C6" w:rsidRPr="00E336A2">
        <w:rPr>
          <w:rFonts w:eastAsia="Times New Roman" w:cs="Arial"/>
          <w:color w:val="000000"/>
        </w:rPr>
        <w:t>“Nothing in the [</w:t>
      </w:r>
      <w:r w:rsidR="00E602C6" w:rsidRPr="00E336A2">
        <w:rPr>
          <w:rFonts w:eastAsia="Times New Roman" w:cs="Arial"/>
          <w:i/>
          <w:color w:val="000000"/>
        </w:rPr>
        <w:t>Burks</w:t>
      </w:r>
      <w:r w:rsidR="00E602C6" w:rsidRPr="00E336A2">
        <w:rPr>
          <w:rFonts w:eastAsia="Times New Roman" w:cs="Arial"/>
          <w:color w:val="000000"/>
        </w:rPr>
        <w:t>]</w:t>
      </w:r>
      <w:r w:rsidR="00FA0A53" w:rsidRPr="00E336A2">
        <w:rPr>
          <w:rFonts w:eastAsia="Times New Roman" w:cs="Arial"/>
          <w:color w:val="000000"/>
        </w:rPr>
        <w:t xml:space="preserve"> </w:t>
      </w:r>
      <w:r w:rsidR="00E602C6" w:rsidRPr="00E336A2">
        <w:rPr>
          <w:rFonts w:eastAsia="Times New Roman" w:cs="Arial"/>
          <w:color w:val="000000"/>
        </w:rPr>
        <w:t>opinion</w:t>
      </w:r>
      <w:r w:rsidR="0008207F" w:rsidRPr="00E336A2">
        <w:rPr>
          <w:rFonts w:eastAsia="Times New Roman" w:cs="Arial"/>
          <w:color w:val="000000"/>
        </w:rPr>
        <w:t xml:space="preserve"> . . . </w:t>
      </w:r>
      <w:r w:rsidR="00E602C6" w:rsidRPr="00E336A2">
        <w:rPr>
          <w:rFonts w:eastAsia="Times New Roman" w:cs="Arial"/>
          <w:color w:val="000000"/>
        </w:rPr>
        <w:t>suggest</w:t>
      </w:r>
      <w:r w:rsidR="0008207F" w:rsidRPr="00E336A2">
        <w:rPr>
          <w:rFonts w:eastAsia="Times New Roman" w:cs="Arial"/>
          <w:color w:val="000000"/>
        </w:rPr>
        <w:t>[ed]</w:t>
      </w:r>
      <w:r w:rsidR="00E602C6" w:rsidRPr="00E336A2">
        <w:rPr>
          <w:rFonts w:eastAsia="Times New Roman" w:cs="Arial"/>
          <w:color w:val="000000"/>
        </w:rPr>
        <w:t xml:space="preserve"> that the term </w:t>
      </w:r>
      <w:r w:rsidR="00F8585A" w:rsidRPr="00E336A2">
        <w:rPr>
          <w:rFonts w:eastAsia="Times New Roman" w:cs="Arial"/>
          <w:color w:val="000000"/>
        </w:rPr>
        <w:t>‘</w:t>
      </w:r>
      <w:r w:rsidR="00E602C6" w:rsidRPr="00E336A2">
        <w:rPr>
          <w:rFonts w:eastAsia="Times New Roman" w:cs="Arial"/>
          <w:color w:val="000000"/>
        </w:rPr>
        <w:t>all business establishments of every kind whatsoever</w:t>
      </w:r>
      <w:r w:rsidR="00F8585A" w:rsidRPr="00E336A2">
        <w:rPr>
          <w:rFonts w:eastAsia="Times New Roman" w:cs="Arial"/>
          <w:color w:val="000000"/>
        </w:rPr>
        <w:t>’</w:t>
      </w:r>
      <w:r w:rsidR="00E602C6" w:rsidRPr="00E336A2">
        <w:rPr>
          <w:rFonts w:eastAsia="Times New Roman" w:cs="Arial"/>
          <w:color w:val="000000"/>
        </w:rPr>
        <w:t xml:space="preserve"> was </w:t>
      </w:r>
      <w:r w:rsidR="00E602C6" w:rsidRPr="00E336A2">
        <w:rPr>
          <w:rFonts w:eastAsia="Times New Roman" w:cs="Arial"/>
          <w:color w:val="000000"/>
        </w:rPr>
        <w:lastRenderedPageBreak/>
        <w:t xml:space="preserve">intended to encompass </w:t>
      </w:r>
      <w:r w:rsidR="00E602C6" w:rsidRPr="00E336A2">
        <w:rPr>
          <w:rFonts w:eastAsia="Times New Roman" w:cs="Arial"/>
          <w:i/>
          <w:iCs/>
          <w:color w:val="000000"/>
        </w:rPr>
        <w:t>all</w:t>
      </w:r>
      <w:r w:rsidR="00E602C6" w:rsidRPr="00E336A2">
        <w:rPr>
          <w:rFonts w:eastAsia="Times New Roman" w:cs="Arial"/>
          <w:color w:val="000000"/>
        </w:rPr>
        <w:t xml:space="preserve"> of the entities or activities listed in the initial bill, without regard to whether such activities reasonably could be found to constitute a business establishment. </w:t>
      </w:r>
      <w:r w:rsidR="002D5E2C" w:rsidRPr="00E336A2">
        <w:rPr>
          <w:rFonts w:eastAsia="Times New Roman" w:cs="Arial"/>
          <w:color w:val="000000"/>
        </w:rPr>
        <w:t xml:space="preserve"> </w:t>
      </w:r>
      <w:r w:rsidR="00E602C6" w:rsidRPr="00E336A2">
        <w:rPr>
          <w:rFonts w:eastAsia="Times New Roman" w:cs="Arial"/>
          <w:color w:val="000000"/>
        </w:rPr>
        <w:t xml:space="preserve">Indeed, the court in </w:t>
      </w:r>
      <w:r w:rsidR="00E602C6" w:rsidRPr="00E336A2">
        <w:rPr>
          <w:rFonts w:eastAsia="Times New Roman" w:cs="Arial"/>
          <w:i/>
          <w:iCs/>
          <w:color w:val="000000"/>
        </w:rPr>
        <w:t>Burks,</w:t>
      </w:r>
      <w:r w:rsidR="00E602C6" w:rsidRPr="00E336A2">
        <w:rPr>
          <w:rFonts w:eastAsia="Times New Roman" w:cs="Arial"/>
          <w:color w:val="000000"/>
        </w:rPr>
        <w:t xml:space="preserve"> in a subsequent passage </w:t>
      </w:r>
      <w:r w:rsidR="00E602C6" w:rsidRPr="00E336A2">
        <w:rPr>
          <w:rFonts w:eastAsia="Times New Roman" w:cs="Arial"/>
          <w:i/>
          <w:iCs/>
          <w:color w:val="000000"/>
        </w:rPr>
        <w:t>distinguishing</w:t>
      </w:r>
      <w:r w:rsidR="00E602C6" w:rsidRPr="00E336A2">
        <w:rPr>
          <w:rFonts w:eastAsia="Times New Roman" w:cs="Arial"/>
          <w:color w:val="000000"/>
        </w:rPr>
        <w:t xml:space="preserve"> the scope of the Unruh Civil Rights Act from that of other legislation enacted the same year, </w:t>
      </w:r>
      <w:r w:rsidR="00210FC5" w:rsidRPr="00E336A2">
        <w:rPr>
          <w:rFonts w:eastAsia="Times New Roman" w:cs="Arial"/>
          <w:color w:val="000000"/>
        </w:rPr>
        <w:t xml:space="preserve">[had] </w:t>
      </w:r>
      <w:r w:rsidR="00E602C6" w:rsidRPr="00E336A2">
        <w:rPr>
          <w:rFonts w:eastAsia="Times New Roman" w:cs="Arial"/>
          <w:color w:val="000000"/>
        </w:rPr>
        <w:t xml:space="preserve">specifically stated: </w:t>
      </w:r>
      <w:r w:rsidR="00F8585A" w:rsidRPr="00E336A2">
        <w:rPr>
          <w:rFonts w:eastAsia="Times New Roman" w:cs="Arial"/>
          <w:color w:val="000000"/>
        </w:rPr>
        <w:t>‘</w:t>
      </w:r>
      <w:r w:rsidR="00E602C6" w:rsidRPr="00E336A2">
        <w:rPr>
          <w:rFonts w:eastAsia="Times New Roman" w:cs="Arial"/>
          <w:color w:val="000000"/>
        </w:rPr>
        <w:t xml:space="preserve">The Unruh Act relates only to discriminatory practices in </w:t>
      </w:r>
      <w:r w:rsidR="00F8585A" w:rsidRPr="00E336A2">
        <w:rPr>
          <w:rFonts w:eastAsia="Times New Roman" w:cs="Arial"/>
          <w:color w:val="000000"/>
        </w:rPr>
        <w:t>“</w:t>
      </w:r>
      <w:r w:rsidR="00E602C6" w:rsidRPr="00E336A2">
        <w:rPr>
          <w:rFonts w:eastAsia="Times New Roman" w:cs="Arial"/>
          <w:color w:val="000000"/>
        </w:rPr>
        <w:t>business establishments.</w:t>
      </w:r>
      <w:r w:rsidR="00F8585A" w:rsidRPr="00E336A2">
        <w:rPr>
          <w:rFonts w:eastAsia="Times New Roman" w:cs="Arial"/>
          <w:color w:val="000000"/>
        </w:rPr>
        <w:t xml:space="preserve">” </w:t>
      </w:r>
      <w:r w:rsidR="00E602C6" w:rsidRPr="00E336A2">
        <w:rPr>
          <w:rFonts w:eastAsia="Times New Roman" w:cs="Arial"/>
          <w:color w:val="000000"/>
        </w:rPr>
        <w:t xml:space="preserve">’ ” </w:t>
      </w:r>
      <w:r w:rsidR="002D5E2C" w:rsidRPr="00E336A2">
        <w:rPr>
          <w:rFonts w:eastAsia="Times New Roman" w:cs="Arial"/>
          <w:noProof/>
          <w:vanish/>
          <w:color w:val="000000"/>
          <w:shd w:val="clear" w:color="auto" w:fill="FFFFFF"/>
        </w:rPr>
        <w:t xml:space="preserve"> </w:t>
      </w:r>
      <w:r w:rsidR="00E602C6" w:rsidRPr="00E336A2">
        <w:rPr>
          <w:rFonts w:eastAsia="Times New Roman" w:cs="Arial"/>
          <w:color w:val="000000"/>
        </w:rPr>
        <w:t>(</w:t>
      </w:r>
      <w:r w:rsidR="00E602C6" w:rsidRPr="00E336A2">
        <w:rPr>
          <w:rFonts w:eastAsia="Times New Roman" w:cs="Arial"/>
          <w:i/>
          <w:color w:val="000000"/>
        </w:rPr>
        <w:t>Warfield,</w:t>
      </w:r>
      <w:r w:rsidR="00E602C6" w:rsidRPr="00E336A2">
        <w:rPr>
          <w:rFonts w:eastAsia="Times New Roman" w:cs="Arial"/>
          <w:color w:val="000000"/>
        </w:rPr>
        <w:t xml:space="preserve"> at p</w:t>
      </w:r>
      <w:r w:rsidR="00F8585A" w:rsidRPr="00E336A2">
        <w:rPr>
          <w:rFonts w:eastAsia="Times New Roman" w:cs="Arial"/>
          <w:color w:val="000000"/>
        </w:rPr>
        <w:t>p</w:t>
      </w:r>
      <w:r w:rsidR="00E602C6" w:rsidRPr="00E336A2">
        <w:rPr>
          <w:rFonts w:eastAsia="Times New Roman" w:cs="Arial"/>
          <w:color w:val="000000"/>
        </w:rPr>
        <w:t xml:space="preserve">. </w:t>
      </w:r>
      <w:r w:rsidR="00F8585A" w:rsidRPr="00E336A2">
        <w:rPr>
          <w:rFonts w:eastAsia="Times New Roman" w:cs="Arial"/>
          <w:color w:val="000000"/>
        </w:rPr>
        <w:t>614</w:t>
      </w:r>
      <w:r w:rsidR="001E495D" w:rsidRPr="00E336A2">
        <w:rPr>
          <w:rFonts w:eastAsia="Times New Roman" w:cs="Arial"/>
          <w:color w:val="000000"/>
        </w:rPr>
        <w:t>–</w:t>
      </w:r>
      <w:r w:rsidR="00D35280" w:rsidRPr="00E336A2">
        <w:rPr>
          <w:rFonts w:eastAsia="Times New Roman" w:cs="Arial"/>
          <w:color w:val="000000"/>
        </w:rPr>
        <w:t xml:space="preserve">615, quoting </w:t>
      </w:r>
      <w:r w:rsidR="00D35280" w:rsidRPr="00E336A2">
        <w:rPr>
          <w:rFonts w:eastAsia="Times New Roman" w:cs="Arial"/>
          <w:i/>
          <w:color w:val="000000"/>
        </w:rPr>
        <w:t xml:space="preserve">Burks, supra, </w:t>
      </w:r>
      <w:r w:rsidR="00E602C6" w:rsidRPr="00E336A2">
        <w:rPr>
          <w:rFonts w:eastAsia="Times New Roman" w:cs="Arial"/>
          <w:color w:val="000000"/>
        </w:rPr>
        <w:t>57</w:t>
      </w:r>
      <w:r w:rsidR="001E495D">
        <w:rPr>
          <w:rFonts w:eastAsia="Times New Roman" w:cs="Arial"/>
          <w:color w:val="000000"/>
        </w:rPr>
        <w:t> </w:t>
      </w:r>
      <w:r w:rsidR="00E602C6" w:rsidRPr="00E336A2">
        <w:rPr>
          <w:rFonts w:eastAsia="Times New Roman" w:cs="Arial"/>
          <w:color w:val="000000"/>
        </w:rPr>
        <w:t>Cal.2d at p.</w:t>
      </w:r>
      <w:r w:rsidR="005B124D" w:rsidRPr="00E336A2">
        <w:rPr>
          <w:rFonts w:eastAsia="Times New Roman" w:cs="Arial"/>
          <w:color w:val="000000"/>
        </w:rPr>
        <w:t> </w:t>
      </w:r>
      <w:r w:rsidR="00E602C6" w:rsidRPr="00E336A2">
        <w:rPr>
          <w:rFonts w:eastAsia="Times New Roman" w:cs="Arial"/>
          <w:color w:val="000000"/>
        </w:rPr>
        <w:t>469</w:t>
      </w:r>
      <w:r w:rsidR="00F8585A" w:rsidRPr="00E336A2">
        <w:rPr>
          <w:rFonts w:eastAsia="Times New Roman" w:cs="Arial"/>
          <w:color w:val="000000"/>
        </w:rPr>
        <w:t>, second italics added</w:t>
      </w:r>
      <w:r w:rsidR="00E602C6" w:rsidRPr="00E336A2">
        <w:rPr>
          <w:rFonts w:eastAsia="Times New Roman" w:cs="Arial"/>
          <w:color w:val="000000"/>
        </w:rPr>
        <w:t>.)</w:t>
      </w:r>
      <w:r w:rsidR="00210FC5" w:rsidRPr="00E336A2">
        <w:rPr>
          <w:rFonts w:eastAsia="Times New Roman" w:cs="Arial"/>
          <w:color w:val="000000"/>
        </w:rPr>
        <w:t xml:space="preserve">  And </w:t>
      </w:r>
      <w:r w:rsidR="00D35280" w:rsidRPr="00E336A2">
        <w:rPr>
          <w:rFonts w:eastAsia="Times New Roman" w:cs="Arial"/>
          <w:color w:val="000000"/>
        </w:rPr>
        <w:t>“</w:t>
      </w:r>
      <w:r w:rsidR="00210FC5" w:rsidRPr="00E336A2">
        <w:rPr>
          <w:rFonts w:eastAsia="Times New Roman" w:cs="Arial"/>
          <w:color w:val="000000"/>
        </w:rPr>
        <w:t>i</w:t>
      </w:r>
      <w:r w:rsidR="00D35280" w:rsidRPr="00E336A2">
        <w:rPr>
          <w:rFonts w:eastAsia="Times New Roman" w:cs="Arial"/>
          <w:color w:val="000000"/>
        </w:rPr>
        <w:t xml:space="preserve">n </w:t>
      </w:r>
      <w:r w:rsidR="00D35280" w:rsidRPr="00E336A2">
        <w:rPr>
          <w:rFonts w:eastAsia="Times New Roman" w:cs="Arial"/>
          <w:i/>
          <w:color w:val="000000"/>
        </w:rPr>
        <w:t>O</w:t>
      </w:r>
      <w:r w:rsidR="002D5E2C" w:rsidRPr="00E336A2">
        <w:rPr>
          <w:rFonts w:eastAsia="Times New Roman" w:cs="Arial"/>
          <w:i/>
          <w:color w:val="000000"/>
        </w:rPr>
        <w:t>’</w:t>
      </w:r>
      <w:r w:rsidR="00D35280" w:rsidRPr="00E336A2">
        <w:rPr>
          <w:rFonts w:eastAsia="Times New Roman" w:cs="Arial"/>
          <w:i/>
          <w:color w:val="000000"/>
        </w:rPr>
        <w:t>Connor</w:t>
      </w:r>
      <w:r w:rsidR="00D35280" w:rsidRPr="00E336A2">
        <w:rPr>
          <w:rFonts w:eastAsia="Times New Roman" w:cs="Arial"/>
          <w:color w:val="000000"/>
        </w:rPr>
        <w:t xml:space="preserve"> the court </w:t>
      </w:r>
      <w:r w:rsidR="00210FC5" w:rsidRPr="00E336A2">
        <w:rPr>
          <w:rFonts w:eastAsia="Times New Roman" w:cs="Arial"/>
          <w:color w:val="000000"/>
        </w:rPr>
        <w:t xml:space="preserve">[had] </w:t>
      </w:r>
      <w:r w:rsidR="00D35280" w:rsidRPr="00E336A2">
        <w:rPr>
          <w:rFonts w:eastAsia="Times New Roman" w:cs="Arial"/>
          <w:color w:val="000000"/>
        </w:rPr>
        <w:t xml:space="preserve">stated in this regard: </w:t>
      </w:r>
      <w:r w:rsidR="002D5E2C" w:rsidRPr="00E336A2">
        <w:rPr>
          <w:rFonts w:eastAsia="Times New Roman" w:cs="Arial"/>
          <w:color w:val="000000"/>
        </w:rPr>
        <w:t xml:space="preserve"> </w:t>
      </w:r>
      <w:r w:rsidR="008733E0" w:rsidRPr="00E336A2">
        <w:rPr>
          <w:rFonts w:eastAsia="Times New Roman" w:cs="Arial"/>
          <w:color w:val="000000"/>
        </w:rPr>
        <w:t>‘</w:t>
      </w:r>
      <w:r w:rsidR="00D35280" w:rsidRPr="00E336A2">
        <w:rPr>
          <w:rFonts w:eastAsia="Times New Roman" w:cs="Arial"/>
          <w:color w:val="000000"/>
        </w:rPr>
        <w:t xml:space="preserve">The broadened scope of business establishments in the final version of the bill, in our view, is indicative of an intent by the Legislature to include therein all formerly specified private and public groups or organizations that may reasonably be found to constitute </w:t>
      </w:r>
      <w:r w:rsidR="00776AA2" w:rsidRPr="00E336A2">
        <w:rPr>
          <w:rFonts w:eastAsia="Times New Roman" w:cs="Arial"/>
          <w:color w:val="000000"/>
        </w:rPr>
        <w:t>“</w:t>
      </w:r>
      <w:r w:rsidR="00D35280" w:rsidRPr="00E336A2">
        <w:rPr>
          <w:rFonts w:eastAsia="Times New Roman" w:cs="Arial"/>
          <w:color w:val="000000"/>
        </w:rPr>
        <w:t>business establishments of every type whatsoever.</w:t>
      </w:r>
      <w:r w:rsidR="00776AA2" w:rsidRPr="00E336A2">
        <w:rPr>
          <w:rFonts w:eastAsia="Times New Roman" w:cs="Arial"/>
          <w:color w:val="000000"/>
        </w:rPr>
        <w:t xml:space="preserve">” </w:t>
      </w:r>
      <w:r w:rsidR="00D35280" w:rsidRPr="00E336A2">
        <w:rPr>
          <w:rFonts w:eastAsia="Times New Roman" w:cs="Arial"/>
          <w:color w:val="000000"/>
        </w:rPr>
        <w:t>’</w:t>
      </w:r>
      <w:r w:rsidR="00776AA2" w:rsidRPr="00E336A2">
        <w:rPr>
          <w:rFonts w:eastAsia="Times New Roman" w:cs="Arial"/>
          <w:color w:val="000000"/>
        </w:rPr>
        <w:t xml:space="preserve"> </w:t>
      </w:r>
      <w:r w:rsidR="00D35280" w:rsidRPr="00E336A2">
        <w:rPr>
          <w:rFonts w:eastAsia="Times New Roman" w:cs="Arial"/>
          <w:color w:val="000000"/>
        </w:rPr>
        <w:t xml:space="preserve"> </w:t>
      </w:r>
      <w:r w:rsidR="002D5E2C" w:rsidRPr="00E336A2">
        <w:rPr>
          <w:rFonts w:eastAsia="Times New Roman" w:cs="Arial"/>
          <w:color w:val="000000"/>
        </w:rPr>
        <w:t>[</w:t>
      </w:r>
      <w:r w:rsidR="0008207F" w:rsidRPr="00E336A2">
        <w:rPr>
          <w:rFonts w:eastAsia="Times New Roman" w:cs="Arial"/>
          <w:color w:val="000000"/>
        </w:rPr>
        <w:t>Citation.</w:t>
      </w:r>
      <w:r w:rsidR="002D5E2C" w:rsidRPr="00E336A2">
        <w:rPr>
          <w:rFonts w:eastAsia="Times New Roman" w:cs="Arial"/>
          <w:color w:val="000000"/>
        </w:rPr>
        <w:t>]</w:t>
      </w:r>
      <w:r w:rsidR="00D35280" w:rsidRPr="00E336A2">
        <w:rPr>
          <w:rFonts w:eastAsia="Times New Roman" w:cs="Arial"/>
          <w:color w:val="000000"/>
        </w:rPr>
        <w:t xml:space="preserve"> </w:t>
      </w:r>
      <w:r w:rsidR="0008207F" w:rsidRPr="00E336A2">
        <w:rPr>
          <w:rFonts w:eastAsia="Times New Roman" w:cs="Arial"/>
          <w:color w:val="000000"/>
        </w:rPr>
        <w:t xml:space="preserve"> </w:t>
      </w:r>
      <w:r w:rsidR="00D35280" w:rsidRPr="00E336A2">
        <w:rPr>
          <w:rFonts w:eastAsia="Times New Roman" w:cs="Arial"/>
          <w:color w:val="000000"/>
        </w:rPr>
        <w:t xml:space="preserve">As in </w:t>
      </w:r>
      <w:r w:rsidR="00D35280" w:rsidRPr="00E336A2">
        <w:rPr>
          <w:rFonts w:eastAsia="Times New Roman" w:cs="Arial"/>
          <w:i/>
          <w:color w:val="000000"/>
        </w:rPr>
        <w:t>Burks</w:t>
      </w:r>
      <w:r w:rsidR="00D35280" w:rsidRPr="00E336A2">
        <w:rPr>
          <w:rFonts w:eastAsia="Times New Roman" w:cs="Arial"/>
          <w:color w:val="000000"/>
        </w:rPr>
        <w:t xml:space="preserve">, nothing in </w:t>
      </w:r>
      <w:r w:rsidR="00D35280" w:rsidRPr="00E336A2">
        <w:rPr>
          <w:rFonts w:eastAsia="Times New Roman" w:cs="Arial"/>
          <w:i/>
          <w:color w:val="000000"/>
        </w:rPr>
        <w:t>O</w:t>
      </w:r>
      <w:r w:rsidR="002D5E2C" w:rsidRPr="00E336A2">
        <w:rPr>
          <w:rFonts w:eastAsia="Times New Roman" w:cs="Arial"/>
          <w:i/>
          <w:color w:val="000000"/>
        </w:rPr>
        <w:t>’</w:t>
      </w:r>
      <w:r w:rsidR="00D35280" w:rsidRPr="00E336A2">
        <w:rPr>
          <w:rFonts w:eastAsia="Times New Roman" w:cs="Arial"/>
          <w:i/>
          <w:color w:val="000000"/>
        </w:rPr>
        <w:t>Connor</w:t>
      </w:r>
      <w:r w:rsidR="00D35280" w:rsidRPr="00E336A2">
        <w:rPr>
          <w:rFonts w:eastAsia="Times New Roman" w:cs="Arial"/>
          <w:color w:val="000000"/>
        </w:rPr>
        <w:t xml:space="preserve"> suggest</w:t>
      </w:r>
      <w:r w:rsidR="00210FC5" w:rsidRPr="00E336A2">
        <w:rPr>
          <w:rFonts w:eastAsia="Times New Roman" w:cs="Arial"/>
          <w:color w:val="000000"/>
        </w:rPr>
        <w:t>[ed]</w:t>
      </w:r>
      <w:r w:rsidR="00D35280" w:rsidRPr="00E336A2">
        <w:rPr>
          <w:rFonts w:eastAsia="Times New Roman" w:cs="Arial"/>
          <w:color w:val="000000"/>
        </w:rPr>
        <w:t xml:space="preserve"> that all private groups, organizations, or associations listed in the initial version of the bill invariably constitute </w:t>
      </w:r>
      <w:r w:rsidR="00776AA2" w:rsidRPr="00E336A2">
        <w:rPr>
          <w:rFonts w:eastAsia="Times New Roman" w:cs="Arial"/>
          <w:color w:val="000000"/>
        </w:rPr>
        <w:t>‘</w:t>
      </w:r>
      <w:r w:rsidR="00D35280" w:rsidRPr="00E336A2">
        <w:rPr>
          <w:rFonts w:eastAsia="Times New Roman" w:cs="Arial"/>
          <w:color w:val="000000"/>
        </w:rPr>
        <w:t>business establishments</w:t>
      </w:r>
      <w:r w:rsidR="00776AA2" w:rsidRPr="00E336A2">
        <w:rPr>
          <w:rFonts w:eastAsia="Times New Roman" w:cs="Arial"/>
          <w:color w:val="000000"/>
        </w:rPr>
        <w:t>’</w:t>
      </w:r>
      <w:r w:rsidR="00D35280" w:rsidRPr="00E336A2">
        <w:rPr>
          <w:rFonts w:eastAsia="Times New Roman" w:cs="Arial"/>
          <w:color w:val="000000"/>
        </w:rPr>
        <w:t xml:space="preserve"> under </w:t>
      </w:r>
      <w:r w:rsidR="001E495D">
        <w:rPr>
          <w:rFonts w:eastAsia="Times New Roman" w:cs="Arial"/>
          <w:color w:val="000000"/>
        </w:rPr>
        <w:t xml:space="preserve">[Civil Code] </w:t>
      </w:r>
      <w:r w:rsidR="00D35280" w:rsidRPr="00E336A2">
        <w:rPr>
          <w:rFonts w:eastAsia="Times New Roman" w:cs="Arial"/>
          <w:color w:val="000000"/>
        </w:rPr>
        <w:t xml:space="preserve">section 51; rather, </w:t>
      </w:r>
      <w:r w:rsidR="00D35280" w:rsidRPr="00E336A2">
        <w:rPr>
          <w:rFonts w:eastAsia="Times New Roman" w:cs="Arial"/>
          <w:i/>
          <w:iCs/>
          <w:color w:val="000000"/>
        </w:rPr>
        <w:t>O</w:t>
      </w:r>
      <w:r w:rsidR="002D5E2C" w:rsidRPr="00E336A2">
        <w:rPr>
          <w:rFonts w:eastAsia="Times New Roman" w:cs="Arial"/>
          <w:i/>
          <w:iCs/>
          <w:color w:val="000000"/>
        </w:rPr>
        <w:t>’</w:t>
      </w:r>
      <w:r w:rsidR="00D35280" w:rsidRPr="00E336A2">
        <w:rPr>
          <w:rFonts w:eastAsia="Times New Roman" w:cs="Arial"/>
          <w:i/>
          <w:iCs/>
          <w:color w:val="000000"/>
        </w:rPr>
        <w:t>Connor</w:t>
      </w:r>
      <w:r w:rsidR="00D35280" w:rsidRPr="00E336A2">
        <w:rPr>
          <w:rFonts w:eastAsia="Times New Roman" w:cs="Arial"/>
          <w:color w:val="000000"/>
        </w:rPr>
        <w:t xml:space="preserve"> explain</w:t>
      </w:r>
      <w:r w:rsidR="00210FC5" w:rsidRPr="00E336A2">
        <w:rPr>
          <w:rFonts w:eastAsia="Times New Roman" w:cs="Arial"/>
          <w:color w:val="000000"/>
        </w:rPr>
        <w:t>[ed]</w:t>
      </w:r>
      <w:r w:rsidR="00D35280" w:rsidRPr="00E336A2">
        <w:rPr>
          <w:rFonts w:eastAsia="Times New Roman" w:cs="Arial"/>
          <w:color w:val="000000"/>
        </w:rPr>
        <w:t xml:space="preserve"> that such private groups or organizations are covered by </w:t>
      </w:r>
      <w:r w:rsidR="001E495D">
        <w:rPr>
          <w:rFonts w:eastAsia="Times New Roman" w:cs="Arial"/>
          <w:color w:val="000000"/>
        </w:rPr>
        <w:t xml:space="preserve">[Civil Code] </w:t>
      </w:r>
      <w:r w:rsidR="00D35280" w:rsidRPr="00E336A2">
        <w:rPr>
          <w:rFonts w:eastAsia="Times New Roman" w:cs="Arial"/>
          <w:color w:val="000000"/>
        </w:rPr>
        <w:t xml:space="preserve">section 51 if they </w:t>
      </w:r>
      <w:r w:rsidR="00776AA2" w:rsidRPr="00E336A2">
        <w:rPr>
          <w:rFonts w:eastAsia="Times New Roman" w:cs="Arial"/>
          <w:color w:val="000000"/>
        </w:rPr>
        <w:t>‘</w:t>
      </w:r>
      <w:r w:rsidR="00D35280" w:rsidRPr="00E336A2">
        <w:rPr>
          <w:rFonts w:eastAsia="Times New Roman" w:cs="Arial"/>
          <w:color w:val="000000"/>
        </w:rPr>
        <w:t xml:space="preserve">may reasonably be found to constitute </w:t>
      </w:r>
      <w:r w:rsidR="00776AA2" w:rsidRPr="00E336A2">
        <w:rPr>
          <w:rFonts w:eastAsia="Times New Roman" w:cs="Arial"/>
          <w:color w:val="000000"/>
        </w:rPr>
        <w:t>“</w:t>
      </w:r>
      <w:r w:rsidR="00D35280" w:rsidRPr="00E336A2">
        <w:rPr>
          <w:rFonts w:eastAsia="Times New Roman" w:cs="Arial"/>
          <w:color w:val="000000"/>
        </w:rPr>
        <w:t>business establishments of every type whatsoever.</w:t>
      </w:r>
      <w:r w:rsidR="00776AA2" w:rsidRPr="00E336A2">
        <w:rPr>
          <w:rFonts w:eastAsia="Times New Roman" w:cs="Arial"/>
          <w:color w:val="000000"/>
        </w:rPr>
        <w:t xml:space="preserve">” </w:t>
      </w:r>
      <w:r w:rsidR="00D35280" w:rsidRPr="00E336A2">
        <w:rPr>
          <w:rFonts w:eastAsia="Times New Roman" w:cs="Arial"/>
          <w:color w:val="000000"/>
        </w:rPr>
        <w:t>’ ”  (</w:t>
      </w:r>
      <w:r w:rsidR="00D35280" w:rsidRPr="00E336A2">
        <w:rPr>
          <w:rFonts w:eastAsia="Times New Roman" w:cs="Arial"/>
          <w:i/>
          <w:color w:val="000000"/>
        </w:rPr>
        <w:t xml:space="preserve">Warfield, </w:t>
      </w:r>
      <w:r w:rsidR="00D35280" w:rsidRPr="00E336A2">
        <w:rPr>
          <w:rFonts w:eastAsia="Times New Roman" w:cs="Arial"/>
          <w:color w:val="000000"/>
        </w:rPr>
        <w:t xml:space="preserve">at p. 615, quoting </w:t>
      </w:r>
      <w:r w:rsidR="00D35280" w:rsidRPr="00E336A2">
        <w:rPr>
          <w:rFonts w:eastAsia="Times New Roman" w:cs="Arial"/>
          <w:i/>
          <w:color w:val="000000"/>
        </w:rPr>
        <w:t xml:space="preserve">O’Connor, supra, </w:t>
      </w:r>
      <w:r w:rsidR="00D35280" w:rsidRPr="00E336A2">
        <w:rPr>
          <w:rFonts w:eastAsia="Times New Roman" w:cs="Arial"/>
          <w:color w:val="000000"/>
        </w:rPr>
        <w:t>33</w:t>
      </w:r>
      <w:r w:rsidR="001E495D">
        <w:rPr>
          <w:rFonts w:eastAsia="Times New Roman" w:cs="Arial"/>
          <w:color w:val="000000"/>
        </w:rPr>
        <w:t> </w:t>
      </w:r>
      <w:r w:rsidR="00D35280" w:rsidRPr="00E336A2">
        <w:rPr>
          <w:rFonts w:eastAsia="Times New Roman" w:cs="Arial"/>
          <w:color w:val="000000"/>
        </w:rPr>
        <w:t>Cal.3d at pp. 795</w:t>
      </w:r>
      <w:r w:rsidR="001E495D" w:rsidRPr="00E336A2">
        <w:rPr>
          <w:rFonts w:eastAsia="Times New Roman" w:cs="Arial"/>
          <w:color w:val="000000"/>
        </w:rPr>
        <w:t>–</w:t>
      </w:r>
      <w:r w:rsidR="00D35280" w:rsidRPr="00E336A2">
        <w:rPr>
          <w:rFonts w:eastAsia="Times New Roman" w:cs="Arial"/>
          <w:color w:val="000000"/>
        </w:rPr>
        <w:t>796</w:t>
      </w:r>
      <w:r w:rsidR="00776AA2" w:rsidRPr="00E336A2">
        <w:rPr>
          <w:rFonts w:eastAsia="Times New Roman" w:cs="Arial"/>
          <w:color w:val="000000"/>
        </w:rPr>
        <w:t>, italics omitted</w:t>
      </w:r>
      <w:r w:rsidR="00D35280" w:rsidRPr="00E336A2">
        <w:rPr>
          <w:rFonts w:eastAsia="Times New Roman" w:cs="Arial"/>
          <w:color w:val="000000"/>
        </w:rPr>
        <w:t>.)</w:t>
      </w:r>
    </w:p>
    <w:p w14:paraId="31B49A64" w14:textId="77777777" w:rsidR="00491519" w:rsidRPr="00E336A2" w:rsidRDefault="00FA0A53" w:rsidP="00D572B6">
      <w:pPr>
        <w:spacing w:line="360" w:lineRule="auto"/>
        <w:rPr>
          <w:rFonts w:eastAsia="Times New Roman" w:cs="Arial"/>
          <w:color w:val="000000"/>
        </w:rPr>
      </w:pPr>
      <w:r w:rsidRPr="00E336A2">
        <w:rPr>
          <w:rFonts w:eastAsia="Times New Roman" w:cs="Arial"/>
          <w:color w:val="000000"/>
        </w:rPr>
        <w:tab/>
      </w:r>
      <w:r w:rsidR="00D70021" w:rsidRPr="00E336A2">
        <w:rPr>
          <w:rFonts w:eastAsia="Times New Roman" w:cs="Arial"/>
          <w:color w:val="000000"/>
        </w:rPr>
        <w:t xml:space="preserve">The court next </w:t>
      </w:r>
      <w:r w:rsidR="00D034AA" w:rsidRPr="00E336A2">
        <w:rPr>
          <w:rFonts w:eastAsia="Times New Roman" w:cs="Arial"/>
          <w:color w:val="000000"/>
        </w:rPr>
        <w:t xml:space="preserve">addressed whether “private social clubs, </w:t>
      </w:r>
      <w:r w:rsidR="00D034AA" w:rsidRPr="00E336A2">
        <w:rPr>
          <w:rFonts w:eastAsia="Times New Roman" w:cs="Arial"/>
          <w:i/>
          <w:iCs/>
          <w:color w:val="000000"/>
        </w:rPr>
        <w:t>as a general matter</w:t>
      </w:r>
      <w:r w:rsidR="00D034AA" w:rsidRPr="00E336A2">
        <w:rPr>
          <w:rFonts w:eastAsia="Times New Roman" w:cs="Arial"/>
          <w:color w:val="000000"/>
        </w:rPr>
        <w:t>, constitute ‘business establishments</w:t>
      </w:r>
      <w:r w:rsidR="00210FC5" w:rsidRPr="00E336A2">
        <w:rPr>
          <w:rFonts w:eastAsia="Times New Roman" w:cs="Arial"/>
          <w:color w:val="000000"/>
        </w:rPr>
        <w:t>’</w:t>
      </w:r>
      <w:r w:rsidR="00D034AA" w:rsidRPr="00E336A2">
        <w:rPr>
          <w:rFonts w:eastAsia="Times New Roman" w:cs="Arial"/>
          <w:color w:val="000000"/>
        </w:rPr>
        <w:t xml:space="preserve"> within the meaning of </w:t>
      </w:r>
      <w:r w:rsidR="001E495D">
        <w:rPr>
          <w:rFonts w:eastAsia="Times New Roman" w:cs="Arial"/>
          <w:color w:val="000000"/>
        </w:rPr>
        <w:t xml:space="preserve">[Civil Code] </w:t>
      </w:r>
      <w:r w:rsidR="00D034AA" w:rsidRPr="00E336A2">
        <w:rPr>
          <w:rFonts w:eastAsia="Times New Roman" w:cs="Arial"/>
          <w:color w:val="000000"/>
        </w:rPr>
        <w:t>section 51.”</w:t>
      </w:r>
      <w:r w:rsidR="005B124D" w:rsidRPr="00E336A2">
        <w:rPr>
          <w:rFonts w:eastAsia="Times New Roman" w:cs="Arial"/>
          <w:color w:val="000000"/>
        </w:rPr>
        <w:t xml:space="preserve"> </w:t>
      </w:r>
      <w:r w:rsidR="00D034AA" w:rsidRPr="00E336A2">
        <w:rPr>
          <w:rFonts w:eastAsia="Times New Roman" w:cs="Arial"/>
          <w:color w:val="000000"/>
        </w:rPr>
        <w:t xml:space="preserve"> (</w:t>
      </w:r>
      <w:r w:rsidR="0008207F" w:rsidRPr="00E336A2">
        <w:rPr>
          <w:rFonts w:eastAsia="Times New Roman" w:cs="Arial"/>
          <w:i/>
          <w:iCs/>
          <w:color w:val="000000"/>
        </w:rPr>
        <w:t xml:space="preserve">Warfield, </w:t>
      </w:r>
      <w:r w:rsidR="005B124D" w:rsidRPr="00E336A2">
        <w:rPr>
          <w:rFonts w:eastAsia="Times New Roman" w:cs="Arial"/>
          <w:i/>
          <w:iCs/>
          <w:color w:val="000000"/>
        </w:rPr>
        <w:t xml:space="preserve">supra, </w:t>
      </w:r>
      <w:r w:rsidR="002D5E2C" w:rsidRPr="00E336A2">
        <w:rPr>
          <w:rFonts w:eastAsia="Times New Roman" w:cs="Arial"/>
          <w:color w:val="000000"/>
        </w:rPr>
        <w:t xml:space="preserve">10 Cal.4th </w:t>
      </w:r>
      <w:r w:rsidR="00D70021" w:rsidRPr="00E336A2">
        <w:rPr>
          <w:rFonts w:eastAsia="Times New Roman" w:cs="Arial"/>
          <w:color w:val="000000"/>
        </w:rPr>
        <w:t xml:space="preserve">at p. </w:t>
      </w:r>
      <w:r w:rsidR="00D034AA" w:rsidRPr="00E336A2">
        <w:rPr>
          <w:rFonts w:eastAsia="Times New Roman" w:cs="Arial"/>
          <w:color w:val="000000"/>
        </w:rPr>
        <w:t>614</w:t>
      </w:r>
      <w:r w:rsidR="00D70021" w:rsidRPr="00E336A2">
        <w:rPr>
          <w:rFonts w:eastAsia="Times New Roman" w:cs="Arial"/>
          <w:color w:val="000000"/>
        </w:rPr>
        <w:t xml:space="preserve">.)  </w:t>
      </w:r>
      <w:r w:rsidR="00D034AA" w:rsidRPr="00E336A2">
        <w:rPr>
          <w:rFonts w:eastAsia="Times New Roman" w:cs="Arial"/>
          <w:color w:val="000000"/>
        </w:rPr>
        <w:t xml:space="preserve">After acknowledging that </w:t>
      </w:r>
      <w:r w:rsidR="00B36AEA" w:rsidRPr="00E336A2">
        <w:rPr>
          <w:rFonts w:eastAsia="Times New Roman" w:cs="Arial"/>
          <w:color w:val="000000"/>
        </w:rPr>
        <w:t>its</w:t>
      </w:r>
      <w:r w:rsidR="00D034AA" w:rsidRPr="00E336A2">
        <w:rPr>
          <w:rFonts w:eastAsia="Times New Roman" w:cs="Arial"/>
          <w:color w:val="000000"/>
        </w:rPr>
        <w:t xml:space="preserve"> decisions in </w:t>
      </w:r>
      <w:r w:rsidR="00D034AA" w:rsidRPr="00E336A2">
        <w:rPr>
          <w:rFonts w:eastAsia="Times New Roman" w:cs="Arial"/>
          <w:i/>
          <w:color w:val="000000"/>
        </w:rPr>
        <w:t>O</w:t>
      </w:r>
      <w:r w:rsidR="002D5E2C" w:rsidRPr="00E336A2">
        <w:rPr>
          <w:rFonts w:eastAsia="Times New Roman" w:cs="Arial"/>
          <w:i/>
          <w:color w:val="000000"/>
        </w:rPr>
        <w:t>’</w:t>
      </w:r>
      <w:r w:rsidR="00D034AA" w:rsidRPr="00E336A2">
        <w:rPr>
          <w:rFonts w:eastAsia="Times New Roman" w:cs="Arial"/>
          <w:i/>
          <w:color w:val="000000"/>
        </w:rPr>
        <w:t>Connor</w:t>
      </w:r>
      <w:r w:rsidR="00D034AA" w:rsidRPr="00E336A2">
        <w:rPr>
          <w:rFonts w:eastAsia="Times New Roman" w:cs="Arial"/>
          <w:color w:val="000000"/>
        </w:rPr>
        <w:t xml:space="preserve"> and </w:t>
      </w:r>
      <w:proofErr w:type="spellStart"/>
      <w:r w:rsidR="00D034AA" w:rsidRPr="00E336A2">
        <w:rPr>
          <w:rFonts w:eastAsia="Times New Roman" w:cs="Arial"/>
          <w:i/>
          <w:color w:val="000000"/>
        </w:rPr>
        <w:t>Isbister</w:t>
      </w:r>
      <w:proofErr w:type="spellEnd"/>
      <w:r w:rsidR="00D034AA" w:rsidRPr="00E336A2">
        <w:rPr>
          <w:rFonts w:eastAsia="Times New Roman" w:cs="Arial"/>
          <w:color w:val="000000"/>
        </w:rPr>
        <w:t xml:space="preserve"> demonstrate “the reach of </w:t>
      </w:r>
      <w:r w:rsidR="001E495D">
        <w:rPr>
          <w:rFonts w:eastAsia="Times New Roman" w:cs="Arial"/>
          <w:color w:val="000000"/>
        </w:rPr>
        <w:t xml:space="preserve">[Civil Code] </w:t>
      </w:r>
      <w:r w:rsidR="00D034AA" w:rsidRPr="00E336A2">
        <w:rPr>
          <w:rFonts w:eastAsia="Times New Roman" w:cs="Arial"/>
          <w:color w:val="000000"/>
        </w:rPr>
        <w:t>section 51 cannot be determined invariably by reference to the apparent ‘plain meaning’ of the term ‘business establishment</w:t>
      </w:r>
      <w:r w:rsidR="00D70021" w:rsidRPr="00E336A2">
        <w:rPr>
          <w:rFonts w:eastAsia="Times New Roman" w:cs="Arial"/>
          <w:color w:val="000000"/>
        </w:rPr>
        <w:t>,</w:t>
      </w:r>
      <w:r w:rsidR="00D034AA" w:rsidRPr="00E336A2">
        <w:rPr>
          <w:rFonts w:eastAsia="Times New Roman" w:cs="Arial"/>
          <w:color w:val="000000"/>
        </w:rPr>
        <w:t xml:space="preserve">’ ” the court—viewing the matter from a historical perspective—observed that </w:t>
      </w:r>
      <w:r w:rsidR="00D034AA" w:rsidRPr="00E336A2">
        <w:rPr>
          <w:rFonts w:eastAsia="Times New Roman" w:cs="Arial"/>
          <w:color w:val="000000"/>
        </w:rPr>
        <w:lastRenderedPageBreak/>
        <w:t>“[t]</w:t>
      </w:r>
      <w:proofErr w:type="spellStart"/>
      <w:r w:rsidR="00D034AA" w:rsidRPr="00E336A2">
        <w:rPr>
          <w:rFonts w:eastAsia="Times New Roman" w:cs="Arial"/>
          <w:color w:val="000000"/>
        </w:rPr>
        <w:t>raditionally</w:t>
      </w:r>
      <w:proofErr w:type="spellEnd"/>
      <w:r w:rsidR="00D034AA" w:rsidRPr="00E336A2">
        <w:rPr>
          <w:rFonts w:eastAsia="Times New Roman" w:cs="Arial"/>
          <w:color w:val="000000"/>
        </w:rPr>
        <w:t>, statutes prohibiting discrimination in places of public accommodation have not been applied to the membership policies of private social clubs</w:t>
      </w:r>
      <w:r w:rsidR="00D46C60" w:rsidRPr="00E336A2">
        <w:rPr>
          <w:rFonts w:eastAsia="Times New Roman" w:cs="Arial"/>
          <w:color w:val="000000"/>
        </w:rPr>
        <w:t>.</w:t>
      </w:r>
      <w:r w:rsidR="00D034AA" w:rsidRPr="00E336A2">
        <w:rPr>
          <w:rFonts w:eastAsia="Times New Roman" w:cs="Arial"/>
          <w:color w:val="000000"/>
        </w:rPr>
        <w:t xml:space="preserve">” </w:t>
      </w:r>
      <w:r w:rsidR="002D5E2C" w:rsidRPr="00E336A2">
        <w:rPr>
          <w:rFonts w:eastAsia="Times New Roman" w:cs="Arial"/>
          <w:color w:val="000000"/>
        </w:rPr>
        <w:t xml:space="preserve"> </w:t>
      </w:r>
      <w:r w:rsidR="00D034AA" w:rsidRPr="00E336A2">
        <w:rPr>
          <w:rFonts w:eastAsia="Times New Roman" w:cs="Arial"/>
          <w:color w:val="000000"/>
        </w:rPr>
        <w:t>(</w:t>
      </w:r>
      <w:r w:rsidR="00D46C60" w:rsidRPr="00E336A2">
        <w:rPr>
          <w:rFonts w:eastAsia="Times New Roman" w:cs="Arial"/>
          <w:i/>
          <w:iCs/>
          <w:color w:val="000000"/>
        </w:rPr>
        <w:t>I</w:t>
      </w:r>
      <w:r w:rsidR="00D034AA" w:rsidRPr="00E336A2">
        <w:rPr>
          <w:rFonts w:eastAsia="Times New Roman" w:cs="Arial"/>
          <w:i/>
          <w:color w:val="000000"/>
        </w:rPr>
        <w:t>d</w:t>
      </w:r>
      <w:r w:rsidR="00D034AA" w:rsidRPr="00E336A2">
        <w:rPr>
          <w:rFonts w:eastAsia="Times New Roman" w:cs="Arial"/>
          <w:color w:val="000000"/>
        </w:rPr>
        <w:t>.</w:t>
      </w:r>
      <w:r w:rsidR="00D46C60" w:rsidRPr="00E336A2">
        <w:rPr>
          <w:rFonts w:eastAsia="Times New Roman" w:cs="Arial"/>
          <w:color w:val="000000"/>
        </w:rPr>
        <w:t xml:space="preserve"> at pp. 616</w:t>
      </w:r>
      <w:r w:rsidR="001E495D" w:rsidRPr="00E336A2">
        <w:rPr>
          <w:rFonts w:eastAsia="Times New Roman" w:cs="Arial"/>
          <w:color w:val="000000"/>
        </w:rPr>
        <w:t>–</w:t>
      </w:r>
      <w:r w:rsidR="00D46C60" w:rsidRPr="00E336A2">
        <w:rPr>
          <w:rFonts w:eastAsia="Times New Roman" w:cs="Arial"/>
          <w:color w:val="000000"/>
        </w:rPr>
        <w:t>617</w:t>
      </w:r>
      <w:r w:rsidR="00F56786" w:rsidRPr="00E336A2">
        <w:rPr>
          <w:rFonts w:eastAsia="Times New Roman" w:cs="Arial"/>
          <w:color w:val="000000"/>
        </w:rPr>
        <w:t>, italics omitted</w:t>
      </w:r>
      <w:r w:rsidR="00D46C60" w:rsidRPr="00E336A2">
        <w:rPr>
          <w:rFonts w:eastAsia="Times New Roman" w:cs="Arial"/>
          <w:color w:val="000000"/>
        </w:rPr>
        <w:t>.</w:t>
      </w:r>
      <w:r w:rsidR="00D034AA" w:rsidRPr="00E336A2">
        <w:rPr>
          <w:rFonts w:eastAsia="Times New Roman" w:cs="Arial"/>
          <w:color w:val="000000"/>
        </w:rPr>
        <w:t>)</w:t>
      </w:r>
      <w:r w:rsidR="00D46C60" w:rsidRPr="00E336A2">
        <w:rPr>
          <w:rFonts w:eastAsia="Times New Roman" w:cs="Arial"/>
          <w:color w:val="000000"/>
        </w:rPr>
        <w:t xml:space="preserve">  It also </w:t>
      </w:r>
      <w:r w:rsidR="00D034AA" w:rsidRPr="00E336A2">
        <w:rPr>
          <w:rFonts w:eastAsia="Times New Roman" w:cs="Arial"/>
          <w:color w:val="000000"/>
        </w:rPr>
        <w:t xml:space="preserve">found nothing in the language or </w:t>
      </w:r>
      <w:r w:rsidR="00D46C60" w:rsidRPr="00E336A2">
        <w:rPr>
          <w:rFonts w:eastAsia="Times New Roman" w:cs="Arial"/>
          <w:color w:val="000000"/>
        </w:rPr>
        <w:t xml:space="preserve">the </w:t>
      </w:r>
      <w:r w:rsidR="00D034AA" w:rsidRPr="00E336A2">
        <w:rPr>
          <w:rFonts w:eastAsia="Times New Roman" w:cs="Arial"/>
          <w:color w:val="000000"/>
        </w:rPr>
        <w:t>legislative history of either California</w:t>
      </w:r>
      <w:r w:rsidR="002D5E2C" w:rsidRPr="00E336A2">
        <w:rPr>
          <w:rFonts w:eastAsia="Times New Roman" w:cs="Arial"/>
          <w:color w:val="000000"/>
        </w:rPr>
        <w:t>’</w:t>
      </w:r>
      <w:r w:rsidR="00D034AA" w:rsidRPr="00E336A2">
        <w:rPr>
          <w:rFonts w:eastAsia="Times New Roman" w:cs="Arial"/>
          <w:color w:val="000000"/>
        </w:rPr>
        <w:t xml:space="preserve">s </w:t>
      </w:r>
      <w:r w:rsidR="00D46C60" w:rsidRPr="00E336A2">
        <w:rPr>
          <w:rFonts w:eastAsia="Times New Roman" w:cs="Arial"/>
          <w:color w:val="000000"/>
        </w:rPr>
        <w:t xml:space="preserve">initial </w:t>
      </w:r>
      <w:r w:rsidR="00D034AA" w:rsidRPr="00E336A2">
        <w:rPr>
          <w:rFonts w:eastAsia="Times New Roman" w:cs="Arial"/>
          <w:color w:val="000000"/>
        </w:rPr>
        <w:t>public accommodation statute</w:t>
      </w:r>
      <w:r w:rsidR="00D46C60" w:rsidRPr="00E336A2">
        <w:rPr>
          <w:rFonts w:eastAsia="Times New Roman" w:cs="Arial"/>
          <w:color w:val="000000"/>
        </w:rPr>
        <w:t>s</w:t>
      </w:r>
      <w:r w:rsidR="00D034AA" w:rsidRPr="00E336A2">
        <w:rPr>
          <w:rFonts w:eastAsia="Times New Roman" w:cs="Arial"/>
          <w:color w:val="000000"/>
        </w:rPr>
        <w:t xml:space="preserve"> or the Unruh Act suggest</w:t>
      </w:r>
      <w:r w:rsidR="00D46C60" w:rsidRPr="00E336A2">
        <w:rPr>
          <w:rFonts w:eastAsia="Times New Roman" w:cs="Arial"/>
          <w:color w:val="000000"/>
        </w:rPr>
        <w:t>ing</w:t>
      </w:r>
      <w:r w:rsidR="00D034AA" w:rsidRPr="00E336A2">
        <w:rPr>
          <w:rFonts w:eastAsia="Times New Roman" w:cs="Arial"/>
          <w:color w:val="000000"/>
        </w:rPr>
        <w:t xml:space="preserve"> the Legislature intended to </w:t>
      </w:r>
      <w:r w:rsidR="00D46C60" w:rsidRPr="00E336A2">
        <w:rPr>
          <w:rFonts w:eastAsia="Times New Roman" w:cs="Arial"/>
          <w:color w:val="000000"/>
        </w:rPr>
        <w:t>depart from that view</w:t>
      </w:r>
      <w:r w:rsidR="00D034AA" w:rsidRPr="00E336A2">
        <w:rPr>
          <w:rFonts w:eastAsia="Times New Roman" w:cs="Arial"/>
          <w:color w:val="000000"/>
        </w:rPr>
        <w:t>.</w:t>
      </w:r>
      <w:r w:rsidR="002D5E2C" w:rsidRPr="00E336A2">
        <w:rPr>
          <w:rFonts w:eastAsia="Times New Roman" w:cs="Arial"/>
          <w:color w:val="000000"/>
        </w:rPr>
        <w:t xml:space="preserve"> </w:t>
      </w:r>
      <w:r w:rsidR="00D034AA" w:rsidRPr="00E336A2">
        <w:rPr>
          <w:rFonts w:eastAsia="Times New Roman" w:cs="Arial"/>
          <w:color w:val="000000"/>
        </w:rPr>
        <w:t xml:space="preserve"> (</w:t>
      </w:r>
      <w:r w:rsidR="00D034AA" w:rsidRPr="00E336A2">
        <w:rPr>
          <w:rFonts w:eastAsia="Times New Roman" w:cs="Arial"/>
          <w:i/>
          <w:iCs/>
          <w:color w:val="000000"/>
        </w:rPr>
        <w:t>Id.</w:t>
      </w:r>
      <w:r w:rsidR="00D034AA" w:rsidRPr="00E336A2">
        <w:rPr>
          <w:rFonts w:eastAsia="Times New Roman" w:cs="Arial"/>
          <w:color w:val="000000"/>
        </w:rPr>
        <w:t xml:space="preserve"> at </w:t>
      </w:r>
      <w:r w:rsidR="00D46C60" w:rsidRPr="00E336A2">
        <w:rPr>
          <w:rFonts w:eastAsia="Times New Roman" w:cs="Arial"/>
          <w:color w:val="000000"/>
        </w:rPr>
        <w:t>p</w:t>
      </w:r>
      <w:r w:rsidR="00D034AA" w:rsidRPr="00E336A2">
        <w:rPr>
          <w:rFonts w:eastAsia="Times New Roman" w:cs="Arial"/>
          <w:color w:val="000000"/>
        </w:rPr>
        <w:t>p. 617</w:t>
      </w:r>
      <w:r w:rsidR="001E495D" w:rsidRPr="00E336A2">
        <w:rPr>
          <w:rFonts w:eastAsia="Times New Roman" w:cs="Arial"/>
          <w:color w:val="000000"/>
        </w:rPr>
        <w:t>–</w:t>
      </w:r>
      <w:r w:rsidR="00D46C60" w:rsidRPr="00E336A2">
        <w:rPr>
          <w:rFonts w:eastAsia="Times New Roman" w:cs="Arial"/>
          <w:color w:val="000000"/>
        </w:rPr>
        <w:t>618</w:t>
      </w:r>
      <w:r w:rsidR="00D70021" w:rsidRPr="00E336A2">
        <w:rPr>
          <w:rFonts w:eastAsia="Times New Roman" w:cs="Arial"/>
          <w:color w:val="000000"/>
        </w:rPr>
        <w:t>.</w:t>
      </w:r>
      <w:r w:rsidR="00D034AA" w:rsidRPr="00E336A2">
        <w:rPr>
          <w:rFonts w:eastAsia="Times New Roman" w:cs="Arial"/>
          <w:color w:val="000000"/>
        </w:rPr>
        <w:t xml:space="preserve">) </w:t>
      </w:r>
      <w:r w:rsidR="00D70021" w:rsidRPr="00E336A2">
        <w:rPr>
          <w:rFonts w:eastAsia="Times New Roman" w:cs="Arial"/>
          <w:color w:val="000000"/>
        </w:rPr>
        <w:t xml:space="preserve"> </w:t>
      </w:r>
      <w:r w:rsidR="00D034AA" w:rsidRPr="00E336A2">
        <w:rPr>
          <w:rFonts w:eastAsia="Times New Roman" w:cs="Arial"/>
          <w:color w:val="000000"/>
        </w:rPr>
        <w:t>“Although the</w:t>
      </w:r>
      <w:r w:rsidR="001505D3" w:rsidRPr="00E336A2">
        <w:rPr>
          <w:rFonts w:eastAsia="Times New Roman" w:cs="Arial"/>
          <w:color w:val="000000"/>
        </w:rPr>
        <w:t xml:space="preserve"> </w:t>
      </w:r>
      <w:r w:rsidR="00D034AA" w:rsidRPr="00E336A2">
        <w:rPr>
          <w:rFonts w:eastAsia="Times New Roman" w:cs="Arial"/>
          <w:color w:val="000000"/>
        </w:rPr>
        <w:t xml:space="preserve">1959 enactment of the current version of </w:t>
      </w:r>
      <w:r w:rsidR="001E495D">
        <w:rPr>
          <w:rFonts w:eastAsia="Times New Roman" w:cs="Arial"/>
          <w:color w:val="000000"/>
        </w:rPr>
        <w:t xml:space="preserve">[Civil Code] </w:t>
      </w:r>
      <w:r w:rsidR="00D034AA" w:rsidRPr="00E336A2">
        <w:rPr>
          <w:rFonts w:eastAsia="Times New Roman" w:cs="Arial"/>
          <w:color w:val="000000"/>
        </w:rPr>
        <w:t>section 51 clearly was intended to expand the reach of the 1897 statute, the Legislature</w:t>
      </w:r>
      <w:r w:rsidR="002C0C7D" w:rsidRPr="00E336A2">
        <w:rPr>
          <w:rFonts w:eastAsia="Times New Roman" w:cs="Arial"/>
          <w:color w:val="000000"/>
        </w:rPr>
        <w:t>’</w:t>
      </w:r>
      <w:r w:rsidR="00D034AA" w:rsidRPr="00E336A2">
        <w:rPr>
          <w:rFonts w:eastAsia="Times New Roman" w:cs="Arial"/>
          <w:color w:val="000000"/>
        </w:rPr>
        <w:t>s adoption of language making the statute applicable to ‘all business establishments of every kind whatsoever’ does not indicate that the contemplated expansion was intended, as a general matter, to encompass private social clubs.”</w:t>
      </w:r>
      <w:r w:rsidR="002D5E2C" w:rsidRPr="00E336A2">
        <w:rPr>
          <w:rFonts w:eastAsia="Times New Roman" w:cs="Arial"/>
          <w:color w:val="000000"/>
        </w:rPr>
        <w:t xml:space="preserve"> </w:t>
      </w:r>
      <w:r w:rsidR="00D034AA" w:rsidRPr="00E336A2">
        <w:rPr>
          <w:rFonts w:eastAsia="Times New Roman" w:cs="Arial"/>
          <w:color w:val="000000"/>
        </w:rPr>
        <w:t xml:space="preserve"> (</w:t>
      </w:r>
      <w:r w:rsidR="00D70021" w:rsidRPr="00E336A2">
        <w:rPr>
          <w:rFonts w:eastAsia="Times New Roman" w:cs="Arial"/>
          <w:i/>
          <w:iCs/>
          <w:color w:val="000000"/>
        </w:rPr>
        <w:t>Id.</w:t>
      </w:r>
      <w:r w:rsidR="00D46C60" w:rsidRPr="00E336A2">
        <w:rPr>
          <w:rFonts w:eastAsia="Times New Roman" w:cs="Arial"/>
          <w:color w:val="000000"/>
        </w:rPr>
        <w:t xml:space="preserve"> at p. 617.</w:t>
      </w:r>
      <w:r w:rsidR="008A44AC" w:rsidRPr="00E336A2">
        <w:rPr>
          <w:rFonts w:eastAsia="Times New Roman" w:cs="Arial"/>
          <w:color w:val="000000"/>
        </w:rPr>
        <w:t>)</w:t>
      </w:r>
      <w:r w:rsidR="00491519" w:rsidRPr="00E336A2">
        <w:rPr>
          <w:rFonts w:eastAsia="Times New Roman" w:cs="Arial"/>
          <w:color w:val="000000"/>
        </w:rPr>
        <w:t xml:space="preserve">  </w:t>
      </w:r>
    </w:p>
    <w:p w14:paraId="7893AE77" w14:textId="77777777" w:rsidR="00240A1C" w:rsidRPr="00E336A2" w:rsidRDefault="008279EB" w:rsidP="001505D3">
      <w:pPr>
        <w:spacing w:line="360" w:lineRule="auto"/>
        <w:rPr>
          <w:rFonts w:eastAsia="Times New Roman" w:cs="Arial"/>
          <w:color w:val="000000"/>
        </w:rPr>
      </w:pPr>
      <w:r w:rsidRPr="00E336A2">
        <w:rPr>
          <w:rFonts w:eastAsia="Times New Roman" w:cs="Arial"/>
          <w:color w:val="000000"/>
        </w:rPr>
        <w:tab/>
      </w:r>
      <w:r w:rsidR="00B36AEA" w:rsidRPr="00E336A2">
        <w:rPr>
          <w:rFonts w:eastAsia="Times New Roman" w:cs="Arial"/>
          <w:color w:val="000000"/>
        </w:rPr>
        <w:t>But this did not mean, th</w:t>
      </w:r>
      <w:r w:rsidR="00491519" w:rsidRPr="00E336A2">
        <w:rPr>
          <w:rFonts w:eastAsia="Times New Roman" w:cs="Arial"/>
          <w:color w:val="000000"/>
        </w:rPr>
        <w:t>e court went on to explain</w:t>
      </w:r>
      <w:r w:rsidR="00D70021" w:rsidRPr="00E336A2">
        <w:rPr>
          <w:rFonts w:eastAsia="Times New Roman" w:cs="Arial"/>
          <w:color w:val="000000"/>
        </w:rPr>
        <w:t xml:space="preserve">, </w:t>
      </w:r>
      <w:r w:rsidR="00491519" w:rsidRPr="00E336A2">
        <w:rPr>
          <w:rFonts w:eastAsia="Times New Roman" w:cs="Arial"/>
          <w:color w:val="000000"/>
        </w:rPr>
        <w:t xml:space="preserve">that an entity or organization is exempt from the </w:t>
      </w:r>
      <w:r w:rsidR="009F2706">
        <w:rPr>
          <w:rFonts w:eastAsia="Times New Roman" w:cs="Arial"/>
          <w:color w:val="000000"/>
        </w:rPr>
        <w:t xml:space="preserve">Unruh </w:t>
      </w:r>
      <w:r w:rsidR="00491519" w:rsidRPr="00E336A2">
        <w:rPr>
          <w:rFonts w:eastAsia="Times New Roman" w:cs="Arial"/>
          <w:color w:val="000000"/>
        </w:rPr>
        <w:t xml:space="preserve">Act </w:t>
      </w:r>
      <w:r w:rsidR="00D70021" w:rsidRPr="00E336A2">
        <w:rPr>
          <w:rFonts w:eastAsia="Times New Roman" w:cs="Arial"/>
          <w:color w:val="000000"/>
        </w:rPr>
        <w:t>“</w:t>
      </w:r>
      <w:r w:rsidR="00491519" w:rsidRPr="00E336A2">
        <w:rPr>
          <w:rFonts w:eastAsia="Times New Roman" w:cs="Arial"/>
          <w:color w:val="000000"/>
        </w:rPr>
        <w:t xml:space="preserve">simply because it </w:t>
      </w:r>
      <w:r w:rsidR="00D70021" w:rsidRPr="00E336A2">
        <w:rPr>
          <w:rFonts w:eastAsia="Times New Roman" w:cs="Arial"/>
          <w:color w:val="000000"/>
        </w:rPr>
        <w:t xml:space="preserve">characterizes itself as a </w:t>
      </w:r>
      <w:r w:rsidR="003D72C8" w:rsidRPr="00E336A2">
        <w:rPr>
          <w:rFonts w:eastAsia="Times New Roman" w:cs="Arial"/>
          <w:color w:val="000000"/>
        </w:rPr>
        <w:t>‘</w:t>
      </w:r>
      <w:r w:rsidR="00491519" w:rsidRPr="00E336A2">
        <w:rPr>
          <w:rFonts w:eastAsia="Times New Roman" w:cs="Arial"/>
          <w:color w:val="000000"/>
        </w:rPr>
        <w:t xml:space="preserve">private </w:t>
      </w:r>
      <w:r w:rsidR="00D70021" w:rsidRPr="00E336A2">
        <w:rPr>
          <w:rFonts w:eastAsia="Times New Roman" w:cs="Arial"/>
          <w:color w:val="000000"/>
        </w:rPr>
        <w:t xml:space="preserve">social </w:t>
      </w:r>
      <w:r w:rsidR="00491519" w:rsidRPr="00E336A2">
        <w:rPr>
          <w:rFonts w:eastAsia="Times New Roman" w:cs="Arial"/>
          <w:color w:val="000000"/>
        </w:rPr>
        <w:t>club.</w:t>
      </w:r>
      <w:r w:rsidR="003D72C8" w:rsidRPr="00E336A2">
        <w:rPr>
          <w:rFonts w:eastAsia="Times New Roman" w:cs="Arial"/>
          <w:color w:val="000000"/>
        </w:rPr>
        <w:t xml:space="preserve">’ </w:t>
      </w:r>
      <w:r w:rsidR="00D70021" w:rsidRPr="00E336A2">
        <w:rPr>
          <w:rFonts w:eastAsia="Times New Roman" w:cs="Arial"/>
          <w:color w:val="000000"/>
        </w:rPr>
        <w:t>”</w:t>
      </w:r>
      <w:r w:rsidR="00491519" w:rsidRPr="00E336A2">
        <w:rPr>
          <w:rFonts w:eastAsia="Times New Roman" w:cs="Arial"/>
          <w:color w:val="000000"/>
        </w:rPr>
        <w:t xml:space="preserve">  (</w:t>
      </w:r>
      <w:r w:rsidR="002D5E2C" w:rsidRPr="00E336A2">
        <w:rPr>
          <w:rFonts w:eastAsia="Times New Roman" w:cs="Arial"/>
          <w:i/>
          <w:iCs/>
          <w:color w:val="000000"/>
        </w:rPr>
        <w:t>Warfield</w:t>
      </w:r>
      <w:r w:rsidR="002D5E2C" w:rsidRPr="00E336A2">
        <w:rPr>
          <w:rFonts w:eastAsia="Times New Roman" w:cs="Arial"/>
          <w:color w:val="000000"/>
        </w:rPr>
        <w:t xml:space="preserve">, </w:t>
      </w:r>
      <w:r w:rsidR="002D5E2C" w:rsidRPr="00E336A2">
        <w:rPr>
          <w:rFonts w:eastAsia="Times New Roman" w:cs="Arial"/>
          <w:i/>
          <w:iCs/>
          <w:color w:val="000000"/>
        </w:rPr>
        <w:t>supra</w:t>
      </w:r>
      <w:r w:rsidR="002D5E2C" w:rsidRPr="00E336A2">
        <w:rPr>
          <w:rFonts w:eastAsia="Times New Roman" w:cs="Arial"/>
          <w:color w:val="000000"/>
        </w:rPr>
        <w:t xml:space="preserve">, 10 Cal.4th </w:t>
      </w:r>
      <w:r w:rsidR="00D70021" w:rsidRPr="00E336A2">
        <w:rPr>
          <w:rFonts w:eastAsia="Times New Roman" w:cs="Arial"/>
          <w:color w:val="000000"/>
        </w:rPr>
        <w:t>at p</w:t>
      </w:r>
      <w:r w:rsidR="003D72C8" w:rsidRPr="00E336A2">
        <w:rPr>
          <w:rFonts w:eastAsia="Times New Roman" w:cs="Arial"/>
          <w:color w:val="000000"/>
        </w:rPr>
        <w:t xml:space="preserve">. </w:t>
      </w:r>
      <w:r w:rsidR="00D70021" w:rsidRPr="00E336A2">
        <w:rPr>
          <w:rFonts w:eastAsia="Times New Roman" w:cs="Arial"/>
          <w:color w:val="000000"/>
        </w:rPr>
        <w:t xml:space="preserve">619.)  </w:t>
      </w:r>
      <w:r w:rsidR="00D730DD" w:rsidRPr="00E336A2">
        <w:rPr>
          <w:rFonts w:eastAsia="Times New Roman" w:cs="Arial"/>
          <w:color w:val="000000"/>
        </w:rPr>
        <w:t>W</w:t>
      </w:r>
      <w:r w:rsidR="00D46C60" w:rsidRPr="00E336A2">
        <w:rPr>
          <w:rFonts w:eastAsia="Times New Roman" w:cs="Arial"/>
          <w:color w:val="000000"/>
        </w:rPr>
        <w:t xml:space="preserve">hile the </w:t>
      </w:r>
      <w:r w:rsidR="00491519" w:rsidRPr="00E336A2">
        <w:rPr>
          <w:rFonts w:eastAsia="Times New Roman" w:cs="Arial"/>
          <w:color w:val="000000"/>
        </w:rPr>
        <w:t>parties vigorously debated</w:t>
      </w:r>
      <w:r w:rsidR="003D72C8" w:rsidRPr="00E336A2">
        <w:rPr>
          <w:rFonts w:eastAsia="Times New Roman" w:cs="Arial"/>
          <w:color w:val="000000"/>
        </w:rPr>
        <w:t xml:space="preserve"> </w:t>
      </w:r>
      <w:r w:rsidR="00491519" w:rsidRPr="00E336A2">
        <w:rPr>
          <w:rFonts w:eastAsia="Times New Roman" w:cs="Arial"/>
          <w:color w:val="000000"/>
        </w:rPr>
        <w:t xml:space="preserve">whether the golf and country club </w:t>
      </w:r>
      <w:r w:rsidR="00B36AEA" w:rsidRPr="00E336A2">
        <w:rPr>
          <w:rFonts w:eastAsia="Times New Roman" w:cs="Arial"/>
          <w:color w:val="000000"/>
        </w:rPr>
        <w:t>was truly</w:t>
      </w:r>
      <w:r w:rsidR="005B4AE7" w:rsidRPr="00E336A2">
        <w:rPr>
          <w:rFonts w:eastAsia="Times New Roman" w:cs="Arial"/>
          <w:color w:val="000000"/>
        </w:rPr>
        <w:t xml:space="preserve"> a</w:t>
      </w:r>
      <w:r w:rsidR="00B36AEA" w:rsidRPr="00E336A2">
        <w:rPr>
          <w:rFonts w:eastAsia="Times New Roman" w:cs="Arial"/>
          <w:color w:val="000000"/>
        </w:rPr>
        <w:t xml:space="preserve"> </w:t>
      </w:r>
      <w:r w:rsidR="00491519" w:rsidRPr="00E336A2">
        <w:rPr>
          <w:rFonts w:eastAsia="Times New Roman" w:cs="Arial"/>
          <w:color w:val="000000"/>
        </w:rPr>
        <w:t>“private</w:t>
      </w:r>
      <w:r w:rsidR="00B36AEA" w:rsidRPr="00E336A2">
        <w:rPr>
          <w:rFonts w:eastAsia="Times New Roman" w:cs="Arial"/>
          <w:color w:val="000000"/>
        </w:rPr>
        <w:t xml:space="preserve">” </w:t>
      </w:r>
      <w:r w:rsidR="00491519" w:rsidRPr="00E336A2">
        <w:rPr>
          <w:rFonts w:eastAsia="Times New Roman" w:cs="Arial"/>
          <w:color w:val="000000"/>
        </w:rPr>
        <w:t>club</w:t>
      </w:r>
      <w:r w:rsidR="00B36AEA" w:rsidRPr="00E336A2">
        <w:rPr>
          <w:rFonts w:eastAsia="Times New Roman" w:cs="Arial"/>
          <w:color w:val="000000"/>
        </w:rPr>
        <w:t xml:space="preserve"> beyond the reach of the Act</w:t>
      </w:r>
      <w:r w:rsidR="00491519" w:rsidRPr="00E336A2">
        <w:rPr>
          <w:rFonts w:eastAsia="Times New Roman" w:cs="Arial"/>
          <w:color w:val="000000"/>
        </w:rPr>
        <w:t xml:space="preserve"> </w:t>
      </w:r>
      <w:r w:rsidR="00D46C60" w:rsidRPr="00E336A2">
        <w:rPr>
          <w:rFonts w:eastAsia="Times New Roman" w:cs="Arial"/>
          <w:color w:val="000000"/>
        </w:rPr>
        <w:t xml:space="preserve">(each relying on out of state cases </w:t>
      </w:r>
      <w:r w:rsidR="005076EC" w:rsidRPr="00E336A2">
        <w:rPr>
          <w:rFonts w:eastAsia="Times New Roman" w:cs="Arial"/>
          <w:color w:val="000000"/>
        </w:rPr>
        <w:t xml:space="preserve">reaching </w:t>
      </w:r>
      <w:r w:rsidR="00D46C60" w:rsidRPr="00E336A2">
        <w:rPr>
          <w:rFonts w:eastAsia="Times New Roman" w:cs="Arial"/>
          <w:color w:val="000000"/>
        </w:rPr>
        <w:t xml:space="preserve">varying </w:t>
      </w:r>
      <w:r w:rsidR="005076EC" w:rsidRPr="00E336A2">
        <w:rPr>
          <w:rFonts w:eastAsia="Times New Roman" w:cs="Arial"/>
          <w:color w:val="000000"/>
        </w:rPr>
        <w:t>results</w:t>
      </w:r>
      <w:r w:rsidR="00B36AEA" w:rsidRPr="00E336A2">
        <w:rPr>
          <w:rFonts w:eastAsia="Times New Roman" w:cs="Arial"/>
          <w:color w:val="000000"/>
        </w:rPr>
        <w:t>)</w:t>
      </w:r>
      <w:r w:rsidR="00D46C60" w:rsidRPr="00E336A2">
        <w:rPr>
          <w:rFonts w:eastAsia="Times New Roman" w:cs="Arial"/>
          <w:color w:val="000000"/>
        </w:rPr>
        <w:t xml:space="preserve">, </w:t>
      </w:r>
      <w:r w:rsidR="00240A1C" w:rsidRPr="00E336A2">
        <w:rPr>
          <w:rFonts w:eastAsia="Times New Roman" w:cs="Arial"/>
          <w:color w:val="000000"/>
        </w:rPr>
        <w:t xml:space="preserve">the court concluded it did not need </w:t>
      </w:r>
      <w:r w:rsidR="0028792D" w:rsidRPr="00E336A2">
        <w:rPr>
          <w:rFonts w:eastAsia="Times New Roman" w:cs="Arial"/>
          <w:color w:val="000000"/>
        </w:rPr>
        <w:t xml:space="preserve">to </w:t>
      </w:r>
      <w:r w:rsidR="00240A1C" w:rsidRPr="00E336A2">
        <w:rPr>
          <w:rFonts w:eastAsia="Times New Roman" w:cs="Arial"/>
          <w:color w:val="000000"/>
        </w:rPr>
        <w:t>reach th</w:t>
      </w:r>
      <w:r w:rsidR="00D46C60" w:rsidRPr="00E336A2">
        <w:rPr>
          <w:rFonts w:eastAsia="Times New Roman" w:cs="Arial"/>
          <w:color w:val="000000"/>
        </w:rPr>
        <w:t>e</w:t>
      </w:r>
      <w:r w:rsidR="00240A1C" w:rsidRPr="00E336A2">
        <w:rPr>
          <w:rFonts w:eastAsia="Times New Roman" w:cs="Arial"/>
          <w:color w:val="000000"/>
        </w:rPr>
        <w:t xml:space="preserve"> issue</w:t>
      </w:r>
      <w:r w:rsidR="00D46C60" w:rsidRPr="00E336A2">
        <w:rPr>
          <w:rFonts w:eastAsia="Times New Roman" w:cs="Arial"/>
          <w:color w:val="000000"/>
        </w:rPr>
        <w:t xml:space="preserve">.  Rather, </w:t>
      </w:r>
      <w:r w:rsidR="00B36AEA" w:rsidRPr="00E336A2">
        <w:rPr>
          <w:rFonts w:eastAsia="Times New Roman" w:cs="Arial"/>
          <w:color w:val="000000"/>
        </w:rPr>
        <w:t xml:space="preserve">it </w:t>
      </w:r>
      <w:r w:rsidR="00240A1C" w:rsidRPr="00E336A2">
        <w:rPr>
          <w:rFonts w:eastAsia="Times New Roman" w:cs="Arial"/>
          <w:color w:val="000000"/>
        </w:rPr>
        <w:t xml:space="preserve">“conclude[d] that </w:t>
      </w:r>
      <w:r w:rsidR="00240A1C" w:rsidRPr="00E336A2">
        <w:rPr>
          <w:rFonts w:eastAsia="Times New Roman" w:cs="Arial"/>
          <w:i/>
          <w:iCs/>
          <w:color w:val="000000"/>
        </w:rPr>
        <w:t xml:space="preserve">the business transactions that </w:t>
      </w:r>
      <w:r w:rsidR="00D46C60" w:rsidRPr="00E336A2">
        <w:rPr>
          <w:rFonts w:eastAsia="Times New Roman" w:cs="Arial"/>
          <w:i/>
          <w:iCs/>
          <w:color w:val="000000"/>
        </w:rPr>
        <w:t>[were]</w:t>
      </w:r>
      <w:r w:rsidR="00240A1C" w:rsidRPr="00E336A2">
        <w:rPr>
          <w:rFonts w:eastAsia="Times New Roman" w:cs="Arial"/>
          <w:i/>
          <w:iCs/>
          <w:color w:val="000000"/>
        </w:rPr>
        <w:t xml:space="preserve"> conducted regularly on the club</w:t>
      </w:r>
      <w:r w:rsidR="002D5E2C" w:rsidRPr="00E336A2">
        <w:rPr>
          <w:rFonts w:eastAsia="Times New Roman" w:cs="Arial"/>
          <w:i/>
          <w:iCs/>
          <w:color w:val="000000"/>
        </w:rPr>
        <w:t>’</w:t>
      </w:r>
      <w:r w:rsidR="00240A1C" w:rsidRPr="00E336A2">
        <w:rPr>
          <w:rFonts w:eastAsia="Times New Roman" w:cs="Arial"/>
          <w:i/>
          <w:iCs/>
          <w:color w:val="000000"/>
        </w:rPr>
        <w:t>s premises with persons who are not members of the club</w:t>
      </w:r>
      <w:r w:rsidR="00240A1C" w:rsidRPr="00E336A2">
        <w:rPr>
          <w:rFonts w:eastAsia="Times New Roman" w:cs="Arial"/>
          <w:color w:val="000000"/>
        </w:rPr>
        <w:t xml:space="preserve"> </w:t>
      </w:r>
      <w:r w:rsidR="00D46C60" w:rsidRPr="00E336A2">
        <w:rPr>
          <w:rFonts w:eastAsia="Times New Roman" w:cs="Arial"/>
          <w:color w:val="000000"/>
        </w:rPr>
        <w:t>[were]</w:t>
      </w:r>
      <w:r w:rsidR="00240A1C" w:rsidRPr="00E336A2">
        <w:rPr>
          <w:rFonts w:eastAsia="Times New Roman" w:cs="Arial"/>
          <w:color w:val="000000"/>
        </w:rPr>
        <w:t xml:space="preserve"> sufficient in themselves to bring the club within the reach of </w:t>
      </w:r>
      <w:r w:rsidR="009F2706">
        <w:rPr>
          <w:rFonts w:eastAsia="Times New Roman" w:cs="Arial"/>
          <w:color w:val="000000"/>
        </w:rPr>
        <w:t xml:space="preserve">[Civil Code] </w:t>
      </w:r>
      <w:r w:rsidR="00240A1C" w:rsidRPr="00E336A2">
        <w:rPr>
          <w:rFonts w:eastAsia="Times New Roman" w:cs="Arial"/>
          <w:color w:val="000000"/>
        </w:rPr>
        <w:t>section 51</w:t>
      </w:r>
      <w:r w:rsidR="00D730DD" w:rsidRPr="00E336A2">
        <w:rPr>
          <w:rFonts w:eastAsia="Times New Roman" w:cs="Arial"/>
          <w:color w:val="000000"/>
        </w:rPr>
        <w:t>’</w:t>
      </w:r>
      <w:r w:rsidR="00240A1C" w:rsidRPr="00E336A2">
        <w:rPr>
          <w:rFonts w:eastAsia="Times New Roman" w:cs="Arial"/>
          <w:color w:val="000000"/>
        </w:rPr>
        <w:t>s broad reference to ‘all business establishments of every kind whatsoever.’ ”  (</w:t>
      </w:r>
      <w:r w:rsidR="005D1DE3" w:rsidRPr="00E336A2">
        <w:rPr>
          <w:rFonts w:eastAsia="Times New Roman" w:cs="Arial"/>
          <w:i/>
          <w:iCs/>
          <w:color w:val="000000"/>
        </w:rPr>
        <w:t xml:space="preserve">Id. </w:t>
      </w:r>
      <w:r w:rsidR="00240A1C" w:rsidRPr="00E336A2">
        <w:rPr>
          <w:rFonts w:eastAsia="Times New Roman" w:cs="Arial"/>
          <w:color w:val="000000"/>
        </w:rPr>
        <w:t>at p. 621.)</w:t>
      </w:r>
    </w:p>
    <w:p w14:paraId="5498F7A7" w14:textId="77777777" w:rsidR="005D1DE3" w:rsidRPr="00E336A2" w:rsidRDefault="00240A1C" w:rsidP="008279EB">
      <w:pPr>
        <w:spacing w:line="360" w:lineRule="auto"/>
        <w:rPr>
          <w:rFonts w:eastAsia="Times New Roman" w:cs="Arial"/>
          <w:color w:val="000000"/>
        </w:rPr>
      </w:pPr>
      <w:r w:rsidRPr="00E336A2">
        <w:rPr>
          <w:rFonts w:eastAsia="Times New Roman" w:cs="Arial"/>
          <w:color w:val="000000"/>
        </w:rPr>
        <w:tab/>
      </w:r>
      <w:r w:rsidR="00D730DD" w:rsidRPr="00E336A2">
        <w:rPr>
          <w:rFonts w:eastAsia="Times New Roman" w:cs="Arial"/>
          <w:color w:val="000000"/>
        </w:rPr>
        <w:t xml:space="preserve">To begin with, </w:t>
      </w:r>
      <w:r w:rsidRPr="00E336A2">
        <w:rPr>
          <w:rFonts w:eastAsia="Times New Roman" w:cs="Arial"/>
          <w:color w:val="000000"/>
        </w:rPr>
        <w:t>“the club regularly (on the average of once a week) permit</w:t>
      </w:r>
      <w:r w:rsidR="001A71ED" w:rsidRPr="00E336A2">
        <w:rPr>
          <w:rFonts w:eastAsia="Times New Roman" w:cs="Arial"/>
          <w:color w:val="000000"/>
        </w:rPr>
        <w:t>[ed]</w:t>
      </w:r>
      <w:r w:rsidRPr="00E336A2">
        <w:rPr>
          <w:rFonts w:eastAsia="Times New Roman" w:cs="Arial"/>
          <w:color w:val="000000"/>
        </w:rPr>
        <w:t xml:space="preserve"> nonmembers to use its facilities, for a fee, in connection with ‘sponsored events.’ </w:t>
      </w:r>
      <w:r w:rsidR="002D5E2C" w:rsidRPr="00E336A2">
        <w:rPr>
          <w:rFonts w:eastAsia="Times New Roman" w:cs="Arial"/>
          <w:color w:val="000000"/>
        </w:rPr>
        <w:t xml:space="preserve"> </w:t>
      </w:r>
      <w:r w:rsidRPr="00E336A2">
        <w:rPr>
          <w:rFonts w:eastAsia="Times New Roman" w:cs="Arial"/>
          <w:color w:val="000000"/>
        </w:rPr>
        <w:t>In conducting such events, the club receive</w:t>
      </w:r>
      <w:r w:rsidR="001A71ED" w:rsidRPr="00E336A2">
        <w:rPr>
          <w:rFonts w:eastAsia="Times New Roman" w:cs="Arial"/>
          <w:color w:val="000000"/>
        </w:rPr>
        <w:t>[d]</w:t>
      </w:r>
      <w:r w:rsidRPr="00E336A2">
        <w:rPr>
          <w:rFonts w:eastAsia="Times New Roman" w:cs="Arial"/>
          <w:color w:val="000000"/>
        </w:rPr>
        <w:t xml:space="preserve"> funds from nonmembers for the use of the club</w:t>
      </w:r>
      <w:r w:rsidR="00D730DD" w:rsidRPr="00E336A2">
        <w:rPr>
          <w:rFonts w:eastAsia="Times New Roman" w:cs="Arial"/>
          <w:color w:val="000000"/>
        </w:rPr>
        <w:t>’</w:t>
      </w:r>
      <w:r w:rsidRPr="00E336A2">
        <w:rPr>
          <w:rFonts w:eastAsia="Times New Roman" w:cs="Arial"/>
          <w:color w:val="000000"/>
        </w:rPr>
        <w:t xml:space="preserve">s golf course, tennis courts, and dining </w:t>
      </w:r>
      <w:r w:rsidRPr="00E336A2">
        <w:rPr>
          <w:rFonts w:eastAsia="Times New Roman" w:cs="Arial"/>
          <w:color w:val="000000"/>
        </w:rPr>
        <w:lastRenderedPageBreak/>
        <w:t>and bar facilities, and also obtain</w:t>
      </w:r>
      <w:r w:rsidR="001A71ED" w:rsidRPr="00E336A2">
        <w:rPr>
          <w:rFonts w:eastAsia="Times New Roman" w:cs="Arial"/>
          <w:color w:val="000000"/>
        </w:rPr>
        <w:t>[ed]</w:t>
      </w:r>
      <w:r w:rsidRPr="00E336A2">
        <w:rPr>
          <w:rFonts w:eastAsia="Times New Roman" w:cs="Arial"/>
          <w:color w:val="000000"/>
        </w:rPr>
        <w:t xml:space="preserve"> revenue from the sale (at a markup) of food and beverages to nonmembers at the club</w:t>
      </w:r>
      <w:r w:rsidR="009F2706">
        <w:rPr>
          <w:rFonts w:eastAsia="Times New Roman" w:cs="Arial"/>
          <w:color w:val="000000"/>
        </w:rPr>
        <w:t>’</w:t>
      </w:r>
      <w:r w:rsidRPr="00E336A2">
        <w:rPr>
          <w:rFonts w:eastAsia="Times New Roman" w:cs="Arial"/>
          <w:color w:val="000000"/>
        </w:rPr>
        <w:t>s snack bar and other dining facilities on the club</w:t>
      </w:r>
      <w:r w:rsidR="00CC65C0" w:rsidRPr="00E336A2">
        <w:rPr>
          <w:rFonts w:eastAsia="Times New Roman" w:cs="Arial"/>
          <w:color w:val="000000"/>
        </w:rPr>
        <w:t>’</w:t>
      </w:r>
      <w:r w:rsidRPr="00E336A2">
        <w:rPr>
          <w:rFonts w:eastAsia="Times New Roman" w:cs="Arial"/>
          <w:color w:val="000000"/>
        </w:rPr>
        <w:t xml:space="preserve">s premises.” </w:t>
      </w:r>
      <w:r w:rsidR="002D5E2C" w:rsidRPr="00E336A2">
        <w:rPr>
          <w:rFonts w:eastAsia="Times New Roman" w:cs="Arial"/>
          <w:noProof/>
          <w:vanish/>
          <w:color w:val="000000"/>
          <w:shd w:val="clear" w:color="auto" w:fill="FFFFFF"/>
        </w:rPr>
        <w:t xml:space="preserve"> </w:t>
      </w:r>
      <w:r w:rsidRPr="00E336A2">
        <w:rPr>
          <w:rFonts w:eastAsia="Times New Roman" w:cs="Arial"/>
          <w:color w:val="000000"/>
        </w:rPr>
        <w:t>(</w:t>
      </w:r>
      <w:r w:rsidR="002D5E2C" w:rsidRPr="00E336A2">
        <w:rPr>
          <w:rFonts w:eastAsia="Times New Roman" w:cs="Arial"/>
          <w:i/>
          <w:iCs/>
          <w:color w:val="000000"/>
        </w:rPr>
        <w:t>Warfield</w:t>
      </w:r>
      <w:r w:rsidR="002D5E2C" w:rsidRPr="00E336A2">
        <w:rPr>
          <w:rFonts w:eastAsia="Times New Roman" w:cs="Arial"/>
          <w:color w:val="000000"/>
        </w:rPr>
        <w:t xml:space="preserve">, </w:t>
      </w:r>
      <w:r w:rsidR="002D5E2C" w:rsidRPr="00E336A2">
        <w:rPr>
          <w:rFonts w:eastAsia="Times New Roman" w:cs="Arial"/>
          <w:i/>
          <w:iCs/>
          <w:color w:val="000000"/>
        </w:rPr>
        <w:t>supra</w:t>
      </w:r>
      <w:r w:rsidR="002D5E2C" w:rsidRPr="00E336A2">
        <w:rPr>
          <w:rFonts w:eastAsia="Times New Roman" w:cs="Arial"/>
          <w:color w:val="000000"/>
        </w:rPr>
        <w:t>, 10 Cal.4</w:t>
      </w:r>
      <w:r w:rsidR="000E25EB" w:rsidRPr="00E336A2">
        <w:rPr>
          <w:rFonts w:eastAsia="Times New Roman" w:cs="Arial"/>
          <w:color w:val="000000"/>
        </w:rPr>
        <w:t xml:space="preserve">th </w:t>
      </w:r>
      <w:r w:rsidR="005D1DE3" w:rsidRPr="00E336A2">
        <w:rPr>
          <w:rFonts w:eastAsia="Times New Roman" w:cs="Arial"/>
          <w:color w:val="000000"/>
        </w:rPr>
        <w:t>at p. 621.</w:t>
      </w:r>
      <w:r w:rsidR="001505D3" w:rsidRPr="00E336A2">
        <w:rPr>
          <w:rFonts w:eastAsia="Times New Roman" w:cs="Arial"/>
          <w:color w:val="000000"/>
        </w:rPr>
        <w:t>)</w:t>
      </w:r>
      <w:r w:rsidRPr="00E336A2">
        <w:rPr>
          <w:rFonts w:eastAsia="Times New Roman" w:cs="Arial"/>
          <w:color w:val="000000"/>
        </w:rPr>
        <w:t xml:space="preserve"> </w:t>
      </w:r>
      <w:r w:rsidR="005D1DE3" w:rsidRPr="00E336A2">
        <w:rPr>
          <w:rFonts w:eastAsia="Times New Roman" w:cs="Arial"/>
          <w:color w:val="000000"/>
        </w:rPr>
        <w:t xml:space="preserve"> </w:t>
      </w:r>
      <w:r w:rsidRPr="00E336A2">
        <w:rPr>
          <w:rFonts w:eastAsia="Times New Roman" w:cs="Arial"/>
          <w:color w:val="000000"/>
        </w:rPr>
        <w:t>“</w:t>
      </w:r>
      <w:r w:rsidR="005D1DE3" w:rsidRPr="00E336A2">
        <w:rPr>
          <w:rFonts w:eastAsia="Times New Roman" w:cs="Arial"/>
          <w:color w:val="000000"/>
        </w:rPr>
        <w:t>I</w:t>
      </w:r>
      <w:r w:rsidRPr="00E336A2">
        <w:rPr>
          <w:rFonts w:eastAsia="Times New Roman" w:cs="Arial"/>
          <w:color w:val="000000"/>
        </w:rPr>
        <w:t>n carrying on such activities for a fee, the club operate</w:t>
      </w:r>
      <w:r w:rsidR="001A71ED" w:rsidRPr="00E336A2">
        <w:rPr>
          <w:rFonts w:eastAsia="Times New Roman" w:cs="Arial"/>
          <w:color w:val="000000"/>
        </w:rPr>
        <w:t>[d]</w:t>
      </w:r>
      <w:r w:rsidRPr="00E336A2">
        <w:rPr>
          <w:rFonts w:eastAsia="Times New Roman" w:cs="Arial"/>
          <w:color w:val="000000"/>
        </w:rPr>
        <w:t xml:space="preserve"> as the functional equivalent of a commercial caterer or</w:t>
      </w:r>
      <w:r w:rsidR="00CC65C0" w:rsidRPr="00E336A2">
        <w:rPr>
          <w:rFonts w:eastAsia="Times New Roman" w:cs="Arial"/>
          <w:color w:val="000000"/>
        </w:rPr>
        <w:t xml:space="preserve"> a</w:t>
      </w:r>
      <w:r w:rsidRPr="00E336A2">
        <w:rPr>
          <w:rFonts w:eastAsia="Times New Roman" w:cs="Arial"/>
          <w:color w:val="000000"/>
        </w:rPr>
        <w:t xml:space="preserve"> commercial recreational resort—classic forms of ‘business establishments</w:t>
      </w:r>
      <w:r w:rsidR="00D730DD" w:rsidRPr="00E336A2">
        <w:rPr>
          <w:rFonts w:eastAsia="Times New Roman" w:cs="Arial"/>
          <w:color w:val="000000"/>
        </w:rPr>
        <w:t>’</w:t>
      </w:r>
      <w:r w:rsidRPr="00E336A2">
        <w:rPr>
          <w:rFonts w:eastAsia="Times New Roman" w:cs="Arial"/>
          <w:color w:val="000000"/>
        </w:rPr>
        <w:t>—and, indeed, presumably compete</w:t>
      </w:r>
      <w:r w:rsidR="00ED6010" w:rsidRPr="00E336A2">
        <w:rPr>
          <w:rFonts w:eastAsia="Times New Roman" w:cs="Arial"/>
          <w:color w:val="000000"/>
        </w:rPr>
        <w:t>[d]</w:t>
      </w:r>
      <w:r w:rsidRPr="00E336A2">
        <w:rPr>
          <w:rFonts w:eastAsia="Times New Roman" w:cs="Arial"/>
          <w:color w:val="000000"/>
        </w:rPr>
        <w:t xml:space="preserve"> with business entities that offer comparable services and that clearly are subject to the strictures of </w:t>
      </w:r>
      <w:r w:rsidR="009F2706">
        <w:rPr>
          <w:rFonts w:eastAsia="Times New Roman" w:cs="Arial"/>
          <w:color w:val="000000"/>
        </w:rPr>
        <w:t xml:space="preserve">[Civil Code] </w:t>
      </w:r>
      <w:r w:rsidRPr="00E336A2">
        <w:rPr>
          <w:rFonts w:eastAsia="Times New Roman" w:cs="Arial"/>
          <w:color w:val="000000"/>
        </w:rPr>
        <w:t xml:space="preserve">section 51.” </w:t>
      </w:r>
      <w:r w:rsidR="002D5E2C" w:rsidRPr="00E336A2">
        <w:rPr>
          <w:rFonts w:eastAsia="Times New Roman" w:cs="Arial"/>
          <w:noProof/>
          <w:vanish/>
          <w:color w:val="000000"/>
          <w:shd w:val="clear" w:color="auto" w:fill="FFFFFF"/>
        </w:rPr>
        <w:t xml:space="preserve"> </w:t>
      </w:r>
      <w:r w:rsidRPr="00E336A2">
        <w:rPr>
          <w:rFonts w:eastAsia="Times New Roman" w:cs="Arial"/>
          <w:color w:val="000000"/>
        </w:rPr>
        <w:t>(</w:t>
      </w:r>
      <w:r w:rsidRPr="00E336A2">
        <w:rPr>
          <w:rFonts w:eastAsia="Times New Roman" w:cs="Arial"/>
          <w:i/>
          <w:iCs/>
          <w:color w:val="000000"/>
        </w:rPr>
        <w:t>Ibid.</w:t>
      </w:r>
      <w:r w:rsidRPr="00E336A2">
        <w:rPr>
          <w:rFonts w:eastAsia="Times New Roman" w:cs="Arial"/>
          <w:color w:val="000000"/>
        </w:rPr>
        <w:t>)</w:t>
      </w:r>
      <w:r w:rsidR="005D1DE3" w:rsidRPr="00E336A2">
        <w:rPr>
          <w:rFonts w:eastAsia="Times New Roman" w:cs="Arial"/>
          <w:color w:val="000000"/>
        </w:rPr>
        <w:t xml:space="preserve">  </w:t>
      </w:r>
      <w:r w:rsidR="00D730DD" w:rsidRPr="00E336A2">
        <w:rPr>
          <w:rFonts w:eastAsia="Times New Roman" w:cs="Arial"/>
          <w:color w:val="000000"/>
        </w:rPr>
        <w:t xml:space="preserve">Additionally, the club </w:t>
      </w:r>
      <w:r w:rsidRPr="00E336A2">
        <w:rPr>
          <w:rFonts w:eastAsia="Times New Roman" w:cs="Arial"/>
          <w:color w:val="000000"/>
        </w:rPr>
        <w:t>“obtain</w:t>
      </w:r>
      <w:r w:rsidR="00ED6010" w:rsidRPr="00E336A2">
        <w:rPr>
          <w:rFonts w:eastAsia="Times New Roman" w:cs="Arial"/>
          <w:color w:val="000000"/>
        </w:rPr>
        <w:t>[ed]</w:t>
      </w:r>
      <w:r w:rsidRPr="00E336A2">
        <w:rPr>
          <w:rFonts w:eastAsia="Times New Roman" w:cs="Arial"/>
          <w:color w:val="000000"/>
        </w:rPr>
        <w:t xml:space="preserve"> income, on a regular basis, from fees charged for the use of its facilities, and the purchase of food and beverages on its premises, by nonmember ‘invited guests</w:t>
      </w:r>
      <w:r w:rsidR="00D730DD" w:rsidRPr="00E336A2">
        <w:rPr>
          <w:rFonts w:eastAsia="Times New Roman" w:cs="Arial"/>
          <w:color w:val="000000"/>
        </w:rPr>
        <w:t>.</w:t>
      </w:r>
      <w:r w:rsidR="002D5E2C" w:rsidRPr="00E336A2">
        <w:rPr>
          <w:rFonts w:eastAsia="Times New Roman" w:cs="Arial"/>
          <w:color w:val="000000"/>
        </w:rPr>
        <w:t>’</w:t>
      </w:r>
      <w:r w:rsidRPr="00E336A2">
        <w:rPr>
          <w:rFonts w:eastAsia="Times New Roman" w:cs="Arial"/>
          <w:color w:val="000000"/>
        </w:rPr>
        <w:t xml:space="preserve"> ” (</w:t>
      </w:r>
      <w:r w:rsidR="00D730DD" w:rsidRPr="00E336A2">
        <w:rPr>
          <w:rFonts w:eastAsia="Times New Roman" w:cs="Arial"/>
          <w:i/>
          <w:iCs/>
          <w:color w:val="000000"/>
        </w:rPr>
        <w:t>I</w:t>
      </w:r>
      <w:r w:rsidR="005D1DE3" w:rsidRPr="00E336A2">
        <w:rPr>
          <w:rFonts w:eastAsia="Times New Roman" w:cs="Arial"/>
          <w:i/>
          <w:iCs/>
          <w:color w:val="000000"/>
        </w:rPr>
        <w:t>bi</w:t>
      </w:r>
      <w:r w:rsidR="002D5E2C" w:rsidRPr="00E336A2">
        <w:rPr>
          <w:rFonts w:eastAsia="Times New Roman" w:cs="Arial"/>
          <w:i/>
          <w:iCs/>
          <w:color w:val="000000"/>
        </w:rPr>
        <w:t>d</w:t>
      </w:r>
      <w:r w:rsidR="00D730DD" w:rsidRPr="00E336A2">
        <w:rPr>
          <w:rFonts w:eastAsia="Times New Roman" w:cs="Arial"/>
          <w:i/>
          <w:iCs/>
          <w:color w:val="000000"/>
        </w:rPr>
        <w:t>.</w:t>
      </w:r>
      <w:r w:rsidR="005D1DE3" w:rsidRPr="00E336A2">
        <w:rPr>
          <w:rFonts w:eastAsia="Times New Roman" w:cs="Arial"/>
          <w:color w:val="000000"/>
        </w:rPr>
        <w:t>)</w:t>
      </w:r>
      <w:r w:rsidR="00D730DD" w:rsidRPr="00E336A2">
        <w:rPr>
          <w:rFonts w:eastAsia="Times New Roman" w:cs="Arial"/>
          <w:color w:val="000000"/>
        </w:rPr>
        <w:t xml:space="preserve">  </w:t>
      </w:r>
      <w:r w:rsidRPr="00E336A2">
        <w:rPr>
          <w:rFonts w:eastAsia="Times New Roman" w:cs="Arial"/>
          <w:color w:val="000000"/>
        </w:rPr>
        <w:t>“</w:t>
      </w:r>
      <w:r w:rsidR="00D730DD" w:rsidRPr="00E336A2">
        <w:rPr>
          <w:rFonts w:eastAsia="Times New Roman" w:cs="Arial"/>
          <w:color w:val="000000"/>
        </w:rPr>
        <w:t>T</w:t>
      </w:r>
      <w:r w:rsidRPr="00E336A2">
        <w:rPr>
          <w:rFonts w:eastAsia="Times New Roman" w:cs="Arial"/>
          <w:color w:val="000000"/>
        </w:rPr>
        <w:t>o the extent the club obtain</w:t>
      </w:r>
      <w:r w:rsidR="00ED6010" w:rsidRPr="00E336A2">
        <w:rPr>
          <w:rFonts w:eastAsia="Times New Roman" w:cs="Arial"/>
          <w:color w:val="000000"/>
        </w:rPr>
        <w:t>[ed]</w:t>
      </w:r>
      <w:r w:rsidRPr="00E336A2">
        <w:rPr>
          <w:rFonts w:eastAsia="Times New Roman" w:cs="Arial"/>
          <w:color w:val="000000"/>
        </w:rPr>
        <w:t xml:space="preserve"> payment from nonmembers for meals served to guests in the club</w:t>
      </w:r>
      <w:r w:rsidR="00D730DD" w:rsidRPr="00E336A2">
        <w:rPr>
          <w:rFonts w:eastAsia="Times New Roman" w:cs="Arial"/>
          <w:color w:val="000000"/>
        </w:rPr>
        <w:t>’</w:t>
      </w:r>
      <w:r w:rsidRPr="00E336A2">
        <w:rPr>
          <w:rFonts w:eastAsia="Times New Roman" w:cs="Arial"/>
          <w:color w:val="000000"/>
        </w:rPr>
        <w:t>s dining room, for drinks obtained by guests from the club</w:t>
      </w:r>
      <w:r w:rsidR="00D730DD" w:rsidRPr="00E336A2">
        <w:rPr>
          <w:rFonts w:eastAsia="Times New Roman" w:cs="Arial"/>
          <w:color w:val="000000"/>
        </w:rPr>
        <w:t>’</w:t>
      </w:r>
      <w:r w:rsidRPr="00E336A2">
        <w:rPr>
          <w:rFonts w:eastAsia="Times New Roman" w:cs="Arial"/>
          <w:color w:val="000000"/>
        </w:rPr>
        <w:t>s bar, and for the guests</w:t>
      </w:r>
      <w:r w:rsidR="00D730DD" w:rsidRPr="00E336A2">
        <w:rPr>
          <w:rFonts w:eastAsia="Times New Roman" w:cs="Arial"/>
          <w:color w:val="000000"/>
        </w:rPr>
        <w:t>’</w:t>
      </w:r>
      <w:r w:rsidRPr="00E336A2">
        <w:rPr>
          <w:rFonts w:eastAsia="Times New Roman" w:cs="Arial"/>
          <w:color w:val="000000"/>
        </w:rPr>
        <w:t xml:space="preserve"> use of the club</w:t>
      </w:r>
      <w:r w:rsidR="00D730DD" w:rsidRPr="00E336A2">
        <w:rPr>
          <w:rFonts w:eastAsia="Times New Roman" w:cs="Arial"/>
          <w:color w:val="000000"/>
        </w:rPr>
        <w:t>’</w:t>
      </w:r>
      <w:r w:rsidRPr="00E336A2">
        <w:rPr>
          <w:rFonts w:eastAsia="Times New Roman" w:cs="Arial"/>
          <w:color w:val="000000"/>
        </w:rPr>
        <w:t>s golf course or other facilities, the club, once again, appear</w:t>
      </w:r>
      <w:r w:rsidR="00ED6010" w:rsidRPr="00E336A2">
        <w:rPr>
          <w:rFonts w:eastAsia="Times New Roman" w:cs="Arial"/>
          <w:color w:val="000000"/>
        </w:rPr>
        <w:t>[ed]</w:t>
      </w:r>
      <w:r w:rsidRPr="00E336A2">
        <w:rPr>
          <w:rFonts w:eastAsia="Times New Roman" w:cs="Arial"/>
          <w:color w:val="000000"/>
        </w:rPr>
        <w:t xml:space="preserve"> to have been operating in a capacity that is the functional equivalent of a commercial enterprise.</w:t>
      </w:r>
      <w:r w:rsidR="002D5E2C" w:rsidRPr="00E336A2">
        <w:rPr>
          <w:rFonts w:eastAsia="Times New Roman" w:cs="Arial"/>
          <w:color w:val="000000"/>
        </w:rPr>
        <w:t>’</w:t>
      </w:r>
      <w:r w:rsidRPr="00E336A2">
        <w:rPr>
          <w:rFonts w:eastAsia="Times New Roman" w:cs="Arial"/>
          <w:color w:val="000000"/>
        </w:rPr>
        <w:t xml:space="preserve"> </w:t>
      </w:r>
      <w:r w:rsidR="001505D3" w:rsidRPr="00E336A2">
        <w:rPr>
          <w:rFonts w:eastAsia="Times New Roman" w:cs="Arial"/>
          <w:color w:val="000000"/>
        </w:rPr>
        <w:t>”</w:t>
      </w:r>
      <w:r w:rsidR="002D5E2C" w:rsidRPr="00E336A2">
        <w:rPr>
          <w:rFonts w:eastAsia="Times New Roman" w:cs="Arial"/>
          <w:color w:val="000000"/>
        </w:rPr>
        <w:t xml:space="preserve"> </w:t>
      </w:r>
      <w:r w:rsidR="001505D3" w:rsidRPr="00E336A2">
        <w:rPr>
          <w:rFonts w:eastAsia="Times New Roman" w:cs="Arial"/>
          <w:color w:val="000000"/>
        </w:rPr>
        <w:t xml:space="preserve"> (</w:t>
      </w:r>
      <w:r w:rsidR="005D1DE3" w:rsidRPr="00E336A2">
        <w:rPr>
          <w:rFonts w:eastAsia="Times New Roman" w:cs="Arial"/>
          <w:i/>
          <w:iCs/>
          <w:color w:val="000000"/>
        </w:rPr>
        <w:t xml:space="preserve">Id. </w:t>
      </w:r>
      <w:r w:rsidR="001505D3" w:rsidRPr="00E336A2">
        <w:rPr>
          <w:rFonts w:eastAsia="Times New Roman" w:cs="Arial"/>
          <w:color w:val="000000"/>
        </w:rPr>
        <w:t>at pp. 621</w:t>
      </w:r>
      <w:r w:rsidR="009F2706" w:rsidRPr="00E336A2">
        <w:rPr>
          <w:rFonts w:eastAsia="Times New Roman" w:cs="Arial"/>
          <w:color w:val="000000"/>
        </w:rPr>
        <w:t>–</w:t>
      </w:r>
      <w:r w:rsidR="001505D3" w:rsidRPr="00E336A2">
        <w:rPr>
          <w:rFonts w:eastAsia="Times New Roman" w:cs="Arial"/>
          <w:color w:val="000000"/>
        </w:rPr>
        <w:t>622.)</w:t>
      </w:r>
      <w:r w:rsidR="005D1DE3" w:rsidRPr="00E336A2">
        <w:rPr>
          <w:rFonts w:eastAsia="Times New Roman" w:cs="Arial"/>
          <w:color w:val="000000"/>
        </w:rPr>
        <w:t xml:space="preserve">  </w:t>
      </w:r>
      <w:r w:rsidR="005B4AE7" w:rsidRPr="00E336A2">
        <w:rPr>
          <w:rFonts w:eastAsia="Times New Roman" w:cs="Arial"/>
          <w:color w:val="000000"/>
        </w:rPr>
        <w:t>T</w:t>
      </w:r>
      <w:r w:rsidR="00D730DD" w:rsidRPr="00E336A2">
        <w:rPr>
          <w:rFonts w:eastAsia="Times New Roman" w:cs="Arial"/>
          <w:color w:val="000000"/>
        </w:rPr>
        <w:t xml:space="preserve">he club </w:t>
      </w:r>
      <w:r w:rsidR="005B4AE7" w:rsidRPr="00E336A2">
        <w:rPr>
          <w:rFonts w:eastAsia="Times New Roman" w:cs="Arial"/>
          <w:color w:val="000000"/>
        </w:rPr>
        <w:t xml:space="preserve">also </w:t>
      </w:r>
      <w:r w:rsidR="00D730DD" w:rsidRPr="00E336A2">
        <w:rPr>
          <w:rFonts w:eastAsia="Times New Roman" w:cs="Arial"/>
          <w:color w:val="000000"/>
        </w:rPr>
        <w:t>“</w:t>
      </w:r>
      <w:r w:rsidRPr="00E336A2">
        <w:rPr>
          <w:rFonts w:eastAsia="Times New Roman" w:cs="Arial"/>
          <w:color w:val="000000"/>
        </w:rPr>
        <w:t>obtain</w:t>
      </w:r>
      <w:r w:rsidR="00ED6010" w:rsidRPr="00E336A2">
        <w:rPr>
          <w:rFonts w:eastAsia="Times New Roman" w:cs="Arial"/>
          <w:color w:val="000000"/>
        </w:rPr>
        <w:t>[ed]</w:t>
      </w:r>
      <w:r w:rsidRPr="00E336A2">
        <w:rPr>
          <w:rFonts w:eastAsia="Times New Roman" w:cs="Arial"/>
          <w:color w:val="000000"/>
        </w:rPr>
        <w:t xml:space="preserve"> a significant, albeit indirect, financial benefit from the regular business transactions with nonmembers conducted at the golf and tennis pro shops located on its premises</w:t>
      </w:r>
      <w:r w:rsidR="005D1DE3" w:rsidRPr="00E336A2">
        <w:rPr>
          <w:rFonts w:eastAsia="Times New Roman" w:cs="Arial"/>
          <w:color w:val="000000"/>
        </w:rPr>
        <w:t>,</w:t>
      </w:r>
      <w:r w:rsidRPr="00E336A2">
        <w:rPr>
          <w:rFonts w:eastAsia="Times New Roman" w:cs="Arial"/>
          <w:color w:val="000000"/>
        </w:rPr>
        <w:t>” shops th</w:t>
      </w:r>
      <w:r w:rsidR="00D730DD" w:rsidRPr="00E336A2">
        <w:rPr>
          <w:rFonts w:eastAsia="Times New Roman" w:cs="Arial"/>
          <w:color w:val="000000"/>
        </w:rPr>
        <w:t xml:space="preserve">at </w:t>
      </w:r>
      <w:r w:rsidRPr="00E336A2">
        <w:rPr>
          <w:rFonts w:eastAsia="Times New Roman" w:cs="Arial"/>
          <w:color w:val="000000"/>
        </w:rPr>
        <w:t>“realistically must be viewed as an integral part of the club</w:t>
      </w:r>
      <w:r w:rsidR="00D730DD" w:rsidRPr="00E336A2">
        <w:rPr>
          <w:rFonts w:eastAsia="Times New Roman" w:cs="Arial"/>
          <w:color w:val="000000"/>
        </w:rPr>
        <w:t>’</w:t>
      </w:r>
      <w:r w:rsidRPr="00E336A2">
        <w:rPr>
          <w:rFonts w:eastAsia="Times New Roman" w:cs="Arial"/>
          <w:color w:val="000000"/>
        </w:rPr>
        <w:t xml:space="preserve">s overall operations.” </w:t>
      </w:r>
      <w:r w:rsidR="002D5E2C" w:rsidRPr="00E336A2">
        <w:rPr>
          <w:rFonts w:eastAsia="Times New Roman" w:cs="Arial"/>
          <w:noProof/>
          <w:vanish/>
          <w:color w:val="000000"/>
          <w:shd w:val="clear" w:color="auto" w:fill="FFFFFF"/>
        </w:rPr>
        <w:t xml:space="preserve"> </w:t>
      </w:r>
      <w:r w:rsidRPr="00E336A2">
        <w:rPr>
          <w:rFonts w:eastAsia="Times New Roman" w:cs="Arial"/>
          <w:color w:val="000000"/>
        </w:rPr>
        <w:t>(</w:t>
      </w:r>
      <w:r w:rsidRPr="00E336A2">
        <w:rPr>
          <w:rFonts w:eastAsia="Times New Roman" w:cs="Arial"/>
          <w:i/>
          <w:iCs/>
          <w:color w:val="000000"/>
        </w:rPr>
        <w:t>Id.</w:t>
      </w:r>
      <w:r w:rsidR="005D1DE3" w:rsidRPr="00E336A2">
        <w:rPr>
          <w:rFonts w:eastAsia="Times New Roman" w:cs="Arial"/>
          <w:i/>
          <w:iCs/>
          <w:color w:val="000000"/>
        </w:rPr>
        <w:t xml:space="preserve"> </w:t>
      </w:r>
      <w:r w:rsidR="005D1DE3" w:rsidRPr="00E336A2">
        <w:rPr>
          <w:rFonts w:eastAsia="Times New Roman" w:cs="Arial"/>
          <w:color w:val="000000"/>
        </w:rPr>
        <w:t>at p. 622.)</w:t>
      </w:r>
      <w:r w:rsidRPr="00E336A2">
        <w:rPr>
          <w:rFonts w:eastAsia="Times New Roman" w:cs="Arial"/>
          <w:color w:val="000000"/>
        </w:rPr>
        <w:t xml:space="preserve">  </w:t>
      </w:r>
    </w:p>
    <w:p w14:paraId="0B619537" w14:textId="77777777" w:rsidR="008279EB" w:rsidRPr="00E336A2" w:rsidRDefault="005D1DE3" w:rsidP="008279EB">
      <w:pPr>
        <w:spacing w:line="360" w:lineRule="auto"/>
        <w:rPr>
          <w:rFonts w:eastAsia="Times New Roman" w:cs="Arial"/>
          <w:color w:val="000000"/>
        </w:rPr>
      </w:pPr>
      <w:r w:rsidRPr="00E336A2">
        <w:rPr>
          <w:rFonts w:eastAsia="Times New Roman" w:cs="Arial"/>
          <w:color w:val="000000"/>
        </w:rPr>
        <w:tab/>
      </w:r>
      <w:r w:rsidR="005B4AE7" w:rsidRPr="00E336A2">
        <w:rPr>
          <w:rFonts w:eastAsia="Times New Roman" w:cs="Arial"/>
          <w:color w:val="000000"/>
        </w:rPr>
        <w:t>T</w:t>
      </w:r>
      <w:r w:rsidR="00240A1C" w:rsidRPr="00E336A2">
        <w:rPr>
          <w:rFonts w:eastAsia="Times New Roman" w:cs="Arial"/>
          <w:color w:val="000000"/>
        </w:rPr>
        <w:t xml:space="preserve">he court </w:t>
      </w:r>
      <w:r w:rsidRPr="00E336A2">
        <w:rPr>
          <w:rFonts w:eastAsia="Times New Roman" w:cs="Arial"/>
          <w:color w:val="000000"/>
        </w:rPr>
        <w:t>concluded t</w:t>
      </w:r>
      <w:r w:rsidR="00240A1C" w:rsidRPr="00E336A2">
        <w:rPr>
          <w:rFonts w:eastAsia="Times New Roman" w:cs="Arial"/>
          <w:color w:val="000000"/>
        </w:rPr>
        <w:t>hat “because of the involvement of defendant</w:t>
      </w:r>
      <w:r w:rsidR="002D5E2C" w:rsidRPr="00E336A2">
        <w:rPr>
          <w:rFonts w:eastAsia="Times New Roman" w:cs="Arial"/>
          <w:color w:val="000000"/>
        </w:rPr>
        <w:t>’</w:t>
      </w:r>
      <w:r w:rsidR="00240A1C" w:rsidRPr="00E336A2">
        <w:rPr>
          <w:rFonts w:eastAsia="Times New Roman" w:cs="Arial"/>
          <w:color w:val="000000"/>
        </w:rPr>
        <w:t xml:space="preserve">s operations in the variety of regular business transactions with nonmembers discussed above, the club must properly be considered a business establishment within the meaning of </w:t>
      </w:r>
      <w:r w:rsidR="009F2706">
        <w:rPr>
          <w:rFonts w:eastAsia="Times New Roman" w:cs="Arial"/>
          <w:color w:val="000000"/>
        </w:rPr>
        <w:t>Civil Code s</w:t>
      </w:r>
      <w:r w:rsidR="00240A1C" w:rsidRPr="00E336A2">
        <w:rPr>
          <w:rFonts w:eastAsia="Times New Roman" w:cs="Arial"/>
          <w:color w:val="000000"/>
        </w:rPr>
        <w:t xml:space="preserve">ection 51. </w:t>
      </w:r>
      <w:r w:rsidR="002D5E2C" w:rsidRPr="00E336A2">
        <w:rPr>
          <w:rFonts w:eastAsia="Times New Roman" w:cs="Arial"/>
          <w:color w:val="000000"/>
        </w:rPr>
        <w:t xml:space="preserve"> </w:t>
      </w:r>
      <w:r w:rsidR="00240A1C" w:rsidRPr="00E336A2">
        <w:rPr>
          <w:rFonts w:eastAsia="Times New Roman" w:cs="Arial"/>
          <w:color w:val="000000"/>
        </w:rPr>
        <w:t xml:space="preserve">Although the club is a nonprofit organization, and there is no suggestion that the activities in question were intended to generate a profit that might be distributed to members, the direct and indirect financial benefits that the club derived from </w:t>
      </w:r>
      <w:r w:rsidR="00240A1C" w:rsidRPr="00E336A2">
        <w:rPr>
          <w:rFonts w:eastAsia="Times New Roman" w:cs="Arial"/>
          <w:color w:val="000000"/>
        </w:rPr>
        <w:lastRenderedPageBreak/>
        <w:t>its business transactions with nonmembers nonetheless inured to the financial benefit of the club members, because the revenue from such transactions permitted the members to maintain the club</w:t>
      </w:r>
      <w:r w:rsidR="004D553B" w:rsidRPr="00E336A2">
        <w:rPr>
          <w:rFonts w:eastAsia="Times New Roman" w:cs="Arial"/>
          <w:color w:val="000000"/>
        </w:rPr>
        <w:t>’</w:t>
      </w:r>
      <w:r w:rsidR="00240A1C" w:rsidRPr="00E336A2">
        <w:rPr>
          <w:rFonts w:eastAsia="Times New Roman" w:cs="Arial"/>
          <w:color w:val="000000"/>
        </w:rPr>
        <w:t>s facilities and services—which were reserved primarily for the benefit of the members—through the payment of dues and fees lower than would have been required in the absence of the income obtained from nonmembers.</w:t>
      </w:r>
      <w:r w:rsidR="008733E0" w:rsidRPr="00E336A2">
        <w:rPr>
          <w:rFonts w:eastAsia="Times New Roman" w:cs="Arial"/>
          <w:color w:val="000000"/>
        </w:rPr>
        <w:t>”  (</w:t>
      </w:r>
      <w:r w:rsidR="008733E0" w:rsidRPr="00E336A2">
        <w:rPr>
          <w:rFonts w:eastAsia="Times New Roman" w:cs="Arial"/>
          <w:i/>
          <w:iCs/>
          <w:color w:val="000000"/>
        </w:rPr>
        <w:t xml:space="preserve">Warfield, supra, </w:t>
      </w:r>
      <w:r w:rsidR="008733E0" w:rsidRPr="00E336A2">
        <w:rPr>
          <w:rFonts w:eastAsia="Times New Roman" w:cs="Arial"/>
          <w:color w:val="000000"/>
        </w:rPr>
        <w:t>10 Cal.4th at pp. 622</w:t>
      </w:r>
      <w:r w:rsidR="009F2706" w:rsidRPr="00E336A2">
        <w:rPr>
          <w:rFonts w:eastAsia="Times New Roman" w:cs="Arial"/>
          <w:color w:val="000000"/>
        </w:rPr>
        <w:t>–</w:t>
      </w:r>
      <w:r w:rsidR="008733E0" w:rsidRPr="00E336A2">
        <w:rPr>
          <w:rFonts w:eastAsia="Times New Roman" w:cs="Arial"/>
          <w:color w:val="000000"/>
        </w:rPr>
        <w:t xml:space="preserve">623.)  </w:t>
      </w:r>
      <w:r w:rsidR="00960ABE" w:rsidRPr="00E336A2">
        <w:rPr>
          <w:rFonts w:eastAsia="Times New Roman" w:cs="Arial"/>
          <w:color w:val="000000"/>
        </w:rPr>
        <w:t>T</w:t>
      </w:r>
      <w:r w:rsidR="008733E0" w:rsidRPr="00E336A2">
        <w:rPr>
          <w:rFonts w:eastAsia="Times New Roman" w:cs="Arial"/>
          <w:color w:val="000000"/>
        </w:rPr>
        <w:t xml:space="preserve">he </w:t>
      </w:r>
      <w:r w:rsidR="00960ABE" w:rsidRPr="00E336A2">
        <w:rPr>
          <w:rFonts w:eastAsia="Times New Roman" w:cs="Arial"/>
          <w:color w:val="000000"/>
        </w:rPr>
        <w:t>“</w:t>
      </w:r>
      <w:r w:rsidR="00240A1C" w:rsidRPr="00E336A2">
        <w:rPr>
          <w:rFonts w:eastAsia="Times New Roman" w:cs="Arial"/>
          <w:color w:val="000000"/>
        </w:rPr>
        <w:t>club</w:t>
      </w:r>
      <w:r w:rsidR="00960ABE" w:rsidRPr="00E336A2">
        <w:rPr>
          <w:rFonts w:eastAsia="Times New Roman" w:cs="Arial"/>
          <w:color w:val="000000"/>
        </w:rPr>
        <w:t>’</w:t>
      </w:r>
      <w:r w:rsidR="00240A1C" w:rsidRPr="00E336A2">
        <w:rPr>
          <w:rFonts w:eastAsia="Times New Roman" w:cs="Arial"/>
          <w:color w:val="000000"/>
        </w:rPr>
        <w:t>s regular business transactions with nonmembers</w:t>
      </w:r>
      <w:r w:rsidR="00960ABE" w:rsidRPr="00E336A2">
        <w:rPr>
          <w:rFonts w:eastAsia="Times New Roman" w:cs="Arial"/>
          <w:color w:val="000000"/>
        </w:rPr>
        <w:t>,” thus, “</w:t>
      </w:r>
      <w:r w:rsidR="00240A1C" w:rsidRPr="00E336A2">
        <w:rPr>
          <w:rFonts w:eastAsia="Times New Roman" w:cs="Arial"/>
          <w:color w:val="000000"/>
        </w:rPr>
        <w:t>render</w:t>
      </w:r>
      <w:r w:rsidR="00960ABE" w:rsidRPr="00E336A2">
        <w:rPr>
          <w:rFonts w:eastAsia="Times New Roman" w:cs="Arial"/>
          <w:color w:val="000000"/>
        </w:rPr>
        <w:t>[ed]</w:t>
      </w:r>
      <w:r w:rsidR="00240A1C" w:rsidRPr="00E336A2">
        <w:rPr>
          <w:rFonts w:eastAsia="Times New Roman" w:cs="Arial"/>
          <w:color w:val="000000"/>
        </w:rPr>
        <w:t xml:space="preserve"> it a ‘business establishment’ for purposes of </w:t>
      </w:r>
      <w:r w:rsidR="009F2706">
        <w:rPr>
          <w:rFonts w:eastAsia="Times New Roman" w:cs="Arial"/>
          <w:color w:val="000000"/>
        </w:rPr>
        <w:t xml:space="preserve">[Civil Code] </w:t>
      </w:r>
      <w:r w:rsidR="00240A1C" w:rsidRPr="00E336A2">
        <w:rPr>
          <w:rFonts w:eastAsia="Times New Roman" w:cs="Arial"/>
          <w:color w:val="000000"/>
        </w:rPr>
        <w:t xml:space="preserve">section 51.” </w:t>
      </w:r>
      <w:r w:rsidR="002D5E2C" w:rsidRPr="00E336A2">
        <w:rPr>
          <w:rFonts w:eastAsia="Times New Roman" w:cs="Arial"/>
          <w:color w:val="000000"/>
        </w:rPr>
        <w:t xml:space="preserve"> </w:t>
      </w:r>
      <w:r w:rsidR="00240A1C" w:rsidRPr="00E336A2">
        <w:rPr>
          <w:rFonts w:eastAsia="Times New Roman" w:cs="Arial"/>
          <w:color w:val="000000"/>
        </w:rPr>
        <w:t>(</w:t>
      </w:r>
      <w:r w:rsidR="00960ABE" w:rsidRPr="00E336A2">
        <w:rPr>
          <w:rFonts w:eastAsia="Times New Roman" w:cs="Arial"/>
          <w:i/>
          <w:iCs/>
          <w:color w:val="000000"/>
        </w:rPr>
        <w:t xml:space="preserve">Id. </w:t>
      </w:r>
      <w:r w:rsidR="00960ABE" w:rsidRPr="00E336A2">
        <w:rPr>
          <w:rFonts w:eastAsia="Times New Roman" w:cs="Arial"/>
          <w:color w:val="000000"/>
        </w:rPr>
        <w:t>at</w:t>
      </w:r>
      <w:r w:rsidR="00960ABE" w:rsidRPr="00E336A2">
        <w:rPr>
          <w:rFonts w:eastAsia="Times New Roman" w:cs="Arial"/>
          <w:i/>
          <w:iCs/>
          <w:color w:val="000000"/>
        </w:rPr>
        <w:t xml:space="preserve"> </w:t>
      </w:r>
      <w:r w:rsidR="001505D3" w:rsidRPr="00E336A2">
        <w:rPr>
          <w:rFonts w:eastAsia="Times New Roman" w:cs="Arial"/>
          <w:color w:val="000000"/>
        </w:rPr>
        <w:t>p. 623.)</w:t>
      </w:r>
    </w:p>
    <w:p w14:paraId="39A626C3" w14:textId="77777777" w:rsidR="00FE09BE" w:rsidRPr="00E336A2" w:rsidRDefault="008279EB" w:rsidP="00BC42AF">
      <w:pPr>
        <w:spacing w:line="360" w:lineRule="auto"/>
        <w:rPr>
          <w:rFonts w:eastAsia="Times New Roman" w:cs="Arial"/>
          <w:color w:val="000000"/>
        </w:rPr>
      </w:pPr>
      <w:r w:rsidRPr="00E336A2">
        <w:rPr>
          <w:rFonts w:eastAsia="Times New Roman" w:cs="Arial"/>
          <w:color w:val="000000"/>
        </w:rPr>
        <w:tab/>
      </w:r>
      <w:r w:rsidR="005D1DE3" w:rsidRPr="00E336A2">
        <w:rPr>
          <w:rFonts w:eastAsia="Times New Roman" w:cs="Arial"/>
          <w:color w:val="000000"/>
        </w:rPr>
        <w:t xml:space="preserve">This brings us to </w:t>
      </w:r>
      <w:r w:rsidR="00BC42AF" w:rsidRPr="00E336A2">
        <w:rPr>
          <w:rFonts w:eastAsia="Times New Roman" w:cs="Arial"/>
          <w:i/>
          <w:iCs/>
          <w:color w:val="000000"/>
        </w:rPr>
        <w:t>Curran</w:t>
      </w:r>
      <w:r w:rsidR="005D1DE3" w:rsidRPr="00E336A2">
        <w:rPr>
          <w:rFonts w:eastAsia="Times New Roman" w:cs="Arial"/>
          <w:i/>
          <w:iCs/>
          <w:color w:val="000000"/>
        </w:rPr>
        <w:t xml:space="preserve"> </w:t>
      </w:r>
      <w:r w:rsidR="005D1DE3" w:rsidRPr="00E336A2">
        <w:rPr>
          <w:rFonts w:eastAsia="Times New Roman" w:cs="Arial"/>
          <w:color w:val="000000"/>
        </w:rPr>
        <w:t xml:space="preserve">and its companion case </w:t>
      </w:r>
      <w:r w:rsidR="005D1DE3" w:rsidRPr="00E336A2">
        <w:rPr>
          <w:rFonts w:eastAsia="Times New Roman" w:cs="Arial"/>
          <w:i/>
          <w:iCs/>
          <w:color w:val="000000"/>
        </w:rPr>
        <w:t>Randall</w:t>
      </w:r>
      <w:r w:rsidR="00FE09BE" w:rsidRPr="00E336A2">
        <w:rPr>
          <w:rFonts w:eastAsia="Times New Roman" w:cs="Arial"/>
          <w:i/>
          <w:iCs/>
          <w:color w:val="000000"/>
        </w:rPr>
        <w:t>,</w:t>
      </w:r>
      <w:r w:rsidR="005D1DE3" w:rsidRPr="00E336A2">
        <w:rPr>
          <w:rFonts w:eastAsia="Times New Roman" w:cs="Arial"/>
          <w:color w:val="000000"/>
        </w:rPr>
        <w:t xml:space="preserve"> which considered </w:t>
      </w:r>
      <w:r w:rsidRPr="00E336A2">
        <w:rPr>
          <w:rFonts w:eastAsia="Times New Roman" w:cs="Arial"/>
          <w:color w:val="000000"/>
        </w:rPr>
        <w:t>whether the Boy Scouts organization</w:t>
      </w:r>
      <w:r w:rsidR="002C0736" w:rsidRPr="00E336A2">
        <w:rPr>
          <w:rFonts w:eastAsia="Times New Roman" w:cs="Arial"/>
          <w:color w:val="000000"/>
        </w:rPr>
        <w:t>, in making membership decisions, is</w:t>
      </w:r>
      <w:r w:rsidRPr="00E336A2">
        <w:rPr>
          <w:rFonts w:eastAsia="Times New Roman" w:cs="Arial"/>
          <w:color w:val="000000"/>
        </w:rPr>
        <w:t xml:space="preserve"> a business establishment</w:t>
      </w:r>
      <w:r w:rsidR="00BC42AF" w:rsidRPr="00E336A2">
        <w:rPr>
          <w:rFonts w:eastAsia="Times New Roman" w:cs="Arial"/>
          <w:color w:val="000000"/>
        </w:rPr>
        <w:t xml:space="preserve"> under the Unruh Act.</w:t>
      </w:r>
      <w:r w:rsidR="002C0736" w:rsidRPr="00E336A2">
        <w:rPr>
          <w:rFonts w:eastAsia="Times New Roman" w:cs="Arial"/>
          <w:color w:val="000000"/>
        </w:rPr>
        <w:t xml:space="preserve">  (</w:t>
      </w:r>
      <w:r w:rsidR="002C0736" w:rsidRPr="00E336A2">
        <w:rPr>
          <w:rFonts w:eastAsia="Times New Roman" w:cs="Arial"/>
          <w:i/>
          <w:iCs/>
          <w:color w:val="000000"/>
        </w:rPr>
        <w:t xml:space="preserve">Curran, supra, </w:t>
      </w:r>
      <w:r w:rsidR="002C0736" w:rsidRPr="00E336A2">
        <w:rPr>
          <w:rFonts w:eastAsia="Times New Roman" w:cs="Arial"/>
          <w:color w:val="000000"/>
        </w:rPr>
        <w:t>17 Cal.4th</w:t>
      </w:r>
      <w:r w:rsidR="00110F16" w:rsidRPr="00E336A2">
        <w:rPr>
          <w:rFonts w:eastAsia="Times New Roman" w:cs="Arial"/>
          <w:color w:val="000000"/>
        </w:rPr>
        <w:t xml:space="preserve"> </w:t>
      </w:r>
      <w:r w:rsidR="002C0736" w:rsidRPr="00E336A2">
        <w:rPr>
          <w:rFonts w:eastAsia="Times New Roman" w:cs="Arial"/>
          <w:color w:val="000000"/>
        </w:rPr>
        <w:t>67</w:t>
      </w:r>
      <w:r w:rsidR="00110F16" w:rsidRPr="00E336A2">
        <w:rPr>
          <w:rFonts w:eastAsia="Times New Roman" w:cs="Arial"/>
          <w:color w:val="000000"/>
        </w:rPr>
        <w:t>0</w:t>
      </w:r>
      <w:r w:rsidR="002C0736" w:rsidRPr="00E336A2">
        <w:rPr>
          <w:rFonts w:eastAsia="Times New Roman" w:cs="Arial"/>
          <w:color w:val="000000"/>
        </w:rPr>
        <w:t>.)</w:t>
      </w:r>
      <w:r w:rsidR="005D1DE3" w:rsidRPr="00E336A2">
        <w:rPr>
          <w:rFonts w:eastAsia="Times New Roman" w:cs="Arial"/>
          <w:color w:val="000000"/>
        </w:rPr>
        <w:t xml:space="preserve">  </w:t>
      </w:r>
      <w:r w:rsidR="00FE09BE" w:rsidRPr="00E336A2">
        <w:rPr>
          <w:rFonts w:eastAsia="Times New Roman" w:cs="Arial"/>
          <w:color w:val="000000"/>
        </w:rPr>
        <w:t>The court concluded it is not.  (</w:t>
      </w:r>
      <w:r w:rsidR="00FE09BE" w:rsidRPr="00E336A2">
        <w:rPr>
          <w:rFonts w:eastAsia="Times New Roman" w:cs="Arial"/>
          <w:i/>
          <w:iCs/>
          <w:color w:val="000000"/>
        </w:rPr>
        <w:t>Id.</w:t>
      </w:r>
      <w:r w:rsidR="00FE09BE" w:rsidRPr="00E336A2">
        <w:rPr>
          <w:rFonts w:eastAsia="Times New Roman" w:cs="Arial"/>
          <w:color w:val="000000"/>
        </w:rPr>
        <w:t xml:space="preserve"> at p. 673.)  </w:t>
      </w:r>
    </w:p>
    <w:p w14:paraId="3629E121" w14:textId="77777777" w:rsidR="004D553B" w:rsidRPr="00E336A2" w:rsidRDefault="00FE09BE" w:rsidP="00BC42AF">
      <w:pPr>
        <w:spacing w:line="360" w:lineRule="auto"/>
        <w:rPr>
          <w:rFonts w:eastAsia="Times New Roman" w:cs="Arial"/>
          <w:color w:val="000000"/>
        </w:rPr>
      </w:pPr>
      <w:r w:rsidRPr="00E336A2">
        <w:rPr>
          <w:rFonts w:eastAsia="Times New Roman" w:cs="Arial"/>
          <w:color w:val="000000"/>
        </w:rPr>
        <w:tab/>
        <w:t xml:space="preserve">As it had in </w:t>
      </w:r>
      <w:r w:rsidRPr="00E336A2">
        <w:rPr>
          <w:rFonts w:eastAsia="Times New Roman" w:cs="Arial"/>
          <w:i/>
          <w:iCs/>
          <w:color w:val="000000"/>
        </w:rPr>
        <w:t xml:space="preserve">Warfield, </w:t>
      </w:r>
      <w:r w:rsidRPr="00E336A2">
        <w:rPr>
          <w:rFonts w:eastAsia="Times New Roman" w:cs="Arial"/>
          <w:color w:val="000000"/>
        </w:rPr>
        <w:t xml:space="preserve">the court commenced with </w:t>
      </w:r>
      <w:r w:rsidR="005D1DE3" w:rsidRPr="00E336A2">
        <w:rPr>
          <w:rFonts w:eastAsia="Times New Roman" w:cs="Arial"/>
          <w:color w:val="000000"/>
        </w:rPr>
        <w:t xml:space="preserve">a </w:t>
      </w:r>
      <w:r w:rsidRPr="00E336A2">
        <w:rPr>
          <w:rFonts w:eastAsia="Times New Roman" w:cs="Arial"/>
          <w:color w:val="000000"/>
        </w:rPr>
        <w:t xml:space="preserve">discussion </w:t>
      </w:r>
      <w:r w:rsidR="005D1DE3" w:rsidRPr="00E336A2">
        <w:rPr>
          <w:rFonts w:eastAsia="Times New Roman" w:cs="Arial"/>
          <w:color w:val="000000"/>
        </w:rPr>
        <w:t>of the historical origin of the state’s public accommodation statutes, the legislative history of the Unruh Act, and its prior opinions</w:t>
      </w:r>
      <w:r w:rsidRPr="00E336A2">
        <w:rPr>
          <w:rFonts w:eastAsia="Times New Roman" w:cs="Arial"/>
          <w:color w:val="000000"/>
        </w:rPr>
        <w:t xml:space="preserve">.  </w:t>
      </w:r>
      <w:r w:rsidR="002C0736" w:rsidRPr="00E336A2">
        <w:rPr>
          <w:rFonts w:eastAsia="Times New Roman" w:cs="Arial"/>
          <w:color w:val="000000"/>
        </w:rPr>
        <w:t>(</w:t>
      </w:r>
      <w:r w:rsidR="002D5E2C" w:rsidRPr="00E336A2">
        <w:rPr>
          <w:rFonts w:eastAsia="Times New Roman" w:cs="Arial"/>
          <w:i/>
          <w:iCs/>
          <w:color w:val="000000"/>
        </w:rPr>
        <w:t xml:space="preserve">Curran, supra, </w:t>
      </w:r>
      <w:r w:rsidR="002D5E2C" w:rsidRPr="00E336A2">
        <w:rPr>
          <w:rFonts w:eastAsia="Times New Roman" w:cs="Arial"/>
          <w:color w:val="000000"/>
        </w:rPr>
        <w:t xml:space="preserve">17 Cal.4th </w:t>
      </w:r>
      <w:r w:rsidR="002C0736" w:rsidRPr="00E336A2">
        <w:rPr>
          <w:rFonts w:eastAsia="Times New Roman" w:cs="Arial"/>
          <w:color w:val="000000"/>
        </w:rPr>
        <w:t>at pp. 686</w:t>
      </w:r>
      <w:r w:rsidR="009F2706" w:rsidRPr="00E336A2">
        <w:rPr>
          <w:rFonts w:eastAsia="Times New Roman" w:cs="Arial"/>
          <w:color w:val="000000"/>
        </w:rPr>
        <w:t>–</w:t>
      </w:r>
      <w:r w:rsidR="002C0736" w:rsidRPr="00E336A2">
        <w:rPr>
          <w:rFonts w:eastAsia="Times New Roman" w:cs="Arial"/>
          <w:color w:val="000000"/>
        </w:rPr>
        <w:t>696</w:t>
      </w:r>
      <w:r w:rsidRPr="00E336A2">
        <w:rPr>
          <w:rFonts w:eastAsia="Times New Roman" w:cs="Arial"/>
          <w:color w:val="000000"/>
        </w:rPr>
        <w:t>.</w:t>
      </w:r>
      <w:r w:rsidR="002C0736" w:rsidRPr="00E336A2">
        <w:rPr>
          <w:rFonts w:eastAsia="Times New Roman" w:cs="Arial"/>
          <w:color w:val="000000"/>
        </w:rPr>
        <w:t>)</w:t>
      </w:r>
      <w:r w:rsidR="004D553B" w:rsidRPr="00E336A2">
        <w:rPr>
          <w:rFonts w:eastAsia="Times New Roman" w:cs="Arial"/>
          <w:color w:val="000000"/>
        </w:rPr>
        <w:t xml:space="preserve">  </w:t>
      </w:r>
      <w:r w:rsidR="008279EB" w:rsidRPr="00E336A2">
        <w:rPr>
          <w:rFonts w:eastAsia="Times New Roman" w:cs="Arial"/>
          <w:color w:val="000000"/>
        </w:rPr>
        <w:t xml:space="preserve">The court </w:t>
      </w:r>
      <w:r w:rsidR="004D553B" w:rsidRPr="00E336A2">
        <w:rPr>
          <w:rFonts w:eastAsia="Times New Roman" w:cs="Arial"/>
          <w:color w:val="000000"/>
        </w:rPr>
        <w:t>also reiterated that</w:t>
      </w:r>
      <w:r w:rsidR="008279EB" w:rsidRPr="00E336A2">
        <w:rPr>
          <w:rFonts w:eastAsia="Times New Roman" w:cs="Arial"/>
          <w:color w:val="000000"/>
        </w:rPr>
        <w:t xml:space="preserve"> precedent established the term </w:t>
      </w:r>
      <w:r w:rsidR="005D1DE3" w:rsidRPr="00E336A2">
        <w:rPr>
          <w:rFonts w:eastAsia="Times New Roman" w:cs="Arial"/>
          <w:color w:val="000000"/>
        </w:rPr>
        <w:t xml:space="preserve">business establishment </w:t>
      </w:r>
      <w:r w:rsidR="00E615C9" w:rsidRPr="00E336A2">
        <w:rPr>
          <w:rFonts w:eastAsia="Times New Roman" w:cs="Arial"/>
          <w:color w:val="000000"/>
        </w:rPr>
        <w:t xml:space="preserve">must </w:t>
      </w:r>
      <w:r w:rsidR="008279EB" w:rsidRPr="00E336A2">
        <w:rPr>
          <w:rFonts w:eastAsia="Times New Roman" w:cs="Arial"/>
          <w:color w:val="000000"/>
        </w:rPr>
        <w:t xml:space="preserve">be “interpreted ‘in the broadest sense reasonably possible.’ ” </w:t>
      </w:r>
      <w:r w:rsidR="000E25EB" w:rsidRPr="00E336A2">
        <w:rPr>
          <w:rFonts w:eastAsia="Times New Roman" w:cs="Arial"/>
          <w:color w:val="000000"/>
        </w:rPr>
        <w:t xml:space="preserve"> </w:t>
      </w:r>
      <w:r w:rsidR="008279EB" w:rsidRPr="00E336A2">
        <w:rPr>
          <w:rFonts w:eastAsia="Times New Roman" w:cs="Arial"/>
          <w:color w:val="000000"/>
        </w:rPr>
        <w:t>(</w:t>
      </w:r>
      <w:r w:rsidR="008279EB" w:rsidRPr="00E336A2">
        <w:rPr>
          <w:rFonts w:eastAsia="Times New Roman" w:cs="Arial"/>
          <w:i/>
          <w:iCs/>
          <w:color w:val="000000"/>
        </w:rPr>
        <w:t xml:space="preserve">Curran, supra, </w:t>
      </w:r>
      <w:r w:rsidR="008279EB" w:rsidRPr="00E336A2">
        <w:rPr>
          <w:rFonts w:eastAsia="Times New Roman" w:cs="Arial"/>
          <w:color w:val="000000"/>
        </w:rPr>
        <w:t xml:space="preserve">17 Cal.4th at p. 696, quoting </w:t>
      </w:r>
      <w:r w:rsidR="008279EB" w:rsidRPr="00E336A2">
        <w:rPr>
          <w:rFonts w:eastAsia="Times New Roman" w:cs="Arial"/>
          <w:i/>
          <w:iCs/>
          <w:color w:val="000000"/>
        </w:rPr>
        <w:t xml:space="preserve">Burks, supra, </w:t>
      </w:r>
      <w:r w:rsidR="002D5E2C" w:rsidRPr="00E336A2">
        <w:rPr>
          <w:rFonts w:eastAsia="Times New Roman" w:cs="Arial"/>
          <w:color w:val="000000"/>
        </w:rPr>
        <w:t xml:space="preserve">57 Cal.2d at p. </w:t>
      </w:r>
      <w:r w:rsidR="00110F16" w:rsidRPr="00E336A2">
        <w:rPr>
          <w:rFonts w:eastAsia="Times New Roman" w:cs="Arial"/>
          <w:color w:val="000000"/>
        </w:rPr>
        <w:t>468</w:t>
      </w:r>
      <w:r w:rsidR="008279EB" w:rsidRPr="00E336A2">
        <w:rPr>
          <w:rFonts w:eastAsia="Times New Roman" w:cs="Arial"/>
          <w:color w:val="000000"/>
        </w:rPr>
        <w:t>.)</w:t>
      </w:r>
      <w:r w:rsidR="002D5E2C" w:rsidRPr="00E336A2">
        <w:rPr>
          <w:rFonts w:eastAsia="Times New Roman" w:cs="Arial"/>
          <w:color w:val="000000"/>
        </w:rPr>
        <w:t xml:space="preserve"> </w:t>
      </w:r>
      <w:r w:rsidR="008279EB" w:rsidRPr="00E336A2">
        <w:rPr>
          <w:rFonts w:eastAsia="Times New Roman" w:cs="Arial"/>
          <w:color w:val="000000"/>
        </w:rPr>
        <w:t xml:space="preserve"> </w:t>
      </w:r>
    </w:p>
    <w:p w14:paraId="7FAE841A" w14:textId="77777777" w:rsidR="008279EB" w:rsidRPr="00E336A2" w:rsidRDefault="004D553B" w:rsidP="00BC42AF">
      <w:pPr>
        <w:spacing w:line="360" w:lineRule="auto"/>
        <w:rPr>
          <w:rFonts w:eastAsia="Times New Roman" w:cs="Arial"/>
          <w:color w:val="000000"/>
        </w:rPr>
      </w:pPr>
      <w:r w:rsidRPr="00E336A2">
        <w:rPr>
          <w:rFonts w:eastAsia="Times New Roman" w:cs="Arial"/>
          <w:color w:val="000000"/>
        </w:rPr>
        <w:tab/>
      </w:r>
      <w:r w:rsidR="008279EB" w:rsidRPr="00E336A2">
        <w:rPr>
          <w:rFonts w:eastAsia="Times New Roman" w:cs="Arial"/>
          <w:color w:val="000000"/>
        </w:rPr>
        <w:t>“Nonetheless,</w:t>
      </w:r>
      <w:r w:rsidR="00971063" w:rsidRPr="00E336A2">
        <w:rPr>
          <w:rFonts w:eastAsia="Times New Roman" w:cs="Arial"/>
          <w:color w:val="000000"/>
        </w:rPr>
        <w:t>” said the court,</w:t>
      </w:r>
      <w:r w:rsidR="008279EB" w:rsidRPr="00E336A2">
        <w:rPr>
          <w:rFonts w:eastAsia="Times New Roman" w:cs="Arial"/>
          <w:color w:val="000000"/>
        </w:rPr>
        <w:t xml:space="preserve"> </w:t>
      </w:r>
      <w:r w:rsidR="00971063" w:rsidRPr="00E336A2">
        <w:rPr>
          <w:rFonts w:eastAsia="Times New Roman" w:cs="Arial"/>
          <w:color w:val="000000"/>
        </w:rPr>
        <w:t>“</w:t>
      </w:r>
      <w:r w:rsidR="008279EB" w:rsidRPr="00E336A2">
        <w:rPr>
          <w:rFonts w:eastAsia="Times New Roman" w:cs="Arial"/>
          <w:color w:val="000000"/>
        </w:rPr>
        <w:t xml:space="preserve">although past California decisions demonstrate that the Act clearly applies to any type of for-profit commercial enterprise, and to nonprofit entities—like the condominium association in </w:t>
      </w:r>
      <w:r w:rsidR="008279EB" w:rsidRPr="00E336A2">
        <w:rPr>
          <w:rFonts w:eastAsia="Times New Roman" w:cs="Arial"/>
          <w:i/>
          <w:iCs/>
          <w:color w:val="000000"/>
        </w:rPr>
        <w:t>O</w:t>
      </w:r>
      <w:r w:rsidR="002D5E2C" w:rsidRPr="00E336A2">
        <w:rPr>
          <w:rFonts w:eastAsia="Times New Roman" w:cs="Arial"/>
          <w:i/>
          <w:iCs/>
          <w:color w:val="000000"/>
        </w:rPr>
        <w:t>’</w:t>
      </w:r>
      <w:r w:rsidR="008279EB" w:rsidRPr="00E336A2">
        <w:rPr>
          <w:rFonts w:eastAsia="Times New Roman" w:cs="Arial"/>
          <w:i/>
          <w:iCs/>
          <w:color w:val="000000"/>
        </w:rPr>
        <w:t>Connor</w:t>
      </w:r>
      <w:r w:rsidR="008279EB" w:rsidRPr="00E336A2">
        <w:rPr>
          <w:rFonts w:eastAsia="Times New Roman" w:cs="Arial"/>
          <w:color w:val="000000"/>
        </w:rPr>
        <w:t>—whose purpose is to serve the business or economic interests of its owners or members, no prior decision ha</w:t>
      </w:r>
      <w:r w:rsidR="00971063" w:rsidRPr="00E336A2">
        <w:rPr>
          <w:rFonts w:eastAsia="Times New Roman" w:cs="Arial"/>
          <w:color w:val="000000"/>
        </w:rPr>
        <w:t>[d]</w:t>
      </w:r>
      <w:r w:rsidR="008279EB" w:rsidRPr="00E336A2">
        <w:rPr>
          <w:rFonts w:eastAsia="Times New Roman" w:cs="Arial"/>
          <w:color w:val="000000"/>
        </w:rPr>
        <w:t xml:space="preserve"> interpreted the </w:t>
      </w:r>
      <w:r w:rsidR="00E674DC" w:rsidRPr="00E336A2">
        <w:rPr>
          <w:rFonts w:eastAsia="Times New Roman" w:cs="Arial"/>
          <w:color w:val="000000"/>
        </w:rPr>
        <w:t>‘</w:t>
      </w:r>
      <w:r w:rsidR="008279EB" w:rsidRPr="00E336A2">
        <w:rPr>
          <w:rFonts w:eastAsia="Times New Roman" w:cs="Arial"/>
          <w:color w:val="000000"/>
        </w:rPr>
        <w:t>business establishments</w:t>
      </w:r>
      <w:r w:rsidR="00E674DC" w:rsidRPr="00E336A2">
        <w:rPr>
          <w:rFonts w:eastAsia="Times New Roman" w:cs="Arial"/>
          <w:color w:val="000000"/>
        </w:rPr>
        <w:t>’</w:t>
      </w:r>
      <w:r w:rsidR="008279EB" w:rsidRPr="00E336A2">
        <w:rPr>
          <w:rFonts w:eastAsia="Times New Roman" w:cs="Arial"/>
          <w:color w:val="000000"/>
        </w:rPr>
        <w:t xml:space="preserve"> language of the Act so expansively as to include the membership decisions of a charitable, expressive, and social organization, </w:t>
      </w:r>
      <w:r w:rsidR="008279EB" w:rsidRPr="00E336A2">
        <w:rPr>
          <w:rFonts w:eastAsia="Times New Roman" w:cs="Arial"/>
          <w:color w:val="000000"/>
        </w:rPr>
        <w:lastRenderedPageBreak/>
        <w:t>like the Boy Scouts, whose formation and activities are unrelated to the promotion or advancement of the economic or business interests of its members.</w:t>
      </w:r>
      <w:r w:rsidR="002D5E2C" w:rsidRPr="00E336A2">
        <w:rPr>
          <w:rFonts w:eastAsia="Times New Roman" w:cs="Arial"/>
          <w:color w:val="000000"/>
        </w:rPr>
        <w:t>”</w:t>
      </w:r>
      <w:r w:rsidR="008279EB" w:rsidRPr="00E336A2">
        <w:rPr>
          <w:rFonts w:eastAsia="Times New Roman" w:cs="Arial"/>
          <w:color w:val="000000"/>
        </w:rPr>
        <w:t xml:space="preserve">  (</w:t>
      </w:r>
      <w:r w:rsidR="008279EB" w:rsidRPr="00E336A2">
        <w:rPr>
          <w:rFonts w:eastAsia="Times New Roman" w:cs="Arial"/>
          <w:i/>
          <w:iCs/>
          <w:color w:val="000000"/>
        </w:rPr>
        <w:t>Curran,</w:t>
      </w:r>
      <w:r w:rsidR="006718D5" w:rsidRPr="00E336A2">
        <w:rPr>
          <w:rFonts w:eastAsia="Times New Roman" w:cs="Arial"/>
          <w:i/>
          <w:iCs/>
          <w:color w:val="000000"/>
        </w:rPr>
        <w:t xml:space="preserve"> supra, </w:t>
      </w:r>
      <w:r w:rsidR="006718D5" w:rsidRPr="00E336A2">
        <w:rPr>
          <w:rFonts w:eastAsia="Times New Roman" w:cs="Arial"/>
          <w:color w:val="000000"/>
        </w:rPr>
        <w:t xml:space="preserve">17 Cal.4th </w:t>
      </w:r>
      <w:r w:rsidR="002D5E2C" w:rsidRPr="00E336A2">
        <w:rPr>
          <w:rFonts w:eastAsia="Times New Roman" w:cs="Arial"/>
          <w:color w:val="000000"/>
        </w:rPr>
        <w:t>at p.</w:t>
      </w:r>
      <w:r w:rsidR="002D5E2C" w:rsidRPr="00E336A2">
        <w:rPr>
          <w:rFonts w:eastAsia="Times New Roman" w:cs="Arial"/>
          <w:i/>
          <w:iCs/>
          <w:color w:val="000000"/>
        </w:rPr>
        <w:t xml:space="preserve"> </w:t>
      </w:r>
      <w:r w:rsidR="008279EB" w:rsidRPr="00E336A2">
        <w:rPr>
          <w:rFonts w:eastAsia="Times New Roman" w:cs="Arial"/>
          <w:color w:val="000000"/>
        </w:rPr>
        <w:t>697</w:t>
      </w:r>
      <w:r w:rsidR="005F6C88" w:rsidRPr="00E336A2">
        <w:rPr>
          <w:rFonts w:eastAsia="Times New Roman" w:cs="Arial"/>
          <w:color w:val="000000"/>
        </w:rPr>
        <w:t>, fn. omitted</w:t>
      </w:r>
      <w:r w:rsidR="008279EB" w:rsidRPr="00E336A2">
        <w:rPr>
          <w:rFonts w:eastAsia="Times New Roman" w:cs="Arial"/>
          <w:color w:val="000000"/>
        </w:rPr>
        <w:t>.)</w:t>
      </w:r>
    </w:p>
    <w:p w14:paraId="650EE6D5" w14:textId="77777777" w:rsidR="004D553B" w:rsidRPr="00E336A2" w:rsidRDefault="008279EB" w:rsidP="00BC42AF">
      <w:pPr>
        <w:spacing w:line="360" w:lineRule="auto"/>
        <w:rPr>
          <w:rFonts w:eastAsia="Times New Roman" w:cs="Arial"/>
          <w:color w:val="000000"/>
        </w:rPr>
      </w:pPr>
      <w:r w:rsidRPr="00E336A2">
        <w:rPr>
          <w:rFonts w:eastAsia="Times New Roman" w:cs="Arial"/>
          <w:color w:val="000000"/>
        </w:rPr>
        <w:tab/>
      </w:r>
      <w:r w:rsidR="001E51DC" w:rsidRPr="00E336A2">
        <w:rPr>
          <w:rFonts w:eastAsia="Times New Roman" w:cs="Arial"/>
          <w:color w:val="000000"/>
        </w:rPr>
        <w:t xml:space="preserve">The court </w:t>
      </w:r>
      <w:r w:rsidR="00C74168" w:rsidRPr="00E336A2">
        <w:rPr>
          <w:rFonts w:eastAsia="Times New Roman" w:cs="Arial"/>
          <w:color w:val="000000"/>
        </w:rPr>
        <w:t>also</w:t>
      </w:r>
      <w:r w:rsidR="00971063" w:rsidRPr="00E336A2">
        <w:rPr>
          <w:rFonts w:eastAsia="Times New Roman" w:cs="Arial"/>
          <w:color w:val="000000"/>
        </w:rPr>
        <w:t xml:space="preserve"> </w:t>
      </w:r>
      <w:r w:rsidR="001E51DC" w:rsidRPr="00E336A2">
        <w:rPr>
          <w:rFonts w:eastAsia="Times New Roman" w:cs="Arial"/>
          <w:color w:val="000000"/>
        </w:rPr>
        <w:t xml:space="preserve">recognized that in </w:t>
      </w:r>
      <w:proofErr w:type="spellStart"/>
      <w:r w:rsidR="001E51DC" w:rsidRPr="00E336A2">
        <w:rPr>
          <w:rFonts w:eastAsia="Times New Roman" w:cs="Arial"/>
          <w:i/>
          <w:iCs/>
          <w:color w:val="000000"/>
        </w:rPr>
        <w:t>Isbister</w:t>
      </w:r>
      <w:proofErr w:type="spellEnd"/>
      <w:r w:rsidR="001E51DC" w:rsidRPr="00E336A2">
        <w:rPr>
          <w:rFonts w:eastAsia="Times New Roman" w:cs="Arial"/>
          <w:i/>
          <w:iCs/>
          <w:color w:val="000000"/>
        </w:rPr>
        <w:t xml:space="preserve">, </w:t>
      </w:r>
      <w:r w:rsidR="001E51DC" w:rsidRPr="00E336A2">
        <w:rPr>
          <w:rFonts w:eastAsia="Times New Roman" w:cs="Arial"/>
          <w:color w:val="000000"/>
        </w:rPr>
        <w:t>it “concluded that in light of the legislative history demonstrating that the Unruh Civil Rights Act was intended to extend the reach of California</w:t>
      </w:r>
      <w:r w:rsidR="005F6C88" w:rsidRPr="00E336A2">
        <w:rPr>
          <w:rFonts w:eastAsia="Times New Roman" w:cs="Arial"/>
          <w:color w:val="000000"/>
        </w:rPr>
        <w:t>’</w:t>
      </w:r>
      <w:r w:rsidR="001E51DC" w:rsidRPr="00E336A2">
        <w:rPr>
          <w:rFonts w:eastAsia="Times New Roman" w:cs="Arial"/>
          <w:color w:val="000000"/>
        </w:rPr>
        <w:t xml:space="preserve">s prior public accommodation statute, the very broad </w:t>
      </w:r>
      <w:r w:rsidR="005F6C88" w:rsidRPr="00E336A2">
        <w:rPr>
          <w:rFonts w:eastAsia="Times New Roman" w:cs="Arial"/>
          <w:color w:val="000000"/>
        </w:rPr>
        <w:t>‘</w:t>
      </w:r>
      <w:r w:rsidR="001E51DC" w:rsidRPr="00E336A2">
        <w:rPr>
          <w:rFonts w:eastAsia="Times New Roman" w:cs="Arial"/>
          <w:color w:val="000000"/>
        </w:rPr>
        <w:t>business establishments</w:t>
      </w:r>
      <w:r w:rsidR="005F6C88" w:rsidRPr="00E336A2">
        <w:rPr>
          <w:rFonts w:eastAsia="Times New Roman" w:cs="Arial"/>
          <w:color w:val="000000"/>
        </w:rPr>
        <w:t>’</w:t>
      </w:r>
      <w:r w:rsidR="001E51DC" w:rsidRPr="00E336A2">
        <w:rPr>
          <w:rFonts w:eastAsia="Times New Roman" w:cs="Arial"/>
          <w:color w:val="000000"/>
        </w:rPr>
        <w:t xml:space="preserve"> language of the Act reasonably must be interpreted to apply to the membership policies of an entity—even a charitable organization that lacks a significant business-related purpose—if the entity</w:t>
      </w:r>
      <w:r w:rsidR="00E615C9" w:rsidRPr="00E336A2">
        <w:rPr>
          <w:rFonts w:eastAsia="Times New Roman" w:cs="Arial"/>
          <w:color w:val="000000"/>
        </w:rPr>
        <w:t>’</w:t>
      </w:r>
      <w:r w:rsidR="001E51DC" w:rsidRPr="00E336A2">
        <w:rPr>
          <w:rFonts w:eastAsia="Times New Roman" w:cs="Arial"/>
          <w:color w:val="000000"/>
        </w:rPr>
        <w:t xml:space="preserve">s attributes and activities demonstrate that it is the functional equivalent of a classic </w:t>
      </w:r>
      <w:r w:rsidR="005F6C88" w:rsidRPr="00E336A2">
        <w:rPr>
          <w:rFonts w:eastAsia="Times New Roman" w:cs="Arial"/>
          <w:color w:val="000000"/>
        </w:rPr>
        <w:t>‘</w:t>
      </w:r>
      <w:r w:rsidR="001E51DC" w:rsidRPr="00E336A2">
        <w:rPr>
          <w:rFonts w:eastAsia="Times New Roman" w:cs="Arial"/>
          <w:color w:val="000000"/>
        </w:rPr>
        <w:t>place of public accommodation or amusement.</w:t>
      </w:r>
      <w:r w:rsidR="005F6C88" w:rsidRPr="00E336A2">
        <w:rPr>
          <w:rFonts w:eastAsia="Times New Roman" w:cs="Arial"/>
          <w:color w:val="000000"/>
        </w:rPr>
        <w:t xml:space="preserve">’ </w:t>
      </w:r>
      <w:r w:rsidR="001E51DC" w:rsidRPr="00E336A2">
        <w:rPr>
          <w:rFonts w:eastAsia="Times New Roman" w:cs="Arial"/>
          <w:color w:val="000000"/>
        </w:rPr>
        <w:t>”</w:t>
      </w:r>
      <w:r w:rsidR="006718D5" w:rsidRPr="00E336A2">
        <w:rPr>
          <w:rFonts w:eastAsia="Times New Roman" w:cs="Arial"/>
          <w:color w:val="000000"/>
        </w:rPr>
        <w:t xml:space="preserve"> </w:t>
      </w:r>
      <w:r w:rsidR="001E51DC" w:rsidRPr="00E336A2">
        <w:rPr>
          <w:rFonts w:eastAsia="Times New Roman" w:cs="Arial"/>
          <w:color w:val="000000"/>
        </w:rPr>
        <w:t xml:space="preserve"> (</w:t>
      </w:r>
      <w:r w:rsidR="001E51DC" w:rsidRPr="00E336A2">
        <w:rPr>
          <w:rFonts w:eastAsia="Times New Roman" w:cs="Arial"/>
          <w:i/>
          <w:iCs/>
          <w:color w:val="000000"/>
        </w:rPr>
        <w:t xml:space="preserve">Curran, supra, </w:t>
      </w:r>
      <w:r w:rsidR="001E51DC" w:rsidRPr="00E336A2">
        <w:rPr>
          <w:rFonts w:eastAsia="Times New Roman" w:cs="Arial"/>
          <w:color w:val="000000"/>
        </w:rPr>
        <w:t xml:space="preserve">17 Cal.4th at p. 697, quoting </w:t>
      </w:r>
      <w:proofErr w:type="spellStart"/>
      <w:r w:rsidR="001E51DC" w:rsidRPr="00E336A2">
        <w:rPr>
          <w:rFonts w:eastAsia="Times New Roman" w:cs="Arial"/>
          <w:i/>
          <w:iCs/>
          <w:color w:val="000000"/>
        </w:rPr>
        <w:t>Isbister</w:t>
      </w:r>
      <w:proofErr w:type="spellEnd"/>
      <w:r w:rsidR="001E51DC" w:rsidRPr="00E336A2">
        <w:rPr>
          <w:rFonts w:eastAsia="Times New Roman" w:cs="Arial"/>
          <w:i/>
          <w:iCs/>
          <w:color w:val="000000"/>
        </w:rPr>
        <w:t xml:space="preserve">, supra, </w:t>
      </w:r>
      <w:r w:rsidR="001E51DC" w:rsidRPr="00E336A2">
        <w:rPr>
          <w:rFonts w:eastAsia="Times New Roman" w:cs="Arial"/>
          <w:color w:val="000000"/>
        </w:rPr>
        <w:t>40</w:t>
      </w:r>
      <w:r w:rsidR="006718D5" w:rsidRPr="00E336A2">
        <w:rPr>
          <w:rFonts w:eastAsia="Times New Roman" w:cs="Arial"/>
          <w:color w:val="000000"/>
        </w:rPr>
        <w:t> </w:t>
      </w:r>
      <w:r w:rsidR="001E51DC" w:rsidRPr="00E336A2">
        <w:rPr>
          <w:rFonts w:eastAsia="Times New Roman" w:cs="Arial"/>
          <w:color w:val="000000"/>
        </w:rPr>
        <w:t>Cal.3d at p. 83</w:t>
      </w:r>
      <w:r w:rsidR="00C74168" w:rsidRPr="00E336A2">
        <w:rPr>
          <w:rFonts w:eastAsia="Times New Roman" w:cs="Arial"/>
          <w:color w:val="000000"/>
        </w:rPr>
        <w:t>, italics</w:t>
      </w:r>
      <w:r w:rsidR="002D5E2C" w:rsidRPr="00E336A2">
        <w:rPr>
          <w:rFonts w:eastAsia="Times New Roman" w:cs="Arial"/>
          <w:color w:val="000000"/>
        </w:rPr>
        <w:t xml:space="preserve"> omitted</w:t>
      </w:r>
      <w:r w:rsidR="001E51DC" w:rsidRPr="00E336A2">
        <w:rPr>
          <w:rFonts w:eastAsia="Times New Roman" w:cs="Arial"/>
          <w:color w:val="000000"/>
        </w:rPr>
        <w:t xml:space="preserve">.)  </w:t>
      </w:r>
    </w:p>
    <w:p w14:paraId="07BA704B" w14:textId="77777777" w:rsidR="0028792D" w:rsidRPr="00E336A2" w:rsidRDefault="004D553B" w:rsidP="00BC42AF">
      <w:pPr>
        <w:spacing w:line="360" w:lineRule="auto"/>
        <w:rPr>
          <w:rFonts w:eastAsia="Times New Roman" w:cs="Arial"/>
          <w:color w:val="000000"/>
        </w:rPr>
      </w:pPr>
      <w:r w:rsidRPr="00E336A2">
        <w:rPr>
          <w:rFonts w:eastAsia="Times New Roman" w:cs="Arial"/>
          <w:color w:val="000000"/>
        </w:rPr>
        <w:tab/>
      </w:r>
      <w:r w:rsidR="00E615C9" w:rsidRPr="00E336A2">
        <w:rPr>
          <w:rFonts w:eastAsia="Times New Roman" w:cs="Arial"/>
          <w:color w:val="000000"/>
        </w:rPr>
        <w:t>T</w:t>
      </w:r>
      <w:r w:rsidR="001E51DC" w:rsidRPr="00E336A2">
        <w:rPr>
          <w:rFonts w:eastAsia="Times New Roman" w:cs="Arial"/>
          <w:color w:val="000000"/>
        </w:rPr>
        <w:t>he court disagreed</w:t>
      </w:r>
      <w:r w:rsidR="00E615C9" w:rsidRPr="00E336A2">
        <w:rPr>
          <w:rFonts w:eastAsia="Times New Roman" w:cs="Arial"/>
          <w:color w:val="000000"/>
        </w:rPr>
        <w:t>, however,</w:t>
      </w:r>
      <w:r w:rsidR="001E51DC" w:rsidRPr="00E336A2">
        <w:rPr>
          <w:rFonts w:eastAsia="Times New Roman" w:cs="Arial"/>
          <w:color w:val="000000"/>
        </w:rPr>
        <w:t xml:space="preserve"> “that the circumstance that the Boy Scouts is generally nonselective in its admission policies, and affords membership to a large segment of the public, is itself sufficient to demonstrate that the organization reasonably can be characterized as the functional equivalent of a traditional place of public accommodation or amusement.</w:t>
      </w:r>
      <w:r w:rsidR="00960ABE" w:rsidRPr="00E336A2">
        <w:rPr>
          <w:rFonts w:eastAsia="Times New Roman" w:cs="Arial"/>
          <w:color w:val="000000"/>
        </w:rPr>
        <w:t>”  (</w:t>
      </w:r>
      <w:r w:rsidR="002D5E2C" w:rsidRPr="00E336A2">
        <w:rPr>
          <w:rFonts w:eastAsia="Times New Roman" w:cs="Arial"/>
          <w:i/>
          <w:iCs/>
          <w:color w:val="000000"/>
        </w:rPr>
        <w:t xml:space="preserve">Curran, </w:t>
      </w:r>
      <w:r w:rsidR="006718D5" w:rsidRPr="00E336A2">
        <w:rPr>
          <w:rFonts w:eastAsia="Times New Roman" w:cs="Arial"/>
          <w:i/>
          <w:iCs/>
          <w:color w:val="000000"/>
        </w:rPr>
        <w:t xml:space="preserve">supra, </w:t>
      </w:r>
      <w:r w:rsidR="006718D5" w:rsidRPr="00E336A2">
        <w:rPr>
          <w:rFonts w:eastAsia="Times New Roman" w:cs="Arial"/>
          <w:color w:val="000000"/>
        </w:rPr>
        <w:t xml:space="preserve">17 Cal.4th </w:t>
      </w:r>
      <w:r w:rsidR="002D5E2C" w:rsidRPr="00E336A2">
        <w:rPr>
          <w:rFonts w:eastAsia="Times New Roman" w:cs="Arial"/>
          <w:color w:val="000000"/>
        </w:rPr>
        <w:t>at p. 697</w:t>
      </w:r>
      <w:r w:rsidR="00960ABE" w:rsidRPr="00E336A2">
        <w:rPr>
          <w:rFonts w:eastAsia="Times New Roman" w:cs="Arial"/>
          <w:i/>
          <w:iCs/>
          <w:color w:val="000000"/>
        </w:rPr>
        <w:t>.</w:t>
      </w:r>
      <w:r w:rsidR="00960ABE" w:rsidRPr="00E336A2">
        <w:rPr>
          <w:rFonts w:eastAsia="Times New Roman" w:cs="Arial"/>
          <w:color w:val="000000"/>
        </w:rPr>
        <w:t>)  Rather, the “</w:t>
      </w:r>
      <w:r w:rsidR="001E51DC" w:rsidRPr="00E336A2">
        <w:rPr>
          <w:rFonts w:eastAsia="Times New Roman" w:cs="Arial"/>
          <w:color w:val="000000"/>
        </w:rPr>
        <w:t xml:space="preserve">record </w:t>
      </w:r>
      <w:proofErr w:type="spellStart"/>
      <w:r w:rsidR="001E51DC" w:rsidRPr="00E336A2">
        <w:rPr>
          <w:rFonts w:eastAsia="Times New Roman" w:cs="Arial"/>
          <w:color w:val="000000"/>
        </w:rPr>
        <w:t>establishe</w:t>
      </w:r>
      <w:proofErr w:type="spellEnd"/>
      <w:r w:rsidR="00960ABE" w:rsidRPr="00E336A2">
        <w:rPr>
          <w:rFonts w:eastAsia="Times New Roman" w:cs="Arial"/>
          <w:color w:val="000000"/>
        </w:rPr>
        <w:t>[d]</w:t>
      </w:r>
      <w:r w:rsidR="001E51DC" w:rsidRPr="00E336A2">
        <w:rPr>
          <w:rFonts w:eastAsia="Times New Roman" w:cs="Arial"/>
          <w:color w:val="000000"/>
        </w:rPr>
        <w:t xml:space="preserve"> that the Boy Scouts is an organization whose primary function is the inculcation of a specific set of values in its youth members, and whose recreational facilities and activities are complementary to the organization</w:t>
      </w:r>
      <w:r w:rsidR="005F6C88" w:rsidRPr="00E336A2">
        <w:rPr>
          <w:rFonts w:eastAsia="Times New Roman" w:cs="Arial"/>
          <w:color w:val="000000"/>
        </w:rPr>
        <w:t>’</w:t>
      </w:r>
      <w:r w:rsidR="001E51DC" w:rsidRPr="00E336A2">
        <w:rPr>
          <w:rFonts w:eastAsia="Times New Roman" w:cs="Arial"/>
          <w:color w:val="000000"/>
        </w:rPr>
        <w:t xml:space="preserve">s primary purpose. </w:t>
      </w:r>
      <w:r w:rsidR="002D5E2C" w:rsidRPr="00E336A2">
        <w:rPr>
          <w:rFonts w:eastAsia="Times New Roman" w:cs="Arial"/>
          <w:color w:val="000000"/>
        </w:rPr>
        <w:t xml:space="preserve"> </w:t>
      </w:r>
      <w:r w:rsidR="001E51DC" w:rsidRPr="00E336A2">
        <w:rPr>
          <w:rFonts w:eastAsia="Times New Roman" w:cs="Arial"/>
          <w:color w:val="000000"/>
        </w:rPr>
        <w:t>Unlike membership in the Boys</w:t>
      </w:r>
      <w:r w:rsidR="002D5E2C" w:rsidRPr="00E336A2">
        <w:rPr>
          <w:rFonts w:eastAsia="Times New Roman" w:cs="Arial"/>
          <w:color w:val="000000"/>
        </w:rPr>
        <w:t>’</w:t>
      </w:r>
      <w:r w:rsidR="001E51DC" w:rsidRPr="00E336A2">
        <w:rPr>
          <w:rFonts w:eastAsia="Times New Roman" w:cs="Arial"/>
          <w:color w:val="000000"/>
        </w:rPr>
        <w:t xml:space="preserve"> Club of Santa Cruz, Inc., membership in the Boy Scouts is not simply a ticket of admission to a recreational facility that is open to a large segment of the public and has all the attributes of a place of public amusement.</w:t>
      </w:r>
      <w:r w:rsidR="00960ABE" w:rsidRPr="00E336A2">
        <w:rPr>
          <w:rFonts w:eastAsia="Times New Roman" w:cs="Arial"/>
          <w:color w:val="000000"/>
        </w:rPr>
        <w:t>”</w:t>
      </w:r>
      <w:r w:rsidR="006718D5" w:rsidRPr="00E336A2">
        <w:rPr>
          <w:rFonts w:eastAsia="Times New Roman" w:cs="Arial"/>
          <w:color w:val="000000"/>
        </w:rPr>
        <w:t xml:space="preserve"> </w:t>
      </w:r>
      <w:r w:rsidR="001E51DC" w:rsidRPr="00E336A2">
        <w:rPr>
          <w:rFonts w:eastAsia="Times New Roman" w:cs="Arial"/>
          <w:color w:val="000000"/>
        </w:rPr>
        <w:t xml:space="preserve"> (</w:t>
      </w:r>
      <w:r w:rsidR="002D5E2C" w:rsidRPr="00E336A2">
        <w:rPr>
          <w:rFonts w:eastAsia="Times New Roman" w:cs="Arial"/>
          <w:i/>
          <w:iCs/>
          <w:color w:val="000000"/>
        </w:rPr>
        <w:t>Id.</w:t>
      </w:r>
      <w:r w:rsidR="001E51DC" w:rsidRPr="00E336A2">
        <w:rPr>
          <w:rFonts w:eastAsia="Times New Roman" w:cs="Arial"/>
          <w:i/>
          <w:iCs/>
          <w:color w:val="000000"/>
        </w:rPr>
        <w:t xml:space="preserve"> </w:t>
      </w:r>
      <w:r w:rsidR="001E51DC" w:rsidRPr="00E336A2">
        <w:rPr>
          <w:rFonts w:eastAsia="Times New Roman" w:cs="Arial"/>
          <w:color w:val="000000"/>
        </w:rPr>
        <w:t>at pp. 697</w:t>
      </w:r>
      <w:r w:rsidR="009F2706" w:rsidRPr="00E336A2">
        <w:rPr>
          <w:rFonts w:eastAsia="Times New Roman" w:cs="Arial"/>
          <w:color w:val="000000"/>
        </w:rPr>
        <w:t>–</w:t>
      </w:r>
      <w:r w:rsidR="001E51DC" w:rsidRPr="00E336A2">
        <w:rPr>
          <w:rFonts w:eastAsia="Times New Roman" w:cs="Arial"/>
          <w:color w:val="000000"/>
        </w:rPr>
        <w:t>698.)</w:t>
      </w:r>
    </w:p>
    <w:p w14:paraId="1672AAD7" w14:textId="77777777" w:rsidR="004D553B" w:rsidRPr="00E336A2" w:rsidRDefault="0028792D" w:rsidP="00BC42AF">
      <w:pPr>
        <w:spacing w:line="360" w:lineRule="auto"/>
        <w:rPr>
          <w:rFonts w:eastAsia="Times New Roman" w:cs="Arial"/>
          <w:color w:val="000000"/>
        </w:rPr>
      </w:pPr>
      <w:r w:rsidRPr="00E336A2">
        <w:rPr>
          <w:rFonts w:eastAsia="Times New Roman" w:cs="Arial"/>
          <w:color w:val="000000"/>
        </w:rPr>
        <w:lastRenderedPageBreak/>
        <w:tab/>
      </w:r>
      <w:r w:rsidR="00440B0E" w:rsidRPr="00E336A2">
        <w:rPr>
          <w:rFonts w:eastAsia="Times New Roman" w:cs="Arial"/>
          <w:color w:val="000000"/>
        </w:rPr>
        <w:t xml:space="preserve">The court also distinguished </w:t>
      </w:r>
      <w:r w:rsidR="00440B0E" w:rsidRPr="00E336A2">
        <w:rPr>
          <w:rFonts w:eastAsia="Times New Roman" w:cs="Arial"/>
          <w:i/>
          <w:iCs/>
          <w:color w:val="000000"/>
        </w:rPr>
        <w:t>Warfield</w:t>
      </w:r>
      <w:r w:rsidR="00440B0E" w:rsidRPr="00E336A2">
        <w:rPr>
          <w:rFonts w:eastAsia="Times New Roman" w:cs="Arial"/>
          <w:color w:val="000000"/>
        </w:rPr>
        <w:t>.  (</w:t>
      </w:r>
      <w:r w:rsidR="002D5E2C" w:rsidRPr="00E336A2">
        <w:rPr>
          <w:rFonts w:eastAsia="Times New Roman" w:cs="Arial"/>
          <w:i/>
          <w:iCs/>
          <w:color w:val="000000"/>
        </w:rPr>
        <w:t xml:space="preserve">Curran, supra, </w:t>
      </w:r>
      <w:r w:rsidR="002D5E2C" w:rsidRPr="00E336A2">
        <w:rPr>
          <w:rFonts w:eastAsia="Times New Roman" w:cs="Arial"/>
          <w:color w:val="000000"/>
        </w:rPr>
        <w:t>17 Cal.4th</w:t>
      </w:r>
      <w:r w:rsidR="00440B0E" w:rsidRPr="00E336A2">
        <w:rPr>
          <w:rFonts w:eastAsia="Times New Roman" w:cs="Arial"/>
          <w:color w:val="000000"/>
        </w:rPr>
        <w:t xml:space="preserve"> at p.</w:t>
      </w:r>
      <w:r w:rsidR="006718D5" w:rsidRPr="00E336A2">
        <w:rPr>
          <w:rFonts w:eastAsia="Times New Roman" w:cs="Arial"/>
          <w:color w:val="000000"/>
        </w:rPr>
        <w:t> </w:t>
      </w:r>
      <w:r w:rsidR="00440B0E" w:rsidRPr="00E336A2">
        <w:rPr>
          <w:rFonts w:eastAsia="Times New Roman" w:cs="Arial"/>
          <w:color w:val="000000"/>
        </w:rPr>
        <w:t xml:space="preserve">699.)  “[T]he business transactions with nonmembers at issue in </w:t>
      </w:r>
      <w:r w:rsidR="00440B0E" w:rsidRPr="00E336A2">
        <w:rPr>
          <w:rFonts w:eastAsia="Times New Roman" w:cs="Arial"/>
          <w:i/>
          <w:iCs/>
          <w:color w:val="000000"/>
        </w:rPr>
        <w:t>Warfield</w:t>
      </w:r>
      <w:r w:rsidR="00440B0E" w:rsidRPr="00E336A2">
        <w:rPr>
          <w:rFonts w:eastAsia="Times New Roman" w:cs="Arial"/>
          <w:color w:val="000000"/>
        </w:rPr>
        <w:t xml:space="preserve"> involved the country club</w:t>
      </w:r>
      <w:r w:rsidR="002D5E2C" w:rsidRPr="00E336A2">
        <w:rPr>
          <w:rFonts w:eastAsia="Times New Roman" w:cs="Arial"/>
          <w:color w:val="000000"/>
        </w:rPr>
        <w:t>’</w:t>
      </w:r>
      <w:r w:rsidR="00440B0E" w:rsidRPr="00E336A2">
        <w:rPr>
          <w:rFonts w:eastAsia="Times New Roman" w:cs="Arial"/>
          <w:color w:val="000000"/>
        </w:rPr>
        <w:t>s practice of permitting, on a regular basis, nonmembers to use the various recreational and dining facilities of the club for a fee, a practice that generated a substantial amount of revenue for the club and provided a financial benefit to club members by permitting them to enjoy their preferred access to the club</w:t>
      </w:r>
      <w:r w:rsidR="004D553B" w:rsidRPr="00E336A2">
        <w:rPr>
          <w:rFonts w:eastAsia="Times New Roman" w:cs="Arial"/>
          <w:color w:val="000000"/>
        </w:rPr>
        <w:t>’</w:t>
      </w:r>
      <w:r w:rsidR="00440B0E" w:rsidRPr="00E336A2">
        <w:rPr>
          <w:rFonts w:eastAsia="Times New Roman" w:cs="Arial"/>
          <w:color w:val="000000"/>
        </w:rPr>
        <w:t>s facilities through the payment of lower dues and fees.</w:t>
      </w:r>
      <w:r w:rsidR="006718D5" w:rsidRPr="00E336A2">
        <w:rPr>
          <w:rFonts w:eastAsia="Times New Roman" w:cs="Arial"/>
          <w:color w:val="000000"/>
        </w:rPr>
        <w:t xml:space="preserve"> </w:t>
      </w:r>
      <w:r w:rsidR="00440B0E" w:rsidRPr="00E336A2">
        <w:rPr>
          <w:rFonts w:eastAsia="Times New Roman" w:cs="Arial"/>
          <w:color w:val="000000"/>
        </w:rPr>
        <w:t xml:space="preserve"> As</w:t>
      </w:r>
      <w:r w:rsidR="00960ABE" w:rsidRPr="00E336A2">
        <w:rPr>
          <w:rFonts w:eastAsia="Times New Roman" w:cs="Arial"/>
          <w:color w:val="000000"/>
        </w:rPr>
        <w:t xml:space="preserve"> . . . </w:t>
      </w:r>
      <w:r w:rsidR="00440B0E" w:rsidRPr="00E336A2">
        <w:rPr>
          <w:rFonts w:eastAsia="Times New Roman" w:cs="Arial"/>
          <w:color w:val="000000"/>
        </w:rPr>
        <w:t xml:space="preserve">we explained in </w:t>
      </w:r>
      <w:r w:rsidR="00440B0E" w:rsidRPr="00E336A2">
        <w:rPr>
          <w:rFonts w:eastAsia="Times New Roman" w:cs="Arial"/>
          <w:i/>
          <w:iCs/>
          <w:color w:val="000000"/>
        </w:rPr>
        <w:t xml:space="preserve">Warfield </w:t>
      </w:r>
      <w:r w:rsidR="00960ABE" w:rsidRPr="00E336A2">
        <w:rPr>
          <w:rFonts w:eastAsia="Times New Roman" w:cs="Arial"/>
          <w:i/>
          <w:iCs/>
          <w:color w:val="000000"/>
        </w:rPr>
        <w:t xml:space="preserve">. . . </w:t>
      </w:r>
      <w:r w:rsidR="005F6C88" w:rsidRPr="00E336A2">
        <w:rPr>
          <w:rFonts w:eastAsia="Times New Roman" w:cs="Arial"/>
          <w:i/>
          <w:iCs/>
          <w:color w:val="000000"/>
        </w:rPr>
        <w:t>‘</w:t>
      </w:r>
      <w:r w:rsidR="00440B0E" w:rsidRPr="00E336A2">
        <w:rPr>
          <w:rFonts w:eastAsia="Times New Roman" w:cs="Arial"/>
          <w:color w:val="000000"/>
        </w:rPr>
        <w:t>[</w:t>
      </w:r>
      <w:proofErr w:type="spellStart"/>
      <w:r w:rsidR="00440B0E" w:rsidRPr="00E336A2">
        <w:rPr>
          <w:rFonts w:eastAsia="Times New Roman" w:cs="Arial"/>
          <w:color w:val="000000"/>
        </w:rPr>
        <w:t>i</w:t>
      </w:r>
      <w:proofErr w:type="spellEnd"/>
      <w:r w:rsidR="00440B0E" w:rsidRPr="00E336A2">
        <w:rPr>
          <w:rFonts w:eastAsia="Times New Roman" w:cs="Arial"/>
          <w:color w:val="000000"/>
        </w:rPr>
        <w:t xml:space="preserve">]n carrying on such activities for a fee, the club operates as the functional equivalent of a commercial caterer or a commercial recreational resort—classic forms of </w:t>
      </w:r>
      <w:r w:rsidR="005F6C88" w:rsidRPr="00E336A2">
        <w:rPr>
          <w:rFonts w:eastAsia="Times New Roman" w:cs="Arial"/>
          <w:color w:val="000000"/>
        </w:rPr>
        <w:t>“</w:t>
      </w:r>
      <w:r w:rsidR="00440B0E" w:rsidRPr="00E336A2">
        <w:rPr>
          <w:rFonts w:eastAsia="Times New Roman" w:cs="Arial"/>
          <w:color w:val="000000"/>
        </w:rPr>
        <w:t>business establishments</w:t>
      </w:r>
      <w:r w:rsidR="005F6C88" w:rsidRPr="00E336A2">
        <w:rPr>
          <w:rFonts w:eastAsia="Times New Roman" w:cs="Arial"/>
          <w:color w:val="000000"/>
        </w:rPr>
        <w:t>”</w:t>
      </w:r>
      <w:r w:rsidR="00440B0E" w:rsidRPr="00E336A2">
        <w:rPr>
          <w:rFonts w:eastAsia="Times New Roman" w:cs="Arial"/>
          <w:color w:val="000000"/>
        </w:rPr>
        <w:t xml:space="preserve">—and, indeed, presumably competes with business entities that offer comparable services and that clearly are subject to the strictures of </w:t>
      </w:r>
      <w:r w:rsidR="00283A02">
        <w:rPr>
          <w:rFonts w:eastAsia="Times New Roman" w:cs="Arial"/>
          <w:color w:val="000000"/>
        </w:rPr>
        <w:t xml:space="preserve">[Civil Code] </w:t>
      </w:r>
      <w:r w:rsidR="00440B0E" w:rsidRPr="00E336A2">
        <w:rPr>
          <w:rFonts w:eastAsia="Times New Roman" w:cs="Arial"/>
          <w:color w:val="000000"/>
        </w:rPr>
        <w:t>section 51.</w:t>
      </w:r>
      <w:r w:rsidR="005F6C88" w:rsidRPr="00E336A2">
        <w:rPr>
          <w:rFonts w:eastAsia="Times New Roman" w:cs="Arial"/>
          <w:color w:val="000000"/>
        </w:rPr>
        <w:t xml:space="preserve">’ </w:t>
      </w:r>
      <w:r w:rsidR="00440B0E" w:rsidRPr="00E336A2">
        <w:rPr>
          <w:rFonts w:eastAsia="Times New Roman" w:cs="Arial"/>
          <w:color w:val="000000"/>
        </w:rPr>
        <w:t xml:space="preserve">” </w:t>
      </w:r>
      <w:r w:rsidR="006718D5" w:rsidRPr="00E336A2">
        <w:rPr>
          <w:rFonts w:eastAsia="Times New Roman" w:cs="Arial"/>
          <w:color w:val="000000"/>
        </w:rPr>
        <w:t xml:space="preserve"> </w:t>
      </w:r>
      <w:r w:rsidR="00440B0E" w:rsidRPr="00E336A2">
        <w:rPr>
          <w:rFonts w:eastAsia="Times New Roman" w:cs="Arial"/>
          <w:color w:val="000000"/>
        </w:rPr>
        <w:t>(</w:t>
      </w:r>
      <w:r w:rsidR="00960ABE" w:rsidRPr="00E336A2">
        <w:rPr>
          <w:rFonts w:eastAsia="Times New Roman" w:cs="Arial"/>
          <w:i/>
          <w:iCs/>
          <w:color w:val="000000"/>
        </w:rPr>
        <w:t xml:space="preserve">Curran, </w:t>
      </w:r>
      <w:r w:rsidR="00960ABE" w:rsidRPr="00E336A2">
        <w:rPr>
          <w:rFonts w:eastAsia="Times New Roman" w:cs="Arial"/>
          <w:color w:val="000000"/>
        </w:rPr>
        <w:t xml:space="preserve">at p. 699.)  </w:t>
      </w:r>
    </w:p>
    <w:p w14:paraId="4810B96B" w14:textId="77777777" w:rsidR="003160DD" w:rsidRPr="00E336A2" w:rsidRDefault="004D553B" w:rsidP="00BC42AF">
      <w:pPr>
        <w:spacing w:line="360" w:lineRule="auto"/>
        <w:rPr>
          <w:rFonts w:eastAsia="Times New Roman" w:cs="Arial"/>
          <w:color w:val="000000"/>
        </w:rPr>
      </w:pPr>
      <w:r w:rsidRPr="00E336A2">
        <w:rPr>
          <w:rFonts w:eastAsia="Times New Roman" w:cs="Arial"/>
          <w:color w:val="000000"/>
        </w:rPr>
        <w:tab/>
      </w:r>
      <w:r w:rsidR="00960ABE" w:rsidRPr="00E336A2">
        <w:rPr>
          <w:rFonts w:eastAsia="Times New Roman" w:cs="Arial"/>
          <w:color w:val="000000"/>
        </w:rPr>
        <w:t>While the “</w:t>
      </w:r>
      <w:r w:rsidR="00440B0E" w:rsidRPr="00E336A2">
        <w:rPr>
          <w:rFonts w:eastAsia="Times New Roman" w:cs="Arial"/>
          <w:color w:val="000000"/>
        </w:rPr>
        <w:t xml:space="preserve">Boy Scouts, like the country club in </w:t>
      </w:r>
      <w:r w:rsidR="00440B0E" w:rsidRPr="00E336A2">
        <w:rPr>
          <w:rFonts w:eastAsia="Times New Roman" w:cs="Arial"/>
          <w:i/>
          <w:iCs/>
          <w:color w:val="000000"/>
        </w:rPr>
        <w:t>Warfield,</w:t>
      </w:r>
      <w:r w:rsidR="00440B0E" w:rsidRPr="00E336A2">
        <w:rPr>
          <w:rFonts w:eastAsia="Times New Roman" w:cs="Arial"/>
          <w:color w:val="000000"/>
        </w:rPr>
        <w:t xml:space="preserve"> engages in business transactions with nonmembers on a regular basis (through the operation of retail shops and the licensing of the use of its insignia), the Boy Scouts</w:t>
      </w:r>
      <w:r w:rsidR="00960ABE" w:rsidRPr="00E336A2">
        <w:rPr>
          <w:rFonts w:eastAsia="Times New Roman" w:cs="Arial"/>
          <w:color w:val="000000"/>
        </w:rPr>
        <w:t>’</w:t>
      </w:r>
      <w:r w:rsidR="00440B0E" w:rsidRPr="00E336A2">
        <w:rPr>
          <w:rFonts w:eastAsia="Times New Roman" w:cs="Arial"/>
          <w:color w:val="000000"/>
        </w:rPr>
        <w:t xml:space="preserve"> business activities differ from those of the defendant in </w:t>
      </w:r>
      <w:r w:rsidR="00440B0E" w:rsidRPr="00E336A2">
        <w:rPr>
          <w:rFonts w:eastAsia="Times New Roman" w:cs="Arial"/>
          <w:i/>
          <w:iCs/>
          <w:color w:val="000000"/>
        </w:rPr>
        <w:t xml:space="preserve">Warfield </w:t>
      </w:r>
      <w:r w:rsidR="00440B0E" w:rsidRPr="00E336A2">
        <w:rPr>
          <w:rFonts w:eastAsia="Times New Roman" w:cs="Arial"/>
          <w:color w:val="000000"/>
        </w:rPr>
        <w:t xml:space="preserve">in a very significant respect. </w:t>
      </w:r>
      <w:r w:rsidR="00960ABE" w:rsidRPr="00E336A2">
        <w:rPr>
          <w:rFonts w:eastAsia="Times New Roman" w:cs="Arial"/>
          <w:color w:val="000000"/>
        </w:rPr>
        <w:t>. . . [T]</w:t>
      </w:r>
      <w:r w:rsidR="00440B0E" w:rsidRPr="00E336A2">
        <w:rPr>
          <w:rFonts w:eastAsia="Times New Roman" w:cs="Arial"/>
          <w:color w:val="000000"/>
        </w:rPr>
        <w:t xml:space="preserve">he Boy Scouts is an expressive social organization whose primary function is the inculcation of values in its youth members, and whose small social group structure and activities are not comparable to those of a traditional place of public accommodation or amusement. </w:t>
      </w:r>
      <w:r w:rsidR="002D5E2C" w:rsidRPr="00E336A2">
        <w:rPr>
          <w:rFonts w:eastAsia="Times New Roman" w:cs="Arial"/>
          <w:color w:val="000000"/>
        </w:rPr>
        <w:t xml:space="preserve"> </w:t>
      </w:r>
      <w:r w:rsidR="00440B0E" w:rsidRPr="00E336A2">
        <w:rPr>
          <w:rFonts w:eastAsia="Times New Roman" w:cs="Arial"/>
          <w:color w:val="000000"/>
        </w:rPr>
        <w:t xml:space="preserve">Unlike those involved in </w:t>
      </w:r>
      <w:r w:rsidR="00440B0E" w:rsidRPr="00E336A2">
        <w:rPr>
          <w:rFonts w:eastAsia="Times New Roman" w:cs="Arial"/>
          <w:i/>
          <w:iCs/>
          <w:color w:val="000000"/>
        </w:rPr>
        <w:t>Warfield,</w:t>
      </w:r>
      <w:r w:rsidR="00440B0E" w:rsidRPr="00E336A2">
        <w:rPr>
          <w:rFonts w:eastAsia="Times New Roman" w:cs="Arial"/>
          <w:color w:val="000000"/>
        </w:rPr>
        <w:t xml:space="preserve"> the business transactions with nonmembers engaged in by the Boy Scouts do </w:t>
      </w:r>
      <w:r w:rsidR="00440B0E" w:rsidRPr="00E336A2">
        <w:rPr>
          <w:rFonts w:eastAsia="Times New Roman" w:cs="Arial"/>
          <w:i/>
          <w:iCs/>
          <w:color w:val="000000"/>
        </w:rPr>
        <w:t>not</w:t>
      </w:r>
      <w:r w:rsidR="00440B0E" w:rsidRPr="00E336A2">
        <w:rPr>
          <w:rFonts w:eastAsia="Times New Roman" w:cs="Arial"/>
          <w:color w:val="000000"/>
        </w:rPr>
        <w:t xml:space="preserve"> involve the sale of access to the basic activities or services offered by the organization.”  (</w:t>
      </w:r>
      <w:r w:rsidR="006718D5" w:rsidRPr="00E336A2">
        <w:rPr>
          <w:rFonts w:eastAsia="Times New Roman" w:cs="Arial"/>
          <w:i/>
          <w:iCs/>
          <w:color w:val="000000"/>
        </w:rPr>
        <w:t xml:space="preserve">Curran, supra, </w:t>
      </w:r>
      <w:r w:rsidR="006718D5" w:rsidRPr="00E336A2">
        <w:rPr>
          <w:rFonts w:eastAsia="Times New Roman" w:cs="Arial"/>
          <w:color w:val="000000"/>
        </w:rPr>
        <w:t xml:space="preserve">17 Cal.4th </w:t>
      </w:r>
      <w:r w:rsidR="00440B0E" w:rsidRPr="00E336A2">
        <w:rPr>
          <w:rFonts w:eastAsia="Times New Roman" w:cs="Arial"/>
          <w:color w:val="000000"/>
        </w:rPr>
        <w:t>at pp. 699</w:t>
      </w:r>
      <w:r w:rsidR="009F2706" w:rsidRPr="00E336A2">
        <w:rPr>
          <w:rFonts w:eastAsia="Times New Roman" w:cs="Arial"/>
          <w:color w:val="000000"/>
        </w:rPr>
        <w:t>–</w:t>
      </w:r>
      <w:r w:rsidR="00440B0E" w:rsidRPr="00E336A2">
        <w:rPr>
          <w:rFonts w:eastAsia="Times New Roman" w:cs="Arial"/>
          <w:color w:val="000000"/>
        </w:rPr>
        <w:t>700</w:t>
      </w:r>
      <w:r w:rsidR="005F6C88" w:rsidRPr="00E336A2">
        <w:rPr>
          <w:rFonts w:eastAsia="Times New Roman" w:cs="Arial"/>
          <w:color w:val="000000"/>
        </w:rPr>
        <w:t xml:space="preserve">.)  </w:t>
      </w:r>
      <w:r w:rsidR="00960ABE" w:rsidRPr="00E336A2">
        <w:rPr>
          <w:rFonts w:eastAsia="Times New Roman" w:cs="Arial"/>
          <w:color w:val="000000"/>
        </w:rPr>
        <w:t xml:space="preserve">The </w:t>
      </w:r>
      <w:r w:rsidR="005F6C88" w:rsidRPr="00E336A2">
        <w:rPr>
          <w:rFonts w:eastAsia="Times New Roman" w:cs="Arial"/>
          <w:color w:val="000000"/>
        </w:rPr>
        <w:t xml:space="preserve">Boy </w:t>
      </w:r>
      <w:r w:rsidR="00960ABE" w:rsidRPr="00E336A2">
        <w:rPr>
          <w:rFonts w:eastAsia="Times New Roman" w:cs="Arial"/>
          <w:color w:val="000000"/>
        </w:rPr>
        <w:t>Scout’s “</w:t>
      </w:r>
      <w:r w:rsidR="003160DD" w:rsidRPr="00E336A2">
        <w:rPr>
          <w:rFonts w:eastAsia="Times New Roman" w:cs="Arial"/>
          <w:color w:val="000000"/>
        </w:rPr>
        <w:t>business transactions are distinct from</w:t>
      </w:r>
      <w:r w:rsidR="00960ABE" w:rsidRPr="00E336A2">
        <w:rPr>
          <w:rFonts w:eastAsia="Times New Roman" w:cs="Arial"/>
          <w:color w:val="000000"/>
        </w:rPr>
        <w:t>” its “</w:t>
      </w:r>
      <w:r w:rsidR="003160DD" w:rsidRPr="00E336A2">
        <w:rPr>
          <w:rFonts w:eastAsia="Times New Roman" w:cs="Arial"/>
          <w:color w:val="000000"/>
        </w:rPr>
        <w:t xml:space="preserve">core functions and do not demonstrate </w:t>
      </w:r>
      <w:r w:rsidR="003160DD" w:rsidRPr="00E336A2">
        <w:rPr>
          <w:rFonts w:eastAsia="Times New Roman" w:cs="Arial"/>
          <w:color w:val="000000"/>
        </w:rPr>
        <w:lastRenderedPageBreak/>
        <w:t>that the organization has become a commercial purveyor of the primary incidents and benefits of membership in the organization.”  (</w:t>
      </w:r>
      <w:r w:rsidR="005F6C88" w:rsidRPr="00E336A2">
        <w:rPr>
          <w:rFonts w:eastAsia="Times New Roman" w:cs="Arial"/>
          <w:i/>
          <w:iCs/>
          <w:color w:val="000000"/>
        </w:rPr>
        <w:t>Id.</w:t>
      </w:r>
      <w:r w:rsidR="003160DD" w:rsidRPr="00E336A2">
        <w:rPr>
          <w:rFonts w:eastAsia="Times New Roman" w:cs="Arial"/>
          <w:i/>
          <w:iCs/>
          <w:color w:val="000000"/>
        </w:rPr>
        <w:t xml:space="preserve"> </w:t>
      </w:r>
      <w:r w:rsidR="003160DD" w:rsidRPr="00E336A2">
        <w:rPr>
          <w:rFonts w:eastAsia="Times New Roman" w:cs="Arial"/>
          <w:color w:val="000000"/>
        </w:rPr>
        <w:t>at p.</w:t>
      </w:r>
      <w:r w:rsidR="006718D5" w:rsidRPr="00E336A2">
        <w:rPr>
          <w:rFonts w:eastAsia="Times New Roman" w:cs="Arial"/>
          <w:color w:val="000000"/>
        </w:rPr>
        <w:t> </w:t>
      </w:r>
      <w:r w:rsidR="003160DD" w:rsidRPr="00E336A2">
        <w:rPr>
          <w:rFonts w:eastAsia="Times New Roman" w:cs="Arial"/>
          <w:color w:val="000000"/>
        </w:rPr>
        <w:t>700.)</w:t>
      </w:r>
    </w:p>
    <w:p w14:paraId="44A62A5E" w14:textId="77777777" w:rsidR="0028792D" w:rsidRPr="00E336A2" w:rsidRDefault="00954644" w:rsidP="00BC42AF">
      <w:pPr>
        <w:spacing w:line="360" w:lineRule="auto"/>
        <w:rPr>
          <w:rFonts w:eastAsia="Times New Roman" w:cs="Arial"/>
          <w:color w:val="000000"/>
        </w:rPr>
      </w:pPr>
      <w:r w:rsidRPr="00E336A2">
        <w:rPr>
          <w:rFonts w:eastAsia="Times New Roman" w:cs="Arial"/>
          <w:color w:val="000000"/>
        </w:rPr>
        <w:tab/>
      </w:r>
      <w:r w:rsidR="002C0736" w:rsidRPr="00E336A2">
        <w:rPr>
          <w:rFonts w:eastAsia="Times New Roman" w:cs="Arial"/>
          <w:color w:val="000000"/>
        </w:rPr>
        <w:t xml:space="preserve">In </w:t>
      </w:r>
      <w:r w:rsidRPr="00E336A2">
        <w:rPr>
          <w:rFonts w:eastAsia="Times New Roman" w:cs="Arial"/>
          <w:i/>
          <w:iCs/>
          <w:color w:val="000000"/>
        </w:rPr>
        <w:t>Randall</w:t>
      </w:r>
      <w:r w:rsidRPr="00E336A2">
        <w:rPr>
          <w:rFonts w:eastAsia="Times New Roman" w:cs="Arial"/>
          <w:color w:val="000000"/>
        </w:rPr>
        <w:t xml:space="preserve">, the </w:t>
      </w:r>
      <w:r w:rsidR="002C0736" w:rsidRPr="00E336A2">
        <w:rPr>
          <w:rFonts w:eastAsia="Times New Roman" w:cs="Arial"/>
          <w:color w:val="000000"/>
        </w:rPr>
        <w:t xml:space="preserve">court reached the same conclusion it had in </w:t>
      </w:r>
      <w:r w:rsidR="002C0736" w:rsidRPr="00E336A2">
        <w:rPr>
          <w:rFonts w:eastAsia="Times New Roman" w:cs="Arial"/>
          <w:i/>
          <w:iCs/>
          <w:color w:val="000000"/>
        </w:rPr>
        <w:t xml:space="preserve">Curran, </w:t>
      </w:r>
      <w:r w:rsidR="00454F4E" w:rsidRPr="00E336A2">
        <w:rPr>
          <w:rFonts w:eastAsia="Times New Roman" w:cs="Arial"/>
          <w:color w:val="000000"/>
        </w:rPr>
        <w:t>stat</w:t>
      </w:r>
      <w:r w:rsidR="002C0736" w:rsidRPr="00E336A2">
        <w:rPr>
          <w:rFonts w:eastAsia="Times New Roman" w:cs="Arial"/>
          <w:color w:val="000000"/>
        </w:rPr>
        <w:t>ing</w:t>
      </w:r>
      <w:r w:rsidR="00454F4E" w:rsidRPr="00E336A2">
        <w:rPr>
          <w:rFonts w:eastAsia="Times New Roman" w:cs="Arial"/>
          <w:color w:val="000000"/>
        </w:rPr>
        <w:t xml:space="preserve">: </w:t>
      </w:r>
      <w:r w:rsidR="006718D5" w:rsidRPr="00E336A2">
        <w:rPr>
          <w:rFonts w:eastAsia="Times New Roman" w:cs="Arial"/>
          <w:color w:val="000000"/>
        </w:rPr>
        <w:t xml:space="preserve"> </w:t>
      </w:r>
      <w:r w:rsidR="00454F4E" w:rsidRPr="00E336A2">
        <w:rPr>
          <w:rFonts w:eastAsia="Times New Roman" w:cs="Arial"/>
          <w:color w:val="000000"/>
        </w:rPr>
        <w:t>“[W] e conclude that defendant</w:t>
      </w:r>
      <w:r w:rsidR="004D553B" w:rsidRPr="00E336A2">
        <w:rPr>
          <w:rFonts w:eastAsia="Times New Roman" w:cs="Arial"/>
          <w:color w:val="000000"/>
        </w:rPr>
        <w:t>’</w:t>
      </w:r>
      <w:r w:rsidR="00454F4E" w:rsidRPr="00E336A2">
        <w:rPr>
          <w:rFonts w:eastAsia="Times New Roman" w:cs="Arial"/>
          <w:color w:val="000000"/>
        </w:rPr>
        <w:t>s attributes and activities render the Unruh Civil Rights Act inapplicable to its membership decisions.</w:t>
      </w:r>
      <w:r w:rsidR="002D5E2C" w:rsidRPr="00E336A2">
        <w:rPr>
          <w:rFonts w:eastAsia="Times New Roman" w:cs="Arial"/>
          <w:color w:val="000000"/>
        </w:rPr>
        <w:t xml:space="preserve"> </w:t>
      </w:r>
      <w:r w:rsidR="00454F4E" w:rsidRPr="00E336A2">
        <w:rPr>
          <w:rFonts w:eastAsia="Times New Roman" w:cs="Arial"/>
          <w:color w:val="000000"/>
        </w:rPr>
        <w:t xml:space="preserve"> Defendant not only is a charitable organization with a predominantly expressive social purpose unrelated to the promotion of the economic interests of its members, but offers to its members a program that is not the equivalent of a traditional place of public accommodation or amusement. </w:t>
      </w:r>
      <w:r w:rsidR="006718D5" w:rsidRPr="00E336A2">
        <w:rPr>
          <w:rFonts w:eastAsia="Times New Roman" w:cs="Arial"/>
          <w:color w:val="000000"/>
        </w:rPr>
        <w:t xml:space="preserve"> </w:t>
      </w:r>
      <w:r w:rsidR="00454F4E" w:rsidRPr="00E336A2">
        <w:rPr>
          <w:rFonts w:eastAsia="Times New Roman" w:cs="Arial"/>
          <w:color w:val="000000"/>
        </w:rPr>
        <w:t>Despite the organization</w:t>
      </w:r>
      <w:r w:rsidR="004D553B" w:rsidRPr="00E336A2">
        <w:rPr>
          <w:rFonts w:eastAsia="Times New Roman" w:cs="Arial"/>
          <w:color w:val="000000"/>
        </w:rPr>
        <w:t>’</w:t>
      </w:r>
      <w:r w:rsidR="00454F4E" w:rsidRPr="00E336A2">
        <w:rPr>
          <w:rFonts w:eastAsia="Times New Roman" w:cs="Arial"/>
          <w:color w:val="000000"/>
        </w:rPr>
        <w:t xml:space="preserve">s limited business transactions with the public, defendant does not sell the right to participate in the activities it offers to its members. </w:t>
      </w:r>
      <w:r w:rsidR="002D5E2C" w:rsidRPr="00E336A2">
        <w:rPr>
          <w:rFonts w:eastAsia="Times New Roman" w:cs="Arial"/>
          <w:color w:val="000000"/>
        </w:rPr>
        <w:t xml:space="preserve"> </w:t>
      </w:r>
      <w:r w:rsidR="00454F4E" w:rsidRPr="00E336A2">
        <w:rPr>
          <w:rFonts w:eastAsia="Times New Roman" w:cs="Arial"/>
          <w:color w:val="000000"/>
        </w:rPr>
        <w:t xml:space="preserve">For these reasons, </w:t>
      </w:r>
      <w:proofErr w:type="gramStart"/>
      <w:r w:rsidR="00454F4E" w:rsidRPr="00E336A2">
        <w:rPr>
          <w:rFonts w:eastAsia="Times New Roman" w:cs="Arial"/>
          <w:color w:val="000000"/>
        </w:rPr>
        <w:t>with regard to</w:t>
      </w:r>
      <w:proofErr w:type="gramEnd"/>
      <w:r w:rsidR="00454F4E" w:rsidRPr="00E336A2">
        <w:rPr>
          <w:rFonts w:eastAsia="Times New Roman" w:cs="Arial"/>
          <w:color w:val="000000"/>
        </w:rPr>
        <w:t xml:space="preserve"> its membership decisions, defendant is not operating as a business establishment within the purview of California</w:t>
      </w:r>
      <w:r w:rsidR="00F61E86" w:rsidRPr="00E336A2">
        <w:rPr>
          <w:rFonts w:eastAsia="Times New Roman" w:cs="Arial"/>
          <w:color w:val="000000"/>
        </w:rPr>
        <w:t>’</w:t>
      </w:r>
      <w:r w:rsidR="00454F4E" w:rsidRPr="00E336A2">
        <w:rPr>
          <w:rFonts w:eastAsia="Times New Roman" w:cs="Arial"/>
          <w:color w:val="000000"/>
        </w:rPr>
        <w:t>s public accommodation statute.</w:t>
      </w:r>
      <w:r w:rsidR="006718D5" w:rsidRPr="00E336A2">
        <w:rPr>
          <w:rFonts w:eastAsia="Times New Roman" w:cs="Arial"/>
          <w:color w:val="000000"/>
        </w:rPr>
        <w:t>”</w:t>
      </w:r>
      <w:r w:rsidR="00454F4E" w:rsidRPr="00E336A2">
        <w:rPr>
          <w:rFonts w:eastAsia="Times New Roman" w:cs="Arial"/>
          <w:color w:val="000000"/>
        </w:rPr>
        <w:t xml:space="preserve">  (</w:t>
      </w:r>
      <w:r w:rsidR="00454F4E" w:rsidRPr="00E336A2">
        <w:rPr>
          <w:rFonts w:eastAsia="Times New Roman" w:cs="Arial"/>
          <w:i/>
          <w:iCs/>
          <w:color w:val="000000"/>
        </w:rPr>
        <w:t xml:space="preserve">Randall, supra, </w:t>
      </w:r>
      <w:r w:rsidR="00454F4E" w:rsidRPr="00E336A2">
        <w:rPr>
          <w:rFonts w:eastAsia="Times New Roman" w:cs="Arial"/>
          <w:color w:val="000000"/>
        </w:rPr>
        <w:t>17 Cal.4th at p. 744.)</w:t>
      </w:r>
    </w:p>
    <w:p w14:paraId="35B43296" w14:textId="77777777" w:rsidR="00ED6010" w:rsidRPr="00E336A2" w:rsidRDefault="002C0736" w:rsidP="00FE520A">
      <w:pPr>
        <w:spacing w:line="360" w:lineRule="auto"/>
        <w:rPr>
          <w:rFonts w:eastAsia="Times New Roman" w:cs="Arial"/>
          <w:color w:val="000000"/>
        </w:rPr>
      </w:pPr>
      <w:r w:rsidRPr="00E336A2">
        <w:rPr>
          <w:rFonts w:eastAsia="Times New Roman" w:cs="Arial"/>
          <w:color w:val="000000"/>
        </w:rPr>
        <w:tab/>
      </w:r>
      <w:r w:rsidR="00DE65AF" w:rsidRPr="00E336A2">
        <w:rPr>
          <w:rFonts w:eastAsia="Times New Roman" w:cs="Arial"/>
          <w:color w:val="000000"/>
        </w:rPr>
        <w:t>What do we discern from these cases</w:t>
      </w:r>
      <w:r w:rsidR="00ED6010" w:rsidRPr="00E336A2">
        <w:rPr>
          <w:rFonts w:eastAsia="Times New Roman" w:cs="Arial"/>
          <w:color w:val="000000"/>
        </w:rPr>
        <w:t xml:space="preserve"> that is of particular </w:t>
      </w:r>
      <w:r w:rsidR="00AF4CAC" w:rsidRPr="00E336A2">
        <w:rPr>
          <w:rFonts w:eastAsia="Times New Roman" w:cs="Arial"/>
          <w:color w:val="000000"/>
        </w:rPr>
        <w:t xml:space="preserve">significance </w:t>
      </w:r>
      <w:r w:rsidR="00ED6010" w:rsidRPr="00E336A2">
        <w:rPr>
          <w:rFonts w:eastAsia="Times New Roman" w:cs="Arial"/>
          <w:color w:val="000000"/>
        </w:rPr>
        <w:t>to the issues before us</w:t>
      </w:r>
      <w:r w:rsidR="00DE65AF" w:rsidRPr="00E336A2">
        <w:rPr>
          <w:rFonts w:eastAsia="Times New Roman" w:cs="Arial"/>
          <w:color w:val="000000"/>
        </w:rPr>
        <w:t xml:space="preserve">?  </w:t>
      </w:r>
    </w:p>
    <w:p w14:paraId="5D05878C" w14:textId="77777777" w:rsidR="00ED6010" w:rsidRPr="00E336A2" w:rsidRDefault="00ED6010" w:rsidP="00FE520A">
      <w:pPr>
        <w:spacing w:line="360" w:lineRule="auto"/>
        <w:rPr>
          <w:rFonts w:eastAsia="Times New Roman" w:cs="Arial"/>
          <w:color w:val="000000"/>
        </w:rPr>
      </w:pPr>
      <w:r w:rsidRPr="00E336A2">
        <w:rPr>
          <w:rFonts w:eastAsia="Times New Roman" w:cs="Arial"/>
          <w:color w:val="000000"/>
        </w:rPr>
        <w:tab/>
      </w:r>
      <w:r w:rsidR="00DE65AF" w:rsidRPr="00E336A2">
        <w:rPr>
          <w:rFonts w:eastAsia="Times New Roman" w:cs="Arial"/>
          <w:color w:val="000000"/>
        </w:rPr>
        <w:t>First, w</w:t>
      </w:r>
      <w:r w:rsidR="00D011C0" w:rsidRPr="00E336A2">
        <w:rPr>
          <w:rFonts w:eastAsia="Times New Roman" w:cs="Arial"/>
          <w:color w:val="000000"/>
        </w:rPr>
        <w:t>hile our</w:t>
      </w:r>
      <w:r w:rsidR="0028792D" w:rsidRPr="00E336A2">
        <w:rPr>
          <w:rFonts w:eastAsia="Times New Roman" w:cs="Arial"/>
          <w:color w:val="000000"/>
        </w:rPr>
        <w:t xml:space="preserve"> </w:t>
      </w:r>
      <w:r w:rsidR="00DE65AF" w:rsidRPr="00E336A2">
        <w:rPr>
          <w:rFonts w:eastAsia="Times New Roman" w:cs="Arial"/>
          <w:color w:val="000000"/>
        </w:rPr>
        <w:t>high c</w:t>
      </w:r>
      <w:r w:rsidR="0028792D" w:rsidRPr="00E336A2">
        <w:rPr>
          <w:rFonts w:eastAsia="Times New Roman" w:cs="Arial"/>
          <w:color w:val="000000"/>
        </w:rPr>
        <w:t>ourt has never consider</w:t>
      </w:r>
      <w:r w:rsidR="008A0FBC" w:rsidRPr="00E336A2">
        <w:rPr>
          <w:rFonts w:eastAsia="Times New Roman" w:cs="Arial"/>
          <w:color w:val="000000"/>
        </w:rPr>
        <w:t>ed</w:t>
      </w:r>
      <w:r w:rsidR="0028792D" w:rsidRPr="00E336A2">
        <w:rPr>
          <w:rFonts w:eastAsia="Times New Roman" w:cs="Arial"/>
          <w:color w:val="000000"/>
        </w:rPr>
        <w:t xml:space="preserve"> whether a</w:t>
      </w:r>
      <w:r w:rsidR="00D011C0" w:rsidRPr="00E336A2">
        <w:rPr>
          <w:rFonts w:eastAsia="Times New Roman" w:cs="Arial"/>
          <w:color w:val="000000"/>
        </w:rPr>
        <w:t xml:space="preserve"> </w:t>
      </w:r>
      <w:r w:rsidR="005B4AE7" w:rsidRPr="00E336A2">
        <w:rPr>
          <w:rFonts w:eastAsia="Times New Roman" w:cs="Arial"/>
          <w:color w:val="000000"/>
        </w:rPr>
        <w:t xml:space="preserve">state entity </w:t>
      </w:r>
      <w:r w:rsidR="00D011C0" w:rsidRPr="00E336A2">
        <w:rPr>
          <w:rFonts w:eastAsia="Times New Roman" w:cs="Arial"/>
          <w:color w:val="000000"/>
        </w:rPr>
        <w:t>fulfilling a</w:t>
      </w:r>
      <w:r w:rsidR="00AB4D62" w:rsidRPr="00E336A2">
        <w:rPr>
          <w:rFonts w:eastAsia="Times New Roman" w:cs="Arial"/>
          <w:color w:val="000000"/>
        </w:rPr>
        <w:t xml:space="preserve"> </w:t>
      </w:r>
      <w:r w:rsidR="005B4AE7" w:rsidRPr="00E336A2">
        <w:rPr>
          <w:rFonts w:eastAsia="Times New Roman" w:cs="Arial"/>
          <w:color w:val="000000"/>
        </w:rPr>
        <w:t xml:space="preserve">state </w:t>
      </w:r>
      <w:r w:rsidR="00AB4D62" w:rsidRPr="00E336A2">
        <w:rPr>
          <w:rFonts w:eastAsia="Times New Roman" w:cs="Arial"/>
          <w:color w:val="000000"/>
        </w:rPr>
        <w:t>constitutional mandate</w:t>
      </w:r>
      <w:r w:rsidR="005B4AE7" w:rsidRPr="00E336A2">
        <w:rPr>
          <w:rFonts w:eastAsia="Times New Roman" w:cs="Arial"/>
          <w:color w:val="000000"/>
        </w:rPr>
        <w:t xml:space="preserve"> </w:t>
      </w:r>
      <w:r w:rsidR="0028792D" w:rsidRPr="00E336A2">
        <w:rPr>
          <w:rFonts w:eastAsia="Times New Roman" w:cs="Arial"/>
          <w:color w:val="000000"/>
        </w:rPr>
        <w:t>is a business establishment for purposes of the Unruh Act</w:t>
      </w:r>
      <w:r w:rsidR="00D011C0" w:rsidRPr="00E336A2">
        <w:rPr>
          <w:rFonts w:eastAsia="Times New Roman" w:cs="Arial"/>
          <w:color w:val="000000"/>
        </w:rPr>
        <w:t xml:space="preserve">, the court has, in deciding whether </w:t>
      </w:r>
      <w:r w:rsidR="00DE65AF" w:rsidRPr="00E336A2">
        <w:rPr>
          <w:rFonts w:eastAsia="Times New Roman" w:cs="Arial"/>
          <w:color w:val="000000"/>
        </w:rPr>
        <w:t xml:space="preserve">private </w:t>
      </w:r>
      <w:r w:rsidRPr="00E336A2">
        <w:rPr>
          <w:rFonts w:eastAsia="Times New Roman" w:cs="Arial"/>
          <w:color w:val="000000"/>
        </w:rPr>
        <w:t xml:space="preserve">entities </w:t>
      </w:r>
      <w:r w:rsidR="008A0FBC" w:rsidRPr="00E336A2">
        <w:rPr>
          <w:rFonts w:eastAsia="Times New Roman" w:cs="Arial"/>
          <w:color w:val="000000"/>
        </w:rPr>
        <w:t xml:space="preserve">are such, </w:t>
      </w:r>
      <w:r w:rsidR="00D011C0" w:rsidRPr="00E336A2">
        <w:rPr>
          <w:rFonts w:eastAsia="Times New Roman" w:cs="Arial"/>
          <w:color w:val="000000"/>
        </w:rPr>
        <w:t xml:space="preserve">considered </w:t>
      </w:r>
      <w:r w:rsidR="00AB4D62" w:rsidRPr="00E336A2">
        <w:rPr>
          <w:rFonts w:eastAsia="Times New Roman" w:cs="Arial"/>
          <w:color w:val="000000"/>
        </w:rPr>
        <w:t xml:space="preserve">both </w:t>
      </w:r>
      <w:r w:rsidR="00D011C0" w:rsidRPr="00E336A2">
        <w:rPr>
          <w:rFonts w:eastAsia="Times New Roman" w:cs="Arial"/>
          <w:color w:val="000000"/>
        </w:rPr>
        <w:t xml:space="preserve">the historical </w:t>
      </w:r>
      <w:r w:rsidR="00E615C9" w:rsidRPr="00E336A2">
        <w:rPr>
          <w:rFonts w:eastAsia="Times New Roman" w:cs="Arial"/>
          <w:color w:val="000000"/>
        </w:rPr>
        <w:t xml:space="preserve">genesis </w:t>
      </w:r>
      <w:r w:rsidR="00D011C0" w:rsidRPr="00E336A2">
        <w:rPr>
          <w:rFonts w:eastAsia="Times New Roman" w:cs="Arial"/>
          <w:color w:val="000000"/>
        </w:rPr>
        <w:t xml:space="preserve">of </w:t>
      </w:r>
      <w:r w:rsidR="004E5AE5" w:rsidRPr="00E336A2">
        <w:rPr>
          <w:rFonts w:eastAsia="Times New Roman" w:cs="Arial"/>
          <w:color w:val="000000"/>
        </w:rPr>
        <w:t>our</w:t>
      </w:r>
      <w:r w:rsidR="00D011C0" w:rsidRPr="00E336A2">
        <w:rPr>
          <w:rFonts w:eastAsia="Times New Roman" w:cs="Arial"/>
          <w:color w:val="000000"/>
        </w:rPr>
        <w:t xml:space="preserve"> public accommodation laws</w:t>
      </w:r>
      <w:r w:rsidR="00AB4D62" w:rsidRPr="00E336A2">
        <w:rPr>
          <w:rFonts w:eastAsia="Times New Roman" w:cs="Arial"/>
          <w:color w:val="000000"/>
        </w:rPr>
        <w:t xml:space="preserve"> and t</w:t>
      </w:r>
      <w:r w:rsidR="00D011C0" w:rsidRPr="00E336A2">
        <w:rPr>
          <w:rFonts w:eastAsia="Times New Roman" w:cs="Arial"/>
          <w:color w:val="000000"/>
        </w:rPr>
        <w:t>he legislative history of the Act</w:t>
      </w:r>
      <w:r w:rsidR="00AB4D62" w:rsidRPr="00E336A2">
        <w:rPr>
          <w:rFonts w:eastAsia="Times New Roman" w:cs="Arial"/>
          <w:color w:val="000000"/>
        </w:rPr>
        <w:t xml:space="preserve">.  </w:t>
      </w:r>
      <w:r w:rsidR="00DE65AF" w:rsidRPr="00E336A2">
        <w:rPr>
          <w:rFonts w:eastAsia="Times New Roman" w:cs="Arial"/>
          <w:color w:val="000000"/>
        </w:rPr>
        <w:t>As we have discussed, th</w:t>
      </w:r>
      <w:r w:rsidRPr="00E336A2">
        <w:rPr>
          <w:rFonts w:eastAsia="Times New Roman" w:cs="Arial"/>
          <w:color w:val="000000"/>
        </w:rPr>
        <w:t xml:space="preserve">ese areas of inquiry </w:t>
      </w:r>
      <w:r w:rsidR="00DE65AF" w:rsidRPr="00E336A2">
        <w:rPr>
          <w:rFonts w:eastAsia="Times New Roman" w:cs="Arial"/>
          <w:color w:val="000000"/>
        </w:rPr>
        <w:t xml:space="preserve">indicate </w:t>
      </w:r>
      <w:r w:rsidR="004E5AE5" w:rsidRPr="00E336A2">
        <w:rPr>
          <w:rFonts w:eastAsia="Times New Roman" w:cs="Arial"/>
          <w:color w:val="000000"/>
        </w:rPr>
        <w:t>our</w:t>
      </w:r>
      <w:r w:rsidR="00DE65AF" w:rsidRPr="00E336A2">
        <w:rPr>
          <w:rFonts w:eastAsia="Times New Roman" w:cs="Arial"/>
          <w:color w:val="000000"/>
        </w:rPr>
        <w:t xml:space="preserve"> public accommodation laws, including </w:t>
      </w:r>
      <w:r w:rsidR="00D27385" w:rsidRPr="00E336A2">
        <w:rPr>
          <w:rFonts w:eastAsia="Times New Roman" w:cs="Arial"/>
          <w:color w:val="000000"/>
        </w:rPr>
        <w:t xml:space="preserve">in its most recent form, </w:t>
      </w:r>
      <w:r w:rsidR="00DE65AF" w:rsidRPr="00E336A2">
        <w:rPr>
          <w:rFonts w:eastAsia="Times New Roman" w:cs="Arial"/>
          <w:color w:val="000000"/>
        </w:rPr>
        <w:t xml:space="preserve">have been, and remain, directed </w:t>
      </w:r>
      <w:r w:rsidR="00BE3B06" w:rsidRPr="00E336A2">
        <w:rPr>
          <w:rFonts w:eastAsia="Times New Roman" w:cs="Arial"/>
          <w:color w:val="000000"/>
        </w:rPr>
        <w:t>at</w:t>
      </w:r>
      <w:r w:rsidR="00DE65AF" w:rsidRPr="00E336A2">
        <w:rPr>
          <w:rFonts w:eastAsia="Times New Roman" w:cs="Arial"/>
          <w:color w:val="000000"/>
        </w:rPr>
        <w:t xml:space="preserve"> private, rather than </w:t>
      </w:r>
      <w:r w:rsidR="004E5AE5" w:rsidRPr="00E336A2">
        <w:rPr>
          <w:rFonts w:eastAsia="Times New Roman" w:cs="Arial"/>
          <w:color w:val="000000"/>
        </w:rPr>
        <w:t>state</w:t>
      </w:r>
      <w:r w:rsidR="00DE65AF" w:rsidRPr="00E336A2">
        <w:rPr>
          <w:rFonts w:eastAsia="Times New Roman" w:cs="Arial"/>
          <w:color w:val="000000"/>
        </w:rPr>
        <w:t xml:space="preserve">, </w:t>
      </w:r>
      <w:r w:rsidR="00BE3B06" w:rsidRPr="00E336A2">
        <w:rPr>
          <w:rFonts w:eastAsia="Times New Roman" w:cs="Arial"/>
          <w:color w:val="000000"/>
        </w:rPr>
        <w:t xml:space="preserve">conduct.  </w:t>
      </w:r>
    </w:p>
    <w:p w14:paraId="382DE4A5" w14:textId="77777777" w:rsidR="0011505A" w:rsidRPr="00E336A2" w:rsidRDefault="00ED6010" w:rsidP="00FE520A">
      <w:pPr>
        <w:spacing w:line="360" w:lineRule="auto"/>
      </w:pPr>
      <w:r w:rsidRPr="00E336A2">
        <w:rPr>
          <w:rFonts w:eastAsia="Times New Roman" w:cs="Arial"/>
          <w:color w:val="000000"/>
        </w:rPr>
        <w:tab/>
      </w:r>
      <w:r w:rsidR="00BE3B06" w:rsidRPr="00E336A2">
        <w:rPr>
          <w:rFonts w:eastAsia="Times New Roman" w:cs="Arial"/>
          <w:color w:val="000000"/>
        </w:rPr>
        <w:t xml:space="preserve">Nothing in the </w:t>
      </w:r>
      <w:r w:rsidR="00E615C9" w:rsidRPr="00E336A2">
        <w:rPr>
          <w:rFonts w:eastAsia="Times New Roman" w:cs="Arial"/>
          <w:color w:val="000000"/>
        </w:rPr>
        <w:t xml:space="preserve">high </w:t>
      </w:r>
      <w:r w:rsidR="00BE3B06" w:rsidRPr="00E336A2">
        <w:rPr>
          <w:rFonts w:eastAsia="Times New Roman" w:cs="Arial"/>
          <w:color w:val="000000"/>
        </w:rPr>
        <w:t xml:space="preserve">court’s decisions suggests otherwise, and, in fact, the court’s commentary about the </w:t>
      </w:r>
      <w:r w:rsidR="00D27385" w:rsidRPr="00E336A2">
        <w:rPr>
          <w:rFonts w:eastAsia="Times New Roman" w:cs="Arial"/>
          <w:color w:val="000000"/>
        </w:rPr>
        <w:t xml:space="preserve">Unruh </w:t>
      </w:r>
      <w:r w:rsidR="00BE3B06" w:rsidRPr="00E336A2">
        <w:rPr>
          <w:rFonts w:eastAsia="Times New Roman" w:cs="Arial"/>
          <w:color w:val="000000"/>
        </w:rPr>
        <w:t xml:space="preserve">Act echoes what </w:t>
      </w:r>
      <w:r w:rsidR="004E5AE5" w:rsidRPr="00E336A2">
        <w:rPr>
          <w:rFonts w:eastAsia="Times New Roman" w:cs="Arial"/>
          <w:color w:val="000000"/>
        </w:rPr>
        <w:t>seems</w:t>
      </w:r>
      <w:r w:rsidR="00BE3B06" w:rsidRPr="00E336A2">
        <w:rPr>
          <w:rFonts w:eastAsia="Times New Roman" w:cs="Arial"/>
          <w:color w:val="000000"/>
        </w:rPr>
        <w:t xml:space="preserve"> apparent from its history.</w:t>
      </w:r>
      <w:r w:rsidRPr="00E336A2">
        <w:rPr>
          <w:rFonts w:eastAsia="Times New Roman" w:cs="Arial"/>
          <w:color w:val="000000"/>
        </w:rPr>
        <w:t xml:space="preserve">  In </w:t>
      </w:r>
      <w:r w:rsidRPr="00E336A2">
        <w:rPr>
          <w:rFonts w:eastAsia="Times New Roman" w:cs="Arial"/>
          <w:i/>
          <w:iCs/>
          <w:color w:val="000000"/>
        </w:rPr>
        <w:t xml:space="preserve">Burks, </w:t>
      </w:r>
      <w:r w:rsidR="00CD5DBA" w:rsidRPr="00E336A2">
        <w:rPr>
          <w:rFonts w:eastAsia="Times New Roman" w:cs="Arial"/>
          <w:color w:val="000000"/>
        </w:rPr>
        <w:t xml:space="preserve">after concluding the private construction company </w:t>
      </w:r>
      <w:r w:rsidR="00CD5DBA" w:rsidRPr="00E336A2">
        <w:rPr>
          <w:rFonts w:eastAsia="Times New Roman" w:cs="Arial"/>
          <w:color w:val="000000"/>
        </w:rPr>
        <w:lastRenderedPageBreak/>
        <w:t xml:space="preserve">was a business establishment, </w:t>
      </w:r>
      <w:r w:rsidRPr="00E336A2">
        <w:rPr>
          <w:rFonts w:eastAsia="Times New Roman" w:cs="Arial"/>
          <w:color w:val="000000"/>
        </w:rPr>
        <w:t xml:space="preserve">the court </w:t>
      </w:r>
      <w:r w:rsidR="00CD5DBA" w:rsidRPr="00E336A2">
        <w:rPr>
          <w:rFonts w:eastAsia="Times New Roman" w:cs="Arial"/>
          <w:color w:val="000000"/>
        </w:rPr>
        <w:t>went on to uphol</w:t>
      </w:r>
      <w:r w:rsidRPr="00E336A2">
        <w:rPr>
          <w:rFonts w:eastAsia="Times New Roman" w:cs="Arial"/>
          <w:color w:val="000000"/>
        </w:rPr>
        <w:t>d the Act against a due process challenge on the ground the state could, through its polic</w:t>
      </w:r>
      <w:r w:rsidR="00CD5DBA" w:rsidRPr="00E336A2">
        <w:rPr>
          <w:rFonts w:eastAsia="Times New Roman" w:cs="Arial"/>
          <w:color w:val="000000"/>
        </w:rPr>
        <w:t>e</w:t>
      </w:r>
      <w:r w:rsidRPr="00E336A2">
        <w:rPr>
          <w:rFonts w:eastAsia="Times New Roman" w:cs="Arial"/>
          <w:color w:val="000000"/>
        </w:rPr>
        <w:t xml:space="preserve"> powers, prohibit “</w:t>
      </w:r>
      <w:r w:rsidRPr="008A7613">
        <w:rPr>
          <w:rFonts w:eastAsia="Times New Roman" w:cs="Arial"/>
          <w:i/>
          <w:color w:val="000000"/>
        </w:rPr>
        <w:t>private</w:t>
      </w:r>
      <w:r w:rsidRPr="00E336A2">
        <w:rPr>
          <w:rFonts w:eastAsia="Times New Roman" w:cs="Arial"/>
          <w:color w:val="000000"/>
        </w:rPr>
        <w:t xml:space="preserve"> persons or organizations” from discriminating on the basis of race.</w:t>
      </w:r>
      <w:r w:rsidR="00CD5DBA" w:rsidRPr="00E336A2">
        <w:rPr>
          <w:rFonts w:eastAsia="Times New Roman" w:cs="Arial"/>
          <w:color w:val="000000"/>
        </w:rPr>
        <w:t xml:space="preserve">  (</w:t>
      </w:r>
      <w:r w:rsidR="00F30FED" w:rsidRPr="00E336A2">
        <w:rPr>
          <w:rFonts w:eastAsia="Times New Roman" w:cs="Arial"/>
          <w:i/>
          <w:iCs/>
          <w:color w:val="000000"/>
        </w:rPr>
        <w:t xml:space="preserve">Burks, supra, </w:t>
      </w:r>
      <w:r w:rsidR="00F30FED" w:rsidRPr="00E336A2">
        <w:rPr>
          <w:rFonts w:eastAsia="Times New Roman" w:cs="Arial"/>
          <w:color w:val="000000"/>
        </w:rPr>
        <w:t xml:space="preserve">57 Cal.2d </w:t>
      </w:r>
      <w:r w:rsidR="00CD5DBA" w:rsidRPr="00E336A2">
        <w:rPr>
          <w:rFonts w:eastAsia="Times New Roman" w:cs="Arial"/>
          <w:color w:val="000000"/>
        </w:rPr>
        <w:t>at p. 471</w:t>
      </w:r>
      <w:r w:rsidR="008A7613">
        <w:rPr>
          <w:rFonts w:eastAsia="Times New Roman" w:cs="Arial"/>
          <w:color w:val="000000"/>
        </w:rPr>
        <w:t>, italics added</w:t>
      </w:r>
      <w:r w:rsidR="00CD5DBA" w:rsidRPr="00E336A2">
        <w:rPr>
          <w:rFonts w:eastAsia="Times New Roman" w:cs="Arial"/>
          <w:color w:val="000000"/>
        </w:rPr>
        <w:t xml:space="preserve">.)  </w:t>
      </w:r>
      <w:r w:rsidR="00BE3B06" w:rsidRPr="00E336A2">
        <w:rPr>
          <w:rFonts w:eastAsia="Times New Roman" w:cs="Arial"/>
          <w:color w:val="000000"/>
        </w:rPr>
        <w:t xml:space="preserve">In </w:t>
      </w:r>
      <w:proofErr w:type="spellStart"/>
      <w:r w:rsidR="00BE3B06" w:rsidRPr="00E336A2">
        <w:rPr>
          <w:rFonts w:eastAsia="Times New Roman" w:cs="Arial"/>
          <w:i/>
          <w:iCs/>
          <w:color w:val="000000"/>
        </w:rPr>
        <w:t>Isbister</w:t>
      </w:r>
      <w:proofErr w:type="spellEnd"/>
      <w:r w:rsidR="00BE3B06" w:rsidRPr="00E336A2">
        <w:rPr>
          <w:rFonts w:eastAsia="Times New Roman" w:cs="Arial"/>
          <w:i/>
          <w:iCs/>
          <w:color w:val="000000"/>
        </w:rPr>
        <w:t xml:space="preserve">, </w:t>
      </w:r>
      <w:r w:rsidR="00BE3B06" w:rsidRPr="00E336A2">
        <w:rPr>
          <w:rFonts w:eastAsia="Times New Roman" w:cs="Arial"/>
          <w:color w:val="000000"/>
        </w:rPr>
        <w:t>the court began its opinion by emphasizing what the consequence would be if it conclude</w:t>
      </w:r>
      <w:r w:rsidR="008A0FBC" w:rsidRPr="00E336A2">
        <w:rPr>
          <w:rFonts w:eastAsia="Times New Roman" w:cs="Arial"/>
          <w:color w:val="000000"/>
        </w:rPr>
        <w:t>d</w:t>
      </w:r>
      <w:r w:rsidR="00BE3B06" w:rsidRPr="00E336A2">
        <w:rPr>
          <w:rFonts w:eastAsia="Times New Roman" w:cs="Arial"/>
          <w:color w:val="000000"/>
        </w:rPr>
        <w:t xml:space="preserve"> the Boys’ Club w</w:t>
      </w:r>
      <w:r w:rsidR="008A0FBC" w:rsidRPr="00E336A2">
        <w:rPr>
          <w:rFonts w:eastAsia="Times New Roman" w:cs="Arial"/>
          <w:color w:val="000000"/>
        </w:rPr>
        <w:t>as</w:t>
      </w:r>
      <w:r w:rsidR="00BE3B06" w:rsidRPr="00E336A2">
        <w:rPr>
          <w:rFonts w:eastAsia="Times New Roman" w:cs="Arial"/>
          <w:color w:val="000000"/>
        </w:rPr>
        <w:t xml:space="preserve"> not a business establishment within the meaning of the Act:</w:t>
      </w:r>
      <w:r w:rsidR="00DE2BC9" w:rsidRPr="00E336A2">
        <w:rPr>
          <w:rFonts w:eastAsia="Times New Roman" w:cs="Arial"/>
          <w:color w:val="000000"/>
        </w:rPr>
        <w:t xml:space="preserve"> </w:t>
      </w:r>
      <w:r w:rsidR="00BE3B06" w:rsidRPr="00E336A2">
        <w:rPr>
          <w:rFonts w:eastAsia="Times New Roman" w:cs="Arial"/>
          <w:color w:val="000000"/>
        </w:rPr>
        <w:t xml:space="preserve"> “Absent the principle it codifies, thousands of facilities </w:t>
      </w:r>
      <w:r w:rsidR="00BE3B06" w:rsidRPr="00E336A2">
        <w:rPr>
          <w:rFonts w:eastAsia="Times New Roman" w:cs="Arial"/>
          <w:i/>
          <w:iCs/>
          <w:color w:val="000000"/>
        </w:rPr>
        <w:t>in private ownership</w:t>
      </w:r>
      <w:r w:rsidR="00BE3B06" w:rsidRPr="00E336A2">
        <w:rPr>
          <w:rFonts w:eastAsia="Times New Roman" w:cs="Arial"/>
          <w:color w:val="000000"/>
        </w:rPr>
        <w:t xml:space="preserve">, but otherwise open to the public, would be free under state law to exclude people for invidious reasons like sex, religion, age, and even race. </w:t>
      </w:r>
      <w:r w:rsidR="00DE2BC9" w:rsidRPr="00E336A2">
        <w:rPr>
          <w:rFonts w:eastAsia="Times New Roman" w:cs="Arial"/>
          <w:color w:val="000000"/>
        </w:rPr>
        <w:t xml:space="preserve"> </w:t>
      </w:r>
      <w:r w:rsidR="00BE3B06" w:rsidRPr="00E336A2">
        <w:rPr>
          <w:rFonts w:eastAsia="Times New Roman" w:cs="Arial"/>
          <w:color w:val="000000"/>
        </w:rPr>
        <w:t>The Legislature</w:t>
      </w:r>
      <w:r w:rsidR="00F61E86" w:rsidRPr="00E336A2">
        <w:rPr>
          <w:rFonts w:eastAsia="Times New Roman" w:cs="Arial"/>
          <w:color w:val="000000"/>
        </w:rPr>
        <w:t>’</w:t>
      </w:r>
      <w:r w:rsidR="00BE3B06" w:rsidRPr="00E336A2">
        <w:rPr>
          <w:rFonts w:eastAsia="Times New Roman" w:cs="Arial"/>
          <w:color w:val="000000"/>
        </w:rPr>
        <w:t xml:space="preserve">s desire to banish </w:t>
      </w:r>
      <w:r w:rsidR="00BE3B06" w:rsidRPr="00E336A2">
        <w:rPr>
          <w:rFonts w:eastAsia="Times New Roman" w:cs="Arial"/>
          <w:i/>
          <w:iCs/>
          <w:color w:val="000000"/>
        </w:rPr>
        <w:t>such practices</w:t>
      </w:r>
      <w:r w:rsidR="00BE3B06" w:rsidRPr="00E336A2">
        <w:rPr>
          <w:rFonts w:eastAsia="Times New Roman" w:cs="Arial"/>
          <w:color w:val="000000"/>
        </w:rPr>
        <w:t xml:space="preserve"> from California</w:t>
      </w:r>
      <w:r w:rsidR="000E25EB" w:rsidRPr="00E336A2">
        <w:rPr>
          <w:rFonts w:eastAsia="Times New Roman" w:cs="Arial"/>
          <w:color w:val="000000"/>
        </w:rPr>
        <w:t>’</w:t>
      </w:r>
      <w:r w:rsidR="00BE3B06" w:rsidRPr="00E336A2">
        <w:rPr>
          <w:rFonts w:eastAsia="Times New Roman" w:cs="Arial"/>
          <w:color w:val="000000"/>
        </w:rPr>
        <w:t>s community life has led this court to interpret the Act</w:t>
      </w:r>
      <w:r w:rsidR="00AB4D62" w:rsidRPr="00E336A2">
        <w:rPr>
          <w:rFonts w:eastAsia="Times New Roman" w:cs="Arial"/>
          <w:color w:val="000000"/>
        </w:rPr>
        <w:t>’</w:t>
      </w:r>
      <w:r w:rsidR="00BE3B06" w:rsidRPr="00E336A2">
        <w:rPr>
          <w:rFonts w:eastAsia="Times New Roman" w:cs="Arial"/>
          <w:color w:val="000000"/>
        </w:rPr>
        <w:t>s coverage ‘in the broadest sense reasonably possible.’ ”</w:t>
      </w:r>
      <w:r w:rsidR="00DE2BC9" w:rsidRPr="00E336A2">
        <w:rPr>
          <w:rFonts w:eastAsia="Times New Roman" w:cs="Arial"/>
          <w:color w:val="000000"/>
        </w:rPr>
        <w:t xml:space="preserve"> </w:t>
      </w:r>
      <w:r w:rsidR="00BE3B06" w:rsidRPr="00E336A2">
        <w:rPr>
          <w:rFonts w:eastAsia="Times New Roman" w:cs="Arial"/>
          <w:color w:val="000000"/>
        </w:rPr>
        <w:t xml:space="preserve"> (</w:t>
      </w:r>
      <w:proofErr w:type="spellStart"/>
      <w:r w:rsidR="00BE3B06" w:rsidRPr="00E336A2">
        <w:rPr>
          <w:rFonts w:eastAsia="Times New Roman" w:cs="Arial"/>
          <w:i/>
          <w:iCs/>
          <w:color w:val="000000"/>
        </w:rPr>
        <w:t>I</w:t>
      </w:r>
      <w:r w:rsidR="00F30FED" w:rsidRPr="00E336A2">
        <w:rPr>
          <w:rFonts w:eastAsia="Times New Roman" w:cs="Arial"/>
          <w:i/>
          <w:iCs/>
          <w:color w:val="000000"/>
        </w:rPr>
        <w:t>sbister</w:t>
      </w:r>
      <w:proofErr w:type="spellEnd"/>
      <w:r w:rsidR="00F30FED" w:rsidRPr="00E336A2">
        <w:rPr>
          <w:rFonts w:eastAsia="Times New Roman" w:cs="Arial"/>
          <w:i/>
          <w:iCs/>
          <w:color w:val="000000"/>
        </w:rPr>
        <w:t xml:space="preserve">, supra, </w:t>
      </w:r>
      <w:r w:rsidR="00F30FED" w:rsidRPr="00E336A2">
        <w:rPr>
          <w:rFonts w:eastAsia="Times New Roman" w:cs="Arial"/>
          <w:color w:val="000000"/>
        </w:rPr>
        <w:t xml:space="preserve">40 Cal.3d </w:t>
      </w:r>
      <w:r w:rsidR="00BE3B06" w:rsidRPr="00E336A2">
        <w:rPr>
          <w:rFonts w:eastAsia="Times New Roman" w:cs="Arial"/>
          <w:color w:val="000000"/>
        </w:rPr>
        <w:t>at pp. 75</w:t>
      </w:r>
      <w:r w:rsidR="009F2706" w:rsidRPr="00E336A2">
        <w:rPr>
          <w:rFonts w:eastAsia="Times New Roman" w:cs="Arial"/>
          <w:color w:val="000000"/>
        </w:rPr>
        <w:t>–</w:t>
      </w:r>
      <w:r w:rsidR="00BE3B06" w:rsidRPr="00E336A2">
        <w:rPr>
          <w:rFonts w:eastAsia="Times New Roman" w:cs="Arial"/>
          <w:color w:val="000000"/>
        </w:rPr>
        <w:t xml:space="preserve">76, quoting </w:t>
      </w:r>
      <w:r w:rsidR="00BE3B06" w:rsidRPr="00E336A2">
        <w:rPr>
          <w:rFonts w:eastAsia="Times New Roman" w:cs="Arial"/>
          <w:i/>
          <w:iCs/>
          <w:color w:val="000000"/>
        </w:rPr>
        <w:t xml:space="preserve">Burks, </w:t>
      </w:r>
      <w:r w:rsidR="00BE3B06" w:rsidRPr="00E336A2">
        <w:rPr>
          <w:rFonts w:eastAsia="Times New Roman" w:cs="Arial"/>
          <w:color w:val="000000"/>
        </w:rPr>
        <w:t>at p. 468, italics added.)</w:t>
      </w:r>
      <w:r w:rsidR="00512B11" w:rsidRPr="00E336A2">
        <w:rPr>
          <w:rFonts w:eastAsia="Times New Roman" w:cs="Arial"/>
          <w:color w:val="000000"/>
        </w:rPr>
        <w:t xml:space="preserve">  In like vein, the court closed its opinion with the comment that its </w:t>
      </w:r>
      <w:r w:rsidR="00AB4D62" w:rsidRPr="00E336A2">
        <w:rPr>
          <w:rFonts w:eastAsia="Times New Roman" w:cs="Arial"/>
          <w:color w:val="000000"/>
        </w:rPr>
        <w:t>decision</w:t>
      </w:r>
      <w:r w:rsidR="00512B11" w:rsidRPr="00E336A2">
        <w:rPr>
          <w:rFonts w:eastAsia="Times New Roman" w:cs="Arial"/>
          <w:color w:val="000000"/>
        </w:rPr>
        <w:t xml:space="preserve"> did not “foreclose the Legislature from a more precise formulation of the situations in which </w:t>
      </w:r>
      <w:r w:rsidR="00512B11" w:rsidRPr="00E336A2">
        <w:rPr>
          <w:rFonts w:eastAsia="Times New Roman" w:cs="Arial"/>
          <w:i/>
          <w:iCs/>
          <w:color w:val="000000"/>
        </w:rPr>
        <w:t xml:space="preserve">private </w:t>
      </w:r>
      <w:r w:rsidR="00512B11" w:rsidRPr="00E336A2">
        <w:rPr>
          <w:rFonts w:eastAsia="Times New Roman" w:cs="Arial"/>
          <w:color w:val="000000"/>
        </w:rPr>
        <w:t>discrimination is forbidden.”  (</w:t>
      </w:r>
      <w:proofErr w:type="spellStart"/>
      <w:r w:rsidR="009F2706" w:rsidRPr="009F2706">
        <w:rPr>
          <w:rFonts w:eastAsia="Times New Roman" w:cs="Arial"/>
          <w:i/>
          <w:iCs/>
          <w:color w:val="000000"/>
        </w:rPr>
        <w:t>I</w:t>
      </w:r>
      <w:r w:rsidR="009F2706" w:rsidRPr="00E336A2">
        <w:rPr>
          <w:rFonts w:eastAsia="Times New Roman" w:cs="Arial"/>
          <w:i/>
          <w:iCs/>
          <w:color w:val="000000"/>
        </w:rPr>
        <w:t>sbister</w:t>
      </w:r>
      <w:proofErr w:type="spellEnd"/>
      <w:r w:rsidR="009F2706">
        <w:rPr>
          <w:rFonts w:eastAsia="Times New Roman" w:cs="Arial"/>
          <w:i/>
          <w:iCs/>
          <w:color w:val="000000"/>
        </w:rPr>
        <w:t>,</w:t>
      </w:r>
      <w:r w:rsidR="00512B11" w:rsidRPr="00E336A2">
        <w:rPr>
          <w:rFonts w:eastAsia="Times New Roman" w:cs="Arial"/>
          <w:color w:val="000000"/>
        </w:rPr>
        <w:t xml:space="preserve"> at p. 91</w:t>
      </w:r>
      <w:r w:rsidR="005076EC" w:rsidRPr="00E336A2">
        <w:rPr>
          <w:rFonts w:eastAsia="Times New Roman" w:cs="Arial"/>
          <w:color w:val="000000"/>
        </w:rPr>
        <w:t>, italics added</w:t>
      </w:r>
      <w:r w:rsidR="00512B11" w:rsidRPr="00E336A2">
        <w:rPr>
          <w:rFonts w:eastAsia="Times New Roman" w:cs="Arial"/>
          <w:color w:val="000000"/>
        </w:rPr>
        <w:t>.)</w:t>
      </w:r>
      <w:r w:rsidR="00CD5DBA" w:rsidRPr="00E336A2">
        <w:rPr>
          <w:rFonts w:eastAsia="Times New Roman" w:cs="Arial"/>
          <w:color w:val="000000"/>
        </w:rPr>
        <w:t xml:space="preserve">  </w:t>
      </w:r>
      <w:r w:rsidR="00BE3B06" w:rsidRPr="00E336A2">
        <w:rPr>
          <w:rFonts w:eastAsia="Times New Roman" w:cs="Arial"/>
          <w:color w:val="000000"/>
        </w:rPr>
        <w:t xml:space="preserve">In </w:t>
      </w:r>
      <w:r w:rsidR="00BE3B06" w:rsidRPr="00E336A2">
        <w:rPr>
          <w:rFonts w:eastAsia="Times New Roman" w:cs="Arial"/>
          <w:i/>
          <w:iCs/>
          <w:color w:val="000000"/>
        </w:rPr>
        <w:t>Warfield</w:t>
      </w:r>
      <w:r w:rsidR="00BE3B06" w:rsidRPr="00E336A2">
        <w:rPr>
          <w:rFonts w:eastAsia="Times New Roman" w:cs="Arial"/>
          <w:color w:val="000000"/>
        </w:rPr>
        <w:t>, the court explained that the Act</w:t>
      </w:r>
      <w:r w:rsidR="00FE520A" w:rsidRPr="00E336A2">
        <w:rPr>
          <w:rFonts w:eastAsia="Times New Roman" w:cs="Arial"/>
          <w:color w:val="000000"/>
        </w:rPr>
        <w:t xml:space="preserve"> can be “traced to the early common law doctrine that required a few, particularly vital, public enterprises—such as </w:t>
      </w:r>
      <w:r w:rsidR="00FE520A" w:rsidRPr="00E336A2">
        <w:rPr>
          <w:rFonts w:eastAsia="Times New Roman" w:cs="Arial"/>
          <w:i/>
          <w:iCs/>
          <w:color w:val="000000"/>
        </w:rPr>
        <w:t>privately-owned</w:t>
      </w:r>
      <w:r w:rsidR="00FE520A" w:rsidRPr="00E336A2">
        <w:rPr>
          <w:rFonts w:eastAsia="Times New Roman" w:cs="Arial"/>
          <w:color w:val="000000"/>
        </w:rPr>
        <w:t xml:space="preserve"> toll bridges, ferryboats, and inns—to serve all members of the public without arbitrary discrimination.</w:t>
      </w:r>
      <w:r w:rsidR="004E5AE5" w:rsidRPr="00E336A2">
        <w:rPr>
          <w:rFonts w:eastAsia="Times New Roman" w:cs="Arial"/>
          <w:color w:val="000000"/>
        </w:rPr>
        <w:t>”</w:t>
      </w:r>
      <w:r w:rsidR="00DE2BC9" w:rsidRPr="00E336A2">
        <w:rPr>
          <w:rFonts w:eastAsia="Times New Roman" w:cs="Arial"/>
          <w:color w:val="000000"/>
        </w:rPr>
        <w:t xml:space="preserve"> </w:t>
      </w:r>
      <w:r w:rsidR="00FE520A" w:rsidRPr="00E336A2">
        <w:rPr>
          <w:rFonts w:eastAsia="Times New Roman" w:cs="Arial"/>
          <w:color w:val="000000"/>
        </w:rPr>
        <w:t xml:space="preserve"> (</w:t>
      </w:r>
      <w:r w:rsidR="00FE520A" w:rsidRPr="00E336A2">
        <w:rPr>
          <w:i/>
          <w:iCs/>
        </w:rPr>
        <w:t xml:space="preserve">Warfield, supra, </w:t>
      </w:r>
      <w:r w:rsidR="00FE520A" w:rsidRPr="00E336A2">
        <w:t xml:space="preserve">10 Cal.4th at p. 607, italics added.)  </w:t>
      </w:r>
    </w:p>
    <w:p w14:paraId="53A95F2A" w14:textId="77777777" w:rsidR="0011505A" w:rsidRPr="00E336A2" w:rsidRDefault="0011505A" w:rsidP="00FE520A">
      <w:pPr>
        <w:spacing w:line="360" w:lineRule="auto"/>
        <w:rPr>
          <w:rFonts w:eastAsia="Times New Roman" w:cs="Arial"/>
          <w:color w:val="000000"/>
        </w:rPr>
      </w:pPr>
      <w:r w:rsidRPr="00E336A2">
        <w:tab/>
      </w:r>
      <w:r w:rsidR="00FE520A" w:rsidRPr="00E336A2">
        <w:t>The scholarly works to which the court has repeatedly cited</w:t>
      </w:r>
      <w:r w:rsidR="009F2706">
        <w:t>,</w:t>
      </w:r>
      <w:r w:rsidR="00CD5DBA" w:rsidRPr="00E336A2">
        <w:t xml:space="preserve"> </w:t>
      </w:r>
      <w:r w:rsidR="00FE520A" w:rsidRPr="00E336A2">
        <w:t xml:space="preserve">express this same </w:t>
      </w:r>
      <w:r w:rsidR="00FA5E6A" w:rsidRPr="00E336A2">
        <w:t xml:space="preserve">understanding—that the </w:t>
      </w:r>
      <w:r w:rsidR="008A0FBC" w:rsidRPr="00E336A2">
        <w:t xml:space="preserve">progenitor </w:t>
      </w:r>
      <w:r w:rsidR="00FE520A" w:rsidRPr="00E336A2">
        <w:t xml:space="preserve">common law </w:t>
      </w:r>
      <w:r w:rsidR="00FA5E6A" w:rsidRPr="00E336A2">
        <w:t xml:space="preserve">public interest doctrine and </w:t>
      </w:r>
      <w:r w:rsidR="008A0FBC" w:rsidRPr="00E336A2">
        <w:t>our post-</w:t>
      </w:r>
      <w:r w:rsidR="008A0FBC" w:rsidRPr="00E336A2">
        <w:rPr>
          <w:i/>
          <w:iCs/>
        </w:rPr>
        <w:t xml:space="preserve">Civil Rights </w:t>
      </w:r>
      <w:r w:rsidRPr="00E336A2">
        <w:rPr>
          <w:i/>
          <w:iCs/>
        </w:rPr>
        <w:t>Cases</w:t>
      </w:r>
      <w:r w:rsidR="008A0FBC" w:rsidRPr="00E336A2">
        <w:rPr>
          <w:i/>
          <w:iCs/>
        </w:rPr>
        <w:t xml:space="preserve"> </w:t>
      </w:r>
      <w:r w:rsidR="00FA5E6A" w:rsidRPr="00E336A2">
        <w:t xml:space="preserve">public accommodation statutes, including the Unruh Act, are the </w:t>
      </w:r>
      <w:r w:rsidR="00FE520A" w:rsidRPr="00E336A2">
        <w:t xml:space="preserve">means </w:t>
      </w:r>
      <w:r w:rsidR="00FA5E6A" w:rsidRPr="00E336A2">
        <w:t xml:space="preserve">by which the courts and the </w:t>
      </w:r>
      <w:r w:rsidR="008A0FBC" w:rsidRPr="00E336A2">
        <w:t xml:space="preserve">state, respectively, </w:t>
      </w:r>
      <w:r w:rsidR="00FA5E6A" w:rsidRPr="00E336A2">
        <w:t xml:space="preserve">have sought to reach and prohibit </w:t>
      </w:r>
      <w:r w:rsidR="00FE520A" w:rsidRPr="00E336A2">
        <w:t>discriminatory conduct by private</w:t>
      </w:r>
      <w:r w:rsidR="00FA5E6A" w:rsidRPr="00E336A2">
        <w:t xml:space="preserve"> </w:t>
      </w:r>
      <w:r w:rsidR="00F30FED" w:rsidRPr="00E336A2">
        <w:t xml:space="preserve">persons and </w:t>
      </w:r>
      <w:r w:rsidR="00FA5E6A" w:rsidRPr="00E336A2">
        <w:t xml:space="preserve">entities that offer goods and services to the general </w:t>
      </w:r>
      <w:r w:rsidR="00FA5E6A" w:rsidRPr="00E336A2">
        <w:lastRenderedPageBreak/>
        <w:t>public</w:t>
      </w:r>
      <w:r w:rsidR="00FE520A" w:rsidRPr="00E336A2">
        <w:t>.</w:t>
      </w:r>
      <w:r w:rsidR="00FA5E6A" w:rsidRPr="00E336A2">
        <w:t xml:space="preserve">  (E.g.,</w:t>
      </w:r>
      <w:r w:rsidR="008A0FBC" w:rsidRPr="00E336A2">
        <w:t xml:space="preserve"> </w:t>
      </w:r>
      <w:proofErr w:type="spellStart"/>
      <w:r w:rsidR="008A0FBC" w:rsidRPr="00E336A2">
        <w:t>Tobriner</w:t>
      </w:r>
      <w:proofErr w:type="spellEnd"/>
      <w:r w:rsidR="008A0FBC" w:rsidRPr="00E336A2">
        <w:t xml:space="preserve"> &amp; </w:t>
      </w:r>
      <w:proofErr w:type="spellStart"/>
      <w:r w:rsidR="008A0FBC" w:rsidRPr="00E336A2">
        <w:t>Grodin</w:t>
      </w:r>
      <w:proofErr w:type="spellEnd"/>
      <w:r w:rsidR="008A0FBC" w:rsidRPr="00E336A2">
        <w:t xml:space="preserve">, </w:t>
      </w:r>
      <w:r w:rsidR="008A0FBC" w:rsidRPr="00E336A2">
        <w:rPr>
          <w:i/>
          <w:iCs/>
        </w:rPr>
        <w:t>supra</w:t>
      </w:r>
      <w:r w:rsidR="008A0FBC" w:rsidRPr="00E336A2">
        <w:t xml:space="preserve">, 55 </w:t>
      </w:r>
      <w:proofErr w:type="spellStart"/>
      <w:r w:rsidR="008A0FBC" w:rsidRPr="00E336A2">
        <w:t>Cal.L.Rev</w:t>
      </w:r>
      <w:proofErr w:type="spellEnd"/>
      <w:r w:rsidR="008A0FBC" w:rsidRPr="00E336A2">
        <w:t>. at pp. 1249</w:t>
      </w:r>
      <w:r w:rsidR="009F2706" w:rsidRPr="00E336A2">
        <w:rPr>
          <w:rFonts w:eastAsia="Times New Roman" w:cs="Arial"/>
          <w:color w:val="000000"/>
        </w:rPr>
        <w:t>–</w:t>
      </w:r>
      <w:r w:rsidR="008A0FBC" w:rsidRPr="00E336A2">
        <w:t>1250, 1253</w:t>
      </w:r>
      <w:r w:rsidR="00EA4769" w:rsidRPr="00E336A2">
        <w:t xml:space="preserve">, 1263; Horowitz, </w:t>
      </w:r>
      <w:r w:rsidR="00EA4769" w:rsidRPr="00E336A2">
        <w:rPr>
          <w:i/>
          <w:iCs/>
        </w:rPr>
        <w:t xml:space="preserve">supra, </w:t>
      </w:r>
      <w:r w:rsidRPr="00E336A2">
        <w:t xml:space="preserve">33 </w:t>
      </w:r>
      <w:proofErr w:type="spellStart"/>
      <w:r w:rsidR="00F30FED" w:rsidRPr="00E336A2">
        <w:t>S</w:t>
      </w:r>
      <w:r w:rsidRPr="00E336A2">
        <w:t>o.Cal.L.Rev</w:t>
      </w:r>
      <w:proofErr w:type="spellEnd"/>
      <w:r w:rsidRPr="00E336A2">
        <w:t>. at pp. 260</w:t>
      </w:r>
      <w:r w:rsidR="009F2706" w:rsidRPr="00E336A2">
        <w:rPr>
          <w:rFonts w:eastAsia="Times New Roman" w:cs="Arial"/>
          <w:color w:val="000000"/>
        </w:rPr>
        <w:t>–</w:t>
      </w:r>
      <w:r w:rsidRPr="00E336A2">
        <w:t>263, 280.</w:t>
      </w:r>
      <w:r w:rsidR="00EA4769" w:rsidRPr="00E336A2">
        <w:t xml:space="preserve">) </w:t>
      </w:r>
      <w:r w:rsidRPr="00E336A2">
        <w:t xml:space="preserve"> </w:t>
      </w:r>
      <w:r w:rsidR="00EA4769" w:rsidRPr="00E336A2">
        <w:t>Indeed, Horowitz stated</w:t>
      </w:r>
      <w:r w:rsidRPr="00E336A2">
        <w:t xml:space="preserve"> categorically that the Unruh Act “</w:t>
      </w:r>
      <w:r w:rsidR="00EA4769" w:rsidRPr="00E336A2">
        <w:rPr>
          <w:rFonts w:cs="Times New Roman"/>
        </w:rPr>
        <w:t xml:space="preserve">result[ed] in California now expressing its policy against racial and other discrimination in this general area of relationships between </w:t>
      </w:r>
      <w:r w:rsidR="00EA4769" w:rsidRPr="00E336A2">
        <w:rPr>
          <w:rFonts w:cs="Times New Roman"/>
          <w:i/>
          <w:iCs/>
        </w:rPr>
        <w:t>private</w:t>
      </w:r>
      <w:r w:rsidR="00EA4769" w:rsidRPr="00E336A2">
        <w:rPr>
          <w:rFonts w:cs="Times New Roman"/>
        </w:rPr>
        <w:t xml:space="preserve"> persons in a way which is unique among the states—</w:t>
      </w:r>
      <w:r w:rsidR="00EA4769" w:rsidRPr="00E336A2">
        <w:rPr>
          <w:rFonts w:cs="Times New Roman"/>
          <w:i/>
          <w:iCs/>
        </w:rPr>
        <w:t>i.e.,</w:t>
      </w:r>
      <w:r w:rsidR="00EA4769" w:rsidRPr="00E336A2">
        <w:rPr>
          <w:rFonts w:cs="Times New Roman"/>
        </w:rPr>
        <w:t xml:space="preserve"> without the use of the word ‘public,’ and with the use of the words ‘business’ and ‘establishments</w:t>
      </w:r>
      <w:r w:rsidRPr="00E336A2">
        <w:rPr>
          <w:rFonts w:cs="Times New Roman"/>
        </w:rPr>
        <w:t>.</w:t>
      </w:r>
      <w:r w:rsidR="00EA4769" w:rsidRPr="00E336A2">
        <w:rPr>
          <w:rFonts w:cs="Times New Roman"/>
        </w:rPr>
        <w:t>’ ”</w:t>
      </w:r>
      <w:r w:rsidR="00FA5E6A" w:rsidRPr="00E336A2">
        <w:t xml:space="preserve"> </w:t>
      </w:r>
      <w:r w:rsidR="000E25EB" w:rsidRPr="00E336A2">
        <w:t xml:space="preserve"> </w:t>
      </w:r>
      <w:r w:rsidR="00FA5E6A" w:rsidRPr="00E336A2">
        <w:t>(</w:t>
      </w:r>
      <w:r w:rsidR="00EA4769" w:rsidRPr="00E336A2">
        <w:rPr>
          <w:rFonts w:eastAsia="Times New Roman" w:cs="Arial"/>
          <w:color w:val="000000"/>
        </w:rPr>
        <w:t xml:space="preserve">Horowitz, </w:t>
      </w:r>
      <w:r w:rsidR="00EA4769" w:rsidRPr="00E336A2">
        <w:rPr>
          <w:rFonts w:eastAsia="Times New Roman" w:cs="Arial"/>
          <w:i/>
          <w:iCs/>
          <w:color w:val="000000"/>
        </w:rPr>
        <w:t>supra,</w:t>
      </w:r>
      <w:r w:rsidR="00EA4769" w:rsidRPr="00E336A2">
        <w:rPr>
          <w:rFonts w:eastAsia="Times New Roman" w:cs="Arial"/>
          <w:color w:val="000000"/>
        </w:rPr>
        <w:t xml:space="preserve"> 33</w:t>
      </w:r>
      <w:r w:rsidR="006718D5" w:rsidRPr="00E336A2">
        <w:rPr>
          <w:rFonts w:eastAsia="Times New Roman" w:cs="Arial"/>
          <w:color w:val="000000"/>
        </w:rPr>
        <w:t> </w:t>
      </w:r>
      <w:proofErr w:type="spellStart"/>
      <w:r w:rsidR="00EA4769" w:rsidRPr="00E336A2">
        <w:rPr>
          <w:rFonts w:eastAsia="Times New Roman" w:cs="Arial"/>
          <w:color w:val="000000"/>
        </w:rPr>
        <w:t>So.Cal.L.Rev</w:t>
      </w:r>
      <w:proofErr w:type="spellEnd"/>
      <w:r w:rsidR="00EA4769" w:rsidRPr="00E336A2">
        <w:rPr>
          <w:rFonts w:eastAsia="Times New Roman" w:cs="Arial"/>
          <w:color w:val="000000"/>
        </w:rPr>
        <w:t>. at p. 262</w:t>
      </w:r>
      <w:r w:rsidR="00A8468B" w:rsidRPr="00E336A2">
        <w:rPr>
          <w:rFonts w:eastAsia="Times New Roman" w:cs="Arial"/>
          <w:color w:val="000000"/>
        </w:rPr>
        <w:t>, first italics added</w:t>
      </w:r>
      <w:r w:rsidRPr="00E336A2">
        <w:rPr>
          <w:rFonts w:eastAsia="Times New Roman" w:cs="Arial"/>
          <w:color w:val="000000"/>
        </w:rPr>
        <w:t>.)</w:t>
      </w:r>
    </w:p>
    <w:p w14:paraId="23B4A434" w14:textId="77777777" w:rsidR="00ED72D3" w:rsidRPr="00E336A2" w:rsidRDefault="0011505A" w:rsidP="009E5C6C">
      <w:pPr>
        <w:spacing w:line="360" w:lineRule="auto"/>
        <w:rPr>
          <w:rFonts w:eastAsia="Times New Roman" w:cs="Arial"/>
          <w:color w:val="000000"/>
        </w:rPr>
      </w:pPr>
      <w:r w:rsidRPr="00E336A2">
        <w:rPr>
          <w:rFonts w:eastAsia="Times New Roman" w:cs="Arial"/>
          <w:color w:val="000000"/>
        </w:rPr>
        <w:tab/>
        <w:t xml:space="preserve">Secondly, </w:t>
      </w:r>
      <w:r w:rsidR="00195830" w:rsidRPr="00E336A2">
        <w:rPr>
          <w:rFonts w:eastAsia="Times New Roman" w:cs="Arial"/>
          <w:color w:val="000000"/>
        </w:rPr>
        <w:t xml:space="preserve">many of the </w:t>
      </w:r>
      <w:r w:rsidR="00CD5DBA" w:rsidRPr="00E336A2">
        <w:rPr>
          <w:rFonts w:eastAsia="Times New Roman" w:cs="Arial"/>
          <w:color w:val="000000"/>
        </w:rPr>
        <w:t xml:space="preserve">high </w:t>
      </w:r>
      <w:r w:rsidR="00195830" w:rsidRPr="00E336A2">
        <w:rPr>
          <w:rFonts w:eastAsia="Times New Roman" w:cs="Arial"/>
          <w:color w:val="000000"/>
        </w:rPr>
        <w:t xml:space="preserve">court’s </w:t>
      </w:r>
      <w:r w:rsidR="00AF4CAC" w:rsidRPr="00E336A2">
        <w:rPr>
          <w:rFonts w:eastAsia="Times New Roman" w:cs="Arial"/>
          <w:color w:val="000000"/>
        </w:rPr>
        <w:t xml:space="preserve">reasons for </w:t>
      </w:r>
      <w:r w:rsidR="00195830" w:rsidRPr="00E336A2">
        <w:rPr>
          <w:rFonts w:eastAsia="Times New Roman" w:cs="Arial"/>
          <w:color w:val="000000"/>
        </w:rPr>
        <w:t xml:space="preserve">why it determined private entities </w:t>
      </w:r>
      <w:r w:rsidR="00F30FED" w:rsidRPr="00E336A2">
        <w:rPr>
          <w:rFonts w:eastAsia="Times New Roman" w:cs="Arial"/>
          <w:color w:val="000000"/>
        </w:rPr>
        <w:t xml:space="preserve">were </w:t>
      </w:r>
      <w:r w:rsidR="00195830" w:rsidRPr="00E336A2">
        <w:rPr>
          <w:rFonts w:eastAsia="Times New Roman" w:cs="Arial"/>
          <w:color w:val="000000"/>
        </w:rPr>
        <w:t xml:space="preserve">business establishments </w:t>
      </w:r>
      <w:r w:rsidR="00C94AA5" w:rsidRPr="00E336A2">
        <w:rPr>
          <w:rFonts w:eastAsia="Times New Roman" w:cs="Arial"/>
          <w:color w:val="000000"/>
        </w:rPr>
        <w:t>under</w:t>
      </w:r>
      <w:r w:rsidR="00195830" w:rsidRPr="00E336A2">
        <w:rPr>
          <w:rFonts w:eastAsia="Times New Roman" w:cs="Arial"/>
          <w:color w:val="000000"/>
        </w:rPr>
        <w:t xml:space="preserve"> the Unruh Act do not pertain to </w:t>
      </w:r>
      <w:r w:rsidR="00F30FED" w:rsidRPr="00E336A2">
        <w:rPr>
          <w:rFonts w:eastAsia="Times New Roman" w:cs="Arial"/>
          <w:color w:val="000000"/>
        </w:rPr>
        <w:t xml:space="preserve">our </w:t>
      </w:r>
      <w:proofErr w:type="gramStart"/>
      <w:r w:rsidR="00195830" w:rsidRPr="00E336A2">
        <w:rPr>
          <w:rFonts w:eastAsia="Times New Roman" w:cs="Arial"/>
          <w:color w:val="000000"/>
        </w:rPr>
        <w:t>public school</w:t>
      </w:r>
      <w:proofErr w:type="gramEnd"/>
      <w:r w:rsidR="00195830" w:rsidRPr="00E336A2">
        <w:rPr>
          <w:rFonts w:eastAsia="Times New Roman" w:cs="Arial"/>
          <w:color w:val="000000"/>
        </w:rPr>
        <w:t xml:space="preserve"> districts. </w:t>
      </w:r>
      <w:r w:rsidR="00AB4D62" w:rsidRPr="00E336A2">
        <w:rPr>
          <w:rFonts w:eastAsia="Times New Roman" w:cs="Arial"/>
          <w:color w:val="000000"/>
        </w:rPr>
        <w:t xml:space="preserve"> </w:t>
      </w:r>
      <w:r w:rsidR="00195830" w:rsidRPr="00E336A2">
        <w:rPr>
          <w:rFonts w:eastAsia="Times New Roman" w:cs="Arial"/>
          <w:color w:val="000000"/>
        </w:rPr>
        <w:t xml:space="preserve">The </w:t>
      </w:r>
      <w:r w:rsidR="00A710D5" w:rsidRPr="00E336A2">
        <w:rPr>
          <w:rFonts w:eastAsia="Times New Roman" w:cs="Arial"/>
          <w:color w:val="000000"/>
        </w:rPr>
        <w:t>“</w:t>
      </w:r>
      <w:r w:rsidR="00195830" w:rsidRPr="00E336A2">
        <w:rPr>
          <w:rFonts w:eastAsia="Times New Roman" w:cs="Arial"/>
          <w:color w:val="000000"/>
        </w:rPr>
        <w:t>overall function</w:t>
      </w:r>
      <w:r w:rsidR="00A710D5" w:rsidRPr="00E336A2">
        <w:rPr>
          <w:rFonts w:eastAsia="Times New Roman" w:cs="Arial"/>
          <w:color w:val="000000"/>
        </w:rPr>
        <w:t>”</w:t>
      </w:r>
      <w:r w:rsidR="00195830" w:rsidRPr="00E336A2">
        <w:rPr>
          <w:rFonts w:eastAsia="Times New Roman" w:cs="Arial"/>
          <w:color w:val="000000"/>
        </w:rPr>
        <w:t xml:space="preserve"> of a </w:t>
      </w:r>
      <w:proofErr w:type="gramStart"/>
      <w:r w:rsidR="00195830" w:rsidRPr="00E336A2">
        <w:rPr>
          <w:rFonts w:eastAsia="Times New Roman" w:cs="Arial"/>
          <w:color w:val="000000"/>
        </w:rPr>
        <w:t>public school</w:t>
      </w:r>
      <w:proofErr w:type="gramEnd"/>
      <w:r w:rsidR="00195830" w:rsidRPr="00E336A2">
        <w:rPr>
          <w:rFonts w:eastAsia="Times New Roman" w:cs="Arial"/>
          <w:color w:val="000000"/>
        </w:rPr>
        <w:t xml:space="preserve"> district is not to </w:t>
      </w:r>
      <w:r w:rsidR="00A8468B" w:rsidRPr="00E336A2">
        <w:rPr>
          <w:rFonts w:eastAsia="Times New Roman" w:cs="Arial"/>
          <w:color w:val="000000"/>
        </w:rPr>
        <w:t>“</w:t>
      </w:r>
      <w:r w:rsidR="00195830" w:rsidRPr="00E336A2">
        <w:rPr>
          <w:rFonts w:eastAsia="Times New Roman" w:cs="Arial"/>
          <w:color w:val="000000"/>
        </w:rPr>
        <w:t>enhance” its “economic value</w:t>
      </w:r>
      <w:r w:rsidR="00112DE4" w:rsidRPr="00E336A2">
        <w:rPr>
          <w:rFonts w:eastAsia="Times New Roman" w:cs="Arial"/>
          <w:color w:val="000000"/>
        </w:rPr>
        <w:t>.</w:t>
      </w:r>
      <w:r w:rsidR="00195830" w:rsidRPr="00E336A2">
        <w:rPr>
          <w:rFonts w:eastAsia="Times New Roman" w:cs="Arial"/>
          <w:color w:val="000000"/>
        </w:rPr>
        <w:t>”  (</w:t>
      </w:r>
      <w:r w:rsidR="00A710D5" w:rsidRPr="00E336A2">
        <w:rPr>
          <w:rFonts w:eastAsia="Times New Roman" w:cs="Arial"/>
          <w:i/>
          <w:iCs/>
          <w:color w:val="000000"/>
        </w:rPr>
        <w:t xml:space="preserve">O’Connor, supra, </w:t>
      </w:r>
      <w:r w:rsidR="00A710D5" w:rsidRPr="00E336A2">
        <w:rPr>
          <w:rFonts w:eastAsia="Times New Roman" w:cs="Arial"/>
          <w:color w:val="000000"/>
        </w:rPr>
        <w:t>33 Cal.3d at p. 7</w:t>
      </w:r>
      <w:r w:rsidR="00A8468B" w:rsidRPr="00E336A2">
        <w:rPr>
          <w:rFonts w:eastAsia="Times New Roman" w:cs="Arial"/>
          <w:color w:val="000000"/>
        </w:rPr>
        <w:t>96</w:t>
      </w:r>
      <w:r w:rsidR="00A710D5" w:rsidRPr="00E336A2">
        <w:rPr>
          <w:rFonts w:eastAsia="Times New Roman" w:cs="Arial"/>
          <w:color w:val="000000"/>
        </w:rPr>
        <w:t xml:space="preserve">.)  While a </w:t>
      </w:r>
      <w:proofErr w:type="gramStart"/>
      <w:r w:rsidR="00A710D5" w:rsidRPr="00E336A2">
        <w:rPr>
          <w:rFonts w:eastAsia="Times New Roman" w:cs="Arial"/>
          <w:color w:val="000000"/>
        </w:rPr>
        <w:t>public school</w:t>
      </w:r>
      <w:proofErr w:type="gramEnd"/>
      <w:r w:rsidR="00A710D5" w:rsidRPr="00E336A2">
        <w:rPr>
          <w:rFonts w:eastAsia="Times New Roman" w:cs="Arial"/>
          <w:color w:val="000000"/>
        </w:rPr>
        <w:t xml:space="preserve"> district may provide some </w:t>
      </w:r>
      <w:r w:rsidR="00112DE4" w:rsidRPr="00E336A2">
        <w:rPr>
          <w:rFonts w:eastAsia="Times New Roman" w:cs="Arial"/>
          <w:color w:val="000000"/>
        </w:rPr>
        <w:t xml:space="preserve">athletic </w:t>
      </w:r>
      <w:r w:rsidR="00A710D5" w:rsidRPr="00E336A2">
        <w:rPr>
          <w:rFonts w:eastAsia="Times New Roman" w:cs="Arial"/>
          <w:color w:val="000000"/>
        </w:rPr>
        <w:t xml:space="preserve">facilities for the physical education of </w:t>
      </w:r>
      <w:r w:rsidR="00F23BF0" w:rsidRPr="00E336A2">
        <w:rPr>
          <w:rFonts w:eastAsia="Times New Roman" w:cs="Arial"/>
          <w:color w:val="000000"/>
        </w:rPr>
        <w:t xml:space="preserve">its </w:t>
      </w:r>
      <w:r w:rsidR="00A710D5" w:rsidRPr="00E336A2">
        <w:rPr>
          <w:rFonts w:eastAsia="Times New Roman" w:cs="Arial"/>
          <w:color w:val="000000"/>
        </w:rPr>
        <w:t>students, the</w:t>
      </w:r>
      <w:r w:rsidR="00F30FED" w:rsidRPr="00E336A2">
        <w:rPr>
          <w:rFonts w:eastAsia="Times New Roman" w:cs="Arial"/>
          <w:color w:val="000000"/>
        </w:rPr>
        <w:t xml:space="preserve">se facilities </w:t>
      </w:r>
      <w:r w:rsidR="00A710D5" w:rsidRPr="00E336A2">
        <w:rPr>
          <w:rFonts w:eastAsia="Times New Roman" w:cs="Arial"/>
          <w:color w:val="000000"/>
        </w:rPr>
        <w:t>are not the district’s “principal activity and reason for existence</w:t>
      </w:r>
      <w:r w:rsidR="00112DE4" w:rsidRPr="00E336A2">
        <w:rPr>
          <w:rFonts w:eastAsia="Times New Roman" w:cs="Arial"/>
          <w:color w:val="000000"/>
        </w:rPr>
        <w:t>.</w:t>
      </w:r>
      <w:r w:rsidR="00A710D5" w:rsidRPr="00E336A2">
        <w:rPr>
          <w:rFonts w:eastAsia="Times New Roman" w:cs="Arial"/>
          <w:color w:val="000000"/>
        </w:rPr>
        <w:t>”</w:t>
      </w:r>
      <w:r w:rsidR="000E25EB" w:rsidRPr="00E336A2">
        <w:rPr>
          <w:rFonts w:eastAsia="Times New Roman" w:cs="Arial"/>
          <w:color w:val="000000"/>
        </w:rPr>
        <w:t xml:space="preserve"> </w:t>
      </w:r>
      <w:r w:rsidR="00A710D5" w:rsidRPr="00E336A2">
        <w:rPr>
          <w:rFonts w:eastAsia="Times New Roman" w:cs="Arial"/>
          <w:color w:val="000000"/>
        </w:rPr>
        <w:t xml:space="preserve"> (</w:t>
      </w:r>
      <w:proofErr w:type="spellStart"/>
      <w:r w:rsidR="00A710D5" w:rsidRPr="00E336A2">
        <w:rPr>
          <w:rFonts w:eastAsia="Times New Roman" w:cs="Arial"/>
          <w:i/>
          <w:iCs/>
          <w:color w:val="000000"/>
        </w:rPr>
        <w:t>Isbister</w:t>
      </w:r>
      <w:proofErr w:type="spellEnd"/>
      <w:r w:rsidR="00A710D5" w:rsidRPr="00E336A2">
        <w:rPr>
          <w:rFonts w:eastAsia="Times New Roman" w:cs="Arial"/>
          <w:i/>
          <w:iCs/>
          <w:color w:val="000000"/>
        </w:rPr>
        <w:t xml:space="preserve">, supra, </w:t>
      </w:r>
      <w:r w:rsidR="00A710D5" w:rsidRPr="00E336A2">
        <w:rPr>
          <w:rFonts w:eastAsia="Times New Roman" w:cs="Arial"/>
          <w:color w:val="000000"/>
        </w:rPr>
        <w:t>40 Cal.3d at p.</w:t>
      </w:r>
      <w:r w:rsidR="006718D5" w:rsidRPr="00E336A2">
        <w:rPr>
          <w:rFonts w:eastAsia="Times New Roman" w:cs="Arial"/>
          <w:color w:val="000000"/>
        </w:rPr>
        <w:t> </w:t>
      </w:r>
      <w:r w:rsidR="00A710D5" w:rsidRPr="00E336A2">
        <w:rPr>
          <w:rFonts w:eastAsia="Times New Roman" w:cs="Arial"/>
          <w:color w:val="000000"/>
        </w:rPr>
        <w:t xml:space="preserve">76.)  </w:t>
      </w:r>
      <w:r w:rsidR="00CD5DBA" w:rsidRPr="00E336A2">
        <w:rPr>
          <w:rFonts w:eastAsia="Times New Roman" w:cs="Arial"/>
          <w:color w:val="000000"/>
        </w:rPr>
        <w:t>Nor do p</w:t>
      </w:r>
      <w:r w:rsidR="00A710D5" w:rsidRPr="00E336A2">
        <w:rPr>
          <w:rFonts w:eastAsia="Times New Roman" w:cs="Arial"/>
          <w:color w:val="000000"/>
        </w:rPr>
        <w:t xml:space="preserve">ublic school districts provide a “physical plant” for “patrons [to] use at their convenience” and for which </w:t>
      </w:r>
      <w:r w:rsidR="00112DE4" w:rsidRPr="00E336A2">
        <w:rPr>
          <w:rFonts w:eastAsia="Times New Roman" w:cs="Arial"/>
          <w:color w:val="000000"/>
        </w:rPr>
        <w:t>they</w:t>
      </w:r>
      <w:r w:rsidR="00A710D5" w:rsidRPr="00E336A2">
        <w:rPr>
          <w:rFonts w:eastAsia="Times New Roman" w:cs="Arial"/>
          <w:color w:val="000000"/>
        </w:rPr>
        <w:t xml:space="preserve"> pa</w:t>
      </w:r>
      <w:r w:rsidR="00112DE4" w:rsidRPr="00E336A2">
        <w:rPr>
          <w:rFonts w:eastAsia="Times New Roman" w:cs="Arial"/>
          <w:color w:val="000000"/>
        </w:rPr>
        <w:t>y</w:t>
      </w:r>
      <w:r w:rsidR="00A710D5" w:rsidRPr="00E336A2">
        <w:rPr>
          <w:rFonts w:eastAsia="Times New Roman" w:cs="Arial"/>
          <w:color w:val="000000"/>
        </w:rPr>
        <w:t xml:space="preserve"> an annual membership fee</w:t>
      </w:r>
      <w:r w:rsidR="00CD5DBA" w:rsidRPr="00E336A2">
        <w:rPr>
          <w:rFonts w:eastAsia="Times New Roman" w:cs="Arial"/>
          <w:color w:val="000000"/>
        </w:rPr>
        <w:t>.</w:t>
      </w:r>
      <w:r w:rsidR="00A710D5" w:rsidRPr="00E336A2">
        <w:rPr>
          <w:rFonts w:eastAsia="Times New Roman" w:cs="Arial"/>
          <w:color w:val="000000"/>
        </w:rPr>
        <w:t xml:space="preserve"> </w:t>
      </w:r>
      <w:r w:rsidR="000E25EB" w:rsidRPr="00E336A2">
        <w:rPr>
          <w:rFonts w:eastAsia="Times New Roman" w:cs="Arial"/>
          <w:color w:val="000000"/>
        </w:rPr>
        <w:t xml:space="preserve"> </w:t>
      </w:r>
      <w:r w:rsidR="00A710D5" w:rsidRPr="00E336A2">
        <w:rPr>
          <w:rFonts w:eastAsia="Times New Roman" w:cs="Arial"/>
          <w:color w:val="000000"/>
        </w:rPr>
        <w:t>(</w:t>
      </w:r>
      <w:r w:rsidR="00112DE4" w:rsidRPr="00E336A2">
        <w:rPr>
          <w:rFonts w:eastAsia="Times New Roman" w:cs="Arial"/>
          <w:i/>
          <w:iCs/>
          <w:color w:val="000000"/>
        </w:rPr>
        <w:t xml:space="preserve">Id. </w:t>
      </w:r>
      <w:r w:rsidR="00112DE4" w:rsidRPr="00E336A2">
        <w:rPr>
          <w:rFonts w:eastAsia="Times New Roman" w:cs="Arial"/>
          <w:color w:val="000000"/>
        </w:rPr>
        <w:t xml:space="preserve">at p. 81.)  </w:t>
      </w:r>
      <w:r w:rsidR="00CD5DBA" w:rsidRPr="00E336A2">
        <w:rPr>
          <w:rFonts w:eastAsia="Times New Roman" w:cs="Arial"/>
          <w:color w:val="000000"/>
        </w:rPr>
        <w:t>“</w:t>
      </w:r>
      <w:r w:rsidR="00112DE4" w:rsidRPr="00E336A2">
        <w:rPr>
          <w:rFonts w:eastAsia="Times New Roman" w:cs="Arial"/>
          <w:color w:val="000000"/>
        </w:rPr>
        <w:t>Commercial transactions</w:t>
      </w:r>
      <w:r w:rsidR="00CD5DBA" w:rsidRPr="00E336A2">
        <w:rPr>
          <w:rFonts w:eastAsia="Times New Roman" w:cs="Arial"/>
          <w:color w:val="000000"/>
        </w:rPr>
        <w:t>”</w:t>
      </w:r>
      <w:r w:rsidR="00112DE4" w:rsidRPr="00E336A2">
        <w:rPr>
          <w:rFonts w:eastAsia="Times New Roman" w:cs="Arial"/>
          <w:color w:val="000000"/>
        </w:rPr>
        <w:t xml:space="preserve"> with the general public are not “an integral part of [a </w:t>
      </w:r>
      <w:proofErr w:type="gramStart"/>
      <w:r w:rsidR="00112DE4" w:rsidRPr="00E336A2">
        <w:rPr>
          <w:rFonts w:eastAsia="Times New Roman" w:cs="Arial"/>
          <w:color w:val="000000"/>
        </w:rPr>
        <w:t>public school</w:t>
      </w:r>
      <w:proofErr w:type="gramEnd"/>
      <w:r w:rsidR="00112DE4" w:rsidRPr="00E336A2">
        <w:rPr>
          <w:rFonts w:eastAsia="Times New Roman" w:cs="Arial"/>
          <w:color w:val="000000"/>
        </w:rPr>
        <w:t xml:space="preserve"> district’s] overall operations.”  (</w:t>
      </w:r>
      <w:r w:rsidR="00112DE4" w:rsidRPr="00E336A2">
        <w:rPr>
          <w:rFonts w:eastAsia="Times New Roman" w:cs="Arial"/>
          <w:i/>
          <w:iCs/>
          <w:color w:val="000000"/>
        </w:rPr>
        <w:t xml:space="preserve">Warfield, supra, </w:t>
      </w:r>
      <w:r w:rsidR="00112DE4" w:rsidRPr="00E336A2">
        <w:rPr>
          <w:rFonts w:eastAsia="Times New Roman" w:cs="Arial"/>
          <w:color w:val="000000"/>
        </w:rPr>
        <w:t xml:space="preserve">10 Cal.4th at p. 622.)  </w:t>
      </w:r>
      <w:r w:rsidR="002540A0" w:rsidRPr="00E336A2">
        <w:rPr>
          <w:rFonts w:eastAsia="Times New Roman" w:cs="Arial"/>
          <w:color w:val="000000"/>
        </w:rPr>
        <w:t xml:space="preserve">The “attributes and activities” of a </w:t>
      </w:r>
      <w:proofErr w:type="gramStart"/>
      <w:r w:rsidR="002540A0" w:rsidRPr="00E336A2">
        <w:rPr>
          <w:rFonts w:eastAsia="Times New Roman" w:cs="Arial"/>
          <w:color w:val="000000"/>
        </w:rPr>
        <w:t>public school</w:t>
      </w:r>
      <w:proofErr w:type="gramEnd"/>
      <w:r w:rsidR="002540A0" w:rsidRPr="00E336A2">
        <w:rPr>
          <w:rFonts w:eastAsia="Times New Roman" w:cs="Arial"/>
          <w:color w:val="000000"/>
        </w:rPr>
        <w:t xml:space="preserve"> district are not “the functional equivalent of a classic ‘place of public accommodation or amusement.”  (</w:t>
      </w:r>
      <w:r w:rsidR="002540A0" w:rsidRPr="00E336A2">
        <w:rPr>
          <w:rFonts w:eastAsia="Times New Roman" w:cs="Arial"/>
          <w:i/>
          <w:iCs/>
          <w:color w:val="000000"/>
        </w:rPr>
        <w:t xml:space="preserve">Curran, supra, </w:t>
      </w:r>
      <w:r w:rsidR="002540A0" w:rsidRPr="00E336A2">
        <w:rPr>
          <w:rFonts w:eastAsia="Times New Roman" w:cs="Arial"/>
          <w:color w:val="000000"/>
        </w:rPr>
        <w:t>17 Cal.4th at p. 697.)  And whatever commercial activities a public school district may engage in (</w:t>
      </w:r>
      <w:r w:rsidR="004E5AE5" w:rsidRPr="00E336A2">
        <w:rPr>
          <w:rFonts w:eastAsia="Times New Roman" w:cs="Arial"/>
          <w:color w:val="000000"/>
        </w:rPr>
        <w:t xml:space="preserve">such as </w:t>
      </w:r>
      <w:r w:rsidR="002540A0" w:rsidRPr="00E336A2">
        <w:rPr>
          <w:rFonts w:eastAsia="Times New Roman" w:cs="Arial"/>
          <w:color w:val="000000"/>
        </w:rPr>
        <w:t xml:space="preserve">allowing school clubs or booster organizations to sell goods to raise funds for extracurricular student activities, or allowing school athletic departments to charge a small admission fee for student athletic events), </w:t>
      </w:r>
      <w:r w:rsidR="00F23BF0" w:rsidRPr="00E336A2">
        <w:rPr>
          <w:rFonts w:eastAsia="Times New Roman" w:cs="Arial"/>
          <w:color w:val="000000"/>
        </w:rPr>
        <w:t xml:space="preserve">“do not involve the sale of access to the basic” </w:t>
      </w:r>
      <w:r w:rsidR="002540A0" w:rsidRPr="00E336A2">
        <w:rPr>
          <w:rFonts w:eastAsia="Times New Roman" w:cs="Arial"/>
          <w:color w:val="000000"/>
        </w:rPr>
        <w:t xml:space="preserve">education </w:t>
      </w:r>
      <w:r w:rsidR="00F23BF0" w:rsidRPr="00E336A2">
        <w:rPr>
          <w:rFonts w:eastAsia="Times New Roman" w:cs="Arial"/>
          <w:color w:val="000000"/>
        </w:rPr>
        <w:t xml:space="preserve">that public school districts </w:t>
      </w:r>
      <w:r w:rsidR="002540A0" w:rsidRPr="00E336A2">
        <w:rPr>
          <w:rFonts w:eastAsia="Times New Roman" w:cs="Arial"/>
          <w:color w:val="000000"/>
        </w:rPr>
        <w:t xml:space="preserve">are </w:t>
      </w:r>
      <w:r w:rsidR="002540A0" w:rsidRPr="00E336A2">
        <w:rPr>
          <w:rFonts w:eastAsia="Times New Roman" w:cs="Arial"/>
          <w:color w:val="000000"/>
        </w:rPr>
        <w:lastRenderedPageBreak/>
        <w:t xml:space="preserve">charged </w:t>
      </w:r>
      <w:r w:rsidR="00F23BF0" w:rsidRPr="00E336A2">
        <w:rPr>
          <w:rFonts w:eastAsia="Times New Roman" w:cs="Arial"/>
          <w:color w:val="000000"/>
        </w:rPr>
        <w:t xml:space="preserve">by the state with delivering to every school-age child pursuant to </w:t>
      </w:r>
      <w:r w:rsidR="00F30FED" w:rsidRPr="00E336A2">
        <w:rPr>
          <w:rFonts w:eastAsia="Times New Roman" w:cs="Arial"/>
          <w:color w:val="000000"/>
        </w:rPr>
        <w:t xml:space="preserve">state </w:t>
      </w:r>
      <w:r w:rsidR="002540A0" w:rsidRPr="00E336A2">
        <w:rPr>
          <w:rFonts w:eastAsia="Times New Roman" w:cs="Arial"/>
          <w:color w:val="000000"/>
        </w:rPr>
        <w:t>constitutional mandate.</w:t>
      </w:r>
      <w:r w:rsidR="00F23BF0" w:rsidRPr="00E336A2">
        <w:rPr>
          <w:rFonts w:eastAsia="Times New Roman" w:cs="Arial"/>
          <w:color w:val="000000"/>
        </w:rPr>
        <w:t xml:space="preserve">  (</w:t>
      </w:r>
      <w:r w:rsidR="00F23BF0" w:rsidRPr="00E336A2">
        <w:rPr>
          <w:rFonts w:eastAsia="Times New Roman" w:cs="Arial"/>
          <w:i/>
          <w:iCs/>
          <w:color w:val="000000"/>
        </w:rPr>
        <w:t xml:space="preserve">Id. </w:t>
      </w:r>
      <w:r w:rsidR="00F23BF0" w:rsidRPr="00E336A2">
        <w:rPr>
          <w:rFonts w:eastAsia="Times New Roman" w:cs="Arial"/>
          <w:color w:val="000000"/>
        </w:rPr>
        <w:t>at p. 700</w:t>
      </w:r>
      <w:r w:rsidR="002435C2" w:rsidRPr="00E336A2">
        <w:rPr>
          <w:rFonts w:eastAsia="Times New Roman" w:cs="Arial"/>
          <w:color w:val="000000"/>
        </w:rPr>
        <w:t>, italics omitted</w:t>
      </w:r>
      <w:r w:rsidR="00F23BF0" w:rsidRPr="00E336A2">
        <w:rPr>
          <w:rFonts w:eastAsia="Times New Roman" w:cs="Arial"/>
          <w:color w:val="000000"/>
        </w:rPr>
        <w:t xml:space="preserve">.)  </w:t>
      </w:r>
      <w:r w:rsidR="00CD5DBA" w:rsidRPr="00E336A2">
        <w:rPr>
          <w:rFonts w:eastAsia="Times New Roman" w:cs="Arial"/>
          <w:color w:val="000000"/>
        </w:rPr>
        <w:t>P</w:t>
      </w:r>
      <w:r w:rsidR="00F23BF0" w:rsidRPr="00E336A2">
        <w:rPr>
          <w:rFonts w:eastAsia="Times New Roman" w:cs="Arial"/>
          <w:color w:val="000000"/>
        </w:rPr>
        <w:t>ublic school districts do not “sell the right to participate</w:t>
      </w:r>
      <w:r w:rsidR="002435C2" w:rsidRPr="00E336A2">
        <w:rPr>
          <w:rFonts w:eastAsia="Times New Roman" w:cs="Arial"/>
          <w:color w:val="000000"/>
        </w:rPr>
        <w:t>”</w:t>
      </w:r>
      <w:r w:rsidR="00F23BF0" w:rsidRPr="00E336A2">
        <w:rPr>
          <w:rFonts w:eastAsia="Times New Roman" w:cs="Arial"/>
          <w:color w:val="000000"/>
        </w:rPr>
        <w:t xml:space="preserve"> in the basic educational programs and services they deliver.  (</w:t>
      </w:r>
      <w:r w:rsidR="00F23BF0" w:rsidRPr="00E336A2">
        <w:rPr>
          <w:rFonts w:eastAsia="Times New Roman" w:cs="Arial"/>
          <w:i/>
          <w:iCs/>
          <w:color w:val="000000"/>
        </w:rPr>
        <w:t>Randall, supra,</w:t>
      </w:r>
      <w:r w:rsidR="00DE2BC9" w:rsidRPr="00E336A2">
        <w:rPr>
          <w:rFonts w:eastAsia="Times New Roman" w:cs="Arial"/>
          <w:i/>
          <w:iCs/>
          <w:color w:val="000000"/>
        </w:rPr>
        <w:t xml:space="preserve"> </w:t>
      </w:r>
      <w:r w:rsidR="00DE2BC9" w:rsidRPr="00E336A2">
        <w:rPr>
          <w:rFonts w:eastAsia="Times New Roman" w:cs="Arial"/>
          <w:color w:val="000000"/>
        </w:rPr>
        <w:t>17 Cal.4th</w:t>
      </w:r>
      <w:r w:rsidR="00F23BF0" w:rsidRPr="00E336A2">
        <w:rPr>
          <w:rFonts w:eastAsia="Times New Roman" w:cs="Arial"/>
          <w:i/>
          <w:iCs/>
          <w:color w:val="000000"/>
        </w:rPr>
        <w:t xml:space="preserve"> </w:t>
      </w:r>
      <w:r w:rsidR="00F23BF0" w:rsidRPr="00E336A2">
        <w:rPr>
          <w:rFonts w:eastAsia="Times New Roman" w:cs="Arial"/>
          <w:color w:val="000000"/>
        </w:rPr>
        <w:t>at p. 744.)</w:t>
      </w:r>
    </w:p>
    <w:p w14:paraId="640C1F7A" w14:textId="77777777" w:rsidR="003D5CAB" w:rsidRPr="00E336A2" w:rsidRDefault="009E5C6C" w:rsidP="009E5C6C">
      <w:pPr>
        <w:spacing w:line="360" w:lineRule="auto"/>
        <w:rPr>
          <w:rFonts w:eastAsia="Times New Roman" w:cs="Arial"/>
          <w:color w:val="000000"/>
        </w:rPr>
      </w:pPr>
      <w:r w:rsidRPr="00E336A2">
        <w:rPr>
          <w:rFonts w:eastAsia="Times New Roman" w:cs="Arial"/>
          <w:color w:val="000000"/>
        </w:rPr>
        <w:tab/>
        <w:t xml:space="preserve">We </w:t>
      </w:r>
      <w:r w:rsidR="005831EF" w:rsidRPr="00E336A2">
        <w:rPr>
          <w:rFonts w:eastAsia="Times New Roman" w:cs="Arial"/>
          <w:color w:val="000000"/>
        </w:rPr>
        <w:t>th</w:t>
      </w:r>
      <w:r w:rsidR="00CD5DBA" w:rsidRPr="00E336A2">
        <w:rPr>
          <w:rFonts w:eastAsia="Times New Roman" w:cs="Arial"/>
          <w:color w:val="000000"/>
        </w:rPr>
        <w:t xml:space="preserve">us </w:t>
      </w:r>
      <w:r w:rsidRPr="00E336A2">
        <w:rPr>
          <w:rFonts w:eastAsia="Times New Roman" w:cs="Arial"/>
          <w:color w:val="000000"/>
        </w:rPr>
        <w:t xml:space="preserve">conclude the decisions of our </w:t>
      </w:r>
      <w:r w:rsidR="00F30FED" w:rsidRPr="00E336A2">
        <w:rPr>
          <w:rFonts w:eastAsia="Times New Roman" w:cs="Arial"/>
          <w:color w:val="000000"/>
        </w:rPr>
        <w:t>Supreme Court</w:t>
      </w:r>
      <w:r w:rsidRPr="00E336A2">
        <w:rPr>
          <w:rFonts w:eastAsia="Times New Roman" w:cs="Arial"/>
          <w:color w:val="000000"/>
        </w:rPr>
        <w:t xml:space="preserve"> confirm what seems </w:t>
      </w:r>
      <w:r w:rsidR="004E5AE5" w:rsidRPr="00E336A2">
        <w:rPr>
          <w:rFonts w:eastAsia="Times New Roman" w:cs="Arial"/>
          <w:color w:val="000000"/>
        </w:rPr>
        <w:t>apparent</w:t>
      </w:r>
      <w:r w:rsidRPr="00E336A2">
        <w:rPr>
          <w:rFonts w:eastAsia="Times New Roman" w:cs="Arial"/>
          <w:color w:val="000000"/>
        </w:rPr>
        <w:t xml:space="preserve"> from the historical origins of the </w:t>
      </w:r>
      <w:r w:rsidR="009F2706">
        <w:rPr>
          <w:rFonts w:eastAsia="Times New Roman" w:cs="Arial"/>
          <w:color w:val="000000"/>
        </w:rPr>
        <w:t xml:space="preserve">Unruh </w:t>
      </w:r>
      <w:r w:rsidRPr="00E336A2">
        <w:rPr>
          <w:rFonts w:eastAsia="Times New Roman" w:cs="Arial"/>
          <w:color w:val="000000"/>
        </w:rPr>
        <w:t xml:space="preserve">Act, its legislative history and the scholarly commentary—that California’s public school districts are not business establishments </w:t>
      </w:r>
      <w:r w:rsidR="00C94AA5" w:rsidRPr="00E336A2">
        <w:rPr>
          <w:rFonts w:eastAsia="Times New Roman" w:cs="Arial"/>
          <w:color w:val="000000"/>
        </w:rPr>
        <w:t xml:space="preserve">under </w:t>
      </w:r>
      <w:r w:rsidRPr="00E336A2">
        <w:rPr>
          <w:rFonts w:eastAsia="Times New Roman" w:cs="Arial"/>
          <w:color w:val="000000"/>
        </w:rPr>
        <w:t>the Act.</w:t>
      </w:r>
    </w:p>
    <w:p w14:paraId="40207B30" w14:textId="77777777" w:rsidR="00F30FED" w:rsidRPr="00E336A2" w:rsidRDefault="00F30FED" w:rsidP="000E25EB">
      <w:pPr>
        <w:keepNext/>
        <w:spacing w:line="360" w:lineRule="auto"/>
        <w:rPr>
          <w:rFonts w:eastAsia="Times New Roman" w:cs="Arial"/>
          <w:color w:val="000000"/>
        </w:rPr>
      </w:pPr>
      <w:r w:rsidRPr="00E336A2">
        <w:rPr>
          <w:rFonts w:eastAsia="Times New Roman" w:cs="Arial"/>
          <w:b/>
          <w:bCs/>
          <w:i/>
          <w:iCs/>
          <w:color w:val="000000"/>
        </w:rPr>
        <w:t>Other Court Decisions</w:t>
      </w:r>
      <w:r w:rsidR="00AB4D62" w:rsidRPr="00E336A2">
        <w:rPr>
          <w:rFonts w:eastAsia="Times New Roman" w:cs="Arial"/>
          <w:b/>
          <w:bCs/>
          <w:i/>
          <w:iCs/>
          <w:color w:val="000000"/>
        </w:rPr>
        <w:t xml:space="preserve"> Interpreting the Unruh Act</w:t>
      </w:r>
    </w:p>
    <w:p w14:paraId="3922C18C" w14:textId="77777777" w:rsidR="00F30FED" w:rsidRPr="00E336A2" w:rsidRDefault="003D5CAB" w:rsidP="000E25EB">
      <w:pPr>
        <w:keepNext/>
        <w:spacing w:line="360" w:lineRule="auto"/>
        <w:rPr>
          <w:rFonts w:eastAsia="Times New Roman" w:cs="Arial"/>
          <w:color w:val="000000"/>
        </w:rPr>
      </w:pPr>
      <w:r w:rsidRPr="00E336A2">
        <w:rPr>
          <w:rFonts w:eastAsia="Times New Roman" w:cs="Arial"/>
          <w:color w:val="000000"/>
        </w:rPr>
        <w:tab/>
      </w:r>
      <w:r w:rsidR="00CD5DBA" w:rsidRPr="00E336A2">
        <w:rPr>
          <w:rFonts w:eastAsia="Times New Roman" w:cs="Arial"/>
          <w:color w:val="000000"/>
        </w:rPr>
        <w:t xml:space="preserve">Our conclusion is consistent with </w:t>
      </w:r>
      <w:r w:rsidR="00FE7226" w:rsidRPr="00E336A2">
        <w:rPr>
          <w:rFonts w:eastAsia="Times New Roman" w:cs="Arial"/>
          <w:color w:val="000000"/>
        </w:rPr>
        <w:t xml:space="preserve">decisions by </w:t>
      </w:r>
      <w:r w:rsidR="00F30FED" w:rsidRPr="00E336A2">
        <w:rPr>
          <w:rFonts w:eastAsia="Times New Roman" w:cs="Arial"/>
          <w:color w:val="000000"/>
        </w:rPr>
        <w:t xml:space="preserve">other </w:t>
      </w:r>
      <w:r w:rsidR="00332E0F" w:rsidRPr="00E336A2">
        <w:rPr>
          <w:rFonts w:eastAsia="Times New Roman" w:cs="Arial"/>
          <w:color w:val="000000"/>
        </w:rPr>
        <w:t>C</w:t>
      </w:r>
      <w:r w:rsidRPr="00E336A2">
        <w:rPr>
          <w:rFonts w:eastAsia="Times New Roman" w:cs="Arial"/>
          <w:color w:val="000000"/>
        </w:rPr>
        <w:t>ourt</w:t>
      </w:r>
      <w:r w:rsidR="00FE7226" w:rsidRPr="00E336A2">
        <w:rPr>
          <w:rFonts w:eastAsia="Times New Roman" w:cs="Arial"/>
          <w:color w:val="000000"/>
        </w:rPr>
        <w:t>s</w:t>
      </w:r>
      <w:r w:rsidRPr="00E336A2">
        <w:rPr>
          <w:rFonts w:eastAsia="Times New Roman" w:cs="Arial"/>
          <w:color w:val="000000"/>
        </w:rPr>
        <w:t xml:space="preserve"> of </w:t>
      </w:r>
      <w:r w:rsidR="00332E0F" w:rsidRPr="00E336A2">
        <w:rPr>
          <w:rFonts w:eastAsia="Times New Roman" w:cs="Arial"/>
          <w:color w:val="000000"/>
        </w:rPr>
        <w:t>A</w:t>
      </w:r>
      <w:r w:rsidRPr="00E336A2">
        <w:rPr>
          <w:rFonts w:eastAsia="Times New Roman" w:cs="Arial"/>
          <w:color w:val="000000"/>
        </w:rPr>
        <w:t xml:space="preserve">ppeal </w:t>
      </w:r>
      <w:r w:rsidR="00FE7226" w:rsidRPr="00E336A2">
        <w:rPr>
          <w:rFonts w:eastAsia="Times New Roman" w:cs="Arial"/>
          <w:color w:val="000000"/>
        </w:rPr>
        <w:t xml:space="preserve">that </w:t>
      </w:r>
      <w:r w:rsidR="006514AD" w:rsidRPr="00E336A2">
        <w:rPr>
          <w:rFonts w:eastAsia="Times New Roman" w:cs="Arial"/>
          <w:color w:val="000000"/>
        </w:rPr>
        <w:t xml:space="preserve">have considered whether a </w:t>
      </w:r>
      <w:r w:rsidR="005F30F6" w:rsidRPr="00E336A2">
        <w:rPr>
          <w:rFonts w:eastAsia="Times New Roman" w:cs="Arial"/>
          <w:color w:val="000000"/>
        </w:rPr>
        <w:t>government entit</w:t>
      </w:r>
      <w:r w:rsidR="006514AD" w:rsidRPr="00E336A2">
        <w:rPr>
          <w:rFonts w:eastAsia="Times New Roman" w:cs="Arial"/>
          <w:color w:val="000000"/>
        </w:rPr>
        <w:t xml:space="preserve">y was a business </w:t>
      </w:r>
      <w:r w:rsidR="005F30F6" w:rsidRPr="00E336A2">
        <w:rPr>
          <w:rFonts w:eastAsia="Times New Roman" w:cs="Arial"/>
          <w:color w:val="000000"/>
        </w:rPr>
        <w:t xml:space="preserve">establishment under the </w:t>
      </w:r>
      <w:r w:rsidR="00C27909" w:rsidRPr="00E336A2">
        <w:rPr>
          <w:rFonts w:eastAsia="Times New Roman" w:cs="Arial"/>
          <w:color w:val="000000"/>
        </w:rPr>
        <w:t xml:space="preserve">Unruh </w:t>
      </w:r>
      <w:r w:rsidR="005F30F6" w:rsidRPr="00E336A2">
        <w:rPr>
          <w:rFonts w:eastAsia="Times New Roman" w:cs="Arial"/>
          <w:color w:val="000000"/>
        </w:rPr>
        <w:t>Act</w:t>
      </w:r>
      <w:r w:rsidR="006514AD" w:rsidRPr="00E336A2">
        <w:rPr>
          <w:rFonts w:eastAsia="Times New Roman" w:cs="Arial"/>
          <w:color w:val="000000"/>
        </w:rPr>
        <w:t xml:space="preserve"> and concluded they</w:t>
      </w:r>
      <w:r w:rsidR="00A53EEE" w:rsidRPr="00E336A2">
        <w:rPr>
          <w:rFonts w:eastAsia="Times New Roman" w:cs="Arial"/>
          <w:color w:val="000000"/>
        </w:rPr>
        <w:t xml:space="preserve"> </w:t>
      </w:r>
      <w:r w:rsidR="006514AD" w:rsidRPr="00E336A2">
        <w:rPr>
          <w:rFonts w:eastAsia="Times New Roman" w:cs="Arial"/>
          <w:color w:val="000000"/>
        </w:rPr>
        <w:t>were not.</w:t>
      </w:r>
      <w:r w:rsidR="005F30F6" w:rsidRPr="00E336A2">
        <w:rPr>
          <w:rFonts w:eastAsia="Times New Roman" w:cs="Arial"/>
          <w:color w:val="000000"/>
        </w:rPr>
        <w:t xml:space="preserve"> </w:t>
      </w:r>
      <w:r w:rsidR="006514AD" w:rsidRPr="00E336A2">
        <w:rPr>
          <w:rFonts w:eastAsia="Times New Roman" w:cs="Arial"/>
          <w:color w:val="000000"/>
        </w:rPr>
        <w:t xml:space="preserve"> </w:t>
      </w:r>
      <w:r w:rsidR="005F30F6" w:rsidRPr="00E336A2">
        <w:rPr>
          <w:rFonts w:eastAsia="Times New Roman" w:cs="Arial"/>
          <w:color w:val="000000"/>
        </w:rPr>
        <w:t>(</w:t>
      </w:r>
      <w:r w:rsidR="005831EF" w:rsidRPr="00E336A2">
        <w:rPr>
          <w:rFonts w:eastAsia="Times New Roman" w:cs="Arial"/>
          <w:i/>
          <w:iCs/>
          <w:color w:val="000000"/>
        </w:rPr>
        <w:t xml:space="preserve">Harrison v. City of Rancho Mirage </w:t>
      </w:r>
      <w:r w:rsidR="005831EF" w:rsidRPr="00E336A2">
        <w:rPr>
          <w:rFonts w:eastAsia="Times New Roman" w:cs="Arial"/>
          <w:color w:val="000000"/>
        </w:rPr>
        <w:t>(2015) 243 Cal.App.4th 162, 175 [city not a business establishment in amending municipal code to increase age of person “responsible” for short-term rental];</w:t>
      </w:r>
      <w:r w:rsidR="004D2EC0" w:rsidRPr="00E336A2">
        <w:rPr>
          <w:rFonts w:eastAsia="Times New Roman" w:cs="Arial"/>
          <w:color w:val="000000"/>
        </w:rPr>
        <w:t xml:space="preserve"> Q</w:t>
      </w:r>
      <w:r w:rsidR="004D2EC0" w:rsidRPr="00E336A2">
        <w:rPr>
          <w:rFonts w:eastAsia="Times New Roman" w:cs="Arial"/>
          <w:i/>
          <w:iCs/>
          <w:color w:val="000000"/>
        </w:rPr>
        <w:t>ualified Patients Assn</w:t>
      </w:r>
      <w:r w:rsidR="00332E0F" w:rsidRPr="00E336A2">
        <w:rPr>
          <w:rFonts w:eastAsia="Times New Roman" w:cs="Arial"/>
          <w:i/>
          <w:iCs/>
          <w:color w:val="000000"/>
        </w:rPr>
        <w:t>.</w:t>
      </w:r>
      <w:r w:rsidR="004D2EC0" w:rsidRPr="00E336A2">
        <w:rPr>
          <w:rFonts w:eastAsia="Times New Roman" w:cs="Arial"/>
          <w:i/>
          <w:iCs/>
          <w:color w:val="000000"/>
        </w:rPr>
        <w:t xml:space="preserve"> v. City of Anaheim </w:t>
      </w:r>
      <w:r w:rsidR="004D2EC0" w:rsidRPr="00E336A2">
        <w:rPr>
          <w:rFonts w:eastAsia="Times New Roman" w:cs="Arial"/>
          <w:color w:val="000000"/>
        </w:rPr>
        <w:t xml:space="preserve">(2010) 187 Cal.App.4th 734, </w:t>
      </w:r>
      <w:r w:rsidR="008F6F3D" w:rsidRPr="00E336A2">
        <w:rPr>
          <w:rFonts w:eastAsia="Times New Roman" w:cs="Arial"/>
          <w:color w:val="000000"/>
        </w:rPr>
        <w:t xml:space="preserve">764 [city </w:t>
      </w:r>
      <w:r w:rsidR="002C7C87" w:rsidRPr="00E336A2">
        <w:rPr>
          <w:rFonts w:eastAsia="Times New Roman" w:cs="Arial"/>
          <w:color w:val="000000"/>
        </w:rPr>
        <w:t xml:space="preserve">“not functioning as a ‘business establishment’ ” in </w:t>
      </w:r>
      <w:r w:rsidR="008F6F3D" w:rsidRPr="00E336A2">
        <w:rPr>
          <w:rFonts w:eastAsia="Times New Roman" w:cs="Arial"/>
          <w:color w:val="000000"/>
        </w:rPr>
        <w:t>enacting legislation regulating medical marijuana</w:t>
      </w:r>
      <w:r w:rsidR="002C7C87" w:rsidRPr="00E336A2">
        <w:rPr>
          <w:rFonts w:eastAsia="Times New Roman" w:cs="Arial"/>
          <w:color w:val="000000"/>
        </w:rPr>
        <w:t>]</w:t>
      </w:r>
      <w:r w:rsidR="008F6F3D" w:rsidRPr="00E336A2">
        <w:rPr>
          <w:rFonts w:eastAsia="Times New Roman" w:cs="Arial"/>
          <w:color w:val="000000"/>
        </w:rPr>
        <w:t>;</w:t>
      </w:r>
      <w:r w:rsidR="004D2EC0" w:rsidRPr="00E336A2">
        <w:rPr>
          <w:rFonts w:eastAsia="Times New Roman" w:cs="Arial"/>
          <w:color w:val="000000"/>
        </w:rPr>
        <w:t xml:space="preserve"> </w:t>
      </w:r>
      <w:r w:rsidR="004D2EC0" w:rsidRPr="00E336A2">
        <w:rPr>
          <w:rFonts w:eastAsia="Times New Roman" w:cs="Arial"/>
          <w:i/>
          <w:iCs/>
          <w:color w:val="000000"/>
        </w:rPr>
        <w:t xml:space="preserve">Burnett v. San Francisco Police </w:t>
      </w:r>
      <w:r w:rsidR="00332E0F" w:rsidRPr="00E336A2">
        <w:rPr>
          <w:rFonts w:eastAsia="Times New Roman" w:cs="Arial"/>
          <w:i/>
          <w:iCs/>
          <w:color w:val="000000"/>
        </w:rPr>
        <w:t>Department</w:t>
      </w:r>
      <w:r w:rsidR="004D2EC0" w:rsidRPr="00E336A2">
        <w:rPr>
          <w:rFonts w:eastAsia="Times New Roman" w:cs="Arial"/>
          <w:i/>
          <w:iCs/>
          <w:color w:val="000000"/>
        </w:rPr>
        <w:t xml:space="preserve"> </w:t>
      </w:r>
      <w:r w:rsidR="004D2EC0" w:rsidRPr="00E336A2">
        <w:rPr>
          <w:rFonts w:eastAsia="Times New Roman" w:cs="Arial"/>
          <w:color w:val="000000"/>
        </w:rPr>
        <w:t>(1995) 36 Cal.App.4th 1177, 11</w:t>
      </w:r>
      <w:r w:rsidR="00332E0F" w:rsidRPr="00E336A2">
        <w:rPr>
          <w:rFonts w:eastAsia="Times New Roman" w:cs="Arial"/>
          <w:color w:val="000000"/>
        </w:rPr>
        <w:t>91</w:t>
      </w:r>
      <w:r w:rsidR="009F2706" w:rsidRPr="00E336A2">
        <w:rPr>
          <w:rFonts w:eastAsia="Times New Roman" w:cs="Arial"/>
          <w:color w:val="000000"/>
        </w:rPr>
        <w:t>–</w:t>
      </w:r>
      <w:r w:rsidR="00332E0F" w:rsidRPr="00E336A2">
        <w:rPr>
          <w:rFonts w:eastAsia="Times New Roman" w:cs="Arial"/>
          <w:color w:val="000000"/>
        </w:rPr>
        <w:t>1192</w:t>
      </w:r>
      <w:r w:rsidR="004D2EC0" w:rsidRPr="00E336A2">
        <w:rPr>
          <w:rFonts w:eastAsia="Times New Roman" w:cs="Arial"/>
          <w:color w:val="000000"/>
        </w:rPr>
        <w:t xml:space="preserve"> [city ordinance restricting young adults from after-ho</w:t>
      </w:r>
      <w:r w:rsidR="008F6F3D" w:rsidRPr="00E336A2">
        <w:rPr>
          <w:rFonts w:eastAsia="Times New Roman" w:cs="Arial"/>
          <w:color w:val="000000"/>
        </w:rPr>
        <w:t>u</w:t>
      </w:r>
      <w:r w:rsidR="004D2EC0" w:rsidRPr="00E336A2">
        <w:rPr>
          <w:rFonts w:eastAsia="Times New Roman" w:cs="Arial"/>
          <w:color w:val="000000"/>
        </w:rPr>
        <w:t>rs clubs</w:t>
      </w:r>
      <w:r w:rsidR="002C7C87" w:rsidRPr="00E336A2">
        <w:rPr>
          <w:rFonts w:eastAsia="Times New Roman" w:cs="Arial"/>
          <w:color w:val="000000"/>
        </w:rPr>
        <w:t xml:space="preserve"> not actionable under </w:t>
      </w:r>
      <w:r w:rsidR="004D2EC0" w:rsidRPr="00E336A2">
        <w:rPr>
          <w:rFonts w:eastAsia="Times New Roman" w:cs="Arial"/>
          <w:color w:val="000000"/>
        </w:rPr>
        <w:t>Unruh Act</w:t>
      </w:r>
      <w:r w:rsidR="002C7C87" w:rsidRPr="00E336A2">
        <w:rPr>
          <w:rFonts w:eastAsia="Times New Roman" w:cs="Arial"/>
          <w:color w:val="000000"/>
        </w:rPr>
        <w:t>;</w:t>
      </w:r>
      <w:r w:rsidR="004D2EC0" w:rsidRPr="00E336A2">
        <w:rPr>
          <w:rFonts w:eastAsia="Times New Roman" w:cs="Arial"/>
          <w:i/>
          <w:iCs/>
          <w:color w:val="000000"/>
        </w:rPr>
        <w:t xml:space="preserve"> </w:t>
      </w:r>
      <w:r w:rsidR="004D2EC0" w:rsidRPr="00E336A2">
        <w:rPr>
          <w:rFonts w:eastAsia="Times New Roman" w:cs="Arial"/>
          <w:color w:val="000000"/>
        </w:rPr>
        <w:t xml:space="preserve">nothing in Act “precludes </w:t>
      </w:r>
      <w:r w:rsidR="004D2EC0" w:rsidRPr="00E336A2">
        <w:rPr>
          <w:rFonts w:eastAsia="Times New Roman" w:cs="Arial"/>
          <w:i/>
          <w:iCs/>
          <w:color w:val="000000"/>
        </w:rPr>
        <w:t xml:space="preserve">legislative bodies </w:t>
      </w:r>
      <w:r w:rsidR="004D2EC0" w:rsidRPr="00E336A2">
        <w:rPr>
          <w:rFonts w:eastAsia="Times New Roman" w:cs="Arial"/>
          <w:color w:val="000000"/>
        </w:rPr>
        <w:t>from enacting ordinances that make age distinctions among adults”];</w:t>
      </w:r>
      <w:r w:rsidR="005831EF" w:rsidRPr="00E336A2">
        <w:rPr>
          <w:rFonts w:eastAsia="Times New Roman" w:cs="Arial"/>
          <w:color w:val="000000"/>
        </w:rPr>
        <w:t xml:space="preserve"> see</w:t>
      </w:r>
      <w:r w:rsidR="00FE7226" w:rsidRPr="00E336A2">
        <w:rPr>
          <w:rFonts w:eastAsia="Times New Roman" w:cs="Arial"/>
          <w:color w:val="000000"/>
        </w:rPr>
        <w:t xml:space="preserve"> </w:t>
      </w:r>
      <w:r w:rsidR="005831EF" w:rsidRPr="00E336A2">
        <w:rPr>
          <w:rFonts w:eastAsia="Times New Roman" w:cs="Arial"/>
          <w:i/>
          <w:iCs/>
          <w:color w:val="000000"/>
        </w:rPr>
        <w:t xml:space="preserve">Carter v. City of Los Angeles </w:t>
      </w:r>
      <w:r w:rsidR="005831EF" w:rsidRPr="00E336A2">
        <w:rPr>
          <w:rFonts w:eastAsia="Times New Roman" w:cs="Arial"/>
          <w:color w:val="000000"/>
        </w:rPr>
        <w:t>(2014) 224 Cal.App.4th 808, 825</w:t>
      </w:r>
      <w:r w:rsidR="009F2706" w:rsidRPr="00E336A2">
        <w:rPr>
          <w:rFonts w:eastAsia="Times New Roman" w:cs="Arial"/>
          <w:color w:val="000000"/>
        </w:rPr>
        <w:t>–</w:t>
      </w:r>
      <w:r w:rsidR="00D02C73" w:rsidRPr="00E336A2">
        <w:rPr>
          <w:rFonts w:eastAsia="Times New Roman" w:cs="Arial"/>
          <w:color w:val="000000"/>
        </w:rPr>
        <w:t>826</w:t>
      </w:r>
      <w:r w:rsidR="005831EF" w:rsidRPr="00E336A2">
        <w:rPr>
          <w:rFonts w:eastAsia="Times New Roman" w:cs="Arial"/>
          <w:color w:val="000000"/>
        </w:rPr>
        <w:t xml:space="preserve"> </w:t>
      </w:r>
      <w:r w:rsidR="002445B5" w:rsidRPr="00E336A2">
        <w:rPr>
          <w:rFonts w:eastAsia="Times New Roman" w:cs="Arial"/>
          <w:color w:val="000000"/>
        </w:rPr>
        <w:t>(</w:t>
      </w:r>
      <w:r w:rsidR="002445B5" w:rsidRPr="00E336A2">
        <w:rPr>
          <w:rFonts w:eastAsia="Times New Roman" w:cs="Arial"/>
          <w:i/>
          <w:iCs/>
          <w:color w:val="000000"/>
        </w:rPr>
        <w:t>Carter</w:t>
      </w:r>
      <w:r w:rsidR="002445B5" w:rsidRPr="00E336A2">
        <w:rPr>
          <w:rFonts w:eastAsia="Times New Roman" w:cs="Arial"/>
          <w:color w:val="000000"/>
        </w:rPr>
        <w:t xml:space="preserve">) </w:t>
      </w:r>
      <w:r w:rsidR="005831EF" w:rsidRPr="00E336A2">
        <w:rPr>
          <w:rFonts w:eastAsia="Times New Roman" w:cs="Arial"/>
          <w:color w:val="000000"/>
        </w:rPr>
        <w:t>[</w:t>
      </w:r>
      <w:r w:rsidR="004D2EC0" w:rsidRPr="00E336A2">
        <w:rPr>
          <w:rFonts w:eastAsia="Times New Roman" w:cs="Arial"/>
          <w:color w:val="000000"/>
        </w:rPr>
        <w:t xml:space="preserve">although appellate court reversed approval of class action settlement, it agreed recovery of damages under </w:t>
      </w:r>
      <w:r w:rsidR="005831EF" w:rsidRPr="00E336A2">
        <w:rPr>
          <w:rFonts w:eastAsia="Times New Roman" w:cs="Arial"/>
          <w:color w:val="000000"/>
        </w:rPr>
        <w:t xml:space="preserve">Unruh Act </w:t>
      </w:r>
      <w:r w:rsidR="004D2EC0" w:rsidRPr="00E336A2">
        <w:rPr>
          <w:rFonts w:eastAsia="Times New Roman" w:cs="Arial"/>
          <w:color w:val="000000"/>
        </w:rPr>
        <w:t>was “unlikely,</w:t>
      </w:r>
      <w:r w:rsidR="00FE7226" w:rsidRPr="00E336A2">
        <w:rPr>
          <w:rFonts w:eastAsia="Times New Roman" w:cs="Arial"/>
          <w:color w:val="000000"/>
        </w:rPr>
        <w:t>”</w:t>
      </w:r>
      <w:r w:rsidR="004D2EC0" w:rsidRPr="00E336A2">
        <w:rPr>
          <w:rFonts w:eastAsia="Times New Roman" w:cs="Arial"/>
          <w:color w:val="000000"/>
        </w:rPr>
        <w:t xml:space="preserve"> as </w:t>
      </w:r>
      <w:r w:rsidR="005831EF" w:rsidRPr="00E336A2">
        <w:rPr>
          <w:rFonts w:eastAsia="Times New Roman" w:cs="Arial"/>
          <w:color w:val="000000"/>
        </w:rPr>
        <w:t xml:space="preserve">a “public entity </w:t>
      </w:r>
      <w:r w:rsidR="005831EF" w:rsidRPr="00E336A2">
        <w:rPr>
          <w:rFonts w:eastAsia="Times New Roman" w:cs="Arial"/>
          <w:color w:val="000000"/>
        </w:rPr>
        <w:lastRenderedPageBreak/>
        <w:t xml:space="preserve">providing </w:t>
      </w:r>
      <w:r w:rsidR="00332E0F" w:rsidRPr="00E336A2">
        <w:rPr>
          <w:rFonts w:eastAsia="Times New Roman" w:cs="Arial"/>
          <w:color w:val="000000"/>
        </w:rPr>
        <w:t xml:space="preserve">sidewalks and </w:t>
      </w:r>
      <w:r w:rsidR="005831EF" w:rsidRPr="00E336A2">
        <w:rPr>
          <w:rFonts w:eastAsia="Times New Roman" w:cs="Arial"/>
          <w:color w:val="000000"/>
        </w:rPr>
        <w:t>curbs to its citizens does so as a public servant, not a commercial enterprise</w:t>
      </w:r>
      <w:r w:rsidR="004D2EC0" w:rsidRPr="00E336A2">
        <w:rPr>
          <w:rFonts w:eastAsia="Times New Roman" w:cs="Arial"/>
          <w:color w:val="000000"/>
        </w:rPr>
        <w:t>”].)</w:t>
      </w:r>
    </w:p>
    <w:p w14:paraId="0567DAED" w14:textId="77777777" w:rsidR="00456243" w:rsidRPr="00E336A2" w:rsidRDefault="00F30FED" w:rsidP="009E5C6C">
      <w:pPr>
        <w:spacing w:line="360" w:lineRule="auto"/>
        <w:rPr>
          <w:rFonts w:eastAsia="Times New Roman" w:cs="Arial"/>
          <w:color w:val="000000"/>
        </w:rPr>
      </w:pPr>
      <w:r w:rsidRPr="00E336A2">
        <w:rPr>
          <w:rFonts w:eastAsia="Times New Roman" w:cs="Arial"/>
          <w:color w:val="000000"/>
        </w:rPr>
        <w:tab/>
      </w:r>
      <w:r w:rsidR="008F6F3D" w:rsidRPr="00E336A2">
        <w:rPr>
          <w:rFonts w:eastAsia="Times New Roman" w:cs="Arial"/>
          <w:color w:val="000000"/>
        </w:rPr>
        <w:t>Although the analy</w:t>
      </w:r>
      <w:r w:rsidR="00456243" w:rsidRPr="00E336A2">
        <w:rPr>
          <w:rFonts w:eastAsia="Times New Roman" w:cs="Arial"/>
          <w:color w:val="000000"/>
        </w:rPr>
        <w:t>s</w:t>
      </w:r>
      <w:r w:rsidR="008F6F3D" w:rsidRPr="00E336A2">
        <w:rPr>
          <w:rFonts w:eastAsia="Times New Roman" w:cs="Arial"/>
          <w:color w:val="000000"/>
        </w:rPr>
        <w:t xml:space="preserve">es </w:t>
      </w:r>
      <w:r w:rsidR="00456243" w:rsidRPr="00E336A2">
        <w:rPr>
          <w:rFonts w:eastAsia="Times New Roman" w:cs="Arial"/>
          <w:color w:val="000000"/>
        </w:rPr>
        <w:t xml:space="preserve">in these cases </w:t>
      </w:r>
      <w:r w:rsidR="002C7C87" w:rsidRPr="00E336A2">
        <w:rPr>
          <w:rFonts w:eastAsia="Times New Roman" w:cs="Arial"/>
          <w:color w:val="000000"/>
        </w:rPr>
        <w:t>was</w:t>
      </w:r>
      <w:r w:rsidR="00456243" w:rsidRPr="00E336A2">
        <w:rPr>
          <w:rFonts w:eastAsia="Times New Roman" w:cs="Arial"/>
          <w:color w:val="000000"/>
        </w:rPr>
        <w:t xml:space="preserve"> more limited than ours here</w:t>
      </w:r>
      <w:r w:rsidR="002445B5" w:rsidRPr="00E336A2">
        <w:rPr>
          <w:rFonts w:eastAsia="Times New Roman" w:cs="Arial"/>
          <w:color w:val="000000"/>
        </w:rPr>
        <w:t xml:space="preserve"> and generally focused on a government entity’s legislative activity</w:t>
      </w:r>
      <w:r w:rsidR="002C7C87" w:rsidRPr="00E336A2">
        <w:rPr>
          <w:rFonts w:eastAsia="Times New Roman" w:cs="Arial"/>
          <w:color w:val="000000"/>
        </w:rPr>
        <w:t>,</w:t>
      </w:r>
      <w:r w:rsidR="00456243" w:rsidRPr="00E336A2">
        <w:rPr>
          <w:rFonts w:eastAsia="Times New Roman" w:cs="Arial"/>
          <w:color w:val="000000"/>
        </w:rPr>
        <w:t xml:space="preserve"> the result they reach</w:t>
      </w:r>
      <w:r w:rsidR="00FE7226" w:rsidRPr="00E336A2">
        <w:rPr>
          <w:rFonts w:eastAsia="Times New Roman" w:cs="Arial"/>
          <w:color w:val="000000"/>
        </w:rPr>
        <w:t>ed</w:t>
      </w:r>
      <w:r w:rsidR="00456243" w:rsidRPr="00E336A2">
        <w:rPr>
          <w:rFonts w:eastAsia="Times New Roman" w:cs="Arial"/>
          <w:color w:val="000000"/>
        </w:rPr>
        <w:t xml:space="preserve"> is the same—government entities were </w:t>
      </w:r>
      <w:r w:rsidR="00FE7226" w:rsidRPr="00E336A2">
        <w:rPr>
          <w:rFonts w:eastAsia="Times New Roman" w:cs="Arial"/>
          <w:color w:val="000000"/>
        </w:rPr>
        <w:t xml:space="preserve">held not to be </w:t>
      </w:r>
      <w:r w:rsidR="00456243" w:rsidRPr="00E336A2">
        <w:rPr>
          <w:rFonts w:eastAsia="Times New Roman" w:cs="Arial"/>
          <w:color w:val="000000"/>
        </w:rPr>
        <w:t xml:space="preserve">business establishments under the </w:t>
      </w:r>
      <w:r w:rsidR="009F2706">
        <w:rPr>
          <w:rFonts w:eastAsia="Times New Roman" w:cs="Arial"/>
          <w:color w:val="000000"/>
        </w:rPr>
        <w:t xml:space="preserve">Unruh </w:t>
      </w:r>
      <w:r w:rsidR="00456243" w:rsidRPr="00E336A2">
        <w:rPr>
          <w:rFonts w:eastAsia="Times New Roman" w:cs="Arial"/>
          <w:color w:val="000000"/>
        </w:rPr>
        <w:t xml:space="preserve">Act.  </w:t>
      </w:r>
      <w:r w:rsidR="00FE7226" w:rsidRPr="00E336A2">
        <w:rPr>
          <w:rFonts w:eastAsia="Times New Roman" w:cs="Arial"/>
          <w:color w:val="000000"/>
        </w:rPr>
        <w:t xml:space="preserve">Furthermore, </w:t>
      </w:r>
      <w:r w:rsidR="00456243" w:rsidRPr="00E336A2">
        <w:rPr>
          <w:rFonts w:eastAsia="Times New Roman" w:cs="Arial"/>
          <w:color w:val="000000"/>
        </w:rPr>
        <w:t xml:space="preserve">public school districts can well be described, in acting as the state’s agent in delivering constitutionally mandated, free primary and secondary education to the state’s school age children, as a “public servant, not </w:t>
      </w:r>
      <w:r w:rsidR="008E6271" w:rsidRPr="00E336A2">
        <w:rPr>
          <w:rFonts w:eastAsia="Times New Roman" w:cs="Arial"/>
          <w:color w:val="000000"/>
        </w:rPr>
        <w:t>[</w:t>
      </w:r>
      <w:r w:rsidR="00456243" w:rsidRPr="00E336A2">
        <w:rPr>
          <w:rFonts w:eastAsia="Times New Roman" w:cs="Arial"/>
          <w:color w:val="000000"/>
        </w:rPr>
        <w:t>as</w:t>
      </w:r>
      <w:r w:rsidR="008E6271" w:rsidRPr="00E336A2">
        <w:rPr>
          <w:rFonts w:eastAsia="Times New Roman" w:cs="Arial"/>
          <w:color w:val="000000"/>
        </w:rPr>
        <w:t>]</w:t>
      </w:r>
      <w:r w:rsidR="00456243" w:rsidRPr="00E336A2">
        <w:rPr>
          <w:rFonts w:eastAsia="Times New Roman" w:cs="Arial"/>
          <w:color w:val="000000"/>
        </w:rPr>
        <w:t xml:space="preserve"> a commercial enterprise.”</w:t>
      </w:r>
      <w:r w:rsidR="00283A02" w:rsidRPr="00E336A2">
        <w:rPr>
          <w:rStyle w:val="FootnoteReference"/>
          <w:rFonts w:eastAsia="Times New Roman" w:cs="Arial"/>
          <w:color w:val="000000"/>
        </w:rPr>
        <w:footnoteReference w:id="9"/>
      </w:r>
      <w:r w:rsidR="002445B5" w:rsidRPr="00E336A2">
        <w:rPr>
          <w:rFonts w:eastAsia="Times New Roman" w:cs="Arial"/>
          <w:color w:val="000000"/>
        </w:rPr>
        <w:t xml:space="preserve">  (</w:t>
      </w:r>
      <w:r w:rsidR="002445B5" w:rsidRPr="00E336A2">
        <w:rPr>
          <w:rFonts w:eastAsia="Times New Roman" w:cs="Arial"/>
          <w:i/>
          <w:iCs/>
          <w:color w:val="000000"/>
        </w:rPr>
        <w:t xml:space="preserve">Carter, supra, </w:t>
      </w:r>
      <w:r w:rsidR="002445B5" w:rsidRPr="00E336A2">
        <w:rPr>
          <w:rFonts w:eastAsia="Times New Roman" w:cs="Arial"/>
          <w:color w:val="000000"/>
        </w:rPr>
        <w:t>224 Cal.App.4th at p. 825.)</w:t>
      </w:r>
    </w:p>
    <w:p w14:paraId="7C465903" w14:textId="77777777" w:rsidR="00742315" w:rsidRPr="00E336A2" w:rsidRDefault="00456243" w:rsidP="009E5C6C">
      <w:pPr>
        <w:spacing w:line="360" w:lineRule="auto"/>
        <w:rPr>
          <w:rFonts w:eastAsia="Times New Roman" w:cs="Arial"/>
          <w:color w:val="000000"/>
        </w:rPr>
      </w:pPr>
      <w:r w:rsidRPr="00E336A2">
        <w:rPr>
          <w:rFonts w:eastAsia="Times New Roman" w:cs="Arial"/>
          <w:color w:val="000000"/>
        </w:rPr>
        <w:lastRenderedPageBreak/>
        <w:tab/>
      </w:r>
      <w:r w:rsidR="009F7E92" w:rsidRPr="00E336A2">
        <w:rPr>
          <w:rFonts w:eastAsia="Times New Roman" w:cs="Arial"/>
          <w:color w:val="000000"/>
        </w:rPr>
        <w:t xml:space="preserve">We must also comment on </w:t>
      </w:r>
      <w:r w:rsidR="009F7E92" w:rsidRPr="00E336A2">
        <w:rPr>
          <w:rFonts w:eastAsia="Times New Roman" w:cs="Arial"/>
          <w:i/>
          <w:iCs/>
          <w:color w:val="000000"/>
        </w:rPr>
        <w:t xml:space="preserve">Doe v. California Lutheran High School Assn. </w:t>
      </w:r>
      <w:r w:rsidR="009F7E92" w:rsidRPr="00E336A2">
        <w:rPr>
          <w:rFonts w:eastAsia="Times New Roman" w:cs="Arial"/>
          <w:color w:val="000000"/>
        </w:rPr>
        <w:t>(2009) 170 Cal.App.4th 828 (</w:t>
      </w:r>
      <w:r w:rsidR="009F7E92" w:rsidRPr="00E336A2">
        <w:rPr>
          <w:rFonts w:eastAsia="Times New Roman" w:cs="Arial"/>
          <w:i/>
          <w:iCs/>
          <w:color w:val="000000"/>
        </w:rPr>
        <w:t>California Lutheran</w:t>
      </w:r>
      <w:r w:rsidR="009F7E92" w:rsidRPr="00E336A2">
        <w:rPr>
          <w:rFonts w:eastAsia="Times New Roman" w:cs="Arial"/>
          <w:color w:val="000000"/>
        </w:rPr>
        <w:t xml:space="preserve">), in which the </w:t>
      </w:r>
      <w:r w:rsidR="00AF3AED" w:rsidRPr="00E336A2">
        <w:rPr>
          <w:rFonts w:eastAsia="Times New Roman" w:cs="Arial"/>
          <w:color w:val="000000"/>
        </w:rPr>
        <w:t>C</w:t>
      </w:r>
      <w:r w:rsidR="009F7E92" w:rsidRPr="00E336A2">
        <w:rPr>
          <w:rFonts w:eastAsia="Times New Roman" w:cs="Arial"/>
          <w:color w:val="000000"/>
        </w:rPr>
        <w:t xml:space="preserve">ourt of </w:t>
      </w:r>
      <w:r w:rsidR="00AF3AED" w:rsidRPr="00E336A2">
        <w:rPr>
          <w:rFonts w:eastAsia="Times New Roman" w:cs="Arial"/>
          <w:color w:val="000000"/>
        </w:rPr>
        <w:t>A</w:t>
      </w:r>
      <w:r w:rsidR="009F7E92" w:rsidRPr="00E336A2">
        <w:rPr>
          <w:rFonts w:eastAsia="Times New Roman" w:cs="Arial"/>
          <w:color w:val="000000"/>
        </w:rPr>
        <w:t xml:space="preserve">ppeal concluded a private, religiously affiliated secondary school was not a business establishment under the Act.  </w:t>
      </w:r>
      <w:r w:rsidR="002445B5" w:rsidRPr="00E336A2">
        <w:rPr>
          <w:rFonts w:eastAsia="Times New Roman" w:cs="Arial"/>
          <w:color w:val="000000"/>
        </w:rPr>
        <w:t>C</w:t>
      </w:r>
      <w:r w:rsidR="009F7E92" w:rsidRPr="00E336A2">
        <w:rPr>
          <w:rFonts w:eastAsia="Times New Roman" w:cs="Arial"/>
          <w:color w:val="000000"/>
        </w:rPr>
        <w:t>ontrast</w:t>
      </w:r>
      <w:r w:rsidR="002445B5" w:rsidRPr="00E336A2">
        <w:rPr>
          <w:rFonts w:eastAsia="Times New Roman" w:cs="Arial"/>
          <w:color w:val="000000"/>
        </w:rPr>
        <w:t>ing</w:t>
      </w:r>
      <w:r w:rsidR="009F7E92" w:rsidRPr="00E336A2">
        <w:rPr>
          <w:rFonts w:eastAsia="Times New Roman" w:cs="Arial"/>
          <w:color w:val="000000"/>
        </w:rPr>
        <w:t xml:space="preserve"> </w:t>
      </w:r>
      <w:r w:rsidR="009F7E92" w:rsidRPr="00E336A2">
        <w:rPr>
          <w:rFonts w:eastAsia="Times New Roman" w:cs="Arial"/>
          <w:i/>
          <w:iCs/>
          <w:color w:val="000000"/>
        </w:rPr>
        <w:t xml:space="preserve">Warfield </w:t>
      </w:r>
      <w:r w:rsidR="009F7E92" w:rsidRPr="00E336A2">
        <w:rPr>
          <w:rFonts w:eastAsia="Times New Roman" w:cs="Arial"/>
          <w:color w:val="000000"/>
        </w:rPr>
        <w:t xml:space="preserve">and </w:t>
      </w:r>
      <w:r w:rsidR="009F7E92" w:rsidRPr="00E336A2">
        <w:rPr>
          <w:rFonts w:eastAsia="Times New Roman" w:cs="Arial"/>
          <w:i/>
          <w:iCs/>
          <w:color w:val="000000"/>
        </w:rPr>
        <w:t>Curran</w:t>
      </w:r>
      <w:r w:rsidR="002445B5" w:rsidRPr="00E336A2">
        <w:rPr>
          <w:rFonts w:eastAsia="Times New Roman" w:cs="Arial"/>
          <w:i/>
          <w:iCs/>
          <w:color w:val="000000"/>
        </w:rPr>
        <w:t xml:space="preserve">, </w:t>
      </w:r>
      <w:r w:rsidR="002445B5" w:rsidRPr="00E336A2">
        <w:rPr>
          <w:rFonts w:eastAsia="Times New Roman" w:cs="Arial"/>
          <w:color w:val="000000"/>
        </w:rPr>
        <w:t xml:space="preserve">the court </w:t>
      </w:r>
      <w:r w:rsidR="009F7E92" w:rsidRPr="00E336A2">
        <w:rPr>
          <w:rFonts w:eastAsia="Times New Roman" w:cs="Arial"/>
          <w:color w:val="000000"/>
        </w:rPr>
        <w:t xml:space="preserve">concluded the school shared many of the same attributes </w:t>
      </w:r>
      <w:r w:rsidR="00C27909" w:rsidRPr="00E336A2">
        <w:rPr>
          <w:rFonts w:eastAsia="Times New Roman" w:cs="Arial"/>
          <w:color w:val="000000"/>
        </w:rPr>
        <w:t>of</w:t>
      </w:r>
      <w:r w:rsidR="009F7E92" w:rsidRPr="00E336A2">
        <w:rPr>
          <w:rFonts w:eastAsia="Times New Roman" w:cs="Arial"/>
          <w:color w:val="000000"/>
        </w:rPr>
        <w:t xml:space="preserve"> the Boy Scouts</w:t>
      </w:r>
      <w:r w:rsidR="002445B5" w:rsidRPr="00E336A2">
        <w:rPr>
          <w:rFonts w:eastAsia="Times New Roman" w:cs="Arial"/>
          <w:color w:val="000000"/>
        </w:rPr>
        <w:t>,</w:t>
      </w:r>
      <w:r w:rsidR="009F7E92" w:rsidRPr="00E336A2">
        <w:rPr>
          <w:rFonts w:eastAsia="Times New Roman" w:cs="Arial"/>
          <w:color w:val="000000"/>
        </w:rPr>
        <w:t xml:space="preserve"> in that </w:t>
      </w:r>
      <w:r w:rsidR="00F10710">
        <w:rPr>
          <w:rFonts w:eastAsia="Times New Roman" w:cs="Arial"/>
          <w:color w:val="000000"/>
        </w:rPr>
        <w:t xml:space="preserve">the </w:t>
      </w:r>
      <w:r w:rsidR="009F7E92" w:rsidRPr="00E336A2">
        <w:rPr>
          <w:rFonts w:eastAsia="Times New Roman" w:cs="Arial"/>
          <w:color w:val="000000"/>
        </w:rPr>
        <w:t xml:space="preserve">student body </w:t>
      </w:r>
      <w:r w:rsidR="00F10710">
        <w:rPr>
          <w:rFonts w:eastAsia="Times New Roman" w:cs="Arial"/>
          <w:color w:val="000000"/>
        </w:rPr>
        <w:t xml:space="preserve">was limited </w:t>
      </w:r>
      <w:r w:rsidR="009F7E92" w:rsidRPr="00E336A2">
        <w:rPr>
          <w:rFonts w:eastAsia="Times New Roman" w:cs="Arial"/>
          <w:color w:val="000000"/>
        </w:rPr>
        <w:t xml:space="preserve">to those sharing the Lutheran faith and a significant aspect of </w:t>
      </w:r>
      <w:r w:rsidR="00F10710">
        <w:rPr>
          <w:rFonts w:eastAsia="Times New Roman" w:cs="Arial"/>
          <w:color w:val="000000"/>
        </w:rPr>
        <w:t xml:space="preserve">the school’s </w:t>
      </w:r>
      <w:r w:rsidR="009F7E92" w:rsidRPr="00E336A2">
        <w:rPr>
          <w:rFonts w:eastAsia="Times New Roman" w:cs="Arial"/>
          <w:color w:val="000000"/>
        </w:rPr>
        <w:t xml:space="preserve">educational mission was furthering </w:t>
      </w:r>
      <w:r w:rsidR="00C27909" w:rsidRPr="00E336A2">
        <w:rPr>
          <w:rFonts w:eastAsia="Times New Roman" w:cs="Arial"/>
          <w:color w:val="000000"/>
        </w:rPr>
        <w:t xml:space="preserve">the </w:t>
      </w:r>
      <w:r w:rsidR="009F7E92" w:rsidRPr="00E336A2">
        <w:rPr>
          <w:rFonts w:eastAsia="Times New Roman" w:cs="Arial"/>
          <w:color w:val="000000"/>
        </w:rPr>
        <w:t xml:space="preserve">religious </w:t>
      </w:r>
      <w:r w:rsidR="002C7C87" w:rsidRPr="00E336A2">
        <w:rPr>
          <w:rFonts w:eastAsia="Times New Roman" w:cs="Arial"/>
          <w:color w:val="000000"/>
        </w:rPr>
        <w:t>ten</w:t>
      </w:r>
      <w:r w:rsidR="00570938" w:rsidRPr="00E336A2">
        <w:rPr>
          <w:rFonts w:eastAsia="Times New Roman" w:cs="Arial"/>
          <w:color w:val="000000"/>
        </w:rPr>
        <w:t>a</w:t>
      </w:r>
      <w:r w:rsidR="002C7C87" w:rsidRPr="00E336A2">
        <w:rPr>
          <w:rFonts w:eastAsia="Times New Roman" w:cs="Arial"/>
          <w:color w:val="000000"/>
        </w:rPr>
        <w:t>nts</w:t>
      </w:r>
      <w:r w:rsidR="00F10710">
        <w:rPr>
          <w:rFonts w:eastAsia="Times New Roman" w:cs="Arial"/>
          <w:color w:val="000000"/>
        </w:rPr>
        <w:t xml:space="preserve"> of the church</w:t>
      </w:r>
      <w:r w:rsidR="009F7E92" w:rsidRPr="00E336A2">
        <w:rPr>
          <w:rFonts w:eastAsia="Times New Roman" w:cs="Arial"/>
          <w:color w:val="000000"/>
        </w:rPr>
        <w:t>.  (</w:t>
      </w:r>
      <w:r w:rsidR="009F7E92" w:rsidRPr="00E336A2">
        <w:rPr>
          <w:rFonts w:eastAsia="Times New Roman" w:cs="Arial"/>
          <w:i/>
          <w:iCs/>
          <w:color w:val="000000"/>
        </w:rPr>
        <w:t xml:space="preserve">Id. </w:t>
      </w:r>
      <w:r w:rsidR="009F7E92" w:rsidRPr="00E336A2">
        <w:rPr>
          <w:rFonts w:eastAsia="Times New Roman" w:cs="Arial"/>
          <w:color w:val="000000"/>
        </w:rPr>
        <w:t xml:space="preserve">at pp. </w:t>
      </w:r>
      <w:r w:rsidR="0040066C" w:rsidRPr="00E336A2">
        <w:rPr>
          <w:rFonts w:eastAsia="Times New Roman" w:cs="Arial"/>
          <w:color w:val="000000"/>
        </w:rPr>
        <w:t xml:space="preserve">838, </w:t>
      </w:r>
      <w:r w:rsidR="009F7E92" w:rsidRPr="00E336A2">
        <w:rPr>
          <w:rFonts w:eastAsia="Times New Roman" w:cs="Arial"/>
          <w:color w:val="000000"/>
        </w:rPr>
        <w:t>840</w:t>
      </w:r>
      <w:r w:rsidR="00A74EFE" w:rsidRPr="00E336A2">
        <w:rPr>
          <w:rFonts w:eastAsia="Times New Roman" w:cs="Arial"/>
          <w:color w:val="000000"/>
        </w:rPr>
        <w:t>–</w:t>
      </w:r>
      <w:r w:rsidR="009F7E92" w:rsidRPr="00E336A2">
        <w:rPr>
          <w:rFonts w:eastAsia="Times New Roman" w:cs="Arial"/>
          <w:color w:val="000000"/>
        </w:rPr>
        <w:t xml:space="preserve">841.)  The court </w:t>
      </w:r>
      <w:r w:rsidR="00C27909" w:rsidRPr="00E336A2">
        <w:rPr>
          <w:rFonts w:eastAsia="Times New Roman" w:cs="Arial"/>
          <w:color w:val="000000"/>
        </w:rPr>
        <w:t xml:space="preserve">concluded by </w:t>
      </w:r>
      <w:r w:rsidR="00512B11" w:rsidRPr="00E336A2">
        <w:rPr>
          <w:rFonts w:eastAsia="Times New Roman" w:cs="Arial"/>
          <w:color w:val="000000"/>
        </w:rPr>
        <w:t>emphasiz</w:t>
      </w:r>
      <w:r w:rsidR="00C27909" w:rsidRPr="00E336A2">
        <w:rPr>
          <w:rFonts w:eastAsia="Times New Roman" w:cs="Arial"/>
          <w:color w:val="000000"/>
        </w:rPr>
        <w:t>ing</w:t>
      </w:r>
      <w:r w:rsidR="00512B11" w:rsidRPr="00E336A2">
        <w:rPr>
          <w:rFonts w:eastAsia="Times New Roman" w:cs="Arial"/>
          <w:color w:val="000000"/>
        </w:rPr>
        <w:t xml:space="preserve"> the narrow scope of its holding</w:t>
      </w:r>
      <w:r w:rsidR="005D7422" w:rsidRPr="00E336A2">
        <w:rPr>
          <w:rFonts w:eastAsia="Times New Roman" w:cs="Arial"/>
          <w:color w:val="000000"/>
        </w:rPr>
        <w:t>.</w:t>
      </w:r>
      <w:r w:rsidR="00512B11" w:rsidRPr="00E336A2">
        <w:rPr>
          <w:rFonts w:eastAsia="Times New Roman" w:cs="Arial"/>
          <w:color w:val="000000"/>
        </w:rPr>
        <w:t xml:space="preserve"> </w:t>
      </w:r>
      <w:r w:rsidR="005D7422" w:rsidRPr="00E336A2">
        <w:rPr>
          <w:rFonts w:eastAsia="Times New Roman" w:cs="Arial"/>
          <w:color w:val="000000"/>
        </w:rPr>
        <w:t xml:space="preserve"> </w:t>
      </w:r>
      <w:r w:rsidR="00512B11" w:rsidRPr="00E336A2">
        <w:rPr>
          <w:rFonts w:eastAsia="Times New Roman" w:cs="Arial"/>
          <w:color w:val="000000"/>
        </w:rPr>
        <w:t>(</w:t>
      </w:r>
      <w:r w:rsidR="005D7422" w:rsidRPr="00E336A2">
        <w:rPr>
          <w:rFonts w:eastAsia="Times New Roman" w:cs="Arial"/>
          <w:i/>
          <w:iCs/>
          <w:color w:val="000000"/>
        </w:rPr>
        <w:t>I</w:t>
      </w:r>
      <w:r w:rsidR="00512B11" w:rsidRPr="00E336A2">
        <w:rPr>
          <w:rFonts w:eastAsia="Times New Roman" w:cs="Arial"/>
          <w:i/>
          <w:iCs/>
          <w:color w:val="000000"/>
        </w:rPr>
        <w:t xml:space="preserve">d. </w:t>
      </w:r>
      <w:r w:rsidR="00512B11" w:rsidRPr="00E336A2">
        <w:rPr>
          <w:rFonts w:eastAsia="Times New Roman" w:cs="Arial"/>
          <w:color w:val="000000"/>
        </w:rPr>
        <w:t>at p. 841)</w:t>
      </w:r>
      <w:r w:rsidR="00FE7226" w:rsidRPr="00E336A2">
        <w:rPr>
          <w:rFonts w:eastAsia="Times New Roman" w:cs="Arial"/>
          <w:color w:val="000000"/>
        </w:rPr>
        <w:t xml:space="preserve">  Indeed, as we have observed, a secular private school, charging tuition and generally open to school-age children, is likely a business establishment for purposes of the Act.  (See Horowitz, </w:t>
      </w:r>
      <w:r w:rsidR="00FE7226" w:rsidRPr="00E336A2">
        <w:rPr>
          <w:rFonts w:eastAsia="Times New Roman" w:cs="Arial"/>
          <w:i/>
          <w:iCs/>
          <w:color w:val="000000"/>
        </w:rPr>
        <w:t>supra</w:t>
      </w:r>
      <w:r w:rsidR="00FE7226" w:rsidRPr="00E336A2">
        <w:rPr>
          <w:rFonts w:eastAsia="Times New Roman" w:cs="Arial"/>
          <w:color w:val="000000"/>
        </w:rPr>
        <w:t xml:space="preserve">, 33 </w:t>
      </w:r>
      <w:proofErr w:type="spellStart"/>
      <w:r w:rsidR="00FE7226" w:rsidRPr="00E336A2">
        <w:rPr>
          <w:rFonts w:eastAsia="Times New Roman" w:cs="Arial"/>
          <w:color w:val="000000"/>
        </w:rPr>
        <w:t>So.Cal.L.Rev</w:t>
      </w:r>
      <w:proofErr w:type="spellEnd"/>
      <w:r w:rsidR="00FE7226" w:rsidRPr="00E336A2">
        <w:rPr>
          <w:rFonts w:eastAsia="Times New Roman" w:cs="Arial"/>
          <w:color w:val="000000"/>
        </w:rPr>
        <w:t>. at pp. 285</w:t>
      </w:r>
      <w:r w:rsidR="00A74EFE" w:rsidRPr="00E336A2">
        <w:rPr>
          <w:rFonts w:eastAsia="Times New Roman" w:cs="Arial"/>
          <w:color w:val="000000"/>
        </w:rPr>
        <w:t>–</w:t>
      </w:r>
      <w:r w:rsidR="00FE7226" w:rsidRPr="00E336A2">
        <w:rPr>
          <w:rFonts w:eastAsia="Times New Roman" w:cs="Arial"/>
          <w:color w:val="000000"/>
        </w:rPr>
        <w:t>286.)</w:t>
      </w:r>
      <w:r w:rsidR="005D7422" w:rsidRPr="00E336A2">
        <w:rPr>
          <w:rFonts w:eastAsia="Times New Roman" w:cs="Arial"/>
          <w:color w:val="000000"/>
        </w:rPr>
        <w:t xml:space="preserve"> </w:t>
      </w:r>
      <w:r w:rsidR="00570938" w:rsidRPr="00E336A2">
        <w:rPr>
          <w:rFonts w:eastAsia="Times New Roman" w:cs="Arial"/>
          <w:color w:val="000000"/>
        </w:rPr>
        <w:t xml:space="preserve"> </w:t>
      </w:r>
      <w:r w:rsidR="00512B11" w:rsidRPr="00E336A2">
        <w:rPr>
          <w:rFonts w:eastAsia="Times New Roman" w:cs="Arial"/>
          <w:color w:val="000000"/>
        </w:rPr>
        <w:t xml:space="preserve">  </w:t>
      </w:r>
    </w:p>
    <w:p w14:paraId="31D1BAA8" w14:textId="77777777" w:rsidR="005D7422" w:rsidRPr="00E336A2" w:rsidRDefault="00742315" w:rsidP="009E5C6C">
      <w:pPr>
        <w:spacing w:line="360" w:lineRule="auto"/>
        <w:rPr>
          <w:rFonts w:eastAsia="Times New Roman" w:cs="Arial"/>
          <w:color w:val="000000"/>
        </w:rPr>
      </w:pPr>
      <w:r w:rsidRPr="00E336A2">
        <w:rPr>
          <w:rFonts w:eastAsia="Times New Roman" w:cs="Arial"/>
          <w:color w:val="000000"/>
        </w:rPr>
        <w:tab/>
      </w:r>
      <w:r w:rsidR="00B94083" w:rsidRPr="00E336A2">
        <w:rPr>
          <w:rFonts w:eastAsia="Times New Roman" w:cs="Arial"/>
          <w:color w:val="000000"/>
        </w:rPr>
        <w:t>Finally, w</w:t>
      </w:r>
      <w:r w:rsidRPr="00E336A2">
        <w:rPr>
          <w:rFonts w:eastAsia="Times New Roman" w:cs="Arial"/>
          <w:color w:val="000000"/>
        </w:rPr>
        <w:t xml:space="preserve">e must comment on the federal court cases that have </w:t>
      </w:r>
      <w:r w:rsidR="00B94083" w:rsidRPr="00E336A2">
        <w:rPr>
          <w:rFonts w:eastAsia="Times New Roman" w:cs="Arial"/>
          <w:color w:val="000000"/>
        </w:rPr>
        <w:t xml:space="preserve">considered </w:t>
      </w:r>
      <w:r w:rsidRPr="00E336A2">
        <w:rPr>
          <w:rFonts w:eastAsia="Times New Roman" w:cs="Arial"/>
          <w:color w:val="000000"/>
        </w:rPr>
        <w:t xml:space="preserve">whether </w:t>
      </w:r>
      <w:r w:rsidR="005E56D5" w:rsidRPr="00E336A2">
        <w:rPr>
          <w:rFonts w:eastAsia="Times New Roman" w:cs="Arial"/>
          <w:color w:val="000000"/>
        </w:rPr>
        <w:t xml:space="preserve">California </w:t>
      </w:r>
      <w:r w:rsidRPr="00E336A2">
        <w:rPr>
          <w:rFonts w:eastAsia="Times New Roman" w:cs="Arial"/>
          <w:color w:val="000000"/>
        </w:rPr>
        <w:t xml:space="preserve">public school districts are business </w:t>
      </w:r>
      <w:r w:rsidRPr="00E336A2">
        <w:rPr>
          <w:rFonts w:eastAsia="Times New Roman" w:cs="Arial"/>
          <w:color w:val="000000"/>
        </w:rPr>
        <w:lastRenderedPageBreak/>
        <w:t>establishments under the Unruh Act</w:t>
      </w:r>
      <w:r w:rsidR="005E56D5" w:rsidRPr="00E336A2">
        <w:rPr>
          <w:rFonts w:eastAsia="Times New Roman" w:cs="Arial"/>
          <w:color w:val="000000"/>
        </w:rPr>
        <w:t>.  I</w:t>
      </w:r>
      <w:r w:rsidRPr="00E336A2">
        <w:rPr>
          <w:rFonts w:eastAsia="Times New Roman" w:cs="Arial"/>
          <w:color w:val="000000"/>
        </w:rPr>
        <w:t xml:space="preserve">n the wake of </w:t>
      </w:r>
      <w:r w:rsidRPr="00E336A2">
        <w:rPr>
          <w:rFonts w:eastAsia="Times New Roman" w:cs="Arial"/>
          <w:i/>
          <w:iCs/>
          <w:color w:val="000000"/>
        </w:rPr>
        <w:t>Curran</w:t>
      </w:r>
      <w:r w:rsidRPr="00E336A2">
        <w:rPr>
          <w:rFonts w:eastAsia="Times New Roman" w:cs="Arial"/>
          <w:color w:val="000000"/>
        </w:rPr>
        <w:t xml:space="preserve">, </w:t>
      </w:r>
      <w:r w:rsidR="005E56D5" w:rsidRPr="00E336A2">
        <w:rPr>
          <w:rFonts w:eastAsia="Times New Roman" w:cs="Arial"/>
          <w:color w:val="000000"/>
        </w:rPr>
        <w:t xml:space="preserve">the federal courts </w:t>
      </w:r>
      <w:r w:rsidRPr="00E336A2">
        <w:rPr>
          <w:rFonts w:eastAsia="Times New Roman" w:cs="Arial"/>
          <w:color w:val="000000"/>
        </w:rPr>
        <w:t xml:space="preserve">have split on the </w:t>
      </w:r>
      <w:r w:rsidR="00B94083" w:rsidRPr="00E336A2">
        <w:rPr>
          <w:rFonts w:eastAsia="Times New Roman" w:cs="Arial"/>
          <w:color w:val="000000"/>
        </w:rPr>
        <w:t>question</w:t>
      </w:r>
      <w:r w:rsidRPr="00E336A2">
        <w:rPr>
          <w:rFonts w:eastAsia="Times New Roman" w:cs="Arial"/>
          <w:color w:val="000000"/>
        </w:rPr>
        <w:t>.</w:t>
      </w:r>
      <w:r w:rsidR="005E56D5" w:rsidRPr="00E336A2">
        <w:rPr>
          <w:rFonts w:eastAsia="Times New Roman" w:cs="Arial"/>
          <w:color w:val="000000"/>
        </w:rPr>
        <w:t xml:space="preserve">  </w:t>
      </w:r>
    </w:p>
    <w:p w14:paraId="55F28E87" w14:textId="77777777" w:rsidR="00B94083" w:rsidRPr="00E336A2" w:rsidRDefault="005D7422" w:rsidP="009E5C6C">
      <w:pPr>
        <w:spacing w:line="360" w:lineRule="auto"/>
        <w:rPr>
          <w:rFonts w:eastAsia="Times New Roman" w:cs="Arial"/>
          <w:color w:val="000000"/>
        </w:rPr>
      </w:pPr>
      <w:r w:rsidRPr="00E336A2">
        <w:rPr>
          <w:rFonts w:eastAsia="Times New Roman" w:cs="Arial"/>
          <w:color w:val="000000"/>
        </w:rPr>
        <w:tab/>
      </w:r>
      <w:r w:rsidR="005E56D5" w:rsidRPr="00E336A2">
        <w:rPr>
          <w:rFonts w:eastAsia="Times New Roman" w:cs="Arial"/>
          <w:color w:val="000000"/>
        </w:rPr>
        <w:t xml:space="preserve">In </w:t>
      </w:r>
      <w:proofErr w:type="spellStart"/>
      <w:r w:rsidR="005E56D5" w:rsidRPr="00E336A2">
        <w:rPr>
          <w:rFonts w:eastAsia="Times New Roman" w:cs="Arial"/>
          <w:i/>
          <w:iCs/>
          <w:color w:val="000000"/>
        </w:rPr>
        <w:t>Zuccaro</w:t>
      </w:r>
      <w:proofErr w:type="spellEnd"/>
      <w:r w:rsidR="005E56D5" w:rsidRPr="00E336A2">
        <w:rPr>
          <w:rFonts w:eastAsia="Times New Roman" w:cs="Arial"/>
          <w:i/>
          <w:iCs/>
          <w:color w:val="000000"/>
        </w:rPr>
        <w:t xml:space="preserve"> v. Martinez Unified School District</w:t>
      </w:r>
      <w:r w:rsidR="005E56D5" w:rsidRPr="00E336A2">
        <w:rPr>
          <w:rFonts w:eastAsia="Times New Roman" w:cs="Arial"/>
          <w:color w:val="000000"/>
        </w:rPr>
        <w:t xml:space="preserve"> (N.D. Cal. </w:t>
      </w:r>
      <w:r w:rsidR="0081660A" w:rsidRPr="00E336A2">
        <w:rPr>
          <w:rFonts w:eastAsia="Times New Roman" w:cs="Arial"/>
          <w:color w:val="000000"/>
        </w:rPr>
        <w:t xml:space="preserve">Sept. 27, </w:t>
      </w:r>
      <w:r w:rsidR="005E56D5" w:rsidRPr="00E336A2">
        <w:rPr>
          <w:rFonts w:eastAsia="Times New Roman" w:cs="Arial"/>
          <w:color w:val="000000"/>
        </w:rPr>
        <w:t>2016</w:t>
      </w:r>
      <w:r w:rsidR="00127212">
        <w:rPr>
          <w:rFonts w:eastAsia="Times New Roman" w:cs="Arial"/>
          <w:color w:val="000000"/>
        </w:rPr>
        <w:t>, No. 16-cv-02709-EDL</w:t>
      </w:r>
      <w:r w:rsidR="005E56D5" w:rsidRPr="00E336A2">
        <w:rPr>
          <w:rFonts w:eastAsia="Times New Roman" w:cs="Arial"/>
          <w:color w:val="000000"/>
        </w:rPr>
        <w:t>) 2016 WL 10807692</w:t>
      </w:r>
      <w:r w:rsidR="0044482B" w:rsidRPr="00E336A2">
        <w:rPr>
          <w:rFonts w:eastAsia="Times New Roman" w:cs="Arial"/>
          <w:color w:val="000000"/>
        </w:rPr>
        <w:t xml:space="preserve"> (</w:t>
      </w:r>
      <w:proofErr w:type="spellStart"/>
      <w:r w:rsidR="0044482B" w:rsidRPr="00E336A2">
        <w:rPr>
          <w:rFonts w:eastAsia="Times New Roman" w:cs="Arial"/>
          <w:i/>
          <w:iCs/>
          <w:color w:val="000000"/>
        </w:rPr>
        <w:t>Zucarro</w:t>
      </w:r>
      <w:proofErr w:type="spellEnd"/>
      <w:r w:rsidR="0044482B" w:rsidRPr="00E336A2">
        <w:rPr>
          <w:rFonts w:eastAsia="Times New Roman" w:cs="Arial"/>
          <w:color w:val="000000"/>
        </w:rPr>
        <w:t>)</w:t>
      </w:r>
      <w:r w:rsidR="005E56D5" w:rsidRPr="00E336A2">
        <w:rPr>
          <w:rFonts w:eastAsia="Times New Roman" w:cs="Arial"/>
          <w:color w:val="000000"/>
        </w:rPr>
        <w:t xml:space="preserve">, the district court </w:t>
      </w:r>
      <w:r w:rsidR="002445B5" w:rsidRPr="00E336A2">
        <w:rPr>
          <w:rFonts w:eastAsia="Times New Roman" w:cs="Arial"/>
          <w:color w:val="000000"/>
        </w:rPr>
        <w:t xml:space="preserve">concluded, </w:t>
      </w:r>
      <w:r w:rsidR="005E56D5" w:rsidRPr="00E336A2">
        <w:rPr>
          <w:rFonts w:eastAsia="Times New Roman" w:cs="Arial"/>
          <w:color w:val="000000"/>
        </w:rPr>
        <w:t>after a</w:t>
      </w:r>
      <w:r w:rsidR="00B94083" w:rsidRPr="00E336A2">
        <w:rPr>
          <w:rFonts w:eastAsia="Times New Roman" w:cs="Arial"/>
          <w:color w:val="000000"/>
        </w:rPr>
        <w:t xml:space="preserve"> </w:t>
      </w:r>
      <w:r w:rsidR="005E56D5" w:rsidRPr="00E336A2">
        <w:rPr>
          <w:rFonts w:eastAsia="Times New Roman" w:cs="Arial"/>
          <w:color w:val="000000"/>
        </w:rPr>
        <w:t xml:space="preserve">discussion of </w:t>
      </w:r>
      <w:proofErr w:type="spellStart"/>
      <w:r w:rsidR="0044482B" w:rsidRPr="00E336A2">
        <w:rPr>
          <w:rFonts w:eastAsia="Times New Roman" w:cs="Arial"/>
          <w:i/>
          <w:iCs/>
          <w:color w:val="000000"/>
        </w:rPr>
        <w:t>Isbister</w:t>
      </w:r>
      <w:proofErr w:type="spellEnd"/>
      <w:r w:rsidR="0044482B" w:rsidRPr="00E336A2">
        <w:rPr>
          <w:rFonts w:eastAsia="Times New Roman" w:cs="Arial"/>
          <w:i/>
          <w:iCs/>
          <w:color w:val="000000"/>
        </w:rPr>
        <w:t xml:space="preserve"> </w:t>
      </w:r>
      <w:r w:rsidR="0044482B" w:rsidRPr="00E336A2">
        <w:rPr>
          <w:rFonts w:eastAsia="Times New Roman" w:cs="Arial"/>
          <w:color w:val="000000"/>
        </w:rPr>
        <w:t xml:space="preserve">and </w:t>
      </w:r>
      <w:r w:rsidR="0044482B" w:rsidRPr="00E336A2">
        <w:rPr>
          <w:rFonts w:eastAsia="Times New Roman" w:cs="Arial"/>
          <w:i/>
          <w:iCs/>
          <w:color w:val="000000"/>
        </w:rPr>
        <w:t>Curran</w:t>
      </w:r>
      <w:r w:rsidR="0044482B" w:rsidRPr="00E336A2">
        <w:rPr>
          <w:rFonts w:eastAsia="Times New Roman" w:cs="Arial"/>
          <w:color w:val="000000"/>
        </w:rPr>
        <w:t xml:space="preserve">, </w:t>
      </w:r>
      <w:r w:rsidR="005E56D5" w:rsidRPr="00E336A2">
        <w:rPr>
          <w:rFonts w:eastAsia="Times New Roman" w:cs="Arial"/>
          <w:color w:val="000000"/>
        </w:rPr>
        <w:t xml:space="preserve">as well as </w:t>
      </w:r>
      <w:r w:rsidR="00250153" w:rsidRPr="00E336A2">
        <w:rPr>
          <w:rFonts w:eastAsia="Times New Roman" w:cs="Arial"/>
          <w:color w:val="000000"/>
        </w:rPr>
        <w:t xml:space="preserve">the </w:t>
      </w:r>
      <w:r w:rsidR="005E56D5" w:rsidRPr="00E336A2">
        <w:rPr>
          <w:rFonts w:eastAsia="Times New Roman" w:cs="Arial"/>
          <w:color w:val="000000"/>
        </w:rPr>
        <w:t xml:space="preserve">California </w:t>
      </w:r>
      <w:r w:rsidR="0081660A" w:rsidRPr="00E336A2">
        <w:rPr>
          <w:rFonts w:eastAsia="Times New Roman" w:cs="Arial"/>
          <w:color w:val="000000"/>
        </w:rPr>
        <w:t>C</w:t>
      </w:r>
      <w:r w:rsidR="005E56D5" w:rsidRPr="00E336A2">
        <w:rPr>
          <w:rFonts w:eastAsia="Times New Roman" w:cs="Arial"/>
          <w:color w:val="000000"/>
        </w:rPr>
        <w:t xml:space="preserve">ourt of </w:t>
      </w:r>
      <w:r w:rsidR="0081660A" w:rsidRPr="00E336A2">
        <w:rPr>
          <w:rFonts w:eastAsia="Times New Roman" w:cs="Arial"/>
          <w:color w:val="000000"/>
        </w:rPr>
        <w:t>A</w:t>
      </w:r>
      <w:r w:rsidR="005E56D5" w:rsidRPr="00E336A2">
        <w:rPr>
          <w:rFonts w:eastAsia="Times New Roman" w:cs="Arial"/>
          <w:color w:val="000000"/>
        </w:rPr>
        <w:t xml:space="preserve">ppeal decisions </w:t>
      </w:r>
      <w:r w:rsidR="00250153" w:rsidRPr="00E336A2">
        <w:rPr>
          <w:rFonts w:eastAsia="Times New Roman" w:cs="Arial"/>
          <w:color w:val="000000"/>
        </w:rPr>
        <w:t>we have discussed</w:t>
      </w:r>
      <w:r w:rsidR="00C27909" w:rsidRPr="00E336A2">
        <w:rPr>
          <w:rFonts w:eastAsia="Times New Roman" w:cs="Arial"/>
          <w:color w:val="000000"/>
        </w:rPr>
        <w:t xml:space="preserve">, </w:t>
      </w:r>
      <w:r w:rsidR="005E56D5" w:rsidRPr="00E336A2">
        <w:rPr>
          <w:rFonts w:eastAsia="Times New Roman" w:cs="Arial"/>
          <w:color w:val="000000"/>
        </w:rPr>
        <w:t>that “a public elementary school, particularly in its capacity of providing a free education to a special needs preschooler, is similarly acting as a public servant rather than a commercial enterprise and is therefore not subject to the Unruh Act.”  (</w:t>
      </w:r>
      <w:r w:rsidR="005E56D5" w:rsidRPr="00E336A2">
        <w:rPr>
          <w:rFonts w:eastAsia="Times New Roman" w:cs="Arial"/>
          <w:i/>
          <w:iCs/>
          <w:color w:val="000000"/>
        </w:rPr>
        <w:t xml:space="preserve">Id. </w:t>
      </w:r>
      <w:r w:rsidR="005E56D5" w:rsidRPr="00E336A2">
        <w:rPr>
          <w:rFonts w:eastAsia="Times New Roman" w:cs="Arial"/>
          <w:color w:val="000000"/>
        </w:rPr>
        <w:t>at</w:t>
      </w:r>
      <w:r w:rsidRPr="00E336A2">
        <w:rPr>
          <w:rFonts w:eastAsia="Times New Roman" w:cs="Arial"/>
          <w:color w:val="000000"/>
        </w:rPr>
        <w:t xml:space="preserve"> </w:t>
      </w:r>
      <w:r w:rsidR="005E56D5" w:rsidRPr="00E336A2">
        <w:rPr>
          <w:rFonts w:eastAsia="Times New Roman" w:cs="Arial"/>
          <w:color w:val="000000"/>
        </w:rPr>
        <w:t>*</w:t>
      </w:r>
      <w:r w:rsidRPr="00E336A2">
        <w:rPr>
          <w:rFonts w:eastAsia="Times New Roman" w:cs="Arial"/>
          <w:color w:val="000000"/>
        </w:rPr>
        <w:t>9</w:t>
      </w:r>
      <w:r w:rsidR="00A74EFE" w:rsidRPr="00E336A2">
        <w:rPr>
          <w:rFonts w:eastAsia="Times New Roman" w:cs="Arial"/>
          <w:color w:val="000000"/>
        </w:rPr>
        <w:t>–</w:t>
      </w:r>
      <w:r w:rsidRPr="00E336A2">
        <w:rPr>
          <w:rFonts w:eastAsia="Times New Roman" w:cs="Arial"/>
          <w:color w:val="000000"/>
        </w:rPr>
        <w:t>13</w:t>
      </w:r>
      <w:r w:rsidR="005E56D5" w:rsidRPr="00E336A2">
        <w:rPr>
          <w:rFonts w:eastAsia="Times New Roman" w:cs="Arial"/>
          <w:color w:val="000000"/>
        </w:rPr>
        <w:t xml:space="preserve">.)  </w:t>
      </w:r>
    </w:p>
    <w:p w14:paraId="5552C688" w14:textId="77777777" w:rsidR="005A68E5" w:rsidRPr="00E336A2" w:rsidRDefault="00B94083" w:rsidP="009E5C6C">
      <w:pPr>
        <w:spacing w:line="360" w:lineRule="auto"/>
        <w:rPr>
          <w:rFonts w:eastAsia="Times New Roman" w:cs="Arial"/>
          <w:color w:val="000000"/>
        </w:rPr>
      </w:pPr>
      <w:r w:rsidRPr="00E336A2">
        <w:rPr>
          <w:rFonts w:eastAsia="Times New Roman" w:cs="Arial"/>
          <w:color w:val="000000"/>
        </w:rPr>
        <w:tab/>
      </w:r>
      <w:proofErr w:type="spellStart"/>
      <w:r w:rsidRPr="00E336A2">
        <w:rPr>
          <w:rFonts w:eastAsia="Times New Roman" w:cs="Arial"/>
          <w:i/>
          <w:iCs/>
          <w:color w:val="000000"/>
        </w:rPr>
        <w:t>Zuccaro</w:t>
      </w:r>
      <w:proofErr w:type="spellEnd"/>
      <w:r w:rsidRPr="00E336A2">
        <w:rPr>
          <w:rFonts w:eastAsia="Times New Roman" w:cs="Arial"/>
          <w:i/>
          <w:iCs/>
          <w:color w:val="000000"/>
        </w:rPr>
        <w:t xml:space="preserve"> </w:t>
      </w:r>
      <w:r w:rsidR="00250153" w:rsidRPr="00E336A2">
        <w:rPr>
          <w:rFonts w:eastAsia="Times New Roman" w:cs="Arial"/>
          <w:color w:val="000000"/>
        </w:rPr>
        <w:t xml:space="preserve">acknowledged its </w:t>
      </w:r>
      <w:r w:rsidR="0044482B" w:rsidRPr="00E336A2">
        <w:rPr>
          <w:rFonts w:eastAsia="Times New Roman" w:cs="Arial"/>
          <w:color w:val="000000"/>
        </w:rPr>
        <w:t xml:space="preserve">conclusion was contrary to </w:t>
      </w:r>
      <w:r w:rsidR="00250153" w:rsidRPr="00E336A2">
        <w:rPr>
          <w:rFonts w:eastAsia="Times New Roman" w:cs="Arial"/>
          <w:color w:val="000000"/>
        </w:rPr>
        <w:t xml:space="preserve">that </w:t>
      </w:r>
      <w:r w:rsidR="002445B5" w:rsidRPr="00E336A2">
        <w:rPr>
          <w:rFonts w:eastAsia="Times New Roman" w:cs="Arial"/>
          <w:color w:val="000000"/>
        </w:rPr>
        <w:t>of</w:t>
      </w:r>
      <w:r w:rsidRPr="00E336A2">
        <w:rPr>
          <w:rFonts w:eastAsia="Times New Roman" w:cs="Arial"/>
          <w:color w:val="000000"/>
        </w:rPr>
        <w:t xml:space="preserve"> other </w:t>
      </w:r>
      <w:r w:rsidR="005E56D5" w:rsidRPr="00E336A2">
        <w:rPr>
          <w:rFonts w:eastAsia="Times New Roman" w:cs="Arial"/>
          <w:color w:val="000000"/>
        </w:rPr>
        <w:t>district court</w:t>
      </w:r>
      <w:r w:rsidR="002445B5" w:rsidRPr="00E336A2">
        <w:rPr>
          <w:rFonts w:eastAsia="Times New Roman" w:cs="Arial"/>
          <w:color w:val="000000"/>
        </w:rPr>
        <w:t>s</w:t>
      </w:r>
      <w:r w:rsidRPr="00E336A2">
        <w:rPr>
          <w:rFonts w:eastAsia="Times New Roman" w:cs="Arial"/>
          <w:color w:val="000000"/>
        </w:rPr>
        <w:t xml:space="preserve">—a </w:t>
      </w:r>
      <w:r w:rsidR="0044482B" w:rsidRPr="00E336A2">
        <w:rPr>
          <w:rFonts w:eastAsia="Times New Roman" w:cs="Arial"/>
          <w:color w:val="000000"/>
        </w:rPr>
        <w:t>line of cases on which p</w:t>
      </w:r>
      <w:r w:rsidR="00570938" w:rsidRPr="00E336A2">
        <w:rPr>
          <w:rFonts w:eastAsia="Times New Roman" w:cs="Arial"/>
          <w:color w:val="000000"/>
        </w:rPr>
        <w:t>etitioner</w:t>
      </w:r>
      <w:r w:rsidR="0044482B" w:rsidRPr="00E336A2">
        <w:rPr>
          <w:rFonts w:eastAsia="Times New Roman" w:cs="Arial"/>
          <w:color w:val="000000"/>
        </w:rPr>
        <w:t xml:space="preserve"> here relies.  </w:t>
      </w:r>
      <w:proofErr w:type="spellStart"/>
      <w:r w:rsidR="0044482B" w:rsidRPr="00E336A2">
        <w:rPr>
          <w:rFonts w:eastAsia="Times New Roman" w:cs="Arial"/>
          <w:i/>
          <w:iCs/>
          <w:color w:val="000000"/>
        </w:rPr>
        <w:t>Zuccaro</w:t>
      </w:r>
      <w:proofErr w:type="spellEnd"/>
      <w:r w:rsidR="0044482B" w:rsidRPr="00E336A2">
        <w:rPr>
          <w:rFonts w:eastAsia="Times New Roman" w:cs="Arial"/>
          <w:i/>
          <w:iCs/>
          <w:color w:val="000000"/>
        </w:rPr>
        <w:t xml:space="preserve"> </w:t>
      </w:r>
      <w:r w:rsidR="0044482B" w:rsidRPr="00E336A2">
        <w:rPr>
          <w:rFonts w:eastAsia="Times New Roman" w:cs="Arial"/>
          <w:color w:val="000000"/>
        </w:rPr>
        <w:t>pointed out</w:t>
      </w:r>
      <w:r w:rsidRPr="00E336A2">
        <w:rPr>
          <w:rFonts w:eastAsia="Times New Roman" w:cs="Arial"/>
          <w:color w:val="000000"/>
        </w:rPr>
        <w:t xml:space="preserve"> </w:t>
      </w:r>
      <w:r w:rsidR="0044482B" w:rsidRPr="00E336A2">
        <w:rPr>
          <w:rFonts w:eastAsia="Times New Roman" w:cs="Arial"/>
          <w:color w:val="000000"/>
        </w:rPr>
        <w:t xml:space="preserve">these cases </w:t>
      </w:r>
      <w:r w:rsidR="00F73F3B" w:rsidRPr="00E336A2">
        <w:rPr>
          <w:rFonts w:eastAsia="Times New Roman" w:cs="Arial"/>
          <w:color w:val="000000"/>
        </w:rPr>
        <w:t xml:space="preserve">have </w:t>
      </w:r>
      <w:r w:rsidR="00897841" w:rsidRPr="00E336A2">
        <w:rPr>
          <w:rFonts w:eastAsia="Times New Roman" w:cs="Arial"/>
          <w:color w:val="000000"/>
        </w:rPr>
        <w:t xml:space="preserve">all </w:t>
      </w:r>
      <w:r w:rsidR="00F73F3B" w:rsidRPr="00E336A2">
        <w:rPr>
          <w:rFonts w:eastAsia="Times New Roman" w:cs="Arial"/>
          <w:color w:val="000000"/>
        </w:rPr>
        <w:t xml:space="preserve">been </w:t>
      </w:r>
      <w:r w:rsidR="00897841" w:rsidRPr="00E336A2">
        <w:rPr>
          <w:rFonts w:eastAsia="Times New Roman" w:cs="Arial"/>
          <w:color w:val="000000"/>
        </w:rPr>
        <w:t xml:space="preserve">predicated </w:t>
      </w:r>
      <w:r w:rsidR="0044482B" w:rsidRPr="00E336A2">
        <w:rPr>
          <w:rFonts w:eastAsia="Times New Roman" w:cs="Arial"/>
          <w:color w:val="000000"/>
        </w:rPr>
        <w:t xml:space="preserve">on </w:t>
      </w:r>
      <w:proofErr w:type="spellStart"/>
      <w:r w:rsidR="0044482B" w:rsidRPr="00E336A2">
        <w:rPr>
          <w:rFonts w:eastAsia="Times New Roman" w:cs="Arial"/>
          <w:i/>
          <w:iCs/>
          <w:color w:val="000000"/>
        </w:rPr>
        <w:t>Isbister’s</w:t>
      </w:r>
      <w:proofErr w:type="spellEnd"/>
      <w:r w:rsidR="0044482B" w:rsidRPr="00E336A2">
        <w:rPr>
          <w:rFonts w:eastAsia="Times New Roman" w:cs="Arial"/>
          <w:i/>
          <w:iCs/>
          <w:color w:val="000000"/>
        </w:rPr>
        <w:t xml:space="preserve"> </w:t>
      </w:r>
      <w:r w:rsidR="00250153" w:rsidRPr="00E336A2">
        <w:rPr>
          <w:rFonts w:eastAsia="Times New Roman" w:cs="Arial"/>
          <w:color w:val="000000"/>
        </w:rPr>
        <w:t xml:space="preserve">reminder that the </w:t>
      </w:r>
      <w:r w:rsidR="00A74EFE">
        <w:rPr>
          <w:rFonts w:eastAsia="Times New Roman" w:cs="Arial"/>
          <w:color w:val="000000"/>
        </w:rPr>
        <w:t xml:space="preserve">Unruh </w:t>
      </w:r>
      <w:r w:rsidR="00250153" w:rsidRPr="00E336A2">
        <w:rPr>
          <w:rFonts w:eastAsia="Times New Roman" w:cs="Arial"/>
          <w:color w:val="000000"/>
        </w:rPr>
        <w:t>Act applies to “</w:t>
      </w:r>
      <w:r w:rsidR="002A55CD" w:rsidRPr="00E336A2">
        <w:rPr>
          <w:rFonts w:eastAsia="Times New Roman" w:cs="Arial"/>
          <w:color w:val="000000"/>
        </w:rPr>
        <w:t xml:space="preserve"> ‘</w:t>
      </w:r>
      <w:r w:rsidR="00250153" w:rsidRPr="00E336A2">
        <w:rPr>
          <w:rFonts w:eastAsia="Times New Roman" w:cs="Arial"/>
          <w:color w:val="000000"/>
        </w:rPr>
        <w:t>all business establishments of every kind whatsoever</w:t>
      </w:r>
      <w:r w:rsidR="002A55CD" w:rsidRPr="00E336A2">
        <w:rPr>
          <w:rFonts w:eastAsia="Times New Roman" w:cs="Arial"/>
          <w:color w:val="000000"/>
        </w:rPr>
        <w:t xml:space="preserve">’ </w:t>
      </w:r>
      <w:r w:rsidR="00250153" w:rsidRPr="00E336A2">
        <w:rPr>
          <w:rFonts w:eastAsia="Times New Roman" w:cs="Arial"/>
          <w:color w:val="000000"/>
        </w:rPr>
        <w:t xml:space="preserve">” and </w:t>
      </w:r>
      <w:r w:rsidR="00F73F3B" w:rsidRPr="00E336A2">
        <w:rPr>
          <w:rFonts w:eastAsia="Times New Roman" w:cs="Arial"/>
          <w:color w:val="000000"/>
        </w:rPr>
        <w:t xml:space="preserve">therefore </w:t>
      </w:r>
      <w:r w:rsidRPr="00E336A2">
        <w:rPr>
          <w:rFonts w:eastAsia="Times New Roman" w:cs="Arial"/>
          <w:color w:val="000000"/>
        </w:rPr>
        <w:t xml:space="preserve">must </w:t>
      </w:r>
      <w:r w:rsidR="00250153" w:rsidRPr="00E336A2">
        <w:rPr>
          <w:rFonts w:eastAsia="Times New Roman" w:cs="Arial"/>
          <w:color w:val="000000"/>
        </w:rPr>
        <w:t>be interpreted in “</w:t>
      </w:r>
      <w:r w:rsidR="002A55CD" w:rsidRPr="00E336A2">
        <w:rPr>
          <w:rFonts w:eastAsia="Times New Roman" w:cs="Arial"/>
          <w:color w:val="000000"/>
        </w:rPr>
        <w:t xml:space="preserve"> ‘</w:t>
      </w:r>
      <w:r w:rsidR="00250153" w:rsidRPr="00E336A2">
        <w:rPr>
          <w:rFonts w:eastAsia="Times New Roman" w:cs="Arial"/>
          <w:color w:val="000000"/>
        </w:rPr>
        <w:t>the broadest sense reasonably possible</w:t>
      </w:r>
      <w:r w:rsidR="002A55CD" w:rsidRPr="00E336A2">
        <w:rPr>
          <w:rFonts w:eastAsia="Times New Roman" w:cs="Arial"/>
          <w:color w:val="000000"/>
        </w:rPr>
        <w:t xml:space="preserve">’ </w:t>
      </w:r>
      <w:r w:rsidR="00250153" w:rsidRPr="00E336A2">
        <w:rPr>
          <w:rFonts w:eastAsia="Times New Roman" w:cs="Arial"/>
          <w:color w:val="000000"/>
        </w:rPr>
        <w:t>” (</w:t>
      </w:r>
      <w:proofErr w:type="spellStart"/>
      <w:r w:rsidR="00250153" w:rsidRPr="00E336A2">
        <w:rPr>
          <w:rFonts w:eastAsia="Times New Roman" w:cs="Arial"/>
          <w:i/>
          <w:iCs/>
          <w:color w:val="000000"/>
        </w:rPr>
        <w:t>Isbister</w:t>
      </w:r>
      <w:proofErr w:type="spellEnd"/>
      <w:r w:rsidR="00250153" w:rsidRPr="00E336A2">
        <w:rPr>
          <w:rFonts w:eastAsia="Times New Roman" w:cs="Arial"/>
          <w:i/>
          <w:iCs/>
          <w:color w:val="000000"/>
        </w:rPr>
        <w:t xml:space="preserve">, supra, </w:t>
      </w:r>
      <w:r w:rsidR="00250153" w:rsidRPr="00E336A2">
        <w:rPr>
          <w:rFonts w:eastAsia="Times New Roman" w:cs="Arial"/>
          <w:color w:val="000000"/>
        </w:rPr>
        <w:t>40 Cal.3d at pp. 75</w:t>
      </w:r>
      <w:r w:rsidR="00A74EFE" w:rsidRPr="00E336A2">
        <w:rPr>
          <w:rFonts w:eastAsia="Times New Roman" w:cs="Arial"/>
          <w:color w:val="000000"/>
        </w:rPr>
        <w:t>–</w:t>
      </w:r>
      <w:r w:rsidR="00250153" w:rsidRPr="00E336A2">
        <w:rPr>
          <w:rFonts w:eastAsia="Times New Roman" w:cs="Arial"/>
          <w:color w:val="000000"/>
        </w:rPr>
        <w:t>76)</w:t>
      </w:r>
      <w:r w:rsidR="00570938" w:rsidRPr="00E336A2">
        <w:rPr>
          <w:rFonts w:eastAsia="Times New Roman" w:cs="Arial"/>
          <w:color w:val="000000"/>
        </w:rPr>
        <w:t>,</w:t>
      </w:r>
      <w:r w:rsidR="00250153" w:rsidRPr="00E336A2">
        <w:rPr>
          <w:rFonts w:eastAsia="Times New Roman" w:cs="Arial"/>
          <w:color w:val="000000"/>
        </w:rPr>
        <w:t xml:space="preserve"> and its holding that </w:t>
      </w:r>
      <w:r w:rsidR="0044482B" w:rsidRPr="00E336A2">
        <w:rPr>
          <w:rFonts w:eastAsia="Times New Roman" w:cs="Arial"/>
          <w:color w:val="000000"/>
        </w:rPr>
        <w:t xml:space="preserve">a nonprofit </w:t>
      </w:r>
      <w:r w:rsidRPr="00E336A2">
        <w:rPr>
          <w:rFonts w:eastAsia="Times New Roman" w:cs="Arial"/>
          <w:color w:val="000000"/>
        </w:rPr>
        <w:t>entity c</w:t>
      </w:r>
      <w:r w:rsidR="0044482B" w:rsidRPr="00E336A2">
        <w:rPr>
          <w:rFonts w:eastAsia="Times New Roman" w:cs="Arial"/>
          <w:color w:val="000000"/>
        </w:rPr>
        <w:t xml:space="preserve">an </w:t>
      </w:r>
      <w:r w:rsidR="00250153" w:rsidRPr="00E336A2">
        <w:rPr>
          <w:rFonts w:eastAsia="Times New Roman" w:cs="Arial"/>
          <w:color w:val="000000"/>
        </w:rPr>
        <w:t>be a business establishment within the meaning of the Act.</w:t>
      </w:r>
      <w:r w:rsidR="00B12997" w:rsidRPr="00E336A2">
        <w:rPr>
          <w:rFonts w:eastAsia="Times New Roman" w:cs="Arial"/>
          <w:color w:val="000000"/>
        </w:rPr>
        <w:t xml:space="preserve">  (</w:t>
      </w:r>
      <w:proofErr w:type="spellStart"/>
      <w:r w:rsidR="00B12997" w:rsidRPr="00E336A2">
        <w:rPr>
          <w:rFonts w:eastAsia="Times New Roman" w:cs="Arial"/>
          <w:i/>
          <w:iCs/>
          <w:color w:val="000000"/>
        </w:rPr>
        <w:t>Zucarro</w:t>
      </w:r>
      <w:proofErr w:type="spellEnd"/>
      <w:r w:rsidR="00B12997" w:rsidRPr="00E336A2">
        <w:rPr>
          <w:rFonts w:eastAsia="Times New Roman" w:cs="Arial"/>
          <w:i/>
          <w:iCs/>
          <w:color w:val="000000"/>
        </w:rPr>
        <w:t>, supra,</w:t>
      </w:r>
      <w:r w:rsidR="00DE2BC9" w:rsidRPr="00E336A2">
        <w:rPr>
          <w:rFonts w:eastAsia="Times New Roman" w:cs="Arial"/>
          <w:color w:val="000000"/>
        </w:rPr>
        <w:t xml:space="preserve"> 2016 WL 10807692</w:t>
      </w:r>
      <w:r w:rsidR="00B12997" w:rsidRPr="00E336A2">
        <w:rPr>
          <w:rFonts w:eastAsia="Times New Roman" w:cs="Arial"/>
          <w:i/>
          <w:iCs/>
          <w:color w:val="000000"/>
        </w:rPr>
        <w:t xml:space="preserve"> </w:t>
      </w:r>
      <w:r w:rsidR="00B12997" w:rsidRPr="00E336A2">
        <w:rPr>
          <w:rFonts w:eastAsia="Times New Roman" w:cs="Arial"/>
          <w:color w:val="000000"/>
        </w:rPr>
        <w:t>at *10</w:t>
      </w:r>
      <w:r w:rsidR="0028543C" w:rsidRPr="00E336A2">
        <w:rPr>
          <w:rFonts w:eastAsia="Times New Roman" w:cs="Arial"/>
          <w:color w:val="000000"/>
        </w:rPr>
        <w:t>–</w:t>
      </w:r>
      <w:r w:rsidR="002A55CD" w:rsidRPr="00E336A2">
        <w:rPr>
          <w:rFonts w:eastAsia="Times New Roman" w:cs="Arial"/>
          <w:color w:val="000000"/>
        </w:rPr>
        <w:t>12</w:t>
      </w:r>
      <w:r w:rsidR="00B12997" w:rsidRPr="00E336A2">
        <w:rPr>
          <w:rFonts w:eastAsia="Times New Roman" w:cs="Arial"/>
          <w:color w:val="000000"/>
        </w:rPr>
        <w:t>.)</w:t>
      </w:r>
      <w:r w:rsidR="00250153" w:rsidRPr="00E336A2">
        <w:rPr>
          <w:rFonts w:eastAsia="Times New Roman" w:cs="Arial"/>
          <w:color w:val="000000"/>
        </w:rPr>
        <w:t xml:space="preserve"> </w:t>
      </w:r>
      <w:r w:rsidR="00897841" w:rsidRPr="00E336A2">
        <w:rPr>
          <w:rFonts w:eastAsia="Times New Roman" w:cs="Arial"/>
          <w:color w:val="000000"/>
        </w:rPr>
        <w:t xml:space="preserve"> </w:t>
      </w:r>
      <w:proofErr w:type="spellStart"/>
      <w:r w:rsidR="005A68E5" w:rsidRPr="00E336A2">
        <w:rPr>
          <w:rFonts w:eastAsia="Times New Roman" w:cs="Arial"/>
          <w:i/>
          <w:iCs/>
          <w:color w:val="000000"/>
        </w:rPr>
        <w:t>Z</w:t>
      </w:r>
      <w:r w:rsidR="000D4817" w:rsidRPr="00E336A2">
        <w:rPr>
          <w:rFonts w:eastAsia="Times New Roman" w:cs="Arial"/>
          <w:i/>
          <w:iCs/>
          <w:color w:val="000000"/>
        </w:rPr>
        <w:t>u</w:t>
      </w:r>
      <w:r w:rsidR="005A68E5" w:rsidRPr="00E336A2">
        <w:rPr>
          <w:rFonts w:eastAsia="Times New Roman" w:cs="Arial"/>
          <w:i/>
          <w:iCs/>
          <w:color w:val="000000"/>
        </w:rPr>
        <w:t>ccaro</w:t>
      </w:r>
      <w:proofErr w:type="spellEnd"/>
      <w:r w:rsidR="005A68E5" w:rsidRPr="00E336A2">
        <w:rPr>
          <w:rFonts w:eastAsia="Times New Roman" w:cs="Arial"/>
          <w:i/>
          <w:iCs/>
          <w:color w:val="000000"/>
        </w:rPr>
        <w:t xml:space="preserve"> </w:t>
      </w:r>
      <w:r w:rsidR="005A68E5" w:rsidRPr="00E336A2">
        <w:rPr>
          <w:rFonts w:eastAsia="Times New Roman" w:cs="Arial"/>
          <w:color w:val="000000"/>
        </w:rPr>
        <w:t>concluded the</w:t>
      </w:r>
      <w:r w:rsidRPr="00E336A2">
        <w:rPr>
          <w:rFonts w:eastAsia="Times New Roman" w:cs="Arial"/>
          <w:color w:val="000000"/>
        </w:rPr>
        <w:t xml:space="preserve">se features of </w:t>
      </w:r>
      <w:proofErr w:type="spellStart"/>
      <w:r w:rsidR="005A68E5" w:rsidRPr="00E336A2">
        <w:rPr>
          <w:rFonts w:eastAsia="Times New Roman" w:cs="Arial"/>
          <w:i/>
          <w:iCs/>
          <w:color w:val="000000"/>
        </w:rPr>
        <w:t>Isbister</w:t>
      </w:r>
      <w:proofErr w:type="spellEnd"/>
      <w:r w:rsidR="00897841" w:rsidRPr="00E336A2">
        <w:rPr>
          <w:rFonts w:eastAsia="Times New Roman" w:cs="Arial"/>
          <w:i/>
          <w:iCs/>
          <w:color w:val="000000"/>
        </w:rPr>
        <w:t>,</w:t>
      </w:r>
      <w:r w:rsidR="00897841" w:rsidRPr="00E336A2">
        <w:rPr>
          <w:rFonts w:eastAsia="Times New Roman" w:cs="Arial"/>
          <w:color w:val="000000"/>
        </w:rPr>
        <w:t xml:space="preserve"> in isolation,</w:t>
      </w:r>
      <w:r w:rsidR="005A68E5" w:rsidRPr="00E336A2">
        <w:rPr>
          <w:rFonts w:eastAsia="Times New Roman" w:cs="Arial"/>
          <w:i/>
          <w:iCs/>
          <w:color w:val="000000"/>
        </w:rPr>
        <w:t xml:space="preserve"> </w:t>
      </w:r>
      <w:r w:rsidR="00B12997" w:rsidRPr="00E336A2">
        <w:rPr>
          <w:rFonts w:eastAsia="Times New Roman" w:cs="Arial"/>
          <w:color w:val="000000"/>
        </w:rPr>
        <w:t xml:space="preserve">were not dispositive, given the analysis in </w:t>
      </w:r>
      <w:r w:rsidR="00B12997" w:rsidRPr="00E336A2">
        <w:rPr>
          <w:rFonts w:eastAsia="Times New Roman" w:cs="Arial"/>
          <w:i/>
          <w:iCs/>
          <w:color w:val="000000"/>
        </w:rPr>
        <w:t>Curran.</w:t>
      </w:r>
      <w:r w:rsidR="005A68E5" w:rsidRPr="00E336A2">
        <w:rPr>
          <w:rFonts w:eastAsia="Times New Roman" w:cs="Arial"/>
          <w:color w:val="000000"/>
        </w:rPr>
        <w:t xml:space="preserve">  (</w:t>
      </w:r>
      <w:r w:rsidR="00DE2BC9" w:rsidRPr="00E336A2">
        <w:rPr>
          <w:rFonts w:eastAsia="Times New Roman" w:cs="Arial"/>
          <w:i/>
          <w:iCs/>
          <w:color w:val="000000"/>
        </w:rPr>
        <w:t>Id.</w:t>
      </w:r>
      <w:r w:rsidR="005A68E5" w:rsidRPr="00E336A2">
        <w:rPr>
          <w:rFonts w:eastAsia="Times New Roman" w:cs="Arial"/>
          <w:i/>
          <w:iCs/>
          <w:color w:val="000000"/>
        </w:rPr>
        <w:t xml:space="preserve"> </w:t>
      </w:r>
      <w:r w:rsidR="005A68E5" w:rsidRPr="00E336A2">
        <w:rPr>
          <w:rFonts w:eastAsia="Times New Roman" w:cs="Arial"/>
          <w:color w:val="000000"/>
        </w:rPr>
        <w:t>at *</w:t>
      </w:r>
      <w:r w:rsidR="00B12997" w:rsidRPr="00E336A2">
        <w:rPr>
          <w:rFonts w:eastAsia="Times New Roman" w:cs="Arial"/>
          <w:color w:val="000000"/>
        </w:rPr>
        <w:t>10</w:t>
      </w:r>
      <w:r w:rsidR="00A74EFE" w:rsidRPr="00E336A2">
        <w:rPr>
          <w:rFonts w:eastAsia="Times New Roman" w:cs="Arial"/>
          <w:color w:val="000000"/>
        </w:rPr>
        <w:t>–</w:t>
      </w:r>
      <w:r w:rsidR="00B12997" w:rsidRPr="00E336A2">
        <w:rPr>
          <w:rFonts w:eastAsia="Times New Roman" w:cs="Arial"/>
          <w:color w:val="000000"/>
        </w:rPr>
        <w:t xml:space="preserve">13; </w:t>
      </w:r>
      <w:r w:rsidR="00B354FF" w:rsidRPr="00E336A2">
        <w:rPr>
          <w:rFonts w:eastAsia="Times New Roman" w:cs="Arial"/>
          <w:color w:val="000000"/>
        </w:rPr>
        <w:t xml:space="preserve">see </w:t>
      </w:r>
      <w:r w:rsidR="009607C6" w:rsidRPr="00E336A2">
        <w:rPr>
          <w:rFonts w:eastAsia="Times New Roman" w:cs="Arial"/>
          <w:i/>
          <w:iCs/>
          <w:color w:val="000000"/>
        </w:rPr>
        <w:t>Anderson v. County of Siskiyou</w:t>
      </w:r>
      <w:r w:rsidR="009607C6" w:rsidRPr="00E336A2">
        <w:rPr>
          <w:rFonts w:eastAsia="Times New Roman" w:cs="Arial"/>
          <w:color w:val="000000"/>
        </w:rPr>
        <w:t xml:space="preserve"> (N.D. Cal. </w:t>
      </w:r>
      <w:r w:rsidR="001A7D23" w:rsidRPr="00E336A2">
        <w:rPr>
          <w:rFonts w:eastAsia="Times New Roman" w:cs="Arial"/>
          <w:color w:val="000000"/>
        </w:rPr>
        <w:t xml:space="preserve">Sept. 10, </w:t>
      </w:r>
      <w:r w:rsidR="009607C6" w:rsidRPr="00E336A2">
        <w:rPr>
          <w:rFonts w:eastAsia="Times New Roman" w:cs="Arial"/>
          <w:color w:val="000000"/>
        </w:rPr>
        <w:t>2010</w:t>
      </w:r>
      <w:r w:rsidR="00127212">
        <w:rPr>
          <w:rFonts w:eastAsia="Times New Roman" w:cs="Arial"/>
          <w:color w:val="000000"/>
        </w:rPr>
        <w:t>, No. C10-01428</w:t>
      </w:r>
      <w:r w:rsidR="009607C6" w:rsidRPr="00E336A2">
        <w:rPr>
          <w:rFonts w:eastAsia="Times New Roman" w:cs="Arial"/>
          <w:color w:val="000000"/>
        </w:rPr>
        <w:t>) 2010 WL 3619821</w:t>
      </w:r>
      <w:r w:rsidR="001A7D23" w:rsidRPr="00E336A2">
        <w:rPr>
          <w:rFonts w:eastAsia="Times New Roman" w:cs="Arial"/>
          <w:color w:val="000000"/>
        </w:rPr>
        <w:t xml:space="preserve"> at *6</w:t>
      </w:r>
      <w:r w:rsidR="009607C6" w:rsidRPr="00E336A2">
        <w:rPr>
          <w:rFonts w:eastAsia="Times New Roman" w:cs="Arial"/>
          <w:color w:val="000000"/>
        </w:rPr>
        <w:t xml:space="preserve"> [county jail is not</w:t>
      </w:r>
      <w:r w:rsidR="009607C6" w:rsidRPr="00E336A2">
        <w:rPr>
          <w:rFonts w:eastAsia="Times New Roman" w:cs="Arial"/>
          <w:i/>
          <w:iCs/>
          <w:color w:val="000000"/>
        </w:rPr>
        <w:t xml:space="preserve"> </w:t>
      </w:r>
      <w:r w:rsidR="009607C6" w:rsidRPr="00E336A2">
        <w:rPr>
          <w:rFonts w:eastAsia="Times New Roman" w:cs="Arial"/>
          <w:color w:val="000000"/>
        </w:rPr>
        <w:t xml:space="preserve">a business establishment]; </w:t>
      </w:r>
      <w:r w:rsidR="009607C6" w:rsidRPr="00E336A2">
        <w:rPr>
          <w:rFonts w:eastAsia="Times New Roman" w:cs="Arial"/>
          <w:i/>
          <w:iCs/>
          <w:color w:val="000000"/>
        </w:rPr>
        <w:t>Taormina v. Cal</w:t>
      </w:r>
      <w:r w:rsidR="001A7D23" w:rsidRPr="00E336A2">
        <w:rPr>
          <w:rFonts w:eastAsia="Times New Roman" w:cs="Arial"/>
          <w:i/>
          <w:iCs/>
          <w:color w:val="000000"/>
        </w:rPr>
        <w:t>ifornia</w:t>
      </w:r>
      <w:r w:rsidR="009607C6" w:rsidRPr="00E336A2">
        <w:rPr>
          <w:rFonts w:eastAsia="Times New Roman" w:cs="Arial"/>
          <w:i/>
          <w:iCs/>
          <w:color w:val="000000"/>
        </w:rPr>
        <w:t xml:space="preserve"> Dept. of Corr</w:t>
      </w:r>
      <w:r w:rsidR="001A7D23" w:rsidRPr="00E336A2">
        <w:rPr>
          <w:rFonts w:eastAsia="Times New Roman" w:cs="Arial"/>
          <w:i/>
          <w:iCs/>
          <w:color w:val="000000"/>
        </w:rPr>
        <w:t>ections</w:t>
      </w:r>
      <w:r w:rsidR="009607C6" w:rsidRPr="00E336A2">
        <w:rPr>
          <w:rFonts w:eastAsia="Times New Roman" w:cs="Arial"/>
          <w:i/>
          <w:iCs/>
          <w:color w:val="000000"/>
        </w:rPr>
        <w:t xml:space="preserve"> </w:t>
      </w:r>
      <w:r w:rsidR="009607C6" w:rsidRPr="00E336A2">
        <w:rPr>
          <w:rFonts w:eastAsia="Times New Roman" w:cs="Arial"/>
          <w:color w:val="000000"/>
        </w:rPr>
        <w:t xml:space="preserve">(S.D. Cal. 1996) 946 </w:t>
      </w:r>
      <w:proofErr w:type="spellStart"/>
      <w:r w:rsidR="009607C6" w:rsidRPr="00E336A2">
        <w:rPr>
          <w:rFonts w:eastAsia="Times New Roman" w:cs="Arial"/>
          <w:color w:val="000000"/>
        </w:rPr>
        <w:t>F.Supp</w:t>
      </w:r>
      <w:proofErr w:type="spellEnd"/>
      <w:r w:rsidR="009607C6" w:rsidRPr="00E336A2">
        <w:rPr>
          <w:rFonts w:eastAsia="Times New Roman" w:cs="Arial"/>
          <w:color w:val="000000"/>
        </w:rPr>
        <w:t>. 829, 834 [state prison is not a business establishment].)</w:t>
      </w:r>
    </w:p>
    <w:p w14:paraId="6397220D" w14:textId="77777777" w:rsidR="00C32CCA" w:rsidRPr="00E336A2" w:rsidRDefault="005A68E5" w:rsidP="009E5C6C">
      <w:pPr>
        <w:spacing w:line="360" w:lineRule="auto"/>
        <w:rPr>
          <w:rFonts w:eastAsia="Times New Roman" w:cs="Arial"/>
          <w:color w:val="000000"/>
        </w:rPr>
      </w:pPr>
      <w:r w:rsidRPr="00E336A2">
        <w:rPr>
          <w:rFonts w:eastAsia="Times New Roman" w:cs="Arial"/>
          <w:color w:val="000000"/>
        </w:rPr>
        <w:tab/>
        <w:t>We agree</w:t>
      </w:r>
      <w:r w:rsidR="009607C6" w:rsidRPr="00E336A2">
        <w:rPr>
          <w:rFonts w:eastAsia="Times New Roman" w:cs="Arial"/>
          <w:color w:val="000000"/>
        </w:rPr>
        <w:t xml:space="preserve"> with </w:t>
      </w:r>
      <w:proofErr w:type="spellStart"/>
      <w:r w:rsidR="009607C6" w:rsidRPr="00E336A2">
        <w:rPr>
          <w:rFonts w:eastAsia="Times New Roman" w:cs="Arial"/>
          <w:i/>
          <w:iCs/>
          <w:color w:val="000000"/>
        </w:rPr>
        <w:t>Z</w:t>
      </w:r>
      <w:r w:rsidR="00897841" w:rsidRPr="00E336A2">
        <w:rPr>
          <w:rFonts w:eastAsia="Times New Roman" w:cs="Arial"/>
          <w:i/>
          <w:iCs/>
          <w:color w:val="000000"/>
        </w:rPr>
        <w:t>ucarr</w:t>
      </w:r>
      <w:r w:rsidR="009607C6" w:rsidRPr="00E336A2">
        <w:rPr>
          <w:rFonts w:eastAsia="Times New Roman" w:cs="Arial"/>
          <w:i/>
          <w:iCs/>
          <w:color w:val="000000"/>
        </w:rPr>
        <w:t>o’s</w:t>
      </w:r>
      <w:proofErr w:type="spellEnd"/>
      <w:r w:rsidR="009607C6" w:rsidRPr="00E336A2">
        <w:rPr>
          <w:rFonts w:eastAsia="Times New Roman" w:cs="Arial"/>
          <w:i/>
          <w:iCs/>
          <w:color w:val="000000"/>
        </w:rPr>
        <w:t xml:space="preserve"> </w:t>
      </w:r>
      <w:r w:rsidR="009607C6" w:rsidRPr="00E336A2">
        <w:rPr>
          <w:rFonts w:eastAsia="Times New Roman" w:cs="Arial"/>
          <w:color w:val="000000"/>
        </w:rPr>
        <w:t>assessment of th</w:t>
      </w:r>
      <w:r w:rsidR="00897841" w:rsidRPr="00E336A2">
        <w:rPr>
          <w:rFonts w:eastAsia="Times New Roman" w:cs="Arial"/>
          <w:color w:val="000000"/>
        </w:rPr>
        <w:t>e</w:t>
      </w:r>
      <w:r w:rsidR="009607C6" w:rsidRPr="00E336A2">
        <w:rPr>
          <w:rFonts w:eastAsia="Times New Roman" w:cs="Arial"/>
          <w:color w:val="000000"/>
        </w:rPr>
        <w:t xml:space="preserve"> </w:t>
      </w:r>
      <w:r w:rsidR="00B94083" w:rsidRPr="00E336A2">
        <w:rPr>
          <w:rFonts w:eastAsia="Times New Roman" w:cs="Arial"/>
          <w:color w:val="000000"/>
        </w:rPr>
        <w:t xml:space="preserve">line of </w:t>
      </w:r>
      <w:r w:rsidR="009607C6" w:rsidRPr="00E336A2">
        <w:rPr>
          <w:rFonts w:eastAsia="Times New Roman" w:cs="Arial"/>
          <w:color w:val="000000"/>
        </w:rPr>
        <w:t>district court cases</w:t>
      </w:r>
      <w:r w:rsidR="00897841" w:rsidRPr="00E336A2">
        <w:rPr>
          <w:rFonts w:eastAsia="Times New Roman" w:cs="Arial"/>
          <w:color w:val="000000"/>
        </w:rPr>
        <w:t xml:space="preserve"> concluding a California public school district is a business establishment under the Unruh Act.</w:t>
      </w:r>
      <w:r w:rsidRPr="00E336A2">
        <w:rPr>
          <w:rFonts w:eastAsia="Times New Roman" w:cs="Arial"/>
          <w:color w:val="000000"/>
        </w:rPr>
        <w:t xml:space="preserve"> </w:t>
      </w:r>
      <w:r w:rsidR="00897841" w:rsidRPr="00E336A2">
        <w:rPr>
          <w:rFonts w:eastAsia="Times New Roman" w:cs="Arial"/>
          <w:color w:val="000000"/>
        </w:rPr>
        <w:t xml:space="preserve"> W</w:t>
      </w:r>
      <w:r w:rsidRPr="00E336A2">
        <w:rPr>
          <w:rFonts w:eastAsia="Times New Roman" w:cs="Arial"/>
          <w:color w:val="000000"/>
        </w:rPr>
        <w:t xml:space="preserve">hile focusing on certain aspects of </w:t>
      </w:r>
      <w:proofErr w:type="spellStart"/>
      <w:r w:rsidRPr="00E336A2">
        <w:rPr>
          <w:rFonts w:eastAsia="Times New Roman" w:cs="Arial"/>
          <w:i/>
          <w:iCs/>
          <w:color w:val="000000"/>
        </w:rPr>
        <w:t>Isbister</w:t>
      </w:r>
      <w:proofErr w:type="spellEnd"/>
      <w:r w:rsidRPr="00E336A2">
        <w:rPr>
          <w:rFonts w:eastAsia="Times New Roman" w:cs="Arial"/>
          <w:i/>
          <w:iCs/>
          <w:color w:val="000000"/>
        </w:rPr>
        <w:t xml:space="preserve">, </w:t>
      </w:r>
      <w:r w:rsidR="00897841" w:rsidRPr="00E336A2">
        <w:rPr>
          <w:rFonts w:eastAsia="Times New Roman" w:cs="Arial"/>
          <w:color w:val="000000"/>
        </w:rPr>
        <w:t xml:space="preserve">these </w:t>
      </w:r>
      <w:r w:rsidR="00897841" w:rsidRPr="00E336A2">
        <w:rPr>
          <w:rFonts w:eastAsia="Times New Roman" w:cs="Arial"/>
          <w:color w:val="000000"/>
        </w:rPr>
        <w:lastRenderedPageBreak/>
        <w:t xml:space="preserve">cases </w:t>
      </w:r>
      <w:r w:rsidR="00B12997" w:rsidRPr="00E336A2">
        <w:rPr>
          <w:rFonts w:eastAsia="Times New Roman" w:cs="Arial"/>
          <w:color w:val="000000"/>
        </w:rPr>
        <w:t xml:space="preserve">have </w:t>
      </w:r>
      <w:proofErr w:type="gramStart"/>
      <w:r w:rsidR="00B354FF" w:rsidRPr="00E336A2">
        <w:rPr>
          <w:rFonts w:eastAsia="Times New Roman" w:cs="Arial"/>
          <w:color w:val="000000"/>
        </w:rPr>
        <w:t xml:space="preserve">largely </w:t>
      </w:r>
      <w:r w:rsidRPr="00E336A2">
        <w:rPr>
          <w:rFonts w:eastAsia="Times New Roman" w:cs="Arial"/>
          <w:color w:val="000000"/>
        </w:rPr>
        <w:t>ignored</w:t>
      </w:r>
      <w:proofErr w:type="gramEnd"/>
      <w:r w:rsidRPr="00E336A2">
        <w:rPr>
          <w:rFonts w:eastAsia="Times New Roman" w:cs="Arial"/>
          <w:color w:val="000000"/>
        </w:rPr>
        <w:t xml:space="preserve"> </w:t>
      </w:r>
      <w:r w:rsidR="00AA35DC" w:rsidRPr="00E336A2">
        <w:rPr>
          <w:rFonts w:eastAsia="Times New Roman" w:cs="Arial"/>
          <w:color w:val="000000"/>
        </w:rPr>
        <w:t>other</w:t>
      </w:r>
      <w:r w:rsidR="00570938" w:rsidRPr="00E336A2">
        <w:rPr>
          <w:rFonts w:eastAsia="Times New Roman" w:cs="Arial"/>
          <w:color w:val="000000"/>
        </w:rPr>
        <w:t xml:space="preserve"> aspects of our high court’s decisions.  N</w:t>
      </w:r>
      <w:r w:rsidR="009607C6" w:rsidRPr="00E336A2">
        <w:rPr>
          <w:rFonts w:eastAsia="Times New Roman" w:cs="Arial"/>
          <w:color w:val="000000"/>
        </w:rPr>
        <w:t xml:space="preserve">one </w:t>
      </w:r>
      <w:r w:rsidR="00897841" w:rsidRPr="00E336A2">
        <w:rPr>
          <w:rFonts w:eastAsia="Times New Roman" w:cs="Arial"/>
          <w:color w:val="000000"/>
        </w:rPr>
        <w:t xml:space="preserve">of these cases </w:t>
      </w:r>
      <w:r w:rsidR="00570938" w:rsidRPr="00E336A2">
        <w:rPr>
          <w:rFonts w:eastAsia="Times New Roman" w:cs="Arial"/>
          <w:color w:val="000000"/>
        </w:rPr>
        <w:t xml:space="preserve">have </w:t>
      </w:r>
      <w:r w:rsidR="009607C6" w:rsidRPr="00E336A2">
        <w:rPr>
          <w:rFonts w:eastAsia="Times New Roman" w:cs="Arial"/>
          <w:color w:val="000000"/>
        </w:rPr>
        <w:t xml:space="preserve">engaged in any meaningful examination of </w:t>
      </w:r>
      <w:r w:rsidRPr="00E336A2">
        <w:rPr>
          <w:rFonts w:eastAsia="Times New Roman" w:cs="Arial"/>
          <w:color w:val="000000"/>
        </w:rPr>
        <w:t xml:space="preserve">the historical origins of the </w:t>
      </w:r>
      <w:r w:rsidR="00A74EFE">
        <w:rPr>
          <w:rFonts w:eastAsia="Times New Roman" w:cs="Arial"/>
          <w:color w:val="000000"/>
        </w:rPr>
        <w:t xml:space="preserve">Unruh </w:t>
      </w:r>
      <w:r w:rsidRPr="00E336A2">
        <w:rPr>
          <w:rFonts w:eastAsia="Times New Roman" w:cs="Arial"/>
          <w:color w:val="000000"/>
        </w:rPr>
        <w:t>Act</w:t>
      </w:r>
      <w:r w:rsidR="009607C6" w:rsidRPr="00E336A2">
        <w:rPr>
          <w:rFonts w:eastAsia="Times New Roman" w:cs="Arial"/>
          <w:color w:val="000000"/>
        </w:rPr>
        <w:t xml:space="preserve"> or </w:t>
      </w:r>
      <w:r w:rsidR="00C27909" w:rsidRPr="00E336A2">
        <w:rPr>
          <w:rFonts w:eastAsia="Times New Roman" w:cs="Arial"/>
          <w:color w:val="000000"/>
        </w:rPr>
        <w:t xml:space="preserve">its </w:t>
      </w:r>
      <w:r w:rsidRPr="00E336A2">
        <w:rPr>
          <w:rFonts w:eastAsia="Times New Roman" w:cs="Arial"/>
          <w:color w:val="000000"/>
        </w:rPr>
        <w:t>legislative history</w:t>
      </w:r>
      <w:r w:rsidR="009607C6" w:rsidRPr="00E336A2">
        <w:rPr>
          <w:rFonts w:eastAsia="Times New Roman" w:cs="Arial"/>
          <w:color w:val="000000"/>
        </w:rPr>
        <w:t xml:space="preserve">.  Nor </w:t>
      </w:r>
      <w:r w:rsidR="00570938" w:rsidRPr="00E336A2">
        <w:rPr>
          <w:rFonts w:eastAsia="Times New Roman" w:cs="Arial"/>
          <w:color w:val="000000"/>
        </w:rPr>
        <w:t xml:space="preserve">have </w:t>
      </w:r>
      <w:r w:rsidR="00250B05" w:rsidRPr="00E336A2">
        <w:rPr>
          <w:rFonts w:eastAsia="Times New Roman" w:cs="Arial"/>
          <w:color w:val="000000"/>
        </w:rPr>
        <w:t xml:space="preserve">any </w:t>
      </w:r>
      <w:r w:rsidR="00897841" w:rsidRPr="00E336A2">
        <w:rPr>
          <w:rFonts w:eastAsia="Times New Roman" w:cs="Arial"/>
          <w:color w:val="000000"/>
        </w:rPr>
        <w:t xml:space="preserve">of these cases </w:t>
      </w:r>
      <w:r w:rsidR="00250B05" w:rsidRPr="00E336A2">
        <w:rPr>
          <w:rFonts w:eastAsia="Times New Roman" w:cs="Arial"/>
          <w:color w:val="000000"/>
        </w:rPr>
        <w:t>d</w:t>
      </w:r>
      <w:r w:rsidR="00584F77" w:rsidRPr="00E336A2">
        <w:rPr>
          <w:rFonts w:eastAsia="Times New Roman" w:cs="Arial"/>
          <w:color w:val="000000"/>
        </w:rPr>
        <w:t>iscuss</w:t>
      </w:r>
      <w:r w:rsidR="00570938" w:rsidRPr="00E336A2">
        <w:rPr>
          <w:rFonts w:eastAsia="Times New Roman" w:cs="Arial"/>
          <w:color w:val="000000"/>
        </w:rPr>
        <w:t>ed</w:t>
      </w:r>
      <w:r w:rsidR="00584F77" w:rsidRPr="00E336A2">
        <w:rPr>
          <w:rFonts w:eastAsia="Times New Roman" w:cs="Arial"/>
          <w:color w:val="000000"/>
        </w:rPr>
        <w:t xml:space="preserve"> </w:t>
      </w:r>
      <w:r w:rsidR="00AA35DC" w:rsidRPr="00E336A2">
        <w:rPr>
          <w:rFonts w:eastAsia="Times New Roman" w:cs="Arial"/>
          <w:color w:val="000000"/>
        </w:rPr>
        <w:t>the two scholarly articles</w:t>
      </w:r>
      <w:r w:rsidR="00250B05" w:rsidRPr="00E336A2">
        <w:rPr>
          <w:rFonts w:eastAsia="Times New Roman" w:cs="Arial"/>
          <w:color w:val="000000"/>
        </w:rPr>
        <w:t>,</w:t>
      </w:r>
      <w:r w:rsidR="009607C6" w:rsidRPr="00E336A2">
        <w:rPr>
          <w:rFonts w:eastAsia="Times New Roman" w:cs="Arial"/>
          <w:color w:val="000000"/>
        </w:rPr>
        <w:t xml:space="preserve"> one co-authored by the justice who wrote the majority opinion in </w:t>
      </w:r>
      <w:proofErr w:type="spellStart"/>
      <w:r w:rsidR="009607C6" w:rsidRPr="00E336A2">
        <w:rPr>
          <w:rFonts w:eastAsia="Times New Roman" w:cs="Arial"/>
          <w:i/>
          <w:iCs/>
          <w:color w:val="000000"/>
        </w:rPr>
        <w:t>Isbister</w:t>
      </w:r>
      <w:proofErr w:type="spellEnd"/>
      <w:r w:rsidR="009607C6" w:rsidRPr="00E336A2">
        <w:rPr>
          <w:rFonts w:eastAsia="Times New Roman" w:cs="Arial"/>
          <w:i/>
          <w:iCs/>
          <w:color w:val="000000"/>
        </w:rPr>
        <w:t xml:space="preserve">, </w:t>
      </w:r>
      <w:r w:rsidR="00250B05" w:rsidRPr="00E336A2">
        <w:rPr>
          <w:rFonts w:eastAsia="Times New Roman" w:cs="Arial"/>
          <w:color w:val="000000"/>
        </w:rPr>
        <w:t xml:space="preserve">our high court has repeatedly cited </w:t>
      </w:r>
      <w:r w:rsidR="00AA35DC" w:rsidRPr="00E336A2">
        <w:rPr>
          <w:rFonts w:eastAsia="Times New Roman" w:cs="Arial"/>
          <w:color w:val="000000"/>
        </w:rPr>
        <w:t xml:space="preserve">in </w:t>
      </w:r>
      <w:r w:rsidR="009607C6" w:rsidRPr="00E336A2">
        <w:rPr>
          <w:rFonts w:eastAsia="Times New Roman" w:cs="Arial"/>
          <w:color w:val="000000"/>
        </w:rPr>
        <w:t xml:space="preserve">analyzing </w:t>
      </w:r>
      <w:r w:rsidR="00AA35DC" w:rsidRPr="00E336A2">
        <w:rPr>
          <w:rFonts w:eastAsia="Times New Roman" w:cs="Arial"/>
          <w:color w:val="000000"/>
        </w:rPr>
        <w:t>whether an entity is a business establishment.  Thus, these federal c</w:t>
      </w:r>
      <w:r w:rsidR="00250B05" w:rsidRPr="00E336A2">
        <w:rPr>
          <w:rFonts w:eastAsia="Times New Roman" w:cs="Arial"/>
          <w:color w:val="000000"/>
        </w:rPr>
        <w:t>ases</w:t>
      </w:r>
      <w:r w:rsidR="00897841" w:rsidRPr="00E336A2">
        <w:rPr>
          <w:rFonts w:eastAsia="Times New Roman" w:cs="Arial"/>
          <w:color w:val="000000"/>
        </w:rPr>
        <w:t xml:space="preserve"> (</w:t>
      </w:r>
      <w:r w:rsidR="00AA35DC" w:rsidRPr="00E336A2">
        <w:rPr>
          <w:rFonts w:eastAsia="Times New Roman" w:cs="Arial"/>
          <w:color w:val="000000"/>
        </w:rPr>
        <w:t xml:space="preserve">presumably because they did not </w:t>
      </w:r>
      <w:r w:rsidR="00584F77" w:rsidRPr="00E336A2">
        <w:rPr>
          <w:rFonts w:eastAsia="Times New Roman" w:cs="Arial"/>
          <w:color w:val="000000"/>
        </w:rPr>
        <w:t xml:space="preserve">examine </w:t>
      </w:r>
      <w:r w:rsidR="00AA35DC" w:rsidRPr="00E336A2">
        <w:rPr>
          <w:rFonts w:eastAsia="Times New Roman" w:cs="Arial"/>
          <w:color w:val="000000"/>
        </w:rPr>
        <w:t xml:space="preserve">the historical </w:t>
      </w:r>
      <w:r w:rsidR="00C32CCA" w:rsidRPr="00E336A2">
        <w:rPr>
          <w:rFonts w:eastAsia="Times New Roman" w:cs="Arial"/>
          <w:color w:val="000000"/>
        </w:rPr>
        <w:t xml:space="preserve">background </w:t>
      </w:r>
      <w:r w:rsidR="00AA35DC" w:rsidRPr="00E336A2">
        <w:rPr>
          <w:rFonts w:eastAsia="Times New Roman" w:cs="Arial"/>
          <w:color w:val="000000"/>
        </w:rPr>
        <w:t>of the Act</w:t>
      </w:r>
      <w:r w:rsidR="00897841" w:rsidRPr="00E336A2">
        <w:rPr>
          <w:rFonts w:eastAsia="Times New Roman" w:cs="Arial"/>
          <w:color w:val="000000"/>
        </w:rPr>
        <w:t>)</w:t>
      </w:r>
      <w:r w:rsidR="00AA35DC" w:rsidRPr="00E336A2">
        <w:rPr>
          <w:rFonts w:eastAsia="Times New Roman" w:cs="Arial"/>
          <w:color w:val="000000"/>
        </w:rPr>
        <w:t xml:space="preserve">, </w:t>
      </w:r>
      <w:r w:rsidR="00250B05" w:rsidRPr="00E336A2">
        <w:rPr>
          <w:rFonts w:eastAsia="Times New Roman" w:cs="Arial"/>
          <w:color w:val="000000"/>
        </w:rPr>
        <w:t xml:space="preserve">were not attentive to our </w:t>
      </w:r>
      <w:r w:rsidR="00897841" w:rsidRPr="00E336A2">
        <w:rPr>
          <w:rFonts w:eastAsia="Times New Roman" w:cs="Arial"/>
          <w:color w:val="000000"/>
        </w:rPr>
        <w:t xml:space="preserve">high court’s </w:t>
      </w:r>
      <w:r w:rsidR="00AA35DC" w:rsidRPr="00E336A2">
        <w:rPr>
          <w:rFonts w:eastAsia="Times New Roman" w:cs="Arial"/>
          <w:color w:val="000000"/>
        </w:rPr>
        <w:t xml:space="preserve">opening and closing </w:t>
      </w:r>
      <w:r w:rsidR="00C32CCA" w:rsidRPr="00E336A2">
        <w:rPr>
          <w:rFonts w:eastAsia="Times New Roman" w:cs="Arial"/>
          <w:color w:val="000000"/>
        </w:rPr>
        <w:t xml:space="preserve">comments in </w:t>
      </w:r>
      <w:proofErr w:type="spellStart"/>
      <w:r w:rsidR="00AA35DC" w:rsidRPr="00E336A2">
        <w:rPr>
          <w:rFonts w:eastAsia="Times New Roman" w:cs="Arial"/>
          <w:i/>
          <w:iCs/>
          <w:color w:val="000000"/>
        </w:rPr>
        <w:t>Isbister</w:t>
      </w:r>
      <w:proofErr w:type="spellEnd"/>
      <w:r w:rsidR="00B354FF" w:rsidRPr="00E336A2">
        <w:rPr>
          <w:rFonts w:eastAsia="Times New Roman" w:cs="Arial"/>
          <w:color w:val="000000"/>
        </w:rPr>
        <w:t xml:space="preserve">—that </w:t>
      </w:r>
      <w:r w:rsidR="00C32CCA" w:rsidRPr="00E336A2">
        <w:rPr>
          <w:rFonts w:eastAsia="Times New Roman" w:cs="Arial"/>
          <w:color w:val="000000"/>
        </w:rPr>
        <w:t xml:space="preserve">without generous interpretation, “thousands of facilities </w:t>
      </w:r>
      <w:r w:rsidR="00C32CCA" w:rsidRPr="00E336A2">
        <w:rPr>
          <w:rFonts w:eastAsia="Times New Roman" w:cs="Arial"/>
          <w:i/>
          <w:iCs/>
          <w:color w:val="000000"/>
        </w:rPr>
        <w:t xml:space="preserve">in private </w:t>
      </w:r>
      <w:r w:rsidR="00D36E28" w:rsidRPr="00E336A2">
        <w:rPr>
          <w:rFonts w:eastAsia="Times New Roman" w:cs="Arial"/>
          <w:i/>
          <w:iCs/>
          <w:color w:val="000000"/>
        </w:rPr>
        <w:t>ownership</w:t>
      </w:r>
      <w:r w:rsidR="00AA35DC" w:rsidRPr="00E336A2">
        <w:rPr>
          <w:rFonts w:eastAsia="Times New Roman" w:cs="Arial"/>
          <w:color w:val="000000"/>
        </w:rPr>
        <w:t>,</w:t>
      </w:r>
      <w:r w:rsidR="00C32CCA" w:rsidRPr="00E336A2">
        <w:rPr>
          <w:rFonts w:eastAsia="Times New Roman" w:cs="Arial"/>
          <w:color w:val="000000"/>
        </w:rPr>
        <w:t>” would be free to engage in invidious discrimination</w:t>
      </w:r>
      <w:r w:rsidR="00897841" w:rsidRPr="00E336A2">
        <w:rPr>
          <w:rFonts w:eastAsia="Times New Roman" w:cs="Arial"/>
          <w:color w:val="000000"/>
        </w:rPr>
        <w:t>,</w:t>
      </w:r>
      <w:r w:rsidR="00250B05" w:rsidRPr="00E336A2">
        <w:rPr>
          <w:rFonts w:eastAsia="Times New Roman" w:cs="Arial"/>
          <w:color w:val="000000"/>
        </w:rPr>
        <w:t xml:space="preserve"> and its decision did not foreclose the legislature from enacting a more “precise formulation of the situations in which </w:t>
      </w:r>
      <w:r w:rsidR="00250B05" w:rsidRPr="00E336A2">
        <w:rPr>
          <w:rFonts w:eastAsia="Times New Roman" w:cs="Arial"/>
          <w:i/>
          <w:iCs/>
          <w:color w:val="000000"/>
        </w:rPr>
        <w:t xml:space="preserve">private </w:t>
      </w:r>
      <w:r w:rsidR="00250B05" w:rsidRPr="00E336A2">
        <w:rPr>
          <w:rFonts w:eastAsia="Times New Roman" w:cs="Arial"/>
          <w:color w:val="000000"/>
        </w:rPr>
        <w:t>discrimination is forbidden</w:t>
      </w:r>
      <w:r w:rsidR="0053775F" w:rsidRPr="00E336A2">
        <w:rPr>
          <w:rFonts w:eastAsia="Times New Roman" w:cs="Arial"/>
          <w:color w:val="000000"/>
        </w:rPr>
        <w:t>.</w:t>
      </w:r>
      <w:r w:rsidR="00250B05" w:rsidRPr="00E336A2">
        <w:rPr>
          <w:rFonts w:eastAsia="Times New Roman" w:cs="Arial"/>
          <w:color w:val="000000"/>
        </w:rPr>
        <w:t>” (</w:t>
      </w:r>
      <w:proofErr w:type="spellStart"/>
      <w:r w:rsidR="00C32CCA" w:rsidRPr="00E336A2">
        <w:rPr>
          <w:rFonts w:eastAsia="Times New Roman" w:cs="Arial"/>
          <w:i/>
          <w:iCs/>
          <w:color w:val="000000"/>
        </w:rPr>
        <w:t>Isbister</w:t>
      </w:r>
      <w:proofErr w:type="spellEnd"/>
      <w:r w:rsidR="00C32CCA" w:rsidRPr="00E336A2">
        <w:rPr>
          <w:rFonts w:eastAsia="Times New Roman" w:cs="Arial"/>
          <w:i/>
          <w:iCs/>
          <w:color w:val="000000"/>
        </w:rPr>
        <w:t xml:space="preserve">, supra, </w:t>
      </w:r>
      <w:r w:rsidR="00C32CCA" w:rsidRPr="00E336A2">
        <w:rPr>
          <w:rFonts w:eastAsia="Times New Roman" w:cs="Arial"/>
          <w:color w:val="000000"/>
        </w:rPr>
        <w:t>40 Cal.3d at pp. 75, 91</w:t>
      </w:r>
      <w:r w:rsidR="00D36E28" w:rsidRPr="00E336A2">
        <w:rPr>
          <w:rFonts w:eastAsia="Times New Roman" w:cs="Arial"/>
          <w:color w:val="000000"/>
        </w:rPr>
        <w:t>, italics added.</w:t>
      </w:r>
      <w:r w:rsidR="00C32CCA" w:rsidRPr="00E336A2">
        <w:rPr>
          <w:rFonts w:eastAsia="Times New Roman" w:cs="Arial"/>
          <w:color w:val="000000"/>
        </w:rPr>
        <w:t>)</w:t>
      </w:r>
    </w:p>
    <w:p w14:paraId="380233FA" w14:textId="77777777" w:rsidR="00F73F3B" w:rsidRPr="00E336A2" w:rsidRDefault="00C32CCA" w:rsidP="00B354FF">
      <w:pPr>
        <w:spacing w:line="360" w:lineRule="auto"/>
        <w:rPr>
          <w:rFonts w:eastAsia="Times New Roman" w:cs="Arial"/>
          <w:color w:val="000000"/>
        </w:rPr>
      </w:pPr>
      <w:r w:rsidRPr="00E336A2">
        <w:rPr>
          <w:rFonts w:eastAsia="Times New Roman" w:cs="Arial"/>
          <w:color w:val="000000"/>
        </w:rPr>
        <w:tab/>
      </w:r>
      <w:r w:rsidR="00584F77" w:rsidRPr="00E336A2">
        <w:rPr>
          <w:rFonts w:eastAsia="Times New Roman" w:cs="Arial"/>
          <w:color w:val="000000"/>
        </w:rPr>
        <w:t xml:space="preserve">In </w:t>
      </w:r>
      <w:r w:rsidR="00250B05" w:rsidRPr="00E336A2">
        <w:rPr>
          <w:rFonts w:eastAsia="Times New Roman" w:cs="Arial"/>
          <w:color w:val="000000"/>
        </w:rPr>
        <w:t xml:space="preserve">fact, </w:t>
      </w:r>
      <w:r w:rsidR="00584F77" w:rsidRPr="00E336A2">
        <w:rPr>
          <w:rFonts w:eastAsia="Times New Roman" w:cs="Arial"/>
          <w:color w:val="000000"/>
        </w:rPr>
        <w:t>m</w:t>
      </w:r>
      <w:r w:rsidRPr="00E336A2">
        <w:rPr>
          <w:rFonts w:eastAsia="Times New Roman" w:cs="Arial"/>
          <w:color w:val="000000"/>
        </w:rPr>
        <w:t xml:space="preserve">any of these </w:t>
      </w:r>
      <w:r w:rsidR="00B354FF" w:rsidRPr="00E336A2">
        <w:rPr>
          <w:rFonts w:eastAsia="Times New Roman" w:cs="Arial"/>
          <w:color w:val="000000"/>
        </w:rPr>
        <w:t xml:space="preserve">cases </w:t>
      </w:r>
      <w:r w:rsidR="00F73F3B" w:rsidRPr="00E336A2">
        <w:rPr>
          <w:rFonts w:eastAsia="Times New Roman" w:cs="Arial"/>
          <w:color w:val="000000"/>
        </w:rPr>
        <w:t xml:space="preserve">have </w:t>
      </w:r>
      <w:r w:rsidRPr="00E336A2">
        <w:rPr>
          <w:rFonts w:eastAsia="Times New Roman" w:cs="Arial"/>
          <w:color w:val="000000"/>
        </w:rPr>
        <w:t>simply cite</w:t>
      </w:r>
      <w:r w:rsidR="00897841" w:rsidRPr="00E336A2">
        <w:rPr>
          <w:rFonts w:eastAsia="Times New Roman" w:cs="Arial"/>
          <w:color w:val="000000"/>
        </w:rPr>
        <w:t>d</w:t>
      </w:r>
      <w:r w:rsidRPr="00E336A2">
        <w:rPr>
          <w:rFonts w:eastAsia="Times New Roman" w:cs="Arial"/>
          <w:color w:val="000000"/>
        </w:rPr>
        <w:t xml:space="preserve"> to the first </w:t>
      </w:r>
      <w:r w:rsidR="00897841" w:rsidRPr="00E336A2">
        <w:rPr>
          <w:rFonts w:eastAsia="Times New Roman" w:cs="Arial"/>
          <w:color w:val="000000"/>
        </w:rPr>
        <w:t xml:space="preserve">district court </w:t>
      </w:r>
      <w:r w:rsidRPr="00E336A2">
        <w:rPr>
          <w:rFonts w:eastAsia="Times New Roman" w:cs="Arial"/>
          <w:color w:val="000000"/>
        </w:rPr>
        <w:t>case</w:t>
      </w:r>
      <w:r w:rsidR="005E7C5B" w:rsidRPr="005E7C5B">
        <w:rPr>
          <w:rFonts w:eastAsia="Times New Roman" w:cs="Arial"/>
          <w:color w:val="000000"/>
        </w:rPr>
        <w:t xml:space="preserve"> </w:t>
      </w:r>
      <w:r w:rsidR="005E7C5B" w:rsidRPr="00E336A2">
        <w:rPr>
          <w:rFonts w:eastAsia="Times New Roman" w:cs="Arial"/>
          <w:color w:val="000000"/>
        </w:rPr>
        <w:t>to conclude a California public school district was a business establishment</w:t>
      </w:r>
      <w:r w:rsidR="00F10710">
        <w:rPr>
          <w:rFonts w:eastAsia="Times New Roman" w:cs="Arial"/>
          <w:color w:val="000000"/>
        </w:rPr>
        <w:t>,</w:t>
      </w:r>
      <w:r w:rsidRPr="00E336A2">
        <w:rPr>
          <w:rFonts w:eastAsia="Times New Roman" w:cs="Arial"/>
          <w:color w:val="000000"/>
        </w:rPr>
        <w:t xml:space="preserve"> </w:t>
      </w:r>
      <w:r w:rsidR="00A74EFE" w:rsidRPr="00E336A2">
        <w:rPr>
          <w:rFonts w:eastAsia="Times New Roman" w:cs="Arial"/>
          <w:i/>
          <w:iCs/>
          <w:color w:val="000000"/>
        </w:rPr>
        <w:t>Sullivan v. Vallejo City Unified School Dist.</w:t>
      </w:r>
      <w:r w:rsidR="00A74EFE" w:rsidRPr="00E336A2">
        <w:rPr>
          <w:rFonts w:eastAsia="Times New Roman" w:cs="Arial"/>
          <w:color w:val="000000"/>
        </w:rPr>
        <w:t xml:space="preserve"> (E.D. Cal. 1990) 731 </w:t>
      </w:r>
      <w:proofErr w:type="spellStart"/>
      <w:r w:rsidR="00A74EFE" w:rsidRPr="00E336A2">
        <w:rPr>
          <w:rFonts w:eastAsia="Times New Roman" w:cs="Arial"/>
          <w:color w:val="000000"/>
        </w:rPr>
        <w:t>F.Supp</w:t>
      </w:r>
      <w:proofErr w:type="spellEnd"/>
      <w:r w:rsidR="00A74EFE" w:rsidRPr="00E336A2">
        <w:rPr>
          <w:rFonts w:eastAsia="Times New Roman" w:cs="Arial"/>
          <w:color w:val="000000"/>
        </w:rPr>
        <w:t>. 947 (</w:t>
      </w:r>
      <w:r w:rsidR="00A74EFE" w:rsidRPr="00E336A2">
        <w:rPr>
          <w:rFonts w:eastAsia="Times New Roman" w:cs="Arial"/>
          <w:i/>
          <w:iCs/>
          <w:color w:val="000000"/>
        </w:rPr>
        <w:t>Sullivan</w:t>
      </w:r>
      <w:r w:rsidR="00A74EFE" w:rsidRPr="00E336A2">
        <w:rPr>
          <w:rFonts w:eastAsia="Times New Roman" w:cs="Arial"/>
          <w:color w:val="000000"/>
        </w:rPr>
        <w:t>)</w:t>
      </w:r>
      <w:r w:rsidR="00A74EFE">
        <w:rPr>
          <w:rFonts w:eastAsia="Times New Roman" w:cs="Arial"/>
          <w:color w:val="000000"/>
        </w:rPr>
        <w:t xml:space="preserve">.  </w:t>
      </w:r>
      <w:r w:rsidR="00584F77" w:rsidRPr="00E336A2">
        <w:rPr>
          <w:rFonts w:eastAsia="Times New Roman" w:cs="Arial"/>
          <w:i/>
          <w:iCs/>
          <w:color w:val="000000"/>
        </w:rPr>
        <w:t>S</w:t>
      </w:r>
      <w:r w:rsidR="00FC72A5" w:rsidRPr="00E336A2">
        <w:rPr>
          <w:rFonts w:eastAsia="Times New Roman" w:cs="Arial"/>
          <w:i/>
          <w:iCs/>
          <w:color w:val="000000"/>
        </w:rPr>
        <w:t>ullivan</w:t>
      </w:r>
      <w:r w:rsidR="00584F77" w:rsidRPr="00E336A2">
        <w:rPr>
          <w:rFonts w:eastAsia="Times New Roman" w:cs="Arial"/>
          <w:i/>
          <w:iCs/>
          <w:color w:val="000000"/>
        </w:rPr>
        <w:t xml:space="preserve">’s </w:t>
      </w:r>
      <w:r w:rsidR="00FC72A5" w:rsidRPr="00E336A2">
        <w:rPr>
          <w:rFonts w:eastAsia="Times New Roman" w:cs="Arial"/>
          <w:color w:val="000000"/>
        </w:rPr>
        <w:t xml:space="preserve">reasoning </w:t>
      </w:r>
      <w:r w:rsidR="0053775F" w:rsidRPr="00E336A2">
        <w:rPr>
          <w:rFonts w:eastAsia="Times New Roman" w:cs="Arial"/>
          <w:color w:val="000000"/>
        </w:rPr>
        <w:t>was</w:t>
      </w:r>
      <w:r w:rsidR="00584F77" w:rsidRPr="00E336A2">
        <w:rPr>
          <w:rFonts w:eastAsia="Times New Roman" w:cs="Arial"/>
          <w:color w:val="000000"/>
        </w:rPr>
        <w:t xml:space="preserve"> </w:t>
      </w:r>
      <w:r w:rsidR="00FC72A5" w:rsidRPr="00E336A2">
        <w:rPr>
          <w:rFonts w:eastAsia="Times New Roman" w:cs="Arial"/>
          <w:color w:val="000000"/>
        </w:rPr>
        <w:t xml:space="preserve">as follows: </w:t>
      </w:r>
      <w:r w:rsidR="00A11822" w:rsidRPr="00E336A2">
        <w:rPr>
          <w:rFonts w:eastAsia="Times New Roman" w:cs="Arial"/>
          <w:color w:val="000000"/>
        </w:rPr>
        <w:t xml:space="preserve"> </w:t>
      </w:r>
      <w:r w:rsidR="00FC72A5" w:rsidRPr="00E336A2">
        <w:rPr>
          <w:rFonts w:eastAsia="Times New Roman" w:cs="Arial"/>
          <w:color w:val="000000"/>
        </w:rPr>
        <w:t xml:space="preserve">“The California Supreme Court has taught that the </w:t>
      </w:r>
      <w:r w:rsidR="00A11822" w:rsidRPr="00E336A2">
        <w:rPr>
          <w:rFonts w:eastAsia="Times New Roman" w:cs="Arial"/>
          <w:color w:val="000000"/>
        </w:rPr>
        <w:t>‘</w:t>
      </w:r>
      <w:r w:rsidR="00FC72A5" w:rsidRPr="00E336A2">
        <w:rPr>
          <w:rFonts w:eastAsia="Times New Roman" w:cs="Arial"/>
          <w:color w:val="000000"/>
        </w:rPr>
        <w:t>Legislature</w:t>
      </w:r>
      <w:r w:rsidR="00DE2BC9" w:rsidRPr="00E336A2">
        <w:rPr>
          <w:rFonts w:eastAsia="Times New Roman" w:cs="Arial"/>
          <w:color w:val="000000"/>
        </w:rPr>
        <w:t>’</w:t>
      </w:r>
      <w:r w:rsidR="00FC72A5" w:rsidRPr="00E336A2">
        <w:rPr>
          <w:rFonts w:eastAsia="Times New Roman" w:cs="Arial"/>
          <w:color w:val="000000"/>
        </w:rPr>
        <w:t>s desire to banish [discrimination] from California</w:t>
      </w:r>
      <w:r w:rsidR="00A11822" w:rsidRPr="00E336A2">
        <w:rPr>
          <w:rFonts w:eastAsia="Times New Roman" w:cs="Arial"/>
          <w:color w:val="000000"/>
        </w:rPr>
        <w:t>’</w:t>
      </w:r>
      <w:r w:rsidR="00FC72A5" w:rsidRPr="00E336A2">
        <w:rPr>
          <w:rFonts w:eastAsia="Times New Roman" w:cs="Arial"/>
          <w:color w:val="000000"/>
        </w:rPr>
        <w:t>s community life has led [that] court to interpret the Act</w:t>
      </w:r>
      <w:r w:rsidR="00DE2BC9" w:rsidRPr="00E336A2">
        <w:rPr>
          <w:rFonts w:eastAsia="Times New Roman" w:cs="Arial"/>
          <w:color w:val="000000"/>
        </w:rPr>
        <w:t>’</w:t>
      </w:r>
      <w:r w:rsidR="00FC72A5" w:rsidRPr="00E336A2">
        <w:rPr>
          <w:rFonts w:eastAsia="Times New Roman" w:cs="Arial"/>
          <w:color w:val="000000"/>
        </w:rPr>
        <w:t xml:space="preserve">s coverage </w:t>
      </w:r>
      <w:r w:rsidR="00A11822" w:rsidRPr="00E336A2">
        <w:rPr>
          <w:rFonts w:eastAsia="Times New Roman" w:cs="Arial"/>
          <w:color w:val="000000"/>
        </w:rPr>
        <w:t>“</w:t>
      </w:r>
      <w:r w:rsidR="00FC72A5" w:rsidRPr="00E336A2">
        <w:rPr>
          <w:rFonts w:eastAsia="Times New Roman" w:cs="Arial"/>
          <w:color w:val="000000"/>
        </w:rPr>
        <w:t>in the broadest sense reasonably possible.</w:t>
      </w:r>
      <w:r w:rsidR="00A11822" w:rsidRPr="00E336A2">
        <w:rPr>
          <w:rFonts w:eastAsia="Times New Roman" w:cs="Arial"/>
          <w:color w:val="000000"/>
        </w:rPr>
        <w:t>” ’</w:t>
      </w:r>
      <w:r w:rsidR="00FC72A5" w:rsidRPr="00E336A2">
        <w:rPr>
          <w:rFonts w:eastAsia="Times New Roman" w:cs="Arial"/>
          <w:color w:val="000000"/>
        </w:rPr>
        <w:t xml:space="preserve"> </w:t>
      </w:r>
      <w:r w:rsidR="000E25EB" w:rsidRPr="00E336A2">
        <w:rPr>
          <w:rFonts w:eastAsia="Times New Roman" w:cs="Arial"/>
          <w:color w:val="000000"/>
        </w:rPr>
        <w:t xml:space="preserve"> </w:t>
      </w:r>
      <w:r w:rsidR="001C0FC2" w:rsidRPr="00E336A2">
        <w:rPr>
          <w:rFonts w:eastAsia="Times New Roman" w:cs="Arial"/>
          <w:color w:val="000000"/>
        </w:rPr>
        <w:t>[Citations.]</w:t>
      </w:r>
      <w:r w:rsidR="00DE2BC9" w:rsidRPr="00E336A2">
        <w:rPr>
          <w:rFonts w:eastAsia="Times New Roman" w:cs="Arial"/>
          <w:color w:val="000000"/>
        </w:rPr>
        <w:t xml:space="preserve"> </w:t>
      </w:r>
      <w:r w:rsidR="00FC72A5" w:rsidRPr="00E336A2">
        <w:rPr>
          <w:rFonts w:eastAsia="Times New Roman" w:cs="Arial"/>
          <w:color w:val="000000"/>
        </w:rPr>
        <w:t xml:space="preserve"> Under a parity of the reasoning adopted in </w:t>
      </w:r>
      <w:proofErr w:type="spellStart"/>
      <w:r w:rsidR="00FC72A5" w:rsidRPr="00E336A2">
        <w:rPr>
          <w:rFonts w:eastAsia="Times New Roman" w:cs="Arial"/>
          <w:i/>
          <w:iCs/>
          <w:color w:val="000000"/>
        </w:rPr>
        <w:t>Isbister</w:t>
      </w:r>
      <w:proofErr w:type="spellEnd"/>
      <w:r w:rsidR="00FC72A5" w:rsidRPr="00E336A2">
        <w:rPr>
          <w:rFonts w:eastAsia="Times New Roman" w:cs="Arial"/>
          <w:i/>
          <w:iCs/>
          <w:color w:val="000000"/>
        </w:rPr>
        <w:t>,</w:t>
      </w:r>
      <w:r w:rsidR="00FC72A5" w:rsidRPr="00E336A2">
        <w:rPr>
          <w:rFonts w:eastAsia="Times New Roman" w:cs="Arial"/>
          <w:color w:val="000000"/>
        </w:rPr>
        <w:t xml:space="preserve"> it appears relatively certain that it is </w:t>
      </w:r>
      <w:r w:rsidR="00A11822" w:rsidRPr="00E336A2">
        <w:rPr>
          <w:rFonts w:eastAsia="Times New Roman" w:cs="Arial"/>
          <w:color w:val="000000"/>
        </w:rPr>
        <w:t>‘</w:t>
      </w:r>
      <w:r w:rsidR="00FC72A5" w:rsidRPr="00E336A2">
        <w:rPr>
          <w:rFonts w:eastAsia="Times New Roman" w:cs="Arial"/>
          <w:color w:val="000000"/>
        </w:rPr>
        <w:t>reasonably possible</w:t>
      </w:r>
      <w:r w:rsidR="00A11822" w:rsidRPr="00E336A2">
        <w:rPr>
          <w:rFonts w:eastAsia="Times New Roman" w:cs="Arial"/>
          <w:color w:val="000000"/>
        </w:rPr>
        <w:t>’</w:t>
      </w:r>
      <w:r w:rsidR="00FC72A5" w:rsidRPr="00E336A2">
        <w:rPr>
          <w:rFonts w:eastAsia="Times New Roman" w:cs="Arial"/>
          <w:color w:val="000000"/>
        </w:rPr>
        <w:t xml:space="preserve"> that </w:t>
      </w:r>
      <w:r w:rsidR="00A11822" w:rsidRPr="00E336A2">
        <w:rPr>
          <w:rFonts w:eastAsia="Times New Roman" w:cs="Arial"/>
          <w:color w:val="000000"/>
        </w:rPr>
        <w:t>‘</w:t>
      </w:r>
      <w:r w:rsidR="00FC72A5" w:rsidRPr="00E336A2">
        <w:rPr>
          <w:rFonts w:eastAsia="Times New Roman" w:cs="Arial"/>
          <w:color w:val="000000"/>
        </w:rPr>
        <w:t>business establishments</w:t>
      </w:r>
      <w:r w:rsidR="00A11822" w:rsidRPr="00E336A2">
        <w:rPr>
          <w:rFonts w:eastAsia="Times New Roman" w:cs="Arial"/>
          <w:color w:val="000000"/>
        </w:rPr>
        <w:t>’</w:t>
      </w:r>
      <w:r w:rsidR="00FC72A5" w:rsidRPr="00E336A2">
        <w:rPr>
          <w:rFonts w:eastAsia="Times New Roman" w:cs="Arial"/>
          <w:color w:val="000000"/>
        </w:rPr>
        <w:t xml:space="preserve"> as used in the statute includes public schools.”</w:t>
      </w:r>
      <w:r w:rsidR="001C0FC2" w:rsidRPr="00E336A2">
        <w:rPr>
          <w:rFonts w:eastAsia="Times New Roman" w:cs="Arial"/>
          <w:color w:val="000000"/>
        </w:rPr>
        <w:t xml:space="preserve">  (</w:t>
      </w:r>
      <w:r w:rsidR="00DE2BC9" w:rsidRPr="00E336A2">
        <w:rPr>
          <w:rFonts w:eastAsia="Times New Roman" w:cs="Arial"/>
          <w:i/>
          <w:iCs/>
          <w:color w:val="000000"/>
        </w:rPr>
        <w:t>Id.</w:t>
      </w:r>
      <w:r w:rsidR="001C0FC2" w:rsidRPr="00E336A2">
        <w:rPr>
          <w:rFonts w:eastAsia="Times New Roman" w:cs="Arial"/>
          <w:i/>
          <w:iCs/>
          <w:color w:val="000000"/>
        </w:rPr>
        <w:t xml:space="preserve"> </w:t>
      </w:r>
      <w:r w:rsidR="001C0FC2" w:rsidRPr="00E336A2">
        <w:rPr>
          <w:rFonts w:eastAsia="Times New Roman" w:cs="Arial"/>
          <w:color w:val="000000"/>
        </w:rPr>
        <w:t>at p.</w:t>
      </w:r>
      <w:r w:rsidR="00A11822" w:rsidRPr="00E336A2">
        <w:rPr>
          <w:rFonts w:eastAsia="Times New Roman" w:cs="Arial"/>
          <w:color w:val="000000"/>
        </w:rPr>
        <w:t> </w:t>
      </w:r>
      <w:r w:rsidR="00FA0EE8" w:rsidRPr="00E336A2">
        <w:rPr>
          <w:rFonts w:eastAsia="Times New Roman" w:cs="Arial"/>
          <w:color w:val="000000"/>
        </w:rPr>
        <w:t>952</w:t>
      </w:r>
      <w:r w:rsidR="001C0FC2" w:rsidRPr="00E336A2">
        <w:rPr>
          <w:rFonts w:eastAsia="Times New Roman" w:cs="Arial"/>
          <w:color w:val="000000"/>
        </w:rPr>
        <w:t>.)</w:t>
      </w:r>
      <w:r w:rsidR="00FC72A5" w:rsidRPr="00E336A2">
        <w:rPr>
          <w:rFonts w:eastAsia="Times New Roman" w:cs="Arial"/>
          <w:color w:val="000000"/>
        </w:rPr>
        <w:t xml:space="preserve">  The court </w:t>
      </w:r>
      <w:r w:rsidR="00897841" w:rsidRPr="00E336A2">
        <w:rPr>
          <w:rFonts w:eastAsia="Times New Roman" w:cs="Arial"/>
          <w:color w:val="000000"/>
        </w:rPr>
        <w:t xml:space="preserve">then </w:t>
      </w:r>
      <w:r w:rsidR="00FC72A5" w:rsidRPr="00E336A2">
        <w:rPr>
          <w:rFonts w:eastAsia="Times New Roman" w:cs="Arial"/>
          <w:color w:val="000000"/>
        </w:rPr>
        <w:t xml:space="preserve">pointed to </w:t>
      </w:r>
      <w:proofErr w:type="spellStart"/>
      <w:r w:rsidR="00FC72A5" w:rsidRPr="00E336A2">
        <w:rPr>
          <w:rFonts w:eastAsia="Times New Roman" w:cs="Arial"/>
          <w:i/>
          <w:iCs/>
          <w:color w:val="000000"/>
        </w:rPr>
        <w:t>Isbister’s</w:t>
      </w:r>
      <w:proofErr w:type="spellEnd"/>
      <w:r w:rsidR="00FC72A5" w:rsidRPr="00E336A2">
        <w:rPr>
          <w:rFonts w:eastAsia="Times New Roman" w:cs="Arial"/>
          <w:i/>
          <w:iCs/>
          <w:color w:val="000000"/>
        </w:rPr>
        <w:t xml:space="preserve"> </w:t>
      </w:r>
      <w:r w:rsidR="00FA0EE8" w:rsidRPr="00E336A2">
        <w:rPr>
          <w:rFonts w:eastAsia="Times New Roman" w:cs="Arial"/>
          <w:color w:val="000000"/>
        </w:rPr>
        <w:t xml:space="preserve">comment that </w:t>
      </w:r>
      <w:r w:rsidR="001C0FC2" w:rsidRPr="00E336A2">
        <w:rPr>
          <w:rFonts w:eastAsia="Times New Roman" w:cs="Arial"/>
          <w:color w:val="000000"/>
        </w:rPr>
        <w:t>“[t]</w:t>
      </w:r>
      <w:r w:rsidR="00FC72A5" w:rsidRPr="00E336A2">
        <w:rPr>
          <w:rFonts w:eastAsia="Times New Roman" w:cs="Arial"/>
          <w:color w:val="000000"/>
        </w:rPr>
        <w:t>he broadened scope of business establishments in the final version of the bil</w:t>
      </w:r>
      <w:r w:rsidR="001C0FC2" w:rsidRPr="00E336A2">
        <w:rPr>
          <w:rFonts w:eastAsia="Times New Roman" w:cs="Arial"/>
          <w:color w:val="000000"/>
        </w:rPr>
        <w:t>l</w:t>
      </w:r>
      <w:r w:rsidR="004058F5" w:rsidRPr="00E336A2">
        <w:rPr>
          <w:rFonts w:eastAsia="Times New Roman" w:cs="Arial"/>
          <w:color w:val="000000"/>
        </w:rPr>
        <w:t>, . . .</w:t>
      </w:r>
      <w:r w:rsidR="001C0FC2" w:rsidRPr="00E336A2">
        <w:rPr>
          <w:rFonts w:eastAsia="Times New Roman" w:cs="Arial"/>
          <w:color w:val="000000"/>
        </w:rPr>
        <w:t xml:space="preserve"> </w:t>
      </w:r>
      <w:r w:rsidR="00FC72A5" w:rsidRPr="00E336A2">
        <w:rPr>
          <w:rFonts w:eastAsia="Times New Roman" w:cs="Arial"/>
          <w:color w:val="000000"/>
        </w:rPr>
        <w:t xml:space="preserve">is indicative of an intent by the Legislature to include therein </w:t>
      </w:r>
      <w:r w:rsidR="00FC72A5" w:rsidRPr="00E336A2">
        <w:rPr>
          <w:rFonts w:eastAsia="Times New Roman" w:cs="Arial"/>
          <w:i/>
          <w:iCs/>
          <w:color w:val="000000"/>
        </w:rPr>
        <w:t>all private and public groups or organizations</w:t>
      </w:r>
      <w:r w:rsidR="00FC72A5" w:rsidRPr="00E336A2">
        <w:rPr>
          <w:rFonts w:eastAsia="Times New Roman" w:cs="Arial"/>
          <w:color w:val="000000"/>
        </w:rPr>
        <w:t xml:space="preserve"> [specified in the original bill] that may </w:t>
      </w:r>
      <w:r w:rsidR="00FC72A5" w:rsidRPr="00E336A2">
        <w:rPr>
          <w:rFonts w:eastAsia="Times New Roman" w:cs="Arial"/>
          <w:color w:val="000000"/>
        </w:rPr>
        <w:lastRenderedPageBreak/>
        <w:t xml:space="preserve">reasonably be found to constitute </w:t>
      </w:r>
      <w:r w:rsidR="000E25EB" w:rsidRPr="00E336A2">
        <w:rPr>
          <w:rFonts w:eastAsia="Times New Roman" w:cs="Arial"/>
          <w:color w:val="000000"/>
        </w:rPr>
        <w:t>‘</w:t>
      </w:r>
      <w:r w:rsidR="00FC72A5" w:rsidRPr="00E336A2">
        <w:rPr>
          <w:rFonts w:eastAsia="Times New Roman" w:cs="Arial"/>
          <w:color w:val="000000"/>
        </w:rPr>
        <w:t>business establishments of every type [sic] whatsoever.</w:t>
      </w:r>
      <w:r w:rsidR="000E25EB" w:rsidRPr="00E336A2">
        <w:rPr>
          <w:rFonts w:eastAsia="Times New Roman" w:cs="Arial"/>
          <w:color w:val="000000"/>
        </w:rPr>
        <w:t>’</w:t>
      </w:r>
      <w:r w:rsidR="001C0FC2" w:rsidRPr="00E336A2">
        <w:rPr>
          <w:rFonts w:eastAsia="Times New Roman" w:cs="Arial"/>
          <w:color w:val="000000"/>
        </w:rPr>
        <w:t xml:space="preserve"> </w:t>
      </w:r>
      <w:r w:rsidR="00FA0EE8" w:rsidRPr="00E336A2">
        <w:rPr>
          <w:rFonts w:eastAsia="Times New Roman" w:cs="Arial"/>
          <w:color w:val="000000"/>
        </w:rPr>
        <w:t>”  (</w:t>
      </w:r>
      <w:r w:rsidR="00DE2BC9" w:rsidRPr="00E336A2">
        <w:rPr>
          <w:rFonts w:eastAsia="Times New Roman" w:cs="Arial"/>
          <w:i/>
          <w:iCs/>
          <w:color w:val="000000"/>
        </w:rPr>
        <w:t>I</w:t>
      </w:r>
      <w:r w:rsidR="004058F5" w:rsidRPr="00E336A2">
        <w:rPr>
          <w:rFonts w:eastAsia="Times New Roman" w:cs="Arial"/>
          <w:i/>
          <w:iCs/>
          <w:color w:val="000000"/>
        </w:rPr>
        <w:t>bid</w:t>
      </w:r>
      <w:r w:rsidR="00FA0EE8" w:rsidRPr="00E336A2">
        <w:rPr>
          <w:rFonts w:eastAsia="Times New Roman" w:cs="Arial"/>
          <w:color w:val="000000"/>
        </w:rPr>
        <w:t>.)  “</w:t>
      </w:r>
      <w:r w:rsidR="00FC72A5" w:rsidRPr="00E336A2">
        <w:rPr>
          <w:rFonts w:eastAsia="Times New Roman" w:cs="Arial"/>
          <w:color w:val="000000"/>
        </w:rPr>
        <w:t>In like fashion,</w:t>
      </w:r>
      <w:r w:rsidR="00B354FF" w:rsidRPr="00E336A2">
        <w:rPr>
          <w:rFonts w:eastAsia="Times New Roman" w:cs="Arial"/>
          <w:color w:val="000000"/>
        </w:rPr>
        <w:t>” said the district court,</w:t>
      </w:r>
      <w:r w:rsidR="00FC72A5" w:rsidRPr="00E336A2">
        <w:rPr>
          <w:rFonts w:eastAsia="Times New Roman" w:cs="Arial"/>
          <w:color w:val="000000"/>
        </w:rPr>
        <w:t xml:space="preserve"> </w:t>
      </w:r>
      <w:r w:rsidR="00B354FF" w:rsidRPr="00E336A2">
        <w:rPr>
          <w:rFonts w:eastAsia="Times New Roman" w:cs="Arial"/>
          <w:color w:val="000000"/>
        </w:rPr>
        <w:t>“</w:t>
      </w:r>
      <w:r w:rsidR="00FC72A5" w:rsidRPr="00E336A2">
        <w:rPr>
          <w:rFonts w:eastAsia="Times New Roman" w:cs="Arial"/>
          <w:color w:val="000000"/>
        </w:rPr>
        <w:t>since public schools were among those organizations listed in the original version of the Unruh Act, it must follow that for purposes of the Act they are business establishments as well.</w:t>
      </w:r>
      <w:r w:rsidR="00FA0EE8" w:rsidRPr="00E336A2">
        <w:rPr>
          <w:rFonts w:eastAsia="Times New Roman" w:cs="Arial"/>
          <w:color w:val="000000"/>
        </w:rPr>
        <w:t>”  (</w:t>
      </w:r>
      <w:r w:rsidR="00DE2BC9" w:rsidRPr="00E336A2">
        <w:rPr>
          <w:rFonts w:eastAsia="Times New Roman" w:cs="Arial"/>
          <w:i/>
          <w:iCs/>
          <w:color w:val="000000"/>
        </w:rPr>
        <w:t>Id.</w:t>
      </w:r>
      <w:r w:rsidR="00FA0EE8" w:rsidRPr="00E336A2">
        <w:rPr>
          <w:rFonts w:eastAsia="Times New Roman" w:cs="Arial"/>
          <w:i/>
          <w:iCs/>
          <w:color w:val="000000"/>
        </w:rPr>
        <w:t xml:space="preserve"> </w:t>
      </w:r>
      <w:r w:rsidR="00FA0EE8" w:rsidRPr="00E336A2">
        <w:rPr>
          <w:rFonts w:eastAsia="Times New Roman" w:cs="Arial"/>
          <w:color w:val="000000"/>
        </w:rPr>
        <w:t>at p</w:t>
      </w:r>
      <w:r w:rsidR="004058F5" w:rsidRPr="00E336A2">
        <w:rPr>
          <w:rFonts w:eastAsia="Times New Roman" w:cs="Arial"/>
          <w:color w:val="000000"/>
        </w:rPr>
        <w:t xml:space="preserve">. </w:t>
      </w:r>
      <w:r w:rsidR="00FA0EE8" w:rsidRPr="00E336A2">
        <w:rPr>
          <w:rFonts w:eastAsia="Times New Roman" w:cs="Arial"/>
          <w:color w:val="000000"/>
        </w:rPr>
        <w:t>53.)</w:t>
      </w:r>
      <w:r w:rsidR="00F73F3B" w:rsidRPr="00E336A2">
        <w:rPr>
          <w:rFonts w:eastAsia="Times New Roman" w:cs="Arial"/>
          <w:color w:val="000000"/>
        </w:rPr>
        <w:t xml:space="preserve">  </w:t>
      </w:r>
      <w:r w:rsidR="009A59D4">
        <w:rPr>
          <w:rFonts w:eastAsia="Times New Roman" w:cs="Arial"/>
          <w:color w:val="000000"/>
        </w:rPr>
        <w:t>Thus,</w:t>
      </w:r>
      <w:r w:rsidR="005E7C5B">
        <w:rPr>
          <w:rFonts w:eastAsia="Times New Roman" w:cs="Arial"/>
          <w:color w:val="000000"/>
        </w:rPr>
        <w:t xml:space="preserve"> </w:t>
      </w:r>
      <w:r w:rsidR="005E7C5B" w:rsidRPr="00E336A2">
        <w:rPr>
          <w:rFonts w:eastAsia="Times New Roman" w:cs="Arial"/>
          <w:color w:val="000000"/>
        </w:rPr>
        <w:t xml:space="preserve">not only was </w:t>
      </w:r>
      <w:r w:rsidR="005E7C5B" w:rsidRPr="00E336A2">
        <w:rPr>
          <w:rFonts w:eastAsia="Times New Roman" w:cs="Arial"/>
          <w:i/>
          <w:iCs/>
          <w:color w:val="000000"/>
        </w:rPr>
        <w:t xml:space="preserve">Sullivan’s </w:t>
      </w:r>
      <w:r w:rsidR="005E7C5B" w:rsidRPr="00E336A2">
        <w:rPr>
          <w:rFonts w:eastAsia="Times New Roman" w:cs="Arial"/>
          <w:color w:val="000000"/>
        </w:rPr>
        <w:t>analysis</w:t>
      </w:r>
      <w:r w:rsidR="005E7C5B">
        <w:rPr>
          <w:rFonts w:eastAsia="Times New Roman" w:cs="Arial"/>
          <w:color w:val="000000"/>
        </w:rPr>
        <w:t xml:space="preserve"> bereft of any depth</w:t>
      </w:r>
      <w:r w:rsidR="005E7C5B" w:rsidRPr="00E336A2">
        <w:rPr>
          <w:rFonts w:eastAsia="Times New Roman" w:cs="Arial"/>
          <w:color w:val="000000"/>
        </w:rPr>
        <w:t xml:space="preserve">, but, as we have discussed, in </w:t>
      </w:r>
      <w:r w:rsidR="005E7C5B" w:rsidRPr="00E336A2">
        <w:rPr>
          <w:rFonts w:eastAsia="Times New Roman" w:cs="Arial"/>
          <w:i/>
          <w:iCs/>
          <w:color w:val="000000"/>
        </w:rPr>
        <w:t xml:space="preserve">Warfield, </w:t>
      </w:r>
      <w:r w:rsidR="005E7C5B" w:rsidRPr="00E336A2">
        <w:rPr>
          <w:rFonts w:eastAsia="Times New Roman" w:cs="Arial"/>
          <w:color w:val="000000"/>
        </w:rPr>
        <w:t xml:space="preserve">our high court squarely rejected the </w:t>
      </w:r>
      <w:r w:rsidR="005E7C5B">
        <w:rPr>
          <w:rFonts w:eastAsia="Times New Roman" w:cs="Arial"/>
          <w:color w:val="000000"/>
        </w:rPr>
        <w:t xml:space="preserve">latter prong of the </w:t>
      </w:r>
      <w:r w:rsidR="005E7C5B" w:rsidRPr="00E336A2">
        <w:rPr>
          <w:rFonts w:eastAsia="Times New Roman" w:cs="Arial"/>
          <w:color w:val="000000"/>
        </w:rPr>
        <w:t>district court’s reasoning</w:t>
      </w:r>
      <w:r w:rsidR="009A59D4">
        <w:rPr>
          <w:rFonts w:eastAsia="Times New Roman" w:cs="Arial"/>
          <w:color w:val="000000"/>
        </w:rPr>
        <w:t>.</w:t>
      </w:r>
      <w:r w:rsidR="00FA0EE8" w:rsidRPr="00E336A2">
        <w:rPr>
          <w:rFonts w:eastAsia="Times New Roman" w:cs="Arial"/>
          <w:color w:val="000000"/>
        </w:rPr>
        <w:t xml:space="preserve">  </w:t>
      </w:r>
    </w:p>
    <w:p w14:paraId="4790BCD6" w14:textId="77777777" w:rsidR="00FF079E" w:rsidRDefault="00584F77" w:rsidP="00B354FF">
      <w:pPr>
        <w:spacing w:line="360" w:lineRule="auto"/>
        <w:rPr>
          <w:rFonts w:eastAsia="Times New Roman" w:cs="Arial"/>
          <w:color w:val="000000"/>
        </w:rPr>
      </w:pPr>
      <w:r w:rsidRPr="00E336A2">
        <w:rPr>
          <w:rFonts w:eastAsia="Times New Roman" w:cs="Arial"/>
          <w:color w:val="000000"/>
        </w:rPr>
        <w:tab/>
      </w:r>
      <w:r w:rsidR="001843A6" w:rsidRPr="00E336A2">
        <w:rPr>
          <w:rFonts w:eastAsia="Times New Roman" w:cs="Arial"/>
          <w:color w:val="000000"/>
        </w:rPr>
        <w:t>I</w:t>
      </w:r>
      <w:r w:rsidR="0053775F" w:rsidRPr="00E336A2">
        <w:rPr>
          <w:rFonts w:eastAsia="Times New Roman" w:cs="Arial"/>
          <w:color w:val="000000"/>
        </w:rPr>
        <w:t xml:space="preserve">n </w:t>
      </w:r>
      <w:proofErr w:type="spellStart"/>
      <w:r w:rsidRPr="00E336A2">
        <w:rPr>
          <w:rFonts w:eastAsia="Times New Roman" w:cs="Arial"/>
          <w:i/>
          <w:iCs/>
          <w:color w:val="000000"/>
        </w:rPr>
        <w:t>Whooley</w:t>
      </w:r>
      <w:proofErr w:type="spellEnd"/>
      <w:r w:rsidRPr="00E336A2">
        <w:rPr>
          <w:rFonts w:eastAsia="Times New Roman" w:cs="Arial"/>
          <w:i/>
          <w:iCs/>
          <w:color w:val="000000"/>
        </w:rPr>
        <w:t xml:space="preserve"> v. Tamalpais Union High School Dist</w:t>
      </w:r>
      <w:r w:rsidR="004058F5" w:rsidRPr="00E336A2">
        <w:rPr>
          <w:rFonts w:eastAsia="Times New Roman" w:cs="Arial"/>
          <w:i/>
          <w:iCs/>
          <w:color w:val="000000"/>
        </w:rPr>
        <w:t>.</w:t>
      </w:r>
      <w:r w:rsidRPr="00E336A2">
        <w:rPr>
          <w:rFonts w:eastAsia="Times New Roman" w:cs="Arial"/>
          <w:color w:val="000000"/>
        </w:rPr>
        <w:t xml:space="preserve"> (N.D. Cal. 2019) 399</w:t>
      </w:r>
      <w:r w:rsidR="00A74EFE">
        <w:rPr>
          <w:rFonts w:eastAsia="Times New Roman" w:cs="Arial"/>
          <w:color w:val="000000"/>
        </w:rPr>
        <w:t> </w:t>
      </w:r>
      <w:r w:rsidRPr="00E336A2">
        <w:rPr>
          <w:rFonts w:eastAsia="Times New Roman" w:cs="Arial"/>
          <w:color w:val="000000"/>
        </w:rPr>
        <w:t>F.Supp.3d 986 (</w:t>
      </w:r>
      <w:proofErr w:type="spellStart"/>
      <w:r w:rsidRPr="00E336A2">
        <w:rPr>
          <w:rFonts w:eastAsia="Times New Roman" w:cs="Arial"/>
          <w:i/>
          <w:iCs/>
          <w:color w:val="000000"/>
        </w:rPr>
        <w:t>Whooley</w:t>
      </w:r>
      <w:proofErr w:type="spellEnd"/>
      <w:r w:rsidRPr="00E336A2">
        <w:rPr>
          <w:rFonts w:eastAsia="Times New Roman" w:cs="Arial"/>
          <w:color w:val="000000"/>
        </w:rPr>
        <w:t xml:space="preserve">), the district court </w:t>
      </w:r>
      <w:r w:rsidR="00F73F3B" w:rsidRPr="00E336A2">
        <w:rPr>
          <w:rFonts w:eastAsia="Times New Roman" w:cs="Arial"/>
          <w:color w:val="000000"/>
        </w:rPr>
        <w:t xml:space="preserve">nevertheless </w:t>
      </w:r>
      <w:r w:rsidR="002D6DF6" w:rsidRPr="00E336A2">
        <w:rPr>
          <w:rFonts w:eastAsia="Times New Roman" w:cs="Arial"/>
          <w:color w:val="000000"/>
        </w:rPr>
        <w:t xml:space="preserve">took issue with </w:t>
      </w:r>
      <w:proofErr w:type="spellStart"/>
      <w:r w:rsidR="002D6DF6" w:rsidRPr="00E336A2">
        <w:rPr>
          <w:rFonts w:eastAsia="Times New Roman" w:cs="Arial"/>
          <w:i/>
          <w:iCs/>
          <w:color w:val="000000"/>
        </w:rPr>
        <w:t>Zuccarro</w:t>
      </w:r>
      <w:proofErr w:type="spellEnd"/>
      <w:r w:rsidR="002D6DF6" w:rsidRPr="00E336A2">
        <w:rPr>
          <w:rFonts w:eastAsia="Times New Roman" w:cs="Arial"/>
          <w:color w:val="000000"/>
        </w:rPr>
        <w:t xml:space="preserve"> and </w:t>
      </w:r>
      <w:r w:rsidR="00521C1E" w:rsidRPr="00E336A2">
        <w:rPr>
          <w:rFonts w:eastAsia="Times New Roman" w:cs="Arial"/>
          <w:color w:val="000000"/>
        </w:rPr>
        <w:t xml:space="preserve">endorsed </w:t>
      </w:r>
      <w:r w:rsidR="002D6DF6" w:rsidRPr="00E336A2">
        <w:rPr>
          <w:rFonts w:eastAsia="Times New Roman" w:cs="Arial"/>
          <w:i/>
          <w:iCs/>
          <w:color w:val="000000"/>
        </w:rPr>
        <w:t>Sullivan</w:t>
      </w:r>
      <w:r w:rsidR="00521C1E" w:rsidRPr="00E336A2">
        <w:rPr>
          <w:rFonts w:eastAsia="Times New Roman" w:cs="Arial"/>
          <w:i/>
          <w:iCs/>
          <w:color w:val="000000"/>
        </w:rPr>
        <w:t>’s</w:t>
      </w:r>
      <w:r w:rsidR="002D6DF6" w:rsidRPr="00E336A2">
        <w:rPr>
          <w:rFonts w:eastAsia="Times New Roman" w:cs="Arial"/>
          <w:i/>
          <w:iCs/>
          <w:color w:val="000000"/>
        </w:rPr>
        <w:t xml:space="preserve"> </w:t>
      </w:r>
      <w:r w:rsidR="002D6DF6" w:rsidRPr="00E336A2">
        <w:rPr>
          <w:rFonts w:eastAsia="Times New Roman" w:cs="Arial"/>
          <w:color w:val="000000"/>
        </w:rPr>
        <w:t xml:space="preserve">approach. </w:t>
      </w:r>
      <w:r w:rsidR="00521C1E" w:rsidRPr="00E336A2">
        <w:rPr>
          <w:rFonts w:eastAsia="Times New Roman" w:cs="Arial"/>
          <w:color w:val="000000"/>
        </w:rPr>
        <w:t xml:space="preserve"> </w:t>
      </w:r>
      <w:r w:rsidR="006B71CD" w:rsidRPr="00E336A2">
        <w:rPr>
          <w:rFonts w:eastAsia="Times New Roman" w:cs="Arial"/>
          <w:color w:val="000000"/>
        </w:rPr>
        <w:t xml:space="preserve">The court </w:t>
      </w:r>
      <w:r w:rsidR="00521C1E" w:rsidRPr="00E336A2">
        <w:rPr>
          <w:rFonts w:eastAsia="Times New Roman" w:cs="Arial"/>
          <w:color w:val="000000"/>
        </w:rPr>
        <w:t xml:space="preserve">first </w:t>
      </w:r>
      <w:r w:rsidR="006B71CD" w:rsidRPr="00E336A2">
        <w:rPr>
          <w:rFonts w:eastAsia="Times New Roman" w:cs="Arial"/>
          <w:color w:val="000000"/>
        </w:rPr>
        <w:t xml:space="preserve">distinguished </w:t>
      </w:r>
      <w:r w:rsidR="006B71CD" w:rsidRPr="00E336A2">
        <w:rPr>
          <w:rFonts w:eastAsia="Times New Roman" w:cs="Arial"/>
          <w:i/>
          <w:iCs/>
          <w:color w:val="000000"/>
        </w:rPr>
        <w:t xml:space="preserve">Curran </w:t>
      </w:r>
      <w:r w:rsidR="006B71CD" w:rsidRPr="00E336A2">
        <w:rPr>
          <w:rFonts w:eastAsia="Times New Roman" w:cs="Arial"/>
          <w:color w:val="000000"/>
        </w:rPr>
        <w:t xml:space="preserve">and </w:t>
      </w:r>
      <w:r w:rsidR="002D6DF6" w:rsidRPr="00E336A2">
        <w:rPr>
          <w:rFonts w:eastAsia="Times New Roman" w:cs="Arial"/>
          <w:i/>
          <w:iCs/>
          <w:color w:val="000000"/>
        </w:rPr>
        <w:t xml:space="preserve">California </w:t>
      </w:r>
      <w:r w:rsidR="006B71CD" w:rsidRPr="00E336A2">
        <w:rPr>
          <w:rFonts w:eastAsia="Times New Roman" w:cs="Arial"/>
          <w:i/>
          <w:iCs/>
          <w:color w:val="000000"/>
        </w:rPr>
        <w:t>Lutheran</w:t>
      </w:r>
      <w:r w:rsidR="0053775F" w:rsidRPr="00E336A2">
        <w:rPr>
          <w:rFonts w:eastAsia="Times New Roman" w:cs="Arial"/>
          <w:i/>
          <w:iCs/>
          <w:color w:val="000000"/>
        </w:rPr>
        <w:t xml:space="preserve">.  </w:t>
      </w:r>
      <w:r w:rsidR="0053775F" w:rsidRPr="00E336A2">
        <w:rPr>
          <w:rFonts w:eastAsia="Times New Roman" w:cs="Arial"/>
          <w:color w:val="000000"/>
        </w:rPr>
        <w:t>U</w:t>
      </w:r>
      <w:r w:rsidR="001A0B13" w:rsidRPr="00E336A2">
        <w:rPr>
          <w:rFonts w:eastAsia="Times New Roman" w:cs="Arial"/>
          <w:color w:val="000000"/>
        </w:rPr>
        <w:t xml:space="preserve">nlike </w:t>
      </w:r>
      <w:r w:rsidR="006B71CD" w:rsidRPr="00E336A2">
        <w:rPr>
          <w:rFonts w:eastAsia="Times New Roman" w:cs="Arial"/>
          <w:color w:val="000000"/>
        </w:rPr>
        <w:t xml:space="preserve">the Boy Scouts and the private, religious high school, </w:t>
      </w:r>
      <w:r w:rsidR="0053775F" w:rsidRPr="00E336A2">
        <w:rPr>
          <w:rFonts w:eastAsia="Times New Roman" w:cs="Arial"/>
          <w:color w:val="000000"/>
        </w:rPr>
        <w:t xml:space="preserve">said the </w:t>
      </w:r>
      <w:r w:rsidR="00FE7758" w:rsidRPr="00E336A2">
        <w:rPr>
          <w:rFonts w:eastAsia="Times New Roman" w:cs="Arial"/>
          <w:color w:val="000000"/>
        </w:rPr>
        <w:t xml:space="preserve">district </w:t>
      </w:r>
      <w:r w:rsidR="0053775F" w:rsidRPr="00E336A2">
        <w:rPr>
          <w:rFonts w:eastAsia="Times New Roman" w:cs="Arial"/>
          <w:color w:val="000000"/>
        </w:rPr>
        <w:t xml:space="preserve">court, </w:t>
      </w:r>
      <w:r w:rsidR="002D6DF6" w:rsidRPr="00E336A2">
        <w:rPr>
          <w:rFonts w:eastAsia="Times New Roman" w:cs="Arial"/>
          <w:color w:val="000000"/>
        </w:rPr>
        <w:t xml:space="preserve">the high school district </w:t>
      </w:r>
      <w:r w:rsidR="006B71CD" w:rsidRPr="00E336A2">
        <w:rPr>
          <w:rFonts w:eastAsia="Times New Roman" w:cs="Arial"/>
          <w:color w:val="000000"/>
        </w:rPr>
        <w:t>“is a public operation that provides educational services to the local community at no cost to the individuals its serves.”</w:t>
      </w:r>
      <w:r w:rsidR="002D6DF6" w:rsidRPr="00E336A2">
        <w:rPr>
          <w:rFonts w:eastAsia="Times New Roman" w:cs="Arial"/>
          <w:color w:val="000000"/>
        </w:rPr>
        <w:t xml:space="preserve">  (</w:t>
      </w:r>
      <w:r w:rsidR="00DE2BC9" w:rsidRPr="00E336A2">
        <w:rPr>
          <w:rFonts w:eastAsia="Times New Roman" w:cs="Arial"/>
          <w:i/>
          <w:iCs/>
          <w:color w:val="000000"/>
        </w:rPr>
        <w:t>Id.</w:t>
      </w:r>
      <w:r w:rsidR="002D6DF6" w:rsidRPr="00E336A2">
        <w:rPr>
          <w:rFonts w:eastAsia="Times New Roman" w:cs="Arial"/>
          <w:i/>
          <w:iCs/>
          <w:color w:val="000000"/>
        </w:rPr>
        <w:t xml:space="preserve"> </w:t>
      </w:r>
      <w:r w:rsidR="002D6DF6" w:rsidRPr="00E336A2">
        <w:rPr>
          <w:rFonts w:eastAsia="Times New Roman" w:cs="Arial"/>
          <w:color w:val="000000"/>
        </w:rPr>
        <w:t xml:space="preserve">at p. </w:t>
      </w:r>
      <w:r w:rsidR="0053775F" w:rsidRPr="00E336A2">
        <w:rPr>
          <w:rFonts w:eastAsia="Times New Roman" w:cs="Arial"/>
          <w:color w:val="000000"/>
        </w:rPr>
        <w:t>998</w:t>
      </w:r>
      <w:r w:rsidR="002D6DF6" w:rsidRPr="00E336A2">
        <w:rPr>
          <w:rFonts w:eastAsia="Times New Roman" w:cs="Arial"/>
          <w:color w:val="000000"/>
        </w:rPr>
        <w:t>.)</w:t>
      </w:r>
      <w:r w:rsidR="006B71CD" w:rsidRPr="00E336A2">
        <w:rPr>
          <w:rFonts w:eastAsia="Times New Roman" w:cs="Arial"/>
          <w:color w:val="000000"/>
        </w:rPr>
        <w:t xml:space="preserve">  The court </w:t>
      </w:r>
      <w:r w:rsidR="00521C1E" w:rsidRPr="00E336A2">
        <w:rPr>
          <w:rFonts w:eastAsia="Times New Roman" w:cs="Arial"/>
          <w:color w:val="000000"/>
        </w:rPr>
        <w:t xml:space="preserve">next </w:t>
      </w:r>
      <w:r w:rsidR="002D6DF6" w:rsidRPr="00E336A2">
        <w:rPr>
          <w:rFonts w:eastAsia="Times New Roman" w:cs="Arial"/>
          <w:color w:val="000000"/>
        </w:rPr>
        <w:t xml:space="preserve">pronounced </w:t>
      </w:r>
      <w:r w:rsidR="0053775F" w:rsidRPr="00E336A2">
        <w:rPr>
          <w:rFonts w:eastAsia="Times New Roman" w:cs="Arial"/>
          <w:color w:val="000000"/>
        </w:rPr>
        <w:t xml:space="preserve">as inapposite </w:t>
      </w:r>
      <w:r w:rsidR="006B71CD" w:rsidRPr="00E336A2">
        <w:rPr>
          <w:rFonts w:eastAsia="Times New Roman" w:cs="Arial"/>
          <w:color w:val="000000"/>
        </w:rPr>
        <w:t xml:space="preserve">the California appellate court cases </w:t>
      </w:r>
      <w:r w:rsidR="001843A6" w:rsidRPr="00E336A2">
        <w:rPr>
          <w:rFonts w:eastAsia="Times New Roman" w:cs="Arial"/>
          <w:color w:val="000000"/>
        </w:rPr>
        <w:t xml:space="preserve">concluding </w:t>
      </w:r>
      <w:r w:rsidR="0053775F" w:rsidRPr="00E336A2">
        <w:rPr>
          <w:rFonts w:eastAsia="Times New Roman" w:cs="Arial"/>
          <w:color w:val="000000"/>
        </w:rPr>
        <w:t xml:space="preserve">other </w:t>
      </w:r>
      <w:r w:rsidR="00863611" w:rsidRPr="00E336A2">
        <w:rPr>
          <w:rFonts w:eastAsia="Times New Roman" w:cs="Arial"/>
          <w:color w:val="000000"/>
        </w:rPr>
        <w:t>government entities were not business establishments</w:t>
      </w:r>
      <w:r w:rsidR="00521C1E" w:rsidRPr="00E336A2">
        <w:rPr>
          <w:rFonts w:eastAsia="Times New Roman" w:cs="Arial"/>
          <w:color w:val="000000"/>
        </w:rPr>
        <w:t>—none</w:t>
      </w:r>
      <w:r w:rsidR="00FE7758" w:rsidRPr="00E336A2">
        <w:rPr>
          <w:rFonts w:eastAsia="Times New Roman" w:cs="Arial"/>
          <w:color w:val="000000"/>
        </w:rPr>
        <w:t>, said the district court,</w:t>
      </w:r>
      <w:r w:rsidR="00521C1E" w:rsidRPr="00E336A2">
        <w:rPr>
          <w:rFonts w:eastAsia="Times New Roman" w:cs="Arial"/>
          <w:color w:val="000000"/>
        </w:rPr>
        <w:t xml:space="preserve"> </w:t>
      </w:r>
      <w:r w:rsidR="00787D72" w:rsidRPr="00E336A2">
        <w:rPr>
          <w:rFonts w:eastAsia="Times New Roman" w:cs="Arial"/>
          <w:color w:val="000000"/>
        </w:rPr>
        <w:t>“dealt with public schools with their ‘quintessential character of providing public accommodations and services to students.’ ”  (</w:t>
      </w:r>
      <w:r w:rsidR="0053775F" w:rsidRPr="00E336A2">
        <w:rPr>
          <w:rFonts w:eastAsia="Times New Roman" w:cs="Arial"/>
          <w:i/>
          <w:iCs/>
          <w:color w:val="000000"/>
        </w:rPr>
        <w:t>Ibid.</w:t>
      </w:r>
      <w:r w:rsidR="0053775F" w:rsidRPr="00E336A2">
        <w:rPr>
          <w:rFonts w:eastAsia="Times New Roman" w:cs="Arial"/>
          <w:color w:val="000000"/>
        </w:rPr>
        <w:t>,</w:t>
      </w:r>
      <w:r w:rsidR="00787D72" w:rsidRPr="00E336A2">
        <w:rPr>
          <w:rFonts w:eastAsia="Times New Roman" w:cs="Arial"/>
          <w:i/>
          <w:iCs/>
          <w:color w:val="000000"/>
        </w:rPr>
        <w:t xml:space="preserve"> </w:t>
      </w:r>
      <w:r w:rsidR="00787D72" w:rsidRPr="00E336A2">
        <w:rPr>
          <w:rFonts w:eastAsia="Times New Roman" w:cs="Arial"/>
          <w:color w:val="000000"/>
        </w:rPr>
        <w:t xml:space="preserve">citing </w:t>
      </w:r>
      <w:r w:rsidR="00787D72" w:rsidRPr="00E336A2">
        <w:rPr>
          <w:rFonts w:eastAsia="Times New Roman" w:cs="Arial"/>
          <w:i/>
          <w:iCs/>
          <w:color w:val="000000"/>
        </w:rPr>
        <w:t>Yates v. East Side Union High Sch</w:t>
      </w:r>
      <w:r w:rsidR="00CE0D21" w:rsidRPr="00E336A2">
        <w:rPr>
          <w:rFonts w:eastAsia="Times New Roman" w:cs="Arial"/>
          <w:i/>
          <w:iCs/>
          <w:color w:val="000000"/>
        </w:rPr>
        <w:t>ool</w:t>
      </w:r>
      <w:r w:rsidR="00787D72" w:rsidRPr="00E336A2">
        <w:rPr>
          <w:rFonts w:eastAsia="Times New Roman" w:cs="Arial"/>
          <w:i/>
          <w:iCs/>
          <w:color w:val="000000"/>
        </w:rPr>
        <w:t xml:space="preserve"> Dist. </w:t>
      </w:r>
      <w:r w:rsidR="00787D72" w:rsidRPr="00E336A2">
        <w:rPr>
          <w:rFonts w:eastAsia="Times New Roman" w:cs="Arial"/>
          <w:color w:val="000000"/>
        </w:rPr>
        <w:t>(</w:t>
      </w:r>
      <w:proofErr w:type="spellStart"/>
      <w:r w:rsidR="00787D72" w:rsidRPr="00E336A2">
        <w:rPr>
          <w:rFonts w:eastAsia="Times New Roman" w:cs="Arial"/>
          <w:color w:val="000000"/>
        </w:rPr>
        <w:t>N.D.Cal</w:t>
      </w:r>
      <w:proofErr w:type="spellEnd"/>
      <w:r w:rsidR="00787D72" w:rsidRPr="00E336A2">
        <w:rPr>
          <w:rFonts w:eastAsia="Times New Roman" w:cs="Arial"/>
          <w:color w:val="000000"/>
        </w:rPr>
        <w:t>.</w:t>
      </w:r>
      <w:r w:rsidR="00CE0D21" w:rsidRPr="00E336A2">
        <w:rPr>
          <w:rFonts w:eastAsia="Times New Roman" w:cs="Arial"/>
          <w:color w:val="000000"/>
        </w:rPr>
        <w:t xml:space="preserve"> Feb. 20,</w:t>
      </w:r>
      <w:r w:rsidR="00787D72" w:rsidRPr="00E336A2">
        <w:rPr>
          <w:rFonts w:eastAsia="Times New Roman" w:cs="Arial"/>
          <w:color w:val="000000"/>
        </w:rPr>
        <w:t xml:space="preserve"> 2019</w:t>
      </w:r>
      <w:r w:rsidR="005E7C5B">
        <w:rPr>
          <w:rFonts w:eastAsia="Times New Roman" w:cs="Arial"/>
          <w:color w:val="000000"/>
        </w:rPr>
        <w:t>, No. 18-cv-02966-JD</w:t>
      </w:r>
      <w:r w:rsidR="00787D72" w:rsidRPr="00E336A2">
        <w:rPr>
          <w:rFonts w:eastAsia="Times New Roman" w:cs="Arial"/>
          <w:color w:val="000000"/>
        </w:rPr>
        <w:t>) 2019 WL 721313 at *2.)</w:t>
      </w:r>
      <w:r w:rsidR="0032335B" w:rsidRPr="00E336A2">
        <w:rPr>
          <w:rFonts w:eastAsia="Times New Roman" w:cs="Arial"/>
          <w:color w:val="000000"/>
        </w:rPr>
        <w:t xml:space="preserve">  </w:t>
      </w:r>
      <w:r w:rsidR="00F73F3B" w:rsidRPr="00E336A2">
        <w:rPr>
          <w:rFonts w:eastAsia="Times New Roman" w:cs="Arial"/>
          <w:color w:val="000000"/>
        </w:rPr>
        <w:t xml:space="preserve">In short, </w:t>
      </w:r>
      <w:proofErr w:type="spellStart"/>
      <w:r w:rsidR="00787D72" w:rsidRPr="00E336A2">
        <w:rPr>
          <w:rFonts w:eastAsia="Times New Roman" w:cs="Arial"/>
          <w:i/>
          <w:iCs/>
          <w:color w:val="000000"/>
        </w:rPr>
        <w:t>Whooley</w:t>
      </w:r>
      <w:proofErr w:type="spellEnd"/>
      <w:r w:rsidR="00787D72" w:rsidRPr="00E336A2">
        <w:rPr>
          <w:rFonts w:eastAsia="Times New Roman" w:cs="Arial"/>
          <w:i/>
          <w:iCs/>
          <w:color w:val="000000"/>
        </w:rPr>
        <w:t xml:space="preserve"> </w:t>
      </w:r>
      <w:r w:rsidR="00FF079E" w:rsidRPr="00E336A2">
        <w:rPr>
          <w:rFonts w:eastAsia="Times New Roman" w:cs="Arial"/>
          <w:color w:val="000000"/>
        </w:rPr>
        <w:t xml:space="preserve">(as does </w:t>
      </w:r>
      <w:r w:rsidR="00FF079E" w:rsidRPr="00E336A2">
        <w:rPr>
          <w:rFonts w:eastAsia="Times New Roman" w:cs="Arial"/>
          <w:i/>
          <w:iCs/>
          <w:color w:val="000000"/>
        </w:rPr>
        <w:t>Yates</w:t>
      </w:r>
      <w:r w:rsidR="00FF079E" w:rsidRPr="00E336A2">
        <w:rPr>
          <w:rFonts w:eastAsia="Times New Roman" w:cs="Arial"/>
          <w:color w:val="000000"/>
        </w:rPr>
        <w:t xml:space="preserve">) </w:t>
      </w:r>
      <w:r w:rsidR="00787D72" w:rsidRPr="00E336A2">
        <w:rPr>
          <w:rFonts w:eastAsia="Times New Roman" w:cs="Arial"/>
          <w:color w:val="000000"/>
        </w:rPr>
        <w:t xml:space="preserve">suffers from the same analytical shortcomings </w:t>
      </w:r>
      <w:r w:rsidR="00F73F3B" w:rsidRPr="00E336A2">
        <w:rPr>
          <w:rFonts w:eastAsia="Times New Roman" w:cs="Arial"/>
          <w:color w:val="000000"/>
        </w:rPr>
        <w:t xml:space="preserve">as </w:t>
      </w:r>
      <w:r w:rsidR="00F73F3B" w:rsidRPr="00E336A2">
        <w:rPr>
          <w:rFonts w:eastAsia="Times New Roman" w:cs="Arial"/>
          <w:i/>
          <w:iCs/>
          <w:color w:val="000000"/>
        </w:rPr>
        <w:t xml:space="preserve">Sullivan.  </w:t>
      </w:r>
      <w:r w:rsidR="00F73F3B" w:rsidRPr="00E336A2">
        <w:rPr>
          <w:rFonts w:eastAsia="Times New Roman" w:cs="Arial"/>
          <w:color w:val="000000"/>
        </w:rPr>
        <w:t>As we have discussed at length, t</w:t>
      </w:r>
      <w:r w:rsidR="00787D72" w:rsidRPr="00E336A2">
        <w:rPr>
          <w:rFonts w:eastAsia="Times New Roman" w:cs="Arial"/>
          <w:color w:val="000000"/>
        </w:rPr>
        <w:t xml:space="preserve">he historical genesis of the Unruh Act, its legislative history, scholarly commentary, and the decisions of our high court all demonstrate California’s public school districts are </w:t>
      </w:r>
      <w:r w:rsidR="00787D72" w:rsidRPr="00E336A2">
        <w:rPr>
          <w:rFonts w:eastAsia="Times New Roman" w:cs="Arial"/>
          <w:i/>
          <w:iCs/>
          <w:color w:val="000000"/>
        </w:rPr>
        <w:t>not</w:t>
      </w:r>
      <w:r w:rsidR="00787D72" w:rsidRPr="00E336A2">
        <w:rPr>
          <w:rFonts w:eastAsia="Times New Roman" w:cs="Arial"/>
          <w:color w:val="000000"/>
        </w:rPr>
        <w:t xml:space="preserve"> quintessential </w:t>
      </w:r>
      <w:r w:rsidR="001A0B13" w:rsidRPr="00E336A2">
        <w:rPr>
          <w:rFonts w:eastAsia="Times New Roman" w:cs="Arial"/>
          <w:color w:val="000000"/>
        </w:rPr>
        <w:t>“</w:t>
      </w:r>
      <w:r w:rsidR="00787D72" w:rsidRPr="00E336A2">
        <w:rPr>
          <w:rFonts w:eastAsia="Times New Roman" w:cs="Arial"/>
          <w:color w:val="000000"/>
        </w:rPr>
        <w:t>public accommodations</w:t>
      </w:r>
      <w:r w:rsidR="001A0B13" w:rsidRPr="00E336A2">
        <w:rPr>
          <w:rFonts w:eastAsia="Times New Roman" w:cs="Arial"/>
          <w:color w:val="000000"/>
        </w:rPr>
        <w:t>”</w:t>
      </w:r>
      <w:r w:rsidR="00787D72" w:rsidRPr="00E336A2">
        <w:rPr>
          <w:rFonts w:eastAsia="Times New Roman" w:cs="Arial"/>
          <w:color w:val="000000"/>
        </w:rPr>
        <w:t xml:space="preserve"> within the meaning of our state</w:t>
      </w:r>
      <w:r w:rsidR="00863611" w:rsidRPr="00E336A2">
        <w:rPr>
          <w:rFonts w:eastAsia="Times New Roman" w:cs="Arial"/>
          <w:color w:val="000000"/>
        </w:rPr>
        <w:t>’s</w:t>
      </w:r>
      <w:r w:rsidR="00787D72" w:rsidRPr="00E336A2">
        <w:rPr>
          <w:rFonts w:eastAsia="Times New Roman" w:cs="Arial"/>
          <w:color w:val="000000"/>
        </w:rPr>
        <w:t xml:space="preserve"> public accommodation law.</w:t>
      </w:r>
      <w:r w:rsidR="00FE7758">
        <w:rPr>
          <w:rFonts w:eastAsia="Times New Roman" w:cs="Arial"/>
          <w:color w:val="000000"/>
        </w:rPr>
        <w:t xml:space="preserve"> </w:t>
      </w:r>
    </w:p>
    <w:p w14:paraId="16A92E5E" w14:textId="77777777" w:rsidR="00FF079E" w:rsidRDefault="00FF079E" w:rsidP="00DE2BC9">
      <w:pPr>
        <w:keepNext/>
        <w:spacing w:line="360" w:lineRule="auto"/>
        <w:rPr>
          <w:rFonts w:eastAsia="Times New Roman" w:cs="Arial"/>
          <w:b/>
          <w:bCs/>
          <w:color w:val="000000"/>
        </w:rPr>
      </w:pPr>
      <w:r w:rsidRPr="00FF079E">
        <w:rPr>
          <w:rFonts w:eastAsia="Times New Roman" w:cs="Arial"/>
          <w:b/>
          <w:bCs/>
          <w:i/>
          <w:iCs/>
          <w:color w:val="000000"/>
        </w:rPr>
        <w:lastRenderedPageBreak/>
        <w:t>Education Code Sections 200 et seq.</w:t>
      </w:r>
    </w:p>
    <w:p w14:paraId="736490B4" w14:textId="77777777" w:rsidR="00975BD3" w:rsidRDefault="00FF079E" w:rsidP="00DE2BC9">
      <w:pPr>
        <w:keepNext/>
        <w:spacing w:line="360" w:lineRule="auto"/>
        <w:rPr>
          <w:rFonts w:eastAsia="Times New Roman" w:cs="Arial"/>
          <w:color w:val="000000"/>
        </w:rPr>
      </w:pPr>
      <w:r w:rsidRPr="00FF079E">
        <w:rPr>
          <w:rFonts w:eastAsia="Times New Roman" w:cs="Arial"/>
          <w:color w:val="000000"/>
        </w:rPr>
        <w:tab/>
      </w:r>
      <w:r w:rsidR="001A0B13">
        <w:rPr>
          <w:rFonts w:eastAsia="Times New Roman" w:cs="Arial"/>
          <w:color w:val="000000"/>
        </w:rPr>
        <w:t>Casting beyond the Unruh Act, p</w:t>
      </w:r>
      <w:r w:rsidR="00BE61A1">
        <w:rPr>
          <w:rFonts w:eastAsia="Times New Roman" w:cs="Arial"/>
          <w:color w:val="000000"/>
        </w:rPr>
        <w:t>etitioner</w:t>
      </w:r>
      <w:r>
        <w:rPr>
          <w:rFonts w:eastAsia="Times New Roman" w:cs="Arial"/>
          <w:color w:val="000000"/>
        </w:rPr>
        <w:t xml:space="preserve"> </w:t>
      </w:r>
      <w:r w:rsidR="001A0B13">
        <w:rPr>
          <w:rFonts w:eastAsia="Times New Roman" w:cs="Arial"/>
          <w:color w:val="000000"/>
        </w:rPr>
        <w:t xml:space="preserve">maintains </w:t>
      </w:r>
      <w:r>
        <w:rPr>
          <w:rFonts w:eastAsia="Times New Roman" w:cs="Arial"/>
          <w:color w:val="000000"/>
        </w:rPr>
        <w:t>a</w:t>
      </w:r>
      <w:r w:rsidR="001A0B13">
        <w:rPr>
          <w:rFonts w:eastAsia="Times New Roman" w:cs="Arial"/>
          <w:color w:val="000000"/>
        </w:rPr>
        <w:t xml:space="preserve"> 1998</w:t>
      </w:r>
      <w:r>
        <w:rPr>
          <w:rFonts w:eastAsia="Times New Roman" w:cs="Arial"/>
          <w:color w:val="000000"/>
        </w:rPr>
        <w:t xml:space="preserve"> amendment to Education Code section 201</w:t>
      </w:r>
      <w:r w:rsidR="001843A6">
        <w:rPr>
          <w:rFonts w:eastAsia="Times New Roman" w:cs="Arial"/>
          <w:color w:val="000000"/>
        </w:rPr>
        <w:t xml:space="preserve"> </w:t>
      </w:r>
      <w:r>
        <w:rPr>
          <w:rFonts w:eastAsia="Times New Roman" w:cs="Arial"/>
          <w:color w:val="000000"/>
        </w:rPr>
        <w:t xml:space="preserve">demonstrates </w:t>
      </w:r>
      <w:r w:rsidR="001A0B13">
        <w:rPr>
          <w:rFonts w:eastAsia="Times New Roman" w:cs="Arial"/>
          <w:color w:val="000000"/>
        </w:rPr>
        <w:t xml:space="preserve">California </w:t>
      </w:r>
      <w:r w:rsidR="00A445C1">
        <w:rPr>
          <w:rFonts w:eastAsia="Times New Roman" w:cs="Arial"/>
          <w:color w:val="000000"/>
        </w:rPr>
        <w:t xml:space="preserve">public school districts are business establishments under the </w:t>
      </w:r>
      <w:r>
        <w:rPr>
          <w:rFonts w:eastAsia="Times New Roman" w:cs="Arial"/>
          <w:color w:val="000000"/>
        </w:rPr>
        <w:t>Act</w:t>
      </w:r>
      <w:r w:rsidR="00A445C1">
        <w:rPr>
          <w:rFonts w:eastAsia="Times New Roman" w:cs="Arial"/>
          <w:color w:val="000000"/>
        </w:rPr>
        <w:t>.</w:t>
      </w:r>
      <w:r w:rsidR="00975BD3">
        <w:rPr>
          <w:rFonts w:eastAsia="Times New Roman" w:cs="Arial"/>
          <w:color w:val="000000"/>
        </w:rPr>
        <w:t xml:space="preserve">  </w:t>
      </w:r>
      <w:r w:rsidR="0012618B">
        <w:rPr>
          <w:rFonts w:eastAsia="Times New Roman" w:cs="Arial"/>
          <w:color w:val="000000"/>
        </w:rPr>
        <w:t>Petitioner</w:t>
      </w:r>
      <w:r w:rsidR="00975BD3">
        <w:rPr>
          <w:rFonts w:eastAsia="Times New Roman" w:cs="Arial"/>
          <w:color w:val="000000"/>
        </w:rPr>
        <w:t xml:space="preserve"> reads far </w:t>
      </w:r>
      <w:r w:rsidR="001843A6">
        <w:rPr>
          <w:rFonts w:eastAsia="Times New Roman" w:cs="Arial"/>
          <w:color w:val="000000"/>
        </w:rPr>
        <w:t xml:space="preserve">too much into </w:t>
      </w:r>
      <w:r w:rsidR="00975BD3">
        <w:rPr>
          <w:rFonts w:eastAsia="Times New Roman" w:cs="Arial"/>
          <w:color w:val="000000"/>
        </w:rPr>
        <w:t xml:space="preserve">this amendment </w:t>
      </w:r>
      <w:r w:rsidR="001A0B13">
        <w:rPr>
          <w:rFonts w:eastAsia="Times New Roman" w:cs="Arial"/>
          <w:color w:val="000000"/>
        </w:rPr>
        <w:t>to the Education Code</w:t>
      </w:r>
      <w:r w:rsidR="001843A6">
        <w:rPr>
          <w:rFonts w:eastAsia="Times New Roman" w:cs="Arial"/>
          <w:color w:val="000000"/>
        </w:rPr>
        <w:t>.</w:t>
      </w:r>
    </w:p>
    <w:p w14:paraId="7410514F" w14:textId="77777777" w:rsidR="00A445C1" w:rsidRPr="00E336A2" w:rsidRDefault="00975BD3" w:rsidP="00590BCC">
      <w:pPr>
        <w:spacing w:line="360" w:lineRule="auto"/>
        <w:rPr>
          <w:rFonts w:eastAsia="Times New Roman" w:cs="Arial"/>
          <w:color w:val="000000"/>
        </w:rPr>
      </w:pPr>
      <w:r>
        <w:rPr>
          <w:rFonts w:eastAsia="Times New Roman" w:cs="Arial"/>
          <w:color w:val="000000"/>
        </w:rPr>
        <w:tab/>
      </w:r>
      <w:r w:rsidR="00DE2BC9" w:rsidRPr="00E336A2">
        <w:rPr>
          <w:rFonts w:eastAsia="Times New Roman" w:cs="Arial"/>
          <w:color w:val="000000"/>
        </w:rPr>
        <w:t>Education Code s</w:t>
      </w:r>
      <w:r w:rsidRPr="00E336A2">
        <w:rPr>
          <w:rFonts w:eastAsia="Times New Roman" w:cs="Arial"/>
          <w:color w:val="000000"/>
        </w:rPr>
        <w:t xml:space="preserve">ection 201 </w:t>
      </w:r>
      <w:r w:rsidR="00A445C1" w:rsidRPr="00E336A2">
        <w:rPr>
          <w:rFonts w:eastAsia="Times New Roman" w:cs="Arial"/>
          <w:color w:val="000000"/>
        </w:rPr>
        <w:t xml:space="preserve">is part of </w:t>
      </w:r>
      <w:r w:rsidR="004369B4" w:rsidRPr="00E336A2">
        <w:rPr>
          <w:rFonts w:eastAsia="Times New Roman" w:cs="Arial"/>
          <w:color w:val="000000"/>
        </w:rPr>
        <w:t>an</w:t>
      </w:r>
      <w:r w:rsidR="00A445C1" w:rsidRPr="00E336A2">
        <w:rPr>
          <w:rFonts w:eastAsia="Times New Roman" w:cs="Arial"/>
          <w:color w:val="000000"/>
        </w:rPr>
        <w:t xml:space="preserve"> extensive array of anti-discrimination statutes applicable to </w:t>
      </w:r>
      <w:r w:rsidR="00A445C1" w:rsidRPr="00E336A2">
        <w:rPr>
          <w:rFonts w:eastAsia="Times New Roman" w:cs="Arial"/>
          <w:iCs/>
          <w:color w:val="000000"/>
        </w:rPr>
        <w:t>any</w:t>
      </w:r>
      <w:r w:rsidR="00A445C1" w:rsidRPr="00E336A2">
        <w:rPr>
          <w:rFonts w:eastAsia="Times New Roman" w:cs="Arial"/>
          <w:i/>
          <w:color w:val="000000"/>
        </w:rPr>
        <w:t xml:space="preserve"> </w:t>
      </w:r>
      <w:r w:rsidR="00A445C1" w:rsidRPr="00E336A2">
        <w:rPr>
          <w:rFonts w:eastAsia="Times New Roman" w:cs="Arial"/>
          <w:color w:val="000000"/>
        </w:rPr>
        <w:t xml:space="preserve">educational institution, public or private, that receives </w:t>
      </w:r>
      <w:r w:rsidR="006B51FE" w:rsidRPr="00E336A2">
        <w:rPr>
          <w:rFonts w:eastAsia="Times New Roman" w:cs="Arial"/>
          <w:color w:val="000000"/>
        </w:rPr>
        <w:t>any</w:t>
      </w:r>
      <w:r w:rsidR="004369B4" w:rsidRPr="00E336A2">
        <w:rPr>
          <w:rFonts w:eastAsia="Times New Roman" w:cs="Arial"/>
          <w:color w:val="000000"/>
        </w:rPr>
        <w:t xml:space="preserve"> form of</w:t>
      </w:r>
      <w:r w:rsidR="006B51FE" w:rsidRPr="00E336A2">
        <w:rPr>
          <w:rFonts w:eastAsia="Times New Roman" w:cs="Arial"/>
          <w:color w:val="000000"/>
        </w:rPr>
        <w:t xml:space="preserve"> </w:t>
      </w:r>
      <w:r w:rsidR="00A445C1" w:rsidRPr="00E336A2">
        <w:rPr>
          <w:rFonts w:eastAsia="Times New Roman" w:cs="Arial"/>
          <w:color w:val="000000"/>
        </w:rPr>
        <w:t>state funding</w:t>
      </w:r>
      <w:r w:rsidR="00A445C1" w:rsidRPr="00DE5C6C">
        <w:rPr>
          <w:rFonts w:eastAsia="Times New Roman" w:cs="Arial"/>
          <w:color w:val="000000"/>
        </w:rPr>
        <w:t xml:space="preserve">. </w:t>
      </w:r>
      <w:r w:rsidR="00DE2BC9" w:rsidRPr="00DE5C6C">
        <w:rPr>
          <w:rFonts w:eastAsia="Times New Roman" w:cs="Arial"/>
          <w:color w:val="000000"/>
        </w:rPr>
        <w:t xml:space="preserve"> </w:t>
      </w:r>
      <w:r w:rsidR="00A445C1" w:rsidRPr="00DE5C6C">
        <w:rPr>
          <w:rFonts w:eastAsia="Times New Roman" w:cs="Arial"/>
          <w:color w:val="000000"/>
        </w:rPr>
        <w:t>(Ed.</w:t>
      </w:r>
      <w:r w:rsidR="00DE2BC9" w:rsidRPr="00DE5C6C">
        <w:rPr>
          <w:rFonts w:eastAsia="Times New Roman" w:cs="Arial"/>
          <w:color w:val="000000"/>
        </w:rPr>
        <w:t xml:space="preserve"> </w:t>
      </w:r>
      <w:r w:rsidR="00A445C1" w:rsidRPr="00DE5C6C">
        <w:rPr>
          <w:rFonts w:eastAsia="Times New Roman" w:cs="Arial"/>
          <w:color w:val="000000"/>
        </w:rPr>
        <w:t>Code</w:t>
      </w:r>
      <w:r w:rsidR="00DE2BC9" w:rsidRPr="00DE5C6C">
        <w:rPr>
          <w:rFonts w:eastAsia="Times New Roman" w:cs="Arial"/>
          <w:color w:val="000000"/>
        </w:rPr>
        <w:t>,</w:t>
      </w:r>
      <w:r w:rsidR="000C5196" w:rsidRPr="00DE5C6C">
        <w:rPr>
          <w:rFonts w:eastAsia="Times New Roman" w:cs="Arial"/>
          <w:color w:val="000000"/>
        </w:rPr>
        <w:t xml:space="preserve"> </w:t>
      </w:r>
      <w:r w:rsidR="00DE2BC9" w:rsidRPr="00DE5C6C">
        <w:t xml:space="preserve">§ </w:t>
      </w:r>
      <w:r w:rsidR="00A445C1" w:rsidRPr="00DE5C6C">
        <w:rPr>
          <w:rFonts w:eastAsia="Times New Roman" w:cs="Arial"/>
          <w:color w:val="000000"/>
        </w:rPr>
        <w:t>210</w:t>
      </w:r>
      <w:r w:rsidR="005E7C5B">
        <w:rPr>
          <w:rFonts w:eastAsia="Times New Roman" w:cs="Arial"/>
          <w:color w:val="000000"/>
        </w:rPr>
        <w:t>.3</w:t>
      </w:r>
      <w:r w:rsidR="000C5196" w:rsidRPr="00DE5C6C">
        <w:rPr>
          <w:rFonts w:eastAsia="Times New Roman" w:cs="Arial"/>
          <w:color w:val="000000"/>
        </w:rPr>
        <w:t xml:space="preserve">, </w:t>
      </w:r>
      <w:r w:rsidR="00A445C1" w:rsidRPr="00DE5C6C">
        <w:rPr>
          <w:rFonts w:eastAsia="Times New Roman" w:cs="Arial"/>
          <w:color w:val="000000"/>
        </w:rPr>
        <w:t>[“For purposes of this chapter, ‘educational institution’ means a public or private preschool, elementary, or secondary school or institution; a public or private institution of vocational, professional, or postsecondary education.</w:t>
      </w:r>
      <w:r w:rsidR="005E7C5B">
        <w:rPr>
          <w:rFonts w:eastAsia="Times New Roman" w:cs="Arial"/>
          <w:color w:val="000000"/>
        </w:rPr>
        <w:t> </w:t>
      </w:r>
      <w:r w:rsidR="00A445C1" w:rsidRPr="00DE5C6C">
        <w:rPr>
          <w:rFonts w:eastAsia="Times New Roman" w:cs="Arial"/>
          <w:color w:val="000000"/>
        </w:rPr>
        <w:t>.</w:t>
      </w:r>
      <w:r w:rsidR="005E7C5B">
        <w:rPr>
          <w:rFonts w:eastAsia="Times New Roman" w:cs="Arial"/>
          <w:color w:val="000000"/>
        </w:rPr>
        <w:t> </w:t>
      </w:r>
      <w:r w:rsidR="00A445C1" w:rsidRPr="00DE5C6C">
        <w:rPr>
          <w:rFonts w:eastAsia="Times New Roman" w:cs="Arial"/>
          <w:color w:val="000000"/>
        </w:rPr>
        <w:t>.”]</w:t>
      </w:r>
      <w:r w:rsidR="00863611" w:rsidRPr="00DE5C6C">
        <w:rPr>
          <w:rFonts w:eastAsia="Times New Roman" w:cs="Arial"/>
          <w:color w:val="000000"/>
        </w:rPr>
        <w:t xml:space="preserve">, </w:t>
      </w:r>
      <w:r w:rsidR="00362C8F" w:rsidRPr="00DE5C6C">
        <w:rPr>
          <w:rFonts w:eastAsia="Times New Roman" w:cs="Arial"/>
          <w:i/>
          <w:iCs/>
          <w:color w:val="000000"/>
        </w:rPr>
        <w:t>id</w:t>
      </w:r>
      <w:r w:rsidR="00362C8F">
        <w:rPr>
          <w:rFonts w:eastAsia="Times New Roman" w:cs="Arial"/>
          <w:color w:val="000000"/>
        </w:rPr>
        <w:t xml:space="preserve">., </w:t>
      </w:r>
      <w:r w:rsidR="000C5196" w:rsidRPr="00E336A2">
        <w:t xml:space="preserve">§ </w:t>
      </w:r>
      <w:r w:rsidR="00863611" w:rsidRPr="00E336A2">
        <w:rPr>
          <w:rFonts w:eastAsia="Times New Roman" w:cs="Arial"/>
          <w:color w:val="000000"/>
        </w:rPr>
        <w:t>220 [</w:t>
      </w:r>
      <w:r w:rsidR="006B51FE" w:rsidRPr="00E336A2">
        <w:rPr>
          <w:rFonts w:eastAsia="Times New Roman" w:cs="Arial"/>
          <w:color w:val="000000"/>
        </w:rPr>
        <w:t>provision</w:t>
      </w:r>
      <w:r w:rsidR="001A0B13" w:rsidRPr="00E336A2">
        <w:rPr>
          <w:rFonts w:eastAsia="Times New Roman" w:cs="Arial"/>
          <w:color w:val="000000"/>
        </w:rPr>
        <w:t xml:space="preserve">s prohibiting discrimination </w:t>
      </w:r>
      <w:r w:rsidR="006B51FE" w:rsidRPr="00E336A2">
        <w:rPr>
          <w:rFonts w:eastAsia="Times New Roman" w:cs="Arial"/>
          <w:color w:val="000000"/>
        </w:rPr>
        <w:t>appl</w:t>
      </w:r>
      <w:r w:rsidR="001A0B13" w:rsidRPr="00E336A2">
        <w:rPr>
          <w:rFonts w:eastAsia="Times New Roman" w:cs="Arial"/>
          <w:color w:val="000000"/>
        </w:rPr>
        <w:t>y</w:t>
      </w:r>
      <w:r w:rsidR="006B51FE" w:rsidRPr="00E336A2">
        <w:rPr>
          <w:rFonts w:eastAsia="Times New Roman" w:cs="Arial"/>
          <w:color w:val="000000"/>
        </w:rPr>
        <w:t xml:space="preserve"> to any school “that receives, or benefits from, state financial assistance, or enrolls pupils who receive state student financial aid”]; see generally </w:t>
      </w:r>
      <w:r w:rsidR="006B51FE" w:rsidRPr="00E336A2">
        <w:rPr>
          <w:rFonts w:eastAsia="Times New Roman" w:cs="Arial"/>
          <w:i/>
          <w:iCs/>
          <w:color w:val="000000"/>
        </w:rPr>
        <w:t>Donovan v. Poway Unified School Dist.</w:t>
      </w:r>
      <w:r w:rsidR="006B51FE" w:rsidRPr="00E336A2">
        <w:rPr>
          <w:rFonts w:eastAsia="Times New Roman" w:cs="Arial"/>
          <w:color w:val="000000"/>
        </w:rPr>
        <w:t xml:space="preserve"> (2008) 167</w:t>
      </w:r>
      <w:r w:rsidR="00A74EFE">
        <w:rPr>
          <w:rFonts w:eastAsia="Times New Roman" w:cs="Arial"/>
          <w:color w:val="000000"/>
        </w:rPr>
        <w:t> </w:t>
      </w:r>
      <w:r w:rsidR="006B51FE" w:rsidRPr="00E336A2">
        <w:rPr>
          <w:rFonts w:eastAsia="Times New Roman" w:cs="Arial"/>
          <w:color w:val="000000"/>
        </w:rPr>
        <w:t>Cal.App.4th 567, 589</w:t>
      </w:r>
      <w:r w:rsidR="00A74EFE" w:rsidRPr="00E336A2">
        <w:rPr>
          <w:rFonts w:eastAsia="Times New Roman" w:cs="Arial"/>
          <w:color w:val="000000"/>
        </w:rPr>
        <w:t>–</w:t>
      </w:r>
      <w:r w:rsidR="006B51FE" w:rsidRPr="00E336A2">
        <w:rPr>
          <w:rFonts w:eastAsia="Times New Roman" w:cs="Arial"/>
          <w:color w:val="000000"/>
        </w:rPr>
        <w:t>597, 603</w:t>
      </w:r>
      <w:r w:rsidR="00A74EFE" w:rsidRPr="00E336A2">
        <w:rPr>
          <w:rFonts w:eastAsia="Times New Roman" w:cs="Arial"/>
          <w:color w:val="000000"/>
        </w:rPr>
        <w:t>–</w:t>
      </w:r>
      <w:r w:rsidR="006B51FE" w:rsidRPr="00E336A2">
        <w:rPr>
          <w:rFonts w:eastAsia="Times New Roman" w:cs="Arial"/>
          <w:color w:val="000000"/>
        </w:rPr>
        <w:t xml:space="preserve">608 </w:t>
      </w:r>
      <w:r w:rsidR="00521973" w:rsidRPr="00E336A2">
        <w:rPr>
          <w:rFonts w:eastAsia="Times New Roman" w:cs="Arial"/>
          <w:color w:val="000000"/>
        </w:rPr>
        <w:t>(</w:t>
      </w:r>
      <w:r w:rsidR="00521973" w:rsidRPr="00E336A2">
        <w:rPr>
          <w:rFonts w:eastAsia="Times New Roman" w:cs="Arial"/>
          <w:i/>
          <w:iCs/>
          <w:color w:val="000000"/>
        </w:rPr>
        <w:t>Donovan</w:t>
      </w:r>
      <w:r w:rsidR="00521973" w:rsidRPr="00E336A2">
        <w:rPr>
          <w:rFonts w:eastAsia="Times New Roman" w:cs="Arial"/>
          <w:color w:val="000000"/>
        </w:rPr>
        <w:t xml:space="preserve">) </w:t>
      </w:r>
      <w:r w:rsidR="006B51FE" w:rsidRPr="00E336A2">
        <w:rPr>
          <w:rFonts w:eastAsia="Times New Roman" w:cs="Arial"/>
          <w:color w:val="000000"/>
        </w:rPr>
        <w:t xml:space="preserve">[discussing features of this statutory </w:t>
      </w:r>
      <w:r w:rsidR="00521973" w:rsidRPr="00E336A2">
        <w:rPr>
          <w:rFonts w:eastAsia="Times New Roman" w:cs="Arial"/>
          <w:color w:val="000000"/>
        </w:rPr>
        <w:t>scheme].</w:t>
      </w:r>
      <w:r w:rsidR="006B51FE" w:rsidRPr="00E336A2">
        <w:rPr>
          <w:rFonts w:eastAsia="Times New Roman" w:cs="Arial"/>
          <w:color w:val="000000"/>
        </w:rPr>
        <w:t>)</w:t>
      </w:r>
      <w:r w:rsidR="00A445C1" w:rsidRPr="00E336A2">
        <w:rPr>
          <w:rFonts w:eastAsia="Times New Roman" w:cs="Arial"/>
          <w:color w:val="000000"/>
        </w:rPr>
        <w:t xml:space="preserve">  </w:t>
      </w:r>
      <w:r w:rsidR="00863611" w:rsidRPr="00E336A2">
        <w:rPr>
          <w:rFonts w:eastAsia="Times New Roman" w:cs="Arial"/>
          <w:color w:val="000000"/>
        </w:rPr>
        <w:t>Thus, th</w:t>
      </w:r>
      <w:r w:rsidR="00EA2F1C" w:rsidRPr="00E336A2">
        <w:rPr>
          <w:rFonts w:eastAsia="Times New Roman" w:cs="Arial"/>
          <w:color w:val="000000"/>
        </w:rPr>
        <w:t xml:space="preserve">ese </w:t>
      </w:r>
      <w:r w:rsidR="00863611" w:rsidRPr="00E336A2">
        <w:rPr>
          <w:rFonts w:eastAsia="Times New Roman" w:cs="Arial"/>
          <w:color w:val="000000"/>
        </w:rPr>
        <w:t xml:space="preserve">statutory </w:t>
      </w:r>
      <w:r w:rsidR="00EA2F1C" w:rsidRPr="00E336A2">
        <w:rPr>
          <w:rFonts w:eastAsia="Times New Roman" w:cs="Arial"/>
          <w:color w:val="000000"/>
        </w:rPr>
        <w:t>provisions</w:t>
      </w:r>
      <w:r w:rsidR="00863611" w:rsidRPr="00E336A2">
        <w:rPr>
          <w:rFonts w:eastAsia="Times New Roman" w:cs="Arial"/>
          <w:color w:val="000000"/>
        </w:rPr>
        <w:t xml:space="preserve"> appl</w:t>
      </w:r>
      <w:r w:rsidR="00EA2F1C" w:rsidRPr="00E336A2">
        <w:rPr>
          <w:rFonts w:eastAsia="Times New Roman" w:cs="Arial"/>
          <w:color w:val="000000"/>
        </w:rPr>
        <w:t>y</w:t>
      </w:r>
      <w:r w:rsidR="00D578CC" w:rsidRPr="00E336A2">
        <w:rPr>
          <w:rFonts w:eastAsia="Times New Roman" w:cs="Arial"/>
          <w:color w:val="000000"/>
        </w:rPr>
        <w:t xml:space="preserve">, as the Unruh Act </w:t>
      </w:r>
      <w:proofErr w:type="gramStart"/>
      <w:r w:rsidR="00D578CC" w:rsidRPr="00E336A2">
        <w:rPr>
          <w:rFonts w:eastAsia="Times New Roman" w:cs="Arial"/>
          <w:color w:val="000000"/>
        </w:rPr>
        <w:t>likely does</w:t>
      </w:r>
      <w:proofErr w:type="gramEnd"/>
      <w:r w:rsidR="00D578CC" w:rsidRPr="00E336A2">
        <w:rPr>
          <w:rFonts w:eastAsia="Times New Roman" w:cs="Arial"/>
          <w:color w:val="000000"/>
        </w:rPr>
        <w:t>,</w:t>
      </w:r>
      <w:r w:rsidR="00863611" w:rsidRPr="00E336A2">
        <w:rPr>
          <w:rFonts w:eastAsia="Times New Roman" w:cs="Arial"/>
          <w:color w:val="000000"/>
        </w:rPr>
        <w:t xml:space="preserve"> to private school</w:t>
      </w:r>
      <w:r w:rsidR="00521973" w:rsidRPr="00E336A2">
        <w:rPr>
          <w:rFonts w:eastAsia="Times New Roman" w:cs="Arial"/>
          <w:color w:val="000000"/>
        </w:rPr>
        <w:t>s</w:t>
      </w:r>
      <w:r w:rsidR="00863611" w:rsidRPr="00E336A2">
        <w:rPr>
          <w:rFonts w:eastAsia="Times New Roman" w:cs="Arial"/>
          <w:color w:val="000000"/>
        </w:rPr>
        <w:t xml:space="preserve"> that </w:t>
      </w:r>
      <w:r w:rsidR="00521973" w:rsidRPr="00E336A2">
        <w:rPr>
          <w:rFonts w:eastAsia="Times New Roman" w:cs="Arial"/>
          <w:color w:val="000000"/>
        </w:rPr>
        <w:t>accept state funding</w:t>
      </w:r>
      <w:r w:rsidR="00D578CC" w:rsidRPr="00E336A2">
        <w:rPr>
          <w:rFonts w:eastAsia="Times New Roman" w:cs="Arial"/>
          <w:color w:val="000000"/>
        </w:rPr>
        <w:t xml:space="preserve">, </w:t>
      </w:r>
      <w:r w:rsidR="00521973" w:rsidRPr="00E336A2">
        <w:rPr>
          <w:rFonts w:eastAsia="Times New Roman" w:cs="Arial"/>
          <w:color w:val="000000"/>
        </w:rPr>
        <w:t>with the exception of religious schools</w:t>
      </w:r>
      <w:r w:rsidR="00D578CC" w:rsidRPr="00E336A2">
        <w:rPr>
          <w:rFonts w:eastAsia="Times New Roman" w:cs="Arial"/>
          <w:color w:val="000000"/>
        </w:rPr>
        <w:t xml:space="preserve">. </w:t>
      </w:r>
      <w:r w:rsidR="000E25EB" w:rsidRPr="00E336A2">
        <w:rPr>
          <w:rFonts w:eastAsia="Times New Roman" w:cs="Arial"/>
          <w:color w:val="000000"/>
        </w:rPr>
        <w:t xml:space="preserve"> </w:t>
      </w:r>
      <w:r w:rsidR="00D578CC" w:rsidRPr="00E336A2">
        <w:rPr>
          <w:rFonts w:eastAsia="Times New Roman" w:cs="Arial"/>
          <w:color w:val="000000"/>
        </w:rPr>
        <w:t>(</w:t>
      </w:r>
      <w:r w:rsidR="00521973" w:rsidRPr="00E336A2">
        <w:rPr>
          <w:rFonts w:eastAsia="Times New Roman" w:cs="Arial"/>
          <w:color w:val="000000"/>
        </w:rPr>
        <w:t>Ed. Code</w:t>
      </w:r>
      <w:r w:rsidR="00DE2BC9" w:rsidRPr="00E336A2">
        <w:rPr>
          <w:rFonts w:eastAsia="Times New Roman" w:cs="Arial"/>
          <w:color w:val="000000"/>
        </w:rPr>
        <w:t xml:space="preserve">, </w:t>
      </w:r>
      <w:r w:rsidR="00DE2BC9" w:rsidRPr="00E336A2">
        <w:t>§</w:t>
      </w:r>
      <w:r w:rsidR="005E7C5B">
        <w:t> </w:t>
      </w:r>
      <w:r w:rsidR="00521973" w:rsidRPr="00E336A2">
        <w:rPr>
          <w:rFonts w:eastAsia="Times New Roman" w:cs="Arial"/>
          <w:color w:val="000000"/>
        </w:rPr>
        <w:t>221</w:t>
      </w:r>
      <w:r w:rsidR="00D578CC" w:rsidRPr="00E336A2">
        <w:rPr>
          <w:rFonts w:eastAsia="Times New Roman" w:cs="Arial"/>
          <w:color w:val="000000"/>
        </w:rPr>
        <w:t xml:space="preserve"> [excepting religious schools]; </w:t>
      </w:r>
      <w:r w:rsidR="00D578CC" w:rsidRPr="00E336A2">
        <w:rPr>
          <w:rFonts w:eastAsia="Times New Roman" w:cs="Arial"/>
          <w:i/>
          <w:iCs/>
          <w:color w:val="000000"/>
        </w:rPr>
        <w:t>California</w:t>
      </w:r>
      <w:r w:rsidR="002B6FBE" w:rsidRPr="00E336A2">
        <w:rPr>
          <w:rFonts w:eastAsia="Times New Roman" w:cs="Arial"/>
          <w:i/>
          <w:iCs/>
          <w:color w:val="000000"/>
        </w:rPr>
        <w:t xml:space="preserve"> </w:t>
      </w:r>
      <w:r w:rsidR="00D578CC" w:rsidRPr="00E336A2">
        <w:rPr>
          <w:rFonts w:eastAsia="Times New Roman" w:cs="Arial"/>
          <w:i/>
          <w:iCs/>
          <w:color w:val="000000"/>
        </w:rPr>
        <w:t xml:space="preserve">Lutheran, supra, </w:t>
      </w:r>
      <w:r w:rsidR="00D578CC" w:rsidRPr="00E336A2">
        <w:rPr>
          <w:rFonts w:eastAsia="Times New Roman" w:cs="Arial"/>
          <w:color w:val="000000"/>
        </w:rPr>
        <w:t>170</w:t>
      </w:r>
      <w:r w:rsidR="005E7C5B">
        <w:rPr>
          <w:rFonts w:eastAsia="Times New Roman" w:cs="Arial"/>
          <w:color w:val="000000"/>
        </w:rPr>
        <w:t> </w:t>
      </w:r>
      <w:r w:rsidR="00D578CC" w:rsidRPr="00E336A2">
        <w:rPr>
          <w:rFonts w:eastAsia="Times New Roman" w:cs="Arial"/>
          <w:color w:val="000000"/>
        </w:rPr>
        <w:t>Cal.App.4</w:t>
      </w:r>
      <w:r w:rsidR="002B6FBE" w:rsidRPr="00E336A2">
        <w:rPr>
          <w:rFonts w:eastAsia="Times New Roman" w:cs="Arial"/>
          <w:color w:val="000000"/>
        </w:rPr>
        <w:t>th at p. 840</w:t>
      </w:r>
      <w:r w:rsidR="00D578CC" w:rsidRPr="00E336A2">
        <w:rPr>
          <w:rFonts w:eastAsia="Times New Roman" w:cs="Arial"/>
          <w:color w:val="000000"/>
        </w:rPr>
        <w:t>.)</w:t>
      </w:r>
      <w:r w:rsidR="00521973" w:rsidRPr="00E336A2">
        <w:rPr>
          <w:rFonts w:eastAsia="Times New Roman" w:cs="Arial"/>
          <w:color w:val="000000"/>
        </w:rPr>
        <w:t xml:space="preserve">  </w:t>
      </w:r>
      <w:r w:rsidR="001843A6" w:rsidRPr="00E336A2">
        <w:rPr>
          <w:rFonts w:eastAsia="Times New Roman" w:cs="Arial"/>
          <w:color w:val="000000"/>
        </w:rPr>
        <w:t>T</w:t>
      </w:r>
      <w:r w:rsidR="00EA2F1C" w:rsidRPr="00E336A2">
        <w:rPr>
          <w:rFonts w:eastAsia="Times New Roman" w:cs="Arial"/>
          <w:color w:val="000000"/>
        </w:rPr>
        <w:t>he</w:t>
      </w:r>
      <w:r w:rsidR="00D578CC" w:rsidRPr="00E336A2">
        <w:rPr>
          <w:rFonts w:eastAsia="Times New Roman" w:cs="Arial"/>
          <w:color w:val="000000"/>
        </w:rPr>
        <w:t>y</w:t>
      </w:r>
      <w:r w:rsidR="00EA2F1C" w:rsidRPr="00E336A2">
        <w:rPr>
          <w:rFonts w:eastAsia="Times New Roman" w:cs="Arial"/>
          <w:color w:val="000000"/>
        </w:rPr>
        <w:t xml:space="preserve"> do </w:t>
      </w:r>
      <w:r w:rsidR="00521973" w:rsidRPr="00E336A2">
        <w:rPr>
          <w:rFonts w:eastAsia="Times New Roman" w:cs="Arial"/>
          <w:color w:val="000000"/>
        </w:rPr>
        <w:t xml:space="preserve">not apply </w:t>
      </w:r>
      <w:r w:rsidR="00A445C1" w:rsidRPr="00E336A2">
        <w:rPr>
          <w:rFonts w:eastAsia="Times New Roman" w:cs="Arial"/>
          <w:color w:val="000000"/>
        </w:rPr>
        <w:t xml:space="preserve">to </w:t>
      </w:r>
      <w:r w:rsidR="009A59D4">
        <w:rPr>
          <w:rFonts w:eastAsia="Times New Roman" w:cs="Arial"/>
          <w:color w:val="000000"/>
        </w:rPr>
        <w:t xml:space="preserve">secular </w:t>
      </w:r>
      <w:r w:rsidR="00A445C1" w:rsidRPr="00E336A2">
        <w:rPr>
          <w:rFonts w:eastAsia="Times New Roman" w:cs="Arial"/>
          <w:color w:val="000000"/>
        </w:rPr>
        <w:t>private schools that rely solely on other sources of funding, such as tuition and private donations—</w:t>
      </w:r>
      <w:r w:rsidR="009A59D4">
        <w:rPr>
          <w:rFonts w:eastAsia="Times New Roman" w:cs="Arial"/>
          <w:color w:val="000000"/>
        </w:rPr>
        <w:t xml:space="preserve">again, </w:t>
      </w:r>
      <w:r w:rsidR="00A445C1" w:rsidRPr="00E336A2">
        <w:rPr>
          <w:rFonts w:eastAsia="Times New Roman" w:cs="Arial"/>
          <w:color w:val="000000"/>
        </w:rPr>
        <w:t xml:space="preserve">schools that are </w:t>
      </w:r>
      <w:proofErr w:type="gramStart"/>
      <w:r w:rsidR="00A445C1" w:rsidRPr="00E336A2">
        <w:rPr>
          <w:rFonts w:eastAsia="Times New Roman" w:cs="Arial"/>
          <w:color w:val="000000"/>
        </w:rPr>
        <w:t>likely subject</w:t>
      </w:r>
      <w:proofErr w:type="gramEnd"/>
      <w:r w:rsidR="00A445C1" w:rsidRPr="00E336A2">
        <w:rPr>
          <w:rFonts w:eastAsia="Times New Roman" w:cs="Arial"/>
          <w:color w:val="000000"/>
        </w:rPr>
        <w:t xml:space="preserve"> to the Unruh Act.</w:t>
      </w:r>
    </w:p>
    <w:p w14:paraId="310C30B9" w14:textId="77777777" w:rsidR="00910033" w:rsidRPr="00E336A2" w:rsidRDefault="00A445C1" w:rsidP="00590BCC">
      <w:pPr>
        <w:spacing w:line="360" w:lineRule="auto"/>
        <w:rPr>
          <w:rFonts w:eastAsia="Times New Roman" w:cs="Arial"/>
          <w:color w:val="000000"/>
        </w:rPr>
      </w:pPr>
      <w:r w:rsidRPr="00E336A2">
        <w:rPr>
          <w:rFonts w:eastAsia="Times New Roman" w:cs="Arial"/>
          <w:color w:val="000000"/>
        </w:rPr>
        <w:tab/>
      </w:r>
      <w:r w:rsidR="00910033" w:rsidRPr="00E336A2">
        <w:rPr>
          <w:rFonts w:eastAsia="Times New Roman" w:cs="Arial"/>
          <w:color w:val="000000"/>
        </w:rPr>
        <w:t xml:space="preserve">As originally enacted in 1982, </w:t>
      </w:r>
      <w:r w:rsidR="00A74EFE">
        <w:rPr>
          <w:rFonts w:eastAsia="Times New Roman" w:cs="Arial"/>
          <w:color w:val="000000"/>
        </w:rPr>
        <w:t xml:space="preserve">Education Code </w:t>
      </w:r>
      <w:r w:rsidR="00910033" w:rsidRPr="00E336A2">
        <w:rPr>
          <w:rFonts w:eastAsia="Times New Roman" w:cs="Arial"/>
          <w:color w:val="000000"/>
        </w:rPr>
        <w:t>s</w:t>
      </w:r>
      <w:r w:rsidR="00975BD3" w:rsidRPr="00E336A2">
        <w:rPr>
          <w:rFonts w:eastAsia="Times New Roman" w:cs="Arial"/>
          <w:color w:val="000000"/>
        </w:rPr>
        <w:t>ection</w:t>
      </w:r>
      <w:r w:rsidR="00EA2F1C" w:rsidRPr="00E336A2">
        <w:rPr>
          <w:rFonts w:eastAsia="Times New Roman" w:cs="Arial"/>
          <w:color w:val="000000"/>
        </w:rPr>
        <w:t>s</w:t>
      </w:r>
      <w:r w:rsidR="00975BD3" w:rsidRPr="00E336A2">
        <w:rPr>
          <w:rFonts w:eastAsia="Times New Roman" w:cs="Arial"/>
          <w:color w:val="000000"/>
        </w:rPr>
        <w:t xml:space="preserve"> 200 </w:t>
      </w:r>
      <w:r w:rsidR="00EA2F1C" w:rsidRPr="00E336A2">
        <w:rPr>
          <w:rFonts w:eastAsia="Times New Roman" w:cs="Arial"/>
          <w:color w:val="000000"/>
        </w:rPr>
        <w:t xml:space="preserve">et seq. </w:t>
      </w:r>
      <w:r w:rsidR="00910033" w:rsidRPr="00E336A2">
        <w:rPr>
          <w:rFonts w:eastAsia="Times New Roman" w:cs="Arial"/>
          <w:color w:val="000000"/>
        </w:rPr>
        <w:t xml:space="preserve">prohibited only sex discrimination. </w:t>
      </w:r>
      <w:r w:rsidR="002B6FBE" w:rsidRPr="00E336A2">
        <w:rPr>
          <w:rFonts w:eastAsia="Times New Roman" w:cs="Arial"/>
          <w:color w:val="000000"/>
        </w:rPr>
        <w:t xml:space="preserve"> </w:t>
      </w:r>
      <w:r w:rsidR="00975BD3" w:rsidRPr="00E336A2">
        <w:rPr>
          <w:rFonts w:eastAsia="Times New Roman" w:cs="Arial"/>
          <w:color w:val="000000"/>
        </w:rPr>
        <w:t xml:space="preserve">(See </w:t>
      </w:r>
      <w:proofErr w:type="gramStart"/>
      <w:r w:rsidR="00975BD3" w:rsidRPr="00E336A2">
        <w:rPr>
          <w:rFonts w:eastAsia="Times New Roman" w:cs="Arial"/>
          <w:color w:val="000000"/>
        </w:rPr>
        <w:t xml:space="preserve">generally, </w:t>
      </w:r>
      <w:r w:rsidR="00975BD3" w:rsidRPr="00E336A2">
        <w:rPr>
          <w:rFonts w:eastAsia="Times New Roman" w:cs="Arial"/>
          <w:i/>
          <w:iCs/>
          <w:color w:val="000000"/>
        </w:rPr>
        <w:t>Donovan</w:t>
      </w:r>
      <w:proofErr w:type="gramEnd"/>
      <w:r w:rsidR="00521973" w:rsidRPr="00E336A2">
        <w:rPr>
          <w:rFonts w:eastAsia="Times New Roman" w:cs="Arial"/>
          <w:i/>
          <w:iCs/>
          <w:color w:val="000000"/>
        </w:rPr>
        <w:t xml:space="preserve">, supra, </w:t>
      </w:r>
      <w:r w:rsidR="00975BD3" w:rsidRPr="00E336A2">
        <w:rPr>
          <w:rFonts w:eastAsia="Times New Roman" w:cs="Arial"/>
          <w:color w:val="000000"/>
        </w:rPr>
        <w:t>167</w:t>
      </w:r>
      <w:r w:rsidR="00A74EFE">
        <w:rPr>
          <w:rFonts w:eastAsia="Times New Roman" w:cs="Arial"/>
          <w:color w:val="000000"/>
        </w:rPr>
        <w:t> </w:t>
      </w:r>
      <w:r w:rsidR="00975BD3" w:rsidRPr="00E336A2">
        <w:rPr>
          <w:rFonts w:eastAsia="Times New Roman" w:cs="Arial"/>
          <w:color w:val="000000"/>
        </w:rPr>
        <w:t xml:space="preserve">Cal.App.4th </w:t>
      </w:r>
      <w:r w:rsidR="00521973" w:rsidRPr="00E336A2">
        <w:rPr>
          <w:rFonts w:eastAsia="Times New Roman" w:cs="Arial"/>
          <w:color w:val="000000"/>
        </w:rPr>
        <w:t>at p</w:t>
      </w:r>
      <w:r w:rsidR="002B6FBE" w:rsidRPr="00E336A2">
        <w:rPr>
          <w:rFonts w:eastAsia="Times New Roman" w:cs="Arial"/>
          <w:color w:val="000000"/>
        </w:rPr>
        <w:t>.</w:t>
      </w:r>
      <w:r w:rsidR="00975BD3" w:rsidRPr="00E336A2">
        <w:rPr>
          <w:rFonts w:eastAsia="Times New Roman" w:cs="Arial"/>
          <w:color w:val="000000"/>
        </w:rPr>
        <w:t xml:space="preserve"> 603.)  </w:t>
      </w:r>
      <w:r w:rsidR="00521973" w:rsidRPr="00E336A2">
        <w:rPr>
          <w:rFonts w:eastAsia="Times New Roman" w:cs="Arial"/>
          <w:color w:val="000000"/>
        </w:rPr>
        <w:t xml:space="preserve">Committee reports </w:t>
      </w:r>
      <w:r w:rsidR="00975BD3" w:rsidRPr="00E336A2">
        <w:rPr>
          <w:rFonts w:eastAsia="Times New Roman" w:cs="Arial"/>
          <w:color w:val="000000"/>
        </w:rPr>
        <w:t>explain</w:t>
      </w:r>
      <w:r w:rsidR="00910033" w:rsidRPr="00E336A2">
        <w:rPr>
          <w:rFonts w:eastAsia="Times New Roman" w:cs="Arial"/>
          <w:color w:val="000000"/>
        </w:rPr>
        <w:t>ed</w:t>
      </w:r>
      <w:r w:rsidR="00975BD3" w:rsidRPr="00E336A2">
        <w:rPr>
          <w:rFonts w:eastAsia="Times New Roman" w:cs="Arial"/>
          <w:color w:val="000000"/>
        </w:rPr>
        <w:t xml:space="preserve">: </w:t>
      </w:r>
      <w:r w:rsidR="002B6FBE" w:rsidRPr="00E336A2">
        <w:rPr>
          <w:rFonts w:eastAsia="Times New Roman" w:cs="Arial"/>
          <w:color w:val="000000"/>
        </w:rPr>
        <w:t xml:space="preserve"> </w:t>
      </w:r>
      <w:r w:rsidR="00975BD3" w:rsidRPr="00E336A2">
        <w:rPr>
          <w:rFonts w:eastAsia="Times New Roman" w:cs="Arial"/>
          <w:color w:val="000000"/>
        </w:rPr>
        <w:t xml:space="preserve">“This bill would consolidate a variety of state and federal laws prohibiting sex discrimination in public and private educational institutions receiving state funds and </w:t>
      </w:r>
      <w:r w:rsidR="00975BD3" w:rsidRPr="00E336A2">
        <w:rPr>
          <w:rFonts w:eastAsia="Times New Roman" w:cs="Arial"/>
          <w:color w:val="000000"/>
        </w:rPr>
        <w:lastRenderedPageBreak/>
        <w:t xml:space="preserve">declare a state policy of non-discrimination.”  (Sen. Com. </w:t>
      </w:r>
      <w:r w:rsidR="00DE2BC9" w:rsidRPr="00E336A2">
        <w:rPr>
          <w:rFonts w:eastAsia="Times New Roman" w:cs="Arial"/>
          <w:color w:val="000000"/>
        </w:rPr>
        <w:t>o</w:t>
      </w:r>
      <w:r w:rsidR="00975BD3" w:rsidRPr="00E336A2">
        <w:rPr>
          <w:rFonts w:eastAsia="Times New Roman" w:cs="Arial"/>
          <w:color w:val="000000"/>
        </w:rPr>
        <w:t>n Ed</w:t>
      </w:r>
      <w:r w:rsidR="002B28FB" w:rsidRPr="00E336A2">
        <w:rPr>
          <w:rFonts w:eastAsia="Times New Roman" w:cs="Arial"/>
          <w:color w:val="000000"/>
        </w:rPr>
        <w:t>ucation</w:t>
      </w:r>
      <w:r w:rsidR="00975BD3" w:rsidRPr="00E336A2">
        <w:rPr>
          <w:rFonts w:eastAsia="Times New Roman" w:cs="Arial"/>
          <w:color w:val="000000"/>
        </w:rPr>
        <w:t>.</w:t>
      </w:r>
      <w:r w:rsidR="002B28FB" w:rsidRPr="00E336A2">
        <w:rPr>
          <w:rFonts w:eastAsia="Times New Roman" w:cs="Arial"/>
          <w:color w:val="000000"/>
        </w:rPr>
        <w:t>, Staff Analysis of</w:t>
      </w:r>
      <w:r w:rsidR="00975BD3" w:rsidRPr="00E336A2">
        <w:rPr>
          <w:rFonts w:eastAsia="Times New Roman" w:cs="Arial"/>
          <w:color w:val="000000"/>
        </w:rPr>
        <w:t xml:space="preserve"> A</w:t>
      </w:r>
      <w:r w:rsidR="00DE2BC9" w:rsidRPr="00E336A2">
        <w:rPr>
          <w:rFonts w:eastAsia="Times New Roman" w:cs="Arial"/>
          <w:color w:val="000000"/>
        </w:rPr>
        <w:t>ssem Bill No.</w:t>
      </w:r>
      <w:r w:rsidR="00975BD3" w:rsidRPr="00E336A2">
        <w:rPr>
          <w:rFonts w:eastAsia="Times New Roman" w:cs="Arial"/>
          <w:color w:val="000000"/>
        </w:rPr>
        <w:t xml:space="preserve"> 3133</w:t>
      </w:r>
      <w:r w:rsidR="00720D1B" w:rsidRPr="00E336A2">
        <w:rPr>
          <w:rFonts w:eastAsia="Times New Roman" w:cs="Arial"/>
          <w:color w:val="000000"/>
        </w:rPr>
        <w:t xml:space="preserve"> (1981</w:t>
      </w:r>
      <w:r w:rsidR="00A74EFE" w:rsidRPr="00E336A2">
        <w:rPr>
          <w:rFonts w:eastAsia="Times New Roman" w:cs="Arial"/>
          <w:color w:val="000000"/>
        </w:rPr>
        <w:t>–</w:t>
      </w:r>
      <w:r w:rsidR="00720D1B" w:rsidRPr="00E336A2">
        <w:rPr>
          <w:rFonts w:eastAsia="Times New Roman" w:cs="Arial"/>
          <w:color w:val="000000"/>
        </w:rPr>
        <w:t>1982 Reg. Sess.)</w:t>
      </w:r>
      <w:r w:rsidR="00975BD3" w:rsidRPr="00E336A2">
        <w:rPr>
          <w:rFonts w:eastAsia="Times New Roman" w:cs="Arial"/>
          <w:color w:val="000000"/>
        </w:rPr>
        <w:t xml:space="preserve"> as amend</w:t>
      </w:r>
      <w:r w:rsidR="00832787">
        <w:rPr>
          <w:rFonts w:eastAsia="Times New Roman" w:cs="Arial"/>
          <w:color w:val="000000"/>
        </w:rPr>
        <w:t>ed</w:t>
      </w:r>
      <w:r w:rsidR="00975BD3" w:rsidRPr="00E336A2">
        <w:rPr>
          <w:rFonts w:eastAsia="Times New Roman" w:cs="Arial"/>
          <w:color w:val="000000"/>
        </w:rPr>
        <w:t xml:space="preserve"> </w:t>
      </w:r>
      <w:r w:rsidR="002B28FB" w:rsidRPr="00E336A2">
        <w:rPr>
          <w:rFonts w:eastAsia="Times New Roman" w:cs="Arial"/>
          <w:color w:val="000000"/>
        </w:rPr>
        <w:t>June 29, 19</w:t>
      </w:r>
      <w:r w:rsidR="00975BD3" w:rsidRPr="00E336A2">
        <w:rPr>
          <w:rFonts w:eastAsia="Times New Roman" w:cs="Arial"/>
          <w:color w:val="000000"/>
        </w:rPr>
        <w:t>82, p. 1</w:t>
      </w:r>
      <w:r w:rsidR="00910033" w:rsidRPr="00E336A2">
        <w:rPr>
          <w:rFonts w:eastAsia="Times New Roman" w:cs="Arial"/>
          <w:color w:val="000000"/>
        </w:rPr>
        <w:t>.</w:t>
      </w:r>
      <w:r w:rsidR="00975BD3" w:rsidRPr="00E336A2">
        <w:rPr>
          <w:rFonts w:eastAsia="Times New Roman" w:cs="Arial"/>
          <w:color w:val="000000"/>
        </w:rPr>
        <w:t>)</w:t>
      </w:r>
      <w:r w:rsidR="00910033" w:rsidRPr="00E336A2">
        <w:rPr>
          <w:rFonts w:eastAsia="Times New Roman" w:cs="Arial"/>
          <w:color w:val="000000"/>
        </w:rPr>
        <w:t xml:space="preserve">  The Enrolled Bill Report similarly stated: “This bill’s provisions establish no fundamentally new requirements or procedures regarding sex discrimination.  Rather, the bill clarifies and makes specific various prohibitions of sex discrimination contained in existing State and Federal law.”  (Enrolled Bill Report, </w:t>
      </w:r>
      <w:r w:rsidR="00DE2BC9" w:rsidRPr="00E336A2">
        <w:rPr>
          <w:rFonts w:eastAsia="Times New Roman" w:cs="Arial"/>
          <w:color w:val="000000"/>
        </w:rPr>
        <w:t>Assem. Bill No.</w:t>
      </w:r>
      <w:r w:rsidR="00910033" w:rsidRPr="00E336A2">
        <w:rPr>
          <w:rFonts w:eastAsia="Times New Roman" w:cs="Arial"/>
          <w:color w:val="000000"/>
        </w:rPr>
        <w:t xml:space="preserve"> 3133</w:t>
      </w:r>
      <w:r w:rsidR="008F769B" w:rsidRPr="00E336A2">
        <w:rPr>
          <w:rFonts w:eastAsia="Times New Roman" w:cs="Arial"/>
          <w:color w:val="000000"/>
        </w:rPr>
        <w:t xml:space="preserve"> (1981</w:t>
      </w:r>
      <w:r w:rsidR="00A74EFE" w:rsidRPr="00E336A2">
        <w:rPr>
          <w:rFonts w:eastAsia="Times New Roman" w:cs="Arial"/>
          <w:color w:val="000000"/>
        </w:rPr>
        <w:t>–</w:t>
      </w:r>
      <w:r w:rsidR="008F769B" w:rsidRPr="00E336A2">
        <w:rPr>
          <w:rFonts w:eastAsia="Times New Roman" w:cs="Arial"/>
          <w:color w:val="000000"/>
        </w:rPr>
        <w:t>1982 Reg. Sess.)</w:t>
      </w:r>
      <w:r w:rsidR="00910033" w:rsidRPr="00E336A2">
        <w:rPr>
          <w:rFonts w:eastAsia="Times New Roman" w:cs="Arial"/>
          <w:color w:val="000000"/>
        </w:rPr>
        <w:t xml:space="preserve"> as amend</w:t>
      </w:r>
      <w:r w:rsidR="00832787">
        <w:rPr>
          <w:rFonts w:eastAsia="Times New Roman" w:cs="Arial"/>
          <w:color w:val="000000"/>
        </w:rPr>
        <w:t>ed</w:t>
      </w:r>
      <w:r w:rsidR="00910033" w:rsidRPr="00E336A2">
        <w:rPr>
          <w:rFonts w:eastAsia="Times New Roman" w:cs="Arial"/>
          <w:color w:val="000000"/>
        </w:rPr>
        <w:t xml:space="preserve"> </w:t>
      </w:r>
      <w:r w:rsidR="008F769B" w:rsidRPr="00E336A2">
        <w:rPr>
          <w:rFonts w:eastAsia="Times New Roman" w:cs="Arial"/>
          <w:color w:val="000000"/>
        </w:rPr>
        <w:t>Aug. 9, 19</w:t>
      </w:r>
      <w:r w:rsidR="00910033" w:rsidRPr="00E336A2">
        <w:rPr>
          <w:rFonts w:eastAsia="Times New Roman" w:cs="Arial"/>
          <w:color w:val="000000"/>
        </w:rPr>
        <w:t>82, p.</w:t>
      </w:r>
      <w:r w:rsidR="00DE2BC9" w:rsidRPr="00E336A2">
        <w:rPr>
          <w:rFonts w:eastAsia="Times New Roman" w:cs="Arial"/>
          <w:color w:val="000000"/>
        </w:rPr>
        <w:t xml:space="preserve"> </w:t>
      </w:r>
      <w:r w:rsidR="008F769B" w:rsidRPr="00E336A2">
        <w:rPr>
          <w:rFonts w:eastAsia="Times New Roman" w:cs="Arial"/>
          <w:color w:val="000000"/>
        </w:rPr>
        <w:t>1</w:t>
      </w:r>
      <w:r w:rsidR="00910033" w:rsidRPr="00E336A2">
        <w:rPr>
          <w:rFonts w:eastAsia="Times New Roman" w:cs="Arial"/>
          <w:color w:val="000000"/>
        </w:rPr>
        <w:t>.)</w:t>
      </w:r>
    </w:p>
    <w:p w14:paraId="3BB5E7C6" w14:textId="77777777" w:rsidR="003638B7" w:rsidRPr="00E336A2" w:rsidRDefault="00910033" w:rsidP="00590BCC">
      <w:pPr>
        <w:spacing w:line="360" w:lineRule="auto"/>
        <w:rPr>
          <w:rFonts w:eastAsia="Times New Roman" w:cs="Arial"/>
          <w:color w:val="000000"/>
        </w:rPr>
      </w:pPr>
      <w:r w:rsidRPr="00E336A2">
        <w:rPr>
          <w:rFonts w:eastAsia="Times New Roman" w:cs="Arial"/>
          <w:color w:val="000000"/>
        </w:rPr>
        <w:tab/>
      </w:r>
      <w:r w:rsidR="0017397C" w:rsidRPr="00E336A2">
        <w:rPr>
          <w:rFonts w:eastAsia="Times New Roman" w:cs="Arial"/>
          <w:color w:val="000000"/>
        </w:rPr>
        <w:t>In 1998, t</w:t>
      </w:r>
      <w:r w:rsidR="00521973" w:rsidRPr="00E336A2">
        <w:rPr>
          <w:rFonts w:eastAsia="Times New Roman" w:cs="Arial"/>
          <w:color w:val="000000"/>
        </w:rPr>
        <w:t xml:space="preserve">hese statutory provisions </w:t>
      </w:r>
      <w:r w:rsidRPr="00E336A2">
        <w:rPr>
          <w:rFonts w:eastAsia="Times New Roman" w:cs="Arial"/>
          <w:color w:val="000000"/>
        </w:rPr>
        <w:t xml:space="preserve">were amended </w:t>
      </w:r>
      <w:r w:rsidR="00DE7C67" w:rsidRPr="00E336A2">
        <w:rPr>
          <w:rFonts w:eastAsia="Times New Roman" w:cs="Arial"/>
          <w:color w:val="000000"/>
        </w:rPr>
        <w:t xml:space="preserve">and augmented </w:t>
      </w:r>
      <w:r w:rsidRPr="00E336A2">
        <w:rPr>
          <w:rFonts w:eastAsia="Times New Roman" w:cs="Arial"/>
          <w:color w:val="000000"/>
        </w:rPr>
        <w:t xml:space="preserve">to consolidate and standardize </w:t>
      </w:r>
      <w:r w:rsidR="00521973" w:rsidRPr="00E336A2">
        <w:rPr>
          <w:rFonts w:eastAsia="Times New Roman" w:cs="Arial"/>
          <w:color w:val="000000"/>
        </w:rPr>
        <w:t>anti</w:t>
      </w:r>
      <w:r w:rsidRPr="00E336A2">
        <w:rPr>
          <w:rFonts w:eastAsia="Times New Roman" w:cs="Arial"/>
          <w:color w:val="000000"/>
        </w:rPr>
        <w:t xml:space="preserve">-discrimination </w:t>
      </w:r>
      <w:r w:rsidR="00BE61A1" w:rsidRPr="00E336A2">
        <w:rPr>
          <w:rFonts w:eastAsia="Times New Roman" w:cs="Arial"/>
          <w:color w:val="000000"/>
        </w:rPr>
        <w:t>provisions</w:t>
      </w:r>
      <w:r w:rsidR="00521973" w:rsidRPr="00E336A2">
        <w:rPr>
          <w:rFonts w:eastAsia="Times New Roman" w:cs="Arial"/>
          <w:color w:val="000000"/>
        </w:rPr>
        <w:t xml:space="preserve"> </w:t>
      </w:r>
      <w:r w:rsidR="004369B4" w:rsidRPr="00E336A2">
        <w:rPr>
          <w:rFonts w:eastAsia="Times New Roman" w:cs="Arial"/>
          <w:color w:val="000000"/>
        </w:rPr>
        <w:t xml:space="preserve">previously </w:t>
      </w:r>
      <w:r w:rsidRPr="00E336A2">
        <w:rPr>
          <w:rFonts w:eastAsia="Times New Roman" w:cs="Arial"/>
          <w:color w:val="000000"/>
        </w:rPr>
        <w:t xml:space="preserve">scattered throughout the Education Code and to clarify that </w:t>
      </w:r>
      <w:r w:rsidR="00521973" w:rsidRPr="00E336A2">
        <w:rPr>
          <w:rFonts w:eastAsia="Times New Roman" w:cs="Arial"/>
          <w:color w:val="000000"/>
        </w:rPr>
        <w:t xml:space="preserve">these provisions are enforceable through a </w:t>
      </w:r>
      <w:r w:rsidRPr="00E336A2">
        <w:rPr>
          <w:rFonts w:eastAsia="Times New Roman" w:cs="Arial"/>
          <w:color w:val="000000"/>
        </w:rPr>
        <w:t xml:space="preserve">private right of action </w:t>
      </w:r>
      <w:r w:rsidR="00521973" w:rsidRPr="00E336A2">
        <w:rPr>
          <w:rFonts w:eastAsia="Times New Roman" w:cs="Arial"/>
          <w:color w:val="000000"/>
        </w:rPr>
        <w:t xml:space="preserve">for </w:t>
      </w:r>
      <w:r w:rsidR="003D1429" w:rsidRPr="00E336A2">
        <w:rPr>
          <w:rFonts w:eastAsia="Times New Roman" w:cs="Arial"/>
          <w:color w:val="000000"/>
        </w:rPr>
        <w:t xml:space="preserve">any “civil law </w:t>
      </w:r>
      <w:proofErr w:type="spellStart"/>
      <w:r w:rsidR="003D1429" w:rsidRPr="00E336A2">
        <w:rPr>
          <w:rFonts w:eastAsia="Times New Roman" w:cs="Arial"/>
          <w:color w:val="000000"/>
        </w:rPr>
        <w:t>remed</w:t>
      </w:r>
      <w:proofErr w:type="spellEnd"/>
      <w:r w:rsidR="008F769B" w:rsidRPr="00E336A2">
        <w:rPr>
          <w:rFonts w:eastAsia="Times New Roman" w:cs="Arial"/>
          <w:color w:val="000000"/>
        </w:rPr>
        <w:t>[</w:t>
      </w:r>
      <w:r w:rsidR="003D1429" w:rsidRPr="00E336A2">
        <w:rPr>
          <w:rFonts w:eastAsia="Times New Roman" w:cs="Arial"/>
          <w:color w:val="000000"/>
        </w:rPr>
        <w:t>y</w:t>
      </w:r>
      <w:r w:rsidR="008F769B" w:rsidRPr="00E336A2">
        <w:rPr>
          <w:rFonts w:eastAsia="Times New Roman" w:cs="Arial"/>
          <w:color w:val="000000"/>
        </w:rPr>
        <w:t>]</w:t>
      </w:r>
      <w:r w:rsidR="003D1429" w:rsidRPr="00E336A2">
        <w:rPr>
          <w:rFonts w:eastAsia="Times New Roman" w:cs="Arial"/>
          <w:color w:val="000000"/>
        </w:rPr>
        <w:t>,” including damages and injunctive relief.</w:t>
      </w:r>
      <w:r w:rsidR="00DE2BC9" w:rsidRPr="00E336A2">
        <w:rPr>
          <w:rFonts w:eastAsia="Times New Roman" w:cs="Arial"/>
          <w:color w:val="000000"/>
        </w:rPr>
        <w:t xml:space="preserve"> </w:t>
      </w:r>
      <w:r w:rsidR="003D1429" w:rsidRPr="00E336A2">
        <w:rPr>
          <w:rFonts w:eastAsia="Times New Roman" w:cs="Arial"/>
          <w:color w:val="000000"/>
        </w:rPr>
        <w:t xml:space="preserve"> (Ed. Code</w:t>
      </w:r>
      <w:r w:rsidR="00DE2BC9" w:rsidRPr="00E336A2">
        <w:rPr>
          <w:rFonts w:eastAsia="Times New Roman" w:cs="Arial"/>
          <w:color w:val="000000"/>
        </w:rPr>
        <w:t>,</w:t>
      </w:r>
      <w:r w:rsidR="003D1429" w:rsidRPr="00E336A2">
        <w:rPr>
          <w:rFonts w:eastAsia="Times New Roman" w:cs="Arial"/>
          <w:color w:val="000000"/>
        </w:rPr>
        <w:t xml:space="preserve"> </w:t>
      </w:r>
      <w:r w:rsidR="00DE2BC9" w:rsidRPr="00E336A2">
        <w:t xml:space="preserve">§ </w:t>
      </w:r>
      <w:r w:rsidR="003D1429" w:rsidRPr="00E336A2">
        <w:rPr>
          <w:rFonts w:eastAsia="Times New Roman" w:cs="Arial"/>
          <w:color w:val="000000"/>
        </w:rPr>
        <w:t xml:space="preserve">262.3, </w:t>
      </w:r>
      <w:proofErr w:type="spellStart"/>
      <w:r w:rsidR="003D1429" w:rsidRPr="00E336A2">
        <w:rPr>
          <w:rFonts w:eastAsia="Times New Roman" w:cs="Arial"/>
          <w:color w:val="000000"/>
        </w:rPr>
        <w:t>subd</w:t>
      </w:r>
      <w:proofErr w:type="spellEnd"/>
      <w:r w:rsidR="003D1429" w:rsidRPr="00E336A2">
        <w:rPr>
          <w:rFonts w:eastAsia="Times New Roman" w:cs="Arial"/>
          <w:color w:val="000000"/>
        </w:rPr>
        <w:t xml:space="preserve">. (b); see </w:t>
      </w:r>
      <w:r w:rsidR="003D1429" w:rsidRPr="00E336A2">
        <w:rPr>
          <w:rFonts w:eastAsia="Times New Roman" w:cs="Arial"/>
          <w:i/>
          <w:iCs/>
          <w:color w:val="000000"/>
        </w:rPr>
        <w:t xml:space="preserve">Donovan, supra, </w:t>
      </w:r>
      <w:r w:rsidR="003D1429" w:rsidRPr="00E336A2">
        <w:rPr>
          <w:rFonts w:eastAsia="Times New Roman" w:cs="Arial"/>
          <w:color w:val="000000"/>
        </w:rPr>
        <w:t>167 Cal.App.4th at pp. 591</w:t>
      </w:r>
      <w:r w:rsidR="00A74EFE" w:rsidRPr="00E336A2">
        <w:rPr>
          <w:rFonts w:eastAsia="Times New Roman" w:cs="Arial"/>
          <w:color w:val="000000"/>
        </w:rPr>
        <w:t>–</w:t>
      </w:r>
      <w:r w:rsidR="003D1429" w:rsidRPr="00E336A2">
        <w:rPr>
          <w:rFonts w:eastAsia="Times New Roman" w:cs="Arial"/>
          <w:color w:val="000000"/>
        </w:rPr>
        <w:t>596.)  The</w:t>
      </w:r>
      <w:r w:rsidR="0017397C" w:rsidRPr="00E336A2">
        <w:rPr>
          <w:rFonts w:eastAsia="Times New Roman" w:cs="Arial"/>
          <w:color w:val="000000"/>
        </w:rPr>
        <w:t>se</w:t>
      </w:r>
      <w:r w:rsidR="003D1429" w:rsidRPr="00E336A2">
        <w:rPr>
          <w:rFonts w:eastAsia="Times New Roman" w:cs="Arial"/>
          <w:color w:val="000000"/>
        </w:rPr>
        <w:t xml:space="preserve"> amendments also </w:t>
      </w:r>
      <w:r w:rsidR="0017397C" w:rsidRPr="00E336A2">
        <w:rPr>
          <w:rFonts w:eastAsia="Times New Roman" w:cs="Arial"/>
          <w:color w:val="000000"/>
        </w:rPr>
        <w:t xml:space="preserve">put in place </w:t>
      </w:r>
      <w:r w:rsidR="003D1429" w:rsidRPr="00E336A2">
        <w:rPr>
          <w:rFonts w:eastAsia="Times New Roman" w:cs="Arial"/>
          <w:color w:val="000000"/>
        </w:rPr>
        <w:t xml:space="preserve">a </w:t>
      </w:r>
      <w:r w:rsidRPr="00E336A2">
        <w:rPr>
          <w:rFonts w:eastAsia="Times New Roman" w:cs="Arial"/>
          <w:color w:val="000000"/>
        </w:rPr>
        <w:t xml:space="preserve">“cooling off” period </w:t>
      </w:r>
      <w:r w:rsidR="0017397C" w:rsidRPr="00E336A2">
        <w:rPr>
          <w:rFonts w:eastAsia="Times New Roman" w:cs="Arial"/>
          <w:color w:val="000000"/>
        </w:rPr>
        <w:t>prior to</w:t>
      </w:r>
      <w:r w:rsidRPr="00E336A2">
        <w:rPr>
          <w:rFonts w:eastAsia="Times New Roman" w:cs="Arial"/>
          <w:color w:val="000000"/>
        </w:rPr>
        <w:t xml:space="preserve"> </w:t>
      </w:r>
      <w:r w:rsidR="003D1429" w:rsidRPr="00E336A2">
        <w:rPr>
          <w:rFonts w:eastAsia="Times New Roman" w:cs="Arial"/>
          <w:color w:val="000000"/>
        </w:rPr>
        <w:t xml:space="preserve">filing </w:t>
      </w:r>
      <w:r w:rsidRPr="00E336A2">
        <w:rPr>
          <w:rFonts w:eastAsia="Times New Roman" w:cs="Arial"/>
          <w:color w:val="000000"/>
        </w:rPr>
        <w:t>suit</w:t>
      </w:r>
      <w:r w:rsidR="003D1429" w:rsidRPr="00E336A2">
        <w:rPr>
          <w:rFonts w:eastAsia="Times New Roman" w:cs="Arial"/>
          <w:color w:val="000000"/>
        </w:rPr>
        <w:t xml:space="preserve"> </w:t>
      </w:r>
      <w:r w:rsidR="00BC4AB4" w:rsidRPr="00E336A2">
        <w:rPr>
          <w:rFonts w:eastAsia="Times New Roman" w:cs="Arial"/>
          <w:color w:val="000000"/>
        </w:rPr>
        <w:t xml:space="preserve">“to avoid ‘throwing [public] schools into immediate litigation’ [citation] and to give schools an opportunity to resolve informally as many cases as possible.”  </w:t>
      </w:r>
      <w:r w:rsidR="003D1429" w:rsidRPr="00E336A2">
        <w:rPr>
          <w:rFonts w:eastAsia="Times New Roman" w:cs="Arial"/>
          <w:color w:val="000000"/>
        </w:rPr>
        <w:t>(</w:t>
      </w:r>
      <w:r w:rsidR="00BC4AB4" w:rsidRPr="00E336A2">
        <w:rPr>
          <w:rFonts w:eastAsia="Times New Roman" w:cs="Arial"/>
          <w:i/>
          <w:iCs/>
          <w:color w:val="000000"/>
        </w:rPr>
        <w:t xml:space="preserve">Id. </w:t>
      </w:r>
      <w:r w:rsidR="003D1429" w:rsidRPr="00E336A2">
        <w:rPr>
          <w:rFonts w:eastAsia="Times New Roman" w:cs="Arial"/>
          <w:color w:val="000000"/>
        </w:rPr>
        <w:t>at p. 607</w:t>
      </w:r>
      <w:r w:rsidR="00BC4AB4" w:rsidRPr="00E336A2">
        <w:rPr>
          <w:rFonts w:eastAsia="Times New Roman" w:cs="Arial"/>
          <w:color w:val="000000"/>
        </w:rPr>
        <w:t>.)</w:t>
      </w:r>
    </w:p>
    <w:p w14:paraId="4C89641B" w14:textId="77777777" w:rsidR="00590BCC" w:rsidRDefault="003638B7" w:rsidP="00590BCC">
      <w:pPr>
        <w:spacing w:line="360" w:lineRule="auto"/>
        <w:rPr>
          <w:rFonts w:eastAsia="Times New Roman" w:cs="Arial"/>
          <w:color w:val="000000"/>
        </w:rPr>
      </w:pPr>
      <w:r w:rsidRPr="00E336A2">
        <w:rPr>
          <w:rFonts w:eastAsia="Times New Roman" w:cs="Arial"/>
          <w:color w:val="000000"/>
        </w:rPr>
        <w:tab/>
      </w:r>
      <w:r w:rsidR="00BE61A1" w:rsidRPr="00E336A2">
        <w:rPr>
          <w:rFonts w:eastAsia="Times New Roman" w:cs="Arial"/>
          <w:color w:val="000000"/>
        </w:rPr>
        <w:t xml:space="preserve">As the Assembly Judiciary Committee explained, </w:t>
      </w:r>
      <w:r w:rsidR="00154933" w:rsidRPr="00E336A2">
        <w:rPr>
          <w:rFonts w:eastAsia="Times New Roman" w:cs="Arial"/>
          <w:color w:val="000000"/>
        </w:rPr>
        <w:t xml:space="preserve">“This bill would consolidate and standardize the non-discrimination language in the Education Code into two chapters, one for K-12 and another </w:t>
      </w:r>
      <w:r w:rsidR="007F1D5D" w:rsidRPr="00E336A2">
        <w:rPr>
          <w:rFonts w:eastAsia="Times New Roman" w:cs="Arial"/>
          <w:color w:val="000000"/>
        </w:rPr>
        <w:t xml:space="preserve">chapter </w:t>
      </w:r>
      <w:r w:rsidR="00154933" w:rsidRPr="00E336A2">
        <w:rPr>
          <w:rFonts w:eastAsia="Times New Roman" w:cs="Arial"/>
          <w:color w:val="000000"/>
        </w:rPr>
        <w:t xml:space="preserve">for higher education.  It would also strengthen the gender equity provisions for K-12 systems, clarify a private right of action for discrimination claims arising under the Education Code, and expand the remedies available for discrimination in educational institutions to include monetary damages.” </w:t>
      </w:r>
      <w:r w:rsidR="00A74EFE">
        <w:rPr>
          <w:rFonts w:eastAsia="Times New Roman" w:cs="Arial"/>
          <w:color w:val="000000"/>
        </w:rPr>
        <w:t xml:space="preserve"> </w:t>
      </w:r>
      <w:r w:rsidR="00154933" w:rsidRPr="00E336A2">
        <w:rPr>
          <w:rFonts w:eastAsia="Times New Roman" w:cs="Arial"/>
          <w:color w:val="000000"/>
        </w:rPr>
        <w:t xml:space="preserve">(Assem. Com. </w:t>
      </w:r>
      <w:r w:rsidR="007F1D5D" w:rsidRPr="00E336A2">
        <w:rPr>
          <w:rFonts w:eastAsia="Times New Roman" w:cs="Arial"/>
          <w:color w:val="000000"/>
        </w:rPr>
        <w:t>o</w:t>
      </w:r>
      <w:r w:rsidR="00154933" w:rsidRPr="00E336A2">
        <w:rPr>
          <w:rFonts w:eastAsia="Times New Roman" w:cs="Arial"/>
          <w:color w:val="000000"/>
        </w:rPr>
        <w:t>n Judiciary, A</w:t>
      </w:r>
      <w:r w:rsidR="00DE2BC9" w:rsidRPr="00E336A2">
        <w:rPr>
          <w:rFonts w:eastAsia="Times New Roman" w:cs="Arial"/>
          <w:color w:val="000000"/>
        </w:rPr>
        <w:t>ssem. Bill No.</w:t>
      </w:r>
      <w:r w:rsidR="00154933" w:rsidRPr="00E336A2">
        <w:rPr>
          <w:rFonts w:eastAsia="Times New Roman" w:cs="Arial"/>
          <w:color w:val="000000"/>
        </w:rPr>
        <w:t xml:space="preserve"> 499</w:t>
      </w:r>
      <w:r w:rsidR="007F1D5D" w:rsidRPr="00E336A2">
        <w:rPr>
          <w:rFonts w:eastAsia="Times New Roman" w:cs="Arial"/>
          <w:color w:val="000000"/>
        </w:rPr>
        <w:t xml:space="preserve"> (1997</w:t>
      </w:r>
      <w:r w:rsidR="00A74EFE" w:rsidRPr="00E336A2">
        <w:rPr>
          <w:rFonts w:eastAsia="Times New Roman" w:cs="Arial"/>
          <w:color w:val="000000"/>
        </w:rPr>
        <w:t>–</w:t>
      </w:r>
      <w:r w:rsidR="007F1D5D" w:rsidRPr="00E336A2">
        <w:rPr>
          <w:rFonts w:eastAsia="Times New Roman" w:cs="Arial"/>
          <w:color w:val="000000"/>
        </w:rPr>
        <w:t>1998 Reg. Sess.)</w:t>
      </w:r>
      <w:r w:rsidR="00154933" w:rsidRPr="00E336A2">
        <w:rPr>
          <w:rFonts w:eastAsia="Times New Roman" w:cs="Arial"/>
          <w:color w:val="000000"/>
        </w:rPr>
        <w:t xml:space="preserve"> as amend</w:t>
      </w:r>
      <w:r w:rsidR="00832787">
        <w:rPr>
          <w:rFonts w:eastAsia="Times New Roman" w:cs="Arial"/>
          <w:color w:val="000000"/>
        </w:rPr>
        <w:t>ed</w:t>
      </w:r>
      <w:r w:rsidR="00154933" w:rsidRPr="00E336A2">
        <w:rPr>
          <w:rFonts w:eastAsia="Times New Roman" w:cs="Arial"/>
          <w:color w:val="000000"/>
        </w:rPr>
        <w:t xml:space="preserve"> </w:t>
      </w:r>
      <w:r w:rsidR="007F1D5D" w:rsidRPr="00E336A2">
        <w:rPr>
          <w:rFonts w:eastAsia="Times New Roman" w:cs="Arial"/>
          <w:color w:val="000000"/>
        </w:rPr>
        <w:t>Apr</w:t>
      </w:r>
      <w:r w:rsidR="00A74EFE">
        <w:rPr>
          <w:rFonts w:eastAsia="Times New Roman" w:cs="Arial"/>
          <w:color w:val="000000"/>
        </w:rPr>
        <w:t>.</w:t>
      </w:r>
      <w:r w:rsidR="007F1D5D" w:rsidRPr="00E336A2">
        <w:rPr>
          <w:rFonts w:eastAsia="Times New Roman" w:cs="Arial"/>
          <w:color w:val="000000"/>
        </w:rPr>
        <w:t xml:space="preserve"> </w:t>
      </w:r>
      <w:r w:rsidR="00154933" w:rsidRPr="00E336A2">
        <w:rPr>
          <w:rFonts w:eastAsia="Times New Roman" w:cs="Arial"/>
          <w:color w:val="000000"/>
        </w:rPr>
        <w:t>9</w:t>
      </w:r>
      <w:r w:rsidR="007F1D5D" w:rsidRPr="00E336A2">
        <w:rPr>
          <w:rFonts w:eastAsia="Times New Roman" w:cs="Arial"/>
          <w:color w:val="000000"/>
        </w:rPr>
        <w:t>, 19</w:t>
      </w:r>
      <w:r w:rsidR="00154933" w:rsidRPr="00E336A2">
        <w:rPr>
          <w:rFonts w:eastAsia="Times New Roman" w:cs="Arial"/>
          <w:color w:val="000000"/>
        </w:rPr>
        <w:t>97, p. 1)</w:t>
      </w:r>
      <w:r w:rsidR="00154933">
        <w:rPr>
          <w:rFonts w:eastAsia="Times New Roman" w:cs="Arial"/>
          <w:color w:val="000000"/>
        </w:rPr>
        <w:t xml:space="preserve">  </w:t>
      </w:r>
      <w:r w:rsidR="00DE7C67">
        <w:rPr>
          <w:rFonts w:eastAsia="Times New Roman" w:cs="Arial"/>
          <w:color w:val="000000"/>
        </w:rPr>
        <w:t xml:space="preserve">The report </w:t>
      </w:r>
      <w:r w:rsidR="007F45E5">
        <w:rPr>
          <w:rFonts w:eastAsia="Times New Roman" w:cs="Arial"/>
          <w:color w:val="000000"/>
        </w:rPr>
        <w:t xml:space="preserve">also </w:t>
      </w:r>
      <w:r w:rsidR="00DE7C67" w:rsidRPr="00DE5C6C">
        <w:rPr>
          <w:rFonts w:eastAsia="Times New Roman" w:cs="Arial"/>
          <w:color w:val="000000"/>
        </w:rPr>
        <w:t xml:space="preserve">observed that </w:t>
      </w:r>
      <w:r w:rsidR="00303EFC" w:rsidRPr="00DE5C6C">
        <w:rPr>
          <w:rFonts w:eastAsia="Times New Roman" w:cs="Arial"/>
          <w:color w:val="000000"/>
        </w:rPr>
        <w:t>t</w:t>
      </w:r>
      <w:r w:rsidR="00154933" w:rsidRPr="00DE5C6C">
        <w:rPr>
          <w:rFonts w:eastAsia="Times New Roman" w:cs="Arial"/>
          <w:color w:val="000000"/>
        </w:rPr>
        <w:t xml:space="preserve">he Department of Education </w:t>
      </w:r>
      <w:r w:rsidR="00DE7C67" w:rsidRPr="00DE5C6C">
        <w:rPr>
          <w:rFonts w:eastAsia="Times New Roman" w:cs="Arial"/>
          <w:color w:val="000000"/>
        </w:rPr>
        <w:t xml:space="preserve">had </w:t>
      </w:r>
      <w:r w:rsidR="00154933" w:rsidRPr="00DE5C6C">
        <w:rPr>
          <w:rFonts w:eastAsia="Times New Roman" w:cs="Arial"/>
          <w:color w:val="000000"/>
        </w:rPr>
        <w:t xml:space="preserve">requested that instead of wholly eliminating the need to </w:t>
      </w:r>
      <w:r w:rsidR="00154933" w:rsidRPr="00DE5C6C">
        <w:rPr>
          <w:rFonts w:eastAsia="Times New Roman" w:cs="Arial"/>
          <w:color w:val="000000"/>
        </w:rPr>
        <w:lastRenderedPageBreak/>
        <w:t>exhaust administrative remedies, the bill instead include a reasonable period for administrative review, suggesting 60 days</w:t>
      </w:r>
      <w:r w:rsidR="009A59D4">
        <w:rPr>
          <w:rFonts w:eastAsia="Times New Roman" w:cs="Arial"/>
          <w:color w:val="000000"/>
        </w:rPr>
        <w:t>,</w:t>
      </w:r>
      <w:r w:rsidR="00154933" w:rsidRPr="00DE5C6C">
        <w:rPr>
          <w:rFonts w:eastAsia="Times New Roman" w:cs="Arial"/>
          <w:color w:val="000000"/>
        </w:rPr>
        <w:t xml:space="preserve"> and “the author </w:t>
      </w:r>
      <w:r w:rsidR="00DE7C67" w:rsidRPr="00DE5C6C">
        <w:rPr>
          <w:rFonts w:eastAsia="Times New Roman" w:cs="Arial"/>
          <w:color w:val="000000"/>
        </w:rPr>
        <w:t xml:space="preserve">[had] </w:t>
      </w:r>
      <w:r w:rsidR="00154933" w:rsidRPr="00DE5C6C">
        <w:rPr>
          <w:rFonts w:eastAsia="Times New Roman" w:cs="Arial"/>
          <w:color w:val="000000"/>
        </w:rPr>
        <w:t xml:space="preserve">agreed to </w:t>
      </w:r>
      <w:r w:rsidR="00D72C88" w:rsidRPr="00DE5C6C">
        <w:rPr>
          <w:rFonts w:eastAsia="Times New Roman" w:cs="Arial"/>
          <w:color w:val="000000"/>
        </w:rPr>
        <w:t xml:space="preserve">accept </w:t>
      </w:r>
      <w:r w:rsidR="005D5C40">
        <w:rPr>
          <w:rFonts w:eastAsia="Times New Roman" w:cs="Arial"/>
          <w:color w:val="000000"/>
        </w:rPr>
        <w:t>[the]</w:t>
      </w:r>
      <w:r w:rsidR="00D72C88" w:rsidRPr="00DE5C6C">
        <w:rPr>
          <w:rFonts w:eastAsia="Times New Roman" w:cs="Arial"/>
          <w:color w:val="000000"/>
        </w:rPr>
        <w:t xml:space="preserve"> amendment” </w:t>
      </w:r>
      <w:r w:rsidR="00154933" w:rsidRPr="00DE5C6C">
        <w:rPr>
          <w:rFonts w:eastAsia="Times New Roman" w:cs="Arial"/>
          <w:color w:val="000000"/>
        </w:rPr>
        <w:t>to the bill.  (</w:t>
      </w:r>
      <w:r w:rsidR="00154933" w:rsidRPr="00DE5C6C">
        <w:rPr>
          <w:rFonts w:eastAsia="Times New Roman" w:cs="Arial"/>
          <w:i/>
          <w:color w:val="000000"/>
        </w:rPr>
        <w:t xml:space="preserve">Id. </w:t>
      </w:r>
      <w:r w:rsidR="000E25EB" w:rsidRPr="00DE5C6C">
        <w:rPr>
          <w:rFonts w:eastAsia="Times New Roman" w:cs="Arial"/>
          <w:iCs/>
          <w:color w:val="000000"/>
        </w:rPr>
        <w:t>at</w:t>
      </w:r>
      <w:r w:rsidR="000E25EB" w:rsidRPr="00DE5C6C">
        <w:rPr>
          <w:rFonts w:eastAsia="Times New Roman" w:cs="Arial"/>
          <w:i/>
          <w:color w:val="000000"/>
        </w:rPr>
        <w:t xml:space="preserve"> </w:t>
      </w:r>
      <w:r w:rsidR="00154933" w:rsidRPr="00DE5C6C">
        <w:rPr>
          <w:rFonts w:eastAsia="Times New Roman" w:cs="Arial"/>
          <w:color w:val="000000"/>
        </w:rPr>
        <w:t>p. 3.)</w:t>
      </w:r>
    </w:p>
    <w:p w14:paraId="4DD23D18" w14:textId="77777777" w:rsidR="00154933" w:rsidRDefault="00590BCC" w:rsidP="00590BCC">
      <w:pPr>
        <w:spacing w:line="360" w:lineRule="auto"/>
        <w:rPr>
          <w:rFonts w:eastAsia="Times New Roman" w:cs="Arial"/>
          <w:color w:val="000000"/>
        </w:rPr>
      </w:pPr>
      <w:r>
        <w:rPr>
          <w:rFonts w:eastAsia="Times New Roman" w:cs="Arial"/>
          <w:color w:val="000000"/>
        </w:rPr>
        <w:tab/>
      </w:r>
      <w:r w:rsidR="00154933">
        <w:rPr>
          <w:rFonts w:eastAsia="Times New Roman" w:cs="Arial"/>
          <w:color w:val="000000"/>
        </w:rPr>
        <w:t xml:space="preserve">In one of the last, if not the last, round of amendments, language referencing the Unruh Act was added to </w:t>
      </w:r>
      <w:r w:rsidR="00DE2BC9">
        <w:rPr>
          <w:rFonts w:eastAsia="Times New Roman" w:cs="Arial"/>
          <w:color w:val="000000"/>
        </w:rPr>
        <w:t xml:space="preserve">Education Code </w:t>
      </w:r>
      <w:r w:rsidR="00154933">
        <w:rPr>
          <w:rFonts w:eastAsia="Times New Roman" w:cs="Arial"/>
          <w:color w:val="000000"/>
        </w:rPr>
        <w:t xml:space="preserve">section 201, subdivision (g), which had read as follows: </w:t>
      </w:r>
    </w:p>
    <w:p w14:paraId="157EA108" w14:textId="77777777" w:rsidR="00154933" w:rsidRDefault="00154933" w:rsidP="00154933">
      <w:pPr>
        <w:shd w:val="clear" w:color="auto" w:fill="FFFFFF"/>
        <w:spacing w:line="240" w:lineRule="auto"/>
        <w:rPr>
          <w:rFonts w:eastAsia="Times New Roman" w:cs="Arial"/>
          <w:color w:val="000000"/>
        </w:rPr>
      </w:pPr>
    </w:p>
    <w:p w14:paraId="35F4652E" w14:textId="77777777" w:rsidR="00154933" w:rsidRPr="00A508C8" w:rsidRDefault="00E47CBB" w:rsidP="00154933">
      <w:pPr>
        <w:shd w:val="clear" w:color="auto" w:fill="FFFFFF"/>
        <w:spacing w:line="240" w:lineRule="auto"/>
        <w:ind w:left="720"/>
        <w:rPr>
          <w:rFonts w:ascii="Source Sans Pro" w:eastAsia="Times New Roman" w:hAnsi="Source Sans Pro" w:cs="Arial"/>
          <w:color w:val="000000"/>
          <w:sz w:val="24"/>
          <w:szCs w:val="24"/>
        </w:rPr>
      </w:pPr>
      <w:r w:rsidRPr="00204663">
        <w:rPr>
          <w:rFonts w:eastAsia="Times New Roman" w:cs="Arial"/>
          <w:color w:val="000000"/>
        </w:rPr>
        <w:t>“</w:t>
      </w:r>
      <w:r w:rsidR="00154933" w:rsidRPr="00204663">
        <w:rPr>
          <w:rFonts w:eastAsia="Times New Roman" w:cs="Arial"/>
          <w:color w:val="000000"/>
        </w:rPr>
        <w:t xml:space="preserve">(g)  It is the intent of the Legislature that this chapter shall be interpreted as consistent with Section 11135 of the Government Code, Titles VI and IX of the federal Civil Rights Act, Section 504 of the federal Rehabilitation Act of 1973, the federal Americans with </w:t>
      </w:r>
      <w:r w:rsidR="00204663" w:rsidRPr="00204663">
        <w:rPr>
          <w:rFonts w:eastAsia="Times New Roman" w:cs="Arial"/>
          <w:color w:val="000000"/>
        </w:rPr>
        <w:t>D</w:t>
      </w:r>
      <w:r w:rsidR="00154933" w:rsidRPr="00204663">
        <w:rPr>
          <w:rFonts w:eastAsia="Times New Roman" w:cs="Arial"/>
          <w:color w:val="000000"/>
        </w:rPr>
        <w:t>isabilities Act, and the federal Equal Education Opportunities Act, except where this chapter may grant more protections or impose additional obligations, and that the remedies provided herein shall not be the exclusive remedies, but may be combined with remedies that may be provided by the above statutes.</w:t>
      </w:r>
      <w:r w:rsidRPr="00204663">
        <w:rPr>
          <w:rFonts w:eastAsia="Times New Roman" w:cs="Arial"/>
          <w:color w:val="000000"/>
        </w:rPr>
        <w:t>”</w:t>
      </w:r>
      <w:r w:rsidR="00FC26A5" w:rsidRPr="00204663">
        <w:rPr>
          <w:rFonts w:eastAsia="Times New Roman" w:cs="Arial"/>
          <w:color w:val="000000"/>
        </w:rPr>
        <w:t xml:space="preserve">  </w:t>
      </w:r>
      <w:r w:rsidR="00204663" w:rsidRPr="00204663">
        <w:rPr>
          <w:rFonts w:eastAsia="Times New Roman" w:cs="Arial"/>
          <w:color w:val="000000"/>
        </w:rPr>
        <w:t>(Assem. Bill No. 499 (1997–1998 Reg. Sess.) as amended Jan. 27, 1998, p. 6.)</w:t>
      </w:r>
      <w:r w:rsidR="00154933">
        <w:rPr>
          <w:rFonts w:eastAsia="Times New Roman" w:cs="Arial"/>
          <w:color w:val="000000"/>
        </w:rPr>
        <w:t xml:space="preserve"> </w:t>
      </w:r>
    </w:p>
    <w:p w14:paraId="7BDA752B" w14:textId="77777777" w:rsidR="00154933" w:rsidRDefault="00154933" w:rsidP="00910033">
      <w:pPr>
        <w:shd w:val="clear" w:color="auto" w:fill="FFFFFF"/>
        <w:spacing w:line="240" w:lineRule="auto"/>
        <w:rPr>
          <w:rFonts w:ascii="Source Sans Pro" w:eastAsia="Times New Roman" w:hAnsi="Source Sans Pro" w:cs="Arial"/>
          <w:color w:val="000000"/>
          <w:sz w:val="24"/>
          <w:szCs w:val="24"/>
        </w:rPr>
      </w:pPr>
    </w:p>
    <w:p w14:paraId="06CDDC33" w14:textId="77777777" w:rsidR="00C70DF9" w:rsidRPr="00E336A2" w:rsidRDefault="00154933" w:rsidP="00910033">
      <w:pPr>
        <w:shd w:val="clear" w:color="auto" w:fill="FFFFFF"/>
        <w:spacing w:line="240" w:lineRule="auto"/>
        <w:rPr>
          <w:rFonts w:eastAsia="Times New Roman" w:cs="Arial"/>
          <w:color w:val="000000"/>
        </w:rPr>
      </w:pPr>
      <w:r w:rsidRPr="00E336A2">
        <w:rPr>
          <w:rFonts w:eastAsia="Times New Roman" w:cs="Arial"/>
          <w:color w:val="000000"/>
        </w:rPr>
        <w:t xml:space="preserve">As amended the subdivision </w:t>
      </w:r>
      <w:r w:rsidR="004369B4" w:rsidRPr="00E336A2">
        <w:rPr>
          <w:rFonts w:eastAsia="Times New Roman" w:cs="Arial"/>
          <w:color w:val="000000"/>
        </w:rPr>
        <w:t>provided</w:t>
      </w:r>
      <w:r w:rsidR="00C70DF9" w:rsidRPr="00E336A2">
        <w:rPr>
          <w:rFonts w:eastAsia="Times New Roman" w:cs="Arial"/>
          <w:color w:val="000000"/>
        </w:rPr>
        <w:t xml:space="preserve">, </w:t>
      </w:r>
      <w:r w:rsidRPr="00E336A2">
        <w:rPr>
          <w:rFonts w:eastAsia="Times New Roman" w:cs="Arial"/>
          <w:color w:val="000000"/>
        </w:rPr>
        <w:t>as it does today</w:t>
      </w:r>
      <w:r w:rsidR="00C70DF9" w:rsidRPr="00E336A2">
        <w:rPr>
          <w:rFonts w:eastAsia="Times New Roman" w:cs="Arial"/>
          <w:color w:val="000000"/>
        </w:rPr>
        <w:t>:</w:t>
      </w:r>
    </w:p>
    <w:p w14:paraId="22854175" w14:textId="77777777" w:rsidR="00C70DF9" w:rsidRPr="00E336A2" w:rsidRDefault="00C70DF9" w:rsidP="00910033">
      <w:pPr>
        <w:shd w:val="clear" w:color="auto" w:fill="FFFFFF"/>
        <w:spacing w:line="240" w:lineRule="auto"/>
        <w:rPr>
          <w:rFonts w:eastAsia="Times New Roman" w:cs="Arial"/>
          <w:color w:val="000000"/>
        </w:rPr>
      </w:pPr>
    </w:p>
    <w:p w14:paraId="6D2CF06E" w14:textId="77777777" w:rsidR="00C70DF9" w:rsidRPr="00E336A2" w:rsidRDefault="00E47CBB" w:rsidP="00C70DF9">
      <w:pPr>
        <w:shd w:val="clear" w:color="auto" w:fill="FFFFFF"/>
        <w:tabs>
          <w:tab w:val="clear" w:pos="720"/>
        </w:tabs>
        <w:spacing w:line="240" w:lineRule="auto"/>
        <w:ind w:left="720"/>
        <w:rPr>
          <w:rFonts w:eastAsia="Times New Roman" w:cs="Arial"/>
          <w:color w:val="000000"/>
        </w:rPr>
      </w:pPr>
      <w:r w:rsidRPr="00E336A2">
        <w:rPr>
          <w:rFonts w:eastAsia="Times New Roman" w:cs="Arial"/>
          <w:color w:val="000000"/>
        </w:rPr>
        <w:t>“</w:t>
      </w:r>
      <w:r w:rsidR="00C70DF9" w:rsidRPr="00E336A2">
        <w:rPr>
          <w:rFonts w:eastAsia="Times New Roman" w:cs="Arial"/>
          <w:color w:val="000000"/>
        </w:rPr>
        <w:t xml:space="preserve">(g) It is the intent of the Legislature that this chapter shall be interpreted as consistent with Article 9.5 (commencing with Section 11135) of Chapter 1 of Part 1 of Division 3 of Title 2 of the Government </w:t>
      </w:r>
      <w:r w:rsidR="00C70DF9" w:rsidRPr="00E336A2">
        <w:rPr>
          <w:rFonts w:eastAsia="Times New Roman" w:cs="Arial"/>
          <w:color w:val="000000"/>
          <w:shd w:val="clear" w:color="auto" w:fill="FFFFFF"/>
        </w:rPr>
        <w:t>Code</w:t>
      </w:r>
      <w:r w:rsidR="00C70DF9" w:rsidRPr="00E336A2">
        <w:rPr>
          <w:rFonts w:eastAsia="Times New Roman" w:cs="Arial"/>
          <w:color w:val="000000"/>
        </w:rPr>
        <w:t xml:space="preserve">, Title VI of the federal Civil Rights Act of 1964 (42 U.S.C. Sec. 1981, et seq.), Title IX of the </w:t>
      </w:r>
      <w:r w:rsidR="00C70DF9" w:rsidRPr="00E336A2">
        <w:rPr>
          <w:rFonts w:eastAsia="Times New Roman" w:cs="Arial"/>
          <w:color w:val="000000"/>
          <w:shd w:val="clear" w:color="auto" w:fill="FFFFFF"/>
        </w:rPr>
        <w:t>Education</w:t>
      </w:r>
      <w:r w:rsidR="00C70DF9" w:rsidRPr="00E336A2">
        <w:rPr>
          <w:rFonts w:eastAsia="Times New Roman" w:cs="Arial"/>
          <w:color w:val="000000"/>
        </w:rPr>
        <w:t xml:space="preserve"> Amendments of 1972 (20 U.S.C. Sec. 1681, et seq.), Section 504 of the federal Rehabilitation Act of 1973 (29 U.S.C. Sec. 794(a)), the federal Individuals with Disabilities </w:t>
      </w:r>
      <w:r w:rsidR="00C70DF9" w:rsidRPr="00E336A2">
        <w:rPr>
          <w:rFonts w:eastAsia="Times New Roman" w:cs="Arial"/>
          <w:color w:val="000000"/>
          <w:shd w:val="clear" w:color="auto" w:fill="FFFFFF"/>
        </w:rPr>
        <w:t>Education</w:t>
      </w:r>
      <w:r w:rsidR="00C70DF9" w:rsidRPr="00E336A2">
        <w:rPr>
          <w:rFonts w:eastAsia="Times New Roman" w:cs="Arial"/>
          <w:color w:val="000000"/>
        </w:rPr>
        <w:t xml:space="preserve"> Act (20 U.S.C. Sec. 1400 et seq.), the federal Equal </w:t>
      </w:r>
      <w:r w:rsidR="00C70DF9" w:rsidRPr="00E336A2">
        <w:rPr>
          <w:rFonts w:eastAsia="Times New Roman" w:cs="Arial"/>
          <w:color w:val="000000"/>
          <w:shd w:val="clear" w:color="auto" w:fill="FFFFFF"/>
        </w:rPr>
        <w:t>Educational</w:t>
      </w:r>
      <w:r w:rsidR="00C70DF9" w:rsidRPr="00E336A2">
        <w:rPr>
          <w:rFonts w:eastAsia="Times New Roman" w:cs="Arial"/>
          <w:color w:val="000000"/>
        </w:rPr>
        <w:t xml:space="preserve"> Opportunities Act (20 U.S.C. Sec. 1701, et seq.), the Unruh Civil Rights Act (Secs. 51 to 53, incl., Civ. C.), and the Fair Employment and Housing Act (Pt. 2.8 (commencing with Sec. 12900), Div. 3, Gov. C.), except where this chapter may grant more protections or impose additional obligations, and that the remedies provided herein shall not be the exclusive remedies, but may be combined with remedies that may be provided by the above statutes.</w:t>
      </w:r>
      <w:r w:rsidRPr="00E336A2">
        <w:rPr>
          <w:rFonts w:eastAsia="Times New Roman" w:cs="Arial"/>
          <w:color w:val="000000"/>
        </w:rPr>
        <w:t>”</w:t>
      </w:r>
      <w:r w:rsidR="00FC26A5" w:rsidRPr="00E336A2">
        <w:rPr>
          <w:rFonts w:eastAsia="Times New Roman" w:cs="Arial"/>
          <w:color w:val="000000"/>
        </w:rPr>
        <w:t xml:space="preserve">  (Ed. Code</w:t>
      </w:r>
      <w:r w:rsidR="00A74EFE">
        <w:rPr>
          <w:rFonts w:eastAsia="Times New Roman" w:cs="Arial"/>
          <w:color w:val="000000"/>
        </w:rPr>
        <w:t>,</w:t>
      </w:r>
      <w:r w:rsidR="00FC26A5" w:rsidRPr="00E336A2">
        <w:rPr>
          <w:rFonts w:eastAsia="Times New Roman" w:cs="Arial"/>
          <w:color w:val="000000"/>
        </w:rPr>
        <w:t xml:space="preserve"> </w:t>
      </w:r>
      <w:r w:rsidR="006E49CE" w:rsidRPr="00E336A2">
        <w:t>§</w:t>
      </w:r>
      <w:r w:rsidR="00A74EFE">
        <w:rPr>
          <w:rFonts w:eastAsia="Times New Roman" w:cs="Arial"/>
          <w:color w:val="000000"/>
        </w:rPr>
        <w:t> </w:t>
      </w:r>
      <w:r w:rsidR="00FC26A5" w:rsidRPr="00E336A2">
        <w:rPr>
          <w:rFonts w:eastAsia="Times New Roman" w:cs="Arial"/>
          <w:color w:val="000000"/>
        </w:rPr>
        <w:t xml:space="preserve">201, </w:t>
      </w:r>
      <w:proofErr w:type="spellStart"/>
      <w:r w:rsidR="00FC26A5" w:rsidRPr="00E336A2">
        <w:rPr>
          <w:rFonts w:eastAsia="Times New Roman" w:cs="Arial"/>
          <w:color w:val="000000"/>
        </w:rPr>
        <w:t>subd</w:t>
      </w:r>
      <w:proofErr w:type="spellEnd"/>
      <w:r w:rsidR="00FC26A5" w:rsidRPr="00E336A2">
        <w:rPr>
          <w:rFonts w:eastAsia="Times New Roman" w:cs="Arial"/>
          <w:color w:val="000000"/>
        </w:rPr>
        <w:t>. (g).)</w:t>
      </w:r>
    </w:p>
    <w:p w14:paraId="70109E60" w14:textId="77777777" w:rsidR="00C70DF9" w:rsidRPr="00E336A2" w:rsidRDefault="00C70DF9" w:rsidP="00C70DF9">
      <w:pPr>
        <w:shd w:val="clear" w:color="auto" w:fill="FFFFFF"/>
        <w:tabs>
          <w:tab w:val="clear" w:pos="720"/>
        </w:tabs>
        <w:spacing w:line="240" w:lineRule="auto"/>
        <w:ind w:left="720"/>
        <w:rPr>
          <w:rFonts w:eastAsia="Times New Roman" w:cs="Arial"/>
          <w:color w:val="000000"/>
        </w:rPr>
      </w:pPr>
    </w:p>
    <w:p w14:paraId="4898B0CD" w14:textId="77777777" w:rsidR="003638B7" w:rsidRPr="00E336A2" w:rsidRDefault="00C70DF9" w:rsidP="00590BCC">
      <w:pPr>
        <w:spacing w:line="360" w:lineRule="auto"/>
        <w:rPr>
          <w:rFonts w:eastAsia="Times New Roman" w:cs="Arial"/>
          <w:color w:val="000000"/>
        </w:rPr>
      </w:pPr>
      <w:r w:rsidRPr="00E336A2">
        <w:rPr>
          <w:rFonts w:eastAsia="Times New Roman" w:cs="Arial"/>
          <w:color w:val="000000"/>
        </w:rPr>
        <w:lastRenderedPageBreak/>
        <w:tab/>
        <w:t xml:space="preserve">Committee </w:t>
      </w:r>
      <w:r w:rsidR="00BC4AB4" w:rsidRPr="00E336A2">
        <w:rPr>
          <w:rFonts w:eastAsia="Times New Roman" w:cs="Arial"/>
          <w:color w:val="000000"/>
        </w:rPr>
        <w:t xml:space="preserve">reports </w:t>
      </w:r>
      <w:r w:rsidRPr="00E336A2">
        <w:rPr>
          <w:rFonts w:eastAsia="Times New Roman" w:cs="Arial"/>
          <w:color w:val="000000"/>
        </w:rPr>
        <w:t xml:space="preserve">and bill </w:t>
      </w:r>
      <w:r w:rsidR="00BC4AB4" w:rsidRPr="00E336A2">
        <w:rPr>
          <w:rFonts w:eastAsia="Times New Roman" w:cs="Arial"/>
          <w:color w:val="000000"/>
        </w:rPr>
        <w:t xml:space="preserve">analyses </w:t>
      </w:r>
      <w:r w:rsidRPr="00E336A2">
        <w:rPr>
          <w:rFonts w:eastAsia="Times New Roman" w:cs="Arial"/>
          <w:color w:val="000000"/>
        </w:rPr>
        <w:t>continued to describe the legislation as before</w:t>
      </w:r>
      <w:r w:rsidR="00880102" w:rsidRPr="00E336A2">
        <w:rPr>
          <w:rFonts w:eastAsia="Times New Roman" w:cs="Arial"/>
          <w:color w:val="000000"/>
        </w:rPr>
        <w:t>.</w:t>
      </w:r>
      <w:r w:rsidR="0017397C" w:rsidRPr="00E336A2">
        <w:rPr>
          <w:rFonts w:eastAsia="Times New Roman" w:cs="Arial"/>
          <w:color w:val="000000"/>
        </w:rPr>
        <w:t xml:space="preserve"> </w:t>
      </w:r>
      <w:r w:rsidR="000E25EB" w:rsidRPr="00E336A2">
        <w:rPr>
          <w:rFonts w:eastAsia="Times New Roman" w:cs="Arial"/>
          <w:color w:val="000000"/>
        </w:rPr>
        <w:t xml:space="preserve"> </w:t>
      </w:r>
      <w:r w:rsidR="0017397C" w:rsidRPr="00E336A2">
        <w:rPr>
          <w:rFonts w:eastAsia="Times New Roman" w:cs="Arial"/>
          <w:color w:val="000000"/>
        </w:rPr>
        <w:t>(</w:t>
      </w:r>
      <w:r w:rsidR="00880102" w:rsidRPr="00E336A2">
        <w:rPr>
          <w:rFonts w:eastAsia="Times New Roman" w:cs="Arial"/>
          <w:color w:val="000000"/>
        </w:rPr>
        <w:t>E</w:t>
      </w:r>
      <w:r w:rsidR="0017397C" w:rsidRPr="00E336A2">
        <w:rPr>
          <w:rFonts w:eastAsia="Times New Roman" w:cs="Arial"/>
          <w:color w:val="000000"/>
        </w:rPr>
        <w:t>.g., Sen. R</w:t>
      </w:r>
      <w:r w:rsidR="0011720D" w:rsidRPr="00E336A2">
        <w:rPr>
          <w:rFonts w:eastAsia="Times New Roman" w:cs="Arial"/>
          <w:color w:val="000000"/>
        </w:rPr>
        <w:t>ules</w:t>
      </w:r>
      <w:r w:rsidR="0017397C" w:rsidRPr="00E336A2">
        <w:rPr>
          <w:rFonts w:eastAsia="Times New Roman" w:cs="Arial"/>
          <w:color w:val="000000"/>
        </w:rPr>
        <w:t xml:space="preserve"> Com.</w:t>
      </w:r>
      <w:r w:rsidR="0011720D" w:rsidRPr="00E336A2">
        <w:rPr>
          <w:rFonts w:eastAsia="Times New Roman" w:cs="Arial"/>
          <w:color w:val="000000"/>
        </w:rPr>
        <w:t>,</w:t>
      </w:r>
      <w:r w:rsidR="0017397C" w:rsidRPr="00E336A2">
        <w:rPr>
          <w:rFonts w:eastAsia="Times New Roman" w:cs="Arial"/>
          <w:color w:val="000000"/>
        </w:rPr>
        <w:t xml:space="preserve"> </w:t>
      </w:r>
      <w:r w:rsidR="0011720D" w:rsidRPr="00E336A2">
        <w:rPr>
          <w:rFonts w:eastAsia="Times New Roman" w:cs="Arial"/>
          <w:color w:val="000000"/>
        </w:rPr>
        <w:t xml:space="preserve">Off. </w:t>
      </w:r>
      <w:r w:rsidR="00395442" w:rsidRPr="00E336A2">
        <w:rPr>
          <w:rFonts w:eastAsia="Times New Roman" w:cs="Arial"/>
          <w:color w:val="000000"/>
        </w:rPr>
        <w:t>o</w:t>
      </w:r>
      <w:r w:rsidR="0011720D" w:rsidRPr="00E336A2">
        <w:rPr>
          <w:rFonts w:eastAsia="Times New Roman" w:cs="Arial"/>
          <w:color w:val="000000"/>
        </w:rPr>
        <w:t xml:space="preserve">f Sen. </w:t>
      </w:r>
      <w:r w:rsidR="0017397C" w:rsidRPr="00E336A2">
        <w:rPr>
          <w:rFonts w:eastAsia="Times New Roman" w:cs="Arial"/>
          <w:color w:val="000000"/>
        </w:rPr>
        <w:t>Floor Analys</w:t>
      </w:r>
      <w:r w:rsidR="0011720D" w:rsidRPr="00E336A2">
        <w:rPr>
          <w:rFonts w:eastAsia="Times New Roman" w:cs="Arial"/>
          <w:color w:val="000000"/>
        </w:rPr>
        <w:t>e</w:t>
      </w:r>
      <w:r w:rsidR="0017397C" w:rsidRPr="00E336A2">
        <w:rPr>
          <w:rFonts w:eastAsia="Times New Roman" w:cs="Arial"/>
          <w:color w:val="000000"/>
        </w:rPr>
        <w:t>s</w:t>
      </w:r>
      <w:r w:rsidR="00395442" w:rsidRPr="00E336A2">
        <w:rPr>
          <w:rFonts w:eastAsia="Times New Roman" w:cs="Arial"/>
          <w:color w:val="000000"/>
        </w:rPr>
        <w:t>, 3d reading of Assem. Bill No. 499 (1997</w:t>
      </w:r>
      <w:r w:rsidR="00A74EFE" w:rsidRPr="00E336A2">
        <w:rPr>
          <w:rFonts w:eastAsia="Times New Roman" w:cs="Arial"/>
          <w:color w:val="000000"/>
        </w:rPr>
        <w:t>–</w:t>
      </w:r>
      <w:r w:rsidR="00395442" w:rsidRPr="00E336A2">
        <w:rPr>
          <w:rFonts w:eastAsia="Times New Roman" w:cs="Arial"/>
          <w:color w:val="000000"/>
        </w:rPr>
        <w:t>1998 Reg. Sess.)</w:t>
      </w:r>
      <w:r w:rsidR="0017397C" w:rsidRPr="00E336A2">
        <w:rPr>
          <w:rFonts w:eastAsia="Times New Roman" w:cs="Arial"/>
          <w:color w:val="000000"/>
        </w:rPr>
        <w:t xml:space="preserve"> as amend</w:t>
      </w:r>
      <w:r w:rsidR="00832787">
        <w:rPr>
          <w:rFonts w:eastAsia="Times New Roman" w:cs="Arial"/>
          <w:color w:val="000000"/>
        </w:rPr>
        <w:t>ed</w:t>
      </w:r>
      <w:r w:rsidR="0017397C" w:rsidRPr="00E336A2">
        <w:rPr>
          <w:rFonts w:eastAsia="Times New Roman" w:cs="Arial"/>
          <w:color w:val="000000"/>
        </w:rPr>
        <w:t xml:space="preserve"> </w:t>
      </w:r>
      <w:r w:rsidR="00395442" w:rsidRPr="00E336A2">
        <w:rPr>
          <w:rFonts w:eastAsia="Times New Roman" w:cs="Arial"/>
          <w:color w:val="000000"/>
        </w:rPr>
        <w:t xml:space="preserve">July </w:t>
      </w:r>
      <w:r w:rsidR="0017397C" w:rsidRPr="00E336A2">
        <w:rPr>
          <w:rFonts w:eastAsia="Times New Roman" w:cs="Arial"/>
          <w:color w:val="000000"/>
        </w:rPr>
        <w:t>22</w:t>
      </w:r>
      <w:r w:rsidR="00395442" w:rsidRPr="00E336A2">
        <w:rPr>
          <w:rFonts w:eastAsia="Times New Roman" w:cs="Arial"/>
          <w:color w:val="000000"/>
        </w:rPr>
        <w:t>, 19</w:t>
      </w:r>
      <w:r w:rsidR="0017397C" w:rsidRPr="00E336A2">
        <w:rPr>
          <w:rFonts w:eastAsia="Times New Roman" w:cs="Arial"/>
          <w:color w:val="000000"/>
        </w:rPr>
        <w:t>98, pp. 1-2; Conc</w:t>
      </w:r>
      <w:r w:rsidR="0011720D" w:rsidRPr="00E336A2">
        <w:rPr>
          <w:rFonts w:eastAsia="Times New Roman" w:cs="Arial"/>
          <w:color w:val="000000"/>
        </w:rPr>
        <w:t>.</w:t>
      </w:r>
      <w:r w:rsidR="0017397C" w:rsidRPr="00E336A2">
        <w:rPr>
          <w:rFonts w:eastAsia="Times New Roman" w:cs="Arial"/>
          <w:color w:val="000000"/>
        </w:rPr>
        <w:t xml:space="preserve"> in Senate Amendments</w:t>
      </w:r>
      <w:r w:rsidR="0011720D" w:rsidRPr="00E336A2">
        <w:rPr>
          <w:rFonts w:eastAsia="Times New Roman" w:cs="Arial"/>
          <w:color w:val="000000"/>
        </w:rPr>
        <w:t xml:space="preserve"> Assem. Bill No. 499 (1997</w:t>
      </w:r>
      <w:r w:rsidR="00832787" w:rsidRPr="00E336A2">
        <w:rPr>
          <w:rFonts w:eastAsia="Times New Roman" w:cs="Arial"/>
          <w:color w:val="000000"/>
        </w:rPr>
        <w:t>–</w:t>
      </w:r>
      <w:r w:rsidR="0011720D" w:rsidRPr="00E336A2">
        <w:rPr>
          <w:rFonts w:eastAsia="Times New Roman" w:cs="Arial"/>
          <w:color w:val="000000"/>
        </w:rPr>
        <w:t>1998 Reg. Sess.)</w:t>
      </w:r>
      <w:r w:rsidR="0017397C" w:rsidRPr="00E336A2">
        <w:rPr>
          <w:rFonts w:eastAsia="Times New Roman" w:cs="Arial"/>
          <w:color w:val="000000"/>
        </w:rPr>
        <w:t xml:space="preserve"> as amend</w:t>
      </w:r>
      <w:r w:rsidR="00832787">
        <w:rPr>
          <w:rFonts w:eastAsia="Times New Roman" w:cs="Arial"/>
          <w:color w:val="000000"/>
        </w:rPr>
        <w:t>ed</w:t>
      </w:r>
      <w:r w:rsidR="0017397C" w:rsidRPr="00E336A2">
        <w:rPr>
          <w:rFonts w:eastAsia="Times New Roman" w:cs="Arial"/>
          <w:color w:val="000000"/>
        </w:rPr>
        <w:t xml:space="preserve"> </w:t>
      </w:r>
      <w:r w:rsidR="0011720D" w:rsidRPr="00E336A2">
        <w:rPr>
          <w:rFonts w:eastAsia="Times New Roman" w:cs="Arial"/>
          <w:color w:val="000000"/>
        </w:rPr>
        <w:t>July 22, 19</w:t>
      </w:r>
      <w:r w:rsidR="0017397C" w:rsidRPr="00E336A2">
        <w:rPr>
          <w:rFonts w:eastAsia="Times New Roman" w:cs="Arial"/>
          <w:color w:val="000000"/>
        </w:rPr>
        <w:t>98, p. 2</w:t>
      </w:r>
      <w:r w:rsidR="00880102" w:rsidRPr="00E336A2">
        <w:rPr>
          <w:rFonts w:eastAsia="Times New Roman" w:cs="Arial"/>
          <w:color w:val="000000"/>
        </w:rPr>
        <w:t>.</w:t>
      </w:r>
      <w:r w:rsidR="0017397C" w:rsidRPr="00E336A2">
        <w:rPr>
          <w:rFonts w:eastAsia="Times New Roman" w:cs="Arial"/>
          <w:color w:val="000000"/>
        </w:rPr>
        <w:t>)</w:t>
      </w:r>
      <w:r w:rsidR="00880102" w:rsidRPr="00E336A2">
        <w:rPr>
          <w:rFonts w:eastAsia="Times New Roman" w:cs="Arial"/>
          <w:color w:val="000000"/>
        </w:rPr>
        <w:t xml:space="preserve">  </w:t>
      </w:r>
    </w:p>
    <w:p w14:paraId="24C37FEA" w14:textId="77777777" w:rsidR="00D9012F" w:rsidRPr="00E336A2" w:rsidRDefault="003638B7" w:rsidP="00590BCC">
      <w:pPr>
        <w:spacing w:line="360" w:lineRule="auto"/>
        <w:rPr>
          <w:rFonts w:eastAsia="Times New Roman" w:cs="Arial"/>
          <w:color w:val="000000"/>
        </w:rPr>
      </w:pPr>
      <w:r w:rsidRPr="00E336A2">
        <w:rPr>
          <w:rFonts w:eastAsia="Times New Roman" w:cs="Arial"/>
          <w:color w:val="000000"/>
        </w:rPr>
        <w:tab/>
      </w:r>
      <w:r w:rsidR="00880102" w:rsidRPr="00E336A2">
        <w:rPr>
          <w:rFonts w:eastAsia="Times New Roman" w:cs="Arial"/>
          <w:color w:val="000000"/>
        </w:rPr>
        <w:t xml:space="preserve">The </w:t>
      </w:r>
      <w:r w:rsidR="00961B6C" w:rsidRPr="00E336A2">
        <w:rPr>
          <w:rFonts w:eastAsia="Times New Roman" w:cs="Arial"/>
          <w:color w:val="000000"/>
        </w:rPr>
        <w:t>author’s transmittal letter asking for the Governor’s signature</w:t>
      </w:r>
      <w:r w:rsidR="00880102" w:rsidRPr="00E336A2">
        <w:rPr>
          <w:rFonts w:eastAsia="Times New Roman" w:cs="Arial"/>
          <w:color w:val="000000"/>
        </w:rPr>
        <w:t xml:space="preserve">, </w:t>
      </w:r>
      <w:r w:rsidR="00DE7C67" w:rsidRPr="00E336A2">
        <w:rPr>
          <w:rFonts w:eastAsia="Times New Roman" w:cs="Arial"/>
          <w:color w:val="000000"/>
        </w:rPr>
        <w:t xml:space="preserve">similarly, </w:t>
      </w:r>
      <w:r w:rsidR="00961B6C" w:rsidRPr="00E336A2">
        <w:rPr>
          <w:rFonts w:eastAsia="Times New Roman" w:cs="Arial"/>
          <w:color w:val="000000"/>
        </w:rPr>
        <w:t>emphasized the following:</w:t>
      </w:r>
      <w:r w:rsidR="000E25EB" w:rsidRPr="00E336A2">
        <w:rPr>
          <w:rFonts w:eastAsia="Times New Roman" w:cs="Arial"/>
          <w:color w:val="000000"/>
        </w:rPr>
        <w:t xml:space="preserve"> </w:t>
      </w:r>
      <w:r w:rsidR="00A74EFE">
        <w:rPr>
          <w:rFonts w:eastAsia="Times New Roman" w:cs="Arial"/>
          <w:color w:val="000000"/>
        </w:rPr>
        <w:t xml:space="preserve"> </w:t>
      </w:r>
      <w:r w:rsidR="00BC4AB4" w:rsidRPr="00E336A2">
        <w:rPr>
          <w:rFonts w:eastAsia="Times New Roman" w:cs="Arial"/>
          <w:color w:val="000000"/>
        </w:rPr>
        <w:t xml:space="preserve">“[T]he bill consolidates and standardizes the non-discrimination language in the Education Code for easy reference and identification.  The scattered, inconsistent language in the Education Code makes it hard for even the most </w:t>
      </w:r>
      <w:proofErr w:type="gramStart"/>
      <w:r w:rsidR="00BC4AB4" w:rsidRPr="00E336A2">
        <w:rPr>
          <w:rFonts w:eastAsia="Times New Roman" w:cs="Arial"/>
          <w:color w:val="000000"/>
        </w:rPr>
        <w:t>well intentioned</w:t>
      </w:r>
      <w:proofErr w:type="gramEnd"/>
      <w:r w:rsidR="00BC4AB4" w:rsidRPr="00E336A2">
        <w:rPr>
          <w:rFonts w:eastAsia="Times New Roman" w:cs="Arial"/>
          <w:color w:val="000000"/>
        </w:rPr>
        <w:t xml:space="preserve"> educators to be sure they are always in compliance with the law.”  (Assem</w:t>
      </w:r>
      <w:r w:rsidR="00A74EFE">
        <w:rPr>
          <w:rFonts w:eastAsia="Times New Roman" w:cs="Arial"/>
          <w:color w:val="000000"/>
        </w:rPr>
        <w:t>bly</w:t>
      </w:r>
      <w:r w:rsidR="00DE2BC9" w:rsidRPr="00E336A2">
        <w:rPr>
          <w:rFonts w:eastAsia="Times New Roman" w:cs="Arial"/>
          <w:color w:val="000000"/>
        </w:rPr>
        <w:t xml:space="preserve"> </w:t>
      </w:r>
      <w:r w:rsidR="00BC4AB4" w:rsidRPr="00E336A2">
        <w:rPr>
          <w:rFonts w:eastAsia="Times New Roman" w:cs="Arial"/>
          <w:color w:val="000000"/>
        </w:rPr>
        <w:t xml:space="preserve">member Sheila Kuehl, letter to then-Governor Pete Wilson, </w:t>
      </w:r>
      <w:r w:rsidR="00EC5E31" w:rsidRPr="00E336A2">
        <w:rPr>
          <w:rFonts w:eastAsia="Times New Roman" w:cs="Arial"/>
          <w:color w:val="000000"/>
        </w:rPr>
        <w:t xml:space="preserve">requesting his signature on </w:t>
      </w:r>
      <w:r w:rsidR="00BC4AB4" w:rsidRPr="00E336A2">
        <w:rPr>
          <w:rFonts w:eastAsia="Times New Roman" w:cs="Arial"/>
          <w:color w:val="000000"/>
        </w:rPr>
        <w:t>Assem. Bill No. 499 (1997–1998 Reg. Sess</w:t>
      </w:r>
      <w:r w:rsidR="0011720D" w:rsidRPr="00E336A2">
        <w:rPr>
          <w:rFonts w:eastAsia="Times New Roman" w:cs="Arial"/>
          <w:color w:val="000000"/>
        </w:rPr>
        <w:t>.</w:t>
      </w:r>
      <w:r w:rsidR="00BC4AB4" w:rsidRPr="00E336A2">
        <w:rPr>
          <w:rFonts w:eastAsia="Times New Roman" w:cs="Arial"/>
          <w:color w:val="000000"/>
        </w:rPr>
        <w:t>) Sept. 2, 1998</w:t>
      </w:r>
      <w:r w:rsidR="00E82583" w:rsidRPr="00E336A2">
        <w:rPr>
          <w:rFonts w:eastAsia="Times New Roman" w:cs="Arial"/>
          <w:color w:val="000000"/>
        </w:rPr>
        <w:t>, p. 1</w:t>
      </w:r>
      <w:r w:rsidR="00BC4AB4" w:rsidRPr="00E336A2">
        <w:rPr>
          <w:rFonts w:eastAsia="Times New Roman" w:cs="Arial"/>
          <w:color w:val="000000"/>
        </w:rPr>
        <w:t>.)  “</w:t>
      </w:r>
      <w:r w:rsidR="00BC4AB4" w:rsidRPr="00E336A2">
        <w:rPr>
          <w:rFonts w:eastAsia="Times New Roman" w:cs="Arial"/>
          <w:i/>
          <w:iCs/>
          <w:color w:val="000000"/>
        </w:rPr>
        <w:t>The bill does not redefine or expand existing non-discrimination statutes</w:t>
      </w:r>
      <w:r w:rsidR="00BC4AB4" w:rsidRPr="00E336A2">
        <w:rPr>
          <w:rFonts w:eastAsia="Times New Roman" w:cs="Arial"/>
          <w:color w:val="000000"/>
        </w:rPr>
        <w:t xml:space="preserve">.” </w:t>
      </w:r>
      <w:r w:rsidR="00BC4AB4" w:rsidRPr="00E336A2">
        <w:rPr>
          <w:rFonts w:eastAsia="Times New Roman" w:cs="Arial"/>
          <w:i/>
          <w:color w:val="000000"/>
        </w:rPr>
        <w:t xml:space="preserve"> </w:t>
      </w:r>
      <w:r w:rsidR="00BC4AB4" w:rsidRPr="00E336A2">
        <w:rPr>
          <w:rFonts w:eastAsia="Times New Roman" w:cs="Arial"/>
          <w:color w:val="000000"/>
        </w:rPr>
        <w:t>(</w:t>
      </w:r>
      <w:r w:rsidR="00BC4AB4" w:rsidRPr="00E336A2">
        <w:rPr>
          <w:rFonts w:eastAsia="Times New Roman" w:cs="Arial"/>
          <w:i/>
          <w:color w:val="000000"/>
        </w:rPr>
        <w:t>Ibid</w:t>
      </w:r>
      <w:r w:rsidR="00BC4AB4" w:rsidRPr="00E336A2">
        <w:rPr>
          <w:rFonts w:eastAsia="Times New Roman" w:cs="Arial"/>
          <w:color w:val="000000"/>
        </w:rPr>
        <w:t>.)</w:t>
      </w:r>
      <w:r w:rsidR="00961B6C" w:rsidRPr="00E336A2">
        <w:rPr>
          <w:rFonts w:eastAsia="Times New Roman" w:cs="Arial"/>
          <w:color w:val="000000"/>
        </w:rPr>
        <w:t xml:space="preserve"> </w:t>
      </w:r>
      <w:r w:rsidR="00D9012F" w:rsidRPr="00E336A2">
        <w:rPr>
          <w:rFonts w:eastAsia="Times New Roman" w:cs="Arial"/>
          <w:color w:val="000000"/>
        </w:rPr>
        <w:t xml:space="preserve"> </w:t>
      </w:r>
      <w:r w:rsidR="007F45E5" w:rsidRPr="00E336A2">
        <w:rPr>
          <w:rFonts w:eastAsia="Times New Roman" w:cs="Arial"/>
          <w:color w:val="000000"/>
        </w:rPr>
        <w:t>And t</w:t>
      </w:r>
      <w:r w:rsidR="00961B6C" w:rsidRPr="00E336A2">
        <w:rPr>
          <w:rFonts w:eastAsia="Times New Roman" w:cs="Arial"/>
          <w:color w:val="000000"/>
        </w:rPr>
        <w:t>o “solve [the] problem” created by delays in reviewing administrative claims and statute of limitations, “without putting schools at risk of immediate litigation or preventing students from pursuing a timely remedy, AB 499 requires a cooling off period, where K-12 students are required to go through four and a half months of administrative grievance processes prior to</w:t>
      </w:r>
      <w:r w:rsidR="00E82583" w:rsidRPr="00E336A2">
        <w:rPr>
          <w:rFonts w:eastAsia="Times New Roman" w:cs="Arial"/>
          <w:color w:val="000000"/>
        </w:rPr>
        <w:t xml:space="preserve"> the</w:t>
      </w:r>
      <w:r w:rsidR="00961B6C" w:rsidRPr="00E336A2">
        <w:rPr>
          <w:rFonts w:eastAsia="Times New Roman" w:cs="Arial"/>
          <w:color w:val="000000"/>
        </w:rPr>
        <w:t xml:space="preserve"> pursuit of civil remedies other than injunctive relief.”  (</w:t>
      </w:r>
      <w:r w:rsidR="00961B6C" w:rsidRPr="00E336A2">
        <w:rPr>
          <w:rFonts w:eastAsia="Times New Roman" w:cs="Arial"/>
          <w:i/>
          <w:iCs/>
          <w:color w:val="000000"/>
        </w:rPr>
        <w:t>Ibid.</w:t>
      </w:r>
      <w:r w:rsidR="00961B6C" w:rsidRPr="00E336A2">
        <w:rPr>
          <w:rFonts w:eastAsia="Times New Roman" w:cs="Arial"/>
          <w:color w:val="000000"/>
        </w:rPr>
        <w:t>)</w:t>
      </w:r>
      <w:r w:rsidR="00D9012F" w:rsidRPr="00E336A2">
        <w:rPr>
          <w:rFonts w:eastAsia="Times New Roman" w:cs="Arial"/>
          <w:color w:val="000000"/>
        </w:rPr>
        <w:t xml:space="preserve">  </w:t>
      </w:r>
      <w:r w:rsidR="00880102" w:rsidRPr="00E336A2">
        <w:rPr>
          <w:rFonts w:eastAsia="Times New Roman" w:cs="Arial"/>
          <w:color w:val="000000"/>
        </w:rPr>
        <w:t xml:space="preserve">Accordingly, </w:t>
      </w:r>
      <w:r w:rsidR="00D9012F" w:rsidRPr="00E336A2">
        <w:rPr>
          <w:rFonts w:eastAsia="Times New Roman" w:cs="Arial"/>
          <w:color w:val="000000"/>
        </w:rPr>
        <w:t xml:space="preserve">“AB 499 would help </w:t>
      </w:r>
      <w:r w:rsidR="00E82583" w:rsidRPr="00E336A2">
        <w:rPr>
          <w:rFonts w:eastAsia="Times New Roman" w:cs="Arial"/>
          <w:color w:val="000000"/>
        </w:rPr>
        <w:t xml:space="preserve">to </w:t>
      </w:r>
      <w:r w:rsidR="00D9012F" w:rsidRPr="00E336A2">
        <w:rPr>
          <w:rFonts w:eastAsia="Times New Roman" w:cs="Arial"/>
          <w:color w:val="000000"/>
        </w:rPr>
        <w:t>contain the costs of litigation, while enhancing equal opportunity for California’s students.”  (</w:t>
      </w:r>
      <w:r w:rsidR="00D9012F" w:rsidRPr="00E336A2">
        <w:rPr>
          <w:rFonts w:eastAsia="Times New Roman" w:cs="Arial"/>
          <w:i/>
          <w:iCs/>
          <w:color w:val="000000"/>
        </w:rPr>
        <w:t>Ibid.</w:t>
      </w:r>
      <w:r w:rsidR="00D9012F" w:rsidRPr="00E336A2">
        <w:rPr>
          <w:rFonts w:eastAsia="Times New Roman" w:cs="Arial"/>
          <w:color w:val="000000"/>
        </w:rPr>
        <w:t>)</w:t>
      </w:r>
    </w:p>
    <w:p w14:paraId="7B0F0CDF" w14:textId="77777777" w:rsidR="00590BCC" w:rsidRPr="00E336A2" w:rsidRDefault="00D9012F" w:rsidP="00590BCC">
      <w:pPr>
        <w:spacing w:line="360" w:lineRule="auto"/>
        <w:rPr>
          <w:rFonts w:eastAsia="Times New Roman" w:cs="Arial"/>
          <w:color w:val="000000"/>
        </w:rPr>
      </w:pPr>
      <w:r w:rsidRPr="00E336A2">
        <w:rPr>
          <w:rFonts w:eastAsia="Times New Roman" w:cs="Arial"/>
          <w:color w:val="000000"/>
        </w:rPr>
        <w:tab/>
      </w:r>
      <w:r w:rsidR="005D5C40">
        <w:rPr>
          <w:rFonts w:eastAsia="Times New Roman" w:cs="Arial"/>
          <w:color w:val="000000"/>
        </w:rPr>
        <w:t>Accordingly</w:t>
      </w:r>
      <w:r w:rsidR="004369B4" w:rsidRPr="00E336A2">
        <w:rPr>
          <w:rFonts w:eastAsia="Times New Roman" w:cs="Arial"/>
          <w:color w:val="000000"/>
        </w:rPr>
        <w:t xml:space="preserve">, </w:t>
      </w:r>
      <w:r w:rsidR="0017397C" w:rsidRPr="00E336A2">
        <w:rPr>
          <w:rFonts w:eastAsia="Times New Roman" w:cs="Arial"/>
          <w:color w:val="000000"/>
        </w:rPr>
        <w:t>th</w:t>
      </w:r>
      <w:r w:rsidRPr="00E336A2">
        <w:rPr>
          <w:rFonts w:eastAsia="Times New Roman" w:cs="Arial"/>
          <w:color w:val="000000"/>
        </w:rPr>
        <w:t xml:space="preserve">e 1998 </w:t>
      </w:r>
      <w:r w:rsidR="00FA5F25" w:rsidRPr="00E336A2">
        <w:rPr>
          <w:rFonts w:eastAsia="Times New Roman" w:cs="Arial"/>
          <w:color w:val="000000"/>
        </w:rPr>
        <w:t xml:space="preserve">amendments </w:t>
      </w:r>
      <w:r w:rsidRPr="00E336A2">
        <w:rPr>
          <w:rFonts w:eastAsia="Times New Roman" w:cs="Arial"/>
          <w:color w:val="000000"/>
        </w:rPr>
        <w:t xml:space="preserve">to Education Code sections 200 et seq. </w:t>
      </w:r>
      <w:r w:rsidR="00FA5F25" w:rsidRPr="00E336A2">
        <w:rPr>
          <w:rFonts w:eastAsia="Times New Roman" w:cs="Arial"/>
          <w:color w:val="000000"/>
        </w:rPr>
        <w:t>d</w:t>
      </w:r>
      <w:r w:rsidR="0017397C" w:rsidRPr="00E336A2">
        <w:rPr>
          <w:rFonts w:eastAsia="Times New Roman" w:cs="Arial"/>
          <w:color w:val="000000"/>
        </w:rPr>
        <w:t>id</w:t>
      </w:r>
      <w:r w:rsidR="00FA5F25" w:rsidRPr="00E336A2">
        <w:rPr>
          <w:rFonts w:eastAsia="Times New Roman" w:cs="Arial"/>
          <w:color w:val="000000"/>
        </w:rPr>
        <w:t xml:space="preserve"> not purport to say anything about the substantive reach of the Unruh Act.</w:t>
      </w:r>
      <w:r w:rsidR="00880102" w:rsidRPr="00E336A2">
        <w:rPr>
          <w:rFonts w:eastAsia="Times New Roman" w:cs="Arial"/>
          <w:color w:val="000000"/>
        </w:rPr>
        <w:t xml:space="preserve">  And t</w:t>
      </w:r>
      <w:r w:rsidR="00FA5F25" w:rsidRPr="00E336A2">
        <w:rPr>
          <w:rFonts w:eastAsia="Times New Roman" w:cs="Arial"/>
          <w:color w:val="000000"/>
        </w:rPr>
        <w:t xml:space="preserve">he amended language of </w:t>
      </w:r>
      <w:r w:rsidR="00E82583" w:rsidRPr="00E336A2">
        <w:rPr>
          <w:rFonts w:eastAsia="Times New Roman" w:cs="Arial"/>
          <w:color w:val="000000"/>
        </w:rPr>
        <w:t xml:space="preserve">Education Code section 201, </w:t>
      </w:r>
      <w:r w:rsidR="00FA5F25" w:rsidRPr="00E336A2">
        <w:rPr>
          <w:rFonts w:eastAsia="Times New Roman" w:cs="Arial"/>
          <w:color w:val="000000"/>
        </w:rPr>
        <w:t>subdivision (g)</w:t>
      </w:r>
      <w:r w:rsidR="00FC26A5" w:rsidRPr="00E336A2">
        <w:rPr>
          <w:rFonts w:eastAsia="Times New Roman" w:cs="Arial"/>
          <w:color w:val="000000"/>
        </w:rPr>
        <w:t>, specifically,</w:t>
      </w:r>
      <w:r w:rsidR="004369B4" w:rsidRPr="00E336A2">
        <w:rPr>
          <w:rFonts w:eastAsia="Times New Roman" w:cs="Arial"/>
          <w:color w:val="000000"/>
        </w:rPr>
        <w:t xml:space="preserve"> </w:t>
      </w:r>
      <w:r w:rsidR="00FA5F25" w:rsidRPr="00E336A2">
        <w:rPr>
          <w:rFonts w:eastAsia="Times New Roman" w:cs="Arial"/>
          <w:color w:val="000000"/>
        </w:rPr>
        <w:t xml:space="preserve">does </w:t>
      </w:r>
      <w:r w:rsidR="00FA5F25" w:rsidRPr="00E336A2">
        <w:rPr>
          <w:rFonts w:eastAsia="Times New Roman" w:cs="Arial"/>
          <w:iCs/>
          <w:color w:val="000000"/>
        </w:rPr>
        <w:t xml:space="preserve">not </w:t>
      </w:r>
      <w:r w:rsidR="00FA5F25" w:rsidRPr="00E336A2">
        <w:rPr>
          <w:rFonts w:eastAsia="Times New Roman" w:cs="Arial"/>
          <w:color w:val="000000"/>
        </w:rPr>
        <w:t xml:space="preserve">say public school districts are business establishments under the Unruh Act.  </w:t>
      </w:r>
      <w:r w:rsidRPr="00E336A2">
        <w:rPr>
          <w:rFonts w:eastAsia="Times New Roman" w:cs="Arial"/>
          <w:color w:val="000000"/>
        </w:rPr>
        <w:t>Rather, i</w:t>
      </w:r>
      <w:r w:rsidR="00FA5F25" w:rsidRPr="00E336A2">
        <w:rPr>
          <w:rFonts w:eastAsia="Times New Roman" w:cs="Arial"/>
          <w:color w:val="000000"/>
        </w:rPr>
        <w:t xml:space="preserve">t states the </w:t>
      </w:r>
      <w:r w:rsidR="00FA5F25" w:rsidRPr="00E336A2">
        <w:rPr>
          <w:rFonts w:eastAsia="Times New Roman" w:cs="Arial"/>
          <w:i/>
          <w:color w:val="000000"/>
        </w:rPr>
        <w:t xml:space="preserve">Education Code </w:t>
      </w:r>
      <w:r w:rsidR="00FA5F25" w:rsidRPr="00E336A2">
        <w:rPr>
          <w:rFonts w:eastAsia="Times New Roman" w:cs="Arial"/>
          <w:color w:val="000000"/>
        </w:rPr>
        <w:lastRenderedPageBreak/>
        <w:t>anti-discrimination statutes are to be applied “as consistent with” a number of anti-discrimination laws, including the Unruh Act, “except where” the Education Code anti-discrimination statutes “may grant more protections or impose additional obligations. . . .”</w:t>
      </w:r>
      <w:r w:rsidR="00E82583" w:rsidRPr="00E336A2">
        <w:rPr>
          <w:rFonts w:eastAsia="Times New Roman" w:cs="Arial"/>
          <w:color w:val="000000"/>
        </w:rPr>
        <w:t xml:space="preserve">  (Ed. Code,</w:t>
      </w:r>
      <w:r w:rsidR="00E82583" w:rsidRPr="00E336A2">
        <w:t xml:space="preserve"> § 201, </w:t>
      </w:r>
      <w:proofErr w:type="spellStart"/>
      <w:r w:rsidR="00E82583" w:rsidRPr="00E336A2">
        <w:t>subd</w:t>
      </w:r>
      <w:proofErr w:type="spellEnd"/>
      <w:r w:rsidR="00E82583" w:rsidRPr="00E336A2">
        <w:t>. (g).)</w:t>
      </w:r>
      <w:r w:rsidR="00E82583" w:rsidRPr="00E336A2">
        <w:rPr>
          <w:rFonts w:eastAsia="Times New Roman" w:cs="Arial"/>
          <w:color w:val="000000"/>
        </w:rPr>
        <w:t xml:space="preserve"> </w:t>
      </w:r>
      <w:r w:rsidR="00FA5F25" w:rsidRPr="00E336A2">
        <w:rPr>
          <w:rFonts w:eastAsia="Times New Roman" w:cs="Arial"/>
          <w:color w:val="000000"/>
        </w:rPr>
        <w:t xml:space="preserve"> </w:t>
      </w:r>
      <w:r w:rsidR="005D5C40">
        <w:rPr>
          <w:rFonts w:eastAsia="Times New Roman" w:cs="Arial"/>
          <w:color w:val="000000"/>
        </w:rPr>
        <w:t>Moreover</w:t>
      </w:r>
      <w:r w:rsidR="00B86E8F" w:rsidRPr="00E336A2">
        <w:rPr>
          <w:rFonts w:eastAsia="Times New Roman" w:cs="Arial"/>
          <w:color w:val="000000"/>
        </w:rPr>
        <w:t xml:space="preserve">, </w:t>
      </w:r>
      <w:r w:rsidR="00FA5F25" w:rsidRPr="00E336A2">
        <w:rPr>
          <w:rFonts w:eastAsia="Times New Roman" w:cs="Arial"/>
          <w:color w:val="000000"/>
        </w:rPr>
        <w:t xml:space="preserve">the plain language of </w:t>
      </w:r>
      <w:r w:rsidR="00E82583" w:rsidRPr="00E336A2">
        <w:rPr>
          <w:rFonts w:eastAsia="Times New Roman" w:cs="Arial"/>
          <w:color w:val="000000"/>
        </w:rPr>
        <w:t xml:space="preserve">Education Code section 201, </w:t>
      </w:r>
      <w:r w:rsidR="00FA5F25" w:rsidRPr="00E336A2">
        <w:rPr>
          <w:rFonts w:eastAsia="Times New Roman" w:cs="Arial"/>
          <w:color w:val="000000"/>
        </w:rPr>
        <w:t>subdivision (g) recognizes that the listed statutes, including the Unruh Act, may be more limited in some respects than the Education Code anti-discrimination statutes.</w:t>
      </w:r>
      <w:r w:rsidR="005D5C40">
        <w:rPr>
          <w:rStyle w:val="FootnoteReference"/>
          <w:rFonts w:eastAsia="Times New Roman" w:cs="Arial"/>
          <w:color w:val="000000"/>
        </w:rPr>
        <w:footnoteReference w:id="10"/>
      </w:r>
    </w:p>
    <w:p w14:paraId="0B6DB130" w14:textId="77777777" w:rsidR="002E2D76" w:rsidRPr="00E336A2" w:rsidRDefault="00FA5F25" w:rsidP="009D1D28">
      <w:pPr>
        <w:spacing w:line="360" w:lineRule="auto"/>
        <w:rPr>
          <w:rFonts w:eastAsia="Times New Roman" w:cs="Arial"/>
          <w:color w:val="000000"/>
        </w:rPr>
      </w:pPr>
      <w:r w:rsidRPr="00E336A2">
        <w:rPr>
          <w:rFonts w:eastAsia="Times New Roman" w:cs="Arial"/>
          <w:color w:val="000000"/>
        </w:rPr>
        <w:tab/>
      </w:r>
      <w:r w:rsidR="00F76DDC" w:rsidRPr="00E336A2">
        <w:rPr>
          <w:rFonts w:eastAsia="Times New Roman" w:cs="Arial"/>
          <w:color w:val="000000"/>
        </w:rPr>
        <w:t xml:space="preserve">We </w:t>
      </w:r>
      <w:r w:rsidR="00DE7C67" w:rsidRPr="00E336A2">
        <w:rPr>
          <w:rFonts w:eastAsia="Times New Roman" w:cs="Arial"/>
          <w:color w:val="000000"/>
        </w:rPr>
        <w:t xml:space="preserve">also </w:t>
      </w:r>
      <w:r w:rsidR="00F76DDC" w:rsidRPr="00E336A2">
        <w:rPr>
          <w:rFonts w:eastAsia="Times New Roman" w:cs="Arial"/>
          <w:color w:val="000000"/>
        </w:rPr>
        <w:t>note t</w:t>
      </w:r>
      <w:r w:rsidRPr="00E336A2">
        <w:rPr>
          <w:rFonts w:eastAsia="Times New Roman" w:cs="Arial"/>
          <w:color w:val="000000"/>
        </w:rPr>
        <w:t>he Education Code</w:t>
      </w:r>
      <w:r w:rsidR="00880102" w:rsidRPr="00E336A2">
        <w:rPr>
          <w:rFonts w:eastAsia="Times New Roman" w:cs="Arial"/>
          <w:color w:val="000000"/>
        </w:rPr>
        <w:t xml:space="preserve">’s extensive </w:t>
      </w:r>
      <w:r w:rsidRPr="00E336A2">
        <w:rPr>
          <w:rFonts w:eastAsia="Times New Roman" w:cs="Arial"/>
          <w:color w:val="000000"/>
        </w:rPr>
        <w:t>anti-discrimination statut</w:t>
      </w:r>
      <w:r w:rsidR="00880102" w:rsidRPr="00E336A2">
        <w:rPr>
          <w:rFonts w:eastAsia="Times New Roman" w:cs="Arial"/>
          <w:color w:val="000000"/>
        </w:rPr>
        <w:t xml:space="preserve">ory scheme </w:t>
      </w:r>
      <w:r w:rsidR="002707DD" w:rsidRPr="00E336A2">
        <w:rPr>
          <w:rFonts w:eastAsia="Times New Roman" w:cs="Arial"/>
          <w:color w:val="000000"/>
        </w:rPr>
        <w:t>p</w:t>
      </w:r>
      <w:r w:rsidRPr="00E336A2">
        <w:rPr>
          <w:rFonts w:eastAsia="Times New Roman" w:cs="Arial"/>
          <w:color w:val="000000"/>
        </w:rPr>
        <w:t>rohibit</w:t>
      </w:r>
      <w:r w:rsidR="00880102" w:rsidRPr="00E336A2">
        <w:rPr>
          <w:rFonts w:eastAsia="Times New Roman" w:cs="Arial"/>
          <w:color w:val="000000"/>
        </w:rPr>
        <w:t>s</w:t>
      </w:r>
      <w:r w:rsidRPr="00E336A2">
        <w:rPr>
          <w:rFonts w:eastAsia="Times New Roman" w:cs="Arial"/>
          <w:color w:val="000000"/>
        </w:rPr>
        <w:t xml:space="preserve"> the same kinds of discrimination as </w:t>
      </w:r>
      <w:r w:rsidR="006A2B61" w:rsidRPr="00E336A2">
        <w:rPr>
          <w:rFonts w:eastAsia="Times New Roman" w:cs="Arial"/>
          <w:color w:val="000000"/>
        </w:rPr>
        <w:t xml:space="preserve">does </w:t>
      </w:r>
      <w:r w:rsidRPr="00E336A2">
        <w:rPr>
          <w:rFonts w:eastAsia="Times New Roman" w:cs="Arial"/>
          <w:color w:val="000000"/>
        </w:rPr>
        <w:t>the Unruh Act</w:t>
      </w:r>
      <w:r w:rsidR="00D9012F" w:rsidRPr="00E336A2">
        <w:rPr>
          <w:rFonts w:eastAsia="Times New Roman" w:cs="Arial"/>
          <w:color w:val="000000"/>
        </w:rPr>
        <w:t>.</w:t>
      </w:r>
      <w:r w:rsidR="00570AD7" w:rsidRPr="00E336A2">
        <w:rPr>
          <w:rFonts w:eastAsia="Times New Roman" w:cs="Arial"/>
          <w:color w:val="000000"/>
        </w:rPr>
        <w:t xml:space="preserve"> </w:t>
      </w:r>
      <w:r w:rsidR="00B86E8F" w:rsidRPr="00E336A2">
        <w:rPr>
          <w:rFonts w:eastAsia="Times New Roman" w:cs="Arial"/>
          <w:color w:val="000000"/>
        </w:rPr>
        <w:t xml:space="preserve"> </w:t>
      </w:r>
      <w:r w:rsidR="009D1D28" w:rsidRPr="00E336A2">
        <w:rPr>
          <w:rFonts w:eastAsia="Times New Roman" w:cs="Arial"/>
          <w:color w:val="000000"/>
        </w:rPr>
        <w:t>In fact, t</w:t>
      </w:r>
      <w:r w:rsidR="00570AD7" w:rsidRPr="00E336A2">
        <w:rPr>
          <w:rFonts w:eastAsia="Times New Roman" w:cs="Arial"/>
          <w:color w:val="000000"/>
        </w:rPr>
        <w:t xml:space="preserve">he Education Code </w:t>
      </w:r>
      <w:r w:rsidR="0096293B" w:rsidRPr="00E336A2">
        <w:rPr>
          <w:rFonts w:eastAsia="Times New Roman" w:cs="Arial"/>
          <w:color w:val="000000"/>
        </w:rPr>
        <w:t xml:space="preserve">statutes </w:t>
      </w:r>
      <w:r w:rsidR="003B2FD1" w:rsidRPr="00E336A2">
        <w:rPr>
          <w:rFonts w:eastAsia="Times New Roman" w:cs="Arial"/>
          <w:color w:val="000000"/>
        </w:rPr>
        <w:t xml:space="preserve">are </w:t>
      </w:r>
      <w:r w:rsidR="000F41B2" w:rsidRPr="00E336A2">
        <w:rPr>
          <w:rFonts w:eastAsia="Times New Roman" w:cs="Arial"/>
          <w:color w:val="000000"/>
        </w:rPr>
        <w:t xml:space="preserve">somewhat </w:t>
      </w:r>
      <w:r w:rsidR="009D1D28" w:rsidRPr="00E336A2">
        <w:rPr>
          <w:rFonts w:eastAsia="Times New Roman" w:cs="Arial"/>
          <w:color w:val="000000"/>
        </w:rPr>
        <w:t xml:space="preserve">more </w:t>
      </w:r>
      <w:r w:rsidR="003B2FD1" w:rsidRPr="00E336A2">
        <w:rPr>
          <w:rFonts w:eastAsia="Times New Roman" w:cs="Arial"/>
          <w:color w:val="000000"/>
        </w:rPr>
        <w:t xml:space="preserve">generous than the Unruh Act in that they do not require a plaintiff to prove </w:t>
      </w:r>
      <w:r w:rsidR="00CD3435" w:rsidRPr="00E336A2">
        <w:rPr>
          <w:rFonts w:eastAsia="Times New Roman" w:cs="Arial"/>
          <w:color w:val="000000"/>
        </w:rPr>
        <w:t>“</w:t>
      </w:r>
      <w:r w:rsidR="003B2FD1" w:rsidRPr="00E336A2">
        <w:rPr>
          <w:rFonts w:eastAsia="Times New Roman" w:cs="Arial"/>
          <w:color w:val="000000"/>
        </w:rPr>
        <w:t>intentional</w:t>
      </w:r>
      <w:r w:rsidR="00CD3435" w:rsidRPr="00E336A2">
        <w:rPr>
          <w:rFonts w:eastAsia="Times New Roman" w:cs="Arial"/>
          <w:color w:val="000000"/>
        </w:rPr>
        <w:t>”</w:t>
      </w:r>
      <w:r w:rsidR="003B2FD1" w:rsidRPr="00E336A2">
        <w:rPr>
          <w:rFonts w:eastAsia="Times New Roman" w:cs="Arial"/>
          <w:color w:val="000000"/>
        </w:rPr>
        <w:t xml:space="preserve"> discrimination</w:t>
      </w:r>
      <w:r w:rsidR="0096293B" w:rsidRPr="00E336A2">
        <w:rPr>
          <w:rFonts w:eastAsia="Times New Roman" w:cs="Arial"/>
          <w:color w:val="000000"/>
        </w:rPr>
        <w:t>, generally required under the Unruh Act</w:t>
      </w:r>
      <w:r w:rsidR="009D1D28" w:rsidRPr="00E336A2">
        <w:rPr>
          <w:rFonts w:eastAsia="Times New Roman" w:cs="Arial"/>
          <w:color w:val="000000"/>
        </w:rPr>
        <w:t xml:space="preserve"> (although not in cases of disability discrimination, as we discuss </w:t>
      </w:r>
      <w:r w:rsidR="009D1D28" w:rsidRPr="00E336A2">
        <w:rPr>
          <w:rFonts w:eastAsia="Times New Roman" w:cs="Arial"/>
          <w:i/>
          <w:iCs/>
          <w:color w:val="000000"/>
        </w:rPr>
        <w:t>infra</w:t>
      </w:r>
      <w:r w:rsidR="009D1D28" w:rsidRPr="00E336A2">
        <w:rPr>
          <w:rFonts w:eastAsia="Times New Roman" w:cs="Arial"/>
          <w:color w:val="000000"/>
        </w:rPr>
        <w:t>)</w:t>
      </w:r>
      <w:r w:rsidR="0096293B" w:rsidRPr="00E336A2">
        <w:rPr>
          <w:rFonts w:eastAsia="Times New Roman" w:cs="Arial"/>
          <w:color w:val="000000"/>
        </w:rPr>
        <w:t>.</w:t>
      </w:r>
      <w:r w:rsidR="002F6596" w:rsidRPr="00E336A2">
        <w:rPr>
          <w:rFonts w:eastAsia="Times New Roman" w:cs="Arial"/>
          <w:color w:val="000000"/>
        </w:rPr>
        <w:t xml:space="preserve"> </w:t>
      </w:r>
      <w:r w:rsidR="003B2FD1" w:rsidRPr="00E336A2">
        <w:rPr>
          <w:rFonts w:eastAsia="Times New Roman" w:cs="Arial"/>
          <w:color w:val="000000"/>
        </w:rPr>
        <w:t xml:space="preserve"> </w:t>
      </w:r>
      <w:r w:rsidR="0096293B" w:rsidRPr="00E336A2">
        <w:rPr>
          <w:rFonts w:eastAsia="Times New Roman" w:cs="Arial"/>
          <w:color w:val="000000"/>
        </w:rPr>
        <w:t xml:space="preserve">(See </w:t>
      </w:r>
      <w:r w:rsidR="0096293B" w:rsidRPr="00E336A2">
        <w:rPr>
          <w:rFonts w:eastAsia="Times New Roman" w:cs="Arial"/>
          <w:i/>
          <w:iCs/>
          <w:color w:val="000000"/>
        </w:rPr>
        <w:t xml:space="preserve">Donovan, supra, </w:t>
      </w:r>
      <w:r w:rsidR="0096293B" w:rsidRPr="00E336A2">
        <w:rPr>
          <w:rFonts w:eastAsia="Times New Roman" w:cs="Arial"/>
          <w:color w:val="000000"/>
        </w:rPr>
        <w:t>167 Cal.App.4th at pp. 603</w:t>
      </w:r>
      <w:r w:rsidR="00832787" w:rsidRPr="00E336A2">
        <w:rPr>
          <w:rFonts w:eastAsia="Times New Roman" w:cs="Arial"/>
          <w:color w:val="000000"/>
        </w:rPr>
        <w:t>–</w:t>
      </w:r>
      <w:r w:rsidR="000F41B2" w:rsidRPr="00E336A2">
        <w:rPr>
          <w:rFonts w:eastAsia="Times New Roman" w:cs="Arial"/>
          <w:color w:val="000000"/>
        </w:rPr>
        <w:t>60</w:t>
      </w:r>
      <w:r w:rsidR="00EC5E31" w:rsidRPr="00E336A2">
        <w:rPr>
          <w:rFonts w:eastAsia="Times New Roman" w:cs="Arial"/>
          <w:color w:val="000000"/>
        </w:rPr>
        <w:t>8</w:t>
      </w:r>
      <w:r w:rsidR="0096293B" w:rsidRPr="00E336A2">
        <w:rPr>
          <w:rFonts w:eastAsia="Times New Roman" w:cs="Arial"/>
          <w:color w:val="000000"/>
        </w:rPr>
        <w:t xml:space="preserve"> [</w:t>
      </w:r>
      <w:r w:rsidR="009D1D28" w:rsidRPr="00E336A2">
        <w:rPr>
          <w:rFonts w:eastAsia="Times New Roman" w:cs="Arial"/>
          <w:color w:val="000000"/>
        </w:rPr>
        <w:t xml:space="preserve">looking to </w:t>
      </w:r>
      <w:r w:rsidR="00EC5E31" w:rsidRPr="00E336A2">
        <w:rPr>
          <w:rFonts w:eastAsia="Times New Roman" w:cs="Arial"/>
          <w:color w:val="000000"/>
        </w:rPr>
        <w:t>T</w:t>
      </w:r>
      <w:r w:rsidR="009D1D28" w:rsidRPr="00E336A2">
        <w:rPr>
          <w:rFonts w:eastAsia="Times New Roman" w:cs="Arial"/>
          <w:color w:val="000000"/>
        </w:rPr>
        <w:t>itle IX (20</w:t>
      </w:r>
      <w:r w:rsidR="00832787">
        <w:rPr>
          <w:rFonts w:eastAsia="Times New Roman" w:cs="Arial"/>
          <w:color w:val="000000"/>
        </w:rPr>
        <w:t> </w:t>
      </w:r>
      <w:r w:rsidR="009D1D28" w:rsidRPr="00E336A2">
        <w:rPr>
          <w:rFonts w:eastAsia="Times New Roman" w:cs="Arial"/>
          <w:color w:val="000000"/>
        </w:rPr>
        <w:t xml:space="preserve">U.S.C. </w:t>
      </w:r>
      <w:r w:rsidR="006E49CE" w:rsidRPr="00E336A2">
        <w:t>§</w:t>
      </w:r>
      <w:r w:rsidR="009D1D28" w:rsidRPr="00E336A2">
        <w:rPr>
          <w:rFonts w:eastAsia="Times New Roman" w:cs="Arial"/>
          <w:color w:val="000000"/>
        </w:rPr>
        <w:t xml:space="preserve"> 1682) as </w:t>
      </w:r>
      <w:r w:rsidR="00FC26A5" w:rsidRPr="00E336A2">
        <w:rPr>
          <w:rFonts w:eastAsia="Times New Roman" w:cs="Arial"/>
          <w:color w:val="000000"/>
        </w:rPr>
        <w:t xml:space="preserve">the </w:t>
      </w:r>
      <w:r w:rsidR="009D1D28" w:rsidRPr="00E336A2">
        <w:rPr>
          <w:rFonts w:eastAsia="Times New Roman" w:cs="Arial"/>
          <w:color w:val="000000"/>
        </w:rPr>
        <w:t xml:space="preserve">model for </w:t>
      </w:r>
      <w:r w:rsidR="00FC26A5" w:rsidRPr="00E336A2">
        <w:rPr>
          <w:rFonts w:eastAsia="Times New Roman" w:cs="Arial"/>
          <w:color w:val="000000"/>
        </w:rPr>
        <w:t xml:space="preserve">the </w:t>
      </w:r>
      <w:r w:rsidR="00D96EC2" w:rsidRPr="00E336A2">
        <w:rPr>
          <w:rFonts w:eastAsia="Times New Roman" w:cs="Arial"/>
          <w:color w:val="000000"/>
        </w:rPr>
        <w:t xml:space="preserve">elements of </w:t>
      </w:r>
      <w:r w:rsidR="00FC26A5" w:rsidRPr="00E336A2">
        <w:rPr>
          <w:rFonts w:eastAsia="Times New Roman" w:cs="Arial"/>
          <w:color w:val="000000"/>
        </w:rPr>
        <w:t xml:space="preserve">a </w:t>
      </w:r>
      <w:r w:rsidR="00D96EC2" w:rsidRPr="00E336A2">
        <w:rPr>
          <w:rFonts w:eastAsia="Times New Roman" w:cs="Arial"/>
          <w:color w:val="000000"/>
        </w:rPr>
        <w:t xml:space="preserve">damages action under Education Code section 220 </w:t>
      </w:r>
      <w:r w:rsidR="0017553D" w:rsidRPr="00E336A2">
        <w:rPr>
          <w:rFonts w:eastAsia="Times New Roman" w:cs="Arial"/>
          <w:color w:val="000000"/>
        </w:rPr>
        <w:t xml:space="preserve">based on peer </w:t>
      </w:r>
      <w:r w:rsidR="00D96EC2" w:rsidRPr="00E336A2">
        <w:rPr>
          <w:rFonts w:eastAsia="Times New Roman" w:cs="Arial"/>
          <w:color w:val="000000"/>
        </w:rPr>
        <w:t>harassment</w:t>
      </w:r>
      <w:r w:rsidR="00FC26A5" w:rsidRPr="00E336A2">
        <w:rPr>
          <w:rFonts w:eastAsia="Times New Roman" w:cs="Arial"/>
          <w:color w:val="000000"/>
        </w:rPr>
        <w:t>,</w:t>
      </w:r>
      <w:r w:rsidR="00D96EC2" w:rsidRPr="00E336A2">
        <w:rPr>
          <w:rFonts w:eastAsia="Times New Roman" w:cs="Arial"/>
          <w:color w:val="000000"/>
        </w:rPr>
        <w:t xml:space="preserve"> </w:t>
      </w:r>
      <w:r w:rsidR="000F41B2" w:rsidRPr="00E336A2">
        <w:rPr>
          <w:rFonts w:eastAsia="Times New Roman" w:cs="Arial"/>
          <w:color w:val="000000"/>
        </w:rPr>
        <w:t>an</w:t>
      </w:r>
      <w:r w:rsidR="009D1D28" w:rsidRPr="00E336A2">
        <w:rPr>
          <w:rFonts w:eastAsia="Times New Roman" w:cs="Arial"/>
          <w:color w:val="000000"/>
        </w:rPr>
        <w:t>d</w:t>
      </w:r>
      <w:r w:rsidR="000F41B2" w:rsidRPr="00E336A2">
        <w:rPr>
          <w:rFonts w:eastAsia="Times New Roman" w:cs="Arial"/>
          <w:color w:val="000000"/>
        </w:rPr>
        <w:t xml:space="preserve"> concluding </w:t>
      </w:r>
      <w:r w:rsidR="009D1D28" w:rsidRPr="00E336A2">
        <w:rPr>
          <w:rFonts w:eastAsia="Times New Roman" w:cs="Arial"/>
          <w:color w:val="000000"/>
        </w:rPr>
        <w:t xml:space="preserve">there </w:t>
      </w:r>
      <w:r w:rsidR="009D1D28" w:rsidRPr="00E336A2">
        <w:rPr>
          <w:rFonts w:eastAsia="Times New Roman" w:cs="Arial"/>
          <w:color w:val="000000"/>
        </w:rPr>
        <w:lastRenderedPageBreak/>
        <w:t xml:space="preserve">was </w:t>
      </w:r>
      <w:r w:rsidR="000F41B2" w:rsidRPr="00E336A2">
        <w:rPr>
          <w:rFonts w:eastAsia="Times New Roman" w:cs="Arial"/>
          <w:color w:val="000000"/>
        </w:rPr>
        <w:t xml:space="preserve">ample evidence </w:t>
      </w:r>
      <w:r w:rsidR="00FC26A5" w:rsidRPr="00E336A2">
        <w:rPr>
          <w:rFonts w:eastAsia="Times New Roman" w:cs="Arial"/>
          <w:color w:val="000000"/>
        </w:rPr>
        <w:t xml:space="preserve">school </w:t>
      </w:r>
      <w:r w:rsidR="000F41B2" w:rsidRPr="00E336A2">
        <w:rPr>
          <w:rFonts w:eastAsia="Times New Roman" w:cs="Arial"/>
          <w:color w:val="000000"/>
        </w:rPr>
        <w:t>district</w:t>
      </w:r>
      <w:r w:rsidR="0017553D" w:rsidRPr="00E336A2">
        <w:rPr>
          <w:rFonts w:eastAsia="Times New Roman" w:cs="Arial"/>
          <w:color w:val="000000"/>
        </w:rPr>
        <w:t xml:space="preserve"> </w:t>
      </w:r>
      <w:r w:rsidR="000F41B2" w:rsidRPr="00E336A2">
        <w:rPr>
          <w:rFonts w:eastAsia="Times New Roman" w:cs="Arial"/>
          <w:color w:val="000000"/>
        </w:rPr>
        <w:t>had notice of</w:t>
      </w:r>
      <w:r w:rsidR="00880102" w:rsidRPr="00E336A2">
        <w:rPr>
          <w:rFonts w:eastAsia="Times New Roman" w:cs="Arial"/>
          <w:color w:val="000000"/>
        </w:rPr>
        <w:t>,</w:t>
      </w:r>
      <w:r w:rsidR="000F41B2" w:rsidRPr="00E336A2">
        <w:rPr>
          <w:rFonts w:eastAsia="Times New Roman" w:cs="Arial"/>
          <w:color w:val="000000"/>
        </w:rPr>
        <w:t xml:space="preserve"> and was deliberately indifferent to</w:t>
      </w:r>
      <w:r w:rsidR="00880102" w:rsidRPr="00E336A2">
        <w:rPr>
          <w:rFonts w:eastAsia="Times New Roman" w:cs="Arial"/>
          <w:color w:val="000000"/>
        </w:rPr>
        <w:t>,</w:t>
      </w:r>
      <w:r w:rsidR="000F41B2" w:rsidRPr="00E336A2">
        <w:rPr>
          <w:rFonts w:eastAsia="Times New Roman" w:cs="Arial"/>
          <w:color w:val="000000"/>
        </w:rPr>
        <w:t xml:space="preserve"> </w:t>
      </w:r>
      <w:r w:rsidR="0017553D" w:rsidRPr="00E336A2">
        <w:rPr>
          <w:rFonts w:eastAsia="Times New Roman" w:cs="Arial"/>
          <w:color w:val="000000"/>
        </w:rPr>
        <w:t xml:space="preserve">such </w:t>
      </w:r>
      <w:r w:rsidR="000F41B2" w:rsidRPr="00EB4C47">
        <w:rPr>
          <w:rFonts w:eastAsia="Times New Roman" w:cs="Arial"/>
          <w:color w:val="000000"/>
        </w:rPr>
        <w:t>harassment].)</w:t>
      </w:r>
      <w:r w:rsidR="00A71114" w:rsidRPr="00EB4C47">
        <w:rPr>
          <w:rFonts w:eastAsia="Times New Roman" w:cs="Arial"/>
          <w:color w:val="000000"/>
        </w:rPr>
        <w:t xml:space="preserve">  </w:t>
      </w:r>
      <w:r w:rsidR="000F41B2" w:rsidRPr="00EB4C47">
        <w:rPr>
          <w:rFonts w:eastAsia="Times New Roman" w:cs="Arial"/>
          <w:color w:val="000000"/>
        </w:rPr>
        <w:t>The</w:t>
      </w:r>
      <w:r w:rsidR="00A71114" w:rsidRPr="00EB4C47">
        <w:rPr>
          <w:rFonts w:eastAsia="Times New Roman" w:cs="Arial"/>
          <w:color w:val="000000"/>
        </w:rPr>
        <w:t>y</w:t>
      </w:r>
      <w:r w:rsidR="0017553D" w:rsidRPr="00EB4C47">
        <w:rPr>
          <w:rFonts w:eastAsia="Times New Roman" w:cs="Arial"/>
          <w:color w:val="000000"/>
        </w:rPr>
        <w:t xml:space="preserve"> </w:t>
      </w:r>
      <w:r w:rsidR="003B2FD1" w:rsidRPr="00EB4C47">
        <w:rPr>
          <w:rFonts w:eastAsia="Times New Roman" w:cs="Arial"/>
          <w:color w:val="000000"/>
        </w:rPr>
        <w:t xml:space="preserve">are less generous than the Unruh Act in that they do </w:t>
      </w:r>
      <w:r w:rsidR="00590BCC" w:rsidRPr="00EB4C47">
        <w:rPr>
          <w:rFonts w:eastAsia="Times New Roman" w:cs="Arial"/>
          <w:color w:val="000000"/>
        </w:rPr>
        <w:t xml:space="preserve">not </w:t>
      </w:r>
      <w:r w:rsidR="003B2FD1" w:rsidRPr="00EB4C47">
        <w:rPr>
          <w:rFonts w:eastAsia="Times New Roman" w:cs="Arial"/>
          <w:color w:val="000000"/>
        </w:rPr>
        <w:t>provide for treble damages</w:t>
      </w:r>
      <w:r w:rsidR="000F41B2" w:rsidRPr="00EB4C47">
        <w:rPr>
          <w:rFonts w:eastAsia="Times New Roman" w:cs="Arial"/>
          <w:color w:val="000000"/>
        </w:rPr>
        <w:t>,</w:t>
      </w:r>
      <w:r w:rsidR="003B2FD1" w:rsidRPr="00EB4C47">
        <w:rPr>
          <w:rFonts w:eastAsia="Times New Roman" w:cs="Arial"/>
          <w:color w:val="000000"/>
        </w:rPr>
        <w:t xml:space="preserve"> statutory penalties</w:t>
      </w:r>
      <w:r w:rsidR="00F539B3" w:rsidRPr="00EB4C47">
        <w:rPr>
          <w:rFonts w:eastAsia="Times New Roman" w:cs="Arial"/>
          <w:color w:val="000000"/>
        </w:rPr>
        <w:t>,</w:t>
      </w:r>
      <w:r w:rsidR="00FC26A5" w:rsidRPr="00EB4C47">
        <w:rPr>
          <w:rFonts w:eastAsia="Times New Roman" w:cs="Arial"/>
          <w:color w:val="000000"/>
        </w:rPr>
        <w:t xml:space="preserve"> </w:t>
      </w:r>
      <w:r w:rsidR="000F41B2" w:rsidRPr="00EB4C47">
        <w:rPr>
          <w:rFonts w:eastAsia="Times New Roman" w:cs="Arial"/>
          <w:color w:val="000000"/>
        </w:rPr>
        <w:t>punitive damages</w:t>
      </w:r>
      <w:r w:rsidR="00FC26A5" w:rsidRPr="00EB4C47">
        <w:rPr>
          <w:rFonts w:eastAsia="Times New Roman" w:cs="Arial"/>
          <w:color w:val="000000"/>
        </w:rPr>
        <w:t>,</w:t>
      </w:r>
      <w:r w:rsidR="00F539B3" w:rsidRPr="00EB4C47">
        <w:rPr>
          <w:rFonts w:eastAsia="Times New Roman" w:cs="Arial"/>
          <w:color w:val="000000"/>
        </w:rPr>
        <w:t xml:space="preserve"> or statutory attorney fees</w:t>
      </w:r>
      <w:r w:rsidR="00880102" w:rsidRPr="00EB4C47">
        <w:rPr>
          <w:rFonts w:eastAsia="Times New Roman" w:cs="Arial"/>
          <w:color w:val="000000"/>
        </w:rPr>
        <w:t>.</w:t>
      </w:r>
      <w:r w:rsidR="000E25EB" w:rsidRPr="00EB4C47">
        <w:rPr>
          <w:rFonts w:eastAsia="Times New Roman" w:cs="Arial"/>
          <w:color w:val="000000"/>
        </w:rPr>
        <w:t xml:space="preserve"> </w:t>
      </w:r>
      <w:r w:rsidR="003B2FD1" w:rsidRPr="00EB4C47">
        <w:rPr>
          <w:rFonts w:eastAsia="Times New Roman" w:cs="Arial"/>
          <w:color w:val="000000"/>
        </w:rPr>
        <w:t xml:space="preserve"> (</w:t>
      </w:r>
      <w:r w:rsidR="00880102" w:rsidRPr="00EB4C47">
        <w:rPr>
          <w:rFonts w:eastAsia="Times New Roman" w:cs="Arial"/>
          <w:color w:val="000000"/>
        </w:rPr>
        <w:t>C</w:t>
      </w:r>
      <w:r w:rsidR="00F539B3" w:rsidRPr="00EB4C47">
        <w:rPr>
          <w:rFonts w:eastAsia="Times New Roman" w:cs="Arial"/>
          <w:color w:val="000000"/>
        </w:rPr>
        <w:t xml:space="preserve">ompare </w:t>
      </w:r>
      <w:r w:rsidR="000F41B2" w:rsidRPr="00EB4C47">
        <w:rPr>
          <w:rFonts w:eastAsia="Times New Roman" w:cs="Arial"/>
          <w:color w:val="000000"/>
        </w:rPr>
        <w:t>Civ. Code</w:t>
      </w:r>
      <w:r w:rsidR="002F6596" w:rsidRPr="00EB4C47">
        <w:rPr>
          <w:rFonts w:eastAsia="Times New Roman" w:cs="Arial"/>
          <w:color w:val="000000"/>
        </w:rPr>
        <w:t xml:space="preserve">, </w:t>
      </w:r>
      <w:r w:rsidR="002F6596" w:rsidRPr="00EB4C47">
        <w:t xml:space="preserve">§ </w:t>
      </w:r>
      <w:r w:rsidR="00EB4C47" w:rsidRPr="00EB4C47">
        <w:rPr>
          <w:rFonts w:eastAsia="Times New Roman" w:cs="Arial"/>
          <w:color w:val="000000"/>
        </w:rPr>
        <w:t>5</w:t>
      </w:r>
      <w:r w:rsidR="000F41B2" w:rsidRPr="00EB4C47">
        <w:rPr>
          <w:rFonts w:eastAsia="Times New Roman" w:cs="Arial"/>
          <w:color w:val="000000"/>
        </w:rPr>
        <w:t xml:space="preserve">2, </w:t>
      </w:r>
      <w:proofErr w:type="spellStart"/>
      <w:r w:rsidR="000F41B2" w:rsidRPr="00EB4C47">
        <w:rPr>
          <w:rFonts w:eastAsia="Times New Roman" w:cs="Arial"/>
          <w:color w:val="000000"/>
        </w:rPr>
        <w:t>subd</w:t>
      </w:r>
      <w:proofErr w:type="spellEnd"/>
      <w:r w:rsidR="000F41B2" w:rsidRPr="00EB4C47">
        <w:rPr>
          <w:rFonts w:eastAsia="Times New Roman" w:cs="Arial"/>
          <w:color w:val="000000"/>
        </w:rPr>
        <w:t>. (b)</w:t>
      </w:r>
      <w:r w:rsidR="00F539B3">
        <w:rPr>
          <w:rFonts w:eastAsia="Times New Roman" w:cs="Arial"/>
          <w:color w:val="000000"/>
        </w:rPr>
        <w:t xml:space="preserve"> </w:t>
      </w:r>
      <w:r w:rsidR="000E25EB">
        <w:rPr>
          <w:rFonts w:eastAsia="Times New Roman" w:cs="Arial"/>
          <w:color w:val="000000"/>
        </w:rPr>
        <w:t>&amp;</w:t>
      </w:r>
      <w:r w:rsidR="00F539B3">
        <w:rPr>
          <w:rFonts w:eastAsia="Times New Roman" w:cs="Arial"/>
          <w:color w:val="000000"/>
        </w:rPr>
        <w:t xml:space="preserve"> </w:t>
      </w:r>
      <w:r w:rsidR="00F539B3" w:rsidRPr="00E336A2">
        <w:rPr>
          <w:rFonts w:eastAsia="Times New Roman" w:cs="Arial"/>
          <w:color w:val="000000"/>
        </w:rPr>
        <w:t>Ed. Code</w:t>
      </w:r>
      <w:r w:rsidR="002F6596" w:rsidRPr="00E336A2">
        <w:rPr>
          <w:rFonts w:eastAsia="Times New Roman" w:cs="Arial"/>
          <w:color w:val="000000"/>
        </w:rPr>
        <w:t xml:space="preserve">, </w:t>
      </w:r>
      <w:r w:rsidR="002F6596" w:rsidRPr="00E336A2">
        <w:t>§</w:t>
      </w:r>
      <w:r w:rsidR="00E47CBB" w:rsidRPr="00E336A2">
        <w:t> </w:t>
      </w:r>
      <w:r w:rsidR="00F539B3" w:rsidRPr="00E336A2">
        <w:rPr>
          <w:rFonts w:eastAsia="Times New Roman" w:cs="Arial"/>
          <w:color w:val="000000"/>
        </w:rPr>
        <w:t xml:space="preserve">262.3, </w:t>
      </w:r>
      <w:proofErr w:type="spellStart"/>
      <w:r w:rsidR="00F539B3" w:rsidRPr="00E336A2">
        <w:rPr>
          <w:rFonts w:eastAsia="Times New Roman" w:cs="Arial"/>
          <w:color w:val="000000"/>
        </w:rPr>
        <w:t>subd</w:t>
      </w:r>
      <w:proofErr w:type="spellEnd"/>
      <w:r w:rsidR="00F539B3" w:rsidRPr="00E336A2">
        <w:rPr>
          <w:rFonts w:eastAsia="Times New Roman" w:cs="Arial"/>
          <w:color w:val="000000"/>
        </w:rPr>
        <w:t>. (b)</w:t>
      </w:r>
      <w:r w:rsidR="00880102" w:rsidRPr="00E336A2">
        <w:rPr>
          <w:rFonts w:eastAsia="Times New Roman" w:cs="Arial"/>
          <w:color w:val="000000"/>
        </w:rPr>
        <w:t>.</w:t>
      </w:r>
      <w:r w:rsidR="00F539B3" w:rsidRPr="00E336A2">
        <w:rPr>
          <w:rFonts w:eastAsia="Times New Roman" w:cs="Arial"/>
          <w:color w:val="000000"/>
        </w:rPr>
        <w:t>)</w:t>
      </w:r>
      <w:r w:rsidR="00880102" w:rsidRPr="00E336A2">
        <w:rPr>
          <w:rFonts w:eastAsia="Times New Roman" w:cs="Arial"/>
          <w:color w:val="000000"/>
        </w:rPr>
        <w:t xml:space="preserve">  This </w:t>
      </w:r>
      <w:r w:rsidR="002E2D76" w:rsidRPr="00E336A2">
        <w:rPr>
          <w:rFonts w:eastAsia="Times New Roman" w:cs="Arial"/>
          <w:color w:val="000000"/>
        </w:rPr>
        <w:t xml:space="preserve">difference is </w:t>
      </w:r>
      <w:proofErr w:type="gramStart"/>
      <w:r w:rsidR="002E2D76" w:rsidRPr="00E336A2">
        <w:rPr>
          <w:rFonts w:eastAsia="Times New Roman" w:cs="Arial"/>
          <w:color w:val="000000"/>
        </w:rPr>
        <w:t xml:space="preserve">not </w:t>
      </w:r>
      <w:r w:rsidR="00A71114" w:rsidRPr="00E336A2">
        <w:rPr>
          <w:rFonts w:eastAsia="Times New Roman" w:cs="Arial"/>
          <w:color w:val="000000"/>
        </w:rPr>
        <w:t xml:space="preserve">quite </w:t>
      </w:r>
      <w:r w:rsidR="002E2D76" w:rsidRPr="00E336A2">
        <w:rPr>
          <w:rFonts w:eastAsia="Times New Roman" w:cs="Arial"/>
          <w:color w:val="000000"/>
        </w:rPr>
        <w:t>as</w:t>
      </w:r>
      <w:proofErr w:type="gramEnd"/>
      <w:r w:rsidR="002E2D76" w:rsidRPr="00E336A2">
        <w:rPr>
          <w:rFonts w:eastAsia="Times New Roman" w:cs="Arial"/>
          <w:color w:val="000000"/>
        </w:rPr>
        <w:t xml:space="preserve"> significant as might </w:t>
      </w:r>
      <w:r w:rsidR="00880102" w:rsidRPr="00E336A2">
        <w:rPr>
          <w:rFonts w:eastAsia="Times New Roman" w:cs="Arial"/>
          <w:color w:val="000000"/>
        </w:rPr>
        <w:t xml:space="preserve">first </w:t>
      </w:r>
      <w:r w:rsidR="002E2D76" w:rsidRPr="00E336A2">
        <w:rPr>
          <w:rFonts w:eastAsia="Times New Roman" w:cs="Arial"/>
          <w:color w:val="000000"/>
        </w:rPr>
        <w:t>appear, as</w:t>
      </w:r>
      <w:r w:rsidR="000500B5" w:rsidRPr="00E336A2">
        <w:rPr>
          <w:rFonts w:eastAsia="Times New Roman" w:cs="Arial"/>
          <w:color w:val="000000"/>
        </w:rPr>
        <w:t xml:space="preserve"> Government Code section 818 bars </w:t>
      </w:r>
      <w:r w:rsidR="002E2D76" w:rsidRPr="00E336A2">
        <w:rPr>
          <w:rFonts w:eastAsia="Times New Roman" w:cs="Arial"/>
          <w:color w:val="000000"/>
        </w:rPr>
        <w:t>punitive damages against “public entities</w:t>
      </w:r>
      <w:r w:rsidR="00FC26A5" w:rsidRPr="00E336A2">
        <w:rPr>
          <w:rFonts w:eastAsia="Times New Roman" w:cs="Arial"/>
          <w:color w:val="000000"/>
        </w:rPr>
        <w:t>,</w:t>
      </w:r>
      <w:r w:rsidR="002E2D76" w:rsidRPr="00E336A2">
        <w:rPr>
          <w:rFonts w:eastAsia="Times New Roman" w:cs="Arial"/>
          <w:color w:val="000000"/>
        </w:rPr>
        <w:t>” which i</w:t>
      </w:r>
      <w:r w:rsidR="000500B5" w:rsidRPr="00E336A2">
        <w:rPr>
          <w:rFonts w:eastAsia="Times New Roman" w:cs="Arial"/>
          <w:color w:val="000000"/>
        </w:rPr>
        <w:t>nclude public school districts</w:t>
      </w:r>
      <w:r w:rsidR="00454EA4" w:rsidRPr="00E336A2">
        <w:rPr>
          <w:rFonts w:eastAsia="Times New Roman" w:cs="Arial"/>
          <w:color w:val="000000"/>
        </w:rPr>
        <w:t>.</w:t>
      </w:r>
      <w:r w:rsidR="002E2D76" w:rsidRPr="00E336A2">
        <w:rPr>
          <w:rFonts w:eastAsia="Times New Roman" w:cs="Arial"/>
          <w:color w:val="000000"/>
        </w:rPr>
        <w:t xml:space="preserve">  (</w:t>
      </w:r>
      <w:r w:rsidR="006E49CE" w:rsidRPr="00E336A2">
        <w:rPr>
          <w:rFonts w:eastAsia="Times New Roman" w:cs="Arial"/>
          <w:color w:val="000000"/>
        </w:rPr>
        <w:t>Gov. Code</w:t>
      </w:r>
      <w:r w:rsidR="000E25EB" w:rsidRPr="00E336A2">
        <w:rPr>
          <w:rFonts w:eastAsia="Times New Roman" w:cs="Arial"/>
          <w:color w:val="000000"/>
        </w:rPr>
        <w:t>,</w:t>
      </w:r>
      <w:r w:rsidR="006E49CE" w:rsidRPr="00E336A2">
        <w:rPr>
          <w:rFonts w:eastAsia="Times New Roman" w:cs="Arial"/>
          <w:color w:val="000000"/>
        </w:rPr>
        <w:t xml:space="preserve"> </w:t>
      </w:r>
      <w:r w:rsidR="006E49CE" w:rsidRPr="00E336A2">
        <w:t>§ 818; s</w:t>
      </w:r>
      <w:r w:rsidR="002E2D76" w:rsidRPr="00E336A2">
        <w:rPr>
          <w:rFonts w:eastAsia="Times New Roman" w:cs="Arial"/>
          <w:color w:val="000000"/>
        </w:rPr>
        <w:t xml:space="preserve">ee </w:t>
      </w:r>
      <w:r w:rsidR="000500B5" w:rsidRPr="00E336A2">
        <w:rPr>
          <w:rFonts w:cs="Arial"/>
          <w:i/>
          <w:iCs/>
          <w:color w:val="000000"/>
        </w:rPr>
        <w:t>Visalia Unified School Dist. v. Superior Court</w:t>
      </w:r>
      <w:r w:rsidR="000500B5" w:rsidRPr="00E336A2">
        <w:rPr>
          <w:rFonts w:cs="Arial"/>
          <w:color w:val="000000"/>
        </w:rPr>
        <w:t xml:space="preserve"> (2019) 43 Cal.App.5th 563, 5</w:t>
      </w:r>
      <w:r w:rsidR="007045CC" w:rsidRPr="00E336A2">
        <w:rPr>
          <w:rFonts w:cs="Arial"/>
          <w:color w:val="000000"/>
        </w:rPr>
        <w:t>70</w:t>
      </w:r>
      <w:r w:rsidR="000500B5" w:rsidRPr="00E336A2">
        <w:rPr>
          <w:rFonts w:cs="Arial"/>
          <w:color w:val="000000"/>
        </w:rPr>
        <w:t xml:space="preserve"> </w:t>
      </w:r>
      <w:r w:rsidR="009D1D28" w:rsidRPr="00E336A2">
        <w:rPr>
          <w:rFonts w:cs="Arial"/>
          <w:color w:val="000000"/>
        </w:rPr>
        <w:t>(</w:t>
      </w:r>
      <w:r w:rsidR="009D1D28" w:rsidRPr="00E336A2">
        <w:rPr>
          <w:rFonts w:cs="Arial"/>
          <w:i/>
          <w:iCs/>
          <w:color w:val="000000"/>
        </w:rPr>
        <w:t>Visalia Unified</w:t>
      </w:r>
      <w:r w:rsidR="009D1D28" w:rsidRPr="00E336A2">
        <w:rPr>
          <w:rFonts w:cs="Arial"/>
          <w:color w:val="000000"/>
        </w:rPr>
        <w:t xml:space="preserve">) </w:t>
      </w:r>
      <w:r w:rsidR="000500B5" w:rsidRPr="00E336A2">
        <w:rPr>
          <w:rFonts w:cs="Arial"/>
          <w:color w:val="000000"/>
        </w:rPr>
        <w:t>[</w:t>
      </w:r>
      <w:r w:rsidR="009D1D28" w:rsidRPr="00E336A2">
        <w:rPr>
          <w:rFonts w:eastAsia="Times New Roman" w:cs="Arial"/>
          <w:color w:val="000000"/>
        </w:rPr>
        <w:t>“</w:t>
      </w:r>
      <w:r w:rsidR="002F6596" w:rsidRPr="00E336A2">
        <w:rPr>
          <w:rFonts w:eastAsia="Times New Roman" w:cs="Arial"/>
          <w:color w:val="000000"/>
        </w:rPr>
        <w:t> </w:t>
      </w:r>
      <w:r w:rsidR="009D1D28" w:rsidRPr="00E336A2">
        <w:rPr>
          <w:rFonts w:eastAsia="Times New Roman" w:cs="Arial"/>
          <w:color w:val="000000"/>
        </w:rPr>
        <w:t>‘</w:t>
      </w:r>
      <w:r w:rsidR="002E2D76" w:rsidRPr="00E336A2">
        <w:rPr>
          <w:rFonts w:eastAsia="Times New Roman" w:cs="Arial"/>
          <w:color w:val="000000"/>
        </w:rPr>
        <w:t>Requiring .</w:t>
      </w:r>
      <w:r w:rsidR="002F6596" w:rsidRPr="00E336A2">
        <w:rPr>
          <w:rFonts w:eastAsia="Times New Roman" w:cs="Arial"/>
          <w:color w:val="000000"/>
        </w:rPr>
        <w:t xml:space="preserve"> </w:t>
      </w:r>
      <w:r w:rsidR="002E2D76" w:rsidRPr="00E336A2">
        <w:rPr>
          <w:rFonts w:eastAsia="Times New Roman" w:cs="Arial"/>
          <w:color w:val="000000"/>
        </w:rPr>
        <w:t>.</w:t>
      </w:r>
      <w:r w:rsidR="002F6596" w:rsidRPr="00E336A2">
        <w:rPr>
          <w:rFonts w:eastAsia="Times New Roman" w:cs="Arial"/>
          <w:color w:val="000000"/>
        </w:rPr>
        <w:t xml:space="preserve"> </w:t>
      </w:r>
      <w:r w:rsidR="002E2D76" w:rsidRPr="00E336A2">
        <w:rPr>
          <w:rFonts w:eastAsia="Times New Roman" w:cs="Arial"/>
          <w:color w:val="000000"/>
        </w:rPr>
        <w:t xml:space="preserve">. public </w:t>
      </w:r>
      <w:proofErr w:type="spellStart"/>
      <w:r w:rsidR="002E2D76" w:rsidRPr="00E336A2">
        <w:rPr>
          <w:rFonts w:eastAsia="Times New Roman" w:cs="Arial"/>
          <w:color w:val="000000"/>
          <w:shd w:val="clear" w:color="auto" w:fill="FFFFFF"/>
        </w:rPr>
        <w:t>entit</w:t>
      </w:r>
      <w:proofErr w:type="spellEnd"/>
      <w:r w:rsidR="002E2D76" w:rsidRPr="00E336A2">
        <w:rPr>
          <w:rFonts w:eastAsia="Times New Roman" w:cs="Arial"/>
          <w:color w:val="000000"/>
        </w:rPr>
        <w:t>[</w:t>
      </w:r>
      <w:proofErr w:type="spellStart"/>
      <w:r w:rsidR="002E2D76" w:rsidRPr="00E336A2">
        <w:rPr>
          <w:rFonts w:eastAsia="Times New Roman" w:cs="Arial"/>
          <w:color w:val="000000"/>
        </w:rPr>
        <w:t>ies</w:t>
      </w:r>
      <w:proofErr w:type="spellEnd"/>
      <w:r w:rsidR="002E2D76" w:rsidRPr="00E336A2">
        <w:rPr>
          <w:rFonts w:eastAsia="Times New Roman" w:cs="Arial"/>
          <w:color w:val="000000"/>
        </w:rPr>
        <w:t xml:space="preserve">] to pay </w:t>
      </w:r>
      <w:r w:rsidR="002E2D76" w:rsidRPr="00E336A2">
        <w:rPr>
          <w:rFonts w:eastAsia="Times New Roman" w:cs="Arial"/>
          <w:color w:val="000000"/>
          <w:shd w:val="clear" w:color="auto" w:fill="FFFFFF"/>
        </w:rPr>
        <w:t>punitive</w:t>
      </w:r>
      <w:r w:rsidR="002E2D76" w:rsidRPr="00E336A2">
        <w:rPr>
          <w:rFonts w:eastAsia="Times New Roman" w:cs="Arial"/>
          <w:color w:val="000000"/>
        </w:rPr>
        <w:t xml:space="preserve"> </w:t>
      </w:r>
      <w:r w:rsidR="002E2D76" w:rsidRPr="00E336A2">
        <w:rPr>
          <w:rFonts w:eastAsia="Times New Roman" w:cs="Arial"/>
          <w:color w:val="000000"/>
          <w:shd w:val="clear" w:color="auto" w:fill="FFFFFF"/>
        </w:rPr>
        <w:t>damages</w:t>
      </w:r>
      <w:r w:rsidR="002E2D76" w:rsidRPr="00E336A2">
        <w:rPr>
          <w:rFonts w:eastAsia="Times New Roman" w:cs="Arial"/>
          <w:color w:val="000000"/>
        </w:rPr>
        <w:t xml:space="preserve"> would punish the very group imposition of </w:t>
      </w:r>
      <w:r w:rsidR="002E2D76" w:rsidRPr="00E336A2">
        <w:rPr>
          <w:rFonts w:eastAsia="Times New Roman" w:cs="Arial"/>
          <w:color w:val="000000"/>
          <w:shd w:val="clear" w:color="auto" w:fill="FFFFFF"/>
        </w:rPr>
        <w:t>punitive</w:t>
      </w:r>
      <w:r w:rsidR="002E2D76" w:rsidRPr="00E336A2">
        <w:rPr>
          <w:rFonts w:eastAsia="Times New Roman" w:cs="Arial"/>
          <w:color w:val="000000"/>
        </w:rPr>
        <w:t xml:space="preserve"> </w:t>
      </w:r>
      <w:r w:rsidR="002E2D76" w:rsidRPr="00E336A2">
        <w:rPr>
          <w:rFonts w:eastAsia="Times New Roman" w:cs="Arial"/>
          <w:color w:val="000000"/>
          <w:shd w:val="clear" w:color="auto" w:fill="FFFFFF"/>
        </w:rPr>
        <w:t>damages</w:t>
      </w:r>
      <w:r w:rsidR="002E2D76" w:rsidRPr="00E336A2">
        <w:rPr>
          <w:rFonts w:eastAsia="Times New Roman" w:cs="Arial"/>
          <w:color w:val="000000"/>
        </w:rPr>
        <w:t xml:space="preserve"> was intended to benefit</w:t>
      </w:r>
      <w:r w:rsidR="007045CC" w:rsidRPr="00E336A2">
        <w:rPr>
          <w:rFonts w:eastAsia="Times New Roman" w:cs="Arial"/>
          <w:color w:val="000000"/>
        </w:rPr>
        <w:t>’</w:t>
      </w:r>
      <w:r w:rsidR="002E2D76" w:rsidRPr="00E336A2">
        <w:rPr>
          <w:rFonts w:eastAsia="Times New Roman" w:cs="Arial"/>
          <w:color w:val="000000"/>
        </w:rPr>
        <w:t>—the taxpaying members of the general public.</w:t>
      </w:r>
      <w:r w:rsidR="00A71114" w:rsidRPr="00E336A2">
        <w:rPr>
          <w:rFonts w:eastAsia="Times New Roman" w:cs="Arial"/>
          <w:color w:val="000000"/>
        </w:rPr>
        <w:t xml:space="preserve">’ </w:t>
      </w:r>
      <w:r w:rsidR="009D1D28" w:rsidRPr="00E336A2">
        <w:rPr>
          <w:rFonts w:eastAsia="Times New Roman" w:cs="Arial"/>
          <w:color w:val="000000"/>
        </w:rPr>
        <w:t>”</w:t>
      </w:r>
      <w:r w:rsidR="002E2D76" w:rsidRPr="00E336A2">
        <w:rPr>
          <w:rFonts w:eastAsia="Times New Roman" w:cs="Arial"/>
          <w:color w:val="000000"/>
        </w:rPr>
        <w:t xml:space="preserve"> </w:t>
      </w:r>
      <w:r w:rsidR="002F6596" w:rsidRPr="00E336A2">
        <w:rPr>
          <w:rFonts w:eastAsia="Times New Roman" w:cs="Arial"/>
          <w:color w:val="000000"/>
        </w:rPr>
        <w:t xml:space="preserve"> Q</w:t>
      </w:r>
      <w:r w:rsidR="00A71114" w:rsidRPr="00E336A2">
        <w:rPr>
          <w:rFonts w:eastAsia="Times New Roman" w:cs="Arial"/>
          <w:color w:val="000000"/>
        </w:rPr>
        <w:t xml:space="preserve">uoting </w:t>
      </w:r>
      <w:r w:rsidR="00A71114" w:rsidRPr="00E336A2">
        <w:rPr>
          <w:rFonts w:eastAsia="Times New Roman" w:cs="Arial"/>
          <w:i/>
          <w:iCs/>
          <w:color w:val="000000"/>
        </w:rPr>
        <w:t>City of Sanger v. Superior Court</w:t>
      </w:r>
      <w:r w:rsidR="00A71114" w:rsidRPr="00E336A2">
        <w:rPr>
          <w:rFonts w:eastAsia="Times New Roman" w:cs="Arial"/>
          <w:color w:val="000000"/>
        </w:rPr>
        <w:t xml:space="preserve"> (1992) 8 Cal.App.4th 444, 450</w:t>
      </w:r>
      <w:r w:rsidR="002F6596" w:rsidRPr="00E336A2">
        <w:rPr>
          <w:rFonts w:eastAsia="Times New Roman" w:cs="Arial"/>
          <w:color w:val="000000"/>
        </w:rPr>
        <w:t>.</w:t>
      </w:r>
      <w:r w:rsidR="004F3431" w:rsidRPr="00E336A2">
        <w:rPr>
          <w:rFonts w:eastAsia="Times New Roman" w:cs="Arial"/>
          <w:color w:val="000000"/>
        </w:rPr>
        <w:t>].)</w:t>
      </w:r>
      <w:r w:rsidR="006829FA" w:rsidRPr="00E336A2">
        <w:rPr>
          <w:rFonts w:eastAsia="Times New Roman" w:cs="Arial"/>
          <w:color w:val="000000"/>
        </w:rPr>
        <w:t xml:space="preserve">  </w:t>
      </w:r>
    </w:p>
    <w:p w14:paraId="0A3340C1" w14:textId="77777777" w:rsidR="00475151" w:rsidRDefault="00A71114" w:rsidP="00475151">
      <w:pPr>
        <w:spacing w:line="360" w:lineRule="auto"/>
        <w:rPr>
          <w:rFonts w:eastAsia="Times New Roman" w:cs="Arial"/>
          <w:color w:val="000000"/>
        </w:rPr>
      </w:pPr>
      <w:r w:rsidRPr="00E336A2">
        <w:rPr>
          <w:rFonts w:cs="Arial"/>
          <w:color w:val="000000"/>
        </w:rPr>
        <w:tab/>
      </w:r>
      <w:r w:rsidR="00F76DDC" w:rsidRPr="00E336A2">
        <w:rPr>
          <w:rFonts w:cs="Arial"/>
          <w:color w:val="000000"/>
        </w:rPr>
        <w:t xml:space="preserve">We further observe that in </w:t>
      </w:r>
      <w:r w:rsidR="003B2FD1" w:rsidRPr="00E336A2">
        <w:rPr>
          <w:rFonts w:eastAsia="Times New Roman" w:cs="Arial"/>
          <w:color w:val="000000"/>
        </w:rPr>
        <w:t>cr</w:t>
      </w:r>
      <w:r w:rsidR="00F76DDC" w:rsidRPr="00E336A2">
        <w:rPr>
          <w:rFonts w:eastAsia="Times New Roman" w:cs="Arial"/>
          <w:color w:val="000000"/>
        </w:rPr>
        <w:t xml:space="preserve">afting </w:t>
      </w:r>
      <w:r w:rsidR="003B2FD1" w:rsidRPr="00E336A2">
        <w:rPr>
          <w:rFonts w:eastAsia="Times New Roman" w:cs="Arial"/>
          <w:color w:val="000000"/>
        </w:rPr>
        <w:t xml:space="preserve">the </w:t>
      </w:r>
      <w:r w:rsidR="00454EA4" w:rsidRPr="00E336A2">
        <w:rPr>
          <w:rFonts w:eastAsia="Times New Roman" w:cs="Arial"/>
          <w:color w:val="000000"/>
        </w:rPr>
        <w:t xml:space="preserve">comprehensive </w:t>
      </w:r>
      <w:r w:rsidR="003B2FD1" w:rsidRPr="00E336A2">
        <w:rPr>
          <w:rFonts w:eastAsia="Times New Roman" w:cs="Arial"/>
          <w:color w:val="000000"/>
        </w:rPr>
        <w:t xml:space="preserve">anti-discrimination </w:t>
      </w:r>
      <w:r w:rsidR="00475151" w:rsidRPr="00E336A2">
        <w:rPr>
          <w:rFonts w:eastAsia="Times New Roman" w:cs="Arial"/>
          <w:color w:val="000000"/>
        </w:rPr>
        <w:t xml:space="preserve">provisions </w:t>
      </w:r>
      <w:r w:rsidR="00454EA4" w:rsidRPr="00E336A2">
        <w:rPr>
          <w:rFonts w:eastAsia="Times New Roman" w:cs="Arial"/>
          <w:color w:val="000000"/>
        </w:rPr>
        <w:t xml:space="preserve">set forth </w:t>
      </w:r>
      <w:r w:rsidR="003B2FD1" w:rsidRPr="00E336A2">
        <w:rPr>
          <w:rFonts w:eastAsia="Times New Roman" w:cs="Arial"/>
          <w:color w:val="000000"/>
        </w:rPr>
        <w:t xml:space="preserve">in </w:t>
      </w:r>
      <w:r w:rsidR="00590BCC" w:rsidRPr="00E336A2">
        <w:rPr>
          <w:rFonts w:eastAsia="Times New Roman" w:cs="Arial"/>
          <w:color w:val="000000"/>
        </w:rPr>
        <w:t xml:space="preserve">Education Code sections 200 et seq., </w:t>
      </w:r>
      <w:r w:rsidR="003B2FD1" w:rsidRPr="00E336A2">
        <w:rPr>
          <w:rFonts w:eastAsia="Times New Roman" w:cs="Arial"/>
          <w:color w:val="000000"/>
        </w:rPr>
        <w:t xml:space="preserve">the </w:t>
      </w:r>
      <w:r w:rsidR="00FA5F25" w:rsidRPr="00E336A2">
        <w:rPr>
          <w:rFonts w:eastAsia="Times New Roman" w:cs="Arial"/>
          <w:color w:val="000000"/>
        </w:rPr>
        <w:t xml:space="preserve">Legislature considered and weighed policy considerations </w:t>
      </w:r>
      <w:r w:rsidR="00590BCC" w:rsidRPr="00E336A2">
        <w:rPr>
          <w:rFonts w:eastAsia="Times New Roman" w:cs="Arial"/>
          <w:color w:val="000000"/>
        </w:rPr>
        <w:t xml:space="preserve">of </w:t>
      </w:r>
      <w:r w:rsidR="00570AD7" w:rsidRPr="00E336A2">
        <w:rPr>
          <w:rFonts w:eastAsia="Times New Roman" w:cs="Arial"/>
          <w:color w:val="000000"/>
        </w:rPr>
        <w:t>particular</w:t>
      </w:r>
      <w:r w:rsidR="00590BCC" w:rsidRPr="00E336A2">
        <w:rPr>
          <w:rFonts w:eastAsia="Times New Roman" w:cs="Arial"/>
          <w:color w:val="000000"/>
        </w:rPr>
        <w:t xml:space="preserve"> importance </w:t>
      </w:r>
      <w:r w:rsidR="00FA5F25" w:rsidRPr="00E336A2">
        <w:rPr>
          <w:rFonts w:eastAsia="Times New Roman" w:cs="Arial"/>
          <w:color w:val="000000"/>
        </w:rPr>
        <w:t>to schools</w:t>
      </w:r>
      <w:r w:rsidR="00570AD7" w:rsidRPr="00E336A2">
        <w:rPr>
          <w:rFonts w:eastAsia="Times New Roman" w:cs="Arial"/>
          <w:color w:val="000000"/>
        </w:rPr>
        <w:t xml:space="preserve"> funded in whole or in part </w:t>
      </w:r>
      <w:r w:rsidR="00475151" w:rsidRPr="00E336A2">
        <w:rPr>
          <w:rFonts w:eastAsia="Times New Roman" w:cs="Arial"/>
          <w:color w:val="000000"/>
        </w:rPr>
        <w:t>with</w:t>
      </w:r>
      <w:r w:rsidR="00570AD7" w:rsidRPr="00E336A2">
        <w:rPr>
          <w:rFonts w:eastAsia="Times New Roman" w:cs="Arial"/>
          <w:color w:val="000000"/>
        </w:rPr>
        <w:t xml:space="preserve"> tax dollars—</w:t>
      </w:r>
      <w:r w:rsidR="00880102" w:rsidRPr="00E336A2">
        <w:rPr>
          <w:rFonts w:eastAsia="Times New Roman" w:cs="Arial"/>
          <w:color w:val="000000"/>
        </w:rPr>
        <w:t xml:space="preserve">namely, </w:t>
      </w:r>
      <w:r w:rsidR="00E00C39" w:rsidRPr="00E336A2">
        <w:rPr>
          <w:rFonts w:eastAsia="Times New Roman" w:cs="Arial"/>
          <w:color w:val="000000"/>
        </w:rPr>
        <w:t>maximizing the</w:t>
      </w:r>
      <w:r w:rsidR="00F76DDC" w:rsidRPr="00E336A2">
        <w:rPr>
          <w:rFonts w:eastAsia="Times New Roman" w:cs="Arial"/>
          <w:color w:val="000000"/>
        </w:rPr>
        <w:t xml:space="preserve"> use of these</w:t>
      </w:r>
      <w:r w:rsidR="00E00C39" w:rsidRPr="00E336A2">
        <w:rPr>
          <w:rFonts w:eastAsia="Times New Roman" w:cs="Arial"/>
          <w:color w:val="000000"/>
        </w:rPr>
        <w:t xml:space="preserve"> </w:t>
      </w:r>
      <w:r w:rsidR="003B2FD1" w:rsidRPr="00E336A2">
        <w:rPr>
          <w:rFonts w:eastAsia="Times New Roman" w:cs="Arial"/>
          <w:color w:val="000000"/>
        </w:rPr>
        <w:t xml:space="preserve">limited </w:t>
      </w:r>
      <w:r w:rsidR="00E00C39" w:rsidRPr="00E336A2">
        <w:rPr>
          <w:rFonts w:eastAsia="Times New Roman" w:cs="Arial"/>
          <w:color w:val="000000"/>
        </w:rPr>
        <w:t xml:space="preserve">funds </w:t>
      </w:r>
      <w:r w:rsidR="003B2FD1" w:rsidRPr="00E336A2">
        <w:rPr>
          <w:rFonts w:eastAsia="Times New Roman" w:cs="Arial"/>
          <w:color w:val="000000"/>
        </w:rPr>
        <w:t>for educational purposes</w:t>
      </w:r>
      <w:r w:rsidR="00880102" w:rsidRPr="00E336A2">
        <w:rPr>
          <w:rFonts w:eastAsia="Times New Roman" w:cs="Arial"/>
          <w:color w:val="000000"/>
        </w:rPr>
        <w:t>.</w:t>
      </w:r>
      <w:r w:rsidR="00475151" w:rsidRPr="00E336A2">
        <w:rPr>
          <w:rFonts w:eastAsia="Times New Roman" w:cs="Arial"/>
          <w:color w:val="000000"/>
        </w:rPr>
        <w:t xml:space="preserve">  </w:t>
      </w:r>
      <w:r w:rsidR="00590BCC" w:rsidRPr="00E336A2">
        <w:rPr>
          <w:rFonts w:eastAsia="Times New Roman" w:cs="Arial"/>
          <w:color w:val="000000"/>
        </w:rPr>
        <w:t xml:space="preserve">The </w:t>
      </w:r>
      <w:r w:rsidR="00475151" w:rsidRPr="00E336A2">
        <w:rPr>
          <w:rFonts w:eastAsia="Times New Roman" w:cs="Arial"/>
          <w:color w:val="000000"/>
        </w:rPr>
        <w:t xml:space="preserve">required </w:t>
      </w:r>
      <w:r w:rsidR="00FA5F25" w:rsidRPr="00E336A2">
        <w:rPr>
          <w:rFonts w:eastAsia="Times New Roman" w:cs="Arial"/>
          <w:color w:val="000000"/>
        </w:rPr>
        <w:t>“</w:t>
      </w:r>
      <w:r w:rsidR="00570AD7" w:rsidRPr="00E336A2">
        <w:rPr>
          <w:rFonts w:eastAsia="Times New Roman" w:cs="Arial"/>
          <w:color w:val="000000"/>
        </w:rPr>
        <w:t>cooling off</w:t>
      </w:r>
      <w:r w:rsidR="00FA5F25" w:rsidRPr="00E336A2">
        <w:rPr>
          <w:rFonts w:eastAsia="Times New Roman" w:cs="Arial"/>
          <w:color w:val="000000"/>
        </w:rPr>
        <w:t>” period</w:t>
      </w:r>
      <w:r w:rsidR="00475151" w:rsidRPr="00E336A2">
        <w:rPr>
          <w:rFonts w:eastAsia="Times New Roman" w:cs="Arial"/>
          <w:color w:val="000000"/>
        </w:rPr>
        <w:t xml:space="preserve">, for example, </w:t>
      </w:r>
      <w:r w:rsidR="00A77F8B" w:rsidRPr="00E336A2">
        <w:rPr>
          <w:rFonts w:eastAsia="Times New Roman" w:cs="Arial"/>
          <w:color w:val="000000"/>
        </w:rPr>
        <w:t xml:space="preserve">not only </w:t>
      </w:r>
      <w:r w:rsidR="003B2FD1" w:rsidRPr="00E336A2">
        <w:rPr>
          <w:rFonts w:eastAsia="Times New Roman" w:cs="Arial"/>
          <w:color w:val="000000"/>
        </w:rPr>
        <w:t>allow</w:t>
      </w:r>
      <w:r w:rsidR="00E00C39" w:rsidRPr="00E336A2">
        <w:rPr>
          <w:rFonts w:eastAsia="Times New Roman" w:cs="Arial"/>
          <w:color w:val="000000"/>
        </w:rPr>
        <w:t>s</w:t>
      </w:r>
      <w:r w:rsidR="003B2FD1" w:rsidRPr="00E336A2">
        <w:rPr>
          <w:rFonts w:eastAsia="Times New Roman" w:cs="Arial"/>
          <w:color w:val="000000"/>
        </w:rPr>
        <w:t xml:space="preserve"> </w:t>
      </w:r>
      <w:r w:rsidR="00FA5F25" w:rsidRPr="00E336A2">
        <w:rPr>
          <w:rFonts w:eastAsia="Times New Roman" w:cs="Arial"/>
          <w:color w:val="000000"/>
        </w:rPr>
        <w:t>school</w:t>
      </w:r>
      <w:r w:rsidR="003B2FD1" w:rsidRPr="00E336A2">
        <w:rPr>
          <w:rFonts w:eastAsia="Times New Roman" w:cs="Arial"/>
          <w:color w:val="000000"/>
        </w:rPr>
        <w:t>s</w:t>
      </w:r>
      <w:r w:rsidR="00FA5F25" w:rsidRPr="00E336A2">
        <w:rPr>
          <w:rFonts w:eastAsia="Times New Roman" w:cs="Arial"/>
          <w:color w:val="000000"/>
        </w:rPr>
        <w:t xml:space="preserve"> </w:t>
      </w:r>
      <w:r w:rsidR="00A77F8B" w:rsidRPr="00E336A2">
        <w:rPr>
          <w:rFonts w:eastAsia="Times New Roman" w:cs="Arial"/>
          <w:color w:val="000000"/>
        </w:rPr>
        <w:t xml:space="preserve">to </w:t>
      </w:r>
      <w:r w:rsidR="00FA5F25" w:rsidRPr="00E336A2">
        <w:rPr>
          <w:rFonts w:eastAsia="Times New Roman" w:cs="Arial"/>
          <w:color w:val="000000"/>
        </w:rPr>
        <w:t>respond quickly to discriminatory conduct</w:t>
      </w:r>
      <w:r w:rsidR="00A77F8B" w:rsidRPr="00E336A2">
        <w:rPr>
          <w:rFonts w:eastAsia="Times New Roman" w:cs="Arial"/>
          <w:color w:val="000000"/>
        </w:rPr>
        <w:t xml:space="preserve"> and thereby </w:t>
      </w:r>
      <w:r w:rsidR="003B2FD1" w:rsidRPr="00E336A2">
        <w:rPr>
          <w:rFonts w:eastAsia="Times New Roman" w:cs="Arial"/>
          <w:color w:val="000000"/>
        </w:rPr>
        <w:t>minimiz</w:t>
      </w:r>
      <w:r w:rsidR="00A77F8B" w:rsidRPr="00E336A2">
        <w:rPr>
          <w:rFonts w:eastAsia="Times New Roman" w:cs="Arial"/>
          <w:color w:val="000000"/>
        </w:rPr>
        <w:t>e</w:t>
      </w:r>
      <w:r w:rsidR="00880102" w:rsidRPr="00E336A2">
        <w:rPr>
          <w:rFonts w:eastAsia="Times New Roman" w:cs="Arial"/>
          <w:color w:val="000000"/>
        </w:rPr>
        <w:t xml:space="preserve"> </w:t>
      </w:r>
      <w:r w:rsidR="003B2FD1" w:rsidRPr="00E336A2">
        <w:rPr>
          <w:rFonts w:eastAsia="Times New Roman" w:cs="Arial"/>
          <w:color w:val="000000"/>
        </w:rPr>
        <w:t xml:space="preserve">harm to </w:t>
      </w:r>
      <w:r w:rsidR="00E00C39" w:rsidRPr="00E336A2">
        <w:rPr>
          <w:rFonts w:eastAsia="Times New Roman" w:cs="Arial"/>
          <w:color w:val="000000"/>
        </w:rPr>
        <w:t>student</w:t>
      </w:r>
      <w:r w:rsidR="00880102" w:rsidRPr="00E336A2">
        <w:rPr>
          <w:rFonts w:eastAsia="Times New Roman" w:cs="Arial"/>
          <w:color w:val="000000"/>
        </w:rPr>
        <w:t>s</w:t>
      </w:r>
      <w:r w:rsidR="00E00C39" w:rsidRPr="00E336A2">
        <w:rPr>
          <w:rFonts w:eastAsia="Times New Roman" w:cs="Arial"/>
          <w:color w:val="000000"/>
        </w:rPr>
        <w:t xml:space="preserve"> </w:t>
      </w:r>
      <w:r w:rsidR="00A77F8B" w:rsidRPr="00E336A2">
        <w:rPr>
          <w:rFonts w:eastAsia="Times New Roman" w:cs="Arial"/>
          <w:color w:val="000000"/>
        </w:rPr>
        <w:t xml:space="preserve">from </w:t>
      </w:r>
      <w:r w:rsidR="00E00C39" w:rsidRPr="00E336A2">
        <w:rPr>
          <w:rFonts w:eastAsia="Times New Roman" w:cs="Arial"/>
          <w:color w:val="000000"/>
        </w:rPr>
        <w:t>such conduct</w:t>
      </w:r>
      <w:r w:rsidR="004F3431" w:rsidRPr="00E336A2">
        <w:rPr>
          <w:rFonts w:eastAsia="Times New Roman" w:cs="Arial"/>
          <w:color w:val="000000"/>
        </w:rPr>
        <w:t>,</w:t>
      </w:r>
      <w:r w:rsidR="00E00C39" w:rsidRPr="00E336A2">
        <w:rPr>
          <w:rFonts w:eastAsia="Times New Roman" w:cs="Arial"/>
          <w:color w:val="000000"/>
        </w:rPr>
        <w:t xml:space="preserve"> </w:t>
      </w:r>
      <w:r w:rsidR="006F20DB" w:rsidRPr="00E336A2">
        <w:rPr>
          <w:rFonts w:eastAsia="Times New Roman" w:cs="Arial"/>
          <w:color w:val="000000"/>
        </w:rPr>
        <w:t>but</w:t>
      </w:r>
      <w:r w:rsidR="00A77F8B" w:rsidRPr="00E336A2">
        <w:rPr>
          <w:rFonts w:eastAsia="Times New Roman" w:cs="Arial"/>
          <w:color w:val="000000"/>
        </w:rPr>
        <w:t xml:space="preserve"> also enables schools to </w:t>
      </w:r>
      <w:r w:rsidR="00FA5F25" w:rsidRPr="00E336A2">
        <w:rPr>
          <w:rFonts w:eastAsia="Times New Roman" w:cs="Arial"/>
          <w:color w:val="000000"/>
        </w:rPr>
        <w:t xml:space="preserve">contain </w:t>
      </w:r>
      <w:r w:rsidR="00590BCC" w:rsidRPr="00E336A2">
        <w:rPr>
          <w:rFonts w:eastAsia="Times New Roman" w:cs="Arial"/>
          <w:color w:val="000000"/>
        </w:rPr>
        <w:t xml:space="preserve">litigation </w:t>
      </w:r>
      <w:r w:rsidR="00FA5F25" w:rsidRPr="00E336A2">
        <w:rPr>
          <w:rFonts w:eastAsia="Times New Roman" w:cs="Arial"/>
          <w:color w:val="000000"/>
        </w:rPr>
        <w:t>cost</w:t>
      </w:r>
      <w:r w:rsidR="00570AD7" w:rsidRPr="00E336A2">
        <w:rPr>
          <w:rFonts w:eastAsia="Times New Roman" w:cs="Arial"/>
          <w:color w:val="000000"/>
        </w:rPr>
        <w:t>s</w:t>
      </w:r>
      <w:r w:rsidR="00FA5F25" w:rsidRPr="00E336A2">
        <w:rPr>
          <w:rFonts w:eastAsia="Times New Roman" w:cs="Arial"/>
          <w:color w:val="000000"/>
        </w:rPr>
        <w:t xml:space="preserve"> </w:t>
      </w:r>
      <w:r w:rsidR="00E00C39" w:rsidRPr="00E336A2">
        <w:rPr>
          <w:rFonts w:eastAsia="Times New Roman" w:cs="Arial"/>
          <w:color w:val="000000"/>
        </w:rPr>
        <w:t xml:space="preserve">by </w:t>
      </w:r>
      <w:r w:rsidR="003638B7" w:rsidRPr="00E336A2">
        <w:rPr>
          <w:rFonts w:eastAsia="Times New Roman" w:cs="Arial"/>
          <w:color w:val="000000"/>
        </w:rPr>
        <w:t>informally r</w:t>
      </w:r>
      <w:r w:rsidR="00E00C39" w:rsidRPr="00E336A2">
        <w:rPr>
          <w:rFonts w:eastAsia="Times New Roman" w:cs="Arial"/>
          <w:color w:val="000000"/>
        </w:rPr>
        <w:t xml:space="preserve">esolving </w:t>
      </w:r>
      <w:r w:rsidR="00475151" w:rsidRPr="00E336A2">
        <w:rPr>
          <w:rFonts w:eastAsia="Times New Roman" w:cs="Arial"/>
          <w:color w:val="000000"/>
        </w:rPr>
        <w:t xml:space="preserve">as many </w:t>
      </w:r>
      <w:r w:rsidR="00590BCC" w:rsidRPr="00E336A2">
        <w:rPr>
          <w:rFonts w:eastAsia="Times New Roman" w:cs="Arial"/>
          <w:color w:val="000000"/>
        </w:rPr>
        <w:t xml:space="preserve">complaints </w:t>
      </w:r>
      <w:r w:rsidR="006F20DB" w:rsidRPr="00E336A2">
        <w:rPr>
          <w:rFonts w:eastAsia="Times New Roman" w:cs="Arial"/>
          <w:color w:val="000000"/>
        </w:rPr>
        <w:t>as possible</w:t>
      </w:r>
      <w:r w:rsidR="003638B7" w:rsidRPr="00E336A2">
        <w:rPr>
          <w:rFonts w:eastAsia="Times New Roman" w:cs="Arial"/>
          <w:color w:val="000000"/>
        </w:rPr>
        <w:t>.</w:t>
      </w:r>
      <w:r w:rsidR="00E00C39" w:rsidRPr="00E336A2">
        <w:rPr>
          <w:rFonts w:eastAsia="Times New Roman" w:cs="Arial"/>
          <w:color w:val="000000"/>
        </w:rPr>
        <w:t xml:space="preserve"> </w:t>
      </w:r>
      <w:r w:rsidR="002F6596" w:rsidRPr="00E336A2">
        <w:rPr>
          <w:rFonts w:eastAsia="Times New Roman" w:cs="Arial"/>
          <w:color w:val="000000"/>
        </w:rPr>
        <w:t xml:space="preserve"> </w:t>
      </w:r>
      <w:r w:rsidR="00E00C39" w:rsidRPr="00E336A2">
        <w:rPr>
          <w:rFonts w:eastAsia="Times New Roman" w:cs="Arial"/>
          <w:color w:val="000000"/>
        </w:rPr>
        <w:t xml:space="preserve">(See </w:t>
      </w:r>
      <w:r w:rsidR="00E00C39" w:rsidRPr="00E336A2">
        <w:rPr>
          <w:rFonts w:eastAsia="Times New Roman" w:cs="Arial"/>
          <w:i/>
          <w:iCs/>
          <w:color w:val="000000"/>
        </w:rPr>
        <w:t>Donovan, supra,</w:t>
      </w:r>
      <w:r w:rsidR="002F6596" w:rsidRPr="00E336A2">
        <w:rPr>
          <w:rFonts w:eastAsia="Times New Roman" w:cs="Arial"/>
          <w:i/>
          <w:iCs/>
          <w:color w:val="000000"/>
        </w:rPr>
        <w:t xml:space="preserve"> </w:t>
      </w:r>
      <w:r w:rsidR="002F6596" w:rsidRPr="00E336A2">
        <w:rPr>
          <w:rFonts w:eastAsia="Times New Roman" w:cs="Arial"/>
          <w:color w:val="000000"/>
        </w:rPr>
        <w:t xml:space="preserve">167 Cal.App.4th </w:t>
      </w:r>
      <w:r w:rsidR="00E00C39" w:rsidRPr="00E336A2">
        <w:rPr>
          <w:rFonts w:eastAsia="Times New Roman" w:cs="Arial"/>
          <w:color w:val="000000"/>
        </w:rPr>
        <w:t>at pp. 607</w:t>
      </w:r>
      <w:r w:rsidR="00832787" w:rsidRPr="00E336A2">
        <w:rPr>
          <w:rFonts w:eastAsia="Times New Roman" w:cs="Arial"/>
          <w:color w:val="000000"/>
        </w:rPr>
        <w:t>–</w:t>
      </w:r>
      <w:r w:rsidR="00E00C39" w:rsidRPr="00E336A2">
        <w:rPr>
          <w:rFonts w:eastAsia="Times New Roman" w:cs="Arial"/>
          <w:color w:val="000000"/>
        </w:rPr>
        <w:t>608</w:t>
      </w:r>
      <w:r w:rsidR="00756D9B" w:rsidRPr="00E336A2">
        <w:rPr>
          <w:rFonts w:eastAsia="Times New Roman" w:cs="Arial"/>
          <w:color w:val="000000"/>
        </w:rPr>
        <w:t>.</w:t>
      </w:r>
      <w:r w:rsidR="007F45E5" w:rsidRPr="00E336A2">
        <w:rPr>
          <w:rFonts w:eastAsia="Times New Roman" w:cs="Arial"/>
          <w:color w:val="000000"/>
        </w:rPr>
        <w:t>)</w:t>
      </w:r>
      <w:r w:rsidR="00756D9B" w:rsidRPr="00E336A2">
        <w:rPr>
          <w:rFonts w:eastAsia="Times New Roman" w:cs="Arial"/>
          <w:color w:val="000000"/>
        </w:rPr>
        <w:t xml:space="preserve">  </w:t>
      </w:r>
      <w:r w:rsidR="00FA1B07" w:rsidRPr="00E336A2">
        <w:rPr>
          <w:rFonts w:eastAsia="Times New Roman" w:cs="Arial"/>
          <w:color w:val="000000"/>
        </w:rPr>
        <w:t xml:space="preserve">Similarly, allowing for the recovery of </w:t>
      </w:r>
      <w:r w:rsidR="007F45E5" w:rsidRPr="00E336A2">
        <w:rPr>
          <w:rFonts w:eastAsia="Times New Roman" w:cs="Arial"/>
          <w:color w:val="000000"/>
        </w:rPr>
        <w:t>all</w:t>
      </w:r>
      <w:r w:rsidR="00FA1B07" w:rsidRPr="00E336A2">
        <w:rPr>
          <w:rFonts w:eastAsia="Times New Roman" w:cs="Arial"/>
          <w:color w:val="000000"/>
        </w:rPr>
        <w:t xml:space="preserve"> </w:t>
      </w:r>
      <w:r w:rsidR="006F20DB" w:rsidRPr="00E336A2">
        <w:rPr>
          <w:rFonts w:eastAsia="Times New Roman" w:cs="Arial"/>
          <w:color w:val="000000"/>
        </w:rPr>
        <w:t xml:space="preserve">actual </w:t>
      </w:r>
      <w:r w:rsidR="00FA1B07" w:rsidRPr="00E336A2">
        <w:rPr>
          <w:rFonts w:eastAsia="Times New Roman" w:cs="Arial"/>
          <w:color w:val="000000"/>
        </w:rPr>
        <w:t xml:space="preserve">damages but not </w:t>
      </w:r>
      <w:r w:rsidR="007F45E5" w:rsidRPr="00E336A2">
        <w:rPr>
          <w:rFonts w:eastAsia="Times New Roman" w:cs="Arial"/>
          <w:color w:val="000000"/>
        </w:rPr>
        <w:t>enhanced</w:t>
      </w:r>
      <w:r w:rsidR="006F20DB" w:rsidRPr="00E336A2">
        <w:rPr>
          <w:rFonts w:eastAsia="Times New Roman" w:cs="Arial"/>
          <w:color w:val="000000"/>
        </w:rPr>
        <w:t xml:space="preserve"> </w:t>
      </w:r>
      <w:r w:rsidR="00D71E1D" w:rsidRPr="00E336A2">
        <w:rPr>
          <w:rFonts w:eastAsia="Times New Roman" w:cs="Arial"/>
          <w:color w:val="000000"/>
        </w:rPr>
        <w:t xml:space="preserve">statutory </w:t>
      </w:r>
      <w:r w:rsidR="00FA1B07" w:rsidRPr="00E336A2">
        <w:rPr>
          <w:rFonts w:eastAsia="Times New Roman" w:cs="Arial"/>
          <w:color w:val="000000"/>
        </w:rPr>
        <w:t xml:space="preserve">damages, </w:t>
      </w:r>
      <w:r w:rsidR="00D71E1D" w:rsidRPr="00E336A2">
        <w:rPr>
          <w:rFonts w:eastAsia="Times New Roman" w:cs="Arial"/>
          <w:color w:val="000000"/>
        </w:rPr>
        <w:t xml:space="preserve">acknowledges </w:t>
      </w:r>
      <w:r w:rsidR="00FA1B07" w:rsidRPr="00E336A2">
        <w:rPr>
          <w:rFonts w:eastAsia="Times New Roman" w:cs="Arial"/>
          <w:color w:val="000000"/>
        </w:rPr>
        <w:t xml:space="preserve">that “in light of the stringent revenue, appropriations, and budget restraints under which all California governmental </w:t>
      </w:r>
      <w:r w:rsidR="00FA1B07" w:rsidRPr="00E336A2">
        <w:rPr>
          <w:rFonts w:eastAsia="Times New Roman" w:cs="Arial"/>
          <w:color w:val="000000"/>
          <w:shd w:val="clear" w:color="auto" w:fill="FFFFFF"/>
        </w:rPr>
        <w:t>entities</w:t>
      </w:r>
      <w:r w:rsidR="00FA1B07" w:rsidRPr="00E336A2">
        <w:rPr>
          <w:rFonts w:eastAsia="Times New Roman" w:cs="Arial"/>
          <w:color w:val="000000"/>
        </w:rPr>
        <w:t xml:space="preserve"> operate,</w:t>
      </w:r>
      <w:r w:rsidR="00D71E1D" w:rsidRPr="00E336A2">
        <w:rPr>
          <w:rFonts w:eastAsia="Times New Roman" w:cs="Arial"/>
          <w:color w:val="000000"/>
        </w:rPr>
        <w:t>”</w:t>
      </w:r>
      <w:r w:rsidR="00FA1B07" w:rsidRPr="00E336A2">
        <w:rPr>
          <w:rFonts w:eastAsia="Times New Roman" w:cs="Arial"/>
          <w:color w:val="000000"/>
        </w:rPr>
        <w:t xml:space="preserve"> exposing school districts to </w:t>
      </w:r>
      <w:r w:rsidR="00D71E1D" w:rsidRPr="00E336A2">
        <w:rPr>
          <w:rFonts w:eastAsia="Times New Roman" w:cs="Arial"/>
          <w:color w:val="000000"/>
        </w:rPr>
        <w:t xml:space="preserve">enhanced  </w:t>
      </w:r>
      <w:r w:rsidR="006F20DB" w:rsidRPr="00E336A2">
        <w:rPr>
          <w:rFonts w:eastAsia="Times New Roman" w:cs="Arial"/>
          <w:color w:val="000000"/>
        </w:rPr>
        <w:t xml:space="preserve">statutory </w:t>
      </w:r>
      <w:r w:rsidR="00D71E1D" w:rsidRPr="00E336A2">
        <w:rPr>
          <w:rFonts w:eastAsia="Times New Roman" w:cs="Arial"/>
          <w:color w:val="000000"/>
        </w:rPr>
        <w:t>damages “</w:t>
      </w:r>
      <w:r w:rsidR="00FA1B07" w:rsidRPr="00E336A2">
        <w:rPr>
          <w:rFonts w:eastAsia="Times New Roman" w:cs="Arial"/>
          <w:color w:val="000000"/>
        </w:rPr>
        <w:t xml:space="preserve">would significantly impede their fiscal </w:t>
      </w:r>
      <w:r w:rsidR="00FA1B07" w:rsidRPr="00E336A2">
        <w:rPr>
          <w:rFonts w:eastAsia="Times New Roman" w:cs="Arial"/>
          <w:color w:val="000000"/>
        </w:rPr>
        <w:lastRenderedPageBreak/>
        <w:t>ability to carry out their core public missions.</w:t>
      </w:r>
      <w:r w:rsidR="00D71E1D" w:rsidRPr="00E336A2">
        <w:rPr>
          <w:rFonts w:eastAsia="Times New Roman" w:cs="Arial"/>
          <w:color w:val="000000"/>
        </w:rPr>
        <w:t>”  (</w:t>
      </w:r>
      <w:r w:rsidR="00D71E1D" w:rsidRPr="00E336A2">
        <w:rPr>
          <w:rFonts w:eastAsia="Times New Roman" w:cs="Arial"/>
          <w:i/>
          <w:iCs/>
          <w:color w:val="000000"/>
        </w:rPr>
        <w:t>Wells</w:t>
      </w:r>
      <w:r w:rsidR="003638B7" w:rsidRPr="00E336A2">
        <w:rPr>
          <w:rFonts w:eastAsia="Times New Roman" w:cs="Arial"/>
          <w:i/>
          <w:iCs/>
          <w:color w:val="000000"/>
        </w:rPr>
        <w:t xml:space="preserve">, supra, </w:t>
      </w:r>
      <w:r w:rsidR="00D71E1D" w:rsidRPr="00E336A2">
        <w:rPr>
          <w:rFonts w:eastAsia="Times New Roman" w:cs="Arial"/>
          <w:color w:val="000000"/>
        </w:rPr>
        <w:t>39 Cal.4</w:t>
      </w:r>
      <w:r w:rsidR="003638B7" w:rsidRPr="00E336A2">
        <w:rPr>
          <w:rFonts w:eastAsia="Times New Roman" w:cs="Arial"/>
          <w:color w:val="000000"/>
        </w:rPr>
        <w:t xml:space="preserve">th at </w:t>
      </w:r>
      <w:r w:rsidR="003F372D" w:rsidRPr="00E336A2">
        <w:rPr>
          <w:rFonts w:eastAsia="Times New Roman" w:cs="Arial"/>
          <w:color w:val="000000"/>
        </w:rPr>
        <w:t>p.</w:t>
      </w:r>
      <w:r w:rsidR="00832787">
        <w:rPr>
          <w:rFonts w:eastAsia="Times New Roman" w:cs="Arial"/>
          <w:color w:val="000000"/>
        </w:rPr>
        <w:t> </w:t>
      </w:r>
      <w:r w:rsidR="003F372D" w:rsidRPr="00E336A2">
        <w:rPr>
          <w:rFonts w:eastAsia="Times New Roman" w:cs="Arial"/>
          <w:color w:val="000000"/>
        </w:rPr>
        <w:t xml:space="preserve">1193; </w:t>
      </w:r>
      <w:r w:rsidR="003F372D" w:rsidRPr="00E336A2">
        <w:rPr>
          <w:rFonts w:eastAsia="Times New Roman" w:cs="Arial"/>
          <w:i/>
          <w:iCs/>
          <w:color w:val="000000"/>
        </w:rPr>
        <w:t>id.</w:t>
      </w:r>
      <w:r w:rsidR="003F372D" w:rsidRPr="00E336A2">
        <w:rPr>
          <w:rFonts w:eastAsia="Times New Roman" w:cs="Arial"/>
          <w:color w:val="000000"/>
        </w:rPr>
        <w:t xml:space="preserve"> at p</w:t>
      </w:r>
      <w:r w:rsidR="003638B7" w:rsidRPr="00E336A2">
        <w:rPr>
          <w:rFonts w:eastAsia="Times New Roman" w:cs="Arial"/>
          <w:color w:val="000000"/>
        </w:rPr>
        <w:t>p.</w:t>
      </w:r>
      <w:r w:rsidR="00D71E1D" w:rsidRPr="00E336A2">
        <w:rPr>
          <w:rFonts w:eastAsia="Times New Roman" w:cs="Arial"/>
          <w:color w:val="000000"/>
        </w:rPr>
        <w:t xml:space="preserve"> </w:t>
      </w:r>
      <w:r w:rsidR="003F372D" w:rsidRPr="00E336A2">
        <w:rPr>
          <w:rFonts w:eastAsia="Times New Roman" w:cs="Arial"/>
          <w:color w:val="000000"/>
        </w:rPr>
        <w:t>1191</w:t>
      </w:r>
      <w:r w:rsidR="00832787" w:rsidRPr="00E336A2">
        <w:rPr>
          <w:rFonts w:eastAsia="Times New Roman" w:cs="Arial"/>
          <w:color w:val="000000"/>
        </w:rPr>
        <w:t>–</w:t>
      </w:r>
      <w:r w:rsidR="00D71E1D" w:rsidRPr="00E336A2">
        <w:rPr>
          <w:rFonts w:eastAsia="Times New Roman" w:cs="Arial"/>
          <w:color w:val="000000"/>
        </w:rPr>
        <w:t>1193 [holding school district</w:t>
      </w:r>
      <w:r w:rsidR="006F20DB" w:rsidRPr="00E336A2">
        <w:rPr>
          <w:rFonts w:eastAsia="Times New Roman" w:cs="Arial"/>
          <w:color w:val="000000"/>
        </w:rPr>
        <w:t>s</w:t>
      </w:r>
      <w:r w:rsidR="00D71E1D" w:rsidRPr="00E336A2">
        <w:rPr>
          <w:rFonts w:eastAsia="Times New Roman" w:cs="Arial"/>
          <w:color w:val="000000"/>
        </w:rPr>
        <w:t xml:space="preserve"> not an “association,” “organization,” or “business” under the state false claims act, which allows for </w:t>
      </w:r>
      <w:r w:rsidR="007F45E5" w:rsidRPr="00E336A2">
        <w:rPr>
          <w:rFonts w:eastAsia="Times New Roman" w:cs="Arial"/>
          <w:color w:val="000000"/>
        </w:rPr>
        <w:t xml:space="preserve">double and treble </w:t>
      </w:r>
      <w:r w:rsidR="006F20DB" w:rsidRPr="00E336A2">
        <w:rPr>
          <w:rFonts w:eastAsia="Times New Roman" w:cs="Arial"/>
          <w:color w:val="000000"/>
        </w:rPr>
        <w:t xml:space="preserve">statutory </w:t>
      </w:r>
      <w:r w:rsidR="00D71E1D" w:rsidRPr="00E336A2">
        <w:rPr>
          <w:rFonts w:eastAsia="Times New Roman" w:cs="Arial"/>
          <w:color w:val="000000"/>
        </w:rPr>
        <w:t>damages]).  Indeed, “[</w:t>
      </w:r>
      <w:proofErr w:type="spellStart"/>
      <w:r w:rsidR="00D71E1D" w:rsidRPr="00E336A2">
        <w:rPr>
          <w:rFonts w:eastAsia="Times New Roman" w:cs="Arial"/>
          <w:color w:val="000000"/>
        </w:rPr>
        <w:t>i</w:t>
      </w:r>
      <w:proofErr w:type="spellEnd"/>
      <w:r w:rsidR="00D71E1D" w:rsidRPr="00E336A2">
        <w:rPr>
          <w:rFonts w:eastAsia="Times New Roman" w:cs="Arial"/>
          <w:color w:val="000000"/>
        </w:rPr>
        <w:t>]</w:t>
      </w:r>
      <w:r w:rsidR="00FA1B07" w:rsidRPr="00E336A2">
        <w:rPr>
          <w:rFonts w:eastAsia="Times New Roman" w:cs="Arial"/>
          <w:color w:val="000000"/>
        </w:rPr>
        <w:t>n the particular case of public school districts, such exposure would interfere with the state</w:t>
      </w:r>
      <w:r w:rsidR="003F372D" w:rsidRPr="00E336A2">
        <w:rPr>
          <w:rFonts w:eastAsia="Times New Roman" w:cs="Arial"/>
          <w:color w:val="000000"/>
        </w:rPr>
        <w:t>’</w:t>
      </w:r>
      <w:r w:rsidR="00FA1B07" w:rsidRPr="00E336A2">
        <w:rPr>
          <w:rFonts w:eastAsia="Times New Roman" w:cs="Arial"/>
          <w:color w:val="000000"/>
        </w:rPr>
        <w:t>s plenary power and duty, exercised at the local level by the individual districts, to provide the free public education mandated by the Constitution.”</w:t>
      </w:r>
      <w:r w:rsidR="006F20DB" w:rsidRPr="00E336A2">
        <w:rPr>
          <w:rFonts w:eastAsia="Times New Roman" w:cs="Arial"/>
          <w:color w:val="000000"/>
        </w:rPr>
        <w:t xml:space="preserve">  (</w:t>
      </w:r>
      <w:r w:rsidR="006F20DB" w:rsidRPr="00E336A2">
        <w:rPr>
          <w:rFonts w:eastAsia="Times New Roman" w:cs="Arial"/>
          <w:i/>
          <w:iCs/>
          <w:color w:val="000000"/>
        </w:rPr>
        <w:t>I</w:t>
      </w:r>
      <w:r w:rsidR="003F372D" w:rsidRPr="00E336A2">
        <w:rPr>
          <w:rFonts w:eastAsia="Times New Roman" w:cs="Arial"/>
          <w:i/>
          <w:iCs/>
          <w:color w:val="000000"/>
        </w:rPr>
        <w:t>d</w:t>
      </w:r>
      <w:r w:rsidR="006F20DB" w:rsidRPr="00E336A2">
        <w:rPr>
          <w:rFonts w:eastAsia="Times New Roman" w:cs="Arial"/>
          <w:i/>
          <w:iCs/>
          <w:color w:val="000000"/>
        </w:rPr>
        <w:t>.</w:t>
      </w:r>
      <w:r w:rsidR="003F372D" w:rsidRPr="00E336A2">
        <w:rPr>
          <w:rFonts w:eastAsia="Times New Roman" w:cs="Arial"/>
          <w:i/>
          <w:iCs/>
          <w:color w:val="000000"/>
        </w:rPr>
        <w:t xml:space="preserve"> </w:t>
      </w:r>
      <w:r w:rsidR="003F372D" w:rsidRPr="00E336A2">
        <w:rPr>
          <w:rFonts w:eastAsia="Times New Roman" w:cs="Arial"/>
          <w:color w:val="000000"/>
        </w:rPr>
        <w:t>at p.</w:t>
      </w:r>
      <w:r w:rsidR="00832787">
        <w:rPr>
          <w:rFonts w:eastAsia="Times New Roman" w:cs="Arial"/>
          <w:color w:val="000000"/>
        </w:rPr>
        <w:t> </w:t>
      </w:r>
      <w:r w:rsidR="003F372D" w:rsidRPr="00E336A2">
        <w:rPr>
          <w:rFonts w:eastAsia="Times New Roman" w:cs="Arial"/>
          <w:color w:val="000000"/>
        </w:rPr>
        <w:t>1193.</w:t>
      </w:r>
      <w:r w:rsidR="006F20DB" w:rsidRPr="00E336A2">
        <w:rPr>
          <w:rFonts w:eastAsia="Times New Roman" w:cs="Arial"/>
          <w:color w:val="000000"/>
        </w:rPr>
        <w:t>)</w:t>
      </w:r>
      <w:r w:rsidR="004F3431" w:rsidRPr="00E336A2">
        <w:rPr>
          <w:rFonts w:eastAsia="Times New Roman" w:cs="Arial"/>
          <w:color w:val="000000"/>
        </w:rPr>
        <w:t xml:space="preserve"> </w:t>
      </w:r>
    </w:p>
    <w:p w14:paraId="6B47D612" w14:textId="77777777" w:rsidR="00EB4C47" w:rsidRPr="00E336A2" w:rsidRDefault="00EB4C47" w:rsidP="00475151">
      <w:pPr>
        <w:spacing w:line="360" w:lineRule="auto"/>
        <w:rPr>
          <w:rFonts w:eastAsia="Times New Roman" w:cs="Arial"/>
          <w:color w:val="000000"/>
        </w:rPr>
      </w:pPr>
      <w:r>
        <w:rPr>
          <w:rFonts w:eastAsia="Times New Roman" w:cs="Arial"/>
          <w:color w:val="000000"/>
        </w:rPr>
        <w:tab/>
        <w:t>We therefore conclude, for all the reasons we have discussed, that Education Code section 201, as amended, does not establish that our state school districts are business establishments under the Unruh Act.</w:t>
      </w:r>
    </w:p>
    <w:p w14:paraId="3DEC65F4" w14:textId="77777777" w:rsidR="00475151" w:rsidRPr="00E336A2" w:rsidRDefault="00E21DAE" w:rsidP="00475151">
      <w:pPr>
        <w:spacing w:line="360" w:lineRule="auto"/>
        <w:rPr>
          <w:rFonts w:eastAsia="Times New Roman" w:cs="Arial"/>
          <w:i/>
          <w:iCs/>
          <w:color w:val="000000"/>
        </w:rPr>
      </w:pPr>
      <w:r w:rsidRPr="00E336A2">
        <w:rPr>
          <w:rFonts w:eastAsia="Times New Roman" w:cs="Arial"/>
          <w:b/>
          <w:bCs/>
          <w:i/>
          <w:iCs/>
          <w:color w:val="000000"/>
        </w:rPr>
        <w:t xml:space="preserve">Civil Code Section 51, </w:t>
      </w:r>
      <w:r w:rsidR="00475151" w:rsidRPr="00E336A2">
        <w:rPr>
          <w:rFonts w:eastAsia="Times New Roman" w:cs="Arial"/>
          <w:b/>
          <w:bCs/>
          <w:i/>
          <w:iCs/>
          <w:color w:val="000000"/>
        </w:rPr>
        <w:t>Subdivision (f) of the Unruh Act</w:t>
      </w:r>
    </w:p>
    <w:p w14:paraId="31100D65" w14:textId="77777777" w:rsidR="00CF3332" w:rsidRPr="00CC12A4" w:rsidRDefault="00475151" w:rsidP="00475151">
      <w:pPr>
        <w:spacing w:line="360" w:lineRule="auto"/>
        <w:rPr>
          <w:rFonts w:eastAsia="Times New Roman" w:cs="Arial"/>
          <w:color w:val="000000"/>
        </w:rPr>
      </w:pPr>
      <w:r w:rsidRPr="00E336A2">
        <w:rPr>
          <w:rFonts w:eastAsia="Times New Roman" w:cs="Arial"/>
          <w:color w:val="000000"/>
        </w:rPr>
        <w:tab/>
      </w:r>
      <w:r w:rsidR="00A77F8B" w:rsidRPr="00E336A2">
        <w:rPr>
          <w:rFonts w:eastAsia="Times New Roman" w:cs="Arial"/>
          <w:color w:val="000000"/>
        </w:rPr>
        <w:t>P</w:t>
      </w:r>
      <w:r w:rsidR="00B86E8F" w:rsidRPr="00E336A2">
        <w:rPr>
          <w:rFonts w:eastAsia="Times New Roman" w:cs="Arial"/>
          <w:color w:val="000000"/>
        </w:rPr>
        <w:t>etitioner</w:t>
      </w:r>
      <w:r w:rsidRPr="00E336A2">
        <w:rPr>
          <w:rFonts w:eastAsia="Times New Roman" w:cs="Arial"/>
          <w:color w:val="000000"/>
        </w:rPr>
        <w:t xml:space="preserve"> </w:t>
      </w:r>
      <w:r w:rsidR="00454EA4" w:rsidRPr="00E336A2">
        <w:rPr>
          <w:rFonts w:eastAsia="Times New Roman" w:cs="Arial"/>
          <w:color w:val="000000"/>
        </w:rPr>
        <w:t xml:space="preserve">alternatively </w:t>
      </w:r>
      <w:r w:rsidRPr="00E336A2">
        <w:rPr>
          <w:rFonts w:eastAsia="Times New Roman" w:cs="Arial"/>
          <w:color w:val="000000"/>
        </w:rPr>
        <w:t xml:space="preserve">maintains that even if </w:t>
      </w:r>
      <w:r w:rsidR="00454EA4" w:rsidRPr="00E336A2">
        <w:rPr>
          <w:rFonts w:eastAsia="Times New Roman" w:cs="Arial"/>
          <w:color w:val="000000"/>
        </w:rPr>
        <w:t xml:space="preserve">a public </w:t>
      </w:r>
      <w:r w:rsidRPr="00E336A2">
        <w:rPr>
          <w:rFonts w:eastAsia="Times New Roman" w:cs="Arial"/>
          <w:color w:val="000000"/>
        </w:rPr>
        <w:t xml:space="preserve">school district is </w:t>
      </w:r>
      <w:r w:rsidRPr="00E336A2">
        <w:rPr>
          <w:rFonts w:eastAsia="Times New Roman" w:cs="Arial"/>
          <w:i/>
          <w:iCs/>
          <w:color w:val="000000"/>
        </w:rPr>
        <w:t>not</w:t>
      </w:r>
      <w:r w:rsidRPr="00E336A2">
        <w:rPr>
          <w:rFonts w:eastAsia="Times New Roman" w:cs="Arial"/>
          <w:color w:val="000000"/>
        </w:rPr>
        <w:t xml:space="preserve"> a business establishment under the Unruh Act, it nevertheless </w:t>
      </w:r>
      <w:r w:rsidR="001558CD" w:rsidRPr="00E336A2">
        <w:rPr>
          <w:rFonts w:eastAsia="Times New Roman" w:cs="Arial"/>
          <w:color w:val="000000"/>
        </w:rPr>
        <w:t xml:space="preserve">can </w:t>
      </w:r>
      <w:r w:rsidR="00454EA4" w:rsidRPr="00E336A2">
        <w:rPr>
          <w:rFonts w:eastAsia="Times New Roman" w:cs="Arial"/>
          <w:color w:val="000000"/>
        </w:rPr>
        <w:t xml:space="preserve">be sued for disability discrimination </w:t>
      </w:r>
      <w:r w:rsidRPr="00E336A2">
        <w:rPr>
          <w:rFonts w:eastAsia="Times New Roman" w:cs="Arial"/>
          <w:color w:val="000000"/>
        </w:rPr>
        <w:t xml:space="preserve">under the Act by virtue of </w:t>
      </w:r>
      <w:r w:rsidR="00832787">
        <w:rPr>
          <w:rFonts w:eastAsia="Times New Roman" w:cs="Arial"/>
          <w:color w:val="000000"/>
        </w:rPr>
        <w:t xml:space="preserve">Civil Code section 51, </w:t>
      </w:r>
      <w:r w:rsidRPr="00E336A2">
        <w:rPr>
          <w:rFonts w:eastAsia="Times New Roman" w:cs="Arial"/>
          <w:color w:val="000000"/>
        </w:rPr>
        <w:t>subdivision (f).</w:t>
      </w:r>
      <w:r w:rsidR="00A77F8B" w:rsidRPr="00E336A2">
        <w:rPr>
          <w:rFonts w:eastAsia="Times New Roman" w:cs="Arial"/>
          <w:color w:val="000000"/>
        </w:rPr>
        <w:t xml:space="preserve">  </w:t>
      </w:r>
      <w:r w:rsidRPr="00E336A2">
        <w:rPr>
          <w:rFonts w:eastAsia="Times New Roman" w:cs="Arial"/>
          <w:color w:val="000000"/>
        </w:rPr>
        <w:t>P</w:t>
      </w:r>
      <w:r w:rsidR="00B86E8F" w:rsidRPr="00E336A2">
        <w:rPr>
          <w:rFonts w:eastAsia="Times New Roman" w:cs="Arial"/>
          <w:color w:val="000000"/>
        </w:rPr>
        <w:t>etitioner</w:t>
      </w:r>
      <w:r w:rsidRPr="00E336A2">
        <w:rPr>
          <w:rFonts w:eastAsia="Times New Roman" w:cs="Arial"/>
          <w:color w:val="000000"/>
        </w:rPr>
        <w:t xml:space="preserve"> reads th</w:t>
      </w:r>
      <w:r w:rsidR="00A44980" w:rsidRPr="00E336A2">
        <w:rPr>
          <w:rFonts w:eastAsia="Times New Roman" w:cs="Arial"/>
          <w:color w:val="000000"/>
        </w:rPr>
        <w:t>i</w:t>
      </w:r>
      <w:r w:rsidR="001558CD" w:rsidRPr="00E336A2">
        <w:rPr>
          <w:rFonts w:eastAsia="Times New Roman" w:cs="Arial"/>
          <w:color w:val="000000"/>
        </w:rPr>
        <w:t xml:space="preserve">s </w:t>
      </w:r>
      <w:r w:rsidRPr="00E336A2">
        <w:rPr>
          <w:rFonts w:eastAsia="Times New Roman" w:cs="Arial"/>
          <w:color w:val="000000"/>
        </w:rPr>
        <w:t>subdivision</w:t>
      </w:r>
      <w:r w:rsidR="00A44980" w:rsidRPr="00E336A2">
        <w:rPr>
          <w:rFonts w:eastAsia="Times New Roman" w:cs="Arial"/>
          <w:color w:val="000000"/>
        </w:rPr>
        <w:t xml:space="preserve"> </w:t>
      </w:r>
      <w:r w:rsidRPr="00E336A2">
        <w:rPr>
          <w:rFonts w:eastAsia="Times New Roman" w:cs="Arial"/>
          <w:color w:val="000000"/>
        </w:rPr>
        <w:t>to mean a</w:t>
      </w:r>
      <w:r w:rsidR="002707DD" w:rsidRPr="00E336A2">
        <w:rPr>
          <w:rFonts w:eastAsia="Times New Roman" w:cs="Arial"/>
          <w:color w:val="000000"/>
        </w:rPr>
        <w:t>ny</w:t>
      </w:r>
      <w:r w:rsidRPr="00E336A2">
        <w:rPr>
          <w:rFonts w:eastAsia="Times New Roman" w:cs="Arial"/>
          <w:color w:val="000000"/>
        </w:rPr>
        <w:t xml:space="preserve"> violation of the ADA by any</w:t>
      </w:r>
      <w:r w:rsidRPr="00E336A2">
        <w:rPr>
          <w:rFonts w:eastAsia="Times New Roman" w:cs="Arial"/>
          <w:i/>
          <w:iCs/>
          <w:color w:val="000000"/>
        </w:rPr>
        <w:t xml:space="preserve"> </w:t>
      </w:r>
      <w:r w:rsidR="005E2220" w:rsidRPr="00E336A2">
        <w:rPr>
          <w:rFonts w:eastAsia="Times New Roman" w:cs="Arial"/>
          <w:color w:val="000000"/>
        </w:rPr>
        <w:t xml:space="preserve">person or entity </w:t>
      </w:r>
      <w:r w:rsidR="00CF3332" w:rsidRPr="00E336A2">
        <w:rPr>
          <w:rFonts w:eastAsia="Times New Roman" w:cs="Arial"/>
          <w:color w:val="000000"/>
        </w:rPr>
        <w:t xml:space="preserve">is </w:t>
      </w:r>
      <w:r w:rsidR="00A77F8B" w:rsidRPr="00E336A2">
        <w:rPr>
          <w:rFonts w:eastAsia="Times New Roman" w:cs="Arial"/>
          <w:color w:val="000000"/>
        </w:rPr>
        <w:t xml:space="preserve">also </w:t>
      </w:r>
      <w:r w:rsidR="00CF3332" w:rsidRPr="00E336A2">
        <w:rPr>
          <w:rFonts w:eastAsia="Times New Roman" w:cs="Arial"/>
          <w:color w:val="000000"/>
        </w:rPr>
        <w:t xml:space="preserve">a violation of the Act.  We conclude </w:t>
      </w:r>
      <w:r w:rsidR="00F07193" w:rsidRPr="00CC12A4">
        <w:rPr>
          <w:rFonts w:eastAsia="Times New Roman" w:cs="Arial"/>
          <w:color w:val="000000"/>
        </w:rPr>
        <w:t xml:space="preserve">Civil Code section 51, </w:t>
      </w:r>
      <w:r w:rsidR="00CF3332" w:rsidRPr="00CC12A4">
        <w:rPr>
          <w:rFonts w:eastAsia="Times New Roman" w:cs="Arial"/>
          <w:color w:val="000000"/>
        </w:rPr>
        <w:t xml:space="preserve">subdivision (f) makes explicit that any violation of the ADA </w:t>
      </w:r>
      <w:r w:rsidR="00CF3332" w:rsidRPr="00CC12A4">
        <w:rPr>
          <w:rFonts w:eastAsia="Times New Roman" w:cs="Arial"/>
          <w:i/>
          <w:iCs/>
          <w:color w:val="000000"/>
        </w:rPr>
        <w:t xml:space="preserve">by a business establishment </w:t>
      </w:r>
      <w:r w:rsidR="00CF3332" w:rsidRPr="00CC12A4">
        <w:rPr>
          <w:rFonts w:eastAsia="Times New Roman" w:cs="Arial"/>
          <w:color w:val="000000"/>
        </w:rPr>
        <w:t>is also a violation of the Unruh Act.</w:t>
      </w:r>
    </w:p>
    <w:p w14:paraId="4FDEA7AB" w14:textId="77777777" w:rsidR="008B2888" w:rsidRPr="00CC12A4" w:rsidRDefault="008B2888" w:rsidP="008B2888">
      <w:pPr>
        <w:spacing w:line="360" w:lineRule="auto"/>
        <w:rPr>
          <w:rFonts w:eastAsia="Times New Roman" w:cs="Arial"/>
          <w:color w:val="000000"/>
        </w:rPr>
      </w:pPr>
      <w:r w:rsidRPr="00CC12A4">
        <w:rPr>
          <w:rFonts w:eastAsia="Times New Roman" w:cs="Arial"/>
          <w:color w:val="000000"/>
        </w:rPr>
        <w:tab/>
        <w:t xml:space="preserve">Before </w:t>
      </w:r>
      <w:r w:rsidR="00291BD6" w:rsidRPr="00CC12A4">
        <w:rPr>
          <w:rFonts w:eastAsia="Times New Roman" w:cs="Arial"/>
          <w:color w:val="000000"/>
        </w:rPr>
        <w:t xml:space="preserve">discussing </w:t>
      </w:r>
      <w:r w:rsidRPr="00CC12A4">
        <w:rPr>
          <w:rFonts w:eastAsia="Times New Roman" w:cs="Arial"/>
          <w:color w:val="000000"/>
        </w:rPr>
        <w:t xml:space="preserve">the </w:t>
      </w:r>
      <w:r w:rsidR="00291BD6" w:rsidRPr="00CC12A4">
        <w:rPr>
          <w:rFonts w:eastAsia="Times New Roman" w:cs="Arial"/>
          <w:color w:val="000000"/>
        </w:rPr>
        <w:t xml:space="preserve">statutory </w:t>
      </w:r>
      <w:r w:rsidRPr="00CC12A4">
        <w:rPr>
          <w:rFonts w:eastAsia="Times New Roman" w:cs="Arial"/>
          <w:color w:val="000000"/>
        </w:rPr>
        <w:t xml:space="preserve">language </w:t>
      </w:r>
      <w:r w:rsidR="00291BD6" w:rsidRPr="00CC12A4">
        <w:rPr>
          <w:rFonts w:eastAsia="Times New Roman" w:cs="Arial"/>
          <w:color w:val="000000"/>
        </w:rPr>
        <w:t xml:space="preserve">at issue, </w:t>
      </w:r>
      <w:r w:rsidRPr="00CC12A4">
        <w:rPr>
          <w:rFonts w:eastAsia="Times New Roman" w:cs="Arial"/>
          <w:color w:val="000000"/>
        </w:rPr>
        <w:t xml:space="preserve">we </w:t>
      </w:r>
      <w:r w:rsidR="001558CD" w:rsidRPr="00CC12A4">
        <w:rPr>
          <w:rFonts w:eastAsia="Times New Roman" w:cs="Arial"/>
          <w:color w:val="000000"/>
        </w:rPr>
        <w:t xml:space="preserve">turn </w:t>
      </w:r>
      <w:r w:rsidRPr="00CC12A4">
        <w:rPr>
          <w:rFonts w:eastAsia="Times New Roman" w:cs="Arial"/>
          <w:color w:val="000000"/>
        </w:rPr>
        <w:t xml:space="preserve">momentarily to the ADA, to point out </w:t>
      </w:r>
      <w:r w:rsidR="00A77F8B" w:rsidRPr="00CC12A4">
        <w:rPr>
          <w:rFonts w:eastAsia="Times New Roman" w:cs="Arial"/>
          <w:color w:val="000000"/>
        </w:rPr>
        <w:t xml:space="preserve">it </w:t>
      </w:r>
      <w:r w:rsidRPr="00CC12A4">
        <w:rPr>
          <w:rFonts w:eastAsia="Times New Roman" w:cs="Arial"/>
          <w:color w:val="000000"/>
        </w:rPr>
        <w:t xml:space="preserve">is comprised of three titles.  Title I </w:t>
      </w:r>
      <w:proofErr w:type="gramStart"/>
      <w:r w:rsidRPr="00CC12A4">
        <w:rPr>
          <w:rFonts w:eastAsia="Times New Roman" w:cs="Arial"/>
          <w:color w:val="000000"/>
        </w:rPr>
        <w:t>prohibits</w:t>
      </w:r>
      <w:proofErr w:type="gramEnd"/>
      <w:r w:rsidRPr="00CC12A4">
        <w:rPr>
          <w:rFonts w:eastAsia="Times New Roman" w:cs="Arial"/>
          <w:color w:val="000000"/>
        </w:rPr>
        <w:t xml:space="preserve"> disability discrimination in employment. </w:t>
      </w:r>
      <w:r w:rsidR="00F07193" w:rsidRPr="00CC12A4">
        <w:rPr>
          <w:rFonts w:eastAsia="Times New Roman" w:cs="Arial"/>
          <w:color w:val="000000"/>
        </w:rPr>
        <w:t xml:space="preserve"> </w:t>
      </w:r>
      <w:r w:rsidRPr="00CC12A4">
        <w:rPr>
          <w:rFonts w:eastAsia="Times New Roman" w:cs="Arial"/>
          <w:color w:val="000000"/>
        </w:rPr>
        <w:t xml:space="preserve">(42 U.S.C. </w:t>
      </w:r>
      <w:r w:rsidR="002F6596" w:rsidRPr="00CC12A4">
        <w:t xml:space="preserve">§ </w:t>
      </w:r>
      <w:r w:rsidRPr="00CC12A4">
        <w:rPr>
          <w:rFonts w:eastAsia="Times New Roman" w:cs="Arial"/>
          <w:color w:val="000000"/>
        </w:rPr>
        <w:t>12111 et seq.)  Title II prohibits discrimination by public entities, including public schools.  (42</w:t>
      </w:r>
      <w:r w:rsidR="00832787">
        <w:rPr>
          <w:rFonts w:eastAsia="Times New Roman" w:cs="Arial"/>
          <w:color w:val="000000"/>
        </w:rPr>
        <w:t> </w:t>
      </w:r>
      <w:r w:rsidRPr="00CC12A4">
        <w:rPr>
          <w:rFonts w:eastAsia="Times New Roman" w:cs="Arial"/>
          <w:color w:val="000000"/>
        </w:rPr>
        <w:t xml:space="preserve">U.S.C. </w:t>
      </w:r>
      <w:r w:rsidR="002F6596" w:rsidRPr="00CC12A4">
        <w:t>§</w:t>
      </w:r>
      <w:r w:rsidR="006E49CE" w:rsidRPr="00CC12A4">
        <w:t>§</w:t>
      </w:r>
      <w:r w:rsidR="002F6596" w:rsidRPr="00CC12A4">
        <w:t xml:space="preserve"> </w:t>
      </w:r>
      <w:r w:rsidRPr="00CC12A4">
        <w:rPr>
          <w:rFonts w:eastAsia="Times New Roman" w:cs="Arial"/>
          <w:color w:val="000000"/>
        </w:rPr>
        <w:t>1213</w:t>
      </w:r>
      <w:r w:rsidR="006E49CE" w:rsidRPr="00CC12A4">
        <w:rPr>
          <w:rFonts w:eastAsia="Times New Roman" w:cs="Arial"/>
          <w:color w:val="000000"/>
        </w:rPr>
        <w:t xml:space="preserve">1 et seq, 12131, </w:t>
      </w:r>
      <w:proofErr w:type="spellStart"/>
      <w:r w:rsidR="006E49CE" w:rsidRPr="00CC12A4">
        <w:rPr>
          <w:rFonts w:eastAsia="Times New Roman" w:cs="Arial"/>
          <w:color w:val="000000"/>
        </w:rPr>
        <w:t>subd</w:t>
      </w:r>
      <w:proofErr w:type="spellEnd"/>
      <w:r w:rsidR="006E49CE" w:rsidRPr="00CC12A4">
        <w:rPr>
          <w:rFonts w:eastAsia="Times New Roman" w:cs="Arial"/>
          <w:color w:val="000000"/>
        </w:rPr>
        <w:t>. (1)(B).</w:t>
      </w:r>
      <w:r w:rsidRPr="00CC12A4">
        <w:rPr>
          <w:rFonts w:eastAsia="Times New Roman" w:cs="Arial"/>
          <w:color w:val="000000"/>
        </w:rPr>
        <w:t xml:space="preserve">)  Title III—entitled “Public Accommodations and Services Operated </w:t>
      </w:r>
      <w:proofErr w:type="gramStart"/>
      <w:r w:rsidRPr="00CC12A4">
        <w:rPr>
          <w:rFonts w:eastAsia="Times New Roman" w:cs="Arial"/>
          <w:color w:val="000000"/>
        </w:rPr>
        <w:t>By</w:t>
      </w:r>
      <w:proofErr w:type="gramEnd"/>
      <w:r w:rsidRPr="00CC12A4">
        <w:rPr>
          <w:rFonts w:eastAsia="Times New Roman" w:cs="Arial"/>
          <w:color w:val="000000"/>
        </w:rPr>
        <w:t xml:space="preserve"> Private Entities”—prohibits disability discrimination by private </w:t>
      </w:r>
      <w:r w:rsidR="001558CD" w:rsidRPr="00CC12A4">
        <w:rPr>
          <w:rFonts w:eastAsia="Times New Roman" w:cs="Arial"/>
          <w:color w:val="000000"/>
        </w:rPr>
        <w:t xml:space="preserve">persons and </w:t>
      </w:r>
      <w:r w:rsidRPr="00CC12A4">
        <w:rPr>
          <w:rFonts w:eastAsia="Times New Roman" w:cs="Arial"/>
          <w:color w:val="000000"/>
        </w:rPr>
        <w:t xml:space="preserve">entities offering “public </w:t>
      </w:r>
      <w:r w:rsidRPr="00CC12A4">
        <w:rPr>
          <w:rFonts w:eastAsia="Times New Roman" w:cs="Arial"/>
          <w:color w:val="000000"/>
        </w:rPr>
        <w:lastRenderedPageBreak/>
        <w:t>accommodation</w:t>
      </w:r>
      <w:r w:rsidR="00F07193" w:rsidRPr="00CC12A4">
        <w:rPr>
          <w:rFonts w:eastAsia="Times New Roman" w:cs="Arial"/>
          <w:color w:val="000000"/>
        </w:rPr>
        <w:t>[</w:t>
      </w:r>
      <w:r w:rsidRPr="00CC12A4">
        <w:rPr>
          <w:rFonts w:eastAsia="Times New Roman" w:cs="Arial"/>
          <w:color w:val="000000"/>
        </w:rPr>
        <w:t>s</w:t>
      </w:r>
      <w:r w:rsidR="00F07193" w:rsidRPr="00CC12A4">
        <w:rPr>
          <w:rFonts w:eastAsia="Times New Roman" w:cs="Arial"/>
          <w:color w:val="000000"/>
        </w:rPr>
        <w:t>]”</w:t>
      </w:r>
      <w:r w:rsidRPr="00CC12A4">
        <w:rPr>
          <w:rFonts w:eastAsia="Times New Roman" w:cs="Arial"/>
          <w:color w:val="000000"/>
        </w:rPr>
        <w:t xml:space="preserve"> and services.  (</w:t>
      </w:r>
      <w:r w:rsidR="006E49CE" w:rsidRPr="00CC12A4">
        <w:rPr>
          <w:rFonts w:eastAsia="Times New Roman" w:cs="Arial"/>
          <w:color w:val="000000"/>
        </w:rPr>
        <w:t xml:space="preserve">42 U.S.C. </w:t>
      </w:r>
      <w:r w:rsidR="006E49CE" w:rsidRPr="00CC12A4">
        <w:t>§</w:t>
      </w:r>
      <w:r w:rsidR="002F6596" w:rsidRPr="00CC12A4">
        <w:t xml:space="preserve">§ </w:t>
      </w:r>
      <w:r w:rsidRPr="00CC12A4">
        <w:rPr>
          <w:rFonts w:eastAsia="Times New Roman" w:cs="Arial"/>
          <w:color w:val="000000"/>
        </w:rPr>
        <w:t>1218</w:t>
      </w:r>
      <w:r w:rsidR="006E49CE" w:rsidRPr="00CC12A4">
        <w:rPr>
          <w:rFonts w:eastAsia="Times New Roman" w:cs="Arial"/>
          <w:color w:val="000000"/>
        </w:rPr>
        <w:t>1 et seq., 12182</w:t>
      </w:r>
      <w:r w:rsidRPr="00CC12A4">
        <w:rPr>
          <w:rFonts w:eastAsia="Times New Roman" w:cs="Arial"/>
          <w:color w:val="000000"/>
        </w:rPr>
        <w:t xml:space="preserve">, </w:t>
      </w:r>
      <w:proofErr w:type="spellStart"/>
      <w:r w:rsidRPr="00CC12A4">
        <w:rPr>
          <w:rFonts w:eastAsia="Times New Roman" w:cs="Arial"/>
          <w:color w:val="000000"/>
        </w:rPr>
        <w:t>subd</w:t>
      </w:r>
      <w:proofErr w:type="spellEnd"/>
      <w:r w:rsidRPr="00CC12A4">
        <w:rPr>
          <w:rFonts w:eastAsia="Times New Roman" w:cs="Arial"/>
          <w:color w:val="000000"/>
        </w:rPr>
        <w:t>. (a).</w:t>
      </w:r>
      <w:r w:rsidRPr="00CC12A4">
        <w:rPr>
          <w:rStyle w:val="FootnoteReference"/>
          <w:rFonts w:eastAsia="Times New Roman" w:cs="Arial"/>
          <w:color w:val="000000"/>
        </w:rPr>
        <w:footnoteReference w:id="11"/>
      </w:r>
      <w:r w:rsidRPr="00CC12A4">
        <w:rPr>
          <w:rFonts w:eastAsia="Times New Roman" w:cs="Arial"/>
          <w:color w:val="000000"/>
        </w:rPr>
        <w:t>)</w:t>
      </w:r>
    </w:p>
    <w:p w14:paraId="2BD32C01" w14:textId="77777777" w:rsidR="00302E62" w:rsidRPr="00CC12A4" w:rsidRDefault="00A9263C" w:rsidP="00A9263C">
      <w:pPr>
        <w:spacing w:line="360" w:lineRule="auto"/>
        <w:rPr>
          <w:rFonts w:eastAsia="Times New Roman" w:cs="Arial"/>
          <w:color w:val="000000"/>
        </w:rPr>
      </w:pPr>
      <w:r w:rsidRPr="00CC12A4">
        <w:rPr>
          <w:rFonts w:eastAsia="Times New Roman" w:cs="Arial"/>
          <w:color w:val="000000"/>
        </w:rPr>
        <w:tab/>
      </w:r>
      <w:r w:rsidR="00291BD6" w:rsidRPr="00CC12A4">
        <w:rPr>
          <w:rFonts w:eastAsia="Times New Roman" w:cs="Arial"/>
          <w:color w:val="000000"/>
        </w:rPr>
        <w:t xml:space="preserve">Returning to the </w:t>
      </w:r>
      <w:r w:rsidR="001558CD" w:rsidRPr="00CC12A4">
        <w:rPr>
          <w:rFonts w:eastAsia="Times New Roman" w:cs="Arial"/>
          <w:color w:val="000000"/>
        </w:rPr>
        <w:t>Unruh Act</w:t>
      </w:r>
      <w:r w:rsidR="005E2220" w:rsidRPr="00CC12A4">
        <w:rPr>
          <w:rFonts w:eastAsia="Times New Roman" w:cs="Arial"/>
          <w:color w:val="000000"/>
        </w:rPr>
        <w:t>, the language</w:t>
      </w:r>
      <w:r w:rsidR="001558CD" w:rsidRPr="00CC12A4">
        <w:rPr>
          <w:rFonts w:eastAsia="Times New Roman" w:cs="Arial"/>
          <w:color w:val="000000"/>
        </w:rPr>
        <w:t xml:space="preserve"> at issue</w:t>
      </w:r>
      <w:r w:rsidRPr="00CC12A4">
        <w:rPr>
          <w:rFonts w:eastAsia="Times New Roman" w:cs="Arial"/>
          <w:color w:val="000000"/>
        </w:rPr>
        <w:t xml:space="preserve"> was added to the </w:t>
      </w:r>
      <w:r w:rsidR="005E2220" w:rsidRPr="00CC12A4">
        <w:rPr>
          <w:rFonts w:eastAsia="Times New Roman" w:cs="Arial"/>
          <w:color w:val="000000"/>
        </w:rPr>
        <w:t>statute</w:t>
      </w:r>
      <w:r w:rsidRPr="00CC12A4">
        <w:rPr>
          <w:rFonts w:eastAsia="Times New Roman" w:cs="Arial"/>
          <w:color w:val="000000"/>
        </w:rPr>
        <w:t xml:space="preserve"> in 1992 as part of omnibus </w:t>
      </w:r>
      <w:r w:rsidR="005E2220" w:rsidRPr="00CC12A4">
        <w:rPr>
          <w:rFonts w:eastAsia="Times New Roman" w:cs="Arial"/>
          <w:color w:val="000000"/>
        </w:rPr>
        <w:t>legislation</w:t>
      </w:r>
      <w:r w:rsidR="000F594C" w:rsidRPr="00CC12A4">
        <w:rPr>
          <w:rFonts w:eastAsia="Times New Roman" w:cs="Arial"/>
          <w:color w:val="000000"/>
        </w:rPr>
        <w:t xml:space="preserve"> </w:t>
      </w:r>
      <w:r w:rsidRPr="00CC12A4">
        <w:rPr>
          <w:rFonts w:eastAsia="Times New Roman" w:cs="Arial"/>
          <w:color w:val="000000"/>
        </w:rPr>
        <w:t>amending dozens of statutes to make them consistent with the ADA</w:t>
      </w:r>
      <w:r w:rsidR="000F594C" w:rsidRPr="00CC12A4">
        <w:rPr>
          <w:rFonts w:eastAsia="Times New Roman" w:cs="Arial"/>
          <w:color w:val="000000"/>
        </w:rPr>
        <w:t xml:space="preserve">, </w:t>
      </w:r>
      <w:r w:rsidRPr="00CC12A4">
        <w:rPr>
          <w:rFonts w:eastAsia="Times New Roman" w:cs="Arial"/>
          <w:color w:val="000000"/>
        </w:rPr>
        <w:t xml:space="preserve">then about to go into effect.  (E.g., </w:t>
      </w:r>
      <w:r w:rsidR="00DE6328" w:rsidRPr="00CC12A4">
        <w:rPr>
          <w:rFonts w:eastAsia="Times New Roman" w:cs="Arial"/>
          <w:color w:val="000000"/>
        </w:rPr>
        <w:t xml:space="preserve">Assem. Com. </w:t>
      </w:r>
      <w:r w:rsidR="00832787">
        <w:rPr>
          <w:rFonts w:eastAsia="Times New Roman" w:cs="Arial"/>
          <w:color w:val="000000"/>
        </w:rPr>
        <w:t>o</w:t>
      </w:r>
      <w:r w:rsidR="00DE6328" w:rsidRPr="00CC12A4">
        <w:rPr>
          <w:rFonts w:eastAsia="Times New Roman" w:cs="Arial"/>
          <w:color w:val="000000"/>
        </w:rPr>
        <w:t>n Judiciary, Assem. Bill No. 1077 (1991</w:t>
      </w:r>
      <w:r w:rsidR="00832787" w:rsidRPr="00E336A2">
        <w:rPr>
          <w:rFonts w:eastAsia="Times New Roman" w:cs="Arial"/>
          <w:color w:val="000000"/>
        </w:rPr>
        <w:t>–</w:t>
      </w:r>
      <w:r w:rsidR="00DE6328" w:rsidRPr="00CC12A4">
        <w:rPr>
          <w:rFonts w:eastAsia="Times New Roman" w:cs="Arial"/>
          <w:color w:val="000000"/>
        </w:rPr>
        <w:t>1992 Reg. Sess.) as amend</w:t>
      </w:r>
      <w:r w:rsidR="00832787">
        <w:rPr>
          <w:rFonts w:eastAsia="Times New Roman" w:cs="Arial"/>
          <w:color w:val="000000"/>
        </w:rPr>
        <w:t>ed</w:t>
      </w:r>
      <w:r w:rsidR="00DE6328" w:rsidRPr="00CC12A4">
        <w:rPr>
          <w:rFonts w:eastAsia="Times New Roman" w:cs="Arial"/>
          <w:color w:val="000000"/>
        </w:rPr>
        <w:t xml:space="preserve"> Jan. 6, 1992, p. 2 </w:t>
      </w:r>
      <w:r w:rsidRPr="00CC12A4">
        <w:rPr>
          <w:rFonts w:eastAsia="Times New Roman" w:cs="Arial"/>
          <w:color w:val="000000"/>
        </w:rPr>
        <w:t>[bill “seeks to conform state law with the provisions of the ADA</w:t>
      </w:r>
      <w:r w:rsidR="005E2220" w:rsidRPr="00CC12A4">
        <w:rPr>
          <w:rFonts w:eastAsia="Times New Roman" w:cs="Arial"/>
          <w:color w:val="000000"/>
        </w:rPr>
        <w:t>”</w:t>
      </w:r>
      <w:r w:rsidR="00DE6328" w:rsidRPr="00CC12A4">
        <w:rPr>
          <w:rFonts w:eastAsia="Times New Roman" w:cs="Arial"/>
          <w:color w:val="000000"/>
        </w:rPr>
        <w:t>;</w:t>
      </w:r>
      <w:r w:rsidRPr="00CC12A4">
        <w:rPr>
          <w:rFonts w:eastAsia="Times New Roman" w:cs="Arial"/>
          <w:color w:val="000000"/>
        </w:rPr>
        <w:t xml:space="preserve"> it “intends to strengthen California law where it is weaker than the ADA</w:t>
      </w:r>
      <w:r w:rsidR="005E2220" w:rsidRPr="00CC12A4">
        <w:rPr>
          <w:rFonts w:eastAsia="Times New Roman" w:cs="Arial"/>
          <w:color w:val="000000"/>
        </w:rPr>
        <w:t>”</w:t>
      </w:r>
      <w:r w:rsidRPr="00CC12A4">
        <w:rPr>
          <w:rFonts w:eastAsia="Times New Roman" w:cs="Arial"/>
          <w:color w:val="000000"/>
        </w:rPr>
        <w:t xml:space="preserve"> and “[m]</w:t>
      </w:r>
      <w:proofErr w:type="spellStart"/>
      <w:r w:rsidRPr="00CC12A4">
        <w:rPr>
          <w:rFonts w:eastAsia="Times New Roman" w:cs="Arial"/>
          <w:color w:val="000000"/>
        </w:rPr>
        <w:t>odify</w:t>
      </w:r>
      <w:proofErr w:type="spellEnd"/>
      <w:r w:rsidRPr="00CC12A4">
        <w:rPr>
          <w:rFonts w:eastAsia="Times New Roman" w:cs="Arial"/>
          <w:color w:val="000000"/>
        </w:rPr>
        <w:t xml:space="preserve"> the language contained in state anti-discrimination laws to ensure that the protections are given to individuals with physical or mental disabilities</w:t>
      </w:r>
      <w:r w:rsidR="00DE6328" w:rsidRPr="00CC12A4">
        <w:rPr>
          <w:rFonts w:eastAsia="Times New Roman" w:cs="Arial"/>
          <w:color w:val="000000"/>
        </w:rPr>
        <w:t>,</w:t>
      </w:r>
      <w:r w:rsidRPr="00CC12A4">
        <w:rPr>
          <w:rFonts w:eastAsia="Times New Roman" w:cs="Arial"/>
          <w:color w:val="000000"/>
        </w:rPr>
        <w:t>”</w:t>
      </w:r>
      <w:r w:rsidR="00DE6328" w:rsidRPr="00CC12A4">
        <w:rPr>
          <w:rFonts w:eastAsia="Times New Roman" w:cs="Arial"/>
          <w:color w:val="000000"/>
        </w:rPr>
        <w:t xml:space="preserve"> underscoring omitted</w:t>
      </w:r>
      <w:r w:rsidRPr="00CC12A4">
        <w:rPr>
          <w:rFonts w:eastAsia="Times New Roman" w:cs="Arial"/>
          <w:color w:val="000000"/>
        </w:rPr>
        <w:t>]</w:t>
      </w:r>
      <w:r w:rsidR="00302E62" w:rsidRPr="00CC12A4">
        <w:rPr>
          <w:rFonts w:eastAsia="Times New Roman" w:cs="Arial"/>
          <w:color w:val="000000"/>
        </w:rPr>
        <w:t>; Assem. Ways. &amp; Means Com</w:t>
      </w:r>
      <w:r w:rsidR="000311EC" w:rsidRPr="00CC12A4">
        <w:rPr>
          <w:rFonts w:eastAsia="Times New Roman" w:cs="Arial"/>
          <w:color w:val="000000"/>
        </w:rPr>
        <w:t>., Analysis of</w:t>
      </w:r>
      <w:r w:rsidR="00302E62" w:rsidRPr="00CC12A4">
        <w:rPr>
          <w:rFonts w:eastAsia="Times New Roman" w:cs="Arial"/>
          <w:color w:val="000000"/>
        </w:rPr>
        <w:t xml:space="preserve"> A</w:t>
      </w:r>
      <w:r w:rsidR="003976FD" w:rsidRPr="00CC12A4">
        <w:rPr>
          <w:rFonts w:eastAsia="Times New Roman" w:cs="Arial"/>
          <w:color w:val="000000"/>
        </w:rPr>
        <w:t>ssem. Bill No.</w:t>
      </w:r>
      <w:r w:rsidR="00302E62" w:rsidRPr="00CC12A4">
        <w:rPr>
          <w:rFonts w:eastAsia="Times New Roman" w:cs="Arial"/>
          <w:color w:val="000000"/>
        </w:rPr>
        <w:t xml:space="preserve"> 1077</w:t>
      </w:r>
      <w:r w:rsidR="003976FD" w:rsidRPr="00CC12A4">
        <w:rPr>
          <w:rFonts w:eastAsia="Times New Roman" w:cs="Arial"/>
          <w:color w:val="000000"/>
        </w:rPr>
        <w:t xml:space="preserve"> (1991-1992 Reg. Sess.) </w:t>
      </w:r>
      <w:r w:rsidR="00302E62" w:rsidRPr="00CC12A4">
        <w:rPr>
          <w:rFonts w:eastAsia="Times New Roman" w:cs="Arial"/>
          <w:color w:val="000000"/>
        </w:rPr>
        <w:t>as amend</w:t>
      </w:r>
      <w:r w:rsidR="00832787">
        <w:rPr>
          <w:rFonts w:eastAsia="Times New Roman" w:cs="Arial"/>
          <w:color w:val="000000"/>
        </w:rPr>
        <w:t>ed</w:t>
      </w:r>
      <w:r w:rsidR="00302E62" w:rsidRPr="00CC12A4">
        <w:rPr>
          <w:rFonts w:eastAsia="Times New Roman" w:cs="Arial"/>
          <w:color w:val="000000"/>
        </w:rPr>
        <w:t xml:space="preserve"> </w:t>
      </w:r>
      <w:r w:rsidR="000311EC" w:rsidRPr="00CC12A4">
        <w:rPr>
          <w:rFonts w:eastAsia="Times New Roman" w:cs="Arial"/>
          <w:color w:val="000000"/>
        </w:rPr>
        <w:t>Jan. 1, 1992, p. 1 [</w:t>
      </w:r>
      <w:r w:rsidR="00302E62" w:rsidRPr="00CC12A4">
        <w:rPr>
          <w:rFonts w:eastAsia="Times New Roman" w:cs="Arial"/>
          <w:color w:val="000000"/>
        </w:rPr>
        <w:t>bill “generally places protections afforded the disabled under the ADA into state law”].)</w:t>
      </w:r>
      <w:r w:rsidRPr="00CC12A4">
        <w:rPr>
          <w:rFonts w:eastAsia="Times New Roman" w:cs="Arial"/>
          <w:color w:val="000000"/>
        </w:rPr>
        <w:t xml:space="preserve"> </w:t>
      </w:r>
    </w:p>
    <w:p w14:paraId="5F4BF6E1" w14:textId="77777777" w:rsidR="00900440" w:rsidRPr="00CC12A4" w:rsidRDefault="00302E62" w:rsidP="00900440">
      <w:pPr>
        <w:spacing w:line="360" w:lineRule="auto"/>
        <w:rPr>
          <w:rFonts w:eastAsia="Times New Roman" w:cs="Arial"/>
          <w:color w:val="000000"/>
        </w:rPr>
      </w:pPr>
      <w:r w:rsidRPr="00CC12A4">
        <w:rPr>
          <w:rFonts w:eastAsia="Times New Roman" w:cs="Arial"/>
          <w:color w:val="000000"/>
        </w:rPr>
        <w:tab/>
      </w:r>
      <w:r w:rsidR="00A9263C" w:rsidRPr="00CC12A4">
        <w:rPr>
          <w:rFonts w:eastAsia="Times New Roman" w:cs="Arial"/>
          <w:color w:val="000000"/>
        </w:rPr>
        <w:t xml:space="preserve">For virtually the entire time the bill was moving through the legislature, the pertinent language stated: “A violation of the right of any individual under the Americans With Disabilities Act of 1990 (Public Law 101-336) with respect to public accommodations subject thereto shall also </w:t>
      </w:r>
      <w:r w:rsidR="00A9263C" w:rsidRPr="00CC12A4">
        <w:rPr>
          <w:rFonts w:eastAsia="Times New Roman" w:cs="Arial"/>
          <w:color w:val="000000"/>
        </w:rPr>
        <w:lastRenderedPageBreak/>
        <w:t>constitute a violation of this section.”  (A</w:t>
      </w:r>
      <w:r w:rsidR="002F6596" w:rsidRPr="00CC12A4">
        <w:rPr>
          <w:rFonts w:eastAsia="Times New Roman" w:cs="Arial"/>
          <w:color w:val="000000"/>
        </w:rPr>
        <w:t xml:space="preserve">ssem. Bill No. </w:t>
      </w:r>
      <w:r w:rsidR="00A9263C" w:rsidRPr="00CC12A4">
        <w:rPr>
          <w:rFonts w:eastAsia="Times New Roman" w:cs="Arial"/>
          <w:color w:val="000000"/>
        </w:rPr>
        <w:t>1077</w:t>
      </w:r>
      <w:r w:rsidR="003976FD" w:rsidRPr="00CC12A4">
        <w:rPr>
          <w:rFonts w:eastAsia="Times New Roman" w:cs="Arial"/>
          <w:color w:val="000000"/>
        </w:rPr>
        <w:t xml:space="preserve"> (1991</w:t>
      </w:r>
      <w:r w:rsidR="00832787" w:rsidRPr="00E336A2">
        <w:rPr>
          <w:rFonts w:eastAsia="Times New Roman" w:cs="Arial"/>
          <w:color w:val="000000"/>
        </w:rPr>
        <w:t>–</w:t>
      </w:r>
      <w:r w:rsidR="003976FD" w:rsidRPr="00CC12A4">
        <w:rPr>
          <w:rFonts w:eastAsia="Times New Roman" w:cs="Arial"/>
          <w:color w:val="000000"/>
        </w:rPr>
        <w:t>1992 Reg. Sess.)</w:t>
      </w:r>
      <w:r w:rsidR="00A9263C" w:rsidRPr="00CC12A4">
        <w:rPr>
          <w:rFonts w:eastAsia="Times New Roman" w:cs="Arial"/>
          <w:color w:val="000000"/>
        </w:rPr>
        <w:t xml:space="preserve"> as amend</w:t>
      </w:r>
      <w:r w:rsidR="00832787">
        <w:rPr>
          <w:rFonts w:eastAsia="Times New Roman" w:cs="Arial"/>
          <w:color w:val="000000"/>
        </w:rPr>
        <w:t>ed</w:t>
      </w:r>
      <w:r w:rsidR="00A9263C" w:rsidRPr="00CC12A4">
        <w:rPr>
          <w:rFonts w:eastAsia="Times New Roman" w:cs="Arial"/>
          <w:color w:val="000000"/>
        </w:rPr>
        <w:t xml:space="preserve"> </w:t>
      </w:r>
      <w:r w:rsidR="000311EC" w:rsidRPr="00CC12A4">
        <w:rPr>
          <w:rFonts w:eastAsia="Times New Roman" w:cs="Arial"/>
          <w:color w:val="000000"/>
        </w:rPr>
        <w:t>Apr</w:t>
      </w:r>
      <w:r w:rsidR="00832787">
        <w:rPr>
          <w:rFonts w:eastAsia="Times New Roman" w:cs="Arial"/>
          <w:color w:val="000000"/>
        </w:rPr>
        <w:t>.</w:t>
      </w:r>
      <w:r w:rsidR="000311EC" w:rsidRPr="00CC12A4">
        <w:rPr>
          <w:rFonts w:eastAsia="Times New Roman" w:cs="Arial"/>
          <w:color w:val="000000"/>
        </w:rPr>
        <w:t xml:space="preserve"> 18</w:t>
      </w:r>
      <w:r w:rsidR="00A9263C" w:rsidRPr="00CC12A4">
        <w:rPr>
          <w:rFonts w:eastAsia="Times New Roman" w:cs="Arial"/>
          <w:color w:val="000000"/>
        </w:rPr>
        <w:t>,</w:t>
      </w:r>
      <w:r w:rsidR="000311EC" w:rsidRPr="00CC12A4">
        <w:rPr>
          <w:rFonts w:eastAsia="Times New Roman" w:cs="Arial"/>
          <w:color w:val="000000"/>
        </w:rPr>
        <w:t xml:space="preserve"> 1991,</w:t>
      </w:r>
      <w:r w:rsidR="00A9263C" w:rsidRPr="00CC12A4">
        <w:rPr>
          <w:rFonts w:eastAsia="Times New Roman" w:cs="Arial"/>
          <w:color w:val="000000"/>
        </w:rPr>
        <w:t xml:space="preserve"> </w:t>
      </w:r>
      <w:r w:rsidR="000311EC" w:rsidRPr="00CC12A4">
        <w:t>§</w:t>
      </w:r>
      <w:r w:rsidR="00A9263C" w:rsidRPr="00CC12A4">
        <w:rPr>
          <w:rFonts w:eastAsia="Times New Roman" w:cs="Arial"/>
          <w:color w:val="000000"/>
        </w:rPr>
        <w:t xml:space="preserve"> 2</w:t>
      </w:r>
      <w:r w:rsidR="000311EC" w:rsidRPr="00CC12A4">
        <w:rPr>
          <w:rFonts w:eastAsia="Times New Roman" w:cs="Arial"/>
          <w:color w:val="000000"/>
        </w:rPr>
        <w:t xml:space="preserve">, </w:t>
      </w:r>
      <w:r w:rsidR="00BF4883" w:rsidRPr="00CC12A4">
        <w:rPr>
          <w:rFonts w:eastAsia="Times New Roman" w:cs="Arial"/>
          <w:color w:val="000000"/>
        </w:rPr>
        <w:t>p</w:t>
      </w:r>
      <w:r w:rsidR="000311EC" w:rsidRPr="00CC12A4">
        <w:rPr>
          <w:rFonts w:eastAsia="Times New Roman" w:cs="Arial"/>
          <w:color w:val="000000"/>
        </w:rPr>
        <w:t>p. 8</w:t>
      </w:r>
      <w:r w:rsidR="00832787" w:rsidRPr="00E336A2">
        <w:rPr>
          <w:rFonts w:eastAsia="Times New Roman" w:cs="Arial"/>
          <w:color w:val="000000"/>
        </w:rPr>
        <w:t>–</w:t>
      </w:r>
      <w:r w:rsidR="00BF4883" w:rsidRPr="00CC12A4">
        <w:rPr>
          <w:rFonts w:eastAsia="Times New Roman" w:cs="Arial"/>
          <w:color w:val="000000"/>
        </w:rPr>
        <w:t>9</w:t>
      </w:r>
      <w:r w:rsidR="00A9263C" w:rsidRPr="00CC12A4">
        <w:rPr>
          <w:rFonts w:eastAsia="Times New Roman" w:cs="Arial"/>
          <w:color w:val="000000"/>
        </w:rPr>
        <w:t xml:space="preserve">.)  The </w:t>
      </w:r>
      <w:r w:rsidR="000F594C" w:rsidRPr="00CC12A4">
        <w:rPr>
          <w:rFonts w:eastAsia="Times New Roman" w:cs="Arial"/>
          <w:color w:val="000000"/>
        </w:rPr>
        <w:t xml:space="preserve">Unruh </w:t>
      </w:r>
      <w:r w:rsidR="00A9263C" w:rsidRPr="00CC12A4">
        <w:rPr>
          <w:rFonts w:eastAsia="Times New Roman" w:cs="Arial"/>
          <w:color w:val="000000"/>
        </w:rPr>
        <w:t xml:space="preserve">Act was not broken into subdivisions at the time, but </w:t>
      </w:r>
      <w:proofErr w:type="gramStart"/>
      <w:r w:rsidR="00A9263C" w:rsidRPr="00CC12A4">
        <w:rPr>
          <w:rFonts w:eastAsia="Times New Roman" w:cs="Arial"/>
          <w:color w:val="000000"/>
        </w:rPr>
        <w:t>rather was</w:t>
      </w:r>
      <w:proofErr w:type="gramEnd"/>
      <w:r w:rsidR="00A9263C" w:rsidRPr="00CC12A4">
        <w:rPr>
          <w:rFonts w:eastAsia="Times New Roman" w:cs="Arial"/>
          <w:color w:val="000000"/>
        </w:rPr>
        <w:t xml:space="preserve"> set forth </w:t>
      </w:r>
      <w:r w:rsidR="000F594C" w:rsidRPr="00CC12A4">
        <w:rPr>
          <w:rFonts w:eastAsia="Times New Roman" w:cs="Arial"/>
          <w:color w:val="000000"/>
        </w:rPr>
        <w:t>as a whole</w:t>
      </w:r>
      <w:r w:rsidRPr="00CC12A4">
        <w:rPr>
          <w:rFonts w:eastAsia="Times New Roman" w:cs="Arial"/>
          <w:color w:val="000000"/>
        </w:rPr>
        <w:t xml:space="preserve"> in </w:t>
      </w:r>
      <w:r w:rsidR="00A9263C" w:rsidRPr="00CC12A4">
        <w:rPr>
          <w:rFonts w:eastAsia="Times New Roman" w:cs="Arial"/>
          <w:color w:val="000000"/>
        </w:rPr>
        <w:t>several paragraphs, th</w:t>
      </w:r>
      <w:r w:rsidR="000F594C" w:rsidRPr="00CC12A4">
        <w:rPr>
          <w:rFonts w:eastAsia="Times New Roman" w:cs="Arial"/>
          <w:color w:val="000000"/>
        </w:rPr>
        <w:t xml:space="preserve">e proposed </w:t>
      </w:r>
      <w:r w:rsidR="00A9263C" w:rsidRPr="00CC12A4">
        <w:rPr>
          <w:rFonts w:eastAsia="Times New Roman" w:cs="Arial"/>
          <w:color w:val="000000"/>
        </w:rPr>
        <w:t xml:space="preserve">language appearing as </w:t>
      </w:r>
      <w:r w:rsidR="005E2220" w:rsidRPr="00CC12A4">
        <w:rPr>
          <w:rFonts w:eastAsia="Times New Roman" w:cs="Arial"/>
          <w:color w:val="000000"/>
        </w:rPr>
        <w:t xml:space="preserve">the </w:t>
      </w:r>
      <w:r w:rsidR="00A9263C" w:rsidRPr="00CC12A4">
        <w:rPr>
          <w:rFonts w:eastAsia="Times New Roman" w:cs="Arial"/>
          <w:color w:val="000000"/>
        </w:rPr>
        <w:t>final paragraph of the statute.</w:t>
      </w:r>
      <w:r w:rsidR="008B2888" w:rsidRPr="00CC12A4">
        <w:rPr>
          <w:rFonts w:eastAsia="Times New Roman" w:cs="Arial"/>
          <w:color w:val="000000"/>
        </w:rPr>
        <w:t xml:space="preserve">  (</w:t>
      </w:r>
      <w:r w:rsidR="008B2888" w:rsidRPr="00CC12A4">
        <w:rPr>
          <w:rFonts w:eastAsia="Times New Roman" w:cs="Arial"/>
          <w:i/>
          <w:iCs/>
          <w:color w:val="000000"/>
        </w:rPr>
        <w:t>Ibid.</w:t>
      </w:r>
      <w:r w:rsidR="008B2888" w:rsidRPr="00CC12A4">
        <w:rPr>
          <w:rFonts w:eastAsia="Times New Roman" w:cs="Arial"/>
          <w:color w:val="000000"/>
        </w:rPr>
        <w:t>)</w:t>
      </w:r>
      <w:r w:rsidRPr="00CC12A4">
        <w:rPr>
          <w:rFonts w:eastAsia="Times New Roman" w:cs="Arial"/>
          <w:color w:val="000000"/>
        </w:rPr>
        <w:t xml:space="preserve">  </w:t>
      </w:r>
      <w:r w:rsidR="00291BD6" w:rsidRPr="00CC12A4">
        <w:rPr>
          <w:rFonts w:eastAsia="Times New Roman" w:cs="Arial"/>
          <w:color w:val="000000"/>
        </w:rPr>
        <w:t>Committe</w:t>
      </w:r>
      <w:r w:rsidR="00900440" w:rsidRPr="00CC12A4">
        <w:rPr>
          <w:rFonts w:eastAsia="Times New Roman" w:cs="Arial"/>
          <w:color w:val="000000"/>
        </w:rPr>
        <w:t>e</w:t>
      </w:r>
      <w:r w:rsidR="00291BD6" w:rsidRPr="00CC12A4">
        <w:rPr>
          <w:rFonts w:eastAsia="Times New Roman" w:cs="Arial"/>
          <w:color w:val="000000"/>
        </w:rPr>
        <w:t xml:space="preserve"> reports and analyses </w:t>
      </w:r>
      <w:r w:rsidR="00A9263C" w:rsidRPr="00CC12A4">
        <w:rPr>
          <w:rFonts w:eastAsia="Times New Roman" w:cs="Arial"/>
          <w:color w:val="000000"/>
        </w:rPr>
        <w:t>described th</w:t>
      </w:r>
      <w:r w:rsidRPr="00CC12A4">
        <w:rPr>
          <w:rFonts w:eastAsia="Times New Roman" w:cs="Arial"/>
          <w:color w:val="000000"/>
        </w:rPr>
        <w:t>is</w:t>
      </w:r>
      <w:r w:rsidR="00A9263C" w:rsidRPr="00CC12A4">
        <w:rPr>
          <w:rFonts w:eastAsia="Times New Roman" w:cs="Arial"/>
          <w:color w:val="000000"/>
        </w:rPr>
        <w:t xml:space="preserve"> proposed </w:t>
      </w:r>
      <w:r w:rsidR="000F594C" w:rsidRPr="00CC12A4">
        <w:rPr>
          <w:rFonts w:eastAsia="Times New Roman" w:cs="Arial"/>
          <w:color w:val="000000"/>
        </w:rPr>
        <w:t xml:space="preserve">addition to </w:t>
      </w:r>
      <w:r w:rsidR="00A9263C" w:rsidRPr="00CC12A4">
        <w:rPr>
          <w:rFonts w:eastAsia="Times New Roman" w:cs="Arial"/>
          <w:color w:val="000000"/>
        </w:rPr>
        <w:t>the Act</w:t>
      </w:r>
      <w:r w:rsidRPr="00CC12A4">
        <w:rPr>
          <w:rFonts w:eastAsia="Times New Roman" w:cs="Arial"/>
          <w:color w:val="000000"/>
        </w:rPr>
        <w:t xml:space="preserve"> </w:t>
      </w:r>
      <w:r w:rsidR="00A9263C" w:rsidRPr="00CC12A4">
        <w:rPr>
          <w:rFonts w:eastAsia="Times New Roman" w:cs="Arial"/>
          <w:color w:val="000000"/>
        </w:rPr>
        <w:t>as follows:</w:t>
      </w:r>
      <w:r w:rsidR="00291BD6" w:rsidRPr="00CC12A4">
        <w:rPr>
          <w:rFonts w:eastAsia="Times New Roman" w:cs="Arial"/>
          <w:color w:val="000000"/>
        </w:rPr>
        <w:t xml:space="preserve"> </w:t>
      </w:r>
      <w:r w:rsidR="00BF4883" w:rsidRPr="00CC12A4">
        <w:rPr>
          <w:rFonts w:eastAsia="Times New Roman" w:cs="Arial"/>
          <w:color w:val="000000"/>
        </w:rPr>
        <w:t xml:space="preserve"> </w:t>
      </w:r>
      <w:r w:rsidR="00291BD6" w:rsidRPr="00CC12A4">
        <w:rPr>
          <w:rFonts w:eastAsia="Times New Roman" w:cs="Arial"/>
          <w:color w:val="000000"/>
        </w:rPr>
        <w:t>“</w:t>
      </w:r>
      <w:r w:rsidR="00A9263C" w:rsidRPr="00CC12A4">
        <w:rPr>
          <w:rFonts w:eastAsia="Times New Roman" w:cs="Arial"/>
          <w:color w:val="000000"/>
        </w:rPr>
        <w:t>In regard to the Unruh Civil Rights Act [the bill will:]</w:t>
      </w:r>
      <w:r w:rsidR="00291BD6" w:rsidRPr="00CC12A4">
        <w:rPr>
          <w:rFonts w:eastAsia="Times New Roman" w:cs="Arial"/>
          <w:color w:val="000000"/>
        </w:rPr>
        <w:t xml:space="preserve"> </w:t>
      </w:r>
      <w:r w:rsidR="00A01349" w:rsidRPr="00CC12A4">
        <w:rPr>
          <w:rFonts w:eastAsia="Times New Roman" w:cs="Arial"/>
          <w:color w:val="000000"/>
        </w:rPr>
        <w:t xml:space="preserve">[¶] </w:t>
      </w:r>
      <w:r w:rsidR="00A9263C" w:rsidRPr="00CC12A4">
        <w:rPr>
          <w:rFonts w:eastAsia="Times New Roman" w:cs="Arial"/>
          <w:color w:val="000000"/>
        </w:rPr>
        <w:t>3)</w:t>
      </w:r>
      <w:r w:rsidR="002F6596" w:rsidRPr="00CC12A4">
        <w:rPr>
          <w:rFonts w:eastAsia="Times New Roman" w:cs="Arial"/>
          <w:color w:val="000000"/>
        </w:rPr>
        <w:t xml:space="preserve"> </w:t>
      </w:r>
      <w:r w:rsidR="00A9263C" w:rsidRPr="00CC12A4">
        <w:rPr>
          <w:rFonts w:eastAsia="Times New Roman" w:cs="Arial"/>
          <w:color w:val="000000"/>
        </w:rPr>
        <w:t xml:space="preserve">Include persons with mental disabilities in the enumerated classes of individuals protected by the </w:t>
      </w:r>
      <w:r w:rsidR="00DE6328" w:rsidRPr="00CC12A4">
        <w:rPr>
          <w:rFonts w:eastAsia="Times New Roman" w:cs="Arial"/>
          <w:color w:val="000000"/>
        </w:rPr>
        <w:t xml:space="preserve">Unruh </w:t>
      </w:r>
      <w:r w:rsidR="00A9263C" w:rsidRPr="00CC12A4">
        <w:rPr>
          <w:rFonts w:eastAsia="Times New Roman" w:cs="Arial"/>
          <w:color w:val="000000"/>
        </w:rPr>
        <w:t>Act.</w:t>
      </w:r>
      <w:r w:rsidR="00291BD6" w:rsidRPr="00CC12A4">
        <w:rPr>
          <w:rFonts w:eastAsia="Times New Roman" w:cs="Arial"/>
          <w:color w:val="000000"/>
        </w:rPr>
        <w:t xml:space="preserve"> </w:t>
      </w:r>
      <w:r w:rsidR="00A01349" w:rsidRPr="00CC12A4">
        <w:rPr>
          <w:rFonts w:eastAsia="Times New Roman" w:cs="Arial"/>
          <w:color w:val="000000"/>
        </w:rPr>
        <w:t>[¶</w:t>
      </w:r>
      <w:r w:rsidR="00291BD6" w:rsidRPr="00CC12A4">
        <w:rPr>
          <w:rFonts w:eastAsia="Times New Roman" w:cs="Arial"/>
          <w:color w:val="000000"/>
        </w:rPr>
        <w:t>]</w:t>
      </w:r>
      <w:r w:rsidR="002F6596" w:rsidRPr="00CC12A4">
        <w:rPr>
          <w:rFonts w:eastAsia="Times New Roman" w:cs="Arial"/>
          <w:color w:val="000000"/>
        </w:rPr>
        <w:t xml:space="preserve"> </w:t>
      </w:r>
      <w:r w:rsidR="00A9263C" w:rsidRPr="00CC12A4">
        <w:rPr>
          <w:rFonts w:eastAsia="Times New Roman" w:cs="Arial"/>
          <w:color w:val="000000"/>
        </w:rPr>
        <w:t>4)</w:t>
      </w:r>
      <w:r w:rsidR="00291BD6" w:rsidRPr="00CC12A4">
        <w:rPr>
          <w:rFonts w:eastAsia="Times New Roman" w:cs="Arial"/>
          <w:color w:val="000000"/>
        </w:rPr>
        <w:t xml:space="preserve"> </w:t>
      </w:r>
      <w:r w:rsidR="00A9263C" w:rsidRPr="00CC12A4">
        <w:rPr>
          <w:rFonts w:eastAsia="Times New Roman" w:cs="Arial"/>
          <w:color w:val="000000"/>
        </w:rPr>
        <w:t>Make a violation of the ADA a violation of the Unruh Act.  Thereby providing persons injured by a violation of the ADA with the remedies provided by the Unruh Act (e.g., right of private action for damages).</w:t>
      </w:r>
      <w:r w:rsidR="00DE6328" w:rsidRPr="00CC12A4">
        <w:rPr>
          <w:rFonts w:eastAsia="Times New Roman" w:cs="Arial"/>
          <w:color w:val="000000"/>
        </w:rPr>
        <w:t>”</w:t>
      </w:r>
      <w:r w:rsidR="00A9263C" w:rsidRPr="00CC12A4">
        <w:rPr>
          <w:rFonts w:eastAsia="Times New Roman" w:cs="Arial"/>
          <w:color w:val="000000"/>
        </w:rPr>
        <w:t xml:space="preserve">  (Assem.</w:t>
      </w:r>
      <w:r w:rsidR="00E47CBB" w:rsidRPr="00CC12A4">
        <w:rPr>
          <w:rFonts w:eastAsia="Times New Roman" w:cs="Arial"/>
          <w:color w:val="000000"/>
        </w:rPr>
        <w:t xml:space="preserve"> </w:t>
      </w:r>
      <w:r w:rsidR="00A9263C" w:rsidRPr="00CC12A4">
        <w:rPr>
          <w:rFonts w:eastAsia="Times New Roman" w:cs="Arial"/>
          <w:color w:val="000000"/>
        </w:rPr>
        <w:t>Com.</w:t>
      </w:r>
      <w:r w:rsidR="00E47CBB" w:rsidRPr="00CC12A4">
        <w:rPr>
          <w:rFonts w:eastAsia="Times New Roman" w:cs="Arial"/>
          <w:color w:val="000000"/>
        </w:rPr>
        <w:t xml:space="preserve"> </w:t>
      </w:r>
      <w:r w:rsidR="00832787">
        <w:rPr>
          <w:rFonts w:eastAsia="Times New Roman" w:cs="Arial"/>
          <w:color w:val="000000"/>
        </w:rPr>
        <w:t>o</w:t>
      </w:r>
      <w:r w:rsidR="00DE6328" w:rsidRPr="00CC12A4">
        <w:rPr>
          <w:rFonts w:eastAsia="Times New Roman" w:cs="Arial"/>
          <w:color w:val="000000"/>
        </w:rPr>
        <w:t>n Judiciary</w:t>
      </w:r>
      <w:r w:rsidR="00A9263C" w:rsidRPr="00CC12A4">
        <w:rPr>
          <w:rFonts w:eastAsia="Times New Roman" w:cs="Arial"/>
          <w:color w:val="000000"/>
        </w:rPr>
        <w:t>, A</w:t>
      </w:r>
      <w:r w:rsidR="003976FD" w:rsidRPr="00CC12A4">
        <w:rPr>
          <w:rFonts w:eastAsia="Times New Roman" w:cs="Arial"/>
          <w:color w:val="000000"/>
        </w:rPr>
        <w:t>ssem. Bill No.</w:t>
      </w:r>
      <w:r w:rsidR="00A9263C" w:rsidRPr="00CC12A4">
        <w:rPr>
          <w:rFonts w:eastAsia="Times New Roman" w:cs="Arial"/>
          <w:color w:val="000000"/>
        </w:rPr>
        <w:t xml:space="preserve"> 1077</w:t>
      </w:r>
      <w:r w:rsidR="003976FD" w:rsidRPr="00CC12A4">
        <w:rPr>
          <w:rFonts w:eastAsia="Times New Roman" w:cs="Arial"/>
          <w:color w:val="000000"/>
        </w:rPr>
        <w:t xml:space="preserve"> (1991</w:t>
      </w:r>
      <w:r w:rsidR="00832787" w:rsidRPr="00E336A2">
        <w:rPr>
          <w:rFonts w:eastAsia="Times New Roman" w:cs="Arial"/>
          <w:color w:val="000000"/>
        </w:rPr>
        <w:t>–</w:t>
      </w:r>
      <w:r w:rsidR="003976FD" w:rsidRPr="00CC12A4">
        <w:rPr>
          <w:rFonts w:eastAsia="Times New Roman" w:cs="Arial"/>
          <w:color w:val="000000"/>
        </w:rPr>
        <w:t xml:space="preserve">1992 Reg. Sess.) </w:t>
      </w:r>
      <w:r w:rsidR="00A9263C" w:rsidRPr="00CC12A4">
        <w:rPr>
          <w:rFonts w:eastAsia="Times New Roman" w:cs="Arial"/>
          <w:color w:val="000000"/>
        </w:rPr>
        <w:t xml:space="preserve">as amended </w:t>
      </w:r>
      <w:r w:rsidR="00DE6328" w:rsidRPr="00CC12A4">
        <w:rPr>
          <w:rFonts w:eastAsia="Times New Roman" w:cs="Arial"/>
          <w:color w:val="000000"/>
        </w:rPr>
        <w:t xml:space="preserve">Jan. </w:t>
      </w:r>
      <w:r w:rsidR="00A9263C" w:rsidRPr="00CC12A4">
        <w:rPr>
          <w:rFonts w:eastAsia="Times New Roman" w:cs="Arial"/>
          <w:color w:val="000000"/>
        </w:rPr>
        <w:t>6</w:t>
      </w:r>
      <w:r w:rsidR="00DE6328" w:rsidRPr="00CC12A4">
        <w:rPr>
          <w:rFonts w:eastAsia="Times New Roman" w:cs="Arial"/>
          <w:color w:val="000000"/>
        </w:rPr>
        <w:t>, 19</w:t>
      </w:r>
      <w:r w:rsidR="00A9263C" w:rsidRPr="00CC12A4">
        <w:rPr>
          <w:rFonts w:eastAsia="Times New Roman" w:cs="Arial"/>
          <w:color w:val="000000"/>
        </w:rPr>
        <w:t>92, p. 2</w:t>
      </w:r>
      <w:r w:rsidR="00DE6328" w:rsidRPr="00CC12A4">
        <w:rPr>
          <w:rFonts w:eastAsia="Times New Roman" w:cs="Arial"/>
          <w:color w:val="000000"/>
        </w:rPr>
        <w:t>, underscoring omitted</w:t>
      </w:r>
      <w:r w:rsidR="00900440" w:rsidRPr="00CC12A4">
        <w:rPr>
          <w:rFonts w:eastAsia="Times New Roman" w:cs="Arial"/>
          <w:color w:val="000000"/>
        </w:rPr>
        <w:t>; accord Assem</w:t>
      </w:r>
      <w:r w:rsidR="000F594C" w:rsidRPr="00CC12A4">
        <w:rPr>
          <w:rFonts w:eastAsia="Times New Roman" w:cs="Arial"/>
          <w:color w:val="000000"/>
        </w:rPr>
        <w:t>.</w:t>
      </w:r>
      <w:r w:rsidR="00BF4883" w:rsidRPr="00CC12A4">
        <w:rPr>
          <w:rFonts w:eastAsia="Times New Roman" w:cs="Arial"/>
          <w:color w:val="000000"/>
        </w:rPr>
        <w:t xml:space="preserve"> Com. on Transportation,</w:t>
      </w:r>
      <w:r w:rsidR="00900440" w:rsidRPr="00CC12A4">
        <w:rPr>
          <w:rFonts w:eastAsia="Times New Roman" w:cs="Arial"/>
          <w:color w:val="000000"/>
        </w:rPr>
        <w:t xml:space="preserve"> </w:t>
      </w:r>
      <w:r w:rsidR="00FB7EFC" w:rsidRPr="00CC12A4">
        <w:rPr>
          <w:rFonts w:eastAsia="Times New Roman" w:cs="Arial"/>
          <w:color w:val="000000"/>
        </w:rPr>
        <w:t>3d</w:t>
      </w:r>
      <w:r w:rsidR="00900440" w:rsidRPr="00CC12A4">
        <w:rPr>
          <w:rFonts w:eastAsia="Times New Roman" w:cs="Arial"/>
          <w:color w:val="000000"/>
        </w:rPr>
        <w:t xml:space="preserve"> </w:t>
      </w:r>
      <w:r w:rsidR="00BF4883" w:rsidRPr="00CC12A4">
        <w:rPr>
          <w:rFonts w:eastAsia="Times New Roman" w:cs="Arial"/>
          <w:color w:val="000000"/>
        </w:rPr>
        <w:t>r</w:t>
      </w:r>
      <w:r w:rsidR="00900440" w:rsidRPr="00CC12A4">
        <w:rPr>
          <w:rFonts w:eastAsia="Times New Roman" w:cs="Arial"/>
          <w:color w:val="000000"/>
        </w:rPr>
        <w:t>eading</w:t>
      </w:r>
      <w:r w:rsidR="00BF4883" w:rsidRPr="00CC12A4">
        <w:rPr>
          <w:rFonts w:eastAsia="Times New Roman" w:cs="Arial"/>
          <w:color w:val="000000"/>
        </w:rPr>
        <w:t xml:space="preserve"> of</w:t>
      </w:r>
      <w:r w:rsidR="00900440" w:rsidRPr="00CC12A4">
        <w:rPr>
          <w:rFonts w:eastAsia="Times New Roman" w:cs="Arial"/>
          <w:color w:val="000000"/>
        </w:rPr>
        <w:t xml:space="preserve"> A</w:t>
      </w:r>
      <w:r w:rsidR="00FB7EFC" w:rsidRPr="00CC12A4">
        <w:rPr>
          <w:rFonts w:eastAsia="Times New Roman" w:cs="Arial"/>
          <w:color w:val="000000"/>
        </w:rPr>
        <w:t>ssem. Bill No.</w:t>
      </w:r>
      <w:r w:rsidR="00900440" w:rsidRPr="00CC12A4">
        <w:rPr>
          <w:rFonts w:eastAsia="Times New Roman" w:cs="Arial"/>
          <w:color w:val="000000"/>
        </w:rPr>
        <w:t xml:space="preserve"> 1077</w:t>
      </w:r>
      <w:r w:rsidR="00FB7EFC" w:rsidRPr="00CC12A4">
        <w:rPr>
          <w:rFonts w:eastAsia="Times New Roman" w:cs="Arial"/>
          <w:color w:val="000000"/>
        </w:rPr>
        <w:t xml:space="preserve"> (1991</w:t>
      </w:r>
      <w:r w:rsidR="00832787" w:rsidRPr="00E336A2">
        <w:rPr>
          <w:rFonts w:eastAsia="Times New Roman" w:cs="Arial"/>
          <w:color w:val="000000"/>
        </w:rPr>
        <w:t>–</w:t>
      </w:r>
      <w:r w:rsidR="00FB7EFC" w:rsidRPr="00CC12A4">
        <w:rPr>
          <w:rFonts w:eastAsia="Times New Roman" w:cs="Arial"/>
          <w:color w:val="000000"/>
        </w:rPr>
        <w:t>1992 Reg. Sess.)</w:t>
      </w:r>
      <w:r w:rsidR="00900440" w:rsidRPr="00CC12A4">
        <w:rPr>
          <w:rFonts w:eastAsia="Times New Roman" w:cs="Arial"/>
          <w:color w:val="000000"/>
        </w:rPr>
        <w:t xml:space="preserve"> as amend</w:t>
      </w:r>
      <w:r w:rsidR="00832787">
        <w:rPr>
          <w:rFonts w:eastAsia="Times New Roman" w:cs="Arial"/>
          <w:color w:val="000000"/>
        </w:rPr>
        <w:t>ed</w:t>
      </w:r>
      <w:r w:rsidR="00900440" w:rsidRPr="00CC12A4">
        <w:rPr>
          <w:rFonts w:eastAsia="Times New Roman" w:cs="Arial"/>
          <w:color w:val="000000"/>
        </w:rPr>
        <w:t xml:space="preserve"> </w:t>
      </w:r>
      <w:r w:rsidR="00FB7EFC" w:rsidRPr="00CC12A4">
        <w:rPr>
          <w:rFonts w:eastAsia="Times New Roman" w:cs="Arial"/>
          <w:color w:val="000000"/>
        </w:rPr>
        <w:t>Jan. 29, 1992</w:t>
      </w:r>
      <w:r w:rsidR="00BF4883" w:rsidRPr="00CC12A4">
        <w:rPr>
          <w:rFonts w:eastAsia="Times New Roman" w:cs="Arial"/>
          <w:color w:val="000000"/>
        </w:rPr>
        <w:t>, p. 1</w:t>
      </w:r>
      <w:r w:rsidR="00900440" w:rsidRPr="00CC12A4">
        <w:rPr>
          <w:rFonts w:eastAsia="Times New Roman" w:cs="Arial"/>
          <w:color w:val="000000"/>
        </w:rPr>
        <w:t>.</w:t>
      </w:r>
      <w:r w:rsidR="00E63FA7" w:rsidRPr="00CC12A4">
        <w:rPr>
          <w:rFonts w:eastAsia="Times New Roman" w:cs="Arial"/>
          <w:color w:val="000000"/>
        </w:rPr>
        <w:t>)</w:t>
      </w:r>
      <w:r w:rsidR="003976FD" w:rsidRPr="00CC12A4">
        <w:rPr>
          <w:rFonts w:eastAsia="Times New Roman" w:cs="Arial"/>
          <w:color w:val="000000"/>
        </w:rPr>
        <w:t xml:space="preserve"> </w:t>
      </w:r>
    </w:p>
    <w:p w14:paraId="004B11C0" w14:textId="77777777" w:rsidR="00106814" w:rsidRPr="00CC12A4" w:rsidRDefault="00900440" w:rsidP="00900440">
      <w:pPr>
        <w:spacing w:line="360" w:lineRule="auto"/>
        <w:rPr>
          <w:rFonts w:eastAsia="Times New Roman" w:cs="Arial"/>
          <w:color w:val="000000"/>
        </w:rPr>
      </w:pPr>
      <w:r w:rsidRPr="00CC12A4">
        <w:rPr>
          <w:rFonts w:eastAsia="Times New Roman" w:cs="Arial"/>
          <w:color w:val="000000"/>
        </w:rPr>
        <w:tab/>
      </w:r>
      <w:r w:rsidR="00A9263C" w:rsidRPr="00CC12A4">
        <w:rPr>
          <w:rFonts w:eastAsia="Times New Roman" w:cs="Arial"/>
          <w:color w:val="000000"/>
        </w:rPr>
        <w:t>Th</w:t>
      </w:r>
      <w:r w:rsidR="000F594C" w:rsidRPr="00CC12A4">
        <w:rPr>
          <w:rFonts w:eastAsia="Times New Roman" w:cs="Arial"/>
          <w:color w:val="000000"/>
        </w:rPr>
        <w:t xml:space="preserve">e proposed </w:t>
      </w:r>
      <w:r w:rsidR="00A9263C" w:rsidRPr="00CC12A4">
        <w:rPr>
          <w:rFonts w:eastAsia="Times New Roman" w:cs="Arial"/>
          <w:color w:val="000000"/>
        </w:rPr>
        <w:t>language</w:t>
      </w:r>
      <w:r w:rsidR="005E2220" w:rsidRPr="00CC12A4">
        <w:rPr>
          <w:rFonts w:eastAsia="Times New Roman" w:cs="Arial"/>
          <w:color w:val="000000"/>
        </w:rPr>
        <w:t xml:space="preserve"> </w:t>
      </w:r>
      <w:r w:rsidR="00A9263C" w:rsidRPr="00CC12A4">
        <w:rPr>
          <w:rFonts w:eastAsia="Times New Roman" w:cs="Arial"/>
          <w:color w:val="000000"/>
        </w:rPr>
        <w:t xml:space="preserve">continued unchanged from its </w:t>
      </w:r>
      <w:r w:rsidRPr="00CC12A4">
        <w:rPr>
          <w:rFonts w:eastAsia="Times New Roman" w:cs="Arial"/>
          <w:color w:val="000000"/>
        </w:rPr>
        <w:t>in</w:t>
      </w:r>
      <w:r w:rsidR="000F594C" w:rsidRPr="00CC12A4">
        <w:rPr>
          <w:rFonts w:eastAsia="Times New Roman" w:cs="Arial"/>
          <w:color w:val="000000"/>
        </w:rPr>
        <w:t>i</w:t>
      </w:r>
      <w:r w:rsidRPr="00CC12A4">
        <w:rPr>
          <w:rFonts w:eastAsia="Times New Roman" w:cs="Arial"/>
          <w:color w:val="000000"/>
        </w:rPr>
        <w:t xml:space="preserve">tial </w:t>
      </w:r>
      <w:r w:rsidR="00A9263C" w:rsidRPr="00CC12A4">
        <w:rPr>
          <w:rFonts w:eastAsia="Times New Roman" w:cs="Arial"/>
          <w:color w:val="000000"/>
        </w:rPr>
        <w:t>inclusion in the bill in April 199</w:t>
      </w:r>
      <w:r w:rsidR="000F594C" w:rsidRPr="00CC12A4">
        <w:rPr>
          <w:rFonts w:eastAsia="Times New Roman" w:cs="Arial"/>
          <w:color w:val="000000"/>
        </w:rPr>
        <w:t>1</w:t>
      </w:r>
      <w:r w:rsidR="00A9263C" w:rsidRPr="00CC12A4">
        <w:rPr>
          <w:rFonts w:eastAsia="Times New Roman" w:cs="Arial"/>
          <w:color w:val="000000"/>
        </w:rPr>
        <w:t xml:space="preserve"> until the next to final round of amendments on July 6, 199</w:t>
      </w:r>
      <w:r w:rsidRPr="00CC12A4">
        <w:rPr>
          <w:rFonts w:eastAsia="Times New Roman" w:cs="Arial"/>
          <w:color w:val="000000"/>
        </w:rPr>
        <w:t>2</w:t>
      </w:r>
      <w:r w:rsidR="00A9263C" w:rsidRPr="00CC12A4">
        <w:rPr>
          <w:rFonts w:eastAsia="Times New Roman" w:cs="Arial"/>
          <w:color w:val="000000"/>
        </w:rPr>
        <w:t>.  (A</w:t>
      </w:r>
      <w:r w:rsidR="002F6596" w:rsidRPr="00CC12A4">
        <w:rPr>
          <w:rFonts w:eastAsia="Times New Roman" w:cs="Arial"/>
          <w:color w:val="000000"/>
        </w:rPr>
        <w:t>ssem. Bill No.</w:t>
      </w:r>
      <w:r w:rsidR="00A9263C" w:rsidRPr="00CC12A4">
        <w:rPr>
          <w:rFonts w:eastAsia="Times New Roman" w:cs="Arial"/>
          <w:color w:val="000000"/>
        </w:rPr>
        <w:t xml:space="preserve"> 1077</w:t>
      </w:r>
      <w:r w:rsidR="003976FD" w:rsidRPr="00CC12A4">
        <w:rPr>
          <w:rFonts w:eastAsia="Times New Roman" w:cs="Arial"/>
          <w:color w:val="000000"/>
        </w:rPr>
        <w:t xml:space="preserve"> </w:t>
      </w:r>
      <w:r w:rsidR="00FB7EFC" w:rsidRPr="00CC12A4">
        <w:rPr>
          <w:rFonts w:eastAsia="Times New Roman" w:cs="Arial"/>
          <w:color w:val="000000"/>
        </w:rPr>
        <w:t>(1991</w:t>
      </w:r>
      <w:r w:rsidR="00832787" w:rsidRPr="00E336A2">
        <w:rPr>
          <w:rFonts w:eastAsia="Times New Roman" w:cs="Arial"/>
          <w:color w:val="000000"/>
        </w:rPr>
        <w:t>–</w:t>
      </w:r>
      <w:r w:rsidR="00FB7EFC" w:rsidRPr="00CC12A4">
        <w:rPr>
          <w:rFonts w:eastAsia="Times New Roman" w:cs="Arial"/>
          <w:color w:val="000000"/>
        </w:rPr>
        <w:t xml:space="preserve">1992 Reg. Sess.) </w:t>
      </w:r>
      <w:r w:rsidR="00A9263C" w:rsidRPr="00CC12A4">
        <w:rPr>
          <w:rFonts w:eastAsia="Times New Roman" w:cs="Arial"/>
          <w:color w:val="000000"/>
        </w:rPr>
        <w:t>as amend</w:t>
      </w:r>
      <w:r w:rsidR="00832787">
        <w:rPr>
          <w:rFonts w:eastAsia="Times New Roman" w:cs="Arial"/>
          <w:color w:val="000000"/>
        </w:rPr>
        <w:t>ed</w:t>
      </w:r>
      <w:r w:rsidR="000F594C" w:rsidRPr="00CC12A4">
        <w:rPr>
          <w:rFonts w:eastAsia="Times New Roman" w:cs="Arial"/>
          <w:color w:val="000000"/>
        </w:rPr>
        <w:t xml:space="preserve"> </w:t>
      </w:r>
      <w:r w:rsidR="00E5054E" w:rsidRPr="00CC12A4">
        <w:rPr>
          <w:rFonts w:eastAsia="Times New Roman" w:cs="Arial"/>
          <w:color w:val="000000"/>
        </w:rPr>
        <w:t>Apr</w:t>
      </w:r>
      <w:r w:rsidR="00832787">
        <w:rPr>
          <w:rFonts w:eastAsia="Times New Roman" w:cs="Arial"/>
          <w:color w:val="000000"/>
        </w:rPr>
        <w:t>.</w:t>
      </w:r>
      <w:r w:rsidR="00E5054E" w:rsidRPr="00CC12A4">
        <w:rPr>
          <w:rFonts w:eastAsia="Times New Roman" w:cs="Arial"/>
          <w:color w:val="000000"/>
        </w:rPr>
        <w:t xml:space="preserve"> </w:t>
      </w:r>
      <w:r w:rsidR="000F594C" w:rsidRPr="00CC12A4">
        <w:rPr>
          <w:rFonts w:eastAsia="Times New Roman" w:cs="Arial"/>
          <w:color w:val="000000"/>
        </w:rPr>
        <w:t>18</w:t>
      </w:r>
      <w:r w:rsidR="00E5054E" w:rsidRPr="00CC12A4">
        <w:rPr>
          <w:rFonts w:eastAsia="Times New Roman" w:cs="Arial"/>
          <w:color w:val="000000"/>
        </w:rPr>
        <w:t>, 19</w:t>
      </w:r>
      <w:r w:rsidR="000F594C" w:rsidRPr="00CC12A4">
        <w:rPr>
          <w:rFonts w:eastAsia="Times New Roman" w:cs="Arial"/>
          <w:color w:val="000000"/>
        </w:rPr>
        <w:t xml:space="preserve">91, </w:t>
      </w:r>
      <w:r w:rsidR="00E5054E" w:rsidRPr="00CC12A4">
        <w:t>§</w:t>
      </w:r>
      <w:r w:rsidR="000F594C" w:rsidRPr="00CC12A4">
        <w:rPr>
          <w:rFonts w:eastAsia="Times New Roman" w:cs="Arial"/>
          <w:color w:val="000000"/>
        </w:rPr>
        <w:t xml:space="preserve"> 2; A</w:t>
      </w:r>
      <w:r w:rsidR="002F6596" w:rsidRPr="00CC12A4">
        <w:rPr>
          <w:rFonts w:eastAsia="Times New Roman" w:cs="Arial"/>
          <w:color w:val="000000"/>
        </w:rPr>
        <w:t>ssem. Bill No.</w:t>
      </w:r>
      <w:r w:rsidR="000F594C" w:rsidRPr="00CC12A4">
        <w:rPr>
          <w:rFonts w:eastAsia="Times New Roman" w:cs="Arial"/>
          <w:color w:val="000000"/>
        </w:rPr>
        <w:t xml:space="preserve"> 1077</w:t>
      </w:r>
      <w:r w:rsidR="00FB7EFC" w:rsidRPr="00CC12A4">
        <w:rPr>
          <w:rFonts w:eastAsia="Times New Roman" w:cs="Arial"/>
          <w:color w:val="000000"/>
        </w:rPr>
        <w:t xml:space="preserve"> (1991</w:t>
      </w:r>
      <w:r w:rsidR="00832787" w:rsidRPr="00E336A2">
        <w:rPr>
          <w:rFonts w:eastAsia="Times New Roman" w:cs="Arial"/>
          <w:color w:val="000000"/>
        </w:rPr>
        <w:t>–</w:t>
      </w:r>
      <w:r w:rsidR="00FB7EFC" w:rsidRPr="00CC12A4">
        <w:rPr>
          <w:rFonts w:eastAsia="Times New Roman" w:cs="Arial"/>
          <w:color w:val="000000"/>
        </w:rPr>
        <w:t xml:space="preserve">1992 Reg. Sess.) </w:t>
      </w:r>
      <w:r w:rsidR="000F594C" w:rsidRPr="00CC12A4">
        <w:rPr>
          <w:rFonts w:eastAsia="Times New Roman" w:cs="Arial"/>
          <w:color w:val="000000"/>
        </w:rPr>
        <w:t>as amend</w:t>
      </w:r>
      <w:r w:rsidR="00832787">
        <w:rPr>
          <w:rFonts w:eastAsia="Times New Roman" w:cs="Arial"/>
          <w:color w:val="000000"/>
        </w:rPr>
        <w:t>ed</w:t>
      </w:r>
      <w:r w:rsidR="00A9263C" w:rsidRPr="00CC12A4">
        <w:rPr>
          <w:rFonts w:eastAsia="Times New Roman" w:cs="Arial"/>
          <w:color w:val="000000"/>
        </w:rPr>
        <w:t xml:space="preserve"> </w:t>
      </w:r>
      <w:r w:rsidR="00E5054E" w:rsidRPr="00CC12A4">
        <w:rPr>
          <w:rFonts w:eastAsia="Times New Roman" w:cs="Arial"/>
          <w:color w:val="000000"/>
        </w:rPr>
        <w:t xml:space="preserve">July </w:t>
      </w:r>
      <w:r w:rsidR="00A9263C" w:rsidRPr="00CC12A4">
        <w:rPr>
          <w:rFonts w:eastAsia="Times New Roman" w:cs="Arial"/>
          <w:color w:val="000000"/>
        </w:rPr>
        <w:t>6</w:t>
      </w:r>
      <w:r w:rsidR="00E5054E" w:rsidRPr="00CC12A4">
        <w:rPr>
          <w:rFonts w:eastAsia="Times New Roman" w:cs="Arial"/>
          <w:color w:val="000000"/>
        </w:rPr>
        <w:t>, 19</w:t>
      </w:r>
      <w:r w:rsidR="00A9263C" w:rsidRPr="00CC12A4">
        <w:rPr>
          <w:rFonts w:eastAsia="Times New Roman" w:cs="Arial"/>
          <w:color w:val="000000"/>
        </w:rPr>
        <w:t xml:space="preserve">92, </w:t>
      </w:r>
      <w:r w:rsidR="00E5054E" w:rsidRPr="00CC12A4">
        <w:t xml:space="preserve">§ </w:t>
      </w:r>
      <w:r w:rsidR="00A9263C" w:rsidRPr="00CC12A4">
        <w:rPr>
          <w:rFonts w:eastAsia="Times New Roman" w:cs="Arial"/>
          <w:color w:val="000000"/>
        </w:rPr>
        <w:t>3.)  At this time, the language was shortened to read as it currently does:</w:t>
      </w:r>
      <w:r w:rsidRPr="00CC12A4">
        <w:rPr>
          <w:rFonts w:eastAsia="Times New Roman" w:cs="Arial"/>
          <w:color w:val="000000"/>
        </w:rPr>
        <w:t xml:space="preserve"> </w:t>
      </w:r>
      <w:r w:rsidR="00FB7EFC" w:rsidRPr="00CC12A4">
        <w:rPr>
          <w:rFonts w:eastAsia="Times New Roman" w:cs="Arial"/>
          <w:color w:val="000000"/>
        </w:rPr>
        <w:t xml:space="preserve"> </w:t>
      </w:r>
      <w:r w:rsidR="00A9263C" w:rsidRPr="00CC12A4">
        <w:rPr>
          <w:rFonts w:eastAsia="Times New Roman" w:cs="Arial"/>
          <w:color w:val="000000"/>
        </w:rPr>
        <w:t>“A violation of the right of any individual under the Americans with Disability Act of 199</w:t>
      </w:r>
      <w:r w:rsidR="00E5054E" w:rsidRPr="00CC12A4">
        <w:rPr>
          <w:rFonts w:eastAsia="Times New Roman" w:cs="Arial"/>
          <w:color w:val="000000"/>
        </w:rPr>
        <w:t>0</w:t>
      </w:r>
      <w:r w:rsidR="00A9263C" w:rsidRPr="00CC12A4">
        <w:rPr>
          <w:rFonts w:eastAsia="Times New Roman" w:cs="Arial"/>
          <w:color w:val="000000"/>
        </w:rPr>
        <w:t xml:space="preserve"> (Public Law 101-336) shall also constitute a violation of this section.”  (</w:t>
      </w:r>
      <w:r w:rsidR="002F6596" w:rsidRPr="00CC12A4">
        <w:rPr>
          <w:rFonts w:eastAsia="Times New Roman" w:cs="Arial"/>
          <w:color w:val="000000"/>
        </w:rPr>
        <w:t>Assem. Bill No.</w:t>
      </w:r>
      <w:r w:rsidR="00A9263C" w:rsidRPr="00CC12A4">
        <w:rPr>
          <w:rFonts w:eastAsia="Times New Roman" w:cs="Arial"/>
          <w:color w:val="000000"/>
        </w:rPr>
        <w:t xml:space="preserve"> 1077</w:t>
      </w:r>
      <w:r w:rsidR="000311EC" w:rsidRPr="00CC12A4">
        <w:rPr>
          <w:rFonts w:eastAsia="Times New Roman" w:cs="Arial"/>
          <w:color w:val="000000"/>
        </w:rPr>
        <w:t xml:space="preserve"> </w:t>
      </w:r>
      <w:r w:rsidR="00FB7EFC" w:rsidRPr="00CC12A4">
        <w:rPr>
          <w:rFonts w:eastAsia="Times New Roman" w:cs="Arial"/>
          <w:color w:val="000000"/>
        </w:rPr>
        <w:t>(1991</w:t>
      </w:r>
      <w:r w:rsidR="00832787" w:rsidRPr="00E336A2">
        <w:rPr>
          <w:rFonts w:eastAsia="Times New Roman" w:cs="Arial"/>
          <w:color w:val="000000"/>
        </w:rPr>
        <w:t>–</w:t>
      </w:r>
      <w:r w:rsidR="00FB7EFC" w:rsidRPr="00CC12A4">
        <w:rPr>
          <w:rFonts w:eastAsia="Times New Roman" w:cs="Arial"/>
          <w:color w:val="000000"/>
        </w:rPr>
        <w:t>1992 Reg. Sess.)</w:t>
      </w:r>
      <w:r w:rsidR="00A9263C" w:rsidRPr="00CC12A4">
        <w:rPr>
          <w:rFonts w:eastAsia="Times New Roman" w:cs="Arial"/>
          <w:color w:val="000000"/>
        </w:rPr>
        <w:t xml:space="preserve"> as amend</w:t>
      </w:r>
      <w:r w:rsidR="00832787">
        <w:rPr>
          <w:rFonts w:eastAsia="Times New Roman" w:cs="Arial"/>
          <w:color w:val="000000"/>
        </w:rPr>
        <w:t>ed</w:t>
      </w:r>
      <w:r w:rsidR="00A9263C" w:rsidRPr="00CC12A4">
        <w:rPr>
          <w:rFonts w:eastAsia="Times New Roman" w:cs="Arial"/>
          <w:color w:val="000000"/>
        </w:rPr>
        <w:t xml:space="preserve"> </w:t>
      </w:r>
      <w:r w:rsidR="00E5054E" w:rsidRPr="00CC12A4">
        <w:rPr>
          <w:rFonts w:eastAsia="Times New Roman" w:cs="Arial"/>
          <w:color w:val="000000"/>
        </w:rPr>
        <w:t xml:space="preserve">July </w:t>
      </w:r>
      <w:r w:rsidR="00A9263C" w:rsidRPr="00CC12A4">
        <w:rPr>
          <w:rFonts w:eastAsia="Times New Roman" w:cs="Arial"/>
          <w:color w:val="000000"/>
        </w:rPr>
        <w:t>6</w:t>
      </w:r>
      <w:r w:rsidR="00E5054E" w:rsidRPr="00CC12A4">
        <w:rPr>
          <w:rFonts w:eastAsia="Times New Roman" w:cs="Arial"/>
          <w:color w:val="000000"/>
        </w:rPr>
        <w:t>, 19</w:t>
      </w:r>
      <w:r w:rsidR="00A9263C" w:rsidRPr="00CC12A4">
        <w:rPr>
          <w:rFonts w:eastAsia="Times New Roman" w:cs="Arial"/>
          <w:color w:val="000000"/>
        </w:rPr>
        <w:t xml:space="preserve">92, </w:t>
      </w:r>
      <w:r w:rsidR="00E5054E" w:rsidRPr="00CC12A4">
        <w:t>§</w:t>
      </w:r>
      <w:r w:rsidR="00A9263C" w:rsidRPr="00CC12A4">
        <w:rPr>
          <w:rFonts w:eastAsia="Times New Roman" w:cs="Arial"/>
          <w:color w:val="000000"/>
        </w:rPr>
        <w:t xml:space="preserve"> 3.)</w:t>
      </w:r>
      <w:r w:rsidRPr="00CC12A4">
        <w:rPr>
          <w:rFonts w:eastAsia="Times New Roman" w:cs="Arial"/>
          <w:color w:val="000000"/>
        </w:rPr>
        <w:t xml:space="preserve">  The language remained situated as the final paragraph of </w:t>
      </w:r>
      <w:r w:rsidR="005E2220" w:rsidRPr="00CC12A4">
        <w:rPr>
          <w:rFonts w:eastAsia="Times New Roman" w:cs="Arial"/>
          <w:color w:val="000000"/>
        </w:rPr>
        <w:t xml:space="preserve">the </w:t>
      </w:r>
      <w:r w:rsidRPr="00CC12A4">
        <w:rPr>
          <w:rFonts w:eastAsia="Times New Roman" w:cs="Arial"/>
          <w:color w:val="000000"/>
        </w:rPr>
        <w:t>multi-paragraphed statute</w:t>
      </w:r>
      <w:r w:rsidR="004C0201" w:rsidRPr="00CC12A4">
        <w:rPr>
          <w:rFonts w:eastAsia="Times New Roman" w:cs="Arial"/>
          <w:color w:val="000000"/>
        </w:rPr>
        <w:t>.</w:t>
      </w:r>
      <w:r w:rsidRPr="00CC12A4">
        <w:rPr>
          <w:rFonts w:eastAsia="Times New Roman" w:cs="Arial"/>
          <w:color w:val="000000"/>
        </w:rPr>
        <w:t xml:space="preserve"> (</w:t>
      </w:r>
      <w:r w:rsidR="004C0201" w:rsidRPr="00CC12A4">
        <w:rPr>
          <w:rFonts w:eastAsia="Times New Roman" w:cs="Arial"/>
          <w:i/>
          <w:iCs/>
          <w:color w:val="000000"/>
        </w:rPr>
        <w:t>I</w:t>
      </w:r>
      <w:r w:rsidRPr="00CC12A4">
        <w:rPr>
          <w:rFonts w:eastAsia="Times New Roman" w:cs="Arial"/>
          <w:i/>
          <w:iCs/>
          <w:color w:val="000000"/>
        </w:rPr>
        <w:t>bid</w:t>
      </w:r>
      <w:r w:rsidRPr="00CC12A4">
        <w:rPr>
          <w:rFonts w:eastAsia="Times New Roman" w:cs="Arial"/>
          <w:color w:val="000000"/>
        </w:rPr>
        <w:t>.</w:t>
      </w:r>
      <w:r w:rsidR="002F6596" w:rsidRPr="00CC12A4">
        <w:rPr>
          <w:rFonts w:eastAsia="Times New Roman" w:cs="Arial"/>
          <w:color w:val="000000"/>
        </w:rPr>
        <w:t>)</w:t>
      </w:r>
      <w:r w:rsidR="0058791C" w:rsidRPr="00CC12A4">
        <w:rPr>
          <w:rStyle w:val="FootnoteReference"/>
          <w:rFonts w:eastAsia="Times New Roman" w:cs="Arial"/>
          <w:color w:val="000000"/>
        </w:rPr>
        <w:footnoteReference w:id="12"/>
      </w:r>
      <w:r w:rsidR="002F6596" w:rsidRPr="00CC12A4">
        <w:rPr>
          <w:rFonts w:eastAsia="Times New Roman" w:cs="Arial"/>
          <w:color w:val="000000"/>
        </w:rPr>
        <w:t xml:space="preserve">  </w:t>
      </w:r>
      <w:r w:rsidR="00302E62" w:rsidRPr="00CC12A4">
        <w:rPr>
          <w:rFonts w:eastAsia="Times New Roman" w:cs="Arial"/>
          <w:color w:val="000000"/>
        </w:rPr>
        <w:t>T</w:t>
      </w:r>
      <w:r w:rsidRPr="00CC12A4">
        <w:rPr>
          <w:rFonts w:eastAsia="Times New Roman" w:cs="Arial"/>
          <w:color w:val="000000"/>
        </w:rPr>
        <w:t xml:space="preserve">he description of the language in committee reports and bill analyses </w:t>
      </w:r>
      <w:r w:rsidR="00302E62" w:rsidRPr="00CC12A4">
        <w:rPr>
          <w:rFonts w:eastAsia="Times New Roman" w:cs="Arial"/>
          <w:color w:val="000000"/>
        </w:rPr>
        <w:t xml:space="preserve">also </w:t>
      </w:r>
      <w:r w:rsidR="00A9263C" w:rsidRPr="00CC12A4">
        <w:rPr>
          <w:rFonts w:eastAsia="Times New Roman" w:cs="Arial"/>
          <w:color w:val="000000"/>
        </w:rPr>
        <w:t>remained exactly</w:t>
      </w:r>
      <w:r w:rsidR="00A9263C" w:rsidRPr="00CC12A4">
        <w:rPr>
          <w:rFonts w:eastAsia="Times New Roman" w:cs="Arial"/>
          <w:i/>
          <w:iCs/>
          <w:color w:val="000000"/>
        </w:rPr>
        <w:t xml:space="preserve"> </w:t>
      </w:r>
      <w:r w:rsidR="00A9263C" w:rsidRPr="00CC12A4">
        <w:rPr>
          <w:rFonts w:eastAsia="Times New Roman" w:cs="Arial"/>
          <w:color w:val="000000"/>
        </w:rPr>
        <w:t xml:space="preserve">as before.  (E.g., </w:t>
      </w:r>
      <w:r w:rsidR="00A9263C" w:rsidRPr="00CC12A4">
        <w:rPr>
          <w:rFonts w:eastAsia="Times New Roman" w:cs="Arial"/>
          <w:color w:val="000000"/>
        </w:rPr>
        <w:lastRenderedPageBreak/>
        <w:t xml:space="preserve">Conc. </w:t>
      </w:r>
      <w:r w:rsidR="00FB7EFC" w:rsidRPr="00CC12A4">
        <w:rPr>
          <w:rFonts w:eastAsia="Times New Roman" w:cs="Arial"/>
          <w:color w:val="000000"/>
        </w:rPr>
        <w:t>i</w:t>
      </w:r>
      <w:r w:rsidR="00A9263C" w:rsidRPr="00CC12A4">
        <w:rPr>
          <w:rFonts w:eastAsia="Times New Roman" w:cs="Arial"/>
          <w:color w:val="000000"/>
        </w:rPr>
        <w:t xml:space="preserve">n Sen. Amends., </w:t>
      </w:r>
      <w:r w:rsidR="000E25EB" w:rsidRPr="00CC12A4">
        <w:rPr>
          <w:rFonts w:eastAsia="Times New Roman" w:cs="Arial"/>
          <w:color w:val="000000"/>
        </w:rPr>
        <w:t xml:space="preserve">Assem. Bill No. </w:t>
      </w:r>
      <w:r w:rsidR="00A9263C" w:rsidRPr="00CC12A4">
        <w:rPr>
          <w:rFonts w:eastAsia="Times New Roman" w:cs="Arial"/>
          <w:color w:val="000000"/>
        </w:rPr>
        <w:t>1077</w:t>
      </w:r>
      <w:r w:rsidR="00FB7EFC" w:rsidRPr="00CC12A4">
        <w:rPr>
          <w:rFonts w:eastAsia="Times New Roman" w:cs="Arial"/>
          <w:color w:val="000000"/>
        </w:rPr>
        <w:t xml:space="preserve"> (1991</w:t>
      </w:r>
      <w:r w:rsidR="00832787" w:rsidRPr="00E336A2">
        <w:rPr>
          <w:rFonts w:eastAsia="Times New Roman" w:cs="Arial"/>
          <w:color w:val="000000"/>
        </w:rPr>
        <w:t>–</w:t>
      </w:r>
      <w:r w:rsidR="00FB7EFC" w:rsidRPr="00CC12A4">
        <w:rPr>
          <w:rFonts w:eastAsia="Times New Roman" w:cs="Arial"/>
          <w:color w:val="000000"/>
        </w:rPr>
        <w:t xml:space="preserve">1992 Reg. Sess.) </w:t>
      </w:r>
      <w:r w:rsidR="00A9263C" w:rsidRPr="00CC12A4">
        <w:rPr>
          <w:rFonts w:eastAsia="Times New Roman" w:cs="Arial"/>
          <w:color w:val="000000"/>
        </w:rPr>
        <w:t>as amend</w:t>
      </w:r>
      <w:r w:rsidR="00832787">
        <w:rPr>
          <w:rFonts w:eastAsia="Times New Roman" w:cs="Arial"/>
          <w:color w:val="000000"/>
        </w:rPr>
        <w:t>ed</w:t>
      </w:r>
      <w:r w:rsidR="00A9263C" w:rsidRPr="00CC12A4">
        <w:rPr>
          <w:rFonts w:eastAsia="Times New Roman" w:cs="Arial"/>
          <w:color w:val="000000"/>
        </w:rPr>
        <w:t xml:space="preserve"> </w:t>
      </w:r>
      <w:r w:rsidR="00FB7EFC" w:rsidRPr="00CC12A4">
        <w:rPr>
          <w:rFonts w:eastAsia="Times New Roman" w:cs="Arial"/>
          <w:color w:val="000000"/>
        </w:rPr>
        <w:t xml:space="preserve">Aug. </w:t>
      </w:r>
      <w:r w:rsidR="00A9263C" w:rsidRPr="00CC12A4">
        <w:rPr>
          <w:rFonts w:eastAsia="Times New Roman" w:cs="Arial"/>
          <w:color w:val="000000"/>
        </w:rPr>
        <w:t>29</w:t>
      </w:r>
      <w:r w:rsidR="00FB7EFC" w:rsidRPr="00CC12A4">
        <w:rPr>
          <w:rFonts w:eastAsia="Times New Roman" w:cs="Arial"/>
          <w:color w:val="000000"/>
        </w:rPr>
        <w:t>, 19</w:t>
      </w:r>
      <w:r w:rsidR="00A9263C" w:rsidRPr="00CC12A4">
        <w:rPr>
          <w:rFonts w:eastAsia="Times New Roman" w:cs="Arial"/>
          <w:color w:val="000000"/>
        </w:rPr>
        <w:t>92, p.</w:t>
      </w:r>
      <w:r w:rsidR="002F6596" w:rsidRPr="00CC12A4">
        <w:rPr>
          <w:rFonts w:eastAsia="Times New Roman" w:cs="Arial"/>
          <w:color w:val="000000"/>
        </w:rPr>
        <w:t xml:space="preserve"> </w:t>
      </w:r>
      <w:r w:rsidR="00A9263C" w:rsidRPr="00CC12A4">
        <w:rPr>
          <w:rFonts w:eastAsia="Times New Roman" w:cs="Arial"/>
          <w:color w:val="000000"/>
        </w:rPr>
        <w:t>1</w:t>
      </w:r>
      <w:r w:rsidR="00EA2465" w:rsidRPr="00CC12A4">
        <w:rPr>
          <w:rFonts w:eastAsia="Times New Roman" w:cs="Arial"/>
          <w:color w:val="000000"/>
        </w:rPr>
        <w:t>;</w:t>
      </w:r>
      <w:r w:rsidR="00A9263C" w:rsidRPr="00CC12A4">
        <w:rPr>
          <w:rFonts w:eastAsia="Times New Roman" w:cs="Arial"/>
          <w:color w:val="000000"/>
        </w:rPr>
        <w:t xml:space="preserve"> Sen. </w:t>
      </w:r>
      <w:r w:rsidR="00E5054E" w:rsidRPr="00CC12A4">
        <w:rPr>
          <w:rFonts w:eastAsia="Times New Roman" w:cs="Arial"/>
          <w:color w:val="000000"/>
        </w:rPr>
        <w:t>Rules Com., Off. of Sen. Floor Analyses, 3d</w:t>
      </w:r>
      <w:r w:rsidR="00564B0A" w:rsidRPr="00CC12A4">
        <w:rPr>
          <w:rFonts w:eastAsia="Times New Roman" w:cs="Arial"/>
          <w:color w:val="000000"/>
        </w:rPr>
        <w:t xml:space="preserve"> </w:t>
      </w:r>
      <w:r w:rsidR="00E5054E" w:rsidRPr="00CC12A4">
        <w:rPr>
          <w:rFonts w:eastAsia="Times New Roman" w:cs="Arial"/>
          <w:color w:val="000000"/>
        </w:rPr>
        <w:t>r</w:t>
      </w:r>
      <w:r w:rsidR="00564B0A" w:rsidRPr="00CC12A4">
        <w:rPr>
          <w:rFonts w:eastAsia="Times New Roman" w:cs="Arial"/>
          <w:color w:val="000000"/>
        </w:rPr>
        <w:t xml:space="preserve">eading </w:t>
      </w:r>
      <w:r w:rsidR="00EA2465" w:rsidRPr="00CC12A4">
        <w:rPr>
          <w:rFonts w:eastAsia="Times New Roman" w:cs="Arial"/>
          <w:color w:val="000000"/>
        </w:rPr>
        <w:t>a</w:t>
      </w:r>
      <w:r w:rsidR="00564B0A" w:rsidRPr="00CC12A4">
        <w:rPr>
          <w:rFonts w:eastAsia="Times New Roman" w:cs="Arial"/>
          <w:color w:val="000000"/>
        </w:rPr>
        <w:t>nalysis</w:t>
      </w:r>
      <w:r w:rsidR="00EA2465" w:rsidRPr="00CC12A4">
        <w:rPr>
          <w:rFonts w:eastAsia="Times New Roman" w:cs="Arial"/>
          <w:color w:val="000000"/>
        </w:rPr>
        <w:t xml:space="preserve"> of</w:t>
      </w:r>
      <w:r w:rsidR="00B47830" w:rsidRPr="00CC12A4">
        <w:rPr>
          <w:rFonts w:eastAsia="Times New Roman" w:cs="Arial"/>
          <w:color w:val="000000"/>
        </w:rPr>
        <w:t xml:space="preserve"> </w:t>
      </w:r>
      <w:r w:rsidR="000E25EB" w:rsidRPr="00CC12A4">
        <w:rPr>
          <w:rFonts w:eastAsia="Times New Roman" w:cs="Arial"/>
          <w:color w:val="000000"/>
        </w:rPr>
        <w:t xml:space="preserve">Assem. Bill No. </w:t>
      </w:r>
      <w:r w:rsidR="00A9263C" w:rsidRPr="00CC12A4">
        <w:rPr>
          <w:rFonts w:eastAsia="Times New Roman" w:cs="Arial"/>
          <w:color w:val="000000"/>
        </w:rPr>
        <w:t>1077</w:t>
      </w:r>
      <w:r w:rsidR="00FB7EFC" w:rsidRPr="00CC12A4">
        <w:rPr>
          <w:rFonts w:eastAsia="Times New Roman" w:cs="Arial"/>
          <w:color w:val="000000"/>
        </w:rPr>
        <w:t xml:space="preserve"> (1991</w:t>
      </w:r>
      <w:r w:rsidR="00832787" w:rsidRPr="00E336A2">
        <w:rPr>
          <w:rFonts w:eastAsia="Times New Roman" w:cs="Arial"/>
          <w:color w:val="000000"/>
        </w:rPr>
        <w:t>–</w:t>
      </w:r>
      <w:r w:rsidR="00FB7EFC" w:rsidRPr="00CC12A4">
        <w:rPr>
          <w:rFonts w:eastAsia="Times New Roman" w:cs="Arial"/>
          <w:color w:val="000000"/>
        </w:rPr>
        <w:t xml:space="preserve">1992 Reg. Sess.) </w:t>
      </w:r>
      <w:r w:rsidR="00A9263C" w:rsidRPr="00CC12A4">
        <w:rPr>
          <w:rFonts w:eastAsia="Times New Roman" w:cs="Arial"/>
          <w:color w:val="000000"/>
        </w:rPr>
        <w:t>as amend</w:t>
      </w:r>
      <w:r w:rsidR="00832787">
        <w:rPr>
          <w:rFonts w:eastAsia="Times New Roman" w:cs="Arial"/>
          <w:color w:val="000000"/>
        </w:rPr>
        <w:t>ed</w:t>
      </w:r>
      <w:r w:rsidR="00A9263C" w:rsidRPr="00CC12A4">
        <w:rPr>
          <w:rFonts w:eastAsia="Times New Roman" w:cs="Arial"/>
          <w:color w:val="000000"/>
        </w:rPr>
        <w:t xml:space="preserve"> </w:t>
      </w:r>
      <w:r w:rsidR="00EA2465" w:rsidRPr="00CC12A4">
        <w:rPr>
          <w:rFonts w:eastAsia="Times New Roman" w:cs="Arial"/>
          <w:color w:val="000000"/>
        </w:rPr>
        <w:t>Aug</w:t>
      </w:r>
      <w:r w:rsidR="00910DF8" w:rsidRPr="00CC12A4">
        <w:rPr>
          <w:rFonts w:eastAsia="Times New Roman" w:cs="Arial"/>
          <w:color w:val="000000"/>
        </w:rPr>
        <w:t>.</w:t>
      </w:r>
      <w:r w:rsidR="00EA2465" w:rsidRPr="00CC12A4">
        <w:rPr>
          <w:rFonts w:eastAsia="Times New Roman" w:cs="Arial"/>
          <w:color w:val="000000"/>
        </w:rPr>
        <w:t xml:space="preserve"> </w:t>
      </w:r>
      <w:r w:rsidR="00A9263C" w:rsidRPr="00CC12A4">
        <w:rPr>
          <w:rFonts w:eastAsia="Times New Roman" w:cs="Arial"/>
          <w:color w:val="000000"/>
        </w:rPr>
        <w:t>29</w:t>
      </w:r>
      <w:r w:rsidR="00EA2465" w:rsidRPr="00CC12A4">
        <w:rPr>
          <w:rFonts w:eastAsia="Times New Roman" w:cs="Arial"/>
          <w:color w:val="000000"/>
        </w:rPr>
        <w:t>, 19</w:t>
      </w:r>
      <w:r w:rsidR="00A9263C" w:rsidRPr="00CC12A4">
        <w:rPr>
          <w:rFonts w:eastAsia="Times New Roman" w:cs="Arial"/>
          <w:color w:val="000000"/>
        </w:rPr>
        <w:t>92, p. 2; State and Consumer Services Agency</w:t>
      </w:r>
      <w:r w:rsidR="00EA2465" w:rsidRPr="00CC12A4">
        <w:rPr>
          <w:rFonts w:eastAsia="Times New Roman" w:cs="Arial"/>
          <w:color w:val="000000"/>
        </w:rPr>
        <w:t>,</w:t>
      </w:r>
      <w:r w:rsidR="00A9263C" w:rsidRPr="00CC12A4">
        <w:rPr>
          <w:rFonts w:eastAsia="Times New Roman" w:cs="Arial"/>
          <w:color w:val="000000"/>
        </w:rPr>
        <w:t xml:space="preserve"> Enrolled Bill Report</w:t>
      </w:r>
      <w:r w:rsidR="00EA2465" w:rsidRPr="00CC12A4">
        <w:rPr>
          <w:rFonts w:eastAsia="Times New Roman" w:cs="Arial"/>
          <w:color w:val="000000"/>
        </w:rPr>
        <w:t xml:space="preserve"> on</w:t>
      </w:r>
      <w:r w:rsidR="00A9263C" w:rsidRPr="00CC12A4">
        <w:rPr>
          <w:rFonts w:eastAsia="Times New Roman" w:cs="Arial"/>
          <w:color w:val="000000"/>
        </w:rPr>
        <w:t xml:space="preserve"> </w:t>
      </w:r>
      <w:r w:rsidR="000E25EB" w:rsidRPr="00CC12A4">
        <w:rPr>
          <w:rFonts w:eastAsia="Times New Roman" w:cs="Arial"/>
          <w:color w:val="000000"/>
        </w:rPr>
        <w:t xml:space="preserve">Assem. Bill No. </w:t>
      </w:r>
      <w:r w:rsidR="00A9263C" w:rsidRPr="00CC12A4">
        <w:rPr>
          <w:rFonts w:eastAsia="Times New Roman" w:cs="Arial"/>
          <w:color w:val="000000"/>
        </w:rPr>
        <w:t>1077</w:t>
      </w:r>
      <w:r w:rsidR="00FB7EFC" w:rsidRPr="00CC12A4">
        <w:rPr>
          <w:rFonts w:eastAsia="Times New Roman" w:cs="Arial"/>
          <w:color w:val="000000"/>
        </w:rPr>
        <w:t xml:space="preserve"> (1991</w:t>
      </w:r>
      <w:r w:rsidR="00832787" w:rsidRPr="00E336A2">
        <w:rPr>
          <w:rFonts w:eastAsia="Times New Roman" w:cs="Arial"/>
          <w:color w:val="000000"/>
        </w:rPr>
        <w:t>–</w:t>
      </w:r>
      <w:r w:rsidR="00FB7EFC" w:rsidRPr="00CC12A4">
        <w:rPr>
          <w:rFonts w:eastAsia="Times New Roman" w:cs="Arial"/>
          <w:color w:val="000000"/>
        </w:rPr>
        <w:t>1992 Reg. Sess.) at</w:t>
      </w:r>
      <w:r w:rsidR="00A9263C" w:rsidRPr="00CC12A4">
        <w:rPr>
          <w:rFonts w:eastAsia="Times New Roman" w:cs="Arial"/>
          <w:color w:val="000000"/>
        </w:rPr>
        <w:t xml:space="preserve"> p.</w:t>
      </w:r>
      <w:r w:rsidR="002F6596" w:rsidRPr="00CC12A4">
        <w:rPr>
          <w:rFonts w:eastAsia="Times New Roman" w:cs="Arial"/>
          <w:color w:val="000000"/>
        </w:rPr>
        <w:t xml:space="preserve"> </w:t>
      </w:r>
      <w:r w:rsidR="00A9263C" w:rsidRPr="00CC12A4">
        <w:rPr>
          <w:rFonts w:eastAsia="Times New Roman" w:cs="Arial"/>
          <w:color w:val="000000"/>
        </w:rPr>
        <w:t>2</w:t>
      </w:r>
      <w:r w:rsidR="00564B0A" w:rsidRPr="00CC12A4">
        <w:rPr>
          <w:rFonts w:eastAsia="Times New Roman" w:cs="Arial"/>
          <w:color w:val="000000"/>
        </w:rPr>
        <w:t>.)</w:t>
      </w:r>
      <w:r w:rsidRPr="00CC12A4">
        <w:rPr>
          <w:rFonts w:eastAsia="Times New Roman" w:cs="Arial"/>
          <w:color w:val="000000"/>
        </w:rPr>
        <w:t xml:space="preserve">  </w:t>
      </w:r>
      <w:r w:rsidR="00A9263C" w:rsidRPr="00CC12A4">
        <w:rPr>
          <w:rFonts w:eastAsia="Times New Roman" w:cs="Arial"/>
          <w:color w:val="000000"/>
        </w:rPr>
        <w:t xml:space="preserve">A </w:t>
      </w:r>
      <w:r w:rsidR="00EA2465" w:rsidRPr="00CC12A4">
        <w:rPr>
          <w:rFonts w:eastAsia="Times New Roman" w:cs="Arial"/>
          <w:color w:val="000000"/>
        </w:rPr>
        <w:t>s</w:t>
      </w:r>
      <w:r w:rsidR="00A9263C" w:rsidRPr="00CC12A4">
        <w:rPr>
          <w:rFonts w:eastAsia="Times New Roman" w:cs="Arial"/>
          <w:color w:val="000000"/>
        </w:rPr>
        <w:t xml:space="preserve">upplemental </w:t>
      </w:r>
      <w:r w:rsidR="00EA2465" w:rsidRPr="00CC12A4">
        <w:rPr>
          <w:rFonts w:eastAsia="Times New Roman" w:cs="Arial"/>
          <w:color w:val="000000"/>
        </w:rPr>
        <w:t>a</w:t>
      </w:r>
      <w:r w:rsidR="00A9263C" w:rsidRPr="00CC12A4">
        <w:rPr>
          <w:rFonts w:eastAsia="Times New Roman" w:cs="Arial"/>
          <w:color w:val="000000"/>
        </w:rPr>
        <w:t>nalysis prepared by the Transportation Committee stated the July 6 amendment made “numerous, mostly technical changes.”  (</w:t>
      </w:r>
      <w:r w:rsidR="00EA2465" w:rsidRPr="00CC12A4">
        <w:rPr>
          <w:rFonts w:eastAsia="Times New Roman" w:cs="Arial"/>
          <w:color w:val="000000"/>
        </w:rPr>
        <w:t xml:space="preserve">Business, Transportation &amp; Housing Agency, </w:t>
      </w:r>
      <w:r w:rsidR="00A9263C" w:rsidRPr="00CC12A4">
        <w:rPr>
          <w:rFonts w:eastAsia="Times New Roman" w:cs="Arial"/>
          <w:color w:val="000000"/>
        </w:rPr>
        <w:t>Supp. Analysis</w:t>
      </w:r>
      <w:r w:rsidR="00EA2465" w:rsidRPr="00CC12A4">
        <w:rPr>
          <w:rFonts w:eastAsia="Times New Roman" w:cs="Arial"/>
          <w:color w:val="000000"/>
        </w:rPr>
        <w:t xml:space="preserve"> on</w:t>
      </w:r>
      <w:r w:rsidR="00A9263C" w:rsidRPr="00CC12A4">
        <w:rPr>
          <w:rFonts w:eastAsia="Times New Roman" w:cs="Arial"/>
          <w:color w:val="000000"/>
        </w:rPr>
        <w:t xml:space="preserve"> A</w:t>
      </w:r>
      <w:r w:rsidR="000E25EB" w:rsidRPr="00CC12A4">
        <w:rPr>
          <w:rFonts w:eastAsia="Times New Roman" w:cs="Arial"/>
          <w:color w:val="000000"/>
        </w:rPr>
        <w:t xml:space="preserve">ssem. </w:t>
      </w:r>
      <w:r w:rsidR="00A9263C" w:rsidRPr="00CC12A4">
        <w:rPr>
          <w:rFonts w:eastAsia="Times New Roman" w:cs="Arial"/>
          <w:color w:val="000000"/>
        </w:rPr>
        <w:t>B</w:t>
      </w:r>
      <w:r w:rsidR="000E25EB" w:rsidRPr="00CC12A4">
        <w:rPr>
          <w:rFonts w:eastAsia="Times New Roman" w:cs="Arial"/>
          <w:color w:val="000000"/>
        </w:rPr>
        <w:t>ill No.</w:t>
      </w:r>
      <w:r w:rsidR="00A9263C" w:rsidRPr="00CC12A4">
        <w:rPr>
          <w:rFonts w:eastAsia="Times New Roman" w:cs="Arial"/>
          <w:color w:val="000000"/>
        </w:rPr>
        <w:t xml:space="preserve"> 1077</w:t>
      </w:r>
      <w:r w:rsidR="00EA2465" w:rsidRPr="00CC12A4">
        <w:rPr>
          <w:rFonts w:eastAsia="Times New Roman" w:cs="Arial"/>
          <w:color w:val="000000"/>
        </w:rPr>
        <w:t xml:space="preserve"> (1991</w:t>
      </w:r>
      <w:r w:rsidR="00832787" w:rsidRPr="00E336A2">
        <w:rPr>
          <w:rFonts w:eastAsia="Times New Roman" w:cs="Arial"/>
          <w:color w:val="000000"/>
        </w:rPr>
        <w:t>–</w:t>
      </w:r>
      <w:r w:rsidR="00EA2465" w:rsidRPr="00CC12A4">
        <w:rPr>
          <w:rFonts w:eastAsia="Times New Roman" w:cs="Arial"/>
          <w:color w:val="000000"/>
        </w:rPr>
        <w:t>1992 Reg. Sess.)</w:t>
      </w:r>
      <w:r w:rsidR="00A9263C" w:rsidRPr="00CC12A4">
        <w:rPr>
          <w:rFonts w:eastAsia="Times New Roman" w:cs="Arial"/>
          <w:color w:val="000000"/>
        </w:rPr>
        <w:t xml:space="preserve"> as amend</w:t>
      </w:r>
      <w:r w:rsidR="00832787">
        <w:rPr>
          <w:rFonts w:eastAsia="Times New Roman" w:cs="Arial"/>
          <w:color w:val="000000"/>
        </w:rPr>
        <w:t>ed</w:t>
      </w:r>
      <w:r w:rsidR="00A9263C" w:rsidRPr="00CC12A4">
        <w:rPr>
          <w:rFonts w:eastAsia="Times New Roman" w:cs="Arial"/>
          <w:color w:val="000000"/>
        </w:rPr>
        <w:t xml:space="preserve"> </w:t>
      </w:r>
      <w:r w:rsidR="00EA2465" w:rsidRPr="00CC12A4">
        <w:rPr>
          <w:rFonts w:eastAsia="Times New Roman" w:cs="Arial"/>
          <w:color w:val="000000"/>
        </w:rPr>
        <w:t xml:space="preserve">July </w:t>
      </w:r>
      <w:r w:rsidR="00A9263C" w:rsidRPr="00CC12A4">
        <w:rPr>
          <w:rFonts w:eastAsia="Times New Roman" w:cs="Arial"/>
          <w:color w:val="000000"/>
        </w:rPr>
        <w:t>6</w:t>
      </w:r>
      <w:r w:rsidR="00EA2465" w:rsidRPr="00CC12A4">
        <w:rPr>
          <w:rFonts w:eastAsia="Times New Roman" w:cs="Arial"/>
          <w:color w:val="000000"/>
        </w:rPr>
        <w:t>, 19</w:t>
      </w:r>
      <w:r w:rsidR="00A9263C" w:rsidRPr="00CC12A4">
        <w:rPr>
          <w:rFonts w:eastAsia="Times New Roman" w:cs="Arial"/>
          <w:color w:val="000000"/>
        </w:rPr>
        <w:t>92, p. 1.)</w:t>
      </w:r>
      <w:r w:rsidRPr="00CC12A4">
        <w:rPr>
          <w:rFonts w:eastAsia="Times New Roman" w:cs="Arial"/>
          <w:color w:val="000000"/>
        </w:rPr>
        <w:t xml:space="preserve">  </w:t>
      </w:r>
    </w:p>
    <w:p w14:paraId="5AF49777" w14:textId="77777777" w:rsidR="00AA1240" w:rsidRPr="00CC12A4" w:rsidRDefault="00106814" w:rsidP="00AA1240">
      <w:pPr>
        <w:spacing w:line="360" w:lineRule="auto"/>
        <w:rPr>
          <w:rFonts w:eastAsia="Times New Roman" w:cs="Arial"/>
          <w:color w:val="000000"/>
        </w:rPr>
      </w:pPr>
      <w:r w:rsidRPr="00CC12A4">
        <w:rPr>
          <w:rFonts w:eastAsia="Times New Roman" w:cs="Arial"/>
          <w:color w:val="000000"/>
        </w:rPr>
        <w:tab/>
      </w:r>
      <w:r w:rsidR="00900440" w:rsidRPr="00CC12A4">
        <w:rPr>
          <w:rFonts w:eastAsia="Times New Roman" w:cs="Arial"/>
          <w:color w:val="000000"/>
        </w:rPr>
        <w:t xml:space="preserve">In short, not a </w:t>
      </w:r>
      <w:r w:rsidR="00A9263C" w:rsidRPr="00CC12A4">
        <w:rPr>
          <w:rFonts w:eastAsia="Times New Roman" w:cs="Arial"/>
          <w:color w:val="000000"/>
        </w:rPr>
        <w:t xml:space="preserve">single </w:t>
      </w:r>
      <w:r w:rsidR="00B63063" w:rsidRPr="00CC12A4">
        <w:rPr>
          <w:rFonts w:eastAsia="Times New Roman" w:cs="Arial"/>
          <w:color w:val="000000"/>
        </w:rPr>
        <w:t xml:space="preserve">committee </w:t>
      </w:r>
      <w:r w:rsidR="00A9263C" w:rsidRPr="00CC12A4">
        <w:rPr>
          <w:rFonts w:eastAsia="Times New Roman" w:cs="Arial"/>
          <w:color w:val="000000"/>
        </w:rPr>
        <w:t xml:space="preserve">report or </w:t>
      </w:r>
      <w:r w:rsidR="00B63063" w:rsidRPr="00CC12A4">
        <w:rPr>
          <w:rFonts w:eastAsia="Times New Roman" w:cs="Arial"/>
          <w:color w:val="000000"/>
        </w:rPr>
        <w:t xml:space="preserve">bill </w:t>
      </w:r>
      <w:r w:rsidR="00A9263C" w:rsidRPr="00CC12A4">
        <w:rPr>
          <w:rFonts w:eastAsia="Times New Roman" w:cs="Arial"/>
          <w:color w:val="000000"/>
        </w:rPr>
        <w:t>analys</w:t>
      </w:r>
      <w:r w:rsidR="00B63063" w:rsidRPr="00CC12A4">
        <w:rPr>
          <w:rFonts w:eastAsia="Times New Roman" w:cs="Arial"/>
          <w:color w:val="000000"/>
        </w:rPr>
        <w:t>is</w:t>
      </w:r>
      <w:r w:rsidR="00A9263C" w:rsidRPr="00CC12A4">
        <w:rPr>
          <w:rFonts w:eastAsia="Times New Roman" w:cs="Arial"/>
          <w:color w:val="000000"/>
        </w:rPr>
        <w:t xml:space="preserve"> </w:t>
      </w:r>
      <w:r w:rsidRPr="00CC12A4">
        <w:rPr>
          <w:rFonts w:eastAsia="Times New Roman" w:cs="Arial"/>
          <w:color w:val="000000"/>
        </w:rPr>
        <w:t>prepared after th</w:t>
      </w:r>
      <w:r w:rsidR="005E2220" w:rsidRPr="00CC12A4">
        <w:rPr>
          <w:rFonts w:eastAsia="Times New Roman" w:cs="Arial"/>
          <w:color w:val="000000"/>
        </w:rPr>
        <w:t>e</w:t>
      </w:r>
      <w:r w:rsidRPr="00CC12A4">
        <w:rPr>
          <w:rFonts w:eastAsia="Times New Roman" w:cs="Arial"/>
          <w:color w:val="000000"/>
        </w:rPr>
        <w:t xml:space="preserve"> final amendment </w:t>
      </w:r>
      <w:r w:rsidR="005E2220" w:rsidRPr="00CC12A4">
        <w:rPr>
          <w:rFonts w:eastAsia="Times New Roman" w:cs="Arial"/>
          <w:color w:val="000000"/>
        </w:rPr>
        <w:t xml:space="preserve">shortening the </w:t>
      </w:r>
      <w:r w:rsidR="00B63063" w:rsidRPr="00CC12A4">
        <w:rPr>
          <w:rFonts w:eastAsia="Times New Roman" w:cs="Arial"/>
          <w:color w:val="000000"/>
        </w:rPr>
        <w:t xml:space="preserve">proposed </w:t>
      </w:r>
      <w:r w:rsidR="005E2220" w:rsidRPr="00CC12A4">
        <w:rPr>
          <w:rFonts w:eastAsia="Times New Roman" w:cs="Arial"/>
          <w:color w:val="000000"/>
        </w:rPr>
        <w:t>language</w:t>
      </w:r>
      <w:r w:rsidR="001036F1" w:rsidRPr="00CC12A4">
        <w:rPr>
          <w:rFonts w:eastAsia="Times New Roman" w:cs="Arial"/>
          <w:color w:val="000000"/>
        </w:rPr>
        <w:t>,</w:t>
      </w:r>
      <w:r w:rsidR="005E2220" w:rsidRPr="00CC12A4">
        <w:rPr>
          <w:rFonts w:eastAsia="Times New Roman" w:cs="Arial"/>
          <w:color w:val="000000"/>
        </w:rPr>
        <w:t xml:space="preserve"> </w:t>
      </w:r>
      <w:r w:rsidR="00A9263C" w:rsidRPr="00CC12A4">
        <w:rPr>
          <w:rFonts w:eastAsia="Times New Roman" w:cs="Arial"/>
          <w:color w:val="000000"/>
        </w:rPr>
        <w:t xml:space="preserve">suggested </w:t>
      </w:r>
      <w:r w:rsidR="005E2220" w:rsidRPr="00CC12A4">
        <w:rPr>
          <w:rFonts w:eastAsia="Times New Roman" w:cs="Arial"/>
          <w:color w:val="000000"/>
        </w:rPr>
        <w:t>this</w:t>
      </w:r>
      <w:r w:rsidR="001036F1" w:rsidRPr="00CC12A4">
        <w:rPr>
          <w:rFonts w:eastAsia="Times New Roman" w:cs="Arial"/>
          <w:color w:val="000000"/>
        </w:rPr>
        <w:t xml:space="preserve"> final amendment</w:t>
      </w:r>
      <w:r w:rsidR="005E2220" w:rsidRPr="00CC12A4">
        <w:rPr>
          <w:rFonts w:eastAsia="Times New Roman" w:cs="Arial"/>
          <w:color w:val="000000"/>
        </w:rPr>
        <w:t xml:space="preserve"> profoundly </w:t>
      </w:r>
      <w:r w:rsidR="00302E62" w:rsidRPr="00CC12A4">
        <w:rPr>
          <w:rFonts w:eastAsia="Times New Roman" w:cs="Arial"/>
          <w:color w:val="000000"/>
        </w:rPr>
        <w:t xml:space="preserve">changed </w:t>
      </w:r>
      <w:r w:rsidRPr="00CC12A4">
        <w:rPr>
          <w:rFonts w:eastAsia="Times New Roman" w:cs="Arial"/>
          <w:color w:val="000000"/>
        </w:rPr>
        <w:t xml:space="preserve">the </w:t>
      </w:r>
      <w:r w:rsidR="00A9263C" w:rsidRPr="00CC12A4">
        <w:rPr>
          <w:rFonts w:eastAsia="Times New Roman" w:cs="Arial"/>
          <w:color w:val="000000"/>
        </w:rPr>
        <w:t xml:space="preserve">substantive </w:t>
      </w:r>
      <w:r w:rsidR="00B63063" w:rsidRPr="00CC12A4">
        <w:rPr>
          <w:rFonts w:eastAsia="Times New Roman" w:cs="Arial"/>
          <w:color w:val="000000"/>
        </w:rPr>
        <w:t xml:space="preserve">reach </w:t>
      </w:r>
      <w:r w:rsidRPr="00CC12A4">
        <w:rPr>
          <w:rFonts w:eastAsia="Times New Roman" w:cs="Arial"/>
          <w:color w:val="000000"/>
        </w:rPr>
        <w:t xml:space="preserve">of </w:t>
      </w:r>
      <w:r w:rsidR="00A9263C" w:rsidRPr="00CC12A4">
        <w:rPr>
          <w:rFonts w:eastAsia="Times New Roman" w:cs="Arial"/>
          <w:color w:val="000000"/>
        </w:rPr>
        <w:t xml:space="preserve">the Unruh Act </w:t>
      </w:r>
      <w:r w:rsidRPr="00CC12A4">
        <w:rPr>
          <w:rFonts w:eastAsia="Times New Roman" w:cs="Arial"/>
          <w:color w:val="000000"/>
        </w:rPr>
        <w:t xml:space="preserve">and </w:t>
      </w:r>
      <w:r w:rsidR="001036F1" w:rsidRPr="00CC12A4">
        <w:rPr>
          <w:rFonts w:eastAsia="Times New Roman" w:cs="Arial"/>
          <w:color w:val="000000"/>
        </w:rPr>
        <w:t xml:space="preserve">that </w:t>
      </w:r>
      <w:r w:rsidR="00A9263C" w:rsidRPr="00CC12A4">
        <w:rPr>
          <w:rFonts w:eastAsia="Times New Roman" w:cs="Arial"/>
          <w:color w:val="000000"/>
        </w:rPr>
        <w:t>as to disability discrimination</w:t>
      </w:r>
      <w:r w:rsidR="00B63063" w:rsidRPr="00CC12A4">
        <w:rPr>
          <w:rFonts w:eastAsia="Times New Roman" w:cs="Arial"/>
          <w:color w:val="000000"/>
        </w:rPr>
        <w:t xml:space="preserve"> (and only disability discrimination)</w:t>
      </w:r>
      <w:r w:rsidR="00A9263C" w:rsidRPr="00CC12A4">
        <w:rPr>
          <w:rFonts w:eastAsia="Times New Roman" w:cs="Arial"/>
          <w:color w:val="000000"/>
        </w:rPr>
        <w:t xml:space="preserve"> </w:t>
      </w:r>
      <w:r w:rsidR="00302E62" w:rsidRPr="00CC12A4">
        <w:rPr>
          <w:rFonts w:eastAsia="Times New Roman" w:cs="Arial"/>
          <w:color w:val="000000"/>
        </w:rPr>
        <w:t xml:space="preserve">the Act was now disconnected from </w:t>
      </w:r>
      <w:r w:rsidRPr="00CC12A4">
        <w:rPr>
          <w:rFonts w:eastAsia="Times New Roman" w:cs="Arial"/>
          <w:color w:val="000000"/>
        </w:rPr>
        <w:t xml:space="preserve">discrimination by </w:t>
      </w:r>
      <w:r w:rsidR="00A9263C" w:rsidRPr="00CC12A4">
        <w:rPr>
          <w:rFonts w:eastAsia="Times New Roman" w:cs="Arial"/>
          <w:color w:val="000000"/>
        </w:rPr>
        <w:t>business establishment</w:t>
      </w:r>
      <w:r w:rsidRPr="00CC12A4">
        <w:rPr>
          <w:rFonts w:eastAsia="Times New Roman" w:cs="Arial"/>
          <w:color w:val="000000"/>
        </w:rPr>
        <w:t xml:space="preserve">s.  </w:t>
      </w:r>
      <w:r w:rsidR="00AA1240" w:rsidRPr="00CC12A4">
        <w:rPr>
          <w:rFonts w:eastAsia="Times New Roman" w:cs="Arial"/>
          <w:color w:val="000000"/>
        </w:rPr>
        <w:t xml:space="preserve">On the contrary, </w:t>
      </w:r>
      <w:r w:rsidRPr="00CC12A4">
        <w:rPr>
          <w:rFonts w:eastAsia="Times New Roman" w:cs="Arial"/>
          <w:color w:val="000000"/>
        </w:rPr>
        <w:t xml:space="preserve">subsequent </w:t>
      </w:r>
      <w:r w:rsidR="00BD285F" w:rsidRPr="00CC12A4">
        <w:rPr>
          <w:rFonts w:eastAsia="Times New Roman" w:cs="Arial"/>
          <w:color w:val="000000"/>
        </w:rPr>
        <w:t xml:space="preserve">reports and </w:t>
      </w:r>
      <w:r w:rsidRPr="00CC12A4">
        <w:rPr>
          <w:rFonts w:eastAsia="Times New Roman" w:cs="Arial"/>
          <w:color w:val="000000"/>
        </w:rPr>
        <w:t>analyses continued to describe the Unruh Act as prohibiting discrimination by business establishments.  For example, the Senate Third Reading Analysis</w:t>
      </w:r>
      <w:r w:rsidR="00AA1240" w:rsidRPr="00CC12A4">
        <w:rPr>
          <w:rFonts w:eastAsia="Times New Roman" w:cs="Arial"/>
          <w:color w:val="000000"/>
        </w:rPr>
        <w:t xml:space="preserve"> stated:</w:t>
      </w:r>
      <w:r w:rsidR="00832787">
        <w:rPr>
          <w:rFonts w:eastAsia="Times New Roman" w:cs="Arial"/>
          <w:color w:val="000000"/>
        </w:rPr>
        <w:t xml:space="preserve"> </w:t>
      </w:r>
      <w:r w:rsidR="002F6596" w:rsidRPr="00CC12A4">
        <w:rPr>
          <w:rFonts w:eastAsia="Times New Roman" w:cs="Arial"/>
          <w:color w:val="000000"/>
        </w:rPr>
        <w:t xml:space="preserve"> </w:t>
      </w:r>
      <w:r w:rsidR="00AA1240" w:rsidRPr="00CC12A4">
        <w:rPr>
          <w:rFonts w:eastAsia="Times New Roman" w:cs="Arial"/>
          <w:color w:val="000000"/>
        </w:rPr>
        <w:t>“Existing provisions of the Unruh Civil Rights Act and related provisions, with certain exceptions, prohibit various types of discrimination by business establishments</w:t>
      </w:r>
      <w:r w:rsidR="00AA1240" w:rsidRPr="00CC12A4">
        <w:rPr>
          <w:rFonts w:eastAsia="Times New Roman" w:cs="Arial"/>
          <w:i/>
          <w:iCs/>
          <w:color w:val="000000"/>
        </w:rPr>
        <w:t xml:space="preserve"> </w:t>
      </w:r>
      <w:r w:rsidR="00AA1240" w:rsidRPr="00CC12A4">
        <w:rPr>
          <w:rFonts w:eastAsia="Times New Roman" w:cs="Arial"/>
          <w:color w:val="000000"/>
        </w:rPr>
        <w:t xml:space="preserve">and franchisors, and in written instruments relating to real property, including discrimination on the basis of blindness and other physical disability. </w:t>
      </w:r>
      <w:r w:rsidR="00832787">
        <w:rPr>
          <w:rFonts w:eastAsia="Times New Roman" w:cs="Arial"/>
          <w:color w:val="000000"/>
        </w:rPr>
        <w:t xml:space="preserve"> </w:t>
      </w:r>
      <w:r w:rsidR="00A01349" w:rsidRPr="00CC12A4">
        <w:rPr>
          <w:rFonts w:eastAsia="Times New Roman" w:cs="Arial"/>
          <w:color w:val="000000"/>
        </w:rPr>
        <w:t>[¶]</w:t>
      </w:r>
      <w:r w:rsidR="00AA1240" w:rsidRPr="00CC12A4">
        <w:rPr>
          <w:rFonts w:eastAsia="Times New Roman" w:cs="Arial"/>
          <w:color w:val="000000"/>
        </w:rPr>
        <w:t xml:space="preserve"> This bill would make a violation of the American with Disabilities Act of 1990 also a violation of the Unruh Civil Rights Act, and would expand the express coverage of that act and related provisions to include discrimination on account of any disability.</w:t>
      </w:r>
      <w:r w:rsidR="00EA2465" w:rsidRPr="00CC12A4">
        <w:rPr>
          <w:rFonts w:eastAsia="Times New Roman" w:cs="Arial"/>
          <w:color w:val="000000"/>
        </w:rPr>
        <w:t>”</w:t>
      </w:r>
      <w:r w:rsidR="00A01349" w:rsidRPr="00CC12A4">
        <w:rPr>
          <w:rFonts w:eastAsia="Times New Roman" w:cs="Arial"/>
          <w:color w:val="000000"/>
        </w:rPr>
        <w:t xml:space="preserve"> </w:t>
      </w:r>
      <w:r w:rsidR="00AA1240" w:rsidRPr="00CC12A4">
        <w:rPr>
          <w:rFonts w:eastAsia="Times New Roman" w:cs="Arial"/>
          <w:color w:val="000000"/>
        </w:rPr>
        <w:t xml:space="preserve"> (</w:t>
      </w:r>
      <w:r w:rsidR="00EA2465" w:rsidRPr="00CC12A4">
        <w:rPr>
          <w:rFonts w:eastAsia="Times New Roman" w:cs="Arial"/>
          <w:color w:val="000000"/>
        </w:rPr>
        <w:t xml:space="preserve">Sen. Rules Com., Off. of Sen. Floor Analyses, 3d reading analysis on </w:t>
      </w:r>
      <w:r w:rsidR="00A01349" w:rsidRPr="00CC12A4">
        <w:rPr>
          <w:rFonts w:eastAsia="Times New Roman" w:cs="Arial"/>
          <w:color w:val="000000"/>
        </w:rPr>
        <w:t xml:space="preserve">Assem. Bill No. </w:t>
      </w:r>
      <w:r w:rsidRPr="00CC12A4">
        <w:rPr>
          <w:rFonts w:eastAsia="Times New Roman" w:cs="Arial"/>
          <w:color w:val="000000"/>
        </w:rPr>
        <w:t>1077</w:t>
      </w:r>
      <w:r w:rsidR="00EC2E3E" w:rsidRPr="00CC12A4">
        <w:rPr>
          <w:rFonts w:eastAsia="Times New Roman" w:cs="Arial"/>
          <w:color w:val="000000"/>
        </w:rPr>
        <w:t xml:space="preserve"> (1991</w:t>
      </w:r>
      <w:r w:rsidR="00832787" w:rsidRPr="00E336A2">
        <w:rPr>
          <w:rFonts w:eastAsia="Times New Roman" w:cs="Arial"/>
          <w:color w:val="000000"/>
        </w:rPr>
        <w:t>–</w:t>
      </w:r>
      <w:r w:rsidR="00EC2E3E" w:rsidRPr="00CC12A4">
        <w:rPr>
          <w:rFonts w:eastAsia="Times New Roman" w:cs="Arial"/>
          <w:color w:val="000000"/>
        </w:rPr>
        <w:t>1992 Reg. Sess.)</w:t>
      </w:r>
      <w:r w:rsidRPr="00CC12A4">
        <w:rPr>
          <w:rFonts w:eastAsia="Times New Roman" w:cs="Arial"/>
          <w:color w:val="000000"/>
        </w:rPr>
        <w:t xml:space="preserve"> as amend</w:t>
      </w:r>
      <w:r w:rsidR="00832787">
        <w:rPr>
          <w:rFonts w:eastAsia="Times New Roman" w:cs="Arial"/>
          <w:color w:val="000000"/>
        </w:rPr>
        <w:t>ed</w:t>
      </w:r>
      <w:r w:rsidRPr="00CC12A4">
        <w:rPr>
          <w:rFonts w:eastAsia="Times New Roman" w:cs="Arial"/>
          <w:color w:val="000000"/>
        </w:rPr>
        <w:t xml:space="preserve"> </w:t>
      </w:r>
      <w:r w:rsidR="00EA2465" w:rsidRPr="00CC12A4">
        <w:rPr>
          <w:rFonts w:eastAsia="Times New Roman" w:cs="Arial"/>
          <w:color w:val="000000"/>
        </w:rPr>
        <w:t>Aug</w:t>
      </w:r>
      <w:r w:rsidR="00910DF8" w:rsidRPr="00CC12A4">
        <w:rPr>
          <w:rFonts w:eastAsia="Times New Roman" w:cs="Arial"/>
          <w:color w:val="000000"/>
        </w:rPr>
        <w:t>.</w:t>
      </w:r>
      <w:r w:rsidR="00EA2465" w:rsidRPr="00CC12A4">
        <w:rPr>
          <w:rFonts w:eastAsia="Times New Roman" w:cs="Arial"/>
          <w:color w:val="000000"/>
        </w:rPr>
        <w:t xml:space="preserve"> </w:t>
      </w:r>
      <w:r w:rsidRPr="00CC12A4">
        <w:rPr>
          <w:rFonts w:eastAsia="Times New Roman" w:cs="Arial"/>
          <w:color w:val="000000"/>
        </w:rPr>
        <w:t>29</w:t>
      </w:r>
      <w:r w:rsidR="00EA2465" w:rsidRPr="00CC12A4">
        <w:rPr>
          <w:rFonts w:eastAsia="Times New Roman" w:cs="Arial"/>
          <w:color w:val="000000"/>
        </w:rPr>
        <w:t>, 19</w:t>
      </w:r>
      <w:r w:rsidRPr="00CC12A4">
        <w:rPr>
          <w:rFonts w:eastAsia="Times New Roman" w:cs="Arial"/>
          <w:color w:val="000000"/>
        </w:rPr>
        <w:t>92, at p. 2</w:t>
      </w:r>
      <w:r w:rsidR="00AA1240" w:rsidRPr="00CC12A4">
        <w:rPr>
          <w:rFonts w:eastAsia="Times New Roman" w:cs="Arial"/>
          <w:color w:val="000000"/>
        </w:rPr>
        <w:t xml:space="preserve">.)  The Enrolled Bill Report by the Department of </w:t>
      </w:r>
      <w:r w:rsidR="00AA1240" w:rsidRPr="00CC12A4">
        <w:rPr>
          <w:rFonts w:eastAsia="Times New Roman" w:cs="Arial"/>
          <w:color w:val="000000"/>
        </w:rPr>
        <w:lastRenderedPageBreak/>
        <w:t>Rehabilitation similarly explained:</w:t>
      </w:r>
      <w:r w:rsidR="00EC2E3E" w:rsidRPr="00CC12A4">
        <w:rPr>
          <w:rFonts w:eastAsia="Times New Roman" w:cs="Arial"/>
          <w:color w:val="000000"/>
        </w:rPr>
        <w:t xml:space="preserve"> </w:t>
      </w:r>
      <w:r w:rsidR="00AA1240" w:rsidRPr="00CC12A4">
        <w:rPr>
          <w:rFonts w:eastAsia="Times New Roman" w:cs="Arial"/>
          <w:color w:val="000000"/>
        </w:rPr>
        <w:t xml:space="preserve"> The ADA “prohibits employment discrimination against individuals with physical or mental disabilities.  It broadens the public transportation and public accommodation rights of individuals with disabilities.”</w:t>
      </w:r>
      <w:r w:rsidR="00EC2E3E" w:rsidRPr="00CC12A4">
        <w:rPr>
          <w:rFonts w:eastAsia="Times New Roman" w:cs="Arial"/>
          <w:color w:val="000000"/>
        </w:rPr>
        <w:t xml:space="preserve"> </w:t>
      </w:r>
      <w:r w:rsidR="00BA4B15" w:rsidRPr="00CC12A4">
        <w:rPr>
          <w:rFonts w:eastAsia="Times New Roman" w:cs="Arial"/>
          <w:color w:val="000000"/>
        </w:rPr>
        <w:t xml:space="preserve"> </w:t>
      </w:r>
      <w:r w:rsidR="00AA1240" w:rsidRPr="00CC12A4">
        <w:rPr>
          <w:rFonts w:eastAsia="Times New Roman" w:cs="Arial"/>
          <w:color w:val="000000"/>
        </w:rPr>
        <w:t xml:space="preserve">“In regard to the </w:t>
      </w:r>
      <w:r w:rsidR="00AA1240" w:rsidRPr="00CC12A4">
        <w:rPr>
          <w:rFonts w:eastAsia="Times New Roman" w:cs="Arial"/>
          <w:color w:val="000000"/>
          <w:u w:val="single"/>
        </w:rPr>
        <w:t>UNRUH CIVIL RIGHTS ACT:</w:t>
      </w:r>
      <w:r w:rsidR="00EC2E3E" w:rsidRPr="00CC12A4">
        <w:rPr>
          <w:rFonts w:eastAsia="Times New Roman" w:cs="Arial"/>
          <w:color w:val="000000"/>
          <w:u w:val="single"/>
        </w:rPr>
        <w:t xml:space="preserve"> </w:t>
      </w:r>
      <w:r w:rsidR="00EC2E3E" w:rsidRPr="00CC12A4">
        <w:rPr>
          <w:rFonts w:eastAsia="Times New Roman" w:cs="Arial"/>
          <w:color w:val="000000"/>
        </w:rPr>
        <w:t>[¶]</w:t>
      </w:r>
      <w:r w:rsidR="00AA1240" w:rsidRPr="00CC12A4">
        <w:rPr>
          <w:rFonts w:eastAsia="Times New Roman" w:cs="Arial"/>
          <w:color w:val="000000"/>
        </w:rPr>
        <w:t xml:space="preserve"> </w:t>
      </w:r>
      <w:r w:rsidR="00B63063" w:rsidRPr="00CC12A4">
        <w:rPr>
          <w:rFonts w:eastAsia="Times New Roman" w:cs="Arial"/>
          <w:color w:val="000000"/>
        </w:rPr>
        <w:t>[The bill</w:t>
      </w:r>
      <w:r w:rsidR="00EC2E3E" w:rsidRPr="00CC12A4">
        <w:rPr>
          <w:rFonts w:eastAsia="Times New Roman" w:cs="Arial"/>
          <w:color w:val="000000"/>
        </w:rPr>
        <w:t>]</w:t>
      </w:r>
      <w:r w:rsidR="00B63063" w:rsidRPr="00CC12A4">
        <w:rPr>
          <w:rFonts w:eastAsia="Times New Roman" w:cs="Arial"/>
          <w:color w:val="000000"/>
        </w:rPr>
        <w:t xml:space="preserve"> </w:t>
      </w:r>
      <w:r w:rsidR="00EC2E3E" w:rsidRPr="00CC12A4">
        <w:rPr>
          <w:rFonts w:eastAsia="Times New Roman" w:cs="Arial"/>
          <w:color w:val="000000"/>
        </w:rPr>
        <w:t>[</w:t>
      </w:r>
      <w:r w:rsidR="00B63063" w:rsidRPr="00CC12A4">
        <w:rPr>
          <w:rFonts w:eastAsia="Times New Roman" w:cs="Arial"/>
          <w:color w:val="000000"/>
        </w:rPr>
        <w:t>a]</w:t>
      </w:r>
      <w:proofErr w:type="spellStart"/>
      <w:r w:rsidR="00AA1240" w:rsidRPr="00CC12A4">
        <w:rPr>
          <w:rFonts w:eastAsia="Times New Roman" w:cs="Arial"/>
          <w:color w:val="000000"/>
        </w:rPr>
        <w:t>dds</w:t>
      </w:r>
      <w:proofErr w:type="spellEnd"/>
      <w:r w:rsidR="00AA1240" w:rsidRPr="00CC12A4">
        <w:rPr>
          <w:rFonts w:eastAsia="Times New Roman" w:cs="Arial"/>
          <w:color w:val="000000"/>
        </w:rPr>
        <w:t xml:space="preserve"> persons with mental and developmental disabilities as a protected class.”</w:t>
      </w:r>
      <w:r w:rsidR="00EC2E3E" w:rsidRPr="00CC12A4">
        <w:rPr>
          <w:rFonts w:eastAsia="Times New Roman" w:cs="Arial"/>
          <w:color w:val="000000"/>
        </w:rPr>
        <w:t xml:space="preserve"> </w:t>
      </w:r>
      <w:r w:rsidR="00BA4B15" w:rsidRPr="00CC12A4">
        <w:rPr>
          <w:rFonts w:eastAsia="Times New Roman" w:cs="Arial"/>
          <w:color w:val="000000"/>
        </w:rPr>
        <w:t xml:space="preserve"> </w:t>
      </w:r>
      <w:r w:rsidR="00AA1240" w:rsidRPr="00CC12A4">
        <w:rPr>
          <w:rFonts w:eastAsia="Times New Roman" w:cs="Arial"/>
          <w:color w:val="000000"/>
        </w:rPr>
        <w:t xml:space="preserve">“In regard to </w:t>
      </w:r>
      <w:r w:rsidR="00AA1240" w:rsidRPr="00CC12A4">
        <w:rPr>
          <w:rFonts w:eastAsia="Times New Roman" w:cs="Arial"/>
          <w:color w:val="000000"/>
          <w:u w:val="single"/>
        </w:rPr>
        <w:t>PUBLIC ACCOMMODATION/SERVICE/TRANSPORTATION:</w:t>
      </w:r>
      <w:r w:rsidR="00832787">
        <w:rPr>
          <w:rFonts w:eastAsia="Times New Roman" w:cs="Arial"/>
          <w:color w:val="000000"/>
          <w:u w:val="single"/>
        </w:rPr>
        <w:t xml:space="preserve"> </w:t>
      </w:r>
      <w:r w:rsidR="00EC2E3E" w:rsidRPr="00CC12A4">
        <w:rPr>
          <w:rFonts w:eastAsia="Times New Roman" w:cs="Arial"/>
          <w:color w:val="000000"/>
          <w:u w:val="single"/>
        </w:rPr>
        <w:t xml:space="preserve"> </w:t>
      </w:r>
      <w:r w:rsidR="00EC2E3E" w:rsidRPr="00CC12A4">
        <w:rPr>
          <w:rFonts w:eastAsia="Times New Roman" w:cs="Arial"/>
          <w:color w:val="000000"/>
        </w:rPr>
        <w:t>[¶]</w:t>
      </w:r>
      <w:r w:rsidR="00AA1240" w:rsidRPr="00CC12A4">
        <w:rPr>
          <w:rFonts w:eastAsia="Times New Roman" w:cs="Arial"/>
          <w:color w:val="000000"/>
        </w:rPr>
        <w:t xml:space="preserve"> Provide[s] ‘full and equal access’ to anyone with a disability, as other members of the general public, to places of public accommodation and modes of transportation to which the general public is invited. </w:t>
      </w:r>
      <w:r w:rsidR="00EC2E3E" w:rsidRPr="00CC12A4">
        <w:rPr>
          <w:rFonts w:eastAsia="Times New Roman" w:cs="Arial"/>
          <w:color w:val="000000"/>
        </w:rPr>
        <w:t>[¶]</w:t>
      </w:r>
      <w:r w:rsidR="00DE5C6C">
        <w:rPr>
          <w:rFonts w:eastAsia="Times New Roman" w:cs="Arial"/>
          <w:color w:val="000000"/>
        </w:rPr>
        <w:t xml:space="preserve"> . . . </w:t>
      </w:r>
      <w:r w:rsidR="00EC2E3E" w:rsidRPr="00CC12A4">
        <w:rPr>
          <w:rFonts w:eastAsia="Times New Roman" w:cs="Arial"/>
          <w:color w:val="000000"/>
        </w:rPr>
        <w:t xml:space="preserve">[¶] </w:t>
      </w:r>
      <w:r w:rsidR="00AA1240" w:rsidRPr="00CC12A4">
        <w:rPr>
          <w:rFonts w:eastAsia="Times New Roman" w:cs="Arial"/>
          <w:color w:val="000000"/>
        </w:rPr>
        <w:t>Expands the definition of public accommodations and full and equal access in Civil Code to conform to the ADA definition.”  (</w:t>
      </w:r>
      <w:r w:rsidR="00EC2E3E" w:rsidRPr="00CC12A4">
        <w:rPr>
          <w:rFonts w:eastAsia="Times New Roman" w:cs="Arial"/>
          <w:color w:val="000000"/>
        </w:rPr>
        <w:t xml:space="preserve">Health &amp; Welfare Agency, Depart. of Rehabilitation, </w:t>
      </w:r>
      <w:r w:rsidR="00AA1240" w:rsidRPr="00CC12A4">
        <w:rPr>
          <w:rFonts w:eastAsia="Times New Roman" w:cs="Arial"/>
          <w:color w:val="000000"/>
        </w:rPr>
        <w:t>Enrolled Bill Report</w:t>
      </w:r>
      <w:r w:rsidR="00EC2E3E" w:rsidRPr="00CC12A4">
        <w:rPr>
          <w:rFonts w:eastAsia="Times New Roman" w:cs="Arial"/>
          <w:color w:val="000000"/>
        </w:rPr>
        <w:t xml:space="preserve"> on </w:t>
      </w:r>
      <w:r w:rsidR="00A01349" w:rsidRPr="00CC12A4">
        <w:rPr>
          <w:rFonts w:eastAsia="Times New Roman" w:cs="Arial"/>
          <w:color w:val="000000"/>
        </w:rPr>
        <w:t xml:space="preserve">Assem. Bill No. </w:t>
      </w:r>
      <w:r w:rsidR="00AA1240" w:rsidRPr="00CC12A4">
        <w:rPr>
          <w:rFonts w:eastAsia="Times New Roman" w:cs="Arial"/>
          <w:color w:val="000000"/>
        </w:rPr>
        <w:t>1077</w:t>
      </w:r>
      <w:r w:rsidR="00EC2E3E" w:rsidRPr="00CC12A4">
        <w:rPr>
          <w:rFonts w:eastAsia="Times New Roman" w:cs="Arial"/>
          <w:color w:val="000000"/>
        </w:rPr>
        <w:t xml:space="preserve"> (1991</w:t>
      </w:r>
      <w:r w:rsidR="00832787" w:rsidRPr="00E336A2">
        <w:rPr>
          <w:rFonts w:eastAsia="Times New Roman" w:cs="Arial"/>
          <w:color w:val="000000"/>
        </w:rPr>
        <w:t>–</w:t>
      </w:r>
      <w:r w:rsidR="00EC2E3E" w:rsidRPr="00CC12A4">
        <w:rPr>
          <w:rFonts w:eastAsia="Times New Roman" w:cs="Arial"/>
          <w:color w:val="000000"/>
        </w:rPr>
        <w:t>1992 Reg. Sess.)</w:t>
      </w:r>
      <w:r w:rsidR="00AA1240" w:rsidRPr="00CC12A4">
        <w:rPr>
          <w:rFonts w:eastAsia="Times New Roman" w:cs="Arial"/>
          <w:color w:val="000000"/>
        </w:rPr>
        <w:t xml:space="preserve"> </w:t>
      </w:r>
      <w:r w:rsidR="00EC2E3E" w:rsidRPr="00CC12A4">
        <w:rPr>
          <w:rFonts w:eastAsia="Times New Roman" w:cs="Arial"/>
          <w:color w:val="000000"/>
        </w:rPr>
        <w:t>p</w:t>
      </w:r>
      <w:r w:rsidR="00AA1240" w:rsidRPr="00CC12A4">
        <w:rPr>
          <w:rFonts w:eastAsia="Times New Roman" w:cs="Arial"/>
          <w:color w:val="000000"/>
        </w:rPr>
        <w:t xml:space="preserve">p. </w:t>
      </w:r>
      <w:r w:rsidR="00EC2E3E" w:rsidRPr="00CC12A4">
        <w:rPr>
          <w:rFonts w:eastAsia="Times New Roman" w:cs="Arial"/>
          <w:color w:val="000000"/>
        </w:rPr>
        <w:t>2</w:t>
      </w:r>
      <w:r w:rsidR="00832787" w:rsidRPr="00E336A2">
        <w:rPr>
          <w:rFonts w:eastAsia="Times New Roman" w:cs="Arial"/>
          <w:color w:val="000000"/>
        </w:rPr>
        <w:t>–</w:t>
      </w:r>
      <w:r w:rsidR="00AA1240" w:rsidRPr="00CC12A4">
        <w:rPr>
          <w:rFonts w:eastAsia="Times New Roman" w:cs="Arial"/>
          <w:color w:val="000000"/>
        </w:rPr>
        <w:t xml:space="preserve">3; accord </w:t>
      </w:r>
      <w:r w:rsidR="00EC2E3E" w:rsidRPr="00CC12A4">
        <w:rPr>
          <w:rFonts w:eastAsia="Times New Roman" w:cs="Arial"/>
          <w:color w:val="000000"/>
        </w:rPr>
        <w:t>Business, Transportation &amp; Housing Agency, Dept. of Commerce Enrolled Bill Rep. on Assem. Bill No. 1077 (1991</w:t>
      </w:r>
      <w:r w:rsidR="00832787" w:rsidRPr="00E336A2">
        <w:rPr>
          <w:rFonts w:eastAsia="Times New Roman" w:cs="Arial"/>
          <w:color w:val="000000"/>
        </w:rPr>
        <w:t>–</w:t>
      </w:r>
      <w:r w:rsidR="00EC2E3E" w:rsidRPr="00CC12A4">
        <w:rPr>
          <w:rFonts w:eastAsia="Times New Roman" w:cs="Arial"/>
          <w:color w:val="000000"/>
        </w:rPr>
        <w:t xml:space="preserve">1992 Reg. Sess.) </w:t>
      </w:r>
      <w:r w:rsidR="00AA1240" w:rsidRPr="00CC12A4">
        <w:rPr>
          <w:rFonts w:eastAsia="Times New Roman" w:cs="Arial"/>
          <w:color w:val="000000"/>
        </w:rPr>
        <w:t>p. 2 [“Employers</w:t>
      </w:r>
      <w:r w:rsidR="00AA1240" w:rsidRPr="00CC12A4">
        <w:rPr>
          <w:rFonts w:eastAsia="Times New Roman" w:cs="Arial"/>
          <w:color w:val="000000"/>
          <w:vertAlign w:val="superscript"/>
        </w:rPr>
        <w:t>[</w:t>
      </w:r>
      <w:r w:rsidR="00AA1240" w:rsidRPr="00CC12A4">
        <w:rPr>
          <w:rStyle w:val="FootnoteReference"/>
          <w:rFonts w:eastAsia="Times New Roman" w:cs="Arial"/>
          <w:color w:val="000000"/>
        </w:rPr>
        <w:footnoteReference w:id="13"/>
      </w:r>
      <w:r w:rsidR="00BA4B15" w:rsidRPr="00CC12A4">
        <w:rPr>
          <w:rFonts w:eastAsia="Times New Roman" w:cs="Arial"/>
          <w:color w:val="000000"/>
          <w:vertAlign w:val="superscript"/>
        </w:rPr>
        <w:t>]</w:t>
      </w:r>
      <w:r w:rsidR="00AA1240" w:rsidRPr="00CC12A4">
        <w:rPr>
          <w:rFonts w:eastAsia="Times New Roman" w:cs="Arial"/>
          <w:color w:val="000000"/>
        </w:rPr>
        <w:t xml:space="preserve"> and providers of public accommodations or services will be required to comply with both the ADA and state laws and regulations.”]</w:t>
      </w:r>
      <w:r w:rsidR="00A01349" w:rsidRPr="00CC12A4">
        <w:rPr>
          <w:rFonts w:eastAsia="Times New Roman" w:cs="Arial"/>
          <w:color w:val="000000"/>
        </w:rPr>
        <w:t>.</w:t>
      </w:r>
      <w:r w:rsidRPr="00CC12A4">
        <w:rPr>
          <w:rFonts w:eastAsia="Times New Roman" w:cs="Arial"/>
          <w:color w:val="000000"/>
        </w:rPr>
        <w:t>)</w:t>
      </w:r>
    </w:p>
    <w:p w14:paraId="74638A38" w14:textId="77777777" w:rsidR="00DC77A7" w:rsidRPr="00CC12A4" w:rsidRDefault="00BA4B15" w:rsidP="001729D8">
      <w:pPr>
        <w:spacing w:line="360" w:lineRule="auto"/>
        <w:rPr>
          <w:rFonts w:eastAsia="Times New Roman" w:cs="Arial"/>
          <w:color w:val="000000"/>
        </w:rPr>
      </w:pPr>
      <w:r w:rsidRPr="00CC12A4">
        <w:rPr>
          <w:rFonts w:eastAsia="Times New Roman" w:cs="Arial"/>
          <w:color w:val="000000"/>
        </w:rPr>
        <w:tab/>
        <w:t xml:space="preserve">We thus see no indication the Legislature intended, as to disability discrimination </w:t>
      </w:r>
      <w:r w:rsidR="00C340CB" w:rsidRPr="00CC12A4">
        <w:rPr>
          <w:rFonts w:eastAsia="Times New Roman" w:cs="Arial"/>
          <w:color w:val="000000"/>
        </w:rPr>
        <w:t>only</w:t>
      </w:r>
      <w:r w:rsidR="00BD285F" w:rsidRPr="00CC12A4">
        <w:rPr>
          <w:rFonts w:eastAsia="Times New Roman" w:cs="Arial"/>
          <w:color w:val="000000"/>
        </w:rPr>
        <w:t>,</w:t>
      </w:r>
      <w:r w:rsidRPr="00CC12A4">
        <w:rPr>
          <w:rFonts w:eastAsia="Times New Roman" w:cs="Arial"/>
          <w:color w:val="000000"/>
        </w:rPr>
        <w:t xml:space="preserve"> to </w:t>
      </w:r>
      <w:r w:rsidR="00C340CB" w:rsidRPr="00CC12A4">
        <w:rPr>
          <w:rFonts w:eastAsia="Times New Roman" w:cs="Arial"/>
          <w:color w:val="000000"/>
        </w:rPr>
        <w:t xml:space="preserve">transform </w:t>
      </w:r>
      <w:r w:rsidRPr="00CC12A4">
        <w:rPr>
          <w:rFonts w:eastAsia="Times New Roman" w:cs="Arial"/>
          <w:color w:val="000000"/>
        </w:rPr>
        <w:t xml:space="preserve">the </w:t>
      </w:r>
      <w:r w:rsidR="00C340CB" w:rsidRPr="00CC12A4">
        <w:rPr>
          <w:rFonts w:eastAsia="Times New Roman" w:cs="Arial"/>
          <w:color w:val="000000"/>
        </w:rPr>
        <w:t xml:space="preserve">Unruh </w:t>
      </w:r>
      <w:r w:rsidRPr="00CC12A4">
        <w:rPr>
          <w:rFonts w:eastAsia="Times New Roman" w:cs="Arial"/>
          <w:color w:val="000000"/>
        </w:rPr>
        <w:t xml:space="preserve">Act </w:t>
      </w:r>
      <w:r w:rsidR="00C340CB" w:rsidRPr="00CC12A4">
        <w:rPr>
          <w:rFonts w:eastAsia="Times New Roman" w:cs="Arial"/>
          <w:color w:val="000000"/>
        </w:rPr>
        <w:t xml:space="preserve">into </w:t>
      </w:r>
      <w:r w:rsidRPr="00CC12A4">
        <w:rPr>
          <w:rFonts w:eastAsia="Times New Roman" w:cs="Arial"/>
          <w:color w:val="000000"/>
        </w:rPr>
        <w:t xml:space="preserve">a general </w:t>
      </w:r>
      <w:r w:rsidR="00BD285F" w:rsidRPr="00CC12A4">
        <w:rPr>
          <w:rFonts w:eastAsia="Times New Roman" w:cs="Arial"/>
          <w:color w:val="000000"/>
        </w:rPr>
        <w:t>anti-</w:t>
      </w:r>
      <w:r w:rsidRPr="00CC12A4">
        <w:rPr>
          <w:rFonts w:eastAsia="Times New Roman" w:cs="Arial"/>
          <w:color w:val="000000"/>
        </w:rPr>
        <w:t xml:space="preserve">discrimination statute </w:t>
      </w:r>
      <w:r w:rsidR="00C340CB" w:rsidRPr="00CC12A4">
        <w:rPr>
          <w:rFonts w:eastAsia="Times New Roman" w:cs="Arial"/>
          <w:color w:val="000000"/>
        </w:rPr>
        <w:t>making a</w:t>
      </w:r>
      <w:r w:rsidR="004C0201" w:rsidRPr="00CC12A4">
        <w:rPr>
          <w:rFonts w:eastAsia="Times New Roman" w:cs="Arial"/>
          <w:color w:val="000000"/>
        </w:rPr>
        <w:t>ny</w:t>
      </w:r>
      <w:r w:rsidR="00C340CB" w:rsidRPr="00CC12A4">
        <w:rPr>
          <w:rFonts w:eastAsia="Times New Roman" w:cs="Arial"/>
          <w:color w:val="000000"/>
        </w:rPr>
        <w:t xml:space="preserve"> violation of the ADA by </w:t>
      </w:r>
      <w:r w:rsidRPr="00CC12A4">
        <w:rPr>
          <w:rFonts w:eastAsia="Times New Roman" w:cs="Arial"/>
          <w:color w:val="000000"/>
        </w:rPr>
        <w:t>any</w:t>
      </w:r>
      <w:r w:rsidR="00385C6B" w:rsidRPr="00CC12A4">
        <w:rPr>
          <w:rFonts w:eastAsia="Times New Roman" w:cs="Arial"/>
          <w:color w:val="000000"/>
        </w:rPr>
        <w:t xml:space="preserve"> person or entity</w:t>
      </w:r>
      <w:r w:rsidR="00C340CB" w:rsidRPr="00CC12A4">
        <w:rPr>
          <w:rFonts w:eastAsia="Times New Roman" w:cs="Arial"/>
          <w:color w:val="000000"/>
        </w:rPr>
        <w:t xml:space="preserve"> a violation of the Act</w:t>
      </w:r>
      <w:r w:rsidR="002707DD" w:rsidRPr="00CC12A4">
        <w:rPr>
          <w:rFonts w:eastAsia="Times New Roman" w:cs="Arial"/>
          <w:color w:val="000000"/>
        </w:rPr>
        <w:t>.</w:t>
      </w:r>
      <w:r w:rsidR="00385C6B" w:rsidRPr="00CC12A4">
        <w:rPr>
          <w:rFonts w:eastAsia="Times New Roman" w:cs="Arial"/>
          <w:color w:val="000000"/>
        </w:rPr>
        <w:t xml:space="preserve"> </w:t>
      </w:r>
      <w:r w:rsidR="00BD285F" w:rsidRPr="00CC12A4">
        <w:rPr>
          <w:rFonts w:eastAsia="Times New Roman" w:cs="Arial"/>
          <w:color w:val="000000"/>
        </w:rPr>
        <w:t xml:space="preserve"> </w:t>
      </w:r>
      <w:r w:rsidR="00385C6B" w:rsidRPr="00CC12A4">
        <w:rPr>
          <w:rFonts w:eastAsia="Times New Roman" w:cs="Arial"/>
          <w:color w:val="000000"/>
        </w:rPr>
        <w:t>On the contrary, th</w:t>
      </w:r>
      <w:r w:rsidR="007351D9" w:rsidRPr="00CC12A4">
        <w:rPr>
          <w:rFonts w:eastAsia="Times New Roman" w:cs="Arial"/>
          <w:color w:val="000000"/>
        </w:rPr>
        <w:t>roughout the legislative process, the</w:t>
      </w:r>
      <w:r w:rsidR="00385C6B" w:rsidRPr="00CC12A4">
        <w:rPr>
          <w:rFonts w:eastAsia="Times New Roman" w:cs="Arial"/>
          <w:color w:val="000000"/>
        </w:rPr>
        <w:t xml:space="preserve"> </w:t>
      </w:r>
      <w:r w:rsidR="00BD285F" w:rsidRPr="00CC12A4">
        <w:rPr>
          <w:rFonts w:eastAsia="Times New Roman" w:cs="Arial"/>
          <w:color w:val="000000"/>
        </w:rPr>
        <w:t xml:space="preserve">Unruh </w:t>
      </w:r>
      <w:r w:rsidR="007351D9" w:rsidRPr="00CC12A4">
        <w:rPr>
          <w:rFonts w:eastAsia="Times New Roman" w:cs="Arial"/>
          <w:color w:val="000000"/>
        </w:rPr>
        <w:t xml:space="preserve">Act was consistently described as </w:t>
      </w:r>
      <w:r w:rsidR="00385C6B" w:rsidRPr="00CC12A4">
        <w:rPr>
          <w:rFonts w:eastAsia="Times New Roman" w:cs="Arial"/>
          <w:color w:val="000000"/>
        </w:rPr>
        <w:t xml:space="preserve">prohibiting discrimination </w:t>
      </w:r>
      <w:r w:rsidR="00385C6B" w:rsidRPr="00CC12A4">
        <w:rPr>
          <w:rFonts w:eastAsia="Times New Roman" w:cs="Arial"/>
          <w:i/>
          <w:iCs/>
          <w:color w:val="000000"/>
        </w:rPr>
        <w:t>by business establishments</w:t>
      </w:r>
      <w:r w:rsidR="00385C6B" w:rsidRPr="00CC12A4">
        <w:rPr>
          <w:rFonts w:eastAsia="Times New Roman" w:cs="Arial"/>
          <w:color w:val="000000"/>
        </w:rPr>
        <w:t xml:space="preserve">.  </w:t>
      </w:r>
      <w:r w:rsidR="00132B68" w:rsidRPr="00CC12A4">
        <w:rPr>
          <w:rFonts w:eastAsia="Times New Roman" w:cs="Arial"/>
          <w:color w:val="000000"/>
        </w:rPr>
        <w:t xml:space="preserve">(E.g., </w:t>
      </w:r>
      <w:r w:rsidR="00910DF8" w:rsidRPr="00CC12A4">
        <w:rPr>
          <w:rFonts w:eastAsia="Times New Roman" w:cs="Arial"/>
          <w:color w:val="000000"/>
        </w:rPr>
        <w:t xml:space="preserve">Sen. Rules Com., Off. of </w:t>
      </w:r>
      <w:r w:rsidR="00910DF8" w:rsidRPr="00CC12A4">
        <w:rPr>
          <w:rFonts w:eastAsia="Times New Roman" w:cs="Arial"/>
          <w:color w:val="000000"/>
        </w:rPr>
        <w:lastRenderedPageBreak/>
        <w:t>Sen. Floor Analyses, 3d reading analysis on Assem. Bill No. 1077 (1991</w:t>
      </w:r>
      <w:r w:rsidR="00832787" w:rsidRPr="00E336A2">
        <w:rPr>
          <w:rFonts w:eastAsia="Times New Roman" w:cs="Arial"/>
          <w:color w:val="000000"/>
        </w:rPr>
        <w:t>–</w:t>
      </w:r>
      <w:r w:rsidR="00910DF8" w:rsidRPr="00CC12A4">
        <w:rPr>
          <w:rFonts w:eastAsia="Times New Roman" w:cs="Arial"/>
          <w:color w:val="000000"/>
        </w:rPr>
        <w:t>1992 Reg. Sess.) as amend</w:t>
      </w:r>
      <w:r w:rsidR="00832787">
        <w:rPr>
          <w:rFonts w:eastAsia="Times New Roman" w:cs="Arial"/>
          <w:color w:val="000000"/>
        </w:rPr>
        <w:t xml:space="preserve">ed </w:t>
      </w:r>
      <w:r w:rsidR="00910DF8" w:rsidRPr="00CC12A4">
        <w:rPr>
          <w:rFonts w:eastAsia="Times New Roman" w:cs="Arial"/>
          <w:color w:val="000000"/>
        </w:rPr>
        <w:t xml:space="preserve">Aug. 29, 1992, </w:t>
      </w:r>
      <w:r w:rsidR="00132B68" w:rsidRPr="00CC12A4">
        <w:rPr>
          <w:rFonts w:eastAsia="Times New Roman" w:cs="Arial"/>
          <w:color w:val="000000"/>
        </w:rPr>
        <w:t>at p. 2 [Unruh Act prohibits “</w:t>
      </w:r>
      <w:proofErr w:type="gramStart"/>
      <w:r w:rsidR="00132B68" w:rsidRPr="00CC12A4">
        <w:rPr>
          <w:rFonts w:eastAsia="Times New Roman" w:cs="Arial"/>
          <w:color w:val="000000"/>
        </w:rPr>
        <w:t>various types</w:t>
      </w:r>
      <w:proofErr w:type="gramEnd"/>
      <w:r w:rsidR="00132B68" w:rsidRPr="00CC12A4">
        <w:rPr>
          <w:rFonts w:eastAsia="Times New Roman" w:cs="Arial"/>
          <w:color w:val="000000"/>
        </w:rPr>
        <w:t xml:space="preserve"> of discrimination by business establishments”], Sen. Com. </w:t>
      </w:r>
      <w:r w:rsidR="008B221B" w:rsidRPr="00CC12A4">
        <w:rPr>
          <w:rFonts w:eastAsia="Times New Roman" w:cs="Arial"/>
          <w:color w:val="000000"/>
        </w:rPr>
        <w:t>o</w:t>
      </w:r>
      <w:r w:rsidR="00132B68" w:rsidRPr="00CC12A4">
        <w:rPr>
          <w:rFonts w:eastAsia="Times New Roman" w:cs="Arial"/>
          <w:color w:val="000000"/>
        </w:rPr>
        <w:t>n Jud</w:t>
      </w:r>
      <w:r w:rsidR="008B221B" w:rsidRPr="00CC12A4">
        <w:rPr>
          <w:rFonts w:eastAsia="Times New Roman" w:cs="Arial"/>
          <w:color w:val="000000"/>
        </w:rPr>
        <w:t>iciary</w:t>
      </w:r>
      <w:r w:rsidR="00132B68" w:rsidRPr="00CC12A4">
        <w:rPr>
          <w:rFonts w:eastAsia="Times New Roman" w:cs="Arial"/>
          <w:color w:val="000000"/>
        </w:rPr>
        <w:t>, Assem. Bill No. 1077</w:t>
      </w:r>
      <w:r w:rsidR="008B221B" w:rsidRPr="00CC12A4">
        <w:rPr>
          <w:rFonts w:eastAsia="Times New Roman" w:cs="Arial"/>
          <w:color w:val="000000"/>
        </w:rPr>
        <w:t xml:space="preserve"> (1991</w:t>
      </w:r>
      <w:r w:rsidR="00832787" w:rsidRPr="00E336A2">
        <w:rPr>
          <w:rFonts w:eastAsia="Times New Roman" w:cs="Arial"/>
          <w:color w:val="000000"/>
        </w:rPr>
        <w:t>–</w:t>
      </w:r>
      <w:r w:rsidR="008B221B" w:rsidRPr="00CC12A4">
        <w:rPr>
          <w:rFonts w:eastAsia="Times New Roman" w:cs="Arial"/>
          <w:color w:val="000000"/>
        </w:rPr>
        <w:t>1992 Reg. Sess.)</w:t>
      </w:r>
      <w:r w:rsidR="00132B68" w:rsidRPr="00CC12A4">
        <w:rPr>
          <w:rFonts w:eastAsia="Times New Roman" w:cs="Arial"/>
          <w:color w:val="000000"/>
        </w:rPr>
        <w:t xml:space="preserve"> as amend</w:t>
      </w:r>
      <w:r w:rsidR="00832787">
        <w:rPr>
          <w:rFonts w:eastAsia="Times New Roman" w:cs="Arial"/>
          <w:color w:val="000000"/>
        </w:rPr>
        <w:t>ed</w:t>
      </w:r>
      <w:r w:rsidR="00132B68" w:rsidRPr="00CC12A4">
        <w:rPr>
          <w:rFonts w:eastAsia="Times New Roman" w:cs="Arial"/>
          <w:color w:val="000000"/>
        </w:rPr>
        <w:t xml:space="preserve"> </w:t>
      </w:r>
      <w:r w:rsidR="008B221B" w:rsidRPr="00CC12A4">
        <w:rPr>
          <w:rFonts w:eastAsia="Times New Roman" w:cs="Arial"/>
          <w:color w:val="000000"/>
        </w:rPr>
        <w:t xml:space="preserve">June </w:t>
      </w:r>
      <w:r w:rsidR="00FC6204" w:rsidRPr="00CC12A4">
        <w:rPr>
          <w:rFonts w:eastAsia="Times New Roman" w:cs="Arial"/>
          <w:color w:val="000000"/>
        </w:rPr>
        <w:t>1</w:t>
      </w:r>
      <w:r w:rsidR="008B221B" w:rsidRPr="00CC12A4">
        <w:rPr>
          <w:rFonts w:eastAsia="Times New Roman" w:cs="Arial"/>
          <w:color w:val="000000"/>
        </w:rPr>
        <w:t>, 199</w:t>
      </w:r>
      <w:r w:rsidR="00FC6204" w:rsidRPr="00CC12A4">
        <w:rPr>
          <w:rFonts w:eastAsia="Times New Roman" w:cs="Arial"/>
          <w:color w:val="000000"/>
        </w:rPr>
        <w:t>2, at p. 5 [“Unruh Civil Rights Act</w:t>
      </w:r>
      <w:r w:rsidR="008B221B" w:rsidRPr="00CC12A4">
        <w:rPr>
          <w:rFonts w:eastAsia="Times New Roman" w:cs="Arial"/>
          <w:color w:val="000000"/>
        </w:rPr>
        <w:t>,</w:t>
      </w:r>
      <w:r w:rsidR="00FC6204" w:rsidRPr="00CC12A4">
        <w:rPr>
          <w:rFonts w:eastAsia="Times New Roman" w:cs="Arial"/>
          <w:color w:val="000000"/>
        </w:rPr>
        <w:t xml:space="preserve"> entitles protected groups, including blind and physically disabled persons, to full and equal accommodation, advantages, facilities, privileges, or service</w:t>
      </w:r>
      <w:r w:rsidR="008B221B" w:rsidRPr="00CC12A4">
        <w:rPr>
          <w:rFonts w:eastAsia="Times New Roman" w:cs="Arial"/>
          <w:color w:val="000000"/>
        </w:rPr>
        <w:t>s</w:t>
      </w:r>
      <w:r w:rsidR="00FC6204" w:rsidRPr="00CC12A4">
        <w:rPr>
          <w:rFonts w:eastAsia="Times New Roman" w:cs="Arial"/>
          <w:color w:val="000000"/>
        </w:rPr>
        <w:t xml:space="preserve"> in all business establishment</w:t>
      </w:r>
      <w:r w:rsidR="008B221B" w:rsidRPr="00CC12A4">
        <w:rPr>
          <w:rFonts w:eastAsia="Times New Roman" w:cs="Arial"/>
          <w:color w:val="000000"/>
        </w:rPr>
        <w:t>s</w:t>
      </w:r>
      <w:r w:rsidR="00FC6204" w:rsidRPr="00CC12A4">
        <w:rPr>
          <w:rFonts w:eastAsia="Times New Roman" w:cs="Arial"/>
          <w:color w:val="000000"/>
        </w:rPr>
        <w:t>”</w:t>
      </w:r>
      <w:r w:rsidR="008B221B" w:rsidRPr="00CC12A4">
        <w:rPr>
          <w:rFonts w:eastAsia="Times New Roman" w:cs="Arial"/>
          <w:color w:val="000000"/>
        </w:rPr>
        <w:t>;</w:t>
      </w:r>
      <w:r w:rsidR="00FC6204" w:rsidRPr="00CC12A4">
        <w:rPr>
          <w:rFonts w:eastAsia="Times New Roman" w:cs="Arial"/>
          <w:color w:val="000000"/>
        </w:rPr>
        <w:t xml:space="preserve"> “bill would include persons with mental disabilities in the enumerated classes of individuals protected by the Unruh Act”]</w:t>
      </w:r>
      <w:r w:rsidR="00DC77A7" w:rsidRPr="00CC12A4">
        <w:rPr>
          <w:rFonts w:eastAsia="Times New Roman" w:cs="Arial"/>
          <w:color w:val="000000"/>
        </w:rPr>
        <w:t>.)</w:t>
      </w:r>
      <w:r w:rsidR="008B221B" w:rsidRPr="00CC12A4">
        <w:rPr>
          <w:rFonts w:eastAsia="Times New Roman" w:cs="Arial"/>
          <w:color w:val="000000"/>
        </w:rPr>
        <w:t xml:space="preserve"> </w:t>
      </w:r>
    </w:p>
    <w:p w14:paraId="29BA7457" w14:textId="77777777" w:rsidR="008819CD" w:rsidRPr="00CC12A4" w:rsidRDefault="00DC77A7" w:rsidP="001729D8">
      <w:pPr>
        <w:spacing w:line="360" w:lineRule="auto"/>
        <w:rPr>
          <w:rFonts w:eastAsia="Times New Roman" w:cs="Arial"/>
          <w:color w:val="000000"/>
        </w:rPr>
      </w:pPr>
      <w:r w:rsidRPr="00CC12A4">
        <w:rPr>
          <w:rFonts w:eastAsia="Times New Roman" w:cs="Arial"/>
          <w:color w:val="000000"/>
        </w:rPr>
        <w:tab/>
      </w:r>
      <w:r w:rsidR="007351D9" w:rsidRPr="00CC12A4">
        <w:rPr>
          <w:rFonts w:eastAsia="Times New Roman" w:cs="Arial"/>
          <w:color w:val="000000"/>
        </w:rPr>
        <w:t>E</w:t>
      </w:r>
      <w:r w:rsidR="00385C6B" w:rsidRPr="00CC12A4">
        <w:rPr>
          <w:rFonts w:eastAsia="Times New Roman" w:cs="Arial"/>
          <w:color w:val="000000"/>
        </w:rPr>
        <w:t xml:space="preserve">ven as shortened in the final round of technical amendments, the language </w:t>
      </w:r>
      <w:r w:rsidR="008819CD" w:rsidRPr="00CC12A4">
        <w:rPr>
          <w:rFonts w:eastAsia="Times New Roman" w:cs="Arial"/>
          <w:color w:val="000000"/>
        </w:rPr>
        <w:t xml:space="preserve">at issue </w:t>
      </w:r>
      <w:r w:rsidR="00385C6B" w:rsidRPr="00CC12A4">
        <w:rPr>
          <w:rFonts w:eastAsia="Times New Roman" w:cs="Arial"/>
          <w:color w:val="000000"/>
        </w:rPr>
        <w:t xml:space="preserve">does not state that a violation of the ADA </w:t>
      </w:r>
      <w:r w:rsidR="00385C6B" w:rsidRPr="00CC12A4">
        <w:rPr>
          <w:rFonts w:eastAsia="Times New Roman" w:cs="Arial"/>
          <w:i/>
          <w:iCs/>
          <w:color w:val="000000"/>
        </w:rPr>
        <w:t>by</w:t>
      </w:r>
      <w:r w:rsidR="00385C6B" w:rsidRPr="00CC12A4">
        <w:rPr>
          <w:rFonts w:eastAsia="Times New Roman" w:cs="Arial"/>
          <w:color w:val="000000"/>
        </w:rPr>
        <w:t xml:space="preserve"> any person or entity is a violation of the Unruh Act.</w:t>
      </w:r>
      <w:r w:rsidR="007351D9" w:rsidRPr="00CC12A4">
        <w:rPr>
          <w:rFonts w:eastAsia="Times New Roman" w:cs="Arial"/>
          <w:color w:val="000000"/>
        </w:rPr>
        <w:t xml:space="preserve">  Rather, it states “</w:t>
      </w:r>
      <w:r w:rsidR="00910DF8" w:rsidRPr="00CC12A4">
        <w:rPr>
          <w:rFonts w:eastAsia="Times New Roman" w:cs="Arial"/>
          <w:color w:val="000000"/>
        </w:rPr>
        <w:t>[</w:t>
      </w:r>
      <w:r w:rsidR="00385C6B" w:rsidRPr="00CC12A4">
        <w:rPr>
          <w:rFonts w:eastAsia="Times New Roman" w:cs="Arial"/>
          <w:color w:val="000000"/>
        </w:rPr>
        <w:t>a</w:t>
      </w:r>
      <w:r w:rsidR="00910DF8" w:rsidRPr="00CC12A4">
        <w:rPr>
          <w:rFonts w:eastAsia="Times New Roman" w:cs="Arial"/>
          <w:color w:val="000000"/>
        </w:rPr>
        <w:t>]</w:t>
      </w:r>
      <w:r w:rsidR="00385C6B" w:rsidRPr="00CC12A4">
        <w:rPr>
          <w:rFonts w:eastAsia="Times New Roman" w:cs="Arial"/>
          <w:color w:val="000000"/>
        </w:rPr>
        <w:t xml:space="preserve"> violation of the right of any individual under the [ADA]” shall “constitute a violation of</w:t>
      </w:r>
      <w:r w:rsidR="007351D9" w:rsidRPr="00CC12A4">
        <w:rPr>
          <w:rFonts w:eastAsia="Times New Roman" w:cs="Arial"/>
          <w:color w:val="000000"/>
        </w:rPr>
        <w:t xml:space="preserve"> [</w:t>
      </w:r>
      <w:r w:rsidR="00385C6B" w:rsidRPr="00CC12A4">
        <w:rPr>
          <w:rFonts w:eastAsia="Times New Roman" w:cs="Arial"/>
          <w:color w:val="000000"/>
        </w:rPr>
        <w:t>the Unruh Act</w:t>
      </w:r>
      <w:r w:rsidR="007351D9" w:rsidRPr="00CC12A4">
        <w:rPr>
          <w:rFonts w:eastAsia="Times New Roman" w:cs="Arial"/>
          <w:color w:val="000000"/>
        </w:rPr>
        <w:t>]</w:t>
      </w:r>
      <w:r w:rsidR="00385C6B" w:rsidRPr="00CC12A4">
        <w:rPr>
          <w:rFonts w:eastAsia="Times New Roman" w:cs="Arial"/>
          <w:color w:val="000000"/>
        </w:rPr>
        <w:t>”</w:t>
      </w:r>
      <w:r w:rsidR="007351D9" w:rsidRPr="00CC12A4">
        <w:rPr>
          <w:rFonts w:eastAsia="Times New Roman" w:cs="Arial"/>
          <w:color w:val="000000"/>
        </w:rPr>
        <w:t xml:space="preserve">—the question </w:t>
      </w:r>
      <w:r w:rsidR="00BD285F" w:rsidRPr="00CC12A4">
        <w:rPr>
          <w:rFonts w:eastAsia="Times New Roman" w:cs="Arial"/>
          <w:color w:val="000000"/>
        </w:rPr>
        <w:t xml:space="preserve">thus </w:t>
      </w:r>
      <w:r w:rsidR="007351D9" w:rsidRPr="00CC12A4">
        <w:rPr>
          <w:rFonts w:eastAsia="Times New Roman" w:cs="Arial"/>
          <w:color w:val="000000"/>
        </w:rPr>
        <w:t>being</w:t>
      </w:r>
      <w:r w:rsidR="00C340CB" w:rsidRPr="00CC12A4">
        <w:rPr>
          <w:rFonts w:eastAsia="Times New Roman" w:cs="Arial"/>
          <w:color w:val="000000"/>
        </w:rPr>
        <w:t>,</w:t>
      </w:r>
      <w:r w:rsidR="007351D9" w:rsidRPr="00CC12A4">
        <w:rPr>
          <w:rFonts w:eastAsia="Times New Roman" w:cs="Arial"/>
          <w:color w:val="000000"/>
        </w:rPr>
        <w:t xml:space="preserve"> </w:t>
      </w:r>
      <w:r w:rsidR="00385C6B" w:rsidRPr="00CC12A4">
        <w:rPr>
          <w:rFonts w:eastAsia="Times New Roman" w:cs="Arial"/>
          <w:color w:val="000000"/>
        </w:rPr>
        <w:t xml:space="preserve">a violation </w:t>
      </w:r>
      <w:r w:rsidR="00385C6B" w:rsidRPr="00CC12A4">
        <w:rPr>
          <w:rFonts w:eastAsia="Times New Roman" w:cs="Arial"/>
          <w:i/>
          <w:iCs/>
          <w:color w:val="000000"/>
        </w:rPr>
        <w:t xml:space="preserve">by </w:t>
      </w:r>
      <w:r w:rsidR="00385C6B" w:rsidRPr="00CC12A4">
        <w:rPr>
          <w:rFonts w:eastAsia="Times New Roman" w:cs="Arial"/>
          <w:color w:val="000000"/>
        </w:rPr>
        <w:t>whom?</w:t>
      </w:r>
      <w:r w:rsidR="007351D9" w:rsidRPr="00CC12A4">
        <w:rPr>
          <w:rFonts w:eastAsia="Times New Roman" w:cs="Arial"/>
          <w:color w:val="000000"/>
        </w:rPr>
        <w:t xml:space="preserve">  We think it is apparent from </w:t>
      </w:r>
      <w:r w:rsidR="00BD285F" w:rsidRPr="00CC12A4">
        <w:rPr>
          <w:rFonts w:eastAsia="Times New Roman" w:cs="Arial"/>
          <w:color w:val="000000"/>
        </w:rPr>
        <w:t xml:space="preserve">both </w:t>
      </w:r>
      <w:r w:rsidR="007351D9" w:rsidRPr="00CC12A4">
        <w:rPr>
          <w:rFonts w:eastAsia="Times New Roman" w:cs="Arial"/>
          <w:color w:val="000000"/>
        </w:rPr>
        <w:t xml:space="preserve">the </w:t>
      </w:r>
      <w:r w:rsidR="00BD285F" w:rsidRPr="00CC12A4">
        <w:rPr>
          <w:rFonts w:eastAsia="Times New Roman" w:cs="Arial"/>
          <w:color w:val="000000"/>
        </w:rPr>
        <w:t xml:space="preserve">Act as a whole and the </w:t>
      </w:r>
      <w:r w:rsidR="007351D9" w:rsidRPr="00CC12A4">
        <w:rPr>
          <w:rFonts w:eastAsia="Times New Roman" w:cs="Arial"/>
          <w:color w:val="000000"/>
        </w:rPr>
        <w:t xml:space="preserve">legislative history </w:t>
      </w:r>
      <w:r w:rsidR="00BD285F" w:rsidRPr="00CC12A4">
        <w:rPr>
          <w:rFonts w:eastAsia="Times New Roman" w:cs="Arial"/>
          <w:color w:val="000000"/>
        </w:rPr>
        <w:t xml:space="preserve">of the language in question, </w:t>
      </w:r>
      <w:r w:rsidR="007351D9" w:rsidRPr="00CC12A4">
        <w:rPr>
          <w:rFonts w:eastAsia="Times New Roman" w:cs="Arial"/>
          <w:color w:val="000000"/>
        </w:rPr>
        <w:t xml:space="preserve">that it is a violation </w:t>
      </w:r>
      <w:r w:rsidR="007351D9" w:rsidRPr="00CC12A4">
        <w:rPr>
          <w:rFonts w:eastAsia="Times New Roman" w:cs="Arial"/>
          <w:i/>
          <w:iCs/>
          <w:color w:val="000000"/>
        </w:rPr>
        <w:t>by a business establishment</w:t>
      </w:r>
      <w:r w:rsidR="007351D9" w:rsidRPr="00CC12A4">
        <w:rPr>
          <w:rFonts w:eastAsia="Times New Roman" w:cs="Arial"/>
          <w:color w:val="000000"/>
        </w:rPr>
        <w:t xml:space="preserve">. </w:t>
      </w:r>
    </w:p>
    <w:p w14:paraId="710DF9F4" w14:textId="77777777" w:rsidR="001729D8" w:rsidRPr="00CC12A4" w:rsidRDefault="008819CD" w:rsidP="00452697">
      <w:pPr>
        <w:spacing w:line="360" w:lineRule="auto"/>
        <w:rPr>
          <w:rFonts w:eastAsia="Times New Roman" w:cs="Arial"/>
          <w:color w:val="000000"/>
        </w:rPr>
      </w:pPr>
      <w:r w:rsidRPr="00CC12A4">
        <w:rPr>
          <w:rFonts w:eastAsia="Times New Roman" w:cs="Arial"/>
          <w:color w:val="000000"/>
        </w:rPr>
        <w:tab/>
      </w:r>
      <w:r w:rsidR="006E49CE" w:rsidRPr="00CC12A4">
        <w:rPr>
          <w:rFonts w:eastAsia="Times New Roman" w:cs="Arial"/>
          <w:color w:val="000000"/>
        </w:rPr>
        <w:t>Moreover, p</w:t>
      </w:r>
      <w:r w:rsidR="00385C6B" w:rsidRPr="00CC12A4">
        <w:rPr>
          <w:rFonts w:eastAsia="Times New Roman" w:cs="Arial"/>
          <w:color w:val="000000"/>
        </w:rPr>
        <w:t xml:space="preserve">laintiff’s interpretation </w:t>
      </w:r>
      <w:r w:rsidRPr="00CC12A4">
        <w:rPr>
          <w:rFonts w:eastAsia="Times New Roman" w:cs="Arial"/>
          <w:color w:val="000000"/>
        </w:rPr>
        <w:t>would</w:t>
      </w:r>
      <w:r w:rsidR="005B63AC" w:rsidRPr="00CC12A4">
        <w:rPr>
          <w:rFonts w:eastAsia="Times New Roman" w:cs="Arial"/>
          <w:color w:val="000000"/>
        </w:rPr>
        <w:t xml:space="preserve"> </w:t>
      </w:r>
      <w:r w:rsidR="00385C6B" w:rsidRPr="00CC12A4">
        <w:rPr>
          <w:rFonts w:eastAsia="Times New Roman" w:cs="Arial"/>
          <w:color w:val="000000"/>
        </w:rPr>
        <w:t xml:space="preserve">effectively render </w:t>
      </w:r>
      <w:r w:rsidRPr="00CC12A4">
        <w:rPr>
          <w:rFonts w:eastAsia="Times New Roman" w:cs="Arial"/>
          <w:color w:val="000000"/>
        </w:rPr>
        <w:t xml:space="preserve">superfluous </w:t>
      </w:r>
      <w:r w:rsidR="00385C6B" w:rsidRPr="00CC12A4">
        <w:rPr>
          <w:rFonts w:eastAsia="Times New Roman" w:cs="Arial"/>
          <w:color w:val="000000"/>
        </w:rPr>
        <w:t xml:space="preserve">amendments made </w:t>
      </w:r>
      <w:r w:rsidR="00C340CB" w:rsidRPr="00CC12A4">
        <w:rPr>
          <w:rFonts w:eastAsia="Times New Roman" w:cs="Arial"/>
          <w:color w:val="000000"/>
        </w:rPr>
        <w:t>by</w:t>
      </w:r>
      <w:r w:rsidR="00CA49FB" w:rsidRPr="00CC12A4">
        <w:rPr>
          <w:rFonts w:eastAsia="Times New Roman" w:cs="Arial"/>
          <w:color w:val="000000"/>
        </w:rPr>
        <w:t xml:space="preserve"> this same legislation </w:t>
      </w:r>
      <w:r w:rsidR="00385C6B" w:rsidRPr="00CC12A4">
        <w:rPr>
          <w:rFonts w:eastAsia="Times New Roman" w:cs="Arial"/>
          <w:color w:val="000000"/>
        </w:rPr>
        <w:t xml:space="preserve">to </w:t>
      </w:r>
      <w:r w:rsidR="00385C6B" w:rsidRPr="00CC12A4">
        <w:rPr>
          <w:rFonts w:eastAsia="Times New Roman" w:cs="Arial"/>
          <w:i/>
          <w:iCs/>
          <w:color w:val="000000"/>
        </w:rPr>
        <w:t xml:space="preserve">other </w:t>
      </w:r>
      <w:r w:rsidRPr="00CC12A4">
        <w:rPr>
          <w:rFonts w:eastAsia="Times New Roman" w:cs="Arial"/>
          <w:color w:val="000000"/>
        </w:rPr>
        <w:t xml:space="preserve">anti-discrimination </w:t>
      </w:r>
      <w:r w:rsidR="00385C6B" w:rsidRPr="00CC12A4">
        <w:rPr>
          <w:rFonts w:eastAsia="Times New Roman" w:cs="Arial"/>
          <w:color w:val="000000"/>
        </w:rPr>
        <w:t>statutes</w:t>
      </w:r>
      <w:r w:rsidRPr="00CC12A4">
        <w:rPr>
          <w:rFonts w:eastAsia="Times New Roman" w:cs="Arial"/>
          <w:color w:val="000000"/>
        </w:rPr>
        <w:t>—</w:t>
      </w:r>
      <w:r w:rsidR="00771333" w:rsidRPr="00CC12A4">
        <w:rPr>
          <w:rFonts w:eastAsia="Times New Roman" w:cs="Arial"/>
          <w:color w:val="000000"/>
        </w:rPr>
        <w:t xml:space="preserve">notably </w:t>
      </w:r>
      <w:r w:rsidR="00DC77A7" w:rsidRPr="00CC12A4">
        <w:rPr>
          <w:rFonts w:eastAsia="Times New Roman" w:cs="Arial"/>
          <w:color w:val="000000"/>
        </w:rPr>
        <w:t xml:space="preserve">the </w:t>
      </w:r>
      <w:r w:rsidR="00771333" w:rsidRPr="00CC12A4">
        <w:rPr>
          <w:rFonts w:eastAsia="Times New Roman" w:cs="Arial"/>
          <w:color w:val="000000"/>
        </w:rPr>
        <w:t>FEHA.</w:t>
      </w:r>
      <w:r w:rsidR="00385C6B" w:rsidRPr="00CC12A4">
        <w:rPr>
          <w:rFonts w:eastAsia="Times New Roman" w:cs="Arial"/>
          <w:color w:val="000000"/>
        </w:rPr>
        <w:t xml:space="preserve">  </w:t>
      </w:r>
      <w:r w:rsidR="00771333" w:rsidRPr="00CC12A4">
        <w:rPr>
          <w:rFonts w:eastAsia="Times New Roman" w:cs="Arial"/>
          <w:color w:val="000000"/>
        </w:rPr>
        <w:t>U</w:t>
      </w:r>
      <w:r w:rsidR="00385C6B" w:rsidRPr="00CC12A4">
        <w:rPr>
          <w:rFonts w:eastAsia="Times New Roman" w:cs="Arial"/>
          <w:color w:val="000000"/>
        </w:rPr>
        <w:t xml:space="preserve">nder plaintiff’s </w:t>
      </w:r>
      <w:r w:rsidRPr="00CC12A4">
        <w:rPr>
          <w:rFonts w:eastAsia="Times New Roman" w:cs="Arial"/>
          <w:color w:val="000000"/>
        </w:rPr>
        <w:t xml:space="preserve">construct, </w:t>
      </w:r>
      <w:r w:rsidR="00452697" w:rsidRPr="00CC12A4">
        <w:rPr>
          <w:rFonts w:eastAsia="Times New Roman" w:cs="Arial"/>
          <w:color w:val="000000"/>
        </w:rPr>
        <w:t xml:space="preserve">that “any” violation of the ADA is a violation of the Unruh Act, </w:t>
      </w:r>
      <w:r w:rsidR="00385C6B" w:rsidRPr="00CC12A4">
        <w:rPr>
          <w:rFonts w:eastAsia="Times New Roman" w:cs="Arial"/>
          <w:color w:val="000000"/>
        </w:rPr>
        <w:t>a violation of Title I of the ADA, p</w:t>
      </w:r>
      <w:r w:rsidRPr="00CC12A4">
        <w:rPr>
          <w:rFonts w:eastAsia="Times New Roman" w:cs="Arial"/>
          <w:color w:val="000000"/>
        </w:rPr>
        <w:t xml:space="preserve">rohibiting disability discrimination in employment, </w:t>
      </w:r>
      <w:r w:rsidR="00385C6B" w:rsidRPr="00CC12A4">
        <w:rPr>
          <w:rFonts w:eastAsia="Times New Roman" w:cs="Arial"/>
          <w:color w:val="000000"/>
        </w:rPr>
        <w:t xml:space="preserve">would </w:t>
      </w:r>
      <w:r w:rsidR="00452697" w:rsidRPr="00CC12A4">
        <w:rPr>
          <w:rFonts w:eastAsia="Times New Roman" w:cs="Arial"/>
          <w:color w:val="000000"/>
        </w:rPr>
        <w:t xml:space="preserve">also </w:t>
      </w:r>
      <w:r w:rsidR="00385C6B" w:rsidRPr="00CC12A4">
        <w:rPr>
          <w:rFonts w:eastAsia="Times New Roman" w:cs="Arial"/>
          <w:color w:val="000000"/>
        </w:rPr>
        <w:t xml:space="preserve">be a violation </w:t>
      </w:r>
      <w:r w:rsidR="007351D9" w:rsidRPr="00CC12A4">
        <w:rPr>
          <w:rFonts w:eastAsia="Times New Roman" w:cs="Arial"/>
          <w:color w:val="000000"/>
        </w:rPr>
        <w:t xml:space="preserve">of the Unruh Act.  </w:t>
      </w:r>
      <w:r w:rsidR="00771333" w:rsidRPr="00CC12A4">
        <w:rPr>
          <w:rFonts w:eastAsia="Times New Roman" w:cs="Arial"/>
          <w:color w:val="000000"/>
        </w:rPr>
        <w:t xml:space="preserve">However, </w:t>
      </w:r>
      <w:r w:rsidR="007351D9" w:rsidRPr="00CC12A4">
        <w:rPr>
          <w:rFonts w:eastAsia="Times New Roman" w:cs="Arial"/>
          <w:color w:val="000000"/>
        </w:rPr>
        <w:t xml:space="preserve">the Legislature </w:t>
      </w:r>
      <w:r w:rsidRPr="00CC12A4">
        <w:rPr>
          <w:rFonts w:eastAsia="Times New Roman" w:cs="Arial"/>
          <w:color w:val="000000"/>
        </w:rPr>
        <w:t>incorporate</w:t>
      </w:r>
      <w:r w:rsidR="00CA49FB" w:rsidRPr="00CC12A4">
        <w:rPr>
          <w:rFonts w:eastAsia="Times New Roman" w:cs="Arial"/>
          <w:color w:val="000000"/>
        </w:rPr>
        <w:t>d</w:t>
      </w:r>
      <w:r w:rsidRPr="00CC12A4">
        <w:rPr>
          <w:rFonts w:eastAsia="Times New Roman" w:cs="Arial"/>
          <w:color w:val="000000"/>
        </w:rPr>
        <w:t xml:space="preserve"> the protections of Title I of the </w:t>
      </w:r>
      <w:r w:rsidR="001729D8" w:rsidRPr="00CC12A4">
        <w:rPr>
          <w:rFonts w:eastAsia="Times New Roman" w:cs="Arial"/>
          <w:color w:val="000000"/>
        </w:rPr>
        <w:t xml:space="preserve">ADA </w:t>
      </w:r>
      <w:r w:rsidRPr="00CC12A4">
        <w:rPr>
          <w:rFonts w:eastAsia="Times New Roman" w:cs="Arial"/>
          <w:color w:val="000000"/>
        </w:rPr>
        <w:t xml:space="preserve">into </w:t>
      </w:r>
      <w:r w:rsidR="00CA49FB" w:rsidRPr="00CC12A4">
        <w:rPr>
          <w:rFonts w:eastAsia="Times New Roman" w:cs="Arial"/>
          <w:color w:val="000000"/>
        </w:rPr>
        <w:t xml:space="preserve">our </w:t>
      </w:r>
      <w:r w:rsidRPr="00CC12A4">
        <w:rPr>
          <w:rFonts w:eastAsia="Times New Roman" w:cs="Arial"/>
          <w:color w:val="000000"/>
        </w:rPr>
        <w:t>state law</w:t>
      </w:r>
      <w:r w:rsidR="00CA49FB" w:rsidRPr="00CC12A4">
        <w:rPr>
          <w:rFonts w:eastAsia="Times New Roman" w:cs="Arial"/>
          <w:color w:val="000000"/>
        </w:rPr>
        <w:t xml:space="preserve"> by specifically amending </w:t>
      </w:r>
      <w:proofErr w:type="gramStart"/>
      <w:r w:rsidR="00564B0A" w:rsidRPr="00CC12A4">
        <w:rPr>
          <w:rFonts w:eastAsia="Times New Roman" w:cs="Arial"/>
          <w:color w:val="000000"/>
        </w:rPr>
        <w:t>numerous</w:t>
      </w:r>
      <w:proofErr w:type="gramEnd"/>
      <w:r w:rsidR="00564B0A" w:rsidRPr="00CC12A4">
        <w:rPr>
          <w:rFonts w:eastAsia="Times New Roman" w:cs="Arial"/>
          <w:color w:val="000000"/>
        </w:rPr>
        <w:t xml:space="preserve"> provisions of the </w:t>
      </w:r>
      <w:r w:rsidR="00CA49FB" w:rsidRPr="00CC12A4">
        <w:rPr>
          <w:rFonts w:eastAsia="Times New Roman" w:cs="Arial"/>
          <w:color w:val="000000"/>
        </w:rPr>
        <w:t>FEHA.</w:t>
      </w:r>
      <w:r w:rsidR="00CA49FB" w:rsidRPr="00E336A2">
        <w:rPr>
          <w:rFonts w:eastAsia="Times New Roman" w:cs="Arial"/>
          <w:color w:val="000000"/>
        </w:rPr>
        <w:t xml:space="preserve">  </w:t>
      </w:r>
      <w:r w:rsidR="00CA49FB" w:rsidRPr="00462F49">
        <w:rPr>
          <w:rFonts w:eastAsia="Times New Roman" w:cs="Arial"/>
          <w:color w:val="000000"/>
        </w:rPr>
        <w:t>(</w:t>
      </w:r>
      <w:r w:rsidR="00462F49" w:rsidRPr="00462F49">
        <w:t xml:space="preserve">Legis. Counsel’s Dig., Assem. Bill </w:t>
      </w:r>
      <w:r w:rsidR="00377E46">
        <w:t xml:space="preserve">No. </w:t>
      </w:r>
      <w:r w:rsidR="00462F49" w:rsidRPr="00462F49">
        <w:t xml:space="preserve">1077 </w:t>
      </w:r>
      <w:r w:rsidR="00462F49" w:rsidRPr="00462F49">
        <w:rPr>
          <w:rFonts w:eastAsia="Times New Roman" w:cs="Arial"/>
          <w:color w:val="000000"/>
        </w:rPr>
        <w:t>(1991</w:t>
      </w:r>
      <w:r w:rsidR="00377E46" w:rsidRPr="00E336A2">
        <w:rPr>
          <w:rFonts w:eastAsia="Times New Roman" w:cs="Arial"/>
          <w:color w:val="000000"/>
        </w:rPr>
        <w:t>–</w:t>
      </w:r>
      <w:r w:rsidR="00462F49" w:rsidRPr="00462F49">
        <w:rPr>
          <w:rFonts w:eastAsia="Times New Roman" w:cs="Arial"/>
          <w:color w:val="000000"/>
        </w:rPr>
        <w:t xml:space="preserve">1992 Reg. Sess.) </w:t>
      </w:r>
      <w:r w:rsidR="00462F49" w:rsidRPr="00462F49">
        <w:t xml:space="preserve">1992 Stats. </w:t>
      </w:r>
      <w:proofErr w:type="spellStart"/>
      <w:r w:rsidR="00462F49" w:rsidRPr="00462F49">
        <w:t>ch.</w:t>
      </w:r>
      <w:proofErr w:type="spellEnd"/>
      <w:r w:rsidR="00462F49" w:rsidRPr="00462F49">
        <w:t xml:space="preserve"> 913, </w:t>
      </w:r>
      <w:proofErr w:type="spellStart"/>
      <w:r w:rsidR="00462F49" w:rsidRPr="00462F49">
        <w:t>subd</w:t>
      </w:r>
      <w:proofErr w:type="spellEnd"/>
      <w:r w:rsidR="00462F49" w:rsidRPr="00462F49">
        <w:t xml:space="preserve">. </w:t>
      </w:r>
      <w:r w:rsidR="008A7AB1">
        <w:t>(</w:t>
      </w:r>
      <w:r w:rsidR="00462F49" w:rsidRPr="00462F49">
        <w:t>15</w:t>
      </w:r>
      <w:r w:rsidR="008A7AB1">
        <w:t>)</w:t>
      </w:r>
      <w:r w:rsidR="00462F49" w:rsidRPr="00462F49">
        <w:t>, p. 380</w:t>
      </w:r>
      <w:r w:rsidR="00462F49">
        <w:t xml:space="preserve">.)  </w:t>
      </w:r>
      <w:r w:rsidR="00452697" w:rsidRPr="00CC12A4">
        <w:rPr>
          <w:rFonts w:eastAsia="Times New Roman" w:cs="Arial"/>
          <w:color w:val="000000"/>
        </w:rPr>
        <w:t>U</w:t>
      </w:r>
      <w:r w:rsidR="005B63AC" w:rsidRPr="00CC12A4">
        <w:rPr>
          <w:rFonts w:eastAsia="Times New Roman" w:cs="Arial"/>
          <w:color w:val="000000"/>
        </w:rPr>
        <w:t>nder statutory construction principles, we do not construe legislative acts as meaningless surplusage.  (See</w:t>
      </w:r>
      <w:r w:rsidR="00452697" w:rsidRPr="00CC12A4">
        <w:rPr>
          <w:rFonts w:eastAsia="Times New Roman" w:cs="Arial"/>
          <w:color w:val="000000"/>
        </w:rPr>
        <w:t xml:space="preserve"> </w:t>
      </w:r>
      <w:r w:rsidR="00452697" w:rsidRPr="00CC12A4">
        <w:rPr>
          <w:rFonts w:eastAsia="Times New Roman" w:cs="Arial"/>
          <w:i/>
          <w:iCs/>
          <w:color w:val="000000"/>
        </w:rPr>
        <w:t xml:space="preserve">People v. Hudson </w:t>
      </w:r>
      <w:r w:rsidR="00452697" w:rsidRPr="00CC12A4">
        <w:rPr>
          <w:rFonts w:eastAsia="Times New Roman" w:cs="Arial"/>
          <w:color w:val="000000"/>
        </w:rPr>
        <w:t>(2006) 38 Cal.4th 1002, 1010</w:t>
      </w:r>
      <w:r w:rsidR="005B63AC" w:rsidRPr="00CC12A4">
        <w:rPr>
          <w:rFonts w:eastAsia="Times New Roman" w:cs="Arial"/>
          <w:color w:val="000000"/>
        </w:rPr>
        <w:t xml:space="preserve"> </w:t>
      </w:r>
      <w:r w:rsidR="00452697" w:rsidRPr="00CC12A4">
        <w:rPr>
          <w:rFonts w:eastAsia="Times New Roman" w:cs="Arial"/>
          <w:color w:val="000000"/>
        </w:rPr>
        <w:lastRenderedPageBreak/>
        <w:t xml:space="preserve">[“interpretations that render statutory terms </w:t>
      </w:r>
      <w:r w:rsidR="00452697" w:rsidRPr="00CC12A4">
        <w:rPr>
          <w:rFonts w:eastAsia="Times New Roman" w:cs="Arial"/>
          <w:color w:val="000000"/>
          <w:shd w:val="clear" w:color="auto" w:fill="FFFFFF"/>
        </w:rPr>
        <w:t>meaningless</w:t>
      </w:r>
      <w:r w:rsidR="00452697" w:rsidRPr="00CC12A4">
        <w:rPr>
          <w:rFonts w:eastAsia="Times New Roman" w:cs="Arial"/>
          <w:color w:val="000000"/>
        </w:rPr>
        <w:t xml:space="preserve"> as </w:t>
      </w:r>
      <w:r w:rsidR="00452697" w:rsidRPr="00CC12A4">
        <w:rPr>
          <w:rFonts w:eastAsia="Times New Roman" w:cs="Arial"/>
          <w:color w:val="000000"/>
          <w:shd w:val="clear" w:color="auto" w:fill="FFFFFF"/>
        </w:rPr>
        <w:t>surplusage</w:t>
      </w:r>
      <w:r w:rsidR="00452697" w:rsidRPr="00CC12A4">
        <w:rPr>
          <w:rFonts w:eastAsia="Times New Roman" w:cs="Arial"/>
          <w:color w:val="000000"/>
        </w:rPr>
        <w:t xml:space="preserve"> are to be avoided”].)</w:t>
      </w:r>
    </w:p>
    <w:p w14:paraId="403B095D" w14:textId="77777777" w:rsidR="007127EE" w:rsidRPr="00CC12A4" w:rsidRDefault="001729D8" w:rsidP="001B0A10">
      <w:pPr>
        <w:spacing w:line="360" w:lineRule="auto"/>
        <w:rPr>
          <w:rFonts w:eastAsia="Times New Roman" w:cs="Arial"/>
          <w:color w:val="000000"/>
        </w:rPr>
      </w:pPr>
      <w:r w:rsidRPr="00CC12A4">
        <w:rPr>
          <w:rFonts w:eastAsia="Times New Roman" w:cs="Arial"/>
          <w:color w:val="000000"/>
        </w:rPr>
        <w:tab/>
      </w:r>
      <w:r w:rsidR="002743B9" w:rsidRPr="00CC12A4">
        <w:rPr>
          <w:rFonts w:eastAsia="Times New Roman" w:cs="Arial"/>
          <w:color w:val="000000"/>
        </w:rPr>
        <w:t xml:space="preserve">In addition, </w:t>
      </w:r>
      <w:r w:rsidRPr="00CC12A4">
        <w:rPr>
          <w:rFonts w:eastAsia="Times New Roman" w:cs="Arial"/>
          <w:color w:val="000000"/>
        </w:rPr>
        <w:t xml:space="preserve">our Supreme Court </w:t>
      </w:r>
      <w:r w:rsidR="001B0A10" w:rsidRPr="00CC12A4">
        <w:rPr>
          <w:rFonts w:eastAsia="Times New Roman" w:cs="Arial"/>
          <w:color w:val="000000"/>
        </w:rPr>
        <w:t xml:space="preserve">had already held </w:t>
      </w:r>
      <w:r w:rsidRPr="00CC12A4">
        <w:rPr>
          <w:rFonts w:eastAsia="Times New Roman" w:cs="Arial"/>
          <w:color w:val="000000"/>
        </w:rPr>
        <w:t xml:space="preserve">in </w:t>
      </w:r>
      <w:r w:rsidRPr="00CC12A4">
        <w:rPr>
          <w:rFonts w:eastAsia="Times New Roman" w:cs="Arial"/>
          <w:i/>
          <w:iCs/>
          <w:color w:val="000000"/>
        </w:rPr>
        <w:t xml:space="preserve">Alcorn v. </w:t>
      </w:r>
      <w:proofErr w:type="spellStart"/>
      <w:r w:rsidRPr="00CC12A4">
        <w:rPr>
          <w:rFonts w:eastAsia="Times New Roman" w:cs="Arial"/>
          <w:i/>
          <w:iCs/>
          <w:color w:val="000000"/>
        </w:rPr>
        <w:t>Anbro</w:t>
      </w:r>
      <w:proofErr w:type="spellEnd"/>
      <w:r w:rsidRPr="00CC12A4">
        <w:rPr>
          <w:rFonts w:eastAsia="Times New Roman" w:cs="Arial"/>
          <w:i/>
          <w:iCs/>
          <w:color w:val="000000"/>
        </w:rPr>
        <w:t xml:space="preserve"> Engineering, Inc.</w:t>
      </w:r>
      <w:r w:rsidRPr="00CC12A4">
        <w:rPr>
          <w:rFonts w:eastAsia="Times New Roman" w:cs="Arial"/>
          <w:color w:val="000000"/>
        </w:rPr>
        <w:t xml:space="preserve"> (1970) 2 Cal.3d 493</w:t>
      </w:r>
      <w:r w:rsidR="001B0A10" w:rsidRPr="00CC12A4">
        <w:rPr>
          <w:rFonts w:eastAsia="Times New Roman" w:cs="Arial"/>
          <w:color w:val="000000"/>
        </w:rPr>
        <w:t xml:space="preserve"> (</w:t>
      </w:r>
      <w:r w:rsidR="001B0A10" w:rsidRPr="00CC12A4">
        <w:rPr>
          <w:rFonts w:eastAsia="Times New Roman" w:cs="Arial"/>
          <w:i/>
          <w:iCs/>
          <w:color w:val="000000"/>
        </w:rPr>
        <w:t>Alcorn</w:t>
      </w:r>
      <w:r w:rsidR="001B0A10" w:rsidRPr="00CC12A4">
        <w:rPr>
          <w:rFonts w:eastAsia="Times New Roman" w:cs="Arial"/>
          <w:color w:val="000000"/>
        </w:rPr>
        <w:t xml:space="preserve">), that the Unruh </w:t>
      </w:r>
      <w:r w:rsidRPr="00CC12A4">
        <w:rPr>
          <w:rFonts w:eastAsia="Times New Roman" w:cs="Arial"/>
          <w:color w:val="000000"/>
        </w:rPr>
        <w:t xml:space="preserve">Act does </w:t>
      </w:r>
      <w:r w:rsidRPr="00CC12A4">
        <w:rPr>
          <w:rFonts w:eastAsia="Times New Roman" w:cs="Arial"/>
          <w:i/>
          <w:iCs/>
          <w:color w:val="000000"/>
        </w:rPr>
        <w:t>not</w:t>
      </w:r>
      <w:r w:rsidRPr="00CC12A4">
        <w:rPr>
          <w:rFonts w:eastAsia="Times New Roman" w:cs="Arial"/>
          <w:color w:val="000000"/>
        </w:rPr>
        <w:t xml:space="preserve"> apply to “employment” discrimination.</w:t>
      </w:r>
      <w:r w:rsidR="001B0A10" w:rsidRPr="00CC12A4">
        <w:rPr>
          <w:rFonts w:eastAsia="Times New Roman" w:cs="Arial"/>
          <w:color w:val="000000"/>
        </w:rPr>
        <w:t xml:space="preserve"> </w:t>
      </w:r>
      <w:r w:rsidR="002F6596" w:rsidRPr="00CC12A4">
        <w:rPr>
          <w:rFonts w:eastAsia="Times New Roman" w:cs="Arial"/>
          <w:color w:val="000000"/>
        </w:rPr>
        <w:t xml:space="preserve"> </w:t>
      </w:r>
      <w:r w:rsidR="001B0A10" w:rsidRPr="00CC12A4">
        <w:rPr>
          <w:rFonts w:eastAsia="Times New Roman" w:cs="Arial"/>
          <w:color w:val="000000"/>
        </w:rPr>
        <w:t xml:space="preserve">The court explained: </w:t>
      </w:r>
      <w:r w:rsidR="002F6596" w:rsidRPr="00CC12A4">
        <w:rPr>
          <w:rFonts w:eastAsia="Times New Roman" w:cs="Arial"/>
          <w:color w:val="000000"/>
        </w:rPr>
        <w:t xml:space="preserve"> </w:t>
      </w:r>
      <w:r w:rsidR="001B0A10" w:rsidRPr="00CC12A4">
        <w:rPr>
          <w:rFonts w:eastAsia="Times New Roman" w:cs="Arial"/>
          <w:color w:val="000000"/>
        </w:rPr>
        <w:t>“</w:t>
      </w:r>
      <w:r w:rsidRPr="00CC12A4">
        <w:rPr>
          <w:rFonts w:eastAsia="Times New Roman" w:cs="Arial"/>
          <w:color w:val="000000"/>
        </w:rPr>
        <w:t>Although this court has held that the term ‘business establishments</w:t>
      </w:r>
      <w:r w:rsidR="00452697" w:rsidRPr="00CC12A4">
        <w:rPr>
          <w:rFonts w:eastAsia="Times New Roman" w:cs="Arial"/>
          <w:color w:val="000000"/>
        </w:rPr>
        <w:t>’</w:t>
      </w:r>
      <w:r w:rsidRPr="00CC12A4">
        <w:rPr>
          <w:rFonts w:eastAsia="Times New Roman" w:cs="Arial"/>
          <w:color w:val="000000"/>
        </w:rPr>
        <w:t xml:space="preserve"> in </w:t>
      </w:r>
      <w:r w:rsidR="00377E46">
        <w:rPr>
          <w:rFonts w:eastAsia="Times New Roman" w:cs="Arial"/>
          <w:color w:val="000000"/>
        </w:rPr>
        <w:t xml:space="preserve">[Civil Code] </w:t>
      </w:r>
      <w:r w:rsidRPr="00CC12A4">
        <w:rPr>
          <w:rFonts w:eastAsia="Times New Roman" w:cs="Arial"/>
          <w:color w:val="000000"/>
        </w:rPr>
        <w:t>section 51 was used in the ‘broadest sense reasonably possible’</w:t>
      </w:r>
      <w:r w:rsidR="002F6596" w:rsidRPr="00CC12A4">
        <w:rPr>
          <w:rFonts w:eastAsia="Times New Roman" w:cs="Arial"/>
          <w:color w:val="000000"/>
        </w:rPr>
        <w:t xml:space="preserve"> </w:t>
      </w:r>
      <w:r w:rsidRPr="00CC12A4">
        <w:rPr>
          <w:rFonts w:eastAsia="Times New Roman" w:cs="Arial"/>
          <w:color w:val="000000"/>
        </w:rPr>
        <w:t>(</w:t>
      </w:r>
      <w:r w:rsidRPr="00CC12A4">
        <w:rPr>
          <w:rFonts w:eastAsia="Times New Roman" w:cs="Arial"/>
          <w:i/>
          <w:iCs/>
          <w:color w:val="000000"/>
        </w:rPr>
        <w:t>Burks</w:t>
      </w:r>
      <w:r w:rsidRPr="00CC12A4">
        <w:rPr>
          <w:rFonts w:eastAsia="Times New Roman" w:cs="Arial"/>
          <w:color w:val="000000"/>
        </w:rPr>
        <w:t xml:space="preserve"> </w:t>
      </w:r>
      <w:r w:rsidR="002108E5" w:rsidRPr="00CC12A4">
        <w:rPr>
          <w:rFonts w:eastAsia="Times New Roman" w:cs="Arial"/>
          <w:color w:val="000000"/>
        </w:rPr>
        <w:t>[,</w:t>
      </w:r>
      <w:r w:rsidR="002108E5" w:rsidRPr="00CC12A4">
        <w:rPr>
          <w:rFonts w:eastAsia="Times New Roman" w:cs="Arial"/>
          <w:i/>
          <w:iCs/>
          <w:color w:val="000000"/>
        </w:rPr>
        <w:t>supra</w:t>
      </w:r>
      <w:r w:rsidR="002108E5" w:rsidRPr="00CC12A4">
        <w:rPr>
          <w:rFonts w:eastAsia="Times New Roman" w:cs="Arial"/>
          <w:color w:val="000000"/>
        </w:rPr>
        <w:t>,]</w:t>
      </w:r>
      <w:r w:rsidRPr="00CC12A4">
        <w:rPr>
          <w:rFonts w:eastAsia="Times New Roman" w:cs="Arial"/>
          <w:color w:val="000000"/>
        </w:rPr>
        <w:t xml:space="preserve"> 57</w:t>
      </w:r>
      <w:r w:rsidR="00377E46">
        <w:rPr>
          <w:rFonts w:eastAsia="Times New Roman" w:cs="Arial"/>
          <w:color w:val="000000"/>
        </w:rPr>
        <w:t> </w:t>
      </w:r>
      <w:r w:rsidRPr="00CC12A4">
        <w:rPr>
          <w:rFonts w:eastAsia="Times New Roman" w:cs="Arial"/>
          <w:color w:val="000000"/>
        </w:rPr>
        <w:t>Cal.2d 463, 468</w:t>
      </w:r>
      <w:r w:rsidR="008A7AB1" w:rsidRPr="00E336A2">
        <w:rPr>
          <w:rFonts w:eastAsia="Times New Roman" w:cs="Arial"/>
          <w:color w:val="000000"/>
        </w:rPr>
        <w:t>–</w:t>
      </w:r>
      <w:r w:rsidRPr="00CC12A4">
        <w:rPr>
          <w:rFonts w:eastAsia="Times New Roman" w:cs="Arial"/>
          <w:color w:val="000000"/>
        </w:rPr>
        <w:t xml:space="preserve">469 . . . ), it is doubtful that the Legislature intended these sections to apply to discrimination in employment. </w:t>
      </w:r>
      <w:r w:rsidR="002F6596" w:rsidRPr="00CC12A4">
        <w:rPr>
          <w:rFonts w:eastAsia="Times New Roman" w:cs="Arial"/>
          <w:color w:val="000000"/>
        </w:rPr>
        <w:t xml:space="preserve"> </w:t>
      </w:r>
      <w:r w:rsidRPr="00CC12A4">
        <w:rPr>
          <w:rFonts w:eastAsia="Times New Roman" w:cs="Arial"/>
          <w:color w:val="000000"/>
        </w:rPr>
        <w:t xml:space="preserve">The broad language of </w:t>
      </w:r>
      <w:r w:rsidR="00377E46">
        <w:rPr>
          <w:rFonts w:eastAsia="Times New Roman" w:cs="Arial"/>
          <w:color w:val="000000"/>
        </w:rPr>
        <w:t xml:space="preserve">[Civil Code] </w:t>
      </w:r>
      <w:r w:rsidRPr="00CC12A4">
        <w:rPr>
          <w:rFonts w:eastAsia="Times New Roman" w:cs="Arial"/>
          <w:color w:val="000000"/>
        </w:rPr>
        <w:t>section 51 was adopted after several court decisions placed an unduly restrictive interpretation upon the former phrase ‘places of public accommodation or amusement’ in the predecessor section to section 51.</w:t>
      </w:r>
      <w:r w:rsidR="002F6596" w:rsidRPr="00CC12A4">
        <w:rPr>
          <w:rFonts w:eastAsia="Times New Roman" w:cs="Arial"/>
          <w:color w:val="000000"/>
        </w:rPr>
        <w:t xml:space="preserve"> </w:t>
      </w:r>
      <w:r w:rsidRPr="00CC12A4">
        <w:rPr>
          <w:rFonts w:eastAsia="Times New Roman" w:cs="Arial"/>
          <w:color w:val="000000"/>
        </w:rPr>
        <w:t xml:space="preserve"> </w:t>
      </w:r>
      <w:r w:rsidR="00CA49FB" w:rsidRPr="00CC12A4">
        <w:rPr>
          <w:rFonts w:eastAsia="Times New Roman" w:cs="Arial"/>
          <w:color w:val="000000"/>
        </w:rPr>
        <w:t>[Citation.]</w:t>
      </w:r>
      <w:r w:rsidR="002F6596" w:rsidRPr="00CC12A4">
        <w:rPr>
          <w:rFonts w:eastAsia="Times New Roman" w:cs="Arial"/>
          <w:color w:val="000000"/>
        </w:rPr>
        <w:t xml:space="preserve"> </w:t>
      </w:r>
      <w:r w:rsidR="00CA49FB" w:rsidRPr="00CC12A4">
        <w:rPr>
          <w:rFonts w:eastAsia="Times New Roman" w:cs="Arial"/>
          <w:color w:val="000000"/>
        </w:rPr>
        <w:t xml:space="preserve"> </w:t>
      </w:r>
      <w:r w:rsidRPr="00CC12A4">
        <w:rPr>
          <w:rFonts w:eastAsia="Times New Roman" w:cs="Arial"/>
          <w:color w:val="000000"/>
        </w:rPr>
        <w:t xml:space="preserve">However, there is no indication that the Legislature intended to broaden the scope of </w:t>
      </w:r>
      <w:r w:rsidR="00377E46">
        <w:rPr>
          <w:rFonts w:eastAsia="Times New Roman" w:cs="Arial"/>
          <w:color w:val="000000"/>
        </w:rPr>
        <w:t xml:space="preserve">[Civil Code] </w:t>
      </w:r>
      <w:r w:rsidRPr="00CC12A4">
        <w:rPr>
          <w:rFonts w:eastAsia="Times New Roman" w:cs="Arial"/>
          <w:color w:val="000000"/>
        </w:rPr>
        <w:t>section 51 to include discriminations other than those made by a ‘business establishment’ in the course of furnishing goods, services or facilities to its clients, patrons or customers.</w:t>
      </w:r>
      <w:r w:rsidR="001B0A10" w:rsidRPr="00CC12A4">
        <w:rPr>
          <w:rFonts w:eastAsia="Times New Roman" w:cs="Arial"/>
          <w:color w:val="000000"/>
        </w:rPr>
        <w:t>”  (</w:t>
      </w:r>
      <w:r w:rsidR="001B0A10" w:rsidRPr="00CC12A4">
        <w:rPr>
          <w:rFonts w:eastAsia="Times New Roman" w:cs="Arial"/>
          <w:i/>
          <w:iCs/>
          <w:color w:val="000000"/>
        </w:rPr>
        <w:t xml:space="preserve">Alcorn, </w:t>
      </w:r>
      <w:r w:rsidR="001B0A10" w:rsidRPr="00CC12A4">
        <w:rPr>
          <w:rFonts w:eastAsia="Times New Roman" w:cs="Arial"/>
          <w:color w:val="000000"/>
        </w:rPr>
        <w:t>at p.</w:t>
      </w:r>
      <w:r w:rsidR="00377E46">
        <w:rPr>
          <w:rFonts w:eastAsia="Times New Roman" w:cs="Arial"/>
          <w:color w:val="000000"/>
        </w:rPr>
        <w:t> </w:t>
      </w:r>
      <w:r w:rsidR="001B0A10" w:rsidRPr="00CC12A4">
        <w:rPr>
          <w:rFonts w:eastAsia="Times New Roman" w:cs="Arial"/>
          <w:color w:val="000000"/>
        </w:rPr>
        <w:t>500</w:t>
      </w:r>
      <w:r w:rsidR="00CA49FB" w:rsidRPr="00CC12A4">
        <w:rPr>
          <w:rFonts w:eastAsia="Times New Roman" w:cs="Arial"/>
          <w:color w:val="000000"/>
        </w:rPr>
        <w:t xml:space="preserve">, citing Horowitz, </w:t>
      </w:r>
      <w:r w:rsidR="002108E5" w:rsidRPr="00CC12A4">
        <w:rPr>
          <w:rFonts w:eastAsia="Times New Roman" w:cs="Arial"/>
          <w:i/>
          <w:iCs/>
          <w:color w:val="000000"/>
        </w:rPr>
        <w:t xml:space="preserve">supra, </w:t>
      </w:r>
      <w:r w:rsidR="002108E5" w:rsidRPr="00CC12A4">
        <w:rPr>
          <w:rFonts w:eastAsia="Times New Roman" w:cs="Arial"/>
          <w:color w:val="000000"/>
        </w:rPr>
        <w:t xml:space="preserve">33 </w:t>
      </w:r>
      <w:proofErr w:type="spellStart"/>
      <w:r w:rsidR="002108E5" w:rsidRPr="00CC12A4">
        <w:rPr>
          <w:rFonts w:eastAsia="Times New Roman" w:cs="Arial"/>
          <w:color w:val="000000"/>
        </w:rPr>
        <w:t>So.Cal.L.Rev</w:t>
      </w:r>
      <w:proofErr w:type="spellEnd"/>
      <w:r w:rsidR="002108E5" w:rsidRPr="00CC12A4">
        <w:rPr>
          <w:rFonts w:eastAsia="Times New Roman" w:cs="Arial"/>
          <w:color w:val="000000"/>
        </w:rPr>
        <w:t xml:space="preserve">. </w:t>
      </w:r>
      <w:r w:rsidR="00CA49FB" w:rsidRPr="00CC12A4">
        <w:rPr>
          <w:rFonts w:eastAsia="Times New Roman" w:cs="Arial"/>
          <w:color w:val="000000"/>
        </w:rPr>
        <w:t>at pp. 272</w:t>
      </w:r>
      <w:r w:rsidR="00377E46" w:rsidRPr="00E336A2">
        <w:rPr>
          <w:rFonts w:eastAsia="Times New Roman" w:cs="Arial"/>
          <w:color w:val="000000"/>
        </w:rPr>
        <w:t>–</w:t>
      </w:r>
      <w:r w:rsidR="00CA49FB" w:rsidRPr="00CC12A4">
        <w:rPr>
          <w:rFonts w:eastAsia="Times New Roman" w:cs="Arial"/>
          <w:color w:val="000000"/>
        </w:rPr>
        <w:t>276, 288</w:t>
      </w:r>
      <w:r w:rsidR="00377E46" w:rsidRPr="00E336A2">
        <w:rPr>
          <w:rFonts w:eastAsia="Times New Roman" w:cs="Arial"/>
          <w:color w:val="000000"/>
        </w:rPr>
        <w:t>–</w:t>
      </w:r>
      <w:r w:rsidR="00CA49FB" w:rsidRPr="00CC12A4">
        <w:rPr>
          <w:rFonts w:eastAsia="Times New Roman" w:cs="Arial"/>
          <w:color w:val="000000"/>
        </w:rPr>
        <w:t>289, 294</w:t>
      </w:r>
      <w:r w:rsidR="001B0A10" w:rsidRPr="00CC12A4">
        <w:rPr>
          <w:rFonts w:eastAsia="Times New Roman" w:cs="Arial"/>
          <w:color w:val="000000"/>
        </w:rPr>
        <w:t xml:space="preserve">.)  </w:t>
      </w:r>
      <w:r w:rsidR="00CA49FB" w:rsidRPr="00CC12A4">
        <w:rPr>
          <w:rFonts w:eastAsia="Times New Roman" w:cs="Arial"/>
          <w:color w:val="000000"/>
        </w:rPr>
        <w:t>Th</w:t>
      </w:r>
      <w:r w:rsidR="007127EE" w:rsidRPr="00CC12A4">
        <w:rPr>
          <w:rFonts w:eastAsia="Times New Roman" w:cs="Arial"/>
          <w:color w:val="000000"/>
        </w:rPr>
        <w:t>e court went on to add that i</w:t>
      </w:r>
      <w:r w:rsidR="00771333" w:rsidRPr="00CC12A4">
        <w:rPr>
          <w:rFonts w:eastAsia="Times New Roman" w:cs="Arial"/>
          <w:color w:val="000000"/>
        </w:rPr>
        <w:t xml:space="preserve">ts </w:t>
      </w:r>
      <w:r w:rsidR="001B0A10" w:rsidRPr="00CC12A4">
        <w:rPr>
          <w:rFonts w:eastAsia="Times New Roman" w:cs="Arial"/>
          <w:color w:val="000000"/>
        </w:rPr>
        <w:t>conclusion was “</w:t>
      </w:r>
      <w:r w:rsidRPr="00CC12A4">
        <w:rPr>
          <w:rFonts w:eastAsia="Times New Roman" w:cs="Arial"/>
          <w:color w:val="000000"/>
        </w:rPr>
        <w:t xml:space="preserve">substantiated by the fact that at the same session wherein it adopted the language of </w:t>
      </w:r>
      <w:r w:rsidR="00377E46">
        <w:rPr>
          <w:rFonts w:eastAsia="Times New Roman" w:cs="Arial"/>
          <w:color w:val="000000"/>
        </w:rPr>
        <w:t xml:space="preserve">[Civil Code] </w:t>
      </w:r>
      <w:r w:rsidRPr="00CC12A4">
        <w:rPr>
          <w:rFonts w:eastAsia="Times New Roman" w:cs="Arial"/>
          <w:color w:val="000000"/>
        </w:rPr>
        <w:t>section 51, the Legislature also enacted extensive provisions governing discrimination in employment.</w:t>
      </w:r>
      <w:r w:rsidR="00EA1B26" w:rsidRPr="00CC12A4">
        <w:rPr>
          <w:rFonts w:eastAsia="Times New Roman" w:cs="Arial"/>
          <w:color w:val="000000"/>
        </w:rPr>
        <w:t xml:space="preserve"> . . .</w:t>
      </w:r>
      <w:r w:rsidRPr="00CC12A4">
        <w:rPr>
          <w:rFonts w:eastAsia="Times New Roman" w:cs="Arial"/>
          <w:color w:val="000000"/>
        </w:rPr>
        <w:t xml:space="preserve"> </w:t>
      </w:r>
      <w:r w:rsidR="002B6374" w:rsidRPr="00CC12A4">
        <w:rPr>
          <w:rFonts w:eastAsia="Times New Roman" w:cs="Arial"/>
          <w:color w:val="000000"/>
        </w:rPr>
        <w:t>[¶]</w:t>
      </w:r>
      <w:r w:rsidR="00EA1B26" w:rsidRPr="00CC12A4">
        <w:rPr>
          <w:rFonts w:eastAsia="Times New Roman" w:cs="Arial"/>
          <w:color w:val="000000"/>
        </w:rPr>
        <w:t xml:space="preserve"> </w:t>
      </w:r>
      <w:r w:rsidRPr="00CC12A4">
        <w:rPr>
          <w:rFonts w:eastAsia="Times New Roman" w:cs="Arial"/>
          <w:color w:val="000000"/>
        </w:rPr>
        <w:t xml:space="preserve">Although </w:t>
      </w:r>
      <w:r w:rsidR="00564B0A" w:rsidRPr="00CC12A4">
        <w:rPr>
          <w:rFonts w:eastAsia="Times New Roman" w:cs="Arial"/>
          <w:color w:val="000000"/>
        </w:rPr>
        <w:t xml:space="preserve">the </w:t>
      </w:r>
      <w:r w:rsidR="00EA1B26" w:rsidRPr="00CC12A4">
        <w:rPr>
          <w:rFonts w:eastAsia="Times New Roman" w:cs="Arial"/>
          <w:color w:val="000000"/>
        </w:rPr>
        <w:t>[</w:t>
      </w:r>
      <w:r w:rsidR="007127EE" w:rsidRPr="00CC12A4">
        <w:rPr>
          <w:rFonts w:eastAsia="Times New Roman" w:cs="Arial"/>
          <w:color w:val="000000"/>
        </w:rPr>
        <w:t>FEHA]</w:t>
      </w:r>
      <w:r w:rsidRPr="00CC12A4">
        <w:rPr>
          <w:rFonts w:eastAsia="Times New Roman" w:cs="Arial"/>
          <w:color w:val="000000"/>
        </w:rPr>
        <w:t xml:space="preserve"> cannot be deemed to have repealed any provisions of the Civil Rights Act </w:t>
      </w:r>
      <w:r w:rsidR="001B0A10" w:rsidRPr="00CC12A4">
        <w:rPr>
          <w:rFonts w:eastAsia="Times New Roman" w:cs="Arial"/>
          <w:color w:val="000000"/>
        </w:rPr>
        <w:t>. . .</w:t>
      </w:r>
      <w:r w:rsidR="002F6596" w:rsidRPr="00CC12A4">
        <w:rPr>
          <w:rFonts w:eastAsia="Times New Roman" w:cs="Arial"/>
          <w:color w:val="000000"/>
        </w:rPr>
        <w:t xml:space="preserve"> </w:t>
      </w:r>
      <w:r w:rsidR="001B0A10" w:rsidRPr="00CC12A4">
        <w:rPr>
          <w:rFonts w:eastAsia="Times New Roman" w:cs="Arial"/>
          <w:color w:val="000000"/>
        </w:rPr>
        <w:t xml:space="preserve">, </w:t>
      </w:r>
      <w:r w:rsidRPr="00CC12A4">
        <w:rPr>
          <w:rFonts w:eastAsia="Times New Roman" w:cs="Arial"/>
          <w:color w:val="000000"/>
        </w:rPr>
        <w:t>we conclude that the concurrent enactment of the former act indicated a legislative intent to exclude the subject of discrimination in employment from the latter act.</w:t>
      </w:r>
      <w:r w:rsidR="001B0A10" w:rsidRPr="00CC12A4">
        <w:rPr>
          <w:rFonts w:eastAsia="Times New Roman" w:cs="Arial"/>
          <w:color w:val="000000"/>
        </w:rPr>
        <w:t>”  (</w:t>
      </w:r>
      <w:r w:rsidR="001B0A10" w:rsidRPr="00CC12A4">
        <w:rPr>
          <w:rFonts w:eastAsia="Times New Roman" w:cs="Arial"/>
          <w:i/>
          <w:iCs/>
          <w:color w:val="000000"/>
        </w:rPr>
        <w:t xml:space="preserve">Alcorn, </w:t>
      </w:r>
      <w:r w:rsidR="001B0A10" w:rsidRPr="00CC12A4">
        <w:rPr>
          <w:rFonts w:eastAsia="Times New Roman" w:cs="Arial"/>
          <w:color w:val="000000"/>
        </w:rPr>
        <w:t>at p. 500.)</w:t>
      </w:r>
      <w:r w:rsidR="00DE466A" w:rsidRPr="00CC12A4">
        <w:rPr>
          <w:rFonts w:eastAsia="Times New Roman" w:cs="Arial"/>
          <w:color w:val="000000"/>
        </w:rPr>
        <w:t xml:space="preserve">  </w:t>
      </w:r>
    </w:p>
    <w:p w14:paraId="33E31B37" w14:textId="77777777" w:rsidR="001B0A10" w:rsidRPr="00CC12A4" w:rsidRDefault="007127EE" w:rsidP="001B0A10">
      <w:pPr>
        <w:spacing w:line="360" w:lineRule="auto"/>
        <w:rPr>
          <w:rFonts w:eastAsia="Times New Roman" w:cs="Arial"/>
          <w:color w:val="000000"/>
        </w:rPr>
      </w:pPr>
      <w:r w:rsidRPr="00CC12A4">
        <w:rPr>
          <w:rFonts w:eastAsia="Times New Roman" w:cs="Arial"/>
          <w:color w:val="000000"/>
        </w:rPr>
        <w:lastRenderedPageBreak/>
        <w:tab/>
        <w:t xml:space="preserve">Our high court’s </w:t>
      </w:r>
      <w:r w:rsidR="001B0A10" w:rsidRPr="00CC12A4">
        <w:rPr>
          <w:rFonts w:eastAsia="Times New Roman" w:cs="Arial"/>
          <w:color w:val="000000"/>
        </w:rPr>
        <w:t xml:space="preserve">observations </w:t>
      </w:r>
      <w:r w:rsidRPr="00CC12A4">
        <w:rPr>
          <w:rFonts w:eastAsia="Times New Roman" w:cs="Arial"/>
          <w:color w:val="000000"/>
        </w:rPr>
        <w:t xml:space="preserve">and holding in </w:t>
      </w:r>
      <w:r w:rsidRPr="00CC12A4">
        <w:rPr>
          <w:rFonts w:eastAsia="Times New Roman" w:cs="Arial"/>
          <w:i/>
          <w:iCs/>
          <w:color w:val="000000"/>
        </w:rPr>
        <w:t xml:space="preserve">Alcorn </w:t>
      </w:r>
      <w:r w:rsidRPr="00CC12A4">
        <w:rPr>
          <w:rFonts w:eastAsia="Times New Roman" w:cs="Arial"/>
          <w:color w:val="000000"/>
        </w:rPr>
        <w:t xml:space="preserve">are equally apropos </w:t>
      </w:r>
      <w:r w:rsidR="001B0A10" w:rsidRPr="00CC12A4">
        <w:rPr>
          <w:rFonts w:eastAsia="Times New Roman" w:cs="Arial"/>
          <w:color w:val="000000"/>
        </w:rPr>
        <w:t xml:space="preserve">to the </w:t>
      </w:r>
      <w:r w:rsidR="00452697" w:rsidRPr="00CC12A4">
        <w:rPr>
          <w:rFonts w:eastAsia="Times New Roman" w:cs="Arial"/>
          <w:color w:val="000000"/>
        </w:rPr>
        <w:t>19</w:t>
      </w:r>
      <w:r w:rsidR="004C0201" w:rsidRPr="00CC12A4">
        <w:rPr>
          <w:rFonts w:eastAsia="Times New Roman" w:cs="Arial"/>
          <w:color w:val="000000"/>
        </w:rPr>
        <w:t>9</w:t>
      </w:r>
      <w:r w:rsidR="00452697" w:rsidRPr="00CC12A4">
        <w:rPr>
          <w:rFonts w:eastAsia="Times New Roman" w:cs="Arial"/>
          <w:color w:val="000000"/>
        </w:rPr>
        <w:t xml:space="preserve">2 legislation that </w:t>
      </w:r>
      <w:r w:rsidR="001B0A10" w:rsidRPr="00CC12A4">
        <w:rPr>
          <w:rFonts w:eastAsia="Times New Roman" w:cs="Arial"/>
          <w:color w:val="000000"/>
        </w:rPr>
        <w:t>amend</w:t>
      </w:r>
      <w:r w:rsidR="00452697" w:rsidRPr="00CC12A4">
        <w:rPr>
          <w:rFonts w:eastAsia="Times New Roman" w:cs="Arial"/>
          <w:color w:val="000000"/>
        </w:rPr>
        <w:t xml:space="preserve">ed </w:t>
      </w:r>
      <w:r w:rsidR="001B0A10" w:rsidRPr="00CC12A4">
        <w:rPr>
          <w:rFonts w:eastAsia="Times New Roman" w:cs="Arial"/>
          <w:i/>
          <w:iCs/>
          <w:color w:val="000000"/>
        </w:rPr>
        <w:t>both</w:t>
      </w:r>
      <w:r w:rsidR="001B0A10" w:rsidRPr="00CC12A4">
        <w:rPr>
          <w:rFonts w:eastAsia="Times New Roman" w:cs="Arial"/>
          <w:color w:val="000000"/>
        </w:rPr>
        <w:t xml:space="preserve"> the Unruh Act and </w:t>
      </w:r>
      <w:r w:rsidR="00564B0A" w:rsidRPr="00CC12A4">
        <w:rPr>
          <w:rFonts w:eastAsia="Times New Roman" w:cs="Arial"/>
          <w:color w:val="000000"/>
        </w:rPr>
        <w:t xml:space="preserve">the </w:t>
      </w:r>
      <w:r w:rsidR="001B0A10" w:rsidRPr="00CC12A4">
        <w:rPr>
          <w:rFonts w:eastAsia="Times New Roman" w:cs="Arial"/>
          <w:color w:val="000000"/>
        </w:rPr>
        <w:t>FEHA</w:t>
      </w:r>
      <w:r w:rsidRPr="00CC12A4">
        <w:rPr>
          <w:rFonts w:eastAsia="Times New Roman" w:cs="Arial"/>
          <w:color w:val="000000"/>
        </w:rPr>
        <w:t xml:space="preserve">.  </w:t>
      </w:r>
    </w:p>
    <w:p w14:paraId="2A97CC12" w14:textId="77777777" w:rsidR="00771333" w:rsidRPr="00CC12A4" w:rsidRDefault="00DE466A" w:rsidP="00CF6C0F">
      <w:pPr>
        <w:spacing w:line="360" w:lineRule="auto"/>
        <w:rPr>
          <w:rFonts w:eastAsia="Times New Roman" w:cs="Arial"/>
          <w:color w:val="000000"/>
        </w:rPr>
      </w:pPr>
      <w:r w:rsidRPr="00CC12A4">
        <w:rPr>
          <w:rFonts w:eastAsia="Times New Roman" w:cs="Arial"/>
          <w:color w:val="000000"/>
        </w:rPr>
        <w:tab/>
        <w:t>P</w:t>
      </w:r>
      <w:r w:rsidR="00564B0A" w:rsidRPr="00CC12A4">
        <w:rPr>
          <w:rFonts w:eastAsia="Times New Roman" w:cs="Arial"/>
          <w:color w:val="000000"/>
        </w:rPr>
        <w:t>etitioner</w:t>
      </w:r>
      <w:r w:rsidRPr="00CC12A4">
        <w:rPr>
          <w:rFonts w:eastAsia="Times New Roman" w:cs="Arial"/>
          <w:color w:val="000000"/>
        </w:rPr>
        <w:t xml:space="preserve"> impliedly acknowledges that </w:t>
      </w:r>
      <w:r w:rsidRPr="00CC12A4">
        <w:rPr>
          <w:rFonts w:eastAsia="Times New Roman" w:cs="Arial"/>
          <w:i/>
          <w:iCs/>
          <w:color w:val="000000"/>
        </w:rPr>
        <w:t xml:space="preserve">Alcorn’s </w:t>
      </w:r>
      <w:r w:rsidRPr="00CC12A4">
        <w:rPr>
          <w:rFonts w:eastAsia="Times New Roman" w:cs="Arial"/>
          <w:color w:val="000000"/>
        </w:rPr>
        <w:t>holding—that the Unruh Act</w:t>
      </w:r>
      <w:r w:rsidR="000357AA" w:rsidRPr="00CC12A4">
        <w:rPr>
          <w:rFonts w:eastAsia="Times New Roman" w:cs="Arial"/>
          <w:color w:val="000000"/>
        </w:rPr>
        <w:t xml:space="preserve"> does not apply to discrimination </w:t>
      </w:r>
      <w:r w:rsidR="00452697" w:rsidRPr="00CC12A4">
        <w:rPr>
          <w:rFonts w:eastAsia="Times New Roman" w:cs="Arial"/>
          <w:color w:val="000000"/>
        </w:rPr>
        <w:t>by employers</w:t>
      </w:r>
      <w:r w:rsidRPr="00CC12A4">
        <w:rPr>
          <w:rFonts w:eastAsia="Times New Roman" w:cs="Arial"/>
          <w:color w:val="000000"/>
        </w:rPr>
        <w:t>—refutes his assertion that any violation of the ADA is</w:t>
      </w:r>
      <w:r w:rsidR="000357AA" w:rsidRPr="00CC12A4">
        <w:rPr>
          <w:rFonts w:eastAsia="Times New Roman" w:cs="Arial"/>
          <w:color w:val="000000"/>
        </w:rPr>
        <w:t xml:space="preserve"> also </w:t>
      </w:r>
      <w:r w:rsidRPr="00CC12A4">
        <w:rPr>
          <w:rFonts w:eastAsia="Times New Roman" w:cs="Arial"/>
          <w:color w:val="000000"/>
        </w:rPr>
        <w:t>a violation the Unruh Act</w:t>
      </w:r>
      <w:r w:rsidR="000357AA" w:rsidRPr="00CC12A4">
        <w:rPr>
          <w:rFonts w:eastAsia="Times New Roman" w:cs="Arial"/>
          <w:color w:val="000000"/>
        </w:rPr>
        <w:t>, since Title I of the ADA prohibits discrimination in employment</w:t>
      </w:r>
      <w:r w:rsidRPr="00CC12A4">
        <w:rPr>
          <w:rFonts w:eastAsia="Times New Roman" w:cs="Arial"/>
          <w:color w:val="000000"/>
        </w:rPr>
        <w:t xml:space="preserve">.  He points </w:t>
      </w:r>
      <w:proofErr w:type="gramStart"/>
      <w:r w:rsidRPr="00CC12A4">
        <w:rPr>
          <w:rFonts w:eastAsia="Times New Roman" w:cs="Arial"/>
          <w:color w:val="000000"/>
        </w:rPr>
        <w:t>out,</w:t>
      </w:r>
      <w:proofErr w:type="gramEnd"/>
      <w:r w:rsidRPr="00CC12A4">
        <w:rPr>
          <w:rFonts w:eastAsia="Times New Roman" w:cs="Arial"/>
          <w:color w:val="000000"/>
        </w:rPr>
        <w:t xml:space="preserve"> however, </w:t>
      </w:r>
      <w:r w:rsidRPr="00CC12A4">
        <w:rPr>
          <w:rFonts w:eastAsia="Times New Roman" w:cs="Arial"/>
          <w:i/>
          <w:iCs/>
          <w:color w:val="000000"/>
        </w:rPr>
        <w:t xml:space="preserve">Alcorn </w:t>
      </w:r>
      <w:r w:rsidRPr="00CC12A4">
        <w:rPr>
          <w:rFonts w:eastAsia="Times New Roman" w:cs="Arial"/>
          <w:color w:val="000000"/>
        </w:rPr>
        <w:t xml:space="preserve">was decided </w:t>
      </w:r>
      <w:r w:rsidR="000357AA" w:rsidRPr="00CC12A4">
        <w:rPr>
          <w:rFonts w:eastAsia="Times New Roman" w:cs="Arial"/>
          <w:color w:val="000000"/>
        </w:rPr>
        <w:t>prior to</w:t>
      </w:r>
      <w:r w:rsidRPr="00CC12A4">
        <w:rPr>
          <w:rFonts w:eastAsia="Times New Roman" w:cs="Arial"/>
          <w:color w:val="000000"/>
        </w:rPr>
        <w:t xml:space="preserve"> the 19</w:t>
      </w:r>
      <w:r w:rsidR="00DE61C2" w:rsidRPr="00CC12A4">
        <w:rPr>
          <w:rFonts w:eastAsia="Times New Roman" w:cs="Arial"/>
          <w:color w:val="000000"/>
        </w:rPr>
        <w:t>9</w:t>
      </w:r>
      <w:r w:rsidRPr="00CC12A4">
        <w:rPr>
          <w:rFonts w:eastAsia="Times New Roman" w:cs="Arial"/>
          <w:color w:val="000000"/>
        </w:rPr>
        <w:t xml:space="preserve">2 amendment and </w:t>
      </w:r>
      <w:r w:rsidR="000357AA" w:rsidRPr="00CC12A4">
        <w:rPr>
          <w:rFonts w:eastAsia="Times New Roman" w:cs="Arial"/>
          <w:color w:val="000000"/>
        </w:rPr>
        <w:t xml:space="preserve">suggests </w:t>
      </w:r>
      <w:r w:rsidR="00337D07" w:rsidRPr="00CC12A4">
        <w:rPr>
          <w:rFonts w:eastAsia="Times New Roman" w:cs="Arial"/>
          <w:color w:val="000000"/>
        </w:rPr>
        <w:t xml:space="preserve">the case </w:t>
      </w:r>
      <w:r w:rsidR="00452697" w:rsidRPr="00CC12A4">
        <w:rPr>
          <w:rFonts w:eastAsia="Times New Roman" w:cs="Arial"/>
          <w:color w:val="000000"/>
        </w:rPr>
        <w:t>was</w:t>
      </w:r>
      <w:r w:rsidR="00337D07" w:rsidRPr="00CC12A4">
        <w:rPr>
          <w:rFonts w:eastAsia="Times New Roman" w:cs="Arial"/>
          <w:color w:val="000000"/>
        </w:rPr>
        <w:t xml:space="preserve"> legislatively overruled</w:t>
      </w:r>
      <w:r w:rsidR="00337D07" w:rsidRPr="00377E46">
        <w:rPr>
          <w:rFonts w:eastAsia="Times New Roman" w:cs="Arial"/>
          <w:color w:val="000000"/>
        </w:rPr>
        <w:t>.</w:t>
      </w:r>
      <w:r w:rsidR="00CC12A4" w:rsidRPr="00377E46">
        <w:rPr>
          <w:rFonts w:eastAsia="Times New Roman" w:cs="Arial"/>
          <w:color w:val="000000"/>
        </w:rPr>
        <w:t xml:space="preserve"> </w:t>
      </w:r>
      <w:r w:rsidR="000357AA" w:rsidRPr="00377E46">
        <w:rPr>
          <w:rFonts w:eastAsia="Times New Roman" w:cs="Arial"/>
          <w:color w:val="000000"/>
        </w:rPr>
        <w:t xml:space="preserve"> </w:t>
      </w:r>
      <w:r w:rsidR="000357AA" w:rsidRPr="00CC12A4">
        <w:rPr>
          <w:rFonts w:eastAsia="Times New Roman" w:cs="Arial"/>
          <w:color w:val="000000"/>
        </w:rPr>
        <w:t>T</w:t>
      </w:r>
      <w:r w:rsidRPr="00CC12A4">
        <w:rPr>
          <w:rFonts w:eastAsia="Times New Roman" w:cs="Arial"/>
          <w:color w:val="000000"/>
        </w:rPr>
        <w:t>here is not the faintest suggestion in the legislative history</w:t>
      </w:r>
      <w:r w:rsidR="000357AA" w:rsidRPr="00CC12A4">
        <w:rPr>
          <w:rFonts w:eastAsia="Times New Roman" w:cs="Arial"/>
          <w:color w:val="000000"/>
        </w:rPr>
        <w:t>, however,</w:t>
      </w:r>
      <w:r w:rsidRPr="00CC12A4">
        <w:rPr>
          <w:rFonts w:eastAsia="Times New Roman" w:cs="Arial"/>
          <w:color w:val="000000"/>
        </w:rPr>
        <w:t xml:space="preserve"> that the Legislature intended to overrule </w:t>
      </w:r>
      <w:r w:rsidRPr="00CC12A4">
        <w:rPr>
          <w:rFonts w:eastAsia="Times New Roman" w:cs="Arial"/>
          <w:i/>
          <w:iCs/>
          <w:color w:val="000000"/>
        </w:rPr>
        <w:t>Alcorn</w:t>
      </w:r>
      <w:r w:rsidR="00771333" w:rsidRPr="00CC12A4">
        <w:rPr>
          <w:rFonts w:eastAsia="Times New Roman" w:cs="Arial"/>
          <w:color w:val="000000"/>
        </w:rPr>
        <w:t xml:space="preserve">, as well as </w:t>
      </w:r>
      <w:r w:rsidR="000357AA" w:rsidRPr="00CC12A4">
        <w:rPr>
          <w:rFonts w:eastAsia="Times New Roman" w:cs="Arial"/>
          <w:color w:val="000000"/>
        </w:rPr>
        <w:t xml:space="preserve">other cases by our Supreme Court </w:t>
      </w:r>
      <w:r w:rsidR="00771333" w:rsidRPr="00CC12A4">
        <w:rPr>
          <w:rFonts w:eastAsia="Times New Roman" w:cs="Arial"/>
          <w:color w:val="000000"/>
        </w:rPr>
        <w:t xml:space="preserve">following it.  (E.g., </w:t>
      </w:r>
      <w:proofErr w:type="spellStart"/>
      <w:r w:rsidR="00771333" w:rsidRPr="00CC12A4">
        <w:rPr>
          <w:rFonts w:eastAsia="Times New Roman" w:cs="Arial"/>
          <w:i/>
          <w:iCs/>
          <w:color w:val="000000"/>
        </w:rPr>
        <w:t>Rojo</w:t>
      </w:r>
      <w:proofErr w:type="spellEnd"/>
      <w:r w:rsidR="00771333" w:rsidRPr="00CC12A4">
        <w:rPr>
          <w:rFonts w:eastAsia="Times New Roman" w:cs="Arial"/>
          <w:i/>
          <w:iCs/>
          <w:color w:val="000000"/>
        </w:rPr>
        <w:t xml:space="preserve"> v. </w:t>
      </w:r>
      <w:proofErr w:type="spellStart"/>
      <w:r w:rsidR="00771333" w:rsidRPr="00CC12A4">
        <w:rPr>
          <w:rFonts w:eastAsia="Times New Roman" w:cs="Arial"/>
          <w:i/>
          <w:iCs/>
          <w:color w:val="000000"/>
        </w:rPr>
        <w:t>Kliger</w:t>
      </w:r>
      <w:proofErr w:type="spellEnd"/>
      <w:r w:rsidR="00771333" w:rsidRPr="00CC12A4">
        <w:rPr>
          <w:rFonts w:eastAsia="Times New Roman" w:cs="Arial"/>
          <w:color w:val="000000"/>
        </w:rPr>
        <w:t xml:space="preserve"> (1990) 52 Cal.3d 65, 77 [“the Unruh Civil Rights Act has no application to employment discrimination”]; </w:t>
      </w:r>
      <w:proofErr w:type="spellStart"/>
      <w:r w:rsidR="00771333" w:rsidRPr="00CC12A4">
        <w:rPr>
          <w:rFonts w:eastAsia="Times New Roman" w:cs="Arial"/>
          <w:i/>
          <w:iCs/>
          <w:color w:val="000000"/>
        </w:rPr>
        <w:t>Isbister</w:t>
      </w:r>
      <w:proofErr w:type="spellEnd"/>
      <w:r w:rsidR="00771333" w:rsidRPr="00CC12A4">
        <w:rPr>
          <w:rFonts w:eastAsia="Times New Roman" w:cs="Arial"/>
          <w:i/>
          <w:iCs/>
          <w:color w:val="000000"/>
        </w:rPr>
        <w:t>, supra,</w:t>
      </w:r>
      <w:r w:rsidR="00771333" w:rsidRPr="00CC12A4">
        <w:rPr>
          <w:rFonts w:eastAsia="Times New Roman" w:cs="Arial"/>
          <w:color w:val="000000"/>
        </w:rPr>
        <w:t xml:space="preserve"> 40 Cal.3d at p.</w:t>
      </w:r>
      <w:r w:rsidR="00E47CBB" w:rsidRPr="00CC12A4">
        <w:rPr>
          <w:rFonts w:eastAsia="Times New Roman" w:cs="Arial"/>
          <w:color w:val="000000"/>
        </w:rPr>
        <w:t> </w:t>
      </w:r>
      <w:r w:rsidR="00771333" w:rsidRPr="00CC12A4">
        <w:rPr>
          <w:rFonts w:eastAsia="Times New Roman" w:cs="Arial"/>
          <w:color w:val="000000"/>
        </w:rPr>
        <w:t xml:space="preserve">83, fn. 12 [“the </w:t>
      </w:r>
      <w:r w:rsidR="00771333" w:rsidRPr="00CC12A4">
        <w:rPr>
          <w:rFonts w:eastAsia="Times New Roman" w:cs="Arial"/>
          <w:i/>
          <w:iCs/>
          <w:color w:val="000000"/>
        </w:rPr>
        <w:t>employer-employee</w:t>
      </w:r>
      <w:r w:rsidR="00771333" w:rsidRPr="00CC12A4">
        <w:rPr>
          <w:rFonts w:eastAsia="Times New Roman" w:cs="Arial"/>
          <w:color w:val="000000"/>
        </w:rPr>
        <w:t xml:space="preserve"> relationship was not covered by the Act, which was confined to discriminations against recipients of the ‘business establishment</w:t>
      </w:r>
      <w:r w:rsidR="00A01349" w:rsidRPr="00CC12A4">
        <w:rPr>
          <w:rFonts w:eastAsia="Times New Roman" w:cs="Arial"/>
          <w:color w:val="000000"/>
        </w:rPr>
        <w:t>’</w:t>
      </w:r>
      <w:r w:rsidR="00771333" w:rsidRPr="00CC12A4">
        <w:rPr>
          <w:rFonts w:eastAsia="Times New Roman" w:cs="Arial"/>
          <w:color w:val="000000"/>
        </w:rPr>
        <w:t>s .</w:t>
      </w:r>
      <w:r w:rsidR="002F6596" w:rsidRPr="00CC12A4">
        <w:rPr>
          <w:rFonts w:eastAsia="Times New Roman" w:cs="Arial"/>
          <w:color w:val="000000"/>
        </w:rPr>
        <w:t xml:space="preserve"> </w:t>
      </w:r>
      <w:r w:rsidR="00771333" w:rsidRPr="00CC12A4">
        <w:rPr>
          <w:rFonts w:eastAsia="Times New Roman" w:cs="Arial"/>
          <w:color w:val="000000"/>
        </w:rPr>
        <w:t>.</w:t>
      </w:r>
      <w:r w:rsidR="002F6596" w:rsidRPr="00CC12A4">
        <w:rPr>
          <w:rFonts w:eastAsia="Times New Roman" w:cs="Arial"/>
          <w:color w:val="000000"/>
        </w:rPr>
        <w:t xml:space="preserve"> </w:t>
      </w:r>
      <w:r w:rsidR="00771333" w:rsidRPr="00CC12A4">
        <w:rPr>
          <w:rFonts w:eastAsia="Times New Roman" w:cs="Arial"/>
          <w:color w:val="000000"/>
        </w:rPr>
        <w:t>. goods, services or facilities</w:t>
      </w:r>
      <w:r w:rsidR="002F6596" w:rsidRPr="00CC12A4">
        <w:rPr>
          <w:rFonts w:eastAsia="Times New Roman" w:cs="Arial"/>
          <w:color w:val="000000"/>
        </w:rPr>
        <w:t xml:space="preserve">’ </w:t>
      </w:r>
      <w:r w:rsidR="00771333" w:rsidRPr="00CC12A4">
        <w:rPr>
          <w:rFonts w:eastAsia="Times New Roman" w:cs="Arial"/>
          <w:color w:val="000000"/>
        </w:rPr>
        <w:t>”].)</w:t>
      </w:r>
      <w:r w:rsidR="00337D07" w:rsidRPr="00CC12A4">
        <w:rPr>
          <w:rFonts w:eastAsia="Times New Roman" w:cs="Arial"/>
          <w:color w:val="000000"/>
        </w:rPr>
        <w:t xml:space="preserve">  Accordingly, t</w:t>
      </w:r>
      <w:r w:rsidR="000A768C" w:rsidRPr="00CC12A4">
        <w:rPr>
          <w:rFonts w:eastAsia="Times New Roman" w:cs="Arial"/>
          <w:color w:val="000000"/>
        </w:rPr>
        <w:t xml:space="preserve">he controlling principle of statutory construction </w:t>
      </w:r>
      <w:r w:rsidR="000357AA" w:rsidRPr="00CC12A4">
        <w:rPr>
          <w:rFonts w:eastAsia="Times New Roman" w:cs="Arial"/>
          <w:color w:val="000000"/>
        </w:rPr>
        <w:t xml:space="preserve">here </w:t>
      </w:r>
      <w:r w:rsidR="000A768C" w:rsidRPr="00CC12A4">
        <w:rPr>
          <w:rFonts w:eastAsia="Times New Roman" w:cs="Arial"/>
          <w:color w:val="000000"/>
        </w:rPr>
        <w:t xml:space="preserve">is that the Legislature is </w:t>
      </w:r>
      <w:r w:rsidR="00771333" w:rsidRPr="00CC12A4">
        <w:rPr>
          <w:rFonts w:eastAsia="Times New Roman" w:cs="Arial"/>
          <w:color w:val="000000"/>
        </w:rPr>
        <w:t>deemed</w:t>
      </w:r>
      <w:r w:rsidR="000A768C" w:rsidRPr="00CC12A4">
        <w:rPr>
          <w:rFonts w:eastAsia="Times New Roman" w:cs="Arial"/>
          <w:color w:val="000000"/>
        </w:rPr>
        <w:t xml:space="preserve"> to </w:t>
      </w:r>
      <w:r w:rsidR="00771333" w:rsidRPr="00CC12A4">
        <w:rPr>
          <w:rFonts w:eastAsia="Times New Roman" w:cs="Arial"/>
          <w:color w:val="000000"/>
        </w:rPr>
        <w:t xml:space="preserve">have been </w:t>
      </w:r>
      <w:r w:rsidR="000A768C" w:rsidRPr="00CC12A4">
        <w:rPr>
          <w:rFonts w:eastAsia="Times New Roman" w:cs="Arial"/>
          <w:color w:val="000000"/>
        </w:rPr>
        <w:t>aware of th</w:t>
      </w:r>
      <w:r w:rsidR="008D2BE5" w:rsidRPr="00CC12A4">
        <w:rPr>
          <w:rFonts w:eastAsia="Times New Roman" w:cs="Arial"/>
          <w:color w:val="000000"/>
        </w:rPr>
        <w:t>is</w:t>
      </w:r>
      <w:r w:rsidR="000A768C" w:rsidRPr="00CC12A4">
        <w:rPr>
          <w:rFonts w:eastAsia="Times New Roman" w:cs="Arial"/>
          <w:color w:val="000000"/>
        </w:rPr>
        <w:t xml:space="preserve"> existing law</w:t>
      </w:r>
      <w:r w:rsidR="008D2BE5" w:rsidRPr="00CC12A4">
        <w:rPr>
          <w:rFonts w:eastAsia="Times New Roman" w:cs="Arial"/>
          <w:color w:val="000000"/>
        </w:rPr>
        <w:t xml:space="preserve"> </w:t>
      </w:r>
      <w:r w:rsidR="000A768C" w:rsidRPr="00CC12A4">
        <w:rPr>
          <w:rFonts w:eastAsia="Times New Roman" w:cs="Arial"/>
          <w:color w:val="000000"/>
        </w:rPr>
        <w:t xml:space="preserve">and </w:t>
      </w:r>
      <w:r w:rsidR="00771333" w:rsidRPr="00CC12A4">
        <w:rPr>
          <w:rFonts w:eastAsia="Times New Roman" w:cs="Arial"/>
          <w:color w:val="000000"/>
        </w:rPr>
        <w:t xml:space="preserve">to have </w:t>
      </w:r>
      <w:r w:rsidR="000A768C" w:rsidRPr="00CC12A4">
        <w:rPr>
          <w:rFonts w:eastAsia="Times New Roman" w:cs="Arial"/>
          <w:color w:val="000000"/>
        </w:rPr>
        <w:t xml:space="preserve">enacted legislation consistent therewith.  (See </w:t>
      </w:r>
      <w:r w:rsidR="008D2BE5" w:rsidRPr="00CC12A4">
        <w:rPr>
          <w:rFonts w:eastAsia="Times New Roman" w:cs="Arial"/>
          <w:i/>
          <w:iCs/>
          <w:color w:val="000000"/>
        </w:rPr>
        <w:t xml:space="preserve">People v. </w:t>
      </w:r>
      <w:proofErr w:type="spellStart"/>
      <w:r w:rsidR="008D2BE5" w:rsidRPr="00CC12A4">
        <w:rPr>
          <w:rFonts w:eastAsia="Times New Roman" w:cs="Arial"/>
          <w:i/>
          <w:iCs/>
          <w:color w:val="000000"/>
        </w:rPr>
        <w:t>Castillolopez</w:t>
      </w:r>
      <w:proofErr w:type="spellEnd"/>
      <w:r w:rsidR="008D2BE5" w:rsidRPr="00CC12A4">
        <w:rPr>
          <w:rFonts w:eastAsia="Times New Roman" w:cs="Arial"/>
          <w:i/>
          <w:iCs/>
          <w:color w:val="000000"/>
        </w:rPr>
        <w:t xml:space="preserve"> </w:t>
      </w:r>
      <w:r w:rsidR="008D2BE5" w:rsidRPr="00CC12A4">
        <w:rPr>
          <w:rFonts w:eastAsia="Times New Roman" w:cs="Arial"/>
          <w:color w:val="000000"/>
        </w:rPr>
        <w:t>(2016) 63</w:t>
      </w:r>
      <w:r w:rsidR="00E47CBB" w:rsidRPr="00CC12A4">
        <w:rPr>
          <w:rFonts w:eastAsia="Times New Roman" w:cs="Arial"/>
          <w:color w:val="000000"/>
        </w:rPr>
        <w:t> </w:t>
      </w:r>
      <w:r w:rsidR="008D2BE5" w:rsidRPr="00CC12A4">
        <w:rPr>
          <w:rFonts w:eastAsia="Times New Roman" w:cs="Arial"/>
          <w:color w:val="000000"/>
        </w:rPr>
        <w:t>Cal.4</w:t>
      </w:r>
      <w:r w:rsidR="00337D07" w:rsidRPr="00CC12A4">
        <w:rPr>
          <w:rFonts w:eastAsia="Times New Roman" w:cs="Arial"/>
          <w:color w:val="000000"/>
        </w:rPr>
        <w:t>th</w:t>
      </w:r>
      <w:r w:rsidR="008D2BE5" w:rsidRPr="00CC12A4">
        <w:rPr>
          <w:rFonts w:eastAsia="Times New Roman" w:cs="Arial"/>
          <w:color w:val="000000"/>
        </w:rPr>
        <w:t xml:space="preserve"> 322, 331.)</w:t>
      </w:r>
      <w:r w:rsidR="000A768C" w:rsidRPr="00CC12A4">
        <w:rPr>
          <w:rFonts w:eastAsia="Times New Roman" w:cs="Arial"/>
          <w:color w:val="000000"/>
        </w:rPr>
        <w:t xml:space="preserve">  Indeed, no subsequent case has ever suggested </w:t>
      </w:r>
      <w:r w:rsidR="000A768C" w:rsidRPr="00CC12A4">
        <w:rPr>
          <w:rFonts w:eastAsia="Times New Roman" w:cs="Arial"/>
          <w:i/>
          <w:iCs/>
          <w:color w:val="000000"/>
        </w:rPr>
        <w:t xml:space="preserve">Alcorn </w:t>
      </w:r>
      <w:r w:rsidR="000A768C" w:rsidRPr="00CC12A4">
        <w:rPr>
          <w:rFonts w:eastAsia="Times New Roman" w:cs="Arial"/>
          <w:color w:val="000000"/>
        </w:rPr>
        <w:t>was overruled by statute and is no longer controlling</w:t>
      </w:r>
      <w:r w:rsidR="00337D07" w:rsidRPr="00CC12A4">
        <w:rPr>
          <w:rFonts w:eastAsia="Times New Roman" w:cs="Arial"/>
          <w:color w:val="000000"/>
        </w:rPr>
        <w:t xml:space="preserve"> as to the scope of the Unruh Act</w:t>
      </w:r>
      <w:r w:rsidR="000A768C" w:rsidRPr="00CC12A4">
        <w:rPr>
          <w:rFonts w:eastAsia="Times New Roman" w:cs="Arial"/>
          <w:color w:val="000000"/>
        </w:rPr>
        <w:t>.</w:t>
      </w:r>
      <w:r w:rsidR="00771333" w:rsidRPr="00CC12A4">
        <w:rPr>
          <w:rFonts w:eastAsia="Times New Roman" w:cs="Arial"/>
          <w:color w:val="000000"/>
        </w:rPr>
        <w:t xml:space="preserve">  (</w:t>
      </w:r>
      <w:r w:rsidR="00337D07" w:rsidRPr="00CC12A4">
        <w:rPr>
          <w:rFonts w:eastAsia="Times New Roman" w:cs="Arial"/>
          <w:color w:val="000000"/>
        </w:rPr>
        <w:t>See</w:t>
      </w:r>
      <w:r w:rsidR="00771333" w:rsidRPr="00CC12A4">
        <w:rPr>
          <w:rFonts w:eastAsia="Times New Roman" w:cs="Arial"/>
          <w:color w:val="000000"/>
        </w:rPr>
        <w:t xml:space="preserve"> </w:t>
      </w:r>
      <w:proofErr w:type="spellStart"/>
      <w:r w:rsidR="000A768C" w:rsidRPr="00CC12A4">
        <w:rPr>
          <w:rFonts w:eastAsia="Times New Roman" w:cs="Arial"/>
          <w:i/>
          <w:iCs/>
          <w:color w:val="000000"/>
        </w:rPr>
        <w:t>Alch</w:t>
      </w:r>
      <w:proofErr w:type="spellEnd"/>
      <w:r w:rsidR="000A768C" w:rsidRPr="00CC12A4">
        <w:rPr>
          <w:rFonts w:eastAsia="Times New Roman" w:cs="Arial"/>
          <w:i/>
          <w:iCs/>
          <w:color w:val="000000"/>
        </w:rPr>
        <w:t xml:space="preserve"> v. Superior Court</w:t>
      </w:r>
      <w:r w:rsidR="000A768C" w:rsidRPr="00CC12A4">
        <w:rPr>
          <w:rFonts w:eastAsia="Times New Roman" w:cs="Arial"/>
          <w:color w:val="000000"/>
        </w:rPr>
        <w:t xml:space="preserve"> (2004) 122 Cal.App.4th 339, </w:t>
      </w:r>
      <w:r w:rsidR="00D461A6" w:rsidRPr="00CC12A4">
        <w:rPr>
          <w:rFonts w:eastAsia="Times New Roman" w:cs="Arial"/>
          <w:color w:val="000000"/>
        </w:rPr>
        <w:t xml:space="preserve">391, </w:t>
      </w:r>
      <w:r w:rsidR="000A768C" w:rsidRPr="00CC12A4">
        <w:rPr>
          <w:rFonts w:eastAsia="Times New Roman" w:cs="Arial"/>
          <w:color w:val="000000"/>
        </w:rPr>
        <w:t xml:space="preserve">393–394 [generally discussing </w:t>
      </w:r>
      <w:r w:rsidR="000A768C" w:rsidRPr="00CC12A4">
        <w:rPr>
          <w:rFonts w:eastAsia="Times New Roman" w:cs="Arial"/>
          <w:i/>
          <w:iCs/>
          <w:color w:val="000000"/>
        </w:rPr>
        <w:t>A</w:t>
      </w:r>
      <w:r w:rsidR="00D461A6" w:rsidRPr="00CC12A4">
        <w:rPr>
          <w:rFonts w:eastAsia="Times New Roman" w:cs="Arial"/>
          <w:i/>
          <w:iCs/>
          <w:color w:val="000000"/>
        </w:rPr>
        <w:t>l</w:t>
      </w:r>
      <w:r w:rsidR="000A768C" w:rsidRPr="00CC12A4">
        <w:rPr>
          <w:rFonts w:eastAsia="Times New Roman" w:cs="Arial"/>
          <w:i/>
          <w:iCs/>
          <w:color w:val="000000"/>
        </w:rPr>
        <w:t xml:space="preserve">corn </w:t>
      </w:r>
      <w:r w:rsidR="000A768C" w:rsidRPr="00CC12A4">
        <w:rPr>
          <w:rFonts w:eastAsia="Times New Roman" w:cs="Arial"/>
          <w:color w:val="000000"/>
        </w:rPr>
        <w:t>and emphasizing it applies to the employer-employee relationship</w:t>
      </w:r>
      <w:r w:rsidR="00337D07" w:rsidRPr="00CC12A4">
        <w:rPr>
          <w:rFonts w:eastAsia="Times New Roman" w:cs="Arial"/>
          <w:color w:val="000000"/>
        </w:rPr>
        <w:t>,</w:t>
      </w:r>
      <w:r w:rsidR="000A768C" w:rsidRPr="00CC12A4">
        <w:rPr>
          <w:rFonts w:eastAsia="Times New Roman" w:cs="Arial"/>
          <w:color w:val="000000"/>
        </w:rPr>
        <w:t xml:space="preserve"> and </w:t>
      </w:r>
      <w:r w:rsidR="00337D07" w:rsidRPr="00CC12A4">
        <w:rPr>
          <w:rFonts w:eastAsia="Times New Roman" w:cs="Arial"/>
          <w:color w:val="000000"/>
        </w:rPr>
        <w:t xml:space="preserve">concluding the case did not apply </w:t>
      </w:r>
      <w:r w:rsidR="000A768C" w:rsidRPr="00CC12A4">
        <w:rPr>
          <w:rFonts w:eastAsia="Times New Roman" w:cs="Arial"/>
          <w:color w:val="000000"/>
        </w:rPr>
        <w:t xml:space="preserve">to </w:t>
      </w:r>
      <w:r w:rsidR="00337D07" w:rsidRPr="00CC12A4">
        <w:rPr>
          <w:rFonts w:eastAsia="Times New Roman" w:cs="Arial"/>
          <w:color w:val="000000"/>
        </w:rPr>
        <w:t xml:space="preserve">a person who sought </w:t>
      </w:r>
      <w:r w:rsidR="000A768C" w:rsidRPr="00CC12A4">
        <w:rPr>
          <w:rFonts w:eastAsia="Times New Roman" w:cs="Arial"/>
          <w:color w:val="000000"/>
        </w:rPr>
        <w:t xml:space="preserve">to establish a relationship with a professional services agency but </w:t>
      </w:r>
      <w:r w:rsidR="00337D07" w:rsidRPr="00CC12A4">
        <w:rPr>
          <w:rFonts w:eastAsia="Times New Roman" w:cs="Arial"/>
          <w:color w:val="000000"/>
        </w:rPr>
        <w:t xml:space="preserve">was </w:t>
      </w:r>
      <w:r w:rsidR="000A768C" w:rsidRPr="00CC12A4">
        <w:rPr>
          <w:rFonts w:eastAsia="Times New Roman" w:cs="Arial"/>
          <w:color w:val="000000"/>
        </w:rPr>
        <w:t>alleged</w:t>
      </w:r>
      <w:r w:rsidR="00337D07" w:rsidRPr="00CC12A4">
        <w:rPr>
          <w:rFonts w:eastAsia="Times New Roman" w:cs="Arial"/>
          <w:color w:val="000000"/>
        </w:rPr>
        <w:t>ly</w:t>
      </w:r>
      <w:r w:rsidR="000A768C" w:rsidRPr="00CC12A4">
        <w:rPr>
          <w:rFonts w:eastAsia="Times New Roman" w:cs="Arial"/>
          <w:color w:val="000000"/>
        </w:rPr>
        <w:t xml:space="preserve"> rebuffed </w:t>
      </w:r>
      <w:r w:rsidR="00337D07" w:rsidRPr="00CC12A4">
        <w:rPr>
          <w:rFonts w:eastAsia="Times New Roman" w:cs="Arial"/>
          <w:color w:val="000000"/>
        </w:rPr>
        <w:t>due to</w:t>
      </w:r>
      <w:r w:rsidR="000A768C" w:rsidRPr="00CC12A4">
        <w:rPr>
          <w:rFonts w:eastAsia="Times New Roman" w:cs="Arial"/>
          <w:color w:val="000000"/>
        </w:rPr>
        <w:t xml:space="preserve"> age discrimination]</w:t>
      </w:r>
      <w:r w:rsidR="00337D07" w:rsidRPr="00CC12A4">
        <w:rPr>
          <w:rFonts w:eastAsia="Times New Roman" w:cs="Arial"/>
          <w:color w:val="000000"/>
        </w:rPr>
        <w:t>.)</w:t>
      </w:r>
    </w:p>
    <w:p w14:paraId="1C7CA622" w14:textId="77777777" w:rsidR="00590BCC" w:rsidRPr="00CC12A4" w:rsidRDefault="00771333" w:rsidP="00CF6C0F">
      <w:pPr>
        <w:spacing w:line="360" w:lineRule="auto"/>
        <w:rPr>
          <w:rFonts w:eastAsia="Times New Roman" w:cs="Arial"/>
          <w:color w:val="000000"/>
        </w:rPr>
      </w:pPr>
      <w:r w:rsidRPr="00CC12A4">
        <w:rPr>
          <w:rFonts w:eastAsia="Times New Roman" w:cs="Arial"/>
          <w:color w:val="000000"/>
        </w:rPr>
        <w:lastRenderedPageBreak/>
        <w:tab/>
      </w:r>
      <w:r w:rsidR="009936D6" w:rsidRPr="00CC12A4">
        <w:rPr>
          <w:rFonts w:eastAsia="Times New Roman" w:cs="Arial"/>
          <w:color w:val="000000"/>
        </w:rPr>
        <w:t xml:space="preserve">Our conclusion </w:t>
      </w:r>
      <w:r w:rsidR="00337D07" w:rsidRPr="00CC12A4">
        <w:rPr>
          <w:rFonts w:eastAsia="Times New Roman" w:cs="Arial"/>
          <w:color w:val="000000"/>
        </w:rPr>
        <w:t xml:space="preserve">that </w:t>
      </w:r>
      <w:r w:rsidR="00377E46">
        <w:rPr>
          <w:rFonts w:eastAsia="Times New Roman" w:cs="Arial"/>
          <w:color w:val="000000"/>
        </w:rPr>
        <w:t xml:space="preserve">Civil Code section 51, </w:t>
      </w:r>
      <w:r w:rsidR="00337D07" w:rsidRPr="00CC12A4">
        <w:rPr>
          <w:rFonts w:eastAsia="Times New Roman" w:cs="Arial"/>
          <w:color w:val="000000"/>
        </w:rPr>
        <w:t>subdivision (f) makes any violation of the ADA by a business establishment</w:t>
      </w:r>
      <w:r w:rsidR="00337D07" w:rsidRPr="00CC12A4">
        <w:rPr>
          <w:rFonts w:eastAsia="Times New Roman" w:cs="Arial"/>
          <w:i/>
          <w:iCs/>
          <w:color w:val="000000"/>
        </w:rPr>
        <w:t xml:space="preserve"> </w:t>
      </w:r>
      <w:r w:rsidR="00337D07" w:rsidRPr="00CC12A4">
        <w:rPr>
          <w:rFonts w:eastAsia="Times New Roman" w:cs="Arial"/>
          <w:color w:val="000000"/>
        </w:rPr>
        <w:t xml:space="preserve">a violation of the Unruh Act, </w:t>
      </w:r>
      <w:r w:rsidR="009936D6" w:rsidRPr="00CC12A4">
        <w:rPr>
          <w:rFonts w:eastAsia="Times New Roman" w:cs="Arial"/>
          <w:color w:val="000000"/>
        </w:rPr>
        <w:t xml:space="preserve">is also consistent with our high court’s more recent decisions addressing the interplay of the Act and the ADA.    </w:t>
      </w:r>
      <w:r w:rsidR="000A768C" w:rsidRPr="00CC12A4">
        <w:rPr>
          <w:rFonts w:eastAsia="Times New Roman" w:cs="Arial"/>
          <w:color w:val="000000"/>
        </w:rPr>
        <w:t xml:space="preserve"> </w:t>
      </w:r>
    </w:p>
    <w:p w14:paraId="74FE26C9" w14:textId="77777777" w:rsidR="00494B2C" w:rsidRPr="00CC12A4" w:rsidRDefault="00CD27DD" w:rsidP="00435996">
      <w:pPr>
        <w:spacing w:line="360" w:lineRule="auto"/>
        <w:rPr>
          <w:rFonts w:eastAsia="Times New Roman" w:cs="Arial"/>
          <w:color w:val="000000"/>
        </w:rPr>
      </w:pPr>
      <w:r w:rsidRPr="00CC12A4">
        <w:rPr>
          <w:rFonts w:eastAsia="Times New Roman" w:cs="Arial"/>
          <w:b/>
          <w:bCs/>
          <w:i/>
          <w:iCs/>
          <w:color w:val="000000"/>
        </w:rPr>
        <w:tab/>
      </w:r>
      <w:r w:rsidRPr="00CC12A4">
        <w:rPr>
          <w:rFonts w:eastAsia="Times New Roman" w:cs="Arial"/>
          <w:color w:val="000000"/>
        </w:rPr>
        <w:t xml:space="preserve">In </w:t>
      </w:r>
      <w:r w:rsidRPr="00CC12A4">
        <w:rPr>
          <w:rFonts w:eastAsia="Times New Roman" w:cs="Arial"/>
          <w:i/>
          <w:iCs/>
          <w:color w:val="000000"/>
        </w:rPr>
        <w:t>Munson</w:t>
      </w:r>
      <w:r w:rsidR="00AE04A7" w:rsidRPr="00CC12A4">
        <w:rPr>
          <w:rFonts w:eastAsia="Times New Roman" w:cs="Arial"/>
          <w:i/>
          <w:iCs/>
          <w:color w:val="000000"/>
        </w:rPr>
        <w:t xml:space="preserve"> v. Del Taco</w:t>
      </w:r>
      <w:r w:rsidR="003A3C4B" w:rsidRPr="00CC12A4">
        <w:rPr>
          <w:rFonts w:eastAsia="Times New Roman" w:cs="Arial"/>
          <w:i/>
          <w:iCs/>
          <w:color w:val="000000"/>
        </w:rPr>
        <w:t>, Inc.</w:t>
      </w:r>
      <w:r w:rsidR="00AE04A7" w:rsidRPr="00CC12A4">
        <w:rPr>
          <w:rFonts w:eastAsia="Times New Roman" w:cs="Arial"/>
          <w:i/>
          <w:iCs/>
          <w:color w:val="000000"/>
        </w:rPr>
        <w:t xml:space="preserve"> </w:t>
      </w:r>
      <w:r w:rsidR="00AE04A7" w:rsidRPr="00CC12A4">
        <w:rPr>
          <w:rFonts w:eastAsia="Times New Roman" w:cs="Arial"/>
          <w:color w:val="000000"/>
        </w:rPr>
        <w:t>(2009) 46 Cal.4th 661 (</w:t>
      </w:r>
      <w:r w:rsidR="00AE04A7" w:rsidRPr="00CC12A4">
        <w:rPr>
          <w:rFonts w:eastAsia="Times New Roman" w:cs="Arial"/>
          <w:i/>
          <w:iCs/>
          <w:color w:val="000000"/>
        </w:rPr>
        <w:t>Munson</w:t>
      </w:r>
      <w:r w:rsidR="00AE04A7" w:rsidRPr="00CC12A4">
        <w:rPr>
          <w:rFonts w:eastAsia="Times New Roman" w:cs="Arial"/>
          <w:color w:val="000000"/>
        </w:rPr>
        <w:t xml:space="preserve">), </w:t>
      </w:r>
      <w:r w:rsidR="00337D07" w:rsidRPr="00CC12A4">
        <w:rPr>
          <w:rFonts w:eastAsia="Times New Roman" w:cs="Arial"/>
          <w:color w:val="000000"/>
        </w:rPr>
        <w:t>the court ad</w:t>
      </w:r>
      <w:r w:rsidRPr="00CC12A4">
        <w:rPr>
          <w:rFonts w:eastAsia="Times New Roman" w:cs="Arial"/>
          <w:color w:val="000000"/>
        </w:rPr>
        <w:t>dressed a question certified to it by the Ninth Circuit</w:t>
      </w:r>
      <w:r w:rsidR="00337D07" w:rsidRPr="00CC12A4">
        <w:rPr>
          <w:rFonts w:eastAsia="Times New Roman" w:cs="Arial"/>
          <w:color w:val="000000"/>
        </w:rPr>
        <w:t>—</w:t>
      </w:r>
      <w:r w:rsidRPr="00CC12A4">
        <w:rPr>
          <w:rFonts w:eastAsia="Times New Roman" w:cs="Arial"/>
          <w:color w:val="000000"/>
        </w:rPr>
        <w:t xml:space="preserve">whether an access claim </w:t>
      </w:r>
      <w:r w:rsidR="00147B88" w:rsidRPr="00CC12A4">
        <w:rPr>
          <w:rFonts w:eastAsia="Times New Roman" w:cs="Arial"/>
          <w:color w:val="000000"/>
        </w:rPr>
        <w:t xml:space="preserve">by a wheelchair bound patron against a restaurant based on </w:t>
      </w:r>
      <w:r w:rsidRPr="00CC12A4">
        <w:rPr>
          <w:rFonts w:eastAsia="Times New Roman" w:cs="Arial"/>
          <w:color w:val="000000"/>
        </w:rPr>
        <w:t>Title III of the ADA (</w:t>
      </w:r>
      <w:r w:rsidR="00E50BED" w:rsidRPr="00CC12A4">
        <w:rPr>
          <w:rFonts w:eastAsia="Times New Roman" w:cs="Arial"/>
          <w:color w:val="000000"/>
        </w:rPr>
        <w:t xml:space="preserve">the title </w:t>
      </w:r>
      <w:r w:rsidR="00147B88" w:rsidRPr="00CC12A4">
        <w:rPr>
          <w:rFonts w:eastAsia="Times New Roman" w:cs="Arial"/>
          <w:color w:val="000000"/>
        </w:rPr>
        <w:t>applicable to “</w:t>
      </w:r>
      <w:r w:rsidRPr="00CC12A4">
        <w:rPr>
          <w:rFonts w:eastAsia="Times New Roman" w:cs="Arial"/>
          <w:color w:val="000000"/>
        </w:rPr>
        <w:t>public accommodation</w:t>
      </w:r>
      <w:r w:rsidR="00147B88" w:rsidRPr="00CC12A4">
        <w:rPr>
          <w:rFonts w:eastAsia="Times New Roman" w:cs="Arial"/>
          <w:color w:val="000000"/>
        </w:rPr>
        <w:t>s”)</w:t>
      </w:r>
      <w:r w:rsidR="0058791C" w:rsidRPr="00CC12A4">
        <w:rPr>
          <w:rFonts w:eastAsia="Times New Roman" w:cs="Arial"/>
          <w:color w:val="000000"/>
        </w:rPr>
        <w:t xml:space="preserve"> and</w:t>
      </w:r>
      <w:r w:rsidR="00147B88" w:rsidRPr="00CC12A4">
        <w:rPr>
          <w:rFonts w:eastAsia="Times New Roman" w:cs="Arial"/>
          <w:color w:val="000000"/>
        </w:rPr>
        <w:t xml:space="preserve"> </w:t>
      </w:r>
      <w:r w:rsidR="00435996" w:rsidRPr="00CC12A4">
        <w:rPr>
          <w:rFonts w:eastAsia="Times New Roman" w:cs="Arial"/>
          <w:color w:val="000000"/>
        </w:rPr>
        <w:t xml:space="preserve">brought </w:t>
      </w:r>
      <w:r w:rsidRPr="00CC12A4">
        <w:rPr>
          <w:rFonts w:eastAsia="Times New Roman" w:cs="Arial"/>
          <w:color w:val="000000"/>
        </w:rPr>
        <w:t>under the Unruh Act pursuant to</w:t>
      </w:r>
      <w:r w:rsidR="003A3C4B" w:rsidRPr="00CC12A4">
        <w:rPr>
          <w:rFonts w:eastAsia="Times New Roman" w:cs="Arial"/>
          <w:color w:val="000000"/>
        </w:rPr>
        <w:t xml:space="preserve"> Civil Code</w:t>
      </w:r>
      <w:r w:rsidRPr="00CC12A4">
        <w:rPr>
          <w:rFonts w:eastAsia="Times New Roman" w:cs="Arial"/>
          <w:color w:val="000000"/>
        </w:rPr>
        <w:t xml:space="preserve"> </w:t>
      </w:r>
      <w:r w:rsidR="003A3C4B" w:rsidRPr="00CC12A4">
        <w:rPr>
          <w:rFonts w:eastAsia="Times New Roman" w:cs="Arial"/>
          <w:color w:val="000000"/>
        </w:rPr>
        <w:t xml:space="preserve">section 51, </w:t>
      </w:r>
      <w:r w:rsidRPr="00CC12A4">
        <w:rPr>
          <w:rFonts w:eastAsia="Times New Roman" w:cs="Arial"/>
          <w:color w:val="000000"/>
        </w:rPr>
        <w:t xml:space="preserve">subdivision (f), required a showing of intentional discrimination, </w:t>
      </w:r>
      <w:r w:rsidR="00147B88" w:rsidRPr="00CC12A4">
        <w:rPr>
          <w:rFonts w:eastAsia="Times New Roman" w:cs="Arial"/>
          <w:color w:val="000000"/>
        </w:rPr>
        <w:t xml:space="preserve">otherwise </w:t>
      </w:r>
      <w:r w:rsidRPr="00CC12A4">
        <w:rPr>
          <w:rFonts w:eastAsia="Times New Roman" w:cs="Arial"/>
          <w:color w:val="000000"/>
        </w:rPr>
        <w:t xml:space="preserve">required </w:t>
      </w:r>
      <w:r w:rsidR="00147B88" w:rsidRPr="00CC12A4">
        <w:rPr>
          <w:rFonts w:eastAsia="Times New Roman" w:cs="Arial"/>
          <w:color w:val="000000"/>
        </w:rPr>
        <w:t xml:space="preserve">under the </w:t>
      </w:r>
      <w:r w:rsidRPr="00CC12A4">
        <w:rPr>
          <w:rFonts w:eastAsia="Times New Roman" w:cs="Arial"/>
          <w:color w:val="000000"/>
        </w:rPr>
        <w:t>Act</w:t>
      </w:r>
      <w:r w:rsidR="00147B88" w:rsidRPr="00CC12A4">
        <w:rPr>
          <w:rFonts w:eastAsia="Times New Roman" w:cs="Arial"/>
          <w:color w:val="000000"/>
        </w:rPr>
        <w:t xml:space="preserve">, </w:t>
      </w:r>
      <w:r w:rsidRPr="00CC12A4">
        <w:rPr>
          <w:rFonts w:eastAsia="Times New Roman" w:cs="Arial"/>
          <w:color w:val="000000"/>
        </w:rPr>
        <w:t xml:space="preserve">but not </w:t>
      </w:r>
      <w:r w:rsidR="00147B88" w:rsidRPr="00CC12A4">
        <w:rPr>
          <w:rFonts w:eastAsia="Times New Roman" w:cs="Arial"/>
          <w:color w:val="000000"/>
        </w:rPr>
        <w:t xml:space="preserve">required </w:t>
      </w:r>
      <w:r w:rsidRPr="00CC12A4">
        <w:rPr>
          <w:rFonts w:eastAsia="Times New Roman" w:cs="Arial"/>
          <w:color w:val="000000"/>
        </w:rPr>
        <w:t>in an ADA Title III access case.  (</w:t>
      </w:r>
      <w:r w:rsidR="002743B9" w:rsidRPr="00CC12A4">
        <w:rPr>
          <w:rFonts w:eastAsia="Times New Roman" w:cs="Arial"/>
          <w:i/>
          <w:iCs/>
          <w:color w:val="000000"/>
        </w:rPr>
        <w:t>Id</w:t>
      </w:r>
      <w:r w:rsidRPr="00CC12A4">
        <w:rPr>
          <w:rFonts w:eastAsia="Times New Roman" w:cs="Arial"/>
          <w:i/>
          <w:iCs/>
          <w:color w:val="000000"/>
        </w:rPr>
        <w:t xml:space="preserve">. </w:t>
      </w:r>
      <w:r w:rsidRPr="00CC12A4">
        <w:rPr>
          <w:rFonts w:eastAsia="Times New Roman" w:cs="Arial"/>
          <w:color w:val="000000"/>
        </w:rPr>
        <w:t>at p</w:t>
      </w:r>
      <w:r w:rsidR="003A3C4B" w:rsidRPr="00CC12A4">
        <w:rPr>
          <w:rFonts w:eastAsia="Times New Roman" w:cs="Arial"/>
          <w:color w:val="000000"/>
        </w:rPr>
        <w:t>p</w:t>
      </w:r>
      <w:r w:rsidRPr="00CC12A4">
        <w:rPr>
          <w:rFonts w:eastAsia="Times New Roman" w:cs="Arial"/>
          <w:color w:val="000000"/>
        </w:rPr>
        <w:t xml:space="preserve">. </w:t>
      </w:r>
      <w:r w:rsidR="003A3C4B" w:rsidRPr="00CC12A4">
        <w:rPr>
          <w:rFonts w:eastAsia="Times New Roman" w:cs="Arial"/>
          <w:color w:val="000000"/>
        </w:rPr>
        <w:t>664</w:t>
      </w:r>
      <w:r w:rsidR="00377E46" w:rsidRPr="00E336A2">
        <w:rPr>
          <w:rFonts w:eastAsia="Times New Roman" w:cs="Arial"/>
          <w:color w:val="000000"/>
        </w:rPr>
        <w:t>–</w:t>
      </w:r>
      <w:r w:rsidRPr="00CC12A4">
        <w:rPr>
          <w:rFonts w:eastAsia="Times New Roman" w:cs="Arial"/>
          <w:color w:val="000000"/>
        </w:rPr>
        <w:t>666.)</w:t>
      </w:r>
      <w:r w:rsidR="00435996" w:rsidRPr="00CC12A4">
        <w:rPr>
          <w:rFonts w:eastAsia="Times New Roman" w:cs="Arial"/>
          <w:color w:val="000000"/>
        </w:rPr>
        <w:t xml:space="preserve">  </w:t>
      </w:r>
    </w:p>
    <w:p w14:paraId="5522F550" w14:textId="77777777" w:rsidR="00494B2C" w:rsidRPr="00CC12A4" w:rsidRDefault="00494B2C" w:rsidP="00003037">
      <w:pPr>
        <w:spacing w:line="360" w:lineRule="auto"/>
        <w:rPr>
          <w:rFonts w:eastAsia="Times New Roman" w:cs="Arial"/>
          <w:color w:val="000000"/>
        </w:rPr>
      </w:pPr>
      <w:r w:rsidRPr="00CC12A4">
        <w:rPr>
          <w:rFonts w:eastAsia="Times New Roman" w:cs="Arial"/>
          <w:color w:val="000000"/>
        </w:rPr>
        <w:tab/>
      </w:r>
      <w:r w:rsidR="00435996" w:rsidRPr="00CC12A4">
        <w:rPr>
          <w:rFonts w:eastAsia="Times New Roman" w:cs="Arial"/>
          <w:color w:val="000000"/>
        </w:rPr>
        <w:t xml:space="preserve">The </w:t>
      </w:r>
      <w:r w:rsidR="00147B88" w:rsidRPr="00CC12A4">
        <w:rPr>
          <w:rFonts w:eastAsia="Times New Roman" w:cs="Arial"/>
          <w:color w:val="000000"/>
        </w:rPr>
        <w:t xml:space="preserve">high </w:t>
      </w:r>
      <w:r w:rsidRPr="00CC12A4">
        <w:rPr>
          <w:rFonts w:eastAsia="Times New Roman" w:cs="Arial"/>
          <w:color w:val="000000"/>
        </w:rPr>
        <w:t xml:space="preserve">court first reiterated the </w:t>
      </w:r>
      <w:r w:rsidR="00435996" w:rsidRPr="00CC12A4">
        <w:rPr>
          <w:rFonts w:eastAsia="Times New Roman" w:cs="Arial"/>
          <w:color w:val="000000"/>
        </w:rPr>
        <w:t>“</w:t>
      </w:r>
      <w:r w:rsidR="00CD27DD" w:rsidRPr="00CC12A4">
        <w:rPr>
          <w:rFonts w:eastAsia="Times New Roman" w:cs="Arial"/>
          <w:color w:val="000000"/>
        </w:rPr>
        <w:t xml:space="preserve">purpose” </w:t>
      </w:r>
      <w:r w:rsidR="00435996" w:rsidRPr="00CC12A4">
        <w:rPr>
          <w:rFonts w:eastAsia="Times New Roman" w:cs="Arial"/>
          <w:color w:val="000000"/>
        </w:rPr>
        <w:t xml:space="preserve">of the </w:t>
      </w:r>
      <w:r w:rsidR="00147B88" w:rsidRPr="00CC12A4">
        <w:rPr>
          <w:rFonts w:eastAsia="Times New Roman" w:cs="Arial"/>
          <w:color w:val="000000"/>
        </w:rPr>
        <w:t xml:space="preserve">Unruh </w:t>
      </w:r>
      <w:r w:rsidR="00435996" w:rsidRPr="00CC12A4">
        <w:rPr>
          <w:rFonts w:eastAsia="Times New Roman" w:cs="Arial"/>
          <w:color w:val="000000"/>
        </w:rPr>
        <w:t>Act</w:t>
      </w:r>
      <w:r w:rsidRPr="00CC12A4">
        <w:rPr>
          <w:rFonts w:eastAsia="Times New Roman" w:cs="Arial"/>
          <w:color w:val="000000"/>
        </w:rPr>
        <w:t xml:space="preserve">—to </w:t>
      </w:r>
      <w:r w:rsidR="00CD27DD" w:rsidRPr="00CC12A4">
        <w:rPr>
          <w:rFonts w:eastAsia="Times New Roman" w:cs="Arial"/>
          <w:color w:val="000000"/>
        </w:rPr>
        <w:t>“</w:t>
      </w:r>
      <w:r w:rsidR="00A01349" w:rsidRPr="00CC12A4">
        <w:rPr>
          <w:rFonts w:eastAsia="Times New Roman" w:cs="Arial"/>
          <w:color w:val="000000"/>
        </w:rPr>
        <w:t> </w:t>
      </w:r>
      <w:r w:rsidRPr="00CC12A4">
        <w:rPr>
          <w:rFonts w:eastAsia="Times New Roman" w:cs="Arial"/>
          <w:color w:val="000000"/>
        </w:rPr>
        <w:t>‘</w:t>
      </w:r>
      <w:r w:rsidR="00CD27DD" w:rsidRPr="00CC12A4">
        <w:rPr>
          <w:rFonts w:eastAsia="Times New Roman" w:cs="Arial"/>
          <w:color w:val="000000"/>
        </w:rPr>
        <w:t xml:space="preserve">create and preserve a nondiscriminatory environment in California business establishments by </w:t>
      </w:r>
      <w:r w:rsidR="003A3C4B" w:rsidRPr="00CC12A4">
        <w:rPr>
          <w:rFonts w:eastAsia="Times New Roman" w:cs="Arial"/>
          <w:color w:val="000000"/>
        </w:rPr>
        <w:t>“</w:t>
      </w:r>
      <w:r w:rsidR="00CD27DD" w:rsidRPr="00CC12A4">
        <w:rPr>
          <w:rFonts w:eastAsia="Times New Roman" w:cs="Arial"/>
          <w:color w:val="000000"/>
        </w:rPr>
        <w:t>banishing</w:t>
      </w:r>
      <w:r w:rsidR="003A3C4B" w:rsidRPr="00CC12A4">
        <w:rPr>
          <w:rFonts w:eastAsia="Times New Roman" w:cs="Arial"/>
          <w:color w:val="000000"/>
        </w:rPr>
        <w:t>”</w:t>
      </w:r>
      <w:r w:rsidR="00CD27DD" w:rsidRPr="00CC12A4">
        <w:rPr>
          <w:rFonts w:eastAsia="Times New Roman" w:cs="Arial"/>
          <w:color w:val="000000"/>
        </w:rPr>
        <w:t xml:space="preserve"> or </w:t>
      </w:r>
      <w:r w:rsidR="003A3C4B" w:rsidRPr="00CC12A4">
        <w:rPr>
          <w:rFonts w:eastAsia="Times New Roman" w:cs="Arial"/>
          <w:color w:val="000000"/>
        </w:rPr>
        <w:t>“</w:t>
      </w:r>
      <w:r w:rsidR="00CD27DD" w:rsidRPr="00CC12A4">
        <w:rPr>
          <w:rFonts w:eastAsia="Times New Roman" w:cs="Arial"/>
          <w:color w:val="000000"/>
        </w:rPr>
        <w:t>eradicating</w:t>
      </w:r>
      <w:r w:rsidR="003A3C4B" w:rsidRPr="00CC12A4">
        <w:rPr>
          <w:rFonts w:eastAsia="Times New Roman" w:cs="Arial"/>
          <w:color w:val="000000"/>
        </w:rPr>
        <w:t>”</w:t>
      </w:r>
      <w:r w:rsidR="00CD27DD" w:rsidRPr="00CC12A4">
        <w:rPr>
          <w:rFonts w:eastAsia="Times New Roman" w:cs="Arial"/>
          <w:color w:val="000000"/>
        </w:rPr>
        <w:t xml:space="preserve"> arbitrary, invidious discrimination by such establishments.</w:t>
      </w:r>
      <w:r w:rsidR="00435996" w:rsidRPr="00CC12A4">
        <w:rPr>
          <w:rFonts w:eastAsia="Times New Roman" w:cs="Arial"/>
          <w:color w:val="000000"/>
        </w:rPr>
        <w:t>’</w:t>
      </w:r>
      <w:r w:rsidR="002F6596" w:rsidRPr="00CC12A4">
        <w:rPr>
          <w:rFonts w:eastAsia="Times New Roman" w:cs="Arial"/>
          <w:color w:val="000000"/>
        </w:rPr>
        <w:t xml:space="preserve"> </w:t>
      </w:r>
      <w:r w:rsidR="00CD27DD" w:rsidRPr="00CC12A4">
        <w:rPr>
          <w:rFonts w:eastAsia="Times New Roman" w:cs="Arial"/>
          <w:color w:val="000000"/>
        </w:rPr>
        <w:t xml:space="preserve">” </w:t>
      </w:r>
      <w:r w:rsidR="002F6596" w:rsidRPr="00CC12A4">
        <w:rPr>
          <w:rFonts w:eastAsia="Times New Roman" w:cs="Arial"/>
          <w:color w:val="000000"/>
        </w:rPr>
        <w:t xml:space="preserve"> </w:t>
      </w:r>
      <w:r w:rsidR="00CD27DD" w:rsidRPr="00CC12A4">
        <w:rPr>
          <w:rFonts w:eastAsia="Times New Roman" w:cs="Arial"/>
          <w:color w:val="000000"/>
        </w:rPr>
        <w:t>(</w:t>
      </w:r>
      <w:r w:rsidR="00435996" w:rsidRPr="00CC12A4">
        <w:rPr>
          <w:rFonts w:eastAsia="Times New Roman" w:cs="Arial"/>
          <w:i/>
          <w:iCs/>
          <w:color w:val="000000"/>
        </w:rPr>
        <w:t xml:space="preserve">Munson, </w:t>
      </w:r>
      <w:r w:rsidR="00A01349" w:rsidRPr="00CC12A4">
        <w:rPr>
          <w:rFonts w:eastAsia="Times New Roman" w:cs="Arial"/>
          <w:i/>
          <w:iCs/>
          <w:color w:val="000000"/>
        </w:rPr>
        <w:t xml:space="preserve">supra, </w:t>
      </w:r>
      <w:r w:rsidR="00A01349" w:rsidRPr="00CC12A4">
        <w:rPr>
          <w:rFonts w:eastAsia="Times New Roman" w:cs="Arial"/>
          <w:color w:val="000000"/>
        </w:rPr>
        <w:t xml:space="preserve">46 Cal.4th </w:t>
      </w:r>
      <w:r w:rsidR="00435996" w:rsidRPr="00CC12A4">
        <w:rPr>
          <w:rFonts w:eastAsia="Times New Roman" w:cs="Arial"/>
          <w:color w:val="000000"/>
        </w:rPr>
        <w:t>at p.</w:t>
      </w:r>
      <w:r w:rsidR="00377E46">
        <w:rPr>
          <w:rFonts w:eastAsia="Times New Roman" w:cs="Arial"/>
          <w:color w:val="000000"/>
        </w:rPr>
        <w:t> </w:t>
      </w:r>
      <w:r w:rsidR="002743B9" w:rsidRPr="00CC12A4">
        <w:rPr>
          <w:rFonts w:eastAsia="Times New Roman" w:cs="Arial"/>
          <w:color w:val="000000"/>
        </w:rPr>
        <w:t>666</w:t>
      </w:r>
      <w:r w:rsidR="00435996" w:rsidRPr="00CC12A4">
        <w:rPr>
          <w:rFonts w:eastAsia="Times New Roman" w:cs="Arial"/>
          <w:color w:val="000000"/>
        </w:rPr>
        <w:t>; see</w:t>
      </w:r>
      <w:r w:rsidR="002743B9" w:rsidRPr="00CC12A4">
        <w:rPr>
          <w:rFonts w:eastAsia="Times New Roman" w:cs="Arial"/>
          <w:color w:val="000000"/>
        </w:rPr>
        <w:t xml:space="preserve"> </w:t>
      </w:r>
      <w:r w:rsidR="003A3C4B" w:rsidRPr="00CC12A4">
        <w:rPr>
          <w:rFonts w:eastAsia="Times New Roman" w:cs="Arial"/>
          <w:i/>
          <w:iCs/>
          <w:color w:val="000000"/>
        </w:rPr>
        <w:t>id</w:t>
      </w:r>
      <w:r w:rsidR="003A3C4B" w:rsidRPr="00CC12A4">
        <w:rPr>
          <w:rFonts w:eastAsia="Times New Roman" w:cs="Arial"/>
          <w:color w:val="000000"/>
        </w:rPr>
        <w:t xml:space="preserve">., at </w:t>
      </w:r>
      <w:r w:rsidR="00435996" w:rsidRPr="00CC12A4">
        <w:rPr>
          <w:rFonts w:eastAsia="Times New Roman" w:cs="Arial"/>
          <w:color w:val="000000"/>
        </w:rPr>
        <w:t>p. 667 [</w:t>
      </w:r>
      <w:r w:rsidR="00147B88" w:rsidRPr="00CC12A4">
        <w:rPr>
          <w:rFonts w:eastAsia="Times New Roman" w:cs="Arial"/>
          <w:color w:val="000000"/>
        </w:rPr>
        <w:t xml:space="preserve">the </w:t>
      </w:r>
      <w:r w:rsidR="00435996" w:rsidRPr="00CC12A4">
        <w:rPr>
          <w:rFonts w:eastAsia="Times New Roman" w:cs="Arial"/>
          <w:color w:val="000000"/>
        </w:rPr>
        <w:t>Act “</w:t>
      </w:r>
      <w:r w:rsidR="00CD27DD" w:rsidRPr="00CC12A4">
        <w:rPr>
          <w:rFonts w:eastAsia="Times New Roman" w:cs="Arial"/>
          <w:color w:val="000000"/>
        </w:rPr>
        <w:t xml:space="preserve">has always provided substantive protection against invidious discrimination in public accommodations, without specifying remedies, and </w:t>
      </w:r>
      <w:r w:rsidR="00377E46">
        <w:rPr>
          <w:rFonts w:eastAsia="Times New Roman" w:cs="Arial"/>
          <w:color w:val="000000"/>
        </w:rPr>
        <w:t xml:space="preserve">[Civil Code] </w:t>
      </w:r>
      <w:r w:rsidR="00CD27DD" w:rsidRPr="00CC12A4">
        <w:rPr>
          <w:rFonts w:eastAsia="Times New Roman" w:cs="Arial"/>
          <w:color w:val="000000"/>
        </w:rPr>
        <w:t xml:space="preserve">section 52 has always provided remedies, including a private action for damages, for violations of </w:t>
      </w:r>
      <w:r w:rsidR="00377E46">
        <w:rPr>
          <w:rFonts w:eastAsia="Times New Roman" w:cs="Arial"/>
          <w:color w:val="000000"/>
        </w:rPr>
        <w:t xml:space="preserve">[Civil Code] </w:t>
      </w:r>
      <w:r w:rsidR="00CD27DD" w:rsidRPr="00CC12A4">
        <w:rPr>
          <w:rFonts w:eastAsia="Times New Roman" w:cs="Arial"/>
          <w:color w:val="000000"/>
        </w:rPr>
        <w:t>section 51.</w:t>
      </w:r>
      <w:r w:rsidR="00435996" w:rsidRPr="00CC12A4">
        <w:rPr>
          <w:rFonts w:eastAsia="Times New Roman" w:cs="Arial"/>
          <w:color w:val="000000"/>
        </w:rPr>
        <w:t>”].)</w:t>
      </w:r>
      <w:r w:rsidRPr="00CC12A4">
        <w:rPr>
          <w:rFonts w:eastAsia="Times New Roman" w:cs="Arial"/>
          <w:color w:val="000000"/>
        </w:rPr>
        <w:t xml:space="preserve">  </w:t>
      </w:r>
    </w:p>
    <w:p w14:paraId="3929E77D" w14:textId="77777777" w:rsidR="00494B2C" w:rsidRPr="00CC12A4" w:rsidRDefault="00494B2C" w:rsidP="00003037">
      <w:pPr>
        <w:spacing w:line="360" w:lineRule="auto"/>
        <w:rPr>
          <w:rFonts w:eastAsia="Times New Roman" w:cs="Arial"/>
          <w:color w:val="000000"/>
        </w:rPr>
      </w:pPr>
      <w:r w:rsidRPr="00CC12A4">
        <w:rPr>
          <w:rFonts w:eastAsia="Times New Roman" w:cs="Arial"/>
          <w:color w:val="000000"/>
        </w:rPr>
        <w:tab/>
        <w:t xml:space="preserve">It then explained that in 1992, the </w:t>
      </w:r>
      <w:r w:rsidR="00CD27DD" w:rsidRPr="00CC12A4">
        <w:rPr>
          <w:rFonts w:eastAsia="Times New Roman" w:cs="Arial"/>
          <w:color w:val="000000"/>
        </w:rPr>
        <w:t xml:space="preserve">Legislature amended </w:t>
      </w:r>
      <w:r w:rsidRPr="00CC12A4">
        <w:rPr>
          <w:rFonts w:eastAsia="Times New Roman" w:cs="Arial"/>
          <w:color w:val="000000"/>
        </w:rPr>
        <w:t>the Act “</w:t>
      </w:r>
      <w:r w:rsidR="00CD27DD" w:rsidRPr="00CC12A4">
        <w:rPr>
          <w:rFonts w:eastAsia="Times New Roman" w:cs="Arial"/>
          <w:color w:val="000000"/>
        </w:rPr>
        <w:t xml:space="preserve">to, among other changes, add the paragraph that became </w:t>
      </w:r>
      <w:r w:rsidR="00377E46">
        <w:rPr>
          <w:rFonts w:eastAsia="Times New Roman" w:cs="Arial"/>
          <w:color w:val="000000"/>
        </w:rPr>
        <w:t xml:space="preserve">[Civil Code section 51,] </w:t>
      </w:r>
      <w:r w:rsidR="00CD27DD" w:rsidRPr="00CC12A4">
        <w:rPr>
          <w:rFonts w:eastAsia="Times New Roman" w:cs="Arial"/>
          <w:color w:val="000000"/>
        </w:rPr>
        <w:t xml:space="preserve">subdivision (f), specifying that </w:t>
      </w:r>
      <w:r w:rsidR="00147B88" w:rsidRPr="00CC12A4">
        <w:rPr>
          <w:rFonts w:eastAsia="Times New Roman" w:cs="Arial"/>
          <w:color w:val="000000"/>
        </w:rPr>
        <w:t>‘</w:t>
      </w:r>
      <w:r w:rsidR="00CD27DD" w:rsidRPr="00CC12A4">
        <w:rPr>
          <w:rFonts w:eastAsia="Times New Roman" w:cs="Arial"/>
          <w:color w:val="000000"/>
        </w:rPr>
        <w:t>[a] violation of the right of any individual under the Americans with Disabilities Act of 1990 (Public Law 101–336) shall also constitute a violation of this section.</w:t>
      </w:r>
      <w:r w:rsidR="00147B88" w:rsidRPr="00CC12A4">
        <w:rPr>
          <w:rFonts w:eastAsia="Times New Roman" w:cs="Arial"/>
          <w:color w:val="000000"/>
        </w:rPr>
        <w:t>’</w:t>
      </w:r>
      <w:r w:rsidR="00CD27DD" w:rsidRPr="00CC12A4">
        <w:rPr>
          <w:rFonts w:eastAsia="Times New Roman" w:cs="Arial"/>
          <w:color w:val="000000"/>
        </w:rPr>
        <w:t xml:space="preserve"> </w:t>
      </w:r>
      <w:r w:rsidR="002F6596" w:rsidRPr="00CC12A4">
        <w:rPr>
          <w:rFonts w:eastAsia="Times New Roman" w:cs="Arial"/>
          <w:color w:val="000000"/>
        </w:rPr>
        <w:t xml:space="preserve"> </w:t>
      </w:r>
      <w:r w:rsidR="00CD27DD" w:rsidRPr="00CC12A4">
        <w:rPr>
          <w:rFonts w:eastAsia="Times New Roman" w:cs="Arial"/>
          <w:color w:val="000000"/>
        </w:rPr>
        <w:t xml:space="preserve">(Stats.1992, </w:t>
      </w:r>
      <w:proofErr w:type="spellStart"/>
      <w:r w:rsidR="00CD27DD" w:rsidRPr="00CC12A4">
        <w:rPr>
          <w:rFonts w:eastAsia="Times New Roman" w:cs="Arial"/>
          <w:color w:val="000000"/>
        </w:rPr>
        <w:t>ch.</w:t>
      </w:r>
      <w:proofErr w:type="spellEnd"/>
      <w:r w:rsidR="00CD27DD" w:rsidRPr="00CC12A4">
        <w:rPr>
          <w:rFonts w:eastAsia="Times New Roman" w:cs="Arial"/>
          <w:color w:val="000000"/>
        </w:rPr>
        <w:t xml:space="preserve"> 913, § 3, p. 428</w:t>
      </w:r>
      <w:r w:rsidR="003A3C4B" w:rsidRPr="00CC12A4">
        <w:rPr>
          <w:rFonts w:eastAsia="Times New Roman" w:cs="Arial"/>
          <w:color w:val="000000"/>
        </w:rPr>
        <w:t>3, 4284</w:t>
      </w:r>
      <w:r w:rsidR="0058791C" w:rsidRPr="00CC12A4">
        <w:rPr>
          <w:rFonts w:eastAsia="Times New Roman" w:cs="Arial"/>
          <w:color w:val="000000"/>
        </w:rPr>
        <w:t>.</w:t>
      </w:r>
      <w:r w:rsidR="001662E1" w:rsidRPr="00CC12A4">
        <w:rPr>
          <w:rFonts w:eastAsia="Times New Roman" w:cs="Arial"/>
          <w:color w:val="000000"/>
        </w:rPr>
        <w:t> </w:t>
      </w:r>
      <w:r w:rsidR="0058791C" w:rsidRPr="00CC12A4">
        <w:rPr>
          <w:rFonts w:eastAsia="Times New Roman" w:cs="Arial"/>
          <w:color w:val="000000"/>
        </w:rPr>
        <w:t>.</w:t>
      </w:r>
      <w:r w:rsidR="001662E1" w:rsidRPr="00CC12A4">
        <w:rPr>
          <w:rFonts w:eastAsia="Times New Roman" w:cs="Arial"/>
          <w:color w:val="000000"/>
        </w:rPr>
        <w:t> </w:t>
      </w:r>
      <w:r w:rsidR="0058791C" w:rsidRPr="00CC12A4">
        <w:rPr>
          <w:rFonts w:eastAsia="Times New Roman" w:cs="Arial"/>
          <w:color w:val="000000"/>
        </w:rPr>
        <w:t xml:space="preserve">. </w:t>
      </w:r>
      <w:r w:rsidR="00CD27DD" w:rsidRPr="00CC12A4">
        <w:rPr>
          <w:rFonts w:eastAsia="Times New Roman" w:cs="Arial"/>
          <w:color w:val="000000"/>
        </w:rPr>
        <w:t xml:space="preserve">.) </w:t>
      </w:r>
      <w:r w:rsidR="001662E1" w:rsidRPr="00CC12A4">
        <w:rPr>
          <w:rFonts w:eastAsia="Times New Roman" w:cs="Arial"/>
          <w:color w:val="000000"/>
        </w:rPr>
        <w:t xml:space="preserve"> </w:t>
      </w:r>
      <w:r w:rsidR="00CD27DD" w:rsidRPr="00CC12A4">
        <w:rPr>
          <w:rFonts w:eastAsia="Times New Roman" w:cs="Arial"/>
          <w:color w:val="000000"/>
        </w:rPr>
        <w:t xml:space="preserve">This amendment was but one part of a broad enactment, originating as Assembly Bill No. 1077 (1991–1992 Reg. Sess.), that sought to </w:t>
      </w:r>
      <w:r w:rsidR="00CD27DD" w:rsidRPr="00CC12A4">
        <w:rPr>
          <w:rFonts w:eastAsia="Times New Roman" w:cs="Arial"/>
          <w:color w:val="000000"/>
        </w:rPr>
        <w:lastRenderedPageBreak/>
        <w:t>conform many aspects of California law relating to disability discrimination (in employment, government services, transportation, and communications, as well as public accommodations) to the recently enacted ADA, which was soon to go into effect.</w:t>
      </w:r>
      <w:r w:rsidR="001662E1" w:rsidRPr="00CC12A4">
        <w:rPr>
          <w:rFonts w:eastAsia="Times New Roman" w:cs="Arial"/>
          <w:color w:val="000000"/>
        </w:rPr>
        <w:t xml:space="preserve"> </w:t>
      </w:r>
      <w:r w:rsidR="00CD27DD" w:rsidRPr="00CC12A4">
        <w:rPr>
          <w:rFonts w:eastAsia="Times New Roman" w:cs="Arial"/>
          <w:color w:val="000000"/>
        </w:rPr>
        <w:t xml:space="preserve"> (See Assem. Com. on Judiciary, Rep. on Assem. Bill No. 1077 (1991–1992 Reg. Sess.) as amended Jan. 6, 1992, pp. 1–4 [digest] (hereafter Assembly Judiciary Report on Assembly Bill No. 1077).)</w:t>
      </w:r>
      <w:r w:rsidR="001662E1" w:rsidRPr="00CC12A4">
        <w:rPr>
          <w:rFonts w:eastAsia="Times New Roman" w:cs="Arial"/>
          <w:color w:val="000000"/>
        </w:rPr>
        <w:t xml:space="preserve"> . . . [¶] </w:t>
      </w:r>
      <w:r w:rsidR="00CD27DD" w:rsidRPr="00CC12A4">
        <w:rPr>
          <w:rFonts w:eastAsia="Times New Roman" w:cs="Arial"/>
          <w:color w:val="000000"/>
        </w:rPr>
        <w:t>The Assembly Judiciary Report on Assembly Bill No. 1077 summarized the bill</w:t>
      </w:r>
      <w:r w:rsidR="001662E1" w:rsidRPr="00CC12A4">
        <w:rPr>
          <w:rFonts w:eastAsia="Times New Roman" w:cs="Arial"/>
          <w:color w:val="000000"/>
        </w:rPr>
        <w:t>’</w:t>
      </w:r>
      <w:r w:rsidR="00CD27DD" w:rsidRPr="00CC12A4">
        <w:rPr>
          <w:rFonts w:eastAsia="Times New Roman" w:cs="Arial"/>
          <w:color w:val="000000"/>
        </w:rPr>
        <w:t xml:space="preserve">s changes to the Unruh Civil Rights Act as follows: </w:t>
      </w:r>
      <w:r w:rsidR="0058791C" w:rsidRPr="00CC12A4">
        <w:rPr>
          <w:rFonts w:eastAsia="Times New Roman" w:cs="Arial"/>
          <w:color w:val="000000"/>
        </w:rPr>
        <w:t>‘</w:t>
      </w:r>
      <w:r w:rsidR="00CD27DD" w:rsidRPr="00CC12A4">
        <w:rPr>
          <w:rFonts w:eastAsia="Times New Roman" w:cs="Arial"/>
          <w:color w:val="000000"/>
        </w:rPr>
        <w:t>Include persons with mental disabilities in the enumerated classes of individuals protected by the Unruh Act. [¶] .</w:t>
      </w:r>
      <w:r w:rsidR="00E47CBB" w:rsidRPr="00CC12A4">
        <w:rPr>
          <w:rFonts w:eastAsia="Times New Roman" w:cs="Arial"/>
          <w:color w:val="000000"/>
        </w:rPr>
        <w:t xml:space="preserve"> </w:t>
      </w:r>
      <w:r w:rsidR="00CD27DD" w:rsidRPr="00CC12A4">
        <w:rPr>
          <w:rFonts w:eastAsia="Times New Roman" w:cs="Arial"/>
          <w:color w:val="000000"/>
        </w:rPr>
        <w:t>.</w:t>
      </w:r>
      <w:r w:rsidR="00E47CBB" w:rsidRPr="00CC12A4">
        <w:rPr>
          <w:rFonts w:eastAsia="Times New Roman" w:cs="Arial"/>
          <w:color w:val="000000"/>
        </w:rPr>
        <w:t xml:space="preserve"> </w:t>
      </w:r>
      <w:r w:rsidR="00CD27DD" w:rsidRPr="00CC12A4">
        <w:rPr>
          <w:rFonts w:eastAsia="Times New Roman" w:cs="Arial"/>
          <w:color w:val="000000"/>
        </w:rPr>
        <w:t xml:space="preserve">. Make a violation of the ADA a violation of the Unruh Act. </w:t>
      </w:r>
      <w:r w:rsidR="001662E1" w:rsidRPr="00CC12A4">
        <w:rPr>
          <w:rFonts w:eastAsia="Times New Roman" w:cs="Arial"/>
          <w:color w:val="000000"/>
        </w:rPr>
        <w:t xml:space="preserve"> </w:t>
      </w:r>
      <w:r w:rsidR="00CD27DD" w:rsidRPr="00CC12A4">
        <w:rPr>
          <w:rFonts w:eastAsia="Times New Roman" w:cs="Arial"/>
          <w:color w:val="000000"/>
        </w:rPr>
        <w:t>Thereby providing persons injured by a violation of the ADA with the remedies provided by the Unruh Act (e.g., right of private action for damages).</w:t>
      </w:r>
      <w:r w:rsidR="0058791C" w:rsidRPr="00CC12A4">
        <w:rPr>
          <w:rFonts w:eastAsia="Times New Roman" w:cs="Arial"/>
          <w:color w:val="000000"/>
        </w:rPr>
        <w:t>’</w:t>
      </w:r>
      <w:r w:rsidR="00CD27DD" w:rsidRPr="00CC12A4">
        <w:rPr>
          <w:rFonts w:eastAsia="Times New Roman" w:cs="Arial"/>
          <w:color w:val="000000"/>
        </w:rPr>
        <w:t xml:space="preserve"> </w:t>
      </w:r>
      <w:r w:rsidR="00E47CBB" w:rsidRPr="00CC12A4">
        <w:rPr>
          <w:rFonts w:eastAsia="Times New Roman" w:cs="Arial"/>
          <w:color w:val="000000"/>
        </w:rPr>
        <w:t xml:space="preserve"> </w:t>
      </w:r>
      <w:r w:rsidR="00CD27DD" w:rsidRPr="00CC12A4">
        <w:rPr>
          <w:rFonts w:eastAsia="Times New Roman" w:cs="Arial"/>
          <w:color w:val="000000"/>
        </w:rPr>
        <w:t xml:space="preserve">(Assem. Judiciary Rep. on Assem. Bill No. 1077, </w:t>
      </w:r>
      <w:r w:rsidR="00CD27DD" w:rsidRPr="00CC12A4">
        <w:rPr>
          <w:rFonts w:eastAsia="Times New Roman" w:cs="Arial"/>
          <w:i/>
          <w:iCs/>
          <w:color w:val="000000"/>
        </w:rPr>
        <w:t>supra,</w:t>
      </w:r>
      <w:r w:rsidR="00CD27DD" w:rsidRPr="00CC12A4">
        <w:rPr>
          <w:rFonts w:eastAsia="Times New Roman" w:cs="Arial"/>
          <w:color w:val="000000"/>
        </w:rPr>
        <w:t xml:space="preserve"> at p. 2.)</w:t>
      </w:r>
      <w:r w:rsidR="00003037" w:rsidRPr="00CC12A4">
        <w:rPr>
          <w:rFonts w:eastAsia="Times New Roman" w:cs="Arial"/>
          <w:color w:val="000000"/>
        </w:rPr>
        <w:t>”</w:t>
      </w:r>
      <w:r w:rsidR="00003037" w:rsidRPr="00CC12A4">
        <w:rPr>
          <w:rStyle w:val="FootnoteReference"/>
          <w:rFonts w:eastAsia="Times New Roman" w:cs="Arial"/>
          <w:color w:val="000000"/>
        </w:rPr>
        <w:footnoteReference w:id="14"/>
      </w:r>
      <w:r w:rsidR="00003037" w:rsidRPr="00CC12A4">
        <w:rPr>
          <w:rFonts w:eastAsia="Times New Roman" w:cs="Arial"/>
          <w:color w:val="000000"/>
        </w:rPr>
        <w:t xml:space="preserve">  (</w:t>
      </w:r>
      <w:r w:rsidR="00003037" w:rsidRPr="00CC12A4">
        <w:rPr>
          <w:rFonts w:eastAsia="Times New Roman" w:cs="Arial"/>
          <w:i/>
          <w:iCs/>
          <w:color w:val="000000"/>
        </w:rPr>
        <w:t>Munson, supra</w:t>
      </w:r>
      <w:r w:rsidR="00003037" w:rsidRPr="00CC12A4">
        <w:rPr>
          <w:rFonts w:eastAsia="Times New Roman" w:cs="Arial"/>
          <w:color w:val="000000"/>
        </w:rPr>
        <w:t xml:space="preserve">, </w:t>
      </w:r>
      <w:r w:rsidR="002F6596" w:rsidRPr="00CC12A4">
        <w:rPr>
          <w:rFonts w:eastAsia="Times New Roman" w:cs="Arial"/>
          <w:color w:val="000000"/>
        </w:rPr>
        <w:t xml:space="preserve">46 Cal.4th </w:t>
      </w:r>
      <w:r w:rsidR="00003037" w:rsidRPr="00CC12A4">
        <w:rPr>
          <w:rFonts w:eastAsia="Times New Roman" w:cs="Arial"/>
          <w:color w:val="000000"/>
        </w:rPr>
        <w:t xml:space="preserve">at </w:t>
      </w:r>
      <w:r w:rsidR="001662E1" w:rsidRPr="00CC12A4">
        <w:rPr>
          <w:rFonts w:eastAsia="Times New Roman" w:cs="Arial"/>
          <w:color w:val="000000"/>
        </w:rPr>
        <w:t>p</w:t>
      </w:r>
      <w:r w:rsidR="00003037" w:rsidRPr="00CC12A4">
        <w:rPr>
          <w:rFonts w:eastAsia="Times New Roman" w:cs="Arial"/>
          <w:color w:val="000000"/>
        </w:rPr>
        <w:t>p.</w:t>
      </w:r>
      <w:r w:rsidR="00003037" w:rsidRPr="00CC12A4">
        <w:rPr>
          <w:rFonts w:eastAsia="Times New Roman" w:cs="Arial"/>
          <w:i/>
          <w:iCs/>
          <w:color w:val="000000"/>
        </w:rPr>
        <w:t xml:space="preserve"> </w:t>
      </w:r>
      <w:r w:rsidR="00003037" w:rsidRPr="00CC12A4">
        <w:rPr>
          <w:rFonts w:eastAsia="Times New Roman" w:cs="Arial"/>
          <w:color w:val="000000"/>
        </w:rPr>
        <w:t>6</w:t>
      </w:r>
      <w:r w:rsidR="001662E1" w:rsidRPr="00CC12A4">
        <w:rPr>
          <w:rFonts w:eastAsia="Times New Roman" w:cs="Arial"/>
          <w:color w:val="000000"/>
        </w:rPr>
        <w:t>68</w:t>
      </w:r>
      <w:r w:rsidR="00377E46" w:rsidRPr="00E336A2">
        <w:rPr>
          <w:rFonts w:eastAsia="Times New Roman" w:cs="Arial"/>
          <w:color w:val="000000"/>
        </w:rPr>
        <w:t>–</w:t>
      </w:r>
      <w:r w:rsidR="001662E1" w:rsidRPr="00CC12A4">
        <w:rPr>
          <w:rFonts w:eastAsia="Times New Roman" w:cs="Arial"/>
          <w:color w:val="000000"/>
        </w:rPr>
        <w:t>66</w:t>
      </w:r>
      <w:r w:rsidR="00003037" w:rsidRPr="00CC12A4">
        <w:rPr>
          <w:rFonts w:eastAsia="Times New Roman" w:cs="Arial"/>
          <w:color w:val="000000"/>
        </w:rPr>
        <w:t xml:space="preserve">9.) </w:t>
      </w:r>
    </w:p>
    <w:p w14:paraId="17A26FB1" w14:textId="77777777" w:rsidR="00494B2C" w:rsidRPr="00CC12A4" w:rsidRDefault="00494B2C" w:rsidP="00494B2C">
      <w:pPr>
        <w:spacing w:line="360" w:lineRule="auto"/>
        <w:rPr>
          <w:rFonts w:eastAsia="Times New Roman" w:cs="Arial"/>
          <w:color w:val="000000"/>
        </w:rPr>
      </w:pPr>
      <w:r w:rsidRPr="00CC12A4">
        <w:rPr>
          <w:rFonts w:eastAsia="Times New Roman" w:cs="Arial"/>
          <w:color w:val="000000"/>
        </w:rPr>
        <w:tab/>
        <w:t>The court went on to explain, “[t]h</w:t>
      </w:r>
      <w:r w:rsidR="00CD27DD" w:rsidRPr="00CC12A4">
        <w:rPr>
          <w:rFonts w:eastAsia="Times New Roman" w:cs="Arial"/>
          <w:color w:val="000000"/>
        </w:rPr>
        <w:t>e ADA</w:t>
      </w:r>
      <w:r w:rsidR="008F721E" w:rsidRPr="00CC12A4">
        <w:rPr>
          <w:rFonts w:eastAsia="Times New Roman" w:cs="Arial"/>
          <w:color w:val="000000"/>
        </w:rPr>
        <w:t>’</w:t>
      </w:r>
      <w:r w:rsidR="00CD27DD" w:rsidRPr="00CC12A4">
        <w:rPr>
          <w:rFonts w:eastAsia="Times New Roman" w:cs="Arial"/>
          <w:color w:val="000000"/>
        </w:rPr>
        <w:t>s public accommodations provisions are contained in title III of that law (42 U.S.C. §§ 12181–12189)</w:t>
      </w:r>
      <w:r w:rsidRPr="00CC12A4">
        <w:rPr>
          <w:rFonts w:eastAsia="Times New Roman" w:cs="Arial"/>
          <w:color w:val="000000"/>
        </w:rPr>
        <w:t>.  Th</w:t>
      </w:r>
      <w:r w:rsidR="00CD27DD" w:rsidRPr="00CC12A4">
        <w:rPr>
          <w:rFonts w:eastAsia="Times New Roman" w:cs="Arial"/>
          <w:color w:val="000000"/>
        </w:rPr>
        <w:t xml:space="preserve">is part of the ADA prohibits, among other things, the </w:t>
      </w:r>
      <w:r w:rsidR="001662E1" w:rsidRPr="00CC12A4">
        <w:rPr>
          <w:rFonts w:eastAsia="Times New Roman" w:cs="Arial"/>
          <w:color w:val="000000"/>
        </w:rPr>
        <w:t>‘</w:t>
      </w:r>
      <w:r w:rsidR="00CD27DD" w:rsidRPr="00CC12A4">
        <w:rPr>
          <w:rFonts w:eastAsia="Times New Roman" w:cs="Arial"/>
          <w:color w:val="000000"/>
        </w:rPr>
        <w:t>failure to remove architectural barriers .</w:t>
      </w:r>
      <w:r w:rsidR="001662E1" w:rsidRPr="00CC12A4">
        <w:rPr>
          <w:rFonts w:eastAsia="Times New Roman" w:cs="Arial"/>
          <w:color w:val="000000"/>
        </w:rPr>
        <w:t xml:space="preserve"> </w:t>
      </w:r>
      <w:r w:rsidR="00CD27DD" w:rsidRPr="00CC12A4">
        <w:rPr>
          <w:rFonts w:eastAsia="Times New Roman" w:cs="Arial"/>
          <w:color w:val="000000"/>
        </w:rPr>
        <w:t>.</w:t>
      </w:r>
      <w:r w:rsidR="001662E1" w:rsidRPr="00CC12A4">
        <w:rPr>
          <w:rFonts w:eastAsia="Times New Roman" w:cs="Arial"/>
          <w:color w:val="000000"/>
        </w:rPr>
        <w:t xml:space="preserve"> </w:t>
      </w:r>
      <w:r w:rsidR="00CD27DD" w:rsidRPr="00CC12A4">
        <w:rPr>
          <w:rFonts w:eastAsia="Times New Roman" w:cs="Arial"/>
          <w:color w:val="000000"/>
        </w:rPr>
        <w:t>. in existing facilities .</w:t>
      </w:r>
      <w:r w:rsidR="002F6596" w:rsidRPr="00CC12A4">
        <w:rPr>
          <w:rFonts w:eastAsia="Times New Roman" w:cs="Arial"/>
          <w:color w:val="000000"/>
        </w:rPr>
        <w:t xml:space="preserve"> </w:t>
      </w:r>
      <w:r w:rsidR="00CD27DD" w:rsidRPr="00CC12A4">
        <w:rPr>
          <w:rFonts w:eastAsia="Times New Roman" w:cs="Arial"/>
          <w:color w:val="000000"/>
        </w:rPr>
        <w:t>.</w:t>
      </w:r>
      <w:r w:rsidR="002F6596" w:rsidRPr="00CC12A4">
        <w:rPr>
          <w:rFonts w:eastAsia="Times New Roman" w:cs="Arial"/>
          <w:color w:val="000000"/>
        </w:rPr>
        <w:t xml:space="preserve"> </w:t>
      </w:r>
      <w:r w:rsidR="00CD27DD" w:rsidRPr="00CC12A4">
        <w:rPr>
          <w:rFonts w:eastAsia="Times New Roman" w:cs="Arial"/>
          <w:color w:val="000000"/>
        </w:rPr>
        <w:t>. where such removal is readily achievable</w:t>
      </w:r>
      <w:r w:rsidR="001662E1" w:rsidRPr="00CC12A4">
        <w:rPr>
          <w:rFonts w:eastAsia="Times New Roman" w:cs="Arial"/>
          <w:color w:val="000000"/>
        </w:rPr>
        <w:t xml:space="preserve">’ </w:t>
      </w:r>
      <w:r w:rsidR="00CD27DD" w:rsidRPr="00CC12A4">
        <w:rPr>
          <w:rFonts w:eastAsia="Times New Roman" w:cs="Arial"/>
          <w:color w:val="000000"/>
        </w:rPr>
        <w:t xml:space="preserve"> (42 U.S.C. § 12182(b)(2)(A)(iv))</w:t>
      </w:r>
      <w:r w:rsidRPr="00CC12A4">
        <w:rPr>
          <w:rFonts w:eastAsia="Times New Roman" w:cs="Arial"/>
          <w:color w:val="000000"/>
        </w:rPr>
        <w:t>,</w:t>
      </w:r>
      <w:r w:rsidR="001662E1" w:rsidRPr="00CC12A4">
        <w:rPr>
          <w:rFonts w:eastAsia="Times New Roman" w:cs="Arial"/>
          <w:color w:val="000000"/>
        </w:rPr>
        <w:t>”</w:t>
      </w:r>
      <w:r w:rsidRPr="00CC12A4">
        <w:rPr>
          <w:rFonts w:eastAsia="Times New Roman" w:cs="Arial"/>
          <w:color w:val="000000"/>
        </w:rPr>
        <w:t xml:space="preserve"> and “[</w:t>
      </w:r>
      <w:proofErr w:type="spellStart"/>
      <w:r w:rsidRPr="00CC12A4">
        <w:rPr>
          <w:rFonts w:eastAsia="Times New Roman" w:cs="Arial"/>
          <w:color w:val="000000"/>
        </w:rPr>
        <w:t>i</w:t>
      </w:r>
      <w:proofErr w:type="spellEnd"/>
      <w:r w:rsidRPr="00CC12A4">
        <w:rPr>
          <w:rFonts w:eastAsia="Times New Roman" w:cs="Arial"/>
          <w:color w:val="000000"/>
        </w:rPr>
        <w:t>]</w:t>
      </w:r>
      <w:proofErr w:type="spellStart"/>
      <w:r w:rsidR="00CD27DD" w:rsidRPr="00CC12A4">
        <w:rPr>
          <w:rFonts w:eastAsia="Times New Roman" w:cs="Arial"/>
          <w:color w:val="000000"/>
        </w:rPr>
        <w:t>ntentional</w:t>
      </w:r>
      <w:proofErr w:type="spellEnd"/>
      <w:r w:rsidR="00CD27DD" w:rsidRPr="00CC12A4">
        <w:rPr>
          <w:rFonts w:eastAsia="Times New Roman" w:cs="Arial"/>
          <w:color w:val="000000"/>
        </w:rPr>
        <w:t xml:space="preserve"> discrimination need not be shown to establish a violation of the ADA</w:t>
      </w:r>
      <w:r w:rsidR="001662E1" w:rsidRPr="00CC12A4">
        <w:rPr>
          <w:rFonts w:eastAsia="Times New Roman" w:cs="Arial"/>
          <w:color w:val="000000"/>
        </w:rPr>
        <w:t>’</w:t>
      </w:r>
      <w:r w:rsidR="00CD27DD" w:rsidRPr="00CC12A4">
        <w:rPr>
          <w:rFonts w:eastAsia="Times New Roman" w:cs="Arial"/>
          <w:color w:val="000000"/>
        </w:rPr>
        <w:t>s access requirements</w:t>
      </w:r>
      <w:r w:rsidRPr="00CC12A4">
        <w:rPr>
          <w:rFonts w:eastAsia="Times New Roman" w:cs="Arial"/>
          <w:color w:val="000000"/>
        </w:rPr>
        <w:t>.”  (</w:t>
      </w:r>
      <w:r w:rsidRPr="00CC12A4">
        <w:rPr>
          <w:rFonts w:eastAsia="Times New Roman" w:cs="Arial"/>
          <w:i/>
          <w:iCs/>
          <w:color w:val="000000"/>
        </w:rPr>
        <w:t xml:space="preserve">Munson, supra, </w:t>
      </w:r>
      <w:r w:rsidR="002F6596" w:rsidRPr="00CC12A4">
        <w:rPr>
          <w:rFonts w:eastAsia="Times New Roman" w:cs="Arial"/>
          <w:color w:val="000000"/>
        </w:rPr>
        <w:t xml:space="preserve">46 Cal.4th </w:t>
      </w:r>
      <w:r w:rsidRPr="00CC12A4">
        <w:rPr>
          <w:rFonts w:eastAsia="Times New Roman" w:cs="Arial"/>
          <w:color w:val="000000"/>
        </w:rPr>
        <w:t>at p. 669</w:t>
      </w:r>
      <w:r w:rsidR="001662E1" w:rsidRPr="00CC12A4">
        <w:rPr>
          <w:rFonts w:eastAsia="Times New Roman" w:cs="Arial"/>
          <w:color w:val="000000"/>
        </w:rPr>
        <w:t>, fn. omitted</w:t>
      </w:r>
      <w:r w:rsidRPr="00CC12A4">
        <w:rPr>
          <w:rFonts w:eastAsia="Times New Roman" w:cs="Arial"/>
          <w:color w:val="000000"/>
        </w:rPr>
        <w:t>.)</w:t>
      </w:r>
    </w:p>
    <w:p w14:paraId="4DA3A581" w14:textId="77777777" w:rsidR="00E069E2" w:rsidRPr="00CC12A4" w:rsidRDefault="00494B2C" w:rsidP="00E069E2">
      <w:pPr>
        <w:spacing w:line="360" w:lineRule="auto"/>
        <w:rPr>
          <w:rFonts w:eastAsia="Times New Roman" w:cs="Arial"/>
          <w:color w:val="000000"/>
        </w:rPr>
      </w:pPr>
      <w:r w:rsidRPr="00CC12A4">
        <w:rPr>
          <w:rFonts w:eastAsia="Times New Roman" w:cs="Arial"/>
          <w:color w:val="000000"/>
        </w:rPr>
        <w:lastRenderedPageBreak/>
        <w:tab/>
        <w:t xml:space="preserve">The court concluded </w:t>
      </w:r>
      <w:r w:rsidR="00CD27DD" w:rsidRPr="00CC12A4">
        <w:rPr>
          <w:rFonts w:eastAsia="Times New Roman" w:cs="Arial"/>
          <w:color w:val="000000"/>
        </w:rPr>
        <w:t xml:space="preserve">a plaintiff proceeding under </w:t>
      </w:r>
      <w:r w:rsidR="00377E46">
        <w:rPr>
          <w:rFonts w:eastAsia="Times New Roman" w:cs="Arial"/>
          <w:color w:val="000000"/>
        </w:rPr>
        <w:t xml:space="preserve">Civil Code </w:t>
      </w:r>
      <w:r w:rsidR="00011063" w:rsidRPr="00CC12A4">
        <w:rPr>
          <w:rFonts w:eastAsia="Times New Roman" w:cs="Arial"/>
          <w:color w:val="000000"/>
        </w:rPr>
        <w:t xml:space="preserve">section 51, </w:t>
      </w:r>
      <w:r w:rsidR="00CD27DD" w:rsidRPr="00CC12A4">
        <w:rPr>
          <w:rFonts w:eastAsia="Times New Roman" w:cs="Arial"/>
          <w:color w:val="000000"/>
        </w:rPr>
        <w:t xml:space="preserve">subdivision (f) </w:t>
      </w:r>
      <w:r w:rsidRPr="00CC12A4">
        <w:rPr>
          <w:rFonts w:eastAsia="Times New Roman" w:cs="Arial"/>
          <w:color w:val="000000"/>
        </w:rPr>
        <w:t xml:space="preserve">of the </w:t>
      </w:r>
      <w:r w:rsidR="008F721E" w:rsidRPr="00CC12A4">
        <w:rPr>
          <w:rFonts w:eastAsia="Times New Roman" w:cs="Arial"/>
          <w:color w:val="000000"/>
        </w:rPr>
        <w:t xml:space="preserve">Unruh </w:t>
      </w:r>
      <w:r w:rsidRPr="00CC12A4">
        <w:rPr>
          <w:rFonts w:eastAsia="Times New Roman" w:cs="Arial"/>
          <w:color w:val="000000"/>
        </w:rPr>
        <w:t xml:space="preserve">Act </w:t>
      </w:r>
      <w:r w:rsidR="008F721E" w:rsidRPr="00CC12A4">
        <w:rPr>
          <w:rFonts w:eastAsia="Times New Roman" w:cs="Arial"/>
          <w:color w:val="000000"/>
        </w:rPr>
        <w:t xml:space="preserve">can recover </w:t>
      </w:r>
      <w:r w:rsidR="00CD27DD" w:rsidRPr="00CC12A4">
        <w:rPr>
          <w:rFonts w:eastAsia="Times New Roman" w:cs="Arial"/>
          <w:color w:val="000000"/>
        </w:rPr>
        <w:t>statutory damages on proof of an ADA access violation without the need to demonstrate the discrimination was intentional.</w:t>
      </w:r>
      <w:r w:rsidR="00E069E2" w:rsidRPr="00CC12A4">
        <w:rPr>
          <w:rFonts w:eastAsia="Times New Roman" w:cs="Arial"/>
          <w:color w:val="000000"/>
        </w:rPr>
        <w:t xml:space="preserve">  </w:t>
      </w:r>
      <w:r w:rsidR="00CD27DD" w:rsidRPr="00CC12A4">
        <w:rPr>
          <w:rFonts w:eastAsia="Times New Roman" w:cs="Arial"/>
          <w:color w:val="000000"/>
        </w:rPr>
        <w:t xml:space="preserve">“Subdivision (f) </w:t>
      </w:r>
      <w:r w:rsidR="008F721E" w:rsidRPr="00CC12A4">
        <w:rPr>
          <w:rFonts w:eastAsia="Times New Roman" w:cs="Arial"/>
          <w:color w:val="000000"/>
        </w:rPr>
        <w:t xml:space="preserve">. . . </w:t>
      </w:r>
      <w:r w:rsidR="00CD27DD" w:rsidRPr="00CC12A4">
        <w:rPr>
          <w:rFonts w:eastAsia="Times New Roman" w:cs="Arial"/>
          <w:color w:val="000000"/>
        </w:rPr>
        <w:t xml:space="preserve">does not distinguish between those ADA violations involving intentional discrimination and those resulting, in the words of the federal law, from </w:t>
      </w:r>
      <w:r w:rsidR="00AE04A7" w:rsidRPr="00CC12A4">
        <w:rPr>
          <w:rFonts w:eastAsia="Times New Roman" w:cs="Arial"/>
          <w:color w:val="000000"/>
        </w:rPr>
        <w:t>‘</w:t>
      </w:r>
      <w:r w:rsidR="00CD27DD" w:rsidRPr="00CC12A4">
        <w:rPr>
          <w:rFonts w:eastAsia="Times New Roman" w:cs="Arial"/>
          <w:color w:val="000000"/>
        </w:rPr>
        <w:t>the discriminatory effects of architectural, transportation, and communication barriers</w:t>
      </w:r>
      <w:r w:rsidR="00AE04A7" w:rsidRPr="00CC12A4">
        <w:rPr>
          <w:rFonts w:eastAsia="Times New Roman" w:cs="Arial"/>
          <w:color w:val="000000"/>
        </w:rPr>
        <w:t>’</w:t>
      </w:r>
      <w:r w:rsidR="00CD27DD" w:rsidRPr="00CC12A4">
        <w:rPr>
          <w:rFonts w:eastAsia="Times New Roman" w:cs="Arial"/>
          <w:color w:val="000000"/>
        </w:rPr>
        <w:t xml:space="preserve"> and the </w:t>
      </w:r>
      <w:r w:rsidR="00AE04A7" w:rsidRPr="00CC12A4">
        <w:rPr>
          <w:rFonts w:eastAsia="Times New Roman" w:cs="Arial"/>
          <w:color w:val="000000"/>
        </w:rPr>
        <w:t>‘</w:t>
      </w:r>
      <w:r w:rsidR="00CD27DD" w:rsidRPr="00CC12A4">
        <w:rPr>
          <w:rFonts w:eastAsia="Times New Roman" w:cs="Arial"/>
          <w:color w:val="000000"/>
        </w:rPr>
        <w:t>failure to make modifications to existing facilities.</w:t>
      </w:r>
      <w:r w:rsidR="00AE04A7" w:rsidRPr="00CC12A4">
        <w:rPr>
          <w:rFonts w:eastAsia="Times New Roman" w:cs="Arial"/>
          <w:color w:val="000000"/>
        </w:rPr>
        <w:t>’</w:t>
      </w:r>
      <w:r w:rsidR="009C7970">
        <w:rPr>
          <w:rFonts w:eastAsia="Times New Roman" w:cs="Arial"/>
          <w:color w:val="000000"/>
        </w:rPr>
        <w:t xml:space="preserve"> </w:t>
      </w:r>
      <w:r w:rsidR="002F6596" w:rsidRPr="00CC12A4">
        <w:rPr>
          <w:rFonts w:eastAsia="Times New Roman" w:cs="Arial"/>
          <w:color w:val="000000"/>
        </w:rPr>
        <w:t xml:space="preserve"> </w:t>
      </w:r>
      <w:r w:rsidR="00CD27DD" w:rsidRPr="00CC12A4">
        <w:rPr>
          <w:rFonts w:eastAsia="Times New Roman" w:cs="Arial"/>
          <w:color w:val="000000"/>
        </w:rPr>
        <w:t xml:space="preserve">(42 U.S.C. § 12101(a)(5).) </w:t>
      </w:r>
      <w:r w:rsidR="00E069E2" w:rsidRPr="00CC12A4">
        <w:rPr>
          <w:rFonts w:eastAsia="Times New Roman" w:cs="Arial"/>
          <w:color w:val="000000"/>
        </w:rPr>
        <w:t xml:space="preserve">. . . </w:t>
      </w:r>
      <w:r w:rsidR="00CD27DD" w:rsidRPr="00CC12A4">
        <w:rPr>
          <w:rFonts w:eastAsia="Times New Roman" w:cs="Arial"/>
          <w:color w:val="000000"/>
        </w:rPr>
        <w:t>A reasonable interpretation of section 51, subdivision (f) is</w:t>
      </w:r>
      <w:r w:rsidR="00011063" w:rsidRPr="00CC12A4">
        <w:rPr>
          <w:rFonts w:eastAsia="Times New Roman" w:cs="Arial"/>
          <w:color w:val="000000"/>
        </w:rPr>
        <w:t>,</w:t>
      </w:r>
      <w:r w:rsidR="00CD27DD" w:rsidRPr="00CC12A4">
        <w:rPr>
          <w:rFonts w:eastAsia="Times New Roman" w:cs="Arial"/>
          <w:color w:val="000000"/>
        </w:rPr>
        <w:t xml:space="preserve"> therefore</w:t>
      </w:r>
      <w:r w:rsidR="00011063" w:rsidRPr="00CC12A4">
        <w:rPr>
          <w:rFonts w:eastAsia="Times New Roman" w:cs="Arial"/>
          <w:color w:val="000000"/>
        </w:rPr>
        <w:t>,</w:t>
      </w:r>
      <w:r w:rsidR="00CD27DD" w:rsidRPr="00CC12A4">
        <w:rPr>
          <w:rFonts w:eastAsia="Times New Roman" w:cs="Arial"/>
          <w:color w:val="000000"/>
        </w:rPr>
        <w:t xml:space="preserve"> that it, together with section 52, authorizes a private action for damages for ADA violations without proof of intentional discrimination.</w:t>
      </w:r>
      <w:r w:rsidR="00E069E2" w:rsidRPr="00CC12A4">
        <w:rPr>
          <w:rFonts w:eastAsia="Times New Roman" w:cs="Arial"/>
          <w:color w:val="000000"/>
        </w:rPr>
        <w:t>”  (</w:t>
      </w:r>
      <w:r w:rsidR="00E069E2" w:rsidRPr="00CC12A4">
        <w:rPr>
          <w:rFonts w:eastAsia="Times New Roman" w:cs="Arial"/>
          <w:i/>
          <w:iCs/>
          <w:color w:val="000000"/>
        </w:rPr>
        <w:t xml:space="preserve">Munson, supra, </w:t>
      </w:r>
      <w:r w:rsidR="00A01349" w:rsidRPr="00CC12A4">
        <w:rPr>
          <w:rFonts w:eastAsia="Times New Roman" w:cs="Arial"/>
          <w:color w:val="000000"/>
        </w:rPr>
        <w:t>46</w:t>
      </w:r>
      <w:r w:rsidR="009C7970">
        <w:rPr>
          <w:rFonts w:eastAsia="Times New Roman" w:cs="Arial"/>
          <w:color w:val="000000"/>
        </w:rPr>
        <w:t> </w:t>
      </w:r>
      <w:r w:rsidR="00A01349" w:rsidRPr="00CC12A4">
        <w:rPr>
          <w:rFonts w:eastAsia="Times New Roman" w:cs="Arial"/>
          <w:color w:val="000000"/>
        </w:rPr>
        <w:t xml:space="preserve">Cal.4th </w:t>
      </w:r>
      <w:r w:rsidR="00E069E2" w:rsidRPr="00CC12A4">
        <w:rPr>
          <w:rFonts w:eastAsia="Times New Roman" w:cs="Arial"/>
          <w:color w:val="000000"/>
        </w:rPr>
        <w:t>at p.</w:t>
      </w:r>
      <w:r w:rsidR="00377E46">
        <w:rPr>
          <w:rFonts w:eastAsia="Times New Roman" w:cs="Arial"/>
          <w:color w:val="000000"/>
        </w:rPr>
        <w:t> </w:t>
      </w:r>
      <w:r w:rsidR="00F37324" w:rsidRPr="00CC12A4">
        <w:rPr>
          <w:rFonts w:eastAsia="Times New Roman" w:cs="Arial"/>
          <w:color w:val="000000"/>
        </w:rPr>
        <w:t>670</w:t>
      </w:r>
      <w:r w:rsidR="00E069E2" w:rsidRPr="00CC12A4">
        <w:rPr>
          <w:rFonts w:eastAsia="Times New Roman" w:cs="Arial"/>
          <w:color w:val="000000"/>
        </w:rPr>
        <w:t>.)  “</w:t>
      </w:r>
      <w:r w:rsidR="00CD27DD" w:rsidRPr="00CC12A4">
        <w:rPr>
          <w:rFonts w:eastAsia="Times New Roman" w:cs="Arial"/>
          <w:color w:val="000000"/>
        </w:rPr>
        <w:t xml:space="preserve">The ADA, as explained above, permits a disabled individual denied access to public accommodations to recover damages in a government enforcement action only, not through a private action by the aggrieved person. </w:t>
      </w:r>
      <w:r w:rsidR="009F1757" w:rsidRPr="00CC12A4">
        <w:rPr>
          <w:rFonts w:eastAsia="Times New Roman" w:cs="Arial"/>
          <w:color w:val="000000"/>
        </w:rPr>
        <w:t xml:space="preserve"> </w:t>
      </w:r>
      <w:r w:rsidR="00CD27DD" w:rsidRPr="00CC12A4">
        <w:rPr>
          <w:rFonts w:eastAsia="Times New Roman" w:cs="Arial"/>
          <w:color w:val="000000"/>
        </w:rPr>
        <w:t>But by incorporating the ADA into the Unruh Civil Rights Act, California</w:t>
      </w:r>
      <w:r w:rsidR="009F1757" w:rsidRPr="00CC12A4">
        <w:rPr>
          <w:rFonts w:eastAsia="Times New Roman" w:cs="Arial"/>
          <w:color w:val="000000"/>
        </w:rPr>
        <w:t>’</w:t>
      </w:r>
      <w:r w:rsidR="00CD27DD" w:rsidRPr="00CC12A4">
        <w:rPr>
          <w:rFonts w:eastAsia="Times New Roman" w:cs="Arial"/>
          <w:color w:val="000000"/>
        </w:rPr>
        <w:t xml:space="preserve">s own civil rights law </w:t>
      </w:r>
      <w:r w:rsidR="00CD27DD" w:rsidRPr="00CC12A4">
        <w:rPr>
          <w:rFonts w:eastAsia="Times New Roman" w:cs="Arial"/>
          <w:i/>
          <w:iCs/>
          <w:color w:val="000000"/>
        </w:rPr>
        <w:t>covering public accommodations</w:t>
      </w:r>
      <w:r w:rsidR="00CD27DD" w:rsidRPr="00CC12A4">
        <w:rPr>
          <w:rFonts w:eastAsia="Times New Roman" w:cs="Arial"/>
          <w:color w:val="000000"/>
        </w:rPr>
        <w:t>, which does provide for such a private damages action, the Legislature has afforded this remedy to persons injured by a violation of the ADA.</w:t>
      </w:r>
      <w:r w:rsidR="00E069E2" w:rsidRPr="00CC12A4">
        <w:rPr>
          <w:rFonts w:eastAsia="Times New Roman" w:cs="Arial"/>
          <w:color w:val="000000"/>
        </w:rPr>
        <w:t>”  (</w:t>
      </w:r>
      <w:r w:rsidR="00F37324" w:rsidRPr="00CC12A4">
        <w:rPr>
          <w:rFonts w:eastAsia="Times New Roman" w:cs="Arial"/>
          <w:i/>
          <w:iCs/>
          <w:color w:val="000000"/>
        </w:rPr>
        <w:t xml:space="preserve">Id. </w:t>
      </w:r>
      <w:r w:rsidR="00E069E2" w:rsidRPr="00CC12A4">
        <w:rPr>
          <w:rFonts w:eastAsia="Times New Roman" w:cs="Arial"/>
          <w:color w:val="000000"/>
        </w:rPr>
        <w:t>at p. 67</w:t>
      </w:r>
      <w:r w:rsidR="00011063" w:rsidRPr="00CC12A4">
        <w:rPr>
          <w:rFonts w:eastAsia="Times New Roman" w:cs="Arial"/>
          <w:color w:val="000000"/>
        </w:rPr>
        <w:t>3</w:t>
      </w:r>
      <w:r w:rsidR="008F721E" w:rsidRPr="00CC12A4">
        <w:rPr>
          <w:rFonts w:eastAsia="Times New Roman" w:cs="Arial"/>
          <w:color w:val="000000"/>
        </w:rPr>
        <w:t>, italics added</w:t>
      </w:r>
      <w:r w:rsidR="00E069E2" w:rsidRPr="00CC12A4">
        <w:rPr>
          <w:rFonts w:eastAsia="Times New Roman" w:cs="Arial"/>
          <w:color w:val="000000"/>
        </w:rPr>
        <w:t>.)</w:t>
      </w:r>
    </w:p>
    <w:p w14:paraId="1A11154A" w14:textId="77777777" w:rsidR="00905E17" w:rsidRPr="00CC12A4" w:rsidRDefault="00E069E2" w:rsidP="00905E17">
      <w:pPr>
        <w:spacing w:line="360" w:lineRule="auto"/>
        <w:rPr>
          <w:rFonts w:eastAsia="Times New Roman" w:cs="Arial"/>
          <w:color w:val="000000"/>
        </w:rPr>
      </w:pPr>
      <w:r w:rsidRPr="00CC12A4">
        <w:rPr>
          <w:rFonts w:eastAsia="Times New Roman" w:cs="Arial"/>
          <w:color w:val="000000"/>
        </w:rPr>
        <w:tab/>
      </w:r>
      <w:r w:rsidR="00CD27DD" w:rsidRPr="00CC12A4">
        <w:rPr>
          <w:rFonts w:eastAsia="Times New Roman" w:cs="Arial"/>
          <w:color w:val="000000"/>
        </w:rPr>
        <w:t>The S</w:t>
      </w:r>
      <w:r w:rsidRPr="00CC12A4">
        <w:rPr>
          <w:rFonts w:eastAsia="Times New Roman" w:cs="Arial"/>
          <w:color w:val="000000"/>
        </w:rPr>
        <w:t xml:space="preserve">upreme Court’s discussion </w:t>
      </w:r>
      <w:r w:rsidR="00E50BED" w:rsidRPr="00CC12A4">
        <w:rPr>
          <w:rFonts w:eastAsia="Times New Roman" w:cs="Arial"/>
          <w:color w:val="000000"/>
        </w:rPr>
        <w:t xml:space="preserve">in </w:t>
      </w:r>
      <w:r w:rsidR="00E50BED" w:rsidRPr="00CC12A4">
        <w:rPr>
          <w:rFonts w:eastAsia="Times New Roman" w:cs="Arial"/>
          <w:i/>
          <w:iCs/>
          <w:color w:val="000000"/>
        </w:rPr>
        <w:t xml:space="preserve">Munson </w:t>
      </w:r>
      <w:r w:rsidRPr="00CC12A4">
        <w:rPr>
          <w:rFonts w:eastAsia="Times New Roman" w:cs="Arial"/>
          <w:color w:val="000000"/>
        </w:rPr>
        <w:t>of</w:t>
      </w:r>
      <w:r w:rsidR="00011063" w:rsidRPr="00CC12A4">
        <w:rPr>
          <w:rFonts w:eastAsia="Times New Roman" w:cs="Arial"/>
          <w:color w:val="000000"/>
        </w:rPr>
        <w:t xml:space="preserve"> </w:t>
      </w:r>
      <w:r w:rsidR="00377E46">
        <w:rPr>
          <w:rFonts w:eastAsia="Times New Roman" w:cs="Arial"/>
          <w:color w:val="000000"/>
        </w:rPr>
        <w:t xml:space="preserve">Civil Code </w:t>
      </w:r>
      <w:r w:rsidR="00011063" w:rsidRPr="00CC12A4">
        <w:rPr>
          <w:rFonts w:eastAsia="Times New Roman" w:cs="Arial"/>
          <w:color w:val="000000"/>
        </w:rPr>
        <w:t>section 51,</w:t>
      </w:r>
      <w:r w:rsidRPr="00CC12A4">
        <w:rPr>
          <w:rFonts w:eastAsia="Times New Roman" w:cs="Arial"/>
          <w:color w:val="000000"/>
        </w:rPr>
        <w:t xml:space="preserve"> </w:t>
      </w:r>
      <w:r w:rsidR="00CD27DD" w:rsidRPr="00CC12A4">
        <w:rPr>
          <w:rFonts w:eastAsia="Times New Roman" w:cs="Arial"/>
          <w:color w:val="000000"/>
        </w:rPr>
        <w:t>subdivision (f)</w:t>
      </w:r>
      <w:r w:rsidR="00E50BED" w:rsidRPr="00CC12A4">
        <w:rPr>
          <w:rFonts w:eastAsia="Times New Roman" w:cs="Arial"/>
          <w:color w:val="000000"/>
        </w:rPr>
        <w:t xml:space="preserve"> </w:t>
      </w:r>
      <w:r w:rsidR="00CD27DD" w:rsidRPr="00CC12A4">
        <w:rPr>
          <w:rFonts w:eastAsia="Times New Roman" w:cs="Arial"/>
          <w:color w:val="000000"/>
        </w:rPr>
        <w:t xml:space="preserve">tracks exactly </w:t>
      </w:r>
      <w:r w:rsidR="00DE61C2" w:rsidRPr="00CC12A4">
        <w:rPr>
          <w:rFonts w:eastAsia="Times New Roman" w:cs="Arial"/>
          <w:color w:val="000000"/>
        </w:rPr>
        <w:t>what we have discerned from the Unruh Act in its entirety and the legislative history of the 1992 amendment</w:t>
      </w:r>
      <w:r w:rsidR="00CD27DD" w:rsidRPr="00CC12A4">
        <w:rPr>
          <w:rFonts w:eastAsia="Times New Roman" w:cs="Arial"/>
          <w:color w:val="000000"/>
        </w:rPr>
        <w:t>—that the Act has always been, and remains, a business establishment</w:t>
      </w:r>
      <w:r w:rsidRPr="00CC12A4">
        <w:rPr>
          <w:rFonts w:eastAsia="Times New Roman" w:cs="Arial"/>
          <w:color w:val="000000"/>
        </w:rPr>
        <w:t xml:space="preserve"> </w:t>
      </w:r>
      <w:r w:rsidR="00CD27DD" w:rsidRPr="00CC12A4">
        <w:rPr>
          <w:rFonts w:eastAsia="Times New Roman" w:cs="Arial"/>
          <w:color w:val="000000"/>
        </w:rPr>
        <w:t xml:space="preserve">statute, </w:t>
      </w:r>
      <w:r w:rsidRPr="00CC12A4">
        <w:rPr>
          <w:rFonts w:eastAsia="Times New Roman" w:cs="Arial"/>
          <w:color w:val="000000"/>
        </w:rPr>
        <w:t xml:space="preserve">and </w:t>
      </w:r>
      <w:r w:rsidR="00E50BED" w:rsidRPr="00CC12A4">
        <w:rPr>
          <w:rFonts w:eastAsia="Times New Roman" w:cs="Arial"/>
          <w:color w:val="000000"/>
        </w:rPr>
        <w:t xml:space="preserve">that </w:t>
      </w:r>
      <w:r w:rsidRPr="00CC12A4">
        <w:rPr>
          <w:rFonts w:eastAsia="Times New Roman" w:cs="Arial"/>
          <w:color w:val="000000"/>
        </w:rPr>
        <w:t xml:space="preserve">it is violations of the ADA </w:t>
      </w:r>
      <w:r w:rsidRPr="00CC12A4">
        <w:rPr>
          <w:rFonts w:eastAsia="Times New Roman" w:cs="Arial"/>
          <w:i/>
          <w:iCs/>
          <w:color w:val="000000"/>
        </w:rPr>
        <w:t xml:space="preserve">by </w:t>
      </w:r>
      <w:r w:rsidRPr="00CC12A4">
        <w:rPr>
          <w:rFonts w:eastAsia="Times New Roman" w:cs="Arial"/>
          <w:color w:val="000000"/>
        </w:rPr>
        <w:t>business establishment</w:t>
      </w:r>
      <w:r w:rsidR="006B142F" w:rsidRPr="00CC12A4">
        <w:rPr>
          <w:rFonts w:eastAsia="Times New Roman" w:cs="Arial"/>
          <w:color w:val="000000"/>
        </w:rPr>
        <w:t>s</w:t>
      </w:r>
      <w:r w:rsidRPr="00CC12A4">
        <w:rPr>
          <w:rFonts w:eastAsia="Times New Roman" w:cs="Arial"/>
          <w:color w:val="000000"/>
        </w:rPr>
        <w:t xml:space="preserve"> (or, as denominated by the ADA, “public accom</w:t>
      </w:r>
      <w:r w:rsidR="00905E17" w:rsidRPr="00CC12A4">
        <w:rPr>
          <w:rFonts w:eastAsia="Times New Roman" w:cs="Arial"/>
          <w:color w:val="000000"/>
        </w:rPr>
        <w:t>mo</w:t>
      </w:r>
      <w:r w:rsidRPr="00CC12A4">
        <w:rPr>
          <w:rFonts w:eastAsia="Times New Roman" w:cs="Arial"/>
          <w:color w:val="000000"/>
        </w:rPr>
        <w:t>dation</w:t>
      </w:r>
      <w:r w:rsidR="006B142F" w:rsidRPr="00CC12A4">
        <w:rPr>
          <w:rFonts w:eastAsia="Times New Roman" w:cs="Arial"/>
          <w:color w:val="000000"/>
        </w:rPr>
        <w:t>s</w:t>
      </w:r>
      <w:r w:rsidRPr="00CC12A4">
        <w:rPr>
          <w:rFonts w:eastAsia="Times New Roman" w:cs="Arial"/>
          <w:color w:val="000000"/>
        </w:rPr>
        <w:t xml:space="preserve">”) </w:t>
      </w:r>
      <w:r w:rsidR="00905E17" w:rsidRPr="00CC12A4">
        <w:rPr>
          <w:rFonts w:eastAsia="Times New Roman" w:cs="Arial"/>
          <w:color w:val="000000"/>
        </w:rPr>
        <w:t>that are actionable as violation</w:t>
      </w:r>
      <w:r w:rsidR="00F37324" w:rsidRPr="00CC12A4">
        <w:rPr>
          <w:rFonts w:eastAsia="Times New Roman" w:cs="Arial"/>
          <w:color w:val="000000"/>
        </w:rPr>
        <w:t>s</w:t>
      </w:r>
      <w:r w:rsidR="00905E17" w:rsidRPr="00CC12A4">
        <w:rPr>
          <w:rFonts w:eastAsia="Times New Roman" w:cs="Arial"/>
          <w:color w:val="000000"/>
        </w:rPr>
        <w:t xml:space="preserve"> of the Unruh Act under </w:t>
      </w:r>
      <w:r w:rsidR="009C7970">
        <w:rPr>
          <w:rFonts w:eastAsia="Times New Roman" w:cs="Arial"/>
          <w:color w:val="000000"/>
        </w:rPr>
        <w:t xml:space="preserve">Civil Code section 51, </w:t>
      </w:r>
      <w:r w:rsidR="00905E17" w:rsidRPr="00CC12A4">
        <w:rPr>
          <w:rFonts w:eastAsia="Times New Roman" w:cs="Arial"/>
          <w:color w:val="000000"/>
        </w:rPr>
        <w:t xml:space="preserve">subdivision (f).  </w:t>
      </w:r>
    </w:p>
    <w:p w14:paraId="1C6A800B" w14:textId="77777777" w:rsidR="00905E17" w:rsidRPr="00CC12A4" w:rsidRDefault="00905E17" w:rsidP="00905E17">
      <w:pPr>
        <w:spacing w:line="360" w:lineRule="auto"/>
        <w:rPr>
          <w:rFonts w:eastAsia="Times New Roman" w:cs="Arial"/>
          <w:color w:val="000000"/>
        </w:rPr>
      </w:pPr>
      <w:r w:rsidRPr="00CC12A4">
        <w:rPr>
          <w:rFonts w:eastAsia="Times New Roman" w:cs="Arial"/>
          <w:color w:val="000000"/>
        </w:rPr>
        <w:lastRenderedPageBreak/>
        <w:tab/>
        <w:t xml:space="preserve">In </w:t>
      </w:r>
      <w:proofErr w:type="spellStart"/>
      <w:r w:rsidR="00CD27DD" w:rsidRPr="00CC12A4">
        <w:rPr>
          <w:rFonts w:eastAsia="Times New Roman" w:cs="Arial"/>
          <w:i/>
          <w:iCs/>
          <w:color w:val="000000"/>
        </w:rPr>
        <w:t>Jankey</w:t>
      </w:r>
      <w:proofErr w:type="spellEnd"/>
      <w:r w:rsidR="00CD27DD" w:rsidRPr="00CC12A4">
        <w:rPr>
          <w:rFonts w:eastAsia="Times New Roman" w:cs="Arial"/>
          <w:i/>
          <w:iCs/>
          <w:color w:val="000000"/>
        </w:rPr>
        <w:t xml:space="preserve"> v. Lee</w:t>
      </w:r>
      <w:r w:rsidR="00CD27DD" w:rsidRPr="00CC12A4">
        <w:rPr>
          <w:rFonts w:eastAsia="Times New Roman" w:cs="Arial"/>
          <w:color w:val="000000"/>
        </w:rPr>
        <w:t xml:space="preserve"> (2012) 55 Cal.4th 1038</w:t>
      </w:r>
      <w:r w:rsidRPr="00CC12A4">
        <w:rPr>
          <w:rFonts w:eastAsia="Times New Roman" w:cs="Arial"/>
          <w:color w:val="000000"/>
        </w:rPr>
        <w:t xml:space="preserve"> (</w:t>
      </w:r>
      <w:proofErr w:type="spellStart"/>
      <w:r w:rsidRPr="00CC12A4">
        <w:rPr>
          <w:rFonts w:eastAsia="Times New Roman" w:cs="Arial"/>
          <w:i/>
          <w:iCs/>
          <w:color w:val="000000"/>
        </w:rPr>
        <w:t>Jankey</w:t>
      </w:r>
      <w:proofErr w:type="spellEnd"/>
      <w:r w:rsidRPr="00CC12A4">
        <w:rPr>
          <w:rFonts w:eastAsia="Times New Roman" w:cs="Arial"/>
          <w:color w:val="000000"/>
        </w:rPr>
        <w:t xml:space="preserve">), </w:t>
      </w:r>
      <w:r w:rsidR="008F721E" w:rsidRPr="00CC12A4">
        <w:rPr>
          <w:rFonts w:eastAsia="Times New Roman" w:cs="Arial"/>
          <w:color w:val="000000"/>
        </w:rPr>
        <w:t>our</w:t>
      </w:r>
      <w:r w:rsidRPr="00CC12A4">
        <w:rPr>
          <w:rFonts w:eastAsia="Times New Roman" w:cs="Arial"/>
          <w:color w:val="000000"/>
        </w:rPr>
        <w:t xml:space="preserve"> high court considered whether a small grocer who prevailed in a disability access case was entitled to </w:t>
      </w:r>
      <w:r w:rsidR="00DE61C2" w:rsidRPr="00CC12A4">
        <w:rPr>
          <w:rFonts w:eastAsia="Times New Roman" w:cs="Arial"/>
          <w:color w:val="000000"/>
        </w:rPr>
        <w:t xml:space="preserve">statutory </w:t>
      </w:r>
      <w:r w:rsidRPr="00CC12A4">
        <w:rPr>
          <w:rFonts w:eastAsia="Times New Roman" w:cs="Arial"/>
          <w:color w:val="000000"/>
        </w:rPr>
        <w:t>attorney fees under the state</w:t>
      </w:r>
      <w:r w:rsidR="008F721E" w:rsidRPr="00CC12A4">
        <w:rPr>
          <w:rFonts w:eastAsia="Times New Roman" w:cs="Arial"/>
          <w:color w:val="000000"/>
        </w:rPr>
        <w:t>’s</w:t>
      </w:r>
      <w:r w:rsidRPr="00CC12A4">
        <w:rPr>
          <w:rFonts w:eastAsia="Times New Roman" w:cs="Arial"/>
          <w:color w:val="000000"/>
        </w:rPr>
        <w:t xml:space="preserve"> Disabled Persons Act </w:t>
      </w:r>
      <w:r w:rsidR="008F721E" w:rsidRPr="00CC12A4">
        <w:rPr>
          <w:rFonts w:eastAsia="Times New Roman" w:cs="Arial"/>
          <w:color w:val="000000"/>
        </w:rPr>
        <w:t>(DPA</w:t>
      </w:r>
      <w:r w:rsidR="00311882" w:rsidRPr="00CC12A4">
        <w:rPr>
          <w:rFonts w:eastAsia="Times New Roman" w:cs="Arial"/>
          <w:color w:val="000000"/>
        </w:rPr>
        <w:t xml:space="preserve">) </w:t>
      </w:r>
      <w:r w:rsidRPr="00CC12A4">
        <w:rPr>
          <w:rFonts w:eastAsia="Times New Roman" w:cs="Arial"/>
          <w:color w:val="000000"/>
        </w:rPr>
        <w:t>(Civ. Code</w:t>
      </w:r>
      <w:r w:rsidR="002F6596" w:rsidRPr="00CC12A4">
        <w:rPr>
          <w:rFonts w:eastAsia="Times New Roman" w:cs="Arial"/>
          <w:color w:val="000000"/>
        </w:rPr>
        <w:t>,</w:t>
      </w:r>
      <w:r w:rsidRPr="00CC12A4">
        <w:rPr>
          <w:rFonts w:eastAsia="Times New Roman" w:cs="Arial"/>
          <w:color w:val="000000"/>
        </w:rPr>
        <w:t xml:space="preserve"> </w:t>
      </w:r>
      <w:r w:rsidR="002F6596" w:rsidRPr="00CC12A4">
        <w:rPr>
          <w:rFonts w:eastAsia="Times New Roman" w:cs="Arial"/>
          <w:color w:val="000000"/>
        </w:rPr>
        <w:t>§</w:t>
      </w:r>
      <w:r w:rsidRPr="00CC12A4">
        <w:rPr>
          <w:rFonts w:eastAsia="Times New Roman" w:cs="Arial"/>
          <w:color w:val="000000"/>
        </w:rPr>
        <w:t xml:space="preserve"> 5</w:t>
      </w:r>
      <w:r w:rsidR="003A6A4B" w:rsidRPr="00CC12A4">
        <w:rPr>
          <w:rFonts w:eastAsia="Times New Roman" w:cs="Arial"/>
          <w:color w:val="000000"/>
        </w:rPr>
        <w:t>4</w:t>
      </w:r>
      <w:r w:rsidRPr="00CC12A4">
        <w:rPr>
          <w:rFonts w:eastAsia="Times New Roman" w:cs="Arial"/>
          <w:color w:val="000000"/>
        </w:rPr>
        <w:t xml:space="preserve">).  The court concluded he was.  </w:t>
      </w:r>
      <w:r w:rsidR="00300485" w:rsidRPr="00CC12A4">
        <w:rPr>
          <w:rFonts w:eastAsia="Times New Roman" w:cs="Arial"/>
          <w:color w:val="000000"/>
        </w:rPr>
        <w:t>What is of interest in the instant case is the court’s discussion of the Unruh Act and the D</w:t>
      </w:r>
      <w:r w:rsidR="00311882" w:rsidRPr="00CC12A4">
        <w:rPr>
          <w:rFonts w:eastAsia="Times New Roman" w:cs="Arial"/>
          <w:color w:val="000000"/>
        </w:rPr>
        <w:t>PA</w:t>
      </w:r>
      <w:r w:rsidR="00300485" w:rsidRPr="00CC12A4">
        <w:rPr>
          <w:rFonts w:eastAsia="Times New Roman" w:cs="Arial"/>
          <w:color w:val="000000"/>
        </w:rPr>
        <w:t xml:space="preserve">—the </w:t>
      </w:r>
      <w:r w:rsidRPr="00CC12A4">
        <w:rPr>
          <w:rFonts w:eastAsia="Times New Roman" w:cs="Arial"/>
          <w:color w:val="000000"/>
        </w:rPr>
        <w:t>“[t]</w:t>
      </w:r>
      <w:r w:rsidR="00CD27DD" w:rsidRPr="00CC12A4">
        <w:rPr>
          <w:rFonts w:eastAsia="Times New Roman" w:cs="Arial"/>
          <w:color w:val="000000"/>
        </w:rPr>
        <w:t>wo overlapping laws</w:t>
      </w:r>
      <w:r w:rsidR="00300485" w:rsidRPr="00CC12A4">
        <w:rPr>
          <w:rFonts w:eastAsia="Times New Roman" w:cs="Arial"/>
          <w:color w:val="000000"/>
        </w:rPr>
        <w:t>” that “</w:t>
      </w:r>
      <w:r w:rsidR="00CD27DD" w:rsidRPr="00CC12A4">
        <w:rPr>
          <w:rFonts w:eastAsia="Times New Roman" w:cs="Arial"/>
          <w:color w:val="000000"/>
        </w:rPr>
        <w:t>are the principal sources of state disability access protection.</w:t>
      </w:r>
      <w:r w:rsidRPr="00CC12A4">
        <w:rPr>
          <w:rFonts w:eastAsia="Times New Roman" w:cs="Arial"/>
          <w:color w:val="000000"/>
        </w:rPr>
        <w:t>”  (</w:t>
      </w:r>
      <w:proofErr w:type="spellStart"/>
      <w:r w:rsidRPr="00CC12A4">
        <w:rPr>
          <w:rFonts w:eastAsia="Times New Roman" w:cs="Arial"/>
          <w:i/>
          <w:iCs/>
          <w:color w:val="000000"/>
        </w:rPr>
        <w:t>Jankey</w:t>
      </w:r>
      <w:proofErr w:type="spellEnd"/>
      <w:r w:rsidRPr="00CC12A4">
        <w:rPr>
          <w:rFonts w:eastAsia="Times New Roman" w:cs="Arial"/>
          <w:i/>
          <w:iCs/>
          <w:color w:val="000000"/>
        </w:rPr>
        <w:t xml:space="preserve">, </w:t>
      </w:r>
      <w:r w:rsidRPr="00CC12A4">
        <w:rPr>
          <w:rFonts w:eastAsia="Times New Roman" w:cs="Arial"/>
          <w:color w:val="000000"/>
        </w:rPr>
        <w:t xml:space="preserve">at p. 1044.)  </w:t>
      </w:r>
    </w:p>
    <w:p w14:paraId="3CBED666" w14:textId="77777777" w:rsidR="00300485" w:rsidRPr="00CC12A4" w:rsidRDefault="00905E17" w:rsidP="00300485">
      <w:pPr>
        <w:spacing w:line="360" w:lineRule="auto"/>
        <w:rPr>
          <w:rFonts w:eastAsia="Times New Roman" w:cs="Arial"/>
          <w:color w:val="000000"/>
        </w:rPr>
      </w:pPr>
      <w:r w:rsidRPr="00CC12A4">
        <w:rPr>
          <w:rFonts w:eastAsia="Times New Roman" w:cs="Arial"/>
          <w:color w:val="000000"/>
        </w:rPr>
        <w:tab/>
      </w:r>
      <w:r w:rsidR="00CD27DD" w:rsidRPr="00CC12A4">
        <w:rPr>
          <w:rFonts w:eastAsia="Times New Roman" w:cs="Arial"/>
          <w:color w:val="000000"/>
        </w:rPr>
        <w:t>“The Unruh Civil Rights Act</w:t>
      </w:r>
      <w:r w:rsidR="00300485" w:rsidRPr="00CC12A4">
        <w:rPr>
          <w:rFonts w:eastAsia="Times New Roman" w:cs="Arial"/>
          <w:color w:val="000000"/>
        </w:rPr>
        <w:t>,” said the court,</w:t>
      </w:r>
      <w:r w:rsidR="00CD27DD" w:rsidRPr="00CC12A4">
        <w:rPr>
          <w:rFonts w:eastAsia="Times New Roman" w:cs="Arial"/>
          <w:color w:val="000000"/>
        </w:rPr>
        <w:t xml:space="preserve"> </w:t>
      </w:r>
      <w:r w:rsidR="00300485" w:rsidRPr="00CC12A4">
        <w:rPr>
          <w:rFonts w:eastAsia="Times New Roman" w:cs="Arial"/>
          <w:color w:val="000000"/>
        </w:rPr>
        <w:t>“</w:t>
      </w:r>
      <w:r w:rsidR="00CD27DD" w:rsidRPr="00CC12A4">
        <w:rPr>
          <w:rFonts w:eastAsia="Times New Roman" w:cs="Arial"/>
          <w:color w:val="000000"/>
        </w:rPr>
        <w:t xml:space="preserve">broadly </w:t>
      </w:r>
      <w:proofErr w:type="gramStart"/>
      <w:r w:rsidR="00CD27DD" w:rsidRPr="00CC12A4">
        <w:rPr>
          <w:rFonts w:eastAsia="Times New Roman" w:cs="Arial"/>
          <w:color w:val="000000"/>
        </w:rPr>
        <w:t>outlaws</w:t>
      </w:r>
      <w:proofErr w:type="gramEnd"/>
      <w:r w:rsidR="00CD27DD" w:rsidRPr="00CC12A4">
        <w:rPr>
          <w:rFonts w:eastAsia="Times New Roman" w:cs="Arial"/>
          <w:color w:val="000000"/>
        </w:rPr>
        <w:t xml:space="preserve"> arbitrary discrimination in </w:t>
      </w:r>
      <w:r w:rsidR="00CD27DD" w:rsidRPr="00CC12A4">
        <w:rPr>
          <w:rFonts w:eastAsia="Times New Roman" w:cs="Arial"/>
          <w:i/>
          <w:iCs/>
          <w:color w:val="000000"/>
        </w:rPr>
        <w:t>public accommodations</w:t>
      </w:r>
      <w:r w:rsidR="00CD27DD" w:rsidRPr="00CC12A4">
        <w:rPr>
          <w:rFonts w:eastAsia="Times New Roman" w:cs="Arial"/>
          <w:color w:val="000000"/>
        </w:rPr>
        <w:t xml:space="preserve"> and includes disability as one among many prohibited bases.</w:t>
      </w:r>
      <w:r w:rsidR="003A6A4B" w:rsidRPr="00CC12A4">
        <w:rPr>
          <w:rFonts w:eastAsia="Times New Roman" w:cs="Arial"/>
          <w:color w:val="000000"/>
        </w:rPr>
        <w:t xml:space="preserve"> </w:t>
      </w:r>
      <w:r w:rsidR="00CD27DD" w:rsidRPr="00CC12A4">
        <w:rPr>
          <w:rFonts w:eastAsia="Times New Roman" w:cs="Arial"/>
          <w:color w:val="000000"/>
        </w:rPr>
        <w:t xml:space="preserve"> (</w:t>
      </w:r>
      <w:r w:rsidR="00377E46">
        <w:rPr>
          <w:rFonts w:eastAsia="Times New Roman" w:cs="Arial"/>
          <w:color w:val="000000"/>
        </w:rPr>
        <w:t xml:space="preserve">[Civ. Code,] </w:t>
      </w:r>
      <w:r w:rsidR="00CD27DD" w:rsidRPr="00CC12A4">
        <w:rPr>
          <w:rFonts w:eastAsia="Times New Roman" w:cs="Arial"/>
          <w:color w:val="000000"/>
        </w:rPr>
        <w:t xml:space="preserve">§ 51, </w:t>
      </w:r>
      <w:proofErr w:type="spellStart"/>
      <w:r w:rsidR="00CD27DD" w:rsidRPr="00CC12A4">
        <w:rPr>
          <w:rFonts w:eastAsia="Times New Roman" w:cs="Arial"/>
          <w:color w:val="000000"/>
        </w:rPr>
        <w:t>subd</w:t>
      </w:r>
      <w:proofErr w:type="spellEnd"/>
      <w:r w:rsidR="00CD27DD" w:rsidRPr="00CC12A4">
        <w:rPr>
          <w:rFonts w:eastAsia="Times New Roman" w:cs="Arial"/>
          <w:color w:val="000000"/>
        </w:rPr>
        <w:t xml:space="preserve">. (b).) </w:t>
      </w:r>
      <w:r w:rsidRPr="00CC12A4">
        <w:rPr>
          <w:rFonts w:eastAsia="Times New Roman" w:cs="Arial"/>
          <w:color w:val="000000"/>
        </w:rPr>
        <w:t xml:space="preserve"> </w:t>
      </w:r>
      <w:r w:rsidR="00CD27DD" w:rsidRPr="00CC12A4">
        <w:rPr>
          <w:rFonts w:eastAsia="Times New Roman" w:cs="Arial"/>
          <w:color w:val="000000"/>
        </w:rPr>
        <w:t>As part of the 1992 reformation of state disability law, the Legislature amended the</w:t>
      </w:r>
      <w:r w:rsidRPr="00CC12A4">
        <w:rPr>
          <w:rFonts w:eastAsia="Times New Roman" w:cs="Arial"/>
          <w:color w:val="000000"/>
        </w:rPr>
        <w:t xml:space="preserve"> [Act]</w:t>
      </w:r>
      <w:r w:rsidR="00CD27DD" w:rsidRPr="00CC12A4">
        <w:rPr>
          <w:rFonts w:eastAsia="Times New Roman" w:cs="Arial"/>
          <w:color w:val="000000"/>
        </w:rPr>
        <w:t xml:space="preserve"> to incorporate by reference the ADA, making violations of the ADA per se violations of the </w:t>
      </w:r>
      <w:r w:rsidR="003A6A4B" w:rsidRPr="00CC12A4">
        <w:rPr>
          <w:rFonts w:eastAsia="Times New Roman" w:cs="Arial"/>
          <w:color w:val="000000"/>
        </w:rPr>
        <w:t xml:space="preserve">. . . </w:t>
      </w:r>
      <w:r w:rsidR="00CD27DD" w:rsidRPr="00CC12A4">
        <w:rPr>
          <w:rFonts w:eastAsia="Times New Roman" w:cs="Arial"/>
          <w:color w:val="000000"/>
        </w:rPr>
        <w:t>Act.</w:t>
      </w:r>
      <w:r w:rsidR="003A6A4B" w:rsidRPr="00CC12A4">
        <w:rPr>
          <w:rFonts w:eastAsia="Times New Roman" w:cs="Arial"/>
          <w:color w:val="000000"/>
        </w:rPr>
        <w:t xml:space="preserve"> </w:t>
      </w:r>
      <w:r w:rsidR="00CD27DD" w:rsidRPr="00CC12A4">
        <w:rPr>
          <w:rFonts w:eastAsia="Times New Roman" w:cs="Arial"/>
          <w:color w:val="000000"/>
        </w:rPr>
        <w:t xml:space="preserve"> (</w:t>
      </w:r>
      <w:r w:rsidR="00377E46">
        <w:rPr>
          <w:rFonts w:eastAsia="Times New Roman" w:cs="Arial"/>
          <w:color w:val="000000"/>
        </w:rPr>
        <w:t xml:space="preserve">[Civ. Code,] </w:t>
      </w:r>
      <w:r w:rsidR="00CD27DD" w:rsidRPr="00CC12A4">
        <w:rPr>
          <w:rFonts w:eastAsia="Times New Roman" w:cs="Arial"/>
          <w:color w:val="000000"/>
        </w:rPr>
        <w:t xml:space="preserve">§ 51, </w:t>
      </w:r>
      <w:proofErr w:type="spellStart"/>
      <w:r w:rsidR="00CD27DD" w:rsidRPr="00CC12A4">
        <w:rPr>
          <w:rFonts w:eastAsia="Times New Roman" w:cs="Arial"/>
          <w:color w:val="000000"/>
        </w:rPr>
        <w:t>subd</w:t>
      </w:r>
      <w:proofErr w:type="spellEnd"/>
      <w:r w:rsidR="00CD27DD" w:rsidRPr="00CC12A4">
        <w:rPr>
          <w:rFonts w:eastAsia="Times New Roman" w:cs="Arial"/>
          <w:color w:val="000000"/>
        </w:rPr>
        <w:t xml:space="preserve">. (f); </w:t>
      </w:r>
      <w:r w:rsidR="00CD27DD" w:rsidRPr="00CC12A4">
        <w:rPr>
          <w:rFonts w:eastAsia="Times New Roman" w:cs="Arial"/>
          <w:i/>
          <w:iCs/>
          <w:color w:val="000000"/>
        </w:rPr>
        <w:t>Munson</w:t>
      </w:r>
      <w:r w:rsidR="004927E0" w:rsidRPr="00CC12A4">
        <w:rPr>
          <w:rFonts w:eastAsia="Times New Roman" w:cs="Arial"/>
          <w:i/>
          <w:iCs/>
          <w:color w:val="000000"/>
        </w:rPr>
        <w:t xml:space="preserve"> </w:t>
      </w:r>
      <w:r w:rsidR="004927E0" w:rsidRPr="00CC12A4">
        <w:rPr>
          <w:rFonts w:eastAsia="Times New Roman" w:cs="Arial"/>
          <w:color w:val="000000"/>
        </w:rPr>
        <w:t>[</w:t>
      </w:r>
      <w:r w:rsidR="004927E0" w:rsidRPr="00CC12A4">
        <w:rPr>
          <w:rFonts w:eastAsia="Times New Roman" w:cs="Arial"/>
          <w:i/>
          <w:iCs/>
          <w:color w:val="000000"/>
        </w:rPr>
        <w:t>,supra,</w:t>
      </w:r>
      <w:r w:rsidR="004927E0" w:rsidRPr="00CC12A4">
        <w:rPr>
          <w:rFonts w:eastAsia="Times New Roman" w:cs="Arial"/>
          <w:color w:val="000000"/>
        </w:rPr>
        <w:t>]</w:t>
      </w:r>
      <w:r w:rsidR="00CD27DD" w:rsidRPr="00CC12A4">
        <w:rPr>
          <w:rFonts w:eastAsia="Times New Roman" w:cs="Arial"/>
          <w:color w:val="000000"/>
        </w:rPr>
        <w:t xml:space="preserve"> 46</w:t>
      </w:r>
      <w:r w:rsidR="00377E46">
        <w:rPr>
          <w:rFonts w:eastAsia="Times New Roman" w:cs="Arial"/>
          <w:color w:val="000000"/>
        </w:rPr>
        <w:t> </w:t>
      </w:r>
      <w:r w:rsidR="00CD27DD" w:rsidRPr="00CC12A4">
        <w:rPr>
          <w:rFonts w:eastAsia="Times New Roman" w:cs="Arial"/>
          <w:color w:val="000000"/>
        </w:rPr>
        <w:t>Cal.4th at pp.</w:t>
      </w:r>
      <w:r w:rsidR="003A6A4B" w:rsidRPr="00CC12A4">
        <w:rPr>
          <w:rFonts w:eastAsia="Times New Roman" w:cs="Arial"/>
          <w:color w:val="000000"/>
        </w:rPr>
        <w:t> </w:t>
      </w:r>
      <w:r w:rsidR="00CD27DD" w:rsidRPr="00CC12A4">
        <w:rPr>
          <w:rFonts w:eastAsia="Times New Roman" w:cs="Arial"/>
          <w:color w:val="000000"/>
        </w:rPr>
        <w:t>668–669</w:t>
      </w:r>
      <w:r w:rsidR="003A6A4B" w:rsidRPr="00CC12A4">
        <w:rPr>
          <w:rFonts w:eastAsia="Times New Roman" w:cs="Arial"/>
          <w:color w:val="000000"/>
        </w:rPr>
        <w:t xml:space="preserve">.)  </w:t>
      </w:r>
      <w:r w:rsidR="00CD27DD" w:rsidRPr="00CC12A4">
        <w:rPr>
          <w:rFonts w:eastAsia="Times New Roman" w:cs="Arial"/>
          <w:color w:val="000000"/>
        </w:rPr>
        <w:t xml:space="preserve">This amendment was intended to extend to disabled individuals aggrieved by an ADA violation the full panoply of Unruh Civil Rights Act remedies. </w:t>
      </w:r>
      <w:r w:rsidR="004927E0" w:rsidRPr="00CC12A4">
        <w:rPr>
          <w:rFonts w:eastAsia="Times New Roman" w:cs="Arial"/>
          <w:noProof/>
          <w:vanish/>
          <w:color w:val="000000"/>
          <w:shd w:val="clear" w:color="auto" w:fill="FFFFFF"/>
        </w:rPr>
        <w:t xml:space="preserve"> </w:t>
      </w:r>
      <w:r w:rsidR="00CD27DD" w:rsidRPr="00CC12A4">
        <w:rPr>
          <w:rFonts w:eastAsia="Times New Roman" w:cs="Arial"/>
          <w:color w:val="000000"/>
        </w:rPr>
        <w:t>(</w:t>
      </w:r>
      <w:r w:rsidR="00CD27DD" w:rsidRPr="00CC12A4">
        <w:rPr>
          <w:rFonts w:eastAsia="Times New Roman" w:cs="Arial"/>
          <w:i/>
          <w:iCs/>
          <w:color w:val="000000"/>
        </w:rPr>
        <w:t>Munson,</w:t>
      </w:r>
      <w:r w:rsidR="00CD27DD" w:rsidRPr="00CC12A4">
        <w:rPr>
          <w:rFonts w:eastAsia="Times New Roman" w:cs="Arial"/>
          <w:color w:val="000000"/>
        </w:rPr>
        <w:t xml:space="preserve"> at p. 673</w:t>
      </w:r>
      <w:r w:rsidR="003A6A4B" w:rsidRPr="00CC12A4">
        <w:rPr>
          <w:rFonts w:eastAsia="Times New Roman" w:cs="Arial"/>
          <w:color w:val="000000"/>
        </w:rPr>
        <w:t>.</w:t>
      </w:r>
      <w:r w:rsidR="00CD27DD" w:rsidRPr="00CC12A4">
        <w:rPr>
          <w:rFonts w:eastAsia="Times New Roman" w:cs="Arial"/>
          <w:color w:val="000000"/>
        </w:rPr>
        <w:t xml:space="preserve">) </w:t>
      </w:r>
      <w:r w:rsidR="004927E0" w:rsidRPr="00CC12A4">
        <w:rPr>
          <w:rFonts w:eastAsia="Times New Roman" w:cs="Arial"/>
          <w:color w:val="000000"/>
        </w:rPr>
        <w:t xml:space="preserve"> </w:t>
      </w:r>
      <w:r w:rsidR="00CD27DD" w:rsidRPr="00CC12A4">
        <w:rPr>
          <w:rFonts w:eastAsia="Times New Roman" w:cs="Arial"/>
          <w:color w:val="000000"/>
        </w:rPr>
        <w:t xml:space="preserve">These include injunctive relief, actual damages (and in </w:t>
      </w:r>
      <w:proofErr w:type="gramStart"/>
      <w:r w:rsidR="00CD27DD" w:rsidRPr="00CC12A4">
        <w:rPr>
          <w:rFonts w:eastAsia="Times New Roman" w:cs="Arial"/>
          <w:color w:val="000000"/>
        </w:rPr>
        <w:t>some</w:t>
      </w:r>
      <w:proofErr w:type="gramEnd"/>
      <w:r w:rsidR="00CD27DD" w:rsidRPr="00CC12A4">
        <w:rPr>
          <w:rFonts w:eastAsia="Times New Roman" w:cs="Arial"/>
          <w:color w:val="000000"/>
        </w:rPr>
        <w:t xml:space="preserve"> cases as much as treble damages), and a minimum statutory award of $4,000 per violation.</w:t>
      </w:r>
      <w:r w:rsidR="004927E0" w:rsidRPr="00CC12A4">
        <w:rPr>
          <w:rFonts w:eastAsia="Times New Roman" w:cs="Arial"/>
          <w:color w:val="000000"/>
        </w:rPr>
        <w:t xml:space="preserve"> </w:t>
      </w:r>
      <w:r w:rsidR="00CD27DD" w:rsidRPr="00CC12A4">
        <w:rPr>
          <w:rFonts w:eastAsia="Times New Roman" w:cs="Arial"/>
          <w:color w:val="000000"/>
        </w:rPr>
        <w:t xml:space="preserve"> (</w:t>
      </w:r>
      <w:r w:rsidR="00377E46">
        <w:rPr>
          <w:rFonts w:eastAsia="Times New Roman" w:cs="Arial"/>
          <w:color w:val="000000"/>
        </w:rPr>
        <w:t xml:space="preserve">[Civ. Code,] </w:t>
      </w:r>
      <w:r w:rsidR="00CD27DD" w:rsidRPr="00CC12A4">
        <w:rPr>
          <w:rFonts w:eastAsia="Times New Roman" w:cs="Arial"/>
          <w:color w:val="000000"/>
        </w:rPr>
        <w:t>§ 52, subds. (a), (c)(3)</w:t>
      </w:r>
      <w:r w:rsidR="004927E0" w:rsidRPr="00CC12A4">
        <w:rPr>
          <w:rFonts w:eastAsia="Times New Roman" w:cs="Arial"/>
          <w:color w:val="000000"/>
        </w:rPr>
        <w:t>.</w:t>
      </w:r>
      <w:r w:rsidR="00300485" w:rsidRPr="00CC12A4">
        <w:rPr>
          <w:rFonts w:eastAsia="Times New Roman" w:cs="Arial"/>
          <w:color w:val="000000"/>
        </w:rPr>
        <w:t>)”  (</w:t>
      </w:r>
      <w:proofErr w:type="spellStart"/>
      <w:r w:rsidR="00300485" w:rsidRPr="00CC12A4">
        <w:rPr>
          <w:rFonts w:eastAsia="Times New Roman" w:cs="Arial"/>
          <w:i/>
          <w:iCs/>
          <w:color w:val="000000"/>
        </w:rPr>
        <w:t>Jankey</w:t>
      </w:r>
      <w:proofErr w:type="spellEnd"/>
      <w:r w:rsidR="00300485" w:rsidRPr="00CC12A4">
        <w:rPr>
          <w:rFonts w:eastAsia="Times New Roman" w:cs="Arial"/>
          <w:i/>
          <w:iCs/>
          <w:color w:val="000000"/>
        </w:rPr>
        <w:t xml:space="preserve">, </w:t>
      </w:r>
      <w:r w:rsidR="00A01349" w:rsidRPr="00CC12A4">
        <w:rPr>
          <w:rFonts w:eastAsia="Times New Roman" w:cs="Arial"/>
          <w:i/>
          <w:iCs/>
          <w:color w:val="000000"/>
        </w:rPr>
        <w:t xml:space="preserve">supra, </w:t>
      </w:r>
      <w:r w:rsidR="00A01349" w:rsidRPr="00CC12A4">
        <w:rPr>
          <w:rFonts w:eastAsia="Times New Roman" w:cs="Arial"/>
          <w:color w:val="000000"/>
        </w:rPr>
        <w:t xml:space="preserve">55 Cal.4th </w:t>
      </w:r>
      <w:r w:rsidR="00300485" w:rsidRPr="00CC12A4">
        <w:rPr>
          <w:rFonts w:eastAsia="Times New Roman" w:cs="Arial"/>
          <w:color w:val="000000"/>
        </w:rPr>
        <w:t>at p. 1044</w:t>
      </w:r>
      <w:r w:rsidR="00F37324" w:rsidRPr="00CC12A4">
        <w:rPr>
          <w:rFonts w:eastAsia="Times New Roman" w:cs="Arial"/>
          <w:color w:val="000000"/>
        </w:rPr>
        <w:t>, italics added</w:t>
      </w:r>
      <w:r w:rsidR="00300485" w:rsidRPr="00CC12A4">
        <w:rPr>
          <w:rFonts w:eastAsia="Times New Roman" w:cs="Arial"/>
          <w:color w:val="000000"/>
        </w:rPr>
        <w:t xml:space="preserve">.)  </w:t>
      </w:r>
    </w:p>
    <w:p w14:paraId="0033EDEF" w14:textId="77777777" w:rsidR="00CD27DD" w:rsidRPr="00CC12A4" w:rsidRDefault="00300485" w:rsidP="00300485">
      <w:pPr>
        <w:spacing w:line="360" w:lineRule="auto"/>
        <w:rPr>
          <w:rFonts w:eastAsia="Times New Roman" w:cs="Arial"/>
          <w:color w:val="000000"/>
        </w:rPr>
      </w:pPr>
      <w:r w:rsidRPr="00CC12A4">
        <w:rPr>
          <w:rFonts w:eastAsia="Times New Roman" w:cs="Arial"/>
          <w:color w:val="000000"/>
        </w:rPr>
        <w:tab/>
      </w:r>
      <w:r w:rsidR="00CD27DD" w:rsidRPr="00CC12A4">
        <w:rPr>
          <w:rFonts w:eastAsia="Times New Roman" w:cs="Arial"/>
          <w:color w:val="000000"/>
        </w:rPr>
        <w:t xml:space="preserve">The </w:t>
      </w:r>
      <w:r w:rsidR="00311882" w:rsidRPr="00CC12A4">
        <w:rPr>
          <w:rFonts w:eastAsia="Times New Roman" w:cs="Arial"/>
          <w:color w:val="000000"/>
        </w:rPr>
        <w:t>DPA “</w:t>
      </w:r>
      <w:r w:rsidR="00CD27DD" w:rsidRPr="00CC12A4">
        <w:rPr>
          <w:rFonts w:eastAsia="Times New Roman" w:cs="Arial"/>
          <w:color w:val="000000"/>
        </w:rPr>
        <w:t>substantially overlaps with and complements</w:t>
      </w:r>
      <w:r w:rsidR="00311882" w:rsidRPr="00CC12A4">
        <w:rPr>
          <w:rFonts w:eastAsia="Times New Roman" w:cs="Arial"/>
          <w:color w:val="000000"/>
        </w:rPr>
        <w:t>”</w:t>
      </w:r>
      <w:r w:rsidR="00CD27DD" w:rsidRPr="00CC12A4">
        <w:rPr>
          <w:rFonts w:eastAsia="Times New Roman" w:cs="Arial"/>
          <w:color w:val="000000"/>
        </w:rPr>
        <w:t xml:space="preserve"> the Unruh Act.</w:t>
      </w:r>
      <w:r w:rsidRPr="00CC12A4">
        <w:rPr>
          <w:rFonts w:eastAsia="Times New Roman" w:cs="Arial"/>
          <w:color w:val="000000"/>
        </w:rPr>
        <w:t xml:space="preserve">  (</w:t>
      </w:r>
      <w:proofErr w:type="spellStart"/>
      <w:r w:rsidR="00A01349" w:rsidRPr="00CC12A4">
        <w:rPr>
          <w:rFonts w:eastAsia="Times New Roman" w:cs="Arial"/>
          <w:i/>
          <w:iCs/>
          <w:color w:val="000000"/>
        </w:rPr>
        <w:t>Jankey</w:t>
      </w:r>
      <w:proofErr w:type="spellEnd"/>
      <w:r w:rsidR="00A01349" w:rsidRPr="00CC12A4">
        <w:rPr>
          <w:rFonts w:eastAsia="Times New Roman" w:cs="Arial"/>
          <w:i/>
          <w:iCs/>
          <w:color w:val="000000"/>
        </w:rPr>
        <w:t xml:space="preserve">, supra, </w:t>
      </w:r>
      <w:r w:rsidR="00A01349" w:rsidRPr="00CC12A4">
        <w:rPr>
          <w:rFonts w:eastAsia="Times New Roman" w:cs="Arial"/>
          <w:color w:val="000000"/>
        </w:rPr>
        <w:t xml:space="preserve">55 Cal.4th </w:t>
      </w:r>
      <w:r w:rsidR="004927E0" w:rsidRPr="00CC12A4">
        <w:rPr>
          <w:rFonts w:eastAsia="Times New Roman" w:cs="Arial"/>
          <w:color w:val="000000"/>
        </w:rPr>
        <w:t>at p. 1044.</w:t>
      </w:r>
      <w:r w:rsidRPr="00CC12A4">
        <w:rPr>
          <w:rFonts w:eastAsia="Times New Roman" w:cs="Arial"/>
          <w:color w:val="000000"/>
        </w:rPr>
        <w:t>)  It is, however, “[m]</w:t>
      </w:r>
      <w:r w:rsidR="00CD27DD" w:rsidRPr="00CC12A4">
        <w:rPr>
          <w:rFonts w:eastAsia="Times New Roman" w:cs="Arial"/>
          <w:color w:val="000000"/>
        </w:rPr>
        <w:t>ore narrow in focus</w:t>
      </w:r>
      <w:r w:rsidR="00311882" w:rsidRPr="00CC12A4">
        <w:rPr>
          <w:rFonts w:eastAsia="Times New Roman" w:cs="Arial"/>
          <w:color w:val="000000"/>
        </w:rPr>
        <w:t>”</w:t>
      </w:r>
      <w:r w:rsidR="00CD27DD" w:rsidRPr="00CC12A4">
        <w:rPr>
          <w:rFonts w:eastAsia="Times New Roman" w:cs="Arial"/>
          <w:color w:val="000000"/>
        </w:rPr>
        <w:t xml:space="preserve"> than the Unruh </w:t>
      </w:r>
      <w:r w:rsidR="00311882" w:rsidRPr="00CC12A4">
        <w:rPr>
          <w:rFonts w:eastAsia="Times New Roman" w:cs="Arial"/>
          <w:color w:val="000000"/>
        </w:rPr>
        <w:t>Act</w:t>
      </w:r>
      <w:r w:rsidRPr="00CC12A4">
        <w:rPr>
          <w:rFonts w:eastAsia="Times New Roman" w:cs="Arial"/>
          <w:color w:val="000000"/>
        </w:rPr>
        <w:t xml:space="preserve"> and “</w:t>
      </w:r>
      <w:r w:rsidR="00CD27DD" w:rsidRPr="00CC12A4">
        <w:rPr>
          <w:rFonts w:eastAsia="Times New Roman" w:cs="Arial"/>
          <w:color w:val="000000"/>
        </w:rPr>
        <w:t xml:space="preserve">generally guarantees people with disabilities equal rights of access </w:t>
      </w:r>
      <w:r w:rsidR="00311882" w:rsidRPr="00CC12A4">
        <w:rPr>
          <w:rFonts w:eastAsia="Times New Roman" w:cs="Arial"/>
          <w:color w:val="000000"/>
        </w:rPr>
        <w:t>‘</w:t>
      </w:r>
      <w:r w:rsidR="00CD27DD" w:rsidRPr="00CC12A4">
        <w:rPr>
          <w:rFonts w:eastAsia="Times New Roman" w:cs="Arial"/>
          <w:color w:val="000000"/>
        </w:rPr>
        <w:t>to public places, buildings, facilities and services, as well as common carriers, housing and</w:t>
      </w:r>
      <w:r w:rsidRPr="00CC12A4">
        <w:rPr>
          <w:rFonts w:eastAsia="Times New Roman" w:cs="Arial"/>
          <w:color w:val="000000"/>
        </w:rPr>
        <w:t xml:space="preserve"> </w:t>
      </w:r>
      <w:r w:rsidR="00CD27DD" w:rsidRPr="00CC12A4">
        <w:rPr>
          <w:rFonts w:eastAsia="Times New Roman" w:cs="Arial"/>
          <w:color w:val="000000"/>
        </w:rPr>
        <w:t>places of public accommodation.</w:t>
      </w:r>
      <w:r w:rsidR="00311882" w:rsidRPr="00CC12A4">
        <w:rPr>
          <w:rFonts w:eastAsia="Times New Roman" w:cs="Arial"/>
          <w:color w:val="000000"/>
        </w:rPr>
        <w:t xml:space="preserve">’ </w:t>
      </w:r>
      <w:r w:rsidR="00CD27DD" w:rsidRPr="00CC12A4">
        <w:rPr>
          <w:rFonts w:eastAsia="Times New Roman" w:cs="Arial"/>
          <w:color w:val="000000"/>
        </w:rPr>
        <w:t>” (</w:t>
      </w:r>
      <w:r w:rsidR="00311882" w:rsidRPr="00CC12A4">
        <w:rPr>
          <w:rFonts w:eastAsia="Times New Roman" w:cs="Arial"/>
          <w:i/>
          <w:iCs/>
          <w:color w:val="000000"/>
        </w:rPr>
        <w:t>Ibid.</w:t>
      </w:r>
      <w:r w:rsidR="00311882" w:rsidRPr="00CC12A4">
        <w:rPr>
          <w:rFonts w:eastAsia="Times New Roman" w:cs="Arial"/>
          <w:color w:val="000000"/>
        </w:rPr>
        <w:t xml:space="preserve">, quoting </w:t>
      </w:r>
      <w:r w:rsidR="00CD27DD" w:rsidRPr="00CC12A4">
        <w:rPr>
          <w:rFonts w:eastAsia="Times New Roman" w:cs="Arial"/>
          <w:i/>
          <w:iCs/>
          <w:color w:val="000000"/>
        </w:rPr>
        <w:t>Munson,</w:t>
      </w:r>
      <w:r w:rsidR="00CD27DD" w:rsidRPr="00CC12A4">
        <w:rPr>
          <w:rFonts w:eastAsia="Times New Roman" w:cs="Arial"/>
          <w:color w:val="000000"/>
        </w:rPr>
        <w:t xml:space="preserve"> </w:t>
      </w:r>
      <w:r w:rsidR="00A01349" w:rsidRPr="00CC12A4">
        <w:rPr>
          <w:rFonts w:eastAsia="Times New Roman" w:cs="Arial"/>
          <w:i/>
          <w:iCs/>
          <w:color w:val="000000"/>
        </w:rPr>
        <w:t>supra</w:t>
      </w:r>
      <w:r w:rsidR="00A01349" w:rsidRPr="00CC12A4">
        <w:rPr>
          <w:rFonts w:eastAsia="Times New Roman" w:cs="Arial"/>
          <w:color w:val="000000"/>
        </w:rPr>
        <w:t xml:space="preserve">, 46 Cal.4th </w:t>
      </w:r>
      <w:r w:rsidR="00CD27DD" w:rsidRPr="00CC12A4">
        <w:rPr>
          <w:rFonts w:eastAsia="Times New Roman" w:cs="Arial"/>
          <w:color w:val="000000"/>
        </w:rPr>
        <w:t>at p. 674, fn. 8</w:t>
      </w:r>
      <w:r w:rsidR="00311882" w:rsidRPr="00CC12A4">
        <w:rPr>
          <w:rFonts w:eastAsia="Times New Roman" w:cs="Arial"/>
          <w:color w:val="000000"/>
        </w:rPr>
        <w:t>.)</w:t>
      </w:r>
      <w:r w:rsidR="00CD27DD" w:rsidRPr="00CC12A4">
        <w:rPr>
          <w:rFonts w:eastAsia="Times New Roman" w:cs="Arial"/>
          <w:color w:val="000000"/>
        </w:rPr>
        <w:t xml:space="preserve"> </w:t>
      </w:r>
      <w:r w:rsidR="00311882" w:rsidRPr="00CC12A4">
        <w:rPr>
          <w:rFonts w:eastAsia="Times New Roman" w:cs="Arial"/>
          <w:color w:val="000000"/>
        </w:rPr>
        <w:t xml:space="preserve"> “</w:t>
      </w:r>
      <w:r w:rsidR="00CD27DD" w:rsidRPr="00CC12A4">
        <w:rPr>
          <w:rFonts w:eastAsia="Times New Roman" w:cs="Arial"/>
          <w:color w:val="000000"/>
        </w:rPr>
        <w:t>As with</w:t>
      </w:r>
      <w:r w:rsidR="00311882" w:rsidRPr="00CC12A4">
        <w:rPr>
          <w:rFonts w:eastAsia="Times New Roman" w:cs="Arial"/>
          <w:color w:val="000000"/>
        </w:rPr>
        <w:t>”</w:t>
      </w:r>
      <w:r w:rsidR="00CD27DD" w:rsidRPr="00CC12A4">
        <w:rPr>
          <w:rFonts w:eastAsia="Times New Roman" w:cs="Arial"/>
          <w:color w:val="000000"/>
        </w:rPr>
        <w:t xml:space="preserve"> the Unruh Act, </w:t>
      </w:r>
      <w:r w:rsidR="00311882" w:rsidRPr="00CC12A4">
        <w:rPr>
          <w:rFonts w:eastAsia="Times New Roman" w:cs="Arial"/>
          <w:color w:val="000000"/>
        </w:rPr>
        <w:t>“</w:t>
      </w:r>
      <w:r w:rsidR="00CD27DD" w:rsidRPr="00CC12A4">
        <w:rPr>
          <w:rFonts w:eastAsia="Times New Roman" w:cs="Arial"/>
          <w:color w:val="000000"/>
        </w:rPr>
        <w:t xml:space="preserve">the Legislature amended the </w:t>
      </w:r>
      <w:r w:rsidR="00311882" w:rsidRPr="00CC12A4">
        <w:rPr>
          <w:rFonts w:eastAsia="Times New Roman" w:cs="Arial"/>
          <w:color w:val="000000"/>
        </w:rPr>
        <w:t>[DPA]</w:t>
      </w:r>
      <w:r w:rsidR="00CD27DD" w:rsidRPr="00CC12A4">
        <w:rPr>
          <w:rFonts w:eastAsia="Times New Roman" w:cs="Arial"/>
          <w:color w:val="000000"/>
        </w:rPr>
        <w:t xml:space="preserve"> to incorporate ADA violations and make them a basis for relief under the act.</w:t>
      </w:r>
      <w:r w:rsidR="009F1757" w:rsidRPr="00CC12A4">
        <w:rPr>
          <w:rFonts w:eastAsia="Times New Roman" w:cs="Arial"/>
          <w:color w:val="000000"/>
        </w:rPr>
        <w:t xml:space="preserve"> </w:t>
      </w:r>
      <w:r w:rsidR="00CD27DD" w:rsidRPr="00CC12A4">
        <w:rPr>
          <w:rFonts w:eastAsia="Times New Roman" w:cs="Arial"/>
          <w:color w:val="000000"/>
        </w:rPr>
        <w:t xml:space="preserve"> (</w:t>
      </w:r>
      <w:r w:rsidR="00377E46">
        <w:rPr>
          <w:rFonts w:eastAsia="Times New Roman" w:cs="Arial"/>
          <w:color w:val="000000"/>
        </w:rPr>
        <w:t xml:space="preserve">[Civ. Code,] </w:t>
      </w:r>
      <w:r w:rsidR="00CD27DD" w:rsidRPr="00CC12A4">
        <w:rPr>
          <w:rFonts w:eastAsia="Times New Roman" w:cs="Arial"/>
          <w:color w:val="000000"/>
        </w:rPr>
        <w:t xml:space="preserve">§§ 54, </w:t>
      </w:r>
      <w:proofErr w:type="spellStart"/>
      <w:r w:rsidR="00CD27DD" w:rsidRPr="00CC12A4">
        <w:rPr>
          <w:rFonts w:eastAsia="Times New Roman" w:cs="Arial"/>
          <w:color w:val="000000"/>
        </w:rPr>
        <w:lastRenderedPageBreak/>
        <w:t>subd</w:t>
      </w:r>
      <w:proofErr w:type="spellEnd"/>
      <w:r w:rsidR="00CD27DD" w:rsidRPr="00CC12A4">
        <w:rPr>
          <w:rFonts w:eastAsia="Times New Roman" w:cs="Arial"/>
          <w:color w:val="000000"/>
        </w:rPr>
        <w:t xml:space="preserve">. (c), 54.1, </w:t>
      </w:r>
      <w:proofErr w:type="spellStart"/>
      <w:r w:rsidR="00CD27DD" w:rsidRPr="00CC12A4">
        <w:rPr>
          <w:rFonts w:eastAsia="Times New Roman" w:cs="Arial"/>
          <w:color w:val="000000"/>
        </w:rPr>
        <w:t>subd</w:t>
      </w:r>
      <w:proofErr w:type="spellEnd"/>
      <w:r w:rsidR="00CD27DD" w:rsidRPr="00CC12A4">
        <w:rPr>
          <w:rFonts w:eastAsia="Times New Roman" w:cs="Arial"/>
          <w:color w:val="000000"/>
        </w:rPr>
        <w:t>. (d)</w:t>
      </w:r>
      <w:r w:rsidR="00311882" w:rsidRPr="00CC12A4">
        <w:rPr>
          <w:rFonts w:eastAsia="Times New Roman" w:cs="Arial"/>
          <w:color w:val="000000"/>
        </w:rPr>
        <w:t xml:space="preserve">. . . </w:t>
      </w:r>
      <w:r w:rsidR="00CD27DD" w:rsidRPr="00CC12A4">
        <w:rPr>
          <w:rFonts w:eastAsia="Times New Roman" w:cs="Arial"/>
          <w:color w:val="000000"/>
        </w:rPr>
        <w:t xml:space="preserve">.) </w:t>
      </w:r>
      <w:r w:rsidR="009F1757" w:rsidRPr="00CC12A4">
        <w:rPr>
          <w:rFonts w:eastAsia="Times New Roman" w:cs="Arial"/>
          <w:color w:val="000000"/>
        </w:rPr>
        <w:t xml:space="preserve"> </w:t>
      </w:r>
      <w:r w:rsidR="00CD27DD" w:rsidRPr="00CC12A4">
        <w:rPr>
          <w:rFonts w:eastAsia="Times New Roman" w:cs="Arial"/>
          <w:color w:val="000000"/>
        </w:rPr>
        <w:t xml:space="preserve">The available remedies include actual damages (and in </w:t>
      </w:r>
      <w:proofErr w:type="gramStart"/>
      <w:r w:rsidR="00CD27DD" w:rsidRPr="00CC12A4">
        <w:rPr>
          <w:rFonts w:eastAsia="Times New Roman" w:cs="Arial"/>
          <w:color w:val="000000"/>
        </w:rPr>
        <w:t>some</w:t>
      </w:r>
      <w:proofErr w:type="gramEnd"/>
      <w:r w:rsidR="00CD27DD" w:rsidRPr="00CC12A4">
        <w:rPr>
          <w:rFonts w:eastAsia="Times New Roman" w:cs="Arial"/>
          <w:color w:val="000000"/>
        </w:rPr>
        <w:t xml:space="preserve"> cases as much as treble damages), with a $1,000 minimum recovery. </w:t>
      </w:r>
      <w:r w:rsidR="009F1757" w:rsidRPr="00CC12A4">
        <w:rPr>
          <w:rFonts w:eastAsia="Times New Roman" w:cs="Arial"/>
          <w:color w:val="000000"/>
        </w:rPr>
        <w:t xml:space="preserve"> </w:t>
      </w:r>
      <w:r w:rsidR="00CD27DD" w:rsidRPr="00CC12A4">
        <w:rPr>
          <w:rFonts w:eastAsia="Times New Roman" w:cs="Arial"/>
          <w:color w:val="000000"/>
        </w:rPr>
        <w:t>(</w:t>
      </w:r>
      <w:r w:rsidR="00377E46">
        <w:rPr>
          <w:rFonts w:eastAsia="Times New Roman" w:cs="Arial"/>
          <w:color w:val="000000"/>
        </w:rPr>
        <w:t>[</w:t>
      </w:r>
      <w:r w:rsidR="00377E46" w:rsidRPr="00377E46">
        <w:rPr>
          <w:rFonts w:eastAsia="Times New Roman" w:cs="Arial"/>
          <w:i/>
          <w:iCs/>
          <w:color w:val="000000"/>
        </w:rPr>
        <w:t>Id.</w:t>
      </w:r>
      <w:r w:rsidR="00377E46">
        <w:rPr>
          <w:rFonts w:eastAsia="Times New Roman" w:cs="Arial"/>
          <w:color w:val="000000"/>
        </w:rPr>
        <w:t xml:space="preserve">] </w:t>
      </w:r>
      <w:r w:rsidR="00CD27DD" w:rsidRPr="00CC12A4">
        <w:rPr>
          <w:rFonts w:eastAsia="Times New Roman" w:cs="Arial"/>
          <w:color w:val="000000"/>
        </w:rPr>
        <w:t>§</w:t>
      </w:r>
      <w:r w:rsidR="009F1757" w:rsidRPr="00CC12A4">
        <w:rPr>
          <w:rFonts w:eastAsia="Times New Roman" w:cs="Arial"/>
          <w:color w:val="000000"/>
        </w:rPr>
        <w:t> </w:t>
      </w:r>
      <w:r w:rsidR="00CD27DD" w:rsidRPr="00CC12A4">
        <w:rPr>
          <w:rFonts w:eastAsia="Times New Roman" w:cs="Arial"/>
          <w:color w:val="000000"/>
        </w:rPr>
        <w:t xml:space="preserve">54.3, </w:t>
      </w:r>
      <w:proofErr w:type="spellStart"/>
      <w:r w:rsidR="00CD27DD" w:rsidRPr="00CC12A4">
        <w:rPr>
          <w:rFonts w:eastAsia="Times New Roman" w:cs="Arial"/>
          <w:color w:val="000000"/>
        </w:rPr>
        <w:t>subd</w:t>
      </w:r>
      <w:proofErr w:type="spellEnd"/>
      <w:r w:rsidR="00CD27DD" w:rsidRPr="00CC12A4">
        <w:rPr>
          <w:rFonts w:eastAsia="Times New Roman" w:cs="Arial"/>
          <w:color w:val="000000"/>
        </w:rPr>
        <w:t>. (a)</w:t>
      </w:r>
      <w:r w:rsidR="00311882" w:rsidRPr="00CC12A4">
        <w:rPr>
          <w:rFonts w:eastAsia="Times New Roman" w:cs="Arial"/>
          <w:color w:val="000000"/>
        </w:rPr>
        <w:t xml:space="preserve">. . . </w:t>
      </w:r>
      <w:r w:rsidR="00CD27DD" w:rsidRPr="00CC12A4">
        <w:rPr>
          <w:rFonts w:eastAsia="Times New Roman" w:cs="Arial"/>
          <w:color w:val="000000"/>
        </w:rPr>
        <w:t xml:space="preserve">.) </w:t>
      </w:r>
      <w:r w:rsidR="009F1757" w:rsidRPr="00CC12A4">
        <w:rPr>
          <w:rFonts w:eastAsia="Times New Roman" w:cs="Arial"/>
          <w:color w:val="000000"/>
        </w:rPr>
        <w:t xml:space="preserve"> </w:t>
      </w:r>
      <w:r w:rsidR="00CD27DD" w:rsidRPr="00CC12A4">
        <w:rPr>
          <w:rFonts w:eastAsia="Times New Roman" w:cs="Arial"/>
          <w:color w:val="000000"/>
        </w:rPr>
        <w:t xml:space="preserve">Recognizing the overlap between the Unruh Civil Rights Act and the </w:t>
      </w:r>
      <w:r w:rsidR="003A6A4B" w:rsidRPr="00CC12A4">
        <w:rPr>
          <w:rFonts w:eastAsia="Times New Roman" w:cs="Arial"/>
          <w:color w:val="000000"/>
        </w:rPr>
        <w:t>[DPA]</w:t>
      </w:r>
      <w:r w:rsidR="00CD27DD" w:rsidRPr="00CC12A4">
        <w:rPr>
          <w:rFonts w:eastAsia="Times New Roman" w:cs="Arial"/>
          <w:color w:val="000000"/>
        </w:rPr>
        <w:t xml:space="preserve">, the Legislature expressly foreclosed double recovery. </w:t>
      </w:r>
      <w:r w:rsidR="009F1757" w:rsidRPr="00CC12A4">
        <w:rPr>
          <w:rFonts w:eastAsia="Times New Roman" w:cs="Arial"/>
          <w:color w:val="000000"/>
        </w:rPr>
        <w:t xml:space="preserve"> </w:t>
      </w:r>
      <w:r w:rsidR="00CD27DD" w:rsidRPr="00CC12A4">
        <w:rPr>
          <w:rFonts w:eastAsia="Times New Roman" w:cs="Arial"/>
          <w:color w:val="000000"/>
        </w:rPr>
        <w:t>(</w:t>
      </w:r>
      <w:r w:rsidR="00377E46">
        <w:rPr>
          <w:rFonts w:eastAsia="Times New Roman" w:cs="Arial"/>
          <w:color w:val="000000"/>
        </w:rPr>
        <w:t>[</w:t>
      </w:r>
      <w:r w:rsidR="00377E46" w:rsidRPr="00377E46">
        <w:rPr>
          <w:rFonts w:eastAsia="Times New Roman" w:cs="Arial"/>
          <w:i/>
          <w:iCs/>
          <w:color w:val="000000"/>
        </w:rPr>
        <w:t>Id</w:t>
      </w:r>
      <w:r w:rsidR="00377E46">
        <w:rPr>
          <w:rFonts w:eastAsia="Times New Roman" w:cs="Arial"/>
          <w:color w:val="000000"/>
        </w:rPr>
        <w:t xml:space="preserve">.] </w:t>
      </w:r>
      <w:r w:rsidR="00CD27DD" w:rsidRPr="00CC12A4">
        <w:rPr>
          <w:rFonts w:eastAsia="Times New Roman" w:cs="Arial"/>
          <w:color w:val="000000"/>
        </w:rPr>
        <w:t>§</w:t>
      </w:r>
      <w:r w:rsidR="00A01349" w:rsidRPr="00CC12A4">
        <w:rPr>
          <w:rFonts w:eastAsia="Times New Roman" w:cs="Arial"/>
          <w:color w:val="000000"/>
        </w:rPr>
        <w:t> </w:t>
      </w:r>
      <w:r w:rsidR="00CD27DD" w:rsidRPr="00CC12A4">
        <w:rPr>
          <w:rFonts w:eastAsia="Times New Roman" w:cs="Arial"/>
          <w:color w:val="000000"/>
        </w:rPr>
        <w:t xml:space="preserve">54.3, </w:t>
      </w:r>
      <w:proofErr w:type="spellStart"/>
      <w:r w:rsidR="00CD27DD" w:rsidRPr="00CC12A4">
        <w:rPr>
          <w:rFonts w:eastAsia="Times New Roman" w:cs="Arial"/>
          <w:color w:val="000000"/>
        </w:rPr>
        <w:t>subd</w:t>
      </w:r>
      <w:proofErr w:type="spellEnd"/>
      <w:r w:rsidR="00CD27DD" w:rsidRPr="00CC12A4">
        <w:rPr>
          <w:rFonts w:eastAsia="Times New Roman" w:cs="Arial"/>
          <w:color w:val="000000"/>
        </w:rPr>
        <w:t>. (c)</w:t>
      </w:r>
      <w:r w:rsidR="00311882" w:rsidRPr="00CC12A4">
        <w:rPr>
          <w:rFonts w:eastAsia="Times New Roman" w:cs="Arial"/>
          <w:color w:val="000000"/>
        </w:rPr>
        <w:t>. . . .</w:t>
      </w:r>
      <w:r w:rsidR="00CD27DD" w:rsidRPr="00CC12A4">
        <w:rPr>
          <w:rFonts w:eastAsia="Times New Roman" w:cs="Arial"/>
          <w:color w:val="000000"/>
        </w:rPr>
        <w:t>)</w:t>
      </w:r>
      <w:r w:rsidR="00422E97">
        <w:rPr>
          <w:rFonts w:eastAsia="Times New Roman" w:cs="Arial"/>
          <w:color w:val="000000"/>
        </w:rPr>
        <w:t>”</w:t>
      </w:r>
      <w:r w:rsidRPr="00CC12A4">
        <w:rPr>
          <w:rFonts w:eastAsia="Times New Roman" w:cs="Arial"/>
          <w:color w:val="000000"/>
        </w:rPr>
        <w:t xml:space="preserve">  (</w:t>
      </w:r>
      <w:proofErr w:type="spellStart"/>
      <w:r w:rsidRPr="00CC12A4">
        <w:rPr>
          <w:rFonts w:eastAsia="Times New Roman" w:cs="Arial"/>
          <w:i/>
          <w:iCs/>
          <w:color w:val="000000"/>
        </w:rPr>
        <w:t>Jankey</w:t>
      </w:r>
      <w:proofErr w:type="spellEnd"/>
      <w:r w:rsidRPr="00CC12A4">
        <w:rPr>
          <w:rFonts w:eastAsia="Times New Roman" w:cs="Arial"/>
          <w:i/>
          <w:iCs/>
          <w:color w:val="000000"/>
        </w:rPr>
        <w:t xml:space="preserve">, </w:t>
      </w:r>
      <w:r w:rsidRPr="00CC12A4">
        <w:rPr>
          <w:rFonts w:eastAsia="Times New Roman" w:cs="Arial"/>
          <w:color w:val="000000"/>
        </w:rPr>
        <w:t>at pp. 1044</w:t>
      </w:r>
      <w:r w:rsidR="00377E46" w:rsidRPr="009F4BDD">
        <w:rPr>
          <w:rFonts w:eastAsia="Times New Roman" w:cs="Arial"/>
          <w:color w:val="000000"/>
        </w:rPr>
        <w:t>–</w:t>
      </w:r>
      <w:r w:rsidRPr="00CC12A4">
        <w:rPr>
          <w:rFonts w:eastAsia="Times New Roman" w:cs="Arial"/>
          <w:color w:val="000000"/>
        </w:rPr>
        <w:t>1045</w:t>
      </w:r>
      <w:r w:rsidR="00311882" w:rsidRPr="00CC12A4">
        <w:rPr>
          <w:rFonts w:eastAsia="Times New Roman" w:cs="Arial"/>
          <w:color w:val="000000"/>
        </w:rPr>
        <w:t xml:space="preserve">, citing </w:t>
      </w:r>
      <w:r w:rsidR="00311882" w:rsidRPr="00CC12A4">
        <w:rPr>
          <w:rFonts w:eastAsia="Times New Roman" w:cs="Arial"/>
          <w:i/>
          <w:iCs/>
          <w:color w:val="000000"/>
        </w:rPr>
        <w:t xml:space="preserve">Munson, </w:t>
      </w:r>
      <w:r w:rsidR="00311882" w:rsidRPr="00CC12A4">
        <w:rPr>
          <w:rFonts w:eastAsia="Times New Roman" w:cs="Arial"/>
          <w:color w:val="000000"/>
        </w:rPr>
        <w:t>at p. 675</w:t>
      </w:r>
      <w:r w:rsidRPr="00CC12A4">
        <w:rPr>
          <w:rFonts w:eastAsia="Times New Roman" w:cs="Arial"/>
          <w:color w:val="000000"/>
        </w:rPr>
        <w:t>.)</w:t>
      </w:r>
    </w:p>
    <w:p w14:paraId="633BAC5C" w14:textId="77777777" w:rsidR="00E11809" w:rsidRPr="00CC12A4" w:rsidRDefault="00300485" w:rsidP="00300485">
      <w:pPr>
        <w:spacing w:line="360" w:lineRule="auto"/>
        <w:rPr>
          <w:rFonts w:eastAsia="Times New Roman" w:cs="Arial"/>
          <w:color w:val="000000"/>
        </w:rPr>
      </w:pPr>
      <w:r w:rsidRPr="00CC12A4">
        <w:rPr>
          <w:rFonts w:eastAsia="Times New Roman" w:cs="Arial"/>
          <w:color w:val="000000"/>
        </w:rPr>
        <w:tab/>
        <w:t xml:space="preserve">Thus, </w:t>
      </w:r>
      <w:proofErr w:type="spellStart"/>
      <w:r w:rsidRPr="00CC12A4">
        <w:rPr>
          <w:rFonts w:eastAsia="Times New Roman" w:cs="Arial"/>
          <w:i/>
          <w:iCs/>
          <w:color w:val="000000"/>
        </w:rPr>
        <w:t>Jankey</w:t>
      </w:r>
      <w:proofErr w:type="spellEnd"/>
      <w:r w:rsidRPr="00CC12A4">
        <w:rPr>
          <w:rFonts w:eastAsia="Times New Roman" w:cs="Arial"/>
          <w:i/>
          <w:iCs/>
          <w:color w:val="000000"/>
        </w:rPr>
        <w:t xml:space="preserve">, </w:t>
      </w:r>
      <w:r w:rsidRPr="00CC12A4">
        <w:rPr>
          <w:rFonts w:eastAsia="Times New Roman" w:cs="Arial"/>
          <w:color w:val="000000"/>
        </w:rPr>
        <w:t xml:space="preserve">like </w:t>
      </w:r>
      <w:r w:rsidRPr="00CC12A4">
        <w:rPr>
          <w:rFonts w:eastAsia="Times New Roman" w:cs="Arial"/>
          <w:i/>
          <w:iCs/>
          <w:color w:val="000000"/>
        </w:rPr>
        <w:t>Munson</w:t>
      </w:r>
      <w:r w:rsidRPr="00CC12A4">
        <w:rPr>
          <w:rFonts w:eastAsia="Times New Roman" w:cs="Arial"/>
          <w:color w:val="000000"/>
        </w:rPr>
        <w:t>, was a business establishment</w:t>
      </w:r>
      <w:r w:rsidR="00A23D79" w:rsidRPr="00CC12A4">
        <w:rPr>
          <w:rFonts w:eastAsia="Times New Roman" w:cs="Arial"/>
          <w:color w:val="000000"/>
        </w:rPr>
        <w:t xml:space="preserve"> case.  And </w:t>
      </w:r>
      <w:r w:rsidRPr="00CC12A4">
        <w:rPr>
          <w:rFonts w:eastAsia="Times New Roman" w:cs="Arial"/>
          <w:color w:val="000000"/>
        </w:rPr>
        <w:t>the court</w:t>
      </w:r>
      <w:r w:rsidR="008B7C00" w:rsidRPr="00CC12A4">
        <w:rPr>
          <w:rFonts w:eastAsia="Times New Roman" w:cs="Arial"/>
          <w:color w:val="000000"/>
        </w:rPr>
        <w:t xml:space="preserve"> in </w:t>
      </w:r>
      <w:proofErr w:type="spellStart"/>
      <w:r w:rsidR="008B7C00" w:rsidRPr="00CC12A4">
        <w:rPr>
          <w:rFonts w:eastAsia="Times New Roman" w:cs="Arial"/>
          <w:i/>
          <w:iCs/>
          <w:color w:val="000000"/>
        </w:rPr>
        <w:t>Jankey</w:t>
      </w:r>
      <w:proofErr w:type="spellEnd"/>
      <w:r w:rsidR="008B7C00" w:rsidRPr="00CC12A4">
        <w:rPr>
          <w:rFonts w:eastAsia="Times New Roman" w:cs="Arial"/>
          <w:color w:val="000000"/>
        </w:rPr>
        <w:t xml:space="preserve">, as it had in </w:t>
      </w:r>
      <w:r w:rsidR="008B7C00" w:rsidRPr="00CC12A4">
        <w:rPr>
          <w:rFonts w:eastAsia="Times New Roman" w:cs="Arial"/>
          <w:i/>
          <w:iCs/>
          <w:color w:val="000000"/>
        </w:rPr>
        <w:t xml:space="preserve">Munson, </w:t>
      </w:r>
      <w:r w:rsidR="008B7C00" w:rsidRPr="00CC12A4">
        <w:rPr>
          <w:rFonts w:eastAsia="Times New Roman" w:cs="Arial"/>
          <w:color w:val="000000"/>
        </w:rPr>
        <w:t xml:space="preserve">described the Unruh Act as prohibiting </w:t>
      </w:r>
      <w:r w:rsidR="00311882" w:rsidRPr="00CC12A4">
        <w:rPr>
          <w:rFonts w:eastAsia="Times New Roman" w:cs="Arial"/>
          <w:color w:val="000000"/>
        </w:rPr>
        <w:t>“</w:t>
      </w:r>
      <w:r w:rsidR="008B7C00" w:rsidRPr="00CC12A4">
        <w:rPr>
          <w:rFonts w:eastAsia="Times New Roman" w:cs="Arial"/>
          <w:color w:val="000000"/>
        </w:rPr>
        <w:t>business establishments</w:t>
      </w:r>
      <w:r w:rsidR="00311882" w:rsidRPr="00CC12A4">
        <w:rPr>
          <w:rFonts w:eastAsia="Times New Roman" w:cs="Arial"/>
          <w:color w:val="000000"/>
        </w:rPr>
        <w:t>”</w:t>
      </w:r>
      <w:r w:rsidR="008B7C00" w:rsidRPr="00CC12A4">
        <w:rPr>
          <w:rFonts w:eastAsia="Times New Roman" w:cs="Arial"/>
          <w:color w:val="000000"/>
        </w:rPr>
        <w:t xml:space="preserve"> from engaging in invidious discrimination and described the significance of </w:t>
      </w:r>
      <w:r w:rsidR="00377E46">
        <w:rPr>
          <w:rFonts w:eastAsia="Times New Roman" w:cs="Arial"/>
          <w:color w:val="000000"/>
        </w:rPr>
        <w:t xml:space="preserve">Civil Code </w:t>
      </w:r>
      <w:r w:rsidR="001C36A2" w:rsidRPr="00CC12A4">
        <w:rPr>
          <w:rFonts w:eastAsia="Times New Roman" w:cs="Arial"/>
          <w:color w:val="000000"/>
        </w:rPr>
        <w:t xml:space="preserve">section 51, </w:t>
      </w:r>
      <w:r w:rsidR="008B7C00" w:rsidRPr="00CC12A4">
        <w:rPr>
          <w:rFonts w:eastAsia="Times New Roman" w:cs="Arial"/>
          <w:color w:val="000000"/>
        </w:rPr>
        <w:t xml:space="preserve">subdivision (f) as making ADA violations a basis for relief under the Act.  </w:t>
      </w:r>
      <w:r w:rsidR="00E11809" w:rsidRPr="00CC12A4">
        <w:rPr>
          <w:rFonts w:eastAsia="Times New Roman" w:cs="Arial"/>
          <w:color w:val="000000"/>
        </w:rPr>
        <w:t>I</w:t>
      </w:r>
      <w:r w:rsidR="008B7C00" w:rsidRPr="00CC12A4">
        <w:rPr>
          <w:rFonts w:eastAsia="Times New Roman" w:cs="Arial"/>
          <w:color w:val="000000"/>
        </w:rPr>
        <w:t xml:space="preserve">t </w:t>
      </w:r>
      <w:r w:rsidR="008245E5" w:rsidRPr="00CC12A4">
        <w:rPr>
          <w:rFonts w:eastAsia="Times New Roman" w:cs="Arial"/>
          <w:color w:val="000000"/>
        </w:rPr>
        <w:t>was</w:t>
      </w:r>
      <w:r w:rsidR="008B7C00" w:rsidRPr="00CC12A4">
        <w:rPr>
          <w:rFonts w:eastAsia="Times New Roman" w:cs="Arial"/>
          <w:color w:val="000000"/>
        </w:rPr>
        <w:t xml:space="preserve"> in </w:t>
      </w:r>
      <w:r w:rsidR="008B7C00" w:rsidRPr="00CC12A4">
        <w:rPr>
          <w:rFonts w:eastAsia="Times New Roman" w:cs="Arial"/>
          <w:i/>
          <w:iCs/>
          <w:color w:val="000000"/>
        </w:rPr>
        <w:t>th</w:t>
      </w:r>
      <w:r w:rsidR="00E11809" w:rsidRPr="00CC12A4">
        <w:rPr>
          <w:rFonts w:eastAsia="Times New Roman" w:cs="Arial"/>
          <w:i/>
          <w:iCs/>
          <w:color w:val="000000"/>
        </w:rPr>
        <w:t>is</w:t>
      </w:r>
      <w:r w:rsidR="008B7C00" w:rsidRPr="00CC12A4">
        <w:rPr>
          <w:rFonts w:eastAsia="Times New Roman" w:cs="Arial"/>
          <w:i/>
          <w:iCs/>
          <w:color w:val="000000"/>
        </w:rPr>
        <w:t xml:space="preserve"> </w:t>
      </w:r>
      <w:r w:rsidR="008B7C00" w:rsidRPr="00CC12A4">
        <w:rPr>
          <w:rFonts w:eastAsia="Times New Roman" w:cs="Arial"/>
          <w:color w:val="000000"/>
        </w:rPr>
        <w:t xml:space="preserve">context that the court </w:t>
      </w:r>
      <w:r w:rsidR="00F37324" w:rsidRPr="00CC12A4">
        <w:rPr>
          <w:rFonts w:eastAsia="Times New Roman" w:cs="Arial"/>
          <w:color w:val="000000"/>
        </w:rPr>
        <w:t xml:space="preserve">commented </w:t>
      </w:r>
      <w:r w:rsidR="008B7C00" w:rsidRPr="00CC12A4">
        <w:rPr>
          <w:rFonts w:eastAsia="Times New Roman" w:cs="Arial"/>
          <w:color w:val="000000"/>
        </w:rPr>
        <w:t xml:space="preserve">the 1992 amendment made violations of the ADA “per se violations” of the Unruh Act.  </w:t>
      </w:r>
      <w:r w:rsidR="00E11809" w:rsidRPr="00CC12A4">
        <w:rPr>
          <w:rFonts w:eastAsia="Times New Roman" w:cs="Arial"/>
          <w:color w:val="000000"/>
        </w:rPr>
        <w:t>And</w:t>
      </w:r>
      <w:r w:rsidR="00311882" w:rsidRPr="00CC12A4">
        <w:rPr>
          <w:rFonts w:eastAsia="Times New Roman" w:cs="Arial"/>
          <w:color w:val="000000"/>
        </w:rPr>
        <w:t>, indeed,</w:t>
      </w:r>
      <w:r w:rsidR="00E11809" w:rsidRPr="00CC12A4">
        <w:rPr>
          <w:rFonts w:eastAsia="Times New Roman" w:cs="Arial"/>
          <w:color w:val="000000"/>
        </w:rPr>
        <w:t xml:space="preserve"> the</w:t>
      </w:r>
      <w:r w:rsidR="008245E5" w:rsidRPr="00CC12A4">
        <w:rPr>
          <w:rFonts w:eastAsia="Times New Roman" w:cs="Arial"/>
          <w:color w:val="000000"/>
        </w:rPr>
        <w:t xml:space="preserve"> amendment</w:t>
      </w:r>
      <w:r w:rsidR="00E11809" w:rsidRPr="00CC12A4">
        <w:rPr>
          <w:rFonts w:eastAsia="Times New Roman" w:cs="Arial"/>
          <w:color w:val="000000"/>
        </w:rPr>
        <w:t xml:space="preserve"> did so—as to violations of the ADA </w:t>
      </w:r>
      <w:r w:rsidR="00E11809" w:rsidRPr="00CC12A4">
        <w:rPr>
          <w:rFonts w:eastAsia="Times New Roman" w:cs="Arial"/>
          <w:i/>
          <w:iCs/>
          <w:color w:val="000000"/>
        </w:rPr>
        <w:t>by business establishments</w:t>
      </w:r>
      <w:r w:rsidR="00E11809" w:rsidRPr="00CC12A4">
        <w:rPr>
          <w:rFonts w:eastAsia="Times New Roman" w:cs="Arial"/>
          <w:color w:val="000000"/>
        </w:rPr>
        <w:t>.  By no means</w:t>
      </w:r>
      <w:r w:rsidR="00311882" w:rsidRPr="00CC12A4">
        <w:rPr>
          <w:rFonts w:eastAsia="Times New Roman" w:cs="Arial"/>
          <w:color w:val="000000"/>
        </w:rPr>
        <w:t xml:space="preserve">, however, </w:t>
      </w:r>
      <w:r w:rsidR="00E11809" w:rsidRPr="00CC12A4">
        <w:rPr>
          <w:rFonts w:eastAsia="Times New Roman" w:cs="Arial"/>
          <w:color w:val="000000"/>
        </w:rPr>
        <w:t xml:space="preserve">can the court’s </w:t>
      </w:r>
      <w:r w:rsidR="00311882" w:rsidRPr="00CC12A4">
        <w:rPr>
          <w:rFonts w:eastAsia="Times New Roman" w:cs="Arial"/>
          <w:color w:val="000000"/>
        </w:rPr>
        <w:t xml:space="preserve">per se </w:t>
      </w:r>
      <w:r w:rsidR="00E11809" w:rsidRPr="00CC12A4">
        <w:rPr>
          <w:rFonts w:eastAsia="Times New Roman" w:cs="Arial"/>
          <w:color w:val="000000"/>
        </w:rPr>
        <w:t>comment be stretched into a holding that a</w:t>
      </w:r>
      <w:r w:rsidR="00AA3907" w:rsidRPr="00CC12A4">
        <w:rPr>
          <w:rFonts w:eastAsia="Times New Roman" w:cs="Arial"/>
          <w:color w:val="000000"/>
        </w:rPr>
        <w:t xml:space="preserve"> violation </w:t>
      </w:r>
      <w:r w:rsidR="00E11809" w:rsidRPr="00CC12A4">
        <w:rPr>
          <w:rFonts w:eastAsia="Times New Roman" w:cs="Arial"/>
          <w:color w:val="000000"/>
        </w:rPr>
        <w:t xml:space="preserve">of the ADA by </w:t>
      </w:r>
      <w:r w:rsidR="00E11809" w:rsidRPr="00CC12A4">
        <w:rPr>
          <w:rFonts w:eastAsia="Times New Roman" w:cs="Arial"/>
          <w:i/>
          <w:iCs/>
          <w:color w:val="000000"/>
        </w:rPr>
        <w:t>any</w:t>
      </w:r>
      <w:r w:rsidR="00E11809" w:rsidRPr="00CC12A4">
        <w:rPr>
          <w:rFonts w:eastAsia="Times New Roman" w:cs="Arial"/>
          <w:color w:val="000000"/>
        </w:rPr>
        <w:t xml:space="preserve"> person or entity is a violation of the Unruh Act, regardless of whether they are a business establishment.</w:t>
      </w:r>
    </w:p>
    <w:p w14:paraId="03502AA8" w14:textId="77777777" w:rsidR="00C169D1" w:rsidRPr="00CC12A4" w:rsidRDefault="00A23D79" w:rsidP="00F85866">
      <w:pPr>
        <w:spacing w:line="360" w:lineRule="auto"/>
        <w:rPr>
          <w:rFonts w:eastAsia="Times New Roman" w:cs="Arial"/>
          <w:color w:val="000000"/>
        </w:rPr>
      </w:pPr>
      <w:r w:rsidRPr="00CC12A4">
        <w:rPr>
          <w:rFonts w:eastAsia="Times New Roman" w:cs="Arial"/>
          <w:color w:val="000000"/>
        </w:rPr>
        <w:tab/>
      </w:r>
      <w:r w:rsidR="009E0DC0" w:rsidRPr="00CC12A4">
        <w:rPr>
          <w:rFonts w:eastAsia="Times New Roman" w:cs="Arial"/>
          <w:color w:val="000000"/>
        </w:rPr>
        <w:t>In urging otherwise, p</w:t>
      </w:r>
      <w:r w:rsidR="00AE04A7" w:rsidRPr="00CC12A4">
        <w:rPr>
          <w:rFonts w:eastAsia="Times New Roman" w:cs="Arial"/>
          <w:color w:val="000000"/>
        </w:rPr>
        <w:t>etitioner</w:t>
      </w:r>
      <w:r w:rsidR="009E0DC0" w:rsidRPr="00CC12A4">
        <w:rPr>
          <w:rFonts w:eastAsia="Times New Roman" w:cs="Arial"/>
          <w:color w:val="000000"/>
        </w:rPr>
        <w:t xml:space="preserve"> relies on </w:t>
      </w:r>
      <w:r w:rsidR="00BF7E62" w:rsidRPr="00CC12A4">
        <w:rPr>
          <w:rFonts w:eastAsia="Times New Roman" w:cs="Arial"/>
          <w:color w:val="000000"/>
        </w:rPr>
        <w:t xml:space="preserve">a </w:t>
      </w:r>
      <w:r w:rsidR="00AA3907" w:rsidRPr="00CC12A4">
        <w:rPr>
          <w:rFonts w:eastAsia="Times New Roman" w:cs="Arial"/>
          <w:color w:val="000000"/>
        </w:rPr>
        <w:t xml:space="preserve">line of </w:t>
      </w:r>
      <w:r w:rsidR="00C620FF" w:rsidRPr="00CC12A4">
        <w:rPr>
          <w:rFonts w:eastAsia="Times New Roman" w:cs="Arial"/>
          <w:color w:val="000000"/>
        </w:rPr>
        <w:t>federal cases</w:t>
      </w:r>
      <w:r w:rsidR="00214447" w:rsidRPr="00CC12A4">
        <w:rPr>
          <w:rFonts w:eastAsia="Times New Roman" w:cs="Arial"/>
          <w:color w:val="000000"/>
        </w:rPr>
        <w:t xml:space="preserve"> </w:t>
      </w:r>
      <w:r w:rsidR="005F147B" w:rsidRPr="00CC12A4">
        <w:rPr>
          <w:rFonts w:eastAsia="Times New Roman" w:cs="Arial"/>
          <w:color w:val="000000"/>
        </w:rPr>
        <w:t xml:space="preserve">that have allowed disability discrimination claims </w:t>
      </w:r>
      <w:r w:rsidR="004F723E" w:rsidRPr="00CC12A4">
        <w:rPr>
          <w:rFonts w:eastAsia="Times New Roman" w:cs="Arial"/>
          <w:color w:val="000000"/>
        </w:rPr>
        <w:t>a</w:t>
      </w:r>
      <w:r w:rsidR="00AA3907" w:rsidRPr="00CC12A4">
        <w:rPr>
          <w:rFonts w:eastAsia="Times New Roman" w:cs="Arial"/>
          <w:color w:val="000000"/>
        </w:rPr>
        <w:t xml:space="preserve">gainst </w:t>
      </w:r>
      <w:r w:rsidR="005F147B" w:rsidRPr="00CC12A4">
        <w:rPr>
          <w:rFonts w:eastAsia="Times New Roman" w:cs="Arial"/>
          <w:color w:val="000000"/>
        </w:rPr>
        <w:t xml:space="preserve">government entities </w:t>
      </w:r>
      <w:r w:rsidR="00AA3907" w:rsidRPr="00CC12A4">
        <w:rPr>
          <w:rFonts w:eastAsia="Times New Roman" w:cs="Arial"/>
          <w:color w:val="000000"/>
        </w:rPr>
        <w:t xml:space="preserve">under </w:t>
      </w:r>
      <w:r w:rsidR="00377E46">
        <w:rPr>
          <w:rFonts w:eastAsia="Times New Roman" w:cs="Arial"/>
          <w:color w:val="000000"/>
        </w:rPr>
        <w:t>T</w:t>
      </w:r>
      <w:r w:rsidR="00214447" w:rsidRPr="00CC12A4">
        <w:rPr>
          <w:rFonts w:eastAsia="Times New Roman" w:cs="Arial"/>
          <w:color w:val="000000"/>
        </w:rPr>
        <w:t xml:space="preserve">itle II </w:t>
      </w:r>
      <w:r w:rsidR="005F147B" w:rsidRPr="00CC12A4">
        <w:rPr>
          <w:rFonts w:eastAsia="Times New Roman" w:cs="Arial"/>
          <w:color w:val="000000"/>
        </w:rPr>
        <w:t xml:space="preserve">of the ADA to proceed </w:t>
      </w:r>
      <w:r w:rsidR="006B142F" w:rsidRPr="00CC12A4">
        <w:rPr>
          <w:rFonts w:eastAsia="Times New Roman" w:cs="Arial"/>
          <w:color w:val="000000"/>
        </w:rPr>
        <w:t xml:space="preserve">concurrently </w:t>
      </w:r>
      <w:r w:rsidR="005F147B" w:rsidRPr="00CC12A4">
        <w:rPr>
          <w:rFonts w:eastAsia="Times New Roman" w:cs="Arial"/>
          <w:color w:val="000000"/>
        </w:rPr>
        <w:t>as Unruh Act claims</w:t>
      </w:r>
      <w:r w:rsidR="00E8425C" w:rsidRPr="00CC12A4">
        <w:rPr>
          <w:rFonts w:eastAsia="Times New Roman" w:cs="Arial"/>
          <w:color w:val="000000"/>
        </w:rPr>
        <w:t xml:space="preserve">, the theory being </w:t>
      </w:r>
      <w:r w:rsidR="00377E46">
        <w:rPr>
          <w:rFonts w:eastAsia="Times New Roman" w:cs="Arial"/>
          <w:color w:val="000000"/>
        </w:rPr>
        <w:t xml:space="preserve">Civil Code section 51, </w:t>
      </w:r>
      <w:r w:rsidR="005F147B" w:rsidRPr="00CC12A4">
        <w:rPr>
          <w:rFonts w:eastAsia="Times New Roman" w:cs="Arial"/>
          <w:color w:val="000000"/>
        </w:rPr>
        <w:t xml:space="preserve">subdivision (f) makes </w:t>
      </w:r>
      <w:r w:rsidR="00E8425C" w:rsidRPr="00CC12A4">
        <w:rPr>
          <w:rFonts w:eastAsia="Times New Roman" w:cs="Arial"/>
          <w:color w:val="000000"/>
        </w:rPr>
        <w:t>“</w:t>
      </w:r>
      <w:r w:rsidR="005F147B" w:rsidRPr="00CC12A4">
        <w:rPr>
          <w:rFonts w:eastAsia="Times New Roman" w:cs="Arial"/>
          <w:color w:val="000000"/>
        </w:rPr>
        <w:t>a</w:t>
      </w:r>
      <w:r w:rsidR="004F723E" w:rsidRPr="00CC12A4">
        <w:rPr>
          <w:rFonts w:eastAsia="Times New Roman" w:cs="Arial"/>
          <w:color w:val="000000"/>
        </w:rPr>
        <w:t>ny</w:t>
      </w:r>
      <w:r w:rsidR="00E8425C" w:rsidRPr="00CC12A4">
        <w:rPr>
          <w:rFonts w:eastAsia="Times New Roman" w:cs="Arial"/>
          <w:color w:val="000000"/>
        </w:rPr>
        <w:t>”</w:t>
      </w:r>
      <w:r w:rsidR="005F147B" w:rsidRPr="00CC12A4">
        <w:rPr>
          <w:rFonts w:eastAsia="Times New Roman" w:cs="Arial"/>
          <w:color w:val="000000"/>
        </w:rPr>
        <w:t xml:space="preserve"> violation of the ADA a “per se” violation of the Unruh Act and </w:t>
      </w:r>
      <w:r w:rsidR="00AA3907" w:rsidRPr="00CC12A4">
        <w:rPr>
          <w:rFonts w:eastAsia="Times New Roman" w:cs="Arial"/>
          <w:color w:val="000000"/>
        </w:rPr>
        <w:t>th</w:t>
      </w:r>
      <w:r w:rsidR="005F147B" w:rsidRPr="00CC12A4">
        <w:rPr>
          <w:rFonts w:eastAsia="Times New Roman" w:cs="Arial"/>
          <w:color w:val="000000"/>
        </w:rPr>
        <w:t xml:space="preserve">e Act has </w:t>
      </w:r>
      <w:r w:rsidR="00AA3907" w:rsidRPr="00CC12A4">
        <w:rPr>
          <w:rFonts w:eastAsia="Times New Roman" w:cs="Arial"/>
          <w:color w:val="000000"/>
        </w:rPr>
        <w:t xml:space="preserve">thus </w:t>
      </w:r>
      <w:r w:rsidR="005F147B" w:rsidRPr="00CC12A4">
        <w:rPr>
          <w:rFonts w:eastAsia="Times New Roman" w:cs="Arial"/>
          <w:color w:val="000000"/>
        </w:rPr>
        <w:t>“adopted the full expanse of the ADA.”  (</w:t>
      </w:r>
      <w:proofErr w:type="spellStart"/>
      <w:r w:rsidR="005F147B" w:rsidRPr="00CC12A4">
        <w:rPr>
          <w:rFonts w:eastAsia="Times New Roman" w:cs="Arial"/>
          <w:i/>
          <w:iCs/>
          <w:color w:val="000000"/>
        </w:rPr>
        <w:t>Presta</w:t>
      </w:r>
      <w:proofErr w:type="spellEnd"/>
      <w:r w:rsidR="005F147B" w:rsidRPr="00CC12A4">
        <w:rPr>
          <w:rFonts w:eastAsia="Times New Roman" w:cs="Arial"/>
          <w:i/>
          <w:iCs/>
          <w:color w:val="000000"/>
        </w:rPr>
        <w:t xml:space="preserve"> v. Peninsula Corridor Joint Powers Bd.</w:t>
      </w:r>
      <w:r w:rsidR="005F147B" w:rsidRPr="00CC12A4">
        <w:rPr>
          <w:rFonts w:eastAsia="Times New Roman" w:cs="Arial"/>
          <w:color w:val="000000"/>
        </w:rPr>
        <w:t xml:space="preserve"> (N.D. Cal. 1998) 16</w:t>
      </w:r>
      <w:r w:rsidR="00E47CBB" w:rsidRPr="00CC12A4">
        <w:rPr>
          <w:rFonts w:eastAsia="Times New Roman" w:cs="Arial"/>
          <w:color w:val="000000"/>
        </w:rPr>
        <w:t> </w:t>
      </w:r>
      <w:r w:rsidR="005F147B" w:rsidRPr="00CC12A4">
        <w:rPr>
          <w:rFonts w:eastAsia="Times New Roman" w:cs="Arial"/>
          <w:color w:val="000000"/>
        </w:rPr>
        <w:t>F.Supp.2d 1134, 1135; see</w:t>
      </w:r>
      <w:r w:rsidR="00CA1929" w:rsidRPr="00CC12A4">
        <w:rPr>
          <w:rFonts w:eastAsia="Times New Roman" w:cs="Arial"/>
          <w:color w:val="000000"/>
        </w:rPr>
        <w:t>, e.g.,</w:t>
      </w:r>
      <w:r w:rsidR="005F147B" w:rsidRPr="00CC12A4">
        <w:rPr>
          <w:rFonts w:eastAsia="Times New Roman" w:cs="Arial"/>
          <w:color w:val="000000"/>
        </w:rPr>
        <w:t xml:space="preserve"> </w:t>
      </w:r>
      <w:r w:rsidR="00CA1929" w:rsidRPr="00CC12A4">
        <w:rPr>
          <w:rFonts w:eastAsia="Times New Roman" w:cs="Arial"/>
          <w:i/>
          <w:iCs/>
          <w:color w:val="000000"/>
        </w:rPr>
        <w:t>Cohen v. City of Culver City</w:t>
      </w:r>
      <w:r w:rsidR="00CA1929" w:rsidRPr="00CC12A4">
        <w:rPr>
          <w:rFonts w:eastAsia="Times New Roman" w:cs="Arial"/>
          <w:color w:val="000000"/>
        </w:rPr>
        <w:t xml:space="preserve"> (9th Cir. 2014) 754 F.3d 690, 701 (</w:t>
      </w:r>
      <w:r w:rsidR="00CA1929" w:rsidRPr="00CC12A4">
        <w:rPr>
          <w:rFonts w:eastAsia="Times New Roman" w:cs="Arial"/>
          <w:i/>
          <w:iCs/>
          <w:color w:val="000000"/>
        </w:rPr>
        <w:t>Cohen</w:t>
      </w:r>
      <w:r w:rsidR="00CA1929" w:rsidRPr="00CC12A4">
        <w:rPr>
          <w:rFonts w:eastAsia="Times New Roman" w:cs="Arial"/>
          <w:color w:val="000000"/>
        </w:rPr>
        <w:t>)</w:t>
      </w:r>
      <w:r w:rsidR="00CA1929" w:rsidRPr="00CC12A4">
        <w:rPr>
          <w:rStyle w:val="FootnoteReference"/>
          <w:rFonts w:eastAsia="Times New Roman" w:cs="Arial"/>
          <w:color w:val="000000"/>
        </w:rPr>
        <w:footnoteReference w:id="15"/>
      </w:r>
      <w:r w:rsidR="00CA1929" w:rsidRPr="00CC12A4">
        <w:rPr>
          <w:rFonts w:eastAsia="Times New Roman" w:cs="Arial"/>
          <w:color w:val="000000"/>
        </w:rPr>
        <w:t xml:space="preserve">; </w:t>
      </w:r>
      <w:r w:rsidR="008245E5" w:rsidRPr="00CC12A4">
        <w:rPr>
          <w:rFonts w:eastAsia="Times New Roman" w:cs="Arial"/>
          <w:i/>
          <w:iCs/>
          <w:color w:val="000000"/>
        </w:rPr>
        <w:t xml:space="preserve">K.M. ex rel. Bright v. Tustin </w:t>
      </w:r>
      <w:r w:rsidR="008245E5" w:rsidRPr="00CC12A4">
        <w:rPr>
          <w:rFonts w:eastAsia="Times New Roman" w:cs="Arial"/>
          <w:i/>
          <w:iCs/>
          <w:color w:val="000000"/>
        </w:rPr>
        <w:lastRenderedPageBreak/>
        <w:t>Unified School Dist.</w:t>
      </w:r>
      <w:r w:rsidR="008245E5" w:rsidRPr="00CC12A4">
        <w:rPr>
          <w:rFonts w:eastAsia="Times New Roman" w:cs="Arial"/>
          <w:color w:val="000000"/>
        </w:rPr>
        <w:t xml:space="preserve"> (9th Cir. 2013) 725 F.3d 1088,</w:t>
      </w:r>
      <w:r w:rsidR="009E0DC0" w:rsidRPr="00CC12A4">
        <w:rPr>
          <w:rFonts w:eastAsia="Times New Roman" w:cs="Arial"/>
          <w:color w:val="000000"/>
        </w:rPr>
        <w:t xml:space="preserve"> </w:t>
      </w:r>
      <w:r w:rsidR="005F147B" w:rsidRPr="00CC12A4">
        <w:rPr>
          <w:rFonts w:eastAsia="Times New Roman" w:cs="Arial"/>
          <w:color w:val="000000"/>
        </w:rPr>
        <w:t xml:space="preserve">1094, </w:t>
      </w:r>
      <w:r w:rsidR="00174EEF" w:rsidRPr="00CC12A4">
        <w:rPr>
          <w:rFonts w:eastAsia="Times New Roman" w:cs="Arial"/>
          <w:color w:val="000000"/>
        </w:rPr>
        <w:t>f</w:t>
      </w:r>
      <w:r w:rsidR="005F147B" w:rsidRPr="00CC12A4">
        <w:rPr>
          <w:rFonts w:eastAsia="Times New Roman" w:cs="Arial"/>
          <w:color w:val="000000"/>
        </w:rPr>
        <w:t>n.</w:t>
      </w:r>
      <w:r w:rsidR="00174EEF" w:rsidRPr="00CC12A4">
        <w:rPr>
          <w:rFonts w:eastAsia="Times New Roman" w:cs="Arial"/>
          <w:color w:val="000000"/>
        </w:rPr>
        <w:t xml:space="preserve"> </w:t>
      </w:r>
      <w:r w:rsidR="00E8425C" w:rsidRPr="00CC12A4">
        <w:rPr>
          <w:rFonts w:eastAsia="Times New Roman" w:cs="Arial"/>
          <w:color w:val="000000"/>
        </w:rPr>
        <w:t>1</w:t>
      </w:r>
      <w:r w:rsidR="00CA1929" w:rsidRPr="00CC12A4">
        <w:rPr>
          <w:rFonts w:eastAsia="Times New Roman" w:cs="Arial"/>
          <w:color w:val="000000"/>
        </w:rPr>
        <w:t xml:space="preserve"> (</w:t>
      </w:r>
      <w:r w:rsidR="00CA1929" w:rsidRPr="00CC12A4">
        <w:rPr>
          <w:rFonts w:eastAsia="Times New Roman" w:cs="Arial"/>
          <w:i/>
          <w:iCs/>
          <w:color w:val="000000"/>
        </w:rPr>
        <w:t>K.M.</w:t>
      </w:r>
      <w:r w:rsidR="00CA1929" w:rsidRPr="00CC12A4">
        <w:rPr>
          <w:rFonts w:eastAsia="Times New Roman" w:cs="Arial"/>
          <w:color w:val="000000"/>
        </w:rPr>
        <w:t>)</w:t>
      </w:r>
      <w:r w:rsidR="005F147B" w:rsidRPr="00CC12A4">
        <w:rPr>
          <w:rStyle w:val="FootnoteReference"/>
          <w:rFonts w:eastAsia="Times New Roman" w:cs="Arial"/>
          <w:color w:val="000000"/>
        </w:rPr>
        <w:footnoteReference w:id="16"/>
      </w:r>
      <w:r w:rsidR="005F147B" w:rsidRPr="00CC12A4">
        <w:rPr>
          <w:rFonts w:eastAsia="Times New Roman" w:cs="Arial"/>
          <w:color w:val="000000"/>
        </w:rPr>
        <w:t xml:space="preserve">; </w:t>
      </w:r>
      <w:r w:rsidR="00920052" w:rsidRPr="00CC12A4">
        <w:rPr>
          <w:rFonts w:eastAsia="Times New Roman" w:cs="Arial"/>
          <w:i/>
          <w:iCs/>
          <w:color w:val="000000"/>
        </w:rPr>
        <w:t>Wagon v. Rocklin Unified School District</w:t>
      </w:r>
      <w:r w:rsidR="00920052" w:rsidRPr="00CC12A4">
        <w:rPr>
          <w:rFonts w:eastAsia="Times New Roman" w:cs="Arial"/>
          <w:color w:val="000000"/>
        </w:rPr>
        <w:t xml:space="preserve"> (E.D. Cal. 2019) 2019 WL 2577336</w:t>
      </w:r>
      <w:r w:rsidR="00CA1929" w:rsidRPr="00CC12A4">
        <w:rPr>
          <w:rFonts w:eastAsia="Times New Roman" w:cs="Arial"/>
          <w:color w:val="000000"/>
        </w:rPr>
        <w:t>;</w:t>
      </w:r>
      <w:r w:rsidR="00920052" w:rsidRPr="00CC12A4">
        <w:rPr>
          <w:rStyle w:val="FootnoteReference"/>
          <w:rFonts w:eastAsia="Times New Roman" w:cs="Arial"/>
          <w:color w:val="000000"/>
        </w:rPr>
        <w:footnoteReference w:id="17"/>
      </w:r>
      <w:r w:rsidR="00CA1929" w:rsidRPr="00CC12A4">
        <w:rPr>
          <w:rFonts w:eastAsia="Times New Roman" w:cs="Arial"/>
          <w:color w:val="000000"/>
        </w:rPr>
        <w:t xml:space="preserve"> </w:t>
      </w:r>
      <w:r w:rsidR="00CA1929" w:rsidRPr="00CC12A4">
        <w:rPr>
          <w:rFonts w:eastAsia="Times New Roman" w:cs="Arial"/>
          <w:i/>
          <w:iCs/>
          <w:color w:val="000000"/>
        </w:rPr>
        <w:t>Ware v. Antelope Valley Union High School District</w:t>
      </w:r>
      <w:r w:rsidR="00CA1929" w:rsidRPr="00CC12A4">
        <w:rPr>
          <w:rFonts w:eastAsia="Times New Roman" w:cs="Arial"/>
          <w:color w:val="000000"/>
        </w:rPr>
        <w:t xml:space="preserve"> (C.D. Cal. 2018), 2018 WL 6017026 *</w:t>
      </w:r>
      <w:r w:rsidR="00E8425C" w:rsidRPr="00CC12A4">
        <w:rPr>
          <w:rFonts w:eastAsia="Times New Roman" w:cs="Arial"/>
          <w:color w:val="000000"/>
        </w:rPr>
        <w:t>9</w:t>
      </w:r>
      <w:r w:rsidR="00CA1929" w:rsidRPr="00CC12A4">
        <w:rPr>
          <w:rFonts w:eastAsia="Times New Roman" w:cs="Arial"/>
          <w:color w:val="000000"/>
        </w:rPr>
        <w:t xml:space="preserve">; </w:t>
      </w:r>
      <w:r w:rsidR="00CA1929" w:rsidRPr="00CC12A4">
        <w:rPr>
          <w:rFonts w:eastAsia="Times New Roman" w:cs="Arial"/>
          <w:i/>
          <w:iCs/>
          <w:color w:val="000000"/>
        </w:rPr>
        <w:t>C.S. v. Public Safety Academy of San Bernardino</w:t>
      </w:r>
      <w:r w:rsidR="00CA1929" w:rsidRPr="00CC12A4">
        <w:rPr>
          <w:rFonts w:eastAsia="Times New Roman" w:cs="Arial"/>
          <w:color w:val="000000"/>
        </w:rPr>
        <w:t xml:space="preserve"> (C.D. Cal., 2014) 2014 WL 12591181, *</w:t>
      </w:r>
      <w:r w:rsidR="00E8425C" w:rsidRPr="00CC12A4">
        <w:rPr>
          <w:rFonts w:eastAsia="Times New Roman" w:cs="Arial"/>
          <w:color w:val="000000"/>
        </w:rPr>
        <w:t>5.</w:t>
      </w:r>
      <w:r w:rsidR="00CA1929" w:rsidRPr="00CC12A4">
        <w:rPr>
          <w:rFonts w:eastAsia="Times New Roman" w:cs="Arial"/>
          <w:color w:val="000000"/>
        </w:rPr>
        <w:t>)</w:t>
      </w:r>
      <w:r w:rsidR="00BF7E62" w:rsidRPr="00CC12A4">
        <w:rPr>
          <w:rFonts w:eastAsia="Times New Roman" w:cs="Arial"/>
          <w:color w:val="000000"/>
        </w:rPr>
        <w:t xml:space="preserve">  </w:t>
      </w:r>
    </w:p>
    <w:p w14:paraId="358119BE" w14:textId="77777777" w:rsidR="0084211F" w:rsidRPr="00CC12A4" w:rsidRDefault="00C169D1" w:rsidP="00F85866">
      <w:pPr>
        <w:spacing w:line="360" w:lineRule="auto"/>
        <w:rPr>
          <w:rFonts w:eastAsia="Times New Roman" w:cs="Arial"/>
          <w:color w:val="000000"/>
        </w:rPr>
      </w:pPr>
      <w:r w:rsidRPr="00CC12A4">
        <w:rPr>
          <w:rFonts w:eastAsia="Times New Roman" w:cs="Arial"/>
          <w:color w:val="000000"/>
        </w:rPr>
        <w:tab/>
      </w:r>
      <w:r w:rsidR="00BF7E62" w:rsidRPr="00CC12A4">
        <w:rPr>
          <w:rFonts w:eastAsia="Times New Roman" w:cs="Arial"/>
          <w:color w:val="000000"/>
        </w:rPr>
        <w:t>None of these cases</w:t>
      </w:r>
      <w:r w:rsidR="00CA1929" w:rsidRPr="00CC12A4">
        <w:rPr>
          <w:rFonts w:eastAsia="Times New Roman" w:cs="Arial"/>
          <w:color w:val="000000"/>
        </w:rPr>
        <w:t xml:space="preserve"> </w:t>
      </w:r>
      <w:r w:rsidR="00BF7E62" w:rsidRPr="00CC12A4">
        <w:rPr>
          <w:rFonts w:eastAsia="Times New Roman" w:cs="Arial"/>
          <w:color w:val="000000"/>
        </w:rPr>
        <w:t xml:space="preserve">examined the legislative history of the language of </w:t>
      </w:r>
      <w:r w:rsidR="00377E46">
        <w:rPr>
          <w:rFonts w:eastAsia="Times New Roman" w:cs="Arial"/>
          <w:color w:val="000000"/>
        </w:rPr>
        <w:t xml:space="preserve">Civil Code </w:t>
      </w:r>
      <w:r w:rsidR="00760BAB" w:rsidRPr="00CC12A4">
        <w:rPr>
          <w:rFonts w:eastAsia="Times New Roman" w:cs="Arial"/>
          <w:color w:val="000000"/>
        </w:rPr>
        <w:t xml:space="preserve">section 51, </w:t>
      </w:r>
      <w:r w:rsidR="00BF7E62" w:rsidRPr="00CC12A4">
        <w:rPr>
          <w:rFonts w:eastAsia="Times New Roman" w:cs="Arial"/>
          <w:color w:val="000000"/>
        </w:rPr>
        <w:t>subdivision (f)</w:t>
      </w:r>
      <w:r w:rsidR="00650508" w:rsidRPr="00CC12A4">
        <w:rPr>
          <w:rFonts w:eastAsia="Times New Roman" w:cs="Arial"/>
          <w:color w:val="000000"/>
        </w:rPr>
        <w:t xml:space="preserve"> in any depth</w:t>
      </w:r>
      <w:r w:rsidR="00BF7E62" w:rsidRPr="00CC12A4">
        <w:rPr>
          <w:rFonts w:eastAsia="Times New Roman" w:cs="Arial"/>
          <w:color w:val="000000"/>
        </w:rPr>
        <w:t xml:space="preserve">.  Nor did they consider </w:t>
      </w:r>
      <w:r w:rsidRPr="00CC12A4">
        <w:rPr>
          <w:rFonts w:eastAsia="Times New Roman" w:cs="Arial"/>
          <w:color w:val="000000"/>
        </w:rPr>
        <w:t xml:space="preserve">in any meaningful way </w:t>
      </w:r>
      <w:r w:rsidR="00BF7E62" w:rsidRPr="00CC12A4">
        <w:rPr>
          <w:rFonts w:eastAsia="Times New Roman" w:cs="Arial"/>
          <w:color w:val="000000"/>
        </w:rPr>
        <w:t xml:space="preserve">our Supreme Court’s </w:t>
      </w:r>
      <w:r w:rsidR="00893439" w:rsidRPr="00CC12A4">
        <w:rPr>
          <w:rFonts w:eastAsia="Times New Roman" w:cs="Arial"/>
          <w:color w:val="000000"/>
        </w:rPr>
        <w:t xml:space="preserve">discussion </w:t>
      </w:r>
      <w:r w:rsidR="00650508" w:rsidRPr="00CC12A4">
        <w:rPr>
          <w:rFonts w:eastAsia="Times New Roman" w:cs="Arial"/>
          <w:color w:val="000000"/>
        </w:rPr>
        <w:t xml:space="preserve">in </w:t>
      </w:r>
      <w:r w:rsidR="00650508" w:rsidRPr="00CC12A4">
        <w:rPr>
          <w:rFonts w:eastAsia="Times New Roman" w:cs="Arial"/>
          <w:i/>
          <w:iCs/>
          <w:color w:val="000000"/>
        </w:rPr>
        <w:t xml:space="preserve">Munson </w:t>
      </w:r>
      <w:r w:rsidR="00650508" w:rsidRPr="00CC12A4">
        <w:rPr>
          <w:rFonts w:eastAsia="Times New Roman" w:cs="Arial"/>
          <w:color w:val="000000"/>
        </w:rPr>
        <w:t xml:space="preserve">and </w:t>
      </w:r>
      <w:proofErr w:type="spellStart"/>
      <w:r w:rsidR="00650508" w:rsidRPr="00CC12A4">
        <w:rPr>
          <w:rFonts w:eastAsia="Times New Roman" w:cs="Arial"/>
          <w:i/>
          <w:iCs/>
          <w:color w:val="000000"/>
        </w:rPr>
        <w:t>Jankey</w:t>
      </w:r>
      <w:proofErr w:type="spellEnd"/>
      <w:r w:rsidR="00650508" w:rsidRPr="00CC12A4">
        <w:rPr>
          <w:rFonts w:eastAsia="Times New Roman" w:cs="Arial"/>
          <w:i/>
          <w:iCs/>
          <w:color w:val="000000"/>
        </w:rPr>
        <w:t xml:space="preserve"> </w:t>
      </w:r>
      <w:r w:rsidR="00BF7E62" w:rsidRPr="00CC12A4">
        <w:rPr>
          <w:rFonts w:eastAsia="Times New Roman" w:cs="Arial"/>
          <w:color w:val="000000"/>
        </w:rPr>
        <w:t>o</w:t>
      </w:r>
      <w:r w:rsidR="00893439" w:rsidRPr="00CC12A4">
        <w:rPr>
          <w:rFonts w:eastAsia="Times New Roman" w:cs="Arial"/>
          <w:color w:val="000000"/>
        </w:rPr>
        <w:t>f</w:t>
      </w:r>
      <w:r w:rsidR="00BF7E62" w:rsidRPr="00CC12A4">
        <w:rPr>
          <w:rFonts w:eastAsia="Times New Roman" w:cs="Arial"/>
          <w:color w:val="000000"/>
        </w:rPr>
        <w:t xml:space="preserve"> the import and significance of this language, or the </w:t>
      </w:r>
      <w:r w:rsidR="00650508" w:rsidRPr="00CC12A4">
        <w:rPr>
          <w:rFonts w:eastAsia="Times New Roman" w:cs="Arial"/>
          <w:color w:val="000000"/>
        </w:rPr>
        <w:t xml:space="preserve">context in which the </w:t>
      </w:r>
      <w:r w:rsidR="00893439" w:rsidRPr="00CC12A4">
        <w:rPr>
          <w:rFonts w:eastAsia="Times New Roman" w:cs="Arial"/>
          <w:color w:val="000000"/>
        </w:rPr>
        <w:lastRenderedPageBreak/>
        <w:t xml:space="preserve">high </w:t>
      </w:r>
      <w:r w:rsidR="00650508" w:rsidRPr="00CC12A4">
        <w:rPr>
          <w:rFonts w:eastAsia="Times New Roman" w:cs="Arial"/>
          <w:color w:val="000000"/>
        </w:rPr>
        <w:t xml:space="preserve">court examined this language—namely, in addressing the Unruh Act’s prohibition against discrimination </w:t>
      </w:r>
      <w:r w:rsidR="00650508" w:rsidRPr="00CC12A4">
        <w:rPr>
          <w:rFonts w:eastAsia="Times New Roman" w:cs="Arial"/>
          <w:i/>
          <w:iCs/>
          <w:color w:val="000000"/>
        </w:rPr>
        <w:t>by business establishments</w:t>
      </w:r>
      <w:r w:rsidR="00650508" w:rsidRPr="00CC12A4">
        <w:rPr>
          <w:rFonts w:eastAsia="Times New Roman" w:cs="Arial"/>
          <w:color w:val="000000"/>
        </w:rPr>
        <w:t xml:space="preserve">.  Finally, none of these federal court cases </w:t>
      </w:r>
      <w:r w:rsidR="00893439" w:rsidRPr="00CC12A4">
        <w:rPr>
          <w:rFonts w:eastAsia="Times New Roman" w:cs="Arial"/>
          <w:color w:val="000000"/>
        </w:rPr>
        <w:t xml:space="preserve">took </w:t>
      </w:r>
      <w:r w:rsidR="00650508" w:rsidRPr="00CC12A4">
        <w:rPr>
          <w:rFonts w:eastAsia="Times New Roman" w:cs="Arial"/>
          <w:color w:val="000000"/>
        </w:rPr>
        <w:t xml:space="preserve">account of </w:t>
      </w:r>
      <w:r w:rsidR="009A59D4">
        <w:rPr>
          <w:rFonts w:eastAsia="Times New Roman" w:cs="Arial"/>
          <w:color w:val="000000"/>
        </w:rPr>
        <w:t>our high</w:t>
      </w:r>
      <w:r w:rsidR="004F723E" w:rsidRPr="00CC12A4">
        <w:rPr>
          <w:rFonts w:eastAsia="Times New Roman" w:cs="Arial"/>
          <w:color w:val="000000"/>
        </w:rPr>
        <w:t xml:space="preserve"> court’s </w:t>
      </w:r>
      <w:r w:rsidR="00BF7E62" w:rsidRPr="00CC12A4">
        <w:rPr>
          <w:rFonts w:eastAsia="Times New Roman" w:cs="Arial"/>
          <w:color w:val="000000"/>
        </w:rPr>
        <w:t xml:space="preserve">decisions in </w:t>
      </w:r>
      <w:r w:rsidR="00BF7E62" w:rsidRPr="00CC12A4">
        <w:rPr>
          <w:rFonts w:eastAsia="Times New Roman" w:cs="Arial"/>
          <w:i/>
          <w:iCs/>
          <w:color w:val="000000"/>
        </w:rPr>
        <w:t xml:space="preserve">Alcorn </w:t>
      </w:r>
      <w:r w:rsidR="00BF7E62" w:rsidRPr="00CC12A4">
        <w:rPr>
          <w:rFonts w:eastAsia="Times New Roman" w:cs="Arial"/>
          <w:color w:val="000000"/>
        </w:rPr>
        <w:t xml:space="preserve">and </w:t>
      </w:r>
      <w:proofErr w:type="spellStart"/>
      <w:r w:rsidR="00BF7E62" w:rsidRPr="00CC12A4">
        <w:rPr>
          <w:rFonts w:eastAsia="Times New Roman" w:cs="Arial"/>
          <w:i/>
          <w:iCs/>
          <w:color w:val="000000"/>
        </w:rPr>
        <w:t>Rojo</w:t>
      </w:r>
      <w:proofErr w:type="spellEnd"/>
      <w:r w:rsidR="00650508" w:rsidRPr="00CC12A4">
        <w:rPr>
          <w:rFonts w:eastAsia="Times New Roman" w:cs="Arial"/>
          <w:color w:val="000000"/>
        </w:rPr>
        <w:t xml:space="preserve"> holding employment discrimination</w:t>
      </w:r>
      <w:r w:rsidR="0084211F" w:rsidRPr="00CC12A4">
        <w:rPr>
          <w:rFonts w:eastAsia="Times New Roman" w:cs="Arial"/>
          <w:color w:val="000000"/>
        </w:rPr>
        <w:t xml:space="preserve"> </w:t>
      </w:r>
      <w:r w:rsidR="00650508" w:rsidRPr="00CC12A4">
        <w:rPr>
          <w:rFonts w:eastAsia="Times New Roman" w:cs="Arial"/>
          <w:color w:val="000000"/>
        </w:rPr>
        <w:t>claims</w:t>
      </w:r>
      <w:r w:rsidR="0084211F" w:rsidRPr="00CC12A4">
        <w:rPr>
          <w:rFonts w:eastAsia="Times New Roman" w:cs="Arial"/>
          <w:color w:val="000000"/>
        </w:rPr>
        <w:t xml:space="preserve"> are not actionable under the Unruh Act, which </w:t>
      </w:r>
      <w:r w:rsidR="000F45EE" w:rsidRPr="00CC12A4">
        <w:rPr>
          <w:rFonts w:eastAsia="Times New Roman" w:cs="Arial"/>
          <w:color w:val="000000"/>
        </w:rPr>
        <w:t xml:space="preserve">per force </w:t>
      </w:r>
      <w:r w:rsidR="0084211F" w:rsidRPr="00CC12A4">
        <w:rPr>
          <w:rFonts w:eastAsia="Times New Roman" w:cs="Arial"/>
          <w:color w:val="000000"/>
        </w:rPr>
        <w:t xml:space="preserve">forecloses employment discrimination claims based on </w:t>
      </w:r>
      <w:r w:rsidR="00422E97">
        <w:rPr>
          <w:rFonts w:eastAsia="Times New Roman" w:cs="Arial"/>
          <w:color w:val="000000"/>
        </w:rPr>
        <w:t>T</w:t>
      </w:r>
      <w:r w:rsidR="0084211F" w:rsidRPr="00CC12A4">
        <w:rPr>
          <w:rFonts w:eastAsia="Times New Roman" w:cs="Arial"/>
          <w:color w:val="000000"/>
        </w:rPr>
        <w:t>itle I of the ADA</w:t>
      </w:r>
      <w:r w:rsidR="000F45EE" w:rsidRPr="00CC12A4">
        <w:rPr>
          <w:rFonts w:eastAsia="Times New Roman" w:cs="Arial"/>
          <w:color w:val="000000"/>
        </w:rPr>
        <w:t xml:space="preserve"> and </w:t>
      </w:r>
      <w:r w:rsidRPr="00CC12A4">
        <w:rPr>
          <w:rFonts w:eastAsia="Times New Roman" w:cs="Arial"/>
          <w:color w:val="000000"/>
        </w:rPr>
        <w:t xml:space="preserve">thus </w:t>
      </w:r>
      <w:r w:rsidR="00934706" w:rsidRPr="00CC12A4">
        <w:rPr>
          <w:rFonts w:eastAsia="Times New Roman" w:cs="Arial"/>
          <w:color w:val="000000"/>
        </w:rPr>
        <w:t xml:space="preserve">eviscerates </w:t>
      </w:r>
      <w:r w:rsidR="000F45EE" w:rsidRPr="00CC12A4">
        <w:rPr>
          <w:rFonts w:eastAsia="Times New Roman" w:cs="Arial"/>
          <w:color w:val="000000"/>
        </w:rPr>
        <w:t xml:space="preserve">the </w:t>
      </w:r>
      <w:r w:rsidR="004F723E" w:rsidRPr="00CC12A4">
        <w:rPr>
          <w:rFonts w:eastAsia="Times New Roman" w:cs="Arial"/>
          <w:color w:val="000000"/>
        </w:rPr>
        <w:t>premise</w:t>
      </w:r>
      <w:r w:rsidR="000F45EE" w:rsidRPr="00CC12A4">
        <w:rPr>
          <w:rFonts w:eastAsia="Times New Roman" w:cs="Arial"/>
          <w:color w:val="000000"/>
        </w:rPr>
        <w:t xml:space="preserve"> “any” violation of the ADA is </w:t>
      </w:r>
      <w:r w:rsidR="006B142F" w:rsidRPr="00CC12A4">
        <w:rPr>
          <w:rFonts w:eastAsia="Times New Roman" w:cs="Arial"/>
          <w:color w:val="000000"/>
        </w:rPr>
        <w:t xml:space="preserve">a </w:t>
      </w:r>
      <w:r w:rsidR="000F45EE" w:rsidRPr="00CC12A4">
        <w:rPr>
          <w:rFonts w:eastAsia="Times New Roman" w:cs="Arial"/>
          <w:color w:val="000000"/>
        </w:rPr>
        <w:t xml:space="preserve">violation of the Unruh Act.  </w:t>
      </w:r>
      <w:r w:rsidR="0084211F" w:rsidRPr="00CC12A4">
        <w:rPr>
          <w:rFonts w:eastAsia="Times New Roman" w:cs="Arial"/>
          <w:color w:val="000000"/>
        </w:rPr>
        <w:t xml:space="preserve"> </w:t>
      </w:r>
    </w:p>
    <w:p w14:paraId="34C55608" w14:textId="77777777" w:rsidR="004F723E" w:rsidRPr="00CC12A4" w:rsidRDefault="0084211F" w:rsidP="00696EEB">
      <w:pPr>
        <w:spacing w:line="360" w:lineRule="auto"/>
        <w:rPr>
          <w:rFonts w:eastAsia="Times New Roman" w:cs="Arial"/>
          <w:color w:val="000000"/>
        </w:rPr>
      </w:pPr>
      <w:r w:rsidRPr="00CC12A4">
        <w:rPr>
          <w:rFonts w:eastAsia="Times New Roman" w:cs="Arial"/>
          <w:color w:val="000000"/>
        </w:rPr>
        <w:tab/>
        <w:t>In</w:t>
      </w:r>
      <w:r w:rsidR="00C169D1" w:rsidRPr="00CC12A4">
        <w:rPr>
          <w:rFonts w:eastAsia="Times New Roman" w:cs="Arial"/>
          <w:color w:val="000000"/>
        </w:rPr>
        <w:t>deed,</w:t>
      </w:r>
      <w:r w:rsidRPr="00CC12A4">
        <w:rPr>
          <w:rFonts w:eastAsia="Times New Roman" w:cs="Arial"/>
          <w:color w:val="000000"/>
        </w:rPr>
        <w:t xml:space="preserve"> </w:t>
      </w:r>
      <w:r w:rsidR="00C169D1" w:rsidRPr="00CC12A4">
        <w:rPr>
          <w:rFonts w:eastAsia="Times New Roman" w:cs="Arial"/>
          <w:color w:val="000000"/>
        </w:rPr>
        <w:t>in marked contrast to the line of cases on which p</w:t>
      </w:r>
      <w:r w:rsidR="00934706" w:rsidRPr="00CC12A4">
        <w:rPr>
          <w:rFonts w:eastAsia="Times New Roman" w:cs="Arial"/>
          <w:color w:val="000000"/>
        </w:rPr>
        <w:t>etitioner</w:t>
      </w:r>
      <w:r w:rsidR="00C169D1" w:rsidRPr="00CC12A4">
        <w:rPr>
          <w:rFonts w:eastAsia="Times New Roman" w:cs="Arial"/>
          <w:color w:val="000000"/>
        </w:rPr>
        <w:t xml:space="preserve"> relies, the circuit court panel in </w:t>
      </w:r>
      <w:r w:rsidRPr="00CC12A4">
        <w:rPr>
          <w:rFonts w:eastAsia="Times New Roman" w:cs="Arial"/>
          <w:i/>
          <w:iCs/>
          <w:color w:val="000000"/>
        </w:rPr>
        <w:t>Bass v. County of Butte</w:t>
      </w:r>
      <w:r w:rsidRPr="00CC12A4">
        <w:rPr>
          <w:rFonts w:eastAsia="Times New Roman" w:cs="Arial"/>
          <w:color w:val="000000"/>
        </w:rPr>
        <w:t xml:space="preserve"> (9th Cir. 2006) 458</w:t>
      </w:r>
      <w:r w:rsidR="00760BAB" w:rsidRPr="00CC12A4">
        <w:rPr>
          <w:rFonts w:eastAsia="Times New Roman" w:cs="Arial"/>
          <w:color w:val="000000"/>
        </w:rPr>
        <w:t> </w:t>
      </w:r>
      <w:r w:rsidRPr="00CC12A4">
        <w:rPr>
          <w:rFonts w:eastAsia="Times New Roman" w:cs="Arial"/>
          <w:color w:val="000000"/>
        </w:rPr>
        <w:t>F.3d 978</w:t>
      </w:r>
      <w:r w:rsidR="000F45EE" w:rsidRPr="00CC12A4">
        <w:rPr>
          <w:rFonts w:eastAsia="Times New Roman" w:cs="Arial"/>
          <w:color w:val="000000"/>
        </w:rPr>
        <w:t xml:space="preserve"> (</w:t>
      </w:r>
      <w:r w:rsidR="000F45EE" w:rsidRPr="00CC12A4">
        <w:rPr>
          <w:rFonts w:eastAsia="Times New Roman" w:cs="Arial"/>
          <w:i/>
          <w:iCs/>
          <w:color w:val="000000"/>
        </w:rPr>
        <w:t>Bass</w:t>
      </w:r>
      <w:r w:rsidR="000F45EE" w:rsidRPr="00CC12A4">
        <w:rPr>
          <w:rFonts w:eastAsia="Times New Roman" w:cs="Arial"/>
          <w:color w:val="000000"/>
        </w:rPr>
        <w:t>)</w:t>
      </w:r>
      <w:r w:rsidR="004F723E" w:rsidRPr="00CC12A4">
        <w:rPr>
          <w:rFonts w:eastAsia="Times New Roman" w:cs="Arial"/>
          <w:color w:val="000000"/>
        </w:rPr>
        <w:t>,</w:t>
      </w:r>
      <w:r w:rsidR="00C169D1" w:rsidRPr="00CC12A4">
        <w:rPr>
          <w:rFonts w:eastAsia="Times New Roman" w:cs="Arial"/>
          <w:color w:val="000000"/>
        </w:rPr>
        <w:t xml:space="preserve"> undertook a thorough examination of each of the areas of inquiry as to which the analyses in the other cases </w:t>
      </w:r>
      <w:r w:rsidR="00CB3FBA" w:rsidRPr="00CC12A4">
        <w:rPr>
          <w:rFonts w:eastAsia="Times New Roman" w:cs="Arial"/>
          <w:color w:val="000000"/>
        </w:rPr>
        <w:t>are</w:t>
      </w:r>
      <w:r w:rsidR="00C169D1" w:rsidRPr="00CC12A4">
        <w:rPr>
          <w:rFonts w:eastAsia="Times New Roman" w:cs="Arial"/>
          <w:color w:val="000000"/>
        </w:rPr>
        <w:t xml:space="preserve"> profoundly deficient.</w:t>
      </w:r>
      <w:r w:rsidR="00366D07" w:rsidRPr="00CC12A4">
        <w:rPr>
          <w:rFonts w:eastAsia="Times New Roman" w:cs="Arial"/>
          <w:color w:val="000000"/>
        </w:rPr>
        <w:t xml:space="preserve">  Acknowledging </w:t>
      </w:r>
      <w:r w:rsidR="000F45EE" w:rsidRPr="00CC12A4">
        <w:rPr>
          <w:rFonts w:eastAsia="Times New Roman" w:cs="Arial"/>
          <w:i/>
          <w:iCs/>
          <w:color w:val="000000"/>
        </w:rPr>
        <w:t xml:space="preserve">Alcorn </w:t>
      </w:r>
      <w:r w:rsidR="000F45EE" w:rsidRPr="00CC12A4">
        <w:rPr>
          <w:rFonts w:eastAsia="Times New Roman" w:cs="Arial"/>
          <w:color w:val="000000"/>
        </w:rPr>
        <w:t xml:space="preserve">and </w:t>
      </w:r>
      <w:proofErr w:type="spellStart"/>
      <w:r w:rsidR="000F45EE" w:rsidRPr="00CC12A4">
        <w:rPr>
          <w:rFonts w:eastAsia="Times New Roman" w:cs="Arial"/>
          <w:i/>
          <w:iCs/>
          <w:color w:val="000000"/>
        </w:rPr>
        <w:t>Rojo</w:t>
      </w:r>
      <w:proofErr w:type="spellEnd"/>
      <w:r w:rsidR="00366D07" w:rsidRPr="00CC12A4">
        <w:rPr>
          <w:rFonts w:eastAsia="Times New Roman" w:cs="Arial"/>
          <w:i/>
          <w:iCs/>
          <w:color w:val="000000"/>
        </w:rPr>
        <w:t xml:space="preserve">, </w:t>
      </w:r>
      <w:r w:rsidR="00366D07" w:rsidRPr="00CC12A4">
        <w:rPr>
          <w:rFonts w:eastAsia="Times New Roman" w:cs="Arial"/>
          <w:color w:val="000000"/>
        </w:rPr>
        <w:t xml:space="preserve">the </w:t>
      </w:r>
      <w:r w:rsidR="00366D07" w:rsidRPr="00CC12A4">
        <w:rPr>
          <w:rFonts w:eastAsia="Times New Roman" w:cs="Arial"/>
          <w:i/>
          <w:iCs/>
          <w:color w:val="000000"/>
        </w:rPr>
        <w:t xml:space="preserve">Bass </w:t>
      </w:r>
      <w:r w:rsidR="00366D07" w:rsidRPr="00CC12A4">
        <w:rPr>
          <w:rFonts w:eastAsia="Times New Roman" w:cs="Arial"/>
          <w:color w:val="000000"/>
        </w:rPr>
        <w:t xml:space="preserve">court </w:t>
      </w:r>
      <w:r w:rsidR="000F45EE" w:rsidRPr="00CC12A4">
        <w:rPr>
          <w:rFonts w:eastAsia="Times New Roman" w:cs="Arial"/>
          <w:color w:val="000000"/>
        </w:rPr>
        <w:t xml:space="preserve">concluded employment claims asserted under </w:t>
      </w:r>
      <w:r w:rsidR="00422E97">
        <w:rPr>
          <w:rFonts w:eastAsia="Times New Roman" w:cs="Arial"/>
          <w:color w:val="000000"/>
        </w:rPr>
        <w:t>T</w:t>
      </w:r>
      <w:r w:rsidR="000F45EE" w:rsidRPr="00CC12A4">
        <w:rPr>
          <w:rFonts w:eastAsia="Times New Roman" w:cs="Arial"/>
          <w:color w:val="000000"/>
        </w:rPr>
        <w:t>itle I of the ADA cannot be brought under the Unruh Act</w:t>
      </w:r>
      <w:r w:rsidR="00366D07" w:rsidRPr="00CC12A4">
        <w:rPr>
          <w:rFonts w:eastAsia="Times New Roman" w:cs="Arial"/>
          <w:color w:val="000000"/>
        </w:rPr>
        <w:t>.</w:t>
      </w:r>
      <w:r w:rsidR="00CB3FBA" w:rsidRPr="00CC12A4">
        <w:rPr>
          <w:rFonts w:eastAsia="Times New Roman" w:cs="Arial"/>
          <w:color w:val="000000"/>
        </w:rPr>
        <w:t xml:space="preserve">  (</w:t>
      </w:r>
      <w:r w:rsidR="00CB3FBA" w:rsidRPr="00CC12A4">
        <w:rPr>
          <w:rFonts w:eastAsia="Times New Roman" w:cs="Arial"/>
          <w:i/>
          <w:iCs/>
          <w:color w:val="000000"/>
        </w:rPr>
        <w:t xml:space="preserve">Id. </w:t>
      </w:r>
      <w:r w:rsidR="00CB3FBA" w:rsidRPr="00CC12A4">
        <w:rPr>
          <w:rFonts w:eastAsia="Times New Roman" w:cs="Arial"/>
          <w:color w:val="000000"/>
        </w:rPr>
        <w:t>at p</w:t>
      </w:r>
      <w:r w:rsidR="00760BAB" w:rsidRPr="00CC12A4">
        <w:rPr>
          <w:rFonts w:eastAsia="Times New Roman" w:cs="Arial"/>
          <w:color w:val="000000"/>
        </w:rPr>
        <w:t>p</w:t>
      </w:r>
      <w:r w:rsidR="00CB3FBA" w:rsidRPr="00CC12A4">
        <w:rPr>
          <w:rFonts w:eastAsia="Times New Roman" w:cs="Arial"/>
          <w:color w:val="000000"/>
        </w:rPr>
        <w:t>. 981</w:t>
      </w:r>
      <w:r w:rsidR="00377E46" w:rsidRPr="009F4BDD">
        <w:rPr>
          <w:rFonts w:eastAsia="Times New Roman" w:cs="Arial"/>
          <w:color w:val="000000"/>
        </w:rPr>
        <w:t>–</w:t>
      </w:r>
      <w:r w:rsidR="00760BAB" w:rsidRPr="00CC12A4">
        <w:rPr>
          <w:rFonts w:eastAsia="Times New Roman" w:cs="Arial"/>
          <w:color w:val="000000"/>
        </w:rPr>
        <w:t>982</w:t>
      </w:r>
      <w:r w:rsidR="00CB3FBA" w:rsidRPr="00CC12A4">
        <w:rPr>
          <w:rFonts w:eastAsia="Times New Roman" w:cs="Arial"/>
          <w:color w:val="000000"/>
        </w:rPr>
        <w:t>.)</w:t>
      </w:r>
      <w:r w:rsidR="00366D07" w:rsidRPr="00CC12A4">
        <w:rPr>
          <w:rFonts w:eastAsia="Times New Roman" w:cs="Arial"/>
          <w:color w:val="000000"/>
        </w:rPr>
        <w:t xml:space="preserve">  The court</w:t>
      </w:r>
      <w:r w:rsidR="004F723E" w:rsidRPr="00CC12A4">
        <w:rPr>
          <w:rFonts w:eastAsia="Times New Roman" w:cs="Arial"/>
          <w:color w:val="000000"/>
        </w:rPr>
        <w:t xml:space="preserve"> squarely </w:t>
      </w:r>
      <w:r w:rsidR="00EF5EB6" w:rsidRPr="00CC12A4">
        <w:rPr>
          <w:rFonts w:eastAsia="Times New Roman" w:cs="Arial"/>
          <w:color w:val="000000"/>
        </w:rPr>
        <w:t>reject</w:t>
      </w:r>
      <w:r w:rsidR="004F723E" w:rsidRPr="00CC12A4">
        <w:rPr>
          <w:rFonts w:eastAsia="Times New Roman" w:cs="Arial"/>
          <w:color w:val="000000"/>
        </w:rPr>
        <w:t>ed</w:t>
      </w:r>
      <w:r w:rsidR="00EF5EB6" w:rsidRPr="00CC12A4">
        <w:rPr>
          <w:rFonts w:eastAsia="Times New Roman" w:cs="Arial"/>
          <w:color w:val="000000"/>
        </w:rPr>
        <w:t xml:space="preserve"> </w:t>
      </w:r>
      <w:r w:rsidR="000F45EE" w:rsidRPr="00CC12A4">
        <w:rPr>
          <w:rFonts w:eastAsia="Times New Roman" w:cs="Arial"/>
          <w:color w:val="000000"/>
        </w:rPr>
        <w:t xml:space="preserve">the plaintiff’s </w:t>
      </w:r>
      <w:r w:rsidR="00EF5EB6" w:rsidRPr="00CC12A4">
        <w:rPr>
          <w:rFonts w:eastAsia="Times New Roman" w:cs="Arial"/>
          <w:color w:val="000000"/>
        </w:rPr>
        <w:t xml:space="preserve">claim </w:t>
      </w:r>
      <w:r w:rsidR="000F45EE" w:rsidRPr="00CC12A4">
        <w:rPr>
          <w:rFonts w:eastAsia="Times New Roman" w:cs="Arial"/>
          <w:color w:val="000000"/>
        </w:rPr>
        <w:t xml:space="preserve">that under </w:t>
      </w:r>
      <w:r w:rsidR="00377E46">
        <w:rPr>
          <w:rFonts w:eastAsia="Times New Roman" w:cs="Arial"/>
          <w:color w:val="000000"/>
        </w:rPr>
        <w:t xml:space="preserve">Civil Code section 51, </w:t>
      </w:r>
      <w:r w:rsidR="000F45EE" w:rsidRPr="00CC12A4">
        <w:rPr>
          <w:rFonts w:eastAsia="Times New Roman" w:cs="Arial"/>
          <w:color w:val="000000"/>
        </w:rPr>
        <w:t>subdivision (f)</w:t>
      </w:r>
      <w:r w:rsidR="002C2381" w:rsidRPr="00CC12A4">
        <w:rPr>
          <w:rFonts w:eastAsia="Times New Roman" w:cs="Arial"/>
          <w:color w:val="000000"/>
        </w:rPr>
        <w:t xml:space="preserve"> of the Act and a like provision of the DPA</w:t>
      </w:r>
      <w:r w:rsidR="004F723E" w:rsidRPr="00CC12A4">
        <w:rPr>
          <w:rFonts w:eastAsia="Times New Roman" w:cs="Arial"/>
          <w:color w:val="000000"/>
        </w:rPr>
        <w:t xml:space="preserve">, </w:t>
      </w:r>
      <w:r w:rsidR="000F45EE" w:rsidRPr="00CC12A4">
        <w:rPr>
          <w:rFonts w:eastAsia="Times New Roman" w:cs="Arial"/>
          <w:color w:val="000000"/>
        </w:rPr>
        <w:t>any violation of the ADA is “per se” a violation of the</w:t>
      </w:r>
      <w:r w:rsidR="004F723E" w:rsidRPr="00CC12A4">
        <w:rPr>
          <w:rFonts w:eastAsia="Times New Roman" w:cs="Arial"/>
          <w:color w:val="000000"/>
        </w:rPr>
        <w:t>se statutes</w:t>
      </w:r>
      <w:r w:rsidR="000F45EE" w:rsidRPr="00CC12A4">
        <w:rPr>
          <w:rFonts w:eastAsia="Times New Roman" w:cs="Arial"/>
          <w:color w:val="000000"/>
        </w:rPr>
        <w:t>.</w:t>
      </w:r>
      <w:r w:rsidR="00CB3FBA" w:rsidRPr="00CC12A4">
        <w:rPr>
          <w:rFonts w:eastAsia="Times New Roman" w:cs="Arial"/>
          <w:color w:val="000000"/>
        </w:rPr>
        <w:t xml:space="preserve">  (</w:t>
      </w:r>
      <w:r w:rsidR="00CB3FBA" w:rsidRPr="00CC12A4">
        <w:rPr>
          <w:rFonts w:eastAsia="Times New Roman" w:cs="Arial"/>
          <w:i/>
          <w:iCs/>
          <w:color w:val="000000"/>
        </w:rPr>
        <w:t xml:space="preserve">Id. </w:t>
      </w:r>
      <w:r w:rsidR="00CB3FBA" w:rsidRPr="00CC12A4">
        <w:rPr>
          <w:rFonts w:eastAsia="Times New Roman" w:cs="Arial"/>
          <w:color w:val="000000"/>
        </w:rPr>
        <w:t>at pp. 981</w:t>
      </w:r>
      <w:r w:rsidR="00377E46" w:rsidRPr="009F4BDD">
        <w:rPr>
          <w:rFonts w:eastAsia="Times New Roman" w:cs="Arial"/>
          <w:color w:val="000000"/>
        </w:rPr>
        <w:t>–</w:t>
      </w:r>
      <w:r w:rsidR="00CB3FBA" w:rsidRPr="00CC12A4">
        <w:rPr>
          <w:rFonts w:eastAsia="Times New Roman" w:cs="Arial"/>
          <w:color w:val="000000"/>
        </w:rPr>
        <w:t>983.)</w:t>
      </w:r>
    </w:p>
    <w:p w14:paraId="118250BE" w14:textId="77777777" w:rsidR="00696EEB" w:rsidRPr="00CC12A4" w:rsidRDefault="004F723E" w:rsidP="00696EEB">
      <w:pPr>
        <w:spacing w:line="360" w:lineRule="auto"/>
        <w:rPr>
          <w:rFonts w:eastAsia="Times New Roman" w:cs="Arial"/>
          <w:color w:val="000000"/>
        </w:rPr>
      </w:pPr>
      <w:r w:rsidRPr="00CC12A4">
        <w:rPr>
          <w:rFonts w:eastAsia="Times New Roman" w:cs="Arial"/>
          <w:color w:val="000000"/>
        </w:rPr>
        <w:tab/>
      </w:r>
      <w:r w:rsidR="00EF5EB6" w:rsidRPr="00CC12A4">
        <w:rPr>
          <w:rFonts w:eastAsia="Times New Roman" w:cs="Arial"/>
          <w:color w:val="000000"/>
        </w:rPr>
        <w:t xml:space="preserve">With respect to the plaintiff’s reliance on the language </w:t>
      </w:r>
      <w:r w:rsidR="002C2381" w:rsidRPr="00CC12A4">
        <w:rPr>
          <w:rFonts w:eastAsia="Times New Roman" w:cs="Arial"/>
          <w:color w:val="000000"/>
        </w:rPr>
        <w:t xml:space="preserve">added to these statutes in 1992 and 1996, respectively, </w:t>
      </w:r>
      <w:r w:rsidR="00EF5EB6" w:rsidRPr="00CC12A4">
        <w:rPr>
          <w:rFonts w:eastAsia="Times New Roman" w:cs="Arial"/>
          <w:color w:val="000000"/>
        </w:rPr>
        <w:t xml:space="preserve">the court stated </w:t>
      </w:r>
      <w:r w:rsidR="002C2381" w:rsidRPr="00CC12A4">
        <w:rPr>
          <w:rFonts w:eastAsia="Times New Roman" w:cs="Arial"/>
          <w:color w:val="000000"/>
        </w:rPr>
        <w:t xml:space="preserve">plaintiff’s construction </w:t>
      </w:r>
      <w:r w:rsidR="00EF5EB6" w:rsidRPr="00CC12A4">
        <w:rPr>
          <w:rFonts w:eastAsia="Times New Roman" w:cs="Arial"/>
          <w:color w:val="000000"/>
        </w:rPr>
        <w:t>was “</w:t>
      </w:r>
      <w:r w:rsidR="0084211F" w:rsidRPr="00CC12A4">
        <w:rPr>
          <w:rFonts w:eastAsia="Times New Roman" w:cs="Arial"/>
          <w:color w:val="000000"/>
        </w:rPr>
        <w:t>incompatible with the state</w:t>
      </w:r>
      <w:r w:rsidRPr="00CC12A4">
        <w:rPr>
          <w:rFonts w:eastAsia="Times New Roman" w:cs="Arial"/>
          <w:color w:val="000000"/>
        </w:rPr>
        <w:t>’</w:t>
      </w:r>
      <w:r w:rsidR="0084211F" w:rsidRPr="00CC12A4">
        <w:rPr>
          <w:rFonts w:eastAsia="Times New Roman" w:cs="Arial"/>
          <w:color w:val="000000"/>
        </w:rPr>
        <w:t>s statutory scheme as a whole and is unsupported by the legislative history of the amendments</w:t>
      </w:r>
      <w:r w:rsidR="00EF5EB6" w:rsidRPr="00CC12A4">
        <w:rPr>
          <w:rFonts w:eastAsia="Times New Roman" w:cs="Arial"/>
          <w:color w:val="000000"/>
        </w:rPr>
        <w:t>.”  (</w:t>
      </w:r>
      <w:r w:rsidR="004927E0" w:rsidRPr="00CC12A4">
        <w:rPr>
          <w:rFonts w:eastAsia="Times New Roman" w:cs="Arial"/>
          <w:i/>
          <w:iCs/>
          <w:color w:val="000000"/>
        </w:rPr>
        <w:t xml:space="preserve">Bass, supra, </w:t>
      </w:r>
      <w:r w:rsidR="004927E0" w:rsidRPr="00CC12A4">
        <w:rPr>
          <w:rFonts w:eastAsia="Times New Roman" w:cs="Arial"/>
          <w:color w:val="000000"/>
        </w:rPr>
        <w:t>458 F.3d</w:t>
      </w:r>
      <w:r w:rsidR="00EF5EB6" w:rsidRPr="00CC12A4">
        <w:rPr>
          <w:rFonts w:eastAsia="Times New Roman" w:cs="Arial"/>
          <w:color w:val="000000"/>
        </w:rPr>
        <w:t xml:space="preserve"> at p. 9</w:t>
      </w:r>
      <w:r w:rsidR="00760BAB" w:rsidRPr="00CC12A4">
        <w:rPr>
          <w:rFonts w:eastAsia="Times New Roman" w:cs="Arial"/>
          <w:color w:val="000000"/>
        </w:rPr>
        <w:t>81</w:t>
      </w:r>
      <w:r w:rsidR="00EF5EB6" w:rsidRPr="00CC12A4">
        <w:rPr>
          <w:rFonts w:eastAsia="Times New Roman" w:cs="Arial"/>
          <w:color w:val="000000"/>
        </w:rPr>
        <w:t xml:space="preserve">.)  </w:t>
      </w:r>
      <w:r w:rsidR="00BB51E5" w:rsidRPr="00CC12A4">
        <w:rPr>
          <w:rFonts w:eastAsia="Times New Roman" w:cs="Arial"/>
          <w:color w:val="000000"/>
        </w:rPr>
        <w:t xml:space="preserve">The plaintiff’s assertion that the “plain </w:t>
      </w:r>
      <w:r w:rsidR="00760BAB" w:rsidRPr="00CC12A4">
        <w:rPr>
          <w:rFonts w:eastAsia="Times New Roman" w:cs="Arial"/>
          <w:color w:val="000000"/>
        </w:rPr>
        <w:t>meaning</w:t>
      </w:r>
      <w:r w:rsidR="00BB51E5" w:rsidRPr="00CC12A4">
        <w:rPr>
          <w:rFonts w:eastAsia="Times New Roman" w:cs="Arial"/>
          <w:color w:val="000000"/>
        </w:rPr>
        <w:t xml:space="preserve">” </w:t>
      </w:r>
      <w:r w:rsidR="002C2381" w:rsidRPr="00CC12A4">
        <w:rPr>
          <w:rFonts w:eastAsia="Times New Roman" w:cs="Arial"/>
          <w:color w:val="000000"/>
        </w:rPr>
        <w:t xml:space="preserve">of the amendments </w:t>
      </w:r>
      <w:r w:rsidR="0084211F" w:rsidRPr="00CC12A4">
        <w:rPr>
          <w:rFonts w:eastAsia="Times New Roman" w:cs="Arial"/>
          <w:color w:val="000000"/>
        </w:rPr>
        <w:t>require</w:t>
      </w:r>
      <w:r w:rsidR="00BB51E5" w:rsidRPr="00CC12A4">
        <w:rPr>
          <w:rFonts w:eastAsia="Times New Roman" w:cs="Arial"/>
          <w:color w:val="000000"/>
        </w:rPr>
        <w:t>d</w:t>
      </w:r>
      <w:r w:rsidR="0084211F" w:rsidRPr="00CC12A4">
        <w:rPr>
          <w:rFonts w:eastAsia="Times New Roman" w:cs="Arial"/>
          <w:color w:val="000000"/>
        </w:rPr>
        <w:t xml:space="preserve"> </w:t>
      </w:r>
      <w:r w:rsidR="00BB51E5" w:rsidRPr="00CC12A4">
        <w:rPr>
          <w:rFonts w:eastAsia="Times New Roman" w:cs="Arial"/>
          <w:color w:val="000000"/>
        </w:rPr>
        <w:t>“</w:t>
      </w:r>
      <w:r w:rsidR="0084211F" w:rsidRPr="00CC12A4">
        <w:rPr>
          <w:rFonts w:eastAsia="Times New Roman" w:cs="Arial"/>
          <w:color w:val="000000"/>
        </w:rPr>
        <w:t>incorporation of the ADA in its entirety into the Unruh Act</w:t>
      </w:r>
      <w:r w:rsidR="002C2381" w:rsidRPr="00CC12A4">
        <w:rPr>
          <w:rFonts w:eastAsia="Times New Roman" w:cs="Arial"/>
          <w:color w:val="000000"/>
        </w:rPr>
        <w:t xml:space="preserve"> and the DPA</w:t>
      </w:r>
      <w:r w:rsidR="00BB51E5" w:rsidRPr="00CC12A4">
        <w:rPr>
          <w:rFonts w:eastAsia="Times New Roman" w:cs="Arial"/>
          <w:color w:val="000000"/>
        </w:rPr>
        <w:t>,”</w:t>
      </w:r>
      <w:r w:rsidR="00760BAB" w:rsidRPr="00CC12A4">
        <w:rPr>
          <w:rFonts w:eastAsia="Times New Roman" w:cs="Arial"/>
          <w:color w:val="000000"/>
        </w:rPr>
        <w:t xml:space="preserve"> (italics omitted)</w:t>
      </w:r>
      <w:r w:rsidR="00BB51E5" w:rsidRPr="00CC12A4">
        <w:rPr>
          <w:rFonts w:eastAsia="Times New Roman" w:cs="Arial"/>
          <w:color w:val="000000"/>
        </w:rPr>
        <w:t xml:space="preserve"> said the court, would “</w:t>
      </w:r>
      <w:r w:rsidR="0084211F" w:rsidRPr="00CC12A4">
        <w:rPr>
          <w:rFonts w:eastAsia="Times New Roman" w:cs="Arial"/>
          <w:color w:val="000000"/>
        </w:rPr>
        <w:t>transform</w:t>
      </w:r>
      <w:r w:rsidR="00BB51E5" w:rsidRPr="00CC12A4">
        <w:rPr>
          <w:rFonts w:eastAsia="Times New Roman" w:cs="Arial"/>
          <w:color w:val="000000"/>
        </w:rPr>
        <w:t>[]</w:t>
      </w:r>
      <w:r w:rsidR="0084211F" w:rsidRPr="00CC12A4">
        <w:rPr>
          <w:rFonts w:eastAsia="Times New Roman" w:cs="Arial"/>
          <w:color w:val="000000"/>
        </w:rPr>
        <w:t xml:space="preserve"> the subject-matter scope of these statutes, </w:t>
      </w:r>
      <w:r w:rsidR="0084211F" w:rsidRPr="00CC12A4">
        <w:rPr>
          <w:rFonts w:eastAsia="Times New Roman" w:cs="Arial"/>
          <w:i/>
          <w:iCs/>
          <w:color w:val="000000"/>
        </w:rPr>
        <w:t>drastically broadening their reach from public accommodations</w:t>
      </w:r>
      <w:r w:rsidR="0084211F" w:rsidRPr="00CC12A4">
        <w:rPr>
          <w:rFonts w:eastAsia="Times New Roman" w:cs="Arial"/>
          <w:color w:val="000000"/>
        </w:rPr>
        <w:t xml:space="preserve"> to employment discrimination.  (</w:t>
      </w:r>
      <w:r w:rsidR="004927E0" w:rsidRPr="00CC12A4">
        <w:rPr>
          <w:rFonts w:eastAsia="Times New Roman" w:cs="Arial"/>
          <w:i/>
          <w:iCs/>
          <w:color w:val="000000"/>
        </w:rPr>
        <w:t>I</w:t>
      </w:r>
      <w:r w:rsidR="007354E1" w:rsidRPr="00CC12A4">
        <w:rPr>
          <w:rFonts w:eastAsia="Times New Roman" w:cs="Arial"/>
          <w:i/>
          <w:iCs/>
          <w:color w:val="000000"/>
        </w:rPr>
        <w:t>bid.</w:t>
      </w:r>
      <w:r w:rsidR="002C2381" w:rsidRPr="00CC12A4">
        <w:rPr>
          <w:rFonts w:eastAsia="Times New Roman" w:cs="Arial"/>
          <w:color w:val="000000"/>
        </w:rPr>
        <w:t>, it</w:t>
      </w:r>
      <w:r w:rsidR="00696EEB" w:rsidRPr="00CC12A4">
        <w:rPr>
          <w:rFonts w:eastAsia="Times New Roman" w:cs="Arial"/>
          <w:color w:val="000000"/>
        </w:rPr>
        <w:t>a</w:t>
      </w:r>
      <w:r w:rsidR="002C2381" w:rsidRPr="00CC12A4">
        <w:rPr>
          <w:rFonts w:eastAsia="Times New Roman" w:cs="Arial"/>
          <w:color w:val="000000"/>
        </w:rPr>
        <w:t>lics added</w:t>
      </w:r>
      <w:r w:rsidR="00BB51E5" w:rsidRPr="00CC12A4">
        <w:rPr>
          <w:rFonts w:eastAsia="Times New Roman" w:cs="Arial"/>
          <w:color w:val="000000"/>
        </w:rPr>
        <w:t>.</w:t>
      </w:r>
      <w:r w:rsidR="0084211F" w:rsidRPr="00CC12A4">
        <w:rPr>
          <w:rFonts w:eastAsia="Times New Roman" w:cs="Arial"/>
          <w:color w:val="000000"/>
        </w:rPr>
        <w:t>)</w:t>
      </w:r>
      <w:r w:rsidR="00BB51E5" w:rsidRPr="00CC12A4">
        <w:rPr>
          <w:rFonts w:eastAsia="Times New Roman" w:cs="Arial"/>
          <w:color w:val="000000"/>
        </w:rPr>
        <w:t xml:space="preserve">  </w:t>
      </w:r>
      <w:r w:rsidR="00867AD8" w:rsidRPr="00CC12A4">
        <w:rPr>
          <w:rFonts w:eastAsia="Times New Roman" w:cs="Arial"/>
          <w:color w:val="000000"/>
        </w:rPr>
        <w:t xml:space="preserve">The language </w:t>
      </w:r>
      <w:r w:rsidR="00BB51E5" w:rsidRPr="00CC12A4">
        <w:rPr>
          <w:rFonts w:eastAsia="Times New Roman" w:cs="Arial"/>
          <w:color w:val="000000"/>
        </w:rPr>
        <w:t xml:space="preserve">could </w:t>
      </w:r>
      <w:r w:rsidR="007354E1" w:rsidRPr="00CC12A4">
        <w:rPr>
          <w:rFonts w:eastAsia="Times New Roman" w:cs="Arial"/>
          <w:color w:val="000000"/>
        </w:rPr>
        <w:t>“</w:t>
      </w:r>
      <w:r w:rsidR="00BB51E5" w:rsidRPr="00CC12A4">
        <w:rPr>
          <w:rFonts w:eastAsia="Times New Roman" w:cs="Arial"/>
          <w:color w:val="000000"/>
        </w:rPr>
        <w:t>not</w:t>
      </w:r>
      <w:r w:rsidR="007354E1" w:rsidRPr="00CC12A4">
        <w:rPr>
          <w:rFonts w:eastAsia="Times New Roman" w:cs="Arial"/>
          <w:color w:val="000000"/>
        </w:rPr>
        <w:t xml:space="preserve"> . . .</w:t>
      </w:r>
      <w:r w:rsidR="00BB51E5" w:rsidRPr="00CC12A4">
        <w:rPr>
          <w:rFonts w:eastAsia="Times New Roman" w:cs="Arial"/>
          <w:color w:val="000000"/>
        </w:rPr>
        <w:t xml:space="preserve"> be interpreted in isolation,</w:t>
      </w:r>
      <w:r w:rsidR="00867AD8" w:rsidRPr="00CC12A4">
        <w:rPr>
          <w:rFonts w:eastAsia="Times New Roman" w:cs="Arial"/>
          <w:color w:val="000000"/>
        </w:rPr>
        <w:t>”</w:t>
      </w:r>
      <w:r w:rsidR="00BB51E5" w:rsidRPr="00CC12A4">
        <w:rPr>
          <w:rFonts w:eastAsia="Times New Roman" w:cs="Arial"/>
          <w:color w:val="000000"/>
        </w:rPr>
        <w:t xml:space="preserve"> </w:t>
      </w:r>
      <w:r w:rsidR="00696EEB" w:rsidRPr="00CC12A4">
        <w:rPr>
          <w:rFonts w:eastAsia="Times New Roman" w:cs="Arial"/>
          <w:color w:val="000000"/>
        </w:rPr>
        <w:t xml:space="preserve">but had to </w:t>
      </w:r>
      <w:r w:rsidR="00696EEB" w:rsidRPr="00CC12A4">
        <w:rPr>
          <w:rFonts w:eastAsia="Times New Roman" w:cs="Arial"/>
          <w:color w:val="000000"/>
        </w:rPr>
        <w:lastRenderedPageBreak/>
        <w:t xml:space="preserve">be </w:t>
      </w:r>
      <w:r w:rsidR="00BB51E5" w:rsidRPr="00CC12A4">
        <w:rPr>
          <w:rFonts w:eastAsia="Times New Roman" w:cs="Arial"/>
          <w:color w:val="000000"/>
        </w:rPr>
        <w:t xml:space="preserve">considered in light of </w:t>
      </w:r>
      <w:r w:rsidR="0084211F" w:rsidRPr="00CC12A4">
        <w:rPr>
          <w:rFonts w:eastAsia="Times New Roman" w:cs="Arial"/>
          <w:color w:val="000000"/>
        </w:rPr>
        <w:t>“</w:t>
      </w:r>
      <w:r w:rsidR="007354E1" w:rsidRPr="00CC12A4">
        <w:rPr>
          <w:rFonts w:eastAsia="Times New Roman" w:cs="Arial"/>
          <w:color w:val="000000"/>
        </w:rPr>
        <w:t xml:space="preserve"> ‘</w:t>
      </w:r>
      <w:r w:rsidR="0084211F" w:rsidRPr="00CC12A4">
        <w:rPr>
          <w:rFonts w:eastAsia="Times New Roman" w:cs="Arial"/>
          <w:color w:val="000000"/>
        </w:rPr>
        <w:t>the entire substance of the statute</w:t>
      </w:r>
      <w:r w:rsidR="00BB51E5" w:rsidRPr="00CC12A4">
        <w:rPr>
          <w:rFonts w:eastAsia="Times New Roman" w:cs="Arial"/>
          <w:color w:val="000000"/>
        </w:rPr>
        <w:t>.</w:t>
      </w:r>
      <w:r w:rsidR="007354E1" w:rsidRPr="00CC12A4">
        <w:rPr>
          <w:rFonts w:eastAsia="Times New Roman" w:cs="Arial"/>
          <w:color w:val="000000"/>
        </w:rPr>
        <w:t xml:space="preserve">’ </w:t>
      </w:r>
      <w:r w:rsidR="00BB51E5" w:rsidRPr="00CC12A4">
        <w:rPr>
          <w:rFonts w:eastAsia="Times New Roman" w:cs="Arial"/>
          <w:color w:val="000000"/>
        </w:rPr>
        <w:t>”  (</w:t>
      </w:r>
      <w:r w:rsidR="00BB51E5" w:rsidRPr="00CC12A4">
        <w:rPr>
          <w:rFonts w:eastAsia="Times New Roman" w:cs="Arial"/>
          <w:i/>
          <w:iCs/>
          <w:color w:val="000000"/>
        </w:rPr>
        <w:t>I</w:t>
      </w:r>
      <w:r w:rsidR="007354E1" w:rsidRPr="00CC12A4">
        <w:rPr>
          <w:rFonts w:eastAsia="Times New Roman" w:cs="Arial"/>
          <w:i/>
          <w:iCs/>
          <w:color w:val="000000"/>
        </w:rPr>
        <w:t>d</w:t>
      </w:r>
      <w:r w:rsidR="00BB51E5" w:rsidRPr="00CC12A4">
        <w:rPr>
          <w:rFonts w:eastAsia="Times New Roman" w:cs="Arial"/>
          <w:color w:val="000000"/>
        </w:rPr>
        <w:t>.</w:t>
      </w:r>
      <w:r w:rsidR="007354E1" w:rsidRPr="00CC12A4">
        <w:rPr>
          <w:rFonts w:eastAsia="Times New Roman" w:cs="Arial"/>
          <w:color w:val="000000"/>
        </w:rPr>
        <w:t xml:space="preserve"> at p. 982.</w:t>
      </w:r>
      <w:r w:rsidR="00BB51E5" w:rsidRPr="00CC12A4">
        <w:rPr>
          <w:rFonts w:eastAsia="Times New Roman" w:cs="Arial"/>
          <w:color w:val="000000"/>
        </w:rPr>
        <w:t xml:space="preserve">)  And </w:t>
      </w:r>
      <w:r w:rsidR="00696EEB" w:rsidRPr="00CC12A4">
        <w:rPr>
          <w:rFonts w:eastAsia="Times New Roman" w:cs="Arial"/>
          <w:color w:val="000000"/>
        </w:rPr>
        <w:t xml:space="preserve">bringing that perspective to bear, </w:t>
      </w:r>
      <w:r w:rsidR="00BB51E5" w:rsidRPr="00CC12A4">
        <w:rPr>
          <w:rFonts w:eastAsia="Times New Roman" w:cs="Arial"/>
          <w:color w:val="000000"/>
        </w:rPr>
        <w:t>“</w:t>
      </w:r>
      <w:r w:rsidR="0084211F" w:rsidRPr="00CC12A4">
        <w:rPr>
          <w:rFonts w:eastAsia="Times New Roman" w:cs="Arial"/>
          <w:color w:val="000000"/>
        </w:rPr>
        <w:t>the context of the 1992 amendment leads</w:t>
      </w:r>
      <w:r w:rsidR="002C2381" w:rsidRPr="00CC12A4">
        <w:rPr>
          <w:rFonts w:eastAsia="Times New Roman" w:cs="Arial"/>
          <w:color w:val="000000"/>
        </w:rPr>
        <w:t>” to the conclusion “</w:t>
      </w:r>
      <w:r w:rsidR="0084211F" w:rsidRPr="00CC12A4">
        <w:rPr>
          <w:rFonts w:eastAsia="Times New Roman" w:cs="Arial"/>
          <w:color w:val="000000"/>
        </w:rPr>
        <w:t xml:space="preserve">the California legislature intended to incorporate into the Unruh Act and the DPA only those provisions of the ADA germane to </w:t>
      </w:r>
      <w:r w:rsidR="0084211F" w:rsidRPr="00CC12A4">
        <w:rPr>
          <w:rFonts w:eastAsia="Times New Roman" w:cs="Arial"/>
          <w:i/>
          <w:iCs/>
          <w:color w:val="000000"/>
        </w:rPr>
        <w:t>the original scope of those state laws</w:t>
      </w:r>
      <w:r w:rsidR="002C2381" w:rsidRPr="00CC12A4">
        <w:rPr>
          <w:rFonts w:eastAsia="Times New Roman" w:cs="Arial"/>
          <w:i/>
          <w:iCs/>
          <w:color w:val="000000"/>
        </w:rPr>
        <w:t>.</w:t>
      </w:r>
      <w:r w:rsidR="002C2381" w:rsidRPr="00CC12A4">
        <w:rPr>
          <w:rFonts w:eastAsia="Times New Roman" w:cs="Arial"/>
          <w:color w:val="000000"/>
        </w:rPr>
        <w:t>”  (</w:t>
      </w:r>
      <w:r w:rsidR="002C2381" w:rsidRPr="00CC12A4">
        <w:rPr>
          <w:rFonts w:eastAsia="Times New Roman" w:cs="Arial"/>
          <w:i/>
          <w:iCs/>
          <w:color w:val="000000"/>
        </w:rPr>
        <w:t>Ibid.</w:t>
      </w:r>
      <w:r w:rsidR="007354E1" w:rsidRPr="00CC12A4">
        <w:rPr>
          <w:rFonts w:eastAsia="Times New Roman" w:cs="Arial"/>
          <w:i/>
          <w:iCs/>
          <w:color w:val="000000"/>
        </w:rPr>
        <w:t xml:space="preserve">, </w:t>
      </w:r>
      <w:r w:rsidR="007354E1" w:rsidRPr="00CC12A4">
        <w:rPr>
          <w:rFonts w:eastAsia="Times New Roman" w:cs="Arial"/>
          <w:color w:val="000000"/>
        </w:rPr>
        <w:t>italics added</w:t>
      </w:r>
      <w:r w:rsidR="007354E1" w:rsidRPr="00CC12A4">
        <w:rPr>
          <w:rFonts w:eastAsia="Times New Roman" w:cs="Arial"/>
          <w:i/>
          <w:iCs/>
          <w:color w:val="000000"/>
        </w:rPr>
        <w:t>.</w:t>
      </w:r>
      <w:r w:rsidR="002C2381" w:rsidRPr="00CC12A4">
        <w:rPr>
          <w:rFonts w:eastAsia="Times New Roman" w:cs="Arial"/>
          <w:color w:val="000000"/>
        </w:rPr>
        <w:t>)  The plaintiff’s reading “</w:t>
      </w:r>
      <w:r w:rsidR="0084211F" w:rsidRPr="00CC12A4">
        <w:rPr>
          <w:rFonts w:eastAsia="Times New Roman" w:cs="Arial"/>
          <w:color w:val="000000"/>
        </w:rPr>
        <w:t>would, in effect, add to the text that a violation of an individual</w:t>
      </w:r>
      <w:r w:rsidR="007354E1" w:rsidRPr="00CC12A4">
        <w:rPr>
          <w:rFonts w:eastAsia="Times New Roman" w:cs="Arial"/>
          <w:color w:val="000000"/>
        </w:rPr>
        <w:t>’</w:t>
      </w:r>
      <w:r w:rsidR="0084211F" w:rsidRPr="00CC12A4">
        <w:rPr>
          <w:rFonts w:eastAsia="Times New Roman" w:cs="Arial"/>
          <w:color w:val="000000"/>
        </w:rPr>
        <w:t xml:space="preserve">s right under </w:t>
      </w:r>
      <w:r w:rsidR="0084211F" w:rsidRPr="00CC12A4">
        <w:rPr>
          <w:rFonts w:eastAsia="Times New Roman" w:cs="Arial"/>
          <w:i/>
          <w:iCs/>
          <w:color w:val="000000"/>
        </w:rPr>
        <w:t>any part of</w:t>
      </w:r>
      <w:r w:rsidR="0084211F" w:rsidRPr="00CC12A4">
        <w:rPr>
          <w:rFonts w:eastAsia="Times New Roman" w:cs="Arial"/>
          <w:color w:val="000000"/>
        </w:rPr>
        <w:t xml:space="preserve"> the ADA shall constitute a state-law violation as well, even if the subject matter of the alleged ADA violation is wholly outside the state-law protection at issue.</w:t>
      </w:r>
      <w:r w:rsidR="002C2381" w:rsidRPr="00CC12A4">
        <w:rPr>
          <w:rFonts w:eastAsia="Times New Roman" w:cs="Arial"/>
          <w:color w:val="000000"/>
        </w:rPr>
        <w:t xml:space="preserve">  </w:t>
      </w:r>
      <w:r w:rsidR="0084211F" w:rsidRPr="00CC12A4">
        <w:rPr>
          <w:rFonts w:eastAsia="Times New Roman" w:cs="Arial"/>
          <w:color w:val="000000"/>
        </w:rPr>
        <w:t>The text of the amendments does not sweep so broadly.</w:t>
      </w:r>
      <w:r w:rsidR="002C2381" w:rsidRPr="00CC12A4">
        <w:rPr>
          <w:rFonts w:eastAsia="Times New Roman" w:cs="Arial"/>
          <w:color w:val="000000"/>
        </w:rPr>
        <w:t>”</w:t>
      </w:r>
      <w:r w:rsidR="00696EEB" w:rsidRPr="00CC12A4">
        <w:rPr>
          <w:rFonts w:eastAsia="Times New Roman" w:cs="Arial"/>
          <w:color w:val="000000"/>
        </w:rPr>
        <w:t xml:space="preserve">  (</w:t>
      </w:r>
      <w:r w:rsidR="00696EEB" w:rsidRPr="00CC12A4">
        <w:rPr>
          <w:rFonts w:eastAsia="Times New Roman" w:cs="Arial"/>
          <w:i/>
          <w:iCs/>
          <w:color w:val="000000"/>
        </w:rPr>
        <w:t>Ibid</w:t>
      </w:r>
      <w:r w:rsidR="00696EEB" w:rsidRPr="00CC12A4">
        <w:rPr>
          <w:rFonts w:eastAsia="Times New Roman" w:cs="Arial"/>
          <w:color w:val="000000"/>
        </w:rPr>
        <w:t xml:space="preserve">.)  </w:t>
      </w:r>
    </w:p>
    <w:p w14:paraId="4F6048B6" w14:textId="77777777" w:rsidR="00692536" w:rsidRPr="00CC12A4" w:rsidRDefault="00696EEB" w:rsidP="00696EEB">
      <w:pPr>
        <w:spacing w:line="360" w:lineRule="auto"/>
        <w:rPr>
          <w:rFonts w:eastAsia="Times New Roman" w:cs="Arial"/>
          <w:color w:val="000000"/>
        </w:rPr>
      </w:pPr>
      <w:r w:rsidRPr="00CC12A4">
        <w:rPr>
          <w:rFonts w:eastAsia="Times New Roman" w:cs="Arial"/>
          <w:color w:val="000000"/>
        </w:rPr>
        <w:tab/>
        <w:t xml:space="preserve">The </w:t>
      </w:r>
      <w:r w:rsidR="00867AD8" w:rsidRPr="00CC12A4">
        <w:rPr>
          <w:rFonts w:eastAsia="Times New Roman" w:cs="Arial"/>
          <w:i/>
          <w:iCs/>
          <w:color w:val="000000"/>
        </w:rPr>
        <w:t>Bass</w:t>
      </w:r>
      <w:r w:rsidRPr="00CC12A4">
        <w:rPr>
          <w:rFonts w:eastAsia="Times New Roman" w:cs="Arial"/>
          <w:color w:val="000000"/>
        </w:rPr>
        <w:t xml:space="preserve"> court went on to point out the legislation adding the reference to the ADA “</w:t>
      </w:r>
      <w:r w:rsidR="0084211F" w:rsidRPr="00CC12A4">
        <w:rPr>
          <w:rFonts w:eastAsia="Times New Roman" w:cs="Arial"/>
          <w:color w:val="000000"/>
        </w:rPr>
        <w:t>was a broad-spectrum enactment that amended a number of state laws in an attempt to create conformity between the gamut of California</w:t>
      </w:r>
      <w:r w:rsidR="002909CC" w:rsidRPr="00CC12A4">
        <w:rPr>
          <w:rFonts w:eastAsia="Times New Roman" w:cs="Arial"/>
          <w:color w:val="000000"/>
        </w:rPr>
        <w:t>’</w:t>
      </w:r>
      <w:r w:rsidR="0084211F" w:rsidRPr="00CC12A4">
        <w:rPr>
          <w:rFonts w:eastAsia="Times New Roman" w:cs="Arial"/>
          <w:color w:val="000000"/>
        </w:rPr>
        <w:t xml:space="preserve">s discrimination provisions and those of the ADA. </w:t>
      </w:r>
      <w:r w:rsidR="002909CC" w:rsidRPr="00CC12A4">
        <w:rPr>
          <w:rFonts w:eastAsia="Times New Roman" w:cs="Arial"/>
          <w:color w:val="000000"/>
        </w:rPr>
        <w:t xml:space="preserve"> </w:t>
      </w:r>
      <w:r w:rsidR="0084211F" w:rsidRPr="00CC12A4">
        <w:rPr>
          <w:rFonts w:eastAsia="Times New Roman" w:cs="Arial"/>
          <w:color w:val="000000"/>
        </w:rPr>
        <w:t xml:space="preserve">Notably, the bill also amended FEHA, </w:t>
      </w:r>
      <w:proofErr w:type="gramStart"/>
      <w:r w:rsidR="0084211F" w:rsidRPr="00CC12A4">
        <w:rPr>
          <w:rFonts w:eastAsia="Times New Roman" w:cs="Arial"/>
          <w:color w:val="000000"/>
        </w:rPr>
        <w:t>in an attempt to</w:t>
      </w:r>
      <w:proofErr w:type="gramEnd"/>
      <w:r w:rsidR="0084211F" w:rsidRPr="00CC12A4">
        <w:rPr>
          <w:rFonts w:eastAsia="Times New Roman" w:cs="Arial"/>
          <w:color w:val="000000"/>
        </w:rPr>
        <w:t xml:space="preserve"> harmonize the state</w:t>
      </w:r>
      <w:r w:rsidR="002909CC" w:rsidRPr="00CC12A4">
        <w:rPr>
          <w:rFonts w:eastAsia="Times New Roman" w:cs="Arial"/>
          <w:color w:val="000000"/>
        </w:rPr>
        <w:t>’</w:t>
      </w:r>
      <w:r w:rsidR="0084211F" w:rsidRPr="00CC12A4">
        <w:rPr>
          <w:rFonts w:eastAsia="Times New Roman" w:cs="Arial"/>
          <w:color w:val="000000"/>
        </w:rPr>
        <w:t xml:space="preserve">s employment discrimination protections with parallel federal mandates. </w:t>
      </w:r>
      <w:r w:rsidR="002909CC" w:rsidRPr="00CC12A4">
        <w:rPr>
          <w:rFonts w:eastAsia="Times New Roman" w:cs="Arial"/>
          <w:color w:val="000000"/>
        </w:rPr>
        <w:t xml:space="preserve"> </w:t>
      </w:r>
      <w:r w:rsidR="0084211F" w:rsidRPr="00CC12A4">
        <w:rPr>
          <w:rFonts w:eastAsia="Times New Roman" w:cs="Arial"/>
          <w:color w:val="000000"/>
        </w:rPr>
        <w:t>A.</w:t>
      </w:r>
      <w:r w:rsidR="002909CC" w:rsidRPr="00CC12A4">
        <w:rPr>
          <w:rFonts w:eastAsia="Times New Roman" w:cs="Arial"/>
          <w:color w:val="000000"/>
        </w:rPr>
        <w:t>B.</w:t>
      </w:r>
      <w:r w:rsidR="0084211F" w:rsidRPr="00CC12A4">
        <w:rPr>
          <w:rFonts w:eastAsia="Times New Roman" w:cs="Arial"/>
          <w:color w:val="000000"/>
        </w:rPr>
        <w:t xml:space="preserve"> 1077, 1992 Reg. Sess. (Cal.1992). </w:t>
      </w:r>
      <w:r w:rsidR="002909CC" w:rsidRPr="00CC12A4">
        <w:rPr>
          <w:rFonts w:eastAsia="Times New Roman" w:cs="Arial"/>
          <w:color w:val="000000"/>
        </w:rPr>
        <w:t xml:space="preserve"> </w:t>
      </w:r>
      <w:r w:rsidR="0084211F" w:rsidRPr="00CC12A4">
        <w:rPr>
          <w:rFonts w:eastAsia="Times New Roman" w:cs="Arial"/>
          <w:color w:val="000000"/>
        </w:rPr>
        <w:t>If, as Plaintiffs argue, the legislature intended to transform the Unruh Act into an all-inclusive anti-discrimination law, then its simultaneous strengthening of FEHA would have been unnecessary and anomalous.</w:t>
      </w:r>
      <w:r w:rsidRPr="00CC12A4">
        <w:rPr>
          <w:rFonts w:eastAsia="Times New Roman" w:cs="Arial"/>
          <w:color w:val="000000"/>
        </w:rPr>
        <w:t>”  (</w:t>
      </w:r>
      <w:r w:rsidR="004927E0" w:rsidRPr="00CC12A4">
        <w:rPr>
          <w:rFonts w:eastAsia="Times New Roman" w:cs="Arial"/>
          <w:i/>
          <w:iCs/>
          <w:color w:val="000000"/>
        </w:rPr>
        <w:t xml:space="preserve">Bass, supra, </w:t>
      </w:r>
      <w:r w:rsidR="004927E0" w:rsidRPr="00CC12A4">
        <w:rPr>
          <w:rFonts w:eastAsia="Times New Roman" w:cs="Arial"/>
          <w:color w:val="000000"/>
        </w:rPr>
        <w:t>458 F.3d</w:t>
      </w:r>
      <w:r w:rsidRPr="00CC12A4">
        <w:rPr>
          <w:rFonts w:eastAsia="Times New Roman" w:cs="Arial"/>
          <w:i/>
          <w:iCs/>
          <w:color w:val="000000"/>
        </w:rPr>
        <w:t xml:space="preserve"> </w:t>
      </w:r>
      <w:r w:rsidRPr="00CC12A4">
        <w:rPr>
          <w:rFonts w:eastAsia="Times New Roman" w:cs="Arial"/>
          <w:color w:val="000000"/>
        </w:rPr>
        <w:t>at p. 98</w:t>
      </w:r>
      <w:r w:rsidR="002909CC" w:rsidRPr="00CC12A4">
        <w:rPr>
          <w:rFonts w:eastAsia="Times New Roman" w:cs="Arial"/>
          <w:color w:val="000000"/>
        </w:rPr>
        <w:t>2</w:t>
      </w:r>
      <w:r w:rsidRPr="00CC12A4">
        <w:rPr>
          <w:rFonts w:eastAsia="Times New Roman" w:cs="Arial"/>
          <w:color w:val="000000"/>
        </w:rPr>
        <w:t>.)  Further, construing the language as a wholesale incorporation of the ADA into the Unruh Act and DPA would “create a significant disharmony” with FEHA’s administrative scheme.  In short, it would “creat</w:t>
      </w:r>
      <w:r w:rsidR="00A10F2A" w:rsidRPr="00CC12A4">
        <w:rPr>
          <w:rFonts w:eastAsia="Times New Roman" w:cs="Arial"/>
          <w:color w:val="000000"/>
        </w:rPr>
        <w:t>e</w:t>
      </w:r>
      <w:r w:rsidRPr="00CC12A4">
        <w:rPr>
          <w:rFonts w:eastAsia="Times New Roman" w:cs="Arial"/>
          <w:color w:val="000000"/>
        </w:rPr>
        <w:t xml:space="preserve"> an end-run around the administrative procedures of FEHA </w:t>
      </w:r>
      <w:r w:rsidRPr="00CC12A4">
        <w:rPr>
          <w:rFonts w:eastAsia="Times New Roman" w:cs="Arial"/>
          <w:i/>
          <w:iCs/>
          <w:color w:val="000000"/>
        </w:rPr>
        <w:t>solely for disability discrimination claimants.</w:t>
      </w:r>
      <w:r w:rsidRPr="00CC12A4">
        <w:rPr>
          <w:rFonts w:eastAsia="Times New Roman" w:cs="Arial"/>
          <w:color w:val="000000"/>
        </w:rPr>
        <w:t>”  (</w:t>
      </w:r>
      <w:r w:rsidRPr="00CC12A4">
        <w:rPr>
          <w:rFonts w:eastAsia="Times New Roman" w:cs="Arial"/>
          <w:i/>
          <w:iCs/>
          <w:color w:val="000000"/>
        </w:rPr>
        <w:t xml:space="preserve">Id. </w:t>
      </w:r>
      <w:r w:rsidRPr="00CC12A4">
        <w:rPr>
          <w:rFonts w:eastAsia="Times New Roman" w:cs="Arial"/>
          <w:color w:val="000000"/>
        </w:rPr>
        <w:t>at p.</w:t>
      </w:r>
      <w:r w:rsidR="00AF3AED" w:rsidRPr="00CC12A4">
        <w:rPr>
          <w:rFonts w:eastAsia="Times New Roman" w:cs="Arial"/>
          <w:color w:val="000000"/>
        </w:rPr>
        <w:t> </w:t>
      </w:r>
      <w:r w:rsidRPr="00CC12A4">
        <w:rPr>
          <w:rFonts w:eastAsia="Times New Roman" w:cs="Arial"/>
          <w:color w:val="000000"/>
        </w:rPr>
        <w:t>982.)  Nothing supported such a result.  (</w:t>
      </w:r>
      <w:r w:rsidRPr="00CC12A4">
        <w:rPr>
          <w:rFonts w:eastAsia="Times New Roman" w:cs="Arial"/>
          <w:i/>
          <w:iCs/>
          <w:color w:val="000000"/>
        </w:rPr>
        <w:t>Ibid.</w:t>
      </w:r>
      <w:r w:rsidRPr="00CC12A4">
        <w:rPr>
          <w:rFonts w:eastAsia="Times New Roman" w:cs="Arial"/>
          <w:color w:val="000000"/>
        </w:rPr>
        <w:t>)</w:t>
      </w:r>
    </w:p>
    <w:p w14:paraId="3BD25718" w14:textId="77777777" w:rsidR="00696EEB" w:rsidRPr="00CC12A4" w:rsidRDefault="00692536" w:rsidP="00696EEB">
      <w:pPr>
        <w:spacing w:line="360" w:lineRule="auto"/>
        <w:rPr>
          <w:rFonts w:eastAsia="Times New Roman" w:cs="Arial"/>
          <w:color w:val="000000"/>
        </w:rPr>
      </w:pPr>
      <w:r w:rsidRPr="00CC12A4">
        <w:rPr>
          <w:rFonts w:eastAsia="Times New Roman" w:cs="Arial"/>
          <w:color w:val="000000"/>
        </w:rPr>
        <w:tab/>
      </w:r>
      <w:r w:rsidR="00936AF7" w:rsidRPr="00CC12A4">
        <w:rPr>
          <w:rFonts w:eastAsia="Times New Roman" w:cs="Arial"/>
          <w:color w:val="000000"/>
        </w:rPr>
        <w:t xml:space="preserve">Citing </w:t>
      </w:r>
      <w:r w:rsidR="00936AF7" w:rsidRPr="00CC12A4">
        <w:rPr>
          <w:rFonts w:eastAsia="Times New Roman" w:cs="Arial"/>
          <w:i/>
          <w:iCs/>
          <w:color w:val="000000"/>
        </w:rPr>
        <w:t xml:space="preserve">Bass, </w:t>
      </w:r>
      <w:r w:rsidR="00936AF7" w:rsidRPr="00CC12A4">
        <w:rPr>
          <w:rFonts w:eastAsia="Times New Roman" w:cs="Arial"/>
          <w:color w:val="000000"/>
        </w:rPr>
        <w:t>t</w:t>
      </w:r>
      <w:r w:rsidRPr="00CC12A4">
        <w:rPr>
          <w:rFonts w:eastAsia="Times New Roman" w:cs="Arial"/>
          <w:color w:val="000000"/>
        </w:rPr>
        <w:t xml:space="preserve">he district court in </w:t>
      </w:r>
      <w:r w:rsidR="00192198" w:rsidRPr="00CC12A4">
        <w:rPr>
          <w:rFonts w:eastAsia="Times New Roman" w:cs="Arial"/>
          <w:i/>
          <w:iCs/>
          <w:color w:val="000000"/>
        </w:rPr>
        <w:t xml:space="preserve">Anderson, supra, </w:t>
      </w:r>
      <w:r w:rsidR="00192198" w:rsidRPr="00CC12A4">
        <w:rPr>
          <w:rFonts w:eastAsia="Times New Roman" w:cs="Arial"/>
          <w:color w:val="000000"/>
        </w:rPr>
        <w:t>2010 WL 3619821</w:t>
      </w:r>
      <w:r w:rsidR="00936AF7" w:rsidRPr="00CC12A4">
        <w:rPr>
          <w:rFonts w:eastAsia="Times New Roman" w:cs="Arial"/>
          <w:color w:val="000000"/>
        </w:rPr>
        <w:t xml:space="preserve">, in addition to concluding the county was not a business establishment under the </w:t>
      </w:r>
      <w:r w:rsidR="00936AF7" w:rsidRPr="00CC12A4">
        <w:rPr>
          <w:rFonts w:eastAsia="Times New Roman" w:cs="Arial"/>
          <w:color w:val="000000"/>
        </w:rPr>
        <w:lastRenderedPageBreak/>
        <w:t xml:space="preserve">Unruh Act, went on to </w:t>
      </w:r>
      <w:r w:rsidR="00192198" w:rsidRPr="00CC12A4">
        <w:rPr>
          <w:rFonts w:eastAsia="Times New Roman" w:cs="Arial"/>
          <w:color w:val="000000"/>
        </w:rPr>
        <w:t>reject</w:t>
      </w:r>
      <w:r w:rsidRPr="00CC12A4">
        <w:rPr>
          <w:rFonts w:eastAsia="Times New Roman" w:cs="Arial"/>
          <w:color w:val="000000"/>
        </w:rPr>
        <w:t xml:space="preserve"> the plaintiff’s </w:t>
      </w:r>
      <w:r w:rsidR="00192198" w:rsidRPr="00CC12A4">
        <w:rPr>
          <w:rFonts w:eastAsia="Times New Roman" w:cs="Arial"/>
          <w:color w:val="000000"/>
        </w:rPr>
        <w:t xml:space="preserve">assertion </w:t>
      </w:r>
      <w:r w:rsidR="00936AF7" w:rsidRPr="00CC12A4">
        <w:rPr>
          <w:rFonts w:eastAsia="Times New Roman" w:cs="Arial"/>
          <w:color w:val="000000"/>
        </w:rPr>
        <w:t xml:space="preserve">that </w:t>
      </w:r>
      <w:r w:rsidRPr="00CC12A4">
        <w:rPr>
          <w:rFonts w:eastAsia="Times New Roman" w:cs="Arial"/>
          <w:color w:val="000000"/>
        </w:rPr>
        <w:t xml:space="preserve">her </w:t>
      </w:r>
      <w:r w:rsidR="00936AF7" w:rsidRPr="00CC12A4">
        <w:rPr>
          <w:rFonts w:eastAsia="Times New Roman" w:cs="Arial"/>
          <w:color w:val="000000"/>
        </w:rPr>
        <w:t xml:space="preserve">Title II ADA </w:t>
      </w:r>
      <w:r w:rsidRPr="00CC12A4">
        <w:rPr>
          <w:rFonts w:eastAsia="Times New Roman" w:cs="Arial"/>
          <w:color w:val="000000"/>
        </w:rPr>
        <w:t xml:space="preserve">claim </w:t>
      </w:r>
      <w:r w:rsidR="00936AF7" w:rsidRPr="00CC12A4">
        <w:rPr>
          <w:rFonts w:eastAsia="Times New Roman" w:cs="Arial"/>
          <w:color w:val="000000"/>
        </w:rPr>
        <w:t xml:space="preserve">could nevertheless proceed </w:t>
      </w:r>
      <w:r w:rsidR="006B142F" w:rsidRPr="00CC12A4">
        <w:rPr>
          <w:rFonts w:eastAsia="Times New Roman" w:cs="Arial"/>
          <w:color w:val="000000"/>
        </w:rPr>
        <w:t xml:space="preserve">against the county </w:t>
      </w:r>
      <w:r w:rsidR="00936AF7" w:rsidRPr="00CC12A4">
        <w:rPr>
          <w:rFonts w:eastAsia="Times New Roman" w:cs="Arial"/>
          <w:color w:val="000000"/>
        </w:rPr>
        <w:t xml:space="preserve">as an </w:t>
      </w:r>
      <w:r w:rsidR="00192198" w:rsidRPr="00CC12A4">
        <w:rPr>
          <w:rFonts w:eastAsia="Times New Roman" w:cs="Arial"/>
          <w:color w:val="000000"/>
        </w:rPr>
        <w:t xml:space="preserve">Unruh Act </w:t>
      </w:r>
      <w:r w:rsidR="00936AF7" w:rsidRPr="00CC12A4">
        <w:rPr>
          <w:rFonts w:eastAsia="Times New Roman" w:cs="Arial"/>
          <w:color w:val="000000"/>
        </w:rPr>
        <w:t xml:space="preserve">claim </w:t>
      </w:r>
      <w:r w:rsidR="00192198" w:rsidRPr="00CC12A4">
        <w:rPr>
          <w:rFonts w:eastAsia="Times New Roman" w:cs="Arial"/>
          <w:color w:val="000000"/>
        </w:rPr>
        <w:t>pursuant to</w:t>
      </w:r>
      <w:r w:rsidR="002909CC" w:rsidRPr="00CC12A4">
        <w:rPr>
          <w:rFonts w:eastAsia="Times New Roman" w:cs="Arial"/>
          <w:color w:val="000000"/>
        </w:rPr>
        <w:t xml:space="preserve"> </w:t>
      </w:r>
      <w:r w:rsidR="00377E46">
        <w:rPr>
          <w:rFonts w:eastAsia="Times New Roman" w:cs="Arial"/>
          <w:color w:val="000000"/>
        </w:rPr>
        <w:t xml:space="preserve">Civil Code </w:t>
      </w:r>
      <w:r w:rsidR="002909CC" w:rsidRPr="00CC12A4">
        <w:rPr>
          <w:rFonts w:eastAsia="Times New Roman" w:cs="Arial"/>
          <w:color w:val="000000"/>
        </w:rPr>
        <w:t xml:space="preserve">section 51, </w:t>
      </w:r>
      <w:r w:rsidR="00192198" w:rsidRPr="00CC12A4">
        <w:rPr>
          <w:rFonts w:eastAsia="Times New Roman" w:cs="Arial"/>
          <w:color w:val="000000"/>
        </w:rPr>
        <w:t>subdivision (f)</w:t>
      </w:r>
      <w:r w:rsidRPr="00CC12A4">
        <w:rPr>
          <w:rFonts w:eastAsia="Times New Roman" w:cs="Arial"/>
          <w:color w:val="000000"/>
        </w:rPr>
        <w:t xml:space="preserve">.  </w:t>
      </w:r>
      <w:r w:rsidR="00192198" w:rsidRPr="00CC12A4">
        <w:rPr>
          <w:rFonts w:eastAsia="Times New Roman" w:cs="Arial"/>
          <w:color w:val="000000"/>
        </w:rPr>
        <w:t>“</w:t>
      </w:r>
      <w:r w:rsidRPr="00CC12A4">
        <w:rPr>
          <w:rFonts w:eastAsia="Times New Roman" w:cs="Arial"/>
          <w:color w:val="000000"/>
        </w:rPr>
        <w:t>[I]</w:t>
      </w:r>
      <w:r w:rsidR="00192198" w:rsidRPr="00CC12A4">
        <w:rPr>
          <w:rFonts w:eastAsia="Times New Roman" w:cs="Arial"/>
          <w:color w:val="000000"/>
        </w:rPr>
        <w:t xml:space="preserve">n enacting </w:t>
      </w:r>
      <w:r w:rsidR="002909CC" w:rsidRPr="00CC12A4">
        <w:rPr>
          <w:rFonts w:eastAsia="Times New Roman" w:cs="Arial"/>
          <w:color w:val="000000"/>
        </w:rPr>
        <w:t>[section]</w:t>
      </w:r>
      <w:r w:rsidR="00192198" w:rsidRPr="00CC12A4">
        <w:rPr>
          <w:rFonts w:eastAsia="Times New Roman" w:cs="Arial"/>
          <w:color w:val="000000"/>
        </w:rPr>
        <w:t xml:space="preserve"> 51(f),</w:t>
      </w:r>
      <w:r w:rsidR="00936AF7" w:rsidRPr="00CC12A4">
        <w:rPr>
          <w:rFonts w:eastAsia="Times New Roman" w:cs="Arial"/>
          <w:color w:val="000000"/>
        </w:rPr>
        <w:t xml:space="preserve"> </w:t>
      </w:r>
      <w:r w:rsidR="00192198" w:rsidRPr="00CC12A4">
        <w:rPr>
          <w:rFonts w:eastAsia="Times New Roman" w:cs="Arial"/>
          <w:color w:val="000000"/>
        </w:rPr>
        <w:t xml:space="preserve">the California Legislature did not purport incorporate the ADA in its entirety to the Unruh Act. </w:t>
      </w:r>
      <w:r w:rsidRPr="00CC12A4">
        <w:rPr>
          <w:rFonts w:eastAsia="Times New Roman" w:cs="Arial"/>
          <w:color w:val="000000"/>
        </w:rPr>
        <w:t xml:space="preserve"> </w:t>
      </w:r>
      <w:r w:rsidR="00192198" w:rsidRPr="00AA6F92">
        <w:rPr>
          <w:rFonts w:eastAsia="Times New Roman" w:cs="Arial"/>
          <w:color w:val="000000"/>
        </w:rPr>
        <w:t>See</w:t>
      </w:r>
      <w:r w:rsidR="00192198" w:rsidRPr="00CC12A4">
        <w:rPr>
          <w:rFonts w:eastAsia="Times New Roman" w:cs="Arial"/>
          <w:i/>
          <w:iCs/>
          <w:color w:val="000000"/>
        </w:rPr>
        <w:t xml:space="preserve"> Bass</w:t>
      </w:r>
      <w:r w:rsidR="00AA6F92">
        <w:rPr>
          <w:rFonts w:eastAsia="Times New Roman" w:cs="Arial"/>
          <w:i/>
          <w:iCs/>
          <w:color w:val="000000"/>
        </w:rPr>
        <w:t>, supra</w:t>
      </w:r>
      <w:r w:rsidR="00192198" w:rsidRPr="00CC12A4">
        <w:rPr>
          <w:rFonts w:eastAsia="Times New Roman" w:cs="Arial"/>
          <w:i/>
          <w:iCs/>
          <w:color w:val="000000"/>
        </w:rPr>
        <w:t>,</w:t>
      </w:r>
      <w:r w:rsidR="00192198" w:rsidRPr="00CC12A4">
        <w:rPr>
          <w:rFonts w:eastAsia="Times New Roman" w:cs="Arial"/>
          <w:color w:val="000000"/>
        </w:rPr>
        <w:t xml:space="preserve"> 458 F.3d 978, 981 (9th Cir.2006). </w:t>
      </w:r>
      <w:r w:rsidR="00AB2BA7" w:rsidRPr="00CC12A4">
        <w:rPr>
          <w:rFonts w:eastAsia="Times New Roman" w:cs="Arial"/>
          <w:color w:val="000000"/>
        </w:rPr>
        <w:t xml:space="preserve"> </w:t>
      </w:r>
      <w:r w:rsidR="00192198" w:rsidRPr="00CC12A4">
        <w:rPr>
          <w:rFonts w:eastAsia="Times New Roman" w:cs="Arial"/>
          <w:color w:val="000000"/>
        </w:rPr>
        <w:t xml:space="preserve">Rather, the legislature only intended to incorporate those provisions of the ADA germane to the </w:t>
      </w:r>
      <w:r w:rsidR="00192198" w:rsidRPr="00CC12A4">
        <w:rPr>
          <w:rFonts w:eastAsia="Times New Roman" w:cs="Arial"/>
          <w:i/>
          <w:iCs/>
          <w:color w:val="000000"/>
        </w:rPr>
        <w:t>original scope of the Unruh Act.</w:t>
      </w:r>
      <w:r w:rsidR="002909CC" w:rsidRPr="00CC12A4">
        <w:rPr>
          <w:rFonts w:eastAsia="Times New Roman" w:cs="Arial"/>
          <w:i/>
          <w:iCs/>
          <w:color w:val="000000"/>
        </w:rPr>
        <w:t xml:space="preserve"> </w:t>
      </w:r>
      <w:r w:rsidRPr="00CC12A4">
        <w:rPr>
          <w:rFonts w:eastAsia="Times New Roman" w:cs="Arial"/>
          <w:i/>
          <w:iCs/>
          <w:color w:val="000000"/>
        </w:rPr>
        <w:t xml:space="preserve"> </w:t>
      </w:r>
      <w:r w:rsidRPr="00CC12A4">
        <w:rPr>
          <w:rFonts w:eastAsia="Times New Roman" w:cs="Arial"/>
          <w:color w:val="000000"/>
        </w:rPr>
        <w:t>(</w:t>
      </w:r>
      <w:r w:rsidRPr="00CC12A4">
        <w:rPr>
          <w:rFonts w:eastAsia="Times New Roman" w:cs="Arial"/>
          <w:i/>
          <w:iCs/>
          <w:color w:val="000000"/>
        </w:rPr>
        <w:t>Id.</w:t>
      </w:r>
      <w:r w:rsidRPr="00CC12A4">
        <w:rPr>
          <w:rFonts w:eastAsia="Times New Roman" w:cs="Arial"/>
          <w:color w:val="000000"/>
        </w:rPr>
        <w:t>)”  (</w:t>
      </w:r>
      <w:r w:rsidRPr="00CC12A4">
        <w:rPr>
          <w:rFonts w:eastAsia="Times New Roman" w:cs="Arial"/>
          <w:i/>
          <w:iCs/>
          <w:color w:val="000000"/>
        </w:rPr>
        <w:t xml:space="preserve">Anderson, </w:t>
      </w:r>
      <w:r w:rsidRPr="00CC12A4">
        <w:rPr>
          <w:rFonts w:eastAsia="Times New Roman" w:cs="Arial"/>
          <w:color w:val="000000"/>
        </w:rPr>
        <w:t xml:space="preserve">at p. *6.)  The Unruh Act, said the district court, “applies specifically to </w:t>
      </w:r>
      <w:r w:rsidR="002909CC" w:rsidRPr="00CC12A4">
        <w:rPr>
          <w:rFonts w:eastAsia="Times New Roman" w:cs="Arial"/>
          <w:color w:val="000000"/>
        </w:rPr>
        <w:t>‘</w:t>
      </w:r>
      <w:r w:rsidRPr="00CC12A4">
        <w:rPr>
          <w:rFonts w:eastAsia="Times New Roman" w:cs="Arial"/>
          <w:color w:val="000000"/>
        </w:rPr>
        <w:t>business establishments.</w:t>
      </w:r>
      <w:r w:rsidR="002909CC" w:rsidRPr="00CC12A4">
        <w:rPr>
          <w:rFonts w:eastAsia="Times New Roman" w:cs="Arial"/>
          <w:color w:val="000000"/>
        </w:rPr>
        <w:t xml:space="preserve">’ </w:t>
      </w:r>
      <w:r w:rsidR="00A01349" w:rsidRPr="00CC12A4">
        <w:rPr>
          <w:rFonts w:eastAsia="Times New Roman" w:cs="Arial"/>
          <w:color w:val="000000"/>
        </w:rPr>
        <w:t xml:space="preserve"> </w:t>
      </w:r>
      <w:r w:rsidRPr="00CC12A4">
        <w:rPr>
          <w:rFonts w:eastAsia="Times New Roman" w:cs="Arial"/>
          <w:color w:val="000000"/>
        </w:rPr>
        <w:t>Cal. Civ.</w:t>
      </w:r>
      <w:r w:rsidR="004927E0" w:rsidRPr="00CC12A4">
        <w:rPr>
          <w:rFonts w:eastAsia="Times New Roman" w:cs="Arial"/>
          <w:color w:val="000000"/>
        </w:rPr>
        <w:t xml:space="preserve"> </w:t>
      </w:r>
      <w:r w:rsidRPr="00CC12A4">
        <w:rPr>
          <w:rFonts w:eastAsia="Times New Roman" w:cs="Arial"/>
          <w:color w:val="000000"/>
        </w:rPr>
        <w:t>Code</w:t>
      </w:r>
      <w:r w:rsidR="004927E0" w:rsidRPr="00CC12A4">
        <w:rPr>
          <w:rFonts w:eastAsia="Times New Roman" w:cs="Arial"/>
          <w:color w:val="000000"/>
        </w:rPr>
        <w:t>,</w:t>
      </w:r>
      <w:r w:rsidRPr="00CC12A4">
        <w:rPr>
          <w:rFonts w:eastAsia="Times New Roman" w:cs="Arial"/>
          <w:color w:val="000000"/>
        </w:rPr>
        <w:t xml:space="preserve"> § 51(b).</w:t>
      </w:r>
      <w:r w:rsidR="002909CC" w:rsidRPr="00CC12A4">
        <w:rPr>
          <w:rFonts w:eastAsia="Times New Roman" w:cs="Arial"/>
          <w:color w:val="000000"/>
        </w:rPr>
        <w:t>”</w:t>
      </w:r>
      <w:r w:rsidRPr="00CC12A4">
        <w:rPr>
          <w:rFonts w:eastAsia="Times New Roman" w:cs="Arial"/>
          <w:color w:val="000000"/>
        </w:rPr>
        <w:t xml:space="preserve">  (</w:t>
      </w:r>
      <w:r w:rsidR="004927E0" w:rsidRPr="00CC12A4">
        <w:rPr>
          <w:rFonts w:eastAsia="Times New Roman" w:cs="Arial"/>
          <w:i/>
          <w:iCs/>
          <w:color w:val="000000"/>
        </w:rPr>
        <w:t xml:space="preserve">Anderson, </w:t>
      </w:r>
      <w:r w:rsidR="004927E0" w:rsidRPr="00CC12A4">
        <w:rPr>
          <w:rFonts w:eastAsia="Times New Roman" w:cs="Arial"/>
          <w:color w:val="000000"/>
        </w:rPr>
        <w:t>at * 6</w:t>
      </w:r>
      <w:r w:rsidRPr="00CC12A4">
        <w:rPr>
          <w:rFonts w:eastAsia="Times New Roman" w:cs="Arial"/>
          <w:color w:val="000000"/>
        </w:rPr>
        <w:t xml:space="preserve">.)  </w:t>
      </w:r>
      <w:r w:rsidR="00936AF7" w:rsidRPr="00CC12A4">
        <w:rPr>
          <w:rFonts w:eastAsia="Times New Roman" w:cs="Arial"/>
          <w:color w:val="000000"/>
        </w:rPr>
        <w:t>“</w:t>
      </w:r>
      <w:r w:rsidRPr="00CC12A4">
        <w:rPr>
          <w:rFonts w:eastAsia="Times New Roman" w:cs="Arial"/>
          <w:color w:val="000000"/>
        </w:rPr>
        <w:t>To conclude that a jail is governed by the Unruh Act, notwithstanding the fact that it lacks the attributes of a business, would amount to an impermissible expansion of the statute.”  (</w:t>
      </w:r>
      <w:r w:rsidRPr="00CC12A4">
        <w:rPr>
          <w:rFonts w:eastAsia="Times New Roman" w:cs="Arial"/>
          <w:i/>
          <w:iCs/>
          <w:color w:val="000000"/>
        </w:rPr>
        <w:t>Ibid.</w:t>
      </w:r>
      <w:r w:rsidRPr="00CC12A4">
        <w:rPr>
          <w:rFonts w:eastAsia="Times New Roman" w:cs="Arial"/>
          <w:color w:val="000000"/>
        </w:rPr>
        <w:t>)</w:t>
      </w:r>
    </w:p>
    <w:p w14:paraId="0F63F98E" w14:textId="77777777" w:rsidR="0052401B" w:rsidRDefault="00692536" w:rsidP="00696EEB">
      <w:pPr>
        <w:spacing w:line="360" w:lineRule="auto"/>
        <w:rPr>
          <w:rFonts w:eastAsia="Times New Roman" w:cs="Arial"/>
          <w:color w:val="000000"/>
        </w:rPr>
      </w:pPr>
      <w:r w:rsidRPr="00CC12A4">
        <w:rPr>
          <w:rFonts w:eastAsia="Times New Roman" w:cs="Arial"/>
          <w:color w:val="000000"/>
        </w:rPr>
        <w:tab/>
        <w:t xml:space="preserve">For all the reasons we have discussed, </w:t>
      </w:r>
      <w:r w:rsidRPr="00CC12A4">
        <w:rPr>
          <w:rFonts w:eastAsia="Times New Roman" w:cs="Arial"/>
          <w:i/>
          <w:iCs/>
          <w:color w:val="000000"/>
        </w:rPr>
        <w:t xml:space="preserve">Bass </w:t>
      </w:r>
      <w:r w:rsidRPr="00CC12A4">
        <w:rPr>
          <w:rFonts w:eastAsia="Times New Roman" w:cs="Arial"/>
          <w:color w:val="000000"/>
        </w:rPr>
        <w:t xml:space="preserve">and </w:t>
      </w:r>
      <w:r w:rsidRPr="00CC12A4">
        <w:rPr>
          <w:rFonts w:eastAsia="Times New Roman" w:cs="Arial"/>
          <w:i/>
          <w:iCs/>
          <w:color w:val="000000"/>
        </w:rPr>
        <w:t>Anderson</w:t>
      </w:r>
      <w:r w:rsidR="0052401B" w:rsidRPr="00CC12A4">
        <w:rPr>
          <w:rFonts w:eastAsia="Times New Roman" w:cs="Arial"/>
          <w:i/>
          <w:iCs/>
          <w:color w:val="000000"/>
        </w:rPr>
        <w:t xml:space="preserve">, </w:t>
      </w:r>
      <w:r w:rsidR="0052401B" w:rsidRPr="00CC12A4">
        <w:rPr>
          <w:rFonts w:eastAsia="Times New Roman" w:cs="Arial"/>
          <w:color w:val="000000"/>
        </w:rPr>
        <w:t xml:space="preserve">in our view, have correctly analyzed </w:t>
      </w:r>
      <w:r w:rsidR="00377E46">
        <w:rPr>
          <w:rFonts w:eastAsia="Times New Roman" w:cs="Arial"/>
          <w:color w:val="000000"/>
        </w:rPr>
        <w:t xml:space="preserve">Civil Code </w:t>
      </w:r>
      <w:r w:rsidR="002909CC" w:rsidRPr="00CC12A4">
        <w:rPr>
          <w:rFonts w:eastAsia="Times New Roman" w:cs="Arial"/>
          <w:color w:val="000000"/>
        </w:rPr>
        <w:t xml:space="preserve">section 51, </w:t>
      </w:r>
      <w:r w:rsidR="0052401B" w:rsidRPr="00CC12A4">
        <w:rPr>
          <w:rFonts w:eastAsia="Times New Roman" w:cs="Arial"/>
          <w:color w:val="000000"/>
        </w:rPr>
        <w:t xml:space="preserve">subdivision (f)—that it expressly makes any violation of the ADA </w:t>
      </w:r>
      <w:r w:rsidR="0052401B" w:rsidRPr="00CC12A4">
        <w:rPr>
          <w:rFonts w:eastAsia="Times New Roman" w:cs="Arial"/>
          <w:i/>
          <w:iCs/>
          <w:color w:val="000000"/>
        </w:rPr>
        <w:t xml:space="preserve">by a business establishment </w:t>
      </w:r>
      <w:r w:rsidR="0052401B" w:rsidRPr="00CC12A4">
        <w:rPr>
          <w:rFonts w:eastAsia="Times New Roman" w:cs="Arial"/>
          <w:color w:val="000000"/>
        </w:rPr>
        <w:t>a violation of the Unruh Act.</w:t>
      </w:r>
    </w:p>
    <w:p w14:paraId="09697B28" w14:textId="77777777" w:rsidR="00692536" w:rsidRPr="004927E0" w:rsidRDefault="0052401B" w:rsidP="00AB2BA7">
      <w:pPr>
        <w:keepNext/>
        <w:spacing w:line="360" w:lineRule="auto"/>
        <w:jc w:val="center"/>
        <w:rPr>
          <w:rFonts w:eastAsia="Times New Roman" w:cs="Arial"/>
          <w:b/>
          <w:bCs/>
          <w:color w:val="000000"/>
        </w:rPr>
      </w:pPr>
      <w:r w:rsidRPr="004927E0">
        <w:rPr>
          <w:rFonts w:eastAsia="Times New Roman" w:cs="Arial"/>
          <w:b/>
          <w:bCs/>
          <w:color w:val="000000"/>
        </w:rPr>
        <w:t>DISPOSITION</w:t>
      </w:r>
    </w:p>
    <w:p w14:paraId="2EA65458" w14:textId="77777777" w:rsidR="0087336A" w:rsidRDefault="0052401B" w:rsidP="00AB2BA7">
      <w:pPr>
        <w:keepNext/>
        <w:spacing w:line="360" w:lineRule="auto"/>
        <w:rPr>
          <w:rFonts w:eastAsia="Times New Roman" w:cs="Arial"/>
          <w:color w:val="000000"/>
        </w:rPr>
      </w:pPr>
      <w:r>
        <w:rPr>
          <w:rFonts w:eastAsia="Times New Roman" w:cs="Arial"/>
          <w:color w:val="000000"/>
        </w:rPr>
        <w:tab/>
      </w:r>
      <w:r w:rsidR="00874A31">
        <w:rPr>
          <w:rFonts w:eastAsia="Times New Roman" w:cs="Arial"/>
          <w:color w:val="000000"/>
        </w:rPr>
        <w:t xml:space="preserve">The </w:t>
      </w:r>
      <w:r w:rsidR="00413EED">
        <w:rPr>
          <w:rFonts w:eastAsia="Times New Roman" w:cs="Arial"/>
          <w:color w:val="000000"/>
        </w:rPr>
        <w:t xml:space="preserve">petition for a writ of mandate </w:t>
      </w:r>
      <w:r w:rsidR="001036F1">
        <w:rPr>
          <w:rFonts w:eastAsia="Times New Roman" w:cs="Arial"/>
          <w:color w:val="000000"/>
        </w:rPr>
        <w:t xml:space="preserve">seeking to </w:t>
      </w:r>
      <w:r w:rsidR="00413EED">
        <w:rPr>
          <w:rFonts w:eastAsia="Times New Roman" w:cs="Arial"/>
          <w:color w:val="000000"/>
        </w:rPr>
        <w:t>overturn the trial court’s order sustaining the school district</w:t>
      </w:r>
      <w:r w:rsidR="009A59D4">
        <w:rPr>
          <w:rFonts w:eastAsia="Times New Roman" w:cs="Arial"/>
          <w:color w:val="000000"/>
        </w:rPr>
        <w:t>’s</w:t>
      </w:r>
      <w:r w:rsidR="00413EED">
        <w:rPr>
          <w:rFonts w:eastAsia="Times New Roman" w:cs="Arial"/>
          <w:color w:val="000000"/>
        </w:rPr>
        <w:t xml:space="preserve"> demurrer to his Unruh Act claim </w:t>
      </w:r>
      <w:r w:rsidR="00934706">
        <w:rPr>
          <w:rFonts w:eastAsia="Times New Roman" w:cs="Arial"/>
          <w:color w:val="000000"/>
        </w:rPr>
        <w:t>without leave to amend</w:t>
      </w:r>
      <w:r w:rsidR="001036F1">
        <w:rPr>
          <w:rFonts w:eastAsia="Times New Roman" w:cs="Arial"/>
          <w:color w:val="000000"/>
        </w:rPr>
        <w:t>,</w:t>
      </w:r>
      <w:r w:rsidR="00934706">
        <w:rPr>
          <w:rFonts w:eastAsia="Times New Roman" w:cs="Arial"/>
          <w:color w:val="000000"/>
        </w:rPr>
        <w:t xml:space="preserve"> </w:t>
      </w:r>
      <w:r w:rsidR="00413EED">
        <w:rPr>
          <w:rFonts w:eastAsia="Times New Roman" w:cs="Arial"/>
          <w:color w:val="000000"/>
        </w:rPr>
        <w:t xml:space="preserve">is </w:t>
      </w:r>
      <w:r w:rsidR="001036F1">
        <w:rPr>
          <w:rFonts w:eastAsia="Times New Roman" w:cs="Arial"/>
          <w:color w:val="000000"/>
        </w:rPr>
        <w:t>DENIED</w:t>
      </w:r>
      <w:r w:rsidR="00413EED">
        <w:rPr>
          <w:rFonts w:eastAsia="Times New Roman" w:cs="Arial"/>
          <w:color w:val="000000"/>
        </w:rPr>
        <w:t xml:space="preserve">.  Parties to bear their own costs. </w:t>
      </w:r>
    </w:p>
    <w:p w14:paraId="3DFE9141" w14:textId="77777777" w:rsidR="0087336A" w:rsidRDefault="0087336A">
      <w:pPr>
        <w:tabs>
          <w:tab w:val="clear" w:pos="720"/>
        </w:tabs>
        <w:spacing w:line="360" w:lineRule="auto"/>
        <w:rPr>
          <w:rFonts w:eastAsia="Times New Roman" w:cs="Arial"/>
          <w:color w:val="000000"/>
        </w:rPr>
      </w:pPr>
      <w:r>
        <w:rPr>
          <w:rFonts w:eastAsia="Times New Roman" w:cs="Arial"/>
          <w:color w:val="000000"/>
        </w:rPr>
        <w:br w:type="page"/>
      </w:r>
    </w:p>
    <w:p w14:paraId="6A1749EB" w14:textId="77777777" w:rsidR="0087336A" w:rsidRPr="007B7787" w:rsidRDefault="0087336A" w:rsidP="0087336A">
      <w:pPr>
        <w:pStyle w:val="Normal2"/>
        <w:rPr>
          <w:rFonts w:ascii="Century Schoolbook" w:hAnsi="Century Schoolbook"/>
        </w:rPr>
      </w:pPr>
    </w:p>
    <w:p w14:paraId="1A7BBE60" w14:textId="77777777" w:rsidR="0087336A" w:rsidRPr="007B7787" w:rsidRDefault="0087336A" w:rsidP="0087336A">
      <w:pPr>
        <w:pStyle w:val="Normal2"/>
        <w:rPr>
          <w:rFonts w:ascii="Century Schoolbook" w:hAnsi="Century Schoolbook"/>
        </w:rPr>
      </w:pPr>
      <w:r w:rsidRPr="007B7787">
        <w:rPr>
          <w:rFonts w:ascii="Century Schoolbook" w:hAnsi="Century Schoolbook"/>
        </w:rPr>
        <w:tab/>
      </w:r>
      <w:r w:rsidRPr="007B7787">
        <w:rPr>
          <w:rFonts w:ascii="Century Schoolbook" w:hAnsi="Century Schoolbook"/>
        </w:rPr>
        <w:tab/>
      </w:r>
      <w:r w:rsidRPr="007B7787">
        <w:rPr>
          <w:rFonts w:ascii="Century Schoolbook" w:hAnsi="Century Schoolbook"/>
        </w:rPr>
        <w:tab/>
      </w:r>
      <w:r w:rsidRPr="007B7787">
        <w:rPr>
          <w:rFonts w:ascii="Century Schoolbook" w:hAnsi="Century Schoolbook"/>
        </w:rPr>
        <w:tab/>
      </w:r>
      <w:r w:rsidRPr="007B7787">
        <w:rPr>
          <w:rFonts w:ascii="Century Schoolbook" w:hAnsi="Century Schoolbook"/>
        </w:rPr>
        <w:tab/>
      </w:r>
      <w:r w:rsidRPr="007B7787">
        <w:rPr>
          <w:rFonts w:ascii="Century Schoolbook" w:hAnsi="Century Schoolbook"/>
        </w:rPr>
        <w:tab/>
      </w:r>
      <w:r w:rsidRPr="007B7787">
        <w:rPr>
          <w:rFonts w:ascii="Century Schoolbook" w:hAnsi="Century Schoolbook"/>
        </w:rPr>
        <w:tab/>
        <w:t>_________________________</w:t>
      </w:r>
    </w:p>
    <w:p w14:paraId="184321F9" w14:textId="77777777" w:rsidR="0087336A" w:rsidRPr="007B7787" w:rsidRDefault="0087336A" w:rsidP="0087336A">
      <w:pPr>
        <w:pStyle w:val="Normal2"/>
        <w:rPr>
          <w:rFonts w:ascii="Century Schoolbook" w:hAnsi="Century Schoolbook"/>
        </w:rPr>
      </w:pPr>
      <w:r w:rsidRPr="007B7787">
        <w:rPr>
          <w:rFonts w:ascii="Century Schoolbook" w:hAnsi="Century Schoolbook"/>
        </w:rPr>
        <w:tab/>
      </w:r>
      <w:r w:rsidRPr="007B7787">
        <w:rPr>
          <w:rFonts w:ascii="Century Schoolbook" w:hAnsi="Century Schoolbook"/>
        </w:rPr>
        <w:tab/>
      </w:r>
      <w:r w:rsidRPr="007B7787">
        <w:rPr>
          <w:rFonts w:ascii="Century Schoolbook" w:hAnsi="Century Schoolbook"/>
        </w:rPr>
        <w:tab/>
      </w:r>
      <w:r w:rsidRPr="007B7787">
        <w:rPr>
          <w:rFonts w:ascii="Century Schoolbook" w:hAnsi="Century Schoolbook"/>
        </w:rPr>
        <w:tab/>
      </w:r>
      <w:r w:rsidRPr="007B7787">
        <w:rPr>
          <w:rFonts w:ascii="Century Schoolbook" w:hAnsi="Century Schoolbook"/>
        </w:rPr>
        <w:tab/>
      </w:r>
      <w:r w:rsidRPr="007B7787">
        <w:rPr>
          <w:rFonts w:ascii="Century Schoolbook" w:hAnsi="Century Schoolbook"/>
        </w:rPr>
        <w:tab/>
      </w:r>
      <w:r w:rsidRPr="007B7787">
        <w:rPr>
          <w:rFonts w:ascii="Century Schoolbook" w:hAnsi="Century Schoolbook"/>
        </w:rPr>
        <w:tab/>
        <w:t>Banke, J.</w:t>
      </w:r>
    </w:p>
    <w:p w14:paraId="627B10AA" w14:textId="77777777" w:rsidR="0087336A" w:rsidRPr="007B7787" w:rsidRDefault="0087336A" w:rsidP="0087336A">
      <w:pPr>
        <w:pStyle w:val="Normal2"/>
        <w:rPr>
          <w:rFonts w:ascii="Century Schoolbook" w:hAnsi="Century Schoolbook"/>
        </w:rPr>
      </w:pPr>
    </w:p>
    <w:p w14:paraId="263B4757" w14:textId="77777777" w:rsidR="0087336A" w:rsidRPr="007B7787" w:rsidRDefault="0087336A" w:rsidP="0087336A">
      <w:pPr>
        <w:pStyle w:val="Normal2"/>
        <w:rPr>
          <w:rFonts w:ascii="Century Schoolbook" w:hAnsi="Century Schoolbook"/>
        </w:rPr>
      </w:pPr>
    </w:p>
    <w:p w14:paraId="4B2C9891" w14:textId="77777777" w:rsidR="0087336A" w:rsidRPr="007B7787" w:rsidRDefault="0087336A" w:rsidP="0087336A">
      <w:pPr>
        <w:pStyle w:val="Normal2"/>
        <w:rPr>
          <w:rFonts w:ascii="Century Schoolbook" w:hAnsi="Century Schoolbook"/>
        </w:rPr>
      </w:pPr>
      <w:r w:rsidRPr="007B7787">
        <w:rPr>
          <w:rFonts w:ascii="Century Schoolbook" w:hAnsi="Century Schoolbook"/>
        </w:rPr>
        <w:t>We concur:</w:t>
      </w:r>
    </w:p>
    <w:p w14:paraId="08E5C2DA" w14:textId="77777777" w:rsidR="0087336A" w:rsidRPr="007B7787" w:rsidRDefault="0087336A" w:rsidP="0087336A">
      <w:pPr>
        <w:pStyle w:val="Normal2"/>
        <w:rPr>
          <w:rFonts w:ascii="Century Schoolbook" w:hAnsi="Century Schoolbook"/>
        </w:rPr>
      </w:pPr>
    </w:p>
    <w:p w14:paraId="7170E64E" w14:textId="77777777" w:rsidR="0087336A" w:rsidRPr="007B7787" w:rsidRDefault="0087336A" w:rsidP="0087336A">
      <w:pPr>
        <w:pStyle w:val="Normal2"/>
        <w:rPr>
          <w:rFonts w:ascii="Century Schoolbook" w:hAnsi="Century Schoolbook"/>
        </w:rPr>
      </w:pPr>
    </w:p>
    <w:p w14:paraId="1340389F" w14:textId="77777777" w:rsidR="0087336A" w:rsidRPr="007B7787" w:rsidRDefault="0087336A" w:rsidP="0087336A">
      <w:pPr>
        <w:pStyle w:val="Normal2"/>
        <w:rPr>
          <w:rFonts w:ascii="Century Schoolbook" w:hAnsi="Century Schoolbook"/>
        </w:rPr>
      </w:pPr>
      <w:r w:rsidRPr="007B7787">
        <w:rPr>
          <w:rFonts w:ascii="Century Schoolbook" w:hAnsi="Century Schoolbook"/>
        </w:rPr>
        <w:t>_________________________</w:t>
      </w:r>
    </w:p>
    <w:p w14:paraId="21C8F006" w14:textId="77777777" w:rsidR="0087336A" w:rsidRPr="007B7787" w:rsidRDefault="0087336A" w:rsidP="0087336A">
      <w:pPr>
        <w:pStyle w:val="Normal2"/>
        <w:rPr>
          <w:rFonts w:ascii="Century Schoolbook" w:hAnsi="Century Schoolbook"/>
        </w:rPr>
      </w:pPr>
      <w:r w:rsidRPr="007B7787">
        <w:rPr>
          <w:rFonts w:ascii="Century Schoolbook" w:hAnsi="Century Schoolbook"/>
        </w:rPr>
        <w:t>Margulies, Acting P.J.</w:t>
      </w:r>
    </w:p>
    <w:p w14:paraId="34ACDBDD" w14:textId="77777777" w:rsidR="0087336A" w:rsidRPr="007B7787" w:rsidRDefault="0087336A" w:rsidP="0087336A">
      <w:pPr>
        <w:pStyle w:val="Normal2"/>
        <w:rPr>
          <w:rFonts w:ascii="Century Schoolbook" w:hAnsi="Century Schoolbook"/>
        </w:rPr>
      </w:pPr>
    </w:p>
    <w:p w14:paraId="667B8446" w14:textId="77777777" w:rsidR="0087336A" w:rsidRPr="007B7787" w:rsidRDefault="0087336A" w:rsidP="0087336A">
      <w:pPr>
        <w:pStyle w:val="Normal2"/>
        <w:rPr>
          <w:rFonts w:ascii="Century Schoolbook" w:hAnsi="Century Schoolbook"/>
        </w:rPr>
      </w:pPr>
    </w:p>
    <w:p w14:paraId="2B8E6D36" w14:textId="77777777" w:rsidR="0087336A" w:rsidRPr="007B7787" w:rsidRDefault="0087336A" w:rsidP="0087336A">
      <w:pPr>
        <w:pStyle w:val="Normal2"/>
        <w:rPr>
          <w:rFonts w:ascii="Century Schoolbook" w:hAnsi="Century Schoolbook"/>
        </w:rPr>
      </w:pPr>
      <w:r w:rsidRPr="007B7787">
        <w:rPr>
          <w:rFonts w:ascii="Century Schoolbook" w:hAnsi="Century Schoolbook"/>
        </w:rPr>
        <w:t>_________________________</w:t>
      </w:r>
    </w:p>
    <w:p w14:paraId="12008D28" w14:textId="77777777" w:rsidR="0087336A" w:rsidRPr="007B7787" w:rsidRDefault="0087336A" w:rsidP="0087336A">
      <w:pPr>
        <w:pStyle w:val="Normal2"/>
        <w:rPr>
          <w:rFonts w:ascii="Century Schoolbook" w:hAnsi="Century Schoolbook"/>
        </w:rPr>
      </w:pPr>
      <w:r w:rsidRPr="007B7787">
        <w:rPr>
          <w:rFonts w:ascii="Century Schoolbook" w:hAnsi="Century Schoolbook"/>
        </w:rPr>
        <w:t>Sanchez, J.</w:t>
      </w:r>
    </w:p>
    <w:p w14:paraId="3A33F785" w14:textId="77777777" w:rsidR="0087336A" w:rsidRPr="007B7787" w:rsidRDefault="0087336A" w:rsidP="0087336A">
      <w:pPr>
        <w:pStyle w:val="Normal2"/>
        <w:rPr>
          <w:rFonts w:ascii="Century Schoolbook" w:hAnsi="Century Schoolbook"/>
        </w:rPr>
      </w:pPr>
    </w:p>
    <w:p w14:paraId="76AB87CC" w14:textId="77777777" w:rsidR="0087336A" w:rsidRPr="007B7787" w:rsidRDefault="0087336A" w:rsidP="0087336A">
      <w:pPr>
        <w:pStyle w:val="Normal2"/>
        <w:rPr>
          <w:rFonts w:ascii="Century Schoolbook" w:hAnsi="Century Schoolbook"/>
        </w:rPr>
      </w:pPr>
    </w:p>
    <w:p w14:paraId="2D859F30" w14:textId="77777777" w:rsidR="0087336A" w:rsidRPr="007B7787" w:rsidRDefault="0087336A" w:rsidP="0087336A">
      <w:pPr>
        <w:pStyle w:val="Normal2"/>
        <w:rPr>
          <w:rFonts w:ascii="Century Schoolbook" w:hAnsi="Century Schoolbook"/>
        </w:rPr>
      </w:pPr>
    </w:p>
    <w:p w14:paraId="7A38B47F" w14:textId="77777777" w:rsidR="0087336A" w:rsidRPr="007B7787" w:rsidRDefault="0087336A" w:rsidP="0087336A">
      <w:pPr>
        <w:pStyle w:val="Normal2"/>
        <w:rPr>
          <w:rFonts w:ascii="Century Schoolbook" w:hAnsi="Century Schoolbook"/>
        </w:rPr>
      </w:pPr>
    </w:p>
    <w:p w14:paraId="6C7177F3" w14:textId="77777777" w:rsidR="0087336A" w:rsidRPr="007B7787" w:rsidRDefault="0087336A" w:rsidP="0087336A">
      <w:pPr>
        <w:pStyle w:val="Normal2"/>
        <w:rPr>
          <w:rFonts w:ascii="Century Schoolbook" w:hAnsi="Century Schoolbook"/>
        </w:rPr>
      </w:pPr>
    </w:p>
    <w:p w14:paraId="5813A361" w14:textId="77777777" w:rsidR="0087336A" w:rsidRPr="007B7787" w:rsidRDefault="0087336A" w:rsidP="0087336A">
      <w:pPr>
        <w:pStyle w:val="Normal2"/>
        <w:rPr>
          <w:rFonts w:ascii="Century Schoolbook" w:hAnsi="Century Schoolbook"/>
        </w:rPr>
      </w:pPr>
    </w:p>
    <w:p w14:paraId="046FB50E" w14:textId="77777777" w:rsidR="0087336A" w:rsidRPr="007B7787" w:rsidRDefault="0087336A" w:rsidP="0087336A">
      <w:pPr>
        <w:pStyle w:val="Normal2"/>
        <w:rPr>
          <w:rFonts w:ascii="Century Schoolbook" w:hAnsi="Century Schoolbook"/>
        </w:rPr>
      </w:pPr>
    </w:p>
    <w:p w14:paraId="4C819461" w14:textId="77777777" w:rsidR="0087336A" w:rsidRPr="007B7787" w:rsidRDefault="0087336A" w:rsidP="0087336A">
      <w:pPr>
        <w:pStyle w:val="Normal2"/>
        <w:rPr>
          <w:rFonts w:ascii="Century Schoolbook" w:hAnsi="Century Schoolbook"/>
        </w:rPr>
      </w:pPr>
    </w:p>
    <w:p w14:paraId="22263338" w14:textId="77777777" w:rsidR="0087336A" w:rsidRPr="007B7787" w:rsidRDefault="0087336A" w:rsidP="0087336A">
      <w:pPr>
        <w:pStyle w:val="Normal2"/>
        <w:rPr>
          <w:rFonts w:ascii="Century Schoolbook" w:hAnsi="Century Schoolbook"/>
        </w:rPr>
      </w:pPr>
    </w:p>
    <w:p w14:paraId="2E87A6FD" w14:textId="77777777" w:rsidR="0087336A" w:rsidRPr="007B7787" w:rsidRDefault="0087336A" w:rsidP="0087336A">
      <w:pPr>
        <w:pStyle w:val="Normal2"/>
        <w:rPr>
          <w:rFonts w:ascii="Century Schoolbook" w:hAnsi="Century Schoolbook"/>
        </w:rPr>
      </w:pPr>
    </w:p>
    <w:p w14:paraId="251E01DE" w14:textId="77777777" w:rsidR="0087336A" w:rsidRPr="007B7787" w:rsidRDefault="0087336A" w:rsidP="0087336A">
      <w:pPr>
        <w:pStyle w:val="Normal2"/>
        <w:rPr>
          <w:rFonts w:ascii="Century Schoolbook" w:hAnsi="Century Schoolbook"/>
        </w:rPr>
      </w:pPr>
    </w:p>
    <w:p w14:paraId="0B3A5FD8" w14:textId="77777777" w:rsidR="0087336A" w:rsidRPr="007B7787" w:rsidRDefault="0087336A" w:rsidP="0087336A">
      <w:pPr>
        <w:pStyle w:val="Normal2"/>
        <w:rPr>
          <w:rFonts w:ascii="Century Schoolbook" w:hAnsi="Century Schoolbook"/>
        </w:rPr>
      </w:pPr>
    </w:p>
    <w:p w14:paraId="597B8BCD" w14:textId="77777777" w:rsidR="0087336A" w:rsidRPr="007B7787" w:rsidRDefault="0087336A" w:rsidP="0087336A">
      <w:pPr>
        <w:pStyle w:val="Normal2"/>
        <w:rPr>
          <w:rFonts w:ascii="Century Schoolbook" w:hAnsi="Century Schoolbook"/>
        </w:rPr>
      </w:pPr>
    </w:p>
    <w:p w14:paraId="73AF295C" w14:textId="77777777" w:rsidR="0087336A" w:rsidRPr="007B7787" w:rsidRDefault="0087336A" w:rsidP="0087336A">
      <w:pPr>
        <w:pStyle w:val="Normal2"/>
        <w:rPr>
          <w:rFonts w:ascii="Century Schoolbook" w:hAnsi="Century Schoolbook"/>
        </w:rPr>
      </w:pPr>
    </w:p>
    <w:p w14:paraId="21D2B239" w14:textId="77777777" w:rsidR="0087336A" w:rsidRPr="007B7787" w:rsidRDefault="0087336A" w:rsidP="0087336A">
      <w:pPr>
        <w:pStyle w:val="Normal2"/>
        <w:rPr>
          <w:rFonts w:ascii="Century Schoolbook" w:hAnsi="Century Schoolbook"/>
        </w:rPr>
      </w:pPr>
    </w:p>
    <w:p w14:paraId="2B0BFBAA" w14:textId="77777777" w:rsidR="0087336A" w:rsidRPr="007B7787" w:rsidRDefault="0087336A" w:rsidP="0087336A">
      <w:pPr>
        <w:pStyle w:val="Normal2"/>
        <w:rPr>
          <w:rFonts w:ascii="Century Schoolbook" w:hAnsi="Century Schoolbook"/>
        </w:rPr>
      </w:pPr>
    </w:p>
    <w:p w14:paraId="05C28320" w14:textId="77777777" w:rsidR="0087336A" w:rsidRPr="007B7787" w:rsidRDefault="0087336A" w:rsidP="0087336A">
      <w:pPr>
        <w:pStyle w:val="Normal2"/>
        <w:rPr>
          <w:rFonts w:ascii="Century Schoolbook" w:hAnsi="Century Schoolbook"/>
        </w:rPr>
      </w:pPr>
    </w:p>
    <w:p w14:paraId="122D185A" w14:textId="77777777" w:rsidR="0087336A" w:rsidRPr="007B7787" w:rsidRDefault="0087336A" w:rsidP="0087336A">
      <w:pPr>
        <w:pStyle w:val="Normal2"/>
        <w:rPr>
          <w:rFonts w:ascii="Century Schoolbook" w:hAnsi="Century Schoolbook"/>
        </w:rPr>
      </w:pPr>
    </w:p>
    <w:p w14:paraId="670BF13C" w14:textId="77777777" w:rsidR="0087336A" w:rsidRPr="007B7787" w:rsidRDefault="0087336A" w:rsidP="0087336A">
      <w:pPr>
        <w:pStyle w:val="Normal2"/>
        <w:rPr>
          <w:rFonts w:ascii="Century Schoolbook" w:hAnsi="Century Schoolbook"/>
        </w:rPr>
      </w:pPr>
    </w:p>
    <w:p w14:paraId="50328202" w14:textId="77777777" w:rsidR="0087336A" w:rsidRPr="007B7787" w:rsidRDefault="0087336A" w:rsidP="0087336A">
      <w:pPr>
        <w:pStyle w:val="Normal2"/>
        <w:rPr>
          <w:rFonts w:ascii="Century Schoolbook" w:hAnsi="Century Schoolbook"/>
        </w:rPr>
      </w:pPr>
    </w:p>
    <w:p w14:paraId="3CB26031" w14:textId="77777777" w:rsidR="0087336A" w:rsidRPr="007B7787" w:rsidRDefault="0087336A" w:rsidP="0087336A">
      <w:pPr>
        <w:pStyle w:val="Normal2"/>
        <w:rPr>
          <w:rFonts w:ascii="Century Schoolbook" w:hAnsi="Century Schoolbook"/>
        </w:rPr>
      </w:pPr>
    </w:p>
    <w:p w14:paraId="22210CFF" w14:textId="77777777" w:rsidR="0087336A" w:rsidRPr="007B7787" w:rsidRDefault="0087336A" w:rsidP="0087336A">
      <w:pPr>
        <w:pStyle w:val="Normal2"/>
        <w:rPr>
          <w:rFonts w:ascii="Century Schoolbook" w:hAnsi="Century Schoolbook"/>
        </w:rPr>
      </w:pPr>
    </w:p>
    <w:p w14:paraId="68FC5A44" w14:textId="77777777" w:rsidR="0087336A" w:rsidRPr="007B7787" w:rsidRDefault="0087336A" w:rsidP="0087336A">
      <w:pPr>
        <w:pStyle w:val="Normal2"/>
        <w:rPr>
          <w:rFonts w:ascii="Century Schoolbook" w:hAnsi="Century Schoolbook"/>
        </w:rPr>
      </w:pPr>
    </w:p>
    <w:p w14:paraId="341FD56B" w14:textId="77777777" w:rsidR="000B61C6" w:rsidRDefault="0087336A" w:rsidP="0087336A">
      <w:pPr>
        <w:pStyle w:val="Normal2"/>
        <w:rPr>
          <w:rFonts w:ascii="Century Schoolbook" w:hAnsi="Century Schoolbook"/>
        </w:rPr>
      </w:pPr>
      <w:r w:rsidRPr="007B7787">
        <w:rPr>
          <w:rFonts w:ascii="Century Schoolbook" w:hAnsi="Century Schoolbook"/>
        </w:rPr>
        <w:t>A</w:t>
      </w:r>
      <w:r>
        <w:rPr>
          <w:rFonts w:ascii="Century Schoolbook" w:hAnsi="Century Schoolbook"/>
        </w:rPr>
        <w:t xml:space="preserve">157026, Brennon B. </w:t>
      </w:r>
    </w:p>
    <w:p w14:paraId="444B473B" w14:textId="77777777" w:rsidR="000B61C6" w:rsidRDefault="000B61C6">
      <w:pPr>
        <w:tabs>
          <w:tab w:val="clear" w:pos="720"/>
        </w:tabs>
        <w:spacing w:line="360" w:lineRule="auto"/>
        <w:rPr>
          <w:rFonts w:eastAsia="Times New Roman" w:cs="Times New Roman"/>
          <w:szCs w:val="20"/>
        </w:rPr>
      </w:pPr>
      <w:r>
        <w:br w:type="page"/>
      </w:r>
    </w:p>
    <w:p w14:paraId="16F888B7" w14:textId="77777777" w:rsidR="000B61C6" w:rsidRDefault="000B61C6" w:rsidP="000B61C6">
      <w:pPr>
        <w:spacing w:line="240" w:lineRule="auto"/>
      </w:pPr>
      <w:r>
        <w:lastRenderedPageBreak/>
        <w:t>Trial Court:</w:t>
      </w:r>
      <w:r>
        <w:tab/>
        <w:t>Contra Costa County Superior Court</w:t>
      </w:r>
    </w:p>
    <w:p w14:paraId="57A185A2" w14:textId="77777777" w:rsidR="000B61C6" w:rsidRDefault="000B61C6" w:rsidP="000B61C6">
      <w:pPr>
        <w:spacing w:line="240" w:lineRule="auto"/>
      </w:pPr>
    </w:p>
    <w:p w14:paraId="6A9077AF" w14:textId="77777777" w:rsidR="000B61C6" w:rsidRDefault="000B61C6" w:rsidP="000B61C6">
      <w:pPr>
        <w:spacing w:line="240" w:lineRule="auto"/>
      </w:pPr>
      <w:r>
        <w:t>Trial Judge:</w:t>
      </w:r>
      <w:r>
        <w:tab/>
        <w:t>Hon. Charles S. Treat</w:t>
      </w:r>
    </w:p>
    <w:p w14:paraId="434C5AA0" w14:textId="77777777" w:rsidR="000B61C6" w:rsidRDefault="000B61C6" w:rsidP="000B61C6">
      <w:pPr>
        <w:spacing w:line="240" w:lineRule="auto"/>
      </w:pPr>
    </w:p>
    <w:p w14:paraId="633D9519" w14:textId="77777777" w:rsidR="000B61C6" w:rsidRDefault="000B61C6" w:rsidP="000B61C6">
      <w:pPr>
        <w:spacing w:line="240" w:lineRule="auto"/>
      </w:pPr>
      <w:r>
        <w:t xml:space="preserve">Counsel:  </w:t>
      </w:r>
    </w:p>
    <w:p w14:paraId="4C8DCC47" w14:textId="77777777" w:rsidR="000B61C6" w:rsidRDefault="000B61C6" w:rsidP="000B61C6">
      <w:pPr>
        <w:spacing w:line="240" w:lineRule="auto"/>
      </w:pPr>
    </w:p>
    <w:p w14:paraId="76E2A4B8" w14:textId="77777777" w:rsidR="000B61C6" w:rsidRDefault="000B61C6" w:rsidP="000B61C6">
      <w:pPr>
        <w:spacing w:line="240" w:lineRule="auto"/>
      </w:pPr>
      <w:r>
        <w:t>Liberty Law Office and Micha Star Liberty for Petitioner.</w:t>
      </w:r>
    </w:p>
    <w:p w14:paraId="6FD61A61" w14:textId="77777777" w:rsidR="000B61C6" w:rsidRDefault="000B61C6" w:rsidP="000B61C6">
      <w:pPr>
        <w:spacing w:line="240" w:lineRule="auto"/>
      </w:pPr>
    </w:p>
    <w:p w14:paraId="03BEFF0B" w14:textId="77777777" w:rsidR="000B61C6" w:rsidRDefault="000B61C6" w:rsidP="000B61C6">
      <w:pPr>
        <w:spacing w:line="240" w:lineRule="auto"/>
      </w:pPr>
      <w:r>
        <w:t xml:space="preserve">Consumer Attorneys of California and Alan Charles </w:t>
      </w:r>
      <w:proofErr w:type="spellStart"/>
      <w:r>
        <w:t>Dell’Ario</w:t>
      </w:r>
      <w:proofErr w:type="spellEnd"/>
      <w:r>
        <w:t xml:space="preserve"> as Amicus Curiae on behalf of Petitioner.</w:t>
      </w:r>
    </w:p>
    <w:p w14:paraId="514AE997" w14:textId="77777777" w:rsidR="000B61C6" w:rsidRDefault="000B61C6" w:rsidP="000B61C6">
      <w:pPr>
        <w:spacing w:line="240" w:lineRule="auto"/>
      </w:pPr>
    </w:p>
    <w:p w14:paraId="41F02038" w14:textId="77777777" w:rsidR="000B61C6" w:rsidRDefault="000B61C6" w:rsidP="000B61C6">
      <w:pPr>
        <w:spacing w:line="240" w:lineRule="auto"/>
      </w:pPr>
      <w:r>
        <w:t>No appearance for Respondent.</w:t>
      </w:r>
    </w:p>
    <w:p w14:paraId="3410E06F" w14:textId="77777777" w:rsidR="000B61C6" w:rsidRDefault="000B61C6" w:rsidP="000B61C6">
      <w:pPr>
        <w:spacing w:line="240" w:lineRule="auto"/>
      </w:pPr>
    </w:p>
    <w:p w14:paraId="067EBEDF" w14:textId="77777777" w:rsidR="000B61C6" w:rsidRDefault="000B61C6" w:rsidP="000B61C6">
      <w:pPr>
        <w:spacing w:line="240" w:lineRule="auto"/>
      </w:pPr>
      <w:r>
        <w:t xml:space="preserve">Edington Schirmer &amp; Murphy, Timothy Patrick </w:t>
      </w:r>
      <w:proofErr w:type="gramStart"/>
      <w:r>
        <w:t>Murphy</w:t>
      </w:r>
      <w:proofErr w:type="gramEnd"/>
      <w:r>
        <w:t xml:space="preserve"> and Cody Lee Saal for Real Party in Interest. </w:t>
      </w:r>
    </w:p>
    <w:p w14:paraId="476D1B7F" w14:textId="77777777" w:rsidR="000B61C6" w:rsidRDefault="000B61C6" w:rsidP="000B61C6">
      <w:pPr>
        <w:spacing w:line="240" w:lineRule="auto"/>
      </w:pPr>
    </w:p>
    <w:p w14:paraId="3FC4B09A" w14:textId="77777777" w:rsidR="000B61C6" w:rsidRDefault="000B61C6" w:rsidP="000B61C6">
      <w:pPr>
        <w:spacing w:line="240" w:lineRule="auto"/>
      </w:pPr>
      <w:r>
        <w:t xml:space="preserve">Sue Ann Salmon, </w:t>
      </w:r>
      <w:proofErr w:type="spellStart"/>
      <w:r>
        <w:t>Dannis</w:t>
      </w:r>
      <w:proofErr w:type="spellEnd"/>
      <w:r>
        <w:t xml:space="preserve"> </w:t>
      </w:r>
      <w:proofErr w:type="spellStart"/>
      <w:r>
        <w:t>Woliver</w:t>
      </w:r>
      <w:proofErr w:type="spellEnd"/>
      <w:r>
        <w:t xml:space="preserve"> Kelley, and David A. </w:t>
      </w:r>
      <w:proofErr w:type="spellStart"/>
      <w:r>
        <w:t>Obrand</w:t>
      </w:r>
      <w:proofErr w:type="spellEnd"/>
      <w:r>
        <w:t xml:space="preserve">; The Education Legal Alliance of the California School Boards Association and Kathryn Elizabeth </w:t>
      </w:r>
      <w:proofErr w:type="spellStart"/>
      <w:r>
        <w:t>Meola</w:t>
      </w:r>
      <w:proofErr w:type="spellEnd"/>
      <w:r>
        <w:t>, as Amicus Curiae on behalf of Real Party in Interest.</w:t>
      </w:r>
    </w:p>
    <w:p w14:paraId="77B7D923" w14:textId="77777777" w:rsidR="0087336A" w:rsidRPr="007B7787" w:rsidRDefault="0087336A" w:rsidP="0087336A">
      <w:pPr>
        <w:pStyle w:val="Normal2"/>
        <w:rPr>
          <w:rFonts w:ascii="Century Schoolbook" w:hAnsi="Century Schoolbook"/>
        </w:rPr>
      </w:pPr>
    </w:p>
    <w:p w14:paraId="631201B5" w14:textId="77777777" w:rsidR="0052401B" w:rsidRPr="004F723E" w:rsidRDefault="0052401B" w:rsidP="0052401B">
      <w:pPr>
        <w:spacing w:line="360" w:lineRule="auto"/>
        <w:rPr>
          <w:rFonts w:eastAsia="Times New Roman" w:cs="Arial"/>
          <w:color w:val="000000"/>
        </w:rPr>
      </w:pPr>
    </w:p>
    <w:sectPr w:rsidR="0052401B" w:rsidRPr="004F723E" w:rsidSect="000D627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774C" w14:textId="77777777" w:rsidR="001F6006" w:rsidRDefault="001F6006" w:rsidP="000D6271">
      <w:pPr>
        <w:spacing w:line="240" w:lineRule="auto"/>
      </w:pPr>
      <w:r>
        <w:separator/>
      </w:r>
    </w:p>
  </w:endnote>
  <w:endnote w:type="continuationSeparator" w:id="0">
    <w:p w14:paraId="6733103D" w14:textId="77777777" w:rsidR="001F6006" w:rsidRDefault="001F6006" w:rsidP="000D6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CF19" w14:textId="77777777" w:rsidR="00BD66EC" w:rsidRDefault="00BD66EC" w:rsidP="00046AC6">
    <w:pPr>
      <w:pStyle w:val="Footer"/>
      <w:framePr w:wrap="around" w:vAnchor="text" w:hAnchor="margin" w:xAlign="center" w:y="1"/>
      <w:rPr>
        <w:rStyle w:val="PageNumber"/>
      </w:rPr>
    </w:pPr>
  </w:p>
  <w:p w14:paraId="4960E219" w14:textId="77777777" w:rsidR="00BD66EC" w:rsidRDefault="00BD66EC" w:rsidP="00046AC6">
    <w:pPr>
      <w:pStyle w:val="Footer"/>
      <w:framePr w:wrap="around" w:vAnchor="text" w:hAnchor="margin" w:xAlign="center" w:y="1"/>
      <w:rPr>
        <w:rStyle w:val="PageNumber"/>
      </w:rPr>
    </w:pPr>
  </w:p>
  <w:p w14:paraId="24CEC821" w14:textId="77777777" w:rsidR="00BD66EC" w:rsidRDefault="00BD6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419723"/>
      <w:docPartObj>
        <w:docPartGallery w:val="Page Numbers (Bottom of Page)"/>
        <w:docPartUnique/>
      </w:docPartObj>
    </w:sdtPr>
    <w:sdtEndPr>
      <w:rPr>
        <w:noProof/>
      </w:rPr>
    </w:sdtEndPr>
    <w:sdtContent>
      <w:p w14:paraId="5822533A" w14:textId="77777777" w:rsidR="00BD66EC" w:rsidRDefault="00BD66EC">
        <w:pPr>
          <w:pStyle w:val="Footer"/>
          <w:jc w:val="center"/>
        </w:pPr>
        <w:r>
          <w:fldChar w:fldCharType="begin"/>
        </w:r>
        <w:r>
          <w:instrText xml:space="preserve"> PAGE   \* MERGEFORMAT </w:instrText>
        </w:r>
        <w:r>
          <w:fldChar w:fldCharType="separate"/>
        </w:r>
        <w:r w:rsidR="00CC281F">
          <w:rPr>
            <w:noProof/>
          </w:rPr>
          <w:t>60</w:t>
        </w:r>
        <w:r>
          <w:rPr>
            <w:noProof/>
          </w:rPr>
          <w:fldChar w:fldCharType="end"/>
        </w:r>
      </w:p>
    </w:sdtContent>
  </w:sdt>
  <w:p w14:paraId="37DFC398" w14:textId="77777777" w:rsidR="00BD66EC" w:rsidRDefault="00BD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86F78" w14:textId="77777777" w:rsidR="001F6006" w:rsidRDefault="001F6006" w:rsidP="000D6271">
      <w:pPr>
        <w:spacing w:line="240" w:lineRule="auto"/>
      </w:pPr>
      <w:r>
        <w:separator/>
      </w:r>
    </w:p>
  </w:footnote>
  <w:footnote w:type="continuationSeparator" w:id="0">
    <w:p w14:paraId="325815EB" w14:textId="77777777" w:rsidR="001F6006" w:rsidRDefault="001F6006" w:rsidP="000D6271">
      <w:pPr>
        <w:spacing w:line="240" w:lineRule="auto"/>
      </w:pPr>
      <w:r>
        <w:continuationSeparator/>
      </w:r>
    </w:p>
  </w:footnote>
  <w:footnote w:id="1">
    <w:p w14:paraId="49EEAD01" w14:textId="77777777" w:rsidR="00BD66EC" w:rsidRPr="000E25EB" w:rsidRDefault="00BD66EC" w:rsidP="000E25EB">
      <w:pPr>
        <w:shd w:val="clear" w:color="auto" w:fill="FFFFFF"/>
        <w:tabs>
          <w:tab w:val="clear" w:pos="720"/>
        </w:tabs>
        <w:spacing w:after="120" w:line="240" w:lineRule="auto"/>
        <w:ind w:firstLine="720"/>
        <w:rPr>
          <w:rFonts w:eastAsia="Times New Roman" w:cs="Arial"/>
          <w:color w:val="000000"/>
        </w:rPr>
      </w:pPr>
      <w:r w:rsidRPr="00E336A2">
        <w:rPr>
          <w:rStyle w:val="FootnoteReference"/>
        </w:rPr>
        <w:footnoteRef/>
      </w:r>
      <w:r w:rsidRPr="00E336A2">
        <w:t xml:space="preserve"> </w:t>
      </w:r>
      <w:r w:rsidRPr="00E336A2">
        <w:rPr>
          <w:rFonts w:eastAsia="Times New Roman" w:cs="Arial"/>
          <w:noProof/>
          <w:vanish/>
          <w:color w:val="000000"/>
          <w:shd w:val="clear" w:color="auto" w:fill="FFFFFF"/>
        </w:rPr>
        <w:t xml:space="preserve"> </w:t>
      </w:r>
      <w:r w:rsidRPr="00E336A2">
        <w:rPr>
          <w:rFonts w:eastAsia="Times New Roman" w:cs="Arial"/>
          <w:color w:val="000000"/>
        </w:rPr>
        <w:t>“Public education is an obligation which the State assumed by the adoption of the Constitution.  [Citations.] . . . ‘[M]</w:t>
      </w:r>
      <w:proofErr w:type="spellStart"/>
      <w:r w:rsidRPr="00E336A2">
        <w:rPr>
          <w:rFonts w:eastAsia="Times New Roman" w:cs="Arial"/>
          <w:color w:val="000000"/>
        </w:rPr>
        <w:t>anagement</w:t>
      </w:r>
      <w:proofErr w:type="spellEnd"/>
      <w:r w:rsidRPr="00E336A2">
        <w:rPr>
          <w:rFonts w:eastAsia="Times New Roman" w:cs="Arial"/>
          <w:color w:val="000000"/>
        </w:rPr>
        <w:t xml:space="preserve"> and control of the public schools [is] a matter of state[, not local,] care and supervision. . . .’  [Citations.] . . . Local districts are the State’s agents for local operation of the common school system. . . .” </w:t>
      </w:r>
      <w:r w:rsidRPr="00E336A2">
        <w:rPr>
          <w:rFonts w:eastAsia="Times New Roman" w:cs="Arial"/>
          <w:noProof/>
          <w:vanish/>
          <w:color w:val="000000"/>
          <w:shd w:val="clear" w:color="auto" w:fill="FFFFFF"/>
        </w:rPr>
        <w:t xml:space="preserve"> </w:t>
      </w:r>
      <w:r w:rsidRPr="00E336A2">
        <w:rPr>
          <w:rFonts w:eastAsia="Times New Roman" w:cs="Arial"/>
          <w:color w:val="000000"/>
        </w:rPr>
        <w:t>(</w:t>
      </w:r>
      <w:r w:rsidRPr="00E336A2">
        <w:rPr>
          <w:rFonts w:eastAsia="Times New Roman" w:cs="Arial"/>
          <w:i/>
          <w:iCs/>
          <w:color w:val="000000"/>
        </w:rPr>
        <w:t>Butt v. State of California</w:t>
      </w:r>
      <w:r w:rsidRPr="00E336A2">
        <w:rPr>
          <w:rFonts w:eastAsia="Times New Roman" w:cs="Arial"/>
          <w:color w:val="000000"/>
        </w:rPr>
        <w:t xml:space="preserve"> (1992) 4 Cal.4th 668, 680</w:t>
      </w:r>
      <w:r w:rsidR="001A212D">
        <w:t>–</w:t>
      </w:r>
      <w:r w:rsidRPr="00E336A2">
        <w:rPr>
          <w:rFonts w:eastAsia="Times New Roman" w:cs="Arial"/>
          <w:color w:val="000000"/>
        </w:rPr>
        <w:t xml:space="preserve">681.)  “The Constitution has always vested ‘plenary’ power over education not in the districts, but in the State, through its Legislature, which may create, dissolve, combine, modify, and regulate local districts at pleasure.” </w:t>
      </w:r>
      <w:r w:rsidRPr="00E336A2">
        <w:rPr>
          <w:rFonts w:eastAsia="Times New Roman" w:cs="Arial"/>
          <w:noProof/>
          <w:vanish/>
          <w:color w:val="000000"/>
          <w:shd w:val="clear" w:color="auto" w:fill="FFFFFF"/>
        </w:rPr>
        <w:t xml:space="preserve"> </w:t>
      </w:r>
      <w:r w:rsidRPr="00E336A2">
        <w:rPr>
          <w:rFonts w:eastAsia="Times New Roman" w:cs="Arial"/>
          <w:color w:val="000000"/>
        </w:rPr>
        <w:t>(</w:t>
      </w:r>
      <w:r w:rsidRPr="00E336A2">
        <w:rPr>
          <w:rFonts w:eastAsia="Times New Roman" w:cs="Arial"/>
          <w:i/>
          <w:iCs/>
          <w:color w:val="000000"/>
        </w:rPr>
        <w:t>Id.</w:t>
      </w:r>
      <w:r w:rsidRPr="00E336A2">
        <w:rPr>
          <w:rFonts w:eastAsia="Times New Roman" w:cs="Arial"/>
          <w:color w:val="000000"/>
        </w:rPr>
        <w:t xml:space="preserve"> at p. 688; accord </w:t>
      </w:r>
      <w:r w:rsidRPr="00E336A2">
        <w:rPr>
          <w:rFonts w:eastAsia="Times New Roman" w:cs="Arial"/>
          <w:i/>
          <w:iCs/>
          <w:color w:val="000000"/>
        </w:rPr>
        <w:t xml:space="preserve">Wells v. One2One Learning Foundation </w:t>
      </w:r>
      <w:r w:rsidRPr="00E336A2">
        <w:rPr>
          <w:rFonts w:eastAsia="Times New Roman" w:cs="Arial"/>
          <w:color w:val="000000"/>
        </w:rPr>
        <w:t>(2006) 39 Cal.4th 1164, 1195.)</w:t>
      </w:r>
    </w:p>
  </w:footnote>
  <w:footnote w:id="2">
    <w:p w14:paraId="646FD800" w14:textId="77777777" w:rsidR="00BD66EC" w:rsidRDefault="00BD66EC" w:rsidP="00866DDA">
      <w:pPr>
        <w:pStyle w:val="FootnoteText"/>
        <w:spacing w:after="120"/>
        <w:ind w:firstLine="720"/>
      </w:pPr>
      <w:r w:rsidRPr="00E336A2">
        <w:rPr>
          <w:rStyle w:val="FootnoteReference"/>
        </w:rPr>
        <w:footnoteRef/>
      </w:r>
      <w:r w:rsidRPr="00E336A2">
        <w:t xml:space="preserve">  Given the issues before us, we need not discuss the specific factual and procedural background of this case.  Suffice it to say petitioner, who suffers from autism, has alleged, among other things, that he has been the victim of disability discrimination at the hands of school personnel.  </w:t>
      </w:r>
      <w:r>
        <w:t xml:space="preserve">   </w:t>
      </w:r>
    </w:p>
  </w:footnote>
  <w:footnote w:id="3">
    <w:p w14:paraId="31BE73A2" w14:textId="77777777" w:rsidR="00BD66EC" w:rsidRPr="00E336A2" w:rsidRDefault="00BD66EC" w:rsidP="00B03CE9">
      <w:pPr>
        <w:pStyle w:val="FootnoteText"/>
        <w:spacing w:after="120"/>
        <w:ind w:firstLine="720"/>
      </w:pPr>
      <w:r w:rsidRPr="00E336A2">
        <w:rPr>
          <w:rStyle w:val="FootnoteReference"/>
        </w:rPr>
        <w:footnoteRef/>
      </w:r>
      <w:r w:rsidRPr="00E336A2">
        <w:t xml:space="preserve">  </w:t>
      </w:r>
      <w:r w:rsidRPr="00E336A2">
        <w:rPr>
          <w:szCs w:val="26"/>
        </w:rPr>
        <w:t xml:space="preserve">Our Supreme Court has cited to this scholarly article in each of its principle decisions addressing whether the defendant was a business establishment under the Act. (E.g., </w:t>
      </w:r>
      <w:r w:rsidRPr="00E336A2">
        <w:rPr>
          <w:i/>
          <w:iCs/>
          <w:szCs w:val="26"/>
        </w:rPr>
        <w:t xml:space="preserve">Curran, supra, </w:t>
      </w:r>
      <w:r w:rsidRPr="00E336A2">
        <w:t xml:space="preserve">17 Cal.4th </w:t>
      </w:r>
      <w:r w:rsidRPr="00E336A2">
        <w:rPr>
          <w:szCs w:val="26"/>
        </w:rPr>
        <w:t xml:space="preserve">at p. 687, fn. 13; </w:t>
      </w:r>
      <w:r w:rsidRPr="00E336A2">
        <w:rPr>
          <w:i/>
          <w:iCs/>
          <w:szCs w:val="26"/>
        </w:rPr>
        <w:t xml:space="preserve">Warfield, supra, </w:t>
      </w:r>
      <w:r w:rsidRPr="00E336A2">
        <w:t xml:space="preserve">10 Cal.4th </w:t>
      </w:r>
      <w:r w:rsidRPr="00E336A2">
        <w:rPr>
          <w:szCs w:val="26"/>
        </w:rPr>
        <w:t xml:space="preserve">at p. 608, fn. 8; </w:t>
      </w:r>
      <w:proofErr w:type="spellStart"/>
      <w:r w:rsidRPr="00E336A2">
        <w:rPr>
          <w:i/>
          <w:szCs w:val="26"/>
        </w:rPr>
        <w:t>Isbister</w:t>
      </w:r>
      <w:proofErr w:type="spellEnd"/>
      <w:r w:rsidRPr="00E336A2">
        <w:rPr>
          <w:i/>
          <w:szCs w:val="26"/>
        </w:rPr>
        <w:t xml:space="preserve"> v. Boys’ Club of Santa Cruz </w:t>
      </w:r>
      <w:r w:rsidRPr="00E336A2">
        <w:rPr>
          <w:szCs w:val="26"/>
        </w:rPr>
        <w:t xml:space="preserve">(1985) </w:t>
      </w:r>
      <w:r w:rsidRPr="00E336A2">
        <w:rPr>
          <w:rFonts w:eastAsia="Times New Roman" w:cs="Arial"/>
          <w:color w:val="000000"/>
          <w:szCs w:val="26"/>
        </w:rPr>
        <w:t>40 Cal.3d 72, 81 (</w:t>
      </w:r>
      <w:proofErr w:type="spellStart"/>
      <w:r w:rsidRPr="00E336A2">
        <w:rPr>
          <w:rFonts w:eastAsia="Times New Roman" w:cs="Arial"/>
          <w:i/>
          <w:color w:val="000000"/>
          <w:szCs w:val="26"/>
        </w:rPr>
        <w:t>Isbister</w:t>
      </w:r>
      <w:proofErr w:type="spellEnd"/>
      <w:r w:rsidRPr="00E336A2">
        <w:rPr>
          <w:rFonts w:eastAsia="Times New Roman" w:cs="Arial"/>
          <w:color w:val="000000"/>
          <w:szCs w:val="26"/>
        </w:rPr>
        <w:t xml:space="preserve">) [describing Horowitz as “the principal commentator on the Unruh Act”]; </w:t>
      </w:r>
      <w:r w:rsidRPr="00E336A2">
        <w:rPr>
          <w:rFonts w:eastAsia="Times New Roman" w:cs="Arial"/>
          <w:i/>
          <w:iCs/>
          <w:color w:val="000000"/>
          <w:szCs w:val="26"/>
        </w:rPr>
        <w:t xml:space="preserve">O’Connor v. Village Green Owners Assn. </w:t>
      </w:r>
      <w:r w:rsidRPr="00E336A2">
        <w:rPr>
          <w:rFonts w:eastAsia="Times New Roman" w:cs="Arial"/>
          <w:color w:val="000000"/>
          <w:szCs w:val="26"/>
        </w:rPr>
        <w:t>(1983) 33 Cal.3d 790, 796 (</w:t>
      </w:r>
      <w:r w:rsidRPr="00E336A2">
        <w:rPr>
          <w:rFonts w:eastAsia="Times New Roman" w:cs="Arial"/>
          <w:i/>
          <w:iCs/>
          <w:color w:val="000000"/>
          <w:szCs w:val="26"/>
        </w:rPr>
        <w:t>O’Connor</w:t>
      </w:r>
      <w:r w:rsidRPr="00E336A2">
        <w:rPr>
          <w:rFonts w:eastAsia="Times New Roman" w:cs="Arial"/>
          <w:color w:val="000000"/>
          <w:szCs w:val="26"/>
        </w:rPr>
        <w:t xml:space="preserve">); </w:t>
      </w:r>
      <w:r w:rsidRPr="00E336A2">
        <w:rPr>
          <w:rFonts w:eastAsia="Times New Roman" w:cs="Arial"/>
          <w:i/>
          <w:iCs/>
          <w:color w:val="000000"/>
          <w:szCs w:val="26"/>
        </w:rPr>
        <w:t xml:space="preserve">Burks v. Poppy Construction Co. </w:t>
      </w:r>
      <w:r w:rsidRPr="00E336A2">
        <w:rPr>
          <w:rFonts w:eastAsia="Times New Roman" w:cs="Arial"/>
          <w:color w:val="000000"/>
          <w:szCs w:val="26"/>
        </w:rPr>
        <w:t>(1962) 57 Cal.2d 463, 469 (</w:t>
      </w:r>
      <w:r w:rsidRPr="00E336A2">
        <w:rPr>
          <w:rFonts w:eastAsia="Times New Roman" w:cs="Arial"/>
          <w:i/>
          <w:iCs/>
          <w:color w:val="000000"/>
          <w:szCs w:val="26"/>
        </w:rPr>
        <w:t>Burks</w:t>
      </w:r>
      <w:r w:rsidRPr="00E336A2">
        <w:rPr>
          <w:rFonts w:eastAsia="Times New Roman" w:cs="Arial"/>
          <w:color w:val="000000"/>
          <w:szCs w:val="26"/>
        </w:rPr>
        <w:t>)</w:t>
      </w:r>
      <w:r w:rsidRPr="00E336A2">
        <w:rPr>
          <w:szCs w:val="26"/>
        </w:rPr>
        <w:t>.)</w:t>
      </w:r>
    </w:p>
  </w:footnote>
  <w:footnote w:id="4">
    <w:p w14:paraId="7266DC73" w14:textId="77777777" w:rsidR="00BD66EC" w:rsidRPr="00B03CE9" w:rsidRDefault="00BD66EC" w:rsidP="00B03CE9">
      <w:pPr>
        <w:pStyle w:val="FootnoteText"/>
        <w:spacing w:after="120"/>
        <w:ind w:firstLine="720"/>
        <w:rPr>
          <w:rFonts w:eastAsia="Times New Roman" w:cs="Arial"/>
          <w:color w:val="000000"/>
        </w:rPr>
      </w:pPr>
      <w:r w:rsidRPr="00E336A2">
        <w:rPr>
          <w:rStyle w:val="FootnoteReference"/>
        </w:rPr>
        <w:footnoteRef/>
      </w:r>
      <w:r w:rsidRPr="00E336A2">
        <w:t xml:space="preserve">  T</w:t>
      </w:r>
      <w:r w:rsidRPr="00E336A2">
        <w:rPr>
          <w:rFonts w:eastAsia="Times New Roman" w:cs="Arial"/>
          <w:color w:val="000000"/>
        </w:rPr>
        <w:t>he “public service doctrine” imposed on occupations and enterprises “providing a particular product or service to the community . . . attached to them certain obligations,” including “the duty to serve all customers on reasonable terms without discrimination.”  (</w:t>
      </w:r>
      <w:proofErr w:type="spellStart"/>
      <w:r w:rsidRPr="00E336A2">
        <w:rPr>
          <w:rFonts w:eastAsia="Times New Roman" w:cs="Arial"/>
          <w:color w:val="000000"/>
        </w:rPr>
        <w:t>Tobriner</w:t>
      </w:r>
      <w:proofErr w:type="spellEnd"/>
      <w:r w:rsidRPr="00E336A2">
        <w:rPr>
          <w:rFonts w:eastAsia="Times New Roman" w:cs="Arial"/>
          <w:color w:val="000000"/>
        </w:rPr>
        <w:t xml:space="preserve"> &amp; </w:t>
      </w:r>
      <w:proofErr w:type="spellStart"/>
      <w:r w:rsidRPr="00E336A2">
        <w:rPr>
          <w:rFonts w:eastAsia="Times New Roman" w:cs="Arial"/>
          <w:color w:val="000000"/>
        </w:rPr>
        <w:t>Grodin</w:t>
      </w:r>
      <w:proofErr w:type="spellEnd"/>
      <w:r w:rsidRPr="00E336A2">
        <w:rPr>
          <w:rFonts w:eastAsia="Times New Roman" w:cs="Arial"/>
          <w:color w:val="000000"/>
        </w:rPr>
        <w:t xml:space="preserve">, </w:t>
      </w:r>
      <w:r w:rsidRPr="00E336A2">
        <w:rPr>
          <w:rFonts w:eastAsia="Times New Roman" w:cs="Arial"/>
          <w:i/>
          <w:iCs/>
          <w:color w:val="000000"/>
        </w:rPr>
        <w:t xml:space="preserve">supra, </w:t>
      </w:r>
      <w:r w:rsidRPr="00E336A2">
        <w:rPr>
          <w:rFonts w:eastAsia="Times New Roman" w:cs="Arial"/>
          <w:color w:val="000000"/>
        </w:rPr>
        <w:t>55</w:t>
      </w:r>
      <w:r w:rsidR="00A271EC">
        <w:rPr>
          <w:rFonts w:eastAsia="Times New Roman" w:cs="Arial"/>
          <w:color w:val="000000"/>
        </w:rPr>
        <w:t> </w:t>
      </w:r>
      <w:proofErr w:type="spellStart"/>
      <w:r w:rsidRPr="00E336A2">
        <w:rPr>
          <w:rFonts w:eastAsia="Times New Roman" w:cs="Arial"/>
          <w:color w:val="000000"/>
        </w:rPr>
        <w:t>Cal.L.Rev</w:t>
      </w:r>
      <w:proofErr w:type="spellEnd"/>
      <w:r w:rsidRPr="00E336A2">
        <w:rPr>
          <w:rFonts w:eastAsia="Times New Roman" w:cs="Arial"/>
          <w:color w:val="000000"/>
        </w:rPr>
        <w:t>. at p. 1250.)  Such occupations and enterprises included that of “blacksmith, food seller, veterinarian, and tailor, as well as those of common carrier and innkeeper.”  (</w:t>
      </w:r>
      <w:r w:rsidRPr="00E336A2">
        <w:rPr>
          <w:rFonts w:eastAsia="Times New Roman" w:cs="Arial"/>
          <w:i/>
          <w:iCs/>
          <w:color w:val="000000"/>
        </w:rPr>
        <w:t xml:space="preserve">Ibid., </w:t>
      </w:r>
      <w:proofErr w:type="spellStart"/>
      <w:r w:rsidRPr="00E336A2">
        <w:rPr>
          <w:rFonts w:eastAsia="Times New Roman" w:cs="Arial"/>
          <w:color w:val="000000"/>
        </w:rPr>
        <w:t>fns</w:t>
      </w:r>
      <w:proofErr w:type="spellEnd"/>
      <w:r w:rsidRPr="00E336A2">
        <w:rPr>
          <w:rFonts w:eastAsia="Times New Roman" w:cs="Arial"/>
          <w:color w:val="000000"/>
        </w:rPr>
        <w:t>. omitted;</w:t>
      </w:r>
      <w:r w:rsidRPr="00E336A2">
        <w:rPr>
          <w:rFonts w:eastAsia="Times New Roman" w:cs="Arial"/>
          <w:i/>
          <w:iCs/>
          <w:color w:val="000000"/>
        </w:rPr>
        <w:t xml:space="preserve"> </w:t>
      </w:r>
      <w:r w:rsidRPr="00E336A2">
        <w:rPr>
          <w:rFonts w:eastAsia="Times New Roman" w:cs="Arial"/>
          <w:color w:val="000000"/>
        </w:rPr>
        <w:t xml:space="preserve">see </w:t>
      </w:r>
      <w:r w:rsidRPr="00E336A2">
        <w:rPr>
          <w:i/>
          <w:iCs/>
        </w:rPr>
        <w:t xml:space="preserve">Warfield, supra, </w:t>
      </w:r>
      <w:r w:rsidRPr="00E336A2">
        <w:t xml:space="preserve">10 Cal.4th at p. 607; </w:t>
      </w:r>
      <w:r w:rsidRPr="00E336A2">
        <w:rPr>
          <w:rFonts w:eastAsia="Times New Roman" w:cs="Arial"/>
          <w:color w:val="000000"/>
        </w:rPr>
        <w:t xml:space="preserve">Horowitz, </w:t>
      </w:r>
      <w:r w:rsidRPr="00E336A2">
        <w:rPr>
          <w:rFonts w:eastAsia="Times New Roman" w:cs="Arial"/>
          <w:i/>
          <w:iCs/>
          <w:color w:val="000000"/>
        </w:rPr>
        <w:t>supra,</w:t>
      </w:r>
      <w:r w:rsidRPr="00E336A2">
        <w:rPr>
          <w:rFonts w:eastAsia="Times New Roman" w:cs="Arial"/>
          <w:color w:val="000000"/>
        </w:rPr>
        <w:t xml:space="preserve"> 33 </w:t>
      </w:r>
      <w:proofErr w:type="spellStart"/>
      <w:r w:rsidRPr="00E336A2">
        <w:rPr>
          <w:rFonts w:eastAsia="Times New Roman" w:cs="Arial"/>
          <w:color w:val="000000"/>
        </w:rPr>
        <w:t>So.Cal.L.Rev</w:t>
      </w:r>
      <w:proofErr w:type="spellEnd"/>
      <w:r w:rsidRPr="00E336A2">
        <w:rPr>
          <w:rFonts w:eastAsia="Times New Roman" w:cs="Arial"/>
          <w:color w:val="000000"/>
        </w:rPr>
        <w:t>. at p. 280.)</w:t>
      </w:r>
    </w:p>
  </w:footnote>
  <w:footnote w:id="5">
    <w:p w14:paraId="6F24165E" w14:textId="77777777" w:rsidR="00BD66EC" w:rsidRPr="00B03CE9" w:rsidRDefault="00BD66EC" w:rsidP="00B03CE9">
      <w:pPr>
        <w:tabs>
          <w:tab w:val="clear" w:pos="720"/>
        </w:tabs>
        <w:autoSpaceDE w:val="0"/>
        <w:autoSpaceDN w:val="0"/>
        <w:adjustRightInd w:val="0"/>
        <w:spacing w:after="120" w:line="240" w:lineRule="auto"/>
        <w:rPr>
          <w:rFonts w:eastAsia="Times New Roman" w:cs="Arial"/>
          <w:color w:val="000000"/>
        </w:rPr>
      </w:pPr>
      <w:r>
        <w:tab/>
      </w:r>
      <w:r w:rsidRPr="009F3C34">
        <w:rPr>
          <w:rStyle w:val="FootnoteReference"/>
        </w:rPr>
        <w:footnoteRef/>
      </w:r>
      <w:r w:rsidRPr="009F3C34">
        <w:t xml:space="preserve">  The original 1897 statute was </w:t>
      </w:r>
      <w:r w:rsidRPr="009F3C34">
        <w:rPr>
          <w:rFonts w:eastAsia="Times New Roman" w:cs="Arial"/>
          <w:color w:val="000000"/>
        </w:rPr>
        <w:t xml:space="preserve">uncodified (Stats. 1897, </w:t>
      </w:r>
      <w:proofErr w:type="spellStart"/>
      <w:r w:rsidRPr="009F3C34">
        <w:rPr>
          <w:rFonts w:eastAsia="Times New Roman" w:cs="Arial"/>
          <w:color w:val="000000"/>
        </w:rPr>
        <w:t>ch.</w:t>
      </w:r>
      <w:proofErr w:type="spellEnd"/>
      <w:r w:rsidRPr="009F3C34">
        <w:rPr>
          <w:rFonts w:eastAsia="Times New Roman" w:cs="Arial"/>
          <w:color w:val="000000"/>
        </w:rPr>
        <w:t xml:space="preserve"> 108, § 1, p. 137), but “was virtually identical” to section 51 as first enacted.</w:t>
      </w:r>
      <w:r w:rsidR="006629AD" w:rsidRPr="009F3C34">
        <w:rPr>
          <w:rFonts w:eastAsia="Times New Roman" w:cs="Arial"/>
          <w:color w:val="000000"/>
        </w:rPr>
        <w:t xml:space="preserve"> </w:t>
      </w:r>
      <w:r w:rsidRPr="009F3C34">
        <w:rPr>
          <w:rFonts w:eastAsia="Times New Roman" w:cs="Arial"/>
          <w:color w:val="000000"/>
        </w:rPr>
        <w:t xml:space="preserve"> (Horowitz, </w:t>
      </w:r>
      <w:r w:rsidRPr="009F3C34">
        <w:rPr>
          <w:rFonts w:eastAsia="Times New Roman" w:cs="Arial"/>
          <w:i/>
          <w:iCs/>
          <w:color w:val="000000"/>
        </w:rPr>
        <w:t>supra,</w:t>
      </w:r>
      <w:r w:rsidRPr="009F3C34">
        <w:rPr>
          <w:rFonts w:eastAsia="Times New Roman" w:cs="Arial"/>
          <w:color w:val="000000"/>
        </w:rPr>
        <w:t xml:space="preserve"> 33 </w:t>
      </w:r>
      <w:proofErr w:type="spellStart"/>
      <w:r w:rsidRPr="009F3C34">
        <w:rPr>
          <w:rFonts w:eastAsia="Times New Roman" w:cs="Arial"/>
          <w:color w:val="000000"/>
        </w:rPr>
        <w:t>So.Cal.L.Rev</w:t>
      </w:r>
      <w:proofErr w:type="spellEnd"/>
      <w:r w:rsidRPr="009F3C34">
        <w:rPr>
          <w:rFonts w:eastAsia="Times New Roman" w:cs="Arial"/>
          <w:color w:val="000000"/>
        </w:rPr>
        <w:t>. at p. 263.)  The uncodified statute provided in pertinent part:</w:t>
      </w:r>
      <w:r w:rsidR="006629AD" w:rsidRPr="009F3C34">
        <w:rPr>
          <w:rFonts w:eastAsia="Times New Roman" w:cs="Arial"/>
          <w:color w:val="000000"/>
        </w:rPr>
        <w:t xml:space="preserve"> </w:t>
      </w:r>
      <w:r w:rsidRPr="009F3C34">
        <w:rPr>
          <w:rFonts w:eastAsia="Times New Roman" w:cs="Arial"/>
          <w:color w:val="000000"/>
        </w:rPr>
        <w:t xml:space="preserve"> “[A]</w:t>
      </w:r>
      <w:proofErr w:type="spellStart"/>
      <w:r w:rsidRPr="009F3C34">
        <w:rPr>
          <w:rFonts w:eastAsia="Times New Roman" w:cs="Arial"/>
          <w:color w:val="000000"/>
        </w:rPr>
        <w:t>ll</w:t>
      </w:r>
      <w:proofErr w:type="spellEnd"/>
      <w:r w:rsidRPr="009F3C34">
        <w:rPr>
          <w:rFonts w:eastAsia="Times New Roman" w:cs="Arial"/>
          <w:color w:val="000000"/>
        </w:rPr>
        <w:t xml:space="preserve"> citizens within the jurisdiction of this State shall be entitled to the full and equal accommodations, advantages, facilities, and privileges of inns, restaurants, hotels, eating-houses, barber-shops, bath-houses, theaters, skating-rinks, and all other places of public accommodation or amusement, subject only to the conditions and limitations established by law and applicable alike to all citizens.”  (Stats. 1897, </w:t>
      </w:r>
      <w:proofErr w:type="spellStart"/>
      <w:r w:rsidRPr="009F3C34">
        <w:rPr>
          <w:rFonts w:eastAsia="Times New Roman" w:cs="Arial"/>
          <w:color w:val="000000"/>
        </w:rPr>
        <w:t>ch.</w:t>
      </w:r>
      <w:proofErr w:type="spellEnd"/>
      <w:r w:rsidRPr="009F3C34">
        <w:rPr>
          <w:rFonts w:eastAsia="Times New Roman" w:cs="Arial"/>
          <w:color w:val="000000"/>
        </w:rPr>
        <w:t xml:space="preserve"> 108, § 1, p. 137</w:t>
      </w:r>
      <w:r w:rsidR="006629AD" w:rsidRPr="009F3C34">
        <w:rPr>
          <w:rFonts w:eastAsia="Times New Roman" w:cs="Arial"/>
          <w:color w:val="000000"/>
        </w:rPr>
        <w:t xml:space="preserve">; see </w:t>
      </w:r>
      <w:r w:rsidR="006629AD" w:rsidRPr="009F3C34">
        <w:rPr>
          <w:rFonts w:eastAsia="Times New Roman" w:cs="Arial"/>
          <w:i/>
          <w:iCs/>
          <w:color w:val="000000"/>
        </w:rPr>
        <w:t xml:space="preserve">Curran, supra, </w:t>
      </w:r>
      <w:r w:rsidR="006629AD" w:rsidRPr="009F3C34">
        <w:rPr>
          <w:rFonts w:eastAsia="Times New Roman" w:cs="Arial"/>
          <w:color w:val="000000"/>
        </w:rPr>
        <w:t>17 Cal.4th at p. 704</w:t>
      </w:r>
      <w:r w:rsidR="00A271EC">
        <w:rPr>
          <w:rFonts w:eastAsia="Times New Roman" w:cs="Arial"/>
          <w:color w:val="000000"/>
        </w:rPr>
        <w:t xml:space="preserve"> (</w:t>
      </w:r>
      <w:r w:rsidR="006629AD" w:rsidRPr="009F3C34">
        <w:rPr>
          <w:rFonts w:eastAsia="Times New Roman" w:cs="Arial"/>
          <w:color w:val="000000"/>
        </w:rPr>
        <w:t xml:space="preserve">conc. </w:t>
      </w:r>
      <w:proofErr w:type="spellStart"/>
      <w:r w:rsidR="006629AD" w:rsidRPr="009F3C34">
        <w:rPr>
          <w:rFonts w:eastAsia="Times New Roman" w:cs="Arial"/>
          <w:color w:val="000000"/>
        </w:rPr>
        <w:t>opn</w:t>
      </w:r>
      <w:proofErr w:type="spellEnd"/>
      <w:r w:rsidR="006629AD" w:rsidRPr="009F3C34">
        <w:rPr>
          <w:rFonts w:eastAsia="Times New Roman" w:cs="Arial"/>
          <w:color w:val="000000"/>
        </w:rPr>
        <w:t xml:space="preserve">. of </w:t>
      </w:r>
      <w:proofErr w:type="spellStart"/>
      <w:r w:rsidR="006629AD" w:rsidRPr="009F3C34">
        <w:rPr>
          <w:rFonts w:eastAsia="Times New Roman" w:cs="Arial"/>
          <w:color w:val="000000"/>
        </w:rPr>
        <w:t>Mosk</w:t>
      </w:r>
      <w:proofErr w:type="spellEnd"/>
      <w:r w:rsidR="006629AD" w:rsidRPr="009F3C34">
        <w:rPr>
          <w:rFonts w:eastAsia="Times New Roman" w:cs="Arial"/>
          <w:color w:val="000000"/>
        </w:rPr>
        <w:t>, J</w:t>
      </w:r>
      <w:r w:rsidRPr="009F3C34">
        <w:rPr>
          <w:rFonts w:eastAsia="Times New Roman" w:cs="Arial"/>
          <w:color w:val="000000"/>
        </w:rPr>
        <w:t>.</w:t>
      </w:r>
      <w:r w:rsidR="00A271EC">
        <w:rPr>
          <w:rFonts w:eastAsia="Times New Roman" w:cs="Arial"/>
          <w:color w:val="000000"/>
        </w:rPr>
        <w:t>).</w:t>
      </w:r>
      <w:r w:rsidRPr="009F3C34">
        <w:rPr>
          <w:rFonts w:eastAsia="Times New Roman" w:cs="Arial"/>
          <w:color w:val="000000"/>
        </w:rPr>
        <w:t>)</w:t>
      </w:r>
    </w:p>
  </w:footnote>
  <w:footnote w:id="6">
    <w:p w14:paraId="567B183F" w14:textId="77777777" w:rsidR="00BD66EC" w:rsidRPr="005F5E6B" w:rsidRDefault="00BD66EC" w:rsidP="005F5E6B">
      <w:pPr>
        <w:shd w:val="clear" w:color="auto" w:fill="FFFFFF"/>
        <w:tabs>
          <w:tab w:val="clear" w:pos="720"/>
        </w:tabs>
        <w:spacing w:after="120" w:line="240" w:lineRule="auto"/>
        <w:ind w:firstLine="720"/>
        <w:rPr>
          <w:rFonts w:eastAsia="Times New Roman" w:cs="Arial"/>
          <w:color w:val="000000"/>
        </w:rPr>
      </w:pPr>
      <w:r>
        <w:rPr>
          <w:rStyle w:val="FootnoteReference"/>
        </w:rPr>
        <w:footnoteRef/>
      </w:r>
      <w:r>
        <w:t xml:space="preserve">  </w:t>
      </w:r>
      <w:r w:rsidRPr="00F23E64">
        <w:t xml:space="preserve">The </w:t>
      </w:r>
      <w:r w:rsidRPr="00E336A2">
        <w:t xml:space="preserve">court’s reference to a “monopoly” referred to cases such </w:t>
      </w:r>
      <w:r w:rsidRPr="00E336A2">
        <w:rPr>
          <w:rFonts w:eastAsia="Times New Roman" w:cs="Arial"/>
          <w:i/>
          <w:iCs/>
          <w:color w:val="000000"/>
        </w:rPr>
        <w:t xml:space="preserve">James v. </w:t>
      </w:r>
      <w:proofErr w:type="spellStart"/>
      <w:r w:rsidRPr="00E336A2">
        <w:rPr>
          <w:rFonts w:eastAsia="Times New Roman" w:cs="Arial"/>
          <w:i/>
          <w:iCs/>
          <w:color w:val="000000"/>
        </w:rPr>
        <w:t>Marinship</w:t>
      </w:r>
      <w:proofErr w:type="spellEnd"/>
      <w:r w:rsidRPr="00E336A2">
        <w:rPr>
          <w:rFonts w:eastAsia="Times New Roman" w:cs="Arial"/>
          <w:i/>
          <w:iCs/>
          <w:color w:val="000000"/>
        </w:rPr>
        <w:t xml:space="preserve"> Corp.</w:t>
      </w:r>
      <w:r w:rsidRPr="00E336A2">
        <w:rPr>
          <w:rFonts w:eastAsia="Times New Roman" w:cs="Arial"/>
          <w:color w:val="000000"/>
        </w:rPr>
        <w:t xml:space="preserve"> (1944) 25 Cal.2d 721, 724, 745, in which our high court upheld a preliminary injunction prohibiting a shipbuilder from discharging African American employees based on a closed shop agreement with a closed union that discriminated on the basis of race.  “Where a union has, as in this case, attained a monopoly of the supply of labor by means of closed shop agreements and other forms of collective labor action, such a union occupies a </w:t>
      </w:r>
      <w:proofErr w:type="spellStart"/>
      <w:r w:rsidRPr="00E336A2">
        <w:rPr>
          <w:rFonts w:eastAsia="Times New Roman" w:cs="Arial"/>
          <w:color w:val="000000"/>
        </w:rPr>
        <w:t>quasi public</w:t>
      </w:r>
      <w:proofErr w:type="spellEnd"/>
      <w:r w:rsidRPr="00E336A2">
        <w:rPr>
          <w:rFonts w:eastAsia="Times New Roman" w:cs="Arial"/>
          <w:color w:val="000000"/>
        </w:rPr>
        <w:t xml:space="preserve"> position similar to that of a public service business and it has certain corresponding obligations.  It may no longer claim the same freedom from legal restraint enjoyed by golf clubs or fraternal associations.  Its asserted right to choose its own members does not merely relate to social relations; it affects the fundamental right to work for a living.”  (</w:t>
      </w:r>
      <w:r w:rsidRPr="00E336A2">
        <w:rPr>
          <w:rFonts w:eastAsia="Times New Roman" w:cs="Arial"/>
          <w:i/>
          <w:iCs/>
          <w:color w:val="000000"/>
        </w:rPr>
        <w:t xml:space="preserve">Id. </w:t>
      </w:r>
      <w:r w:rsidRPr="00E336A2">
        <w:rPr>
          <w:rFonts w:eastAsia="Times New Roman" w:cs="Arial"/>
          <w:color w:val="000000"/>
        </w:rPr>
        <w:t>at p. 731.)  “The discriminatory practices involved in this case are, moreover, contrary to the public policy of the United States and this state.  The United States Constitution has long prohibited governmental action discriminating against persons because of race or color. (5th, 14th, and 15th Amendments.)”  (</w:t>
      </w:r>
      <w:r w:rsidR="005F5E6B" w:rsidRPr="00E336A2">
        <w:rPr>
          <w:rFonts w:eastAsia="Times New Roman" w:cs="Arial"/>
          <w:i/>
          <w:iCs/>
          <w:color w:val="000000"/>
        </w:rPr>
        <w:t xml:space="preserve">James v. </w:t>
      </w:r>
      <w:proofErr w:type="spellStart"/>
      <w:r w:rsidR="005F5E6B" w:rsidRPr="00E336A2">
        <w:rPr>
          <w:rFonts w:eastAsia="Times New Roman" w:cs="Arial"/>
          <w:i/>
          <w:iCs/>
          <w:color w:val="000000"/>
        </w:rPr>
        <w:t>Marinship</w:t>
      </w:r>
      <w:proofErr w:type="spellEnd"/>
      <w:r w:rsidR="005F5E6B" w:rsidRPr="00E336A2">
        <w:rPr>
          <w:rFonts w:eastAsia="Times New Roman" w:cs="Arial"/>
          <w:i/>
          <w:iCs/>
          <w:color w:val="000000"/>
        </w:rPr>
        <w:t xml:space="preserve"> Corp.</w:t>
      </w:r>
      <w:r w:rsidR="005F5E6B">
        <w:rPr>
          <w:rFonts w:eastAsia="Times New Roman" w:cs="Arial"/>
          <w:i/>
          <w:iCs/>
          <w:color w:val="000000"/>
        </w:rPr>
        <w:t>,</w:t>
      </w:r>
      <w:r w:rsidRPr="00E336A2">
        <w:rPr>
          <w:rFonts w:eastAsia="Times New Roman" w:cs="Arial"/>
          <w:i/>
          <w:iCs/>
          <w:color w:val="000000"/>
        </w:rPr>
        <w:t xml:space="preserve"> </w:t>
      </w:r>
      <w:r w:rsidRPr="00E336A2">
        <w:rPr>
          <w:rFonts w:eastAsia="Times New Roman" w:cs="Arial"/>
          <w:color w:val="000000"/>
        </w:rPr>
        <w:t>at p. 739.)  “Although the constitutional provisions have been said to apply to state action rather than to private action, they nevertheless evidence a definite national policy against discrimination because of race or color.  Defendants contend that ‘individual invasion of individual rights’ can be prohibited only by a statute of the state, and they point out that California statutes forbidding racial discrimination by private persons relate only to certain specifically enumerated businesses such as inns, restaurants, and the like, but not to labor unions.  (Civ. Code, §§ 51</w:t>
      </w:r>
      <w:r w:rsidR="005F5E6B">
        <w:t>–</w:t>
      </w:r>
      <w:r w:rsidRPr="00E336A2">
        <w:rPr>
          <w:rFonts w:eastAsia="Times New Roman" w:cs="Arial"/>
          <w:color w:val="000000"/>
        </w:rPr>
        <w:t>52.)  It has been said, however, that such statutes, to the extent that they embrace public service businesses, are merely declaratory of the common law.  [Citations.]  . . . Where, as here, a labor union has attained a monopoly of the labor supply through closed shop agreements, such a union, like a public service business, may not unreasonably discriminate against Negro workers for the sole reason that they are colored persons.”  (</w:t>
      </w:r>
      <w:r w:rsidRPr="00E336A2">
        <w:rPr>
          <w:rFonts w:eastAsia="Times New Roman" w:cs="Arial"/>
          <w:i/>
          <w:iCs/>
          <w:color w:val="000000"/>
        </w:rPr>
        <w:t xml:space="preserve">Id. </w:t>
      </w:r>
      <w:r w:rsidRPr="00E336A2">
        <w:rPr>
          <w:rFonts w:eastAsia="Times New Roman" w:cs="Arial"/>
          <w:color w:val="000000"/>
        </w:rPr>
        <w:t>at p.</w:t>
      </w:r>
      <w:r w:rsidR="005F5E6B">
        <w:rPr>
          <w:rFonts w:eastAsia="Times New Roman" w:cs="Arial"/>
          <w:color w:val="000000"/>
        </w:rPr>
        <w:t> </w:t>
      </w:r>
      <w:r w:rsidRPr="00E336A2">
        <w:rPr>
          <w:rFonts w:eastAsia="Times New Roman" w:cs="Arial"/>
          <w:color w:val="000000"/>
        </w:rPr>
        <w:t xml:space="preserve">740; see </w:t>
      </w:r>
      <w:proofErr w:type="spellStart"/>
      <w:r w:rsidRPr="00E336A2">
        <w:rPr>
          <w:rFonts w:eastAsia="Times New Roman" w:cs="Arial"/>
          <w:color w:val="000000"/>
        </w:rPr>
        <w:t>Tobriner</w:t>
      </w:r>
      <w:proofErr w:type="spellEnd"/>
      <w:r w:rsidRPr="00E336A2">
        <w:rPr>
          <w:rFonts w:eastAsia="Times New Roman" w:cs="Arial"/>
          <w:color w:val="000000"/>
        </w:rPr>
        <w:t xml:space="preserve"> &amp; </w:t>
      </w:r>
      <w:proofErr w:type="spellStart"/>
      <w:r w:rsidRPr="00E336A2">
        <w:rPr>
          <w:rFonts w:eastAsia="Times New Roman" w:cs="Arial"/>
          <w:color w:val="000000"/>
        </w:rPr>
        <w:t>Grodin</w:t>
      </w:r>
      <w:proofErr w:type="spellEnd"/>
      <w:r w:rsidRPr="00E336A2">
        <w:rPr>
          <w:rFonts w:eastAsia="Times New Roman" w:cs="Arial"/>
          <w:color w:val="000000"/>
        </w:rPr>
        <w:t xml:space="preserve">, </w:t>
      </w:r>
      <w:r w:rsidRPr="00E336A2">
        <w:rPr>
          <w:rFonts w:eastAsia="Times New Roman" w:cs="Arial"/>
          <w:i/>
          <w:iCs/>
          <w:color w:val="000000"/>
        </w:rPr>
        <w:t xml:space="preserve">supra, </w:t>
      </w:r>
      <w:r w:rsidRPr="00E336A2">
        <w:rPr>
          <w:rFonts w:eastAsia="Times New Roman" w:cs="Arial"/>
          <w:color w:val="000000"/>
        </w:rPr>
        <w:t xml:space="preserve">55 </w:t>
      </w:r>
      <w:proofErr w:type="spellStart"/>
      <w:r w:rsidRPr="00E336A2">
        <w:rPr>
          <w:rFonts w:eastAsia="Times New Roman" w:cs="Arial"/>
          <w:color w:val="000000"/>
        </w:rPr>
        <w:t>Cal.L.Rev</w:t>
      </w:r>
      <w:proofErr w:type="spellEnd"/>
      <w:r w:rsidRPr="00E336A2">
        <w:rPr>
          <w:rFonts w:eastAsia="Times New Roman" w:cs="Arial"/>
          <w:color w:val="000000"/>
        </w:rPr>
        <w:t>. at pp. 1256</w:t>
      </w:r>
      <w:r w:rsidR="005F5E6B">
        <w:t>–</w:t>
      </w:r>
      <w:r w:rsidRPr="00E336A2">
        <w:rPr>
          <w:rFonts w:eastAsia="Times New Roman" w:cs="Arial"/>
          <w:color w:val="000000"/>
        </w:rPr>
        <w:t>1258.)</w:t>
      </w:r>
      <w:r w:rsidRPr="006B1A56">
        <w:rPr>
          <w:rFonts w:eastAsia="Times New Roman" w:cs="Arial"/>
          <w:color w:val="000000"/>
        </w:rPr>
        <w:t xml:space="preserve"> </w:t>
      </w:r>
    </w:p>
  </w:footnote>
  <w:footnote w:id="7">
    <w:p w14:paraId="4B5E0BB7" w14:textId="77777777" w:rsidR="00BD66EC" w:rsidRDefault="00BD66EC" w:rsidP="00866DDA">
      <w:pPr>
        <w:pStyle w:val="FootnoteText"/>
        <w:spacing w:after="120"/>
        <w:ind w:firstLine="720"/>
      </w:pPr>
      <w:r w:rsidRPr="00106574">
        <w:rPr>
          <w:rStyle w:val="FootnoteReference"/>
        </w:rPr>
        <w:footnoteRef/>
      </w:r>
      <w:r w:rsidRPr="00106574">
        <w:t xml:space="preserve">  We fully appreciate that </w:t>
      </w:r>
      <w:proofErr w:type="gramStart"/>
      <w:r w:rsidRPr="00106574">
        <w:t>many</w:t>
      </w:r>
      <w:proofErr w:type="gramEnd"/>
      <w:r w:rsidRPr="00106574">
        <w:t xml:space="preserve"> states ignored </w:t>
      </w:r>
      <w:r w:rsidRPr="00106574">
        <w:rPr>
          <w:i/>
          <w:iCs/>
        </w:rPr>
        <w:t>Brown</w:t>
      </w:r>
      <w:r w:rsidRPr="00106574">
        <w:t xml:space="preserve"> and it has taken decades and tireless effort to enforce its mandate.  This has not been due to any lack of clarity as to the applicability of federal law to state public school districts, however, but rather to the sheer recalcitrance of states to comply with this law.</w:t>
      </w:r>
      <w:r>
        <w:t xml:space="preserve">  </w:t>
      </w:r>
    </w:p>
  </w:footnote>
  <w:footnote w:id="8">
    <w:p w14:paraId="71F45BB8" w14:textId="77777777" w:rsidR="00BD66EC" w:rsidRPr="002D5E2C" w:rsidRDefault="00BD66EC" w:rsidP="002D5E2C">
      <w:pPr>
        <w:shd w:val="clear" w:color="auto" w:fill="FFFFFF"/>
        <w:tabs>
          <w:tab w:val="clear" w:pos="720"/>
        </w:tabs>
        <w:spacing w:after="120" w:line="240" w:lineRule="auto"/>
        <w:ind w:firstLine="720"/>
        <w:rPr>
          <w:rFonts w:ascii="Source Sans Pro" w:eastAsia="Times New Roman" w:hAnsi="Source Sans Pro" w:cs="Arial"/>
          <w:color w:val="000000"/>
          <w:sz w:val="24"/>
          <w:szCs w:val="24"/>
        </w:rPr>
      </w:pPr>
      <w:r>
        <w:rPr>
          <w:rStyle w:val="FootnoteReference"/>
        </w:rPr>
        <w:footnoteRef/>
      </w:r>
      <w:r>
        <w:t xml:space="preserve">  </w:t>
      </w:r>
      <w:r w:rsidR="00C45169">
        <w:t>The definitional provisions of Title II</w:t>
      </w:r>
      <w:r>
        <w:t xml:space="preserve"> </w:t>
      </w:r>
      <w:r>
        <w:rPr>
          <w:rFonts w:eastAsia="Times New Roman" w:cs="Arial"/>
          <w:color w:val="000000"/>
        </w:rPr>
        <w:t>describe</w:t>
      </w:r>
      <w:r w:rsidRPr="001A71ED">
        <w:rPr>
          <w:rFonts w:eastAsia="Times New Roman" w:cs="Arial"/>
          <w:color w:val="000000"/>
        </w:rPr>
        <w:t xml:space="preserve"> every conceivable kind of “public accommodation</w:t>
      </w:r>
      <w:r>
        <w:rPr>
          <w:rFonts w:eastAsia="Times New Roman" w:cs="Arial"/>
          <w:color w:val="000000"/>
        </w:rPr>
        <w:t>,</w:t>
      </w:r>
      <w:r w:rsidRPr="001A71ED">
        <w:rPr>
          <w:rFonts w:eastAsia="Times New Roman" w:cs="Arial"/>
          <w:color w:val="000000"/>
        </w:rPr>
        <w:t xml:space="preserve">” </w:t>
      </w:r>
      <w:r>
        <w:rPr>
          <w:rFonts w:eastAsia="Times New Roman" w:cs="Arial"/>
          <w:color w:val="000000"/>
        </w:rPr>
        <w:t xml:space="preserve">that is, every kind of </w:t>
      </w:r>
      <w:r w:rsidRPr="001A71ED">
        <w:rPr>
          <w:rFonts w:eastAsia="Times New Roman" w:cs="Arial"/>
          <w:color w:val="000000"/>
        </w:rPr>
        <w:t xml:space="preserve">privately </w:t>
      </w:r>
      <w:r w:rsidR="006C399B">
        <w:rPr>
          <w:rFonts w:eastAsia="Times New Roman" w:cs="Arial"/>
          <w:color w:val="000000"/>
        </w:rPr>
        <w:t xml:space="preserve">owned </w:t>
      </w:r>
      <w:r w:rsidR="00C45169">
        <w:rPr>
          <w:rFonts w:eastAsia="Times New Roman" w:cs="Arial"/>
          <w:color w:val="000000"/>
        </w:rPr>
        <w:t xml:space="preserve">enterprise </w:t>
      </w:r>
      <w:r>
        <w:rPr>
          <w:rFonts w:eastAsia="Times New Roman" w:cs="Arial"/>
          <w:color w:val="000000"/>
        </w:rPr>
        <w:t xml:space="preserve">that offers </w:t>
      </w:r>
      <w:r w:rsidRPr="001A71ED">
        <w:rPr>
          <w:rFonts w:eastAsia="Times New Roman" w:cs="Arial"/>
          <w:color w:val="000000"/>
        </w:rPr>
        <w:t xml:space="preserve">goods and services to the </w:t>
      </w:r>
      <w:proofErr w:type="gramStart"/>
      <w:r w:rsidRPr="001A71ED">
        <w:rPr>
          <w:rFonts w:eastAsia="Times New Roman" w:cs="Arial"/>
          <w:color w:val="000000"/>
        </w:rPr>
        <w:t>general public</w:t>
      </w:r>
      <w:proofErr w:type="gramEnd"/>
      <w:r w:rsidRPr="001A71ED">
        <w:rPr>
          <w:rFonts w:eastAsia="Times New Roman" w:cs="Arial"/>
          <w:color w:val="000000"/>
        </w:rPr>
        <w:t>.  (</w:t>
      </w:r>
      <w:r w:rsidRPr="005B124D">
        <w:rPr>
          <w:rFonts w:eastAsia="Times New Roman" w:cs="Arial"/>
          <w:i/>
          <w:iCs/>
          <w:color w:val="000000"/>
        </w:rPr>
        <w:t>Id</w:t>
      </w:r>
      <w:r>
        <w:rPr>
          <w:rFonts w:eastAsia="Times New Roman" w:cs="Arial"/>
          <w:color w:val="000000"/>
        </w:rPr>
        <w:t xml:space="preserve">., </w:t>
      </w:r>
      <w:r w:rsidRPr="00FC39A8">
        <w:rPr>
          <w:rFonts w:eastAsia="Times New Roman" w:cs="Arial"/>
          <w:color w:val="000000"/>
        </w:rPr>
        <w:t>§</w:t>
      </w:r>
      <w:r>
        <w:rPr>
          <w:rFonts w:eastAsia="Times New Roman" w:cs="Arial"/>
          <w:color w:val="000000"/>
        </w:rPr>
        <w:t xml:space="preserve"> 2000,</w:t>
      </w:r>
      <w:r w:rsidRPr="001A71ED">
        <w:rPr>
          <w:rFonts w:eastAsia="Times New Roman" w:cs="Arial"/>
          <w:color w:val="000000"/>
        </w:rPr>
        <w:t xml:space="preserve"> subd</w:t>
      </w:r>
      <w:r>
        <w:rPr>
          <w:rFonts w:eastAsia="Times New Roman" w:cs="Arial"/>
          <w:color w:val="000000"/>
        </w:rPr>
        <w:t>s</w:t>
      </w:r>
      <w:r w:rsidRPr="001A71ED">
        <w:rPr>
          <w:rFonts w:eastAsia="Times New Roman" w:cs="Arial"/>
          <w:color w:val="000000"/>
        </w:rPr>
        <w:t xml:space="preserve">. (b) </w:t>
      </w:r>
      <w:r>
        <w:rPr>
          <w:rFonts w:eastAsia="Times New Roman" w:cs="Arial"/>
          <w:color w:val="000000"/>
        </w:rPr>
        <w:t>&amp;</w:t>
      </w:r>
      <w:r w:rsidRPr="001A71ED">
        <w:rPr>
          <w:rFonts w:eastAsia="Times New Roman" w:cs="Arial"/>
          <w:color w:val="000000"/>
        </w:rPr>
        <w:t xml:space="preserve"> (c).)  </w:t>
      </w:r>
      <w:r>
        <w:rPr>
          <w:rFonts w:eastAsia="Times New Roman" w:cs="Arial"/>
          <w:color w:val="000000"/>
        </w:rPr>
        <w:t xml:space="preserve">However, </w:t>
      </w:r>
      <w:r w:rsidRPr="001A71ED">
        <w:rPr>
          <w:rFonts w:eastAsia="Times New Roman" w:cs="Arial"/>
          <w:color w:val="000000"/>
        </w:rPr>
        <w:t>“a private club or other establishment not in fact open to the public”</w:t>
      </w:r>
      <w:r>
        <w:rPr>
          <w:rFonts w:eastAsia="Times New Roman" w:cs="Arial"/>
          <w:color w:val="000000"/>
        </w:rPr>
        <w:t xml:space="preserve"> is expressly excluded.  (</w:t>
      </w:r>
      <w:r>
        <w:rPr>
          <w:rFonts w:eastAsia="Times New Roman" w:cs="Arial"/>
          <w:i/>
          <w:iCs/>
          <w:color w:val="000000"/>
        </w:rPr>
        <w:t>Id.</w:t>
      </w:r>
      <w:r>
        <w:rPr>
          <w:rFonts w:eastAsia="Times New Roman" w:cs="Arial"/>
          <w:color w:val="000000"/>
        </w:rPr>
        <w:t xml:space="preserve">, </w:t>
      </w:r>
      <w:proofErr w:type="spellStart"/>
      <w:r>
        <w:rPr>
          <w:rFonts w:eastAsia="Times New Roman" w:cs="Arial"/>
          <w:color w:val="000000"/>
        </w:rPr>
        <w:t>subd</w:t>
      </w:r>
      <w:proofErr w:type="spellEnd"/>
      <w:r>
        <w:rPr>
          <w:rFonts w:eastAsia="Times New Roman" w:cs="Arial"/>
          <w:color w:val="000000"/>
        </w:rPr>
        <w:t>. (e).)  We also note t</w:t>
      </w:r>
      <w:r w:rsidRPr="001A71ED">
        <w:rPr>
          <w:rFonts w:eastAsia="Times New Roman" w:cs="Arial"/>
          <w:color w:val="000000"/>
        </w:rPr>
        <w:t>he federal courts have held public schools</w:t>
      </w:r>
      <w:r w:rsidR="00C45169">
        <w:rPr>
          <w:rFonts w:eastAsia="Times New Roman" w:cs="Arial"/>
          <w:color w:val="000000"/>
        </w:rPr>
        <w:t xml:space="preserve">, in performing </w:t>
      </w:r>
      <w:r w:rsidR="00C45169" w:rsidRPr="00DE646F">
        <w:rPr>
          <w:rFonts w:eastAsia="Times New Roman" w:cs="Arial"/>
          <w:color w:val="000000"/>
        </w:rPr>
        <w:t>education</w:t>
      </w:r>
      <w:r w:rsidR="00DE646F" w:rsidRPr="00DE646F">
        <w:rPr>
          <w:rFonts w:eastAsia="Times New Roman" w:cs="Arial"/>
          <w:color w:val="000000"/>
        </w:rPr>
        <w:t>al</w:t>
      </w:r>
      <w:r w:rsidR="00C45169" w:rsidRPr="00DE646F">
        <w:rPr>
          <w:rFonts w:eastAsia="Times New Roman" w:cs="Arial"/>
          <w:color w:val="000000"/>
        </w:rPr>
        <w:t xml:space="preserve"> functions,</w:t>
      </w:r>
      <w:r w:rsidRPr="00DE646F">
        <w:rPr>
          <w:rFonts w:eastAsia="Times New Roman" w:cs="Arial"/>
          <w:color w:val="000000"/>
        </w:rPr>
        <w:t xml:space="preserve"> are not</w:t>
      </w:r>
      <w:r w:rsidRPr="00DE646F">
        <w:rPr>
          <w:rFonts w:eastAsia="Times New Roman" w:cs="Arial"/>
          <w:i/>
          <w:iCs/>
          <w:color w:val="000000"/>
        </w:rPr>
        <w:t xml:space="preserve"> </w:t>
      </w:r>
      <w:r w:rsidRPr="00DE646F">
        <w:rPr>
          <w:rFonts w:eastAsia="Times New Roman" w:cs="Arial"/>
          <w:color w:val="000000"/>
        </w:rPr>
        <w:t xml:space="preserve">places of public accommodation under Title II.  (E.g., </w:t>
      </w:r>
      <w:r w:rsidR="00C45169" w:rsidRPr="00DE646F">
        <w:rPr>
          <w:rFonts w:eastAsia="Times New Roman" w:cs="Arial"/>
          <w:i/>
          <w:color w:val="000000"/>
        </w:rPr>
        <w:t>Carroll v. Millersville University of PA</w:t>
      </w:r>
      <w:r w:rsidR="00C45169" w:rsidRPr="00DE646F">
        <w:rPr>
          <w:rFonts w:eastAsia="Times New Roman" w:cs="Arial"/>
          <w:color w:val="000000"/>
        </w:rPr>
        <w:t xml:space="preserve"> (E.D. Pa., June 6, 2019, No. 16-1406) 2019 WL 2423268, *5</w:t>
      </w:r>
      <w:r w:rsidR="00DE646F" w:rsidRPr="00E336A2">
        <w:rPr>
          <w:rFonts w:eastAsia="Times New Roman" w:cs="Arial"/>
          <w:color w:val="000000"/>
        </w:rPr>
        <w:t>–</w:t>
      </w:r>
      <w:r w:rsidR="00C45169" w:rsidRPr="00DE646F">
        <w:rPr>
          <w:rFonts w:eastAsia="Times New Roman" w:cs="Arial"/>
          <w:color w:val="000000"/>
        </w:rPr>
        <w:t>7;</w:t>
      </w:r>
      <w:r w:rsidR="00C45169" w:rsidRPr="00DE646F">
        <w:rPr>
          <w:rFonts w:eastAsia="Times New Roman" w:cs="Arial"/>
          <w:i/>
          <w:color w:val="000000"/>
        </w:rPr>
        <w:t xml:space="preserve"> </w:t>
      </w:r>
      <w:proofErr w:type="spellStart"/>
      <w:r w:rsidR="00C45169" w:rsidRPr="00DE646F">
        <w:rPr>
          <w:rFonts w:eastAsia="Times New Roman" w:cs="Arial"/>
          <w:i/>
          <w:color w:val="000000"/>
        </w:rPr>
        <w:t>Alja-lz</w:t>
      </w:r>
      <w:proofErr w:type="spellEnd"/>
      <w:r w:rsidR="00C45169" w:rsidRPr="00DE646F">
        <w:rPr>
          <w:rFonts w:eastAsia="Times New Roman" w:cs="Arial"/>
          <w:i/>
          <w:color w:val="000000"/>
        </w:rPr>
        <w:t xml:space="preserve"> v. Ramsey</w:t>
      </w:r>
      <w:r w:rsidR="00C45169" w:rsidRPr="00DE646F">
        <w:rPr>
          <w:rFonts w:eastAsia="Times New Roman" w:cs="Arial"/>
          <w:color w:val="000000"/>
        </w:rPr>
        <w:t xml:space="preserve"> (W.D. Ky.</w:t>
      </w:r>
      <w:r w:rsidR="00DE646F" w:rsidRPr="00DE646F">
        <w:rPr>
          <w:rFonts w:eastAsia="Times New Roman" w:cs="Arial"/>
          <w:color w:val="000000"/>
        </w:rPr>
        <w:t>, Sept. 12,</w:t>
      </w:r>
      <w:r w:rsidR="00C45169" w:rsidRPr="00DE646F">
        <w:rPr>
          <w:rFonts w:eastAsia="Times New Roman" w:cs="Arial"/>
          <w:color w:val="000000"/>
        </w:rPr>
        <w:t xml:space="preserve"> 2017</w:t>
      </w:r>
      <w:r w:rsidR="00DE646F" w:rsidRPr="00DE646F">
        <w:rPr>
          <w:rFonts w:eastAsia="Times New Roman" w:cs="Arial"/>
          <w:color w:val="000000"/>
        </w:rPr>
        <w:t>, No. 3:14-CV-618-DJH</w:t>
      </w:r>
      <w:r w:rsidR="00C45169" w:rsidRPr="00DE646F">
        <w:rPr>
          <w:rFonts w:eastAsia="Times New Roman" w:cs="Arial"/>
          <w:color w:val="000000"/>
        </w:rPr>
        <w:t xml:space="preserve">) 2017 WL 6485803, *12; </w:t>
      </w:r>
      <w:r w:rsidRPr="00DE646F">
        <w:rPr>
          <w:rFonts w:eastAsia="Times New Roman" w:cs="Arial"/>
          <w:i/>
          <w:iCs/>
          <w:color w:val="000000"/>
        </w:rPr>
        <w:t>Gilmore v. Amityville Union Free School Dist.</w:t>
      </w:r>
      <w:r w:rsidRPr="008220A1">
        <w:rPr>
          <w:rFonts w:eastAsia="Times New Roman" w:cs="Arial"/>
          <w:color w:val="000000"/>
        </w:rPr>
        <w:t xml:space="preserve"> (E.D.N.Y. 2004) 305 F.Supp.2d 271, 279</w:t>
      </w:r>
      <w:r w:rsidRPr="001A71ED">
        <w:rPr>
          <w:rFonts w:eastAsia="Times New Roman" w:cs="Arial"/>
          <w:color w:val="000000"/>
        </w:rPr>
        <w:t xml:space="preserve">; see </w:t>
      </w:r>
      <w:r w:rsidRPr="001A71ED">
        <w:rPr>
          <w:rFonts w:eastAsia="Times New Roman" w:cs="Arial"/>
          <w:i/>
          <w:iCs/>
          <w:color w:val="000000"/>
        </w:rPr>
        <w:t>Gallegos Adams County School District</w:t>
      </w:r>
      <w:r w:rsidRPr="001A71ED">
        <w:rPr>
          <w:rFonts w:eastAsia="Times New Roman" w:cs="Arial"/>
          <w:color w:val="000000"/>
        </w:rPr>
        <w:t xml:space="preserve"> (D. Colo. 2017) 2017 WL 4236320, </w:t>
      </w:r>
      <w:r>
        <w:rPr>
          <w:rFonts w:eastAsia="Times New Roman" w:cs="Arial"/>
          <w:color w:val="000000"/>
        </w:rPr>
        <w:t>f</w:t>
      </w:r>
      <w:r w:rsidRPr="001A71ED">
        <w:rPr>
          <w:rFonts w:eastAsia="Times New Roman" w:cs="Arial"/>
          <w:color w:val="000000"/>
        </w:rPr>
        <w:t xml:space="preserve">n. 4 [while not deciding issue given rulings on other issues, court nevertheless </w:t>
      </w:r>
      <w:r>
        <w:rPr>
          <w:rFonts w:eastAsia="Times New Roman" w:cs="Arial"/>
          <w:color w:val="000000"/>
        </w:rPr>
        <w:t>observes</w:t>
      </w:r>
      <w:r w:rsidRPr="001A71ED">
        <w:rPr>
          <w:rFonts w:eastAsia="Times New Roman" w:cs="Arial"/>
          <w:color w:val="000000"/>
        </w:rPr>
        <w:t xml:space="preserve"> “courts in other jurisdictions find unequivocally that public schools are not places of public accommodation under Title II”</w:t>
      </w:r>
      <w:r>
        <w:rPr>
          <w:rFonts w:eastAsia="Times New Roman" w:cs="Arial"/>
          <w:color w:val="000000"/>
        </w:rPr>
        <w:t>].)</w:t>
      </w:r>
    </w:p>
  </w:footnote>
  <w:footnote w:id="9">
    <w:p w14:paraId="466FA5CB" w14:textId="77777777" w:rsidR="00F10710" w:rsidRDefault="00283A02" w:rsidP="00283A02">
      <w:pPr>
        <w:shd w:val="clear" w:color="auto" w:fill="FFFFFF"/>
        <w:tabs>
          <w:tab w:val="clear" w:pos="720"/>
        </w:tabs>
        <w:spacing w:after="120" w:line="240" w:lineRule="auto"/>
        <w:ind w:firstLine="720"/>
        <w:rPr>
          <w:i/>
          <w:iCs/>
        </w:rPr>
      </w:pPr>
      <w:r w:rsidRPr="00206C52">
        <w:rPr>
          <w:rStyle w:val="FootnoteReference"/>
        </w:rPr>
        <w:footnoteRef/>
      </w:r>
      <w:r w:rsidRPr="00206C52">
        <w:t xml:space="preserve">  </w:t>
      </w:r>
      <w:r>
        <w:t>In his briefing, p</w:t>
      </w:r>
      <w:r w:rsidRPr="00DE5C6C">
        <w:t xml:space="preserve">etitioner </w:t>
      </w:r>
      <w:r w:rsidR="0028543C">
        <w:t>did</w:t>
      </w:r>
      <w:r w:rsidRPr="00DE5C6C">
        <w:t xml:space="preserve"> not cite any </w:t>
      </w:r>
      <w:r w:rsidR="0028543C">
        <w:t xml:space="preserve">California </w:t>
      </w:r>
      <w:r w:rsidRPr="00DE5C6C">
        <w:t>case that specifically considered whether a government entity was a business establishment and reached a conclusion</w:t>
      </w:r>
      <w:r w:rsidR="0028543C">
        <w:t xml:space="preserve"> contrary to that reached in these cases</w:t>
      </w:r>
      <w:r w:rsidRPr="00DE5C6C">
        <w:t xml:space="preserve">. </w:t>
      </w:r>
      <w:r w:rsidR="0028543C">
        <w:t xml:space="preserve"> At oral argument, counsel </w:t>
      </w:r>
      <w:r w:rsidR="008A7613">
        <w:t>referred</w:t>
      </w:r>
      <w:r w:rsidRPr="00DE5C6C">
        <w:t xml:space="preserve"> </w:t>
      </w:r>
      <w:r w:rsidR="0028543C">
        <w:t>to</w:t>
      </w:r>
      <w:r w:rsidRPr="00DE5C6C">
        <w:t xml:space="preserve"> </w:t>
      </w:r>
      <w:proofErr w:type="spellStart"/>
      <w:r w:rsidRPr="00DE5C6C">
        <w:rPr>
          <w:i/>
          <w:iCs/>
        </w:rPr>
        <w:t>Gatto</w:t>
      </w:r>
      <w:proofErr w:type="spellEnd"/>
      <w:r w:rsidRPr="00DE5C6C">
        <w:rPr>
          <w:i/>
          <w:iCs/>
        </w:rPr>
        <w:t xml:space="preserve"> v. County of Sonoma </w:t>
      </w:r>
      <w:r w:rsidRPr="00DE5C6C">
        <w:t>(2002) 98 Cal.App.4th 744 (</w:t>
      </w:r>
      <w:proofErr w:type="spellStart"/>
      <w:r w:rsidRPr="00DE5C6C">
        <w:rPr>
          <w:i/>
          <w:iCs/>
        </w:rPr>
        <w:t>Gatto</w:t>
      </w:r>
      <w:proofErr w:type="spellEnd"/>
      <w:r w:rsidRPr="00DE5C6C">
        <w:t>)</w:t>
      </w:r>
      <w:r w:rsidR="008A7613">
        <w:t>.</w:t>
      </w:r>
      <w:r w:rsidR="0028543C">
        <w:t xml:space="preserve"> </w:t>
      </w:r>
      <w:r w:rsidR="008A7613">
        <w:t xml:space="preserve"> </w:t>
      </w:r>
      <w:r w:rsidR="0028543C">
        <w:t xml:space="preserve">In that case, </w:t>
      </w:r>
      <w:r w:rsidRPr="00DE5C6C">
        <w:t>the plaintiff sued both the county and the company operating the county</w:t>
      </w:r>
      <w:r w:rsidR="008A7613">
        <w:t>’s</w:t>
      </w:r>
      <w:r w:rsidRPr="00DE5C6C">
        <w:t xml:space="preserve"> fair after he was refused admission b</w:t>
      </w:r>
      <w:r w:rsidR="008A7613">
        <w:t xml:space="preserve">ecause he was </w:t>
      </w:r>
      <w:r w:rsidRPr="00DE5C6C">
        <w:t>wearing a vest with Hells Angels insignia.  (</w:t>
      </w:r>
      <w:r w:rsidRPr="00DE5C6C">
        <w:rPr>
          <w:i/>
          <w:iCs/>
        </w:rPr>
        <w:t xml:space="preserve">Id. </w:t>
      </w:r>
      <w:r w:rsidRPr="00DE5C6C">
        <w:t xml:space="preserve">at p. 749.)  The appellate court reversed </w:t>
      </w:r>
      <w:r w:rsidR="008A7613">
        <w:t>a</w:t>
      </w:r>
      <w:r w:rsidRPr="00DE5C6C">
        <w:t xml:space="preserve"> judgment for the plaintiff to the extent it was based on the Unruh Act, on the ground he was not a member of any class protected by the Act.  (</w:t>
      </w:r>
      <w:r w:rsidRPr="00DE5C6C">
        <w:rPr>
          <w:i/>
          <w:iCs/>
        </w:rPr>
        <w:t xml:space="preserve">Id. </w:t>
      </w:r>
      <w:r w:rsidRPr="00DE5C6C">
        <w:t>at pp.</w:t>
      </w:r>
      <w:r w:rsidR="0028543C">
        <w:t> </w:t>
      </w:r>
      <w:r w:rsidRPr="00DE5C6C">
        <w:t>765</w:t>
      </w:r>
      <w:r w:rsidRPr="00E336A2">
        <w:rPr>
          <w:rFonts w:eastAsia="Times New Roman" w:cs="Arial"/>
          <w:color w:val="000000"/>
        </w:rPr>
        <w:t>–</w:t>
      </w:r>
      <w:r w:rsidRPr="00DE5C6C">
        <w:t xml:space="preserve">769.)  </w:t>
      </w:r>
      <w:r w:rsidR="008A7613">
        <w:t xml:space="preserve">The court </w:t>
      </w:r>
      <w:r w:rsidRPr="00DE5C6C">
        <w:t xml:space="preserve">affirmed </w:t>
      </w:r>
      <w:r w:rsidR="008A7613">
        <w:t xml:space="preserve">to the extent </w:t>
      </w:r>
      <w:r w:rsidRPr="00DE5C6C">
        <w:t>the judgment could be characterized as a state constitutional free speech claim.  (</w:t>
      </w:r>
      <w:r w:rsidRPr="00DE5C6C">
        <w:rPr>
          <w:i/>
          <w:iCs/>
        </w:rPr>
        <w:t xml:space="preserve">Id. </w:t>
      </w:r>
      <w:r w:rsidRPr="00DE5C6C">
        <w:t>at pp. 769</w:t>
      </w:r>
      <w:r w:rsidRPr="00E336A2">
        <w:rPr>
          <w:rFonts w:eastAsia="Times New Roman" w:cs="Arial"/>
          <w:color w:val="000000"/>
        </w:rPr>
        <w:t>–</w:t>
      </w:r>
      <w:r w:rsidRPr="00DE5C6C">
        <w:t xml:space="preserve">777.)  On the way to </w:t>
      </w:r>
      <w:r w:rsidR="008A7613">
        <w:t xml:space="preserve">reaching </w:t>
      </w:r>
      <w:r w:rsidRPr="00DE5C6C">
        <w:t>these holdings, the court con</w:t>
      </w:r>
      <w:r w:rsidR="008A7613">
        <w:t xml:space="preserve">sidered </w:t>
      </w:r>
      <w:r w:rsidRPr="00DE5C6C">
        <w:t xml:space="preserve">whether a one-year or three-year statute of limitations applies to an Unruh Act claim </w:t>
      </w:r>
      <w:r w:rsidR="008A7613">
        <w:t xml:space="preserve">and concluded it </w:t>
      </w:r>
      <w:r w:rsidRPr="00DE5C6C">
        <w:t xml:space="preserve">depends on whether the cause of action </w:t>
      </w:r>
      <w:r w:rsidR="008A7613">
        <w:t xml:space="preserve">at issue </w:t>
      </w:r>
      <w:r w:rsidRPr="00DE5C6C">
        <w:t>“evolved from the common law</w:t>
      </w:r>
      <w:r w:rsidR="0028543C">
        <w:t>.</w:t>
      </w:r>
      <w:r w:rsidRPr="00DE5C6C">
        <w:t xml:space="preserve">” </w:t>
      </w:r>
      <w:r w:rsidR="0028543C">
        <w:t xml:space="preserve"> If so, </w:t>
      </w:r>
      <w:r w:rsidRPr="00DE5C6C">
        <w:t>the one-year statute appl</w:t>
      </w:r>
      <w:r w:rsidR="0028543C">
        <w:t>ies</w:t>
      </w:r>
      <w:r w:rsidRPr="00DE5C6C">
        <w:t>.  (</w:t>
      </w:r>
      <w:r w:rsidRPr="00DE5C6C">
        <w:rPr>
          <w:i/>
          <w:iCs/>
        </w:rPr>
        <w:t xml:space="preserve">Id. </w:t>
      </w:r>
      <w:r w:rsidRPr="00DE5C6C">
        <w:t xml:space="preserve">at p. 759.)  </w:t>
      </w:r>
      <w:r w:rsidR="0028543C">
        <w:t>The court</w:t>
      </w:r>
      <w:r w:rsidRPr="00DE5C6C">
        <w:t xml:space="preserve"> </w:t>
      </w:r>
      <w:r w:rsidR="008A7613">
        <w:t xml:space="preserve">next considered whether </w:t>
      </w:r>
      <w:r w:rsidRPr="00DE5C6C">
        <w:t>the Government Claims Act applied</w:t>
      </w:r>
      <w:r w:rsidR="008A7613">
        <w:t xml:space="preserve"> to the plaintiff’s </w:t>
      </w:r>
      <w:proofErr w:type="gramStart"/>
      <w:r w:rsidR="008A7613">
        <w:t>purported Unruh</w:t>
      </w:r>
      <w:proofErr w:type="gramEnd"/>
      <w:r w:rsidR="008A7613">
        <w:t xml:space="preserve"> Act claim</w:t>
      </w:r>
      <w:r w:rsidR="00F10710">
        <w:t xml:space="preserve"> and concluded it did so, thereby e</w:t>
      </w:r>
      <w:r w:rsidRPr="00DE5C6C">
        <w:t>xtending the limitations period applicable to the purported claim.  (</w:t>
      </w:r>
      <w:r w:rsidRPr="00DE5C6C">
        <w:rPr>
          <w:i/>
          <w:iCs/>
        </w:rPr>
        <w:t>Id.</w:t>
      </w:r>
      <w:r w:rsidRPr="00DE5C6C">
        <w:t xml:space="preserve"> at p.</w:t>
      </w:r>
      <w:r w:rsidRPr="00DE5C6C">
        <w:rPr>
          <w:i/>
          <w:iCs/>
        </w:rPr>
        <w:t xml:space="preserve"> </w:t>
      </w:r>
      <w:r w:rsidRPr="00DE5C6C">
        <w:t>765.)  The county did not</w:t>
      </w:r>
      <w:r w:rsidR="0028543C">
        <w:t xml:space="preserve"> </w:t>
      </w:r>
      <w:r w:rsidRPr="00DE5C6C">
        <w:t xml:space="preserve">raise the issue of whether it, as well as the corporation operating the fair, was a business establishment under the </w:t>
      </w:r>
      <w:r>
        <w:t xml:space="preserve">Unruh </w:t>
      </w:r>
      <w:r w:rsidRPr="00DE5C6C">
        <w:t xml:space="preserve">Act.  The sole comment the court made even tangentially in that regard was in response to the plaintiff’s attempt to distinguish a case that had rejected a </w:t>
      </w:r>
      <w:r w:rsidR="00F10710">
        <w:t xml:space="preserve">similar </w:t>
      </w:r>
      <w:r w:rsidRPr="00DE5C6C">
        <w:t xml:space="preserve">apparel/free speech discrimination claim against a private bar.  </w:t>
      </w:r>
      <w:r w:rsidR="00F10710">
        <w:t>T</w:t>
      </w:r>
      <w:r w:rsidRPr="00DE5C6C">
        <w:t>he court stated in passing, “by its own terms, the equal access in accommodations provision of the Unruh Civil Rights Act applies to ‘all business establishments whatsoever</w:t>
      </w:r>
      <w:r w:rsidR="0028543C">
        <w:t>,</w:t>
      </w:r>
      <w:r w:rsidRPr="00DE5C6C">
        <w:t xml:space="preserve">’ ” and </w:t>
      </w:r>
      <w:r w:rsidR="0028543C">
        <w:t>thus</w:t>
      </w:r>
      <w:r w:rsidRPr="00DE5C6C">
        <w:t xml:space="preserve"> the rejection of an apparel/free speech claim in the private bar case was as “applicable to a county fair as to a private drinking establishment.”  (</w:t>
      </w:r>
      <w:r w:rsidRPr="00DE5C6C">
        <w:rPr>
          <w:i/>
          <w:iCs/>
        </w:rPr>
        <w:t xml:space="preserve">Id. </w:t>
      </w:r>
      <w:r w:rsidRPr="00DE5C6C">
        <w:t>at pp. 765</w:t>
      </w:r>
      <w:r w:rsidRPr="00E336A2">
        <w:rPr>
          <w:rFonts w:eastAsia="Times New Roman" w:cs="Arial"/>
          <w:color w:val="000000"/>
        </w:rPr>
        <w:t>–</w:t>
      </w:r>
      <w:r w:rsidRPr="00DE5C6C">
        <w:t xml:space="preserve">769.)  </w:t>
      </w:r>
      <w:r w:rsidR="00F10710">
        <w:t>At best, t</w:t>
      </w:r>
      <w:r w:rsidRPr="00DE5C6C">
        <w:t>his is an aside</w:t>
      </w:r>
      <w:r w:rsidR="00F10710">
        <w:t xml:space="preserve">, </w:t>
      </w:r>
      <w:r w:rsidRPr="00DE5C6C">
        <w:t>and a</w:t>
      </w:r>
      <w:r w:rsidRPr="00DE5C6C">
        <w:rPr>
          <w:rFonts w:eastAsia="Times New Roman" w:cs="Arial"/>
          <w:color w:val="000000"/>
        </w:rPr>
        <w:t xml:space="preserve"> case is “</w:t>
      </w:r>
      <w:r w:rsidRPr="00DE5C6C">
        <w:rPr>
          <w:rFonts w:eastAsia="Times New Roman" w:cs="Arial"/>
          <w:color w:val="000000"/>
          <w:shd w:val="clear" w:color="auto" w:fill="FFFFFF"/>
        </w:rPr>
        <w:t>not</w:t>
      </w:r>
      <w:r w:rsidRPr="00DE5C6C">
        <w:rPr>
          <w:rFonts w:eastAsia="Times New Roman" w:cs="Arial"/>
          <w:color w:val="000000"/>
        </w:rPr>
        <w:t xml:space="preserve"> </w:t>
      </w:r>
      <w:r w:rsidRPr="00DE5C6C">
        <w:rPr>
          <w:rFonts w:eastAsia="Times New Roman" w:cs="Arial"/>
          <w:color w:val="000000"/>
          <w:shd w:val="clear" w:color="auto" w:fill="FFFFFF"/>
        </w:rPr>
        <w:t>authority</w:t>
      </w:r>
      <w:r w:rsidRPr="00DE5C6C">
        <w:rPr>
          <w:rFonts w:eastAsia="Times New Roman" w:cs="Arial"/>
          <w:color w:val="000000"/>
        </w:rPr>
        <w:t xml:space="preserve">, of course, for </w:t>
      </w:r>
      <w:r w:rsidRPr="00DE5C6C">
        <w:rPr>
          <w:rFonts w:eastAsia="Times New Roman" w:cs="Arial"/>
          <w:color w:val="000000"/>
          <w:shd w:val="clear" w:color="auto" w:fill="FFFFFF"/>
        </w:rPr>
        <w:t>issues</w:t>
      </w:r>
      <w:r w:rsidRPr="00DE5C6C">
        <w:rPr>
          <w:rFonts w:eastAsia="Times New Roman" w:cs="Arial"/>
          <w:color w:val="000000"/>
        </w:rPr>
        <w:t xml:space="preserve"> </w:t>
      </w:r>
      <w:r w:rsidRPr="00DE5C6C">
        <w:rPr>
          <w:rFonts w:eastAsia="Times New Roman" w:cs="Arial"/>
          <w:color w:val="000000"/>
          <w:shd w:val="clear" w:color="auto" w:fill="FFFFFF"/>
        </w:rPr>
        <w:t>not</w:t>
      </w:r>
      <w:r w:rsidRPr="00DE5C6C">
        <w:rPr>
          <w:rFonts w:eastAsia="Times New Roman" w:cs="Arial"/>
          <w:color w:val="000000"/>
        </w:rPr>
        <w:t xml:space="preserve"> </w:t>
      </w:r>
      <w:r w:rsidRPr="00DE5C6C">
        <w:rPr>
          <w:rFonts w:eastAsia="Times New Roman" w:cs="Arial"/>
          <w:color w:val="000000"/>
          <w:shd w:val="clear" w:color="auto" w:fill="FFFFFF"/>
        </w:rPr>
        <w:t>raised</w:t>
      </w:r>
      <w:r w:rsidRPr="00DE5C6C">
        <w:rPr>
          <w:rFonts w:eastAsia="Times New Roman" w:cs="Arial"/>
          <w:color w:val="000000"/>
        </w:rPr>
        <w:t xml:space="preserve"> and resolved.”  (</w:t>
      </w:r>
      <w:r w:rsidRPr="00DE5C6C">
        <w:rPr>
          <w:rFonts w:eastAsia="Times New Roman" w:cs="Arial"/>
          <w:i/>
          <w:iCs/>
          <w:color w:val="000000"/>
        </w:rPr>
        <w:t>San Diego Gas &amp; Electric Co. v. Superior Court</w:t>
      </w:r>
      <w:r w:rsidRPr="00DE5C6C">
        <w:rPr>
          <w:rFonts w:eastAsia="Times New Roman" w:cs="Arial"/>
          <w:color w:val="000000"/>
        </w:rPr>
        <w:t xml:space="preserve"> (1996) 13 Cal.4th 893, 943.)  </w:t>
      </w:r>
      <w:r w:rsidR="00F10710">
        <w:rPr>
          <w:rFonts w:eastAsia="Times New Roman" w:cs="Arial"/>
          <w:color w:val="000000"/>
        </w:rPr>
        <w:t>And a</w:t>
      </w:r>
      <w:r w:rsidRPr="00DE5C6C">
        <w:t xml:space="preserve">s our lengthy discussion above reveals, there is </w:t>
      </w:r>
      <w:r w:rsidRPr="00DE5C6C">
        <w:rPr>
          <w:i/>
          <w:iCs/>
        </w:rPr>
        <w:t>far</w:t>
      </w:r>
      <w:r w:rsidRPr="00DE5C6C">
        <w:t xml:space="preserve"> more to the analysis of whether an entity is a business establishment than the one-liner deployed in </w:t>
      </w:r>
      <w:proofErr w:type="spellStart"/>
      <w:r w:rsidRPr="00DE5C6C">
        <w:rPr>
          <w:i/>
          <w:iCs/>
        </w:rPr>
        <w:t>Gatto</w:t>
      </w:r>
      <w:proofErr w:type="spellEnd"/>
      <w:r w:rsidRPr="00DE5C6C">
        <w:rPr>
          <w:i/>
          <w:iCs/>
        </w:rPr>
        <w:t xml:space="preserve">.  </w:t>
      </w:r>
    </w:p>
    <w:p w14:paraId="443831A4" w14:textId="77777777" w:rsidR="00283A02" w:rsidRPr="00DE2BC9" w:rsidRDefault="00283A02" w:rsidP="00283A02">
      <w:pPr>
        <w:shd w:val="clear" w:color="auto" w:fill="FFFFFF"/>
        <w:tabs>
          <w:tab w:val="clear" w:pos="720"/>
        </w:tabs>
        <w:spacing w:after="120" w:line="240" w:lineRule="auto"/>
        <w:ind w:firstLine="720"/>
        <w:rPr>
          <w:rFonts w:ascii="Source Sans Pro" w:eastAsia="Times New Roman" w:hAnsi="Source Sans Pro" w:cs="Arial"/>
          <w:color w:val="000000"/>
          <w:sz w:val="24"/>
          <w:szCs w:val="24"/>
        </w:rPr>
      </w:pPr>
      <w:r w:rsidRPr="00DE5C6C">
        <w:rPr>
          <w:rFonts w:eastAsia="Times New Roman" w:cs="Arial"/>
          <w:i/>
          <w:iCs/>
          <w:color w:val="000000"/>
        </w:rPr>
        <w:t>Los Angeles County Metropolitan Transportation Authority v. Superior Court</w:t>
      </w:r>
      <w:r w:rsidRPr="00DE5C6C">
        <w:rPr>
          <w:rFonts w:eastAsia="Times New Roman" w:cs="Arial"/>
          <w:color w:val="000000"/>
        </w:rPr>
        <w:t xml:space="preserve"> (2004) 123 Cal.App.4th 261</w:t>
      </w:r>
      <w:r w:rsidR="0028543C">
        <w:rPr>
          <w:rFonts w:eastAsia="Times New Roman" w:cs="Arial"/>
          <w:color w:val="000000"/>
        </w:rPr>
        <w:t>,</w:t>
      </w:r>
      <w:r w:rsidR="0028543C" w:rsidRPr="0028543C">
        <w:rPr>
          <w:rFonts w:eastAsia="Times New Roman" w:cs="Arial"/>
          <w:color w:val="000000"/>
        </w:rPr>
        <w:t xml:space="preserve"> </w:t>
      </w:r>
      <w:r w:rsidR="0028543C" w:rsidRPr="00DE5C6C">
        <w:rPr>
          <w:rFonts w:eastAsia="Times New Roman" w:cs="Arial"/>
          <w:color w:val="000000"/>
        </w:rPr>
        <w:t>264, 267</w:t>
      </w:r>
      <w:r w:rsidR="0028543C" w:rsidRPr="00E336A2">
        <w:rPr>
          <w:rFonts w:eastAsia="Times New Roman" w:cs="Arial"/>
          <w:color w:val="000000"/>
        </w:rPr>
        <w:t>–</w:t>
      </w:r>
      <w:r w:rsidR="0028543C" w:rsidRPr="00DE5C6C">
        <w:rPr>
          <w:rFonts w:eastAsia="Times New Roman" w:cs="Arial"/>
          <w:color w:val="000000"/>
        </w:rPr>
        <w:t>276</w:t>
      </w:r>
      <w:r w:rsidR="0028543C">
        <w:rPr>
          <w:rFonts w:eastAsia="Times New Roman" w:cs="Arial"/>
          <w:color w:val="000000"/>
        </w:rPr>
        <w:t xml:space="preserve">, </w:t>
      </w:r>
      <w:r w:rsidR="00F10710">
        <w:rPr>
          <w:rFonts w:eastAsia="Times New Roman" w:cs="Arial"/>
          <w:color w:val="000000"/>
        </w:rPr>
        <w:t xml:space="preserve">not cited by petitioner but which we reviewed in doing our own research, </w:t>
      </w:r>
      <w:r w:rsidR="0028543C">
        <w:rPr>
          <w:rFonts w:eastAsia="Times New Roman" w:cs="Arial"/>
          <w:color w:val="000000"/>
        </w:rPr>
        <w:t>likewise</w:t>
      </w:r>
      <w:r w:rsidR="00F10710">
        <w:rPr>
          <w:rFonts w:eastAsia="Times New Roman" w:cs="Arial"/>
          <w:color w:val="000000"/>
        </w:rPr>
        <w:t>, is</w:t>
      </w:r>
      <w:r w:rsidR="0028543C">
        <w:rPr>
          <w:rFonts w:eastAsia="Times New Roman" w:cs="Arial"/>
          <w:color w:val="000000"/>
        </w:rPr>
        <w:t xml:space="preserve"> of no assistance to petitioner</w:t>
      </w:r>
      <w:r w:rsidR="00F10710">
        <w:rPr>
          <w:rFonts w:eastAsia="Times New Roman" w:cs="Arial"/>
          <w:color w:val="000000"/>
        </w:rPr>
        <w:t>,</w:t>
      </w:r>
      <w:r w:rsidR="0028543C">
        <w:rPr>
          <w:rFonts w:eastAsia="Times New Roman" w:cs="Arial"/>
          <w:color w:val="000000"/>
        </w:rPr>
        <w:t xml:space="preserve"> as the transit authority raised only one issue in </w:t>
      </w:r>
      <w:r w:rsidR="00F10710">
        <w:rPr>
          <w:rFonts w:eastAsia="Times New Roman" w:cs="Arial"/>
          <w:color w:val="000000"/>
        </w:rPr>
        <w:t xml:space="preserve">its </w:t>
      </w:r>
      <w:r w:rsidR="0028543C">
        <w:rPr>
          <w:rFonts w:eastAsia="Times New Roman" w:cs="Arial"/>
          <w:color w:val="000000"/>
        </w:rPr>
        <w:t>original writ p</w:t>
      </w:r>
      <w:r w:rsidR="00F10710">
        <w:rPr>
          <w:rFonts w:eastAsia="Times New Roman" w:cs="Arial"/>
          <w:color w:val="000000"/>
        </w:rPr>
        <w:t>roceeding—</w:t>
      </w:r>
      <w:r w:rsidR="0028543C">
        <w:rPr>
          <w:rFonts w:eastAsia="Times New Roman" w:cs="Arial"/>
          <w:color w:val="000000"/>
        </w:rPr>
        <w:t xml:space="preserve">whether the plaintiff, in connection with an Unruh Act claim, could seek statutory “penalties.”  The Authority did not raise, nor did the court address, whether it was a business establishment under the Act. </w:t>
      </w:r>
    </w:p>
  </w:footnote>
  <w:footnote w:id="10">
    <w:p w14:paraId="3AD532B3" w14:textId="77777777" w:rsidR="005D5C40" w:rsidRDefault="005D5C40" w:rsidP="005D5C40">
      <w:pPr>
        <w:pStyle w:val="FootnoteText"/>
        <w:ind w:firstLine="720"/>
      </w:pPr>
      <w:r>
        <w:rPr>
          <w:rStyle w:val="FootnoteReference"/>
        </w:rPr>
        <w:footnoteRef/>
      </w:r>
      <w:r>
        <w:t xml:space="preserve">  We note the state Superintendent of Public Instruction has been for many years, and remains, charged with the responsibility “for providing leadership to local agencies to ensure” that the anti-discrimination provisions of not only “Education Code sections 200 through 253,” but also “Government Code sections 11135 through 11139” and a litany of federal statutes, “are met in educational programs that receive or benefit from state or federal financial assistance and are under the jurisdiction of the State Board of Education.”  (Cal. Code Regs. tit. 5, § 4902, </w:t>
      </w:r>
      <w:proofErr w:type="spellStart"/>
      <w:r>
        <w:t>subd</w:t>
      </w:r>
      <w:proofErr w:type="spellEnd"/>
      <w:r>
        <w:t>. (a)</w:t>
      </w:r>
      <w:r w:rsidRPr="00E336A2">
        <w:rPr>
          <w:rFonts w:eastAsia="Times New Roman" w:cs="Arial"/>
          <w:color w:val="000000"/>
        </w:rPr>
        <w:t>–</w:t>
      </w:r>
      <w:r>
        <w:t>(b</w:t>
      </w:r>
      <w:r w:rsidRPr="0012618B">
        <w:t xml:space="preserve">); see </w:t>
      </w:r>
      <w:r w:rsidRPr="0012618B">
        <w:rPr>
          <w:i/>
        </w:rPr>
        <w:t xml:space="preserve">Hector F. v. El Centro Elementary School Dist. </w:t>
      </w:r>
      <w:r w:rsidRPr="0012618B">
        <w:t>(2014) 227 Cal.App.4th 331, 333 [“[T]he Legislature has imposed on public schools in California an affirmative duty to protect public school students from discrimination and harassment engendered by race, gender, sexual orientation or disability. (See Gov. Code § 11135; Ed. Code §§ 201, 220, 32261, 32280, 32281 &amp; 32282.)”].)</w:t>
      </w:r>
      <w:r>
        <w:t xml:space="preserve">  To this end, the state Department of Education has enacted and maintained its own administrative investigation and complaint procedures.  (Cal. Code Regs. tit. 5, §§ 4601 et seq., 4962.)  </w:t>
      </w:r>
    </w:p>
  </w:footnote>
  <w:footnote w:id="11">
    <w:p w14:paraId="2006D9DE" w14:textId="77777777" w:rsidR="00BD66EC" w:rsidRPr="002F6596" w:rsidRDefault="00BD66EC" w:rsidP="002F6596">
      <w:pPr>
        <w:shd w:val="clear" w:color="auto" w:fill="FFFFFF"/>
        <w:spacing w:after="120" w:line="240" w:lineRule="auto"/>
        <w:rPr>
          <w:rFonts w:eastAsia="Times New Roman" w:cs="Arial"/>
          <w:color w:val="000000"/>
        </w:rPr>
      </w:pPr>
      <w:r>
        <w:tab/>
      </w:r>
      <w:r w:rsidRPr="00DE5C6C">
        <w:rPr>
          <w:rStyle w:val="FootnoteReference"/>
        </w:rPr>
        <w:footnoteRef/>
      </w:r>
      <w:r w:rsidRPr="00DE5C6C">
        <w:t xml:space="preserve">  </w:t>
      </w:r>
      <w:r w:rsidRPr="00DE5C6C">
        <w:rPr>
          <w:rFonts w:eastAsia="Times New Roman" w:cs="Arial"/>
          <w:color w:val="000000"/>
        </w:rPr>
        <w:t xml:space="preserve">Title III includes </w:t>
      </w:r>
      <w:proofErr w:type="gramStart"/>
      <w:r w:rsidRPr="00DE5C6C">
        <w:rPr>
          <w:rFonts w:eastAsia="Times New Roman" w:cs="Arial"/>
          <w:color w:val="000000"/>
        </w:rPr>
        <w:t>a long list</w:t>
      </w:r>
      <w:proofErr w:type="gramEnd"/>
      <w:r w:rsidRPr="00DE5C6C">
        <w:rPr>
          <w:rFonts w:eastAsia="Times New Roman" w:cs="Arial"/>
          <w:color w:val="000000"/>
        </w:rPr>
        <w:t xml:space="preserve"> of “[p]</w:t>
      </w:r>
      <w:proofErr w:type="spellStart"/>
      <w:r w:rsidRPr="00DE5C6C">
        <w:rPr>
          <w:rFonts w:eastAsia="Times New Roman" w:cs="Arial"/>
          <w:color w:val="000000"/>
        </w:rPr>
        <w:t>ublic</w:t>
      </w:r>
      <w:proofErr w:type="spellEnd"/>
      <w:r w:rsidRPr="00DE5C6C">
        <w:rPr>
          <w:rFonts w:eastAsia="Times New Roman" w:cs="Arial"/>
          <w:color w:val="000000"/>
        </w:rPr>
        <w:t xml:space="preserve"> accommodation[s].”  (42</w:t>
      </w:r>
      <w:r w:rsidR="00832787">
        <w:rPr>
          <w:rFonts w:eastAsia="Times New Roman" w:cs="Arial"/>
          <w:color w:val="000000"/>
        </w:rPr>
        <w:t> </w:t>
      </w:r>
      <w:r w:rsidRPr="00DE5C6C">
        <w:rPr>
          <w:rFonts w:eastAsia="Times New Roman" w:cs="Arial"/>
          <w:color w:val="000000"/>
        </w:rPr>
        <w:t>U.S.C</w:t>
      </w:r>
      <w:r w:rsidRPr="00DE5C6C">
        <w:rPr>
          <w:rFonts w:eastAsia="Times New Roman" w:cs="Arial"/>
          <w:i/>
          <w:iCs/>
          <w:color w:val="000000"/>
        </w:rPr>
        <w:t xml:space="preserve"> </w:t>
      </w:r>
      <w:r w:rsidRPr="00DE5C6C">
        <w:t>§ </w:t>
      </w:r>
      <w:r w:rsidRPr="00DE5C6C">
        <w:rPr>
          <w:rFonts w:eastAsia="Times New Roman" w:cs="Arial"/>
          <w:color w:val="000000"/>
        </w:rPr>
        <w:t xml:space="preserve">12181, </w:t>
      </w:r>
      <w:proofErr w:type="spellStart"/>
      <w:r w:rsidRPr="00DE5C6C">
        <w:rPr>
          <w:rFonts w:eastAsia="Times New Roman" w:cs="Arial"/>
          <w:color w:val="000000"/>
        </w:rPr>
        <w:t>subd</w:t>
      </w:r>
      <w:proofErr w:type="spellEnd"/>
      <w:r w:rsidRPr="00DE5C6C">
        <w:rPr>
          <w:rFonts w:eastAsia="Times New Roman" w:cs="Arial"/>
          <w:color w:val="000000"/>
        </w:rPr>
        <w:t xml:space="preserve">. (7) [the “following </w:t>
      </w:r>
      <w:r w:rsidRPr="00DE5C6C">
        <w:rPr>
          <w:rFonts w:eastAsia="Times New Roman" w:cs="Arial"/>
          <w:i/>
          <w:iCs/>
          <w:color w:val="000000"/>
        </w:rPr>
        <w:t>private</w:t>
      </w:r>
      <w:r w:rsidRPr="00DE5C6C">
        <w:rPr>
          <w:rFonts w:eastAsia="Times New Roman" w:cs="Arial"/>
          <w:color w:val="000000"/>
        </w:rPr>
        <w:t xml:space="preserve"> entities are considered public accommodations,” italics added].)  These include, for example:  “an inn, hotel, motel, or other place of lodging,” “a restaurant, bar, or other establishment serving food or drink,” “a motion picture house, theater, concert hall, stadium, or other place of exhibition or entertainment,” “a bakery, grocery store, clothing store, hardware store, shopping center, or other sales or rental establishment,” “a gymnasium, health spa, bowling alley, golf course, or other place of exercise or recreation,” etc.  (</w:t>
      </w:r>
      <w:r w:rsidRPr="00DE5C6C">
        <w:rPr>
          <w:rFonts w:eastAsia="Times New Roman" w:cs="Arial"/>
          <w:i/>
          <w:iCs/>
          <w:color w:val="000000"/>
        </w:rPr>
        <w:t xml:space="preserve">Id. </w:t>
      </w:r>
      <w:r w:rsidRPr="00DE5C6C">
        <w:t>§</w:t>
      </w:r>
      <w:r w:rsidRPr="00DE5C6C">
        <w:rPr>
          <w:rFonts w:eastAsia="Times New Roman" w:cs="Arial"/>
          <w:color w:val="000000"/>
        </w:rPr>
        <w:t xml:space="preserve"> 12181, </w:t>
      </w:r>
      <w:proofErr w:type="spellStart"/>
      <w:r w:rsidRPr="00DE5C6C">
        <w:rPr>
          <w:rFonts w:eastAsia="Times New Roman" w:cs="Arial"/>
          <w:color w:val="000000"/>
        </w:rPr>
        <w:t>subd</w:t>
      </w:r>
      <w:proofErr w:type="spellEnd"/>
      <w:r w:rsidRPr="00DE5C6C">
        <w:rPr>
          <w:rFonts w:eastAsia="Times New Roman" w:cs="Arial"/>
          <w:color w:val="000000"/>
        </w:rPr>
        <w:t>. (7)(A)</w:t>
      </w:r>
      <w:r w:rsidR="00832787" w:rsidRPr="00E336A2">
        <w:rPr>
          <w:rFonts w:eastAsia="Times New Roman" w:cs="Arial"/>
          <w:color w:val="000000"/>
        </w:rPr>
        <w:t>–</w:t>
      </w:r>
      <w:r w:rsidRPr="00DE5C6C">
        <w:rPr>
          <w:rFonts w:eastAsia="Times New Roman" w:cs="Arial"/>
          <w:color w:val="000000"/>
        </w:rPr>
        <w:t xml:space="preserve">(C), (E), (L).)  Also included in this list of private entities is “a nursery, elementary, secondary, undergraduate, or postgraduate </w:t>
      </w:r>
      <w:r w:rsidRPr="006F4EF9">
        <w:rPr>
          <w:rFonts w:eastAsia="Times New Roman" w:cs="Arial"/>
          <w:i/>
          <w:iCs/>
          <w:color w:val="000000"/>
        </w:rPr>
        <w:t>private</w:t>
      </w:r>
      <w:r w:rsidRPr="00DE5C6C">
        <w:rPr>
          <w:rFonts w:eastAsia="Times New Roman" w:cs="Arial"/>
          <w:color w:val="000000"/>
        </w:rPr>
        <w:t xml:space="preserve"> school, or other place of education.”  (</w:t>
      </w:r>
      <w:r w:rsidRPr="00DE5C6C">
        <w:rPr>
          <w:rFonts w:eastAsia="Times New Roman" w:cs="Arial"/>
          <w:i/>
          <w:iCs/>
          <w:color w:val="000000"/>
        </w:rPr>
        <w:t xml:space="preserve">Id., </w:t>
      </w:r>
      <w:proofErr w:type="spellStart"/>
      <w:r w:rsidRPr="00DE5C6C">
        <w:rPr>
          <w:rFonts w:eastAsia="Times New Roman" w:cs="Arial"/>
          <w:color w:val="000000"/>
        </w:rPr>
        <w:t>subd</w:t>
      </w:r>
      <w:proofErr w:type="spellEnd"/>
      <w:r w:rsidRPr="00DE5C6C">
        <w:rPr>
          <w:rFonts w:eastAsia="Times New Roman" w:cs="Arial"/>
          <w:color w:val="000000"/>
        </w:rPr>
        <w:t>. (7)(J)</w:t>
      </w:r>
      <w:r w:rsidR="006F4EF9">
        <w:rPr>
          <w:rFonts w:eastAsia="Times New Roman" w:cs="Arial"/>
          <w:color w:val="000000"/>
        </w:rPr>
        <w:t>, italics added</w:t>
      </w:r>
      <w:r w:rsidRPr="00DE5C6C">
        <w:rPr>
          <w:rFonts w:eastAsia="Times New Roman" w:cs="Arial"/>
          <w:color w:val="000000"/>
        </w:rPr>
        <w:t>.)</w:t>
      </w:r>
    </w:p>
  </w:footnote>
  <w:footnote w:id="12">
    <w:p w14:paraId="41E0CF26" w14:textId="77777777" w:rsidR="00BD66EC" w:rsidRDefault="00BD66EC" w:rsidP="00866DDA">
      <w:pPr>
        <w:pStyle w:val="FootnoteText"/>
        <w:spacing w:after="120"/>
        <w:ind w:firstLine="720"/>
      </w:pPr>
      <w:r w:rsidRPr="00DE5C6C">
        <w:rPr>
          <w:rStyle w:val="FootnoteReference"/>
        </w:rPr>
        <w:footnoteRef/>
      </w:r>
      <w:r w:rsidRPr="00DE5C6C">
        <w:t xml:space="preserve">  The language was not placed in a separate subdivision, unchanged, until 2000.  (Civ. Code, § 51, Stats. 2000, </w:t>
      </w:r>
      <w:proofErr w:type="spellStart"/>
      <w:r w:rsidRPr="00DE5C6C">
        <w:t>ch.</w:t>
      </w:r>
      <w:proofErr w:type="spellEnd"/>
      <w:r w:rsidRPr="00DE5C6C">
        <w:t xml:space="preserve"> 1049, § 2.)</w:t>
      </w:r>
      <w:r>
        <w:t xml:space="preserve"> </w:t>
      </w:r>
    </w:p>
  </w:footnote>
  <w:footnote w:id="13">
    <w:p w14:paraId="6877B2CE" w14:textId="77777777" w:rsidR="00BD66EC" w:rsidRDefault="00BD66EC" w:rsidP="00866DDA">
      <w:pPr>
        <w:pStyle w:val="FootnoteText"/>
        <w:spacing w:after="120"/>
        <w:ind w:firstLine="720"/>
      </w:pPr>
      <w:r>
        <w:rPr>
          <w:rStyle w:val="FootnoteReference"/>
        </w:rPr>
        <w:footnoteRef/>
      </w:r>
      <w:r>
        <w:t xml:space="preserve">  </w:t>
      </w:r>
      <w:bookmarkStart w:id="2" w:name="_Hlk55806161"/>
      <w:r w:rsidRPr="00462F49">
        <w:t>Many of the statutes comprising the Fair Employment and Housing Act (FEHA) (Gov. Code, § 12900 et seq.) were also amended as part of this omnibus legislation to make its employment antidiscrimination provisions consistent with the ADA.  (</w:t>
      </w:r>
      <w:r w:rsidR="002F1E20" w:rsidRPr="00462F49">
        <w:t xml:space="preserve">Legis. Counsel’s Dig., </w:t>
      </w:r>
      <w:r w:rsidR="00462F49" w:rsidRPr="00462F49">
        <w:t xml:space="preserve">Assem. Bill </w:t>
      </w:r>
      <w:r w:rsidR="00377E46">
        <w:t xml:space="preserve">No. </w:t>
      </w:r>
      <w:r w:rsidR="00462F49" w:rsidRPr="00462F49">
        <w:t xml:space="preserve">1077 </w:t>
      </w:r>
      <w:r w:rsidR="00462F49" w:rsidRPr="00462F49">
        <w:rPr>
          <w:rFonts w:eastAsia="Times New Roman" w:cs="Arial"/>
          <w:color w:val="000000"/>
        </w:rPr>
        <w:t>(1991</w:t>
      </w:r>
      <w:r w:rsidR="00377E46" w:rsidRPr="00E336A2">
        <w:rPr>
          <w:rFonts w:eastAsia="Times New Roman" w:cs="Arial"/>
          <w:color w:val="000000"/>
        </w:rPr>
        <w:t>–</w:t>
      </w:r>
      <w:r w:rsidR="00462F49" w:rsidRPr="00462F49">
        <w:rPr>
          <w:rFonts w:eastAsia="Times New Roman" w:cs="Arial"/>
          <w:color w:val="000000"/>
        </w:rPr>
        <w:t xml:space="preserve">1992 Reg. Sess.) </w:t>
      </w:r>
      <w:r w:rsidRPr="00462F49">
        <w:t xml:space="preserve">1992 Stats. </w:t>
      </w:r>
      <w:proofErr w:type="spellStart"/>
      <w:r w:rsidRPr="00462F49">
        <w:t>ch.</w:t>
      </w:r>
      <w:proofErr w:type="spellEnd"/>
      <w:r w:rsidRPr="00462F49">
        <w:t xml:space="preserve"> 913,</w:t>
      </w:r>
      <w:r w:rsidR="00462F49" w:rsidRPr="00462F49">
        <w:t xml:space="preserve"> </w:t>
      </w:r>
      <w:proofErr w:type="spellStart"/>
      <w:r w:rsidRPr="00462F49">
        <w:t>subd</w:t>
      </w:r>
      <w:proofErr w:type="spellEnd"/>
      <w:r w:rsidRPr="00462F49">
        <w:t>. (15)</w:t>
      </w:r>
      <w:r w:rsidR="00462F49" w:rsidRPr="00462F49">
        <w:t>, p. 380</w:t>
      </w:r>
      <w:r w:rsidRPr="00462F49">
        <w:t>.)</w:t>
      </w:r>
      <w:r>
        <w:t xml:space="preserve"> </w:t>
      </w:r>
      <w:bookmarkEnd w:id="2"/>
      <w:r>
        <w:t xml:space="preserve"> </w:t>
      </w:r>
    </w:p>
  </w:footnote>
  <w:footnote w:id="14">
    <w:p w14:paraId="5313660C" w14:textId="77777777" w:rsidR="00BD66EC" w:rsidRPr="0058791C" w:rsidRDefault="00BD66EC" w:rsidP="00866DDA">
      <w:pPr>
        <w:pStyle w:val="FootnoteText"/>
        <w:spacing w:after="120"/>
        <w:ind w:firstLine="720"/>
        <w:rPr>
          <w:szCs w:val="26"/>
        </w:rPr>
      </w:pPr>
      <w:r w:rsidRPr="009F4BDD">
        <w:rPr>
          <w:rStyle w:val="FootnoteReference"/>
          <w:szCs w:val="26"/>
        </w:rPr>
        <w:footnoteRef/>
      </w:r>
      <w:r w:rsidRPr="009F4BDD">
        <w:rPr>
          <w:szCs w:val="26"/>
        </w:rPr>
        <w:t xml:space="preserve">  </w:t>
      </w:r>
      <w:r w:rsidRPr="009F4BDD">
        <w:rPr>
          <w:rFonts w:eastAsia="Times New Roman" w:cs="Arial"/>
          <w:color w:val="000000"/>
          <w:szCs w:val="26"/>
        </w:rPr>
        <w:t>As we have discussed, at this point in the legislative process, as throughout nearly the entirety of the process, the proposed language included the phrase “a violation of the right of any individual under the [ADA]</w:t>
      </w:r>
      <w:r w:rsidR="00B1101E" w:rsidRPr="009F4BDD">
        <w:rPr>
          <w:rFonts w:eastAsia="Times New Roman" w:cs="Arial"/>
          <w:color w:val="000000"/>
          <w:szCs w:val="26"/>
        </w:rPr>
        <w:t xml:space="preserve"> . . .</w:t>
      </w:r>
      <w:r w:rsidRPr="009F4BDD">
        <w:rPr>
          <w:rFonts w:eastAsia="Times New Roman" w:cs="Arial"/>
          <w:color w:val="000000"/>
          <w:szCs w:val="26"/>
        </w:rPr>
        <w:t xml:space="preserve"> with respect to public accommodations subject thereto</w:t>
      </w:r>
      <w:r w:rsidR="00B1101E" w:rsidRPr="009F4BDD">
        <w:rPr>
          <w:rFonts w:eastAsia="Times New Roman" w:cs="Arial"/>
          <w:color w:val="000000"/>
          <w:szCs w:val="26"/>
        </w:rPr>
        <w:t xml:space="preserve">. . . </w:t>
      </w:r>
      <w:r w:rsidRPr="009F4BDD">
        <w:rPr>
          <w:rFonts w:eastAsia="Times New Roman" w:cs="Arial"/>
          <w:color w:val="000000"/>
          <w:szCs w:val="26"/>
        </w:rPr>
        <w:t xml:space="preserve">.”  </w:t>
      </w:r>
      <w:r w:rsidRPr="009F4BDD">
        <w:rPr>
          <w:rFonts w:eastAsia="Times New Roman" w:cs="Arial"/>
          <w:color w:val="000000"/>
        </w:rPr>
        <w:t>(Assem. Bill No. 1077</w:t>
      </w:r>
      <w:r w:rsidR="00377E46">
        <w:rPr>
          <w:rFonts w:eastAsia="Times New Roman" w:cs="Arial"/>
          <w:color w:val="000000"/>
        </w:rPr>
        <w:t xml:space="preserve"> </w:t>
      </w:r>
      <w:r w:rsidR="00B1101E" w:rsidRPr="009F4BDD">
        <w:rPr>
          <w:rFonts w:eastAsia="Times New Roman" w:cs="Arial"/>
          <w:color w:val="000000"/>
        </w:rPr>
        <w:t xml:space="preserve">(1991–1992 Reg. Sess.) </w:t>
      </w:r>
      <w:r w:rsidRPr="009F4BDD">
        <w:rPr>
          <w:rFonts w:eastAsia="Times New Roman" w:cs="Arial"/>
          <w:color w:val="000000"/>
        </w:rPr>
        <w:t>as amend</w:t>
      </w:r>
      <w:r w:rsidR="00832787">
        <w:rPr>
          <w:rFonts w:eastAsia="Times New Roman" w:cs="Arial"/>
          <w:color w:val="000000"/>
        </w:rPr>
        <w:t>ed</w:t>
      </w:r>
      <w:r w:rsidRPr="009F4BDD">
        <w:rPr>
          <w:rFonts w:eastAsia="Times New Roman" w:cs="Arial"/>
          <w:color w:val="000000"/>
        </w:rPr>
        <w:t xml:space="preserve"> </w:t>
      </w:r>
      <w:r w:rsidR="00B1101E" w:rsidRPr="009F4BDD">
        <w:rPr>
          <w:rFonts w:eastAsia="Times New Roman" w:cs="Arial"/>
          <w:color w:val="000000"/>
        </w:rPr>
        <w:t>Apr</w:t>
      </w:r>
      <w:r w:rsidR="00832787">
        <w:rPr>
          <w:rFonts w:eastAsia="Times New Roman" w:cs="Arial"/>
          <w:color w:val="000000"/>
        </w:rPr>
        <w:t>.</w:t>
      </w:r>
      <w:r w:rsidR="00B1101E" w:rsidRPr="009F4BDD">
        <w:rPr>
          <w:rFonts w:eastAsia="Times New Roman" w:cs="Arial"/>
          <w:color w:val="000000"/>
        </w:rPr>
        <w:t xml:space="preserve"> 18, 1991</w:t>
      </w:r>
      <w:r w:rsidRPr="009F4BDD">
        <w:rPr>
          <w:rFonts w:eastAsia="Times New Roman" w:cs="Arial"/>
          <w:color w:val="000000"/>
        </w:rPr>
        <w:t xml:space="preserve">, </w:t>
      </w:r>
      <w:r w:rsidR="008A7AB1" w:rsidRPr="00CC12A4">
        <w:rPr>
          <w:rFonts w:eastAsia="Times New Roman" w:cs="Arial"/>
          <w:color w:val="000000"/>
        </w:rPr>
        <w:t>§</w:t>
      </w:r>
      <w:r w:rsidRPr="009F4BDD">
        <w:rPr>
          <w:rFonts w:eastAsia="Times New Roman" w:cs="Arial"/>
          <w:color w:val="000000"/>
        </w:rPr>
        <w:t xml:space="preserve"> 2; Assem. Bill No 1077</w:t>
      </w:r>
      <w:r w:rsidR="00377E46">
        <w:rPr>
          <w:rFonts w:eastAsia="Times New Roman" w:cs="Arial"/>
          <w:color w:val="000000"/>
        </w:rPr>
        <w:t xml:space="preserve"> </w:t>
      </w:r>
      <w:r w:rsidR="00B1101E" w:rsidRPr="009F4BDD">
        <w:rPr>
          <w:rFonts w:eastAsia="Times New Roman" w:cs="Arial"/>
          <w:color w:val="000000"/>
        </w:rPr>
        <w:t xml:space="preserve">(1991–1992 Reg. Sess.) </w:t>
      </w:r>
      <w:r w:rsidRPr="009F4BDD">
        <w:rPr>
          <w:rFonts w:eastAsia="Times New Roman" w:cs="Arial"/>
          <w:color w:val="000000"/>
        </w:rPr>
        <w:t>as amend</w:t>
      </w:r>
      <w:r w:rsidR="00832787">
        <w:rPr>
          <w:rFonts w:eastAsia="Times New Roman" w:cs="Arial"/>
          <w:color w:val="000000"/>
        </w:rPr>
        <w:t>ed</w:t>
      </w:r>
      <w:r w:rsidRPr="009F4BDD">
        <w:rPr>
          <w:rFonts w:eastAsia="Times New Roman" w:cs="Arial"/>
          <w:color w:val="000000"/>
        </w:rPr>
        <w:t xml:space="preserve"> </w:t>
      </w:r>
      <w:r w:rsidR="00B1101E" w:rsidRPr="009F4BDD">
        <w:rPr>
          <w:rFonts w:eastAsia="Times New Roman" w:cs="Arial"/>
          <w:color w:val="000000"/>
        </w:rPr>
        <w:t xml:space="preserve">July </w:t>
      </w:r>
      <w:r w:rsidRPr="009F4BDD">
        <w:rPr>
          <w:rFonts w:eastAsia="Times New Roman" w:cs="Arial"/>
          <w:color w:val="000000"/>
        </w:rPr>
        <w:t>6</w:t>
      </w:r>
      <w:r w:rsidR="00B1101E" w:rsidRPr="009F4BDD">
        <w:rPr>
          <w:rFonts w:eastAsia="Times New Roman" w:cs="Arial"/>
          <w:color w:val="000000"/>
        </w:rPr>
        <w:t>, 19</w:t>
      </w:r>
      <w:r w:rsidRPr="009F4BDD">
        <w:rPr>
          <w:rFonts w:eastAsia="Times New Roman" w:cs="Arial"/>
          <w:color w:val="000000"/>
        </w:rPr>
        <w:t xml:space="preserve">92, </w:t>
      </w:r>
      <w:r w:rsidR="008A7AB1" w:rsidRPr="00CC12A4">
        <w:rPr>
          <w:rFonts w:eastAsia="Times New Roman" w:cs="Arial"/>
          <w:color w:val="000000"/>
        </w:rPr>
        <w:t>§</w:t>
      </w:r>
      <w:r w:rsidR="008A7AB1">
        <w:rPr>
          <w:rFonts w:eastAsia="Times New Roman" w:cs="Arial"/>
          <w:color w:val="000000"/>
        </w:rPr>
        <w:t xml:space="preserve"> </w:t>
      </w:r>
      <w:r w:rsidRPr="009F4BDD">
        <w:rPr>
          <w:rFonts w:eastAsia="Times New Roman" w:cs="Arial"/>
          <w:color w:val="000000"/>
        </w:rPr>
        <w:t>3.)</w:t>
      </w:r>
      <w:r>
        <w:rPr>
          <w:rFonts w:eastAsia="Times New Roman" w:cs="Arial"/>
          <w:color w:val="000000"/>
          <w:szCs w:val="26"/>
        </w:rPr>
        <w:t xml:space="preserve"> </w:t>
      </w:r>
      <w:r w:rsidRPr="0058791C">
        <w:rPr>
          <w:szCs w:val="26"/>
        </w:rPr>
        <w:t xml:space="preserve"> </w:t>
      </w:r>
    </w:p>
  </w:footnote>
  <w:footnote w:id="15">
    <w:p w14:paraId="2A3EB2B4" w14:textId="77777777" w:rsidR="00BD66EC" w:rsidRDefault="00BD66EC" w:rsidP="00866DDA">
      <w:pPr>
        <w:shd w:val="clear" w:color="auto" w:fill="FFFFFF"/>
        <w:spacing w:after="120" w:line="240" w:lineRule="auto"/>
      </w:pPr>
      <w:r>
        <w:tab/>
      </w:r>
      <w:r w:rsidRPr="009F4BDD">
        <w:rPr>
          <w:rStyle w:val="FootnoteReference"/>
        </w:rPr>
        <w:footnoteRef/>
      </w:r>
      <w:r w:rsidRPr="009F4BDD">
        <w:t xml:space="preserve">  The entirety of the circuit court’s analysis of the Unruh Act claim was as follows: </w:t>
      </w:r>
      <w:r w:rsidR="00F53B13" w:rsidRPr="009F4BDD">
        <w:t xml:space="preserve"> </w:t>
      </w:r>
      <w:r w:rsidRPr="009F4BDD">
        <w:t>“</w:t>
      </w:r>
      <w:r w:rsidRPr="009F4BDD">
        <w:rPr>
          <w:rFonts w:eastAsia="Times New Roman" w:cs="Arial"/>
          <w:color w:val="000000"/>
        </w:rPr>
        <w:t xml:space="preserve">A violation of the ADA constitutes a violation of the California DPA. Cal. Civ. Code, § 54.1(d). </w:t>
      </w:r>
      <w:r w:rsidR="00174EEF" w:rsidRPr="009F4BDD">
        <w:rPr>
          <w:rFonts w:eastAsia="Times New Roman" w:cs="Arial"/>
          <w:color w:val="000000"/>
        </w:rPr>
        <w:t xml:space="preserve"> </w:t>
      </w:r>
      <w:r w:rsidRPr="009F4BDD">
        <w:rPr>
          <w:rFonts w:eastAsia="Times New Roman" w:cs="Arial"/>
          <w:color w:val="000000"/>
        </w:rPr>
        <w:t xml:space="preserve">Similarly, a violation of the ADA constitutes a violation of the Unruh Act. </w:t>
      </w:r>
      <w:r w:rsidR="00174EEF" w:rsidRPr="009F4BDD">
        <w:rPr>
          <w:rFonts w:eastAsia="Times New Roman" w:cs="Arial"/>
          <w:color w:val="000000"/>
        </w:rPr>
        <w:t xml:space="preserve"> </w:t>
      </w:r>
      <w:r w:rsidRPr="009F4BDD">
        <w:rPr>
          <w:rFonts w:eastAsia="Times New Roman" w:cs="Arial"/>
          <w:color w:val="000000"/>
        </w:rPr>
        <w:t>Cal. Civ. Code, § 51(f); see</w:t>
      </w:r>
      <w:r w:rsidRPr="009F4BDD">
        <w:rPr>
          <w:rFonts w:eastAsia="Times New Roman" w:cs="Arial"/>
          <w:i/>
          <w:iCs/>
          <w:color w:val="000000"/>
        </w:rPr>
        <w:t xml:space="preserve"> Munson v. Del Taco, Inc.,</w:t>
      </w:r>
      <w:r w:rsidRPr="009F4BDD">
        <w:rPr>
          <w:rFonts w:eastAsia="Times New Roman" w:cs="Arial"/>
          <w:color w:val="000000"/>
        </w:rPr>
        <w:t xml:space="preserve"> 46 Cal.4th 661</w:t>
      </w:r>
      <w:r w:rsidR="00174EEF" w:rsidRPr="009F4BDD">
        <w:rPr>
          <w:rFonts w:eastAsia="Times New Roman" w:cs="Arial"/>
          <w:color w:val="000000"/>
        </w:rPr>
        <w:t xml:space="preserve"> . . . </w:t>
      </w:r>
      <w:r w:rsidRPr="009F4BDD">
        <w:rPr>
          <w:rFonts w:eastAsia="Times New Roman" w:cs="Arial"/>
          <w:color w:val="000000"/>
        </w:rPr>
        <w:t>(holding that no showing of intentional discrimination is required to state an Unruh Act claim on the basis of an ADA violation).  Because the City is not entitled to summary judgment on Cohen’s ADA claim, the district court erred by granting summary judgment for the City on Cohen’s claims under the DPA and the Unruh Act.”  (</w:t>
      </w:r>
      <w:r w:rsidRPr="009F4BDD">
        <w:rPr>
          <w:rFonts w:eastAsia="Times New Roman" w:cs="Arial"/>
          <w:i/>
          <w:iCs/>
          <w:color w:val="000000"/>
        </w:rPr>
        <w:t xml:space="preserve">Cohen, supra, </w:t>
      </w:r>
      <w:r w:rsidRPr="009F4BDD">
        <w:rPr>
          <w:rFonts w:eastAsia="Times New Roman" w:cs="Arial"/>
          <w:color w:val="000000"/>
        </w:rPr>
        <w:t>754 F.3d at p. 701.)</w:t>
      </w:r>
    </w:p>
  </w:footnote>
  <w:footnote w:id="16">
    <w:p w14:paraId="425A5CC9" w14:textId="77777777" w:rsidR="00BD66EC" w:rsidRPr="009F4BDD" w:rsidRDefault="00BD66EC" w:rsidP="004927E0">
      <w:pPr>
        <w:pStyle w:val="FootnoteText"/>
        <w:spacing w:after="120"/>
        <w:ind w:firstLine="720"/>
      </w:pPr>
      <w:r w:rsidRPr="009F4BDD">
        <w:rPr>
          <w:rStyle w:val="FootnoteReference"/>
        </w:rPr>
        <w:footnoteRef/>
      </w:r>
      <w:r w:rsidRPr="009F4BDD">
        <w:t xml:space="preserve">  </w:t>
      </w:r>
      <w:r w:rsidRPr="009F4BDD">
        <w:rPr>
          <w:rFonts w:eastAsia="Times New Roman" w:cs="Arial"/>
          <w:color w:val="000000"/>
        </w:rPr>
        <w:t xml:space="preserve">The entirety of the circuit court’s reasoning appeared in a footnote, stating: </w:t>
      </w:r>
      <w:r w:rsidR="00174EEF" w:rsidRPr="009F4BDD">
        <w:rPr>
          <w:rFonts w:eastAsia="Times New Roman" w:cs="Arial"/>
          <w:color w:val="000000"/>
        </w:rPr>
        <w:t xml:space="preserve"> </w:t>
      </w:r>
      <w:r w:rsidRPr="009F4BDD">
        <w:rPr>
          <w:rFonts w:eastAsia="Times New Roman" w:cs="Arial"/>
          <w:color w:val="000000"/>
          <w:szCs w:val="26"/>
        </w:rPr>
        <w:t xml:space="preserve">“Under California law, </w:t>
      </w:r>
      <w:r w:rsidR="00174EEF" w:rsidRPr="009F4BDD">
        <w:rPr>
          <w:rFonts w:eastAsia="Times New Roman" w:cs="Arial"/>
          <w:color w:val="000000"/>
          <w:szCs w:val="26"/>
        </w:rPr>
        <w:t>‘</w:t>
      </w:r>
      <w:r w:rsidRPr="009F4BDD">
        <w:rPr>
          <w:rFonts w:eastAsia="Times New Roman" w:cs="Arial"/>
          <w:color w:val="000000"/>
          <w:szCs w:val="26"/>
        </w:rPr>
        <w:t xml:space="preserve">a violation of the ADA is, </w:t>
      </w:r>
      <w:r w:rsidRPr="009F4BDD">
        <w:rPr>
          <w:rFonts w:eastAsia="Times New Roman" w:cs="Arial"/>
          <w:i/>
          <w:iCs/>
          <w:color w:val="000000"/>
          <w:szCs w:val="26"/>
        </w:rPr>
        <w:t>per se,</w:t>
      </w:r>
      <w:r w:rsidRPr="009F4BDD">
        <w:rPr>
          <w:rFonts w:eastAsia="Times New Roman" w:cs="Arial"/>
          <w:color w:val="000000"/>
          <w:szCs w:val="26"/>
        </w:rPr>
        <w:t xml:space="preserve"> a violation of the Unruh Act.</w:t>
      </w:r>
      <w:r w:rsidR="00174EEF" w:rsidRPr="009F4BDD">
        <w:rPr>
          <w:rFonts w:eastAsia="Times New Roman" w:cs="Arial"/>
          <w:color w:val="000000"/>
          <w:szCs w:val="26"/>
        </w:rPr>
        <w:t>’</w:t>
      </w:r>
      <w:r w:rsidRPr="009F4BDD">
        <w:rPr>
          <w:rFonts w:eastAsia="Times New Roman" w:cs="Arial"/>
          <w:color w:val="000000"/>
          <w:szCs w:val="26"/>
        </w:rPr>
        <w:t xml:space="preserve"> </w:t>
      </w:r>
      <w:r w:rsidRPr="009F4BDD">
        <w:rPr>
          <w:rFonts w:eastAsia="Times New Roman" w:cs="Arial"/>
          <w:noProof/>
          <w:vanish/>
          <w:color w:val="000000"/>
          <w:szCs w:val="26"/>
          <w:shd w:val="clear" w:color="auto" w:fill="FFFFFF"/>
        </w:rPr>
        <w:t xml:space="preserve"> </w:t>
      </w:r>
      <w:proofErr w:type="spellStart"/>
      <w:r w:rsidRPr="009F4BDD">
        <w:rPr>
          <w:rFonts w:eastAsia="Times New Roman" w:cs="Arial"/>
          <w:i/>
          <w:iCs/>
          <w:color w:val="000000"/>
          <w:szCs w:val="26"/>
        </w:rPr>
        <w:t>Lentini</w:t>
      </w:r>
      <w:proofErr w:type="spellEnd"/>
      <w:r w:rsidRPr="009F4BDD">
        <w:rPr>
          <w:rFonts w:eastAsia="Times New Roman" w:cs="Arial"/>
          <w:i/>
          <w:iCs/>
          <w:color w:val="000000"/>
          <w:szCs w:val="26"/>
        </w:rPr>
        <w:t xml:space="preserve"> v. Calif. Ctr. for the Arts,</w:t>
      </w:r>
      <w:r w:rsidRPr="009F4BDD">
        <w:rPr>
          <w:rFonts w:eastAsia="Times New Roman" w:cs="Arial"/>
          <w:color w:val="000000"/>
          <w:szCs w:val="26"/>
        </w:rPr>
        <w:t xml:space="preserve"> 370 F.3d 837, 847 (9th Cir. 2004).</w:t>
      </w:r>
      <w:r w:rsidR="00174EEF" w:rsidRPr="009F4BDD">
        <w:rPr>
          <w:rFonts w:eastAsia="Times New Roman" w:cs="Arial"/>
          <w:color w:val="000000"/>
          <w:szCs w:val="26"/>
        </w:rPr>
        <w:t xml:space="preserve"> </w:t>
      </w:r>
      <w:r w:rsidRPr="009F4BDD">
        <w:rPr>
          <w:rFonts w:eastAsia="Times New Roman" w:cs="Arial"/>
          <w:color w:val="000000"/>
          <w:szCs w:val="26"/>
        </w:rPr>
        <w:t xml:space="preserve"> We therefore do not discuss K.M.</w:t>
      </w:r>
      <w:r w:rsidR="00F902FE" w:rsidRPr="009F4BDD">
        <w:rPr>
          <w:rFonts w:eastAsia="Times New Roman" w:cs="Arial"/>
          <w:color w:val="000000"/>
          <w:szCs w:val="26"/>
        </w:rPr>
        <w:t>’</w:t>
      </w:r>
      <w:r w:rsidRPr="009F4BDD">
        <w:rPr>
          <w:rFonts w:eastAsia="Times New Roman" w:cs="Arial"/>
          <w:color w:val="000000"/>
          <w:szCs w:val="26"/>
        </w:rPr>
        <w:t>s Unruh Act claim separately from her ADA claim.”  (</w:t>
      </w:r>
      <w:r w:rsidRPr="009F4BDD">
        <w:rPr>
          <w:rFonts w:eastAsia="Times New Roman" w:cs="Arial"/>
          <w:i/>
          <w:iCs/>
          <w:color w:val="000000"/>
          <w:szCs w:val="26"/>
        </w:rPr>
        <w:t>K.M.,</w:t>
      </w:r>
      <w:r w:rsidRPr="009F4BDD">
        <w:rPr>
          <w:rFonts w:eastAsia="Times New Roman" w:cs="Arial"/>
          <w:i/>
          <w:iCs/>
          <w:color w:val="000000"/>
        </w:rPr>
        <w:t xml:space="preserve"> supra, </w:t>
      </w:r>
      <w:r w:rsidRPr="009F4BDD">
        <w:rPr>
          <w:rFonts w:eastAsia="Times New Roman" w:cs="Arial"/>
          <w:color w:val="000000"/>
        </w:rPr>
        <w:t xml:space="preserve">725 F.3d at </w:t>
      </w:r>
      <w:r w:rsidRPr="009F4BDD">
        <w:rPr>
          <w:rFonts w:eastAsia="Times New Roman" w:cs="Arial"/>
          <w:color w:val="000000"/>
          <w:szCs w:val="26"/>
        </w:rPr>
        <w:t>p. 1094, fn. 1</w:t>
      </w:r>
      <w:r w:rsidRPr="009F4BDD">
        <w:rPr>
          <w:rFonts w:eastAsia="Times New Roman" w:cs="Arial"/>
          <w:color w:val="000000"/>
        </w:rPr>
        <w:t>.</w:t>
      </w:r>
      <w:r w:rsidRPr="009F4BDD">
        <w:rPr>
          <w:rFonts w:eastAsia="Times New Roman" w:cs="Arial"/>
          <w:color w:val="000000"/>
          <w:szCs w:val="26"/>
        </w:rPr>
        <w:t>)</w:t>
      </w:r>
      <w:r w:rsidRPr="009F4BDD">
        <w:rPr>
          <w:rFonts w:eastAsia="Times New Roman" w:cs="Arial"/>
          <w:color w:val="000000"/>
        </w:rPr>
        <w:t xml:space="preserve">  </w:t>
      </w:r>
      <w:proofErr w:type="spellStart"/>
      <w:r w:rsidRPr="009F4BDD">
        <w:rPr>
          <w:rFonts w:eastAsia="Times New Roman" w:cs="Arial"/>
          <w:i/>
          <w:iCs/>
          <w:color w:val="000000"/>
          <w:szCs w:val="26"/>
        </w:rPr>
        <w:t>Lentini</w:t>
      </w:r>
      <w:proofErr w:type="spellEnd"/>
      <w:r w:rsidRPr="009F4BDD">
        <w:rPr>
          <w:rFonts w:eastAsia="Times New Roman" w:cs="Arial"/>
          <w:i/>
          <w:iCs/>
          <w:color w:val="000000"/>
        </w:rPr>
        <w:t xml:space="preserve">, </w:t>
      </w:r>
      <w:r w:rsidRPr="009F4BDD">
        <w:rPr>
          <w:rFonts w:eastAsia="Times New Roman" w:cs="Arial"/>
          <w:color w:val="000000"/>
        </w:rPr>
        <w:t xml:space="preserve">however, was a business establishment case brought by a wheelchair bound </w:t>
      </w:r>
      <w:r w:rsidRPr="009F4BDD">
        <w:rPr>
          <w:rFonts w:eastAsia="Times New Roman" w:cs="Arial"/>
          <w:color w:val="000000"/>
          <w:szCs w:val="26"/>
        </w:rPr>
        <w:t>patron</w:t>
      </w:r>
      <w:r w:rsidRPr="009F4BDD">
        <w:rPr>
          <w:rFonts w:eastAsia="Times New Roman" w:cs="Arial"/>
          <w:color w:val="000000"/>
        </w:rPr>
        <w:t xml:space="preserve"> who asserted c</w:t>
      </w:r>
      <w:r w:rsidRPr="009F4BDD">
        <w:rPr>
          <w:rFonts w:eastAsia="Times New Roman" w:cs="Arial"/>
          <w:color w:val="000000"/>
          <w:szCs w:val="26"/>
        </w:rPr>
        <w:t xml:space="preserve">laims under </w:t>
      </w:r>
      <w:r w:rsidRPr="009F4BDD">
        <w:rPr>
          <w:rFonts w:eastAsia="Times New Roman" w:cs="Arial"/>
          <w:i/>
          <w:iCs/>
          <w:color w:val="000000"/>
          <w:szCs w:val="26"/>
        </w:rPr>
        <w:t>Title III</w:t>
      </w:r>
      <w:r w:rsidRPr="009F4BDD">
        <w:rPr>
          <w:rFonts w:eastAsia="Times New Roman" w:cs="Arial"/>
          <w:b/>
          <w:bCs/>
          <w:color w:val="000000"/>
          <w:szCs w:val="26"/>
        </w:rPr>
        <w:t xml:space="preserve"> </w:t>
      </w:r>
      <w:r w:rsidRPr="009F4BDD">
        <w:rPr>
          <w:rFonts w:eastAsia="Times New Roman" w:cs="Arial"/>
          <w:color w:val="000000"/>
          <w:szCs w:val="26"/>
        </w:rPr>
        <w:t>of the ADA and the Unruh Act.</w:t>
      </w:r>
      <w:r w:rsidRPr="009F4BDD">
        <w:rPr>
          <w:rFonts w:eastAsia="Times New Roman" w:cs="Arial"/>
          <w:color w:val="000000"/>
        </w:rPr>
        <w:t xml:space="preserve"> (</w:t>
      </w:r>
      <w:proofErr w:type="spellStart"/>
      <w:r w:rsidRPr="009F4BDD">
        <w:rPr>
          <w:rFonts w:eastAsia="Times New Roman" w:cs="Arial"/>
          <w:i/>
          <w:iCs/>
          <w:color w:val="000000"/>
          <w:szCs w:val="26"/>
        </w:rPr>
        <w:t>Lentini</w:t>
      </w:r>
      <w:proofErr w:type="spellEnd"/>
      <w:r w:rsidRPr="009F4BDD">
        <w:rPr>
          <w:rFonts w:eastAsia="Times New Roman" w:cs="Arial"/>
          <w:i/>
          <w:iCs/>
          <w:color w:val="000000"/>
          <w:szCs w:val="26"/>
        </w:rPr>
        <w:t xml:space="preserve"> v. Calif. Ctr. for the Arts,</w:t>
      </w:r>
      <w:r w:rsidRPr="009F4BDD">
        <w:rPr>
          <w:rFonts w:eastAsia="Times New Roman" w:cs="Arial"/>
          <w:color w:val="000000"/>
        </w:rPr>
        <w:t xml:space="preserve"> at pp. 840</w:t>
      </w:r>
      <w:r w:rsidR="00377E46" w:rsidRPr="009F4BDD">
        <w:rPr>
          <w:rFonts w:eastAsia="Times New Roman" w:cs="Arial"/>
          <w:color w:val="000000"/>
        </w:rPr>
        <w:t>–</w:t>
      </w:r>
      <w:r w:rsidRPr="009F4BDD">
        <w:rPr>
          <w:rFonts w:eastAsia="Times New Roman" w:cs="Arial"/>
          <w:color w:val="000000"/>
        </w:rPr>
        <w:t>841.)</w:t>
      </w:r>
      <w:r w:rsidRPr="009F4BDD">
        <w:t xml:space="preserve"> </w:t>
      </w:r>
    </w:p>
  </w:footnote>
  <w:footnote w:id="17">
    <w:p w14:paraId="1FA66A1B" w14:textId="77777777" w:rsidR="00BD66EC" w:rsidRDefault="00BD66EC" w:rsidP="00866DDA">
      <w:pPr>
        <w:pStyle w:val="FootnoteText"/>
        <w:spacing w:after="120"/>
        <w:ind w:firstLine="720"/>
      </w:pPr>
      <w:r w:rsidRPr="009F4BDD">
        <w:rPr>
          <w:rStyle w:val="FootnoteReference"/>
        </w:rPr>
        <w:footnoteRef/>
      </w:r>
      <w:r w:rsidRPr="009F4BDD">
        <w:t xml:space="preserve">  The school district challenged only the adequacy of the plaintiff’s showing on the merits of his state law claims.  (</w:t>
      </w:r>
      <w:r w:rsidRPr="009F4BDD">
        <w:rPr>
          <w:i/>
          <w:iCs/>
        </w:rPr>
        <w:t>Wagon, supra,</w:t>
      </w:r>
      <w:r w:rsidRPr="009F4BDD">
        <w:rPr>
          <w:rFonts w:eastAsia="Times New Roman" w:cs="Arial"/>
          <w:color w:val="000000"/>
        </w:rPr>
        <w:t xml:space="preserve"> 2019 WL 2577336</w:t>
      </w:r>
      <w:r w:rsidRPr="009F4BDD">
        <w:rPr>
          <w:i/>
          <w:iCs/>
        </w:rPr>
        <w:t xml:space="preserve"> </w:t>
      </w:r>
      <w:r w:rsidRPr="009F4BDD">
        <w:t>at *5.)  Thus, all the district court said in passing as to the applicability of the Unruh Act was:</w:t>
      </w:r>
      <w:r w:rsidR="00F902FE" w:rsidRPr="009F4BDD">
        <w:t xml:space="preserve"> </w:t>
      </w:r>
      <w:r w:rsidRPr="009F4BDD">
        <w:t xml:space="preserve"> </w:t>
      </w:r>
      <w:r w:rsidRPr="009F4BDD">
        <w:rPr>
          <w:szCs w:val="26"/>
        </w:rPr>
        <w:t>“</w:t>
      </w:r>
      <w:r w:rsidRPr="009F4BDD">
        <w:rPr>
          <w:rFonts w:eastAsia="Times New Roman" w:cs="Arial"/>
          <w:color w:val="000000"/>
          <w:szCs w:val="26"/>
        </w:rPr>
        <w:t xml:space="preserve">In the disability context, California’s Unruh Civil Rights Act operates virtually identically to the ADA.  </w:t>
      </w:r>
      <w:proofErr w:type="spellStart"/>
      <w:r w:rsidRPr="009F4BDD">
        <w:rPr>
          <w:rFonts w:eastAsia="Times New Roman" w:cs="Arial"/>
          <w:i/>
          <w:iCs/>
          <w:color w:val="000000"/>
          <w:szCs w:val="26"/>
        </w:rPr>
        <w:t>Molski</w:t>
      </w:r>
      <w:proofErr w:type="spellEnd"/>
      <w:r w:rsidRPr="009F4BDD">
        <w:rPr>
          <w:rFonts w:eastAsia="Times New Roman" w:cs="Arial"/>
          <w:i/>
          <w:iCs/>
          <w:color w:val="000000"/>
          <w:szCs w:val="26"/>
        </w:rPr>
        <w:t xml:space="preserve"> v. M.J. Cable, Inc.</w:t>
      </w:r>
      <w:r w:rsidRPr="009F4BDD">
        <w:rPr>
          <w:rFonts w:eastAsia="Times New Roman" w:cs="Arial"/>
          <w:color w:val="000000"/>
          <w:szCs w:val="26"/>
        </w:rPr>
        <w:t xml:space="preserve">, 481 F.3d 724, 731 (9th Cir. 2007).  Thus, any violation of the ADA necessarily constitutes a violation of the Unruh Act. </w:t>
      </w:r>
      <w:r w:rsidR="00F902FE" w:rsidRPr="009F4BDD">
        <w:rPr>
          <w:rFonts w:eastAsia="Times New Roman" w:cs="Arial"/>
          <w:color w:val="000000"/>
          <w:szCs w:val="26"/>
        </w:rPr>
        <w:t xml:space="preserve"> </w:t>
      </w:r>
      <w:r w:rsidRPr="009F4BDD">
        <w:rPr>
          <w:rFonts w:eastAsia="Times New Roman" w:cs="Arial"/>
          <w:i/>
          <w:iCs/>
          <w:color w:val="000000"/>
          <w:szCs w:val="26"/>
        </w:rPr>
        <w:t>Id.</w:t>
      </w:r>
      <w:r w:rsidRPr="009F4BDD">
        <w:rPr>
          <w:rFonts w:eastAsia="Times New Roman" w:cs="Arial"/>
          <w:color w:val="000000"/>
          <w:szCs w:val="26"/>
        </w:rPr>
        <w:t>”</w:t>
      </w:r>
      <w:r w:rsidRPr="009F4BDD">
        <w:rPr>
          <w:rFonts w:eastAsia="Times New Roman" w:cs="Arial"/>
          <w:i/>
          <w:iCs/>
          <w:color w:val="000000"/>
          <w:szCs w:val="26"/>
        </w:rPr>
        <w:t xml:space="preserve">  </w:t>
      </w:r>
      <w:r w:rsidRPr="009F4BDD">
        <w:rPr>
          <w:rFonts w:eastAsia="Times New Roman" w:cs="Arial"/>
          <w:color w:val="000000"/>
          <w:szCs w:val="26"/>
        </w:rPr>
        <w:t>(</w:t>
      </w:r>
      <w:r w:rsidRPr="009F4BDD">
        <w:rPr>
          <w:rFonts w:eastAsia="Times New Roman" w:cs="Arial"/>
          <w:i/>
          <w:iCs/>
          <w:color w:val="000000"/>
          <w:szCs w:val="26"/>
        </w:rPr>
        <w:t xml:space="preserve">Wagon, </w:t>
      </w:r>
      <w:r w:rsidRPr="009F4BDD">
        <w:rPr>
          <w:rFonts w:eastAsia="Times New Roman" w:cs="Arial"/>
          <w:color w:val="000000"/>
          <w:szCs w:val="26"/>
        </w:rPr>
        <w:t xml:space="preserve">at *5.)  </w:t>
      </w:r>
      <w:proofErr w:type="spellStart"/>
      <w:r w:rsidRPr="009F4BDD">
        <w:rPr>
          <w:rFonts w:eastAsia="Times New Roman" w:cs="Arial"/>
          <w:i/>
          <w:iCs/>
          <w:color w:val="000000"/>
          <w:szCs w:val="26"/>
        </w:rPr>
        <w:t>Molski</w:t>
      </w:r>
      <w:proofErr w:type="spellEnd"/>
      <w:r w:rsidRPr="009F4BDD">
        <w:rPr>
          <w:rFonts w:eastAsia="Times New Roman" w:cs="Arial"/>
          <w:color w:val="000000"/>
          <w:szCs w:val="26"/>
        </w:rPr>
        <w:t>, however, was another business establishment case, by a patron against a restaurant.  (</w:t>
      </w:r>
      <w:proofErr w:type="spellStart"/>
      <w:r w:rsidRPr="009F4BDD">
        <w:rPr>
          <w:rFonts w:eastAsia="Times New Roman" w:cs="Arial"/>
          <w:i/>
          <w:iCs/>
          <w:color w:val="000000"/>
          <w:szCs w:val="26"/>
        </w:rPr>
        <w:t>Molski</w:t>
      </w:r>
      <w:proofErr w:type="spellEnd"/>
      <w:r w:rsidRPr="009F4BDD">
        <w:rPr>
          <w:rFonts w:eastAsia="Times New Roman" w:cs="Arial"/>
          <w:i/>
          <w:iCs/>
          <w:color w:val="000000"/>
          <w:szCs w:val="26"/>
        </w:rPr>
        <w:t xml:space="preserve"> v. M.J. Cable, Inc.</w:t>
      </w:r>
      <w:r w:rsidRPr="009F4BDD">
        <w:rPr>
          <w:rFonts w:eastAsia="Times New Roman" w:cs="Arial"/>
          <w:color w:val="000000"/>
          <w:szCs w:val="26"/>
        </w:rPr>
        <w:t>, at p. 727.)</w:t>
      </w:r>
      <w:r>
        <w:rPr>
          <w:rFonts w:eastAsia="Times New Roman" w:cs="Arial"/>
          <w:color w:val="000000"/>
          <w:szCs w:val="26"/>
        </w:rPr>
        <w:t xml:space="preserve">  </w:t>
      </w:r>
      <w:r w:rsidRPr="00920052">
        <w:rPr>
          <w:szCs w:val="26"/>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ADA"/>
    <w:multiLevelType w:val="hybridMultilevel"/>
    <w:tmpl w:val="4BBCCA84"/>
    <w:lvl w:ilvl="0" w:tplc="043AA310">
      <w:start w:val="1"/>
      <w:numFmt w:val="upperLetter"/>
      <w:lvlText w:val="%1."/>
      <w:lvlJc w:val="left"/>
      <w:pPr>
        <w:ind w:left="72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71"/>
    <w:rsid w:val="000006EC"/>
    <w:rsid w:val="00003037"/>
    <w:rsid w:val="00005244"/>
    <w:rsid w:val="00011063"/>
    <w:rsid w:val="00014B3A"/>
    <w:rsid w:val="00015E94"/>
    <w:rsid w:val="00017780"/>
    <w:rsid w:val="00017BF6"/>
    <w:rsid w:val="000239F4"/>
    <w:rsid w:val="0002790C"/>
    <w:rsid w:val="000311EC"/>
    <w:rsid w:val="00034B49"/>
    <w:rsid w:val="00034EB5"/>
    <w:rsid w:val="000357AA"/>
    <w:rsid w:val="000413C3"/>
    <w:rsid w:val="00044F7D"/>
    <w:rsid w:val="00045F34"/>
    <w:rsid w:val="00046AC6"/>
    <w:rsid w:val="000500B5"/>
    <w:rsid w:val="000542B8"/>
    <w:rsid w:val="00073658"/>
    <w:rsid w:val="0008207F"/>
    <w:rsid w:val="0008269C"/>
    <w:rsid w:val="000A768C"/>
    <w:rsid w:val="000A7962"/>
    <w:rsid w:val="000B61C6"/>
    <w:rsid w:val="000C5196"/>
    <w:rsid w:val="000C5528"/>
    <w:rsid w:val="000D4817"/>
    <w:rsid w:val="000D6271"/>
    <w:rsid w:val="000D6638"/>
    <w:rsid w:val="000E043A"/>
    <w:rsid w:val="000E25EB"/>
    <w:rsid w:val="000E3BBC"/>
    <w:rsid w:val="000E461A"/>
    <w:rsid w:val="000F12D9"/>
    <w:rsid w:val="000F41B2"/>
    <w:rsid w:val="000F45EE"/>
    <w:rsid w:val="000F594C"/>
    <w:rsid w:val="000F77F3"/>
    <w:rsid w:val="001036F1"/>
    <w:rsid w:val="00103C0A"/>
    <w:rsid w:val="001056FF"/>
    <w:rsid w:val="00105AAE"/>
    <w:rsid w:val="00106574"/>
    <w:rsid w:val="00106814"/>
    <w:rsid w:val="00110F16"/>
    <w:rsid w:val="00112DE4"/>
    <w:rsid w:val="0011505A"/>
    <w:rsid w:val="001154A6"/>
    <w:rsid w:val="0011720D"/>
    <w:rsid w:val="00121FC1"/>
    <w:rsid w:val="00124299"/>
    <w:rsid w:val="00125C0C"/>
    <w:rsid w:val="0012618B"/>
    <w:rsid w:val="00127212"/>
    <w:rsid w:val="00132B68"/>
    <w:rsid w:val="0014224C"/>
    <w:rsid w:val="00147B88"/>
    <w:rsid w:val="001505D3"/>
    <w:rsid w:val="001542DF"/>
    <w:rsid w:val="00154933"/>
    <w:rsid w:val="001558CD"/>
    <w:rsid w:val="001625B0"/>
    <w:rsid w:val="001662E1"/>
    <w:rsid w:val="00170D55"/>
    <w:rsid w:val="001729D8"/>
    <w:rsid w:val="0017397C"/>
    <w:rsid w:val="00174EEF"/>
    <w:rsid w:val="00175397"/>
    <w:rsid w:val="0017553D"/>
    <w:rsid w:val="001843A6"/>
    <w:rsid w:val="00192198"/>
    <w:rsid w:val="00195830"/>
    <w:rsid w:val="001A0B13"/>
    <w:rsid w:val="001A212D"/>
    <w:rsid w:val="001A71ED"/>
    <w:rsid w:val="001A7D23"/>
    <w:rsid w:val="001B0A10"/>
    <w:rsid w:val="001C0FC2"/>
    <w:rsid w:val="001C0FF3"/>
    <w:rsid w:val="001C36A2"/>
    <w:rsid w:val="001E495D"/>
    <w:rsid w:val="001E51DC"/>
    <w:rsid w:val="001F4F6D"/>
    <w:rsid w:val="001F5AB6"/>
    <w:rsid w:val="001F6006"/>
    <w:rsid w:val="002015EA"/>
    <w:rsid w:val="00204663"/>
    <w:rsid w:val="00206C52"/>
    <w:rsid w:val="002108E5"/>
    <w:rsid w:val="00210FC5"/>
    <w:rsid w:val="002130EB"/>
    <w:rsid w:val="00214447"/>
    <w:rsid w:val="00223C79"/>
    <w:rsid w:val="00226C43"/>
    <w:rsid w:val="002322FA"/>
    <w:rsid w:val="00240A1C"/>
    <w:rsid w:val="00240D42"/>
    <w:rsid w:val="002435C2"/>
    <w:rsid w:val="002445B5"/>
    <w:rsid w:val="002473B5"/>
    <w:rsid w:val="00250153"/>
    <w:rsid w:val="00250B05"/>
    <w:rsid w:val="002540A0"/>
    <w:rsid w:val="002559B5"/>
    <w:rsid w:val="0026584A"/>
    <w:rsid w:val="002707DD"/>
    <w:rsid w:val="0027361C"/>
    <w:rsid w:val="002743B9"/>
    <w:rsid w:val="00283A02"/>
    <w:rsid w:val="0028543C"/>
    <w:rsid w:val="0028792D"/>
    <w:rsid w:val="002909CC"/>
    <w:rsid w:val="0029159F"/>
    <w:rsid w:val="00291BD6"/>
    <w:rsid w:val="00292D71"/>
    <w:rsid w:val="002952A3"/>
    <w:rsid w:val="002A55CD"/>
    <w:rsid w:val="002A6AAE"/>
    <w:rsid w:val="002B28FB"/>
    <w:rsid w:val="002B43C6"/>
    <w:rsid w:val="002B4DBB"/>
    <w:rsid w:val="002B6374"/>
    <w:rsid w:val="002B6FBE"/>
    <w:rsid w:val="002C0736"/>
    <w:rsid w:val="002C0C7D"/>
    <w:rsid w:val="002C2381"/>
    <w:rsid w:val="002C288A"/>
    <w:rsid w:val="002C4913"/>
    <w:rsid w:val="002C49AA"/>
    <w:rsid w:val="002C7C87"/>
    <w:rsid w:val="002D5E2C"/>
    <w:rsid w:val="002D604E"/>
    <w:rsid w:val="002D6DF6"/>
    <w:rsid w:val="002D6E58"/>
    <w:rsid w:val="002E2D76"/>
    <w:rsid w:val="002E503B"/>
    <w:rsid w:val="002F1E20"/>
    <w:rsid w:val="002F1F45"/>
    <w:rsid w:val="002F30D6"/>
    <w:rsid w:val="002F52DA"/>
    <w:rsid w:val="002F6596"/>
    <w:rsid w:val="00300485"/>
    <w:rsid w:val="003029F9"/>
    <w:rsid w:val="00302E62"/>
    <w:rsid w:val="00303EFC"/>
    <w:rsid w:val="003079C3"/>
    <w:rsid w:val="00311882"/>
    <w:rsid w:val="0031538C"/>
    <w:rsid w:val="003160DD"/>
    <w:rsid w:val="0032234D"/>
    <w:rsid w:val="0032335B"/>
    <w:rsid w:val="003242D1"/>
    <w:rsid w:val="00332E0F"/>
    <w:rsid w:val="00337D07"/>
    <w:rsid w:val="003406CA"/>
    <w:rsid w:val="003461D0"/>
    <w:rsid w:val="00362C8F"/>
    <w:rsid w:val="003638B7"/>
    <w:rsid w:val="00366D07"/>
    <w:rsid w:val="0037683F"/>
    <w:rsid w:val="00377E46"/>
    <w:rsid w:val="00383F57"/>
    <w:rsid w:val="00385C6B"/>
    <w:rsid w:val="00395442"/>
    <w:rsid w:val="003976FD"/>
    <w:rsid w:val="003A3C4B"/>
    <w:rsid w:val="003A6A4B"/>
    <w:rsid w:val="003A6CD4"/>
    <w:rsid w:val="003A6F90"/>
    <w:rsid w:val="003B0395"/>
    <w:rsid w:val="003B2728"/>
    <w:rsid w:val="003B2FD1"/>
    <w:rsid w:val="003B3569"/>
    <w:rsid w:val="003B46D2"/>
    <w:rsid w:val="003B4BCC"/>
    <w:rsid w:val="003C4E16"/>
    <w:rsid w:val="003C4F9F"/>
    <w:rsid w:val="003D0900"/>
    <w:rsid w:val="003D1429"/>
    <w:rsid w:val="003D19C3"/>
    <w:rsid w:val="003D5CAB"/>
    <w:rsid w:val="003D5FD2"/>
    <w:rsid w:val="003D6FFE"/>
    <w:rsid w:val="003D72C8"/>
    <w:rsid w:val="003E536A"/>
    <w:rsid w:val="003E5D97"/>
    <w:rsid w:val="003F372D"/>
    <w:rsid w:val="0040066C"/>
    <w:rsid w:val="00402747"/>
    <w:rsid w:val="004058F5"/>
    <w:rsid w:val="004105AF"/>
    <w:rsid w:val="00413EED"/>
    <w:rsid w:val="00421D96"/>
    <w:rsid w:val="00422E97"/>
    <w:rsid w:val="0042789D"/>
    <w:rsid w:val="00435996"/>
    <w:rsid w:val="004369B4"/>
    <w:rsid w:val="00440B0E"/>
    <w:rsid w:val="0044482B"/>
    <w:rsid w:val="00447BA8"/>
    <w:rsid w:val="0045134D"/>
    <w:rsid w:val="00452697"/>
    <w:rsid w:val="00454EA4"/>
    <w:rsid w:val="00454F4E"/>
    <w:rsid w:val="00456243"/>
    <w:rsid w:val="00456E4B"/>
    <w:rsid w:val="00457923"/>
    <w:rsid w:val="00462F49"/>
    <w:rsid w:val="00463D81"/>
    <w:rsid w:val="00464F8C"/>
    <w:rsid w:val="004721D2"/>
    <w:rsid w:val="00475151"/>
    <w:rsid w:val="00476BCF"/>
    <w:rsid w:val="004853E6"/>
    <w:rsid w:val="00491519"/>
    <w:rsid w:val="00492447"/>
    <w:rsid w:val="004927E0"/>
    <w:rsid w:val="00494B2C"/>
    <w:rsid w:val="004A2DE8"/>
    <w:rsid w:val="004B4C18"/>
    <w:rsid w:val="004B594E"/>
    <w:rsid w:val="004C0201"/>
    <w:rsid w:val="004C54BC"/>
    <w:rsid w:val="004D0989"/>
    <w:rsid w:val="004D2EC0"/>
    <w:rsid w:val="004D410F"/>
    <w:rsid w:val="004D553B"/>
    <w:rsid w:val="004D7DDB"/>
    <w:rsid w:val="004E5984"/>
    <w:rsid w:val="004E5AE5"/>
    <w:rsid w:val="004E7BED"/>
    <w:rsid w:val="004F229B"/>
    <w:rsid w:val="004F3431"/>
    <w:rsid w:val="004F48C8"/>
    <w:rsid w:val="004F723E"/>
    <w:rsid w:val="0050443E"/>
    <w:rsid w:val="005076EC"/>
    <w:rsid w:val="00511FDE"/>
    <w:rsid w:val="00512B11"/>
    <w:rsid w:val="00521973"/>
    <w:rsid w:val="00521C1E"/>
    <w:rsid w:val="0052401B"/>
    <w:rsid w:val="005329ED"/>
    <w:rsid w:val="00535795"/>
    <w:rsid w:val="0053775F"/>
    <w:rsid w:val="005407EB"/>
    <w:rsid w:val="005435D7"/>
    <w:rsid w:val="005604C8"/>
    <w:rsid w:val="005636EA"/>
    <w:rsid w:val="00564B0A"/>
    <w:rsid w:val="00570938"/>
    <w:rsid w:val="00570AD7"/>
    <w:rsid w:val="005710C5"/>
    <w:rsid w:val="005728BD"/>
    <w:rsid w:val="005772A0"/>
    <w:rsid w:val="00582582"/>
    <w:rsid w:val="005831EF"/>
    <w:rsid w:val="00584F77"/>
    <w:rsid w:val="005852A0"/>
    <w:rsid w:val="0058791C"/>
    <w:rsid w:val="00590BCC"/>
    <w:rsid w:val="00595FA7"/>
    <w:rsid w:val="005A3581"/>
    <w:rsid w:val="005A68E5"/>
    <w:rsid w:val="005B124D"/>
    <w:rsid w:val="005B4AE7"/>
    <w:rsid w:val="005B63AC"/>
    <w:rsid w:val="005C0213"/>
    <w:rsid w:val="005D14EA"/>
    <w:rsid w:val="005D1DE3"/>
    <w:rsid w:val="005D2E97"/>
    <w:rsid w:val="005D4323"/>
    <w:rsid w:val="005D564A"/>
    <w:rsid w:val="005D5C40"/>
    <w:rsid w:val="005D7422"/>
    <w:rsid w:val="005E2220"/>
    <w:rsid w:val="005E36AE"/>
    <w:rsid w:val="005E56D5"/>
    <w:rsid w:val="005E7C5B"/>
    <w:rsid w:val="005F004A"/>
    <w:rsid w:val="005F147B"/>
    <w:rsid w:val="005F30F6"/>
    <w:rsid w:val="005F5E6B"/>
    <w:rsid w:val="005F6C88"/>
    <w:rsid w:val="00604D2C"/>
    <w:rsid w:val="00606453"/>
    <w:rsid w:val="00624BC4"/>
    <w:rsid w:val="0062605E"/>
    <w:rsid w:val="00650508"/>
    <w:rsid w:val="006514AD"/>
    <w:rsid w:val="00652EC7"/>
    <w:rsid w:val="0065579A"/>
    <w:rsid w:val="006611D8"/>
    <w:rsid w:val="006629AD"/>
    <w:rsid w:val="00664391"/>
    <w:rsid w:val="00665782"/>
    <w:rsid w:val="00665E21"/>
    <w:rsid w:val="006712B8"/>
    <w:rsid w:val="006718D5"/>
    <w:rsid w:val="006802E2"/>
    <w:rsid w:val="0068161A"/>
    <w:rsid w:val="006829FA"/>
    <w:rsid w:val="00692536"/>
    <w:rsid w:val="00696EEB"/>
    <w:rsid w:val="006A050F"/>
    <w:rsid w:val="006A0928"/>
    <w:rsid w:val="006A2B61"/>
    <w:rsid w:val="006A46E0"/>
    <w:rsid w:val="006B142F"/>
    <w:rsid w:val="006B1A56"/>
    <w:rsid w:val="006B51FE"/>
    <w:rsid w:val="006B5CFE"/>
    <w:rsid w:val="006B71CD"/>
    <w:rsid w:val="006C107D"/>
    <w:rsid w:val="006C399B"/>
    <w:rsid w:val="006C63D5"/>
    <w:rsid w:val="006C71D0"/>
    <w:rsid w:val="006D2DBB"/>
    <w:rsid w:val="006D2DDA"/>
    <w:rsid w:val="006D3EFA"/>
    <w:rsid w:val="006E3DCB"/>
    <w:rsid w:val="006E4374"/>
    <w:rsid w:val="006E49CE"/>
    <w:rsid w:val="006F20DB"/>
    <w:rsid w:val="006F4EF9"/>
    <w:rsid w:val="00703554"/>
    <w:rsid w:val="007045CC"/>
    <w:rsid w:val="00711A9F"/>
    <w:rsid w:val="007127EE"/>
    <w:rsid w:val="00714FFB"/>
    <w:rsid w:val="00720032"/>
    <w:rsid w:val="00720D1B"/>
    <w:rsid w:val="00726003"/>
    <w:rsid w:val="007351D9"/>
    <w:rsid w:val="007354E1"/>
    <w:rsid w:val="00742315"/>
    <w:rsid w:val="00756D9B"/>
    <w:rsid w:val="00760BAB"/>
    <w:rsid w:val="00764B28"/>
    <w:rsid w:val="00770620"/>
    <w:rsid w:val="00771333"/>
    <w:rsid w:val="00771CD7"/>
    <w:rsid w:val="00773C11"/>
    <w:rsid w:val="00776AA2"/>
    <w:rsid w:val="00783DA7"/>
    <w:rsid w:val="00787D72"/>
    <w:rsid w:val="007A514F"/>
    <w:rsid w:val="007A668A"/>
    <w:rsid w:val="007B5091"/>
    <w:rsid w:val="007C7305"/>
    <w:rsid w:val="007E7F14"/>
    <w:rsid w:val="007F1D5D"/>
    <w:rsid w:val="007F45E5"/>
    <w:rsid w:val="008034F5"/>
    <w:rsid w:val="00811553"/>
    <w:rsid w:val="0081415C"/>
    <w:rsid w:val="0081660A"/>
    <w:rsid w:val="0081673E"/>
    <w:rsid w:val="00817B42"/>
    <w:rsid w:val="008213DE"/>
    <w:rsid w:val="008220A1"/>
    <w:rsid w:val="008245E5"/>
    <w:rsid w:val="00824BE6"/>
    <w:rsid w:val="008279EB"/>
    <w:rsid w:val="00832787"/>
    <w:rsid w:val="00841BB1"/>
    <w:rsid w:val="0084211F"/>
    <w:rsid w:val="008462F9"/>
    <w:rsid w:val="0084663B"/>
    <w:rsid w:val="0085097B"/>
    <w:rsid w:val="008626F2"/>
    <w:rsid w:val="00863611"/>
    <w:rsid w:val="00864BAA"/>
    <w:rsid w:val="00866DDA"/>
    <w:rsid w:val="00867AD8"/>
    <w:rsid w:val="0087336A"/>
    <w:rsid w:val="008733E0"/>
    <w:rsid w:val="00874A31"/>
    <w:rsid w:val="00880102"/>
    <w:rsid w:val="008819CD"/>
    <w:rsid w:val="00884F8A"/>
    <w:rsid w:val="0089035F"/>
    <w:rsid w:val="00893439"/>
    <w:rsid w:val="00897841"/>
    <w:rsid w:val="008A0FBC"/>
    <w:rsid w:val="008A37BB"/>
    <w:rsid w:val="008A3A91"/>
    <w:rsid w:val="008A44AC"/>
    <w:rsid w:val="008A6F4D"/>
    <w:rsid w:val="008A7613"/>
    <w:rsid w:val="008A7AB1"/>
    <w:rsid w:val="008B221B"/>
    <w:rsid w:val="008B2888"/>
    <w:rsid w:val="008B58C1"/>
    <w:rsid w:val="008B7C00"/>
    <w:rsid w:val="008C390C"/>
    <w:rsid w:val="008C69C3"/>
    <w:rsid w:val="008D1352"/>
    <w:rsid w:val="008D2BE5"/>
    <w:rsid w:val="008D5B31"/>
    <w:rsid w:val="008E2614"/>
    <w:rsid w:val="008E6271"/>
    <w:rsid w:val="008F6F3D"/>
    <w:rsid w:val="008F721E"/>
    <w:rsid w:val="008F769B"/>
    <w:rsid w:val="00900440"/>
    <w:rsid w:val="00905E17"/>
    <w:rsid w:val="00910033"/>
    <w:rsid w:val="00910BC4"/>
    <w:rsid w:val="00910DF8"/>
    <w:rsid w:val="00913A71"/>
    <w:rsid w:val="009148B9"/>
    <w:rsid w:val="00920052"/>
    <w:rsid w:val="00934706"/>
    <w:rsid w:val="00936AF7"/>
    <w:rsid w:val="0094079D"/>
    <w:rsid w:val="0094489E"/>
    <w:rsid w:val="00945BFD"/>
    <w:rsid w:val="00954644"/>
    <w:rsid w:val="009607C6"/>
    <w:rsid w:val="00960ABE"/>
    <w:rsid w:val="00961B6C"/>
    <w:rsid w:val="0096293B"/>
    <w:rsid w:val="00971063"/>
    <w:rsid w:val="00975BD3"/>
    <w:rsid w:val="00976D93"/>
    <w:rsid w:val="0098397B"/>
    <w:rsid w:val="009936D6"/>
    <w:rsid w:val="0099408D"/>
    <w:rsid w:val="00994EB7"/>
    <w:rsid w:val="009955BC"/>
    <w:rsid w:val="00995F4D"/>
    <w:rsid w:val="009A1A4A"/>
    <w:rsid w:val="009A59D4"/>
    <w:rsid w:val="009B1D60"/>
    <w:rsid w:val="009B6581"/>
    <w:rsid w:val="009C0427"/>
    <w:rsid w:val="009C720B"/>
    <w:rsid w:val="009C7970"/>
    <w:rsid w:val="009D1D28"/>
    <w:rsid w:val="009E0DC0"/>
    <w:rsid w:val="009E1EDE"/>
    <w:rsid w:val="009E4818"/>
    <w:rsid w:val="009E5C6C"/>
    <w:rsid w:val="009F06BE"/>
    <w:rsid w:val="009F1757"/>
    <w:rsid w:val="009F2706"/>
    <w:rsid w:val="009F3C34"/>
    <w:rsid w:val="009F4BDD"/>
    <w:rsid w:val="009F7E92"/>
    <w:rsid w:val="00A01349"/>
    <w:rsid w:val="00A04497"/>
    <w:rsid w:val="00A10F2A"/>
    <w:rsid w:val="00A11822"/>
    <w:rsid w:val="00A23D79"/>
    <w:rsid w:val="00A26F3A"/>
    <w:rsid w:val="00A271EC"/>
    <w:rsid w:val="00A445C1"/>
    <w:rsid w:val="00A44980"/>
    <w:rsid w:val="00A470F7"/>
    <w:rsid w:val="00A5355A"/>
    <w:rsid w:val="00A53854"/>
    <w:rsid w:val="00A53EEE"/>
    <w:rsid w:val="00A6033F"/>
    <w:rsid w:val="00A710D5"/>
    <w:rsid w:val="00A71114"/>
    <w:rsid w:val="00A731C8"/>
    <w:rsid w:val="00A736C7"/>
    <w:rsid w:val="00A74EFE"/>
    <w:rsid w:val="00A77F8B"/>
    <w:rsid w:val="00A81F65"/>
    <w:rsid w:val="00A8403E"/>
    <w:rsid w:val="00A8468B"/>
    <w:rsid w:val="00A9263C"/>
    <w:rsid w:val="00A943F4"/>
    <w:rsid w:val="00AA1240"/>
    <w:rsid w:val="00AA19E4"/>
    <w:rsid w:val="00AA35DC"/>
    <w:rsid w:val="00AA3907"/>
    <w:rsid w:val="00AA3C84"/>
    <w:rsid w:val="00AA6F92"/>
    <w:rsid w:val="00AB0F68"/>
    <w:rsid w:val="00AB2BA7"/>
    <w:rsid w:val="00AB4D62"/>
    <w:rsid w:val="00AB6B8C"/>
    <w:rsid w:val="00AC0D6F"/>
    <w:rsid w:val="00AC61A4"/>
    <w:rsid w:val="00AD375B"/>
    <w:rsid w:val="00AD3D57"/>
    <w:rsid w:val="00AD4C1D"/>
    <w:rsid w:val="00AD5D8E"/>
    <w:rsid w:val="00AD72B4"/>
    <w:rsid w:val="00AE04A7"/>
    <w:rsid w:val="00AE5497"/>
    <w:rsid w:val="00AF3AED"/>
    <w:rsid w:val="00AF4CAC"/>
    <w:rsid w:val="00AF50C0"/>
    <w:rsid w:val="00B03CE9"/>
    <w:rsid w:val="00B1101E"/>
    <w:rsid w:val="00B12997"/>
    <w:rsid w:val="00B1355F"/>
    <w:rsid w:val="00B25C71"/>
    <w:rsid w:val="00B2631C"/>
    <w:rsid w:val="00B300ED"/>
    <w:rsid w:val="00B354FF"/>
    <w:rsid w:val="00B36AEA"/>
    <w:rsid w:val="00B4160D"/>
    <w:rsid w:val="00B47830"/>
    <w:rsid w:val="00B57BFA"/>
    <w:rsid w:val="00B57FC4"/>
    <w:rsid w:val="00B63063"/>
    <w:rsid w:val="00B679D0"/>
    <w:rsid w:val="00B73118"/>
    <w:rsid w:val="00B739AA"/>
    <w:rsid w:val="00B73CCF"/>
    <w:rsid w:val="00B74008"/>
    <w:rsid w:val="00B7596F"/>
    <w:rsid w:val="00B76765"/>
    <w:rsid w:val="00B819C7"/>
    <w:rsid w:val="00B82817"/>
    <w:rsid w:val="00B86E8F"/>
    <w:rsid w:val="00B92196"/>
    <w:rsid w:val="00B94083"/>
    <w:rsid w:val="00B9432D"/>
    <w:rsid w:val="00BA4B15"/>
    <w:rsid w:val="00BA5BDB"/>
    <w:rsid w:val="00BB51E5"/>
    <w:rsid w:val="00BC0495"/>
    <w:rsid w:val="00BC1039"/>
    <w:rsid w:val="00BC2E5A"/>
    <w:rsid w:val="00BC42AF"/>
    <w:rsid w:val="00BC4AB4"/>
    <w:rsid w:val="00BD16C6"/>
    <w:rsid w:val="00BD285F"/>
    <w:rsid w:val="00BD66EC"/>
    <w:rsid w:val="00BE3B06"/>
    <w:rsid w:val="00BE61A1"/>
    <w:rsid w:val="00BF1F70"/>
    <w:rsid w:val="00BF4883"/>
    <w:rsid w:val="00BF7986"/>
    <w:rsid w:val="00BF7E62"/>
    <w:rsid w:val="00C11B3F"/>
    <w:rsid w:val="00C12ED0"/>
    <w:rsid w:val="00C169D1"/>
    <w:rsid w:val="00C27909"/>
    <w:rsid w:val="00C32CCA"/>
    <w:rsid w:val="00C340CB"/>
    <w:rsid w:val="00C40EAE"/>
    <w:rsid w:val="00C45169"/>
    <w:rsid w:val="00C620FF"/>
    <w:rsid w:val="00C64226"/>
    <w:rsid w:val="00C70DF9"/>
    <w:rsid w:val="00C74168"/>
    <w:rsid w:val="00C86ED3"/>
    <w:rsid w:val="00C87EE5"/>
    <w:rsid w:val="00C94AA5"/>
    <w:rsid w:val="00CA1929"/>
    <w:rsid w:val="00CA2AAF"/>
    <w:rsid w:val="00CA49FB"/>
    <w:rsid w:val="00CB3FBA"/>
    <w:rsid w:val="00CB4D2E"/>
    <w:rsid w:val="00CB6FC3"/>
    <w:rsid w:val="00CC12A4"/>
    <w:rsid w:val="00CC281F"/>
    <w:rsid w:val="00CC65C0"/>
    <w:rsid w:val="00CD24A8"/>
    <w:rsid w:val="00CD27DD"/>
    <w:rsid w:val="00CD3435"/>
    <w:rsid w:val="00CD3C3E"/>
    <w:rsid w:val="00CD4BD1"/>
    <w:rsid w:val="00CD5DBA"/>
    <w:rsid w:val="00CE0D21"/>
    <w:rsid w:val="00CE7148"/>
    <w:rsid w:val="00CF0EC2"/>
    <w:rsid w:val="00CF1A5F"/>
    <w:rsid w:val="00CF3024"/>
    <w:rsid w:val="00CF3332"/>
    <w:rsid w:val="00CF6C0F"/>
    <w:rsid w:val="00CF7335"/>
    <w:rsid w:val="00CF7F13"/>
    <w:rsid w:val="00D011C0"/>
    <w:rsid w:val="00D02C73"/>
    <w:rsid w:val="00D034AA"/>
    <w:rsid w:val="00D04899"/>
    <w:rsid w:val="00D11D41"/>
    <w:rsid w:val="00D1213E"/>
    <w:rsid w:val="00D14BF7"/>
    <w:rsid w:val="00D27385"/>
    <w:rsid w:val="00D35280"/>
    <w:rsid w:val="00D36E28"/>
    <w:rsid w:val="00D461A6"/>
    <w:rsid w:val="00D46C60"/>
    <w:rsid w:val="00D46E67"/>
    <w:rsid w:val="00D54656"/>
    <w:rsid w:val="00D572B6"/>
    <w:rsid w:val="00D578CC"/>
    <w:rsid w:val="00D6027B"/>
    <w:rsid w:val="00D64A82"/>
    <w:rsid w:val="00D70021"/>
    <w:rsid w:val="00D703FE"/>
    <w:rsid w:val="00D71E1D"/>
    <w:rsid w:val="00D721EE"/>
    <w:rsid w:val="00D72C88"/>
    <w:rsid w:val="00D730DD"/>
    <w:rsid w:val="00D77FCF"/>
    <w:rsid w:val="00D9012F"/>
    <w:rsid w:val="00D94C8E"/>
    <w:rsid w:val="00D96EC2"/>
    <w:rsid w:val="00D9796C"/>
    <w:rsid w:val="00D97FBE"/>
    <w:rsid w:val="00DB3DA3"/>
    <w:rsid w:val="00DC77A7"/>
    <w:rsid w:val="00DD01DC"/>
    <w:rsid w:val="00DD02EC"/>
    <w:rsid w:val="00DE2BC9"/>
    <w:rsid w:val="00DE466A"/>
    <w:rsid w:val="00DE5C6C"/>
    <w:rsid w:val="00DE61C2"/>
    <w:rsid w:val="00DE6328"/>
    <w:rsid w:val="00DE646F"/>
    <w:rsid w:val="00DE65AF"/>
    <w:rsid w:val="00DE7C67"/>
    <w:rsid w:val="00DF7191"/>
    <w:rsid w:val="00E00C39"/>
    <w:rsid w:val="00E069E2"/>
    <w:rsid w:val="00E10083"/>
    <w:rsid w:val="00E11809"/>
    <w:rsid w:val="00E21DAE"/>
    <w:rsid w:val="00E33569"/>
    <w:rsid w:val="00E336A2"/>
    <w:rsid w:val="00E371EB"/>
    <w:rsid w:val="00E42BE5"/>
    <w:rsid w:val="00E44154"/>
    <w:rsid w:val="00E44E32"/>
    <w:rsid w:val="00E47CBB"/>
    <w:rsid w:val="00E5054E"/>
    <w:rsid w:val="00E50BED"/>
    <w:rsid w:val="00E602C6"/>
    <w:rsid w:val="00E615C9"/>
    <w:rsid w:val="00E63FA7"/>
    <w:rsid w:val="00E674DC"/>
    <w:rsid w:val="00E7676C"/>
    <w:rsid w:val="00E82583"/>
    <w:rsid w:val="00E8425C"/>
    <w:rsid w:val="00E902CA"/>
    <w:rsid w:val="00EA1B26"/>
    <w:rsid w:val="00EA1D00"/>
    <w:rsid w:val="00EA2465"/>
    <w:rsid w:val="00EA2F1C"/>
    <w:rsid w:val="00EA4769"/>
    <w:rsid w:val="00EB4C47"/>
    <w:rsid w:val="00EC2E3E"/>
    <w:rsid w:val="00EC5E31"/>
    <w:rsid w:val="00ED6010"/>
    <w:rsid w:val="00ED72D3"/>
    <w:rsid w:val="00ED7349"/>
    <w:rsid w:val="00EE26F8"/>
    <w:rsid w:val="00EE5FFA"/>
    <w:rsid w:val="00EF2E88"/>
    <w:rsid w:val="00EF5EB6"/>
    <w:rsid w:val="00EF5F6B"/>
    <w:rsid w:val="00EF61D3"/>
    <w:rsid w:val="00EF734D"/>
    <w:rsid w:val="00F07193"/>
    <w:rsid w:val="00F10710"/>
    <w:rsid w:val="00F13ABB"/>
    <w:rsid w:val="00F13DFD"/>
    <w:rsid w:val="00F174FB"/>
    <w:rsid w:val="00F23BF0"/>
    <w:rsid w:val="00F23E64"/>
    <w:rsid w:val="00F2509D"/>
    <w:rsid w:val="00F26769"/>
    <w:rsid w:val="00F30FED"/>
    <w:rsid w:val="00F32CFD"/>
    <w:rsid w:val="00F37324"/>
    <w:rsid w:val="00F539B3"/>
    <w:rsid w:val="00F53B13"/>
    <w:rsid w:val="00F56786"/>
    <w:rsid w:val="00F61E86"/>
    <w:rsid w:val="00F631B3"/>
    <w:rsid w:val="00F63712"/>
    <w:rsid w:val="00F73F3B"/>
    <w:rsid w:val="00F7480B"/>
    <w:rsid w:val="00F76DDC"/>
    <w:rsid w:val="00F8585A"/>
    <w:rsid w:val="00F85866"/>
    <w:rsid w:val="00F87672"/>
    <w:rsid w:val="00F902FE"/>
    <w:rsid w:val="00F90DEF"/>
    <w:rsid w:val="00F968C2"/>
    <w:rsid w:val="00FA0A53"/>
    <w:rsid w:val="00FA0EE8"/>
    <w:rsid w:val="00FA1B07"/>
    <w:rsid w:val="00FA2E55"/>
    <w:rsid w:val="00FA5E6A"/>
    <w:rsid w:val="00FA5F25"/>
    <w:rsid w:val="00FA6705"/>
    <w:rsid w:val="00FB6E5C"/>
    <w:rsid w:val="00FB7427"/>
    <w:rsid w:val="00FB7D59"/>
    <w:rsid w:val="00FB7EFC"/>
    <w:rsid w:val="00FC26A5"/>
    <w:rsid w:val="00FC3370"/>
    <w:rsid w:val="00FC3495"/>
    <w:rsid w:val="00FC39A8"/>
    <w:rsid w:val="00FC3F6F"/>
    <w:rsid w:val="00FC6204"/>
    <w:rsid w:val="00FC72A5"/>
    <w:rsid w:val="00FE07D0"/>
    <w:rsid w:val="00FE09BE"/>
    <w:rsid w:val="00FE520A"/>
    <w:rsid w:val="00FE5BCF"/>
    <w:rsid w:val="00FE7226"/>
    <w:rsid w:val="00FE7758"/>
    <w:rsid w:val="00FF0291"/>
    <w:rsid w:val="00FF079E"/>
    <w:rsid w:val="00F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B0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71"/>
    <w:pPr>
      <w:tabs>
        <w:tab w:val="center" w:pos="4680"/>
        <w:tab w:val="right" w:pos="9360"/>
      </w:tabs>
      <w:spacing w:line="240" w:lineRule="auto"/>
    </w:pPr>
  </w:style>
  <w:style w:type="character" w:customStyle="1" w:styleId="HeaderChar">
    <w:name w:val="Header Char"/>
    <w:basedOn w:val="DefaultParagraphFont"/>
    <w:link w:val="Header"/>
    <w:uiPriority w:val="99"/>
    <w:rsid w:val="000D6271"/>
  </w:style>
  <w:style w:type="paragraph" w:styleId="Footer">
    <w:name w:val="footer"/>
    <w:basedOn w:val="Normal"/>
    <w:link w:val="FooterChar"/>
    <w:uiPriority w:val="99"/>
    <w:unhideWhenUsed/>
    <w:rsid w:val="000D6271"/>
    <w:pPr>
      <w:tabs>
        <w:tab w:val="center" w:pos="4680"/>
        <w:tab w:val="right" w:pos="9360"/>
      </w:tabs>
      <w:spacing w:line="240" w:lineRule="auto"/>
    </w:pPr>
  </w:style>
  <w:style w:type="character" w:customStyle="1" w:styleId="FooterChar">
    <w:name w:val="Footer Char"/>
    <w:basedOn w:val="DefaultParagraphFont"/>
    <w:link w:val="Footer"/>
    <w:uiPriority w:val="99"/>
    <w:rsid w:val="000D6271"/>
  </w:style>
  <w:style w:type="character" w:styleId="PageNumber">
    <w:name w:val="page number"/>
    <w:basedOn w:val="DefaultParagraphFont"/>
    <w:uiPriority w:val="99"/>
    <w:semiHidden/>
    <w:unhideWhenUsed/>
    <w:rsid w:val="000D6271"/>
  </w:style>
  <w:style w:type="paragraph" w:styleId="FootnoteText">
    <w:name w:val="footnote text"/>
    <w:link w:val="FootnoteTextChar"/>
    <w:uiPriority w:val="99"/>
    <w:unhideWhenUsed/>
    <w:rsid w:val="000D6271"/>
    <w:pPr>
      <w:spacing w:line="240" w:lineRule="auto"/>
    </w:pPr>
    <w:rPr>
      <w:szCs w:val="20"/>
    </w:rPr>
  </w:style>
  <w:style w:type="character" w:customStyle="1" w:styleId="FootnoteTextChar">
    <w:name w:val="Footnote Text Char"/>
    <w:basedOn w:val="DefaultParagraphFont"/>
    <w:link w:val="FootnoteText"/>
    <w:uiPriority w:val="99"/>
    <w:rsid w:val="000D6271"/>
    <w:rPr>
      <w:szCs w:val="20"/>
    </w:rPr>
  </w:style>
  <w:style w:type="paragraph" w:styleId="ListParagraph">
    <w:name w:val="List Paragraph"/>
    <w:basedOn w:val="Normal"/>
    <w:uiPriority w:val="34"/>
    <w:qFormat/>
    <w:rsid w:val="00C11B3F"/>
    <w:pPr>
      <w:ind w:left="720"/>
      <w:contextualSpacing/>
    </w:pPr>
  </w:style>
  <w:style w:type="character" w:styleId="FootnoteReference">
    <w:name w:val="footnote reference"/>
    <w:basedOn w:val="DefaultParagraphFont"/>
    <w:uiPriority w:val="99"/>
    <w:semiHidden/>
    <w:unhideWhenUsed/>
    <w:rsid w:val="006C71D0"/>
    <w:rPr>
      <w:vertAlign w:val="superscript"/>
    </w:rPr>
  </w:style>
  <w:style w:type="paragraph" w:customStyle="1" w:styleId="Normal2">
    <w:name w:val="Normal2"/>
    <w:basedOn w:val="Normal"/>
    <w:rsid w:val="0087336A"/>
    <w:pPr>
      <w:tabs>
        <w:tab w:val="clear" w:pos="720"/>
      </w:tabs>
      <w:spacing w:line="240" w:lineRule="auto"/>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462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5200">
      <w:bodyDiv w:val="1"/>
      <w:marLeft w:val="0"/>
      <w:marRight w:val="0"/>
      <w:marTop w:val="0"/>
      <w:marBottom w:val="0"/>
      <w:divBdr>
        <w:top w:val="none" w:sz="0" w:space="0" w:color="auto"/>
        <w:left w:val="none" w:sz="0" w:space="0" w:color="auto"/>
        <w:bottom w:val="none" w:sz="0" w:space="0" w:color="auto"/>
        <w:right w:val="none" w:sz="0" w:space="0" w:color="auto"/>
      </w:divBdr>
      <w:divsChild>
        <w:div w:id="1923172547">
          <w:marLeft w:val="0"/>
          <w:marRight w:val="0"/>
          <w:marTop w:val="0"/>
          <w:marBottom w:val="0"/>
          <w:divBdr>
            <w:top w:val="none" w:sz="0" w:space="0" w:color="auto"/>
            <w:left w:val="none" w:sz="0" w:space="0" w:color="auto"/>
            <w:bottom w:val="none" w:sz="0" w:space="0" w:color="auto"/>
            <w:right w:val="none" w:sz="0" w:space="0" w:color="auto"/>
          </w:divBdr>
          <w:divsChild>
            <w:div w:id="13963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1755">
      <w:bodyDiv w:val="1"/>
      <w:marLeft w:val="0"/>
      <w:marRight w:val="0"/>
      <w:marTop w:val="0"/>
      <w:marBottom w:val="0"/>
      <w:divBdr>
        <w:top w:val="none" w:sz="0" w:space="0" w:color="auto"/>
        <w:left w:val="none" w:sz="0" w:space="0" w:color="auto"/>
        <w:bottom w:val="none" w:sz="0" w:space="0" w:color="auto"/>
        <w:right w:val="none" w:sz="0" w:space="0" w:color="auto"/>
      </w:divBdr>
      <w:divsChild>
        <w:div w:id="2037997491">
          <w:marLeft w:val="0"/>
          <w:marRight w:val="0"/>
          <w:marTop w:val="0"/>
          <w:marBottom w:val="0"/>
          <w:divBdr>
            <w:top w:val="none" w:sz="0" w:space="0" w:color="auto"/>
            <w:left w:val="none" w:sz="0" w:space="0" w:color="auto"/>
            <w:bottom w:val="none" w:sz="0" w:space="0" w:color="auto"/>
            <w:right w:val="none" w:sz="0" w:space="0" w:color="auto"/>
          </w:divBdr>
          <w:divsChild>
            <w:div w:id="10470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0140">
      <w:bodyDiv w:val="1"/>
      <w:marLeft w:val="0"/>
      <w:marRight w:val="0"/>
      <w:marTop w:val="0"/>
      <w:marBottom w:val="0"/>
      <w:divBdr>
        <w:top w:val="none" w:sz="0" w:space="0" w:color="auto"/>
        <w:left w:val="none" w:sz="0" w:space="0" w:color="auto"/>
        <w:bottom w:val="none" w:sz="0" w:space="0" w:color="auto"/>
        <w:right w:val="none" w:sz="0" w:space="0" w:color="auto"/>
      </w:divBdr>
      <w:divsChild>
        <w:div w:id="1951235144">
          <w:marLeft w:val="0"/>
          <w:marRight w:val="0"/>
          <w:marTop w:val="0"/>
          <w:marBottom w:val="0"/>
          <w:divBdr>
            <w:top w:val="none" w:sz="0" w:space="0" w:color="auto"/>
            <w:left w:val="none" w:sz="0" w:space="0" w:color="auto"/>
            <w:bottom w:val="none" w:sz="0" w:space="0" w:color="auto"/>
            <w:right w:val="none" w:sz="0" w:space="0" w:color="auto"/>
          </w:divBdr>
          <w:divsChild>
            <w:div w:id="7654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21">
      <w:bodyDiv w:val="1"/>
      <w:marLeft w:val="0"/>
      <w:marRight w:val="0"/>
      <w:marTop w:val="0"/>
      <w:marBottom w:val="0"/>
      <w:divBdr>
        <w:top w:val="none" w:sz="0" w:space="0" w:color="auto"/>
        <w:left w:val="none" w:sz="0" w:space="0" w:color="auto"/>
        <w:bottom w:val="none" w:sz="0" w:space="0" w:color="auto"/>
        <w:right w:val="none" w:sz="0" w:space="0" w:color="auto"/>
      </w:divBdr>
      <w:divsChild>
        <w:div w:id="584606750">
          <w:marLeft w:val="0"/>
          <w:marRight w:val="0"/>
          <w:marTop w:val="0"/>
          <w:marBottom w:val="0"/>
          <w:divBdr>
            <w:top w:val="none" w:sz="0" w:space="0" w:color="auto"/>
            <w:left w:val="none" w:sz="0" w:space="0" w:color="auto"/>
            <w:bottom w:val="none" w:sz="0" w:space="0" w:color="auto"/>
            <w:right w:val="none" w:sz="0" w:space="0" w:color="auto"/>
          </w:divBdr>
          <w:divsChild>
            <w:div w:id="1981300424">
              <w:marLeft w:val="0"/>
              <w:marRight w:val="0"/>
              <w:marTop w:val="0"/>
              <w:marBottom w:val="0"/>
              <w:divBdr>
                <w:top w:val="none" w:sz="0" w:space="0" w:color="auto"/>
                <w:left w:val="none" w:sz="0" w:space="0" w:color="auto"/>
                <w:bottom w:val="none" w:sz="0" w:space="0" w:color="auto"/>
                <w:right w:val="none" w:sz="0" w:space="0" w:color="auto"/>
              </w:divBdr>
              <w:divsChild>
                <w:div w:id="20668356">
                  <w:marLeft w:val="0"/>
                  <w:marRight w:val="0"/>
                  <w:marTop w:val="0"/>
                  <w:marBottom w:val="0"/>
                  <w:divBdr>
                    <w:top w:val="none" w:sz="0" w:space="0" w:color="auto"/>
                    <w:left w:val="none" w:sz="0" w:space="0" w:color="auto"/>
                    <w:bottom w:val="none" w:sz="0" w:space="0" w:color="auto"/>
                    <w:right w:val="none" w:sz="0" w:space="0" w:color="auto"/>
                  </w:divBdr>
                  <w:divsChild>
                    <w:div w:id="387805549">
                      <w:marLeft w:val="0"/>
                      <w:marRight w:val="0"/>
                      <w:marTop w:val="0"/>
                      <w:marBottom w:val="0"/>
                      <w:divBdr>
                        <w:top w:val="none" w:sz="0" w:space="0" w:color="auto"/>
                        <w:left w:val="none" w:sz="0" w:space="0" w:color="auto"/>
                        <w:bottom w:val="none" w:sz="0" w:space="0" w:color="auto"/>
                        <w:right w:val="none" w:sz="0" w:space="0" w:color="auto"/>
                      </w:divBdr>
                    </w:div>
                  </w:divsChild>
                </w:div>
                <w:div w:id="1760102567">
                  <w:marLeft w:val="0"/>
                  <w:marRight w:val="0"/>
                  <w:marTop w:val="0"/>
                  <w:marBottom w:val="0"/>
                  <w:divBdr>
                    <w:top w:val="none" w:sz="0" w:space="0" w:color="auto"/>
                    <w:left w:val="none" w:sz="0" w:space="0" w:color="auto"/>
                    <w:bottom w:val="none" w:sz="0" w:space="0" w:color="auto"/>
                    <w:right w:val="none" w:sz="0" w:space="0" w:color="auto"/>
                  </w:divBdr>
                  <w:divsChild>
                    <w:div w:id="2067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459">
      <w:bodyDiv w:val="1"/>
      <w:marLeft w:val="0"/>
      <w:marRight w:val="0"/>
      <w:marTop w:val="0"/>
      <w:marBottom w:val="0"/>
      <w:divBdr>
        <w:top w:val="none" w:sz="0" w:space="0" w:color="auto"/>
        <w:left w:val="none" w:sz="0" w:space="0" w:color="auto"/>
        <w:bottom w:val="none" w:sz="0" w:space="0" w:color="auto"/>
        <w:right w:val="none" w:sz="0" w:space="0" w:color="auto"/>
      </w:divBdr>
      <w:divsChild>
        <w:div w:id="1013651107">
          <w:marLeft w:val="0"/>
          <w:marRight w:val="0"/>
          <w:marTop w:val="0"/>
          <w:marBottom w:val="0"/>
          <w:divBdr>
            <w:top w:val="none" w:sz="0" w:space="0" w:color="auto"/>
            <w:left w:val="none" w:sz="0" w:space="0" w:color="auto"/>
            <w:bottom w:val="none" w:sz="0" w:space="0" w:color="auto"/>
            <w:right w:val="none" w:sz="0" w:space="0" w:color="auto"/>
          </w:divBdr>
          <w:divsChild>
            <w:div w:id="894659186">
              <w:marLeft w:val="0"/>
              <w:marRight w:val="0"/>
              <w:marTop w:val="0"/>
              <w:marBottom w:val="0"/>
              <w:divBdr>
                <w:top w:val="none" w:sz="0" w:space="0" w:color="auto"/>
                <w:left w:val="none" w:sz="0" w:space="0" w:color="auto"/>
                <w:bottom w:val="none" w:sz="0" w:space="0" w:color="auto"/>
                <w:right w:val="none" w:sz="0" w:space="0" w:color="auto"/>
              </w:divBdr>
              <w:divsChild>
                <w:div w:id="9201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698">
      <w:bodyDiv w:val="1"/>
      <w:marLeft w:val="0"/>
      <w:marRight w:val="0"/>
      <w:marTop w:val="0"/>
      <w:marBottom w:val="0"/>
      <w:divBdr>
        <w:top w:val="none" w:sz="0" w:space="0" w:color="auto"/>
        <w:left w:val="none" w:sz="0" w:space="0" w:color="auto"/>
        <w:bottom w:val="none" w:sz="0" w:space="0" w:color="auto"/>
        <w:right w:val="none" w:sz="0" w:space="0" w:color="auto"/>
      </w:divBdr>
      <w:divsChild>
        <w:div w:id="1100220880">
          <w:marLeft w:val="0"/>
          <w:marRight w:val="0"/>
          <w:marTop w:val="0"/>
          <w:marBottom w:val="0"/>
          <w:divBdr>
            <w:top w:val="none" w:sz="0" w:space="0" w:color="auto"/>
            <w:left w:val="none" w:sz="0" w:space="0" w:color="auto"/>
            <w:bottom w:val="none" w:sz="0" w:space="0" w:color="auto"/>
            <w:right w:val="none" w:sz="0" w:space="0" w:color="auto"/>
          </w:divBdr>
          <w:divsChild>
            <w:div w:id="17927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7321">
      <w:bodyDiv w:val="1"/>
      <w:marLeft w:val="0"/>
      <w:marRight w:val="0"/>
      <w:marTop w:val="0"/>
      <w:marBottom w:val="0"/>
      <w:divBdr>
        <w:top w:val="none" w:sz="0" w:space="0" w:color="auto"/>
        <w:left w:val="none" w:sz="0" w:space="0" w:color="auto"/>
        <w:bottom w:val="none" w:sz="0" w:space="0" w:color="auto"/>
        <w:right w:val="none" w:sz="0" w:space="0" w:color="auto"/>
      </w:divBdr>
      <w:divsChild>
        <w:div w:id="1532916925">
          <w:marLeft w:val="0"/>
          <w:marRight w:val="0"/>
          <w:marTop w:val="0"/>
          <w:marBottom w:val="0"/>
          <w:divBdr>
            <w:top w:val="none" w:sz="0" w:space="0" w:color="auto"/>
            <w:left w:val="none" w:sz="0" w:space="0" w:color="auto"/>
            <w:bottom w:val="none" w:sz="0" w:space="0" w:color="auto"/>
            <w:right w:val="none" w:sz="0" w:space="0" w:color="auto"/>
          </w:divBdr>
          <w:divsChild>
            <w:div w:id="692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5784">
      <w:bodyDiv w:val="1"/>
      <w:marLeft w:val="0"/>
      <w:marRight w:val="0"/>
      <w:marTop w:val="0"/>
      <w:marBottom w:val="0"/>
      <w:divBdr>
        <w:top w:val="none" w:sz="0" w:space="0" w:color="auto"/>
        <w:left w:val="none" w:sz="0" w:space="0" w:color="auto"/>
        <w:bottom w:val="none" w:sz="0" w:space="0" w:color="auto"/>
        <w:right w:val="none" w:sz="0" w:space="0" w:color="auto"/>
      </w:divBdr>
      <w:divsChild>
        <w:div w:id="1051033262">
          <w:marLeft w:val="0"/>
          <w:marRight w:val="0"/>
          <w:marTop w:val="0"/>
          <w:marBottom w:val="0"/>
          <w:divBdr>
            <w:top w:val="none" w:sz="0" w:space="0" w:color="auto"/>
            <w:left w:val="none" w:sz="0" w:space="0" w:color="auto"/>
            <w:bottom w:val="none" w:sz="0" w:space="0" w:color="auto"/>
            <w:right w:val="none" w:sz="0" w:space="0" w:color="auto"/>
          </w:divBdr>
          <w:divsChild>
            <w:div w:id="4993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5873">
      <w:bodyDiv w:val="1"/>
      <w:marLeft w:val="0"/>
      <w:marRight w:val="0"/>
      <w:marTop w:val="0"/>
      <w:marBottom w:val="0"/>
      <w:divBdr>
        <w:top w:val="none" w:sz="0" w:space="0" w:color="auto"/>
        <w:left w:val="none" w:sz="0" w:space="0" w:color="auto"/>
        <w:bottom w:val="none" w:sz="0" w:space="0" w:color="auto"/>
        <w:right w:val="none" w:sz="0" w:space="0" w:color="auto"/>
      </w:divBdr>
      <w:divsChild>
        <w:div w:id="1325814300">
          <w:marLeft w:val="0"/>
          <w:marRight w:val="0"/>
          <w:marTop w:val="0"/>
          <w:marBottom w:val="0"/>
          <w:divBdr>
            <w:top w:val="none" w:sz="0" w:space="0" w:color="auto"/>
            <w:left w:val="none" w:sz="0" w:space="0" w:color="auto"/>
            <w:bottom w:val="none" w:sz="0" w:space="0" w:color="auto"/>
            <w:right w:val="none" w:sz="0" w:space="0" w:color="auto"/>
          </w:divBdr>
          <w:divsChild>
            <w:div w:id="2476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858">
      <w:bodyDiv w:val="1"/>
      <w:marLeft w:val="0"/>
      <w:marRight w:val="0"/>
      <w:marTop w:val="0"/>
      <w:marBottom w:val="0"/>
      <w:divBdr>
        <w:top w:val="none" w:sz="0" w:space="0" w:color="auto"/>
        <w:left w:val="none" w:sz="0" w:space="0" w:color="auto"/>
        <w:bottom w:val="none" w:sz="0" w:space="0" w:color="auto"/>
        <w:right w:val="none" w:sz="0" w:space="0" w:color="auto"/>
      </w:divBdr>
      <w:divsChild>
        <w:div w:id="31198303">
          <w:marLeft w:val="0"/>
          <w:marRight w:val="0"/>
          <w:marTop w:val="0"/>
          <w:marBottom w:val="0"/>
          <w:divBdr>
            <w:top w:val="none" w:sz="0" w:space="0" w:color="auto"/>
            <w:left w:val="none" w:sz="0" w:space="0" w:color="auto"/>
            <w:bottom w:val="none" w:sz="0" w:space="0" w:color="auto"/>
            <w:right w:val="none" w:sz="0" w:space="0" w:color="auto"/>
          </w:divBdr>
          <w:divsChild>
            <w:div w:id="3637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4388">
      <w:bodyDiv w:val="1"/>
      <w:marLeft w:val="0"/>
      <w:marRight w:val="0"/>
      <w:marTop w:val="0"/>
      <w:marBottom w:val="0"/>
      <w:divBdr>
        <w:top w:val="none" w:sz="0" w:space="0" w:color="auto"/>
        <w:left w:val="none" w:sz="0" w:space="0" w:color="auto"/>
        <w:bottom w:val="none" w:sz="0" w:space="0" w:color="auto"/>
        <w:right w:val="none" w:sz="0" w:space="0" w:color="auto"/>
      </w:divBdr>
      <w:divsChild>
        <w:div w:id="395663654">
          <w:marLeft w:val="0"/>
          <w:marRight w:val="0"/>
          <w:marTop w:val="0"/>
          <w:marBottom w:val="0"/>
          <w:divBdr>
            <w:top w:val="none" w:sz="0" w:space="0" w:color="auto"/>
            <w:left w:val="none" w:sz="0" w:space="0" w:color="auto"/>
            <w:bottom w:val="none" w:sz="0" w:space="0" w:color="auto"/>
            <w:right w:val="none" w:sz="0" w:space="0" w:color="auto"/>
          </w:divBdr>
          <w:divsChild>
            <w:div w:id="2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00120">
      <w:bodyDiv w:val="1"/>
      <w:marLeft w:val="0"/>
      <w:marRight w:val="0"/>
      <w:marTop w:val="0"/>
      <w:marBottom w:val="0"/>
      <w:divBdr>
        <w:top w:val="none" w:sz="0" w:space="0" w:color="auto"/>
        <w:left w:val="none" w:sz="0" w:space="0" w:color="auto"/>
        <w:bottom w:val="none" w:sz="0" w:space="0" w:color="auto"/>
        <w:right w:val="none" w:sz="0" w:space="0" w:color="auto"/>
      </w:divBdr>
      <w:divsChild>
        <w:div w:id="314801752">
          <w:marLeft w:val="0"/>
          <w:marRight w:val="0"/>
          <w:marTop w:val="0"/>
          <w:marBottom w:val="0"/>
          <w:divBdr>
            <w:top w:val="none" w:sz="0" w:space="0" w:color="auto"/>
            <w:left w:val="none" w:sz="0" w:space="0" w:color="auto"/>
            <w:bottom w:val="none" w:sz="0" w:space="0" w:color="auto"/>
            <w:right w:val="none" w:sz="0" w:space="0" w:color="auto"/>
          </w:divBdr>
          <w:divsChild>
            <w:div w:id="867065700">
              <w:marLeft w:val="0"/>
              <w:marRight w:val="0"/>
              <w:marTop w:val="0"/>
              <w:marBottom w:val="0"/>
              <w:divBdr>
                <w:top w:val="none" w:sz="0" w:space="0" w:color="auto"/>
                <w:left w:val="none" w:sz="0" w:space="0" w:color="auto"/>
                <w:bottom w:val="none" w:sz="0" w:space="0" w:color="auto"/>
                <w:right w:val="none" w:sz="0" w:space="0" w:color="auto"/>
              </w:divBdr>
              <w:divsChild>
                <w:div w:id="17713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09673">
      <w:bodyDiv w:val="1"/>
      <w:marLeft w:val="0"/>
      <w:marRight w:val="0"/>
      <w:marTop w:val="0"/>
      <w:marBottom w:val="0"/>
      <w:divBdr>
        <w:top w:val="none" w:sz="0" w:space="0" w:color="auto"/>
        <w:left w:val="none" w:sz="0" w:space="0" w:color="auto"/>
        <w:bottom w:val="none" w:sz="0" w:space="0" w:color="auto"/>
        <w:right w:val="none" w:sz="0" w:space="0" w:color="auto"/>
      </w:divBdr>
      <w:divsChild>
        <w:div w:id="1395162545">
          <w:marLeft w:val="0"/>
          <w:marRight w:val="0"/>
          <w:marTop w:val="0"/>
          <w:marBottom w:val="0"/>
          <w:divBdr>
            <w:top w:val="none" w:sz="0" w:space="0" w:color="auto"/>
            <w:left w:val="none" w:sz="0" w:space="0" w:color="auto"/>
            <w:bottom w:val="none" w:sz="0" w:space="0" w:color="auto"/>
            <w:right w:val="none" w:sz="0" w:space="0" w:color="auto"/>
          </w:divBdr>
          <w:divsChild>
            <w:div w:id="20123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978">
      <w:bodyDiv w:val="1"/>
      <w:marLeft w:val="0"/>
      <w:marRight w:val="0"/>
      <w:marTop w:val="0"/>
      <w:marBottom w:val="0"/>
      <w:divBdr>
        <w:top w:val="none" w:sz="0" w:space="0" w:color="auto"/>
        <w:left w:val="none" w:sz="0" w:space="0" w:color="auto"/>
        <w:bottom w:val="none" w:sz="0" w:space="0" w:color="auto"/>
        <w:right w:val="none" w:sz="0" w:space="0" w:color="auto"/>
      </w:divBdr>
      <w:divsChild>
        <w:div w:id="603998561">
          <w:marLeft w:val="0"/>
          <w:marRight w:val="0"/>
          <w:marTop w:val="0"/>
          <w:marBottom w:val="0"/>
          <w:divBdr>
            <w:top w:val="none" w:sz="0" w:space="0" w:color="auto"/>
            <w:left w:val="none" w:sz="0" w:space="0" w:color="auto"/>
            <w:bottom w:val="none" w:sz="0" w:space="0" w:color="auto"/>
            <w:right w:val="none" w:sz="0" w:space="0" w:color="auto"/>
          </w:divBdr>
          <w:divsChild>
            <w:div w:id="11216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7569">
      <w:bodyDiv w:val="1"/>
      <w:marLeft w:val="0"/>
      <w:marRight w:val="0"/>
      <w:marTop w:val="0"/>
      <w:marBottom w:val="0"/>
      <w:divBdr>
        <w:top w:val="none" w:sz="0" w:space="0" w:color="auto"/>
        <w:left w:val="none" w:sz="0" w:space="0" w:color="auto"/>
        <w:bottom w:val="none" w:sz="0" w:space="0" w:color="auto"/>
        <w:right w:val="none" w:sz="0" w:space="0" w:color="auto"/>
      </w:divBdr>
      <w:divsChild>
        <w:div w:id="1636980359">
          <w:marLeft w:val="0"/>
          <w:marRight w:val="0"/>
          <w:marTop w:val="0"/>
          <w:marBottom w:val="0"/>
          <w:divBdr>
            <w:top w:val="none" w:sz="0" w:space="0" w:color="auto"/>
            <w:left w:val="none" w:sz="0" w:space="0" w:color="auto"/>
            <w:bottom w:val="none" w:sz="0" w:space="0" w:color="auto"/>
            <w:right w:val="none" w:sz="0" w:space="0" w:color="auto"/>
          </w:divBdr>
          <w:divsChild>
            <w:div w:id="899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1857">
      <w:bodyDiv w:val="1"/>
      <w:marLeft w:val="0"/>
      <w:marRight w:val="0"/>
      <w:marTop w:val="0"/>
      <w:marBottom w:val="0"/>
      <w:divBdr>
        <w:top w:val="none" w:sz="0" w:space="0" w:color="auto"/>
        <w:left w:val="none" w:sz="0" w:space="0" w:color="auto"/>
        <w:bottom w:val="none" w:sz="0" w:space="0" w:color="auto"/>
        <w:right w:val="none" w:sz="0" w:space="0" w:color="auto"/>
      </w:divBdr>
      <w:divsChild>
        <w:div w:id="1921213244">
          <w:marLeft w:val="0"/>
          <w:marRight w:val="0"/>
          <w:marTop w:val="0"/>
          <w:marBottom w:val="0"/>
          <w:divBdr>
            <w:top w:val="none" w:sz="0" w:space="0" w:color="auto"/>
            <w:left w:val="none" w:sz="0" w:space="0" w:color="auto"/>
            <w:bottom w:val="none" w:sz="0" w:space="0" w:color="auto"/>
            <w:right w:val="none" w:sz="0" w:space="0" w:color="auto"/>
          </w:divBdr>
          <w:divsChild>
            <w:div w:id="4598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598">
      <w:bodyDiv w:val="1"/>
      <w:marLeft w:val="0"/>
      <w:marRight w:val="0"/>
      <w:marTop w:val="0"/>
      <w:marBottom w:val="0"/>
      <w:divBdr>
        <w:top w:val="none" w:sz="0" w:space="0" w:color="auto"/>
        <w:left w:val="none" w:sz="0" w:space="0" w:color="auto"/>
        <w:bottom w:val="none" w:sz="0" w:space="0" w:color="auto"/>
        <w:right w:val="none" w:sz="0" w:space="0" w:color="auto"/>
      </w:divBdr>
      <w:divsChild>
        <w:div w:id="932472283">
          <w:marLeft w:val="0"/>
          <w:marRight w:val="0"/>
          <w:marTop w:val="0"/>
          <w:marBottom w:val="0"/>
          <w:divBdr>
            <w:top w:val="none" w:sz="0" w:space="0" w:color="auto"/>
            <w:left w:val="none" w:sz="0" w:space="0" w:color="auto"/>
            <w:bottom w:val="none" w:sz="0" w:space="0" w:color="auto"/>
            <w:right w:val="none" w:sz="0" w:space="0" w:color="auto"/>
          </w:divBdr>
          <w:divsChild>
            <w:div w:id="17612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70166">
      <w:bodyDiv w:val="1"/>
      <w:marLeft w:val="0"/>
      <w:marRight w:val="0"/>
      <w:marTop w:val="0"/>
      <w:marBottom w:val="0"/>
      <w:divBdr>
        <w:top w:val="none" w:sz="0" w:space="0" w:color="auto"/>
        <w:left w:val="none" w:sz="0" w:space="0" w:color="auto"/>
        <w:bottom w:val="none" w:sz="0" w:space="0" w:color="auto"/>
        <w:right w:val="none" w:sz="0" w:space="0" w:color="auto"/>
      </w:divBdr>
      <w:divsChild>
        <w:div w:id="657542010">
          <w:marLeft w:val="0"/>
          <w:marRight w:val="0"/>
          <w:marTop w:val="0"/>
          <w:marBottom w:val="0"/>
          <w:divBdr>
            <w:top w:val="none" w:sz="0" w:space="0" w:color="auto"/>
            <w:left w:val="none" w:sz="0" w:space="0" w:color="auto"/>
            <w:bottom w:val="none" w:sz="0" w:space="0" w:color="auto"/>
            <w:right w:val="none" w:sz="0" w:space="0" w:color="auto"/>
          </w:divBdr>
          <w:divsChild>
            <w:div w:id="1412236639">
              <w:marLeft w:val="0"/>
              <w:marRight w:val="0"/>
              <w:marTop w:val="0"/>
              <w:marBottom w:val="0"/>
              <w:divBdr>
                <w:top w:val="none" w:sz="0" w:space="0" w:color="auto"/>
                <w:left w:val="none" w:sz="0" w:space="0" w:color="auto"/>
                <w:bottom w:val="none" w:sz="0" w:space="0" w:color="auto"/>
                <w:right w:val="none" w:sz="0" w:space="0" w:color="auto"/>
              </w:divBdr>
              <w:divsChild>
                <w:div w:id="17725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9602">
      <w:bodyDiv w:val="1"/>
      <w:marLeft w:val="0"/>
      <w:marRight w:val="0"/>
      <w:marTop w:val="0"/>
      <w:marBottom w:val="0"/>
      <w:divBdr>
        <w:top w:val="none" w:sz="0" w:space="0" w:color="auto"/>
        <w:left w:val="none" w:sz="0" w:space="0" w:color="auto"/>
        <w:bottom w:val="none" w:sz="0" w:space="0" w:color="auto"/>
        <w:right w:val="none" w:sz="0" w:space="0" w:color="auto"/>
      </w:divBdr>
      <w:divsChild>
        <w:div w:id="449785173">
          <w:marLeft w:val="0"/>
          <w:marRight w:val="0"/>
          <w:marTop w:val="0"/>
          <w:marBottom w:val="0"/>
          <w:divBdr>
            <w:top w:val="none" w:sz="0" w:space="0" w:color="auto"/>
            <w:left w:val="none" w:sz="0" w:space="0" w:color="auto"/>
            <w:bottom w:val="none" w:sz="0" w:space="0" w:color="auto"/>
            <w:right w:val="none" w:sz="0" w:space="0" w:color="auto"/>
          </w:divBdr>
          <w:divsChild>
            <w:div w:id="9989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936">
      <w:bodyDiv w:val="1"/>
      <w:marLeft w:val="0"/>
      <w:marRight w:val="0"/>
      <w:marTop w:val="0"/>
      <w:marBottom w:val="0"/>
      <w:divBdr>
        <w:top w:val="none" w:sz="0" w:space="0" w:color="auto"/>
        <w:left w:val="none" w:sz="0" w:space="0" w:color="auto"/>
        <w:bottom w:val="none" w:sz="0" w:space="0" w:color="auto"/>
        <w:right w:val="none" w:sz="0" w:space="0" w:color="auto"/>
      </w:divBdr>
      <w:divsChild>
        <w:div w:id="580413665">
          <w:marLeft w:val="0"/>
          <w:marRight w:val="0"/>
          <w:marTop w:val="0"/>
          <w:marBottom w:val="0"/>
          <w:divBdr>
            <w:top w:val="none" w:sz="0" w:space="0" w:color="auto"/>
            <w:left w:val="none" w:sz="0" w:space="0" w:color="auto"/>
            <w:bottom w:val="none" w:sz="0" w:space="0" w:color="auto"/>
            <w:right w:val="none" w:sz="0" w:space="0" w:color="auto"/>
          </w:divBdr>
          <w:divsChild>
            <w:div w:id="372728673">
              <w:marLeft w:val="0"/>
              <w:marRight w:val="0"/>
              <w:marTop w:val="0"/>
              <w:marBottom w:val="0"/>
              <w:divBdr>
                <w:top w:val="none" w:sz="0" w:space="0" w:color="auto"/>
                <w:left w:val="none" w:sz="0" w:space="0" w:color="auto"/>
                <w:bottom w:val="none" w:sz="0" w:space="0" w:color="auto"/>
                <w:right w:val="none" w:sz="0" w:space="0" w:color="auto"/>
              </w:divBdr>
              <w:divsChild>
                <w:div w:id="174080757">
                  <w:marLeft w:val="0"/>
                  <w:marRight w:val="0"/>
                  <w:marTop w:val="0"/>
                  <w:marBottom w:val="0"/>
                  <w:divBdr>
                    <w:top w:val="none" w:sz="0" w:space="0" w:color="auto"/>
                    <w:left w:val="none" w:sz="0" w:space="0" w:color="auto"/>
                    <w:bottom w:val="none" w:sz="0" w:space="0" w:color="auto"/>
                    <w:right w:val="none" w:sz="0" w:space="0" w:color="auto"/>
                  </w:divBdr>
                  <w:divsChild>
                    <w:div w:id="1184897283">
                      <w:marLeft w:val="0"/>
                      <w:marRight w:val="0"/>
                      <w:marTop w:val="0"/>
                      <w:marBottom w:val="0"/>
                      <w:divBdr>
                        <w:top w:val="none" w:sz="0" w:space="0" w:color="auto"/>
                        <w:left w:val="none" w:sz="0" w:space="0" w:color="auto"/>
                        <w:bottom w:val="none" w:sz="0" w:space="0" w:color="auto"/>
                        <w:right w:val="none" w:sz="0" w:space="0" w:color="auto"/>
                      </w:divBdr>
                    </w:div>
                  </w:divsChild>
                </w:div>
                <w:div w:id="1257981874">
                  <w:marLeft w:val="0"/>
                  <w:marRight w:val="0"/>
                  <w:marTop w:val="0"/>
                  <w:marBottom w:val="0"/>
                  <w:divBdr>
                    <w:top w:val="none" w:sz="0" w:space="0" w:color="auto"/>
                    <w:left w:val="none" w:sz="0" w:space="0" w:color="auto"/>
                    <w:bottom w:val="none" w:sz="0" w:space="0" w:color="auto"/>
                    <w:right w:val="none" w:sz="0" w:space="0" w:color="auto"/>
                  </w:divBdr>
                </w:div>
                <w:div w:id="1346323783">
                  <w:marLeft w:val="0"/>
                  <w:marRight w:val="0"/>
                  <w:marTop w:val="0"/>
                  <w:marBottom w:val="0"/>
                  <w:divBdr>
                    <w:top w:val="none" w:sz="0" w:space="0" w:color="auto"/>
                    <w:left w:val="none" w:sz="0" w:space="0" w:color="auto"/>
                    <w:bottom w:val="none" w:sz="0" w:space="0" w:color="auto"/>
                    <w:right w:val="none" w:sz="0" w:space="0" w:color="auto"/>
                  </w:divBdr>
                  <w:divsChild>
                    <w:div w:id="10348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48224">
      <w:bodyDiv w:val="1"/>
      <w:marLeft w:val="0"/>
      <w:marRight w:val="0"/>
      <w:marTop w:val="0"/>
      <w:marBottom w:val="0"/>
      <w:divBdr>
        <w:top w:val="none" w:sz="0" w:space="0" w:color="auto"/>
        <w:left w:val="none" w:sz="0" w:space="0" w:color="auto"/>
        <w:bottom w:val="none" w:sz="0" w:space="0" w:color="auto"/>
        <w:right w:val="none" w:sz="0" w:space="0" w:color="auto"/>
      </w:divBdr>
      <w:divsChild>
        <w:div w:id="2100901549">
          <w:marLeft w:val="0"/>
          <w:marRight w:val="0"/>
          <w:marTop w:val="0"/>
          <w:marBottom w:val="0"/>
          <w:divBdr>
            <w:top w:val="none" w:sz="0" w:space="0" w:color="auto"/>
            <w:left w:val="none" w:sz="0" w:space="0" w:color="auto"/>
            <w:bottom w:val="none" w:sz="0" w:space="0" w:color="auto"/>
            <w:right w:val="none" w:sz="0" w:space="0" w:color="auto"/>
          </w:divBdr>
          <w:divsChild>
            <w:div w:id="931667730">
              <w:marLeft w:val="0"/>
              <w:marRight w:val="0"/>
              <w:marTop w:val="0"/>
              <w:marBottom w:val="0"/>
              <w:divBdr>
                <w:top w:val="none" w:sz="0" w:space="0" w:color="auto"/>
                <w:left w:val="none" w:sz="0" w:space="0" w:color="auto"/>
                <w:bottom w:val="none" w:sz="0" w:space="0" w:color="auto"/>
                <w:right w:val="none" w:sz="0" w:space="0" w:color="auto"/>
              </w:divBdr>
              <w:divsChild>
                <w:div w:id="710347326">
                  <w:marLeft w:val="0"/>
                  <w:marRight w:val="0"/>
                  <w:marTop w:val="0"/>
                  <w:marBottom w:val="0"/>
                  <w:divBdr>
                    <w:top w:val="none" w:sz="0" w:space="0" w:color="auto"/>
                    <w:left w:val="none" w:sz="0" w:space="0" w:color="auto"/>
                    <w:bottom w:val="none" w:sz="0" w:space="0" w:color="auto"/>
                    <w:right w:val="none" w:sz="0" w:space="0" w:color="auto"/>
                  </w:divBdr>
                  <w:divsChild>
                    <w:div w:id="1784420728">
                      <w:marLeft w:val="0"/>
                      <w:marRight w:val="0"/>
                      <w:marTop w:val="0"/>
                      <w:marBottom w:val="0"/>
                      <w:divBdr>
                        <w:top w:val="none" w:sz="0" w:space="0" w:color="auto"/>
                        <w:left w:val="none" w:sz="0" w:space="0" w:color="auto"/>
                        <w:bottom w:val="none" w:sz="0" w:space="0" w:color="auto"/>
                        <w:right w:val="none" w:sz="0" w:space="0" w:color="auto"/>
                      </w:divBdr>
                    </w:div>
                  </w:divsChild>
                </w:div>
                <w:div w:id="1772702143">
                  <w:marLeft w:val="0"/>
                  <w:marRight w:val="0"/>
                  <w:marTop w:val="0"/>
                  <w:marBottom w:val="0"/>
                  <w:divBdr>
                    <w:top w:val="none" w:sz="0" w:space="0" w:color="auto"/>
                    <w:left w:val="none" w:sz="0" w:space="0" w:color="auto"/>
                    <w:bottom w:val="none" w:sz="0" w:space="0" w:color="auto"/>
                    <w:right w:val="none" w:sz="0" w:space="0" w:color="auto"/>
                  </w:divBdr>
                  <w:divsChild>
                    <w:div w:id="2109958027">
                      <w:marLeft w:val="0"/>
                      <w:marRight w:val="0"/>
                      <w:marTop w:val="0"/>
                      <w:marBottom w:val="0"/>
                      <w:divBdr>
                        <w:top w:val="none" w:sz="0" w:space="0" w:color="auto"/>
                        <w:left w:val="none" w:sz="0" w:space="0" w:color="auto"/>
                        <w:bottom w:val="none" w:sz="0" w:space="0" w:color="auto"/>
                        <w:right w:val="none" w:sz="0" w:space="0" w:color="auto"/>
                      </w:divBdr>
                    </w:div>
                  </w:divsChild>
                </w:div>
                <w:div w:id="2130783545">
                  <w:marLeft w:val="0"/>
                  <w:marRight w:val="0"/>
                  <w:marTop w:val="0"/>
                  <w:marBottom w:val="0"/>
                  <w:divBdr>
                    <w:top w:val="none" w:sz="0" w:space="0" w:color="auto"/>
                    <w:left w:val="none" w:sz="0" w:space="0" w:color="auto"/>
                    <w:bottom w:val="none" w:sz="0" w:space="0" w:color="auto"/>
                    <w:right w:val="none" w:sz="0" w:space="0" w:color="auto"/>
                  </w:divBdr>
                  <w:divsChild>
                    <w:div w:id="1513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4981">
      <w:bodyDiv w:val="1"/>
      <w:marLeft w:val="0"/>
      <w:marRight w:val="0"/>
      <w:marTop w:val="0"/>
      <w:marBottom w:val="0"/>
      <w:divBdr>
        <w:top w:val="none" w:sz="0" w:space="0" w:color="auto"/>
        <w:left w:val="none" w:sz="0" w:space="0" w:color="auto"/>
        <w:bottom w:val="none" w:sz="0" w:space="0" w:color="auto"/>
        <w:right w:val="none" w:sz="0" w:space="0" w:color="auto"/>
      </w:divBdr>
      <w:divsChild>
        <w:div w:id="290720049">
          <w:marLeft w:val="0"/>
          <w:marRight w:val="0"/>
          <w:marTop w:val="0"/>
          <w:marBottom w:val="0"/>
          <w:divBdr>
            <w:top w:val="none" w:sz="0" w:space="0" w:color="auto"/>
            <w:left w:val="none" w:sz="0" w:space="0" w:color="auto"/>
            <w:bottom w:val="none" w:sz="0" w:space="0" w:color="auto"/>
            <w:right w:val="none" w:sz="0" w:space="0" w:color="auto"/>
          </w:divBdr>
          <w:divsChild>
            <w:div w:id="7214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7206">
      <w:bodyDiv w:val="1"/>
      <w:marLeft w:val="0"/>
      <w:marRight w:val="0"/>
      <w:marTop w:val="0"/>
      <w:marBottom w:val="0"/>
      <w:divBdr>
        <w:top w:val="none" w:sz="0" w:space="0" w:color="auto"/>
        <w:left w:val="none" w:sz="0" w:space="0" w:color="auto"/>
        <w:bottom w:val="none" w:sz="0" w:space="0" w:color="auto"/>
        <w:right w:val="none" w:sz="0" w:space="0" w:color="auto"/>
      </w:divBdr>
      <w:divsChild>
        <w:div w:id="1207911000">
          <w:marLeft w:val="0"/>
          <w:marRight w:val="0"/>
          <w:marTop w:val="0"/>
          <w:marBottom w:val="0"/>
          <w:divBdr>
            <w:top w:val="none" w:sz="0" w:space="0" w:color="auto"/>
            <w:left w:val="none" w:sz="0" w:space="0" w:color="auto"/>
            <w:bottom w:val="none" w:sz="0" w:space="0" w:color="auto"/>
            <w:right w:val="none" w:sz="0" w:space="0" w:color="auto"/>
          </w:divBdr>
          <w:divsChild>
            <w:div w:id="2125691668">
              <w:marLeft w:val="0"/>
              <w:marRight w:val="0"/>
              <w:marTop w:val="0"/>
              <w:marBottom w:val="0"/>
              <w:divBdr>
                <w:top w:val="none" w:sz="0" w:space="0" w:color="auto"/>
                <w:left w:val="none" w:sz="0" w:space="0" w:color="auto"/>
                <w:bottom w:val="none" w:sz="0" w:space="0" w:color="auto"/>
                <w:right w:val="none" w:sz="0" w:space="0" w:color="auto"/>
              </w:divBdr>
            </w:div>
          </w:divsChild>
        </w:div>
        <w:div w:id="1243642255">
          <w:marLeft w:val="0"/>
          <w:marRight w:val="0"/>
          <w:marTop w:val="0"/>
          <w:marBottom w:val="0"/>
          <w:divBdr>
            <w:top w:val="none" w:sz="0" w:space="0" w:color="auto"/>
            <w:left w:val="none" w:sz="0" w:space="0" w:color="auto"/>
            <w:bottom w:val="none" w:sz="0" w:space="0" w:color="auto"/>
            <w:right w:val="none" w:sz="0" w:space="0" w:color="auto"/>
          </w:divBdr>
          <w:divsChild>
            <w:div w:id="11609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96339">
      <w:bodyDiv w:val="1"/>
      <w:marLeft w:val="0"/>
      <w:marRight w:val="0"/>
      <w:marTop w:val="0"/>
      <w:marBottom w:val="0"/>
      <w:divBdr>
        <w:top w:val="none" w:sz="0" w:space="0" w:color="auto"/>
        <w:left w:val="none" w:sz="0" w:space="0" w:color="auto"/>
        <w:bottom w:val="none" w:sz="0" w:space="0" w:color="auto"/>
        <w:right w:val="none" w:sz="0" w:space="0" w:color="auto"/>
      </w:divBdr>
      <w:divsChild>
        <w:div w:id="338895736">
          <w:marLeft w:val="0"/>
          <w:marRight w:val="0"/>
          <w:marTop w:val="0"/>
          <w:marBottom w:val="0"/>
          <w:divBdr>
            <w:top w:val="none" w:sz="0" w:space="0" w:color="auto"/>
            <w:left w:val="none" w:sz="0" w:space="0" w:color="auto"/>
            <w:bottom w:val="none" w:sz="0" w:space="0" w:color="auto"/>
            <w:right w:val="none" w:sz="0" w:space="0" w:color="auto"/>
          </w:divBdr>
          <w:divsChild>
            <w:div w:id="180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50419">
      <w:bodyDiv w:val="1"/>
      <w:marLeft w:val="0"/>
      <w:marRight w:val="0"/>
      <w:marTop w:val="0"/>
      <w:marBottom w:val="0"/>
      <w:divBdr>
        <w:top w:val="none" w:sz="0" w:space="0" w:color="auto"/>
        <w:left w:val="none" w:sz="0" w:space="0" w:color="auto"/>
        <w:bottom w:val="none" w:sz="0" w:space="0" w:color="auto"/>
        <w:right w:val="none" w:sz="0" w:space="0" w:color="auto"/>
      </w:divBdr>
      <w:divsChild>
        <w:div w:id="1673601201">
          <w:marLeft w:val="0"/>
          <w:marRight w:val="0"/>
          <w:marTop w:val="0"/>
          <w:marBottom w:val="0"/>
          <w:divBdr>
            <w:top w:val="none" w:sz="0" w:space="0" w:color="auto"/>
            <w:left w:val="none" w:sz="0" w:space="0" w:color="auto"/>
            <w:bottom w:val="none" w:sz="0" w:space="0" w:color="auto"/>
            <w:right w:val="none" w:sz="0" w:space="0" w:color="auto"/>
          </w:divBdr>
          <w:divsChild>
            <w:div w:id="13686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6470">
      <w:bodyDiv w:val="1"/>
      <w:marLeft w:val="0"/>
      <w:marRight w:val="0"/>
      <w:marTop w:val="0"/>
      <w:marBottom w:val="0"/>
      <w:divBdr>
        <w:top w:val="none" w:sz="0" w:space="0" w:color="auto"/>
        <w:left w:val="none" w:sz="0" w:space="0" w:color="auto"/>
        <w:bottom w:val="none" w:sz="0" w:space="0" w:color="auto"/>
        <w:right w:val="none" w:sz="0" w:space="0" w:color="auto"/>
      </w:divBdr>
      <w:divsChild>
        <w:div w:id="1368723963">
          <w:marLeft w:val="0"/>
          <w:marRight w:val="0"/>
          <w:marTop w:val="0"/>
          <w:marBottom w:val="0"/>
          <w:divBdr>
            <w:top w:val="none" w:sz="0" w:space="0" w:color="auto"/>
            <w:left w:val="none" w:sz="0" w:space="0" w:color="auto"/>
            <w:bottom w:val="none" w:sz="0" w:space="0" w:color="auto"/>
            <w:right w:val="none" w:sz="0" w:space="0" w:color="auto"/>
          </w:divBdr>
          <w:divsChild>
            <w:div w:id="347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751">
      <w:bodyDiv w:val="1"/>
      <w:marLeft w:val="0"/>
      <w:marRight w:val="0"/>
      <w:marTop w:val="0"/>
      <w:marBottom w:val="0"/>
      <w:divBdr>
        <w:top w:val="none" w:sz="0" w:space="0" w:color="auto"/>
        <w:left w:val="none" w:sz="0" w:space="0" w:color="auto"/>
        <w:bottom w:val="none" w:sz="0" w:space="0" w:color="auto"/>
        <w:right w:val="none" w:sz="0" w:space="0" w:color="auto"/>
      </w:divBdr>
      <w:divsChild>
        <w:div w:id="52627599">
          <w:marLeft w:val="0"/>
          <w:marRight w:val="0"/>
          <w:marTop w:val="0"/>
          <w:marBottom w:val="0"/>
          <w:divBdr>
            <w:top w:val="none" w:sz="0" w:space="0" w:color="auto"/>
            <w:left w:val="none" w:sz="0" w:space="0" w:color="auto"/>
            <w:bottom w:val="none" w:sz="0" w:space="0" w:color="auto"/>
            <w:right w:val="none" w:sz="0" w:space="0" w:color="auto"/>
          </w:divBdr>
          <w:divsChild>
            <w:div w:id="4060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9630">
      <w:bodyDiv w:val="1"/>
      <w:marLeft w:val="0"/>
      <w:marRight w:val="0"/>
      <w:marTop w:val="0"/>
      <w:marBottom w:val="0"/>
      <w:divBdr>
        <w:top w:val="none" w:sz="0" w:space="0" w:color="auto"/>
        <w:left w:val="none" w:sz="0" w:space="0" w:color="auto"/>
        <w:bottom w:val="none" w:sz="0" w:space="0" w:color="auto"/>
        <w:right w:val="none" w:sz="0" w:space="0" w:color="auto"/>
      </w:divBdr>
      <w:divsChild>
        <w:div w:id="2031032564">
          <w:marLeft w:val="0"/>
          <w:marRight w:val="0"/>
          <w:marTop w:val="0"/>
          <w:marBottom w:val="0"/>
          <w:divBdr>
            <w:top w:val="none" w:sz="0" w:space="0" w:color="auto"/>
            <w:left w:val="none" w:sz="0" w:space="0" w:color="auto"/>
            <w:bottom w:val="none" w:sz="0" w:space="0" w:color="auto"/>
            <w:right w:val="none" w:sz="0" w:space="0" w:color="auto"/>
          </w:divBdr>
          <w:divsChild>
            <w:div w:id="6070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6667">
      <w:bodyDiv w:val="1"/>
      <w:marLeft w:val="0"/>
      <w:marRight w:val="0"/>
      <w:marTop w:val="0"/>
      <w:marBottom w:val="0"/>
      <w:divBdr>
        <w:top w:val="none" w:sz="0" w:space="0" w:color="auto"/>
        <w:left w:val="none" w:sz="0" w:space="0" w:color="auto"/>
        <w:bottom w:val="none" w:sz="0" w:space="0" w:color="auto"/>
        <w:right w:val="none" w:sz="0" w:space="0" w:color="auto"/>
      </w:divBdr>
      <w:divsChild>
        <w:div w:id="1093434862">
          <w:marLeft w:val="0"/>
          <w:marRight w:val="0"/>
          <w:marTop w:val="0"/>
          <w:marBottom w:val="0"/>
          <w:divBdr>
            <w:top w:val="none" w:sz="0" w:space="0" w:color="auto"/>
            <w:left w:val="none" w:sz="0" w:space="0" w:color="auto"/>
            <w:bottom w:val="none" w:sz="0" w:space="0" w:color="auto"/>
            <w:right w:val="none" w:sz="0" w:space="0" w:color="auto"/>
          </w:divBdr>
          <w:divsChild>
            <w:div w:id="4229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1166">
      <w:bodyDiv w:val="1"/>
      <w:marLeft w:val="0"/>
      <w:marRight w:val="0"/>
      <w:marTop w:val="0"/>
      <w:marBottom w:val="0"/>
      <w:divBdr>
        <w:top w:val="none" w:sz="0" w:space="0" w:color="auto"/>
        <w:left w:val="none" w:sz="0" w:space="0" w:color="auto"/>
        <w:bottom w:val="none" w:sz="0" w:space="0" w:color="auto"/>
        <w:right w:val="none" w:sz="0" w:space="0" w:color="auto"/>
      </w:divBdr>
      <w:divsChild>
        <w:div w:id="898785369">
          <w:marLeft w:val="0"/>
          <w:marRight w:val="0"/>
          <w:marTop w:val="0"/>
          <w:marBottom w:val="0"/>
          <w:divBdr>
            <w:top w:val="none" w:sz="0" w:space="0" w:color="auto"/>
            <w:left w:val="none" w:sz="0" w:space="0" w:color="auto"/>
            <w:bottom w:val="none" w:sz="0" w:space="0" w:color="auto"/>
            <w:right w:val="none" w:sz="0" w:space="0" w:color="auto"/>
          </w:divBdr>
          <w:divsChild>
            <w:div w:id="610552255">
              <w:marLeft w:val="0"/>
              <w:marRight w:val="0"/>
              <w:marTop w:val="0"/>
              <w:marBottom w:val="0"/>
              <w:divBdr>
                <w:top w:val="none" w:sz="0" w:space="0" w:color="auto"/>
                <w:left w:val="none" w:sz="0" w:space="0" w:color="auto"/>
                <w:bottom w:val="none" w:sz="0" w:space="0" w:color="auto"/>
                <w:right w:val="none" w:sz="0" w:space="0" w:color="auto"/>
              </w:divBdr>
              <w:divsChild>
                <w:div w:id="40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8937">
      <w:bodyDiv w:val="1"/>
      <w:marLeft w:val="0"/>
      <w:marRight w:val="0"/>
      <w:marTop w:val="0"/>
      <w:marBottom w:val="0"/>
      <w:divBdr>
        <w:top w:val="none" w:sz="0" w:space="0" w:color="auto"/>
        <w:left w:val="none" w:sz="0" w:space="0" w:color="auto"/>
        <w:bottom w:val="none" w:sz="0" w:space="0" w:color="auto"/>
        <w:right w:val="none" w:sz="0" w:space="0" w:color="auto"/>
      </w:divBdr>
      <w:divsChild>
        <w:div w:id="1196888855">
          <w:marLeft w:val="0"/>
          <w:marRight w:val="0"/>
          <w:marTop w:val="0"/>
          <w:marBottom w:val="0"/>
          <w:divBdr>
            <w:top w:val="none" w:sz="0" w:space="0" w:color="auto"/>
            <w:left w:val="none" w:sz="0" w:space="0" w:color="auto"/>
            <w:bottom w:val="none" w:sz="0" w:space="0" w:color="auto"/>
            <w:right w:val="none" w:sz="0" w:space="0" w:color="auto"/>
          </w:divBdr>
          <w:divsChild>
            <w:div w:id="18700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1052">
      <w:bodyDiv w:val="1"/>
      <w:marLeft w:val="0"/>
      <w:marRight w:val="0"/>
      <w:marTop w:val="0"/>
      <w:marBottom w:val="0"/>
      <w:divBdr>
        <w:top w:val="none" w:sz="0" w:space="0" w:color="auto"/>
        <w:left w:val="none" w:sz="0" w:space="0" w:color="auto"/>
        <w:bottom w:val="none" w:sz="0" w:space="0" w:color="auto"/>
        <w:right w:val="none" w:sz="0" w:space="0" w:color="auto"/>
      </w:divBdr>
      <w:divsChild>
        <w:div w:id="479349754">
          <w:marLeft w:val="0"/>
          <w:marRight w:val="0"/>
          <w:marTop w:val="0"/>
          <w:marBottom w:val="0"/>
          <w:divBdr>
            <w:top w:val="none" w:sz="0" w:space="0" w:color="auto"/>
            <w:left w:val="none" w:sz="0" w:space="0" w:color="auto"/>
            <w:bottom w:val="none" w:sz="0" w:space="0" w:color="auto"/>
            <w:right w:val="none" w:sz="0" w:space="0" w:color="auto"/>
          </w:divBdr>
          <w:divsChild>
            <w:div w:id="1542548992">
              <w:marLeft w:val="0"/>
              <w:marRight w:val="0"/>
              <w:marTop w:val="0"/>
              <w:marBottom w:val="0"/>
              <w:divBdr>
                <w:top w:val="none" w:sz="0" w:space="0" w:color="auto"/>
                <w:left w:val="none" w:sz="0" w:space="0" w:color="auto"/>
                <w:bottom w:val="none" w:sz="0" w:space="0" w:color="auto"/>
                <w:right w:val="none" w:sz="0" w:space="0" w:color="auto"/>
              </w:divBdr>
            </w:div>
          </w:divsChild>
        </w:div>
        <w:div w:id="634333486">
          <w:marLeft w:val="0"/>
          <w:marRight w:val="0"/>
          <w:marTop w:val="0"/>
          <w:marBottom w:val="0"/>
          <w:divBdr>
            <w:top w:val="none" w:sz="0" w:space="0" w:color="auto"/>
            <w:left w:val="none" w:sz="0" w:space="0" w:color="auto"/>
            <w:bottom w:val="none" w:sz="0" w:space="0" w:color="auto"/>
            <w:right w:val="none" w:sz="0" w:space="0" w:color="auto"/>
          </w:divBdr>
          <w:divsChild>
            <w:div w:id="17032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981">
      <w:bodyDiv w:val="1"/>
      <w:marLeft w:val="0"/>
      <w:marRight w:val="0"/>
      <w:marTop w:val="0"/>
      <w:marBottom w:val="0"/>
      <w:divBdr>
        <w:top w:val="none" w:sz="0" w:space="0" w:color="auto"/>
        <w:left w:val="none" w:sz="0" w:space="0" w:color="auto"/>
        <w:bottom w:val="none" w:sz="0" w:space="0" w:color="auto"/>
        <w:right w:val="none" w:sz="0" w:space="0" w:color="auto"/>
      </w:divBdr>
      <w:divsChild>
        <w:div w:id="283509723">
          <w:marLeft w:val="0"/>
          <w:marRight w:val="0"/>
          <w:marTop w:val="0"/>
          <w:marBottom w:val="0"/>
          <w:divBdr>
            <w:top w:val="none" w:sz="0" w:space="0" w:color="auto"/>
            <w:left w:val="none" w:sz="0" w:space="0" w:color="auto"/>
            <w:bottom w:val="none" w:sz="0" w:space="0" w:color="auto"/>
            <w:right w:val="none" w:sz="0" w:space="0" w:color="auto"/>
          </w:divBdr>
          <w:divsChild>
            <w:div w:id="76563635">
              <w:marLeft w:val="0"/>
              <w:marRight w:val="0"/>
              <w:marTop w:val="0"/>
              <w:marBottom w:val="0"/>
              <w:divBdr>
                <w:top w:val="none" w:sz="0" w:space="0" w:color="auto"/>
                <w:left w:val="none" w:sz="0" w:space="0" w:color="auto"/>
                <w:bottom w:val="none" w:sz="0" w:space="0" w:color="auto"/>
                <w:right w:val="none" w:sz="0" w:space="0" w:color="auto"/>
              </w:divBdr>
              <w:divsChild>
                <w:div w:id="19821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2430">
      <w:bodyDiv w:val="1"/>
      <w:marLeft w:val="0"/>
      <w:marRight w:val="0"/>
      <w:marTop w:val="0"/>
      <w:marBottom w:val="0"/>
      <w:divBdr>
        <w:top w:val="none" w:sz="0" w:space="0" w:color="auto"/>
        <w:left w:val="none" w:sz="0" w:space="0" w:color="auto"/>
        <w:bottom w:val="none" w:sz="0" w:space="0" w:color="auto"/>
        <w:right w:val="none" w:sz="0" w:space="0" w:color="auto"/>
      </w:divBdr>
      <w:divsChild>
        <w:div w:id="1739092879">
          <w:marLeft w:val="0"/>
          <w:marRight w:val="0"/>
          <w:marTop w:val="0"/>
          <w:marBottom w:val="0"/>
          <w:divBdr>
            <w:top w:val="none" w:sz="0" w:space="0" w:color="auto"/>
            <w:left w:val="none" w:sz="0" w:space="0" w:color="auto"/>
            <w:bottom w:val="none" w:sz="0" w:space="0" w:color="auto"/>
            <w:right w:val="none" w:sz="0" w:space="0" w:color="auto"/>
          </w:divBdr>
          <w:divsChild>
            <w:div w:id="5720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6403">
      <w:bodyDiv w:val="1"/>
      <w:marLeft w:val="0"/>
      <w:marRight w:val="0"/>
      <w:marTop w:val="0"/>
      <w:marBottom w:val="0"/>
      <w:divBdr>
        <w:top w:val="none" w:sz="0" w:space="0" w:color="auto"/>
        <w:left w:val="none" w:sz="0" w:space="0" w:color="auto"/>
        <w:bottom w:val="none" w:sz="0" w:space="0" w:color="auto"/>
        <w:right w:val="none" w:sz="0" w:space="0" w:color="auto"/>
      </w:divBdr>
      <w:divsChild>
        <w:div w:id="1712457011">
          <w:marLeft w:val="0"/>
          <w:marRight w:val="0"/>
          <w:marTop w:val="0"/>
          <w:marBottom w:val="0"/>
          <w:divBdr>
            <w:top w:val="none" w:sz="0" w:space="0" w:color="auto"/>
            <w:left w:val="none" w:sz="0" w:space="0" w:color="auto"/>
            <w:bottom w:val="none" w:sz="0" w:space="0" w:color="auto"/>
            <w:right w:val="none" w:sz="0" w:space="0" w:color="auto"/>
          </w:divBdr>
          <w:divsChild>
            <w:div w:id="6633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311">
      <w:bodyDiv w:val="1"/>
      <w:marLeft w:val="0"/>
      <w:marRight w:val="0"/>
      <w:marTop w:val="0"/>
      <w:marBottom w:val="0"/>
      <w:divBdr>
        <w:top w:val="none" w:sz="0" w:space="0" w:color="auto"/>
        <w:left w:val="none" w:sz="0" w:space="0" w:color="auto"/>
        <w:bottom w:val="none" w:sz="0" w:space="0" w:color="auto"/>
        <w:right w:val="none" w:sz="0" w:space="0" w:color="auto"/>
      </w:divBdr>
      <w:divsChild>
        <w:div w:id="1044214051">
          <w:marLeft w:val="0"/>
          <w:marRight w:val="0"/>
          <w:marTop w:val="0"/>
          <w:marBottom w:val="0"/>
          <w:divBdr>
            <w:top w:val="none" w:sz="0" w:space="0" w:color="auto"/>
            <w:left w:val="none" w:sz="0" w:space="0" w:color="auto"/>
            <w:bottom w:val="none" w:sz="0" w:space="0" w:color="auto"/>
            <w:right w:val="none" w:sz="0" w:space="0" w:color="auto"/>
          </w:divBdr>
          <w:divsChild>
            <w:div w:id="1350109119">
              <w:marLeft w:val="0"/>
              <w:marRight w:val="0"/>
              <w:marTop w:val="0"/>
              <w:marBottom w:val="0"/>
              <w:divBdr>
                <w:top w:val="none" w:sz="0" w:space="0" w:color="auto"/>
                <w:left w:val="none" w:sz="0" w:space="0" w:color="auto"/>
                <w:bottom w:val="none" w:sz="0" w:space="0" w:color="auto"/>
                <w:right w:val="none" w:sz="0" w:space="0" w:color="auto"/>
              </w:divBdr>
              <w:divsChild>
                <w:div w:id="16438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630">
      <w:bodyDiv w:val="1"/>
      <w:marLeft w:val="0"/>
      <w:marRight w:val="0"/>
      <w:marTop w:val="0"/>
      <w:marBottom w:val="0"/>
      <w:divBdr>
        <w:top w:val="none" w:sz="0" w:space="0" w:color="auto"/>
        <w:left w:val="none" w:sz="0" w:space="0" w:color="auto"/>
        <w:bottom w:val="none" w:sz="0" w:space="0" w:color="auto"/>
        <w:right w:val="none" w:sz="0" w:space="0" w:color="auto"/>
      </w:divBdr>
      <w:divsChild>
        <w:div w:id="2090542743">
          <w:marLeft w:val="0"/>
          <w:marRight w:val="0"/>
          <w:marTop w:val="0"/>
          <w:marBottom w:val="0"/>
          <w:divBdr>
            <w:top w:val="none" w:sz="0" w:space="0" w:color="auto"/>
            <w:left w:val="none" w:sz="0" w:space="0" w:color="auto"/>
            <w:bottom w:val="none" w:sz="0" w:space="0" w:color="auto"/>
            <w:right w:val="none" w:sz="0" w:space="0" w:color="auto"/>
          </w:divBdr>
          <w:divsChild>
            <w:div w:id="953287937">
              <w:marLeft w:val="0"/>
              <w:marRight w:val="0"/>
              <w:marTop w:val="0"/>
              <w:marBottom w:val="0"/>
              <w:divBdr>
                <w:top w:val="none" w:sz="0" w:space="0" w:color="auto"/>
                <w:left w:val="none" w:sz="0" w:space="0" w:color="auto"/>
                <w:bottom w:val="none" w:sz="0" w:space="0" w:color="auto"/>
                <w:right w:val="none" w:sz="0" w:space="0" w:color="auto"/>
              </w:divBdr>
              <w:divsChild>
                <w:div w:id="360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1604">
      <w:bodyDiv w:val="1"/>
      <w:marLeft w:val="0"/>
      <w:marRight w:val="0"/>
      <w:marTop w:val="0"/>
      <w:marBottom w:val="0"/>
      <w:divBdr>
        <w:top w:val="none" w:sz="0" w:space="0" w:color="auto"/>
        <w:left w:val="none" w:sz="0" w:space="0" w:color="auto"/>
        <w:bottom w:val="none" w:sz="0" w:space="0" w:color="auto"/>
        <w:right w:val="none" w:sz="0" w:space="0" w:color="auto"/>
      </w:divBdr>
      <w:divsChild>
        <w:div w:id="1320310259">
          <w:marLeft w:val="0"/>
          <w:marRight w:val="0"/>
          <w:marTop w:val="0"/>
          <w:marBottom w:val="0"/>
          <w:divBdr>
            <w:top w:val="none" w:sz="0" w:space="0" w:color="auto"/>
            <w:left w:val="none" w:sz="0" w:space="0" w:color="auto"/>
            <w:bottom w:val="none" w:sz="0" w:space="0" w:color="auto"/>
            <w:right w:val="none" w:sz="0" w:space="0" w:color="auto"/>
          </w:divBdr>
          <w:divsChild>
            <w:div w:id="1789201674">
              <w:marLeft w:val="0"/>
              <w:marRight w:val="0"/>
              <w:marTop w:val="0"/>
              <w:marBottom w:val="0"/>
              <w:divBdr>
                <w:top w:val="none" w:sz="0" w:space="0" w:color="auto"/>
                <w:left w:val="none" w:sz="0" w:space="0" w:color="auto"/>
                <w:bottom w:val="none" w:sz="0" w:space="0" w:color="auto"/>
                <w:right w:val="none" w:sz="0" w:space="0" w:color="auto"/>
              </w:divBdr>
              <w:divsChild>
                <w:div w:id="248782472">
                  <w:marLeft w:val="0"/>
                  <w:marRight w:val="0"/>
                  <w:marTop w:val="0"/>
                  <w:marBottom w:val="0"/>
                  <w:divBdr>
                    <w:top w:val="none" w:sz="0" w:space="0" w:color="auto"/>
                    <w:left w:val="none" w:sz="0" w:space="0" w:color="auto"/>
                    <w:bottom w:val="none" w:sz="0" w:space="0" w:color="auto"/>
                    <w:right w:val="none" w:sz="0" w:space="0" w:color="auto"/>
                  </w:divBdr>
                  <w:divsChild>
                    <w:div w:id="974481449">
                      <w:marLeft w:val="0"/>
                      <w:marRight w:val="0"/>
                      <w:marTop w:val="0"/>
                      <w:marBottom w:val="0"/>
                      <w:divBdr>
                        <w:top w:val="none" w:sz="0" w:space="0" w:color="auto"/>
                        <w:left w:val="none" w:sz="0" w:space="0" w:color="auto"/>
                        <w:bottom w:val="none" w:sz="0" w:space="0" w:color="auto"/>
                        <w:right w:val="none" w:sz="0" w:space="0" w:color="auto"/>
                      </w:divBdr>
                    </w:div>
                  </w:divsChild>
                </w:div>
                <w:div w:id="479274428">
                  <w:marLeft w:val="0"/>
                  <w:marRight w:val="0"/>
                  <w:marTop w:val="0"/>
                  <w:marBottom w:val="0"/>
                  <w:divBdr>
                    <w:top w:val="none" w:sz="0" w:space="0" w:color="auto"/>
                    <w:left w:val="none" w:sz="0" w:space="0" w:color="auto"/>
                    <w:bottom w:val="none" w:sz="0" w:space="0" w:color="auto"/>
                    <w:right w:val="none" w:sz="0" w:space="0" w:color="auto"/>
                  </w:divBdr>
                  <w:divsChild>
                    <w:div w:id="14118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7206">
      <w:bodyDiv w:val="1"/>
      <w:marLeft w:val="0"/>
      <w:marRight w:val="0"/>
      <w:marTop w:val="0"/>
      <w:marBottom w:val="0"/>
      <w:divBdr>
        <w:top w:val="none" w:sz="0" w:space="0" w:color="auto"/>
        <w:left w:val="none" w:sz="0" w:space="0" w:color="auto"/>
        <w:bottom w:val="none" w:sz="0" w:space="0" w:color="auto"/>
        <w:right w:val="none" w:sz="0" w:space="0" w:color="auto"/>
      </w:divBdr>
      <w:divsChild>
        <w:div w:id="1715226071">
          <w:marLeft w:val="0"/>
          <w:marRight w:val="0"/>
          <w:marTop w:val="0"/>
          <w:marBottom w:val="0"/>
          <w:divBdr>
            <w:top w:val="none" w:sz="0" w:space="0" w:color="auto"/>
            <w:left w:val="none" w:sz="0" w:space="0" w:color="auto"/>
            <w:bottom w:val="none" w:sz="0" w:space="0" w:color="auto"/>
            <w:right w:val="none" w:sz="0" w:space="0" w:color="auto"/>
          </w:divBdr>
          <w:divsChild>
            <w:div w:id="112285304">
              <w:marLeft w:val="0"/>
              <w:marRight w:val="0"/>
              <w:marTop w:val="0"/>
              <w:marBottom w:val="0"/>
              <w:divBdr>
                <w:top w:val="none" w:sz="0" w:space="0" w:color="auto"/>
                <w:left w:val="none" w:sz="0" w:space="0" w:color="auto"/>
                <w:bottom w:val="none" w:sz="0" w:space="0" w:color="auto"/>
                <w:right w:val="none" w:sz="0" w:space="0" w:color="auto"/>
              </w:divBdr>
              <w:divsChild>
                <w:div w:id="7072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1100">
      <w:bodyDiv w:val="1"/>
      <w:marLeft w:val="0"/>
      <w:marRight w:val="0"/>
      <w:marTop w:val="0"/>
      <w:marBottom w:val="0"/>
      <w:divBdr>
        <w:top w:val="none" w:sz="0" w:space="0" w:color="auto"/>
        <w:left w:val="none" w:sz="0" w:space="0" w:color="auto"/>
        <w:bottom w:val="none" w:sz="0" w:space="0" w:color="auto"/>
        <w:right w:val="none" w:sz="0" w:space="0" w:color="auto"/>
      </w:divBdr>
      <w:divsChild>
        <w:div w:id="828910111">
          <w:marLeft w:val="0"/>
          <w:marRight w:val="0"/>
          <w:marTop w:val="0"/>
          <w:marBottom w:val="0"/>
          <w:divBdr>
            <w:top w:val="none" w:sz="0" w:space="0" w:color="auto"/>
            <w:left w:val="none" w:sz="0" w:space="0" w:color="auto"/>
            <w:bottom w:val="none" w:sz="0" w:space="0" w:color="auto"/>
            <w:right w:val="none" w:sz="0" w:space="0" w:color="auto"/>
          </w:divBdr>
          <w:divsChild>
            <w:div w:id="1635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8383">
      <w:bodyDiv w:val="1"/>
      <w:marLeft w:val="0"/>
      <w:marRight w:val="0"/>
      <w:marTop w:val="0"/>
      <w:marBottom w:val="0"/>
      <w:divBdr>
        <w:top w:val="none" w:sz="0" w:space="0" w:color="auto"/>
        <w:left w:val="none" w:sz="0" w:space="0" w:color="auto"/>
        <w:bottom w:val="none" w:sz="0" w:space="0" w:color="auto"/>
        <w:right w:val="none" w:sz="0" w:space="0" w:color="auto"/>
      </w:divBdr>
      <w:divsChild>
        <w:div w:id="1680616164">
          <w:marLeft w:val="0"/>
          <w:marRight w:val="0"/>
          <w:marTop w:val="0"/>
          <w:marBottom w:val="0"/>
          <w:divBdr>
            <w:top w:val="none" w:sz="0" w:space="0" w:color="auto"/>
            <w:left w:val="none" w:sz="0" w:space="0" w:color="auto"/>
            <w:bottom w:val="none" w:sz="0" w:space="0" w:color="auto"/>
            <w:right w:val="none" w:sz="0" w:space="0" w:color="auto"/>
          </w:divBdr>
          <w:divsChild>
            <w:div w:id="4860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672A-1622-4335-BB51-50CBFEE8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15557</Words>
  <Characters>88679</Characters>
  <Application>Microsoft Office Word</Application>
  <DocSecurity>0</DocSecurity>
  <Lines>738</Lines>
  <Paragraphs>208</Paragraphs>
  <ScaleCrop>false</ScaleCrop>
  <Company/>
  <LinksUpToDate>false</LinksUpToDate>
  <CharactersWithSpaces>104028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2020-11-13T21:36:00Z</dcterms:created>
  <dcterms:modified xsi:type="dcterms:W3CDTF">2020-11-13T21:36:00Z</dcterms:modified>
</cp:coreProperties>
</file>